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8"/>
        </w:rPr>
      </w:pPr>
    </w:p>
    <w:p/>
    <w:p/>
    <w:p/>
    <w:p/>
    <w:p/>
    <w:p/>
    <w:p/>
    <w:p>
      <w:pPr>
        <w:pStyle w:val="7"/>
        <w:jc w:val="center"/>
        <w:rPr>
          <w:rFonts w:ascii="宋体" w:hAnsi="宋体" w:eastAsia="宋体"/>
          <w:b/>
          <w:color w:val="000000"/>
          <w:sz w:val="48"/>
          <w:szCs w:val="48"/>
        </w:rPr>
      </w:pPr>
      <w:r>
        <w:rPr>
          <w:rFonts w:hint="eastAsia" w:ascii="宋体" w:hAnsi="宋体" w:eastAsia="宋体"/>
          <w:b/>
          <w:color w:val="000000"/>
          <w:sz w:val="48"/>
          <w:szCs w:val="48"/>
        </w:rPr>
        <w:t>涉执房地产处置司法评估报告</w:t>
      </w:r>
    </w:p>
    <w:p>
      <w:pPr>
        <w:spacing w:line="560" w:lineRule="exact"/>
        <w:ind w:left="3383" w:leftChars="428" w:hanging="2484" w:hangingChars="690"/>
        <w:rPr>
          <w:rFonts w:ascii="宋体" w:hAnsi="宋体"/>
          <w:color w:val="000000"/>
          <w:sz w:val="36"/>
          <w:szCs w:val="36"/>
        </w:rPr>
      </w:pPr>
    </w:p>
    <w:p>
      <w:pPr>
        <w:spacing w:line="560" w:lineRule="exact"/>
        <w:ind w:left="3383" w:leftChars="428" w:hanging="2484" w:hangingChars="690"/>
        <w:rPr>
          <w:rFonts w:ascii="宋体" w:hAnsi="宋体"/>
          <w:color w:val="000000"/>
          <w:sz w:val="36"/>
          <w:szCs w:val="36"/>
        </w:rPr>
      </w:pPr>
    </w:p>
    <w:p>
      <w:pPr>
        <w:spacing w:line="560" w:lineRule="exact"/>
        <w:ind w:left="3383" w:leftChars="428" w:hanging="2484" w:hangingChars="690"/>
        <w:rPr>
          <w:rFonts w:ascii="宋体" w:hAnsi="宋体"/>
          <w:color w:val="000000"/>
          <w:sz w:val="36"/>
          <w:szCs w:val="36"/>
        </w:rPr>
      </w:pPr>
    </w:p>
    <w:p>
      <w:pPr>
        <w:spacing w:line="560" w:lineRule="exact"/>
        <w:ind w:left="2969" w:leftChars="428" w:hanging="2070" w:hangingChars="690"/>
        <w:rPr>
          <w:rFonts w:ascii="宋体" w:hAnsi="宋体"/>
          <w:color w:val="000000"/>
          <w:sz w:val="30"/>
          <w:szCs w:val="30"/>
        </w:rPr>
      </w:pPr>
    </w:p>
    <w:p>
      <w:pPr>
        <w:spacing w:line="560" w:lineRule="exact"/>
        <w:ind w:left="2348" w:leftChars="428" w:hanging="1449" w:hangingChars="690"/>
        <w:rPr>
          <w:rFonts w:ascii="宋体" w:hAnsi="宋体"/>
          <w:color w:val="000000"/>
          <w:sz w:val="30"/>
          <w:szCs w:val="30"/>
        </w:rPr>
      </w:pPr>
      <w:r>
        <w:pict>
          <v:shape id="文本框 1" o:spid="_x0000_s1028" o:spt="202" type="#_x0000_t202" style="position:absolute;left:0pt;margin-left:177.9pt;margin-top:7.25pt;height:91.5pt;width:96.1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">
            <v:path/>
            <v:fill focussize="0,0"/>
            <v:stroke color="#FFFFFF" joinstyle="miter"/>
            <v:imagedata o:title=""/>
            <o:lock v:ext="edit"/>
            <v:textbox>
              <w:txbxContent>
                <w:p>
                  <w:bookmarkStart w:id="119" w:name="PO_二维码"/>
                  <w:bookmarkEnd w:id="119"/>
                </w:p>
              </w:txbxContent>
            </v:textbox>
          </v:shape>
        </w:pict>
      </w:r>
      <w:r>
        <w:rPr>
          <w:rFonts w:hint="eastAsia" w:ascii="宋体" w:hAnsi="宋体"/>
          <w:color w:val="000000"/>
          <w:sz w:val="30"/>
          <w:szCs w:val="30"/>
        </w:rPr>
        <w:t xml:space="preserve">               </w:t>
      </w: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rPr>
          <w:rFonts w:ascii="宋体" w:hAnsi="宋体"/>
          <w:color w:val="000000"/>
          <w:sz w:val="30"/>
          <w:szCs w:val="30"/>
        </w:rPr>
      </w:pPr>
    </w:p>
    <w:p>
      <w:pPr>
        <w:spacing w:line="560" w:lineRule="exact"/>
        <w:ind w:left="2240" w:hanging="2240" w:hangingChars="700"/>
        <w:rPr>
          <w:rFonts w:ascii="宋体" w:hAnsi="宋体"/>
          <w:color w:val="000000"/>
          <w:sz w:val="32"/>
        </w:rPr>
      </w:pPr>
      <w:r>
        <w:rPr>
          <w:rFonts w:hint="eastAsia" w:ascii="宋体" w:hAnsi="宋体"/>
          <w:color w:val="000000"/>
          <w:sz w:val="32"/>
        </w:rPr>
        <w:t>估价项目名称：聊城市开发区东方家园小区9号楼4单元4层442号及2处储藏室房地产市场价格评估</w:t>
      </w:r>
    </w:p>
    <w:p>
      <w:pPr>
        <w:spacing w:line="560" w:lineRule="exact"/>
        <w:rPr>
          <w:rFonts w:ascii="宋体" w:hAnsi="宋体"/>
          <w:color w:val="000000"/>
          <w:sz w:val="30"/>
          <w:szCs w:val="30"/>
        </w:rPr>
      </w:pPr>
      <w:r>
        <w:rPr>
          <w:rFonts w:hint="eastAsia" w:ascii="宋体" w:hAnsi="宋体"/>
          <w:color w:val="000000"/>
          <w:sz w:val="32"/>
        </w:rPr>
        <w:t>估价委托人：聊城市东昌府区人民法院</w:t>
      </w:r>
    </w:p>
    <w:p>
      <w:pPr>
        <w:rPr>
          <w:rFonts w:ascii="宋体" w:hAnsi="宋体"/>
          <w:color w:val="000000"/>
          <w:sz w:val="32"/>
        </w:rPr>
      </w:pPr>
      <w:r>
        <w:rPr>
          <w:rFonts w:hint="eastAsia" w:ascii="宋体" w:hAnsi="宋体"/>
          <w:color w:val="000000"/>
          <w:sz w:val="32"/>
        </w:rPr>
        <w:t>房地产估价机构：山东成达土地房地产资产评估测绘有限公司</w:t>
      </w:r>
    </w:p>
    <w:p>
      <w:pPr>
        <w:rPr>
          <w:rFonts w:ascii="宋体" w:hAnsi="宋体"/>
          <w:color w:val="000000"/>
          <w:sz w:val="32"/>
        </w:rPr>
      </w:pPr>
      <w:r>
        <w:rPr>
          <w:rFonts w:hint="eastAsia" w:ascii="宋体" w:hAnsi="宋体"/>
          <w:color w:val="000000"/>
          <w:sz w:val="32"/>
        </w:rPr>
        <w:t>注册房地产估价师：张增坤（注册号：3720190070）</w:t>
      </w:r>
    </w:p>
    <w:p>
      <w:pPr>
        <w:ind w:firstLine="2880" w:firstLineChars="900"/>
        <w:rPr>
          <w:rFonts w:ascii="宋体" w:hAnsi="宋体"/>
          <w:color w:val="000000"/>
          <w:sz w:val="32"/>
        </w:rPr>
      </w:pPr>
      <w:r>
        <w:rPr>
          <w:rFonts w:hint="eastAsia" w:ascii="宋体" w:hAnsi="宋体"/>
          <w:color w:val="000000"/>
          <w:sz w:val="32"/>
        </w:rPr>
        <w:t>马舒然（注册号：3720210044）</w:t>
      </w:r>
    </w:p>
    <w:p>
      <w:pPr>
        <w:rPr>
          <w:rFonts w:ascii="宋体" w:hAnsi="宋体"/>
          <w:color w:val="000000"/>
          <w:sz w:val="32"/>
        </w:rPr>
      </w:pPr>
      <w:r>
        <w:rPr>
          <w:rFonts w:hint="eastAsia" w:ascii="宋体" w:hAnsi="宋体"/>
          <w:color w:val="000000"/>
          <w:sz w:val="32"/>
        </w:rPr>
        <w:t>估价报告出具日期：2022年10月21日</w:t>
      </w:r>
    </w:p>
    <w:p>
      <w:pPr>
        <w:rPr>
          <w:rFonts w:ascii="宋体" w:hAnsi="宋体"/>
          <w:color w:val="000000"/>
          <w:sz w:val="32"/>
        </w:rPr>
      </w:pPr>
      <w:r>
        <w:rPr>
          <w:rFonts w:hint="eastAsia" w:ascii="宋体" w:hAnsi="宋体"/>
          <w:color w:val="000000"/>
          <w:sz w:val="32"/>
        </w:rPr>
        <w:t>估价报告编号：鲁成（202</w:t>
      </w:r>
      <w:r>
        <w:rPr>
          <w:rFonts w:ascii="宋体" w:hAnsi="宋体"/>
          <w:color w:val="000000"/>
          <w:sz w:val="32"/>
        </w:rPr>
        <w:t>2</w:t>
      </w:r>
      <w:r>
        <w:rPr>
          <w:rFonts w:hint="eastAsia" w:ascii="宋体" w:hAnsi="宋体"/>
          <w:color w:val="000000"/>
          <w:sz w:val="32"/>
        </w:rPr>
        <w:t>）估字</w:t>
      </w:r>
      <w:r>
        <w:rPr>
          <w:rFonts w:ascii="宋体" w:hAnsi="宋体"/>
          <w:color w:val="000000"/>
          <w:sz w:val="32"/>
        </w:rPr>
        <w:t>249</w:t>
      </w:r>
      <w:r>
        <w:rPr>
          <w:rFonts w:hint="eastAsia" w:ascii="宋体" w:hAnsi="宋体"/>
          <w:color w:val="000000"/>
          <w:sz w:val="32"/>
        </w:rPr>
        <w:t>号</w:t>
      </w:r>
    </w:p>
    <w:p>
      <w:pPr>
        <w:tabs>
          <w:tab w:val="left" w:pos="6553"/>
        </w:tabs>
        <w:ind w:firstLine="899" w:firstLineChars="281"/>
        <w:rPr>
          <w:rFonts w:ascii="宋体" w:hAnsi="宋体"/>
          <w:color w:val="000000"/>
          <w:sz w:val="32"/>
        </w:rPr>
      </w:pPr>
      <w:r>
        <w:rPr>
          <w:rFonts w:hint="eastAsia" w:ascii="宋体" w:hAnsi="宋体"/>
          <w:color w:val="000000"/>
          <w:sz w:val="32"/>
        </w:rPr>
        <w:tab/>
      </w:r>
    </w:p>
    <w:p>
      <w:pPr>
        <w:snapToGrid w:val="0"/>
        <w:spacing w:line="500" w:lineRule="exact"/>
        <w:jc w:val="center"/>
        <w:rPr>
          <w:rFonts w:ascii="宋体" w:hAnsi="宋体"/>
          <w:b/>
          <w:color w:val="000000"/>
          <w:sz w:val="36"/>
          <w:szCs w:val="36"/>
        </w:rPr>
      </w:pPr>
      <w:r>
        <w:rPr>
          <w:rFonts w:hint="eastAsia" w:ascii="宋体" w:hAnsi="宋体"/>
          <w:b/>
          <w:color w:val="000000"/>
          <w:sz w:val="36"/>
          <w:szCs w:val="36"/>
        </w:rPr>
        <w:t>致 估 价 委 托 人 函</w:t>
      </w:r>
    </w:p>
    <w:p>
      <w:pPr>
        <w:pStyle w:val="7"/>
        <w:snapToGrid w:val="0"/>
        <w:spacing w:line="560" w:lineRule="exact"/>
        <w:rPr>
          <w:rFonts w:ascii="宋体" w:hAnsi="宋体" w:eastAsia="宋体"/>
          <w:color w:val="000000"/>
          <w:szCs w:val="28"/>
        </w:rPr>
      </w:pPr>
      <w:r>
        <w:rPr>
          <w:rFonts w:hint="eastAsia" w:ascii="宋体" w:hAnsi="宋体" w:eastAsia="宋体"/>
          <w:color w:val="000000"/>
          <w:szCs w:val="28"/>
        </w:rPr>
        <w:t>聊城市东昌府区人民法院：</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受贵院委托，我评估公司本着独立、客观、公正的原则，对委托评估的位于聊城市开发区东方家园小区9号楼4单元4层442号及2处储藏室房地产于</w:t>
      </w:r>
      <w:r>
        <w:rPr>
          <w:rFonts w:hint="eastAsia" w:ascii="宋体" w:hAnsi="宋体"/>
          <w:sz w:val="28"/>
          <w:szCs w:val="28"/>
        </w:rPr>
        <w:t>2022年10月11日</w:t>
      </w:r>
      <w:r>
        <w:rPr>
          <w:rFonts w:hint="eastAsia" w:ascii="宋体" w:hAnsi="宋体"/>
          <w:color w:val="000000"/>
          <w:sz w:val="28"/>
          <w:szCs w:val="28"/>
        </w:rPr>
        <w:t>进行了现场查勘并进行了评估测算。评估工作现已完成，现将报告主要内容说明如下：</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估价目的</w:t>
      </w:r>
      <w:r>
        <w:rPr>
          <w:rFonts w:hint="eastAsia" w:ascii="宋体" w:hAnsi="宋体"/>
          <w:color w:val="000000"/>
          <w:sz w:val="28"/>
        </w:rPr>
        <w:t>：为聊城市东昌府区人民法院确定财产处置参考价提供参考依据。</w:t>
      </w:r>
    </w:p>
    <w:p>
      <w:pPr>
        <w:snapToGrid w:val="0"/>
        <w:spacing w:line="560" w:lineRule="exact"/>
        <w:ind w:firstLine="562" w:firstLineChars="200"/>
        <w:rPr>
          <w:rFonts w:ascii="宋体" w:hAnsi="宋体" w:cs="宋体"/>
          <w:color w:val="000000"/>
          <w:sz w:val="28"/>
        </w:rPr>
      </w:pPr>
      <w:r>
        <w:rPr>
          <w:rFonts w:hint="eastAsia" w:ascii="宋体" w:hAnsi="宋体"/>
          <w:b/>
          <w:color w:val="000000"/>
          <w:sz w:val="28"/>
        </w:rPr>
        <w:t>估价对象：</w:t>
      </w:r>
      <w:r>
        <w:rPr>
          <w:rFonts w:hint="eastAsia" w:ascii="宋体" w:hAnsi="宋体" w:cs="宋体"/>
          <w:color w:val="000000"/>
          <w:sz w:val="28"/>
          <w:lang w:val="zh-CN"/>
        </w:rPr>
        <w:t>根据估价委托人提供</w:t>
      </w:r>
      <w:r>
        <w:rPr>
          <w:rFonts w:hint="eastAsia" w:ascii="宋体" w:hAnsi="宋体" w:cs="宋体"/>
          <w:color w:val="000000"/>
          <w:sz w:val="28"/>
        </w:rPr>
        <w:t>的聊城市东昌府区人民法院委托书、房屋所有权证复印件及</w:t>
      </w:r>
      <w:r>
        <w:rPr>
          <w:rFonts w:hint="eastAsia" w:ascii="宋体" w:hAnsi="宋体" w:cs="宋体"/>
          <w:color w:val="000000"/>
          <w:sz w:val="28"/>
          <w:lang w:val="zh-CN"/>
        </w:rPr>
        <w:t>现场勘查确定估价对象权属状况如下</w:t>
      </w:r>
      <w:r>
        <w:rPr>
          <w:rFonts w:hint="eastAsia" w:ascii="宋体" w:hAnsi="宋体" w:cs="宋体"/>
          <w:color w:val="000000"/>
          <w:sz w:val="28"/>
        </w:rPr>
        <w:t>：</w:t>
      </w:r>
    </w:p>
    <w:tbl>
      <w:tblPr>
        <w:tblStyle w:val="20"/>
        <w:tblW w:w="5083"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241"/>
        <w:gridCol w:w="810"/>
        <w:gridCol w:w="1747"/>
        <w:gridCol w:w="1254"/>
        <w:gridCol w:w="1134"/>
        <w:gridCol w:w="1245"/>
        <w:gridCol w:w="738"/>
        <w:gridCol w:w="10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5000" w:type="pct"/>
            <w:gridSpan w:val="8"/>
            <w:vAlign w:val="center"/>
          </w:tcPr>
          <w:p>
            <w:pPr>
              <w:jc w:val="center"/>
              <w:rPr>
                <w:rFonts w:ascii="宋体" w:hAnsi="宋体"/>
                <w:b/>
                <w:sz w:val="24"/>
              </w:rPr>
            </w:pPr>
            <w:r>
              <w:rPr>
                <w:rFonts w:hint="eastAsia" w:ascii="宋体" w:hAnsi="宋体" w:cs="宋体"/>
                <w:b/>
                <w:color w:val="000000"/>
                <w:sz w:val="24"/>
              </w:rPr>
              <w:t>房产登记状况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438"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678"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建筑面积（㎡）</w:t>
            </w:r>
          </w:p>
        </w:tc>
        <w:tc>
          <w:tcPr>
            <w:tcW w:w="613"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所在层数</w:t>
            </w:r>
          </w:p>
          <w:p>
            <w:pPr>
              <w:widowControl/>
              <w:jc w:val="center"/>
              <w:textAlignment w:val="center"/>
              <w:rPr>
                <w:rFonts w:ascii="宋体" w:hAnsi="宋体"/>
                <w:sz w:val="24"/>
              </w:rPr>
            </w:pPr>
            <w:r>
              <w:rPr>
                <w:rFonts w:hint="eastAsia" w:ascii="宋体" w:hAnsi="宋体" w:cs="宋体"/>
                <w:color w:val="000000"/>
                <w:kern w:val="0"/>
                <w:sz w:val="24"/>
              </w:rPr>
              <w:t>/总层数</w:t>
            </w:r>
          </w:p>
        </w:tc>
        <w:tc>
          <w:tcPr>
            <w:tcW w:w="673" w:type="pct"/>
            <w:vAlign w:val="center"/>
          </w:tcPr>
          <w:p>
            <w:pPr>
              <w:jc w:val="center"/>
              <w:rPr>
                <w:rFonts w:ascii="宋体" w:hAnsi="宋体"/>
                <w:sz w:val="24"/>
              </w:rPr>
            </w:pPr>
            <w:r>
              <w:rPr>
                <w:rFonts w:hint="eastAsia" w:ascii="宋体" w:hAnsi="宋体"/>
                <w:sz w:val="24"/>
              </w:rPr>
              <w:t>规划用途/实际用途</w:t>
            </w:r>
          </w:p>
        </w:tc>
        <w:tc>
          <w:tcPr>
            <w:tcW w:w="399" w:type="pct"/>
            <w:vAlign w:val="center"/>
          </w:tcPr>
          <w:p>
            <w:pPr>
              <w:jc w:val="center"/>
              <w:rPr>
                <w:rFonts w:ascii="宋体" w:hAnsi="宋体"/>
                <w:sz w:val="24"/>
              </w:rPr>
            </w:pPr>
            <w:r>
              <w:rPr>
                <w:rFonts w:hint="eastAsia" w:ascii="宋体" w:hAnsi="宋体"/>
                <w:sz w:val="24"/>
              </w:rPr>
              <w:t>结构</w:t>
            </w:r>
          </w:p>
        </w:tc>
        <w:tc>
          <w:tcPr>
            <w:tcW w:w="584" w:type="pct"/>
            <w:vAlign w:val="center"/>
          </w:tcPr>
          <w:p>
            <w:pPr>
              <w:jc w:val="center"/>
              <w:rPr>
                <w:rFonts w:ascii="宋体" w:hAnsi="宋体"/>
                <w:sz w:val="24"/>
              </w:rPr>
            </w:pPr>
            <w:r>
              <w:rPr>
                <w:rFonts w:hint="eastAsia" w:ascii="宋体" w:hAnsi="宋体"/>
                <w:sz w:val="24"/>
              </w:rPr>
              <w:t>建成年代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聊房权证开字第01120172号</w:t>
            </w:r>
          </w:p>
        </w:tc>
        <w:tc>
          <w:tcPr>
            <w:tcW w:w="438" w:type="pct"/>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李占岭</w:t>
            </w:r>
          </w:p>
        </w:tc>
        <w:tc>
          <w:tcPr>
            <w:tcW w:w="944" w:type="pct"/>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88.04</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4层/7层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住宅/住宅</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w:t>
            </w:r>
            <w:r>
              <w:rPr>
                <w:rFonts w:hint="eastAsia" w:ascii="宋体" w:hAnsi="宋体"/>
                <w:sz w:val="24"/>
              </w:rPr>
              <w:t>7年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008" w:hRule="atLeast"/>
          <w:jc w:val="center"/>
        </w:trPr>
        <w:tc>
          <w:tcPr>
            <w:tcW w:w="671" w:type="pct"/>
            <w:vMerge w:val="continue"/>
            <w:vAlign w:val="center"/>
          </w:tcPr>
          <w:p>
            <w:pPr>
              <w:widowControl/>
              <w:jc w:val="center"/>
              <w:textAlignment w:val="center"/>
              <w:rPr>
                <w:rFonts w:ascii="宋体" w:hAnsi="宋体" w:cs="宋体"/>
                <w:color w:val="000000"/>
                <w:sz w:val="24"/>
              </w:rPr>
            </w:pPr>
          </w:p>
        </w:tc>
        <w:tc>
          <w:tcPr>
            <w:tcW w:w="438" w:type="pct"/>
            <w:vMerge w:val="continue"/>
            <w:vAlign w:val="center"/>
          </w:tcPr>
          <w:p>
            <w:pPr>
              <w:widowControl/>
              <w:jc w:val="center"/>
              <w:textAlignment w:val="center"/>
              <w:rPr>
                <w:rFonts w:ascii="宋体" w:hAnsi="宋体" w:cs="宋体"/>
                <w:color w:val="000000"/>
                <w:sz w:val="24"/>
              </w:rPr>
            </w:pPr>
          </w:p>
        </w:tc>
        <w:tc>
          <w:tcPr>
            <w:tcW w:w="944" w:type="pct"/>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聊城市开发区东方家园小区9号楼4单元4层442号储藏室（1）</w:t>
            </w:r>
          </w:p>
        </w:tc>
        <w:tc>
          <w:tcPr>
            <w:tcW w:w="678" w:type="pct"/>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10.55</w:t>
            </w:r>
          </w:p>
        </w:tc>
        <w:tc>
          <w:tcPr>
            <w:tcW w:w="613" w:type="pct"/>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储藏室层/7层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储藏室/储藏室</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continue"/>
            <w:vAlign w:val="center"/>
          </w:tcPr>
          <w:p>
            <w:pPr>
              <w:widowControl/>
              <w:jc w:val="center"/>
              <w:textAlignment w:val="center"/>
              <w:rPr>
                <w:rFonts w:ascii="宋体" w:hAnsi="宋体" w:cs="宋体"/>
                <w:color w:val="000000"/>
                <w:sz w:val="24"/>
              </w:rPr>
            </w:pPr>
          </w:p>
        </w:tc>
        <w:tc>
          <w:tcPr>
            <w:tcW w:w="438" w:type="pct"/>
            <w:vMerge w:val="continue"/>
            <w:vAlign w:val="center"/>
          </w:tcPr>
          <w:p>
            <w:pPr>
              <w:widowControl/>
              <w:jc w:val="center"/>
              <w:textAlignment w:val="center"/>
              <w:rPr>
                <w:rFonts w:ascii="宋体" w:hAnsi="宋体" w:cs="宋体"/>
                <w:color w:val="000000"/>
                <w:sz w:val="24"/>
              </w:rPr>
            </w:pPr>
          </w:p>
        </w:tc>
        <w:tc>
          <w:tcPr>
            <w:tcW w:w="944" w:type="pct"/>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聊城市开发区东方家园小区9号楼4单元4层442号储藏室（2）</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31.94</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储藏室层/7层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储藏室/储藏室</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抵押情况</w:t>
            </w:r>
          </w:p>
        </w:tc>
        <w:tc>
          <w:tcPr>
            <w:tcW w:w="4329" w:type="pct"/>
            <w:gridSpan w:val="7"/>
            <w:vAlign w:val="center"/>
          </w:tcPr>
          <w:p>
            <w:pPr>
              <w:jc w:val="left"/>
              <w:rPr>
                <w:rFonts w:hint="eastAsia" w:ascii="宋体" w:hAnsi="宋体"/>
                <w:sz w:val="24"/>
              </w:rPr>
            </w:pPr>
            <w:r>
              <w:rPr>
                <w:rFonts w:hint="eastAsia" w:ascii="宋体" w:hAnsi="宋体"/>
                <w:sz w:val="24"/>
              </w:rPr>
              <w:t>附记栏</w:t>
            </w:r>
            <w:r>
              <w:rPr>
                <w:rFonts w:ascii="宋体" w:hAnsi="宋体"/>
                <w:sz w:val="24"/>
              </w:rPr>
              <w:t>记载：</w:t>
            </w:r>
            <w:r>
              <w:rPr>
                <w:rFonts w:hint="eastAsia" w:ascii="宋体" w:hAnsi="宋体"/>
                <w:sz w:val="24"/>
              </w:rPr>
              <w:t>聊城农村商业银行股份有限公司</w:t>
            </w:r>
            <w:r>
              <w:rPr>
                <w:rFonts w:ascii="宋体" w:hAnsi="宋体"/>
                <w:sz w:val="24"/>
              </w:rPr>
              <w:t>，</w:t>
            </w:r>
            <w:r>
              <w:rPr>
                <w:rFonts w:hint="eastAsia" w:ascii="宋体" w:hAnsi="宋体"/>
                <w:sz w:val="24"/>
              </w:rPr>
              <w:t>抵押全部</w:t>
            </w:r>
            <w:r>
              <w:rPr>
                <w:rFonts w:ascii="宋体" w:hAnsi="宋体"/>
                <w:sz w:val="24"/>
              </w:rPr>
              <w:t>，</w:t>
            </w:r>
            <w:r>
              <w:rPr>
                <w:rFonts w:hint="eastAsia" w:ascii="宋体" w:hAnsi="宋体"/>
                <w:sz w:val="24"/>
              </w:rPr>
              <w:t>2014年7月4日</w:t>
            </w:r>
            <w:r>
              <w:rPr>
                <w:rFonts w:ascii="宋体" w:hAnsi="宋体"/>
                <w:sz w:val="24"/>
              </w:rPr>
              <w:t>，</w:t>
            </w:r>
            <w:r>
              <w:rPr>
                <w:rFonts w:hint="eastAsia" w:ascii="宋体" w:hAnsi="宋体"/>
                <w:sz w:val="24"/>
              </w:rPr>
              <w:t>2014年7月2日</w:t>
            </w:r>
            <w:r>
              <w:rPr>
                <w:rFonts w:ascii="宋体" w:hAnsi="宋体"/>
                <w:sz w:val="24"/>
              </w:rPr>
              <w:t>起</w:t>
            </w:r>
            <w:r>
              <w:rPr>
                <w:rFonts w:hint="eastAsia" w:ascii="宋体" w:hAnsi="宋体"/>
                <w:sz w:val="24"/>
              </w:rPr>
              <w:t>2017年7月3日</w:t>
            </w:r>
            <w:r>
              <w:rPr>
                <w:rFonts w:ascii="宋体" w:hAnsi="宋体"/>
                <w:sz w:val="24"/>
              </w:rPr>
              <w:t>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sz w:val="24"/>
              </w:rPr>
              <w:t>查封情况</w:t>
            </w:r>
          </w:p>
        </w:tc>
        <w:tc>
          <w:tcPr>
            <w:tcW w:w="4329" w:type="pct"/>
            <w:gridSpan w:val="7"/>
            <w:vAlign w:val="center"/>
          </w:tcPr>
          <w:p>
            <w:pPr>
              <w:jc w:val="left"/>
              <w:rPr>
                <w:rFonts w:hint="eastAsia" w:ascii="宋体" w:hAnsi="宋体"/>
                <w:sz w:val="24"/>
              </w:rPr>
            </w:pPr>
            <w:r>
              <w:rPr>
                <w:rFonts w:hint="eastAsia" w:ascii="宋体" w:hAnsi="宋体"/>
                <w:sz w:val="24"/>
              </w:rPr>
              <w:t>已查封</w:t>
            </w:r>
            <w:r>
              <w:rPr>
                <w:rFonts w:ascii="宋体" w:hAnsi="宋体"/>
                <w:sz w:val="24"/>
              </w:rPr>
              <w:t>，查封机关为聊城市东昌府区</w:t>
            </w:r>
            <w:r>
              <w:rPr>
                <w:rFonts w:hint="eastAsia" w:ascii="宋体" w:hAnsi="宋体"/>
                <w:sz w:val="24"/>
              </w:rPr>
              <w:t>人民法院</w:t>
            </w:r>
            <w:r>
              <w:rPr>
                <w:rFonts w:ascii="宋体" w:hAnsi="宋体"/>
                <w:sz w:val="24"/>
              </w:rPr>
              <w:t>，文号</w:t>
            </w:r>
            <w:r>
              <w:rPr>
                <w:rFonts w:hint="eastAsia" w:ascii="宋体" w:hAnsi="宋体"/>
                <w:sz w:val="24"/>
              </w:rPr>
              <w:t>(2022)鲁 1502执恢 474 号。</w:t>
            </w:r>
          </w:p>
        </w:tc>
      </w:tr>
    </w:tbl>
    <w:p>
      <w:pPr>
        <w:snapToGrid w:val="0"/>
        <w:spacing w:line="560" w:lineRule="exact"/>
        <w:ind w:firstLine="562" w:firstLineChars="200"/>
        <w:rPr>
          <w:rFonts w:ascii="宋体" w:hAnsi="宋体"/>
          <w:color w:val="000000"/>
          <w:sz w:val="28"/>
        </w:rPr>
      </w:pPr>
      <w:r>
        <w:rPr>
          <w:rFonts w:hint="eastAsia" w:ascii="宋体" w:hAnsi="宋体"/>
          <w:b/>
          <w:color w:val="000000"/>
          <w:sz w:val="28"/>
        </w:rPr>
        <w:t>价值时点</w:t>
      </w:r>
      <w:r>
        <w:rPr>
          <w:rFonts w:hint="eastAsia" w:ascii="宋体" w:hAnsi="宋体"/>
          <w:color w:val="000000"/>
          <w:sz w:val="28"/>
        </w:rPr>
        <w:t>：2022年10月11日（现场实地查勘之日）。</w:t>
      </w:r>
    </w:p>
    <w:p>
      <w:pPr>
        <w:spacing w:line="560" w:lineRule="exact"/>
        <w:ind w:firstLine="555"/>
        <w:rPr>
          <w:rFonts w:ascii="宋体" w:hAnsi="宋体"/>
          <w:color w:val="000000"/>
          <w:sz w:val="28"/>
        </w:rPr>
      </w:pPr>
      <w:r>
        <w:rPr>
          <w:rFonts w:hint="eastAsia" w:ascii="宋体" w:hAnsi="宋体"/>
          <w:b/>
          <w:color w:val="000000"/>
          <w:sz w:val="28"/>
        </w:rPr>
        <w:t>价值类型：</w:t>
      </w:r>
      <w:r>
        <w:rPr>
          <w:rFonts w:hint="eastAsia" w:ascii="宋体" w:hAnsi="宋体"/>
          <w:color w:val="000000"/>
          <w:sz w:val="28"/>
        </w:rPr>
        <w:t>根据估价目的，本报告所采用的价值类型为市场价格。</w:t>
      </w:r>
    </w:p>
    <w:p>
      <w:pPr>
        <w:spacing w:line="560" w:lineRule="exact"/>
        <w:ind w:firstLine="555"/>
        <w:rPr>
          <w:rFonts w:ascii="宋体" w:hAnsi="宋体"/>
          <w:color w:val="000000"/>
          <w:sz w:val="28"/>
        </w:rPr>
      </w:pPr>
      <w:r>
        <w:rPr>
          <w:rFonts w:hint="eastAsia" w:ascii="宋体" w:hAnsi="宋体"/>
          <w:b/>
          <w:color w:val="000000"/>
          <w:sz w:val="28"/>
        </w:rPr>
        <w:t>估价方法：</w:t>
      </w:r>
      <w:r>
        <w:rPr>
          <w:rFonts w:hint="eastAsia" w:ascii="宋体" w:hAnsi="宋体"/>
          <w:color w:val="000000"/>
          <w:sz w:val="28"/>
        </w:rPr>
        <w:t>根据估价目的，结合估价对象具体状况，本次采用比较法和收益法进行评估。</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估价结果</w:t>
      </w: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0"/>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575"/>
        <w:gridCol w:w="993"/>
        <w:gridCol w:w="2483"/>
        <w:gridCol w:w="1254"/>
        <w:gridCol w:w="1392"/>
        <w:gridCol w:w="14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jc w:val="center"/>
              <w:rPr>
                <w:rFonts w:ascii="宋体" w:hAnsi="宋体"/>
                <w:b/>
                <w:sz w:val="24"/>
              </w:rPr>
            </w:pPr>
            <w:r>
              <w:rPr>
                <w:rFonts w:hint="eastAsia" w:ascii="宋体" w:hAnsi="宋体"/>
                <w:b/>
                <w:sz w:val="24"/>
              </w:rPr>
              <w:t>估价结果</w:t>
            </w:r>
            <w:r>
              <w:rPr>
                <w:rFonts w:ascii="宋体" w:hAnsi="宋体"/>
                <w:b/>
                <w:sz w:val="24"/>
              </w:rPr>
              <w:t>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99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254"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建筑面积（㎡）</w:t>
            </w:r>
          </w:p>
        </w:tc>
        <w:tc>
          <w:tcPr>
            <w:tcW w:w="1392" w:type="dxa"/>
            <w:vAlign w:val="center"/>
          </w:tcPr>
          <w:p>
            <w:pPr>
              <w:snapToGrid w:val="0"/>
              <w:jc w:val="center"/>
              <w:rPr>
                <w:rFonts w:ascii="宋体" w:hAnsi="宋体"/>
                <w:color w:val="000000"/>
                <w:sz w:val="24"/>
              </w:rPr>
            </w:pPr>
            <w:r>
              <w:rPr>
                <w:rFonts w:hint="eastAsia" w:ascii="宋体" w:hAnsi="宋体"/>
                <w:color w:val="000000"/>
                <w:sz w:val="24"/>
              </w:rPr>
              <w:t>评估单价</w:t>
            </w:r>
          </w:p>
          <w:p>
            <w:pPr>
              <w:snapToGrid w:val="0"/>
              <w:jc w:val="center"/>
              <w:rPr>
                <w:rFonts w:ascii="宋体" w:hAnsi="宋体"/>
                <w:sz w:val="24"/>
              </w:rPr>
            </w:pPr>
            <w:r>
              <w:rPr>
                <w:rFonts w:hint="eastAsia" w:ascii="宋体" w:hAnsi="宋体"/>
                <w:color w:val="000000"/>
                <w:sz w:val="24"/>
              </w:rPr>
              <w:t>（元/㎡）</w:t>
            </w:r>
          </w:p>
        </w:tc>
        <w:tc>
          <w:tcPr>
            <w:tcW w:w="1403" w:type="dxa"/>
            <w:vAlign w:val="center"/>
          </w:tcPr>
          <w:p>
            <w:pPr>
              <w:snapToGrid w:val="0"/>
              <w:jc w:val="center"/>
              <w:rPr>
                <w:rFonts w:ascii="宋体" w:hAnsi="宋体"/>
                <w:color w:val="000000"/>
                <w:sz w:val="24"/>
              </w:rPr>
            </w:pPr>
            <w:r>
              <w:rPr>
                <w:rFonts w:hint="eastAsia" w:ascii="宋体" w:hAnsi="宋体"/>
                <w:color w:val="000000"/>
                <w:sz w:val="24"/>
              </w:rPr>
              <w:t>评估总价</w:t>
            </w:r>
          </w:p>
          <w:p>
            <w:pPr>
              <w:snapToGrid w:val="0"/>
              <w:jc w:val="center"/>
              <w:rPr>
                <w:rFonts w:ascii="宋体" w:hAnsi="宋体"/>
                <w:sz w:val="24"/>
              </w:rPr>
            </w:pPr>
            <w:r>
              <w:rPr>
                <w:rFonts w:hint="eastAsia" w:ascii="宋体" w:hAnsi="宋体"/>
                <w:color w:val="00000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聊房权证开字第01120172号</w:t>
            </w:r>
          </w:p>
        </w:tc>
        <w:tc>
          <w:tcPr>
            <w:tcW w:w="993"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李占岭</w:t>
            </w:r>
          </w:p>
        </w:tc>
        <w:tc>
          <w:tcPr>
            <w:tcW w:w="2483" w:type="dxa"/>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88.04</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9261</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81.53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continue"/>
            <w:vAlign w:val="center"/>
          </w:tcPr>
          <w:p>
            <w:pPr>
              <w:widowControl/>
              <w:jc w:val="center"/>
              <w:textAlignment w:val="center"/>
              <w:rPr>
                <w:rFonts w:ascii="宋体" w:hAnsi="宋体" w:cs="宋体"/>
                <w:color w:val="000000"/>
                <w:sz w:val="24"/>
              </w:rPr>
            </w:pPr>
          </w:p>
        </w:tc>
        <w:tc>
          <w:tcPr>
            <w:tcW w:w="993" w:type="dxa"/>
            <w:vMerge w:val="continue"/>
            <w:vAlign w:val="center"/>
          </w:tcPr>
          <w:p>
            <w:pPr>
              <w:widowControl/>
              <w:jc w:val="center"/>
              <w:textAlignment w:val="center"/>
              <w:rPr>
                <w:rFonts w:ascii="宋体" w:hAnsi="宋体" w:cs="宋体"/>
                <w:color w:val="000000"/>
                <w:sz w:val="24"/>
              </w:rPr>
            </w:pPr>
          </w:p>
        </w:tc>
        <w:tc>
          <w:tcPr>
            <w:tcW w:w="2483" w:type="dxa"/>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聊城市开发区东方家园小区9号楼4单元4层442号储藏室（1）</w:t>
            </w:r>
          </w:p>
        </w:tc>
        <w:tc>
          <w:tcPr>
            <w:tcW w:w="1254" w:type="dxa"/>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10.55</w:t>
            </w:r>
          </w:p>
        </w:tc>
        <w:tc>
          <w:tcPr>
            <w:tcW w:w="13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3000</w:t>
            </w:r>
          </w:p>
        </w:tc>
        <w:tc>
          <w:tcPr>
            <w:tcW w:w="140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3.17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continue"/>
            <w:vAlign w:val="center"/>
          </w:tcPr>
          <w:p>
            <w:pPr>
              <w:widowControl/>
              <w:jc w:val="center"/>
              <w:textAlignment w:val="center"/>
              <w:rPr>
                <w:rFonts w:ascii="宋体" w:hAnsi="宋体" w:cs="宋体"/>
                <w:color w:val="000000"/>
                <w:sz w:val="24"/>
              </w:rPr>
            </w:pPr>
          </w:p>
        </w:tc>
        <w:tc>
          <w:tcPr>
            <w:tcW w:w="993" w:type="dxa"/>
            <w:vMerge w:val="continue"/>
            <w:vAlign w:val="center"/>
          </w:tcPr>
          <w:p>
            <w:pPr>
              <w:widowControl/>
              <w:jc w:val="center"/>
              <w:textAlignment w:val="center"/>
              <w:rPr>
                <w:rFonts w:ascii="宋体" w:hAnsi="宋体" w:cs="宋体"/>
                <w:color w:val="000000"/>
                <w:kern w:val="0"/>
                <w:sz w:val="24"/>
              </w:rPr>
            </w:pPr>
          </w:p>
        </w:tc>
        <w:tc>
          <w:tcPr>
            <w:tcW w:w="2483" w:type="dxa"/>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聊城市开发区东方家园小区9号楼4单元4层442号储藏室（2）</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31.94</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3000</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9.58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合计</w:t>
            </w:r>
          </w:p>
        </w:tc>
        <w:tc>
          <w:tcPr>
            <w:tcW w:w="993" w:type="dxa"/>
            <w:vAlign w:val="center"/>
          </w:tcPr>
          <w:p>
            <w:pPr>
              <w:widowControl/>
              <w:jc w:val="center"/>
              <w:textAlignment w:val="center"/>
              <w:rPr>
                <w:rFonts w:ascii="宋体" w:hAnsi="宋体" w:cs="宋体"/>
                <w:b/>
                <w:color w:val="000000"/>
                <w:kern w:val="0"/>
                <w:sz w:val="24"/>
              </w:rPr>
            </w:pPr>
          </w:p>
        </w:tc>
        <w:tc>
          <w:tcPr>
            <w:tcW w:w="2483" w:type="dxa"/>
            <w:vAlign w:val="center"/>
          </w:tcPr>
          <w:p>
            <w:pPr>
              <w:snapToGrid w:val="0"/>
              <w:jc w:val="center"/>
              <w:rPr>
                <w:rFonts w:ascii="宋体" w:hAnsi="宋体" w:cs="宋体"/>
                <w:b/>
                <w:color w:val="000000"/>
                <w:sz w:val="24"/>
              </w:rPr>
            </w:pPr>
          </w:p>
        </w:tc>
        <w:tc>
          <w:tcPr>
            <w:tcW w:w="1254" w:type="dxa"/>
            <w:vAlign w:val="center"/>
          </w:tcPr>
          <w:p>
            <w:pPr>
              <w:jc w:val="center"/>
              <w:textAlignment w:val="center"/>
              <w:rPr>
                <w:rFonts w:ascii="宋体" w:hAnsi="宋体"/>
                <w:b/>
                <w:color w:val="000000"/>
                <w:sz w:val="24"/>
              </w:rPr>
            </w:pPr>
            <w:r>
              <w:rPr>
                <w:rFonts w:hint="eastAsia" w:ascii="宋体" w:hAnsi="宋体"/>
                <w:b/>
                <w:color w:val="000000"/>
                <w:sz w:val="24"/>
              </w:rPr>
              <w:t>130.53</w:t>
            </w:r>
          </w:p>
        </w:tc>
        <w:tc>
          <w:tcPr>
            <w:tcW w:w="1392" w:type="dxa"/>
            <w:vAlign w:val="center"/>
          </w:tcPr>
          <w:p>
            <w:pPr>
              <w:jc w:val="center"/>
              <w:rPr>
                <w:rFonts w:ascii="宋体" w:hAnsi="宋体" w:cs="宋体"/>
                <w:b/>
                <w:color w:val="000000"/>
                <w:kern w:val="0"/>
                <w:sz w:val="24"/>
                <w:lang w:bidi="ar"/>
              </w:rPr>
            </w:pPr>
          </w:p>
        </w:tc>
        <w:tc>
          <w:tcPr>
            <w:tcW w:w="1403" w:type="dxa"/>
            <w:vAlign w:val="center"/>
          </w:tcPr>
          <w:p>
            <w:pPr>
              <w:widowControl/>
              <w:jc w:val="center"/>
              <w:textAlignment w:val="center"/>
              <w:rPr>
                <w:rFonts w:ascii="宋体" w:hAnsi="宋体" w:cs="宋体"/>
                <w:b/>
                <w:color w:val="000000"/>
                <w:kern w:val="0"/>
                <w:sz w:val="24"/>
                <w:lang w:bidi="ar"/>
              </w:rPr>
            </w:pPr>
            <w:r>
              <w:rPr>
                <w:rFonts w:hint="eastAsia" w:ascii="宋体" w:hAnsi="宋体" w:cs="宋体"/>
                <w:color w:val="000000"/>
                <w:kern w:val="0"/>
                <w:sz w:val="24"/>
                <w:lang w:bidi="ar"/>
              </w:rPr>
              <w:t xml:space="preserve">94.28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spacing w:line="540" w:lineRule="exact"/>
              <w:jc w:val="center"/>
              <w:rPr>
                <w:rFonts w:ascii="宋体" w:hAnsi="宋体"/>
                <w:b/>
                <w:sz w:val="24"/>
              </w:rPr>
            </w:pPr>
            <w:r>
              <w:rPr>
                <w:rFonts w:hint="eastAsia" w:ascii="宋体" w:hAnsi="宋体"/>
                <w:b/>
                <w:sz w:val="24"/>
              </w:rPr>
              <w:t>人民币大写：玖拾肆万贰仟捌佰元整</w:t>
            </w:r>
          </w:p>
        </w:tc>
      </w:tr>
    </w:tbl>
    <w:p>
      <w:pPr>
        <w:snapToGrid w:val="0"/>
        <w:spacing w:line="560" w:lineRule="exact"/>
        <w:ind w:firstLine="555"/>
        <w:rPr>
          <w:rFonts w:ascii="宋体" w:hAnsi="宋体"/>
          <w:b/>
          <w:color w:val="000000"/>
          <w:sz w:val="28"/>
        </w:rPr>
      </w:pPr>
      <w:r>
        <w:rPr>
          <w:rFonts w:hint="eastAsia" w:ascii="宋体" w:hAnsi="宋体"/>
          <w:b/>
          <w:color w:val="000000"/>
          <w:sz w:val="28"/>
        </w:rPr>
        <w:t>特别提示：</w:t>
      </w:r>
    </w:p>
    <w:p>
      <w:pPr>
        <w:snapToGrid w:val="0"/>
        <w:spacing w:line="560" w:lineRule="exact"/>
        <w:ind w:firstLine="555"/>
        <w:rPr>
          <w:rFonts w:ascii="宋体" w:hAnsi="宋体"/>
          <w:sz w:val="28"/>
        </w:rPr>
      </w:pPr>
      <w:r>
        <w:rPr>
          <w:rFonts w:hint="eastAsia" w:ascii="宋体" w:hAnsi="宋体"/>
          <w:color w:val="000000"/>
          <w:sz w:val="28"/>
        </w:rPr>
        <w:t>1、本估价报告应用有效期为一年，即自</w:t>
      </w:r>
      <w:r>
        <w:rPr>
          <w:rFonts w:hint="eastAsia" w:ascii="宋体" w:hAnsi="宋体"/>
          <w:sz w:val="28"/>
        </w:rPr>
        <w:t>2022年10月21日至202</w:t>
      </w:r>
      <w:r>
        <w:rPr>
          <w:rFonts w:ascii="宋体" w:hAnsi="宋体"/>
          <w:sz w:val="28"/>
        </w:rPr>
        <w:t>3</w:t>
      </w:r>
      <w:r>
        <w:rPr>
          <w:rFonts w:hint="eastAsia" w:ascii="宋体" w:hAnsi="宋体"/>
          <w:sz w:val="28"/>
        </w:rPr>
        <w:t>年10月20日。</w:t>
      </w:r>
    </w:p>
    <w:p>
      <w:pPr>
        <w:snapToGrid w:val="0"/>
        <w:spacing w:line="560" w:lineRule="exact"/>
        <w:ind w:firstLine="555"/>
        <w:rPr>
          <w:rFonts w:ascii="宋体" w:hAnsi="宋体"/>
          <w:color w:val="000000"/>
          <w:sz w:val="28"/>
        </w:rPr>
      </w:pPr>
      <w:r>
        <w:rPr>
          <w:rFonts w:hint="eastAsia" w:ascii="宋体" w:hAnsi="宋体"/>
          <w:color w:val="000000"/>
          <w:sz w:val="28"/>
        </w:rPr>
        <w:t>2、以上内容摘自评估报告，详细内容见《估价结果报告》。若当事人</w:t>
      </w:r>
      <w:r>
        <w:rPr>
          <w:rFonts w:ascii="宋体" w:hAnsi="宋体"/>
          <w:color w:val="000000"/>
          <w:sz w:val="28"/>
        </w:rPr>
        <w:t>、利害关系人</w:t>
      </w:r>
      <w:r>
        <w:rPr>
          <w:rFonts w:hint="eastAsia" w:ascii="宋体" w:hAnsi="宋体"/>
          <w:color w:val="000000"/>
          <w:sz w:val="28"/>
        </w:rPr>
        <w:t>对报告有异议，请在收到报告之日起五日内</w:t>
      </w:r>
      <w:r>
        <w:rPr>
          <w:rFonts w:hint="eastAsia" w:ascii="宋体" w:hAnsi="宋体"/>
          <w:sz w:val="28"/>
          <w:szCs w:val="28"/>
        </w:rPr>
        <w:t>以书面形式</w:t>
      </w:r>
      <w:r>
        <w:rPr>
          <w:rFonts w:hint="eastAsia" w:ascii="宋体" w:hAnsi="宋体"/>
          <w:color w:val="000000"/>
          <w:sz w:val="28"/>
        </w:rPr>
        <w:t>通过聊城市东昌府区人民法院向我公司提出。</w:t>
      </w:r>
    </w:p>
    <w:p>
      <w:pPr>
        <w:tabs>
          <w:tab w:val="left" w:pos="675"/>
        </w:tabs>
        <w:spacing w:line="560" w:lineRule="exact"/>
        <w:ind w:firstLine="560" w:firstLineChars="200"/>
        <w:rPr>
          <w:rFonts w:ascii="宋体" w:hAnsi="宋体"/>
          <w:color w:val="000000"/>
          <w:sz w:val="28"/>
          <w:szCs w:val="28"/>
        </w:rPr>
      </w:pPr>
      <w:r>
        <w:rPr>
          <w:rFonts w:hint="eastAsia" w:ascii="宋体" w:hAnsi="宋体"/>
          <w:color w:val="000000"/>
          <w:sz w:val="28"/>
          <w:szCs w:val="28"/>
        </w:rPr>
        <w:t>3、估价委托人或者估价报告使用人</w:t>
      </w:r>
      <w:r>
        <w:rPr>
          <w:rFonts w:hint="eastAsia" w:asciiTheme="majorEastAsia" w:hAnsiTheme="majorEastAsia" w:eastAsiaTheme="majorEastAsia"/>
          <w:color w:val="000000"/>
          <w:sz w:val="28"/>
          <w:szCs w:val="28"/>
        </w:rPr>
        <w:t>应当按照法律规定和评估报告载明的用途、使用人、使用期限等使用范围使用评估报告。否则，房地产估价机构和注册房地产估价师依法不承担责任</w:t>
      </w:r>
      <w:r>
        <w:rPr>
          <w:rFonts w:hint="eastAsia" w:ascii="宋体" w:hAnsi="宋体"/>
          <w:color w:val="000000"/>
          <w:sz w:val="28"/>
          <w:szCs w:val="28"/>
        </w:rPr>
        <w:t>。</w:t>
      </w:r>
    </w:p>
    <w:p>
      <w:pPr>
        <w:tabs>
          <w:tab w:val="left" w:pos="675"/>
        </w:tabs>
        <w:spacing w:line="560" w:lineRule="exact"/>
        <w:ind w:firstLine="560" w:firstLineChars="200"/>
        <w:rPr>
          <w:rFonts w:ascii="宋体" w:hAnsi="宋体"/>
          <w:color w:val="000000"/>
          <w:sz w:val="28"/>
          <w:szCs w:val="28"/>
        </w:rPr>
      </w:pPr>
      <w:r>
        <w:rPr>
          <w:rFonts w:hint="eastAsia" w:ascii="宋体" w:hAnsi="宋体"/>
          <w:color w:val="000000"/>
          <w:sz w:val="28"/>
          <w:szCs w:val="28"/>
        </w:rPr>
        <w:t>4、</w:t>
      </w:r>
      <w:r>
        <w:rPr>
          <w:rFonts w:hint="eastAsia" w:asciiTheme="majorEastAsia" w:hAnsiTheme="majorEastAsia" w:eastAsiaTheme="majorEastAsia"/>
          <w:color w:val="000000"/>
          <w:sz w:val="28"/>
          <w:szCs w:val="28"/>
        </w:rPr>
        <w:t>估价结果仅为人民法院确定财产处置参考价服务，不是估价对象处置可实现的成交价格，也不应当被视为对估价对象处置成交价格的保证。</w:t>
      </w:r>
      <w:r>
        <w:rPr>
          <w:rFonts w:hint="eastAsia" w:ascii="宋体" w:hAnsi="宋体"/>
          <w:color w:val="000000"/>
          <w:sz w:val="28"/>
          <w:szCs w:val="28"/>
        </w:rPr>
        <w:t>最终的处置价格应该由估价委托人根据处置方式、市场参与程度、兑现难易、政府有关税费缴纳等情况确定。</w:t>
      </w:r>
    </w:p>
    <w:p>
      <w:pPr>
        <w:spacing w:line="56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6、</w:t>
      </w:r>
      <w:r>
        <w:rPr>
          <w:rFonts w:hint="eastAsia" w:asciiTheme="majorEastAsia" w:hAnsiTheme="majorEastAsia" w:eastAsiaTheme="majorEastAsia"/>
          <w:color w:val="000000"/>
          <w:sz w:val="28"/>
          <w:szCs w:val="28"/>
        </w:rPr>
        <w:t>在评估报告使用期限或者估价结果有效期内，评估报告或者估价结果未使用之前，如果估价对象状况或者房地产市场状况发生明显变化的，估价结果应当进行相应调整后</w:t>
      </w:r>
      <w:r>
        <w:rPr>
          <w:rFonts w:hint="eastAsia" w:ascii="宋体" w:hAnsi="宋体"/>
          <w:color w:val="000000"/>
          <w:sz w:val="28"/>
          <w:szCs w:val="28"/>
        </w:rPr>
        <w:t>或委托估价机构重新估价</w:t>
      </w:r>
      <w:r>
        <w:rPr>
          <w:rFonts w:hint="eastAsia" w:asciiTheme="majorEastAsia" w:hAnsiTheme="majorEastAsia" w:eastAsiaTheme="majorEastAsia"/>
          <w:color w:val="000000"/>
          <w:sz w:val="28"/>
          <w:szCs w:val="28"/>
        </w:rPr>
        <w:t>才可使用</w:t>
      </w:r>
      <w:r>
        <w:rPr>
          <w:rFonts w:hint="eastAsia" w:ascii="宋体" w:hAnsi="宋体"/>
          <w:color w:val="000000"/>
          <w:sz w:val="28"/>
          <w:szCs w:val="28"/>
        </w:rPr>
        <w:t>。</w:t>
      </w:r>
    </w:p>
    <w:p>
      <w:pPr>
        <w:snapToGrid w:val="0"/>
        <w:spacing w:line="560" w:lineRule="exact"/>
        <w:ind w:firstLine="555"/>
        <w:rPr>
          <w:rFonts w:ascii="宋体" w:hAnsi="宋体"/>
          <w:color w:val="000000"/>
          <w:sz w:val="28"/>
        </w:rPr>
      </w:pPr>
      <w:r>
        <w:rPr>
          <w:rFonts w:hint="eastAsia" w:ascii="宋体" w:hAnsi="宋体"/>
          <w:color w:val="000000"/>
          <w:sz w:val="28"/>
        </w:rPr>
        <w:t>7、根据估价委托人提供的《房屋所有权证》确定估价对象附带两处储藏室，现场查勘未能明确两处储藏室具体位置，根据聊城市东昌府区</w:t>
      </w:r>
      <w:r>
        <w:rPr>
          <w:rFonts w:ascii="宋体" w:hAnsi="宋体"/>
          <w:color w:val="000000"/>
          <w:sz w:val="28"/>
        </w:rPr>
        <w:t>人民法院要求，本次评估</w:t>
      </w:r>
      <w:r>
        <w:rPr>
          <w:rFonts w:hint="eastAsia" w:ascii="宋体" w:hAnsi="宋体"/>
          <w:color w:val="000000"/>
          <w:sz w:val="28"/>
        </w:rPr>
        <w:t>两处</w:t>
      </w:r>
      <w:r>
        <w:rPr>
          <w:rFonts w:ascii="宋体" w:hAnsi="宋体"/>
          <w:color w:val="000000"/>
          <w:sz w:val="28"/>
        </w:rPr>
        <w:t>储藏室价值，</w:t>
      </w:r>
      <w:r>
        <w:rPr>
          <w:rFonts w:hint="eastAsia" w:ascii="宋体" w:hAnsi="宋体"/>
          <w:color w:val="000000"/>
          <w:sz w:val="28"/>
        </w:rPr>
        <w:t>特提请报告使用人注意。</w:t>
      </w:r>
    </w:p>
    <w:p>
      <w:pPr>
        <w:snapToGrid w:val="0"/>
        <w:spacing w:line="560" w:lineRule="exact"/>
        <w:rPr>
          <w:rFonts w:ascii="宋体" w:hAnsi="宋体"/>
          <w:color w:val="000000"/>
          <w:sz w:val="28"/>
        </w:rPr>
      </w:pPr>
    </w:p>
    <w:p>
      <w:pPr>
        <w:snapToGrid w:val="0"/>
        <w:spacing w:line="560" w:lineRule="exact"/>
        <w:ind w:right="78" w:firstLine="556"/>
        <w:jc w:val="right"/>
        <w:rPr>
          <w:rFonts w:ascii="宋体" w:hAnsi="宋体"/>
          <w:color w:val="000000"/>
          <w:sz w:val="28"/>
          <w:szCs w:val="28"/>
          <w:lang w:val="zh-CN"/>
        </w:rPr>
      </w:pPr>
      <w:r>
        <w:rPr>
          <w:rFonts w:hint="eastAsia" w:ascii="宋体" w:hAnsi="宋体"/>
          <w:color w:val="000000"/>
          <w:sz w:val="28"/>
          <w:szCs w:val="28"/>
        </w:rPr>
        <w:t xml:space="preserve"> 山东成达土地房地产资产评估测绘有限公司</w:t>
      </w:r>
    </w:p>
    <w:p>
      <w:pPr>
        <w:snapToGrid w:val="0"/>
        <w:spacing w:line="560" w:lineRule="exact"/>
        <w:ind w:right="918"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法定代表人：</w:t>
      </w:r>
      <w:r>
        <w:rPr>
          <w:rFonts w:hint="eastAsia" w:ascii="宋体" w:hAnsi="宋体"/>
          <w:color w:val="000000"/>
          <w:sz w:val="28"/>
          <w:szCs w:val="28"/>
          <w:lang w:val="zh-CN"/>
        </w:rPr>
        <w:t>程新军</w:t>
      </w:r>
    </w:p>
    <w:p>
      <w:pPr>
        <w:snapToGrid w:val="0"/>
        <w:spacing w:line="560" w:lineRule="exact"/>
        <w:ind w:right="-110" w:firstLine="556"/>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二○二二年十月二十一日</w:t>
      </w:r>
    </w:p>
    <w:p>
      <w:pPr>
        <w:snapToGrid w:val="0"/>
        <w:spacing w:line="560" w:lineRule="exact"/>
        <w:ind w:right="-110" w:firstLine="556"/>
        <w:rPr>
          <w:rFonts w:hint="eastAsia"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pacing w:line="600" w:lineRule="exact"/>
        <w:jc w:val="center"/>
        <w:rPr>
          <w:rFonts w:ascii="宋体" w:hAnsi="宋体"/>
          <w:b/>
          <w:sz w:val="36"/>
        </w:rPr>
      </w:pPr>
      <w:bookmarkStart w:id="0" w:name="_Toc24121729"/>
      <w:bookmarkStart w:id="1" w:name="_Toc17471982"/>
      <w:bookmarkStart w:id="2" w:name="_Toc17471951"/>
      <w:bookmarkStart w:id="3" w:name="_Toc19087050"/>
      <w:bookmarkStart w:id="4" w:name="_Toc16234169"/>
      <w:bookmarkStart w:id="5" w:name="_Toc16234431"/>
      <w:r>
        <w:rPr>
          <w:rFonts w:hint="eastAsia" w:ascii="宋体" w:hAnsi="宋体"/>
          <w:b/>
          <w:sz w:val="36"/>
        </w:rPr>
        <w:t>目   录</w:t>
      </w:r>
    </w:p>
    <w:p>
      <w:pPr>
        <w:spacing w:line="520" w:lineRule="exact"/>
        <w:jc w:val="center"/>
        <w:rPr>
          <w:rFonts w:ascii="宋体" w:hAnsi="宋体"/>
          <w:b/>
          <w:sz w:val="28"/>
        </w:rPr>
      </w:pPr>
      <w:r>
        <w:rPr>
          <w:rFonts w:hint="eastAsia" w:ascii="宋体" w:hAnsi="宋体"/>
          <w:b/>
          <w:sz w:val="28"/>
        </w:rPr>
        <w:t>估价师声明……………………………………………………………（</w:t>
      </w:r>
      <w:r>
        <w:rPr>
          <w:rFonts w:ascii="宋体" w:hAnsi="宋体"/>
          <w:b/>
          <w:sz w:val="28"/>
        </w:rPr>
        <w:t>06</w:t>
      </w:r>
      <w:r>
        <w:rPr>
          <w:rFonts w:hint="eastAsia" w:ascii="宋体" w:hAnsi="宋体"/>
          <w:b/>
          <w:sz w:val="28"/>
        </w:rPr>
        <w:t>）</w:t>
      </w:r>
    </w:p>
    <w:p>
      <w:pPr>
        <w:spacing w:line="520" w:lineRule="exact"/>
        <w:jc w:val="center"/>
        <w:rPr>
          <w:rFonts w:ascii="宋体" w:hAnsi="宋体"/>
          <w:b/>
          <w:sz w:val="28"/>
        </w:rPr>
      </w:pPr>
      <w:r>
        <w:rPr>
          <w:rFonts w:hint="eastAsia" w:ascii="宋体" w:hAnsi="宋体"/>
          <w:b/>
          <w:sz w:val="28"/>
        </w:rPr>
        <w:t>估价假设和限制条件…………………………………………………（</w:t>
      </w:r>
      <w:r>
        <w:rPr>
          <w:rFonts w:ascii="宋体" w:hAnsi="宋体"/>
          <w:b/>
          <w:sz w:val="28"/>
        </w:rPr>
        <w:t>07</w:t>
      </w:r>
      <w:r>
        <w:rPr>
          <w:rFonts w:hint="eastAsia" w:ascii="宋体" w:hAnsi="宋体"/>
          <w:b/>
          <w:sz w:val="28"/>
        </w:rPr>
        <w:t>）</w:t>
      </w:r>
    </w:p>
    <w:p>
      <w:pPr>
        <w:spacing w:line="520" w:lineRule="exact"/>
        <w:jc w:val="center"/>
        <w:rPr>
          <w:rFonts w:ascii="宋体" w:hAnsi="宋体"/>
          <w:b/>
          <w:sz w:val="28"/>
        </w:rPr>
      </w:pPr>
      <w:r>
        <w:rPr>
          <w:rFonts w:hint="eastAsia" w:ascii="宋体" w:hAnsi="宋体"/>
          <w:b/>
          <w:sz w:val="28"/>
        </w:rPr>
        <w:t>估价结果报告…………………………………………………………（</w:t>
      </w:r>
      <w:r>
        <w:rPr>
          <w:rFonts w:ascii="宋体" w:hAnsi="宋体"/>
          <w:b/>
          <w:sz w:val="28"/>
        </w:rPr>
        <w:t>10</w:t>
      </w:r>
      <w:r>
        <w:rPr>
          <w:rFonts w:hint="eastAsia" w:ascii="宋体" w:hAnsi="宋体"/>
          <w:b/>
          <w:sz w:val="28"/>
        </w:rPr>
        <w:t>）</w:t>
      </w:r>
    </w:p>
    <w:p>
      <w:pPr>
        <w:spacing w:line="520" w:lineRule="exact"/>
        <w:ind w:firstLine="280" w:firstLineChars="100"/>
        <w:jc w:val="center"/>
        <w:rPr>
          <w:rFonts w:ascii="宋体" w:hAnsi="宋体"/>
          <w:sz w:val="28"/>
        </w:rPr>
      </w:pPr>
      <w:r>
        <w:rPr>
          <w:rFonts w:hint="eastAsia" w:ascii="宋体" w:hAnsi="宋体"/>
          <w:sz w:val="28"/>
        </w:rPr>
        <w:t>一、估价委托人……………………………………………………（</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二、房地产估价机构………………………………………………（</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三、估价目的………………………………………………………（</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四、估价对象………………………………………………………（</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五、价值时点………………………………………………………（</w:t>
      </w:r>
      <w:r>
        <w:rPr>
          <w:rFonts w:ascii="宋体" w:hAnsi="宋体"/>
          <w:sz w:val="28"/>
        </w:rPr>
        <w:t>13</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六、价值类型………………………………………………………（</w:t>
      </w:r>
      <w:r>
        <w:rPr>
          <w:rFonts w:ascii="宋体" w:hAnsi="宋体"/>
          <w:sz w:val="28"/>
        </w:rPr>
        <w:t>13</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七、估价原则………………………………………………………（</w:t>
      </w:r>
      <w:r>
        <w:rPr>
          <w:rFonts w:ascii="宋体" w:hAnsi="宋体"/>
          <w:sz w:val="28"/>
        </w:rPr>
        <w:t>13</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八、估价依据………………………………………………………（</w:t>
      </w:r>
      <w:r>
        <w:rPr>
          <w:rFonts w:ascii="宋体" w:hAnsi="宋体"/>
          <w:sz w:val="28"/>
        </w:rPr>
        <w:t>15</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九、估价方法………………………………………………………（</w:t>
      </w:r>
      <w:r>
        <w:rPr>
          <w:rFonts w:ascii="宋体" w:hAnsi="宋体"/>
          <w:sz w:val="28"/>
        </w:rPr>
        <w:t>16</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十、估价结果………………………………………………………（</w:t>
      </w:r>
      <w:r>
        <w:rPr>
          <w:rFonts w:ascii="宋体" w:hAnsi="宋体"/>
          <w:sz w:val="28"/>
        </w:rPr>
        <w:t>19</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十一、注册房地产估价师…………………………………………（20）</w:t>
      </w:r>
    </w:p>
    <w:p>
      <w:pPr>
        <w:spacing w:line="520" w:lineRule="exact"/>
        <w:ind w:firstLine="280" w:firstLineChars="100"/>
        <w:jc w:val="center"/>
        <w:rPr>
          <w:rFonts w:ascii="宋体" w:hAnsi="宋体"/>
          <w:sz w:val="28"/>
        </w:rPr>
      </w:pPr>
      <w:r>
        <w:rPr>
          <w:rFonts w:hint="eastAsia" w:ascii="宋体" w:hAnsi="宋体"/>
          <w:sz w:val="28"/>
        </w:rPr>
        <w:t>十二、实地查勘期…………………………………………………（</w:t>
      </w:r>
      <w:r>
        <w:rPr>
          <w:rFonts w:ascii="宋体" w:hAnsi="宋体"/>
          <w:sz w:val="28"/>
        </w:rPr>
        <w:t>20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十三、估价作业期…………………………………………………（</w:t>
      </w:r>
      <w:r>
        <w:rPr>
          <w:rFonts w:ascii="宋体" w:hAnsi="宋体"/>
          <w:sz w:val="28"/>
        </w:rPr>
        <w:t>20</w:t>
      </w:r>
      <w:r>
        <w:rPr>
          <w:rFonts w:hint="eastAsia" w:ascii="宋体" w:hAnsi="宋体"/>
          <w:sz w:val="28"/>
        </w:rPr>
        <w:t>）</w:t>
      </w:r>
    </w:p>
    <w:p>
      <w:pPr>
        <w:spacing w:line="520" w:lineRule="exact"/>
        <w:jc w:val="center"/>
        <w:rPr>
          <w:rFonts w:ascii="宋体" w:hAnsi="宋体"/>
          <w:b/>
          <w:sz w:val="28"/>
        </w:rPr>
      </w:pPr>
      <w:r>
        <w:rPr>
          <w:rFonts w:hint="eastAsia" w:ascii="宋体" w:hAnsi="宋体"/>
          <w:b/>
          <w:sz w:val="28"/>
        </w:rPr>
        <w:t>附件……………………………………………………………………（</w:t>
      </w:r>
      <w:r>
        <w:rPr>
          <w:rFonts w:ascii="宋体" w:hAnsi="宋体"/>
          <w:b/>
          <w:sz w:val="28"/>
        </w:rPr>
        <w:t>21</w:t>
      </w:r>
      <w:r>
        <w:rPr>
          <w:rFonts w:hint="eastAsia" w:ascii="宋体" w:hAnsi="宋体"/>
          <w:b/>
          <w:sz w:val="28"/>
        </w:rPr>
        <w:t>）</w:t>
      </w:r>
    </w:p>
    <w:p>
      <w:pPr>
        <w:spacing w:line="520" w:lineRule="exact"/>
        <w:ind w:firstLine="700" w:firstLineChars="250"/>
        <w:rPr>
          <w:rFonts w:ascii="宋体" w:hAnsi="宋体"/>
          <w:sz w:val="28"/>
        </w:rPr>
      </w:pPr>
      <w:r>
        <w:rPr>
          <w:rFonts w:hint="eastAsia" w:ascii="宋体" w:hAnsi="宋体"/>
          <w:sz w:val="28"/>
        </w:rPr>
        <w:t>（一）估价对象位置图；</w:t>
      </w:r>
    </w:p>
    <w:p>
      <w:pPr>
        <w:spacing w:line="520" w:lineRule="exact"/>
        <w:ind w:firstLine="700" w:firstLineChars="250"/>
        <w:rPr>
          <w:rFonts w:ascii="宋体" w:hAnsi="宋体"/>
          <w:sz w:val="28"/>
        </w:rPr>
      </w:pPr>
      <w:r>
        <w:rPr>
          <w:rFonts w:hint="eastAsia" w:ascii="宋体" w:hAnsi="宋体"/>
          <w:sz w:val="28"/>
        </w:rPr>
        <w:t>（二）估价对象外部照片；</w:t>
      </w:r>
    </w:p>
    <w:p>
      <w:pPr>
        <w:spacing w:line="520" w:lineRule="exact"/>
        <w:ind w:firstLine="700" w:firstLineChars="250"/>
        <w:rPr>
          <w:rFonts w:ascii="宋体" w:hAnsi="宋体"/>
          <w:sz w:val="28"/>
        </w:rPr>
      </w:pPr>
      <w:r>
        <w:rPr>
          <w:rFonts w:hint="eastAsia" w:ascii="宋体" w:hAnsi="宋体"/>
          <w:sz w:val="28"/>
        </w:rPr>
        <w:t>（三）聊城市东昌府区人民法院委托书（复印件）；</w:t>
      </w:r>
    </w:p>
    <w:p>
      <w:pPr>
        <w:spacing w:line="520" w:lineRule="exact"/>
        <w:ind w:firstLine="700" w:firstLineChars="250"/>
        <w:rPr>
          <w:rFonts w:ascii="宋体" w:hAnsi="宋体"/>
          <w:sz w:val="28"/>
        </w:rPr>
      </w:pPr>
      <w:r>
        <w:rPr>
          <w:rFonts w:hint="eastAsia" w:ascii="宋体" w:hAnsi="宋体"/>
          <w:sz w:val="28"/>
        </w:rPr>
        <w:t>（四）</w:t>
      </w:r>
      <w:r>
        <w:rPr>
          <w:rFonts w:hint="eastAsia" w:ascii="宋体" w:hAnsi="宋体" w:cs="宋体"/>
          <w:sz w:val="28"/>
          <w:lang w:val="zh-CN"/>
        </w:rPr>
        <w:t>《</w:t>
      </w:r>
      <w:r>
        <w:rPr>
          <w:rFonts w:hint="eastAsia" w:ascii="宋体" w:hAnsi="宋体" w:cs="宋体"/>
          <w:color w:val="000000"/>
          <w:sz w:val="28"/>
        </w:rPr>
        <w:t>房屋所有权证</w:t>
      </w:r>
      <w:r>
        <w:rPr>
          <w:rFonts w:hint="eastAsia" w:ascii="宋体" w:hAnsi="宋体" w:cs="宋体"/>
          <w:sz w:val="28"/>
          <w:lang w:val="zh-CN"/>
        </w:rPr>
        <w:t>》</w:t>
      </w:r>
      <w:r>
        <w:rPr>
          <w:rFonts w:hint="eastAsia" w:ascii="宋体" w:hAnsi="宋体"/>
          <w:sz w:val="28"/>
        </w:rPr>
        <w:t>（复印件）；</w:t>
      </w:r>
    </w:p>
    <w:p>
      <w:pPr>
        <w:spacing w:line="520" w:lineRule="exact"/>
        <w:ind w:firstLine="700" w:firstLineChars="250"/>
        <w:rPr>
          <w:rFonts w:ascii="宋体" w:hAnsi="宋体"/>
          <w:sz w:val="28"/>
        </w:rPr>
      </w:pPr>
      <w:r>
        <w:rPr>
          <w:rFonts w:hint="eastAsia" w:ascii="宋体" w:hAnsi="宋体"/>
          <w:sz w:val="28"/>
        </w:rPr>
        <w:t>（五）房地产估价机构营业执照（复印件）；</w:t>
      </w:r>
    </w:p>
    <w:p>
      <w:pPr>
        <w:spacing w:line="520" w:lineRule="exact"/>
        <w:ind w:firstLine="700" w:firstLineChars="250"/>
        <w:rPr>
          <w:rFonts w:ascii="宋体" w:hAnsi="宋体"/>
          <w:sz w:val="28"/>
        </w:rPr>
      </w:pPr>
      <w:r>
        <w:rPr>
          <w:rFonts w:hint="eastAsia" w:ascii="宋体" w:hAnsi="宋体"/>
          <w:sz w:val="28"/>
        </w:rPr>
        <w:t>（六）房地产估价机构资质证书（复印件）；</w:t>
      </w:r>
    </w:p>
    <w:p>
      <w:pPr>
        <w:spacing w:line="520" w:lineRule="exact"/>
        <w:ind w:firstLine="700" w:firstLineChars="250"/>
        <w:rPr>
          <w:rFonts w:ascii="宋体" w:hAnsi="宋体"/>
          <w:sz w:val="28"/>
        </w:rPr>
      </w:pPr>
      <w:r>
        <w:rPr>
          <w:rFonts w:hint="eastAsia" w:ascii="宋体" w:hAnsi="宋体"/>
          <w:sz w:val="28"/>
        </w:rPr>
        <w:t>（七）房地产估价师注册证书（复印件）。</w:t>
      </w:r>
    </w:p>
    <w:p>
      <w:pPr>
        <w:spacing w:line="520" w:lineRule="exact"/>
        <w:ind w:firstLine="700" w:firstLineChars="250"/>
        <w:rPr>
          <w:rFonts w:ascii="宋体" w:hAnsi="宋体"/>
          <w:sz w:val="28"/>
        </w:rPr>
      </w:pPr>
    </w:p>
    <w:p>
      <w:pPr>
        <w:pStyle w:val="49"/>
        <w:spacing w:before="0" w:line="480" w:lineRule="exact"/>
        <w:jc w:val="center"/>
        <w:rPr>
          <w:rFonts w:ascii="宋体" w:hAnsi="宋体"/>
          <w:b/>
          <w:color w:val="auto"/>
          <w:sz w:val="36"/>
          <w:szCs w:val="36"/>
          <w:lang w:val="zh-CN"/>
        </w:rPr>
      </w:pPr>
      <w:r>
        <w:rPr>
          <w:rFonts w:hint="eastAsia" w:ascii="宋体" w:hAnsi="宋体"/>
          <w:b/>
          <w:color w:val="auto"/>
          <w:sz w:val="36"/>
          <w:szCs w:val="36"/>
          <w:lang w:val="zh-CN"/>
        </w:rPr>
        <w:t>估 价 师 声 明</w:t>
      </w:r>
      <w:bookmarkEnd w:id="0"/>
      <w:bookmarkEnd w:id="1"/>
      <w:bookmarkEnd w:id="2"/>
      <w:bookmarkEnd w:id="3"/>
      <w:bookmarkEnd w:id="4"/>
      <w:bookmarkEnd w:id="5"/>
    </w:p>
    <w:p>
      <w:pPr>
        <w:spacing w:line="480" w:lineRule="exact"/>
        <w:rPr>
          <w:rFonts w:ascii="宋体" w:hAnsi="宋体"/>
          <w:sz w:val="28"/>
          <w:szCs w:val="28"/>
        </w:rPr>
      </w:pPr>
      <w:r>
        <w:rPr>
          <w:rFonts w:hint="eastAsia" w:ascii="宋体" w:hAnsi="宋体"/>
          <w:b/>
          <w:color w:val="000000"/>
          <w:sz w:val="28"/>
          <w:szCs w:val="28"/>
        </w:rPr>
        <w:t>注册房地产估价师根据自己的专业知识和职业道德，在此郑重声明：</w:t>
      </w:r>
    </w:p>
    <w:p>
      <w:pPr>
        <w:spacing w:line="480" w:lineRule="exact"/>
        <w:ind w:firstLine="560" w:firstLineChars="200"/>
        <w:rPr>
          <w:rFonts w:ascii="宋体" w:hAnsi="宋体"/>
          <w:sz w:val="28"/>
          <w:szCs w:val="28"/>
        </w:rPr>
      </w:pPr>
      <w:r>
        <w:rPr>
          <w:rFonts w:hint="eastAsia" w:ascii="宋体" w:hAnsi="宋体"/>
          <w:sz w:val="28"/>
          <w:szCs w:val="28"/>
        </w:rPr>
        <w:t>1、注册房地产估价师在估价报告中对事实的说明是真实和准确的，没有虚假记载、误导性陈述和重大遗漏。</w:t>
      </w:r>
    </w:p>
    <w:p>
      <w:pPr>
        <w:spacing w:line="480" w:lineRule="exact"/>
        <w:ind w:firstLine="560" w:firstLineChars="200"/>
        <w:rPr>
          <w:rFonts w:ascii="宋体" w:hAnsi="宋体"/>
          <w:sz w:val="28"/>
          <w:szCs w:val="28"/>
        </w:rPr>
      </w:pPr>
      <w:r>
        <w:rPr>
          <w:rFonts w:hint="eastAsia" w:ascii="宋体" w:hAnsi="宋体"/>
          <w:sz w:val="28"/>
          <w:szCs w:val="28"/>
        </w:rPr>
        <w:t>2、估价报告中的分析、意见和结论是注册房地产估价师独立、客观、公正的专业分析、意见和结论，但受到估价报告中已说明的估价假设和限制条件的限制。</w:t>
      </w:r>
    </w:p>
    <w:p>
      <w:pPr>
        <w:spacing w:line="480" w:lineRule="exact"/>
        <w:ind w:firstLine="560" w:firstLineChars="200"/>
        <w:rPr>
          <w:rFonts w:ascii="宋体" w:hAnsi="宋体"/>
          <w:sz w:val="28"/>
          <w:szCs w:val="28"/>
        </w:rPr>
      </w:pPr>
      <w:r>
        <w:rPr>
          <w:rFonts w:hint="eastAsia" w:ascii="宋体" w:hAnsi="宋体"/>
          <w:sz w:val="28"/>
          <w:szCs w:val="28"/>
        </w:rPr>
        <w:t>3、注册房地产估价师与估价报告中的估价对象没有现实或潜在的利益，与估价委托人及估价利益关系人没有利害关系，也对估价对象、估价委托人及估价利害关系人没有偏见。</w:t>
      </w:r>
    </w:p>
    <w:p>
      <w:pPr>
        <w:adjustRightInd w:val="0"/>
        <w:snapToGrid w:val="0"/>
        <w:spacing w:line="480" w:lineRule="exact"/>
        <w:ind w:firstLine="560" w:firstLineChars="200"/>
        <w:rPr>
          <w:rFonts w:ascii="宋体" w:hAnsi="宋体"/>
          <w:color w:val="000000"/>
          <w:sz w:val="28"/>
          <w:szCs w:val="28"/>
        </w:rPr>
      </w:pPr>
      <w:r>
        <w:rPr>
          <w:rFonts w:hint="eastAsia" w:ascii="宋体" w:hAnsi="宋体"/>
          <w:sz w:val="28"/>
          <w:szCs w:val="28"/>
        </w:rPr>
        <w:t>4、</w:t>
      </w:r>
      <w:r>
        <w:rPr>
          <w:rFonts w:hint="eastAsia" w:ascii="宋体" w:hAnsi="宋体"/>
          <w:color w:val="000000"/>
          <w:sz w:val="28"/>
          <w:szCs w:val="28"/>
        </w:rPr>
        <w:t>注册房地产估价师依照中华人民共和国国家标准《房地产估价规范》（GB/T50291-2015）、《房地产估价基本术语标准》（GB/T50</w:t>
      </w:r>
      <w:r>
        <w:rPr>
          <w:rFonts w:ascii="宋体" w:hAnsi="宋体"/>
          <w:color w:val="000000"/>
          <w:sz w:val="28"/>
          <w:szCs w:val="28"/>
        </w:rPr>
        <w:t>899</w:t>
      </w:r>
      <w:r>
        <w:rPr>
          <w:rFonts w:hint="eastAsia" w:ascii="宋体" w:hAnsi="宋体"/>
          <w:color w:val="000000"/>
          <w:sz w:val="28"/>
          <w:szCs w:val="28"/>
        </w:rPr>
        <w:t>1-201</w:t>
      </w:r>
      <w:r>
        <w:rPr>
          <w:rFonts w:ascii="宋体" w:hAnsi="宋体"/>
          <w:color w:val="000000"/>
          <w:sz w:val="28"/>
          <w:szCs w:val="28"/>
        </w:rPr>
        <w:t>3</w:t>
      </w:r>
      <w:r>
        <w:rPr>
          <w:rFonts w:hint="eastAsia" w:ascii="宋体" w:hAnsi="宋体"/>
          <w:color w:val="000000"/>
          <w:sz w:val="28"/>
          <w:szCs w:val="28"/>
        </w:rPr>
        <w:t>）以及相关房地产估价专项标准进行分析，形成意见和结论，撰写估价报告。</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5、注册房地产估价师马舒然</w:t>
      </w:r>
      <w:r>
        <w:rPr>
          <w:rFonts w:hint="eastAsia" w:ascii="宋体" w:hAnsi="宋体"/>
          <w:sz w:val="28"/>
          <w:szCs w:val="28"/>
        </w:rPr>
        <w:t>于2022年10月11日</w:t>
      </w:r>
      <w:r>
        <w:rPr>
          <w:rFonts w:hint="eastAsia" w:ascii="宋体" w:hAnsi="宋体"/>
          <w:color w:val="000000"/>
          <w:sz w:val="28"/>
          <w:szCs w:val="28"/>
        </w:rPr>
        <w:t>对本估价报告中的估价对象进行了实地查勘并</w:t>
      </w:r>
      <w:r>
        <w:rPr>
          <w:rFonts w:ascii="宋体" w:hAnsi="宋体"/>
          <w:color w:val="000000"/>
          <w:sz w:val="28"/>
          <w:szCs w:val="28"/>
        </w:rPr>
        <w:t>进行记录</w:t>
      </w:r>
      <w:r>
        <w:rPr>
          <w:rFonts w:hint="eastAsia" w:ascii="宋体" w:hAnsi="宋体"/>
          <w:color w:val="000000"/>
          <w:sz w:val="28"/>
          <w:szCs w:val="28"/>
        </w:rPr>
        <w:t>。对</w:t>
      </w:r>
      <w:r>
        <w:rPr>
          <w:rFonts w:ascii="宋体" w:hAnsi="宋体"/>
          <w:color w:val="000000"/>
          <w:sz w:val="28"/>
          <w:szCs w:val="28"/>
        </w:rPr>
        <w:t>估价对象的查勘限于外观</w:t>
      </w:r>
      <w:r>
        <w:rPr>
          <w:rFonts w:hint="eastAsia" w:ascii="宋体" w:hAnsi="宋体"/>
          <w:color w:val="000000"/>
          <w:sz w:val="28"/>
          <w:szCs w:val="28"/>
        </w:rPr>
        <w:t>状况与目前</w:t>
      </w:r>
      <w:r>
        <w:rPr>
          <w:rFonts w:ascii="宋体" w:hAnsi="宋体"/>
          <w:color w:val="000000"/>
          <w:sz w:val="28"/>
          <w:szCs w:val="28"/>
        </w:rPr>
        <w:t>维护</w:t>
      </w:r>
      <w:r>
        <w:rPr>
          <w:rFonts w:hint="eastAsia" w:ascii="宋体" w:hAnsi="宋体"/>
          <w:color w:val="000000"/>
          <w:sz w:val="28"/>
          <w:szCs w:val="28"/>
        </w:rPr>
        <w:t>使用</w:t>
      </w:r>
      <w:r>
        <w:rPr>
          <w:rFonts w:ascii="宋体" w:hAnsi="宋体"/>
          <w:color w:val="000000"/>
          <w:sz w:val="28"/>
          <w:szCs w:val="28"/>
        </w:rPr>
        <w:t>状况，</w:t>
      </w:r>
      <w:r>
        <w:rPr>
          <w:rFonts w:hint="eastAsia" w:ascii="宋体" w:hAnsi="宋体"/>
          <w:color w:val="000000"/>
          <w:sz w:val="28"/>
          <w:szCs w:val="28"/>
        </w:rPr>
        <w:t>注册房地产估价师不承担对估价对象建筑结构、质量进行调查的责任，也不承担对其他未暴露及难于接触到的部分进行查勘的责任。</w:t>
      </w:r>
    </w:p>
    <w:p>
      <w:pPr>
        <w:spacing w:line="48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、没有人对本估价报告提供重要专业帮助，本估价报告由山东成达土地房地产资产评估测绘有限公司负责解释。</w:t>
      </w:r>
    </w:p>
    <w:p>
      <w:pPr>
        <w:spacing w:line="480" w:lineRule="exact"/>
        <w:ind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、使用本报告，请注意估价假设和限制条件及报告说明。</w:t>
      </w:r>
    </w:p>
    <w:p>
      <w:pPr>
        <w:spacing w:line="480" w:lineRule="exact"/>
        <w:ind w:firstLine="562" w:firstLineChars="200"/>
        <w:rPr>
          <w:rFonts w:ascii="宋体" w:hAnsi="宋体"/>
          <w:b/>
          <w:color w:val="000000"/>
          <w:sz w:val="28"/>
          <w:szCs w:val="28"/>
        </w:rPr>
      </w:pPr>
      <w:r>
        <w:rPr>
          <w:rFonts w:hint="eastAsia" w:ascii="宋体" w:hAnsi="宋体"/>
          <w:b/>
          <w:color w:val="000000"/>
          <w:sz w:val="28"/>
          <w:szCs w:val="28"/>
        </w:rPr>
        <w:t xml:space="preserve">注册房地产估价师：  </w:t>
      </w:r>
    </w:p>
    <w:tbl>
      <w:tblPr>
        <w:tblStyle w:val="20"/>
        <w:tblW w:w="906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2822"/>
        <w:gridCol w:w="36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2619"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822"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3625"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盖章签名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5" w:hRule="atLeast"/>
          <w:jc w:val="center"/>
        </w:trPr>
        <w:tc>
          <w:tcPr>
            <w:tcW w:w="2619"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2822" w:type="dxa"/>
            <w:vAlign w:val="center"/>
          </w:tcPr>
          <w:p>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3625" w:type="dxa"/>
            <w:vAlign w:val="center"/>
          </w:tcPr>
          <w:p>
            <w:pPr>
              <w:spacing w:line="600" w:lineRule="exact"/>
              <w:rPr>
                <w:rFonts w:ascii="宋体" w:hAnsi="宋体"/>
                <w:color w:val="00000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5" w:hRule="atLeast"/>
          <w:jc w:val="center"/>
        </w:trPr>
        <w:tc>
          <w:tcPr>
            <w:tcW w:w="2619"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马舒然</w:t>
            </w:r>
          </w:p>
        </w:tc>
        <w:tc>
          <w:tcPr>
            <w:tcW w:w="2822" w:type="dxa"/>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3720210044</w:t>
            </w:r>
          </w:p>
        </w:tc>
        <w:tc>
          <w:tcPr>
            <w:tcW w:w="3625" w:type="dxa"/>
            <w:vAlign w:val="center"/>
          </w:tcPr>
          <w:p>
            <w:pPr>
              <w:spacing w:line="600" w:lineRule="exact"/>
              <w:rPr>
                <w:rFonts w:ascii="宋体" w:hAnsi="宋体"/>
                <w:color w:val="000000"/>
                <w:sz w:val="28"/>
                <w:szCs w:val="28"/>
              </w:rPr>
            </w:pPr>
          </w:p>
        </w:tc>
      </w:tr>
    </w:tbl>
    <w:p>
      <w:pPr>
        <w:spacing w:line="560" w:lineRule="exact"/>
        <w:jc w:val="center"/>
        <w:rPr>
          <w:sz w:val="28"/>
        </w:rPr>
      </w:pPr>
      <w:r>
        <w:rPr>
          <w:rFonts w:hint="eastAsia" w:ascii="宋体" w:hAnsi="宋体"/>
          <w:b/>
          <w:sz w:val="36"/>
          <w:szCs w:val="36"/>
          <w:lang w:val="zh-CN"/>
        </w:rPr>
        <w:t>估价假设和限制条件</w:t>
      </w:r>
    </w:p>
    <w:p>
      <w:pPr>
        <w:pStyle w:val="57"/>
        <w:numPr>
          <w:ilvl w:val="0"/>
          <w:numId w:val="1"/>
        </w:numPr>
        <w:spacing w:line="540" w:lineRule="exact"/>
        <w:ind w:firstLineChars="0"/>
        <w:rPr>
          <w:rFonts w:ascii="宋体" w:hAnsi="宋体"/>
          <w:color w:val="000000"/>
          <w:sz w:val="28"/>
          <w:szCs w:val="28"/>
        </w:rPr>
      </w:pPr>
      <w:r>
        <w:rPr>
          <w:rFonts w:hint="eastAsia" w:ascii="宋体" w:hAnsi="宋体"/>
          <w:color w:val="000000"/>
          <w:sz w:val="28"/>
          <w:szCs w:val="28"/>
        </w:rPr>
        <w:t>本次估价的一般假设</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（1）估价委托人提供了估价对象的</w:t>
      </w:r>
      <w:r>
        <w:rPr>
          <w:rFonts w:hint="eastAsia" w:ascii="宋体" w:hAnsi="宋体"/>
          <w:sz w:val="28"/>
        </w:rPr>
        <w:t>房屋所有权证复印件</w:t>
      </w:r>
      <w:r>
        <w:rPr>
          <w:rFonts w:hint="eastAsia" w:ascii="宋体" w:hAnsi="宋体"/>
          <w:color w:val="000000"/>
          <w:sz w:val="28"/>
          <w:szCs w:val="28"/>
        </w:rPr>
        <w:t>，在无理由怀疑其合法性、真实性、准确性和完整性的情况下，假定估价委托人提供的资料合法、真实、准确、完整。</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（3）注册房地产估价师未对房屋建筑面积进行专业测量，本次评估以</w:t>
      </w:r>
      <w:r>
        <w:rPr>
          <w:rFonts w:ascii="宋体" w:hAnsi="宋体"/>
          <w:sz w:val="28"/>
        </w:rPr>
        <w:t>房屋所有权证</w:t>
      </w:r>
      <w:r>
        <w:rPr>
          <w:rFonts w:hint="eastAsia" w:ascii="宋体" w:hAnsi="宋体"/>
          <w:color w:val="000000"/>
          <w:sz w:val="28"/>
          <w:szCs w:val="28"/>
        </w:rPr>
        <w:t>记载建筑面积为准。</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（4）注册房地产估价师未对估价对象做建筑物基础和结构上的测量和实验，本次估价假设估价对象无基础、结构等方面的重大质量问题，并对此假设前提不承担相应责任。</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）估价对象在价值时点的房地产市场为公开、平等、自愿的交易市场，即能满足以下条件：</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①交易双方自愿地进行交易；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②交易双方处于利己动机进行交易；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③交易双方精明、谨慎行事，并了解交易对象、知晓市场行情；</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④交易双方有较充裕的时间进行交易；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⑤不存在买者因特殊兴趣而给予附加出价。</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（6）估价对象为整体房地产中（东方家园小区9号楼）的一部分，估价对象享有公共部位的通行权及水电等共用设施的使用权。</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）因估价委托人</w:t>
      </w:r>
      <w:r>
        <w:rPr>
          <w:rFonts w:hint="eastAsia" w:asciiTheme="majorEastAsia" w:hAnsiTheme="majorEastAsia" w:eastAsiaTheme="majorEastAsia"/>
          <w:sz w:val="28"/>
          <w:szCs w:val="28"/>
        </w:rPr>
        <w:t>未明确估价对象存在租赁权及占有使用情况</w:t>
      </w:r>
      <w:r>
        <w:rPr>
          <w:rFonts w:hint="eastAsia" w:ascii="宋体" w:hAnsi="宋体"/>
          <w:color w:val="000000"/>
          <w:sz w:val="28"/>
          <w:szCs w:val="28"/>
        </w:rPr>
        <w:t>，房地产估价机构</w:t>
      </w:r>
      <w:r>
        <w:rPr>
          <w:rFonts w:hint="eastAsia" w:asciiTheme="majorEastAsia" w:hAnsiTheme="majorEastAsia" w:eastAsiaTheme="majorEastAsia"/>
          <w:sz w:val="28"/>
          <w:szCs w:val="28"/>
        </w:rPr>
        <w:t>经过尽职调查后也未发现、掌握相关情况</w:t>
      </w:r>
      <w:r>
        <w:rPr>
          <w:rFonts w:hint="eastAsia" w:ascii="宋体" w:hAnsi="宋体"/>
          <w:color w:val="000000"/>
          <w:sz w:val="28"/>
          <w:szCs w:val="28"/>
        </w:rPr>
        <w:t>。本次评估假定估价对象不</w:t>
      </w:r>
      <w:r>
        <w:rPr>
          <w:rFonts w:hint="eastAsia" w:asciiTheme="majorEastAsia" w:hAnsiTheme="majorEastAsia" w:eastAsiaTheme="majorEastAsia"/>
          <w:sz w:val="28"/>
          <w:szCs w:val="28"/>
        </w:rPr>
        <w:t>存在租赁权及占有使用情况</w:t>
      </w:r>
      <w:r>
        <w:rPr>
          <w:rFonts w:hint="eastAsia" w:ascii="宋体" w:hAnsi="宋体"/>
          <w:color w:val="000000"/>
          <w:sz w:val="28"/>
          <w:szCs w:val="28"/>
        </w:rPr>
        <w:t>等限制。</w:t>
      </w:r>
    </w:p>
    <w:p>
      <w:pPr>
        <w:spacing w:line="540" w:lineRule="exact"/>
        <w:ind w:firstLine="420" w:firstLineChars="150"/>
        <w:rPr>
          <w:rFonts w:ascii="宋体" w:hAnsi="宋体" w:cs="宋体"/>
          <w:sz w:val="28"/>
          <w:szCs w:val="28"/>
        </w:rPr>
      </w:pPr>
      <w:r>
        <w:rPr>
          <w:rFonts w:hint="eastAsia" w:ascii="宋体" w:hAnsi="宋体"/>
          <w:color w:val="000000"/>
          <w:sz w:val="28"/>
          <w:szCs w:val="28"/>
        </w:rPr>
        <w:t>（</w:t>
      </w:r>
      <w:r>
        <w:rPr>
          <w:rFonts w:ascii="宋体" w:hAnsi="宋体"/>
          <w:color w:val="000000"/>
          <w:sz w:val="28"/>
          <w:szCs w:val="28"/>
        </w:rPr>
        <w:t>8</w:t>
      </w:r>
      <w:r>
        <w:rPr>
          <w:rFonts w:hint="eastAsia" w:ascii="宋体" w:hAnsi="宋体"/>
          <w:color w:val="000000"/>
          <w:sz w:val="28"/>
          <w:szCs w:val="28"/>
        </w:rPr>
        <w:t>）</w:t>
      </w:r>
      <w:r>
        <w:rPr>
          <w:rFonts w:hint="eastAsia" w:ascii="宋体" w:hAnsi="宋体" w:cs="宋体"/>
          <w:sz w:val="28"/>
          <w:szCs w:val="28"/>
        </w:rPr>
        <w:t>估价委托人</w:t>
      </w:r>
      <w:r>
        <w:rPr>
          <w:rFonts w:hint="eastAsia" w:asciiTheme="majorEastAsia" w:hAnsiTheme="majorEastAsia" w:eastAsiaTheme="majorEastAsia"/>
          <w:color w:val="000000"/>
          <w:sz w:val="28"/>
          <w:szCs w:val="28"/>
        </w:rPr>
        <w:t>未明确估价对象存在欠缴税金及相关费用，包括税收、物业费、供暖费、水电气费等及其滞纳金，</w:t>
      </w:r>
      <w:r>
        <w:rPr>
          <w:rFonts w:hint="eastAsia" w:ascii="宋体" w:hAnsi="宋体" w:cs="宋体"/>
          <w:sz w:val="28"/>
          <w:szCs w:val="28"/>
        </w:rPr>
        <w:t>本次评估假定估价对象</w:t>
      </w:r>
      <w:r>
        <w:rPr>
          <w:rFonts w:ascii="宋体" w:hAnsi="宋体" w:cs="宋体"/>
          <w:sz w:val="28"/>
          <w:szCs w:val="28"/>
        </w:rPr>
        <w:t>不存在</w:t>
      </w:r>
      <w:r>
        <w:rPr>
          <w:rFonts w:hint="eastAsia" w:asciiTheme="majorEastAsia" w:hAnsiTheme="majorEastAsia" w:eastAsiaTheme="majorEastAsia"/>
          <w:color w:val="000000"/>
          <w:sz w:val="28"/>
          <w:szCs w:val="28"/>
        </w:rPr>
        <w:t>欠缴税金及相关费用</w:t>
      </w:r>
      <w:r>
        <w:rPr>
          <w:rFonts w:hint="eastAsia" w:ascii="宋体" w:hAnsi="宋体" w:cs="宋体"/>
          <w:sz w:val="28"/>
          <w:szCs w:val="28"/>
        </w:rPr>
        <w:t>，请报告使用人注意。</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2、未定事项假设</w:t>
      </w:r>
    </w:p>
    <w:p>
      <w:pPr>
        <w:spacing w:line="540" w:lineRule="exact"/>
        <w:ind w:firstLine="560" w:firstLineChars="200"/>
        <w:rPr>
          <w:rFonts w:hint="eastAsia" w:ascii="宋体" w:hAnsi="宋体"/>
          <w:color w:val="000000"/>
          <w:sz w:val="28"/>
          <w:szCs w:val="28"/>
        </w:rPr>
      </w:pPr>
      <w:r>
        <w:rPr>
          <w:rFonts w:hint="eastAsia" w:ascii="宋体" w:hAnsi="宋体"/>
          <w:color w:val="000000"/>
          <w:sz w:val="28"/>
          <w:szCs w:val="28"/>
        </w:rPr>
        <w:t>无未定事项假设。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3、背离事实假设</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（1）本次评估未考虑估价对象抵押、查封以及原有担保物权和其他优先受偿权对价值的影响。</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（2）本次评估未考虑评估费、拍卖费、诉讼费、律师费、办理产权证书等财产处置费用对价值的影响。</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4、不相一致假设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估价对象房产分户图</w:t>
      </w:r>
      <w:r>
        <w:rPr>
          <w:rFonts w:ascii="宋体" w:hAnsi="宋体"/>
          <w:color w:val="000000"/>
          <w:sz w:val="28"/>
          <w:szCs w:val="28"/>
        </w:rPr>
        <w:t>记载住宅建成</w:t>
      </w:r>
      <w:r>
        <w:rPr>
          <w:rFonts w:hint="eastAsia" w:ascii="宋体" w:hAnsi="宋体"/>
          <w:color w:val="000000"/>
          <w:sz w:val="28"/>
          <w:szCs w:val="28"/>
        </w:rPr>
        <w:t>年份</w:t>
      </w:r>
      <w:r>
        <w:rPr>
          <w:rFonts w:ascii="宋体" w:hAnsi="宋体"/>
          <w:color w:val="000000"/>
          <w:sz w:val="28"/>
          <w:szCs w:val="28"/>
        </w:rPr>
        <w:t>为</w:t>
      </w:r>
      <w:r>
        <w:rPr>
          <w:rFonts w:hint="eastAsia" w:ascii="宋体" w:hAnsi="宋体"/>
          <w:color w:val="000000"/>
          <w:sz w:val="28"/>
          <w:szCs w:val="28"/>
        </w:rPr>
        <w:t>2007年，</w:t>
      </w:r>
      <w:r>
        <w:rPr>
          <w:rFonts w:ascii="宋体" w:hAnsi="宋体"/>
          <w:color w:val="000000"/>
          <w:sz w:val="28"/>
          <w:szCs w:val="28"/>
        </w:rPr>
        <w:t>储藏室建成</w:t>
      </w:r>
      <w:r>
        <w:rPr>
          <w:rFonts w:hint="eastAsia" w:ascii="宋体" w:hAnsi="宋体"/>
          <w:color w:val="000000"/>
          <w:sz w:val="28"/>
          <w:szCs w:val="28"/>
        </w:rPr>
        <w:t>年份为2004年</w:t>
      </w:r>
      <w:r>
        <w:rPr>
          <w:rFonts w:ascii="宋体" w:hAnsi="宋体"/>
          <w:color w:val="000000"/>
          <w:sz w:val="28"/>
          <w:szCs w:val="28"/>
        </w:rPr>
        <w:t>，两处记载建成年代不一致，本次评估</w:t>
      </w:r>
      <w:r>
        <w:rPr>
          <w:rFonts w:hint="eastAsia" w:ascii="宋体" w:hAnsi="宋体"/>
          <w:color w:val="000000"/>
          <w:sz w:val="28"/>
          <w:szCs w:val="28"/>
        </w:rPr>
        <w:t>以房产分户平面图各自</w:t>
      </w:r>
      <w:r>
        <w:rPr>
          <w:rFonts w:ascii="宋体" w:hAnsi="宋体"/>
          <w:color w:val="000000"/>
          <w:sz w:val="28"/>
          <w:szCs w:val="28"/>
        </w:rPr>
        <w:t>记载</w:t>
      </w:r>
      <w:r>
        <w:rPr>
          <w:rFonts w:hint="eastAsia" w:ascii="宋体" w:hAnsi="宋体"/>
          <w:color w:val="000000"/>
          <w:sz w:val="28"/>
          <w:szCs w:val="28"/>
        </w:rPr>
        <w:t>建成年代</w:t>
      </w:r>
      <w:r>
        <w:rPr>
          <w:rFonts w:ascii="宋体" w:hAnsi="宋体"/>
          <w:color w:val="000000"/>
          <w:sz w:val="28"/>
          <w:szCs w:val="28"/>
        </w:rPr>
        <w:t>为准</w:t>
      </w:r>
      <w:r>
        <w:rPr>
          <w:rFonts w:ascii="宋体" w:hAnsi="宋体"/>
          <w:sz w:val="28"/>
        </w:rPr>
        <w:t>。</w:t>
      </w:r>
    </w:p>
    <w:p>
      <w:pPr>
        <w:spacing w:line="540" w:lineRule="exact"/>
        <w:ind w:firstLine="560" w:firstLineChars="200"/>
        <w:rPr>
          <w:rFonts w:ascii="宋体" w:hAnsi="宋体"/>
          <w:sz w:val="28"/>
          <w:szCs w:val="28"/>
        </w:rPr>
      </w:pPr>
      <w:r>
        <w:rPr>
          <w:rFonts w:hint="eastAsia" w:ascii="宋体" w:hAnsi="宋体"/>
          <w:sz w:val="28"/>
          <w:szCs w:val="28"/>
        </w:rPr>
        <w:t>5、依据不足假设</w:t>
      </w:r>
    </w:p>
    <w:p>
      <w:pPr>
        <w:spacing w:line="540" w:lineRule="exact"/>
        <w:ind w:firstLine="420" w:firstLineChars="150"/>
        <w:rPr>
          <w:rFonts w:ascii="宋体" w:hAns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）估价委托人未提供</w:t>
      </w:r>
      <w:r>
        <w:rPr>
          <w:rFonts w:ascii="宋体" w:hAnsi="宋体" w:cs="宋体"/>
          <w:sz w:val="28"/>
          <w:szCs w:val="28"/>
        </w:rPr>
        <w:t>估价对象</w:t>
      </w:r>
      <w:r>
        <w:rPr>
          <w:rFonts w:hint="eastAsia" w:ascii="宋体" w:hAnsi="宋体" w:cs="宋体"/>
          <w:sz w:val="28"/>
          <w:szCs w:val="28"/>
        </w:rPr>
        <w:t>房屋所有权证</w:t>
      </w:r>
      <w:r>
        <w:rPr>
          <w:rFonts w:ascii="宋体" w:hAnsi="宋体" w:cs="宋体"/>
          <w:sz w:val="28"/>
          <w:szCs w:val="28"/>
        </w:rPr>
        <w:t>原件</w:t>
      </w:r>
      <w:r>
        <w:rPr>
          <w:rFonts w:hint="eastAsia" w:ascii="宋体" w:hAnsi="宋体" w:cs="宋体"/>
          <w:sz w:val="28"/>
          <w:szCs w:val="28"/>
        </w:rPr>
        <w:t>供</w:t>
      </w:r>
      <w:r>
        <w:rPr>
          <w:rFonts w:ascii="宋体" w:hAnsi="宋体" w:cs="宋体"/>
          <w:sz w:val="28"/>
          <w:szCs w:val="28"/>
        </w:rPr>
        <w:t>估价人员核查，估价数据来源于估价委托人提供的</w:t>
      </w:r>
      <w:r>
        <w:rPr>
          <w:rFonts w:hint="eastAsia" w:ascii="宋体" w:hAnsi="宋体"/>
          <w:sz w:val="28"/>
        </w:rPr>
        <w:t>房屋所有权证复印件，本次评估假定估价对象</w:t>
      </w:r>
      <w:r>
        <w:rPr>
          <w:rFonts w:hint="eastAsia" w:ascii="宋体" w:hAnsi="宋体" w:cs="宋体"/>
          <w:sz w:val="28"/>
          <w:szCs w:val="28"/>
        </w:rPr>
        <w:t>房屋所有权证复印件与房屋所有权证</w:t>
      </w:r>
      <w:r>
        <w:rPr>
          <w:rFonts w:ascii="宋体" w:hAnsi="宋体" w:cs="宋体"/>
          <w:sz w:val="28"/>
          <w:szCs w:val="28"/>
        </w:rPr>
        <w:t>原件</w:t>
      </w:r>
      <w:r>
        <w:rPr>
          <w:rFonts w:hint="eastAsia" w:ascii="宋体" w:hAnsi="宋体"/>
          <w:sz w:val="28"/>
        </w:rPr>
        <w:t>一致</w:t>
      </w:r>
      <w:r>
        <w:rPr>
          <w:rFonts w:hint="eastAsia" w:ascii="宋体" w:hAnsi="宋体" w:cs="宋体"/>
          <w:sz w:val="28"/>
          <w:szCs w:val="28"/>
        </w:rPr>
        <w:t>。</w:t>
      </w:r>
    </w:p>
    <w:p>
      <w:pPr>
        <w:spacing w:line="540" w:lineRule="exact"/>
        <w:ind w:firstLine="420" w:firstLineChars="150"/>
        <w:rPr>
          <w:rFonts w:ascii="宋体" w:hAns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）根据估价委托人提供的《房屋所有权证》确定估价对象附带两处储藏室，现场查勘未能明确两处储藏室具体位置，根据聊城市东昌府区</w:t>
      </w:r>
      <w:r>
        <w:rPr>
          <w:rFonts w:ascii="宋体" w:hAnsi="宋体" w:cs="宋体"/>
          <w:sz w:val="28"/>
          <w:szCs w:val="28"/>
        </w:rPr>
        <w:t>人民法院要求，本次评估</w:t>
      </w:r>
      <w:r>
        <w:rPr>
          <w:rFonts w:hint="eastAsia" w:ascii="宋体" w:hAnsi="宋体" w:cs="宋体"/>
          <w:sz w:val="28"/>
          <w:szCs w:val="28"/>
        </w:rPr>
        <w:t>两处</w:t>
      </w:r>
      <w:r>
        <w:rPr>
          <w:rFonts w:ascii="宋体" w:hAnsi="宋体" w:cs="宋体"/>
          <w:sz w:val="28"/>
          <w:szCs w:val="28"/>
        </w:rPr>
        <w:t>储藏室价值，</w:t>
      </w:r>
      <w:r>
        <w:rPr>
          <w:rFonts w:hint="eastAsia" w:ascii="宋体" w:hAnsi="宋体" w:cs="宋体"/>
          <w:sz w:val="28"/>
          <w:szCs w:val="28"/>
        </w:rPr>
        <w:t>特提请报告使用人注意。</w:t>
      </w:r>
    </w:p>
    <w:p>
      <w:pPr>
        <w:spacing w:line="540" w:lineRule="exact"/>
        <w:ind w:firstLine="420" w:firstLineChars="150"/>
        <w:rPr>
          <w:rFonts w:ascii="宋体" w:hAnsi="宋体" w:cs="宋体"/>
          <w:sz w:val="28"/>
          <w:szCs w:val="28"/>
        </w:rPr>
      </w:pPr>
      <w:r>
        <w:rPr>
          <w:rFonts w:hint="eastAsia" w:ascii="宋体" w:hAnsi="宋体" w:cs="宋体"/>
          <w:sz w:val="28"/>
          <w:szCs w:val="28"/>
        </w:rPr>
        <w:t>（3）因当事人原因，注册房地产估价师未能进入估价对象内部进行查勘，本次评估假定估价对象内部为简单装修，请报告使用人注意。</w:t>
      </w:r>
    </w:p>
    <w:p>
      <w:pPr>
        <w:spacing w:line="540" w:lineRule="exact"/>
        <w:rPr>
          <w:rFonts w:ascii="宋体" w:hAnsi="宋体"/>
          <w:color w:val="000000"/>
          <w:sz w:val="28"/>
          <w:szCs w:val="28"/>
        </w:rPr>
      </w:pPr>
      <w:r>
        <w:rPr>
          <w:rFonts w:hint="eastAsia" w:ascii="宋体" w:hAnsi="宋体"/>
          <w:color w:val="000000"/>
          <w:sz w:val="28"/>
          <w:szCs w:val="28"/>
        </w:rPr>
        <w:t xml:space="preserve">    6、估价报告使用限制</w:t>
      </w:r>
    </w:p>
    <w:p>
      <w:pPr>
        <w:spacing w:line="540" w:lineRule="exact"/>
        <w:ind w:firstLine="420" w:firstLineChars="150"/>
        <w:rPr>
          <w:rFonts w:ascii="宋体" w:hAnsi="宋体"/>
          <w:color w:val="000000"/>
          <w:sz w:val="28"/>
          <w:szCs w:val="28"/>
        </w:rPr>
      </w:pPr>
      <w:bookmarkStart w:id="6" w:name="_Toc55921664"/>
      <w:bookmarkStart w:id="7" w:name="_Toc17471954"/>
      <w:bookmarkStart w:id="8" w:name="_Toc17471985"/>
      <w:bookmarkStart w:id="9" w:name="_Toc16234172"/>
      <w:bookmarkStart w:id="10" w:name="_Toc19087053"/>
      <w:bookmarkStart w:id="11" w:name="_Toc16234434"/>
      <w:bookmarkStart w:id="12" w:name="_Toc28941829"/>
      <w:bookmarkStart w:id="13" w:name="_Toc24121732"/>
      <w:bookmarkStart w:id="14" w:name="_Toc27736461"/>
      <w:r>
        <w:rPr>
          <w:rFonts w:hint="eastAsia" w:ascii="宋体" w:hAnsi="宋体"/>
          <w:color w:val="000000"/>
          <w:sz w:val="28"/>
          <w:szCs w:val="28"/>
        </w:rPr>
        <w:t>（1）本估价报告按估价目的提供给估价委托人使用，不作他用。若改变估价目的及使用条件使用本估价报告，需向本公司咨询后作必要调整甚至重新估价，重新出具报告。</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（3）本报告必须经估价机构加盖公章、注册房地产估价师签字后方可使用，估价机构仅对本报告的原件承担责任，对任何形式的复制件概不认可且不承担责任。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4</w:t>
      </w:r>
      <w:r>
        <w:rPr>
          <w:rFonts w:hint="eastAsia" w:ascii="宋体" w:hAnsi="宋体"/>
          <w:color w:val="000000"/>
          <w:sz w:val="28"/>
          <w:szCs w:val="28"/>
        </w:rPr>
        <w:t>）本估价报告使用期限自估价报告出具之日起为一年。</w:t>
      </w:r>
      <w:r>
        <w:rPr>
          <w:rFonts w:hint="eastAsia" w:ascii="宋体" w:hAnsi="宋体"/>
          <w:sz w:val="28"/>
          <w:szCs w:val="28"/>
        </w:rPr>
        <w:t>若使用本估价结果的时间与报告出具之日起相差一年以上，我公司对应用此结果造成的损失不负任何责任。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）本报告估价结果为房地产市场价格，未考虑快速变现等处分方式带来的影响，</w:t>
      </w:r>
      <w:r>
        <w:rPr>
          <w:rFonts w:ascii="宋体" w:hAnsi="宋体"/>
          <w:sz w:val="28"/>
          <w:szCs w:val="28"/>
        </w:rPr>
        <w:t>未考虑遇有自然力和其他不可抗力（破坏）的影响。</w:t>
      </w:r>
    </w:p>
    <w:p>
      <w:pPr>
        <w:widowControl/>
        <w:jc w:val="left"/>
        <w:rPr>
          <w:b/>
          <w:bCs/>
          <w:kern w:val="44"/>
          <w:sz w:val="36"/>
          <w:szCs w:val="44"/>
        </w:rPr>
      </w:pPr>
      <w:r>
        <w:rPr>
          <w:b/>
        </w:rPr>
        <w:br w:type="page"/>
      </w:r>
    </w:p>
    <w:p>
      <w:pPr>
        <w:pStyle w:val="2"/>
        <w:rPr>
          <w:b/>
          <w:sz w:val="28"/>
        </w:rPr>
      </w:pPr>
      <w:r>
        <w:rPr>
          <w:rFonts w:hint="eastAsia"/>
          <w:b/>
        </w:rPr>
        <w:t>估 价 结 果 报 告</w:t>
      </w:r>
      <w:bookmarkEnd w:id="6"/>
    </w:p>
    <w:p>
      <w:pPr>
        <w:snapToGrid w:val="0"/>
        <w:spacing w:line="540" w:lineRule="exact"/>
        <w:ind w:firstLine="594" w:firstLineChars="200"/>
        <w:rPr>
          <w:rFonts w:ascii="宋体" w:hAnsi="宋体"/>
          <w:bCs/>
          <w:color w:val="000000"/>
          <w:sz w:val="28"/>
        </w:rPr>
      </w:pPr>
      <w:bookmarkStart w:id="15" w:name="_Toc55921665"/>
      <w:r>
        <w:rPr>
          <w:rStyle w:val="47"/>
          <w:rFonts w:hint="eastAsia"/>
        </w:rPr>
        <w:t>一、估价委托人</w:t>
      </w:r>
      <w:bookmarkEnd w:id="7"/>
      <w:bookmarkEnd w:id="8"/>
      <w:bookmarkEnd w:id="9"/>
      <w:bookmarkEnd w:id="10"/>
      <w:bookmarkEnd w:id="11"/>
      <w:bookmarkEnd w:id="12"/>
      <w:bookmarkEnd w:id="13"/>
      <w:bookmarkEnd w:id="14"/>
      <w:bookmarkEnd w:id="15"/>
      <w:r>
        <w:rPr>
          <w:rFonts w:hint="eastAsia" w:ascii="宋体" w:hAnsi="宋体"/>
          <w:b/>
          <w:bCs/>
          <w:color w:val="000000"/>
          <w:sz w:val="28"/>
        </w:rPr>
        <w:t>:</w:t>
      </w:r>
    </w:p>
    <w:p>
      <w:pPr>
        <w:pStyle w:val="7"/>
        <w:tabs>
          <w:tab w:val="center" w:pos="4815"/>
        </w:tabs>
        <w:spacing w:line="360" w:lineRule="auto"/>
        <w:ind w:firstLine="560" w:firstLineChars="200"/>
        <w:rPr>
          <w:rFonts w:asciiTheme="majorEastAsia" w:hAnsiTheme="majorEastAsia" w:eastAsiaTheme="majorEastAsia"/>
          <w:bCs/>
        </w:rPr>
      </w:pPr>
      <w:bookmarkStart w:id="16" w:name="_Toc17471955"/>
      <w:bookmarkStart w:id="17" w:name="_Toc24121733"/>
      <w:bookmarkStart w:id="18" w:name="_Toc28941830"/>
      <w:bookmarkStart w:id="19" w:name="_Toc55921666"/>
      <w:bookmarkStart w:id="20" w:name="_Toc27736462"/>
      <w:bookmarkStart w:id="21" w:name="_Toc16234435"/>
      <w:bookmarkStart w:id="22" w:name="_Toc19087054"/>
      <w:bookmarkStart w:id="23" w:name="_Toc17471986"/>
      <w:bookmarkStart w:id="24" w:name="_Toc16234173"/>
      <w:r>
        <w:rPr>
          <w:rFonts w:hint="eastAsia" w:asciiTheme="majorEastAsia" w:hAnsiTheme="majorEastAsia" w:eastAsiaTheme="majorEastAsia"/>
          <w:bCs/>
        </w:rPr>
        <w:t>估价委托人：聊城市东昌府区人民法院</w:t>
      </w:r>
    </w:p>
    <w:p>
      <w:pPr>
        <w:pStyle w:val="7"/>
        <w:tabs>
          <w:tab w:val="center" w:pos="4815"/>
        </w:tabs>
        <w:spacing w:line="360" w:lineRule="auto"/>
        <w:ind w:firstLine="560" w:firstLineChars="200"/>
        <w:rPr>
          <w:rFonts w:asciiTheme="majorEastAsia" w:hAnsiTheme="majorEastAsia" w:eastAsiaTheme="majorEastAsia"/>
          <w:bCs/>
        </w:rPr>
      </w:pPr>
      <w:r>
        <w:rPr>
          <w:rFonts w:hint="eastAsia" w:asciiTheme="majorEastAsia" w:hAnsiTheme="majorEastAsia" w:eastAsiaTheme="majorEastAsia"/>
          <w:bCs/>
        </w:rPr>
        <w:t>地址：山东省聊城市东昌府区松桂路75号</w:t>
      </w:r>
    </w:p>
    <w:p>
      <w:pPr>
        <w:pStyle w:val="7"/>
        <w:tabs>
          <w:tab w:val="center" w:pos="4815"/>
        </w:tabs>
        <w:spacing w:line="360" w:lineRule="auto"/>
        <w:ind w:firstLine="560" w:firstLineChars="200"/>
        <w:rPr>
          <w:rFonts w:asciiTheme="majorEastAsia" w:hAnsiTheme="majorEastAsia" w:eastAsiaTheme="majorEastAsia"/>
          <w:bCs/>
        </w:rPr>
      </w:pPr>
      <w:r>
        <w:rPr>
          <w:rFonts w:hint="eastAsia" w:asciiTheme="majorEastAsia" w:hAnsiTheme="majorEastAsia" w:eastAsiaTheme="majorEastAsia"/>
          <w:bCs/>
        </w:rPr>
        <w:t>联系人：温新国</w:t>
      </w:r>
    </w:p>
    <w:p>
      <w:pPr>
        <w:pStyle w:val="7"/>
        <w:tabs>
          <w:tab w:val="center" w:pos="4815"/>
        </w:tabs>
        <w:spacing w:line="360" w:lineRule="auto"/>
        <w:ind w:firstLine="560" w:firstLineChars="200"/>
        <w:rPr>
          <w:rFonts w:asciiTheme="majorEastAsia" w:hAnsiTheme="majorEastAsia" w:eastAsiaTheme="majorEastAsia"/>
          <w:bCs/>
        </w:rPr>
      </w:pPr>
      <w:r>
        <w:rPr>
          <w:rFonts w:hint="eastAsia" w:asciiTheme="majorEastAsia" w:hAnsiTheme="majorEastAsia" w:eastAsiaTheme="majorEastAsia"/>
          <w:bCs/>
        </w:rPr>
        <w:t>联系电话：0635-8939519</w:t>
      </w:r>
    </w:p>
    <w:p>
      <w:pPr>
        <w:pStyle w:val="7"/>
        <w:tabs>
          <w:tab w:val="center" w:pos="4815"/>
        </w:tabs>
        <w:spacing w:line="360" w:lineRule="auto"/>
        <w:ind w:firstLine="594" w:firstLineChars="200"/>
        <w:rPr>
          <w:rFonts w:ascii="宋体" w:hAnsi="宋体"/>
          <w:color w:val="000000"/>
        </w:rPr>
      </w:pPr>
      <w:r>
        <w:rPr>
          <w:rStyle w:val="47"/>
          <w:rFonts w:hint="eastAsia"/>
        </w:rPr>
        <w:t>二、房地产估价机构</w:t>
      </w:r>
      <w:bookmarkEnd w:id="16"/>
      <w:bookmarkEnd w:id="17"/>
      <w:bookmarkEnd w:id="18"/>
      <w:bookmarkEnd w:id="19"/>
      <w:bookmarkEnd w:id="20"/>
      <w:bookmarkEnd w:id="21"/>
      <w:bookmarkEnd w:id="22"/>
      <w:bookmarkEnd w:id="23"/>
      <w:bookmarkEnd w:id="24"/>
      <w:r>
        <w:rPr>
          <w:rFonts w:hint="eastAsia" w:ascii="宋体" w:hAnsi="宋体"/>
          <w:b/>
          <w:bCs/>
          <w:color w:val="000000"/>
        </w:rPr>
        <w:t>：</w:t>
      </w:r>
    </w:p>
    <w:p>
      <w:pPr>
        <w:pStyle w:val="7"/>
        <w:tabs>
          <w:tab w:val="center" w:pos="4815"/>
        </w:tabs>
        <w:snapToGrid w:val="0"/>
        <w:spacing w:line="560" w:lineRule="exact"/>
        <w:ind w:firstLine="560" w:firstLineChars="200"/>
        <w:rPr>
          <w:rFonts w:ascii="宋体" w:hAnsi="宋体" w:eastAsia="宋体"/>
          <w:bCs/>
        </w:rPr>
      </w:pPr>
      <w:bookmarkStart w:id="25" w:name="_Toc24121734"/>
      <w:bookmarkStart w:id="26" w:name="_Toc16234174"/>
      <w:bookmarkStart w:id="27" w:name="_Toc16234436"/>
      <w:bookmarkStart w:id="28" w:name="_Toc17471956"/>
      <w:bookmarkStart w:id="29" w:name="_Toc27736463"/>
      <w:bookmarkStart w:id="30" w:name="_Toc28941831"/>
      <w:bookmarkStart w:id="31" w:name="_Toc55921667"/>
      <w:bookmarkStart w:id="32" w:name="_Toc19087055"/>
      <w:bookmarkStart w:id="33" w:name="_Toc17471987"/>
      <w:r>
        <w:rPr>
          <w:rFonts w:hint="eastAsia" w:ascii="宋体" w:hAnsi="宋体" w:eastAsia="宋体"/>
          <w:bCs/>
        </w:rPr>
        <w:t>机构名称：山东成达土地房地产资产评估测绘有限公司</w:t>
      </w:r>
    </w:p>
    <w:p>
      <w:pPr>
        <w:pStyle w:val="7"/>
        <w:tabs>
          <w:tab w:val="center" w:pos="4815"/>
        </w:tabs>
        <w:snapToGrid w:val="0"/>
        <w:spacing w:line="560" w:lineRule="exact"/>
        <w:ind w:left="420" w:leftChars="200" w:firstLine="140" w:firstLineChars="50"/>
        <w:rPr>
          <w:rFonts w:ascii="宋体" w:hAnsi="宋体" w:eastAsia="宋体"/>
          <w:bCs/>
        </w:rPr>
      </w:pPr>
      <w:r>
        <w:rPr>
          <w:rFonts w:hint="eastAsia" w:ascii="宋体" w:hAnsi="宋体" w:eastAsia="宋体"/>
          <w:bCs/>
        </w:rPr>
        <w:t>住所：中国（山东）自由贸易试验区济南片区新泺大街2117号铭盛大厦1618室</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统一社会信用代码：91370800750883682G</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备案证书编号：鲁评091012</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备案资质等级：壹级</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备案证书有效期限：2020年5月7日</w:t>
      </w:r>
      <w:r>
        <w:rPr>
          <w:rFonts w:ascii="宋体" w:hAnsi="宋体" w:eastAsia="宋体"/>
          <w:bCs/>
        </w:rPr>
        <w:t>至</w:t>
      </w:r>
      <w:r>
        <w:rPr>
          <w:rFonts w:hint="eastAsia" w:ascii="宋体" w:hAnsi="宋体" w:eastAsia="宋体"/>
          <w:bCs/>
        </w:rPr>
        <w:t>2023年5月6日</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法定代表人：程新军</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联 系 人：林经理</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电    话：0531-82998556</w:t>
      </w:r>
    </w:p>
    <w:p>
      <w:pPr>
        <w:pStyle w:val="7"/>
        <w:tabs>
          <w:tab w:val="center" w:pos="4815"/>
        </w:tabs>
        <w:snapToGrid w:val="0"/>
        <w:spacing w:line="540" w:lineRule="exact"/>
        <w:ind w:firstLine="594" w:firstLineChars="200"/>
        <w:rPr>
          <w:rFonts w:ascii="宋体" w:hAnsi="宋体" w:eastAsia="宋体"/>
          <w:b/>
          <w:color w:val="000000"/>
        </w:rPr>
      </w:pPr>
      <w:r>
        <w:rPr>
          <w:rStyle w:val="47"/>
          <w:rFonts w:hint="eastAsia"/>
        </w:rPr>
        <w:t>三、估价目的</w:t>
      </w:r>
      <w:bookmarkEnd w:id="25"/>
      <w:bookmarkEnd w:id="26"/>
      <w:bookmarkEnd w:id="27"/>
      <w:bookmarkEnd w:id="28"/>
      <w:bookmarkEnd w:id="29"/>
      <w:bookmarkEnd w:id="30"/>
      <w:bookmarkEnd w:id="31"/>
      <w:bookmarkEnd w:id="32"/>
      <w:bookmarkEnd w:id="33"/>
      <w:r>
        <w:rPr>
          <w:rFonts w:hint="eastAsia" w:ascii="宋体" w:hAnsi="宋体" w:eastAsia="宋体"/>
          <w:b/>
          <w:color w:val="000000"/>
        </w:rPr>
        <w:t>：</w:t>
      </w:r>
    </w:p>
    <w:p>
      <w:pPr>
        <w:pStyle w:val="7"/>
        <w:tabs>
          <w:tab w:val="center" w:pos="4815"/>
        </w:tabs>
        <w:snapToGrid w:val="0"/>
        <w:spacing w:line="540" w:lineRule="exact"/>
        <w:ind w:firstLine="560" w:firstLineChars="200"/>
        <w:rPr>
          <w:rFonts w:ascii="宋体" w:hAnsi="宋体" w:eastAsia="宋体"/>
          <w:b/>
          <w:color w:val="000000"/>
        </w:rPr>
      </w:pPr>
      <w:r>
        <w:rPr>
          <w:rFonts w:hint="eastAsia" w:ascii="宋体" w:hAnsi="宋体" w:eastAsia="宋体"/>
          <w:bCs/>
          <w:color w:val="000000"/>
        </w:rPr>
        <w:t>为聊城市东昌府区人民法院确定财产处置参考价提供参考依据。</w:t>
      </w:r>
    </w:p>
    <w:p>
      <w:pPr>
        <w:pStyle w:val="7"/>
        <w:snapToGrid w:val="0"/>
        <w:spacing w:line="540" w:lineRule="exact"/>
        <w:ind w:firstLine="582" w:firstLineChars="196"/>
        <w:rPr>
          <w:rFonts w:ascii="宋体" w:hAnsi="宋体" w:eastAsia="宋体"/>
          <w:b/>
          <w:color w:val="000000"/>
        </w:rPr>
      </w:pPr>
      <w:bookmarkStart w:id="34" w:name="_Toc17471957"/>
      <w:bookmarkStart w:id="35" w:name="_Toc27736464"/>
      <w:bookmarkStart w:id="36" w:name="_Toc17471988"/>
      <w:bookmarkStart w:id="37" w:name="_Toc28941832"/>
      <w:bookmarkStart w:id="38" w:name="_Toc19087056"/>
      <w:bookmarkStart w:id="39" w:name="_Toc16234437"/>
      <w:bookmarkStart w:id="40" w:name="_Toc24121735"/>
      <w:bookmarkStart w:id="41" w:name="_Toc16234175"/>
      <w:bookmarkStart w:id="42" w:name="_Toc55921668"/>
      <w:r>
        <w:rPr>
          <w:rStyle w:val="47"/>
          <w:rFonts w:hint="eastAsia"/>
        </w:rPr>
        <w:t>四、估价对象</w:t>
      </w:r>
      <w:bookmarkEnd w:id="34"/>
      <w:bookmarkEnd w:id="35"/>
      <w:bookmarkEnd w:id="36"/>
      <w:bookmarkEnd w:id="37"/>
      <w:bookmarkEnd w:id="38"/>
      <w:bookmarkEnd w:id="39"/>
      <w:bookmarkEnd w:id="40"/>
      <w:bookmarkEnd w:id="41"/>
      <w:bookmarkEnd w:id="42"/>
      <w:r>
        <w:rPr>
          <w:rFonts w:hint="eastAsia" w:ascii="宋体" w:hAnsi="宋体" w:eastAsia="宋体"/>
          <w:b/>
          <w:color w:val="000000"/>
        </w:rPr>
        <w:t>：</w:t>
      </w:r>
    </w:p>
    <w:p>
      <w:pPr>
        <w:pStyle w:val="7"/>
        <w:snapToGrid w:val="0"/>
        <w:spacing w:line="540" w:lineRule="exact"/>
        <w:ind w:firstLine="422" w:firstLineChars="150"/>
        <w:rPr>
          <w:rFonts w:ascii="宋体" w:hAnsi="宋体" w:eastAsia="宋体"/>
          <w:b/>
          <w:color w:val="000000"/>
        </w:rPr>
      </w:pPr>
      <w:r>
        <w:rPr>
          <w:rFonts w:hint="eastAsia" w:ascii="宋体" w:hAnsi="宋体" w:eastAsia="宋体"/>
          <w:b/>
          <w:color w:val="000000"/>
        </w:rPr>
        <w:t>（一）估价对象范围：</w:t>
      </w:r>
    </w:p>
    <w:p>
      <w:pPr>
        <w:snapToGrid w:val="0"/>
        <w:spacing w:line="540" w:lineRule="exact"/>
        <w:ind w:firstLine="560" w:firstLineChars="200"/>
        <w:rPr>
          <w:rFonts w:ascii="宋体" w:hAnsi="宋体"/>
          <w:sz w:val="28"/>
        </w:rPr>
      </w:pPr>
      <w:r>
        <w:rPr>
          <w:rFonts w:hint="eastAsia" w:ascii="宋体" w:hAnsi="宋体" w:cs="宋体"/>
          <w:color w:val="000000"/>
          <w:sz w:val="28"/>
          <w:lang w:val="zh-CN"/>
        </w:rPr>
        <w:t>估价对象</w:t>
      </w:r>
      <w:r>
        <w:rPr>
          <w:rFonts w:ascii="宋体" w:hAnsi="宋体" w:cs="宋体"/>
          <w:color w:val="000000"/>
          <w:sz w:val="28"/>
          <w:lang w:val="zh-CN"/>
        </w:rPr>
        <w:t>财产</w:t>
      </w:r>
      <w:r>
        <w:rPr>
          <w:rFonts w:hint="eastAsia" w:ascii="宋体" w:hAnsi="宋体" w:cs="宋体"/>
          <w:color w:val="000000"/>
          <w:sz w:val="28"/>
          <w:lang w:val="zh-CN"/>
        </w:rPr>
        <w:t>范围为</w:t>
      </w:r>
      <w:r>
        <w:rPr>
          <w:rFonts w:hint="eastAsia" w:ascii="宋体" w:hAnsi="宋体"/>
          <w:color w:val="000000"/>
          <w:sz w:val="28"/>
          <w:szCs w:val="28"/>
        </w:rPr>
        <w:t>聊城市开发区东方家园小区9号楼4单元4层442号住宅、2处储藏室</w:t>
      </w:r>
      <w:r>
        <w:rPr>
          <w:rFonts w:hint="eastAsia" w:ascii="宋体" w:hAnsi="宋体" w:cs="宋体"/>
          <w:color w:val="000000"/>
          <w:sz w:val="28"/>
          <w:lang w:val="zh-CN"/>
        </w:rPr>
        <w:t>及依法分摊的国有土地使用权，包含依附于估价对象的装饰装修及设施设备，</w:t>
      </w:r>
      <w:r>
        <w:rPr>
          <w:rFonts w:hint="eastAsia" w:ascii="宋体" w:hAnsi="宋体"/>
          <w:sz w:val="28"/>
        </w:rPr>
        <w:t>财产范围不包括家电、家具等动产，也不包括债权债务、特许经营权等其他财产或权益。</w:t>
      </w:r>
    </w:p>
    <w:p>
      <w:pPr>
        <w:pStyle w:val="7"/>
        <w:snapToGrid w:val="0"/>
        <w:spacing w:line="560" w:lineRule="exact"/>
        <w:ind w:firstLine="422" w:firstLineChars="150"/>
        <w:rPr>
          <w:rFonts w:ascii="宋体" w:hAnsi="宋体" w:eastAsia="宋体"/>
          <w:b/>
        </w:rPr>
      </w:pPr>
      <w:r>
        <w:rPr>
          <w:rFonts w:hint="eastAsia" w:ascii="宋体" w:hAnsi="宋体" w:eastAsia="宋体"/>
          <w:b/>
        </w:rPr>
        <w:t>（二）权益状况分析：</w:t>
      </w:r>
    </w:p>
    <w:p>
      <w:pPr>
        <w:snapToGrid w:val="0"/>
        <w:spacing w:line="560" w:lineRule="exact"/>
        <w:ind w:firstLine="560" w:firstLineChars="200"/>
        <w:rPr>
          <w:rFonts w:ascii="宋体" w:hAnsi="宋体" w:cs="宋体"/>
          <w:color w:val="000000"/>
          <w:sz w:val="28"/>
          <w:lang w:val="zh-CN"/>
        </w:rPr>
      </w:pPr>
      <w:r>
        <w:rPr>
          <w:rFonts w:hint="eastAsia" w:ascii="宋体" w:hAnsi="宋体" w:cs="宋体"/>
          <w:color w:val="000000"/>
          <w:sz w:val="28"/>
          <w:lang w:val="zh-CN"/>
        </w:rPr>
        <w:t>1、名称：</w:t>
      </w:r>
      <w:r>
        <w:rPr>
          <w:rFonts w:hint="eastAsia" w:ascii="宋体" w:hAnsi="宋体" w:cs="宋体"/>
          <w:sz w:val="28"/>
          <w:lang w:val="zh-CN"/>
        </w:rPr>
        <w:t>李占岭名下</w:t>
      </w:r>
      <w:r>
        <w:rPr>
          <w:rFonts w:hint="eastAsia" w:ascii="宋体" w:hAnsi="宋体"/>
          <w:color w:val="000000"/>
          <w:sz w:val="28"/>
        </w:rPr>
        <w:t>位于</w:t>
      </w:r>
      <w:r>
        <w:rPr>
          <w:rFonts w:hint="eastAsia" w:ascii="宋体" w:hAnsi="宋体"/>
          <w:color w:val="000000"/>
          <w:sz w:val="28"/>
          <w:szCs w:val="28"/>
        </w:rPr>
        <w:t>聊城市开发区东方家园小区9号楼4单元4层442号住宅、2处储藏室</w:t>
      </w:r>
      <w:r>
        <w:rPr>
          <w:rFonts w:hint="eastAsia" w:ascii="宋体" w:hAnsi="宋体" w:cs="宋体"/>
          <w:color w:val="000000"/>
          <w:sz w:val="28"/>
          <w:lang w:val="zh-CN"/>
        </w:rPr>
        <w:t>及依法分摊的国有土地使用权。</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2</w:t>
      </w:r>
      <w:r>
        <w:rPr>
          <w:rFonts w:hint="eastAsia" w:ascii="宋体" w:hAnsi="宋体" w:cs="宋体"/>
          <w:color w:val="000000"/>
          <w:sz w:val="28"/>
          <w:lang w:val="zh-CN"/>
        </w:rPr>
        <w:t>、坐落：</w:t>
      </w:r>
      <w:r>
        <w:rPr>
          <w:rFonts w:hint="eastAsia" w:ascii="宋体" w:hAnsi="宋体"/>
          <w:color w:val="000000"/>
          <w:sz w:val="28"/>
          <w:szCs w:val="28"/>
        </w:rPr>
        <w:t>聊城市开发区东方家园小区9号楼4单元4层442号</w:t>
      </w:r>
      <w:r>
        <w:rPr>
          <w:rFonts w:hint="eastAsia" w:ascii="宋体" w:hAnsi="宋体" w:cs="宋体"/>
          <w:color w:val="000000"/>
          <w:sz w:val="28"/>
          <w:lang w:val="zh-CN"/>
        </w:rPr>
        <w:t>。</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3</w:t>
      </w:r>
      <w:r>
        <w:rPr>
          <w:rFonts w:hint="eastAsia" w:ascii="宋体" w:hAnsi="宋体" w:cs="宋体"/>
          <w:color w:val="000000"/>
          <w:sz w:val="28"/>
          <w:lang w:val="zh-CN"/>
        </w:rPr>
        <w:t>、规模：住宅建筑面积</w:t>
      </w:r>
      <w:r>
        <w:rPr>
          <w:rFonts w:hint="eastAsia" w:ascii="宋体" w:hAnsi="宋体" w:cs="宋体"/>
          <w:color w:val="000000"/>
          <w:sz w:val="28"/>
        </w:rPr>
        <w:t>88.04</w:t>
      </w:r>
      <w:r>
        <w:rPr>
          <w:rFonts w:hint="eastAsia" w:ascii="宋体" w:hAnsi="宋体" w:cs="宋体"/>
          <w:color w:val="000000"/>
          <w:sz w:val="28"/>
          <w:lang w:val="zh-CN"/>
        </w:rPr>
        <w:t>平方米，储藏室</w:t>
      </w:r>
      <w:r>
        <w:rPr>
          <w:rFonts w:hint="eastAsia" w:ascii="宋体" w:hAnsi="宋体" w:cs="宋体"/>
          <w:color w:val="000000"/>
          <w:sz w:val="28"/>
        </w:rPr>
        <w:t>（1）</w:t>
      </w:r>
      <w:r>
        <w:rPr>
          <w:rFonts w:ascii="宋体" w:hAnsi="宋体" w:cs="宋体"/>
          <w:color w:val="000000"/>
          <w:sz w:val="28"/>
          <w:lang w:val="zh-CN"/>
        </w:rPr>
        <w:t>建筑面积</w:t>
      </w:r>
      <w:r>
        <w:rPr>
          <w:rFonts w:hint="eastAsia" w:ascii="宋体" w:hAnsi="宋体" w:cs="宋体"/>
          <w:color w:val="000000"/>
          <w:sz w:val="28"/>
        </w:rPr>
        <w:t>10.55</w:t>
      </w:r>
      <w:r>
        <w:rPr>
          <w:rFonts w:hint="eastAsia" w:ascii="宋体" w:hAnsi="宋体" w:cs="宋体"/>
          <w:color w:val="000000"/>
          <w:sz w:val="28"/>
          <w:lang w:val="zh-CN"/>
        </w:rPr>
        <w:t>平方米，储藏室</w:t>
      </w:r>
      <w:r>
        <w:rPr>
          <w:rFonts w:hint="eastAsia" w:ascii="宋体" w:hAnsi="宋体" w:cs="宋体"/>
          <w:color w:val="000000"/>
          <w:sz w:val="28"/>
        </w:rPr>
        <w:t>（2）</w:t>
      </w:r>
      <w:r>
        <w:rPr>
          <w:rFonts w:ascii="宋体" w:hAnsi="宋体" w:cs="宋体"/>
          <w:color w:val="000000"/>
          <w:sz w:val="28"/>
          <w:lang w:val="zh-CN"/>
        </w:rPr>
        <w:t>建筑面积</w:t>
      </w:r>
      <w:r>
        <w:rPr>
          <w:rFonts w:hint="eastAsia" w:ascii="宋体" w:hAnsi="宋体" w:cs="宋体"/>
          <w:color w:val="000000"/>
          <w:sz w:val="28"/>
        </w:rPr>
        <w:t>31.94</w:t>
      </w:r>
      <w:r>
        <w:rPr>
          <w:rFonts w:hint="eastAsia" w:ascii="宋体" w:hAnsi="宋体" w:cs="宋体"/>
          <w:color w:val="000000"/>
          <w:sz w:val="28"/>
          <w:lang w:val="zh-CN"/>
        </w:rPr>
        <w:t>平方米。</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4</w:t>
      </w:r>
      <w:r>
        <w:rPr>
          <w:rFonts w:hint="eastAsia" w:ascii="宋体" w:hAnsi="宋体" w:cs="宋体"/>
          <w:color w:val="000000"/>
          <w:sz w:val="28"/>
          <w:lang w:val="zh-CN"/>
        </w:rPr>
        <w:t>、用途：规划用途</w:t>
      </w:r>
      <w:r>
        <w:rPr>
          <w:rFonts w:ascii="宋体" w:hAnsi="宋体" w:cs="宋体"/>
          <w:color w:val="000000"/>
          <w:sz w:val="28"/>
          <w:lang w:val="zh-CN"/>
        </w:rPr>
        <w:t>为</w:t>
      </w:r>
      <w:r>
        <w:rPr>
          <w:rFonts w:hint="eastAsia" w:ascii="宋体" w:hAnsi="宋体" w:cs="宋体"/>
          <w:color w:val="000000"/>
          <w:sz w:val="28"/>
          <w:lang w:val="zh-CN"/>
        </w:rPr>
        <w:t>住宅、储藏室，</w:t>
      </w:r>
      <w:r>
        <w:rPr>
          <w:rFonts w:ascii="宋体" w:hAnsi="宋体" w:cs="宋体"/>
          <w:color w:val="000000"/>
          <w:sz w:val="28"/>
          <w:lang w:val="zh-CN"/>
        </w:rPr>
        <w:t>实际用途为住宅</w:t>
      </w:r>
      <w:r>
        <w:rPr>
          <w:rFonts w:hint="eastAsia" w:ascii="宋体" w:hAnsi="宋体" w:cs="宋体"/>
          <w:color w:val="000000"/>
          <w:sz w:val="28"/>
          <w:lang w:val="zh-CN"/>
        </w:rPr>
        <w:t>、</w:t>
      </w:r>
      <w:r>
        <w:rPr>
          <w:rFonts w:hint="eastAsia" w:ascii="宋体" w:hAnsi="宋体" w:cs="宋体"/>
          <w:color w:val="000000"/>
          <w:sz w:val="28"/>
        </w:rPr>
        <w:t>储藏室</w:t>
      </w:r>
      <w:r>
        <w:rPr>
          <w:rFonts w:hint="eastAsia" w:ascii="宋体" w:hAnsi="宋体" w:cs="宋体"/>
          <w:color w:val="000000"/>
          <w:sz w:val="28"/>
          <w:lang w:val="zh-CN"/>
        </w:rPr>
        <w:t>。</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5</w:t>
      </w:r>
      <w:r>
        <w:rPr>
          <w:rFonts w:hint="eastAsia" w:ascii="宋体" w:hAnsi="宋体" w:cs="宋体"/>
          <w:color w:val="000000"/>
          <w:sz w:val="28"/>
          <w:lang w:val="zh-CN"/>
        </w:rPr>
        <w:t>、权属：根据估价委托人提供的【聊房权证开字第01120172号】《</w:t>
      </w:r>
      <w:r>
        <w:rPr>
          <w:rFonts w:hint="eastAsia" w:ascii="宋体" w:hAnsi="宋体" w:cs="宋体"/>
          <w:sz w:val="28"/>
          <w:lang w:val="zh-CN"/>
        </w:rPr>
        <w:t>房屋所有权证》</w:t>
      </w:r>
      <w:r>
        <w:rPr>
          <w:rFonts w:hint="eastAsia" w:ascii="宋体" w:hAnsi="宋体" w:cs="宋体"/>
          <w:color w:val="000000"/>
          <w:sz w:val="28"/>
          <w:lang w:val="zh-CN"/>
        </w:rPr>
        <w:t>，房屋所有权人</w:t>
      </w:r>
      <w:r>
        <w:rPr>
          <w:rFonts w:ascii="宋体" w:hAnsi="宋体" w:cs="宋体"/>
          <w:color w:val="000000"/>
          <w:sz w:val="28"/>
          <w:lang w:val="zh-CN"/>
        </w:rPr>
        <w:t>为</w:t>
      </w:r>
      <w:r>
        <w:rPr>
          <w:rFonts w:hint="eastAsia" w:ascii="宋体" w:hAnsi="宋体" w:cs="宋体"/>
          <w:sz w:val="28"/>
          <w:lang w:val="zh-CN"/>
        </w:rPr>
        <w:t>李占岭</w:t>
      </w:r>
      <w:r>
        <w:rPr>
          <w:rFonts w:hint="eastAsia" w:ascii="宋体" w:hAnsi="宋体" w:cs="宋体"/>
          <w:color w:val="000000"/>
          <w:sz w:val="28"/>
          <w:lang w:val="zh-CN"/>
        </w:rPr>
        <w:t>，已办理房屋产权登记，</w:t>
      </w:r>
      <w:r>
        <w:rPr>
          <w:rFonts w:ascii="宋体" w:hAnsi="宋体" w:cs="宋体"/>
          <w:color w:val="000000"/>
          <w:sz w:val="28"/>
          <w:lang w:val="zh-CN"/>
        </w:rPr>
        <w:t>权属清晰</w:t>
      </w:r>
      <w:r>
        <w:rPr>
          <w:rFonts w:hint="eastAsia" w:ascii="宋体" w:hAnsi="宋体" w:cs="宋体"/>
          <w:color w:val="000000"/>
          <w:sz w:val="28"/>
          <w:lang w:val="zh-CN"/>
        </w:rPr>
        <w:t>。估价对象权属信息详见下表。</w:t>
      </w:r>
    </w:p>
    <w:tbl>
      <w:tblPr>
        <w:tblStyle w:val="20"/>
        <w:tblW w:w="5083"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241"/>
        <w:gridCol w:w="810"/>
        <w:gridCol w:w="1747"/>
        <w:gridCol w:w="1254"/>
        <w:gridCol w:w="1134"/>
        <w:gridCol w:w="1245"/>
        <w:gridCol w:w="738"/>
        <w:gridCol w:w="10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5000" w:type="pct"/>
            <w:gridSpan w:val="8"/>
            <w:vAlign w:val="center"/>
          </w:tcPr>
          <w:p>
            <w:pPr>
              <w:jc w:val="center"/>
              <w:rPr>
                <w:rFonts w:ascii="宋体" w:hAnsi="宋体"/>
                <w:b/>
                <w:sz w:val="24"/>
              </w:rPr>
            </w:pPr>
            <w:r>
              <w:rPr>
                <w:rFonts w:hint="eastAsia" w:ascii="宋体" w:hAnsi="宋体" w:cs="宋体"/>
                <w:b/>
                <w:color w:val="000000"/>
                <w:sz w:val="24"/>
              </w:rPr>
              <w:t>房产登记状况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438"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678"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建筑面积（㎡）</w:t>
            </w:r>
          </w:p>
        </w:tc>
        <w:tc>
          <w:tcPr>
            <w:tcW w:w="613"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所在层数</w:t>
            </w:r>
          </w:p>
          <w:p>
            <w:pPr>
              <w:widowControl/>
              <w:jc w:val="center"/>
              <w:textAlignment w:val="center"/>
              <w:rPr>
                <w:rFonts w:ascii="宋体" w:hAnsi="宋体"/>
                <w:sz w:val="24"/>
              </w:rPr>
            </w:pPr>
            <w:r>
              <w:rPr>
                <w:rFonts w:hint="eastAsia" w:ascii="宋体" w:hAnsi="宋体" w:cs="宋体"/>
                <w:color w:val="000000"/>
                <w:kern w:val="0"/>
                <w:sz w:val="24"/>
              </w:rPr>
              <w:t>/总层数</w:t>
            </w:r>
          </w:p>
        </w:tc>
        <w:tc>
          <w:tcPr>
            <w:tcW w:w="673" w:type="pct"/>
            <w:vAlign w:val="center"/>
          </w:tcPr>
          <w:p>
            <w:pPr>
              <w:jc w:val="center"/>
              <w:rPr>
                <w:rFonts w:ascii="宋体" w:hAnsi="宋体"/>
                <w:sz w:val="24"/>
              </w:rPr>
            </w:pPr>
            <w:r>
              <w:rPr>
                <w:rFonts w:hint="eastAsia" w:ascii="宋体" w:hAnsi="宋体"/>
                <w:sz w:val="24"/>
              </w:rPr>
              <w:t>规划用途/实际用途</w:t>
            </w:r>
          </w:p>
        </w:tc>
        <w:tc>
          <w:tcPr>
            <w:tcW w:w="399" w:type="pct"/>
            <w:vAlign w:val="center"/>
          </w:tcPr>
          <w:p>
            <w:pPr>
              <w:jc w:val="center"/>
              <w:rPr>
                <w:rFonts w:ascii="宋体" w:hAnsi="宋体"/>
                <w:sz w:val="24"/>
              </w:rPr>
            </w:pPr>
            <w:r>
              <w:rPr>
                <w:rFonts w:hint="eastAsia" w:ascii="宋体" w:hAnsi="宋体"/>
                <w:sz w:val="24"/>
              </w:rPr>
              <w:t>结构</w:t>
            </w:r>
          </w:p>
        </w:tc>
        <w:tc>
          <w:tcPr>
            <w:tcW w:w="584" w:type="pct"/>
            <w:vAlign w:val="center"/>
          </w:tcPr>
          <w:p>
            <w:pPr>
              <w:jc w:val="center"/>
              <w:rPr>
                <w:rFonts w:ascii="宋体" w:hAnsi="宋体"/>
                <w:sz w:val="24"/>
              </w:rPr>
            </w:pPr>
            <w:r>
              <w:rPr>
                <w:rFonts w:hint="eastAsia" w:ascii="宋体" w:hAnsi="宋体"/>
                <w:sz w:val="24"/>
              </w:rPr>
              <w:t>建成年代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聊房权证开字第01120172号</w:t>
            </w:r>
          </w:p>
        </w:tc>
        <w:tc>
          <w:tcPr>
            <w:tcW w:w="438" w:type="pct"/>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李占岭</w:t>
            </w:r>
          </w:p>
        </w:tc>
        <w:tc>
          <w:tcPr>
            <w:tcW w:w="944" w:type="pct"/>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88.04</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4层/7层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住宅/住宅</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w:t>
            </w:r>
            <w:r>
              <w:rPr>
                <w:rFonts w:hint="eastAsia" w:ascii="宋体" w:hAnsi="宋体"/>
                <w:sz w:val="24"/>
              </w:rPr>
              <w:t>7年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008" w:hRule="atLeast"/>
          <w:jc w:val="center"/>
        </w:trPr>
        <w:tc>
          <w:tcPr>
            <w:tcW w:w="671" w:type="pct"/>
            <w:vMerge w:val="continue"/>
            <w:vAlign w:val="center"/>
          </w:tcPr>
          <w:p>
            <w:pPr>
              <w:widowControl/>
              <w:jc w:val="center"/>
              <w:textAlignment w:val="center"/>
              <w:rPr>
                <w:rFonts w:ascii="宋体" w:hAnsi="宋体" w:cs="宋体"/>
                <w:color w:val="000000"/>
                <w:sz w:val="24"/>
              </w:rPr>
            </w:pPr>
          </w:p>
        </w:tc>
        <w:tc>
          <w:tcPr>
            <w:tcW w:w="438" w:type="pct"/>
            <w:vMerge w:val="continue"/>
            <w:vAlign w:val="center"/>
          </w:tcPr>
          <w:p>
            <w:pPr>
              <w:widowControl/>
              <w:jc w:val="center"/>
              <w:textAlignment w:val="center"/>
              <w:rPr>
                <w:rFonts w:ascii="宋体" w:hAnsi="宋体" w:cs="宋体"/>
                <w:color w:val="000000"/>
                <w:sz w:val="24"/>
              </w:rPr>
            </w:pPr>
          </w:p>
        </w:tc>
        <w:tc>
          <w:tcPr>
            <w:tcW w:w="944" w:type="pct"/>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聊城市开发区东方家园小区9号楼4单元4层442号储藏室（1）</w:t>
            </w:r>
          </w:p>
        </w:tc>
        <w:tc>
          <w:tcPr>
            <w:tcW w:w="678" w:type="pct"/>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10.55</w:t>
            </w:r>
          </w:p>
        </w:tc>
        <w:tc>
          <w:tcPr>
            <w:tcW w:w="613" w:type="pct"/>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储藏室层/7层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储藏室/储藏室</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continue"/>
            <w:vAlign w:val="center"/>
          </w:tcPr>
          <w:p>
            <w:pPr>
              <w:widowControl/>
              <w:jc w:val="center"/>
              <w:textAlignment w:val="center"/>
              <w:rPr>
                <w:rFonts w:ascii="宋体" w:hAnsi="宋体" w:cs="宋体"/>
                <w:color w:val="000000"/>
                <w:sz w:val="24"/>
              </w:rPr>
            </w:pPr>
          </w:p>
        </w:tc>
        <w:tc>
          <w:tcPr>
            <w:tcW w:w="438" w:type="pct"/>
            <w:vMerge w:val="continue"/>
            <w:vAlign w:val="center"/>
          </w:tcPr>
          <w:p>
            <w:pPr>
              <w:widowControl/>
              <w:jc w:val="center"/>
              <w:textAlignment w:val="center"/>
              <w:rPr>
                <w:rFonts w:ascii="宋体" w:hAnsi="宋体" w:cs="宋体"/>
                <w:color w:val="000000"/>
                <w:sz w:val="24"/>
              </w:rPr>
            </w:pPr>
          </w:p>
        </w:tc>
        <w:tc>
          <w:tcPr>
            <w:tcW w:w="944" w:type="pct"/>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聊城市开发区东方家园小区9号楼4单元4层442号储藏室（2）</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31.94</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储藏室层/7层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储藏室/储藏室</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抵押情况</w:t>
            </w:r>
          </w:p>
        </w:tc>
        <w:tc>
          <w:tcPr>
            <w:tcW w:w="4329" w:type="pct"/>
            <w:gridSpan w:val="7"/>
            <w:vAlign w:val="center"/>
          </w:tcPr>
          <w:p>
            <w:pPr>
              <w:jc w:val="left"/>
              <w:rPr>
                <w:rFonts w:hint="eastAsia" w:ascii="宋体" w:hAnsi="宋体"/>
                <w:sz w:val="24"/>
              </w:rPr>
            </w:pPr>
            <w:r>
              <w:rPr>
                <w:rFonts w:hint="eastAsia" w:ascii="宋体" w:hAnsi="宋体"/>
                <w:sz w:val="24"/>
              </w:rPr>
              <w:t>附记栏</w:t>
            </w:r>
            <w:r>
              <w:rPr>
                <w:rFonts w:ascii="宋体" w:hAnsi="宋体"/>
                <w:sz w:val="24"/>
              </w:rPr>
              <w:t>记载：</w:t>
            </w:r>
            <w:r>
              <w:rPr>
                <w:rFonts w:hint="eastAsia" w:ascii="宋体" w:hAnsi="宋体"/>
                <w:sz w:val="24"/>
              </w:rPr>
              <w:t>聊城农村商业银行股份有限公司</w:t>
            </w:r>
            <w:r>
              <w:rPr>
                <w:rFonts w:ascii="宋体" w:hAnsi="宋体"/>
                <w:sz w:val="24"/>
              </w:rPr>
              <w:t>，</w:t>
            </w:r>
            <w:r>
              <w:rPr>
                <w:rFonts w:hint="eastAsia" w:ascii="宋体" w:hAnsi="宋体"/>
                <w:sz w:val="24"/>
              </w:rPr>
              <w:t>抵押全部</w:t>
            </w:r>
            <w:r>
              <w:rPr>
                <w:rFonts w:ascii="宋体" w:hAnsi="宋体"/>
                <w:sz w:val="24"/>
              </w:rPr>
              <w:t>，</w:t>
            </w:r>
            <w:r>
              <w:rPr>
                <w:rFonts w:hint="eastAsia" w:ascii="宋体" w:hAnsi="宋体"/>
                <w:sz w:val="24"/>
              </w:rPr>
              <w:t>2014年7月4日</w:t>
            </w:r>
            <w:r>
              <w:rPr>
                <w:rFonts w:ascii="宋体" w:hAnsi="宋体"/>
                <w:sz w:val="24"/>
              </w:rPr>
              <w:t>，</w:t>
            </w:r>
            <w:r>
              <w:rPr>
                <w:rFonts w:hint="eastAsia" w:ascii="宋体" w:hAnsi="宋体"/>
                <w:sz w:val="24"/>
              </w:rPr>
              <w:t>2014年7月2日</w:t>
            </w:r>
            <w:r>
              <w:rPr>
                <w:rFonts w:ascii="宋体" w:hAnsi="宋体"/>
                <w:sz w:val="24"/>
              </w:rPr>
              <w:t>起</w:t>
            </w:r>
            <w:r>
              <w:rPr>
                <w:rFonts w:hint="eastAsia" w:ascii="宋体" w:hAnsi="宋体"/>
                <w:sz w:val="24"/>
              </w:rPr>
              <w:t>2017年7月3日</w:t>
            </w:r>
            <w:r>
              <w:rPr>
                <w:rFonts w:ascii="宋体" w:hAnsi="宋体"/>
                <w:sz w:val="24"/>
              </w:rPr>
              <w:t>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sz w:val="24"/>
              </w:rPr>
              <w:t>查封情况</w:t>
            </w:r>
          </w:p>
        </w:tc>
        <w:tc>
          <w:tcPr>
            <w:tcW w:w="4329" w:type="pct"/>
            <w:gridSpan w:val="7"/>
            <w:vAlign w:val="center"/>
          </w:tcPr>
          <w:p>
            <w:pPr>
              <w:jc w:val="left"/>
              <w:rPr>
                <w:rFonts w:hint="eastAsia" w:ascii="宋体" w:hAnsi="宋体"/>
                <w:sz w:val="24"/>
              </w:rPr>
            </w:pPr>
            <w:r>
              <w:rPr>
                <w:rFonts w:hint="eastAsia" w:ascii="宋体" w:hAnsi="宋体"/>
                <w:sz w:val="24"/>
              </w:rPr>
              <w:t>已查封</w:t>
            </w:r>
            <w:r>
              <w:rPr>
                <w:rFonts w:ascii="宋体" w:hAnsi="宋体"/>
                <w:sz w:val="24"/>
              </w:rPr>
              <w:t>，查封机关为聊城市东昌府区</w:t>
            </w:r>
            <w:r>
              <w:rPr>
                <w:rFonts w:hint="eastAsia" w:ascii="宋体" w:hAnsi="宋体"/>
                <w:sz w:val="24"/>
              </w:rPr>
              <w:t>人民法院</w:t>
            </w:r>
            <w:r>
              <w:rPr>
                <w:rFonts w:ascii="宋体" w:hAnsi="宋体"/>
                <w:sz w:val="24"/>
              </w:rPr>
              <w:t>，文号</w:t>
            </w:r>
            <w:r>
              <w:rPr>
                <w:rFonts w:hint="eastAsia" w:ascii="宋体" w:hAnsi="宋体"/>
                <w:sz w:val="24"/>
              </w:rPr>
              <w:t>(2022)鲁 1502执恢 474 号。</w:t>
            </w:r>
          </w:p>
        </w:tc>
      </w:tr>
    </w:tbl>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6</w:t>
      </w:r>
      <w:r>
        <w:rPr>
          <w:rFonts w:hint="eastAsia" w:ascii="宋体" w:hAnsi="宋体" w:cs="宋体"/>
          <w:color w:val="000000"/>
          <w:sz w:val="28"/>
          <w:lang w:val="zh-CN"/>
        </w:rPr>
        <w:t>、他项权利</w:t>
      </w:r>
      <w:r>
        <w:rPr>
          <w:rFonts w:ascii="宋体" w:hAnsi="宋体" w:cs="宋体"/>
          <w:color w:val="000000"/>
          <w:sz w:val="28"/>
          <w:lang w:val="zh-CN"/>
        </w:rPr>
        <w:t>及司法限制状况：</w:t>
      </w:r>
    </w:p>
    <w:p>
      <w:pPr>
        <w:pStyle w:val="7"/>
        <w:tabs>
          <w:tab w:val="center" w:pos="4815"/>
        </w:tabs>
        <w:snapToGrid w:val="0"/>
        <w:spacing w:line="580" w:lineRule="exact"/>
        <w:ind w:firstLine="560" w:firstLineChars="200"/>
        <w:rPr>
          <w:rFonts w:ascii="宋体" w:hAnsi="宋体" w:eastAsia="宋体"/>
          <w:color w:val="000000"/>
          <w:lang w:val="zh-CN"/>
        </w:rPr>
      </w:pPr>
      <w:r>
        <w:rPr>
          <w:rFonts w:hint="eastAsia" w:ascii="宋体" w:hAnsi="宋体" w:eastAsia="宋体"/>
          <w:color w:val="000000"/>
          <w:lang w:val="zh-CN"/>
        </w:rPr>
        <w:t>根据</w:t>
      </w:r>
      <w:r>
        <w:rPr>
          <w:rFonts w:ascii="宋体" w:hAnsi="宋体" w:eastAsia="宋体"/>
          <w:color w:val="000000"/>
          <w:lang w:val="zh-CN"/>
        </w:rPr>
        <w:t>本次估价目的，本次估价未考虑抵押、担保事宜等非正常因素对估价结果的影响，也</w:t>
      </w:r>
      <w:r>
        <w:rPr>
          <w:rFonts w:hint="eastAsia" w:ascii="宋体" w:hAnsi="宋体" w:eastAsia="宋体"/>
          <w:color w:val="000000"/>
          <w:lang w:val="zh-CN"/>
        </w:rPr>
        <w:t>未</w:t>
      </w:r>
      <w:r>
        <w:rPr>
          <w:rFonts w:ascii="宋体" w:hAnsi="宋体" w:eastAsia="宋体"/>
          <w:color w:val="000000"/>
          <w:lang w:val="zh-CN"/>
        </w:rPr>
        <w:t>考虑司法和</w:t>
      </w:r>
      <w:r>
        <w:rPr>
          <w:rFonts w:hint="eastAsia" w:ascii="宋体" w:hAnsi="宋体" w:eastAsia="宋体"/>
          <w:color w:val="000000"/>
          <w:lang w:val="zh-CN"/>
        </w:rPr>
        <w:t>行政机关依法裁决、查封</w:t>
      </w:r>
      <w:r>
        <w:rPr>
          <w:rFonts w:ascii="宋体" w:hAnsi="宋体" w:eastAsia="宋体"/>
          <w:color w:val="000000"/>
          <w:lang w:val="zh-CN"/>
        </w:rPr>
        <w:t>等非正常因素对估价结果的影响</w:t>
      </w:r>
      <w:r>
        <w:rPr>
          <w:rFonts w:hint="eastAsia" w:ascii="宋体" w:hAnsi="宋体" w:eastAsia="宋体"/>
          <w:color w:val="000000"/>
          <w:lang w:val="zh-CN"/>
        </w:rPr>
        <w:t>。</w:t>
      </w:r>
    </w:p>
    <w:p>
      <w:pPr>
        <w:pStyle w:val="7"/>
        <w:tabs>
          <w:tab w:val="center" w:pos="4815"/>
        </w:tabs>
        <w:snapToGrid w:val="0"/>
        <w:spacing w:line="580" w:lineRule="exact"/>
        <w:ind w:firstLine="560" w:firstLineChars="200"/>
        <w:rPr>
          <w:rFonts w:ascii="宋体" w:hAnsi="宋体" w:eastAsia="宋体"/>
          <w:color w:val="000000"/>
          <w:lang w:val="zh-CN"/>
        </w:rPr>
      </w:pPr>
      <w:r>
        <w:rPr>
          <w:rFonts w:ascii="宋体" w:hAnsi="宋体" w:eastAsia="宋体"/>
          <w:color w:val="000000"/>
          <w:lang w:val="zh-CN"/>
        </w:rPr>
        <w:t>7</w:t>
      </w:r>
      <w:r>
        <w:rPr>
          <w:rFonts w:hint="eastAsia" w:ascii="宋体" w:hAnsi="宋体" w:eastAsia="宋体"/>
          <w:color w:val="000000"/>
          <w:lang w:val="zh-CN"/>
        </w:rPr>
        <w:t>、出租或占用情况：</w:t>
      </w:r>
      <w:r>
        <w:rPr>
          <w:rFonts w:ascii="宋体" w:hAnsi="宋体" w:eastAsia="宋体"/>
          <w:color w:val="000000"/>
          <w:lang w:val="zh-CN"/>
        </w:rPr>
        <w:t>估价对象</w:t>
      </w:r>
      <w:r>
        <w:rPr>
          <w:rFonts w:hint="eastAsia" w:ascii="宋体" w:hAnsi="宋体" w:eastAsia="宋体"/>
          <w:color w:val="000000"/>
          <w:lang w:val="zh-CN"/>
        </w:rPr>
        <w:t>处于</w:t>
      </w:r>
      <w:r>
        <w:rPr>
          <w:rFonts w:ascii="宋体" w:hAnsi="宋体" w:eastAsia="宋体"/>
          <w:color w:val="000000"/>
          <w:lang w:val="zh-CN"/>
        </w:rPr>
        <w:t>利用中，</w:t>
      </w:r>
      <w:r>
        <w:rPr>
          <w:rFonts w:hint="eastAsia" w:ascii="宋体" w:hAnsi="宋体" w:eastAsia="宋体"/>
          <w:color w:val="000000"/>
          <w:lang w:val="zh-CN"/>
        </w:rPr>
        <w:t>因估价委托人和当事人不能提供估价对象租赁的相关详细材料，故本次评估未考虑租赁对评估价值的影响</w:t>
      </w:r>
      <w:r>
        <w:rPr>
          <w:rFonts w:ascii="宋体" w:hAnsi="宋体" w:eastAsia="宋体"/>
          <w:color w:val="000000"/>
          <w:lang w:val="zh-CN"/>
        </w:rPr>
        <w:t>。</w:t>
      </w:r>
    </w:p>
    <w:p>
      <w:pPr>
        <w:pStyle w:val="7"/>
        <w:tabs>
          <w:tab w:val="center" w:pos="4815"/>
        </w:tabs>
        <w:snapToGrid w:val="0"/>
        <w:spacing w:line="580" w:lineRule="exact"/>
        <w:ind w:firstLine="422" w:firstLineChars="150"/>
        <w:rPr>
          <w:rFonts w:ascii="宋体" w:hAnsi="宋体" w:eastAsia="宋体"/>
          <w:b/>
          <w:lang w:val="zh-CN"/>
        </w:rPr>
      </w:pPr>
      <w:r>
        <w:rPr>
          <w:rFonts w:hint="eastAsia" w:ascii="宋体" w:hAnsi="宋体" w:eastAsia="宋体"/>
          <w:b/>
          <w:lang w:val="zh-CN"/>
        </w:rPr>
        <w:t>（三）</w:t>
      </w:r>
      <w:r>
        <w:rPr>
          <w:rFonts w:hint="eastAsia" w:ascii="宋体" w:hAnsi="宋体" w:eastAsia="宋体"/>
          <w:b/>
          <w:color w:val="000000"/>
          <w:lang w:val="zh-CN"/>
        </w:rPr>
        <w:t>土地基本状况</w:t>
      </w:r>
      <w:r>
        <w:rPr>
          <w:rFonts w:hint="eastAsia" w:ascii="宋体" w:hAnsi="宋体" w:eastAsia="宋体"/>
          <w:b/>
          <w:lang w:val="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名称及</w:t>
            </w:r>
            <w:r>
              <w:rPr>
                <w:rFonts w:ascii="宋体" w:hAnsi="宋体"/>
                <w:sz w:val="24"/>
              </w:rPr>
              <w:t>坐落</w:t>
            </w:r>
          </w:p>
        </w:tc>
        <w:tc>
          <w:tcPr>
            <w:tcW w:w="6910" w:type="dxa"/>
            <w:tcBorders>
              <w:top w:val="double" w:color="auto" w:sz="4" w:space="0"/>
              <w:right w:val="double" w:color="auto" w:sz="4" w:space="0"/>
            </w:tcBorders>
            <w:vAlign w:val="center"/>
          </w:tcPr>
          <w:p>
            <w:pPr>
              <w:jc w:val="left"/>
              <w:rPr>
                <w:sz w:val="24"/>
                <w:lang w:val="zh-CN"/>
              </w:rPr>
            </w:pPr>
            <w:r>
              <w:rPr>
                <w:rFonts w:hint="eastAsia" w:ascii="宋体" w:hAnsi="宋体"/>
                <w:sz w:val="24"/>
              </w:rPr>
              <w:t>聊城市开发区东方家园小区9号楼4单元4层442号；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土地四至</w:t>
            </w:r>
          </w:p>
        </w:tc>
        <w:tc>
          <w:tcPr>
            <w:tcW w:w="6910" w:type="dxa"/>
            <w:tcBorders>
              <w:right w:val="double" w:color="auto" w:sz="4" w:space="0"/>
            </w:tcBorders>
            <w:vAlign w:val="center"/>
          </w:tcPr>
          <w:p>
            <w:pPr>
              <w:jc w:val="left"/>
              <w:rPr>
                <w:sz w:val="24"/>
              </w:rPr>
            </w:pPr>
            <w:r>
              <w:rPr>
                <w:rFonts w:hint="eastAsia"/>
                <w:sz w:val="24"/>
              </w:rPr>
              <w:t>北至厂房，东至黄山路，南至开发区实验小学北校，西至碧桂园·国岳府</w:t>
            </w:r>
            <w:r>
              <w:rPr>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土地总面积</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土地用途</w:t>
            </w:r>
          </w:p>
        </w:tc>
        <w:tc>
          <w:tcPr>
            <w:tcW w:w="6910" w:type="dxa"/>
            <w:tcBorders>
              <w:right w:val="double" w:color="auto" w:sz="4" w:space="0"/>
            </w:tcBorders>
            <w:vAlign w:val="center"/>
          </w:tcPr>
          <w:p>
            <w:pPr>
              <w:jc w:val="left"/>
              <w:rPr>
                <w:rFonts w:ascii="宋体" w:hAnsi="宋体"/>
                <w:sz w:val="24"/>
              </w:rPr>
            </w:pPr>
            <w:r>
              <w:rPr>
                <w:rFonts w:hint="eastAsia" w:ascii="宋体" w:hAnsi="宋体" w:cs="宋体"/>
                <w:color w:val="000000"/>
                <w:kern w:val="0"/>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w:t>
            </w:r>
            <w:r>
              <w:rPr>
                <w:rFonts w:ascii="宋体" w:hAnsi="宋体"/>
                <w:sz w:val="24"/>
              </w:rPr>
              <w:t>终止日期</w:t>
            </w:r>
          </w:p>
        </w:tc>
        <w:tc>
          <w:tcPr>
            <w:tcW w:w="6910" w:type="dxa"/>
            <w:tcBorders>
              <w:right w:val="double" w:color="auto" w:sz="4" w:space="0"/>
            </w:tcBorders>
            <w:vAlign w:val="center"/>
          </w:tcPr>
          <w:p>
            <w:pPr>
              <w:jc w:val="left"/>
              <w:rPr>
                <w:rFonts w:ascii="宋体" w:hAnsi="宋体"/>
                <w:sz w:val="24"/>
              </w:rPr>
            </w:pPr>
            <w:r>
              <w:rPr>
                <w:rFonts w:hint="eastAsia" w:ascii="宋体" w:hAnsi="宋体" w:cs="宋体"/>
                <w:color w:val="000000"/>
                <w:kern w:val="0"/>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土地形状</w:t>
            </w:r>
          </w:p>
        </w:tc>
        <w:tc>
          <w:tcPr>
            <w:tcW w:w="6910" w:type="dxa"/>
            <w:tcBorders>
              <w:right w:val="double" w:color="auto" w:sz="4" w:space="0"/>
            </w:tcBorders>
            <w:vAlign w:val="center"/>
          </w:tcPr>
          <w:p>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w:t>
            </w:r>
            <w:r>
              <w:rPr>
                <w:rFonts w:hint="eastAsia"/>
                <w:sz w:val="24"/>
                <w:lang w:val="zh-CN"/>
              </w:rPr>
              <w:t>地上</w:t>
            </w:r>
            <w:r>
              <w:rPr>
                <w:sz w:val="24"/>
                <w:lang w:val="zh-CN"/>
              </w:rPr>
              <w:t>建筑布局</w:t>
            </w:r>
            <w:r>
              <w:rPr>
                <w:rFonts w:hint="eastAsia"/>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地形地势及地质</w:t>
            </w:r>
            <w:r>
              <w:rPr>
                <w:rFonts w:ascii="宋体" w:hAnsi="宋体"/>
                <w:sz w:val="24"/>
              </w:rPr>
              <w:t>状况</w:t>
            </w:r>
          </w:p>
        </w:tc>
        <w:tc>
          <w:tcPr>
            <w:tcW w:w="6910" w:type="dxa"/>
            <w:tcBorders>
              <w:right w:val="double" w:color="auto" w:sz="4" w:space="0"/>
            </w:tcBorders>
            <w:vAlign w:val="center"/>
          </w:tcPr>
          <w:p>
            <w:pPr>
              <w:jc w:val="left"/>
              <w:rPr>
                <w:sz w:val="24"/>
                <w:lang w:val="zh-CN"/>
              </w:rPr>
            </w:pPr>
            <w:r>
              <w:rPr>
                <w:rFonts w:hint="eastAsia"/>
                <w:sz w:val="24"/>
                <w:lang w:val="zh-CN"/>
              </w:rPr>
              <w:t>估价对象</w:t>
            </w:r>
            <w:r>
              <w:rPr>
                <w:sz w:val="24"/>
                <w:lang w:val="zh-CN"/>
              </w:rPr>
              <w:t>地形</w:t>
            </w:r>
            <w:r>
              <w:rPr>
                <w:rFonts w:hint="eastAsia"/>
                <w:sz w:val="24"/>
                <w:lang w:val="zh-CN"/>
              </w:rPr>
              <w:t>、</w:t>
            </w:r>
            <w:r>
              <w:rPr>
                <w:sz w:val="24"/>
                <w:lang w:val="zh-CN"/>
              </w:rPr>
              <w:t>地势平坦</w:t>
            </w:r>
            <w:r>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，排水通畅</w:t>
            </w:r>
            <w:r>
              <w:rPr>
                <w:sz w:val="24"/>
                <w:lang w:val="zh-CN"/>
              </w:rPr>
              <w:t>，被洪水、积水淹没的可能性较小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开发程度</w:t>
            </w:r>
          </w:p>
        </w:tc>
        <w:tc>
          <w:tcPr>
            <w:tcW w:w="6910" w:type="dxa"/>
            <w:tcBorders>
              <w:bottom w:val="double" w:color="auto" w:sz="4" w:space="0"/>
              <w:right w:val="double" w:color="auto" w:sz="4" w:space="0"/>
            </w:tcBorders>
            <w:vAlign w:val="center"/>
          </w:tcPr>
          <w:p>
            <w:pPr>
              <w:jc w:val="left"/>
              <w:rPr>
                <w:rFonts w:ascii="宋体" w:hAnsi="宋体"/>
                <w:color w:val="000000"/>
                <w:sz w:val="24"/>
              </w:rPr>
            </w:pPr>
            <w:r>
              <w:rPr>
                <w:rFonts w:hint="eastAsia" w:ascii="宋体" w:hAnsi="宋体"/>
                <w:color w:val="000000"/>
                <w:sz w:val="24"/>
              </w:rPr>
              <w:t>至价值时点</w:t>
            </w:r>
            <w:r>
              <w:rPr>
                <w:rFonts w:ascii="宋体" w:hAnsi="宋体"/>
                <w:color w:val="000000"/>
                <w:sz w:val="24"/>
              </w:rPr>
              <w:t>，宗地</w:t>
            </w:r>
            <w:r>
              <w:rPr>
                <w:rFonts w:hint="eastAsia" w:ascii="宋体" w:hAnsi="宋体"/>
                <w:color w:val="000000"/>
                <w:sz w:val="24"/>
              </w:rPr>
              <w:t>红线外</w:t>
            </w:r>
            <w:r>
              <w:rPr>
                <w:rFonts w:ascii="宋体" w:hAnsi="宋体"/>
                <w:color w:val="000000"/>
                <w:sz w:val="24"/>
              </w:rPr>
              <w:t>开发程度已达到</w:t>
            </w:r>
            <w:r>
              <w:rPr>
                <w:rFonts w:hint="eastAsia" w:ascii="宋体" w:hAnsi="宋体"/>
                <w:color w:val="000000"/>
                <w:sz w:val="24"/>
              </w:rPr>
              <w:t>“七通”（通电</w:t>
            </w:r>
            <w:r>
              <w:rPr>
                <w:rFonts w:ascii="宋体" w:hAnsi="宋体"/>
                <w:color w:val="000000"/>
                <w:sz w:val="24"/>
              </w:rPr>
              <w:t>，通路，供水，排水，通讯</w:t>
            </w:r>
            <w:r>
              <w:rPr>
                <w:rFonts w:hint="eastAsia" w:ascii="宋体" w:hAnsi="宋体"/>
                <w:color w:val="000000"/>
                <w:sz w:val="24"/>
              </w:rPr>
              <w:t>，</w:t>
            </w:r>
            <w:r>
              <w:rPr>
                <w:rFonts w:ascii="宋体" w:hAnsi="宋体"/>
                <w:color w:val="000000"/>
                <w:sz w:val="24"/>
              </w:rPr>
              <w:t>通气</w:t>
            </w:r>
            <w:r>
              <w:rPr>
                <w:rFonts w:hint="eastAsia" w:ascii="宋体" w:hAnsi="宋体"/>
                <w:color w:val="000000"/>
                <w:sz w:val="24"/>
              </w:rPr>
              <w:t>，</w:t>
            </w:r>
            <w:r>
              <w:rPr>
                <w:rFonts w:ascii="宋体" w:hAnsi="宋体"/>
                <w:color w:val="000000"/>
                <w:sz w:val="24"/>
              </w:rPr>
              <w:t>通暖</w:t>
            </w:r>
            <w:r>
              <w:rPr>
                <w:rFonts w:hint="eastAsia" w:ascii="宋体" w:hAnsi="宋体"/>
                <w:color w:val="000000"/>
                <w:sz w:val="24"/>
              </w:rPr>
              <w:t>），</w:t>
            </w:r>
            <w:r>
              <w:rPr>
                <w:rFonts w:ascii="宋体" w:hAnsi="宋体"/>
                <w:color w:val="000000"/>
                <w:sz w:val="24"/>
              </w:rPr>
              <w:t>宗地</w:t>
            </w:r>
            <w:r>
              <w:rPr>
                <w:rFonts w:hint="eastAsia" w:ascii="宋体" w:hAnsi="宋体"/>
                <w:color w:val="000000"/>
                <w:sz w:val="24"/>
              </w:rPr>
              <w:t>红线内</w:t>
            </w:r>
            <w:r>
              <w:rPr>
                <w:rFonts w:ascii="宋体" w:hAnsi="宋体"/>
                <w:color w:val="000000"/>
                <w:sz w:val="24"/>
              </w:rPr>
              <w:t>开发程度已达到</w:t>
            </w:r>
            <w:r>
              <w:rPr>
                <w:rFonts w:hint="eastAsia" w:ascii="宋体" w:hAnsi="宋体"/>
                <w:color w:val="000000"/>
                <w:sz w:val="24"/>
              </w:rPr>
              <w:t>“七通一平”（通电</w:t>
            </w:r>
            <w:r>
              <w:rPr>
                <w:rFonts w:ascii="宋体" w:hAnsi="宋体"/>
                <w:color w:val="000000"/>
                <w:sz w:val="24"/>
              </w:rPr>
              <w:t>，通路，供水，排水，通讯</w:t>
            </w:r>
            <w:r>
              <w:rPr>
                <w:rFonts w:hint="eastAsia" w:ascii="宋体" w:hAnsi="宋体"/>
                <w:color w:val="000000"/>
                <w:sz w:val="24"/>
              </w:rPr>
              <w:t>，</w:t>
            </w:r>
            <w:r>
              <w:rPr>
                <w:rFonts w:ascii="宋体" w:hAnsi="宋体"/>
                <w:color w:val="000000"/>
                <w:sz w:val="24"/>
              </w:rPr>
              <w:t>通气</w:t>
            </w:r>
            <w:r>
              <w:rPr>
                <w:rFonts w:hint="eastAsia" w:ascii="宋体" w:hAnsi="宋体"/>
                <w:color w:val="000000"/>
                <w:sz w:val="24"/>
              </w:rPr>
              <w:t>，</w:t>
            </w:r>
            <w:r>
              <w:rPr>
                <w:rFonts w:ascii="宋体" w:hAnsi="宋体"/>
                <w:color w:val="000000"/>
                <w:sz w:val="24"/>
              </w:rPr>
              <w:t>通暖及场地平整</w:t>
            </w:r>
            <w:r>
              <w:rPr>
                <w:rFonts w:hint="eastAsia" w:ascii="宋体" w:hAnsi="宋体"/>
                <w:color w:val="000000"/>
                <w:sz w:val="24"/>
              </w:rPr>
              <w:t>），</w:t>
            </w:r>
            <w:r>
              <w:rPr>
                <w:rFonts w:ascii="宋体" w:hAnsi="宋体"/>
                <w:color w:val="000000"/>
                <w:sz w:val="24"/>
              </w:rPr>
              <w:t>已建有</w:t>
            </w:r>
            <w:r>
              <w:rPr>
                <w:rFonts w:hint="eastAsia" w:ascii="宋体" w:hAnsi="宋体"/>
                <w:color w:val="000000"/>
                <w:sz w:val="24"/>
              </w:rPr>
              <w:t>多栋建筑物</w:t>
            </w:r>
            <w:r>
              <w:rPr>
                <w:rFonts w:ascii="宋体" w:hAnsi="宋体"/>
                <w:color w:val="000000"/>
                <w:sz w:val="24"/>
              </w:rPr>
              <w:t>。</w:t>
            </w:r>
          </w:p>
        </w:tc>
      </w:tr>
    </w:tbl>
    <w:p>
      <w:pPr>
        <w:pStyle w:val="7"/>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（四）建筑物基本状况：</w:t>
      </w:r>
    </w:p>
    <w:tbl>
      <w:tblPr>
        <w:tblStyle w:val="2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名称及</w:t>
            </w:r>
            <w:r>
              <w:rPr>
                <w:rFonts w:ascii="宋体" w:hAnsi="宋体"/>
                <w:sz w:val="24"/>
              </w:rPr>
              <w:t>坐落</w:t>
            </w:r>
          </w:p>
        </w:tc>
        <w:tc>
          <w:tcPr>
            <w:tcW w:w="6910" w:type="dxa"/>
            <w:tcBorders>
              <w:top w:val="double" w:color="auto" w:sz="4" w:space="0"/>
              <w:right w:val="double" w:color="auto" w:sz="4" w:space="0"/>
            </w:tcBorders>
            <w:vAlign w:val="center"/>
          </w:tcPr>
          <w:p>
            <w:pPr>
              <w:jc w:val="left"/>
              <w:rPr>
                <w:sz w:val="24"/>
                <w:lang w:val="zh-CN"/>
              </w:rPr>
            </w:pPr>
            <w:r>
              <w:rPr>
                <w:rFonts w:hint="eastAsia" w:ascii="宋体" w:hAnsi="宋体"/>
                <w:sz w:val="24"/>
              </w:rPr>
              <w:t>聊城市开发区东方家园小区9号楼4单元4层442号及2处储藏室；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建筑面积</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442号</w:t>
            </w:r>
            <w:r>
              <w:rPr>
                <w:rFonts w:hint="eastAsia" w:ascii="宋体" w:hAnsi="宋体"/>
                <w:sz w:val="24"/>
                <w:lang w:val="zh-CN"/>
              </w:rPr>
              <w:t>建筑面积</w:t>
            </w:r>
            <w:r>
              <w:rPr>
                <w:rFonts w:hint="eastAsia" w:ascii="宋体" w:hAnsi="宋体"/>
                <w:sz w:val="24"/>
              </w:rPr>
              <w:t>88.04㎡</w:t>
            </w:r>
            <w:r>
              <w:rPr>
                <w:rFonts w:hint="eastAsia" w:ascii="宋体" w:hAnsi="宋体"/>
                <w:sz w:val="24"/>
                <w:lang w:val="zh-CN"/>
              </w:rPr>
              <w:t>，储藏室</w:t>
            </w:r>
            <w:r>
              <w:rPr>
                <w:rFonts w:hint="eastAsia" w:ascii="宋体" w:hAnsi="宋体"/>
                <w:sz w:val="24"/>
              </w:rPr>
              <w:t>（1）</w:t>
            </w:r>
            <w:r>
              <w:rPr>
                <w:rFonts w:hint="eastAsia" w:ascii="宋体" w:hAnsi="宋体"/>
                <w:sz w:val="24"/>
                <w:lang w:val="zh-CN"/>
              </w:rPr>
              <w:t>建筑面积</w:t>
            </w:r>
            <w:r>
              <w:rPr>
                <w:rFonts w:hint="eastAsia" w:ascii="宋体" w:hAnsi="宋体"/>
                <w:sz w:val="24"/>
              </w:rPr>
              <w:t>10.55㎡</w:t>
            </w:r>
            <w:r>
              <w:rPr>
                <w:rFonts w:hint="eastAsia" w:ascii="宋体" w:hAnsi="宋体"/>
                <w:sz w:val="24"/>
                <w:lang w:val="zh-CN"/>
              </w:rPr>
              <w:t>，储藏室</w:t>
            </w:r>
            <w:r>
              <w:rPr>
                <w:rFonts w:hint="eastAsia" w:ascii="宋体" w:hAnsi="宋体"/>
                <w:sz w:val="24"/>
              </w:rPr>
              <w:t>（2）</w:t>
            </w:r>
            <w:r>
              <w:rPr>
                <w:rFonts w:hint="eastAsia" w:ascii="宋体" w:hAnsi="宋体"/>
                <w:sz w:val="24"/>
                <w:lang w:val="zh-CN"/>
              </w:rPr>
              <w:t>建筑面积</w:t>
            </w:r>
            <w:r>
              <w:rPr>
                <w:rFonts w:hint="eastAsia" w:ascii="宋体" w:hAnsi="宋体"/>
                <w:sz w:val="24"/>
              </w:rPr>
              <w:t>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房屋用途</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规划</w:t>
            </w:r>
            <w:r>
              <w:rPr>
                <w:rFonts w:ascii="宋体" w:hAnsi="宋体"/>
                <w:sz w:val="24"/>
              </w:rPr>
              <w:t>用途为</w:t>
            </w:r>
            <w:r>
              <w:rPr>
                <w:rFonts w:hint="eastAsia" w:ascii="宋体" w:hAnsi="宋体"/>
                <w:sz w:val="24"/>
              </w:rPr>
              <w:t>住宅、</w:t>
            </w:r>
            <w:r>
              <w:rPr>
                <w:rFonts w:ascii="宋体" w:hAnsi="宋体"/>
                <w:sz w:val="24"/>
              </w:rPr>
              <w:t>储藏室用途</w:t>
            </w:r>
            <w:r>
              <w:rPr>
                <w:rFonts w:hint="eastAsia" w:ascii="宋体" w:hAnsi="宋体"/>
                <w:sz w:val="24"/>
              </w:rPr>
              <w:t>，实际</w:t>
            </w:r>
            <w:r>
              <w:rPr>
                <w:rFonts w:ascii="宋体" w:hAnsi="宋体"/>
                <w:sz w:val="24"/>
              </w:rPr>
              <w:t>用途为</w:t>
            </w:r>
            <w:r>
              <w:rPr>
                <w:rFonts w:hint="eastAsia" w:ascii="宋体" w:hAnsi="宋体"/>
                <w:sz w:val="24"/>
              </w:rPr>
              <w:t>住宅、</w:t>
            </w:r>
            <w:r>
              <w:rPr>
                <w:rFonts w:ascii="宋体" w:hAnsi="宋体"/>
                <w:sz w:val="24"/>
              </w:rPr>
              <w:t>储藏室用途</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建筑结构及层数</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混合结构；总层数7层，估价对象位于第4层、储藏室层；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设施设备</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配备消防系统，24小时</w:t>
            </w:r>
            <w:r>
              <w:rPr>
                <w:rFonts w:ascii="宋体" w:hAnsi="宋体"/>
                <w:sz w:val="24"/>
              </w:rPr>
              <w:t>监控系统，安保系统，设施设备较齐全；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层高</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层高为</w:t>
            </w:r>
            <w:r>
              <w:rPr>
                <w:rFonts w:ascii="宋体" w:hAnsi="宋体"/>
                <w:sz w:val="24"/>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空间布局</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未进入估价对象</w:t>
            </w:r>
            <w:r>
              <w:rPr>
                <w:rFonts w:ascii="宋体" w:hAnsi="宋体"/>
                <w:sz w:val="24"/>
              </w:rPr>
              <w:t>内部</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建成年代</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储藏室建成年代</w:t>
            </w:r>
            <w:r>
              <w:rPr>
                <w:rFonts w:ascii="宋体" w:hAnsi="宋体"/>
                <w:sz w:val="24"/>
              </w:rPr>
              <w:t>2004</w:t>
            </w:r>
            <w:r>
              <w:rPr>
                <w:rFonts w:hint="eastAsia" w:ascii="宋体" w:hAnsi="宋体"/>
                <w:sz w:val="24"/>
              </w:rPr>
              <w:t>年，住宅建成年代2007年</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使用</w:t>
            </w:r>
            <w:r>
              <w:rPr>
                <w:rFonts w:ascii="宋体" w:hAnsi="宋体"/>
                <w:sz w:val="24"/>
              </w:rPr>
              <w:t>及维护状况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目前</w:t>
            </w:r>
            <w:r>
              <w:rPr>
                <w:rFonts w:ascii="宋体" w:hAnsi="宋体"/>
                <w:sz w:val="24"/>
              </w:rPr>
              <w:t>估价对象</w:t>
            </w:r>
            <w:r>
              <w:rPr>
                <w:rFonts w:hint="eastAsia" w:ascii="宋体" w:hAnsi="宋体"/>
                <w:sz w:val="24"/>
              </w:rPr>
              <w:t>处于利用中</w:t>
            </w:r>
            <w:r>
              <w:rPr>
                <w:rFonts w:ascii="宋体" w:hAnsi="宋体"/>
                <w:sz w:val="24"/>
              </w:rPr>
              <w:t>，</w:t>
            </w:r>
            <w:r>
              <w:rPr>
                <w:rFonts w:hint="eastAsia" w:ascii="宋体" w:hAnsi="宋体"/>
                <w:sz w:val="24"/>
              </w:rPr>
              <w:t>结构构件安全完好，基本牢固，齐全完整，现状良好，使用正常，地面、墙面、门窗等维护保养状况一般；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建筑物</w:t>
            </w:r>
            <w:r>
              <w:rPr>
                <w:rFonts w:ascii="宋体" w:hAnsi="宋体"/>
                <w:sz w:val="24"/>
              </w:rPr>
              <w:t>完损状况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房屋地基有承载力，稍有超过允许范围的不均匀沉降，但已稳定</w:t>
            </w:r>
            <w:r>
              <w:rPr>
                <w:rFonts w:ascii="宋体" w:hAnsi="宋体"/>
                <w:sz w:val="24"/>
              </w:rPr>
              <w:t>，</w:t>
            </w:r>
            <w:r>
              <w:rPr>
                <w:rFonts w:hint="eastAsia" w:ascii="宋体" w:hAnsi="宋体"/>
                <w:sz w:val="24"/>
              </w:rPr>
              <w:t>承重结构部件及主要非承重墙体基本完好，室内外装饰工程无明显裂缝及脱落，门窗及五金配件基本完好，为基本完好房；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装饰装修</w:t>
            </w:r>
          </w:p>
        </w:tc>
        <w:tc>
          <w:tcPr>
            <w:tcW w:w="6910" w:type="dxa"/>
            <w:tcBorders>
              <w:bottom w:val="double" w:color="auto" w:sz="4" w:space="0"/>
              <w:right w:val="double" w:color="auto" w:sz="4" w:space="0"/>
            </w:tcBorders>
            <w:vAlign w:val="center"/>
          </w:tcPr>
          <w:p>
            <w:pPr>
              <w:jc w:val="left"/>
              <w:rPr>
                <w:rFonts w:ascii="宋体" w:hAnsi="宋体"/>
                <w:sz w:val="24"/>
              </w:rPr>
            </w:pPr>
            <w:r>
              <w:rPr>
                <w:rFonts w:hint="eastAsia" w:ascii="宋体" w:hAnsi="宋体"/>
                <w:sz w:val="24"/>
              </w:rPr>
              <w:t>估价对象</w:t>
            </w:r>
            <w:r>
              <w:rPr>
                <w:rFonts w:ascii="宋体" w:hAnsi="宋体"/>
                <w:sz w:val="24"/>
              </w:rPr>
              <w:t>外墙</w:t>
            </w:r>
            <w:r>
              <w:rPr>
                <w:rFonts w:hint="eastAsia" w:ascii="宋体" w:hAnsi="宋体"/>
                <w:sz w:val="24"/>
              </w:rPr>
              <w:t>涂料，</w:t>
            </w:r>
            <w:r>
              <w:rPr>
                <w:rFonts w:ascii="宋体" w:hAnsi="宋体"/>
                <w:sz w:val="24"/>
              </w:rPr>
              <w:t>入户防盗门，</w:t>
            </w:r>
            <w:r>
              <w:rPr>
                <w:rFonts w:hint="eastAsia" w:ascii="宋体" w:hAnsi="宋体"/>
                <w:sz w:val="24"/>
              </w:rPr>
              <w:t>一梯两户；因当事人原因，注册房地产估价师未能进入估价对象内部进行查勘，本次评估假定估价对象内部为简单装修，请报告使用人注意。</w:t>
            </w:r>
          </w:p>
        </w:tc>
      </w:tr>
    </w:tbl>
    <w:p>
      <w:pPr>
        <w:spacing w:line="560" w:lineRule="exact"/>
        <w:ind w:firstLine="594" w:firstLineChars="200"/>
        <w:rPr>
          <w:rFonts w:ascii="宋体" w:hAnsi="宋体"/>
          <w:b/>
          <w:color w:val="000000"/>
        </w:rPr>
      </w:pPr>
      <w:bookmarkStart w:id="43" w:name="_Toc16234176"/>
      <w:bookmarkStart w:id="44" w:name="_Toc17471989"/>
      <w:bookmarkStart w:id="45" w:name="_Toc17471958"/>
      <w:bookmarkStart w:id="46" w:name="_Toc55921669"/>
      <w:bookmarkStart w:id="47" w:name="_Toc24121736"/>
      <w:bookmarkStart w:id="48" w:name="_Toc28941833"/>
      <w:bookmarkStart w:id="49" w:name="_Toc27736465"/>
      <w:bookmarkStart w:id="50" w:name="_Toc19087057"/>
      <w:bookmarkStart w:id="51" w:name="_Toc16234438"/>
      <w:r>
        <w:rPr>
          <w:rStyle w:val="47"/>
          <w:rFonts w:hint="eastAsia"/>
        </w:rPr>
        <w:t>五、价值时点</w:t>
      </w:r>
      <w:bookmarkEnd w:id="43"/>
      <w:bookmarkEnd w:id="44"/>
      <w:bookmarkEnd w:id="45"/>
      <w:bookmarkEnd w:id="46"/>
      <w:bookmarkEnd w:id="47"/>
      <w:bookmarkEnd w:id="48"/>
      <w:bookmarkEnd w:id="49"/>
      <w:bookmarkEnd w:id="50"/>
      <w:bookmarkEnd w:id="51"/>
      <w:r>
        <w:rPr>
          <w:rFonts w:hint="eastAsia" w:ascii="宋体" w:hAnsi="宋体"/>
          <w:b/>
          <w:color w:val="000000"/>
        </w:rPr>
        <w:t>：</w:t>
      </w:r>
    </w:p>
    <w:p>
      <w:pPr>
        <w:spacing w:line="560" w:lineRule="exact"/>
        <w:ind w:firstLine="560" w:firstLineChars="200"/>
        <w:rPr>
          <w:rFonts w:ascii="宋体" w:hAnsi="宋体"/>
          <w:sz w:val="28"/>
          <w:szCs w:val="32"/>
        </w:rPr>
      </w:pPr>
      <w:r>
        <w:rPr>
          <w:rFonts w:hint="eastAsia" w:ascii="宋体" w:hAnsi="宋体"/>
          <w:sz w:val="28"/>
          <w:szCs w:val="32"/>
        </w:rPr>
        <w:t>根据聊城市东昌府区人民法院委托书(2022）鲁1502执恢474号获悉：本次评估委托之日为2022年9月16日，现场实地查勘完成之日为2022年10月11日。根据相关规定，人民法院未明确价值时点的，一般以估价对象实地查勘完成之日作为价值时点，故确定本次评估的价值时点为现场实地查勘完成之日（即2022年10月11日）。</w:t>
      </w:r>
    </w:p>
    <w:p>
      <w:pPr>
        <w:spacing w:line="560" w:lineRule="exact"/>
        <w:ind w:firstLine="594" w:firstLineChars="200"/>
        <w:rPr>
          <w:rFonts w:ascii="宋体" w:hAnsi="宋体"/>
          <w:color w:val="000000"/>
          <w:sz w:val="28"/>
        </w:rPr>
      </w:pPr>
      <w:bookmarkStart w:id="52" w:name="_Toc27736466"/>
      <w:bookmarkStart w:id="53" w:name="_Toc55921670"/>
      <w:bookmarkStart w:id="54" w:name="_Toc24121737"/>
      <w:bookmarkStart w:id="55" w:name="_Toc16234177"/>
      <w:bookmarkStart w:id="56" w:name="_Toc17471990"/>
      <w:bookmarkStart w:id="57" w:name="_Toc16234439"/>
      <w:bookmarkStart w:id="58" w:name="_Toc17471959"/>
      <w:bookmarkStart w:id="59" w:name="_Toc19087058"/>
      <w:bookmarkStart w:id="60" w:name="_Toc28941834"/>
      <w:r>
        <w:rPr>
          <w:rStyle w:val="47"/>
          <w:rFonts w:hint="eastAsia"/>
        </w:rPr>
        <w:t>六、价值类型</w:t>
      </w:r>
      <w:bookmarkEnd w:id="52"/>
      <w:bookmarkEnd w:id="53"/>
      <w:bookmarkEnd w:id="54"/>
      <w:bookmarkEnd w:id="55"/>
      <w:bookmarkEnd w:id="56"/>
      <w:bookmarkEnd w:id="57"/>
      <w:bookmarkEnd w:id="58"/>
      <w:bookmarkEnd w:id="59"/>
      <w:bookmarkEnd w:id="60"/>
      <w:r>
        <w:rPr>
          <w:rFonts w:hint="eastAsia" w:ascii="宋体" w:hAnsi="宋体"/>
          <w:color w:val="000000"/>
          <w:sz w:val="28"/>
        </w:rPr>
        <w:t>：</w:t>
      </w:r>
    </w:p>
    <w:p>
      <w:pPr>
        <w:pStyle w:val="7"/>
        <w:adjustRightInd w:val="0"/>
        <w:spacing w:line="560" w:lineRule="exact"/>
        <w:ind w:firstLine="420" w:firstLineChars="150"/>
        <w:rPr>
          <w:rFonts w:ascii="宋体" w:hAnsi="宋体" w:eastAsia="宋体"/>
          <w:szCs w:val="28"/>
        </w:rPr>
      </w:pPr>
      <w:bookmarkStart w:id="61" w:name="_Toc19087059"/>
      <w:bookmarkStart w:id="62" w:name="_Toc55921671"/>
      <w:bookmarkStart w:id="63" w:name="_Toc17471991"/>
      <w:bookmarkStart w:id="64" w:name="_Toc17471960"/>
      <w:bookmarkStart w:id="65" w:name="_Toc16234178"/>
      <w:bookmarkStart w:id="66" w:name="_Toc27736467"/>
      <w:bookmarkStart w:id="67" w:name="_Toc24121738"/>
      <w:bookmarkStart w:id="68" w:name="_Toc28941835"/>
      <w:bookmarkStart w:id="69" w:name="_Toc16234440"/>
      <w:r>
        <w:rPr>
          <w:rFonts w:hint="eastAsia" w:ascii="宋体" w:hAnsi="宋体" w:eastAsia="宋体"/>
          <w:szCs w:val="28"/>
        </w:rPr>
        <w:t>（一）价值类型</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32"/>
        </w:rPr>
        <w:t>根据估价目的，本次评估所采用的价值类型为市场价格</w:t>
      </w:r>
      <w:r>
        <w:rPr>
          <w:rFonts w:hint="eastAsia" w:ascii="宋体" w:hAnsi="宋体" w:eastAsia="宋体"/>
          <w:szCs w:val="28"/>
        </w:rPr>
        <w:t>。</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（二）价值定义</w:t>
      </w:r>
    </w:p>
    <w:p>
      <w:pPr>
        <w:pStyle w:val="7"/>
        <w:adjustRightInd w:val="0"/>
        <w:spacing w:line="560" w:lineRule="exact"/>
        <w:ind w:firstLine="560" w:firstLineChars="200"/>
        <w:rPr>
          <w:rFonts w:ascii="宋体" w:hAnsi="宋体" w:eastAsia="宋体"/>
          <w:szCs w:val="28"/>
          <w:highlight w:val="yellow"/>
        </w:rPr>
      </w:pPr>
      <w:r>
        <w:rPr>
          <w:rFonts w:hint="eastAsia" w:ascii="宋体" w:hAnsi="宋体" w:eastAsia="宋体"/>
          <w:szCs w:val="28"/>
        </w:rPr>
        <w:t>某种（或某宗）房地产的市场价格，是该种（或该宗）房地产在现实市场上的平均交易价格。</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（三）价值内涵</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价值内涵是估价对象在价值时点，满足本次估价假设和限制条件下包括建筑物、储藏室</w:t>
      </w:r>
      <w:r>
        <w:rPr>
          <w:rFonts w:ascii="宋体" w:hAnsi="宋体" w:eastAsia="宋体"/>
          <w:color w:val="000000"/>
          <w:szCs w:val="28"/>
        </w:rPr>
        <w:t>、</w:t>
      </w:r>
      <w:r>
        <w:rPr>
          <w:rFonts w:hint="eastAsia" w:ascii="宋体" w:hAnsi="宋体" w:eastAsia="宋体"/>
          <w:color w:val="000000"/>
          <w:szCs w:val="28"/>
        </w:rPr>
        <w:t>分摊的土地使用权及配套设施的价格；房屋面积内涵是建筑面积；开发程度为现房。</w:t>
      </w:r>
    </w:p>
    <w:bookmarkEnd w:id="61"/>
    <w:bookmarkEnd w:id="62"/>
    <w:bookmarkEnd w:id="63"/>
    <w:bookmarkEnd w:id="64"/>
    <w:bookmarkEnd w:id="65"/>
    <w:bookmarkEnd w:id="66"/>
    <w:bookmarkEnd w:id="67"/>
    <w:bookmarkEnd w:id="68"/>
    <w:bookmarkEnd w:id="69"/>
    <w:p>
      <w:pPr>
        <w:spacing w:line="560" w:lineRule="exact"/>
        <w:ind w:firstLine="594" w:firstLineChars="200"/>
        <w:rPr>
          <w:rFonts w:ascii="宋体" w:hAnsi="宋体"/>
          <w:b/>
          <w:color w:val="000000"/>
          <w:sz w:val="28"/>
        </w:rPr>
      </w:pPr>
      <w:r>
        <w:rPr>
          <w:rStyle w:val="47"/>
          <w:rFonts w:hint="eastAsia"/>
        </w:rPr>
        <w:t>七、估价原则</w:t>
      </w:r>
      <w:r>
        <w:rPr>
          <w:rFonts w:hint="eastAsia" w:ascii="宋体" w:hAnsi="宋体"/>
          <w:b/>
          <w:color w:val="000000"/>
          <w:sz w:val="28"/>
        </w:rPr>
        <w:t>：</w:t>
      </w:r>
    </w:p>
    <w:p>
      <w:pPr>
        <w:pStyle w:val="8"/>
        <w:spacing w:line="560" w:lineRule="exact"/>
        <w:rPr>
          <w:rFonts w:ascii="宋体" w:hAnsi="宋体" w:eastAsia="宋体"/>
          <w:szCs w:val="32"/>
        </w:rPr>
      </w:pPr>
      <w:r>
        <w:rPr>
          <w:rFonts w:hint="eastAsia" w:ascii="宋体" w:hAnsi="宋体" w:eastAsia="宋体"/>
          <w:szCs w:val="32"/>
        </w:rPr>
        <w:t>本次估价遵守独立、客观、公正、合法的原则及最高最佳使用原则、价值时点原则、替代原则等技术性原则。</w:t>
      </w:r>
    </w:p>
    <w:p>
      <w:pPr>
        <w:pStyle w:val="7"/>
        <w:adjustRightInd w:val="0"/>
        <w:spacing w:line="560" w:lineRule="exact"/>
        <w:ind w:firstLine="420" w:firstLineChars="150"/>
        <w:rPr>
          <w:rFonts w:ascii="宋体" w:hAnsi="宋体" w:eastAsia="宋体"/>
          <w:szCs w:val="28"/>
        </w:rPr>
      </w:pPr>
      <w:bookmarkStart w:id="70" w:name="_Toc17471992"/>
      <w:bookmarkStart w:id="71" w:name="_Toc24121739"/>
      <w:bookmarkStart w:id="72" w:name="_Toc19087060"/>
      <w:bookmarkStart w:id="73" w:name="_Toc16234441"/>
      <w:bookmarkStart w:id="74" w:name="_Toc16234179"/>
      <w:bookmarkStart w:id="75" w:name="_Toc55921672"/>
      <w:bookmarkStart w:id="76" w:name="_Toc28941836"/>
      <w:bookmarkStart w:id="77" w:name="_Toc27736468"/>
      <w:bookmarkStart w:id="78" w:name="_Toc17471961"/>
      <w:r>
        <w:rPr>
          <w:rFonts w:hint="eastAsia" w:ascii="宋体" w:hAnsi="宋体" w:eastAsia="宋体"/>
          <w:szCs w:val="28"/>
        </w:rPr>
        <w:t>（一）独立、客观、公正原则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要求估价机构</w:t>
      </w:r>
      <w:r>
        <w:rPr>
          <w:rFonts w:ascii="宋体" w:hAnsi="宋体" w:eastAsia="宋体"/>
          <w:szCs w:val="28"/>
        </w:rPr>
        <w:t>及估价人员</w:t>
      </w:r>
      <w:r>
        <w:rPr>
          <w:rFonts w:hint="eastAsia" w:ascii="宋体" w:hAnsi="宋体" w:eastAsia="宋体"/>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（二）合法原则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要求估价结果是在依法判定的估价对象状况下的价值或价格的原则。遵循合法原则，应以估价对象的合法使用、合法处分为前提估价。包括估</w:t>
      </w:r>
    </w:p>
    <w:p>
      <w:pPr>
        <w:pStyle w:val="7"/>
        <w:adjustRightInd w:val="0"/>
        <w:spacing w:line="560" w:lineRule="exact"/>
        <w:rPr>
          <w:rFonts w:ascii="宋体" w:hAnsi="宋体" w:eastAsia="宋体"/>
          <w:szCs w:val="28"/>
        </w:rPr>
      </w:pPr>
      <w:r>
        <w:rPr>
          <w:rFonts w:hint="eastAsia" w:ascii="宋体" w:hAnsi="宋体" w:eastAsia="宋体"/>
          <w:szCs w:val="28"/>
        </w:rPr>
        <w:t>价对象的土地权属来源、取得方式合法，房屋建筑用途、容积率、建筑密度、绿化率、外观等符合土地利用规划、城市规划的要求。估价报告撰写</w:t>
      </w:r>
    </w:p>
    <w:p>
      <w:pPr>
        <w:pStyle w:val="7"/>
        <w:adjustRightInd w:val="0"/>
        <w:spacing w:line="560" w:lineRule="exact"/>
        <w:rPr>
          <w:rFonts w:ascii="宋体" w:hAnsi="宋体" w:eastAsia="宋体"/>
          <w:szCs w:val="28"/>
        </w:rPr>
      </w:pPr>
      <w:r>
        <w:rPr>
          <w:rFonts w:hint="eastAsia" w:ascii="宋体" w:hAnsi="宋体" w:eastAsia="宋体"/>
          <w:szCs w:val="28"/>
        </w:rPr>
        <w:t>的依据、程序、方法和结果等合法合理。估价报告的目的、出具、使用等</w:t>
      </w:r>
    </w:p>
    <w:p>
      <w:pPr>
        <w:pStyle w:val="7"/>
        <w:adjustRightInd w:val="0"/>
        <w:spacing w:line="560" w:lineRule="exact"/>
        <w:rPr>
          <w:rFonts w:ascii="宋体" w:hAnsi="宋体" w:eastAsia="宋体"/>
          <w:szCs w:val="28"/>
        </w:rPr>
      </w:pPr>
      <w:r>
        <w:rPr>
          <w:rFonts w:hint="eastAsia" w:ascii="宋体" w:hAnsi="宋体" w:eastAsia="宋体"/>
          <w:szCs w:val="28"/>
        </w:rPr>
        <w:t>合法。</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（三）价值时点原则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（四）替代原则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要求估价结果与估价对象的类似房地产在同等条件下的价值或价格偏差在合理范围内的原则。</w:t>
      </w:r>
      <w:r>
        <w:rPr>
          <w:rFonts w:hint="eastAsia" w:ascii="宋体" w:hAnsi="宋体" w:eastAsia="宋体"/>
          <w:color w:val="000000"/>
          <w:szCs w:val="28"/>
        </w:rPr>
        <w:t>在用途、规模、档次、建筑结构等方面</w:t>
      </w:r>
      <w:r>
        <w:rPr>
          <w:rFonts w:hint="eastAsia" w:ascii="宋体" w:hAnsi="宋体" w:eastAsia="宋体"/>
          <w:szCs w:val="28"/>
        </w:rPr>
        <w:t>具有相同使用价值、有替代可能的房地产之间，会相互影响和竞争，使价格相互牵制而趋向一致。</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（五）最高最佳利用原则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要求估价结果在估价对象最高最佳利用状况下的价值或价格的原则。最高最佳利用是指房地产在法律上允许、技术上可能、财务上可行并使价值最大的合理、可能的利用，包括最佳的用途、规模、档次等。</w:t>
      </w:r>
    </w:p>
    <w:p>
      <w:pPr>
        <w:pStyle w:val="7"/>
        <w:spacing w:line="560" w:lineRule="exact"/>
        <w:ind w:firstLine="594" w:firstLineChars="200"/>
        <w:rPr>
          <w:rFonts w:ascii="宋体" w:hAnsi="宋体" w:eastAsia="宋体"/>
          <w:b/>
          <w:color w:val="000000"/>
        </w:rPr>
      </w:pPr>
      <w:r>
        <w:rPr>
          <w:rStyle w:val="47"/>
          <w:rFonts w:hint="eastAsia"/>
        </w:rPr>
        <w:t>八、估价依据</w:t>
      </w:r>
      <w:bookmarkEnd w:id="70"/>
      <w:bookmarkEnd w:id="71"/>
      <w:bookmarkEnd w:id="72"/>
      <w:bookmarkEnd w:id="73"/>
      <w:bookmarkEnd w:id="74"/>
      <w:bookmarkEnd w:id="75"/>
      <w:bookmarkEnd w:id="76"/>
      <w:bookmarkEnd w:id="77"/>
      <w:bookmarkEnd w:id="78"/>
      <w:r>
        <w:rPr>
          <w:rFonts w:hint="eastAsia" w:ascii="宋体" w:hAnsi="宋体" w:eastAsia="宋体"/>
          <w:b/>
          <w:color w:val="000000"/>
        </w:rPr>
        <w:t>：</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（一）本次估价所依据的有关法律、法规和部门规章</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1、《中华人民共和国民法典》（2020年5月28日，十三届全国人大三次会议表决通过，自2021年1月1日起施行）；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、《中华人民共和国资产评估法》（全国人民代表大会常务委员会于2016年7月2日发布，自2016年12月1日起实施）；</w:t>
      </w:r>
    </w:p>
    <w:p>
      <w:pPr>
        <w:spacing w:line="56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、《最高人民法院关于人民法院委托评估、拍卖和变卖工作的若干规定》（法释[2009]16号，于2009年8月24日由最高人民法院审判委员会第1472次会议通过，自2009年11月20日起施行）；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、《最高人民法院关于人民法院确定财产处置参考价若干问题的规定》（法释[2018]15号，于2018年6月4日由最高人民法院审判委员会第1741次会议通过，自2018年9月1日起施行）；</w:t>
      </w:r>
    </w:p>
    <w:p>
      <w:pPr>
        <w:pStyle w:val="7"/>
        <w:spacing w:line="560" w:lineRule="exact"/>
        <w:ind w:firstLine="560" w:firstLineChars="200"/>
        <w:rPr>
          <w:rFonts w:ascii="宋体" w:hAnsi="宋体" w:eastAsia="宋体"/>
          <w:szCs w:val="28"/>
        </w:rPr>
      </w:pPr>
      <w:r>
        <w:rPr>
          <w:rFonts w:ascii="宋体" w:hAnsi="宋体" w:eastAsia="宋体"/>
          <w:szCs w:val="28"/>
        </w:rPr>
        <w:t>7</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《关于全面推开营业税改征增值税试点的通知》（财税〔2016〕36 号）；</w:t>
      </w:r>
    </w:p>
    <w:p>
      <w:pPr>
        <w:pStyle w:val="7"/>
        <w:spacing w:line="560" w:lineRule="exact"/>
        <w:ind w:firstLine="560" w:firstLineChars="200"/>
        <w:rPr>
          <w:rFonts w:ascii="宋体" w:hAnsi="宋体" w:eastAsia="宋体"/>
          <w:szCs w:val="28"/>
        </w:rPr>
      </w:pPr>
      <w:r>
        <w:rPr>
          <w:rFonts w:ascii="宋体" w:hAnsi="宋体" w:eastAsia="宋体"/>
          <w:szCs w:val="28"/>
        </w:rPr>
        <w:t>8</w:t>
      </w:r>
      <w:r>
        <w:rPr>
          <w:rFonts w:hint="eastAsia" w:ascii="宋体" w:hAnsi="宋体" w:eastAsia="宋体"/>
          <w:szCs w:val="28"/>
        </w:rPr>
        <w:t>、国家税务总局《关于发布〈纳税人提供不动产经营租赁服务增值税征收管理暂行办法〉的公告》；</w:t>
      </w:r>
    </w:p>
    <w:p>
      <w:pPr>
        <w:pStyle w:val="7"/>
        <w:spacing w:line="560" w:lineRule="exact"/>
        <w:ind w:firstLine="560" w:firstLineChars="200"/>
        <w:rPr>
          <w:rFonts w:ascii="宋体" w:hAnsi="宋体" w:eastAsia="宋体"/>
          <w:szCs w:val="28"/>
        </w:rPr>
      </w:pPr>
      <w:r>
        <w:rPr>
          <w:rFonts w:ascii="宋体" w:hAnsi="宋体" w:eastAsia="宋体"/>
          <w:szCs w:val="28"/>
        </w:rPr>
        <w:t>9</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《关于营改增后契税 房产税 土地增值税 个人所得税计税依据问题的通知》（财税〔2016〕43 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（二）本次估价采用的技术规程</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1、中华人民共和国国家标准GB/T50291-2015《房地产估价规范》；</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2、中华人民共和国国家标准GB/T50899-2013《房地产估价基本术语标准》；</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、中国</w:t>
      </w:r>
      <w:r>
        <w:rPr>
          <w:rFonts w:ascii="宋体" w:hAnsi="宋体"/>
          <w:color w:val="000000"/>
          <w:sz w:val="28"/>
          <w:szCs w:val="28"/>
        </w:rPr>
        <w:t>房地产估价师与房地产经纪人学会关于</w:t>
      </w:r>
      <w:r>
        <w:rPr>
          <w:rFonts w:hint="eastAsia" w:ascii="宋体" w:hAnsi="宋体"/>
          <w:color w:val="000000"/>
          <w:sz w:val="28"/>
          <w:szCs w:val="28"/>
        </w:rPr>
        <w:t>《涉执房地产处置司法评估指导意见（试行）》的通知（中房学〔2021〕37号）。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（三）估价委托人提供的有关资料</w:t>
      </w:r>
    </w:p>
    <w:p>
      <w:pPr>
        <w:spacing w:line="560" w:lineRule="exact"/>
        <w:ind w:firstLine="560" w:firstLineChars="200"/>
        <w:rPr>
          <w:rFonts w:ascii="宋体" w:hAnsi="宋体"/>
          <w:color w:val="000000"/>
          <w:sz w:val="28"/>
        </w:rPr>
      </w:pPr>
      <w:r>
        <w:rPr>
          <w:rFonts w:hint="eastAsia" w:ascii="宋体" w:hAnsi="宋体"/>
          <w:color w:val="000000"/>
          <w:sz w:val="28"/>
        </w:rPr>
        <w:t>1、聊城市东昌府区人民法院委托书原件；</w:t>
      </w:r>
    </w:p>
    <w:p>
      <w:pPr>
        <w:spacing w:line="560" w:lineRule="exact"/>
        <w:ind w:firstLine="560" w:firstLineChars="200"/>
        <w:rPr>
          <w:rFonts w:ascii="宋体" w:hAnsi="宋体"/>
          <w:color w:val="000000"/>
          <w:sz w:val="28"/>
        </w:rPr>
      </w:pPr>
      <w:r>
        <w:rPr>
          <w:rFonts w:hint="eastAsia" w:ascii="宋体" w:hAnsi="宋体"/>
          <w:color w:val="000000"/>
          <w:sz w:val="28"/>
        </w:rPr>
        <w:t>2、</w:t>
      </w:r>
      <w:r>
        <w:rPr>
          <w:rFonts w:hint="eastAsia" w:ascii="宋体" w:hAnsi="宋体" w:cs="宋体"/>
          <w:color w:val="000000"/>
          <w:sz w:val="28"/>
          <w:lang w:val="zh-CN"/>
        </w:rPr>
        <w:t>房屋所有权证复印件</w:t>
      </w:r>
      <w:r>
        <w:rPr>
          <w:rFonts w:ascii="宋体" w:hAnsi="宋体"/>
          <w:color w:val="000000"/>
          <w:sz w:val="28"/>
        </w:rPr>
        <w:t>。</w:t>
      </w:r>
    </w:p>
    <w:p>
      <w:pPr>
        <w:spacing w:line="560" w:lineRule="exact"/>
        <w:rPr>
          <w:rFonts w:ascii="宋体" w:hAnsi="宋体"/>
          <w:color w:val="000000"/>
          <w:sz w:val="28"/>
          <w:szCs w:val="28"/>
        </w:rPr>
      </w:pPr>
      <w:r>
        <w:rPr>
          <w:rFonts w:hint="eastAsia" w:ascii="宋体" w:hAnsi="宋体"/>
          <w:color w:val="000000"/>
          <w:sz w:val="28"/>
          <w:szCs w:val="28"/>
        </w:rPr>
        <w:t xml:space="preserve">   （四）房地产估价机构和注册房地产估价师所搜集掌握的有关资料。</w:t>
      </w:r>
    </w:p>
    <w:p>
      <w:pPr>
        <w:spacing w:line="560" w:lineRule="exact"/>
        <w:ind w:left="561" w:leftChars="267"/>
        <w:rPr>
          <w:rFonts w:ascii="宋体" w:hAnsi="宋体"/>
          <w:color w:val="000000"/>
          <w:sz w:val="28"/>
          <w:szCs w:val="28"/>
        </w:rPr>
      </w:pPr>
      <w:r>
        <w:rPr>
          <w:rFonts w:hint="eastAsia" w:ascii="宋体" w:hAnsi="宋体"/>
          <w:color w:val="000000"/>
          <w:sz w:val="28"/>
          <w:szCs w:val="28"/>
        </w:rPr>
        <w:t>1、估价对象的区位、权属、实物状况及其配套设施；</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2、</w:t>
      </w:r>
      <w:r>
        <w:rPr>
          <w:rFonts w:hint="eastAsia" w:ascii="宋体" w:hAnsi="宋体" w:eastAsia="宋体"/>
          <w:szCs w:val="28"/>
        </w:rPr>
        <w:t>聊城市房地产市场调查和搜集的有关资料等</w:t>
      </w:r>
      <w:r>
        <w:rPr>
          <w:rFonts w:hint="eastAsia" w:ascii="宋体" w:hAnsi="宋体" w:eastAsia="宋体"/>
          <w:color w:val="000000"/>
          <w:szCs w:val="28"/>
        </w:rPr>
        <w:t>；</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3、估价对象的实地查勘的资料（图片）及房地产估价机构长期积累的估价资料。</w:t>
      </w:r>
    </w:p>
    <w:p>
      <w:pPr>
        <w:pStyle w:val="7"/>
        <w:spacing w:line="560" w:lineRule="exact"/>
        <w:ind w:firstLine="594" w:firstLineChars="200"/>
        <w:rPr>
          <w:rFonts w:ascii="宋体" w:hAnsi="宋体" w:eastAsia="宋体"/>
          <w:b/>
          <w:color w:val="000000"/>
        </w:rPr>
      </w:pPr>
      <w:bookmarkStart w:id="79" w:name="_Toc80189421"/>
      <w:bookmarkStart w:id="80" w:name="_Toc59100918"/>
      <w:r>
        <w:rPr>
          <w:rStyle w:val="47"/>
          <w:rFonts w:hint="eastAsia"/>
        </w:rPr>
        <w:t>九、估价方法</w:t>
      </w:r>
      <w:bookmarkEnd w:id="79"/>
      <w:bookmarkEnd w:id="80"/>
      <w:r>
        <w:rPr>
          <w:rFonts w:hint="eastAsia" w:ascii="宋体" w:hAnsi="宋体" w:eastAsia="宋体"/>
          <w:b/>
          <w:color w:val="000000"/>
        </w:rPr>
        <w:t>：</w:t>
      </w:r>
    </w:p>
    <w:p>
      <w:pPr>
        <w:spacing w:line="560" w:lineRule="exact"/>
        <w:ind w:firstLine="422" w:firstLineChars="150"/>
        <w:rPr>
          <w:rFonts w:ascii="宋体" w:hAnsi="宋体" w:cs="宋体"/>
          <w:b/>
          <w:sz w:val="28"/>
        </w:rPr>
      </w:pPr>
      <w:bookmarkStart w:id="81" w:name="_Toc16234443"/>
      <w:bookmarkStart w:id="82" w:name="_Toc19087062"/>
      <w:bookmarkStart w:id="83" w:name="_Toc24121741"/>
      <w:bookmarkStart w:id="84" w:name="_Toc59100919"/>
      <w:bookmarkStart w:id="85" w:name="_Toc80189422"/>
      <w:bookmarkStart w:id="86" w:name="_Toc16234181"/>
      <w:bookmarkStart w:id="87" w:name="_Toc17471963"/>
      <w:bookmarkStart w:id="88" w:name="_Toc28941838"/>
      <w:bookmarkStart w:id="89" w:name="_Toc17471994"/>
      <w:bookmarkStart w:id="90" w:name="_Toc27736470"/>
      <w:r>
        <w:rPr>
          <w:rFonts w:hint="eastAsia" w:ascii="宋体" w:hAnsi="宋体" w:cs="宋体"/>
          <w:b/>
          <w:sz w:val="28"/>
        </w:rPr>
        <w:t>（一）各种估价方法的名称和定义</w:t>
      </w:r>
    </w:p>
    <w:p>
      <w:pPr>
        <w:spacing w:line="560" w:lineRule="exact"/>
        <w:ind w:firstLine="560" w:firstLineChars="200"/>
        <w:rPr>
          <w:rFonts w:ascii="宋体" w:hAnsi="宋体" w:cs="宋体"/>
          <w:sz w:val="28"/>
        </w:rPr>
      </w:pPr>
      <w:r>
        <w:rPr>
          <w:rFonts w:hint="eastAsia" w:ascii="宋体" w:hAnsi="宋体" w:cs="宋体"/>
          <w:sz w:val="28"/>
        </w:rPr>
        <w:t>根据《房地产估价规范》，房地产估价常用方法有比较法、收益法、成本法、假设开发法等，估价过程中应根据估价对象的实际情况选择适合的评估方法。</w:t>
      </w:r>
    </w:p>
    <w:p>
      <w:pPr>
        <w:spacing w:line="560" w:lineRule="exact"/>
        <w:ind w:firstLine="420" w:firstLineChars="150"/>
        <w:rPr>
          <w:rFonts w:ascii="宋体" w:hAnsi="宋体" w:cs="宋体"/>
          <w:sz w:val="28"/>
        </w:rPr>
      </w:pPr>
      <w:r>
        <w:rPr>
          <w:rFonts w:hint="eastAsia" w:ascii="宋体" w:hAnsi="宋体" w:cs="宋体"/>
          <w:sz w:val="28"/>
        </w:rPr>
        <w:t xml:space="preserve"> </w:t>
      </w:r>
      <w:r>
        <w:rPr>
          <w:rFonts w:ascii="宋体" w:hAnsi="宋体" w:cs="宋体"/>
          <w:sz w:val="28"/>
        </w:rPr>
        <w:t>1</w:t>
      </w:r>
      <w:r>
        <w:rPr>
          <w:rFonts w:hint="eastAsia" w:ascii="宋体" w:hAnsi="宋体" w:cs="宋体"/>
          <w:sz w:val="28"/>
        </w:rPr>
        <w:t>、比较法：是选取一定数量的可比实例，将它们与估价对象进行比较，根据其间的差异对可比实例成交价格进行处理后得到估价对象价值或价格的方法。</w:t>
      </w:r>
    </w:p>
    <w:p>
      <w:pPr>
        <w:spacing w:line="560" w:lineRule="exact"/>
        <w:ind w:firstLine="560" w:firstLineChars="200"/>
        <w:rPr>
          <w:rFonts w:ascii="宋体" w:hAnsi="宋体" w:cs="宋体"/>
          <w:sz w:val="28"/>
        </w:rPr>
      </w:pPr>
      <w:r>
        <w:rPr>
          <w:rFonts w:ascii="宋体" w:hAnsi="宋体" w:cs="宋体"/>
          <w:sz w:val="28"/>
        </w:rPr>
        <w:t>2</w:t>
      </w:r>
      <w:r>
        <w:rPr>
          <w:rFonts w:hint="eastAsia" w:ascii="宋体" w:hAnsi="宋体" w:cs="宋体"/>
          <w:sz w:val="28"/>
        </w:rPr>
        <w:t>、收益法：是预测估价对象的未来收益，利用报酬率或资本化率、收益乘数将未来收益转换为价值，得到估价对象价值或价格的方法。</w:t>
      </w:r>
    </w:p>
    <w:p>
      <w:pPr>
        <w:spacing w:line="560" w:lineRule="exact"/>
        <w:ind w:firstLine="560" w:firstLineChars="200"/>
        <w:rPr>
          <w:rFonts w:ascii="宋体" w:hAnsi="宋体" w:cs="宋体"/>
          <w:sz w:val="28"/>
        </w:rPr>
      </w:pPr>
      <w:r>
        <w:rPr>
          <w:rFonts w:ascii="宋体" w:hAnsi="宋体" w:cs="宋体"/>
          <w:sz w:val="28"/>
        </w:rPr>
        <w:t>3</w:t>
      </w:r>
      <w:r>
        <w:rPr>
          <w:rFonts w:hint="eastAsia" w:ascii="宋体" w:hAnsi="宋体" w:cs="宋体"/>
          <w:sz w:val="28"/>
        </w:rPr>
        <w:t>、成本法：是测算估价对象在价值时点的重置成本或重建成本和折旧，将重置成本或重建成本减去折旧得到估价对象价值或价格的方法。</w:t>
      </w:r>
    </w:p>
    <w:p>
      <w:pPr>
        <w:spacing w:line="560" w:lineRule="exact"/>
        <w:ind w:firstLine="560" w:firstLineChars="200"/>
        <w:rPr>
          <w:rFonts w:ascii="宋体" w:hAnsi="宋体" w:cs="宋体"/>
          <w:sz w:val="28"/>
        </w:rPr>
      </w:pPr>
      <w:r>
        <w:rPr>
          <w:rFonts w:ascii="宋体" w:hAnsi="宋体" w:cs="宋体"/>
          <w:sz w:val="28"/>
        </w:rPr>
        <w:t>4</w:t>
      </w:r>
      <w:r>
        <w:rPr>
          <w:rFonts w:hint="eastAsia" w:ascii="宋体" w:hAnsi="宋体" w:cs="宋体"/>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spacing w:line="560" w:lineRule="exact"/>
        <w:ind w:firstLine="422" w:firstLineChars="150"/>
        <w:rPr>
          <w:rFonts w:ascii="宋体" w:hAnsi="宋体" w:cs="宋体"/>
          <w:b/>
          <w:sz w:val="28"/>
        </w:rPr>
      </w:pPr>
      <w:r>
        <w:rPr>
          <w:rFonts w:hint="eastAsia" w:ascii="宋体" w:hAnsi="宋体" w:cs="宋体"/>
          <w:b/>
          <w:sz w:val="28"/>
        </w:rPr>
        <w:t>（二）估价方法的适用性分析及选用</w:t>
      </w:r>
    </w:p>
    <w:p>
      <w:pPr>
        <w:spacing w:line="560" w:lineRule="exact"/>
        <w:ind w:firstLine="560" w:firstLineChars="200"/>
        <w:rPr>
          <w:rFonts w:ascii="宋体" w:hAnsi="宋体" w:cs="宋体"/>
          <w:sz w:val="28"/>
        </w:rPr>
      </w:pPr>
      <w:r>
        <w:rPr>
          <w:rFonts w:hint="eastAsia" w:ascii="宋体" w:hAnsi="宋体" w:cs="宋体"/>
          <w:sz w:val="28"/>
        </w:rPr>
        <w:t>依据《房地产估价规范》4.1.2条之规定，选用估价方法时，应根据估价对象及其所在地的房地产市场状况等客观条件，对比较法、收益法、成本法、假设开发法等估价方法进行适用性分析。4.1.</w:t>
      </w:r>
      <w:r>
        <w:rPr>
          <w:rFonts w:ascii="宋体" w:hAnsi="宋体" w:cs="宋体"/>
          <w:sz w:val="28"/>
        </w:rPr>
        <w:t>3</w:t>
      </w:r>
      <w:r>
        <w:rPr>
          <w:rFonts w:hint="eastAsia" w:ascii="宋体" w:hAnsi="宋体" w:cs="宋体"/>
          <w:sz w:val="28"/>
        </w:rPr>
        <w:t>条之规定，估价方法的选用应符合下列规定:</w:t>
      </w:r>
    </w:p>
    <w:p>
      <w:pPr>
        <w:spacing w:line="560" w:lineRule="exact"/>
        <w:ind w:firstLine="560" w:firstLineChars="200"/>
        <w:rPr>
          <w:rFonts w:ascii="宋体" w:hAnsi="宋体" w:cs="宋体"/>
          <w:sz w:val="28"/>
        </w:rPr>
      </w:pPr>
      <w:r>
        <w:rPr>
          <w:rFonts w:ascii="宋体" w:hAnsi="宋体" w:cs="宋体"/>
          <w:sz w:val="28"/>
        </w:rPr>
        <w:t>1</w:t>
      </w:r>
      <w:r>
        <w:rPr>
          <w:rFonts w:hint="eastAsia" w:ascii="宋体" w:hAnsi="宋体" w:cs="宋体"/>
          <w:sz w:val="28"/>
        </w:rPr>
        <w:t>、估价对象的同类房地产有较多交易的，应选用比较法。</w:t>
      </w:r>
    </w:p>
    <w:p>
      <w:pPr>
        <w:spacing w:line="560" w:lineRule="exact"/>
        <w:ind w:firstLine="560" w:firstLineChars="200"/>
        <w:rPr>
          <w:rFonts w:ascii="宋体" w:hAnsi="宋体" w:cs="宋体"/>
          <w:sz w:val="28"/>
        </w:rPr>
      </w:pPr>
      <w:r>
        <w:rPr>
          <w:rFonts w:ascii="宋体" w:hAnsi="宋体" w:cs="宋体"/>
          <w:sz w:val="28"/>
        </w:rPr>
        <w:t>2</w:t>
      </w:r>
      <w:r>
        <w:rPr>
          <w:rFonts w:hint="eastAsia" w:ascii="宋体" w:hAnsi="宋体" w:cs="宋体"/>
          <w:sz w:val="28"/>
        </w:rPr>
        <w:t>、估价对象或其同类房地产通常有租金等经济收入的，应选用收益法。</w:t>
      </w:r>
    </w:p>
    <w:p>
      <w:pPr>
        <w:spacing w:line="560" w:lineRule="exact"/>
        <w:ind w:firstLine="560" w:firstLineChars="200"/>
        <w:rPr>
          <w:rFonts w:ascii="宋体" w:hAnsi="宋体" w:cs="宋体"/>
          <w:sz w:val="28"/>
        </w:rPr>
      </w:pPr>
      <w:r>
        <w:rPr>
          <w:rFonts w:ascii="宋体" w:hAnsi="宋体" w:cs="宋体"/>
          <w:sz w:val="28"/>
        </w:rPr>
        <w:t>3</w:t>
      </w:r>
      <w:r>
        <w:rPr>
          <w:rFonts w:hint="eastAsia" w:ascii="宋体" w:hAnsi="宋体" w:cs="宋体"/>
          <w:sz w:val="28"/>
        </w:rPr>
        <w:t>、估价对象可假定为独立的开发建设项目进行重新开发建设的，宜选用成本法；当估价对象的同类房地产没有交易或交易很少，且估价对象或其同类房地产没有租金等经济收入时，应选用成本法。</w:t>
      </w:r>
    </w:p>
    <w:p>
      <w:pPr>
        <w:spacing w:line="560" w:lineRule="exact"/>
        <w:ind w:firstLine="560" w:firstLineChars="200"/>
        <w:rPr>
          <w:rFonts w:ascii="宋体" w:hAnsi="宋体" w:cs="宋体"/>
          <w:sz w:val="28"/>
        </w:rPr>
      </w:pPr>
      <w:r>
        <w:rPr>
          <w:rFonts w:ascii="宋体" w:hAnsi="宋体" w:cs="宋体"/>
          <w:sz w:val="28"/>
        </w:rPr>
        <w:t>4</w:t>
      </w:r>
      <w:r>
        <w:rPr>
          <w:rFonts w:hint="eastAsia" w:ascii="宋体" w:hAnsi="宋体" w:cs="宋体"/>
          <w:sz w:val="28"/>
        </w:rPr>
        <w:t>、估价对象具有开发或再开发潜力且开发完成后的价值可采用除成本法以外的方法测算的，应选用假设开发法。</w:t>
      </w:r>
    </w:p>
    <w:p>
      <w:pPr>
        <w:spacing w:line="560" w:lineRule="exact"/>
        <w:ind w:firstLine="560" w:firstLineChars="200"/>
        <w:rPr>
          <w:rFonts w:ascii="宋体" w:hAnsi="宋体" w:cs="宋体"/>
          <w:sz w:val="28"/>
        </w:rPr>
      </w:pPr>
      <w:r>
        <w:rPr>
          <w:rFonts w:hint="eastAsia" w:ascii="宋体" w:hAnsi="宋体" w:cs="宋体"/>
          <w:sz w:val="28"/>
        </w:rPr>
        <w:t>Ⅰ、采用的方法</w:t>
      </w:r>
    </w:p>
    <w:p>
      <w:pPr>
        <w:spacing w:line="560" w:lineRule="exact"/>
        <w:ind w:firstLine="560" w:firstLineChars="200"/>
        <w:rPr>
          <w:rFonts w:ascii="宋体" w:hAnsi="宋体" w:cs="宋体"/>
          <w:sz w:val="28"/>
        </w:rPr>
      </w:pPr>
      <w:r>
        <w:rPr>
          <w:rFonts w:hint="eastAsia" w:ascii="宋体" w:hAnsi="宋体" w:cs="宋体"/>
          <w:color w:val="000000"/>
          <w:sz w:val="28"/>
        </w:rPr>
        <w:t>(1)</w:t>
      </w:r>
      <w:r>
        <w:rPr>
          <w:rFonts w:hint="eastAsia" w:ascii="宋体" w:hAnsi="宋体" w:cs="宋体"/>
          <w:sz w:val="28"/>
        </w:rPr>
        <w:t>估价对象用途为住宅，在估价对象坐落于同一供求范围内，与其相似的房地产交易实例较多，且可比性较好，根据替代原则适宜使用比较法进行评估。</w:t>
      </w:r>
    </w:p>
    <w:p>
      <w:pPr>
        <w:spacing w:line="560" w:lineRule="exact"/>
        <w:ind w:firstLine="560" w:firstLineChars="200"/>
        <w:rPr>
          <w:rFonts w:ascii="宋体" w:hAnsi="宋体" w:cs="宋体"/>
          <w:sz w:val="28"/>
        </w:rPr>
      </w:pPr>
      <w:r>
        <w:rPr>
          <w:rFonts w:hint="eastAsia" w:ascii="宋体" w:hAnsi="宋体" w:cs="宋体"/>
          <w:color w:val="000000"/>
          <w:sz w:val="28"/>
        </w:rPr>
        <w:t>(2)估价对象用途为住宅，在估价对象坐落于同一供求范围内，与其相似的房地产出租交易实例较多，且可比性较好，收益较好确定，因此可用适当的报酬率，将其未来各年的净收益折算到价值时点上，计算出估价对象的收益价格，因此适宜选用收益法进行评估。</w:t>
      </w:r>
    </w:p>
    <w:p>
      <w:pPr>
        <w:spacing w:line="560" w:lineRule="exact"/>
        <w:ind w:firstLine="560" w:firstLineChars="200"/>
        <w:rPr>
          <w:rFonts w:ascii="宋体" w:hAnsi="宋体" w:cs="宋体"/>
          <w:sz w:val="28"/>
        </w:rPr>
      </w:pPr>
      <w:r>
        <w:rPr>
          <w:rFonts w:hint="eastAsia" w:ascii="宋体" w:hAnsi="宋体" w:cs="宋体"/>
          <w:sz w:val="28"/>
        </w:rPr>
        <w:t>Ⅱ、不采用的方法</w:t>
      </w:r>
    </w:p>
    <w:p>
      <w:pPr>
        <w:spacing w:line="560" w:lineRule="exact"/>
        <w:ind w:firstLine="560" w:firstLineChars="200"/>
        <w:rPr>
          <w:rFonts w:ascii="宋体" w:hAnsi="宋体" w:cs="宋体"/>
          <w:sz w:val="28"/>
        </w:rPr>
      </w:pPr>
      <w:r>
        <w:rPr>
          <w:rFonts w:hint="eastAsia" w:ascii="宋体" w:hAnsi="宋体" w:cs="宋体"/>
          <w:sz w:val="28"/>
        </w:rPr>
        <w:t>(1)具有投资开发或再开发潜力的房地产的估价，应选用假设开发法作为其中的一种估价方法。由于估价对象为已建成的住宅房地产，短期内不具有投资开发或再开发潜力，故不适用假设开发法。</w:t>
      </w:r>
    </w:p>
    <w:p>
      <w:pPr>
        <w:spacing w:line="560" w:lineRule="exact"/>
        <w:ind w:firstLine="560" w:firstLineChars="200"/>
        <w:rPr>
          <w:rFonts w:ascii="宋体" w:hAnsi="宋体" w:cs="宋体"/>
          <w:sz w:val="28"/>
        </w:rPr>
      </w:pPr>
      <w:r>
        <w:rPr>
          <w:rFonts w:hint="eastAsia" w:ascii="宋体" w:hAnsi="宋体" w:cs="宋体"/>
          <w:sz w:val="28"/>
        </w:rPr>
        <w:t>(2)由于估价对象为住宅房地产，非新近开发建设或计划开发建设的房地产，也非无收益和很少发生交易的房地产，也非具有独特设计或针对个别用户的特殊需要而建设的房地产，故不宜采用成本法进行评估。</w:t>
      </w:r>
    </w:p>
    <w:p>
      <w:pPr>
        <w:spacing w:line="560" w:lineRule="exact"/>
        <w:ind w:firstLine="560" w:firstLineChars="200"/>
      </w:pPr>
      <w:r>
        <w:rPr>
          <w:rFonts w:hint="eastAsia" w:ascii="宋体" w:hAnsi="宋体" w:cs="宋体"/>
          <w:color w:val="000000"/>
          <w:sz w:val="28"/>
        </w:rPr>
        <w:t>综上所述，本次估价采用比较法和收益法进行评估。</w:t>
      </w:r>
    </w:p>
    <w:p>
      <w:pPr>
        <w:spacing w:line="560" w:lineRule="exact"/>
        <w:ind w:firstLine="422" w:firstLineChars="150"/>
        <w:rPr>
          <w:rFonts w:ascii="宋体" w:hAnsi="宋体" w:cs="宋体"/>
          <w:b/>
          <w:sz w:val="28"/>
        </w:rPr>
      </w:pPr>
      <w:r>
        <w:rPr>
          <w:rFonts w:hint="eastAsia" w:ascii="宋体" w:hAnsi="宋体" w:cs="宋体"/>
          <w:b/>
          <w:sz w:val="28"/>
        </w:rPr>
        <w:t>（三）估价技术路线</w:t>
      </w:r>
    </w:p>
    <w:p>
      <w:pPr>
        <w:spacing w:line="560" w:lineRule="exact"/>
        <w:ind w:firstLine="560" w:firstLineChars="200"/>
        <w:rPr>
          <w:rFonts w:ascii="宋体" w:hAnsi="宋体" w:cs="宋体"/>
          <w:color w:val="000000"/>
          <w:sz w:val="28"/>
        </w:rPr>
      </w:pPr>
      <w:r>
        <w:rPr>
          <w:rFonts w:hint="eastAsia" w:ascii="宋体" w:hAnsi="宋体" w:cs="宋体"/>
          <w:color w:val="000000"/>
          <w:sz w:val="28"/>
        </w:rPr>
        <w:t>注册房地产估价师在认真分析所掌握的资料并对估价对象所在区域类似房地产市场进行调查后，根据估价对象的特点，遵照国家有关法律、法规及估价技术标准，经反复研究，确定本次估价的技术路线为:</w:t>
      </w:r>
    </w:p>
    <w:p>
      <w:pPr>
        <w:spacing w:line="560" w:lineRule="exact"/>
        <w:ind w:firstLine="560" w:firstLineChars="200"/>
        <w:rPr>
          <w:rFonts w:ascii="宋体" w:hAnsi="宋体"/>
          <w:sz w:val="28"/>
          <w:szCs w:val="28"/>
        </w:rPr>
      </w:pPr>
      <w:r>
        <w:rPr>
          <w:rFonts w:ascii="宋体" w:hAnsi="宋体" w:cs="宋体"/>
          <w:color w:val="000000"/>
          <w:sz w:val="28"/>
        </w:rPr>
        <w:t>1</w:t>
      </w:r>
      <w:r>
        <w:rPr>
          <w:rFonts w:hint="eastAsia" w:ascii="宋体" w:hAnsi="宋体" w:cs="宋体"/>
          <w:color w:val="000000"/>
          <w:sz w:val="28"/>
        </w:rPr>
        <w:t>、</w:t>
      </w:r>
      <w:r>
        <w:rPr>
          <w:rFonts w:hint="eastAsia" w:ascii="宋体" w:hAnsi="宋体"/>
          <w:sz w:val="28"/>
          <w:szCs w:val="28"/>
        </w:rPr>
        <w:t>比较法测算步骤如下：</w:t>
      </w:r>
    </w:p>
    <w:p>
      <w:pPr>
        <w:spacing w:line="560" w:lineRule="exact"/>
        <w:ind w:firstLine="560" w:firstLineChars="200"/>
        <w:rPr>
          <w:rFonts w:ascii="宋体" w:hAnsi="宋体"/>
          <w:sz w:val="28"/>
          <w:szCs w:val="28"/>
        </w:rPr>
      </w:pPr>
      <w:r>
        <w:rPr>
          <w:rFonts w:ascii="宋体" w:hAnsi="宋体"/>
          <w:sz w:val="28"/>
          <w:szCs w:val="28"/>
        </w:rPr>
        <w:fldChar w:fldCharType="begin"/>
      </w:r>
      <w:r>
        <w:rPr>
          <w:rFonts w:hint="eastAsia" w:ascii="宋体" w:hAnsi="宋体"/>
          <w:sz w:val="28"/>
          <w:szCs w:val="28"/>
        </w:rPr>
        <w:instrText xml:space="preserve">= 1 \* GB3</w:instrText>
      </w:r>
      <w:r>
        <w:rPr>
          <w:rFonts w:ascii="宋体" w:hAnsi="宋体"/>
          <w:sz w:val="28"/>
          <w:szCs w:val="28"/>
        </w:rPr>
        <w:fldChar w:fldCharType="separate"/>
      </w:r>
      <w:r>
        <w:rPr>
          <w:rFonts w:hint="eastAsia" w:ascii="宋体" w:hAnsi="宋体"/>
          <w:sz w:val="28"/>
          <w:szCs w:val="28"/>
        </w:rPr>
        <w:t>①</w:t>
      </w:r>
      <w:r>
        <w:rPr>
          <w:rFonts w:ascii="宋体" w:hAnsi="宋体"/>
          <w:sz w:val="28"/>
          <w:szCs w:val="28"/>
        </w:rPr>
        <w:fldChar w:fldCharType="end"/>
      </w:r>
      <w:r>
        <w:rPr>
          <w:rFonts w:hint="eastAsia" w:ascii="宋体" w:hAnsi="宋体"/>
          <w:sz w:val="28"/>
          <w:szCs w:val="28"/>
        </w:rPr>
        <w:t>搜集交易实例；</w:t>
      </w:r>
      <w:r>
        <w:rPr>
          <w:rFonts w:ascii="宋体" w:hAnsi="宋体"/>
          <w:sz w:val="28"/>
          <w:szCs w:val="28"/>
        </w:rPr>
        <w:fldChar w:fldCharType="begin"/>
      </w:r>
      <w:r>
        <w:rPr>
          <w:rFonts w:hint="eastAsia" w:ascii="宋体" w:hAnsi="宋体"/>
          <w:sz w:val="28"/>
          <w:szCs w:val="28"/>
        </w:rPr>
        <w:instrText xml:space="preserve">= 2 \* GB3</w:instrText>
      </w:r>
      <w:r>
        <w:rPr>
          <w:rFonts w:ascii="宋体" w:hAnsi="宋体"/>
          <w:sz w:val="28"/>
          <w:szCs w:val="28"/>
        </w:rPr>
        <w:fldChar w:fldCharType="separate"/>
      </w:r>
      <w:r>
        <w:rPr>
          <w:rFonts w:hint="eastAsia" w:ascii="宋体" w:hAnsi="宋体"/>
          <w:sz w:val="28"/>
          <w:szCs w:val="28"/>
        </w:rPr>
        <w:t>②</w:t>
      </w:r>
      <w:r>
        <w:rPr>
          <w:rFonts w:ascii="宋体" w:hAnsi="宋体"/>
          <w:sz w:val="28"/>
          <w:szCs w:val="28"/>
        </w:rPr>
        <w:fldChar w:fldCharType="end"/>
      </w:r>
      <w:r>
        <w:rPr>
          <w:rFonts w:hint="eastAsia" w:ascii="宋体" w:hAnsi="宋体"/>
          <w:sz w:val="28"/>
          <w:szCs w:val="28"/>
        </w:rPr>
        <w:t>选取可比实例；</w:t>
      </w:r>
      <w:r>
        <w:rPr>
          <w:rFonts w:ascii="宋体" w:hAnsi="宋体"/>
          <w:sz w:val="28"/>
          <w:szCs w:val="28"/>
        </w:rPr>
        <w:fldChar w:fldCharType="begin"/>
      </w:r>
      <w:r>
        <w:rPr>
          <w:rFonts w:hint="eastAsia" w:ascii="宋体" w:hAnsi="宋体"/>
          <w:sz w:val="28"/>
          <w:szCs w:val="28"/>
        </w:rPr>
        <w:instrText xml:space="preserve">= 3 \* GB3</w:instrText>
      </w:r>
      <w:r>
        <w:rPr>
          <w:rFonts w:ascii="宋体" w:hAnsi="宋体"/>
          <w:sz w:val="28"/>
          <w:szCs w:val="28"/>
        </w:rPr>
        <w:fldChar w:fldCharType="separate"/>
      </w:r>
      <w:r>
        <w:rPr>
          <w:rFonts w:hint="eastAsia" w:ascii="宋体" w:hAnsi="宋体"/>
          <w:sz w:val="28"/>
          <w:szCs w:val="28"/>
        </w:rPr>
        <w:t>③</w:t>
      </w:r>
      <w:r>
        <w:rPr>
          <w:rFonts w:ascii="宋体" w:hAnsi="宋体"/>
          <w:sz w:val="28"/>
          <w:szCs w:val="28"/>
        </w:rPr>
        <w:fldChar w:fldCharType="end"/>
      </w:r>
      <w:r>
        <w:rPr>
          <w:rFonts w:hint="eastAsia" w:ascii="宋体" w:hAnsi="宋体"/>
          <w:sz w:val="28"/>
          <w:szCs w:val="28"/>
        </w:rPr>
        <w:t>建立比较基础；</w:t>
      </w:r>
      <w:r>
        <w:rPr>
          <w:rFonts w:ascii="宋体" w:hAnsi="宋体"/>
          <w:sz w:val="28"/>
          <w:szCs w:val="28"/>
        </w:rPr>
        <w:fldChar w:fldCharType="begin"/>
      </w:r>
      <w:r>
        <w:rPr>
          <w:rFonts w:hint="eastAsia" w:ascii="宋体" w:hAnsi="宋体"/>
          <w:sz w:val="28"/>
          <w:szCs w:val="28"/>
        </w:rPr>
        <w:instrText xml:space="preserve">= 4 \* GB3</w:instrText>
      </w:r>
      <w:r>
        <w:rPr>
          <w:rFonts w:ascii="宋体" w:hAnsi="宋体"/>
          <w:sz w:val="28"/>
          <w:szCs w:val="28"/>
        </w:rPr>
        <w:fldChar w:fldCharType="separate"/>
      </w:r>
      <w:r>
        <w:rPr>
          <w:rFonts w:hint="eastAsia" w:ascii="宋体" w:hAnsi="宋体"/>
          <w:sz w:val="28"/>
          <w:szCs w:val="28"/>
        </w:rPr>
        <w:t>④</w:t>
      </w:r>
      <w:r>
        <w:rPr>
          <w:rFonts w:ascii="宋体" w:hAnsi="宋体"/>
          <w:sz w:val="28"/>
          <w:szCs w:val="28"/>
        </w:rPr>
        <w:fldChar w:fldCharType="end"/>
      </w:r>
      <w:r>
        <w:rPr>
          <w:rFonts w:hint="eastAsia" w:ascii="宋体" w:hAnsi="宋体"/>
          <w:sz w:val="28"/>
          <w:szCs w:val="28"/>
        </w:rPr>
        <w:t>进行交易情况修正；</w:t>
      </w:r>
      <w:r>
        <w:rPr>
          <w:rFonts w:ascii="宋体" w:hAnsi="宋体"/>
          <w:sz w:val="28"/>
          <w:szCs w:val="28"/>
        </w:rPr>
        <w:fldChar w:fldCharType="begin"/>
      </w:r>
      <w:r>
        <w:rPr>
          <w:rFonts w:hint="eastAsia" w:ascii="宋体" w:hAnsi="宋体"/>
          <w:sz w:val="28"/>
          <w:szCs w:val="28"/>
        </w:rPr>
        <w:instrText xml:space="preserve">= 5 \* GB3</w:instrText>
      </w:r>
      <w:r>
        <w:rPr>
          <w:rFonts w:ascii="宋体" w:hAnsi="宋体"/>
          <w:sz w:val="28"/>
          <w:szCs w:val="28"/>
        </w:rPr>
        <w:fldChar w:fldCharType="separate"/>
      </w:r>
      <w:r>
        <w:rPr>
          <w:rFonts w:hint="eastAsia" w:ascii="宋体" w:hAnsi="宋体"/>
          <w:sz w:val="28"/>
          <w:szCs w:val="28"/>
        </w:rPr>
        <w:t>⑤</w:t>
      </w:r>
      <w:r>
        <w:rPr>
          <w:rFonts w:ascii="宋体" w:hAnsi="宋体"/>
          <w:sz w:val="28"/>
          <w:szCs w:val="28"/>
        </w:rPr>
        <w:fldChar w:fldCharType="end"/>
      </w:r>
      <w:r>
        <w:rPr>
          <w:rFonts w:hint="eastAsia" w:ascii="宋体" w:hAnsi="宋体"/>
          <w:sz w:val="28"/>
          <w:szCs w:val="28"/>
        </w:rPr>
        <w:t>进行市场状况调整；</w:t>
      </w:r>
      <w:r>
        <w:rPr>
          <w:rFonts w:ascii="宋体" w:hAnsi="宋体"/>
          <w:sz w:val="28"/>
          <w:szCs w:val="28"/>
        </w:rPr>
        <w:fldChar w:fldCharType="begin"/>
      </w:r>
      <w:r>
        <w:rPr>
          <w:rFonts w:hint="eastAsia" w:ascii="宋体" w:hAnsi="宋体"/>
          <w:sz w:val="28"/>
          <w:szCs w:val="28"/>
        </w:rPr>
        <w:instrText xml:space="preserve">= 6 \* GB3</w:instrText>
      </w:r>
      <w:r>
        <w:rPr>
          <w:rFonts w:ascii="宋体" w:hAnsi="宋体"/>
          <w:sz w:val="28"/>
          <w:szCs w:val="28"/>
        </w:rPr>
        <w:fldChar w:fldCharType="separate"/>
      </w:r>
      <w:r>
        <w:rPr>
          <w:rFonts w:hint="eastAsia" w:ascii="宋体" w:hAnsi="宋体"/>
          <w:sz w:val="28"/>
          <w:szCs w:val="28"/>
        </w:rPr>
        <w:t>⑥</w:t>
      </w:r>
      <w:r>
        <w:rPr>
          <w:rFonts w:ascii="宋体" w:hAnsi="宋体"/>
          <w:sz w:val="28"/>
          <w:szCs w:val="28"/>
        </w:rPr>
        <w:fldChar w:fldCharType="end"/>
      </w:r>
      <w:r>
        <w:rPr>
          <w:rFonts w:hint="eastAsia" w:ascii="宋体" w:hAnsi="宋体"/>
          <w:sz w:val="28"/>
          <w:szCs w:val="28"/>
        </w:rPr>
        <w:t>进行房地产状况调整；</w:t>
      </w:r>
      <w:r>
        <w:rPr>
          <w:rFonts w:ascii="宋体" w:hAnsi="宋体"/>
          <w:sz w:val="28"/>
          <w:szCs w:val="28"/>
        </w:rPr>
        <w:fldChar w:fldCharType="begin"/>
      </w:r>
      <w:r>
        <w:rPr>
          <w:rFonts w:hint="eastAsia" w:ascii="宋体" w:hAnsi="宋体"/>
          <w:sz w:val="28"/>
          <w:szCs w:val="28"/>
        </w:rPr>
        <w:instrText xml:space="preserve">= 7 \* GB3</w:instrText>
      </w:r>
      <w:r>
        <w:rPr>
          <w:rFonts w:ascii="宋体" w:hAnsi="宋体"/>
          <w:sz w:val="28"/>
          <w:szCs w:val="28"/>
        </w:rPr>
        <w:fldChar w:fldCharType="separate"/>
      </w:r>
      <w:r>
        <w:rPr>
          <w:rFonts w:hint="eastAsia" w:ascii="宋体" w:hAnsi="宋体"/>
          <w:sz w:val="28"/>
          <w:szCs w:val="28"/>
        </w:rPr>
        <w:t>⑦</w:t>
      </w:r>
      <w:r>
        <w:rPr>
          <w:rFonts w:ascii="宋体" w:hAnsi="宋体"/>
          <w:sz w:val="28"/>
          <w:szCs w:val="28"/>
        </w:rPr>
        <w:fldChar w:fldCharType="end"/>
      </w:r>
      <w:r>
        <w:rPr>
          <w:rFonts w:hint="eastAsia" w:ascii="宋体" w:hAnsi="宋体"/>
          <w:sz w:val="28"/>
          <w:szCs w:val="28"/>
        </w:rPr>
        <w:t>计算比准价格。</w:t>
      </w:r>
    </w:p>
    <w:p>
      <w:pPr>
        <w:spacing w:line="560" w:lineRule="exact"/>
        <w:ind w:firstLine="560" w:firstLineChars="200"/>
        <w:rPr>
          <w:rFonts w:ascii="宋体" w:hAnsi="宋体"/>
          <w:sz w:val="28"/>
          <w:szCs w:val="28"/>
        </w:rPr>
      </w:pPr>
      <w:r>
        <w:rPr>
          <w:rFonts w:hint="eastAsia" w:ascii="宋体" w:hAnsi="宋体"/>
          <w:sz w:val="28"/>
          <w:szCs w:val="28"/>
        </w:rPr>
        <w:t>比较法计算公式如下:</w:t>
      </w:r>
    </w:p>
    <w:p>
      <w:pPr>
        <w:spacing w:line="560" w:lineRule="exact"/>
        <w:ind w:firstLine="560" w:firstLineChars="200"/>
        <w:rPr>
          <w:rFonts w:ascii="宋体" w:hAnsi="宋体"/>
          <w:sz w:val="28"/>
          <w:szCs w:val="28"/>
        </w:rPr>
      </w:pPr>
      <w:r>
        <w:rPr>
          <w:rFonts w:hint="eastAsia" w:ascii="宋体" w:hAnsi="宋体"/>
          <w:sz w:val="28"/>
          <w:szCs w:val="28"/>
        </w:rPr>
        <w:t>估价对象比准价格=可比实例成交价格×交易情况修正系数×市场状况调整系数×房地产状况调整系数</w:t>
      </w:r>
    </w:p>
    <w:p>
      <w:pPr>
        <w:spacing w:line="560" w:lineRule="exact"/>
        <w:ind w:firstLine="560" w:firstLineChars="200"/>
        <w:rPr>
          <w:rFonts w:ascii="宋体" w:hAnsi="宋体" w:cs="宋体"/>
          <w:color w:val="000000"/>
          <w:sz w:val="28"/>
        </w:rPr>
      </w:pPr>
      <w:r>
        <w:rPr>
          <w:rFonts w:ascii="宋体" w:hAnsi="宋体" w:cs="宋体"/>
          <w:color w:val="000000"/>
          <w:sz w:val="28"/>
        </w:rPr>
        <w:t>2</w:t>
      </w:r>
      <w:r>
        <w:rPr>
          <w:rFonts w:hint="eastAsia" w:ascii="宋体" w:hAnsi="宋体" w:cs="宋体"/>
          <w:color w:val="000000"/>
          <w:sz w:val="28"/>
        </w:rPr>
        <w:t>、本次收益法估价的步骤如下：</w:t>
      </w:r>
    </w:p>
    <w:p>
      <w:pPr>
        <w:spacing w:line="560" w:lineRule="exact"/>
        <w:ind w:firstLine="560" w:firstLineChars="200"/>
        <w:rPr>
          <w:rFonts w:ascii="宋体" w:hAnsi="宋体" w:cs="宋体"/>
          <w:color w:val="000000"/>
          <w:sz w:val="28"/>
        </w:rPr>
      </w:pPr>
      <w:r>
        <w:rPr>
          <w:rFonts w:hint="eastAsia" w:ascii="宋体" w:hAnsi="宋体"/>
          <w:sz w:val="28"/>
          <w:szCs w:val="28"/>
        </w:rPr>
        <w:t>本次估价选用报酬资本化法(持有加</w:t>
      </w:r>
      <w:r>
        <w:rPr>
          <w:rFonts w:ascii="宋体" w:hAnsi="宋体"/>
          <w:sz w:val="28"/>
          <w:szCs w:val="28"/>
        </w:rPr>
        <w:t>转售</w:t>
      </w:r>
      <w:r>
        <w:rPr>
          <w:rFonts w:hint="eastAsia" w:ascii="宋体" w:hAnsi="宋体"/>
          <w:sz w:val="28"/>
          <w:szCs w:val="28"/>
        </w:rPr>
        <w:t>模式)求取估价对象的收益价格: ①选择具体的估价方法；②测算收益期或持有期；③测算期间收益；④确定报酬率；⑤确定净收益和逐年递增比率；⑥测算估价对象期末转售价格；⑦计算收益价格</w:t>
      </w:r>
      <w:r>
        <w:rPr>
          <w:rFonts w:ascii="宋体" w:hAnsi="宋体" w:cs="宋体"/>
          <w:color w:val="000000"/>
          <w:sz w:val="28"/>
        </w:rPr>
        <w:t>。</w:t>
      </w:r>
    </w:p>
    <w:p>
      <w:pPr>
        <w:spacing w:line="560" w:lineRule="exact"/>
        <w:ind w:firstLine="560" w:firstLineChars="200"/>
        <w:rPr>
          <w:rFonts w:ascii="宋体" w:hAnsi="宋体" w:cs="宋体"/>
          <w:bCs/>
          <w:color w:val="000000"/>
          <w:sz w:val="28"/>
        </w:rPr>
      </w:pPr>
      <w:r>
        <w:rPr>
          <w:rFonts w:hint="eastAsia" w:ascii="宋体" w:hAnsi="宋体" w:cs="宋体"/>
          <w:bCs/>
          <w:color w:val="000000"/>
          <w:sz w:val="28"/>
        </w:rPr>
        <w:t>采用持有加转售模式求取估价对象收益价格，基本公式如下：</w:t>
      </w:r>
    </w:p>
    <w:p>
      <w:pPr>
        <w:widowControl/>
        <w:rPr>
          <w:rFonts w:ascii="宋体" w:hAnsi="宋体" w:cs="宋体"/>
          <w:kern w:val="0"/>
          <w:sz w:val="24"/>
          <w:lang w:bidi="ar"/>
        </w:rPr>
      </w:pPr>
      <w:r>
        <w:rPr>
          <w:rFonts w:hint="eastAsia" w:ascii="宋体" w:hAnsi="宋体" w:cs="宋体"/>
          <w:kern w:val="0"/>
          <w:sz w:val="24"/>
          <w:lang w:bidi="ar"/>
        </w:rPr>
        <w:t xml:space="preserve">       </w:t>
      </w:r>
      <w:r>
        <w:rPr>
          <w:rFonts w:ascii="宋体" w:hAnsi="宋体" w:cs="宋体"/>
          <w:kern w:val="0"/>
          <w:sz w:val="24"/>
        </w:rPr>
        <w:drawing>
          <wp:inline distT="0" distB="0" distL="114300" distR="114300">
            <wp:extent cx="2695575" cy="733425"/>
            <wp:effectExtent l="0" t="0" r="9525" b="9525"/>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7"/>
                    <a:stretch>
                      <a:fillRect/>
                    </a:stretch>
                  </pic:blipFill>
                  <pic:spPr>
                    <a:xfrm>
                      <a:off x="0" y="0"/>
                      <a:ext cx="2697065" cy="733830"/>
                    </a:xfrm>
                    <a:prstGeom prst="rect">
                      <a:avLst/>
                    </a:prstGeom>
                    <a:noFill/>
                    <a:ln w="9525">
                      <a:noFill/>
                    </a:ln>
                  </pic:spPr>
                </pic:pic>
              </a:graphicData>
            </a:graphic>
          </wp:inline>
        </w:drawing>
      </w:r>
    </w:p>
    <w:p>
      <w:pPr>
        <w:spacing w:line="560" w:lineRule="exact"/>
        <w:ind w:firstLine="560" w:firstLineChars="200"/>
        <w:rPr>
          <w:rFonts w:ascii="宋体" w:hAnsi="宋体" w:cs="宋体"/>
          <w:color w:val="000000"/>
          <w:sz w:val="28"/>
        </w:rPr>
      </w:pPr>
      <w:r>
        <w:rPr>
          <w:rFonts w:hint="eastAsia" w:ascii="宋体" w:hAnsi="宋体" w:cs="宋体"/>
          <w:color w:val="000000"/>
          <w:sz w:val="28"/>
        </w:rPr>
        <w:t>3、采用比较法及收益法测算估价对象住宅房地产价格，综合分析两种方法的测算结果，进而确定估价对象最终估价结果。</w:t>
      </w:r>
    </w:p>
    <w:p>
      <w:pPr>
        <w:spacing w:line="560" w:lineRule="exact"/>
        <w:ind w:firstLine="446" w:firstLineChars="150"/>
        <w:rPr>
          <w:rFonts w:ascii="宋体" w:hAnsi="宋体"/>
          <w:b/>
          <w:color w:val="000000"/>
          <w:sz w:val="28"/>
        </w:rPr>
      </w:pPr>
      <w:r>
        <w:rPr>
          <w:rStyle w:val="47"/>
          <w:rFonts w:hint="eastAsia"/>
        </w:rPr>
        <w:t>十、估价结果</w:t>
      </w:r>
      <w:bookmarkEnd w:id="81"/>
      <w:bookmarkEnd w:id="82"/>
      <w:bookmarkEnd w:id="83"/>
      <w:bookmarkEnd w:id="84"/>
      <w:bookmarkEnd w:id="85"/>
      <w:bookmarkEnd w:id="86"/>
      <w:bookmarkEnd w:id="87"/>
      <w:bookmarkEnd w:id="88"/>
      <w:bookmarkEnd w:id="89"/>
      <w:bookmarkEnd w:id="90"/>
      <w:r>
        <w:rPr>
          <w:rFonts w:hint="eastAsia" w:ascii="宋体" w:hAnsi="宋体"/>
          <w:b/>
          <w:color w:val="000000"/>
          <w:sz w:val="28"/>
        </w:rPr>
        <w:t>：</w:t>
      </w:r>
    </w:p>
    <w:p>
      <w:pPr>
        <w:snapToGrid w:val="0"/>
        <w:spacing w:line="560" w:lineRule="exact"/>
        <w:ind w:firstLine="560" w:firstLineChars="200"/>
        <w:rPr>
          <w:rFonts w:ascii="宋体" w:hAnsi="宋体"/>
          <w:color w:val="000000"/>
          <w:sz w:val="28"/>
        </w:rPr>
      </w:pP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0"/>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575"/>
        <w:gridCol w:w="993"/>
        <w:gridCol w:w="2483"/>
        <w:gridCol w:w="1254"/>
        <w:gridCol w:w="1392"/>
        <w:gridCol w:w="14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jc w:val="center"/>
              <w:rPr>
                <w:rFonts w:ascii="宋体" w:hAnsi="宋体"/>
                <w:b/>
                <w:sz w:val="24"/>
              </w:rPr>
            </w:pPr>
            <w:bookmarkStart w:id="91" w:name="_Toc16234182"/>
            <w:bookmarkStart w:id="92" w:name="_Toc28941839"/>
            <w:bookmarkStart w:id="93" w:name="_Toc17471964"/>
            <w:bookmarkStart w:id="94" w:name="_Toc55921675"/>
            <w:bookmarkStart w:id="95" w:name="_Toc16234444"/>
            <w:bookmarkStart w:id="96" w:name="_Toc27736471"/>
            <w:bookmarkStart w:id="97" w:name="_Toc17471995"/>
            <w:bookmarkStart w:id="98" w:name="_Toc24121742"/>
            <w:bookmarkStart w:id="99" w:name="_Toc19087063"/>
            <w:r>
              <w:rPr>
                <w:rFonts w:hint="eastAsia" w:ascii="宋体" w:hAnsi="宋体"/>
                <w:b/>
                <w:sz w:val="24"/>
              </w:rPr>
              <w:t>估价结果</w:t>
            </w:r>
            <w:r>
              <w:rPr>
                <w:rFonts w:ascii="宋体" w:hAnsi="宋体"/>
                <w:b/>
                <w:sz w:val="24"/>
              </w:rPr>
              <w:t>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99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254"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建筑面积（㎡）</w:t>
            </w:r>
          </w:p>
        </w:tc>
        <w:tc>
          <w:tcPr>
            <w:tcW w:w="1392" w:type="dxa"/>
            <w:vAlign w:val="center"/>
          </w:tcPr>
          <w:p>
            <w:pPr>
              <w:snapToGrid w:val="0"/>
              <w:jc w:val="center"/>
              <w:rPr>
                <w:rFonts w:ascii="宋体" w:hAnsi="宋体"/>
                <w:color w:val="000000"/>
                <w:sz w:val="24"/>
              </w:rPr>
            </w:pPr>
            <w:r>
              <w:rPr>
                <w:rFonts w:hint="eastAsia" w:ascii="宋体" w:hAnsi="宋体"/>
                <w:color w:val="000000"/>
                <w:sz w:val="24"/>
              </w:rPr>
              <w:t>评估单价</w:t>
            </w:r>
          </w:p>
          <w:p>
            <w:pPr>
              <w:snapToGrid w:val="0"/>
              <w:jc w:val="center"/>
              <w:rPr>
                <w:rFonts w:ascii="宋体" w:hAnsi="宋体"/>
                <w:sz w:val="24"/>
              </w:rPr>
            </w:pPr>
            <w:r>
              <w:rPr>
                <w:rFonts w:hint="eastAsia" w:ascii="宋体" w:hAnsi="宋体"/>
                <w:color w:val="000000"/>
                <w:sz w:val="24"/>
              </w:rPr>
              <w:t>（元/㎡）</w:t>
            </w:r>
          </w:p>
        </w:tc>
        <w:tc>
          <w:tcPr>
            <w:tcW w:w="1403" w:type="dxa"/>
            <w:vAlign w:val="center"/>
          </w:tcPr>
          <w:p>
            <w:pPr>
              <w:snapToGrid w:val="0"/>
              <w:jc w:val="center"/>
              <w:rPr>
                <w:rFonts w:ascii="宋体" w:hAnsi="宋体"/>
                <w:color w:val="000000"/>
                <w:sz w:val="24"/>
              </w:rPr>
            </w:pPr>
            <w:r>
              <w:rPr>
                <w:rFonts w:hint="eastAsia" w:ascii="宋体" w:hAnsi="宋体"/>
                <w:color w:val="000000"/>
                <w:sz w:val="24"/>
              </w:rPr>
              <w:t>评估总价</w:t>
            </w:r>
          </w:p>
          <w:p>
            <w:pPr>
              <w:snapToGrid w:val="0"/>
              <w:jc w:val="center"/>
              <w:rPr>
                <w:rFonts w:ascii="宋体" w:hAnsi="宋体"/>
                <w:sz w:val="24"/>
              </w:rPr>
            </w:pPr>
            <w:r>
              <w:rPr>
                <w:rFonts w:hint="eastAsia" w:ascii="宋体" w:hAnsi="宋体"/>
                <w:color w:val="00000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聊房权证开字第01120172号</w:t>
            </w:r>
          </w:p>
        </w:tc>
        <w:tc>
          <w:tcPr>
            <w:tcW w:w="993"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李占岭</w:t>
            </w:r>
          </w:p>
        </w:tc>
        <w:tc>
          <w:tcPr>
            <w:tcW w:w="2483" w:type="dxa"/>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88.04</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9261</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81.53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continue"/>
            <w:vAlign w:val="center"/>
          </w:tcPr>
          <w:p>
            <w:pPr>
              <w:widowControl/>
              <w:jc w:val="center"/>
              <w:textAlignment w:val="center"/>
              <w:rPr>
                <w:rFonts w:ascii="宋体" w:hAnsi="宋体" w:cs="宋体"/>
                <w:color w:val="000000"/>
                <w:sz w:val="24"/>
              </w:rPr>
            </w:pPr>
          </w:p>
        </w:tc>
        <w:tc>
          <w:tcPr>
            <w:tcW w:w="993" w:type="dxa"/>
            <w:vMerge w:val="continue"/>
            <w:vAlign w:val="center"/>
          </w:tcPr>
          <w:p>
            <w:pPr>
              <w:widowControl/>
              <w:jc w:val="center"/>
              <w:textAlignment w:val="center"/>
              <w:rPr>
                <w:rFonts w:ascii="宋体" w:hAnsi="宋体" w:cs="宋体"/>
                <w:color w:val="000000"/>
                <w:sz w:val="24"/>
              </w:rPr>
            </w:pPr>
          </w:p>
        </w:tc>
        <w:tc>
          <w:tcPr>
            <w:tcW w:w="2483" w:type="dxa"/>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聊城市开发区东方家园小区9号楼4单元4层442号储藏室（1）</w:t>
            </w:r>
          </w:p>
        </w:tc>
        <w:tc>
          <w:tcPr>
            <w:tcW w:w="1254" w:type="dxa"/>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10.55</w:t>
            </w:r>
          </w:p>
        </w:tc>
        <w:tc>
          <w:tcPr>
            <w:tcW w:w="13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3000</w:t>
            </w:r>
          </w:p>
        </w:tc>
        <w:tc>
          <w:tcPr>
            <w:tcW w:w="140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3.17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continue"/>
            <w:vAlign w:val="center"/>
          </w:tcPr>
          <w:p>
            <w:pPr>
              <w:widowControl/>
              <w:jc w:val="center"/>
              <w:textAlignment w:val="center"/>
              <w:rPr>
                <w:rFonts w:ascii="宋体" w:hAnsi="宋体" w:cs="宋体"/>
                <w:color w:val="000000"/>
                <w:sz w:val="24"/>
              </w:rPr>
            </w:pPr>
          </w:p>
        </w:tc>
        <w:tc>
          <w:tcPr>
            <w:tcW w:w="993" w:type="dxa"/>
            <w:vMerge w:val="continue"/>
            <w:vAlign w:val="center"/>
          </w:tcPr>
          <w:p>
            <w:pPr>
              <w:widowControl/>
              <w:jc w:val="center"/>
              <w:textAlignment w:val="center"/>
              <w:rPr>
                <w:rFonts w:ascii="宋体" w:hAnsi="宋体" w:cs="宋体"/>
                <w:color w:val="000000"/>
                <w:kern w:val="0"/>
                <w:sz w:val="24"/>
              </w:rPr>
            </w:pPr>
          </w:p>
        </w:tc>
        <w:tc>
          <w:tcPr>
            <w:tcW w:w="2483" w:type="dxa"/>
            <w:vAlign w:val="center"/>
          </w:tcPr>
          <w:p>
            <w:pPr>
              <w:snapToGrid w:val="0"/>
              <w:jc w:val="center"/>
              <w:rPr>
                <w:rFonts w:ascii="宋体" w:hAnsi="宋体" w:cs="宋体"/>
                <w:color w:val="000000"/>
                <w:sz w:val="24"/>
              </w:rPr>
            </w:pPr>
            <w:r>
              <w:rPr>
                <w:rFonts w:hint="eastAsia" w:ascii="宋体" w:hAnsi="宋体" w:cs="宋体"/>
                <w:color w:val="000000"/>
                <w:sz w:val="24"/>
              </w:rPr>
              <w:t>聊城市开发区东方家园小区9号楼4单元4层442号储藏室（2）</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31.94</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3000</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9.58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合计</w:t>
            </w:r>
          </w:p>
        </w:tc>
        <w:tc>
          <w:tcPr>
            <w:tcW w:w="993" w:type="dxa"/>
            <w:vAlign w:val="center"/>
          </w:tcPr>
          <w:p>
            <w:pPr>
              <w:widowControl/>
              <w:jc w:val="center"/>
              <w:textAlignment w:val="center"/>
              <w:rPr>
                <w:rFonts w:ascii="宋体" w:hAnsi="宋体" w:cs="宋体"/>
                <w:b/>
                <w:color w:val="000000"/>
                <w:kern w:val="0"/>
                <w:sz w:val="24"/>
              </w:rPr>
            </w:pPr>
          </w:p>
        </w:tc>
        <w:tc>
          <w:tcPr>
            <w:tcW w:w="2483" w:type="dxa"/>
            <w:vAlign w:val="center"/>
          </w:tcPr>
          <w:p>
            <w:pPr>
              <w:snapToGrid w:val="0"/>
              <w:jc w:val="center"/>
              <w:rPr>
                <w:rFonts w:ascii="宋体" w:hAnsi="宋体" w:cs="宋体"/>
                <w:b/>
                <w:color w:val="000000"/>
                <w:sz w:val="24"/>
              </w:rPr>
            </w:pPr>
          </w:p>
        </w:tc>
        <w:tc>
          <w:tcPr>
            <w:tcW w:w="1254" w:type="dxa"/>
            <w:vAlign w:val="center"/>
          </w:tcPr>
          <w:p>
            <w:pPr>
              <w:jc w:val="center"/>
              <w:textAlignment w:val="center"/>
              <w:rPr>
                <w:rFonts w:ascii="宋体" w:hAnsi="宋体"/>
                <w:b/>
                <w:color w:val="000000"/>
                <w:sz w:val="24"/>
              </w:rPr>
            </w:pPr>
            <w:r>
              <w:rPr>
                <w:rFonts w:hint="eastAsia" w:ascii="宋体" w:hAnsi="宋体"/>
                <w:b/>
                <w:color w:val="000000"/>
                <w:sz w:val="24"/>
              </w:rPr>
              <w:t>130.53</w:t>
            </w:r>
          </w:p>
        </w:tc>
        <w:tc>
          <w:tcPr>
            <w:tcW w:w="1392" w:type="dxa"/>
            <w:vAlign w:val="center"/>
          </w:tcPr>
          <w:p>
            <w:pPr>
              <w:jc w:val="center"/>
              <w:rPr>
                <w:rFonts w:ascii="宋体" w:hAnsi="宋体" w:cs="宋体"/>
                <w:b/>
                <w:color w:val="000000"/>
                <w:kern w:val="0"/>
                <w:sz w:val="24"/>
                <w:lang w:bidi="ar"/>
              </w:rPr>
            </w:pPr>
          </w:p>
        </w:tc>
        <w:tc>
          <w:tcPr>
            <w:tcW w:w="1403" w:type="dxa"/>
            <w:vAlign w:val="center"/>
          </w:tcPr>
          <w:p>
            <w:pPr>
              <w:widowControl/>
              <w:jc w:val="center"/>
              <w:textAlignment w:val="center"/>
              <w:rPr>
                <w:rFonts w:ascii="宋体" w:hAnsi="宋体" w:cs="宋体"/>
                <w:b/>
                <w:color w:val="000000"/>
                <w:kern w:val="0"/>
                <w:sz w:val="24"/>
                <w:lang w:bidi="ar"/>
              </w:rPr>
            </w:pPr>
            <w:r>
              <w:rPr>
                <w:rFonts w:hint="eastAsia" w:ascii="宋体" w:hAnsi="宋体" w:cs="宋体"/>
                <w:color w:val="000000"/>
                <w:kern w:val="0"/>
                <w:sz w:val="24"/>
                <w:lang w:bidi="ar"/>
              </w:rPr>
              <w:t xml:space="preserve">94.28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spacing w:line="540" w:lineRule="exact"/>
              <w:jc w:val="center"/>
              <w:rPr>
                <w:rFonts w:ascii="宋体" w:hAnsi="宋体"/>
                <w:b/>
                <w:sz w:val="24"/>
              </w:rPr>
            </w:pPr>
            <w:r>
              <w:rPr>
                <w:rFonts w:hint="eastAsia" w:ascii="宋体" w:hAnsi="宋体"/>
                <w:b/>
                <w:sz w:val="24"/>
              </w:rPr>
              <w:t>人民币大写：玖拾肆万贰仟捌佰元整</w:t>
            </w:r>
          </w:p>
        </w:tc>
      </w:tr>
    </w:tbl>
    <w:p>
      <w:pPr>
        <w:pStyle w:val="7"/>
        <w:adjustRightInd w:val="0"/>
        <w:spacing w:line="560" w:lineRule="exact"/>
        <w:ind w:firstLine="560" w:firstLineChars="200"/>
        <w:rPr>
          <w:rFonts w:hint="eastAsia" w:ascii="宋体" w:hAnsi="宋体" w:eastAsia="宋体"/>
          <w:color w:val="000000"/>
          <w:szCs w:val="28"/>
        </w:rPr>
      </w:pPr>
      <w:r>
        <w:rPr>
          <w:rFonts w:hint="eastAsia" w:ascii="宋体" w:hAnsi="宋体" w:eastAsia="宋体"/>
          <w:color w:val="000000"/>
          <w:szCs w:val="28"/>
        </w:rPr>
        <w:t>估价结果内涵是估价对象在价值时点，满足本次估价假设和限制条件下包括建筑物、储藏室</w:t>
      </w:r>
      <w:r>
        <w:rPr>
          <w:rFonts w:ascii="宋体" w:hAnsi="宋体" w:eastAsia="宋体"/>
          <w:color w:val="000000"/>
          <w:szCs w:val="28"/>
        </w:rPr>
        <w:t>、</w:t>
      </w:r>
      <w:r>
        <w:rPr>
          <w:rFonts w:hint="eastAsia" w:ascii="宋体" w:hAnsi="宋体" w:eastAsia="宋体"/>
          <w:color w:val="000000"/>
          <w:szCs w:val="28"/>
        </w:rPr>
        <w:t>分摊的土地使用权及配套设施的</w:t>
      </w:r>
      <w:r>
        <w:rPr>
          <w:rFonts w:ascii="宋体" w:hAnsi="宋体" w:eastAsia="宋体"/>
          <w:color w:val="000000"/>
          <w:szCs w:val="28"/>
        </w:rPr>
        <w:t>价格</w:t>
      </w:r>
      <w:r>
        <w:rPr>
          <w:rFonts w:hint="eastAsia" w:ascii="宋体" w:hAnsi="宋体" w:eastAsia="宋体"/>
          <w:color w:val="000000"/>
          <w:szCs w:val="28"/>
        </w:rPr>
        <w:t>；房屋面积内涵是建筑面积；开发程度为现房。</w:t>
      </w:r>
    </w:p>
    <w:p>
      <w:pPr>
        <w:numPr>
          <w:ilvl w:val="0"/>
          <w:numId w:val="2"/>
        </w:numPr>
        <w:spacing w:line="600" w:lineRule="exact"/>
        <w:ind w:firstLine="594" w:firstLineChars="200"/>
        <w:rPr>
          <w:rFonts w:ascii="宋体" w:hAnsi="宋体"/>
          <w:b/>
          <w:color w:val="000000"/>
          <w:sz w:val="28"/>
        </w:rPr>
      </w:pPr>
      <w:r>
        <w:rPr>
          <w:rStyle w:val="47"/>
          <w:rFonts w:hint="eastAsia"/>
        </w:rPr>
        <w:t>注册房地产估价师</w:t>
      </w:r>
      <w:bookmarkEnd w:id="91"/>
      <w:bookmarkEnd w:id="92"/>
      <w:bookmarkEnd w:id="93"/>
      <w:bookmarkEnd w:id="94"/>
      <w:bookmarkEnd w:id="95"/>
      <w:bookmarkEnd w:id="96"/>
      <w:bookmarkEnd w:id="97"/>
      <w:bookmarkEnd w:id="98"/>
      <w:bookmarkEnd w:id="99"/>
      <w:r>
        <w:rPr>
          <w:rFonts w:hint="eastAsia" w:ascii="宋体" w:hAnsi="宋体"/>
          <w:b/>
          <w:color w:val="000000"/>
          <w:sz w:val="28"/>
        </w:rPr>
        <w:t>：</w:t>
      </w:r>
    </w:p>
    <w:tbl>
      <w:tblPr>
        <w:tblStyle w:val="20"/>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32"/>
        <w:gridCol w:w="2190"/>
        <w:gridCol w:w="2814"/>
        <w:gridCol w:w="22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094" w:type="pct"/>
            <w:vAlign w:val="center"/>
          </w:tcPr>
          <w:p>
            <w:pPr>
              <w:spacing w:line="600" w:lineRule="exact"/>
              <w:jc w:val="center"/>
              <w:rPr>
                <w:rFonts w:ascii="宋体" w:hAnsi="宋体"/>
                <w:color w:val="000000"/>
                <w:sz w:val="28"/>
              </w:rPr>
            </w:pPr>
            <w:r>
              <w:rPr>
                <w:rFonts w:hint="eastAsia" w:ascii="宋体" w:hAnsi="宋体"/>
                <w:color w:val="000000"/>
                <w:sz w:val="28"/>
              </w:rPr>
              <w:t>姓名</w:t>
            </w:r>
          </w:p>
        </w:tc>
        <w:tc>
          <w:tcPr>
            <w:tcW w:w="1179" w:type="pct"/>
            <w:vAlign w:val="center"/>
          </w:tcPr>
          <w:p>
            <w:pPr>
              <w:spacing w:line="600" w:lineRule="exact"/>
              <w:jc w:val="center"/>
              <w:rPr>
                <w:rFonts w:ascii="宋体" w:hAnsi="宋体"/>
                <w:color w:val="000000"/>
                <w:sz w:val="28"/>
              </w:rPr>
            </w:pPr>
            <w:r>
              <w:rPr>
                <w:rFonts w:hint="eastAsia" w:ascii="宋体" w:hAnsi="宋体"/>
                <w:color w:val="000000"/>
                <w:sz w:val="28"/>
              </w:rPr>
              <w:t>注册号</w:t>
            </w:r>
          </w:p>
        </w:tc>
        <w:tc>
          <w:tcPr>
            <w:tcW w:w="1515" w:type="pct"/>
            <w:vAlign w:val="center"/>
          </w:tcPr>
          <w:p>
            <w:pPr>
              <w:spacing w:line="600" w:lineRule="exact"/>
              <w:jc w:val="center"/>
              <w:rPr>
                <w:rFonts w:ascii="宋体" w:hAnsi="宋体"/>
                <w:color w:val="000000"/>
                <w:sz w:val="28"/>
              </w:rPr>
            </w:pPr>
            <w:r>
              <w:rPr>
                <w:rFonts w:hint="eastAsia" w:ascii="宋体" w:hAnsi="宋体"/>
                <w:color w:val="000000"/>
                <w:sz w:val="28"/>
              </w:rPr>
              <w:t>盖章签名</w:t>
            </w:r>
          </w:p>
        </w:tc>
        <w:tc>
          <w:tcPr>
            <w:tcW w:w="1211" w:type="pct"/>
            <w:vAlign w:val="center"/>
          </w:tcPr>
          <w:p>
            <w:pPr>
              <w:spacing w:line="600" w:lineRule="exact"/>
              <w:jc w:val="center"/>
              <w:rPr>
                <w:rFonts w:ascii="宋体" w:hAnsi="宋体"/>
                <w:color w:val="000000"/>
                <w:sz w:val="28"/>
              </w:rPr>
            </w:pPr>
            <w:r>
              <w:rPr>
                <w:rFonts w:hint="eastAsia" w:ascii="宋体" w:hAnsi="宋体"/>
                <w:color w:val="000000"/>
                <w:sz w:val="28"/>
              </w:rPr>
              <w:t>签名日期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8" w:hRule="atLeast"/>
          <w:jc w:val="center"/>
        </w:trPr>
        <w:tc>
          <w:tcPr>
            <w:tcW w:w="1094" w:type="pct"/>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1179" w:type="pct"/>
            <w:vAlign w:val="center"/>
          </w:tcPr>
          <w:p>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1515" w:type="pct"/>
          </w:tcPr>
          <w:p>
            <w:pPr>
              <w:spacing w:line="600" w:lineRule="exact"/>
              <w:rPr>
                <w:rFonts w:ascii="宋体" w:hAnsi="宋体"/>
                <w:color w:val="000000"/>
                <w:sz w:val="28"/>
                <w:szCs w:val="28"/>
              </w:rPr>
            </w:pPr>
          </w:p>
        </w:tc>
        <w:tc>
          <w:tcPr>
            <w:tcW w:w="1211" w:type="pct"/>
            <w:vAlign w:val="center"/>
          </w:tcPr>
          <w:p>
            <w:pPr>
              <w:spacing w:line="600" w:lineRule="exact"/>
              <w:jc w:val="center"/>
              <w:rPr>
                <w:rFonts w:ascii="宋体" w:hAnsi="宋体"/>
                <w:color w:val="000000"/>
                <w:sz w:val="28"/>
                <w:szCs w:val="28"/>
              </w:rPr>
            </w:pPr>
            <w:r>
              <w:rPr>
                <w:rFonts w:hint="eastAsia" w:ascii="宋体" w:hAnsi="宋体"/>
                <w:color w:val="000000"/>
                <w:sz w:val="28"/>
                <w:szCs w:val="28"/>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1094" w:type="pct"/>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马舒然</w:t>
            </w:r>
          </w:p>
        </w:tc>
        <w:tc>
          <w:tcPr>
            <w:tcW w:w="1179" w:type="pct"/>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3720210044</w:t>
            </w:r>
          </w:p>
        </w:tc>
        <w:tc>
          <w:tcPr>
            <w:tcW w:w="1515" w:type="pct"/>
          </w:tcPr>
          <w:p>
            <w:pPr>
              <w:spacing w:line="600" w:lineRule="exact"/>
              <w:rPr>
                <w:rFonts w:ascii="宋体" w:hAnsi="宋体"/>
                <w:color w:val="000000"/>
                <w:sz w:val="28"/>
                <w:szCs w:val="28"/>
              </w:rPr>
            </w:pPr>
          </w:p>
        </w:tc>
        <w:tc>
          <w:tcPr>
            <w:tcW w:w="1211" w:type="pct"/>
            <w:vAlign w:val="center"/>
          </w:tcPr>
          <w:p>
            <w:pPr>
              <w:spacing w:line="600" w:lineRule="exact"/>
              <w:ind w:firstLine="570"/>
              <w:jc w:val="center"/>
              <w:rPr>
                <w:rFonts w:ascii="宋体" w:hAnsi="宋体"/>
                <w:color w:val="000000"/>
                <w:sz w:val="28"/>
                <w:szCs w:val="28"/>
              </w:rPr>
            </w:pPr>
            <w:r>
              <w:rPr>
                <w:rFonts w:hint="eastAsia" w:ascii="宋体" w:hAnsi="宋体"/>
                <w:color w:val="000000"/>
                <w:sz w:val="28"/>
                <w:szCs w:val="28"/>
              </w:rPr>
              <w:t>年  月  日</w:t>
            </w:r>
          </w:p>
        </w:tc>
      </w:tr>
    </w:tbl>
    <w:p>
      <w:pPr>
        <w:spacing w:line="600" w:lineRule="exact"/>
        <w:ind w:firstLine="594" w:firstLineChars="200"/>
        <w:rPr>
          <w:rFonts w:ascii="宋体" w:hAnsi="宋体"/>
          <w:color w:val="000000"/>
          <w:sz w:val="28"/>
        </w:rPr>
      </w:pPr>
      <w:bookmarkStart w:id="100" w:name="_Toc27736472"/>
      <w:bookmarkStart w:id="101" w:name="_Toc19087064"/>
      <w:bookmarkStart w:id="102" w:name="_Toc28941840"/>
      <w:bookmarkStart w:id="103" w:name="_Toc55921676"/>
      <w:bookmarkStart w:id="104" w:name="_Toc17471965"/>
      <w:bookmarkStart w:id="105" w:name="_Toc16234445"/>
      <w:bookmarkStart w:id="106" w:name="_Toc24121743"/>
      <w:bookmarkStart w:id="107" w:name="_Toc16234183"/>
      <w:bookmarkStart w:id="108" w:name="_Toc17471996"/>
      <w:r>
        <w:rPr>
          <w:rStyle w:val="47"/>
          <w:rFonts w:hint="eastAsia"/>
        </w:rPr>
        <w:t>十二、实地查勘期</w:t>
      </w:r>
      <w:bookmarkEnd w:id="100"/>
      <w:bookmarkEnd w:id="101"/>
      <w:bookmarkEnd w:id="102"/>
      <w:bookmarkEnd w:id="103"/>
      <w:bookmarkEnd w:id="104"/>
      <w:bookmarkEnd w:id="105"/>
      <w:bookmarkEnd w:id="106"/>
      <w:bookmarkEnd w:id="107"/>
      <w:bookmarkEnd w:id="108"/>
      <w:r>
        <w:rPr>
          <w:rFonts w:hint="eastAsia" w:ascii="宋体" w:hAnsi="宋体"/>
          <w:b/>
          <w:color w:val="000000"/>
          <w:sz w:val="28"/>
        </w:rPr>
        <w:t>：</w:t>
      </w:r>
      <w:r>
        <w:rPr>
          <w:rFonts w:hint="eastAsia" w:ascii="宋体" w:hAnsi="宋体"/>
          <w:color w:val="000000"/>
          <w:sz w:val="28"/>
        </w:rPr>
        <w:t>2022年10月11日。</w:t>
      </w:r>
    </w:p>
    <w:p>
      <w:pPr>
        <w:spacing w:line="600" w:lineRule="exact"/>
        <w:ind w:firstLine="594" w:firstLineChars="200"/>
        <w:rPr>
          <w:rFonts w:ascii="宋体" w:hAnsi="宋体"/>
          <w:color w:val="000000"/>
          <w:sz w:val="28"/>
        </w:rPr>
      </w:pPr>
      <w:bookmarkStart w:id="109" w:name="_Toc16234184"/>
      <w:bookmarkStart w:id="110" w:name="_Toc19087065"/>
      <w:bookmarkStart w:id="111" w:name="_Toc55921677"/>
      <w:bookmarkStart w:id="112" w:name="_Toc28941841"/>
      <w:bookmarkStart w:id="113" w:name="_Toc16234446"/>
      <w:bookmarkStart w:id="114" w:name="_Toc27736473"/>
      <w:bookmarkStart w:id="115" w:name="_Toc17471966"/>
      <w:bookmarkStart w:id="116" w:name="_Toc24121744"/>
      <w:bookmarkStart w:id="117" w:name="_Toc17471997"/>
      <w:r>
        <w:rPr>
          <w:rStyle w:val="47"/>
          <w:rFonts w:hint="eastAsia"/>
        </w:rPr>
        <w:t>十三、估价作业期</w:t>
      </w:r>
      <w:bookmarkEnd w:id="109"/>
      <w:bookmarkEnd w:id="110"/>
      <w:bookmarkEnd w:id="111"/>
      <w:bookmarkEnd w:id="112"/>
      <w:bookmarkEnd w:id="113"/>
      <w:bookmarkEnd w:id="114"/>
      <w:bookmarkEnd w:id="115"/>
      <w:bookmarkEnd w:id="116"/>
      <w:bookmarkEnd w:id="117"/>
      <w:r>
        <w:rPr>
          <w:rFonts w:hint="eastAsia" w:ascii="宋体" w:hAnsi="宋体"/>
          <w:color w:val="000000"/>
          <w:sz w:val="28"/>
        </w:rPr>
        <w:t xml:space="preserve">：2022年10月11日至2022年10月21日。 </w:t>
      </w:r>
    </w:p>
    <w:p>
      <w:pPr>
        <w:spacing w:line="600" w:lineRule="exact"/>
        <w:ind w:firstLine="560" w:firstLineChars="200"/>
        <w:rPr>
          <w:rFonts w:ascii="宋体" w:hAnsi="宋体"/>
          <w:color w:val="000000"/>
          <w:sz w:val="28"/>
        </w:rPr>
      </w:pPr>
    </w:p>
    <w:p>
      <w:pPr>
        <w:spacing w:line="600" w:lineRule="exact"/>
        <w:ind w:firstLine="3640" w:firstLineChars="1300"/>
        <w:jc w:val="left"/>
        <w:rPr>
          <w:rFonts w:ascii="宋体" w:hAnsi="宋体"/>
          <w:color w:val="000000"/>
          <w:sz w:val="28"/>
          <w:szCs w:val="28"/>
        </w:rPr>
      </w:pPr>
      <w:r>
        <w:rPr>
          <w:rFonts w:hint="eastAsia" w:ascii="宋体" w:hAnsi="宋体"/>
          <w:color w:val="000000"/>
          <w:sz w:val="28"/>
          <w:szCs w:val="28"/>
        </w:rPr>
        <w:t>山东成达土地房地产资产评估测绘有限公司</w:t>
      </w:r>
    </w:p>
    <w:p>
      <w:pPr>
        <w:spacing w:line="600" w:lineRule="exact"/>
        <w:ind w:firstLine="4900" w:firstLineChars="1750"/>
        <w:jc w:val="left"/>
        <w:rPr>
          <w:rFonts w:ascii="宋体" w:hAnsi="宋体"/>
          <w:color w:val="000000"/>
          <w:sz w:val="28"/>
        </w:rPr>
      </w:pPr>
      <w:r>
        <w:rPr>
          <w:rFonts w:hint="eastAsia" w:ascii="宋体" w:hAnsi="宋体"/>
          <w:color w:val="000000"/>
          <w:sz w:val="28"/>
        </w:rPr>
        <w:t>二○二二年十月二十一日</w:t>
      </w:r>
    </w:p>
    <w:p>
      <w:pPr>
        <w:rPr>
          <w:b/>
        </w:rPr>
      </w:pPr>
      <w:bookmarkStart w:id="118" w:name="_Toc55921678"/>
      <w:r>
        <w:rPr>
          <w:rFonts w:hint="eastAsia"/>
          <w:b/>
        </w:rPr>
        <w:br w:type="page"/>
      </w:r>
    </w:p>
    <w:p>
      <w:pPr>
        <w:pStyle w:val="2"/>
        <w:rPr>
          <w:rFonts w:ascii="宋体" w:hAnsi="宋体"/>
          <w:b/>
          <w:color w:val="000000"/>
          <w:sz w:val="28"/>
        </w:rPr>
      </w:pPr>
      <w:r>
        <w:rPr>
          <w:rFonts w:hint="eastAsia"/>
          <w:b/>
        </w:rPr>
        <w:t xml:space="preserve">附 </w:t>
      </w:r>
      <w:r>
        <w:rPr>
          <w:b/>
        </w:rPr>
        <w:t xml:space="preserve"> </w:t>
      </w:r>
      <w:r>
        <w:rPr>
          <w:rFonts w:hint="eastAsia"/>
          <w:b/>
        </w:rPr>
        <w:t>件</w:t>
      </w:r>
      <w:bookmarkEnd w:id="118"/>
    </w:p>
    <w:p>
      <w:pPr>
        <w:spacing w:line="600" w:lineRule="exact"/>
        <w:ind w:firstLine="560" w:firstLineChars="200"/>
        <w:rPr>
          <w:rFonts w:ascii="宋体" w:hAnsi="宋体"/>
          <w:color w:val="000000"/>
          <w:sz w:val="28"/>
        </w:rPr>
      </w:pPr>
      <w:r>
        <w:rPr>
          <w:rFonts w:hint="eastAsia" w:ascii="宋体" w:hAnsi="宋体"/>
          <w:color w:val="000000"/>
          <w:sz w:val="28"/>
        </w:rPr>
        <w:t>（一）估价对象位置图；</w:t>
      </w:r>
    </w:p>
    <w:p>
      <w:pPr>
        <w:spacing w:line="600" w:lineRule="exact"/>
        <w:ind w:firstLine="560" w:firstLineChars="200"/>
        <w:rPr>
          <w:rFonts w:ascii="宋体" w:hAnsi="宋体"/>
          <w:color w:val="000000"/>
          <w:sz w:val="28"/>
        </w:rPr>
      </w:pPr>
      <w:r>
        <w:rPr>
          <w:rFonts w:hint="eastAsia" w:ascii="宋体" w:hAnsi="宋体"/>
          <w:color w:val="000000"/>
          <w:sz w:val="28"/>
        </w:rPr>
        <w:t>（二）估价对象外部照片；</w:t>
      </w:r>
    </w:p>
    <w:p>
      <w:pPr>
        <w:spacing w:line="600" w:lineRule="exact"/>
        <w:ind w:firstLine="560" w:firstLineChars="200"/>
        <w:rPr>
          <w:rFonts w:ascii="宋体" w:hAnsi="宋体"/>
          <w:color w:val="000000"/>
          <w:sz w:val="28"/>
        </w:rPr>
      </w:pPr>
      <w:r>
        <w:rPr>
          <w:rFonts w:hint="eastAsia" w:ascii="宋体" w:hAnsi="宋体"/>
          <w:color w:val="000000"/>
          <w:sz w:val="28"/>
        </w:rPr>
        <w:t>（三）聊城市东昌府区人民法院委托书（复印件）；</w:t>
      </w:r>
    </w:p>
    <w:p>
      <w:pPr>
        <w:spacing w:line="600" w:lineRule="exact"/>
        <w:ind w:firstLine="560" w:firstLineChars="200"/>
        <w:rPr>
          <w:rFonts w:ascii="宋体" w:hAnsi="宋体"/>
          <w:color w:val="000000"/>
          <w:sz w:val="28"/>
        </w:rPr>
      </w:pPr>
      <w:r>
        <w:rPr>
          <w:rFonts w:hint="eastAsia" w:ascii="宋体" w:hAnsi="宋体"/>
          <w:color w:val="000000"/>
          <w:sz w:val="28"/>
        </w:rPr>
        <w:t>（四）《</w:t>
      </w:r>
      <w:r>
        <w:rPr>
          <w:rFonts w:hint="eastAsia" w:ascii="宋体" w:hAnsi="宋体" w:cs="宋体"/>
          <w:color w:val="000000"/>
          <w:sz w:val="28"/>
          <w:lang w:val="zh-CN"/>
        </w:rPr>
        <w:t>房屋所有权证</w:t>
      </w:r>
      <w:r>
        <w:rPr>
          <w:rFonts w:hint="eastAsia" w:ascii="宋体" w:hAnsi="宋体"/>
          <w:color w:val="000000"/>
          <w:sz w:val="28"/>
        </w:rPr>
        <w:t>》（复印件）；</w:t>
      </w:r>
    </w:p>
    <w:p>
      <w:pPr>
        <w:spacing w:line="600" w:lineRule="exact"/>
        <w:ind w:firstLine="560" w:firstLineChars="200"/>
        <w:rPr>
          <w:rFonts w:ascii="宋体" w:hAnsi="宋体"/>
          <w:color w:val="000000"/>
          <w:sz w:val="28"/>
        </w:rPr>
      </w:pPr>
      <w:r>
        <w:rPr>
          <w:rFonts w:hint="eastAsia" w:ascii="宋体" w:hAnsi="宋体"/>
          <w:color w:val="000000"/>
          <w:sz w:val="28"/>
        </w:rPr>
        <w:t>（五）房地产估价机构营业执照（复印件）；</w:t>
      </w:r>
    </w:p>
    <w:p>
      <w:pPr>
        <w:spacing w:line="600" w:lineRule="exact"/>
        <w:ind w:firstLine="560" w:firstLineChars="200"/>
        <w:rPr>
          <w:rFonts w:ascii="宋体" w:hAnsi="宋体"/>
          <w:color w:val="000000"/>
          <w:sz w:val="28"/>
        </w:rPr>
      </w:pPr>
      <w:r>
        <w:rPr>
          <w:rFonts w:hint="eastAsia" w:ascii="宋体" w:hAnsi="宋体"/>
          <w:color w:val="000000"/>
          <w:sz w:val="28"/>
        </w:rPr>
        <w:t>（六）房地产估价机构资质证书（复印件）；</w:t>
      </w:r>
    </w:p>
    <w:p>
      <w:pPr>
        <w:spacing w:line="600" w:lineRule="exact"/>
        <w:ind w:firstLine="560" w:firstLineChars="200"/>
        <w:rPr>
          <w:rFonts w:ascii="宋体" w:hAnsi="宋体"/>
          <w:color w:val="000000"/>
          <w:sz w:val="28"/>
        </w:rPr>
      </w:pPr>
      <w:r>
        <w:rPr>
          <w:rFonts w:hint="eastAsia" w:ascii="宋体" w:hAnsi="宋体"/>
          <w:color w:val="000000"/>
          <w:sz w:val="28"/>
        </w:rPr>
        <w:t>（七）房地产估价师注册证书（复印件）。</w:t>
      </w: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rPr>
          <w:rFonts w:ascii="宋体" w:hAnsi="宋体"/>
          <w:color w:val="000000"/>
          <w:sz w:val="28"/>
        </w:rPr>
      </w:pPr>
    </w:p>
    <w:p>
      <w:pPr>
        <w:spacing w:line="600" w:lineRule="exact"/>
        <w:rPr>
          <w:rFonts w:ascii="宋体" w:hAnsi="宋体"/>
          <w:color w:val="000000"/>
          <w:sz w:val="28"/>
        </w:rPr>
      </w:pPr>
    </w:p>
    <w:p>
      <w:pPr>
        <w:spacing w:line="600" w:lineRule="exact"/>
        <w:rPr>
          <w:rFonts w:ascii="宋体" w:hAnsi="宋体"/>
          <w:color w:val="000000"/>
          <w:sz w:val="28"/>
        </w:rPr>
      </w:pPr>
    </w:p>
    <w:p>
      <w:pPr>
        <w:snapToGrid w:val="0"/>
        <w:spacing w:line="560" w:lineRule="exact"/>
        <w:ind w:right="-110"/>
        <w:jc w:val="both"/>
        <w:rPr>
          <w:rFonts w:ascii="宋体" w:hAnsi="宋体"/>
          <w:color w:val="000000"/>
          <w:sz w:val="28"/>
        </w:rPr>
      </w:pPr>
      <w:bookmarkStart w:id="120" w:name="_GoBack"/>
      <w:bookmarkEnd w:id="120"/>
    </w:p>
    <w:sectPr>
      <w:headerReference r:id="rId3" w:type="default"/>
      <w:footerReference r:id="rId4" w:type="default"/>
      <w:footerReference r:id="rId5" w:type="even"/>
      <w:pgSz w:w="11906" w:h="16838"/>
      <w:pgMar w:top="623" w:right="1418" w:bottom="623"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pPr>
    <w:r>
      <w:rPr>
        <w:rFonts w:hint="eastAsia"/>
      </w:rPr>
      <w:t xml:space="preserve">地址：中国（山东）自由贸易试验区济南片区新泺大街 </w:t>
    </w:r>
    <w:r>
      <w:t xml:space="preserve">   — </w:t>
    </w:r>
    <w:sdt>
      <w:sdtPr>
        <w:id w:val="165374700"/>
        <w:docPartObj>
          <w:docPartGallery w:val="AutoText"/>
        </w:docPartObj>
      </w:sdtPr>
      <w:sdtContent>
        <w:r>
          <w:fldChar w:fldCharType="begin"/>
        </w:r>
        <w:r>
          <w:instrText xml:space="preserve">PAGE   \* MERGEFORMAT</w:instrText>
        </w:r>
        <w:r>
          <w:fldChar w:fldCharType="separate"/>
        </w:r>
        <w:r>
          <w:rPr>
            <w:lang w:val="zh-CN"/>
          </w:rPr>
          <w:t>6</w:t>
        </w:r>
        <w:r>
          <w:fldChar w:fldCharType="end"/>
        </w:r>
        <w:r>
          <w:t xml:space="preserve"> —                 </w:t>
        </w:r>
        <w:r>
          <w:rPr>
            <w:rFonts w:hint="eastAsia"/>
          </w:rPr>
          <w:t>联系电话： 0531-82998556</w:t>
        </w:r>
      </w:sdtContent>
    </w:sdt>
  </w:p>
  <w:p>
    <w:pPr>
      <w:pStyle w:val="13"/>
      <w:pBdr>
        <w:top w:val="single" w:color="auto" w:sz="4" w:space="1"/>
      </w:pBdr>
      <w:ind w:firstLine="552" w:firstLineChars="300"/>
      <w:rPr>
        <w:spacing w:val="2"/>
      </w:rPr>
    </w:pPr>
    <w:r>
      <w:rPr>
        <w:rFonts w:hint="eastAsia"/>
        <w:spacing w:val="2"/>
      </w:rPr>
      <w:t>2117号铭盛大厦1618室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8"/>
      <w:jc w:val="both"/>
      <w:rPr>
        <w:spacing w:val="2"/>
      </w:rPr>
    </w:pPr>
    <w:r>
      <w:rPr>
        <w:rFonts w:hint="eastAsia"/>
        <w:spacing w:val="2"/>
      </w:rPr>
      <w:t xml:space="preserve">山东成达土地房地产资产评估测绘有限公司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B848"/>
    <w:multiLevelType w:val="singleLevel"/>
    <w:tmpl w:val="BFD0B848"/>
    <w:lvl w:ilvl="0" w:tentative="0">
      <w:start w:val="11"/>
      <w:numFmt w:val="chineseCounting"/>
      <w:suff w:val="nothing"/>
      <w:lvlText w:val="%1、"/>
      <w:lvlJc w:val="left"/>
      <w:rPr>
        <w:rFonts w:hint="eastAsia"/>
      </w:rPr>
    </w:lvl>
  </w:abstractNum>
  <w:abstractNum w:abstractNumId="1">
    <w:nsid w:val="6CC50C19"/>
    <w:multiLevelType w:val="multilevel"/>
    <w:tmpl w:val="6CC50C1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1MTUwMzBmZTMzMDcyYWUxNDFiZTU3ODc0OGNiZTMifQ=="/>
  </w:docVars>
  <w:rsids>
    <w:rsidRoot w:val="00172A27"/>
    <w:rsid w:val="00000C2F"/>
    <w:rsid w:val="00000C4D"/>
    <w:rsid w:val="0000145B"/>
    <w:rsid w:val="0000155C"/>
    <w:rsid w:val="0000170D"/>
    <w:rsid w:val="00002026"/>
    <w:rsid w:val="00002735"/>
    <w:rsid w:val="00002A87"/>
    <w:rsid w:val="00003157"/>
    <w:rsid w:val="000037BD"/>
    <w:rsid w:val="00003D9F"/>
    <w:rsid w:val="00004023"/>
    <w:rsid w:val="00005886"/>
    <w:rsid w:val="00005FB4"/>
    <w:rsid w:val="00007A62"/>
    <w:rsid w:val="00007ED2"/>
    <w:rsid w:val="00010F62"/>
    <w:rsid w:val="00012EDF"/>
    <w:rsid w:val="00015650"/>
    <w:rsid w:val="00016115"/>
    <w:rsid w:val="000166D0"/>
    <w:rsid w:val="000168C1"/>
    <w:rsid w:val="00016EFA"/>
    <w:rsid w:val="00016F0A"/>
    <w:rsid w:val="0002000C"/>
    <w:rsid w:val="000203E2"/>
    <w:rsid w:val="0002051D"/>
    <w:rsid w:val="000211A1"/>
    <w:rsid w:val="00021C48"/>
    <w:rsid w:val="00025195"/>
    <w:rsid w:val="000305C3"/>
    <w:rsid w:val="0003076E"/>
    <w:rsid w:val="00030B0B"/>
    <w:rsid w:val="00032224"/>
    <w:rsid w:val="00032C2E"/>
    <w:rsid w:val="00034CC1"/>
    <w:rsid w:val="00034E5C"/>
    <w:rsid w:val="000360E3"/>
    <w:rsid w:val="00037179"/>
    <w:rsid w:val="00042C8A"/>
    <w:rsid w:val="00044A96"/>
    <w:rsid w:val="0004634E"/>
    <w:rsid w:val="0004784D"/>
    <w:rsid w:val="00047E29"/>
    <w:rsid w:val="00053C17"/>
    <w:rsid w:val="00053D7F"/>
    <w:rsid w:val="0005425B"/>
    <w:rsid w:val="00054DA5"/>
    <w:rsid w:val="00056E74"/>
    <w:rsid w:val="00057376"/>
    <w:rsid w:val="0005752D"/>
    <w:rsid w:val="000604CD"/>
    <w:rsid w:val="00060DBA"/>
    <w:rsid w:val="000614AE"/>
    <w:rsid w:val="00061899"/>
    <w:rsid w:val="00061CB4"/>
    <w:rsid w:val="00061D5E"/>
    <w:rsid w:val="00062019"/>
    <w:rsid w:val="00063BD2"/>
    <w:rsid w:val="000642AA"/>
    <w:rsid w:val="0006512B"/>
    <w:rsid w:val="0006578B"/>
    <w:rsid w:val="00066D37"/>
    <w:rsid w:val="00071382"/>
    <w:rsid w:val="0007284B"/>
    <w:rsid w:val="000728D6"/>
    <w:rsid w:val="00073676"/>
    <w:rsid w:val="00073EA7"/>
    <w:rsid w:val="0007437B"/>
    <w:rsid w:val="0007440F"/>
    <w:rsid w:val="00075F8C"/>
    <w:rsid w:val="00080316"/>
    <w:rsid w:val="00080BED"/>
    <w:rsid w:val="000812E6"/>
    <w:rsid w:val="00081857"/>
    <w:rsid w:val="00081E46"/>
    <w:rsid w:val="000835F6"/>
    <w:rsid w:val="00084AB6"/>
    <w:rsid w:val="000858EC"/>
    <w:rsid w:val="000862B8"/>
    <w:rsid w:val="0008797E"/>
    <w:rsid w:val="00090CA8"/>
    <w:rsid w:val="00091137"/>
    <w:rsid w:val="00091F1C"/>
    <w:rsid w:val="00092040"/>
    <w:rsid w:val="000931AE"/>
    <w:rsid w:val="000945ED"/>
    <w:rsid w:val="00094DED"/>
    <w:rsid w:val="00095161"/>
    <w:rsid w:val="00096016"/>
    <w:rsid w:val="00097A53"/>
    <w:rsid w:val="00097EDA"/>
    <w:rsid w:val="000A0D60"/>
    <w:rsid w:val="000A2AE5"/>
    <w:rsid w:val="000A467E"/>
    <w:rsid w:val="000A7387"/>
    <w:rsid w:val="000A7F64"/>
    <w:rsid w:val="000B0CD1"/>
    <w:rsid w:val="000B0F36"/>
    <w:rsid w:val="000B1AE9"/>
    <w:rsid w:val="000B20CB"/>
    <w:rsid w:val="000B246A"/>
    <w:rsid w:val="000B26FC"/>
    <w:rsid w:val="000B2BC7"/>
    <w:rsid w:val="000B2F71"/>
    <w:rsid w:val="000B3128"/>
    <w:rsid w:val="000B3964"/>
    <w:rsid w:val="000B5631"/>
    <w:rsid w:val="000B5868"/>
    <w:rsid w:val="000B59F1"/>
    <w:rsid w:val="000B6702"/>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3D56"/>
    <w:rsid w:val="000C636F"/>
    <w:rsid w:val="000D13A7"/>
    <w:rsid w:val="000D194D"/>
    <w:rsid w:val="000D2D43"/>
    <w:rsid w:val="000D3CCC"/>
    <w:rsid w:val="000D3D11"/>
    <w:rsid w:val="000D5EDA"/>
    <w:rsid w:val="000D621A"/>
    <w:rsid w:val="000D6395"/>
    <w:rsid w:val="000D67CF"/>
    <w:rsid w:val="000D6A66"/>
    <w:rsid w:val="000D6FA3"/>
    <w:rsid w:val="000D7000"/>
    <w:rsid w:val="000D71DB"/>
    <w:rsid w:val="000D727D"/>
    <w:rsid w:val="000D7671"/>
    <w:rsid w:val="000E2850"/>
    <w:rsid w:val="000E2A98"/>
    <w:rsid w:val="000E2C1A"/>
    <w:rsid w:val="000E2EC0"/>
    <w:rsid w:val="000E30B1"/>
    <w:rsid w:val="000E30BD"/>
    <w:rsid w:val="000E3A22"/>
    <w:rsid w:val="000E4697"/>
    <w:rsid w:val="000E4C8B"/>
    <w:rsid w:val="000E5120"/>
    <w:rsid w:val="000E5652"/>
    <w:rsid w:val="000E597C"/>
    <w:rsid w:val="000E632B"/>
    <w:rsid w:val="000F07D6"/>
    <w:rsid w:val="000F0A2D"/>
    <w:rsid w:val="000F0B24"/>
    <w:rsid w:val="000F2154"/>
    <w:rsid w:val="000F294C"/>
    <w:rsid w:val="000F3587"/>
    <w:rsid w:val="000F3C0B"/>
    <w:rsid w:val="000F41B9"/>
    <w:rsid w:val="000F55FA"/>
    <w:rsid w:val="000F59E2"/>
    <w:rsid w:val="00100DB0"/>
    <w:rsid w:val="00100FE6"/>
    <w:rsid w:val="00101174"/>
    <w:rsid w:val="001030D5"/>
    <w:rsid w:val="001042BE"/>
    <w:rsid w:val="00104A64"/>
    <w:rsid w:val="00106A41"/>
    <w:rsid w:val="00107E1F"/>
    <w:rsid w:val="0011000E"/>
    <w:rsid w:val="00110601"/>
    <w:rsid w:val="001109E5"/>
    <w:rsid w:val="001110A5"/>
    <w:rsid w:val="00111456"/>
    <w:rsid w:val="00111A18"/>
    <w:rsid w:val="00111A4F"/>
    <w:rsid w:val="001127BA"/>
    <w:rsid w:val="00113474"/>
    <w:rsid w:val="00113970"/>
    <w:rsid w:val="00113F75"/>
    <w:rsid w:val="0011486C"/>
    <w:rsid w:val="00115AAD"/>
    <w:rsid w:val="0011601A"/>
    <w:rsid w:val="00116C62"/>
    <w:rsid w:val="001203CF"/>
    <w:rsid w:val="00121715"/>
    <w:rsid w:val="00121AE5"/>
    <w:rsid w:val="0012323E"/>
    <w:rsid w:val="00123473"/>
    <w:rsid w:val="00124126"/>
    <w:rsid w:val="0012480D"/>
    <w:rsid w:val="00124D5A"/>
    <w:rsid w:val="00125BF9"/>
    <w:rsid w:val="0012787C"/>
    <w:rsid w:val="00127A1C"/>
    <w:rsid w:val="001301BA"/>
    <w:rsid w:val="0013232A"/>
    <w:rsid w:val="00133236"/>
    <w:rsid w:val="001342FA"/>
    <w:rsid w:val="00134907"/>
    <w:rsid w:val="0013547C"/>
    <w:rsid w:val="00135DE9"/>
    <w:rsid w:val="00136735"/>
    <w:rsid w:val="0013744F"/>
    <w:rsid w:val="00137A09"/>
    <w:rsid w:val="00137B58"/>
    <w:rsid w:val="001406BB"/>
    <w:rsid w:val="00141501"/>
    <w:rsid w:val="0014174A"/>
    <w:rsid w:val="00141D42"/>
    <w:rsid w:val="00142278"/>
    <w:rsid w:val="0014283E"/>
    <w:rsid w:val="00142A70"/>
    <w:rsid w:val="00142B89"/>
    <w:rsid w:val="00143770"/>
    <w:rsid w:val="00143F20"/>
    <w:rsid w:val="001448E1"/>
    <w:rsid w:val="001477FF"/>
    <w:rsid w:val="00147ACA"/>
    <w:rsid w:val="00147C1F"/>
    <w:rsid w:val="00152A20"/>
    <w:rsid w:val="00152A2D"/>
    <w:rsid w:val="00153B23"/>
    <w:rsid w:val="00154727"/>
    <w:rsid w:val="0015488D"/>
    <w:rsid w:val="00155D74"/>
    <w:rsid w:val="00157842"/>
    <w:rsid w:val="00157959"/>
    <w:rsid w:val="001607DB"/>
    <w:rsid w:val="00160CC1"/>
    <w:rsid w:val="001612E7"/>
    <w:rsid w:val="0016147D"/>
    <w:rsid w:val="0016204C"/>
    <w:rsid w:val="0016385C"/>
    <w:rsid w:val="00163EDD"/>
    <w:rsid w:val="00164ADC"/>
    <w:rsid w:val="001661A7"/>
    <w:rsid w:val="00167498"/>
    <w:rsid w:val="00167E84"/>
    <w:rsid w:val="00170179"/>
    <w:rsid w:val="00170662"/>
    <w:rsid w:val="00170A5D"/>
    <w:rsid w:val="001716F4"/>
    <w:rsid w:val="00171732"/>
    <w:rsid w:val="00172A27"/>
    <w:rsid w:val="0017386A"/>
    <w:rsid w:val="00173AE6"/>
    <w:rsid w:val="001750C6"/>
    <w:rsid w:val="00177457"/>
    <w:rsid w:val="001775BC"/>
    <w:rsid w:val="001776DA"/>
    <w:rsid w:val="00180340"/>
    <w:rsid w:val="00181676"/>
    <w:rsid w:val="00182B35"/>
    <w:rsid w:val="001857F3"/>
    <w:rsid w:val="00185A4B"/>
    <w:rsid w:val="00185FF0"/>
    <w:rsid w:val="00186037"/>
    <w:rsid w:val="00186371"/>
    <w:rsid w:val="001878DA"/>
    <w:rsid w:val="00190672"/>
    <w:rsid w:val="001908BF"/>
    <w:rsid w:val="00190DFA"/>
    <w:rsid w:val="00190EC3"/>
    <w:rsid w:val="0019199F"/>
    <w:rsid w:val="00191C48"/>
    <w:rsid w:val="001928B8"/>
    <w:rsid w:val="00192EA8"/>
    <w:rsid w:val="00193010"/>
    <w:rsid w:val="00193283"/>
    <w:rsid w:val="001932A9"/>
    <w:rsid w:val="00193BA5"/>
    <w:rsid w:val="00193F6D"/>
    <w:rsid w:val="00194449"/>
    <w:rsid w:val="00194962"/>
    <w:rsid w:val="00195709"/>
    <w:rsid w:val="0019670D"/>
    <w:rsid w:val="001968D3"/>
    <w:rsid w:val="0019767D"/>
    <w:rsid w:val="001A1290"/>
    <w:rsid w:val="001A1326"/>
    <w:rsid w:val="001A3DCA"/>
    <w:rsid w:val="001A55C1"/>
    <w:rsid w:val="001A5C76"/>
    <w:rsid w:val="001A6034"/>
    <w:rsid w:val="001A6CA6"/>
    <w:rsid w:val="001A71B5"/>
    <w:rsid w:val="001A7505"/>
    <w:rsid w:val="001B0E84"/>
    <w:rsid w:val="001B1179"/>
    <w:rsid w:val="001B117B"/>
    <w:rsid w:val="001B12B9"/>
    <w:rsid w:val="001B23C3"/>
    <w:rsid w:val="001B2983"/>
    <w:rsid w:val="001B2D44"/>
    <w:rsid w:val="001B3AF8"/>
    <w:rsid w:val="001B4B32"/>
    <w:rsid w:val="001B56B6"/>
    <w:rsid w:val="001B7F3A"/>
    <w:rsid w:val="001C1753"/>
    <w:rsid w:val="001C179C"/>
    <w:rsid w:val="001C1CE2"/>
    <w:rsid w:val="001C2719"/>
    <w:rsid w:val="001C5949"/>
    <w:rsid w:val="001C5ED4"/>
    <w:rsid w:val="001C6808"/>
    <w:rsid w:val="001C6C21"/>
    <w:rsid w:val="001C6F88"/>
    <w:rsid w:val="001C7664"/>
    <w:rsid w:val="001D0AF4"/>
    <w:rsid w:val="001D0C28"/>
    <w:rsid w:val="001D0FAB"/>
    <w:rsid w:val="001D106B"/>
    <w:rsid w:val="001D1BE6"/>
    <w:rsid w:val="001D1DFC"/>
    <w:rsid w:val="001D1E38"/>
    <w:rsid w:val="001D204D"/>
    <w:rsid w:val="001D38B6"/>
    <w:rsid w:val="001D3947"/>
    <w:rsid w:val="001D3E9F"/>
    <w:rsid w:val="001D49A1"/>
    <w:rsid w:val="001D501E"/>
    <w:rsid w:val="001D68E3"/>
    <w:rsid w:val="001E04BD"/>
    <w:rsid w:val="001E0682"/>
    <w:rsid w:val="001E081C"/>
    <w:rsid w:val="001E0EA5"/>
    <w:rsid w:val="001E1476"/>
    <w:rsid w:val="001E15EB"/>
    <w:rsid w:val="001E198A"/>
    <w:rsid w:val="001E19D1"/>
    <w:rsid w:val="001E1BBB"/>
    <w:rsid w:val="001E25B4"/>
    <w:rsid w:val="001E3E89"/>
    <w:rsid w:val="001E56C0"/>
    <w:rsid w:val="001E583B"/>
    <w:rsid w:val="001E666A"/>
    <w:rsid w:val="001E6B13"/>
    <w:rsid w:val="001E718C"/>
    <w:rsid w:val="001E71A3"/>
    <w:rsid w:val="001F0185"/>
    <w:rsid w:val="001F162B"/>
    <w:rsid w:val="001F2CF3"/>
    <w:rsid w:val="001F4F32"/>
    <w:rsid w:val="001F50F1"/>
    <w:rsid w:val="001F54EE"/>
    <w:rsid w:val="001F5566"/>
    <w:rsid w:val="001F6182"/>
    <w:rsid w:val="001F6772"/>
    <w:rsid w:val="001F6DFF"/>
    <w:rsid w:val="001F7458"/>
    <w:rsid w:val="002017D6"/>
    <w:rsid w:val="00201C6D"/>
    <w:rsid w:val="00202038"/>
    <w:rsid w:val="00204576"/>
    <w:rsid w:val="00204A17"/>
    <w:rsid w:val="00205204"/>
    <w:rsid w:val="002078AF"/>
    <w:rsid w:val="00207B5A"/>
    <w:rsid w:val="00207E1C"/>
    <w:rsid w:val="0021029E"/>
    <w:rsid w:val="0021181C"/>
    <w:rsid w:val="00212168"/>
    <w:rsid w:val="002123F2"/>
    <w:rsid w:val="00214E21"/>
    <w:rsid w:val="002150E0"/>
    <w:rsid w:val="00215774"/>
    <w:rsid w:val="00215F2F"/>
    <w:rsid w:val="00216890"/>
    <w:rsid w:val="00216E44"/>
    <w:rsid w:val="00217984"/>
    <w:rsid w:val="0022052F"/>
    <w:rsid w:val="00221B48"/>
    <w:rsid w:val="0022273B"/>
    <w:rsid w:val="00223C9E"/>
    <w:rsid w:val="00223F8B"/>
    <w:rsid w:val="00224F7C"/>
    <w:rsid w:val="002259AD"/>
    <w:rsid w:val="00225CE1"/>
    <w:rsid w:val="00226709"/>
    <w:rsid w:val="00226FCC"/>
    <w:rsid w:val="00227C96"/>
    <w:rsid w:val="0023001D"/>
    <w:rsid w:val="00232331"/>
    <w:rsid w:val="00232349"/>
    <w:rsid w:val="00232894"/>
    <w:rsid w:val="002329F4"/>
    <w:rsid w:val="00232E7A"/>
    <w:rsid w:val="002335F8"/>
    <w:rsid w:val="00233A2D"/>
    <w:rsid w:val="00233C03"/>
    <w:rsid w:val="0023469E"/>
    <w:rsid w:val="0023541C"/>
    <w:rsid w:val="0023747C"/>
    <w:rsid w:val="00237609"/>
    <w:rsid w:val="00240DBE"/>
    <w:rsid w:val="0024286C"/>
    <w:rsid w:val="00242B1A"/>
    <w:rsid w:val="00242E9D"/>
    <w:rsid w:val="0024399E"/>
    <w:rsid w:val="00244D7B"/>
    <w:rsid w:val="00245FE5"/>
    <w:rsid w:val="0024722F"/>
    <w:rsid w:val="002476B7"/>
    <w:rsid w:val="0025010E"/>
    <w:rsid w:val="00250E2F"/>
    <w:rsid w:val="00251670"/>
    <w:rsid w:val="002519CD"/>
    <w:rsid w:val="00251A3A"/>
    <w:rsid w:val="00251B0F"/>
    <w:rsid w:val="0025206F"/>
    <w:rsid w:val="00252CD4"/>
    <w:rsid w:val="0025354B"/>
    <w:rsid w:val="0025366E"/>
    <w:rsid w:val="00253CB8"/>
    <w:rsid w:val="00253E10"/>
    <w:rsid w:val="0025483A"/>
    <w:rsid w:val="00254A36"/>
    <w:rsid w:val="00257071"/>
    <w:rsid w:val="002609DD"/>
    <w:rsid w:val="00260F27"/>
    <w:rsid w:val="00261FEE"/>
    <w:rsid w:val="00262518"/>
    <w:rsid w:val="00264681"/>
    <w:rsid w:val="002651E0"/>
    <w:rsid w:val="00265FFB"/>
    <w:rsid w:val="002661C4"/>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777CB"/>
    <w:rsid w:val="0028090A"/>
    <w:rsid w:val="00280EDC"/>
    <w:rsid w:val="00281698"/>
    <w:rsid w:val="0028183D"/>
    <w:rsid w:val="00282DF3"/>
    <w:rsid w:val="00283D29"/>
    <w:rsid w:val="002841E7"/>
    <w:rsid w:val="0028472A"/>
    <w:rsid w:val="002858D6"/>
    <w:rsid w:val="00286EF7"/>
    <w:rsid w:val="002874C8"/>
    <w:rsid w:val="002875CC"/>
    <w:rsid w:val="00287798"/>
    <w:rsid w:val="00287E31"/>
    <w:rsid w:val="002915DA"/>
    <w:rsid w:val="00291732"/>
    <w:rsid w:val="002947E0"/>
    <w:rsid w:val="00295947"/>
    <w:rsid w:val="00295F73"/>
    <w:rsid w:val="0029651B"/>
    <w:rsid w:val="00296932"/>
    <w:rsid w:val="002A119D"/>
    <w:rsid w:val="002A122F"/>
    <w:rsid w:val="002A18AB"/>
    <w:rsid w:val="002A1931"/>
    <w:rsid w:val="002A2A62"/>
    <w:rsid w:val="002A2D1C"/>
    <w:rsid w:val="002A2DD6"/>
    <w:rsid w:val="002A37BB"/>
    <w:rsid w:val="002A3865"/>
    <w:rsid w:val="002A67EC"/>
    <w:rsid w:val="002A74D0"/>
    <w:rsid w:val="002A7E6A"/>
    <w:rsid w:val="002B000F"/>
    <w:rsid w:val="002B0861"/>
    <w:rsid w:val="002B08A1"/>
    <w:rsid w:val="002B08CC"/>
    <w:rsid w:val="002B0B45"/>
    <w:rsid w:val="002B12EA"/>
    <w:rsid w:val="002B13B3"/>
    <w:rsid w:val="002B1B7C"/>
    <w:rsid w:val="002B1EF2"/>
    <w:rsid w:val="002B2ACB"/>
    <w:rsid w:val="002B377B"/>
    <w:rsid w:val="002B4271"/>
    <w:rsid w:val="002B68AA"/>
    <w:rsid w:val="002B7502"/>
    <w:rsid w:val="002B75F1"/>
    <w:rsid w:val="002C03ED"/>
    <w:rsid w:val="002C3523"/>
    <w:rsid w:val="002C3DD9"/>
    <w:rsid w:val="002C44A6"/>
    <w:rsid w:val="002C5E41"/>
    <w:rsid w:val="002C6B5A"/>
    <w:rsid w:val="002C72B8"/>
    <w:rsid w:val="002D0B43"/>
    <w:rsid w:val="002D2BFF"/>
    <w:rsid w:val="002D2C61"/>
    <w:rsid w:val="002D3066"/>
    <w:rsid w:val="002D31EE"/>
    <w:rsid w:val="002D3220"/>
    <w:rsid w:val="002D6CAA"/>
    <w:rsid w:val="002D712A"/>
    <w:rsid w:val="002D7B31"/>
    <w:rsid w:val="002E0F69"/>
    <w:rsid w:val="002E0FF9"/>
    <w:rsid w:val="002E2C09"/>
    <w:rsid w:val="002E34E3"/>
    <w:rsid w:val="002E3A44"/>
    <w:rsid w:val="002E54CC"/>
    <w:rsid w:val="002E5799"/>
    <w:rsid w:val="002E5818"/>
    <w:rsid w:val="002E5E90"/>
    <w:rsid w:val="002E6354"/>
    <w:rsid w:val="002E644E"/>
    <w:rsid w:val="002E771A"/>
    <w:rsid w:val="002E7D76"/>
    <w:rsid w:val="002F0A22"/>
    <w:rsid w:val="002F0AAB"/>
    <w:rsid w:val="002F0CD2"/>
    <w:rsid w:val="002F1A76"/>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241"/>
    <w:rsid w:val="00304F01"/>
    <w:rsid w:val="00305DA8"/>
    <w:rsid w:val="00305FE7"/>
    <w:rsid w:val="00306573"/>
    <w:rsid w:val="00306DC2"/>
    <w:rsid w:val="00306E0F"/>
    <w:rsid w:val="00306EDB"/>
    <w:rsid w:val="00307CD0"/>
    <w:rsid w:val="00307E0F"/>
    <w:rsid w:val="003100E1"/>
    <w:rsid w:val="00310596"/>
    <w:rsid w:val="00311F6C"/>
    <w:rsid w:val="0031212F"/>
    <w:rsid w:val="00312C74"/>
    <w:rsid w:val="00314858"/>
    <w:rsid w:val="00314C1A"/>
    <w:rsid w:val="0031539F"/>
    <w:rsid w:val="00316060"/>
    <w:rsid w:val="003164AA"/>
    <w:rsid w:val="00317A3F"/>
    <w:rsid w:val="00317B95"/>
    <w:rsid w:val="003206F4"/>
    <w:rsid w:val="0032189F"/>
    <w:rsid w:val="0032268B"/>
    <w:rsid w:val="003248ED"/>
    <w:rsid w:val="00324A0A"/>
    <w:rsid w:val="0032521F"/>
    <w:rsid w:val="00326D94"/>
    <w:rsid w:val="003276CC"/>
    <w:rsid w:val="0032794E"/>
    <w:rsid w:val="0033099D"/>
    <w:rsid w:val="00330E41"/>
    <w:rsid w:val="00331429"/>
    <w:rsid w:val="003317CB"/>
    <w:rsid w:val="00331C54"/>
    <w:rsid w:val="003325A9"/>
    <w:rsid w:val="003334A5"/>
    <w:rsid w:val="003338D4"/>
    <w:rsid w:val="00333ED0"/>
    <w:rsid w:val="00334093"/>
    <w:rsid w:val="003364C5"/>
    <w:rsid w:val="003374BA"/>
    <w:rsid w:val="0033751D"/>
    <w:rsid w:val="0034081D"/>
    <w:rsid w:val="003409B8"/>
    <w:rsid w:val="00342BD4"/>
    <w:rsid w:val="00344E38"/>
    <w:rsid w:val="00347FCF"/>
    <w:rsid w:val="00350135"/>
    <w:rsid w:val="00350591"/>
    <w:rsid w:val="00350A05"/>
    <w:rsid w:val="00351CC4"/>
    <w:rsid w:val="00352DD3"/>
    <w:rsid w:val="00353CE9"/>
    <w:rsid w:val="00353F94"/>
    <w:rsid w:val="00354C3A"/>
    <w:rsid w:val="00356241"/>
    <w:rsid w:val="003568DF"/>
    <w:rsid w:val="00357359"/>
    <w:rsid w:val="003574BE"/>
    <w:rsid w:val="00357A8D"/>
    <w:rsid w:val="00360AC3"/>
    <w:rsid w:val="00361282"/>
    <w:rsid w:val="00362475"/>
    <w:rsid w:val="00363896"/>
    <w:rsid w:val="0036449E"/>
    <w:rsid w:val="003655B1"/>
    <w:rsid w:val="00365F52"/>
    <w:rsid w:val="00367809"/>
    <w:rsid w:val="00371A42"/>
    <w:rsid w:val="00372AE9"/>
    <w:rsid w:val="0037301C"/>
    <w:rsid w:val="0037306C"/>
    <w:rsid w:val="00373152"/>
    <w:rsid w:val="00374A0A"/>
    <w:rsid w:val="00374F25"/>
    <w:rsid w:val="0037573F"/>
    <w:rsid w:val="003760C1"/>
    <w:rsid w:val="00376B4C"/>
    <w:rsid w:val="00377728"/>
    <w:rsid w:val="00377A6D"/>
    <w:rsid w:val="003805AD"/>
    <w:rsid w:val="00381C96"/>
    <w:rsid w:val="003839AB"/>
    <w:rsid w:val="003845C1"/>
    <w:rsid w:val="0038520F"/>
    <w:rsid w:val="0038549E"/>
    <w:rsid w:val="00385762"/>
    <w:rsid w:val="00385B42"/>
    <w:rsid w:val="00386168"/>
    <w:rsid w:val="00386CA0"/>
    <w:rsid w:val="00390192"/>
    <w:rsid w:val="0039080F"/>
    <w:rsid w:val="0039199E"/>
    <w:rsid w:val="00391EE4"/>
    <w:rsid w:val="00392167"/>
    <w:rsid w:val="00393924"/>
    <w:rsid w:val="0039458E"/>
    <w:rsid w:val="0039463D"/>
    <w:rsid w:val="00395F5D"/>
    <w:rsid w:val="0039680B"/>
    <w:rsid w:val="003971CE"/>
    <w:rsid w:val="003A27D4"/>
    <w:rsid w:val="003A4A7C"/>
    <w:rsid w:val="003A51BE"/>
    <w:rsid w:val="003A75E7"/>
    <w:rsid w:val="003B0A32"/>
    <w:rsid w:val="003B3D1A"/>
    <w:rsid w:val="003B4F2A"/>
    <w:rsid w:val="003B5B65"/>
    <w:rsid w:val="003B5BC8"/>
    <w:rsid w:val="003B6006"/>
    <w:rsid w:val="003B6660"/>
    <w:rsid w:val="003B7440"/>
    <w:rsid w:val="003B792D"/>
    <w:rsid w:val="003B7EF9"/>
    <w:rsid w:val="003C165D"/>
    <w:rsid w:val="003C2532"/>
    <w:rsid w:val="003C3C78"/>
    <w:rsid w:val="003C3E48"/>
    <w:rsid w:val="003C3F40"/>
    <w:rsid w:val="003C414F"/>
    <w:rsid w:val="003C4F77"/>
    <w:rsid w:val="003C5CDD"/>
    <w:rsid w:val="003C6A66"/>
    <w:rsid w:val="003C709F"/>
    <w:rsid w:val="003C7E58"/>
    <w:rsid w:val="003C7F3D"/>
    <w:rsid w:val="003D00E5"/>
    <w:rsid w:val="003D0FBE"/>
    <w:rsid w:val="003D16FD"/>
    <w:rsid w:val="003D20E9"/>
    <w:rsid w:val="003D3C9E"/>
    <w:rsid w:val="003D4754"/>
    <w:rsid w:val="003D7682"/>
    <w:rsid w:val="003E1FBB"/>
    <w:rsid w:val="003E2172"/>
    <w:rsid w:val="003E2600"/>
    <w:rsid w:val="003E2795"/>
    <w:rsid w:val="003E2C88"/>
    <w:rsid w:val="003E408F"/>
    <w:rsid w:val="003E4BBE"/>
    <w:rsid w:val="003E4C55"/>
    <w:rsid w:val="003F024E"/>
    <w:rsid w:val="003F0472"/>
    <w:rsid w:val="003F0481"/>
    <w:rsid w:val="003F274D"/>
    <w:rsid w:val="003F2C6E"/>
    <w:rsid w:val="003F32F4"/>
    <w:rsid w:val="003F3662"/>
    <w:rsid w:val="00400772"/>
    <w:rsid w:val="00403579"/>
    <w:rsid w:val="004040A6"/>
    <w:rsid w:val="00404BE1"/>
    <w:rsid w:val="00404DD7"/>
    <w:rsid w:val="00404F93"/>
    <w:rsid w:val="00406201"/>
    <w:rsid w:val="004074C7"/>
    <w:rsid w:val="004075C7"/>
    <w:rsid w:val="00407E65"/>
    <w:rsid w:val="00412198"/>
    <w:rsid w:val="00412C6A"/>
    <w:rsid w:val="00412ED8"/>
    <w:rsid w:val="0041300D"/>
    <w:rsid w:val="00413A99"/>
    <w:rsid w:val="00414A1B"/>
    <w:rsid w:val="00415372"/>
    <w:rsid w:val="00417EB0"/>
    <w:rsid w:val="00420C97"/>
    <w:rsid w:val="00420DA3"/>
    <w:rsid w:val="004222F6"/>
    <w:rsid w:val="00422EE0"/>
    <w:rsid w:val="00424E8C"/>
    <w:rsid w:val="00424F54"/>
    <w:rsid w:val="0042616C"/>
    <w:rsid w:val="00426709"/>
    <w:rsid w:val="00426D68"/>
    <w:rsid w:val="004272C2"/>
    <w:rsid w:val="00432AD9"/>
    <w:rsid w:val="004351A0"/>
    <w:rsid w:val="00435ABA"/>
    <w:rsid w:val="00436B17"/>
    <w:rsid w:val="004373A6"/>
    <w:rsid w:val="0043748D"/>
    <w:rsid w:val="004377F1"/>
    <w:rsid w:val="00437ECA"/>
    <w:rsid w:val="00440C5F"/>
    <w:rsid w:val="00441C74"/>
    <w:rsid w:val="00442194"/>
    <w:rsid w:val="0044288C"/>
    <w:rsid w:val="004437F7"/>
    <w:rsid w:val="004448FB"/>
    <w:rsid w:val="00444A1C"/>
    <w:rsid w:val="00445616"/>
    <w:rsid w:val="00445BA2"/>
    <w:rsid w:val="00446587"/>
    <w:rsid w:val="00446F3D"/>
    <w:rsid w:val="00446FE5"/>
    <w:rsid w:val="0044755F"/>
    <w:rsid w:val="004479F8"/>
    <w:rsid w:val="00447A05"/>
    <w:rsid w:val="0045080A"/>
    <w:rsid w:val="0045252E"/>
    <w:rsid w:val="00452822"/>
    <w:rsid w:val="00452EB5"/>
    <w:rsid w:val="004534C8"/>
    <w:rsid w:val="004535F3"/>
    <w:rsid w:val="00454307"/>
    <w:rsid w:val="0045580A"/>
    <w:rsid w:val="00455D2E"/>
    <w:rsid w:val="0045755B"/>
    <w:rsid w:val="00457E17"/>
    <w:rsid w:val="004600E2"/>
    <w:rsid w:val="00460A42"/>
    <w:rsid w:val="0046118F"/>
    <w:rsid w:val="0046192F"/>
    <w:rsid w:val="00461AEF"/>
    <w:rsid w:val="00463016"/>
    <w:rsid w:val="0046397D"/>
    <w:rsid w:val="00464AD9"/>
    <w:rsid w:val="0046585D"/>
    <w:rsid w:val="00465D08"/>
    <w:rsid w:val="0046674A"/>
    <w:rsid w:val="00467811"/>
    <w:rsid w:val="004701DA"/>
    <w:rsid w:val="00470676"/>
    <w:rsid w:val="00471FB3"/>
    <w:rsid w:val="00473375"/>
    <w:rsid w:val="00473971"/>
    <w:rsid w:val="00475F35"/>
    <w:rsid w:val="00480917"/>
    <w:rsid w:val="00480DBA"/>
    <w:rsid w:val="00480F65"/>
    <w:rsid w:val="004812B5"/>
    <w:rsid w:val="004812DF"/>
    <w:rsid w:val="00481440"/>
    <w:rsid w:val="00481DE5"/>
    <w:rsid w:val="0048325E"/>
    <w:rsid w:val="00483389"/>
    <w:rsid w:val="00484EB7"/>
    <w:rsid w:val="004866CC"/>
    <w:rsid w:val="00486E75"/>
    <w:rsid w:val="00486F5F"/>
    <w:rsid w:val="004905FC"/>
    <w:rsid w:val="00490E3A"/>
    <w:rsid w:val="0049185E"/>
    <w:rsid w:val="00493B3E"/>
    <w:rsid w:val="004A12FD"/>
    <w:rsid w:val="004A2A1B"/>
    <w:rsid w:val="004A35D7"/>
    <w:rsid w:val="004A38DA"/>
    <w:rsid w:val="004A395F"/>
    <w:rsid w:val="004A5491"/>
    <w:rsid w:val="004A5851"/>
    <w:rsid w:val="004A5DF6"/>
    <w:rsid w:val="004A6FA6"/>
    <w:rsid w:val="004B0FB3"/>
    <w:rsid w:val="004B12EE"/>
    <w:rsid w:val="004B155E"/>
    <w:rsid w:val="004B1F3B"/>
    <w:rsid w:val="004B2687"/>
    <w:rsid w:val="004B29CE"/>
    <w:rsid w:val="004B317D"/>
    <w:rsid w:val="004B367B"/>
    <w:rsid w:val="004B43D4"/>
    <w:rsid w:val="004B4525"/>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183C"/>
    <w:rsid w:val="004C30D5"/>
    <w:rsid w:val="004C52CC"/>
    <w:rsid w:val="004C55D4"/>
    <w:rsid w:val="004C63E0"/>
    <w:rsid w:val="004C65B6"/>
    <w:rsid w:val="004D09BD"/>
    <w:rsid w:val="004D0AE3"/>
    <w:rsid w:val="004D1297"/>
    <w:rsid w:val="004D1D09"/>
    <w:rsid w:val="004D26C0"/>
    <w:rsid w:val="004D2AF1"/>
    <w:rsid w:val="004D3241"/>
    <w:rsid w:val="004D3CA9"/>
    <w:rsid w:val="004D4096"/>
    <w:rsid w:val="004D459C"/>
    <w:rsid w:val="004D6A23"/>
    <w:rsid w:val="004E1081"/>
    <w:rsid w:val="004E38C9"/>
    <w:rsid w:val="004E421E"/>
    <w:rsid w:val="004E488F"/>
    <w:rsid w:val="004E527E"/>
    <w:rsid w:val="004E5C1B"/>
    <w:rsid w:val="004E641F"/>
    <w:rsid w:val="004E7546"/>
    <w:rsid w:val="004E7C91"/>
    <w:rsid w:val="004F3559"/>
    <w:rsid w:val="004F433D"/>
    <w:rsid w:val="004F475C"/>
    <w:rsid w:val="004F4DCB"/>
    <w:rsid w:val="004F5210"/>
    <w:rsid w:val="004F5F35"/>
    <w:rsid w:val="004F6E3D"/>
    <w:rsid w:val="0050052A"/>
    <w:rsid w:val="0050144D"/>
    <w:rsid w:val="00501784"/>
    <w:rsid w:val="00501F2F"/>
    <w:rsid w:val="00502167"/>
    <w:rsid w:val="00504538"/>
    <w:rsid w:val="0050543F"/>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5794"/>
    <w:rsid w:val="005158D8"/>
    <w:rsid w:val="00517E14"/>
    <w:rsid w:val="0052033C"/>
    <w:rsid w:val="00520945"/>
    <w:rsid w:val="00521A43"/>
    <w:rsid w:val="00523552"/>
    <w:rsid w:val="00524607"/>
    <w:rsid w:val="0052551E"/>
    <w:rsid w:val="00527B4E"/>
    <w:rsid w:val="00530C57"/>
    <w:rsid w:val="00530E34"/>
    <w:rsid w:val="005315FC"/>
    <w:rsid w:val="00533082"/>
    <w:rsid w:val="00533381"/>
    <w:rsid w:val="0053370D"/>
    <w:rsid w:val="005337EA"/>
    <w:rsid w:val="00534108"/>
    <w:rsid w:val="00534181"/>
    <w:rsid w:val="00534E27"/>
    <w:rsid w:val="00535618"/>
    <w:rsid w:val="005356E7"/>
    <w:rsid w:val="0053752D"/>
    <w:rsid w:val="00537D5F"/>
    <w:rsid w:val="005413BC"/>
    <w:rsid w:val="00541C17"/>
    <w:rsid w:val="00542148"/>
    <w:rsid w:val="005426A4"/>
    <w:rsid w:val="00542828"/>
    <w:rsid w:val="005435B2"/>
    <w:rsid w:val="00543941"/>
    <w:rsid w:val="00544208"/>
    <w:rsid w:val="00544CFB"/>
    <w:rsid w:val="005504EC"/>
    <w:rsid w:val="005515BF"/>
    <w:rsid w:val="00552F54"/>
    <w:rsid w:val="0055311C"/>
    <w:rsid w:val="005532DB"/>
    <w:rsid w:val="005537E3"/>
    <w:rsid w:val="005564AA"/>
    <w:rsid w:val="005570DD"/>
    <w:rsid w:val="0055752D"/>
    <w:rsid w:val="00557E99"/>
    <w:rsid w:val="00561CF0"/>
    <w:rsid w:val="00562C37"/>
    <w:rsid w:val="005642FE"/>
    <w:rsid w:val="0056465A"/>
    <w:rsid w:val="00565AE0"/>
    <w:rsid w:val="00567252"/>
    <w:rsid w:val="00567C31"/>
    <w:rsid w:val="00570006"/>
    <w:rsid w:val="00570945"/>
    <w:rsid w:val="00570AA1"/>
    <w:rsid w:val="00572814"/>
    <w:rsid w:val="00573559"/>
    <w:rsid w:val="0057384C"/>
    <w:rsid w:val="00573F85"/>
    <w:rsid w:val="00575F34"/>
    <w:rsid w:val="00576F7C"/>
    <w:rsid w:val="00577BC2"/>
    <w:rsid w:val="0058052A"/>
    <w:rsid w:val="005805FD"/>
    <w:rsid w:val="00580660"/>
    <w:rsid w:val="00580BFD"/>
    <w:rsid w:val="00580F11"/>
    <w:rsid w:val="005812EA"/>
    <w:rsid w:val="005817FF"/>
    <w:rsid w:val="0058244A"/>
    <w:rsid w:val="00583240"/>
    <w:rsid w:val="005835CD"/>
    <w:rsid w:val="00583A5A"/>
    <w:rsid w:val="0058404A"/>
    <w:rsid w:val="00584607"/>
    <w:rsid w:val="00584B25"/>
    <w:rsid w:val="00584BC5"/>
    <w:rsid w:val="00585E78"/>
    <w:rsid w:val="00586F95"/>
    <w:rsid w:val="005874FC"/>
    <w:rsid w:val="00587BB1"/>
    <w:rsid w:val="00587BC4"/>
    <w:rsid w:val="005900FA"/>
    <w:rsid w:val="00590582"/>
    <w:rsid w:val="00594EB0"/>
    <w:rsid w:val="00595304"/>
    <w:rsid w:val="0059619D"/>
    <w:rsid w:val="005968F3"/>
    <w:rsid w:val="00596D01"/>
    <w:rsid w:val="005A0DBC"/>
    <w:rsid w:val="005A0FC6"/>
    <w:rsid w:val="005A22BB"/>
    <w:rsid w:val="005A2302"/>
    <w:rsid w:val="005A2EFC"/>
    <w:rsid w:val="005A362F"/>
    <w:rsid w:val="005A399A"/>
    <w:rsid w:val="005A4DA5"/>
    <w:rsid w:val="005A569A"/>
    <w:rsid w:val="005A595F"/>
    <w:rsid w:val="005B0ED1"/>
    <w:rsid w:val="005B1B8E"/>
    <w:rsid w:val="005B26A1"/>
    <w:rsid w:val="005B2CBC"/>
    <w:rsid w:val="005B32CE"/>
    <w:rsid w:val="005B4684"/>
    <w:rsid w:val="005B587E"/>
    <w:rsid w:val="005C0111"/>
    <w:rsid w:val="005C1187"/>
    <w:rsid w:val="005C17F9"/>
    <w:rsid w:val="005C2194"/>
    <w:rsid w:val="005C2D9E"/>
    <w:rsid w:val="005C3AC6"/>
    <w:rsid w:val="005C53DC"/>
    <w:rsid w:val="005C5866"/>
    <w:rsid w:val="005C5D30"/>
    <w:rsid w:val="005C5F50"/>
    <w:rsid w:val="005C6552"/>
    <w:rsid w:val="005C7936"/>
    <w:rsid w:val="005D0E4D"/>
    <w:rsid w:val="005D11E5"/>
    <w:rsid w:val="005D521F"/>
    <w:rsid w:val="005D5F7B"/>
    <w:rsid w:val="005D606A"/>
    <w:rsid w:val="005E15EE"/>
    <w:rsid w:val="005E17D8"/>
    <w:rsid w:val="005E1A03"/>
    <w:rsid w:val="005E1B7F"/>
    <w:rsid w:val="005E2F47"/>
    <w:rsid w:val="005E3CA6"/>
    <w:rsid w:val="005E6DCA"/>
    <w:rsid w:val="005E6FA3"/>
    <w:rsid w:val="005E734B"/>
    <w:rsid w:val="005E767A"/>
    <w:rsid w:val="005F00FD"/>
    <w:rsid w:val="005F09E1"/>
    <w:rsid w:val="005F2AF6"/>
    <w:rsid w:val="005F38F7"/>
    <w:rsid w:val="005F4321"/>
    <w:rsid w:val="0060076E"/>
    <w:rsid w:val="00600895"/>
    <w:rsid w:val="00600971"/>
    <w:rsid w:val="00601545"/>
    <w:rsid w:val="00601B6E"/>
    <w:rsid w:val="006027DF"/>
    <w:rsid w:val="00602A24"/>
    <w:rsid w:val="00602CE5"/>
    <w:rsid w:val="00604223"/>
    <w:rsid w:val="00604B32"/>
    <w:rsid w:val="006055A4"/>
    <w:rsid w:val="006055AE"/>
    <w:rsid w:val="006073FC"/>
    <w:rsid w:val="0061074E"/>
    <w:rsid w:val="00611B00"/>
    <w:rsid w:val="00611B7A"/>
    <w:rsid w:val="00611F59"/>
    <w:rsid w:val="006130D1"/>
    <w:rsid w:val="00613236"/>
    <w:rsid w:val="00614A3B"/>
    <w:rsid w:val="00614E34"/>
    <w:rsid w:val="006153AE"/>
    <w:rsid w:val="00615881"/>
    <w:rsid w:val="0061744B"/>
    <w:rsid w:val="00617AAD"/>
    <w:rsid w:val="00617C65"/>
    <w:rsid w:val="00617E98"/>
    <w:rsid w:val="006205AD"/>
    <w:rsid w:val="00620CD4"/>
    <w:rsid w:val="0062117A"/>
    <w:rsid w:val="00622E5F"/>
    <w:rsid w:val="006230DE"/>
    <w:rsid w:val="00623572"/>
    <w:rsid w:val="0062422F"/>
    <w:rsid w:val="00624E87"/>
    <w:rsid w:val="00625970"/>
    <w:rsid w:val="00625E0C"/>
    <w:rsid w:val="00625EA5"/>
    <w:rsid w:val="00626560"/>
    <w:rsid w:val="00626A83"/>
    <w:rsid w:val="0062776F"/>
    <w:rsid w:val="006279C9"/>
    <w:rsid w:val="00627C90"/>
    <w:rsid w:val="00630E66"/>
    <w:rsid w:val="0063101E"/>
    <w:rsid w:val="006316D5"/>
    <w:rsid w:val="006317FC"/>
    <w:rsid w:val="00631882"/>
    <w:rsid w:val="00631BE8"/>
    <w:rsid w:val="006328F3"/>
    <w:rsid w:val="00632DA2"/>
    <w:rsid w:val="00632FB9"/>
    <w:rsid w:val="00636C20"/>
    <w:rsid w:val="0063774F"/>
    <w:rsid w:val="00640679"/>
    <w:rsid w:val="00640824"/>
    <w:rsid w:val="006426A0"/>
    <w:rsid w:val="00642894"/>
    <w:rsid w:val="006429D1"/>
    <w:rsid w:val="0064308E"/>
    <w:rsid w:val="006432B0"/>
    <w:rsid w:val="006432DB"/>
    <w:rsid w:val="00643649"/>
    <w:rsid w:val="00644B08"/>
    <w:rsid w:val="00646BE4"/>
    <w:rsid w:val="00646F89"/>
    <w:rsid w:val="006472D0"/>
    <w:rsid w:val="006479BE"/>
    <w:rsid w:val="006500EB"/>
    <w:rsid w:val="00650788"/>
    <w:rsid w:val="0065099D"/>
    <w:rsid w:val="00651A20"/>
    <w:rsid w:val="00652A5D"/>
    <w:rsid w:val="0065311E"/>
    <w:rsid w:val="0065314F"/>
    <w:rsid w:val="00653296"/>
    <w:rsid w:val="0065373B"/>
    <w:rsid w:val="00653C15"/>
    <w:rsid w:val="00654767"/>
    <w:rsid w:val="006554F8"/>
    <w:rsid w:val="00656EBA"/>
    <w:rsid w:val="00660DD8"/>
    <w:rsid w:val="00661B7C"/>
    <w:rsid w:val="00661FFE"/>
    <w:rsid w:val="00662B5C"/>
    <w:rsid w:val="0066587D"/>
    <w:rsid w:val="00665B21"/>
    <w:rsid w:val="00666506"/>
    <w:rsid w:val="00666AC6"/>
    <w:rsid w:val="00670571"/>
    <w:rsid w:val="006725CA"/>
    <w:rsid w:val="00672F72"/>
    <w:rsid w:val="00674035"/>
    <w:rsid w:val="006740D4"/>
    <w:rsid w:val="006744A8"/>
    <w:rsid w:val="00674DFD"/>
    <w:rsid w:val="00676017"/>
    <w:rsid w:val="006766DC"/>
    <w:rsid w:val="00676A9E"/>
    <w:rsid w:val="006775C8"/>
    <w:rsid w:val="00677CFD"/>
    <w:rsid w:val="00684F09"/>
    <w:rsid w:val="0068590E"/>
    <w:rsid w:val="00685CE4"/>
    <w:rsid w:val="006861BF"/>
    <w:rsid w:val="0068662C"/>
    <w:rsid w:val="006866AA"/>
    <w:rsid w:val="00686AA8"/>
    <w:rsid w:val="006909D0"/>
    <w:rsid w:val="006916A9"/>
    <w:rsid w:val="006917BF"/>
    <w:rsid w:val="006923E9"/>
    <w:rsid w:val="0069334D"/>
    <w:rsid w:val="00693C00"/>
    <w:rsid w:val="006940FE"/>
    <w:rsid w:val="00694BF0"/>
    <w:rsid w:val="00694EE5"/>
    <w:rsid w:val="00694FFE"/>
    <w:rsid w:val="006957D7"/>
    <w:rsid w:val="00695871"/>
    <w:rsid w:val="006964BD"/>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C40"/>
    <w:rsid w:val="006B1A53"/>
    <w:rsid w:val="006B3394"/>
    <w:rsid w:val="006B39E6"/>
    <w:rsid w:val="006B47B1"/>
    <w:rsid w:val="006B5505"/>
    <w:rsid w:val="006B6102"/>
    <w:rsid w:val="006B62AD"/>
    <w:rsid w:val="006B678C"/>
    <w:rsid w:val="006B730B"/>
    <w:rsid w:val="006C05E0"/>
    <w:rsid w:val="006C1F76"/>
    <w:rsid w:val="006C230D"/>
    <w:rsid w:val="006C4111"/>
    <w:rsid w:val="006C42BC"/>
    <w:rsid w:val="006C4F94"/>
    <w:rsid w:val="006C514F"/>
    <w:rsid w:val="006C6E25"/>
    <w:rsid w:val="006C757C"/>
    <w:rsid w:val="006C7D6D"/>
    <w:rsid w:val="006D0180"/>
    <w:rsid w:val="006D32CD"/>
    <w:rsid w:val="006D357A"/>
    <w:rsid w:val="006D382B"/>
    <w:rsid w:val="006D4EA2"/>
    <w:rsid w:val="006D6F5D"/>
    <w:rsid w:val="006D7D5B"/>
    <w:rsid w:val="006D7DFF"/>
    <w:rsid w:val="006E08D9"/>
    <w:rsid w:val="006E1431"/>
    <w:rsid w:val="006E1ABB"/>
    <w:rsid w:val="006E222B"/>
    <w:rsid w:val="006E2499"/>
    <w:rsid w:val="006E32DB"/>
    <w:rsid w:val="006E38C3"/>
    <w:rsid w:val="006E4763"/>
    <w:rsid w:val="006E5823"/>
    <w:rsid w:val="006E5D4E"/>
    <w:rsid w:val="006E5FB0"/>
    <w:rsid w:val="006E70D2"/>
    <w:rsid w:val="006F0E46"/>
    <w:rsid w:val="006F13F5"/>
    <w:rsid w:val="006F3788"/>
    <w:rsid w:val="006F3B75"/>
    <w:rsid w:val="006F6131"/>
    <w:rsid w:val="00700699"/>
    <w:rsid w:val="00700826"/>
    <w:rsid w:val="0070134E"/>
    <w:rsid w:val="007028D3"/>
    <w:rsid w:val="00703320"/>
    <w:rsid w:val="00703B12"/>
    <w:rsid w:val="007040CE"/>
    <w:rsid w:val="00704265"/>
    <w:rsid w:val="00704339"/>
    <w:rsid w:val="00705EAD"/>
    <w:rsid w:val="007073A8"/>
    <w:rsid w:val="00707666"/>
    <w:rsid w:val="007123C5"/>
    <w:rsid w:val="00712405"/>
    <w:rsid w:val="007127FC"/>
    <w:rsid w:val="007130BF"/>
    <w:rsid w:val="00715377"/>
    <w:rsid w:val="007153A7"/>
    <w:rsid w:val="00716919"/>
    <w:rsid w:val="00716C5A"/>
    <w:rsid w:val="00716C85"/>
    <w:rsid w:val="00721B2D"/>
    <w:rsid w:val="00722C48"/>
    <w:rsid w:val="00723F64"/>
    <w:rsid w:val="00723FAE"/>
    <w:rsid w:val="00724140"/>
    <w:rsid w:val="007243BB"/>
    <w:rsid w:val="00724A1E"/>
    <w:rsid w:val="00725CD4"/>
    <w:rsid w:val="00727046"/>
    <w:rsid w:val="00727766"/>
    <w:rsid w:val="0073099F"/>
    <w:rsid w:val="00731198"/>
    <w:rsid w:val="00731C20"/>
    <w:rsid w:val="007336F2"/>
    <w:rsid w:val="007346F3"/>
    <w:rsid w:val="00734E70"/>
    <w:rsid w:val="00734F72"/>
    <w:rsid w:val="007354F0"/>
    <w:rsid w:val="00735766"/>
    <w:rsid w:val="00737C76"/>
    <w:rsid w:val="007405B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88A"/>
    <w:rsid w:val="0075400C"/>
    <w:rsid w:val="00754179"/>
    <w:rsid w:val="007542E2"/>
    <w:rsid w:val="00754508"/>
    <w:rsid w:val="00754E7E"/>
    <w:rsid w:val="0075678E"/>
    <w:rsid w:val="007577E6"/>
    <w:rsid w:val="00757B91"/>
    <w:rsid w:val="00757D4E"/>
    <w:rsid w:val="0076231A"/>
    <w:rsid w:val="00763727"/>
    <w:rsid w:val="007650A7"/>
    <w:rsid w:val="00765299"/>
    <w:rsid w:val="007672F8"/>
    <w:rsid w:val="00767EF2"/>
    <w:rsid w:val="0077055E"/>
    <w:rsid w:val="00773A12"/>
    <w:rsid w:val="00773BEC"/>
    <w:rsid w:val="007747E0"/>
    <w:rsid w:val="00775184"/>
    <w:rsid w:val="00775B46"/>
    <w:rsid w:val="00775D9E"/>
    <w:rsid w:val="007772C9"/>
    <w:rsid w:val="00777876"/>
    <w:rsid w:val="007800FF"/>
    <w:rsid w:val="007803CB"/>
    <w:rsid w:val="00781365"/>
    <w:rsid w:val="0078260D"/>
    <w:rsid w:val="007826A9"/>
    <w:rsid w:val="0078280C"/>
    <w:rsid w:val="00782BBB"/>
    <w:rsid w:val="00783854"/>
    <w:rsid w:val="00784FFD"/>
    <w:rsid w:val="00785730"/>
    <w:rsid w:val="00785BBA"/>
    <w:rsid w:val="00785C9E"/>
    <w:rsid w:val="00785FE4"/>
    <w:rsid w:val="0079241A"/>
    <w:rsid w:val="0079328B"/>
    <w:rsid w:val="007964B2"/>
    <w:rsid w:val="00796535"/>
    <w:rsid w:val="00796A46"/>
    <w:rsid w:val="00797D9E"/>
    <w:rsid w:val="007A0DBC"/>
    <w:rsid w:val="007A16E3"/>
    <w:rsid w:val="007A1B96"/>
    <w:rsid w:val="007A2B88"/>
    <w:rsid w:val="007A33D5"/>
    <w:rsid w:val="007A502A"/>
    <w:rsid w:val="007A5314"/>
    <w:rsid w:val="007B03CD"/>
    <w:rsid w:val="007B23BB"/>
    <w:rsid w:val="007B242C"/>
    <w:rsid w:val="007B251B"/>
    <w:rsid w:val="007B2858"/>
    <w:rsid w:val="007B2FD5"/>
    <w:rsid w:val="007B3DE3"/>
    <w:rsid w:val="007B55C0"/>
    <w:rsid w:val="007B5A0B"/>
    <w:rsid w:val="007B6729"/>
    <w:rsid w:val="007B6B6F"/>
    <w:rsid w:val="007C0075"/>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A97"/>
    <w:rsid w:val="007D1A9D"/>
    <w:rsid w:val="007D22BB"/>
    <w:rsid w:val="007D5B76"/>
    <w:rsid w:val="007D727E"/>
    <w:rsid w:val="007D7587"/>
    <w:rsid w:val="007E053B"/>
    <w:rsid w:val="007E08EE"/>
    <w:rsid w:val="007E0F03"/>
    <w:rsid w:val="007E1B38"/>
    <w:rsid w:val="007E366F"/>
    <w:rsid w:val="007E4A8D"/>
    <w:rsid w:val="007E52EB"/>
    <w:rsid w:val="007E53A7"/>
    <w:rsid w:val="007E5E6C"/>
    <w:rsid w:val="007E7022"/>
    <w:rsid w:val="007E717F"/>
    <w:rsid w:val="007E7D0F"/>
    <w:rsid w:val="007E7F6E"/>
    <w:rsid w:val="007F0B75"/>
    <w:rsid w:val="007F12B8"/>
    <w:rsid w:val="007F13E4"/>
    <w:rsid w:val="007F2916"/>
    <w:rsid w:val="007F34BB"/>
    <w:rsid w:val="007F49B9"/>
    <w:rsid w:val="007F4F8D"/>
    <w:rsid w:val="007F5992"/>
    <w:rsid w:val="007F6810"/>
    <w:rsid w:val="007F704A"/>
    <w:rsid w:val="007F7EB0"/>
    <w:rsid w:val="00801407"/>
    <w:rsid w:val="00801CA7"/>
    <w:rsid w:val="00801F98"/>
    <w:rsid w:val="00801FF9"/>
    <w:rsid w:val="00802304"/>
    <w:rsid w:val="008030D3"/>
    <w:rsid w:val="00803851"/>
    <w:rsid w:val="008038D0"/>
    <w:rsid w:val="00803B1B"/>
    <w:rsid w:val="00804350"/>
    <w:rsid w:val="00805191"/>
    <w:rsid w:val="00805393"/>
    <w:rsid w:val="008066F6"/>
    <w:rsid w:val="0080799D"/>
    <w:rsid w:val="008079B6"/>
    <w:rsid w:val="00810F5D"/>
    <w:rsid w:val="008111E6"/>
    <w:rsid w:val="008115B2"/>
    <w:rsid w:val="008127CA"/>
    <w:rsid w:val="00813568"/>
    <w:rsid w:val="00814015"/>
    <w:rsid w:val="0081403F"/>
    <w:rsid w:val="0081448E"/>
    <w:rsid w:val="00814AD8"/>
    <w:rsid w:val="00815BE8"/>
    <w:rsid w:val="008164F1"/>
    <w:rsid w:val="0081674F"/>
    <w:rsid w:val="00816765"/>
    <w:rsid w:val="00816BFB"/>
    <w:rsid w:val="00816F57"/>
    <w:rsid w:val="00817B3E"/>
    <w:rsid w:val="00817DBD"/>
    <w:rsid w:val="00820290"/>
    <w:rsid w:val="00821070"/>
    <w:rsid w:val="00821D93"/>
    <w:rsid w:val="00822576"/>
    <w:rsid w:val="00822CBE"/>
    <w:rsid w:val="0082322E"/>
    <w:rsid w:val="008237E4"/>
    <w:rsid w:val="00823A53"/>
    <w:rsid w:val="00823D56"/>
    <w:rsid w:val="008263A5"/>
    <w:rsid w:val="00827DB2"/>
    <w:rsid w:val="00830A14"/>
    <w:rsid w:val="00831050"/>
    <w:rsid w:val="008319C6"/>
    <w:rsid w:val="00831E59"/>
    <w:rsid w:val="00831E83"/>
    <w:rsid w:val="00831E8C"/>
    <w:rsid w:val="008329DD"/>
    <w:rsid w:val="0083360B"/>
    <w:rsid w:val="00833944"/>
    <w:rsid w:val="00833E77"/>
    <w:rsid w:val="008340EA"/>
    <w:rsid w:val="0083426E"/>
    <w:rsid w:val="008346B2"/>
    <w:rsid w:val="00835473"/>
    <w:rsid w:val="00835BB8"/>
    <w:rsid w:val="00836148"/>
    <w:rsid w:val="00836833"/>
    <w:rsid w:val="00837971"/>
    <w:rsid w:val="00837DF7"/>
    <w:rsid w:val="008402C6"/>
    <w:rsid w:val="00842755"/>
    <w:rsid w:val="00843D72"/>
    <w:rsid w:val="00844521"/>
    <w:rsid w:val="00844582"/>
    <w:rsid w:val="008449BE"/>
    <w:rsid w:val="00844B92"/>
    <w:rsid w:val="008450A1"/>
    <w:rsid w:val="00845B30"/>
    <w:rsid w:val="008475C5"/>
    <w:rsid w:val="00847838"/>
    <w:rsid w:val="0084797E"/>
    <w:rsid w:val="008500D5"/>
    <w:rsid w:val="008515A3"/>
    <w:rsid w:val="00851CE4"/>
    <w:rsid w:val="008529F9"/>
    <w:rsid w:val="00853AD3"/>
    <w:rsid w:val="008541BB"/>
    <w:rsid w:val="008543E0"/>
    <w:rsid w:val="00855DAF"/>
    <w:rsid w:val="0085632F"/>
    <w:rsid w:val="0085690E"/>
    <w:rsid w:val="00857457"/>
    <w:rsid w:val="00860FF2"/>
    <w:rsid w:val="00863561"/>
    <w:rsid w:val="008647B2"/>
    <w:rsid w:val="00865AD2"/>
    <w:rsid w:val="00865B80"/>
    <w:rsid w:val="0086602C"/>
    <w:rsid w:val="00866514"/>
    <w:rsid w:val="00866E88"/>
    <w:rsid w:val="008671AC"/>
    <w:rsid w:val="00867800"/>
    <w:rsid w:val="00870DEC"/>
    <w:rsid w:val="0087100D"/>
    <w:rsid w:val="008710A7"/>
    <w:rsid w:val="00871F39"/>
    <w:rsid w:val="00872069"/>
    <w:rsid w:val="0087272E"/>
    <w:rsid w:val="008733C0"/>
    <w:rsid w:val="0087340E"/>
    <w:rsid w:val="00875337"/>
    <w:rsid w:val="008773AB"/>
    <w:rsid w:val="008815EC"/>
    <w:rsid w:val="00881605"/>
    <w:rsid w:val="008822FF"/>
    <w:rsid w:val="008832F0"/>
    <w:rsid w:val="008834B7"/>
    <w:rsid w:val="00884CDA"/>
    <w:rsid w:val="00884F6A"/>
    <w:rsid w:val="00886684"/>
    <w:rsid w:val="008872CE"/>
    <w:rsid w:val="0089016D"/>
    <w:rsid w:val="008909E3"/>
    <w:rsid w:val="00891712"/>
    <w:rsid w:val="00891F1C"/>
    <w:rsid w:val="0089402A"/>
    <w:rsid w:val="0089447C"/>
    <w:rsid w:val="0089536C"/>
    <w:rsid w:val="00897026"/>
    <w:rsid w:val="008A0AFA"/>
    <w:rsid w:val="008A1842"/>
    <w:rsid w:val="008A1A6B"/>
    <w:rsid w:val="008A222F"/>
    <w:rsid w:val="008A25A1"/>
    <w:rsid w:val="008A4522"/>
    <w:rsid w:val="008A488C"/>
    <w:rsid w:val="008A5239"/>
    <w:rsid w:val="008A56F9"/>
    <w:rsid w:val="008A78DA"/>
    <w:rsid w:val="008B1275"/>
    <w:rsid w:val="008B13D7"/>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E17"/>
    <w:rsid w:val="008C3277"/>
    <w:rsid w:val="008C3976"/>
    <w:rsid w:val="008C4009"/>
    <w:rsid w:val="008C43ED"/>
    <w:rsid w:val="008C4EFA"/>
    <w:rsid w:val="008C4FAC"/>
    <w:rsid w:val="008C51B0"/>
    <w:rsid w:val="008C5980"/>
    <w:rsid w:val="008C6A1E"/>
    <w:rsid w:val="008C6C47"/>
    <w:rsid w:val="008C6CDA"/>
    <w:rsid w:val="008D0A5E"/>
    <w:rsid w:val="008D16A3"/>
    <w:rsid w:val="008D1D11"/>
    <w:rsid w:val="008D22A5"/>
    <w:rsid w:val="008D28B3"/>
    <w:rsid w:val="008D2B35"/>
    <w:rsid w:val="008D2C51"/>
    <w:rsid w:val="008D46E9"/>
    <w:rsid w:val="008D5428"/>
    <w:rsid w:val="008D5CE3"/>
    <w:rsid w:val="008E0040"/>
    <w:rsid w:val="008E0A1A"/>
    <w:rsid w:val="008E1AE0"/>
    <w:rsid w:val="008E1C4B"/>
    <w:rsid w:val="008E2907"/>
    <w:rsid w:val="008E3C76"/>
    <w:rsid w:val="008E44AE"/>
    <w:rsid w:val="008E57CA"/>
    <w:rsid w:val="008E63F3"/>
    <w:rsid w:val="008E6843"/>
    <w:rsid w:val="008F0B67"/>
    <w:rsid w:val="008F1E22"/>
    <w:rsid w:val="008F2D32"/>
    <w:rsid w:val="008F2D9B"/>
    <w:rsid w:val="008F3A83"/>
    <w:rsid w:val="008F62C1"/>
    <w:rsid w:val="008F640C"/>
    <w:rsid w:val="008F7047"/>
    <w:rsid w:val="008F7371"/>
    <w:rsid w:val="009000E6"/>
    <w:rsid w:val="00900834"/>
    <w:rsid w:val="009009EE"/>
    <w:rsid w:val="00900C64"/>
    <w:rsid w:val="00901226"/>
    <w:rsid w:val="00902679"/>
    <w:rsid w:val="00902962"/>
    <w:rsid w:val="0090370E"/>
    <w:rsid w:val="00903CD9"/>
    <w:rsid w:val="009043B4"/>
    <w:rsid w:val="00904DB7"/>
    <w:rsid w:val="00905951"/>
    <w:rsid w:val="00907304"/>
    <w:rsid w:val="00911B29"/>
    <w:rsid w:val="00911C67"/>
    <w:rsid w:val="0091238C"/>
    <w:rsid w:val="00913391"/>
    <w:rsid w:val="00913596"/>
    <w:rsid w:val="00913D38"/>
    <w:rsid w:val="009151CF"/>
    <w:rsid w:val="0091535E"/>
    <w:rsid w:val="009157F7"/>
    <w:rsid w:val="00915EA9"/>
    <w:rsid w:val="0091626F"/>
    <w:rsid w:val="00916B32"/>
    <w:rsid w:val="00916F62"/>
    <w:rsid w:val="00917B5E"/>
    <w:rsid w:val="00917CCA"/>
    <w:rsid w:val="00921495"/>
    <w:rsid w:val="00921F4B"/>
    <w:rsid w:val="0092306F"/>
    <w:rsid w:val="009236C2"/>
    <w:rsid w:val="00923B8F"/>
    <w:rsid w:val="00923E70"/>
    <w:rsid w:val="00923ED0"/>
    <w:rsid w:val="00923F29"/>
    <w:rsid w:val="00924261"/>
    <w:rsid w:val="00924B8B"/>
    <w:rsid w:val="00924D46"/>
    <w:rsid w:val="00926031"/>
    <w:rsid w:val="009265A9"/>
    <w:rsid w:val="00926680"/>
    <w:rsid w:val="009267D2"/>
    <w:rsid w:val="00927381"/>
    <w:rsid w:val="009277D5"/>
    <w:rsid w:val="00927FCB"/>
    <w:rsid w:val="00930CBE"/>
    <w:rsid w:val="00931976"/>
    <w:rsid w:val="00932743"/>
    <w:rsid w:val="00932812"/>
    <w:rsid w:val="00934840"/>
    <w:rsid w:val="00934891"/>
    <w:rsid w:val="009358D4"/>
    <w:rsid w:val="00935A06"/>
    <w:rsid w:val="00935F53"/>
    <w:rsid w:val="00937797"/>
    <w:rsid w:val="009407AB"/>
    <w:rsid w:val="00941D3C"/>
    <w:rsid w:val="00941DF3"/>
    <w:rsid w:val="00943A59"/>
    <w:rsid w:val="00944783"/>
    <w:rsid w:val="009479B6"/>
    <w:rsid w:val="0095024E"/>
    <w:rsid w:val="00950DFB"/>
    <w:rsid w:val="00951A61"/>
    <w:rsid w:val="009525BA"/>
    <w:rsid w:val="00952F55"/>
    <w:rsid w:val="009530C3"/>
    <w:rsid w:val="00953B37"/>
    <w:rsid w:val="00956AA3"/>
    <w:rsid w:val="00957884"/>
    <w:rsid w:val="00957902"/>
    <w:rsid w:val="00960D0F"/>
    <w:rsid w:val="00961589"/>
    <w:rsid w:val="009618EF"/>
    <w:rsid w:val="009619D4"/>
    <w:rsid w:val="00963DAF"/>
    <w:rsid w:val="00965581"/>
    <w:rsid w:val="009657D4"/>
    <w:rsid w:val="00966166"/>
    <w:rsid w:val="00966AB2"/>
    <w:rsid w:val="00967F27"/>
    <w:rsid w:val="00970B44"/>
    <w:rsid w:val="00970D8C"/>
    <w:rsid w:val="0097126C"/>
    <w:rsid w:val="0097161C"/>
    <w:rsid w:val="00972899"/>
    <w:rsid w:val="00974716"/>
    <w:rsid w:val="0097493F"/>
    <w:rsid w:val="00975D12"/>
    <w:rsid w:val="0097655D"/>
    <w:rsid w:val="009779CD"/>
    <w:rsid w:val="009809DC"/>
    <w:rsid w:val="00980A2A"/>
    <w:rsid w:val="009813D2"/>
    <w:rsid w:val="00981E30"/>
    <w:rsid w:val="00981E4A"/>
    <w:rsid w:val="00982294"/>
    <w:rsid w:val="00982E9B"/>
    <w:rsid w:val="00982EA9"/>
    <w:rsid w:val="009840B5"/>
    <w:rsid w:val="00984DA1"/>
    <w:rsid w:val="00984E71"/>
    <w:rsid w:val="009850DA"/>
    <w:rsid w:val="009860BE"/>
    <w:rsid w:val="0098635D"/>
    <w:rsid w:val="00986723"/>
    <w:rsid w:val="00986B89"/>
    <w:rsid w:val="0098714B"/>
    <w:rsid w:val="00987715"/>
    <w:rsid w:val="0098774B"/>
    <w:rsid w:val="00987F3E"/>
    <w:rsid w:val="0099037D"/>
    <w:rsid w:val="00991815"/>
    <w:rsid w:val="0099212F"/>
    <w:rsid w:val="009931A6"/>
    <w:rsid w:val="00993BEF"/>
    <w:rsid w:val="00994682"/>
    <w:rsid w:val="0099489F"/>
    <w:rsid w:val="009951E9"/>
    <w:rsid w:val="009960CA"/>
    <w:rsid w:val="00996933"/>
    <w:rsid w:val="00997DC2"/>
    <w:rsid w:val="009A0888"/>
    <w:rsid w:val="009A0D25"/>
    <w:rsid w:val="009A0D3E"/>
    <w:rsid w:val="009A0ED5"/>
    <w:rsid w:val="009A1A21"/>
    <w:rsid w:val="009A1CC1"/>
    <w:rsid w:val="009A26D3"/>
    <w:rsid w:val="009A2D30"/>
    <w:rsid w:val="009A3B6D"/>
    <w:rsid w:val="009A5018"/>
    <w:rsid w:val="009A6C39"/>
    <w:rsid w:val="009A76A4"/>
    <w:rsid w:val="009B17BE"/>
    <w:rsid w:val="009B249B"/>
    <w:rsid w:val="009B33E6"/>
    <w:rsid w:val="009B49DA"/>
    <w:rsid w:val="009B518F"/>
    <w:rsid w:val="009B660D"/>
    <w:rsid w:val="009B7BA1"/>
    <w:rsid w:val="009C092F"/>
    <w:rsid w:val="009C2967"/>
    <w:rsid w:val="009C29AC"/>
    <w:rsid w:val="009C4F32"/>
    <w:rsid w:val="009C5D76"/>
    <w:rsid w:val="009C6823"/>
    <w:rsid w:val="009C6F1B"/>
    <w:rsid w:val="009C70ED"/>
    <w:rsid w:val="009C74E9"/>
    <w:rsid w:val="009D0992"/>
    <w:rsid w:val="009D0C1B"/>
    <w:rsid w:val="009D14E9"/>
    <w:rsid w:val="009D1B98"/>
    <w:rsid w:val="009D256A"/>
    <w:rsid w:val="009D2A2A"/>
    <w:rsid w:val="009D2DD2"/>
    <w:rsid w:val="009D3393"/>
    <w:rsid w:val="009D4D8C"/>
    <w:rsid w:val="009D4F60"/>
    <w:rsid w:val="009D616E"/>
    <w:rsid w:val="009D7926"/>
    <w:rsid w:val="009E0D11"/>
    <w:rsid w:val="009E14E0"/>
    <w:rsid w:val="009E16B4"/>
    <w:rsid w:val="009E3B87"/>
    <w:rsid w:val="009E482D"/>
    <w:rsid w:val="009E4EDB"/>
    <w:rsid w:val="009E5499"/>
    <w:rsid w:val="009E76CC"/>
    <w:rsid w:val="009F0243"/>
    <w:rsid w:val="009F0F55"/>
    <w:rsid w:val="009F0FAA"/>
    <w:rsid w:val="009F1359"/>
    <w:rsid w:val="009F177F"/>
    <w:rsid w:val="009F38D5"/>
    <w:rsid w:val="009F38E6"/>
    <w:rsid w:val="009F557C"/>
    <w:rsid w:val="009F5A20"/>
    <w:rsid w:val="009F6987"/>
    <w:rsid w:val="009F7399"/>
    <w:rsid w:val="009F79AB"/>
    <w:rsid w:val="009F7D03"/>
    <w:rsid w:val="00A00041"/>
    <w:rsid w:val="00A0087D"/>
    <w:rsid w:val="00A014F1"/>
    <w:rsid w:val="00A01766"/>
    <w:rsid w:val="00A01825"/>
    <w:rsid w:val="00A01FD4"/>
    <w:rsid w:val="00A0214F"/>
    <w:rsid w:val="00A031B0"/>
    <w:rsid w:val="00A03616"/>
    <w:rsid w:val="00A04835"/>
    <w:rsid w:val="00A05D09"/>
    <w:rsid w:val="00A10034"/>
    <w:rsid w:val="00A10695"/>
    <w:rsid w:val="00A106C4"/>
    <w:rsid w:val="00A1133D"/>
    <w:rsid w:val="00A11699"/>
    <w:rsid w:val="00A1195D"/>
    <w:rsid w:val="00A124E5"/>
    <w:rsid w:val="00A14E40"/>
    <w:rsid w:val="00A15EF2"/>
    <w:rsid w:val="00A16751"/>
    <w:rsid w:val="00A17892"/>
    <w:rsid w:val="00A17DB8"/>
    <w:rsid w:val="00A21F01"/>
    <w:rsid w:val="00A23259"/>
    <w:rsid w:val="00A23D8B"/>
    <w:rsid w:val="00A253B3"/>
    <w:rsid w:val="00A254A2"/>
    <w:rsid w:val="00A254CB"/>
    <w:rsid w:val="00A255D9"/>
    <w:rsid w:val="00A25A27"/>
    <w:rsid w:val="00A27390"/>
    <w:rsid w:val="00A276E2"/>
    <w:rsid w:val="00A27D5A"/>
    <w:rsid w:val="00A30B08"/>
    <w:rsid w:val="00A3192E"/>
    <w:rsid w:val="00A31B44"/>
    <w:rsid w:val="00A31E02"/>
    <w:rsid w:val="00A330B4"/>
    <w:rsid w:val="00A3331B"/>
    <w:rsid w:val="00A34160"/>
    <w:rsid w:val="00A344B6"/>
    <w:rsid w:val="00A34623"/>
    <w:rsid w:val="00A34BFE"/>
    <w:rsid w:val="00A35EF6"/>
    <w:rsid w:val="00A36325"/>
    <w:rsid w:val="00A36BDD"/>
    <w:rsid w:val="00A36F2B"/>
    <w:rsid w:val="00A36FA2"/>
    <w:rsid w:val="00A42366"/>
    <w:rsid w:val="00A42760"/>
    <w:rsid w:val="00A443BE"/>
    <w:rsid w:val="00A44835"/>
    <w:rsid w:val="00A45357"/>
    <w:rsid w:val="00A453FE"/>
    <w:rsid w:val="00A4590E"/>
    <w:rsid w:val="00A45C37"/>
    <w:rsid w:val="00A475DA"/>
    <w:rsid w:val="00A47776"/>
    <w:rsid w:val="00A47868"/>
    <w:rsid w:val="00A506B0"/>
    <w:rsid w:val="00A514D2"/>
    <w:rsid w:val="00A52E95"/>
    <w:rsid w:val="00A52F3C"/>
    <w:rsid w:val="00A5352D"/>
    <w:rsid w:val="00A53765"/>
    <w:rsid w:val="00A540F9"/>
    <w:rsid w:val="00A54FE6"/>
    <w:rsid w:val="00A55189"/>
    <w:rsid w:val="00A563B5"/>
    <w:rsid w:val="00A56806"/>
    <w:rsid w:val="00A56F54"/>
    <w:rsid w:val="00A60170"/>
    <w:rsid w:val="00A606E7"/>
    <w:rsid w:val="00A622E0"/>
    <w:rsid w:val="00A64E44"/>
    <w:rsid w:val="00A65F13"/>
    <w:rsid w:val="00A663CE"/>
    <w:rsid w:val="00A66900"/>
    <w:rsid w:val="00A66BF7"/>
    <w:rsid w:val="00A678CE"/>
    <w:rsid w:val="00A716C9"/>
    <w:rsid w:val="00A71C6F"/>
    <w:rsid w:val="00A71F39"/>
    <w:rsid w:val="00A721C9"/>
    <w:rsid w:val="00A729B8"/>
    <w:rsid w:val="00A74C2E"/>
    <w:rsid w:val="00A761FD"/>
    <w:rsid w:val="00A76B65"/>
    <w:rsid w:val="00A774A2"/>
    <w:rsid w:val="00A807DE"/>
    <w:rsid w:val="00A82320"/>
    <w:rsid w:val="00A83AC3"/>
    <w:rsid w:val="00A83C65"/>
    <w:rsid w:val="00A83DFA"/>
    <w:rsid w:val="00A84978"/>
    <w:rsid w:val="00A85046"/>
    <w:rsid w:val="00A8572D"/>
    <w:rsid w:val="00A8611F"/>
    <w:rsid w:val="00A86364"/>
    <w:rsid w:val="00A9190A"/>
    <w:rsid w:val="00A91B4E"/>
    <w:rsid w:val="00A9221C"/>
    <w:rsid w:val="00A9231A"/>
    <w:rsid w:val="00A926CC"/>
    <w:rsid w:val="00A92F02"/>
    <w:rsid w:val="00A93A44"/>
    <w:rsid w:val="00A9538E"/>
    <w:rsid w:val="00A9735D"/>
    <w:rsid w:val="00AA020C"/>
    <w:rsid w:val="00AA08A4"/>
    <w:rsid w:val="00AA152B"/>
    <w:rsid w:val="00AA42C3"/>
    <w:rsid w:val="00AA4F3B"/>
    <w:rsid w:val="00AA542F"/>
    <w:rsid w:val="00AA5F2D"/>
    <w:rsid w:val="00AA6B61"/>
    <w:rsid w:val="00AA6F27"/>
    <w:rsid w:val="00AA75E0"/>
    <w:rsid w:val="00AB1B0E"/>
    <w:rsid w:val="00AB2E70"/>
    <w:rsid w:val="00AB40BC"/>
    <w:rsid w:val="00AB45B1"/>
    <w:rsid w:val="00AB45EC"/>
    <w:rsid w:val="00AB549E"/>
    <w:rsid w:val="00AB7429"/>
    <w:rsid w:val="00AB7895"/>
    <w:rsid w:val="00AB79CD"/>
    <w:rsid w:val="00AC1BBE"/>
    <w:rsid w:val="00AC36E5"/>
    <w:rsid w:val="00AC37BF"/>
    <w:rsid w:val="00AC59EC"/>
    <w:rsid w:val="00AC5AAC"/>
    <w:rsid w:val="00AC745C"/>
    <w:rsid w:val="00AC7564"/>
    <w:rsid w:val="00AD10B8"/>
    <w:rsid w:val="00AD1917"/>
    <w:rsid w:val="00AD2E0A"/>
    <w:rsid w:val="00AD3080"/>
    <w:rsid w:val="00AD479C"/>
    <w:rsid w:val="00AD4ACB"/>
    <w:rsid w:val="00AD58CF"/>
    <w:rsid w:val="00AD7F9C"/>
    <w:rsid w:val="00AE010F"/>
    <w:rsid w:val="00AE0D10"/>
    <w:rsid w:val="00AE0D3F"/>
    <w:rsid w:val="00AE0EB7"/>
    <w:rsid w:val="00AE3FE7"/>
    <w:rsid w:val="00AE4F81"/>
    <w:rsid w:val="00AE56CC"/>
    <w:rsid w:val="00AE5842"/>
    <w:rsid w:val="00AE66D0"/>
    <w:rsid w:val="00AF02F3"/>
    <w:rsid w:val="00AF0DDD"/>
    <w:rsid w:val="00AF1C8B"/>
    <w:rsid w:val="00AF2C99"/>
    <w:rsid w:val="00AF3A86"/>
    <w:rsid w:val="00AF3D08"/>
    <w:rsid w:val="00AF564E"/>
    <w:rsid w:val="00B00586"/>
    <w:rsid w:val="00B0068E"/>
    <w:rsid w:val="00B00C05"/>
    <w:rsid w:val="00B014E4"/>
    <w:rsid w:val="00B020A2"/>
    <w:rsid w:val="00B02C70"/>
    <w:rsid w:val="00B02FF3"/>
    <w:rsid w:val="00B04DFF"/>
    <w:rsid w:val="00B05F62"/>
    <w:rsid w:val="00B06175"/>
    <w:rsid w:val="00B077BA"/>
    <w:rsid w:val="00B10281"/>
    <w:rsid w:val="00B105EC"/>
    <w:rsid w:val="00B1150B"/>
    <w:rsid w:val="00B11A3D"/>
    <w:rsid w:val="00B11A47"/>
    <w:rsid w:val="00B1262E"/>
    <w:rsid w:val="00B12D74"/>
    <w:rsid w:val="00B148C6"/>
    <w:rsid w:val="00B1499C"/>
    <w:rsid w:val="00B15557"/>
    <w:rsid w:val="00B21FF0"/>
    <w:rsid w:val="00B221E8"/>
    <w:rsid w:val="00B22515"/>
    <w:rsid w:val="00B23AAB"/>
    <w:rsid w:val="00B2403D"/>
    <w:rsid w:val="00B2407C"/>
    <w:rsid w:val="00B2503E"/>
    <w:rsid w:val="00B25BEA"/>
    <w:rsid w:val="00B25DD0"/>
    <w:rsid w:val="00B2660A"/>
    <w:rsid w:val="00B26AE9"/>
    <w:rsid w:val="00B309CD"/>
    <w:rsid w:val="00B30BD4"/>
    <w:rsid w:val="00B311B9"/>
    <w:rsid w:val="00B316C0"/>
    <w:rsid w:val="00B3188A"/>
    <w:rsid w:val="00B31BA2"/>
    <w:rsid w:val="00B32862"/>
    <w:rsid w:val="00B331DF"/>
    <w:rsid w:val="00B33981"/>
    <w:rsid w:val="00B3488D"/>
    <w:rsid w:val="00B34A6D"/>
    <w:rsid w:val="00B35C5E"/>
    <w:rsid w:val="00B3659F"/>
    <w:rsid w:val="00B36A43"/>
    <w:rsid w:val="00B36B88"/>
    <w:rsid w:val="00B37A70"/>
    <w:rsid w:val="00B37BEF"/>
    <w:rsid w:val="00B37EEF"/>
    <w:rsid w:val="00B408E2"/>
    <w:rsid w:val="00B411A8"/>
    <w:rsid w:val="00B437A0"/>
    <w:rsid w:val="00B46A46"/>
    <w:rsid w:val="00B46AE0"/>
    <w:rsid w:val="00B50BD5"/>
    <w:rsid w:val="00B51711"/>
    <w:rsid w:val="00B527B8"/>
    <w:rsid w:val="00B54829"/>
    <w:rsid w:val="00B5502D"/>
    <w:rsid w:val="00B55774"/>
    <w:rsid w:val="00B55C29"/>
    <w:rsid w:val="00B566CE"/>
    <w:rsid w:val="00B56B7B"/>
    <w:rsid w:val="00B60C40"/>
    <w:rsid w:val="00B61CD4"/>
    <w:rsid w:val="00B62AD2"/>
    <w:rsid w:val="00B63265"/>
    <w:rsid w:val="00B63364"/>
    <w:rsid w:val="00B6350F"/>
    <w:rsid w:val="00B63A89"/>
    <w:rsid w:val="00B64147"/>
    <w:rsid w:val="00B64704"/>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80886"/>
    <w:rsid w:val="00B80CF5"/>
    <w:rsid w:val="00B80F5D"/>
    <w:rsid w:val="00B81FF2"/>
    <w:rsid w:val="00B829EF"/>
    <w:rsid w:val="00B82D20"/>
    <w:rsid w:val="00B82DD5"/>
    <w:rsid w:val="00B83157"/>
    <w:rsid w:val="00B83DDA"/>
    <w:rsid w:val="00B845FB"/>
    <w:rsid w:val="00B84F90"/>
    <w:rsid w:val="00B85072"/>
    <w:rsid w:val="00B86374"/>
    <w:rsid w:val="00B904A1"/>
    <w:rsid w:val="00B90545"/>
    <w:rsid w:val="00B91592"/>
    <w:rsid w:val="00B9309B"/>
    <w:rsid w:val="00B93B48"/>
    <w:rsid w:val="00B9448C"/>
    <w:rsid w:val="00B94F99"/>
    <w:rsid w:val="00B960D5"/>
    <w:rsid w:val="00B96341"/>
    <w:rsid w:val="00B96630"/>
    <w:rsid w:val="00B96683"/>
    <w:rsid w:val="00B96A0E"/>
    <w:rsid w:val="00B97C4A"/>
    <w:rsid w:val="00BA09B6"/>
    <w:rsid w:val="00BA0AC1"/>
    <w:rsid w:val="00BA1218"/>
    <w:rsid w:val="00BA14C4"/>
    <w:rsid w:val="00BA1768"/>
    <w:rsid w:val="00BA36EA"/>
    <w:rsid w:val="00BA44F3"/>
    <w:rsid w:val="00BA4AAF"/>
    <w:rsid w:val="00BA682B"/>
    <w:rsid w:val="00BB0459"/>
    <w:rsid w:val="00BB070D"/>
    <w:rsid w:val="00BB1412"/>
    <w:rsid w:val="00BB17F8"/>
    <w:rsid w:val="00BB3ABF"/>
    <w:rsid w:val="00BB41C6"/>
    <w:rsid w:val="00BB4CB4"/>
    <w:rsid w:val="00BB6D0E"/>
    <w:rsid w:val="00BC0304"/>
    <w:rsid w:val="00BC342A"/>
    <w:rsid w:val="00BC37EB"/>
    <w:rsid w:val="00BC4303"/>
    <w:rsid w:val="00BC4401"/>
    <w:rsid w:val="00BC4EA1"/>
    <w:rsid w:val="00BC64D5"/>
    <w:rsid w:val="00BC7871"/>
    <w:rsid w:val="00BD07F3"/>
    <w:rsid w:val="00BD1A7A"/>
    <w:rsid w:val="00BD1ECC"/>
    <w:rsid w:val="00BD20C7"/>
    <w:rsid w:val="00BD2B22"/>
    <w:rsid w:val="00BD2BF6"/>
    <w:rsid w:val="00BD2C2C"/>
    <w:rsid w:val="00BD4B73"/>
    <w:rsid w:val="00BD4FC5"/>
    <w:rsid w:val="00BD5481"/>
    <w:rsid w:val="00BD55ED"/>
    <w:rsid w:val="00BD5ADD"/>
    <w:rsid w:val="00BD5E42"/>
    <w:rsid w:val="00BD60A7"/>
    <w:rsid w:val="00BD743A"/>
    <w:rsid w:val="00BD769C"/>
    <w:rsid w:val="00BD778A"/>
    <w:rsid w:val="00BD7A1C"/>
    <w:rsid w:val="00BE0769"/>
    <w:rsid w:val="00BE1833"/>
    <w:rsid w:val="00BE184B"/>
    <w:rsid w:val="00BE1C85"/>
    <w:rsid w:val="00BE3AB6"/>
    <w:rsid w:val="00BE4B44"/>
    <w:rsid w:val="00BE4B8E"/>
    <w:rsid w:val="00BE5100"/>
    <w:rsid w:val="00BE7219"/>
    <w:rsid w:val="00BF0027"/>
    <w:rsid w:val="00BF12A1"/>
    <w:rsid w:val="00BF14A9"/>
    <w:rsid w:val="00BF18DA"/>
    <w:rsid w:val="00BF2459"/>
    <w:rsid w:val="00BF256A"/>
    <w:rsid w:val="00BF29D2"/>
    <w:rsid w:val="00BF2A1A"/>
    <w:rsid w:val="00BF4643"/>
    <w:rsid w:val="00BF518B"/>
    <w:rsid w:val="00BF59D1"/>
    <w:rsid w:val="00BF635A"/>
    <w:rsid w:val="00BF6896"/>
    <w:rsid w:val="00BF7429"/>
    <w:rsid w:val="00BF7488"/>
    <w:rsid w:val="00BF7ECF"/>
    <w:rsid w:val="00C0110B"/>
    <w:rsid w:val="00C013D4"/>
    <w:rsid w:val="00C01C23"/>
    <w:rsid w:val="00C01FED"/>
    <w:rsid w:val="00C02A90"/>
    <w:rsid w:val="00C037B9"/>
    <w:rsid w:val="00C03C95"/>
    <w:rsid w:val="00C03E52"/>
    <w:rsid w:val="00C03FE7"/>
    <w:rsid w:val="00C04BC5"/>
    <w:rsid w:val="00C0516A"/>
    <w:rsid w:val="00C054B3"/>
    <w:rsid w:val="00C0567F"/>
    <w:rsid w:val="00C059D1"/>
    <w:rsid w:val="00C05CC9"/>
    <w:rsid w:val="00C06B3E"/>
    <w:rsid w:val="00C10401"/>
    <w:rsid w:val="00C105B0"/>
    <w:rsid w:val="00C11097"/>
    <w:rsid w:val="00C119E4"/>
    <w:rsid w:val="00C11C96"/>
    <w:rsid w:val="00C1234B"/>
    <w:rsid w:val="00C12E33"/>
    <w:rsid w:val="00C1319B"/>
    <w:rsid w:val="00C1578B"/>
    <w:rsid w:val="00C1697E"/>
    <w:rsid w:val="00C16DDC"/>
    <w:rsid w:val="00C16DE1"/>
    <w:rsid w:val="00C170D3"/>
    <w:rsid w:val="00C20CDF"/>
    <w:rsid w:val="00C210DB"/>
    <w:rsid w:val="00C212D8"/>
    <w:rsid w:val="00C22AA2"/>
    <w:rsid w:val="00C22DDA"/>
    <w:rsid w:val="00C22FBD"/>
    <w:rsid w:val="00C2315A"/>
    <w:rsid w:val="00C2329E"/>
    <w:rsid w:val="00C2340A"/>
    <w:rsid w:val="00C245B0"/>
    <w:rsid w:val="00C249C9"/>
    <w:rsid w:val="00C26269"/>
    <w:rsid w:val="00C26477"/>
    <w:rsid w:val="00C27072"/>
    <w:rsid w:val="00C2720B"/>
    <w:rsid w:val="00C27515"/>
    <w:rsid w:val="00C27912"/>
    <w:rsid w:val="00C27AE7"/>
    <w:rsid w:val="00C30794"/>
    <w:rsid w:val="00C31396"/>
    <w:rsid w:val="00C3189F"/>
    <w:rsid w:val="00C320EF"/>
    <w:rsid w:val="00C327A4"/>
    <w:rsid w:val="00C328D1"/>
    <w:rsid w:val="00C33BD6"/>
    <w:rsid w:val="00C34372"/>
    <w:rsid w:val="00C34D63"/>
    <w:rsid w:val="00C34D71"/>
    <w:rsid w:val="00C351E7"/>
    <w:rsid w:val="00C366A9"/>
    <w:rsid w:val="00C37B62"/>
    <w:rsid w:val="00C37BF2"/>
    <w:rsid w:val="00C37D44"/>
    <w:rsid w:val="00C422AD"/>
    <w:rsid w:val="00C42EF0"/>
    <w:rsid w:val="00C43545"/>
    <w:rsid w:val="00C439B2"/>
    <w:rsid w:val="00C46726"/>
    <w:rsid w:val="00C47429"/>
    <w:rsid w:val="00C506C9"/>
    <w:rsid w:val="00C508F9"/>
    <w:rsid w:val="00C52725"/>
    <w:rsid w:val="00C54CC0"/>
    <w:rsid w:val="00C57A35"/>
    <w:rsid w:val="00C61677"/>
    <w:rsid w:val="00C63C1E"/>
    <w:rsid w:val="00C63C1F"/>
    <w:rsid w:val="00C6423D"/>
    <w:rsid w:val="00C67B18"/>
    <w:rsid w:val="00C70AE1"/>
    <w:rsid w:val="00C71ADD"/>
    <w:rsid w:val="00C72601"/>
    <w:rsid w:val="00C736C7"/>
    <w:rsid w:val="00C75F7C"/>
    <w:rsid w:val="00C760D3"/>
    <w:rsid w:val="00C764AA"/>
    <w:rsid w:val="00C77608"/>
    <w:rsid w:val="00C77C84"/>
    <w:rsid w:val="00C818A6"/>
    <w:rsid w:val="00C81BC4"/>
    <w:rsid w:val="00C820F9"/>
    <w:rsid w:val="00C8231F"/>
    <w:rsid w:val="00C82E29"/>
    <w:rsid w:val="00C836E6"/>
    <w:rsid w:val="00C84791"/>
    <w:rsid w:val="00C86727"/>
    <w:rsid w:val="00C90034"/>
    <w:rsid w:val="00C9275D"/>
    <w:rsid w:val="00C92868"/>
    <w:rsid w:val="00C92FEF"/>
    <w:rsid w:val="00C93145"/>
    <w:rsid w:val="00C93331"/>
    <w:rsid w:val="00C9398D"/>
    <w:rsid w:val="00C94C93"/>
    <w:rsid w:val="00C95B8C"/>
    <w:rsid w:val="00C95DBB"/>
    <w:rsid w:val="00C97812"/>
    <w:rsid w:val="00CA09CF"/>
    <w:rsid w:val="00CA0A33"/>
    <w:rsid w:val="00CA0C37"/>
    <w:rsid w:val="00CA1094"/>
    <w:rsid w:val="00CA18E2"/>
    <w:rsid w:val="00CA19B8"/>
    <w:rsid w:val="00CA19E1"/>
    <w:rsid w:val="00CA41F5"/>
    <w:rsid w:val="00CA46FF"/>
    <w:rsid w:val="00CA6386"/>
    <w:rsid w:val="00CA7265"/>
    <w:rsid w:val="00CA7C60"/>
    <w:rsid w:val="00CB0073"/>
    <w:rsid w:val="00CB11E4"/>
    <w:rsid w:val="00CB1CCE"/>
    <w:rsid w:val="00CB2A84"/>
    <w:rsid w:val="00CB3352"/>
    <w:rsid w:val="00CB363A"/>
    <w:rsid w:val="00CB3648"/>
    <w:rsid w:val="00CB4FB3"/>
    <w:rsid w:val="00CB7097"/>
    <w:rsid w:val="00CC15C7"/>
    <w:rsid w:val="00CC1A39"/>
    <w:rsid w:val="00CC1C6E"/>
    <w:rsid w:val="00CC208F"/>
    <w:rsid w:val="00CC24D1"/>
    <w:rsid w:val="00CC4231"/>
    <w:rsid w:val="00CC43FA"/>
    <w:rsid w:val="00CC58AC"/>
    <w:rsid w:val="00CC6322"/>
    <w:rsid w:val="00CC7302"/>
    <w:rsid w:val="00CD0203"/>
    <w:rsid w:val="00CD1209"/>
    <w:rsid w:val="00CD1F36"/>
    <w:rsid w:val="00CD2EAB"/>
    <w:rsid w:val="00CD33BB"/>
    <w:rsid w:val="00CD3BFB"/>
    <w:rsid w:val="00CD3E15"/>
    <w:rsid w:val="00CD4452"/>
    <w:rsid w:val="00CD4631"/>
    <w:rsid w:val="00CD554D"/>
    <w:rsid w:val="00CD5CDD"/>
    <w:rsid w:val="00CD668D"/>
    <w:rsid w:val="00CD794D"/>
    <w:rsid w:val="00CE0175"/>
    <w:rsid w:val="00CE154B"/>
    <w:rsid w:val="00CE1B55"/>
    <w:rsid w:val="00CE4651"/>
    <w:rsid w:val="00CE4728"/>
    <w:rsid w:val="00CE498E"/>
    <w:rsid w:val="00CE568F"/>
    <w:rsid w:val="00CE5814"/>
    <w:rsid w:val="00CE5943"/>
    <w:rsid w:val="00CE5E5E"/>
    <w:rsid w:val="00CF05AF"/>
    <w:rsid w:val="00CF0FA0"/>
    <w:rsid w:val="00CF215D"/>
    <w:rsid w:val="00CF222E"/>
    <w:rsid w:val="00CF346E"/>
    <w:rsid w:val="00CF3FD3"/>
    <w:rsid w:val="00CF3FF6"/>
    <w:rsid w:val="00CF4425"/>
    <w:rsid w:val="00CF4900"/>
    <w:rsid w:val="00CF4D25"/>
    <w:rsid w:val="00CF5CFF"/>
    <w:rsid w:val="00CF5DDB"/>
    <w:rsid w:val="00CF61E5"/>
    <w:rsid w:val="00CF7F7A"/>
    <w:rsid w:val="00D00D78"/>
    <w:rsid w:val="00D0330F"/>
    <w:rsid w:val="00D03DFC"/>
    <w:rsid w:val="00D043A6"/>
    <w:rsid w:val="00D0578D"/>
    <w:rsid w:val="00D05AC8"/>
    <w:rsid w:val="00D06A57"/>
    <w:rsid w:val="00D107DD"/>
    <w:rsid w:val="00D10F7B"/>
    <w:rsid w:val="00D11203"/>
    <w:rsid w:val="00D130C2"/>
    <w:rsid w:val="00D13201"/>
    <w:rsid w:val="00D141F9"/>
    <w:rsid w:val="00D149AB"/>
    <w:rsid w:val="00D15B9E"/>
    <w:rsid w:val="00D15D30"/>
    <w:rsid w:val="00D16227"/>
    <w:rsid w:val="00D16741"/>
    <w:rsid w:val="00D16BE6"/>
    <w:rsid w:val="00D175C3"/>
    <w:rsid w:val="00D17F08"/>
    <w:rsid w:val="00D2108F"/>
    <w:rsid w:val="00D2173D"/>
    <w:rsid w:val="00D22DF4"/>
    <w:rsid w:val="00D244B3"/>
    <w:rsid w:val="00D24E83"/>
    <w:rsid w:val="00D269E2"/>
    <w:rsid w:val="00D278CF"/>
    <w:rsid w:val="00D31950"/>
    <w:rsid w:val="00D31ABB"/>
    <w:rsid w:val="00D33151"/>
    <w:rsid w:val="00D331B4"/>
    <w:rsid w:val="00D33C03"/>
    <w:rsid w:val="00D3498E"/>
    <w:rsid w:val="00D34DD3"/>
    <w:rsid w:val="00D35119"/>
    <w:rsid w:val="00D3651F"/>
    <w:rsid w:val="00D368B4"/>
    <w:rsid w:val="00D374FC"/>
    <w:rsid w:val="00D409F3"/>
    <w:rsid w:val="00D428E6"/>
    <w:rsid w:val="00D43136"/>
    <w:rsid w:val="00D43A63"/>
    <w:rsid w:val="00D43D36"/>
    <w:rsid w:val="00D43E42"/>
    <w:rsid w:val="00D4471B"/>
    <w:rsid w:val="00D45511"/>
    <w:rsid w:val="00D45859"/>
    <w:rsid w:val="00D45A36"/>
    <w:rsid w:val="00D46839"/>
    <w:rsid w:val="00D47FD1"/>
    <w:rsid w:val="00D509CC"/>
    <w:rsid w:val="00D50C8E"/>
    <w:rsid w:val="00D51763"/>
    <w:rsid w:val="00D5237E"/>
    <w:rsid w:val="00D52980"/>
    <w:rsid w:val="00D5329C"/>
    <w:rsid w:val="00D53871"/>
    <w:rsid w:val="00D538E9"/>
    <w:rsid w:val="00D53AEE"/>
    <w:rsid w:val="00D5516D"/>
    <w:rsid w:val="00D57332"/>
    <w:rsid w:val="00D63466"/>
    <w:rsid w:val="00D637BF"/>
    <w:rsid w:val="00D63C9E"/>
    <w:rsid w:val="00D63CEE"/>
    <w:rsid w:val="00D655C3"/>
    <w:rsid w:val="00D66187"/>
    <w:rsid w:val="00D66EBB"/>
    <w:rsid w:val="00D6712E"/>
    <w:rsid w:val="00D67618"/>
    <w:rsid w:val="00D6769D"/>
    <w:rsid w:val="00D67BD4"/>
    <w:rsid w:val="00D7087A"/>
    <w:rsid w:val="00D70E39"/>
    <w:rsid w:val="00D71C2C"/>
    <w:rsid w:val="00D729F4"/>
    <w:rsid w:val="00D72A59"/>
    <w:rsid w:val="00D73BB5"/>
    <w:rsid w:val="00D743E9"/>
    <w:rsid w:val="00D75E49"/>
    <w:rsid w:val="00D76DB2"/>
    <w:rsid w:val="00D76DC1"/>
    <w:rsid w:val="00D777E3"/>
    <w:rsid w:val="00D77E72"/>
    <w:rsid w:val="00D77ECE"/>
    <w:rsid w:val="00D80494"/>
    <w:rsid w:val="00D81A87"/>
    <w:rsid w:val="00D81F05"/>
    <w:rsid w:val="00D83681"/>
    <w:rsid w:val="00D84555"/>
    <w:rsid w:val="00D84841"/>
    <w:rsid w:val="00D84C21"/>
    <w:rsid w:val="00D84EE4"/>
    <w:rsid w:val="00D85D82"/>
    <w:rsid w:val="00D86BAB"/>
    <w:rsid w:val="00D86DD3"/>
    <w:rsid w:val="00D86FF7"/>
    <w:rsid w:val="00D913D9"/>
    <w:rsid w:val="00D91A24"/>
    <w:rsid w:val="00D91B9D"/>
    <w:rsid w:val="00D93382"/>
    <w:rsid w:val="00D95AF9"/>
    <w:rsid w:val="00D95CB5"/>
    <w:rsid w:val="00D960BD"/>
    <w:rsid w:val="00D965E3"/>
    <w:rsid w:val="00D967B1"/>
    <w:rsid w:val="00D96B8C"/>
    <w:rsid w:val="00D97426"/>
    <w:rsid w:val="00D9789F"/>
    <w:rsid w:val="00DA06BD"/>
    <w:rsid w:val="00DA159C"/>
    <w:rsid w:val="00DA22E4"/>
    <w:rsid w:val="00DA26D0"/>
    <w:rsid w:val="00DA2BA5"/>
    <w:rsid w:val="00DA363C"/>
    <w:rsid w:val="00DA3ADE"/>
    <w:rsid w:val="00DA4264"/>
    <w:rsid w:val="00DA575D"/>
    <w:rsid w:val="00DA5997"/>
    <w:rsid w:val="00DA5A8B"/>
    <w:rsid w:val="00DA6BA9"/>
    <w:rsid w:val="00DA6D03"/>
    <w:rsid w:val="00DA7B38"/>
    <w:rsid w:val="00DB058C"/>
    <w:rsid w:val="00DB066D"/>
    <w:rsid w:val="00DB06A2"/>
    <w:rsid w:val="00DB2ABA"/>
    <w:rsid w:val="00DB3B8E"/>
    <w:rsid w:val="00DB67C5"/>
    <w:rsid w:val="00DB7020"/>
    <w:rsid w:val="00DB7604"/>
    <w:rsid w:val="00DB778D"/>
    <w:rsid w:val="00DC0884"/>
    <w:rsid w:val="00DC35FD"/>
    <w:rsid w:val="00DC3D42"/>
    <w:rsid w:val="00DC3E48"/>
    <w:rsid w:val="00DC3F9E"/>
    <w:rsid w:val="00DC4436"/>
    <w:rsid w:val="00DC4A86"/>
    <w:rsid w:val="00DC4B9C"/>
    <w:rsid w:val="00DC53DE"/>
    <w:rsid w:val="00DC5A2F"/>
    <w:rsid w:val="00DC5C39"/>
    <w:rsid w:val="00DC5EB3"/>
    <w:rsid w:val="00DC7B42"/>
    <w:rsid w:val="00DD04B9"/>
    <w:rsid w:val="00DD5534"/>
    <w:rsid w:val="00DD5BAE"/>
    <w:rsid w:val="00DD5DA9"/>
    <w:rsid w:val="00DD63EF"/>
    <w:rsid w:val="00DE05A4"/>
    <w:rsid w:val="00DE0696"/>
    <w:rsid w:val="00DE0E48"/>
    <w:rsid w:val="00DE1A70"/>
    <w:rsid w:val="00DE29B9"/>
    <w:rsid w:val="00DE2E78"/>
    <w:rsid w:val="00DE43AD"/>
    <w:rsid w:val="00DE493B"/>
    <w:rsid w:val="00DE4B56"/>
    <w:rsid w:val="00DE4E8D"/>
    <w:rsid w:val="00DE534C"/>
    <w:rsid w:val="00DE6A4B"/>
    <w:rsid w:val="00DE75EA"/>
    <w:rsid w:val="00DE7938"/>
    <w:rsid w:val="00DF006C"/>
    <w:rsid w:val="00DF03EC"/>
    <w:rsid w:val="00DF059D"/>
    <w:rsid w:val="00DF09C2"/>
    <w:rsid w:val="00DF0C0D"/>
    <w:rsid w:val="00DF2145"/>
    <w:rsid w:val="00DF2E88"/>
    <w:rsid w:val="00DF319E"/>
    <w:rsid w:val="00DF3C99"/>
    <w:rsid w:val="00DF4483"/>
    <w:rsid w:val="00DF50DE"/>
    <w:rsid w:val="00DF51B9"/>
    <w:rsid w:val="00DF5B64"/>
    <w:rsid w:val="00DF656D"/>
    <w:rsid w:val="00DF7209"/>
    <w:rsid w:val="00DF74E3"/>
    <w:rsid w:val="00DF7BC1"/>
    <w:rsid w:val="00E00429"/>
    <w:rsid w:val="00E014D1"/>
    <w:rsid w:val="00E01C76"/>
    <w:rsid w:val="00E039F9"/>
    <w:rsid w:val="00E05188"/>
    <w:rsid w:val="00E0593D"/>
    <w:rsid w:val="00E07586"/>
    <w:rsid w:val="00E07FD7"/>
    <w:rsid w:val="00E10173"/>
    <w:rsid w:val="00E106C5"/>
    <w:rsid w:val="00E117F8"/>
    <w:rsid w:val="00E12B62"/>
    <w:rsid w:val="00E14B17"/>
    <w:rsid w:val="00E14C44"/>
    <w:rsid w:val="00E153AC"/>
    <w:rsid w:val="00E1572D"/>
    <w:rsid w:val="00E15983"/>
    <w:rsid w:val="00E15A72"/>
    <w:rsid w:val="00E160FB"/>
    <w:rsid w:val="00E16474"/>
    <w:rsid w:val="00E206F1"/>
    <w:rsid w:val="00E212A6"/>
    <w:rsid w:val="00E214CD"/>
    <w:rsid w:val="00E21C2D"/>
    <w:rsid w:val="00E22E06"/>
    <w:rsid w:val="00E230F3"/>
    <w:rsid w:val="00E23A7F"/>
    <w:rsid w:val="00E24FCC"/>
    <w:rsid w:val="00E24FF4"/>
    <w:rsid w:val="00E2504F"/>
    <w:rsid w:val="00E25122"/>
    <w:rsid w:val="00E261A2"/>
    <w:rsid w:val="00E26441"/>
    <w:rsid w:val="00E265A1"/>
    <w:rsid w:val="00E26658"/>
    <w:rsid w:val="00E26D18"/>
    <w:rsid w:val="00E27BEE"/>
    <w:rsid w:val="00E3023B"/>
    <w:rsid w:val="00E30299"/>
    <w:rsid w:val="00E303E3"/>
    <w:rsid w:val="00E323AB"/>
    <w:rsid w:val="00E3246A"/>
    <w:rsid w:val="00E328CB"/>
    <w:rsid w:val="00E32C68"/>
    <w:rsid w:val="00E33649"/>
    <w:rsid w:val="00E358F2"/>
    <w:rsid w:val="00E35D54"/>
    <w:rsid w:val="00E37429"/>
    <w:rsid w:val="00E37541"/>
    <w:rsid w:val="00E378A8"/>
    <w:rsid w:val="00E404D8"/>
    <w:rsid w:val="00E446DE"/>
    <w:rsid w:val="00E449B5"/>
    <w:rsid w:val="00E4573E"/>
    <w:rsid w:val="00E503E2"/>
    <w:rsid w:val="00E50D74"/>
    <w:rsid w:val="00E51DA4"/>
    <w:rsid w:val="00E52DDB"/>
    <w:rsid w:val="00E53622"/>
    <w:rsid w:val="00E56AE3"/>
    <w:rsid w:val="00E60359"/>
    <w:rsid w:val="00E61208"/>
    <w:rsid w:val="00E624D6"/>
    <w:rsid w:val="00E629B1"/>
    <w:rsid w:val="00E62E81"/>
    <w:rsid w:val="00E63132"/>
    <w:rsid w:val="00E636A6"/>
    <w:rsid w:val="00E63850"/>
    <w:rsid w:val="00E63B9C"/>
    <w:rsid w:val="00E66812"/>
    <w:rsid w:val="00E66837"/>
    <w:rsid w:val="00E716AE"/>
    <w:rsid w:val="00E7282C"/>
    <w:rsid w:val="00E7311E"/>
    <w:rsid w:val="00E74EBE"/>
    <w:rsid w:val="00E75308"/>
    <w:rsid w:val="00E76BFB"/>
    <w:rsid w:val="00E80250"/>
    <w:rsid w:val="00E80548"/>
    <w:rsid w:val="00E8102D"/>
    <w:rsid w:val="00E82E7C"/>
    <w:rsid w:val="00E84067"/>
    <w:rsid w:val="00E84770"/>
    <w:rsid w:val="00E84E23"/>
    <w:rsid w:val="00E85781"/>
    <w:rsid w:val="00E86608"/>
    <w:rsid w:val="00E87057"/>
    <w:rsid w:val="00E87594"/>
    <w:rsid w:val="00E8791C"/>
    <w:rsid w:val="00E91880"/>
    <w:rsid w:val="00E92F5D"/>
    <w:rsid w:val="00E93312"/>
    <w:rsid w:val="00E939EB"/>
    <w:rsid w:val="00E93DE0"/>
    <w:rsid w:val="00E94A07"/>
    <w:rsid w:val="00E94E62"/>
    <w:rsid w:val="00E95285"/>
    <w:rsid w:val="00E95AF0"/>
    <w:rsid w:val="00E972DC"/>
    <w:rsid w:val="00EA0100"/>
    <w:rsid w:val="00EA0864"/>
    <w:rsid w:val="00EA08D5"/>
    <w:rsid w:val="00EA0AB5"/>
    <w:rsid w:val="00EA1D77"/>
    <w:rsid w:val="00EA3164"/>
    <w:rsid w:val="00EA495A"/>
    <w:rsid w:val="00EA50AC"/>
    <w:rsid w:val="00EA5152"/>
    <w:rsid w:val="00EA5A95"/>
    <w:rsid w:val="00EA662D"/>
    <w:rsid w:val="00EA6D1D"/>
    <w:rsid w:val="00EA784E"/>
    <w:rsid w:val="00EB04E2"/>
    <w:rsid w:val="00EB29B5"/>
    <w:rsid w:val="00EB3B46"/>
    <w:rsid w:val="00EB45F9"/>
    <w:rsid w:val="00EB7A31"/>
    <w:rsid w:val="00EC1802"/>
    <w:rsid w:val="00EC1904"/>
    <w:rsid w:val="00EC2E49"/>
    <w:rsid w:val="00EC6E3B"/>
    <w:rsid w:val="00EC6EBE"/>
    <w:rsid w:val="00EC7048"/>
    <w:rsid w:val="00EC7172"/>
    <w:rsid w:val="00EC79DE"/>
    <w:rsid w:val="00EC79DF"/>
    <w:rsid w:val="00EC7ED0"/>
    <w:rsid w:val="00ED0124"/>
    <w:rsid w:val="00ED09DD"/>
    <w:rsid w:val="00ED13E6"/>
    <w:rsid w:val="00ED2321"/>
    <w:rsid w:val="00ED28CF"/>
    <w:rsid w:val="00ED2E2A"/>
    <w:rsid w:val="00ED3502"/>
    <w:rsid w:val="00ED4F9F"/>
    <w:rsid w:val="00ED5846"/>
    <w:rsid w:val="00ED5966"/>
    <w:rsid w:val="00ED65AD"/>
    <w:rsid w:val="00ED6B85"/>
    <w:rsid w:val="00ED6DF5"/>
    <w:rsid w:val="00ED7454"/>
    <w:rsid w:val="00ED75A1"/>
    <w:rsid w:val="00EE0B5D"/>
    <w:rsid w:val="00EE3506"/>
    <w:rsid w:val="00EE3ADB"/>
    <w:rsid w:val="00EE48DB"/>
    <w:rsid w:val="00EE579F"/>
    <w:rsid w:val="00EE7087"/>
    <w:rsid w:val="00EF1F68"/>
    <w:rsid w:val="00EF2B79"/>
    <w:rsid w:val="00EF3FCB"/>
    <w:rsid w:val="00EF4434"/>
    <w:rsid w:val="00EF59E1"/>
    <w:rsid w:val="00EF5C1D"/>
    <w:rsid w:val="00EF6D9D"/>
    <w:rsid w:val="00EF710A"/>
    <w:rsid w:val="00EF7438"/>
    <w:rsid w:val="00EF7DD1"/>
    <w:rsid w:val="00F0051B"/>
    <w:rsid w:val="00F009B0"/>
    <w:rsid w:val="00F00D7D"/>
    <w:rsid w:val="00F0179F"/>
    <w:rsid w:val="00F01CC5"/>
    <w:rsid w:val="00F02735"/>
    <w:rsid w:val="00F027E5"/>
    <w:rsid w:val="00F02A8B"/>
    <w:rsid w:val="00F02D5B"/>
    <w:rsid w:val="00F032A5"/>
    <w:rsid w:val="00F03897"/>
    <w:rsid w:val="00F045B9"/>
    <w:rsid w:val="00F04922"/>
    <w:rsid w:val="00F04AD9"/>
    <w:rsid w:val="00F05C36"/>
    <w:rsid w:val="00F05E67"/>
    <w:rsid w:val="00F0790A"/>
    <w:rsid w:val="00F07CF1"/>
    <w:rsid w:val="00F101C3"/>
    <w:rsid w:val="00F10299"/>
    <w:rsid w:val="00F10D11"/>
    <w:rsid w:val="00F12756"/>
    <w:rsid w:val="00F12C93"/>
    <w:rsid w:val="00F138C2"/>
    <w:rsid w:val="00F13CDD"/>
    <w:rsid w:val="00F142AE"/>
    <w:rsid w:val="00F143E3"/>
    <w:rsid w:val="00F15022"/>
    <w:rsid w:val="00F159AA"/>
    <w:rsid w:val="00F1793A"/>
    <w:rsid w:val="00F17BC9"/>
    <w:rsid w:val="00F20794"/>
    <w:rsid w:val="00F21052"/>
    <w:rsid w:val="00F21901"/>
    <w:rsid w:val="00F22125"/>
    <w:rsid w:val="00F23FF3"/>
    <w:rsid w:val="00F24A00"/>
    <w:rsid w:val="00F24BEE"/>
    <w:rsid w:val="00F266BE"/>
    <w:rsid w:val="00F26D42"/>
    <w:rsid w:val="00F2777A"/>
    <w:rsid w:val="00F30A8E"/>
    <w:rsid w:val="00F3480F"/>
    <w:rsid w:val="00F36B83"/>
    <w:rsid w:val="00F36E8D"/>
    <w:rsid w:val="00F3724C"/>
    <w:rsid w:val="00F376CB"/>
    <w:rsid w:val="00F400FD"/>
    <w:rsid w:val="00F41661"/>
    <w:rsid w:val="00F41F42"/>
    <w:rsid w:val="00F431D5"/>
    <w:rsid w:val="00F437BA"/>
    <w:rsid w:val="00F43988"/>
    <w:rsid w:val="00F43BDA"/>
    <w:rsid w:val="00F4600A"/>
    <w:rsid w:val="00F46EDD"/>
    <w:rsid w:val="00F47037"/>
    <w:rsid w:val="00F472B7"/>
    <w:rsid w:val="00F51401"/>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1B4E"/>
    <w:rsid w:val="00F62862"/>
    <w:rsid w:val="00F6305B"/>
    <w:rsid w:val="00F634C1"/>
    <w:rsid w:val="00F64079"/>
    <w:rsid w:val="00F65BD7"/>
    <w:rsid w:val="00F66932"/>
    <w:rsid w:val="00F66BCB"/>
    <w:rsid w:val="00F67BFD"/>
    <w:rsid w:val="00F70712"/>
    <w:rsid w:val="00F70FE8"/>
    <w:rsid w:val="00F71252"/>
    <w:rsid w:val="00F730FF"/>
    <w:rsid w:val="00F735AF"/>
    <w:rsid w:val="00F74183"/>
    <w:rsid w:val="00F74C92"/>
    <w:rsid w:val="00F762B5"/>
    <w:rsid w:val="00F77A1E"/>
    <w:rsid w:val="00F77B69"/>
    <w:rsid w:val="00F80C1F"/>
    <w:rsid w:val="00F817EF"/>
    <w:rsid w:val="00F83364"/>
    <w:rsid w:val="00F83F65"/>
    <w:rsid w:val="00F84468"/>
    <w:rsid w:val="00F85512"/>
    <w:rsid w:val="00F85AA2"/>
    <w:rsid w:val="00F85F8E"/>
    <w:rsid w:val="00F86D63"/>
    <w:rsid w:val="00F87681"/>
    <w:rsid w:val="00F907C6"/>
    <w:rsid w:val="00F90CB0"/>
    <w:rsid w:val="00F91970"/>
    <w:rsid w:val="00F9211E"/>
    <w:rsid w:val="00F92FDE"/>
    <w:rsid w:val="00F93F55"/>
    <w:rsid w:val="00F955B0"/>
    <w:rsid w:val="00F95688"/>
    <w:rsid w:val="00F957BA"/>
    <w:rsid w:val="00F975D6"/>
    <w:rsid w:val="00F97C89"/>
    <w:rsid w:val="00F97F1E"/>
    <w:rsid w:val="00FA1D0B"/>
    <w:rsid w:val="00FA292F"/>
    <w:rsid w:val="00FA33AA"/>
    <w:rsid w:val="00FA3E5D"/>
    <w:rsid w:val="00FA3F14"/>
    <w:rsid w:val="00FA5BA3"/>
    <w:rsid w:val="00FB00C8"/>
    <w:rsid w:val="00FB24A4"/>
    <w:rsid w:val="00FB304F"/>
    <w:rsid w:val="00FB324E"/>
    <w:rsid w:val="00FB32D8"/>
    <w:rsid w:val="00FB38B9"/>
    <w:rsid w:val="00FB3B31"/>
    <w:rsid w:val="00FB4569"/>
    <w:rsid w:val="00FB4AE7"/>
    <w:rsid w:val="00FB77FB"/>
    <w:rsid w:val="00FB7945"/>
    <w:rsid w:val="00FB7FF0"/>
    <w:rsid w:val="00FC002A"/>
    <w:rsid w:val="00FC0825"/>
    <w:rsid w:val="00FC0CCE"/>
    <w:rsid w:val="00FC1C28"/>
    <w:rsid w:val="00FC24A4"/>
    <w:rsid w:val="00FC2AAE"/>
    <w:rsid w:val="00FC3791"/>
    <w:rsid w:val="00FC3FBE"/>
    <w:rsid w:val="00FC52AE"/>
    <w:rsid w:val="00FC550D"/>
    <w:rsid w:val="00FC6EF3"/>
    <w:rsid w:val="00FD05DB"/>
    <w:rsid w:val="00FD0954"/>
    <w:rsid w:val="00FD14FB"/>
    <w:rsid w:val="00FD1ABC"/>
    <w:rsid w:val="00FD1B3C"/>
    <w:rsid w:val="00FD2C35"/>
    <w:rsid w:val="00FD2F2E"/>
    <w:rsid w:val="00FD3107"/>
    <w:rsid w:val="00FD3920"/>
    <w:rsid w:val="00FD42D2"/>
    <w:rsid w:val="00FD45CC"/>
    <w:rsid w:val="00FD543E"/>
    <w:rsid w:val="00FD6210"/>
    <w:rsid w:val="00FD6D8A"/>
    <w:rsid w:val="00FE05D9"/>
    <w:rsid w:val="00FE0DF4"/>
    <w:rsid w:val="00FE15F4"/>
    <w:rsid w:val="00FE373B"/>
    <w:rsid w:val="00FE4759"/>
    <w:rsid w:val="00FE4C7C"/>
    <w:rsid w:val="00FE55D0"/>
    <w:rsid w:val="00FE5A48"/>
    <w:rsid w:val="00FE5DA2"/>
    <w:rsid w:val="00FE61C1"/>
    <w:rsid w:val="00FE64C5"/>
    <w:rsid w:val="00FF0BB2"/>
    <w:rsid w:val="00FF0DA9"/>
    <w:rsid w:val="00FF0E00"/>
    <w:rsid w:val="00FF0FE6"/>
    <w:rsid w:val="00FF12FE"/>
    <w:rsid w:val="00FF1B82"/>
    <w:rsid w:val="00FF4426"/>
    <w:rsid w:val="00FF4BCD"/>
    <w:rsid w:val="00FF4FD0"/>
    <w:rsid w:val="00FF59E3"/>
    <w:rsid w:val="00FF6527"/>
    <w:rsid w:val="00FF69FC"/>
    <w:rsid w:val="00FF7011"/>
    <w:rsid w:val="00FF7B0A"/>
    <w:rsid w:val="010705AB"/>
    <w:rsid w:val="011514BB"/>
    <w:rsid w:val="01402F66"/>
    <w:rsid w:val="01B113F4"/>
    <w:rsid w:val="031248D4"/>
    <w:rsid w:val="0355040F"/>
    <w:rsid w:val="0398010D"/>
    <w:rsid w:val="03F87624"/>
    <w:rsid w:val="04256DAB"/>
    <w:rsid w:val="04503028"/>
    <w:rsid w:val="0566472D"/>
    <w:rsid w:val="061261D9"/>
    <w:rsid w:val="069F2485"/>
    <w:rsid w:val="07D61726"/>
    <w:rsid w:val="08877E02"/>
    <w:rsid w:val="09296423"/>
    <w:rsid w:val="09A43975"/>
    <w:rsid w:val="0AA4682B"/>
    <w:rsid w:val="0BF50BAB"/>
    <w:rsid w:val="0CD0072F"/>
    <w:rsid w:val="0D363BAE"/>
    <w:rsid w:val="0D3E7A34"/>
    <w:rsid w:val="0D416A1D"/>
    <w:rsid w:val="0DD86E4D"/>
    <w:rsid w:val="0E9C1E96"/>
    <w:rsid w:val="103F338A"/>
    <w:rsid w:val="106F6A7B"/>
    <w:rsid w:val="114A11CF"/>
    <w:rsid w:val="128A0553"/>
    <w:rsid w:val="129772B1"/>
    <w:rsid w:val="1327694B"/>
    <w:rsid w:val="13CF62D7"/>
    <w:rsid w:val="15101E85"/>
    <w:rsid w:val="15926370"/>
    <w:rsid w:val="15D85460"/>
    <w:rsid w:val="165163D9"/>
    <w:rsid w:val="16534C3D"/>
    <w:rsid w:val="16B96E5F"/>
    <w:rsid w:val="16FB6164"/>
    <w:rsid w:val="173E04B1"/>
    <w:rsid w:val="17B85EB5"/>
    <w:rsid w:val="17DF1523"/>
    <w:rsid w:val="18865673"/>
    <w:rsid w:val="189767EF"/>
    <w:rsid w:val="193E3C7D"/>
    <w:rsid w:val="19FD6AC7"/>
    <w:rsid w:val="1A683FA5"/>
    <w:rsid w:val="1C15036B"/>
    <w:rsid w:val="1D1D6DFA"/>
    <w:rsid w:val="1D422BA2"/>
    <w:rsid w:val="1D677AC7"/>
    <w:rsid w:val="1E47688D"/>
    <w:rsid w:val="1ED83927"/>
    <w:rsid w:val="1F1A5B3D"/>
    <w:rsid w:val="1FC0645B"/>
    <w:rsid w:val="20A52B0B"/>
    <w:rsid w:val="2121073C"/>
    <w:rsid w:val="247473D4"/>
    <w:rsid w:val="2616610F"/>
    <w:rsid w:val="262B0F05"/>
    <w:rsid w:val="268A16FF"/>
    <w:rsid w:val="26DF4E5F"/>
    <w:rsid w:val="27136D4D"/>
    <w:rsid w:val="27EC52AD"/>
    <w:rsid w:val="280A086F"/>
    <w:rsid w:val="28220DFE"/>
    <w:rsid w:val="29BA5631"/>
    <w:rsid w:val="29DC4014"/>
    <w:rsid w:val="29F468CE"/>
    <w:rsid w:val="2AC8206E"/>
    <w:rsid w:val="2B325FC2"/>
    <w:rsid w:val="2B6518EB"/>
    <w:rsid w:val="2C136085"/>
    <w:rsid w:val="2CF42E2A"/>
    <w:rsid w:val="2DBD10A7"/>
    <w:rsid w:val="2E8961B6"/>
    <w:rsid w:val="2E9C62B5"/>
    <w:rsid w:val="2F4501D6"/>
    <w:rsid w:val="2F534EAB"/>
    <w:rsid w:val="31AF6967"/>
    <w:rsid w:val="32076CD1"/>
    <w:rsid w:val="34257B21"/>
    <w:rsid w:val="344D717F"/>
    <w:rsid w:val="364D529E"/>
    <w:rsid w:val="36DE08B4"/>
    <w:rsid w:val="37B417AE"/>
    <w:rsid w:val="389238FA"/>
    <w:rsid w:val="38937FD2"/>
    <w:rsid w:val="38D56F5F"/>
    <w:rsid w:val="3A0B6789"/>
    <w:rsid w:val="3A30792B"/>
    <w:rsid w:val="3AA25C27"/>
    <w:rsid w:val="3B1241F2"/>
    <w:rsid w:val="3BCB03DA"/>
    <w:rsid w:val="404947C0"/>
    <w:rsid w:val="40565372"/>
    <w:rsid w:val="40953D89"/>
    <w:rsid w:val="40CA5691"/>
    <w:rsid w:val="41D7407F"/>
    <w:rsid w:val="424F46B7"/>
    <w:rsid w:val="425622E6"/>
    <w:rsid w:val="42E22237"/>
    <w:rsid w:val="43EA3FB4"/>
    <w:rsid w:val="445609DE"/>
    <w:rsid w:val="44AF5899"/>
    <w:rsid w:val="44F4766A"/>
    <w:rsid w:val="45122D46"/>
    <w:rsid w:val="45330B03"/>
    <w:rsid w:val="455A1375"/>
    <w:rsid w:val="46754484"/>
    <w:rsid w:val="476F7E04"/>
    <w:rsid w:val="47C54B72"/>
    <w:rsid w:val="47DB1273"/>
    <w:rsid w:val="49777E24"/>
    <w:rsid w:val="4C464044"/>
    <w:rsid w:val="4CE90687"/>
    <w:rsid w:val="4D166B68"/>
    <w:rsid w:val="4D4B674A"/>
    <w:rsid w:val="4D91575E"/>
    <w:rsid w:val="4DBD17C0"/>
    <w:rsid w:val="4F253B4F"/>
    <w:rsid w:val="4F3463E9"/>
    <w:rsid w:val="4F3B3009"/>
    <w:rsid w:val="4F7C2711"/>
    <w:rsid w:val="513B3885"/>
    <w:rsid w:val="52155EE9"/>
    <w:rsid w:val="525637EF"/>
    <w:rsid w:val="52602717"/>
    <w:rsid w:val="5274272F"/>
    <w:rsid w:val="53BC2C3D"/>
    <w:rsid w:val="55034069"/>
    <w:rsid w:val="569D18CD"/>
    <w:rsid w:val="56DB7CD9"/>
    <w:rsid w:val="56EA4E79"/>
    <w:rsid w:val="570C3347"/>
    <w:rsid w:val="58FC5D55"/>
    <w:rsid w:val="598655A1"/>
    <w:rsid w:val="59944FB3"/>
    <w:rsid w:val="5A2644B1"/>
    <w:rsid w:val="5B22220B"/>
    <w:rsid w:val="5B903EEA"/>
    <w:rsid w:val="5BD2459C"/>
    <w:rsid w:val="5BEB29E9"/>
    <w:rsid w:val="5BFA45A8"/>
    <w:rsid w:val="5CB9790B"/>
    <w:rsid w:val="5CFD2B3A"/>
    <w:rsid w:val="5E3B6CB5"/>
    <w:rsid w:val="5E4E75E5"/>
    <w:rsid w:val="5E791F59"/>
    <w:rsid w:val="5E897F6E"/>
    <w:rsid w:val="5F2255CB"/>
    <w:rsid w:val="5F805814"/>
    <w:rsid w:val="60CF4742"/>
    <w:rsid w:val="61EA0889"/>
    <w:rsid w:val="62A66F6E"/>
    <w:rsid w:val="632C3BB8"/>
    <w:rsid w:val="63460818"/>
    <w:rsid w:val="640E7FEA"/>
    <w:rsid w:val="648E19B1"/>
    <w:rsid w:val="64907AE7"/>
    <w:rsid w:val="668F030C"/>
    <w:rsid w:val="679440FF"/>
    <w:rsid w:val="67D212D2"/>
    <w:rsid w:val="67F3365C"/>
    <w:rsid w:val="684C0FCD"/>
    <w:rsid w:val="68697D6B"/>
    <w:rsid w:val="69B00C25"/>
    <w:rsid w:val="6A3E4024"/>
    <w:rsid w:val="6AC5513C"/>
    <w:rsid w:val="6B690146"/>
    <w:rsid w:val="6E2F3A4A"/>
    <w:rsid w:val="6FB35185"/>
    <w:rsid w:val="713D3A8E"/>
    <w:rsid w:val="72EA361E"/>
    <w:rsid w:val="73185D84"/>
    <w:rsid w:val="74085791"/>
    <w:rsid w:val="753A6E01"/>
    <w:rsid w:val="7560319B"/>
    <w:rsid w:val="758019A9"/>
    <w:rsid w:val="75855555"/>
    <w:rsid w:val="75CF0010"/>
    <w:rsid w:val="75FD4BBD"/>
    <w:rsid w:val="767B4EB6"/>
    <w:rsid w:val="76A86E68"/>
    <w:rsid w:val="779A2EDE"/>
    <w:rsid w:val="77C00F77"/>
    <w:rsid w:val="78787851"/>
    <w:rsid w:val="78A65399"/>
    <w:rsid w:val="78EF2683"/>
    <w:rsid w:val="7B1627B6"/>
    <w:rsid w:val="7C5A2449"/>
    <w:rsid w:val="7CE41D88"/>
    <w:rsid w:val="7D480840"/>
    <w:rsid w:val="7E1067E6"/>
    <w:rsid w:val="7E640E11"/>
    <w:rsid w:val="7E6A62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jc w:val="center"/>
      <w:outlineLvl w:val="0"/>
    </w:pPr>
    <w:rPr>
      <w:bCs/>
      <w:kern w:val="44"/>
      <w:sz w:val="36"/>
      <w:szCs w:val="44"/>
    </w:rPr>
  </w:style>
  <w:style w:type="paragraph" w:styleId="3">
    <w:name w:val="heading 2"/>
    <w:basedOn w:val="1"/>
    <w:next w:val="1"/>
    <w:link w:val="47"/>
    <w:qFormat/>
    <w:uiPriority w:val="9"/>
    <w:pPr>
      <w:widowControl/>
      <w:spacing w:line="520" w:lineRule="exact"/>
      <w:ind w:firstLine="592" w:firstLineChars="200"/>
      <w:jc w:val="left"/>
      <w:outlineLvl w:val="1"/>
    </w:pPr>
    <w:rPr>
      <w:rFonts w:ascii="宋体" w:hAnsi="宋体"/>
      <w:b/>
      <w:bCs/>
      <w:color w:val="222222"/>
      <w:spacing w:val="8"/>
      <w:kern w:val="0"/>
      <w:sz w:val="28"/>
      <w:szCs w:val="28"/>
      <w:shd w:val="clear" w:color="auto" w:fill="FFFFFF"/>
    </w:rPr>
  </w:style>
  <w:style w:type="paragraph" w:styleId="4">
    <w:name w:val="heading 3"/>
    <w:basedOn w:val="1"/>
    <w:next w:val="1"/>
    <w:link w:val="48"/>
    <w:unhideWhenUsed/>
    <w:qFormat/>
    <w:uiPriority w:val="0"/>
    <w:pPr>
      <w:keepNext/>
      <w:keepLines/>
      <w:spacing w:line="560" w:lineRule="exact"/>
      <w:ind w:firstLine="200" w:firstLineChars="200"/>
      <w:outlineLvl w:val="2"/>
    </w:pPr>
    <w:rPr>
      <w:b/>
      <w:bCs/>
      <w:sz w:val="28"/>
      <w:szCs w:val="32"/>
    </w:rPr>
  </w:style>
  <w:style w:type="character" w:default="1" w:styleId="22">
    <w:name w:val="Default Paragraph Font"/>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semiHidden/>
    <w:qFormat/>
    <w:uiPriority w:val="0"/>
    <w:pPr>
      <w:jc w:val="left"/>
    </w:pPr>
  </w:style>
  <w:style w:type="paragraph" w:styleId="7">
    <w:name w:val="Salutation"/>
    <w:basedOn w:val="1"/>
    <w:next w:val="1"/>
    <w:link w:val="31"/>
    <w:qFormat/>
    <w:uiPriority w:val="0"/>
    <w:rPr>
      <w:rFonts w:eastAsia="仿宋_GB2312"/>
      <w:sz w:val="28"/>
    </w:rPr>
  </w:style>
  <w:style w:type="paragraph" w:styleId="8">
    <w:name w:val="Body Text Indent"/>
    <w:basedOn w:val="1"/>
    <w:link w:val="60"/>
    <w:qFormat/>
    <w:uiPriority w:val="0"/>
    <w:pPr>
      <w:ind w:firstLine="560" w:firstLineChars="200"/>
    </w:pPr>
    <w:rPr>
      <w:rFonts w:ascii="仿宋_GB2312" w:eastAsia="仿宋_GB2312"/>
      <w:sz w:val="28"/>
    </w:rPr>
  </w:style>
  <w:style w:type="paragraph" w:styleId="9">
    <w:name w:val="toc 3"/>
    <w:basedOn w:val="1"/>
    <w:next w:val="1"/>
    <w:qFormat/>
    <w:uiPriority w:val="39"/>
    <w:pPr>
      <w:ind w:left="840" w:leftChars="400"/>
    </w:pPr>
  </w:style>
  <w:style w:type="paragraph" w:styleId="10">
    <w:name w:val="Plain Text"/>
    <w:basedOn w:val="1"/>
    <w:link w:val="35"/>
    <w:qFormat/>
    <w:uiPriority w:val="0"/>
    <w:rPr>
      <w:rFonts w:ascii="宋体" w:hAnsi="Courier New"/>
      <w:szCs w:val="20"/>
    </w:rPr>
  </w:style>
  <w:style w:type="paragraph" w:styleId="11">
    <w:name w:val="Date"/>
    <w:basedOn w:val="1"/>
    <w:next w:val="1"/>
    <w:qFormat/>
    <w:uiPriority w:val="0"/>
    <w:pPr>
      <w:ind w:left="100" w:leftChars="2500"/>
    </w:pPr>
    <w:rPr>
      <w:rFonts w:ascii="楷体_GB2312" w:eastAsia="楷体_GB2312"/>
      <w:color w:val="FF0000"/>
      <w:sz w:val="28"/>
    </w:rPr>
  </w:style>
  <w:style w:type="paragraph" w:styleId="12">
    <w:name w:val="Balloon Text"/>
    <w:basedOn w:val="1"/>
    <w:semiHidden/>
    <w:qFormat/>
    <w:uiPriority w:val="0"/>
    <w:rPr>
      <w:sz w:val="18"/>
      <w:szCs w:val="18"/>
    </w:rPr>
  </w:style>
  <w:style w:type="paragraph" w:styleId="13">
    <w:name w:val="footer"/>
    <w:basedOn w:val="1"/>
    <w:link w:val="66"/>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6"/>
    <w:next w:val="6"/>
    <w:semiHidden/>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character" w:customStyle="1" w:styleId="27">
    <w:name w:val="tpc_content"/>
    <w:basedOn w:val="22"/>
    <w:qFormat/>
    <w:uiPriority w:val="0"/>
  </w:style>
  <w:style w:type="character" w:customStyle="1" w:styleId="28">
    <w:name w:val="nb_dis"/>
    <w:basedOn w:val="22"/>
    <w:qFormat/>
    <w:uiPriority w:val="0"/>
  </w:style>
  <w:style w:type="character" w:customStyle="1" w:styleId="29">
    <w:name w:val="normal1"/>
    <w:qFormat/>
    <w:uiPriority w:val="0"/>
    <w:rPr>
      <w:rFonts w:hint="default" w:ascii="Tahoma" w:hAnsi="Tahoma" w:cs="Tahoma"/>
      <w:sz w:val="18"/>
      <w:szCs w:val="18"/>
    </w:rPr>
  </w:style>
  <w:style w:type="character" w:customStyle="1" w:styleId="30">
    <w:name w:val="img_wrapper_img_descr"/>
    <w:qFormat/>
    <w:uiPriority w:val="0"/>
  </w:style>
  <w:style w:type="character" w:customStyle="1" w:styleId="31">
    <w:name w:val="称呼 Char"/>
    <w:link w:val="7"/>
    <w:qFormat/>
    <w:uiPriority w:val="0"/>
    <w:rPr>
      <w:rFonts w:eastAsia="仿宋_GB2312"/>
      <w:kern w:val="2"/>
      <w:sz w:val="28"/>
      <w:szCs w:val="24"/>
    </w:rPr>
  </w:style>
  <w:style w:type="character" w:customStyle="1" w:styleId="32">
    <w:name w:val="apple-converted-space"/>
    <w:qFormat/>
    <w:uiPriority w:val="0"/>
  </w:style>
  <w:style w:type="character" w:customStyle="1" w:styleId="33">
    <w:name w:val="cctt"/>
    <w:basedOn w:val="22"/>
    <w:qFormat/>
    <w:uiPriority w:val="0"/>
  </w:style>
  <w:style w:type="character" w:customStyle="1" w:styleId="34">
    <w:name w:val="ellipsis"/>
    <w:basedOn w:val="22"/>
    <w:qFormat/>
    <w:uiPriority w:val="0"/>
  </w:style>
  <w:style w:type="character" w:customStyle="1" w:styleId="35">
    <w:name w:val="纯文本 Char"/>
    <w:link w:val="10"/>
    <w:qFormat/>
    <w:locked/>
    <w:uiPriority w:val="0"/>
    <w:rPr>
      <w:rFonts w:ascii="宋体" w:hAnsi="Courier New" w:eastAsia="宋体"/>
      <w:kern w:val="2"/>
      <w:sz w:val="21"/>
      <w:lang w:val="en-US" w:eastAsia="zh-CN" w:bidi="ar-SA"/>
    </w:rPr>
  </w:style>
  <w:style w:type="character" w:customStyle="1" w:styleId="36">
    <w:name w:val="style11"/>
    <w:qFormat/>
    <w:uiPriority w:val="0"/>
    <w:rPr>
      <w:color w:val="000000"/>
    </w:rPr>
  </w:style>
  <w:style w:type="paragraph" w:customStyle="1" w:styleId="37">
    <w:name w:val="Char Char"/>
    <w:basedOn w:val="1"/>
    <w:qFormat/>
    <w:uiPriority w:val="0"/>
    <w:rPr>
      <w:szCs w:val="20"/>
    </w:rPr>
  </w:style>
  <w:style w:type="paragraph" w:customStyle="1" w:styleId="38">
    <w:name w:val="defaultfon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Char"/>
    <w:basedOn w:val="1"/>
    <w:qFormat/>
    <w:uiPriority w:val="0"/>
    <w:rPr>
      <w:rFonts w:ascii="Tahoma" w:hAnsi="Tahoma"/>
      <w:sz w:val="24"/>
      <w:szCs w:val="20"/>
    </w:rPr>
  </w:style>
  <w:style w:type="paragraph" w:customStyle="1" w:styleId="40">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1">
    <w:name w:val="表"/>
    <w:basedOn w:val="1"/>
    <w:qFormat/>
    <w:uiPriority w:val="0"/>
    <w:pPr>
      <w:spacing w:beforeLines="10" w:afterLines="10"/>
      <w:jc w:val="center"/>
    </w:pPr>
    <w:rPr>
      <w:szCs w:val="20"/>
    </w:rPr>
  </w:style>
  <w:style w:type="paragraph" w:customStyle="1" w:styleId="42">
    <w:name w:val="_Style 19"/>
    <w:basedOn w:val="1"/>
    <w:qFormat/>
    <w:uiPriority w:val="0"/>
    <w:rPr>
      <w:szCs w:val="20"/>
    </w:rPr>
  </w:style>
  <w:style w:type="paragraph" w:customStyle="1" w:styleId="43">
    <w:name w:val="Char Char1 Char Char Char Char"/>
    <w:basedOn w:val="1"/>
    <w:qFormat/>
    <w:uiPriority w:val="0"/>
    <w:rPr>
      <w:szCs w:val="20"/>
    </w:rPr>
  </w:style>
  <w:style w:type="paragraph" w:customStyle="1" w:styleId="44">
    <w:name w:val="Char Char1 Char Char Char Char Char Char1 Char Char"/>
    <w:basedOn w:val="1"/>
    <w:qFormat/>
    <w:uiPriority w:val="0"/>
    <w:rPr>
      <w:szCs w:val="20"/>
    </w:rPr>
  </w:style>
  <w:style w:type="paragraph" w:customStyle="1" w:styleId="45">
    <w:name w:val="f_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6">
    <w:name w:val="标题 1 Char"/>
    <w:link w:val="2"/>
    <w:qFormat/>
    <w:uiPriority w:val="0"/>
    <w:rPr>
      <w:bCs/>
      <w:kern w:val="44"/>
      <w:sz w:val="36"/>
      <w:szCs w:val="44"/>
    </w:rPr>
  </w:style>
  <w:style w:type="character" w:customStyle="1" w:styleId="47">
    <w:name w:val="标题 2 Char"/>
    <w:link w:val="3"/>
    <w:qFormat/>
    <w:uiPriority w:val="9"/>
    <w:rPr>
      <w:rFonts w:ascii="宋体" w:hAnsi="宋体" w:eastAsia="宋体"/>
      <w:b/>
      <w:bCs/>
      <w:color w:val="222222"/>
      <w:spacing w:val="8"/>
      <w:sz w:val="28"/>
      <w:szCs w:val="28"/>
    </w:rPr>
  </w:style>
  <w:style w:type="character" w:customStyle="1" w:styleId="48">
    <w:name w:val="标题 3 Char"/>
    <w:link w:val="4"/>
    <w:qFormat/>
    <w:uiPriority w:val="0"/>
    <w:rPr>
      <w:rFonts w:eastAsia="宋体"/>
      <w:b/>
      <w:bCs/>
      <w:kern w:val="2"/>
      <w:sz w:val="28"/>
      <w:szCs w:val="32"/>
    </w:rPr>
  </w:style>
  <w:style w:type="paragraph" w:customStyle="1" w:styleId="49">
    <w:name w:val="TOC 标题1"/>
    <w:basedOn w:val="2"/>
    <w:next w:val="1"/>
    <w:unhideWhenUsed/>
    <w:qFormat/>
    <w:uiPriority w:val="39"/>
    <w:pPr>
      <w:widowControl/>
      <w:spacing w:before="240" w:line="259" w:lineRule="auto"/>
      <w:jc w:val="left"/>
      <w:outlineLvl w:val="9"/>
    </w:pPr>
    <w:rPr>
      <w:rFonts w:ascii="Calibri Light" w:hAnsi="Calibri Light"/>
      <w:bCs w:val="0"/>
      <w:color w:val="2E74B5"/>
      <w:kern w:val="0"/>
      <w:sz w:val="32"/>
      <w:szCs w:val="32"/>
    </w:rPr>
  </w:style>
  <w:style w:type="character" w:customStyle="1" w:styleId="50">
    <w:name w:val="font61"/>
    <w:basedOn w:val="22"/>
    <w:qFormat/>
    <w:uiPriority w:val="0"/>
    <w:rPr>
      <w:rFonts w:hint="eastAsia" w:ascii="宋体" w:hAnsi="宋体" w:eastAsia="宋体" w:cs="宋体"/>
      <w:color w:val="000000"/>
      <w:sz w:val="24"/>
      <w:szCs w:val="24"/>
      <w:u w:val="none"/>
    </w:rPr>
  </w:style>
  <w:style w:type="character" w:customStyle="1" w:styleId="51">
    <w:name w:val="font51"/>
    <w:basedOn w:val="22"/>
    <w:qFormat/>
    <w:uiPriority w:val="0"/>
    <w:rPr>
      <w:rFonts w:hint="default" w:ascii="仿宋_GB2312" w:eastAsia="仿宋_GB2312" w:cs="仿宋_GB2312"/>
      <w:color w:val="000000"/>
      <w:sz w:val="24"/>
      <w:szCs w:val="24"/>
      <w:u w:val="none"/>
    </w:rPr>
  </w:style>
  <w:style w:type="character" w:customStyle="1" w:styleId="52">
    <w:name w:val="font01"/>
    <w:basedOn w:val="22"/>
    <w:qFormat/>
    <w:uiPriority w:val="0"/>
    <w:rPr>
      <w:rFonts w:hint="default" w:ascii="仿宋_GB2312" w:eastAsia="仿宋_GB2312" w:cs="仿宋_GB2312"/>
      <w:color w:val="000000"/>
      <w:sz w:val="24"/>
      <w:szCs w:val="24"/>
      <w:u w:val="none"/>
      <w:vertAlign w:val="superscript"/>
    </w:rPr>
  </w:style>
  <w:style w:type="character" w:customStyle="1" w:styleId="53">
    <w:name w:val="font41"/>
    <w:basedOn w:val="22"/>
    <w:qFormat/>
    <w:uiPriority w:val="0"/>
    <w:rPr>
      <w:rFonts w:hint="default" w:ascii="仿宋_GB2312" w:eastAsia="仿宋_GB2312" w:cs="仿宋_GB2312"/>
      <w:color w:val="000000"/>
      <w:sz w:val="24"/>
      <w:szCs w:val="24"/>
      <w:u w:val="none"/>
    </w:rPr>
  </w:style>
  <w:style w:type="character" w:customStyle="1" w:styleId="54">
    <w:name w:val="font31"/>
    <w:basedOn w:val="22"/>
    <w:qFormat/>
    <w:uiPriority w:val="0"/>
    <w:rPr>
      <w:rFonts w:hint="eastAsia" w:ascii="宋体" w:hAnsi="宋体" w:eastAsia="宋体" w:cs="宋体"/>
      <w:color w:val="000000"/>
      <w:sz w:val="24"/>
      <w:szCs w:val="24"/>
      <w:u w:val="none"/>
    </w:rPr>
  </w:style>
  <w:style w:type="character" w:customStyle="1" w:styleId="55">
    <w:name w:val="font21"/>
    <w:basedOn w:val="22"/>
    <w:qFormat/>
    <w:uiPriority w:val="0"/>
    <w:rPr>
      <w:rFonts w:hint="default" w:ascii="仿宋_GB2312" w:eastAsia="仿宋_GB2312" w:cs="仿宋_GB2312"/>
      <w:color w:val="000000"/>
      <w:sz w:val="24"/>
      <w:szCs w:val="24"/>
      <w:u w:val="none"/>
    </w:rPr>
  </w:style>
  <w:style w:type="character" w:customStyle="1" w:styleId="56">
    <w:name w:val="font11"/>
    <w:basedOn w:val="22"/>
    <w:qFormat/>
    <w:uiPriority w:val="0"/>
    <w:rPr>
      <w:rFonts w:hint="eastAsia" w:ascii="宋体" w:hAnsi="宋体" w:eastAsia="宋体" w:cs="宋体"/>
      <w:color w:val="000000"/>
      <w:sz w:val="21"/>
      <w:szCs w:val="21"/>
      <w:u w:val="none"/>
    </w:rPr>
  </w:style>
  <w:style w:type="paragraph" w:styleId="57">
    <w:name w:val="List Paragraph"/>
    <w:basedOn w:val="1"/>
    <w:qFormat/>
    <w:uiPriority w:val="99"/>
    <w:pPr>
      <w:ind w:firstLine="420" w:firstLineChars="200"/>
    </w:pPr>
  </w:style>
  <w:style w:type="character" w:customStyle="1" w:styleId="58">
    <w:name w:val="称呼 Char1"/>
    <w:qFormat/>
    <w:uiPriority w:val="0"/>
    <w:rPr>
      <w:rFonts w:eastAsia="仿宋_GB2312"/>
      <w:kern w:val="2"/>
      <w:sz w:val="28"/>
      <w:szCs w:val="24"/>
    </w:rPr>
  </w:style>
  <w:style w:type="paragraph" w:customStyle="1" w:styleId="59">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60">
    <w:name w:val="正文文本缩进 Char"/>
    <w:basedOn w:val="22"/>
    <w:link w:val="8"/>
    <w:qFormat/>
    <w:uiPriority w:val="0"/>
    <w:rPr>
      <w:rFonts w:ascii="仿宋_GB2312" w:eastAsia="仿宋_GB2312"/>
      <w:kern w:val="2"/>
      <w:sz w:val="28"/>
      <w:szCs w:val="24"/>
    </w:rPr>
  </w:style>
  <w:style w:type="character" w:customStyle="1" w:styleId="61">
    <w:name w:val="hei141"/>
    <w:qFormat/>
    <w:uiPriority w:val="0"/>
    <w:rPr>
      <w:color w:val="000000"/>
      <w:sz w:val="21"/>
      <w:szCs w:val="21"/>
    </w:rPr>
  </w:style>
  <w:style w:type="character" w:customStyle="1" w:styleId="62">
    <w:name w:val="纯文本 Char1"/>
    <w:qFormat/>
    <w:uiPriority w:val="0"/>
    <w:rPr>
      <w:rFonts w:ascii="宋体" w:hAnsi="Courier New" w:eastAsia="宋体"/>
      <w:kern w:val="2"/>
      <w:sz w:val="21"/>
      <w:lang w:val="en-US" w:eastAsia="zh-CN" w:bidi="ar-SA"/>
    </w:rPr>
  </w:style>
  <w:style w:type="paragraph" w:customStyle="1" w:styleId="63">
    <w:name w:val="Char1"/>
    <w:basedOn w:val="1"/>
    <w:uiPriority w:val="0"/>
  </w:style>
  <w:style w:type="character" w:customStyle="1" w:styleId="64">
    <w:name w:val="fontstyle01"/>
    <w:basedOn w:val="22"/>
    <w:qFormat/>
    <w:uiPriority w:val="0"/>
    <w:rPr>
      <w:rFonts w:hint="eastAsia" w:ascii="宋体" w:hAnsi="宋体" w:eastAsia="宋体"/>
      <w:color w:val="000000"/>
      <w:sz w:val="30"/>
      <w:szCs w:val="30"/>
    </w:rPr>
  </w:style>
  <w:style w:type="paragraph" w:customStyle="1" w:styleId="65">
    <w:name w:val="Heading2"/>
    <w:basedOn w:val="1"/>
    <w:next w:val="1"/>
    <w:qFormat/>
    <w:uiPriority w:val="0"/>
    <w:pPr>
      <w:widowControl/>
      <w:spacing w:line="540" w:lineRule="exact"/>
      <w:ind w:firstLine="594" w:firstLineChars="200"/>
      <w:textAlignment w:val="baseline"/>
    </w:pPr>
    <w:rPr>
      <w:rFonts w:ascii="宋体" w:hAnsi="宋体"/>
      <w:b/>
      <w:bCs/>
      <w:color w:val="222222"/>
      <w:spacing w:val="8"/>
      <w:kern w:val="0"/>
      <w:sz w:val="28"/>
      <w:szCs w:val="28"/>
    </w:rPr>
  </w:style>
  <w:style w:type="character" w:customStyle="1" w:styleId="66">
    <w:name w:val="页脚 Char"/>
    <w:basedOn w:val="22"/>
    <w:link w:val="1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58746-20C5-45B2-9675-9C87C033855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30853</Words>
  <Characters>33467</Characters>
  <Lines>264</Lines>
  <Paragraphs>74</Paragraphs>
  <TotalTime>62</TotalTime>
  <ScaleCrop>false</ScaleCrop>
  <LinksUpToDate>false</LinksUpToDate>
  <CharactersWithSpaces>34131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2020-01-03T03:00:00Z</dcterms:created>
  <dc:creator>微软用户</dc:creator>
  <cp:lastModifiedBy>admin</cp:lastModifiedBy>
  <cp:lastPrinted>2021-08-19T08:52:00Z</cp:lastPrinted>
  <dcterms:modified xsi:type="dcterms:W3CDTF">2022-11-04T06:53:00Z</dcterms:modified>
  <dc:title>估价项目名称：山东德棉集团有限公司所属德州顺河西路18号房产抵押估价报告</dc:title>
  <cp:revision>719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DCE82EA5BF7D40A994D2AECEED6978C9</vt:lpwstr>
  </property>
</Properties>
</file>