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b/>
          <w:sz w:val="72"/>
          <w:szCs w:val="72"/>
        </w:rPr>
      </w:pPr>
    </w:p>
    <w:p>
      <w:pPr>
        <w:widowControl/>
        <w:jc w:val="left"/>
        <w:rPr>
          <w:rFonts w:ascii="宋体" w:hAnsi="宋体"/>
          <w:b/>
          <w:sz w:val="72"/>
          <w:szCs w:val="72"/>
        </w:rPr>
      </w:pPr>
    </w:p>
    <w:p>
      <w:pPr>
        <w:spacing w:line="360" w:lineRule="auto"/>
        <w:jc w:val="center"/>
        <w:rPr>
          <w:rFonts w:ascii="宋体" w:hAnsi="宋体"/>
          <w:b/>
          <w:sz w:val="72"/>
          <w:szCs w:val="72"/>
        </w:rPr>
      </w:pPr>
      <w:r>
        <w:rPr>
          <w:rFonts w:hint="eastAsia" w:ascii="宋体" w:hAnsi="宋体"/>
          <w:b/>
          <w:sz w:val="72"/>
          <w:szCs w:val="72"/>
        </w:rPr>
        <w:t>房地产估价报告</w:t>
      </w:r>
    </w:p>
    <w:p>
      <w:pPr>
        <w:spacing w:line="360" w:lineRule="auto"/>
        <w:jc w:val="center"/>
        <w:rPr>
          <w:rFonts w:ascii="宋体" w:hAnsi="宋体"/>
          <w:sz w:val="28"/>
          <w:szCs w:val="28"/>
        </w:rPr>
      </w:pPr>
      <w:r>
        <w:rPr>
          <w:rFonts w:hint="eastAsia" w:ascii="宋体" w:hAnsi="宋体"/>
          <w:sz w:val="28"/>
          <w:szCs w:val="28"/>
        </w:rPr>
        <w:t>山东鲁业法鉴（2022）字第0088号</w:t>
      </w:r>
    </w:p>
    <w:p>
      <w:pPr>
        <w:spacing w:line="360" w:lineRule="auto"/>
        <w:jc w:val="center"/>
        <w:rPr>
          <w:rFonts w:ascii="宋体" w:hAnsi="宋体"/>
          <w:sz w:val="36"/>
          <w:szCs w:val="36"/>
        </w:rPr>
      </w:pPr>
    </w:p>
    <w:p>
      <w:pPr>
        <w:spacing w:line="360" w:lineRule="auto"/>
        <w:ind w:firstLine="720" w:firstLineChars="200"/>
        <w:jc w:val="center"/>
        <w:rPr>
          <w:rFonts w:ascii="宋体" w:hAnsi="宋体"/>
          <w:sz w:val="36"/>
          <w:szCs w:val="36"/>
        </w:rPr>
      </w:pPr>
    </w:p>
    <w:p>
      <w:pPr>
        <w:spacing w:line="360" w:lineRule="auto"/>
        <w:ind w:firstLine="720" w:firstLineChars="200"/>
        <w:rPr>
          <w:rFonts w:ascii="宋体" w:hAnsi="宋体"/>
          <w:sz w:val="36"/>
          <w:szCs w:val="36"/>
        </w:rPr>
      </w:pPr>
    </w:p>
    <w:p>
      <w:pPr>
        <w:spacing w:line="360" w:lineRule="auto"/>
        <w:ind w:firstLine="720" w:firstLineChars="200"/>
        <w:rPr>
          <w:rFonts w:ascii="宋体" w:hAnsi="宋体"/>
          <w:sz w:val="36"/>
          <w:szCs w:val="36"/>
        </w:rPr>
      </w:pPr>
      <w:bookmarkStart w:id="34" w:name="_GoBack"/>
      <w:bookmarkEnd w:id="34"/>
    </w:p>
    <w:p>
      <w:pPr>
        <w:spacing w:line="360" w:lineRule="auto"/>
        <w:ind w:firstLine="720" w:firstLineChars="200"/>
        <w:rPr>
          <w:rFonts w:ascii="宋体" w:hAnsi="宋体"/>
          <w:sz w:val="36"/>
          <w:szCs w:val="36"/>
        </w:rPr>
      </w:pPr>
    </w:p>
    <w:p>
      <w:pPr>
        <w:spacing w:line="360" w:lineRule="auto"/>
        <w:ind w:firstLine="720" w:firstLineChars="200"/>
        <w:rPr>
          <w:rFonts w:ascii="宋体" w:hAnsi="宋体"/>
          <w:sz w:val="36"/>
          <w:szCs w:val="36"/>
        </w:rPr>
      </w:pPr>
    </w:p>
    <w:p>
      <w:pPr>
        <w:spacing w:line="360" w:lineRule="auto"/>
        <w:ind w:left="1950" w:right="363" w:rightChars="173" w:hanging="2738" w:hangingChars="650"/>
        <w:rPr>
          <w:rFonts w:ascii="宋体" w:hAnsi="宋体"/>
          <w:sz w:val="28"/>
          <w:szCs w:val="28"/>
        </w:rPr>
      </w:pPr>
      <w:r>
        <w:rPr>
          <w:rFonts w:hint="eastAsia" w:ascii="宋体" w:hAnsi="宋体"/>
          <w:b/>
          <w:spacing w:val="60"/>
          <w:kern w:val="0"/>
          <w:sz w:val="30"/>
          <w:szCs w:val="30"/>
        </w:rPr>
        <w:t>估价项目名</w:t>
      </w:r>
      <w:r>
        <w:rPr>
          <w:rFonts w:hint="eastAsia" w:ascii="宋体" w:hAnsi="宋体"/>
          <w:b/>
          <w:kern w:val="0"/>
          <w:sz w:val="30"/>
          <w:szCs w:val="30"/>
        </w:rPr>
        <w:t>称</w:t>
      </w:r>
      <w:r>
        <w:rPr>
          <w:rFonts w:hint="eastAsia" w:ascii="宋体" w:hAnsi="宋体"/>
          <w:b/>
          <w:sz w:val="30"/>
          <w:szCs w:val="30"/>
        </w:rPr>
        <w:t>：</w:t>
      </w:r>
      <w:r>
        <w:rPr>
          <w:rFonts w:hint="eastAsia" w:ascii="宋体" w:hAnsi="宋体"/>
          <w:bCs/>
          <w:sz w:val="28"/>
          <w:szCs w:val="28"/>
          <w:lang w:eastAsia="zh-CN"/>
        </w:rPr>
        <w:t>杨光</w:t>
      </w:r>
      <w:r>
        <w:rPr>
          <w:rFonts w:hint="eastAsia" w:ascii="宋体" w:hAnsi="宋体"/>
          <w:bCs/>
          <w:sz w:val="28"/>
          <w:szCs w:val="28"/>
        </w:rPr>
        <w:t>所属的位于</w:t>
      </w:r>
      <w:r>
        <w:rPr>
          <w:rFonts w:hint="eastAsia" w:ascii="宋体" w:hAnsi="宋体"/>
          <w:bCs/>
          <w:sz w:val="28"/>
          <w:szCs w:val="28"/>
          <w:lang w:eastAsia="zh-CN"/>
        </w:rPr>
        <w:t>诸城市龙源街133号7号楼1单元501室及11号附房</w:t>
      </w:r>
      <w:r>
        <w:rPr>
          <w:rFonts w:hint="eastAsia" w:ascii="宋体" w:hAnsi="宋体"/>
          <w:bCs/>
          <w:sz w:val="28"/>
          <w:szCs w:val="28"/>
        </w:rPr>
        <w:t>房地产价值评估</w:t>
      </w:r>
    </w:p>
    <w:p>
      <w:pPr>
        <w:spacing w:line="360" w:lineRule="auto"/>
        <w:rPr>
          <w:rFonts w:ascii="宋体" w:hAnsi="宋体"/>
          <w:sz w:val="28"/>
          <w:szCs w:val="28"/>
        </w:rPr>
      </w:pPr>
      <w:r>
        <w:rPr>
          <w:rFonts w:hint="eastAsia" w:ascii="宋体" w:hAnsi="宋体"/>
          <w:b/>
          <w:spacing w:val="112"/>
          <w:kern w:val="0"/>
          <w:sz w:val="30"/>
          <w:szCs w:val="30"/>
        </w:rPr>
        <w:t>估价委托</w:t>
      </w:r>
      <w:r>
        <w:rPr>
          <w:rFonts w:hint="eastAsia" w:ascii="宋体" w:hAnsi="宋体"/>
          <w:b/>
          <w:spacing w:val="2"/>
          <w:kern w:val="0"/>
          <w:sz w:val="30"/>
          <w:szCs w:val="30"/>
        </w:rPr>
        <w:t>人</w:t>
      </w:r>
      <w:r>
        <w:rPr>
          <w:rFonts w:hint="eastAsia" w:ascii="宋体" w:hAnsi="宋体"/>
          <w:b/>
          <w:sz w:val="30"/>
          <w:szCs w:val="30"/>
        </w:rPr>
        <w:t>：</w:t>
      </w:r>
      <w:r>
        <w:rPr>
          <w:rFonts w:hint="eastAsia" w:ascii="宋体" w:hAnsi="宋体"/>
          <w:sz w:val="28"/>
          <w:szCs w:val="28"/>
        </w:rPr>
        <w:t>山东省诸城市人民法院</w:t>
      </w:r>
    </w:p>
    <w:p>
      <w:pPr>
        <w:spacing w:line="360" w:lineRule="auto"/>
        <w:rPr>
          <w:rFonts w:ascii="宋体" w:hAnsi="宋体"/>
          <w:sz w:val="32"/>
          <w:szCs w:val="32"/>
        </w:rPr>
      </w:pPr>
      <w:r>
        <w:rPr>
          <w:rFonts w:hint="eastAsia" w:ascii="宋体" w:hAnsi="宋体"/>
          <w:b/>
          <w:spacing w:val="25"/>
          <w:kern w:val="0"/>
          <w:sz w:val="30"/>
          <w:szCs w:val="30"/>
        </w:rPr>
        <w:t>房地产估价机</w:t>
      </w:r>
      <w:r>
        <w:rPr>
          <w:rFonts w:hint="eastAsia" w:ascii="宋体" w:hAnsi="宋体"/>
          <w:b/>
          <w:kern w:val="0"/>
          <w:sz w:val="30"/>
          <w:szCs w:val="30"/>
        </w:rPr>
        <w:t>构</w:t>
      </w:r>
      <w:r>
        <w:rPr>
          <w:rFonts w:hint="eastAsia" w:ascii="宋体" w:hAnsi="宋体"/>
          <w:b/>
          <w:sz w:val="30"/>
          <w:szCs w:val="30"/>
        </w:rPr>
        <w:t>：</w:t>
      </w:r>
      <w:r>
        <w:rPr>
          <w:rFonts w:hint="eastAsia" w:ascii="宋体" w:hAnsi="宋体"/>
          <w:sz w:val="28"/>
          <w:szCs w:val="28"/>
        </w:rPr>
        <w:t>山东鲁业房地产土地评估有限公司</w:t>
      </w:r>
    </w:p>
    <w:p>
      <w:pPr>
        <w:spacing w:line="360" w:lineRule="auto"/>
        <w:rPr>
          <w:rFonts w:ascii="宋体" w:hAnsi="宋体"/>
          <w:sz w:val="30"/>
          <w:szCs w:val="30"/>
        </w:rPr>
      </w:pPr>
      <w:r>
        <w:rPr>
          <w:rFonts w:hint="eastAsia" w:ascii="宋体" w:hAnsi="宋体"/>
          <w:b/>
          <w:sz w:val="30"/>
          <w:szCs w:val="30"/>
        </w:rPr>
        <w:t>注册房地产估价师：</w:t>
      </w:r>
      <w:r>
        <w:rPr>
          <w:rFonts w:hint="eastAsia" w:ascii="宋体" w:hAnsi="宋体"/>
          <w:sz w:val="28"/>
          <w:szCs w:val="28"/>
        </w:rPr>
        <w:t>宋佳英    注册号：3720030089</w:t>
      </w:r>
      <w:r>
        <w:rPr>
          <w:rFonts w:hint="eastAsia" w:ascii="宋体" w:hAnsi="宋体"/>
          <w:sz w:val="30"/>
          <w:szCs w:val="30"/>
        </w:rPr>
        <w:t xml:space="preserve">      </w:t>
      </w:r>
    </w:p>
    <w:p>
      <w:pPr>
        <w:spacing w:line="360" w:lineRule="auto"/>
        <w:ind w:firstLine="2800" w:firstLineChars="1000"/>
        <w:rPr>
          <w:rFonts w:ascii="宋体" w:hAnsi="宋体"/>
          <w:sz w:val="28"/>
          <w:szCs w:val="28"/>
        </w:rPr>
      </w:pPr>
      <w:r>
        <w:rPr>
          <w:rFonts w:hint="eastAsia" w:ascii="宋体" w:hAnsi="宋体"/>
          <w:sz w:val="28"/>
          <w:szCs w:val="28"/>
        </w:rPr>
        <w:t>徐洪波    注册号：3720000018</w:t>
      </w:r>
    </w:p>
    <w:p>
      <w:pPr>
        <w:spacing w:line="360" w:lineRule="auto"/>
        <w:rPr>
          <w:b/>
        </w:rPr>
      </w:pPr>
      <w:r>
        <w:rPr>
          <w:rFonts w:hint="eastAsia" w:ascii="宋体" w:hAnsi="宋体"/>
          <w:b/>
          <w:sz w:val="30"/>
          <w:szCs w:val="30"/>
        </w:rPr>
        <w:t>估价报告出具日期：</w:t>
      </w:r>
      <w:r>
        <w:rPr>
          <w:rFonts w:hint="eastAsia" w:ascii="宋体" w:hAnsi="宋体"/>
          <w:sz w:val="28"/>
          <w:szCs w:val="28"/>
        </w:rPr>
        <w:t>二〇二二年九月十五日</w:t>
      </w:r>
      <w:r>
        <w:rPr>
          <w:szCs w:val="28"/>
        </w:rPr>
        <w:br w:type="page"/>
      </w:r>
      <w:r>
        <w:rPr>
          <w:rFonts w:hint="eastAsia"/>
          <w:szCs w:val="28"/>
        </w:rPr>
        <w:t xml:space="preserve">                        </w:t>
      </w:r>
      <w:r>
        <w:rPr>
          <w:rFonts w:hint="eastAsia" w:ascii="宋体" w:hAnsi="宋体"/>
          <w:b/>
          <w:bCs/>
          <w:sz w:val="52"/>
        </w:rPr>
        <w:t>致估价委托人函</w:t>
      </w:r>
    </w:p>
    <w:p>
      <w:pPr>
        <w:pStyle w:val="3"/>
        <w:tabs>
          <w:tab w:val="left" w:pos="3285"/>
        </w:tabs>
        <w:spacing w:line="360" w:lineRule="auto"/>
        <w:ind w:left="0" w:leftChars="0"/>
        <w:jc w:val="left"/>
        <w:rPr>
          <w:rFonts w:ascii="宋体" w:hAnsi="宋体" w:cs="宋体"/>
          <w:b/>
          <w:sz w:val="24"/>
        </w:rPr>
      </w:pPr>
      <w:r>
        <w:rPr>
          <w:rFonts w:hint="eastAsia" w:ascii="宋体" w:hAnsi="宋体" w:cs="宋体"/>
          <w:b/>
          <w:sz w:val="24"/>
        </w:rPr>
        <w:t>山东省诸城市人民法院：</w:t>
      </w:r>
    </w:p>
    <w:p>
      <w:pPr>
        <w:spacing w:line="360" w:lineRule="auto"/>
        <w:ind w:firstLine="403" w:firstLineChars="168"/>
        <w:rPr>
          <w:rFonts w:ascii="宋体" w:hAnsi="宋体" w:cs="宋体"/>
          <w:sz w:val="24"/>
        </w:rPr>
      </w:pPr>
      <w:r>
        <w:rPr>
          <w:rFonts w:hint="eastAsia" w:ascii="宋体" w:hAnsi="宋体" w:cs="宋体"/>
          <w:sz w:val="24"/>
        </w:rPr>
        <w:t>受贵法院委托，我公司本乘着客观、公正、科学、独立的原则，组织评估人员于2022年</w:t>
      </w:r>
      <w:r>
        <w:rPr>
          <w:rFonts w:hint="eastAsia" w:ascii="宋体" w:hAnsi="宋体" w:cs="宋体"/>
          <w:sz w:val="24"/>
          <w:lang w:eastAsia="zh-CN"/>
        </w:rPr>
        <w:t>9月6日</w:t>
      </w:r>
      <w:r>
        <w:rPr>
          <w:rFonts w:hint="eastAsia" w:ascii="宋体" w:hAnsi="宋体" w:cs="宋体"/>
          <w:sz w:val="24"/>
        </w:rPr>
        <w:t>对贵单位委托的</w:t>
      </w:r>
      <w:r>
        <w:rPr>
          <w:rFonts w:hint="eastAsia" w:ascii="宋体" w:hAnsi="宋体" w:cs="宋体"/>
          <w:sz w:val="24"/>
          <w:lang w:eastAsia="zh-CN"/>
        </w:rPr>
        <w:t>诸城市龙源街133号7号楼1单元501室及11号附房</w:t>
      </w:r>
      <w:r>
        <w:rPr>
          <w:rFonts w:hint="eastAsia" w:ascii="宋体" w:hAnsi="宋体" w:cs="宋体"/>
          <w:sz w:val="24"/>
        </w:rPr>
        <w:t>进行了实地查勘、市场调查和测算，并将此日期作为上述房地产的价值时点，将以下评估结果为贵单位执行案件提供市场价值参考依据。</w:t>
      </w:r>
    </w:p>
    <w:p>
      <w:pPr>
        <w:spacing w:line="360" w:lineRule="auto"/>
        <w:ind w:firstLine="482" w:firstLineChars="200"/>
        <w:rPr>
          <w:rFonts w:ascii="宋体" w:hAnsi="宋体" w:cs="宋体"/>
          <w:sz w:val="24"/>
        </w:rPr>
      </w:pPr>
      <w:r>
        <w:rPr>
          <w:rFonts w:hint="eastAsia" w:ascii="宋体" w:hAnsi="宋体" w:cs="宋体"/>
          <w:b/>
          <w:sz w:val="24"/>
        </w:rPr>
        <w:t>估价目的：</w:t>
      </w:r>
      <w:r>
        <w:rPr>
          <w:rFonts w:hint="eastAsia" w:ascii="宋体" w:hAnsi="宋体" w:cs="宋体"/>
          <w:sz w:val="24"/>
        </w:rPr>
        <w:t>为委托方执行案件提供价值参考而评估该住宅用房的市场价值。</w:t>
      </w:r>
    </w:p>
    <w:p>
      <w:pPr>
        <w:spacing w:line="360" w:lineRule="auto"/>
        <w:ind w:firstLine="472" w:firstLineChars="196"/>
        <w:rPr>
          <w:rFonts w:ascii="宋体" w:hAnsi="宋体" w:cs="宋体"/>
          <w:sz w:val="24"/>
        </w:rPr>
      </w:pPr>
      <w:r>
        <w:rPr>
          <w:rFonts w:hint="eastAsia" w:ascii="宋体" w:hAnsi="宋体" w:cs="宋体"/>
          <w:b/>
          <w:sz w:val="24"/>
        </w:rPr>
        <w:t>估价对象：</w:t>
      </w:r>
      <w:r>
        <w:rPr>
          <w:rFonts w:hint="eastAsia" w:ascii="宋体" w:hAnsi="宋体" w:cs="宋体"/>
          <w:sz w:val="24"/>
        </w:rPr>
        <w:t>本次估价对象和估价范围为</w:t>
      </w:r>
      <w:r>
        <w:rPr>
          <w:rFonts w:hint="eastAsia" w:ascii="宋体" w:hAnsi="宋体" w:cs="宋体"/>
          <w:sz w:val="24"/>
          <w:lang w:eastAsia="zh-CN"/>
        </w:rPr>
        <w:t>诸城市龙源街133号7号楼1单元501室及11号附房</w:t>
      </w:r>
      <w:r>
        <w:rPr>
          <w:rFonts w:hint="eastAsia" w:ascii="宋体" w:hAnsi="宋体" w:cs="宋体"/>
          <w:sz w:val="24"/>
        </w:rPr>
        <w:t>，</w:t>
      </w:r>
      <w:r>
        <w:rPr>
          <w:rFonts w:hint="eastAsia" w:ascii="宋体" w:hAnsi="宋体" w:cs="宋体"/>
          <w:sz w:val="24"/>
          <w:lang w:val="en-US" w:eastAsia="zh-CN"/>
        </w:rPr>
        <w:t>主房</w:t>
      </w:r>
      <w:r>
        <w:rPr>
          <w:rFonts w:hint="eastAsia" w:ascii="宋体" w:hAnsi="宋体" w:cs="宋体"/>
          <w:sz w:val="24"/>
        </w:rPr>
        <w:t>建筑面积</w:t>
      </w:r>
      <w:r>
        <w:rPr>
          <w:rFonts w:hint="eastAsia" w:ascii="宋体" w:hAnsi="宋体" w:cs="宋体"/>
          <w:sz w:val="24"/>
          <w:lang w:eastAsia="zh-CN"/>
        </w:rPr>
        <w:t>109.78</w:t>
      </w:r>
      <w:r>
        <w:rPr>
          <w:rFonts w:hint="eastAsia" w:ascii="宋体" w:hAnsi="宋体" w:cs="宋体"/>
          <w:sz w:val="24"/>
        </w:rPr>
        <w:t>㎡</w:t>
      </w:r>
      <w:r>
        <w:rPr>
          <w:rFonts w:hint="eastAsia" w:asciiTheme="minorEastAsia" w:hAnsiTheme="minorEastAsia" w:eastAsiaTheme="minorEastAsia"/>
          <w:bCs/>
          <w:sz w:val="24"/>
        </w:rPr>
        <w:t>，</w:t>
      </w:r>
      <w:r>
        <w:rPr>
          <w:rFonts w:hint="eastAsia" w:ascii="宋体" w:hAnsi="宋体" w:cs="宋体"/>
          <w:sz w:val="24"/>
        </w:rPr>
        <w:t>。本次估价仅针对估价对象分摊的土地使用权、房产权利权益价格、装饰装修，不包括室内可移动设施等动产及债权债务、特许经营权等其他财产或者权益。</w:t>
      </w:r>
    </w:p>
    <w:tbl>
      <w:tblPr>
        <w:tblStyle w:val="9"/>
        <w:tblW w:w="4917"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2"/>
        <w:gridCol w:w="1055"/>
        <w:gridCol w:w="840"/>
        <w:gridCol w:w="930"/>
        <w:gridCol w:w="1260"/>
        <w:gridCol w:w="880"/>
        <w:gridCol w:w="1110"/>
        <w:gridCol w:w="126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4" w:hRule="atLeast"/>
          <w:jc w:val="center"/>
        </w:trPr>
        <w:tc>
          <w:tcPr>
            <w:tcW w:w="941" w:type="pct"/>
            <w:tcBorders>
              <w:top w:val="single" w:color="auto" w:sz="12" w:space="0"/>
              <w:left w:val="single" w:color="auto" w:sz="12" w:space="0"/>
              <w:bottom w:val="single" w:color="auto" w:sz="6" w:space="0"/>
              <w:right w:val="single" w:color="auto" w:sz="6" w:space="0"/>
            </w:tcBorders>
            <w:vAlign w:val="center"/>
          </w:tcPr>
          <w:p>
            <w:pPr>
              <w:spacing w:line="360" w:lineRule="auto"/>
              <w:rPr>
                <w:rFonts w:ascii="宋体" w:hAnsi="宋体" w:cs="宋体"/>
                <w:sz w:val="24"/>
              </w:rPr>
            </w:pPr>
            <w:r>
              <w:rPr>
                <w:rFonts w:hint="eastAsia" w:ascii="宋体" w:hAnsi="宋体" w:cs="宋体"/>
                <w:sz w:val="24"/>
              </w:rPr>
              <w:t>不动产权证号</w:t>
            </w:r>
          </w:p>
        </w:tc>
        <w:tc>
          <w:tcPr>
            <w:tcW w:w="4058" w:type="pct"/>
            <w:gridSpan w:val="7"/>
            <w:tcBorders>
              <w:top w:val="single" w:color="auto" w:sz="12" w:space="0"/>
              <w:left w:val="single" w:color="auto" w:sz="6" w:space="0"/>
              <w:bottom w:val="single" w:color="auto" w:sz="6" w:space="0"/>
              <w:right w:val="single" w:color="auto" w:sz="12"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鲁（2016）诸城市不动产权第0007124号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941" w:type="pct"/>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cs="宋体"/>
                <w:sz w:val="24"/>
              </w:rPr>
            </w:pPr>
            <w:r>
              <w:rPr>
                <w:rFonts w:hint="eastAsia" w:ascii="宋体" w:hAnsi="宋体" w:cs="宋体"/>
                <w:sz w:val="24"/>
              </w:rPr>
              <w:t>产权人</w:t>
            </w:r>
          </w:p>
        </w:tc>
        <w:tc>
          <w:tcPr>
            <w:tcW w:w="4058" w:type="pct"/>
            <w:gridSpan w:val="7"/>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杨光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10" w:hRule="atLeast"/>
          <w:jc w:val="center"/>
        </w:trPr>
        <w:tc>
          <w:tcPr>
            <w:tcW w:w="941" w:type="pct"/>
            <w:tcBorders>
              <w:top w:val="single" w:color="auto" w:sz="6" w:space="0"/>
              <w:left w:val="single" w:color="auto" w:sz="12" w:space="0"/>
              <w:bottom w:val="single" w:color="auto" w:sz="6" w:space="0"/>
              <w:right w:val="single" w:color="auto" w:sz="6" w:space="0"/>
            </w:tcBorders>
            <w:vAlign w:val="center"/>
          </w:tcPr>
          <w:p>
            <w:pPr>
              <w:spacing w:line="360" w:lineRule="auto"/>
              <w:rPr>
                <w:rFonts w:ascii="宋体" w:hAnsi="宋体" w:cs="宋体"/>
                <w:sz w:val="24"/>
              </w:rPr>
            </w:pPr>
            <w:r>
              <w:rPr>
                <w:rFonts w:hint="eastAsia" w:ascii="宋体" w:hAnsi="宋体" w:cs="宋体"/>
                <w:sz w:val="24"/>
              </w:rPr>
              <w:t>房屋坐落</w:t>
            </w:r>
          </w:p>
        </w:tc>
        <w:tc>
          <w:tcPr>
            <w:tcW w:w="4058" w:type="pct"/>
            <w:gridSpan w:val="7"/>
            <w:tcBorders>
              <w:top w:val="single" w:color="auto" w:sz="6" w:space="0"/>
              <w:left w:val="single" w:color="auto" w:sz="6" w:space="0"/>
              <w:bottom w:val="single" w:color="auto" w:sz="6" w:space="0"/>
              <w:right w:val="single" w:color="auto" w:sz="12" w:space="0"/>
            </w:tcBorders>
            <w:vAlign w:val="center"/>
          </w:tcPr>
          <w:p>
            <w:pPr>
              <w:spacing w:line="360" w:lineRule="auto"/>
              <w:jc w:val="center"/>
              <w:rPr>
                <w:rFonts w:ascii="宋体" w:hAnsi="宋体" w:cs="宋体"/>
                <w:sz w:val="24"/>
              </w:rPr>
            </w:pPr>
            <w:r>
              <w:rPr>
                <w:rFonts w:hint="eastAsia" w:ascii="宋体" w:hAnsi="宋体" w:cs="宋体"/>
                <w:sz w:val="24"/>
                <w:lang w:eastAsia="zh-CN"/>
              </w:rPr>
              <w:t>诸城市龙源街133号7号楼1单元501室及11号附房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7" w:hRule="atLeast"/>
          <w:jc w:val="center"/>
        </w:trPr>
        <w:tc>
          <w:tcPr>
            <w:tcW w:w="941" w:type="pct"/>
            <w:vMerge w:val="restart"/>
            <w:tcBorders>
              <w:top w:val="single" w:color="auto" w:sz="6" w:space="0"/>
              <w:left w:val="single" w:color="auto" w:sz="12" w:space="0"/>
              <w:bottom w:val="single" w:color="auto" w:sz="12" w:space="0"/>
              <w:right w:val="single" w:color="auto" w:sz="6" w:space="0"/>
            </w:tcBorders>
            <w:vAlign w:val="center"/>
          </w:tcPr>
          <w:p>
            <w:pPr>
              <w:spacing w:line="360" w:lineRule="auto"/>
              <w:rPr>
                <w:rFonts w:ascii="宋体" w:hAnsi="宋体" w:cs="宋体"/>
                <w:sz w:val="24"/>
              </w:rPr>
            </w:pPr>
            <w:r>
              <w:rPr>
                <w:rFonts w:hint="eastAsia" w:ascii="宋体" w:hAnsi="宋体" w:cs="宋体"/>
                <w:sz w:val="24"/>
              </w:rPr>
              <w:t>房屋状况</w:t>
            </w:r>
          </w:p>
        </w:tc>
        <w:tc>
          <w:tcPr>
            <w:tcW w:w="583" w:type="pct"/>
            <w:tcBorders>
              <w:top w:val="single" w:color="auto" w:sz="6" w:space="0"/>
              <w:left w:val="single" w:color="auto" w:sz="6" w:space="0"/>
              <w:bottom w:val="single" w:color="auto" w:sz="6"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总层数</w:t>
            </w:r>
          </w:p>
        </w:tc>
        <w:tc>
          <w:tcPr>
            <w:tcW w:w="464" w:type="pct"/>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所在层数</w:t>
            </w:r>
          </w:p>
        </w:tc>
        <w:tc>
          <w:tcPr>
            <w:tcW w:w="51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结构</w:t>
            </w:r>
          </w:p>
        </w:tc>
        <w:tc>
          <w:tcPr>
            <w:tcW w:w="696" w:type="pct"/>
            <w:tcBorders>
              <w:top w:val="single" w:color="auto" w:sz="6" w:space="0"/>
              <w:left w:val="single" w:color="auto" w:sz="6" w:space="0"/>
              <w:bottom w:val="single" w:color="auto" w:sz="6" w:space="0"/>
              <w:right w:val="single" w:color="auto" w:sz="6" w:space="0"/>
            </w:tcBorders>
            <w:vAlign w:val="center"/>
          </w:tcPr>
          <w:p>
            <w:pPr>
              <w:spacing w:line="360" w:lineRule="auto"/>
              <w:rPr>
                <w:rFonts w:ascii="宋体" w:hAnsi="宋体" w:cs="宋体"/>
                <w:sz w:val="24"/>
              </w:rPr>
            </w:pPr>
            <w:r>
              <w:rPr>
                <w:rFonts w:hint="eastAsia" w:ascii="宋体" w:hAnsi="宋体" w:cs="宋体"/>
                <w:sz w:val="24"/>
              </w:rPr>
              <w:t>建筑面积(㎡)</w:t>
            </w:r>
          </w:p>
        </w:tc>
        <w:tc>
          <w:tcPr>
            <w:tcW w:w="486"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规划用途</w:t>
            </w:r>
          </w:p>
        </w:tc>
        <w:tc>
          <w:tcPr>
            <w:tcW w:w="614" w:type="pct"/>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建成年份</w:t>
            </w:r>
          </w:p>
        </w:tc>
        <w:tc>
          <w:tcPr>
            <w:tcW w:w="698" w:type="pct"/>
            <w:tcBorders>
              <w:top w:val="single" w:color="auto" w:sz="6" w:space="0"/>
              <w:left w:val="single" w:color="auto" w:sz="6" w:space="0"/>
              <w:bottom w:val="single" w:color="auto" w:sz="6" w:space="0"/>
              <w:right w:val="single" w:color="auto" w:sz="12" w:space="0"/>
            </w:tcBorders>
          </w:tcPr>
          <w:p>
            <w:pPr>
              <w:spacing w:line="360" w:lineRule="auto"/>
              <w:jc w:val="center"/>
              <w:rPr>
                <w:rFonts w:ascii="宋体" w:hAnsi="宋体" w:cs="宋体"/>
                <w:sz w:val="24"/>
              </w:rPr>
            </w:pPr>
            <w:r>
              <w:rPr>
                <w:rFonts w:hint="eastAsia" w:ascii="宋体" w:hAnsi="宋体" w:cs="宋体"/>
                <w:sz w:val="24"/>
              </w:rPr>
              <w:t>附房</w:t>
            </w:r>
          </w:p>
          <w:p>
            <w:pPr>
              <w:spacing w:line="360" w:lineRule="auto"/>
              <w:jc w:val="center"/>
              <w:rPr>
                <w:rFonts w:ascii="宋体" w:hAnsi="宋体" w:cs="宋体"/>
                <w:sz w:val="24"/>
              </w:rPr>
            </w:pPr>
            <w:r>
              <w:rPr>
                <w:rFonts w:hint="eastAsia" w:ascii="宋体" w:hAnsi="宋体" w:cs="宋体"/>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96" w:hRule="atLeast"/>
          <w:jc w:val="center"/>
        </w:trPr>
        <w:tc>
          <w:tcPr>
            <w:tcW w:w="941" w:type="pct"/>
            <w:vMerge w:val="continue"/>
            <w:tcBorders>
              <w:top w:val="single" w:color="auto" w:sz="6" w:space="0"/>
              <w:left w:val="single" w:color="auto" w:sz="12" w:space="0"/>
              <w:bottom w:val="single" w:color="auto" w:sz="12" w:space="0"/>
              <w:right w:val="single" w:color="auto" w:sz="6" w:space="0"/>
            </w:tcBorders>
            <w:vAlign w:val="center"/>
          </w:tcPr>
          <w:p>
            <w:pPr>
              <w:widowControl/>
              <w:spacing w:line="360" w:lineRule="auto"/>
              <w:jc w:val="left"/>
              <w:rPr>
                <w:rFonts w:ascii="宋体" w:hAnsi="宋体" w:cs="宋体"/>
                <w:sz w:val="24"/>
              </w:rPr>
            </w:pPr>
          </w:p>
        </w:tc>
        <w:tc>
          <w:tcPr>
            <w:tcW w:w="583" w:type="pct"/>
            <w:tcBorders>
              <w:top w:val="single" w:color="auto" w:sz="6" w:space="0"/>
              <w:left w:val="single" w:color="auto" w:sz="6" w:space="0"/>
              <w:bottom w:val="single" w:color="auto" w:sz="12" w:space="0"/>
              <w:right w:val="single" w:color="auto" w:sz="4" w:space="0"/>
            </w:tcBorders>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5层</w:t>
            </w:r>
          </w:p>
        </w:tc>
        <w:tc>
          <w:tcPr>
            <w:tcW w:w="464" w:type="pct"/>
            <w:tcBorders>
              <w:top w:val="single" w:color="auto" w:sz="6" w:space="0"/>
              <w:left w:val="single" w:color="auto" w:sz="4" w:space="0"/>
              <w:bottom w:val="single" w:color="auto" w:sz="12" w:space="0"/>
              <w:right w:val="single" w:color="auto" w:sz="6" w:space="0"/>
            </w:tcBorders>
            <w:vAlign w:val="center"/>
          </w:tcPr>
          <w:p>
            <w:pPr>
              <w:spacing w:line="360" w:lineRule="auto"/>
              <w:jc w:val="center"/>
              <w:rPr>
                <w:rFonts w:ascii="宋体" w:hAnsi="宋体" w:cs="宋体"/>
                <w:sz w:val="24"/>
              </w:rPr>
            </w:pPr>
            <w:r>
              <w:rPr>
                <w:rFonts w:hint="eastAsia" w:ascii="宋体" w:hAnsi="宋体" w:cs="宋体"/>
                <w:sz w:val="24"/>
                <w:lang w:val="en-US" w:eastAsia="zh-CN"/>
              </w:rPr>
              <w:t>5</w:t>
            </w:r>
            <w:r>
              <w:rPr>
                <w:rFonts w:hint="eastAsia" w:ascii="宋体" w:hAnsi="宋体" w:cs="宋体"/>
                <w:sz w:val="24"/>
              </w:rPr>
              <w:t>层</w:t>
            </w:r>
          </w:p>
        </w:tc>
        <w:tc>
          <w:tcPr>
            <w:tcW w:w="514" w:type="pct"/>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hint="eastAsia" w:ascii="宋体" w:hAnsi="宋体" w:eastAsia="宋体" w:cs="宋体"/>
                <w:sz w:val="24"/>
                <w:lang w:val="en-US" w:eastAsia="zh-CN"/>
              </w:rPr>
            </w:pPr>
            <w:r>
              <w:rPr>
                <w:rFonts w:hint="eastAsia" w:ascii="宋体" w:hAnsi="宋体" w:cs="宋体"/>
                <w:sz w:val="24"/>
                <w:lang w:val="en-US" w:eastAsia="zh-CN"/>
              </w:rPr>
              <w:t>框架</w:t>
            </w:r>
          </w:p>
        </w:tc>
        <w:tc>
          <w:tcPr>
            <w:tcW w:w="696" w:type="pct"/>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hint="eastAsia" w:ascii="宋体" w:hAnsi="宋体" w:eastAsia="宋体" w:cs="宋体"/>
                <w:sz w:val="24"/>
                <w:lang w:eastAsia="zh-CN"/>
              </w:rPr>
            </w:pPr>
            <w:r>
              <w:rPr>
                <w:rFonts w:hint="eastAsia" w:ascii="宋体" w:hAnsi="宋体" w:cs="宋体"/>
                <w:sz w:val="24"/>
                <w:lang w:eastAsia="zh-CN"/>
              </w:rPr>
              <w:t>109.78</w:t>
            </w:r>
          </w:p>
        </w:tc>
        <w:tc>
          <w:tcPr>
            <w:tcW w:w="486" w:type="pct"/>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住宅</w:t>
            </w:r>
          </w:p>
        </w:tc>
        <w:tc>
          <w:tcPr>
            <w:tcW w:w="614" w:type="pct"/>
            <w:tcBorders>
              <w:top w:val="single" w:color="auto" w:sz="6" w:space="0"/>
              <w:left w:val="single" w:color="auto" w:sz="6" w:space="0"/>
              <w:bottom w:val="single" w:color="auto" w:sz="12" w:space="0"/>
              <w:right w:val="single" w:color="auto" w:sz="6" w:space="0"/>
            </w:tcBorders>
            <w:vAlign w:val="center"/>
          </w:tcPr>
          <w:p>
            <w:pPr>
              <w:spacing w:line="360" w:lineRule="auto"/>
              <w:jc w:val="center"/>
              <w:rPr>
                <w:rFonts w:ascii="宋体" w:hAnsi="宋体" w:cs="宋体"/>
                <w:sz w:val="24"/>
              </w:rPr>
            </w:pPr>
            <w:r>
              <w:rPr>
                <w:rFonts w:hint="eastAsia" w:ascii="宋体" w:hAnsi="宋体" w:cs="宋体"/>
                <w:sz w:val="24"/>
              </w:rPr>
              <w:t>20</w:t>
            </w:r>
            <w:r>
              <w:rPr>
                <w:rFonts w:hint="eastAsia" w:ascii="宋体" w:hAnsi="宋体" w:cs="宋体"/>
                <w:sz w:val="24"/>
                <w:lang w:val="en-US" w:eastAsia="zh-CN"/>
              </w:rPr>
              <w:t>08年</w:t>
            </w:r>
            <w:r>
              <w:rPr>
                <w:rFonts w:hint="eastAsia" w:ascii="宋体" w:hAnsi="宋体" w:cs="宋体"/>
                <w:sz w:val="24"/>
              </w:rPr>
              <w:t>左右</w:t>
            </w:r>
          </w:p>
        </w:tc>
        <w:tc>
          <w:tcPr>
            <w:tcW w:w="698" w:type="pct"/>
            <w:tcBorders>
              <w:top w:val="single" w:color="auto" w:sz="6" w:space="0"/>
              <w:left w:val="single" w:color="auto" w:sz="6" w:space="0"/>
              <w:bottom w:val="single" w:color="auto" w:sz="12" w:space="0"/>
              <w:right w:val="single" w:color="auto" w:sz="12" w:space="0"/>
            </w:tcBorders>
            <w:vAlign w:val="center"/>
          </w:tcPr>
          <w:p>
            <w:pPr>
              <w:spacing w:line="360" w:lineRule="auto"/>
              <w:jc w:val="center"/>
              <w:rPr>
                <w:rFonts w:hint="default" w:ascii="宋体" w:hAnsi="宋体" w:eastAsia="宋体" w:cs="宋体"/>
                <w:sz w:val="24"/>
                <w:lang w:val="en-US" w:eastAsia="zh-CN"/>
              </w:rPr>
            </w:pPr>
            <w:r>
              <w:rPr>
                <w:rFonts w:hint="eastAsia" w:ascii="宋体" w:hAnsi="宋体" w:cs="宋体"/>
                <w:sz w:val="24"/>
                <w:lang w:val="en-US" w:eastAsia="zh-CN"/>
              </w:rPr>
              <w:t>11号附房</w:t>
            </w:r>
          </w:p>
        </w:tc>
      </w:tr>
    </w:tbl>
    <w:p>
      <w:pPr>
        <w:spacing w:line="360" w:lineRule="auto"/>
        <w:ind w:firstLine="472" w:firstLineChars="196"/>
        <w:rPr>
          <w:rFonts w:ascii="宋体" w:hAnsi="宋体" w:cs="宋体"/>
          <w:b/>
          <w:sz w:val="24"/>
        </w:rPr>
      </w:pPr>
    </w:p>
    <w:p>
      <w:pPr>
        <w:spacing w:line="360" w:lineRule="auto"/>
        <w:ind w:firstLine="472" w:firstLineChars="196"/>
        <w:rPr>
          <w:rFonts w:ascii="宋体" w:hAnsi="宋体" w:cs="宋体"/>
          <w:sz w:val="24"/>
        </w:rPr>
      </w:pPr>
      <w:r>
        <w:rPr>
          <w:rFonts w:hint="eastAsia" w:ascii="宋体" w:hAnsi="宋体" w:cs="宋体"/>
          <w:b/>
          <w:sz w:val="24"/>
        </w:rPr>
        <w:t>价值时点：</w:t>
      </w:r>
      <w:r>
        <w:rPr>
          <w:rFonts w:hint="eastAsia" w:ascii="宋体" w:hAnsi="宋体" w:cs="宋体"/>
          <w:sz w:val="24"/>
        </w:rPr>
        <w:t>2022年</w:t>
      </w:r>
      <w:r>
        <w:rPr>
          <w:rFonts w:hint="eastAsia" w:ascii="宋体" w:hAnsi="宋体" w:cs="宋体"/>
          <w:sz w:val="24"/>
          <w:lang w:eastAsia="zh-CN"/>
        </w:rPr>
        <w:t>9月6日</w:t>
      </w:r>
      <w:r>
        <w:rPr>
          <w:rFonts w:hint="eastAsia" w:ascii="宋体" w:hAnsi="宋体" w:cs="宋体"/>
          <w:sz w:val="24"/>
        </w:rPr>
        <w:t>。现场查勘之日。</w:t>
      </w:r>
    </w:p>
    <w:p>
      <w:pPr>
        <w:spacing w:line="360" w:lineRule="auto"/>
        <w:ind w:firstLine="482" w:firstLineChars="200"/>
        <w:rPr>
          <w:rFonts w:ascii="宋体" w:hAnsi="宋体" w:cs="宋体"/>
          <w:sz w:val="24"/>
        </w:rPr>
      </w:pPr>
      <w:r>
        <w:rPr>
          <w:rFonts w:hint="eastAsia" w:ascii="宋体" w:hAnsi="宋体" w:cs="宋体"/>
          <w:b/>
          <w:sz w:val="24"/>
        </w:rPr>
        <w:t>价值类型：</w:t>
      </w:r>
      <w:r>
        <w:rPr>
          <w:rFonts w:hint="eastAsia" w:ascii="宋体" w:hAnsi="宋体" w:cs="宋体"/>
          <w:sz w:val="24"/>
        </w:rPr>
        <w:t>本报告中的价值是在估价目的、价值时点条件下的市场价值标准。</w:t>
      </w:r>
    </w:p>
    <w:p>
      <w:pPr>
        <w:spacing w:line="360" w:lineRule="auto"/>
        <w:ind w:firstLine="482" w:firstLineChars="200"/>
        <w:rPr>
          <w:rFonts w:ascii="宋体" w:hAnsi="宋体" w:cs="宋体"/>
          <w:sz w:val="24"/>
        </w:rPr>
      </w:pPr>
      <w:r>
        <w:rPr>
          <w:rFonts w:hint="eastAsia" w:ascii="宋体" w:hAnsi="宋体" w:cs="宋体"/>
          <w:b/>
          <w:sz w:val="24"/>
        </w:rPr>
        <w:t>估价方法：</w:t>
      </w:r>
      <w:r>
        <w:rPr>
          <w:rFonts w:hint="eastAsia" w:ascii="宋体" w:hAnsi="宋体" w:cs="宋体"/>
          <w:sz w:val="24"/>
        </w:rPr>
        <w:t>市场法。</w:t>
      </w:r>
    </w:p>
    <w:p>
      <w:pPr>
        <w:spacing w:line="360" w:lineRule="auto"/>
        <w:ind w:firstLine="472" w:firstLineChars="196"/>
        <w:rPr>
          <w:rFonts w:ascii="宋体" w:hAnsi="宋体" w:cs="宋体"/>
          <w:spacing w:val="-4"/>
          <w:kern w:val="0"/>
          <w:sz w:val="24"/>
        </w:rPr>
      </w:pPr>
      <w:r>
        <w:rPr>
          <w:rFonts w:hint="eastAsia" w:ascii="宋体" w:hAnsi="宋体" w:cs="宋体"/>
          <w:b/>
          <w:sz w:val="24"/>
        </w:rPr>
        <w:t>估价结果：</w:t>
      </w:r>
      <w:r>
        <w:rPr>
          <w:rFonts w:hint="eastAsia" w:ascii="宋体" w:hAnsi="宋体" w:cs="宋体"/>
          <w:spacing w:val="-4"/>
          <w:kern w:val="0"/>
          <w:sz w:val="24"/>
        </w:rPr>
        <w:t>本次评估的位于</w:t>
      </w:r>
      <w:r>
        <w:rPr>
          <w:rFonts w:hint="eastAsia" w:ascii="宋体" w:hAnsi="宋体" w:cs="宋体"/>
          <w:sz w:val="24"/>
          <w:lang w:eastAsia="zh-CN"/>
        </w:rPr>
        <w:t>诸城市龙源街133号7号楼1单元501室及11号附房</w:t>
      </w:r>
      <w:r>
        <w:rPr>
          <w:rFonts w:hint="eastAsia" w:ascii="宋体" w:hAnsi="宋体" w:cs="宋体"/>
          <w:spacing w:val="-4"/>
          <w:kern w:val="0"/>
          <w:sz w:val="24"/>
        </w:rPr>
        <w:t>在价值时点2022年</w:t>
      </w:r>
      <w:r>
        <w:rPr>
          <w:rFonts w:hint="eastAsia" w:ascii="宋体" w:hAnsi="宋体" w:cs="宋体"/>
          <w:spacing w:val="-4"/>
          <w:kern w:val="0"/>
          <w:sz w:val="24"/>
          <w:lang w:eastAsia="zh-CN"/>
        </w:rPr>
        <w:t>9月6日</w:t>
      </w:r>
      <w:r>
        <w:rPr>
          <w:rFonts w:hint="eastAsia" w:ascii="宋体" w:hAnsi="宋体" w:cs="宋体"/>
          <w:spacing w:val="-4"/>
          <w:kern w:val="0"/>
          <w:sz w:val="24"/>
        </w:rPr>
        <w:t>的评估价值为人民币</w:t>
      </w:r>
      <w:r>
        <w:rPr>
          <w:rFonts w:hint="eastAsia" w:ascii="宋体" w:hAnsi="宋体" w:cs="宋体"/>
          <w:bCs/>
          <w:sz w:val="24"/>
          <w:lang w:val="en-US" w:eastAsia="zh-CN"/>
        </w:rPr>
        <w:t>586006</w:t>
      </w:r>
      <w:r>
        <w:rPr>
          <w:rFonts w:hint="eastAsia" w:ascii="宋体" w:hAnsi="宋体" w:cs="宋体"/>
          <w:bCs/>
          <w:sz w:val="24"/>
        </w:rPr>
        <w:t>元（大写：人民币</w:t>
      </w:r>
      <w:r>
        <w:rPr>
          <w:rFonts w:hint="eastAsia" w:ascii="宋体" w:hAnsi="宋体" w:cs="宋体"/>
          <w:bCs/>
          <w:sz w:val="24"/>
          <w:lang w:val="en-US" w:eastAsia="zh-CN"/>
        </w:rPr>
        <w:t>伍拾捌万陆仟零陆元</w:t>
      </w:r>
      <w:r>
        <w:rPr>
          <w:rFonts w:hint="eastAsia" w:ascii="宋体" w:hAnsi="宋体" w:cs="宋体"/>
          <w:bCs/>
          <w:sz w:val="24"/>
        </w:rPr>
        <w:t>整），此价值包含附房价值，单价</w:t>
      </w:r>
      <w:r>
        <w:rPr>
          <w:rFonts w:hint="eastAsia" w:ascii="宋体" w:hAnsi="宋体" w:cs="宋体"/>
          <w:bCs/>
          <w:sz w:val="24"/>
          <w:lang w:val="en-US" w:eastAsia="zh-CN"/>
        </w:rPr>
        <w:t>5338</w:t>
      </w:r>
      <w:r>
        <w:rPr>
          <w:rFonts w:hint="eastAsia" w:ascii="宋体" w:hAnsi="宋体" w:cs="宋体"/>
          <w:spacing w:val="-4"/>
          <w:kern w:val="0"/>
          <w:sz w:val="24"/>
        </w:rPr>
        <w:t>元/㎡。</w:t>
      </w:r>
    </w:p>
    <w:p>
      <w:pPr>
        <w:spacing w:line="360" w:lineRule="auto"/>
        <w:ind w:firstLine="600" w:firstLineChars="249"/>
        <w:jc w:val="left"/>
        <w:rPr>
          <w:rFonts w:ascii="宋体" w:hAnsi="宋体" w:cs="宋体"/>
          <w:spacing w:val="-4"/>
          <w:kern w:val="0"/>
          <w:sz w:val="24"/>
        </w:rPr>
      </w:pPr>
      <w:r>
        <w:rPr>
          <w:rFonts w:hint="eastAsia" w:ascii="宋体" w:hAnsi="宋体" w:cs="宋体"/>
          <w:b/>
          <w:snapToGrid w:val="0"/>
          <w:kern w:val="0"/>
          <w:sz w:val="24"/>
        </w:rPr>
        <w:t>特别提示：</w:t>
      </w:r>
      <w:r>
        <w:rPr>
          <w:rFonts w:hint="eastAsia" w:ascii="宋体" w:hAnsi="宋体" w:cs="宋体"/>
          <w:spacing w:val="-4"/>
          <w:kern w:val="0"/>
          <w:sz w:val="24"/>
        </w:rPr>
        <w:t>本估价报告及估价结果严格按照“估价假设和限制条件”的限制使用。</w:t>
      </w:r>
      <w:r>
        <w:rPr>
          <w:rFonts w:hint="eastAsia" w:ascii="宋体" w:hAnsi="宋体" w:cs="宋体"/>
          <w:sz w:val="24"/>
        </w:rPr>
        <w:t>欲了解该估价项目的全面情况，请详见估价结果报告。</w:t>
      </w:r>
    </w:p>
    <w:p>
      <w:pPr>
        <w:spacing w:line="360" w:lineRule="auto"/>
        <w:jc w:val="right"/>
        <w:rPr>
          <w:rFonts w:asciiTheme="minorEastAsia" w:hAnsiTheme="minorEastAsia" w:eastAsiaTheme="minorEastAsia"/>
          <w:sz w:val="24"/>
          <w:highlight w:val="red"/>
        </w:rPr>
      </w:pPr>
    </w:p>
    <w:p>
      <w:pPr>
        <w:spacing w:line="360" w:lineRule="auto"/>
        <w:jc w:val="right"/>
        <w:rPr>
          <w:rFonts w:asciiTheme="minorEastAsia" w:hAnsiTheme="minorEastAsia" w:eastAsiaTheme="minorEastAsia"/>
          <w:sz w:val="24"/>
          <w:highlight w:val="red"/>
        </w:rPr>
      </w:pPr>
    </w:p>
    <w:p>
      <w:pPr>
        <w:spacing w:line="360" w:lineRule="auto"/>
        <w:ind w:right="560"/>
        <w:jc w:val="right"/>
        <w:rPr>
          <w:rFonts w:ascii="宋体" w:hAnsi="宋体"/>
          <w:sz w:val="28"/>
          <w:szCs w:val="28"/>
        </w:rPr>
      </w:pPr>
      <w:r>
        <w:rPr>
          <w:rFonts w:hint="eastAsia" w:ascii="宋体" w:hAnsi="宋体"/>
          <w:sz w:val="28"/>
          <w:szCs w:val="28"/>
        </w:rPr>
        <w:t xml:space="preserve">               山东鲁业房地产土地评估有限公司  </w:t>
      </w:r>
    </w:p>
    <w:p>
      <w:pPr>
        <w:spacing w:line="360" w:lineRule="auto"/>
        <w:ind w:left="-9" w:firstLine="435"/>
        <w:jc w:val="center"/>
        <w:rPr>
          <w:rFonts w:ascii="宋体" w:hAnsi="宋体"/>
          <w:bCs/>
          <w:sz w:val="28"/>
          <w:szCs w:val="28"/>
        </w:rPr>
      </w:pPr>
      <w:r>
        <w:rPr>
          <w:rFonts w:hint="eastAsia" w:ascii="宋体" w:hAnsi="宋体"/>
          <w:sz w:val="28"/>
          <w:szCs w:val="28"/>
        </w:rPr>
        <w:t xml:space="preserve">                        </w:t>
      </w:r>
      <w:r>
        <w:rPr>
          <w:rFonts w:hint="eastAsia" w:ascii="宋体" w:hAnsi="宋体"/>
          <w:sz w:val="28"/>
        </w:rPr>
        <w:t>二〇二二年</w:t>
      </w:r>
      <w:r>
        <w:rPr>
          <w:rFonts w:hint="eastAsia" w:ascii="宋体" w:hAnsi="宋体"/>
          <w:sz w:val="28"/>
          <w:lang w:eastAsia="zh-CN"/>
        </w:rPr>
        <w:t>九月十五日</w:t>
      </w:r>
      <w:r>
        <w:rPr>
          <w:rFonts w:ascii="宋体" w:hAnsi="宋体"/>
          <w:sz w:val="28"/>
        </w:rPr>
        <w:br w:type="page"/>
      </w:r>
      <w:r>
        <w:rPr>
          <w:rFonts w:hint="eastAsia" w:ascii="宋体" w:hAnsi="宋体"/>
          <w:b/>
          <w:bCs/>
          <w:sz w:val="48"/>
          <w:szCs w:val="22"/>
        </w:rPr>
        <w:t>目  录</w:t>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rPr>
          <w:rFonts w:hint="eastAsia" w:asciiTheme="minorEastAsia" w:hAnsiTheme="minorEastAsia" w:eastAsiaTheme="minorEastAsia"/>
          <w:b w:val="0"/>
          <w:bCs w:val="0"/>
          <w:sz w:val="24"/>
          <w:szCs w:val="24"/>
        </w:rPr>
        <w:fldChar w:fldCharType="begin"/>
      </w:r>
      <w:r>
        <w:rPr>
          <w:rFonts w:hint="eastAsia" w:asciiTheme="minorEastAsia" w:hAnsiTheme="minorEastAsia" w:eastAsiaTheme="minorEastAsia"/>
          <w:b w:val="0"/>
          <w:bCs w:val="0"/>
          <w:sz w:val="24"/>
          <w:szCs w:val="24"/>
        </w:rPr>
        <w:instrText xml:space="preserve">TOC \o "1-1" \h \u </w:instrText>
      </w:r>
      <w:r>
        <w:rPr>
          <w:rFonts w:hint="eastAsia" w:asciiTheme="minorEastAsia" w:hAnsiTheme="minorEastAsia" w:eastAsiaTheme="minorEastAsia"/>
          <w:b w:val="0"/>
          <w:bCs w:val="0"/>
          <w:sz w:val="24"/>
          <w:szCs w:val="24"/>
        </w:rPr>
        <w:fldChar w:fldCharType="separate"/>
      </w:r>
      <w:r>
        <w:fldChar w:fldCharType="begin"/>
      </w:r>
      <w:r>
        <w:instrText xml:space="preserve"> HYPERLINK \l "_Toc52372800" </w:instrText>
      </w:r>
      <w:r>
        <w:fldChar w:fldCharType="separate"/>
      </w:r>
      <w:r>
        <w:rPr>
          <w:rStyle w:val="11"/>
          <w:rFonts w:hint="eastAsia" w:ascii="宋体" w:hAnsi="宋体"/>
          <w:b w:val="0"/>
          <w:sz w:val="24"/>
          <w:szCs w:val="24"/>
        </w:rPr>
        <w:t>估价师声明</w:t>
      </w:r>
      <w:r>
        <w:rPr>
          <w:b w:val="0"/>
          <w:sz w:val="24"/>
          <w:szCs w:val="24"/>
        </w:rPr>
        <w:tab/>
      </w:r>
      <w:r>
        <w:rPr>
          <w:b w:val="0"/>
          <w:sz w:val="24"/>
          <w:szCs w:val="24"/>
        </w:rPr>
        <w:fldChar w:fldCharType="begin"/>
      </w:r>
      <w:r>
        <w:rPr>
          <w:b w:val="0"/>
          <w:sz w:val="24"/>
          <w:szCs w:val="24"/>
        </w:rPr>
        <w:instrText xml:space="preserve"> PAGEREF _Toc52372800 \h </w:instrText>
      </w:r>
      <w:r>
        <w:rPr>
          <w:b w:val="0"/>
          <w:sz w:val="24"/>
          <w:szCs w:val="24"/>
        </w:rPr>
        <w:fldChar w:fldCharType="separate"/>
      </w:r>
      <w:r>
        <w:rPr>
          <w:b w:val="0"/>
          <w:sz w:val="24"/>
          <w:szCs w:val="24"/>
        </w:rPr>
        <w:t>1</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"_Toc52372801" </w:instrText>
      </w:r>
      <w:r>
        <w:fldChar w:fldCharType="separate"/>
      </w:r>
      <w:r>
        <w:rPr>
          <w:rStyle w:val="11"/>
          <w:rFonts w:hint="eastAsia" w:ascii="宋体" w:hAnsi="宋体"/>
          <w:b w:val="0"/>
          <w:sz w:val="24"/>
          <w:szCs w:val="24"/>
        </w:rPr>
        <w:t>估价假设和限制条件</w:t>
      </w:r>
      <w:r>
        <w:rPr>
          <w:b w:val="0"/>
          <w:sz w:val="24"/>
          <w:szCs w:val="24"/>
        </w:rPr>
        <w:tab/>
      </w:r>
      <w:r>
        <w:rPr>
          <w:b w:val="0"/>
          <w:sz w:val="24"/>
          <w:szCs w:val="24"/>
        </w:rPr>
        <w:fldChar w:fldCharType="begin"/>
      </w:r>
      <w:r>
        <w:rPr>
          <w:b w:val="0"/>
          <w:sz w:val="24"/>
          <w:szCs w:val="24"/>
        </w:rPr>
        <w:instrText xml:space="preserve"> PAGEREF _Toc52372801 \h </w:instrText>
      </w:r>
      <w:r>
        <w:rPr>
          <w:b w:val="0"/>
          <w:sz w:val="24"/>
          <w:szCs w:val="24"/>
        </w:rPr>
        <w:fldChar w:fldCharType="separate"/>
      </w:r>
      <w:r>
        <w:rPr>
          <w:b w:val="0"/>
          <w:sz w:val="24"/>
          <w:szCs w:val="24"/>
        </w:rPr>
        <w:t>2</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"_Toc52372802" </w:instrText>
      </w:r>
      <w:r>
        <w:fldChar w:fldCharType="separate"/>
      </w:r>
      <w:r>
        <w:rPr>
          <w:rStyle w:val="11"/>
          <w:rFonts w:hint="eastAsia" w:ascii="宋体" w:hAnsi="宋体"/>
          <w:b w:val="0"/>
          <w:sz w:val="24"/>
          <w:szCs w:val="24"/>
        </w:rPr>
        <w:t>估价结果报告</w:t>
      </w:r>
      <w:r>
        <w:rPr>
          <w:b w:val="0"/>
          <w:sz w:val="24"/>
          <w:szCs w:val="24"/>
        </w:rPr>
        <w:tab/>
      </w:r>
      <w:r>
        <w:rPr>
          <w:b w:val="0"/>
          <w:sz w:val="24"/>
          <w:szCs w:val="24"/>
        </w:rPr>
        <w:fldChar w:fldCharType="begin"/>
      </w:r>
      <w:r>
        <w:rPr>
          <w:b w:val="0"/>
          <w:sz w:val="24"/>
          <w:szCs w:val="24"/>
        </w:rPr>
        <w:instrText xml:space="preserve"> PAGEREF _Toc52372802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"_Toc52372803" </w:instrText>
      </w:r>
      <w:r>
        <w:fldChar w:fldCharType="separate"/>
      </w:r>
      <w:r>
        <w:rPr>
          <w:rStyle w:val="11"/>
          <w:rFonts w:hint="eastAsia" w:asciiTheme="minorEastAsia" w:hAnsiTheme="minorEastAsia"/>
          <w:b w:val="0"/>
          <w:sz w:val="24"/>
          <w:szCs w:val="24"/>
        </w:rPr>
        <w:t>一、估价委托人</w:t>
      </w:r>
      <w:r>
        <w:rPr>
          <w:b w:val="0"/>
          <w:sz w:val="24"/>
          <w:szCs w:val="24"/>
        </w:rPr>
        <w:tab/>
      </w:r>
      <w:r>
        <w:rPr>
          <w:b w:val="0"/>
          <w:sz w:val="24"/>
          <w:szCs w:val="24"/>
        </w:rPr>
        <w:fldChar w:fldCharType="begin"/>
      </w:r>
      <w:r>
        <w:rPr>
          <w:b w:val="0"/>
          <w:sz w:val="24"/>
          <w:szCs w:val="24"/>
        </w:rPr>
        <w:instrText xml:space="preserve"> PAGEREF _Toc52372803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"_Toc52372804" </w:instrText>
      </w:r>
      <w:r>
        <w:fldChar w:fldCharType="separate"/>
      </w:r>
      <w:r>
        <w:rPr>
          <w:rStyle w:val="11"/>
          <w:rFonts w:hint="eastAsia" w:asciiTheme="minorEastAsia" w:hAnsiTheme="minorEastAsia"/>
          <w:b w:val="0"/>
          <w:sz w:val="24"/>
          <w:szCs w:val="24"/>
        </w:rPr>
        <w:t>二、房地产估价机构</w:t>
      </w:r>
      <w:r>
        <w:rPr>
          <w:b w:val="0"/>
          <w:sz w:val="24"/>
          <w:szCs w:val="24"/>
        </w:rPr>
        <w:tab/>
      </w:r>
      <w:r>
        <w:rPr>
          <w:b w:val="0"/>
          <w:sz w:val="24"/>
          <w:szCs w:val="24"/>
        </w:rPr>
        <w:fldChar w:fldCharType="begin"/>
      </w:r>
      <w:r>
        <w:rPr>
          <w:b w:val="0"/>
          <w:sz w:val="24"/>
          <w:szCs w:val="24"/>
        </w:rPr>
        <w:instrText xml:space="preserve"> PAGEREF _Toc52372804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"_Toc52372805" </w:instrText>
      </w:r>
      <w:r>
        <w:fldChar w:fldCharType="separate"/>
      </w:r>
      <w:r>
        <w:rPr>
          <w:rStyle w:val="11"/>
          <w:rFonts w:hint="eastAsia" w:asciiTheme="minorEastAsia" w:hAnsiTheme="minorEastAsia"/>
          <w:b w:val="0"/>
          <w:sz w:val="24"/>
          <w:szCs w:val="24"/>
        </w:rPr>
        <w:t>三、 估价对象</w:t>
      </w:r>
      <w:r>
        <w:rPr>
          <w:b w:val="0"/>
          <w:sz w:val="24"/>
          <w:szCs w:val="24"/>
        </w:rPr>
        <w:tab/>
      </w:r>
      <w:r>
        <w:rPr>
          <w:b w:val="0"/>
          <w:sz w:val="24"/>
          <w:szCs w:val="24"/>
        </w:rPr>
        <w:fldChar w:fldCharType="begin"/>
      </w:r>
      <w:r>
        <w:rPr>
          <w:b w:val="0"/>
          <w:sz w:val="24"/>
          <w:szCs w:val="24"/>
        </w:rPr>
        <w:instrText xml:space="preserve"> PAGEREF _Toc52372805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"_Toc52372806" </w:instrText>
      </w:r>
      <w:r>
        <w:fldChar w:fldCharType="separate"/>
      </w:r>
      <w:r>
        <w:rPr>
          <w:rStyle w:val="11"/>
          <w:rFonts w:hint="eastAsia" w:asciiTheme="minorEastAsia" w:hAnsiTheme="minorEastAsia"/>
          <w:b w:val="0"/>
          <w:sz w:val="24"/>
          <w:szCs w:val="24"/>
        </w:rPr>
        <w:t>四、估价目的</w:t>
      </w:r>
      <w:r>
        <w:rPr>
          <w:b w:val="0"/>
          <w:sz w:val="24"/>
          <w:szCs w:val="24"/>
        </w:rPr>
        <w:tab/>
      </w:r>
      <w:r>
        <w:rPr>
          <w:b w:val="0"/>
          <w:sz w:val="24"/>
          <w:szCs w:val="24"/>
        </w:rPr>
        <w:fldChar w:fldCharType="begin"/>
      </w:r>
      <w:r>
        <w:rPr>
          <w:b w:val="0"/>
          <w:sz w:val="24"/>
          <w:szCs w:val="24"/>
        </w:rPr>
        <w:instrText xml:space="preserve"> PAGEREF _Toc52372806 \h </w:instrText>
      </w:r>
      <w:r>
        <w:rPr>
          <w:b w:val="0"/>
          <w:sz w:val="24"/>
          <w:szCs w:val="24"/>
        </w:rPr>
        <w:fldChar w:fldCharType="separate"/>
      </w:r>
      <w:r>
        <w:rPr>
          <w:b w:val="0"/>
          <w:sz w:val="24"/>
          <w:szCs w:val="24"/>
        </w:rPr>
        <w:t>5</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"_Toc52372807" </w:instrText>
      </w:r>
      <w:r>
        <w:fldChar w:fldCharType="separate"/>
      </w:r>
      <w:r>
        <w:rPr>
          <w:rStyle w:val="11"/>
          <w:rFonts w:hint="eastAsia" w:asciiTheme="minorEastAsia" w:hAnsiTheme="minorEastAsia"/>
          <w:b w:val="0"/>
          <w:sz w:val="24"/>
          <w:szCs w:val="24"/>
        </w:rPr>
        <w:t>五、价值时点</w:t>
      </w:r>
      <w:r>
        <w:rPr>
          <w:b w:val="0"/>
          <w:sz w:val="24"/>
          <w:szCs w:val="24"/>
        </w:rPr>
        <w:tab/>
      </w:r>
      <w:r>
        <w:rPr>
          <w:b w:val="0"/>
          <w:sz w:val="24"/>
          <w:szCs w:val="24"/>
        </w:rPr>
        <w:fldChar w:fldCharType="begin"/>
      </w:r>
      <w:r>
        <w:rPr>
          <w:b w:val="0"/>
          <w:sz w:val="24"/>
          <w:szCs w:val="24"/>
        </w:rPr>
        <w:instrText xml:space="preserve"> PAGEREF _Toc52372807 \h </w:instrText>
      </w:r>
      <w:r>
        <w:rPr>
          <w:b w:val="0"/>
          <w:sz w:val="24"/>
          <w:szCs w:val="24"/>
        </w:rPr>
        <w:fldChar w:fldCharType="separate"/>
      </w:r>
      <w:r>
        <w:rPr>
          <w:b w:val="0"/>
          <w:sz w:val="24"/>
          <w:szCs w:val="24"/>
        </w:rPr>
        <w:t>6</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"_Toc52372808" </w:instrText>
      </w:r>
      <w:r>
        <w:fldChar w:fldCharType="separate"/>
      </w:r>
      <w:r>
        <w:rPr>
          <w:rStyle w:val="11"/>
          <w:rFonts w:hint="eastAsia" w:asciiTheme="minorEastAsia" w:hAnsiTheme="minorEastAsia"/>
          <w:b w:val="0"/>
          <w:sz w:val="24"/>
          <w:szCs w:val="24"/>
        </w:rPr>
        <w:t>六、价值类型</w:t>
      </w:r>
      <w:r>
        <w:rPr>
          <w:b w:val="0"/>
          <w:sz w:val="24"/>
          <w:szCs w:val="24"/>
        </w:rPr>
        <w:tab/>
      </w:r>
      <w:r>
        <w:rPr>
          <w:b w:val="0"/>
          <w:sz w:val="24"/>
          <w:szCs w:val="24"/>
        </w:rPr>
        <w:fldChar w:fldCharType="begin"/>
      </w:r>
      <w:r>
        <w:rPr>
          <w:b w:val="0"/>
          <w:sz w:val="24"/>
          <w:szCs w:val="24"/>
        </w:rPr>
        <w:instrText xml:space="preserve"> PAGEREF _Toc52372808 \h </w:instrText>
      </w:r>
      <w:r>
        <w:rPr>
          <w:b w:val="0"/>
          <w:sz w:val="24"/>
          <w:szCs w:val="24"/>
        </w:rPr>
        <w:fldChar w:fldCharType="separate"/>
      </w:r>
      <w:r>
        <w:rPr>
          <w:b w:val="0"/>
          <w:sz w:val="24"/>
          <w:szCs w:val="24"/>
        </w:rPr>
        <w:t>6</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"_Toc52372809" </w:instrText>
      </w:r>
      <w:r>
        <w:fldChar w:fldCharType="separate"/>
      </w:r>
      <w:r>
        <w:rPr>
          <w:rStyle w:val="11"/>
          <w:rFonts w:hint="eastAsia" w:asciiTheme="minorEastAsia" w:hAnsiTheme="minorEastAsia"/>
          <w:b w:val="0"/>
          <w:sz w:val="24"/>
          <w:szCs w:val="24"/>
        </w:rPr>
        <w:t>七、估价原则</w:t>
      </w:r>
      <w:r>
        <w:rPr>
          <w:b w:val="0"/>
          <w:sz w:val="24"/>
          <w:szCs w:val="24"/>
        </w:rPr>
        <w:tab/>
      </w:r>
      <w:r>
        <w:rPr>
          <w:b w:val="0"/>
          <w:sz w:val="24"/>
          <w:szCs w:val="24"/>
        </w:rPr>
        <w:fldChar w:fldCharType="begin"/>
      </w:r>
      <w:r>
        <w:rPr>
          <w:b w:val="0"/>
          <w:sz w:val="24"/>
          <w:szCs w:val="24"/>
        </w:rPr>
        <w:instrText xml:space="preserve"> PAGEREF _Toc52372809 \h </w:instrText>
      </w:r>
      <w:r>
        <w:rPr>
          <w:b w:val="0"/>
          <w:sz w:val="24"/>
          <w:szCs w:val="24"/>
        </w:rPr>
        <w:fldChar w:fldCharType="separate"/>
      </w:r>
      <w:r>
        <w:rPr>
          <w:b w:val="0"/>
          <w:sz w:val="24"/>
          <w:szCs w:val="24"/>
        </w:rPr>
        <w:t>6</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"_Toc52372810" </w:instrText>
      </w:r>
      <w:r>
        <w:fldChar w:fldCharType="separate"/>
      </w:r>
      <w:r>
        <w:rPr>
          <w:rStyle w:val="11"/>
          <w:rFonts w:hint="eastAsia" w:asciiTheme="minorEastAsia" w:hAnsiTheme="minorEastAsia"/>
          <w:b w:val="0"/>
          <w:sz w:val="24"/>
          <w:szCs w:val="24"/>
        </w:rPr>
        <w:t>八、估价依据</w:t>
      </w:r>
      <w:r>
        <w:rPr>
          <w:b w:val="0"/>
          <w:sz w:val="24"/>
          <w:szCs w:val="24"/>
        </w:rPr>
        <w:tab/>
      </w:r>
      <w:r>
        <w:rPr>
          <w:b w:val="0"/>
          <w:sz w:val="24"/>
          <w:szCs w:val="24"/>
        </w:rPr>
        <w:fldChar w:fldCharType="begin"/>
      </w:r>
      <w:r>
        <w:rPr>
          <w:b w:val="0"/>
          <w:sz w:val="24"/>
          <w:szCs w:val="24"/>
        </w:rPr>
        <w:instrText xml:space="preserve"> PAGEREF _Toc52372810 \h </w:instrText>
      </w:r>
      <w:r>
        <w:rPr>
          <w:b w:val="0"/>
          <w:sz w:val="24"/>
          <w:szCs w:val="24"/>
        </w:rPr>
        <w:fldChar w:fldCharType="separate"/>
      </w:r>
      <w:r>
        <w:rPr>
          <w:b w:val="0"/>
          <w:sz w:val="24"/>
          <w:szCs w:val="24"/>
        </w:rPr>
        <w:t>8</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"_Toc52372811" </w:instrText>
      </w:r>
      <w:r>
        <w:fldChar w:fldCharType="separate"/>
      </w:r>
      <w:r>
        <w:rPr>
          <w:rStyle w:val="11"/>
          <w:rFonts w:hint="eastAsia" w:asciiTheme="minorEastAsia" w:hAnsiTheme="minorEastAsia"/>
          <w:b w:val="0"/>
          <w:sz w:val="24"/>
          <w:szCs w:val="24"/>
        </w:rPr>
        <w:t>九、估价方法</w:t>
      </w:r>
      <w:r>
        <w:rPr>
          <w:b w:val="0"/>
          <w:sz w:val="24"/>
          <w:szCs w:val="24"/>
        </w:rPr>
        <w:tab/>
      </w:r>
      <w:r>
        <w:rPr>
          <w:b w:val="0"/>
          <w:sz w:val="24"/>
          <w:szCs w:val="24"/>
        </w:rPr>
        <w:fldChar w:fldCharType="begin"/>
      </w:r>
      <w:r>
        <w:rPr>
          <w:b w:val="0"/>
          <w:sz w:val="24"/>
          <w:szCs w:val="24"/>
        </w:rPr>
        <w:instrText xml:space="preserve"> PAGEREF _Toc52372811 \h </w:instrText>
      </w:r>
      <w:r>
        <w:rPr>
          <w:b w:val="0"/>
          <w:sz w:val="24"/>
          <w:szCs w:val="24"/>
        </w:rPr>
        <w:fldChar w:fldCharType="separate"/>
      </w:r>
      <w:r>
        <w:rPr>
          <w:b w:val="0"/>
          <w:sz w:val="24"/>
          <w:szCs w:val="24"/>
        </w:rPr>
        <w:t>9</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"_Toc52372812" </w:instrText>
      </w:r>
      <w:r>
        <w:fldChar w:fldCharType="separate"/>
      </w:r>
      <w:r>
        <w:rPr>
          <w:rStyle w:val="11"/>
          <w:rFonts w:hint="eastAsia" w:asciiTheme="minorEastAsia" w:hAnsiTheme="minorEastAsia"/>
          <w:b w:val="0"/>
          <w:sz w:val="24"/>
          <w:szCs w:val="24"/>
        </w:rPr>
        <w:t>十、估价结果</w:t>
      </w:r>
      <w:r>
        <w:rPr>
          <w:b w:val="0"/>
          <w:sz w:val="24"/>
          <w:szCs w:val="24"/>
        </w:rPr>
        <w:tab/>
      </w:r>
      <w:r>
        <w:rPr>
          <w:b w:val="0"/>
          <w:sz w:val="24"/>
          <w:szCs w:val="24"/>
        </w:rPr>
        <w:fldChar w:fldCharType="begin"/>
      </w:r>
      <w:r>
        <w:rPr>
          <w:b w:val="0"/>
          <w:sz w:val="24"/>
          <w:szCs w:val="24"/>
        </w:rPr>
        <w:instrText xml:space="preserve"> PAGEREF _Toc52372812 \h </w:instrText>
      </w:r>
      <w:r>
        <w:rPr>
          <w:b w:val="0"/>
          <w:sz w:val="24"/>
          <w:szCs w:val="24"/>
        </w:rPr>
        <w:fldChar w:fldCharType="separate"/>
      </w:r>
      <w:r>
        <w:rPr>
          <w:b w:val="0"/>
          <w:sz w:val="24"/>
          <w:szCs w:val="24"/>
        </w:rPr>
        <w:t>10</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"_Toc52372813" </w:instrText>
      </w:r>
      <w:r>
        <w:fldChar w:fldCharType="separate"/>
      </w:r>
      <w:r>
        <w:rPr>
          <w:rStyle w:val="11"/>
          <w:rFonts w:hint="eastAsia" w:asciiTheme="minorEastAsia" w:hAnsiTheme="minorEastAsia"/>
          <w:b w:val="0"/>
          <w:sz w:val="24"/>
          <w:szCs w:val="24"/>
        </w:rPr>
        <w:t>十一、注册房地产估价师</w:t>
      </w:r>
      <w:r>
        <w:rPr>
          <w:b w:val="0"/>
          <w:sz w:val="24"/>
          <w:szCs w:val="24"/>
        </w:rPr>
        <w:tab/>
      </w:r>
      <w:r>
        <w:rPr>
          <w:b w:val="0"/>
          <w:sz w:val="24"/>
          <w:szCs w:val="24"/>
        </w:rPr>
        <w:fldChar w:fldCharType="begin"/>
      </w:r>
      <w:r>
        <w:rPr>
          <w:b w:val="0"/>
          <w:sz w:val="24"/>
          <w:szCs w:val="24"/>
        </w:rPr>
        <w:instrText xml:space="preserve"> PAGEREF _Toc52372813 \h </w:instrText>
      </w:r>
      <w:r>
        <w:rPr>
          <w:b w:val="0"/>
          <w:sz w:val="24"/>
          <w:szCs w:val="24"/>
        </w:rPr>
        <w:fldChar w:fldCharType="separate"/>
      </w:r>
      <w:r>
        <w:rPr>
          <w:b w:val="0"/>
          <w:sz w:val="24"/>
          <w:szCs w:val="24"/>
        </w:rPr>
        <w:t>10</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"_Toc52372814" </w:instrText>
      </w:r>
      <w:r>
        <w:fldChar w:fldCharType="separate"/>
      </w:r>
      <w:r>
        <w:rPr>
          <w:rStyle w:val="11"/>
          <w:rFonts w:hint="eastAsia" w:asciiTheme="minorEastAsia" w:hAnsiTheme="minorEastAsia"/>
          <w:b w:val="0"/>
          <w:sz w:val="24"/>
          <w:szCs w:val="24"/>
        </w:rPr>
        <w:t>十二、实地查勘期</w:t>
      </w:r>
      <w:r>
        <w:rPr>
          <w:b w:val="0"/>
          <w:sz w:val="24"/>
          <w:szCs w:val="24"/>
        </w:rPr>
        <w:tab/>
      </w:r>
      <w:r>
        <w:rPr>
          <w:b w:val="0"/>
          <w:sz w:val="24"/>
          <w:szCs w:val="24"/>
        </w:rPr>
        <w:fldChar w:fldCharType="begin"/>
      </w:r>
      <w:r>
        <w:rPr>
          <w:b w:val="0"/>
          <w:sz w:val="24"/>
          <w:szCs w:val="24"/>
        </w:rPr>
        <w:instrText xml:space="preserve"> PAGEREF _Toc52372814 \h </w:instrText>
      </w:r>
      <w:r>
        <w:rPr>
          <w:b w:val="0"/>
          <w:sz w:val="24"/>
          <w:szCs w:val="24"/>
        </w:rPr>
        <w:fldChar w:fldCharType="separate"/>
      </w:r>
      <w:r>
        <w:rPr>
          <w:b w:val="0"/>
          <w:sz w:val="24"/>
          <w:szCs w:val="24"/>
        </w:rPr>
        <w:t>11</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"_Toc52372815" </w:instrText>
      </w:r>
      <w:r>
        <w:fldChar w:fldCharType="separate"/>
      </w:r>
      <w:r>
        <w:rPr>
          <w:rStyle w:val="11"/>
          <w:rFonts w:hint="eastAsia" w:asciiTheme="minorEastAsia" w:hAnsiTheme="minorEastAsia"/>
          <w:b w:val="0"/>
          <w:sz w:val="24"/>
          <w:szCs w:val="24"/>
        </w:rPr>
        <w:t>十三、估价作业期</w:t>
      </w:r>
      <w:r>
        <w:rPr>
          <w:b w:val="0"/>
          <w:sz w:val="24"/>
          <w:szCs w:val="24"/>
        </w:rPr>
        <w:tab/>
      </w:r>
      <w:r>
        <w:rPr>
          <w:b w:val="0"/>
          <w:sz w:val="24"/>
          <w:szCs w:val="24"/>
        </w:rPr>
        <w:fldChar w:fldCharType="begin"/>
      </w:r>
      <w:r>
        <w:rPr>
          <w:b w:val="0"/>
          <w:sz w:val="24"/>
          <w:szCs w:val="24"/>
        </w:rPr>
        <w:instrText xml:space="preserve"> PAGEREF _Toc52372815 \h </w:instrText>
      </w:r>
      <w:r>
        <w:rPr>
          <w:b w:val="0"/>
          <w:sz w:val="24"/>
          <w:szCs w:val="24"/>
        </w:rPr>
        <w:fldChar w:fldCharType="separate"/>
      </w:r>
      <w:r>
        <w:rPr>
          <w:b w:val="0"/>
          <w:sz w:val="24"/>
          <w:szCs w:val="24"/>
        </w:rPr>
        <w:t>11</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"_Toc52372816" </w:instrText>
      </w:r>
      <w:r>
        <w:fldChar w:fldCharType="separate"/>
      </w:r>
      <w:r>
        <w:rPr>
          <w:rStyle w:val="11"/>
          <w:rFonts w:hint="eastAsia" w:asciiTheme="minorEastAsia" w:hAnsiTheme="minorEastAsia"/>
          <w:b w:val="0"/>
          <w:sz w:val="24"/>
          <w:szCs w:val="24"/>
        </w:rPr>
        <w:t>十四、估价报告有效期</w:t>
      </w:r>
      <w:r>
        <w:rPr>
          <w:b w:val="0"/>
          <w:sz w:val="24"/>
          <w:szCs w:val="24"/>
        </w:rPr>
        <w:tab/>
      </w:r>
      <w:r>
        <w:rPr>
          <w:b w:val="0"/>
          <w:sz w:val="24"/>
          <w:szCs w:val="24"/>
        </w:rPr>
        <w:fldChar w:fldCharType="begin"/>
      </w:r>
      <w:r>
        <w:rPr>
          <w:b w:val="0"/>
          <w:sz w:val="24"/>
          <w:szCs w:val="24"/>
        </w:rPr>
        <w:instrText xml:space="preserve"> PAGEREF _Toc52372816 \h </w:instrText>
      </w:r>
      <w:r>
        <w:rPr>
          <w:b w:val="0"/>
          <w:sz w:val="24"/>
          <w:szCs w:val="24"/>
        </w:rPr>
        <w:fldChar w:fldCharType="separate"/>
      </w:r>
      <w:r>
        <w:rPr>
          <w:b w:val="0"/>
          <w:sz w:val="24"/>
          <w:szCs w:val="24"/>
        </w:rPr>
        <w:t>11</w:t>
      </w:r>
      <w:r>
        <w:rPr>
          <w:b w:val="0"/>
          <w:sz w:val="24"/>
          <w:szCs w:val="24"/>
        </w:rPr>
        <w:fldChar w:fldCharType="end"/>
      </w:r>
      <w:r>
        <w:rPr>
          <w:b w:val="0"/>
          <w:sz w:val="24"/>
          <w:szCs w:val="24"/>
        </w:rPr>
        <w:fldChar w:fldCharType="end"/>
      </w:r>
    </w:p>
    <w:p>
      <w:pPr>
        <w:pStyle w:val="7"/>
        <w:tabs>
          <w:tab w:val="right" w:leader="dot" w:pos="8965"/>
        </w:tabs>
        <w:spacing w:line="360" w:lineRule="auto"/>
        <w:rPr>
          <w:rFonts w:asciiTheme="minorHAnsi" w:hAnsiTheme="minorHAnsi" w:eastAsiaTheme="minorEastAsia" w:cstheme="minorBidi"/>
          <w:b w:val="0"/>
          <w:bCs w:val="0"/>
          <w:caps w:val="0"/>
          <w:sz w:val="24"/>
          <w:szCs w:val="24"/>
        </w:rPr>
      </w:pPr>
      <w:r>
        <w:fldChar w:fldCharType="begin"/>
      </w:r>
      <w:r>
        <w:instrText xml:space="preserve"> HYPERLINK \l "_Toc52372817" </w:instrText>
      </w:r>
      <w:r>
        <w:fldChar w:fldCharType="separate"/>
      </w:r>
      <w:r>
        <w:rPr>
          <w:rStyle w:val="11"/>
          <w:rFonts w:hint="eastAsia" w:ascii="宋体" w:hAnsi="宋体"/>
          <w:b w:val="0"/>
          <w:sz w:val="24"/>
          <w:szCs w:val="24"/>
        </w:rPr>
        <w:t>附</w:t>
      </w:r>
      <w:r>
        <w:rPr>
          <w:rStyle w:val="11"/>
          <w:rFonts w:ascii="宋体" w:hAnsi="宋体"/>
          <w:b w:val="0"/>
          <w:sz w:val="24"/>
          <w:szCs w:val="24"/>
        </w:rPr>
        <w:t xml:space="preserve">  </w:t>
      </w:r>
      <w:r>
        <w:rPr>
          <w:rStyle w:val="11"/>
          <w:rFonts w:hint="eastAsia" w:ascii="宋体" w:hAnsi="宋体"/>
          <w:b w:val="0"/>
          <w:sz w:val="24"/>
          <w:szCs w:val="24"/>
        </w:rPr>
        <w:t>件</w:t>
      </w:r>
      <w:r>
        <w:rPr>
          <w:b w:val="0"/>
          <w:sz w:val="24"/>
          <w:szCs w:val="24"/>
        </w:rPr>
        <w:tab/>
      </w:r>
      <w:r>
        <w:rPr>
          <w:b w:val="0"/>
          <w:sz w:val="24"/>
          <w:szCs w:val="24"/>
        </w:rPr>
        <w:fldChar w:fldCharType="begin"/>
      </w:r>
      <w:r>
        <w:rPr>
          <w:b w:val="0"/>
          <w:sz w:val="24"/>
          <w:szCs w:val="24"/>
        </w:rPr>
        <w:instrText xml:space="preserve"> PAGEREF _Toc52372817 \h </w:instrText>
      </w:r>
      <w:r>
        <w:rPr>
          <w:b w:val="0"/>
          <w:sz w:val="24"/>
          <w:szCs w:val="24"/>
        </w:rPr>
        <w:fldChar w:fldCharType="separate"/>
      </w:r>
      <w:r>
        <w:rPr>
          <w:b w:val="0"/>
          <w:sz w:val="24"/>
          <w:szCs w:val="24"/>
        </w:rPr>
        <w:t>12</w:t>
      </w:r>
      <w:r>
        <w:rPr>
          <w:b w:val="0"/>
          <w:sz w:val="24"/>
          <w:szCs w:val="24"/>
        </w:rPr>
        <w:fldChar w:fldCharType="end"/>
      </w:r>
      <w:r>
        <w:rPr>
          <w:b w:val="0"/>
          <w:sz w:val="24"/>
          <w:szCs w:val="24"/>
        </w:rPr>
        <w:fldChar w:fldCharType="end"/>
      </w:r>
    </w:p>
    <w:p>
      <w:pPr>
        <w:pStyle w:val="2"/>
        <w:spacing w:line="360" w:lineRule="auto"/>
        <w:ind w:left="480" w:hanging="480" w:hangingChars="200"/>
        <w:jc w:val="center"/>
        <w:rPr>
          <w:rFonts w:ascii="宋体" w:hAnsi="宋体"/>
        </w:rPr>
        <w:sectPr>
          <w:headerReference r:id="rId4" w:type="first"/>
          <w:footerReference r:id="rId6" w:type="first"/>
          <w:headerReference r:id="rId3" w:type="default"/>
          <w:footerReference r:id="rId5" w:type="default"/>
          <w:type w:val="continuous"/>
          <w:pgSz w:w="11906" w:h="16838"/>
          <w:pgMar w:top="1440" w:right="1134" w:bottom="1440" w:left="1797" w:header="851" w:footer="992" w:gutter="0"/>
          <w:pgNumType w:start="1"/>
          <w:cols w:space="720" w:num="1"/>
          <w:docGrid w:type="lines" w:linePitch="312" w:charSpace="0"/>
        </w:sectPr>
      </w:pPr>
      <w:r>
        <w:rPr>
          <w:rFonts w:hint="eastAsia" w:asciiTheme="minorEastAsia" w:hAnsiTheme="minorEastAsia" w:eastAsiaTheme="minorEastAsia"/>
          <w:b w:val="0"/>
          <w:bCs w:val="0"/>
          <w:sz w:val="24"/>
          <w:szCs w:val="24"/>
        </w:rPr>
        <w:fldChar w:fldCharType="end"/>
      </w:r>
    </w:p>
    <w:p>
      <w:pPr>
        <w:pStyle w:val="2"/>
        <w:spacing w:line="360" w:lineRule="auto"/>
        <w:jc w:val="center"/>
        <w:rPr>
          <w:rFonts w:ascii="宋体" w:hAnsi="宋体"/>
          <w:b w:val="0"/>
          <w:bCs w:val="0"/>
        </w:rPr>
      </w:pPr>
      <w:bookmarkStart w:id="0" w:name="_Toc52372800"/>
      <w:r>
        <w:rPr>
          <w:rFonts w:hint="eastAsia" w:ascii="宋体" w:hAnsi="宋体"/>
          <w:b w:val="0"/>
          <w:bCs w:val="0"/>
        </w:rPr>
        <w:t>估价师声明</w:t>
      </w:r>
      <w:bookmarkEnd w:id="0"/>
    </w:p>
    <w:p>
      <w:pPr>
        <w:pStyle w:val="2"/>
        <w:keepNext w:val="0"/>
        <w:keepLines w:val="0"/>
        <w:spacing w:line="400" w:lineRule="exact"/>
        <w:jc w:val="left"/>
        <w:rPr>
          <w:rFonts w:ascii="宋体" w:hAnsi="宋体"/>
          <w:b w:val="0"/>
          <w:bCs w:val="0"/>
          <w:sz w:val="24"/>
        </w:rPr>
      </w:pPr>
      <w:r>
        <w:rPr>
          <w:rFonts w:hint="eastAsia" w:ascii="宋体" w:hAnsi="宋体"/>
          <w:b w:val="0"/>
          <w:bCs w:val="0"/>
          <w:sz w:val="24"/>
        </w:rPr>
        <w:t>我们郑重声明：</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１、注册房地产估价师在估价报告中对事实的说明是真实和准确的，没有虚假记载、误导性陈述和重大遗漏。</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２、估价报告中的分析、意见和结论是注册房地产估价师独立、客观、公正的专业分析、意见和结论，但受到估价报告中已说明的估价假设和限制条件的限制。</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３、注册房地产估价师与估价报告中的估价对象没有现实或潜在的利益，与估价委托方及估价利害关系人没有利害关系，也对估价对象、估价委托方及估价利害关系人没有偏见。</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４、注册房地产估价师是按照中华人民共和国国家标准《房地产估价规范》（GB/T 50291-2015）、《房地产估价基本术语标准》（GB/T 50899-2013）以及相关估价专项标准的规定开展估价工作，撰写估价报告。</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5、我们已于2022年</w:t>
      </w:r>
      <w:r>
        <w:rPr>
          <w:rFonts w:hint="eastAsia" w:ascii="宋体" w:hAnsi="宋体"/>
          <w:b w:val="0"/>
          <w:bCs w:val="0"/>
          <w:sz w:val="24"/>
          <w:lang w:eastAsia="zh-CN"/>
        </w:rPr>
        <w:t>9月6日</w:t>
      </w:r>
      <w:r>
        <w:rPr>
          <w:rFonts w:hint="eastAsia" w:ascii="宋体" w:hAnsi="宋体"/>
          <w:b w:val="0"/>
          <w:bCs w:val="0"/>
          <w:sz w:val="24"/>
        </w:rPr>
        <w:t>对本报告中估价对象进行了实地查勘。估价人员对估价对象的查勘仅限于估价对象外观和使用情况，估价人员不承担对估价对象建筑结构质量进行调查确认的责任和其他被遮盖、未暴露及难于接触到的部分进行检视的责任。</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6、没有人对本估价报告提供重要专业帮助。</w:t>
      </w:r>
    </w:p>
    <w:p>
      <w:pPr>
        <w:spacing w:line="400" w:lineRule="exact"/>
        <w:ind w:firstLine="480" w:firstLineChars="200"/>
        <w:rPr>
          <w:bCs/>
          <w:sz w:val="24"/>
        </w:rPr>
      </w:pPr>
      <w:r>
        <w:rPr>
          <w:rFonts w:hint="eastAsia" w:ascii="宋体" w:hAnsi="宋体"/>
          <w:sz w:val="24"/>
        </w:rPr>
        <w:t>7、</w:t>
      </w:r>
      <w:r>
        <w:rPr>
          <w:rFonts w:hint="eastAsia"/>
          <w:bCs/>
          <w:sz w:val="24"/>
        </w:rPr>
        <w:t>现场勘查之日，被执行人未到达现场，估价对象未能入内进行查勘，室内装修情况按中等装修处理。</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8、其他需要声明的事项</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估价对象状况和房地产市场状况因时间变化对房地产价值可能产生影响，我们建议：合理使用评估价值；定期或者在房地产市场价格变化较快时对估价对象另行评估。</w:t>
      </w:r>
    </w:p>
    <w:p>
      <w:pPr>
        <w:pStyle w:val="2"/>
        <w:keepNext w:val="0"/>
        <w:keepLines w:val="0"/>
        <w:spacing w:line="400" w:lineRule="exact"/>
        <w:ind w:firstLine="480" w:firstLineChars="200"/>
        <w:jc w:val="left"/>
        <w:rPr>
          <w:rFonts w:ascii="宋体" w:hAnsi="宋体"/>
          <w:b w:val="0"/>
          <w:bCs w:val="0"/>
          <w:sz w:val="24"/>
        </w:rPr>
      </w:pPr>
      <w:r>
        <w:rPr>
          <w:rFonts w:hint="eastAsia" w:ascii="宋体" w:hAnsi="宋体"/>
          <w:b w:val="0"/>
          <w:bCs w:val="0"/>
          <w:sz w:val="24"/>
        </w:rPr>
        <w:t>参与本次估价的注册房地产估价师：</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1712"/>
        <w:gridCol w:w="3675"/>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trPr>
        <w:tc>
          <w:tcPr>
            <w:tcW w:w="1489"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姓  名</w:t>
            </w:r>
          </w:p>
        </w:tc>
        <w:tc>
          <w:tcPr>
            <w:tcW w:w="1712"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注册号</w:t>
            </w:r>
          </w:p>
        </w:tc>
        <w:tc>
          <w:tcPr>
            <w:tcW w:w="3675"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签  名</w:t>
            </w:r>
          </w:p>
        </w:tc>
        <w:tc>
          <w:tcPr>
            <w:tcW w:w="2182"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5" w:hRule="atLeast"/>
        </w:trPr>
        <w:tc>
          <w:tcPr>
            <w:tcW w:w="1489"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宋佳英</w:t>
            </w:r>
          </w:p>
        </w:tc>
        <w:tc>
          <w:tcPr>
            <w:tcW w:w="1712"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3720030089</w:t>
            </w:r>
          </w:p>
        </w:tc>
        <w:tc>
          <w:tcPr>
            <w:tcW w:w="3675" w:type="dxa"/>
            <w:vAlign w:val="center"/>
          </w:tcPr>
          <w:p>
            <w:pPr>
              <w:pStyle w:val="2"/>
              <w:keepNext w:val="0"/>
              <w:keepLines w:val="0"/>
              <w:spacing w:line="360" w:lineRule="auto"/>
              <w:jc w:val="center"/>
              <w:rPr>
                <w:rFonts w:ascii="宋体" w:hAnsi="宋体"/>
                <w:b w:val="0"/>
                <w:bCs w:val="0"/>
                <w:sz w:val="24"/>
              </w:rPr>
            </w:pPr>
          </w:p>
        </w:tc>
        <w:tc>
          <w:tcPr>
            <w:tcW w:w="2182"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2022年9月</w:t>
            </w:r>
            <w:r>
              <w:rPr>
                <w:rFonts w:hint="eastAsia" w:ascii="宋体" w:hAnsi="宋体"/>
                <w:b w:val="0"/>
                <w:bCs w:val="0"/>
                <w:sz w:val="24"/>
                <w:lang w:val="en-US" w:eastAsia="zh-CN"/>
              </w:rPr>
              <w:t>1</w:t>
            </w:r>
            <w:r>
              <w:rPr>
                <w:rFonts w:hint="eastAsia" w:ascii="宋体" w:hAnsi="宋体"/>
                <w:b w:val="0"/>
                <w:bCs w:val="0"/>
                <w:sz w:val="24"/>
              </w:rPr>
              <w:t>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7" w:hRule="atLeast"/>
        </w:trPr>
        <w:tc>
          <w:tcPr>
            <w:tcW w:w="1489"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徐洪波</w:t>
            </w:r>
          </w:p>
        </w:tc>
        <w:tc>
          <w:tcPr>
            <w:tcW w:w="1712"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3720000018</w:t>
            </w:r>
          </w:p>
        </w:tc>
        <w:tc>
          <w:tcPr>
            <w:tcW w:w="3675" w:type="dxa"/>
            <w:vAlign w:val="center"/>
          </w:tcPr>
          <w:p>
            <w:pPr>
              <w:pStyle w:val="2"/>
              <w:keepNext w:val="0"/>
              <w:keepLines w:val="0"/>
              <w:spacing w:line="360" w:lineRule="auto"/>
              <w:jc w:val="center"/>
              <w:rPr>
                <w:rFonts w:ascii="宋体" w:hAnsi="宋体"/>
                <w:b w:val="0"/>
                <w:bCs w:val="0"/>
                <w:sz w:val="24"/>
              </w:rPr>
            </w:pPr>
          </w:p>
        </w:tc>
        <w:tc>
          <w:tcPr>
            <w:tcW w:w="2182" w:type="dxa"/>
            <w:vAlign w:val="center"/>
          </w:tcPr>
          <w:p>
            <w:pPr>
              <w:pStyle w:val="2"/>
              <w:keepNext w:val="0"/>
              <w:keepLines w:val="0"/>
              <w:spacing w:line="360" w:lineRule="auto"/>
              <w:jc w:val="center"/>
              <w:rPr>
                <w:rFonts w:ascii="宋体" w:hAnsi="宋体"/>
                <w:b w:val="0"/>
                <w:bCs w:val="0"/>
                <w:sz w:val="24"/>
              </w:rPr>
            </w:pPr>
            <w:r>
              <w:rPr>
                <w:rFonts w:hint="eastAsia" w:ascii="宋体" w:hAnsi="宋体"/>
                <w:b w:val="0"/>
                <w:bCs w:val="0"/>
                <w:sz w:val="24"/>
              </w:rPr>
              <w:t>2022年9月</w:t>
            </w:r>
            <w:r>
              <w:rPr>
                <w:rFonts w:hint="eastAsia" w:ascii="宋体" w:hAnsi="宋体"/>
                <w:b w:val="0"/>
                <w:bCs w:val="0"/>
                <w:sz w:val="24"/>
                <w:lang w:val="en-US" w:eastAsia="zh-CN"/>
              </w:rPr>
              <w:t>1</w:t>
            </w:r>
            <w:r>
              <w:rPr>
                <w:rFonts w:hint="eastAsia" w:ascii="宋体" w:hAnsi="宋体"/>
                <w:b w:val="0"/>
                <w:bCs w:val="0"/>
                <w:sz w:val="24"/>
              </w:rPr>
              <w:t>5日</w:t>
            </w:r>
          </w:p>
        </w:tc>
      </w:tr>
    </w:tbl>
    <w:p>
      <w:pPr>
        <w:pStyle w:val="2"/>
        <w:keepNext w:val="0"/>
        <w:keepLines w:val="0"/>
        <w:spacing w:line="360" w:lineRule="auto"/>
        <w:jc w:val="center"/>
        <w:rPr>
          <w:rFonts w:ascii="宋体" w:hAnsi="宋体"/>
          <w:b w:val="0"/>
          <w:sz w:val="36"/>
          <w:szCs w:val="32"/>
        </w:rPr>
      </w:pPr>
      <w:r>
        <w:rPr>
          <w:rFonts w:ascii="宋体" w:hAnsi="宋体"/>
          <w:b w:val="0"/>
          <w:bCs w:val="0"/>
          <w:kern w:val="2"/>
          <w:sz w:val="24"/>
          <w:szCs w:val="24"/>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444500</wp:posOffset>
                </wp:positionV>
                <wp:extent cx="5578475" cy="1727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78475" cy="172720"/>
                        </a:xfrm>
                        <a:prstGeom prst="rect">
                          <a:avLst/>
                        </a:prstGeom>
                        <a:noFill/>
                        <a:ln w="15875">
                          <a:noFill/>
                        </a:ln>
                      </wps:spPr>
                      <wps:txbx>
                        <w:txbxContent>
                          <w:p>
                            <w:r>
                              <w:rPr>
                                <w:i/>
                              </w:rPr>
                              <w:t xml:space="preserve">      </w:t>
                            </w:r>
                            <w:r>
                              <w:rPr>
                                <w:rFonts w:hint="eastAsia"/>
                                <w:i/>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35pt;height:13.6pt;width:439.25pt;mso-position-horizontal:right;mso-position-horizontal-relative:margin;mso-wrap-style:none;z-index:251665408;mso-width-relative:page;mso-height-relative:page;" filled="f" stroked="f" coordsize="21600,21600" o:gfxdata="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IFk41wAAAAYBAAAPAAAAAAAAAAEA&#10;IAAAACIAAABkcnMvZG93bnJldi54bWxQSwECFAAUAAAACACHTuJAq/5ICNcBAACiAwAADgAAAAAA&#10;AAABACAAAAAmAQAAZHJzL2Uyb0RvYy54bWxQSwUGAAAAAAYABgBZAQAAbwUAAAAA&#10;">
                <v:fill on="f" focussize="0,0"/>
                <v:stroke on="f" weight="1.25pt"/>
                <v:imagedata o:title=""/>
                <o:lock v:ext="edit" aspectratio="f"/>
                <v:textbox inset="0mm,0mm,0mm,0mm" style="mso-fit-shape-to-text:t;">
                  <w:txbxContent>
                    <w:p>
                      <w:r>
                        <w:rPr>
                          <w:i/>
                        </w:rPr>
                        <w:t xml:space="preserve">      </w:t>
                      </w:r>
                      <w:r>
                        <w:rPr>
                          <w:rFonts w:hint="eastAsia"/>
                          <w:i/>
                        </w:rPr>
                        <w:t xml:space="preserve">            </w:t>
                      </w:r>
                    </w:p>
                  </w:txbxContent>
                </v:textbox>
              </v:shape>
            </w:pict>
          </mc:Fallback>
        </mc:AlternateContent>
      </w:r>
      <w:r>
        <w:rPr>
          <w:rFonts w:ascii="宋体" w:hAnsi="宋体"/>
          <w:b w:val="0"/>
          <w:bCs w:val="0"/>
          <w:kern w:val="2"/>
          <w:sz w:val="24"/>
          <w:szCs w:val="24"/>
        </w:rPr>
        <w:br w:type="page"/>
      </w:r>
      <w:bookmarkStart w:id="1" w:name="_Toc52372801"/>
      <w:r>
        <w:rPr>
          <w:rFonts w:hint="eastAsia" w:ascii="宋体" w:hAnsi="宋体"/>
        </w:rPr>
        <w:t>估价假设和限制条件</w:t>
      </w:r>
      <w:bookmarkEnd w:id="1"/>
    </w:p>
    <w:p>
      <w:pPr>
        <w:spacing w:line="360" w:lineRule="auto"/>
        <w:ind w:firstLine="480" w:firstLineChars="200"/>
        <w:rPr>
          <w:bCs/>
          <w:sz w:val="24"/>
        </w:rPr>
      </w:pPr>
      <w:r>
        <w:rPr>
          <w:rFonts w:hint="eastAsia"/>
          <w:bCs/>
          <w:sz w:val="24"/>
        </w:rPr>
        <w:t>一、估价假设</w:t>
      </w:r>
    </w:p>
    <w:p>
      <w:pPr>
        <w:spacing w:line="360" w:lineRule="auto"/>
        <w:ind w:firstLine="480" w:firstLineChars="200"/>
        <w:rPr>
          <w:bCs/>
          <w:sz w:val="24"/>
        </w:rPr>
      </w:pPr>
      <w:r>
        <w:rPr>
          <w:rFonts w:hint="eastAsia"/>
          <w:bCs/>
          <w:sz w:val="24"/>
        </w:rPr>
        <w:t>1、一般假设</w:t>
      </w:r>
    </w:p>
    <w:p>
      <w:pPr>
        <w:spacing w:line="360" w:lineRule="auto"/>
        <w:ind w:firstLine="480" w:firstLineChars="200"/>
        <w:rPr>
          <w:bCs/>
          <w:sz w:val="24"/>
        </w:rPr>
      </w:pPr>
      <w:r>
        <w:rPr>
          <w:rFonts w:hint="eastAsia"/>
          <w:bCs/>
          <w:sz w:val="24"/>
        </w:rPr>
        <w:t>（1）本次估价所依据的估价对象的权属、面积、用途等资料由估价委托方提供，我们对估价委托方提供的资料进行了检查，在无理由怀疑其合法性、真实性、准确性和完整性且未予以核实的情况下：假设委托方提供的估价对象有关证件资料是真实、合法、准确、有效。</w:t>
      </w:r>
    </w:p>
    <w:p>
      <w:pPr>
        <w:spacing w:line="360" w:lineRule="auto"/>
        <w:ind w:firstLine="480" w:firstLineChars="200"/>
        <w:rPr>
          <w:bCs/>
          <w:sz w:val="24"/>
        </w:rPr>
      </w:pPr>
      <w:r>
        <w:rPr>
          <w:rFonts w:hint="eastAsia"/>
          <w:bCs/>
          <w:sz w:val="24"/>
        </w:rPr>
        <w:t>（2）我们对估价对象安全、环境污染等影响估价对象价值或价格的重大因素给予了关注，在无理由怀疑估价对象存在安全隐患且无相应的专业机构进行鉴定、检测的情况下：假设估价对象不存在基础、结构等难以直观体现的内在质量问题及安全隐患，外观体现即为估价对象真实状况；假设没有对估价对象价值或价格造成影响的环境污染。</w:t>
      </w:r>
    </w:p>
    <w:p>
      <w:pPr>
        <w:spacing w:line="360" w:lineRule="auto"/>
        <w:ind w:firstLine="480" w:firstLineChars="200"/>
        <w:rPr>
          <w:bCs/>
          <w:sz w:val="24"/>
        </w:rPr>
      </w:pPr>
      <w:r>
        <w:rPr>
          <w:rFonts w:hint="eastAsia"/>
          <w:bCs/>
          <w:sz w:val="24"/>
        </w:rPr>
        <w:t>（3）假设交易双方具有完全市场信息，有一段合理的洽谈时间，可以通盘考虑房地产性质和市场情形进行议价。不存在特殊买家的附加出价情况。</w:t>
      </w:r>
    </w:p>
    <w:p>
      <w:pPr>
        <w:spacing w:line="360" w:lineRule="auto"/>
        <w:ind w:firstLine="480" w:firstLineChars="200"/>
        <w:rPr>
          <w:bCs/>
          <w:sz w:val="24"/>
        </w:rPr>
      </w:pPr>
      <w:r>
        <w:rPr>
          <w:rFonts w:hint="eastAsia"/>
          <w:bCs/>
          <w:sz w:val="24"/>
        </w:rPr>
        <w:t>2、未定事项假设</w:t>
      </w:r>
      <w:r>
        <w:rPr>
          <w:rFonts w:hint="eastAsia"/>
          <w:bCs/>
          <w:sz w:val="24"/>
        </w:rPr>
        <w:tab/>
      </w:r>
    </w:p>
    <w:p>
      <w:pPr>
        <w:spacing w:line="360" w:lineRule="auto"/>
        <w:ind w:firstLine="480" w:firstLineChars="200"/>
        <w:rPr>
          <w:bCs/>
          <w:sz w:val="24"/>
        </w:rPr>
      </w:pPr>
      <w:r>
        <w:rPr>
          <w:rFonts w:hint="eastAsia"/>
          <w:bCs/>
          <w:sz w:val="24"/>
        </w:rPr>
        <w:t>（1）假设估价对象土地用途、容积率、绿化率等符合规划条件。</w:t>
      </w:r>
    </w:p>
    <w:p>
      <w:pPr>
        <w:spacing w:line="360" w:lineRule="auto"/>
        <w:ind w:firstLine="480" w:firstLineChars="200"/>
        <w:rPr>
          <w:bCs/>
          <w:sz w:val="24"/>
        </w:rPr>
      </w:pPr>
      <w:r>
        <w:rPr>
          <w:rFonts w:hint="eastAsia"/>
          <w:bCs/>
          <w:sz w:val="24"/>
        </w:rPr>
        <w:t>（2）假设在估价期间国家宏观政策不发生重大变化，无自然灾害等不可抗力及其他不可预见性状况对房地产价值产生影响。</w:t>
      </w:r>
    </w:p>
    <w:p>
      <w:pPr>
        <w:spacing w:line="360" w:lineRule="auto"/>
        <w:ind w:firstLine="480" w:firstLineChars="200"/>
        <w:rPr>
          <w:bCs/>
          <w:sz w:val="24"/>
        </w:rPr>
      </w:pPr>
      <w:r>
        <w:rPr>
          <w:rFonts w:hint="eastAsia"/>
          <w:bCs/>
          <w:sz w:val="24"/>
        </w:rPr>
        <w:t>（3）假设估价对象用途符合最高最佳使用要求，在估价对象法定存续期内不改变用途且能持续正常使用。</w:t>
      </w:r>
    </w:p>
    <w:p>
      <w:pPr>
        <w:spacing w:line="360" w:lineRule="auto"/>
        <w:ind w:firstLine="480" w:firstLineChars="200"/>
        <w:rPr>
          <w:bCs/>
          <w:sz w:val="24"/>
        </w:rPr>
      </w:pPr>
      <w:r>
        <w:rPr>
          <w:rFonts w:hint="eastAsia"/>
          <w:bCs/>
          <w:sz w:val="24"/>
        </w:rPr>
        <w:t>（4）假设估价对象权益完整，不存在除产权证件已标明和注册房地产估价师应知之外的产权纠纷、他项权利、司法和行政机关依法裁决查封和其他限制该估价对象权利的情形，至价值时点，估价对象不存在已明示之外相关的债权债务情况，可在公开市场上自由转让。</w:t>
      </w:r>
    </w:p>
    <w:p>
      <w:pPr>
        <w:spacing w:line="360" w:lineRule="auto"/>
        <w:ind w:firstLine="480" w:firstLineChars="200"/>
        <w:rPr>
          <w:bCs/>
          <w:sz w:val="24"/>
        </w:rPr>
      </w:pPr>
      <w:r>
        <w:rPr>
          <w:rFonts w:hint="eastAsia"/>
          <w:bCs/>
          <w:sz w:val="24"/>
        </w:rPr>
        <w:t>（5）假设在估价时点的房地产市场为公开、公平、自愿的交易市场，市场供应关系、市场结构保持稳定，不存在过度的投机行为或其他因素导致房地产市场价格的大幅度起伏。</w:t>
      </w:r>
    </w:p>
    <w:p>
      <w:pPr>
        <w:spacing w:line="360" w:lineRule="auto"/>
        <w:ind w:firstLine="480" w:firstLineChars="200"/>
        <w:rPr>
          <w:bCs/>
          <w:sz w:val="24"/>
        </w:rPr>
      </w:pPr>
      <w:r>
        <w:rPr>
          <w:rFonts w:hint="eastAsia"/>
          <w:bCs/>
          <w:sz w:val="24"/>
        </w:rPr>
        <w:t>3、背离事实假设</w:t>
      </w:r>
    </w:p>
    <w:p>
      <w:pPr>
        <w:spacing w:line="360" w:lineRule="auto"/>
        <w:ind w:firstLine="480" w:firstLineChars="200"/>
        <w:rPr>
          <w:bCs/>
          <w:sz w:val="24"/>
        </w:rPr>
      </w:pPr>
      <w:r>
        <w:rPr>
          <w:rFonts w:hint="eastAsia"/>
          <w:bCs/>
          <w:sz w:val="24"/>
        </w:rPr>
        <w:t>本次评估我们是在假设估价对象在价值时点不存在抵押权、被查封等他项权利的情况下做出的，与估价对象实际存在已抵押、已查封等存在他项权利的事实不符，故作此背离事实假设。</w:t>
      </w:r>
    </w:p>
    <w:p>
      <w:pPr>
        <w:spacing w:line="360" w:lineRule="auto"/>
        <w:ind w:firstLine="480" w:firstLineChars="200"/>
        <w:rPr>
          <w:bCs/>
          <w:sz w:val="24"/>
        </w:rPr>
      </w:pPr>
      <w:r>
        <w:rPr>
          <w:rFonts w:hint="eastAsia"/>
          <w:bCs/>
          <w:sz w:val="24"/>
        </w:rPr>
        <w:t>4、不相一致假设</w:t>
      </w:r>
    </w:p>
    <w:p>
      <w:pPr>
        <w:spacing w:line="360" w:lineRule="auto"/>
        <w:ind w:firstLine="480" w:firstLineChars="200"/>
        <w:rPr>
          <w:bCs/>
          <w:sz w:val="24"/>
        </w:rPr>
      </w:pPr>
      <w:r>
        <w:rPr>
          <w:rFonts w:hint="eastAsia"/>
          <w:bCs/>
          <w:sz w:val="24"/>
        </w:rPr>
        <w:t>无不相一致假设。</w:t>
      </w:r>
    </w:p>
    <w:p>
      <w:pPr>
        <w:spacing w:line="360" w:lineRule="auto"/>
        <w:ind w:firstLine="480" w:firstLineChars="200"/>
        <w:rPr>
          <w:bCs/>
          <w:sz w:val="24"/>
        </w:rPr>
      </w:pPr>
      <w:r>
        <w:rPr>
          <w:rFonts w:hint="eastAsia"/>
          <w:bCs/>
          <w:sz w:val="24"/>
        </w:rPr>
        <w:t>5、依据不足假设</w:t>
      </w:r>
    </w:p>
    <w:p>
      <w:pPr>
        <w:spacing w:line="360" w:lineRule="auto"/>
        <w:ind w:firstLine="480" w:firstLineChars="200"/>
        <w:rPr>
          <w:rFonts w:hint="eastAsia"/>
          <w:bCs/>
          <w:sz w:val="24"/>
          <w:lang w:val="en-US" w:eastAsia="zh-CN"/>
        </w:rPr>
      </w:pPr>
      <w:r>
        <w:rPr>
          <w:rFonts w:hint="eastAsia"/>
          <w:bCs/>
          <w:sz w:val="24"/>
          <w:lang w:val="en-US" w:eastAsia="zh-CN"/>
        </w:rPr>
        <w:t>由于</w:t>
      </w:r>
      <w:r>
        <w:rPr>
          <w:rFonts w:hint="eastAsia"/>
          <w:bCs/>
          <w:sz w:val="24"/>
          <w:u w:val="none"/>
          <w:lang w:val="en-US" w:eastAsia="zh-CN"/>
        </w:rPr>
        <w:t>未取得完整的</w:t>
      </w:r>
      <w:r>
        <w:rPr>
          <w:rFonts w:hint="eastAsia"/>
          <w:bCs/>
          <w:sz w:val="24"/>
          <w:lang w:val="en-US" w:eastAsia="zh-CN"/>
        </w:rPr>
        <w:t>不动产产权证，总楼层以现场勘查为准（地上5层），建成年代大约在2008年左右，故作此依据不足假设。</w:t>
      </w:r>
    </w:p>
    <w:p>
      <w:pPr>
        <w:spacing w:line="360" w:lineRule="auto"/>
        <w:ind w:firstLine="480" w:firstLineChars="200"/>
        <w:rPr>
          <w:bCs/>
          <w:sz w:val="24"/>
        </w:rPr>
      </w:pPr>
      <w:r>
        <w:rPr>
          <w:rFonts w:hint="eastAsia"/>
          <w:bCs/>
          <w:sz w:val="24"/>
        </w:rPr>
        <w:t>二、估价报告使用限制</w:t>
      </w:r>
    </w:p>
    <w:p>
      <w:pPr>
        <w:spacing w:line="360" w:lineRule="auto"/>
        <w:ind w:firstLine="480" w:firstLineChars="200"/>
        <w:rPr>
          <w:bCs/>
          <w:sz w:val="24"/>
        </w:rPr>
      </w:pPr>
      <w:r>
        <w:rPr>
          <w:rFonts w:hint="eastAsia"/>
          <w:bCs/>
          <w:sz w:val="24"/>
        </w:rPr>
        <w:t>１、本估价报告的使用必须以估价对象的合法使用、合法处分为前提，任何有关估价对象的运作方式、程序符合国家、地方的相关法律法规。</w:t>
      </w:r>
    </w:p>
    <w:p>
      <w:pPr>
        <w:spacing w:line="360" w:lineRule="auto"/>
        <w:ind w:firstLine="480" w:firstLineChars="200"/>
        <w:rPr>
          <w:bCs/>
          <w:sz w:val="24"/>
        </w:rPr>
      </w:pPr>
      <w:r>
        <w:rPr>
          <w:rFonts w:hint="eastAsia"/>
          <w:bCs/>
          <w:sz w:val="24"/>
        </w:rPr>
        <w:t>２、本报告估价结果是根据本次估价目的，于价值时点对估价对象在保持现有状态下做出的，仅为委托方执行案件提供价值参考，如改变估价目的或用于其他用途，须另行评估。</w:t>
      </w:r>
    </w:p>
    <w:p>
      <w:pPr>
        <w:spacing w:line="360" w:lineRule="auto"/>
        <w:ind w:firstLine="480" w:firstLineChars="200"/>
        <w:rPr>
          <w:bCs/>
          <w:sz w:val="24"/>
        </w:rPr>
      </w:pPr>
      <w:r>
        <w:rPr>
          <w:rFonts w:hint="eastAsia"/>
          <w:bCs/>
          <w:sz w:val="24"/>
        </w:rPr>
        <w:t>３、本估价报告使用期限，根据《房地产估价规范》的要求，确定为自估价报告出具之日起一年内有效。</w:t>
      </w:r>
    </w:p>
    <w:p>
      <w:pPr>
        <w:spacing w:line="360" w:lineRule="auto"/>
        <w:ind w:firstLine="480" w:firstLineChars="200"/>
        <w:rPr>
          <w:bCs/>
          <w:sz w:val="24"/>
        </w:rPr>
      </w:pPr>
      <w:r>
        <w:rPr>
          <w:rFonts w:hint="eastAsia"/>
          <w:bCs/>
          <w:sz w:val="24"/>
        </w:rPr>
        <w:t>４、本报告估价结果没有考虑估价时点之后国家宏观政策、经济形势发生变化，以及遇有自然力和其它不可抗力对房地产价值的影响。在报告有效期内，如国家经济形势、城市规划、房地产税费政策、金融政策等发生重大变化，导致房地产市场严重波动，或估价对象本身发生重大变化，对估价结果产生明显影响时，估价委托方应及时聘请房地产评估机构对估价结果做出相应调整直至重新评估。</w:t>
      </w:r>
    </w:p>
    <w:p>
      <w:pPr>
        <w:spacing w:line="360" w:lineRule="auto"/>
        <w:ind w:firstLine="480" w:firstLineChars="200"/>
        <w:rPr>
          <w:bCs/>
          <w:sz w:val="24"/>
        </w:rPr>
      </w:pPr>
      <w:r>
        <w:rPr>
          <w:rFonts w:hint="eastAsia"/>
          <w:bCs/>
          <w:sz w:val="24"/>
        </w:rPr>
        <w:t>５、估价报告须经估价机构加盖公章并由估价师签字盖章后方为有效，提供给估价委托方的估价结果报告为一整体，不可分割使用，因使用不当造成损失，估价方不承担责任。</w:t>
      </w:r>
    </w:p>
    <w:p>
      <w:pPr>
        <w:spacing w:line="360" w:lineRule="auto"/>
        <w:ind w:firstLine="480" w:firstLineChars="200"/>
        <w:rPr>
          <w:bCs/>
          <w:sz w:val="24"/>
        </w:rPr>
      </w:pPr>
      <w:r>
        <w:rPr>
          <w:rFonts w:hint="eastAsia"/>
          <w:bCs/>
          <w:sz w:val="24"/>
        </w:rPr>
        <w:t>三、需要说明的其他事项</w:t>
      </w:r>
    </w:p>
    <w:p>
      <w:pPr>
        <w:spacing w:line="360" w:lineRule="auto"/>
        <w:ind w:firstLine="480" w:firstLineChars="200"/>
        <w:rPr>
          <w:bCs/>
          <w:sz w:val="24"/>
        </w:rPr>
      </w:pPr>
      <w:r>
        <w:rPr>
          <w:rFonts w:hint="eastAsia"/>
          <w:bCs/>
          <w:sz w:val="24"/>
        </w:rPr>
        <w:t>1、估价结论为满足全部假设与限制条件下的价值。</w:t>
      </w:r>
    </w:p>
    <w:p>
      <w:pPr>
        <w:spacing w:line="360" w:lineRule="auto"/>
        <w:ind w:firstLine="480" w:firstLineChars="200"/>
        <w:rPr>
          <w:bCs/>
          <w:sz w:val="24"/>
        </w:rPr>
      </w:pPr>
      <w:r>
        <w:rPr>
          <w:rFonts w:hint="eastAsia"/>
          <w:bCs/>
          <w:sz w:val="24"/>
        </w:rPr>
        <w:t>2、若发现本报告内文字或数字因校印或其他原因出现错误时，请委托方及时通知本公司进行更正，否则，报告误差部分及影响部分视为无效。</w:t>
      </w:r>
    </w:p>
    <w:p>
      <w:pPr>
        <w:spacing w:line="360" w:lineRule="auto"/>
        <w:ind w:firstLine="480" w:firstLineChars="200"/>
        <w:rPr>
          <w:bCs/>
          <w:sz w:val="24"/>
        </w:rPr>
      </w:pPr>
      <w:r>
        <w:rPr>
          <w:rFonts w:hint="eastAsia"/>
          <w:bCs/>
          <w:sz w:val="24"/>
        </w:rPr>
        <w:t>3、本估价报告依据了委托方提供的相关资料，委托方对资料的真实性负责。因资料失实造成估价结果有误的，估价机构和估价人员不承担相应的责任。</w:t>
      </w:r>
    </w:p>
    <w:p>
      <w:pPr>
        <w:spacing w:line="360" w:lineRule="auto"/>
        <w:ind w:firstLine="480" w:firstLineChars="200"/>
        <w:rPr>
          <w:bCs/>
          <w:sz w:val="24"/>
        </w:rPr>
      </w:pPr>
      <w:r>
        <w:rPr>
          <w:rFonts w:hint="eastAsia"/>
          <w:bCs/>
          <w:sz w:val="24"/>
        </w:rPr>
        <w:t>4、本报告确定的房地产价格为在假设公开市场条件下的模拟市场价格，不能替代市场定价，本报告所提供的分析和数据仅作为价格意见而不能视作任何价格保证。</w:t>
      </w:r>
    </w:p>
    <w:p>
      <w:pPr>
        <w:spacing w:line="360" w:lineRule="auto"/>
        <w:ind w:firstLine="480" w:firstLineChars="200"/>
        <w:rPr>
          <w:bCs/>
          <w:sz w:val="24"/>
        </w:rPr>
      </w:pPr>
      <w:r>
        <w:rPr>
          <w:rFonts w:hint="eastAsia"/>
          <w:bCs/>
          <w:sz w:val="24"/>
        </w:rPr>
        <w:t>5、本报告只限用于在估价对象现状、估价目的、价值时点及满足全部假设与限制条件下的价值。</w:t>
      </w:r>
    </w:p>
    <w:p>
      <w:pPr>
        <w:spacing w:line="360" w:lineRule="auto"/>
        <w:ind w:firstLine="480" w:firstLineChars="200"/>
        <w:rPr>
          <w:bCs/>
          <w:sz w:val="24"/>
        </w:rPr>
      </w:pPr>
      <w:r>
        <w:rPr>
          <w:rFonts w:hint="eastAsia"/>
          <w:bCs/>
          <w:sz w:val="24"/>
        </w:rPr>
        <w:t>6、本估价报告分为估价结果报告和估价技术报告两种形式，估价结果报告供估价委托方使用，估价技术报告只供评估报告审核单位使用及估价机构存档备案。</w:t>
      </w:r>
    </w:p>
    <w:p>
      <w:pPr>
        <w:spacing w:line="360" w:lineRule="auto"/>
        <w:ind w:firstLine="480" w:firstLineChars="200"/>
        <w:rPr>
          <w:bCs/>
          <w:sz w:val="24"/>
        </w:rPr>
      </w:pPr>
      <w:r>
        <w:rPr>
          <w:rFonts w:hint="eastAsia"/>
          <w:bCs/>
          <w:sz w:val="24"/>
        </w:rPr>
        <w:t>7、本报告不可作为任何形式的产权证明文件。</w:t>
      </w:r>
    </w:p>
    <w:p>
      <w:pPr>
        <w:spacing w:line="360" w:lineRule="auto"/>
        <w:ind w:firstLine="480" w:firstLineChars="200"/>
        <w:rPr>
          <w:bCs/>
          <w:sz w:val="24"/>
        </w:rPr>
      </w:pPr>
      <w:r>
        <w:rPr>
          <w:rFonts w:hint="eastAsia"/>
          <w:bCs/>
          <w:sz w:val="24"/>
        </w:rPr>
        <w:t>8、未经我公司授权或许可，估价报告的全部或部分内容不得发表于任何公开媒体上，估价报告的相关资料亦不得在任何公开发表的文件、通告或声明中引用。本报告的最终解释权归本公司所有。</w:t>
      </w:r>
    </w:p>
    <w:p>
      <w:pPr>
        <w:spacing w:line="360" w:lineRule="auto"/>
        <w:ind w:firstLine="480" w:firstLineChars="200"/>
        <w:rPr>
          <w:rFonts w:ascii="宋体" w:hAnsi="宋体"/>
          <w:bCs/>
          <w:sz w:val="24"/>
        </w:rPr>
      </w:pPr>
      <w:r>
        <w:rPr>
          <w:rFonts w:hint="eastAsia"/>
          <w:bCs/>
          <w:sz w:val="24"/>
        </w:rPr>
        <w:t>9、本报告估价结果是在公开市场前提下求取的房地产市场价值，未考虑房地产过户所应缴纳的各种税费和强制处分、快速变现等特殊交易方式对房地产价值带来的影响，提请报告使用者注意。</w:t>
      </w:r>
    </w:p>
    <w:p>
      <w:pPr>
        <w:spacing w:line="360" w:lineRule="auto"/>
        <w:ind w:firstLine="480" w:firstLineChars="200"/>
        <w:rPr>
          <w:rFonts w:ascii="宋体" w:hAnsi="宋体"/>
          <w:bCs/>
          <w:sz w:val="24"/>
        </w:rPr>
      </w:pPr>
    </w:p>
    <w:p>
      <w:pPr>
        <w:pStyle w:val="2"/>
        <w:keepNext w:val="0"/>
        <w:keepLines w:val="0"/>
        <w:spacing w:line="360" w:lineRule="auto"/>
        <w:jc w:val="center"/>
        <w:rPr>
          <w:rFonts w:ascii="宋体" w:hAnsi="宋体"/>
        </w:rPr>
      </w:pPr>
    </w:p>
    <w:p/>
    <w:p/>
    <w:p/>
    <w:p>
      <w:pPr>
        <w:pStyle w:val="2"/>
        <w:keepNext w:val="0"/>
        <w:keepLines w:val="0"/>
        <w:spacing w:line="360" w:lineRule="auto"/>
        <w:jc w:val="center"/>
        <w:rPr>
          <w:rFonts w:ascii="宋体" w:hAnsi="宋体"/>
        </w:rPr>
      </w:pPr>
    </w:p>
    <w:p>
      <w:pPr>
        <w:pStyle w:val="2"/>
        <w:keepNext w:val="0"/>
        <w:keepLines w:val="0"/>
        <w:spacing w:line="360" w:lineRule="auto"/>
        <w:jc w:val="center"/>
        <w:rPr>
          <w:rFonts w:ascii="宋体" w:hAnsi="宋体"/>
        </w:rPr>
      </w:pPr>
    </w:p>
    <w:p/>
    <w:p/>
    <w:p/>
    <w:p/>
    <w:p/>
    <w:p/>
    <w:p/>
    <w:p/>
    <w:p/>
    <w:p/>
    <w:p/>
    <w:p>
      <w:pPr>
        <w:pStyle w:val="2"/>
        <w:spacing w:line="360" w:lineRule="auto"/>
        <w:jc w:val="center"/>
        <w:rPr>
          <w:rFonts w:ascii="宋体" w:hAnsi="宋体"/>
          <w:b w:val="0"/>
          <w:bCs w:val="0"/>
        </w:rPr>
      </w:pPr>
      <w:bookmarkStart w:id="2" w:name="_Toc52372802"/>
      <w:r>
        <w:rPr>
          <w:rFonts w:hint="eastAsia" w:ascii="宋体" w:hAnsi="宋体"/>
        </w:rPr>
        <w:t>估价结果报告</w:t>
      </w:r>
      <w:bookmarkEnd w:id="2"/>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3" w:name="_Toc52372803"/>
      <w:r>
        <w:rPr>
          <w:rFonts w:hint="eastAsia" w:ascii="宋体" w:hAnsi="宋体" w:cs="宋体"/>
          <w:b/>
          <w:sz w:val="24"/>
        </w:rPr>
        <w:t>一、估价委托人</w:t>
      </w:r>
      <w:bookmarkEnd w:id="3"/>
    </w:p>
    <w:p>
      <w:pPr>
        <w:pStyle w:val="8"/>
        <w:keepNext w:val="0"/>
        <w:keepLines w:val="0"/>
        <w:pageBreakBefore w:val="0"/>
        <w:widowControl w:val="0"/>
        <w:kinsoku/>
        <w:wordWrap/>
        <w:overflowPunct/>
        <w:topLinePunct w:val="0"/>
        <w:autoSpaceDE/>
        <w:autoSpaceDN/>
        <w:bidi w:val="0"/>
        <w:spacing w:line="360" w:lineRule="auto"/>
        <w:ind w:firstLine="480"/>
        <w:textAlignment w:val="auto"/>
        <w:rPr>
          <w:rFonts w:cs="宋体"/>
          <w:bCs/>
          <w:sz w:val="24"/>
          <w:szCs w:val="24"/>
        </w:rPr>
      </w:pPr>
      <w:r>
        <w:rPr>
          <w:rFonts w:hint="eastAsia" w:cs="宋体"/>
          <w:bCs/>
          <w:sz w:val="24"/>
          <w:szCs w:val="24"/>
        </w:rPr>
        <w:t>名称：山东省诸城市人民法院</w:t>
      </w:r>
    </w:p>
    <w:p>
      <w:pPr>
        <w:pStyle w:val="8"/>
        <w:keepNext w:val="0"/>
        <w:keepLines w:val="0"/>
        <w:pageBreakBefore w:val="0"/>
        <w:widowControl w:val="0"/>
        <w:kinsoku/>
        <w:wordWrap/>
        <w:overflowPunct/>
        <w:topLinePunct w:val="0"/>
        <w:autoSpaceDE/>
        <w:autoSpaceDN/>
        <w:bidi w:val="0"/>
        <w:spacing w:line="360" w:lineRule="auto"/>
        <w:ind w:firstLine="480"/>
        <w:textAlignment w:val="auto"/>
        <w:rPr>
          <w:rFonts w:cs="宋体"/>
          <w:bCs/>
          <w:sz w:val="24"/>
          <w:szCs w:val="24"/>
        </w:rPr>
      </w:pPr>
      <w:r>
        <w:rPr>
          <w:rFonts w:hint="eastAsia" w:cs="宋体"/>
          <w:bCs/>
          <w:sz w:val="24"/>
          <w:szCs w:val="24"/>
        </w:rPr>
        <w:t>地址: 诸城市舜都路71号。</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4" w:name="_Toc52372804"/>
      <w:r>
        <w:rPr>
          <w:rFonts w:hint="eastAsia" w:ascii="宋体" w:hAnsi="宋体" w:cs="宋体"/>
          <w:b/>
          <w:sz w:val="24"/>
        </w:rPr>
        <w:t>二、房地产估价机构</w:t>
      </w:r>
      <w:bookmarkEnd w:id="4"/>
    </w:p>
    <w:p>
      <w:pPr>
        <w:pStyle w:val="8"/>
        <w:keepNext w:val="0"/>
        <w:keepLines w:val="0"/>
        <w:pageBreakBefore w:val="0"/>
        <w:widowControl w:val="0"/>
        <w:kinsoku/>
        <w:wordWrap/>
        <w:overflowPunct/>
        <w:topLinePunct w:val="0"/>
        <w:autoSpaceDE/>
        <w:autoSpaceDN/>
        <w:bidi w:val="0"/>
        <w:spacing w:line="360" w:lineRule="auto"/>
        <w:ind w:firstLine="480"/>
        <w:textAlignment w:val="auto"/>
        <w:rPr>
          <w:rFonts w:cs="宋体"/>
          <w:sz w:val="24"/>
          <w:szCs w:val="24"/>
        </w:rPr>
      </w:pPr>
      <w:r>
        <w:rPr>
          <w:rFonts w:hint="eastAsia" w:cs="宋体"/>
          <w:sz w:val="24"/>
          <w:szCs w:val="24"/>
        </w:rPr>
        <w:t>机构名称：山东鲁业房地产土地评估有限公司</w:t>
      </w:r>
    </w:p>
    <w:p>
      <w:pPr>
        <w:pStyle w:val="8"/>
        <w:keepNext w:val="0"/>
        <w:keepLines w:val="0"/>
        <w:pageBreakBefore w:val="0"/>
        <w:widowControl w:val="0"/>
        <w:kinsoku/>
        <w:wordWrap/>
        <w:overflowPunct/>
        <w:topLinePunct w:val="0"/>
        <w:autoSpaceDE/>
        <w:autoSpaceDN/>
        <w:bidi w:val="0"/>
        <w:spacing w:line="360" w:lineRule="auto"/>
        <w:ind w:firstLine="480"/>
        <w:textAlignment w:val="auto"/>
        <w:rPr>
          <w:rFonts w:cs="宋体"/>
          <w:sz w:val="24"/>
          <w:szCs w:val="24"/>
        </w:rPr>
      </w:pPr>
      <w:r>
        <w:rPr>
          <w:rFonts w:hint="eastAsia" w:cs="宋体"/>
          <w:sz w:val="24"/>
          <w:szCs w:val="24"/>
        </w:rPr>
        <w:t>法人代表：田茂强</w:t>
      </w:r>
    </w:p>
    <w:p>
      <w:pPr>
        <w:pStyle w:val="8"/>
        <w:keepNext w:val="0"/>
        <w:keepLines w:val="0"/>
        <w:pageBreakBefore w:val="0"/>
        <w:widowControl w:val="0"/>
        <w:kinsoku/>
        <w:wordWrap/>
        <w:overflowPunct/>
        <w:topLinePunct w:val="0"/>
        <w:autoSpaceDE/>
        <w:autoSpaceDN/>
        <w:bidi w:val="0"/>
        <w:spacing w:line="360" w:lineRule="auto"/>
        <w:ind w:firstLine="480"/>
        <w:textAlignment w:val="auto"/>
        <w:rPr>
          <w:rFonts w:cs="宋体"/>
          <w:sz w:val="24"/>
          <w:szCs w:val="24"/>
        </w:rPr>
      </w:pPr>
      <w:r>
        <w:rPr>
          <w:rFonts w:hint="eastAsia" w:cs="宋体"/>
          <w:sz w:val="24"/>
          <w:szCs w:val="24"/>
        </w:rPr>
        <w:t>地    址：青岛市市北区敦化路328号2号楼2016室</w:t>
      </w:r>
    </w:p>
    <w:p>
      <w:pPr>
        <w:pStyle w:val="8"/>
        <w:keepNext w:val="0"/>
        <w:keepLines w:val="0"/>
        <w:pageBreakBefore w:val="0"/>
        <w:widowControl w:val="0"/>
        <w:kinsoku/>
        <w:wordWrap/>
        <w:overflowPunct/>
        <w:topLinePunct w:val="0"/>
        <w:autoSpaceDE/>
        <w:autoSpaceDN/>
        <w:bidi w:val="0"/>
        <w:spacing w:line="360" w:lineRule="auto"/>
        <w:ind w:firstLine="480"/>
        <w:textAlignment w:val="auto"/>
        <w:rPr>
          <w:rFonts w:cs="宋体"/>
          <w:sz w:val="24"/>
          <w:szCs w:val="24"/>
        </w:rPr>
      </w:pPr>
      <w:r>
        <w:rPr>
          <w:rFonts w:hint="eastAsia" w:cs="宋体"/>
          <w:sz w:val="24"/>
          <w:szCs w:val="24"/>
        </w:rPr>
        <w:t>备案等级：一级</w:t>
      </w:r>
    </w:p>
    <w:p>
      <w:pPr>
        <w:pStyle w:val="8"/>
        <w:keepNext w:val="0"/>
        <w:keepLines w:val="0"/>
        <w:pageBreakBefore w:val="0"/>
        <w:widowControl w:val="0"/>
        <w:kinsoku/>
        <w:wordWrap/>
        <w:overflowPunct/>
        <w:topLinePunct w:val="0"/>
        <w:autoSpaceDE/>
        <w:autoSpaceDN/>
        <w:bidi w:val="0"/>
        <w:spacing w:line="360" w:lineRule="auto"/>
        <w:ind w:firstLine="480"/>
        <w:textAlignment w:val="auto"/>
        <w:rPr>
          <w:rFonts w:cs="宋体"/>
          <w:sz w:val="24"/>
          <w:szCs w:val="24"/>
        </w:rPr>
      </w:pPr>
      <w:r>
        <w:rPr>
          <w:rFonts w:hint="eastAsia" w:cs="宋体"/>
          <w:sz w:val="24"/>
          <w:szCs w:val="24"/>
        </w:rPr>
        <w:t>证书编号：鲁评021010</w:t>
      </w:r>
    </w:p>
    <w:p>
      <w:pPr>
        <w:keepNext w:val="0"/>
        <w:keepLines w:val="0"/>
        <w:pageBreakBefore w:val="0"/>
        <w:widowControl w:val="0"/>
        <w:numPr>
          <w:ilvl w:val="0"/>
          <w:numId w:val="1"/>
        </w:numPr>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5" w:name="_Toc52372805"/>
      <w:r>
        <w:rPr>
          <w:rFonts w:hint="eastAsia" w:ascii="宋体" w:hAnsi="宋体" w:cs="宋体"/>
          <w:b/>
          <w:sz w:val="24"/>
        </w:rPr>
        <w:t>估价对象</w:t>
      </w:r>
      <w:bookmarkEnd w:id="5"/>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bookmarkStart w:id="6" w:name="_Toc52372806"/>
      <w:r>
        <w:rPr>
          <w:rFonts w:hint="eastAsia" w:ascii="宋体" w:hAnsi="宋体" w:cs="宋体"/>
          <w:bCs/>
          <w:sz w:val="24"/>
        </w:rPr>
        <w:t>(一)估价对象财产范围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本次估价对象为位于</w:t>
      </w:r>
      <w:r>
        <w:rPr>
          <w:rFonts w:hint="eastAsia" w:ascii="宋体" w:hAnsi="宋体" w:cs="宋体"/>
          <w:bCs/>
          <w:sz w:val="24"/>
          <w:lang w:eastAsia="zh-CN"/>
        </w:rPr>
        <w:t>诸城市龙源街133号7号楼1单元501室及11号附房</w:t>
      </w:r>
      <w:r>
        <w:rPr>
          <w:rFonts w:hint="eastAsia" w:ascii="宋体" w:hAnsi="宋体" w:cs="宋体"/>
          <w:bCs/>
          <w:sz w:val="24"/>
        </w:rPr>
        <w:t>，</w:t>
      </w:r>
      <w:r>
        <w:rPr>
          <w:rFonts w:hint="eastAsia" w:ascii="宋体" w:hAnsi="宋体" w:cs="宋体"/>
          <w:bCs/>
          <w:sz w:val="24"/>
          <w:lang w:val="en-US" w:eastAsia="zh-CN"/>
        </w:rPr>
        <w:t>主房</w:t>
      </w:r>
      <w:r>
        <w:rPr>
          <w:rFonts w:hint="eastAsia" w:ascii="宋体" w:hAnsi="宋体" w:cs="宋体"/>
          <w:bCs/>
          <w:sz w:val="24"/>
        </w:rPr>
        <w:t>建筑面积</w:t>
      </w:r>
      <w:r>
        <w:rPr>
          <w:rFonts w:hint="eastAsia" w:ascii="宋体" w:hAnsi="宋体" w:cs="宋体"/>
          <w:bCs/>
          <w:sz w:val="24"/>
          <w:lang w:eastAsia="zh-CN"/>
        </w:rPr>
        <w:t>109.78</w:t>
      </w:r>
      <w:r>
        <w:rPr>
          <w:rFonts w:hint="eastAsia" w:ascii="宋体" w:hAnsi="宋体" w:cs="宋体"/>
          <w:bCs/>
          <w:sz w:val="24"/>
        </w:rPr>
        <w:t>㎡。本次估价仅针对估价对象分摊的土地使用权、房产权利权益价格、装饰装修，不包括室内可移动设施等动产及债权债务、特许经营权等其他财产或者权益。</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（二）估价对象实物状况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1、估价对象基本状况及范围：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本次估价对象和范围为位于</w:t>
      </w:r>
      <w:r>
        <w:rPr>
          <w:rFonts w:hint="eastAsia" w:ascii="宋体" w:hAnsi="宋体" w:cs="宋体"/>
          <w:bCs/>
          <w:sz w:val="24"/>
          <w:lang w:eastAsia="zh-CN"/>
        </w:rPr>
        <w:t>诸城市龙源街133号7号楼1单元501室及11号附房</w:t>
      </w:r>
      <w:r>
        <w:rPr>
          <w:rFonts w:hint="eastAsia" w:ascii="宋体" w:hAnsi="宋体" w:cs="宋体"/>
          <w:bCs/>
          <w:sz w:val="24"/>
        </w:rPr>
        <w:t>，</w:t>
      </w:r>
      <w:r>
        <w:rPr>
          <w:rFonts w:hint="eastAsia" w:ascii="宋体" w:hAnsi="宋体" w:cs="宋体"/>
          <w:bCs/>
          <w:sz w:val="24"/>
          <w:lang w:val="en-US" w:eastAsia="zh-CN"/>
        </w:rPr>
        <w:t>小区名称为：人民家园，</w:t>
      </w:r>
      <w:r>
        <w:rPr>
          <w:rFonts w:hint="eastAsia" w:ascii="宋体" w:hAnsi="宋体" w:cs="宋体"/>
          <w:bCs/>
          <w:sz w:val="24"/>
        </w:rPr>
        <w:t>幢号</w:t>
      </w:r>
      <w:r>
        <w:rPr>
          <w:rFonts w:hint="eastAsia" w:ascii="宋体" w:hAnsi="宋体" w:cs="宋体"/>
          <w:bCs/>
          <w:sz w:val="24"/>
          <w:lang w:eastAsia="zh-CN"/>
        </w:rPr>
        <w:t>：</w:t>
      </w:r>
      <w:r>
        <w:rPr>
          <w:rFonts w:hint="eastAsia" w:ascii="宋体" w:hAnsi="宋体" w:cs="宋体"/>
          <w:bCs/>
          <w:sz w:val="24"/>
          <w:lang w:val="en-US" w:eastAsia="zh-CN"/>
        </w:rPr>
        <w:t>禧居园7号楼</w:t>
      </w:r>
      <w:r>
        <w:rPr>
          <w:rFonts w:hint="eastAsia" w:ascii="宋体" w:hAnsi="宋体" w:cs="宋体"/>
          <w:bCs/>
          <w:sz w:val="24"/>
        </w:rPr>
        <w:t>，结构为</w:t>
      </w:r>
      <w:r>
        <w:rPr>
          <w:rFonts w:hint="eastAsia" w:ascii="宋体" w:hAnsi="宋体" w:cs="宋体"/>
          <w:bCs/>
          <w:sz w:val="24"/>
          <w:lang w:val="en-US" w:eastAsia="zh-CN"/>
        </w:rPr>
        <w:t>框架</w:t>
      </w:r>
      <w:r>
        <w:rPr>
          <w:rFonts w:hint="eastAsia" w:ascii="宋体" w:hAnsi="宋体" w:cs="宋体"/>
          <w:bCs/>
          <w:sz w:val="24"/>
        </w:rPr>
        <w:t>，总层数为</w:t>
      </w:r>
      <w:r>
        <w:rPr>
          <w:rFonts w:hint="eastAsia" w:ascii="宋体" w:hAnsi="宋体" w:cs="宋体"/>
          <w:bCs/>
          <w:sz w:val="24"/>
          <w:lang w:val="en-US" w:eastAsia="zh-CN"/>
        </w:rPr>
        <w:t>5</w:t>
      </w:r>
      <w:r>
        <w:rPr>
          <w:rFonts w:hint="eastAsia" w:ascii="宋体" w:hAnsi="宋体" w:cs="宋体"/>
          <w:bCs/>
          <w:sz w:val="24"/>
        </w:rPr>
        <w:t>层</w:t>
      </w:r>
      <w:r>
        <w:rPr>
          <w:rFonts w:hint="eastAsia" w:ascii="宋体" w:hAnsi="宋体" w:cs="宋体"/>
          <w:bCs/>
          <w:sz w:val="24"/>
          <w:lang w:eastAsia="zh-CN"/>
        </w:rPr>
        <w:t>，</w:t>
      </w:r>
      <w:r>
        <w:rPr>
          <w:rFonts w:hint="eastAsia" w:ascii="宋体" w:hAnsi="宋体" w:cs="宋体"/>
          <w:bCs/>
          <w:sz w:val="24"/>
        </w:rPr>
        <w:t>诸城市不动产登记信息查询结果证明中记载</w:t>
      </w:r>
      <w:r>
        <w:rPr>
          <w:rFonts w:hint="eastAsia" w:ascii="宋体" w:hAnsi="宋体" w:cs="宋体"/>
          <w:bCs/>
          <w:sz w:val="24"/>
          <w:lang w:eastAsia="zh-CN"/>
        </w:rPr>
        <w:t>：</w:t>
      </w:r>
      <w:r>
        <w:rPr>
          <w:rFonts w:hint="eastAsia" w:ascii="宋体" w:hAnsi="宋体" w:cs="宋体"/>
          <w:bCs/>
          <w:sz w:val="24"/>
        </w:rPr>
        <w:t>用途为</w:t>
      </w:r>
      <w:r>
        <w:rPr>
          <w:rFonts w:hint="eastAsia" w:ascii="宋体" w:hAnsi="宋体" w:cs="宋体"/>
          <w:bCs/>
          <w:sz w:val="24"/>
          <w:lang w:val="en-US" w:eastAsia="zh-CN"/>
        </w:rPr>
        <w:t>成套</w:t>
      </w:r>
      <w:r>
        <w:rPr>
          <w:rFonts w:hint="eastAsia" w:ascii="宋体" w:hAnsi="宋体" w:cs="宋体"/>
          <w:bCs/>
          <w:sz w:val="24"/>
        </w:rPr>
        <w:t>住宅，</w:t>
      </w:r>
      <w:r>
        <w:rPr>
          <w:rFonts w:hint="eastAsia" w:ascii="宋体" w:hAnsi="宋体" w:cs="宋体"/>
          <w:bCs/>
          <w:sz w:val="24"/>
          <w:lang w:val="en-US" w:eastAsia="zh-CN"/>
        </w:rPr>
        <w:t>房屋</w:t>
      </w:r>
      <w:r>
        <w:rPr>
          <w:rFonts w:hint="eastAsia" w:ascii="宋体" w:hAnsi="宋体" w:cs="宋体"/>
          <w:bCs/>
          <w:sz w:val="24"/>
        </w:rPr>
        <w:t>建筑面积为</w:t>
      </w:r>
      <w:r>
        <w:rPr>
          <w:rFonts w:hint="eastAsia" w:ascii="宋体" w:hAnsi="宋体" w:cs="宋体"/>
          <w:bCs/>
          <w:sz w:val="24"/>
          <w:lang w:eastAsia="zh-CN"/>
        </w:rPr>
        <w:t>109.78</w:t>
      </w:r>
      <w:r>
        <w:rPr>
          <w:rFonts w:hint="eastAsia" w:ascii="宋体" w:hAnsi="宋体" w:cs="宋体"/>
          <w:bCs/>
          <w:sz w:val="24"/>
        </w:rPr>
        <w:t>㎡，</w:t>
      </w:r>
      <w:r>
        <w:rPr>
          <w:rFonts w:hint="eastAsia" w:ascii="宋体" w:hAnsi="宋体" w:cs="宋体"/>
          <w:bCs/>
          <w:sz w:val="24"/>
          <w:lang w:val="en-US" w:eastAsia="zh-CN"/>
        </w:rPr>
        <w:t>位于第5层；</w:t>
      </w:r>
      <w:r>
        <w:rPr>
          <w:rFonts w:hint="eastAsia" w:ascii="宋体" w:hAnsi="宋体" w:cs="宋体"/>
          <w:bCs/>
          <w:sz w:val="24"/>
        </w:rPr>
        <w:t>附房</w:t>
      </w:r>
      <w:r>
        <w:rPr>
          <w:rFonts w:hint="eastAsia" w:ascii="宋体" w:hAnsi="宋体" w:cs="宋体"/>
          <w:bCs/>
          <w:sz w:val="24"/>
          <w:lang w:val="en-US" w:eastAsia="zh-CN"/>
        </w:rPr>
        <w:t>位于地下一层；东山；</w:t>
      </w:r>
      <w:r>
        <w:rPr>
          <w:rFonts w:hint="eastAsia" w:ascii="宋体" w:hAnsi="宋体" w:cs="宋体"/>
          <w:bCs/>
          <w:sz w:val="24"/>
        </w:rPr>
        <w:t>建成年代</w:t>
      </w:r>
      <w:r>
        <w:rPr>
          <w:rFonts w:hint="eastAsia" w:ascii="宋体" w:hAnsi="宋体" w:cs="宋体"/>
          <w:bCs/>
          <w:sz w:val="24"/>
          <w:lang w:val="en-US" w:eastAsia="zh-CN"/>
        </w:rPr>
        <w:t>大约在</w:t>
      </w:r>
      <w:r>
        <w:rPr>
          <w:rFonts w:hint="eastAsia" w:ascii="宋体" w:hAnsi="宋体" w:cs="宋体"/>
          <w:bCs/>
          <w:sz w:val="24"/>
        </w:rPr>
        <w:t>20</w:t>
      </w:r>
      <w:r>
        <w:rPr>
          <w:rFonts w:hint="eastAsia" w:ascii="宋体" w:hAnsi="宋体" w:cs="宋体"/>
          <w:bCs/>
          <w:sz w:val="24"/>
          <w:lang w:val="en-US" w:eastAsia="zh-CN"/>
        </w:rPr>
        <w:t>08年</w:t>
      </w:r>
      <w:r>
        <w:rPr>
          <w:rFonts w:hint="eastAsia" w:ascii="宋体" w:hAnsi="宋体" w:cs="宋体"/>
          <w:bCs/>
          <w:sz w:val="24"/>
        </w:rPr>
        <w:t>左右。外墙</w:t>
      </w:r>
      <w:r>
        <w:rPr>
          <w:rFonts w:hint="eastAsia" w:ascii="宋体" w:hAnsi="宋体" w:cs="宋体"/>
          <w:bCs/>
          <w:sz w:val="24"/>
          <w:lang w:val="en-US" w:eastAsia="zh-CN"/>
        </w:rPr>
        <w:t>涂料粉刷</w:t>
      </w:r>
      <w:r>
        <w:rPr>
          <w:rFonts w:hint="eastAsia" w:ascii="宋体" w:hAnsi="宋体" w:cs="宋体"/>
          <w:bCs/>
          <w:sz w:val="24"/>
        </w:rPr>
        <w:t>，</w:t>
      </w:r>
      <w:r>
        <w:rPr>
          <w:rFonts w:hint="eastAsia" w:ascii="宋体" w:hAnsi="宋体" w:cs="宋体"/>
          <w:bCs/>
          <w:sz w:val="24"/>
          <w:lang w:val="en-US" w:eastAsia="zh-CN"/>
        </w:rPr>
        <w:t>塑钢窗、</w:t>
      </w:r>
      <w:r>
        <w:rPr>
          <w:rFonts w:hint="eastAsia" w:ascii="宋体" w:hAnsi="宋体" w:cs="宋体"/>
          <w:bCs/>
          <w:sz w:val="24"/>
        </w:rPr>
        <w:t>单元防盗门，入户防盗门，</w:t>
      </w:r>
      <w:r>
        <w:rPr>
          <w:rFonts w:hint="eastAsia" w:ascii="宋体" w:hAnsi="宋体" w:cs="宋体"/>
          <w:bCs/>
          <w:sz w:val="24"/>
          <w:lang w:val="en-US" w:eastAsia="zh-CN"/>
        </w:rPr>
        <w:t>楼梯不锈钢扶手、大理石踏步、不带电梯，三室一厅一厨房一卫生间，室内贴壁纸、瓷砖地面、客厅造型吊顶、卧室内安装壁橱、厨卫吊顶、北向一个卧室属于单独搭建（部分面积不在产权证内），</w:t>
      </w:r>
      <w:r>
        <w:rPr>
          <w:rFonts w:hint="eastAsia" w:ascii="宋体" w:hAnsi="宋体" w:cs="宋体"/>
          <w:bCs/>
          <w:sz w:val="24"/>
        </w:rPr>
        <w:t>水、电、暖、天然气等配套设施齐全。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s="宋体"/>
          <w:bCs/>
          <w:sz w:val="24"/>
        </w:rPr>
      </w:pPr>
      <w:r>
        <w:rPr>
          <w:rFonts w:hint="eastAsia" w:ascii="宋体" w:hAnsi="宋体" w:cs="宋体"/>
          <w:bCs/>
          <w:sz w:val="24"/>
        </w:rPr>
        <w:t>根据现场勘察，估价对象结构施工质量良好，装修保养状况较好，未发现基础沉降、结构变形等现象，房屋成新率为</w:t>
      </w:r>
      <w:r>
        <w:rPr>
          <w:rFonts w:hint="eastAsia" w:ascii="宋体" w:hAnsi="宋体" w:cs="宋体"/>
          <w:bCs/>
          <w:sz w:val="24"/>
          <w:lang w:val="en-US" w:eastAsia="zh-CN"/>
        </w:rPr>
        <w:t>八</w:t>
      </w:r>
      <w:r>
        <w:rPr>
          <w:rFonts w:hint="eastAsia" w:ascii="宋体" w:hAnsi="宋体" w:cs="宋体"/>
          <w:bCs/>
          <w:sz w:val="24"/>
        </w:rPr>
        <w:t>成新。</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hint="eastAsia" w:ascii="宋体" w:hAnsi="宋体" w:cs="宋体"/>
          <w:bCs/>
          <w:sz w:val="24"/>
        </w:rPr>
      </w:pPr>
      <w:r>
        <w:rPr>
          <w:rFonts w:hint="eastAsia" w:ascii="宋体" w:hAnsi="宋体" w:cs="宋体"/>
          <w:bCs/>
          <w:sz w:val="24"/>
          <w:lang w:val="en-US" w:eastAsia="zh-CN"/>
        </w:rPr>
        <w:t>土地</w:t>
      </w:r>
      <w:r>
        <w:rPr>
          <w:rFonts w:hint="eastAsia" w:ascii="宋体" w:hAnsi="宋体" w:cs="宋体"/>
          <w:bCs/>
          <w:sz w:val="24"/>
        </w:rPr>
        <w:t>开发程度：估价对象所在建筑周边,地势较平坦，地质条件较好，土地承载力高，开发程度较高，达到七通一平，即通路、上水、下水、供电、通讯、供气、供热及宗地内场地平整。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2、区位状况：</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位置：估价对象位于</w:t>
      </w:r>
      <w:r>
        <w:rPr>
          <w:rFonts w:hint="eastAsia" w:ascii="宋体" w:hAnsi="宋体" w:cs="宋体"/>
          <w:bCs/>
          <w:sz w:val="24"/>
          <w:lang w:eastAsia="zh-CN"/>
        </w:rPr>
        <w:t>龙源街133号</w:t>
      </w:r>
      <w:r>
        <w:rPr>
          <w:rFonts w:hint="eastAsia" w:ascii="宋体" w:hAnsi="宋体" w:cs="宋体"/>
          <w:bCs/>
          <w:sz w:val="24"/>
        </w:rPr>
        <w:t>、</w:t>
      </w:r>
      <w:r>
        <w:rPr>
          <w:rFonts w:hint="eastAsia" w:ascii="宋体" w:hAnsi="宋体" w:cs="宋体"/>
          <w:bCs/>
          <w:sz w:val="24"/>
          <w:lang w:val="en-US" w:eastAsia="zh-CN"/>
        </w:rPr>
        <w:t>龙源街</w:t>
      </w:r>
      <w:r>
        <w:rPr>
          <w:rFonts w:hint="eastAsia" w:ascii="宋体" w:hAnsi="宋体" w:cs="宋体"/>
          <w:bCs/>
          <w:sz w:val="24"/>
        </w:rPr>
        <w:t>西侧</w:t>
      </w:r>
      <w:r>
        <w:rPr>
          <w:rFonts w:hint="eastAsia" w:ascii="宋体" w:hAnsi="宋体" w:cs="宋体"/>
          <w:bCs/>
          <w:sz w:val="24"/>
          <w:lang w:eastAsia="zh-CN"/>
        </w:rPr>
        <w:t>、</w:t>
      </w:r>
      <w:r>
        <w:rPr>
          <w:rFonts w:hint="eastAsia" w:ascii="宋体" w:hAnsi="宋体" w:cs="宋体"/>
          <w:bCs/>
          <w:sz w:val="24"/>
          <w:lang w:val="en-US" w:eastAsia="zh-CN"/>
        </w:rPr>
        <w:t>西环路东侧、兴华西路北侧、</w:t>
      </w:r>
      <w:r>
        <w:rPr>
          <w:rFonts w:hint="eastAsia" w:ascii="宋体" w:hAnsi="宋体" w:cs="宋体"/>
          <w:bCs/>
          <w:sz w:val="24"/>
        </w:rPr>
        <w:t>地理位置较好。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社区成熟度：小区周边有</w:t>
      </w:r>
      <w:r>
        <w:rPr>
          <w:rFonts w:hint="eastAsia" w:ascii="宋体" w:hAnsi="宋体" w:cs="宋体"/>
          <w:bCs/>
          <w:sz w:val="24"/>
          <w:lang w:val="en-US" w:eastAsia="zh-CN"/>
        </w:rPr>
        <w:t>科信小区、荣华园、正大文苑</w:t>
      </w:r>
      <w:r>
        <w:rPr>
          <w:rFonts w:hint="eastAsia" w:ascii="宋体" w:hAnsi="宋体" w:cs="宋体"/>
          <w:bCs/>
          <w:sz w:val="24"/>
        </w:rPr>
        <w:t>等小区，社区成熟度较高。</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自然环境和人文环境：估价对象小区内绿化较好，自然环境和人文环境好。</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公共服务设施及教育配套设施：小区附近有银行、学校、商超、社区门诊等，公共服务设施及教育设施较齐全。</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交通：小区附近有</w:t>
      </w:r>
      <w:r>
        <w:rPr>
          <w:rFonts w:hint="eastAsia" w:ascii="宋体" w:hAnsi="宋体" w:cs="宋体"/>
          <w:bCs/>
          <w:sz w:val="24"/>
          <w:lang w:val="en-US" w:eastAsia="zh-CN"/>
        </w:rPr>
        <w:t>多</w:t>
      </w:r>
      <w:r>
        <w:rPr>
          <w:rFonts w:hint="eastAsia" w:ascii="宋体" w:hAnsi="宋体" w:cs="宋体"/>
          <w:bCs/>
          <w:sz w:val="24"/>
        </w:rPr>
        <w:t>路公交车站，交通便捷。</w:t>
      </w:r>
    </w:p>
    <w:p>
      <w:pPr>
        <w:keepNext w:val="0"/>
        <w:keepLines w:val="0"/>
        <w:pageBreakBefore w:val="0"/>
        <w:widowControl w:val="0"/>
        <w:numPr>
          <w:ilvl w:val="0"/>
          <w:numId w:val="2"/>
        </w:numPr>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权属状况：根据委托人提供的诸城市不动产登记信息查询结果证明（编号：20220</w:t>
      </w:r>
      <w:r>
        <w:rPr>
          <w:rFonts w:hint="eastAsia" w:ascii="宋体" w:hAnsi="宋体" w:cs="宋体"/>
          <w:bCs/>
          <w:sz w:val="24"/>
          <w:lang w:val="en-US" w:eastAsia="zh-CN"/>
        </w:rPr>
        <w:t>719</w:t>
      </w:r>
      <w:r>
        <w:rPr>
          <w:rFonts w:hint="eastAsia" w:ascii="宋体" w:hAnsi="宋体" w:cs="宋体"/>
          <w:bCs/>
          <w:sz w:val="24"/>
        </w:rPr>
        <w:t>-00</w:t>
      </w:r>
      <w:r>
        <w:rPr>
          <w:rFonts w:hint="eastAsia" w:ascii="宋体" w:hAnsi="宋体" w:cs="宋体"/>
          <w:bCs/>
          <w:sz w:val="24"/>
          <w:lang w:val="en-US" w:eastAsia="zh-CN"/>
        </w:rPr>
        <w:t>34617</w:t>
      </w:r>
      <w:r>
        <w:rPr>
          <w:rFonts w:hint="eastAsia" w:ascii="宋体" w:hAnsi="宋体" w:cs="宋体"/>
          <w:bCs/>
          <w:sz w:val="24"/>
        </w:rPr>
        <w:t>），获悉房屋权利人为</w:t>
      </w:r>
      <w:r>
        <w:rPr>
          <w:rFonts w:hint="eastAsia" w:ascii="宋体" w:hAnsi="宋体" w:cs="宋体"/>
          <w:bCs/>
          <w:sz w:val="24"/>
          <w:lang w:eastAsia="zh-CN"/>
        </w:rPr>
        <w:t>杨光</w:t>
      </w:r>
      <w:r>
        <w:rPr>
          <w:rFonts w:hint="eastAsia" w:ascii="宋体" w:hAnsi="宋体" w:cs="宋体"/>
          <w:bCs/>
          <w:sz w:val="24"/>
        </w:rPr>
        <w:t>（身份证号码：3707821</w:t>
      </w:r>
      <w:r>
        <w:rPr>
          <w:rFonts w:hint="eastAsia" w:ascii="宋体" w:hAnsi="宋体" w:cs="宋体"/>
          <w:bCs/>
          <w:sz w:val="24"/>
          <w:lang w:val="en-US" w:eastAsia="zh-CN"/>
        </w:rPr>
        <w:t>98911250039</w:t>
      </w:r>
      <w:r>
        <w:rPr>
          <w:rFonts w:hint="eastAsia" w:ascii="宋体" w:hAnsi="宋体" w:cs="宋体"/>
          <w:bCs/>
          <w:sz w:val="24"/>
        </w:rPr>
        <w:t>，</w:t>
      </w:r>
      <w:r>
        <w:rPr>
          <w:rFonts w:hint="eastAsia" w:ascii="宋体" w:hAnsi="宋体" w:cs="宋体"/>
          <w:sz w:val="24"/>
        </w:rPr>
        <w:t>不动产权证号为：</w:t>
      </w:r>
      <w:r>
        <w:rPr>
          <w:rFonts w:hint="eastAsia" w:ascii="宋体" w:hAnsi="宋体" w:cs="宋体"/>
          <w:sz w:val="24"/>
          <w:lang w:eastAsia="zh-CN"/>
        </w:rPr>
        <w:t>鲁（2016）诸城市不动产权第0007124号</w:t>
      </w:r>
      <w:r>
        <w:rPr>
          <w:rFonts w:hint="eastAsia" w:ascii="宋体" w:hAnsi="宋体" w:cs="宋体"/>
          <w:bCs/>
          <w:sz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他项权利人</w:t>
      </w:r>
      <w:r>
        <w:rPr>
          <w:rFonts w:hint="eastAsia" w:ascii="宋体" w:hAnsi="宋体" w:cs="宋体"/>
          <w:bCs/>
          <w:sz w:val="24"/>
          <w:lang w:val="en-US" w:eastAsia="zh-CN"/>
        </w:rPr>
        <w:t>中信银行股份有限公司潍坊分</w:t>
      </w:r>
      <w:r>
        <w:rPr>
          <w:rFonts w:hint="eastAsia" w:ascii="宋体" w:hAnsi="宋体" w:cs="宋体"/>
          <w:bCs/>
          <w:sz w:val="24"/>
        </w:rPr>
        <w:t>行（他项权利证号：鲁（20</w:t>
      </w:r>
      <w:r>
        <w:rPr>
          <w:rFonts w:hint="eastAsia" w:ascii="宋体" w:hAnsi="宋体" w:cs="宋体"/>
          <w:bCs/>
          <w:sz w:val="24"/>
          <w:lang w:val="en-US" w:eastAsia="zh-CN"/>
        </w:rPr>
        <w:t>16</w:t>
      </w:r>
      <w:r>
        <w:rPr>
          <w:rFonts w:hint="eastAsia" w:ascii="宋体" w:hAnsi="宋体" w:cs="宋体"/>
          <w:bCs/>
          <w:sz w:val="24"/>
        </w:rPr>
        <w:t>）诸城市不动产证明第00</w:t>
      </w:r>
      <w:r>
        <w:rPr>
          <w:rFonts w:hint="eastAsia" w:ascii="宋体" w:hAnsi="宋体" w:cs="宋体"/>
          <w:bCs/>
          <w:sz w:val="24"/>
          <w:lang w:val="en-US" w:eastAsia="zh-CN"/>
        </w:rPr>
        <w:t>13221</w:t>
      </w:r>
      <w:r>
        <w:rPr>
          <w:rFonts w:hint="eastAsia" w:ascii="宋体" w:hAnsi="宋体" w:cs="宋体"/>
          <w:bCs/>
          <w:sz w:val="24"/>
        </w:rPr>
        <w:t>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于价值时点估价对象已被查封、已抵押。</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0"/>
        <w:rPr>
          <w:rFonts w:ascii="宋体" w:hAnsi="宋体" w:cs="宋体"/>
          <w:bCs/>
          <w:sz w:val="24"/>
        </w:rPr>
      </w:pPr>
      <w:r>
        <w:rPr>
          <w:rFonts w:hint="eastAsia" w:ascii="宋体" w:hAnsi="宋体" w:cs="宋体"/>
          <w:bCs/>
          <w:sz w:val="24"/>
        </w:rPr>
        <w:t>本次评估设定估价对象于价值时点无抵押、租赁、担保等他项权利存在，不存在法律纠纷，评估结果为估价对象于价值时点完全产权房地产市场价格。</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r>
        <w:rPr>
          <w:rFonts w:hint="eastAsia" w:ascii="宋体" w:hAnsi="宋体" w:cs="宋体"/>
          <w:b/>
          <w:sz w:val="24"/>
        </w:rPr>
        <w:t>四、估价目的</w:t>
      </w:r>
      <w:bookmarkEnd w:id="6"/>
    </w:p>
    <w:p>
      <w:pPr>
        <w:keepNext w:val="0"/>
        <w:keepLines w:val="0"/>
        <w:pageBreakBefore w:val="0"/>
        <w:widowControl w:val="0"/>
        <w:tabs>
          <w:tab w:val="left" w:pos="840"/>
        </w:tabs>
        <w:kinsoku/>
        <w:wordWrap/>
        <w:overflowPunct/>
        <w:topLinePunct w:val="0"/>
        <w:autoSpaceDE/>
        <w:autoSpaceDN/>
        <w:bidi w:val="0"/>
        <w:spacing w:line="360" w:lineRule="auto"/>
        <w:ind w:firstLine="480" w:firstLineChars="200"/>
        <w:textAlignment w:val="auto"/>
        <w:rPr>
          <w:rFonts w:ascii="宋体" w:hAnsi="宋体" w:cs="宋体"/>
          <w:bCs/>
          <w:sz w:val="24"/>
        </w:rPr>
      </w:pPr>
      <w:r>
        <w:rPr>
          <w:rFonts w:hint="eastAsia" w:ascii="宋体" w:hAnsi="宋体" w:cs="宋体"/>
          <w:bCs/>
          <w:sz w:val="24"/>
        </w:rPr>
        <w:t>为委托方执行案件提供价值参考而评估该住宅用房的市场价值。</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7" w:name="_Toc52372807"/>
      <w:r>
        <w:rPr>
          <w:rFonts w:hint="eastAsia" w:ascii="宋体" w:hAnsi="宋体" w:cs="宋体"/>
          <w:b/>
          <w:sz w:val="24"/>
        </w:rPr>
        <w:t>五、价值时点</w:t>
      </w:r>
      <w:bookmarkEnd w:id="7"/>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价值时点为2022年</w:t>
      </w:r>
      <w:r>
        <w:rPr>
          <w:rFonts w:hint="eastAsia" w:ascii="宋体" w:hAnsi="宋体" w:cs="宋体"/>
          <w:sz w:val="24"/>
          <w:lang w:eastAsia="zh-CN"/>
        </w:rPr>
        <w:t>9月6日</w:t>
      </w:r>
      <w:r>
        <w:rPr>
          <w:rFonts w:hint="eastAsia" w:ascii="宋体" w:hAnsi="宋体" w:cs="宋体"/>
          <w:sz w:val="24"/>
        </w:rPr>
        <w:t>。选择2022年</w:t>
      </w:r>
      <w:r>
        <w:rPr>
          <w:rFonts w:hint="eastAsia" w:ascii="宋体" w:hAnsi="宋体" w:cs="宋体"/>
          <w:sz w:val="24"/>
          <w:lang w:eastAsia="zh-CN"/>
        </w:rPr>
        <w:t>9月6日</w:t>
      </w:r>
      <w:r>
        <w:rPr>
          <w:rFonts w:hint="eastAsia" w:ascii="宋体" w:hAnsi="宋体" w:cs="宋体"/>
          <w:sz w:val="24"/>
        </w:rPr>
        <w:t>为价值时点，因该日为现场勘查日，能够比较全面反映评估对象的具体情况，更好地维护利益各方的合法权益；同时根据委托人的计划，价值时点与评估目的的计划实现日较接近，故选择此日作为价值时点。本次评估的一切取价标准均为价值时点有效的价格标准。</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8" w:name="_Toc52372808"/>
      <w:r>
        <w:rPr>
          <w:rFonts w:hint="eastAsia" w:ascii="宋体" w:hAnsi="宋体" w:cs="宋体"/>
          <w:b/>
          <w:sz w:val="24"/>
        </w:rPr>
        <w:t>六、价值类型</w:t>
      </w:r>
      <w:bookmarkEnd w:id="8"/>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bCs/>
          <w:sz w:val="24"/>
        </w:rPr>
        <w:t>本次估价确定的价值为市场价值，是指估价对象经适当营销后，由熟悉情况、谨慎行事且不受强迫的交易双方，以公平交易方式在价值时点自愿进行交易的金额</w:t>
      </w:r>
      <w:r>
        <w:rPr>
          <w:rFonts w:hint="eastAsia" w:ascii="宋体" w:hAnsi="宋体" w:cs="宋体"/>
          <w:sz w:val="24"/>
        </w:rPr>
        <w:t>。</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9" w:name="_Toc52372809"/>
      <w:r>
        <w:rPr>
          <w:rFonts w:hint="eastAsia" w:ascii="宋体" w:hAnsi="宋体" w:cs="宋体"/>
          <w:b/>
          <w:sz w:val="24"/>
        </w:rPr>
        <w:t>七、估价原则</w:t>
      </w:r>
      <w:bookmarkEnd w:id="9"/>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本次估价遵守独立、客观、公正原则，合法原则，价值时点原则，替代原则，最高最佳利用原则等技术性原则。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（一）独立、客观、公正原则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所谓独立，就是要求注册房地产估价师和房地产估价机构与估价委托人及估价利害关系人没有利害关系，在估价中不受包括估价委托人在内的任何单位和个人的影响，应凭自己的专业知识、实践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（二）合法原则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合法原则中，所称依法，是指不仅要依据有关法律、行政法规、最高人民法院和最高人民检察院发布的有关司法解释，还要依据估价对象所在地的有关地方性法规（民族自治地方应同时依据有关自治条例各单行条例），国务院所属部分颁发的有关部门规章和政策，估价对象所在地人民政府颁发的有关地方政府规章和政策，以及估价对象的不动产登记薄（房屋登记薄、土地登记薄）、权属证书、有关批文和合同等（如规划意见书、国有建设用地使用权出让招标文件、国有建设用地使用权出让合同、房地产转让合同、房屋租赁合同等）。因此，合法原则中所讲的“法”，是广义的“法”。但遵循合法原则并不意味着只有合法的房地产才能成为估价对象，而是指依法判定估价对象是哪种状况的房地产，就应将其作为那种状况的房地产来估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（三）价值时点原则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估价结论首先具有很强的时间相关性，这主要是考虑到资金的时间价值，在不同时间点上发生的现金流量对其价值影响不同。所以，在房地产估价时统一规定：如果一些款项的发生时点与价值时点不一致，应当折算为价值时点的现值。估价结论同时具有很强的时效性，这主要是考虑到房地产市场价值的波动性，同一估价对象在不同时点会具有不同的价值。所以强调：价值时点原则是在根据估价目的确定的某一特定时间的价值或价格的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（四）替代原则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替代原则，指评估价值与估价对象的类似房地产在同等条件下的价值或价格偏差应在合理范围内。</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在通常情况下，由于房地产的独一无二特性，难以找到各方面状况与估价对象相同的房地产，所以实际上寻找与估价对象具有替代性的相似房地产，然后将它们与估价对象进行比较，再根据他们与估价对象之间的差异对其价格进行适当修正和调整。在估价时不能孤立地思考估价对象的价值或价格，而要考虑相似房地产之间的价格比较，在同一个城市、同一个时期，为了同一种估价目的，对不同区位、不同档次的房地产的评估应有合理的“价差”，尤其是较好的房地产的评估价格不应低于较差的房地产的评估价格。</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（五）最高最佳利用原则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最高最佳利用原则，指评估价值应为在估价对象最高最佳利用状况下的价值或价格。</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最高最佳利用需要同时满足四个条件：一是法律上允许；二是技术上可能；三是财务上可行；四是价值最大化。实际估价中在选择估价对象的最高最佳利用时，往往容易忽视“法律上允许”这个前提，甚至误以为最高最佳利用与合法原则有时是冲突的。实际上，最高最佳利用不是无条件的最高最佳利用，而是在法律、法规、政策以及建设用地使用权出让合同等允许范围内的最高最佳利用。</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10" w:name="_Toc52372810"/>
      <w:r>
        <w:rPr>
          <w:rFonts w:hint="eastAsia" w:ascii="宋体" w:hAnsi="宋体" w:cs="宋体"/>
          <w:b/>
          <w:sz w:val="24"/>
        </w:rPr>
        <w:t>八、估价依据</w:t>
      </w:r>
      <w:bookmarkEnd w:id="10"/>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1、本次估价依据的相关房地产法律法规、政府文件、部门规章</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（1）《中华人民共和国城市房地产管理法》（中华人民共和国主席令第72号）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（2）《中华人民共和国土地管理法》（中华人民共和国主席令第28号）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（3）《中华人民共和国资产评估法》（2016年7月2日中华人民共和国主席令46号）；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（4）《中华人民共和国民法典》（中华人民共和国主席令第45号,2020年）</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（5）《中华人民共和国民事诉讼法》（中华人民共和国主席令第59号）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2、其他有关部门文件</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（1）《司法鉴定程序通则》（中华人民共和国司法部令第132号，2016年3月2日）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（2）《司法鉴定机构登记管理办法》（中华人民共和国司法部令第95号，2005年9月30日）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（3）《全国人民代表大会常务委员会关于司法鉴定管理问题的决定》（2005年2月28日第十届全国人民代表大会常务委员会第十四次会议通过，2005年10月1日）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（4）《最高人民法院关于人民法院确定财产处置参考价若干问题的规定》《法释[2018]15号，2018年8月28日）</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（5）《关于印发〈人民法院委托评估工作规范〉的通知》（法办〔2018〕273号）；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3、本次估价遵循的相关技术标准</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（1）《房地产估价规范》（中华人民共和国国家标准GB/T 50291-2015）</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（2）《房地产估价基本术语标准》（中华人民共和国国标GB/T 50899-2013）</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（3）《城镇土地估价规程》（中华人民共和国国家标准GB/T 18508-2014）</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（4）《房地产估价报告评审标准（试行）》（中国房地产估价师与房地产经纪人学会）</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4、估价委托方提供的有关资料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（1）评估委托书[（2022）鲁0782技委字第</w:t>
      </w:r>
      <w:r>
        <w:rPr>
          <w:rFonts w:hint="eastAsia" w:ascii="宋体" w:hAnsi="宋体" w:cs="宋体"/>
          <w:sz w:val="24"/>
          <w:lang w:val="en-US" w:eastAsia="zh-CN"/>
        </w:rPr>
        <w:t>1213</w:t>
      </w:r>
      <w:r>
        <w:rPr>
          <w:rFonts w:hint="eastAsia" w:ascii="宋体" w:hAnsi="宋体" w:cs="宋体"/>
          <w:sz w:val="24"/>
        </w:rPr>
        <w:t>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（2）执行裁定书[（2022）鲁0782执</w:t>
      </w:r>
      <w:r>
        <w:rPr>
          <w:rFonts w:hint="eastAsia" w:ascii="宋体" w:hAnsi="宋体" w:cs="宋体"/>
          <w:sz w:val="24"/>
          <w:lang w:val="en-US" w:eastAsia="zh-CN"/>
        </w:rPr>
        <w:t>675</w:t>
      </w:r>
      <w:r>
        <w:rPr>
          <w:rFonts w:hint="eastAsia" w:ascii="宋体" w:hAnsi="宋体" w:cs="宋体"/>
          <w:sz w:val="24"/>
        </w:rPr>
        <w:t>号；</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（3）诸城市不动产登记信息查询结果证明[编号：20220</w:t>
      </w:r>
      <w:r>
        <w:rPr>
          <w:rFonts w:hint="eastAsia" w:ascii="宋体" w:hAnsi="宋体" w:cs="宋体"/>
          <w:sz w:val="24"/>
          <w:lang w:val="en-US" w:eastAsia="zh-CN"/>
        </w:rPr>
        <w:t>719</w:t>
      </w:r>
      <w:r>
        <w:rPr>
          <w:rFonts w:hint="eastAsia" w:ascii="宋体" w:hAnsi="宋体" w:cs="宋体"/>
          <w:sz w:val="24"/>
        </w:rPr>
        <w:t>-00</w:t>
      </w:r>
      <w:r>
        <w:rPr>
          <w:rFonts w:hint="eastAsia" w:ascii="宋体" w:hAnsi="宋体" w:cs="宋体"/>
          <w:sz w:val="24"/>
          <w:lang w:val="en-US" w:eastAsia="zh-CN"/>
        </w:rPr>
        <w:t>34617</w:t>
      </w:r>
      <w:r>
        <w:rPr>
          <w:rFonts w:hint="eastAsia" w:ascii="宋体" w:hAnsi="宋体" w:cs="宋体"/>
          <w:sz w:val="24"/>
        </w:rPr>
        <w:t>；</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5、其他资料</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（1）估价人员实地查勘和调查获得的资料和数据；</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（2）估价机构掌握和搜集的估价所需资料。</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11" w:name="_Toc52372811"/>
      <w:r>
        <w:rPr>
          <w:rFonts w:hint="eastAsia" w:ascii="宋体" w:hAnsi="宋体" w:cs="宋体"/>
          <w:b/>
          <w:sz w:val="24"/>
        </w:rPr>
        <w:t>九、估价方法</w:t>
      </w:r>
      <w:bookmarkEnd w:id="11"/>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Cs/>
          <w:sz w:val="24"/>
        </w:rPr>
      </w:pPr>
      <w:r>
        <w:rPr>
          <w:rFonts w:hint="eastAsia" w:ascii="宋体" w:hAnsi="宋体" w:cs="宋体"/>
          <w:bCs/>
          <w:sz w:val="24"/>
        </w:rPr>
        <w:t>根据《房地产估价规范》，通行的估价方法有成本法、市场法、收益法、假设开发法等。估价方法的选择应按照房地产评估的技术规范，根据当地房地产市场发育情况并结合估价对象的具体特点及估价目的等，选择适当的估价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Cs/>
          <w:sz w:val="24"/>
        </w:rPr>
      </w:pPr>
      <w:r>
        <w:rPr>
          <w:rFonts w:hint="eastAsia" w:ascii="宋体" w:hAnsi="宋体" w:cs="宋体"/>
          <w:bCs/>
          <w:sz w:val="24"/>
        </w:rPr>
        <w:t>成本法是通过估算被评估资产的重置成本和资产实体性贬值、功能性贬值、经济性贬值，将重置成本扣减各种贬值作为资产评估值的一种方法。应用成本法评估的前提条件是被评估资产处于继续使用状态并与全新资产具有可比性，资产随着时间的推移具有贬值特性。本次评估对象为住宅，有保值增值的特性，且其重新构建成本的增值收益难以准确量化，故不宜采用成本法评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Cs/>
          <w:sz w:val="24"/>
        </w:rPr>
      </w:pPr>
      <w:r>
        <w:rPr>
          <w:rFonts w:hint="eastAsia" w:ascii="宋体" w:hAnsi="宋体" w:cs="宋体"/>
          <w:bCs/>
          <w:sz w:val="24"/>
        </w:rPr>
        <w:t>收益法也称为收益资本化法，是指通过估算被评估资产的未来预期收益并折算成现值，以确定被评估的资产价格的评估方法，也可以根据此预期收益理论通过资产价格估算收益年金。应用收益法的基本前提是未来能够产生持续的、稳定的盈利，并且盈利和风险能够准确量化。考虑到近几年房地产增值预期强烈，同类房产租金售价比值长期背离，通过市场法调查提取的收益率甚至显著低于无风险报酬率，通过租赁获得的净收益折算总和得到的评估价值较低，不能准确反应出房产的市场价值，故不适宜采用收益法进行评估。</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Cs/>
          <w:sz w:val="24"/>
        </w:rPr>
      </w:pPr>
      <w:r>
        <w:rPr>
          <w:rFonts w:hint="eastAsia" w:ascii="宋体" w:hAnsi="宋体" w:cs="宋体"/>
          <w:bCs/>
          <w:sz w:val="24"/>
        </w:rPr>
        <w:t>假设开发法是在预计开发完成后不动产正常交易价格的基础上，扣除预计的政策开发成本及有关专业费用、利息、利润和税收等，以价格余额来估算待估土地价格的方法。估价对象具有开发或再开发潜力且开发完成后的价值可采用成本法以外的方法测算的，应选用假设开发法。本次估价对象不具备开发或再开发潜力，故本次不选用假设开发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textAlignment w:val="auto"/>
        <w:rPr>
          <w:rFonts w:ascii="宋体" w:hAnsi="宋体" w:cs="宋体"/>
          <w:bCs/>
          <w:sz w:val="24"/>
        </w:rPr>
      </w:pPr>
      <w:r>
        <w:rPr>
          <w:rFonts w:hint="eastAsia" w:ascii="宋体" w:hAnsi="宋体" w:cs="宋体"/>
          <w:bCs/>
          <w:sz w:val="24"/>
        </w:rPr>
        <w:t>市场法，也称为比较法、市场比较法，是选取一定数量的可比实例，将它们与估价对象进行比较，根据其间的差异对可比实例成交价格进行处理后得到估价对象价值或价格的方法。因为估价对象为住宅,所处区域房地产交易案例较多且市场活跃，有关指标、参数容易获得，适宜采用市场法；故本次采用市场法进行评估。</w:t>
      </w:r>
      <w:bookmarkStart w:id="12" w:name="_Toc52372812"/>
    </w:p>
    <w:p>
      <w:pPr>
        <w:keepNext w:val="0"/>
        <w:keepLines w:val="0"/>
        <w:pageBreakBefore w:val="0"/>
        <w:widowControl w:val="0"/>
        <w:kinsoku/>
        <w:wordWrap/>
        <w:overflowPunct/>
        <w:topLinePunct w:val="0"/>
        <w:autoSpaceDE/>
        <w:autoSpaceDN/>
        <w:bidi w:val="0"/>
        <w:adjustRightInd w:val="0"/>
        <w:snapToGrid w:val="0"/>
        <w:spacing w:line="360" w:lineRule="auto"/>
        <w:ind w:firstLine="482" w:firstLineChars="200"/>
        <w:textAlignment w:val="auto"/>
        <w:rPr>
          <w:rFonts w:ascii="宋体" w:hAnsi="宋体" w:cs="宋体"/>
          <w:bCs/>
          <w:sz w:val="24"/>
        </w:rPr>
      </w:pPr>
      <w:r>
        <w:rPr>
          <w:rFonts w:hint="eastAsia" w:ascii="宋体" w:hAnsi="宋体" w:cs="宋体"/>
          <w:b/>
          <w:sz w:val="24"/>
        </w:rPr>
        <w:t>十、估价结果</w:t>
      </w:r>
      <w:bookmarkEnd w:id="12"/>
    </w:p>
    <w:p>
      <w:pPr>
        <w:keepNext w:val="0"/>
        <w:keepLines w:val="0"/>
        <w:pageBreakBefore w:val="0"/>
        <w:widowControl w:val="0"/>
        <w:tabs>
          <w:tab w:val="left" w:pos="8104"/>
        </w:tabs>
        <w:kinsoku/>
        <w:wordWrap/>
        <w:overflowPunct/>
        <w:topLinePunct w:val="0"/>
        <w:autoSpaceDE/>
        <w:autoSpaceDN/>
        <w:bidi w:val="0"/>
        <w:spacing w:line="360" w:lineRule="auto"/>
        <w:ind w:firstLine="480" w:firstLineChars="200"/>
        <w:textAlignment w:val="auto"/>
        <w:rPr>
          <w:rFonts w:ascii="宋体" w:hAnsi="宋体" w:cs="宋体"/>
          <w:b/>
          <w:sz w:val="24"/>
        </w:rPr>
      </w:pPr>
      <w:r>
        <w:rPr>
          <w:rFonts w:hint="eastAsia" w:ascii="宋体" w:hAnsi="宋体" w:cs="宋体"/>
          <w:bCs/>
          <w:sz w:val="24"/>
        </w:rPr>
        <w:t>估价人员根据估价目的，遵循估价原则，按照估价工作程序，运用科学的估价方法，仔细考察估价对象的建筑物特征及使用和维护情况，经过全面细致的测算，并结合估价经验和对影响价值因素的分析，最终确定在满足本估价报告中“估价假设与限制条件”的前提下，确定</w:t>
      </w:r>
      <w:r>
        <w:rPr>
          <w:rFonts w:hint="eastAsia" w:ascii="宋体" w:hAnsi="宋体" w:cs="宋体"/>
          <w:bCs/>
          <w:sz w:val="24"/>
          <w:lang w:eastAsia="zh-CN"/>
        </w:rPr>
        <w:t>杨光</w:t>
      </w:r>
      <w:r>
        <w:rPr>
          <w:rFonts w:hint="eastAsia" w:ascii="宋体" w:hAnsi="宋体" w:cs="宋体"/>
          <w:bCs/>
          <w:sz w:val="24"/>
        </w:rPr>
        <w:t>所属的位于</w:t>
      </w:r>
      <w:r>
        <w:rPr>
          <w:rFonts w:hint="eastAsia" w:ascii="宋体" w:hAnsi="宋体" w:cs="宋体"/>
          <w:bCs/>
          <w:sz w:val="24"/>
          <w:lang w:eastAsia="zh-CN"/>
        </w:rPr>
        <w:t>诸城市龙源街133号7号楼1单元501室及11号附房</w:t>
      </w:r>
      <w:r>
        <w:rPr>
          <w:rFonts w:hint="eastAsia" w:ascii="宋体" w:hAnsi="宋体" w:cs="宋体"/>
          <w:bCs/>
          <w:sz w:val="24"/>
        </w:rPr>
        <w:t>于2022年</w:t>
      </w:r>
      <w:r>
        <w:rPr>
          <w:rFonts w:hint="eastAsia" w:ascii="宋体" w:hAnsi="宋体" w:cs="宋体"/>
          <w:bCs/>
          <w:sz w:val="24"/>
          <w:lang w:eastAsia="zh-CN"/>
        </w:rPr>
        <w:t>9月6日</w:t>
      </w:r>
      <w:r>
        <w:rPr>
          <w:rFonts w:hint="eastAsia" w:ascii="宋体" w:hAnsi="宋体" w:cs="宋体"/>
          <w:bCs/>
          <w:sz w:val="24"/>
        </w:rPr>
        <w:t>的市场价值为人民币：</w:t>
      </w:r>
      <w:r>
        <w:rPr>
          <w:rFonts w:hint="eastAsia" w:ascii="宋体" w:hAnsi="宋体" w:cs="宋体"/>
          <w:bCs/>
          <w:sz w:val="24"/>
          <w:lang w:val="en-US" w:eastAsia="zh-CN"/>
        </w:rPr>
        <w:t>586006</w:t>
      </w:r>
      <w:r>
        <w:rPr>
          <w:rFonts w:hint="eastAsia" w:ascii="宋体" w:hAnsi="宋体" w:cs="宋体"/>
          <w:bCs/>
          <w:sz w:val="24"/>
        </w:rPr>
        <w:t>元（大写：人民币</w:t>
      </w:r>
      <w:r>
        <w:rPr>
          <w:rFonts w:hint="eastAsia" w:ascii="宋体" w:hAnsi="宋体" w:cs="宋体"/>
          <w:bCs/>
          <w:sz w:val="24"/>
          <w:lang w:val="en-US" w:eastAsia="zh-CN"/>
        </w:rPr>
        <w:t>伍拾捌万陆仟零陆元</w:t>
      </w:r>
      <w:r>
        <w:rPr>
          <w:rFonts w:hint="eastAsia" w:ascii="宋体" w:hAnsi="宋体" w:cs="宋体"/>
          <w:bCs/>
          <w:sz w:val="24"/>
        </w:rPr>
        <w:t>整），此价值包含附房价值，单价</w:t>
      </w:r>
      <w:r>
        <w:rPr>
          <w:rFonts w:hint="eastAsia" w:ascii="宋体" w:hAnsi="宋体" w:cs="宋体"/>
          <w:bCs/>
          <w:sz w:val="24"/>
          <w:lang w:val="en-US" w:eastAsia="zh-CN"/>
        </w:rPr>
        <w:t>5338</w:t>
      </w:r>
      <w:r>
        <w:rPr>
          <w:rFonts w:hint="eastAsia" w:ascii="宋体" w:hAnsi="宋体" w:cs="宋体"/>
          <w:bCs/>
          <w:sz w:val="24"/>
        </w:rPr>
        <w:t>元/㎡。</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13" w:name="_Toc52372813"/>
      <w:r>
        <w:rPr>
          <w:rFonts w:hint="eastAsia" w:ascii="宋体" w:hAnsi="宋体" w:cs="宋体"/>
          <w:b/>
          <w:sz w:val="24"/>
        </w:rPr>
        <w:t>十一、注册房地产估价师</w:t>
      </w:r>
      <w:bookmarkEnd w:id="13"/>
    </w:p>
    <w:tbl>
      <w:tblPr>
        <w:tblStyle w:val="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97"/>
        <w:gridCol w:w="1863"/>
        <w:gridCol w:w="3831"/>
        <w:gridCol w:w="21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 w:val="24"/>
              </w:rPr>
            </w:pPr>
            <w:r>
              <w:rPr>
                <w:rFonts w:hint="eastAsia" w:ascii="宋体" w:hAnsi="宋体" w:cs="宋体"/>
                <w:sz w:val="24"/>
              </w:rPr>
              <w:t>姓  名</w:t>
            </w:r>
          </w:p>
        </w:tc>
        <w:tc>
          <w:tcPr>
            <w:tcW w:w="1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 w:val="24"/>
              </w:rPr>
            </w:pPr>
            <w:r>
              <w:rPr>
                <w:rFonts w:hint="eastAsia" w:ascii="宋体" w:hAnsi="宋体" w:cs="宋体"/>
                <w:sz w:val="24"/>
              </w:rPr>
              <w:t>注册号</w:t>
            </w:r>
          </w:p>
        </w:tc>
        <w:tc>
          <w:tcPr>
            <w:tcW w:w="20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 w:val="24"/>
              </w:rPr>
            </w:pPr>
            <w:r>
              <w:rPr>
                <w:rFonts w:hint="eastAsia" w:ascii="宋体" w:hAnsi="宋体" w:cs="宋体"/>
                <w:sz w:val="24"/>
              </w:rPr>
              <w:t>签名</w:t>
            </w:r>
          </w:p>
        </w:tc>
        <w:tc>
          <w:tcPr>
            <w:tcW w:w="119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 w:val="24"/>
              </w:rPr>
            </w:pPr>
            <w:r>
              <w:rPr>
                <w:rFonts w:hint="eastAsia" w:ascii="宋体" w:hAnsi="宋体" w:cs="宋体"/>
                <w:sz w:val="24"/>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3" w:hRule="atLeast"/>
          <w:jc w:val="center"/>
        </w:trPr>
        <w:tc>
          <w:tcPr>
            <w:tcW w:w="7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 w:val="24"/>
              </w:rPr>
            </w:pPr>
            <w:r>
              <w:rPr>
                <w:rFonts w:hint="eastAsia" w:ascii="宋体" w:hAnsi="宋体" w:cs="宋体"/>
                <w:sz w:val="24"/>
              </w:rPr>
              <w:t xml:space="preserve">宋佳英 </w:t>
            </w:r>
          </w:p>
        </w:tc>
        <w:tc>
          <w:tcPr>
            <w:tcW w:w="1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 w:val="24"/>
              </w:rPr>
            </w:pPr>
            <w:r>
              <w:rPr>
                <w:rFonts w:hint="eastAsia" w:ascii="宋体" w:hAnsi="宋体" w:cs="宋体"/>
                <w:sz w:val="24"/>
              </w:rPr>
              <w:t>3720030089</w:t>
            </w:r>
          </w:p>
        </w:tc>
        <w:tc>
          <w:tcPr>
            <w:tcW w:w="20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ascii="宋体" w:hAnsi="宋体" w:cs="宋体"/>
                <w:sz w:val="24"/>
              </w:rPr>
            </w:pPr>
          </w:p>
        </w:tc>
        <w:tc>
          <w:tcPr>
            <w:tcW w:w="119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 w:val="24"/>
              </w:rPr>
            </w:pPr>
            <w:r>
              <w:rPr>
                <w:rFonts w:hint="eastAsia" w:ascii="宋体" w:hAnsi="宋体" w:cs="宋体"/>
                <w:sz w:val="24"/>
              </w:rPr>
              <w:t>2022年9月</w:t>
            </w:r>
            <w:r>
              <w:rPr>
                <w:rFonts w:hint="eastAsia" w:ascii="宋体" w:hAnsi="宋体" w:cs="宋体"/>
                <w:sz w:val="24"/>
                <w:lang w:val="en-US" w:eastAsia="zh-CN"/>
              </w:rPr>
              <w:t>1</w:t>
            </w:r>
            <w:r>
              <w:rPr>
                <w:rFonts w:hint="eastAsia" w:ascii="宋体" w:hAnsi="宋体" w:cs="宋体"/>
                <w:sz w:val="24"/>
              </w:rPr>
              <w:t>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4" w:hRule="atLeast"/>
          <w:jc w:val="center"/>
        </w:trPr>
        <w:tc>
          <w:tcPr>
            <w:tcW w:w="706"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 w:val="24"/>
              </w:rPr>
            </w:pPr>
            <w:r>
              <w:rPr>
                <w:rFonts w:hint="eastAsia" w:ascii="宋体" w:hAnsi="宋体" w:cs="宋体"/>
                <w:sz w:val="24"/>
              </w:rPr>
              <w:t>徐洪波</w:t>
            </w:r>
          </w:p>
        </w:tc>
        <w:tc>
          <w:tcPr>
            <w:tcW w:w="1014"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jc w:val="center"/>
              <w:textAlignment w:val="auto"/>
              <w:rPr>
                <w:rFonts w:ascii="宋体" w:hAnsi="宋体" w:cs="宋体"/>
                <w:sz w:val="24"/>
              </w:rPr>
            </w:pPr>
            <w:r>
              <w:rPr>
                <w:rFonts w:hint="eastAsia" w:ascii="宋体" w:hAnsi="宋体" w:cs="宋体"/>
                <w:sz w:val="24"/>
              </w:rPr>
              <w:t>3720000018</w:t>
            </w:r>
          </w:p>
        </w:tc>
        <w:tc>
          <w:tcPr>
            <w:tcW w:w="2085"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480" w:firstLineChars="200"/>
              <w:jc w:val="center"/>
              <w:textAlignment w:val="auto"/>
              <w:rPr>
                <w:rFonts w:ascii="宋体" w:hAnsi="宋体" w:cs="宋体"/>
                <w:sz w:val="24"/>
              </w:rPr>
            </w:pPr>
          </w:p>
        </w:tc>
        <w:tc>
          <w:tcPr>
            <w:tcW w:w="1193" w:type="pc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textAlignment w:val="auto"/>
              <w:rPr>
                <w:rFonts w:ascii="宋体" w:hAnsi="宋体" w:cs="宋体"/>
                <w:sz w:val="24"/>
              </w:rPr>
            </w:pPr>
            <w:r>
              <w:rPr>
                <w:rFonts w:hint="eastAsia" w:ascii="宋体" w:hAnsi="宋体" w:cs="宋体"/>
                <w:sz w:val="24"/>
              </w:rPr>
              <w:t>2022年9月</w:t>
            </w:r>
            <w:r>
              <w:rPr>
                <w:rFonts w:hint="eastAsia" w:ascii="宋体" w:hAnsi="宋体" w:cs="宋体"/>
                <w:sz w:val="24"/>
                <w:lang w:val="en-US" w:eastAsia="zh-CN"/>
              </w:rPr>
              <w:t>1</w:t>
            </w:r>
            <w:r>
              <w:rPr>
                <w:rFonts w:hint="eastAsia" w:ascii="宋体" w:hAnsi="宋体" w:cs="宋体"/>
                <w:sz w:val="24"/>
              </w:rPr>
              <w:t>5日</w:t>
            </w:r>
          </w:p>
        </w:tc>
      </w:tr>
    </w:tbl>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14" w:name="_Toc52372814"/>
      <w:r>
        <w:rPr>
          <w:rFonts w:hint="eastAsia" w:ascii="宋体" w:hAnsi="宋体" w:cs="宋体"/>
          <w:b/>
          <w:sz w:val="24"/>
        </w:rPr>
        <w:t>十二、实地查勘期</w:t>
      </w:r>
      <w:bookmarkEnd w:id="14"/>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2022年</w:t>
      </w:r>
      <w:r>
        <w:rPr>
          <w:rFonts w:hint="eastAsia" w:ascii="宋体" w:hAnsi="宋体" w:cs="宋体"/>
          <w:sz w:val="24"/>
          <w:lang w:eastAsia="zh-CN"/>
        </w:rPr>
        <w:t>9月6日</w:t>
      </w:r>
      <w:r>
        <w:rPr>
          <w:rFonts w:hint="eastAsia" w:ascii="宋体" w:hAnsi="宋体" w:cs="宋体"/>
          <w:sz w:val="24"/>
        </w:rPr>
        <w:t>。</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15" w:name="_Toc52372815"/>
      <w:r>
        <w:rPr>
          <w:rFonts w:hint="eastAsia" w:ascii="宋体" w:hAnsi="宋体" w:cs="宋体"/>
          <w:b/>
          <w:sz w:val="24"/>
        </w:rPr>
        <w:t>十三、估价作业期</w:t>
      </w:r>
      <w:bookmarkEnd w:id="15"/>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sz w:val="24"/>
        </w:rPr>
      </w:pPr>
      <w:r>
        <w:rPr>
          <w:rFonts w:hint="eastAsia" w:ascii="宋体" w:hAnsi="宋体" w:cs="宋体"/>
          <w:sz w:val="24"/>
        </w:rPr>
        <w:t>2022年</w:t>
      </w:r>
      <w:r>
        <w:rPr>
          <w:rFonts w:hint="eastAsia" w:ascii="宋体" w:hAnsi="宋体" w:cs="宋体"/>
          <w:sz w:val="24"/>
          <w:lang w:eastAsia="zh-CN"/>
        </w:rPr>
        <w:t>9月6日</w:t>
      </w:r>
      <w:r>
        <w:rPr>
          <w:rFonts w:hint="eastAsia" w:ascii="宋体" w:hAnsi="宋体" w:cs="宋体"/>
          <w:sz w:val="24"/>
        </w:rPr>
        <w:t>至2022年9月</w:t>
      </w:r>
      <w:r>
        <w:rPr>
          <w:rFonts w:hint="eastAsia" w:ascii="宋体" w:hAnsi="宋体" w:cs="宋体"/>
          <w:sz w:val="24"/>
          <w:lang w:val="en-US" w:eastAsia="zh-CN"/>
        </w:rPr>
        <w:t>1</w:t>
      </w:r>
      <w:r>
        <w:rPr>
          <w:rFonts w:hint="eastAsia" w:ascii="宋体" w:hAnsi="宋体" w:cs="宋体"/>
          <w:sz w:val="24"/>
        </w:rPr>
        <w:t>5日。</w:t>
      </w:r>
    </w:p>
    <w:p>
      <w:pPr>
        <w:keepNext w:val="0"/>
        <w:keepLines w:val="0"/>
        <w:pageBreakBefore w:val="0"/>
        <w:widowControl w:val="0"/>
        <w:kinsoku/>
        <w:wordWrap/>
        <w:overflowPunct/>
        <w:topLinePunct w:val="0"/>
        <w:autoSpaceDE/>
        <w:autoSpaceDN/>
        <w:bidi w:val="0"/>
        <w:spacing w:line="360" w:lineRule="auto"/>
        <w:ind w:firstLine="482" w:firstLineChars="200"/>
        <w:textAlignment w:val="auto"/>
        <w:outlineLvl w:val="0"/>
        <w:rPr>
          <w:rFonts w:ascii="宋体" w:hAnsi="宋体" w:cs="宋体"/>
          <w:b/>
          <w:sz w:val="24"/>
        </w:rPr>
      </w:pPr>
      <w:bookmarkStart w:id="16" w:name="_Toc52372816"/>
      <w:r>
        <w:rPr>
          <w:rFonts w:hint="eastAsia" w:ascii="宋体" w:hAnsi="宋体" w:cs="宋体"/>
          <w:b/>
          <w:sz w:val="24"/>
        </w:rPr>
        <w:t>十四、估价报告有效期</w:t>
      </w:r>
      <w:bookmarkEnd w:id="16"/>
    </w:p>
    <w:p>
      <w:pPr>
        <w:keepNext w:val="0"/>
        <w:keepLines w:val="0"/>
        <w:pageBreakBefore w:val="0"/>
        <w:widowControl w:val="0"/>
        <w:kinsoku/>
        <w:wordWrap/>
        <w:overflowPunct/>
        <w:topLinePunct w:val="0"/>
        <w:autoSpaceDE/>
        <w:autoSpaceDN/>
        <w:bidi w:val="0"/>
        <w:spacing w:line="360" w:lineRule="auto"/>
        <w:ind w:firstLine="480" w:firstLineChars="200"/>
        <w:textAlignment w:val="auto"/>
        <w:rPr>
          <w:rFonts w:ascii="宋体" w:hAnsi="宋体" w:cs="宋体"/>
          <w:b/>
          <w:sz w:val="24"/>
        </w:rPr>
      </w:pPr>
      <w:r>
        <w:rPr>
          <w:rFonts w:hint="eastAsia" w:ascii="宋体" w:hAnsi="宋体" w:cs="宋体"/>
          <w:sz w:val="24"/>
        </w:rPr>
        <w:t>在市场无明显价格波动条件下，本估价报告应用有效期自提交报告日期起不超过一年，即2022年9月</w:t>
      </w:r>
      <w:r>
        <w:rPr>
          <w:rFonts w:hint="eastAsia" w:ascii="宋体" w:hAnsi="宋体" w:cs="宋体"/>
          <w:sz w:val="24"/>
          <w:lang w:val="en-US" w:eastAsia="zh-CN"/>
        </w:rPr>
        <w:t>1</w:t>
      </w:r>
      <w:r>
        <w:rPr>
          <w:rFonts w:hint="eastAsia" w:ascii="宋体" w:hAnsi="宋体" w:cs="宋体"/>
          <w:sz w:val="24"/>
        </w:rPr>
        <w:t>5日至2023年9月</w:t>
      </w:r>
      <w:r>
        <w:rPr>
          <w:rFonts w:hint="eastAsia" w:ascii="宋体" w:hAnsi="宋体" w:cs="宋体"/>
          <w:sz w:val="24"/>
          <w:lang w:val="en-US" w:eastAsia="zh-CN"/>
        </w:rPr>
        <w:t>1</w:t>
      </w:r>
      <w:r>
        <w:rPr>
          <w:rFonts w:hint="eastAsia" w:ascii="宋体" w:hAnsi="宋体" w:cs="宋体"/>
          <w:sz w:val="24"/>
        </w:rPr>
        <w:t>4日。</w:t>
      </w:r>
    </w:p>
    <w:p>
      <w:pPr>
        <w:spacing w:line="360" w:lineRule="auto"/>
        <w:ind w:firstLine="355" w:firstLineChars="148"/>
        <w:rPr>
          <w:rFonts w:ascii="宋体" w:hAnsi="宋体" w:cs="宋体"/>
          <w:bCs/>
          <w:sz w:val="24"/>
        </w:rPr>
      </w:pPr>
    </w:p>
    <w:p>
      <w:pPr>
        <w:pStyle w:val="2"/>
        <w:keepNext w:val="0"/>
        <w:keepLines w:val="0"/>
        <w:spacing w:line="360" w:lineRule="auto"/>
        <w:jc w:val="center"/>
        <w:rPr>
          <w:rFonts w:ascii="宋体" w:hAnsi="宋体" w:cs="宋体"/>
          <w:sz w:val="24"/>
        </w:rPr>
      </w:pPr>
      <w:r>
        <w:rPr>
          <w:rFonts w:hint="eastAsia" w:ascii="宋体" w:hAnsi="宋体" w:cs="宋体"/>
          <w:sz w:val="24"/>
          <w:szCs w:val="24"/>
        </w:rPr>
        <w:br w:type="page"/>
      </w:r>
      <w:bookmarkStart w:id="17" w:name="_Toc360713675"/>
      <w:bookmarkStart w:id="18" w:name="_Toc22159"/>
    </w:p>
    <w:p>
      <w:pPr>
        <w:pStyle w:val="2"/>
        <w:spacing w:line="360" w:lineRule="auto"/>
        <w:jc w:val="center"/>
        <w:rPr>
          <w:rFonts w:ascii="宋体" w:hAnsi="宋体" w:cs="宋体"/>
          <w:b w:val="0"/>
          <w:sz w:val="24"/>
          <w:szCs w:val="24"/>
        </w:rPr>
      </w:pPr>
      <w:bookmarkStart w:id="19" w:name="_Toc52372817"/>
      <w:r>
        <w:rPr>
          <w:rFonts w:hint="eastAsia" w:ascii="宋体" w:hAnsi="宋体" w:cs="宋体"/>
          <w:sz w:val="36"/>
          <w:szCs w:val="36"/>
        </w:rPr>
        <w:t>附  件</w:t>
      </w:r>
      <w:bookmarkEnd w:id="17"/>
      <w:bookmarkEnd w:id="18"/>
      <w:bookmarkEnd w:id="19"/>
    </w:p>
    <w:p>
      <w:pPr>
        <w:spacing w:line="360" w:lineRule="auto"/>
        <w:ind w:firstLine="600" w:firstLineChars="250"/>
        <w:rPr>
          <w:rFonts w:ascii="宋体" w:hAnsi="宋体" w:cs="宋体"/>
          <w:sz w:val="24"/>
        </w:rPr>
      </w:pPr>
      <w:bookmarkStart w:id="20" w:name="_Toc360713679"/>
      <w:bookmarkStart w:id="21" w:name="_Toc352741104"/>
      <w:bookmarkStart w:id="22" w:name="_Toc269394638"/>
      <w:r>
        <w:rPr>
          <w:rFonts w:hint="eastAsia" w:ascii="宋体" w:hAnsi="宋体" w:cs="宋体"/>
          <w:sz w:val="24"/>
        </w:rPr>
        <w:t>（一）估价委托书复印件</w:t>
      </w:r>
    </w:p>
    <w:p>
      <w:pPr>
        <w:spacing w:line="360" w:lineRule="auto"/>
        <w:ind w:firstLine="600" w:firstLineChars="250"/>
        <w:rPr>
          <w:rFonts w:ascii="宋体" w:hAnsi="宋体" w:cs="宋体"/>
          <w:sz w:val="24"/>
        </w:rPr>
      </w:pPr>
      <w:r>
        <w:rPr>
          <w:rFonts w:hint="eastAsia" w:ascii="宋体" w:hAnsi="宋体" w:cs="宋体"/>
          <w:sz w:val="24"/>
        </w:rPr>
        <w:t>（二）估价对象内外部状况以及环境景观照片</w:t>
      </w:r>
      <w:bookmarkEnd w:id="20"/>
      <w:bookmarkEnd w:id="21"/>
    </w:p>
    <w:p>
      <w:pPr>
        <w:spacing w:line="360" w:lineRule="auto"/>
        <w:ind w:firstLine="600" w:firstLineChars="250"/>
        <w:rPr>
          <w:rFonts w:ascii="宋体" w:hAnsi="宋体" w:cs="宋体"/>
          <w:sz w:val="24"/>
        </w:rPr>
      </w:pPr>
      <w:bookmarkStart w:id="23" w:name="_Toc360713680"/>
      <w:bookmarkStart w:id="24" w:name="_Toc352741105"/>
      <w:r>
        <w:rPr>
          <w:rFonts w:hint="eastAsia" w:ascii="宋体" w:hAnsi="宋体" w:cs="宋体"/>
          <w:sz w:val="24"/>
        </w:rPr>
        <w:t>（三）</w:t>
      </w:r>
      <w:bookmarkEnd w:id="22"/>
      <w:bookmarkEnd w:id="23"/>
      <w:bookmarkEnd w:id="24"/>
      <w:r>
        <w:rPr>
          <w:rFonts w:hint="eastAsia" w:ascii="宋体" w:hAnsi="宋体" w:cs="宋体"/>
          <w:sz w:val="24"/>
        </w:rPr>
        <w:t>估价对象相关权属资料</w:t>
      </w:r>
    </w:p>
    <w:p>
      <w:pPr>
        <w:spacing w:line="360" w:lineRule="auto"/>
        <w:ind w:firstLine="600" w:firstLineChars="250"/>
        <w:rPr>
          <w:rFonts w:ascii="宋体" w:hAnsi="宋体" w:cs="宋体"/>
          <w:sz w:val="24"/>
        </w:rPr>
      </w:pPr>
      <w:bookmarkStart w:id="25" w:name="_Toc269394639"/>
      <w:bookmarkStart w:id="26" w:name="_Toc352741106"/>
      <w:bookmarkStart w:id="27" w:name="_Toc360713681"/>
      <w:r>
        <w:rPr>
          <w:rFonts w:hint="eastAsia" w:ascii="宋体" w:hAnsi="宋体" w:cs="宋体"/>
          <w:sz w:val="24"/>
        </w:rPr>
        <w:t>（四）房地产估价机构营业执照复印件</w:t>
      </w:r>
      <w:bookmarkEnd w:id="25"/>
      <w:bookmarkEnd w:id="26"/>
      <w:bookmarkEnd w:id="27"/>
    </w:p>
    <w:p>
      <w:pPr>
        <w:spacing w:line="360" w:lineRule="auto"/>
        <w:ind w:firstLine="600" w:firstLineChars="250"/>
        <w:rPr>
          <w:rFonts w:ascii="宋体" w:hAnsi="宋体" w:cs="宋体"/>
          <w:sz w:val="24"/>
        </w:rPr>
      </w:pPr>
      <w:bookmarkStart w:id="28" w:name="_Toc360713682"/>
      <w:bookmarkStart w:id="29" w:name="_Toc269394640"/>
      <w:bookmarkStart w:id="30" w:name="_Toc352741107"/>
      <w:r>
        <w:rPr>
          <w:rFonts w:hint="eastAsia" w:ascii="宋体" w:hAnsi="宋体" w:cs="宋体"/>
          <w:sz w:val="24"/>
        </w:rPr>
        <w:t>（五）房地产估价机构备案证书复印件</w:t>
      </w:r>
      <w:bookmarkEnd w:id="28"/>
      <w:bookmarkEnd w:id="29"/>
      <w:bookmarkEnd w:id="30"/>
    </w:p>
    <w:p>
      <w:pPr>
        <w:spacing w:line="360" w:lineRule="auto"/>
        <w:ind w:firstLine="600" w:firstLineChars="250"/>
        <w:rPr>
          <w:rFonts w:ascii="宋体" w:hAnsi="宋体" w:cs="宋体"/>
          <w:sz w:val="24"/>
        </w:rPr>
        <w:sectPr>
          <w:headerReference r:id="rId8" w:type="first"/>
          <w:footerReference r:id="rId10" w:type="first"/>
          <w:headerReference r:id="rId7" w:type="default"/>
          <w:footerReference r:id="rId9" w:type="default"/>
          <w:pgSz w:w="11906" w:h="16838"/>
          <w:pgMar w:top="1440" w:right="1134" w:bottom="1440" w:left="1797" w:header="851" w:footer="992" w:gutter="0"/>
          <w:pgNumType w:start="1"/>
          <w:cols w:space="720" w:num="1"/>
          <w:docGrid w:type="lines" w:linePitch="312" w:charSpace="0"/>
        </w:sectPr>
      </w:pPr>
      <w:bookmarkStart w:id="31" w:name="_Toc269394641"/>
      <w:bookmarkStart w:id="32" w:name="_Toc360713683"/>
      <w:bookmarkStart w:id="33" w:name="_Toc352741108"/>
      <w:r>
        <w:rPr>
          <w:rFonts w:hint="eastAsia" w:ascii="宋体" w:hAnsi="宋体" w:cs="宋体"/>
          <w:sz w:val="24"/>
        </w:rPr>
        <w:t>（六）注册房地产估价师注册证</w:t>
      </w:r>
      <w:bookmarkEnd w:id="31"/>
      <w:bookmarkEnd w:id="32"/>
      <w:bookmarkEnd w:id="33"/>
      <w:r>
        <w:rPr>
          <w:rFonts w:hint="eastAsia" w:ascii="宋体" w:hAnsi="宋体" w:cs="宋体"/>
          <w:sz w:val="24"/>
        </w:rPr>
        <w:t>书复印件</w:t>
      </w:r>
    </w:p>
    <w:p>
      <w:pPr>
        <w:spacing w:line="360" w:lineRule="auto"/>
        <w:ind w:firstLine="600" w:firstLineChars="250"/>
        <w:rPr>
          <w:rFonts w:ascii="宋体" w:hAnsi="宋体" w:cs="宋体"/>
          <w:sz w:val="24"/>
        </w:rPr>
      </w:pPr>
    </w:p>
    <w:p>
      <w:pPr>
        <w:spacing w:line="360" w:lineRule="auto"/>
        <w:ind w:firstLine="600" w:firstLineChars="250"/>
        <w:rPr>
          <w:rFonts w:ascii="宋体" w:hAnsi="宋体" w:cs="宋体"/>
          <w:sz w:val="24"/>
        </w:rPr>
      </w:pPr>
    </w:p>
    <w:p>
      <w:pPr>
        <w:spacing w:line="360" w:lineRule="auto"/>
        <w:ind w:firstLine="600" w:firstLineChars="250"/>
        <w:rPr>
          <w:sz w:val="24"/>
        </w:rPr>
      </w:pPr>
    </w:p>
    <w:p>
      <w:pPr>
        <w:spacing w:line="360" w:lineRule="auto"/>
        <w:ind w:firstLine="600" w:firstLineChars="250"/>
        <w:rPr>
          <w:sz w:val="24"/>
        </w:rPr>
      </w:pPr>
    </w:p>
    <w:sectPr>
      <w:headerReference r:id="rId11" w:type="default"/>
      <w:footerReference r:id="rId12" w:type="default"/>
      <w:type w:val="continuous"/>
      <w:pgSz w:w="11906" w:h="16838"/>
      <w:pgMar w:top="1440" w:right="1134" w:bottom="1440" w:left="1797"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roma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i/>
        <w:sz w:val="21"/>
      </w:rPr>
    </w:pPr>
  </w:p>
  <w:p>
    <w:pPr>
      <w:pStyle w:val="5"/>
      <w:rPr>
        <w:i/>
        <w:sz w:val="21"/>
      </w:rPr>
    </w:pPr>
    <w:r>
      <w:rPr>
        <w:sz w:val="20"/>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5578475" cy="1727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78475" cy="172720"/>
                      </a:xfrm>
                      <a:prstGeom prst="rect">
                        <a:avLst/>
                      </a:prstGeom>
                      <a:noFill/>
                      <a:ln w="15875">
                        <a:noFill/>
                      </a:ln>
                    </wps:spPr>
                    <wps:txbx>
                      <w:txbxContent>
                        <w:p>
                          <w:r>
                            <w:rPr>
                              <w:rFonts w:hint="eastAsia"/>
                              <w:i/>
                            </w:rPr>
                            <w:t>山东鲁业房地产土地评估有限公司</w:t>
                          </w:r>
                          <w:r>
                            <w:rPr>
                              <w:i/>
                            </w:rPr>
                            <w:t xml:space="preserve">      </w:t>
                          </w:r>
                          <w:r>
                            <w:rPr>
                              <w:rFonts w:hint="eastAsia"/>
                              <w:i/>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3.6pt;width:439.25pt;mso-position-horizontal:right;mso-position-horizontal-relative:margin;mso-wrap-style:none;z-index:251664384;mso-width-relative:page;mso-height-relative:page;" filled="f" stroked="f" coordsize="21600,21600" o:gfxdata="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dVCfNYAAAAEAQAADwAAAAAAAAABACAA&#10;AAAiAAAAZHJzL2Rvd25yZXYueG1sUEsBAhQAFAAAAAgAh07iQKQT+9nWAQAAogMAAA4AAAAAAAAA&#10;AQAgAAAAJQEAAGRycy9lMm9Eb2MueG1sUEsFBgAAAAAGAAYAWQEAAG0FAAAAAA==&#10;">
              <v:fill on="f" focussize="0,0"/>
              <v:stroke on="f" weight="1.25pt"/>
              <v:imagedata o:title=""/>
              <o:lock v:ext="edit" aspectratio="f"/>
              <v:textbox inset="0mm,0mm,0mm,0mm" style="mso-fit-shape-to-text:t;">
                <w:txbxContent>
                  <w:p>
                    <w:r>
                      <w:rPr>
                        <w:rFonts w:hint="eastAsia"/>
                        <w:i/>
                      </w:rPr>
                      <w:t>山东鲁业房地产土地评估有限公司</w:t>
                    </w:r>
                    <w:r>
                      <w:rPr>
                        <w:i/>
                      </w:rPr>
                      <w:t xml:space="preserve">      </w:t>
                    </w:r>
                    <w:r>
                      <w:rPr>
                        <w:rFonts w:hint="eastAsia"/>
                        <w:i/>
                      </w:rPr>
                      <w:t xml:space="preserve">               </w:t>
                    </w:r>
                  </w:p>
                </w:txbxContent>
              </v:textbox>
            </v:shape>
          </w:pict>
        </mc:Fallback>
      </mc:AlternateContent>
    </w:r>
    <w:r>
      <w:rPr>
        <w:rFonts w:eastAsia="PMingLiU"/>
        <w:i/>
        <w:sz w:val="20"/>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-48260</wp:posOffset>
              </wp:positionV>
              <wp:extent cx="5715000" cy="13335"/>
              <wp:effectExtent l="0" t="28575" r="0" b="34290"/>
              <wp:wrapNone/>
              <wp:docPr id="5" name="直接连接符 5"/>
              <wp:cNvGraphicFramePr/>
              <a:graphic xmlns:a="http://schemas.openxmlformats.org/drawingml/2006/main">
                <a:graphicData uri="http://schemas.microsoft.com/office/word/2010/wordprocessingShape">
                  <wps:wsp>
                    <wps:cNvCnPr/>
                    <wps:spPr>
                      <a:xfrm flipV="1">
                        <a:off x="0" y="0"/>
                        <a:ext cx="5715000" cy="13335"/>
                      </a:xfrm>
                      <a:prstGeom prst="line">
                        <a:avLst/>
                      </a:prstGeom>
                      <a:ln w="57150" cap="flat" cmpd="thickThin">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2pt;margin-top:-3.8pt;height:1.05pt;width:450pt;z-index:251663360;mso-width-relative:page;mso-height-relative:page;" filled="f" stroked="t" coordsize="21600,21600" o:gfxdata="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iM1E9QAAAAGAQAADwAAAAAAAAABACAAAAAiAAAAZHJzL2Rvd25yZXYueG1sUEsB&#10;AhQAFAAAAAgAh07iQMyc2yD5AQAA7QMAAA4AAAAAAAAAAQAgAAAAIwEAAGRycy9lMm9Eb2MueG1s&#10;UEsFBgAAAAAGAAYAWQEAAI4FAAAAAA==&#10;">
              <v:fill on="f" focussize="0,0"/>
              <v:stroke weight="4.5pt" color="#000000" linestyle="thickThin" joinstyle="round"/>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i/>
        <w:sz w:val="21"/>
        <w:lang w:val="zh-C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i/>
        <w:sz w:val="21"/>
      </w:rPr>
    </w:pPr>
    <w:r>
      <w:rPr>
        <w:i/>
        <w:sz w:val="21"/>
      </w:rPr>
      <w:fldChar w:fldCharType="begin"/>
    </w:r>
    <w:r>
      <w:rPr>
        <w:i/>
        <w:sz w:val="21"/>
      </w:rPr>
      <w:instrText xml:space="preserve">PAGE   \* MERGEFORMAT</w:instrText>
    </w:r>
    <w:r>
      <w:rPr>
        <w:i/>
        <w:sz w:val="21"/>
      </w:rPr>
      <w:fldChar w:fldCharType="separate"/>
    </w:r>
    <w:r>
      <w:rPr>
        <w:i/>
        <w:sz w:val="21"/>
        <w:lang w:val="zh-CN"/>
      </w:rPr>
      <w:t>1</w:t>
    </w:r>
    <w:r>
      <w:rPr>
        <w:i/>
        <w:sz w:val="21"/>
      </w:rPr>
      <w:fldChar w:fldCharType="end"/>
    </w:r>
  </w:p>
  <w:p>
    <w:pPr>
      <w:pStyle w:val="5"/>
      <w:jc w:val="center"/>
      <w:rPr>
        <w:i/>
        <w:sz w:val="21"/>
      </w:rPr>
    </w:pPr>
  </w:p>
  <w:p>
    <w:pPr>
      <w:pStyle w:val="5"/>
      <w:rPr>
        <w:i/>
        <w:sz w:val="21"/>
      </w:rPr>
    </w:pPr>
    <w:r>
      <w:rPr>
        <w:sz w:val="20"/>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5578475" cy="1727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78475" cy="172720"/>
                      </a:xfrm>
                      <a:prstGeom prst="rect">
                        <a:avLst/>
                      </a:prstGeom>
                      <a:noFill/>
                      <a:ln w="15875">
                        <a:noFill/>
                      </a:ln>
                    </wps:spPr>
                    <wps:txbx>
                      <w:txbxContent>
                        <w:p>
                          <w:r>
                            <w:rPr>
                              <w:rFonts w:hint="eastAsia"/>
                              <w:i/>
                            </w:rPr>
                            <w:t>山东鲁业房地产土地评估有限公司</w:t>
                          </w:r>
                          <w:r>
                            <w:rPr>
                              <w:i/>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3.6pt;width:439.25pt;mso-position-horizontal:right;mso-position-horizontal-relative:margin;mso-wrap-style:none;z-index:251662336;mso-width-relative:page;mso-height-relative:page;" filled="f" stroked="f" coordsize="21600,21600" o:gfxdata="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t1UJ81gAAAAQBAAAPAAAAAAAAAAEA&#10;IAAAACIAAABkcnMvZG93bnJldi54bWxQSwECFAAUAAAACACHTuJAOT8kpdgBAACiAwAADgAAAAAA&#10;AAABACAAAAAlAQAAZHJzL2Uyb0RvYy54bWxQSwUGAAAAAAYABgBZAQAAbwUAAAAA&#10;">
              <v:fill on="f" focussize="0,0"/>
              <v:stroke on="f" weight="1.25pt"/>
              <v:imagedata o:title=""/>
              <o:lock v:ext="edit" aspectratio="f"/>
              <v:textbox inset="0mm,0mm,0mm,0mm" style="mso-fit-shape-to-text:t;">
                <w:txbxContent>
                  <w:p>
                    <w:r>
                      <w:rPr>
                        <w:rFonts w:hint="eastAsia"/>
                        <w:i/>
                      </w:rPr>
                      <w:t>山东鲁业房地产土地评估有限公司</w:t>
                    </w:r>
                    <w:r>
                      <w:rPr>
                        <w:i/>
                      </w:rPr>
                      <w:t xml:space="preserve">  </w:t>
                    </w:r>
                  </w:p>
                </w:txbxContent>
              </v:textbox>
            </v:shape>
          </w:pict>
        </mc:Fallback>
      </mc:AlternateContent>
    </w:r>
    <w:r>
      <w:rPr>
        <w:rFonts w:eastAsia="PMingLiU"/>
        <w:i/>
        <w:sz w:val="20"/>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-48260</wp:posOffset>
              </wp:positionV>
              <wp:extent cx="5715000" cy="13335"/>
              <wp:effectExtent l="0" t="28575" r="0" b="34290"/>
              <wp:wrapNone/>
              <wp:docPr id="9" name="直接连接符 9"/>
              <wp:cNvGraphicFramePr/>
              <a:graphic xmlns:a="http://schemas.openxmlformats.org/drawingml/2006/main">
                <a:graphicData uri="http://schemas.microsoft.com/office/word/2010/wordprocessingShape">
                  <wps:wsp>
                    <wps:cNvCnPr/>
                    <wps:spPr>
                      <a:xfrm flipV="1">
                        <a:off x="0" y="0"/>
                        <a:ext cx="5715000" cy="13335"/>
                      </a:xfrm>
                      <a:prstGeom prst="line">
                        <a:avLst/>
                      </a:prstGeom>
                      <a:ln w="57150" cap="flat" cmpd="thickThin">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0.2pt;margin-top:-3.8pt;height:1.05pt;width:450pt;z-index:251661312;mso-width-relative:page;mso-height-relative:page;" filled="f" stroked="t" coordsize="21600,21600" o:gfxdata="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iIzUT1AAAAAYBAAAPAAAAAAAAAAEAIAAAACIAAABkcnMvZG93bnJldi54bWxQSwEC&#10;FAAUAAAACACHTuJAlgYX4PgBAADtAwAADgAAAAAAAAABACAAAAAjAQAAZHJzL2Uyb0RvYy54bWxQ&#10;SwUGAAAAAAYABgBZAQAAjQUAAAAA&#10;">
              <v:fill on="f" focussize="0,0"/>
              <v:stroke weight="4.5pt" color="#000000" linestyle="thickThin" joinstyle="round"/>
              <v:imagedata o:title=""/>
              <o:lock v:ext="edit" aspectratio="f"/>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i/>
        <w:sz w:val="21"/>
        <w:lang w:val="zh-C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i/>
        <w:sz w:val="21"/>
      </w:rPr>
    </w:pPr>
    <w:r>
      <w:rPr>
        <w:i/>
        <w:sz w:val="21"/>
      </w:rPr>
      <w:fldChar w:fldCharType="begin"/>
    </w:r>
    <w:r>
      <w:rPr>
        <w:i/>
        <w:sz w:val="21"/>
      </w:rPr>
      <w:instrText xml:space="preserve">PAGE   \* MERGEFORMAT</w:instrText>
    </w:r>
    <w:r>
      <w:rPr>
        <w:i/>
        <w:sz w:val="21"/>
      </w:rPr>
      <w:fldChar w:fldCharType="separate"/>
    </w:r>
    <w:r>
      <w:rPr>
        <w:i/>
        <w:sz w:val="21"/>
        <w:lang w:val="zh-CN"/>
      </w:rPr>
      <w:t>6</w:t>
    </w:r>
    <w:r>
      <w:rPr>
        <w:i/>
        <w:sz w:val="21"/>
      </w:rPr>
      <w:fldChar w:fldCharType="end"/>
    </w:r>
  </w:p>
  <w:p>
    <w:pPr>
      <w:pStyle w:val="5"/>
      <w:rPr>
        <w:i/>
        <w:sz w:val="21"/>
      </w:rPr>
    </w:pPr>
    <w:r>
      <w:rPr>
        <w:rFonts w:eastAsia="PMingLiU"/>
        <w:i/>
        <w:sz w:val="20"/>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120650</wp:posOffset>
              </wp:positionV>
              <wp:extent cx="5715000" cy="13335"/>
              <wp:effectExtent l="0" t="19050" r="19050" b="43815"/>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flipV="1">
                        <a:off x="0" y="0"/>
                        <a:ext cx="5715000" cy="13335"/>
                      </a:xfrm>
                      <a:prstGeom prst="line">
                        <a:avLst/>
                      </a:prstGeom>
                      <a:noFill/>
                      <a:ln w="57150" cmpd="thickThin">
                        <a:solidFill>
                          <a:srgbClr val="000000"/>
                        </a:solidFill>
                        <a:round/>
                      </a:ln>
                    </wps:spPr>
                    <wps:bodyPr/>
                  </wps:wsp>
                </a:graphicData>
              </a:graphic>
            </wp:anchor>
          </w:drawing>
        </mc:Choice>
        <mc:Fallback>
          <w:pict>
            <v:line id="_x0000_s1026" o:spid="_x0000_s1026" o:spt="20" style="position:absolute;left:0pt;flip:y;margin-left:5.45pt;margin-top:9.5pt;height:1.05pt;width:450pt;z-index:251659264;mso-width-relative:page;mso-height-relative:page;" filled="f" stroked="t" coordsize="21600,21600" o:gfxdata="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18qXO0wAAAAgBAAAPAAAAAAAAAAEAIAAAACIAAABkcnMvZG93bnJldi54bWxQSwECFAAU&#10;AAAACACHTuJAa/gDRfYBAADKAwAADgAAAAAAAAABACAAAAAiAQAAZHJzL2Uyb0RvYy54bWxQSwUG&#10;AAAAAAYABgBZAQAAigUAAAAA&#10;">
              <v:fill on="f" focussize="0,0"/>
              <v:stroke weight="4.5pt" color="#000000" linestyle="thickThin" joinstyle="round"/>
              <v:imagedata o:title=""/>
              <o:lock v:ext="edit" aspectratio="f"/>
            </v:line>
          </w:pict>
        </mc:Fallback>
      </mc:AlternateContent>
    </w:r>
  </w:p>
  <w:p>
    <w:pPr>
      <w:pStyle w:val="5"/>
      <w:rPr>
        <w:i/>
        <w:sz w:val="21"/>
      </w:rPr>
    </w:pPr>
    <w:r>
      <w:rPr>
        <w:sz w:val="20"/>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3167380" cy="172720"/>
              <wp:effectExtent l="0" t="3175" r="0" b="0"/>
              <wp:wrapNone/>
              <wp:docPr id="8" name="文本框 8"/>
              <wp:cNvGraphicFramePr/>
              <a:graphic xmlns:a="http://schemas.openxmlformats.org/drawingml/2006/main">
                <a:graphicData uri="http://schemas.microsoft.com/office/word/2010/wordprocessingShape">
                  <wps:wsp>
                    <wps:cNvSpPr txBox="1">
                      <a:spLocks noChangeArrowheads="1"/>
                    </wps:cNvSpPr>
                    <wps:spPr bwMode="auto">
                      <a:xfrm>
                        <a:off x="0" y="0"/>
                        <a:ext cx="3167380" cy="172720"/>
                      </a:xfrm>
                      <a:prstGeom prst="rect">
                        <a:avLst/>
                      </a:prstGeom>
                      <a:noFill/>
                      <a:ln>
                        <a:noFill/>
                      </a:ln>
                    </wps:spPr>
                    <wps:txbx>
                      <w:txbxContent>
                        <w:p>
                          <w:r>
                            <w:rPr>
                              <w:rFonts w:hint="eastAsia"/>
                              <w:i/>
                            </w:rPr>
                            <w:t>山东鲁业房地产土地评估有限公司</w:t>
                          </w:r>
                          <w:r>
                            <w:rPr>
                              <w:i/>
                            </w:rPr>
                            <w:t xml:space="preserve">     </w:t>
                          </w:r>
                          <w:r>
                            <w:rPr>
                              <w:rFonts w:hint="eastAsia"/>
                              <w:i/>
                            </w:rPr>
                            <w:t xml:space="preserve">              </w:t>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3.6pt;width:249.4pt;mso-position-horizontal:right;mso-position-horizontal-relative:margin;mso-wrap-style:none;z-index:251660288;mso-width-relative:page;mso-height-relative:page;" filled="f" stroked="f" coordsize="21600,21600" o:gfxdata="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&#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hyF3tIAAAAEAQAADwAAAAAAAAABACAAAAAiAAAAZHJz&#10;L2Rvd25yZXYueG1sUEsBAhQAFAAAAAgAh07iQCBUHb0KAgAAAwQAAA4AAAAAAAAAAQAgAAAAIQEA&#10;AGRycy9lMm9Eb2MueG1sUEsFBgAAAAAGAAYAWQEAAJ0FAAAAAA==&#10;">
              <v:fill on="f" focussize="0,0"/>
              <v:stroke on="f"/>
              <v:imagedata o:title=""/>
              <o:lock v:ext="edit" aspectratio="f"/>
              <v:textbox inset="0mm,0mm,0mm,0mm" style="mso-fit-shape-to-text:t;">
                <w:txbxContent>
                  <w:p>
                    <w:r>
                      <w:rPr>
                        <w:rFonts w:hint="eastAsia"/>
                        <w:i/>
                      </w:rPr>
                      <w:t>山东鲁业房地产土地评估有限公司</w:t>
                    </w:r>
                    <w:r>
                      <w:rPr>
                        <w:i/>
                      </w:rPr>
                      <w:t xml:space="preserve">     </w:t>
                    </w:r>
                    <w:r>
                      <w:rPr>
                        <w:rFonts w:hint="eastAsia"/>
                        <w:i/>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i/>
        <w:sz w:val="21"/>
      </w:rPr>
    </w:pPr>
    <w:r>
      <w:rPr>
        <w:rFonts w:hint="eastAsia"/>
        <w:i/>
        <w:sz w:val="21"/>
      </w:rPr>
      <w:t xml:space="preserve">                                                           </w:t>
    </w:r>
    <w:r>
      <w:rPr>
        <w:i/>
        <w:sz w:val="21"/>
      </w:rPr>
      <w:t xml:space="preserve">  </w:t>
    </w:r>
    <w:r>
      <w:rPr>
        <w:rFonts w:hint="eastAsia"/>
        <w:i/>
        <w:sz w:val="21"/>
      </w:rPr>
      <w:t xml:space="preserve">     房地产估价报告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i/>
        <w:sz w:val="21"/>
      </w:rPr>
    </w:pPr>
    <w:r>
      <w:rPr>
        <w:rFonts w:hint="eastAsia"/>
        <w:i/>
        <w:sz w:val="21"/>
      </w:rPr>
      <w:t xml:space="preserve">                                                           </w:t>
    </w:r>
    <w:r>
      <w:rPr>
        <w:i/>
        <w:sz w:val="21"/>
      </w:rPr>
      <w:t xml:space="preserve">  </w:t>
    </w:r>
    <w:r>
      <w:rPr>
        <w:rFonts w:hint="eastAsia"/>
        <w:i/>
        <w:sz w:val="21"/>
      </w:rPr>
      <w:t xml:space="preserve">     房地产估价报告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i/>
        <w:sz w:val="21"/>
      </w:rPr>
    </w:pPr>
    <w:r>
      <w:rPr>
        <w:rFonts w:hint="eastAsia"/>
        <w:i/>
        <w:sz w:val="21"/>
      </w:rPr>
      <w:t xml:space="preserve">                                                           </w:t>
    </w:r>
    <w:r>
      <w:rPr>
        <w:i/>
        <w:sz w:val="21"/>
      </w:rPr>
      <w:t xml:space="preserve">  </w:t>
    </w:r>
    <w:r>
      <w:rPr>
        <w:rFonts w:hint="eastAsia"/>
        <w:i/>
        <w:sz w:val="21"/>
      </w:rPr>
      <w:t xml:space="preserve">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CC66C"/>
    <w:multiLevelType w:val="singleLevel"/>
    <w:tmpl w:val="860CC66C"/>
    <w:lvl w:ilvl="0" w:tentative="0">
      <w:start w:val="3"/>
      <w:numFmt w:val="chineseCounting"/>
      <w:suff w:val="nothing"/>
      <w:lvlText w:val="%1、"/>
      <w:lvlJc w:val="left"/>
      <w:rPr>
        <w:rFonts w:hint="eastAsia"/>
      </w:rPr>
    </w:lvl>
  </w:abstractNum>
  <w:abstractNum w:abstractNumId="1">
    <w:nsid w:val="4F8FA3FD"/>
    <w:multiLevelType w:val="singleLevel"/>
    <w:tmpl w:val="4F8FA3FD"/>
    <w:lvl w:ilvl="0" w:tentative="0">
      <w:start w:val="3"/>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E4Zjc3ZjkxNzIzYTIxYjE5NzM2ZWMxNjE1NWExZTUifQ=="/>
  </w:docVars>
  <w:rsids>
    <w:rsidRoot w:val="00000000"/>
    <w:rsid w:val="296F1035"/>
    <w:rsid w:val="3F747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qFormat/>
    <w:uiPriority w:val="0"/>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39"/>
    <w:pPr>
      <w:jc w:val="left"/>
    </w:pPr>
    <w:rPr>
      <w:b/>
      <w:bCs/>
      <w:caps/>
      <w:sz w:val="20"/>
      <w:szCs w:val="20"/>
    </w:rPr>
  </w:style>
  <w:style w:type="paragraph" w:styleId="8">
    <w:name w:val="Body Text Indent 3"/>
    <w:basedOn w:val="1"/>
    <w:link w:val="15"/>
    <w:qFormat/>
    <w:uiPriority w:val="0"/>
    <w:pPr>
      <w:spacing w:line="620" w:lineRule="exact"/>
      <w:ind w:firstLine="560" w:firstLineChars="200"/>
    </w:pPr>
    <w:rPr>
      <w:rFonts w:ascii="宋体" w:hAnsi="宋体"/>
      <w:sz w:val="28"/>
      <w:szCs w:val="28"/>
    </w:rPr>
  </w:style>
  <w:style w:type="character" w:styleId="11">
    <w:name w:val="Hyperlink"/>
    <w:basedOn w:val="10"/>
    <w:unhideWhenUsed/>
    <w:qFormat/>
    <w:uiPriority w:val="99"/>
    <w:rPr>
      <w:color w:val="0563C1" w:themeColor="hyperlink"/>
      <w:u w:val="single"/>
      <w14:textFill>
        <w14:solidFill>
          <w14:schemeClr w14:val="hlink"/>
        </w14:solidFill>
      </w14:textFill>
    </w:rPr>
  </w:style>
  <w:style w:type="character" w:customStyle="1" w:styleId="12">
    <w:name w:val="标题 1 Char"/>
    <w:basedOn w:val="10"/>
    <w:link w:val="2"/>
    <w:qFormat/>
    <w:uiPriority w:val="0"/>
    <w:rPr>
      <w:rFonts w:ascii="Times New Roman" w:hAnsi="Times New Roman" w:eastAsia="宋体" w:cs="Times New Roman"/>
      <w:b/>
      <w:bCs/>
      <w:kern w:val="44"/>
      <w:sz w:val="44"/>
      <w:szCs w:val="44"/>
    </w:rPr>
  </w:style>
  <w:style w:type="character" w:customStyle="1" w:styleId="13">
    <w:name w:val="页脚 Char"/>
    <w:basedOn w:val="10"/>
    <w:link w:val="5"/>
    <w:qFormat/>
    <w:uiPriority w:val="0"/>
    <w:rPr>
      <w:rFonts w:ascii="Times New Roman" w:hAnsi="Times New Roman" w:eastAsia="宋体" w:cs="Times New Roman"/>
      <w:sz w:val="18"/>
      <w:szCs w:val="18"/>
    </w:rPr>
  </w:style>
  <w:style w:type="character" w:customStyle="1" w:styleId="14">
    <w:name w:val="页眉 Char"/>
    <w:basedOn w:val="10"/>
    <w:link w:val="6"/>
    <w:qFormat/>
    <w:uiPriority w:val="0"/>
    <w:rPr>
      <w:rFonts w:ascii="Times New Roman" w:hAnsi="Times New Roman" w:eastAsia="宋体" w:cs="Times New Roman"/>
      <w:sz w:val="18"/>
      <w:szCs w:val="18"/>
    </w:rPr>
  </w:style>
  <w:style w:type="character" w:customStyle="1" w:styleId="15">
    <w:name w:val="正文文本缩进 3 Char"/>
    <w:basedOn w:val="10"/>
    <w:link w:val="8"/>
    <w:qFormat/>
    <w:uiPriority w:val="0"/>
    <w:rPr>
      <w:rFonts w:ascii="宋体" w:hAnsi="宋体" w:eastAsia="宋体" w:cs="Times New Roman"/>
      <w:sz w:val="28"/>
      <w:szCs w:val="28"/>
    </w:rPr>
  </w:style>
  <w:style w:type="paragraph" w:styleId="16">
    <w:name w:val="List Paragraph"/>
    <w:basedOn w:val="1"/>
    <w:qFormat/>
    <w:uiPriority w:val="34"/>
    <w:pPr>
      <w:ind w:firstLine="420" w:firstLineChars="200"/>
    </w:pPr>
  </w:style>
  <w:style w:type="character" w:customStyle="1" w:styleId="17">
    <w:name w:val="批注框文本 Char"/>
    <w:basedOn w:val="10"/>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65B69B-237E-48AC-BE21-FA7A5CD7A845}">
  <ds:schemaRefs/>
</ds:datastoreItem>
</file>

<file path=docProps/app.xml><?xml version="1.0" encoding="utf-8"?>
<Properties xmlns="http://schemas.openxmlformats.org/officeDocument/2006/extended-properties" xmlns:vt="http://schemas.openxmlformats.org/officeDocument/2006/docPropsVTypes">
  <Template>Normal</Template>
  <Pages>16</Pages>
  <Words>7955</Words>
  <Characters>8372</Characters>
  <Lines>212</Lines>
  <Paragraphs>224</Paragraphs>
  <TotalTime>2</TotalTime>
  <ScaleCrop>false</ScaleCrop>
  <LinksUpToDate>false</LinksUpToDate>
  <CharactersWithSpaces>8494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2020-09-16T08:23:00Z</dcterms:created>
  <dc:creator>潍坊分公司</dc:creator>
  <cp:lastModifiedBy>潍坊分公司</cp:lastModifiedBy>
  <cp:lastPrinted>2020-09-27T02:13:00Z</cp:lastPrinted>
  <dcterms:modified xsi:type="dcterms:W3CDTF">2022-09-16T06:28:24Z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5335FE5EB85548AF9B620391C6FABE9E</vt:lpwstr>
  </property>
</Properties>
</file>