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right="105" w:rightChars="50"/>
        <w:rPr>
          <w:rFonts w:hint="eastAsia" w:ascii="仿宋" w:hAnsi="仿宋" w:eastAsia="仿宋" w:cs="仿宋"/>
          <w:b/>
          <w:sz w:val="72"/>
          <w:szCs w:val="72"/>
          <w:lang w:val="en-US" w:eastAsia="zh-CN"/>
        </w:rPr>
      </w:pPr>
      <w:r>
        <w:rPr>
          <w:rFonts w:hint="eastAsia" w:ascii="仿宋" w:hAnsi="仿宋" w:eastAsia="仿宋" w:cs="仿宋"/>
          <w:b/>
          <w:sz w:val="84"/>
          <w:szCs w:val="84"/>
          <w:lang w:val="en-US" w:eastAsia="zh-CN"/>
        </w:rPr>
        <w:t xml:space="preserve">  </w:t>
      </w:r>
      <w:r>
        <w:rPr>
          <w:rFonts w:hint="eastAsia" w:ascii="仿宋" w:hAnsi="仿宋" w:eastAsia="仿宋" w:cs="仿宋"/>
          <w:b/>
          <w:sz w:val="84"/>
          <w:szCs w:val="84"/>
        </w:rPr>
        <w:t xml:space="preserve"> </w:t>
      </w:r>
      <w:bookmarkStart w:id="0" w:name="_Toc323216536"/>
      <w:r>
        <w:rPr>
          <w:rFonts w:hint="eastAsia" w:ascii="仿宋" w:hAnsi="仿宋" w:eastAsia="仿宋" w:cs="仿宋"/>
          <w:b/>
          <w:sz w:val="72"/>
          <w:szCs w:val="72"/>
          <w:lang w:val="en-US" w:eastAsia="zh-CN"/>
        </w:rPr>
        <w:t xml:space="preserve"> </w:t>
      </w:r>
    </w:p>
    <w:p>
      <w:pPr>
        <w:pStyle w:val="6"/>
        <w:ind w:left="105" w:leftChars="50" w:right="105" w:rightChars="50"/>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 xml:space="preserve">涉执房地产处置   </w:t>
      </w:r>
    </w:p>
    <w:p>
      <w:pPr>
        <w:pStyle w:val="6"/>
        <w:ind w:left="105" w:leftChars="50" w:right="105" w:rightChars="50"/>
        <w:jc w:val="center"/>
        <w:rPr>
          <w:rFonts w:hint="eastAsia" w:ascii="仿宋" w:hAnsi="仿宋" w:eastAsia="仿宋" w:cs="仿宋"/>
          <w:b/>
          <w:color w:val="auto"/>
          <w:sz w:val="72"/>
          <w:szCs w:val="72"/>
          <w:highlight w:val="none"/>
          <w:lang w:eastAsia="zh-CN"/>
        </w:rPr>
      </w:pPr>
      <w:r>
        <w:rPr>
          <w:rFonts w:hint="eastAsia" w:ascii="仿宋" w:hAnsi="仿宋" w:eastAsia="仿宋" w:cs="仿宋"/>
          <w:b/>
          <w:color w:val="auto"/>
          <w:sz w:val="72"/>
          <w:szCs w:val="72"/>
          <w:highlight w:val="none"/>
          <w:lang w:eastAsia="zh-CN"/>
        </w:rPr>
        <w:t>司法</w:t>
      </w:r>
      <w:r>
        <w:rPr>
          <w:rFonts w:hint="eastAsia" w:ascii="仿宋" w:hAnsi="仿宋" w:eastAsia="仿宋" w:cs="仿宋"/>
          <w:b/>
          <w:color w:val="auto"/>
          <w:sz w:val="72"/>
          <w:szCs w:val="72"/>
          <w:highlight w:val="none"/>
        </w:rPr>
        <w:t>评估报告</w:t>
      </w:r>
    </w:p>
    <w:p>
      <w:pPr>
        <w:pStyle w:val="6"/>
        <w:snapToGrid w:val="0"/>
        <w:spacing w:line="640" w:lineRule="exact"/>
        <w:ind w:right="105" w:rightChars="50"/>
        <w:rPr>
          <w:rFonts w:hint="eastAsia" w:ascii="仿宋" w:hAnsi="仿宋" w:eastAsia="仿宋"/>
          <w:b/>
          <w:color w:val="auto"/>
          <w:sz w:val="30"/>
          <w:szCs w:val="30"/>
          <w:highlight w:val="none"/>
          <w:lang w:eastAsia="zh-CN"/>
        </w:rPr>
      </w:pPr>
    </w:p>
    <w:p>
      <w:pPr>
        <w:pStyle w:val="6"/>
        <w:snapToGrid w:val="0"/>
        <w:spacing w:line="640" w:lineRule="exact"/>
        <w:ind w:right="105" w:rightChars="50"/>
        <w:rPr>
          <w:rFonts w:hint="eastAsia" w:ascii="仿宋" w:hAnsi="仿宋" w:eastAsia="仿宋"/>
          <w:b/>
          <w:color w:val="FF0000"/>
          <w:sz w:val="30"/>
          <w:szCs w:val="30"/>
          <w:highlight w:val="none"/>
          <w:lang w:eastAsia="zh-CN"/>
        </w:rPr>
      </w:pPr>
    </w:p>
    <w:p>
      <w:pPr>
        <w:pStyle w:val="6"/>
        <w:snapToGrid w:val="0"/>
        <w:spacing w:line="640" w:lineRule="exact"/>
        <w:ind w:right="105" w:rightChars="50" w:firstLine="602" w:firstLineChars="200"/>
        <w:rPr>
          <w:rFonts w:hint="eastAsia" w:ascii="仿宋" w:hAnsi="仿宋" w:eastAsia="仿宋"/>
          <w:b/>
          <w:color w:val="auto"/>
          <w:sz w:val="30"/>
          <w:szCs w:val="30"/>
          <w:highlight w:val="none"/>
          <w:lang w:eastAsia="zh-CN"/>
        </w:rPr>
      </w:pPr>
      <w:r>
        <w:rPr>
          <w:rFonts w:hint="eastAsia" w:ascii="仿宋" w:hAnsi="仿宋" w:eastAsia="仿宋"/>
          <w:b/>
          <w:color w:val="auto"/>
          <w:sz w:val="30"/>
          <w:szCs w:val="30"/>
          <w:highlight w:val="none"/>
          <w:lang w:eastAsia="zh-CN"/>
        </w:rPr>
        <w:t>评估报告编号：</w:t>
      </w:r>
    </w:p>
    <w:p>
      <w:pPr>
        <w:pStyle w:val="6"/>
        <w:snapToGrid w:val="0"/>
        <w:spacing w:line="640" w:lineRule="exact"/>
        <w:ind w:right="105" w:rightChars="50" w:firstLine="1205" w:firstLineChars="400"/>
        <w:rPr>
          <w:rFonts w:hint="eastAsia" w:ascii="仿宋" w:hAnsi="仿宋" w:eastAsia="仿宋" w:cs="仿宋"/>
          <w:b/>
          <w:color w:val="auto"/>
          <w:sz w:val="30"/>
          <w:szCs w:val="30"/>
          <w:highlight w:val="none"/>
          <w:lang w:eastAsia="zh-CN"/>
        </w:rPr>
      </w:pPr>
      <w:r>
        <w:rPr>
          <w:rFonts w:hint="eastAsia" w:ascii="仿宋" w:hAnsi="仿宋" w:eastAsia="仿宋"/>
          <w:b/>
          <w:color w:val="auto"/>
          <w:sz w:val="30"/>
          <w:szCs w:val="30"/>
          <w:highlight w:val="none"/>
        </w:rPr>
        <w:t>鲁贵</w:t>
      </w:r>
      <w:r>
        <w:rPr>
          <w:rFonts w:hint="eastAsia" w:ascii="仿宋" w:hAnsi="仿宋" w:eastAsia="仿宋"/>
          <w:b/>
          <w:color w:val="auto"/>
          <w:sz w:val="30"/>
          <w:szCs w:val="30"/>
          <w:highlight w:val="none"/>
          <w:lang w:eastAsia="zh-CN"/>
        </w:rPr>
        <w:t>估字</w:t>
      </w:r>
      <w:r>
        <w:rPr>
          <w:rFonts w:hint="eastAsia" w:ascii="仿宋" w:hAnsi="仿宋" w:eastAsia="仿宋"/>
          <w:b/>
          <w:color w:val="auto"/>
          <w:sz w:val="30"/>
          <w:szCs w:val="30"/>
          <w:highlight w:val="none"/>
        </w:rPr>
        <w:t>（</w:t>
      </w:r>
      <w:r>
        <w:rPr>
          <w:rFonts w:hint="eastAsia" w:ascii="仿宋" w:hAnsi="仿宋" w:eastAsia="仿宋"/>
          <w:b/>
          <w:color w:val="auto"/>
          <w:sz w:val="30"/>
          <w:szCs w:val="30"/>
          <w:highlight w:val="none"/>
          <w:lang w:val="en-US" w:eastAsia="zh-CN"/>
        </w:rPr>
        <w:t>2022</w:t>
      </w:r>
      <w:r>
        <w:rPr>
          <w:rFonts w:hint="eastAsia" w:ascii="仿宋" w:hAnsi="仿宋" w:eastAsia="仿宋"/>
          <w:b/>
          <w:color w:val="auto"/>
          <w:sz w:val="30"/>
          <w:szCs w:val="30"/>
          <w:highlight w:val="none"/>
        </w:rPr>
        <w:t>）</w:t>
      </w:r>
      <w:r>
        <w:rPr>
          <w:rFonts w:hint="eastAsia" w:ascii="仿宋" w:hAnsi="仿宋" w:eastAsia="仿宋"/>
          <w:b/>
          <w:color w:val="0000FF"/>
          <w:sz w:val="30"/>
          <w:szCs w:val="30"/>
          <w:highlight w:val="none"/>
          <w:lang w:val="en-US" w:eastAsia="zh-CN"/>
        </w:rPr>
        <w:t>08015号</w:t>
      </w:r>
    </w:p>
    <w:p>
      <w:pPr>
        <w:snapToGrid w:val="0"/>
        <w:spacing w:line="640" w:lineRule="exact"/>
        <w:ind w:right="105" w:rightChars="50" w:firstLine="602" w:firstLineChars="2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估价项目名称：</w:t>
      </w:r>
    </w:p>
    <w:p>
      <w:pPr>
        <w:snapToGrid w:val="0"/>
        <w:spacing w:line="640" w:lineRule="exact"/>
        <w:ind w:left="1193" w:leftChars="568" w:right="105" w:rightChars="50" w:firstLine="0" w:firstLineChars="0"/>
        <w:rPr>
          <w:rFonts w:hint="eastAsia" w:ascii="仿宋" w:hAnsi="仿宋" w:eastAsia="仿宋"/>
          <w:b/>
          <w:color w:val="auto"/>
          <w:sz w:val="30"/>
          <w:szCs w:val="30"/>
          <w:highlight w:val="none"/>
          <w:lang w:eastAsia="zh-CN"/>
        </w:rPr>
      </w:pPr>
      <w:r>
        <w:rPr>
          <w:rFonts w:hint="eastAsia" w:ascii="仿宋" w:hAnsi="仿宋" w:eastAsia="仿宋" w:cs="仿宋"/>
          <w:b/>
          <w:color w:val="0000FF"/>
          <w:sz w:val="30"/>
          <w:szCs w:val="30"/>
          <w:highlight w:val="none"/>
          <w:lang w:val="en-US" w:eastAsia="zh-CN"/>
        </w:rPr>
        <w:t>山东省聊城市冠县冠宜春东路北侧（景盛嘉苑小区）120603丘3幢3单元3152室</w:t>
      </w:r>
      <w:r>
        <w:rPr>
          <w:rFonts w:hint="eastAsia" w:ascii="仿宋" w:hAnsi="仿宋" w:eastAsia="仿宋" w:cs="仿宋"/>
          <w:b/>
          <w:color w:val="auto"/>
          <w:sz w:val="30"/>
          <w:szCs w:val="30"/>
          <w:highlight w:val="none"/>
          <w:lang w:val="en-US" w:eastAsia="zh-CN"/>
        </w:rPr>
        <w:t>房地产</w:t>
      </w:r>
      <w:r>
        <w:rPr>
          <w:rFonts w:hint="eastAsia" w:ascii="仿宋" w:hAnsi="仿宋" w:eastAsia="仿宋"/>
          <w:b/>
          <w:color w:val="auto"/>
          <w:sz w:val="30"/>
          <w:szCs w:val="30"/>
          <w:highlight w:val="none"/>
          <w:lang w:val="en-US" w:eastAsia="zh-CN"/>
        </w:rPr>
        <w:t>市场价格</w:t>
      </w:r>
      <w:r>
        <w:rPr>
          <w:rFonts w:hint="eastAsia" w:ascii="仿宋" w:hAnsi="仿宋" w:eastAsia="仿宋" w:cs="仿宋"/>
          <w:b/>
          <w:color w:val="auto"/>
          <w:sz w:val="30"/>
          <w:szCs w:val="30"/>
          <w:highlight w:val="none"/>
          <w:lang w:eastAsia="zh-CN"/>
        </w:rPr>
        <w:t>评估</w:t>
      </w:r>
    </w:p>
    <w:p>
      <w:pPr>
        <w:snapToGrid w:val="0"/>
        <w:spacing w:line="640" w:lineRule="exact"/>
        <w:ind w:right="105" w:rightChars="50" w:firstLine="602" w:firstLineChars="2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评估委托</w:t>
      </w:r>
      <w:r>
        <w:rPr>
          <w:rFonts w:hint="eastAsia" w:ascii="仿宋" w:hAnsi="仿宋" w:eastAsia="仿宋" w:cs="仿宋"/>
          <w:b/>
          <w:color w:val="auto"/>
          <w:sz w:val="30"/>
          <w:szCs w:val="30"/>
          <w:highlight w:val="none"/>
        </w:rPr>
        <w:t>人：</w:t>
      </w:r>
    </w:p>
    <w:p>
      <w:pPr>
        <w:pStyle w:val="6"/>
        <w:snapToGrid w:val="0"/>
        <w:spacing w:line="640" w:lineRule="exact"/>
        <w:ind w:right="105" w:rightChars="50" w:firstLine="1205" w:firstLineChars="400"/>
        <w:rPr>
          <w:rFonts w:hint="default" w:ascii="仿宋" w:hAnsi="仿宋" w:eastAsia="仿宋" w:cs="仿宋"/>
          <w:b/>
          <w:color w:val="0000FF"/>
          <w:sz w:val="30"/>
          <w:szCs w:val="30"/>
          <w:highlight w:val="none"/>
          <w:lang w:val="en-US" w:eastAsia="zh-CN"/>
        </w:rPr>
      </w:pPr>
      <w:r>
        <w:rPr>
          <w:rFonts w:hint="eastAsia" w:ascii="仿宋" w:hAnsi="仿宋" w:eastAsia="仿宋" w:cs="仿宋"/>
          <w:b/>
          <w:color w:val="0000FF"/>
          <w:sz w:val="30"/>
          <w:szCs w:val="30"/>
          <w:highlight w:val="none"/>
          <w:lang w:val="en-US" w:eastAsia="zh-CN"/>
        </w:rPr>
        <w:t>冠县人民法院</w:t>
      </w:r>
    </w:p>
    <w:p>
      <w:pPr>
        <w:pStyle w:val="6"/>
        <w:snapToGrid w:val="0"/>
        <w:spacing w:line="640" w:lineRule="exact"/>
        <w:ind w:right="105" w:rightChars="50" w:firstLine="602" w:firstLineChars="200"/>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rPr>
        <w:t>房地产估价机构：</w:t>
      </w:r>
    </w:p>
    <w:p>
      <w:pPr>
        <w:pStyle w:val="6"/>
        <w:snapToGrid w:val="0"/>
        <w:spacing w:line="640" w:lineRule="exact"/>
        <w:ind w:right="105" w:rightChars="50" w:firstLine="1205" w:firstLineChars="400"/>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lang w:eastAsia="zh-CN"/>
        </w:rPr>
        <w:t>山东贵恒信土地房地产资产评估测绘有限公司</w:t>
      </w:r>
    </w:p>
    <w:p>
      <w:pPr>
        <w:pStyle w:val="6"/>
        <w:snapToGrid w:val="0"/>
        <w:spacing w:line="640" w:lineRule="exact"/>
        <w:ind w:right="105" w:rightChars="50" w:firstLine="602" w:firstLineChars="200"/>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rPr>
        <w:t>注册房地产估价师：</w:t>
      </w:r>
    </w:p>
    <w:p>
      <w:pPr>
        <w:pStyle w:val="6"/>
        <w:snapToGrid w:val="0"/>
        <w:spacing w:line="640" w:lineRule="exact"/>
        <w:ind w:right="105" w:rightChars="50" w:firstLine="1205" w:firstLineChars="4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张金华</w:t>
      </w:r>
      <w:r>
        <w:rPr>
          <w:rFonts w:hint="eastAsia" w:ascii="仿宋" w:hAnsi="仿宋" w:eastAsia="仿宋"/>
          <w:b/>
          <w:color w:val="auto"/>
          <w:spacing w:val="-10"/>
          <w:sz w:val="30"/>
          <w:szCs w:val="30"/>
          <w:highlight w:val="none"/>
        </w:rPr>
        <w:t>（3720160163） 李  泮（3720120066）</w:t>
      </w:r>
      <w:r>
        <w:rPr>
          <w:rFonts w:hint="eastAsia" w:ascii="仿宋" w:hAnsi="仿宋" w:eastAsia="仿宋"/>
          <w:b/>
          <w:color w:val="auto"/>
          <w:spacing w:val="-10"/>
          <w:sz w:val="30"/>
          <w:szCs w:val="30"/>
          <w:highlight w:val="none"/>
          <w:lang w:eastAsia="zh-CN"/>
        </w:rPr>
        <w:t xml:space="preserve"> </w:t>
      </w:r>
    </w:p>
    <w:p>
      <w:pPr>
        <w:pStyle w:val="6"/>
        <w:snapToGrid w:val="0"/>
        <w:spacing w:line="640" w:lineRule="exact"/>
        <w:ind w:right="105" w:rightChars="50" w:firstLine="602" w:firstLineChars="200"/>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lang w:eastAsia="zh-CN"/>
        </w:rPr>
        <w:t>评估报告</w:t>
      </w:r>
      <w:r>
        <w:rPr>
          <w:rFonts w:hint="eastAsia" w:ascii="仿宋" w:hAnsi="仿宋" w:eastAsia="仿宋" w:cs="仿宋"/>
          <w:b/>
          <w:color w:val="auto"/>
          <w:sz w:val="30"/>
          <w:szCs w:val="30"/>
          <w:highlight w:val="none"/>
        </w:rPr>
        <w:t>出具日期：</w:t>
      </w:r>
    </w:p>
    <w:p>
      <w:pPr>
        <w:pStyle w:val="6"/>
        <w:snapToGrid w:val="0"/>
        <w:spacing w:line="640" w:lineRule="exact"/>
        <w:ind w:right="105" w:rightChars="50" w:firstLine="602" w:firstLineChars="200"/>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rPr>
        <w:t xml:space="preserve"> </w:t>
      </w:r>
      <w:r>
        <w:rPr>
          <w:rFonts w:hint="eastAsia" w:ascii="仿宋" w:hAnsi="仿宋" w:eastAsia="仿宋" w:cs="仿宋"/>
          <w:b/>
          <w:color w:val="auto"/>
          <w:sz w:val="30"/>
          <w:szCs w:val="30"/>
          <w:highlight w:val="none"/>
          <w:lang w:eastAsia="zh-CN"/>
        </w:rPr>
        <w:t xml:space="preserve">  </w:t>
      </w:r>
      <w:r>
        <w:rPr>
          <w:rFonts w:hint="eastAsia" w:ascii="仿宋" w:hAnsi="仿宋" w:eastAsia="仿宋" w:cs="仿宋"/>
          <w:b/>
          <w:color w:val="auto"/>
          <w:sz w:val="30"/>
          <w:szCs w:val="30"/>
          <w:highlight w:val="none"/>
          <w:lang w:val="en-US" w:eastAsia="zh-CN"/>
        </w:rPr>
        <w:t xml:space="preserve"> </w:t>
      </w:r>
      <w:r>
        <w:rPr>
          <w:rFonts w:hint="eastAsia" w:ascii="仿宋" w:hAnsi="仿宋" w:eastAsia="仿宋" w:cs="仿宋"/>
          <w:b/>
          <w:color w:val="auto"/>
          <w:sz w:val="30"/>
          <w:szCs w:val="30"/>
          <w:highlight w:val="none"/>
          <w:lang w:eastAsia="zh-CN"/>
        </w:rPr>
        <w:t>2022年</w:t>
      </w:r>
      <w:r>
        <w:rPr>
          <w:rFonts w:hint="eastAsia" w:ascii="仿宋" w:hAnsi="仿宋" w:eastAsia="仿宋" w:cs="仿宋"/>
          <w:b/>
          <w:color w:val="auto"/>
          <w:sz w:val="30"/>
          <w:szCs w:val="30"/>
          <w:highlight w:val="none"/>
          <w:lang w:val="en-US" w:eastAsia="zh-CN"/>
        </w:rPr>
        <w:t>8</w:t>
      </w:r>
      <w:r>
        <w:rPr>
          <w:rFonts w:hint="eastAsia" w:ascii="仿宋" w:hAnsi="仿宋" w:eastAsia="仿宋" w:cs="仿宋"/>
          <w:b/>
          <w:color w:val="0000FF"/>
          <w:sz w:val="30"/>
          <w:szCs w:val="30"/>
          <w:highlight w:val="none"/>
          <w:lang w:eastAsia="zh-CN"/>
        </w:rPr>
        <w:t>月</w:t>
      </w:r>
      <w:r>
        <w:rPr>
          <w:rFonts w:hint="eastAsia" w:ascii="仿宋" w:hAnsi="仿宋" w:eastAsia="仿宋" w:cs="仿宋"/>
          <w:b/>
          <w:color w:val="0000FF"/>
          <w:sz w:val="30"/>
          <w:szCs w:val="30"/>
          <w:highlight w:val="none"/>
          <w:lang w:val="en-US" w:eastAsia="zh-CN"/>
        </w:rPr>
        <w:t>16</w:t>
      </w:r>
      <w:r>
        <w:rPr>
          <w:rFonts w:hint="eastAsia" w:ascii="仿宋" w:hAnsi="仿宋" w:eastAsia="仿宋" w:cs="仿宋"/>
          <w:b/>
          <w:color w:val="0000FF"/>
          <w:sz w:val="30"/>
          <w:szCs w:val="30"/>
          <w:highlight w:val="none"/>
          <w:lang w:eastAsia="zh-CN"/>
        </w:rPr>
        <w:t>日</w:t>
      </w:r>
    </w:p>
    <w:p>
      <w:pPr>
        <w:spacing w:line="360" w:lineRule="auto"/>
        <w:jc w:val="both"/>
        <w:rPr>
          <w:rFonts w:hint="eastAsia" w:ascii="仿宋" w:hAnsi="仿宋" w:eastAsia="仿宋"/>
          <w:b/>
          <w:color w:val="auto"/>
          <w:sz w:val="28"/>
          <w:szCs w:val="28"/>
          <w:highlight w:val="none"/>
        </w:rPr>
      </w:pPr>
    </w:p>
    <w:p>
      <w:pPr>
        <w:spacing w:line="360" w:lineRule="auto"/>
        <w:jc w:val="both"/>
        <w:rPr>
          <w:rFonts w:hint="eastAsia" w:ascii="仿宋" w:hAnsi="仿宋" w:eastAsia="仿宋"/>
          <w:b/>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致</w:t>
      </w:r>
      <w:r>
        <w:rPr>
          <w:rFonts w:hint="eastAsia" w:ascii="仿宋" w:hAnsi="仿宋" w:eastAsia="仿宋" w:cs="仿宋"/>
          <w:b/>
          <w:color w:val="auto"/>
          <w:sz w:val="28"/>
          <w:szCs w:val="28"/>
          <w:highlight w:val="none"/>
          <w:lang w:eastAsia="zh-CN"/>
        </w:rPr>
        <w:t>评估委托</w:t>
      </w:r>
      <w:r>
        <w:rPr>
          <w:rFonts w:hint="eastAsia" w:ascii="仿宋" w:hAnsi="仿宋" w:eastAsia="仿宋" w:cs="仿宋"/>
          <w:b/>
          <w:color w:val="auto"/>
          <w:sz w:val="28"/>
          <w:szCs w:val="28"/>
          <w:highlight w:val="none"/>
        </w:rPr>
        <w:t>人函</w:t>
      </w:r>
    </w:p>
    <w:bookmarkEnd w:id="0"/>
    <w:p>
      <w:pPr>
        <w:pStyle w:val="6"/>
        <w:keepNext w:val="0"/>
        <w:keepLines w:val="0"/>
        <w:pageBreakBefore w:val="0"/>
        <w:widowControl w:val="0"/>
        <w:kinsoku/>
        <w:wordWrap/>
        <w:overflowPunct/>
        <w:topLinePunct w:val="0"/>
        <w:autoSpaceDE/>
        <w:autoSpaceDN/>
        <w:bidi w:val="0"/>
        <w:adjustRightInd/>
        <w:snapToGrid w:val="0"/>
        <w:spacing w:line="520" w:lineRule="exact"/>
        <w:ind w:right="105" w:rightChars="50"/>
        <w:textAlignment w:val="auto"/>
        <w:rPr>
          <w:rFonts w:hint="eastAsia" w:ascii="仿宋" w:hAnsi="仿宋" w:eastAsia="仿宋" w:cs="仿宋"/>
          <w:b/>
          <w:color w:val="auto"/>
          <w:sz w:val="28"/>
          <w:szCs w:val="28"/>
          <w:highlight w:val="none"/>
        </w:rPr>
      </w:pPr>
      <w:r>
        <w:rPr>
          <w:rFonts w:hint="eastAsia" w:ascii="仿宋" w:hAnsi="仿宋" w:eastAsia="仿宋" w:cs="仿宋"/>
          <w:b/>
          <w:color w:val="0000FF"/>
          <w:sz w:val="28"/>
          <w:szCs w:val="28"/>
          <w:highlight w:val="none"/>
          <w:lang w:val="en-US" w:eastAsia="zh-CN"/>
        </w:rPr>
        <w:t>冠县人民法院</w:t>
      </w:r>
      <w:r>
        <w:rPr>
          <w:rFonts w:hint="eastAsia" w:ascii="仿宋" w:hAnsi="仿宋" w:eastAsia="仿宋" w:cs="仿宋"/>
          <w:b/>
          <w:color w:val="auto"/>
          <w:sz w:val="28"/>
          <w:szCs w:val="28"/>
          <w:highlight w:val="none"/>
        </w:rPr>
        <w:t>：</w:t>
      </w:r>
    </w:p>
    <w:p>
      <w:pPr>
        <w:pStyle w:val="6"/>
        <w:keepNext w:val="0"/>
        <w:keepLines w:val="0"/>
        <w:pageBreakBefore w:val="0"/>
        <w:widowControl w:val="0"/>
        <w:kinsoku/>
        <w:wordWrap/>
        <w:overflowPunct/>
        <w:topLinePunct w:val="0"/>
        <w:autoSpaceDE/>
        <w:autoSpaceDN/>
        <w:bidi w:val="0"/>
        <w:adjustRightInd/>
        <w:snapToGrid w:val="0"/>
        <w:spacing w:line="520" w:lineRule="exact"/>
        <w:ind w:right="105" w:rightChars="50" w:firstLine="560"/>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受贵方委托，本公司对</w:t>
      </w:r>
      <w:r>
        <w:rPr>
          <w:rFonts w:hint="eastAsia" w:ascii="仿宋" w:hAnsi="仿宋" w:eastAsia="仿宋" w:cs="仿宋"/>
          <w:b w:val="0"/>
          <w:bCs/>
          <w:color w:val="0000FF"/>
          <w:sz w:val="28"/>
          <w:szCs w:val="28"/>
          <w:highlight w:val="none"/>
          <w:lang w:val="en-US" w:eastAsia="zh-CN"/>
        </w:rPr>
        <w:t>山东省聊城市冠县北环路北侧名仕花园1-3幢1单元1031室（建筑面积为156.81㎡）</w:t>
      </w:r>
      <w:r>
        <w:rPr>
          <w:rFonts w:hint="eastAsia" w:ascii="仿宋" w:hAnsi="仿宋" w:eastAsia="仿宋" w:cs="仿宋"/>
          <w:b w:val="0"/>
          <w:bCs/>
          <w:color w:val="auto"/>
          <w:sz w:val="28"/>
          <w:szCs w:val="28"/>
          <w:highlight w:val="none"/>
          <w:lang w:val="en-US" w:eastAsia="zh-CN"/>
        </w:rPr>
        <w:t>及其分摊的土地使用权市场价格进行评估，价值时点为</w:t>
      </w:r>
      <w:r>
        <w:rPr>
          <w:rFonts w:hint="eastAsia" w:ascii="仿宋" w:hAnsi="仿宋" w:eastAsia="仿宋" w:cs="仿宋"/>
          <w:b w:val="0"/>
          <w:bCs/>
          <w:color w:val="0000FF"/>
          <w:sz w:val="28"/>
          <w:szCs w:val="28"/>
          <w:highlight w:val="none"/>
          <w:lang w:val="en-US" w:eastAsia="zh-CN"/>
        </w:rPr>
        <w:t>2022年8月12日</w:t>
      </w:r>
      <w:r>
        <w:rPr>
          <w:rFonts w:hint="eastAsia" w:ascii="仿宋" w:hAnsi="仿宋" w:eastAsia="仿宋" w:cs="仿宋"/>
          <w:b w:val="0"/>
          <w:bCs/>
          <w:color w:val="auto"/>
          <w:sz w:val="28"/>
          <w:szCs w:val="28"/>
          <w:highlight w:val="none"/>
          <w:lang w:val="en-US" w:eastAsia="zh-CN"/>
        </w:rPr>
        <w:t>，评估目的是</w:t>
      </w:r>
      <w:r>
        <w:rPr>
          <w:rFonts w:hint="eastAsia" w:ascii="仿宋" w:hAnsi="仿宋" w:eastAsia="仿宋" w:cs="仿宋"/>
          <w:color w:val="auto"/>
          <w:sz w:val="28"/>
          <w:szCs w:val="28"/>
          <w:highlight w:val="none"/>
          <w:lang w:eastAsia="zh-CN"/>
        </w:rPr>
        <w:t>为人民法院确定财产处置参考价提供参考依据。</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 w:hAnsi="仿宋" w:eastAsia="仿宋" w:cs="仿宋"/>
          <w:b w:val="0"/>
          <w:bCs/>
          <w:color w:val="0000FF"/>
          <w:sz w:val="28"/>
          <w:szCs w:val="22"/>
          <w:highlight w:val="none"/>
          <w:lang w:val="en-US" w:eastAsia="zh-CN"/>
        </w:rPr>
      </w:pPr>
      <w:r>
        <w:rPr>
          <w:rFonts w:hint="eastAsia" w:ascii="仿宋" w:hAnsi="仿宋" w:eastAsia="仿宋" w:cs="仿宋"/>
          <w:b w:val="0"/>
          <w:bCs/>
          <w:color w:val="auto"/>
          <w:sz w:val="28"/>
          <w:szCs w:val="28"/>
          <w:highlight w:val="none"/>
          <w:lang w:val="en-US" w:eastAsia="zh-CN"/>
        </w:rPr>
        <w:t>在整个评估过程中，注册房地产估价师本着独立、客观、公正的原则，在对评估对象进行了实地查看、广泛收集有关市场信息和评估对象信息的基础上，全面分析了影响评估对象市场价格的因素，运用比较法、收益法对评估对象进行了评估，最终确定评估对象在价值时点的市场价格为</w:t>
      </w:r>
      <w:r>
        <w:rPr>
          <w:rFonts w:hint="eastAsia" w:ascii="仿宋" w:hAnsi="仿宋" w:eastAsia="仿宋" w:cs="仿宋"/>
          <w:b w:val="0"/>
          <w:bCs/>
          <w:color w:val="0000FF"/>
          <w:sz w:val="28"/>
          <w:szCs w:val="22"/>
          <w:highlight w:val="none"/>
          <w:lang w:val="en-US" w:eastAsia="zh-CN"/>
        </w:rPr>
        <w:t>¥</w:t>
      </w:r>
      <w:r>
        <w:rPr>
          <w:rFonts w:hint="eastAsia" w:ascii="仿宋" w:hAnsi="仿宋" w:eastAsia="仿宋" w:cs="仿宋"/>
          <w:b w:val="0"/>
          <w:bCs/>
          <w:color w:val="0000FF"/>
          <w:sz w:val="28"/>
          <w:szCs w:val="22"/>
          <w:highlight w:val="none"/>
          <w:lang w:eastAsia="zh-CN"/>
        </w:rPr>
        <w:t>118.17</w:t>
      </w:r>
      <w:r>
        <w:rPr>
          <w:rFonts w:hint="eastAsia" w:ascii="仿宋" w:hAnsi="仿宋" w:eastAsia="仿宋" w:cs="仿宋"/>
          <w:b w:val="0"/>
          <w:bCs/>
          <w:color w:val="0000FF"/>
          <w:sz w:val="28"/>
          <w:szCs w:val="22"/>
          <w:highlight w:val="none"/>
          <w:lang w:val="en-US" w:eastAsia="zh-CN"/>
        </w:rPr>
        <w:t>万元，人民币大写：</w:t>
      </w:r>
      <w:r>
        <w:rPr>
          <w:rFonts w:hint="eastAsia" w:ascii="仿宋" w:hAnsi="仿宋" w:eastAsia="仿宋" w:cs="仿宋"/>
          <w:b w:val="0"/>
          <w:bCs/>
          <w:color w:val="0000FF"/>
          <w:sz w:val="28"/>
          <w:szCs w:val="22"/>
          <w:highlight w:val="none"/>
          <w:lang w:eastAsia="zh-CN"/>
        </w:rPr>
        <w:t>壹佰壹拾捌万壹仟柒佰</w:t>
      </w:r>
      <w:r>
        <w:rPr>
          <w:rFonts w:hint="eastAsia" w:ascii="仿宋" w:hAnsi="仿宋" w:eastAsia="仿宋" w:cs="仿宋"/>
          <w:b w:val="0"/>
          <w:bCs/>
          <w:color w:val="0000FF"/>
          <w:sz w:val="28"/>
          <w:szCs w:val="22"/>
          <w:highlight w:val="none"/>
          <w:lang w:val="en-US" w:eastAsia="zh-CN"/>
        </w:rPr>
        <w:t xml:space="preserve">元整,单价 </w:t>
      </w:r>
      <w:r>
        <w:rPr>
          <w:rFonts w:hint="eastAsia" w:ascii="仿宋" w:hAnsi="仿宋" w:eastAsia="仿宋" w:cs="仿宋"/>
          <w:b w:val="0"/>
          <w:bCs/>
          <w:color w:val="0000FF"/>
          <w:sz w:val="28"/>
          <w:szCs w:val="22"/>
          <w:highlight w:val="none"/>
          <w:lang w:eastAsia="zh-CN"/>
        </w:rPr>
        <w:t>7536</w:t>
      </w:r>
      <w:r>
        <w:rPr>
          <w:rFonts w:hint="eastAsia" w:ascii="仿宋" w:hAnsi="仿宋" w:eastAsia="仿宋" w:cs="仿宋"/>
          <w:b w:val="0"/>
          <w:bCs/>
          <w:color w:val="0000FF"/>
          <w:sz w:val="28"/>
          <w:szCs w:val="22"/>
          <w:highlight w:val="none"/>
          <w:lang w:val="en-US" w:eastAsia="zh-CN"/>
        </w:rPr>
        <w:t xml:space="preserve">元/平方米； </w:t>
      </w:r>
    </w:p>
    <w:p>
      <w:pPr>
        <w:pStyle w:val="6"/>
        <w:keepNext w:val="0"/>
        <w:keepLines w:val="0"/>
        <w:pageBreakBefore w:val="0"/>
        <w:widowControl w:val="0"/>
        <w:kinsoku/>
        <w:wordWrap/>
        <w:overflowPunct/>
        <w:topLinePunct w:val="0"/>
        <w:autoSpaceDE/>
        <w:autoSpaceDN/>
        <w:bidi w:val="0"/>
        <w:adjustRightInd/>
        <w:snapToGrid w:val="0"/>
        <w:spacing w:line="520" w:lineRule="exact"/>
        <w:ind w:right="105" w:rightChars="50" w:firstLine="560" w:firstLineChars="200"/>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报告使用人在使用本报告之前须对报告全文，特别是“估价的假设和限制条件”认真阅读，以免使用不当，造成损失！评估的详细结果、过程及有关说明，详见报告全文；评估利害关系人对评估报告有异议的，可以在收到评估报告后五日内以书面形式通过人民法院向我公司提出。</w:t>
      </w:r>
    </w:p>
    <w:p>
      <w:pPr>
        <w:pStyle w:val="6"/>
        <w:keepNext w:val="0"/>
        <w:keepLines w:val="0"/>
        <w:pageBreakBefore w:val="0"/>
        <w:widowControl w:val="0"/>
        <w:kinsoku/>
        <w:wordWrap/>
        <w:overflowPunct/>
        <w:topLinePunct w:val="0"/>
        <w:autoSpaceDE/>
        <w:autoSpaceDN/>
        <w:bidi w:val="0"/>
        <w:adjustRightInd/>
        <w:snapToGrid w:val="0"/>
        <w:spacing w:line="520" w:lineRule="exact"/>
        <w:ind w:right="105" w:rightChars="50" w:firstLine="560" w:firstLineChars="200"/>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此致</w:t>
      </w:r>
    </w:p>
    <w:p>
      <w:pPr>
        <w:pStyle w:val="6"/>
        <w:keepNext w:val="0"/>
        <w:keepLines w:val="0"/>
        <w:pageBreakBefore w:val="0"/>
        <w:widowControl w:val="0"/>
        <w:kinsoku/>
        <w:wordWrap/>
        <w:overflowPunct/>
        <w:topLinePunct w:val="0"/>
        <w:autoSpaceDE/>
        <w:autoSpaceDN/>
        <w:bidi w:val="0"/>
        <w:adjustRightInd/>
        <w:snapToGrid w:val="0"/>
        <w:spacing w:line="520" w:lineRule="exact"/>
        <w:ind w:right="105" w:rightChars="50" w:firstLine="560" w:firstLineChars="200"/>
        <w:textAlignment w:val="auto"/>
        <w:rPr>
          <w:rFonts w:hint="eastAsia" w:ascii="仿宋" w:hAnsi="仿宋" w:eastAsia="仿宋" w:cs="仿宋"/>
          <w:b w:val="0"/>
          <w:bCs/>
          <w:color w:val="auto"/>
          <w:sz w:val="28"/>
          <w:szCs w:val="28"/>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520" w:lineRule="exact"/>
        <w:ind w:right="105" w:rightChars="50" w:firstLine="560" w:firstLineChars="200"/>
        <w:textAlignment w:val="auto"/>
        <w:rPr>
          <w:rFonts w:hint="eastAsia" w:ascii="仿宋" w:hAnsi="仿宋" w:eastAsia="仿宋" w:cs="仿宋"/>
          <w:b w:val="0"/>
          <w:bCs/>
          <w:color w:val="auto"/>
          <w:sz w:val="28"/>
          <w:szCs w:val="28"/>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520" w:lineRule="exact"/>
        <w:ind w:right="105" w:rightChars="50" w:firstLine="2240" w:firstLineChars="8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山东贵恒信土地房地产资产评估测绘有限公司</w:t>
      </w:r>
      <w:r>
        <w:rPr>
          <w:rFonts w:hint="eastAsia" w:ascii="仿宋" w:hAnsi="仿宋" w:eastAsia="仿宋" w:cs="仿宋"/>
          <w:color w:val="auto"/>
          <w:sz w:val="28"/>
          <w:szCs w:val="28"/>
          <w:highlight w:val="none"/>
        </w:rPr>
        <w:t xml:space="preserve">                                      </w:t>
      </w:r>
    </w:p>
    <w:p>
      <w:pPr>
        <w:pStyle w:val="6"/>
        <w:keepNext w:val="0"/>
        <w:keepLines w:val="0"/>
        <w:pageBreakBefore w:val="0"/>
        <w:widowControl w:val="0"/>
        <w:kinsoku/>
        <w:wordWrap/>
        <w:overflowPunct/>
        <w:topLinePunct w:val="0"/>
        <w:autoSpaceDE/>
        <w:autoSpaceDN/>
        <w:bidi w:val="0"/>
        <w:adjustRightInd/>
        <w:snapToGrid w:val="0"/>
        <w:spacing w:line="520" w:lineRule="exact"/>
        <w:ind w:left="4204" w:leftChars="50" w:right="105" w:rightChars="50" w:hanging="4099" w:hangingChars="1464"/>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法定代表人签字：    </w:t>
      </w:r>
    </w:p>
    <w:p>
      <w:pPr>
        <w:pStyle w:val="6"/>
        <w:keepNext w:val="0"/>
        <w:keepLines w:val="0"/>
        <w:pageBreakBefore w:val="0"/>
        <w:widowControl w:val="0"/>
        <w:kinsoku/>
        <w:wordWrap/>
        <w:overflowPunct/>
        <w:topLinePunct w:val="0"/>
        <w:autoSpaceDE/>
        <w:autoSpaceDN/>
        <w:bidi w:val="0"/>
        <w:adjustRightInd/>
        <w:snapToGrid w:val="0"/>
        <w:spacing w:line="520" w:lineRule="exact"/>
        <w:ind w:left="4204" w:leftChars="50" w:right="105" w:rightChars="50" w:hanging="4099" w:hangingChars="1464"/>
        <w:jc w:val="left"/>
        <w:textAlignment w:val="auto"/>
        <w:rPr>
          <w:rFonts w:hint="eastAsia" w:ascii="仿宋" w:hAnsi="仿宋" w:eastAsia="仿宋" w:cs="仿宋"/>
          <w:color w:val="0000FF"/>
          <w:sz w:val="28"/>
          <w:szCs w:val="28"/>
          <w:highlight w:val="yellow"/>
          <w:lang w:val="zh-CN" w:eastAsia="zh-CN"/>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2022年</w:t>
      </w:r>
      <w:r>
        <w:rPr>
          <w:rFonts w:hint="eastAsia" w:ascii="仿宋" w:hAnsi="仿宋" w:eastAsia="仿宋" w:cs="仿宋"/>
          <w:color w:val="0000FF"/>
          <w:sz w:val="28"/>
          <w:szCs w:val="28"/>
          <w:highlight w:val="none"/>
          <w:lang w:val="en-US" w:eastAsia="zh-CN"/>
        </w:rPr>
        <w:t>8月16日</w:t>
      </w:r>
    </w:p>
    <w:p>
      <w:pPr>
        <w:pStyle w:val="15"/>
        <w:pageBreakBefore w:val="0"/>
        <w:tabs>
          <w:tab w:val="center" w:pos="4161"/>
          <w:tab w:val="left" w:pos="7272"/>
        </w:tabs>
        <w:kinsoku/>
        <w:wordWrap/>
        <w:overflowPunct/>
        <w:topLinePunct w:val="0"/>
        <w:autoSpaceDE/>
        <w:autoSpaceDN/>
        <w:bidi w:val="0"/>
        <w:adjustRightInd/>
        <w:spacing w:before="0" w:line="640" w:lineRule="exact"/>
        <w:ind w:right="105" w:rightChars="50"/>
        <w:jc w:val="center"/>
        <w:textAlignment w:val="auto"/>
        <w:rPr>
          <w:rFonts w:hint="eastAsia" w:ascii="仿宋" w:hAnsi="仿宋" w:eastAsia="仿宋" w:cs="仿宋"/>
          <w:color w:val="auto"/>
          <w:sz w:val="32"/>
          <w:szCs w:val="32"/>
          <w:highlight w:val="none"/>
          <w:lang w:val="zh-CN"/>
        </w:rPr>
      </w:pPr>
    </w:p>
    <w:p>
      <w:pPr>
        <w:rPr>
          <w:rFonts w:hint="eastAsia" w:ascii="仿宋" w:hAnsi="仿宋" w:eastAsia="仿宋" w:cs="仿宋"/>
          <w:color w:val="auto"/>
          <w:sz w:val="32"/>
          <w:szCs w:val="32"/>
          <w:highlight w:val="none"/>
          <w:lang w:val="zh-CN"/>
        </w:rPr>
      </w:pPr>
    </w:p>
    <w:p>
      <w:pPr>
        <w:pStyle w:val="2"/>
        <w:rPr>
          <w:rFonts w:hint="eastAsia"/>
          <w:lang w:val="zh-CN"/>
        </w:rPr>
      </w:pPr>
    </w:p>
    <w:p>
      <w:pPr>
        <w:pStyle w:val="15"/>
        <w:pageBreakBefore w:val="0"/>
        <w:tabs>
          <w:tab w:val="center" w:pos="4161"/>
          <w:tab w:val="left" w:pos="7272"/>
        </w:tabs>
        <w:kinsoku/>
        <w:wordWrap/>
        <w:overflowPunct/>
        <w:topLinePunct w:val="0"/>
        <w:autoSpaceDE/>
        <w:autoSpaceDN/>
        <w:bidi w:val="0"/>
        <w:adjustRightInd/>
        <w:spacing w:before="0" w:line="640" w:lineRule="exact"/>
        <w:ind w:right="105" w:rightChars="50"/>
        <w:jc w:val="center"/>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目  录</w:t>
      </w:r>
    </w:p>
    <w:p>
      <w:pPr>
        <w:rPr>
          <w:rFonts w:hint="eastAsia"/>
          <w:color w:val="auto"/>
          <w:highlight w:val="none"/>
          <w:lang w:val="zh-CN"/>
        </w:rPr>
      </w:pPr>
    </w:p>
    <w:p>
      <w:pPr>
        <w:rPr>
          <w:rFonts w:hint="eastAsia"/>
          <w:color w:val="auto"/>
          <w:highlight w:val="none"/>
        </w:rPr>
      </w:pPr>
    </w:p>
    <w:p>
      <w:pPr>
        <w:pStyle w:val="2"/>
        <w:keepNext w:val="0"/>
        <w:keepLines w:val="0"/>
        <w:pageBreakBefore w:val="0"/>
        <w:widowControl w:val="0"/>
        <w:tabs>
          <w:tab w:val="right" w:leader="dot" w:pos="8306"/>
          <w:tab w:val="clear" w:pos="8630"/>
        </w:tabs>
        <w:kinsoku/>
        <w:wordWrap/>
        <w:overflowPunct/>
        <w:topLinePunct w:val="0"/>
        <w:autoSpaceDE/>
        <w:autoSpaceDN/>
        <w:bidi w:val="0"/>
        <w:adjustRightInd/>
        <w:snapToGrid w:val="0"/>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"1-3" \h \z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_Toc19708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第一部分  估价师声明</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fldChar w:fldCharType="end"/>
      </w:r>
    </w:p>
    <w:p>
      <w:pPr>
        <w:pStyle w:val="2"/>
        <w:keepNext w:val="0"/>
        <w:keepLines w:val="0"/>
        <w:pageBreakBefore w:val="0"/>
        <w:widowControl w:val="0"/>
        <w:tabs>
          <w:tab w:val="right" w:leader="dot" w:pos="8306"/>
          <w:tab w:val="clear" w:pos="8630"/>
        </w:tabs>
        <w:kinsoku/>
        <w:wordWrap/>
        <w:overflowPunct/>
        <w:topLinePunct w:val="0"/>
        <w:autoSpaceDE/>
        <w:autoSpaceDN/>
        <w:bidi w:val="0"/>
        <w:adjustRightInd/>
        <w:snapToGrid w:val="0"/>
        <w:spacing w:line="640" w:lineRule="exac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_Toc29068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 xml:space="preserve">第二部分  </w:t>
      </w:r>
      <w:r>
        <w:rPr>
          <w:rFonts w:hint="eastAsia" w:ascii="仿宋" w:hAnsi="仿宋" w:eastAsia="仿宋" w:cs="仿宋"/>
          <w:color w:val="auto"/>
          <w:sz w:val="28"/>
          <w:szCs w:val="28"/>
          <w:highlight w:val="none"/>
          <w:lang w:eastAsia="zh-CN"/>
        </w:rPr>
        <w:t>估价的假设和限制条件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fldChar w:fldCharType="end"/>
      </w:r>
    </w:p>
    <w:p>
      <w:pPr>
        <w:pStyle w:val="2"/>
        <w:keepNext w:val="0"/>
        <w:keepLines w:val="0"/>
        <w:pageBreakBefore w:val="0"/>
        <w:widowControl w:val="0"/>
        <w:tabs>
          <w:tab w:val="right" w:leader="dot" w:pos="8306"/>
          <w:tab w:val="clear" w:pos="8630"/>
        </w:tabs>
        <w:kinsoku/>
        <w:wordWrap/>
        <w:overflowPunct/>
        <w:topLinePunct w:val="0"/>
        <w:autoSpaceDE/>
        <w:autoSpaceDN/>
        <w:bidi w:val="0"/>
        <w:adjustRightInd/>
        <w:snapToGrid w:val="0"/>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_Toc14527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 xml:space="preserve">第三部分  </w:t>
      </w:r>
      <w:r>
        <w:rPr>
          <w:rFonts w:hint="eastAsia" w:ascii="仿宋" w:hAnsi="仿宋" w:eastAsia="仿宋" w:cs="仿宋"/>
          <w:color w:val="auto"/>
          <w:sz w:val="28"/>
          <w:szCs w:val="28"/>
          <w:highlight w:val="none"/>
          <w:lang w:eastAsia="zh-CN"/>
        </w:rPr>
        <w:t>评估结果</w:t>
      </w:r>
      <w:r>
        <w:rPr>
          <w:rFonts w:hint="eastAsia" w:ascii="仿宋" w:hAnsi="仿宋" w:eastAsia="仿宋" w:cs="仿宋"/>
          <w:color w:val="auto"/>
          <w:sz w:val="28"/>
          <w:szCs w:val="28"/>
          <w:highlight w:val="none"/>
        </w:rPr>
        <w:t>报告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_Toc20271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eastAsia="zh-CN"/>
        </w:rPr>
        <w:t>评估委托</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_Toc26554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二、房地产估价机构</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_Toc27321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w:t>
      </w:r>
      <w:r>
        <w:rPr>
          <w:rFonts w:hint="eastAsia" w:ascii="仿宋" w:hAnsi="仿宋" w:eastAsia="仿宋" w:cs="仿宋"/>
          <w:color w:val="auto"/>
          <w:sz w:val="28"/>
          <w:szCs w:val="28"/>
          <w:highlight w:val="none"/>
          <w:lang w:eastAsia="zh-CN"/>
        </w:rPr>
        <w:t>评估目的</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_Toc6983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四、</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_Toc16041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五、价值时点</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_Toc20565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六、价值类型</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_Toc5897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七、</w:t>
      </w:r>
      <w:r>
        <w:rPr>
          <w:rFonts w:hint="eastAsia" w:ascii="仿宋" w:hAnsi="仿宋" w:eastAsia="仿宋" w:cs="仿宋"/>
          <w:color w:val="auto"/>
          <w:sz w:val="28"/>
          <w:szCs w:val="28"/>
          <w:highlight w:val="none"/>
          <w:lang w:eastAsia="zh-CN"/>
        </w:rPr>
        <w:t>评估原</w:t>
      </w:r>
      <w:r>
        <w:rPr>
          <w:rFonts w:hint="eastAsia" w:ascii="仿宋" w:hAnsi="仿宋" w:eastAsia="仿宋" w:cs="仿宋"/>
          <w:color w:val="auto"/>
          <w:sz w:val="28"/>
          <w:szCs w:val="28"/>
          <w:highlight w:val="none"/>
        </w:rPr>
        <w:t>则</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_Toc16943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八、</w:t>
      </w:r>
      <w:r>
        <w:rPr>
          <w:rFonts w:hint="eastAsia" w:ascii="仿宋" w:hAnsi="仿宋" w:eastAsia="仿宋" w:cs="仿宋"/>
          <w:color w:val="auto"/>
          <w:sz w:val="28"/>
          <w:szCs w:val="28"/>
          <w:highlight w:val="none"/>
          <w:lang w:eastAsia="zh-CN"/>
        </w:rPr>
        <w:t>评估依据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_Toc11175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九、</w:t>
      </w:r>
      <w:r>
        <w:rPr>
          <w:rFonts w:hint="eastAsia" w:ascii="仿宋" w:hAnsi="仿宋" w:eastAsia="仿宋" w:cs="仿宋"/>
          <w:color w:val="auto"/>
          <w:sz w:val="28"/>
          <w:szCs w:val="28"/>
          <w:highlight w:val="none"/>
          <w:lang w:eastAsia="zh-CN"/>
        </w:rPr>
        <w:t>评估方法</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2</w:t>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_Toc13430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十、</w:t>
      </w:r>
      <w:r>
        <w:rPr>
          <w:rFonts w:hint="eastAsia" w:ascii="仿宋" w:hAnsi="仿宋" w:eastAsia="仿宋" w:cs="仿宋"/>
          <w:color w:val="auto"/>
          <w:sz w:val="28"/>
          <w:szCs w:val="28"/>
          <w:highlight w:val="none"/>
          <w:lang w:eastAsia="zh-CN"/>
        </w:rPr>
        <w:t>评估结果</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_Toc13430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_Toc30870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十一、注册房地产估价师</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_Toc30870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_Toc17916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十二、实地查勘期</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_Toc17916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9"/>
        <w:keepNext w:val="0"/>
        <w:keepLines w:val="0"/>
        <w:pageBreakBefore w:val="0"/>
        <w:widowControl w:val="0"/>
        <w:tabs>
          <w:tab w:val="right" w:leader="dot" w:pos="8306"/>
          <w:tab w:val="clear" w:pos="8647"/>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_Toc12333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十三、</w:t>
      </w:r>
      <w:r>
        <w:rPr>
          <w:rFonts w:hint="eastAsia" w:ascii="仿宋" w:hAnsi="仿宋" w:eastAsia="仿宋" w:cs="仿宋"/>
          <w:color w:val="auto"/>
          <w:sz w:val="28"/>
          <w:szCs w:val="28"/>
          <w:highlight w:val="none"/>
          <w:lang w:eastAsia="zh-CN"/>
        </w:rPr>
        <w:t>评估作业</w:t>
      </w:r>
      <w:r>
        <w:rPr>
          <w:rFonts w:hint="eastAsia" w:ascii="仿宋" w:hAnsi="仿宋" w:eastAsia="仿宋" w:cs="仿宋"/>
          <w:color w:val="auto"/>
          <w:sz w:val="28"/>
          <w:szCs w:val="28"/>
          <w:highlight w:val="none"/>
        </w:rPr>
        <w:t>期</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_Toc12333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
        <w:pageBreakBefore w:val="0"/>
        <w:tabs>
          <w:tab w:val="right" w:leader="dot" w:pos="8306"/>
          <w:tab w:val="clear" w:pos="8630"/>
        </w:tabs>
        <w:kinsoku/>
        <w:wordWrap/>
        <w:overflowPunct/>
        <w:topLinePunct w:val="0"/>
        <w:autoSpaceDE/>
        <w:autoSpaceDN/>
        <w:bidi w:val="0"/>
        <w:adjustRightInd/>
        <w:spacing w:line="6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_Toc23390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eastAsia="zh-CN"/>
        </w:rPr>
        <w:t>四</w:t>
      </w:r>
      <w:r>
        <w:rPr>
          <w:rFonts w:hint="eastAsia" w:ascii="仿宋" w:hAnsi="仿宋" w:eastAsia="仿宋" w:cs="仿宋"/>
          <w:color w:val="auto"/>
          <w:sz w:val="28"/>
          <w:szCs w:val="28"/>
          <w:highlight w:val="none"/>
        </w:rPr>
        <w:t>部分  附 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_Toc23390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640" w:lineRule="exact"/>
        <w:ind w:right="105" w:rightChars="5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pStyle w:val="2"/>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05" w:rightChars="50" w:firstLine="516" w:firstLineChars="200"/>
        <w:jc w:val="left"/>
        <w:textAlignment w:val="auto"/>
        <w:rPr>
          <w:rFonts w:hint="eastAsia"/>
          <w:lang w:eastAsia="zh-CN"/>
        </w:rPr>
      </w:pPr>
      <w:r>
        <w:rPr>
          <w:rFonts w:hint="eastAsia" w:ascii="仿宋" w:hAnsi="仿宋" w:eastAsia="仿宋" w:cs="仿宋"/>
          <w:color w:val="0000FF"/>
          <w:spacing w:val="-11"/>
          <w:sz w:val="28"/>
          <w:szCs w:val="28"/>
          <w:highlight w:val="none"/>
          <w:lang w:val="en-US" w:eastAsia="zh-CN"/>
        </w:rPr>
        <w:t>1.</w:t>
      </w:r>
      <w:r>
        <w:rPr>
          <w:rFonts w:hint="eastAsia" w:ascii="仿宋" w:hAnsi="仿宋" w:eastAsia="仿宋" w:cs="仿宋"/>
          <w:color w:val="0000FF"/>
          <w:spacing w:val="-11"/>
          <w:sz w:val="28"/>
          <w:szCs w:val="28"/>
          <w:highlight w:val="none"/>
          <w:lang w:eastAsia="zh-CN"/>
        </w:rPr>
        <w:t>《</w:t>
      </w:r>
      <w:r>
        <w:rPr>
          <w:rFonts w:hint="eastAsia" w:ascii="仿宋" w:hAnsi="仿宋" w:eastAsia="仿宋" w:cs="仿宋"/>
          <w:color w:val="0000FF"/>
          <w:spacing w:val="-11"/>
          <w:sz w:val="28"/>
          <w:szCs w:val="28"/>
          <w:highlight w:val="none"/>
          <w:lang w:val="en-US" w:eastAsia="zh-CN"/>
        </w:rPr>
        <w:t>冠县</w:t>
      </w:r>
      <w:r>
        <w:rPr>
          <w:rFonts w:hint="eastAsia" w:ascii="仿宋" w:hAnsi="仿宋" w:eastAsia="仿宋" w:cs="仿宋"/>
          <w:color w:val="0000FF"/>
          <w:spacing w:val="-11"/>
          <w:sz w:val="28"/>
          <w:szCs w:val="28"/>
          <w:highlight w:val="none"/>
          <w:lang w:eastAsia="zh-CN"/>
        </w:rPr>
        <w:t>人民法院委托书》[（202</w:t>
      </w:r>
      <w:r>
        <w:rPr>
          <w:rFonts w:hint="eastAsia" w:ascii="仿宋" w:hAnsi="仿宋" w:eastAsia="仿宋" w:cs="仿宋"/>
          <w:color w:val="0000FF"/>
          <w:spacing w:val="-11"/>
          <w:sz w:val="28"/>
          <w:szCs w:val="28"/>
          <w:highlight w:val="none"/>
          <w:lang w:val="en-US" w:eastAsia="zh-CN"/>
        </w:rPr>
        <w:t>2</w:t>
      </w:r>
      <w:r>
        <w:rPr>
          <w:rFonts w:hint="eastAsia" w:ascii="仿宋" w:hAnsi="仿宋" w:eastAsia="仿宋" w:cs="仿宋"/>
          <w:color w:val="0000FF"/>
          <w:spacing w:val="-11"/>
          <w:sz w:val="28"/>
          <w:szCs w:val="28"/>
          <w:highlight w:val="none"/>
          <w:lang w:eastAsia="zh-CN"/>
        </w:rPr>
        <w:t>）鲁</w:t>
      </w:r>
      <w:r>
        <w:rPr>
          <w:rFonts w:hint="eastAsia" w:ascii="仿宋" w:hAnsi="仿宋" w:eastAsia="仿宋" w:cs="仿宋"/>
          <w:color w:val="0000FF"/>
          <w:spacing w:val="-11"/>
          <w:sz w:val="28"/>
          <w:szCs w:val="28"/>
          <w:highlight w:val="none"/>
          <w:lang w:val="en-US" w:eastAsia="zh-CN"/>
        </w:rPr>
        <w:t>1525执恢688号</w:t>
      </w:r>
      <w:r>
        <w:rPr>
          <w:rFonts w:hint="eastAsia" w:ascii="仿宋" w:hAnsi="仿宋" w:eastAsia="仿宋" w:cs="仿宋"/>
          <w:color w:val="0000FF"/>
          <w:spacing w:val="-11"/>
          <w:sz w:val="28"/>
          <w:szCs w:val="28"/>
          <w:highlight w:val="none"/>
          <w:lang w:eastAsia="zh-CN"/>
        </w:rPr>
        <w:t>]（复印件）</w:t>
      </w:r>
      <w:r>
        <w:rPr>
          <w:rFonts w:hint="eastAsia" w:ascii="仿宋" w:hAnsi="仿宋" w:eastAsia="仿宋" w:cs="仿宋"/>
          <w:color w:val="0000FF"/>
          <w:spacing w:val="-11"/>
          <w:sz w:val="28"/>
          <w:szCs w:val="28"/>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560" w:leftChars="0"/>
        <w:textAlignment w:val="auto"/>
        <w:rPr>
          <w:rFonts w:hint="eastAsia" w:ascii="仿宋" w:hAnsi="仿宋" w:eastAsia="仿宋" w:cs="仿宋"/>
          <w:b w:val="0"/>
          <w:color w:val="0000FF"/>
          <w:kern w:val="2"/>
          <w:sz w:val="28"/>
          <w:szCs w:val="28"/>
          <w:highlight w:val="none"/>
          <w:lang w:val="en-US" w:eastAsia="zh-CN" w:bidi="ar-SA"/>
        </w:rPr>
      </w:pPr>
      <w:r>
        <w:rPr>
          <w:rFonts w:hint="eastAsia" w:ascii="仿宋" w:hAnsi="仿宋" w:eastAsia="仿宋" w:cs="仿宋"/>
          <w:b w:val="0"/>
          <w:color w:val="0000FF"/>
          <w:kern w:val="2"/>
          <w:sz w:val="28"/>
          <w:szCs w:val="28"/>
          <w:highlight w:val="none"/>
          <w:lang w:val="en-US" w:eastAsia="zh-CN" w:bidi="ar-SA"/>
        </w:rPr>
        <w:t>2.《预告登记信息》（复印件）；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05" w:rightChars="5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现场照片；</w:t>
      </w:r>
      <w:r>
        <w:rPr>
          <w:rFonts w:hint="eastAsia" w:ascii="仿宋" w:hAnsi="仿宋" w:eastAsia="仿宋" w:cs="仿宋"/>
          <w:color w:val="auto"/>
          <w:sz w:val="28"/>
          <w:szCs w:val="28"/>
          <w:highlight w:val="none"/>
          <w:lang w:eastAsia="zh-CN"/>
        </w:rPr>
        <w:tab/>
      </w: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位置图；</w:t>
      </w: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估价机构营业执照（复印件）；</w:t>
      </w: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估价机构资质证书（复印件）；</w:t>
      </w: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注册房地产估价师</w:t>
      </w:r>
      <w:r>
        <w:rPr>
          <w:rFonts w:hint="eastAsia" w:ascii="仿宋" w:hAnsi="仿宋" w:eastAsia="仿宋" w:cs="仿宋"/>
          <w:color w:val="auto"/>
          <w:sz w:val="28"/>
          <w:szCs w:val="28"/>
          <w:highlight w:val="none"/>
          <w:lang w:val="en-US" w:eastAsia="zh-CN"/>
        </w:rPr>
        <w:t>注册</w:t>
      </w:r>
      <w:r>
        <w:rPr>
          <w:rFonts w:hint="eastAsia" w:ascii="仿宋" w:hAnsi="仿宋" w:eastAsia="仿宋" w:cs="仿宋"/>
          <w:color w:val="auto"/>
          <w:sz w:val="28"/>
          <w:szCs w:val="28"/>
          <w:highlight w:val="none"/>
        </w:rPr>
        <w:t>证书（复印件）</w:t>
      </w:r>
      <w:r>
        <w:rPr>
          <w:rFonts w:hint="eastAsia" w:ascii="仿宋" w:hAnsi="仿宋" w:eastAsia="仿宋" w:cs="仿宋"/>
          <w:color w:val="auto"/>
          <w:sz w:val="28"/>
          <w:szCs w:val="28"/>
          <w:highlight w:val="none"/>
          <w:lang w:eastAsia="zh-CN"/>
        </w:rPr>
        <w:t>。</w:t>
      </w:r>
    </w:p>
    <w:p>
      <w:pPr>
        <w:pStyle w:val="3"/>
        <w:pageBreakBefore w:val="0"/>
        <w:widowControl w:val="0"/>
        <w:kinsoku/>
        <w:wordWrap/>
        <w:overflowPunct/>
        <w:topLinePunct w:val="0"/>
        <w:autoSpaceDE/>
        <w:autoSpaceDN/>
        <w:bidi w:val="0"/>
        <w:adjustRightInd/>
        <w:spacing w:before="0" w:after="0" w:line="580" w:lineRule="exact"/>
        <w:ind w:left="105" w:leftChars="50" w:right="105" w:rightChars="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bookmarkStart w:id="1" w:name="_Toc19708"/>
      <w:bookmarkStart w:id="2" w:name="_Toc323216537"/>
      <w:r>
        <w:rPr>
          <w:rFonts w:hint="eastAsia" w:ascii="仿宋" w:hAnsi="仿宋" w:eastAsia="仿宋" w:cs="仿宋"/>
          <w:color w:val="auto"/>
          <w:sz w:val="28"/>
          <w:szCs w:val="28"/>
          <w:highlight w:val="none"/>
        </w:rPr>
        <w:t>第一部分  估价师声明</w:t>
      </w:r>
      <w:bookmarkEnd w:id="1"/>
      <w:bookmarkEnd w:id="2"/>
    </w:p>
    <w:p>
      <w:pPr>
        <w:keepNext w:val="0"/>
        <w:keepLines w:val="0"/>
        <w:pageBreakBefore w:val="0"/>
        <w:widowControl w:val="0"/>
        <w:kinsoku/>
        <w:wordWrap/>
        <w:overflowPunct/>
        <w:topLinePunct w:val="0"/>
        <w:autoSpaceDE/>
        <w:autoSpaceDN/>
        <w:bidi w:val="0"/>
        <w:adjustRightInd/>
        <w:snapToGrid w:val="0"/>
        <w:spacing w:line="560" w:lineRule="exact"/>
        <w:ind w:left="105" w:leftChars="50" w:right="105" w:rightChars="50" w:firstLine="560" w:firstLineChars="200"/>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我们</w:t>
      </w:r>
      <w:r>
        <w:rPr>
          <w:rFonts w:hint="eastAsia" w:ascii="仿宋" w:hAnsi="仿宋" w:eastAsia="仿宋" w:cs="仿宋"/>
          <w:b w:val="0"/>
          <w:bCs/>
          <w:color w:val="auto"/>
          <w:sz w:val="28"/>
          <w:szCs w:val="28"/>
          <w:highlight w:val="none"/>
          <w:lang w:val="en-US" w:eastAsia="zh-CN"/>
        </w:rPr>
        <w:t>根据自己的专业知识和职业道德，在此</w:t>
      </w:r>
      <w:r>
        <w:rPr>
          <w:rFonts w:hint="eastAsia" w:ascii="仿宋" w:hAnsi="仿宋" w:eastAsia="仿宋" w:cs="仿宋"/>
          <w:b w:val="0"/>
          <w:bCs/>
          <w:color w:val="auto"/>
          <w:sz w:val="28"/>
          <w:szCs w:val="28"/>
          <w:highlight w:val="none"/>
        </w:rPr>
        <w:t>郑重声明：</w:t>
      </w:r>
    </w:p>
    <w:p>
      <w:pPr>
        <w:keepNext w:val="0"/>
        <w:keepLines w:val="0"/>
        <w:pageBreakBefore w:val="0"/>
        <w:widowControl w:val="0"/>
        <w:kinsoku/>
        <w:wordWrap/>
        <w:overflowPunct/>
        <w:topLinePunct w:val="0"/>
        <w:autoSpaceDE/>
        <w:autoSpaceDN/>
        <w:bidi w:val="0"/>
        <w:adjustRightInd/>
        <w:snapToGrid w:val="0"/>
        <w:spacing w:line="560" w:lineRule="exact"/>
        <w:ind w:left="105" w:leftChars="50" w:right="105" w:rightChars="50" w:firstLine="573"/>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我们</w:t>
      </w:r>
      <w:r>
        <w:rPr>
          <w:rFonts w:hint="eastAsia" w:ascii="仿宋" w:hAnsi="仿宋" w:eastAsia="仿宋" w:cs="仿宋"/>
          <w:color w:val="auto"/>
          <w:sz w:val="28"/>
          <w:szCs w:val="28"/>
          <w:highlight w:val="none"/>
        </w:rPr>
        <w:t>在</w:t>
      </w:r>
      <w:r>
        <w:rPr>
          <w:rFonts w:hint="eastAsia" w:ascii="仿宋" w:hAnsi="仿宋" w:eastAsia="仿宋" w:cs="仿宋"/>
          <w:color w:val="auto"/>
          <w:sz w:val="28"/>
          <w:szCs w:val="28"/>
          <w:highlight w:val="none"/>
          <w:lang w:val="en-US" w:eastAsia="zh-CN"/>
        </w:rPr>
        <w:t>本</w:t>
      </w:r>
      <w:r>
        <w:rPr>
          <w:rFonts w:hint="eastAsia" w:ascii="仿宋" w:hAnsi="仿宋" w:eastAsia="仿宋" w:cs="仿宋"/>
          <w:color w:val="auto"/>
          <w:sz w:val="28"/>
          <w:szCs w:val="28"/>
          <w:highlight w:val="none"/>
          <w:lang w:eastAsia="zh-CN"/>
        </w:rPr>
        <w:t>评估报告</w:t>
      </w:r>
      <w:r>
        <w:rPr>
          <w:rFonts w:hint="eastAsia" w:ascii="仿宋" w:hAnsi="仿宋" w:eastAsia="仿宋" w:cs="仿宋"/>
          <w:color w:val="auto"/>
          <w:sz w:val="28"/>
          <w:szCs w:val="28"/>
          <w:highlight w:val="none"/>
        </w:rPr>
        <w:t>中对事实的说明是真实和准确的，没有虚假记载、误导性陈述和重大遗漏；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val="0"/>
        <w:spacing w:line="560" w:lineRule="exact"/>
        <w:ind w:left="105" w:leftChars="50" w:right="105" w:rightChars="50" w:firstLine="573"/>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评估报告</w:t>
      </w:r>
      <w:r>
        <w:rPr>
          <w:rFonts w:hint="eastAsia" w:ascii="仿宋" w:hAnsi="仿宋" w:eastAsia="仿宋" w:cs="仿宋"/>
          <w:color w:val="auto"/>
          <w:sz w:val="28"/>
          <w:szCs w:val="28"/>
          <w:highlight w:val="none"/>
        </w:rPr>
        <w:t>中的分析、意见和结论是</w:t>
      </w:r>
      <w:r>
        <w:rPr>
          <w:rFonts w:hint="eastAsia" w:ascii="仿宋" w:hAnsi="仿宋" w:eastAsia="仿宋" w:cs="仿宋"/>
          <w:color w:val="auto"/>
          <w:sz w:val="28"/>
          <w:szCs w:val="28"/>
          <w:highlight w:val="none"/>
          <w:lang w:val="en-US" w:eastAsia="zh-CN"/>
        </w:rPr>
        <w:t>我们</w:t>
      </w:r>
      <w:r>
        <w:rPr>
          <w:rFonts w:hint="eastAsia" w:ascii="仿宋" w:hAnsi="仿宋" w:eastAsia="仿宋" w:cs="仿宋"/>
          <w:color w:val="auto"/>
          <w:sz w:val="28"/>
          <w:szCs w:val="28"/>
          <w:highlight w:val="none"/>
        </w:rPr>
        <w:t>独立、客观、公正的专业分析、意见和结论，但受到</w:t>
      </w:r>
      <w:r>
        <w:rPr>
          <w:rFonts w:hint="eastAsia" w:ascii="仿宋" w:hAnsi="仿宋" w:eastAsia="仿宋" w:cs="仿宋"/>
          <w:color w:val="auto"/>
          <w:sz w:val="28"/>
          <w:szCs w:val="28"/>
          <w:highlight w:val="none"/>
          <w:lang w:val="en-US" w:eastAsia="zh-CN"/>
        </w:rPr>
        <w:t>本</w:t>
      </w:r>
      <w:r>
        <w:rPr>
          <w:rFonts w:hint="eastAsia" w:ascii="仿宋" w:hAnsi="仿宋" w:eastAsia="仿宋" w:cs="仿宋"/>
          <w:color w:val="auto"/>
          <w:sz w:val="28"/>
          <w:szCs w:val="28"/>
          <w:highlight w:val="none"/>
          <w:lang w:eastAsia="zh-CN"/>
        </w:rPr>
        <w:t>评估报告</w:t>
      </w:r>
      <w:r>
        <w:rPr>
          <w:rFonts w:hint="eastAsia" w:ascii="仿宋" w:hAnsi="仿宋" w:eastAsia="仿宋" w:cs="仿宋"/>
          <w:color w:val="auto"/>
          <w:sz w:val="28"/>
          <w:szCs w:val="28"/>
          <w:highlight w:val="none"/>
        </w:rPr>
        <w:t>中已说明的</w:t>
      </w:r>
      <w:r>
        <w:rPr>
          <w:rFonts w:hint="eastAsia" w:ascii="仿宋" w:hAnsi="仿宋" w:eastAsia="仿宋" w:cs="仿宋"/>
          <w:color w:val="auto"/>
          <w:sz w:val="28"/>
          <w:szCs w:val="28"/>
          <w:highlight w:val="none"/>
          <w:lang w:eastAsia="zh-CN"/>
        </w:rPr>
        <w:t>评估假设</w:t>
      </w:r>
      <w:r>
        <w:rPr>
          <w:rFonts w:hint="eastAsia" w:ascii="仿宋" w:hAnsi="仿宋" w:eastAsia="仿宋" w:cs="仿宋"/>
          <w:color w:val="auto"/>
          <w:sz w:val="28"/>
          <w:szCs w:val="28"/>
          <w:highlight w:val="none"/>
        </w:rPr>
        <w:t>和限制条件的限制；</w:t>
      </w:r>
    </w:p>
    <w:p>
      <w:pPr>
        <w:keepNext w:val="0"/>
        <w:keepLines w:val="0"/>
        <w:pageBreakBefore w:val="0"/>
        <w:widowControl w:val="0"/>
        <w:kinsoku/>
        <w:wordWrap/>
        <w:overflowPunct/>
        <w:topLinePunct w:val="0"/>
        <w:autoSpaceDE/>
        <w:autoSpaceDN/>
        <w:bidi w:val="0"/>
        <w:adjustRightInd/>
        <w:snapToGrid w:val="0"/>
        <w:spacing w:line="560" w:lineRule="exact"/>
        <w:ind w:left="105" w:leftChars="50" w:right="105" w:rightChars="50"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3.注册房地产估价师对</w:t>
      </w:r>
      <w:r>
        <w:rPr>
          <w:rFonts w:hint="eastAsia" w:ascii="仿宋" w:hAnsi="仿宋" w:eastAsia="仿宋" w:cs="仿宋"/>
          <w:color w:val="auto"/>
          <w:sz w:val="28"/>
          <w:szCs w:val="28"/>
          <w:highlight w:val="none"/>
          <w:lang w:eastAsia="zh-CN"/>
        </w:rPr>
        <w:t>评估报告</w:t>
      </w:r>
      <w:r>
        <w:rPr>
          <w:rFonts w:hint="eastAsia" w:ascii="仿宋" w:hAnsi="仿宋" w:eastAsia="仿宋" w:cs="仿宋"/>
          <w:color w:val="auto"/>
          <w:sz w:val="28"/>
          <w:szCs w:val="28"/>
          <w:highlight w:val="none"/>
        </w:rPr>
        <w:t>中的</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没有现实或潜在的利益，与</w:t>
      </w:r>
      <w:r>
        <w:rPr>
          <w:rFonts w:hint="eastAsia" w:ascii="仿宋" w:hAnsi="仿宋" w:eastAsia="仿宋" w:cs="仿宋"/>
          <w:color w:val="auto"/>
          <w:sz w:val="28"/>
          <w:szCs w:val="28"/>
          <w:highlight w:val="none"/>
          <w:lang w:eastAsia="zh-CN"/>
        </w:rPr>
        <w:t>评估委托</w:t>
      </w:r>
      <w:r>
        <w:rPr>
          <w:rFonts w:hint="eastAsia" w:ascii="仿宋" w:hAnsi="仿宋" w:eastAsia="仿宋" w:cs="仿宋"/>
          <w:color w:val="auto"/>
          <w:sz w:val="28"/>
          <w:szCs w:val="28"/>
          <w:highlight w:val="none"/>
        </w:rPr>
        <w:t>人及</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利害关系人没有利害关系</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也</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评估委托</w:t>
      </w:r>
      <w:r>
        <w:rPr>
          <w:rFonts w:hint="eastAsia" w:ascii="仿宋" w:hAnsi="仿宋" w:eastAsia="仿宋" w:cs="仿宋"/>
          <w:color w:val="auto"/>
          <w:sz w:val="28"/>
          <w:szCs w:val="28"/>
          <w:highlight w:val="none"/>
        </w:rPr>
        <w:t>人及</w:t>
      </w:r>
      <w:r>
        <w:rPr>
          <w:rFonts w:hint="eastAsia" w:ascii="仿宋" w:hAnsi="仿宋" w:eastAsia="仿宋" w:cs="仿宋"/>
          <w:color w:val="auto"/>
          <w:sz w:val="28"/>
          <w:szCs w:val="28"/>
          <w:highlight w:val="none"/>
          <w:lang w:eastAsia="zh-CN"/>
        </w:rPr>
        <w:t>评估利害</w:t>
      </w:r>
      <w:r>
        <w:rPr>
          <w:rFonts w:hint="eastAsia" w:ascii="仿宋" w:hAnsi="仿宋" w:eastAsia="仿宋" w:cs="仿宋"/>
          <w:color w:val="auto"/>
          <w:sz w:val="28"/>
          <w:szCs w:val="28"/>
          <w:highlight w:val="none"/>
        </w:rPr>
        <w:t>关系人没有偏见；</w:t>
      </w:r>
    </w:p>
    <w:p>
      <w:pPr>
        <w:keepNext w:val="0"/>
        <w:keepLines w:val="0"/>
        <w:pageBreakBefore w:val="0"/>
        <w:widowControl w:val="0"/>
        <w:kinsoku/>
        <w:wordWrap/>
        <w:overflowPunct/>
        <w:topLinePunct w:val="0"/>
        <w:autoSpaceDE/>
        <w:autoSpaceDN/>
        <w:bidi w:val="0"/>
        <w:adjustRightInd/>
        <w:snapToGrid w:val="0"/>
        <w:spacing w:line="560" w:lineRule="exact"/>
        <w:ind w:left="105" w:leftChars="50" w:right="105" w:rightChars="50"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.注册房地产估价师是</w:t>
      </w:r>
      <w:r>
        <w:rPr>
          <w:rFonts w:hint="eastAsia" w:ascii="仿宋" w:hAnsi="仿宋" w:eastAsia="仿宋" w:cs="仿宋"/>
          <w:color w:val="auto"/>
          <w:sz w:val="28"/>
          <w:szCs w:val="28"/>
          <w:highlight w:val="none"/>
          <w:lang w:val="en-US" w:eastAsia="zh-CN"/>
        </w:rPr>
        <w:t>按照有关房地产估价</w:t>
      </w:r>
      <w:r>
        <w:rPr>
          <w:rFonts w:hint="eastAsia" w:ascii="仿宋" w:hAnsi="仿宋" w:eastAsia="仿宋" w:cs="仿宋"/>
          <w:color w:val="auto"/>
          <w:sz w:val="28"/>
          <w:szCs w:val="28"/>
          <w:highlight w:val="none"/>
        </w:rPr>
        <w:t>标准</w:t>
      </w:r>
      <w:r>
        <w:rPr>
          <w:rFonts w:hint="eastAsia" w:ascii="仿宋" w:hAnsi="仿宋" w:eastAsia="仿宋" w:cs="仿宋"/>
          <w:color w:val="auto"/>
          <w:sz w:val="28"/>
          <w:szCs w:val="28"/>
          <w:highlight w:val="none"/>
          <w:lang w:val="en-US" w:eastAsia="zh-CN"/>
        </w:rPr>
        <w:t>的规定进行评估工作</w:t>
      </w:r>
      <w:r>
        <w:rPr>
          <w:rFonts w:hint="eastAsia" w:ascii="仿宋" w:hAnsi="仿宋" w:eastAsia="仿宋" w:cs="仿宋"/>
          <w:color w:val="auto"/>
          <w:sz w:val="28"/>
          <w:szCs w:val="28"/>
          <w:highlight w:val="none"/>
        </w:rPr>
        <w:t>，撰写</w:t>
      </w:r>
      <w:r>
        <w:rPr>
          <w:rFonts w:hint="eastAsia" w:ascii="仿宋" w:hAnsi="仿宋" w:eastAsia="仿宋" w:cs="仿宋"/>
          <w:color w:val="auto"/>
          <w:sz w:val="28"/>
          <w:szCs w:val="28"/>
          <w:highlight w:val="none"/>
          <w:lang w:eastAsia="zh-CN"/>
        </w:rPr>
        <w:t>评估报告</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105" w:leftChars="50" w:right="105" w:rightChars="50"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.撰写报告的注册</w:t>
      </w:r>
      <w:r>
        <w:rPr>
          <w:rFonts w:hint="eastAsia" w:ascii="仿宋" w:hAnsi="仿宋" w:eastAsia="仿宋" w:cs="仿宋"/>
          <w:color w:val="auto"/>
          <w:sz w:val="28"/>
          <w:szCs w:val="28"/>
          <w:highlight w:val="none"/>
          <w:lang w:eastAsia="zh-CN"/>
        </w:rPr>
        <w:t>房地产估价师已于</w:t>
      </w:r>
      <w:r>
        <w:rPr>
          <w:rFonts w:hint="eastAsia" w:ascii="仿宋" w:hAnsi="仿宋" w:eastAsia="仿宋" w:cs="仿宋"/>
          <w:color w:val="0000FF"/>
          <w:sz w:val="28"/>
          <w:szCs w:val="28"/>
          <w:highlight w:val="none"/>
          <w:lang w:eastAsia="zh-CN"/>
        </w:rPr>
        <w:t>2022年8月12日</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eastAsia="zh-CN"/>
        </w:rPr>
        <w:t>评估报告</w:t>
      </w:r>
      <w:r>
        <w:rPr>
          <w:rFonts w:hint="eastAsia" w:ascii="仿宋" w:hAnsi="仿宋" w:eastAsia="仿宋" w:cs="仿宋"/>
          <w:color w:val="auto"/>
          <w:sz w:val="28"/>
          <w:szCs w:val="28"/>
          <w:highlight w:val="none"/>
        </w:rPr>
        <w:t>中</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的建筑结构、</w:t>
      </w:r>
      <w:r>
        <w:rPr>
          <w:rFonts w:hint="eastAsia" w:ascii="仿宋" w:hAnsi="仿宋" w:eastAsia="仿宋" w:cs="仿宋"/>
          <w:color w:val="auto"/>
          <w:sz w:val="28"/>
          <w:szCs w:val="28"/>
          <w:highlight w:val="none"/>
          <w:lang w:eastAsia="zh-CN"/>
        </w:rPr>
        <w:t>建筑</w:t>
      </w:r>
      <w:r>
        <w:rPr>
          <w:rFonts w:hint="eastAsia" w:ascii="仿宋" w:hAnsi="仿宋" w:eastAsia="仿宋" w:cs="仿宋"/>
          <w:color w:val="auto"/>
          <w:sz w:val="28"/>
          <w:szCs w:val="28"/>
          <w:highlight w:val="none"/>
        </w:rPr>
        <w:t>状况及土地状况、周边环境状况进行了实地查勘</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并于当日完成查勘工作</w:t>
      </w:r>
      <w:r>
        <w:rPr>
          <w:rFonts w:hint="eastAsia" w:ascii="仿宋" w:hAnsi="仿宋" w:eastAsia="仿宋" w:cs="仿宋"/>
          <w:color w:val="auto"/>
          <w:sz w:val="28"/>
          <w:szCs w:val="28"/>
          <w:highlight w:val="none"/>
        </w:rPr>
        <w:t>。实地查勘仅限于</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的外观和使用状况，</w:t>
      </w:r>
      <w:r>
        <w:rPr>
          <w:rFonts w:hint="eastAsia" w:ascii="仿宋" w:hAnsi="仿宋" w:eastAsia="仿宋" w:cs="仿宋"/>
          <w:color w:val="auto"/>
          <w:sz w:val="28"/>
          <w:szCs w:val="28"/>
          <w:highlight w:val="none"/>
          <w:lang w:val="en-US" w:eastAsia="zh-CN"/>
        </w:rPr>
        <w:t>评估</w:t>
      </w:r>
      <w:r>
        <w:rPr>
          <w:rFonts w:hint="eastAsia" w:ascii="仿宋" w:hAnsi="仿宋" w:eastAsia="仿宋" w:cs="仿宋"/>
          <w:color w:val="auto"/>
          <w:sz w:val="28"/>
          <w:szCs w:val="28"/>
          <w:highlight w:val="none"/>
        </w:rPr>
        <w:t>人员不承担对其他被遮盖未暴露及难于接触到的部分进行查勘的责任；</w:t>
      </w:r>
    </w:p>
    <w:p>
      <w:pPr>
        <w:keepNext w:val="0"/>
        <w:keepLines w:val="0"/>
        <w:pageBreakBefore w:val="0"/>
        <w:widowControl w:val="0"/>
        <w:kinsoku/>
        <w:wordWrap/>
        <w:overflowPunct/>
        <w:topLinePunct w:val="0"/>
        <w:autoSpaceDE/>
        <w:autoSpaceDN/>
        <w:bidi w:val="0"/>
        <w:adjustRightInd/>
        <w:snapToGrid w:val="0"/>
        <w:spacing w:line="560" w:lineRule="exact"/>
        <w:ind w:left="105" w:leftChars="50" w:right="105" w:rightChars="50"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无其他专业人士</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eastAsia="zh-CN"/>
        </w:rPr>
        <w:t>评估报告</w:t>
      </w:r>
      <w:r>
        <w:rPr>
          <w:rFonts w:hint="eastAsia" w:ascii="仿宋" w:hAnsi="仿宋" w:eastAsia="仿宋" w:cs="仿宋"/>
          <w:color w:val="auto"/>
          <w:sz w:val="28"/>
          <w:szCs w:val="28"/>
          <w:highlight w:val="none"/>
        </w:rPr>
        <w:t>提供重要专业帮助。</w:t>
      </w:r>
    </w:p>
    <w:p>
      <w:pPr>
        <w:pageBreakBefore w:val="0"/>
        <w:widowControl w:val="0"/>
        <w:kinsoku/>
        <w:wordWrap/>
        <w:overflowPunct/>
        <w:topLinePunct w:val="0"/>
        <w:autoSpaceDE/>
        <w:autoSpaceDN/>
        <w:bidi w:val="0"/>
        <w:adjustRightInd/>
        <w:snapToGrid w:val="0"/>
        <w:spacing w:line="640" w:lineRule="exact"/>
        <w:ind w:left="105" w:leftChars="50" w:right="105" w:rightChars="50" w:firstLine="570"/>
        <w:textAlignment w:val="auto"/>
        <w:rPr>
          <w:rFonts w:hint="eastAsia" w:ascii="仿宋" w:hAnsi="仿宋" w:eastAsia="仿宋" w:cs="仿宋"/>
          <w:color w:val="auto"/>
          <w:sz w:val="28"/>
          <w:szCs w:val="28"/>
          <w:highlight w:val="none"/>
        </w:rPr>
      </w:pPr>
    </w:p>
    <w:p>
      <w:pPr>
        <w:pageBreakBefore w:val="0"/>
        <w:widowControl w:val="0"/>
        <w:kinsoku/>
        <w:wordWrap/>
        <w:overflowPunct/>
        <w:topLinePunct w:val="0"/>
        <w:autoSpaceDE/>
        <w:autoSpaceDN/>
        <w:bidi w:val="0"/>
        <w:adjustRightInd/>
        <w:snapToGrid w:val="0"/>
        <w:spacing w:line="640" w:lineRule="exact"/>
        <w:ind w:right="105" w:rightChars="50"/>
        <w:textAlignment w:val="auto"/>
        <w:rPr>
          <w:rFonts w:hint="eastAsia" w:ascii="仿宋" w:hAnsi="仿宋" w:eastAsia="仿宋" w:cs="仿宋"/>
          <w:color w:val="auto"/>
          <w:sz w:val="28"/>
          <w:szCs w:val="28"/>
          <w:highlight w:val="none"/>
        </w:rPr>
      </w:pPr>
    </w:p>
    <w:p>
      <w:pPr>
        <w:pageBreakBefore w:val="0"/>
        <w:widowControl w:val="0"/>
        <w:kinsoku/>
        <w:wordWrap/>
        <w:overflowPunct/>
        <w:topLinePunct w:val="0"/>
        <w:autoSpaceDE/>
        <w:autoSpaceDN/>
        <w:bidi w:val="0"/>
        <w:adjustRightInd/>
        <w:snapToGrid w:val="0"/>
        <w:spacing w:line="640" w:lineRule="exact"/>
        <w:ind w:right="105" w:rightChars="50"/>
        <w:textAlignment w:val="auto"/>
        <w:rPr>
          <w:rFonts w:hint="eastAsia" w:ascii="仿宋" w:hAnsi="仿宋" w:eastAsia="仿宋" w:cs="仿宋"/>
          <w:color w:val="auto"/>
          <w:sz w:val="28"/>
          <w:szCs w:val="28"/>
          <w:highlight w:val="none"/>
        </w:rPr>
      </w:pPr>
    </w:p>
    <w:p>
      <w:pPr>
        <w:pStyle w:val="2"/>
        <w:rPr>
          <w:rFonts w:hint="eastAsia"/>
          <w:color w:val="auto"/>
        </w:rPr>
      </w:pPr>
    </w:p>
    <w:p>
      <w:pPr>
        <w:pageBreakBefore w:val="0"/>
        <w:widowControl w:val="0"/>
        <w:kinsoku/>
        <w:wordWrap/>
        <w:overflowPunct/>
        <w:topLinePunct w:val="0"/>
        <w:autoSpaceDE/>
        <w:autoSpaceDN/>
        <w:bidi w:val="0"/>
        <w:adjustRightInd/>
        <w:snapToGrid w:val="0"/>
        <w:spacing w:line="640" w:lineRule="exact"/>
        <w:ind w:right="105" w:rightChars="50"/>
        <w:textAlignment w:val="auto"/>
        <w:rPr>
          <w:rFonts w:hint="eastAsia" w:ascii="仿宋" w:hAnsi="仿宋" w:eastAsia="仿宋" w:cs="仿宋"/>
          <w:color w:val="auto"/>
          <w:sz w:val="28"/>
          <w:szCs w:val="28"/>
          <w:highlight w:val="none"/>
        </w:rPr>
      </w:pPr>
    </w:p>
    <w:p>
      <w:pPr>
        <w:pStyle w:val="3"/>
        <w:pageBreakBefore w:val="0"/>
        <w:widowControl w:val="0"/>
        <w:kinsoku/>
        <w:wordWrap/>
        <w:overflowPunct/>
        <w:topLinePunct w:val="0"/>
        <w:autoSpaceDE/>
        <w:autoSpaceDN/>
        <w:bidi w:val="0"/>
        <w:adjustRightInd/>
        <w:spacing w:before="0" w:after="0" w:line="560" w:lineRule="exact"/>
        <w:ind w:left="105" w:leftChars="50" w:right="105" w:rightChars="50"/>
        <w:textAlignment w:val="auto"/>
        <w:rPr>
          <w:rFonts w:hint="eastAsia" w:ascii="仿宋" w:hAnsi="仿宋" w:eastAsia="仿宋" w:cs="仿宋"/>
          <w:color w:val="auto"/>
          <w:sz w:val="28"/>
          <w:szCs w:val="28"/>
          <w:highlight w:val="none"/>
        </w:rPr>
      </w:pPr>
      <w:bookmarkStart w:id="3" w:name="_Toc323216538"/>
      <w:bookmarkStart w:id="4" w:name="_Toc29068"/>
      <w:r>
        <w:rPr>
          <w:rFonts w:hint="eastAsia" w:ascii="仿宋" w:hAnsi="仿宋" w:eastAsia="仿宋" w:cs="仿宋"/>
          <w:color w:val="auto"/>
          <w:sz w:val="28"/>
          <w:szCs w:val="28"/>
          <w:highlight w:val="none"/>
        </w:rPr>
        <w:t xml:space="preserve">第二部分  </w:t>
      </w:r>
      <w:bookmarkEnd w:id="3"/>
      <w:bookmarkEnd w:id="4"/>
      <w:r>
        <w:rPr>
          <w:rFonts w:hint="eastAsia" w:ascii="仿宋" w:hAnsi="仿宋" w:eastAsia="仿宋" w:cs="仿宋"/>
          <w:color w:val="auto"/>
          <w:sz w:val="28"/>
          <w:szCs w:val="28"/>
          <w:highlight w:val="none"/>
          <w:lang w:eastAsia="zh-CN"/>
        </w:rPr>
        <w:t>估价的假设和限制条件</w:t>
      </w:r>
    </w:p>
    <w:p>
      <w:pPr>
        <w:keepNext w:val="0"/>
        <w:keepLines w:val="0"/>
        <w:pageBreakBefore w:val="0"/>
        <w:widowControl w:val="0"/>
        <w:kinsoku/>
        <w:wordWrap/>
        <w:overflowPunct/>
        <w:topLinePunct w:val="0"/>
        <w:autoSpaceDE/>
        <w:autoSpaceDN/>
        <w:bidi w:val="0"/>
        <w:adjustRightInd/>
        <w:spacing w:line="5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一．</w:t>
      </w:r>
      <w:r>
        <w:rPr>
          <w:rFonts w:hint="eastAsia" w:ascii="仿宋" w:hAnsi="仿宋" w:eastAsia="仿宋" w:cs="仿宋"/>
          <w:b/>
          <w:color w:val="auto"/>
          <w:sz w:val="28"/>
          <w:szCs w:val="28"/>
          <w:highlight w:val="none"/>
        </w:rPr>
        <w:t>本次</w:t>
      </w:r>
      <w:r>
        <w:rPr>
          <w:rFonts w:hint="eastAsia" w:ascii="仿宋" w:hAnsi="仿宋" w:eastAsia="仿宋" w:cs="仿宋"/>
          <w:b/>
          <w:color w:val="auto"/>
          <w:sz w:val="28"/>
          <w:szCs w:val="28"/>
          <w:highlight w:val="none"/>
          <w:lang w:val="en-US" w:eastAsia="zh-CN"/>
        </w:rPr>
        <w:t>评估</w:t>
      </w:r>
      <w:r>
        <w:rPr>
          <w:rFonts w:hint="eastAsia" w:ascii="仿宋" w:hAnsi="仿宋" w:eastAsia="仿宋" w:cs="仿宋"/>
          <w:b/>
          <w:color w:val="auto"/>
          <w:sz w:val="28"/>
          <w:szCs w:val="28"/>
          <w:highlight w:val="none"/>
        </w:rPr>
        <w:t>的一般假设</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lang w:val="en-US" w:eastAsia="zh-CN"/>
        </w:rPr>
        <w:t>1.</w:t>
      </w:r>
      <w:r>
        <w:rPr>
          <w:rFonts w:hint="eastAsia" w:ascii="仿宋" w:hAnsi="仿宋" w:eastAsia="仿宋" w:cs="仿宋"/>
          <w:color w:val="0000FF"/>
          <w:sz w:val="28"/>
          <w:szCs w:val="28"/>
          <w:highlight w:val="none"/>
          <w:lang w:eastAsia="zh-CN"/>
        </w:rPr>
        <w:t>评估对象所有权</w:t>
      </w:r>
      <w:r>
        <w:rPr>
          <w:rFonts w:hint="eastAsia" w:ascii="仿宋" w:hAnsi="仿宋" w:eastAsia="仿宋" w:cs="仿宋"/>
          <w:color w:val="0000FF"/>
          <w:sz w:val="28"/>
          <w:szCs w:val="28"/>
          <w:highlight w:val="none"/>
        </w:rPr>
        <w:t>明晰，可在公开市场上</w:t>
      </w:r>
      <w:r>
        <w:rPr>
          <w:rFonts w:hint="eastAsia" w:ascii="仿宋" w:hAnsi="仿宋" w:eastAsia="仿宋" w:cs="仿宋"/>
          <w:color w:val="0000FF"/>
          <w:sz w:val="28"/>
          <w:szCs w:val="28"/>
          <w:highlight w:val="none"/>
          <w:lang w:eastAsia="zh-CN"/>
        </w:rPr>
        <w:t>进行</w:t>
      </w:r>
      <w:r>
        <w:rPr>
          <w:rFonts w:hint="eastAsia" w:ascii="仿宋" w:hAnsi="仿宋" w:eastAsia="仿宋" w:cs="仿宋"/>
          <w:color w:val="0000FF"/>
          <w:sz w:val="28"/>
          <w:szCs w:val="28"/>
          <w:highlight w:val="none"/>
        </w:rPr>
        <w:t>转让。</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2.买卖双方的交易目的都是追逐自身最大经济利益，在适当的期间完成谈判和交易，洽谈交易期间物业价值将保持稳定。</w:t>
      </w:r>
      <w:r>
        <w:rPr>
          <w:rFonts w:hint="eastAsia" w:ascii="仿宋" w:hAnsi="仿宋" w:eastAsia="仿宋" w:cs="仿宋"/>
          <w:color w:val="auto"/>
          <w:sz w:val="28"/>
          <w:szCs w:val="28"/>
          <w:highlight w:val="none"/>
        </w:rPr>
        <w:t>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3.注册房地产估价师已对房屋安全、环境污染等影响评估对象价值的重大因素给予了关注，在无理由怀疑评估对象存在安全隐患且无相应的专业机构进行鉴定、检测的情况下，假定评估对象能正常安全使用。</w:t>
      </w:r>
    </w:p>
    <w:p>
      <w:pPr>
        <w:pStyle w:val="6"/>
        <w:keepNext w:val="0"/>
        <w:keepLines w:val="0"/>
        <w:pageBreakBefore w:val="0"/>
        <w:widowControl w:val="0"/>
        <w:kinsoku/>
        <w:wordWrap/>
        <w:overflowPunct/>
        <w:topLinePunct w:val="0"/>
        <w:autoSpaceDE/>
        <w:autoSpaceDN/>
        <w:bidi w:val="0"/>
        <w:adjustRightInd/>
        <w:snapToGrid w:val="0"/>
        <w:spacing w:line="560" w:lineRule="exact"/>
        <w:ind w:left="5" w:right="105" w:rightChars="50" w:firstLine="518" w:firstLineChars="185"/>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4.本次评估假定价值时点和评估委托人拍卖（或者变卖）财产之日的评估对象状况与实地查勘完成之日的状况相同。</w:t>
      </w:r>
    </w:p>
    <w:p>
      <w:pPr>
        <w:pStyle w:val="6"/>
        <w:keepNext w:val="0"/>
        <w:keepLines w:val="0"/>
        <w:pageBreakBefore w:val="0"/>
        <w:widowControl w:val="0"/>
        <w:kinsoku/>
        <w:wordWrap/>
        <w:overflowPunct/>
        <w:topLinePunct w:val="0"/>
        <w:autoSpaceDE/>
        <w:autoSpaceDN/>
        <w:bidi w:val="0"/>
        <w:adjustRightInd/>
        <w:snapToGrid w:val="0"/>
        <w:spacing w:line="560" w:lineRule="exact"/>
        <w:ind w:left="5" w:right="105" w:rightChars="50" w:firstLine="518" w:firstLineChars="185"/>
        <w:jc w:val="left"/>
        <w:textAlignment w:val="auto"/>
        <w:rPr>
          <w:rFonts w:hint="eastAsia" w:ascii="仿宋" w:hAnsi="仿宋" w:eastAsia="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5.评估委托人未明确评估对象存在欠缴税费（包括税收、物业费、供暖费、水电气费等及其滞纳金），注册房地产估价师亦未掌握相关情况，假定评估对象不存在欠缴税费。</w:t>
      </w:r>
    </w:p>
    <w:p>
      <w:pPr>
        <w:pStyle w:val="6"/>
        <w:keepNext w:val="0"/>
        <w:keepLines w:val="0"/>
        <w:pageBreakBefore w:val="0"/>
        <w:widowControl w:val="0"/>
        <w:kinsoku/>
        <w:wordWrap/>
        <w:overflowPunct/>
        <w:topLinePunct w:val="0"/>
        <w:autoSpaceDE/>
        <w:autoSpaceDN/>
        <w:bidi w:val="0"/>
        <w:adjustRightInd/>
        <w:snapToGrid w:val="0"/>
        <w:spacing w:line="560" w:lineRule="exact"/>
        <w:ind w:left="5" w:right="105" w:rightChars="50" w:firstLine="518" w:firstLineChars="185"/>
        <w:jc w:val="left"/>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lang w:val="en-US" w:eastAsia="zh-CN"/>
        </w:rPr>
        <w:t>6.评估委托人未明确评估对象存在租赁权以及用益物权。注册房地产估价师实地查勘时经调查核实后也未发现有相关情况，截至报告出具之日，评估委托人和评估对象所有权人均没有提供租赁合同；故本次评估假定评估对象不存在租赁权以及用益物权。</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为整个房地产中的一部分，</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应享有公共部位的通行权及水电等共用设施的使用权。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二．</w:t>
      </w:r>
      <w:r>
        <w:rPr>
          <w:rFonts w:hint="eastAsia" w:ascii="仿宋" w:hAnsi="仿宋" w:eastAsia="仿宋" w:cs="仿宋"/>
          <w:b/>
          <w:color w:val="auto"/>
          <w:sz w:val="28"/>
          <w:szCs w:val="28"/>
          <w:highlight w:val="none"/>
        </w:rPr>
        <w:t>未定事项假设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根据委托人提供的资料，估价师对评估对象的权属、用途、位置、面积等资料进行了认真审查；在无理由怀疑其合法性、真实性、准确性和完整性且未予以核实的情况下，设定其合法、真实、准确和完整的。</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三．</w:t>
      </w:r>
      <w:r>
        <w:rPr>
          <w:rFonts w:hint="eastAsia" w:ascii="仿宋" w:hAnsi="仿宋" w:eastAsia="仿宋" w:cs="仿宋"/>
          <w:b/>
          <w:color w:val="auto"/>
          <w:sz w:val="28"/>
          <w:szCs w:val="28"/>
          <w:highlight w:val="none"/>
        </w:rPr>
        <w:t>背离事实假设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涉执房地产处置司法评估不应考虑评估对象被查封以及原有的担保物权和其他优先受偿权情况，视为没有查封、未设立担保物权及其他优先受偿权的财产进行评估</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lang w:val="en-US" w:eastAsia="zh-CN"/>
        </w:rPr>
        <w:t>特提醒报告使用人注意！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估价结果未考虑</w:t>
      </w:r>
      <w:r>
        <w:rPr>
          <w:rFonts w:hint="eastAsia" w:ascii="仿宋" w:hAnsi="仿宋" w:eastAsia="仿宋" w:cs="仿宋"/>
          <w:color w:val="auto"/>
          <w:sz w:val="28"/>
          <w:szCs w:val="28"/>
          <w:highlight w:val="none"/>
          <w:lang w:eastAsia="zh-CN"/>
        </w:rPr>
        <w:t>评估对象</w:t>
      </w:r>
      <w:r>
        <w:rPr>
          <w:rFonts w:hint="eastAsia" w:ascii="仿宋" w:hAnsi="仿宋" w:eastAsia="仿宋" w:cs="仿宋"/>
          <w:color w:val="auto"/>
          <w:sz w:val="28"/>
          <w:szCs w:val="28"/>
          <w:highlight w:val="none"/>
        </w:rPr>
        <w:t>及其</w:t>
      </w:r>
      <w:r>
        <w:rPr>
          <w:rFonts w:hint="eastAsia" w:ascii="仿宋" w:hAnsi="仿宋" w:eastAsia="仿宋" w:cs="仿宋"/>
          <w:color w:val="auto"/>
          <w:sz w:val="28"/>
          <w:szCs w:val="28"/>
          <w:highlight w:val="none"/>
          <w:lang w:val="en-US" w:eastAsia="zh-CN"/>
        </w:rPr>
        <w:t>所有权人</w:t>
      </w:r>
      <w:r>
        <w:rPr>
          <w:rFonts w:hint="eastAsia" w:ascii="仿宋" w:hAnsi="仿宋" w:eastAsia="仿宋" w:cs="仿宋"/>
          <w:color w:val="auto"/>
          <w:sz w:val="28"/>
          <w:szCs w:val="28"/>
          <w:highlight w:val="none"/>
        </w:rPr>
        <w:t>已承担的债务、或有债务及经营决策失误或市场运作失当对其价值的影响。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依据不足假设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color w:val="auto"/>
          <w:sz w:val="28"/>
          <w:szCs w:val="28"/>
          <w:highlight w:val="yellow"/>
          <w:lang w:eastAsia="zh-CN"/>
        </w:rPr>
      </w:pPr>
      <w:r>
        <w:rPr>
          <w:rFonts w:hint="eastAsia" w:ascii="仿宋" w:hAnsi="仿宋" w:eastAsia="仿宋" w:cs="仿宋"/>
          <w:b w:val="0"/>
          <w:bCs/>
          <w:color w:val="0000FF"/>
          <w:sz w:val="28"/>
          <w:szCs w:val="28"/>
        </w:rPr>
        <w:t>注册房地产估价师实地查勘时</w:t>
      </w:r>
      <w:r>
        <w:rPr>
          <w:rFonts w:hint="eastAsia" w:ascii="仿宋" w:hAnsi="仿宋" w:eastAsia="仿宋" w:cs="仿宋"/>
          <w:color w:val="0000FF"/>
          <w:sz w:val="28"/>
          <w:szCs w:val="28"/>
          <w:lang w:val="en-US" w:eastAsia="zh-CN"/>
        </w:rPr>
        <w:t>，多次敲门无人应答，未能进入评估对象室内。</w:t>
      </w:r>
      <w:r>
        <w:rPr>
          <w:rFonts w:hint="eastAsia" w:ascii="仿宋" w:hAnsi="仿宋" w:eastAsia="仿宋" w:cs="仿宋"/>
          <w:b w:val="0"/>
          <w:bCs/>
          <w:color w:val="0000FF"/>
          <w:sz w:val="28"/>
          <w:szCs w:val="28"/>
          <w:lang w:val="en-US" w:eastAsia="zh-CN"/>
        </w:rPr>
        <w:t>注册房地产估价师对估价对象的实地查勘仅限于其外观及其周边环境，未能进入房屋内部查勘，无法对被遮盖、未暴露及难以接触的部分进行查勘。</w:t>
      </w:r>
      <w:r>
        <w:rPr>
          <w:rFonts w:hint="eastAsia" w:ascii="仿宋" w:hAnsi="仿宋" w:eastAsia="仿宋"/>
          <w:color w:val="0000FF"/>
          <w:sz w:val="28"/>
          <w:szCs w:val="28"/>
          <w:lang w:val="en-US" w:eastAsia="zh-CN"/>
        </w:rPr>
        <w:t>经评估委托人同意，</w:t>
      </w:r>
      <w:r>
        <w:rPr>
          <w:rFonts w:hint="eastAsia" w:ascii="仿宋" w:hAnsi="仿宋" w:eastAsia="仿宋" w:cs="仿宋"/>
          <w:b w:val="0"/>
          <w:bCs/>
          <w:color w:val="0000FF"/>
          <w:sz w:val="28"/>
          <w:szCs w:val="28"/>
          <w:lang w:val="en-US" w:eastAsia="zh-CN"/>
        </w:rPr>
        <w:t>本次评估假定评估对象内部装修为简装修、水电设施已经配套并能够正常使用。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rPr>
        <w:t>不相一致假设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本报告无不相一致</w:t>
      </w:r>
      <w:r>
        <w:rPr>
          <w:rFonts w:hint="eastAsia" w:ascii="仿宋" w:hAnsi="仿宋" w:eastAsia="仿宋" w:cs="仿宋"/>
          <w:color w:val="auto"/>
          <w:sz w:val="28"/>
          <w:szCs w:val="28"/>
          <w:highlight w:val="none"/>
          <w:lang w:eastAsia="zh-CN"/>
        </w:rPr>
        <w:t>事项</w:t>
      </w:r>
      <w:r>
        <w:rPr>
          <w:rFonts w:hint="eastAsia" w:ascii="仿宋" w:hAnsi="仿宋" w:eastAsia="仿宋" w:cs="仿宋"/>
          <w:color w:val="auto"/>
          <w:sz w:val="28"/>
          <w:szCs w:val="28"/>
          <w:highlight w:val="none"/>
        </w:rPr>
        <w:t>，故不做不相一致假设。</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本报告的使用限制条件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1.应当按照法律规定和评估报告载明的用途、使用人、使用期限等使用范围使用评估报告。否则，房地产估价机构和注册房地产估价师依法不承担责任。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2.评估结果仅为人民法院确定财产处置参考价服务，不是评估对象处置可实现的成交价格，也不应被视为对评估对象处置成交价格的保证。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因财产拍卖（或者变卖）日期与价值时点不一致，在此期间，评估对象状况或者房地产市场状况可能发生变化，导致评估结果对应的评估对象状况和房地产市场状况与财产拍卖（或者变卖）时的相应状况不相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4.在评估报告使用期限或者评估结果有效期内，评估对象状况或者房地产市场状况如果发生明显变化的，评估结果应当进行相应调整后才可使用。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未经评估方和评估委托人书面同意，任何单位或个人不得将本报告的全部或部分内容在任何公开的文件、通告或声明中引用，亦不得以其他任何方式公开发表。</w:t>
      </w:r>
    </w:p>
    <w:p>
      <w:pPr>
        <w:pStyle w:val="6"/>
        <w:keepNext w:val="0"/>
        <w:keepLines w:val="0"/>
        <w:pageBreakBefore w:val="0"/>
        <w:widowControl w:val="0"/>
        <w:kinsoku/>
        <w:wordWrap/>
        <w:overflowPunct/>
        <w:topLinePunct w:val="0"/>
        <w:autoSpaceDE/>
        <w:autoSpaceDN/>
        <w:bidi w:val="0"/>
        <w:adjustRightInd/>
        <w:snapToGrid/>
        <w:spacing w:line="560" w:lineRule="exact"/>
        <w:ind w:right="105" w:rightChars="50" w:firstLine="560" w:firstLineChars="200"/>
        <w:contextualSpacing/>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本</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报告自出具之日</w:t>
      </w:r>
      <w:r>
        <w:rPr>
          <w:rFonts w:hint="eastAsia" w:ascii="仿宋" w:hAnsi="仿宋" w:eastAsia="仿宋" w:cs="仿宋"/>
          <w:color w:val="auto"/>
          <w:sz w:val="28"/>
          <w:szCs w:val="28"/>
          <w:highlight w:val="none"/>
          <w:lang w:eastAsia="zh-CN"/>
        </w:rPr>
        <w:t xml:space="preserve"> </w:t>
      </w:r>
      <w:r>
        <w:rPr>
          <w:rFonts w:hint="eastAsia" w:ascii="仿宋" w:hAnsi="仿宋" w:eastAsia="仿宋" w:cs="仿宋"/>
          <w:color w:val="0000FF"/>
          <w:sz w:val="28"/>
          <w:szCs w:val="28"/>
          <w:highlight w:val="none"/>
          <w:shd w:val="clear" w:color="auto" w:fill="auto"/>
          <w:lang w:eastAsia="zh-CN"/>
        </w:rPr>
        <w:t>2022年</w:t>
      </w:r>
      <w:r>
        <w:rPr>
          <w:rFonts w:hint="eastAsia" w:ascii="仿宋" w:hAnsi="仿宋" w:eastAsia="仿宋" w:cs="仿宋"/>
          <w:color w:val="0000FF"/>
          <w:sz w:val="28"/>
          <w:szCs w:val="28"/>
          <w:highlight w:val="none"/>
          <w:lang w:val="en-US" w:eastAsia="zh-CN"/>
        </w:rPr>
        <w:t>8月16日</w:t>
      </w:r>
      <w:r>
        <w:rPr>
          <w:rFonts w:hint="eastAsia" w:ascii="仿宋" w:hAnsi="仿宋" w:eastAsia="仿宋" w:cs="仿宋"/>
          <w:color w:val="auto"/>
          <w:sz w:val="28"/>
          <w:szCs w:val="28"/>
          <w:highlight w:val="none"/>
        </w:rPr>
        <w:t>起一年内有效，超过一年，需重新进行</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。恰当使用本</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报告是</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委托人和其他</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报告使用者的责任，我公司对</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委托人和其他</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报告使用者不当使用</w:t>
      </w:r>
      <w:r>
        <w:rPr>
          <w:rFonts w:hint="eastAsia" w:ascii="仿宋" w:hAnsi="仿宋" w:eastAsia="仿宋" w:cs="仿宋"/>
          <w:color w:val="auto"/>
          <w:sz w:val="28"/>
          <w:szCs w:val="28"/>
          <w:highlight w:val="none"/>
          <w:lang w:eastAsia="zh-CN"/>
        </w:rPr>
        <w:t>评估</w:t>
      </w:r>
      <w:r>
        <w:rPr>
          <w:rFonts w:hint="eastAsia" w:ascii="仿宋" w:hAnsi="仿宋" w:eastAsia="仿宋" w:cs="仿宋"/>
          <w:color w:val="auto"/>
          <w:sz w:val="28"/>
          <w:szCs w:val="28"/>
          <w:highlight w:val="none"/>
        </w:rPr>
        <w:t>报告所造成的后果不承担责任。</w:t>
      </w:r>
    </w:p>
    <w:p>
      <w:pPr>
        <w:pStyle w:val="6"/>
        <w:pageBreakBefore w:val="0"/>
        <w:widowControl w:val="0"/>
        <w:kinsoku/>
        <w:wordWrap/>
        <w:overflowPunct/>
        <w:topLinePunct w:val="0"/>
        <w:autoSpaceDE/>
        <w:autoSpaceDN/>
        <w:bidi w:val="0"/>
        <w:adjustRightInd/>
        <w:spacing w:line="640" w:lineRule="exact"/>
        <w:ind w:right="105" w:rightChars="50"/>
        <w:contextualSpacing/>
        <w:textAlignment w:val="auto"/>
        <w:rPr>
          <w:rFonts w:hint="eastAsia" w:ascii="仿宋" w:hAnsi="仿宋" w:eastAsia="仿宋" w:cs="仿宋"/>
          <w:color w:val="auto"/>
          <w:sz w:val="28"/>
          <w:szCs w:val="28"/>
          <w:highlight w:val="none"/>
        </w:rPr>
      </w:pPr>
    </w:p>
    <w:p>
      <w:pPr>
        <w:pStyle w:val="6"/>
        <w:pageBreakBefore w:val="0"/>
        <w:widowControl w:val="0"/>
        <w:kinsoku/>
        <w:wordWrap/>
        <w:overflowPunct/>
        <w:topLinePunct w:val="0"/>
        <w:autoSpaceDE/>
        <w:autoSpaceDN/>
        <w:bidi w:val="0"/>
        <w:adjustRightInd/>
        <w:spacing w:line="640" w:lineRule="exact"/>
        <w:ind w:right="105" w:rightChars="50"/>
        <w:contextualSpacing/>
        <w:textAlignment w:val="auto"/>
        <w:rPr>
          <w:rFonts w:hint="eastAsia" w:ascii="仿宋" w:hAnsi="仿宋" w:eastAsia="仿宋" w:cs="仿宋"/>
          <w:color w:val="auto"/>
          <w:sz w:val="28"/>
          <w:szCs w:val="28"/>
          <w:highlight w:val="none"/>
        </w:rPr>
      </w:pPr>
    </w:p>
    <w:p>
      <w:pPr>
        <w:pStyle w:val="6"/>
        <w:pageBreakBefore w:val="0"/>
        <w:widowControl w:val="0"/>
        <w:kinsoku/>
        <w:wordWrap/>
        <w:overflowPunct/>
        <w:topLinePunct w:val="0"/>
        <w:autoSpaceDE/>
        <w:autoSpaceDN/>
        <w:bidi w:val="0"/>
        <w:adjustRightInd/>
        <w:spacing w:line="640" w:lineRule="exact"/>
        <w:ind w:right="105" w:rightChars="50"/>
        <w:contextualSpacing/>
        <w:textAlignment w:val="auto"/>
        <w:rPr>
          <w:rFonts w:hint="eastAsia" w:ascii="仿宋" w:hAnsi="仿宋" w:eastAsia="仿宋" w:cs="仿宋"/>
          <w:color w:val="auto"/>
          <w:sz w:val="28"/>
          <w:szCs w:val="28"/>
          <w:highlight w:val="none"/>
        </w:rPr>
      </w:pPr>
    </w:p>
    <w:p>
      <w:pPr>
        <w:pStyle w:val="6"/>
        <w:pageBreakBefore w:val="0"/>
        <w:widowControl w:val="0"/>
        <w:kinsoku/>
        <w:wordWrap/>
        <w:overflowPunct/>
        <w:topLinePunct w:val="0"/>
        <w:autoSpaceDE/>
        <w:autoSpaceDN/>
        <w:bidi w:val="0"/>
        <w:adjustRightInd/>
        <w:spacing w:line="640" w:lineRule="exact"/>
        <w:ind w:right="105" w:rightChars="50"/>
        <w:contextualSpacing/>
        <w:textAlignment w:val="auto"/>
        <w:rPr>
          <w:rFonts w:hint="eastAsia" w:ascii="仿宋" w:hAnsi="仿宋" w:eastAsia="仿宋" w:cs="仿宋"/>
          <w:color w:val="auto"/>
          <w:sz w:val="28"/>
          <w:szCs w:val="28"/>
          <w:highlight w:val="none"/>
        </w:rPr>
      </w:pPr>
    </w:p>
    <w:p>
      <w:pPr>
        <w:pStyle w:val="6"/>
        <w:pageBreakBefore w:val="0"/>
        <w:widowControl w:val="0"/>
        <w:kinsoku/>
        <w:wordWrap/>
        <w:overflowPunct/>
        <w:topLinePunct w:val="0"/>
        <w:autoSpaceDE/>
        <w:autoSpaceDN/>
        <w:bidi w:val="0"/>
        <w:adjustRightInd/>
        <w:spacing w:line="640" w:lineRule="exact"/>
        <w:ind w:right="105" w:rightChars="50"/>
        <w:contextualSpacing/>
        <w:textAlignment w:val="auto"/>
        <w:rPr>
          <w:rFonts w:hint="eastAsia" w:ascii="仿宋" w:hAnsi="仿宋" w:eastAsia="仿宋" w:cs="仿宋"/>
          <w:color w:val="auto"/>
          <w:sz w:val="28"/>
          <w:szCs w:val="28"/>
          <w:highlight w:val="none"/>
        </w:rPr>
      </w:pPr>
    </w:p>
    <w:p>
      <w:pPr>
        <w:pStyle w:val="6"/>
        <w:pageBreakBefore w:val="0"/>
        <w:widowControl w:val="0"/>
        <w:kinsoku/>
        <w:wordWrap/>
        <w:overflowPunct/>
        <w:topLinePunct w:val="0"/>
        <w:autoSpaceDE/>
        <w:autoSpaceDN/>
        <w:bidi w:val="0"/>
        <w:adjustRightInd/>
        <w:spacing w:line="640" w:lineRule="exact"/>
        <w:ind w:right="105" w:rightChars="50"/>
        <w:contextualSpacing/>
        <w:textAlignment w:val="auto"/>
        <w:rPr>
          <w:rFonts w:hint="eastAsia" w:ascii="仿宋" w:hAnsi="仿宋" w:eastAsia="仿宋" w:cs="仿宋"/>
          <w:color w:val="auto"/>
          <w:sz w:val="28"/>
          <w:szCs w:val="28"/>
          <w:highlight w:val="none"/>
        </w:rPr>
      </w:pPr>
    </w:p>
    <w:p>
      <w:pPr>
        <w:pStyle w:val="6"/>
        <w:pageBreakBefore w:val="0"/>
        <w:widowControl w:val="0"/>
        <w:kinsoku/>
        <w:wordWrap/>
        <w:overflowPunct/>
        <w:topLinePunct w:val="0"/>
        <w:autoSpaceDE/>
        <w:autoSpaceDN/>
        <w:bidi w:val="0"/>
        <w:adjustRightInd/>
        <w:spacing w:line="640" w:lineRule="exact"/>
        <w:ind w:right="105" w:rightChars="50"/>
        <w:contextualSpacing/>
        <w:textAlignment w:val="auto"/>
        <w:rPr>
          <w:rFonts w:hint="eastAsia" w:ascii="仿宋" w:hAnsi="仿宋" w:eastAsia="仿宋" w:cs="仿宋"/>
          <w:color w:val="auto"/>
          <w:sz w:val="28"/>
          <w:szCs w:val="28"/>
          <w:highlight w:val="none"/>
        </w:rPr>
      </w:pPr>
    </w:p>
    <w:p>
      <w:pPr>
        <w:pStyle w:val="3"/>
        <w:pageBreakBefore w:val="0"/>
        <w:widowControl w:val="0"/>
        <w:kinsoku/>
        <w:wordWrap/>
        <w:overflowPunct/>
        <w:topLinePunct w:val="0"/>
        <w:autoSpaceDE/>
        <w:autoSpaceDN/>
        <w:bidi w:val="0"/>
        <w:adjustRightInd/>
        <w:spacing w:before="0" w:after="0" w:line="360" w:lineRule="auto"/>
        <w:ind w:right="105" w:rightChars="50"/>
        <w:textAlignment w:val="auto"/>
        <w:rPr>
          <w:rFonts w:hint="eastAsia" w:ascii="仿宋" w:hAnsi="仿宋" w:eastAsia="仿宋" w:cs="仿宋"/>
          <w:color w:val="auto"/>
          <w:sz w:val="28"/>
          <w:szCs w:val="28"/>
          <w:highlight w:val="none"/>
        </w:rPr>
      </w:pPr>
      <w:bookmarkStart w:id="5" w:name="_Toc251662422"/>
      <w:bookmarkStart w:id="6" w:name="_Toc251226844"/>
      <w:bookmarkStart w:id="7" w:name="_Toc14527"/>
      <w:bookmarkStart w:id="8" w:name="_Toc323216539"/>
      <w:r>
        <w:rPr>
          <w:rFonts w:hint="eastAsia" w:ascii="仿宋" w:hAnsi="仿宋" w:eastAsia="仿宋" w:cs="仿宋"/>
          <w:color w:val="auto"/>
          <w:sz w:val="28"/>
          <w:szCs w:val="28"/>
          <w:highlight w:val="none"/>
        </w:rPr>
        <w:t xml:space="preserve">第三部分  </w:t>
      </w:r>
      <w:bookmarkEnd w:id="5"/>
      <w:bookmarkEnd w:id="6"/>
      <w:r>
        <w:rPr>
          <w:rFonts w:hint="eastAsia" w:ascii="仿宋" w:hAnsi="仿宋" w:eastAsia="仿宋" w:cs="仿宋"/>
          <w:color w:val="auto"/>
          <w:sz w:val="28"/>
          <w:szCs w:val="28"/>
          <w:highlight w:val="none"/>
          <w:lang w:eastAsia="zh-CN"/>
        </w:rPr>
        <w:t>评估结果</w:t>
      </w:r>
      <w:r>
        <w:rPr>
          <w:rFonts w:hint="eastAsia" w:ascii="仿宋" w:hAnsi="仿宋" w:eastAsia="仿宋" w:cs="仿宋"/>
          <w:color w:val="auto"/>
          <w:sz w:val="28"/>
          <w:szCs w:val="28"/>
          <w:highlight w:val="none"/>
        </w:rPr>
        <w:t>报告</w:t>
      </w:r>
      <w:bookmarkEnd w:id="7"/>
      <w:bookmarkEnd w:id="8"/>
    </w:p>
    <w:p>
      <w:pPr>
        <w:pStyle w:val="4"/>
        <w:pageBreakBefore w:val="0"/>
        <w:widowControl w:val="0"/>
        <w:kinsoku/>
        <w:wordWrap/>
        <w:overflowPunct/>
        <w:topLinePunct w:val="0"/>
        <w:autoSpaceDE/>
        <w:autoSpaceDN/>
        <w:bidi w:val="0"/>
        <w:adjustRightInd/>
        <w:spacing w:line="360" w:lineRule="auto"/>
        <w:ind w:left="105" w:leftChars="50" w:right="105" w:rightChars="50" w:firstLine="562" w:firstLineChars="200"/>
        <w:contextualSpacing/>
        <w:textAlignment w:val="auto"/>
        <w:rPr>
          <w:rFonts w:hint="eastAsia" w:ascii="仿宋" w:hAnsi="仿宋" w:eastAsia="仿宋" w:cs="仿宋"/>
          <w:color w:val="auto"/>
          <w:spacing w:val="0"/>
          <w:sz w:val="28"/>
          <w:szCs w:val="28"/>
          <w:highlight w:val="none"/>
        </w:rPr>
      </w:pPr>
      <w:bookmarkStart w:id="9" w:name="_Toc323216540"/>
      <w:bookmarkStart w:id="10" w:name="_Toc20271"/>
      <w:r>
        <w:rPr>
          <w:rFonts w:hint="eastAsia" w:ascii="仿宋" w:hAnsi="仿宋" w:eastAsia="仿宋" w:cs="仿宋"/>
          <w:color w:val="auto"/>
          <w:spacing w:val="0"/>
          <w:sz w:val="28"/>
          <w:szCs w:val="28"/>
          <w:highlight w:val="none"/>
        </w:rPr>
        <w:t>一、</w:t>
      </w:r>
      <w:r>
        <w:rPr>
          <w:rFonts w:hint="eastAsia" w:ascii="仿宋" w:hAnsi="仿宋" w:eastAsia="仿宋" w:cs="仿宋"/>
          <w:color w:val="auto"/>
          <w:spacing w:val="0"/>
          <w:sz w:val="28"/>
          <w:szCs w:val="28"/>
          <w:highlight w:val="none"/>
          <w:lang w:eastAsia="zh-CN"/>
        </w:rPr>
        <w:t>评估委托</w:t>
      </w:r>
      <w:r>
        <w:rPr>
          <w:rFonts w:hint="eastAsia" w:ascii="仿宋" w:hAnsi="仿宋" w:eastAsia="仿宋" w:cs="仿宋"/>
          <w:color w:val="auto"/>
          <w:spacing w:val="0"/>
          <w:sz w:val="28"/>
          <w:szCs w:val="28"/>
          <w:highlight w:val="none"/>
        </w:rPr>
        <w:t>人</w:t>
      </w:r>
      <w:bookmarkEnd w:id="9"/>
      <w:bookmarkEnd w:id="10"/>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bCs/>
          <w:color w:val="0000FF"/>
          <w:spacing w:val="0"/>
          <w:sz w:val="28"/>
          <w:szCs w:val="28"/>
          <w:highlight w:val="none"/>
          <w:lang w:val="en-US" w:eastAsia="zh-CN"/>
        </w:rPr>
      </w:pPr>
      <w:r>
        <w:rPr>
          <w:rFonts w:hint="eastAsia" w:ascii="仿宋" w:hAnsi="仿宋" w:eastAsia="仿宋" w:cs="仿宋"/>
          <w:bCs/>
          <w:color w:val="auto"/>
          <w:spacing w:val="0"/>
          <w:sz w:val="28"/>
          <w:szCs w:val="28"/>
          <w:highlight w:val="none"/>
        </w:rPr>
        <w:t>名称：</w:t>
      </w:r>
      <w:r>
        <w:rPr>
          <w:rFonts w:hint="eastAsia" w:ascii="仿宋" w:hAnsi="仿宋" w:eastAsia="仿宋" w:cs="仿宋"/>
          <w:bCs/>
          <w:color w:val="0000FF"/>
          <w:spacing w:val="0"/>
          <w:sz w:val="28"/>
          <w:szCs w:val="28"/>
          <w:highlight w:val="none"/>
          <w:lang w:val="en-US" w:eastAsia="zh-CN"/>
        </w:rPr>
        <w:t>冠县</w:t>
      </w:r>
      <w:r>
        <w:rPr>
          <w:rFonts w:hint="eastAsia" w:ascii="仿宋" w:hAnsi="仿宋" w:eastAsia="仿宋" w:cs="仿宋"/>
          <w:bCs/>
          <w:color w:val="0000FF"/>
          <w:spacing w:val="0"/>
          <w:sz w:val="28"/>
          <w:szCs w:val="28"/>
          <w:highlight w:val="none"/>
          <w:lang w:eastAsia="zh-CN"/>
        </w:rPr>
        <w:t>人民法院</w:t>
      </w:r>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default"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eastAsia="zh-CN"/>
        </w:rPr>
        <w:t>地址：</w:t>
      </w:r>
      <w:r>
        <w:rPr>
          <w:rFonts w:hint="eastAsia" w:ascii="仿宋" w:hAnsi="仿宋" w:eastAsia="仿宋" w:cs="仿宋"/>
          <w:i w:val="0"/>
          <w:iCs w:val="0"/>
          <w:caps w:val="0"/>
          <w:color w:val="0000FF"/>
          <w:spacing w:val="0"/>
          <w:sz w:val="28"/>
          <w:szCs w:val="28"/>
          <w:highlight w:val="none"/>
          <w:shd w:val="clear" w:fill="FFFFFF"/>
        </w:rPr>
        <w:t>聊城市</w:t>
      </w:r>
      <w:r>
        <w:rPr>
          <w:rFonts w:hint="eastAsia" w:ascii="仿宋" w:hAnsi="仿宋" w:eastAsia="仿宋" w:cs="仿宋"/>
          <w:i w:val="0"/>
          <w:iCs w:val="0"/>
          <w:caps w:val="0"/>
          <w:color w:val="0000FF"/>
          <w:spacing w:val="0"/>
          <w:sz w:val="28"/>
          <w:szCs w:val="28"/>
          <w:highlight w:val="none"/>
          <w:shd w:val="clear" w:fill="FFFFFF"/>
          <w:lang w:val="en-US" w:eastAsia="zh-CN"/>
        </w:rPr>
        <w:t>冠县冠宜春路</w:t>
      </w:r>
    </w:p>
    <w:p>
      <w:pPr>
        <w:pStyle w:val="4"/>
        <w:pageBreakBefore w:val="0"/>
        <w:widowControl w:val="0"/>
        <w:kinsoku/>
        <w:wordWrap/>
        <w:overflowPunct/>
        <w:topLinePunct w:val="0"/>
        <w:autoSpaceDE/>
        <w:autoSpaceDN/>
        <w:bidi w:val="0"/>
        <w:adjustRightInd/>
        <w:spacing w:line="360" w:lineRule="auto"/>
        <w:ind w:right="105" w:rightChars="50" w:firstLine="562" w:firstLineChars="200"/>
        <w:contextualSpacing/>
        <w:textAlignment w:val="auto"/>
        <w:rPr>
          <w:rFonts w:hint="eastAsia" w:ascii="仿宋" w:hAnsi="仿宋" w:eastAsia="仿宋" w:cs="仿宋"/>
          <w:color w:val="auto"/>
          <w:spacing w:val="0"/>
          <w:sz w:val="28"/>
          <w:szCs w:val="28"/>
          <w:highlight w:val="none"/>
        </w:rPr>
      </w:pPr>
      <w:bookmarkStart w:id="11" w:name="_Toc323216541"/>
      <w:bookmarkStart w:id="12" w:name="_Toc26554"/>
      <w:r>
        <w:rPr>
          <w:rFonts w:hint="eastAsia" w:ascii="仿宋" w:hAnsi="仿宋" w:eastAsia="仿宋" w:cs="仿宋"/>
          <w:color w:val="auto"/>
          <w:spacing w:val="0"/>
          <w:sz w:val="28"/>
          <w:szCs w:val="28"/>
          <w:highlight w:val="none"/>
        </w:rPr>
        <w:t>二、</w:t>
      </w:r>
      <w:bookmarkEnd w:id="11"/>
      <w:r>
        <w:rPr>
          <w:rFonts w:hint="eastAsia" w:ascii="仿宋" w:hAnsi="仿宋" w:eastAsia="仿宋" w:cs="仿宋"/>
          <w:color w:val="auto"/>
          <w:spacing w:val="0"/>
          <w:sz w:val="28"/>
          <w:szCs w:val="28"/>
          <w:highlight w:val="none"/>
        </w:rPr>
        <w:t>房地产估价机构</w:t>
      </w:r>
      <w:bookmarkEnd w:id="12"/>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color w:val="auto"/>
          <w:spacing w:val="0"/>
          <w:sz w:val="28"/>
          <w:szCs w:val="28"/>
          <w:highlight w:val="none"/>
        </w:rPr>
      </w:pPr>
      <w:bookmarkStart w:id="13" w:name="_Toc323216543"/>
      <w:bookmarkStart w:id="14" w:name="_Toc323216542"/>
      <w:r>
        <w:rPr>
          <w:rFonts w:hint="eastAsia" w:ascii="仿宋" w:hAnsi="仿宋" w:eastAsia="仿宋" w:cs="仿宋"/>
          <w:color w:val="auto"/>
          <w:spacing w:val="0"/>
          <w:sz w:val="28"/>
          <w:szCs w:val="28"/>
          <w:highlight w:val="none"/>
        </w:rPr>
        <w:t>机构名称：山东贵恒信土地房地产资产评估测绘有限公司</w:t>
      </w:r>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法定代表人：</w:t>
      </w:r>
      <w:r>
        <w:rPr>
          <w:rFonts w:hint="eastAsia" w:ascii="仿宋" w:hAnsi="仿宋" w:eastAsia="仿宋" w:cs="仿宋"/>
          <w:color w:val="auto"/>
          <w:spacing w:val="0"/>
          <w:sz w:val="28"/>
          <w:szCs w:val="28"/>
          <w:highlight w:val="none"/>
          <w:lang w:val="en-US" w:eastAsia="zh-CN"/>
        </w:rPr>
        <w:t>张金</w:t>
      </w:r>
      <w:r>
        <w:rPr>
          <w:rFonts w:hint="eastAsia" w:ascii="仿宋" w:hAnsi="仿宋" w:eastAsia="仿宋" w:cs="仿宋"/>
          <w:color w:val="auto"/>
          <w:spacing w:val="0"/>
          <w:sz w:val="28"/>
          <w:szCs w:val="28"/>
          <w:highlight w:val="none"/>
        </w:rPr>
        <w:t>华</w:t>
      </w:r>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住所：济南市历下区</w:t>
      </w:r>
      <w:r>
        <w:rPr>
          <w:rFonts w:hint="eastAsia" w:ascii="仿宋" w:hAnsi="仿宋" w:eastAsia="仿宋" w:cs="仿宋"/>
          <w:color w:val="auto"/>
          <w:spacing w:val="0"/>
          <w:sz w:val="28"/>
          <w:szCs w:val="28"/>
          <w:highlight w:val="none"/>
          <w:lang w:eastAsia="zh-CN"/>
        </w:rPr>
        <w:t>文化东路</w:t>
      </w:r>
      <w:r>
        <w:rPr>
          <w:rFonts w:hint="eastAsia" w:ascii="仿宋" w:hAnsi="仿宋" w:eastAsia="仿宋" w:cs="仿宋"/>
          <w:color w:val="auto"/>
          <w:spacing w:val="0"/>
          <w:sz w:val="28"/>
          <w:szCs w:val="28"/>
          <w:highlight w:val="none"/>
          <w:lang w:val="en-US" w:eastAsia="zh-CN"/>
        </w:rPr>
        <w:t>24号</w:t>
      </w:r>
      <w:r>
        <w:rPr>
          <w:rFonts w:hint="eastAsia" w:ascii="仿宋" w:hAnsi="仿宋" w:eastAsia="仿宋" w:cs="仿宋"/>
          <w:color w:val="auto"/>
          <w:spacing w:val="0"/>
          <w:sz w:val="28"/>
          <w:szCs w:val="28"/>
          <w:highlight w:val="none"/>
          <w:lang w:eastAsia="zh-CN"/>
        </w:rPr>
        <w:t>普利文东花园</w:t>
      </w:r>
      <w:r>
        <w:rPr>
          <w:rFonts w:hint="eastAsia" w:ascii="仿宋" w:hAnsi="仿宋" w:eastAsia="仿宋" w:cs="仿宋"/>
          <w:color w:val="auto"/>
          <w:spacing w:val="0"/>
          <w:sz w:val="28"/>
          <w:szCs w:val="28"/>
          <w:highlight w:val="none"/>
          <w:lang w:val="en-US" w:eastAsia="zh-CN"/>
        </w:rPr>
        <w:t>3号楼1-1001</w:t>
      </w:r>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统一社会信用代码：91370102740991399Q</w:t>
      </w:r>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备案等级：壹级</w:t>
      </w:r>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 xml:space="preserve">证书编号：建房估证字【2013】025号       </w:t>
      </w:r>
    </w:p>
    <w:p>
      <w:pPr>
        <w:pStyle w:val="6"/>
        <w:pageBreakBefore w:val="0"/>
        <w:widowControl w:val="0"/>
        <w:kinsoku/>
        <w:wordWrap/>
        <w:overflowPunct/>
        <w:topLinePunct w:val="0"/>
        <w:autoSpaceDE/>
        <w:autoSpaceDN/>
        <w:bidi w:val="0"/>
        <w:adjustRightInd/>
        <w:spacing w:line="360" w:lineRule="auto"/>
        <w:ind w:left="105" w:leftChars="50" w:right="105" w:rightChars="50" w:firstLine="560" w:firstLineChars="200"/>
        <w:contextualSpacing/>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有效期限：20</w:t>
      </w:r>
      <w:r>
        <w:rPr>
          <w:rFonts w:hint="eastAsia" w:ascii="仿宋" w:hAnsi="仿宋" w:eastAsia="仿宋" w:cs="仿宋"/>
          <w:color w:val="auto"/>
          <w:spacing w:val="0"/>
          <w:sz w:val="28"/>
          <w:szCs w:val="28"/>
          <w:highlight w:val="none"/>
          <w:lang w:val="en-US" w:eastAsia="zh-CN"/>
        </w:rPr>
        <w:t>22</w:t>
      </w:r>
      <w:r>
        <w:rPr>
          <w:rFonts w:hint="eastAsia" w:ascii="仿宋" w:hAnsi="仿宋" w:eastAsia="仿宋" w:cs="仿宋"/>
          <w:color w:val="auto"/>
          <w:spacing w:val="0"/>
          <w:sz w:val="28"/>
          <w:szCs w:val="28"/>
          <w:highlight w:val="none"/>
        </w:rPr>
        <w:t>年5月</w:t>
      </w:r>
      <w:r>
        <w:rPr>
          <w:rFonts w:hint="eastAsia" w:ascii="仿宋" w:hAnsi="仿宋" w:eastAsia="仿宋" w:cs="仿宋"/>
          <w:color w:val="auto"/>
          <w:spacing w:val="0"/>
          <w:sz w:val="28"/>
          <w:szCs w:val="28"/>
          <w:highlight w:val="none"/>
          <w:lang w:val="en-US" w:eastAsia="zh-CN"/>
        </w:rPr>
        <w:t>5</w:t>
      </w:r>
      <w:r>
        <w:rPr>
          <w:rFonts w:hint="eastAsia" w:ascii="仿宋" w:hAnsi="仿宋" w:eastAsia="仿宋" w:cs="仿宋"/>
          <w:color w:val="auto"/>
          <w:spacing w:val="0"/>
          <w:sz w:val="28"/>
          <w:szCs w:val="28"/>
          <w:highlight w:val="none"/>
        </w:rPr>
        <w:t>日至202</w:t>
      </w:r>
      <w:r>
        <w:rPr>
          <w:rFonts w:hint="eastAsia" w:ascii="仿宋" w:hAnsi="仿宋" w:eastAsia="仿宋" w:cs="仿宋"/>
          <w:color w:val="auto"/>
          <w:spacing w:val="0"/>
          <w:sz w:val="28"/>
          <w:szCs w:val="28"/>
          <w:highlight w:val="none"/>
          <w:lang w:val="en-US" w:eastAsia="zh-CN"/>
        </w:rPr>
        <w:t>5</w:t>
      </w:r>
      <w:r>
        <w:rPr>
          <w:rFonts w:hint="eastAsia" w:ascii="仿宋" w:hAnsi="仿宋" w:eastAsia="仿宋" w:cs="仿宋"/>
          <w:color w:val="auto"/>
          <w:spacing w:val="0"/>
          <w:sz w:val="28"/>
          <w:szCs w:val="28"/>
          <w:highlight w:val="none"/>
        </w:rPr>
        <w:t>年5月</w:t>
      </w:r>
      <w:r>
        <w:rPr>
          <w:rFonts w:hint="eastAsia" w:ascii="仿宋" w:hAnsi="仿宋" w:eastAsia="仿宋" w:cs="仿宋"/>
          <w:color w:val="auto"/>
          <w:spacing w:val="0"/>
          <w:sz w:val="28"/>
          <w:szCs w:val="28"/>
          <w:highlight w:val="none"/>
          <w:lang w:val="en-US" w:eastAsia="zh-CN"/>
        </w:rPr>
        <w:t>4</w:t>
      </w:r>
      <w:r>
        <w:rPr>
          <w:rFonts w:hint="eastAsia" w:ascii="仿宋" w:hAnsi="仿宋" w:eastAsia="仿宋" w:cs="仿宋"/>
          <w:color w:val="auto"/>
          <w:spacing w:val="0"/>
          <w:sz w:val="28"/>
          <w:szCs w:val="28"/>
          <w:highlight w:val="none"/>
        </w:rPr>
        <w:t>日</w:t>
      </w:r>
    </w:p>
    <w:p>
      <w:pPr>
        <w:pStyle w:val="4"/>
        <w:pageBreakBefore w:val="0"/>
        <w:widowControl w:val="0"/>
        <w:kinsoku/>
        <w:wordWrap/>
        <w:overflowPunct/>
        <w:topLinePunct w:val="0"/>
        <w:autoSpaceDE/>
        <w:autoSpaceDN/>
        <w:bidi w:val="0"/>
        <w:adjustRightInd/>
        <w:spacing w:line="360" w:lineRule="auto"/>
        <w:ind w:left="105" w:leftChars="50" w:right="105" w:rightChars="50" w:firstLine="562" w:firstLineChars="200"/>
        <w:contextualSpacing/>
        <w:textAlignment w:val="auto"/>
        <w:rPr>
          <w:rFonts w:hint="eastAsia" w:ascii="仿宋" w:hAnsi="仿宋" w:eastAsia="仿宋" w:cs="仿宋"/>
          <w:color w:val="auto"/>
          <w:spacing w:val="0"/>
          <w:sz w:val="28"/>
          <w:szCs w:val="28"/>
          <w:highlight w:val="none"/>
          <w:lang w:eastAsia="zh-CN"/>
        </w:rPr>
      </w:pPr>
      <w:bookmarkStart w:id="15" w:name="_Toc27321"/>
      <w:r>
        <w:rPr>
          <w:rFonts w:hint="eastAsia" w:ascii="仿宋" w:hAnsi="仿宋" w:eastAsia="仿宋" w:cs="仿宋"/>
          <w:color w:val="auto"/>
          <w:spacing w:val="0"/>
          <w:sz w:val="28"/>
          <w:szCs w:val="28"/>
          <w:highlight w:val="none"/>
        </w:rPr>
        <w:t>三、</w:t>
      </w:r>
      <w:bookmarkEnd w:id="13"/>
      <w:r>
        <w:rPr>
          <w:rFonts w:hint="eastAsia" w:ascii="仿宋" w:hAnsi="仿宋" w:eastAsia="仿宋" w:cs="仿宋"/>
          <w:color w:val="auto"/>
          <w:spacing w:val="0"/>
          <w:sz w:val="28"/>
          <w:szCs w:val="28"/>
          <w:highlight w:val="none"/>
          <w:lang w:eastAsia="zh-CN"/>
        </w:rPr>
        <w:t>评估目的</w:t>
      </w:r>
      <w:bookmarkEnd w:id="15"/>
    </w:p>
    <w:p>
      <w:pPr>
        <w:pStyle w:val="6"/>
        <w:keepNext w:val="0"/>
        <w:keepLines w:val="0"/>
        <w:pageBreakBefore w:val="0"/>
        <w:widowControl w:val="0"/>
        <w:kinsoku/>
        <w:wordWrap/>
        <w:overflowPunct/>
        <w:topLinePunct w:val="0"/>
        <w:autoSpaceDE/>
        <w:autoSpaceDN/>
        <w:bidi w:val="0"/>
        <w:adjustRightInd/>
        <w:snapToGrid w:val="0"/>
        <w:spacing w:line="360" w:lineRule="auto"/>
        <w:ind w:right="105" w:rightChars="50" w:firstLine="560"/>
        <w:textAlignment w:val="auto"/>
        <w:rPr>
          <w:rFonts w:hint="eastAsia" w:ascii="仿宋" w:hAnsi="仿宋" w:eastAsia="仿宋" w:cs="仿宋"/>
          <w:b w:val="0"/>
          <w:bCs/>
          <w:color w:val="auto"/>
          <w:spacing w:val="0"/>
          <w:sz w:val="28"/>
          <w:szCs w:val="28"/>
          <w:highlight w:val="none"/>
          <w:lang w:val="en-US" w:eastAsia="zh-CN"/>
        </w:rPr>
      </w:pPr>
      <w:r>
        <w:rPr>
          <w:rFonts w:hint="eastAsia" w:ascii="仿宋" w:hAnsi="仿宋" w:eastAsia="仿宋" w:cs="仿宋"/>
          <w:b w:val="0"/>
          <w:bCs/>
          <w:color w:val="auto"/>
          <w:spacing w:val="0"/>
          <w:sz w:val="28"/>
          <w:szCs w:val="28"/>
          <w:highlight w:val="none"/>
          <w:lang w:val="en-US" w:eastAsia="zh-CN"/>
        </w:rPr>
        <w:t>评估目的是</w:t>
      </w:r>
      <w:r>
        <w:rPr>
          <w:rFonts w:hint="eastAsia" w:ascii="仿宋" w:hAnsi="仿宋" w:eastAsia="仿宋" w:cs="仿宋"/>
          <w:color w:val="auto"/>
          <w:spacing w:val="0"/>
          <w:sz w:val="28"/>
          <w:szCs w:val="28"/>
          <w:highlight w:val="none"/>
          <w:lang w:eastAsia="zh-CN"/>
        </w:rPr>
        <w:t>为人民法院确定财产处置参考价提供参考依据。</w:t>
      </w:r>
    </w:p>
    <w:p>
      <w:pPr>
        <w:pStyle w:val="4"/>
        <w:pageBreakBefore w:val="0"/>
        <w:widowControl w:val="0"/>
        <w:kinsoku/>
        <w:wordWrap/>
        <w:overflowPunct/>
        <w:topLinePunct w:val="0"/>
        <w:autoSpaceDE/>
        <w:autoSpaceDN/>
        <w:bidi w:val="0"/>
        <w:adjustRightInd/>
        <w:spacing w:line="360" w:lineRule="auto"/>
        <w:ind w:left="105" w:leftChars="50" w:right="105" w:rightChars="50" w:firstLine="562" w:firstLineChars="200"/>
        <w:contextualSpacing/>
        <w:textAlignment w:val="auto"/>
        <w:rPr>
          <w:rFonts w:hint="eastAsia" w:ascii="仿宋" w:hAnsi="仿宋" w:eastAsia="仿宋" w:cs="仿宋"/>
          <w:color w:val="auto"/>
          <w:spacing w:val="0"/>
          <w:sz w:val="28"/>
          <w:szCs w:val="28"/>
          <w:highlight w:val="none"/>
          <w:lang w:eastAsia="zh-CN"/>
        </w:rPr>
      </w:pPr>
      <w:bookmarkStart w:id="16" w:name="_Toc6983"/>
      <w:r>
        <w:rPr>
          <w:rFonts w:hint="eastAsia" w:ascii="仿宋" w:hAnsi="仿宋" w:eastAsia="仿宋" w:cs="仿宋"/>
          <w:color w:val="auto"/>
          <w:spacing w:val="0"/>
          <w:sz w:val="28"/>
          <w:szCs w:val="28"/>
          <w:highlight w:val="none"/>
        </w:rPr>
        <w:t>四、</w:t>
      </w:r>
      <w:bookmarkEnd w:id="14"/>
      <w:r>
        <w:rPr>
          <w:rFonts w:hint="eastAsia" w:ascii="仿宋" w:hAnsi="仿宋" w:eastAsia="仿宋" w:cs="仿宋"/>
          <w:color w:val="auto"/>
          <w:spacing w:val="0"/>
          <w:sz w:val="28"/>
          <w:szCs w:val="28"/>
          <w:highlight w:val="none"/>
          <w:lang w:eastAsia="zh-CN"/>
        </w:rPr>
        <w:t>评估对象</w:t>
      </w:r>
      <w:bookmarkEnd w:id="16"/>
    </w:p>
    <w:p>
      <w:pPr>
        <w:pStyle w:val="6"/>
        <w:pageBreakBefore w:val="0"/>
        <w:widowControl w:val="0"/>
        <w:kinsoku/>
        <w:wordWrap/>
        <w:overflowPunct/>
        <w:topLinePunct w:val="0"/>
        <w:autoSpaceDE/>
        <w:autoSpaceDN/>
        <w:bidi w:val="0"/>
        <w:adjustRightInd/>
        <w:snapToGrid w:val="0"/>
        <w:spacing w:line="360" w:lineRule="auto"/>
        <w:ind w:right="105" w:rightChars="50"/>
        <w:jc w:val="left"/>
        <w:textAlignment w:val="auto"/>
        <w:rPr>
          <w:rFonts w:hint="eastAsia" w:ascii="仿宋" w:hAnsi="仿宋" w:eastAsia="仿宋" w:cs="仿宋"/>
          <w:bCs/>
          <w:color w:val="auto"/>
          <w:spacing w:val="0"/>
          <w:sz w:val="28"/>
          <w:szCs w:val="28"/>
          <w:highlight w:val="none"/>
          <w:lang w:val="en-US" w:eastAsia="zh-CN"/>
        </w:rPr>
      </w:pPr>
      <w:r>
        <w:rPr>
          <w:rFonts w:hint="eastAsia" w:ascii="仿宋" w:hAnsi="仿宋" w:eastAsia="仿宋" w:cs="仿宋"/>
          <w:bCs/>
          <w:color w:val="auto"/>
          <w:spacing w:val="0"/>
          <w:sz w:val="28"/>
          <w:szCs w:val="28"/>
          <w:highlight w:val="none"/>
        </w:rPr>
        <w:t xml:space="preserve">    </w:t>
      </w:r>
      <w:r>
        <w:rPr>
          <w:rFonts w:hint="eastAsia" w:ascii="仿宋" w:hAnsi="仿宋" w:eastAsia="仿宋" w:cs="仿宋"/>
          <w:bCs/>
          <w:color w:val="auto"/>
          <w:spacing w:val="0"/>
          <w:sz w:val="28"/>
          <w:szCs w:val="28"/>
          <w:highlight w:val="none"/>
          <w:lang w:val="en-US" w:eastAsia="zh-CN"/>
        </w:rPr>
        <w:t>1.评估对象范围：</w:t>
      </w:r>
    </w:p>
    <w:p>
      <w:pPr>
        <w:pStyle w:val="6"/>
        <w:pageBreakBefore w:val="0"/>
        <w:widowControl w:val="0"/>
        <w:kinsoku/>
        <w:wordWrap/>
        <w:overflowPunct/>
        <w:topLinePunct w:val="0"/>
        <w:autoSpaceDE/>
        <w:autoSpaceDN/>
        <w:bidi w:val="0"/>
        <w:adjustRightInd/>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b w:val="0"/>
          <w:bCs/>
          <w:color w:val="0000FF"/>
          <w:sz w:val="28"/>
          <w:szCs w:val="28"/>
          <w:highlight w:val="none"/>
          <w:lang w:val="en-US" w:eastAsia="zh-CN"/>
        </w:rPr>
        <w:t>山东省聊城市冠县冠宜春东路北侧（景盛嘉苑小区）120603丘3幢3单元3152室房产</w:t>
      </w:r>
      <w:r>
        <w:rPr>
          <w:rFonts w:hint="eastAsia" w:ascii="仿宋" w:hAnsi="仿宋" w:eastAsia="仿宋" w:cs="仿宋"/>
          <w:b w:val="0"/>
          <w:bCs/>
          <w:color w:val="auto"/>
          <w:spacing w:val="0"/>
          <w:sz w:val="28"/>
          <w:szCs w:val="28"/>
          <w:highlight w:val="none"/>
          <w:lang w:val="en-US" w:eastAsia="zh-CN"/>
        </w:rPr>
        <w:t>及其分摊的土地使用权。</w:t>
      </w:r>
      <w:r>
        <w:rPr>
          <w:rFonts w:hint="eastAsia" w:ascii="仿宋" w:hAnsi="仿宋" w:eastAsia="仿宋" w:cs="仿宋"/>
          <w:color w:val="auto"/>
          <w:spacing w:val="0"/>
          <w:sz w:val="28"/>
          <w:szCs w:val="28"/>
          <w:highlight w:val="none"/>
          <w:lang w:val="en-US" w:eastAsia="zh-CN"/>
        </w:rPr>
        <w:t>评估对象包括房屋及其分摊的国有土地使用权，</w:t>
      </w:r>
      <w:r>
        <w:rPr>
          <w:rFonts w:hint="eastAsia" w:ascii="仿宋" w:hAnsi="仿宋" w:eastAsia="仿宋" w:cs="仿宋"/>
          <w:color w:val="auto"/>
          <w:spacing w:val="0"/>
          <w:sz w:val="28"/>
          <w:szCs w:val="28"/>
          <w:highlight w:val="none"/>
        </w:rPr>
        <w:t>不包括动产、债权债务、特许经营权等其他财产或权益。</w:t>
      </w:r>
    </w:p>
    <w:p>
      <w:pPr>
        <w:pStyle w:val="6"/>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jc w:val="left"/>
        <w:textAlignment w:val="auto"/>
        <w:rPr>
          <w:rFonts w:hint="eastAsia" w:ascii="仿宋" w:hAnsi="仿宋" w:eastAsia="仿宋" w:cs="仿宋"/>
          <w:bCs/>
          <w:color w:val="auto"/>
          <w:spacing w:val="0"/>
          <w:sz w:val="28"/>
          <w:szCs w:val="28"/>
          <w:highlight w:val="none"/>
          <w:lang w:val="en-US" w:eastAsia="zh-CN"/>
        </w:rPr>
      </w:pPr>
      <w:r>
        <w:rPr>
          <w:rFonts w:hint="eastAsia" w:ascii="仿宋" w:hAnsi="仿宋" w:eastAsia="仿宋" w:cs="仿宋"/>
          <w:bCs/>
          <w:color w:val="auto"/>
          <w:spacing w:val="0"/>
          <w:sz w:val="28"/>
          <w:szCs w:val="28"/>
          <w:highlight w:val="none"/>
          <w:lang w:val="en-US" w:eastAsia="zh-CN"/>
        </w:rPr>
        <w:t>2.评估对象基本状况：</w:t>
      </w:r>
    </w:p>
    <w:p>
      <w:pPr>
        <w:pStyle w:val="6"/>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jc w:val="left"/>
        <w:textAlignment w:val="auto"/>
        <w:rPr>
          <w:rFonts w:hint="eastAsia" w:ascii="仿宋" w:hAnsi="仿宋" w:eastAsia="仿宋" w:cs="仿宋"/>
          <w:color w:val="0000FF"/>
          <w:spacing w:val="0"/>
          <w:sz w:val="28"/>
          <w:szCs w:val="28"/>
          <w:highlight w:val="none"/>
          <w:lang w:val="en-US" w:eastAsia="zh-CN"/>
        </w:rPr>
      </w:pPr>
      <w:r>
        <w:rPr>
          <w:rFonts w:hint="eastAsia" w:ascii="仿宋" w:hAnsi="仿宋" w:eastAsia="仿宋" w:cs="仿宋"/>
          <w:color w:val="0000FF"/>
          <w:spacing w:val="0"/>
          <w:sz w:val="28"/>
          <w:szCs w:val="28"/>
          <w:highlight w:val="none"/>
          <w:lang w:val="en-US" w:eastAsia="zh-CN"/>
        </w:rPr>
        <w:t>根据委托人提供的</w:t>
      </w:r>
      <w:r>
        <w:rPr>
          <w:rFonts w:hint="eastAsia" w:ascii="仿宋" w:hAnsi="仿宋" w:eastAsia="仿宋" w:cs="仿宋"/>
          <w:color w:val="0000FF"/>
          <w:spacing w:val="0"/>
          <w:sz w:val="28"/>
          <w:szCs w:val="28"/>
          <w:highlight w:val="none"/>
          <w:lang w:eastAsia="zh-CN"/>
        </w:rPr>
        <w:t>《</w:t>
      </w:r>
      <w:r>
        <w:rPr>
          <w:rFonts w:hint="eastAsia" w:ascii="仿宋" w:hAnsi="仿宋" w:eastAsia="仿宋" w:cs="仿宋"/>
          <w:b w:val="0"/>
          <w:color w:val="0000FF"/>
          <w:kern w:val="2"/>
          <w:sz w:val="28"/>
          <w:szCs w:val="28"/>
          <w:highlight w:val="none"/>
          <w:lang w:val="en-US" w:eastAsia="zh-CN" w:bidi="ar-SA"/>
        </w:rPr>
        <w:t>预告登记信息</w:t>
      </w:r>
      <w:r>
        <w:rPr>
          <w:rFonts w:hint="eastAsia" w:ascii="仿宋" w:hAnsi="仿宋" w:eastAsia="仿宋" w:cs="仿宋"/>
          <w:color w:val="0000FF"/>
          <w:spacing w:val="0"/>
          <w:sz w:val="28"/>
          <w:szCs w:val="28"/>
          <w:highlight w:val="none"/>
          <w:lang w:val="en-US" w:eastAsia="zh-CN"/>
        </w:rPr>
        <w:t>》复印件资料记载：</w:t>
      </w:r>
      <w:r>
        <w:rPr>
          <w:rFonts w:hint="eastAsia" w:ascii="仿宋" w:hAnsi="仿宋" w:eastAsia="仿宋" w:cs="仿宋"/>
          <w:color w:val="0000FF"/>
          <w:spacing w:val="0"/>
          <w:sz w:val="28"/>
          <w:szCs w:val="28"/>
          <w:highlight w:val="none"/>
          <w:lang w:eastAsia="zh-CN"/>
        </w:rPr>
        <w:t>评估对象为</w:t>
      </w:r>
      <w:r>
        <w:rPr>
          <w:rFonts w:hint="eastAsia" w:ascii="仿宋" w:hAnsi="仿宋" w:eastAsia="仿宋" w:cs="仿宋"/>
          <w:b w:val="0"/>
          <w:bCs/>
          <w:color w:val="0000FF"/>
          <w:sz w:val="28"/>
          <w:szCs w:val="28"/>
          <w:highlight w:val="none"/>
          <w:lang w:val="en-US" w:eastAsia="zh-CN"/>
        </w:rPr>
        <w:t>山东省聊城市冠县冠宜春东路北侧（景盛嘉苑小区）120603丘3幢3单元3152室</w:t>
      </w:r>
      <w:r>
        <w:rPr>
          <w:rFonts w:hint="eastAsia" w:ascii="仿宋" w:hAnsi="仿宋" w:eastAsia="仿宋" w:cs="仿宋"/>
          <w:color w:val="0000FF"/>
          <w:spacing w:val="0"/>
          <w:sz w:val="28"/>
          <w:szCs w:val="28"/>
          <w:highlight w:val="none"/>
          <w:lang w:val="en-US" w:eastAsia="zh-CN"/>
        </w:rPr>
        <w:t>；房屋所有人为中国农业银行股份有限公司冠县支行；房屋结构为框剪结构；房屋总层数为18层，所在层数为15层，建筑面积为156.81㎡，规划用途为住宅；建成年代为2012年。</w:t>
      </w:r>
    </w:p>
    <w:p>
      <w:pPr>
        <w:pStyle w:val="6"/>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3.土地基本情况：</w:t>
      </w:r>
    </w:p>
    <w:p>
      <w:pPr>
        <w:pStyle w:val="6"/>
        <w:keepNext w:val="0"/>
        <w:keepLines w:val="0"/>
        <w:pageBreakBefore w:val="0"/>
        <w:widowControl w:val="0"/>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bCs/>
          <w:color w:val="auto"/>
          <w:spacing w:val="0"/>
          <w:sz w:val="28"/>
          <w:szCs w:val="28"/>
          <w:highlight w:val="none"/>
          <w:lang w:val="en-US" w:eastAsia="zh-CN"/>
        </w:rPr>
      </w:pPr>
      <w:r>
        <w:rPr>
          <w:rFonts w:hint="eastAsia" w:ascii="仿宋" w:hAnsi="仿宋" w:eastAsia="仿宋" w:cs="仿宋"/>
          <w:bCs/>
          <w:color w:val="auto"/>
          <w:spacing w:val="0"/>
          <w:sz w:val="28"/>
          <w:szCs w:val="28"/>
          <w:lang w:val="en-US" w:eastAsia="zh-CN"/>
        </w:rPr>
        <w:t>评估对象土地位于</w:t>
      </w:r>
      <w:r>
        <w:rPr>
          <w:rFonts w:hint="eastAsia" w:ascii="仿宋" w:hAnsi="仿宋" w:eastAsia="仿宋" w:cs="仿宋"/>
          <w:bCs/>
          <w:color w:val="0000FF"/>
          <w:spacing w:val="0"/>
          <w:sz w:val="28"/>
          <w:szCs w:val="28"/>
          <w:lang w:val="en-US" w:eastAsia="zh-CN"/>
        </w:rPr>
        <w:t>山东省聊城市冠县冠宜春东路北侧</w:t>
      </w:r>
      <w:r>
        <w:rPr>
          <w:rFonts w:hint="eastAsia" w:ascii="仿宋" w:hAnsi="仿宋" w:eastAsia="仿宋" w:cs="仿宋"/>
          <w:bCs/>
          <w:color w:val="auto"/>
          <w:spacing w:val="0"/>
          <w:sz w:val="28"/>
          <w:szCs w:val="28"/>
          <w:lang w:val="en-US" w:eastAsia="zh-CN"/>
        </w:rPr>
        <w:t>，</w:t>
      </w:r>
      <w:r>
        <w:rPr>
          <w:rFonts w:hint="eastAsia" w:ascii="仿宋" w:hAnsi="仿宋" w:eastAsia="仿宋" w:cs="仿宋"/>
          <w:color w:val="auto"/>
          <w:spacing w:val="0"/>
          <w:sz w:val="28"/>
          <w:szCs w:val="28"/>
          <w:lang w:val="en-US" w:eastAsia="zh-CN"/>
        </w:rPr>
        <w:t>地势较平坦，地基承载力较好，地质条件较好，土壤无污染</w:t>
      </w:r>
      <w:r>
        <w:rPr>
          <w:rFonts w:hint="eastAsia" w:ascii="仿宋" w:hAnsi="仿宋" w:eastAsia="仿宋" w:cs="仿宋"/>
          <w:bCs/>
          <w:color w:val="auto"/>
          <w:spacing w:val="0"/>
          <w:sz w:val="28"/>
          <w:szCs w:val="28"/>
        </w:rPr>
        <w:t>；</w:t>
      </w:r>
      <w:r>
        <w:rPr>
          <w:rFonts w:hint="eastAsia" w:ascii="仿宋" w:hAnsi="仿宋" w:eastAsia="仿宋" w:cs="仿宋"/>
          <w:color w:val="auto"/>
          <w:spacing w:val="0"/>
          <w:sz w:val="28"/>
          <w:szCs w:val="28"/>
          <w:lang w:val="en-US" w:eastAsia="zh-CN"/>
        </w:rPr>
        <w:t>根</w:t>
      </w:r>
      <w:r>
        <w:rPr>
          <w:rFonts w:hint="eastAsia" w:ascii="仿宋" w:hAnsi="仿宋" w:eastAsia="仿宋" w:cs="仿宋"/>
          <w:bCs/>
          <w:color w:val="auto"/>
          <w:spacing w:val="0"/>
          <w:sz w:val="28"/>
          <w:szCs w:val="28"/>
          <w:lang w:val="en-US" w:eastAsia="zh-CN"/>
        </w:rPr>
        <w:t>据注册房地产估价师现场调查了解，评估对象所在宗地开发程度为“七通”（宗地红线外通上水、通下水、通电、通路、通讯、供暖、供气）一平（宗地红线内土地平整）。</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bCs/>
          <w:color w:val="0000FF"/>
          <w:spacing w:val="0"/>
          <w:sz w:val="28"/>
          <w:szCs w:val="28"/>
          <w:highlight w:val="none"/>
          <w:lang w:val="en-US" w:eastAsia="zh-CN"/>
        </w:rPr>
      </w:pPr>
      <w:r>
        <w:rPr>
          <w:rFonts w:hint="eastAsia" w:ascii="仿宋" w:hAnsi="仿宋" w:eastAsia="仿宋" w:cs="仿宋"/>
          <w:bCs/>
          <w:color w:val="0000FF"/>
          <w:spacing w:val="0"/>
          <w:sz w:val="28"/>
          <w:szCs w:val="28"/>
          <w:highlight w:val="none"/>
          <w:lang w:val="en-US" w:eastAsia="zh-CN"/>
        </w:rPr>
        <w:t>4.建筑物基本状况：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FF"/>
          <w:spacing w:val="0"/>
          <w:sz w:val="28"/>
          <w:szCs w:val="28"/>
          <w:highlight w:val="none"/>
          <w:lang w:val="en-US" w:eastAsia="zh-CN"/>
        </w:rPr>
      </w:pPr>
      <w:r>
        <w:rPr>
          <w:rFonts w:hint="eastAsia" w:ascii="仿宋" w:hAnsi="仿宋" w:eastAsia="仿宋" w:cs="仿宋"/>
          <w:color w:val="0000FF"/>
          <w:spacing w:val="0"/>
          <w:sz w:val="28"/>
          <w:szCs w:val="28"/>
          <w:highlight w:val="none"/>
        </w:rPr>
        <w:t>评估对象</w:t>
      </w:r>
      <w:r>
        <w:rPr>
          <w:rFonts w:hint="eastAsia" w:ascii="仿宋" w:hAnsi="仿宋" w:eastAsia="仿宋" w:cs="仿宋"/>
          <w:color w:val="0000FF"/>
          <w:spacing w:val="0"/>
          <w:sz w:val="28"/>
          <w:szCs w:val="28"/>
          <w:highlight w:val="none"/>
          <w:lang w:eastAsia="zh-CN"/>
        </w:rPr>
        <w:t>外墙刷涂料，入户防盗门</w:t>
      </w:r>
      <w:r>
        <w:rPr>
          <w:rFonts w:hint="eastAsia" w:ascii="仿宋" w:hAnsi="仿宋" w:eastAsia="仿宋" w:cs="仿宋"/>
          <w:color w:val="0000FF"/>
          <w:spacing w:val="0"/>
          <w:sz w:val="28"/>
          <w:szCs w:val="28"/>
          <w:highlight w:val="none"/>
          <w:lang w:val="en-US" w:eastAsia="zh-CN"/>
        </w:rPr>
        <w:t>；水、电、暖气、燃气、电梯等</w:t>
      </w:r>
      <w:r>
        <w:rPr>
          <w:rFonts w:hint="eastAsia" w:ascii="仿宋" w:hAnsi="仿宋" w:eastAsia="仿宋" w:cs="仿宋"/>
          <w:color w:val="auto"/>
          <w:spacing w:val="0"/>
          <w:sz w:val="28"/>
          <w:szCs w:val="28"/>
          <w:highlight w:val="none"/>
        </w:rPr>
        <w:t>设施较齐全，建筑物结构及设备设施维护状况较好；建筑物结构完整，构件安全可靠，整体性能强，无损坏，属完好房。</w:t>
      </w:r>
      <w:r>
        <w:rPr>
          <w:rFonts w:hint="eastAsia" w:ascii="仿宋" w:hAnsi="仿宋" w:eastAsia="仿宋" w:cs="仿宋"/>
          <w:b w:val="0"/>
          <w:bCs/>
          <w:color w:val="0000FF"/>
          <w:sz w:val="28"/>
          <w:szCs w:val="28"/>
        </w:rPr>
        <w:t>注册房地产估价师实地查勘时</w:t>
      </w:r>
      <w:r>
        <w:rPr>
          <w:rFonts w:hint="eastAsia" w:ascii="仿宋" w:hAnsi="仿宋" w:eastAsia="仿宋" w:cs="仿宋"/>
          <w:color w:val="0000FF"/>
          <w:sz w:val="28"/>
          <w:szCs w:val="28"/>
          <w:lang w:val="en-US" w:eastAsia="zh-CN"/>
        </w:rPr>
        <w:t>，多次敲门无人应答，未能进入评估对象室内。</w:t>
      </w:r>
      <w:r>
        <w:rPr>
          <w:rFonts w:hint="eastAsia" w:ascii="仿宋" w:hAnsi="仿宋" w:eastAsia="仿宋" w:cs="仿宋"/>
          <w:b w:val="0"/>
          <w:bCs/>
          <w:color w:val="0000FF"/>
          <w:sz w:val="28"/>
          <w:szCs w:val="28"/>
          <w:lang w:val="en-US" w:eastAsia="zh-CN"/>
        </w:rPr>
        <w:t>注册房地产估价师对估价对象的实地查勘仅限于其外观及其周边环境，未能进入房屋内部查勘，无法对被遮盖、未暴露及难以接触的部分进行查勘。</w:t>
      </w:r>
    </w:p>
    <w:p>
      <w:pPr>
        <w:pStyle w:val="4"/>
        <w:pageBreakBefore w:val="0"/>
        <w:widowControl w:val="0"/>
        <w:kinsoku/>
        <w:wordWrap/>
        <w:overflowPunct/>
        <w:topLinePunct w:val="0"/>
        <w:autoSpaceDE/>
        <w:autoSpaceDN/>
        <w:bidi w:val="0"/>
        <w:adjustRightInd/>
        <w:spacing w:line="360" w:lineRule="auto"/>
        <w:ind w:right="105" w:rightChars="50" w:firstLine="562" w:firstLineChars="200"/>
        <w:contextualSpacing/>
        <w:textAlignment w:val="auto"/>
        <w:rPr>
          <w:rFonts w:hint="eastAsia" w:ascii="仿宋" w:hAnsi="仿宋" w:eastAsia="仿宋" w:cs="仿宋"/>
          <w:color w:val="auto"/>
          <w:spacing w:val="0"/>
          <w:sz w:val="28"/>
          <w:szCs w:val="28"/>
          <w:highlight w:val="none"/>
        </w:rPr>
      </w:pPr>
      <w:bookmarkStart w:id="17" w:name="_Toc16041"/>
      <w:bookmarkStart w:id="18" w:name="_Toc323216544"/>
      <w:r>
        <w:rPr>
          <w:rFonts w:hint="eastAsia" w:ascii="仿宋" w:hAnsi="仿宋" w:eastAsia="仿宋" w:cs="仿宋"/>
          <w:color w:val="auto"/>
          <w:spacing w:val="0"/>
          <w:sz w:val="28"/>
          <w:szCs w:val="28"/>
          <w:highlight w:val="none"/>
        </w:rPr>
        <w:t>五、价值时点</w:t>
      </w:r>
      <w:bookmarkEnd w:id="17"/>
      <w:bookmarkEnd w:id="18"/>
    </w:p>
    <w:p>
      <w:pPr>
        <w:pStyle w:val="6"/>
        <w:pageBreakBefore w:val="0"/>
        <w:widowControl w:val="0"/>
        <w:kinsoku/>
        <w:wordWrap/>
        <w:overflowPunct/>
        <w:topLinePunct w:val="0"/>
        <w:autoSpaceDE/>
        <w:autoSpaceDN/>
        <w:bidi w:val="0"/>
        <w:adjustRightInd/>
        <w:snapToGrid w:val="0"/>
        <w:spacing w:line="360" w:lineRule="auto"/>
        <w:ind w:left="5" w:right="105" w:rightChars="50" w:firstLine="495" w:firstLineChars="185"/>
        <w:jc w:val="left"/>
        <w:textAlignment w:val="auto"/>
        <w:rPr>
          <w:rFonts w:hint="eastAsia"/>
        </w:rPr>
      </w:pPr>
      <w:r>
        <w:rPr>
          <w:rFonts w:hint="eastAsia" w:ascii="仿宋" w:hAnsi="仿宋" w:eastAsia="仿宋" w:cs="仿宋"/>
          <w:color w:val="auto"/>
          <w:spacing w:val="-6"/>
          <w:sz w:val="28"/>
          <w:szCs w:val="28"/>
          <w:highlight w:val="none"/>
          <w:lang w:eastAsia="zh-CN"/>
        </w:rPr>
        <w:t>价值时点</w:t>
      </w:r>
      <w:r>
        <w:rPr>
          <w:rFonts w:hint="eastAsia" w:ascii="仿宋" w:hAnsi="仿宋" w:eastAsia="仿宋" w:cs="仿宋"/>
          <w:color w:val="auto"/>
          <w:spacing w:val="-6"/>
          <w:sz w:val="28"/>
          <w:szCs w:val="28"/>
          <w:highlight w:val="none"/>
          <w:lang w:val="en-US" w:eastAsia="zh-CN"/>
        </w:rPr>
        <w:t>为注册房地产估价师实地查勘完成</w:t>
      </w:r>
      <w:r>
        <w:rPr>
          <w:rFonts w:hint="eastAsia" w:ascii="仿宋" w:hAnsi="仿宋" w:eastAsia="仿宋" w:cs="仿宋"/>
          <w:color w:val="auto"/>
          <w:spacing w:val="-6"/>
          <w:sz w:val="28"/>
          <w:szCs w:val="28"/>
          <w:highlight w:val="none"/>
          <w:lang w:eastAsia="zh-CN"/>
        </w:rPr>
        <w:t>之日</w:t>
      </w:r>
      <w:r>
        <w:rPr>
          <w:rFonts w:hint="eastAsia" w:ascii="仿宋" w:hAnsi="仿宋" w:eastAsia="仿宋" w:cs="仿宋"/>
          <w:color w:val="0000FF"/>
          <w:spacing w:val="-6"/>
          <w:sz w:val="28"/>
          <w:szCs w:val="28"/>
          <w:highlight w:val="none"/>
          <w:lang w:eastAsia="zh-CN"/>
        </w:rPr>
        <w:t>2022年8月12日</w:t>
      </w:r>
      <w:r>
        <w:rPr>
          <w:rFonts w:hint="eastAsia" w:ascii="仿宋" w:hAnsi="仿宋" w:eastAsia="仿宋" w:cs="仿宋"/>
          <w:color w:val="auto"/>
          <w:spacing w:val="-6"/>
          <w:sz w:val="28"/>
          <w:szCs w:val="28"/>
          <w:highlight w:val="none"/>
          <w:lang w:eastAsia="zh-CN"/>
        </w:rPr>
        <w:t>。</w:t>
      </w:r>
      <w:bookmarkStart w:id="19" w:name="_Toc323216545"/>
      <w:bookmarkStart w:id="20" w:name="_Toc20565"/>
    </w:p>
    <w:p>
      <w:pPr>
        <w:pStyle w:val="4"/>
        <w:pageBreakBefore w:val="0"/>
        <w:widowControl w:val="0"/>
        <w:kinsoku/>
        <w:wordWrap/>
        <w:overflowPunct/>
        <w:topLinePunct w:val="0"/>
        <w:autoSpaceDE/>
        <w:autoSpaceDN/>
        <w:bidi w:val="0"/>
        <w:adjustRightInd/>
        <w:snapToGrid w:val="0"/>
        <w:spacing w:line="360" w:lineRule="auto"/>
        <w:ind w:left="105" w:leftChars="50" w:right="105" w:rightChars="50" w:firstLine="562" w:firstLineChars="200"/>
        <w:contextualSpacing/>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六、价值</w:t>
      </w:r>
      <w:bookmarkEnd w:id="19"/>
      <w:r>
        <w:rPr>
          <w:rFonts w:hint="eastAsia" w:ascii="仿宋" w:hAnsi="仿宋" w:eastAsia="仿宋" w:cs="仿宋"/>
          <w:color w:val="auto"/>
          <w:spacing w:val="0"/>
          <w:sz w:val="28"/>
          <w:szCs w:val="28"/>
          <w:highlight w:val="none"/>
        </w:rPr>
        <w:t>类型</w:t>
      </w:r>
      <w:bookmarkEnd w:id="20"/>
    </w:p>
    <w:p>
      <w:pPr>
        <w:pageBreakBefore w:val="0"/>
        <w:widowControl w:val="0"/>
        <w:tabs>
          <w:tab w:val="left" w:pos="1985"/>
          <w:tab w:val="left" w:pos="3402"/>
        </w:tabs>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rPr>
      </w:pPr>
      <w:bookmarkStart w:id="21" w:name="_Toc323216546"/>
      <w:r>
        <w:rPr>
          <w:rFonts w:hint="eastAsia" w:ascii="仿宋" w:hAnsi="仿宋" w:eastAsia="仿宋" w:cs="仿宋"/>
          <w:color w:val="auto"/>
          <w:spacing w:val="0"/>
          <w:sz w:val="28"/>
          <w:szCs w:val="28"/>
          <w:highlight w:val="none"/>
        </w:rPr>
        <w:t>本次估价的价值类型是房地产</w:t>
      </w:r>
      <w:r>
        <w:rPr>
          <w:rFonts w:hint="eastAsia" w:ascii="仿宋" w:hAnsi="仿宋" w:eastAsia="仿宋" w:cs="仿宋"/>
          <w:color w:val="auto"/>
          <w:spacing w:val="0"/>
          <w:sz w:val="28"/>
          <w:szCs w:val="28"/>
          <w:highlight w:val="none"/>
          <w:lang w:val="en-US" w:eastAsia="zh-CN"/>
        </w:rPr>
        <w:t>市场价格</w:t>
      </w:r>
      <w:r>
        <w:rPr>
          <w:rFonts w:hint="eastAsia" w:ascii="仿宋" w:hAnsi="仿宋" w:eastAsia="仿宋" w:cs="仿宋"/>
          <w:color w:val="auto"/>
          <w:spacing w:val="0"/>
          <w:sz w:val="28"/>
          <w:szCs w:val="28"/>
          <w:highlight w:val="none"/>
        </w:rPr>
        <w:t>。</w:t>
      </w:r>
    </w:p>
    <w:p>
      <w:pPr>
        <w:pageBreakBefore w:val="0"/>
        <w:widowControl w:val="0"/>
        <w:tabs>
          <w:tab w:val="left" w:pos="1985"/>
          <w:tab w:val="left" w:pos="3402"/>
        </w:tabs>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b/>
          <w:color w:val="auto"/>
          <w:spacing w:val="0"/>
          <w:sz w:val="28"/>
          <w:szCs w:val="28"/>
          <w:highlight w:val="none"/>
          <w:lang w:eastAsia="zh-CN"/>
        </w:rPr>
      </w:pPr>
      <w:r>
        <w:rPr>
          <w:rFonts w:hint="eastAsia" w:ascii="仿宋" w:hAnsi="仿宋" w:eastAsia="仿宋" w:cs="仿宋"/>
          <w:color w:val="auto"/>
          <w:spacing w:val="0"/>
          <w:sz w:val="28"/>
          <w:szCs w:val="28"/>
          <w:highlight w:val="none"/>
          <w:lang w:eastAsia="zh-CN"/>
        </w:rPr>
        <w:t>根据《房地产估价基本术语标准》（GB/T50291-2013）第3.0.5条：市场价格定义为评估对象经适当营销后，有熟悉情况、谨慎行事且不受压迫的交易双方，以公平交易方式在价值时点自愿进行交易的金额。</w:t>
      </w:r>
    </w:p>
    <w:p>
      <w:pPr>
        <w:pStyle w:val="4"/>
        <w:pageBreakBefore w:val="0"/>
        <w:kinsoku/>
        <w:wordWrap/>
        <w:overflowPunct/>
        <w:topLinePunct w:val="0"/>
        <w:autoSpaceDE/>
        <w:autoSpaceDN/>
        <w:bidi w:val="0"/>
        <w:adjustRightInd/>
        <w:snapToGrid w:val="0"/>
        <w:spacing w:line="360" w:lineRule="auto"/>
        <w:ind w:left="105" w:leftChars="50" w:right="105" w:rightChars="50" w:firstLine="562" w:firstLineChars="200"/>
        <w:contextualSpacing/>
        <w:textAlignment w:val="auto"/>
        <w:rPr>
          <w:rFonts w:hint="eastAsia" w:ascii="仿宋" w:hAnsi="仿宋" w:eastAsia="仿宋" w:cs="仿宋"/>
          <w:color w:val="auto"/>
          <w:spacing w:val="0"/>
          <w:sz w:val="28"/>
          <w:szCs w:val="28"/>
          <w:highlight w:val="none"/>
        </w:rPr>
      </w:pPr>
      <w:bookmarkStart w:id="22" w:name="_Toc5897"/>
      <w:r>
        <w:rPr>
          <w:rFonts w:hint="eastAsia" w:ascii="仿宋" w:hAnsi="仿宋" w:eastAsia="仿宋" w:cs="仿宋"/>
          <w:color w:val="auto"/>
          <w:spacing w:val="0"/>
          <w:sz w:val="28"/>
          <w:szCs w:val="28"/>
          <w:highlight w:val="none"/>
        </w:rPr>
        <w:t>七、</w:t>
      </w:r>
      <w:r>
        <w:rPr>
          <w:rFonts w:hint="eastAsia" w:ascii="仿宋" w:hAnsi="仿宋" w:eastAsia="仿宋" w:cs="仿宋"/>
          <w:color w:val="auto"/>
          <w:spacing w:val="0"/>
          <w:sz w:val="28"/>
          <w:szCs w:val="28"/>
          <w:highlight w:val="none"/>
          <w:lang w:eastAsia="zh-CN"/>
        </w:rPr>
        <w:t>评估原</w:t>
      </w:r>
      <w:r>
        <w:rPr>
          <w:rFonts w:hint="eastAsia" w:ascii="仿宋" w:hAnsi="仿宋" w:eastAsia="仿宋" w:cs="仿宋"/>
          <w:color w:val="auto"/>
          <w:spacing w:val="0"/>
          <w:sz w:val="28"/>
          <w:szCs w:val="28"/>
          <w:highlight w:val="none"/>
        </w:rPr>
        <w:t>则</w:t>
      </w:r>
      <w:bookmarkEnd w:id="21"/>
      <w:bookmarkEnd w:id="22"/>
    </w:p>
    <w:p>
      <w:pPr>
        <w:pStyle w:val="10"/>
        <w:pageBreakBefore w:val="0"/>
        <w:shd w:val="clear" w:color="auto" w:fill="FFFFFF"/>
        <w:kinsoku/>
        <w:wordWrap/>
        <w:overflowPunct/>
        <w:topLinePunct w:val="0"/>
        <w:autoSpaceDE/>
        <w:autoSpaceDN/>
        <w:bidi w:val="0"/>
        <w:adjustRightInd/>
        <w:snapToGrid w:val="0"/>
        <w:spacing w:before="167" w:after="167" w:line="360" w:lineRule="auto"/>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rPr>
        <w:t xml:space="preserve">   </w:t>
      </w:r>
      <w:bookmarkStart w:id="23" w:name="_Toc16943"/>
      <w:r>
        <w:rPr>
          <w:rFonts w:hint="eastAsia" w:ascii="仿宋" w:hAnsi="仿宋" w:eastAsia="仿宋" w:cs="仿宋"/>
          <w:color w:val="auto"/>
          <w:spacing w:val="0"/>
          <w:sz w:val="28"/>
          <w:szCs w:val="28"/>
          <w:highlight w:val="none"/>
          <w:lang w:val="en-US" w:eastAsia="zh-CN"/>
        </w:rPr>
        <w:t>本次估价遵循合法原则，最高最佳利用原则，替代原则，价值时点原则，</w:t>
      </w:r>
      <w:r>
        <w:rPr>
          <w:rFonts w:hint="eastAsia" w:ascii="仿宋" w:hAnsi="仿宋" w:eastAsia="仿宋" w:cs="仿宋"/>
          <w:color w:val="auto"/>
          <w:spacing w:val="0"/>
          <w:sz w:val="28"/>
          <w:szCs w:val="28"/>
          <w:highlight w:val="none"/>
        </w:rPr>
        <w:t>客观、独立、公正原则</w:t>
      </w:r>
      <w:r>
        <w:rPr>
          <w:rFonts w:hint="eastAsia" w:ascii="仿宋" w:hAnsi="仿宋" w:eastAsia="仿宋" w:cs="仿宋"/>
          <w:color w:val="auto"/>
          <w:spacing w:val="0"/>
          <w:sz w:val="28"/>
          <w:szCs w:val="28"/>
          <w:highlight w:val="none"/>
          <w:lang w:val="en-US" w:eastAsia="zh-CN"/>
        </w:rPr>
        <w:t>。</w:t>
      </w:r>
    </w:p>
    <w:p>
      <w:pPr>
        <w:pStyle w:val="6"/>
        <w:pageBreakBefore w:val="0"/>
        <w:widowControl w:val="0"/>
        <w:numPr>
          <w:ilvl w:val="0"/>
          <w:numId w:val="0"/>
        </w:numPr>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1.</w:t>
      </w:r>
      <w:r>
        <w:rPr>
          <w:rFonts w:hint="eastAsia" w:ascii="仿宋" w:hAnsi="仿宋" w:eastAsia="仿宋" w:cs="仿宋"/>
          <w:color w:val="auto"/>
          <w:spacing w:val="0"/>
          <w:sz w:val="28"/>
          <w:szCs w:val="28"/>
          <w:highlight w:val="none"/>
        </w:rPr>
        <w:t>合法原则</w:t>
      </w:r>
    </w:p>
    <w:p>
      <w:pPr>
        <w:pStyle w:val="6"/>
        <w:pageBreakBefore w:val="0"/>
        <w:widowControl w:val="0"/>
        <w:numPr>
          <w:ilvl w:val="0"/>
          <w:numId w:val="0"/>
        </w:numPr>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合法原则要求房地产估价应以评估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征收合同）等允许的处分方式为依据；在其他方面，如估价出的价格必须符合国家的价格政策。</w:t>
      </w:r>
    </w:p>
    <w:p>
      <w:pPr>
        <w:pStyle w:val="6"/>
        <w:pageBreakBefore w:val="0"/>
        <w:widowControl w:val="0"/>
        <w:numPr>
          <w:ilvl w:val="0"/>
          <w:numId w:val="0"/>
        </w:numPr>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2.最高最佳利用原则</w:t>
      </w:r>
    </w:p>
    <w:p>
      <w:pPr>
        <w:pStyle w:val="6"/>
        <w:pageBreakBefore w:val="0"/>
        <w:widowControl w:val="0"/>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rPr>
        <w:t>所谓最高最佳使用是</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一种最可能的使用，这种最可能的使用是法律上允许、技术上可能、财务上可行、 经过充分合理的论证，并能给予</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带来最高价值的使用。它的一种具体表现，是以能使</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获利最多的用途和开发强度来衡量。这是因为在房地产市场中，每位房地产拥有者在主观上都试图充分地发挥房地产的潜力，采用最高最佳利用方式，取得最大的收益。</w:t>
      </w:r>
    </w:p>
    <w:p>
      <w:pPr>
        <w:pStyle w:val="6"/>
        <w:pageBreakBefore w:val="0"/>
        <w:widowControl w:val="0"/>
        <w:numPr>
          <w:ilvl w:val="0"/>
          <w:numId w:val="0"/>
        </w:numPr>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3.</w:t>
      </w:r>
      <w:r>
        <w:rPr>
          <w:rFonts w:hint="eastAsia" w:ascii="仿宋" w:hAnsi="仿宋" w:eastAsia="仿宋" w:cs="仿宋"/>
          <w:color w:val="auto"/>
          <w:spacing w:val="0"/>
          <w:sz w:val="28"/>
          <w:szCs w:val="28"/>
          <w:highlight w:val="none"/>
        </w:rPr>
        <w:t>价值时点原则</w:t>
      </w:r>
    </w:p>
    <w:p>
      <w:pPr>
        <w:pStyle w:val="6"/>
        <w:pageBreakBefore w:val="0"/>
        <w:widowControl w:val="0"/>
        <w:numPr>
          <w:ilvl w:val="0"/>
          <w:numId w:val="0"/>
        </w:numPr>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房地产市场是不断变化的，房地产价格具有很强的时间性，它是某一时点上的价格。在不同时点，同一宗房地产往往会有不同的价格。价值时点原则是指求取某一时点上的价格，所以在估价一宗房地产的价格时，必须假定市场停止在价值时点上，同时</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房地产的状况通常也是以其在该时点时的状况为准。</w:t>
      </w:r>
    </w:p>
    <w:p>
      <w:pPr>
        <w:pStyle w:val="6"/>
        <w:pageBreakBefore w:val="0"/>
        <w:widowControl w:val="0"/>
        <w:numPr>
          <w:ilvl w:val="0"/>
          <w:numId w:val="0"/>
        </w:numPr>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4.</w:t>
      </w:r>
      <w:r>
        <w:rPr>
          <w:rFonts w:hint="eastAsia" w:ascii="仿宋" w:hAnsi="仿宋" w:eastAsia="仿宋" w:cs="仿宋"/>
          <w:color w:val="auto"/>
          <w:spacing w:val="0"/>
          <w:sz w:val="28"/>
          <w:szCs w:val="28"/>
          <w:highlight w:val="none"/>
        </w:rPr>
        <w:t>客观、独立、公正原则</w:t>
      </w:r>
    </w:p>
    <w:p>
      <w:pPr>
        <w:pStyle w:val="6"/>
        <w:pageBreakBefore w:val="0"/>
        <w:widowControl w:val="0"/>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rPr>
        <w:t>独立、客观、公正原则要求房地产估价师站在中立的立场上，实事求是、公平正直地估价出对各方估价利害关系人</w:t>
      </w:r>
      <w:r>
        <w:rPr>
          <w:rFonts w:hint="eastAsia" w:ascii="仿宋" w:hAnsi="仿宋" w:eastAsia="仿宋" w:cs="仿宋"/>
          <w:color w:val="auto"/>
          <w:spacing w:val="0"/>
          <w:sz w:val="28"/>
          <w:szCs w:val="28"/>
          <w:highlight w:val="none"/>
          <w:lang w:val="en-US" w:eastAsia="zh-CN"/>
        </w:rPr>
        <w:t>来说</w:t>
      </w:r>
      <w:r>
        <w:rPr>
          <w:rFonts w:hint="eastAsia" w:ascii="仿宋" w:hAnsi="仿宋" w:eastAsia="仿宋" w:cs="仿宋"/>
          <w:color w:val="auto"/>
          <w:spacing w:val="0"/>
          <w:sz w:val="28"/>
          <w:szCs w:val="28"/>
          <w:highlight w:val="none"/>
        </w:rPr>
        <w:t>均是公平合理的价格。</w:t>
      </w:r>
    </w:p>
    <w:p>
      <w:pPr>
        <w:pStyle w:val="6"/>
        <w:pageBreakBefore w:val="0"/>
        <w:widowControl w:val="0"/>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lang w:val="en-US" w:eastAsia="zh-CN"/>
        </w:rPr>
        <w:t xml:space="preserve"> 5.</w:t>
      </w:r>
      <w:r>
        <w:rPr>
          <w:rFonts w:hint="eastAsia" w:ascii="仿宋" w:hAnsi="仿宋" w:eastAsia="仿宋" w:cs="仿宋"/>
          <w:color w:val="auto"/>
          <w:spacing w:val="0"/>
          <w:sz w:val="28"/>
          <w:szCs w:val="28"/>
          <w:highlight w:val="none"/>
        </w:rPr>
        <w:t>替代原则</w:t>
      </w:r>
    </w:p>
    <w:p>
      <w:pPr>
        <w:pStyle w:val="6"/>
        <w:pageBreakBefore w:val="0"/>
        <w:widowControl w:val="0"/>
        <w:kinsoku/>
        <w:wordWrap/>
        <w:overflowPunct/>
        <w:topLinePunct w:val="0"/>
        <w:autoSpaceDE/>
        <w:autoSpaceDN/>
        <w:bidi w:val="0"/>
        <w:adjustRightInd w:val="0"/>
        <w:snapToGrid w:val="0"/>
        <w:spacing w:line="360" w:lineRule="auto"/>
        <w:ind w:right="105" w:rightChars="50" w:firstLine="560" w:firstLineChars="200"/>
        <w:jc w:val="left"/>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 xml:space="preserve"> </w:t>
      </w:r>
      <w:r>
        <w:rPr>
          <w:rFonts w:hint="eastAsia" w:ascii="仿宋" w:hAnsi="仿宋" w:eastAsia="仿宋" w:cs="仿宋"/>
          <w:color w:val="auto"/>
          <w:spacing w:val="0"/>
          <w:sz w:val="28"/>
          <w:szCs w:val="28"/>
          <w:highlight w:val="none"/>
          <w:lang w:val="en-US" w:eastAsia="zh-CN"/>
        </w:rPr>
        <w:t>根据市</w:t>
      </w:r>
      <w:r>
        <w:rPr>
          <w:rFonts w:hint="eastAsia" w:ascii="仿宋" w:hAnsi="仿宋" w:eastAsia="仿宋" w:cs="仿宋"/>
          <w:color w:val="auto"/>
          <w:spacing w:val="0"/>
          <w:sz w:val="28"/>
          <w:szCs w:val="28"/>
          <w:highlight w:val="none"/>
        </w:rPr>
        <w:t>场运行规律，在同一</w:t>
      </w:r>
      <w:r>
        <w:rPr>
          <w:rFonts w:hint="eastAsia" w:ascii="仿宋" w:hAnsi="仿宋" w:eastAsia="仿宋" w:cs="仿宋"/>
          <w:color w:val="auto"/>
          <w:spacing w:val="0"/>
          <w:sz w:val="28"/>
          <w:szCs w:val="28"/>
          <w:highlight w:val="none"/>
          <w:lang w:val="en-US" w:eastAsia="zh-CN"/>
        </w:rPr>
        <w:t>商品市场中，商品或提供</w:t>
      </w:r>
      <w:r>
        <w:rPr>
          <w:rFonts w:hint="eastAsia" w:ascii="仿宋" w:hAnsi="仿宋" w:eastAsia="仿宋" w:cs="仿宋"/>
          <w:color w:val="auto"/>
          <w:spacing w:val="0"/>
          <w:sz w:val="28"/>
          <w:szCs w:val="28"/>
          <w:highlight w:val="none"/>
        </w:rPr>
        <w:t>服务的效用相</w:t>
      </w:r>
      <w:r>
        <w:rPr>
          <w:rFonts w:hint="eastAsia" w:ascii="仿宋" w:hAnsi="仿宋" w:eastAsia="仿宋" w:cs="仿宋"/>
          <w:color w:val="auto"/>
          <w:spacing w:val="0"/>
          <w:sz w:val="28"/>
          <w:szCs w:val="28"/>
          <w:highlight w:val="none"/>
          <w:lang w:val="en-US" w:eastAsia="zh-CN"/>
        </w:rPr>
        <w:t>同或大致相似时</w:t>
      </w:r>
      <w:r>
        <w:rPr>
          <w:rFonts w:hint="eastAsia" w:ascii="仿宋" w:hAnsi="仿宋" w:eastAsia="仿宋" w:cs="仿宋"/>
          <w:color w:val="auto"/>
          <w:spacing w:val="0"/>
          <w:sz w:val="28"/>
          <w:szCs w:val="28"/>
          <w:highlight w:val="none"/>
        </w:rPr>
        <w:t>，价格低者吸引需</w:t>
      </w:r>
      <w:r>
        <w:rPr>
          <w:rFonts w:hint="eastAsia" w:ascii="仿宋" w:hAnsi="仿宋" w:eastAsia="仿宋" w:cs="仿宋"/>
          <w:color w:val="auto"/>
          <w:spacing w:val="0"/>
          <w:sz w:val="28"/>
          <w:szCs w:val="28"/>
          <w:highlight w:val="none"/>
          <w:lang w:val="en-US" w:eastAsia="zh-CN"/>
        </w:rPr>
        <w:t>求</w:t>
      </w:r>
      <w:r>
        <w:rPr>
          <w:rFonts w:hint="eastAsia" w:ascii="仿宋" w:hAnsi="仿宋" w:eastAsia="仿宋" w:cs="仿宋"/>
          <w:color w:val="auto"/>
          <w:spacing w:val="0"/>
          <w:sz w:val="28"/>
          <w:szCs w:val="28"/>
          <w:highlight w:val="none"/>
        </w:rPr>
        <w:t>，即</w:t>
      </w:r>
      <w:r>
        <w:rPr>
          <w:rFonts w:hint="eastAsia" w:ascii="仿宋" w:hAnsi="仿宋" w:eastAsia="仿宋" w:cs="仿宋"/>
          <w:color w:val="auto"/>
          <w:spacing w:val="0"/>
          <w:sz w:val="28"/>
          <w:szCs w:val="28"/>
          <w:highlight w:val="none"/>
          <w:lang w:val="en-US" w:eastAsia="zh-CN"/>
        </w:rPr>
        <w:t>有两个以上互有替代</w:t>
      </w:r>
      <w:r>
        <w:rPr>
          <w:rFonts w:hint="eastAsia" w:ascii="仿宋" w:hAnsi="仿宋" w:eastAsia="仿宋" w:cs="仿宋"/>
          <w:color w:val="auto"/>
          <w:spacing w:val="0"/>
          <w:sz w:val="28"/>
          <w:szCs w:val="28"/>
          <w:highlight w:val="none"/>
        </w:rPr>
        <w:t>性的商品或服务</w:t>
      </w:r>
      <w:r>
        <w:rPr>
          <w:rFonts w:hint="eastAsia" w:ascii="仿宋" w:hAnsi="仿宋" w:eastAsia="仿宋" w:cs="仿宋"/>
          <w:color w:val="auto"/>
          <w:spacing w:val="0"/>
          <w:sz w:val="28"/>
          <w:szCs w:val="28"/>
          <w:highlight w:val="none"/>
          <w:lang w:val="en-US" w:eastAsia="zh-CN"/>
        </w:rPr>
        <w:t>同时存在时，商</w:t>
      </w:r>
      <w:r>
        <w:rPr>
          <w:rFonts w:hint="eastAsia" w:ascii="仿宋" w:hAnsi="仿宋" w:eastAsia="仿宋" w:cs="仿宋"/>
          <w:color w:val="auto"/>
          <w:spacing w:val="0"/>
          <w:sz w:val="28"/>
          <w:szCs w:val="28"/>
          <w:highlight w:val="none"/>
        </w:rPr>
        <w:t>品或服务的价格</w:t>
      </w:r>
      <w:r>
        <w:rPr>
          <w:rFonts w:hint="eastAsia" w:ascii="仿宋" w:hAnsi="仿宋" w:eastAsia="仿宋" w:cs="仿宋"/>
          <w:color w:val="auto"/>
          <w:spacing w:val="0"/>
          <w:sz w:val="28"/>
          <w:szCs w:val="28"/>
          <w:highlight w:val="none"/>
          <w:lang w:val="en-US" w:eastAsia="zh-CN"/>
        </w:rPr>
        <w:t>是</w:t>
      </w:r>
      <w:r>
        <w:rPr>
          <w:rFonts w:hint="eastAsia" w:ascii="仿宋" w:hAnsi="仿宋" w:eastAsia="仿宋" w:cs="仿宋"/>
          <w:color w:val="auto"/>
          <w:spacing w:val="0"/>
          <w:sz w:val="28"/>
          <w:szCs w:val="28"/>
          <w:highlight w:val="none"/>
        </w:rPr>
        <w:t>经过</w:t>
      </w:r>
      <w:r>
        <w:rPr>
          <w:rFonts w:hint="eastAsia" w:ascii="仿宋" w:hAnsi="仿宋" w:eastAsia="仿宋" w:cs="仿宋"/>
          <w:color w:val="auto"/>
          <w:spacing w:val="0"/>
          <w:sz w:val="28"/>
          <w:szCs w:val="28"/>
          <w:highlight w:val="none"/>
          <w:lang w:val="en-US" w:eastAsia="zh-CN"/>
        </w:rPr>
        <w:t>相互影响和比较</w:t>
      </w:r>
      <w:r>
        <w:rPr>
          <w:rFonts w:hint="eastAsia" w:ascii="仿宋" w:hAnsi="仿宋" w:eastAsia="仿宋" w:cs="仿宋"/>
          <w:color w:val="auto"/>
          <w:spacing w:val="0"/>
          <w:sz w:val="28"/>
          <w:szCs w:val="28"/>
          <w:highlight w:val="none"/>
        </w:rPr>
        <w:t>之后</w:t>
      </w:r>
      <w:r>
        <w:rPr>
          <w:rFonts w:hint="eastAsia" w:ascii="仿宋" w:hAnsi="仿宋" w:eastAsia="仿宋" w:cs="仿宋"/>
          <w:color w:val="auto"/>
          <w:spacing w:val="0"/>
          <w:sz w:val="28"/>
          <w:szCs w:val="28"/>
          <w:highlight w:val="none"/>
          <w:lang w:val="en-US" w:eastAsia="zh-CN"/>
        </w:rPr>
        <w:t>来</w:t>
      </w:r>
      <w:r>
        <w:rPr>
          <w:rFonts w:hint="eastAsia" w:ascii="仿宋" w:hAnsi="仿宋" w:eastAsia="仿宋" w:cs="仿宋"/>
          <w:color w:val="auto"/>
          <w:spacing w:val="0"/>
          <w:sz w:val="28"/>
          <w:szCs w:val="28"/>
          <w:highlight w:val="none"/>
        </w:rPr>
        <w:t>决定的。房地产价格</w:t>
      </w:r>
      <w:r>
        <w:rPr>
          <w:rFonts w:hint="eastAsia" w:ascii="仿宋" w:hAnsi="仿宋" w:eastAsia="仿宋" w:cs="仿宋"/>
          <w:color w:val="auto"/>
          <w:spacing w:val="0"/>
          <w:sz w:val="28"/>
          <w:szCs w:val="28"/>
          <w:highlight w:val="none"/>
          <w:lang w:val="en-US" w:eastAsia="zh-CN"/>
        </w:rPr>
        <w:t>也同样遵循替</w:t>
      </w:r>
      <w:r>
        <w:rPr>
          <w:rFonts w:hint="eastAsia" w:ascii="仿宋" w:hAnsi="仿宋" w:eastAsia="仿宋" w:cs="仿宋"/>
          <w:color w:val="auto"/>
          <w:spacing w:val="0"/>
          <w:sz w:val="28"/>
          <w:szCs w:val="28"/>
          <w:highlight w:val="none"/>
        </w:rPr>
        <w:t>代规律，受其它具有相同</w:t>
      </w:r>
      <w:r>
        <w:rPr>
          <w:rFonts w:hint="eastAsia" w:ascii="仿宋" w:hAnsi="仿宋" w:eastAsia="仿宋" w:cs="仿宋"/>
          <w:color w:val="auto"/>
          <w:spacing w:val="0"/>
          <w:sz w:val="28"/>
          <w:szCs w:val="28"/>
          <w:highlight w:val="none"/>
          <w:lang w:val="en-US" w:eastAsia="zh-CN"/>
        </w:rPr>
        <w:t>使用价值</w:t>
      </w:r>
      <w:r>
        <w:rPr>
          <w:rFonts w:hint="eastAsia" w:ascii="仿宋" w:hAnsi="仿宋" w:eastAsia="仿宋" w:cs="仿宋"/>
          <w:color w:val="auto"/>
          <w:spacing w:val="0"/>
          <w:sz w:val="28"/>
          <w:szCs w:val="28"/>
          <w:highlight w:val="none"/>
        </w:rPr>
        <w:t>的房地</w:t>
      </w:r>
      <w:r>
        <w:rPr>
          <w:rFonts w:hint="eastAsia" w:ascii="仿宋" w:hAnsi="仿宋" w:eastAsia="仿宋" w:cs="仿宋"/>
          <w:color w:val="auto"/>
          <w:spacing w:val="0"/>
          <w:sz w:val="28"/>
          <w:szCs w:val="28"/>
          <w:highlight w:val="none"/>
          <w:lang w:val="en-US" w:eastAsia="zh-CN"/>
        </w:rPr>
        <w:t>产，</w:t>
      </w:r>
      <w:r>
        <w:rPr>
          <w:rFonts w:hint="eastAsia" w:ascii="仿宋" w:hAnsi="仿宋" w:eastAsia="仿宋" w:cs="仿宋"/>
          <w:color w:val="auto"/>
          <w:spacing w:val="0"/>
          <w:sz w:val="28"/>
          <w:szCs w:val="28"/>
          <w:highlight w:val="none"/>
        </w:rPr>
        <w:t>即同类型具有替代可能</w:t>
      </w:r>
      <w:r>
        <w:rPr>
          <w:rFonts w:hint="eastAsia" w:ascii="仿宋" w:hAnsi="仿宋" w:eastAsia="仿宋" w:cs="仿宋"/>
          <w:color w:val="auto"/>
          <w:spacing w:val="0"/>
          <w:sz w:val="28"/>
          <w:szCs w:val="28"/>
          <w:highlight w:val="none"/>
          <w:lang w:val="en-US" w:eastAsia="zh-CN"/>
        </w:rPr>
        <w:t>的房地产价格</w:t>
      </w:r>
      <w:r>
        <w:rPr>
          <w:rFonts w:hint="eastAsia" w:ascii="仿宋" w:hAnsi="仿宋" w:eastAsia="仿宋" w:cs="仿宋"/>
          <w:color w:val="auto"/>
          <w:spacing w:val="0"/>
          <w:sz w:val="28"/>
          <w:szCs w:val="28"/>
          <w:highlight w:val="none"/>
        </w:rPr>
        <w:t>所牵制。换言之，具有相同</w:t>
      </w:r>
      <w:r>
        <w:rPr>
          <w:rFonts w:hint="eastAsia" w:ascii="仿宋" w:hAnsi="仿宋" w:eastAsia="仿宋" w:cs="仿宋"/>
          <w:color w:val="auto"/>
          <w:spacing w:val="0"/>
          <w:sz w:val="28"/>
          <w:szCs w:val="28"/>
          <w:highlight w:val="none"/>
          <w:lang w:val="en-US" w:eastAsia="zh-CN"/>
        </w:rPr>
        <w:t>使</w:t>
      </w:r>
      <w:r>
        <w:rPr>
          <w:rFonts w:hint="eastAsia" w:ascii="仿宋" w:hAnsi="仿宋" w:eastAsia="仿宋" w:cs="仿宋"/>
          <w:color w:val="auto"/>
          <w:spacing w:val="0"/>
          <w:sz w:val="28"/>
          <w:szCs w:val="28"/>
          <w:highlight w:val="none"/>
        </w:rPr>
        <w:t xml:space="preserve">用价值 </w:t>
      </w:r>
      <w:r>
        <w:rPr>
          <w:rFonts w:hint="eastAsia" w:ascii="仿宋" w:hAnsi="仿宋" w:eastAsia="仿宋" w:cs="仿宋"/>
          <w:color w:val="auto"/>
          <w:spacing w:val="0"/>
          <w:sz w:val="28"/>
          <w:szCs w:val="28"/>
          <w:highlight w:val="none"/>
          <w:lang w:val="en-US" w:eastAsia="zh-CN"/>
        </w:rPr>
        <w:t>替</w:t>
      </w:r>
      <w:r>
        <w:rPr>
          <w:rFonts w:hint="eastAsia" w:ascii="仿宋" w:hAnsi="仿宋" w:eastAsia="仿宋" w:cs="仿宋"/>
          <w:color w:val="auto"/>
          <w:spacing w:val="0"/>
          <w:sz w:val="28"/>
          <w:szCs w:val="28"/>
          <w:highlight w:val="none"/>
        </w:rPr>
        <w:t>代可能的房地产之间，会</w:t>
      </w:r>
      <w:r>
        <w:rPr>
          <w:rFonts w:hint="eastAsia" w:ascii="仿宋" w:hAnsi="仿宋" w:eastAsia="仿宋" w:cs="仿宋"/>
          <w:color w:val="auto"/>
          <w:spacing w:val="0"/>
          <w:sz w:val="28"/>
          <w:szCs w:val="28"/>
          <w:highlight w:val="none"/>
          <w:lang w:val="en-US" w:eastAsia="zh-CN"/>
        </w:rPr>
        <w:t>相</w:t>
      </w:r>
      <w:r>
        <w:rPr>
          <w:rFonts w:hint="eastAsia" w:ascii="仿宋" w:hAnsi="仿宋" w:eastAsia="仿宋" w:cs="仿宋"/>
          <w:color w:val="auto"/>
          <w:spacing w:val="0"/>
          <w:sz w:val="28"/>
          <w:szCs w:val="28"/>
          <w:highlight w:val="none"/>
        </w:rPr>
        <w:t>互影响和竞争，使价格相互牵制而趋于一致。</w:t>
      </w:r>
    </w:p>
    <w:p>
      <w:pPr>
        <w:pStyle w:val="4"/>
        <w:pageBreakBefore w:val="0"/>
        <w:widowControl w:val="0"/>
        <w:kinsoku/>
        <w:wordWrap/>
        <w:overflowPunct/>
        <w:topLinePunct w:val="0"/>
        <w:autoSpaceDE/>
        <w:autoSpaceDN/>
        <w:bidi w:val="0"/>
        <w:snapToGrid w:val="0"/>
        <w:spacing w:line="360" w:lineRule="auto"/>
        <w:ind w:left="105" w:leftChars="50" w:right="105" w:rightChars="50" w:firstLine="562" w:firstLineChars="200"/>
        <w:contextualSpacing/>
        <w:textAlignment w:val="auto"/>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rPr>
        <w:t>八、</w:t>
      </w:r>
      <w:r>
        <w:rPr>
          <w:rFonts w:hint="eastAsia" w:ascii="仿宋" w:hAnsi="仿宋" w:eastAsia="仿宋" w:cs="仿宋"/>
          <w:color w:val="auto"/>
          <w:spacing w:val="0"/>
          <w:sz w:val="28"/>
          <w:szCs w:val="28"/>
          <w:highlight w:val="none"/>
          <w:lang w:eastAsia="zh-CN"/>
        </w:rPr>
        <w:t>评估依据</w:t>
      </w:r>
      <w:bookmarkEnd w:id="23"/>
    </w:p>
    <w:p>
      <w:pPr>
        <w:pStyle w:val="5"/>
        <w:pageBreakBefore w:val="0"/>
        <w:widowControl w:val="0"/>
        <w:kinsoku/>
        <w:wordWrap/>
        <w:overflowPunct/>
        <w:topLinePunct w:val="0"/>
        <w:autoSpaceDE/>
        <w:autoSpaceDN/>
        <w:bidi w:val="0"/>
        <w:snapToGrid w:val="0"/>
        <w:spacing w:line="360" w:lineRule="auto"/>
        <w:ind w:firstLine="420" w:firstLineChars="15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（一）本次评估所依据的有关法律、法规和政策文件；</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1.《中华人民共和国民法典》；</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2.《中华人民共和国资产评估法》；</w:t>
      </w:r>
    </w:p>
    <w:p>
      <w:pPr>
        <w:pStyle w:val="16"/>
        <w:pageBreakBefore w:val="0"/>
        <w:widowControl w:val="0"/>
        <w:kinsoku/>
        <w:wordWrap/>
        <w:overflowPunct/>
        <w:topLinePunct w:val="0"/>
        <w:autoSpaceDE/>
        <w:autoSpaceDN/>
        <w:bidi w:val="0"/>
        <w:adjustRightInd w:val="0"/>
        <w:snapToGrid w:val="0"/>
        <w:spacing w:line="360" w:lineRule="auto"/>
        <w:ind w:left="567"/>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3.《中华人民共和国城市房地产管理法》；</w:t>
      </w:r>
    </w:p>
    <w:p>
      <w:pPr>
        <w:pStyle w:val="16"/>
        <w:keepNext w:val="0"/>
        <w:keepLines w:val="0"/>
        <w:pageBreakBefore w:val="0"/>
        <w:widowControl w:val="0"/>
        <w:kinsoku/>
        <w:wordWrap/>
        <w:overflowPunct/>
        <w:topLinePunct w:val="0"/>
        <w:autoSpaceDE/>
        <w:autoSpaceDN/>
        <w:bidi w:val="0"/>
        <w:adjustRightInd w:val="0"/>
        <w:snapToGrid w:val="0"/>
        <w:spacing w:line="360" w:lineRule="auto"/>
        <w:ind w:left="567"/>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4.《中华人民共和国土地管理法》；</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5.</w:t>
      </w:r>
      <w:r>
        <w:rPr>
          <w:rFonts w:hint="eastAsia" w:ascii="仿宋" w:hAnsi="仿宋" w:eastAsia="仿宋" w:cs="仿宋"/>
          <w:color w:val="auto"/>
          <w:spacing w:val="0"/>
          <w:sz w:val="28"/>
          <w:szCs w:val="28"/>
          <w:highlight w:val="none"/>
        </w:rPr>
        <w:t>《全国人民代表大会常务委员会关于司法鉴定管理问题的决定》；</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6.</w:t>
      </w:r>
      <w:r>
        <w:rPr>
          <w:rFonts w:hint="eastAsia" w:ascii="仿宋" w:hAnsi="仿宋" w:eastAsia="仿宋" w:cs="仿宋"/>
          <w:color w:val="auto"/>
          <w:spacing w:val="0"/>
          <w:sz w:val="28"/>
          <w:szCs w:val="28"/>
          <w:highlight w:val="none"/>
        </w:rPr>
        <w:t>《不动产登记暂行条例》；</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7.</w:t>
      </w:r>
      <w:r>
        <w:rPr>
          <w:rFonts w:hint="eastAsia" w:ascii="仿宋" w:hAnsi="仿宋" w:eastAsia="仿宋" w:cs="仿宋"/>
          <w:color w:val="auto"/>
          <w:spacing w:val="0"/>
          <w:sz w:val="28"/>
          <w:szCs w:val="28"/>
          <w:highlight w:val="none"/>
        </w:rPr>
        <w:t>《不动产登记暂行条例实施细则》；</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8.</w:t>
      </w:r>
      <w:r>
        <w:rPr>
          <w:rFonts w:hint="eastAsia" w:ascii="仿宋" w:hAnsi="仿宋" w:eastAsia="仿宋" w:cs="仿宋"/>
          <w:color w:val="auto"/>
          <w:spacing w:val="0"/>
          <w:sz w:val="28"/>
          <w:szCs w:val="28"/>
          <w:highlight w:val="none"/>
        </w:rPr>
        <w:t>《人民法院委托评估工作规范》；</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9.《</w:t>
      </w:r>
      <w:r>
        <w:rPr>
          <w:rFonts w:hint="eastAsia" w:ascii="仿宋" w:hAnsi="仿宋" w:eastAsia="仿宋" w:cs="仿宋"/>
          <w:color w:val="auto"/>
          <w:spacing w:val="0"/>
          <w:sz w:val="28"/>
          <w:szCs w:val="28"/>
          <w:highlight w:val="none"/>
        </w:rPr>
        <w:t>最高人民法院</w:t>
      </w:r>
      <w:r>
        <w:rPr>
          <w:rFonts w:hint="eastAsia" w:ascii="仿宋" w:hAnsi="仿宋" w:eastAsia="仿宋" w:cs="仿宋"/>
          <w:color w:val="auto"/>
          <w:spacing w:val="0"/>
          <w:sz w:val="28"/>
          <w:szCs w:val="28"/>
          <w:highlight w:val="none"/>
          <w:lang w:val="en-US" w:eastAsia="zh-CN"/>
        </w:rPr>
        <w:t>关于人民法院确定财产处置参考价若干问题的规定》；</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0.</w:t>
      </w:r>
      <w:r>
        <w:rPr>
          <w:rFonts w:hint="eastAsia" w:ascii="仿宋" w:hAnsi="仿宋" w:eastAsia="仿宋" w:cs="仿宋"/>
          <w:color w:val="auto"/>
          <w:spacing w:val="0"/>
          <w:sz w:val="28"/>
          <w:szCs w:val="28"/>
          <w:highlight w:val="none"/>
        </w:rPr>
        <w:t>《最高人民法院关于印发&lt;人民法院司法鉴定工作暂行规定&gt;的通知》；</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1.</w:t>
      </w:r>
      <w:r>
        <w:rPr>
          <w:rFonts w:hint="eastAsia" w:ascii="仿宋" w:hAnsi="仿宋" w:eastAsia="仿宋" w:cs="仿宋"/>
          <w:color w:val="auto"/>
          <w:spacing w:val="0"/>
          <w:sz w:val="28"/>
          <w:szCs w:val="28"/>
          <w:highlight w:val="none"/>
        </w:rPr>
        <w:t>《最高人民法院关于</w:t>
      </w:r>
      <w:r>
        <w:rPr>
          <w:rFonts w:hint="eastAsia" w:ascii="仿宋" w:hAnsi="仿宋" w:eastAsia="仿宋" w:cs="仿宋"/>
          <w:color w:val="auto"/>
          <w:spacing w:val="0"/>
          <w:sz w:val="28"/>
          <w:szCs w:val="28"/>
          <w:highlight w:val="none"/>
          <w:lang w:eastAsia="zh-CN"/>
        </w:rPr>
        <w:t>评估委托人和管理人确定</w:t>
      </w:r>
      <w:r>
        <w:rPr>
          <w:rFonts w:hint="eastAsia" w:ascii="仿宋" w:hAnsi="仿宋" w:eastAsia="仿宋" w:cs="仿宋"/>
          <w:color w:val="auto"/>
          <w:spacing w:val="0"/>
          <w:sz w:val="28"/>
          <w:szCs w:val="28"/>
          <w:highlight w:val="none"/>
        </w:rPr>
        <w:t>财产处置参考价若干问题的规定》；</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2.</w:t>
      </w:r>
      <w:r>
        <w:rPr>
          <w:rFonts w:hint="eastAsia" w:ascii="仿宋" w:hAnsi="仿宋" w:eastAsia="仿宋" w:cs="仿宋"/>
          <w:color w:val="auto"/>
          <w:spacing w:val="0"/>
          <w:sz w:val="28"/>
          <w:szCs w:val="28"/>
          <w:highlight w:val="none"/>
        </w:rPr>
        <w:t>《最高人民法院关于人民法院委托评估、拍卖和变卖工作的若干规定》；</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3.</w:t>
      </w:r>
      <w:r>
        <w:rPr>
          <w:rFonts w:hint="eastAsia" w:ascii="仿宋" w:hAnsi="仿宋" w:eastAsia="仿宋" w:cs="仿宋"/>
          <w:color w:val="auto"/>
          <w:spacing w:val="0"/>
          <w:sz w:val="28"/>
          <w:szCs w:val="28"/>
          <w:highlight w:val="none"/>
        </w:rPr>
        <w:t>《人民法院对外委托司法鉴定管理规定》；</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4.</w:t>
      </w:r>
      <w:r>
        <w:rPr>
          <w:rFonts w:hint="eastAsia" w:ascii="仿宋" w:hAnsi="仿宋" w:eastAsia="仿宋" w:cs="仿宋"/>
          <w:color w:val="auto"/>
          <w:spacing w:val="0"/>
          <w:sz w:val="28"/>
          <w:szCs w:val="28"/>
          <w:highlight w:val="none"/>
        </w:rPr>
        <w:t>《司法鉴定程序通则》；</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5.</w:t>
      </w:r>
      <w:r>
        <w:rPr>
          <w:rFonts w:hint="eastAsia" w:ascii="仿宋" w:hAnsi="仿宋" w:eastAsia="仿宋" w:cs="仿宋"/>
          <w:color w:val="auto"/>
          <w:spacing w:val="0"/>
          <w:sz w:val="28"/>
          <w:szCs w:val="28"/>
          <w:highlight w:val="none"/>
        </w:rPr>
        <w:t>《司法鉴定人管理办法》；</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6.</w:t>
      </w:r>
      <w:r>
        <w:rPr>
          <w:rFonts w:hint="eastAsia" w:ascii="仿宋" w:hAnsi="仿宋" w:eastAsia="仿宋" w:cs="仿宋"/>
          <w:color w:val="auto"/>
          <w:spacing w:val="0"/>
          <w:sz w:val="28"/>
          <w:szCs w:val="28"/>
          <w:highlight w:val="none"/>
        </w:rPr>
        <w:t>《司法鉴定机构登记管理办法》；</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w:t>
      </w:r>
      <w:r>
        <w:rPr>
          <w:rFonts w:hint="eastAsia" w:ascii="仿宋" w:hAnsi="仿宋" w:eastAsia="仿宋" w:cs="仿宋"/>
          <w:color w:val="auto"/>
          <w:spacing w:val="0"/>
          <w:sz w:val="28"/>
          <w:szCs w:val="28"/>
          <w:highlight w:val="none"/>
          <w:lang w:val="en-US" w:eastAsia="zh-CN"/>
        </w:rPr>
        <w:t>7.</w:t>
      </w:r>
      <w:r>
        <w:rPr>
          <w:rFonts w:hint="eastAsia" w:ascii="仿宋" w:hAnsi="仿宋" w:eastAsia="仿宋" w:cs="仿宋"/>
          <w:color w:val="auto"/>
          <w:spacing w:val="0"/>
          <w:sz w:val="28"/>
          <w:szCs w:val="28"/>
          <w:highlight w:val="none"/>
        </w:rPr>
        <w:t>《营业税改增值税试点实施办法》；</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18.</w:t>
      </w:r>
      <w:r>
        <w:rPr>
          <w:rFonts w:hint="eastAsia" w:ascii="仿宋" w:hAnsi="仿宋" w:eastAsia="仿宋" w:cs="仿宋"/>
          <w:color w:val="auto"/>
          <w:spacing w:val="0"/>
          <w:sz w:val="28"/>
          <w:szCs w:val="28"/>
          <w:highlight w:val="none"/>
        </w:rPr>
        <w:t>《山东省司法鉴定人职业道德和执业纪律规范（试行）》；</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19.</w:t>
      </w:r>
      <w:r>
        <w:rPr>
          <w:rFonts w:hint="eastAsia" w:ascii="仿宋" w:hAnsi="仿宋" w:eastAsia="仿宋" w:cs="仿宋"/>
          <w:color w:val="auto"/>
          <w:spacing w:val="0"/>
          <w:sz w:val="28"/>
          <w:szCs w:val="28"/>
          <w:highlight w:val="none"/>
        </w:rPr>
        <w:t>《山东省建筑工程消耗量定额》（2016年）；</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2</w:t>
      </w:r>
      <w:r>
        <w:rPr>
          <w:rFonts w:hint="eastAsia" w:ascii="仿宋" w:hAnsi="仿宋" w:eastAsia="仿宋" w:cs="仿宋"/>
          <w:color w:val="auto"/>
          <w:spacing w:val="0"/>
          <w:sz w:val="28"/>
          <w:szCs w:val="28"/>
          <w:highlight w:val="none"/>
          <w:lang w:val="en-US" w:eastAsia="zh-CN"/>
        </w:rPr>
        <w:t>0.</w:t>
      </w:r>
      <w:r>
        <w:rPr>
          <w:rFonts w:hint="eastAsia" w:ascii="仿宋" w:hAnsi="仿宋" w:eastAsia="仿宋" w:cs="仿宋"/>
          <w:color w:val="auto"/>
          <w:spacing w:val="0"/>
          <w:sz w:val="28"/>
          <w:szCs w:val="28"/>
          <w:highlight w:val="none"/>
        </w:rPr>
        <w:t>《山东省安装工程消耗量定额》（2016年）；</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2</w:t>
      </w:r>
      <w:r>
        <w:rPr>
          <w:rFonts w:hint="eastAsia" w:ascii="仿宋" w:hAnsi="仿宋" w:eastAsia="仿宋" w:cs="仿宋"/>
          <w:color w:val="auto"/>
          <w:spacing w:val="0"/>
          <w:sz w:val="28"/>
          <w:szCs w:val="28"/>
          <w:highlight w:val="none"/>
          <w:lang w:val="en-US" w:eastAsia="zh-CN"/>
        </w:rPr>
        <w:t>1.</w:t>
      </w:r>
      <w:r>
        <w:rPr>
          <w:rFonts w:hint="eastAsia" w:ascii="仿宋" w:hAnsi="仿宋" w:eastAsia="仿宋" w:cs="仿宋"/>
          <w:color w:val="auto"/>
          <w:spacing w:val="0"/>
          <w:sz w:val="28"/>
          <w:szCs w:val="28"/>
          <w:highlight w:val="none"/>
        </w:rPr>
        <w:t>《山东省建设工程费用项目组成及计算规则》（2016年）；</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2</w:t>
      </w:r>
      <w:r>
        <w:rPr>
          <w:rFonts w:hint="eastAsia" w:ascii="仿宋" w:hAnsi="仿宋" w:eastAsia="仿宋" w:cs="仿宋"/>
          <w:color w:val="auto"/>
          <w:spacing w:val="0"/>
          <w:sz w:val="28"/>
          <w:szCs w:val="28"/>
          <w:highlight w:val="none"/>
          <w:lang w:val="en-US" w:eastAsia="zh-CN"/>
        </w:rPr>
        <w:t>2.</w:t>
      </w:r>
      <w:r>
        <w:rPr>
          <w:rFonts w:hint="eastAsia" w:ascii="仿宋" w:hAnsi="仿宋" w:eastAsia="仿宋" w:cs="仿宋"/>
          <w:color w:val="auto"/>
          <w:spacing w:val="0"/>
          <w:sz w:val="28"/>
          <w:szCs w:val="28"/>
          <w:highlight w:val="none"/>
        </w:rPr>
        <w:t>国家和地方其他有关的法律、法规及政策性文件。</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280" w:firstLineChars="1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（二）本次估价采用的技术规程</w:t>
      </w:r>
    </w:p>
    <w:p>
      <w:pPr>
        <w:pStyle w:val="16"/>
        <w:keepNext w:val="0"/>
        <w:keepLines w:val="0"/>
        <w:pageBreakBefore w:val="0"/>
        <w:widowControl w:val="0"/>
        <w:kinsoku/>
        <w:wordWrap/>
        <w:overflowPunct/>
        <w:topLinePunct w:val="0"/>
        <w:autoSpaceDE/>
        <w:autoSpaceDN/>
        <w:bidi w:val="0"/>
        <w:adjustRightInd w:val="0"/>
        <w:snapToGrid w:val="0"/>
        <w:spacing w:line="360" w:lineRule="auto"/>
        <w:ind w:left="567"/>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1.《房地产估价规范》（GB/T 50291-2015）；</w:t>
      </w:r>
    </w:p>
    <w:p>
      <w:pPr>
        <w:pStyle w:val="16"/>
        <w:keepNext w:val="0"/>
        <w:keepLines w:val="0"/>
        <w:pageBreakBefore w:val="0"/>
        <w:widowControl w:val="0"/>
        <w:kinsoku/>
        <w:wordWrap/>
        <w:overflowPunct/>
        <w:topLinePunct w:val="0"/>
        <w:autoSpaceDE/>
        <w:autoSpaceDN/>
        <w:bidi w:val="0"/>
        <w:adjustRightInd w:val="0"/>
        <w:snapToGrid w:val="0"/>
        <w:spacing w:line="360" w:lineRule="auto"/>
        <w:ind w:left="567"/>
        <w:textAlignment w:val="auto"/>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rPr>
        <w:t>2.《房地产估价基本术语</w:t>
      </w:r>
      <w:r>
        <w:rPr>
          <w:rFonts w:hint="eastAsia" w:ascii="仿宋" w:hAnsi="仿宋" w:eastAsia="仿宋" w:cs="仿宋"/>
          <w:color w:val="auto"/>
          <w:spacing w:val="0"/>
          <w:sz w:val="28"/>
          <w:szCs w:val="28"/>
          <w:highlight w:val="none"/>
          <w:lang w:val="en-US" w:eastAsia="zh-CN"/>
        </w:rPr>
        <w:t>标准</w:t>
      </w:r>
      <w:r>
        <w:rPr>
          <w:rFonts w:hint="eastAsia" w:ascii="仿宋" w:hAnsi="仿宋" w:eastAsia="仿宋" w:cs="仿宋"/>
          <w:color w:val="auto"/>
          <w:spacing w:val="0"/>
          <w:sz w:val="28"/>
          <w:szCs w:val="28"/>
          <w:highlight w:val="none"/>
        </w:rPr>
        <w:t>》（GB/T50899-2013）</w:t>
      </w:r>
      <w:r>
        <w:rPr>
          <w:rFonts w:hint="eastAsia" w:ascii="仿宋" w:hAnsi="仿宋" w:eastAsia="仿宋" w:cs="仿宋"/>
          <w:color w:val="auto"/>
          <w:spacing w:val="0"/>
          <w:sz w:val="28"/>
          <w:szCs w:val="28"/>
          <w:highlight w:val="none"/>
          <w:lang w:eastAsia="zh-CN"/>
        </w:rPr>
        <w:t>；</w:t>
      </w:r>
    </w:p>
    <w:p>
      <w:pPr>
        <w:pStyle w:val="16"/>
        <w:keepNext w:val="0"/>
        <w:keepLines w:val="0"/>
        <w:pageBreakBefore w:val="0"/>
        <w:widowControl w:val="0"/>
        <w:kinsoku/>
        <w:wordWrap/>
        <w:overflowPunct/>
        <w:topLinePunct w:val="0"/>
        <w:autoSpaceDE/>
        <w:autoSpaceDN/>
        <w:bidi w:val="0"/>
        <w:adjustRightInd w:val="0"/>
        <w:snapToGrid w:val="0"/>
        <w:spacing w:line="360" w:lineRule="auto"/>
        <w:ind w:left="567"/>
        <w:textAlignment w:val="auto"/>
        <w:rPr>
          <w:rFonts w:hint="eastAsia" w:ascii="仿宋" w:hAnsi="仿宋" w:eastAsia="仿宋"/>
          <w:color w:val="auto"/>
          <w:spacing w:val="0"/>
          <w:sz w:val="28"/>
          <w:highlight w:val="none"/>
          <w:lang w:val="en-US" w:eastAsia="zh-CN"/>
        </w:rPr>
      </w:pPr>
      <w:r>
        <w:rPr>
          <w:rFonts w:hint="eastAsia" w:ascii="仿宋" w:hAnsi="仿宋" w:eastAsia="仿宋"/>
          <w:color w:val="auto"/>
          <w:spacing w:val="0"/>
          <w:sz w:val="28"/>
          <w:highlight w:val="none"/>
          <w:lang w:val="en-US" w:eastAsia="zh-CN"/>
        </w:rPr>
        <w:t>3.《城镇土地估价规程》（GB/T 18505-2014）；</w:t>
      </w:r>
    </w:p>
    <w:p>
      <w:pPr>
        <w:pStyle w:val="16"/>
        <w:keepNext w:val="0"/>
        <w:keepLines w:val="0"/>
        <w:pageBreakBefore w:val="0"/>
        <w:widowControl w:val="0"/>
        <w:kinsoku/>
        <w:wordWrap/>
        <w:overflowPunct/>
        <w:topLinePunct w:val="0"/>
        <w:autoSpaceDE/>
        <w:autoSpaceDN/>
        <w:bidi w:val="0"/>
        <w:adjustRightInd w:val="0"/>
        <w:snapToGrid w:val="0"/>
        <w:spacing w:line="360" w:lineRule="auto"/>
        <w:ind w:left="567"/>
        <w:textAlignment w:val="auto"/>
        <w:rPr>
          <w:rFonts w:hint="eastAsia" w:ascii="仿宋" w:hAnsi="仿宋" w:eastAsia="仿宋" w:cs="仿宋"/>
          <w:color w:val="auto"/>
          <w:spacing w:val="0"/>
          <w:sz w:val="28"/>
          <w:szCs w:val="28"/>
          <w:highlight w:val="none"/>
        </w:rPr>
      </w:pPr>
      <w:r>
        <w:rPr>
          <w:rFonts w:hint="eastAsia" w:ascii="仿宋" w:hAnsi="仿宋" w:eastAsia="仿宋"/>
          <w:color w:val="auto"/>
          <w:spacing w:val="0"/>
          <w:sz w:val="28"/>
          <w:highlight w:val="none"/>
          <w:lang w:val="en-US" w:eastAsia="zh-CN"/>
        </w:rPr>
        <w:t>4.《涉执房地产处置司法评估指导意见（试行)》</w:t>
      </w:r>
      <w:r>
        <w:rPr>
          <w:rFonts w:hint="eastAsia" w:ascii="仿宋" w:hAnsi="仿宋" w:eastAsia="仿宋" w:cs="仿宋"/>
          <w:color w:val="auto"/>
          <w:spacing w:val="0"/>
          <w:sz w:val="28"/>
          <w:szCs w:val="28"/>
          <w:highlight w:val="none"/>
        </w:rPr>
        <w:t>。</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20" w:firstLineChars="15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（三）</w:t>
      </w:r>
      <w:r>
        <w:rPr>
          <w:rFonts w:hint="eastAsia" w:ascii="仿宋" w:hAnsi="仿宋" w:eastAsia="仿宋" w:cs="仿宋"/>
          <w:color w:val="auto"/>
          <w:spacing w:val="0"/>
          <w:sz w:val="28"/>
          <w:szCs w:val="28"/>
          <w:highlight w:val="none"/>
          <w:lang w:eastAsia="zh-CN"/>
        </w:rPr>
        <w:t>评估委托</w:t>
      </w:r>
      <w:r>
        <w:rPr>
          <w:rFonts w:hint="eastAsia" w:ascii="仿宋" w:hAnsi="仿宋" w:eastAsia="仿宋" w:cs="仿宋"/>
          <w:color w:val="auto"/>
          <w:spacing w:val="0"/>
          <w:sz w:val="28"/>
          <w:szCs w:val="28"/>
          <w:highlight w:val="none"/>
        </w:rPr>
        <w:t>人提供的权属证</w:t>
      </w:r>
      <w:r>
        <w:rPr>
          <w:rFonts w:hint="eastAsia" w:ascii="仿宋" w:hAnsi="仿宋" w:eastAsia="仿宋" w:cs="仿宋"/>
          <w:color w:val="auto"/>
          <w:spacing w:val="0"/>
          <w:sz w:val="28"/>
          <w:szCs w:val="28"/>
          <w:highlight w:val="none"/>
          <w:lang w:eastAsia="zh-CN"/>
        </w:rPr>
        <w:t>明</w:t>
      </w:r>
      <w:r>
        <w:rPr>
          <w:rFonts w:hint="eastAsia" w:ascii="仿宋" w:hAnsi="仿宋" w:eastAsia="仿宋" w:cs="仿宋"/>
          <w:color w:val="auto"/>
          <w:spacing w:val="0"/>
          <w:sz w:val="28"/>
          <w:szCs w:val="28"/>
          <w:highlight w:val="none"/>
        </w:rPr>
        <w:t>及其他有关资料。</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20" w:firstLineChars="15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（四）注册房地产估价师掌握的有关市场资料及估价人员实地勘察、调查所获得的资料。</w:t>
      </w:r>
    </w:p>
    <w:p>
      <w:pPr>
        <w:pStyle w:val="4"/>
        <w:pageBreakBefore w:val="0"/>
        <w:widowControl w:val="0"/>
        <w:kinsoku/>
        <w:wordWrap/>
        <w:overflowPunct/>
        <w:topLinePunct w:val="0"/>
        <w:autoSpaceDE/>
        <w:autoSpaceDN/>
        <w:bidi w:val="0"/>
        <w:adjustRightInd/>
        <w:snapToGrid w:val="0"/>
        <w:spacing w:line="360" w:lineRule="auto"/>
        <w:ind w:right="105" w:rightChars="50"/>
        <w:contextualSpacing/>
        <w:textAlignment w:val="auto"/>
        <w:rPr>
          <w:rFonts w:hint="eastAsia" w:ascii="仿宋" w:hAnsi="仿宋" w:eastAsia="仿宋" w:cs="仿宋"/>
          <w:color w:val="auto"/>
          <w:spacing w:val="0"/>
          <w:sz w:val="28"/>
          <w:szCs w:val="28"/>
          <w:highlight w:val="none"/>
          <w:lang w:eastAsia="zh-CN"/>
        </w:rPr>
      </w:pPr>
      <w:bookmarkStart w:id="24" w:name="_Toc309572402"/>
      <w:bookmarkStart w:id="25" w:name="_Toc323216547"/>
      <w:r>
        <w:rPr>
          <w:rFonts w:hint="eastAsia" w:ascii="仿宋" w:hAnsi="仿宋" w:eastAsia="仿宋" w:cs="仿宋"/>
          <w:color w:val="auto"/>
          <w:spacing w:val="0"/>
          <w:sz w:val="28"/>
          <w:szCs w:val="28"/>
          <w:highlight w:val="none"/>
        </w:rPr>
        <w:t xml:space="preserve">    </w:t>
      </w:r>
      <w:bookmarkStart w:id="26" w:name="_Toc11175"/>
      <w:r>
        <w:rPr>
          <w:rFonts w:hint="eastAsia" w:ascii="仿宋" w:hAnsi="仿宋" w:eastAsia="仿宋" w:cs="仿宋"/>
          <w:color w:val="auto"/>
          <w:spacing w:val="0"/>
          <w:sz w:val="28"/>
          <w:szCs w:val="28"/>
          <w:highlight w:val="none"/>
        </w:rPr>
        <w:t>九、</w:t>
      </w:r>
      <w:bookmarkEnd w:id="24"/>
      <w:bookmarkEnd w:id="25"/>
      <w:r>
        <w:rPr>
          <w:rFonts w:hint="eastAsia" w:ascii="仿宋" w:hAnsi="仿宋" w:eastAsia="仿宋" w:cs="仿宋"/>
          <w:color w:val="auto"/>
          <w:spacing w:val="0"/>
          <w:sz w:val="28"/>
          <w:szCs w:val="28"/>
          <w:highlight w:val="none"/>
          <w:lang w:eastAsia="zh-CN"/>
        </w:rPr>
        <w:t>评估方法</w:t>
      </w:r>
      <w:bookmarkEnd w:id="26"/>
    </w:p>
    <w:p>
      <w:pPr>
        <w:pStyle w:val="6"/>
        <w:pageBreakBefore w:val="0"/>
        <w:widowControl w:val="0"/>
        <w:kinsoku/>
        <w:wordWrap/>
        <w:overflowPunct/>
        <w:topLinePunct w:val="0"/>
        <w:autoSpaceDE/>
        <w:autoSpaceDN/>
        <w:bidi w:val="0"/>
        <w:adjustRightInd/>
        <w:snapToGrid w:val="0"/>
        <w:spacing w:line="360" w:lineRule="auto"/>
        <w:ind w:left="105" w:leftChars="50" w:right="105" w:rightChars="50" w:firstLine="560" w:firstLineChars="200"/>
        <w:textAlignment w:val="auto"/>
        <w:rPr>
          <w:rFonts w:hint="eastAsia" w:ascii="仿宋" w:hAnsi="仿宋" w:eastAsia="仿宋" w:cs="仿宋"/>
          <w:color w:val="auto"/>
          <w:spacing w:val="0"/>
          <w:sz w:val="28"/>
          <w:szCs w:val="28"/>
          <w:highlight w:val="none"/>
        </w:rPr>
      </w:pPr>
      <w:bookmarkStart w:id="27" w:name="_Toc323216548"/>
      <w:r>
        <w:rPr>
          <w:rFonts w:hint="eastAsia" w:ascii="仿宋" w:hAnsi="仿宋" w:eastAsia="仿宋" w:cs="仿宋"/>
          <w:color w:val="auto"/>
          <w:spacing w:val="0"/>
          <w:sz w:val="28"/>
          <w:szCs w:val="28"/>
          <w:highlight w:val="none"/>
        </w:rPr>
        <w:t>估价人员认真分析所掌握的资料，根据《房地产估价规范》及周边</w:t>
      </w:r>
      <w:r>
        <w:rPr>
          <w:rFonts w:hint="eastAsia" w:ascii="仿宋" w:hAnsi="仿宋" w:eastAsia="仿宋" w:cs="仿宋"/>
          <w:color w:val="auto"/>
          <w:spacing w:val="0"/>
          <w:sz w:val="28"/>
          <w:szCs w:val="28"/>
          <w:highlight w:val="none"/>
          <w:lang w:val="en-US" w:eastAsia="zh-CN"/>
        </w:rPr>
        <w:t>类似</w:t>
      </w:r>
      <w:r>
        <w:rPr>
          <w:rFonts w:hint="eastAsia" w:ascii="仿宋" w:hAnsi="仿宋" w:eastAsia="仿宋" w:cs="仿宋"/>
          <w:color w:val="auto"/>
          <w:spacing w:val="0"/>
          <w:sz w:val="28"/>
          <w:szCs w:val="28"/>
          <w:highlight w:val="none"/>
        </w:rPr>
        <w:t>房地产市场状况，结合</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的具体特点及</w:t>
      </w:r>
      <w:r>
        <w:rPr>
          <w:rFonts w:hint="eastAsia" w:ascii="仿宋" w:hAnsi="仿宋" w:eastAsia="仿宋" w:cs="仿宋"/>
          <w:color w:val="auto"/>
          <w:spacing w:val="0"/>
          <w:sz w:val="28"/>
          <w:szCs w:val="28"/>
          <w:highlight w:val="none"/>
          <w:lang w:eastAsia="zh-CN"/>
        </w:rPr>
        <w:t>评估目的</w:t>
      </w:r>
      <w:r>
        <w:rPr>
          <w:rFonts w:hint="eastAsia" w:ascii="仿宋" w:hAnsi="仿宋" w:eastAsia="仿宋" w:cs="仿宋"/>
          <w:color w:val="auto"/>
          <w:spacing w:val="0"/>
          <w:sz w:val="28"/>
          <w:szCs w:val="28"/>
          <w:highlight w:val="none"/>
        </w:rPr>
        <w:t>，选取适当的</w:t>
      </w:r>
      <w:r>
        <w:rPr>
          <w:rFonts w:hint="eastAsia" w:ascii="仿宋" w:hAnsi="仿宋" w:eastAsia="仿宋" w:cs="仿宋"/>
          <w:color w:val="auto"/>
          <w:spacing w:val="0"/>
          <w:sz w:val="28"/>
          <w:szCs w:val="28"/>
          <w:highlight w:val="none"/>
          <w:lang w:eastAsia="zh-CN"/>
        </w:rPr>
        <w:t>评估方法</w:t>
      </w:r>
      <w:r>
        <w:rPr>
          <w:rFonts w:hint="eastAsia" w:ascii="仿宋" w:hAnsi="仿宋" w:eastAsia="仿宋" w:cs="仿宋"/>
          <w:color w:val="auto"/>
          <w:spacing w:val="0"/>
          <w:sz w:val="28"/>
          <w:szCs w:val="28"/>
          <w:highlight w:val="none"/>
        </w:rPr>
        <w:t>对</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进行评估。</w:t>
      </w:r>
    </w:p>
    <w:p>
      <w:pPr>
        <w:pStyle w:val="6"/>
        <w:pageBreakBefore w:val="0"/>
        <w:widowControl w:val="0"/>
        <w:kinsoku/>
        <w:wordWrap/>
        <w:overflowPunct/>
        <w:topLinePunct w:val="0"/>
        <w:autoSpaceDE/>
        <w:autoSpaceDN/>
        <w:bidi w:val="0"/>
        <w:adjustRightInd/>
        <w:snapToGrid w:val="0"/>
        <w:spacing w:line="360" w:lineRule="auto"/>
        <w:ind w:left="105" w:leftChars="50" w:right="105" w:rightChars="50" w:firstLine="560" w:firstLineChars="200"/>
        <w:textAlignment w:val="auto"/>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rPr>
        <w:t>（一）适用的</w:t>
      </w:r>
      <w:r>
        <w:rPr>
          <w:rFonts w:hint="eastAsia" w:ascii="仿宋" w:hAnsi="仿宋" w:eastAsia="仿宋" w:cs="仿宋"/>
          <w:color w:val="auto"/>
          <w:spacing w:val="0"/>
          <w:sz w:val="28"/>
          <w:szCs w:val="28"/>
          <w:highlight w:val="none"/>
          <w:lang w:eastAsia="zh-CN"/>
        </w:rPr>
        <w:t>评估方法</w:t>
      </w:r>
    </w:p>
    <w:p>
      <w:pPr>
        <w:pStyle w:val="6"/>
        <w:keepNext w:val="0"/>
        <w:keepLines w:val="0"/>
        <w:pageBreakBefore w:val="0"/>
        <w:widowControl w:val="0"/>
        <w:kinsoku/>
        <w:wordWrap/>
        <w:overflowPunct/>
        <w:topLinePunct w:val="0"/>
        <w:autoSpaceDE/>
        <w:autoSpaceDN/>
        <w:bidi w:val="0"/>
        <w:adjustRightInd/>
        <w:snapToGrid w:val="0"/>
        <w:spacing w:line="360" w:lineRule="auto"/>
        <w:ind w:left="105" w:leftChars="50" w:right="105" w:rightChars="50"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本报告</w:t>
      </w:r>
      <w:r>
        <w:rPr>
          <w:rFonts w:hint="eastAsia" w:ascii="仿宋" w:hAnsi="仿宋" w:eastAsia="仿宋" w:cs="仿宋"/>
          <w:color w:val="auto"/>
          <w:spacing w:val="0"/>
          <w:sz w:val="28"/>
          <w:szCs w:val="28"/>
          <w:highlight w:val="none"/>
          <w:lang w:eastAsia="zh-CN"/>
        </w:rPr>
        <w:t>评估目的</w:t>
      </w:r>
      <w:r>
        <w:rPr>
          <w:rFonts w:hint="eastAsia" w:ascii="仿宋" w:hAnsi="仿宋" w:eastAsia="仿宋" w:cs="仿宋"/>
          <w:color w:val="auto"/>
          <w:spacing w:val="0"/>
          <w:sz w:val="28"/>
          <w:szCs w:val="28"/>
          <w:highlight w:val="none"/>
        </w:rPr>
        <w:t>是为确定房地产</w:t>
      </w:r>
      <w:r>
        <w:rPr>
          <w:rFonts w:hint="eastAsia" w:ascii="仿宋" w:hAnsi="仿宋" w:eastAsia="仿宋" w:cs="仿宋"/>
          <w:color w:val="auto"/>
          <w:spacing w:val="0"/>
          <w:sz w:val="28"/>
          <w:szCs w:val="28"/>
          <w:highlight w:val="none"/>
          <w:lang w:eastAsia="zh-CN"/>
        </w:rPr>
        <w:t>市场价格</w:t>
      </w:r>
      <w:r>
        <w:rPr>
          <w:rFonts w:hint="eastAsia" w:ascii="仿宋" w:hAnsi="仿宋" w:eastAsia="仿宋" w:cs="仿宋"/>
          <w:color w:val="auto"/>
          <w:spacing w:val="0"/>
          <w:sz w:val="28"/>
          <w:szCs w:val="28"/>
          <w:highlight w:val="none"/>
        </w:rPr>
        <w:t>提供参考，</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的</w:t>
      </w:r>
      <w:r>
        <w:rPr>
          <w:rFonts w:hint="eastAsia" w:ascii="仿宋" w:hAnsi="仿宋" w:eastAsia="仿宋" w:cs="仿宋"/>
          <w:color w:val="auto"/>
          <w:spacing w:val="0"/>
          <w:sz w:val="28"/>
          <w:szCs w:val="28"/>
          <w:highlight w:val="none"/>
          <w:lang w:eastAsia="zh-CN"/>
        </w:rPr>
        <w:t>规划用途</w:t>
      </w:r>
      <w:r>
        <w:rPr>
          <w:rFonts w:hint="eastAsia" w:ascii="仿宋" w:hAnsi="仿宋" w:eastAsia="仿宋" w:cs="仿宋"/>
          <w:color w:val="auto"/>
          <w:spacing w:val="0"/>
          <w:sz w:val="28"/>
          <w:szCs w:val="28"/>
          <w:highlight w:val="none"/>
        </w:rPr>
        <w:t>为</w:t>
      </w:r>
      <w:r>
        <w:rPr>
          <w:rFonts w:hint="eastAsia" w:ascii="仿宋" w:hAnsi="仿宋" w:eastAsia="仿宋" w:cs="仿宋"/>
          <w:color w:val="auto"/>
          <w:spacing w:val="0"/>
          <w:sz w:val="28"/>
          <w:szCs w:val="28"/>
          <w:highlight w:val="none"/>
          <w:lang w:eastAsia="zh-CN"/>
        </w:rPr>
        <w:t>住宅</w:t>
      </w:r>
      <w:r>
        <w:rPr>
          <w:rFonts w:hint="eastAsia" w:ascii="仿宋" w:hAnsi="仿宋" w:eastAsia="仿宋" w:cs="仿宋"/>
          <w:color w:val="auto"/>
          <w:spacing w:val="0"/>
          <w:sz w:val="28"/>
          <w:szCs w:val="28"/>
          <w:highlight w:val="none"/>
        </w:rPr>
        <w:t>，鉴于</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所在地区房地产市场发育充分，区域内类似物业的市场交易实例及市场租赁案例较多，宜采用比较法与收益法进行评估。估价人员对两种方法测算的结果综合分析后，确定</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的评估价格。</w:t>
      </w:r>
    </w:p>
    <w:p>
      <w:pPr>
        <w:pStyle w:val="6"/>
        <w:keepNext w:val="0"/>
        <w:keepLines w:val="0"/>
        <w:pageBreakBefore w:val="0"/>
        <w:widowControl w:val="0"/>
        <w:kinsoku/>
        <w:wordWrap/>
        <w:overflowPunct/>
        <w:topLinePunct w:val="0"/>
        <w:autoSpaceDE/>
        <w:autoSpaceDN/>
        <w:bidi w:val="0"/>
        <w:adjustRightInd/>
        <w:snapToGrid w:val="0"/>
        <w:spacing w:line="360" w:lineRule="auto"/>
        <w:ind w:left="105" w:leftChars="50" w:right="105" w:rightChars="50" w:firstLine="560" w:firstLineChars="200"/>
        <w:textAlignment w:val="auto"/>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rPr>
        <w:t>（二）不适用的</w:t>
      </w:r>
      <w:r>
        <w:rPr>
          <w:rFonts w:hint="eastAsia" w:ascii="仿宋" w:hAnsi="仿宋" w:eastAsia="仿宋" w:cs="仿宋"/>
          <w:color w:val="auto"/>
          <w:spacing w:val="0"/>
          <w:sz w:val="28"/>
          <w:szCs w:val="28"/>
          <w:highlight w:val="none"/>
          <w:lang w:eastAsia="zh-CN"/>
        </w:rPr>
        <w:t>评估方法</w:t>
      </w:r>
    </w:p>
    <w:p>
      <w:pPr>
        <w:pStyle w:val="6"/>
        <w:keepNext w:val="0"/>
        <w:keepLines w:val="0"/>
        <w:pageBreakBefore w:val="0"/>
        <w:widowControl w:val="0"/>
        <w:kinsoku/>
        <w:wordWrap/>
        <w:overflowPunct/>
        <w:topLinePunct w:val="0"/>
        <w:autoSpaceDE/>
        <w:autoSpaceDN/>
        <w:bidi w:val="0"/>
        <w:adjustRightInd/>
        <w:snapToGrid w:val="0"/>
        <w:spacing w:line="360" w:lineRule="auto"/>
        <w:ind w:left="105" w:leftChars="50" w:right="105" w:rightChars="50" w:firstLine="560" w:firstLineChars="200"/>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现时住宅房地产价格与成本关联性弱，房地产的开发成本不能准确反映房地产的实际</w:t>
      </w:r>
      <w:r>
        <w:rPr>
          <w:rFonts w:hint="eastAsia" w:ascii="仿宋" w:hAnsi="仿宋" w:eastAsia="仿宋" w:cs="仿宋"/>
          <w:color w:val="auto"/>
          <w:spacing w:val="0"/>
          <w:sz w:val="28"/>
          <w:szCs w:val="28"/>
          <w:highlight w:val="none"/>
          <w:lang w:eastAsia="zh-CN"/>
        </w:rPr>
        <w:t>市场价格</w:t>
      </w:r>
      <w:r>
        <w:rPr>
          <w:rFonts w:hint="eastAsia" w:ascii="仿宋" w:hAnsi="仿宋" w:eastAsia="仿宋" w:cs="仿宋"/>
          <w:color w:val="auto"/>
          <w:spacing w:val="0"/>
          <w:sz w:val="28"/>
          <w:szCs w:val="28"/>
          <w:highlight w:val="none"/>
        </w:rPr>
        <w:t>，故不适宜采用成本法作为评估方法。另外，</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属于建成并已投入使用的物业，非待开发建设物业</w:t>
      </w:r>
      <w:r>
        <w:rPr>
          <w:rFonts w:hint="eastAsia" w:ascii="仿宋" w:hAnsi="仿宋" w:eastAsia="仿宋" w:cs="仿宋"/>
          <w:color w:val="auto"/>
          <w:spacing w:val="0"/>
          <w:sz w:val="28"/>
          <w:szCs w:val="28"/>
          <w:highlight w:val="none"/>
          <w:lang w:eastAsia="zh-CN"/>
        </w:rPr>
        <w:t>，</w:t>
      </w:r>
      <w:r>
        <w:rPr>
          <w:rFonts w:hint="eastAsia" w:ascii="仿宋" w:hAnsi="仿宋" w:eastAsia="仿宋" w:cs="仿宋"/>
          <w:color w:val="auto"/>
          <w:spacing w:val="0"/>
          <w:sz w:val="28"/>
          <w:szCs w:val="28"/>
          <w:highlight w:val="none"/>
        </w:rPr>
        <w:t>不产生后续开发成本，故不适宜采用假设开发法</w:t>
      </w:r>
      <w:r>
        <w:rPr>
          <w:rFonts w:hint="eastAsia" w:ascii="仿宋" w:hAnsi="仿宋" w:eastAsia="仿宋" w:cs="仿宋"/>
          <w:color w:val="auto"/>
          <w:spacing w:val="0"/>
          <w:sz w:val="28"/>
          <w:szCs w:val="28"/>
          <w:highlight w:val="none"/>
          <w:lang w:val="en-US" w:eastAsia="zh-CN"/>
        </w:rPr>
        <w:t>和基准地价修正法</w:t>
      </w:r>
      <w:r>
        <w:rPr>
          <w:rFonts w:hint="eastAsia" w:ascii="仿宋" w:hAnsi="仿宋" w:eastAsia="仿宋" w:cs="仿宋"/>
          <w:color w:val="auto"/>
          <w:spacing w:val="0"/>
          <w:sz w:val="28"/>
          <w:szCs w:val="28"/>
          <w:highlight w:val="none"/>
        </w:rPr>
        <w:t>作为评估方法。</w:t>
      </w:r>
    </w:p>
    <w:p>
      <w:pPr>
        <w:pStyle w:val="6"/>
        <w:keepNext w:val="0"/>
        <w:keepLines w:val="0"/>
        <w:pageBreakBefore w:val="0"/>
        <w:widowControl w:val="0"/>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eastAsia="zh-CN"/>
        </w:rPr>
        <w:t>（</w:t>
      </w:r>
      <w:r>
        <w:rPr>
          <w:rFonts w:hint="eastAsia" w:ascii="仿宋" w:hAnsi="仿宋" w:eastAsia="仿宋" w:cs="仿宋"/>
          <w:color w:val="auto"/>
          <w:spacing w:val="0"/>
          <w:sz w:val="28"/>
          <w:szCs w:val="28"/>
          <w:highlight w:val="none"/>
          <w:lang w:val="en-US" w:eastAsia="zh-CN"/>
        </w:rPr>
        <w:t>三）估价技术路线：</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bookmarkStart w:id="28" w:name="_Toc13430"/>
      <w:r>
        <w:rPr>
          <w:rFonts w:hint="eastAsia" w:ascii="仿宋" w:hAnsi="仿宋" w:eastAsia="仿宋" w:cs="仿宋"/>
          <w:color w:val="auto"/>
          <w:spacing w:val="0"/>
          <w:sz w:val="28"/>
          <w:szCs w:val="28"/>
          <w:highlight w:val="none"/>
          <w:lang w:val="en-US" w:eastAsia="zh-CN"/>
        </w:rPr>
        <w:t>1.比较法：</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比较法是</w:t>
      </w:r>
      <w:r>
        <w:rPr>
          <w:rFonts w:hint="eastAsia" w:ascii="仿宋" w:hAnsi="仿宋" w:eastAsia="仿宋" w:cs="仿宋"/>
          <w:i w:val="0"/>
          <w:color w:val="auto"/>
          <w:spacing w:val="0"/>
          <w:kern w:val="0"/>
          <w:sz w:val="28"/>
          <w:szCs w:val="28"/>
          <w:highlight w:val="none"/>
          <w:u w:val="none"/>
          <w:lang w:val="en-US" w:eastAsia="zh-CN" w:bidi="ar"/>
        </w:rPr>
        <w:t>选取一定数量的可比实例，将它们与估价对象进行比较，根据其间的差异对可比实例成交间隔进行处理后得到的估价对象的价值或价格的方法。</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textAlignment w:val="auto"/>
        <w:rPr>
          <w:rFonts w:hint="default"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运用比较法进行测算的基本公式为:</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1925" w:leftChars="250" w:right="105" w:rightChars="50" w:hanging="1400" w:hangingChars="5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比准价格=</w:t>
      </w:r>
      <w:r>
        <w:rPr>
          <w:rFonts w:hint="eastAsia" w:ascii="仿宋" w:hAnsi="仿宋" w:eastAsia="仿宋" w:cs="仿宋"/>
          <w:color w:val="auto"/>
          <w:spacing w:val="0"/>
          <w:sz w:val="28"/>
          <w:szCs w:val="28"/>
          <w:highlight w:val="none"/>
        </w:rPr>
        <w:t>可比实例价格×交易情况修正×市场状况</w:t>
      </w:r>
      <w:r>
        <w:rPr>
          <w:rFonts w:hint="eastAsia" w:ascii="仿宋" w:hAnsi="仿宋" w:eastAsia="仿宋" w:cs="仿宋"/>
          <w:color w:val="auto"/>
          <w:spacing w:val="0"/>
          <w:sz w:val="28"/>
          <w:szCs w:val="28"/>
          <w:highlight w:val="none"/>
          <w:lang w:val="en-US" w:eastAsia="zh-CN"/>
        </w:rPr>
        <w:t>调整</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1922" w:leftChars="782" w:right="105" w:rightChars="50" w:hanging="280" w:hangingChars="1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rPr>
        <w:t>×区位状况</w:t>
      </w:r>
      <w:r>
        <w:rPr>
          <w:rFonts w:hint="eastAsia" w:ascii="仿宋" w:hAnsi="仿宋" w:eastAsia="仿宋" w:cs="仿宋"/>
          <w:color w:val="auto"/>
          <w:spacing w:val="0"/>
          <w:sz w:val="28"/>
          <w:szCs w:val="28"/>
          <w:highlight w:val="none"/>
          <w:lang w:val="en-US" w:eastAsia="zh-CN"/>
        </w:rPr>
        <w:t>调整</w:t>
      </w:r>
      <w:r>
        <w:rPr>
          <w:rFonts w:hint="eastAsia" w:ascii="仿宋" w:hAnsi="仿宋" w:eastAsia="仿宋" w:cs="仿宋"/>
          <w:color w:val="auto"/>
          <w:spacing w:val="0"/>
          <w:sz w:val="28"/>
          <w:szCs w:val="28"/>
          <w:highlight w:val="none"/>
        </w:rPr>
        <w:t>×实物状况</w:t>
      </w:r>
      <w:r>
        <w:rPr>
          <w:rFonts w:hint="eastAsia" w:ascii="仿宋" w:hAnsi="仿宋" w:eastAsia="仿宋" w:cs="仿宋"/>
          <w:color w:val="auto"/>
          <w:spacing w:val="0"/>
          <w:sz w:val="28"/>
          <w:szCs w:val="28"/>
          <w:highlight w:val="none"/>
          <w:lang w:val="en-US" w:eastAsia="zh-CN"/>
        </w:rPr>
        <w:t>调整</w:t>
      </w:r>
      <w:r>
        <w:rPr>
          <w:rFonts w:hint="eastAsia" w:ascii="仿宋" w:hAnsi="仿宋" w:eastAsia="仿宋" w:cs="仿宋"/>
          <w:color w:val="auto"/>
          <w:spacing w:val="0"/>
          <w:sz w:val="28"/>
          <w:szCs w:val="28"/>
          <w:highlight w:val="none"/>
        </w:rPr>
        <w:t>×权益状况</w:t>
      </w:r>
      <w:r>
        <w:rPr>
          <w:rFonts w:hint="eastAsia" w:ascii="仿宋" w:hAnsi="仿宋" w:eastAsia="仿宋" w:cs="仿宋"/>
          <w:color w:val="auto"/>
          <w:spacing w:val="0"/>
          <w:sz w:val="28"/>
          <w:szCs w:val="28"/>
          <w:highlight w:val="none"/>
          <w:lang w:val="en-US" w:eastAsia="zh-CN"/>
        </w:rPr>
        <w:t>调整</w:t>
      </w:r>
    </w:p>
    <w:p>
      <w:pPr>
        <w:pStyle w:val="6"/>
        <w:keepNext w:val="0"/>
        <w:keepLines w:val="0"/>
        <w:pageBreakBefore w:val="0"/>
        <w:widowControl w:val="0"/>
        <w:numPr>
          <w:ilvl w:val="0"/>
          <w:numId w:val="0"/>
        </w:numPr>
        <w:kinsoku/>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2.收益法：</w:t>
      </w:r>
    </w:p>
    <w:p>
      <w:pPr>
        <w:pStyle w:val="6"/>
        <w:keepNext w:val="0"/>
        <w:keepLines w:val="0"/>
        <w:pageBreakBefore w:val="0"/>
        <w:widowControl w:val="0"/>
        <w:numPr>
          <w:ilvl w:val="0"/>
          <w:numId w:val="0"/>
        </w:numPr>
        <w:kinsoku/>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收益法是</w:t>
      </w:r>
      <w:r>
        <w:rPr>
          <w:rFonts w:hint="eastAsia" w:ascii="仿宋" w:hAnsi="仿宋" w:eastAsia="仿宋" w:cs="仿宋"/>
          <w:i w:val="0"/>
          <w:color w:val="auto"/>
          <w:spacing w:val="0"/>
          <w:kern w:val="0"/>
          <w:sz w:val="28"/>
          <w:szCs w:val="28"/>
          <w:highlight w:val="none"/>
          <w:u w:val="none"/>
          <w:lang w:val="en-US" w:eastAsia="zh-CN" w:bidi="ar"/>
        </w:rPr>
        <w:t>预测估价对象的未来收益，利用报酬率或资本化率、收益乘数将未来收益转换为价值得到估价对象价值或价格的方法。</w:t>
      </w:r>
    </w:p>
    <w:p>
      <w:pPr>
        <w:pStyle w:val="6"/>
        <w:keepNext w:val="0"/>
        <w:keepLines w:val="0"/>
        <w:pageBreakBefore w:val="0"/>
        <w:widowControl w:val="0"/>
        <w:numPr>
          <w:ilvl w:val="0"/>
          <w:numId w:val="0"/>
        </w:numPr>
        <w:kinsoku/>
        <w:wordWrap/>
        <w:overflowPunct/>
        <w:topLinePunct w:val="0"/>
        <w:autoSpaceDE/>
        <w:autoSpaceDN/>
        <w:bidi w:val="0"/>
        <w:snapToGrid w:val="0"/>
        <w:spacing w:line="360" w:lineRule="auto"/>
        <w:ind w:leftChars="250" w:right="105" w:rightChars="50"/>
        <w:textAlignment w:val="auto"/>
        <w:rPr>
          <w:rFonts w:hint="eastAsia" w:ascii="仿宋" w:hAnsi="仿宋" w:eastAsia="仿宋"/>
          <w:color w:val="auto"/>
          <w:spacing w:val="0"/>
          <w:sz w:val="28"/>
          <w:lang w:val="en-US" w:eastAsia="zh-CN"/>
        </w:rPr>
      </w:pPr>
      <w:r>
        <w:rPr>
          <w:rFonts w:hint="eastAsia" w:ascii="仿宋" w:hAnsi="仿宋" w:eastAsia="仿宋"/>
          <w:color w:val="auto"/>
          <w:spacing w:val="0"/>
          <w:sz w:val="28"/>
          <w:lang w:val="en-US" w:eastAsia="zh-CN"/>
        </w:rPr>
        <w:t>运用收益法进行测算的基本公式为</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 w:hAnsi="仿宋" w:eastAsia="仿宋"/>
          <w:bCs/>
          <w:color w:val="auto"/>
          <w:spacing w:val="0"/>
          <w:sz w:val="28"/>
          <w:szCs w:val="28"/>
        </w:rPr>
      </w:pPr>
      <w:r>
        <w:rPr>
          <w:rFonts w:hint="eastAsia" w:ascii="仿宋" w:hAnsi="仿宋" w:eastAsia="仿宋"/>
          <w:bCs/>
          <w:color w:val="auto"/>
          <w:spacing w:val="0"/>
          <w:sz w:val="28"/>
          <w:szCs w:val="28"/>
        </w:rPr>
        <w:t>V=[</w:t>
      </w:r>
      <w:r>
        <w:rPr>
          <w:rFonts w:hint="eastAsia" w:ascii="仿宋" w:hAnsi="仿宋" w:eastAsia="仿宋" w:cs="仿宋"/>
          <w:color w:val="auto"/>
          <w:spacing w:val="0"/>
          <w:sz w:val="28"/>
          <w:szCs w:val="28"/>
        </w:rPr>
        <w:t>A</w:t>
      </w:r>
      <w:r>
        <w:rPr>
          <w:rFonts w:hint="eastAsia" w:ascii="仿宋" w:hAnsi="仿宋" w:eastAsia="仿宋" w:cs="仿宋"/>
          <w:color w:val="auto"/>
          <w:spacing w:val="0"/>
          <w:sz w:val="28"/>
          <w:szCs w:val="28"/>
          <w:vertAlign w:val="subscript"/>
          <w:lang w:val="en-US" w:eastAsia="zh-CN"/>
        </w:rPr>
        <w:t>1</w:t>
      </w:r>
      <w:r>
        <w:rPr>
          <w:rFonts w:hint="eastAsia" w:ascii="仿宋" w:hAnsi="仿宋" w:eastAsia="仿宋"/>
          <w:bCs/>
          <w:color w:val="auto"/>
          <w:spacing w:val="0"/>
          <w:sz w:val="28"/>
          <w:szCs w:val="28"/>
          <w:lang w:val="en-US" w:eastAsia="zh-CN"/>
        </w:rPr>
        <w:t>/</w:t>
      </w:r>
      <w:r>
        <w:rPr>
          <w:rFonts w:hint="eastAsia" w:ascii="仿宋" w:hAnsi="仿宋" w:eastAsia="仿宋"/>
          <w:bCs/>
          <w:color w:val="auto"/>
          <w:spacing w:val="0"/>
          <w:sz w:val="28"/>
          <w:szCs w:val="28"/>
        </w:rPr>
        <w:t>(</w:t>
      </w:r>
      <w:r>
        <w:rPr>
          <w:rFonts w:hint="eastAsia" w:ascii="仿宋" w:hAnsi="仿宋" w:eastAsia="仿宋"/>
          <w:bCs/>
          <w:color w:val="auto"/>
          <w:spacing w:val="0"/>
          <w:sz w:val="28"/>
          <w:szCs w:val="28"/>
          <w:lang w:val="en-US" w:eastAsia="zh-CN"/>
        </w:rPr>
        <w:t>Y</w:t>
      </w:r>
      <w:r>
        <w:rPr>
          <w:rFonts w:hint="eastAsia" w:ascii="仿宋" w:hAnsi="仿宋" w:eastAsia="仿宋"/>
          <w:bCs/>
          <w:color w:val="auto"/>
          <w:spacing w:val="0"/>
          <w:sz w:val="28"/>
          <w:szCs w:val="28"/>
        </w:rPr>
        <w:t xml:space="preserve">-g)]×{1-[(1+g) </w:t>
      </w:r>
      <w:r>
        <w:rPr>
          <w:rFonts w:hint="eastAsia" w:ascii="仿宋" w:hAnsi="仿宋" w:eastAsia="仿宋"/>
          <w:bCs/>
          <w:color w:val="auto"/>
          <w:spacing w:val="0"/>
          <w:sz w:val="28"/>
          <w:szCs w:val="28"/>
          <w:lang w:val="en-US" w:eastAsia="zh-CN"/>
        </w:rPr>
        <w:t>/</w:t>
      </w:r>
      <w:r>
        <w:rPr>
          <w:rFonts w:hint="eastAsia" w:ascii="仿宋" w:hAnsi="仿宋" w:eastAsia="仿宋"/>
          <w:bCs/>
          <w:color w:val="auto"/>
          <w:spacing w:val="0"/>
          <w:sz w:val="28"/>
          <w:szCs w:val="28"/>
        </w:rPr>
        <w:t>（1+</w:t>
      </w:r>
      <w:r>
        <w:rPr>
          <w:rFonts w:hint="eastAsia" w:ascii="仿宋" w:hAnsi="仿宋" w:eastAsia="仿宋"/>
          <w:bCs/>
          <w:color w:val="auto"/>
          <w:spacing w:val="0"/>
          <w:sz w:val="28"/>
          <w:szCs w:val="28"/>
          <w:lang w:val="en-US" w:eastAsia="zh-CN"/>
        </w:rPr>
        <w:t>Y</w:t>
      </w:r>
      <w:r>
        <w:rPr>
          <w:rFonts w:hint="eastAsia" w:ascii="仿宋" w:hAnsi="仿宋" w:eastAsia="仿宋"/>
          <w:bCs/>
          <w:color w:val="auto"/>
          <w:spacing w:val="0"/>
          <w:sz w:val="28"/>
          <w:szCs w:val="28"/>
        </w:rPr>
        <w:t>）]</w:t>
      </w:r>
      <w:r>
        <w:rPr>
          <w:rFonts w:hint="eastAsia" w:ascii="仿宋" w:hAnsi="仿宋" w:eastAsia="仿宋"/>
          <w:bCs/>
          <w:color w:val="auto"/>
          <w:spacing w:val="0"/>
          <w:sz w:val="28"/>
          <w:szCs w:val="28"/>
          <w:vertAlign w:val="superscript"/>
        </w:rPr>
        <w:t>n</w:t>
      </w:r>
      <w:r>
        <w:rPr>
          <w:rFonts w:hint="eastAsia" w:ascii="仿宋" w:hAnsi="仿宋" w:eastAsia="仿宋"/>
          <w:bCs/>
          <w:color w:val="auto"/>
          <w:spacing w:val="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仿宋" w:hAnsi="仿宋" w:eastAsia="仿宋"/>
          <w:bCs/>
          <w:color w:val="auto"/>
          <w:spacing w:val="0"/>
          <w:sz w:val="28"/>
          <w:szCs w:val="28"/>
          <w:lang w:val="en-US" w:eastAsia="zh-CN"/>
        </w:rPr>
      </w:pPr>
      <w:r>
        <w:rPr>
          <w:rFonts w:hint="eastAsia" w:ascii="仿宋" w:hAnsi="仿宋" w:eastAsia="仿宋"/>
          <w:bCs/>
          <w:color w:val="auto"/>
          <w:spacing w:val="0"/>
          <w:sz w:val="28"/>
          <w:szCs w:val="28"/>
        </w:rPr>
        <w:t>公式中： V—</w:t>
      </w:r>
      <w:r>
        <w:rPr>
          <w:rFonts w:hint="eastAsia" w:ascii="仿宋" w:hAnsi="仿宋" w:eastAsia="仿宋"/>
          <w:bCs/>
          <w:color w:val="auto"/>
          <w:spacing w:val="0"/>
          <w:sz w:val="28"/>
          <w:szCs w:val="28"/>
          <w:lang w:val="en-US" w:eastAsia="zh-CN"/>
        </w:rPr>
        <w:t>收益价格（元或元/㎡）；</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 w:hAnsi="仿宋" w:eastAsia="仿宋"/>
          <w:bCs/>
          <w:color w:val="auto"/>
          <w:spacing w:val="0"/>
          <w:sz w:val="28"/>
          <w:szCs w:val="28"/>
        </w:rPr>
      </w:pPr>
      <w:r>
        <w:rPr>
          <w:rFonts w:hint="eastAsia" w:ascii="仿宋" w:hAnsi="仿宋" w:eastAsia="仿宋"/>
          <w:bCs/>
          <w:color w:val="auto"/>
          <w:spacing w:val="0"/>
          <w:sz w:val="28"/>
          <w:szCs w:val="28"/>
        </w:rPr>
        <w:t xml:space="preserve">    </w:t>
      </w:r>
      <w:r>
        <w:rPr>
          <w:rFonts w:hint="eastAsia" w:ascii="仿宋" w:hAnsi="仿宋" w:eastAsia="仿宋"/>
          <w:bCs/>
          <w:color w:val="auto"/>
          <w:spacing w:val="0"/>
          <w:sz w:val="28"/>
          <w:szCs w:val="28"/>
          <w:lang w:val="en-US" w:eastAsia="zh-CN"/>
        </w:rPr>
        <w:t xml:space="preserve">    </w:t>
      </w:r>
      <w:r>
        <w:rPr>
          <w:rFonts w:hint="eastAsia" w:ascii="仿宋" w:hAnsi="仿宋" w:eastAsia="仿宋"/>
          <w:bCs/>
          <w:color w:val="auto"/>
          <w:spacing w:val="0"/>
          <w:sz w:val="28"/>
          <w:szCs w:val="28"/>
        </w:rPr>
        <w:t xml:space="preserve"> </w:t>
      </w:r>
      <w:r>
        <w:rPr>
          <w:rFonts w:hint="eastAsia" w:ascii="仿宋" w:hAnsi="仿宋" w:eastAsia="仿宋" w:cs="仿宋"/>
          <w:color w:val="auto"/>
          <w:spacing w:val="0"/>
          <w:sz w:val="28"/>
          <w:szCs w:val="28"/>
        </w:rPr>
        <w:t>A</w:t>
      </w:r>
      <w:r>
        <w:rPr>
          <w:rFonts w:hint="eastAsia" w:ascii="仿宋" w:hAnsi="仿宋" w:eastAsia="仿宋" w:cs="仿宋"/>
          <w:color w:val="auto"/>
          <w:spacing w:val="0"/>
          <w:sz w:val="28"/>
          <w:szCs w:val="28"/>
          <w:vertAlign w:val="subscript"/>
          <w:lang w:val="en-US" w:eastAsia="zh-CN"/>
        </w:rPr>
        <w:t>1</w:t>
      </w:r>
      <w:r>
        <w:rPr>
          <w:rFonts w:hint="eastAsia" w:ascii="仿宋" w:hAnsi="仿宋" w:eastAsia="仿宋"/>
          <w:bCs/>
          <w:color w:val="auto"/>
          <w:spacing w:val="0"/>
          <w:sz w:val="28"/>
          <w:szCs w:val="28"/>
        </w:rPr>
        <w:t>—未来第1年的净收益</w:t>
      </w:r>
      <w:r>
        <w:rPr>
          <w:rFonts w:hint="eastAsia" w:ascii="仿宋" w:hAnsi="仿宋" w:eastAsia="仿宋"/>
          <w:bCs/>
          <w:color w:val="auto"/>
          <w:spacing w:val="0"/>
          <w:sz w:val="28"/>
          <w:szCs w:val="28"/>
          <w:lang w:val="en-US" w:eastAsia="zh-CN"/>
        </w:rPr>
        <w:t>（元或元/㎡）；</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仿宋" w:hAnsi="仿宋" w:eastAsia="仿宋"/>
          <w:bCs/>
          <w:color w:val="auto"/>
          <w:spacing w:val="0"/>
          <w:sz w:val="28"/>
          <w:szCs w:val="28"/>
          <w:lang w:val="en-US" w:eastAsia="zh-CN"/>
        </w:rPr>
      </w:pPr>
      <w:r>
        <w:rPr>
          <w:rFonts w:hint="eastAsia" w:ascii="仿宋" w:hAnsi="仿宋" w:eastAsia="仿宋"/>
          <w:bCs/>
          <w:color w:val="auto"/>
          <w:spacing w:val="0"/>
          <w:sz w:val="28"/>
          <w:szCs w:val="28"/>
        </w:rPr>
        <w:t xml:space="preserve">  </w:t>
      </w:r>
      <w:r>
        <w:rPr>
          <w:rFonts w:hint="eastAsia" w:ascii="仿宋" w:hAnsi="仿宋" w:eastAsia="仿宋"/>
          <w:bCs/>
          <w:color w:val="auto"/>
          <w:spacing w:val="0"/>
          <w:sz w:val="28"/>
          <w:szCs w:val="28"/>
          <w:lang w:val="en-US" w:eastAsia="zh-CN"/>
        </w:rPr>
        <w:t xml:space="preserve">    </w:t>
      </w:r>
      <w:r>
        <w:rPr>
          <w:rFonts w:hint="eastAsia" w:ascii="仿宋" w:hAnsi="仿宋" w:eastAsia="仿宋"/>
          <w:bCs/>
          <w:color w:val="auto"/>
          <w:spacing w:val="0"/>
          <w:sz w:val="28"/>
          <w:szCs w:val="28"/>
        </w:rPr>
        <w:t xml:space="preserve">   </w:t>
      </w:r>
      <w:r>
        <w:rPr>
          <w:rFonts w:hint="eastAsia" w:ascii="仿宋" w:hAnsi="仿宋" w:eastAsia="仿宋"/>
          <w:bCs/>
          <w:color w:val="auto"/>
          <w:spacing w:val="0"/>
          <w:sz w:val="28"/>
          <w:szCs w:val="28"/>
          <w:lang w:val="en-US" w:eastAsia="zh-CN"/>
        </w:rPr>
        <w:t>Y</w:t>
      </w:r>
      <w:r>
        <w:rPr>
          <w:rFonts w:hint="eastAsia" w:ascii="仿宋" w:hAnsi="仿宋" w:eastAsia="仿宋"/>
          <w:bCs/>
          <w:color w:val="auto"/>
          <w:spacing w:val="0"/>
          <w:sz w:val="28"/>
          <w:szCs w:val="28"/>
        </w:rPr>
        <w:t>—资本化率</w:t>
      </w:r>
      <w:r>
        <w:rPr>
          <w:rFonts w:hint="eastAsia" w:ascii="仿宋" w:hAnsi="仿宋" w:eastAsia="仿宋"/>
          <w:bCs/>
          <w:color w:val="auto"/>
          <w:spacing w:val="0"/>
          <w:sz w:val="28"/>
          <w:szCs w:val="28"/>
          <w:lang w:eastAsia="zh-CN"/>
        </w:rPr>
        <w:t>（</w:t>
      </w:r>
      <w:r>
        <w:rPr>
          <w:rFonts w:hint="eastAsia" w:ascii="仿宋" w:hAnsi="仿宋" w:eastAsia="仿宋"/>
          <w:bCs/>
          <w:color w:val="auto"/>
          <w:spacing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 w:hAnsi="仿宋" w:eastAsia="仿宋"/>
          <w:bCs/>
          <w:color w:val="auto"/>
          <w:spacing w:val="0"/>
          <w:sz w:val="28"/>
          <w:szCs w:val="28"/>
          <w:lang w:eastAsia="zh-CN"/>
        </w:rPr>
      </w:pPr>
      <w:r>
        <w:rPr>
          <w:rFonts w:hint="eastAsia" w:ascii="仿宋" w:hAnsi="仿宋" w:eastAsia="仿宋"/>
          <w:bCs/>
          <w:color w:val="auto"/>
          <w:spacing w:val="0"/>
          <w:sz w:val="28"/>
          <w:szCs w:val="28"/>
        </w:rPr>
        <w:t xml:space="preserve">    </w:t>
      </w:r>
      <w:r>
        <w:rPr>
          <w:rFonts w:hint="eastAsia" w:ascii="仿宋" w:hAnsi="仿宋" w:eastAsia="仿宋"/>
          <w:bCs/>
          <w:color w:val="auto"/>
          <w:spacing w:val="0"/>
          <w:sz w:val="28"/>
          <w:szCs w:val="28"/>
          <w:lang w:val="en-US" w:eastAsia="zh-CN"/>
        </w:rPr>
        <w:t xml:space="preserve">    </w:t>
      </w:r>
      <w:r>
        <w:rPr>
          <w:rFonts w:hint="eastAsia" w:ascii="仿宋" w:hAnsi="仿宋" w:eastAsia="仿宋"/>
          <w:bCs/>
          <w:color w:val="auto"/>
          <w:spacing w:val="0"/>
          <w:sz w:val="28"/>
          <w:szCs w:val="28"/>
        </w:rPr>
        <w:t xml:space="preserve"> n—未来可获收益的年限（年）</w:t>
      </w:r>
      <w:r>
        <w:rPr>
          <w:rFonts w:hint="eastAsia" w:ascii="仿宋" w:hAnsi="仿宋" w:eastAsia="仿宋"/>
          <w:bCs/>
          <w:color w:val="auto"/>
          <w:spacing w:val="0"/>
          <w:sz w:val="28"/>
          <w:szCs w:val="28"/>
          <w:lang w:eastAsia="zh-CN"/>
        </w:rPr>
        <w:t>；</w:t>
      </w:r>
    </w:p>
    <w:p>
      <w:pPr>
        <w:keepNext w:val="0"/>
        <w:keepLines w:val="0"/>
        <w:pageBreakBefore w:val="0"/>
        <w:widowControl w:val="0"/>
        <w:kinsoku/>
        <w:wordWrap w:val="0"/>
        <w:overflowPunct w:val="0"/>
        <w:topLinePunct w:val="0"/>
        <w:autoSpaceDE/>
        <w:autoSpaceDN/>
        <w:bidi w:val="0"/>
        <w:adjustRightInd/>
        <w:snapToGrid w:val="0"/>
        <w:spacing w:line="360" w:lineRule="auto"/>
        <w:ind w:firstLine="1960" w:firstLineChars="700"/>
        <w:textAlignment w:val="auto"/>
        <w:rPr>
          <w:rFonts w:hint="eastAsia" w:ascii="仿宋" w:hAnsi="仿宋" w:eastAsia="仿宋" w:cs="仿宋"/>
          <w:color w:val="auto"/>
          <w:spacing w:val="0"/>
          <w:sz w:val="28"/>
          <w:szCs w:val="28"/>
          <w:highlight w:val="none"/>
        </w:rPr>
      </w:pPr>
      <w:r>
        <w:rPr>
          <w:rFonts w:hint="eastAsia" w:ascii="仿宋" w:hAnsi="仿宋" w:eastAsia="仿宋"/>
          <w:bCs/>
          <w:color w:val="auto"/>
          <w:spacing w:val="0"/>
          <w:sz w:val="28"/>
          <w:szCs w:val="28"/>
        </w:rPr>
        <w:t>g—</w:t>
      </w:r>
      <w:r>
        <w:rPr>
          <w:rFonts w:hint="eastAsia" w:ascii="仿宋" w:hAnsi="仿宋" w:eastAsia="仿宋"/>
          <w:bCs/>
          <w:color w:val="auto"/>
          <w:spacing w:val="0"/>
          <w:sz w:val="28"/>
          <w:szCs w:val="28"/>
          <w:lang w:val="en-US" w:eastAsia="zh-CN"/>
        </w:rPr>
        <w:t>年</w:t>
      </w:r>
      <w:r>
        <w:rPr>
          <w:rFonts w:hint="eastAsia" w:ascii="仿宋" w:hAnsi="仿宋" w:eastAsia="仿宋"/>
          <w:bCs/>
          <w:color w:val="auto"/>
          <w:spacing w:val="0"/>
          <w:sz w:val="28"/>
          <w:szCs w:val="28"/>
        </w:rPr>
        <w:t>净收益增长率</w:t>
      </w:r>
      <w:r>
        <w:rPr>
          <w:rFonts w:hint="eastAsia" w:ascii="仿宋" w:hAnsi="仿宋" w:eastAsia="仿宋"/>
          <w:bCs/>
          <w:color w:val="auto"/>
          <w:spacing w:val="0"/>
          <w:sz w:val="28"/>
          <w:szCs w:val="28"/>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3.综合分析确定市场价格最终估价结果</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通过两种不同的技术路径，分别得到评估对象的评估单价，经分析两种方法结果的差异及导致差异的原因后，结合当前同类市场实际和估价师经验，分别确定两种方法结果的影响权重，最后确定评估对象在假定未设立法定优先受偿权利下的市场价格单价和总价。</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560" w:firstLineChars="2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评估对象评估单价=比较法评估单价</w:t>
      </w:r>
      <w:r>
        <w:rPr>
          <w:rFonts w:hint="eastAsia" w:ascii="仿宋" w:hAnsi="仿宋" w:eastAsia="仿宋" w:cs="仿宋"/>
          <w:color w:val="auto"/>
          <w:spacing w:val="0"/>
          <w:sz w:val="28"/>
          <w:szCs w:val="28"/>
          <w:highlight w:val="none"/>
        </w:rPr>
        <w:t>×</w:t>
      </w:r>
      <w:r>
        <w:rPr>
          <w:rFonts w:hint="eastAsia" w:ascii="仿宋" w:hAnsi="仿宋" w:eastAsia="仿宋" w:cs="仿宋"/>
          <w:color w:val="auto"/>
          <w:spacing w:val="0"/>
          <w:sz w:val="28"/>
          <w:szCs w:val="28"/>
          <w:highlight w:val="none"/>
          <w:lang w:val="en-US" w:eastAsia="zh-CN"/>
        </w:rPr>
        <w:t>影响权重1</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105" w:rightChars="50" w:firstLine="2800" w:firstLineChars="1000"/>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+收益法评估单价</w:t>
      </w:r>
      <w:r>
        <w:rPr>
          <w:rFonts w:hint="eastAsia" w:ascii="仿宋" w:hAnsi="仿宋" w:eastAsia="仿宋" w:cs="仿宋"/>
          <w:color w:val="auto"/>
          <w:spacing w:val="0"/>
          <w:sz w:val="28"/>
          <w:szCs w:val="28"/>
          <w:highlight w:val="none"/>
        </w:rPr>
        <w:t>×</w:t>
      </w:r>
      <w:r>
        <w:rPr>
          <w:rFonts w:hint="eastAsia" w:ascii="仿宋" w:hAnsi="仿宋" w:eastAsia="仿宋" w:cs="仿宋"/>
          <w:color w:val="auto"/>
          <w:spacing w:val="0"/>
          <w:sz w:val="28"/>
          <w:szCs w:val="28"/>
          <w:highlight w:val="none"/>
          <w:lang w:val="en-US" w:eastAsia="zh-CN"/>
        </w:rPr>
        <w:t>影响权重2</w:t>
      </w:r>
    </w:p>
    <w:p>
      <w:pPr>
        <w:pStyle w:val="4"/>
        <w:pageBreakBefore w:val="0"/>
        <w:widowControl w:val="0"/>
        <w:kinsoku/>
        <w:wordWrap/>
        <w:overflowPunct/>
        <w:topLinePunct w:val="0"/>
        <w:autoSpaceDE/>
        <w:autoSpaceDN/>
        <w:bidi w:val="0"/>
        <w:adjustRightInd/>
        <w:snapToGrid w:val="0"/>
        <w:spacing w:line="360" w:lineRule="auto"/>
        <w:ind w:left="105" w:leftChars="50" w:right="105" w:rightChars="50" w:firstLine="562" w:firstLineChars="200"/>
        <w:contextualSpacing/>
        <w:textAlignment w:val="auto"/>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rPr>
        <w:t>十、</w:t>
      </w:r>
      <w:bookmarkEnd w:id="27"/>
      <w:r>
        <w:rPr>
          <w:rFonts w:hint="eastAsia" w:ascii="仿宋" w:hAnsi="仿宋" w:eastAsia="仿宋" w:cs="仿宋"/>
          <w:color w:val="auto"/>
          <w:spacing w:val="0"/>
          <w:sz w:val="28"/>
          <w:szCs w:val="28"/>
          <w:highlight w:val="none"/>
          <w:lang w:eastAsia="zh-CN"/>
        </w:rPr>
        <w:t>评估结果</w:t>
      </w:r>
      <w:bookmarkEnd w:id="28"/>
    </w:p>
    <w:p>
      <w:pPr>
        <w:keepNext w:val="0"/>
        <w:keepLines w:val="0"/>
        <w:pageBreakBefore w:val="0"/>
        <w:widowControl w:val="0"/>
        <w:tabs>
          <w:tab w:val="left" w:pos="540"/>
          <w:tab w:val="left" w:pos="720"/>
        </w:tabs>
        <w:kinsoku/>
        <w:wordWrap/>
        <w:overflowPunct/>
        <w:topLinePunct w:val="0"/>
        <w:autoSpaceDE/>
        <w:autoSpaceDN/>
        <w:bidi w:val="0"/>
        <w:adjustRightInd/>
        <w:snapToGrid w:val="0"/>
        <w:spacing w:line="360" w:lineRule="auto"/>
        <w:ind w:firstLine="560" w:firstLineChars="200"/>
        <w:jc w:val="left"/>
        <w:textAlignment w:val="auto"/>
        <w:outlineLvl w:val="9"/>
        <w:rPr>
          <w:rFonts w:hint="eastAsia" w:ascii="仿宋" w:hAnsi="仿宋" w:eastAsia="仿宋" w:cs="仿宋"/>
          <w:b w:val="0"/>
          <w:bCs/>
          <w:color w:val="0000FF"/>
          <w:sz w:val="28"/>
          <w:szCs w:val="22"/>
          <w:highlight w:val="none"/>
          <w:lang w:val="en-US" w:eastAsia="zh-CN"/>
        </w:rPr>
      </w:pPr>
      <w:bookmarkStart w:id="29" w:name="_Toc323216549"/>
      <w:r>
        <w:rPr>
          <w:rFonts w:hint="eastAsia" w:ascii="仿宋" w:hAnsi="仿宋" w:eastAsia="仿宋" w:cs="仿宋"/>
          <w:color w:val="auto"/>
          <w:spacing w:val="0"/>
          <w:sz w:val="28"/>
          <w:szCs w:val="28"/>
          <w:highlight w:val="none"/>
        </w:rPr>
        <w:t>注册房地产估价师根据</w:t>
      </w:r>
      <w:r>
        <w:rPr>
          <w:rFonts w:hint="eastAsia" w:ascii="仿宋" w:hAnsi="仿宋" w:eastAsia="仿宋" w:cs="仿宋"/>
          <w:color w:val="auto"/>
          <w:spacing w:val="0"/>
          <w:sz w:val="28"/>
          <w:szCs w:val="28"/>
          <w:highlight w:val="none"/>
          <w:lang w:eastAsia="zh-CN"/>
        </w:rPr>
        <w:t>评估目的</w:t>
      </w:r>
      <w:r>
        <w:rPr>
          <w:rFonts w:hint="eastAsia" w:ascii="仿宋" w:hAnsi="仿宋" w:eastAsia="仿宋" w:cs="仿宋"/>
          <w:color w:val="auto"/>
          <w:spacing w:val="0"/>
          <w:sz w:val="28"/>
          <w:szCs w:val="28"/>
          <w:highlight w:val="none"/>
        </w:rPr>
        <w:t>，遵循</w:t>
      </w:r>
      <w:r>
        <w:rPr>
          <w:rFonts w:hint="eastAsia" w:ascii="仿宋" w:hAnsi="仿宋" w:eastAsia="仿宋" w:cs="仿宋"/>
          <w:color w:val="auto"/>
          <w:spacing w:val="0"/>
          <w:sz w:val="28"/>
          <w:szCs w:val="28"/>
          <w:highlight w:val="none"/>
          <w:lang w:eastAsia="zh-CN"/>
        </w:rPr>
        <w:t>评估原</w:t>
      </w:r>
      <w:r>
        <w:rPr>
          <w:rFonts w:hint="eastAsia" w:ascii="仿宋" w:hAnsi="仿宋" w:eastAsia="仿宋" w:cs="仿宋"/>
          <w:color w:val="auto"/>
          <w:spacing w:val="0"/>
          <w:sz w:val="28"/>
          <w:szCs w:val="28"/>
          <w:highlight w:val="none"/>
        </w:rPr>
        <w:t>则，按照评估工作程序，利用科学的评估方法，在认真分析现有资料的基础上，经过周密准确的测算确定</w:t>
      </w:r>
      <w:r>
        <w:rPr>
          <w:rFonts w:hint="eastAsia" w:ascii="仿宋" w:hAnsi="仿宋" w:eastAsia="仿宋" w:cs="仿宋"/>
          <w:color w:val="auto"/>
          <w:spacing w:val="0"/>
          <w:sz w:val="28"/>
          <w:szCs w:val="28"/>
          <w:highlight w:val="none"/>
          <w:lang w:eastAsia="zh-CN"/>
        </w:rPr>
        <w:t>评估对象</w:t>
      </w:r>
      <w:r>
        <w:rPr>
          <w:rFonts w:hint="eastAsia" w:ascii="仿宋" w:hAnsi="仿宋" w:eastAsia="仿宋" w:cs="仿宋"/>
          <w:color w:val="auto"/>
          <w:spacing w:val="0"/>
          <w:sz w:val="28"/>
          <w:szCs w:val="28"/>
          <w:highlight w:val="none"/>
        </w:rPr>
        <w:t>在设定条件下，于</w:t>
      </w:r>
      <w:r>
        <w:rPr>
          <w:rFonts w:hint="eastAsia" w:ascii="仿宋" w:hAnsi="仿宋" w:eastAsia="仿宋" w:cs="仿宋"/>
          <w:color w:val="auto"/>
          <w:spacing w:val="0"/>
          <w:sz w:val="28"/>
          <w:szCs w:val="28"/>
          <w:highlight w:val="none"/>
          <w:lang w:eastAsia="zh-CN"/>
        </w:rPr>
        <w:t>价值时点</w:t>
      </w:r>
      <w:r>
        <w:rPr>
          <w:rFonts w:hint="eastAsia" w:ascii="仿宋" w:hAnsi="仿宋" w:eastAsia="仿宋" w:cs="仿宋"/>
          <w:color w:val="0000FF"/>
          <w:spacing w:val="0"/>
          <w:sz w:val="28"/>
          <w:szCs w:val="28"/>
          <w:highlight w:val="none"/>
          <w:lang w:eastAsia="zh-CN"/>
        </w:rPr>
        <w:t>2022年8月12日市场价</w:t>
      </w:r>
      <w:r>
        <w:rPr>
          <w:rFonts w:hint="eastAsia" w:ascii="仿宋" w:hAnsi="仿宋" w:eastAsia="仿宋" w:cs="仿宋"/>
          <w:b w:val="0"/>
          <w:bCs/>
          <w:color w:val="0000FF"/>
          <w:sz w:val="28"/>
          <w:szCs w:val="22"/>
          <w:highlight w:val="none"/>
          <w:lang w:val="en-US" w:eastAsia="zh-CN"/>
        </w:rPr>
        <w:t>格为</w:t>
      </w:r>
      <w:bookmarkStart w:id="30" w:name="_Toc30870"/>
      <w:r>
        <w:rPr>
          <w:rFonts w:hint="eastAsia" w:ascii="仿宋" w:hAnsi="仿宋" w:eastAsia="仿宋" w:cs="仿宋"/>
          <w:b w:val="0"/>
          <w:bCs/>
          <w:color w:val="0000FF"/>
          <w:sz w:val="28"/>
          <w:szCs w:val="22"/>
          <w:highlight w:val="none"/>
          <w:lang w:val="en-US" w:eastAsia="zh-CN"/>
        </w:rPr>
        <w:t>¥</w:t>
      </w:r>
      <w:r>
        <w:rPr>
          <w:rFonts w:hint="eastAsia" w:ascii="仿宋" w:hAnsi="仿宋" w:eastAsia="仿宋" w:cs="仿宋"/>
          <w:b w:val="0"/>
          <w:bCs/>
          <w:color w:val="0000FF"/>
          <w:sz w:val="28"/>
          <w:szCs w:val="22"/>
          <w:highlight w:val="none"/>
          <w:lang w:eastAsia="zh-CN"/>
        </w:rPr>
        <w:t>118.17</w:t>
      </w:r>
      <w:r>
        <w:rPr>
          <w:rFonts w:hint="eastAsia" w:ascii="仿宋" w:hAnsi="仿宋" w:eastAsia="仿宋" w:cs="仿宋"/>
          <w:b w:val="0"/>
          <w:bCs/>
          <w:color w:val="0000FF"/>
          <w:sz w:val="28"/>
          <w:szCs w:val="22"/>
          <w:highlight w:val="none"/>
          <w:lang w:val="en-US" w:eastAsia="zh-CN"/>
        </w:rPr>
        <w:t>万元，人民币大写：</w:t>
      </w:r>
      <w:r>
        <w:rPr>
          <w:rFonts w:hint="eastAsia" w:ascii="仿宋" w:hAnsi="仿宋" w:eastAsia="仿宋" w:cs="仿宋"/>
          <w:b w:val="0"/>
          <w:bCs/>
          <w:color w:val="0000FF"/>
          <w:sz w:val="28"/>
          <w:szCs w:val="22"/>
          <w:highlight w:val="none"/>
          <w:lang w:eastAsia="zh-CN"/>
        </w:rPr>
        <w:t>壹佰壹拾捌万壹仟柒佰</w:t>
      </w:r>
      <w:r>
        <w:rPr>
          <w:rFonts w:hint="eastAsia" w:ascii="仿宋" w:hAnsi="仿宋" w:eastAsia="仿宋" w:cs="仿宋"/>
          <w:b w:val="0"/>
          <w:bCs/>
          <w:color w:val="0000FF"/>
          <w:sz w:val="28"/>
          <w:szCs w:val="22"/>
          <w:highlight w:val="none"/>
          <w:lang w:val="en-US" w:eastAsia="zh-CN"/>
        </w:rPr>
        <w:t xml:space="preserve">元整,单价 </w:t>
      </w:r>
      <w:r>
        <w:rPr>
          <w:rFonts w:hint="eastAsia" w:ascii="仿宋" w:hAnsi="仿宋" w:eastAsia="仿宋" w:cs="仿宋"/>
          <w:b w:val="0"/>
          <w:bCs/>
          <w:color w:val="0000FF"/>
          <w:sz w:val="28"/>
          <w:szCs w:val="22"/>
          <w:highlight w:val="none"/>
          <w:lang w:eastAsia="zh-CN"/>
        </w:rPr>
        <w:t>7536</w:t>
      </w:r>
      <w:r>
        <w:rPr>
          <w:rFonts w:hint="eastAsia" w:ascii="仿宋" w:hAnsi="仿宋" w:eastAsia="仿宋" w:cs="仿宋"/>
          <w:b w:val="0"/>
          <w:bCs/>
          <w:color w:val="0000FF"/>
          <w:sz w:val="28"/>
          <w:szCs w:val="22"/>
          <w:highlight w:val="none"/>
          <w:lang w:val="en-US" w:eastAsia="zh-CN"/>
        </w:rPr>
        <w:t>元/平方米；</w:t>
      </w:r>
    </w:p>
    <w:p>
      <w:pPr>
        <w:pStyle w:val="4"/>
        <w:pageBreakBefore w:val="0"/>
        <w:widowControl w:val="0"/>
        <w:kinsoku/>
        <w:wordWrap/>
        <w:overflowPunct/>
        <w:topLinePunct w:val="0"/>
        <w:bidi w:val="0"/>
        <w:spacing w:line="600" w:lineRule="exact"/>
        <w:ind w:firstLine="281" w:firstLineChars="100"/>
        <w:textAlignment w:val="auto"/>
        <w:rPr>
          <w:rFonts w:hint="eastAsia" w:ascii="仿宋" w:hAnsi="仿宋" w:eastAsia="仿宋" w:cs="仿宋"/>
          <w:color w:val="auto"/>
          <w:sz w:val="28"/>
          <w:szCs w:val="28"/>
          <w:highlight w:val="none"/>
        </w:rPr>
      </w:pPr>
    </w:p>
    <w:p>
      <w:pPr>
        <w:pStyle w:val="4"/>
        <w:pageBreakBefore w:val="0"/>
        <w:widowControl w:val="0"/>
        <w:kinsoku/>
        <w:wordWrap/>
        <w:overflowPunct/>
        <w:topLinePunct w:val="0"/>
        <w:bidi w:val="0"/>
        <w:spacing w:line="600" w:lineRule="exact"/>
        <w:textAlignment w:val="auto"/>
        <w:rPr>
          <w:rFonts w:hint="eastAsia" w:ascii="仿宋" w:hAnsi="仿宋" w:eastAsia="仿宋" w:cs="仿宋"/>
          <w:color w:val="auto"/>
          <w:sz w:val="28"/>
          <w:szCs w:val="28"/>
          <w:highlight w:val="none"/>
        </w:rPr>
      </w:pPr>
    </w:p>
    <w:p>
      <w:pPr>
        <w:rPr>
          <w:rFonts w:hint="eastAsia"/>
        </w:rPr>
      </w:pPr>
    </w:p>
    <w:p>
      <w:pPr>
        <w:pStyle w:val="2"/>
        <w:rPr>
          <w:rFonts w:hint="eastAsia"/>
        </w:rPr>
      </w:pPr>
    </w:p>
    <w:p>
      <w:pPr>
        <w:pStyle w:val="4"/>
        <w:pageBreakBefore w:val="0"/>
        <w:widowControl w:val="0"/>
        <w:kinsoku/>
        <w:wordWrap/>
        <w:overflowPunct/>
        <w:topLinePunct w:val="0"/>
        <w:bidi w:val="0"/>
        <w:spacing w:line="600" w:lineRule="exact"/>
        <w:ind w:firstLine="281"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十一、</w:t>
      </w:r>
      <w:bookmarkEnd w:id="29"/>
      <w:r>
        <w:rPr>
          <w:rFonts w:hint="eastAsia" w:ascii="仿宋" w:hAnsi="仿宋" w:eastAsia="仿宋" w:cs="仿宋"/>
          <w:color w:val="auto"/>
          <w:sz w:val="28"/>
          <w:szCs w:val="28"/>
          <w:highlight w:val="none"/>
        </w:rPr>
        <w:t>注册房地产估价师</w:t>
      </w:r>
      <w:bookmarkEnd w:id="30"/>
    </w:p>
    <w:tbl>
      <w:tblPr>
        <w:tblStyle w:val="11"/>
        <w:tblW w:w="10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665"/>
        <w:gridCol w:w="4353"/>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1570" w:type="dxa"/>
            <w:vAlign w:val="center"/>
          </w:tcPr>
          <w:p>
            <w:pPr>
              <w:widowControl/>
              <w:spacing w:line="360" w:lineRule="auto"/>
              <w:jc w:val="center"/>
              <w:rPr>
                <w:rFonts w:hint="eastAsia" w:ascii="仿宋" w:hAnsi="仿宋" w:eastAsia="仿宋" w:cs="仿宋"/>
                <w:color w:val="auto"/>
                <w:kern w:val="0"/>
                <w:sz w:val="28"/>
                <w:szCs w:val="28"/>
                <w:highlight w:val="none"/>
              </w:rPr>
            </w:pPr>
            <w:bookmarkStart w:id="31" w:name="_Toc413853857"/>
            <w:bookmarkStart w:id="32" w:name="_Toc323216550"/>
            <w:r>
              <w:rPr>
                <w:rFonts w:hint="eastAsia" w:ascii="仿宋" w:hAnsi="仿宋" w:eastAsia="仿宋" w:cs="仿宋"/>
                <w:color w:val="auto"/>
                <w:kern w:val="0"/>
                <w:sz w:val="28"/>
                <w:szCs w:val="28"/>
                <w:highlight w:val="none"/>
              </w:rPr>
              <w:t>姓名</w:t>
            </w:r>
          </w:p>
        </w:tc>
        <w:tc>
          <w:tcPr>
            <w:tcW w:w="1665" w:type="dxa"/>
            <w:vAlign w:val="center"/>
          </w:tcPr>
          <w:p>
            <w:pPr>
              <w:widowControl/>
              <w:spacing w:line="360" w:lineRule="auto"/>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注册号</w:t>
            </w:r>
          </w:p>
        </w:tc>
        <w:tc>
          <w:tcPr>
            <w:tcW w:w="4353" w:type="dxa"/>
            <w:vAlign w:val="center"/>
          </w:tcPr>
          <w:p>
            <w:pPr>
              <w:widowControl/>
              <w:spacing w:line="360" w:lineRule="auto"/>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签    名</w:t>
            </w:r>
          </w:p>
        </w:tc>
        <w:tc>
          <w:tcPr>
            <w:tcW w:w="2426" w:type="dxa"/>
            <w:vAlign w:val="center"/>
          </w:tcPr>
          <w:p>
            <w:pPr>
              <w:widowControl/>
              <w:spacing w:line="360" w:lineRule="auto"/>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签</w:t>
            </w:r>
            <w:r>
              <w:rPr>
                <w:rFonts w:hint="eastAsia" w:ascii="仿宋" w:hAnsi="仿宋" w:eastAsia="仿宋" w:cs="仿宋"/>
                <w:color w:val="auto"/>
                <w:kern w:val="0"/>
                <w:sz w:val="28"/>
                <w:szCs w:val="28"/>
                <w:highlight w:val="none"/>
              </w:rPr>
              <w:t>名</w:t>
            </w:r>
            <w:r>
              <w:rPr>
                <w:rFonts w:hint="eastAsia" w:ascii="仿宋" w:hAnsi="仿宋" w:eastAsia="仿宋" w:cs="仿宋"/>
                <w:color w:val="auto"/>
                <w:kern w:val="0"/>
                <w:sz w:val="28"/>
                <w:szCs w:val="28"/>
                <w:highlight w:val="no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570" w:type="dxa"/>
            <w:vAlign w:val="center"/>
          </w:tcPr>
          <w:p>
            <w:pPr>
              <w:widowControl/>
              <w:spacing w:line="360" w:lineRule="auto"/>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张金</w:t>
            </w:r>
            <w:r>
              <w:rPr>
                <w:rFonts w:hint="eastAsia" w:ascii="仿宋" w:hAnsi="仿宋" w:eastAsia="仿宋" w:cs="仿宋"/>
                <w:color w:val="auto"/>
                <w:kern w:val="0"/>
                <w:sz w:val="28"/>
                <w:szCs w:val="28"/>
                <w:highlight w:val="none"/>
              </w:rPr>
              <w:t>华</w:t>
            </w:r>
          </w:p>
        </w:tc>
        <w:tc>
          <w:tcPr>
            <w:tcW w:w="1665" w:type="dxa"/>
            <w:vAlign w:val="center"/>
          </w:tcPr>
          <w:p>
            <w:pPr>
              <w:widowControl/>
              <w:spacing w:line="360" w:lineRule="auto"/>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3720160163</w:t>
            </w:r>
          </w:p>
        </w:tc>
        <w:tc>
          <w:tcPr>
            <w:tcW w:w="4353" w:type="dxa"/>
            <w:vAlign w:val="center"/>
          </w:tcPr>
          <w:p>
            <w:pPr>
              <w:widowControl/>
              <w:spacing w:line="360" w:lineRule="auto"/>
              <w:jc w:val="both"/>
              <w:rPr>
                <w:rFonts w:hint="eastAsia" w:ascii="仿宋" w:hAnsi="仿宋" w:eastAsia="仿宋" w:cs="仿宋"/>
                <w:color w:val="auto"/>
                <w:kern w:val="0"/>
                <w:sz w:val="28"/>
                <w:szCs w:val="28"/>
                <w:highlight w:val="none"/>
              </w:rPr>
            </w:pPr>
          </w:p>
        </w:tc>
        <w:tc>
          <w:tcPr>
            <w:tcW w:w="2426" w:type="dxa"/>
            <w:vAlign w:val="center"/>
          </w:tcPr>
          <w:p>
            <w:pPr>
              <w:widowControl/>
              <w:spacing w:line="360" w:lineRule="auto"/>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sz w:val="28"/>
                <w:szCs w:val="28"/>
                <w:highlight w:val="none"/>
                <w:lang w:eastAsia="zh-CN"/>
              </w:rPr>
              <w:t>2022年</w:t>
            </w:r>
            <w:r>
              <w:rPr>
                <w:rFonts w:hint="eastAsia" w:ascii="仿宋" w:hAnsi="仿宋" w:eastAsia="仿宋" w:cs="仿宋"/>
                <w:color w:val="0000FF"/>
                <w:sz w:val="28"/>
                <w:szCs w:val="28"/>
                <w:highlight w:val="none"/>
                <w:lang w:val="en-US" w:eastAsia="zh-CN"/>
              </w:rPr>
              <w:t>8</w:t>
            </w:r>
            <w:r>
              <w:rPr>
                <w:rFonts w:hint="eastAsia" w:ascii="仿宋" w:hAnsi="仿宋" w:eastAsia="仿宋" w:cs="仿宋"/>
                <w:color w:val="0000FF"/>
                <w:sz w:val="28"/>
                <w:szCs w:val="28"/>
                <w:highlight w:val="none"/>
                <w:lang w:eastAsia="zh-CN"/>
              </w:rPr>
              <w:t>月</w:t>
            </w:r>
            <w:r>
              <w:rPr>
                <w:rFonts w:hint="eastAsia" w:ascii="仿宋" w:hAnsi="仿宋" w:eastAsia="仿宋" w:cs="仿宋"/>
                <w:color w:val="0000FF"/>
                <w:sz w:val="28"/>
                <w:szCs w:val="28"/>
                <w:highlight w:val="none"/>
                <w:lang w:val="en-US" w:eastAsia="zh-CN"/>
              </w:rPr>
              <w:t>16</w:t>
            </w:r>
            <w:r>
              <w:rPr>
                <w:rFonts w:hint="eastAsia" w:ascii="仿宋" w:hAnsi="仿宋" w:eastAsia="仿宋" w:cs="仿宋"/>
                <w:color w:val="0000FF"/>
                <w:sz w:val="28"/>
                <w:szCs w:val="28"/>
                <w:highlight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570" w:type="dxa"/>
            <w:vAlign w:val="center"/>
          </w:tcPr>
          <w:p>
            <w:pPr>
              <w:widowControl/>
              <w:spacing w:line="360" w:lineRule="auto"/>
              <w:jc w:val="center"/>
              <w:rPr>
                <w:rFonts w:hint="eastAsia" w:ascii="仿宋" w:hAnsi="仿宋" w:eastAsia="仿宋" w:cs="仿宋"/>
                <w:b w:val="0"/>
                <w:bCs/>
                <w:color w:val="auto"/>
                <w:kern w:val="0"/>
                <w:sz w:val="28"/>
                <w:szCs w:val="28"/>
                <w:highlight w:val="none"/>
                <w:lang w:eastAsia="zh-CN"/>
              </w:rPr>
            </w:pPr>
            <w:r>
              <w:rPr>
                <w:rFonts w:hint="eastAsia" w:ascii="仿宋" w:hAnsi="仿宋" w:eastAsia="仿宋" w:cs="宋体"/>
                <w:color w:val="auto"/>
                <w:kern w:val="0"/>
                <w:sz w:val="28"/>
                <w:szCs w:val="28"/>
                <w:highlight w:val="none"/>
              </w:rPr>
              <w:t>李  泮</w:t>
            </w:r>
          </w:p>
        </w:tc>
        <w:tc>
          <w:tcPr>
            <w:tcW w:w="1665" w:type="dxa"/>
            <w:vAlign w:val="center"/>
          </w:tcPr>
          <w:p>
            <w:pPr>
              <w:widowControl/>
              <w:spacing w:line="360" w:lineRule="auto"/>
              <w:jc w:val="center"/>
              <w:rPr>
                <w:rFonts w:hint="eastAsia" w:ascii="仿宋" w:hAnsi="仿宋" w:eastAsia="仿宋" w:cs="仿宋"/>
                <w:b w:val="0"/>
                <w:bCs/>
                <w:color w:val="auto"/>
                <w:kern w:val="0"/>
                <w:sz w:val="28"/>
                <w:szCs w:val="28"/>
                <w:highlight w:val="none"/>
                <w:lang w:eastAsia="zh-CN"/>
              </w:rPr>
            </w:pPr>
            <w:r>
              <w:rPr>
                <w:rFonts w:hint="eastAsia" w:ascii="仿宋" w:hAnsi="仿宋" w:eastAsia="仿宋" w:cs="宋体"/>
                <w:color w:val="auto"/>
                <w:kern w:val="0"/>
                <w:sz w:val="28"/>
                <w:szCs w:val="28"/>
                <w:highlight w:val="none"/>
              </w:rPr>
              <w:t>3720120066</w:t>
            </w:r>
          </w:p>
        </w:tc>
        <w:tc>
          <w:tcPr>
            <w:tcW w:w="4353" w:type="dxa"/>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2426" w:type="dxa"/>
            <w:vAlign w:val="center"/>
          </w:tcPr>
          <w:p>
            <w:pPr>
              <w:widowControl/>
              <w:spacing w:line="360" w:lineRule="auto"/>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lang w:eastAsia="zh-CN"/>
              </w:rPr>
              <w:t>2022年</w:t>
            </w:r>
            <w:r>
              <w:rPr>
                <w:rFonts w:hint="eastAsia" w:ascii="仿宋" w:hAnsi="仿宋" w:eastAsia="仿宋" w:cs="仿宋"/>
                <w:color w:val="0000FF"/>
                <w:sz w:val="28"/>
                <w:szCs w:val="28"/>
                <w:highlight w:val="none"/>
                <w:lang w:val="en-US" w:eastAsia="zh-CN"/>
              </w:rPr>
              <w:t>8</w:t>
            </w:r>
            <w:r>
              <w:rPr>
                <w:rFonts w:hint="eastAsia" w:ascii="仿宋" w:hAnsi="仿宋" w:eastAsia="仿宋" w:cs="仿宋"/>
                <w:color w:val="0000FF"/>
                <w:sz w:val="28"/>
                <w:szCs w:val="28"/>
                <w:highlight w:val="none"/>
                <w:lang w:eastAsia="zh-CN"/>
              </w:rPr>
              <w:t>月</w:t>
            </w:r>
            <w:r>
              <w:rPr>
                <w:rFonts w:hint="eastAsia" w:ascii="仿宋" w:hAnsi="仿宋" w:eastAsia="仿宋" w:cs="仿宋"/>
                <w:color w:val="0000FF"/>
                <w:sz w:val="28"/>
                <w:szCs w:val="28"/>
                <w:highlight w:val="none"/>
                <w:lang w:val="en-US" w:eastAsia="zh-CN"/>
              </w:rPr>
              <w:t>16</w:t>
            </w:r>
            <w:r>
              <w:rPr>
                <w:rFonts w:hint="eastAsia" w:ascii="仿宋" w:hAnsi="仿宋" w:eastAsia="仿宋" w:cs="仿宋"/>
                <w:color w:val="0000FF"/>
                <w:sz w:val="28"/>
                <w:szCs w:val="28"/>
                <w:highlight w:val="none"/>
                <w:lang w:eastAsia="zh-CN"/>
              </w:rPr>
              <w:t>日</w:t>
            </w:r>
          </w:p>
        </w:tc>
      </w:tr>
    </w:tbl>
    <w:p>
      <w:pPr>
        <w:pStyle w:val="4"/>
        <w:pageBreakBefore w:val="0"/>
        <w:widowControl w:val="0"/>
        <w:kinsoku/>
        <w:wordWrap/>
        <w:overflowPunct/>
        <w:topLinePunct w:val="0"/>
        <w:autoSpaceDE/>
        <w:autoSpaceDN/>
        <w:bidi w:val="0"/>
        <w:adjustRightInd/>
        <w:snapToGrid/>
        <w:spacing w:line="560" w:lineRule="exact"/>
        <w:ind w:right="105" w:rightChars="50"/>
        <w:contextualSpacing/>
        <w:textAlignment w:val="auto"/>
        <w:rPr>
          <w:rFonts w:hint="eastAsia" w:ascii="仿宋" w:hAnsi="仿宋" w:eastAsia="仿宋" w:cs="仿宋"/>
          <w:color w:val="auto"/>
          <w:sz w:val="28"/>
          <w:szCs w:val="28"/>
          <w:highlight w:val="none"/>
        </w:rPr>
      </w:pPr>
      <w:bookmarkStart w:id="33" w:name="_Toc17916"/>
      <w:r>
        <w:rPr>
          <w:rFonts w:hint="eastAsia" w:ascii="仿宋" w:hAnsi="仿宋" w:eastAsia="仿宋" w:cs="仿宋"/>
          <w:color w:val="auto"/>
          <w:sz w:val="28"/>
          <w:szCs w:val="28"/>
          <w:highlight w:val="none"/>
        </w:rPr>
        <w:t>十二、实地查勘期</w:t>
      </w:r>
      <w:bookmarkEnd w:id="31"/>
      <w:bookmarkEnd w:id="33"/>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FF"/>
          <w:sz w:val="28"/>
          <w:szCs w:val="28"/>
          <w:highlight w:val="none"/>
          <w:lang w:eastAsia="zh-CN"/>
        </w:rPr>
      </w:pPr>
      <w:r>
        <w:rPr>
          <w:rFonts w:hint="eastAsia" w:ascii="仿宋" w:hAnsi="仿宋" w:eastAsia="仿宋" w:cs="仿宋"/>
          <w:color w:val="0000FF"/>
          <w:sz w:val="28"/>
          <w:szCs w:val="28"/>
          <w:highlight w:val="none"/>
          <w:lang w:eastAsia="zh-CN"/>
        </w:rPr>
        <w:t>2022年8月12日</w:t>
      </w:r>
    </w:p>
    <w:p>
      <w:pPr>
        <w:pStyle w:val="4"/>
        <w:pageBreakBefore w:val="0"/>
        <w:widowControl w:val="0"/>
        <w:kinsoku/>
        <w:wordWrap/>
        <w:overflowPunct/>
        <w:topLinePunct w:val="0"/>
        <w:autoSpaceDE/>
        <w:autoSpaceDN/>
        <w:bidi w:val="0"/>
        <w:adjustRightInd/>
        <w:snapToGrid/>
        <w:spacing w:line="560" w:lineRule="exact"/>
        <w:ind w:right="105" w:rightChars="50"/>
        <w:contextualSpacing/>
        <w:textAlignment w:val="auto"/>
        <w:rPr>
          <w:rFonts w:hint="eastAsia" w:ascii="仿宋" w:hAnsi="仿宋" w:eastAsia="仿宋" w:cs="仿宋"/>
          <w:color w:val="auto"/>
          <w:sz w:val="28"/>
          <w:szCs w:val="28"/>
          <w:highlight w:val="none"/>
        </w:rPr>
      </w:pPr>
      <w:bookmarkStart w:id="34" w:name="_Toc12333"/>
      <w:r>
        <w:rPr>
          <w:rFonts w:hint="eastAsia" w:ascii="仿宋" w:hAnsi="仿宋" w:eastAsia="仿宋" w:cs="仿宋"/>
          <w:color w:val="auto"/>
          <w:sz w:val="28"/>
          <w:szCs w:val="28"/>
          <w:highlight w:val="none"/>
        </w:rPr>
        <w:t>十三、</w:t>
      </w:r>
      <w:r>
        <w:rPr>
          <w:rFonts w:hint="eastAsia" w:ascii="仿宋" w:hAnsi="仿宋" w:eastAsia="仿宋" w:cs="仿宋"/>
          <w:color w:val="auto"/>
          <w:sz w:val="28"/>
          <w:szCs w:val="28"/>
          <w:highlight w:val="none"/>
          <w:lang w:eastAsia="zh-CN"/>
        </w:rPr>
        <w:t>评估作业</w:t>
      </w:r>
      <w:r>
        <w:rPr>
          <w:rFonts w:hint="eastAsia" w:ascii="仿宋" w:hAnsi="仿宋" w:eastAsia="仿宋" w:cs="仿宋"/>
          <w:color w:val="auto"/>
          <w:sz w:val="28"/>
          <w:szCs w:val="28"/>
          <w:highlight w:val="none"/>
        </w:rPr>
        <w:t>期</w:t>
      </w:r>
      <w:bookmarkEnd w:id="32"/>
      <w:bookmarkEnd w:id="34"/>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auto"/>
          <w:sz w:val="28"/>
          <w:szCs w:val="28"/>
          <w:highlight w:val="yellow"/>
          <w:lang w:eastAsia="zh-CN"/>
        </w:rPr>
      </w:pPr>
      <w:r>
        <w:rPr>
          <w:rFonts w:hint="eastAsia" w:ascii="仿宋" w:hAnsi="仿宋" w:eastAsia="仿宋" w:cs="仿宋"/>
          <w:color w:val="0000FF"/>
          <w:sz w:val="28"/>
          <w:szCs w:val="28"/>
          <w:highlight w:val="none"/>
          <w:lang w:eastAsia="zh-CN"/>
        </w:rPr>
        <w:t>2022年8月12日</w:t>
      </w:r>
      <w:r>
        <w:rPr>
          <w:rFonts w:hint="eastAsia" w:ascii="仿宋" w:hAnsi="仿宋" w:eastAsia="仿宋" w:cs="仿宋"/>
          <w:color w:val="0000FF"/>
          <w:sz w:val="28"/>
          <w:szCs w:val="28"/>
          <w:highlight w:val="none"/>
        </w:rPr>
        <w:t>至</w:t>
      </w:r>
      <w:r>
        <w:rPr>
          <w:rFonts w:hint="eastAsia" w:ascii="仿宋" w:hAnsi="仿宋" w:eastAsia="仿宋" w:cs="仿宋"/>
          <w:color w:val="0000FF"/>
          <w:sz w:val="28"/>
          <w:szCs w:val="28"/>
          <w:highlight w:val="none"/>
          <w:lang w:eastAsia="zh-CN"/>
        </w:rPr>
        <w:t xml:space="preserve"> 2022年</w:t>
      </w:r>
      <w:r>
        <w:rPr>
          <w:rFonts w:hint="eastAsia" w:ascii="仿宋" w:hAnsi="仿宋" w:eastAsia="仿宋" w:cs="仿宋"/>
          <w:color w:val="0000FF"/>
          <w:sz w:val="28"/>
          <w:szCs w:val="28"/>
          <w:highlight w:val="none"/>
          <w:lang w:val="en-US" w:eastAsia="zh-CN"/>
        </w:rPr>
        <w:t>8</w:t>
      </w:r>
      <w:r>
        <w:rPr>
          <w:rFonts w:hint="eastAsia" w:ascii="仿宋" w:hAnsi="仿宋" w:eastAsia="仿宋" w:cs="仿宋"/>
          <w:color w:val="0000FF"/>
          <w:sz w:val="28"/>
          <w:szCs w:val="28"/>
          <w:highlight w:val="none"/>
          <w:lang w:eastAsia="zh-CN"/>
        </w:rPr>
        <w:t>月</w:t>
      </w:r>
      <w:r>
        <w:rPr>
          <w:rFonts w:hint="eastAsia" w:ascii="仿宋" w:hAnsi="仿宋" w:eastAsia="仿宋" w:cs="仿宋"/>
          <w:color w:val="0000FF"/>
          <w:sz w:val="28"/>
          <w:szCs w:val="28"/>
          <w:highlight w:val="none"/>
          <w:lang w:val="en-US" w:eastAsia="zh-CN"/>
        </w:rPr>
        <w:t>16</w:t>
      </w:r>
      <w:r>
        <w:rPr>
          <w:rFonts w:hint="eastAsia" w:ascii="仿宋" w:hAnsi="仿宋" w:eastAsia="仿宋" w:cs="仿宋"/>
          <w:color w:val="0000FF"/>
          <w:sz w:val="28"/>
          <w:szCs w:val="28"/>
          <w:highlight w:val="none"/>
          <w:lang w:eastAsia="zh-CN"/>
        </w:rPr>
        <w:t>日</w:t>
      </w: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auto"/>
          <w:sz w:val="28"/>
          <w:szCs w:val="28"/>
          <w:highlight w:val="none"/>
          <w:lang w:eastAsia="zh-CN"/>
        </w:rPr>
      </w:pP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auto"/>
          <w:sz w:val="28"/>
          <w:szCs w:val="28"/>
          <w:highlight w:val="none"/>
          <w:lang w:eastAsia="zh-CN"/>
        </w:rPr>
      </w:pP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default" w:ascii="仿宋" w:hAnsi="仿宋" w:eastAsia="仿宋" w:cs="仿宋"/>
          <w:color w:val="auto"/>
          <w:sz w:val="28"/>
          <w:szCs w:val="28"/>
          <w:highlight w:val="none"/>
          <w:lang w:val="en-US" w:eastAsia="zh-CN"/>
        </w:rPr>
      </w:pPr>
    </w:p>
    <w:p>
      <w:pPr>
        <w:pStyle w:val="6"/>
        <w:pageBreakBefore w:val="0"/>
        <w:widowControl w:val="0"/>
        <w:kinsoku/>
        <w:wordWrap/>
        <w:overflowPunct/>
        <w:topLinePunct w:val="0"/>
        <w:autoSpaceDE/>
        <w:autoSpaceDN/>
        <w:bidi w:val="0"/>
        <w:adjustRightInd/>
        <w:snapToGrid/>
        <w:spacing w:line="560" w:lineRule="exact"/>
        <w:ind w:right="105" w:rightChars="50" w:firstLine="2520" w:firstLineChars="9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山东贵恒信土地房地产资产评估测绘有限公司</w:t>
      </w: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0000FF"/>
          <w:sz w:val="28"/>
          <w:szCs w:val="28"/>
          <w:highlight w:val="none"/>
          <w:lang w:eastAsia="zh-CN"/>
        </w:rPr>
      </w:pPr>
      <w:r>
        <w:rPr>
          <w:rFonts w:hint="eastAsia" w:ascii="仿宋" w:hAnsi="仿宋" w:eastAsia="仿宋" w:cs="仿宋"/>
          <w:color w:val="auto"/>
          <w:sz w:val="28"/>
          <w:szCs w:val="28"/>
          <w:highlight w:val="none"/>
        </w:rPr>
        <w:t xml:space="preserve">                            </w:t>
      </w:r>
      <w:r>
        <w:rPr>
          <w:rFonts w:hint="eastAsia" w:ascii="仿宋" w:hAnsi="仿宋" w:eastAsia="仿宋" w:cs="仿宋"/>
          <w:color w:val="0000FF"/>
          <w:sz w:val="28"/>
          <w:szCs w:val="28"/>
          <w:highlight w:val="none"/>
        </w:rPr>
        <w:t xml:space="preserve"> </w:t>
      </w:r>
      <w:r>
        <w:rPr>
          <w:rFonts w:hint="eastAsia" w:ascii="仿宋" w:hAnsi="仿宋" w:eastAsia="仿宋" w:cs="仿宋"/>
          <w:color w:val="0000FF"/>
          <w:sz w:val="28"/>
          <w:szCs w:val="28"/>
          <w:highlight w:val="none"/>
          <w:lang w:eastAsia="zh-CN"/>
        </w:rPr>
        <w:t xml:space="preserve"> </w:t>
      </w:r>
      <w:r>
        <w:rPr>
          <w:rFonts w:hint="eastAsia" w:ascii="仿宋" w:hAnsi="仿宋" w:eastAsia="仿宋" w:cs="仿宋"/>
          <w:color w:val="0000FF"/>
          <w:sz w:val="28"/>
          <w:szCs w:val="28"/>
          <w:highlight w:val="none"/>
          <w:lang w:val="en-US" w:eastAsia="zh-CN"/>
        </w:rPr>
        <w:t xml:space="preserve"> </w:t>
      </w:r>
      <w:r>
        <w:rPr>
          <w:rFonts w:hint="eastAsia" w:ascii="仿宋" w:hAnsi="仿宋" w:eastAsia="仿宋" w:cs="仿宋"/>
          <w:color w:val="0000FF"/>
          <w:sz w:val="28"/>
          <w:szCs w:val="28"/>
          <w:highlight w:val="none"/>
          <w:lang w:eastAsia="zh-CN"/>
        </w:rPr>
        <w:t>2022年</w:t>
      </w:r>
      <w:bookmarkStart w:id="35" w:name="_Toc23390"/>
      <w:r>
        <w:rPr>
          <w:rFonts w:hint="eastAsia" w:ascii="仿宋" w:hAnsi="仿宋" w:eastAsia="仿宋" w:cs="仿宋"/>
          <w:color w:val="0000FF"/>
          <w:sz w:val="28"/>
          <w:szCs w:val="28"/>
          <w:highlight w:val="none"/>
          <w:lang w:val="en-US" w:eastAsia="zh-CN"/>
        </w:rPr>
        <w:t>8</w:t>
      </w:r>
      <w:r>
        <w:rPr>
          <w:rFonts w:hint="eastAsia" w:ascii="仿宋" w:hAnsi="仿宋" w:eastAsia="仿宋" w:cs="仿宋"/>
          <w:color w:val="0000FF"/>
          <w:sz w:val="28"/>
          <w:szCs w:val="28"/>
          <w:highlight w:val="none"/>
          <w:lang w:eastAsia="zh-CN"/>
        </w:rPr>
        <w:t>月</w:t>
      </w:r>
      <w:r>
        <w:rPr>
          <w:rFonts w:hint="eastAsia" w:ascii="仿宋" w:hAnsi="仿宋" w:eastAsia="仿宋" w:cs="仿宋"/>
          <w:color w:val="0000FF"/>
          <w:sz w:val="28"/>
          <w:szCs w:val="28"/>
          <w:highlight w:val="none"/>
          <w:lang w:val="en-US" w:eastAsia="zh-CN"/>
        </w:rPr>
        <w:t>16</w:t>
      </w:r>
      <w:r>
        <w:rPr>
          <w:rFonts w:hint="eastAsia" w:ascii="仿宋" w:hAnsi="仿宋" w:eastAsia="仿宋" w:cs="仿宋"/>
          <w:color w:val="0000FF"/>
          <w:sz w:val="28"/>
          <w:szCs w:val="28"/>
          <w:highlight w:val="none"/>
          <w:lang w:eastAsia="zh-CN"/>
        </w:rPr>
        <w:t>日</w:t>
      </w: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0000FF"/>
          <w:sz w:val="28"/>
          <w:szCs w:val="28"/>
          <w:highlight w:val="none"/>
          <w:lang w:eastAsia="zh-CN"/>
        </w:rPr>
      </w:pP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0000FF"/>
          <w:sz w:val="28"/>
          <w:szCs w:val="28"/>
          <w:highlight w:val="none"/>
          <w:lang w:eastAsia="zh-CN"/>
        </w:rPr>
      </w:pP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0000FF"/>
          <w:sz w:val="28"/>
          <w:szCs w:val="28"/>
          <w:highlight w:val="none"/>
          <w:lang w:eastAsia="zh-CN"/>
        </w:rPr>
      </w:pPr>
    </w:p>
    <w:p>
      <w:pPr>
        <w:pStyle w:val="6"/>
        <w:pageBreakBefore w:val="0"/>
        <w:widowControl w:val="0"/>
        <w:kinsoku/>
        <w:wordWrap/>
        <w:overflowPunct/>
        <w:topLinePunct w:val="0"/>
        <w:autoSpaceDE/>
        <w:autoSpaceDN/>
        <w:bidi w:val="0"/>
        <w:adjustRightInd/>
        <w:snapToGrid/>
        <w:spacing w:line="560" w:lineRule="exact"/>
        <w:ind w:right="105" w:rightChars="50"/>
        <w:textAlignment w:val="auto"/>
        <w:rPr>
          <w:rFonts w:hint="eastAsia" w:ascii="仿宋" w:hAnsi="仿宋" w:eastAsia="仿宋" w:cs="仿宋"/>
          <w:color w:val="0000FF"/>
          <w:sz w:val="28"/>
          <w:szCs w:val="28"/>
          <w:highlight w:val="none"/>
          <w:lang w:eastAsia="zh-CN"/>
        </w:rPr>
      </w:pPr>
    </w:p>
    <w:bookmarkEnd w:id="35"/>
    <w:p>
      <w:pPr>
        <w:pStyle w:val="2"/>
        <w:jc w:val="both"/>
        <w:rPr>
          <w:rFonts w:hint="eastAsia" w:ascii="Calibri" w:hAnsi="Calibri"/>
          <w:color w:val="auto"/>
          <w:highlight w:val="none"/>
        </w:rPr>
      </w:pPr>
      <w:bookmarkStart w:id="36" w:name="_GoBack"/>
      <w:bookmarkEnd w:id="36"/>
    </w:p>
    <w:p>
      <w:pPr>
        <w:keepNext w:val="0"/>
        <w:keepLines w:val="0"/>
        <w:pageBreakBefore w:val="0"/>
        <w:widowControl w:val="0"/>
        <w:kinsoku/>
        <w:wordWrap/>
        <w:overflowPunct/>
        <w:topLinePunct w:val="0"/>
        <w:autoSpaceDE/>
        <w:autoSpaceDN/>
        <w:bidi w:val="0"/>
        <w:adjustRightInd/>
        <w:snapToGrid/>
        <w:spacing w:line="600" w:lineRule="atLeast"/>
        <w:ind w:right="105" w:rightChars="50"/>
        <w:jc w:val="both"/>
        <w:textAlignment w:val="auto"/>
      </w:pPr>
    </w:p>
    <w:sectPr>
      <w:headerReference r:id="rId4" w:type="first"/>
      <w:headerReference r:id="rId3" w:type="default"/>
      <w:footerReference r:id="rId5"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 w:hAnsi="仿宋" w:eastAsia="仿宋"/>
      </w:rPr>
    </w:pPr>
    <w:r>
      <w:rPr>
        <w:rFonts w:ascii="仿宋" w:hAnsi="仿宋" w:eastAsia="仿宋"/>
      </w:rPr>
      <w:fldChar w:fldCharType="begin"/>
    </w:r>
    <w:r>
      <w:rPr>
        <w:rStyle w:val="14"/>
        <w:rFonts w:ascii="仿宋" w:hAnsi="仿宋" w:eastAsia="仿宋"/>
      </w:rPr>
      <w:instrText xml:space="preserve"> PAGE </w:instrText>
    </w:r>
    <w:r>
      <w:rPr>
        <w:rFonts w:ascii="仿宋" w:hAnsi="仿宋" w:eastAsia="仿宋"/>
      </w:rPr>
      <w:fldChar w:fldCharType="separate"/>
    </w:r>
    <w:r>
      <w:rPr>
        <w:rStyle w:val="14"/>
        <w:rFonts w:ascii="仿宋" w:hAnsi="仿宋" w:eastAsia="仿宋"/>
      </w:rPr>
      <w:t>37</w:t>
    </w:r>
    <w:r>
      <w:rPr>
        <w:rFonts w:ascii="仿宋" w:hAnsi="仿宋" w:eastAsia="仿宋"/>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ascii="仿宋" w:hAnsi="仿宋" w:eastAsia="仿宋"/>
        <w:sz w:val="18"/>
        <w:szCs w:val="18"/>
        <w:lang w:val="en-US" w:eastAsia="zh-CN"/>
      </w:rPr>
    </w:pPr>
    <w:r>
      <w:rPr>
        <w:rFonts w:hint="eastAsia" w:ascii="仿宋" w:hAnsi="仿宋" w:eastAsia="仿宋"/>
        <w:lang w:eastAsia="zh-CN"/>
      </w:rPr>
      <w:t>山东贵恒信土地房地产资产评估测绘有限公司</w:t>
    </w:r>
    <w:r>
      <w:rPr>
        <w:rFonts w:hint="eastAsia" w:ascii="仿宋" w:hAnsi="仿宋" w:eastAsia="仿宋"/>
      </w:rPr>
      <w:t xml:space="preserve"> </w:t>
    </w:r>
    <w:r>
      <w:rPr>
        <w:rFonts w:ascii="仿宋" w:hAnsi="仿宋" w:eastAsia="仿宋"/>
      </w:rPr>
      <w:t xml:space="preserve">  </w:t>
    </w:r>
    <w:r>
      <w:rPr>
        <w:rFonts w:ascii="仿宋" w:hAnsi="仿宋" w:eastAsia="仿宋"/>
        <w:sz w:val="24"/>
      </w:rPr>
      <w:t xml:space="preserve">          </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18"/>
        <w:szCs w:val="18"/>
        <w:lang w:val="en-US" w:eastAsia="zh-CN"/>
      </w:rPr>
      <w:t xml:space="preserve">      </w:t>
    </w:r>
    <w:r>
      <w:rPr>
        <w:rFonts w:hint="eastAsia" w:ascii="仿宋" w:hAnsi="仿宋" w:eastAsia="仿宋"/>
        <w:sz w:val="18"/>
        <w:szCs w:val="18"/>
      </w:rPr>
      <w:t xml:space="preserve"> </w:t>
    </w:r>
    <w:r>
      <w:rPr>
        <w:rFonts w:hint="eastAsia" w:ascii="仿宋" w:hAnsi="仿宋" w:eastAsia="仿宋"/>
        <w:sz w:val="18"/>
        <w:szCs w:val="18"/>
        <w:lang w:val="en-US" w:eastAsia="zh-CN"/>
      </w:rPr>
      <w:t>0531-87921930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NDE4NzU5MjBmZWIyM2E2MzdkMzM4ZTRkNmM3NTkifQ=="/>
  </w:docVars>
  <w:rsids>
    <w:rsidRoot w:val="49651189"/>
    <w:rsid w:val="04EB21D5"/>
    <w:rsid w:val="08770CD6"/>
    <w:rsid w:val="0BEC0515"/>
    <w:rsid w:val="10B9103C"/>
    <w:rsid w:val="12EE3F21"/>
    <w:rsid w:val="13F349E0"/>
    <w:rsid w:val="15121A08"/>
    <w:rsid w:val="164315E3"/>
    <w:rsid w:val="17DA61B4"/>
    <w:rsid w:val="1BF30788"/>
    <w:rsid w:val="1D5500FD"/>
    <w:rsid w:val="2F0324FC"/>
    <w:rsid w:val="383B699A"/>
    <w:rsid w:val="395B735F"/>
    <w:rsid w:val="39696755"/>
    <w:rsid w:val="412C733C"/>
    <w:rsid w:val="43191717"/>
    <w:rsid w:val="49651189"/>
    <w:rsid w:val="538114EF"/>
    <w:rsid w:val="5BFC3AC4"/>
    <w:rsid w:val="5C8423BB"/>
    <w:rsid w:val="5D431D2B"/>
    <w:rsid w:val="61813F1A"/>
    <w:rsid w:val="69717BDD"/>
    <w:rsid w:val="6B335080"/>
    <w:rsid w:val="788A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line="60" w:lineRule="auto"/>
      <w:jc w:val="center"/>
      <w:outlineLvl w:val="0"/>
    </w:pPr>
    <w:rPr>
      <w:rFonts w:eastAsia="仿宋"/>
      <w:b/>
      <w:bCs/>
      <w:kern w:val="44"/>
      <w:sz w:val="32"/>
      <w:szCs w:val="44"/>
    </w:rPr>
  </w:style>
  <w:style w:type="paragraph" w:styleId="4">
    <w:name w:val="heading 2"/>
    <w:basedOn w:val="1"/>
    <w:next w:val="1"/>
    <w:qFormat/>
    <w:uiPriority w:val="0"/>
    <w:pPr>
      <w:keepNext/>
      <w:keepLines/>
      <w:spacing w:line="415" w:lineRule="auto"/>
      <w:outlineLvl w:val="1"/>
    </w:pPr>
    <w:rPr>
      <w:rFonts w:ascii="Arial" w:hAnsi="Arial" w:eastAsia="仿宋"/>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8630"/>
      </w:tabs>
      <w:snapToGrid w:val="0"/>
      <w:spacing w:line="360" w:lineRule="auto"/>
    </w:pPr>
    <w:rPr>
      <w:rFonts w:ascii="仿宋_GB2312" w:hAnsi="宋体" w:eastAsia="仿宋_GB2312"/>
      <w:b/>
      <w:sz w:val="28"/>
      <w:szCs w:val="28"/>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eastAsia="Times New Roman"/>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39"/>
    <w:pPr>
      <w:tabs>
        <w:tab w:val="right" w:leader="dot" w:pos="8647"/>
      </w:tabs>
      <w:spacing w:line="500" w:lineRule="exact"/>
      <w:ind w:left="420" w:leftChars="200"/>
    </w:pPr>
    <w:rPr>
      <w:rFonts w:ascii="Arial Narrow" w:hAnsi="Arial Narrow" w:eastAsia="仿宋_GB2312"/>
      <w:color w:val="000000"/>
      <w:sz w:val="28"/>
      <w:szCs w:val="2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lang w:eastAsia="en-US"/>
    </w:rPr>
  </w:style>
  <w:style w:type="table" w:styleId="12">
    <w:name w:val="Table Grid"/>
    <w:basedOn w:val="11"/>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TOC Heading"/>
    <w:basedOn w:val="3"/>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16">
    <w:name w:val="纯文本1"/>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6341</Words>
  <Characters>6743</Characters>
  <Lines>0</Lines>
  <Paragraphs>0</Paragraphs>
  <TotalTime>4</TotalTime>
  <ScaleCrop>false</ScaleCrop>
  <LinksUpToDate>false</LinksUpToDate>
  <CharactersWithSpaces>6995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2022-08-08T09:25:00Z</dcterms:created>
  <dc:creator>sun</dc:creator>
  <cp:lastModifiedBy>Administrator</cp:lastModifiedBy>
  <dcterms:modified xsi:type="dcterms:W3CDTF">2022-10-20T07:47:33Z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A268FBDE02D7430C8AD10EDDB9ACAFCF</vt:lpwstr>
  </property>
</Properties>
</file>