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58" w:leftChars="202" w:right="279" w:rightChars="123"/>
        <w:jc w:val="center"/>
        <w:rPr>
          <w:b/>
          <w:color w:val="FF0000"/>
          <w:sz w:val="44"/>
          <w:szCs w:val="44"/>
        </w:rPr>
      </w:pPr>
    </w:p>
    <w:p>
      <w:pPr>
        <w:tabs>
          <w:tab w:val="left" w:pos="142"/>
          <w:tab w:val="left" w:pos="8647"/>
        </w:tabs>
        <w:ind w:left="-140" w:leftChars="-62" w:right="263" w:rightChars="116" w:firstLine="142"/>
        <w:jc w:val="center"/>
        <w:rPr>
          <w:rFonts w:ascii="宋体" w:hAnsi="宋体" w:cs="仿宋_GB2312"/>
          <w:b/>
          <w:sz w:val="44"/>
          <w:szCs w:val="44"/>
        </w:rPr>
      </w:pPr>
      <w:r>
        <w:rPr>
          <w:rFonts w:hint="eastAsia" w:ascii="宋体" w:hAnsi="宋体" w:cs="仿宋_GB2312"/>
          <w:b/>
          <w:sz w:val="44"/>
          <w:szCs w:val="44"/>
          <w:lang w:eastAsia="zh-CN"/>
        </w:rPr>
        <w:t>永胜县永北镇兰桂小区2单元502室住宅</w:t>
      </w:r>
      <w:r>
        <w:rPr>
          <w:rFonts w:hint="eastAsia" w:ascii="宋体" w:hAnsi="宋体" w:cs="仿宋_GB2312"/>
          <w:b/>
          <w:sz w:val="44"/>
          <w:szCs w:val="44"/>
        </w:rPr>
        <w:t>用途房地产司法鉴定</w:t>
      </w:r>
      <w:r>
        <w:rPr>
          <w:rFonts w:hint="eastAsia" w:ascii="宋体" w:hAnsi="宋体" w:cs="仿宋_GB2312"/>
          <w:b/>
          <w:sz w:val="44"/>
          <w:szCs w:val="44"/>
          <w:lang w:eastAsia="zh-CN"/>
        </w:rPr>
        <w:t>估价</w:t>
      </w:r>
      <w:r>
        <w:rPr>
          <w:rFonts w:hint="eastAsia"/>
          <w:b/>
          <w:sz w:val="44"/>
          <w:szCs w:val="44"/>
        </w:rPr>
        <w:t>报告</w:t>
      </w:r>
    </w:p>
    <w:p>
      <w:pPr>
        <w:ind w:right="122" w:rightChars="54"/>
        <w:rPr>
          <w:sz w:val="36"/>
          <w:szCs w:val="36"/>
        </w:rPr>
      </w:pPr>
    </w:p>
    <w:p>
      <w:pPr>
        <w:ind w:left="565" w:leftChars="202" w:right="279" w:rightChars="123" w:hanging="107" w:hangingChars="34"/>
        <w:rPr>
          <w:rFonts w:ascii="宋体" w:hAnsi="宋体"/>
          <w:sz w:val="30"/>
          <w:szCs w:val="30"/>
        </w:rPr>
      </w:pPr>
    </w:p>
    <w:p>
      <w:pPr>
        <w:ind w:left="458" w:leftChars="202" w:right="279" w:rightChars="123"/>
        <w:rPr>
          <w:rFonts w:ascii="宋体" w:hAnsi="宋体"/>
          <w:sz w:val="30"/>
          <w:szCs w:val="30"/>
        </w:rPr>
      </w:pPr>
    </w:p>
    <w:p>
      <w:pPr>
        <w:ind w:left="458" w:leftChars="202" w:right="279" w:rightChars="123"/>
        <w:rPr>
          <w:rFonts w:ascii="宋体" w:hAnsi="宋体"/>
          <w:sz w:val="30"/>
          <w:szCs w:val="30"/>
        </w:rPr>
      </w:pPr>
    </w:p>
    <w:p>
      <w:pPr>
        <w:ind w:left="458" w:leftChars="202" w:right="279" w:rightChars="123"/>
        <w:rPr>
          <w:rFonts w:ascii="宋体" w:hAnsi="宋体"/>
          <w:sz w:val="30"/>
          <w:szCs w:val="30"/>
        </w:rPr>
      </w:pPr>
    </w:p>
    <w:p>
      <w:pPr>
        <w:ind w:left="458" w:leftChars="202" w:right="279" w:rightChars="123"/>
        <w:rPr>
          <w:rFonts w:ascii="宋体" w:hAnsi="宋体"/>
          <w:sz w:val="30"/>
          <w:szCs w:val="30"/>
        </w:rPr>
      </w:pPr>
      <w:r>
        <w:rPr>
          <w:rFonts w:hint="eastAsia" w:ascii="宋体" w:hAnsi="宋体"/>
          <w:sz w:val="30"/>
          <w:szCs w:val="30"/>
        </w:rPr>
        <w:t>[报告摘要]</w:t>
      </w:r>
    </w:p>
    <w:p>
      <w:pPr>
        <w:ind w:left="456" w:leftChars="201" w:firstLine="681" w:firstLineChars="215"/>
        <w:rPr>
          <w:sz w:val="28"/>
          <w:szCs w:val="28"/>
        </w:rPr>
      </w:pPr>
      <w:r>
        <w:rPr>
          <w:rFonts w:hint="eastAsia" w:ascii="宋体" w:hAnsi="宋体"/>
          <w:sz w:val="30"/>
          <w:szCs w:val="30"/>
        </w:rPr>
        <w:t>本报告评估的是</w:t>
      </w:r>
      <w:r>
        <w:rPr>
          <w:rFonts w:hint="eastAsia" w:ascii="宋体" w:hAnsi="宋体" w:cs="仿宋_GB2312"/>
          <w:sz w:val="30"/>
          <w:szCs w:val="30"/>
          <w:lang w:eastAsia="zh-CN"/>
        </w:rPr>
        <w:t>永胜县永北镇兰桂小区2单元502室</w:t>
      </w:r>
      <w:r>
        <w:rPr>
          <w:rFonts w:hint="eastAsia" w:ascii="宋体" w:hAnsi="宋体" w:cs="仿宋_GB2312"/>
          <w:sz w:val="30"/>
          <w:szCs w:val="30"/>
        </w:rPr>
        <w:t>住宅用途房地产市场价值</w:t>
      </w:r>
      <w:r>
        <w:rPr>
          <w:rFonts w:hint="eastAsia" w:ascii="宋体" w:hAnsi="宋体"/>
          <w:sz w:val="30"/>
          <w:szCs w:val="30"/>
        </w:rPr>
        <w:t>,估价目的是为司法拍卖提供价值参考依据而评估房地产市场价值。</w:t>
      </w:r>
    </w:p>
    <w:p>
      <w:pPr>
        <w:ind w:left="458" w:leftChars="202" w:right="279" w:rightChars="123" w:firstLine="621" w:firstLineChars="196"/>
        <w:rPr>
          <w:rFonts w:ascii="宋体" w:hAnsi="宋体"/>
          <w:sz w:val="30"/>
          <w:szCs w:val="30"/>
        </w:rPr>
      </w:pPr>
      <w:r>
        <w:rPr>
          <w:rFonts w:hint="eastAsia" w:ascii="宋体" w:hAnsi="宋体"/>
          <w:sz w:val="30"/>
          <w:szCs w:val="30"/>
        </w:rPr>
        <w:t xml:space="preserve"> </w:t>
      </w:r>
    </w:p>
    <w:p/>
    <w:p>
      <w:pPr>
        <w:rPr>
          <w:b/>
        </w:rPr>
      </w:pPr>
    </w:p>
    <w:p>
      <w:pPr>
        <w:ind w:firstLine="4728" w:firstLineChars="2083"/>
        <w:rPr>
          <w:b/>
        </w:rPr>
      </w:pPr>
    </w:p>
    <w:p>
      <w:pPr>
        <w:ind w:left="458" w:leftChars="202" w:right="279" w:rightChars="123" w:firstLine="2"/>
        <w:jc w:val="right"/>
        <w:rPr>
          <w:b/>
          <w:sz w:val="30"/>
          <w:szCs w:val="30"/>
        </w:rPr>
      </w:pPr>
    </w:p>
    <w:p>
      <w:pPr>
        <w:spacing w:line="440" w:lineRule="exact"/>
        <w:jc w:val="both"/>
        <w:rPr>
          <w:rFonts w:ascii="隶书" w:hAnsi="宋体" w:eastAsia="隶书" w:cs="仿宋_GB2312"/>
          <w:sz w:val="36"/>
          <w:szCs w:val="36"/>
        </w:rPr>
      </w:pPr>
    </w:p>
    <w:p>
      <w:pPr>
        <w:spacing w:line="440" w:lineRule="exact"/>
        <w:jc w:val="center"/>
        <w:rPr>
          <w:rFonts w:ascii="隶书" w:hAnsi="宋体" w:eastAsia="隶书" w:cs="仿宋_GB2312"/>
          <w:sz w:val="36"/>
          <w:szCs w:val="36"/>
        </w:rPr>
      </w:pPr>
    </w:p>
    <w:p>
      <w:pPr>
        <w:spacing w:line="440" w:lineRule="exact"/>
        <w:jc w:val="center"/>
        <w:rPr>
          <w:rFonts w:ascii="隶书" w:hAnsi="宋体" w:eastAsia="隶书" w:cs="仿宋_GB2312"/>
          <w:sz w:val="36"/>
          <w:szCs w:val="36"/>
        </w:rPr>
      </w:pPr>
    </w:p>
    <w:p>
      <w:pPr>
        <w:spacing w:line="440" w:lineRule="exact"/>
        <w:jc w:val="center"/>
        <w:rPr>
          <w:rFonts w:ascii="隶书" w:hAnsi="宋体" w:eastAsia="隶书" w:cs="仿宋_GB2312"/>
          <w:sz w:val="36"/>
          <w:szCs w:val="36"/>
        </w:rPr>
      </w:pPr>
    </w:p>
    <w:p>
      <w:pPr>
        <w:spacing w:line="440" w:lineRule="exact"/>
        <w:jc w:val="center"/>
        <w:rPr>
          <w:rFonts w:ascii="隶书" w:eastAsia="隶书"/>
          <w:sz w:val="36"/>
          <w:szCs w:val="36"/>
        </w:rPr>
      </w:pPr>
      <w:r>
        <w:rPr>
          <w:rFonts w:hint="eastAsia" w:ascii="隶书" w:hAnsi="宋体" w:eastAsia="隶书" w:cs="仿宋_GB2312"/>
          <w:sz w:val="36"/>
          <w:szCs w:val="36"/>
        </w:rPr>
        <w:t>曲靖市恒通房地产土地评估有限公司</w:t>
      </w:r>
    </w:p>
    <w:p>
      <w:pPr>
        <w:tabs>
          <w:tab w:val="left" w:pos="1800"/>
        </w:tabs>
        <w:spacing w:line="440" w:lineRule="exact"/>
        <w:jc w:val="center"/>
        <w:rPr>
          <w:sz w:val="36"/>
          <w:szCs w:val="36"/>
        </w:rPr>
      </w:pPr>
      <w:r>
        <w:rPr>
          <w:sz w:val="36"/>
          <w:szCs w:val="36"/>
        </w:rPr>
        <w:t>Qu Jing City Heng Tong real estate appraises Ltd.</w:t>
      </w:r>
    </w:p>
    <w:p>
      <w:pPr>
        <w:pageBreakBefore/>
        <w:spacing w:line="598" w:lineRule="atLeast"/>
        <w:ind w:hanging="11"/>
        <w:jc w:val="center"/>
        <w:textAlignment w:val="center"/>
        <w:rPr>
          <w:rFonts w:ascii="宋体" w:hAnsi="宋体" w:cs="仿宋_GB2312"/>
          <w:spacing w:val="30"/>
          <w:sz w:val="52"/>
          <w:szCs w:val="52"/>
        </w:rPr>
      </w:pPr>
      <w:r>
        <w:rPr>
          <w:rFonts w:hint="eastAsia" w:asciiTheme="minorEastAsia" w:hAnsiTheme="minorEastAsia" w:eastAsiaTheme="minorEastAsia"/>
          <w:bCs/>
          <w:sz w:val="52"/>
          <w:szCs w:val="52"/>
        </w:rPr>
        <w:t>房地产司法鉴定估价报告</w:t>
      </w:r>
    </w:p>
    <w:p>
      <w:pPr>
        <w:spacing w:line="723" w:lineRule="atLeast"/>
        <w:textAlignment w:val="center"/>
        <w:rPr>
          <w:rFonts w:ascii="宋体" w:hAnsi="宋体" w:cs="仿宋_GB2312"/>
          <w:spacing w:val="-24"/>
          <w:sz w:val="44"/>
        </w:rPr>
      </w:pPr>
    </w:p>
    <w:p>
      <w:pPr>
        <w:tabs>
          <w:tab w:val="left" w:pos="9356"/>
          <w:tab w:val="left" w:pos="9781"/>
        </w:tabs>
        <w:spacing w:line="1000" w:lineRule="exact"/>
        <w:ind w:left="2220" w:right="-22" w:rightChars="-10" w:hanging="2219" w:hangingChars="700"/>
        <w:textAlignment w:val="center"/>
        <w:rPr>
          <w:rFonts w:ascii="宋体" w:hAnsi="宋体" w:cs="仿宋_GB2312"/>
          <w:sz w:val="30"/>
          <w:szCs w:val="30"/>
        </w:rPr>
      </w:pPr>
      <w:r>
        <w:rPr>
          <w:rFonts w:hint="eastAsia" w:ascii="宋体" w:hAnsi="宋体" w:cs="仿宋_GB2312"/>
          <w:sz w:val="30"/>
          <w:szCs w:val="30"/>
        </w:rPr>
        <w:t>估价报告编号：恒房地估曲字（</w:t>
      </w:r>
      <w:r>
        <w:rPr>
          <w:rFonts w:hint="eastAsia" w:ascii="宋体" w:hAnsi="宋体"/>
          <w:sz w:val="30"/>
          <w:szCs w:val="30"/>
        </w:rPr>
        <w:t>202</w:t>
      </w:r>
      <w:r>
        <w:rPr>
          <w:rFonts w:hint="eastAsia" w:ascii="宋体" w:hAnsi="宋体"/>
          <w:sz w:val="30"/>
          <w:szCs w:val="30"/>
          <w:lang w:val="en-US" w:eastAsia="zh-CN"/>
        </w:rPr>
        <w:t>2</w:t>
      </w:r>
      <w:r>
        <w:rPr>
          <w:rFonts w:hint="eastAsia" w:ascii="宋体" w:hAnsi="宋体" w:cs="仿宋_GB2312"/>
          <w:sz w:val="30"/>
          <w:szCs w:val="30"/>
        </w:rPr>
        <w:t>）年第</w:t>
      </w:r>
      <w:r>
        <w:rPr>
          <w:rFonts w:ascii="宋体" w:hAnsi="宋体"/>
          <w:sz w:val="30"/>
          <w:szCs w:val="30"/>
        </w:rPr>
        <w:t>Y</w:t>
      </w:r>
      <w:r>
        <w:rPr>
          <w:rFonts w:hint="eastAsia" w:ascii="宋体" w:hAnsi="宋体"/>
          <w:sz w:val="30"/>
          <w:szCs w:val="30"/>
          <w:lang w:val="en-US" w:eastAsia="zh-CN"/>
        </w:rPr>
        <w:t>152</w:t>
      </w:r>
      <w:r>
        <w:rPr>
          <w:rFonts w:hint="eastAsia" w:ascii="宋体" w:hAnsi="宋体" w:cs="仿宋_GB2312"/>
          <w:sz w:val="30"/>
          <w:szCs w:val="30"/>
        </w:rPr>
        <w:t>号</w:t>
      </w:r>
    </w:p>
    <w:p>
      <w:pPr>
        <w:tabs>
          <w:tab w:val="left" w:pos="9356"/>
          <w:tab w:val="left" w:pos="9781"/>
        </w:tabs>
        <w:spacing w:line="1000" w:lineRule="exact"/>
        <w:ind w:left="2125" w:right="-22" w:rightChars="-10" w:hanging="2123" w:hangingChars="670"/>
        <w:textAlignment w:val="center"/>
        <w:rPr>
          <w:rFonts w:ascii="宋体" w:hAnsi="宋体" w:cs="仿宋_GB2312"/>
          <w:sz w:val="30"/>
          <w:szCs w:val="30"/>
        </w:rPr>
      </w:pPr>
      <w:r>
        <w:rPr>
          <w:rFonts w:hint="eastAsia" w:ascii="宋体" w:hAnsi="宋体" w:cs="仿宋_GB2312"/>
          <w:sz w:val="30"/>
          <w:szCs w:val="30"/>
        </w:rPr>
        <w:t>估价项目名称：</w:t>
      </w:r>
      <w:r>
        <w:rPr>
          <w:rFonts w:hint="eastAsia" w:ascii="宋体" w:hAnsi="宋体" w:cs="仿宋_GB2312"/>
          <w:sz w:val="30"/>
          <w:szCs w:val="30"/>
          <w:lang w:eastAsia="zh-CN"/>
        </w:rPr>
        <w:t>永胜县永北镇兰桂小区2单元502室住宅</w:t>
      </w:r>
      <w:r>
        <w:rPr>
          <w:rFonts w:hint="eastAsia" w:ascii="宋体" w:hAnsi="宋体" w:cs="仿宋_GB2312"/>
          <w:sz w:val="30"/>
          <w:szCs w:val="30"/>
        </w:rPr>
        <w:t>用途房地产司法鉴定评估</w:t>
      </w:r>
    </w:p>
    <w:p>
      <w:pPr>
        <w:spacing w:line="1000" w:lineRule="exact"/>
        <w:ind w:right="-22" w:rightChars="-10"/>
        <w:textAlignment w:val="center"/>
        <w:rPr>
          <w:rFonts w:hint="eastAsia" w:ascii="宋体" w:hAnsi="宋体" w:eastAsia="宋体" w:cs="仿宋_GB2312"/>
          <w:sz w:val="30"/>
          <w:szCs w:val="30"/>
          <w:lang w:eastAsia="zh-CN"/>
        </w:rPr>
      </w:pPr>
      <w:r>
        <w:rPr>
          <w:rFonts w:hint="eastAsia" w:ascii="宋体" w:hAnsi="宋体" w:cs="仿宋_GB2312"/>
          <w:sz w:val="30"/>
          <w:szCs w:val="30"/>
        </w:rPr>
        <w:t xml:space="preserve">估价委托人：  </w:t>
      </w:r>
      <w:r>
        <w:rPr>
          <w:rFonts w:hint="eastAsia" w:ascii="宋体" w:hAnsi="宋体" w:cs="仿宋_GB2312"/>
          <w:sz w:val="30"/>
          <w:szCs w:val="30"/>
          <w:lang w:eastAsia="zh-CN"/>
        </w:rPr>
        <w:t>永胜县人民法院</w:t>
      </w:r>
    </w:p>
    <w:p>
      <w:pPr>
        <w:spacing w:line="1000" w:lineRule="exact"/>
        <w:textAlignment w:val="center"/>
        <w:rPr>
          <w:rFonts w:ascii="宋体" w:hAnsi="宋体" w:cs="仿宋_GB2312"/>
          <w:sz w:val="30"/>
          <w:szCs w:val="30"/>
        </w:rPr>
      </w:pPr>
      <w:r>
        <w:rPr>
          <w:rFonts w:hint="eastAsia" w:ascii="宋体" w:hAnsi="宋体" w:cs="仿宋_GB2312"/>
          <w:sz w:val="30"/>
          <w:szCs w:val="30"/>
        </w:rPr>
        <w:t>房地产估价机构：  曲靖市恒通房地产土地评估有限公司</w:t>
      </w:r>
    </w:p>
    <w:p>
      <w:pPr>
        <w:spacing w:line="1000" w:lineRule="exact"/>
        <w:textAlignment w:val="center"/>
        <w:rPr>
          <w:rFonts w:ascii="宋体" w:hAnsi="宋体" w:cs="仿宋_GB2312"/>
          <w:sz w:val="30"/>
          <w:szCs w:val="30"/>
        </w:rPr>
      </w:pPr>
      <w:r>
        <w:rPr>
          <w:rFonts w:hint="eastAsia" w:ascii="宋体" w:hAnsi="宋体" w:cs="仿宋_GB2312"/>
          <w:sz w:val="30"/>
          <w:szCs w:val="30"/>
        </w:rPr>
        <w:t>注册房地产估价师：杨高云（注册号</w:t>
      </w:r>
      <w:r>
        <w:rPr>
          <w:rFonts w:ascii="宋体" w:hAnsi="宋体"/>
          <w:sz w:val="30"/>
          <w:szCs w:val="30"/>
        </w:rPr>
        <w:t>53200</w:t>
      </w:r>
      <w:r>
        <w:rPr>
          <w:rFonts w:hint="eastAsia" w:ascii="宋体" w:hAnsi="宋体"/>
          <w:sz w:val="30"/>
          <w:szCs w:val="30"/>
        </w:rPr>
        <w:t>60029</w:t>
      </w:r>
      <w:r>
        <w:rPr>
          <w:rFonts w:hint="eastAsia" w:ascii="宋体" w:hAnsi="宋体" w:cs="仿宋_GB2312"/>
          <w:sz w:val="30"/>
          <w:szCs w:val="30"/>
        </w:rPr>
        <w:t>）</w:t>
      </w:r>
    </w:p>
    <w:p>
      <w:pPr>
        <w:spacing w:line="1000" w:lineRule="exact"/>
        <w:ind w:firstLine="634" w:firstLineChars="200"/>
        <w:textAlignment w:val="center"/>
        <w:rPr>
          <w:rFonts w:ascii="宋体" w:hAnsi="宋体" w:cs="仿宋_GB2312"/>
          <w:sz w:val="30"/>
          <w:szCs w:val="30"/>
        </w:rPr>
      </w:pPr>
      <w:r>
        <w:rPr>
          <w:rFonts w:hint="eastAsia" w:ascii="宋体" w:hAnsi="宋体" w:cs="仿宋_GB2312"/>
          <w:sz w:val="30"/>
          <w:szCs w:val="30"/>
        </w:rPr>
        <w:t xml:space="preserve">              刘承文（注册号5320040057）</w:t>
      </w:r>
    </w:p>
    <w:p>
      <w:pPr>
        <w:spacing w:line="1000" w:lineRule="exact"/>
        <w:textAlignment w:val="center"/>
        <w:rPr>
          <w:rFonts w:hint="eastAsia" w:ascii="宋体" w:hAnsi="宋体" w:eastAsia="宋体" w:cs="仿宋_GB2312"/>
          <w:sz w:val="30"/>
          <w:szCs w:val="30"/>
          <w:lang w:eastAsia="zh-CN"/>
        </w:rPr>
      </w:pPr>
      <w:r>
        <w:rPr>
          <w:rFonts w:hint="eastAsia" w:ascii="宋体" w:hAnsi="宋体" w:cs="仿宋_GB2312"/>
          <w:sz w:val="30"/>
          <w:szCs w:val="30"/>
        </w:rPr>
        <w:t xml:space="preserve">估价报告出具日期: </w:t>
      </w:r>
      <w:r>
        <w:rPr>
          <w:rFonts w:hint="eastAsia" w:ascii="宋体" w:hAnsi="宋体"/>
          <w:sz w:val="30"/>
          <w:szCs w:val="30"/>
          <w:lang w:eastAsia="zh-CN"/>
        </w:rPr>
        <w:t>2022年10月10日</w:t>
      </w:r>
    </w:p>
    <w:p>
      <w:pPr>
        <w:ind w:firstLine="4728" w:firstLineChars="2083"/>
        <w:rPr>
          <w:b/>
        </w:rPr>
      </w:pPr>
    </w:p>
    <w:p>
      <w:pPr>
        <w:ind w:firstLine="4728" w:firstLineChars="2083"/>
        <w:rPr>
          <w:b/>
        </w:rPr>
      </w:pPr>
    </w:p>
    <w:p>
      <w:pPr>
        <w:ind w:firstLine="4728" w:firstLineChars="2083"/>
        <w:rPr>
          <w:b/>
        </w:rPr>
      </w:pPr>
    </w:p>
    <w:p>
      <w:pPr>
        <w:ind w:firstLine="4728" w:firstLineChars="2083"/>
        <w:rPr>
          <w:b/>
        </w:rPr>
      </w:pPr>
    </w:p>
    <w:p>
      <w:pPr>
        <w:ind w:firstLine="4728" w:firstLineChars="2083"/>
        <w:rPr>
          <w:b/>
        </w:rPr>
      </w:pPr>
    </w:p>
    <w:p>
      <w:pPr>
        <w:ind w:firstLine="4728" w:firstLineChars="2083"/>
        <w:rPr>
          <w:b/>
        </w:rPr>
      </w:pPr>
    </w:p>
    <w:p>
      <w:pPr>
        <w:ind w:firstLine="4728" w:firstLineChars="2083"/>
        <w:rPr>
          <w:b/>
        </w:rPr>
      </w:pPr>
    </w:p>
    <w:p>
      <w:pPr>
        <w:ind w:firstLine="4728" w:firstLineChars="2083"/>
        <w:rPr>
          <w:b/>
        </w:rPr>
      </w:pPr>
    </w:p>
    <w:p>
      <w:pPr>
        <w:ind w:firstLine="4728" w:firstLineChars="2083"/>
        <w:rPr>
          <w:b/>
        </w:rPr>
      </w:pPr>
    </w:p>
    <w:p>
      <w:pPr>
        <w:ind w:firstLine="4728" w:firstLineChars="2083"/>
        <w:rPr>
          <w:b/>
        </w:rPr>
      </w:pPr>
    </w:p>
    <w:p>
      <w:pPr>
        <w:keepNext/>
        <w:keepLines/>
        <w:pageBreakBefore/>
        <w:spacing w:line="600" w:lineRule="exact"/>
        <w:jc w:val="center"/>
        <w:textAlignment w:val="center"/>
        <w:rPr>
          <w:rFonts w:ascii="宋体" w:hAnsi="宋体" w:cs="仿宋_GB2312"/>
          <w:spacing w:val="15"/>
          <w:sz w:val="44"/>
        </w:rPr>
      </w:pPr>
      <w:r>
        <w:rPr>
          <w:rFonts w:hint="eastAsia" w:ascii="宋体" w:hAnsi="宋体" w:cs="仿宋_GB2312"/>
          <w:spacing w:val="15"/>
          <w:sz w:val="44"/>
        </w:rPr>
        <w:t>致估价委托方函</w:t>
      </w:r>
    </w:p>
    <w:p>
      <w:pPr>
        <w:spacing w:line="540" w:lineRule="exact"/>
        <w:jc w:val="left"/>
        <w:textAlignment w:val="center"/>
        <w:rPr>
          <w:rFonts w:hint="eastAsia" w:ascii="宋体" w:hAnsi="宋体" w:cs="仿宋_GB2312"/>
          <w:sz w:val="28"/>
          <w:szCs w:val="28"/>
        </w:rPr>
      </w:pPr>
      <w:r>
        <w:rPr>
          <w:rFonts w:hint="eastAsia" w:ascii="宋体" w:hAnsi="宋体" w:cs="仿宋_GB2312"/>
          <w:sz w:val="28"/>
          <w:szCs w:val="28"/>
          <w:lang w:eastAsia="zh-CN"/>
        </w:rPr>
        <w:t>永胜县人民法院</w:t>
      </w:r>
      <w:r>
        <w:rPr>
          <w:rFonts w:hint="eastAsia" w:ascii="宋体" w:hAnsi="宋体" w:cs="仿宋_GB2312"/>
          <w:sz w:val="28"/>
          <w:szCs w:val="28"/>
        </w:rPr>
        <w:t>：</w:t>
      </w:r>
    </w:p>
    <w:p>
      <w:pPr>
        <w:spacing w:line="540" w:lineRule="exact"/>
        <w:ind w:firstLine="594" w:firstLineChars="200"/>
        <w:textAlignment w:val="center"/>
        <w:rPr>
          <w:rFonts w:hint="default" w:ascii="宋体" w:hAnsi="宋体" w:eastAsia="宋体" w:cs="仿宋_GB2312"/>
          <w:sz w:val="28"/>
          <w:szCs w:val="28"/>
          <w:lang w:val="en-US" w:eastAsia="zh-CN"/>
        </w:rPr>
      </w:pPr>
      <w:r>
        <w:rPr>
          <w:rFonts w:hint="eastAsia" w:ascii="宋体" w:hAnsi="宋体" w:cs="仿宋_GB2312"/>
          <w:sz w:val="28"/>
          <w:szCs w:val="28"/>
        </w:rPr>
        <w:t>承蒙委托，我公司对</w:t>
      </w:r>
      <w:r>
        <w:rPr>
          <w:rFonts w:hint="eastAsia" w:ascii="宋体" w:hAnsi="宋体" w:cs="仿宋_GB2312"/>
          <w:sz w:val="30"/>
          <w:szCs w:val="30"/>
          <w:lang w:eastAsia="zh-CN"/>
        </w:rPr>
        <w:t>永胜县永北镇兰桂小区2单元502室住宅</w:t>
      </w:r>
      <w:r>
        <w:rPr>
          <w:rFonts w:hint="eastAsia" w:ascii="宋体" w:hAnsi="宋体" w:cs="仿宋_GB2312"/>
          <w:sz w:val="30"/>
          <w:szCs w:val="30"/>
        </w:rPr>
        <w:t>用途房地产</w:t>
      </w:r>
      <w:r>
        <w:rPr>
          <w:rFonts w:hint="eastAsia" w:ascii="宋体" w:hAnsi="宋体" w:cs="仿宋_GB2312"/>
          <w:spacing w:val="11"/>
          <w:kern w:val="0"/>
          <w:sz w:val="28"/>
          <w:szCs w:val="28"/>
        </w:rPr>
        <w:t>进行了</w:t>
      </w:r>
      <w:r>
        <w:rPr>
          <w:rFonts w:hint="eastAsia" w:ascii="宋体" w:hAnsi="宋体" w:cs="仿宋_GB2312"/>
          <w:sz w:val="30"/>
          <w:szCs w:val="30"/>
        </w:rPr>
        <w:t>司法鉴定评估</w:t>
      </w:r>
      <w:r>
        <w:rPr>
          <w:rFonts w:hint="eastAsia" w:ascii="宋体" w:hAnsi="宋体" w:cs="仿宋_GB2312"/>
          <w:sz w:val="28"/>
          <w:szCs w:val="28"/>
        </w:rPr>
        <w:t>。</w:t>
      </w:r>
    </w:p>
    <w:p>
      <w:pPr>
        <w:spacing w:line="540" w:lineRule="exact"/>
        <w:ind w:firstLine="594" w:firstLineChars="200"/>
        <w:textAlignment w:val="center"/>
        <w:rPr>
          <w:rFonts w:ascii="宋体" w:hAnsi="宋体" w:cs="仿宋_GB2312"/>
          <w:sz w:val="28"/>
          <w:szCs w:val="28"/>
        </w:rPr>
      </w:pPr>
      <w:r>
        <w:rPr>
          <w:rFonts w:hint="eastAsia" w:ascii="宋体" w:hAnsi="宋体" w:cs="仿宋_GB2312"/>
          <w:sz w:val="28"/>
          <w:szCs w:val="28"/>
        </w:rPr>
        <w:t>估价目的：为司法拍卖提供价值参考依据而评估房地产市场价值。</w:t>
      </w:r>
    </w:p>
    <w:p>
      <w:pPr>
        <w:spacing w:line="540" w:lineRule="exact"/>
        <w:ind w:left="-283" w:leftChars="-125" w:firstLine="130" w:firstLineChars="44"/>
        <w:textAlignment w:val="center"/>
        <w:rPr>
          <w:rFonts w:ascii="宋体" w:hAnsi="宋体" w:cs="仿宋_GB2312"/>
          <w:sz w:val="28"/>
          <w:szCs w:val="28"/>
        </w:rPr>
      </w:pPr>
      <w:r>
        <w:rPr>
          <w:rFonts w:hint="eastAsia" w:ascii="宋体" w:hAnsi="宋体" w:cs="仿宋_GB2312"/>
          <w:sz w:val="28"/>
          <w:szCs w:val="28"/>
        </w:rPr>
        <w:t xml:space="preserve">     估价对象：     </w:t>
      </w:r>
    </w:p>
    <w:tbl>
      <w:tblPr>
        <w:tblStyle w:val="21"/>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274"/>
        <w:gridCol w:w="851"/>
        <w:gridCol w:w="285"/>
        <w:gridCol w:w="138"/>
        <w:gridCol w:w="1254"/>
        <w:gridCol w:w="1018"/>
        <w:gridCol w:w="281"/>
        <w:gridCol w:w="428"/>
        <w:gridCol w:w="849"/>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center"/>
          </w:tcPr>
          <w:p>
            <w:pPr>
              <w:spacing w:line="300" w:lineRule="exact"/>
              <w:ind w:left="317" w:hanging="316" w:hangingChars="161"/>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坐落</w:t>
            </w:r>
          </w:p>
        </w:tc>
        <w:tc>
          <w:tcPr>
            <w:tcW w:w="7655" w:type="dxa"/>
            <w:gridSpan w:val="10"/>
            <w:vAlign w:val="center"/>
          </w:tcPr>
          <w:p>
            <w:pPr>
              <w:widowControl/>
              <w:spacing w:line="30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永胜县永北镇兰桂小区2单元502室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center"/>
          </w:tcPr>
          <w:p>
            <w:pPr>
              <w:widowControl/>
              <w:spacing w:line="300" w:lineRule="exact"/>
              <w:ind w:left="317" w:hanging="316" w:hangingChars="161"/>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房屋所有权人</w:t>
            </w:r>
          </w:p>
        </w:tc>
        <w:tc>
          <w:tcPr>
            <w:tcW w:w="2548" w:type="dxa"/>
            <w:gridSpan w:val="4"/>
            <w:vAlign w:val="center"/>
          </w:tcPr>
          <w:p>
            <w:pPr>
              <w:widowControl/>
              <w:spacing w:line="300" w:lineRule="exact"/>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贺东红、李鹏鸿</w:t>
            </w:r>
          </w:p>
        </w:tc>
        <w:tc>
          <w:tcPr>
            <w:tcW w:w="2553" w:type="dxa"/>
            <w:gridSpan w:val="3"/>
            <w:vAlign w:val="center"/>
          </w:tcPr>
          <w:p>
            <w:pPr>
              <w:widowControl/>
              <w:spacing w:line="30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共有情况</w:t>
            </w:r>
          </w:p>
        </w:tc>
        <w:tc>
          <w:tcPr>
            <w:tcW w:w="2554" w:type="dxa"/>
            <w:gridSpan w:val="3"/>
            <w:vAlign w:val="center"/>
          </w:tcPr>
          <w:p>
            <w:pPr>
              <w:widowControl/>
              <w:spacing w:line="300" w:lineRule="exact"/>
              <w:jc w:val="center"/>
              <w:rPr>
                <w:rFonts w:hint="eastAsia" w:cs="宋体" w:asciiTheme="minorEastAsia" w:hAnsiTheme="minorEastAsia" w:eastAsiaTheme="minorEastAsia"/>
                <w:sz w:val="18"/>
                <w:szCs w:val="18"/>
                <w:lang w:eastAsia="zh-CN"/>
              </w:rPr>
            </w:pPr>
            <w:r>
              <w:rPr>
                <w:rFonts w:hint="eastAsia" w:cs="宋体" w:asciiTheme="minorEastAsia" w:hAnsiTheme="minorEastAsia" w:eastAsiaTheme="minorEastAsia"/>
                <w:sz w:val="18"/>
                <w:szCs w:val="18"/>
                <w:lang w:val="en-US" w:eastAsia="zh-CN"/>
              </w:rPr>
              <w:t>按份共有（各50%）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center"/>
          </w:tcPr>
          <w:p>
            <w:pPr>
              <w:widowControl/>
              <w:spacing w:line="300" w:lineRule="exact"/>
              <w:ind w:left="317" w:hanging="316" w:hangingChars="161"/>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lang w:val="en-US" w:eastAsia="zh-CN"/>
              </w:rPr>
              <w:t>不动产</w:t>
            </w:r>
            <w:r>
              <w:rPr>
                <w:rFonts w:hint="eastAsia" w:cs="宋体" w:asciiTheme="minorEastAsia" w:hAnsiTheme="minorEastAsia" w:eastAsiaTheme="minorEastAsia"/>
                <w:sz w:val="18"/>
                <w:szCs w:val="18"/>
              </w:rPr>
              <w:t>权证</w:t>
            </w:r>
          </w:p>
        </w:tc>
        <w:tc>
          <w:tcPr>
            <w:tcW w:w="7655" w:type="dxa"/>
            <w:gridSpan w:val="10"/>
            <w:vAlign w:val="center"/>
          </w:tcPr>
          <w:p>
            <w:pPr>
              <w:widowControl/>
              <w:spacing w:line="300" w:lineRule="exact"/>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云（2018）永胜县不动产权第0001621号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center"/>
          </w:tcPr>
          <w:p>
            <w:pPr>
              <w:widowControl/>
              <w:spacing w:line="300" w:lineRule="exact"/>
              <w:ind w:left="317" w:hanging="316" w:hangingChars="161"/>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房屋规划用途</w:t>
            </w:r>
          </w:p>
        </w:tc>
        <w:tc>
          <w:tcPr>
            <w:tcW w:w="1274" w:type="dxa"/>
            <w:vAlign w:val="center"/>
          </w:tcPr>
          <w:p>
            <w:pPr>
              <w:widowControl/>
              <w:spacing w:line="30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住宅</w:t>
            </w:r>
          </w:p>
        </w:tc>
        <w:tc>
          <w:tcPr>
            <w:tcW w:w="1136" w:type="dxa"/>
            <w:gridSpan w:val="2"/>
            <w:vAlign w:val="center"/>
          </w:tcPr>
          <w:p>
            <w:pPr>
              <w:widowControl/>
              <w:spacing w:line="30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权属来源</w:t>
            </w:r>
          </w:p>
        </w:tc>
        <w:tc>
          <w:tcPr>
            <w:tcW w:w="1392" w:type="dxa"/>
            <w:gridSpan w:val="2"/>
            <w:vAlign w:val="center"/>
          </w:tcPr>
          <w:p>
            <w:pPr>
              <w:widowControl/>
              <w:spacing w:line="30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购买</w:t>
            </w:r>
          </w:p>
        </w:tc>
        <w:tc>
          <w:tcPr>
            <w:tcW w:w="1727" w:type="dxa"/>
            <w:gridSpan w:val="3"/>
            <w:vAlign w:val="center"/>
          </w:tcPr>
          <w:p>
            <w:pPr>
              <w:widowControl/>
              <w:spacing w:line="30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建筑面积</w:t>
            </w:r>
          </w:p>
        </w:tc>
        <w:tc>
          <w:tcPr>
            <w:tcW w:w="2126" w:type="dxa"/>
            <w:gridSpan w:val="2"/>
            <w:vAlign w:val="center"/>
          </w:tcPr>
          <w:p>
            <w:pPr>
              <w:widowControl/>
              <w:spacing w:line="300" w:lineRule="exact"/>
              <w:jc w:val="center"/>
              <w:rPr>
                <w:rFonts w:cs="宋体" w:asciiTheme="minorEastAsia" w:hAnsiTheme="minorEastAsia" w:eastAsiaTheme="minorEastAsia"/>
                <w:sz w:val="18"/>
                <w:szCs w:val="18"/>
              </w:rPr>
            </w:pPr>
            <w:r>
              <w:rPr>
                <w:rFonts w:hint="eastAsia" w:cs="仿宋_GB2312" w:asciiTheme="minorEastAsia" w:hAnsiTheme="minorEastAsia" w:eastAsiaTheme="minorEastAsia"/>
                <w:sz w:val="18"/>
                <w:szCs w:val="18"/>
                <w:lang w:eastAsia="zh-CN"/>
              </w:rPr>
              <w:t>131.33</w:t>
            </w:r>
            <w:r>
              <w:rPr>
                <w:rFonts w:hint="eastAsia" w:cs="仿宋_GB2312" w:asciiTheme="minorEastAsia" w:hAnsiTheme="minorEastAsia" w:eastAsiaTheme="minorEastAsia"/>
                <w:sz w:val="18"/>
                <w:szCs w:val="18"/>
              </w:rPr>
              <w:t>m</w:t>
            </w:r>
            <w:r>
              <w:rPr>
                <w:rFonts w:hint="eastAsia" w:cs="仿宋_GB2312" w:asciiTheme="minorEastAsia" w:hAnsiTheme="minorEastAsia" w:eastAsiaTheme="minorEastAsia"/>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center"/>
          </w:tcPr>
          <w:p>
            <w:pPr>
              <w:widowControl/>
              <w:spacing w:line="300" w:lineRule="exact"/>
              <w:ind w:left="317" w:hanging="316" w:hangingChars="161"/>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土地用途</w:t>
            </w:r>
          </w:p>
        </w:tc>
        <w:tc>
          <w:tcPr>
            <w:tcW w:w="2125" w:type="dxa"/>
            <w:gridSpan w:val="2"/>
            <w:vAlign w:val="center"/>
          </w:tcPr>
          <w:p>
            <w:pPr>
              <w:widowControl/>
              <w:spacing w:line="30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lang w:val="en-US" w:eastAsia="zh-CN"/>
              </w:rPr>
              <w:t>其他商服</w:t>
            </w:r>
            <w:r>
              <w:rPr>
                <w:rFonts w:hint="eastAsia" w:cs="宋体" w:asciiTheme="minorEastAsia" w:hAnsiTheme="minorEastAsia" w:eastAsiaTheme="minorEastAsia"/>
                <w:sz w:val="18"/>
                <w:szCs w:val="18"/>
              </w:rPr>
              <w:t>用地</w:t>
            </w:r>
          </w:p>
        </w:tc>
        <w:tc>
          <w:tcPr>
            <w:tcW w:w="1677" w:type="dxa"/>
            <w:gridSpan w:val="3"/>
            <w:vAlign w:val="center"/>
          </w:tcPr>
          <w:p>
            <w:pPr>
              <w:widowControl/>
              <w:spacing w:line="30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使用权面积</w:t>
            </w:r>
          </w:p>
        </w:tc>
        <w:tc>
          <w:tcPr>
            <w:tcW w:w="1018" w:type="dxa"/>
            <w:vAlign w:val="center"/>
          </w:tcPr>
          <w:p>
            <w:pPr>
              <w:widowControl/>
              <w:spacing w:line="300" w:lineRule="exact"/>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29.22</w:t>
            </w:r>
            <w:r>
              <w:rPr>
                <w:rFonts w:hint="eastAsia" w:cs="仿宋_GB2312" w:asciiTheme="minorEastAsia" w:hAnsiTheme="minorEastAsia" w:eastAsiaTheme="minorEastAsia"/>
                <w:sz w:val="18"/>
                <w:szCs w:val="18"/>
              </w:rPr>
              <w:t>m</w:t>
            </w:r>
            <w:r>
              <w:rPr>
                <w:rFonts w:hint="eastAsia" w:cs="仿宋_GB2312" w:asciiTheme="minorEastAsia" w:hAnsiTheme="minorEastAsia" w:eastAsiaTheme="minorEastAsia"/>
                <w:sz w:val="18"/>
                <w:szCs w:val="18"/>
                <w:vertAlign w:val="superscript"/>
              </w:rPr>
              <w:t>2</w:t>
            </w:r>
          </w:p>
        </w:tc>
        <w:tc>
          <w:tcPr>
            <w:tcW w:w="1558" w:type="dxa"/>
            <w:gridSpan w:val="3"/>
            <w:vAlign w:val="center"/>
          </w:tcPr>
          <w:p>
            <w:pPr>
              <w:widowControl/>
              <w:spacing w:line="30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土地权利性质</w:t>
            </w:r>
          </w:p>
        </w:tc>
        <w:tc>
          <w:tcPr>
            <w:tcW w:w="1277" w:type="dxa"/>
            <w:vAlign w:val="center"/>
          </w:tcPr>
          <w:p>
            <w:pPr>
              <w:widowControl/>
              <w:spacing w:line="300" w:lineRule="exact"/>
              <w:jc w:val="center"/>
              <w:rPr>
                <w:rFonts w:hint="eastAsia" w:cs="宋体" w:asciiTheme="minorEastAsia" w:hAnsiTheme="minorEastAsia" w:eastAsiaTheme="minorEastAsia"/>
                <w:sz w:val="18"/>
                <w:szCs w:val="18"/>
                <w:lang w:eastAsia="zh-CN"/>
              </w:rPr>
            </w:pPr>
            <w:r>
              <w:rPr>
                <w:rFonts w:hint="eastAsia" w:cs="宋体" w:asciiTheme="minorEastAsia" w:hAnsiTheme="minorEastAsia" w:eastAsiaTheme="minorEastAsia"/>
                <w:sz w:val="18"/>
                <w:szCs w:val="18"/>
                <w:lang w:val="en-US" w:eastAsia="zh-CN"/>
              </w:rPr>
              <w:t>出让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center"/>
          </w:tcPr>
          <w:p>
            <w:pPr>
              <w:widowControl/>
              <w:spacing w:line="300" w:lineRule="exact"/>
              <w:ind w:left="317" w:hanging="316" w:hangingChars="161"/>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使用权期限</w:t>
            </w:r>
          </w:p>
        </w:tc>
        <w:tc>
          <w:tcPr>
            <w:tcW w:w="3802" w:type="dxa"/>
            <w:gridSpan w:val="5"/>
            <w:vAlign w:val="center"/>
          </w:tcPr>
          <w:p>
            <w:pPr>
              <w:widowControl/>
              <w:spacing w:line="300" w:lineRule="exact"/>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2007年11月26日起2057年11月26日止</w:t>
            </w:r>
          </w:p>
        </w:tc>
        <w:tc>
          <w:tcPr>
            <w:tcW w:w="2576" w:type="dxa"/>
            <w:gridSpan w:val="4"/>
            <w:vAlign w:val="center"/>
          </w:tcPr>
          <w:p>
            <w:pPr>
              <w:widowControl/>
              <w:spacing w:line="30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至价值时点剩余使用年期</w:t>
            </w:r>
          </w:p>
        </w:tc>
        <w:tc>
          <w:tcPr>
            <w:tcW w:w="1277" w:type="dxa"/>
            <w:vAlign w:val="center"/>
          </w:tcPr>
          <w:p>
            <w:pPr>
              <w:widowControl/>
              <w:spacing w:line="300" w:lineRule="exact"/>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约35.17年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center"/>
          </w:tcPr>
          <w:p>
            <w:pPr>
              <w:widowControl/>
              <w:spacing w:line="300" w:lineRule="exact"/>
              <w:ind w:left="317" w:hanging="316" w:hangingChars="161"/>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估价财产范围</w:t>
            </w:r>
          </w:p>
        </w:tc>
        <w:tc>
          <w:tcPr>
            <w:tcW w:w="7655" w:type="dxa"/>
            <w:gridSpan w:val="10"/>
          </w:tcPr>
          <w:p>
            <w:pPr>
              <w:widowControl/>
              <w:spacing w:line="300" w:lineRule="exact"/>
              <w:rPr>
                <w:rFonts w:cs="宋体" w:asciiTheme="minorEastAsia" w:hAnsiTheme="minorEastAsia" w:eastAsiaTheme="minorEastAsia"/>
                <w:sz w:val="18"/>
                <w:szCs w:val="18"/>
              </w:rPr>
            </w:pPr>
            <w:r>
              <w:rPr>
                <w:rFonts w:hint="eastAsia" w:cs="仿宋_GB2312" w:asciiTheme="minorEastAsia" w:hAnsiTheme="minorEastAsia" w:eastAsiaTheme="minorEastAsia"/>
                <w:kern w:val="0"/>
                <w:sz w:val="18"/>
                <w:szCs w:val="18"/>
              </w:rPr>
              <w:t>本次估价范围包括建筑物建筑面积</w:t>
            </w:r>
            <w:r>
              <w:rPr>
                <w:rFonts w:hint="eastAsia" w:cs="仿宋_GB2312" w:asciiTheme="minorEastAsia" w:hAnsiTheme="minorEastAsia" w:eastAsiaTheme="minorEastAsia"/>
                <w:kern w:val="0"/>
                <w:sz w:val="18"/>
                <w:szCs w:val="18"/>
                <w:lang w:val="en-US" w:eastAsia="zh-CN"/>
              </w:rPr>
              <w:t>131.33㎡</w:t>
            </w:r>
            <w:r>
              <w:rPr>
                <w:rFonts w:hint="eastAsia" w:cs="仿宋_GB2312" w:asciiTheme="minorEastAsia" w:hAnsiTheme="minorEastAsia" w:eastAsiaTheme="minorEastAsia"/>
                <w:kern w:val="0"/>
                <w:sz w:val="18"/>
                <w:szCs w:val="18"/>
              </w:rPr>
              <w:t>、分摊国有土地使用权</w:t>
            </w:r>
            <w:r>
              <w:rPr>
                <w:rFonts w:hint="eastAsia" w:cs="仿宋_GB2312" w:asciiTheme="minorEastAsia" w:hAnsiTheme="minorEastAsia" w:eastAsiaTheme="minorEastAsia"/>
                <w:kern w:val="0"/>
                <w:sz w:val="18"/>
                <w:szCs w:val="18"/>
                <w:lang w:eastAsia="zh-CN"/>
              </w:rPr>
              <w:t>、</w:t>
            </w:r>
            <w:r>
              <w:rPr>
                <w:rFonts w:hint="eastAsia" w:cs="仿宋_GB2312" w:asciiTheme="minorEastAsia" w:hAnsiTheme="minorEastAsia" w:eastAsiaTheme="minorEastAsia"/>
                <w:kern w:val="0"/>
                <w:sz w:val="18"/>
                <w:szCs w:val="18"/>
              </w:rPr>
              <w:t>室内二次装修及公共配套设施，不包括动产、债权债务、特许经营权等其他财产或权益。</w:t>
            </w:r>
          </w:p>
        </w:tc>
      </w:tr>
    </w:tbl>
    <w:p>
      <w:pPr>
        <w:spacing w:line="600" w:lineRule="exact"/>
        <w:ind w:left="-283" w:leftChars="-125" w:firstLine="130" w:firstLineChars="44"/>
        <w:textAlignment w:val="center"/>
        <w:rPr>
          <w:rFonts w:ascii="宋体" w:hAnsi="宋体" w:cs="仿宋_GB2312"/>
          <w:sz w:val="28"/>
          <w:szCs w:val="28"/>
        </w:rPr>
      </w:pPr>
      <w:r>
        <w:rPr>
          <w:rFonts w:hint="eastAsia" w:ascii="宋体" w:hAnsi="宋体" w:cs="仿宋_GB2312"/>
          <w:sz w:val="28"/>
          <w:szCs w:val="28"/>
        </w:rPr>
        <w:t xml:space="preserve"> </w:t>
      </w:r>
      <w:r>
        <w:rPr>
          <w:rFonts w:hint="eastAsia" w:ascii="宋体" w:hAnsi="宋体" w:cs="仿宋_GB2312"/>
          <w:sz w:val="28"/>
          <w:szCs w:val="28"/>
          <w:lang w:val="en-US" w:eastAsia="zh-CN"/>
        </w:rPr>
        <w:t xml:space="preserve">    </w:t>
      </w:r>
      <w:r>
        <w:rPr>
          <w:rFonts w:hint="eastAsia" w:ascii="宋体" w:hAnsi="宋体" w:cs="仿宋_GB2312"/>
          <w:sz w:val="28"/>
          <w:szCs w:val="28"/>
        </w:rPr>
        <w:t>价值时点：</w:t>
      </w:r>
      <w:r>
        <w:rPr>
          <w:rFonts w:hint="eastAsia" w:ascii="宋体" w:hAnsi="宋体"/>
          <w:bCs/>
          <w:sz w:val="28"/>
          <w:lang w:eastAsia="zh-CN"/>
        </w:rPr>
        <w:t>2022年09月21日</w:t>
      </w:r>
      <w:r>
        <w:rPr>
          <w:rFonts w:hint="eastAsia" w:ascii="宋体" w:hAnsi="宋体" w:cs="仿宋_GB2312"/>
          <w:spacing w:val="11"/>
          <w:sz w:val="28"/>
          <w:szCs w:val="28"/>
        </w:rPr>
        <w:t>（实地勘察估价对象之日）</w:t>
      </w:r>
      <w:r>
        <w:rPr>
          <w:rFonts w:hint="eastAsia" w:ascii="宋体" w:hAnsi="宋体" w:cs="仿宋_GB2312"/>
          <w:sz w:val="28"/>
          <w:szCs w:val="28"/>
        </w:rPr>
        <w:t>。</w:t>
      </w:r>
    </w:p>
    <w:p>
      <w:pPr>
        <w:spacing w:line="600" w:lineRule="exact"/>
        <w:ind w:firstLine="594" w:firstLineChars="200"/>
        <w:textAlignment w:val="center"/>
        <w:rPr>
          <w:rFonts w:ascii="宋体" w:hAnsi="宋体" w:cs="仿宋_GB2312"/>
          <w:sz w:val="28"/>
          <w:szCs w:val="28"/>
        </w:rPr>
      </w:pPr>
      <w:r>
        <w:rPr>
          <w:rFonts w:hint="eastAsia" w:ascii="宋体" w:hAnsi="宋体" w:cs="仿宋_GB2312"/>
          <w:sz w:val="28"/>
          <w:szCs w:val="28"/>
        </w:rPr>
        <w:t>价值类型：</w:t>
      </w:r>
      <w:r>
        <w:rPr>
          <w:rFonts w:hint="eastAsia" w:ascii="宋体" w:hAnsi="宋体" w:cs="仿宋_GB2312"/>
          <w:spacing w:val="11"/>
          <w:kern w:val="0"/>
          <w:sz w:val="28"/>
          <w:szCs w:val="28"/>
        </w:rPr>
        <w:t>市场价值，</w:t>
      </w:r>
      <w:r>
        <w:rPr>
          <w:rFonts w:hint="eastAsia" w:ascii="宋体" w:hAnsi="宋体"/>
          <w:bCs/>
          <w:sz w:val="28"/>
        </w:rPr>
        <w:t>市场价值是指估价对象经适当营销后，由熟悉情况、谨慎行事且不受强迫的交易双方，以公平交易方式在价值时点自愿进行交易的金额</w:t>
      </w:r>
      <w:r>
        <w:rPr>
          <w:rFonts w:hint="eastAsia" w:ascii="宋体" w:hAnsi="宋体" w:cs="仿宋_GB2312"/>
          <w:sz w:val="28"/>
          <w:szCs w:val="28"/>
        </w:rPr>
        <w:t>。</w:t>
      </w:r>
    </w:p>
    <w:p>
      <w:pPr>
        <w:spacing w:line="600" w:lineRule="exact"/>
        <w:ind w:firstLine="594" w:firstLineChars="200"/>
        <w:textAlignment w:val="center"/>
        <w:rPr>
          <w:rFonts w:ascii="宋体" w:hAnsi="宋体"/>
          <w:sz w:val="28"/>
          <w:szCs w:val="28"/>
        </w:rPr>
      </w:pPr>
      <w:r>
        <w:rPr>
          <w:rFonts w:hint="eastAsia" w:ascii="宋体" w:hAnsi="宋体" w:cs="仿宋_GB2312"/>
          <w:sz w:val="28"/>
          <w:szCs w:val="28"/>
        </w:rPr>
        <w:t>估价方法：</w:t>
      </w:r>
      <w:r>
        <w:rPr>
          <w:rFonts w:hint="eastAsia" w:ascii="宋体" w:hAnsi="宋体" w:cs="仿宋_GB2312"/>
          <w:spacing w:val="11"/>
          <w:sz w:val="28"/>
          <w:szCs w:val="28"/>
        </w:rPr>
        <w:t>本次估价采用比较法</w:t>
      </w:r>
      <w:r>
        <w:rPr>
          <w:rFonts w:hint="eastAsia" w:ascii="宋体" w:hAnsi="宋体" w:cs="仿宋_GB2312"/>
          <w:sz w:val="28"/>
          <w:szCs w:val="28"/>
        </w:rPr>
        <w:t>。</w:t>
      </w:r>
    </w:p>
    <w:p>
      <w:pPr>
        <w:spacing w:line="600" w:lineRule="exact"/>
        <w:ind w:right="122" w:rightChars="54" w:firstLine="558" w:firstLineChars="190"/>
        <w:textAlignment w:val="center"/>
        <w:rPr>
          <w:rFonts w:ascii="宋体" w:hAnsi="宋体" w:cs="宋体"/>
          <w:color w:val="auto"/>
          <w:sz w:val="28"/>
          <w:szCs w:val="28"/>
        </w:rPr>
      </w:pPr>
      <w:r>
        <w:rPr>
          <w:rFonts w:hint="eastAsia" w:ascii="宋体" w:hAnsi="宋体" w:cs="仿宋_GB2312"/>
          <w:w w:val="99"/>
          <w:sz w:val="28"/>
          <w:szCs w:val="28"/>
        </w:rPr>
        <w:t>估价结果：</w:t>
      </w:r>
      <w:r>
        <w:rPr>
          <w:rFonts w:hint="eastAsia" w:ascii="宋体" w:hAnsi="宋体" w:cs="仿宋_GB2312"/>
          <w:color w:val="auto"/>
          <w:sz w:val="28"/>
          <w:szCs w:val="28"/>
        </w:rPr>
        <w:t>本公司依据《房地产估价规范》，遵守各项估价原则，</w:t>
      </w:r>
      <w:r>
        <w:rPr>
          <w:rFonts w:hint="eastAsia" w:ascii="宋体" w:hAnsi="宋体" w:cs="仿宋_GB2312"/>
          <w:color w:val="auto"/>
          <w:spacing w:val="11"/>
          <w:sz w:val="28"/>
          <w:szCs w:val="28"/>
        </w:rPr>
        <w:t>运用科学的估价方法，以进行现场查勘的</w:t>
      </w:r>
      <w:r>
        <w:rPr>
          <w:rFonts w:hint="eastAsia" w:ascii="宋体" w:hAnsi="宋体" w:cs="仿宋_GB2312"/>
          <w:color w:val="auto"/>
          <w:sz w:val="28"/>
          <w:szCs w:val="28"/>
          <w:lang w:eastAsia="zh-CN"/>
        </w:rPr>
        <w:t>2022年09月21日</w:t>
      </w:r>
      <w:r>
        <w:rPr>
          <w:rFonts w:hint="eastAsia" w:ascii="宋体" w:hAnsi="宋体" w:cs="仿宋_GB2312"/>
          <w:color w:val="auto"/>
          <w:sz w:val="28"/>
          <w:szCs w:val="28"/>
        </w:rPr>
        <w:t>为价值时点</w:t>
      </w:r>
      <w:r>
        <w:rPr>
          <w:rFonts w:hint="eastAsia" w:ascii="宋体" w:hAnsi="宋体" w:cs="仿宋_GB2312"/>
          <w:color w:val="auto"/>
          <w:spacing w:val="11"/>
          <w:sz w:val="28"/>
          <w:szCs w:val="28"/>
        </w:rPr>
        <w:t>，确定估价对象在满足本次估价的全部假设和限制条件下的结果为：</w:t>
      </w:r>
      <w:r>
        <w:rPr>
          <w:rFonts w:hint="eastAsia" w:ascii="宋体" w:hAnsi="宋体" w:cs="宋体"/>
          <w:color w:val="auto"/>
          <w:sz w:val="28"/>
          <w:szCs w:val="28"/>
        </w:rPr>
        <w:t>人民币</w:t>
      </w:r>
      <w:r>
        <w:rPr>
          <w:rFonts w:hint="eastAsia" w:ascii="宋体" w:hAnsi="宋体" w:cs="仿宋_GB2312"/>
          <w:color w:val="auto"/>
          <w:sz w:val="28"/>
          <w:szCs w:val="28"/>
          <w:lang w:val="en-US" w:eastAsia="zh-CN"/>
        </w:rPr>
        <w:t>陆拾叁万柒仟叁佰肆拾肆</w:t>
      </w:r>
      <w:r>
        <w:rPr>
          <w:rFonts w:hint="eastAsia" w:ascii="宋体" w:hAnsi="宋体" w:cs="仿宋_GB2312"/>
          <w:color w:val="auto"/>
          <w:sz w:val="28"/>
          <w:szCs w:val="28"/>
        </w:rPr>
        <w:t>元整</w:t>
      </w:r>
      <w:r>
        <w:rPr>
          <w:rFonts w:hint="eastAsia" w:ascii="宋体" w:hAnsi="宋体" w:cs="宋体"/>
          <w:color w:val="auto"/>
          <w:sz w:val="28"/>
          <w:szCs w:val="28"/>
        </w:rPr>
        <w:t>（</w:t>
      </w:r>
      <w:r>
        <w:rPr>
          <w:rFonts w:ascii="宋体" w:hAnsi="宋体" w:cs="宋体"/>
          <w:color w:val="auto"/>
          <w:sz w:val="28"/>
          <w:szCs w:val="28"/>
        </w:rPr>
        <w:t>RMB</w:t>
      </w:r>
      <w:r>
        <w:rPr>
          <w:rFonts w:hint="eastAsia" w:ascii="宋体" w:hAnsi="宋体" w:cs="宋体"/>
          <w:color w:val="auto"/>
          <w:sz w:val="28"/>
          <w:szCs w:val="28"/>
        </w:rPr>
        <w:t>：</w:t>
      </w:r>
      <w:r>
        <w:rPr>
          <w:rFonts w:hint="eastAsia" w:ascii="宋体" w:hAnsi="宋体"/>
          <w:color w:val="auto"/>
          <w:sz w:val="28"/>
          <w:szCs w:val="28"/>
          <w:lang w:val="en-US" w:eastAsia="zh-CN"/>
        </w:rPr>
        <w:t>637</w:t>
      </w:r>
      <w:r>
        <w:rPr>
          <w:rFonts w:hint="eastAsia" w:ascii="宋体" w:hAnsi="宋体"/>
          <w:color w:val="auto"/>
          <w:sz w:val="28"/>
          <w:szCs w:val="28"/>
        </w:rPr>
        <w:t>,</w:t>
      </w:r>
      <w:r>
        <w:rPr>
          <w:rFonts w:hint="eastAsia" w:ascii="宋体" w:hAnsi="宋体"/>
          <w:color w:val="auto"/>
          <w:sz w:val="28"/>
          <w:szCs w:val="28"/>
          <w:lang w:val="en-US" w:eastAsia="zh-CN"/>
        </w:rPr>
        <w:t>344</w:t>
      </w:r>
      <w:r>
        <w:rPr>
          <w:rFonts w:hint="eastAsia" w:ascii="宋体" w:hAnsi="宋体"/>
          <w:color w:val="auto"/>
          <w:sz w:val="28"/>
          <w:szCs w:val="28"/>
        </w:rPr>
        <w:t>.00</w:t>
      </w:r>
      <w:r>
        <w:rPr>
          <w:rFonts w:hint="eastAsia" w:ascii="宋体" w:hAnsi="宋体" w:cs="宋体"/>
          <w:color w:val="auto"/>
          <w:sz w:val="28"/>
          <w:szCs w:val="28"/>
        </w:rPr>
        <w:t>元）。</w:t>
      </w:r>
    </w:p>
    <w:tbl>
      <w:tblPr>
        <w:tblStyle w:val="2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61"/>
        <w:gridCol w:w="2409"/>
        <w:gridCol w:w="1560"/>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line="320" w:lineRule="exact"/>
              <w:ind w:left="-124" w:leftChars="-55"/>
              <w:jc w:val="center"/>
              <w:textAlignment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估价对象</w:t>
            </w:r>
          </w:p>
        </w:tc>
        <w:tc>
          <w:tcPr>
            <w:tcW w:w="2409" w:type="dxa"/>
            <w:vAlign w:val="center"/>
          </w:tcPr>
          <w:p>
            <w:pPr>
              <w:spacing w:line="320" w:lineRule="exact"/>
              <w:jc w:val="center"/>
              <w:textAlignment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建筑面积</w:t>
            </w:r>
          </w:p>
          <w:p>
            <w:pPr>
              <w:spacing w:line="320" w:lineRule="exact"/>
              <w:jc w:val="center"/>
              <w:textAlignment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（m</w:t>
            </w:r>
            <w:r>
              <w:rPr>
                <w:rFonts w:hint="eastAsia" w:asciiTheme="minorEastAsia" w:hAnsiTheme="minorEastAsia" w:eastAsiaTheme="minorEastAsia"/>
                <w:color w:val="auto"/>
                <w:szCs w:val="21"/>
                <w:vertAlign w:val="superscript"/>
              </w:rPr>
              <w:t>2</w:t>
            </w:r>
            <w:r>
              <w:rPr>
                <w:rFonts w:hint="eastAsia" w:asciiTheme="minorEastAsia" w:hAnsiTheme="minorEastAsia" w:eastAsiaTheme="minorEastAsia"/>
                <w:color w:val="auto"/>
                <w:szCs w:val="21"/>
              </w:rPr>
              <w:t>）</w:t>
            </w:r>
          </w:p>
        </w:tc>
        <w:tc>
          <w:tcPr>
            <w:tcW w:w="1560" w:type="dxa"/>
            <w:vAlign w:val="center"/>
          </w:tcPr>
          <w:p>
            <w:pPr>
              <w:spacing w:line="320" w:lineRule="exact"/>
              <w:jc w:val="center"/>
              <w:textAlignment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单价</w:t>
            </w:r>
          </w:p>
          <w:p>
            <w:pPr>
              <w:spacing w:line="320" w:lineRule="exact"/>
              <w:jc w:val="center"/>
              <w:textAlignment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（元/m</w:t>
            </w:r>
            <w:r>
              <w:rPr>
                <w:rFonts w:hint="eastAsia" w:asciiTheme="minorEastAsia" w:hAnsiTheme="minorEastAsia" w:eastAsiaTheme="minorEastAsia"/>
                <w:color w:val="auto"/>
                <w:szCs w:val="21"/>
                <w:vertAlign w:val="superscript"/>
              </w:rPr>
              <w:t>2</w:t>
            </w:r>
            <w:r>
              <w:rPr>
                <w:rFonts w:hint="eastAsia" w:asciiTheme="minorEastAsia" w:hAnsiTheme="minorEastAsia" w:eastAsiaTheme="minorEastAsia"/>
                <w:color w:val="auto"/>
                <w:szCs w:val="21"/>
              </w:rPr>
              <w:t>）</w:t>
            </w:r>
          </w:p>
        </w:tc>
        <w:tc>
          <w:tcPr>
            <w:tcW w:w="1984" w:type="dxa"/>
            <w:vAlign w:val="center"/>
          </w:tcPr>
          <w:p>
            <w:pPr>
              <w:spacing w:line="320" w:lineRule="exact"/>
              <w:jc w:val="center"/>
              <w:textAlignment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总价</w:t>
            </w:r>
          </w:p>
          <w:p>
            <w:pPr>
              <w:spacing w:line="320" w:lineRule="exact"/>
              <w:jc w:val="center"/>
              <w:textAlignment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3261" w:type="dxa"/>
            <w:vAlign w:val="center"/>
          </w:tcPr>
          <w:p>
            <w:pPr>
              <w:spacing w:line="320" w:lineRule="exact"/>
              <w:ind w:left="199" w:leftChars="88"/>
              <w:jc w:val="center"/>
              <w:textAlignment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永胜县永北镇兰桂小区2单元502室</w:t>
            </w:r>
          </w:p>
        </w:tc>
        <w:tc>
          <w:tcPr>
            <w:tcW w:w="2409" w:type="dxa"/>
            <w:vAlign w:val="center"/>
          </w:tcPr>
          <w:p>
            <w:pPr>
              <w:spacing w:line="320" w:lineRule="exact"/>
              <w:jc w:val="center"/>
              <w:textAlignment w:val="center"/>
              <w:rPr>
                <w:rFonts w:hint="default" w:eastAsiaTheme="minorEastAsia"/>
                <w:color w:val="auto"/>
                <w:szCs w:val="21"/>
                <w:lang w:val="en-US" w:eastAsia="zh-CN"/>
              </w:rPr>
            </w:pPr>
            <w:r>
              <w:rPr>
                <w:rFonts w:hint="eastAsia" w:eastAsiaTheme="minorEastAsia"/>
                <w:color w:val="auto"/>
                <w:szCs w:val="21"/>
                <w:lang w:val="en-US" w:eastAsia="zh-CN"/>
              </w:rPr>
              <w:t>131.33</w:t>
            </w:r>
          </w:p>
        </w:tc>
        <w:tc>
          <w:tcPr>
            <w:tcW w:w="1560" w:type="dxa"/>
            <w:vAlign w:val="center"/>
          </w:tcPr>
          <w:p>
            <w:pPr>
              <w:spacing w:line="320" w:lineRule="exact"/>
              <w:jc w:val="center"/>
              <w:textAlignment w:val="center"/>
              <w:rPr>
                <w:rFonts w:hint="default" w:eastAsiaTheme="minorEastAsia"/>
                <w:color w:val="auto"/>
                <w:szCs w:val="21"/>
                <w:lang w:val="en-US" w:eastAsia="zh-CN"/>
              </w:rPr>
            </w:pPr>
            <w:r>
              <w:rPr>
                <w:rFonts w:hint="eastAsia" w:eastAsiaTheme="minorEastAsia"/>
                <w:color w:val="auto"/>
                <w:szCs w:val="21"/>
                <w:lang w:val="en-US" w:eastAsia="zh-CN"/>
              </w:rPr>
              <w:t>4</w:t>
            </w:r>
            <w:r>
              <w:rPr>
                <w:rFonts w:eastAsiaTheme="minorEastAsia"/>
                <w:color w:val="auto"/>
                <w:szCs w:val="21"/>
              </w:rPr>
              <w:t>,</w:t>
            </w:r>
            <w:r>
              <w:rPr>
                <w:rFonts w:hint="eastAsia" w:eastAsiaTheme="minorEastAsia"/>
                <w:color w:val="auto"/>
                <w:szCs w:val="21"/>
                <w:lang w:val="en-US" w:eastAsia="zh-CN"/>
              </w:rPr>
              <w:t>853</w:t>
            </w:r>
          </w:p>
        </w:tc>
        <w:tc>
          <w:tcPr>
            <w:tcW w:w="1984" w:type="dxa"/>
            <w:vAlign w:val="center"/>
          </w:tcPr>
          <w:p>
            <w:pPr>
              <w:spacing w:line="320" w:lineRule="exact"/>
              <w:jc w:val="center"/>
              <w:textAlignment w:val="center"/>
              <w:rPr>
                <w:rFonts w:eastAsiaTheme="minorEastAsia"/>
                <w:color w:val="auto"/>
                <w:szCs w:val="21"/>
              </w:rPr>
            </w:pPr>
            <w:r>
              <w:rPr>
                <w:rFonts w:hint="eastAsia" w:eastAsiaTheme="minorEastAsia"/>
                <w:color w:val="auto"/>
                <w:szCs w:val="21"/>
                <w:lang w:val="en-US" w:eastAsia="zh-CN"/>
              </w:rPr>
              <w:t>637</w:t>
            </w:r>
            <w:r>
              <w:rPr>
                <w:rFonts w:eastAsiaTheme="minorEastAsia"/>
                <w:color w:val="auto"/>
                <w:szCs w:val="21"/>
              </w:rPr>
              <w:t>,</w:t>
            </w:r>
            <w:r>
              <w:rPr>
                <w:rFonts w:hint="eastAsia" w:eastAsiaTheme="minorEastAsia"/>
                <w:color w:val="auto"/>
                <w:szCs w:val="21"/>
                <w:lang w:val="en-US" w:eastAsia="zh-CN"/>
              </w:rPr>
              <w:t>344</w:t>
            </w:r>
            <w:r>
              <w:rPr>
                <w:rFonts w:eastAsiaTheme="minorEastAsia"/>
                <w:color w:val="auto"/>
                <w:szCs w:val="21"/>
              </w:rPr>
              <w:t>.00</w:t>
            </w:r>
          </w:p>
        </w:tc>
      </w:tr>
    </w:tbl>
    <w:p>
      <w:pPr>
        <w:spacing w:line="600" w:lineRule="exact"/>
        <w:ind w:right="122" w:rightChars="54" w:firstLine="564" w:firstLineChars="190"/>
        <w:textAlignment w:val="center"/>
        <w:rPr>
          <w:rFonts w:ascii="宋体" w:hAnsi="宋体" w:cs="仿宋_GB2312"/>
          <w:sz w:val="28"/>
          <w:szCs w:val="28"/>
        </w:rPr>
      </w:pPr>
      <w:r>
        <w:rPr>
          <w:rFonts w:hint="eastAsia" w:ascii="宋体" w:cs="宋体"/>
          <w:sz w:val="28"/>
          <w:szCs w:val="28"/>
        </w:rPr>
        <w:t xml:space="preserve">特别提示： </w:t>
      </w:r>
      <w:r>
        <w:rPr>
          <w:rFonts w:hint="eastAsia" w:ascii="宋体" w:hAnsi="宋体" w:cs="仿宋_GB2312"/>
          <w:sz w:val="28"/>
          <w:szCs w:val="28"/>
        </w:rPr>
        <w:t>报告使用人在使用本报告之前须对报告全文，特别是“估价的假设和限制条件”认真阅读，以免使用不当造成损失，估价详细结果及有关说明，详见《估价结果报告》。</w:t>
      </w:r>
    </w:p>
    <w:p>
      <w:pPr>
        <w:spacing w:line="560" w:lineRule="exact"/>
        <w:textAlignment w:val="center"/>
        <w:rPr>
          <w:rFonts w:hint="eastAsia" w:ascii="宋体" w:hAnsi="宋体" w:cs="仿宋_GB2312"/>
          <w:sz w:val="28"/>
          <w:szCs w:val="28"/>
        </w:rPr>
      </w:pPr>
      <w:r>
        <w:rPr>
          <w:rFonts w:hint="eastAsia" w:ascii="宋体" w:hAnsi="宋体" w:cs="仿宋_GB2312"/>
          <w:sz w:val="28"/>
          <w:szCs w:val="28"/>
        </w:rPr>
        <w:t xml:space="preserve">   </w:t>
      </w:r>
    </w:p>
    <w:p>
      <w:pPr>
        <w:spacing w:line="560" w:lineRule="exact"/>
        <w:textAlignment w:val="center"/>
        <w:rPr>
          <w:rFonts w:ascii="宋体" w:hAnsi="宋体" w:cs="仿宋_GB2312"/>
          <w:sz w:val="28"/>
          <w:szCs w:val="28"/>
        </w:rPr>
      </w:pPr>
      <w:r>
        <w:rPr>
          <w:rFonts w:hint="eastAsia" w:ascii="宋体" w:hAnsi="宋体" w:cs="仿宋_GB2312"/>
          <w:sz w:val="28"/>
          <w:szCs w:val="28"/>
        </w:rPr>
        <w:t xml:space="preserve"> 特此函告！</w:t>
      </w:r>
    </w:p>
    <w:p>
      <w:pPr>
        <w:spacing w:line="600" w:lineRule="exact"/>
        <w:ind w:right="177" w:rightChars="78"/>
        <w:jc w:val="right"/>
        <w:textAlignment w:val="center"/>
        <w:rPr>
          <w:rFonts w:ascii="宋体" w:hAnsi="宋体" w:cs="仿宋_GB2312"/>
          <w:sz w:val="28"/>
          <w:szCs w:val="28"/>
        </w:rPr>
      </w:pPr>
      <w:r>
        <w:rPr>
          <w:rFonts w:hint="eastAsia" w:ascii="宋体" w:hAnsi="宋体" w:cs="仿宋_GB2312"/>
          <w:sz w:val="28"/>
          <w:szCs w:val="28"/>
        </w:rPr>
        <w:t>曲靖市恒通房地产土地评估有限公司</w:t>
      </w:r>
    </w:p>
    <w:p>
      <w:pPr>
        <w:spacing w:line="600" w:lineRule="exact"/>
        <w:ind w:right="604" w:firstLine="6385" w:firstLineChars="2150"/>
        <w:textAlignment w:val="center"/>
        <w:rPr>
          <w:rFonts w:ascii="宋体" w:hAnsi="宋体" w:cs="仿宋_GB2312"/>
          <w:sz w:val="28"/>
          <w:szCs w:val="28"/>
        </w:rPr>
      </w:pPr>
    </w:p>
    <w:p>
      <w:pPr>
        <w:spacing w:line="600" w:lineRule="exact"/>
        <w:ind w:right="-61" w:firstLine="4455" w:firstLineChars="1500"/>
        <w:textAlignment w:val="center"/>
        <w:rPr>
          <w:rFonts w:ascii="宋体" w:hAnsi="宋体" w:cs="仿宋_GB2312"/>
          <w:sz w:val="28"/>
          <w:szCs w:val="28"/>
        </w:rPr>
      </w:pPr>
      <w:r>
        <w:rPr>
          <w:rFonts w:hint="eastAsia" w:ascii="宋体" w:hAnsi="宋体" w:cs="仿宋_GB2312"/>
          <w:sz w:val="28"/>
          <w:szCs w:val="28"/>
        </w:rPr>
        <w:t>法定代表人（签章）：</w:t>
      </w:r>
    </w:p>
    <w:p>
      <w:pPr>
        <w:ind w:right="140"/>
        <w:jc w:val="right"/>
        <w:rPr>
          <w:rFonts w:ascii="宋体" w:hAnsi="宋体" w:cs="仿宋_GB2312"/>
          <w:sz w:val="28"/>
          <w:szCs w:val="28"/>
        </w:rPr>
      </w:pPr>
    </w:p>
    <w:p>
      <w:pPr>
        <w:ind w:firstLine="6534" w:firstLineChars="2200"/>
        <w:rPr>
          <w:rFonts w:hint="eastAsia" w:ascii="宋体" w:hAnsi="宋体" w:eastAsia="宋体" w:cs="仿宋_GB2312"/>
          <w:sz w:val="28"/>
          <w:szCs w:val="28"/>
          <w:lang w:eastAsia="zh-CN"/>
        </w:rPr>
      </w:pPr>
      <w:r>
        <w:rPr>
          <w:rFonts w:hint="eastAsia" w:ascii="宋体" w:hAnsi="宋体" w:cs="仿宋_GB2312"/>
          <w:sz w:val="28"/>
          <w:szCs w:val="28"/>
          <w:lang w:eastAsia="zh-CN"/>
        </w:rPr>
        <w:t>2022年10月10日</w:t>
      </w:r>
    </w:p>
    <w:p>
      <w:pPr>
        <w:pStyle w:val="19"/>
        <w:pageBreakBefore/>
      </w:pPr>
      <w:bookmarkStart w:id="0" w:name="_Toc19110103"/>
      <w:bookmarkStart w:id="1" w:name="_Toc18236170"/>
      <w:bookmarkStart w:id="2" w:name="_Toc19110962"/>
      <w:bookmarkStart w:id="3" w:name="_Toc12698"/>
      <w:bookmarkStart w:id="4" w:name="_Toc18233385"/>
      <w:bookmarkStart w:id="5" w:name="_Toc25816"/>
      <w:r>
        <w:rPr>
          <w:rFonts w:hint="eastAsia"/>
        </w:rPr>
        <w:t>目 录</w:t>
      </w:r>
      <w:bookmarkEnd w:id="0"/>
      <w:bookmarkEnd w:id="1"/>
      <w:bookmarkEnd w:id="2"/>
      <w:bookmarkEnd w:id="3"/>
      <w:bookmarkEnd w:id="4"/>
      <w:bookmarkEnd w:id="5"/>
    </w:p>
    <w:p>
      <w:pPr>
        <w:pStyle w:val="15"/>
        <w:spacing w:before="78" w:after="78"/>
        <w:rPr>
          <w:rFonts w:eastAsia="宋体" w:asciiTheme="minorHAnsi" w:hAnsiTheme="minorHAnsi" w:cstheme="minorBidi"/>
          <w:sz w:val="21"/>
          <w:szCs w:val="22"/>
        </w:rPr>
      </w:pPr>
      <w:r>
        <w:fldChar w:fldCharType="begin"/>
      </w:r>
      <w:r>
        <w:instrText xml:space="preserve"> TOC \o "1-3" \h \z \u </w:instrText>
      </w:r>
      <w:r>
        <w:fldChar w:fldCharType="separate"/>
      </w:r>
      <w:r>
        <w:fldChar w:fldCharType="begin"/>
      </w:r>
      <w:r>
        <w:instrText xml:space="preserve"> HYPERLINK \l "_Toc18236170" </w:instrText>
      </w:r>
      <w:r>
        <w:fldChar w:fldCharType="separate"/>
      </w:r>
      <w:r>
        <w:rPr>
          <w:rStyle w:val="28"/>
          <w:rFonts w:hint="eastAsia" w:eastAsia="宋体"/>
          <w:color w:val="auto"/>
        </w:rPr>
        <w:t>目录</w:t>
      </w:r>
      <w:r>
        <w:rPr>
          <w:rFonts w:eastAsia="宋体"/>
        </w:rPr>
        <w:tab/>
      </w:r>
      <w:r>
        <w:rPr>
          <w:rFonts w:eastAsia="宋体"/>
        </w:rPr>
        <w:fldChar w:fldCharType="begin"/>
      </w:r>
      <w:r>
        <w:rPr>
          <w:rFonts w:eastAsia="宋体"/>
        </w:rPr>
        <w:instrText xml:space="preserve"> PAGEREF _Toc18236170 \h </w:instrText>
      </w:r>
      <w:r>
        <w:rPr>
          <w:rFonts w:eastAsia="宋体"/>
        </w:rPr>
        <w:fldChar w:fldCharType="separate"/>
      </w:r>
      <w:r>
        <w:rPr>
          <w:rFonts w:eastAsia="宋体"/>
        </w:rPr>
        <w:t>4</w:t>
      </w:r>
      <w:r>
        <w:rPr>
          <w:rFonts w:eastAsia="宋体"/>
        </w:rPr>
        <w:fldChar w:fldCharType="end"/>
      </w:r>
      <w:r>
        <w:rPr>
          <w:rFonts w:eastAsia="宋体"/>
        </w:rPr>
        <w:fldChar w:fldCharType="end"/>
      </w:r>
    </w:p>
    <w:p>
      <w:pPr>
        <w:pStyle w:val="15"/>
        <w:spacing w:before="78" w:after="78"/>
        <w:rPr>
          <w:rFonts w:eastAsia="宋体" w:asciiTheme="minorHAnsi" w:hAnsiTheme="minorHAnsi" w:cstheme="minorBidi"/>
          <w:sz w:val="21"/>
          <w:szCs w:val="22"/>
        </w:rPr>
      </w:pPr>
      <w:r>
        <w:fldChar w:fldCharType="begin"/>
      </w:r>
      <w:r>
        <w:instrText xml:space="preserve"> HYPERLINK \l "_Toc18236171" </w:instrText>
      </w:r>
      <w:r>
        <w:fldChar w:fldCharType="separate"/>
      </w:r>
      <w:r>
        <w:rPr>
          <w:rStyle w:val="28"/>
          <w:rFonts w:hint="eastAsia" w:eastAsia="宋体"/>
          <w:color w:val="auto"/>
        </w:rPr>
        <w:t>估价师声明</w:t>
      </w:r>
      <w:r>
        <w:rPr>
          <w:rFonts w:eastAsia="宋体"/>
        </w:rPr>
        <w:tab/>
      </w:r>
      <w:r>
        <w:rPr>
          <w:rFonts w:eastAsia="宋体"/>
        </w:rPr>
        <w:fldChar w:fldCharType="begin"/>
      </w:r>
      <w:r>
        <w:rPr>
          <w:rFonts w:eastAsia="宋体"/>
        </w:rPr>
        <w:instrText xml:space="preserve"> PAGEREF _Toc18236171 \h </w:instrText>
      </w:r>
      <w:r>
        <w:rPr>
          <w:rFonts w:eastAsia="宋体"/>
        </w:rPr>
        <w:fldChar w:fldCharType="separate"/>
      </w:r>
      <w:r>
        <w:rPr>
          <w:rFonts w:eastAsia="宋体"/>
        </w:rPr>
        <w:t>5</w:t>
      </w:r>
      <w:r>
        <w:rPr>
          <w:rFonts w:eastAsia="宋体"/>
        </w:rPr>
        <w:fldChar w:fldCharType="end"/>
      </w:r>
      <w:r>
        <w:rPr>
          <w:rFonts w:eastAsia="宋体"/>
        </w:rPr>
        <w:fldChar w:fldCharType="end"/>
      </w:r>
    </w:p>
    <w:p>
      <w:pPr>
        <w:pStyle w:val="15"/>
        <w:spacing w:before="78" w:after="78"/>
        <w:rPr>
          <w:rFonts w:eastAsia="宋体" w:asciiTheme="minorHAnsi" w:hAnsiTheme="minorHAnsi" w:cstheme="minorBidi"/>
          <w:sz w:val="21"/>
          <w:szCs w:val="22"/>
        </w:rPr>
      </w:pPr>
      <w:r>
        <w:fldChar w:fldCharType="begin"/>
      </w:r>
      <w:r>
        <w:instrText xml:space="preserve"> HYPERLINK \l "_Toc18236172" </w:instrText>
      </w:r>
      <w:r>
        <w:fldChar w:fldCharType="separate"/>
      </w:r>
      <w:r>
        <w:rPr>
          <w:rStyle w:val="28"/>
          <w:rFonts w:hint="eastAsia" w:eastAsia="宋体"/>
          <w:color w:val="auto"/>
        </w:rPr>
        <w:t>估价的假设和限制条件</w:t>
      </w:r>
      <w:r>
        <w:rPr>
          <w:rFonts w:eastAsia="宋体"/>
        </w:rPr>
        <w:tab/>
      </w:r>
      <w:r>
        <w:rPr>
          <w:rFonts w:eastAsia="宋体"/>
        </w:rPr>
        <w:fldChar w:fldCharType="begin"/>
      </w:r>
      <w:r>
        <w:rPr>
          <w:rFonts w:eastAsia="宋体"/>
        </w:rPr>
        <w:instrText xml:space="preserve"> PAGEREF _Toc18236172 \h </w:instrText>
      </w:r>
      <w:r>
        <w:rPr>
          <w:rFonts w:eastAsia="宋体"/>
        </w:rPr>
        <w:fldChar w:fldCharType="separate"/>
      </w:r>
      <w:r>
        <w:rPr>
          <w:rFonts w:eastAsia="宋体"/>
        </w:rPr>
        <w:t>6</w:t>
      </w:r>
      <w:r>
        <w:rPr>
          <w:rFonts w:eastAsia="宋体"/>
        </w:rPr>
        <w:fldChar w:fldCharType="end"/>
      </w:r>
      <w:r>
        <w:rPr>
          <w:rFonts w:eastAsia="宋体"/>
        </w:rPr>
        <w:fldChar w:fldCharType="end"/>
      </w:r>
    </w:p>
    <w:p>
      <w:pPr>
        <w:pStyle w:val="15"/>
        <w:spacing w:before="78" w:after="78"/>
        <w:rPr>
          <w:rFonts w:eastAsia="宋体" w:asciiTheme="minorHAnsi" w:hAnsiTheme="minorHAnsi" w:cstheme="minorBidi"/>
          <w:sz w:val="21"/>
          <w:szCs w:val="22"/>
        </w:rPr>
      </w:pPr>
      <w:r>
        <w:fldChar w:fldCharType="begin"/>
      </w:r>
      <w:r>
        <w:instrText xml:space="preserve"> HYPERLINK \l "_Toc18236173" </w:instrText>
      </w:r>
      <w:r>
        <w:fldChar w:fldCharType="separate"/>
      </w:r>
      <w:r>
        <w:rPr>
          <w:rStyle w:val="28"/>
          <w:rFonts w:hint="eastAsia" w:eastAsia="宋体"/>
          <w:color w:val="auto"/>
        </w:rPr>
        <w:t>估价结果报告</w:t>
      </w:r>
      <w:r>
        <w:rPr>
          <w:rFonts w:eastAsia="宋体"/>
        </w:rPr>
        <w:tab/>
      </w:r>
      <w:r>
        <w:rPr>
          <w:rFonts w:eastAsia="宋体"/>
        </w:rPr>
        <w:fldChar w:fldCharType="begin"/>
      </w:r>
      <w:r>
        <w:rPr>
          <w:rFonts w:eastAsia="宋体"/>
        </w:rPr>
        <w:instrText xml:space="preserve"> PAGEREF _Toc18236173 \h </w:instrText>
      </w:r>
      <w:r>
        <w:rPr>
          <w:rFonts w:eastAsia="宋体"/>
        </w:rPr>
        <w:fldChar w:fldCharType="separate"/>
      </w:r>
      <w:r>
        <w:rPr>
          <w:rFonts w:eastAsia="宋体"/>
        </w:rPr>
        <w:t>9</w:t>
      </w:r>
      <w:r>
        <w:rPr>
          <w:rFonts w:eastAsia="宋体"/>
        </w:rPr>
        <w:fldChar w:fldCharType="end"/>
      </w:r>
      <w:r>
        <w:rPr>
          <w:rFonts w:eastAsia="宋体"/>
        </w:rPr>
        <w:fldChar w:fldCharType="end"/>
      </w:r>
    </w:p>
    <w:p>
      <w:pPr>
        <w:pStyle w:val="17"/>
        <w:spacing w:before="78" w:after="78"/>
        <w:rPr>
          <w:rFonts w:eastAsia="宋体" w:asciiTheme="minorHAnsi" w:hAnsiTheme="minorHAnsi" w:cstheme="minorBidi"/>
          <w:sz w:val="21"/>
          <w:szCs w:val="22"/>
        </w:rPr>
      </w:pPr>
      <w:r>
        <w:fldChar w:fldCharType="begin"/>
      </w:r>
      <w:r>
        <w:instrText xml:space="preserve"> HYPERLINK \l "_Toc18236174" </w:instrText>
      </w:r>
      <w:r>
        <w:fldChar w:fldCharType="separate"/>
      </w:r>
      <w:r>
        <w:rPr>
          <w:rStyle w:val="28"/>
          <w:rFonts w:hint="eastAsia" w:eastAsia="宋体"/>
          <w:color w:val="auto"/>
        </w:rPr>
        <w:t>一、估价委托人</w:t>
      </w:r>
      <w:r>
        <w:rPr>
          <w:rFonts w:eastAsia="宋体"/>
        </w:rPr>
        <w:tab/>
      </w:r>
      <w:r>
        <w:rPr>
          <w:rFonts w:eastAsia="宋体"/>
        </w:rPr>
        <w:fldChar w:fldCharType="begin"/>
      </w:r>
      <w:r>
        <w:rPr>
          <w:rFonts w:eastAsia="宋体"/>
        </w:rPr>
        <w:instrText xml:space="preserve"> PAGEREF _Toc18236174 \h </w:instrText>
      </w:r>
      <w:r>
        <w:rPr>
          <w:rFonts w:eastAsia="宋体"/>
        </w:rPr>
        <w:fldChar w:fldCharType="separate"/>
      </w:r>
      <w:r>
        <w:rPr>
          <w:rFonts w:eastAsia="宋体"/>
        </w:rPr>
        <w:t>9</w:t>
      </w:r>
      <w:r>
        <w:rPr>
          <w:rFonts w:eastAsia="宋体"/>
        </w:rPr>
        <w:fldChar w:fldCharType="end"/>
      </w:r>
      <w:r>
        <w:rPr>
          <w:rFonts w:eastAsia="宋体"/>
        </w:rPr>
        <w:fldChar w:fldCharType="end"/>
      </w:r>
    </w:p>
    <w:p>
      <w:pPr>
        <w:pStyle w:val="17"/>
        <w:spacing w:before="78" w:after="78"/>
        <w:rPr>
          <w:rFonts w:eastAsia="宋体" w:asciiTheme="minorHAnsi" w:hAnsiTheme="minorHAnsi" w:cstheme="minorBidi"/>
          <w:sz w:val="21"/>
          <w:szCs w:val="22"/>
        </w:rPr>
      </w:pPr>
      <w:r>
        <w:fldChar w:fldCharType="begin"/>
      </w:r>
      <w:r>
        <w:instrText xml:space="preserve"> HYPERLINK \l "_Toc18236175" </w:instrText>
      </w:r>
      <w:r>
        <w:fldChar w:fldCharType="separate"/>
      </w:r>
      <w:r>
        <w:rPr>
          <w:rStyle w:val="28"/>
          <w:rFonts w:hint="eastAsia" w:eastAsia="宋体"/>
          <w:color w:val="auto"/>
        </w:rPr>
        <w:t>二、房地产估价机构</w:t>
      </w:r>
      <w:r>
        <w:rPr>
          <w:rFonts w:eastAsia="宋体"/>
        </w:rPr>
        <w:tab/>
      </w:r>
      <w:r>
        <w:rPr>
          <w:rFonts w:eastAsia="宋体"/>
        </w:rPr>
        <w:fldChar w:fldCharType="begin"/>
      </w:r>
      <w:r>
        <w:rPr>
          <w:rFonts w:eastAsia="宋体"/>
        </w:rPr>
        <w:instrText xml:space="preserve"> PAGEREF _Toc18236175 \h </w:instrText>
      </w:r>
      <w:r>
        <w:rPr>
          <w:rFonts w:eastAsia="宋体"/>
        </w:rPr>
        <w:fldChar w:fldCharType="separate"/>
      </w:r>
      <w:r>
        <w:rPr>
          <w:rFonts w:eastAsia="宋体"/>
        </w:rPr>
        <w:t>9</w:t>
      </w:r>
      <w:r>
        <w:rPr>
          <w:rFonts w:eastAsia="宋体"/>
        </w:rPr>
        <w:fldChar w:fldCharType="end"/>
      </w:r>
      <w:r>
        <w:rPr>
          <w:rFonts w:eastAsia="宋体"/>
        </w:rPr>
        <w:fldChar w:fldCharType="end"/>
      </w:r>
    </w:p>
    <w:p>
      <w:pPr>
        <w:pStyle w:val="17"/>
        <w:spacing w:before="78" w:after="78"/>
        <w:rPr>
          <w:rFonts w:eastAsia="宋体" w:asciiTheme="minorHAnsi" w:hAnsiTheme="minorHAnsi" w:cstheme="minorBidi"/>
          <w:sz w:val="21"/>
          <w:szCs w:val="22"/>
        </w:rPr>
      </w:pPr>
      <w:r>
        <w:fldChar w:fldCharType="begin"/>
      </w:r>
      <w:r>
        <w:instrText xml:space="preserve"> HYPERLINK \l "_Toc18236176" </w:instrText>
      </w:r>
      <w:r>
        <w:fldChar w:fldCharType="separate"/>
      </w:r>
      <w:r>
        <w:rPr>
          <w:rStyle w:val="28"/>
          <w:rFonts w:hint="eastAsia" w:eastAsia="宋体"/>
          <w:color w:val="auto"/>
        </w:rPr>
        <w:t>三、估价目的</w:t>
      </w:r>
      <w:r>
        <w:rPr>
          <w:rFonts w:eastAsia="宋体"/>
        </w:rPr>
        <w:tab/>
      </w:r>
      <w:r>
        <w:rPr>
          <w:rFonts w:eastAsia="宋体"/>
        </w:rPr>
        <w:fldChar w:fldCharType="begin"/>
      </w:r>
      <w:r>
        <w:rPr>
          <w:rFonts w:eastAsia="宋体"/>
        </w:rPr>
        <w:instrText xml:space="preserve"> PAGEREF _Toc18236176 \h </w:instrText>
      </w:r>
      <w:r>
        <w:rPr>
          <w:rFonts w:eastAsia="宋体"/>
        </w:rPr>
        <w:fldChar w:fldCharType="separate"/>
      </w:r>
      <w:r>
        <w:rPr>
          <w:rFonts w:eastAsia="宋体"/>
        </w:rPr>
        <w:t>9</w:t>
      </w:r>
      <w:r>
        <w:rPr>
          <w:rFonts w:eastAsia="宋体"/>
        </w:rPr>
        <w:fldChar w:fldCharType="end"/>
      </w:r>
      <w:r>
        <w:rPr>
          <w:rFonts w:eastAsia="宋体"/>
        </w:rPr>
        <w:fldChar w:fldCharType="end"/>
      </w:r>
    </w:p>
    <w:p>
      <w:pPr>
        <w:pStyle w:val="17"/>
        <w:spacing w:before="78" w:after="78"/>
        <w:rPr>
          <w:rFonts w:eastAsia="宋体" w:asciiTheme="minorHAnsi" w:hAnsiTheme="minorHAnsi" w:cstheme="minorBidi"/>
          <w:sz w:val="21"/>
          <w:szCs w:val="22"/>
        </w:rPr>
      </w:pPr>
      <w:r>
        <w:fldChar w:fldCharType="begin"/>
      </w:r>
      <w:r>
        <w:instrText xml:space="preserve"> HYPERLINK \l "_Toc18236177" </w:instrText>
      </w:r>
      <w:r>
        <w:fldChar w:fldCharType="separate"/>
      </w:r>
      <w:r>
        <w:rPr>
          <w:rStyle w:val="28"/>
          <w:rFonts w:hint="eastAsia" w:eastAsia="宋体"/>
          <w:color w:val="auto"/>
        </w:rPr>
        <w:t>四、估价对象</w:t>
      </w:r>
      <w:r>
        <w:rPr>
          <w:rFonts w:eastAsia="宋体"/>
        </w:rPr>
        <w:tab/>
      </w:r>
      <w:r>
        <w:rPr>
          <w:rFonts w:eastAsia="宋体"/>
        </w:rPr>
        <w:fldChar w:fldCharType="begin"/>
      </w:r>
      <w:r>
        <w:rPr>
          <w:rFonts w:eastAsia="宋体"/>
        </w:rPr>
        <w:instrText xml:space="preserve"> PAGEREF _Toc18236177 \h </w:instrText>
      </w:r>
      <w:r>
        <w:rPr>
          <w:rFonts w:eastAsia="宋体"/>
        </w:rPr>
        <w:fldChar w:fldCharType="separate"/>
      </w:r>
      <w:r>
        <w:rPr>
          <w:rFonts w:eastAsia="宋体"/>
        </w:rPr>
        <w:t>9</w:t>
      </w:r>
      <w:r>
        <w:rPr>
          <w:rFonts w:eastAsia="宋体"/>
        </w:rPr>
        <w:fldChar w:fldCharType="end"/>
      </w:r>
      <w:r>
        <w:rPr>
          <w:rFonts w:eastAsia="宋体"/>
        </w:rPr>
        <w:fldChar w:fldCharType="end"/>
      </w:r>
    </w:p>
    <w:p>
      <w:pPr>
        <w:pStyle w:val="17"/>
        <w:spacing w:before="78" w:after="78"/>
        <w:rPr>
          <w:rFonts w:hint="eastAsia" w:eastAsia="宋体" w:asciiTheme="minorHAnsi" w:hAnsiTheme="minorHAnsi" w:cstheme="minorBidi"/>
          <w:sz w:val="21"/>
          <w:szCs w:val="22"/>
          <w:lang w:val="en-US" w:eastAsia="zh-CN"/>
        </w:rPr>
      </w:pPr>
      <w:r>
        <w:fldChar w:fldCharType="begin"/>
      </w:r>
      <w:r>
        <w:instrText xml:space="preserve"> HYPERLINK \l "_Toc18236178" </w:instrText>
      </w:r>
      <w:r>
        <w:fldChar w:fldCharType="separate"/>
      </w:r>
      <w:r>
        <w:rPr>
          <w:rStyle w:val="28"/>
          <w:rFonts w:hint="eastAsia" w:eastAsia="宋体"/>
          <w:color w:val="auto"/>
        </w:rPr>
        <w:t>五、价值时点</w:t>
      </w:r>
      <w:r>
        <w:rPr>
          <w:rFonts w:eastAsia="宋体"/>
        </w:rPr>
        <w:tab/>
      </w:r>
      <w:r>
        <w:rPr>
          <w:rFonts w:hint="eastAsia" w:eastAsia="宋体"/>
          <w:lang w:val="en-US" w:eastAsia="zh-CN"/>
        </w:rPr>
        <w:t>1</w:t>
      </w:r>
      <w:r>
        <w:rPr>
          <w:rFonts w:hint="eastAsia" w:eastAsia="宋体"/>
        </w:rPr>
        <w:fldChar w:fldCharType="end"/>
      </w:r>
      <w:r>
        <w:rPr>
          <w:rFonts w:hint="eastAsia" w:eastAsia="宋体"/>
          <w:lang w:val="en-US" w:eastAsia="zh-CN"/>
        </w:rPr>
        <w:t>0</w:t>
      </w:r>
    </w:p>
    <w:p>
      <w:pPr>
        <w:pStyle w:val="17"/>
        <w:spacing w:before="78" w:after="78"/>
        <w:rPr>
          <w:rFonts w:eastAsia="宋体" w:asciiTheme="minorHAnsi" w:hAnsiTheme="minorHAnsi" w:cstheme="minorBidi"/>
          <w:sz w:val="21"/>
          <w:szCs w:val="22"/>
        </w:rPr>
      </w:pPr>
      <w:r>
        <w:fldChar w:fldCharType="begin"/>
      </w:r>
      <w:r>
        <w:instrText xml:space="preserve"> HYPERLINK \l "_Toc18236179" </w:instrText>
      </w:r>
      <w:r>
        <w:fldChar w:fldCharType="separate"/>
      </w:r>
      <w:r>
        <w:rPr>
          <w:rStyle w:val="28"/>
          <w:rFonts w:hint="eastAsia" w:eastAsia="宋体"/>
          <w:color w:val="auto"/>
          <w:spacing w:val="9"/>
        </w:rPr>
        <w:t>六、</w:t>
      </w:r>
      <w:r>
        <w:rPr>
          <w:rStyle w:val="28"/>
          <w:rFonts w:hint="eastAsia" w:eastAsia="宋体"/>
          <w:color w:val="auto"/>
        </w:rPr>
        <w:t>价值类型</w:t>
      </w:r>
      <w:r>
        <w:rPr>
          <w:rFonts w:eastAsia="宋体"/>
        </w:rPr>
        <w:tab/>
      </w:r>
      <w:r>
        <w:rPr>
          <w:rFonts w:eastAsia="宋体"/>
        </w:rPr>
        <w:fldChar w:fldCharType="begin"/>
      </w:r>
      <w:r>
        <w:rPr>
          <w:rFonts w:eastAsia="宋体"/>
        </w:rPr>
        <w:instrText xml:space="preserve"> PAGEREF _Toc18236179 \h </w:instrText>
      </w:r>
      <w:r>
        <w:rPr>
          <w:rFonts w:eastAsia="宋体"/>
        </w:rPr>
        <w:fldChar w:fldCharType="separate"/>
      </w:r>
      <w:r>
        <w:rPr>
          <w:rFonts w:eastAsia="宋体"/>
        </w:rPr>
        <w:t>10</w:t>
      </w:r>
      <w:r>
        <w:rPr>
          <w:rFonts w:eastAsia="宋体"/>
        </w:rPr>
        <w:fldChar w:fldCharType="end"/>
      </w:r>
      <w:r>
        <w:rPr>
          <w:rFonts w:eastAsia="宋体"/>
        </w:rPr>
        <w:fldChar w:fldCharType="end"/>
      </w:r>
    </w:p>
    <w:p>
      <w:pPr>
        <w:pStyle w:val="17"/>
        <w:spacing w:before="78" w:after="78"/>
        <w:rPr>
          <w:rFonts w:eastAsia="宋体" w:asciiTheme="minorHAnsi" w:hAnsiTheme="minorHAnsi" w:cstheme="minorBidi"/>
          <w:sz w:val="21"/>
          <w:szCs w:val="22"/>
        </w:rPr>
      </w:pPr>
      <w:r>
        <w:fldChar w:fldCharType="begin"/>
      </w:r>
      <w:r>
        <w:instrText xml:space="preserve"> HYPERLINK \l "_Toc18236180" </w:instrText>
      </w:r>
      <w:r>
        <w:fldChar w:fldCharType="separate"/>
      </w:r>
      <w:r>
        <w:rPr>
          <w:rStyle w:val="28"/>
          <w:rFonts w:hint="eastAsia" w:eastAsia="宋体"/>
          <w:color w:val="auto"/>
        </w:rPr>
        <w:t>七、估价原则</w:t>
      </w:r>
      <w:r>
        <w:rPr>
          <w:rFonts w:eastAsia="宋体"/>
        </w:rPr>
        <w:tab/>
      </w:r>
      <w:r>
        <w:rPr>
          <w:rFonts w:eastAsia="宋体"/>
        </w:rPr>
        <w:fldChar w:fldCharType="begin"/>
      </w:r>
      <w:r>
        <w:rPr>
          <w:rFonts w:eastAsia="宋体"/>
        </w:rPr>
        <w:instrText xml:space="preserve"> PAGEREF _Toc18236180 \h </w:instrText>
      </w:r>
      <w:r>
        <w:rPr>
          <w:rFonts w:eastAsia="宋体"/>
        </w:rPr>
        <w:fldChar w:fldCharType="separate"/>
      </w:r>
      <w:r>
        <w:rPr>
          <w:rFonts w:eastAsia="宋体"/>
        </w:rPr>
        <w:t>11</w:t>
      </w:r>
      <w:r>
        <w:rPr>
          <w:rFonts w:eastAsia="宋体"/>
        </w:rPr>
        <w:fldChar w:fldCharType="end"/>
      </w:r>
      <w:r>
        <w:rPr>
          <w:rFonts w:eastAsia="宋体"/>
        </w:rPr>
        <w:fldChar w:fldCharType="end"/>
      </w:r>
    </w:p>
    <w:p>
      <w:pPr>
        <w:pStyle w:val="17"/>
        <w:spacing w:before="78" w:after="78"/>
        <w:rPr>
          <w:rFonts w:eastAsia="宋体" w:asciiTheme="minorHAnsi" w:hAnsiTheme="minorHAnsi" w:cstheme="minorBidi"/>
          <w:sz w:val="21"/>
          <w:szCs w:val="22"/>
        </w:rPr>
      </w:pPr>
      <w:r>
        <w:fldChar w:fldCharType="begin"/>
      </w:r>
      <w:r>
        <w:instrText xml:space="preserve"> HYPERLINK \l "_Toc18236181" </w:instrText>
      </w:r>
      <w:r>
        <w:fldChar w:fldCharType="separate"/>
      </w:r>
      <w:r>
        <w:rPr>
          <w:rStyle w:val="28"/>
          <w:rFonts w:hint="eastAsia" w:eastAsia="宋体"/>
          <w:color w:val="auto"/>
        </w:rPr>
        <w:t>八、估价依据</w:t>
      </w:r>
      <w:r>
        <w:rPr>
          <w:rFonts w:eastAsia="宋体"/>
        </w:rPr>
        <w:tab/>
      </w:r>
      <w:r>
        <w:rPr>
          <w:rFonts w:hint="eastAsia" w:eastAsia="宋体"/>
        </w:rPr>
        <w:t>1</w:t>
      </w:r>
      <w:r>
        <w:rPr>
          <w:rFonts w:hint="eastAsia" w:eastAsia="宋体"/>
          <w:lang w:val="en-US" w:eastAsia="zh-CN"/>
        </w:rPr>
        <w:t>1</w:t>
      </w:r>
      <w:r>
        <w:rPr>
          <w:rFonts w:hint="eastAsia" w:eastAsia="宋体"/>
        </w:rPr>
        <w:fldChar w:fldCharType="end"/>
      </w:r>
    </w:p>
    <w:p>
      <w:pPr>
        <w:pStyle w:val="17"/>
        <w:spacing w:before="78" w:after="78"/>
        <w:rPr>
          <w:rFonts w:eastAsia="宋体" w:asciiTheme="minorHAnsi" w:hAnsiTheme="minorHAnsi" w:cstheme="minorBidi"/>
          <w:sz w:val="21"/>
          <w:szCs w:val="22"/>
        </w:rPr>
      </w:pPr>
      <w:r>
        <w:fldChar w:fldCharType="begin"/>
      </w:r>
      <w:r>
        <w:instrText xml:space="preserve"> HYPERLINK \l "_Toc18236182" </w:instrText>
      </w:r>
      <w:r>
        <w:fldChar w:fldCharType="separate"/>
      </w:r>
      <w:r>
        <w:rPr>
          <w:rStyle w:val="28"/>
          <w:rFonts w:hint="eastAsia" w:eastAsia="宋体"/>
          <w:color w:val="auto"/>
        </w:rPr>
        <w:t>九、估价方法</w:t>
      </w:r>
      <w:r>
        <w:rPr>
          <w:rFonts w:eastAsia="宋体"/>
        </w:rPr>
        <w:tab/>
      </w:r>
      <w:r>
        <w:rPr>
          <w:rFonts w:eastAsia="宋体"/>
        </w:rPr>
        <w:fldChar w:fldCharType="begin"/>
      </w:r>
      <w:r>
        <w:rPr>
          <w:rFonts w:eastAsia="宋体"/>
        </w:rPr>
        <w:instrText xml:space="preserve"> PAGEREF _Toc18236182 \h </w:instrText>
      </w:r>
      <w:r>
        <w:rPr>
          <w:rFonts w:eastAsia="宋体"/>
        </w:rPr>
        <w:fldChar w:fldCharType="separate"/>
      </w:r>
      <w:r>
        <w:rPr>
          <w:rFonts w:eastAsia="宋体"/>
        </w:rPr>
        <w:t>13</w:t>
      </w:r>
      <w:r>
        <w:rPr>
          <w:rFonts w:eastAsia="宋体"/>
        </w:rPr>
        <w:fldChar w:fldCharType="end"/>
      </w:r>
      <w:r>
        <w:rPr>
          <w:rFonts w:eastAsia="宋体"/>
        </w:rPr>
        <w:fldChar w:fldCharType="end"/>
      </w:r>
    </w:p>
    <w:p>
      <w:pPr>
        <w:pStyle w:val="17"/>
        <w:spacing w:before="78" w:after="78"/>
        <w:rPr>
          <w:rFonts w:hint="eastAsia" w:eastAsia="宋体" w:asciiTheme="minorHAnsi" w:hAnsiTheme="minorHAnsi" w:cstheme="minorBidi"/>
          <w:sz w:val="21"/>
          <w:szCs w:val="22"/>
          <w:lang w:eastAsia="zh-CN"/>
        </w:rPr>
      </w:pPr>
      <w:r>
        <w:fldChar w:fldCharType="begin"/>
      </w:r>
      <w:r>
        <w:instrText xml:space="preserve"> HYPERLINK \l "_Toc18236183" </w:instrText>
      </w:r>
      <w:r>
        <w:fldChar w:fldCharType="separate"/>
      </w:r>
      <w:r>
        <w:rPr>
          <w:rStyle w:val="28"/>
          <w:rFonts w:hint="eastAsia" w:eastAsia="宋体"/>
          <w:color w:val="auto"/>
        </w:rPr>
        <w:t>十、估价结果</w:t>
      </w:r>
      <w:r>
        <w:rPr>
          <w:rFonts w:eastAsia="宋体"/>
        </w:rPr>
        <w:tab/>
      </w:r>
      <w:r>
        <w:rPr>
          <w:rFonts w:hint="eastAsia" w:eastAsia="宋体"/>
        </w:rPr>
        <w:t>1</w:t>
      </w:r>
      <w:r>
        <w:rPr>
          <w:rFonts w:hint="eastAsia" w:eastAsia="宋体"/>
        </w:rPr>
        <w:fldChar w:fldCharType="end"/>
      </w:r>
      <w:r>
        <w:rPr>
          <w:rFonts w:hint="eastAsia" w:eastAsia="宋体"/>
          <w:lang w:val="en-US" w:eastAsia="zh-CN"/>
        </w:rPr>
        <w:t>4</w:t>
      </w:r>
    </w:p>
    <w:p>
      <w:pPr>
        <w:pStyle w:val="17"/>
        <w:spacing w:before="78" w:after="78"/>
        <w:rPr>
          <w:rFonts w:eastAsia="宋体" w:asciiTheme="minorHAnsi" w:hAnsiTheme="minorHAnsi" w:cstheme="minorBidi"/>
          <w:sz w:val="21"/>
          <w:szCs w:val="22"/>
        </w:rPr>
      </w:pPr>
      <w:r>
        <w:fldChar w:fldCharType="begin"/>
      </w:r>
      <w:r>
        <w:instrText xml:space="preserve"> HYPERLINK \l "_Toc18236184" </w:instrText>
      </w:r>
      <w:r>
        <w:fldChar w:fldCharType="separate"/>
      </w:r>
      <w:r>
        <w:rPr>
          <w:rStyle w:val="28"/>
          <w:rFonts w:hint="eastAsia" w:eastAsia="宋体"/>
          <w:color w:val="auto"/>
        </w:rPr>
        <w:t>十一、注册房地产估价师</w:t>
      </w:r>
      <w:r>
        <w:rPr>
          <w:rFonts w:eastAsia="宋体"/>
        </w:rPr>
        <w:tab/>
      </w:r>
      <w:r>
        <w:rPr>
          <w:rFonts w:hint="eastAsia" w:eastAsia="宋体"/>
        </w:rPr>
        <w:t>1</w:t>
      </w:r>
      <w:r>
        <w:rPr>
          <w:rFonts w:hint="eastAsia" w:eastAsia="宋体"/>
          <w:lang w:val="en-US" w:eastAsia="zh-CN"/>
        </w:rPr>
        <w:t>4</w:t>
      </w:r>
      <w:r>
        <w:rPr>
          <w:rFonts w:hint="eastAsia" w:eastAsia="宋体"/>
        </w:rPr>
        <w:fldChar w:fldCharType="end"/>
      </w:r>
    </w:p>
    <w:p>
      <w:pPr>
        <w:pStyle w:val="17"/>
        <w:spacing w:before="78" w:after="78"/>
        <w:rPr>
          <w:rFonts w:eastAsia="宋体" w:asciiTheme="minorHAnsi" w:hAnsiTheme="minorHAnsi" w:cstheme="minorBidi"/>
          <w:sz w:val="21"/>
          <w:szCs w:val="22"/>
        </w:rPr>
      </w:pPr>
      <w:r>
        <w:fldChar w:fldCharType="begin"/>
      </w:r>
      <w:r>
        <w:instrText xml:space="preserve"> HYPERLINK \l "_Toc18236185" </w:instrText>
      </w:r>
      <w:r>
        <w:fldChar w:fldCharType="separate"/>
      </w:r>
      <w:r>
        <w:rPr>
          <w:rStyle w:val="28"/>
          <w:rFonts w:hint="eastAsia" w:eastAsia="宋体"/>
          <w:color w:val="auto"/>
        </w:rPr>
        <w:t>十二、实地查勘期</w:t>
      </w:r>
      <w:r>
        <w:rPr>
          <w:rFonts w:eastAsia="宋体"/>
        </w:rPr>
        <w:tab/>
      </w:r>
      <w:r>
        <w:rPr>
          <w:rFonts w:hint="eastAsia" w:eastAsia="宋体"/>
        </w:rPr>
        <w:t>14</w:t>
      </w:r>
      <w:r>
        <w:rPr>
          <w:rFonts w:hint="eastAsia" w:eastAsia="宋体"/>
        </w:rPr>
        <w:fldChar w:fldCharType="end"/>
      </w:r>
    </w:p>
    <w:p>
      <w:pPr>
        <w:pStyle w:val="17"/>
        <w:spacing w:before="78" w:after="78"/>
        <w:rPr>
          <w:rFonts w:eastAsia="宋体" w:asciiTheme="minorHAnsi" w:hAnsiTheme="minorHAnsi" w:cstheme="minorBidi"/>
          <w:sz w:val="21"/>
          <w:szCs w:val="22"/>
        </w:rPr>
      </w:pPr>
      <w:r>
        <w:fldChar w:fldCharType="begin"/>
      </w:r>
      <w:r>
        <w:instrText xml:space="preserve"> HYPERLINK \l "_Toc18236186" </w:instrText>
      </w:r>
      <w:r>
        <w:fldChar w:fldCharType="separate"/>
      </w:r>
      <w:r>
        <w:rPr>
          <w:rStyle w:val="28"/>
          <w:rFonts w:hint="eastAsia" w:eastAsia="宋体"/>
          <w:color w:val="auto"/>
        </w:rPr>
        <w:t>十三、估价作业期</w:t>
      </w:r>
      <w:r>
        <w:rPr>
          <w:rFonts w:eastAsia="宋体"/>
        </w:rPr>
        <w:tab/>
      </w:r>
      <w:r>
        <w:rPr>
          <w:rFonts w:eastAsia="宋体"/>
        </w:rPr>
        <w:fldChar w:fldCharType="begin"/>
      </w:r>
      <w:r>
        <w:rPr>
          <w:rFonts w:eastAsia="宋体"/>
        </w:rPr>
        <w:instrText xml:space="preserve"> PAGEREF _Toc18236186 \h </w:instrText>
      </w:r>
      <w:r>
        <w:rPr>
          <w:rFonts w:eastAsia="宋体"/>
        </w:rPr>
        <w:fldChar w:fldCharType="separate"/>
      </w:r>
      <w:r>
        <w:rPr>
          <w:rFonts w:eastAsia="宋体"/>
        </w:rPr>
        <w:t>14</w:t>
      </w:r>
      <w:r>
        <w:rPr>
          <w:rFonts w:eastAsia="宋体"/>
        </w:rPr>
        <w:fldChar w:fldCharType="end"/>
      </w:r>
      <w:r>
        <w:rPr>
          <w:rFonts w:eastAsia="宋体"/>
        </w:rPr>
        <w:fldChar w:fldCharType="end"/>
      </w:r>
    </w:p>
    <w:p>
      <w:pPr>
        <w:pStyle w:val="15"/>
        <w:spacing w:before="78" w:after="78"/>
        <w:rPr>
          <w:rFonts w:eastAsia="宋体" w:asciiTheme="minorHAnsi" w:hAnsiTheme="minorHAnsi" w:cstheme="minorBidi"/>
          <w:sz w:val="21"/>
          <w:szCs w:val="22"/>
        </w:rPr>
      </w:pPr>
      <w:r>
        <w:fldChar w:fldCharType="begin"/>
      </w:r>
      <w:r>
        <w:instrText xml:space="preserve"> HYPERLINK \l "_Toc18236187" </w:instrText>
      </w:r>
      <w:r>
        <w:fldChar w:fldCharType="separate"/>
      </w:r>
      <w:r>
        <w:rPr>
          <w:rStyle w:val="28"/>
          <w:rFonts w:hint="eastAsia" w:eastAsia="宋体"/>
          <w:color w:val="auto"/>
        </w:rPr>
        <w:t>附件</w:t>
      </w:r>
      <w:r>
        <w:rPr>
          <w:rFonts w:eastAsia="宋体"/>
        </w:rPr>
        <w:tab/>
      </w:r>
      <w:r>
        <w:rPr>
          <w:rFonts w:eastAsia="宋体"/>
        </w:rPr>
        <w:fldChar w:fldCharType="begin"/>
      </w:r>
      <w:r>
        <w:rPr>
          <w:rFonts w:eastAsia="宋体"/>
        </w:rPr>
        <w:instrText xml:space="preserve"> PAGEREF _Toc18236187 \h </w:instrText>
      </w:r>
      <w:r>
        <w:rPr>
          <w:rFonts w:eastAsia="宋体"/>
        </w:rPr>
        <w:fldChar w:fldCharType="separate"/>
      </w:r>
      <w:r>
        <w:rPr>
          <w:rFonts w:eastAsia="宋体"/>
        </w:rPr>
        <w:t>16</w:t>
      </w:r>
      <w:r>
        <w:rPr>
          <w:rFonts w:eastAsia="宋体"/>
        </w:rPr>
        <w:fldChar w:fldCharType="end"/>
      </w:r>
      <w:r>
        <w:rPr>
          <w:rFonts w:eastAsia="宋体"/>
        </w:rPr>
        <w:fldChar w:fldCharType="end"/>
      </w:r>
    </w:p>
    <w:p>
      <w:pPr>
        <w:pStyle w:val="17"/>
        <w:spacing w:before="78" w:after="78"/>
        <w:rPr>
          <w:rFonts w:eastAsia="宋体" w:asciiTheme="minorHAnsi" w:hAnsiTheme="minorHAnsi" w:cstheme="minorBidi"/>
          <w:sz w:val="21"/>
          <w:szCs w:val="22"/>
        </w:rPr>
      </w:pPr>
      <w:r>
        <w:fldChar w:fldCharType="begin"/>
      </w:r>
      <w:r>
        <w:instrText xml:space="preserve"> HYPERLINK \l "_Toc18236188" </w:instrText>
      </w:r>
      <w:r>
        <w:fldChar w:fldCharType="separate"/>
      </w:r>
      <w:r>
        <w:rPr>
          <w:rStyle w:val="28"/>
          <w:rFonts w:hint="eastAsia" w:eastAsia="宋体"/>
          <w:color w:val="auto"/>
        </w:rPr>
        <w:t>一、估价委托书及风险告知书复印件</w:t>
      </w:r>
      <w:r>
        <w:rPr>
          <w:rFonts w:eastAsia="宋体"/>
        </w:rPr>
        <w:tab/>
      </w:r>
      <w:r>
        <w:rPr>
          <w:rFonts w:eastAsia="宋体"/>
        </w:rPr>
        <w:fldChar w:fldCharType="begin"/>
      </w:r>
      <w:r>
        <w:rPr>
          <w:rFonts w:eastAsia="宋体"/>
        </w:rPr>
        <w:instrText xml:space="preserve"> PAGEREF _Toc18236188 \h </w:instrText>
      </w:r>
      <w:r>
        <w:rPr>
          <w:rFonts w:eastAsia="宋体"/>
        </w:rPr>
        <w:fldChar w:fldCharType="separate"/>
      </w:r>
      <w:r>
        <w:rPr>
          <w:rFonts w:eastAsia="宋体"/>
        </w:rPr>
        <w:t>16</w:t>
      </w:r>
      <w:r>
        <w:rPr>
          <w:rFonts w:eastAsia="宋体"/>
        </w:rPr>
        <w:fldChar w:fldCharType="end"/>
      </w:r>
      <w:r>
        <w:rPr>
          <w:rFonts w:eastAsia="宋体"/>
        </w:rPr>
        <w:fldChar w:fldCharType="end"/>
      </w:r>
    </w:p>
    <w:p>
      <w:pPr>
        <w:pStyle w:val="17"/>
        <w:spacing w:before="78" w:after="78"/>
        <w:rPr>
          <w:rFonts w:eastAsia="宋体" w:asciiTheme="minorHAnsi" w:hAnsiTheme="minorHAnsi" w:cstheme="minorBidi"/>
          <w:sz w:val="21"/>
          <w:szCs w:val="22"/>
        </w:rPr>
      </w:pPr>
      <w:r>
        <w:fldChar w:fldCharType="begin"/>
      </w:r>
      <w:r>
        <w:instrText xml:space="preserve"> HYPERLINK \l "_Toc18236189" </w:instrText>
      </w:r>
      <w:r>
        <w:fldChar w:fldCharType="separate"/>
      </w:r>
      <w:r>
        <w:rPr>
          <w:rStyle w:val="28"/>
          <w:rFonts w:hint="eastAsia" w:eastAsia="宋体"/>
          <w:color w:val="auto"/>
        </w:rPr>
        <w:t>二、</w:t>
      </w:r>
      <w:r>
        <w:rPr>
          <w:rStyle w:val="28"/>
          <w:rFonts w:hint="eastAsia" w:asciiTheme="minorEastAsia" w:hAnsiTheme="minorEastAsia" w:eastAsiaTheme="minorEastAsia"/>
          <w:color w:val="auto"/>
        </w:rPr>
        <w:t>估价对象</w:t>
      </w:r>
      <w:r>
        <w:rPr>
          <w:rStyle w:val="28"/>
          <w:rFonts w:hint="eastAsia" w:asciiTheme="minorEastAsia" w:hAnsiTheme="minorEastAsia" w:eastAsiaTheme="minorEastAsia"/>
          <w:color w:val="auto"/>
          <w:lang w:val="en-US" w:eastAsia="zh-CN"/>
        </w:rPr>
        <w:t>不动产权证</w:t>
      </w:r>
      <w:r>
        <w:rPr>
          <w:rStyle w:val="28"/>
          <w:rFonts w:hint="eastAsia" w:asciiTheme="minorEastAsia" w:hAnsiTheme="minorEastAsia" w:eastAsiaTheme="minorEastAsia"/>
          <w:color w:val="auto"/>
          <w:lang w:eastAsia="zh-CN"/>
        </w:rPr>
        <w:t>复</w:t>
      </w:r>
      <w:r>
        <w:rPr>
          <w:rStyle w:val="28"/>
          <w:rFonts w:hint="eastAsia" w:asciiTheme="minorEastAsia" w:hAnsiTheme="minorEastAsia" w:eastAsiaTheme="minorEastAsia"/>
          <w:color w:val="auto"/>
        </w:rPr>
        <w:t>印件</w:t>
      </w:r>
      <w:r>
        <w:rPr>
          <w:rFonts w:eastAsia="宋体"/>
        </w:rPr>
        <w:tab/>
      </w:r>
      <w:r>
        <w:rPr>
          <w:rFonts w:eastAsia="宋体"/>
        </w:rPr>
        <w:fldChar w:fldCharType="begin"/>
      </w:r>
      <w:r>
        <w:rPr>
          <w:rFonts w:eastAsia="宋体"/>
        </w:rPr>
        <w:instrText xml:space="preserve"> PAGEREF _Toc18236189 \h </w:instrText>
      </w:r>
      <w:r>
        <w:rPr>
          <w:rFonts w:eastAsia="宋体"/>
        </w:rPr>
        <w:fldChar w:fldCharType="separate"/>
      </w:r>
      <w:r>
        <w:rPr>
          <w:rFonts w:eastAsia="宋体"/>
        </w:rPr>
        <w:t>16</w:t>
      </w:r>
      <w:r>
        <w:rPr>
          <w:rFonts w:eastAsia="宋体"/>
        </w:rPr>
        <w:fldChar w:fldCharType="end"/>
      </w:r>
      <w:r>
        <w:rPr>
          <w:rFonts w:eastAsia="宋体"/>
        </w:rPr>
        <w:fldChar w:fldCharType="end"/>
      </w:r>
    </w:p>
    <w:p>
      <w:pPr>
        <w:pStyle w:val="17"/>
        <w:spacing w:before="78" w:after="78"/>
        <w:rPr>
          <w:rFonts w:eastAsia="宋体" w:asciiTheme="minorHAnsi" w:hAnsiTheme="minorHAnsi" w:cstheme="minorBidi"/>
          <w:sz w:val="21"/>
          <w:szCs w:val="22"/>
        </w:rPr>
      </w:pPr>
      <w:r>
        <w:fldChar w:fldCharType="begin"/>
      </w:r>
      <w:r>
        <w:instrText xml:space="preserve"> HYPERLINK \l "_Toc18236190" </w:instrText>
      </w:r>
      <w:r>
        <w:fldChar w:fldCharType="separate"/>
      </w:r>
      <w:r>
        <w:rPr>
          <w:rStyle w:val="28"/>
          <w:rFonts w:hint="eastAsia" w:eastAsia="宋体"/>
          <w:color w:val="auto"/>
        </w:rPr>
        <w:t>三、</w:t>
      </w:r>
      <w:r>
        <w:rPr>
          <w:rStyle w:val="28"/>
          <w:rFonts w:hint="eastAsia" w:asciiTheme="minorEastAsia" w:hAnsiTheme="minorEastAsia" w:eastAsiaTheme="minorEastAsia"/>
          <w:color w:val="auto"/>
        </w:rPr>
        <w:t>估价对象地理位置图及影像资料</w:t>
      </w:r>
      <w:r>
        <w:rPr>
          <w:rFonts w:eastAsia="宋体"/>
        </w:rPr>
        <w:tab/>
      </w:r>
      <w:r>
        <w:rPr>
          <w:rFonts w:eastAsia="宋体"/>
        </w:rPr>
        <w:fldChar w:fldCharType="begin"/>
      </w:r>
      <w:r>
        <w:rPr>
          <w:rFonts w:eastAsia="宋体"/>
        </w:rPr>
        <w:instrText xml:space="preserve"> PAGEREF _Toc18236190 \h </w:instrText>
      </w:r>
      <w:r>
        <w:rPr>
          <w:rFonts w:eastAsia="宋体"/>
        </w:rPr>
        <w:fldChar w:fldCharType="separate"/>
      </w:r>
      <w:r>
        <w:rPr>
          <w:rFonts w:eastAsia="宋体"/>
        </w:rPr>
        <w:t>16</w:t>
      </w:r>
      <w:r>
        <w:rPr>
          <w:rFonts w:eastAsia="宋体"/>
        </w:rPr>
        <w:fldChar w:fldCharType="end"/>
      </w:r>
      <w:r>
        <w:rPr>
          <w:rFonts w:eastAsia="宋体"/>
        </w:rPr>
        <w:fldChar w:fldCharType="end"/>
      </w:r>
    </w:p>
    <w:p>
      <w:pPr>
        <w:pStyle w:val="17"/>
        <w:spacing w:before="78" w:after="78"/>
        <w:rPr>
          <w:rFonts w:eastAsia="宋体" w:asciiTheme="minorHAnsi" w:hAnsiTheme="minorHAnsi" w:cstheme="minorBidi"/>
          <w:sz w:val="21"/>
          <w:szCs w:val="22"/>
        </w:rPr>
      </w:pPr>
      <w:r>
        <w:fldChar w:fldCharType="begin"/>
      </w:r>
      <w:r>
        <w:instrText xml:space="preserve"> HYPERLINK \l "_Toc18236191" </w:instrText>
      </w:r>
      <w:r>
        <w:fldChar w:fldCharType="separate"/>
      </w:r>
      <w:r>
        <w:rPr>
          <w:rStyle w:val="28"/>
          <w:rFonts w:hint="eastAsia" w:eastAsia="宋体"/>
          <w:color w:val="auto"/>
        </w:rPr>
        <w:t>四、</w:t>
      </w:r>
      <w:r>
        <w:rPr>
          <w:rStyle w:val="28"/>
          <w:rFonts w:hint="eastAsia" w:asciiTheme="minorEastAsia" w:hAnsiTheme="minorEastAsia" w:eastAsiaTheme="minorEastAsia"/>
          <w:color w:val="auto"/>
        </w:rPr>
        <w:t>估价对象现场查勘表复印件</w:t>
      </w:r>
      <w:r>
        <w:rPr>
          <w:rFonts w:eastAsia="宋体"/>
        </w:rPr>
        <w:tab/>
      </w:r>
      <w:r>
        <w:rPr>
          <w:rFonts w:eastAsia="宋体"/>
        </w:rPr>
        <w:fldChar w:fldCharType="begin"/>
      </w:r>
      <w:r>
        <w:rPr>
          <w:rFonts w:eastAsia="宋体"/>
        </w:rPr>
        <w:instrText xml:space="preserve"> PAGEREF _Toc18236191 \h </w:instrText>
      </w:r>
      <w:r>
        <w:rPr>
          <w:rFonts w:eastAsia="宋体"/>
        </w:rPr>
        <w:fldChar w:fldCharType="separate"/>
      </w:r>
      <w:r>
        <w:rPr>
          <w:rFonts w:eastAsia="宋体"/>
        </w:rPr>
        <w:t>16</w:t>
      </w:r>
      <w:r>
        <w:rPr>
          <w:rFonts w:eastAsia="宋体"/>
        </w:rPr>
        <w:fldChar w:fldCharType="end"/>
      </w:r>
      <w:r>
        <w:rPr>
          <w:rFonts w:eastAsia="宋体"/>
        </w:rPr>
        <w:fldChar w:fldCharType="end"/>
      </w:r>
    </w:p>
    <w:p>
      <w:pPr>
        <w:pStyle w:val="17"/>
        <w:spacing w:before="78" w:after="78"/>
        <w:rPr>
          <w:rFonts w:eastAsia="宋体" w:asciiTheme="minorHAnsi" w:hAnsiTheme="minorHAnsi" w:cstheme="minorBidi"/>
          <w:sz w:val="21"/>
          <w:szCs w:val="22"/>
        </w:rPr>
      </w:pPr>
      <w:r>
        <w:fldChar w:fldCharType="begin"/>
      </w:r>
      <w:r>
        <w:instrText xml:space="preserve"> HYPERLINK \l "_Toc18236192" </w:instrText>
      </w:r>
      <w:r>
        <w:fldChar w:fldCharType="separate"/>
      </w:r>
      <w:r>
        <w:rPr>
          <w:rStyle w:val="28"/>
          <w:rFonts w:hint="eastAsia" w:eastAsia="宋体"/>
          <w:color w:val="auto"/>
        </w:rPr>
        <w:t>五、</w:t>
      </w:r>
      <w:r>
        <w:rPr>
          <w:rStyle w:val="28"/>
          <w:rFonts w:hint="eastAsia" w:asciiTheme="minorEastAsia" w:hAnsiTheme="minorEastAsia" w:eastAsiaTheme="minorEastAsia"/>
          <w:color w:val="auto"/>
        </w:rPr>
        <w:t>房地产估价机构营业执照、估价资质证及房地产估价师注册证书复印件</w:t>
      </w:r>
      <w:r>
        <w:rPr>
          <w:rFonts w:eastAsia="宋体"/>
        </w:rPr>
        <w:tab/>
      </w:r>
      <w:r>
        <w:rPr>
          <w:rFonts w:eastAsia="宋体"/>
        </w:rPr>
        <w:fldChar w:fldCharType="begin"/>
      </w:r>
      <w:r>
        <w:rPr>
          <w:rFonts w:eastAsia="宋体"/>
        </w:rPr>
        <w:instrText xml:space="preserve"> PAGEREF _Toc18236192 \h </w:instrText>
      </w:r>
      <w:r>
        <w:rPr>
          <w:rFonts w:eastAsia="宋体"/>
        </w:rPr>
        <w:fldChar w:fldCharType="separate"/>
      </w:r>
      <w:r>
        <w:rPr>
          <w:rFonts w:eastAsia="宋体"/>
        </w:rPr>
        <w:t>16</w:t>
      </w:r>
      <w:r>
        <w:rPr>
          <w:rFonts w:eastAsia="宋体"/>
        </w:rPr>
        <w:fldChar w:fldCharType="end"/>
      </w:r>
      <w:r>
        <w:rPr>
          <w:rFonts w:eastAsia="宋体"/>
        </w:rPr>
        <w:fldChar w:fldCharType="end"/>
      </w:r>
    </w:p>
    <w:p>
      <w:pPr>
        <w:sectPr>
          <w:headerReference r:id="rId3" w:type="default"/>
          <w:footerReference r:id="rId4" w:type="default"/>
          <w:pgSz w:w="11906" w:h="16838"/>
          <w:pgMar w:top="703" w:right="850" w:bottom="850" w:left="1010" w:header="567" w:footer="794" w:gutter="567"/>
          <w:pgNumType w:start="0"/>
          <w:cols w:space="0" w:num="1"/>
          <w:docGrid w:type="linesAndChars" w:linePitch="314" w:charSpace="3522"/>
        </w:sectPr>
      </w:pPr>
      <w:r>
        <w:fldChar w:fldCharType="end"/>
      </w:r>
    </w:p>
    <w:p>
      <w:pPr>
        <w:pStyle w:val="19"/>
        <w:pageBreakBefore/>
      </w:pPr>
      <w:bookmarkStart w:id="6" w:name="_Toc18236171"/>
      <w:bookmarkStart w:id="7" w:name="_Toc19110104"/>
      <w:bookmarkStart w:id="8" w:name="_Toc19110963"/>
      <w:bookmarkStart w:id="9" w:name="_Toc1491"/>
      <w:bookmarkStart w:id="10" w:name="_Toc18233386"/>
      <w:bookmarkStart w:id="11" w:name="_Toc17773"/>
      <w:r>
        <w:rPr>
          <w:rFonts w:hint="eastAsia"/>
        </w:rPr>
        <w:t>估 价 师 声 明</w:t>
      </w:r>
      <w:bookmarkEnd w:id="6"/>
      <w:bookmarkEnd w:id="7"/>
      <w:bookmarkEnd w:id="8"/>
      <w:bookmarkEnd w:id="9"/>
      <w:bookmarkEnd w:id="10"/>
      <w:bookmarkEnd w:id="11"/>
    </w:p>
    <w:p>
      <w:pPr>
        <w:spacing w:line="560" w:lineRule="exact"/>
        <w:textAlignment w:val="center"/>
        <w:rPr>
          <w:rFonts w:ascii="宋体" w:hAnsi="宋体" w:cs="仿宋_GB2312"/>
          <w:sz w:val="28"/>
          <w:szCs w:val="28"/>
        </w:rPr>
      </w:pPr>
      <w:r>
        <w:rPr>
          <w:rFonts w:hint="eastAsia" w:ascii="宋体" w:hAnsi="宋体" w:cs="仿宋_GB2312"/>
          <w:sz w:val="28"/>
          <w:szCs w:val="28"/>
        </w:rPr>
        <w:t>我们郑重声明：</w:t>
      </w:r>
    </w:p>
    <w:p>
      <w:pPr>
        <w:spacing w:line="560" w:lineRule="exact"/>
        <w:ind w:firstLine="526"/>
        <w:textAlignment w:val="center"/>
        <w:rPr>
          <w:rFonts w:ascii="宋体" w:hAnsi="宋体" w:cs="仿宋_GB2312"/>
          <w:sz w:val="28"/>
          <w:szCs w:val="28"/>
        </w:rPr>
      </w:pPr>
      <w:r>
        <w:rPr>
          <w:rFonts w:hint="eastAsia" w:ascii="宋体" w:hAnsi="宋体" w:cs="仿宋_GB2312"/>
          <w:sz w:val="28"/>
          <w:szCs w:val="28"/>
        </w:rPr>
        <w:t>1、我们在该估价报告中对事实的说明是真实和准确的，没有虚假记载、误导性陈述和重大遗漏。</w:t>
      </w:r>
    </w:p>
    <w:p>
      <w:pPr>
        <w:spacing w:line="560" w:lineRule="exact"/>
        <w:ind w:firstLine="526"/>
        <w:textAlignment w:val="center"/>
        <w:rPr>
          <w:rFonts w:ascii="宋体" w:hAnsi="宋体" w:cs="仿宋_GB2312"/>
          <w:sz w:val="28"/>
          <w:szCs w:val="28"/>
        </w:rPr>
      </w:pPr>
      <w:r>
        <w:rPr>
          <w:rFonts w:hint="eastAsia" w:ascii="宋体" w:hAnsi="宋体" w:cs="仿宋_GB2312"/>
          <w:sz w:val="28"/>
          <w:szCs w:val="28"/>
        </w:rPr>
        <w:t>2、估价报告中的分析、意见和结论是我们自己独立、客观、公正的专业分析、意见和结论，但受到估价报告中已说明的估价假设和限制条件的限制。</w:t>
      </w:r>
    </w:p>
    <w:p>
      <w:pPr>
        <w:spacing w:line="560" w:lineRule="exact"/>
        <w:ind w:firstLine="526"/>
        <w:textAlignment w:val="center"/>
        <w:rPr>
          <w:rFonts w:ascii="宋体" w:hAnsi="宋体" w:cs="仿宋_GB2312"/>
          <w:sz w:val="28"/>
          <w:szCs w:val="28"/>
        </w:rPr>
      </w:pPr>
      <w:r>
        <w:rPr>
          <w:rFonts w:hint="eastAsia" w:ascii="宋体" w:hAnsi="宋体" w:cs="仿宋_GB2312"/>
          <w:sz w:val="28"/>
          <w:szCs w:val="28"/>
        </w:rPr>
        <w:t>3、我们与估价报告中的估价对象没有现实或潜在的利益，与估价委托人及估价利害关系人没有利害关系，也对估价对象、估价委托人及估价利害关系人没有偏见。</w:t>
      </w:r>
    </w:p>
    <w:p>
      <w:pPr>
        <w:spacing w:line="560" w:lineRule="exact"/>
        <w:ind w:firstLine="526"/>
        <w:textAlignment w:val="center"/>
        <w:rPr>
          <w:rFonts w:ascii="宋体" w:hAnsi="宋体" w:cs="仿宋_GB2312"/>
          <w:sz w:val="28"/>
          <w:szCs w:val="28"/>
        </w:rPr>
      </w:pPr>
      <w:r>
        <w:rPr>
          <w:rFonts w:hint="eastAsia" w:ascii="宋体" w:hAnsi="宋体" w:cs="仿宋_GB2312"/>
          <w:sz w:val="28"/>
          <w:szCs w:val="28"/>
        </w:rPr>
        <w:t>4、</w:t>
      </w:r>
      <w:r>
        <w:rPr>
          <w:rFonts w:hint="eastAsia" w:ascii="宋体" w:hAnsi="宋体"/>
          <w:bCs/>
          <w:sz w:val="28"/>
          <w:szCs w:val="28"/>
        </w:rPr>
        <w:t>我们是</w:t>
      </w:r>
      <w:r>
        <w:rPr>
          <w:rFonts w:hint="eastAsia" w:ascii="宋体" w:hAnsi="宋体"/>
          <w:sz w:val="28"/>
        </w:rPr>
        <w:t>依照中华人民共和国国家标准《房地产估价规范》（</w:t>
      </w:r>
      <w:r>
        <w:rPr>
          <w:rFonts w:ascii="宋体" w:hAnsi="宋体"/>
          <w:bCs/>
          <w:sz w:val="28"/>
          <w:szCs w:val="28"/>
        </w:rPr>
        <w:t>GB/T 50291-2015</w:t>
      </w:r>
      <w:r>
        <w:rPr>
          <w:rFonts w:hint="eastAsia" w:ascii="宋体" w:hAnsi="宋体"/>
          <w:sz w:val="28"/>
        </w:rPr>
        <w:t>）、《房地产估价基本术语标准》（</w:t>
      </w:r>
      <w:r>
        <w:rPr>
          <w:rFonts w:ascii="宋体" w:hAnsi="宋体"/>
          <w:bCs/>
          <w:sz w:val="28"/>
          <w:szCs w:val="28"/>
        </w:rPr>
        <w:t>GB/T50899-2013</w:t>
      </w:r>
      <w:r>
        <w:rPr>
          <w:rFonts w:hint="eastAsia" w:ascii="宋体" w:hAnsi="宋体"/>
          <w:sz w:val="28"/>
        </w:rPr>
        <w:t>）、《人民法院委托评估工作规范》进行估价工作，形成意见和结论，撰写本评估报告</w:t>
      </w:r>
      <w:r>
        <w:rPr>
          <w:rFonts w:hint="eastAsia" w:ascii="宋体" w:hAnsi="宋体" w:cs="仿宋_GB2312"/>
          <w:sz w:val="28"/>
          <w:szCs w:val="28"/>
        </w:rPr>
        <w:t>。</w:t>
      </w:r>
    </w:p>
    <w:p>
      <w:pPr>
        <w:spacing w:line="560" w:lineRule="exact"/>
        <w:ind w:firstLine="526"/>
        <w:textAlignment w:val="center"/>
        <w:rPr>
          <w:rFonts w:ascii="宋体" w:hAnsi="宋体" w:cs="仿宋_GB2312"/>
          <w:sz w:val="28"/>
          <w:szCs w:val="28"/>
        </w:rPr>
      </w:pPr>
      <w:r>
        <w:rPr>
          <w:rFonts w:hint="eastAsia" w:ascii="宋体" w:hAnsi="宋体" w:cs="仿宋_GB2312"/>
          <w:sz w:val="28"/>
          <w:szCs w:val="28"/>
        </w:rPr>
        <w:t>5、我们已对本估价报告中的估价对象进行了实地勘察，并对现场查勘的客观性、真实性、公正性承担责任。</w:t>
      </w:r>
    </w:p>
    <w:p>
      <w:pPr>
        <w:spacing w:line="560" w:lineRule="exact"/>
        <w:ind w:firstLine="526"/>
        <w:textAlignment w:val="center"/>
        <w:rPr>
          <w:rFonts w:ascii="宋体" w:hAnsi="宋体" w:cs="仿宋_GB2312"/>
          <w:sz w:val="28"/>
          <w:szCs w:val="28"/>
        </w:rPr>
      </w:pPr>
      <w:r>
        <w:rPr>
          <w:rFonts w:hint="eastAsia" w:ascii="宋体" w:hAnsi="宋体" w:cs="仿宋_GB2312"/>
          <w:sz w:val="28"/>
          <w:szCs w:val="28"/>
        </w:rPr>
        <w:t>6、</w:t>
      </w:r>
      <w:r>
        <w:rPr>
          <w:rFonts w:hint="eastAsia" w:ascii="宋体" w:hAnsi="宋体"/>
          <w:sz w:val="28"/>
          <w:szCs w:val="28"/>
        </w:rPr>
        <w:t>本估价报告由曲靖市恒通房地产土地评估有限公司负责解释。</w:t>
      </w:r>
    </w:p>
    <w:p>
      <w:pPr>
        <w:rPr>
          <w:rFonts w:ascii="宋体" w:hAnsi="宋体" w:cs="仿宋_GB2312"/>
          <w:sz w:val="28"/>
          <w:szCs w:val="28"/>
        </w:rPr>
      </w:pPr>
    </w:p>
    <w:p>
      <w:pPr>
        <w:spacing w:line="600" w:lineRule="exact"/>
        <w:jc w:val="center"/>
        <w:textAlignment w:val="center"/>
        <w:rPr>
          <w:rFonts w:ascii="宋体" w:hAnsi="宋体" w:cs="仿宋_GB2312"/>
          <w:sz w:val="44"/>
        </w:rPr>
      </w:pPr>
    </w:p>
    <w:p>
      <w:pPr>
        <w:spacing w:line="600" w:lineRule="exact"/>
        <w:jc w:val="center"/>
        <w:textAlignment w:val="center"/>
        <w:rPr>
          <w:rFonts w:ascii="宋体" w:hAnsi="宋体" w:cs="仿宋_GB2312"/>
          <w:sz w:val="44"/>
        </w:rPr>
      </w:pPr>
    </w:p>
    <w:p>
      <w:pPr>
        <w:spacing w:line="600" w:lineRule="exact"/>
        <w:jc w:val="center"/>
        <w:textAlignment w:val="center"/>
        <w:rPr>
          <w:rFonts w:ascii="宋体" w:hAnsi="宋体" w:cs="仿宋_GB2312"/>
          <w:sz w:val="44"/>
        </w:rPr>
      </w:pPr>
    </w:p>
    <w:p>
      <w:pPr>
        <w:spacing w:line="600" w:lineRule="exact"/>
        <w:jc w:val="center"/>
        <w:textAlignment w:val="center"/>
        <w:rPr>
          <w:rFonts w:ascii="宋体" w:hAnsi="宋体" w:cs="仿宋_GB2312"/>
          <w:sz w:val="44"/>
        </w:rPr>
      </w:pPr>
    </w:p>
    <w:p>
      <w:pPr>
        <w:spacing w:line="600" w:lineRule="exact"/>
        <w:jc w:val="center"/>
        <w:textAlignment w:val="center"/>
        <w:rPr>
          <w:rFonts w:ascii="宋体" w:hAnsi="宋体" w:cs="仿宋_GB2312"/>
          <w:sz w:val="44"/>
        </w:rPr>
      </w:pPr>
    </w:p>
    <w:p>
      <w:pPr>
        <w:spacing w:line="600" w:lineRule="exact"/>
        <w:jc w:val="center"/>
        <w:textAlignment w:val="center"/>
        <w:rPr>
          <w:rFonts w:ascii="宋体" w:hAnsi="宋体" w:cs="仿宋_GB2312"/>
          <w:sz w:val="44"/>
        </w:rPr>
      </w:pPr>
    </w:p>
    <w:p>
      <w:pPr>
        <w:pStyle w:val="19"/>
        <w:pageBreakBefore/>
        <w:rPr>
          <w:szCs w:val="28"/>
        </w:rPr>
      </w:pPr>
      <w:bookmarkStart w:id="12" w:name="_Toc15549"/>
      <w:bookmarkStart w:id="13" w:name="_Toc19110964"/>
      <w:bookmarkStart w:id="14" w:name="_Toc19110105"/>
      <w:bookmarkStart w:id="15" w:name="_Toc7883"/>
      <w:bookmarkStart w:id="16" w:name="_Toc18233387"/>
      <w:bookmarkStart w:id="17" w:name="_Toc18236172"/>
      <w:r>
        <w:rPr>
          <w:rFonts w:hint="eastAsia"/>
        </w:rPr>
        <w:t>估价的假设和限制条件</w:t>
      </w:r>
      <w:bookmarkEnd w:id="12"/>
      <w:bookmarkEnd w:id="13"/>
      <w:bookmarkEnd w:id="14"/>
      <w:bookmarkEnd w:id="15"/>
      <w:bookmarkEnd w:id="16"/>
      <w:bookmarkEnd w:id="17"/>
    </w:p>
    <w:p>
      <w:pPr>
        <w:spacing w:line="540" w:lineRule="exact"/>
        <w:textAlignment w:val="center"/>
        <w:rPr>
          <w:rFonts w:ascii="宋体" w:hAnsi="宋体" w:cs="仿宋_GB2312"/>
          <w:spacing w:val="9"/>
          <w:sz w:val="28"/>
        </w:rPr>
      </w:pPr>
      <w:r>
        <w:rPr>
          <w:rFonts w:hint="eastAsia" w:ascii="宋体" w:hAnsi="宋体" w:cs="仿宋_GB2312"/>
          <w:spacing w:val="9"/>
          <w:sz w:val="28"/>
        </w:rPr>
        <w:t>一、估价报告成立的假设前提：</w:t>
      </w:r>
    </w:p>
    <w:p>
      <w:pPr>
        <w:spacing w:line="540" w:lineRule="exact"/>
        <w:ind w:firstLine="560"/>
        <w:textAlignment w:val="center"/>
        <w:rPr>
          <w:rFonts w:ascii="宋体" w:hAnsi="宋体" w:cs="仿宋_GB2312"/>
          <w:spacing w:val="9"/>
          <w:sz w:val="28"/>
        </w:rPr>
      </w:pPr>
      <w:r>
        <w:rPr>
          <w:rFonts w:hint="eastAsia" w:ascii="宋体" w:hAnsi="宋体" w:cs="仿宋_GB2312"/>
          <w:spacing w:val="9"/>
          <w:sz w:val="28"/>
        </w:rPr>
        <w:t xml:space="preserve">(一)、一般假设： </w:t>
      </w:r>
    </w:p>
    <w:p>
      <w:pPr>
        <w:spacing w:line="540" w:lineRule="exact"/>
        <w:ind w:firstLine="560"/>
        <w:textAlignment w:val="center"/>
        <w:rPr>
          <w:rFonts w:ascii="宋体" w:hAnsi="宋体" w:cs="仿宋_GB2312"/>
          <w:spacing w:val="9"/>
          <w:sz w:val="28"/>
        </w:rPr>
      </w:pPr>
      <w:r>
        <w:rPr>
          <w:rFonts w:hint="eastAsia" w:ascii="宋体" w:hAnsi="宋体" w:cs="仿宋_GB2312"/>
          <w:spacing w:val="9"/>
          <w:sz w:val="28"/>
        </w:rPr>
        <w:t>1. 由估价委托人引领估价人员实地查勘的估价对象与资料记载的估价对象一致，具有唯一性。</w:t>
      </w:r>
    </w:p>
    <w:p>
      <w:pPr>
        <w:spacing w:line="540" w:lineRule="exact"/>
        <w:ind w:firstLine="566" w:firstLineChars="180"/>
        <w:rPr>
          <w:rFonts w:ascii="宋体"/>
          <w:sz w:val="28"/>
          <w:szCs w:val="28"/>
        </w:rPr>
      </w:pPr>
      <w:r>
        <w:rPr>
          <w:rFonts w:hint="eastAsia" w:ascii="宋体" w:hAnsi="宋体" w:cs="仿宋_GB2312"/>
          <w:spacing w:val="9"/>
          <w:sz w:val="28"/>
        </w:rPr>
        <w:t>2.</w:t>
      </w:r>
      <w:r>
        <w:rPr>
          <w:rFonts w:hint="eastAsia" w:ascii="宋体" w:hAnsi="宋体"/>
          <w:sz w:val="28"/>
          <w:szCs w:val="28"/>
        </w:rPr>
        <w:t xml:space="preserve"> 估价对象于价值时点的市场价值假设前提为：</w:t>
      </w:r>
    </w:p>
    <w:p>
      <w:pPr>
        <w:spacing w:line="540" w:lineRule="exact"/>
        <w:ind w:right="122" w:rightChars="54" w:firstLine="564" w:firstLineChars="190"/>
        <w:rPr>
          <w:rFonts w:asci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）房地产交易符合国家相关法律、法规规定，能够自由在市场上交易；</w:t>
      </w:r>
    </w:p>
    <w:p>
      <w:pPr>
        <w:spacing w:line="540" w:lineRule="exact"/>
        <w:ind w:right="122" w:rightChars="54" w:firstLine="564" w:firstLineChars="190"/>
        <w:rPr>
          <w:rFonts w:asci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）交易双方是自愿进行交易，交易目的是追求自身利益的最大化；</w:t>
      </w:r>
    </w:p>
    <w:p>
      <w:pPr>
        <w:spacing w:line="540" w:lineRule="exact"/>
        <w:ind w:right="122" w:rightChars="54" w:firstLine="564" w:firstLineChars="190"/>
        <w:rPr>
          <w:rFonts w:asci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）交易双方具有必要的房地产专业知识，并了解估价对象；</w:t>
      </w:r>
    </w:p>
    <w:p>
      <w:pPr>
        <w:spacing w:line="540" w:lineRule="exact"/>
        <w:ind w:right="122" w:rightChars="54" w:firstLine="564" w:firstLineChars="190"/>
        <w:rPr>
          <w:rFonts w:ascii="宋体"/>
          <w:sz w:val="28"/>
          <w:szCs w:val="28"/>
        </w:rPr>
      </w:pPr>
      <w:r>
        <w:rPr>
          <w:rFonts w:hint="eastAsia" w:ascii="宋体" w:hAnsi="宋体"/>
          <w:sz w:val="28"/>
          <w:szCs w:val="28"/>
        </w:rPr>
        <w:t>（</w:t>
      </w:r>
      <w:r>
        <w:rPr>
          <w:rFonts w:ascii="宋体" w:hAnsi="宋体"/>
          <w:sz w:val="28"/>
          <w:szCs w:val="28"/>
        </w:rPr>
        <w:t>4</w:t>
      </w:r>
      <w:r>
        <w:rPr>
          <w:rFonts w:hint="eastAsia" w:ascii="宋体" w:hAnsi="宋体"/>
          <w:sz w:val="28"/>
          <w:szCs w:val="28"/>
        </w:rPr>
        <w:t>）交易双方掌握必要的市场信息；</w:t>
      </w:r>
    </w:p>
    <w:p>
      <w:pPr>
        <w:spacing w:line="540" w:lineRule="exact"/>
        <w:ind w:right="122" w:rightChars="54" w:firstLine="564" w:firstLineChars="190"/>
        <w:rPr>
          <w:rFonts w:ascii="宋体"/>
          <w:sz w:val="28"/>
          <w:szCs w:val="28"/>
        </w:rPr>
      </w:pPr>
      <w:r>
        <w:rPr>
          <w:rFonts w:hint="eastAsia" w:ascii="宋体" w:hAnsi="宋体"/>
          <w:sz w:val="28"/>
          <w:szCs w:val="28"/>
        </w:rPr>
        <w:t>（</w:t>
      </w:r>
      <w:r>
        <w:rPr>
          <w:rFonts w:ascii="宋体" w:hAnsi="宋体"/>
          <w:sz w:val="28"/>
          <w:szCs w:val="28"/>
        </w:rPr>
        <w:t>5</w:t>
      </w:r>
      <w:r>
        <w:rPr>
          <w:rFonts w:hint="eastAsia" w:ascii="宋体" w:hAnsi="宋体"/>
          <w:sz w:val="28"/>
          <w:szCs w:val="28"/>
        </w:rPr>
        <w:t>）交易双方有较充裕的时间进行交易；</w:t>
      </w:r>
    </w:p>
    <w:p>
      <w:pPr>
        <w:spacing w:line="540" w:lineRule="exact"/>
        <w:ind w:right="122" w:rightChars="54" w:firstLine="564" w:firstLineChars="190"/>
        <w:rPr>
          <w:rFonts w:ascii="宋体"/>
          <w:sz w:val="28"/>
          <w:szCs w:val="28"/>
        </w:rPr>
      </w:pPr>
      <w:r>
        <w:rPr>
          <w:rFonts w:hint="eastAsia" w:ascii="宋体" w:hAnsi="宋体"/>
          <w:sz w:val="28"/>
          <w:szCs w:val="28"/>
        </w:rPr>
        <w:t>（</w:t>
      </w:r>
      <w:r>
        <w:rPr>
          <w:rFonts w:ascii="宋体" w:hAnsi="宋体"/>
          <w:sz w:val="28"/>
          <w:szCs w:val="28"/>
        </w:rPr>
        <w:t>6</w:t>
      </w:r>
      <w:r>
        <w:rPr>
          <w:rFonts w:hint="eastAsia" w:ascii="宋体" w:hAnsi="宋体"/>
          <w:sz w:val="28"/>
          <w:szCs w:val="28"/>
        </w:rPr>
        <w:t>）不存在特殊买家的附加出价；</w:t>
      </w:r>
    </w:p>
    <w:p>
      <w:pPr>
        <w:spacing w:line="540" w:lineRule="exact"/>
        <w:ind w:right="122" w:rightChars="54" w:firstLine="560"/>
        <w:textAlignment w:val="center"/>
        <w:rPr>
          <w:rFonts w:ascii="宋体" w:hAnsi="宋体"/>
          <w:sz w:val="28"/>
          <w:szCs w:val="28"/>
        </w:rPr>
      </w:pPr>
      <w:r>
        <w:rPr>
          <w:rFonts w:hint="eastAsia" w:ascii="宋体" w:hAnsi="宋体"/>
          <w:sz w:val="28"/>
          <w:szCs w:val="28"/>
        </w:rPr>
        <w:t>（</w:t>
      </w:r>
      <w:r>
        <w:rPr>
          <w:rFonts w:ascii="宋体" w:hAnsi="宋体"/>
          <w:sz w:val="28"/>
          <w:szCs w:val="28"/>
        </w:rPr>
        <w:t>7</w:t>
      </w:r>
      <w:r>
        <w:rPr>
          <w:rFonts w:hint="eastAsia" w:ascii="宋体" w:hAnsi="宋体"/>
          <w:sz w:val="28"/>
          <w:szCs w:val="28"/>
        </w:rPr>
        <w:t>）交易双方负担各自应负担的税费。</w:t>
      </w:r>
    </w:p>
    <w:p>
      <w:pPr>
        <w:spacing w:line="540" w:lineRule="exact"/>
        <w:ind w:right="122" w:rightChars="54" w:firstLine="560"/>
        <w:textAlignment w:val="center"/>
        <w:rPr>
          <w:rFonts w:ascii="宋体" w:hAnsi="宋体" w:cs="仿宋_GB2312"/>
          <w:spacing w:val="9"/>
          <w:sz w:val="28"/>
        </w:rPr>
      </w:pPr>
      <w:r>
        <w:rPr>
          <w:rFonts w:hint="eastAsia" w:ascii="宋体" w:hAnsi="宋体"/>
          <w:sz w:val="28"/>
          <w:szCs w:val="28"/>
        </w:rPr>
        <w:t>3、注册房地产估价师</w:t>
      </w:r>
      <w:r>
        <w:rPr>
          <w:rFonts w:hint="eastAsia" w:ascii="宋体" w:hAnsi="宋体"/>
          <w:spacing w:val="4"/>
          <w:sz w:val="28"/>
          <w:szCs w:val="28"/>
        </w:rPr>
        <w:t>对估价对象进行了实地查勘，认真查验</w:t>
      </w:r>
      <w:r>
        <w:rPr>
          <w:rFonts w:hint="eastAsia" w:ascii="宋体" w:hAnsi="宋体"/>
          <w:sz w:val="28"/>
          <w:szCs w:val="28"/>
        </w:rPr>
        <w:t>估价对象外观和使用状况，也关注了估价对象的房屋安全、环境污染等影响估价对象价值的重大因素，在本次估价中假定估价对象在价值时点处于完好状态，并在房屋耐用年限或土地使用期限内能够保持持续使用。</w:t>
      </w:r>
    </w:p>
    <w:p>
      <w:pPr>
        <w:spacing w:line="540" w:lineRule="exact"/>
        <w:ind w:firstLine="560"/>
        <w:textAlignment w:val="center"/>
        <w:rPr>
          <w:rFonts w:hint="eastAsia" w:ascii="宋体" w:hAnsi="宋体" w:eastAsia="宋体" w:cs="仿宋_GB2312"/>
          <w:spacing w:val="9"/>
          <w:sz w:val="28"/>
          <w:lang w:eastAsia="zh-CN"/>
        </w:rPr>
      </w:pPr>
      <w:r>
        <w:rPr>
          <w:rFonts w:hint="eastAsia" w:ascii="宋体" w:hAnsi="宋体" w:cs="仿宋_GB2312"/>
          <w:spacing w:val="9"/>
          <w:sz w:val="28"/>
        </w:rPr>
        <w:t>(二)、未定事项假设：估价对象</w:t>
      </w:r>
      <w:r>
        <w:rPr>
          <w:rFonts w:hint="eastAsia" w:ascii="宋体" w:hAnsi="宋体" w:cs="仿宋_GB2312"/>
          <w:spacing w:val="9"/>
          <w:sz w:val="28"/>
          <w:lang w:eastAsia="zh-CN"/>
        </w:rPr>
        <w:t>不定产权证未记载建筑物建成时间</w:t>
      </w:r>
      <w:r>
        <w:rPr>
          <w:rFonts w:hint="eastAsia" w:ascii="宋体" w:hAnsi="宋体" w:cs="仿宋_GB2312"/>
          <w:spacing w:val="9"/>
          <w:sz w:val="28"/>
        </w:rPr>
        <w:t>。经实地调查，估价对象于</w:t>
      </w:r>
      <w:r>
        <w:rPr>
          <w:rFonts w:hint="eastAsia" w:ascii="宋体" w:hAnsi="宋体" w:cs="仿宋_GB2312"/>
          <w:spacing w:val="9"/>
          <w:sz w:val="28"/>
          <w:lang w:eastAsia="zh-CN"/>
        </w:rPr>
        <w:t>20</w:t>
      </w:r>
      <w:r>
        <w:rPr>
          <w:rFonts w:hint="eastAsia" w:ascii="宋体" w:hAnsi="宋体" w:cs="仿宋_GB2312"/>
          <w:spacing w:val="9"/>
          <w:sz w:val="28"/>
          <w:lang w:val="en-US" w:eastAsia="zh-CN"/>
        </w:rPr>
        <w:t>1</w:t>
      </w:r>
      <w:r>
        <w:rPr>
          <w:rFonts w:hint="eastAsia" w:ascii="宋体" w:hAnsi="宋体" w:cs="仿宋_GB2312"/>
          <w:spacing w:val="9"/>
          <w:sz w:val="28"/>
          <w:lang w:eastAsia="zh-CN"/>
        </w:rPr>
        <w:t>1</w:t>
      </w:r>
      <w:r>
        <w:rPr>
          <w:rFonts w:hint="eastAsia" w:ascii="宋体" w:hAnsi="宋体" w:cs="仿宋_GB2312"/>
          <w:spacing w:val="9"/>
          <w:sz w:val="28"/>
        </w:rPr>
        <w:t>年建成</w:t>
      </w:r>
      <w:r>
        <w:rPr>
          <w:rFonts w:hint="eastAsia" w:ascii="宋体" w:hAnsi="宋体" w:cs="仿宋_GB2312"/>
          <w:spacing w:val="9"/>
          <w:sz w:val="28"/>
          <w:lang w:eastAsia="zh-CN"/>
        </w:rPr>
        <w:t>，本次估价建筑物建成年代以实际调查为准。</w:t>
      </w:r>
    </w:p>
    <w:p>
      <w:pPr>
        <w:spacing w:line="530" w:lineRule="exact"/>
        <w:ind w:firstLine="566" w:firstLineChars="180"/>
        <w:textAlignment w:val="center"/>
        <w:rPr>
          <w:rFonts w:ascii="宋体" w:hAnsi="宋体" w:cs="仿宋_GB2312"/>
          <w:spacing w:val="9"/>
          <w:sz w:val="28"/>
        </w:rPr>
      </w:pPr>
      <w:r>
        <w:rPr>
          <w:rFonts w:hint="eastAsia" w:ascii="宋体" w:hAnsi="宋体" w:cs="仿宋_GB2312"/>
          <w:spacing w:val="9"/>
          <w:sz w:val="28"/>
        </w:rPr>
        <w:t>(三)、背离事实假设：</w:t>
      </w:r>
      <w:r>
        <w:rPr>
          <w:rFonts w:hint="eastAsia" w:ascii="宋体" w:hAnsi="宋体" w:cs="仿宋_GB2312"/>
          <w:color w:val="auto"/>
          <w:spacing w:val="9"/>
          <w:sz w:val="28"/>
        </w:rPr>
        <w:t>估价对象已</w:t>
      </w:r>
      <w:r>
        <w:rPr>
          <w:rFonts w:hint="eastAsia" w:ascii="宋体" w:hAnsi="宋体" w:cs="仿宋_GB2312"/>
          <w:color w:val="auto"/>
          <w:spacing w:val="9"/>
          <w:sz w:val="28"/>
          <w:lang w:eastAsia="zh-CN"/>
        </w:rPr>
        <w:t>查封</w:t>
      </w:r>
      <w:r>
        <w:rPr>
          <w:rFonts w:hint="eastAsia" w:ascii="宋体" w:hAnsi="宋体" w:cs="仿宋_GB2312"/>
          <w:color w:val="auto"/>
          <w:spacing w:val="9"/>
          <w:sz w:val="28"/>
        </w:rPr>
        <w:t>。结合估价目的，根据《涉执房地产处置司法评估指导意见（试行）》，不考虑</w:t>
      </w:r>
      <w:r>
        <w:rPr>
          <w:rFonts w:hint="eastAsia" w:ascii="宋体" w:hAnsi="宋体" w:cs="仿宋_GB2312"/>
          <w:color w:val="auto"/>
          <w:spacing w:val="9"/>
          <w:sz w:val="28"/>
          <w:lang w:eastAsia="zh-CN"/>
        </w:rPr>
        <w:t>估价</w:t>
      </w:r>
      <w:r>
        <w:rPr>
          <w:rFonts w:hint="eastAsia" w:ascii="宋体" w:hAnsi="宋体" w:cs="仿宋_GB2312"/>
          <w:color w:val="auto"/>
          <w:spacing w:val="9"/>
          <w:sz w:val="28"/>
        </w:rPr>
        <w:t>对象被查封以及原有的担保物权和其他优先受偿权的影响，此次评估我们按无他项权利限制设定。</w:t>
      </w:r>
    </w:p>
    <w:p>
      <w:pPr>
        <w:spacing w:line="540" w:lineRule="exact"/>
        <w:ind w:right="263" w:rightChars="116" w:firstLine="560"/>
        <w:textAlignment w:val="center"/>
        <w:rPr>
          <w:rFonts w:ascii="宋体" w:hAnsi="宋体" w:cs="仿宋_GB2312"/>
          <w:spacing w:val="9"/>
          <w:sz w:val="28"/>
        </w:rPr>
      </w:pPr>
      <w:r>
        <w:rPr>
          <w:rFonts w:hint="eastAsia" w:ascii="宋体" w:hAnsi="宋体" w:cs="仿宋_GB2312"/>
          <w:spacing w:val="9"/>
          <w:sz w:val="28"/>
        </w:rPr>
        <w:t>(四)、不相一致假设：</w:t>
      </w:r>
      <w:r>
        <w:rPr>
          <w:rFonts w:hint="eastAsia" w:ascii="宋体" w:hAnsi="宋体"/>
          <w:sz w:val="28"/>
          <w:szCs w:val="28"/>
        </w:rPr>
        <w:t>无。</w:t>
      </w:r>
    </w:p>
    <w:p>
      <w:pPr>
        <w:spacing w:line="540" w:lineRule="exact"/>
        <w:ind w:firstLine="566" w:firstLineChars="180"/>
        <w:textAlignment w:val="center"/>
        <w:rPr>
          <w:rFonts w:hint="eastAsia" w:ascii="宋体" w:hAnsi="宋体" w:eastAsia="宋体" w:cs="仿宋_GB2312"/>
          <w:spacing w:val="9"/>
          <w:sz w:val="28"/>
          <w:lang w:eastAsia="zh-CN"/>
        </w:rPr>
      </w:pPr>
      <w:r>
        <w:rPr>
          <w:rFonts w:hint="eastAsia" w:ascii="宋体" w:hAnsi="宋体" w:cs="仿宋_GB2312"/>
          <w:spacing w:val="9"/>
          <w:sz w:val="28"/>
        </w:rPr>
        <w:t>(五)、依据不足假设：</w:t>
      </w:r>
      <w:r>
        <w:rPr>
          <w:rFonts w:hint="eastAsia" w:ascii="宋体" w:hAnsi="宋体" w:cs="仿宋_GB2312"/>
          <w:spacing w:val="9"/>
          <w:sz w:val="28"/>
          <w:lang w:eastAsia="zh-CN"/>
        </w:rPr>
        <w:t>无</w:t>
      </w:r>
      <w:r>
        <w:rPr>
          <w:rFonts w:hint="eastAsia" w:ascii="宋体" w:hAnsi="宋体" w:cs="仿宋_GB2312"/>
          <w:spacing w:val="9"/>
          <w:sz w:val="28"/>
        </w:rPr>
        <w:t>。</w:t>
      </w:r>
    </w:p>
    <w:p>
      <w:pPr>
        <w:spacing w:line="540" w:lineRule="exact"/>
        <w:textAlignment w:val="center"/>
        <w:rPr>
          <w:rFonts w:ascii="宋体" w:hAnsi="宋体" w:cs="仿宋_GB2312"/>
          <w:spacing w:val="9"/>
          <w:sz w:val="28"/>
        </w:rPr>
      </w:pPr>
      <w:r>
        <w:rPr>
          <w:rFonts w:hint="eastAsia" w:ascii="宋体" w:hAnsi="宋体" w:cs="仿宋_GB2312"/>
          <w:spacing w:val="9"/>
          <w:sz w:val="28"/>
        </w:rPr>
        <w:t>二、估价报告使用的限制条件：</w:t>
      </w:r>
    </w:p>
    <w:p>
      <w:pPr>
        <w:spacing w:line="540" w:lineRule="exact"/>
        <w:ind w:firstLine="595" w:firstLineChars="189"/>
        <w:rPr>
          <w:rFonts w:ascii="宋体" w:hAnsi="宋体" w:cs="仿宋_GB2312"/>
          <w:spacing w:val="9"/>
          <w:sz w:val="28"/>
        </w:rPr>
      </w:pPr>
      <w:r>
        <w:rPr>
          <w:rFonts w:hint="eastAsia" w:ascii="宋体" w:hAnsi="宋体" w:cs="仿宋_GB2312"/>
          <w:spacing w:val="9"/>
          <w:sz w:val="28"/>
        </w:rPr>
        <w:t>(一)、</w:t>
      </w:r>
      <w:r>
        <w:rPr>
          <w:rFonts w:hint="eastAsia" w:ascii="宋体" w:hAnsi="宋体"/>
          <w:sz w:val="28"/>
          <w:szCs w:val="28"/>
        </w:rPr>
        <w:t>本估价报告估价结论仅作</w:t>
      </w:r>
      <w:r>
        <w:rPr>
          <w:rFonts w:hint="eastAsia" w:ascii="宋体" w:hAnsi="宋体" w:cs="仿宋_GB2312"/>
          <w:spacing w:val="11"/>
          <w:sz w:val="28"/>
          <w:szCs w:val="28"/>
        </w:rPr>
        <w:t>为司法拍卖提供价值参考依据而评估房地产市场价值</w:t>
      </w:r>
      <w:r>
        <w:rPr>
          <w:rFonts w:hint="eastAsia" w:ascii="宋体" w:hAnsi="宋体"/>
          <w:sz w:val="28"/>
          <w:szCs w:val="28"/>
        </w:rPr>
        <w:t>，若用于其他用途，本估价报告估价结论无效</w:t>
      </w:r>
      <w:r>
        <w:rPr>
          <w:rFonts w:hint="eastAsia" w:ascii="宋体" w:hAnsi="宋体" w:cs="仿宋_GB2312"/>
          <w:spacing w:val="9"/>
          <w:sz w:val="28"/>
        </w:rPr>
        <w:t>。</w:t>
      </w:r>
    </w:p>
    <w:p>
      <w:pPr>
        <w:tabs>
          <w:tab w:val="left" w:pos="510"/>
        </w:tabs>
        <w:spacing w:line="540" w:lineRule="exact"/>
        <w:ind w:firstLine="566" w:firstLineChars="180"/>
        <w:rPr>
          <w:rFonts w:ascii="宋体" w:hAnsi="宋体" w:cs="仿宋_GB2312"/>
          <w:spacing w:val="9"/>
          <w:sz w:val="28"/>
        </w:rPr>
      </w:pPr>
      <w:r>
        <w:rPr>
          <w:rFonts w:hint="eastAsia" w:ascii="宋体" w:hAnsi="宋体" w:cs="仿宋_GB2312"/>
          <w:spacing w:val="9"/>
          <w:sz w:val="28"/>
        </w:rPr>
        <w:t>(二)、本次估价结果自报告提交之日起有效期为一年。</w:t>
      </w:r>
      <w:r>
        <w:rPr>
          <w:rFonts w:hint="eastAsia" w:ascii="宋体" w:hAnsi="宋体"/>
          <w:sz w:val="28"/>
          <w:szCs w:val="28"/>
        </w:rPr>
        <w:t>本估价报告应在确定的估价报告应用有效期内（自出具估价报告之日起即</w:t>
      </w:r>
      <w:r>
        <w:rPr>
          <w:rFonts w:hint="eastAsia" w:ascii="宋体" w:hAnsi="宋体"/>
          <w:sz w:val="28"/>
          <w:szCs w:val="28"/>
          <w:lang w:eastAsia="zh-CN"/>
        </w:rPr>
        <w:t>2022年10月10日</w:t>
      </w:r>
      <w:r>
        <w:rPr>
          <w:rFonts w:hint="eastAsia" w:ascii="宋体" w:hAnsi="宋体"/>
          <w:sz w:val="28"/>
          <w:szCs w:val="28"/>
        </w:rPr>
        <w:t>至202</w:t>
      </w:r>
      <w:r>
        <w:rPr>
          <w:rFonts w:hint="eastAsia" w:ascii="宋体" w:hAnsi="宋体"/>
          <w:sz w:val="28"/>
          <w:szCs w:val="28"/>
          <w:lang w:val="en-US" w:eastAsia="zh-CN"/>
        </w:rPr>
        <w:t>3</w:t>
      </w:r>
      <w:r>
        <w:rPr>
          <w:rFonts w:hint="eastAsia" w:ascii="宋体" w:hAnsi="宋体"/>
          <w:sz w:val="28"/>
          <w:szCs w:val="28"/>
        </w:rPr>
        <w:t>年</w:t>
      </w:r>
      <w:r>
        <w:rPr>
          <w:rFonts w:hint="eastAsia" w:ascii="宋体" w:hAnsi="宋体"/>
          <w:sz w:val="28"/>
          <w:szCs w:val="28"/>
          <w:lang w:val="en-US" w:eastAsia="zh-CN"/>
        </w:rPr>
        <w:t>10</w:t>
      </w:r>
      <w:r>
        <w:rPr>
          <w:rFonts w:hint="eastAsia" w:ascii="宋体" w:hAnsi="宋体"/>
          <w:sz w:val="28"/>
          <w:szCs w:val="28"/>
        </w:rPr>
        <w:t>月</w:t>
      </w:r>
      <w:r>
        <w:rPr>
          <w:rFonts w:hint="eastAsia" w:ascii="宋体" w:hAnsi="宋体"/>
          <w:sz w:val="28"/>
          <w:szCs w:val="28"/>
          <w:lang w:val="en-US" w:eastAsia="zh-CN"/>
        </w:rPr>
        <w:t>09</w:t>
      </w:r>
      <w:r>
        <w:rPr>
          <w:rFonts w:hint="eastAsia" w:ascii="宋体" w:hAnsi="宋体"/>
          <w:sz w:val="28"/>
          <w:szCs w:val="28"/>
        </w:rPr>
        <w:t>止）使用，超过估价报告应用有效期使用本报告，相关责任由使用者承担</w:t>
      </w:r>
      <w:r>
        <w:rPr>
          <w:rFonts w:hint="eastAsia" w:ascii="宋体" w:hAnsi="宋体" w:cs="仿宋_GB2312"/>
          <w:spacing w:val="9"/>
          <w:sz w:val="28"/>
        </w:rPr>
        <w:t>。</w:t>
      </w:r>
    </w:p>
    <w:p>
      <w:pPr>
        <w:tabs>
          <w:tab w:val="left" w:pos="510"/>
        </w:tabs>
        <w:spacing w:line="540" w:lineRule="exact"/>
        <w:ind w:firstLine="566" w:firstLineChars="180"/>
        <w:rPr>
          <w:rFonts w:ascii="宋体" w:hAnsi="宋体" w:cs="仿宋_GB2312"/>
          <w:spacing w:val="9"/>
          <w:sz w:val="28"/>
        </w:rPr>
      </w:pPr>
      <w:r>
        <w:rPr>
          <w:rFonts w:hint="eastAsia" w:ascii="宋体" w:hAnsi="宋体" w:cs="仿宋_GB2312"/>
          <w:spacing w:val="9"/>
          <w:sz w:val="28"/>
        </w:rPr>
        <w:t>(三)、</w:t>
      </w:r>
      <w:r>
        <w:rPr>
          <w:rFonts w:hint="eastAsia" w:ascii="宋体" w:hAnsi="宋体"/>
          <w:sz w:val="28"/>
          <w:szCs w:val="28"/>
        </w:rPr>
        <w:t>价值时点后，估价报告应用有效期内估价对象的质量及价格标准发生重大变化，并对估价价值产生明显影响时，不能直接使用本估价结论，应当对估价结果做出调整或者重新评估</w:t>
      </w:r>
      <w:r>
        <w:rPr>
          <w:rFonts w:hint="eastAsia" w:ascii="宋体" w:hAnsi="宋体" w:cs="仿宋_GB2312"/>
          <w:spacing w:val="9"/>
          <w:sz w:val="28"/>
        </w:rPr>
        <w:t xml:space="preserve">。 </w:t>
      </w:r>
    </w:p>
    <w:p>
      <w:pPr>
        <w:tabs>
          <w:tab w:val="left" w:pos="510"/>
        </w:tabs>
        <w:spacing w:line="540" w:lineRule="exact"/>
        <w:ind w:firstLine="566" w:firstLineChars="180"/>
        <w:rPr>
          <w:rFonts w:ascii="宋体" w:hAnsi="宋体" w:cs="仿宋_GB2312"/>
          <w:spacing w:val="9"/>
          <w:sz w:val="28"/>
        </w:rPr>
      </w:pPr>
      <w:r>
        <w:rPr>
          <w:rFonts w:hint="eastAsia" w:ascii="宋体" w:hAnsi="宋体" w:cs="仿宋_GB2312"/>
          <w:spacing w:val="9"/>
          <w:sz w:val="28"/>
        </w:rPr>
        <w:t>(四)、</w:t>
      </w:r>
      <w:r>
        <w:rPr>
          <w:rFonts w:hint="eastAsia" w:ascii="宋体" w:hAnsi="宋体"/>
          <w:sz w:val="28"/>
          <w:szCs w:val="28"/>
        </w:rPr>
        <w:t>本估价报告必须完整使用方为有效，对仅使用报告中部分内容所导致可能发生的损失，本估价机构不承担责任</w:t>
      </w:r>
      <w:r>
        <w:rPr>
          <w:rFonts w:hint="eastAsia" w:ascii="宋体" w:hAnsi="宋体" w:cs="仿宋_GB2312"/>
          <w:spacing w:val="9"/>
          <w:sz w:val="28"/>
        </w:rPr>
        <w:t>。</w:t>
      </w:r>
    </w:p>
    <w:p>
      <w:pPr>
        <w:spacing w:line="540" w:lineRule="exact"/>
        <w:ind w:firstLine="567"/>
        <w:textAlignment w:val="center"/>
        <w:rPr>
          <w:rFonts w:ascii="宋体" w:hAnsi="宋体" w:cs="仿宋_GB2312"/>
          <w:spacing w:val="9"/>
          <w:sz w:val="28"/>
        </w:rPr>
      </w:pPr>
      <w:r>
        <w:rPr>
          <w:rFonts w:hint="eastAsia" w:ascii="宋体" w:hAnsi="宋体" w:cs="仿宋_GB2312"/>
          <w:spacing w:val="9"/>
          <w:sz w:val="28"/>
        </w:rPr>
        <w:t>(五)、本估价报告的技术部分，仅作为估价方的机构存档和有关部门审阅备案之用，该部分不作为本估价报告应用的依据。</w:t>
      </w:r>
    </w:p>
    <w:p>
      <w:pPr>
        <w:spacing w:line="540" w:lineRule="exact"/>
        <w:ind w:firstLine="560"/>
        <w:textAlignment w:val="center"/>
        <w:rPr>
          <w:rFonts w:ascii="宋体" w:hAnsi="宋体" w:cs="仿宋_GB2312"/>
          <w:spacing w:val="9"/>
          <w:sz w:val="28"/>
        </w:rPr>
      </w:pPr>
      <w:r>
        <w:rPr>
          <w:rFonts w:hint="eastAsia" w:ascii="宋体" w:hAnsi="宋体" w:cs="仿宋_GB2312"/>
          <w:spacing w:val="9"/>
          <w:sz w:val="28"/>
        </w:rPr>
        <w:t>(六)、本报告复印件无效，报告缺页无效，我们对无效报告不承担任何法律责任。本报告经估价师签字盖章及估价机构负责人签字盖章后方生效。</w:t>
      </w:r>
    </w:p>
    <w:p>
      <w:pPr>
        <w:spacing w:line="540" w:lineRule="exact"/>
        <w:ind w:firstLine="560"/>
        <w:textAlignment w:val="center"/>
        <w:rPr>
          <w:rFonts w:ascii="宋体" w:hAnsi="宋体" w:cs="仿宋_GB2312"/>
          <w:spacing w:val="9"/>
          <w:sz w:val="28"/>
        </w:rPr>
      </w:pPr>
      <w:r>
        <w:rPr>
          <w:rFonts w:hint="eastAsia" w:ascii="宋体" w:hAnsi="宋体" w:cs="仿宋_GB2312"/>
          <w:spacing w:val="9"/>
          <w:sz w:val="28"/>
        </w:rPr>
        <w:t>(七)、本估价报告书一式五份，委托方四份，估价机构存档一份, 未经评估机构或本人书面同意，本估价报告的全部或其部分内容不得发表于任何公开媒体上，亦不得修改或提供给其他任何单位和个人。</w:t>
      </w:r>
    </w:p>
    <w:p>
      <w:pPr>
        <w:spacing w:line="540" w:lineRule="exact"/>
        <w:ind w:firstLine="560"/>
        <w:textAlignment w:val="center"/>
        <w:rPr>
          <w:rFonts w:ascii="宋体" w:hAnsi="宋体" w:cs="仿宋_GB2312"/>
          <w:spacing w:val="9"/>
          <w:sz w:val="28"/>
        </w:rPr>
      </w:pPr>
      <w:r>
        <w:rPr>
          <w:rFonts w:hint="eastAsia" w:ascii="宋体" w:hAnsi="宋体" w:cs="仿宋_GB2312"/>
          <w:spacing w:val="9"/>
          <w:sz w:val="28"/>
        </w:rPr>
        <w:t>三、报告使用特殊提示：</w:t>
      </w:r>
    </w:p>
    <w:p>
      <w:pPr>
        <w:spacing w:line="540" w:lineRule="exact"/>
        <w:ind w:firstLine="534" w:firstLineChars="180"/>
        <w:rPr>
          <w:rFonts w:hint="eastAsia"/>
          <w:bCs/>
          <w:sz w:val="28"/>
          <w:szCs w:val="28"/>
          <w:lang w:val="en-US" w:eastAsia="zh-CN"/>
        </w:rPr>
      </w:pPr>
      <w:r>
        <w:rPr>
          <w:rFonts w:hint="eastAsia" w:ascii="宋体"/>
          <w:sz w:val="28"/>
          <w:szCs w:val="28"/>
          <w:lang w:val="en-US" w:eastAsia="zh-CN"/>
        </w:rPr>
        <w:t>1</w:t>
      </w:r>
      <w:r>
        <w:rPr>
          <w:rFonts w:hint="eastAsia" w:ascii="宋体"/>
          <w:sz w:val="28"/>
          <w:szCs w:val="28"/>
        </w:rPr>
        <w:t>、本次估价未考虑估价对象房地产可能存在的他项权利对估价对象房地产价值的影响</w:t>
      </w:r>
      <w:r>
        <w:rPr>
          <w:rFonts w:hint="eastAsia" w:ascii="宋体" w:hAnsi="宋体" w:cs="仿宋_GB2312"/>
          <w:spacing w:val="9"/>
          <w:sz w:val="28"/>
        </w:rPr>
        <w:t>。</w:t>
      </w:r>
    </w:p>
    <w:p>
      <w:pPr>
        <w:numPr>
          <w:ilvl w:val="0"/>
          <w:numId w:val="0"/>
        </w:numPr>
        <w:tabs>
          <w:tab w:val="left" w:pos="0"/>
        </w:tabs>
        <w:spacing w:line="360" w:lineRule="auto"/>
        <w:ind w:right="156" w:rightChars="69" w:firstLine="594" w:firstLineChars="200"/>
        <w:rPr>
          <w:rFonts w:hint="eastAsia" w:eastAsia="宋体"/>
          <w:bCs/>
          <w:sz w:val="28"/>
          <w:szCs w:val="28"/>
        </w:rPr>
      </w:pPr>
      <w:r>
        <w:rPr>
          <w:rFonts w:hint="eastAsia"/>
          <w:bCs/>
          <w:sz w:val="28"/>
          <w:szCs w:val="28"/>
          <w:lang w:val="en-US" w:eastAsia="zh-CN"/>
        </w:rPr>
        <w:t>2</w:t>
      </w:r>
      <w:r>
        <w:rPr>
          <w:rFonts w:hint="eastAsia" w:eastAsia="宋体"/>
          <w:bCs/>
          <w:sz w:val="28"/>
          <w:szCs w:val="28"/>
          <w:lang w:val="en-US" w:eastAsia="zh-CN"/>
        </w:rPr>
        <w:t>、</w:t>
      </w:r>
      <w:r>
        <w:rPr>
          <w:rFonts w:hint="eastAsia" w:eastAsia="宋体"/>
          <w:bCs/>
          <w:sz w:val="28"/>
          <w:szCs w:val="28"/>
        </w:rPr>
        <w:t>交易税费的负担方式按照法律法规规定，转让人和买受人各自负担。</w:t>
      </w:r>
    </w:p>
    <w:p>
      <w:pPr>
        <w:numPr>
          <w:ilvl w:val="0"/>
          <w:numId w:val="0"/>
        </w:numPr>
        <w:tabs>
          <w:tab w:val="left" w:pos="351"/>
        </w:tabs>
        <w:spacing w:line="360" w:lineRule="auto"/>
        <w:ind w:right="156" w:rightChars="69" w:firstLine="594" w:firstLineChars="200"/>
        <w:rPr>
          <w:rFonts w:hint="eastAsia" w:eastAsia="宋体"/>
          <w:bCs/>
          <w:sz w:val="28"/>
          <w:szCs w:val="28"/>
        </w:rPr>
      </w:pPr>
      <w:r>
        <w:rPr>
          <w:rFonts w:hint="eastAsia"/>
          <w:bCs/>
          <w:sz w:val="28"/>
          <w:szCs w:val="28"/>
          <w:lang w:val="en-US" w:eastAsia="zh-CN"/>
        </w:rPr>
        <w:t>3、</w:t>
      </w:r>
      <w:r>
        <w:rPr>
          <w:rFonts w:hint="eastAsia"/>
          <w:bCs/>
          <w:sz w:val="28"/>
          <w:szCs w:val="28"/>
          <w:lang w:eastAsia="zh-CN"/>
        </w:rPr>
        <w:t>估价结果未扣除</w:t>
      </w:r>
      <w:r>
        <w:rPr>
          <w:rFonts w:hint="eastAsia" w:eastAsia="宋体"/>
          <w:bCs/>
          <w:sz w:val="28"/>
          <w:szCs w:val="28"/>
        </w:rPr>
        <w:t>财产处置费用。</w:t>
      </w:r>
    </w:p>
    <w:p>
      <w:pPr>
        <w:numPr>
          <w:ilvl w:val="0"/>
          <w:numId w:val="0"/>
        </w:numPr>
        <w:tabs>
          <w:tab w:val="left" w:pos="351"/>
        </w:tabs>
        <w:spacing w:line="360" w:lineRule="auto"/>
        <w:ind w:right="156" w:rightChars="69" w:firstLine="594" w:firstLineChars="200"/>
        <w:rPr>
          <w:rFonts w:hint="eastAsia" w:eastAsia="宋体"/>
          <w:bCs/>
          <w:sz w:val="28"/>
          <w:szCs w:val="28"/>
          <w:lang w:val="en-US" w:eastAsia="zh-CN"/>
        </w:rPr>
      </w:pPr>
      <w:r>
        <w:rPr>
          <w:rFonts w:hint="eastAsia"/>
          <w:bCs/>
          <w:sz w:val="28"/>
          <w:szCs w:val="28"/>
          <w:lang w:val="en-US" w:eastAsia="zh-CN"/>
        </w:rPr>
        <w:t>4、估价对象共有情况为按份共有，贺东红、李鹏鸿二人各持有50%。</w:t>
      </w:r>
    </w:p>
    <w:p>
      <w:pPr>
        <w:pStyle w:val="19"/>
        <w:pageBreakBefore/>
        <w:rPr>
          <w:sz w:val="28"/>
        </w:rPr>
      </w:pPr>
      <w:bookmarkStart w:id="18" w:name="_Toc18236173"/>
      <w:bookmarkStart w:id="19" w:name="_Toc30184"/>
      <w:bookmarkStart w:id="20" w:name="_Toc20764"/>
      <w:bookmarkStart w:id="21" w:name="_Toc19110965"/>
      <w:bookmarkStart w:id="22" w:name="_Toc19110106"/>
      <w:r>
        <w:rPr>
          <w:rFonts w:hint="eastAsia"/>
        </w:rPr>
        <w:t>估价结果报告</w:t>
      </w:r>
      <w:bookmarkEnd w:id="18"/>
      <w:bookmarkEnd w:id="19"/>
      <w:bookmarkEnd w:id="20"/>
      <w:bookmarkEnd w:id="21"/>
      <w:bookmarkEnd w:id="22"/>
    </w:p>
    <w:p>
      <w:pPr>
        <w:pStyle w:val="4"/>
        <w:spacing w:line="560" w:lineRule="exact"/>
        <w:ind w:left="227" w:right="227"/>
        <w:rPr>
          <w:b/>
        </w:rPr>
      </w:pPr>
      <w:bookmarkStart w:id="23" w:name="_Toc1734"/>
      <w:bookmarkStart w:id="24" w:name="_Toc12203"/>
      <w:bookmarkStart w:id="25" w:name="_Toc18236174"/>
      <w:bookmarkStart w:id="26" w:name="_Toc19110966"/>
      <w:bookmarkStart w:id="27" w:name="_Toc19110107"/>
      <w:r>
        <w:rPr>
          <w:rFonts w:hint="eastAsia"/>
        </w:rPr>
        <w:t>一、估价委托人</w:t>
      </w:r>
      <w:bookmarkEnd w:id="23"/>
      <w:bookmarkEnd w:id="24"/>
      <w:bookmarkEnd w:id="25"/>
      <w:bookmarkEnd w:id="26"/>
      <w:bookmarkEnd w:id="27"/>
    </w:p>
    <w:p>
      <w:pPr>
        <w:spacing w:line="560" w:lineRule="exact"/>
        <w:ind w:firstLine="564" w:firstLineChars="190"/>
        <w:textAlignment w:val="center"/>
        <w:rPr>
          <w:rFonts w:hint="eastAsia" w:ascii="宋体" w:hAnsi="宋体" w:eastAsia="宋体" w:cs="仿宋_GB2312"/>
          <w:sz w:val="28"/>
          <w:lang w:eastAsia="zh-CN"/>
        </w:rPr>
      </w:pPr>
      <w:r>
        <w:rPr>
          <w:rFonts w:hint="eastAsia" w:ascii="宋体" w:hAnsi="宋体" w:cs="仿宋_GB2312"/>
          <w:sz w:val="28"/>
        </w:rPr>
        <w:t>名称：</w:t>
      </w:r>
      <w:r>
        <w:rPr>
          <w:rFonts w:hint="eastAsia" w:ascii="宋体" w:hAnsi="宋体" w:cs="仿宋_GB2312"/>
          <w:sz w:val="28"/>
          <w:lang w:eastAsia="zh-CN"/>
        </w:rPr>
        <w:t>永胜县人民法院</w:t>
      </w:r>
    </w:p>
    <w:p>
      <w:pPr>
        <w:spacing w:line="560" w:lineRule="exact"/>
        <w:ind w:firstLine="564" w:firstLineChars="190"/>
        <w:textAlignment w:val="center"/>
        <w:rPr>
          <w:rFonts w:hint="default" w:ascii="宋体" w:hAnsi="宋体" w:eastAsia="宋体" w:cs="仿宋_GB2312"/>
          <w:sz w:val="28"/>
          <w:lang w:val="en-US" w:eastAsia="zh-CN"/>
        </w:rPr>
      </w:pPr>
      <w:r>
        <w:rPr>
          <w:rFonts w:hint="eastAsia" w:ascii="宋体" w:hAnsi="宋体" w:cs="仿宋_GB2312"/>
          <w:sz w:val="28"/>
        </w:rPr>
        <w:t>联系电话：</w:t>
      </w:r>
      <w:r>
        <w:rPr>
          <w:rFonts w:hint="eastAsia" w:ascii="宋体" w:hAnsi="宋体" w:cs="仿宋_GB2312"/>
          <w:sz w:val="28"/>
          <w:lang w:val="en-US" w:eastAsia="zh-CN"/>
        </w:rPr>
        <w:t>0888-6560367</w:t>
      </w:r>
    </w:p>
    <w:p>
      <w:pPr>
        <w:pStyle w:val="4"/>
        <w:spacing w:line="560" w:lineRule="exact"/>
        <w:ind w:left="227" w:right="227"/>
        <w:rPr>
          <w:b/>
        </w:rPr>
      </w:pPr>
      <w:bookmarkStart w:id="28" w:name="_Toc4603"/>
      <w:bookmarkStart w:id="29" w:name="_Toc19110967"/>
      <w:bookmarkStart w:id="30" w:name="_Toc18236175"/>
      <w:bookmarkStart w:id="31" w:name="_Toc19110108"/>
      <w:bookmarkStart w:id="32" w:name="_Toc11236"/>
      <w:r>
        <w:rPr>
          <w:rFonts w:hint="eastAsia"/>
        </w:rPr>
        <w:t>二、房地产估价机构</w:t>
      </w:r>
      <w:bookmarkEnd w:id="28"/>
      <w:bookmarkEnd w:id="29"/>
      <w:bookmarkEnd w:id="30"/>
      <w:bookmarkEnd w:id="31"/>
      <w:bookmarkEnd w:id="32"/>
    </w:p>
    <w:p>
      <w:pPr>
        <w:spacing w:line="560" w:lineRule="exact"/>
        <w:ind w:firstLine="594" w:firstLineChars="200"/>
        <w:textAlignment w:val="center"/>
        <w:rPr>
          <w:rFonts w:ascii="宋体" w:hAnsi="宋体" w:cs="仿宋_GB2312"/>
          <w:sz w:val="28"/>
        </w:rPr>
      </w:pPr>
      <w:r>
        <w:rPr>
          <w:rFonts w:hint="eastAsia" w:ascii="宋体" w:hAnsi="宋体" w:cs="仿宋_GB2312"/>
          <w:sz w:val="28"/>
        </w:rPr>
        <w:t>名称：曲靖市恒通房地产土地评估有限公司</w:t>
      </w:r>
    </w:p>
    <w:p>
      <w:pPr>
        <w:spacing w:line="560" w:lineRule="exact"/>
        <w:ind w:firstLine="594" w:firstLineChars="200"/>
        <w:textAlignment w:val="center"/>
        <w:rPr>
          <w:rFonts w:ascii="宋体" w:hAnsi="宋体" w:cs="仿宋_GB2312"/>
          <w:sz w:val="28"/>
        </w:rPr>
      </w:pPr>
      <w:r>
        <w:rPr>
          <w:rFonts w:hint="eastAsia" w:ascii="宋体" w:hAnsi="宋体" w:cs="仿宋_GB2312"/>
          <w:sz w:val="28"/>
        </w:rPr>
        <w:t>法定代表人：刘承文</w:t>
      </w:r>
    </w:p>
    <w:p>
      <w:pPr>
        <w:spacing w:line="560" w:lineRule="exact"/>
        <w:ind w:firstLine="594" w:firstLineChars="200"/>
        <w:textAlignment w:val="center"/>
        <w:rPr>
          <w:rFonts w:ascii="宋体" w:hAnsi="宋体" w:cs="仿宋_GB2312"/>
          <w:sz w:val="28"/>
        </w:rPr>
      </w:pPr>
      <w:r>
        <w:rPr>
          <w:rFonts w:hint="eastAsia" w:ascii="宋体" w:hAnsi="宋体" w:cs="仿宋_GB2312"/>
          <w:sz w:val="28"/>
        </w:rPr>
        <w:t>机构地址：</w:t>
      </w:r>
      <w:r>
        <w:rPr>
          <w:rFonts w:hint="eastAsia" w:ascii="宋体" w:hAnsi="宋体"/>
          <w:spacing w:val="9"/>
          <w:sz w:val="28"/>
        </w:rPr>
        <w:t>曲靖市沾益区西平街道农信社一楼</w:t>
      </w:r>
    </w:p>
    <w:p>
      <w:pPr>
        <w:spacing w:line="560" w:lineRule="exact"/>
        <w:ind w:firstLine="594" w:firstLineChars="200"/>
        <w:textAlignment w:val="center"/>
        <w:rPr>
          <w:rFonts w:ascii="宋体" w:hAnsi="宋体" w:cs="仿宋_GB2312"/>
          <w:sz w:val="28"/>
        </w:rPr>
      </w:pPr>
      <w:r>
        <w:rPr>
          <w:rFonts w:hint="eastAsia" w:ascii="宋体" w:hAnsi="宋体" w:cs="仿宋_GB2312"/>
          <w:sz w:val="28"/>
        </w:rPr>
        <w:t>资质证书编号：云建房证估字第65号</w:t>
      </w:r>
    </w:p>
    <w:p>
      <w:pPr>
        <w:spacing w:line="560" w:lineRule="exact"/>
        <w:ind w:firstLine="594" w:firstLineChars="200"/>
        <w:textAlignment w:val="center"/>
        <w:rPr>
          <w:rFonts w:ascii="宋体" w:hAnsi="宋体" w:cs="仿宋_GB2312"/>
          <w:sz w:val="28"/>
        </w:rPr>
      </w:pPr>
      <w:r>
        <w:rPr>
          <w:rFonts w:hint="eastAsia" w:ascii="宋体" w:hAnsi="宋体" w:cs="仿宋_GB2312"/>
          <w:sz w:val="28"/>
        </w:rPr>
        <w:t>资质等级：贰级</w:t>
      </w:r>
    </w:p>
    <w:p>
      <w:pPr>
        <w:spacing w:line="560" w:lineRule="exact"/>
        <w:ind w:firstLine="594" w:firstLineChars="200"/>
        <w:textAlignment w:val="center"/>
        <w:rPr>
          <w:rFonts w:ascii="宋体" w:hAnsi="宋体" w:cs="仿宋_GB2312"/>
          <w:sz w:val="28"/>
        </w:rPr>
      </w:pPr>
      <w:r>
        <w:rPr>
          <w:rFonts w:hint="eastAsia" w:ascii="宋体" w:hAnsi="宋体" w:cs="仿宋_GB2312"/>
          <w:sz w:val="28"/>
        </w:rPr>
        <w:t>联系人；杨高云      联系电话：13887401865</w:t>
      </w:r>
    </w:p>
    <w:p>
      <w:pPr>
        <w:pStyle w:val="4"/>
        <w:spacing w:line="560" w:lineRule="exact"/>
        <w:ind w:left="227" w:right="227"/>
        <w:rPr>
          <w:b/>
        </w:rPr>
      </w:pPr>
      <w:bookmarkStart w:id="33" w:name="_Toc17976"/>
      <w:bookmarkStart w:id="34" w:name="_Toc19110109"/>
      <w:bookmarkStart w:id="35" w:name="_Toc19110968"/>
      <w:bookmarkStart w:id="36" w:name="_Toc18236176"/>
      <w:bookmarkStart w:id="37" w:name="_Toc7707"/>
      <w:r>
        <w:rPr>
          <w:rFonts w:hint="eastAsia"/>
        </w:rPr>
        <w:t>三、估价目的</w:t>
      </w:r>
      <w:bookmarkEnd w:id="33"/>
      <w:bookmarkEnd w:id="34"/>
      <w:bookmarkEnd w:id="35"/>
      <w:bookmarkEnd w:id="36"/>
      <w:bookmarkEnd w:id="37"/>
    </w:p>
    <w:p>
      <w:pPr>
        <w:spacing w:line="560" w:lineRule="exact"/>
        <w:ind w:firstLine="564" w:firstLineChars="190"/>
        <w:textAlignment w:val="center"/>
        <w:rPr>
          <w:rFonts w:ascii="宋体" w:hAnsi="宋体" w:cs="仿宋_GB2312"/>
          <w:spacing w:val="9"/>
          <w:sz w:val="28"/>
        </w:rPr>
      </w:pPr>
      <w:r>
        <w:rPr>
          <w:rFonts w:hint="eastAsia" w:ascii="宋体" w:hAnsi="宋体" w:cs="仿宋_GB2312"/>
          <w:sz w:val="28"/>
          <w:szCs w:val="28"/>
        </w:rPr>
        <w:t>为司法拍卖提供价值参考依据而评估房地产市场价值</w:t>
      </w:r>
      <w:r>
        <w:rPr>
          <w:rFonts w:hint="eastAsia" w:ascii="宋体" w:hAnsi="宋体" w:cs="仿宋_GB2312"/>
          <w:sz w:val="28"/>
        </w:rPr>
        <w:t>。</w:t>
      </w:r>
    </w:p>
    <w:p>
      <w:pPr>
        <w:pStyle w:val="4"/>
        <w:spacing w:line="560" w:lineRule="exact"/>
        <w:ind w:left="227" w:right="227"/>
      </w:pPr>
      <w:bookmarkStart w:id="38" w:name="_Toc19110110"/>
      <w:bookmarkStart w:id="39" w:name="_Toc18236177"/>
      <w:bookmarkStart w:id="40" w:name="_Toc31468"/>
      <w:bookmarkStart w:id="41" w:name="_Toc19110969"/>
      <w:bookmarkStart w:id="42" w:name="_Toc1586"/>
      <w:r>
        <w:rPr>
          <w:rFonts w:hint="eastAsia"/>
        </w:rPr>
        <w:t>四、估价对象</w:t>
      </w:r>
      <w:bookmarkEnd w:id="38"/>
      <w:bookmarkEnd w:id="39"/>
      <w:bookmarkEnd w:id="40"/>
      <w:bookmarkEnd w:id="41"/>
      <w:bookmarkEnd w:id="42"/>
    </w:p>
    <w:p>
      <w:pPr>
        <w:spacing w:line="560" w:lineRule="exact"/>
        <w:rPr>
          <w:rFonts w:hint="eastAsia" w:ascii="宋体" w:hAnsi="宋体" w:cs="仿宋_GB2312"/>
          <w:sz w:val="28"/>
          <w:szCs w:val="28"/>
        </w:rPr>
      </w:pPr>
      <w:r>
        <w:rPr>
          <w:rFonts w:hint="eastAsia" w:ascii="宋体" w:hAnsi="宋体" w:cs="仿宋_GB2312"/>
          <w:sz w:val="28"/>
          <w:szCs w:val="28"/>
        </w:rPr>
        <w:t>（一）估价对象及估价财产范围</w:t>
      </w:r>
      <w:bookmarkStart w:id="43" w:name="_Toc19110970"/>
      <w:bookmarkStart w:id="44" w:name="_Toc18236178"/>
      <w:bookmarkStart w:id="45" w:name="_Toc19110111"/>
    </w:p>
    <w:tbl>
      <w:tblPr>
        <w:tblStyle w:val="21"/>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425"/>
        <w:gridCol w:w="1276"/>
        <w:gridCol w:w="425"/>
        <w:gridCol w:w="1134"/>
        <w:gridCol w:w="425"/>
        <w:gridCol w:w="803"/>
        <w:gridCol w:w="331"/>
        <w:gridCol w:w="425"/>
        <w:gridCol w:w="1134"/>
        <w:gridCol w:w="142"/>
        <w:gridCol w:w="330"/>
        <w:gridCol w:w="80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52" w:type="dxa"/>
            <w:gridSpan w:val="4"/>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坐落</w:t>
            </w:r>
          </w:p>
        </w:tc>
        <w:tc>
          <w:tcPr>
            <w:tcW w:w="7087" w:type="dxa"/>
            <w:gridSpan w:val="10"/>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永胜县永北镇兰桂小区2单元502室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3" w:hRule="atLeast"/>
        </w:trPr>
        <w:tc>
          <w:tcPr>
            <w:tcW w:w="851" w:type="dxa"/>
            <w:gridSpan w:val="2"/>
            <w:vMerge w:val="restart"/>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权益</w:t>
            </w:r>
          </w:p>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状况</w:t>
            </w:r>
          </w:p>
        </w:tc>
        <w:tc>
          <w:tcPr>
            <w:tcW w:w="1701" w:type="dxa"/>
            <w:gridSpan w:val="2"/>
            <w:vAlign w:val="center"/>
          </w:tcPr>
          <w:p>
            <w:pPr>
              <w:widowControl/>
              <w:jc w:val="center"/>
              <w:rPr>
                <w:rFonts w:hint="eastAsia" w:cs="宋体" w:asciiTheme="minorEastAsia" w:hAnsiTheme="minorEastAsia" w:eastAsiaTheme="minorEastAsia"/>
                <w:sz w:val="18"/>
                <w:szCs w:val="18"/>
                <w:lang w:eastAsia="zh-CN"/>
              </w:rPr>
            </w:pPr>
            <w:r>
              <w:rPr>
                <w:rFonts w:hint="eastAsia" w:cs="宋体" w:asciiTheme="minorEastAsia" w:hAnsiTheme="minorEastAsia" w:eastAsiaTheme="minorEastAsia"/>
                <w:sz w:val="18"/>
                <w:szCs w:val="18"/>
                <w:lang w:val="en-US" w:eastAsia="zh-CN"/>
              </w:rPr>
              <w:t>不动产权证</w:t>
            </w:r>
          </w:p>
        </w:tc>
        <w:tc>
          <w:tcPr>
            <w:tcW w:w="7087" w:type="dxa"/>
            <w:gridSpan w:val="10"/>
            <w:vAlign w:val="center"/>
          </w:tcPr>
          <w:p>
            <w:pPr>
              <w:widowControl/>
              <w:spacing w:line="30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lang w:val="en-US" w:eastAsia="zh-CN"/>
              </w:rPr>
              <w:t>云（2018）永胜县不动产权第0001621号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1" w:type="dxa"/>
            <w:gridSpan w:val="2"/>
            <w:vMerge w:val="continue"/>
            <w:vAlign w:val="center"/>
          </w:tcPr>
          <w:p>
            <w:pPr>
              <w:widowControl/>
              <w:jc w:val="center"/>
              <w:rPr>
                <w:rFonts w:cs="宋体" w:asciiTheme="minorEastAsia" w:hAnsiTheme="minorEastAsia" w:eastAsiaTheme="minorEastAsia"/>
                <w:sz w:val="18"/>
                <w:szCs w:val="18"/>
              </w:rPr>
            </w:pPr>
          </w:p>
        </w:tc>
        <w:tc>
          <w:tcPr>
            <w:tcW w:w="1701" w:type="dxa"/>
            <w:gridSpan w:val="2"/>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房屋所有权人</w:t>
            </w:r>
          </w:p>
        </w:tc>
        <w:tc>
          <w:tcPr>
            <w:tcW w:w="2362" w:type="dxa"/>
            <w:gridSpan w:val="3"/>
            <w:vAlign w:val="center"/>
          </w:tcPr>
          <w:p>
            <w:pPr>
              <w:widowControl/>
              <w:spacing w:line="30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lang w:val="en-US" w:eastAsia="zh-CN"/>
              </w:rPr>
              <w:t>贺东红、李鹏鸿</w:t>
            </w:r>
          </w:p>
        </w:tc>
        <w:tc>
          <w:tcPr>
            <w:tcW w:w="2362" w:type="dxa"/>
            <w:gridSpan w:val="5"/>
            <w:vAlign w:val="center"/>
          </w:tcPr>
          <w:p>
            <w:pPr>
              <w:widowControl/>
              <w:spacing w:line="30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共有情况</w:t>
            </w:r>
          </w:p>
        </w:tc>
        <w:tc>
          <w:tcPr>
            <w:tcW w:w="2363" w:type="dxa"/>
            <w:gridSpan w:val="2"/>
            <w:vAlign w:val="center"/>
          </w:tcPr>
          <w:p>
            <w:pPr>
              <w:widowControl/>
              <w:spacing w:line="30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lang w:val="en-US" w:eastAsia="zh-CN"/>
              </w:rPr>
              <w:t>按份共有（各50%）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1" w:type="dxa"/>
            <w:gridSpan w:val="2"/>
            <w:vMerge w:val="continue"/>
            <w:vAlign w:val="center"/>
          </w:tcPr>
          <w:p>
            <w:pPr>
              <w:widowControl/>
              <w:jc w:val="center"/>
              <w:rPr>
                <w:rFonts w:cs="宋体" w:asciiTheme="minorEastAsia" w:hAnsiTheme="minorEastAsia" w:eastAsiaTheme="minorEastAsia"/>
                <w:sz w:val="18"/>
                <w:szCs w:val="18"/>
              </w:rPr>
            </w:pPr>
          </w:p>
        </w:tc>
        <w:tc>
          <w:tcPr>
            <w:tcW w:w="1701" w:type="dxa"/>
            <w:gridSpan w:val="2"/>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房屋规划用途</w:t>
            </w:r>
          </w:p>
        </w:tc>
        <w:tc>
          <w:tcPr>
            <w:tcW w:w="1134" w:type="dxa"/>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住宅</w:t>
            </w:r>
          </w:p>
        </w:tc>
        <w:tc>
          <w:tcPr>
            <w:tcW w:w="1559" w:type="dxa"/>
            <w:gridSpan w:val="3"/>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权属来源</w:t>
            </w:r>
          </w:p>
        </w:tc>
        <w:tc>
          <w:tcPr>
            <w:tcW w:w="1701" w:type="dxa"/>
            <w:gridSpan w:val="3"/>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购买</w:t>
            </w:r>
          </w:p>
        </w:tc>
        <w:tc>
          <w:tcPr>
            <w:tcW w:w="1134" w:type="dxa"/>
            <w:gridSpan w:val="2"/>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建筑面积</w:t>
            </w:r>
          </w:p>
        </w:tc>
        <w:tc>
          <w:tcPr>
            <w:tcW w:w="1559" w:type="dxa"/>
            <w:vAlign w:val="center"/>
          </w:tcPr>
          <w:p>
            <w:pPr>
              <w:widowControl/>
              <w:jc w:val="center"/>
              <w:rPr>
                <w:rFonts w:cs="宋体" w:asciiTheme="minorEastAsia" w:hAnsiTheme="minorEastAsia" w:eastAsiaTheme="minorEastAsia"/>
                <w:sz w:val="18"/>
                <w:szCs w:val="18"/>
              </w:rPr>
            </w:pPr>
            <w:r>
              <w:rPr>
                <w:rFonts w:hint="eastAsia" w:cs="仿宋_GB2312" w:asciiTheme="minorEastAsia" w:hAnsiTheme="minorEastAsia" w:eastAsiaTheme="minorEastAsia"/>
                <w:sz w:val="18"/>
                <w:szCs w:val="18"/>
                <w:lang w:eastAsia="zh-CN"/>
              </w:rPr>
              <w:t>131.33</w:t>
            </w:r>
            <w:r>
              <w:rPr>
                <w:rFonts w:hint="eastAsia" w:cs="仿宋_GB2312" w:asciiTheme="minorEastAsia" w:hAnsiTheme="minorEastAsia" w:eastAsiaTheme="minorEastAsia"/>
                <w:sz w:val="18"/>
                <w:szCs w:val="18"/>
              </w:rPr>
              <w:t>m</w:t>
            </w:r>
            <w:r>
              <w:rPr>
                <w:rFonts w:hint="eastAsia" w:cs="仿宋_GB2312" w:asciiTheme="minorEastAsia" w:hAnsiTheme="minorEastAsia" w:eastAsiaTheme="minorEastAsia"/>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1" w:type="dxa"/>
            <w:gridSpan w:val="2"/>
            <w:vMerge w:val="continue"/>
            <w:vAlign w:val="center"/>
          </w:tcPr>
          <w:p>
            <w:pPr>
              <w:widowControl/>
              <w:jc w:val="center"/>
              <w:rPr>
                <w:rFonts w:cs="宋体" w:asciiTheme="minorEastAsia" w:hAnsiTheme="minorEastAsia" w:eastAsiaTheme="minorEastAsia"/>
                <w:sz w:val="18"/>
                <w:szCs w:val="18"/>
              </w:rPr>
            </w:pPr>
          </w:p>
        </w:tc>
        <w:tc>
          <w:tcPr>
            <w:tcW w:w="1701" w:type="dxa"/>
            <w:gridSpan w:val="2"/>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土地用途</w:t>
            </w:r>
          </w:p>
        </w:tc>
        <w:tc>
          <w:tcPr>
            <w:tcW w:w="2693" w:type="dxa"/>
            <w:gridSpan w:val="4"/>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lang w:val="en-US" w:eastAsia="zh-CN"/>
              </w:rPr>
              <w:t>其他商服</w:t>
            </w:r>
            <w:r>
              <w:rPr>
                <w:rFonts w:hint="eastAsia" w:cs="宋体" w:asciiTheme="minorEastAsia" w:hAnsiTheme="minorEastAsia" w:eastAsiaTheme="minorEastAsia"/>
                <w:sz w:val="18"/>
                <w:szCs w:val="18"/>
              </w:rPr>
              <w:t>用地</w:t>
            </w:r>
          </w:p>
        </w:tc>
        <w:tc>
          <w:tcPr>
            <w:tcW w:w="1701" w:type="dxa"/>
            <w:gridSpan w:val="3"/>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土地使用权面积</w:t>
            </w:r>
          </w:p>
        </w:tc>
        <w:tc>
          <w:tcPr>
            <w:tcW w:w="2693" w:type="dxa"/>
            <w:gridSpan w:val="3"/>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lang w:val="en-US" w:eastAsia="zh-CN"/>
              </w:rPr>
              <w:t>29.22</w:t>
            </w:r>
            <w:r>
              <w:rPr>
                <w:rFonts w:hint="eastAsia" w:cs="仿宋_GB2312" w:asciiTheme="minorEastAsia" w:hAnsiTheme="minorEastAsia" w:eastAsiaTheme="minorEastAsia"/>
                <w:sz w:val="18"/>
                <w:szCs w:val="18"/>
              </w:rPr>
              <w:t>m</w:t>
            </w:r>
            <w:r>
              <w:rPr>
                <w:rFonts w:hint="eastAsia" w:cs="仿宋_GB2312" w:asciiTheme="minorEastAsia" w:hAnsiTheme="minorEastAsia" w:eastAsiaTheme="minorEastAsia"/>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1" w:type="dxa"/>
            <w:gridSpan w:val="2"/>
            <w:vMerge w:val="continue"/>
            <w:vAlign w:val="center"/>
          </w:tcPr>
          <w:p>
            <w:pPr>
              <w:widowControl/>
              <w:jc w:val="center"/>
              <w:rPr>
                <w:rFonts w:cs="宋体" w:asciiTheme="minorEastAsia" w:hAnsiTheme="minorEastAsia" w:eastAsiaTheme="minorEastAsia"/>
                <w:sz w:val="18"/>
                <w:szCs w:val="18"/>
              </w:rPr>
            </w:pPr>
          </w:p>
        </w:tc>
        <w:tc>
          <w:tcPr>
            <w:tcW w:w="1701" w:type="dxa"/>
            <w:gridSpan w:val="2"/>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土地权利性质</w:t>
            </w:r>
          </w:p>
        </w:tc>
        <w:tc>
          <w:tcPr>
            <w:tcW w:w="1134" w:type="dxa"/>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lang w:val="en-US" w:eastAsia="zh-CN"/>
              </w:rPr>
              <w:t>出让</w:t>
            </w:r>
          </w:p>
        </w:tc>
        <w:tc>
          <w:tcPr>
            <w:tcW w:w="1559" w:type="dxa"/>
            <w:gridSpan w:val="3"/>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使用权期限</w:t>
            </w:r>
          </w:p>
        </w:tc>
        <w:tc>
          <w:tcPr>
            <w:tcW w:w="4394" w:type="dxa"/>
            <w:gridSpan w:val="6"/>
            <w:vAlign w:val="center"/>
          </w:tcPr>
          <w:p>
            <w:pPr>
              <w:widowControl/>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2007年11月26日起2057年11月25日止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 w:type="dxa"/>
            <w:vMerge w:val="restart"/>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实物状况</w:t>
            </w:r>
          </w:p>
        </w:tc>
        <w:tc>
          <w:tcPr>
            <w:tcW w:w="425" w:type="dxa"/>
            <w:vMerge w:val="restart"/>
            <w:vAlign w:val="center"/>
          </w:tcPr>
          <w:p>
            <w:pPr>
              <w:spacing w:line="28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土地状况</w:t>
            </w:r>
          </w:p>
        </w:tc>
        <w:tc>
          <w:tcPr>
            <w:tcW w:w="1701" w:type="dxa"/>
            <w:gridSpan w:val="2"/>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土地四至</w:t>
            </w:r>
          </w:p>
        </w:tc>
        <w:tc>
          <w:tcPr>
            <w:tcW w:w="7087" w:type="dxa"/>
            <w:gridSpan w:val="10"/>
            <w:vAlign w:val="center"/>
          </w:tcPr>
          <w:p>
            <w:pPr>
              <w:widowControl/>
              <w:jc w:val="center"/>
              <w:rPr>
                <w:rFonts w:cs="宋体" w:asciiTheme="minorEastAsia" w:hAnsiTheme="minorEastAsia" w:eastAsiaTheme="minorEastAsia"/>
                <w:sz w:val="18"/>
                <w:szCs w:val="18"/>
              </w:rPr>
            </w:pPr>
            <w:r>
              <w:rPr>
                <w:rFonts w:hint="eastAsia" w:ascii="宋体" w:hAnsi="宋体" w:cs="宋体"/>
                <w:kern w:val="0"/>
                <w:sz w:val="18"/>
                <w:szCs w:val="18"/>
              </w:rPr>
              <w:t>北</w:t>
            </w:r>
            <w:r>
              <w:rPr>
                <w:rFonts w:hint="eastAsia" w:ascii="宋体" w:hAnsi="宋体" w:cs="宋体"/>
                <w:kern w:val="0"/>
                <w:sz w:val="18"/>
                <w:szCs w:val="18"/>
                <w:lang w:val="en-US" w:eastAsia="zh-CN"/>
              </w:rPr>
              <w:t>临建筑物</w:t>
            </w:r>
            <w:r>
              <w:rPr>
                <w:rFonts w:hint="eastAsia" w:ascii="宋体" w:hAnsi="宋体" w:cs="宋体"/>
                <w:kern w:val="0"/>
                <w:sz w:val="18"/>
                <w:szCs w:val="18"/>
              </w:rPr>
              <w:t>，东至</w:t>
            </w:r>
            <w:r>
              <w:rPr>
                <w:rFonts w:hint="eastAsia" w:ascii="宋体" w:hAnsi="宋体" w:cs="宋体"/>
                <w:kern w:val="0"/>
                <w:sz w:val="18"/>
                <w:szCs w:val="18"/>
                <w:lang w:val="en-US" w:eastAsia="zh-CN"/>
              </w:rPr>
              <w:t>凤鸣路</w:t>
            </w:r>
            <w:r>
              <w:rPr>
                <w:rFonts w:hint="eastAsia" w:ascii="宋体" w:hAnsi="宋体" w:cs="宋体"/>
                <w:kern w:val="0"/>
                <w:sz w:val="18"/>
                <w:szCs w:val="18"/>
              </w:rPr>
              <w:t>，西</w:t>
            </w:r>
            <w:r>
              <w:rPr>
                <w:rFonts w:hint="eastAsia" w:ascii="宋体" w:hAnsi="宋体" w:cs="宋体"/>
                <w:kern w:val="0"/>
                <w:sz w:val="18"/>
                <w:szCs w:val="18"/>
                <w:lang w:val="en-US" w:eastAsia="zh-CN"/>
              </w:rPr>
              <w:t>临内部巷道</w:t>
            </w:r>
            <w:r>
              <w:rPr>
                <w:rFonts w:hint="eastAsia" w:ascii="宋体" w:hAnsi="宋体" w:cs="宋体"/>
                <w:kern w:val="0"/>
                <w:sz w:val="18"/>
                <w:szCs w:val="18"/>
              </w:rPr>
              <w:t>，南</w:t>
            </w:r>
            <w:r>
              <w:rPr>
                <w:rFonts w:hint="eastAsia" w:ascii="宋体" w:hAnsi="宋体" w:cs="宋体"/>
                <w:kern w:val="0"/>
                <w:sz w:val="18"/>
                <w:szCs w:val="18"/>
                <w:lang w:val="en-US" w:eastAsia="zh-CN"/>
              </w:rPr>
              <w:t>临无名道路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 w:type="dxa"/>
            <w:vMerge w:val="continue"/>
            <w:vAlign w:val="center"/>
          </w:tcPr>
          <w:p>
            <w:pPr>
              <w:widowControl/>
              <w:jc w:val="center"/>
              <w:rPr>
                <w:rFonts w:cs="宋体" w:asciiTheme="minorEastAsia" w:hAnsiTheme="minorEastAsia" w:eastAsiaTheme="minorEastAsia"/>
                <w:sz w:val="18"/>
                <w:szCs w:val="18"/>
              </w:rPr>
            </w:pPr>
          </w:p>
        </w:tc>
        <w:tc>
          <w:tcPr>
            <w:tcW w:w="425" w:type="dxa"/>
            <w:vMerge w:val="continue"/>
            <w:vAlign w:val="center"/>
          </w:tcPr>
          <w:p>
            <w:pPr>
              <w:widowControl/>
              <w:jc w:val="center"/>
              <w:rPr>
                <w:rFonts w:cs="宋体" w:asciiTheme="minorEastAsia" w:hAnsiTheme="minorEastAsia" w:eastAsiaTheme="minorEastAsia"/>
                <w:sz w:val="18"/>
                <w:szCs w:val="18"/>
              </w:rPr>
            </w:pPr>
          </w:p>
        </w:tc>
        <w:tc>
          <w:tcPr>
            <w:tcW w:w="1701" w:type="dxa"/>
            <w:gridSpan w:val="2"/>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地形地势</w:t>
            </w:r>
          </w:p>
        </w:tc>
        <w:tc>
          <w:tcPr>
            <w:tcW w:w="7087" w:type="dxa"/>
            <w:gridSpan w:val="10"/>
            <w:vAlign w:val="center"/>
          </w:tcPr>
          <w:p>
            <w:pPr>
              <w:widowControl/>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宗地地形规则，地势平坦，无影响建筑物修建的不良地势、地质和水文状况。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 w:type="dxa"/>
            <w:vMerge w:val="continue"/>
            <w:vAlign w:val="center"/>
          </w:tcPr>
          <w:p>
            <w:pPr>
              <w:widowControl/>
              <w:jc w:val="center"/>
              <w:rPr>
                <w:rFonts w:cs="宋体" w:asciiTheme="minorEastAsia" w:hAnsiTheme="minorEastAsia" w:eastAsiaTheme="minorEastAsia"/>
                <w:sz w:val="18"/>
                <w:szCs w:val="18"/>
              </w:rPr>
            </w:pPr>
          </w:p>
        </w:tc>
        <w:tc>
          <w:tcPr>
            <w:tcW w:w="425" w:type="dxa"/>
            <w:vMerge w:val="continue"/>
            <w:vAlign w:val="center"/>
          </w:tcPr>
          <w:p>
            <w:pPr>
              <w:widowControl/>
              <w:jc w:val="center"/>
              <w:rPr>
                <w:rFonts w:cs="宋体" w:asciiTheme="minorEastAsia" w:hAnsiTheme="minorEastAsia" w:eastAsiaTheme="minorEastAsia"/>
                <w:sz w:val="18"/>
                <w:szCs w:val="18"/>
              </w:rPr>
            </w:pPr>
          </w:p>
        </w:tc>
        <w:tc>
          <w:tcPr>
            <w:tcW w:w="1701" w:type="dxa"/>
            <w:gridSpan w:val="2"/>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土地开发程度</w:t>
            </w:r>
          </w:p>
        </w:tc>
        <w:tc>
          <w:tcPr>
            <w:tcW w:w="7087" w:type="dxa"/>
            <w:gridSpan w:val="10"/>
            <w:vAlign w:val="center"/>
          </w:tcPr>
          <w:p>
            <w:pPr>
              <w:pStyle w:val="18"/>
              <w:widowControl/>
              <w:jc w:val="center"/>
              <w:rPr>
                <w:rFonts w:cs="宋体" w:asciiTheme="minorEastAsia" w:hAnsiTheme="minorEastAsia" w:eastAsiaTheme="minorEastAsia"/>
                <w:sz w:val="18"/>
                <w:szCs w:val="18"/>
              </w:rPr>
            </w:pPr>
            <w:r>
              <w:rPr>
                <w:rFonts w:hint="eastAsia" w:ascii="宋体" w:hAnsi="宋体" w:cs="宋体"/>
                <w:sz w:val="18"/>
                <w:szCs w:val="18"/>
              </w:rPr>
              <w:t>宗地外五通一平（</w:t>
            </w:r>
            <w:r>
              <w:rPr>
                <w:rFonts w:hint="eastAsia" w:ascii="宋体" w:hAnsi="宋体"/>
                <w:sz w:val="18"/>
                <w:szCs w:val="18"/>
              </w:rPr>
              <w:t>通上水、通下水、通电、通路、通讯及过地内场地平整</w:t>
            </w: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 w:type="dxa"/>
            <w:vMerge w:val="continue"/>
            <w:vAlign w:val="center"/>
          </w:tcPr>
          <w:p>
            <w:pPr>
              <w:widowControl/>
              <w:jc w:val="center"/>
              <w:rPr>
                <w:rFonts w:cs="宋体" w:asciiTheme="minorEastAsia" w:hAnsiTheme="minorEastAsia" w:eastAsiaTheme="minorEastAsia"/>
                <w:sz w:val="18"/>
                <w:szCs w:val="18"/>
              </w:rPr>
            </w:pPr>
          </w:p>
        </w:tc>
        <w:tc>
          <w:tcPr>
            <w:tcW w:w="425" w:type="dxa"/>
            <w:vMerge w:val="restart"/>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建筑物状况</w:t>
            </w:r>
          </w:p>
        </w:tc>
        <w:tc>
          <w:tcPr>
            <w:tcW w:w="1701" w:type="dxa"/>
            <w:gridSpan w:val="2"/>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幢号及房号</w:t>
            </w:r>
          </w:p>
        </w:tc>
        <w:tc>
          <w:tcPr>
            <w:tcW w:w="1559" w:type="dxa"/>
            <w:gridSpan w:val="2"/>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结构</w:t>
            </w:r>
          </w:p>
        </w:tc>
        <w:tc>
          <w:tcPr>
            <w:tcW w:w="1559" w:type="dxa"/>
            <w:gridSpan w:val="3"/>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总层数/所在层</w:t>
            </w:r>
          </w:p>
        </w:tc>
        <w:tc>
          <w:tcPr>
            <w:tcW w:w="1134" w:type="dxa"/>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用途</w:t>
            </w:r>
          </w:p>
        </w:tc>
        <w:tc>
          <w:tcPr>
            <w:tcW w:w="1276" w:type="dxa"/>
            <w:gridSpan w:val="3"/>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朝向</w:t>
            </w:r>
          </w:p>
        </w:tc>
        <w:tc>
          <w:tcPr>
            <w:tcW w:w="1559" w:type="dxa"/>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建造时间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5" w:hRule="atLeast"/>
        </w:trPr>
        <w:tc>
          <w:tcPr>
            <w:tcW w:w="426" w:type="dxa"/>
            <w:vMerge w:val="continue"/>
            <w:vAlign w:val="center"/>
          </w:tcPr>
          <w:p>
            <w:pPr>
              <w:widowControl/>
              <w:jc w:val="center"/>
              <w:rPr>
                <w:rFonts w:cs="宋体" w:asciiTheme="minorEastAsia" w:hAnsiTheme="minorEastAsia" w:eastAsiaTheme="minorEastAsia"/>
                <w:sz w:val="18"/>
                <w:szCs w:val="18"/>
              </w:rPr>
            </w:pPr>
          </w:p>
        </w:tc>
        <w:tc>
          <w:tcPr>
            <w:tcW w:w="425" w:type="dxa"/>
            <w:vMerge w:val="continue"/>
            <w:vAlign w:val="center"/>
          </w:tcPr>
          <w:p>
            <w:pPr>
              <w:widowControl/>
              <w:jc w:val="center"/>
              <w:rPr>
                <w:rFonts w:cs="宋体" w:asciiTheme="minorEastAsia" w:hAnsiTheme="minorEastAsia" w:eastAsiaTheme="minorEastAsia"/>
                <w:sz w:val="18"/>
                <w:szCs w:val="18"/>
              </w:rPr>
            </w:pPr>
          </w:p>
        </w:tc>
        <w:tc>
          <w:tcPr>
            <w:tcW w:w="1701" w:type="dxa"/>
            <w:gridSpan w:val="2"/>
            <w:vAlign w:val="center"/>
          </w:tcPr>
          <w:p>
            <w:pPr>
              <w:widowControl/>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2单元502室</w:t>
            </w:r>
          </w:p>
        </w:tc>
        <w:tc>
          <w:tcPr>
            <w:tcW w:w="1559" w:type="dxa"/>
            <w:gridSpan w:val="2"/>
            <w:vAlign w:val="center"/>
          </w:tcPr>
          <w:p>
            <w:pPr>
              <w:widowControl/>
              <w:jc w:val="center"/>
              <w:rPr>
                <w:rFonts w:hint="eastAsia" w:cs="宋体" w:asciiTheme="minorEastAsia" w:hAnsiTheme="minorEastAsia" w:eastAsiaTheme="minorEastAsia"/>
                <w:sz w:val="18"/>
                <w:szCs w:val="18"/>
                <w:lang w:eastAsia="zh-CN"/>
              </w:rPr>
            </w:pPr>
            <w:r>
              <w:rPr>
                <w:rFonts w:hint="eastAsia" w:cs="宋体" w:asciiTheme="minorEastAsia" w:hAnsiTheme="minorEastAsia" w:eastAsiaTheme="minorEastAsia"/>
                <w:sz w:val="18"/>
                <w:szCs w:val="18"/>
                <w:lang w:val="en-US" w:eastAsia="zh-CN"/>
              </w:rPr>
              <w:t>混合</w:t>
            </w:r>
          </w:p>
        </w:tc>
        <w:tc>
          <w:tcPr>
            <w:tcW w:w="1559" w:type="dxa"/>
            <w:gridSpan w:val="3"/>
            <w:vAlign w:val="center"/>
          </w:tcPr>
          <w:p>
            <w:pPr>
              <w:widowControl/>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5/5</w:t>
            </w:r>
          </w:p>
        </w:tc>
        <w:tc>
          <w:tcPr>
            <w:tcW w:w="1134" w:type="dxa"/>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住宅</w:t>
            </w:r>
          </w:p>
        </w:tc>
        <w:tc>
          <w:tcPr>
            <w:tcW w:w="1276" w:type="dxa"/>
            <w:gridSpan w:val="3"/>
            <w:vAlign w:val="center"/>
          </w:tcPr>
          <w:p>
            <w:pPr>
              <w:widowControl/>
              <w:jc w:val="center"/>
              <w:rPr>
                <w:rFonts w:cs="宋体" w:asciiTheme="minorEastAsia" w:hAnsiTheme="minorEastAsia" w:eastAsiaTheme="minorEastAsia"/>
                <w:sz w:val="18"/>
                <w:szCs w:val="18"/>
              </w:rPr>
            </w:pPr>
            <w:r>
              <w:rPr>
                <w:rFonts w:hint="eastAsia" w:ascii="宋体" w:hAnsi="宋体" w:cs="宋体"/>
                <w:sz w:val="18"/>
                <w:szCs w:val="18"/>
              </w:rPr>
              <w:t>东西</w:t>
            </w:r>
          </w:p>
        </w:tc>
        <w:tc>
          <w:tcPr>
            <w:tcW w:w="1559" w:type="dxa"/>
            <w:vAlign w:val="center"/>
          </w:tcPr>
          <w:p>
            <w:pPr>
              <w:widowControl/>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 w:type="dxa"/>
            <w:vMerge w:val="continue"/>
            <w:vAlign w:val="center"/>
          </w:tcPr>
          <w:p>
            <w:pPr>
              <w:widowControl/>
              <w:jc w:val="center"/>
              <w:rPr>
                <w:rFonts w:cs="宋体" w:asciiTheme="minorEastAsia" w:hAnsiTheme="minorEastAsia" w:eastAsiaTheme="minorEastAsia"/>
                <w:sz w:val="18"/>
                <w:szCs w:val="18"/>
              </w:rPr>
            </w:pPr>
          </w:p>
        </w:tc>
        <w:tc>
          <w:tcPr>
            <w:tcW w:w="425" w:type="dxa"/>
            <w:vMerge w:val="continue"/>
            <w:vAlign w:val="center"/>
          </w:tcPr>
          <w:p>
            <w:pPr>
              <w:widowControl/>
              <w:jc w:val="center"/>
              <w:rPr>
                <w:rFonts w:cs="宋体" w:asciiTheme="minorEastAsia" w:hAnsiTheme="minorEastAsia" w:eastAsiaTheme="minorEastAsia"/>
                <w:sz w:val="18"/>
                <w:szCs w:val="18"/>
              </w:rPr>
            </w:pPr>
          </w:p>
        </w:tc>
        <w:tc>
          <w:tcPr>
            <w:tcW w:w="1701" w:type="dxa"/>
            <w:gridSpan w:val="2"/>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通风采光</w:t>
            </w:r>
          </w:p>
        </w:tc>
        <w:tc>
          <w:tcPr>
            <w:tcW w:w="1559" w:type="dxa"/>
            <w:gridSpan w:val="2"/>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户型设计</w:t>
            </w:r>
          </w:p>
        </w:tc>
        <w:tc>
          <w:tcPr>
            <w:tcW w:w="1559" w:type="dxa"/>
            <w:gridSpan w:val="3"/>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维护保养</w:t>
            </w:r>
          </w:p>
        </w:tc>
        <w:tc>
          <w:tcPr>
            <w:tcW w:w="1134" w:type="dxa"/>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实际用途</w:t>
            </w:r>
          </w:p>
        </w:tc>
        <w:tc>
          <w:tcPr>
            <w:tcW w:w="1276" w:type="dxa"/>
            <w:gridSpan w:val="3"/>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成新度</w:t>
            </w:r>
          </w:p>
        </w:tc>
        <w:tc>
          <w:tcPr>
            <w:tcW w:w="1559" w:type="dxa"/>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5" w:hRule="atLeast"/>
        </w:trPr>
        <w:tc>
          <w:tcPr>
            <w:tcW w:w="426" w:type="dxa"/>
            <w:vMerge w:val="continue"/>
            <w:vAlign w:val="center"/>
          </w:tcPr>
          <w:p>
            <w:pPr>
              <w:widowControl/>
              <w:jc w:val="center"/>
              <w:rPr>
                <w:rFonts w:cs="宋体" w:asciiTheme="minorEastAsia" w:hAnsiTheme="minorEastAsia" w:eastAsiaTheme="minorEastAsia"/>
                <w:sz w:val="18"/>
                <w:szCs w:val="18"/>
              </w:rPr>
            </w:pPr>
          </w:p>
        </w:tc>
        <w:tc>
          <w:tcPr>
            <w:tcW w:w="425" w:type="dxa"/>
            <w:vMerge w:val="continue"/>
            <w:vAlign w:val="center"/>
          </w:tcPr>
          <w:p>
            <w:pPr>
              <w:widowControl/>
              <w:jc w:val="center"/>
              <w:rPr>
                <w:rFonts w:cs="宋体" w:asciiTheme="minorEastAsia" w:hAnsiTheme="minorEastAsia" w:eastAsiaTheme="minorEastAsia"/>
                <w:sz w:val="18"/>
                <w:szCs w:val="18"/>
              </w:rPr>
            </w:pPr>
          </w:p>
        </w:tc>
        <w:tc>
          <w:tcPr>
            <w:tcW w:w="1701" w:type="dxa"/>
            <w:gridSpan w:val="2"/>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较好</w:t>
            </w:r>
          </w:p>
        </w:tc>
        <w:tc>
          <w:tcPr>
            <w:tcW w:w="1559" w:type="dxa"/>
            <w:gridSpan w:val="2"/>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户型布局较好</w:t>
            </w:r>
          </w:p>
        </w:tc>
        <w:tc>
          <w:tcPr>
            <w:tcW w:w="1559" w:type="dxa"/>
            <w:gridSpan w:val="3"/>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正常维护</w:t>
            </w:r>
          </w:p>
        </w:tc>
        <w:tc>
          <w:tcPr>
            <w:tcW w:w="1134" w:type="dxa"/>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住宅</w:t>
            </w:r>
          </w:p>
        </w:tc>
        <w:tc>
          <w:tcPr>
            <w:tcW w:w="1276" w:type="dxa"/>
            <w:gridSpan w:val="3"/>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约</w:t>
            </w:r>
            <w:r>
              <w:rPr>
                <w:rFonts w:hint="eastAsia" w:cs="宋体" w:asciiTheme="minorEastAsia" w:hAnsiTheme="minorEastAsia" w:eastAsiaTheme="minorEastAsia"/>
                <w:sz w:val="18"/>
                <w:szCs w:val="18"/>
                <w:lang w:val="en-US" w:eastAsia="zh-CN"/>
              </w:rPr>
              <w:t>8.5</w:t>
            </w:r>
            <w:r>
              <w:rPr>
                <w:rFonts w:hint="eastAsia" w:cs="宋体" w:asciiTheme="minorEastAsia" w:hAnsiTheme="minorEastAsia" w:eastAsiaTheme="minorEastAsia"/>
                <w:sz w:val="18"/>
                <w:szCs w:val="18"/>
              </w:rPr>
              <w:t>成</w:t>
            </w:r>
          </w:p>
        </w:tc>
        <w:tc>
          <w:tcPr>
            <w:tcW w:w="1559" w:type="dxa"/>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3" w:hRule="atLeast"/>
        </w:trPr>
        <w:tc>
          <w:tcPr>
            <w:tcW w:w="426" w:type="dxa"/>
            <w:vMerge w:val="continue"/>
            <w:vAlign w:val="center"/>
          </w:tcPr>
          <w:p>
            <w:pPr>
              <w:widowControl/>
              <w:jc w:val="center"/>
              <w:rPr>
                <w:rFonts w:cs="宋体" w:asciiTheme="minorEastAsia" w:hAnsiTheme="minorEastAsia" w:eastAsiaTheme="minorEastAsia"/>
                <w:sz w:val="18"/>
                <w:szCs w:val="18"/>
              </w:rPr>
            </w:pPr>
          </w:p>
        </w:tc>
        <w:tc>
          <w:tcPr>
            <w:tcW w:w="425" w:type="dxa"/>
            <w:vMerge w:val="continue"/>
            <w:vAlign w:val="center"/>
          </w:tcPr>
          <w:p>
            <w:pPr>
              <w:widowControl/>
              <w:jc w:val="center"/>
              <w:rPr>
                <w:rFonts w:cs="宋体" w:asciiTheme="minorEastAsia" w:hAnsiTheme="minorEastAsia" w:eastAsiaTheme="minorEastAsia"/>
                <w:sz w:val="18"/>
                <w:szCs w:val="18"/>
              </w:rPr>
            </w:pPr>
          </w:p>
        </w:tc>
        <w:tc>
          <w:tcPr>
            <w:tcW w:w="1276" w:type="dxa"/>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装修情况</w:t>
            </w:r>
          </w:p>
        </w:tc>
        <w:tc>
          <w:tcPr>
            <w:tcW w:w="7512" w:type="dxa"/>
            <w:gridSpan w:val="11"/>
            <w:vAlign w:val="center"/>
          </w:tcPr>
          <w:p>
            <w:pPr>
              <w:jc w:val="center"/>
              <w:rPr>
                <w:rFonts w:cs="宋体" w:asciiTheme="minorEastAsia" w:hAnsiTheme="minorEastAsia" w:eastAsiaTheme="minorEastAsia"/>
                <w:sz w:val="18"/>
                <w:szCs w:val="18"/>
              </w:rPr>
            </w:pPr>
            <w:r>
              <w:rPr>
                <w:rFonts w:hint="eastAsia" w:ascii="宋体" w:hAnsi="宋体" w:cs="宋体"/>
                <w:sz w:val="18"/>
                <w:szCs w:val="18"/>
              </w:rPr>
              <w:t>建筑物外墙涂料，入户为防盗门、铝合金窗，室内地面木地板</w:t>
            </w:r>
            <w:r>
              <w:rPr>
                <w:rFonts w:hint="eastAsia" w:ascii="宋体" w:hAnsi="宋体" w:cs="宋体"/>
                <w:sz w:val="18"/>
                <w:szCs w:val="18"/>
                <w:lang w:eastAsia="zh-CN"/>
              </w:rPr>
              <w:t>，</w:t>
            </w:r>
            <w:r>
              <w:rPr>
                <w:rFonts w:hint="eastAsia" w:ascii="宋体" w:hAnsi="宋体" w:cs="宋体"/>
                <w:sz w:val="18"/>
                <w:szCs w:val="18"/>
                <w:lang w:val="en-US" w:eastAsia="zh-CN"/>
              </w:rPr>
              <w:t>厨卫地砖</w:t>
            </w:r>
            <w:r>
              <w:rPr>
                <w:rFonts w:hint="eastAsia" w:ascii="宋体" w:hAnsi="宋体" w:cs="宋体"/>
                <w:sz w:val="18"/>
                <w:szCs w:val="18"/>
              </w:rPr>
              <w:t>：墙面</w:t>
            </w:r>
            <w:r>
              <w:rPr>
                <w:rFonts w:hint="eastAsia" w:ascii="宋体" w:hAnsi="宋体" w:cs="宋体"/>
                <w:sz w:val="18"/>
                <w:szCs w:val="18"/>
                <w:lang w:val="en-US" w:eastAsia="zh-CN"/>
              </w:rPr>
              <w:t>乳胶漆</w:t>
            </w:r>
            <w:r>
              <w:rPr>
                <w:rFonts w:hint="eastAsia" w:ascii="宋体" w:hAnsi="宋体" w:cs="宋体"/>
                <w:sz w:val="18"/>
                <w:szCs w:val="18"/>
              </w:rPr>
              <w:t>、</w:t>
            </w:r>
            <w:r>
              <w:rPr>
                <w:rFonts w:hint="eastAsia" w:ascii="宋体" w:hAnsi="宋体" w:cs="宋体"/>
                <w:sz w:val="18"/>
                <w:szCs w:val="18"/>
                <w:lang w:val="en-US" w:eastAsia="zh-CN"/>
              </w:rPr>
              <w:t>厨卫</w:t>
            </w:r>
            <w:r>
              <w:rPr>
                <w:rFonts w:hint="eastAsia" w:ascii="宋体" w:hAnsi="宋体" w:cs="宋体"/>
                <w:sz w:val="18"/>
                <w:szCs w:val="18"/>
              </w:rPr>
              <w:t>墙砖：顶部</w:t>
            </w:r>
            <w:r>
              <w:rPr>
                <w:rFonts w:hint="eastAsia" w:ascii="宋体" w:hAnsi="宋体" w:cs="宋体"/>
                <w:sz w:val="18"/>
                <w:szCs w:val="18"/>
                <w:lang w:val="en-US" w:eastAsia="zh-CN"/>
              </w:rPr>
              <w:t>客厅</w:t>
            </w:r>
            <w:r>
              <w:rPr>
                <w:rFonts w:hint="eastAsia" w:ascii="宋体" w:hAnsi="宋体" w:cs="宋体"/>
                <w:sz w:val="18"/>
                <w:szCs w:val="18"/>
              </w:rPr>
              <w:t>石膏板吊顶、</w:t>
            </w:r>
            <w:r>
              <w:rPr>
                <w:rFonts w:hint="eastAsia" w:ascii="宋体" w:hAnsi="宋体" w:cs="宋体"/>
                <w:sz w:val="18"/>
                <w:szCs w:val="18"/>
                <w:lang w:val="en-US" w:eastAsia="zh-CN"/>
              </w:rPr>
              <w:t>厨卫</w:t>
            </w:r>
            <w:r>
              <w:rPr>
                <w:rFonts w:hint="eastAsia" w:ascii="宋体" w:hAnsi="宋体" w:cs="宋体"/>
                <w:sz w:val="18"/>
                <w:szCs w:val="18"/>
              </w:rPr>
              <w:t>铝板吊顶，建筑物维护较好，可正常使用。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5" w:hRule="atLeast"/>
        </w:trPr>
        <w:tc>
          <w:tcPr>
            <w:tcW w:w="2127" w:type="dxa"/>
            <w:gridSpan w:val="3"/>
            <w:vAlign w:val="center"/>
          </w:tcPr>
          <w:p>
            <w:pPr>
              <w:widowControl/>
              <w:spacing w:line="300" w:lineRule="exact"/>
              <w:ind w:left="317" w:hanging="316" w:hangingChars="161"/>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估价财产范围</w:t>
            </w:r>
          </w:p>
        </w:tc>
        <w:tc>
          <w:tcPr>
            <w:tcW w:w="7512" w:type="dxa"/>
            <w:gridSpan w:val="11"/>
          </w:tcPr>
          <w:p>
            <w:pPr>
              <w:widowControl/>
              <w:spacing w:line="300" w:lineRule="exact"/>
              <w:rPr>
                <w:rFonts w:cs="宋体" w:asciiTheme="minorEastAsia" w:hAnsiTheme="minorEastAsia" w:eastAsiaTheme="minorEastAsia"/>
                <w:sz w:val="18"/>
                <w:szCs w:val="18"/>
              </w:rPr>
            </w:pPr>
            <w:r>
              <w:rPr>
                <w:rFonts w:hint="eastAsia" w:cs="仿宋_GB2312" w:asciiTheme="minorEastAsia" w:hAnsiTheme="minorEastAsia" w:eastAsiaTheme="minorEastAsia"/>
                <w:kern w:val="0"/>
                <w:sz w:val="18"/>
                <w:szCs w:val="18"/>
              </w:rPr>
              <w:t>本次估价范围包括建筑物建筑面积</w:t>
            </w:r>
            <w:r>
              <w:rPr>
                <w:rFonts w:hint="eastAsia" w:cs="仿宋_GB2312" w:asciiTheme="minorEastAsia" w:hAnsiTheme="minorEastAsia" w:eastAsiaTheme="minorEastAsia"/>
                <w:kern w:val="0"/>
                <w:sz w:val="18"/>
                <w:szCs w:val="18"/>
                <w:lang w:val="en-US" w:eastAsia="zh-CN"/>
              </w:rPr>
              <w:t>131.33㎡</w:t>
            </w:r>
            <w:r>
              <w:rPr>
                <w:rFonts w:hint="eastAsia" w:cs="仿宋_GB2312" w:asciiTheme="minorEastAsia" w:hAnsiTheme="minorEastAsia" w:eastAsiaTheme="minorEastAsia"/>
                <w:kern w:val="0"/>
                <w:sz w:val="18"/>
                <w:szCs w:val="18"/>
              </w:rPr>
              <w:t>、分摊国有土地使用权</w:t>
            </w:r>
            <w:r>
              <w:rPr>
                <w:rFonts w:hint="eastAsia" w:cs="仿宋_GB2312" w:asciiTheme="minorEastAsia" w:hAnsiTheme="minorEastAsia" w:eastAsiaTheme="minorEastAsia"/>
                <w:kern w:val="0"/>
                <w:sz w:val="18"/>
                <w:szCs w:val="18"/>
                <w:lang w:eastAsia="zh-CN"/>
              </w:rPr>
              <w:t>、</w:t>
            </w:r>
            <w:r>
              <w:rPr>
                <w:rFonts w:hint="eastAsia" w:cs="仿宋_GB2312" w:asciiTheme="minorEastAsia" w:hAnsiTheme="minorEastAsia" w:eastAsiaTheme="minorEastAsia"/>
                <w:kern w:val="0"/>
                <w:sz w:val="18"/>
                <w:szCs w:val="18"/>
              </w:rPr>
              <w:t>室内二次装修及公共配套设施，不包括动产、债权债务、特许经营权等其他财产或权益。</w:t>
            </w:r>
          </w:p>
        </w:tc>
      </w:tr>
    </w:tbl>
    <w:p>
      <w:pPr>
        <w:spacing w:line="560" w:lineRule="exact"/>
        <w:rPr>
          <w:rFonts w:ascii="宋体"/>
          <w:spacing w:val="2"/>
          <w:sz w:val="28"/>
          <w:szCs w:val="28"/>
        </w:rPr>
      </w:pPr>
      <w:r>
        <w:rPr>
          <w:rFonts w:hint="eastAsia"/>
          <w:sz w:val="28"/>
          <w:szCs w:val="28"/>
        </w:rPr>
        <w:t>（二）估价对象区位状况描述</w:t>
      </w:r>
    </w:p>
    <w:tbl>
      <w:tblPr>
        <w:tblStyle w:val="21"/>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709"/>
        <w:gridCol w:w="1134"/>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gridSpan w:val="3"/>
            <w:vAlign w:val="center"/>
          </w:tcPr>
          <w:p>
            <w:pPr>
              <w:spacing w:line="280" w:lineRule="exact"/>
              <w:jc w:val="center"/>
              <w:rPr>
                <w:rFonts w:ascii="宋体" w:cs="宋体"/>
                <w:sz w:val="18"/>
                <w:szCs w:val="18"/>
              </w:rPr>
            </w:pPr>
            <w:r>
              <w:rPr>
                <w:rFonts w:hint="eastAsia" w:ascii="宋体" w:hAnsi="宋体" w:cs="宋体"/>
                <w:kern w:val="0"/>
                <w:sz w:val="18"/>
                <w:szCs w:val="18"/>
              </w:rPr>
              <w:t>坐落</w:t>
            </w:r>
          </w:p>
        </w:tc>
        <w:tc>
          <w:tcPr>
            <w:tcW w:w="7229" w:type="dxa"/>
            <w:vAlign w:val="center"/>
          </w:tcPr>
          <w:p>
            <w:pPr>
              <w:spacing w:line="280" w:lineRule="exact"/>
              <w:jc w:val="center"/>
              <w:rPr>
                <w:rFonts w:ascii="宋体" w:cs="宋体"/>
                <w:sz w:val="18"/>
                <w:szCs w:val="18"/>
              </w:rPr>
            </w:pPr>
            <w:r>
              <w:rPr>
                <w:rFonts w:hint="eastAsia" w:cs="宋体" w:asciiTheme="minorEastAsia" w:hAnsiTheme="minorEastAsia" w:eastAsiaTheme="minorEastAsia"/>
                <w:sz w:val="18"/>
                <w:szCs w:val="18"/>
              </w:rPr>
              <w:t>永胜县永北镇兰桂小区2单元502室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vMerge w:val="restart"/>
            <w:vAlign w:val="center"/>
          </w:tcPr>
          <w:p>
            <w:pPr>
              <w:spacing w:line="280" w:lineRule="exact"/>
              <w:jc w:val="center"/>
              <w:rPr>
                <w:rFonts w:ascii="宋体" w:cs="宋体"/>
                <w:sz w:val="18"/>
                <w:szCs w:val="18"/>
              </w:rPr>
            </w:pPr>
          </w:p>
        </w:tc>
        <w:tc>
          <w:tcPr>
            <w:tcW w:w="1843" w:type="dxa"/>
            <w:gridSpan w:val="2"/>
            <w:vAlign w:val="center"/>
          </w:tcPr>
          <w:p>
            <w:pPr>
              <w:widowControl/>
              <w:jc w:val="center"/>
              <w:rPr>
                <w:rFonts w:ascii="宋体" w:cs="宋体"/>
                <w:sz w:val="18"/>
                <w:szCs w:val="18"/>
              </w:rPr>
            </w:pPr>
            <w:r>
              <w:rPr>
                <w:rFonts w:hint="eastAsia" w:ascii="宋体" w:hAnsi="宋体" w:cs="宋体"/>
                <w:kern w:val="0"/>
                <w:sz w:val="18"/>
                <w:szCs w:val="18"/>
              </w:rPr>
              <w:t>方位</w:t>
            </w:r>
          </w:p>
        </w:tc>
        <w:tc>
          <w:tcPr>
            <w:tcW w:w="7229" w:type="dxa"/>
            <w:vAlign w:val="center"/>
          </w:tcPr>
          <w:p>
            <w:pPr>
              <w:pStyle w:val="18"/>
              <w:widowControl/>
              <w:spacing w:line="360" w:lineRule="exact"/>
              <w:jc w:val="center"/>
              <w:rPr>
                <w:rFonts w:ascii="宋体" w:cs="宋体"/>
                <w:sz w:val="18"/>
                <w:szCs w:val="18"/>
              </w:rPr>
            </w:pPr>
            <w:r>
              <w:rPr>
                <w:rFonts w:hint="eastAsia" w:ascii="宋体" w:hAnsi="宋体" w:cs="宋体"/>
                <w:sz w:val="18"/>
                <w:szCs w:val="18"/>
              </w:rPr>
              <w:t>估价对象位于永北镇</w:t>
            </w:r>
            <w:r>
              <w:rPr>
                <w:rFonts w:hint="eastAsia" w:cs="仿宋_GB2312" w:asciiTheme="minorEastAsia" w:hAnsiTheme="minorEastAsia" w:eastAsiaTheme="minorEastAsia"/>
                <w:bCs/>
                <w:sz w:val="18"/>
                <w:szCs w:val="18"/>
                <w:lang w:val="en-US" w:eastAsia="zh-CN"/>
              </w:rPr>
              <w:t>凤凰公园对面</w:t>
            </w: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vAlign w:val="center"/>
          </w:tcPr>
          <w:p>
            <w:pPr>
              <w:spacing w:line="280" w:lineRule="exact"/>
              <w:jc w:val="center"/>
              <w:rPr>
                <w:rFonts w:ascii="宋体" w:cs="宋体"/>
                <w:sz w:val="18"/>
                <w:szCs w:val="18"/>
              </w:rPr>
            </w:pPr>
          </w:p>
        </w:tc>
        <w:tc>
          <w:tcPr>
            <w:tcW w:w="1843" w:type="dxa"/>
            <w:gridSpan w:val="2"/>
            <w:vAlign w:val="center"/>
          </w:tcPr>
          <w:p>
            <w:pPr>
              <w:jc w:val="center"/>
              <w:rPr>
                <w:rFonts w:ascii="宋体" w:cs="宋体"/>
                <w:sz w:val="18"/>
                <w:szCs w:val="18"/>
              </w:rPr>
            </w:pPr>
            <w:r>
              <w:rPr>
                <w:rFonts w:hint="eastAsia" w:ascii="宋体" w:hAnsi="宋体" w:cs="宋体"/>
                <w:kern w:val="0"/>
                <w:sz w:val="18"/>
                <w:szCs w:val="18"/>
              </w:rPr>
              <w:t>距离</w:t>
            </w:r>
          </w:p>
        </w:tc>
        <w:tc>
          <w:tcPr>
            <w:tcW w:w="7229" w:type="dxa"/>
            <w:vAlign w:val="center"/>
          </w:tcPr>
          <w:p>
            <w:pPr>
              <w:spacing w:line="280" w:lineRule="exact"/>
              <w:jc w:val="center"/>
              <w:rPr>
                <w:rFonts w:ascii="宋体" w:cs="宋体"/>
                <w:sz w:val="18"/>
                <w:szCs w:val="18"/>
              </w:rPr>
            </w:pPr>
            <w:r>
              <w:rPr>
                <w:rFonts w:hint="eastAsia" w:ascii="宋体" w:hAnsi="宋体" w:cs="宋体"/>
                <w:sz w:val="18"/>
                <w:szCs w:val="18"/>
              </w:rPr>
              <w:t>距永胜县人民政府约</w:t>
            </w:r>
            <w:r>
              <w:rPr>
                <w:rFonts w:hint="eastAsia" w:ascii="宋体" w:hAnsi="宋体" w:cs="宋体"/>
                <w:sz w:val="18"/>
                <w:szCs w:val="18"/>
                <w:lang w:val="en-US" w:eastAsia="zh-CN"/>
              </w:rPr>
              <w:t>0.8</w:t>
            </w:r>
            <w:r>
              <w:rPr>
                <w:rFonts w:hint="eastAsia" w:ascii="宋体" w:hAnsi="宋体" w:cs="宋体"/>
                <w:sz w:val="18"/>
                <w:szCs w:val="18"/>
              </w:rPr>
              <w:t>公里，距永胜县汽车客运站约</w:t>
            </w:r>
            <w:r>
              <w:rPr>
                <w:rFonts w:hint="eastAsia" w:ascii="宋体" w:hAnsi="宋体" w:cs="宋体"/>
                <w:sz w:val="18"/>
                <w:szCs w:val="18"/>
                <w:lang w:val="en-US" w:eastAsia="zh-CN"/>
              </w:rPr>
              <w:t>2</w:t>
            </w:r>
            <w:r>
              <w:rPr>
                <w:rFonts w:hint="eastAsia" w:ascii="宋体" w:hAnsi="宋体" w:cs="宋体"/>
                <w:sz w:val="18"/>
                <w:szCs w:val="18"/>
              </w:rPr>
              <w:t>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vAlign w:val="center"/>
          </w:tcPr>
          <w:p>
            <w:pPr>
              <w:spacing w:line="280" w:lineRule="exact"/>
              <w:jc w:val="center"/>
              <w:rPr>
                <w:rFonts w:ascii="宋体" w:cs="宋体"/>
                <w:sz w:val="18"/>
                <w:szCs w:val="18"/>
              </w:rPr>
            </w:pPr>
          </w:p>
        </w:tc>
        <w:tc>
          <w:tcPr>
            <w:tcW w:w="1843" w:type="dxa"/>
            <w:gridSpan w:val="2"/>
            <w:vAlign w:val="center"/>
          </w:tcPr>
          <w:p>
            <w:pPr>
              <w:widowControl/>
              <w:jc w:val="center"/>
              <w:rPr>
                <w:rFonts w:ascii="宋体" w:cs="宋体"/>
                <w:sz w:val="18"/>
                <w:szCs w:val="18"/>
              </w:rPr>
            </w:pPr>
            <w:r>
              <w:rPr>
                <w:rFonts w:hint="eastAsia" w:ascii="宋体" w:hAnsi="宋体" w:cs="宋体"/>
                <w:kern w:val="0"/>
                <w:sz w:val="18"/>
                <w:szCs w:val="18"/>
              </w:rPr>
              <w:t>朝向</w:t>
            </w:r>
          </w:p>
        </w:tc>
        <w:tc>
          <w:tcPr>
            <w:tcW w:w="7229" w:type="dxa"/>
            <w:vAlign w:val="center"/>
          </w:tcPr>
          <w:p>
            <w:pPr>
              <w:spacing w:line="280" w:lineRule="exact"/>
              <w:jc w:val="center"/>
              <w:rPr>
                <w:rFonts w:ascii="宋体" w:cs="宋体"/>
                <w:sz w:val="18"/>
                <w:szCs w:val="18"/>
              </w:rPr>
            </w:pPr>
            <w:r>
              <w:rPr>
                <w:rFonts w:hint="eastAsia" w:ascii="宋体" w:hAnsi="宋体" w:cs="宋体"/>
                <w:sz w:val="18"/>
                <w:szCs w:val="18"/>
              </w:rPr>
              <w:t>东西向。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vMerge w:val="continue"/>
            <w:vAlign w:val="center"/>
          </w:tcPr>
          <w:p>
            <w:pPr>
              <w:spacing w:line="280" w:lineRule="exact"/>
              <w:jc w:val="center"/>
              <w:rPr>
                <w:rFonts w:ascii="宋体" w:cs="宋体"/>
                <w:sz w:val="18"/>
                <w:szCs w:val="18"/>
              </w:rPr>
            </w:pPr>
          </w:p>
        </w:tc>
        <w:tc>
          <w:tcPr>
            <w:tcW w:w="1843" w:type="dxa"/>
            <w:gridSpan w:val="2"/>
            <w:vAlign w:val="center"/>
          </w:tcPr>
          <w:p>
            <w:pPr>
              <w:widowControl/>
              <w:jc w:val="center"/>
              <w:rPr>
                <w:rFonts w:ascii="宋体" w:cs="宋体"/>
                <w:sz w:val="18"/>
                <w:szCs w:val="18"/>
              </w:rPr>
            </w:pPr>
            <w:r>
              <w:rPr>
                <w:rFonts w:hint="eastAsia" w:ascii="宋体" w:hAnsi="宋体" w:cs="宋体"/>
                <w:kern w:val="0"/>
                <w:sz w:val="18"/>
                <w:szCs w:val="18"/>
              </w:rPr>
              <w:t>楼层</w:t>
            </w:r>
          </w:p>
        </w:tc>
        <w:tc>
          <w:tcPr>
            <w:tcW w:w="7229" w:type="dxa"/>
            <w:vAlign w:val="center"/>
          </w:tcPr>
          <w:p>
            <w:pPr>
              <w:spacing w:line="280" w:lineRule="exact"/>
              <w:jc w:val="center"/>
              <w:rPr>
                <w:rFonts w:ascii="宋体" w:cs="宋体"/>
                <w:sz w:val="18"/>
                <w:szCs w:val="18"/>
              </w:rPr>
            </w:pPr>
            <w:r>
              <w:rPr>
                <w:rFonts w:hint="eastAsia" w:ascii="宋体" w:hAnsi="宋体" w:cs="宋体"/>
                <w:sz w:val="18"/>
                <w:szCs w:val="18"/>
              </w:rPr>
              <w:t>建筑物总层数为</w:t>
            </w:r>
            <w:r>
              <w:rPr>
                <w:rFonts w:hint="eastAsia" w:ascii="宋体" w:hAnsi="宋体" w:cs="宋体"/>
                <w:sz w:val="18"/>
                <w:szCs w:val="18"/>
                <w:lang w:val="en-US" w:eastAsia="zh-CN"/>
              </w:rPr>
              <w:t>5</w:t>
            </w:r>
            <w:r>
              <w:rPr>
                <w:rFonts w:hint="eastAsia" w:ascii="宋体" w:hAnsi="宋体" w:cs="宋体"/>
                <w:sz w:val="18"/>
                <w:szCs w:val="18"/>
              </w:rPr>
              <w:t>层，估价对象位于5层。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vAlign w:val="center"/>
          </w:tcPr>
          <w:p>
            <w:pPr>
              <w:spacing w:line="280" w:lineRule="exact"/>
              <w:jc w:val="center"/>
              <w:rPr>
                <w:rFonts w:ascii="宋体" w:cs="宋体"/>
                <w:sz w:val="18"/>
                <w:szCs w:val="18"/>
              </w:rPr>
            </w:pPr>
          </w:p>
        </w:tc>
        <w:tc>
          <w:tcPr>
            <w:tcW w:w="1843" w:type="dxa"/>
            <w:gridSpan w:val="2"/>
            <w:vAlign w:val="center"/>
          </w:tcPr>
          <w:p>
            <w:pPr>
              <w:widowControl/>
              <w:jc w:val="center"/>
              <w:rPr>
                <w:rFonts w:ascii="宋体" w:cs="宋体"/>
                <w:sz w:val="18"/>
                <w:szCs w:val="18"/>
              </w:rPr>
            </w:pPr>
            <w:r>
              <w:rPr>
                <w:rFonts w:hint="eastAsia" w:ascii="宋体" w:hAnsi="宋体" w:cs="宋体"/>
                <w:kern w:val="0"/>
                <w:sz w:val="18"/>
                <w:szCs w:val="18"/>
              </w:rPr>
              <w:t>临路状况</w:t>
            </w:r>
          </w:p>
        </w:tc>
        <w:tc>
          <w:tcPr>
            <w:tcW w:w="7229" w:type="dxa"/>
            <w:vAlign w:val="center"/>
          </w:tcPr>
          <w:p>
            <w:pPr>
              <w:spacing w:line="280" w:lineRule="exact"/>
              <w:jc w:val="center"/>
              <w:rPr>
                <w:rFonts w:ascii="宋体" w:cs="宋体"/>
                <w:sz w:val="18"/>
                <w:szCs w:val="18"/>
              </w:rPr>
            </w:pPr>
            <w:r>
              <w:rPr>
                <w:rFonts w:hint="eastAsia" w:ascii="宋体" w:hAnsi="宋体" w:cs="宋体"/>
                <w:kern w:val="0"/>
                <w:sz w:val="18"/>
                <w:szCs w:val="18"/>
                <w:lang w:val="en-US" w:eastAsia="zh-CN"/>
              </w:rPr>
              <w:t>凤鸣路</w:t>
            </w:r>
            <w:r>
              <w:rPr>
                <w:rFonts w:hint="eastAsia" w:ascii="宋体" w:hAnsi="宋体" w:cs="宋体"/>
                <w:kern w:val="0"/>
                <w:sz w:val="18"/>
                <w:szCs w:val="18"/>
              </w:rPr>
              <w:t>以西</w:t>
            </w: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restart"/>
            <w:vAlign w:val="center"/>
          </w:tcPr>
          <w:p>
            <w:pPr>
              <w:spacing w:line="280" w:lineRule="exact"/>
              <w:jc w:val="center"/>
              <w:rPr>
                <w:rFonts w:ascii="宋体" w:cs="宋体"/>
                <w:sz w:val="18"/>
                <w:szCs w:val="18"/>
              </w:rPr>
            </w:pPr>
            <w:r>
              <w:rPr>
                <w:rFonts w:hint="eastAsia" w:ascii="宋体" w:hAnsi="宋体" w:cs="宋体"/>
                <w:sz w:val="18"/>
                <w:szCs w:val="18"/>
              </w:rPr>
              <w:t>交通</w:t>
            </w:r>
          </w:p>
        </w:tc>
        <w:tc>
          <w:tcPr>
            <w:tcW w:w="1843" w:type="dxa"/>
            <w:gridSpan w:val="2"/>
            <w:vAlign w:val="center"/>
          </w:tcPr>
          <w:p>
            <w:pPr>
              <w:widowControl/>
              <w:jc w:val="center"/>
              <w:rPr>
                <w:rFonts w:ascii="宋体" w:cs="宋体"/>
                <w:sz w:val="18"/>
                <w:szCs w:val="18"/>
              </w:rPr>
            </w:pPr>
            <w:r>
              <w:rPr>
                <w:rFonts w:hint="eastAsia" w:ascii="宋体" w:hAnsi="宋体" w:cs="宋体"/>
                <w:kern w:val="0"/>
                <w:sz w:val="18"/>
                <w:szCs w:val="18"/>
              </w:rPr>
              <w:t>道路状况</w:t>
            </w:r>
          </w:p>
        </w:tc>
        <w:tc>
          <w:tcPr>
            <w:tcW w:w="7229" w:type="dxa"/>
            <w:vAlign w:val="center"/>
          </w:tcPr>
          <w:p>
            <w:pPr>
              <w:spacing w:line="280" w:lineRule="exact"/>
              <w:jc w:val="center"/>
              <w:rPr>
                <w:rFonts w:ascii="宋体" w:cs="宋体"/>
                <w:sz w:val="18"/>
                <w:szCs w:val="18"/>
              </w:rPr>
            </w:pPr>
            <w:r>
              <w:rPr>
                <w:rFonts w:hint="eastAsia" w:ascii="宋体" w:hAnsi="宋体" w:cs="宋体"/>
                <w:kern w:val="0"/>
                <w:sz w:val="18"/>
                <w:szCs w:val="18"/>
              </w:rPr>
              <w:t>区域内有</w:t>
            </w:r>
            <w:r>
              <w:rPr>
                <w:rFonts w:hint="eastAsia" w:ascii="宋体" w:hAnsi="宋体" w:cs="宋体"/>
                <w:kern w:val="0"/>
                <w:sz w:val="18"/>
                <w:szCs w:val="18"/>
                <w:lang w:val="en-US" w:eastAsia="zh-CN"/>
              </w:rPr>
              <w:t>凤鸣路</w:t>
            </w:r>
            <w:r>
              <w:rPr>
                <w:rFonts w:hint="eastAsia" w:ascii="宋体" w:hAnsi="宋体" w:cs="宋体"/>
                <w:kern w:val="0"/>
                <w:sz w:val="18"/>
                <w:szCs w:val="18"/>
              </w:rPr>
              <w:t>、</w:t>
            </w:r>
            <w:r>
              <w:rPr>
                <w:rFonts w:hint="eastAsia" w:ascii="宋体" w:hAnsi="宋体" w:cs="宋体"/>
                <w:kern w:val="0"/>
                <w:sz w:val="18"/>
                <w:szCs w:val="18"/>
                <w:lang w:val="en-US" w:eastAsia="zh-CN"/>
              </w:rPr>
              <w:t>南华</w:t>
            </w:r>
            <w:r>
              <w:rPr>
                <w:rFonts w:hint="eastAsia" w:ascii="宋体" w:hAnsi="宋体" w:cs="宋体"/>
                <w:kern w:val="0"/>
                <w:sz w:val="18"/>
                <w:szCs w:val="18"/>
              </w:rPr>
              <w:t>路等主干道，路网密度大，道路通达度较好</w:t>
            </w: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vMerge w:val="continue"/>
            <w:vAlign w:val="center"/>
          </w:tcPr>
          <w:p>
            <w:pPr>
              <w:spacing w:line="280" w:lineRule="exact"/>
              <w:jc w:val="center"/>
              <w:rPr>
                <w:rFonts w:ascii="宋体" w:cs="宋体"/>
                <w:sz w:val="18"/>
                <w:szCs w:val="18"/>
              </w:rPr>
            </w:pPr>
          </w:p>
        </w:tc>
        <w:tc>
          <w:tcPr>
            <w:tcW w:w="1843" w:type="dxa"/>
            <w:gridSpan w:val="2"/>
            <w:vAlign w:val="center"/>
          </w:tcPr>
          <w:p>
            <w:pPr>
              <w:widowControl/>
              <w:jc w:val="center"/>
              <w:rPr>
                <w:rFonts w:ascii="宋体" w:cs="宋体"/>
                <w:sz w:val="18"/>
                <w:szCs w:val="18"/>
              </w:rPr>
            </w:pPr>
            <w:r>
              <w:rPr>
                <w:rFonts w:hint="eastAsia" w:ascii="宋体" w:hAnsi="宋体" w:cs="宋体"/>
                <w:kern w:val="0"/>
                <w:sz w:val="18"/>
                <w:szCs w:val="18"/>
              </w:rPr>
              <w:t>交通状况</w:t>
            </w:r>
          </w:p>
        </w:tc>
        <w:tc>
          <w:tcPr>
            <w:tcW w:w="7229" w:type="dxa"/>
            <w:vAlign w:val="center"/>
          </w:tcPr>
          <w:p>
            <w:pPr>
              <w:spacing w:line="280" w:lineRule="exact"/>
              <w:jc w:val="center"/>
              <w:rPr>
                <w:rFonts w:ascii="宋体" w:cs="宋体"/>
                <w:sz w:val="18"/>
                <w:szCs w:val="18"/>
              </w:rPr>
            </w:pPr>
            <w:r>
              <w:rPr>
                <w:rFonts w:hint="eastAsia" w:ascii="宋体" w:hAnsi="宋体" w:cs="宋体"/>
                <w:kern w:val="0"/>
                <w:sz w:val="18"/>
                <w:szCs w:val="18"/>
              </w:rPr>
              <w:t>附近有9路公交车站及出租车通行通过，距</w:t>
            </w:r>
            <w:r>
              <w:rPr>
                <w:rFonts w:hint="eastAsia" w:ascii="宋体" w:hAnsi="宋体" w:cs="宋体"/>
                <w:sz w:val="18"/>
                <w:szCs w:val="18"/>
              </w:rPr>
              <w:t>客运站约</w:t>
            </w:r>
            <w:r>
              <w:rPr>
                <w:rFonts w:hint="eastAsia" w:ascii="宋体" w:hAnsi="宋体" w:cs="宋体"/>
                <w:sz w:val="18"/>
                <w:szCs w:val="18"/>
                <w:lang w:val="en-US" w:eastAsia="zh-CN"/>
              </w:rPr>
              <w:t>2</w:t>
            </w:r>
            <w:r>
              <w:rPr>
                <w:rFonts w:hint="eastAsia" w:ascii="宋体" w:hAnsi="宋体" w:cs="宋体"/>
                <w:sz w:val="18"/>
                <w:szCs w:val="18"/>
              </w:rPr>
              <w:t>公里</w:t>
            </w:r>
            <w:r>
              <w:rPr>
                <w:rFonts w:hint="eastAsia" w:ascii="宋体" w:hAnsi="宋体" w:cs="宋体"/>
                <w:kern w:val="0"/>
                <w:sz w:val="18"/>
                <w:szCs w:val="18"/>
              </w:rPr>
              <w:t>，对内外交通较便捷。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vAlign w:val="center"/>
          </w:tcPr>
          <w:p>
            <w:pPr>
              <w:spacing w:line="280" w:lineRule="exact"/>
              <w:jc w:val="center"/>
              <w:rPr>
                <w:rFonts w:ascii="宋体" w:cs="宋体"/>
                <w:sz w:val="18"/>
                <w:szCs w:val="18"/>
              </w:rPr>
            </w:pPr>
          </w:p>
        </w:tc>
        <w:tc>
          <w:tcPr>
            <w:tcW w:w="1843" w:type="dxa"/>
            <w:gridSpan w:val="2"/>
            <w:vAlign w:val="center"/>
          </w:tcPr>
          <w:p>
            <w:pPr>
              <w:widowControl/>
              <w:jc w:val="center"/>
              <w:rPr>
                <w:rFonts w:ascii="宋体" w:cs="宋体"/>
                <w:sz w:val="18"/>
                <w:szCs w:val="18"/>
              </w:rPr>
            </w:pPr>
            <w:r>
              <w:rPr>
                <w:rFonts w:hint="eastAsia" w:ascii="宋体" w:hAnsi="宋体" w:cs="宋体"/>
                <w:kern w:val="0"/>
                <w:sz w:val="18"/>
                <w:szCs w:val="18"/>
              </w:rPr>
              <w:t>交通管制</w:t>
            </w:r>
          </w:p>
        </w:tc>
        <w:tc>
          <w:tcPr>
            <w:tcW w:w="7229" w:type="dxa"/>
            <w:vAlign w:val="center"/>
          </w:tcPr>
          <w:p>
            <w:pPr>
              <w:spacing w:line="280" w:lineRule="exact"/>
              <w:jc w:val="center"/>
              <w:rPr>
                <w:rFonts w:ascii="宋体" w:cs="宋体"/>
                <w:sz w:val="18"/>
                <w:szCs w:val="18"/>
              </w:rPr>
            </w:pPr>
            <w:r>
              <w:rPr>
                <w:rFonts w:hint="eastAsia" w:ascii="宋体" w:hAnsi="宋体" w:cs="宋体"/>
                <w:kern w:val="0"/>
                <w:sz w:val="18"/>
                <w:szCs w:val="18"/>
              </w:rPr>
              <w:t>区域内无单行道、车辆限行等交通管制状况，交通畅通。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vAlign w:val="center"/>
          </w:tcPr>
          <w:p>
            <w:pPr>
              <w:spacing w:line="280" w:lineRule="exact"/>
              <w:jc w:val="center"/>
              <w:rPr>
                <w:rFonts w:ascii="宋体" w:cs="宋体"/>
                <w:sz w:val="18"/>
                <w:szCs w:val="18"/>
              </w:rPr>
            </w:pPr>
          </w:p>
        </w:tc>
        <w:tc>
          <w:tcPr>
            <w:tcW w:w="1843" w:type="dxa"/>
            <w:gridSpan w:val="2"/>
            <w:vAlign w:val="center"/>
          </w:tcPr>
          <w:p>
            <w:pPr>
              <w:widowControl/>
              <w:jc w:val="center"/>
              <w:rPr>
                <w:rFonts w:ascii="宋体" w:cs="宋体"/>
                <w:sz w:val="18"/>
                <w:szCs w:val="18"/>
              </w:rPr>
            </w:pPr>
            <w:r>
              <w:rPr>
                <w:rFonts w:hint="eastAsia" w:ascii="宋体" w:hAnsi="宋体" w:cs="宋体"/>
                <w:kern w:val="0"/>
                <w:sz w:val="18"/>
                <w:szCs w:val="18"/>
              </w:rPr>
              <w:t>停车状况</w:t>
            </w:r>
          </w:p>
        </w:tc>
        <w:tc>
          <w:tcPr>
            <w:tcW w:w="7229" w:type="dxa"/>
            <w:vAlign w:val="center"/>
          </w:tcPr>
          <w:p>
            <w:pPr>
              <w:spacing w:line="280" w:lineRule="exact"/>
              <w:jc w:val="center"/>
              <w:rPr>
                <w:rFonts w:ascii="宋体" w:cs="宋体"/>
                <w:sz w:val="18"/>
                <w:szCs w:val="18"/>
              </w:rPr>
            </w:pPr>
            <w:r>
              <w:rPr>
                <w:rFonts w:hint="eastAsia" w:ascii="宋体" w:hAnsi="宋体" w:cs="宋体"/>
                <w:kern w:val="0"/>
                <w:sz w:val="18"/>
                <w:szCs w:val="18"/>
              </w:rPr>
              <w:t>所在区域有停车场，周边有沿街占道临时停车位，停车较方便。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vMerge w:val="restart"/>
            <w:vAlign w:val="center"/>
          </w:tcPr>
          <w:p>
            <w:pPr>
              <w:spacing w:line="240" w:lineRule="exact"/>
              <w:jc w:val="center"/>
              <w:rPr>
                <w:rFonts w:ascii="宋体" w:cs="宋体"/>
                <w:sz w:val="18"/>
                <w:szCs w:val="18"/>
              </w:rPr>
            </w:pPr>
            <w:r>
              <w:rPr>
                <w:rFonts w:hint="eastAsia" w:ascii="宋体" w:hAnsi="宋体" w:cs="宋体"/>
                <w:kern w:val="0"/>
                <w:sz w:val="18"/>
                <w:szCs w:val="18"/>
              </w:rPr>
              <w:t>外部配套设施</w:t>
            </w:r>
          </w:p>
        </w:tc>
        <w:tc>
          <w:tcPr>
            <w:tcW w:w="1843" w:type="dxa"/>
            <w:gridSpan w:val="2"/>
            <w:vAlign w:val="center"/>
          </w:tcPr>
          <w:p>
            <w:pPr>
              <w:spacing w:line="280" w:lineRule="exact"/>
              <w:jc w:val="center"/>
              <w:rPr>
                <w:rFonts w:ascii="宋体" w:cs="宋体"/>
                <w:sz w:val="18"/>
                <w:szCs w:val="18"/>
              </w:rPr>
            </w:pPr>
            <w:r>
              <w:rPr>
                <w:rFonts w:hint="eastAsia" w:ascii="宋体" w:hAnsi="宋体" w:cs="宋体"/>
                <w:kern w:val="0"/>
                <w:sz w:val="18"/>
                <w:szCs w:val="18"/>
              </w:rPr>
              <w:t>城市基础设施</w:t>
            </w:r>
          </w:p>
        </w:tc>
        <w:tc>
          <w:tcPr>
            <w:tcW w:w="7229" w:type="dxa"/>
            <w:vAlign w:val="center"/>
          </w:tcPr>
          <w:p>
            <w:pPr>
              <w:spacing w:line="280" w:lineRule="exact"/>
              <w:jc w:val="center"/>
              <w:rPr>
                <w:rFonts w:ascii="宋体" w:cs="宋体"/>
                <w:sz w:val="18"/>
                <w:szCs w:val="18"/>
              </w:rPr>
            </w:pPr>
            <w:r>
              <w:rPr>
                <w:rFonts w:hint="eastAsia" w:ascii="宋体" w:hAnsi="宋体" w:cs="宋体"/>
                <w:kern w:val="0"/>
                <w:sz w:val="18"/>
                <w:szCs w:val="18"/>
              </w:rPr>
              <w:t>所在区域已达到了“五通一平”，上水、下水、电、路，通讯宗地内场平，基础设施完备。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567" w:type="dxa"/>
            <w:vMerge w:val="continue"/>
            <w:vAlign w:val="center"/>
          </w:tcPr>
          <w:p>
            <w:pPr>
              <w:spacing w:line="280" w:lineRule="exact"/>
              <w:jc w:val="center"/>
              <w:rPr>
                <w:rFonts w:ascii="宋体" w:cs="宋体"/>
                <w:sz w:val="18"/>
                <w:szCs w:val="18"/>
              </w:rPr>
            </w:pPr>
          </w:p>
        </w:tc>
        <w:tc>
          <w:tcPr>
            <w:tcW w:w="709" w:type="dxa"/>
            <w:vMerge w:val="restart"/>
            <w:vAlign w:val="center"/>
          </w:tcPr>
          <w:p>
            <w:pPr>
              <w:spacing w:line="200" w:lineRule="exact"/>
              <w:jc w:val="center"/>
              <w:rPr>
                <w:rFonts w:ascii="宋体" w:cs="宋体"/>
                <w:sz w:val="18"/>
                <w:szCs w:val="18"/>
              </w:rPr>
            </w:pPr>
            <w:r>
              <w:rPr>
                <w:rFonts w:hint="eastAsia" w:ascii="宋体" w:hAnsi="宋体" w:cs="宋体"/>
                <w:kern w:val="0"/>
                <w:sz w:val="18"/>
                <w:szCs w:val="18"/>
              </w:rPr>
              <w:t>公共服务设施</w:t>
            </w:r>
          </w:p>
        </w:tc>
        <w:tc>
          <w:tcPr>
            <w:tcW w:w="1134" w:type="dxa"/>
            <w:vAlign w:val="center"/>
          </w:tcPr>
          <w:p>
            <w:pPr>
              <w:widowControl/>
              <w:spacing w:line="280" w:lineRule="exact"/>
              <w:jc w:val="center"/>
              <w:rPr>
                <w:rFonts w:ascii="宋体" w:cs="宋体"/>
                <w:sz w:val="18"/>
                <w:szCs w:val="18"/>
              </w:rPr>
            </w:pPr>
            <w:r>
              <w:rPr>
                <w:rFonts w:hint="eastAsia" w:ascii="宋体" w:hAnsi="宋体" w:cs="宋体"/>
                <w:kern w:val="0"/>
                <w:sz w:val="18"/>
                <w:szCs w:val="18"/>
              </w:rPr>
              <w:t>银教卫情况</w:t>
            </w:r>
          </w:p>
        </w:tc>
        <w:tc>
          <w:tcPr>
            <w:tcW w:w="7229" w:type="dxa"/>
            <w:vAlign w:val="center"/>
          </w:tcPr>
          <w:p>
            <w:pPr>
              <w:spacing w:line="240" w:lineRule="exact"/>
              <w:jc w:val="center"/>
              <w:rPr>
                <w:rFonts w:ascii="宋体" w:cs="宋体"/>
                <w:sz w:val="18"/>
                <w:szCs w:val="18"/>
              </w:rPr>
            </w:pPr>
            <w:r>
              <w:rPr>
                <w:rFonts w:hint="eastAsia" w:ascii="宋体" w:cs="宋体"/>
                <w:sz w:val="18"/>
                <w:szCs w:val="18"/>
              </w:rPr>
              <w:t>附近有</w:t>
            </w:r>
            <w:r>
              <w:rPr>
                <w:rFonts w:hint="eastAsia" w:ascii="宋体" w:cs="宋体"/>
                <w:sz w:val="18"/>
                <w:szCs w:val="18"/>
                <w:lang w:val="en-US" w:eastAsia="zh-CN"/>
              </w:rPr>
              <w:t>永胜农村商业</w:t>
            </w:r>
            <w:r>
              <w:rPr>
                <w:rFonts w:hint="eastAsia" w:ascii="宋体" w:cs="宋体"/>
                <w:sz w:val="18"/>
                <w:szCs w:val="18"/>
              </w:rPr>
              <w:t>银行、</w:t>
            </w:r>
            <w:r>
              <w:rPr>
                <w:rFonts w:hint="eastAsia" w:ascii="宋体" w:cs="宋体"/>
                <w:color w:val="auto"/>
                <w:sz w:val="18"/>
                <w:szCs w:val="18"/>
                <w:lang w:val="en-US" w:eastAsia="zh-CN"/>
              </w:rPr>
              <w:t>富滇银行</w:t>
            </w:r>
            <w:r>
              <w:rPr>
                <w:rFonts w:hint="eastAsia" w:ascii="宋体" w:cs="宋体"/>
                <w:color w:val="auto"/>
                <w:sz w:val="18"/>
                <w:szCs w:val="18"/>
              </w:rPr>
              <w:t>等营业网点；附近有</w:t>
            </w:r>
            <w:r>
              <w:rPr>
                <w:rFonts w:hint="eastAsia" w:ascii="宋体" w:cs="宋体"/>
                <w:color w:val="auto"/>
                <w:sz w:val="18"/>
                <w:szCs w:val="18"/>
                <w:lang w:val="en-US" w:eastAsia="zh-CN"/>
              </w:rPr>
              <w:t>凤鸣</w:t>
            </w:r>
            <w:r>
              <w:rPr>
                <w:rFonts w:hint="eastAsia" w:ascii="宋体" w:cs="宋体"/>
                <w:color w:val="auto"/>
                <w:sz w:val="18"/>
                <w:szCs w:val="18"/>
              </w:rPr>
              <w:t>小学、</w:t>
            </w:r>
            <w:r>
              <w:rPr>
                <w:rFonts w:hint="eastAsia" w:ascii="宋体" w:cs="宋体"/>
                <w:color w:val="auto"/>
                <w:sz w:val="18"/>
                <w:szCs w:val="18"/>
                <w:lang w:val="en-US" w:eastAsia="zh-CN"/>
              </w:rPr>
              <w:t>永胜一中</w:t>
            </w:r>
            <w:r>
              <w:rPr>
                <w:rFonts w:hint="eastAsia" w:ascii="宋体" w:cs="宋体"/>
                <w:color w:val="auto"/>
                <w:sz w:val="18"/>
                <w:szCs w:val="18"/>
              </w:rPr>
              <w:t>等学校；附近有</w:t>
            </w:r>
            <w:r>
              <w:rPr>
                <w:rFonts w:hint="eastAsia" w:ascii="宋体" w:cs="宋体"/>
                <w:color w:val="auto"/>
                <w:sz w:val="18"/>
                <w:szCs w:val="18"/>
                <w:lang w:val="en-US" w:eastAsia="zh-CN"/>
              </w:rPr>
              <w:t>永大</w:t>
            </w:r>
            <w:r>
              <w:rPr>
                <w:rFonts w:hint="eastAsia" w:ascii="宋体" w:cs="宋体"/>
                <w:color w:val="auto"/>
                <w:sz w:val="18"/>
                <w:szCs w:val="18"/>
              </w:rPr>
              <w:t>医院、</w:t>
            </w:r>
            <w:r>
              <w:rPr>
                <w:rFonts w:hint="eastAsia" w:ascii="宋体" w:cs="宋体"/>
                <w:color w:val="auto"/>
                <w:sz w:val="18"/>
                <w:szCs w:val="18"/>
                <w:lang w:val="en-US" w:eastAsia="zh-CN"/>
              </w:rPr>
              <w:t>永胜县妇幼保健院</w:t>
            </w:r>
            <w:r>
              <w:rPr>
                <w:rFonts w:hint="eastAsia" w:ascii="宋体" w:cs="宋体"/>
                <w:color w:val="auto"/>
                <w:sz w:val="18"/>
                <w:szCs w:val="18"/>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567" w:type="dxa"/>
            <w:vMerge w:val="continue"/>
            <w:vAlign w:val="center"/>
          </w:tcPr>
          <w:p>
            <w:pPr>
              <w:spacing w:line="280" w:lineRule="exact"/>
              <w:jc w:val="center"/>
              <w:rPr>
                <w:rFonts w:ascii="宋体" w:cs="宋体"/>
                <w:sz w:val="18"/>
                <w:szCs w:val="18"/>
              </w:rPr>
            </w:pPr>
          </w:p>
        </w:tc>
        <w:tc>
          <w:tcPr>
            <w:tcW w:w="709" w:type="dxa"/>
            <w:vMerge w:val="continue"/>
            <w:vAlign w:val="center"/>
          </w:tcPr>
          <w:p>
            <w:pPr>
              <w:spacing w:line="280" w:lineRule="exact"/>
              <w:jc w:val="center"/>
              <w:rPr>
                <w:rFonts w:ascii="宋体" w:cs="宋体"/>
                <w:sz w:val="18"/>
                <w:szCs w:val="18"/>
              </w:rPr>
            </w:pPr>
          </w:p>
        </w:tc>
        <w:tc>
          <w:tcPr>
            <w:tcW w:w="1134" w:type="dxa"/>
            <w:vAlign w:val="center"/>
          </w:tcPr>
          <w:p>
            <w:pPr>
              <w:widowControl/>
              <w:spacing w:line="280" w:lineRule="exact"/>
              <w:jc w:val="center"/>
              <w:rPr>
                <w:rFonts w:hint="eastAsia" w:ascii="宋体" w:eastAsia="宋体" w:cs="宋体"/>
                <w:sz w:val="18"/>
                <w:szCs w:val="18"/>
                <w:lang w:val="en-US" w:eastAsia="zh-CN"/>
              </w:rPr>
            </w:pPr>
            <w:r>
              <w:rPr>
                <w:rFonts w:hint="eastAsia" w:ascii="宋体" w:hAnsi="宋体" w:cs="宋体"/>
                <w:kern w:val="0"/>
                <w:sz w:val="18"/>
                <w:szCs w:val="18"/>
              </w:rPr>
              <w:t>休闲娱乐</w:t>
            </w:r>
            <w:r>
              <w:rPr>
                <w:rFonts w:hint="eastAsia" w:ascii="宋体" w:hAnsi="宋体" w:cs="宋体"/>
                <w:kern w:val="0"/>
                <w:sz w:val="18"/>
                <w:szCs w:val="18"/>
                <w:lang w:val="en-US" w:eastAsia="zh-CN"/>
              </w:rPr>
              <w:t>购物</w:t>
            </w:r>
          </w:p>
        </w:tc>
        <w:tc>
          <w:tcPr>
            <w:tcW w:w="7229" w:type="dxa"/>
            <w:vAlign w:val="center"/>
          </w:tcPr>
          <w:p>
            <w:pPr>
              <w:spacing w:line="240" w:lineRule="exact"/>
              <w:jc w:val="center"/>
              <w:rPr>
                <w:rFonts w:ascii="宋体" w:cs="宋体"/>
                <w:sz w:val="18"/>
                <w:szCs w:val="18"/>
              </w:rPr>
            </w:pPr>
            <w:r>
              <w:rPr>
                <w:rFonts w:hint="eastAsia" w:ascii="宋体" w:hAnsi="宋体" w:cs="宋体"/>
                <w:sz w:val="18"/>
                <w:szCs w:val="18"/>
              </w:rPr>
              <w:t>附近有</w:t>
            </w:r>
            <w:r>
              <w:rPr>
                <w:rFonts w:hint="eastAsia" w:ascii="宋体" w:hAnsi="宋体" w:cs="宋体"/>
                <w:sz w:val="18"/>
                <w:szCs w:val="18"/>
                <w:lang w:val="en-US" w:eastAsia="zh-CN"/>
              </w:rPr>
              <w:t>凤凰公园</w:t>
            </w:r>
            <w:r>
              <w:rPr>
                <w:rFonts w:hint="eastAsia" w:ascii="宋体" w:hAnsi="宋体" w:cs="宋体"/>
                <w:sz w:val="18"/>
                <w:szCs w:val="18"/>
              </w:rPr>
              <w:t>、</w:t>
            </w:r>
            <w:r>
              <w:rPr>
                <w:rFonts w:hint="eastAsia" w:ascii="宋体" w:hAnsi="宋体" w:cs="宋体"/>
                <w:sz w:val="18"/>
                <w:szCs w:val="18"/>
                <w:lang w:val="en-US" w:eastAsia="zh-CN"/>
              </w:rPr>
              <w:t>永胜县第二农贸市场、酒店、</w:t>
            </w:r>
            <w:r>
              <w:rPr>
                <w:rFonts w:hint="eastAsia" w:ascii="宋体" w:hAnsi="宋体" w:cs="宋体"/>
                <w:sz w:val="18"/>
                <w:szCs w:val="18"/>
              </w:rPr>
              <w:t>便利超市等</w:t>
            </w: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restart"/>
            <w:vAlign w:val="center"/>
          </w:tcPr>
          <w:p>
            <w:pPr>
              <w:spacing w:line="200" w:lineRule="exact"/>
              <w:jc w:val="center"/>
              <w:rPr>
                <w:rFonts w:ascii="宋体" w:cs="宋体"/>
                <w:sz w:val="18"/>
                <w:szCs w:val="18"/>
              </w:rPr>
            </w:pPr>
            <w:r>
              <w:rPr>
                <w:rFonts w:hint="eastAsia" w:ascii="宋体" w:hAnsi="宋体" w:cs="宋体"/>
                <w:kern w:val="0"/>
                <w:sz w:val="18"/>
                <w:szCs w:val="18"/>
              </w:rPr>
              <w:t>周围环境和景观</w:t>
            </w:r>
          </w:p>
        </w:tc>
        <w:tc>
          <w:tcPr>
            <w:tcW w:w="1843" w:type="dxa"/>
            <w:gridSpan w:val="2"/>
            <w:vAlign w:val="center"/>
          </w:tcPr>
          <w:p>
            <w:pPr>
              <w:widowControl/>
              <w:jc w:val="center"/>
              <w:rPr>
                <w:rFonts w:ascii="宋体" w:cs="宋体"/>
                <w:sz w:val="18"/>
                <w:szCs w:val="18"/>
              </w:rPr>
            </w:pPr>
            <w:r>
              <w:rPr>
                <w:rFonts w:hint="eastAsia" w:ascii="宋体" w:hAnsi="宋体" w:cs="宋体"/>
                <w:kern w:val="0"/>
                <w:sz w:val="18"/>
                <w:szCs w:val="18"/>
              </w:rPr>
              <w:t>自然环境</w:t>
            </w:r>
          </w:p>
        </w:tc>
        <w:tc>
          <w:tcPr>
            <w:tcW w:w="7229" w:type="dxa"/>
            <w:vAlign w:val="center"/>
          </w:tcPr>
          <w:p>
            <w:pPr>
              <w:spacing w:line="280" w:lineRule="exact"/>
              <w:jc w:val="center"/>
              <w:rPr>
                <w:rFonts w:ascii="宋体" w:cs="宋体"/>
                <w:sz w:val="18"/>
                <w:szCs w:val="18"/>
              </w:rPr>
            </w:pPr>
            <w:r>
              <w:rPr>
                <w:rFonts w:hint="eastAsia" w:ascii="宋体" w:hAnsi="宋体" w:cs="宋体"/>
                <w:kern w:val="0"/>
                <w:sz w:val="18"/>
                <w:szCs w:val="18"/>
              </w:rPr>
              <w:t>区域内街道整洁，绿化率一般，无大气、水文等污染，环境相对安静；区域内沿街绿化较好，无自然景观。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567" w:type="dxa"/>
            <w:vMerge w:val="continue"/>
            <w:vAlign w:val="center"/>
          </w:tcPr>
          <w:p>
            <w:pPr>
              <w:spacing w:line="280" w:lineRule="exact"/>
              <w:jc w:val="center"/>
              <w:rPr>
                <w:rFonts w:ascii="宋体" w:cs="宋体"/>
                <w:sz w:val="18"/>
                <w:szCs w:val="18"/>
              </w:rPr>
            </w:pPr>
          </w:p>
        </w:tc>
        <w:tc>
          <w:tcPr>
            <w:tcW w:w="1843" w:type="dxa"/>
            <w:gridSpan w:val="2"/>
            <w:vAlign w:val="center"/>
          </w:tcPr>
          <w:p>
            <w:pPr>
              <w:widowControl/>
              <w:jc w:val="center"/>
              <w:rPr>
                <w:rFonts w:ascii="宋体" w:cs="宋体"/>
                <w:sz w:val="18"/>
                <w:szCs w:val="18"/>
              </w:rPr>
            </w:pPr>
            <w:r>
              <w:rPr>
                <w:rFonts w:hint="eastAsia" w:ascii="宋体" w:hAnsi="宋体" w:cs="宋体"/>
                <w:kern w:val="0"/>
                <w:sz w:val="18"/>
                <w:szCs w:val="18"/>
              </w:rPr>
              <w:t>人文环境</w:t>
            </w:r>
          </w:p>
        </w:tc>
        <w:tc>
          <w:tcPr>
            <w:tcW w:w="7229" w:type="dxa"/>
            <w:vAlign w:val="center"/>
          </w:tcPr>
          <w:p>
            <w:pPr>
              <w:spacing w:line="280" w:lineRule="exact"/>
              <w:jc w:val="center"/>
              <w:rPr>
                <w:rFonts w:ascii="宋体" w:cs="宋体"/>
                <w:sz w:val="18"/>
                <w:szCs w:val="18"/>
              </w:rPr>
            </w:pPr>
            <w:r>
              <w:rPr>
                <w:rFonts w:hint="eastAsia" w:ascii="宋体" w:hAnsi="宋体" w:cs="宋体"/>
                <w:kern w:val="0"/>
                <w:sz w:val="18"/>
                <w:szCs w:val="18"/>
              </w:rPr>
              <w:t>所在区域居民以经商、自由职业者为主，治安状况良好。相邻房地产以商业、住宅等用途为主，区域内店铺林立，人流量较大，商业繁华度较好，居住密度高。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vAlign w:val="center"/>
          </w:tcPr>
          <w:p>
            <w:pPr>
              <w:spacing w:line="280" w:lineRule="exact"/>
              <w:jc w:val="center"/>
              <w:rPr>
                <w:rFonts w:ascii="宋体" w:cs="宋体"/>
                <w:sz w:val="18"/>
                <w:szCs w:val="18"/>
              </w:rPr>
            </w:pPr>
          </w:p>
        </w:tc>
        <w:tc>
          <w:tcPr>
            <w:tcW w:w="1843" w:type="dxa"/>
            <w:gridSpan w:val="2"/>
            <w:vAlign w:val="center"/>
          </w:tcPr>
          <w:p>
            <w:pPr>
              <w:widowControl/>
              <w:jc w:val="center"/>
              <w:rPr>
                <w:rFonts w:ascii="宋体" w:cs="宋体"/>
                <w:sz w:val="18"/>
                <w:szCs w:val="18"/>
              </w:rPr>
            </w:pPr>
            <w:r>
              <w:rPr>
                <w:rFonts w:hint="eastAsia" w:ascii="宋体" w:hAnsi="宋体" w:cs="宋体"/>
                <w:kern w:val="0"/>
                <w:sz w:val="18"/>
                <w:szCs w:val="18"/>
              </w:rPr>
              <w:t>住宅聚集度</w:t>
            </w:r>
          </w:p>
        </w:tc>
        <w:tc>
          <w:tcPr>
            <w:tcW w:w="7229" w:type="dxa"/>
            <w:vAlign w:val="center"/>
          </w:tcPr>
          <w:p>
            <w:pPr>
              <w:spacing w:line="280" w:lineRule="exact"/>
              <w:jc w:val="center"/>
              <w:rPr>
                <w:rFonts w:ascii="宋体" w:cs="宋体"/>
                <w:sz w:val="18"/>
                <w:szCs w:val="18"/>
              </w:rPr>
            </w:pPr>
            <w:r>
              <w:rPr>
                <w:rFonts w:ascii="宋体" w:hAnsi="宋体" w:cs="宋体"/>
                <w:kern w:val="0"/>
                <w:sz w:val="18"/>
                <w:szCs w:val="18"/>
              </w:rPr>
              <w:t>区域</w:t>
            </w:r>
            <w:r>
              <w:rPr>
                <w:rFonts w:hint="eastAsia" w:ascii="宋体" w:hAnsi="宋体" w:cs="宋体"/>
                <w:kern w:val="0"/>
                <w:sz w:val="18"/>
                <w:szCs w:val="18"/>
              </w:rPr>
              <w:t>内</w:t>
            </w:r>
            <w:r>
              <w:rPr>
                <w:rFonts w:ascii="宋体" w:hAnsi="宋体" w:cs="宋体"/>
                <w:kern w:val="0"/>
                <w:sz w:val="18"/>
                <w:szCs w:val="18"/>
              </w:rPr>
              <w:t>分布</w:t>
            </w:r>
            <w:r>
              <w:rPr>
                <w:rFonts w:hint="eastAsia" w:ascii="宋体" w:hAnsi="宋体" w:cs="宋体"/>
                <w:kern w:val="0"/>
                <w:sz w:val="18"/>
                <w:szCs w:val="18"/>
              </w:rPr>
              <w:t>较多</w:t>
            </w:r>
            <w:r>
              <w:rPr>
                <w:rFonts w:ascii="宋体" w:hAnsi="宋体" w:cs="宋体"/>
                <w:kern w:val="0"/>
                <w:sz w:val="18"/>
                <w:szCs w:val="18"/>
              </w:rPr>
              <w:t>中档楼盘，如</w:t>
            </w:r>
            <w:r>
              <w:rPr>
                <w:rFonts w:hint="eastAsia" w:ascii="宋体" w:hAnsi="宋体" w:cs="宋体"/>
                <w:kern w:val="0"/>
                <w:sz w:val="18"/>
                <w:szCs w:val="18"/>
                <w:lang w:val="en-US" w:eastAsia="zh-CN"/>
              </w:rPr>
              <w:t>凤凰花园</w:t>
            </w:r>
            <w:r>
              <w:rPr>
                <w:rFonts w:hint="eastAsia" w:ascii="宋体" w:hAnsi="宋体" w:cs="宋体"/>
                <w:kern w:val="0"/>
                <w:sz w:val="18"/>
                <w:szCs w:val="18"/>
              </w:rPr>
              <w:t>、</w:t>
            </w:r>
            <w:r>
              <w:rPr>
                <w:rFonts w:hint="eastAsia" w:ascii="宋体" w:hAnsi="宋体" w:cs="宋体"/>
                <w:kern w:val="0"/>
                <w:sz w:val="18"/>
                <w:szCs w:val="18"/>
                <w:lang w:val="en-US" w:eastAsia="zh-CN"/>
              </w:rPr>
              <w:t>阳光小区</w:t>
            </w:r>
            <w:r>
              <w:rPr>
                <w:rFonts w:ascii="宋体" w:hAnsi="宋体" w:cs="宋体"/>
                <w:kern w:val="0"/>
                <w:sz w:val="18"/>
                <w:szCs w:val="18"/>
              </w:rPr>
              <w:t>等，</w:t>
            </w:r>
            <w:r>
              <w:rPr>
                <w:rFonts w:hint="eastAsia" w:ascii="宋体" w:hAnsi="宋体" w:cs="宋体"/>
                <w:kern w:val="0"/>
                <w:sz w:val="18"/>
                <w:szCs w:val="18"/>
              </w:rPr>
              <w:t>住宅聚集度</w:t>
            </w:r>
            <w:r>
              <w:rPr>
                <w:rFonts w:ascii="宋体" w:hAnsi="宋体" w:cs="宋体"/>
                <w:kern w:val="0"/>
                <w:sz w:val="18"/>
                <w:szCs w:val="18"/>
              </w:rPr>
              <w:t>高，利于房地产的保值增值</w:t>
            </w: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gridSpan w:val="3"/>
            <w:vAlign w:val="center"/>
          </w:tcPr>
          <w:p>
            <w:pPr>
              <w:spacing w:line="280" w:lineRule="exact"/>
              <w:jc w:val="center"/>
              <w:rPr>
                <w:rFonts w:ascii="宋体" w:cs="宋体"/>
                <w:sz w:val="18"/>
                <w:szCs w:val="18"/>
              </w:rPr>
            </w:pPr>
            <w:r>
              <w:rPr>
                <w:rFonts w:hint="eastAsia" w:ascii="宋体" w:hAnsi="宋体" w:cs="宋体"/>
                <w:kern w:val="0"/>
                <w:sz w:val="18"/>
                <w:szCs w:val="18"/>
              </w:rPr>
              <w:t>未来变化趋势</w:t>
            </w:r>
          </w:p>
        </w:tc>
        <w:tc>
          <w:tcPr>
            <w:tcW w:w="7229" w:type="dxa"/>
            <w:vAlign w:val="center"/>
          </w:tcPr>
          <w:p>
            <w:pPr>
              <w:spacing w:line="280" w:lineRule="exact"/>
              <w:jc w:val="center"/>
              <w:rPr>
                <w:rFonts w:ascii="宋体" w:cs="宋体"/>
                <w:sz w:val="18"/>
                <w:szCs w:val="18"/>
              </w:rPr>
            </w:pPr>
            <w:r>
              <w:rPr>
                <w:rFonts w:ascii="宋体" w:hAnsi="宋体" w:cs="宋体"/>
                <w:kern w:val="0"/>
                <w:sz w:val="18"/>
                <w:szCs w:val="18"/>
              </w:rPr>
              <w:t>该区域目前周边主要为</w:t>
            </w:r>
            <w:r>
              <w:rPr>
                <w:rFonts w:hint="eastAsia" w:ascii="宋体" w:hAnsi="宋体" w:cs="宋体"/>
                <w:kern w:val="0"/>
                <w:sz w:val="18"/>
                <w:szCs w:val="18"/>
              </w:rPr>
              <w:t>居住、商业</w:t>
            </w:r>
            <w:r>
              <w:rPr>
                <w:rFonts w:ascii="宋体" w:hAnsi="宋体" w:cs="宋体"/>
                <w:kern w:val="0"/>
                <w:sz w:val="18"/>
                <w:szCs w:val="18"/>
              </w:rPr>
              <w:t>区，人流量</w:t>
            </w:r>
            <w:r>
              <w:rPr>
                <w:rFonts w:hint="eastAsia" w:ascii="宋体" w:hAnsi="宋体" w:cs="宋体"/>
                <w:kern w:val="0"/>
                <w:sz w:val="18"/>
                <w:szCs w:val="18"/>
                <w:lang w:val="en-US" w:eastAsia="zh-CN"/>
              </w:rPr>
              <w:t>较</w:t>
            </w:r>
            <w:r>
              <w:rPr>
                <w:rFonts w:hint="eastAsia" w:ascii="宋体" w:hAnsi="宋体" w:cs="宋体"/>
                <w:kern w:val="0"/>
                <w:sz w:val="18"/>
                <w:szCs w:val="18"/>
              </w:rPr>
              <w:t>大</w:t>
            </w:r>
            <w:r>
              <w:rPr>
                <w:rFonts w:ascii="宋体" w:hAnsi="宋体" w:cs="宋体"/>
                <w:kern w:val="0"/>
                <w:sz w:val="18"/>
                <w:szCs w:val="18"/>
              </w:rPr>
              <w:t>。目前区域暂未出台新的规划，基本维持现状，总体氛围基本不会有较大的改变</w:t>
            </w:r>
            <w:r>
              <w:rPr>
                <w:rFonts w:hint="eastAsia" w:ascii="宋体" w:hAnsi="宋体" w:cs="宋体"/>
                <w:kern w:val="0"/>
                <w:sz w:val="18"/>
                <w:szCs w:val="18"/>
              </w:rPr>
              <w:t>。</w:t>
            </w:r>
          </w:p>
        </w:tc>
      </w:tr>
    </w:tbl>
    <w:p>
      <w:pPr>
        <w:spacing w:line="560" w:lineRule="exact"/>
        <w:rPr>
          <w:sz w:val="28"/>
          <w:szCs w:val="28"/>
        </w:rPr>
      </w:pPr>
      <w:r>
        <w:rPr>
          <w:rFonts w:hint="eastAsia"/>
          <w:sz w:val="28"/>
          <w:szCs w:val="28"/>
        </w:rPr>
        <w:t xml:space="preserve">  五、价值时点</w:t>
      </w:r>
      <w:bookmarkEnd w:id="43"/>
      <w:bookmarkEnd w:id="44"/>
      <w:bookmarkEnd w:id="45"/>
    </w:p>
    <w:p>
      <w:pPr>
        <w:spacing w:line="600" w:lineRule="exact"/>
        <w:ind w:left="1" w:firstLine="594" w:firstLineChars="200"/>
        <w:textAlignment w:val="center"/>
        <w:rPr>
          <w:rFonts w:ascii="宋体" w:hAnsi="宋体" w:cs="仿宋_GB2312"/>
          <w:sz w:val="28"/>
          <w:szCs w:val="28"/>
        </w:rPr>
      </w:pPr>
      <w:r>
        <w:rPr>
          <w:rFonts w:hint="eastAsia" w:ascii="宋体" w:hAnsi="宋体" w:cs="仿宋_GB2312"/>
          <w:sz w:val="28"/>
          <w:szCs w:val="28"/>
          <w:lang w:eastAsia="zh-CN"/>
        </w:rPr>
        <w:t>2022年09月21日</w:t>
      </w:r>
      <w:r>
        <w:rPr>
          <w:rFonts w:hint="eastAsia" w:ascii="宋体" w:hAnsi="宋体" w:cs="仿宋_GB2312"/>
          <w:sz w:val="28"/>
          <w:szCs w:val="28"/>
        </w:rPr>
        <w:t>（估价师实地勘察估价对象之日）</w:t>
      </w:r>
    </w:p>
    <w:p>
      <w:pPr>
        <w:pStyle w:val="4"/>
        <w:spacing w:line="600" w:lineRule="exact"/>
        <w:ind w:left="227" w:right="227"/>
      </w:pPr>
      <w:bookmarkStart w:id="46" w:name="_Toc18236179"/>
      <w:bookmarkStart w:id="47" w:name="_Toc19110971"/>
      <w:bookmarkStart w:id="48" w:name="_Toc408"/>
      <w:bookmarkStart w:id="49" w:name="_Toc19110112"/>
      <w:bookmarkStart w:id="50" w:name="_Toc9620"/>
      <w:r>
        <w:rPr>
          <w:rFonts w:hint="eastAsia"/>
          <w:spacing w:val="9"/>
        </w:rPr>
        <w:t>六、</w:t>
      </w:r>
      <w:r>
        <w:rPr>
          <w:rFonts w:hint="eastAsia"/>
        </w:rPr>
        <w:t>价值类型</w:t>
      </w:r>
      <w:bookmarkEnd w:id="46"/>
      <w:bookmarkEnd w:id="47"/>
      <w:bookmarkEnd w:id="48"/>
      <w:bookmarkEnd w:id="49"/>
      <w:bookmarkEnd w:id="50"/>
    </w:p>
    <w:p>
      <w:pPr>
        <w:spacing w:line="560" w:lineRule="exact"/>
        <w:ind w:firstLine="426"/>
        <w:rPr>
          <w:rFonts w:ascii="宋体"/>
          <w:bCs/>
          <w:sz w:val="28"/>
        </w:rPr>
      </w:pPr>
      <w:r>
        <w:rPr>
          <w:rFonts w:hint="eastAsia" w:ascii="宋体" w:hAnsi="宋体"/>
          <w:bCs/>
          <w:sz w:val="28"/>
        </w:rPr>
        <w:t>（一）价值类型名称</w:t>
      </w:r>
    </w:p>
    <w:p>
      <w:pPr>
        <w:spacing w:line="560" w:lineRule="exact"/>
        <w:ind w:firstLine="564" w:firstLineChars="190"/>
        <w:rPr>
          <w:rFonts w:ascii="宋体"/>
          <w:bCs/>
          <w:sz w:val="28"/>
        </w:rPr>
      </w:pPr>
      <w:r>
        <w:rPr>
          <w:rFonts w:hint="eastAsia" w:ascii="宋体" w:hAnsi="宋体"/>
          <w:bCs/>
          <w:sz w:val="28"/>
        </w:rPr>
        <w:t>本次估价的价值类型为市场价值。</w:t>
      </w:r>
    </w:p>
    <w:p>
      <w:pPr>
        <w:spacing w:line="560" w:lineRule="exact"/>
        <w:ind w:firstLine="426"/>
        <w:rPr>
          <w:rFonts w:ascii="宋体" w:hAnsi="宋体"/>
          <w:bCs/>
          <w:sz w:val="28"/>
        </w:rPr>
      </w:pPr>
      <w:r>
        <w:rPr>
          <w:rFonts w:hint="eastAsia" w:ascii="宋体" w:hAnsi="宋体"/>
          <w:bCs/>
          <w:sz w:val="28"/>
        </w:rPr>
        <w:t>（二）价值定义</w:t>
      </w:r>
    </w:p>
    <w:p>
      <w:pPr>
        <w:spacing w:line="560" w:lineRule="exact"/>
        <w:ind w:right="122" w:rightChars="54" w:firstLine="567"/>
        <w:rPr>
          <w:rFonts w:ascii="宋体"/>
          <w:bCs/>
          <w:sz w:val="28"/>
        </w:rPr>
      </w:pPr>
      <w:r>
        <w:rPr>
          <w:rFonts w:hint="eastAsia" w:ascii="宋体" w:hAnsi="宋体"/>
          <w:bCs/>
          <w:sz w:val="28"/>
        </w:rPr>
        <w:t>市场价值是指估价对象经适当营销后，由熟悉情况、谨慎行事且不受强迫的交易双方，以公平交易方式在价值时点自愿进行交易的金额。</w:t>
      </w:r>
    </w:p>
    <w:p>
      <w:pPr>
        <w:spacing w:line="560" w:lineRule="exact"/>
        <w:ind w:firstLine="424" w:firstLineChars="143"/>
        <w:rPr>
          <w:rFonts w:ascii="宋体"/>
          <w:bCs/>
          <w:sz w:val="28"/>
        </w:rPr>
      </w:pPr>
      <w:r>
        <w:rPr>
          <w:rFonts w:hint="eastAsia" w:ascii="宋体" w:hAnsi="宋体"/>
          <w:bCs/>
          <w:sz w:val="28"/>
        </w:rPr>
        <w:t>（三）价值内涵</w:t>
      </w:r>
    </w:p>
    <w:p>
      <w:pPr>
        <w:spacing w:line="560" w:lineRule="exact"/>
        <w:ind w:right="122" w:rightChars="54" w:firstLine="564" w:firstLineChars="190"/>
        <w:textAlignment w:val="center"/>
        <w:rPr>
          <w:rFonts w:ascii="宋体" w:hAnsi="宋体" w:cs="仿宋_GB2312"/>
          <w:sz w:val="28"/>
        </w:rPr>
      </w:pPr>
      <w:r>
        <w:rPr>
          <w:rFonts w:hint="eastAsia" w:ascii="宋体" w:hAnsi="宋体"/>
          <w:bCs/>
          <w:sz w:val="28"/>
        </w:rPr>
        <w:t>价值内涵是估价对象在价值时点，满足本次估价假设和限制条件下包括建筑物、土地使用权及公共配套设施，不包括动产、债权债务、室内二次装修、特许经营权等其他财产或权益；付款方式是一次性付清房价款（包括首付款及按揭贷款）；房屋面积内涵是建筑面积；开发程度为现房，具备“五通一平”；币种为人民币</w:t>
      </w:r>
      <w:r>
        <w:rPr>
          <w:rFonts w:hint="eastAsia" w:ascii="宋体" w:hAnsi="宋体" w:cs="仿宋_GB2312"/>
          <w:sz w:val="28"/>
        </w:rPr>
        <w:t>。</w:t>
      </w:r>
    </w:p>
    <w:p>
      <w:pPr>
        <w:pStyle w:val="4"/>
        <w:spacing w:line="560" w:lineRule="exact"/>
        <w:ind w:left="227" w:right="227"/>
        <w:rPr>
          <w:b/>
        </w:rPr>
      </w:pPr>
      <w:bookmarkStart w:id="51" w:name="_Toc17645"/>
      <w:bookmarkStart w:id="52" w:name="_Toc18236180"/>
      <w:bookmarkStart w:id="53" w:name="_Toc19110113"/>
      <w:bookmarkStart w:id="54" w:name="_Toc29736"/>
      <w:bookmarkStart w:id="55" w:name="_Toc19110972"/>
      <w:r>
        <w:rPr>
          <w:rFonts w:hint="eastAsia"/>
        </w:rPr>
        <w:t>七、估价原则</w:t>
      </w:r>
      <w:bookmarkEnd w:id="51"/>
      <w:bookmarkEnd w:id="52"/>
      <w:bookmarkEnd w:id="53"/>
      <w:bookmarkEnd w:id="54"/>
      <w:bookmarkEnd w:id="55"/>
    </w:p>
    <w:p>
      <w:pPr>
        <w:spacing w:line="560" w:lineRule="exact"/>
        <w:ind w:right="-18" w:rightChars="-8" w:firstLine="564" w:firstLineChars="190"/>
        <w:rPr>
          <w:rFonts w:ascii="宋体" w:hAnsi="宋体" w:cs="仿宋_GB2312"/>
          <w:sz w:val="28"/>
        </w:rPr>
      </w:pPr>
      <w:r>
        <w:rPr>
          <w:rFonts w:hint="eastAsia" w:ascii="宋体" w:hAnsi="宋体" w:cs="仿宋_GB2312"/>
          <w:sz w:val="28"/>
        </w:rPr>
        <w:t>本次评估除应遵循市场价值评估的原则，即应遵循独立、客观、公正原则；合法原则；价值时点原则；替代原则；最高最佳利用原则。</w:t>
      </w:r>
    </w:p>
    <w:p>
      <w:pPr>
        <w:spacing w:line="560" w:lineRule="exact"/>
        <w:ind w:right="263" w:rightChars="116" w:firstLine="564" w:firstLineChars="190"/>
        <w:rPr>
          <w:rFonts w:ascii="宋体" w:hAnsi="宋体" w:cs="仿宋_GB2312"/>
          <w:sz w:val="28"/>
        </w:rPr>
      </w:pPr>
      <w:r>
        <w:rPr>
          <w:rFonts w:hint="eastAsia" w:ascii="宋体" w:hAnsi="宋体" w:cs="仿宋_GB2312"/>
          <w:sz w:val="28"/>
        </w:rPr>
        <w:t>遵循不同估价原则的评估价值，应符合下列规定：</w:t>
      </w:r>
    </w:p>
    <w:p>
      <w:pPr>
        <w:spacing w:line="560" w:lineRule="exact"/>
        <w:ind w:right="-18" w:rightChars="-8" w:firstLine="564" w:firstLineChars="190"/>
        <w:rPr>
          <w:rFonts w:ascii="宋体" w:hAnsi="宋体" w:cs="仿宋_GB2312"/>
          <w:sz w:val="28"/>
        </w:rPr>
      </w:pPr>
      <w:r>
        <w:rPr>
          <w:rFonts w:hint="eastAsia" w:ascii="宋体" w:hAnsi="宋体" w:cs="仿宋_GB2312"/>
          <w:sz w:val="28"/>
        </w:rPr>
        <w:t>（一）遵循独立、客观、公正原则，评估价值应为对各方估价利害关系人均是公平合理的价值或价格。</w:t>
      </w:r>
    </w:p>
    <w:p>
      <w:pPr>
        <w:spacing w:line="560" w:lineRule="exact"/>
        <w:ind w:right="-18" w:rightChars="-8" w:firstLine="564" w:firstLineChars="190"/>
        <w:rPr>
          <w:rFonts w:ascii="宋体" w:hAnsi="宋体" w:cs="仿宋_GB2312"/>
          <w:sz w:val="28"/>
        </w:rPr>
      </w:pPr>
      <w:r>
        <w:rPr>
          <w:rFonts w:hint="eastAsia" w:ascii="宋体" w:hAnsi="宋体" w:cs="仿宋_GB2312"/>
          <w:sz w:val="28"/>
        </w:rPr>
        <w:t>（二）遵循合法原则，评估价值应为在依法判定的估价对象状况下的价值或价格。</w:t>
      </w:r>
    </w:p>
    <w:p>
      <w:pPr>
        <w:spacing w:line="560" w:lineRule="exact"/>
        <w:ind w:right="-18" w:rightChars="-8" w:firstLine="564" w:firstLineChars="190"/>
        <w:rPr>
          <w:rFonts w:ascii="宋体" w:hAnsi="宋体" w:cs="仿宋_GB2312"/>
          <w:sz w:val="28"/>
        </w:rPr>
      </w:pPr>
      <w:r>
        <w:rPr>
          <w:rFonts w:hint="eastAsia" w:ascii="宋体" w:hAnsi="宋体" w:cs="仿宋_GB2312"/>
          <w:sz w:val="28"/>
        </w:rPr>
        <w:t>（三）遵循价值时点原则，评估价值应为在根据估价目的确定的某一特定时间的价值或价格。</w:t>
      </w:r>
    </w:p>
    <w:p>
      <w:pPr>
        <w:spacing w:line="560" w:lineRule="exact"/>
        <w:ind w:firstLine="564" w:firstLineChars="190"/>
        <w:rPr>
          <w:rFonts w:ascii="宋体" w:hAnsi="宋体" w:cs="仿宋_GB2312"/>
          <w:sz w:val="28"/>
        </w:rPr>
      </w:pPr>
      <w:r>
        <w:rPr>
          <w:rFonts w:hint="eastAsia" w:ascii="宋体" w:hAnsi="宋体" w:cs="仿宋_GB2312"/>
          <w:sz w:val="28"/>
        </w:rPr>
        <w:t>（四）遵循替代原则，评估价值与估价对象的类似房地产在同等条件下的价值或价格偏差应在合理范围内。</w:t>
      </w:r>
    </w:p>
    <w:p>
      <w:pPr>
        <w:spacing w:line="560" w:lineRule="exact"/>
        <w:ind w:left="1" w:firstLine="594" w:firstLineChars="200"/>
        <w:textAlignment w:val="center"/>
        <w:rPr>
          <w:rFonts w:ascii="宋体" w:hAnsi="宋体" w:cs="仿宋_GB2312"/>
          <w:sz w:val="28"/>
        </w:rPr>
      </w:pPr>
      <w:r>
        <w:rPr>
          <w:rFonts w:hint="eastAsia" w:ascii="宋体" w:hAnsi="宋体" w:cs="仿宋_GB2312"/>
          <w:sz w:val="28"/>
        </w:rPr>
        <w:t>（五）遵循最高最佳利用原则，评估价值应为在估价对象最高最佳利用状况下的价值或价格。</w:t>
      </w:r>
    </w:p>
    <w:p>
      <w:pPr>
        <w:pStyle w:val="4"/>
        <w:spacing w:line="560" w:lineRule="exact"/>
        <w:ind w:left="227" w:right="227"/>
      </w:pPr>
      <w:bookmarkStart w:id="56" w:name="_Toc23571"/>
      <w:bookmarkStart w:id="57" w:name="_Toc19110973"/>
      <w:bookmarkStart w:id="58" w:name="_Toc12014"/>
      <w:bookmarkStart w:id="59" w:name="_Toc19110114"/>
      <w:bookmarkStart w:id="60" w:name="_Toc18236181"/>
      <w:r>
        <w:rPr>
          <w:rFonts w:hint="eastAsia"/>
        </w:rPr>
        <w:t>八、估价依据</w:t>
      </w:r>
      <w:bookmarkEnd w:id="56"/>
      <w:bookmarkEnd w:id="57"/>
      <w:bookmarkEnd w:id="58"/>
      <w:bookmarkEnd w:id="59"/>
      <w:bookmarkEnd w:id="60"/>
    </w:p>
    <w:p>
      <w:pPr>
        <w:spacing w:line="560" w:lineRule="exact"/>
        <w:ind w:left="1" w:firstLine="566"/>
        <w:textAlignment w:val="center"/>
        <w:rPr>
          <w:rFonts w:ascii="宋体" w:hAnsi="宋体" w:cs="仿宋_GB2312"/>
          <w:sz w:val="28"/>
        </w:rPr>
      </w:pPr>
      <w:r>
        <w:rPr>
          <w:rFonts w:hint="eastAsia" w:ascii="宋体" w:hAnsi="宋体" w:cs="仿宋_GB2312"/>
          <w:sz w:val="28"/>
        </w:rPr>
        <w:t>(一)有关法律、法规及文件依据</w:t>
      </w:r>
    </w:p>
    <w:p>
      <w:pPr>
        <w:spacing w:line="600" w:lineRule="exact"/>
        <w:ind w:firstLine="564" w:firstLineChars="190"/>
        <w:rPr>
          <w:rFonts w:ascii="宋体"/>
          <w:bCs/>
          <w:sz w:val="28"/>
        </w:rPr>
      </w:pPr>
      <w:r>
        <w:rPr>
          <w:rFonts w:ascii="宋体" w:hAnsi="宋体"/>
          <w:sz w:val="28"/>
        </w:rPr>
        <w:t>1</w:t>
      </w:r>
      <w:r>
        <w:rPr>
          <w:rFonts w:hint="eastAsia" w:ascii="宋体" w:hAnsi="宋体"/>
          <w:sz w:val="28"/>
        </w:rPr>
        <w:t>.</w:t>
      </w:r>
      <w:r>
        <w:rPr>
          <w:rFonts w:hint="eastAsia" w:ascii="宋体" w:hAnsi="宋体"/>
          <w:bCs/>
          <w:sz w:val="28"/>
        </w:rPr>
        <w:t>《中华人民共和国民法典》（</w:t>
      </w:r>
      <w:r>
        <w:rPr>
          <w:rFonts w:ascii="宋体" w:hAnsi="宋体"/>
          <w:sz w:val="28"/>
        </w:rPr>
        <w:t>2</w:t>
      </w:r>
      <w:r>
        <w:rPr>
          <w:rFonts w:hint="eastAsia" w:ascii="宋体" w:hAnsi="宋体"/>
          <w:sz w:val="28"/>
        </w:rPr>
        <w:t>021年1月1日起施行</w:t>
      </w:r>
      <w:r>
        <w:rPr>
          <w:rFonts w:hint="eastAsia" w:ascii="宋体" w:hAnsi="宋体"/>
          <w:bCs/>
          <w:sz w:val="28"/>
        </w:rPr>
        <w:t>）；</w:t>
      </w:r>
    </w:p>
    <w:p>
      <w:pPr>
        <w:spacing w:line="600" w:lineRule="exact"/>
        <w:ind w:firstLine="564" w:firstLineChars="190"/>
        <w:rPr>
          <w:rFonts w:ascii="宋体"/>
          <w:bCs/>
          <w:sz w:val="28"/>
        </w:rPr>
      </w:pPr>
      <w:r>
        <w:rPr>
          <w:rFonts w:hint="eastAsia" w:ascii="宋体" w:hAnsi="宋体"/>
          <w:bCs/>
          <w:sz w:val="28"/>
        </w:rPr>
        <w:t>2. 《中华人民共和国城市房地产管理法》（2020年1月1日起施行）</w:t>
      </w:r>
      <w:r>
        <w:rPr>
          <w:rFonts w:hint="eastAsia" w:ascii="宋体" w:hAnsi="宋体"/>
          <w:sz w:val="28"/>
        </w:rPr>
        <w:t>；</w:t>
      </w:r>
    </w:p>
    <w:p>
      <w:pPr>
        <w:spacing w:line="600" w:lineRule="exact"/>
        <w:ind w:firstLine="564" w:firstLineChars="190"/>
        <w:rPr>
          <w:rFonts w:ascii="宋体"/>
          <w:bCs/>
          <w:sz w:val="28"/>
        </w:rPr>
      </w:pPr>
      <w:r>
        <w:rPr>
          <w:rFonts w:hint="eastAsia" w:ascii="宋体" w:hAnsi="宋体"/>
          <w:bCs/>
          <w:sz w:val="28"/>
        </w:rPr>
        <w:t>3.</w:t>
      </w:r>
      <w:r>
        <w:rPr>
          <w:rFonts w:hint="eastAsia" w:ascii="宋体" w:hAnsi="宋体"/>
          <w:sz w:val="28"/>
        </w:rPr>
        <w:t>《中华人民共和国土地管理法》（2020年1月1日起施行）；</w:t>
      </w:r>
    </w:p>
    <w:p>
      <w:pPr>
        <w:spacing w:line="600" w:lineRule="exact"/>
        <w:ind w:firstLine="564" w:firstLineChars="190"/>
        <w:rPr>
          <w:rFonts w:ascii="宋体" w:hAnsi="宋体"/>
          <w:bCs/>
          <w:sz w:val="28"/>
        </w:rPr>
      </w:pPr>
      <w:r>
        <w:rPr>
          <w:rFonts w:hint="eastAsia" w:ascii="宋体" w:hAnsi="宋体"/>
          <w:bCs/>
          <w:sz w:val="28"/>
        </w:rPr>
        <w:t>4.《中华人民共和国资产评估法》（</w:t>
      </w:r>
      <w:r>
        <w:rPr>
          <w:rFonts w:ascii="宋体" w:hAnsi="宋体"/>
          <w:sz w:val="28"/>
        </w:rPr>
        <w:t>2016</w:t>
      </w:r>
      <w:r>
        <w:rPr>
          <w:rFonts w:hint="eastAsia" w:ascii="宋体" w:hAnsi="宋体"/>
          <w:sz w:val="28"/>
        </w:rPr>
        <w:t>年</w:t>
      </w:r>
      <w:r>
        <w:rPr>
          <w:rFonts w:ascii="宋体" w:hAnsi="宋体"/>
          <w:sz w:val="28"/>
        </w:rPr>
        <w:t>12</w:t>
      </w:r>
      <w:r>
        <w:rPr>
          <w:rFonts w:hint="eastAsia" w:ascii="宋体" w:hAnsi="宋体"/>
          <w:sz w:val="28"/>
        </w:rPr>
        <w:t>月</w:t>
      </w:r>
      <w:r>
        <w:rPr>
          <w:rFonts w:ascii="宋体" w:hAnsi="宋体"/>
          <w:sz w:val="28"/>
        </w:rPr>
        <w:t>01</w:t>
      </w:r>
      <w:r>
        <w:rPr>
          <w:rFonts w:hint="eastAsia" w:ascii="宋体" w:hAnsi="宋体"/>
          <w:sz w:val="28"/>
        </w:rPr>
        <w:t>日实施</w:t>
      </w:r>
      <w:r>
        <w:rPr>
          <w:rFonts w:hint="eastAsia" w:ascii="宋体" w:hAnsi="宋体"/>
          <w:bCs/>
          <w:sz w:val="28"/>
        </w:rPr>
        <w:t>）；</w:t>
      </w:r>
    </w:p>
    <w:p>
      <w:pPr>
        <w:spacing w:line="600" w:lineRule="exact"/>
        <w:ind w:firstLine="564" w:firstLineChars="190"/>
        <w:rPr>
          <w:rFonts w:ascii="宋体" w:hAnsi="宋体"/>
          <w:bCs/>
          <w:sz w:val="28"/>
        </w:rPr>
      </w:pPr>
      <w:r>
        <w:rPr>
          <w:rFonts w:hint="eastAsia" w:ascii="宋体" w:hAnsi="宋体"/>
          <w:bCs/>
          <w:sz w:val="28"/>
        </w:rPr>
        <w:t>5. 《最高人民法院对外委托鉴定、评估、拍卖等工作管理规定》（2007年8月23日，法办发</w:t>
      </w:r>
      <w:r>
        <w:rPr>
          <w:rFonts w:ascii="宋体" w:hAnsi="宋体"/>
          <w:bCs/>
          <w:sz w:val="28"/>
        </w:rPr>
        <w:t>[2007]5</w:t>
      </w:r>
      <w:r>
        <w:rPr>
          <w:rFonts w:hint="eastAsia" w:ascii="宋体" w:hAnsi="宋体"/>
          <w:bCs/>
          <w:sz w:val="28"/>
        </w:rPr>
        <w:t>号）；</w:t>
      </w:r>
    </w:p>
    <w:p>
      <w:pPr>
        <w:spacing w:line="600" w:lineRule="exact"/>
        <w:ind w:firstLine="564" w:firstLineChars="190"/>
        <w:rPr>
          <w:rFonts w:ascii="宋体" w:hAnsi="宋体"/>
          <w:bCs/>
          <w:sz w:val="28"/>
        </w:rPr>
      </w:pPr>
      <w:r>
        <w:rPr>
          <w:rFonts w:hint="eastAsia" w:ascii="宋体" w:hAnsi="宋体"/>
          <w:bCs/>
          <w:sz w:val="28"/>
        </w:rPr>
        <w:t>6.《最高人民法院关于人民法院民事执行中查封、扣押、冻结财产的规定》（2020修正）；</w:t>
      </w:r>
    </w:p>
    <w:p>
      <w:pPr>
        <w:spacing w:line="600" w:lineRule="exact"/>
        <w:ind w:firstLine="564" w:firstLineChars="190"/>
        <w:rPr>
          <w:rFonts w:ascii="宋体" w:hAnsi="宋体"/>
          <w:bCs/>
          <w:sz w:val="28"/>
        </w:rPr>
      </w:pPr>
      <w:r>
        <w:rPr>
          <w:rFonts w:hint="eastAsia" w:ascii="宋体" w:hAnsi="宋体"/>
          <w:bCs/>
          <w:sz w:val="28"/>
        </w:rPr>
        <w:t>7.《最高人民法院关于人民法院民事执行中拍卖、变卖财产的规定》（2020修正）；</w:t>
      </w:r>
    </w:p>
    <w:p>
      <w:pPr>
        <w:spacing w:line="600" w:lineRule="exact"/>
        <w:ind w:firstLine="564" w:firstLineChars="190"/>
        <w:rPr>
          <w:rFonts w:ascii="宋体" w:hAnsi="宋体"/>
          <w:bCs/>
          <w:sz w:val="28"/>
        </w:rPr>
      </w:pPr>
      <w:r>
        <w:rPr>
          <w:rFonts w:hint="eastAsia" w:ascii="宋体" w:hAnsi="宋体"/>
          <w:bCs/>
          <w:sz w:val="28"/>
        </w:rPr>
        <w:t>8.《</w:t>
      </w:r>
      <w:r>
        <w:rPr>
          <w:rFonts w:hint="eastAsia" w:ascii="宋体" w:hAnsi="宋体"/>
          <w:sz w:val="28"/>
        </w:rPr>
        <w:t>最高人民法院关于人民法院委托评估、拍卖和变卖工作的若干规定</w:t>
      </w:r>
      <w:r>
        <w:rPr>
          <w:rFonts w:hint="eastAsia" w:ascii="宋体" w:hAnsi="宋体"/>
          <w:bCs/>
          <w:sz w:val="28"/>
        </w:rPr>
        <w:t>》（2009年8月24日，法释</w:t>
      </w:r>
      <w:r>
        <w:rPr>
          <w:rFonts w:ascii="宋体" w:hAnsi="宋体"/>
          <w:bCs/>
          <w:sz w:val="28"/>
        </w:rPr>
        <w:t>[20</w:t>
      </w:r>
      <w:r>
        <w:rPr>
          <w:rFonts w:hint="eastAsia" w:ascii="宋体" w:hAnsi="宋体"/>
          <w:bCs/>
          <w:sz w:val="28"/>
        </w:rPr>
        <w:t>09</w:t>
      </w:r>
      <w:r>
        <w:rPr>
          <w:rFonts w:ascii="宋体" w:hAnsi="宋体"/>
          <w:bCs/>
          <w:sz w:val="28"/>
        </w:rPr>
        <w:t>]</w:t>
      </w:r>
      <w:r>
        <w:rPr>
          <w:rFonts w:hint="eastAsia" w:ascii="宋体" w:hAnsi="宋体"/>
          <w:bCs/>
          <w:sz w:val="28"/>
        </w:rPr>
        <w:t>16号）；</w:t>
      </w:r>
    </w:p>
    <w:p>
      <w:pPr>
        <w:spacing w:line="600" w:lineRule="exact"/>
        <w:ind w:firstLine="564" w:firstLineChars="190"/>
        <w:rPr>
          <w:rFonts w:ascii="宋体" w:hAnsi="宋体"/>
          <w:bCs/>
          <w:sz w:val="28"/>
        </w:rPr>
      </w:pPr>
      <w:r>
        <w:rPr>
          <w:rFonts w:hint="eastAsia" w:ascii="宋体" w:hAnsi="宋体"/>
          <w:bCs/>
          <w:sz w:val="28"/>
        </w:rPr>
        <w:t>9.《</w:t>
      </w:r>
      <w:r>
        <w:rPr>
          <w:rFonts w:hint="eastAsia" w:ascii="宋体" w:hAnsi="宋体"/>
          <w:sz w:val="28"/>
        </w:rPr>
        <w:t>最高人民法院关于人民法院网络司法拍卖若干问题的规定</w:t>
      </w:r>
      <w:r>
        <w:rPr>
          <w:rFonts w:hint="eastAsia" w:ascii="宋体" w:hAnsi="宋体"/>
          <w:bCs/>
          <w:sz w:val="28"/>
        </w:rPr>
        <w:t>》（2017年1月1日起施行，法释</w:t>
      </w:r>
      <w:r>
        <w:rPr>
          <w:rFonts w:ascii="宋体" w:hAnsi="宋体"/>
          <w:bCs/>
          <w:sz w:val="28"/>
        </w:rPr>
        <w:t>[20</w:t>
      </w:r>
      <w:r>
        <w:rPr>
          <w:rFonts w:hint="eastAsia" w:ascii="宋体" w:hAnsi="宋体"/>
          <w:bCs/>
          <w:sz w:val="28"/>
        </w:rPr>
        <w:t>16</w:t>
      </w:r>
      <w:r>
        <w:rPr>
          <w:rFonts w:ascii="宋体" w:hAnsi="宋体"/>
          <w:bCs/>
          <w:sz w:val="28"/>
        </w:rPr>
        <w:t>]</w:t>
      </w:r>
      <w:r>
        <w:rPr>
          <w:rFonts w:hint="eastAsia" w:ascii="宋体" w:hAnsi="宋体"/>
          <w:bCs/>
          <w:sz w:val="28"/>
        </w:rPr>
        <w:t>18号）；</w:t>
      </w:r>
    </w:p>
    <w:p>
      <w:pPr>
        <w:spacing w:line="560" w:lineRule="exact"/>
        <w:ind w:left="1" w:firstLine="424" w:firstLineChars="143"/>
        <w:textAlignment w:val="center"/>
        <w:rPr>
          <w:rFonts w:ascii="宋体" w:hAnsi="宋体" w:cs="仿宋_GB2312"/>
          <w:sz w:val="28"/>
        </w:rPr>
      </w:pPr>
      <w:r>
        <w:rPr>
          <w:rFonts w:hint="eastAsia" w:ascii="宋体" w:hAnsi="宋体"/>
          <w:bCs/>
          <w:sz w:val="28"/>
        </w:rPr>
        <w:t xml:space="preserve"> 10.《</w:t>
      </w:r>
      <w:r>
        <w:rPr>
          <w:rFonts w:hint="eastAsia" w:ascii="宋体" w:hAnsi="宋体"/>
          <w:sz w:val="28"/>
        </w:rPr>
        <w:t>最高人民法院关于人民法院确定财产处置参考价若干问题的规定</w:t>
      </w:r>
      <w:r>
        <w:rPr>
          <w:rFonts w:hint="eastAsia" w:ascii="宋体" w:hAnsi="宋体"/>
          <w:bCs/>
          <w:sz w:val="28"/>
        </w:rPr>
        <w:t>》（2018年9月1日起施行，法释</w:t>
      </w:r>
      <w:r>
        <w:rPr>
          <w:rFonts w:ascii="宋体" w:hAnsi="宋体"/>
          <w:bCs/>
          <w:sz w:val="28"/>
        </w:rPr>
        <w:t>[20</w:t>
      </w:r>
      <w:r>
        <w:rPr>
          <w:rFonts w:hint="eastAsia" w:ascii="宋体" w:hAnsi="宋体"/>
          <w:bCs/>
          <w:sz w:val="28"/>
        </w:rPr>
        <w:t>18</w:t>
      </w:r>
      <w:r>
        <w:rPr>
          <w:rFonts w:ascii="宋体" w:hAnsi="宋体"/>
          <w:bCs/>
          <w:sz w:val="28"/>
        </w:rPr>
        <w:t>]</w:t>
      </w:r>
      <w:r>
        <w:rPr>
          <w:rFonts w:hint="eastAsia" w:ascii="宋体" w:hAnsi="宋体"/>
          <w:bCs/>
          <w:sz w:val="28"/>
        </w:rPr>
        <w:t>15号）</w:t>
      </w:r>
      <w:r>
        <w:rPr>
          <w:rFonts w:hint="eastAsia" w:ascii="宋体" w:hAnsi="宋体" w:cs="仿宋_GB2312"/>
          <w:sz w:val="28"/>
        </w:rPr>
        <w:t>。</w:t>
      </w:r>
    </w:p>
    <w:p>
      <w:pPr>
        <w:spacing w:line="560" w:lineRule="exact"/>
        <w:ind w:left="1" w:firstLine="424" w:firstLineChars="143"/>
        <w:textAlignment w:val="center"/>
        <w:rPr>
          <w:rFonts w:ascii="宋体" w:hAnsi="宋体" w:cs="仿宋_GB2312"/>
          <w:sz w:val="28"/>
        </w:rPr>
      </w:pPr>
      <w:r>
        <w:rPr>
          <w:rFonts w:hint="eastAsia" w:ascii="宋体" w:hAnsi="宋体" w:cs="仿宋_GB2312"/>
          <w:sz w:val="28"/>
        </w:rPr>
        <w:t xml:space="preserve"> (二)估价标准依据</w:t>
      </w:r>
    </w:p>
    <w:p>
      <w:pPr>
        <w:spacing w:line="560" w:lineRule="exact"/>
        <w:ind w:firstLine="564" w:firstLineChars="190"/>
        <w:rPr>
          <w:rFonts w:ascii="宋体"/>
          <w:sz w:val="28"/>
          <w:szCs w:val="28"/>
        </w:rPr>
      </w:pPr>
      <w:r>
        <w:rPr>
          <w:rFonts w:ascii="宋体" w:hAnsi="宋体"/>
          <w:bCs/>
          <w:sz w:val="28"/>
        </w:rPr>
        <w:t>1</w:t>
      </w:r>
      <w:r>
        <w:rPr>
          <w:rFonts w:hint="eastAsia" w:ascii="宋体" w:hAnsi="宋体"/>
          <w:bCs/>
          <w:sz w:val="28"/>
        </w:rPr>
        <w:t>. 中华人民共和国国家标准《房地产估价规范》（</w:t>
      </w:r>
      <w:r>
        <w:rPr>
          <w:rFonts w:ascii="宋体" w:hAnsi="宋体"/>
          <w:bCs/>
          <w:sz w:val="28"/>
        </w:rPr>
        <w:t>GB/T50291-2015</w:t>
      </w:r>
      <w:r>
        <w:rPr>
          <w:rFonts w:hint="eastAsia" w:ascii="宋体" w:hAnsi="宋体"/>
          <w:bCs/>
          <w:sz w:val="28"/>
        </w:rPr>
        <w:t>）；</w:t>
      </w:r>
    </w:p>
    <w:p>
      <w:pPr>
        <w:spacing w:line="560" w:lineRule="exact"/>
        <w:ind w:firstLine="564" w:firstLineChars="190"/>
        <w:rPr>
          <w:rFonts w:ascii="宋体" w:hAnsi="宋体"/>
          <w:sz w:val="28"/>
        </w:rPr>
      </w:pPr>
      <w:r>
        <w:rPr>
          <w:rFonts w:ascii="宋体" w:hAnsi="宋体"/>
          <w:sz w:val="28"/>
          <w:szCs w:val="28"/>
        </w:rPr>
        <w:t>2</w:t>
      </w:r>
      <w:r>
        <w:rPr>
          <w:rFonts w:hint="eastAsia" w:ascii="宋体" w:hAnsi="宋体"/>
          <w:sz w:val="28"/>
          <w:szCs w:val="28"/>
        </w:rPr>
        <w:t xml:space="preserve">. </w:t>
      </w:r>
      <w:r>
        <w:rPr>
          <w:rFonts w:hint="eastAsia" w:ascii="宋体" w:hAnsi="宋体"/>
          <w:sz w:val="28"/>
        </w:rPr>
        <w:t>中华人民共和国国家标准《房地产估价基本术语标准》（</w:t>
      </w:r>
      <w:r>
        <w:rPr>
          <w:rFonts w:ascii="宋体" w:hAnsi="宋体"/>
          <w:sz w:val="28"/>
        </w:rPr>
        <w:t>GB/T50899-2013</w:t>
      </w:r>
      <w:r>
        <w:rPr>
          <w:rFonts w:hint="eastAsia" w:ascii="宋体" w:hAnsi="宋体"/>
          <w:sz w:val="28"/>
        </w:rPr>
        <w:t>）；</w:t>
      </w:r>
    </w:p>
    <w:p>
      <w:pPr>
        <w:spacing w:line="560" w:lineRule="exact"/>
        <w:ind w:left="1" w:firstLine="564" w:firstLineChars="190"/>
        <w:textAlignment w:val="center"/>
        <w:rPr>
          <w:rFonts w:ascii="宋体" w:hAnsi="宋体" w:cs="仿宋_GB2312"/>
          <w:sz w:val="28"/>
        </w:rPr>
      </w:pPr>
      <w:r>
        <w:rPr>
          <w:rFonts w:hint="eastAsia" w:ascii="宋体" w:hAnsi="宋体"/>
          <w:sz w:val="28"/>
        </w:rPr>
        <w:t>3.《人民法院委托评估工作规范》。</w:t>
      </w:r>
    </w:p>
    <w:p>
      <w:pPr>
        <w:spacing w:line="560" w:lineRule="exact"/>
        <w:ind w:left="1" w:firstLine="424" w:firstLineChars="143"/>
        <w:textAlignment w:val="center"/>
        <w:rPr>
          <w:rFonts w:ascii="宋体" w:hAnsi="宋体" w:cs="仿宋_GB2312"/>
          <w:sz w:val="28"/>
        </w:rPr>
      </w:pPr>
      <w:r>
        <w:rPr>
          <w:rFonts w:hint="eastAsia" w:ascii="宋体" w:hAnsi="宋体" w:cs="仿宋_GB2312"/>
          <w:sz w:val="28"/>
        </w:rPr>
        <w:t xml:space="preserve"> (三)估价委托人提供的资料依据</w:t>
      </w:r>
    </w:p>
    <w:p>
      <w:pPr>
        <w:spacing w:line="560" w:lineRule="exact"/>
        <w:ind w:left="1" w:firstLine="594" w:firstLineChars="200"/>
        <w:textAlignment w:val="center"/>
        <w:rPr>
          <w:rFonts w:cs="仿宋_GB2312"/>
          <w:b/>
          <w:bCs/>
          <w:sz w:val="28"/>
        </w:rPr>
      </w:pPr>
      <w:r>
        <w:rPr>
          <w:rFonts w:hint="eastAsia" w:ascii="宋体" w:hAnsi="宋体" w:cs="仿宋_GB2312"/>
          <w:sz w:val="28"/>
        </w:rPr>
        <w:t xml:space="preserve">1. </w:t>
      </w:r>
      <w:r>
        <w:rPr>
          <w:rFonts w:hint="eastAsia" w:ascii="宋体" w:hAnsi="宋体"/>
          <w:sz w:val="28"/>
        </w:rPr>
        <w:t>估价委托书；</w:t>
      </w:r>
    </w:p>
    <w:p>
      <w:pPr>
        <w:spacing w:line="560" w:lineRule="exact"/>
        <w:ind w:left="1" w:firstLine="594" w:firstLineChars="200"/>
        <w:textAlignment w:val="center"/>
        <w:rPr>
          <w:rFonts w:ascii="宋体" w:hAnsi="宋体" w:cs="仿宋_GB2312"/>
          <w:sz w:val="28"/>
        </w:rPr>
      </w:pPr>
      <w:r>
        <w:rPr>
          <w:rFonts w:hint="eastAsia" w:ascii="宋体" w:hAnsi="宋体" w:cs="仿宋_GB2312"/>
          <w:sz w:val="28"/>
        </w:rPr>
        <w:t xml:space="preserve">2. </w:t>
      </w:r>
      <w:r>
        <w:rPr>
          <w:rFonts w:hint="eastAsia" w:ascii="宋体" w:hAnsi="宋体"/>
          <w:bCs/>
          <w:sz w:val="28"/>
        </w:rPr>
        <w:t>估价委托人提供的房地产权属证明复印件等相关法律凭证</w:t>
      </w:r>
      <w:r>
        <w:rPr>
          <w:rFonts w:hint="eastAsia" w:ascii="宋体" w:hAnsi="宋体" w:cs="仿宋_GB2312"/>
          <w:sz w:val="28"/>
        </w:rPr>
        <w:t>。</w:t>
      </w:r>
    </w:p>
    <w:p>
      <w:pPr>
        <w:spacing w:line="560" w:lineRule="exact"/>
        <w:ind w:left="1" w:firstLine="594" w:firstLineChars="200"/>
        <w:textAlignment w:val="center"/>
        <w:rPr>
          <w:rFonts w:cs="仿宋_GB2312"/>
          <w:b/>
          <w:bCs/>
          <w:sz w:val="28"/>
        </w:rPr>
      </w:pPr>
      <w:r>
        <w:rPr>
          <w:rFonts w:hint="eastAsia" w:ascii="宋体" w:hAnsi="宋体" w:cs="仿宋_GB2312"/>
          <w:sz w:val="28"/>
        </w:rPr>
        <w:t xml:space="preserve">3. </w:t>
      </w:r>
      <w:r>
        <w:rPr>
          <w:rFonts w:hint="eastAsia" w:ascii="宋体" w:hAnsi="宋体"/>
          <w:sz w:val="28"/>
        </w:rPr>
        <w:t>房屋产权信息情况表；</w:t>
      </w:r>
    </w:p>
    <w:p>
      <w:pPr>
        <w:spacing w:line="560" w:lineRule="exact"/>
        <w:ind w:left="1" w:firstLine="594" w:firstLineChars="200"/>
        <w:textAlignment w:val="center"/>
        <w:rPr>
          <w:rFonts w:ascii="宋体" w:hAnsi="宋体"/>
          <w:sz w:val="28"/>
        </w:rPr>
      </w:pPr>
      <w:r>
        <w:rPr>
          <w:rFonts w:hint="eastAsia" w:ascii="宋体" w:hAnsi="宋体" w:cs="仿宋_GB2312"/>
          <w:sz w:val="28"/>
        </w:rPr>
        <w:t>4. 估价人员现场</w:t>
      </w:r>
      <w:r>
        <w:rPr>
          <w:rFonts w:hint="eastAsia" w:ascii="宋体" w:hAnsi="宋体"/>
          <w:sz w:val="28"/>
        </w:rPr>
        <w:t>踏勘表及本公司掌握的市场相关资料。</w:t>
      </w:r>
    </w:p>
    <w:p>
      <w:pPr>
        <w:spacing w:line="560" w:lineRule="exact"/>
        <w:ind w:left="1" w:firstLine="564" w:firstLineChars="190"/>
        <w:textAlignment w:val="center"/>
        <w:rPr>
          <w:rFonts w:ascii="宋体" w:hAnsi="宋体" w:cs="仿宋_GB2312"/>
          <w:sz w:val="28"/>
        </w:rPr>
      </w:pPr>
      <w:r>
        <w:rPr>
          <w:rFonts w:hint="eastAsia" w:ascii="宋体" w:hAnsi="宋体" w:cs="仿宋_GB2312"/>
          <w:sz w:val="28"/>
        </w:rPr>
        <w:t>(四)</w:t>
      </w:r>
      <w:r>
        <w:rPr>
          <w:rFonts w:hint="eastAsia" w:ascii="宋体" w:hAnsi="宋体"/>
          <w:bCs/>
          <w:sz w:val="28"/>
        </w:rPr>
        <w:t xml:space="preserve"> 估价机构及注册房地产估价师搜集的资料依据</w:t>
      </w:r>
    </w:p>
    <w:p>
      <w:pPr>
        <w:spacing w:line="560" w:lineRule="exact"/>
        <w:ind w:left="1" w:firstLine="594" w:firstLineChars="200"/>
        <w:textAlignment w:val="center"/>
        <w:rPr>
          <w:rFonts w:cs="仿宋_GB2312"/>
          <w:b/>
          <w:bCs/>
          <w:sz w:val="28"/>
        </w:rPr>
      </w:pPr>
      <w:r>
        <w:rPr>
          <w:rFonts w:hint="eastAsia" w:ascii="宋体" w:hAnsi="宋体" w:cs="仿宋_GB2312"/>
          <w:sz w:val="28"/>
        </w:rPr>
        <w:t xml:space="preserve">1. </w:t>
      </w:r>
      <w:r>
        <w:rPr>
          <w:rFonts w:hint="eastAsia" w:ascii="宋体" w:hAnsi="宋体"/>
          <w:bCs/>
          <w:sz w:val="28"/>
        </w:rPr>
        <w:t>估价对象影像图片资料</w:t>
      </w:r>
      <w:r>
        <w:rPr>
          <w:rFonts w:hint="eastAsia" w:ascii="宋体" w:hAnsi="宋体"/>
          <w:sz w:val="28"/>
        </w:rPr>
        <w:t>；</w:t>
      </w:r>
    </w:p>
    <w:p>
      <w:pPr>
        <w:spacing w:line="560" w:lineRule="exact"/>
        <w:ind w:left="1" w:firstLine="594" w:firstLineChars="200"/>
        <w:textAlignment w:val="center"/>
        <w:rPr>
          <w:rFonts w:ascii="宋体" w:hAnsi="宋体" w:cs="仿宋_GB2312"/>
          <w:sz w:val="28"/>
        </w:rPr>
      </w:pPr>
      <w:r>
        <w:rPr>
          <w:rFonts w:hint="eastAsia" w:ascii="宋体" w:hAnsi="宋体" w:cs="仿宋_GB2312"/>
          <w:sz w:val="28"/>
        </w:rPr>
        <w:t xml:space="preserve">2. </w:t>
      </w:r>
      <w:r>
        <w:rPr>
          <w:rFonts w:hint="eastAsia" w:ascii="宋体" w:hAnsi="宋体"/>
          <w:bCs/>
          <w:sz w:val="28"/>
        </w:rPr>
        <w:t>可比实例等相关资料</w:t>
      </w:r>
      <w:r>
        <w:rPr>
          <w:rFonts w:hint="eastAsia" w:ascii="宋体" w:hAnsi="宋体" w:cs="仿宋_GB2312"/>
          <w:sz w:val="28"/>
        </w:rPr>
        <w:t>。</w:t>
      </w:r>
    </w:p>
    <w:p>
      <w:pPr>
        <w:spacing w:line="560" w:lineRule="exact"/>
        <w:ind w:left="1" w:firstLine="594" w:firstLineChars="200"/>
        <w:textAlignment w:val="center"/>
        <w:rPr>
          <w:rFonts w:cs="仿宋_GB2312"/>
          <w:b/>
          <w:bCs/>
          <w:sz w:val="28"/>
        </w:rPr>
      </w:pPr>
      <w:r>
        <w:rPr>
          <w:rFonts w:hint="eastAsia" w:ascii="宋体" w:hAnsi="宋体" w:cs="仿宋_GB2312"/>
          <w:sz w:val="28"/>
        </w:rPr>
        <w:t>3. 估价人员现场</w:t>
      </w:r>
      <w:r>
        <w:rPr>
          <w:rFonts w:hint="eastAsia" w:ascii="宋体" w:hAnsi="宋体"/>
          <w:sz w:val="28"/>
        </w:rPr>
        <w:t>踏勘表；</w:t>
      </w:r>
    </w:p>
    <w:p>
      <w:pPr>
        <w:spacing w:line="560" w:lineRule="exact"/>
        <w:ind w:left="1" w:firstLine="564" w:firstLineChars="190"/>
        <w:textAlignment w:val="center"/>
        <w:rPr>
          <w:rFonts w:ascii="宋体" w:hAnsi="宋体" w:cs="仿宋_GB2312"/>
          <w:sz w:val="28"/>
        </w:rPr>
      </w:pPr>
      <w:r>
        <w:rPr>
          <w:rFonts w:hint="eastAsia" w:ascii="宋体" w:hAnsi="宋体" w:cs="仿宋_GB2312"/>
          <w:sz w:val="28"/>
        </w:rPr>
        <w:t xml:space="preserve">4. </w:t>
      </w:r>
      <w:r>
        <w:rPr>
          <w:rFonts w:hint="eastAsia" w:ascii="宋体" w:hAnsi="宋体"/>
          <w:sz w:val="28"/>
        </w:rPr>
        <w:t>本公司</w:t>
      </w:r>
      <w:r>
        <w:rPr>
          <w:rFonts w:hint="eastAsia" w:ascii="宋体" w:hAnsi="宋体"/>
          <w:bCs/>
          <w:sz w:val="28"/>
        </w:rPr>
        <w:t>调查搜集的当地房地产市场</w:t>
      </w:r>
      <w:r>
        <w:rPr>
          <w:rFonts w:hint="eastAsia" w:ascii="宋体" w:hAnsi="宋体"/>
          <w:sz w:val="28"/>
        </w:rPr>
        <w:t>相关资料。</w:t>
      </w:r>
    </w:p>
    <w:p>
      <w:pPr>
        <w:pStyle w:val="4"/>
        <w:spacing w:line="560" w:lineRule="exact"/>
        <w:ind w:left="227" w:right="227"/>
      </w:pPr>
      <w:bookmarkStart w:id="61" w:name="_Toc11776"/>
      <w:bookmarkStart w:id="62" w:name="_Toc19110115"/>
      <w:bookmarkStart w:id="63" w:name="_Toc19110974"/>
      <w:bookmarkStart w:id="64" w:name="_Toc5294"/>
      <w:bookmarkStart w:id="65" w:name="_Toc18236182"/>
      <w:r>
        <w:rPr>
          <w:rFonts w:hint="eastAsia"/>
        </w:rPr>
        <w:t>九、估价方法</w:t>
      </w:r>
      <w:bookmarkEnd w:id="61"/>
      <w:bookmarkEnd w:id="62"/>
      <w:bookmarkEnd w:id="63"/>
      <w:bookmarkEnd w:id="64"/>
      <w:bookmarkEnd w:id="65"/>
    </w:p>
    <w:p>
      <w:pPr>
        <w:overflowPunct w:val="0"/>
        <w:spacing w:line="580" w:lineRule="exact"/>
        <w:ind w:firstLine="594" w:firstLineChars="200"/>
        <w:rPr>
          <w:rFonts w:ascii="宋体" w:hAnsi="宋体" w:cs="宋体"/>
          <w:sz w:val="28"/>
          <w:szCs w:val="28"/>
        </w:rPr>
      </w:pPr>
      <w:r>
        <w:rPr>
          <w:rFonts w:hint="eastAsia" w:ascii="宋体" w:hAnsi="宋体" w:cs="宋体"/>
          <w:sz w:val="28"/>
          <w:szCs w:val="28"/>
        </w:rPr>
        <w:t>房地产估价应在遵循估价原则的前提下，采用科学、合理的方法进行评估，根据《房地产估价规范》</w:t>
      </w:r>
      <w:r>
        <w:rPr>
          <w:rFonts w:hint="eastAsia" w:ascii="宋体" w:hAnsi="宋体" w:cs="仿宋_GB2312"/>
          <w:spacing w:val="9"/>
          <w:sz w:val="28"/>
        </w:rPr>
        <w:t>（</w:t>
      </w:r>
      <w:r>
        <w:rPr>
          <w:rFonts w:ascii="宋体" w:hAnsi="宋体" w:cs="仿宋_GB2312"/>
          <w:spacing w:val="9"/>
          <w:sz w:val="28"/>
        </w:rPr>
        <w:t>GB/T 50291—2015</w:t>
      </w:r>
      <w:r>
        <w:rPr>
          <w:rFonts w:hint="eastAsia" w:ascii="宋体" w:hAnsi="宋体" w:cs="仿宋_GB2312"/>
          <w:spacing w:val="9"/>
          <w:sz w:val="28"/>
        </w:rPr>
        <w:t>）</w:t>
      </w:r>
      <w:r>
        <w:rPr>
          <w:rFonts w:hint="eastAsia" w:ascii="宋体" w:hAnsi="宋体" w:cs="宋体"/>
          <w:sz w:val="28"/>
          <w:szCs w:val="28"/>
        </w:rPr>
        <w:t>，一般适用的估价方法包括比较法、收益法、成本法、假设开发法。</w:t>
      </w:r>
    </w:p>
    <w:p>
      <w:pPr>
        <w:overflowPunct w:val="0"/>
        <w:spacing w:line="600" w:lineRule="exact"/>
        <w:rPr>
          <w:rFonts w:ascii="宋体" w:hAnsi="宋体" w:cs="宋体"/>
          <w:sz w:val="28"/>
          <w:szCs w:val="28"/>
        </w:rPr>
      </w:pPr>
      <w:bookmarkStart w:id="66" w:name="_Toc19110116"/>
      <w:bookmarkStart w:id="67" w:name="_Toc18236183"/>
      <w:bookmarkStart w:id="68" w:name="_Toc19110975"/>
      <w:r>
        <w:rPr>
          <w:rFonts w:hint="eastAsia" w:ascii="宋体" w:hAnsi="宋体" w:cs="宋体"/>
          <w:sz w:val="28"/>
          <w:szCs w:val="28"/>
        </w:rPr>
        <w:t>（一）定义</w:t>
      </w:r>
    </w:p>
    <w:tbl>
      <w:tblPr>
        <w:tblStyle w:val="21"/>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07" w:type="dxa"/>
            <w:noWrap/>
            <w:vAlign w:val="center"/>
          </w:tcPr>
          <w:p>
            <w:pPr>
              <w:tabs>
                <w:tab w:val="left" w:pos="2008"/>
              </w:tabs>
              <w:spacing w:line="340" w:lineRule="exact"/>
              <w:jc w:val="center"/>
              <w:rPr>
                <w:rFonts w:ascii="宋体" w:hAnsi="宋体" w:cs="宋体"/>
                <w:kern w:val="0"/>
                <w:szCs w:val="21"/>
              </w:rPr>
            </w:pPr>
            <w:r>
              <w:rPr>
                <w:rFonts w:hint="eastAsia" w:ascii="宋体" w:hAnsi="宋体" w:cs="宋体"/>
                <w:kern w:val="0"/>
                <w:szCs w:val="21"/>
              </w:rPr>
              <w:t>估价方法</w:t>
            </w:r>
          </w:p>
        </w:tc>
        <w:tc>
          <w:tcPr>
            <w:tcW w:w="8399" w:type="dxa"/>
            <w:noWrap/>
            <w:vAlign w:val="center"/>
          </w:tcPr>
          <w:p>
            <w:pPr>
              <w:spacing w:line="340" w:lineRule="exact"/>
              <w:jc w:val="center"/>
              <w:rPr>
                <w:rFonts w:ascii="宋体" w:hAnsi="宋体" w:cs="宋体"/>
                <w:szCs w:val="21"/>
              </w:rPr>
            </w:pPr>
            <w:r>
              <w:rPr>
                <w:rFonts w:hint="eastAsia" w:ascii="宋体" w:hAnsi="宋体" w:cs="Arial"/>
                <w:szCs w:val="21"/>
                <w:shd w:val="clear" w:color="auto" w:fill="FAFAFA"/>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07" w:type="dxa"/>
            <w:noWrap/>
            <w:vAlign w:val="center"/>
          </w:tcPr>
          <w:p>
            <w:pPr>
              <w:tabs>
                <w:tab w:val="left" w:pos="2008"/>
              </w:tabs>
              <w:spacing w:line="340" w:lineRule="exact"/>
              <w:jc w:val="center"/>
              <w:rPr>
                <w:rFonts w:ascii="宋体" w:hAnsi="宋体" w:cs="宋体"/>
                <w:kern w:val="0"/>
                <w:szCs w:val="21"/>
              </w:rPr>
            </w:pPr>
            <w:r>
              <w:rPr>
                <w:rFonts w:hint="eastAsia" w:ascii="宋体" w:hAnsi="宋体" w:cs="宋体"/>
                <w:kern w:val="0"/>
                <w:szCs w:val="21"/>
              </w:rPr>
              <w:t>比较法</w:t>
            </w:r>
          </w:p>
        </w:tc>
        <w:tc>
          <w:tcPr>
            <w:tcW w:w="8399" w:type="dxa"/>
            <w:noWrap/>
            <w:vAlign w:val="center"/>
          </w:tcPr>
          <w:p>
            <w:pPr>
              <w:spacing w:line="340" w:lineRule="exact"/>
              <w:jc w:val="left"/>
              <w:rPr>
                <w:rFonts w:ascii="宋体" w:hAnsi="宋体" w:cs="宋体"/>
                <w:szCs w:val="21"/>
              </w:rPr>
            </w:pPr>
            <w:r>
              <w:rPr>
                <w:rFonts w:hint="eastAsia" w:ascii="宋体" w:hAnsi="宋体"/>
                <w:szCs w:val="21"/>
              </w:rPr>
              <w:t>是指根据替代原则，选取在同一市场供需圈内近期发生的、具有可比性的一定数量的可比实例，将它们与估价对象进行比较，根据其间的差异对可比实例成交价格进行处理后得到估价对象价值或价格的方法。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07" w:type="dxa"/>
            <w:noWrap/>
            <w:vAlign w:val="center"/>
          </w:tcPr>
          <w:p>
            <w:pPr>
              <w:tabs>
                <w:tab w:val="left" w:pos="2008"/>
              </w:tabs>
              <w:spacing w:line="340" w:lineRule="exact"/>
              <w:jc w:val="center"/>
              <w:rPr>
                <w:rFonts w:ascii="宋体" w:hAnsi="宋体" w:cs="宋体"/>
                <w:kern w:val="0"/>
                <w:szCs w:val="21"/>
              </w:rPr>
            </w:pPr>
            <w:r>
              <w:rPr>
                <w:rFonts w:hint="eastAsia" w:ascii="宋体" w:hAnsi="宋体" w:cs="宋体"/>
                <w:kern w:val="0"/>
                <w:szCs w:val="21"/>
              </w:rPr>
              <w:t>收益法</w:t>
            </w:r>
          </w:p>
        </w:tc>
        <w:tc>
          <w:tcPr>
            <w:tcW w:w="8399" w:type="dxa"/>
            <w:noWrap/>
            <w:vAlign w:val="center"/>
          </w:tcPr>
          <w:p>
            <w:pPr>
              <w:spacing w:line="340" w:lineRule="exact"/>
              <w:jc w:val="left"/>
              <w:rPr>
                <w:rFonts w:ascii="宋体" w:hAnsi="宋体"/>
                <w:szCs w:val="21"/>
              </w:rPr>
            </w:pPr>
            <w:r>
              <w:rPr>
                <w:rFonts w:hint="eastAsia" w:ascii="宋体" w:hAnsi="宋体"/>
                <w:szCs w:val="21"/>
              </w:rPr>
              <w:t>是指预测估价对象的未来收益，利用报酬率或资本化率、收益乘数将未来收益转换为价值得到估价对象价值或价格的方法。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07" w:type="dxa"/>
            <w:noWrap/>
            <w:vAlign w:val="center"/>
          </w:tcPr>
          <w:p>
            <w:pPr>
              <w:tabs>
                <w:tab w:val="left" w:pos="2008"/>
              </w:tabs>
              <w:spacing w:line="340" w:lineRule="exact"/>
              <w:jc w:val="center"/>
              <w:rPr>
                <w:rFonts w:ascii="宋体" w:hAnsi="宋体" w:cs="宋体"/>
                <w:kern w:val="0"/>
                <w:szCs w:val="21"/>
              </w:rPr>
            </w:pPr>
            <w:r>
              <w:rPr>
                <w:rFonts w:hint="eastAsia" w:ascii="宋体" w:hAnsi="宋体" w:cs="宋体"/>
                <w:kern w:val="0"/>
                <w:szCs w:val="21"/>
              </w:rPr>
              <w:t>成本法</w:t>
            </w:r>
          </w:p>
        </w:tc>
        <w:tc>
          <w:tcPr>
            <w:tcW w:w="8399" w:type="dxa"/>
            <w:noWrap/>
            <w:vAlign w:val="center"/>
          </w:tcPr>
          <w:p>
            <w:pPr>
              <w:spacing w:line="340" w:lineRule="exact"/>
              <w:jc w:val="left"/>
              <w:rPr>
                <w:rFonts w:ascii="宋体" w:hAnsi="宋体"/>
                <w:szCs w:val="21"/>
              </w:rPr>
            </w:pPr>
            <w:r>
              <w:rPr>
                <w:rFonts w:hint="eastAsia" w:ascii="宋体" w:hAnsi="宋体"/>
                <w:szCs w:val="21"/>
              </w:rPr>
              <w:t>是指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07" w:type="dxa"/>
            <w:noWrap/>
            <w:vAlign w:val="center"/>
          </w:tcPr>
          <w:p>
            <w:pPr>
              <w:tabs>
                <w:tab w:val="left" w:pos="2008"/>
              </w:tabs>
              <w:spacing w:line="340" w:lineRule="exact"/>
              <w:jc w:val="center"/>
              <w:rPr>
                <w:rFonts w:ascii="宋体" w:hAnsi="宋体" w:cs="宋体"/>
                <w:kern w:val="0"/>
                <w:szCs w:val="21"/>
              </w:rPr>
            </w:pPr>
            <w:r>
              <w:rPr>
                <w:rFonts w:hint="eastAsia" w:ascii="宋体" w:hAnsi="宋体" w:cs="宋体"/>
                <w:kern w:val="0"/>
                <w:szCs w:val="21"/>
              </w:rPr>
              <w:t>假设开</w:t>
            </w:r>
          </w:p>
          <w:p>
            <w:pPr>
              <w:tabs>
                <w:tab w:val="left" w:pos="2008"/>
              </w:tabs>
              <w:spacing w:line="340" w:lineRule="exact"/>
              <w:jc w:val="center"/>
              <w:rPr>
                <w:rFonts w:ascii="宋体" w:hAnsi="宋体" w:cs="宋体"/>
                <w:kern w:val="0"/>
                <w:szCs w:val="21"/>
              </w:rPr>
            </w:pPr>
            <w:r>
              <w:rPr>
                <w:rFonts w:hint="eastAsia" w:ascii="宋体" w:hAnsi="宋体" w:cs="宋体"/>
                <w:kern w:val="0"/>
                <w:szCs w:val="21"/>
              </w:rPr>
              <w:t>发法</w:t>
            </w:r>
          </w:p>
        </w:tc>
        <w:tc>
          <w:tcPr>
            <w:tcW w:w="8399" w:type="dxa"/>
            <w:noWrap/>
            <w:vAlign w:val="center"/>
          </w:tcPr>
          <w:p>
            <w:pPr>
              <w:spacing w:line="340" w:lineRule="exact"/>
              <w:jc w:val="left"/>
              <w:rPr>
                <w:rFonts w:ascii="宋体" w:hAnsi="宋体"/>
                <w:szCs w:val="21"/>
              </w:rPr>
            </w:pPr>
            <w:r>
              <w:rPr>
                <w:rFonts w:hint="eastAsia" w:ascii="宋体" w:hAnsi="宋体"/>
                <w:szCs w:val="21"/>
              </w:rPr>
              <w:t>是指测算估价对象在价值时点的重置成本和折旧，将重置成本减去折旧得到估价对象价值或价格的方法。</w:t>
            </w:r>
          </w:p>
        </w:tc>
      </w:tr>
    </w:tbl>
    <w:p>
      <w:pPr>
        <w:overflowPunct w:val="0"/>
        <w:spacing w:line="580" w:lineRule="exact"/>
        <w:rPr>
          <w:rFonts w:ascii="宋体" w:hAnsi="宋体" w:cs="宋体"/>
          <w:sz w:val="28"/>
          <w:szCs w:val="28"/>
        </w:rPr>
      </w:pPr>
      <w:r>
        <w:rPr>
          <w:rFonts w:hint="eastAsia" w:ascii="宋体" w:hAnsi="宋体" w:cs="宋体"/>
          <w:sz w:val="28"/>
          <w:szCs w:val="28"/>
        </w:rPr>
        <w:t xml:space="preserve">    （二）估价方法适用性分析</w:t>
      </w:r>
    </w:p>
    <w:p>
      <w:pPr>
        <w:overflowPunct w:val="0"/>
        <w:spacing w:line="580" w:lineRule="exact"/>
        <w:ind w:firstLine="594" w:firstLineChars="200"/>
        <w:rPr>
          <w:rFonts w:ascii="宋体" w:hAnsi="宋体" w:cs="宋体"/>
          <w:color w:val="000000" w:themeColor="text1"/>
          <w:sz w:val="28"/>
          <w:szCs w:val="28"/>
        </w:rPr>
      </w:pPr>
      <w:bookmarkStart w:id="69" w:name="_Toc19793"/>
      <w:bookmarkStart w:id="70" w:name="_Toc30952"/>
      <w:r>
        <w:rPr>
          <w:rFonts w:hint="eastAsia" w:ascii="宋体" w:hAnsi="宋体" w:cs="宋体"/>
          <w:color w:val="000000" w:themeColor="text1"/>
          <w:sz w:val="28"/>
          <w:szCs w:val="28"/>
        </w:rPr>
        <w:t>1.不选用估价方法的理由</w:t>
      </w:r>
    </w:p>
    <w:p>
      <w:pPr>
        <w:overflowPunct w:val="0"/>
        <w:spacing w:line="580" w:lineRule="exact"/>
        <w:ind w:firstLine="594" w:firstLineChars="200"/>
        <w:rPr>
          <w:rFonts w:ascii="宋体" w:hAnsi="宋体" w:cs="宋体"/>
          <w:color w:val="000000" w:themeColor="text1"/>
          <w:sz w:val="28"/>
          <w:szCs w:val="28"/>
        </w:rPr>
      </w:pPr>
      <w:r>
        <w:rPr>
          <w:rFonts w:hint="eastAsia" w:ascii="宋体" w:hAnsi="宋体" w:cs="宋体"/>
          <w:color w:val="000000" w:themeColor="text1"/>
          <w:sz w:val="28"/>
          <w:szCs w:val="28"/>
        </w:rPr>
        <w:t>（1）不选用假设开发法的理由：估价对象为已建成正常使用的房屋，目前使用正常，属于非待开发的建设物业，不产生后续开发成本，故不选用假设开发法。</w:t>
      </w:r>
    </w:p>
    <w:p>
      <w:pPr>
        <w:overflowPunct w:val="0"/>
        <w:spacing w:line="580" w:lineRule="exact"/>
        <w:ind w:firstLine="594" w:firstLineChars="200"/>
        <w:rPr>
          <w:rFonts w:ascii="宋体" w:hAnsi="宋体" w:cs="宋体"/>
          <w:color w:val="000000" w:themeColor="text1"/>
          <w:sz w:val="28"/>
          <w:szCs w:val="28"/>
        </w:rPr>
      </w:pPr>
      <w:r>
        <w:rPr>
          <w:rFonts w:hint="eastAsia" w:ascii="宋体" w:hAnsi="宋体" w:cs="宋体"/>
          <w:color w:val="000000" w:themeColor="text1"/>
          <w:sz w:val="28"/>
          <w:szCs w:val="28"/>
        </w:rPr>
        <w:t>（2）不选用成本法的理由：理论上应选用成本法估价，但受到运用的客观条件限制，特别是</w:t>
      </w:r>
      <w:r>
        <w:rPr>
          <w:rFonts w:hint="eastAsia" w:ascii="宋体" w:hAnsi="宋体" w:cs="宋体"/>
          <w:color w:val="000000" w:themeColor="text1"/>
          <w:sz w:val="28"/>
          <w:szCs w:val="28"/>
          <w:lang w:eastAsia="zh-CN"/>
        </w:rPr>
        <w:t>住宅</w:t>
      </w:r>
      <w:r>
        <w:rPr>
          <w:rFonts w:hint="eastAsia" w:ascii="宋体" w:hAnsi="宋体" w:cs="宋体"/>
          <w:color w:val="000000" w:themeColor="text1"/>
          <w:sz w:val="28"/>
          <w:szCs w:val="28"/>
        </w:rPr>
        <w:t>主要受市场供求关系左右，成本法的均衡原理已被淡化，在这种背景下，</w:t>
      </w:r>
      <w:r>
        <w:rPr>
          <w:rFonts w:hint="eastAsia" w:ascii="宋体" w:hAnsi="宋体" w:cs="宋体"/>
          <w:color w:val="000000" w:themeColor="text1"/>
          <w:sz w:val="28"/>
          <w:szCs w:val="28"/>
          <w:lang w:eastAsia="zh-CN"/>
        </w:rPr>
        <w:t>住宅</w:t>
      </w:r>
      <w:r>
        <w:rPr>
          <w:rFonts w:hint="eastAsia" w:ascii="宋体" w:hAnsi="宋体" w:cs="宋体"/>
          <w:color w:val="000000" w:themeColor="text1"/>
          <w:sz w:val="28"/>
          <w:szCs w:val="28"/>
        </w:rPr>
        <w:t>价格与开发成本的关联性较弱，房地产的开发成本不能反映房地产现时的市场价格，故不选用成本法估价。</w:t>
      </w:r>
    </w:p>
    <w:p>
      <w:pPr>
        <w:overflowPunct w:val="0"/>
        <w:spacing w:line="580" w:lineRule="exact"/>
        <w:ind w:firstLine="594"/>
        <w:rPr>
          <w:rFonts w:hint="eastAsia" w:ascii="宋体" w:hAnsi="宋体" w:cs="宋体"/>
          <w:color w:val="000000" w:themeColor="text1"/>
          <w:sz w:val="28"/>
          <w:szCs w:val="28"/>
        </w:rPr>
      </w:pPr>
      <w:r>
        <w:rPr>
          <w:rFonts w:hint="eastAsia" w:ascii="宋体" w:hAnsi="宋体" w:cs="宋体"/>
          <w:color w:val="000000" w:themeColor="text1"/>
          <w:sz w:val="28"/>
          <w:szCs w:val="28"/>
        </w:rPr>
        <w:t>（3）不选用收益法的理由：估价对象房地产现行租售比不匹配，脱节明显。</w:t>
      </w:r>
    </w:p>
    <w:p>
      <w:pPr>
        <w:overflowPunct w:val="0"/>
        <w:spacing w:line="580" w:lineRule="exact"/>
        <w:ind w:firstLine="594"/>
        <w:rPr>
          <w:rFonts w:ascii="宋体" w:hAnsi="宋体" w:cs="宋体"/>
          <w:color w:val="000000" w:themeColor="text1"/>
          <w:sz w:val="28"/>
          <w:szCs w:val="28"/>
        </w:rPr>
      </w:pPr>
      <w:r>
        <w:rPr>
          <w:rFonts w:hint="eastAsia" w:ascii="宋体" w:hAnsi="宋体" w:cs="宋体"/>
          <w:color w:val="000000" w:themeColor="text1"/>
          <w:sz w:val="28"/>
          <w:szCs w:val="28"/>
        </w:rPr>
        <w:t>2.选用估价方法的理由</w:t>
      </w:r>
    </w:p>
    <w:p>
      <w:pPr>
        <w:overflowPunct w:val="0"/>
        <w:spacing w:line="580" w:lineRule="exact"/>
        <w:ind w:firstLine="450" w:firstLineChars="152"/>
        <w:rPr>
          <w:rFonts w:ascii="宋体" w:hAnsi="宋体" w:cs="宋体"/>
          <w:color w:val="000000" w:themeColor="text1"/>
          <w:sz w:val="28"/>
          <w:szCs w:val="28"/>
        </w:rPr>
      </w:pPr>
      <w:r>
        <w:rPr>
          <w:rFonts w:hint="eastAsia" w:ascii="宋体" w:hAnsi="宋体" w:cs="宋体"/>
          <w:color w:val="000000" w:themeColor="text1"/>
          <w:sz w:val="28"/>
          <w:szCs w:val="28"/>
        </w:rPr>
        <w:t>经本公司估价人员市场调查知，可调查同一供求圈内类似房地产交易实例，故选用比较法估价。</w:t>
      </w:r>
    </w:p>
    <w:p>
      <w:pPr>
        <w:overflowPunct w:val="0"/>
        <w:spacing w:line="580" w:lineRule="exact"/>
        <w:ind w:firstLine="450" w:firstLineChars="152"/>
        <w:rPr>
          <w:rFonts w:ascii="宋体" w:hAnsi="宋体" w:cs="宋体"/>
          <w:sz w:val="28"/>
          <w:szCs w:val="28"/>
        </w:rPr>
      </w:pPr>
      <w:r>
        <w:rPr>
          <w:rFonts w:hint="eastAsia" w:ascii="宋体" w:hAnsi="宋体" w:cs="仿宋_GB2312"/>
          <w:sz w:val="28"/>
        </w:rPr>
        <w:t>综上所述，本次估价</w:t>
      </w:r>
      <w:r>
        <w:rPr>
          <w:rFonts w:hint="eastAsia" w:ascii="宋体" w:hAnsi="宋体" w:cs="仿宋_GB2312"/>
          <w:sz w:val="28"/>
          <w:lang w:eastAsia="zh-CN"/>
        </w:rPr>
        <w:t>仅</w:t>
      </w:r>
      <w:r>
        <w:rPr>
          <w:rFonts w:hint="eastAsia" w:ascii="宋体" w:hAnsi="宋体" w:cs="仿宋_GB2312"/>
          <w:sz w:val="28"/>
        </w:rPr>
        <w:t>采用市场比较法</w:t>
      </w:r>
      <w:r>
        <w:rPr>
          <w:rFonts w:hint="eastAsia" w:ascii="宋体" w:hAnsi="宋体" w:cs="仿宋_GB2312"/>
          <w:sz w:val="28"/>
          <w:lang w:eastAsia="zh-CN"/>
        </w:rPr>
        <w:t>进行评估</w:t>
      </w:r>
      <w:r>
        <w:rPr>
          <w:rFonts w:hint="eastAsia" w:ascii="宋体" w:hAnsi="宋体" w:cs="仿宋_GB2312"/>
          <w:sz w:val="28"/>
        </w:rPr>
        <w:t>。</w:t>
      </w:r>
    </w:p>
    <w:p>
      <w:pPr>
        <w:pStyle w:val="4"/>
        <w:spacing w:line="600" w:lineRule="exact"/>
        <w:ind w:left="227" w:right="227"/>
        <w:rPr>
          <w:b/>
        </w:rPr>
      </w:pPr>
      <w:r>
        <w:rPr>
          <w:rFonts w:hint="eastAsia"/>
        </w:rPr>
        <w:t>十、估价结果</w:t>
      </w:r>
      <w:bookmarkEnd w:id="66"/>
      <w:bookmarkEnd w:id="67"/>
      <w:bookmarkEnd w:id="68"/>
      <w:bookmarkEnd w:id="69"/>
      <w:bookmarkEnd w:id="70"/>
    </w:p>
    <w:p>
      <w:pPr>
        <w:spacing w:line="600" w:lineRule="exact"/>
        <w:ind w:right="122" w:rightChars="54" w:firstLine="564" w:firstLineChars="190"/>
        <w:textAlignment w:val="center"/>
        <w:rPr>
          <w:rFonts w:ascii="宋体" w:hAnsi="宋体" w:cs="宋体"/>
          <w:color w:val="auto"/>
          <w:sz w:val="28"/>
          <w:szCs w:val="28"/>
        </w:rPr>
      </w:pPr>
      <w:bookmarkStart w:id="71" w:name="_Toc19110976"/>
      <w:bookmarkStart w:id="72" w:name="_Toc18236184"/>
      <w:bookmarkStart w:id="73" w:name="_Toc19110117"/>
      <w:bookmarkStart w:id="74" w:name="_Toc18236185"/>
      <w:r>
        <w:rPr>
          <w:rFonts w:hint="eastAsia" w:ascii="宋体" w:hAnsi="宋体" w:cs="仿宋_GB2312"/>
          <w:color w:val="auto"/>
          <w:sz w:val="28"/>
          <w:szCs w:val="28"/>
        </w:rPr>
        <w:t>本公司依据《房地产估价规范》，遵守各项估价原则，</w:t>
      </w:r>
      <w:r>
        <w:rPr>
          <w:rFonts w:hint="eastAsia" w:ascii="宋体" w:hAnsi="宋体" w:cs="仿宋_GB2312"/>
          <w:color w:val="auto"/>
          <w:spacing w:val="11"/>
          <w:sz w:val="28"/>
          <w:szCs w:val="28"/>
        </w:rPr>
        <w:t>运用科学的估价方法，以进行现场查勘的</w:t>
      </w:r>
      <w:r>
        <w:rPr>
          <w:rFonts w:hint="eastAsia" w:ascii="宋体" w:hAnsi="宋体" w:cs="仿宋_GB2312"/>
          <w:color w:val="auto"/>
          <w:sz w:val="28"/>
          <w:szCs w:val="28"/>
          <w:lang w:eastAsia="zh-CN"/>
        </w:rPr>
        <w:t>2022年09月21日</w:t>
      </w:r>
      <w:r>
        <w:rPr>
          <w:rFonts w:hint="eastAsia" w:ascii="宋体" w:hAnsi="宋体" w:cs="仿宋_GB2312"/>
          <w:color w:val="auto"/>
          <w:sz w:val="28"/>
          <w:szCs w:val="28"/>
        </w:rPr>
        <w:t>为价值时点</w:t>
      </w:r>
      <w:r>
        <w:rPr>
          <w:rFonts w:hint="eastAsia" w:ascii="宋体" w:hAnsi="宋体" w:cs="仿宋_GB2312"/>
          <w:color w:val="auto"/>
          <w:spacing w:val="11"/>
          <w:sz w:val="28"/>
          <w:szCs w:val="28"/>
        </w:rPr>
        <w:t>，确定估价对象在满足本次估价的全部假设和限制条件下的结果为：</w:t>
      </w:r>
      <w:r>
        <w:rPr>
          <w:rFonts w:hint="eastAsia" w:ascii="宋体" w:hAnsi="宋体" w:cs="宋体"/>
          <w:color w:val="auto"/>
          <w:sz w:val="28"/>
          <w:szCs w:val="28"/>
        </w:rPr>
        <w:t>人民币</w:t>
      </w:r>
      <w:r>
        <w:rPr>
          <w:rFonts w:hint="eastAsia" w:ascii="宋体" w:hAnsi="宋体" w:cs="仿宋_GB2312"/>
          <w:color w:val="auto"/>
          <w:sz w:val="28"/>
          <w:szCs w:val="28"/>
          <w:lang w:val="en-US" w:eastAsia="zh-CN"/>
        </w:rPr>
        <w:t>陆拾叁万柒仟叁佰肆拾肆</w:t>
      </w:r>
      <w:r>
        <w:rPr>
          <w:rFonts w:hint="eastAsia" w:ascii="宋体" w:hAnsi="宋体" w:cs="仿宋_GB2312"/>
          <w:color w:val="auto"/>
          <w:sz w:val="28"/>
          <w:szCs w:val="28"/>
        </w:rPr>
        <w:t>元整</w:t>
      </w:r>
      <w:r>
        <w:rPr>
          <w:rFonts w:hint="eastAsia" w:ascii="宋体" w:hAnsi="宋体" w:cs="宋体"/>
          <w:color w:val="auto"/>
          <w:sz w:val="28"/>
          <w:szCs w:val="28"/>
        </w:rPr>
        <w:t>（</w:t>
      </w:r>
      <w:r>
        <w:rPr>
          <w:rFonts w:ascii="宋体" w:hAnsi="宋体" w:cs="宋体"/>
          <w:color w:val="auto"/>
          <w:sz w:val="28"/>
          <w:szCs w:val="28"/>
        </w:rPr>
        <w:t>RMB</w:t>
      </w:r>
      <w:r>
        <w:rPr>
          <w:rFonts w:hint="eastAsia" w:ascii="宋体" w:hAnsi="宋体" w:cs="宋体"/>
          <w:color w:val="auto"/>
          <w:sz w:val="28"/>
          <w:szCs w:val="28"/>
        </w:rPr>
        <w:t>：</w:t>
      </w:r>
      <w:r>
        <w:rPr>
          <w:rFonts w:hint="eastAsia" w:ascii="宋体" w:hAnsi="宋体"/>
          <w:color w:val="auto"/>
          <w:sz w:val="28"/>
          <w:szCs w:val="28"/>
          <w:lang w:val="en-US" w:eastAsia="zh-CN"/>
        </w:rPr>
        <w:t>637</w:t>
      </w:r>
      <w:r>
        <w:rPr>
          <w:rFonts w:hint="eastAsia" w:ascii="宋体" w:hAnsi="宋体"/>
          <w:color w:val="auto"/>
          <w:sz w:val="28"/>
          <w:szCs w:val="28"/>
        </w:rPr>
        <w:t>,</w:t>
      </w:r>
      <w:r>
        <w:rPr>
          <w:rFonts w:hint="eastAsia" w:ascii="宋体" w:hAnsi="宋体"/>
          <w:color w:val="auto"/>
          <w:sz w:val="28"/>
          <w:szCs w:val="28"/>
          <w:lang w:val="en-US" w:eastAsia="zh-CN"/>
        </w:rPr>
        <w:t>344</w:t>
      </w:r>
      <w:r>
        <w:rPr>
          <w:rFonts w:hint="eastAsia" w:ascii="宋体" w:hAnsi="宋体"/>
          <w:color w:val="auto"/>
          <w:sz w:val="28"/>
          <w:szCs w:val="28"/>
        </w:rPr>
        <w:t>.00</w:t>
      </w:r>
      <w:r>
        <w:rPr>
          <w:rFonts w:hint="eastAsia" w:ascii="宋体" w:hAnsi="宋体" w:cs="宋体"/>
          <w:color w:val="auto"/>
          <w:sz w:val="28"/>
          <w:szCs w:val="28"/>
        </w:rPr>
        <w:t>元）。</w:t>
      </w:r>
    </w:p>
    <w:tbl>
      <w:tblPr>
        <w:tblStyle w:val="2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61"/>
        <w:gridCol w:w="2409"/>
        <w:gridCol w:w="1560"/>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line="320" w:lineRule="exact"/>
              <w:ind w:left="-124" w:leftChars="-55"/>
              <w:jc w:val="center"/>
              <w:textAlignment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估价对象</w:t>
            </w:r>
          </w:p>
        </w:tc>
        <w:tc>
          <w:tcPr>
            <w:tcW w:w="2409" w:type="dxa"/>
            <w:vAlign w:val="center"/>
          </w:tcPr>
          <w:p>
            <w:pPr>
              <w:spacing w:line="320" w:lineRule="exact"/>
              <w:jc w:val="center"/>
              <w:textAlignment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建筑面积</w:t>
            </w:r>
          </w:p>
          <w:p>
            <w:pPr>
              <w:spacing w:line="320" w:lineRule="exact"/>
              <w:jc w:val="center"/>
              <w:textAlignment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（m</w:t>
            </w:r>
            <w:r>
              <w:rPr>
                <w:rFonts w:hint="eastAsia" w:asciiTheme="minorEastAsia" w:hAnsiTheme="minorEastAsia" w:eastAsiaTheme="minorEastAsia"/>
                <w:color w:val="auto"/>
                <w:szCs w:val="21"/>
                <w:vertAlign w:val="superscript"/>
              </w:rPr>
              <w:t>2</w:t>
            </w:r>
            <w:r>
              <w:rPr>
                <w:rFonts w:hint="eastAsia" w:asciiTheme="minorEastAsia" w:hAnsiTheme="minorEastAsia" w:eastAsiaTheme="minorEastAsia"/>
                <w:color w:val="auto"/>
                <w:szCs w:val="21"/>
              </w:rPr>
              <w:t>）</w:t>
            </w:r>
          </w:p>
        </w:tc>
        <w:tc>
          <w:tcPr>
            <w:tcW w:w="1560" w:type="dxa"/>
            <w:vAlign w:val="center"/>
          </w:tcPr>
          <w:p>
            <w:pPr>
              <w:spacing w:line="320" w:lineRule="exact"/>
              <w:jc w:val="center"/>
              <w:textAlignment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单价</w:t>
            </w:r>
          </w:p>
          <w:p>
            <w:pPr>
              <w:spacing w:line="320" w:lineRule="exact"/>
              <w:jc w:val="center"/>
              <w:textAlignment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（元/m</w:t>
            </w:r>
            <w:r>
              <w:rPr>
                <w:rFonts w:hint="eastAsia" w:asciiTheme="minorEastAsia" w:hAnsiTheme="minorEastAsia" w:eastAsiaTheme="minorEastAsia"/>
                <w:color w:val="auto"/>
                <w:szCs w:val="21"/>
                <w:vertAlign w:val="superscript"/>
              </w:rPr>
              <w:t>2</w:t>
            </w:r>
            <w:r>
              <w:rPr>
                <w:rFonts w:hint="eastAsia" w:asciiTheme="minorEastAsia" w:hAnsiTheme="minorEastAsia" w:eastAsiaTheme="minorEastAsia"/>
                <w:color w:val="auto"/>
                <w:szCs w:val="21"/>
              </w:rPr>
              <w:t>）</w:t>
            </w:r>
          </w:p>
        </w:tc>
        <w:tc>
          <w:tcPr>
            <w:tcW w:w="1984" w:type="dxa"/>
            <w:vAlign w:val="center"/>
          </w:tcPr>
          <w:p>
            <w:pPr>
              <w:spacing w:line="320" w:lineRule="exact"/>
              <w:jc w:val="center"/>
              <w:textAlignment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总价</w:t>
            </w:r>
          </w:p>
          <w:p>
            <w:pPr>
              <w:spacing w:line="320" w:lineRule="exact"/>
              <w:jc w:val="center"/>
              <w:textAlignment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3261" w:type="dxa"/>
            <w:vAlign w:val="center"/>
          </w:tcPr>
          <w:p>
            <w:pPr>
              <w:spacing w:line="320" w:lineRule="exact"/>
              <w:ind w:left="199" w:leftChars="88"/>
              <w:jc w:val="center"/>
              <w:textAlignment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永胜县永北镇兰桂小区2单元502室</w:t>
            </w:r>
          </w:p>
        </w:tc>
        <w:tc>
          <w:tcPr>
            <w:tcW w:w="2409" w:type="dxa"/>
            <w:vAlign w:val="center"/>
          </w:tcPr>
          <w:p>
            <w:pPr>
              <w:spacing w:line="320" w:lineRule="exact"/>
              <w:jc w:val="center"/>
              <w:textAlignment w:val="center"/>
              <w:rPr>
                <w:rFonts w:hint="default" w:eastAsiaTheme="minorEastAsia"/>
                <w:color w:val="auto"/>
                <w:szCs w:val="21"/>
                <w:lang w:val="en-US" w:eastAsia="zh-CN"/>
              </w:rPr>
            </w:pPr>
            <w:r>
              <w:rPr>
                <w:rFonts w:hint="eastAsia" w:eastAsiaTheme="minorEastAsia"/>
                <w:color w:val="auto"/>
                <w:szCs w:val="21"/>
                <w:lang w:val="en-US" w:eastAsia="zh-CN"/>
              </w:rPr>
              <w:t>131.33</w:t>
            </w:r>
          </w:p>
        </w:tc>
        <w:tc>
          <w:tcPr>
            <w:tcW w:w="1560" w:type="dxa"/>
            <w:vAlign w:val="center"/>
          </w:tcPr>
          <w:p>
            <w:pPr>
              <w:spacing w:line="320" w:lineRule="exact"/>
              <w:jc w:val="center"/>
              <w:textAlignment w:val="center"/>
              <w:rPr>
                <w:rFonts w:hint="default" w:eastAsiaTheme="minorEastAsia"/>
                <w:color w:val="auto"/>
                <w:szCs w:val="21"/>
                <w:lang w:val="en-US" w:eastAsia="zh-CN"/>
              </w:rPr>
            </w:pPr>
            <w:r>
              <w:rPr>
                <w:rFonts w:hint="eastAsia" w:eastAsiaTheme="minorEastAsia"/>
                <w:color w:val="auto"/>
                <w:szCs w:val="21"/>
                <w:lang w:val="en-US" w:eastAsia="zh-CN"/>
              </w:rPr>
              <w:t>4</w:t>
            </w:r>
            <w:r>
              <w:rPr>
                <w:rFonts w:eastAsiaTheme="minorEastAsia"/>
                <w:color w:val="auto"/>
                <w:szCs w:val="21"/>
              </w:rPr>
              <w:t>,</w:t>
            </w:r>
            <w:r>
              <w:rPr>
                <w:rFonts w:hint="eastAsia" w:eastAsiaTheme="minorEastAsia"/>
                <w:color w:val="auto"/>
                <w:szCs w:val="21"/>
                <w:lang w:val="en-US" w:eastAsia="zh-CN"/>
              </w:rPr>
              <w:t>853</w:t>
            </w:r>
          </w:p>
        </w:tc>
        <w:tc>
          <w:tcPr>
            <w:tcW w:w="1984" w:type="dxa"/>
            <w:vAlign w:val="center"/>
          </w:tcPr>
          <w:p>
            <w:pPr>
              <w:spacing w:line="320" w:lineRule="exact"/>
              <w:jc w:val="center"/>
              <w:textAlignment w:val="center"/>
              <w:rPr>
                <w:rFonts w:eastAsiaTheme="minorEastAsia"/>
                <w:color w:val="auto"/>
                <w:szCs w:val="21"/>
              </w:rPr>
            </w:pPr>
            <w:r>
              <w:rPr>
                <w:rFonts w:hint="eastAsia" w:eastAsiaTheme="minorEastAsia"/>
                <w:color w:val="auto"/>
                <w:szCs w:val="21"/>
                <w:lang w:val="en-US" w:eastAsia="zh-CN"/>
              </w:rPr>
              <w:t>637</w:t>
            </w:r>
            <w:r>
              <w:rPr>
                <w:rFonts w:eastAsiaTheme="minorEastAsia"/>
                <w:color w:val="auto"/>
                <w:szCs w:val="21"/>
              </w:rPr>
              <w:t>,</w:t>
            </w:r>
            <w:r>
              <w:rPr>
                <w:rFonts w:hint="eastAsia" w:eastAsiaTheme="minorEastAsia"/>
                <w:color w:val="auto"/>
                <w:szCs w:val="21"/>
                <w:lang w:val="en-US" w:eastAsia="zh-CN"/>
              </w:rPr>
              <w:t>344</w:t>
            </w:r>
            <w:r>
              <w:rPr>
                <w:rFonts w:eastAsiaTheme="minorEastAsia"/>
                <w:color w:val="auto"/>
                <w:szCs w:val="21"/>
              </w:rPr>
              <w:t>.00</w:t>
            </w:r>
          </w:p>
        </w:tc>
      </w:tr>
    </w:tbl>
    <w:p>
      <w:pPr>
        <w:spacing w:line="600" w:lineRule="exact"/>
        <w:ind w:right="122" w:rightChars="54" w:firstLine="297" w:firstLineChars="100"/>
        <w:textAlignment w:val="center"/>
        <w:rPr>
          <w:sz w:val="28"/>
          <w:szCs w:val="28"/>
        </w:rPr>
      </w:pPr>
      <w:r>
        <w:rPr>
          <w:rFonts w:hint="eastAsia"/>
          <w:sz w:val="28"/>
          <w:szCs w:val="28"/>
        </w:rPr>
        <w:t>十一、注册房地产估价师</w:t>
      </w:r>
      <w:bookmarkEnd w:id="71"/>
      <w:bookmarkEnd w:id="72"/>
      <w:bookmarkEnd w:id="73"/>
      <w:bookmarkStart w:id="75" w:name="_Toc19110977"/>
      <w:bookmarkStart w:id="76" w:name="_Toc19110118"/>
    </w:p>
    <w:tbl>
      <w:tblPr>
        <w:tblStyle w:val="21"/>
        <w:tblW w:w="935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5"/>
        <w:gridCol w:w="3685"/>
        <w:gridCol w:w="3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7" w:hRule="atLeast"/>
        </w:trPr>
        <w:tc>
          <w:tcPr>
            <w:tcW w:w="1985"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center"/>
              <w:rPr>
                <w:rFonts w:ascii="宋体" w:hAnsi="宋体"/>
                <w:spacing w:val="9"/>
                <w:sz w:val="28"/>
                <w:szCs w:val="28"/>
              </w:rPr>
            </w:pPr>
            <w:r>
              <w:rPr>
                <w:rFonts w:hint="eastAsia" w:ascii="宋体" w:hAnsi="宋体"/>
                <w:spacing w:val="9"/>
                <w:sz w:val="28"/>
                <w:szCs w:val="28"/>
              </w:rPr>
              <w:t>姓名</w:t>
            </w:r>
          </w:p>
        </w:tc>
        <w:tc>
          <w:tcPr>
            <w:tcW w:w="3685"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center"/>
              <w:rPr>
                <w:rFonts w:ascii="宋体" w:hAnsi="宋体"/>
                <w:spacing w:val="9"/>
                <w:sz w:val="28"/>
                <w:szCs w:val="28"/>
              </w:rPr>
            </w:pPr>
            <w:r>
              <w:rPr>
                <w:rFonts w:hint="eastAsia" w:ascii="宋体" w:hAnsi="宋体"/>
                <w:spacing w:val="9"/>
                <w:sz w:val="28"/>
                <w:szCs w:val="28"/>
              </w:rPr>
              <w:t>杨高云</w:t>
            </w:r>
          </w:p>
        </w:tc>
        <w:tc>
          <w:tcPr>
            <w:tcW w:w="3686"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center"/>
              <w:rPr>
                <w:rFonts w:ascii="宋体" w:hAnsi="宋体"/>
                <w:spacing w:val="9"/>
                <w:sz w:val="28"/>
                <w:szCs w:val="28"/>
              </w:rPr>
            </w:pPr>
            <w:r>
              <w:rPr>
                <w:rFonts w:hint="eastAsia" w:ascii="宋体" w:hAnsi="宋体" w:cs="仿宋_GB2312"/>
                <w:sz w:val="30"/>
                <w:szCs w:val="30"/>
              </w:rPr>
              <w:t>刘承文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atLeast"/>
        </w:trPr>
        <w:tc>
          <w:tcPr>
            <w:tcW w:w="1985"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center"/>
              <w:rPr>
                <w:rFonts w:ascii="宋体" w:hAnsi="宋体"/>
                <w:spacing w:val="9"/>
                <w:sz w:val="28"/>
                <w:szCs w:val="28"/>
              </w:rPr>
            </w:pPr>
            <w:r>
              <w:rPr>
                <w:rFonts w:hint="eastAsia" w:ascii="宋体" w:hAnsi="宋体"/>
                <w:spacing w:val="9"/>
                <w:sz w:val="28"/>
                <w:szCs w:val="28"/>
              </w:rPr>
              <w:t>注册号</w:t>
            </w:r>
          </w:p>
        </w:tc>
        <w:tc>
          <w:tcPr>
            <w:tcW w:w="3685"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center"/>
              <w:rPr>
                <w:rFonts w:ascii="宋体" w:hAnsi="宋体"/>
                <w:spacing w:val="9"/>
                <w:sz w:val="28"/>
                <w:szCs w:val="28"/>
              </w:rPr>
            </w:pPr>
            <w:r>
              <w:rPr>
                <w:rFonts w:hint="eastAsia" w:ascii="宋体" w:hAnsi="宋体"/>
                <w:spacing w:val="9"/>
                <w:sz w:val="28"/>
                <w:szCs w:val="28"/>
              </w:rPr>
              <w:t>5320060029</w:t>
            </w:r>
          </w:p>
        </w:tc>
        <w:tc>
          <w:tcPr>
            <w:tcW w:w="3686"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center"/>
              <w:rPr>
                <w:rFonts w:ascii="宋体" w:hAnsi="宋体"/>
                <w:spacing w:val="9"/>
                <w:sz w:val="28"/>
                <w:szCs w:val="28"/>
              </w:rPr>
            </w:pPr>
            <w:r>
              <w:rPr>
                <w:rFonts w:hint="eastAsia" w:ascii="宋体" w:hAnsi="宋体"/>
                <w:spacing w:val="9"/>
                <w:sz w:val="28"/>
                <w:szCs w:val="28"/>
              </w:rPr>
              <w:t>5320040057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00" w:hRule="atLeast"/>
        </w:trPr>
        <w:tc>
          <w:tcPr>
            <w:tcW w:w="1985"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ind w:firstLine="472" w:firstLineChars="150"/>
              <w:textAlignment w:val="center"/>
              <w:rPr>
                <w:rFonts w:ascii="宋体" w:hAnsi="宋体" w:cs="宋体"/>
                <w:spacing w:val="9"/>
                <w:sz w:val="28"/>
                <w:szCs w:val="28"/>
              </w:rPr>
            </w:pPr>
            <w:r>
              <w:rPr>
                <w:rFonts w:hint="eastAsia" w:ascii="宋体" w:hAnsi="宋体" w:cs="宋体"/>
                <w:spacing w:val="9"/>
                <w:sz w:val="28"/>
                <w:szCs w:val="28"/>
              </w:rPr>
              <w:t>签 名</w:t>
            </w:r>
          </w:p>
        </w:tc>
        <w:tc>
          <w:tcPr>
            <w:tcW w:w="3685"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ind w:firstLine="1260" w:firstLineChars="400"/>
              <w:textAlignment w:val="center"/>
              <w:rPr>
                <w:rFonts w:ascii="宋体" w:hAnsi="宋体"/>
                <w:spacing w:val="9"/>
                <w:sz w:val="28"/>
                <w:szCs w:val="28"/>
              </w:rPr>
            </w:pPr>
          </w:p>
        </w:tc>
        <w:tc>
          <w:tcPr>
            <w:tcW w:w="3686"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ind w:firstLine="1575" w:firstLineChars="500"/>
              <w:textAlignment w:val="center"/>
              <w:rPr>
                <w:rFonts w:ascii="宋体" w:hAnsi="宋体"/>
                <w:spacing w:val="9"/>
                <w:sz w:val="28"/>
                <w:szCs w:val="28"/>
              </w:rPr>
            </w:pPr>
            <w:bookmarkStart w:id="162" w:name="_GoBack"/>
            <w:bookmarkEnd w:id="16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1985"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ind w:firstLine="472" w:firstLineChars="150"/>
              <w:textAlignment w:val="center"/>
              <w:rPr>
                <w:rFonts w:ascii="宋体" w:hAnsi="宋体" w:cs="宋体"/>
                <w:spacing w:val="9"/>
                <w:sz w:val="28"/>
                <w:szCs w:val="28"/>
              </w:rPr>
            </w:pPr>
            <w:r>
              <w:rPr>
                <w:rFonts w:hint="eastAsia" w:ascii="宋体" w:hAnsi="宋体" w:cs="宋体"/>
                <w:spacing w:val="9"/>
                <w:sz w:val="28"/>
                <w:szCs w:val="28"/>
              </w:rPr>
              <w:t>签名日期</w:t>
            </w:r>
          </w:p>
        </w:tc>
        <w:tc>
          <w:tcPr>
            <w:tcW w:w="3685" w:type="dxa"/>
            <w:tcBorders>
              <w:top w:val="single" w:color="000000" w:sz="4" w:space="0"/>
              <w:left w:val="single" w:color="000000" w:sz="4" w:space="0"/>
              <w:bottom w:val="single" w:color="000000" w:sz="4" w:space="0"/>
              <w:right w:val="single" w:color="000000" w:sz="4" w:space="0"/>
            </w:tcBorders>
            <w:noWrap/>
            <w:vAlign w:val="center"/>
          </w:tcPr>
          <w:p>
            <w:pPr>
              <w:spacing w:line="440" w:lineRule="exact"/>
              <w:ind w:left="-106" w:leftChars="-47"/>
              <w:jc w:val="center"/>
              <w:textAlignment w:val="center"/>
              <w:rPr>
                <w:rFonts w:hint="eastAsia" w:ascii="宋体" w:hAnsi="宋体" w:eastAsia="宋体"/>
                <w:spacing w:val="9"/>
                <w:sz w:val="28"/>
                <w:szCs w:val="28"/>
                <w:lang w:eastAsia="zh-CN"/>
              </w:rPr>
            </w:pPr>
            <w:r>
              <w:rPr>
                <w:rFonts w:hint="eastAsia" w:ascii="Cambria" w:hAnsi="Cambria"/>
                <w:bCs/>
                <w:kern w:val="28"/>
                <w:sz w:val="28"/>
                <w:szCs w:val="32"/>
                <w:lang w:eastAsia="zh-CN"/>
              </w:rPr>
              <w:t>2022年10月10日</w:t>
            </w:r>
          </w:p>
        </w:tc>
        <w:tc>
          <w:tcPr>
            <w:tcW w:w="3686" w:type="dxa"/>
            <w:tcBorders>
              <w:top w:val="single" w:color="000000" w:sz="4" w:space="0"/>
              <w:left w:val="single" w:color="000000" w:sz="4" w:space="0"/>
              <w:bottom w:val="single" w:color="000000" w:sz="4" w:space="0"/>
              <w:right w:val="single" w:color="000000" w:sz="4" w:space="0"/>
            </w:tcBorders>
            <w:noWrap/>
            <w:vAlign w:val="center"/>
          </w:tcPr>
          <w:p>
            <w:pPr>
              <w:tabs>
                <w:tab w:val="left" w:pos="3719"/>
              </w:tabs>
              <w:spacing w:line="440" w:lineRule="exact"/>
              <w:ind w:left="-106" w:leftChars="-47"/>
              <w:jc w:val="center"/>
              <w:textAlignment w:val="center"/>
              <w:rPr>
                <w:rFonts w:hint="eastAsia" w:ascii="宋体" w:hAnsi="宋体" w:eastAsia="宋体"/>
                <w:spacing w:val="9"/>
                <w:sz w:val="28"/>
                <w:szCs w:val="28"/>
                <w:lang w:eastAsia="zh-CN"/>
              </w:rPr>
            </w:pPr>
            <w:r>
              <w:rPr>
                <w:rFonts w:hint="eastAsia" w:ascii="Cambria" w:hAnsi="Cambria"/>
                <w:bCs/>
                <w:kern w:val="28"/>
                <w:sz w:val="28"/>
                <w:szCs w:val="32"/>
                <w:lang w:eastAsia="zh-CN"/>
              </w:rPr>
              <w:t>2022年10月10日</w:t>
            </w:r>
          </w:p>
        </w:tc>
      </w:tr>
    </w:tbl>
    <w:p>
      <w:pPr>
        <w:tabs>
          <w:tab w:val="left" w:pos="284"/>
        </w:tabs>
        <w:spacing w:line="560" w:lineRule="exact"/>
        <w:ind w:left="-2" w:leftChars="-1" w:firstLine="297" w:firstLineChars="100"/>
        <w:rPr>
          <w:sz w:val="28"/>
          <w:szCs w:val="28"/>
        </w:rPr>
      </w:pPr>
      <w:r>
        <w:rPr>
          <w:rFonts w:hint="eastAsia"/>
          <w:sz w:val="28"/>
          <w:szCs w:val="28"/>
        </w:rPr>
        <w:t>十二、实地查勘期</w:t>
      </w:r>
      <w:bookmarkEnd w:id="74"/>
      <w:bookmarkEnd w:id="75"/>
      <w:bookmarkEnd w:id="76"/>
    </w:p>
    <w:p>
      <w:pPr>
        <w:spacing w:line="600" w:lineRule="exact"/>
        <w:ind w:left="1" w:firstLine="594" w:firstLineChars="200"/>
        <w:textAlignment w:val="center"/>
        <w:rPr>
          <w:rFonts w:hint="eastAsia" w:ascii="Cambria" w:hAnsi="Cambria" w:eastAsia="宋体"/>
          <w:bCs/>
          <w:kern w:val="28"/>
          <w:sz w:val="28"/>
          <w:szCs w:val="32"/>
          <w:lang w:eastAsia="zh-CN"/>
        </w:rPr>
      </w:pPr>
      <w:r>
        <w:rPr>
          <w:rFonts w:hint="eastAsia" w:ascii="Cambria" w:hAnsi="Cambria"/>
          <w:bCs/>
          <w:kern w:val="28"/>
          <w:sz w:val="28"/>
          <w:szCs w:val="32"/>
          <w:lang w:eastAsia="zh-CN"/>
        </w:rPr>
        <w:t>2022年09月21日</w:t>
      </w:r>
    </w:p>
    <w:p>
      <w:pPr>
        <w:pStyle w:val="4"/>
        <w:ind w:left="0" w:leftChars="0" w:right="227" w:firstLine="297" w:firstLineChars="100"/>
      </w:pPr>
      <w:bookmarkStart w:id="77" w:name="_Toc19110978"/>
      <w:bookmarkStart w:id="78" w:name="_Toc19110119"/>
      <w:bookmarkStart w:id="79" w:name="_Toc18236186"/>
      <w:bookmarkStart w:id="80" w:name="_Toc17597"/>
      <w:bookmarkStart w:id="81" w:name="_Toc24196"/>
      <w:r>
        <w:rPr>
          <w:rFonts w:hint="eastAsia"/>
        </w:rPr>
        <w:t>十三、估价作业期</w:t>
      </w:r>
      <w:bookmarkEnd w:id="77"/>
      <w:bookmarkEnd w:id="78"/>
      <w:bookmarkEnd w:id="79"/>
      <w:bookmarkEnd w:id="80"/>
      <w:bookmarkEnd w:id="81"/>
    </w:p>
    <w:p>
      <w:pPr>
        <w:spacing w:line="600" w:lineRule="exact"/>
        <w:ind w:left="1" w:firstLine="594" w:firstLineChars="200"/>
        <w:textAlignment w:val="center"/>
        <w:rPr>
          <w:rFonts w:hint="eastAsia" w:ascii="Cambria" w:hAnsi="Cambria" w:eastAsia="宋体"/>
          <w:bCs/>
          <w:kern w:val="28"/>
          <w:sz w:val="28"/>
          <w:szCs w:val="32"/>
          <w:lang w:eastAsia="zh-CN"/>
        </w:rPr>
      </w:pPr>
      <w:r>
        <w:rPr>
          <w:rFonts w:hint="eastAsia" w:ascii="Cambria" w:hAnsi="Cambria"/>
          <w:bCs/>
          <w:kern w:val="28"/>
          <w:sz w:val="28"/>
          <w:szCs w:val="32"/>
          <w:lang w:eastAsia="zh-CN"/>
        </w:rPr>
        <w:t>2022年09月21日</w:t>
      </w:r>
      <w:r>
        <w:rPr>
          <w:rFonts w:hint="eastAsia" w:ascii="Cambria" w:hAnsi="Cambria"/>
          <w:bCs/>
          <w:kern w:val="28"/>
          <w:sz w:val="28"/>
          <w:szCs w:val="32"/>
        </w:rPr>
        <w:t>至</w:t>
      </w:r>
      <w:r>
        <w:rPr>
          <w:rFonts w:hint="eastAsia" w:ascii="Cambria" w:hAnsi="Cambria"/>
          <w:bCs/>
          <w:kern w:val="28"/>
          <w:sz w:val="28"/>
          <w:szCs w:val="32"/>
          <w:lang w:eastAsia="zh-CN"/>
        </w:rPr>
        <w:t>2022年10月10日</w:t>
      </w:r>
    </w:p>
    <w:p>
      <w:pPr>
        <w:rPr>
          <w:rFonts w:ascii="宋体" w:hAnsi="宋体"/>
          <w:bCs/>
          <w:sz w:val="48"/>
          <w:szCs w:val="48"/>
        </w:rPr>
      </w:pPr>
    </w:p>
    <w:p>
      <w:pPr>
        <w:pStyle w:val="19"/>
        <w:pageBreakBefore/>
      </w:pPr>
      <w:bookmarkStart w:id="82" w:name="_Toc19110979"/>
      <w:bookmarkStart w:id="83" w:name="_Toc18236187"/>
      <w:bookmarkStart w:id="84" w:name="_Toc19110120"/>
      <w:bookmarkStart w:id="85" w:name="_Toc3300"/>
      <w:bookmarkStart w:id="86" w:name="_Toc4651"/>
      <w:r>
        <w:rPr>
          <w:rFonts w:hint="eastAsia"/>
        </w:rPr>
        <w:t>附 件</w:t>
      </w:r>
      <w:bookmarkEnd w:id="82"/>
      <w:bookmarkEnd w:id="83"/>
      <w:bookmarkEnd w:id="84"/>
      <w:bookmarkEnd w:id="85"/>
      <w:bookmarkEnd w:id="86"/>
    </w:p>
    <w:p>
      <w:pPr>
        <w:spacing w:line="560" w:lineRule="exact"/>
        <w:rPr>
          <w:rFonts w:ascii="宋体" w:hAnsi="宋体"/>
          <w:sz w:val="28"/>
          <w:szCs w:val="28"/>
        </w:rPr>
      </w:pPr>
    </w:p>
    <w:p>
      <w:pPr>
        <w:pStyle w:val="4"/>
        <w:ind w:left="227" w:right="227"/>
      </w:pPr>
      <w:bookmarkStart w:id="87" w:name="_Toc18236188"/>
      <w:bookmarkStart w:id="88" w:name="_Toc19110980"/>
      <w:bookmarkStart w:id="89" w:name="_Toc12781"/>
      <w:bookmarkStart w:id="90" w:name="_Toc19110121"/>
      <w:bookmarkStart w:id="91" w:name="_Toc25447"/>
      <w:r>
        <w:rPr>
          <w:rFonts w:hint="eastAsia"/>
        </w:rPr>
        <w:t>一、估价委托书及风险告知书复印件</w:t>
      </w:r>
      <w:bookmarkEnd w:id="87"/>
      <w:bookmarkEnd w:id="88"/>
      <w:bookmarkEnd w:id="89"/>
      <w:bookmarkEnd w:id="90"/>
      <w:bookmarkEnd w:id="91"/>
    </w:p>
    <w:p>
      <w:pPr>
        <w:pStyle w:val="4"/>
        <w:ind w:left="227" w:right="227"/>
      </w:pPr>
      <w:bookmarkStart w:id="92" w:name="_Toc18236189"/>
      <w:bookmarkStart w:id="93" w:name="_Toc19110122"/>
      <w:bookmarkStart w:id="94" w:name="_Toc1360"/>
      <w:bookmarkStart w:id="95" w:name="_Toc2307"/>
      <w:bookmarkStart w:id="96" w:name="_Toc19110981"/>
      <w:r>
        <w:rPr>
          <w:rFonts w:hint="eastAsia"/>
        </w:rPr>
        <w:t>二、</w:t>
      </w:r>
      <w:bookmarkEnd w:id="92"/>
      <w:r>
        <w:rPr>
          <w:rFonts w:hint="eastAsia"/>
        </w:rPr>
        <w:t>估价对象权属证明复印件</w:t>
      </w:r>
      <w:bookmarkEnd w:id="93"/>
      <w:bookmarkEnd w:id="94"/>
      <w:bookmarkEnd w:id="95"/>
      <w:bookmarkEnd w:id="96"/>
    </w:p>
    <w:p>
      <w:pPr>
        <w:pStyle w:val="4"/>
        <w:ind w:left="227" w:right="227"/>
      </w:pPr>
      <w:bookmarkStart w:id="97" w:name="_Toc18236190"/>
      <w:bookmarkStart w:id="98" w:name="_Toc4140"/>
      <w:bookmarkStart w:id="99" w:name="_Toc19110982"/>
      <w:bookmarkStart w:id="100" w:name="_Toc13602"/>
      <w:bookmarkStart w:id="101" w:name="_Toc19110123"/>
      <w:r>
        <w:rPr>
          <w:rFonts w:hint="eastAsia"/>
        </w:rPr>
        <w:t>三、</w:t>
      </w:r>
      <w:bookmarkEnd w:id="97"/>
      <w:r>
        <w:rPr>
          <w:rFonts w:hint="eastAsia"/>
        </w:rPr>
        <w:t>估价对象地理位置图及影像资料</w:t>
      </w:r>
      <w:bookmarkEnd w:id="98"/>
      <w:bookmarkEnd w:id="99"/>
      <w:bookmarkEnd w:id="100"/>
      <w:bookmarkEnd w:id="101"/>
    </w:p>
    <w:p>
      <w:pPr>
        <w:pStyle w:val="4"/>
        <w:ind w:left="227" w:right="227"/>
      </w:pPr>
      <w:bookmarkStart w:id="102" w:name="_Toc18236191"/>
      <w:bookmarkStart w:id="103" w:name="_Toc18818"/>
      <w:bookmarkStart w:id="104" w:name="_Toc20694"/>
      <w:bookmarkStart w:id="105" w:name="_Toc19110124"/>
      <w:bookmarkStart w:id="106" w:name="_Toc19110983"/>
      <w:r>
        <w:rPr>
          <w:rFonts w:hint="eastAsia"/>
        </w:rPr>
        <w:t>四、</w:t>
      </w:r>
      <w:bookmarkEnd w:id="102"/>
      <w:r>
        <w:rPr>
          <w:rFonts w:hint="eastAsia"/>
        </w:rPr>
        <w:t>估价对象现场查勘表复印件</w:t>
      </w:r>
      <w:bookmarkEnd w:id="103"/>
      <w:bookmarkEnd w:id="104"/>
      <w:bookmarkEnd w:id="105"/>
      <w:bookmarkEnd w:id="106"/>
    </w:p>
    <w:p>
      <w:pPr>
        <w:pStyle w:val="4"/>
        <w:ind w:left="227" w:right="227"/>
      </w:pPr>
      <w:bookmarkStart w:id="107" w:name="_Toc18236192"/>
      <w:bookmarkStart w:id="108" w:name="_Toc19110125"/>
      <w:bookmarkStart w:id="109" w:name="_Toc19110984"/>
      <w:bookmarkStart w:id="110" w:name="_Toc16627"/>
      <w:bookmarkStart w:id="111" w:name="_Toc19632"/>
      <w:r>
        <w:rPr>
          <w:rFonts w:hint="eastAsia"/>
        </w:rPr>
        <w:t>五、</w:t>
      </w:r>
      <w:bookmarkEnd w:id="107"/>
      <w:bookmarkEnd w:id="108"/>
      <w:bookmarkEnd w:id="109"/>
      <w:r>
        <w:rPr>
          <w:rFonts w:hint="eastAsia"/>
        </w:rPr>
        <w:t>房地产估价机构营业执照、估价资质证及房地产估价师注册证书复印件</w:t>
      </w:r>
      <w:bookmarkEnd w:id="110"/>
      <w:bookmarkEnd w:id="111"/>
    </w:p>
    <w:p>
      <w:pPr>
        <w:pStyle w:val="4"/>
        <w:ind w:left="227" w:right="227"/>
      </w:pPr>
    </w:p>
    <w:p>
      <w:pPr>
        <w:pStyle w:val="4"/>
        <w:ind w:left="227" w:right="227"/>
      </w:pPr>
    </w:p>
    <w:p/>
    <w:p>
      <w:pPr>
        <w:spacing w:line="1000" w:lineRule="exact"/>
        <w:ind w:left="1" w:firstLine="594" w:firstLineChars="200"/>
        <w:textAlignment w:val="center"/>
        <w:rPr>
          <w:rFonts w:ascii="宋体" w:hAnsi="宋体" w:cs="仿宋_GB2312"/>
          <w:sz w:val="28"/>
        </w:rPr>
      </w:pPr>
    </w:p>
    <w:p>
      <w:pPr>
        <w:spacing w:line="1000" w:lineRule="exact"/>
        <w:ind w:left="1" w:firstLine="594" w:firstLineChars="200"/>
        <w:textAlignment w:val="center"/>
        <w:rPr>
          <w:rFonts w:ascii="宋体" w:hAnsi="宋体" w:cs="仿宋_GB2312"/>
          <w:sz w:val="28"/>
        </w:rPr>
      </w:pPr>
    </w:p>
    <w:p>
      <w:pPr>
        <w:spacing w:line="1000" w:lineRule="exact"/>
        <w:ind w:left="1" w:firstLine="594" w:firstLineChars="200"/>
        <w:textAlignment w:val="center"/>
        <w:rPr>
          <w:rFonts w:ascii="宋体" w:hAnsi="宋体" w:cs="仿宋_GB2312"/>
          <w:sz w:val="28"/>
        </w:rPr>
      </w:pPr>
    </w:p>
    <w:p>
      <w:pPr>
        <w:spacing w:line="1000" w:lineRule="exact"/>
        <w:ind w:left="1" w:firstLine="594" w:firstLineChars="200"/>
        <w:textAlignment w:val="center"/>
        <w:rPr>
          <w:rFonts w:ascii="宋体" w:hAnsi="宋体" w:cs="仿宋_GB2312"/>
          <w:sz w:val="28"/>
        </w:rPr>
      </w:pPr>
    </w:p>
    <w:p>
      <w:pPr>
        <w:spacing w:line="1000" w:lineRule="exact"/>
        <w:ind w:left="1" w:firstLine="594" w:firstLineChars="200"/>
        <w:textAlignment w:val="center"/>
        <w:rPr>
          <w:rFonts w:ascii="宋体" w:hAnsi="宋体" w:cs="仿宋_GB2312"/>
          <w:sz w:val="28"/>
        </w:rPr>
      </w:pPr>
    </w:p>
    <w:p>
      <w:pPr>
        <w:pageBreakBefore/>
        <w:spacing w:line="560" w:lineRule="atLeast"/>
        <w:jc w:val="center"/>
        <w:rPr>
          <w:rFonts w:ascii="宋体"/>
          <w:bCs/>
          <w:sz w:val="44"/>
          <w:szCs w:val="44"/>
        </w:rPr>
      </w:pPr>
      <w:r>
        <w:rPr>
          <w:rFonts w:hint="eastAsia" w:ascii="宋体" w:hAnsi="宋体"/>
          <w:bCs/>
          <w:sz w:val="44"/>
          <w:szCs w:val="44"/>
        </w:rPr>
        <w:t>估价技术报告目录</w:t>
      </w:r>
    </w:p>
    <w:p>
      <w:pPr>
        <w:pStyle w:val="15"/>
        <w:spacing w:before="78" w:after="78"/>
        <w:ind w:left="564" w:leftChars="188" w:hanging="138" w:hangingChars="54"/>
        <w:rPr>
          <w:rFonts w:eastAsia="宋体" w:asciiTheme="minorHAnsi" w:hAnsiTheme="minorHAnsi" w:cstheme="minorBidi"/>
          <w:sz w:val="21"/>
          <w:szCs w:val="22"/>
        </w:rPr>
      </w:pPr>
      <w:r>
        <w:rPr>
          <w:rFonts w:ascii="宋体" w:hAnsi="宋体" w:eastAsia="宋体"/>
          <w:szCs w:val="24"/>
        </w:rPr>
        <w:fldChar w:fldCharType="begin"/>
      </w:r>
      <w:r>
        <w:rPr>
          <w:rFonts w:hint="eastAsia" w:ascii="宋体" w:hAnsi="宋体" w:eastAsia="宋体"/>
          <w:szCs w:val="24"/>
        </w:rPr>
        <w:instrText xml:space="preserve">TOC \o "1-3" \h \z \u</w:instrText>
      </w:r>
      <w:r>
        <w:rPr>
          <w:rFonts w:ascii="宋体" w:hAnsi="宋体" w:eastAsia="宋体"/>
          <w:szCs w:val="24"/>
        </w:rPr>
        <w:fldChar w:fldCharType="separate"/>
      </w:r>
      <w:r>
        <w:fldChar w:fldCharType="begin"/>
      </w:r>
      <w:r>
        <w:instrText xml:space="preserve"> HYPERLINK \l "_Toc19110986" </w:instrText>
      </w:r>
      <w:r>
        <w:fldChar w:fldCharType="separate"/>
      </w:r>
      <w:r>
        <w:rPr>
          <w:rStyle w:val="28"/>
          <w:rFonts w:hint="eastAsia" w:eastAsia="宋体"/>
          <w:color w:val="auto"/>
        </w:rPr>
        <w:t>一、估价对象描述与分析</w:t>
      </w:r>
      <w:r>
        <w:rPr>
          <w:rFonts w:eastAsia="宋体"/>
        </w:rPr>
        <w:tab/>
      </w:r>
      <w:r>
        <w:rPr>
          <w:rFonts w:hint="eastAsia" w:eastAsia="宋体"/>
        </w:rPr>
        <w:t>1</w:t>
      </w:r>
      <w:r>
        <w:rPr>
          <w:rFonts w:hint="eastAsia" w:eastAsia="宋体"/>
          <w:lang w:val="en-US" w:eastAsia="zh-CN"/>
        </w:rPr>
        <w:t>8</w:t>
      </w:r>
      <w:r>
        <w:rPr>
          <w:rFonts w:hint="eastAsia" w:eastAsia="宋体"/>
        </w:rPr>
        <w:fldChar w:fldCharType="end"/>
      </w:r>
    </w:p>
    <w:p>
      <w:pPr>
        <w:pStyle w:val="17"/>
        <w:spacing w:before="78" w:after="78"/>
        <w:ind w:left="424" w:leftChars="187"/>
        <w:rPr>
          <w:rFonts w:hint="eastAsia" w:eastAsia="宋体" w:asciiTheme="minorHAnsi" w:hAnsiTheme="minorHAnsi" w:cstheme="minorBidi"/>
          <w:sz w:val="21"/>
          <w:szCs w:val="22"/>
          <w:lang w:val="en-US" w:eastAsia="zh-CN"/>
        </w:rPr>
      </w:pPr>
      <w:r>
        <w:fldChar w:fldCharType="begin"/>
      </w:r>
      <w:r>
        <w:instrText xml:space="preserve"> HYPERLINK \l "_Toc19110987" </w:instrText>
      </w:r>
      <w:r>
        <w:fldChar w:fldCharType="separate"/>
      </w:r>
      <w:r>
        <w:rPr>
          <w:rStyle w:val="28"/>
          <w:rFonts w:hint="eastAsia" w:eastAsia="宋体"/>
          <w:color w:val="auto"/>
        </w:rPr>
        <w:t>二、市场背景描述与分析</w:t>
      </w:r>
      <w:r>
        <w:rPr>
          <w:rFonts w:eastAsia="宋体"/>
        </w:rPr>
        <w:tab/>
      </w:r>
      <w:r>
        <w:rPr>
          <w:rFonts w:hint="eastAsia" w:eastAsia="宋体"/>
          <w:lang w:val="en-US" w:eastAsia="zh-CN"/>
        </w:rPr>
        <w:t>2</w:t>
      </w:r>
      <w:r>
        <w:rPr>
          <w:rFonts w:hint="eastAsia" w:eastAsia="宋体"/>
        </w:rPr>
        <w:fldChar w:fldCharType="end"/>
      </w:r>
      <w:r>
        <w:rPr>
          <w:rFonts w:hint="eastAsia" w:eastAsia="宋体"/>
          <w:lang w:val="en-US" w:eastAsia="zh-CN"/>
        </w:rPr>
        <w:t>0</w:t>
      </w:r>
    </w:p>
    <w:p>
      <w:pPr>
        <w:pStyle w:val="17"/>
        <w:spacing w:before="78" w:after="78"/>
        <w:ind w:left="424" w:leftChars="187"/>
        <w:rPr>
          <w:rFonts w:hint="eastAsia" w:eastAsia="宋体" w:asciiTheme="minorHAnsi" w:hAnsiTheme="minorHAnsi" w:cstheme="minorBidi"/>
          <w:sz w:val="21"/>
          <w:szCs w:val="22"/>
          <w:lang w:val="en-US" w:eastAsia="zh-CN"/>
        </w:rPr>
      </w:pPr>
      <w:r>
        <w:fldChar w:fldCharType="begin"/>
      </w:r>
      <w:r>
        <w:instrText xml:space="preserve"> HYPERLINK \l "_Toc19110988" </w:instrText>
      </w:r>
      <w:r>
        <w:fldChar w:fldCharType="separate"/>
      </w:r>
      <w:r>
        <w:rPr>
          <w:rStyle w:val="28"/>
          <w:rFonts w:hint="eastAsia" w:eastAsia="宋体"/>
          <w:color w:val="auto"/>
        </w:rPr>
        <w:t>三、估价对象最高最佳利用分析</w:t>
      </w:r>
      <w:r>
        <w:rPr>
          <w:rFonts w:eastAsia="宋体"/>
        </w:rPr>
        <w:tab/>
      </w:r>
      <w:r>
        <w:rPr>
          <w:rFonts w:hint="eastAsia" w:eastAsia="宋体"/>
          <w:lang w:val="en-US" w:eastAsia="zh-CN"/>
        </w:rPr>
        <w:t>2</w:t>
      </w:r>
      <w:r>
        <w:rPr>
          <w:rFonts w:hint="eastAsia" w:eastAsia="宋体"/>
        </w:rPr>
        <w:fldChar w:fldCharType="end"/>
      </w:r>
      <w:r>
        <w:rPr>
          <w:rFonts w:hint="eastAsia" w:eastAsia="宋体"/>
          <w:lang w:val="en-US" w:eastAsia="zh-CN"/>
        </w:rPr>
        <w:t>2</w:t>
      </w:r>
    </w:p>
    <w:p>
      <w:pPr>
        <w:pStyle w:val="17"/>
        <w:spacing w:before="78" w:after="78"/>
        <w:ind w:left="424" w:leftChars="187"/>
        <w:rPr>
          <w:rFonts w:eastAsia="宋体" w:asciiTheme="minorHAnsi" w:hAnsiTheme="minorHAnsi" w:cstheme="minorBidi"/>
          <w:sz w:val="21"/>
          <w:szCs w:val="22"/>
        </w:rPr>
      </w:pPr>
      <w:r>
        <w:fldChar w:fldCharType="begin"/>
      </w:r>
      <w:r>
        <w:instrText xml:space="preserve"> HYPERLINK \l "_Toc19110989" </w:instrText>
      </w:r>
      <w:r>
        <w:fldChar w:fldCharType="separate"/>
      </w:r>
      <w:r>
        <w:rPr>
          <w:rStyle w:val="28"/>
          <w:rFonts w:hint="eastAsia" w:eastAsia="宋体"/>
          <w:color w:val="auto"/>
        </w:rPr>
        <w:t>四、估价方法的适用性分析</w:t>
      </w:r>
      <w:r>
        <w:rPr>
          <w:rFonts w:eastAsia="宋体"/>
        </w:rPr>
        <w:tab/>
      </w:r>
      <w:r>
        <w:rPr>
          <w:rFonts w:hint="eastAsia" w:eastAsia="宋体"/>
        </w:rPr>
        <w:t>2</w:t>
      </w:r>
      <w:r>
        <w:rPr>
          <w:rFonts w:hint="eastAsia" w:eastAsia="宋体"/>
          <w:lang w:val="en-US" w:eastAsia="zh-CN"/>
        </w:rPr>
        <w:t>3</w:t>
      </w:r>
      <w:r>
        <w:rPr>
          <w:rFonts w:hint="eastAsia" w:eastAsia="宋体"/>
        </w:rPr>
        <w:fldChar w:fldCharType="end"/>
      </w:r>
    </w:p>
    <w:p>
      <w:pPr>
        <w:pStyle w:val="17"/>
        <w:spacing w:before="78" w:after="78"/>
        <w:ind w:left="424" w:leftChars="187"/>
        <w:rPr>
          <w:rFonts w:eastAsia="宋体" w:asciiTheme="minorHAnsi" w:hAnsiTheme="minorHAnsi" w:cstheme="minorBidi"/>
          <w:sz w:val="21"/>
          <w:szCs w:val="22"/>
        </w:rPr>
      </w:pPr>
      <w:r>
        <w:fldChar w:fldCharType="begin"/>
      </w:r>
      <w:r>
        <w:instrText xml:space="preserve"> HYPERLINK \l "_Toc19110990" </w:instrText>
      </w:r>
      <w:r>
        <w:fldChar w:fldCharType="separate"/>
      </w:r>
      <w:r>
        <w:rPr>
          <w:rStyle w:val="28"/>
          <w:rFonts w:hint="eastAsia" w:eastAsia="宋体"/>
          <w:color w:val="auto"/>
        </w:rPr>
        <w:t>五、估价测算过程</w:t>
      </w:r>
      <w:r>
        <w:rPr>
          <w:rFonts w:eastAsia="宋体"/>
        </w:rPr>
        <w:tab/>
      </w:r>
      <w:r>
        <w:rPr>
          <w:rFonts w:hint="eastAsia" w:eastAsia="宋体"/>
        </w:rPr>
        <w:t>2</w:t>
      </w:r>
      <w:r>
        <w:rPr>
          <w:rFonts w:hint="eastAsia" w:eastAsia="宋体"/>
          <w:lang w:val="en-US" w:eastAsia="zh-CN"/>
        </w:rPr>
        <w:t>5</w:t>
      </w:r>
      <w:r>
        <w:rPr>
          <w:rFonts w:hint="eastAsia" w:eastAsia="宋体"/>
        </w:rPr>
        <w:fldChar w:fldCharType="end"/>
      </w:r>
    </w:p>
    <w:p>
      <w:pPr>
        <w:pStyle w:val="17"/>
        <w:spacing w:before="78" w:after="78"/>
        <w:ind w:left="424" w:leftChars="187"/>
        <w:rPr>
          <w:rFonts w:hint="eastAsia" w:eastAsia="宋体" w:asciiTheme="minorHAnsi" w:hAnsiTheme="minorHAnsi" w:cstheme="minorBidi"/>
          <w:sz w:val="21"/>
          <w:szCs w:val="22"/>
          <w:lang w:val="en-US" w:eastAsia="zh-CN"/>
        </w:rPr>
      </w:pPr>
      <w:r>
        <w:fldChar w:fldCharType="begin"/>
      </w:r>
      <w:r>
        <w:instrText xml:space="preserve"> HYPERLINK \l "_Toc19110991" </w:instrText>
      </w:r>
      <w:r>
        <w:fldChar w:fldCharType="separate"/>
      </w:r>
      <w:r>
        <w:rPr>
          <w:rStyle w:val="28"/>
          <w:rFonts w:hint="eastAsia" w:eastAsia="宋体"/>
          <w:color w:val="auto"/>
        </w:rPr>
        <w:t>六、估价结果确定</w:t>
      </w:r>
      <w:r>
        <w:rPr>
          <w:rFonts w:eastAsia="宋体"/>
        </w:rPr>
        <w:tab/>
      </w:r>
      <w:r>
        <w:rPr>
          <w:rFonts w:hint="eastAsia" w:eastAsia="宋体"/>
          <w:lang w:val="en-US" w:eastAsia="zh-CN"/>
        </w:rPr>
        <w:t>3</w:t>
      </w:r>
      <w:r>
        <w:rPr>
          <w:rFonts w:hint="eastAsia" w:eastAsia="宋体"/>
        </w:rPr>
        <w:fldChar w:fldCharType="end"/>
      </w:r>
      <w:r>
        <w:rPr>
          <w:rFonts w:hint="eastAsia" w:eastAsia="宋体"/>
          <w:lang w:val="en-US" w:eastAsia="zh-CN"/>
        </w:rPr>
        <w:t>1</w:t>
      </w:r>
    </w:p>
    <w:p>
      <w:pPr>
        <w:pageBreakBefore/>
        <w:spacing w:line="1000" w:lineRule="exact"/>
        <w:jc w:val="center"/>
        <w:textAlignment w:val="center"/>
        <w:rPr>
          <w:rFonts w:ascii="宋体" w:hAnsi="宋体" w:cs="仿宋_GB2312"/>
          <w:sz w:val="48"/>
          <w:szCs w:val="48"/>
        </w:rPr>
      </w:pPr>
      <w:r>
        <w:rPr>
          <w:rFonts w:ascii="宋体" w:hAnsi="宋体" w:eastAsia="宋体"/>
          <w:szCs w:val="24"/>
        </w:rPr>
        <w:fldChar w:fldCharType="end"/>
      </w:r>
      <w:r>
        <w:rPr>
          <w:rFonts w:hint="eastAsia" w:ascii="宋体" w:hAnsi="宋体" w:cs="仿宋_GB2312"/>
          <w:sz w:val="44"/>
        </w:rPr>
        <w:t>估价技术报告</w:t>
      </w:r>
    </w:p>
    <w:p>
      <w:pPr>
        <w:pStyle w:val="3"/>
      </w:pPr>
      <w:bookmarkStart w:id="112" w:name="_Toc19110127"/>
      <w:bookmarkStart w:id="113" w:name="_Toc16068"/>
      <w:bookmarkStart w:id="114" w:name="_Toc31903"/>
      <w:bookmarkStart w:id="115" w:name="_Toc18234331"/>
      <w:bookmarkStart w:id="116" w:name="_Toc18236194"/>
      <w:bookmarkStart w:id="117" w:name="_Toc18233389"/>
      <w:r>
        <w:rPr>
          <w:rFonts w:hint="eastAsia"/>
        </w:rPr>
        <w:t>一、估价对象描述与分析</w:t>
      </w:r>
      <w:bookmarkEnd w:id="112"/>
      <w:bookmarkEnd w:id="113"/>
      <w:bookmarkEnd w:id="114"/>
      <w:bookmarkEnd w:id="115"/>
      <w:bookmarkEnd w:id="116"/>
      <w:bookmarkEnd w:id="117"/>
    </w:p>
    <w:p>
      <w:pPr>
        <w:spacing w:line="560" w:lineRule="exact"/>
        <w:rPr>
          <w:rFonts w:ascii="宋体" w:hAnsi="宋体" w:cs="仿宋_GB2312"/>
          <w:sz w:val="28"/>
          <w:szCs w:val="28"/>
        </w:rPr>
      </w:pPr>
      <w:r>
        <w:rPr>
          <w:rFonts w:hint="eastAsia" w:ascii="宋体" w:hAnsi="宋体" w:cs="仿宋_GB2312"/>
          <w:szCs w:val="28"/>
        </w:rPr>
        <w:t>（</w:t>
      </w:r>
      <w:r>
        <w:rPr>
          <w:rFonts w:hint="eastAsia" w:ascii="宋体" w:hAnsi="宋体" w:cs="仿宋_GB2312"/>
          <w:sz w:val="28"/>
          <w:szCs w:val="28"/>
        </w:rPr>
        <w:t>一）权益状况、土地基本状况、建筑物基本状况描述</w:t>
      </w:r>
    </w:p>
    <w:tbl>
      <w:tblPr>
        <w:tblStyle w:val="21"/>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425"/>
        <w:gridCol w:w="1276"/>
        <w:gridCol w:w="425"/>
        <w:gridCol w:w="1134"/>
        <w:gridCol w:w="425"/>
        <w:gridCol w:w="803"/>
        <w:gridCol w:w="331"/>
        <w:gridCol w:w="425"/>
        <w:gridCol w:w="1134"/>
        <w:gridCol w:w="142"/>
        <w:gridCol w:w="330"/>
        <w:gridCol w:w="80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gridSpan w:val="4"/>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坐落</w:t>
            </w:r>
          </w:p>
        </w:tc>
        <w:tc>
          <w:tcPr>
            <w:tcW w:w="7087" w:type="dxa"/>
            <w:gridSpan w:val="10"/>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永胜县永北镇兰桂小区2单元502室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3" w:hRule="atLeast"/>
        </w:trPr>
        <w:tc>
          <w:tcPr>
            <w:tcW w:w="851" w:type="dxa"/>
            <w:gridSpan w:val="2"/>
            <w:vMerge w:val="restart"/>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权益</w:t>
            </w:r>
          </w:p>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状况</w:t>
            </w:r>
          </w:p>
        </w:tc>
        <w:tc>
          <w:tcPr>
            <w:tcW w:w="1701" w:type="dxa"/>
            <w:gridSpan w:val="2"/>
            <w:vAlign w:val="center"/>
          </w:tcPr>
          <w:p>
            <w:pPr>
              <w:widowControl/>
              <w:jc w:val="center"/>
              <w:rPr>
                <w:rFonts w:hint="eastAsia" w:cs="宋体" w:asciiTheme="minorEastAsia" w:hAnsiTheme="minorEastAsia" w:eastAsiaTheme="minorEastAsia"/>
                <w:sz w:val="18"/>
                <w:szCs w:val="18"/>
                <w:lang w:eastAsia="zh-CN"/>
              </w:rPr>
            </w:pPr>
            <w:r>
              <w:rPr>
                <w:rFonts w:hint="eastAsia" w:cs="宋体" w:asciiTheme="minorEastAsia" w:hAnsiTheme="minorEastAsia" w:eastAsiaTheme="minorEastAsia"/>
                <w:sz w:val="18"/>
                <w:szCs w:val="18"/>
                <w:lang w:val="en-US" w:eastAsia="zh-CN"/>
              </w:rPr>
              <w:t>不动产权证</w:t>
            </w:r>
          </w:p>
        </w:tc>
        <w:tc>
          <w:tcPr>
            <w:tcW w:w="7087" w:type="dxa"/>
            <w:gridSpan w:val="10"/>
            <w:vAlign w:val="center"/>
          </w:tcPr>
          <w:p>
            <w:pPr>
              <w:widowControl/>
              <w:spacing w:line="30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lang w:val="en-US" w:eastAsia="zh-CN"/>
              </w:rPr>
              <w:t>云（2018）永胜县不动产权第0001621号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gridSpan w:val="2"/>
            <w:vMerge w:val="continue"/>
            <w:vAlign w:val="center"/>
          </w:tcPr>
          <w:p>
            <w:pPr>
              <w:widowControl/>
              <w:jc w:val="center"/>
              <w:rPr>
                <w:rFonts w:cs="宋体" w:asciiTheme="minorEastAsia" w:hAnsiTheme="minorEastAsia" w:eastAsiaTheme="minorEastAsia"/>
                <w:sz w:val="18"/>
                <w:szCs w:val="18"/>
              </w:rPr>
            </w:pPr>
          </w:p>
        </w:tc>
        <w:tc>
          <w:tcPr>
            <w:tcW w:w="1701" w:type="dxa"/>
            <w:gridSpan w:val="2"/>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房屋所有权人</w:t>
            </w:r>
          </w:p>
        </w:tc>
        <w:tc>
          <w:tcPr>
            <w:tcW w:w="2362" w:type="dxa"/>
            <w:gridSpan w:val="3"/>
            <w:vAlign w:val="center"/>
          </w:tcPr>
          <w:p>
            <w:pPr>
              <w:widowControl/>
              <w:spacing w:line="30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lang w:val="en-US" w:eastAsia="zh-CN"/>
              </w:rPr>
              <w:t>贺东红、李鹏鸿</w:t>
            </w:r>
          </w:p>
        </w:tc>
        <w:tc>
          <w:tcPr>
            <w:tcW w:w="2362" w:type="dxa"/>
            <w:gridSpan w:val="5"/>
            <w:vAlign w:val="center"/>
          </w:tcPr>
          <w:p>
            <w:pPr>
              <w:widowControl/>
              <w:spacing w:line="30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共有情况</w:t>
            </w:r>
          </w:p>
        </w:tc>
        <w:tc>
          <w:tcPr>
            <w:tcW w:w="2363" w:type="dxa"/>
            <w:gridSpan w:val="2"/>
            <w:vAlign w:val="center"/>
          </w:tcPr>
          <w:p>
            <w:pPr>
              <w:widowControl/>
              <w:spacing w:line="30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lang w:val="en-US" w:eastAsia="zh-CN"/>
              </w:rPr>
              <w:t>按份共有（各50%）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gridSpan w:val="2"/>
            <w:vMerge w:val="continue"/>
            <w:vAlign w:val="center"/>
          </w:tcPr>
          <w:p>
            <w:pPr>
              <w:widowControl/>
              <w:jc w:val="center"/>
              <w:rPr>
                <w:rFonts w:cs="宋体" w:asciiTheme="minorEastAsia" w:hAnsiTheme="minorEastAsia" w:eastAsiaTheme="minorEastAsia"/>
                <w:sz w:val="18"/>
                <w:szCs w:val="18"/>
              </w:rPr>
            </w:pPr>
          </w:p>
        </w:tc>
        <w:tc>
          <w:tcPr>
            <w:tcW w:w="1701" w:type="dxa"/>
            <w:gridSpan w:val="2"/>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房屋规划用途</w:t>
            </w:r>
          </w:p>
        </w:tc>
        <w:tc>
          <w:tcPr>
            <w:tcW w:w="1134" w:type="dxa"/>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住宅</w:t>
            </w:r>
          </w:p>
        </w:tc>
        <w:tc>
          <w:tcPr>
            <w:tcW w:w="1559" w:type="dxa"/>
            <w:gridSpan w:val="3"/>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权属来源</w:t>
            </w:r>
          </w:p>
        </w:tc>
        <w:tc>
          <w:tcPr>
            <w:tcW w:w="1701" w:type="dxa"/>
            <w:gridSpan w:val="3"/>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购买</w:t>
            </w:r>
          </w:p>
        </w:tc>
        <w:tc>
          <w:tcPr>
            <w:tcW w:w="1134" w:type="dxa"/>
            <w:gridSpan w:val="2"/>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建筑面积</w:t>
            </w:r>
          </w:p>
        </w:tc>
        <w:tc>
          <w:tcPr>
            <w:tcW w:w="1559" w:type="dxa"/>
            <w:vAlign w:val="center"/>
          </w:tcPr>
          <w:p>
            <w:pPr>
              <w:widowControl/>
              <w:jc w:val="center"/>
              <w:rPr>
                <w:rFonts w:cs="宋体" w:asciiTheme="minorEastAsia" w:hAnsiTheme="minorEastAsia" w:eastAsiaTheme="minorEastAsia"/>
                <w:sz w:val="18"/>
                <w:szCs w:val="18"/>
              </w:rPr>
            </w:pPr>
            <w:r>
              <w:rPr>
                <w:rFonts w:hint="eastAsia" w:cs="仿宋_GB2312" w:asciiTheme="minorEastAsia" w:hAnsiTheme="minorEastAsia" w:eastAsiaTheme="minorEastAsia"/>
                <w:sz w:val="18"/>
                <w:szCs w:val="18"/>
                <w:lang w:eastAsia="zh-CN"/>
              </w:rPr>
              <w:t>131.33</w:t>
            </w:r>
            <w:r>
              <w:rPr>
                <w:rFonts w:hint="eastAsia" w:cs="仿宋_GB2312" w:asciiTheme="minorEastAsia" w:hAnsiTheme="minorEastAsia" w:eastAsiaTheme="minorEastAsia"/>
                <w:sz w:val="18"/>
                <w:szCs w:val="18"/>
              </w:rPr>
              <w:t>m</w:t>
            </w:r>
            <w:r>
              <w:rPr>
                <w:rFonts w:hint="eastAsia" w:cs="仿宋_GB2312" w:asciiTheme="minorEastAsia" w:hAnsiTheme="minorEastAsia" w:eastAsiaTheme="minorEastAsia"/>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gridSpan w:val="2"/>
            <w:vMerge w:val="continue"/>
            <w:vAlign w:val="center"/>
          </w:tcPr>
          <w:p>
            <w:pPr>
              <w:widowControl/>
              <w:jc w:val="center"/>
              <w:rPr>
                <w:rFonts w:cs="宋体" w:asciiTheme="minorEastAsia" w:hAnsiTheme="minorEastAsia" w:eastAsiaTheme="minorEastAsia"/>
                <w:sz w:val="18"/>
                <w:szCs w:val="18"/>
              </w:rPr>
            </w:pPr>
          </w:p>
        </w:tc>
        <w:tc>
          <w:tcPr>
            <w:tcW w:w="1701" w:type="dxa"/>
            <w:gridSpan w:val="2"/>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土地用途</w:t>
            </w:r>
          </w:p>
        </w:tc>
        <w:tc>
          <w:tcPr>
            <w:tcW w:w="2693" w:type="dxa"/>
            <w:gridSpan w:val="4"/>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lang w:val="en-US" w:eastAsia="zh-CN"/>
              </w:rPr>
              <w:t>其他商服</w:t>
            </w:r>
            <w:r>
              <w:rPr>
                <w:rFonts w:hint="eastAsia" w:cs="宋体" w:asciiTheme="minorEastAsia" w:hAnsiTheme="minorEastAsia" w:eastAsiaTheme="minorEastAsia"/>
                <w:sz w:val="18"/>
                <w:szCs w:val="18"/>
              </w:rPr>
              <w:t>用地</w:t>
            </w:r>
          </w:p>
        </w:tc>
        <w:tc>
          <w:tcPr>
            <w:tcW w:w="1701" w:type="dxa"/>
            <w:gridSpan w:val="3"/>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土地使用权面积</w:t>
            </w:r>
          </w:p>
        </w:tc>
        <w:tc>
          <w:tcPr>
            <w:tcW w:w="2693" w:type="dxa"/>
            <w:gridSpan w:val="3"/>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lang w:val="en-US" w:eastAsia="zh-CN"/>
              </w:rPr>
              <w:t>29.22</w:t>
            </w:r>
            <w:r>
              <w:rPr>
                <w:rFonts w:hint="eastAsia" w:cs="仿宋_GB2312" w:asciiTheme="minorEastAsia" w:hAnsiTheme="minorEastAsia" w:eastAsiaTheme="minorEastAsia"/>
                <w:sz w:val="18"/>
                <w:szCs w:val="18"/>
              </w:rPr>
              <w:t>m</w:t>
            </w:r>
            <w:r>
              <w:rPr>
                <w:rFonts w:hint="eastAsia" w:cs="仿宋_GB2312" w:asciiTheme="minorEastAsia" w:hAnsiTheme="minorEastAsia" w:eastAsiaTheme="minorEastAsia"/>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gridSpan w:val="2"/>
            <w:vMerge w:val="continue"/>
            <w:vAlign w:val="center"/>
          </w:tcPr>
          <w:p>
            <w:pPr>
              <w:widowControl/>
              <w:jc w:val="center"/>
              <w:rPr>
                <w:rFonts w:cs="宋体" w:asciiTheme="minorEastAsia" w:hAnsiTheme="minorEastAsia" w:eastAsiaTheme="minorEastAsia"/>
                <w:sz w:val="18"/>
                <w:szCs w:val="18"/>
              </w:rPr>
            </w:pPr>
          </w:p>
        </w:tc>
        <w:tc>
          <w:tcPr>
            <w:tcW w:w="1701" w:type="dxa"/>
            <w:gridSpan w:val="2"/>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土地权利性质</w:t>
            </w:r>
          </w:p>
        </w:tc>
        <w:tc>
          <w:tcPr>
            <w:tcW w:w="1134" w:type="dxa"/>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lang w:val="en-US" w:eastAsia="zh-CN"/>
              </w:rPr>
              <w:t>出让</w:t>
            </w:r>
          </w:p>
        </w:tc>
        <w:tc>
          <w:tcPr>
            <w:tcW w:w="1559" w:type="dxa"/>
            <w:gridSpan w:val="3"/>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使用权期限</w:t>
            </w:r>
          </w:p>
        </w:tc>
        <w:tc>
          <w:tcPr>
            <w:tcW w:w="4394" w:type="dxa"/>
            <w:gridSpan w:val="6"/>
            <w:vAlign w:val="center"/>
          </w:tcPr>
          <w:p>
            <w:pPr>
              <w:widowControl/>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2007年11月26日起2057年11月25日止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实物状况</w:t>
            </w:r>
          </w:p>
        </w:tc>
        <w:tc>
          <w:tcPr>
            <w:tcW w:w="425" w:type="dxa"/>
            <w:vMerge w:val="restart"/>
            <w:vAlign w:val="center"/>
          </w:tcPr>
          <w:p>
            <w:pPr>
              <w:spacing w:line="28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土地状况</w:t>
            </w:r>
          </w:p>
        </w:tc>
        <w:tc>
          <w:tcPr>
            <w:tcW w:w="1701" w:type="dxa"/>
            <w:gridSpan w:val="2"/>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土地四至</w:t>
            </w:r>
          </w:p>
        </w:tc>
        <w:tc>
          <w:tcPr>
            <w:tcW w:w="7087" w:type="dxa"/>
            <w:gridSpan w:val="10"/>
            <w:vAlign w:val="center"/>
          </w:tcPr>
          <w:p>
            <w:pPr>
              <w:widowControl/>
              <w:jc w:val="center"/>
              <w:rPr>
                <w:rFonts w:cs="宋体" w:asciiTheme="minorEastAsia" w:hAnsiTheme="minorEastAsia" w:eastAsiaTheme="minorEastAsia"/>
                <w:sz w:val="18"/>
                <w:szCs w:val="18"/>
              </w:rPr>
            </w:pPr>
            <w:r>
              <w:rPr>
                <w:rFonts w:hint="eastAsia" w:ascii="宋体" w:hAnsi="宋体" w:cs="宋体"/>
                <w:kern w:val="0"/>
                <w:sz w:val="18"/>
                <w:szCs w:val="18"/>
              </w:rPr>
              <w:t>北</w:t>
            </w:r>
            <w:r>
              <w:rPr>
                <w:rFonts w:hint="eastAsia" w:ascii="宋体" w:hAnsi="宋体" w:cs="宋体"/>
                <w:kern w:val="0"/>
                <w:sz w:val="18"/>
                <w:szCs w:val="18"/>
                <w:lang w:val="en-US" w:eastAsia="zh-CN"/>
              </w:rPr>
              <w:t>临建筑物</w:t>
            </w:r>
            <w:r>
              <w:rPr>
                <w:rFonts w:hint="eastAsia" w:ascii="宋体" w:hAnsi="宋体" w:cs="宋体"/>
                <w:kern w:val="0"/>
                <w:sz w:val="18"/>
                <w:szCs w:val="18"/>
              </w:rPr>
              <w:t>，东至</w:t>
            </w:r>
            <w:r>
              <w:rPr>
                <w:rFonts w:hint="eastAsia" w:ascii="宋体" w:hAnsi="宋体" w:cs="宋体"/>
                <w:kern w:val="0"/>
                <w:sz w:val="18"/>
                <w:szCs w:val="18"/>
                <w:lang w:val="en-US" w:eastAsia="zh-CN"/>
              </w:rPr>
              <w:t>凤鸣路</w:t>
            </w:r>
            <w:r>
              <w:rPr>
                <w:rFonts w:hint="eastAsia" w:ascii="宋体" w:hAnsi="宋体" w:cs="宋体"/>
                <w:kern w:val="0"/>
                <w:sz w:val="18"/>
                <w:szCs w:val="18"/>
              </w:rPr>
              <w:t>，西</w:t>
            </w:r>
            <w:r>
              <w:rPr>
                <w:rFonts w:hint="eastAsia" w:ascii="宋体" w:hAnsi="宋体" w:cs="宋体"/>
                <w:kern w:val="0"/>
                <w:sz w:val="18"/>
                <w:szCs w:val="18"/>
                <w:lang w:val="en-US" w:eastAsia="zh-CN"/>
              </w:rPr>
              <w:t>临内部巷道</w:t>
            </w:r>
            <w:r>
              <w:rPr>
                <w:rFonts w:hint="eastAsia" w:ascii="宋体" w:hAnsi="宋体" w:cs="宋体"/>
                <w:kern w:val="0"/>
                <w:sz w:val="18"/>
                <w:szCs w:val="18"/>
              </w:rPr>
              <w:t>，南</w:t>
            </w:r>
            <w:r>
              <w:rPr>
                <w:rFonts w:hint="eastAsia" w:ascii="宋体" w:hAnsi="宋体" w:cs="宋体"/>
                <w:kern w:val="0"/>
                <w:sz w:val="18"/>
                <w:szCs w:val="18"/>
                <w:lang w:val="en-US" w:eastAsia="zh-CN"/>
              </w:rPr>
              <w:t>临无名道路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vAlign w:val="center"/>
          </w:tcPr>
          <w:p>
            <w:pPr>
              <w:widowControl/>
              <w:jc w:val="center"/>
              <w:rPr>
                <w:rFonts w:cs="宋体" w:asciiTheme="minorEastAsia" w:hAnsiTheme="minorEastAsia" w:eastAsiaTheme="minorEastAsia"/>
                <w:sz w:val="18"/>
                <w:szCs w:val="18"/>
              </w:rPr>
            </w:pPr>
          </w:p>
        </w:tc>
        <w:tc>
          <w:tcPr>
            <w:tcW w:w="425" w:type="dxa"/>
            <w:vMerge w:val="continue"/>
            <w:vAlign w:val="center"/>
          </w:tcPr>
          <w:p>
            <w:pPr>
              <w:widowControl/>
              <w:jc w:val="center"/>
              <w:rPr>
                <w:rFonts w:cs="宋体" w:asciiTheme="minorEastAsia" w:hAnsiTheme="minorEastAsia" w:eastAsiaTheme="minorEastAsia"/>
                <w:sz w:val="18"/>
                <w:szCs w:val="18"/>
              </w:rPr>
            </w:pPr>
          </w:p>
        </w:tc>
        <w:tc>
          <w:tcPr>
            <w:tcW w:w="1701" w:type="dxa"/>
            <w:gridSpan w:val="2"/>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地形地势</w:t>
            </w:r>
          </w:p>
        </w:tc>
        <w:tc>
          <w:tcPr>
            <w:tcW w:w="7087" w:type="dxa"/>
            <w:gridSpan w:val="10"/>
            <w:vAlign w:val="center"/>
          </w:tcPr>
          <w:p>
            <w:pPr>
              <w:widowControl/>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宗地地形规则，地势平坦，无影响建筑物修建的不良地势、地质和水文状况。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vAlign w:val="center"/>
          </w:tcPr>
          <w:p>
            <w:pPr>
              <w:widowControl/>
              <w:jc w:val="center"/>
              <w:rPr>
                <w:rFonts w:cs="宋体" w:asciiTheme="minorEastAsia" w:hAnsiTheme="minorEastAsia" w:eastAsiaTheme="minorEastAsia"/>
                <w:sz w:val="18"/>
                <w:szCs w:val="18"/>
              </w:rPr>
            </w:pPr>
          </w:p>
        </w:tc>
        <w:tc>
          <w:tcPr>
            <w:tcW w:w="425" w:type="dxa"/>
            <w:vMerge w:val="continue"/>
            <w:vAlign w:val="center"/>
          </w:tcPr>
          <w:p>
            <w:pPr>
              <w:widowControl/>
              <w:jc w:val="center"/>
              <w:rPr>
                <w:rFonts w:cs="宋体" w:asciiTheme="minorEastAsia" w:hAnsiTheme="minorEastAsia" w:eastAsiaTheme="minorEastAsia"/>
                <w:sz w:val="18"/>
                <w:szCs w:val="18"/>
              </w:rPr>
            </w:pPr>
          </w:p>
        </w:tc>
        <w:tc>
          <w:tcPr>
            <w:tcW w:w="1701" w:type="dxa"/>
            <w:gridSpan w:val="2"/>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土地开发程度</w:t>
            </w:r>
          </w:p>
        </w:tc>
        <w:tc>
          <w:tcPr>
            <w:tcW w:w="7087" w:type="dxa"/>
            <w:gridSpan w:val="10"/>
            <w:vAlign w:val="center"/>
          </w:tcPr>
          <w:p>
            <w:pPr>
              <w:pStyle w:val="18"/>
              <w:widowControl/>
              <w:jc w:val="center"/>
              <w:rPr>
                <w:rFonts w:cs="宋体" w:asciiTheme="minorEastAsia" w:hAnsiTheme="minorEastAsia" w:eastAsiaTheme="minorEastAsia"/>
                <w:sz w:val="18"/>
                <w:szCs w:val="18"/>
              </w:rPr>
            </w:pPr>
            <w:r>
              <w:rPr>
                <w:rFonts w:hint="eastAsia" w:ascii="宋体" w:hAnsi="宋体" w:cs="宋体"/>
                <w:sz w:val="18"/>
                <w:szCs w:val="18"/>
              </w:rPr>
              <w:t>宗地外五通一平（</w:t>
            </w:r>
            <w:r>
              <w:rPr>
                <w:rFonts w:hint="eastAsia" w:ascii="宋体" w:hAnsi="宋体"/>
                <w:sz w:val="18"/>
                <w:szCs w:val="18"/>
              </w:rPr>
              <w:t>通上水、通下水、通电、通路、通讯及过地内场地平整</w:t>
            </w: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vAlign w:val="center"/>
          </w:tcPr>
          <w:p>
            <w:pPr>
              <w:widowControl/>
              <w:jc w:val="center"/>
              <w:rPr>
                <w:rFonts w:cs="宋体" w:asciiTheme="minorEastAsia" w:hAnsiTheme="minorEastAsia" w:eastAsiaTheme="minorEastAsia"/>
                <w:sz w:val="18"/>
                <w:szCs w:val="18"/>
              </w:rPr>
            </w:pPr>
          </w:p>
        </w:tc>
        <w:tc>
          <w:tcPr>
            <w:tcW w:w="425" w:type="dxa"/>
            <w:vMerge w:val="restart"/>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建筑物状况</w:t>
            </w:r>
          </w:p>
        </w:tc>
        <w:tc>
          <w:tcPr>
            <w:tcW w:w="1701" w:type="dxa"/>
            <w:gridSpan w:val="2"/>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幢号及房号</w:t>
            </w:r>
          </w:p>
        </w:tc>
        <w:tc>
          <w:tcPr>
            <w:tcW w:w="1559" w:type="dxa"/>
            <w:gridSpan w:val="2"/>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结构</w:t>
            </w:r>
          </w:p>
        </w:tc>
        <w:tc>
          <w:tcPr>
            <w:tcW w:w="1559" w:type="dxa"/>
            <w:gridSpan w:val="3"/>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总层数/所在层</w:t>
            </w:r>
          </w:p>
        </w:tc>
        <w:tc>
          <w:tcPr>
            <w:tcW w:w="1134" w:type="dxa"/>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用途</w:t>
            </w:r>
          </w:p>
        </w:tc>
        <w:tc>
          <w:tcPr>
            <w:tcW w:w="1276" w:type="dxa"/>
            <w:gridSpan w:val="3"/>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朝向</w:t>
            </w:r>
          </w:p>
        </w:tc>
        <w:tc>
          <w:tcPr>
            <w:tcW w:w="1559" w:type="dxa"/>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建造时间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426" w:type="dxa"/>
            <w:vMerge w:val="continue"/>
            <w:vAlign w:val="center"/>
          </w:tcPr>
          <w:p>
            <w:pPr>
              <w:widowControl/>
              <w:jc w:val="center"/>
              <w:rPr>
                <w:rFonts w:cs="宋体" w:asciiTheme="minorEastAsia" w:hAnsiTheme="minorEastAsia" w:eastAsiaTheme="minorEastAsia"/>
                <w:sz w:val="18"/>
                <w:szCs w:val="18"/>
              </w:rPr>
            </w:pPr>
          </w:p>
        </w:tc>
        <w:tc>
          <w:tcPr>
            <w:tcW w:w="425" w:type="dxa"/>
            <w:vMerge w:val="continue"/>
            <w:vAlign w:val="center"/>
          </w:tcPr>
          <w:p>
            <w:pPr>
              <w:widowControl/>
              <w:jc w:val="center"/>
              <w:rPr>
                <w:rFonts w:cs="宋体" w:asciiTheme="minorEastAsia" w:hAnsiTheme="minorEastAsia" w:eastAsiaTheme="minorEastAsia"/>
                <w:sz w:val="18"/>
                <w:szCs w:val="18"/>
              </w:rPr>
            </w:pPr>
          </w:p>
        </w:tc>
        <w:tc>
          <w:tcPr>
            <w:tcW w:w="1701" w:type="dxa"/>
            <w:gridSpan w:val="2"/>
            <w:vAlign w:val="center"/>
          </w:tcPr>
          <w:p>
            <w:pPr>
              <w:widowControl/>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2单元502室</w:t>
            </w:r>
          </w:p>
        </w:tc>
        <w:tc>
          <w:tcPr>
            <w:tcW w:w="1559" w:type="dxa"/>
            <w:gridSpan w:val="2"/>
            <w:vAlign w:val="center"/>
          </w:tcPr>
          <w:p>
            <w:pPr>
              <w:widowControl/>
              <w:jc w:val="center"/>
              <w:rPr>
                <w:rFonts w:hint="eastAsia" w:cs="宋体" w:asciiTheme="minorEastAsia" w:hAnsiTheme="minorEastAsia" w:eastAsiaTheme="minorEastAsia"/>
                <w:sz w:val="18"/>
                <w:szCs w:val="18"/>
                <w:lang w:eastAsia="zh-CN"/>
              </w:rPr>
            </w:pPr>
            <w:r>
              <w:rPr>
                <w:rFonts w:hint="eastAsia" w:cs="宋体" w:asciiTheme="minorEastAsia" w:hAnsiTheme="minorEastAsia" w:eastAsiaTheme="minorEastAsia"/>
                <w:sz w:val="18"/>
                <w:szCs w:val="18"/>
                <w:lang w:val="en-US" w:eastAsia="zh-CN"/>
              </w:rPr>
              <w:t>混合</w:t>
            </w:r>
          </w:p>
        </w:tc>
        <w:tc>
          <w:tcPr>
            <w:tcW w:w="1559" w:type="dxa"/>
            <w:gridSpan w:val="3"/>
            <w:vAlign w:val="center"/>
          </w:tcPr>
          <w:p>
            <w:pPr>
              <w:widowControl/>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5/5</w:t>
            </w:r>
          </w:p>
        </w:tc>
        <w:tc>
          <w:tcPr>
            <w:tcW w:w="1134" w:type="dxa"/>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住宅</w:t>
            </w:r>
          </w:p>
        </w:tc>
        <w:tc>
          <w:tcPr>
            <w:tcW w:w="1276" w:type="dxa"/>
            <w:gridSpan w:val="3"/>
            <w:vAlign w:val="center"/>
          </w:tcPr>
          <w:p>
            <w:pPr>
              <w:widowControl/>
              <w:jc w:val="center"/>
              <w:rPr>
                <w:rFonts w:cs="宋体" w:asciiTheme="minorEastAsia" w:hAnsiTheme="minorEastAsia" w:eastAsiaTheme="minorEastAsia"/>
                <w:sz w:val="18"/>
                <w:szCs w:val="18"/>
              </w:rPr>
            </w:pPr>
            <w:r>
              <w:rPr>
                <w:rFonts w:hint="eastAsia" w:ascii="宋体" w:hAnsi="宋体" w:cs="宋体"/>
                <w:sz w:val="18"/>
                <w:szCs w:val="18"/>
              </w:rPr>
              <w:t>东西</w:t>
            </w:r>
          </w:p>
        </w:tc>
        <w:tc>
          <w:tcPr>
            <w:tcW w:w="1559" w:type="dxa"/>
            <w:vAlign w:val="center"/>
          </w:tcPr>
          <w:p>
            <w:pPr>
              <w:widowControl/>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vAlign w:val="center"/>
          </w:tcPr>
          <w:p>
            <w:pPr>
              <w:widowControl/>
              <w:jc w:val="center"/>
              <w:rPr>
                <w:rFonts w:cs="宋体" w:asciiTheme="minorEastAsia" w:hAnsiTheme="minorEastAsia" w:eastAsiaTheme="minorEastAsia"/>
                <w:sz w:val="18"/>
                <w:szCs w:val="18"/>
              </w:rPr>
            </w:pPr>
          </w:p>
        </w:tc>
        <w:tc>
          <w:tcPr>
            <w:tcW w:w="425" w:type="dxa"/>
            <w:vMerge w:val="continue"/>
            <w:vAlign w:val="center"/>
          </w:tcPr>
          <w:p>
            <w:pPr>
              <w:widowControl/>
              <w:jc w:val="center"/>
              <w:rPr>
                <w:rFonts w:cs="宋体" w:asciiTheme="minorEastAsia" w:hAnsiTheme="minorEastAsia" w:eastAsiaTheme="minorEastAsia"/>
                <w:sz w:val="18"/>
                <w:szCs w:val="18"/>
              </w:rPr>
            </w:pPr>
          </w:p>
        </w:tc>
        <w:tc>
          <w:tcPr>
            <w:tcW w:w="1701" w:type="dxa"/>
            <w:gridSpan w:val="2"/>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通风采光</w:t>
            </w:r>
          </w:p>
        </w:tc>
        <w:tc>
          <w:tcPr>
            <w:tcW w:w="1559" w:type="dxa"/>
            <w:gridSpan w:val="2"/>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户型设计</w:t>
            </w:r>
          </w:p>
        </w:tc>
        <w:tc>
          <w:tcPr>
            <w:tcW w:w="1559" w:type="dxa"/>
            <w:gridSpan w:val="3"/>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维护保养</w:t>
            </w:r>
          </w:p>
        </w:tc>
        <w:tc>
          <w:tcPr>
            <w:tcW w:w="1134" w:type="dxa"/>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实际用途</w:t>
            </w:r>
          </w:p>
        </w:tc>
        <w:tc>
          <w:tcPr>
            <w:tcW w:w="1276" w:type="dxa"/>
            <w:gridSpan w:val="3"/>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成新度</w:t>
            </w:r>
          </w:p>
        </w:tc>
        <w:tc>
          <w:tcPr>
            <w:tcW w:w="1559" w:type="dxa"/>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426" w:type="dxa"/>
            <w:vMerge w:val="continue"/>
            <w:vAlign w:val="center"/>
          </w:tcPr>
          <w:p>
            <w:pPr>
              <w:widowControl/>
              <w:jc w:val="center"/>
              <w:rPr>
                <w:rFonts w:cs="宋体" w:asciiTheme="minorEastAsia" w:hAnsiTheme="minorEastAsia" w:eastAsiaTheme="minorEastAsia"/>
                <w:sz w:val="18"/>
                <w:szCs w:val="18"/>
              </w:rPr>
            </w:pPr>
          </w:p>
        </w:tc>
        <w:tc>
          <w:tcPr>
            <w:tcW w:w="425" w:type="dxa"/>
            <w:vMerge w:val="continue"/>
            <w:vAlign w:val="center"/>
          </w:tcPr>
          <w:p>
            <w:pPr>
              <w:widowControl/>
              <w:jc w:val="center"/>
              <w:rPr>
                <w:rFonts w:cs="宋体" w:asciiTheme="minorEastAsia" w:hAnsiTheme="minorEastAsia" w:eastAsiaTheme="minorEastAsia"/>
                <w:sz w:val="18"/>
                <w:szCs w:val="18"/>
              </w:rPr>
            </w:pPr>
          </w:p>
        </w:tc>
        <w:tc>
          <w:tcPr>
            <w:tcW w:w="1701" w:type="dxa"/>
            <w:gridSpan w:val="2"/>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较好</w:t>
            </w:r>
          </w:p>
        </w:tc>
        <w:tc>
          <w:tcPr>
            <w:tcW w:w="1559" w:type="dxa"/>
            <w:gridSpan w:val="2"/>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户型布局较好</w:t>
            </w:r>
          </w:p>
        </w:tc>
        <w:tc>
          <w:tcPr>
            <w:tcW w:w="1559" w:type="dxa"/>
            <w:gridSpan w:val="3"/>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正常维护</w:t>
            </w:r>
          </w:p>
        </w:tc>
        <w:tc>
          <w:tcPr>
            <w:tcW w:w="1134" w:type="dxa"/>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住宅</w:t>
            </w:r>
          </w:p>
        </w:tc>
        <w:tc>
          <w:tcPr>
            <w:tcW w:w="1276" w:type="dxa"/>
            <w:gridSpan w:val="3"/>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约</w:t>
            </w:r>
            <w:r>
              <w:rPr>
                <w:rFonts w:hint="eastAsia" w:cs="宋体" w:asciiTheme="minorEastAsia" w:hAnsiTheme="minorEastAsia" w:eastAsiaTheme="minorEastAsia"/>
                <w:sz w:val="18"/>
                <w:szCs w:val="18"/>
                <w:lang w:val="en-US" w:eastAsia="zh-CN"/>
              </w:rPr>
              <w:t>8.5</w:t>
            </w:r>
            <w:r>
              <w:rPr>
                <w:rFonts w:hint="eastAsia" w:cs="宋体" w:asciiTheme="minorEastAsia" w:hAnsiTheme="minorEastAsia" w:eastAsiaTheme="minorEastAsia"/>
                <w:sz w:val="18"/>
                <w:szCs w:val="18"/>
              </w:rPr>
              <w:t>成</w:t>
            </w:r>
          </w:p>
        </w:tc>
        <w:tc>
          <w:tcPr>
            <w:tcW w:w="1559" w:type="dxa"/>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426" w:type="dxa"/>
            <w:vMerge w:val="continue"/>
            <w:vAlign w:val="center"/>
          </w:tcPr>
          <w:p>
            <w:pPr>
              <w:widowControl/>
              <w:jc w:val="center"/>
              <w:rPr>
                <w:rFonts w:cs="宋体" w:asciiTheme="minorEastAsia" w:hAnsiTheme="minorEastAsia" w:eastAsiaTheme="minorEastAsia"/>
                <w:sz w:val="18"/>
                <w:szCs w:val="18"/>
              </w:rPr>
            </w:pPr>
          </w:p>
        </w:tc>
        <w:tc>
          <w:tcPr>
            <w:tcW w:w="425" w:type="dxa"/>
            <w:vMerge w:val="continue"/>
            <w:vAlign w:val="center"/>
          </w:tcPr>
          <w:p>
            <w:pPr>
              <w:widowControl/>
              <w:jc w:val="center"/>
              <w:rPr>
                <w:rFonts w:cs="宋体" w:asciiTheme="minorEastAsia" w:hAnsiTheme="minorEastAsia" w:eastAsiaTheme="minorEastAsia"/>
                <w:sz w:val="18"/>
                <w:szCs w:val="18"/>
              </w:rPr>
            </w:pPr>
          </w:p>
        </w:tc>
        <w:tc>
          <w:tcPr>
            <w:tcW w:w="1276" w:type="dxa"/>
            <w:vAlign w:val="center"/>
          </w:tcPr>
          <w:p>
            <w:pPr>
              <w:widowControl/>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装修情况</w:t>
            </w:r>
          </w:p>
        </w:tc>
        <w:tc>
          <w:tcPr>
            <w:tcW w:w="7512" w:type="dxa"/>
            <w:gridSpan w:val="11"/>
            <w:vAlign w:val="center"/>
          </w:tcPr>
          <w:p>
            <w:pPr>
              <w:jc w:val="center"/>
              <w:rPr>
                <w:rFonts w:cs="宋体" w:asciiTheme="minorEastAsia" w:hAnsiTheme="minorEastAsia" w:eastAsiaTheme="minorEastAsia"/>
                <w:sz w:val="18"/>
                <w:szCs w:val="18"/>
              </w:rPr>
            </w:pPr>
            <w:r>
              <w:rPr>
                <w:rFonts w:hint="eastAsia" w:ascii="宋体" w:hAnsi="宋体" w:cs="宋体"/>
                <w:sz w:val="18"/>
                <w:szCs w:val="18"/>
              </w:rPr>
              <w:t>建筑物外墙涂料，入户为防盗门、铝合金窗，室内地面木地板</w:t>
            </w:r>
            <w:r>
              <w:rPr>
                <w:rFonts w:hint="eastAsia" w:ascii="宋体" w:hAnsi="宋体" w:cs="宋体"/>
                <w:sz w:val="18"/>
                <w:szCs w:val="18"/>
                <w:lang w:eastAsia="zh-CN"/>
              </w:rPr>
              <w:t>，</w:t>
            </w:r>
            <w:r>
              <w:rPr>
                <w:rFonts w:hint="eastAsia" w:ascii="宋体" w:hAnsi="宋体" w:cs="宋体"/>
                <w:sz w:val="18"/>
                <w:szCs w:val="18"/>
                <w:lang w:val="en-US" w:eastAsia="zh-CN"/>
              </w:rPr>
              <w:t>厨卫地砖</w:t>
            </w:r>
            <w:r>
              <w:rPr>
                <w:rFonts w:hint="eastAsia" w:ascii="宋体" w:hAnsi="宋体" w:cs="宋体"/>
                <w:sz w:val="18"/>
                <w:szCs w:val="18"/>
              </w:rPr>
              <w:t>：墙面</w:t>
            </w:r>
            <w:r>
              <w:rPr>
                <w:rFonts w:hint="eastAsia" w:ascii="宋体" w:hAnsi="宋体" w:cs="宋体"/>
                <w:sz w:val="18"/>
                <w:szCs w:val="18"/>
                <w:lang w:val="en-US" w:eastAsia="zh-CN"/>
              </w:rPr>
              <w:t>乳胶漆</w:t>
            </w:r>
            <w:r>
              <w:rPr>
                <w:rFonts w:hint="eastAsia" w:ascii="宋体" w:hAnsi="宋体" w:cs="宋体"/>
                <w:sz w:val="18"/>
                <w:szCs w:val="18"/>
              </w:rPr>
              <w:t>、</w:t>
            </w:r>
            <w:r>
              <w:rPr>
                <w:rFonts w:hint="eastAsia" w:ascii="宋体" w:hAnsi="宋体" w:cs="宋体"/>
                <w:sz w:val="18"/>
                <w:szCs w:val="18"/>
                <w:lang w:val="en-US" w:eastAsia="zh-CN"/>
              </w:rPr>
              <w:t>厨卫</w:t>
            </w:r>
            <w:r>
              <w:rPr>
                <w:rFonts w:hint="eastAsia" w:ascii="宋体" w:hAnsi="宋体" w:cs="宋体"/>
                <w:sz w:val="18"/>
                <w:szCs w:val="18"/>
              </w:rPr>
              <w:t>墙砖：顶部</w:t>
            </w:r>
            <w:r>
              <w:rPr>
                <w:rFonts w:hint="eastAsia" w:ascii="宋体" w:hAnsi="宋体" w:cs="宋体"/>
                <w:sz w:val="18"/>
                <w:szCs w:val="18"/>
                <w:lang w:val="en-US" w:eastAsia="zh-CN"/>
              </w:rPr>
              <w:t>客厅</w:t>
            </w:r>
            <w:r>
              <w:rPr>
                <w:rFonts w:hint="eastAsia" w:ascii="宋体" w:hAnsi="宋体" w:cs="宋体"/>
                <w:sz w:val="18"/>
                <w:szCs w:val="18"/>
              </w:rPr>
              <w:t>石膏板吊顶、</w:t>
            </w:r>
            <w:r>
              <w:rPr>
                <w:rFonts w:hint="eastAsia" w:ascii="宋体" w:hAnsi="宋体" w:cs="宋体"/>
                <w:sz w:val="18"/>
                <w:szCs w:val="18"/>
                <w:lang w:val="en-US" w:eastAsia="zh-CN"/>
              </w:rPr>
              <w:t>厨卫</w:t>
            </w:r>
            <w:r>
              <w:rPr>
                <w:rFonts w:hint="eastAsia" w:ascii="宋体" w:hAnsi="宋体" w:cs="宋体"/>
                <w:sz w:val="18"/>
                <w:szCs w:val="18"/>
              </w:rPr>
              <w:t>铝板吊顶，建筑物维护较好，可正常使用。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127" w:type="dxa"/>
            <w:gridSpan w:val="3"/>
            <w:vAlign w:val="center"/>
          </w:tcPr>
          <w:p>
            <w:pPr>
              <w:widowControl/>
              <w:spacing w:line="300" w:lineRule="exact"/>
              <w:ind w:left="317" w:hanging="316" w:hangingChars="161"/>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估价财产范围</w:t>
            </w:r>
          </w:p>
        </w:tc>
        <w:tc>
          <w:tcPr>
            <w:tcW w:w="7512" w:type="dxa"/>
            <w:gridSpan w:val="11"/>
          </w:tcPr>
          <w:p>
            <w:pPr>
              <w:widowControl/>
              <w:spacing w:line="300" w:lineRule="exact"/>
              <w:rPr>
                <w:rFonts w:cs="宋体" w:asciiTheme="minorEastAsia" w:hAnsiTheme="minorEastAsia" w:eastAsiaTheme="minorEastAsia"/>
                <w:sz w:val="18"/>
                <w:szCs w:val="18"/>
              </w:rPr>
            </w:pPr>
            <w:r>
              <w:rPr>
                <w:rFonts w:hint="eastAsia" w:cs="仿宋_GB2312" w:asciiTheme="minorEastAsia" w:hAnsiTheme="minorEastAsia" w:eastAsiaTheme="minorEastAsia"/>
                <w:kern w:val="0"/>
                <w:sz w:val="18"/>
                <w:szCs w:val="18"/>
              </w:rPr>
              <w:t>本次估价范围包括建筑物建筑面积</w:t>
            </w:r>
            <w:r>
              <w:rPr>
                <w:rFonts w:hint="eastAsia" w:cs="仿宋_GB2312" w:asciiTheme="minorEastAsia" w:hAnsiTheme="minorEastAsia" w:eastAsiaTheme="minorEastAsia"/>
                <w:kern w:val="0"/>
                <w:sz w:val="18"/>
                <w:szCs w:val="18"/>
                <w:lang w:val="en-US" w:eastAsia="zh-CN"/>
              </w:rPr>
              <w:t>131.33㎡</w:t>
            </w:r>
            <w:r>
              <w:rPr>
                <w:rFonts w:hint="eastAsia" w:cs="仿宋_GB2312" w:asciiTheme="minorEastAsia" w:hAnsiTheme="minorEastAsia" w:eastAsiaTheme="minorEastAsia"/>
                <w:kern w:val="0"/>
                <w:sz w:val="18"/>
                <w:szCs w:val="18"/>
              </w:rPr>
              <w:t>、分摊国有土地使用权</w:t>
            </w:r>
            <w:r>
              <w:rPr>
                <w:rFonts w:hint="eastAsia" w:cs="仿宋_GB2312" w:asciiTheme="minorEastAsia" w:hAnsiTheme="minorEastAsia" w:eastAsiaTheme="minorEastAsia"/>
                <w:kern w:val="0"/>
                <w:sz w:val="18"/>
                <w:szCs w:val="18"/>
                <w:lang w:eastAsia="zh-CN"/>
              </w:rPr>
              <w:t>、</w:t>
            </w:r>
            <w:r>
              <w:rPr>
                <w:rFonts w:hint="eastAsia" w:cs="仿宋_GB2312" w:asciiTheme="minorEastAsia" w:hAnsiTheme="minorEastAsia" w:eastAsiaTheme="minorEastAsia"/>
                <w:kern w:val="0"/>
                <w:sz w:val="18"/>
                <w:szCs w:val="18"/>
              </w:rPr>
              <w:t>室内二次装修及公共配套设施，不包括动产、债权债务、特许经营权等其他财产或权益。</w:t>
            </w:r>
          </w:p>
        </w:tc>
      </w:tr>
    </w:tbl>
    <w:p>
      <w:pPr>
        <w:spacing w:line="560" w:lineRule="exact"/>
        <w:rPr>
          <w:rFonts w:ascii="宋体" w:hAnsi="宋体" w:cs="仿宋_GB2312"/>
          <w:sz w:val="28"/>
          <w:szCs w:val="28"/>
        </w:rPr>
      </w:pPr>
      <w:r>
        <w:rPr>
          <w:rFonts w:hint="eastAsia" w:ascii="宋体" w:hAnsi="宋体" w:cs="仿宋_GB2312"/>
          <w:sz w:val="28"/>
          <w:szCs w:val="28"/>
        </w:rPr>
        <w:t>（二）估价对象实物状况、权益状况分析</w:t>
      </w:r>
    </w:p>
    <w:p>
      <w:pPr>
        <w:spacing w:line="560" w:lineRule="exact"/>
        <w:ind w:left="-424" w:leftChars="-187" w:firstLine="564" w:firstLineChars="188"/>
        <w:rPr>
          <w:rFonts w:ascii="宋体" w:hAnsi="宋体"/>
          <w:spacing w:val="2"/>
          <w:sz w:val="28"/>
          <w:szCs w:val="28"/>
        </w:rPr>
      </w:pPr>
      <w:r>
        <w:rPr>
          <w:rFonts w:hint="eastAsia" w:ascii="宋体" w:hAnsi="宋体"/>
          <w:spacing w:val="2"/>
          <w:sz w:val="28"/>
          <w:szCs w:val="28"/>
        </w:rPr>
        <w:t>1、估价对象实物状况分析</w:t>
      </w:r>
    </w:p>
    <w:p>
      <w:pPr>
        <w:spacing w:line="560" w:lineRule="exact"/>
        <w:ind w:firstLine="564" w:firstLineChars="188"/>
        <w:rPr>
          <w:rFonts w:hint="eastAsia" w:ascii="宋体" w:hAnsi="宋体"/>
          <w:spacing w:val="2"/>
          <w:sz w:val="28"/>
          <w:szCs w:val="28"/>
        </w:rPr>
      </w:pPr>
      <w:r>
        <w:rPr>
          <w:rFonts w:hint="eastAsia" w:ascii="宋体" w:hAnsi="宋体"/>
          <w:spacing w:val="2"/>
          <w:sz w:val="28"/>
          <w:szCs w:val="28"/>
        </w:rPr>
        <w:t>估价对象所在宗地形状较规则，地势平坦，土地承载能力较强，五通一平（通上水，通下水，通电，通讯，通路，宗地内场平），土地利用科学合理；其建筑物建筑规模、建筑物设计结构，平面布局较好，朝向、采光通风、建筑物维护及设施设备均能较好的满足现状用途需求。实物状况对估价对象价值无不良影响。</w:t>
      </w:r>
    </w:p>
    <w:p>
      <w:pPr>
        <w:spacing w:line="560" w:lineRule="exact"/>
        <w:ind w:firstLine="140" w:firstLineChars="47"/>
        <w:rPr>
          <w:rFonts w:ascii="宋体" w:hAnsi="宋体"/>
          <w:spacing w:val="2"/>
          <w:sz w:val="28"/>
          <w:szCs w:val="28"/>
        </w:rPr>
      </w:pPr>
      <w:r>
        <w:rPr>
          <w:rFonts w:hint="eastAsia" w:ascii="宋体" w:hAnsi="宋体"/>
          <w:spacing w:val="2"/>
          <w:sz w:val="28"/>
          <w:szCs w:val="28"/>
        </w:rPr>
        <w:t>2、估价对象权益状况分析</w:t>
      </w:r>
    </w:p>
    <w:p>
      <w:pPr>
        <w:spacing w:line="560" w:lineRule="exact"/>
        <w:ind w:left="-2" w:leftChars="-1" w:firstLine="568" w:firstLineChars="189"/>
        <w:rPr>
          <w:rFonts w:ascii="宋体" w:hAnsi="宋体"/>
          <w:spacing w:val="2"/>
          <w:sz w:val="28"/>
          <w:szCs w:val="28"/>
        </w:rPr>
      </w:pPr>
      <w:r>
        <w:rPr>
          <w:rFonts w:hint="eastAsia" w:ascii="宋体" w:hAnsi="宋体"/>
          <w:spacing w:val="2"/>
          <w:sz w:val="28"/>
          <w:szCs w:val="28"/>
        </w:rPr>
        <w:t>估价对象房屋所有权为建筑物区分所有权，包括对专有部分享有所有权和对专有部分以外的公共部分享有共有和共同管理的权。建筑物区分所有权的专有部分为估价对象套内部。建筑物区分所有权的共有和共同管理部分：</w:t>
      </w:r>
      <w:r>
        <w:rPr>
          <w:rFonts w:ascii="宋体" w:hAnsi="宋体"/>
          <w:spacing w:val="2"/>
          <w:sz w:val="28"/>
          <w:szCs w:val="28"/>
        </w:rPr>
        <w:fldChar w:fldCharType="begin"/>
      </w:r>
      <w:r>
        <w:rPr>
          <w:rFonts w:hint="eastAsia" w:ascii="宋体" w:hAnsi="宋体"/>
          <w:spacing w:val="2"/>
          <w:sz w:val="28"/>
          <w:szCs w:val="28"/>
        </w:rPr>
        <w:instrText xml:space="preserve">= 1 \* GB3</w:instrText>
      </w:r>
      <w:r>
        <w:rPr>
          <w:rFonts w:ascii="宋体" w:hAnsi="宋体"/>
          <w:spacing w:val="2"/>
          <w:sz w:val="28"/>
          <w:szCs w:val="28"/>
        </w:rPr>
        <w:fldChar w:fldCharType="separate"/>
      </w:r>
      <w:r>
        <w:rPr>
          <w:rFonts w:hint="eastAsia" w:ascii="宋体" w:hAnsi="宋体"/>
          <w:spacing w:val="2"/>
          <w:sz w:val="28"/>
          <w:szCs w:val="28"/>
        </w:rPr>
        <w:t>①</w:t>
      </w:r>
      <w:r>
        <w:rPr>
          <w:rFonts w:ascii="宋体" w:hAnsi="宋体"/>
          <w:spacing w:val="2"/>
          <w:sz w:val="28"/>
          <w:szCs w:val="28"/>
        </w:rPr>
        <w:fldChar w:fldCharType="end"/>
      </w:r>
      <w:r>
        <w:rPr>
          <w:rFonts w:hint="eastAsia" w:ascii="宋体" w:hAnsi="宋体"/>
          <w:spacing w:val="2"/>
          <w:sz w:val="28"/>
          <w:szCs w:val="28"/>
        </w:rPr>
        <w:t>估价对象所在建筑物分摊部位，包括但不限于外墙、楼梯、设备间、公共通道、大堂、物管房等；</w:t>
      </w:r>
      <w:r>
        <w:rPr>
          <w:rFonts w:ascii="宋体" w:hAnsi="宋体"/>
          <w:spacing w:val="2"/>
          <w:sz w:val="28"/>
          <w:szCs w:val="28"/>
        </w:rPr>
        <w:fldChar w:fldCharType="begin"/>
      </w:r>
      <w:r>
        <w:rPr>
          <w:rFonts w:hint="eastAsia" w:ascii="宋体" w:hAnsi="宋体"/>
          <w:spacing w:val="2"/>
          <w:sz w:val="28"/>
          <w:szCs w:val="28"/>
        </w:rPr>
        <w:instrText xml:space="preserve">= 2 \* GB3</w:instrText>
      </w:r>
      <w:r>
        <w:rPr>
          <w:rFonts w:ascii="宋体" w:hAnsi="宋体"/>
          <w:spacing w:val="2"/>
          <w:sz w:val="28"/>
          <w:szCs w:val="28"/>
        </w:rPr>
        <w:fldChar w:fldCharType="separate"/>
      </w:r>
      <w:r>
        <w:rPr>
          <w:rFonts w:hint="eastAsia" w:ascii="宋体" w:hAnsi="宋体"/>
          <w:spacing w:val="2"/>
          <w:sz w:val="28"/>
          <w:szCs w:val="28"/>
        </w:rPr>
        <w:t>②</w:t>
      </w:r>
      <w:r>
        <w:rPr>
          <w:rFonts w:ascii="宋体" w:hAnsi="宋体"/>
          <w:spacing w:val="2"/>
          <w:sz w:val="28"/>
          <w:szCs w:val="28"/>
        </w:rPr>
        <w:fldChar w:fldCharType="end"/>
      </w:r>
      <w:r>
        <w:rPr>
          <w:rFonts w:hint="eastAsia" w:ascii="宋体" w:hAnsi="宋体"/>
          <w:spacing w:val="2"/>
          <w:sz w:val="28"/>
          <w:szCs w:val="28"/>
        </w:rPr>
        <w:t>所在建筑物的基本结构部分，包括但不限于基础、承重结构、外墙、屋顶等；</w:t>
      </w:r>
      <w:r>
        <w:rPr>
          <w:rFonts w:ascii="宋体" w:hAnsi="宋体"/>
          <w:spacing w:val="2"/>
          <w:sz w:val="28"/>
          <w:szCs w:val="28"/>
        </w:rPr>
        <w:fldChar w:fldCharType="begin"/>
      </w:r>
      <w:r>
        <w:rPr>
          <w:rFonts w:hint="eastAsia" w:ascii="宋体" w:hAnsi="宋体"/>
          <w:spacing w:val="2"/>
          <w:sz w:val="28"/>
          <w:szCs w:val="28"/>
        </w:rPr>
        <w:instrText xml:space="preserve">= 3 \* GB3</w:instrText>
      </w:r>
      <w:r>
        <w:rPr>
          <w:rFonts w:ascii="宋体" w:hAnsi="宋体"/>
          <w:spacing w:val="2"/>
          <w:sz w:val="28"/>
          <w:szCs w:val="28"/>
        </w:rPr>
        <w:fldChar w:fldCharType="separate"/>
      </w:r>
      <w:r>
        <w:rPr>
          <w:rFonts w:hint="eastAsia" w:ascii="宋体" w:hAnsi="宋体"/>
          <w:spacing w:val="2"/>
          <w:sz w:val="28"/>
          <w:szCs w:val="28"/>
        </w:rPr>
        <w:t>③</w:t>
      </w:r>
      <w:r>
        <w:rPr>
          <w:rFonts w:ascii="宋体" w:hAnsi="宋体"/>
          <w:spacing w:val="2"/>
          <w:sz w:val="28"/>
          <w:szCs w:val="28"/>
        </w:rPr>
        <w:fldChar w:fldCharType="end"/>
      </w:r>
      <w:r>
        <w:rPr>
          <w:rFonts w:hint="eastAsia" w:ascii="宋体" w:hAnsi="宋体"/>
          <w:spacing w:val="2"/>
          <w:sz w:val="28"/>
          <w:szCs w:val="28"/>
        </w:rPr>
        <w:t>建筑物的非专有附属设施、设备，包括但不限于消防、照明、上下水管道、电线、通讯线路、水泵、发电机、电梯等附属设施、设备；</w:t>
      </w:r>
      <w:r>
        <w:rPr>
          <w:rFonts w:ascii="宋体" w:hAnsi="宋体"/>
          <w:spacing w:val="2"/>
          <w:sz w:val="28"/>
          <w:szCs w:val="28"/>
        </w:rPr>
        <w:fldChar w:fldCharType="begin"/>
      </w:r>
      <w:r>
        <w:rPr>
          <w:rFonts w:hint="eastAsia" w:ascii="宋体" w:hAnsi="宋体"/>
          <w:spacing w:val="2"/>
          <w:sz w:val="28"/>
          <w:szCs w:val="28"/>
        </w:rPr>
        <w:instrText xml:space="preserve">= 4 \* GB3</w:instrText>
      </w:r>
      <w:r>
        <w:rPr>
          <w:rFonts w:ascii="宋体" w:hAnsi="宋体"/>
          <w:spacing w:val="2"/>
          <w:sz w:val="28"/>
          <w:szCs w:val="28"/>
        </w:rPr>
        <w:fldChar w:fldCharType="separate"/>
      </w:r>
      <w:r>
        <w:rPr>
          <w:rFonts w:hint="eastAsia" w:ascii="宋体" w:hAnsi="宋体"/>
          <w:spacing w:val="2"/>
          <w:sz w:val="28"/>
          <w:szCs w:val="28"/>
        </w:rPr>
        <w:t>④</w:t>
      </w:r>
      <w:r>
        <w:rPr>
          <w:rFonts w:ascii="宋体" w:hAnsi="宋体"/>
          <w:spacing w:val="2"/>
          <w:sz w:val="28"/>
          <w:szCs w:val="28"/>
        </w:rPr>
        <w:fldChar w:fldCharType="end"/>
      </w:r>
      <w:r>
        <w:rPr>
          <w:rFonts w:hint="eastAsia" w:ascii="宋体" w:hAnsi="宋体"/>
          <w:spacing w:val="2"/>
          <w:sz w:val="28"/>
          <w:szCs w:val="28"/>
        </w:rPr>
        <w:t>估价对象所在建筑区划内的其他公共场所、公用设施和物业服务用房，包括但不限于公共花园、绿化景观、路灯、道路。估价对象</w:t>
      </w:r>
      <w:r>
        <w:rPr>
          <w:rFonts w:hint="eastAsia" w:ascii="宋体" w:hAnsi="宋体"/>
          <w:spacing w:val="2"/>
          <w:sz w:val="28"/>
          <w:szCs w:val="28"/>
          <w:lang w:val="en-US" w:eastAsia="zh-CN"/>
        </w:rPr>
        <w:t>已</w:t>
      </w:r>
      <w:r>
        <w:rPr>
          <w:rFonts w:hint="eastAsia" w:ascii="宋体" w:hAnsi="宋体"/>
          <w:spacing w:val="2"/>
          <w:sz w:val="28"/>
          <w:szCs w:val="28"/>
        </w:rPr>
        <w:t>办理《不动产权证》，权益状况对估价对象的价值</w:t>
      </w:r>
      <w:r>
        <w:rPr>
          <w:rFonts w:hint="eastAsia" w:ascii="宋体" w:hAnsi="宋体"/>
          <w:spacing w:val="2"/>
          <w:sz w:val="28"/>
          <w:szCs w:val="28"/>
          <w:lang w:val="en-US" w:eastAsia="zh-CN"/>
        </w:rPr>
        <w:t>无不利</w:t>
      </w:r>
      <w:r>
        <w:rPr>
          <w:rFonts w:hint="eastAsia" w:ascii="宋体" w:hAnsi="宋体"/>
          <w:spacing w:val="2"/>
          <w:sz w:val="28"/>
          <w:szCs w:val="28"/>
        </w:rPr>
        <w:t>影响。</w:t>
      </w:r>
    </w:p>
    <w:p>
      <w:pPr>
        <w:spacing w:line="560" w:lineRule="exact"/>
        <w:rPr>
          <w:rFonts w:ascii="宋体"/>
          <w:spacing w:val="2"/>
          <w:sz w:val="28"/>
          <w:szCs w:val="28"/>
        </w:rPr>
      </w:pPr>
      <w:r>
        <w:rPr>
          <w:rFonts w:hint="eastAsia" w:ascii="宋体" w:hAnsi="宋体"/>
          <w:spacing w:val="2"/>
          <w:sz w:val="28"/>
          <w:szCs w:val="28"/>
        </w:rPr>
        <w:t>（三）</w:t>
      </w:r>
      <w:bookmarkStart w:id="118" w:name="_Toc17257"/>
      <w:r>
        <w:rPr>
          <w:rFonts w:hint="eastAsia" w:ascii="宋体" w:hAnsi="宋体"/>
          <w:spacing w:val="2"/>
          <w:sz w:val="28"/>
          <w:szCs w:val="28"/>
        </w:rPr>
        <w:t>估价对象区位状况描述</w:t>
      </w:r>
      <w:bookmarkEnd w:id="118"/>
    </w:p>
    <w:tbl>
      <w:tblPr>
        <w:tblStyle w:val="21"/>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709"/>
        <w:gridCol w:w="1134"/>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0" w:type="dxa"/>
            <w:gridSpan w:val="3"/>
            <w:vAlign w:val="center"/>
          </w:tcPr>
          <w:p>
            <w:pPr>
              <w:spacing w:line="280" w:lineRule="exact"/>
              <w:jc w:val="center"/>
              <w:rPr>
                <w:rFonts w:ascii="宋体" w:cs="宋体"/>
                <w:sz w:val="18"/>
                <w:szCs w:val="18"/>
              </w:rPr>
            </w:pPr>
            <w:r>
              <w:rPr>
                <w:rFonts w:hint="eastAsia" w:ascii="宋体" w:hAnsi="宋体" w:cs="宋体"/>
                <w:kern w:val="0"/>
                <w:sz w:val="18"/>
                <w:szCs w:val="18"/>
              </w:rPr>
              <w:t>坐落</w:t>
            </w:r>
          </w:p>
        </w:tc>
        <w:tc>
          <w:tcPr>
            <w:tcW w:w="7229" w:type="dxa"/>
            <w:vAlign w:val="center"/>
          </w:tcPr>
          <w:p>
            <w:pPr>
              <w:spacing w:line="280" w:lineRule="exact"/>
              <w:jc w:val="center"/>
              <w:rPr>
                <w:rFonts w:ascii="宋体" w:cs="宋体"/>
                <w:sz w:val="18"/>
                <w:szCs w:val="18"/>
              </w:rPr>
            </w:pPr>
            <w:r>
              <w:rPr>
                <w:rFonts w:hint="eastAsia" w:cs="宋体" w:asciiTheme="minorEastAsia" w:hAnsiTheme="minorEastAsia" w:eastAsiaTheme="minorEastAsia"/>
                <w:sz w:val="18"/>
                <w:szCs w:val="18"/>
              </w:rPr>
              <w:t>永胜县永北镇兰桂小区2单元502室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vMerge w:val="restart"/>
            <w:vAlign w:val="center"/>
          </w:tcPr>
          <w:p>
            <w:pPr>
              <w:spacing w:line="280" w:lineRule="exact"/>
              <w:jc w:val="center"/>
              <w:rPr>
                <w:rFonts w:ascii="宋体" w:cs="宋体"/>
                <w:sz w:val="18"/>
                <w:szCs w:val="18"/>
              </w:rPr>
            </w:pPr>
          </w:p>
        </w:tc>
        <w:tc>
          <w:tcPr>
            <w:tcW w:w="1843" w:type="dxa"/>
            <w:gridSpan w:val="2"/>
            <w:vAlign w:val="center"/>
          </w:tcPr>
          <w:p>
            <w:pPr>
              <w:widowControl/>
              <w:jc w:val="center"/>
              <w:rPr>
                <w:rFonts w:ascii="宋体" w:cs="宋体"/>
                <w:sz w:val="18"/>
                <w:szCs w:val="18"/>
              </w:rPr>
            </w:pPr>
            <w:r>
              <w:rPr>
                <w:rFonts w:hint="eastAsia" w:ascii="宋体" w:hAnsi="宋体" w:cs="宋体"/>
                <w:kern w:val="0"/>
                <w:sz w:val="18"/>
                <w:szCs w:val="18"/>
              </w:rPr>
              <w:t>方位</w:t>
            </w:r>
          </w:p>
        </w:tc>
        <w:tc>
          <w:tcPr>
            <w:tcW w:w="7229" w:type="dxa"/>
            <w:vAlign w:val="center"/>
          </w:tcPr>
          <w:p>
            <w:pPr>
              <w:pStyle w:val="18"/>
              <w:widowControl/>
              <w:spacing w:line="360" w:lineRule="exact"/>
              <w:jc w:val="center"/>
              <w:rPr>
                <w:rFonts w:ascii="宋体" w:cs="宋体"/>
                <w:sz w:val="18"/>
                <w:szCs w:val="18"/>
              </w:rPr>
            </w:pPr>
            <w:r>
              <w:rPr>
                <w:rFonts w:hint="eastAsia" w:ascii="宋体" w:hAnsi="宋体" w:cs="宋体"/>
                <w:sz w:val="18"/>
                <w:szCs w:val="18"/>
              </w:rPr>
              <w:t>估价对象位于永北镇</w:t>
            </w:r>
            <w:r>
              <w:rPr>
                <w:rFonts w:hint="eastAsia" w:cs="仿宋_GB2312" w:asciiTheme="minorEastAsia" w:hAnsiTheme="minorEastAsia" w:eastAsiaTheme="minorEastAsia"/>
                <w:bCs/>
                <w:sz w:val="18"/>
                <w:szCs w:val="18"/>
                <w:lang w:val="en-US" w:eastAsia="zh-CN"/>
              </w:rPr>
              <w:t>凤凰公园对面</w:t>
            </w: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vMerge w:val="continue"/>
            <w:vAlign w:val="center"/>
          </w:tcPr>
          <w:p>
            <w:pPr>
              <w:spacing w:line="280" w:lineRule="exact"/>
              <w:jc w:val="center"/>
              <w:rPr>
                <w:rFonts w:ascii="宋体" w:cs="宋体"/>
                <w:sz w:val="18"/>
                <w:szCs w:val="18"/>
              </w:rPr>
            </w:pPr>
          </w:p>
        </w:tc>
        <w:tc>
          <w:tcPr>
            <w:tcW w:w="1843" w:type="dxa"/>
            <w:gridSpan w:val="2"/>
            <w:vAlign w:val="center"/>
          </w:tcPr>
          <w:p>
            <w:pPr>
              <w:jc w:val="center"/>
              <w:rPr>
                <w:rFonts w:ascii="宋体" w:cs="宋体"/>
                <w:sz w:val="18"/>
                <w:szCs w:val="18"/>
              </w:rPr>
            </w:pPr>
            <w:r>
              <w:rPr>
                <w:rFonts w:hint="eastAsia" w:ascii="宋体" w:hAnsi="宋体" w:cs="宋体"/>
                <w:kern w:val="0"/>
                <w:sz w:val="18"/>
                <w:szCs w:val="18"/>
              </w:rPr>
              <w:t>距离</w:t>
            </w:r>
          </w:p>
        </w:tc>
        <w:tc>
          <w:tcPr>
            <w:tcW w:w="7229" w:type="dxa"/>
            <w:vAlign w:val="center"/>
          </w:tcPr>
          <w:p>
            <w:pPr>
              <w:spacing w:line="280" w:lineRule="exact"/>
              <w:jc w:val="center"/>
              <w:rPr>
                <w:rFonts w:ascii="宋体" w:cs="宋体"/>
                <w:sz w:val="18"/>
                <w:szCs w:val="18"/>
              </w:rPr>
            </w:pPr>
            <w:r>
              <w:rPr>
                <w:rFonts w:hint="eastAsia" w:ascii="宋体" w:hAnsi="宋体" w:cs="宋体"/>
                <w:sz w:val="18"/>
                <w:szCs w:val="18"/>
              </w:rPr>
              <w:t>距永胜县人民政府约</w:t>
            </w:r>
            <w:r>
              <w:rPr>
                <w:rFonts w:hint="eastAsia" w:ascii="宋体" w:hAnsi="宋体" w:cs="宋体"/>
                <w:sz w:val="18"/>
                <w:szCs w:val="18"/>
                <w:lang w:val="en-US" w:eastAsia="zh-CN"/>
              </w:rPr>
              <w:t>0.8</w:t>
            </w:r>
            <w:r>
              <w:rPr>
                <w:rFonts w:hint="eastAsia" w:ascii="宋体" w:hAnsi="宋体" w:cs="宋体"/>
                <w:sz w:val="18"/>
                <w:szCs w:val="18"/>
              </w:rPr>
              <w:t>公里，距永胜县汽车客运站约</w:t>
            </w:r>
            <w:r>
              <w:rPr>
                <w:rFonts w:hint="eastAsia" w:ascii="宋体" w:hAnsi="宋体" w:cs="宋体"/>
                <w:sz w:val="18"/>
                <w:szCs w:val="18"/>
                <w:lang w:val="en-US" w:eastAsia="zh-CN"/>
              </w:rPr>
              <w:t>2</w:t>
            </w:r>
            <w:r>
              <w:rPr>
                <w:rFonts w:hint="eastAsia" w:ascii="宋体" w:hAnsi="宋体" w:cs="宋体"/>
                <w:sz w:val="18"/>
                <w:szCs w:val="18"/>
              </w:rPr>
              <w:t>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vMerge w:val="continue"/>
            <w:vAlign w:val="center"/>
          </w:tcPr>
          <w:p>
            <w:pPr>
              <w:spacing w:line="280" w:lineRule="exact"/>
              <w:jc w:val="center"/>
              <w:rPr>
                <w:rFonts w:ascii="宋体" w:cs="宋体"/>
                <w:sz w:val="18"/>
                <w:szCs w:val="18"/>
              </w:rPr>
            </w:pPr>
          </w:p>
        </w:tc>
        <w:tc>
          <w:tcPr>
            <w:tcW w:w="1843" w:type="dxa"/>
            <w:gridSpan w:val="2"/>
            <w:vAlign w:val="center"/>
          </w:tcPr>
          <w:p>
            <w:pPr>
              <w:widowControl/>
              <w:jc w:val="center"/>
              <w:rPr>
                <w:rFonts w:ascii="宋体" w:cs="宋体"/>
                <w:sz w:val="18"/>
                <w:szCs w:val="18"/>
              </w:rPr>
            </w:pPr>
            <w:r>
              <w:rPr>
                <w:rFonts w:hint="eastAsia" w:ascii="宋体" w:hAnsi="宋体" w:cs="宋体"/>
                <w:kern w:val="0"/>
                <w:sz w:val="18"/>
                <w:szCs w:val="18"/>
              </w:rPr>
              <w:t>朝向</w:t>
            </w:r>
          </w:p>
        </w:tc>
        <w:tc>
          <w:tcPr>
            <w:tcW w:w="7229" w:type="dxa"/>
            <w:vAlign w:val="center"/>
          </w:tcPr>
          <w:p>
            <w:pPr>
              <w:spacing w:line="280" w:lineRule="exact"/>
              <w:jc w:val="center"/>
              <w:rPr>
                <w:rFonts w:ascii="宋体" w:cs="宋体"/>
                <w:sz w:val="18"/>
                <w:szCs w:val="18"/>
              </w:rPr>
            </w:pPr>
            <w:r>
              <w:rPr>
                <w:rFonts w:hint="eastAsia" w:ascii="宋体" w:hAnsi="宋体" w:cs="宋体"/>
                <w:sz w:val="18"/>
                <w:szCs w:val="18"/>
              </w:rPr>
              <w:t>东西向。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vMerge w:val="continue"/>
            <w:vAlign w:val="center"/>
          </w:tcPr>
          <w:p>
            <w:pPr>
              <w:spacing w:line="280" w:lineRule="exact"/>
              <w:jc w:val="center"/>
              <w:rPr>
                <w:rFonts w:ascii="宋体" w:cs="宋体"/>
                <w:sz w:val="18"/>
                <w:szCs w:val="18"/>
              </w:rPr>
            </w:pPr>
          </w:p>
        </w:tc>
        <w:tc>
          <w:tcPr>
            <w:tcW w:w="1843" w:type="dxa"/>
            <w:gridSpan w:val="2"/>
            <w:vAlign w:val="center"/>
          </w:tcPr>
          <w:p>
            <w:pPr>
              <w:widowControl/>
              <w:jc w:val="center"/>
              <w:rPr>
                <w:rFonts w:ascii="宋体" w:cs="宋体"/>
                <w:sz w:val="18"/>
                <w:szCs w:val="18"/>
              </w:rPr>
            </w:pPr>
            <w:r>
              <w:rPr>
                <w:rFonts w:hint="eastAsia" w:ascii="宋体" w:hAnsi="宋体" w:cs="宋体"/>
                <w:kern w:val="0"/>
                <w:sz w:val="18"/>
                <w:szCs w:val="18"/>
              </w:rPr>
              <w:t>楼层</w:t>
            </w:r>
          </w:p>
        </w:tc>
        <w:tc>
          <w:tcPr>
            <w:tcW w:w="7229" w:type="dxa"/>
            <w:vAlign w:val="center"/>
          </w:tcPr>
          <w:p>
            <w:pPr>
              <w:spacing w:line="280" w:lineRule="exact"/>
              <w:jc w:val="center"/>
              <w:rPr>
                <w:rFonts w:ascii="宋体" w:cs="宋体"/>
                <w:sz w:val="18"/>
                <w:szCs w:val="18"/>
              </w:rPr>
            </w:pPr>
            <w:r>
              <w:rPr>
                <w:rFonts w:hint="eastAsia" w:ascii="宋体" w:hAnsi="宋体" w:cs="宋体"/>
                <w:sz w:val="18"/>
                <w:szCs w:val="18"/>
              </w:rPr>
              <w:t>建筑物总层数为</w:t>
            </w:r>
            <w:r>
              <w:rPr>
                <w:rFonts w:hint="eastAsia" w:ascii="宋体" w:hAnsi="宋体" w:cs="宋体"/>
                <w:sz w:val="18"/>
                <w:szCs w:val="18"/>
                <w:lang w:val="en-US" w:eastAsia="zh-CN"/>
              </w:rPr>
              <w:t>5</w:t>
            </w:r>
            <w:r>
              <w:rPr>
                <w:rFonts w:hint="eastAsia" w:ascii="宋体" w:hAnsi="宋体" w:cs="宋体"/>
                <w:sz w:val="18"/>
                <w:szCs w:val="18"/>
              </w:rPr>
              <w:t>层，估价对象位于5层。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vMerge w:val="continue"/>
            <w:vAlign w:val="center"/>
          </w:tcPr>
          <w:p>
            <w:pPr>
              <w:spacing w:line="280" w:lineRule="exact"/>
              <w:jc w:val="center"/>
              <w:rPr>
                <w:rFonts w:ascii="宋体" w:cs="宋体"/>
                <w:sz w:val="18"/>
                <w:szCs w:val="18"/>
              </w:rPr>
            </w:pPr>
          </w:p>
        </w:tc>
        <w:tc>
          <w:tcPr>
            <w:tcW w:w="1843" w:type="dxa"/>
            <w:gridSpan w:val="2"/>
            <w:vAlign w:val="center"/>
          </w:tcPr>
          <w:p>
            <w:pPr>
              <w:widowControl/>
              <w:jc w:val="center"/>
              <w:rPr>
                <w:rFonts w:ascii="宋体" w:cs="宋体"/>
                <w:sz w:val="18"/>
                <w:szCs w:val="18"/>
              </w:rPr>
            </w:pPr>
            <w:r>
              <w:rPr>
                <w:rFonts w:hint="eastAsia" w:ascii="宋体" w:hAnsi="宋体" w:cs="宋体"/>
                <w:kern w:val="0"/>
                <w:sz w:val="18"/>
                <w:szCs w:val="18"/>
              </w:rPr>
              <w:t>临路状况</w:t>
            </w:r>
          </w:p>
        </w:tc>
        <w:tc>
          <w:tcPr>
            <w:tcW w:w="7229" w:type="dxa"/>
            <w:vAlign w:val="center"/>
          </w:tcPr>
          <w:p>
            <w:pPr>
              <w:spacing w:line="280" w:lineRule="exact"/>
              <w:jc w:val="center"/>
              <w:rPr>
                <w:rFonts w:ascii="宋体" w:cs="宋体"/>
                <w:sz w:val="18"/>
                <w:szCs w:val="18"/>
              </w:rPr>
            </w:pPr>
            <w:r>
              <w:rPr>
                <w:rFonts w:hint="eastAsia" w:ascii="宋体" w:hAnsi="宋体" w:cs="宋体"/>
                <w:kern w:val="0"/>
                <w:sz w:val="18"/>
                <w:szCs w:val="18"/>
                <w:lang w:val="en-US" w:eastAsia="zh-CN"/>
              </w:rPr>
              <w:t>凤鸣路</w:t>
            </w:r>
            <w:r>
              <w:rPr>
                <w:rFonts w:hint="eastAsia" w:ascii="宋体" w:hAnsi="宋体" w:cs="宋体"/>
                <w:kern w:val="0"/>
                <w:sz w:val="18"/>
                <w:szCs w:val="18"/>
              </w:rPr>
              <w:t>以西</w:t>
            </w: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vMerge w:val="restart"/>
            <w:vAlign w:val="center"/>
          </w:tcPr>
          <w:p>
            <w:pPr>
              <w:spacing w:line="280" w:lineRule="exact"/>
              <w:jc w:val="center"/>
              <w:rPr>
                <w:rFonts w:ascii="宋体" w:cs="宋体"/>
                <w:sz w:val="18"/>
                <w:szCs w:val="18"/>
              </w:rPr>
            </w:pPr>
            <w:r>
              <w:rPr>
                <w:rFonts w:hint="eastAsia" w:ascii="宋体" w:hAnsi="宋体" w:cs="宋体"/>
                <w:sz w:val="18"/>
                <w:szCs w:val="18"/>
              </w:rPr>
              <w:t>交通</w:t>
            </w:r>
          </w:p>
        </w:tc>
        <w:tc>
          <w:tcPr>
            <w:tcW w:w="1843" w:type="dxa"/>
            <w:gridSpan w:val="2"/>
            <w:vAlign w:val="center"/>
          </w:tcPr>
          <w:p>
            <w:pPr>
              <w:widowControl/>
              <w:jc w:val="center"/>
              <w:rPr>
                <w:rFonts w:ascii="宋体" w:cs="宋体"/>
                <w:sz w:val="18"/>
                <w:szCs w:val="18"/>
              </w:rPr>
            </w:pPr>
            <w:r>
              <w:rPr>
                <w:rFonts w:hint="eastAsia" w:ascii="宋体" w:hAnsi="宋体" w:cs="宋体"/>
                <w:kern w:val="0"/>
                <w:sz w:val="18"/>
                <w:szCs w:val="18"/>
              </w:rPr>
              <w:t>道路状况</w:t>
            </w:r>
          </w:p>
        </w:tc>
        <w:tc>
          <w:tcPr>
            <w:tcW w:w="7229" w:type="dxa"/>
            <w:vAlign w:val="center"/>
          </w:tcPr>
          <w:p>
            <w:pPr>
              <w:spacing w:line="280" w:lineRule="exact"/>
              <w:jc w:val="center"/>
              <w:rPr>
                <w:rFonts w:ascii="宋体" w:cs="宋体"/>
                <w:sz w:val="18"/>
                <w:szCs w:val="18"/>
              </w:rPr>
            </w:pPr>
            <w:r>
              <w:rPr>
                <w:rFonts w:hint="eastAsia" w:ascii="宋体" w:hAnsi="宋体" w:cs="宋体"/>
                <w:kern w:val="0"/>
                <w:sz w:val="18"/>
                <w:szCs w:val="18"/>
              </w:rPr>
              <w:t>区域内有</w:t>
            </w:r>
            <w:r>
              <w:rPr>
                <w:rFonts w:hint="eastAsia" w:ascii="宋体" w:hAnsi="宋体" w:cs="宋体"/>
                <w:kern w:val="0"/>
                <w:sz w:val="18"/>
                <w:szCs w:val="18"/>
                <w:lang w:val="en-US" w:eastAsia="zh-CN"/>
              </w:rPr>
              <w:t>凤鸣路</w:t>
            </w:r>
            <w:r>
              <w:rPr>
                <w:rFonts w:hint="eastAsia" w:ascii="宋体" w:hAnsi="宋体" w:cs="宋体"/>
                <w:kern w:val="0"/>
                <w:sz w:val="18"/>
                <w:szCs w:val="18"/>
              </w:rPr>
              <w:t>、</w:t>
            </w:r>
            <w:r>
              <w:rPr>
                <w:rFonts w:hint="eastAsia" w:ascii="宋体" w:hAnsi="宋体" w:cs="宋体"/>
                <w:kern w:val="0"/>
                <w:sz w:val="18"/>
                <w:szCs w:val="18"/>
                <w:lang w:val="en-US" w:eastAsia="zh-CN"/>
              </w:rPr>
              <w:t>南华</w:t>
            </w:r>
            <w:r>
              <w:rPr>
                <w:rFonts w:hint="eastAsia" w:ascii="宋体" w:hAnsi="宋体" w:cs="宋体"/>
                <w:kern w:val="0"/>
                <w:sz w:val="18"/>
                <w:szCs w:val="18"/>
              </w:rPr>
              <w:t>路等主干道，路网密度大，道路通达度较好</w:t>
            </w: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vMerge w:val="continue"/>
            <w:vAlign w:val="center"/>
          </w:tcPr>
          <w:p>
            <w:pPr>
              <w:spacing w:line="280" w:lineRule="exact"/>
              <w:jc w:val="center"/>
              <w:rPr>
                <w:rFonts w:ascii="宋体" w:cs="宋体"/>
                <w:sz w:val="18"/>
                <w:szCs w:val="18"/>
              </w:rPr>
            </w:pPr>
          </w:p>
        </w:tc>
        <w:tc>
          <w:tcPr>
            <w:tcW w:w="1843" w:type="dxa"/>
            <w:gridSpan w:val="2"/>
            <w:vAlign w:val="center"/>
          </w:tcPr>
          <w:p>
            <w:pPr>
              <w:widowControl/>
              <w:jc w:val="center"/>
              <w:rPr>
                <w:rFonts w:ascii="宋体" w:cs="宋体"/>
                <w:sz w:val="18"/>
                <w:szCs w:val="18"/>
              </w:rPr>
            </w:pPr>
            <w:r>
              <w:rPr>
                <w:rFonts w:hint="eastAsia" w:ascii="宋体" w:hAnsi="宋体" w:cs="宋体"/>
                <w:kern w:val="0"/>
                <w:sz w:val="18"/>
                <w:szCs w:val="18"/>
              </w:rPr>
              <w:t>交通状况</w:t>
            </w:r>
          </w:p>
        </w:tc>
        <w:tc>
          <w:tcPr>
            <w:tcW w:w="7229" w:type="dxa"/>
            <w:vAlign w:val="center"/>
          </w:tcPr>
          <w:p>
            <w:pPr>
              <w:spacing w:line="280" w:lineRule="exact"/>
              <w:jc w:val="center"/>
              <w:rPr>
                <w:rFonts w:ascii="宋体" w:cs="宋体"/>
                <w:sz w:val="18"/>
                <w:szCs w:val="18"/>
              </w:rPr>
            </w:pPr>
            <w:r>
              <w:rPr>
                <w:rFonts w:hint="eastAsia" w:ascii="宋体" w:hAnsi="宋体" w:cs="宋体"/>
                <w:kern w:val="0"/>
                <w:sz w:val="18"/>
                <w:szCs w:val="18"/>
              </w:rPr>
              <w:t>附近有9路公交车站及出租车通行通过，距</w:t>
            </w:r>
            <w:r>
              <w:rPr>
                <w:rFonts w:hint="eastAsia" w:ascii="宋体" w:hAnsi="宋体" w:cs="宋体"/>
                <w:sz w:val="18"/>
                <w:szCs w:val="18"/>
              </w:rPr>
              <w:t>客运站约</w:t>
            </w:r>
            <w:r>
              <w:rPr>
                <w:rFonts w:hint="eastAsia" w:ascii="宋体" w:hAnsi="宋体" w:cs="宋体"/>
                <w:sz w:val="18"/>
                <w:szCs w:val="18"/>
                <w:lang w:val="en-US" w:eastAsia="zh-CN"/>
              </w:rPr>
              <w:t>2</w:t>
            </w:r>
            <w:r>
              <w:rPr>
                <w:rFonts w:hint="eastAsia" w:ascii="宋体" w:hAnsi="宋体" w:cs="宋体"/>
                <w:sz w:val="18"/>
                <w:szCs w:val="18"/>
              </w:rPr>
              <w:t>公里</w:t>
            </w:r>
            <w:r>
              <w:rPr>
                <w:rFonts w:hint="eastAsia" w:ascii="宋体" w:hAnsi="宋体" w:cs="宋体"/>
                <w:kern w:val="0"/>
                <w:sz w:val="18"/>
                <w:szCs w:val="18"/>
              </w:rPr>
              <w:t>，对内外交通较便捷。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vMerge w:val="continue"/>
            <w:vAlign w:val="center"/>
          </w:tcPr>
          <w:p>
            <w:pPr>
              <w:spacing w:line="280" w:lineRule="exact"/>
              <w:jc w:val="center"/>
              <w:rPr>
                <w:rFonts w:ascii="宋体" w:cs="宋体"/>
                <w:sz w:val="18"/>
                <w:szCs w:val="18"/>
              </w:rPr>
            </w:pPr>
          </w:p>
        </w:tc>
        <w:tc>
          <w:tcPr>
            <w:tcW w:w="1843" w:type="dxa"/>
            <w:gridSpan w:val="2"/>
            <w:vAlign w:val="center"/>
          </w:tcPr>
          <w:p>
            <w:pPr>
              <w:widowControl/>
              <w:jc w:val="center"/>
              <w:rPr>
                <w:rFonts w:ascii="宋体" w:cs="宋体"/>
                <w:sz w:val="18"/>
                <w:szCs w:val="18"/>
              </w:rPr>
            </w:pPr>
            <w:r>
              <w:rPr>
                <w:rFonts w:hint="eastAsia" w:ascii="宋体" w:hAnsi="宋体" w:cs="宋体"/>
                <w:kern w:val="0"/>
                <w:sz w:val="18"/>
                <w:szCs w:val="18"/>
              </w:rPr>
              <w:t>交通管制</w:t>
            </w:r>
          </w:p>
        </w:tc>
        <w:tc>
          <w:tcPr>
            <w:tcW w:w="7229" w:type="dxa"/>
            <w:vAlign w:val="center"/>
          </w:tcPr>
          <w:p>
            <w:pPr>
              <w:spacing w:line="280" w:lineRule="exact"/>
              <w:jc w:val="center"/>
              <w:rPr>
                <w:rFonts w:ascii="宋体" w:cs="宋体"/>
                <w:sz w:val="18"/>
                <w:szCs w:val="18"/>
              </w:rPr>
            </w:pPr>
            <w:r>
              <w:rPr>
                <w:rFonts w:hint="eastAsia" w:ascii="宋体" w:hAnsi="宋体" w:cs="宋体"/>
                <w:kern w:val="0"/>
                <w:sz w:val="18"/>
                <w:szCs w:val="18"/>
              </w:rPr>
              <w:t>区域内无单行道、车辆限行等交通管制状况，交通畅通。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vMerge w:val="continue"/>
            <w:vAlign w:val="center"/>
          </w:tcPr>
          <w:p>
            <w:pPr>
              <w:spacing w:line="280" w:lineRule="exact"/>
              <w:jc w:val="center"/>
              <w:rPr>
                <w:rFonts w:ascii="宋体" w:cs="宋体"/>
                <w:sz w:val="18"/>
                <w:szCs w:val="18"/>
              </w:rPr>
            </w:pPr>
          </w:p>
        </w:tc>
        <w:tc>
          <w:tcPr>
            <w:tcW w:w="1843" w:type="dxa"/>
            <w:gridSpan w:val="2"/>
            <w:vAlign w:val="center"/>
          </w:tcPr>
          <w:p>
            <w:pPr>
              <w:widowControl/>
              <w:jc w:val="center"/>
              <w:rPr>
                <w:rFonts w:ascii="宋体" w:cs="宋体"/>
                <w:sz w:val="18"/>
                <w:szCs w:val="18"/>
              </w:rPr>
            </w:pPr>
            <w:r>
              <w:rPr>
                <w:rFonts w:hint="eastAsia" w:ascii="宋体" w:hAnsi="宋体" w:cs="宋体"/>
                <w:kern w:val="0"/>
                <w:sz w:val="18"/>
                <w:szCs w:val="18"/>
              </w:rPr>
              <w:t>停车状况</w:t>
            </w:r>
          </w:p>
        </w:tc>
        <w:tc>
          <w:tcPr>
            <w:tcW w:w="7229" w:type="dxa"/>
            <w:vAlign w:val="center"/>
          </w:tcPr>
          <w:p>
            <w:pPr>
              <w:spacing w:line="280" w:lineRule="exact"/>
              <w:jc w:val="center"/>
              <w:rPr>
                <w:rFonts w:ascii="宋体" w:cs="宋体"/>
                <w:sz w:val="18"/>
                <w:szCs w:val="18"/>
              </w:rPr>
            </w:pPr>
            <w:r>
              <w:rPr>
                <w:rFonts w:hint="eastAsia" w:ascii="宋体" w:hAnsi="宋体" w:cs="宋体"/>
                <w:kern w:val="0"/>
                <w:sz w:val="18"/>
                <w:szCs w:val="18"/>
              </w:rPr>
              <w:t>所在区域有停车场，周边有沿街占道临时停车位，停车较方便。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vMerge w:val="restart"/>
            <w:vAlign w:val="center"/>
          </w:tcPr>
          <w:p>
            <w:pPr>
              <w:spacing w:line="240" w:lineRule="exact"/>
              <w:jc w:val="center"/>
              <w:rPr>
                <w:rFonts w:ascii="宋体" w:cs="宋体"/>
                <w:sz w:val="18"/>
                <w:szCs w:val="18"/>
              </w:rPr>
            </w:pPr>
            <w:r>
              <w:rPr>
                <w:rFonts w:hint="eastAsia" w:ascii="宋体" w:hAnsi="宋体" w:cs="宋体"/>
                <w:kern w:val="0"/>
                <w:sz w:val="18"/>
                <w:szCs w:val="18"/>
              </w:rPr>
              <w:t>外部配套设施</w:t>
            </w:r>
          </w:p>
        </w:tc>
        <w:tc>
          <w:tcPr>
            <w:tcW w:w="1843" w:type="dxa"/>
            <w:gridSpan w:val="2"/>
            <w:vAlign w:val="center"/>
          </w:tcPr>
          <w:p>
            <w:pPr>
              <w:spacing w:line="280" w:lineRule="exact"/>
              <w:jc w:val="center"/>
              <w:rPr>
                <w:rFonts w:ascii="宋体" w:cs="宋体"/>
                <w:sz w:val="18"/>
                <w:szCs w:val="18"/>
              </w:rPr>
            </w:pPr>
            <w:r>
              <w:rPr>
                <w:rFonts w:hint="eastAsia" w:ascii="宋体" w:hAnsi="宋体" w:cs="宋体"/>
                <w:kern w:val="0"/>
                <w:sz w:val="18"/>
                <w:szCs w:val="18"/>
              </w:rPr>
              <w:t>城市基础设施</w:t>
            </w:r>
          </w:p>
        </w:tc>
        <w:tc>
          <w:tcPr>
            <w:tcW w:w="7229" w:type="dxa"/>
            <w:vAlign w:val="center"/>
          </w:tcPr>
          <w:p>
            <w:pPr>
              <w:spacing w:line="280" w:lineRule="exact"/>
              <w:jc w:val="center"/>
              <w:rPr>
                <w:rFonts w:ascii="宋体" w:cs="宋体"/>
                <w:sz w:val="18"/>
                <w:szCs w:val="18"/>
              </w:rPr>
            </w:pPr>
            <w:r>
              <w:rPr>
                <w:rFonts w:hint="eastAsia" w:ascii="宋体" w:hAnsi="宋体" w:cs="宋体"/>
                <w:kern w:val="0"/>
                <w:sz w:val="18"/>
                <w:szCs w:val="18"/>
              </w:rPr>
              <w:t>所在区域已达到了“五通一平”，上水、下水、电、路，通讯宗地内场平，基础设施完备。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567" w:type="dxa"/>
            <w:vMerge w:val="continue"/>
            <w:vAlign w:val="center"/>
          </w:tcPr>
          <w:p>
            <w:pPr>
              <w:spacing w:line="280" w:lineRule="exact"/>
              <w:jc w:val="center"/>
              <w:rPr>
                <w:rFonts w:ascii="宋体" w:cs="宋体"/>
                <w:sz w:val="18"/>
                <w:szCs w:val="18"/>
              </w:rPr>
            </w:pPr>
          </w:p>
        </w:tc>
        <w:tc>
          <w:tcPr>
            <w:tcW w:w="709" w:type="dxa"/>
            <w:vMerge w:val="restart"/>
            <w:vAlign w:val="center"/>
          </w:tcPr>
          <w:p>
            <w:pPr>
              <w:spacing w:line="200" w:lineRule="exact"/>
              <w:jc w:val="center"/>
              <w:rPr>
                <w:rFonts w:ascii="宋体" w:cs="宋体"/>
                <w:sz w:val="18"/>
                <w:szCs w:val="18"/>
              </w:rPr>
            </w:pPr>
            <w:r>
              <w:rPr>
                <w:rFonts w:hint="eastAsia" w:ascii="宋体" w:hAnsi="宋体" w:cs="宋体"/>
                <w:kern w:val="0"/>
                <w:sz w:val="18"/>
                <w:szCs w:val="18"/>
              </w:rPr>
              <w:t>公共服务设施</w:t>
            </w:r>
          </w:p>
        </w:tc>
        <w:tc>
          <w:tcPr>
            <w:tcW w:w="1134" w:type="dxa"/>
            <w:vAlign w:val="center"/>
          </w:tcPr>
          <w:p>
            <w:pPr>
              <w:widowControl/>
              <w:spacing w:line="280" w:lineRule="exact"/>
              <w:jc w:val="center"/>
              <w:rPr>
                <w:rFonts w:ascii="宋体" w:cs="宋体"/>
                <w:sz w:val="18"/>
                <w:szCs w:val="18"/>
              </w:rPr>
            </w:pPr>
            <w:r>
              <w:rPr>
                <w:rFonts w:hint="eastAsia" w:ascii="宋体" w:hAnsi="宋体" w:cs="宋体"/>
                <w:kern w:val="0"/>
                <w:sz w:val="18"/>
                <w:szCs w:val="18"/>
              </w:rPr>
              <w:t>银教卫情况</w:t>
            </w:r>
          </w:p>
        </w:tc>
        <w:tc>
          <w:tcPr>
            <w:tcW w:w="7229" w:type="dxa"/>
            <w:vAlign w:val="center"/>
          </w:tcPr>
          <w:p>
            <w:pPr>
              <w:spacing w:line="240" w:lineRule="exact"/>
              <w:jc w:val="center"/>
              <w:rPr>
                <w:rFonts w:ascii="宋体" w:cs="宋体"/>
                <w:sz w:val="18"/>
                <w:szCs w:val="18"/>
              </w:rPr>
            </w:pPr>
            <w:r>
              <w:rPr>
                <w:rFonts w:hint="eastAsia" w:ascii="宋体" w:cs="宋体"/>
                <w:sz w:val="18"/>
                <w:szCs w:val="18"/>
              </w:rPr>
              <w:t>附近有</w:t>
            </w:r>
            <w:r>
              <w:rPr>
                <w:rFonts w:hint="eastAsia" w:ascii="宋体" w:cs="宋体"/>
                <w:sz w:val="18"/>
                <w:szCs w:val="18"/>
                <w:lang w:val="en-US" w:eastAsia="zh-CN"/>
              </w:rPr>
              <w:t>永胜农村商业</w:t>
            </w:r>
            <w:r>
              <w:rPr>
                <w:rFonts w:hint="eastAsia" w:ascii="宋体" w:cs="宋体"/>
                <w:sz w:val="18"/>
                <w:szCs w:val="18"/>
              </w:rPr>
              <w:t>银行、</w:t>
            </w:r>
            <w:r>
              <w:rPr>
                <w:rFonts w:hint="eastAsia" w:ascii="宋体" w:cs="宋体"/>
                <w:color w:val="auto"/>
                <w:sz w:val="18"/>
                <w:szCs w:val="18"/>
                <w:lang w:val="en-US" w:eastAsia="zh-CN"/>
              </w:rPr>
              <w:t>富滇银行</w:t>
            </w:r>
            <w:r>
              <w:rPr>
                <w:rFonts w:hint="eastAsia" w:ascii="宋体" w:cs="宋体"/>
                <w:color w:val="auto"/>
                <w:sz w:val="18"/>
                <w:szCs w:val="18"/>
              </w:rPr>
              <w:t>等营业网点；附近有</w:t>
            </w:r>
            <w:r>
              <w:rPr>
                <w:rFonts w:hint="eastAsia" w:ascii="宋体" w:cs="宋体"/>
                <w:color w:val="auto"/>
                <w:sz w:val="18"/>
                <w:szCs w:val="18"/>
                <w:lang w:val="en-US" w:eastAsia="zh-CN"/>
              </w:rPr>
              <w:t>凤鸣</w:t>
            </w:r>
            <w:r>
              <w:rPr>
                <w:rFonts w:hint="eastAsia" w:ascii="宋体" w:cs="宋体"/>
                <w:color w:val="auto"/>
                <w:sz w:val="18"/>
                <w:szCs w:val="18"/>
              </w:rPr>
              <w:t>小学、</w:t>
            </w:r>
            <w:r>
              <w:rPr>
                <w:rFonts w:hint="eastAsia" w:ascii="宋体" w:cs="宋体"/>
                <w:color w:val="auto"/>
                <w:sz w:val="18"/>
                <w:szCs w:val="18"/>
                <w:lang w:val="en-US" w:eastAsia="zh-CN"/>
              </w:rPr>
              <w:t>永胜一中</w:t>
            </w:r>
            <w:r>
              <w:rPr>
                <w:rFonts w:hint="eastAsia" w:ascii="宋体" w:cs="宋体"/>
                <w:color w:val="auto"/>
                <w:sz w:val="18"/>
                <w:szCs w:val="18"/>
              </w:rPr>
              <w:t>等学校；附近有</w:t>
            </w:r>
            <w:r>
              <w:rPr>
                <w:rFonts w:hint="eastAsia" w:ascii="宋体" w:cs="宋体"/>
                <w:color w:val="auto"/>
                <w:sz w:val="18"/>
                <w:szCs w:val="18"/>
                <w:lang w:val="en-US" w:eastAsia="zh-CN"/>
              </w:rPr>
              <w:t>永大</w:t>
            </w:r>
            <w:r>
              <w:rPr>
                <w:rFonts w:hint="eastAsia" w:ascii="宋体" w:cs="宋体"/>
                <w:color w:val="auto"/>
                <w:sz w:val="18"/>
                <w:szCs w:val="18"/>
              </w:rPr>
              <w:t>医院、</w:t>
            </w:r>
            <w:r>
              <w:rPr>
                <w:rFonts w:hint="eastAsia" w:ascii="宋体" w:cs="宋体"/>
                <w:color w:val="auto"/>
                <w:sz w:val="18"/>
                <w:szCs w:val="18"/>
                <w:lang w:val="en-US" w:eastAsia="zh-CN"/>
              </w:rPr>
              <w:t>永胜县妇幼保健院</w:t>
            </w:r>
            <w:r>
              <w:rPr>
                <w:rFonts w:hint="eastAsia" w:ascii="宋体" w:cs="宋体"/>
                <w:color w:val="auto"/>
                <w:sz w:val="18"/>
                <w:szCs w:val="18"/>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567" w:type="dxa"/>
            <w:vMerge w:val="continue"/>
            <w:vAlign w:val="center"/>
          </w:tcPr>
          <w:p>
            <w:pPr>
              <w:spacing w:line="280" w:lineRule="exact"/>
              <w:jc w:val="center"/>
              <w:rPr>
                <w:rFonts w:ascii="宋体" w:cs="宋体"/>
                <w:sz w:val="18"/>
                <w:szCs w:val="18"/>
              </w:rPr>
            </w:pPr>
          </w:p>
        </w:tc>
        <w:tc>
          <w:tcPr>
            <w:tcW w:w="709" w:type="dxa"/>
            <w:vMerge w:val="continue"/>
            <w:vAlign w:val="center"/>
          </w:tcPr>
          <w:p>
            <w:pPr>
              <w:spacing w:line="280" w:lineRule="exact"/>
              <w:jc w:val="center"/>
              <w:rPr>
                <w:rFonts w:ascii="宋体" w:cs="宋体"/>
                <w:sz w:val="18"/>
                <w:szCs w:val="18"/>
              </w:rPr>
            </w:pPr>
          </w:p>
        </w:tc>
        <w:tc>
          <w:tcPr>
            <w:tcW w:w="1134" w:type="dxa"/>
            <w:vAlign w:val="center"/>
          </w:tcPr>
          <w:p>
            <w:pPr>
              <w:widowControl/>
              <w:spacing w:line="280" w:lineRule="exact"/>
              <w:jc w:val="center"/>
              <w:rPr>
                <w:rFonts w:hint="eastAsia" w:ascii="宋体" w:eastAsia="宋体" w:cs="宋体"/>
                <w:sz w:val="18"/>
                <w:szCs w:val="18"/>
                <w:lang w:val="en-US" w:eastAsia="zh-CN"/>
              </w:rPr>
            </w:pPr>
            <w:r>
              <w:rPr>
                <w:rFonts w:hint="eastAsia" w:ascii="宋体" w:hAnsi="宋体" w:cs="宋体"/>
                <w:kern w:val="0"/>
                <w:sz w:val="18"/>
                <w:szCs w:val="18"/>
              </w:rPr>
              <w:t>休闲娱乐</w:t>
            </w:r>
            <w:r>
              <w:rPr>
                <w:rFonts w:hint="eastAsia" w:ascii="宋体" w:hAnsi="宋体" w:cs="宋体"/>
                <w:kern w:val="0"/>
                <w:sz w:val="18"/>
                <w:szCs w:val="18"/>
                <w:lang w:val="en-US" w:eastAsia="zh-CN"/>
              </w:rPr>
              <w:t>购物</w:t>
            </w:r>
          </w:p>
        </w:tc>
        <w:tc>
          <w:tcPr>
            <w:tcW w:w="7229" w:type="dxa"/>
            <w:vAlign w:val="center"/>
          </w:tcPr>
          <w:p>
            <w:pPr>
              <w:spacing w:line="240" w:lineRule="exact"/>
              <w:jc w:val="center"/>
              <w:rPr>
                <w:rFonts w:ascii="宋体" w:cs="宋体"/>
                <w:sz w:val="18"/>
                <w:szCs w:val="18"/>
              </w:rPr>
            </w:pPr>
            <w:r>
              <w:rPr>
                <w:rFonts w:hint="eastAsia" w:ascii="宋体" w:hAnsi="宋体" w:cs="宋体"/>
                <w:sz w:val="18"/>
                <w:szCs w:val="18"/>
              </w:rPr>
              <w:t>附近有</w:t>
            </w:r>
            <w:r>
              <w:rPr>
                <w:rFonts w:hint="eastAsia" w:ascii="宋体" w:hAnsi="宋体" w:cs="宋体"/>
                <w:sz w:val="18"/>
                <w:szCs w:val="18"/>
                <w:lang w:val="en-US" w:eastAsia="zh-CN"/>
              </w:rPr>
              <w:t>凤凰公园</w:t>
            </w:r>
            <w:r>
              <w:rPr>
                <w:rFonts w:hint="eastAsia" w:ascii="宋体" w:hAnsi="宋体" w:cs="宋体"/>
                <w:sz w:val="18"/>
                <w:szCs w:val="18"/>
              </w:rPr>
              <w:t>、</w:t>
            </w:r>
            <w:r>
              <w:rPr>
                <w:rFonts w:hint="eastAsia" w:ascii="宋体" w:hAnsi="宋体" w:cs="宋体"/>
                <w:sz w:val="18"/>
                <w:szCs w:val="18"/>
                <w:lang w:val="en-US" w:eastAsia="zh-CN"/>
              </w:rPr>
              <w:t>永胜县第二农贸市场、酒店、</w:t>
            </w:r>
            <w:r>
              <w:rPr>
                <w:rFonts w:hint="eastAsia" w:ascii="宋体" w:hAnsi="宋体" w:cs="宋体"/>
                <w:sz w:val="18"/>
                <w:szCs w:val="18"/>
              </w:rPr>
              <w:t>便利超市等</w:t>
            </w: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restart"/>
            <w:vAlign w:val="center"/>
          </w:tcPr>
          <w:p>
            <w:pPr>
              <w:spacing w:line="200" w:lineRule="exact"/>
              <w:jc w:val="center"/>
              <w:rPr>
                <w:rFonts w:ascii="宋体" w:cs="宋体"/>
                <w:sz w:val="18"/>
                <w:szCs w:val="18"/>
              </w:rPr>
            </w:pPr>
            <w:r>
              <w:rPr>
                <w:rFonts w:hint="eastAsia" w:ascii="宋体" w:hAnsi="宋体" w:cs="宋体"/>
                <w:kern w:val="0"/>
                <w:sz w:val="18"/>
                <w:szCs w:val="18"/>
              </w:rPr>
              <w:t>周围环境和景观</w:t>
            </w:r>
          </w:p>
        </w:tc>
        <w:tc>
          <w:tcPr>
            <w:tcW w:w="1843" w:type="dxa"/>
            <w:gridSpan w:val="2"/>
            <w:vAlign w:val="center"/>
          </w:tcPr>
          <w:p>
            <w:pPr>
              <w:widowControl/>
              <w:jc w:val="center"/>
              <w:rPr>
                <w:rFonts w:ascii="宋体" w:cs="宋体"/>
                <w:sz w:val="18"/>
                <w:szCs w:val="18"/>
              </w:rPr>
            </w:pPr>
            <w:r>
              <w:rPr>
                <w:rFonts w:hint="eastAsia" w:ascii="宋体" w:hAnsi="宋体" w:cs="宋体"/>
                <w:kern w:val="0"/>
                <w:sz w:val="18"/>
                <w:szCs w:val="18"/>
              </w:rPr>
              <w:t>自然环境</w:t>
            </w:r>
          </w:p>
        </w:tc>
        <w:tc>
          <w:tcPr>
            <w:tcW w:w="7229" w:type="dxa"/>
            <w:vAlign w:val="center"/>
          </w:tcPr>
          <w:p>
            <w:pPr>
              <w:spacing w:line="280" w:lineRule="exact"/>
              <w:jc w:val="center"/>
              <w:rPr>
                <w:rFonts w:ascii="宋体" w:cs="宋体"/>
                <w:sz w:val="18"/>
                <w:szCs w:val="18"/>
              </w:rPr>
            </w:pPr>
            <w:r>
              <w:rPr>
                <w:rFonts w:hint="eastAsia" w:ascii="宋体" w:hAnsi="宋体" w:cs="宋体"/>
                <w:kern w:val="0"/>
                <w:sz w:val="18"/>
                <w:szCs w:val="18"/>
              </w:rPr>
              <w:t>区域内街道整洁，绿化率一般，无大气、水文等污染，环境相对安静；区域内沿街绿化较好，无自然景观。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567" w:type="dxa"/>
            <w:vMerge w:val="continue"/>
            <w:vAlign w:val="center"/>
          </w:tcPr>
          <w:p>
            <w:pPr>
              <w:spacing w:line="280" w:lineRule="exact"/>
              <w:jc w:val="center"/>
              <w:rPr>
                <w:rFonts w:ascii="宋体" w:cs="宋体"/>
                <w:sz w:val="18"/>
                <w:szCs w:val="18"/>
              </w:rPr>
            </w:pPr>
          </w:p>
        </w:tc>
        <w:tc>
          <w:tcPr>
            <w:tcW w:w="1843" w:type="dxa"/>
            <w:gridSpan w:val="2"/>
            <w:vAlign w:val="center"/>
          </w:tcPr>
          <w:p>
            <w:pPr>
              <w:widowControl/>
              <w:jc w:val="center"/>
              <w:rPr>
                <w:rFonts w:ascii="宋体" w:cs="宋体"/>
                <w:sz w:val="18"/>
                <w:szCs w:val="18"/>
              </w:rPr>
            </w:pPr>
            <w:r>
              <w:rPr>
                <w:rFonts w:hint="eastAsia" w:ascii="宋体" w:hAnsi="宋体" w:cs="宋体"/>
                <w:kern w:val="0"/>
                <w:sz w:val="18"/>
                <w:szCs w:val="18"/>
              </w:rPr>
              <w:t>人文环境</w:t>
            </w:r>
          </w:p>
        </w:tc>
        <w:tc>
          <w:tcPr>
            <w:tcW w:w="7229" w:type="dxa"/>
            <w:vAlign w:val="center"/>
          </w:tcPr>
          <w:p>
            <w:pPr>
              <w:spacing w:line="280" w:lineRule="exact"/>
              <w:jc w:val="center"/>
              <w:rPr>
                <w:rFonts w:ascii="宋体" w:cs="宋体"/>
                <w:sz w:val="18"/>
                <w:szCs w:val="18"/>
              </w:rPr>
            </w:pPr>
            <w:r>
              <w:rPr>
                <w:rFonts w:hint="eastAsia" w:ascii="宋体" w:hAnsi="宋体" w:cs="宋体"/>
                <w:kern w:val="0"/>
                <w:sz w:val="18"/>
                <w:szCs w:val="18"/>
              </w:rPr>
              <w:t>所在区域居民以经商、自由职业者为主，治安状况良好。相邻房地产以商业、住宅等用途为主，区域内店铺林立，人流量较大，商业繁华度较好，居住密度高。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vAlign w:val="center"/>
          </w:tcPr>
          <w:p>
            <w:pPr>
              <w:spacing w:line="280" w:lineRule="exact"/>
              <w:jc w:val="center"/>
              <w:rPr>
                <w:rFonts w:ascii="宋体" w:cs="宋体"/>
                <w:sz w:val="18"/>
                <w:szCs w:val="18"/>
              </w:rPr>
            </w:pPr>
          </w:p>
        </w:tc>
        <w:tc>
          <w:tcPr>
            <w:tcW w:w="1843" w:type="dxa"/>
            <w:gridSpan w:val="2"/>
            <w:vAlign w:val="center"/>
          </w:tcPr>
          <w:p>
            <w:pPr>
              <w:widowControl/>
              <w:jc w:val="center"/>
              <w:rPr>
                <w:rFonts w:ascii="宋体" w:cs="宋体"/>
                <w:sz w:val="18"/>
                <w:szCs w:val="18"/>
              </w:rPr>
            </w:pPr>
            <w:r>
              <w:rPr>
                <w:rFonts w:hint="eastAsia" w:ascii="宋体" w:hAnsi="宋体" w:cs="宋体"/>
                <w:kern w:val="0"/>
                <w:sz w:val="18"/>
                <w:szCs w:val="18"/>
              </w:rPr>
              <w:t>住宅聚集度</w:t>
            </w:r>
          </w:p>
        </w:tc>
        <w:tc>
          <w:tcPr>
            <w:tcW w:w="7229" w:type="dxa"/>
            <w:vAlign w:val="center"/>
          </w:tcPr>
          <w:p>
            <w:pPr>
              <w:spacing w:line="280" w:lineRule="exact"/>
              <w:jc w:val="center"/>
              <w:rPr>
                <w:rFonts w:ascii="宋体" w:cs="宋体"/>
                <w:sz w:val="18"/>
                <w:szCs w:val="18"/>
              </w:rPr>
            </w:pPr>
            <w:r>
              <w:rPr>
                <w:rFonts w:ascii="宋体" w:hAnsi="宋体" w:cs="宋体"/>
                <w:kern w:val="0"/>
                <w:sz w:val="18"/>
                <w:szCs w:val="18"/>
              </w:rPr>
              <w:t>区域</w:t>
            </w:r>
            <w:r>
              <w:rPr>
                <w:rFonts w:hint="eastAsia" w:ascii="宋体" w:hAnsi="宋体" w:cs="宋体"/>
                <w:kern w:val="0"/>
                <w:sz w:val="18"/>
                <w:szCs w:val="18"/>
              </w:rPr>
              <w:t>内</w:t>
            </w:r>
            <w:r>
              <w:rPr>
                <w:rFonts w:ascii="宋体" w:hAnsi="宋体" w:cs="宋体"/>
                <w:kern w:val="0"/>
                <w:sz w:val="18"/>
                <w:szCs w:val="18"/>
              </w:rPr>
              <w:t>分布</w:t>
            </w:r>
            <w:r>
              <w:rPr>
                <w:rFonts w:hint="eastAsia" w:ascii="宋体" w:hAnsi="宋体" w:cs="宋体"/>
                <w:kern w:val="0"/>
                <w:sz w:val="18"/>
                <w:szCs w:val="18"/>
              </w:rPr>
              <w:t>较多</w:t>
            </w:r>
            <w:r>
              <w:rPr>
                <w:rFonts w:ascii="宋体" w:hAnsi="宋体" w:cs="宋体"/>
                <w:kern w:val="0"/>
                <w:sz w:val="18"/>
                <w:szCs w:val="18"/>
              </w:rPr>
              <w:t>中档楼盘，如</w:t>
            </w:r>
            <w:r>
              <w:rPr>
                <w:rFonts w:hint="eastAsia" w:ascii="宋体" w:hAnsi="宋体" w:cs="宋体"/>
                <w:kern w:val="0"/>
                <w:sz w:val="18"/>
                <w:szCs w:val="18"/>
                <w:lang w:val="en-US" w:eastAsia="zh-CN"/>
              </w:rPr>
              <w:t>凤凰花园</w:t>
            </w:r>
            <w:r>
              <w:rPr>
                <w:rFonts w:hint="eastAsia" w:ascii="宋体" w:hAnsi="宋体" w:cs="宋体"/>
                <w:kern w:val="0"/>
                <w:sz w:val="18"/>
                <w:szCs w:val="18"/>
              </w:rPr>
              <w:t>、</w:t>
            </w:r>
            <w:r>
              <w:rPr>
                <w:rFonts w:hint="eastAsia" w:ascii="宋体" w:hAnsi="宋体" w:cs="宋体"/>
                <w:kern w:val="0"/>
                <w:sz w:val="18"/>
                <w:szCs w:val="18"/>
                <w:lang w:val="en-US" w:eastAsia="zh-CN"/>
              </w:rPr>
              <w:t>阳光小区</w:t>
            </w:r>
            <w:r>
              <w:rPr>
                <w:rFonts w:ascii="宋体" w:hAnsi="宋体" w:cs="宋体"/>
                <w:kern w:val="0"/>
                <w:sz w:val="18"/>
                <w:szCs w:val="18"/>
              </w:rPr>
              <w:t>等，</w:t>
            </w:r>
            <w:r>
              <w:rPr>
                <w:rFonts w:hint="eastAsia" w:ascii="宋体" w:hAnsi="宋体" w:cs="宋体"/>
                <w:kern w:val="0"/>
                <w:sz w:val="18"/>
                <w:szCs w:val="18"/>
              </w:rPr>
              <w:t>住宅聚集度</w:t>
            </w:r>
            <w:r>
              <w:rPr>
                <w:rFonts w:ascii="宋体" w:hAnsi="宋体" w:cs="宋体"/>
                <w:kern w:val="0"/>
                <w:sz w:val="18"/>
                <w:szCs w:val="18"/>
              </w:rPr>
              <w:t>高，利于房地产的保值增值</w:t>
            </w: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0" w:type="dxa"/>
            <w:gridSpan w:val="3"/>
            <w:vAlign w:val="center"/>
          </w:tcPr>
          <w:p>
            <w:pPr>
              <w:spacing w:line="280" w:lineRule="exact"/>
              <w:jc w:val="center"/>
              <w:rPr>
                <w:rFonts w:ascii="宋体" w:cs="宋体"/>
                <w:sz w:val="18"/>
                <w:szCs w:val="18"/>
              </w:rPr>
            </w:pPr>
            <w:r>
              <w:rPr>
                <w:rFonts w:hint="eastAsia" w:ascii="宋体" w:hAnsi="宋体" w:cs="宋体"/>
                <w:kern w:val="0"/>
                <w:sz w:val="18"/>
                <w:szCs w:val="18"/>
              </w:rPr>
              <w:t>未来变化趋势</w:t>
            </w:r>
          </w:p>
        </w:tc>
        <w:tc>
          <w:tcPr>
            <w:tcW w:w="7229" w:type="dxa"/>
            <w:vAlign w:val="center"/>
          </w:tcPr>
          <w:p>
            <w:pPr>
              <w:spacing w:line="280" w:lineRule="exact"/>
              <w:jc w:val="center"/>
              <w:rPr>
                <w:rFonts w:ascii="宋体" w:cs="宋体"/>
                <w:sz w:val="18"/>
                <w:szCs w:val="18"/>
              </w:rPr>
            </w:pPr>
            <w:r>
              <w:rPr>
                <w:rFonts w:ascii="宋体" w:hAnsi="宋体" w:cs="宋体"/>
                <w:kern w:val="0"/>
                <w:sz w:val="18"/>
                <w:szCs w:val="18"/>
              </w:rPr>
              <w:t>该区域目前周边主要为</w:t>
            </w:r>
            <w:r>
              <w:rPr>
                <w:rFonts w:hint="eastAsia" w:ascii="宋体" w:hAnsi="宋体" w:cs="宋体"/>
                <w:kern w:val="0"/>
                <w:sz w:val="18"/>
                <w:szCs w:val="18"/>
              </w:rPr>
              <w:t>居住、商业</w:t>
            </w:r>
            <w:r>
              <w:rPr>
                <w:rFonts w:ascii="宋体" w:hAnsi="宋体" w:cs="宋体"/>
                <w:kern w:val="0"/>
                <w:sz w:val="18"/>
                <w:szCs w:val="18"/>
              </w:rPr>
              <w:t>区，人流量</w:t>
            </w:r>
            <w:r>
              <w:rPr>
                <w:rFonts w:hint="eastAsia" w:ascii="宋体" w:hAnsi="宋体" w:cs="宋体"/>
                <w:kern w:val="0"/>
                <w:sz w:val="18"/>
                <w:szCs w:val="18"/>
                <w:lang w:val="en-US" w:eastAsia="zh-CN"/>
              </w:rPr>
              <w:t>较</w:t>
            </w:r>
            <w:r>
              <w:rPr>
                <w:rFonts w:hint="eastAsia" w:ascii="宋体" w:hAnsi="宋体" w:cs="宋体"/>
                <w:kern w:val="0"/>
                <w:sz w:val="18"/>
                <w:szCs w:val="18"/>
              </w:rPr>
              <w:t>大</w:t>
            </w:r>
            <w:r>
              <w:rPr>
                <w:rFonts w:ascii="宋体" w:hAnsi="宋体" w:cs="宋体"/>
                <w:kern w:val="0"/>
                <w:sz w:val="18"/>
                <w:szCs w:val="18"/>
              </w:rPr>
              <w:t>。目前区域暂未出台新的规划，基本维持现状，总体氛围基本不会有较大的改变</w:t>
            </w:r>
            <w:r>
              <w:rPr>
                <w:rFonts w:hint="eastAsia" w:ascii="宋体" w:hAnsi="宋体" w:cs="宋体"/>
                <w:kern w:val="0"/>
                <w:sz w:val="18"/>
                <w:szCs w:val="18"/>
              </w:rPr>
              <w:t>。</w:t>
            </w:r>
          </w:p>
        </w:tc>
      </w:tr>
    </w:tbl>
    <w:p>
      <w:pPr>
        <w:spacing w:line="560" w:lineRule="exact"/>
        <w:rPr>
          <w:rFonts w:ascii="宋体" w:hAnsi="宋体"/>
          <w:sz w:val="28"/>
          <w:szCs w:val="28"/>
        </w:rPr>
      </w:pPr>
      <w:r>
        <w:rPr>
          <w:rFonts w:hint="eastAsia" w:ascii="宋体" w:hAnsi="宋体"/>
          <w:sz w:val="28"/>
          <w:szCs w:val="28"/>
        </w:rPr>
        <w:t>（四）估价对象区位状况分析</w:t>
      </w:r>
    </w:p>
    <w:p>
      <w:pPr>
        <w:spacing w:line="580" w:lineRule="exact"/>
        <w:ind w:firstLine="557" w:firstLineChars="188"/>
        <w:rPr>
          <w:rFonts w:ascii="宋体" w:hAnsi="宋体"/>
          <w:spacing w:val="2"/>
          <w:sz w:val="28"/>
          <w:szCs w:val="28"/>
        </w:rPr>
      </w:pPr>
      <w:r>
        <w:rPr>
          <w:rFonts w:hint="eastAsia" w:ascii="宋体" w:hAnsi="宋体"/>
          <w:sz w:val="28"/>
          <w:szCs w:val="28"/>
        </w:rPr>
        <w:t>估价对象位于</w:t>
      </w:r>
      <w:r>
        <w:rPr>
          <w:rFonts w:hint="eastAsia" w:ascii="宋体" w:hAnsi="宋体"/>
          <w:sz w:val="28"/>
          <w:szCs w:val="28"/>
          <w:lang w:eastAsia="zh-CN"/>
        </w:rPr>
        <w:t>永胜县永北镇兰桂小区2单元502室</w:t>
      </w:r>
      <w:r>
        <w:rPr>
          <w:rFonts w:hint="eastAsia" w:ascii="宋体" w:hAnsi="宋体"/>
          <w:sz w:val="28"/>
          <w:szCs w:val="28"/>
        </w:rPr>
        <w:t>，区位状况较好，商业繁华程度</w:t>
      </w:r>
      <w:r>
        <w:rPr>
          <w:rFonts w:hint="eastAsia" w:ascii="宋体" w:hAnsi="宋体"/>
          <w:sz w:val="28"/>
          <w:szCs w:val="28"/>
          <w:lang w:eastAsia="zh-CN"/>
        </w:rPr>
        <w:t>较好</w:t>
      </w:r>
      <w:r>
        <w:rPr>
          <w:rFonts w:hint="eastAsia" w:ascii="宋体" w:hAnsi="宋体"/>
          <w:sz w:val="28"/>
          <w:szCs w:val="28"/>
        </w:rPr>
        <w:t>，居住密度高。区域内有凤鸣路、南华路等主干道，路网密度大，道路通达度较好。所在小区停车方便，基础设施和配套设施完善。周围学校、银行、医院及休闲娱乐场所等公共服务设施完善，利于估价对象房地产价值的正常体现</w:t>
      </w:r>
      <w:r>
        <w:rPr>
          <w:rFonts w:hint="eastAsia" w:ascii="宋体" w:hAnsi="宋体"/>
          <w:spacing w:val="2"/>
          <w:sz w:val="28"/>
          <w:szCs w:val="28"/>
        </w:rPr>
        <w:t>。</w:t>
      </w:r>
    </w:p>
    <w:p>
      <w:pPr>
        <w:pStyle w:val="3"/>
        <w:spacing w:line="500" w:lineRule="exact"/>
      </w:pPr>
      <w:bookmarkStart w:id="119" w:name="_Toc19110128"/>
      <w:bookmarkStart w:id="120" w:name="_Toc18233390"/>
      <w:bookmarkStart w:id="121" w:name="_Toc18234804"/>
      <w:bookmarkStart w:id="122" w:name="_Toc6686"/>
      <w:bookmarkStart w:id="123" w:name="_Toc18236195"/>
      <w:bookmarkStart w:id="124" w:name="_Toc25729"/>
      <w:r>
        <w:rPr>
          <w:rFonts w:hint="eastAsia"/>
        </w:rPr>
        <w:t>二、市场背景描述与分析</w:t>
      </w:r>
      <w:bookmarkEnd w:id="119"/>
      <w:bookmarkEnd w:id="120"/>
      <w:bookmarkEnd w:id="121"/>
      <w:bookmarkEnd w:id="122"/>
      <w:bookmarkEnd w:id="123"/>
      <w:bookmarkEnd w:id="124"/>
    </w:p>
    <w:p>
      <w:pPr>
        <w:spacing w:line="500" w:lineRule="exact"/>
        <w:rPr>
          <w:rFonts w:ascii="宋体" w:hAnsi="宋体"/>
          <w:sz w:val="28"/>
          <w:szCs w:val="28"/>
        </w:rPr>
      </w:pPr>
      <w:r>
        <w:rPr>
          <w:rFonts w:hint="eastAsia" w:ascii="宋体" w:hAnsi="宋体"/>
          <w:sz w:val="28"/>
          <w:szCs w:val="28"/>
        </w:rPr>
        <w:t>（</w:t>
      </w:r>
      <w:r>
        <w:rPr>
          <w:rFonts w:ascii="宋体" w:hAnsi="宋体"/>
          <w:sz w:val="28"/>
          <w:szCs w:val="28"/>
        </w:rPr>
        <w:t>一</w:t>
      </w:r>
      <w:r>
        <w:rPr>
          <w:rFonts w:hint="eastAsia" w:ascii="宋体" w:hAnsi="宋体"/>
          <w:sz w:val="28"/>
          <w:szCs w:val="28"/>
        </w:rPr>
        <w:t>）</w:t>
      </w:r>
      <w:r>
        <w:rPr>
          <w:rFonts w:hint="eastAsia" w:asciiTheme="minorEastAsia" w:hAnsiTheme="minorEastAsia" w:eastAsiaTheme="minorEastAsia"/>
          <w:sz w:val="28"/>
          <w:szCs w:val="28"/>
        </w:rPr>
        <w:t>宏观经济形势和相关政策简况</w:t>
      </w:r>
    </w:p>
    <w:p>
      <w:pPr>
        <w:spacing w:line="500" w:lineRule="exact"/>
        <w:ind w:right="122" w:rightChars="54" w:firstLine="564" w:firstLineChars="190"/>
        <w:rPr>
          <w:rFonts w:ascii="宋体" w:hAnsi="宋体"/>
          <w:sz w:val="28"/>
          <w:szCs w:val="28"/>
        </w:rPr>
      </w:pPr>
      <w:r>
        <w:rPr>
          <w:rFonts w:hint="eastAsia" w:ascii="宋体" w:hAnsi="宋体"/>
          <w:sz w:val="28"/>
          <w:szCs w:val="28"/>
        </w:rPr>
        <w:t>2020</w:t>
      </w:r>
      <w:r>
        <w:rPr>
          <w:rFonts w:ascii="宋体" w:hAnsi="宋体"/>
          <w:sz w:val="28"/>
          <w:szCs w:val="28"/>
        </w:rPr>
        <w:t>年至今，全国房地产业</w:t>
      </w:r>
      <w:r>
        <w:rPr>
          <w:rFonts w:hint="eastAsia" w:ascii="宋体" w:hAnsi="宋体"/>
          <w:sz w:val="28"/>
          <w:szCs w:val="28"/>
        </w:rPr>
        <w:t>因疫情影响</w:t>
      </w:r>
      <w:r>
        <w:rPr>
          <w:rFonts w:ascii="宋体" w:hAnsi="宋体"/>
          <w:sz w:val="28"/>
          <w:szCs w:val="28"/>
        </w:rPr>
        <w:t>出现不稳定情况，一二线城市价格出现较大波动，结合房地产去库存，实施有效用地调节政策，保持房地产市场平稳运行。在住房供求关系紧张地区适度增加用地规模;对房地产库存较高的城市，减少直至停止住房用地供应;允许尚未开工房地产项目用地按照有关规定改变用途，用于棚改安置房和公共租赁住房建设。用地政策要结合“稳增长”进行调整，支持创新融资模式。同时，完善国有土地资产处置政策，促进国有企业改革。积极推进工业用地市场化配置试点，有效降低实体经济用地成本。按照去产能要求，严格控制钢铁、煤炭等产能过剩行业和“僵尸企业”土地供应，制定鼓励支持政策，引导其退出、转产和兼并重组。在符合规划和用途管制前提下，允许农村集体经营性建设用地出让、租赁、入股，建立与国有土地同等入市、同权同价、流转顺畅、收益共享的入市机制。这些国家宏观政策调控势必会对房地产市场发展前景产生很大的影响，</w:t>
      </w:r>
      <w:r>
        <w:rPr>
          <w:rFonts w:hint="eastAsia" w:ascii="宋体" w:hAnsi="宋体"/>
          <w:sz w:val="28"/>
          <w:szCs w:val="28"/>
        </w:rPr>
        <w:t>沾益区</w:t>
      </w:r>
      <w:r>
        <w:rPr>
          <w:rFonts w:ascii="宋体" w:hAnsi="宋体"/>
          <w:sz w:val="28"/>
          <w:szCs w:val="28"/>
        </w:rPr>
        <w:t>委、</w:t>
      </w:r>
      <w:r>
        <w:rPr>
          <w:rFonts w:hint="eastAsia" w:ascii="宋体" w:hAnsi="宋体"/>
          <w:sz w:val="28"/>
          <w:szCs w:val="28"/>
        </w:rPr>
        <w:t>区</w:t>
      </w:r>
      <w:r>
        <w:rPr>
          <w:rFonts w:ascii="宋体" w:hAnsi="宋体"/>
          <w:sz w:val="28"/>
          <w:szCs w:val="28"/>
        </w:rPr>
        <w:t>政府一直以来都在深入研究相关政策，有规划、有计划地调整结构，支持、鼓励房地产业稳定、健康发展。</w:t>
      </w: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（二）当地房地产市场总体状况</w:t>
      </w:r>
    </w:p>
    <w:p>
      <w:pPr>
        <w:widowControl/>
        <w:shd w:val="clear" w:color="auto" w:fill="FFFFFF"/>
        <w:spacing w:line="580" w:lineRule="exact"/>
        <w:ind w:right="15" w:rightChars="7" w:firstLine="564" w:firstLineChars="190"/>
        <w:rPr>
          <w:rFonts w:hint="eastAsia" w:cs="Arial" w:asciiTheme="minorEastAsia" w:hAnsiTheme="minorEastAsia"/>
          <w:kern w:val="0"/>
          <w:sz w:val="28"/>
          <w:szCs w:val="28"/>
        </w:rPr>
      </w:pPr>
      <w:r>
        <w:rPr>
          <w:rFonts w:hint="eastAsia" w:cs="Arial" w:asciiTheme="minorEastAsia" w:hAnsiTheme="minorEastAsia"/>
          <w:kern w:val="0"/>
          <w:sz w:val="28"/>
          <w:szCs w:val="28"/>
        </w:rPr>
        <w:t>全县地区生产总值从2012年的43.3亿元增加到2021年的111.8亿元，突破百亿大关，年均增长9.9%，增速高于全国、全省、全市平均水平。人均地区生产总值从10939元增加到33092元，年均增长9.7%。固定资产投资累计完成76.8亿元，是2012年的2.08倍，年均增长12.8%。地方一般公共预算收入完成4.37亿元，是2012年的1.53倍，年均增长8%。城镇常住居民人均可支配收入从2012年的15494元增加到33625元，年均增长9.9%。农村常住居民人均可支配收入从5177元增加到14681元，年均增长13%，经济实力和质量效益大幅提升。</w:t>
      </w:r>
    </w:p>
    <w:p>
      <w:pPr>
        <w:widowControl/>
        <w:shd w:val="clear" w:color="auto" w:fill="FFFFFF"/>
        <w:spacing w:line="580" w:lineRule="exact"/>
        <w:ind w:right="15" w:rightChars="7" w:firstLine="564" w:firstLineChars="190"/>
        <w:rPr>
          <w:rFonts w:hint="eastAsia" w:cs="Arial" w:asciiTheme="minorEastAsia" w:hAnsiTheme="minorEastAsia"/>
          <w:kern w:val="0"/>
          <w:sz w:val="28"/>
          <w:szCs w:val="28"/>
        </w:rPr>
      </w:pPr>
      <w:r>
        <w:rPr>
          <w:rFonts w:hint="eastAsia" w:cs="Arial" w:asciiTheme="minorEastAsia" w:hAnsiTheme="minorEastAsia"/>
          <w:kern w:val="0"/>
          <w:sz w:val="28"/>
          <w:szCs w:val="28"/>
        </w:rPr>
        <w:t>2021年末全市金融机构各项存款余额847.21亿元,比上年增长5.4%;各项贷款余额691.58亿元,增长17.24%。2021年全年接待游客2625.1万人次，下降51.4%，恢复到上年的48.6%；旅游业总收入510.4亿元，下降52.6%，恢复到上年的47.4%。2021年从房地产开发看,房地产开发投资比上年下降1.0%,商品房销售面积增长0.5%。2022一季度年规模以上工业增加值同比增速6.3%;固定资产投资同比增速20.4%,其中,</w:t>
      </w:r>
    </w:p>
    <w:p>
      <w:pPr>
        <w:widowControl/>
        <w:shd w:val="clear" w:color="auto" w:fill="FFFFFF"/>
        <w:spacing w:line="580" w:lineRule="exact"/>
        <w:ind w:right="15" w:rightChars="7" w:firstLine="564" w:firstLineChars="190"/>
        <w:rPr>
          <w:rFonts w:ascii="宋体" w:hAnsi="宋体" w:cs="仿宋_GB2312"/>
          <w:spacing w:val="9"/>
          <w:sz w:val="28"/>
        </w:rPr>
      </w:pPr>
      <w:r>
        <w:rPr>
          <w:rFonts w:hint="eastAsia" w:cs="Arial" w:asciiTheme="minorEastAsia" w:hAnsiTheme="minorEastAsia"/>
          <w:kern w:val="0"/>
          <w:sz w:val="28"/>
          <w:szCs w:val="28"/>
        </w:rPr>
        <w:t>美丽县城（一期）建设项目纳入全国PPP综合信息平台管理库。县城凤鸣路南延线、县城至华丽高速程海立交连接线和永宁高速西立交、北立交连接线建设项目有序推进，老客运站至教育文化园区连接路、环城北路建成通行。杆子河污水及环境综合整治项目积极推进。四条主题街区、民主广场片区改造和县城综合垃圾资源化处理厂等项目前期工作进展顺利。原客运站、小板田、白马庙等 6 个绿化休闲公园投入使用，凤凰山生态休闲公园建设稳步推进。县城污水处理厂提标改造工程竣工运行。省级文明卫生县城通过审查。县城五星级酒店招商签约。华兴商贸、康桥别苑、凤凰华府住宅小区开盘预售。城乡人居环境PPP 项目完成投资 0.93 亿元。实施棚户区改造 71 户。新建改造城乡公厕 135 座、旅游厕所 2 座、无害化卫生户厕 2583 座。7 个乡镇建成污水处理设施。村组保洁员实现全覆盖。省森林督察反馈问题扎实整改。森林草原防灭火工作得到加强。启动国土空间总体规划编制前期工作。加强农村宅基地个人建房管理。全面清理整治“大棚房”、违建别墅”。依法注销、吊销砂石土矿采矿许可证 21 个。13 个乡村振兴“百村示范”行动示范点建设扎实推进。建成高标准农田 4.23 万亩。完成仁和镇石板箐地质灾害搬迁工程。涛源移民特色小镇、永胜红酒康养小镇加快建设。美丽三川田园综合体项目前期工作基本完成。羊坪乡落雪坪村入选全国乡村治理示范村，东山乡牦牛坪村委会大洋坪村列为云南省少数民族特色村寨。</w:t>
      </w:r>
    </w:p>
    <w:p>
      <w:pPr>
        <w:spacing w:line="500" w:lineRule="exact"/>
        <w:ind w:right="122" w:rightChars="54" w:firstLine="564" w:firstLineChars="188"/>
        <w:textAlignment w:val="center"/>
        <w:rPr>
          <w:rFonts w:ascii="宋体" w:hAnsi="宋体"/>
          <w:spacing w:val="2"/>
          <w:sz w:val="28"/>
          <w:szCs w:val="28"/>
        </w:rPr>
      </w:pPr>
      <w:r>
        <w:rPr>
          <w:rFonts w:hint="eastAsia" w:ascii="宋体" w:hAnsi="宋体"/>
          <w:spacing w:val="2"/>
          <w:sz w:val="28"/>
          <w:szCs w:val="28"/>
        </w:rPr>
        <w:t>综上所述，永胜县房地产</w:t>
      </w:r>
      <w:r>
        <w:rPr>
          <w:rFonts w:hint="eastAsia" w:ascii="宋体" w:hAnsi="宋体"/>
          <w:spacing w:val="2"/>
          <w:sz w:val="28"/>
          <w:szCs w:val="28"/>
          <w:lang w:eastAsia="zh-CN"/>
        </w:rPr>
        <w:t>总体</w:t>
      </w:r>
      <w:r>
        <w:rPr>
          <w:rFonts w:hint="eastAsia" w:ascii="宋体" w:hAnsi="宋体"/>
          <w:spacing w:val="2"/>
          <w:sz w:val="28"/>
          <w:szCs w:val="28"/>
        </w:rPr>
        <w:t>开发投资和销售情况</w:t>
      </w:r>
      <w:r>
        <w:rPr>
          <w:rFonts w:hint="eastAsia" w:ascii="宋体" w:hAnsi="宋体"/>
          <w:spacing w:val="2"/>
          <w:sz w:val="28"/>
          <w:szCs w:val="28"/>
          <w:lang w:val="en-US" w:eastAsia="zh-CN"/>
        </w:rPr>
        <w:t>有所下降</w:t>
      </w:r>
      <w:r>
        <w:rPr>
          <w:rFonts w:hint="eastAsia" w:ascii="宋体" w:hAnsi="宋体"/>
          <w:spacing w:val="2"/>
          <w:sz w:val="28"/>
          <w:szCs w:val="28"/>
          <w:lang w:eastAsia="zh-CN"/>
        </w:rPr>
        <w:t>，但</w:t>
      </w:r>
      <w:r>
        <w:rPr>
          <w:rFonts w:hint="eastAsia" w:ascii="宋体" w:hAnsi="宋体"/>
          <w:spacing w:val="2"/>
          <w:sz w:val="28"/>
          <w:szCs w:val="28"/>
        </w:rPr>
        <w:t>在宏观调控的背景下，</w:t>
      </w:r>
      <w:r>
        <w:rPr>
          <w:rFonts w:hint="eastAsia" w:ascii="宋体" w:hAnsi="宋体"/>
          <w:spacing w:val="2"/>
          <w:sz w:val="28"/>
          <w:szCs w:val="28"/>
          <w:lang w:val="en-US" w:eastAsia="zh-CN"/>
        </w:rPr>
        <w:t>虽</w:t>
      </w:r>
      <w:r>
        <w:rPr>
          <w:rFonts w:hint="eastAsia" w:ascii="宋体" w:hAnsi="宋体"/>
          <w:spacing w:val="2"/>
          <w:sz w:val="28"/>
          <w:szCs w:val="28"/>
        </w:rPr>
        <w:t>短期</w:t>
      </w:r>
      <w:r>
        <w:rPr>
          <w:rFonts w:hint="eastAsia" w:ascii="宋体" w:hAnsi="宋体"/>
          <w:spacing w:val="2"/>
          <w:sz w:val="28"/>
          <w:szCs w:val="28"/>
          <w:lang w:val="en-US" w:eastAsia="zh-CN"/>
        </w:rPr>
        <w:t>内房地产</w:t>
      </w:r>
      <w:r>
        <w:rPr>
          <w:rFonts w:hint="eastAsia" w:ascii="宋体" w:hAnsi="宋体"/>
          <w:spacing w:val="2"/>
          <w:sz w:val="28"/>
          <w:szCs w:val="28"/>
        </w:rPr>
        <w:t>价格</w:t>
      </w:r>
      <w:r>
        <w:rPr>
          <w:rFonts w:hint="eastAsia" w:ascii="宋体" w:hAnsi="宋体"/>
          <w:spacing w:val="2"/>
          <w:sz w:val="28"/>
          <w:szCs w:val="28"/>
          <w:lang w:val="en-US" w:eastAsia="zh-CN"/>
        </w:rPr>
        <w:t>小幅度回落</w:t>
      </w:r>
      <w:r>
        <w:rPr>
          <w:rFonts w:hint="eastAsia" w:ascii="宋体" w:hAnsi="宋体"/>
          <w:spacing w:val="2"/>
          <w:sz w:val="28"/>
          <w:szCs w:val="28"/>
        </w:rPr>
        <w:t>，</w:t>
      </w:r>
      <w:r>
        <w:rPr>
          <w:rFonts w:hint="eastAsia" w:ascii="宋体" w:hAnsi="宋体"/>
          <w:spacing w:val="2"/>
          <w:sz w:val="28"/>
          <w:szCs w:val="28"/>
          <w:lang w:val="en-US" w:eastAsia="zh-CN"/>
        </w:rPr>
        <w:t>但</w:t>
      </w:r>
      <w:r>
        <w:rPr>
          <w:rFonts w:hint="eastAsia" w:ascii="宋体" w:hAnsi="宋体"/>
          <w:spacing w:val="2"/>
          <w:sz w:val="28"/>
          <w:szCs w:val="28"/>
        </w:rPr>
        <w:t>整体房地产市场处于</w:t>
      </w:r>
      <w:r>
        <w:rPr>
          <w:rFonts w:hint="eastAsia" w:ascii="宋体" w:hAnsi="宋体"/>
          <w:spacing w:val="2"/>
          <w:sz w:val="28"/>
          <w:szCs w:val="28"/>
          <w:lang w:eastAsia="zh-CN"/>
        </w:rPr>
        <w:t>健康</w:t>
      </w:r>
      <w:r>
        <w:rPr>
          <w:rFonts w:hint="eastAsia" w:ascii="宋体" w:hAnsi="宋体"/>
          <w:spacing w:val="2"/>
          <w:sz w:val="28"/>
          <w:szCs w:val="28"/>
        </w:rPr>
        <w:t>发展状态</w:t>
      </w:r>
      <w:r>
        <w:rPr>
          <w:rFonts w:ascii="宋体" w:hAnsi="宋体"/>
          <w:spacing w:val="2"/>
          <w:sz w:val="28"/>
          <w:szCs w:val="28"/>
        </w:rPr>
        <w:t>。</w:t>
      </w:r>
    </w:p>
    <w:p>
      <w:pPr>
        <w:pStyle w:val="3"/>
        <w:spacing w:line="500" w:lineRule="exact"/>
        <w:rPr>
          <w:b/>
        </w:rPr>
      </w:pPr>
      <w:bookmarkStart w:id="125" w:name="_Toc18236196"/>
      <w:bookmarkStart w:id="126" w:name="_Toc17921"/>
      <w:bookmarkStart w:id="127" w:name="_Toc18234805"/>
      <w:bookmarkStart w:id="128" w:name="_Toc19110129"/>
      <w:bookmarkStart w:id="129" w:name="_Toc18233391"/>
      <w:bookmarkStart w:id="130" w:name="_Toc24408"/>
      <w:r>
        <w:rPr>
          <w:rFonts w:hint="eastAsia"/>
        </w:rPr>
        <w:t>三、估价对象最高最佳利用分析</w:t>
      </w:r>
      <w:bookmarkEnd w:id="125"/>
      <w:bookmarkEnd w:id="126"/>
      <w:bookmarkEnd w:id="127"/>
      <w:bookmarkEnd w:id="128"/>
      <w:bookmarkEnd w:id="129"/>
      <w:bookmarkEnd w:id="130"/>
    </w:p>
    <w:p>
      <w:pPr>
        <w:spacing w:line="500" w:lineRule="exact"/>
        <w:ind w:firstLine="572" w:firstLineChars="193"/>
        <w:rPr>
          <w:rFonts w:ascii="宋体"/>
          <w:sz w:val="28"/>
          <w:szCs w:val="28"/>
        </w:rPr>
      </w:pPr>
      <w:r>
        <w:rPr>
          <w:rFonts w:hint="eastAsia" w:ascii="宋体" w:hAnsi="宋体"/>
          <w:sz w:val="28"/>
          <w:szCs w:val="28"/>
        </w:rPr>
        <w:t>最高最佳利用，是指法律上允许、技术上可能、经济上可行，经过充分合理的论证，能使估价对象的价值达到最大的一种最可能的使用。最高最佳利用分析真正体现了估价的客观性。</w:t>
      </w:r>
    </w:p>
    <w:p>
      <w:pPr>
        <w:spacing w:line="500" w:lineRule="exact"/>
        <w:ind w:firstLine="564" w:firstLineChars="190"/>
        <w:rPr>
          <w:rFonts w:ascii="宋体"/>
          <w:sz w:val="28"/>
          <w:szCs w:val="28"/>
        </w:rPr>
      </w:pPr>
      <w:r>
        <w:rPr>
          <w:rFonts w:hint="eastAsia" w:ascii="宋体" w:hAnsi="宋体"/>
          <w:sz w:val="28"/>
          <w:szCs w:val="28"/>
        </w:rPr>
        <w:t>（一）衡量、判断的标准如下：</w:t>
      </w:r>
    </w:p>
    <w:p>
      <w:pPr>
        <w:spacing w:line="500" w:lineRule="exact"/>
        <w:ind w:firstLine="564" w:firstLineChars="190"/>
        <w:rPr>
          <w:rFonts w:ascii="宋体"/>
          <w:sz w:val="28"/>
          <w:szCs w:val="28"/>
        </w:rPr>
      </w:pPr>
      <w:r>
        <w:rPr>
          <w:rFonts w:ascii="宋体" w:hAnsi="宋体"/>
          <w:sz w:val="28"/>
          <w:szCs w:val="28"/>
        </w:rPr>
        <w:t>1</w:t>
      </w:r>
      <w:r>
        <w:rPr>
          <w:rFonts w:hint="eastAsia" w:ascii="宋体" w:hAnsi="宋体"/>
          <w:sz w:val="28"/>
          <w:szCs w:val="28"/>
        </w:rPr>
        <w:t>、法律上允许（规划及相关政策法规许可）。即不受现时使用状况的限制，而依照法律、城市规划发展的规定。</w:t>
      </w:r>
    </w:p>
    <w:p>
      <w:pPr>
        <w:spacing w:line="500" w:lineRule="exact"/>
        <w:ind w:firstLine="572" w:firstLineChars="193"/>
        <w:rPr>
          <w:rFonts w:ascii="宋体"/>
          <w:sz w:val="28"/>
          <w:szCs w:val="28"/>
        </w:rPr>
      </w:pPr>
      <w:r>
        <w:rPr>
          <w:rFonts w:ascii="宋体" w:hAnsi="宋体"/>
          <w:sz w:val="28"/>
          <w:szCs w:val="28"/>
        </w:rPr>
        <w:t>2</w:t>
      </w:r>
      <w:r>
        <w:rPr>
          <w:rFonts w:hint="eastAsia" w:ascii="宋体" w:hAnsi="宋体"/>
          <w:sz w:val="28"/>
          <w:szCs w:val="28"/>
        </w:rPr>
        <w:t>、技术上可能。即不能把技术上无法做到的使用当作最高最佳使用，要按照可达到的建筑材料、施工技术等方面的要求确定。</w:t>
      </w:r>
    </w:p>
    <w:p>
      <w:pPr>
        <w:spacing w:line="500" w:lineRule="exact"/>
        <w:ind w:firstLine="564" w:firstLineChars="190"/>
        <w:rPr>
          <w:rFonts w:ascii="宋体"/>
          <w:sz w:val="28"/>
          <w:szCs w:val="28"/>
        </w:rPr>
      </w:pPr>
      <w:r>
        <w:rPr>
          <w:rFonts w:ascii="宋体" w:hAnsi="宋体"/>
          <w:sz w:val="28"/>
          <w:szCs w:val="28"/>
        </w:rPr>
        <w:t>3</w:t>
      </w:r>
      <w:r>
        <w:rPr>
          <w:rFonts w:hint="eastAsia" w:ascii="宋体" w:hAnsi="宋体"/>
          <w:sz w:val="28"/>
          <w:szCs w:val="28"/>
        </w:rPr>
        <w:t>、经济上可行。即在各种可能的使用方式中，选择收入现值大于支出现值的方式，寻求以经济上有限的投入而能获得最大收益的使用方式。</w:t>
      </w:r>
    </w:p>
    <w:p>
      <w:pPr>
        <w:spacing w:line="500" w:lineRule="exact"/>
        <w:ind w:firstLine="572" w:firstLineChars="193"/>
        <w:rPr>
          <w:rFonts w:ascii="宋体" w:hAnsi="宋体"/>
          <w:sz w:val="28"/>
          <w:szCs w:val="28"/>
        </w:rPr>
      </w:pPr>
      <w:r>
        <w:rPr>
          <w:rFonts w:ascii="宋体" w:hAnsi="宋体"/>
          <w:sz w:val="28"/>
          <w:szCs w:val="28"/>
        </w:rPr>
        <w:t>4</w:t>
      </w:r>
      <w:r>
        <w:rPr>
          <w:rFonts w:hint="eastAsia" w:ascii="宋体" w:hAnsi="宋体"/>
          <w:sz w:val="28"/>
          <w:szCs w:val="28"/>
        </w:rPr>
        <w:t>、价值最大性。使估价对象的价值在具有经济可行性的使用方式中达到最大的一种。</w:t>
      </w:r>
    </w:p>
    <w:p>
      <w:pPr>
        <w:spacing w:line="500" w:lineRule="exact"/>
        <w:ind w:firstLine="572" w:firstLineChars="193"/>
        <w:rPr>
          <w:rFonts w:ascii="宋体"/>
          <w:sz w:val="28"/>
          <w:szCs w:val="28"/>
        </w:rPr>
      </w:pPr>
      <w:r>
        <w:rPr>
          <w:rFonts w:ascii="宋体" w:hAnsi="宋体"/>
          <w:sz w:val="28"/>
          <w:szCs w:val="28"/>
        </w:rPr>
        <w:t>5</w:t>
      </w:r>
      <w:r>
        <w:rPr>
          <w:rFonts w:hint="eastAsia" w:ascii="宋体" w:hAnsi="宋体"/>
          <w:sz w:val="28"/>
          <w:szCs w:val="28"/>
        </w:rPr>
        <w:t>、土地与建筑物的均衡性。即以房地产内部构成要素的组合是否均衡来判定。估价时，把建筑物与土地区位是否相匹配，是否具有投资集约度的因素考虑进去。</w:t>
      </w:r>
    </w:p>
    <w:p>
      <w:pPr>
        <w:spacing w:line="500" w:lineRule="exact"/>
        <w:ind w:firstLine="564" w:firstLineChars="190"/>
        <w:rPr>
          <w:rFonts w:ascii="宋体"/>
          <w:sz w:val="28"/>
          <w:szCs w:val="28"/>
        </w:rPr>
      </w:pPr>
      <w:r>
        <w:rPr>
          <w:rFonts w:ascii="宋体" w:hAnsi="宋体"/>
          <w:sz w:val="28"/>
          <w:szCs w:val="28"/>
        </w:rPr>
        <w:t>6</w:t>
      </w:r>
      <w:r>
        <w:rPr>
          <w:rFonts w:hint="eastAsia" w:ascii="宋体" w:hAnsi="宋体"/>
          <w:sz w:val="28"/>
          <w:szCs w:val="28"/>
        </w:rPr>
        <w:t>、与外部环境的协调性。应按房地产与其周围环境相协调，能获得最佳外部经济效益的用途估价。</w:t>
      </w:r>
    </w:p>
    <w:p>
      <w:pPr>
        <w:spacing w:line="500" w:lineRule="exact"/>
        <w:ind w:firstLine="572" w:firstLineChars="193"/>
        <w:rPr>
          <w:rFonts w:ascii="宋体" w:hAnsi="宋体"/>
          <w:sz w:val="28"/>
          <w:szCs w:val="28"/>
        </w:rPr>
      </w:pPr>
      <w:r>
        <w:rPr>
          <w:rFonts w:ascii="宋体" w:hAnsi="宋体"/>
          <w:sz w:val="28"/>
          <w:szCs w:val="28"/>
        </w:rPr>
        <w:t>7</w:t>
      </w:r>
      <w:r>
        <w:rPr>
          <w:rFonts w:hint="eastAsia" w:ascii="宋体" w:hAnsi="宋体"/>
          <w:sz w:val="28"/>
          <w:szCs w:val="28"/>
        </w:rPr>
        <w:t>、可持续发展性。按可持续发展的观点确定的使用，即研究房地产市场的发展变动趋势、使未来利益最大化的使用方式。</w:t>
      </w:r>
    </w:p>
    <w:p>
      <w:pPr>
        <w:spacing w:line="500" w:lineRule="exact"/>
        <w:ind w:firstLine="424" w:firstLineChars="143"/>
        <w:rPr>
          <w:rFonts w:ascii="宋体"/>
          <w:sz w:val="28"/>
          <w:szCs w:val="28"/>
        </w:rPr>
      </w:pPr>
      <w:r>
        <w:rPr>
          <w:rFonts w:hint="eastAsia" w:ascii="宋体" w:hAnsi="宋体"/>
          <w:sz w:val="28"/>
          <w:szCs w:val="28"/>
        </w:rPr>
        <w:t>（二）最高最佳使用分析的前提条件</w:t>
      </w:r>
    </w:p>
    <w:p>
      <w:pPr>
        <w:spacing w:line="500" w:lineRule="exact"/>
        <w:ind w:firstLine="572" w:firstLineChars="193"/>
        <w:rPr>
          <w:rFonts w:ascii="宋体"/>
          <w:sz w:val="28"/>
          <w:szCs w:val="28"/>
        </w:rPr>
      </w:pPr>
      <w:r>
        <w:rPr>
          <w:rFonts w:ascii="宋体" w:hAnsi="宋体"/>
          <w:sz w:val="28"/>
          <w:szCs w:val="28"/>
        </w:rPr>
        <w:t>1</w:t>
      </w:r>
      <w:r>
        <w:rPr>
          <w:rFonts w:hint="eastAsia" w:ascii="宋体" w:hAnsi="宋体"/>
          <w:sz w:val="28"/>
          <w:szCs w:val="28"/>
        </w:rPr>
        <w:t>、维持现状继续使用前提：认为维持现状继续使用仍然妥当时，为在维持现状继续使用下的估价。</w:t>
      </w:r>
    </w:p>
    <w:p>
      <w:pPr>
        <w:spacing w:line="500" w:lineRule="exact"/>
        <w:ind w:firstLine="572" w:firstLineChars="193"/>
        <w:rPr>
          <w:rFonts w:ascii="宋体"/>
          <w:sz w:val="28"/>
          <w:szCs w:val="28"/>
        </w:rPr>
      </w:pPr>
      <w:r>
        <w:rPr>
          <w:rFonts w:ascii="宋体" w:hAnsi="宋体"/>
          <w:sz w:val="28"/>
          <w:szCs w:val="28"/>
        </w:rPr>
        <w:t>2</w:t>
      </w:r>
      <w:r>
        <w:rPr>
          <w:rFonts w:hint="eastAsia" w:ascii="宋体" w:hAnsi="宋体"/>
          <w:sz w:val="28"/>
          <w:szCs w:val="28"/>
        </w:rPr>
        <w:t>、直接转换用途前提：认为转换用途再予以使用更为妥当时，为在考虑用途转换后再予以使用下的估价。</w:t>
      </w:r>
    </w:p>
    <w:p>
      <w:pPr>
        <w:spacing w:line="500" w:lineRule="exact"/>
        <w:ind w:firstLine="572" w:firstLineChars="193"/>
        <w:rPr>
          <w:rFonts w:ascii="宋体"/>
          <w:sz w:val="28"/>
          <w:szCs w:val="28"/>
        </w:rPr>
      </w:pPr>
      <w:r>
        <w:rPr>
          <w:rFonts w:ascii="宋体" w:hAnsi="宋体"/>
          <w:sz w:val="28"/>
          <w:szCs w:val="28"/>
        </w:rPr>
        <w:t>3</w:t>
      </w:r>
      <w:r>
        <w:rPr>
          <w:rFonts w:hint="eastAsia" w:ascii="宋体" w:hAnsi="宋体"/>
          <w:sz w:val="28"/>
          <w:szCs w:val="28"/>
        </w:rPr>
        <w:t>、装修改造继续使用前提：认为装修改造但不转换用途再予以使用较为妥当时，为在考虑装修改造但不转技用途再予以使用下的估价。</w:t>
      </w:r>
    </w:p>
    <w:p>
      <w:pPr>
        <w:spacing w:line="500" w:lineRule="exact"/>
        <w:ind w:firstLine="572" w:firstLineChars="193"/>
        <w:rPr>
          <w:rFonts w:ascii="宋体"/>
          <w:sz w:val="28"/>
          <w:szCs w:val="28"/>
        </w:rPr>
      </w:pPr>
      <w:r>
        <w:rPr>
          <w:rFonts w:ascii="宋体" w:hAnsi="宋体"/>
          <w:sz w:val="28"/>
          <w:szCs w:val="28"/>
        </w:rPr>
        <w:t>4</w:t>
      </w:r>
      <w:r>
        <w:rPr>
          <w:rFonts w:hint="eastAsia" w:ascii="宋体" w:hAnsi="宋体"/>
          <w:sz w:val="28"/>
          <w:szCs w:val="28"/>
        </w:rPr>
        <w:t>、装修改造转换用途前提：认为装修改造并转换用途再予以使用更为妥当时，为在考虑装修改造并转换用途后再予以使用的估价。</w:t>
      </w:r>
    </w:p>
    <w:p>
      <w:pPr>
        <w:spacing w:line="500" w:lineRule="exact"/>
        <w:ind w:firstLine="572" w:firstLineChars="193"/>
        <w:rPr>
          <w:rFonts w:ascii="宋体"/>
          <w:sz w:val="28"/>
          <w:szCs w:val="28"/>
        </w:rPr>
      </w:pPr>
      <w:r>
        <w:rPr>
          <w:rFonts w:ascii="宋体" w:hAnsi="宋体"/>
          <w:sz w:val="28"/>
          <w:szCs w:val="28"/>
        </w:rPr>
        <w:t>5</w:t>
      </w:r>
      <w:r>
        <w:rPr>
          <w:rFonts w:hint="eastAsia" w:ascii="宋体" w:hAnsi="宋体"/>
          <w:sz w:val="28"/>
          <w:szCs w:val="28"/>
        </w:rPr>
        <w:t>、拆除重新利用前提：认为拆除建筑物再予以利用更为妥当时，为在考虑建筑物拆除后再予以利用下的估价。</w:t>
      </w:r>
    </w:p>
    <w:p>
      <w:pPr>
        <w:spacing w:line="500" w:lineRule="exact"/>
        <w:ind w:firstLine="564" w:firstLineChars="190"/>
        <w:textAlignment w:val="center"/>
        <w:rPr>
          <w:rFonts w:ascii="宋体" w:hAnsi="宋体" w:cs="仿宋_GB2312"/>
          <w:spacing w:val="9"/>
          <w:sz w:val="28"/>
        </w:rPr>
      </w:pPr>
      <w:r>
        <w:rPr>
          <w:rFonts w:hint="eastAsia" w:ascii="宋体" w:hAnsi="宋体"/>
          <w:sz w:val="28"/>
          <w:szCs w:val="28"/>
        </w:rPr>
        <w:t>综上，估价对象的实际用途为其合法利用、同时满足技术上可能、经济上可行及价值量最大化条件，我们认为估价对象维持现状用途使用为其最高最佳使用</w:t>
      </w:r>
    </w:p>
    <w:p>
      <w:pPr>
        <w:pStyle w:val="3"/>
        <w:spacing w:line="500" w:lineRule="exact"/>
      </w:pPr>
    </w:p>
    <w:p>
      <w:pPr>
        <w:pStyle w:val="3"/>
        <w:spacing w:line="500" w:lineRule="exact"/>
      </w:pPr>
      <w:bookmarkStart w:id="131" w:name="_Toc18234806"/>
      <w:bookmarkStart w:id="132" w:name="_Toc18234334"/>
      <w:bookmarkStart w:id="133" w:name="_Toc20595"/>
      <w:bookmarkStart w:id="134" w:name="_Toc3538"/>
      <w:bookmarkStart w:id="135" w:name="_Toc19110130"/>
      <w:bookmarkStart w:id="136" w:name="_Toc18236197"/>
      <w:bookmarkStart w:id="137" w:name="_Toc18233392"/>
      <w:r>
        <w:rPr>
          <w:rFonts w:hint="eastAsia"/>
        </w:rPr>
        <w:t>四、估价方法的适用性分析</w:t>
      </w:r>
      <w:bookmarkEnd w:id="131"/>
      <w:bookmarkEnd w:id="132"/>
      <w:bookmarkEnd w:id="133"/>
      <w:bookmarkEnd w:id="134"/>
      <w:bookmarkEnd w:id="135"/>
      <w:bookmarkEnd w:id="136"/>
      <w:bookmarkEnd w:id="137"/>
    </w:p>
    <w:p>
      <w:pPr>
        <w:overflowPunct w:val="0"/>
        <w:spacing w:line="580" w:lineRule="exact"/>
        <w:ind w:firstLine="594" w:firstLineChars="200"/>
        <w:rPr>
          <w:rFonts w:ascii="宋体" w:hAnsi="宋体" w:cs="宋体"/>
          <w:sz w:val="28"/>
          <w:szCs w:val="28"/>
        </w:rPr>
      </w:pPr>
      <w:r>
        <w:rPr>
          <w:rFonts w:hint="eastAsia" w:ascii="宋体" w:hAnsi="宋体" w:cs="宋体"/>
          <w:sz w:val="28"/>
          <w:szCs w:val="28"/>
        </w:rPr>
        <w:t>房地产估价应在遵循估价原则的前提下，采用科学、合理的方法进行评估，根据《房地产估价规范》</w:t>
      </w:r>
      <w:r>
        <w:rPr>
          <w:rFonts w:hint="eastAsia" w:ascii="宋体" w:hAnsi="宋体" w:cs="仿宋_GB2312"/>
          <w:spacing w:val="9"/>
          <w:sz w:val="28"/>
        </w:rPr>
        <w:t>（</w:t>
      </w:r>
      <w:r>
        <w:rPr>
          <w:rFonts w:ascii="宋体" w:hAnsi="宋体" w:cs="仿宋_GB2312"/>
          <w:spacing w:val="9"/>
          <w:sz w:val="28"/>
        </w:rPr>
        <w:t>GB/T 50291—2015</w:t>
      </w:r>
      <w:r>
        <w:rPr>
          <w:rFonts w:hint="eastAsia" w:ascii="宋体" w:hAnsi="宋体" w:cs="仿宋_GB2312"/>
          <w:spacing w:val="9"/>
          <w:sz w:val="28"/>
        </w:rPr>
        <w:t>）</w:t>
      </w:r>
      <w:r>
        <w:rPr>
          <w:rFonts w:hint="eastAsia" w:ascii="宋体" w:hAnsi="宋体" w:cs="宋体"/>
          <w:sz w:val="28"/>
          <w:szCs w:val="28"/>
        </w:rPr>
        <w:t>，一般适用的估价方法包括比较法、收益法、成本法、假设开发法。</w:t>
      </w:r>
    </w:p>
    <w:p>
      <w:pPr>
        <w:overflowPunct w:val="0"/>
        <w:spacing w:line="600" w:lineRule="exact"/>
        <w:rPr>
          <w:rFonts w:ascii="宋体" w:hAnsi="宋体" w:cs="宋体"/>
          <w:sz w:val="28"/>
          <w:szCs w:val="28"/>
        </w:rPr>
      </w:pPr>
      <w:r>
        <w:rPr>
          <w:rFonts w:hint="eastAsia" w:ascii="宋体" w:hAnsi="宋体" w:cs="宋体"/>
          <w:sz w:val="28"/>
          <w:szCs w:val="28"/>
        </w:rPr>
        <w:t>（一）定义</w:t>
      </w:r>
    </w:p>
    <w:tbl>
      <w:tblPr>
        <w:tblStyle w:val="21"/>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07" w:type="dxa"/>
            <w:noWrap/>
            <w:vAlign w:val="center"/>
          </w:tcPr>
          <w:p>
            <w:pPr>
              <w:tabs>
                <w:tab w:val="left" w:pos="2008"/>
              </w:tabs>
              <w:spacing w:line="340" w:lineRule="exact"/>
              <w:jc w:val="center"/>
              <w:rPr>
                <w:rFonts w:ascii="宋体" w:hAnsi="宋体" w:cs="宋体"/>
                <w:kern w:val="0"/>
                <w:szCs w:val="21"/>
              </w:rPr>
            </w:pPr>
            <w:r>
              <w:rPr>
                <w:rFonts w:hint="eastAsia" w:ascii="宋体" w:hAnsi="宋体" w:cs="宋体"/>
                <w:kern w:val="0"/>
                <w:szCs w:val="21"/>
              </w:rPr>
              <w:t>估价方法</w:t>
            </w:r>
          </w:p>
        </w:tc>
        <w:tc>
          <w:tcPr>
            <w:tcW w:w="8399" w:type="dxa"/>
            <w:noWrap/>
            <w:vAlign w:val="center"/>
          </w:tcPr>
          <w:p>
            <w:pPr>
              <w:spacing w:line="340" w:lineRule="exact"/>
              <w:jc w:val="center"/>
              <w:rPr>
                <w:rFonts w:ascii="宋体" w:hAnsi="宋体" w:cs="宋体"/>
                <w:szCs w:val="21"/>
              </w:rPr>
            </w:pPr>
            <w:r>
              <w:rPr>
                <w:rFonts w:hint="eastAsia" w:ascii="宋体" w:hAnsi="宋体" w:cs="Arial"/>
                <w:szCs w:val="21"/>
                <w:shd w:val="clear" w:color="auto" w:fill="FAFAFA"/>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07" w:type="dxa"/>
            <w:noWrap/>
            <w:vAlign w:val="center"/>
          </w:tcPr>
          <w:p>
            <w:pPr>
              <w:tabs>
                <w:tab w:val="left" w:pos="2008"/>
              </w:tabs>
              <w:spacing w:line="340" w:lineRule="exact"/>
              <w:jc w:val="center"/>
              <w:rPr>
                <w:rFonts w:ascii="宋体" w:hAnsi="宋体" w:cs="宋体"/>
                <w:kern w:val="0"/>
                <w:szCs w:val="21"/>
              </w:rPr>
            </w:pPr>
            <w:r>
              <w:rPr>
                <w:rFonts w:hint="eastAsia" w:ascii="宋体" w:hAnsi="宋体" w:cs="宋体"/>
                <w:kern w:val="0"/>
                <w:szCs w:val="21"/>
              </w:rPr>
              <w:t>比较法</w:t>
            </w:r>
          </w:p>
        </w:tc>
        <w:tc>
          <w:tcPr>
            <w:tcW w:w="8399" w:type="dxa"/>
            <w:noWrap/>
            <w:vAlign w:val="center"/>
          </w:tcPr>
          <w:p>
            <w:pPr>
              <w:spacing w:line="340" w:lineRule="exact"/>
              <w:jc w:val="left"/>
              <w:rPr>
                <w:rFonts w:ascii="宋体" w:hAnsi="宋体" w:cs="宋体"/>
                <w:szCs w:val="21"/>
              </w:rPr>
            </w:pPr>
            <w:r>
              <w:rPr>
                <w:rFonts w:hint="eastAsia" w:ascii="宋体" w:hAnsi="宋体"/>
                <w:szCs w:val="21"/>
              </w:rPr>
              <w:t>是指根据替代原则，选取在同一市场供需圈内近期发生的、具有可比性的一定数量的可比实例，将它们与估价对象进行比较，根据其间的差异对可比实例成交价格进行处理后得到估价对象价值或价格的方法。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07" w:type="dxa"/>
            <w:noWrap/>
            <w:vAlign w:val="center"/>
          </w:tcPr>
          <w:p>
            <w:pPr>
              <w:tabs>
                <w:tab w:val="left" w:pos="2008"/>
              </w:tabs>
              <w:spacing w:line="340" w:lineRule="exact"/>
              <w:jc w:val="center"/>
              <w:rPr>
                <w:rFonts w:ascii="宋体" w:hAnsi="宋体" w:cs="宋体"/>
                <w:kern w:val="0"/>
                <w:szCs w:val="21"/>
              </w:rPr>
            </w:pPr>
            <w:r>
              <w:rPr>
                <w:rFonts w:hint="eastAsia" w:ascii="宋体" w:hAnsi="宋体" w:cs="宋体"/>
                <w:kern w:val="0"/>
                <w:szCs w:val="21"/>
              </w:rPr>
              <w:t>收益法</w:t>
            </w:r>
          </w:p>
        </w:tc>
        <w:tc>
          <w:tcPr>
            <w:tcW w:w="8399" w:type="dxa"/>
            <w:noWrap/>
            <w:vAlign w:val="center"/>
          </w:tcPr>
          <w:p>
            <w:pPr>
              <w:spacing w:line="340" w:lineRule="exact"/>
              <w:jc w:val="left"/>
              <w:rPr>
                <w:rFonts w:ascii="宋体" w:hAnsi="宋体"/>
                <w:szCs w:val="21"/>
              </w:rPr>
            </w:pPr>
            <w:r>
              <w:rPr>
                <w:rFonts w:hint="eastAsia" w:ascii="宋体" w:hAnsi="宋体"/>
                <w:szCs w:val="21"/>
              </w:rPr>
              <w:t>是指预测估价对象的未来收益，利用报酬率或资本化率、收益乘数将未来收益转换为价值得到估价对象价值或价格的方法。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07" w:type="dxa"/>
            <w:noWrap/>
            <w:vAlign w:val="center"/>
          </w:tcPr>
          <w:p>
            <w:pPr>
              <w:tabs>
                <w:tab w:val="left" w:pos="2008"/>
              </w:tabs>
              <w:spacing w:line="340" w:lineRule="exact"/>
              <w:jc w:val="center"/>
              <w:rPr>
                <w:rFonts w:ascii="宋体" w:hAnsi="宋体" w:cs="宋体"/>
                <w:kern w:val="0"/>
                <w:szCs w:val="21"/>
              </w:rPr>
            </w:pPr>
            <w:r>
              <w:rPr>
                <w:rFonts w:hint="eastAsia" w:ascii="宋体" w:hAnsi="宋体" w:cs="宋体"/>
                <w:kern w:val="0"/>
                <w:szCs w:val="21"/>
              </w:rPr>
              <w:t>成本法</w:t>
            </w:r>
          </w:p>
        </w:tc>
        <w:tc>
          <w:tcPr>
            <w:tcW w:w="8399" w:type="dxa"/>
            <w:noWrap/>
            <w:vAlign w:val="center"/>
          </w:tcPr>
          <w:p>
            <w:pPr>
              <w:spacing w:line="340" w:lineRule="exact"/>
              <w:jc w:val="left"/>
              <w:rPr>
                <w:rFonts w:ascii="宋体" w:hAnsi="宋体"/>
                <w:szCs w:val="21"/>
              </w:rPr>
            </w:pPr>
            <w:r>
              <w:rPr>
                <w:rFonts w:hint="eastAsia" w:ascii="宋体" w:hAnsi="宋体"/>
                <w:szCs w:val="21"/>
              </w:rPr>
              <w:t>是指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07" w:type="dxa"/>
            <w:noWrap/>
            <w:vAlign w:val="center"/>
          </w:tcPr>
          <w:p>
            <w:pPr>
              <w:tabs>
                <w:tab w:val="left" w:pos="2008"/>
              </w:tabs>
              <w:spacing w:line="340" w:lineRule="exact"/>
              <w:jc w:val="center"/>
              <w:rPr>
                <w:rFonts w:ascii="宋体" w:hAnsi="宋体" w:cs="宋体"/>
                <w:kern w:val="0"/>
                <w:szCs w:val="21"/>
              </w:rPr>
            </w:pPr>
            <w:r>
              <w:rPr>
                <w:rFonts w:hint="eastAsia" w:ascii="宋体" w:hAnsi="宋体" w:cs="宋体"/>
                <w:kern w:val="0"/>
                <w:szCs w:val="21"/>
              </w:rPr>
              <w:t>假设开</w:t>
            </w:r>
          </w:p>
          <w:p>
            <w:pPr>
              <w:tabs>
                <w:tab w:val="left" w:pos="2008"/>
              </w:tabs>
              <w:spacing w:line="340" w:lineRule="exact"/>
              <w:jc w:val="center"/>
              <w:rPr>
                <w:rFonts w:ascii="宋体" w:hAnsi="宋体" w:cs="宋体"/>
                <w:kern w:val="0"/>
                <w:szCs w:val="21"/>
              </w:rPr>
            </w:pPr>
            <w:r>
              <w:rPr>
                <w:rFonts w:hint="eastAsia" w:ascii="宋体" w:hAnsi="宋体" w:cs="宋体"/>
                <w:kern w:val="0"/>
                <w:szCs w:val="21"/>
              </w:rPr>
              <w:t>发法</w:t>
            </w:r>
          </w:p>
        </w:tc>
        <w:tc>
          <w:tcPr>
            <w:tcW w:w="8399" w:type="dxa"/>
            <w:noWrap/>
            <w:vAlign w:val="center"/>
          </w:tcPr>
          <w:p>
            <w:pPr>
              <w:spacing w:line="340" w:lineRule="exact"/>
              <w:jc w:val="left"/>
              <w:rPr>
                <w:rFonts w:ascii="宋体" w:hAnsi="宋体"/>
                <w:szCs w:val="21"/>
              </w:rPr>
            </w:pPr>
            <w:r>
              <w:rPr>
                <w:rFonts w:hint="eastAsia" w:ascii="宋体" w:hAnsi="宋体"/>
                <w:szCs w:val="21"/>
              </w:rPr>
              <w:t>是指测算估价对象在价值时点的重置成本和折旧，将重置成本减去折旧得到估价对象价值或价格的方法。</w:t>
            </w:r>
          </w:p>
        </w:tc>
      </w:tr>
    </w:tbl>
    <w:p>
      <w:pPr>
        <w:overflowPunct w:val="0"/>
        <w:spacing w:line="580" w:lineRule="exact"/>
        <w:rPr>
          <w:rFonts w:ascii="宋体" w:hAnsi="宋体" w:cs="宋体"/>
          <w:sz w:val="28"/>
          <w:szCs w:val="28"/>
        </w:rPr>
      </w:pPr>
      <w:r>
        <w:rPr>
          <w:rFonts w:hint="eastAsia" w:ascii="宋体" w:hAnsi="宋体" w:cs="宋体"/>
          <w:sz w:val="28"/>
          <w:szCs w:val="28"/>
        </w:rPr>
        <w:t xml:space="preserve">    （二）估价方法适用性分析</w:t>
      </w:r>
    </w:p>
    <w:p>
      <w:pPr>
        <w:overflowPunct w:val="0"/>
        <w:spacing w:line="580" w:lineRule="exact"/>
        <w:ind w:firstLine="594" w:firstLineChars="200"/>
        <w:rPr>
          <w:rFonts w:ascii="宋体" w:hAnsi="宋体" w:cs="宋体"/>
          <w:color w:val="000000" w:themeColor="text1"/>
          <w:sz w:val="28"/>
          <w:szCs w:val="28"/>
        </w:rPr>
      </w:pPr>
      <w:r>
        <w:rPr>
          <w:rFonts w:hint="eastAsia" w:ascii="宋体" w:hAnsi="宋体" w:cs="宋体"/>
          <w:color w:val="000000" w:themeColor="text1"/>
          <w:sz w:val="28"/>
          <w:szCs w:val="28"/>
        </w:rPr>
        <w:t>1.不选用估价方法的理由</w:t>
      </w:r>
    </w:p>
    <w:p>
      <w:pPr>
        <w:overflowPunct w:val="0"/>
        <w:spacing w:line="580" w:lineRule="exact"/>
        <w:ind w:firstLine="594" w:firstLineChars="200"/>
        <w:rPr>
          <w:rFonts w:ascii="宋体" w:hAnsi="宋体" w:cs="宋体"/>
          <w:color w:val="000000" w:themeColor="text1"/>
          <w:sz w:val="28"/>
          <w:szCs w:val="28"/>
        </w:rPr>
      </w:pPr>
      <w:r>
        <w:rPr>
          <w:rFonts w:hint="eastAsia" w:ascii="宋体" w:hAnsi="宋体" w:cs="宋体"/>
          <w:color w:val="000000" w:themeColor="text1"/>
          <w:sz w:val="28"/>
          <w:szCs w:val="28"/>
        </w:rPr>
        <w:t>（1）不选用假设开发法的理由：估价对象为已建成正常使用的房屋，目前使用正常，属于非待开发的建设物业，不产生后续开发成本，故不选用假设开发法。</w:t>
      </w:r>
    </w:p>
    <w:p>
      <w:pPr>
        <w:overflowPunct w:val="0"/>
        <w:spacing w:line="580" w:lineRule="exact"/>
        <w:ind w:firstLine="594" w:firstLineChars="200"/>
        <w:rPr>
          <w:rFonts w:ascii="宋体" w:hAnsi="宋体" w:cs="宋体"/>
          <w:color w:val="000000" w:themeColor="text1"/>
          <w:sz w:val="28"/>
          <w:szCs w:val="28"/>
        </w:rPr>
      </w:pPr>
      <w:r>
        <w:rPr>
          <w:rFonts w:hint="eastAsia" w:ascii="宋体" w:hAnsi="宋体" w:cs="宋体"/>
          <w:color w:val="000000" w:themeColor="text1"/>
          <w:sz w:val="28"/>
          <w:szCs w:val="28"/>
        </w:rPr>
        <w:t>（2）不选用成本法的理由：理论上应选用成本法估价，但受到运用的客观条件限制，特别是</w:t>
      </w:r>
      <w:r>
        <w:rPr>
          <w:rFonts w:hint="eastAsia" w:ascii="宋体" w:hAnsi="宋体" w:cs="宋体"/>
          <w:color w:val="000000" w:themeColor="text1"/>
          <w:sz w:val="28"/>
          <w:szCs w:val="28"/>
          <w:lang w:eastAsia="zh-CN"/>
        </w:rPr>
        <w:t>住宅</w:t>
      </w:r>
      <w:r>
        <w:rPr>
          <w:rFonts w:hint="eastAsia" w:ascii="宋体" w:hAnsi="宋体" w:cs="宋体"/>
          <w:color w:val="000000" w:themeColor="text1"/>
          <w:sz w:val="28"/>
          <w:szCs w:val="28"/>
        </w:rPr>
        <w:t>主要受市场供求关系左右，成本法的均衡原理已被淡化，在这种背景下，</w:t>
      </w:r>
      <w:r>
        <w:rPr>
          <w:rFonts w:hint="eastAsia" w:ascii="宋体" w:hAnsi="宋体" w:cs="宋体"/>
          <w:color w:val="000000" w:themeColor="text1"/>
          <w:sz w:val="28"/>
          <w:szCs w:val="28"/>
          <w:lang w:eastAsia="zh-CN"/>
        </w:rPr>
        <w:t>住宅</w:t>
      </w:r>
      <w:r>
        <w:rPr>
          <w:rFonts w:hint="eastAsia" w:ascii="宋体" w:hAnsi="宋体" w:cs="宋体"/>
          <w:color w:val="000000" w:themeColor="text1"/>
          <w:sz w:val="28"/>
          <w:szCs w:val="28"/>
        </w:rPr>
        <w:t>价格与开发成本的关联性较弱，房地产的开发成本不能反映房地产现时的市场价格，故不选用成本法估价。</w:t>
      </w:r>
    </w:p>
    <w:p>
      <w:pPr>
        <w:overflowPunct w:val="0"/>
        <w:spacing w:line="580" w:lineRule="exact"/>
        <w:ind w:firstLine="594"/>
        <w:rPr>
          <w:rFonts w:hint="eastAsia" w:ascii="宋体" w:hAnsi="宋体" w:cs="宋体"/>
          <w:color w:val="000000" w:themeColor="text1"/>
          <w:sz w:val="28"/>
          <w:szCs w:val="28"/>
        </w:rPr>
      </w:pPr>
      <w:r>
        <w:rPr>
          <w:rFonts w:hint="eastAsia" w:ascii="宋体" w:hAnsi="宋体" w:cs="宋体"/>
          <w:color w:val="000000" w:themeColor="text1"/>
          <w:sz w:val="28"/>
          <w:szCs w:val="28"/>
        </w:rPr>
        <w:t>（3）不选用收益法的理由：估价对象房地产现行租售比不匹配，脱节明显。</w:t>
      </w:r>
    </w:p>
    <w:p>
      <w:pPr>
        <w:overflowPunct w:val="0"/>
        <w:spacing w:line="580" w:lineRule="exact"/>
        <w:ind w:firstLine="594"/>
        <w:rPr>
          <w:rFonts w:ascii="宋体" w:hAnsi="宋体" w:cs="宋体"/>
          <w:color w:val="000000" w:themeColor="text1"/>
          <w:sz w:val="28"/>
          <w:szCs w:val="28"/>
        </w:rPr>
      </w:pPr>
      <w:r>
        <w:rPr>
          <w:rFonts w:hint="eastAsia" w:ascii="宋体" w:hAnsi="宋体" w:cs="宋体"/>
          <w:color w:val="000000" w:themeColor="text1"/>
          <w:sz w:val="28"/>
          <w:szCs w:val="28"/>
        </w:rPr>
        <w:t>2.选用估价方法的理由</w:t>
      </w:r>
    </w:p>
    <w:p>
      <w:pPr>
        <w:overflowPunct w:val="0"/>
        <w:spacing w:line="580" w:lineRule="exact"/>
        <w:ind w:firstLine="450" w:firstLineChars="152"/>
        <w:rPr>
          <w:rFonts w:ascii="宋体" w:hAnsi="宋体" w:cs="宋体"/>
          <w:color w:val="000000" w:themeColor="text1"/>
          <w:sz w:val="28"/>
          <w:szCs w:val="28"/>
        </w:rPr>
      </w:pPr>
      <w:r>
        <w:rPr>
          <w:rFonts w:hint="eastAsia" w:ascii="宋体" w:hAnsi="宋体" w:cs="宋体"/>
          <w:color w:val="000000" w:themeColor="text1"/>
          <w:sz w:val="28"/>
          <w:szCs w:val="28"/>
        </w:rPr>
        <w:t>经本公司估价人员市场调查知，可调查</w:t>
      </w:r>
      <w:r>
        <w:rPr>
          <w:rFonts w:hint="eastAsia" w:ascii="宋体" w:hAnsi="宋体" w:cs="宋体"/>
          <w:color w:val="000000" w:themeColor="text1"/>
          <w:sz w:val="28"/>
          <w:szCs w:val="28"/>
          <w:lang w:val="en-US" w:eastAsia="zh-CN"/>
        </w:rPr>
        <w:t>到</w:t>
      </w:r>
      <w:r>
        <w:rPr>
          <w:rFonts w:hint="eastAsia" w:ascii="宋体" w:hAnsi="宋体" w:cs="宋体"/>
          <w:color w:val="000000" w:themeColor="text1"/>
          <w:sz w:val="28"/>
          <w:szCs w:val="28"/>
        </w:rPr>
        <w:t>同一供求圈内类似房地产交易实例，故选用比较法估价。</w:t>
      </w:r>
    </w:p>
    <w:p>
      <w:pPr>
        <w:overflowPunct w:val="0"/>
        <w:spacing w:line="580" w:lineRule="exact"/>
        <w:ind w:firstLine="450" w:firstLineChars="152"/>
        <w:rPr>
          <w:rFonts w:ascii="宋体" w:hAnsi="宋体" w:cs="宋体"/>
          <w:sz w:val="28"/>
          <w:szCs w:val="28"/>
        </w:rPr>
      </w:pPr>
      <w:r>
        <w:rPr>
          <w:rFonts w:hint="eastAsia" w:ascii="宋体" w:hAnsi="宋体" w:cs="仿宋_GB2312"/>
          <w:sz w:val="28"/>
        </w:rPr>
        <w:t>综上所述，本次估价</w:t>
      </w:r>
      <w:r>
        <w:rPr>
          <w:rFonts w:hint="eastAsia" w:ascii="宋体" w:hAnsi="宋体" w:cs="仿宋_GB2312"/>
          <w:sz w:val="28"/>
          <w:lang w:eastAsia="zh-CN"/>
        </w:rPr>
        <w:t>仅</w:t>
      </w:r>
      <w:r>
        <w:rPr>
          <w:rFonts w:hint="eastAsia" w:ascii="宋体" w:hAnsi="宋体" w:cs="仿宋_GB2312"/>
          <w:sz w:val="28"/>
        </w:rPr>
        <w:t>采用市场比较法</w:t>
      </w:r>
      <w:r>
        <w:rPr>
          <w:rFonts w:hint="eastAsia" w:ascii="宋体" w:hAnsi="宋体" w:cs="仿宋_GB2312"/>
          <w:sz w:val="28"/>
          <w:lang w:eastAsia="zh-CN"/>
        </w:rPr>
        <w:t>进行评估</w:t>
      </w:r>
      <w:r>
        <w:rPr>
          <w:rFonts w:hint="eastAsia" w:ascii="宋体" w:hAnsi="宋体" w:cs="仿宋_GB2312"/>
          <w:sz w:val="28"/>
        </w:rPr>
        <w:t>。</w:t>
      </w:r>
    </w:p>
    <w:p>
      <w:pPr>
        <w:spacing w:line="560" w:lineRule="exact"/>
        <w:ind w:left="-284" w:firstLine="891" w:firstLineChars="300"/>
        <w:rPr>
          <w:rFonts w:ascii="宋体" w:hAnsi="宋体"/>
          <w:sz w:val="28"/>
          <w:szCs w:val="28"/>
        </w:rPr>
      </w:pPr>
      <w:r>
        <w:rPr>
          <w:rFonts w:hint="eastAsia" w:ascii="宋体" w:hAnsi="宋体"/>
          <w:sz w:val="28"/>
          <w:szCs w:val="28"/>
        </w:rPr>
        <w:t>（三）估价技术路线</w:t>
      </w:r>
    </w:p>
    <w:p>
      <w:pPr>
        <w:overflowPunct w:val="0"/>
        <w:spacing w:line="580" w:lineRule="exact"/>
        <w:ind w:firstLine="450" w:firstLineChars="152"/>
        <w:rPr>
          <w:rFonts w:hint="eastAsia" w:ascii="宋体" w:hAnsi="宋体" w:cs="宋体"/>
          <w:color w:val="000000" w:themeColor="text1"/>
          <w:sz w:val="28"/>
          <w:szCs w:val="28"/>
        </w:rPr>
      </w:pPr>
      <w:r>
        <w:rPr>
          <w:rFonts w:hint="eastAsia" w:ascii="宋体" w:hAnsi="宋体" w:cs="宋体"/>
          <w:color w:val="000000" w:themeColor="text1"/>
          <w:sz w:val="28"/>
          <w:szCs w:val="28"/>
        </w:rPr>
        <w:t>根据本公司掌握的有关资料，同时结合估价对象的具体情况，本报告采用比较法进行估价。</w:t>
      </w:r>
    </w:p>
    <w:p>
      <w:pPr>
        <w:overflowPunct w:val="0"/>
        <w:spacing w:line="580" w:lineRule="exact"/>
        <w:ind w:firstLine="450" w:firstLineChars="152"/>
        <w:rPr>
          <w:rFonts w:hint="eastAsia" w:ascii="宋体" w:hAnsi="宋体" w:cs="宋体"/>
          <w:color w:val="000000" w:themeColor="text1"/>
          <w:sz w:val="28"/>
          <w:szCs w:val="28"/>
        </w:rPr>
      </w:pPr>
      <w:r>
        <w:rPr>
          <w:rFonts w:hint="eastAsia" w:ascii="宋体" w:hAnsi="宋体" w:cs="宋体"/>
          <w:color w:val="000000" w:themeColor="text1"/>
          <w:sz w:val="28"/>
          <w:szCs w:val="28"/>
        </w:rPr>
        <w:t>其计算公式：</w:t>
      </w:r>
    </w:p>
    <w:p>
      <w:pPr>
        <w:overflowPunct w:val="0"/>
        <w:spacing w:line="580" w:lineRule="exact"/>
        <w:ind w:firstLine="450" w:firstLineChars="152"/>
        <w:rPr>
          <w:rFonts w:hint="eastAsia" w:ascii="宋体" w:hAnsi="宋体" w:cs="宋体"/>
          <w:color w:val="000000" w:themeColor="text1"/>
          <w:sz w:val="28"/>
          <w:szCs w:val="28"/>
        </w:rPr>
      </w:pPr>
      <w:r>
        <w:rPr>
          <w:rFonts w:hint="eastAsia" w:ascii="宋体" w:hAnsi="宋体" w:cs="宋体"/>
          <w:color w:val="000000" w:themeColor="text1"/>
          <w:sz w:val="28"/>
          <w:szCs w:val="28"/>
          <w:lang w:val="en-US" w:eastAsia="zh-CN"/>
        </w:rPr>
        <w:t>基</w:t>
      </w:r>
      <w:r>
        <w:rPr>
          <w:rFonts w:hint="eastAsia" w:ascii="宋体" w:hAnsi="宋体" w:cs="宋体"/>
          <w:color w:val="000000" w:themeColor="text1"/>
          <w:sz w:val="28"/>
          <w:szCs w:val="28"/>
        </w:rPr>
        <w:t>准价值=可比实例成交价格×交易情况修正系数×市场状况修正系数×区位状况修正系数×实物状况修正系数×权益状况修正系数</w:t>
      </w:r>
    </w:p>
    <w:p>
      <w:pPr>
        <w:overflowPunct w:val="0"/>
        <w:spacing w:line="580" w:lineRule="exact"/>
        <w:ind w:firstLine="450" w:firstLineChars="152"/>
        <w:rPr>
          <w:rFonts w:hint="default" w:ascii="宋体" w:hAnsi="宋体" w:eastAsia="宋体" w:cs="宋体"/>
          <w:color w:val="000000" w:themeColor="text1"/>
          <w:sz w:val="28"/>
          <w:szCs w:val="28"/>
          <w:lang w:val="en-US" w:eastAsia="zh-CN"/>
        </w:rPr>
      </w:pPr>
      <w:r>
        <w:rPr>
          <w:rFonts w:hint="eastAsia" w:ascii="宋体" w:hAnsi="宋体" w:cs="宋体"/>
          <w:color w:val="000000" w:themeColor="text1"/>
          <w:sz w:val="28"/>
          <w:szCs w:val="28"/>
        </w:rPr>
        <w:t>步骤：1、搜集交易实例；2、选取可比实例；3、建立比较基础；4、进行交易情况修正；5、进行市场状况调整；6、进行房地产状况调整；7、求取</w:t>
      </w:r>
      <w:r>
        <w:rPr>
          <w:rFonts w:hint="eastAsia" w:ascii="宋体" w:hAnsi="宋体" w:cs="宋体"/>
          <w:color w:val="000000" w:themeColor="text1"/>
          <w:sz w:val="28"/>
          <w:szCs w:val="28"/>
          <w:lang w:val="en-US" w:eastAsia="zh-CN"/>
        </w:rPr>
        <w:t>基准价值</w:t>
      </w:r>
      <w:r>
        <w:rPr>
          <w:rFonts w:hint="eastAsia" w:ascii="宋体" w:hAnsi="宋体" w:cs="宋体"/>
          <w:color w:val="000000" w:themeColor="text1"/>
          <w:sz w:val="28"/>
          <w:szCs w:val="28"/>
        </w:rPr>
        <w:t>；</w:t>
      </w:r>
      <w:r>
        <w:rPr>
          <w:rFonts w:hint="eastAsia" w:ascii="宋体" w:hAnsi="宋体" w:cs="宋体"/>
          <w:color w:val="000000" w:themeColor="text1"/>
          <w:sz w:val="28"/>
          <w:szCs w:val="28"/>
          <w:lang w:val="en-US" w:eastAsia="zh-CN"/>
        </w:rPr>
        <w:t>8、利用基准价值进行楼层修正，求取估价对象价值。</w:t>
      </w:r>
    </w:p>
    <w:p>
      <w:pPr>
        <w:numPr>
          <w:ilvl w:val="0"/>
          <w:numId w:val="0"/>
        </w:numPr>
        <w:tabs>
          <w:tab w:val="left" w:pos="142"/>
          <w:tab w:val="left" w:pos="284"/>
        </w:tabs>
        <w:spacing w:line="580" w:lineRule="exact"/>
        <w:ind w:leftChars="-154" w:firstLine="297" w:firstLineChars="100"/>
        <w:rPr>
          <w:rFonts w:hint="eastAsia" w:ascii="宋体" w:hAnsi="宋体" w:eastAsia="宋体"/>
          <w:sz w:val="28"/>
          <w:szCs w:val="28"/>
          <w:lang w:eastAsia="zh-CN"/>
        </w:rPr>
      </w:pPr>
      <w:r>
        <w:rPr>
          <w:rFonts w:hint="eastAsia" w:ascii="宋体" w:hAnsi="宋体"/>
          <w:sz w:val="28"/>
          <w:szCs w:val="28"/>
          <w:lang w:val="en-US" w:eastAsia="zh-CN"/>
        </w:rPr>
        <w:t>五、</w:t>
      </w:r>
      <w:r>
        <w:rPr>
          <w:rFonts w:hint="eastAsia" w:ascii="宋体" w:hAnsi="宋体"/>
          <w:sz w:val="28"/>
          <w:szCs w:val="28"/>
        </w:rPr>
        <w:t>估价测算过程</w:t>
      </w:r>
      <w:bookmarkStart w:id="138" w:name="_Toc18234808"/>
      <w:bookmarkStart w:id="139" w:name="_Toc18234336"/>
      <w:bookmarkStart w:id="140" w:name="_Toc19110134"/>
      <w:bookmarkStart w:id="141" w:name="_Toc18236199"/>
      <w:bookmarkStart w:id="142" w:name="_Toc18233394"/>
    </w:p>
    <w:p>
      <w:pPr>
        <w:tabs>
          <w:tab w:val="left" w:pos="142"/>
          <w:tab w:val="left" w:pos="284"/>
        </w:tabs>
        <w:spacing w:line="580" w:lineRule="exact"/>
        <w:ind w:left="-565" w:leftChars="-249" w:firstLine="282" w:firstLineChars="95"/>
        <w:rPr>
          <w:rFonts w:ascii="宋体" w:hAnsi="宋体"/>
          <w:sz w:val="28"/>
          <w:szCs w:val="28"/>
        </w:rPr>
      </w:pPr>
      <w:r>
        <w:rPr>
          <w:rFonts w:hint="eastAsia" w:ascii="宋体" w:hAnsi="宋体"/>
          <w:sz w:val="28"/>
          <w:szCs w:val="28"/>
        </w:rPr>
        <w:t>（一）选取可比实例</w:t>
      </w:r>
    </w:p>
    <w:p>
      <w:pPr>
        <w:pStyle w:val="3"/>
        <w:spacing w:line="580" w:lineRule="exact"/>
        <w:ind w:left="0" w:firstLine="138" w:firstLineChars="47"/>
      </w:pPr>
      <w:r>
        <w:rPr>
          <w:rFonts w:hint="eastAsia"/>
        </w:rPr>
        <w:t xml:space="preserve">   </w:t>
      </w:r>
      <w:bookmarkStart w:id="143" w:name="_Toc28408"/>
      <w:r>
        <w:rPr>
          <w:rFonts w:hint="eastAsia"/>
        </w:rPr>
        <w:t>经筛选，选取了与</w:t>
      </w:r>
      <w:r>
        <w:rPr>
          <w:rFonts w:hint="eastAsia" w:ascii="宋体" w:hAnsi="宋体"/>
          <w:sz w:val="28"/>
          <w:szCs w:val="28"/>
          <w:lang w:val="en-US" w:eastAsia="zh-CN"/>
        </w:rPr>
        <w:t>估价对象</w:t>
      </w:r>
      <w:r>
        <w:rPr>
          <w:rFonts w:hint="eastAsia"/>
        </w:rPr>
        <w:t>房地产状况相当的三个交易实例作为可比实例，可比实例情况如下表所示：</w:t>
      </w:r>
      <w:bookmarkEnd w:id="143"/>
    </w:p>
    <w:tbl>
      <w:tblPr>
        <w:tblStyle w:val="21"/>
        <w:tblW w:w="5000" w:type="pct"/>
        <w:tblInd w:w="0" w:type="dxa"/>
        <w:tblLayout w:type="autofit"/>
        <w:tblCellMar>
          <w:top w:w="0" w:type="dxa"/>
          <w:left w:w="108" w:type="dxa"/>
          <w:bottom w:w="0" w:type="dxa"/>
          <w:right w:w="108" w:type="dxa"/>
        </w:tblCellMar>
      </w:tblPr>
      <w:tblGrid>
        <w:gridCol w:w="2720"/>
        <w:gridCol w:w="2267"/>
        <w:gridCol w:w="2333"/>
        <w:gridCol w:w="2375"/>
      </w:tblGrid>
      <w:tr>
        <w:tblPrEx>
          <w:tblCellMar>
            <w:top w:w="0" w:type="dxa"/>
            <w:left w:w="108" w:type="dxa"/>
            <w:bottom w:w="0" w:type="dxa"/>
            <w:right w:w="108" w:type="dxa"/>
          </w:tblCellMar>
        </w:tblPrEx>
        <w:trPr>
          <w:trHeight w:val="314" w:hRule="atLeast"/>
        </w:trPr>
        <w:tc>
          <w:tcPr>
            <w:tcW w:w="27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 xml:space="preserve">             可比实例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项目</w:t>
            </w:r>
          </w:p>
        </w:tc>
        <w:tc>
          <w:tcPr>
            <w:tcW w:w="22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实例一</w:t>
            </w:r>
          </w:p>
        </w:tc>
        <w:tc>
          <w:tcPr>
            <w:tcW w:w="23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实例二</w:t>
            </w:r>
          </w:p>
        </w:tc>
        <w:tc>
          <w:tcPr>
            <w:tcW w:w="23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实例三</w:t>
            </w:r>
          </w:p>
        </w:tc>
      </w:tr>
      <w:tr>
        <w:tblPrEx>
          <w:tblCellMar>
            <w:top w:w="0" w:type="dxa"/>
            <w:left w:w="108" w:type="dxa"/>
            <w:bottom w:w="0" w:type="dxa"/>
            <w:right w:w="108" w:type="dxa"/>
          </w:tblCellMar>
        </w:tblPrEx>
        <w:trPr>
          <w:trHeight w:val="450" w:hRule="atLeast"/>
        </w:trPr>
        <w:tc>
          <w:tcPr>
            <w:tcW w:w="2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2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3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3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270" w:hRule="atLeast"/>
        </w:trPr>
        <w:tc>
          <w:tcPr>
            <w:tcW w:w="27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物业名称位置</w:t>
            </w:r>
          </w:p>
        </w:tc>
        <w:tc>
          <w:tcPr>
            <w:tcW w:w="226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18"/>
                <w:szCs w:val="18"/>
                <w:lang w:eastAsia="zh-CN"/>
              </w:rPr>
            </w:pPr>
            <w:r>
              <w:rPr>
                <w:rFonts w:hint="eastAsia" w:ascii="宋体" w:hAnsi="宋体" w:eastAsia="宋体" w:cs="宋体"/>
                <w:i w:val="0"/>
                <w:iCs w:val="0"/>
                <w:color w:val="000000"/>
                <w:kern w:val="0"/>
                <w:sz w:val="18"/>
                <w:szCs w:val="18"/>
                <w:u w:val="none"/>
                <w:lang w:val="en-US" w:eastAsia="zh-CN" w:bidi="ar"/>
              </w:rPr>
              <w:t>兰桂小区</w:t>
            </w:r>
          </w:p>
        </w:tc>
        <w:tc>
          <w:tcPr>
            <w:tcW w:w="233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兰桂小区</w:t>
            </w:r>
          </w:p>
        </w:tc>
        <w:tc>
          <w:tcPr>
            <w:tcW w:w="23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凤凰花园一期</w:t>
            </w:r>
          </w:p>
        </w:tc>
      </w:tr>
      <w:tr>
        <w:tblPrEx>
          <w:tblCellMar>
            <w:top w:w="0" w:type="dxa"/>
            <w:left w:w="108" w:type="dxa"/>
            <w:bottom w:w="0" w:type="dxa"/>
            <w:right w:w="108" w:type="dxa"/>
          </w:tblCellMar>
        </w:tblPrEx>
        <w:trPr>
          <w:trHeight w:val="345" w:hRule="atLeast"/>
        </w:trPr>
        <w:tc>
          <w:tcPr>
            <w:tcW w:w="27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用途</w:t>
            </w:r>
          </w:p>
        </w:tc>
        <w:tc>
          <w:tcPr>
            <w:tcW w:w="2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住宅</w:t>
            </w:r>
          </w:p>
        </w:tc>
        <w:tc>
          <w:tcPr>
            <w:tcW w:w="23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住宅</w:t>
            </w:r>
          </w:p>
        </w:tc>
        <w:tc>
          <w:tcPr>
            <w:tcW w:w="23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住宅</w:t>
            </w:r>
          </w:p>
        </w:tc>
      </w:tr>
      <w:tr>
        <w:tblPrEx>
          <w:tblCellMar>
            <w:top w:w="0" w:type="dxa"/>
            <w:left w:w="108" w:type="dxa"/>
            <w:bottom w:w="0" w:type="dxa"/>
            <w:right w:w="108" w:type="dxa"/>
          </w:tblCellMar>
        </w:tblPrEx>
        <w:trPr>
          <w:trHeight w:val="375" w:hRule="atLeast"/>
        </w:trPr>
        <w:tc>
          <w:tcPr>
            <w:tcW w:w="27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物业类型</w:t>
            </w:r>
          </w:p>
        </w:tc>
        <w:tc>
          <w:tcPr>
            <w:tcW w:w="2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多层住宅</w:t>
            </w:r>
          </w:p>
        </w:tc>
        <w:tc>
          <w:tcPr>
            <w:tcW w:w="23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多层住宅</w:t>
            </w:r>
          </w:p>
        </w:tc>
        <w:tc>
          <w:tcPr>
            <w:tcW w:w="23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多层住宅</w:t>
            </w:r>
          </w:p>
        </w:tc>
      </w:tr>
      <w:tr>
        <w:tblPrEx>
          <w:tblCellMar>
            <w:top w:w="0" w:type="dxa"/>
            <w:left w:w="108" w:type="dxa"/>
            <w:bottom w:w="0" w:type="dxa"/>
            <w:right w:w="108" w:type="dxa"/>
          </w:tblCellMar>
        </w:tblPrEx>
        <w:trPr>
          <w:trHeight w:val="270" w:hRule="atLeast"/>
        </w:trPr>
        <w:tc>
          <w:tcPr>
            <w:tcW w:w="27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建筑结构</w:t>
            </w:r>
          </w:p>
        </w:tc>
        <w:tc>
          <w:tcPr>
            <w:tcW w:w="2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混合</w:t>
            </w:r>
          </w:p>
        </w:tc>
        <w:tc>
          <w:tcPr>
            <w:tcW w:w="23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混合</w:t>
            </w:r>
          </w:p>
        </w:tc>
        <w:tc>
          <w:tcPr>
            <w:tcW w:w="23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混合</w:t>
            </w:r>
          </w:p>
        </w:tc>
      </w:tr>
      <w:tr>
        <w:tblPrEx>
          <w:tblCellMar>
            <w:top w:w="0" w:type="dxa"/>
            <w:left w:w="108" w:type="dxa"/>
            <w:bottom w:w="0" w:type="dxa"/>
            <w:right w:w="108" w:type="dxa"/>
          </w:tblCellMar>
        </w:tblPrEx>
        <w:trPr>
          <w:trHeight w:val="270" w:hRule="atLeast"/>
        </w:trPr>
        <w:tc>
          <w:tcPr>
            <w:tcW w:w="27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建筑面积</w:t>
            </w:r>
          </w:p>
        </w:tc>
        <w:tc>
          <w:tcPr>
            <w:tcW w:w="2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154</w:t>
            </w:r>
          </w:p>
        </w:tc>
        <w:tc>
          <w:tcPr>
            <w:tcW w:w="23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134</w:t>
            </w:r>
          </w:p>
        </w:tc>
        <w:tc>
          <w:tcPr>
            <w:tcW w:w="23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109.34</w:t>
            </w:r>
          </w:p>
        </w:tc>
      </w:tr>
      <w:tr>
        <w:tblPrEx>
          <w:tblCellMar>
            <w:top w:w="0" w:type="dxa"/>
            <w:left w:w="108" w:type="dxa"/>
            <w:bottom w:w="0" w:type="dxa"/>
            <w:right w:w="108" w:type="dxa"/>
          </w:tblCellMar>
        </w:tblPrEx>
        <w:trPr>
          <w:trHeight w:val="285" w:hRule="atLeast"/>
        </w:trPr>
        <w:tc>
          <w:tcPr>
            <w:tcW w:w="27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朝向</w:t>
            </w:r>
          </w:p>
        </w:tc>
        <w:tc>
          <w:tcPr>
            <w:tcW w:w="2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东西</w:t>
            </w:r>
          </w:p>
        </w:tc>
        <w:tc>
          <w:tcPr>
            <w:tcW w:w="23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东西</w:t>
            </w:r>
          </w:p>
        </w:tc>
        <w:tc>
          <w:tcPr>
            <w:tcW w:w="23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东西</w:t>
            </w:r>
          </w:p>
        </w:tc>
      </w:tr>
      <w:tr>
        <w:tblPrEx>
          <w:tblCellMar>
            <w:top w:w="0" w:type="dxa"/>
            <w:left w:w="108" w:type="dxa"/>
            <w:bottom w:w="0" w:type="dxa"/>
            <w:right w:w="108" w:type="dxa"/>
          </w:tblCellMar>
        </w:tblPrEx>
        <w:trPr>
          <w:trHeight w:val="285" w:hRule="atLeast"/>
        </w:trPr>
        <w:tc>
          <w:tcPr>
            <w:tcW w:w="27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装修状况</w:t>
            </w:r>
          </w:p>
        </w:tc>
        <w:tc>
          <w:tcPr>
            <w:tcW w:w="2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毛坯</w:t>
            </w:r>
          </w:p>
        </w:tc>
        <w:tc>
          <w:tcPr>
            <w:tcW w:w="23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普通装修</w:t>
            </w:r>
          </w:p>
        </w:tc>
        <w:tc>
          <w:tcPr>
            <w:tcW w:w="23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普通装修</w:t>
            </w:r>
          </w:p>
        </w:tc>
      </w:tr>
      <w:tr>
        <w:tblPrEx>
          <w:tblCellMar>
            <w:top w:w="0" w:type="dxa"/>
            <w:left w:w="108" w:type="dxa"/>
            <w:bottom w:w="0" w:type="dxa"/>
            <w:right w:w="108" w:type="dxa"/>
          </w:tblCellMar>
        </w:tblPrEx>
        <w:trPr>
          <w:trHeight w:val="375" w:hRule="atLeast"/>
        </w:trPr>
        <w:tc>
          <w:tcPr>
            <w:tcW w:w="27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总层数/所在层</w:t>
            </w:r>
          </w:p>
        </w:tc>
        <w:tc>
          <w:tcPr>
            <w:tcW w:w="2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5/1</w:t>
            </w:r>
          </w:p>
        </w:tc>
        <w:tc>
          <w:tcPr>
            <w:tcW w:w="23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5/5</w:t>
            </w:r>
          </w:p>
        </w:tc>
        <w:tc>
          <w:tcPr>
            <w:tcW w:w="23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5/2</w:t>
            </w:r>
          </w:p>
        </w:tc>
      </w:tr>
      <w:tr>
        <w:tblPrEx>
          <w:tblCellMar>
            <w:top w:w="0" w:type="dxa"/>
            <w:left w:w="108" w:type="dxa"/>
            <w:bottom w:w="0" w:type="dxa"/>
            <w:right w:w="108" w:type="dxa"/>
          </w:tblCellMar>
        </w:tblPrEx>
        <w:trPr>
          <w:trHeight w:val="465" w:hRule="atLeast"/>
        </w:trPr>
        <w:tc>
          <w:tcPr>
            <w:tcW w:w="27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建成时间</w:t>
            </w:r>
          </w:p>
        </w:tc>
        <w:tc>
          <w:tcPr>
            <w:tcW w:w="2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2011年</w:t>
            </w:r>
          </w:p>
        </w:tc>
        <w:tc>
          <w:tcPr>
            <w:tcW w:w="23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2011年</w:t>
            </w:r>
          </w:p>
        </w:tc>
        <w:tc>
          <w:tcPr>
            <w:tcW w:w="23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2010年</w:t>
            </w:r>
          </w:p>
        </w:tc>
      </w:tr>
      <w:tr>
        <w:tblPrEx>
          <w:tblCellMar>
            <w:top w:w="0" w:type="dxa"/>
            <w:left w:w="108" w:type="dxa"/>
            <w:bottom w:w="0" w:type="dxa"/>
            <w:right w:w="108" w:type="dxa"/>
          </w:tblCellMar>
        </w:tblPrEx>
        <w:trPr>
          <w:trHeight w:val="450" w:hRule="atLeast"/>
        </w:trPr>
        <w:tc>
          <w:tcPr>
            <w:tcW w:w="27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交易日期</w:t>
            </w:r>
          </w:p>
        </w:tc>
        <w:tc>
          <w:tcPr>
            <w:tcW w:w="2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2022年09月</w:t>
            </w:r>
          </w:p>
        </w:tc>
        <w:tc>
          <w:tcPr>
            <w:tcW w:w="23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2022年09月</w:t>
            </w:r>
          </w:p>
        </w:tc>
        <w:tc>
          <w:tcPr>
            <w:tcW w:w="23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2022年09月</w:t>
            </w:r>
          </w:p>
        </w:tc>
      </w:tr>
      <w:tr>
        <w:tblPrEx>
          <w:tblCellMar>
            <w:top w:w="0" w:type="dxa"/>
            <w:left w:w="108" w:type="dxa"/>
            <w:bottom w:w="0" w:type="dxa"/>
            <w:right w:w="108" w:type="dxa"/>
          </w:tblCellMar>
        </w:tblPrEx>
        <w:trPr>
          <w:trHeight w:val="375" w:hRule="atLeast"/>
        </w:trPr>
        <w:tc>
          <w:tcPr>
            <w:tcW w:w="27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交易价格（元/m</w:t>
            </w:r>
            <w:r>
              <w:rPr>
                <w:rFonts w:hint="eastAsia" w:ascii="宋体" w:hAnsi="宋体" w:eastAsia="宋体" w:cs="宋体"/>
                <w:i w:val="0"/>
                <w:iCs w:val="0"/>
                <w:color w:val="000000"/>
                <w:kern w:val="0"/>
                <w:sz w:val="18"/>
                <w:szCs w:val="18"/>
                <w:u w:val="none"/>
                <w:vertAlign w:val="superscript"/>
                <w:lang w:val="en-US" w:eastAsia="zh-CN" w:bidi="ar"/>
              </w:rPr>
              <w:t>2</w:t>
            </w:r>
            <w:r>
              <w:rPr>
                <w:rFonts w:hint="eastAsia" w:ascii="宋体" w:hAnsi="宋体" w:eastAsia="宋体" w:cs="宋体"/>
                <w:i w:val="0"/>
                <w:iCs w:val="0"/>
                <w:color w:val="000000"/>
                <w:kern w:val="0"/>
                <w:sz w:val="18"/>
                <w:szCs w:val="18"/>
                <w:u w:val="none"/>
                <w:lang w:val="en-US" w:eastAsia="zh-CN" w:bidi="ar"/>
              </w:rPr>
              <w:t>）</w:t>
            </w:r>
          </w:p>
        </w:tc>
        <w:tc>
          <w:tcPr>
            <w:tcW w:w="2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4,286.00</w:t>
            </w:r>
          </w:p>
        </w:tc>
        <w:tc>
          <w:tcPr>
            <w:tcW w:w="23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4,776.00</w:t>
            </w:r>
          </w:p>
        </w:tc>
        <w:tc>
          <w:tcPr>
            <w:tcW w:w="23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4,738.00</w:t>
            </w:r>
          </w:p>
        </w:tc>
      </w:tr>
    </w:tbl>
    <w:p>
      <w:pPr>
        <w:pStyle w:val="3"/>
        <w:spacing w:line="580" w:lineRule="exact"/>
        <w:ind w:left="0" w:firstLine="138" w:firstLineChars="47"/>
      </w:pPr>
      <w:bookmarkStart w:id="144" w:name="_Toc24905"/>
      <w:r>
        <w:rPr>
          <w:rFonts w:hint="eastAsia"/>
        </w:rPr>
        <w:t>（二）建立比较基础</w:t>
      </w:r>
      <w:bookmarkEnd w:id="144"/>
    </w:p>
    <w:p>
      <w:pPr>
        <w:pStyle w:val="3"/>
        <w:spacing w:line="580" w:lineRule="exact"/>
        <w:ind w:left="-424" w:leftChars="-187"/>
      </w:pPr>
      <w:r>
        <w:rPr>
          <w:rFonts w:hint="eastAsia"/>
        </w:rPr>
        <w:t xml:space="preserve">    </w:t>
      </w:r>
      <w:bookmarkStart w:id="145" w:name="_Toc19051"/>
      <w:r>
        <w:rPr>
          <w:rFonts w:hint="eastAsia"/>
        </w:rPr>
        <w:t>1、统一房地产范围：本次评估在筛选可比实例时，选择了不带债权债务，不含非房地产成分，实物范围一致的可比房地产。</w:t>
      </w:r>
      <w:bookmarkEnd w:id="145"/>
    </w:p>
    <w:p>
      <w:pPr>
        <w:pStyle w:val="3"/>
        <w:spacing w:line="580" w:lineRule="exact"/>
        <w:ind w:left="-424" w:leftChars="-187"/>
      </w:pPr>
      <w:r>
        <w:rPr>
          <w:rFonts w:hint="eastAsia"/>
        </w:rPr>
        <w:t xml:space="preserve">    </w:t>
      </w:r>
      <w:bookmarkStart w:id="146" w:name="_Toc4536"/>
      <w:r>
        <w:rPr>
          <w:rFonts w:hint="eastAsia"/>
        </w:rPr>
        <w:t>2、统一付款方式：本次选取可比实例均为一次性付款的价格。</w:t>
      </w:r>
      <w:bookmarkEnd w:id="146"/>
    </w:p>
    <w:p>
      <w:pPr>
        <w:pStyle w:val="3"/>
        <w:spacing w:line="580" w:lineRule="exact"/>
        <w:ind w:left="-424" w:leftChars="-187"/>
      </w:pPr>
      <w:r>
        <w:rPr>
          <w:rFonts w:hint="eastAsia"/>
        </w:rPr>
        <w:t xml:space="preserve">    </w:t>
      </w:r>
      <w:bookmarkStart w:id="147" w:name="_Toc10979"/>
      <w:r>
        <w:rPr>
          <w:rFonts w:hint="eastAsia"/>
        </w:rPr>
        <w:t>3、统一价格单位：本次评估选取可比实例价格为单价，币种为人民币，单位为元/平方米，按建筑面积计价。</w:t>
      </w:r>
      <w:bookmarkEnd w:id="147"/>
    </w:p>
    <w:p>
      <w:pPr>
        <w:spacing w:line="580" w:lineRule="exact"/>
        <w:ind w:left="-438" w:leftChars="-193"/>
        <w:rPr>
          <w:kern w:val="0"/>
          <w:sz w:val="28"/>
          <w:szCs w:val="20"/>
        </w:rPr>
      </w:pPr>
      <w:r>
        <w:rPr>
          <w:rFonts w:hint="eastAsia"/>
          <w:kern w:val="0"/>
          <w:sz w:val="28"/>
          <w:szCs w:val="20"/>
        </w:rPr>
        <w:t xml:space="preserve">    （三）</w:t>
      </w:r>
      <w:r>
        <w:rPr>
          <w:rFonts w:hint="eastAsia" w:ascii="宋体" w:hAnsi="宋体"/>
          <w:sz w:val="28"/>
          <w:szCs w:val="28"/>
          <w:lang w:val="en-US" w:eastAsia="zh-CN"/>
        </w:rPr>
        <w:t>估价对象</w:t>
      </w:r>
      <w:r>
        <w:rPr>
          <w:rFonts w:hint="eastAsia"/>
          <w:kern w:val="0"/>
          <w:sz w:val="28"/>
          <w:szCs w:val="20"/>
        </w:rPr>
        <w:t>与可比实例统一价格基础修正表：</w:t>
      </w:r>
    </w:p>
    <w:tbl>
      <w:tblPr>
        <w:tblStyle w:val="21"/>
        <w:tblW w:w="5000" w:type="pct"/>
        <w:tblInd w:w="0" w:type="dxa"/>
        <w:tblLayout w:type="autofit"/>
        <w:tblCellMar>
          <w:top w:w="0" w:type="dxa"/>
          <w:left w:w="108" w:type="dxa"/>
          <w:bottom w:w="0" w:type="dxa"/>
          <w:right w:w="108" w:type="dxa"/>
        </w:tblCellMar>
      </w:tblPr>
      <w:tblGrid>
        <w:gridCol w:w="2694"/>
        <w:gridCol w:w="2353"/>
        <w:gridCol w:w="2291"/>
        <w:gridCol w:w="2357"/>
      </w:tblGrid>
      <w:tr>
        <w:tblPrEx>
          <w:tblCellMar>
            <w:top w:w="0" w:type="dxa"/>
            <w:left w:w="108" w:type="dxa"/>
            <w:bottom w:w="0" w:type="dxa"/>
            <w:right w:w="108" w:type="dxa"/>
          </w:tblCellMar>
        </w:tblPrEx>
        <w:trPr>
          <w:trHeight w:val="1" w:hRule="atLeast"/>
        </w:trPr>
        <w:tc>
          <w:tcPr>
            <w:tcW w:w="1389" w:type="pct"/>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kern w:val="0"/>
                <w:sz w:val="18"/>
                <w:szCs w:val="18"/>
              </w:rPr>
            </w:pPr>
            <w:r>
              <w:rPr>
                <w:kern w:val="0"/>
                <w:sz w:val="18"/>
                <w:szCs w:val="18"/>
              </w:rPr>
              <w:t>项   目</w:t>
            </w:r>
          </w:p>
        </w:tc>
        <w:tc>
          <w:tcPr>
            <w:tcW w:w="1213" w:type="pct"/>
            <w:tcBorders>
              <w:top w:val="single" w:color="auto" w:sz="4" w:space="0"/>
              <w:left w:val="nil"/>
              <w:bottom w:val="single" w:color="auto" w:sz="4" w:space="0"/>
              <w:right w:val="single" w:color="auto" w:sz="4" w:space="0"/>
            </w:tcBorders>
            <w:vAlign w:val="center"/>
          </w:tcPr>
          <w:p>
            <w:pPr>
              <w:widowControl/>
              <w:spacing w:line="440" w:lineRule="exact"/>
              <w:jc w:val="center"/>
              <w:rPr>
                <w:kern w:val="0"/>
                <w:sz w:val="18"/>
                <w:szCs w:val="18"/>
              </w:rPr>
            </w:pPr>
            <w:r>
              <w:rPr>
                <w:kern w:val="0"/>
                <w:sz w:val="18"/>
                <w:szCs w:val="18"/>
              </w:rPr>
              <w:t>可比实例一</w:t>
            </w:r>
          </w:p>
        </w:tc>
        <w:tc>
          <w:tcPr>
            <w:tcW w:w="1181" w:type="pct"/>
            <w:tcBorders>
              <w:top w:val="single" w:color="auto" w:sz="4" w:space="0"/>
              <w:left w:val="nil"/>
              <w:bottom w:val="single" w:color="auto" w:sz="4" w:space="0"/>
              <w:right w:val="single" w:color="auto" w:sz="4" w:space="0"/>
            </w:tcBorders>
            <w:vAlign w:val="center"/>
          </w:tcPr>
          <w:p>
            <w:pPr>
              <w:widowControl/>
              <w:spacing w:line="440" w:lineRule="exact"/>
              <w:jc w:val="center"/>
              <w:rPr>
                <w:kern w:val="0"/>
                <w:sz w:val="18"/>
                <w:szCs w:val="18"/>
              </w:rPr>
            </w:pPr>
            <w:r>
              <w:rPr>
                <w:kern w:val="0"/>
                <w:sz w:val="18"/>
                <w:szCs w:val="18"/>
              </w:rPr>
              <w:t>可比实例二</w:t>
            </w:r>
          </w:p>
        </w:tc>
        <w:tc>
          <w:tcPr>
            <w:tcW w:w="1215" w:type="pct"/>
            <w:tcBorders>
              <w:top w:val="single" w:color="auto" w:sz="4" w:space="0"/>
              <w:left w:val="nil"/>
              <w:bottom w:val="single" w:color="auto" w:sz="4" w:space="0"/>
              <w:right w:val="single" w:color="auto" w:sz="4" w:space="0"/>
            </w:tcBorders>
            <w:vAlign w:val="center"/>
          </w:tcPr>
          <w:p>
            <w:pPr>
              <w:widowControl/>
              <w:spacing w:line="440" w:lineRule="exact"/>
              <w:jc w:val="center"/>
              <w:rPr>
                <w:kern w:val="0"/>
                <w:sz w:val="18"/>
                <w:szCs w:val="18"/>
              </w:rPr>
            </w:pPr>
            <w:r>
              <w:rPr>
                <w:kern w:val="0"/>
                <w:sz w:val="18"/>
                <w:szCs w:val="18"/>
              </w:rPr>
              <w:t>可比实例</w:t>
            </w:r>
            <w:r>
              <w:rPr>
                <w:rFonts w:hint="eastAsia"/>
                <w:kern w:val="0"/>
                <w:sz w:val="18"/>
                <w:szCs w:val="18"/>
              </w:rPr>
              <w:t>三</w:t>
            </w:r>
          </w:p>
        </w:tc>
      </w:tr>
      <w:tr>
        <w:tblPrEx>
          <w:tblCellMar>
            <w:top w:w="0" w:type="dxa"/>
            <w:left w:w="108" w:type="dxa"/>
            <w:bottom w:w="0" w:type="dxa"/>
            <w:right w:w="108" w:type="dxa"/>
          </w:tblCellMar>
        </w:tblPrEx>
        <w:trPr>
          <w:trHeight w:val="1" w:hRule="atLeast"/>
        </w:trPr>
        <w:tc>
          <w:tcPr>
            <w:tcW w:w="1389" w:type="pct"/>
            <w:tcBorders>
              <w:top w:val="nil"/>
              <w:left w:val="single" w:color="auto" w:sz="4" w:space="0"/>
              <w:bottom w:val="single" w:color="auto" w:sz="4" w:space="0"/>
              <w:right w:val="single" w:color="auto" w:sz="4" w:space="0"/>
            </w:tcBorders>
            <w:vAlign w:val="center"/>
          </w:tcPr>
          <w:p>
            <w:pPr>
              <w:widowControl/>
              <w:spacing w:line="440" w:lineRule="exact"/>
              <w:jc w:val="center"/>
              <w:rPr>
                <w:kern w:val="0"/>
                <w:sz w:val="18"/>
                <w:szCs w:val="18"/>
              </w:rPr>
            </w:pPr>
            <w:r>
              <w:rPr>
                <w:kern w:val="0"/>
                <w:sz w:val="18"/>
                <w:szCs w:val="18"/>
              </w:rPr>
              <w:t>交易价格（元/</w:t>
            </w:r>
            <w:r>
              <w:rPr>
                <w:rFonts w:hint="eastAsia"/>
                <w:kern w:val="0"/>
                <w:sz w:val="18"/>
                <w:szCs w:val="18"/>
              </w:rPr>
              <w:t>㎡</w:t>
            </w:r>
            <w:r>
              <w:rPr>
                <w:kern w:val="0"/>
                <w:sz w:val="18"/>
                <w:szCs w:val="18"/>
              </w:rPr>
              <w:t>）</w:t>
            </w:r>
          </w:p>
        </w:tc>
        <w:tc>
          <w:tcPr>
            <w:tcW w:w="235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4,286.00</w:t>
            </w:r>
          </w:p>
        </w:tc>
        <w:tc>
          <w:tcPr>
            <w:tcW w:w="229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4,776.00</w:t>
            </w:r>
          </w:p>
        </w:tc>
        <w:tc>
          <w:tcPr>
            <w:tcW w:w="235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4,738.00</w:t>
            </w:r>
          </w:p>
        </w:tc>
      </w:tr>
      <w:tr>
        <w:tblPrEx>
          <w:tblCellMar>
            <w:top w:w="0" w:type="dxa"/>
            <w:left w:w="108" w:type="dxa"/>
            <w:bottom w:w="0" w:type="dxa"/>
            <w:right w:w="108" w:type="dxa"/>
          </w:tblCellMar>
        </w:tblPrEx>
        <w:trPr>
          <w:trHeight w:val="1" w:hRule="atLeast"/>
        </w:trPr>
        <w:tc>
          <w:tcPr>
            <w:tcW w:w="1389" w:type="pct"/>
            <w:tcBorders>
              <w:top w:val="nil"/>
              <w:left w:val="single" w:color="auto" w:sz="4" w:space="0"/>
              <w:bottom w:val="single" w:color="auto" w:sz="4" w:space="0"/>
              <w:right w:val="single" w:color="auto" w:sz="4" w:space="0"/>
            </w:tcBorders>
            <w:vAlign w:val="center"/>
          </w:tcPr>
          <w:p>
            <w:pPr>
              <w:widowControl/>
              <w:spacing w:line="440" w:lineRule="exact"/>
              <w:jc w:val="center"/>
              <w:rPr>
                <w:kern w:val="0"/>
                <w:sz w:val="18"/>
                <w:szCs w:val="18"/>
              </w:rPr>
            </w:pPr>
            <w:r>
              <w:rPr>
                <w:kern w:val="0"/>
                <w:sz w:val="18"/>
                <w:szCs w:val="18"/>
              </w:rPr>
              <w:t>统一房地产范围</w:t>
            </w:r>
          </w:p>
        </w:tc>
        <w:tc>
          <w:tcPr>
            <w:tcW w:w="1213"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不带债权债务，不含非房地产成分</w:t>
            </w:r>
            <w:r>
              <w:rPr>
                <w:rFonts w:hint="eastAsia" w:ascii="宋体" w:hAnsi="宋体" w:cs="宋体"/>
                <w:kern w:val="0"/>
                <w:sz w:val="18"/>
                <w:szCs w:val="18"/>
                <w:lang w:eastAsia="zh-CN"/>
              </w:rPr>
              <w:t>，实物范围一致</w:t>
            </w:r>
          </w:p>
        </w:tc>
        <w:tc>
          <w:tcPr>
            <w:tcW w:w="1181"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cs="宋体"/>
                <w:kern w:val="0"/>
                <w:sz w:val="18"/>
                <w:szCs w:val="18"/>
              </w:rPr>
              <w:t>不带债权债务，不含非房地产成分</w:t>
            </w:r>
            <w:r>
              <w:rPr>
                <w:rFonts w:hint="eastAsia" w:ascii="宋体" w:hAnsi="宋体" w:cs="宋体"/>
                <w:kern w:val="0"/>
                <w:sz w:val="18"/>
                <w:szCs w:val="18"/>
                <w:lang w:eastAsia="zh-CN"/>
              </w:rPr>
              <w:t>，实物范围一致</w:t>
            </w:r>
          </w:p>
        </w:tc>
        <w:tc>
          <w:tcPr>
            <w:tcW w:w="1215"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cs="宋体"/>
                <w:kern w:val="0"/>
                <w:sz w:val="18"/>
                <w:szCs w:val="18"/>
              </w:rPr>
              <w:t>不带债权债务，不含非房地产成分</w:t>
            </w:r>
            <w:r>
              <w:rPr>
                <w:rFonts w:hint="eastAsia" w:ascii="宋体" w:hAnsi="宋体" w:cs="宋体"/>
                <w:kern w:val="0"/>
                <w:sz w:val="18"/>
                <w:szCs w:val="18"/>
                <w:lang w:eastAsia="zh-CN"/>
              </w:rPr>
              <w:t>，实物范围一致</w:t>
            </w:r>
          </w:p>
        </w:tc>
      </w:tr>
      <w:tr>
        <w:tblPrEx>
          <w:tblCellMar>
            <w:top w:w="0" w:type="dxa"/>
            <w:left w:w="108" w:type="dxa"/>
            <w:bottom w:w="0" w:type="dxa"/>
            <w:right w:w="108" w:type="dxa"/>
          </w:tblCellMar>
        </w:tblPrEx>
        <w:trPr>
          <w:trHeight w:val="1" w:hRule="atLeast"/>
        </w:trPr>
        <w:tc>
          <w:tcPr>
            <w:tcW w:w="1389" w:type="pct"/>
            <w:tcBorders>
              <w:top w:val="nil"/>
              <w:left w:val="single" w:color="auto" w:sz="4" w:space="0"/>
              <w:bottom w:val="single" w:color="auto" w:sz="4" w:space="0"/>
              <w:right w:val="single" w:color="auto" w:sz="4" w:space="0"/>
            </w:tcBorders>
            <w:vAlign w:val="center"/>
          </w:tcPr>
          <w:p>
            <w:pPr>
              <w:widowControl/>
              <w:spacing w:line="440" w:lineRule="exact"/>
              <w:jc w:val="center"/>
              <w:rPr>
                <w:kern w:val="0"/>
                <w:sz w:val="18"/>
                <w:szCs w:val="18"/>
              </w:rPr>
            </w:pPr>
            <w:r>
              <w:rPr>
                <w:kern w:val="0"/>
                <w:sz w:val="18"/>
                <w:szCs w:val="18"/>
              </w:rPr>
              <w:t>统一付款方式（元/</w:t>
            </w:r>
            <w:r>
              <w:rPr>
                <w:rFonts w:hint="eastAsia"/>
                <w:kern w:val="0"/>
                <w:sz w:val="18"/>
                <w:szCs w:val="18"/>
              </w:rPr>
              <w:t>㎡</w:t>
            </w:r>
            <w:r>
              <w:rPr>
                <w:kern w:val="0"/>
                <w:sz w:val="18"/>
                <w:szCs w:val="18"/>
              </w:rPr>
              <w:t>）</w:t>
            </w:r>
          </w:p>
        </w:tc>
        <w:tc>
          <w:tcPr>
            <w:tcW w:w="1213" w:type="pct"/>
            <w:tcBorders>
              <w:top w:val="nil"/>
              <w:left w:val="nil"/>
              <w:bottom w:val="single" w:color="auto" w:sz="4" w:space="0"/>
              <w:right w:val="single" w:color="auto" w:sz="4" w:space="0"/>
            </w:tcBorders>
            <w:vAlign w:val="center"/>
          </w:tcPr>
          <w:p>
            <w:pPr>
              <w:widowControl/>
              <w:spacing w:line="440" w:lineRule="exact"/>
              <w:jc w:val="center"/>
              <w:rPr>
                <w:kern w:val="0"/>
                <w:sz w:val="18"/>
                <w:szCs w:val="18"/>
              </w:rPr>
            </w:pPr>
            <w:r>
              <w:rPr>
                <w:rFonts w:hint="eastAsia"/>
                <w:kern w:val="0"/>
                <w:sz w:val="18"/>
                <w:szCs w:val="18"/>
              </w:rPr>
              <w:t>一次性</w:t>
            </w:r>
          </w:p>
        </w:tc>
        <w:tc>
          <w:tcPr>
            <w:tcW w:w="1181" w:type="pct"/>
            <w:tcBorders>
              <w:top w:val="nil"/>
              <w:left w:val="nil"/>
              <w:bottom w:val="single" w:color="auto" w:sz="4" w:space="0"/>
              <w:right w:val="single" w:color="auto" w:sz="4" w:space="0"/>
            </w:tcBorders>
            <w:vAlign w:val="center"/>
          </w:tcPr>
          <w:p>
            <w:pPr>
              <w:widowControl/>
              <w:spacing w:line="440" w:lineRule="exact"/>
              <w:jc w:val="center"/>
              <w:rPr>
                <w:kern w:val="0"/>
                <w:sz w:val="18"/>
                <w:szCs w:val="18"/>
              </w:rPr>
            </w:pPr>
            <w:r>
              <w:rPr>
                <w:rFonts w:hint="eastAsia"/>
                <w:kern w:val="0"/>
                <w:sz w:val="18"/>
                <w:szCs w:val="18"/>
              </w:rPr>
              <w:t>一次性</w:t>
            </w:r>
          </w:p>
        </w:tc>
        <w:tc>
          <w:tcPr>
            <w:tcW w:w="1215" w:type="pct"/>
            <w:tcBorders>
              <w:top w:val="nil"/>
              <w:left w:val="nil"/>
              <w:bottom w:val="single" w:color="auto" w:sz="4" w:space="0"/>
              <w:right w:val="single" w:color="auto" w:sz="4" w:space="0"/>
            </w:tcBorders>
            <w:vAlign w:val="center"/>
          </w:tcPr>
          <w:p>
            <w:pPr>
              <w:widowControl/>
              <w:spacing w:line="440" w:lineRule="exact"/>
              <w:jc w:val="center"/>
              <w:rPr>
                <w:kern w:val="0"/>
                <w:sz w:val="18"/>
                <w:szCs w:val="18"/>
              </w:rPr>
            </w:pPr>
            <w:r>
              <w:rPr>
                <w:rFonts w:hint="eastAsia"/>
                <w:kern w:val="0"/>
                <w:sz w:val="18"/>
                <w:szCs w:val="18"/>
              </w:rPr>
              <w:t>一次性</w:t>
            </w:r>
          </w:p>
        </w:tc>
      </w:tr>
      <w:tr>
        <w:tblPrEx>
          <w:tblCellMar>
            <w:top w:w="0" w:type="dxa"/>
            <w:left w:w="108" w:type="dxa"/>
            <w:bottom w:w="0" w:type="dxa"/>
            <w:right w:w="108" w:type="dxa"/>
          </w:tblCellMar>
        </w:tblPrEx>
        <w:trPr>
          <w:trHeight w:val="1" w:hRule="atLeast"/>
        </w:trPr>
        <w:tc>
          <w:tcPr>
            <w:tcW w:w="1389" w:type="pct"/>
            <w:tcBorders>
              <w:top w:val="nil"/>
              <w:left w:val="single" w:color="auto" w:sz="4" w:space="0"/>
              <w:bottom w:val="single" w:color="auto" w:sz="4" w:space="0"/>
              <w:right w:val="single" w:color="auto" w:sz="4" w:space="0"/>
            </w:tcBorders>
            <w:vAlign w:val="center"/>
          </w:tcPr>
          <w:p>
            <w:pPr>
              <w:widowControl/>
              <w:spacing w:line="440" w:lineRule="exact"/>
              <w:jc w:val="center"/>
              <w:rPr>
                <w:kern w:val="0"/>
                <w:sz w:val="18"/>
                <w:szCs w:val="18"/>
              </w:rPr>
            </w:pPr>
            <w:r>
              <w:rPr>
                <w:kern w:val="0"/>
                <w:sz w:val="18"/>
                <w:szCs w:val="18"/>
              </w:rPr>
              <w:t>统一价格单位（元/</w:t>
            </w:r>
            <w:r>
              <w:rPr>
                <w:rFonts w:hint="eastAsia"/>
                <w:kern w:val="0"/>
                <w:sz w:val="18"/>
                <w:szCs w:val="18"/>
              </w:rPr>
              <w:t>㎡</w:t>
            </w:r>
            <w:r>
              <w:rPr>
                <w:kern w:val="0"/>
                <w:sz w:val="18"/>
                <w:szCs w:val="18"/>
              </w:rPr>
              <w:t>）</w:t>
            </w:r>
          </w:p>
        </w:tc>
        <w:tc>
          <w:tcPr>
            <w:tcW w:w="1213" w:type="pct"/>
            <w:tcBorders>
              <w:top w:val="nil"/>
              <w:left w:val="nil"/>
              <w:bottom w:val="single" w:color="auto" w:sz="4" w:space="0"/>
              <w:right w:val="single" w:color="auto" w:sz="4" w:space="0"/>
            </w:tcBorders>
            <w:vAlign w:val="center"/>
          </w:tcPr>
          <w:p>
            <w:pPr>
              <w:widowControl/>
              <w:spacing w:line="440" w:lineRule="exact"/>
              <w:jc w:val="center"/>
              <w:rPr>
                <w:kern w:val="0"/>
                <w:sz w:val="18"/>
                <w:szCs w:val="18"/>
              </w:rPr>
            </w:pPr>
            <w:r>
              <w:rPr>
                <w:kern w:val="0"/>
                <w:sz w:val="18"/>
                <w:szCs w:val="18"/>
              </w:rPr>
              <w:t>元/</w:t>
            </w:r>
            <w:r>
              <w:rPr>
                <w:rFonts w:hint="eastAsia"/>
                <w:kern w:val="0"/>
                <w:sz w:val="18"/>
                <w:szCs w:val="18"/>
              </w:rPr>
              <w:t>㎡</w:t>
            </w:r>
          </w:p>
        </w:tc>
        <w:tc>
          <w:tcPr>
            <w:tcW w:w="1181" w:type="pct"/>
            <w:tcBorders>
              <w:top w:val="nil"/>
              <w:left w:val="nil"/>
              <w:bottom w:val="single" w:color="auto" w:sz="4" w:space="0"/>
              <w:right w:val="single" w:color="auto" w:sz="4" w:space="0"/>
            </w:tcBorders>
            <w:vAlign w:val="center"/>
          </w:tcPr>
          <w:p>
            <w:pPr>
              <w:widowControl/>
              <w:spacing w:line="440" w:lineRule="exact"/>
              <w:jc w:val="center"/>
              <w:rPr>
                <w:kern w:val="0"/>
                <w:sz w:val="18"/>
                <w:szCs w:val="18"/>
              </w:rPr>
            </w:pPr>
            <w:r>
              <w:rPr>
                <w:kern w:val="0"/>
                <w:sz w:val="18"/>
                <w:szCs w:val="18"/>
              </w:rPr>
              <w:t>元/</w:t>
            </w:r>
            <w:r>
              <w:rPr>
                <w:rFonts w:hint="eastAsia"/>
                <w:kern w:val="0"/>
                <w:sz w:val="18"/>
                <w:szCs w:val="18"/>
              </w:rPr>
              <w:t>㎡</w:t>
            </w:r>
          </w:p>
        </w:tc>
        <w:tc>
          <w:tcPr>
            <w:tcW w:w="1215" w:type="pct"/>
            <w:tcBorders>
              <w:top w:val="nil"/>
              <w:left w:val="nil"/>
              <w:bottom w:val="single" w:color="auto" w:sz="4" w:space="0"/>
              <w:right w:val="single" w:color="auto" w:sz="4" w:space="0"/>
            </w:tcBorders>
            <w:vAlign w:val="center"/>
          </w:tcPr>
          <w:p>
            <w:pPr>
              <w:widowControl/>
              <w:spacing w:line="440" w:lineRule="exact"/>
              <w:jc w:val="center"/>
              <w:rPr>
                <w:kern w:val="0"/>
                <w:sz w:val="18"/>
                <w:szCs w:val="18"/>
              </w:rPr>
            </w:pPr>
            <w:r>
              <w:rPr>
                <w:kern w:val="0"/>
                <w:sz w:val="18"/>
                <w:szCs w:val="18"/>
              </w:rPr>
              <w:t>元/</w:t>
            </w:r>
            <w:r>
              <w:rPr>
                <w:rFonts w:hint="eastAsia"/>
                <w:kern w:val="0"/>
                <w:sz w:val="18"/>
                <w:szCs w:val="18"/>
              </w:rPr>
              <w:t>㎡</w:t>
            </w:r>
          </w:p>
        </w:tc>
      </w:tr>
      <w:tr>
        <w:tblPrEx>
          <w:tblCellMar>
            <w:top w:w="0" w:type="dxa"/>
            <w:left w:w="108" w:type="dxa"/>
            <w:bottom w:w="0" w:type="dxa"/>
            <w:right w:w="108" w:type="dxa"/>
          </w:tblCellMar>
        </w:tblPrEx>
        <w:trPr>
          <w:trHeight w:val="1" w:hRule="atLeast"/>
        </w:trPr>
        <w:tc>
          <w:tcPr>
            <w:tcW w:w="1389" w:type="pct"/>
            <w:tcBorders>
              <w:top w:val="nil"/>
              <w:left w:val="single" w:color="auto" w:sz="4" w:space="0"/>
              <w:bottom w:val="single" w:color="auto" w:sz="4" w:space="0"/>
              <w:right w:val="single" w:color="auto" w:sz="4" w:space="0"/>
            </w:tcBorders>
            <w:vAlign w:val="center"/>
          </w:tcPr>
          <w:p>
            <w:pPr>
              <w:widowControl/>
              <w:spacing w:line="440" w:lineRule="exact"/>
              <w:jc w:val="center"/>
              <w:rPr>
                <w:kern w:val="0"/>
                <w:sz w:val="18"/>
                <w:szCs w:val="18"/>
              </w:rPr>
            </w:pPr>
            <w:r>
              <w:rPr>
                <w:kern w:val="0"/>
                <w:sz w:val="18"/>
                <w:szCs w:val="18"/>
              </w:rPr>
              <w:t>统一可比基础后价格（元/</w:t>
            </w:r>
            <w:r>
              <w:rPr>
                <w:rFonts w:hint="eastAsia"/>
                <w:kern w:val="0"/>
                <w:sz w:val="18"/>
                <w:szCs w:val="18"/>
              </w:rPr>
              <w:t>㎡</w:t>
            </w:r>
            <w:r>
              <w:rPr>
                <w:kern w:val="0"/>
                <w:sz w:val="18"/>
                <w:szCs w:val="18"/>
              </w:rPr>
              <w:t>）</w:t>
            </w:r>
          </w:p>
        </w:tc>
        <w:tc>
          <w:tcPr>
            <w:tcW w:w="235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4,286.00</w:t>
            </w:r>
          </w:p>
        </w:tc>
        <w:tc>
          <w:tcPr>
            <w:tcW w:w="229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4,776.00</w:t>
            </w:r>
          </w:p>
        </w:tc>
        <w:tc>
          <w:tcPr>
            <w:tcW w:w="235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4,738.00</w:t>
            </w:r>
          </w:p>
        </w:tc>
      </w:tr>
    </w:tbl>
    <w:p>
      <w:pPr>
        <w:pStyle w:val="3"/>
        <w:spacing w:line="560" w:lineRule="exact"/>
        <w:ind w:left="-424" w:leftChars="-187"/>
        <w:rPr>
          <w:rFonts w:asciiTheme="minorEastAsia" w:hAnsiTheme="minorEastAsia" w:eastAsiaTheme="minorEastAsia"/>
          <w:szCs w:val="28"/>
        </w:rPr>
      </w:pPr>
      <w:r>
        <w:rPr>
          <w:rFonts w:hint="eastAsia" w:asciiTheme="minorEastAsia" w:hAnsiTheme="minorEastAsia" w:eastAsiaTheme="minorEastAsia"/>
          <w:szCs w:val="28"/>
        </w:rPr>
        <w:t xml:space="preserve">    </w:t>
      </w:r>
      <w:bookmarkStart w:id="148" w:name="_Toc27799"/>
      <w:r>
        <w:rPr>
          <w:rFonts w:hint="eastAsia" w:asciiTheme="minorEastAsia" w:hAnsiTheme="minorEastAsia" w:eastAsiaTheme="minorEastAsia"/>
          <w:szCs w:val="28"/>
        </w:rPr>
        <w:t>（四）</w:t>
      </w:r>
      <w:r>
        <w:rPr>
          <w:rFonts w:hint="eastAsia" w:ascii="宋体" w:hAnsi="宋体"/>
          <w:sz w:val="28"/>
          <w:szCs w:val="28"/>
          <w:lang w:val="en-US" w:eastAsia="zh-CN"/>
        </w:rPr>
        <w:t>估价对象</w:t>
      </w:r>
      <w:r>
        <w:rPr>
          <w:rFonts w:hint="eastAsia" w:asciiTheme="minorEastAsia" w:hAnsiTheme="minorEastAsia" w:eastAsiaTheme="minorEastAsia"/>
          <w:szCs w:val="28"/>
        </w:rPr>
        <w:t>与可比实例详细情况详见下表：</w:t>
      </w:r>
      <w:bookmarkEnd w:id="148"/>
    </w:p>
    <w:tbl>
      <w:tblPr>
        <w:tblStyle w:val="21"/>
        <w:tblW w:w="9587"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14"/>
        <w:gridCol w:w="144"/>
        <w:gridCol w:w="270"/>
        <w:gridCol w:w="907"/>
        <w:gridCol w:w="2006"/>
        <w:gridCol w:w="1964"/>
        <w:gridCol w:w="1955"/>
        <w:gridCol w:w="1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7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估价对象</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可比实例一</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可比实例二</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可比实例三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735" w:type="dxa"/>
            <w:gridSpan w:val="4"/>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物业名称</w:t>
            </w:r>
          </w:p>
        </w:tc>
        <w:tc>
          <w:tcPr>
            <w:tcW w:w="2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兰桂小区</w:t>
            </w:r>
          </w:p>
        </w:tc>
        <w:tc>
          <w:tcPr>
            <w:tcW w:w="1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兰桂小区</w:t>
            </w:r>
          </w:p>
        </w:tc>
        <w:tc>
          <w:tcPr>
            <w:tcW w:w="1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兰桂小区</w:t>
            </w:r>
          </w:p>
        </w:tc>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凤凰花园一期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55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价格内涵</w:t>
            </w:r>
          </w:p>
        </w:tc>
        <w:tc>
          <w:tcPr>
            <w:tcW w:w="1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交易价格</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4,286.00</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4,776.00</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4,738.00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计价单位</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元/㎡(建筑面积)</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元/㎡(建筑面积)</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元/㎡(建筑面积)</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元/㎡(建筑面积)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付款方式</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一次性支付</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一次性支付</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一次性支付</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735"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交易情况</w:t>
            </w:r>
          </w:p>
        </w:tc>
        <w:tc>
          <w:tcPr>
            <w:tcW w:w="20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正常</w:t>
            </w:r>
          </w:p>
        </w:tc>
        <w:tc>
          <w:tcPr>
            <w:tcW w:w="19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正常</w:t>
            </w:r>
          </w:p>
        </w:tc>
        <w:tc>
          <w:tcPr>
            <w:tcW w:w="1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正常</w:t>
            </w:r>
          </w:p>
        </w:tc>
        <w:tc>
          <w:tcPr>
            <w:tcW w:w="19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73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735"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交易日期</w:t>
            </w:r>
          </w:p>
        </w:tc>
        <w:tc>
          <w:tcPr>
            <w:tcW w:w="20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2022年09月</w:t>
            </w:r>
          </w:p>
        </w:tc>
        <w:tc>
          <w:tcPr>
            <w:tcW w:w="19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2022年09月</w:t>
            </w:r>
          </w:p>
        </w:tc>
        <w:tc>
          <w:tcPr>
            <w:tcW w:w="1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2022年09月</w:t>
            </w:r>
          </w:p>
        </w:tc>
        <w:tc>
          <w:tcPr>
            <w:tcW w:w="19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2022年09月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73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区位状况</w:t>
            </w:r>
          </w:p>
        </w:tc>
        <w:tc>
          <w:tcPr>
            <w:tcW w:w="41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位置状况</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坐落及方位</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永胜县城中心</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永胜县城中心</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永胜县城中心</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永胜县城中心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与相关场所距离</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距县人民政府约0.8公里 </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距县人民政府约0.8公里 </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距县人民政府约0.8公里 </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距县人民政府约1.1公里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朝向</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东西</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东西</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东西</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总层数/所在层</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1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交通状况</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道路状况及交通管制</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区域内有凤鸣路、南华路等主干道，路网密度大，道路通达度较好。</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区域内有凤鸣路、南华路等主干道，路网密度大，道路通达度较好。</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区域内有凤鸣路、南华路等主干道，路网密度大，道路通达度较好。</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区域内有凤鸣路、南华路等主干道，路网密度大，道路通达度较好。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公交便捷度</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附近有9路公交车站及出租车通行通过，距客运站约0.7公里，对内外交通较便捷。</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附近有9路公交车站及出租车通行通过，距客运站约0.7公里，对内外交通较便捷。</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附近有9路公交车站及出租车通行通过，距客运站约0.7公里，对内外交通较便捷。</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附近有9路公交车站及出租车通行通过，距客运站约0.9公里，对内外交通较便捷。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trPr>
        <w:tc>
          <w:tcPr>
            <w:tcW w:w="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停车方便程度</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所在小区自备停车场，停车较方便。</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所在小区自备停车场，停车较方便。</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所在小区自备停车场，停车较方便。</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所在小区自备停车场，停车较方便。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周围环境和景观</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空气质量较好，绿化率较好，社会治安较好</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空气质量较好，绿化率较好，社会治安较好</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空气质量较好，绿化率较好，社会治安较好</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空气质量较好，绿化率较好，社会治安较好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1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外部配套设施</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城市基础设施</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城市基础设施配套完善，保障度较高</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城市基础设施配套完善，保障度较高</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城市基础设施配套完善，保障度较高</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城市基础设施配套完善，保障度较高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公共服务设施</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附近有永胜农村商业银行、富滇银行等营业网点；附近有凤鸣小学、永胜一中等学校；附近有永大医院、永胜县妇幼保健院等。</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附近有永胜农村商业银行、富滇银行等营业网点；附近有凤鸣小学、永胜一中等学校；附近有永大医院、永胜县妇幼保健院等。</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附近有永胜农村商业银行、富滇银行等营业网点；附近有凤鸣小学、永胜一中等学校；附近有永大医院、永胜县妇幼保健院等。</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附近有永胜农村商业银行、富滇银行等营业网点；附近有凤鸣小学、永胜一中等学校；附近有永大医院、永胜县妇幼保健院等。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实物状况</w:t>
            </w: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建筑结构</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混合</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混合</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混合</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混合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物业管理</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半封闭式管理方式</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半封闭式管理方式</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半封闭式管理方式</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半封闭式管理方式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装修状况</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普通装修</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毛坯</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普通装修</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普通装修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平面布局</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四室二厅一厨二卫，布局优</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五室二厅一厨二卫，布局较优</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四室二厅一厨二卫，布局优</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三室二厅一厨二卫，布局较优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通风及采光</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通风及采光较好</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通风及采光较好</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通风及采光较好</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通风及采光较好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维护保养情况</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正常维护</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未维护</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维护保养差  </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（有点漏雨）</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正常维护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建成时间(成新率)</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2011年(85%)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2011年(85%)</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2011年(85%)</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2010年(85%)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7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权益状况</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权益状况清晰</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权益状况清晰</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权益状况清晰</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权益状况清晰</w:t>
            </w:r>
          </w:p>
        </w:tc>
      </w:tr>
    </w:tbl>
    <w:p>
      <w:pPr>
        <w:pStyle w:val="3"/>
        <w:spacing w:line="560" w:lineRule="exact"/>
        <w:ind w:left="-424" w:leftChars="-187"/>
        <w:rPr>
          <w:rFonts w:asciiTheme="minorEastAsia" w:hAnsiTheme="minorEastAsia" w:eastAsiaTheme="minorEastAsia"/>
          <w:szCs w:val="28"/>
        </w:rPr>
      </w:pPr>
      <w:r>
        <w:rPr>
          <w:rFonts w:hint="eastAsia" w:asciiTheme="minorEastAsia" w:hAnsiTheme="minorEastAsia" w:eastAsiaTheme="minorEastAsia"/>
          <w:szCs w:val="28"/>
        </w:rPr>
        <w:t xml:space="preserve">    </w:t>
      </w:r>
      <w:bookmarkStart w:id="149" w:name="_Toc12432"/>
      <w:r>
        <w:rPr>
          <w:rFonts w:hint="eastAsia" w:asciiTheme="minorEastAsia" w:hAnsiTheme="minorEastAsia" w:eastAsiaTheme="minorEastAsia"/>
          <w:szCs w:val="28"/>
        </w:rPr>
        <w:t>（五）交易情况修正</w:t>
      </w:r>
      <w:bookmarkEnd w:id="149"/>
    </w:p>
    <w:p>
      <w:pPr>
        <w:pStyle w:val="3"/>
        <w:spacing w:line="580" w:lineRule="exact"/>
        <w:ind w:left="0" w:leftChars="-187" w:hanging="424" w:hangingChars="143"/>
        <w:rPr>
          <w:rFonts w:asciiTheme="minorEastAsia" w:hAnsiTheme="minorEastAsia" w:eastAsiaTheme="minorEastAsia"/>
          <w:szCs w:val="28"/>
        </w:rPr>
      </w:pPr>
      <w:r>
        <w:rPr>
          <w:rFonts w:hint="eastAsia" w:asciiTheme="minorEastAsia" w:hAnsiTheme="minorEastAsia" w:eastAsiaTheme="minorEastAsia"/>
          <w:szCs w:val="28"/>
        </w:rPr>
        <w:t xml:space="preserve">       </w:t>
      </w:r>
      <w:bookmarkStart w:id="150" w:name="_Toc30557"/>
      <w:r>
        <w:rPr>
          <w:rFonts w:hint="eastAsia" w:ascii="宋体" w:hAnsi="宋体"/>
          <w:sz w:val="28"/>
          <w:szCs w:val="28"/>
          <w:lang w:val="en-US" w:eastAsia="zh-CN"/>
        </w:rPr>
        <w:t>估价对象</w:t>
      </w:r>
      <w:r>
        <w:rPr>
          <w:rFonts w:hint="eastAsia" w:asciiTheme="minorEastAsia" w:hAnsiTheme="minorEastAsia" w:eastAsiaTheme="minorEastAsia"/>
          <w:szCs w:val="28"/>
        </w:rPr>
        <w:t>与所选取的三个可比实例均为正常交易，无需修正，故交易情况修正系数均为100/100。</w:t>
      </w:r>
      <w:bookmarkEnd w:id="150"/>
    </w:p>
    <w:p>
      <w:pPr>
        <w:pStyle w:val="3"/>
        <w:numPr>
          <w:ilvl w:val="0"/>
          <w:numId w:val="1"/>
        </w:numPr>
        <w:spacing w:line="580" w:lineRule="exact"/>
        <w:ind w:left="170" w:leftChars="0" w:firstLine="0" w:firstLineChars="0"/>
        <w:rPr>
          <w:rFonts w:hint="eastAsia" w:asciiTheme="minorEastAsia" w:hAnsiTheme="minorEastAsia" w:eastAsiaTheme="minorEastAsia"/>
          <w:szCs w:val="28"/>
        </w:rPr>
      </w:pPr>
      <w:bookmarkStart w:id="151" w:name="_Toc8446"/>
      <w:r>
        <w:rPr>
          <w:rFonts w:hint="eastAsia" w:asciiTheme="minorEastAsia" w:hAnsiTheme="minorEastAsia" w:eastAsiaTheme="minorEastAsia"/>
          <w:szCs w:val="28"/>
        </w:rPr>
        <w:t>进行市场状况调整（交易日期修正）</w:t>
      </w:r>
      <w:bookmarkEnd w:id="151"/>
    </w:p>
    <w:p>
      <w:pPr>
        <w:pStyle w:val="3"/>
        <w:spacing w:line="580" w:lineRule="exact"/>
        <w:ind w:left="0" w:leftChars="-187" w:hanging="424" w:hangingChars="143"/>
        <w:rPr>
          <w:rFonts w:hint="eastAsia" w:asciiTheme="minorEastAsia" w:hAnsiTheme="minorEastAsia" w:eastAsiaTheme="minorEastAsia"/>
          <w:szCs w:val="28"/>
        </w:rPr>
      </w:pPr>
      <w:r>
        <w:rPr>
          <w:rFonts w:hint="eastAsia" w:asciiTheme="minorEastAsia" w:hAnsiTheme="minorEastAsia" w:eastAsiaTheme="minorEastAsia"/>
          <w:szCs w:val="28"/>
        </w:rPr>
        <w:t xml:space="preserve">       </w:t>
      </w:r>
      <w:r>
        <w:rPr>
          <w:rFonts w:hint="eastAsia" w:ascii="宋体" w:hAnsi="宋体"/>
          <w:sz w:val="28"/>
          <w:szCs w:val="28"/>
          <w:lang w:val="en-US" w:eastAsia="zh-CN"/>
        </w:rPr>
        <w:t>估价对象</w:t>
      </w:r>
      <w:r>
        <w:rPr>
          <w:rFonts w:hint="eastAsia" w:asciiTheme="minorEastAsia" w:hAnsiTheme="minorEastAsia" w:eastAsiaTheme="minorEastAsia"/>
          <w:szCs w:val="28"/>
        </w:rPr>
        <w:t>与所选取的三个可比实例均为</w:t>
      </w:r>
      <w:r>
        <w:rPr>
          <w:rFonts w:hint="eastAsia" w:asciiTheme="minorEastAsia" w:hAnsiTheme="minorEastAsia" w:eastAsiaTheme="minorEastAsia"/>
          <w:szCs w:val="28"/>
          <w:lang w:val="en-US" w:eastAsia="zh-CN"/>
        </w:rPr>
        <w:t>2022年9月进行交易</w:t>
      </w:r>
      <w:r>
        <w:rPr>
          <w:rFonts w:hint="eastAsia" w:asciiTheme="minorEastAsia" w:hAnsiTheme="minorEastAsia" w:eastAsiaTheme="minorEastAsia"/>
          <w:szCs w:val="28"/>
        </w:rPr>
        <w:t>，无需修正，故交易情况修正系数均为100/100。</w:t>
      </w:r>
    </w:p>
    <w:p>
      <w:pPr>
        <w:pStyle w:val="3"/>
        <w:spacing w:line="580" w:lineRule="exact"/>
        <w:ind w:left="-424" w:leftChars="-187"/>
        <w:rPr>
          <w:rFonts w:asciiTheme="minorEastAsia" w:hAnsiTheme="minorEastAsia" w:eastAsiaTheme="minorEastAsia"/>
          <w:szCs w:val="28"/>
        </w:rPr>
      </w:pPr>
      <w:r>
        <w:rPr>
          <w:rFonts w:hint="eastAsia" w:asciiTheme="minorEastAsia" w:hAnsiTheme="minorEastAsia" w:eastAsiaTheme="minorEastAsia"/>
          <w:szCs w:val="28"/>
        </w:rPr>
        <w:t xml:space="preserve">    </w:t>
      </w:r>
      <w:bookmarkStart w:id="152" w:name="_Toc17080"/>
      <w:r>
        <w:rPr>
          <w:rFonts w:hint="eastAsia" w:asciiTheme="minorEastAsia" w:hAnsiTheme="minorEastAsia" w:eastAsiaTheme="minorEastAsia"/>
          <w:szCs w:val="28"/>
        </w:rPr>
        <w:t>（七）房地产状况调整</w:t>
      </w:r>
      <w:bookmarkEnd w:id="152"/>
    </w:p>
    <w:p>
      <w:pPr>
        <w:pStyle w:val="3"/>
        <w:spacing w:line="580" w:lineRule="exact"/>
        <w:ind w:left="0" w:leftChars="-187" w:hanging="424" w:hangingChars="143"/>
        <w:rPr>
          <w:rFonts w:asciiTheme="minorEastAsia" w:hAnsiTheme="minorEastAsia" w:eastAsiaTheme="minorEastAsia"/>
          <w:szCs w:val="28"/>
        </w:rPr>
      </w:pPr>
      <w:r>
        <w:rPr>
          <w:rFonts w:hint="eastAsia" w:asciiTheme="minorEastAsia" w:hAnsiTheme="minorEastAsia" w:eastAsiaTheme="minorEastAsia"/>
          <w:szCs w:val="28"/>
        </w:rPr>
        <w:t xml:space="preserve">       </w:t>
      </w:r>
      <w:bookmarkStart w:id="153" w:name="_Toc25938"/>
      <w:r>
        <w:rPr>
          <w:rFonts w:hint="eastAsia" w:asciiTheme="minorEastAsia" w:hAnsiTheme="minorEastAsia" w:eastAsiaTheme="minorEastAsia"/>
          <w:szCs w:val="28"/>
        </w:rPr>
        <w:t>房地产状况调整分为区位状况调整、实物状况调整和权益状况调整。</w:t>
      </w:r>
      <w:bookmarkEnd w:id="153"/>
    </w:p>
    <w:p>
      <w:pPr>
        <w:pStyle w:val="3"/>
        <w:spacing w:line="580" w:lineRule="exact"/>
        <w:ind w:left="0"/>
        <w:rPr>
          <w:rFonts w:asciiTheme="minorEastAsia" w:hAnsiTheme="minorEastAsia" w:eastAsiaTheme="minorEastAsia"/>
          <w:szCs w:val="28"/>
        </w:rPr>
      </w:pPr>
      <w:bookmarkStart w:id="154" w:name="_Toc28039"/>
      <w:r>
        <w:rPr>
          <w:rFonts w:hint="eastAsia" w:asciiTheme="minorEastAsia" w:hAnsiTheme="minorEastAsia" w:eastAsiaTheme="minorEastAsia"/>
          <w:szCs w:val="28"/>
        </w:rPr>
        <w:t>影响住宅用房价格的区位状况有位置状况、交通状况、周围环境和景观、外部配套设施等；实物状况有建筑结构、物业管理、装修状况、平面布局、通风及采光、维护保养状况、建成时间（新旧程度）等、权益状况有土地使用权年限、城市规划限制条件（容积率）等。</w:t>
      </w:r>
      <w:bookmarkEnd w:id="154"/>
    </w:p>
    <w:p>
      <w:pPr>
        <w:pStyle w:val="3"/>
        <w:spacing w:line="580" w:lineRule="exact"/>
        <w:ind w:left="0"/>
        <w:rPr>
          <w:rFonts w:asciiTheme="minorEastAsia" w:hAnsiTheme="minorEastAsia" w:eastAsiaTheme="minorEastAsia"/>
          <w:szCs w:val="28"/>
        </w:rPr>
      </w:pPr>
      <w:r>
        <w:rPr>
          <w:rFonts w:hint="eastAsia" w:asciiTheme="minorEastAsia" w:hAnsiTheme="minorEastAsia" w:eastAsiaTheme="minorEastAsia"/>
          <w:szCs w:val="28"/>
        </w:rPr>
        <w:t xml:space="preserve">    </w:t>
      </w:r>
      <w:bookmarkStart w:id="155" w:name="_Toc21389"/>
      <w:r>
        <w:rPr>
          <w:rFonts w:hint="eastAsia" w:asciiTheme="minorEastAsia" w:hAnsiTheme="minorEastAsia" w:eastAsiaTheme="minorEastAsia"/>
          <w:szCs w:val="28"/>
        </w:rPr>
        <w:t>根据我公司对区域影响住宅房地产的房地产状况调查，以</w:t>
      </w:r>
      <w:r>
        <w:rPr>
          <w:rFonts w:hint="eastAsia" w:ascii="宋体" w:hAnsi="宋体"/>
          <w:sz w:val="28"/>
          <w:szCs w:val="28"/>
          <w:lang w:val="en-US" w:eastAsia="zh-CN"/>
        </w:rPr>
        <w:t>估价对象</w:t>
      </w:r>
      <w:r>
        <w:rPr>
          <w:rFonts w:hint="eastAsia" w:asciiTheme="minorEastAsia" w:hAnsiTheme="minorEastAsia" w:eastAsiaTheme="minorEastAsia"/>
          <w:szCs w:val="28"/>
        </w:rPr>
        <w:t>状况为基准（每种因素的分数定为100分），将可比实例状况与估价对象状况逐个因素进行比较评分，当可比实例状况好于估价对象状况时，分数高于100分，反之，所得分数低于100分。再将所得分数转化为调整价格的比率。</w:t>
      </w:r>
      <w:bookmarkEnd w:id="155"/>
    </w:p>
    <w:p>
      <w:pPr>
        <w:pStyle w:val="4"/>
        <w:snapToGrid w:val="0"/>
        <w:spacing w:line="560" w:lineRule="exact"/>
        <w:ind w:left="227" w:right="227"/>
      </w:pPr>
      <w:bookmarkStart w:id="156" w:name="_Toc31100"/>
      <w:r>
        <w:rPr>
          <w:rFonts w:hint="eastAsia"/>
        </w:rPr>
        <w:t>（八）楼层系数修正</w:t>
      </w:r>
      <w:bookmarkEnd w:id="156"/>
    </w:p>
    <w:p>
      <w:pPr>
        <w:pStyle w:val="4"/>
        <w:snapToGrid w:val="0"/>
        <w:spacing w:line="560" w:lineRule="exact"/>
        <w:ind w:left="227" w:right="227"/>
        <w:rPr>
          <w:sz w:val="28"/>
          <w:szCs w:val="28"/>
        </w:rPr>
      </w:pPr>
      <w:bookmarkStart w:id="157" w:name="_Toc17365"/>
      <w:r>
        <w:rPr>
          <w:rFonts w:hint="eastAsia"/>
        </w:rPr>
        <w:t>本次修正基数以</w:t>
      </w:r>
      <w:r>
        <w:rPr>
          <w:rFonts w:hint="eastAsia"/>
          <w:lang w:val="en-US" w:eastAsia="zh-CN"/>
        </w:rPr>
        <w:t>估价对象</w:t>
      </w:r>
      <w:r>
        <w:rPr>
          <w:rFonts w:hint="eastAsia"/>
        </w:rPr>
        <w:t>所在的</w:t>
      </w:r>
      <w:r>
        <w:rPr>
          <w:rFonts w:hint="eastAsia"/>
          <w:lang w:val="en-US" w:eastAsia="zh-CN"/>
        </w:rPr>
        <w:t>1</w:t>
      </w:r>
      <w:r>
        <w:rPr>
          <w:rFonts w:hint="eastAsia"/>
        </w:rPr>
        <w:t>层为标准</w:t>
      </w:r>
      <w:bookmarkEnd w:id="157"/>
      <w:r>
        <w:rPr>
          <w:rFonts w:hint="eastAsia"/>
          <w:lang w:eastAsia="zh-CN"/>
        </w:rPr>
        <w:t>，经过估价人员周边区域市场调查，确定</w:t>
      </w:r>
      <w:r>
        <w:rPr>
          <w:rFonts w:hint="eastAsia"/>
          <w:sz w:val="28"/>
          <w:szCs w:val="28"/>
          <w:lang w:eastAsia="zh-CN"/>
        </w:rPr>
        <w:t>楼层</w:t>
      </w:r>
      <w:r>
        <w:rPr>
          <w:rFonts w:hint="eastAsia"/>
          <w:sz w:val="28"/>
          <w:szCs w:val="28"/>
        </w:rPr>
        <w:t>因素修正系数表</w:t>
      </w:r>
      <w:r>
        <w:rPr>
          <w:rFonts w:hint="eastAsia"/>
          <w:sz w:val="28"/>
          <w:szCs w:val="28"/>
          <w:lang w:eastAsia="zh-CN"/>
        </w:rPr>
        <w:t>如下</w:t>
      </w:r>
      <w:r>
        <w:rPr>
          <w:rFonts w:hint="eastAsia"/>
          <w:sz w:val="28"/>
          <w:szCs w:val="28"/>
        </w:rPr>
        <w:t>：</w:t>
      </w:r>
    </w:p>
    <w:tbl>
      <w:tblPr>
        <w:tblStyle w:val="21"/>
        <w:tblW w:w="9592"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61"/>
        <w:gridCol w:w="1639"/>
        <w:gridCol w:w="1758"/>
        <w:gridCol w:w="1608"/>
        <w:gridCol w:w="1827"/>
        <w:gridCol w:w="18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86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层次</w:t>
            </w:r>
          </w:p>
        </w:tc>
        <w:tc>
          <w:tcPr>
            <w:tcW w:w="1639"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w:t>
            </w:r>
            <w:r>
              <w:rPr>
                <w:rFonts w:hint="eastAsia" w:ascii="宋体" w:hAnsi="宋体" w:cs="宋体"/>
                <w:i w:val="0"/>
                <w:iCs w:val="0"/>
                <w:color w:val="000000"/>
                <w:kern w:val="0"/>
                <w:sz w:val="18"/>
                <w:szCs w:val="18"/>
                <w:u w:val="none"/>
                <w:lang w:val="en-US" w:eastAsia="zh-CN" w:bidi="ar"/>
              </w:rPr>
              <w:t>层</w:t>
            </w:r>
          </w:p>
        </w:tc>
        <w:tc>
          <w:tcPr>
            <w:tcW w:w="1758"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2层</w:t>
            </w:r>
          </w:p>
        </w:tc>
        <w:tc>
          <w:tcPr>
            <w:tcW w:w="1608"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3层</w:t>
            </w:r>
          </w:p>
        </w:tc>
        <w:tc>
          <w:tcPr>
            <w:tcW w:w="1827"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4层</w:t>
            </w:r>
          </w:p>
        </w:tc>
        <w:tc>
          <w:tcPr>
            <w:tcW w:w="1899"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5</w:t>
            </w:r>
            <w:r>
              <w:rPr>
                <w:rFonts w:hint="eastAsia" w:ascii="宋体" w:hAnsi="宋体" w:eastAsia="宋体" w:cs="宋体"/>
                <w:i w:val="0"/>
                <w:iCs w:val="0"/>
                <w:color w:val="000000"/>
                <w:kern w:val="0"/>
                <w:sz w:val="18"/>
                <w:szCs w:val="18"/>
                <w:u w:val="none"/>
                <w:lang w:val="en-US" w:eastAsia="zh-CN" w:bidi="ar"/>
              </w:rPr>
              <w:t>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86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系数</w:t>
            </w:r>
          </w:p>
        </w:tc>
        <w:tc>
          <w:tcPr>
            <w:tcW w:w="163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100</w:t>
            </w:r>
          </w:p>
        </w:tc>
        <w:tc>
          <w:tcPr>
            <w:tcW w:w="175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101</w:t>
            </w:r>
          </w:p>
        </w:tc>
        <w:tc>
          <w:tcPr>
            <w:tcW w:w="160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102</w:t>
            </w:r>
          </w:p>
        </w:tc>
        <w:tc>
          <w:tcPr>
            <w:tcW w:w="1827"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101</w:t>
            </w:r>
          </w:p>
        </w:tc>
        <w:tc>
          <w:tcPr>
            <w:tcW w:w="1899"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bl>
    <w:p>
      <w:pPr>
        <w:rPr>
          <w:sz w:val="28"/>
          <w:szCs w:val="28"/>
        </w:rPr>
      </w:pPr>
      <w:r>
        <w:rPr>
          <w:rFonts w:hint="eastAsia" w:asciiTheme="minorEastAsia" w:hAnsiTheme="minorEastAsia" w:eastAsiaTheme="minorEastAsia"/>
          <w:bCs/>
          <w:szCs w:val="28"/>
        </w:rPr>
        <w:t xml:space="preserve">  </w:t>
      </w:r>
      <w:r>
        <w:rPr>
          <w:rFonts w:hint="eastAsia"/>
          <w:sz w:val="28"/>
          <w:szCs w:val="28"/>
        </w:rPr>
        <w:t>（九）平面布局修正</w:t>
      </w:r>
    </w:p>
    <w:p>
      <w:pPr>
        <w:rPr>
          <w:sz w:val="28"/>
          <w:szCs w:val="28"/>
        </w:rPr>
      </w:pPr>
      <w:r>
        <w:rPr>
          <w:rFonts w:hint="eastAsia"/>
          <w:sz w:val="28"/>
          <w:szCs w:val="28"/>
        </w:rPr>
        <w:t xml:space="preserve">    将平面布局状况分为优、较优、一般、 较劣、劣五个级别，以估价对象平面布局系数为100，将可比实例与估价对象相比，每上升或下降一个级别，则系数增加或减小</w:t>
      </w:r>
      <w:r>
        <w:rPr>
          <w:rFonts w:hint="eastAsia"/>
          <w:sz w:val="28"/>
          <w:szCs w:val="28"/>
          <w:lang w:val="en-US" w:eastAsia="zh-CN"/>
        </w:rPr>
        <w:t>2</w:t>
      </w:r>
      <w:r>
        <w:rPr>
          <w:rFonts w:hint="eastAsia"/>
          <w:sz w:val="28"/>
          <w:szCs w:val="28"/>
        </w:rPr>
        <w:t>。</w:t>
      </w:r>
    </w:p>
    <w:p>
      <w:pPr>
        <w:rPr>
          <w:sz w:val="28"/>
          <w:szCs w:val="28"/>
        </w:rPr>
      </w:pPr>
      <w:r>
        <w:rPr>
          <w:rFonts w:hint="eastAsia"/>
          <w:sz w:val="28"/>
          <w:szCs w:val="28"/>
        </w:rPr>
        <w:t xml:space="preserve"> （十）装修状况修正</w:t>
      </w:r>
    </w:p>
    <w:p>
      <w:pPr>
        <w:rPr>
          <w:sz w:val="28"/>
          <w:szCs w:val="28"/>
        </w:rPr>
      </w:pPr>
      <w:r>
        <w:rPr>
          <w:rFonts w:hint="eastAsia"/>
          <w:sz w:val="28"/>
          <w:szCs w:val="28"/>
        </w:rPr>
        <w:t xml:space="preserve">    将装饰装修状况分为</w:t>
      </w:r>
      <w:r>
        <w:rPr>
          <w:rFonts w:hint="eastAsia"/>
          <w:sz w:val="28"/>
          <w:szCs w:val="28"/>
          <w:lang w:val="en-US" w:eastAsia="zh-CN"/>
        </w:rPr>
        <w:t>毛坯</w:t>
      </w:r>
      <w:r>
        <w:rPr>
          <w:rFonts w:hint="eastAsia"/>
          <w:sz w:val="28"/>
          <w:szCs w:val="28"/>
        </w:rPr>
        <w:t>、简单装修、普通装修、精装修、豪华装修五个级别，估价对象平面布局系数为100，将可比实例与估价对象相比，每上升或下降一个级别，则系数增加或减小2。</w:t>
      </w:r>
    </w:p>
    <w:p>
      <w:pPr>
        <w:pStyle w:val="3"/>
        <w:spacing w:line="580" w:lineRule="exact"/>
        <w:ind w:left="-424" w:leftChars="-187"/>
        <w:rPr>
          <w:rFonts w:asciiTheme="minorEastAsia" w:hAnsiTheme="minorEastAsia" w:eastAsiaTheme="minorEastAsia"/>
          <w:szCs w:val="28"/>
        </w:rPr>
      </w:pPr>
      <w:r>
        <w:rPr>
          <w:rFonts w:hint="eastAsia" w:asciiTheme="minorEastAsia" w:hAnsiTheme="minorEastAsia" w:eastAsiaTheme="minorEastAsia"/>
          <w:bCs/>
          <w:szCs w:val="28"/>
        </w:rPr>
        <w:t xml:space="preserve">    </w:t>
      </w:r>
      <w:bookmarkStart w:id="158" w:name="_Toc9161"/>
      <w:r>
        <w:rPr>
          <w:rFonts w:hint="eastAsia" w:asciiTheme="minorEastAsia" w:hAnsiTheme="minorEastAsia" w:eastAsiaTheme="minorEastAsia"/>
          <w:bCs/>
          <w:szCs w:val="28"/>
        </w:rPr>
        <w:t>（十一）</w:t>
      </w:r>
      <w:r>
        <w:rPr>
          <w:rFonts w:hint="eastAsia" w:asciiTheme="minorEastAsia" w:hAnsiTheme="minorEastAsia" w:eastAsiaTheme="minorEastAsia"/>
          <w:szCs w:val="28"/>
        </w:rPr>
        <w:t>房地产状况各影响因素比较评分表：</w:t>
      </w:r>
      <w:bookmarkEnd w:id="158"/>
    </w:p>
    <w:tbl>
      <w:tblPr>
        <w:tblStyle w:val="21"/>
        <w:tblW w:w="84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14"/>
        <w:gridCol w:w="558"/>
        <w:gridCol w:w="268"/>
        <w:gridCol w:w="1736"/>
        <w:gridCol w:w="635"/>
        <w:gridCol w:w="701"/>
        <w:gridCol w:w="660"/>
        <w:gridCol w:w="701"/>
        <w:gridCol w:w="724"/>
        <w:gridCol w:w="701"/>
        <w:gridCol w:w="648"/>
        <w:gridCol w:w="7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65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基准房</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可比实例一</w:t>
            </w: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可比实例二</w:t>
            </w:r>
          </w:p>
        </w:tc>
        <w:tc>
          <w:tcPr>
            <w:tcW w:w="14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可比实例三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65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比较</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评分</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比较</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评分</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比较</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评分</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比较</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656"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交易情况修正系数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相似</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相似</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相似</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656"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市场状况调整系数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相似</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相似</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相似</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区位状况</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位置状况</w:t>
            </w:r>
          </w:p>
        </w:tc>
        <w:tc>
          <w:tcPr>
            <w:tcW w:w="17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坐落及方位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相似</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相似</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相似</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与相关场所距离</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相似</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相似</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差于</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朝向</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相似</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相似</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相似</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所在楼层</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相似</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相似</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好于</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交通状况</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道路状况及交通管制</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相似</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相似</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相似</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公交便捷度</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相似</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相似</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相似</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停车方便程度</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相似</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相似</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相似</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周围环境和景观</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相似</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相似</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相似</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外部配套设施</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城市基础设施</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相似</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相似</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相似</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公共服务设施</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相似</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相似</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相似</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实物状况</w:t>
            </w:r>
          </w:p>
        </w:tc>
        <w:tc>
          <w:tcPr>
            <w:tcW w:w="22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建筑结构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相似</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相似</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相似</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物业管理</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相似</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相似</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相似</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装修状况</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差于</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相似</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好于</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平面布局</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差于</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相似</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差于</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通风及采光</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相似</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相似</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相似</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维护保养情况</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差于</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差于</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相似</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建成时间(成新率)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相似</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相似</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相似</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65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权益状况</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相似</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相似</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相似</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bl>
    <w:p>
      <w:pPr>
        <w:pStyle w:val="3"/>
        <w:spacing w:line="580" w:lineRule="exact"/>
        <w:ind w:left="-424" w:leftChars="-187"/>
        <w:rPr>
          <w:rFonts w:asciiTheme="minorEastAsia" w:hAnsiTheme="minorEastAsia" w:eastAsiaTheme="minorEastAsia"/>
          <w:szCs w:val="28"/>
        </w:rPr>
      </w:pPr>
      <w:r>
        <w:rPr>
          <w:rFonts w:hint="eastAsia" w:asciiTheme="minorEastAsia" w:hAnsiTheme="minorEastAsia" w:eastAsiaTheme="minorEastAsia"/>
          <w:szCs w:val="28"/>
        </w:rPr>
        <w:t xml:space="preserve">    </w:t>
      </w:r>
      <w:bookmarkStart w:id="159" w:name="_Toc11427"/>
      <w:r>
        <w:rPr>
          <w:rFonts w:hint="eastAsia" w:asciiTheme="minorEastAsia" w:hAnsiTheme="minorEastAsia" w:eastAsiaTheme="minorEastAsia"/>
          <w:szCs w:val="28"/>
        </w:rPr>
        <w:t>（十二）比较价值计算</w:t>
      </w:r>
      <w:bookmarkEnd w:id="159"/>
    </w:p>
    <w:p>
      <w:pPr>
        <w:pStyle w:val="3"/>
        <w:spacing w:line="560" w:lineRule="exact"/>
        <w:ind w:left="0" w:firstLine="594"/>
        <w:rPr>
          <w:rFonts w:hint="eastAsia" w:ascii="宋体" w:hAnsi="宋体" w:cs="宋体"/>
          <w:szCs w:val="28"/>
        </w:rPr>
      </w:pPr>
      <w:bookmarkStart w:id="160" w:name="_Toc9953"/>
      <w:r>
        <w:rPr>
          <w:rFonts w:hint="eastAsia" w:asciiTheme="minorEastAsia" w:hAnsiTheme="minorEastAsia" w:eastAsiaTheme="minorEastAsia"/>
          <w:szCs w:val="28"/>
        </w:rPr>
        <w:t>通过上述影响住宅类房地产的因素比较，我们建立了交易情况、市场状况、房地产状况等的修正体系表，采用调整系数连乘公式计算比较价值</w:t>
      </w:r>
      <w:r>
        <w:rPr>
          <w:rFonts w:hint="eastAsia" w:ascii="宋体" w:hAnsi="宋体" w:cs="宋体"/>
          <w:szCs w:val="28"/>
        </w:rPr>
        <w:t>，然后采用算术平均法测算出估价结果。</w:t>
      </w:r>
      <w:bookmarkEnd w:id="160"/>
    </w:p>
    <w:p>
      <w:pPr>
        <w:pStyle w:val="3"/>
        <w:spacing w:line="560" w:lineRule="exact"/>
        <w:rPr>
          <w:rFonts w:hint="eastAsia" w:asciiTheme="minorEastAsia" w:hAnsiTheme="minorEastAsia" w:eastAsiaTheme="minorEastAsia"/>
          <w:szCs w:val="28"/>
          <w:lang w:val="en-US" w:eastAsia="zh-CN"/>
        </w:rPr>
      </w:pPr>
      <w:r>
        <w:rPr>
          <w:rFonts w:hint="eastAsia" w:asciiTheme="minorEastAsia" w:hAnsiTheme="minorEastAsia" w:eastAsiaTheme="minorEastAsia"/>
          <w:szCs w:val="28"/>
          <w:lang w:val="en-US" w:eastAsia="zh-CN"/>
        </w:rPr>
        <w:t>比准价值=可比实例成交价格×交易情况修正系数×市场状况修正系数×区位状况修正系数×实物状况修正系数×权益状况修正系数</w:t>
      </w:r>
    </w:p>
    <w:p>
      <w:pPr>
        <w:pStyle w:val="3"/>
        <w:spacing w:line="560" w:lineRule="exact"/>
        <w:ind w:left="0"/>
        <w:jc w:val="center"/>
      </w:pPr>
      <w:bookmarkStart w:id="161" w:name="_Toc3318"/>
      <w:r>
        <w:rPr>
          <w:rFonts w:hint="eastAsia" w:asciiTheme="minorEastAsia" w:hAnsiTheme="minorEastAsia" w:eastAsiaTheme="minorEastAsia"/>
          <w:szCs w:val="28"/>
        </w:rPr>
        <w:t>比较价值计算表：</w:t>
      </w:r>
      <w:bookmarkEnd w:id="161"/>
    </w:p>
    <w:tbl>
      <w:tblPr>
        <w:tblStyle w:val="21"/>
        <w:tblW w:w="846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8"/>
        <w:gridCol w:w="631"/>
        <w:gridCol w:w="505"/>
        <w:gridCol w:w="1381"/>
        <w:gridCol w:w="1796"/>
        <w:gridCol w:w="1655"/>
        <w:gridCol w:w="19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30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可比实例一</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可比实例二</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可比实例三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交易价格(元/㎡)</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4,286.00</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4,776.00</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4,738.00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统一可比基础后价格（元/㎡）</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4,286.00</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4,776.00</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4,738.00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30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交易情况修正系数</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30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市场状况调整系数</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区位状况修正系数</w:t>
            </w: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位置状况</w:t>
            </w:r>
          </w:p>
        </w:tc>
        <w:tc>
          <w:tcPr>
            <w:tcW w:w="18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坐落及方位</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与相关场所距离</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朝向</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所在楼层</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交通状况</w:t>
            </w:r>
          </w:p>
        </w:tc>
        <w:tc>
          <w:tcPr>
            <w:tcW w:w="18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道路状况及交通管制</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公交便捷度</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停车方便程度</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周围环境和景观</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3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外部配套设施</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城市基础设施</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公共服务设施</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实物状况</w:t>
            </w:r>
          </w:p>
        </w:tc>
        <w:tc>
          <w:tcPr>
            <w:tcW w:w="25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建筑结构</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物业管理</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装修状况</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1.0417</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平面布局</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1.0204</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通风及采光</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维护保养情况</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1.0204</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1.0526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建成时间(成新率)</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0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权益状况修正系数</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0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修正后单价（元/㎡）</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4,649.00</w:t>
            </w:r>
          </w:p>
        </w:tc>
        <w:tc>
          <w:tcPr>
            <w:tcW w:w="1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5,027.00</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4,884.00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0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比较价值单价（元/㎡）</w:t>
            </w:r>
          </w:p>
        </w:tc>
        <w:tc>
          <w:tcPr>
            <w:tcW w:w="54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4,853.00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0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建筑面积（㎡）</w:t>
            </w:r>
          </w:p>
        </w:tc>
        <w:tc>
          <w:tcPr>
            <w:tcW w:w="54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131.33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0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评估总价（元）</w:t>
            </w:r>
          </w:p>
        </w:tc>
        <w:tc>
          <w:tcPr>
            <w:tcW w:w="54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637,344.00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846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由于三个可比实例与估价对象在同一区域范围内，且三个可比实例价格均为正常市场价值，通过上述三个可比实例进行比较修正后获得的比较价值，其结果具有较高的可信度，较为客观地反映了估价对象的真实价值。三个比较价值相差不大，且在合理范围内，故取三个可比实例的比较价值的算术平均值求取估价对象市场价值。</w:t>
            </w:r>
          </w:p>
        </w:tc>
      </w:tr>
    </w:tbl>
    <w:p>
      <w:pPr>
        <w:spacing w:line="520" w:lineRule="exact"/>
        <w:ind w:left="-424" w:leftChars="-187"/>
        <w:rPr>
          <w:rFonts w:ascii="宋体" w:hAnsi="宋体" w:cs="仿宋_GB2312"/>
          <w:sz w:val="28"/>
          <w:szCs w:val="28"/>
        </w:rPr>
      </w:pPr>
      <w:r>
        <w:rPr>
          <w:rFonts w:hint="eastAsia" w:ascii="宋体" w:hAnsi="宋体" w:cs="仿宋_GB2312"/>
          <w:sz w:val="28"/>
          <w:szCs w:val="28"/>
        </w:rPr>
        <w:t xml:space="preserve">  六、估价结果确定</w:t>
      </w:r>
      <w:bookmarkEnd w:id="138"/>
      <w:bookmarkEnd w:id="139"/>
      <w:bookmarkEnd w:id="140"/>
      <w:bookmarkEnd w:id="141"/>
      <w:bookmarkEnd w:id="142"/>
    </w:p>
    <w:p>
      <w:pPr>
        <w:spacing w:line="600" w:lineRule="exact"/>
        <w:ind w:right="122" w:rightChars="54" w:firstLine="564" w:firstLineChars="190"/>
        <w:textAlignment w:val="center"/>
        <w:rPr>
          <w:rFonts w:ascii="宋体" w:hAnsi="宋体" w:cs="宋体"/>
          <w:color w:val="auto"/>
          <w:sz w:val="28"/>
          <w:szCs w:val="28"/>
        </w:rPr>
      </w:pPr>
      <w:r>
        <w:rPr>
          <w:rFonts w:hint="eastAsia" w:ascii="宋体" w:hAnsi="宋体" w:cs="仿宋_GB2312"/>
          <w:color w:val="auto"/>
          <w:sz w:val="28"/>
          <w:szCs w:val="28"/>
        </w:rPr>
        <w:t>本公司依据《房地产估价规范》，遵守各项估价原则，</w:t>
      </w:r>
      <w:r>
        <w:rPr>
          <w:rFonts w:hint="eastAsia" w:ascii="宋体" w:hAnsi="宋体" w:cs="仿宋_GB2312"/>
          <w:color w:val="auto"/>
          <w:spacing w:val="11"/>
          <w:sz w:val="28"/>
          <w:szCs w:val="28"/>
        </w:rPr>
        <w:t>运用科学的估价方法，以进行现场查勘的</w:t>
      </w:r>
      <w:r>
        <w:rPr>
          <w:rFonts w:hint="eastAsia" w:ascii="宋体" w:hAnsi="宋体" w:cs="仿宋_GB2312"/>
          <w:color w:val="auto"/>
          <w:sz w:val="28"/>
          <w:szCs w:val="28"/>
          <w:lang w:eastAsia="zh-CN"/>
        </w:rPr>
        <w:t>2022年09月21日</w:t>
      </w:r>
      <w:r>
        <w:rPr>
          <w:rFonts w:hint="eastAsia" w:ascii="宋体" w:hAnsi="宋体" w:cs="仿宋_GB2312"/>
          <w:color w:val="auto"/>
          <w:sz w:val="28"/>
          <w:szCs w:val="28"/>
        </w:rPr>
        <w:t>为价值时点</w:t>
      </w:r>
      <w:r>
        <w:rPr>
          <w:rFonts w:hint="eastAsia" w:ascii="宋体" w:hAnsi="宋体" w:cs="仿宋_GB2312"/>
          <w:color w:val="auto"/>
          <w:spacing w:val="11"/>
          <w:sz w:val="28"/>
          <w:szCs w:val="28"/>
        </w:rPr>
        <w:t>，确定估价对象在满足本次估价的全部假设和限制条件下的结果为：</w:t>
      </w:r>
      <w:r>
        <w:rPr>
          <w:rFonts w:hint="eastAsia" w:ascii="宋体" w:hAnsi="宋体" w:cs="宋体"/>
          <w:color w:val="auto"/>
          <w:sz w:val="28"/>
          <w:szCs w:val="28"/>
        </w:rPr>
        <w:t>人民币</w:t>
      </w:r>
      <w:r>
        <w:rPr>
          <w:rFonts w:hint="eastAsia" w:ascii="宋体" w:hAnsi="宋体" w:cs="仿宋_GB2312"/>
          <w:color w:val="auto"/>
          <w:sz w:val="28"/>
          <w:szCs w:val="28"/>
          <w:lang w:val="en-US" w:eastAsia="zh-CN"/>
        </w:rPr>
        <w:t>陆拾叁万柒仟叁佰肆拾肆</w:t>
      </w:r>
      <w:r>
        <w:rPr>
          <w:rFonts w:hint="eastAsia" w:ascii="宋体" w:hAnsi="宋体" w:cs="仿宋_GB2312"/>
          <w:color w:val="auto"/>
          <w:sz w:val="28"/>
          <w:szCs w:val="28"/>
        </w:rPr>
        <w:t>元整</w:t>
      </w:r>
      <w:r>
        <w:rPr>
          <w:rFonts w:hint="eastAsia" w:ascii="宋体" w:hAnsi="宋体" w:cs="宋体"/>
          <w:color w:val="auto"/>
          <w:sz w:val="28"/>
          <w:szCs w:val="28"/>
        </w:rPr>
        <w:t>（</w:t>
      </w:r>
      <w:r>
        <w:rPr>
          <w:rFonts w:ascii="宋体" w:hAnsi="宋体" w:cs="宋体"/>
          <w:color w:val="auto"/>
          <w:sz w:val="28"/>
          <w:szCs w:val="28"/>
        </w:rPr>
        <w:t>RMB</w:t>
      </w:r>
      <w:r>
        <w:rPr>
          <w:rFonts w:hint="eastAsia" w:ascii="宋体" w:hAnsi="宋体" w:cs="宋体"/>
          <w:color w:val="auto"/>
          <w:sz w:val="28"/>
          <w:szCs w:val="28"/>
        </w:rPr>
        <w:t>：</w:t>
      </w:r>
      <w:r>
        <w:rPr>
          <w:rFonts w:hint="eastAsia" w:ascii="宋体" w:hAnsi="宋体"/>
          <w:color w:val="auto"/>
          <w:sz w:val="28"/>
          <w:szCs w:val="28"/>
          <w:lang w:val="en-US" w:eastAsia="zh-CN"/>
        </w:rPr>
        <w:t>637</w:t>
      </w:r>
      <w:r>
        <w:rPr>
          <w:rFonts w:hint="eastAsia" w:ascii="宋体" w:hAnsi="宋体"/>
          <w:color w:val="auto"/>
          <w:sz w:val="28"/>
          <w:szCs w:val="28"/>
        </w:rPr>
        <w:t>,</w:t>
      </w:r>
      <w:r>
        <w:rPr>
          <w:rFonts w:hint="eastAsia" w:ascii="宋体" w:hAnsi="宋体"/>
          <w:color w:val="auto"/>
          <w:sz w:val="28"/>
          <w:szCs w:val="28"/>
          <w:lang w:val="en-US" w:eastAsia="zh-CN"/>
        </w:rPr>
        <w:t>344</w:t>
      </w:r>
      <w:r>
        <w:rPr>
          <w:rFonts w:hint="eastAsia" w:ascii="宋体" w:hAnsi="宋体"/>
          <w:color w:val="auto"/>
          <w:sz w:val="28"/>
          <w:szCs w:val="28"/>
        </w:rPr>
        <w:t>.00</w:t>
      </w:r>
      <w:r>
        <w:rPr>
          <w:rFonts w:hint="eastAsia" w:ascii="宋体" w:hAnsi="宋体" w:cs="宋体"/>
          <w:color w:val="auto"/>
          <w:sz w:val="28"/>
          <w:szCs w:val="28"/>
        </w:rPr>
        <w:t>元）。</w:t>
      </w:r>
    </w:p>
    <w:tbl>
      <w:tblPr>
        <w:tblStyle w:val="2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61"/>
        <w:gridCol w:w="2409"/>
        <w:gridCol w:w="1560"/>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line="320" w:lineRule="exact"/>
              <w:ind w:left="-124" w:leftChars="-55"/>
              <w:jc w:val="center"/>
              <w:textAlignment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估价对象</w:t>
            </w:r>
          </w:p>
        </w:tc>
        <w:tc>
          <w:tcPr>
            <w:tcW w:w="2409" w:type="dxa"/>
            <w:vAlign w:val="center"/>
          </w:tcPr>
          <w:p>
            <w:pPr>
              <w:spacing w:line="320" w:lineRule="exact"/>
              <w:jc w:val="center"/>
              <w:textAlignment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建筑面积</w:t>
            </w:r>
          </w:p>
          <w:p>
            <w:pPr>
              <w:spacing w:line="320" w:lineRule="exact"/>
              <w:jc w:val="center"/>
              <w:textAlignment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（m</w:t>
            </w:r>
            <w:r>
              <w:rPr>
                <w:rFonts w:hint="eastAsia" w:asciiTheme="minorEastAsia" w:hAnsiTheme="minorEastAsia" w:eastAsiaTheme="minorEastAsia"/>
                <w:color w:val="auto"/>
                <w:szCs w:val="21"/>
                <w:vertAlign w:val="superscript"/>
              </w:rPr>
              <w:t>2</w:t>
            </w:r>
            <w:r>
              <w:rPr>
                <w:rFonts w:hint="eastAsia" w:asciiTheme="minorEastAsia" w:hAnsiTheme="minorEastAsia" w:eastAsiaTheme="minorEastAsia"/>
                <w:color w:val="auto"/>
                <w:szCs w:val="21"/>
              </w:rPr>
              <w:t>）</w:t>
            </w:r>
          </w:p>
        </w:tc>
        <w:tc>
          <w:tcPr>
            <w:tcW w:w="1560" w:type="dxa"/>
            <w:vAlign w:val="center"/>
          </w:tcPr>
          <w:p>
            <w:pPr>
              <w:spacing w:line="320" w:lineRule="exact"/>
              <w:jc w:val="center"/>
              <w:textAlignment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单价</w:t>
            </w:r>
          </w:p>
          <w:p>
            <w:pPr>
              <w:spacing w:line="320" w:lineRule="exact"/>
              <w:jc w:val="center"/>
              <w:textAlignment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（元/m</w:t>
            </w:r>
            <w:r>
              <w:rPr>
                <w:rFonts w:hint="eastAsia" w:asciiTheme="minorEastAsia" w:hAnsiTheme="minorEastAsia" w:eastAsiaTheme="minorEastAsia"/>
                <w:color w:val="auto"/>
                <w:szCs w:val="21"/>
                <w:vertAlign w:val="superscript"/>
              </w:rPr>
              <w:t>2</w:t>
            </w:r>
            <w:r>
              <w:rPr>
                <w:rFonts w:hint="eastAsia" w:asciiTheme="minorEastAsia" w:hAnsiTheme="minorEastAsia" w:eastAsiaTheme="minorEastAsia"/>
                <w:color w:val="auto"/>
                <w:szCs w:val="21"/>
              </w:rPr>
              <w:t>）</w:t>
            </w:r>
          </w:p>
        </w:tc>
        <w:tc>
          <w:tcPr>
            <w:tcW w:w="1984" w:type="dxa"/>
            <w:vAlign w:val="center"/>
          </w:tcPr>
          <w:p>
            <w:pPr>
              <w:spacing w:line="320" w:lineRule="exact"/>
              <w:jc w:val="center"/>
              <w:textAlignment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总价</w:t>
            </w:r>
          </w:p>
          <w:p>
            <w:pPr>
              <w:spacing w:line="320" w:lineRule="exact"/>
              <w:jc w:val="center"/>
              <w:textAlignment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3261" w:type="dxa"/>
            <w:vAlign w:val="center"/>
          </w:tcPr>
          <w:p>
            <w:pPr>
              <w:spacing w:line="320" w:lineRule="exact"/>
              <w:ind w:left="199" w:leftChars="88"/>
              <w:jc w:val="center"/>
              <w:textAlignment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永胜县永北镇兰桂小区2单元502室</w:t>
            </w:r>
          </w:p>
        </w:tc>
        <w:tc>
          <w:tcPr>
            <w:tcW w:w="2409" w:type="dxa"/>
            <w:vAlign w:val="center"/>
          </w:tcPr>
          <w:p>
            <w:pPr>
              <w:spacing w:line="320" w:lineRule="exact"/>
              <w:jc w:val="center"/>
              <w:textAlignment w:val="center"/>
              <w:rPr>
                <w:rFonts w:hint="default" w:eastAsiaTheme="minorEastAsia"/>
                <w:color w:val="auto"/>
                <w:szCs w:val="21"/>
                <w:lang w:val="en-US" w:eastAsia="zh-CN"/>
              </w:rPr>
            </w:pPr>
            <w:r>
              <w:rPr>
                <w:rFonts w:hint="eastAsia" w:eastAsiaTheme="minorEastAsia"/>
                <w:color w:val="auto"/>
                <w:szCs w:val="21"/>
                <w:lang w:val="en-US" w:eastAsia="zh-CN"/>
              </w:rPr>
              <w:t>131.33</w:t>
            </w:r>
          </w:p>
        </w:tc>
        <w:tc>
          <w:tcPr>
            <w:tcW w:w="1560" w:type="dxa"/>
            <w:vAlign w:val="center"/>
          </w:tcPr>
          <w:p>
            <w:pPr>
              <w:spacing w:line="320" w:lineRule="exact"/>
              <w:jc w:val="center"/>
              <w:textAlignment w:val="center"/>
              <w:rPr>
                <w:rFonts w:hint="default" w:eastAsiaTheme="minorEastAsia"/>
                <w:color w:val="auto"/>
                <w:szCs w:val="21"/>
                <w:lang w:val="en-US" w:eastAsia="zh-CN"/>
              </w:rPr>
            </w:pPr>
            <w:r>
              <w:rPr>
                <w:rFonts w:hint="eastAsia" w:eastAsiaTheme="minorEastAsia"/>
                <w:color w:val="auto"/>
                <w:szCs w:val="21"/>
                <w:lang w:val="en-US" w:eastAsia="zh-CN"/>
              </w:rPr>
              <w:t>4</w:t>
            </w:r>
            <w:r>
              <w:rPr>
                <w:rFonts w:eastAsiaTheme="minorEastAsia"/>
                <w:color w:val="auto"/>
                <w:szCs w:val="21"/>
              </w:rPr>
              <w:t>,</w:t>
            </w:r>
            <w:r>
              <w:rPr>
                <w:rFonts w:hint="eastAsia" w:eastAsiaTheme="minorEastAsia"/>
                <w:color w:val="auto"/>
                <w:szCs w:val="21"/>
                <w:lang w:val="en-US" w:eastAsia="zh-CN"/>
              </w:rPr>
              <w:t>853</w:t>
            </w:r>
          </w:p>
        </w:tc>
        <w:tc>
          <w:tcPr>
            <w:tcW w:w="1984" w:type="dxa"/>
            <w:vAlign w:val="center"/>
          </w:tcPr>
          <w:p>
            <w:pPr>
              <w:spacing w:line="320" w:lineRule="exact"/>
              <w:jc w:val="center"/>
              <w:textAlignment w:val="center"/>
              <w:rPr>
                <w:rFonts w:eastAsiaTheme="minorEastAsia"/>
                <w:color w:val="auto"/>
                <w:szCs w:val="21"/>
              </w:rPr>
            </w:pPr>
            <w:r>
              <w:rPr>
                <w:rFonts w:hint="eastAsia" w:eastAsiaTheme="minorEastAsia"/>
                <w:color w:val="auto"/>
                <w:szCs w:val="21"/>
                <w:lang w:val="en-US" w:eastAsia="zh-CN"/>
              </w:rPr>
              <w:t>637</w:t>
            </w:r>
            <w:r>
              <w:rPr>
                <w:rFonts w:eastAsiaTheme="minorEastAsia"/>
                <w:color w:val="auto"/>
                <w:szCs w:val="21"/>
              </w:rPr>
              <w:t>,</w:t>
            </w:r>
            <w:r>
              <w:rPr>
                <w:rFonts w:hint="eastAsia" w:eastAsiaTheme="minorEastAsia"/>
                <w:color w:val="auto"/>
                <w:szCs w:val="21"/>
                <w:lang w:val="en-US" w:eastAsia="zh-CN"/>
              </w:rPr>
              <w:t>344</w:t>
            </w:r>
            <w:r>
              <w:rPr>
                <w:rFonts w:eastAsiaTheme="minorEastAsia"/>
                <w:color w:val="auto"/>
                <w:szCs w:val="21"/>
              </w:rPr>
              <w:t>.00</w:t>
            </w:r>
          </w:p>
        </w:tc>
      </w:tr>
    </w:tbl>
    <w:p>
      <w:pPr>
        <w:spacing w:line="600" w:lineRule="exact"/>
        <w:textAlignment w:val="center"/>
        <w:rPr>
          <w:rFonts w:ascii="宋体" w:hAnsi="宋体" w:cs="仿宋_GB2312"/>
          <w:sz w:val="28"/>
        </w:rPr>
      </w:pPr>
    </w:p>
    <w:sectPr>
      <w:pgSz w:w="11906" w:h="16838"/>
      <w:pgMar w:top="703" w:right="850" w:bottom="850" w:left="1010" w:header="567" w:footer="794" w:gutter="567"/>
      <w:cols w:space="0" w:num="1"/>
      <w:docGrid w:type="linesAndChars" w:linePitch="314" w:charSpace="35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隶书">
    <w:panose1 w:val="0201050906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 PAGE   \* MERGEFORMAT </w:instrText>
    </w:r>
    <w:r>
      <w:fldChar w:fldCharType="separate"/>
    </w:r>
    <w:r>
      <w:rPr>
        <w:lang w:val="zh-CN"/>
      </w:rPr>
      <w:t>25</w:t>
    </w:r>
    <w:r>
      <w:rPr>
        <w:lang w:val="zh-CN"/>
      </w:rPr>
      <w:fldChar w:fldCharType="end"/>
    </w:r>
  </w:p>
  <w:p>
    <w:pPr>
      <w:pStyle w:val="13"/>
      <w:spacing w:line="100" w:lineRule="exact"/>
      <w:ind w:left="-426" w:leftChars="-203"/>
      <w:rPr>
        <w:u w:val="single"/>
      </w:rPr>
    </w:pPr>
  </w:p>
  <w:p>
    <w:pPr>
      <w:pStyle w:val="13"/>
      <w:ind w:left="-424" w:leftChars="-202"/>
    </w:pPr>
    <w:r>
      <w:rPr>
        <w:rFonts w:hint="eastAsia"/>
      </w:rPr>
      <w:t>E-mail:qjhtpg@163.com                                                                           Tel:13887401865</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both"/>
      <w:rPr>
        <w:rFonts w:ascii="华文细黑" w:hAnsi="华文细黑" w:eastAsia="华文细黑"/>
      </w:rPr>
    </w:pPr>
    <w:r>
      <w:pict>
        <v:shape id="_x0000_s2049" o:spid="_x0000_s2049" o:spt="75" type="#_x0000_t75" style="position:absolute;left:0pt;margin-left:-14.85pt;margin-top:-1pt;height:14.95pt;width:16.35pt;mso-wrap-distance-bottom:0pt;mso-wrap-distance-left:9pt;mso-wrap-distance-right:9pt;mso-wrap-distance-top:0pt;z-index:251659264;mso-width-relative:page;mso-height-relative:page;" filled="f" o:preferrelative="t" stroked="f" coordsize="21600,21600">
          <v:path/>
          <v:fill on="f" focussize="0,0"/>
          <v:stroke on="f" joinstyle="miter"/>
          <v:imagedata r:id="rId1" o:title=""/>
          <o:lock v:ext="edit" aspectratio="t"/>
          <w10:wrap type="square"/>
        </v:shape>
      </w:pict>
    </w:r>
    <w:r>
      <w:rPr>
        <w:rFonts w:hint="eastAsia" w:ascii="华文细黑" w:hAnsi="华文细黑" w:eastAsia="华文细黑"/>
      </w:rPr>
      <w:t xml:space="preserve"> 恒通评估                                                                                           </w:t>
    </w:r>
  </w:p>
  <w:p>
    <w:pPr>
      <w:pStyle w:val="14"/>
      <w:pBdr>
        <w:bottom w:val="none" w:color="auto" w:sz="0" w:space="0"/>
      </w:pBdr>
      <w:spacing w:line="80" w:lineRule="exact"/>
      <w:ind w:left="-424" w:leftChars="-202"/>
      <w:jc w:val="both"/>
      <w:rPr>
        <w:rFonts w:ascii="华文细黑" w:hAnsi="华文细黑" w:eastAsia="华文细黑"/>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BC0215"/>
    <w:multiLevelType w:val="singleLevel"/>
    <w:tmpl w:val="38BC0215"/>
    <w:lvl w:ilvl="0" w:tentative="0">
      <w:start w:val="6"/>
      <w:numFmt w:val="chineseCounting"/>
      <w:suff w:val="nothing"/>
      <w:lvlText w:val="（%1）"/>
      <w:lvlJc w:val="left"/>
      <w:pPr>
        <w:ind w:left="17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NotTrackMoves/>
  <w:documentProtection w:enforcement="0"/>
  <w:defaultTabStop w:val="420"/>
  <w:drawingGridHorizontalSpacing w:val="227"/>
  <w:drawingGridVerticalSpacing w:val="157"/>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WNmOTMyMzNkMTAwODZlNTFiODdjMzllOTFmNjkwMmEifQ=="/>
  </w:docVars>
  <w:rsids>
    <w:rsidRoot w:val="00172A27"/>
    <w:rsid w:val="00000127"/>
    <w:rsid w:val="0000063E"/>
    <w:rsid w:val="00002021"/>
    <w:rsid w:val="0000236D"/>
    <w:rsid w:val="0000249D"/>
    <w:rsid w:val="000039D9"/>
    <w:rsid w:val="00003D29"/>
    <w:rsid w:val="000046AF"/>
    <w:rsid w:val="00004C95"/>
    <w:rsid w:val="00004CE9"/>
    <w:rsid w:val="00005BCE"/>
    <w:rsid w:val="00005F8D"/>
    <w:rsid w:val="00006F16"/>
    <w:rsid w:val="0000793D"/>
    <w:rsid w:val="00007DFE"/>
    <w:rsid w:val="00010623"/>
    <w:rsid w:val="00010EF4"/>
    <w:rsid w:val="000114E1"/>
    <w:rsid w:val="00012C29"/>
    <w:rsid w:val="0001329A"/>
    <w:rsid w:val="000145A7"/>
    <w:rsid w:val="00014904"/>
    <w:rsid w:val="0001549A"/>
    <w:rsid w:val="00016F43"/>
    <w:rsid w:val="0001793E"/>
    <w:rsid w:val="00020286"/>
    <w:rsid w:val="00020AC2"/>
    <w:rsid w:val="00020B61"/>
    <w:rsid w:val="00021634"/>
    <w:rsid w:val="00021BE2"/>
    <w:rsid w:val="00022A2C"/>
    <w:rsid w:val="00022C84"/>
    <w:rsid w:val="00022CB7"/>
    <w:rsid w:val="00022E94"/>
    <w:rsid w:val="00025584"/>
    <w:rsid w:val="00025E6C"/>
    <w:rsid w:val="00026F47"/>
    <w:rsid w:val="00027067"/>
    <w:rsid w:val="0002718C"/>
    <w:rsid w:val="00027826"/>
    <w:rsid w:val="00027DCA"/>
    <w:rsid w:val="00030497"/>
    <w:rsid w:val="00030751"/>
    <w:rsid w:val="00031172"/>
    <w:rsid w:val="0003138A"/>
    <w:rsid w:val="00033315"/>
    <w:rsid w:val="000336AC"/>
    <w:rsid w:val="00033909"/>
    <w:rsid w:val="00033F44"/>
    <w:rsid w:val="000341E9"/>
    <w:rsid w:val="000355DC"/>
    <w:rsid w:val="00035C64"/>
    <w:rsid w:val="00036AA1"/>
    <w:rsid w:val="0003717C"/>
    <w:rsid w:val="000374C0"/>
    <w:rsid w:val="000375B3"/>
    <w:rsid w:val="00040631"/>
    <w:rsid w:val="00041155"/>
    <w:rsid w:val="00043339"/>
    <w:rsid w:val="00043F0F"/>
    <w:rsid w:val="00044023"/>
    <w:rsid w:val="000451C5"/>
    <w:rsid w:val="0004531A"/>
    <w:rsid w:val="00045D7D"/>
    <w:rsid w:val="00045F34"/>
    <w:rsid w:val="00045F81"/>
    <w:rsid w:val="00046160"/>
    <w:rsid w:val="0004692D"/>
    <w:rsid w:val="00046D6E"/>
    <w:rsid w:val="00046FCD"/>
    <w:rsid w:val="000509CA"/>
    <w:rsid w:val="00050A53"/>
    <w:rsid w:val="00050F40"/>
    <w:rsid w:val="00050F47"/>
    <w:rsid w:val="000520D4"/>
    <w:rsid w:val="00052B9E"/>
    <w:rsid w:val="00053C17"/>
    <w:rsid w:val="00053CB4"/>
    <w:rsid w:val="00053E97"/>
    <w:rsid w:val="00054056"/>
    <w:rsid w:val="0005409F"/>
    <w:rsid w:val="0005492E"/>
    <w:rsid w:val="00054B8F"/>
    <w:rsid w:val="00055770"/>
    <w:rsid w:val="000557C8"/>
    <w:rsid w:val="00056F69"/>
    <w:rsid w:val="00057023"/>
    <w:rsid w:val="0005780D"/>
    <w:rsid w:val="000600BA"/>
    <w:rsid w:val="000609C3"/>
    <w:rsid w:val="00060B3F"/>
    <w:rsid w:val="0006112F"/>
    <w:rsid w:val="00061514"/>
    <w:rsid w:val="00062D6E"/>
    <w:rsid w:val="0006323A"/>
    <w:rsid w:val="0006324E"/>
    <w:rsid w:val="000639F3"/>
    <w:rsid w:val="00063C50"/>
    <w:rsid w:val="000641B6"/>
    <w:rsid w:val="00064A06"/>
    <w:rsid w:val="00064D3C"/>
    <w:rsid w:val="00065154"/>
    <w:rsid w:val="0006612B"/>
    <w:rsid w:val="00066892"/>
    <w:rsid w:val="00066993"/>
    <w:rsid w:val="00066AB0"/>
    <w:rsid w:val="00066BE0"/>
    <w:rsid w:val="00067774"/>
    <w:rsid w:val="00067BC5"/>
    <w:rsid w:val="00070032"/>
    <w:rsid w:val="000700B0"/>
    <w:rsid w:val="00070D78"/>
    <w:rsid w:val="00071C92"/>
    <w:rsid w:val="00072024"/>
    <w:rsid w:val="0007217C"/>
    <w:rsid w:val="00072599"/>
    <w:rsid w:val="00072933"/>
    <w:rsid w:val="00073AF1"/>
    <w:rsid w:val="00075E47"/>
    <w:rsid w:val="00076CF9"/>
    <w:rsid w:val="000805F8"/>
    <w:rsid w:val="00080669"/>
    <w:rsid w:val="00080C83"/>
    <w:rsid w:val="00081403"/>
    <w:rsid w:val="00081700"/>
    <w:rsid w:val="0008288D"/>
    <w:rsid w:val="00083193"/>
    <w:rsid w:val="000834FF"/>
    <w:rsid w:val="000839E5"/>
    <w:rsid w:val="00083C82"/>
    <w:rsid w:val="00083F0D"/>
    <w:rsid w:val="00085913"/>
    <w:rsid w:val="00085B55"/>
    <w:rsid w:val="00086719"/>
    <w:rsid w:val="00087428"/>
    <w:rsid w:val="0008774A"/>
    <w:rsid w:val="00087A9F"/>
    <w:rsid w:val="00087B61"/>
    <w:rsid w:val="00090F4F"/>
    <w:rsid w:val="00091593"/>
    <w:rsid w:val="00091EC2"/>
    <w:rsid w:val="00092486"/>
    <w:rsid w:val="000929CA"/>
    <w:rsid w:val="00092A91"/>
    <w:rsid w:val="000932A4"/>
    <w:rsid w:val="0009360E"/>
    <w:rsid w:val="000955A0"/>
    <w:rsid w:val="00096A4E"/>
    <w:rsid w:val="00096B4E"/>
    <w:rsid w:val="00097B5A"/>
    <w:rsid w:val="00097FCB"/>
    <w:rsid w:val="000A041C"/>
    <w:rsid w:val="000A0D57"/>
    <w:rsid w:val="000A260F"/>
    <w:rsid w:val="000A3B8C"/>
    <w:rsid w:val="000A406F"/>
    <w:rsid w:val="000A47BA"/>
    <w:rsid w:val="000A55AB"/>
    <w:rsid w:val="000A60CC"/>
    <w:rsid w:val="000A7846"/>
    <w:rsid w:val="000B00A9"/>
    <w:rsid w:val="000B3DE9"/>
    <w:rsid w:val="000B5D2E"/>
    <w:rsid w:val="000B5F12"/>
    <w:rsid w:val="000B72C9"/>
    <w:rsid w:val="000B7827"/>
    <w:rsid w:val="000C05AF"/>
    <w:rsid w:val="000C1863"/>
    <w:rsid w:val="000C1BDD"/>
    <w:rsid w:val="000C1BE2"/>
    <w:rsid w:val="000C1D7A"/>
    <w:rsid w:val="000C1DD3"/>
    <w:rsid w:val="000C31B4"/>
    <w:rsid w:val="000C3757"/>
    <w:rsid w:val="000C3C1C"/>
    <w:rsid w:val="000C45CF"/>
    <w:rsid w:val="000C4CA0"/>
    <w:rsid w:val="000C4CDC"/>
    <w:rsid w:val="000C5255"/>
    <w:rsid w:val="000C588D"/>
    <w:rsid w:val="000C63F8"/>
    <w:rsid w:val="000C684C"/>
    <w:rsid w:val="000C6853"/>
    <w:rsid w:val="000C78B3"/>
    <w:rsid w:val="000C79CC"/>
    <w:rsid w:val="000C7DCD"/>
    <w:rsid w:val="000D0228"/>
    <w:rsid w:val="000D0941"/>
    <w:rsid w:val="000D3328"/>
    <w:rsid w:val="000D3A4C"/>
    <w:rsid w:val="000D3F92"/>
    <w:rsid w:val="000D44AE"/>
    <w:rsid w:val="000D46C9"/>
    <w:rsid w:val="000D4F3E"/>
    <w:rsid w:val="000D5A6E"/>
    <w:rsid w:val="000D69B0"/>
    <w:rsid w:val="000D71FB"/>
    <w:rsid w:val="000D7528"/>
    <w:rsid w:val="000D7C19"/>
    <w:rsid w:val="000E07E3"/>
    <w:rsid w:val="000E0A2E"/>
    <w:rsid w:val="000E10AE"/>
    <w:rsid w:val="000E1137"/>
    <w:rsid w:val="000E1730"/>
    <w:rsid w:val="000E1FF9"/>
    <w:rsid w:val="000E2409"/>
    <w:rsid w:val="000E27D1"/>
    <w:rsid w:val="000E2E79"/>
    <w:rsid w:val="000E2EFC"/>
    <w:rsid w:val="000E3272"/>
    <w:rsid w:val="000E3A8C"/>
    <w:rsid w:val="000E4077"/>
    <w:rsid w:val="000E4A37"/>
    <w:rsid w:val="000E5F74"/>
    <w:rsid w:val="000E7E49"/>
    <w:rsid w:val="000F0543"/>
    <w:rsid w:val="000F105B"/>
    <w:rsid w:val="000F17D9"/>
    <w:rsid w:val="000F189B"/>
    <w:rsid w:val="000F1F99"/>
    <w:rsid w:val="000F26D3"/>
    <w:rsid w:val="000F3AB0"/>
    <w:rsid w:val="000F4537"/>
    <w:rsid w:val="000F4C29"/>
    <w:rsid w:val="000F4F06"/>
    <w:rsid w:val="000F5174"/>
    <w:rsid w:val="000F627C"/>
    <w:rsid w:val="000F7A41"/>
    <w:rsid w:val="0010038E"/>
    <w:rsid w:val="001042B4"/>
    <w:rsid w:val="0010430B"/>
    <w:rsid w:val="001054CC"/>
    <w:rsid w:val="00106008"/>
    <w:rsid w:val="0010675E"/>
    <w:rsid w:val="00106ABF"/>
    <w:rsid w:val="001071F7"/>
    <w:rsid w:val="001075A1"/>
    <w:rsid w:val="001103B6"/>
    <w:rsid w:val="00110946"/>
    <w:rsid w:val="00110B4D"/>
    <w:rsid w:val="00110F90"/>
    <w:rsid w:val="001117DA"/>
    <w:rsid w:val="00111C2F"/>
    <w:rsid w:val="0011202B"/>
    <w:rsid w:val="001129D6"/>
    <w:rsid w:val="00112D97"/>
    <w:rsid w:val="001135E9"/>
    <w:rsid w:val="0011360A"/>
    <w:rsid w:val="001142B1"/>
    <w:rsid w:val="00114639"/>
    <w:rsid w:val="00115378"/>
    <w:rsid w:val="0011561E"/>
    <w:rsid w:val="001159C6"/>
    <w:rsid w:val="00116669"/>
    <w:rsid w:val="001170BA"/>
    <w:rsid w:val="00117417"/>
    <w:rsid w:val="00117513"/>
    <w:rsid w:val="00121B28"/>
    <w:rsid w:val="00122726"/>
    <w:rsid w:val="0012399D"/>
    <w:rsid w:val="00123F26"/>
    <w:rsid w:val="001243DD"/>
    <w:rsid w:val="00124697"/>
    <w:rsid w:val="00124A71"/>
    <w:rsid w:val="00124B03"/>
    <w:rsid w:val="00124FE2"/>
    <w:rsid w:val="00125E5A"/>
    <w:rsid w:val="00126DC3"/>
    <w:rsid w:val="001300B0"/>
    <w:rsid w:val="0013171B"/>
    <w:rsid w:val="00131E01"/>
    <w:rsid w:val="00131EC5"/>
    <w:rsid w:val="00132C56"/>
    <w:rsid w:val="00132C5A"/>
    <w:rsid w:val="00133117"/>
    <w:rsid w:val="001334EF"/>
    <w:rsid w:val="0013482E"/>
    <w:rsid w:val="00134879"/>
    <w:rsid w:val="00134C31"/>
    <w:rsid w:val="00134EB6"/>
    <w:rsid w:val="00135743"/>
    <w:rsid w:val="001365C9"/>
    <w:rsid w:val="001366DC"/>
    <w:rsid w:val="0013671F"/>
    <w:rsid w:val="00137071"/>
    <w:rsid w:val="001373A8"/>
    <w:rsid w:val="001378DB"/>
    <w:rsid w:val="00140034"/>
    <w:rsid w:val="00140338"/>
    <w:rsid w:val="001426DE"/>
    <w:rsid w:val="00142822"/>
    <w:rsid w:val="00142C41"/>
    <w:rsid w:val="001440C7"/>
    <w:rsid w:val="00144236"/>
    <w:rsid w:val="001443A8"/>
    <w:rsid w:val="001443FF"/>
    <w:rsid w:val="001447C8"/>
    <w:rsid w:val="00144F8D"/>
    <w:rsid w:val="00144FF5"/>
    <w:rsid w:val="001454A3"/>
    <w:rsid w:val="001458A1"/>
    <w:rsid w:val="0014632D"/>
    <w:rsid w:val="00146530"/>
    <w:rsid w:val="001466BF"/>
    <w:rsid w:val="00147CAE"/>
    <w:rsid w:val="001529A6"/>
    <w:rsid w:val="0015375D"/>
    <w:rsid w:val="00153E4E"/>
    <w:rsid w:val="00153F38"/>
    <w:rsid w:val="001540D5"/>
    <w:rsid w:val="001550D8"/>
    <w:rsid w:val="00156930"/>
    <w:rsid w:val="00156BDF"/>
    <w:rsid w:val="00157550"/>
    <w:rsid w:val="0015778B"/>
    <w:rsid w:val="0016076E"/>
    <w:rsid w:val="0016150D"/>
    <w:rsid w:val="00161DFC"/>
    <w:rsid w:val="00161ED6"/>
    <w:rsid w:val="001621C1"/>
    <w:rsid w:val="00164153"/>
    <w:rsid w:val="00164465"/>
    <w:rsid w:val="00165283"/>
    <w:rsid w:val="001659B9"/>
    <w:rsid w:val="00165E63"/>
    <w:rsid w:val="00165F34"/>
    <w:rsid w:val="00166985"/>
    <w:rsid w:val="00166B40"/>
    <w:rsid w:val="00166C55"/>
    <w:rsid w:val="00167D86"/>
    <w:rsid w:val="00170EA5"/>
    <w:rsid w:val="001711D0"/>
    <w:rsid w:val="00171657"/>
    <w:rsid w:val="001716CF"/>
    <w:rsid w:val="001727B5"/>
    <w:rsid w:val="00172A27"/>
    <w:rsid w:val="001731D0"/>
    <w:rsid w:val="001742F1"/>
    <w:rsid w:val="00175335"/>
    <w:rsid w:val="00177232"/>
    <w:rsid w:val="001777C6"/>
    <w:rsid w:val="0018082B"/>
    <w:rsid w:val="0018171B"/>
    <w:rsid w:val="00182CDA"/>
    <w:rsid w:val="001842C6"/>
    <w:rsid w:val="00185913"/>
    <w:rsid w:val="00185F66"/>
    <w:rsid w:val="00186F60"/>
    <w:rsid w:val="0019011D"/>
    <w:rsid w:val="001904A7"/>
    <w:rsid w:val="00190E8A"/>
    <w:rsid w:val="00191226"/>
    <w:rsid w:val="0019201D"/>
    <w:rsid w:val="00192D01"/>
    <w:rsid w:val="0019525E"/>
    <w:rsid w:val="00195B7D"/>
    <w:rsid w:val="00196368"/>
    <w:rsid w:val="001963E1"/>
    <w:rsid w:val="00197F22"/>
    <w:rsid w:val="001A17A5"/>
    <w:rsid w:val="001A2267"/>
    <w:rsid w:val="001A299A"/>
    <w:rsid w:val="001A3E65"/>
    <w:rsid w:val="001A3E97"/>
    <w:rsid w:val="001A4D46"/>
    <w:rsid w:val="001A4E10"/>
    <w:rsid w:val="001A4F9B"/>
    <w:rsid w:val="001A5199"/>
    <w:rsid w:val="001A51ED"/>
    <w:rsid w:val="001A5C95"/>
    <w:rsid w:val="001A6D41"/>
    <w:rsid w:val="001A6F1A"/>
    <w:rsid w:val="001A7497"/>
    <w:rsid w:val="001A759A"/>
    <w:rsid w:val="001A7898"/>
    <w:rsid w:val="001A7C2D"/>
    <w:rsid w:val="001A7D99"/>
    <w:rsid w:val="001B000B"/>
    <w:rsid w:val="001B02D4"/>
    <w:rsid w:val="001B05A3"/>
    <w:rsid w:val="001B08C0"/>
    <w:rsid w:val="001B0F2C"/>
    <w:rsid w:val="001B256C"/>
    <w:rsid w:val="001B3AC5"/>
    <w:rsid w:val="001B3E9E"/>
    <w:rsid w:val="001B3F48"/>
    <w:rsid w:val="001B42A8"/>
    <w:rsid w:val="001B4389"/>
    <w:rsid w:val="001B4704"/>
    <w:rsid w:val="001B5182"/>
    <w:rsid w:val="001B57D9"/>
    <w:rsid w:val="001B59F1"/>
    <w:rsid w:val="001B5ABD"/>
    <w:rsid w:val="001B7055"/>
    <w:rsid w:val="001B7A6F"/>
    <w:rsid w:val="001C028B"/>
    <w:rsid w:val="001C1303"/>
    <w:rsid w:val="001C1538"/>
    <w:rsid w:val="001C1F39"/>
    <w:rsid w:val="001C262C"/>
    <w:rsid w:val="001C2856"/>
    <w:rsid w:val="001C2A4A"/>
    <w:rsid w:val="001C2C22"/>
    <w:rsid w:val="001C4361"/>
    <w:rsid w:val="001C4404"/>
    <w:rsid w:val="001C4661"/>
    <w:rsid w:val="001C466C"/>
    <w:rsid w:val="001C4950"/>
    <w:rsid w:val="001C4B03"/>
    <w:rsid w:val="001C530D"/>
    <w:rsid w:val="001C5884"/>
    <w:rsid w:val="001C5FB3"/>
    <w:rsid w:val="001C6D83"/>
    <w:rsid w:val="001D0759"/>
    <w:rsid w:val="001D1304"/>
    <w:rsid w:val="001D1D16"/>
    <w:rsid w:val="001D31C0"/>
    <w:rsid w:val="001D3B70"/>
    <w:rsid w:val="001D3DFF"/>
    <w:rsid w:val="001D568A"/>
    <w:rsid w:val="001D578C"/>
    <w:rsid w:val="001D57FF"/>
    <w:rsid w:val="001D6829"/>
    <w:rsid w:val="001D6F46"/>
    <w:rsid w:val="001D7590"/>
    <w:rsid w:val="001D7953"/>
    <w:rsid w:val="001D7AB0"/>
    <w:rsid w:val="001E006C"/>
    <w:rsid w:val="001E0FF2"/>
    <w:rsid w:val="001E1EAF"/>
    <w:rsid w:val="001E21E1"/>
    <w:rsid w:val="001E2647"/>
    <w:rsid w:val="001E2B88"/>
    <w:rsid w:val="001E2CEC"/>
    <w:rsid w:val="001E30D0"/>
    <w:rsid w:val="001E3188"/>
    <w:rsid w:val="001E36A6"/>
    <w:rsid w:val="001E656D"/>
    <w:rsid w:val="001E6982"/>
    <w:rsid w:val="001E69F4"/>
    <w:rsid w:val="001E6B59"/>
    <w:rsid w:val="001E7446"/>
    <w:rsid w:val="001F09DC"/>
    <w:rsid w:val="001F10E1"/>
    <w:rsid w:val="001F1792"/>
    <w:rsid w:val="001F1BB6"/>
    <w:rsid w:val="001F1EF1"/>
    <w:rsid w:val="001F2156"/>
    <w:rsid w:val="001F34D0"/>
    <w:rsid w:val="001F36DD"/>
    <w:rsid w:val="001F4E82"/>
    <w:rsid w:val="001F5804"/>
    <w:rsid w:val="001F6899"/>
    <w:rsid w:val="001F68E4"/>
    <w:rsid w:val="001F717B"/>
    <w:rsid w:val="0020100C"/>
    <w:rsid w:val="00201C2D"/>
    <w:rsid w:val="00202425"/>
    <w:rsid w:val="00202BD7"/>
    <w:rsid w:val="0020372D"/>
    <w:rsid w:val="002038A0"/>
    <w:rsid w:val="002043D3"/>
    <w:rsid w:val="00204486"/>
    <w:rsid w:val="002045A6"/>
    <w:rsid w:val="002049D7"/>
    <w:rsid w:val="00204EF1"/>
    <w:rsid w:val="0020559A"/>
    <w:rsid w:val="002059F7"/>
    <w:rsid w:val="00205CAC"/>
    <w:rsid w:val="00207626"/>
    <w:rsid w:val="00207AAC"/>
    <w:rsid w:val="00211F10"/>
    <w:rsid w:val="00211FD5"/>
    <w:rsid w:val="0021226F"/>
    <w:rsid w:val="00212A2D"/>
    <w:rsid w:val="00212F75"/>
    <w:rsid w:val="00213417"/>
    <w:rsid w:val="00213DD0"/>
    <w:rsid w:val="00214016"/>
    <w:rsid w:val="00215FED"/>
    <w:rsid w:val="002173F9"/>
    <w:rsid w:val="00217733"/>
    <w:rsid w:val="00217CDB"/>
    <w:rsid w:val="00220511"/>
    <w:rsid w:val="0022288B"/>
    <w:rsid w:val="00223C18"/>
    <w:rsid w:val="00223C84"/>
    <w:rsid w:val="00225A8E"/>
    <w:rsid w:val="002274BE"/>
    <w:rsid w:val="00227542"/>
    <w:rsid w:val="0022778D"/>
    <w:rsid w:val="00227DB7"/>
    <w:rsid w:val="00230116"/>
    <w:rsid w:val="0023028F"/>
    <w:rsid w:val="00230749"/>
    <w:rsid w:val="002312D6"/>
    <w:rsid w:val="00231CDC"/>
    <w:rsid w:val="00232EB6"/>
    <w:rsid w:val="002347E2"/>
    <w:rsid w:val="00235C23"/>
    <w:rsid w:val="00235C35"/>
    <w:rsid w:val="002361D4"/>
    <w:rsid w:val="00236970"/>
    <w:rsid w:val="00236CAD"/>
    <w:rsid w:val="00236D4D"/>
    <w:rsid w:val="002374C7"/>
    <w:rsid w:val="00240261"/>
    <w:rsid w:val="002403ED"/>
    <w:rsid w:val="00240CE9"/>
    <w:rsid w:val="00241127"/>
    <w:rsid w:val="0024152D"/>
    <w:rsid w:val="002419E7"/>
    <w:rsid w:val="00241CCB"/>
    <w:rsid w:val="00242D5C"/>
    <w:rsid w:val="00243373"/>
    <w:rsid w:val="00244EFF"/>
    <w:rsid w:val="00245693"/>
    <w:rsid w:val="002456D8"/>
    <w:rsid w:val="0024692E"/>
    <w:rsid w:val="0024783D"/>
    <w:rsid w:val="00247BC0"/>
    <w:rsid w:val="00247CBB"/>
    <w:rsid w:val="00250358"/>
    <w:rsid w:val="00250E51"/>
    <w:rsid w:val="0025176A"/>
    <w:rsid w:val="00251E94"/>
    <w:rsid w:val="002523B5"/>
    <w:rsid w:val="0025286E"/>
    <w:rsid w:val="00252AA4"/>
    <w:rsid w:val="00253073"/>
    <w:rsid w:val="002531C0"/>
    <w:rsid w:val="002531EE"/>
    <w:rsid w:val="0025323D"/>
    <w:rsid w:val="0025343D"/>
    <w:rsid w:val="00253AEF"/>
    <w:rsid w:val="00253E0A"/>
    <w:rsid w:val="002542E5"/>
    <w:rsid w:val="00254AB5"/>
    <w:rsid w:val="0025718F"/>
    <w:rsid w:val="002610BC"/>
    <w:rsid w:val="00262463"/>
    <w:rsid w:val="002628CE"/>
    <w:rsid w:val="00262923"/>
    <w:rsid w:val="00263B8B"/>
    <w:rsid w:val="002640F7"/>
    <w:rsid w:val="00264CD9"/>
    <w:rsid w:val="00264EAA"/>
    <w:rsid w:val="002655DD"/>
    <w:rsid w:val="00265E2C"/>
    <w:rsid w:val="00266669"/>
    <w:rsid w:val="00267D74"/>
    <w:rsid w:val="00267FC9"/>
    <w:rsid w:val="0027012C"/>
    <w:rsid w:val="00270569"/>
    <w:rsid w:val="002706A5"/>
    <w:rsid w:val="00270C6A"/>
    <w:rsid w:val="00271146"/>
    <w:rsid w:val="0027125E"/>
    <w:rsid w:val="00272DF5"/>
    <w:rsid w:val="0027321E"/>
    <w:rsid w:val="00273C6D"/>
    <w:rsid w:val="00273C91"/>
    <w:rsid w:val="00273E98"/>
    <w:rsid w:val="00274445"/>
    <w:rsid w:val="00274CC6"/>
    <w:rsid w:val="0027519F"/>
    <w:rsid w:val="002751B7"/>
    <w:rsid w:val="00275D01"/>
    <w:rsid w:val="00275D73"/>
    <w:rsid w:val="00276E8C"/>
    <w:rsid w:val="00277820"/>
    <w:rsid w:val="002808F6"/>
    <w:rsid w:val="00281206"/>
    <w:rsid w:val="00281B41"/>
    <w:rsid w:val="00281C24"/>
    <w:rsid w:val="00281EA1"/>
    <w:rsid w:val="002825F5"/>
    <w:rsid w:val="00283096"/>
    <w:rsid w:val="002838A1"/>
    <w:rsid w:val="00284566"/>
    <w:rsid w:val="0028477D"/>
    <w:rsid w:val="0028482B"/>
    <w:rsid w:val="0028587A"/>
    <w:rsid w:val="00285D1E"/>
    <w:rsid w:val="0028610A"/>
    <w:rsid w:val="002863D4"/>
    <w:rsid w:val="00286656"/>
    <w:rsid w:val="00286B8D"/>
    <w:rsid w:val="00287865"/>
    <w:rsid w:val="00292202"/>
    <w:rsid w:val="00292CA8"/>
    <w:rsid w:val="00293134"/>
    <w:rsid w:val="002938B9"/>
    <w:rsid w:val="00293EEE"/>
    <w:rsid w:val="002946A4"/>
    <w:rsid w:val="00295544"/>
    <w:rsid w:val="00295975"/>
    <w:rsid w:val="00296168"/>
    <w:rsid w:val="002961FB"/>
    <w:rsid w:val="00296AE2"/>
    <w:rsid w:val="00296B94"/>
    <w:rsid w:val="00297AFE"/>
    <w:rsid w:val="002A00C1"/>
    <w:rsid w:val="002A087F"/>
    <w:rsid w:val="002A0AFC"/>
    <w:rsid w:val="002A1274"/>
    <w:rsid w:val="002A1810"/>
    <w:rsid w:val="002A1F85"/>
    <w:rsid w:val="002A2006"/>
    <w:rsid w:val="002A30D2"/>
    <w:rsid w:val="002A34DD"/>
    <w:rsid w:val="002A3804"/>
    <w:rsid w:val="002A3F1A"/>
    <w:rsid w:val="002A4D9F"/>
    <w:rsid w:val="002A505D"/>
    <w:rsid w:val="002A54C6"/>
    <w:rsid w:val="002A57EE"/>
    <w:rsid w:val="002A785D"/>
    <w:rsid w:val="002A7AE1"/>
    <w:rsid w:val="002B009F"/>
    <w:rsid w:val="002B036A"/>
    <w:rsid w:val="002B09C4"/>
    <w:rsid w:val="002B0A0F"/>
    <w:rsid w:val="002B0B23"/>
    <w:rsid w:val="002B1644"/>
    <w:rsid w:val="002B16E1"/>
    <w:rsid w:val="002B1A58"/>
    <w:rsid w:val="002B1D6D"/>
    <w:rsid w:val="002B244B"/>
    <w:rsid w:val="002B2BA7"/>
    <w:rsid w:val="002B32E3"/>
    <w:rsid w:val="002B4382"/>
    <w:rsid w:val="002B4536"/>
    <w:rsid w:val="002B4619"/>
    <w:rsid w:val="002B4916"/>
    <w:rsid w:val="002B6D61"/>
    <w:rsid w:val="002B7119"/>
    <w:rsid w:val="002B777E"/>
    <w:rsid w:val="002C0157"/>
    <w:rsid w:val="002C08F1"/>
    <w:rsid w:val="002C10A9"/>
    <w:rsid w:val="002C1400"/>
    <w:rsid w:val="002C2391"/>
    <w:rsid w:val="002C2904"/>
    <w:rsid w:val="002C2D4D"/>
    <w:rsid w:val="002C38B1"/>
    <w:rsid w:val="002C3E3E"/>
    <w:rsid w:val="002C45F9"/>
    <w:rsid w:val="002C4ABC"/>
    <w:rsid w:val="002C4E64"/>
    <w:rsid w:val="002C58DD"/>
    <w:rsid w:val="002C5C5F"/>
    <w:rsid w:val="002C76AB"/>
    <w:rsid w:val="002D01D9"/>
    <w:rsid w:val="002D03AC"/>
    <w:rsid w:val="002D08E5"/>
    <w:rsid w:val="002D0DED"/>
    <w:rsid w:val="002D22A4"/>
    <w:rsid w:val="002D457B"/>
    <w:rsid w:val="002D4F77"/>
    <w:rsid w:val="002D549A"/>
    <w:rsid w:val="002D6006"/>
    <w:rsid w:val="002D6D95"/>
    <w:rsid w:val="002D7789"/>
    <w:rsid w:val="002D7FE8"/>
    <w:rsid w:val="002E0FEB"/>
    <w:rsid w:val="002E143D"/>
    <w:rsid w:val="002E1B95"/>
    <w:rsid w:val="002E1ED2"/>
    <w:rsid w:val="002E2A8E"/>
    <w:rsid w:val="002E3EAE"/>
    <w:rsid w:val="002E440C"/>
    <w:rsid w:val="002E4976"/>
    <w:rsid w:val="002E6905"/>
    <w:rsid w:val="002E7D88"/>
    <w:rsid w:val="002F0559"/>
    <w:rsid w:val="002F0D5B"/>
    <w:rsid w:val="002F1550"/>
    <w:rsid w:val="002F2773"/>
    <w:rsid w:val="002F3325"/>
    <w:rsid w:val="002F35F5"/>
    <w:rsid w:val="002F39EB"/>
    <w:rsid w:val="002F3D9C"/>
    <w:rsid w:val="002F4CC7"/>
    <w:rsid w:val="002F4D72"/>
    <w:rsid w:val="002F4F9A"/>
    <w:rsid w:val="002F5960"/>
    <w:rsid w:val="002F6447"/>
    <w:rsid w:val="002F69A4"/>
    <w:rsid w:val="002F79B3"/>
    <w:rsid w:val="00300628"/>
    <w:rsid w:val="003006DE"/>
    <w:rsid w:val="00300D76"/>
    <w:rsid w:val="0030105D"/>
    <w:rsid w:val="00302B45"/>
    <w:rsid w:val="00302B5B"/>
    <w:rsid w:val="00302F8D"/>
    <w:rsid w:val="00304351"/>
    <w:rsid w:val="00304950"/>
    <w:rsid w:val="00305102"/>
    <w:rsid w:val="00305DE4"/>
    <w:rsid w:val="00305EAA"/>
    <w:rsid w:val="00310E88"/>
    <w:rsid w:val="00311B1A"/>
    <w:rsid w:val="00311F8F"/>
    <w:rsid w:val="00312AAC"/>
    <w:rsid w:val="003142DD"/>
    <w:rsid w:val="0031540E"/>
    <w:rsid w:val="00316A73"/>
    <w:rsid w:val="0032106B"/>
    <w:rsid w:val="00321538"/>
    <w:rsid w:val="00321C91"/>
    <w:rsid w:val="00326173"/>
    <w:rsid w:val="0033004F"/>
    <w:rsid w:val="00333640"/>
    <w:rsid w:val="0033438A"/>
    <w:rsid w:val="00334C79"/>
    <w:rsid w:val="00334D72"/>
    <w:rsid w:val="0033523A"/>
    <w:rsid w:val="003352D4"/>
    <w:rsid w:val="00337B5B"/>
    <w:rsid w:val="003401F9"/>
    <w:rsid w:val="00341D8F"/>
    <w:rsid w:val="00341E50"/>
    <w:rsid w:val="00342C76"/>
    <w:rsid w:val="00343902"/>
    <w:rsid w:val="00343D7E"/>
    <w:rsid w:val="00344628"/>
    <w:rsid w:val="00344E37"/>
    <w:rsid w:val="00344EAE"/>
    <w:rsid w:val="00345C08"/>
    <w:rsid w:val="003469C3"/>
    <w:rsid w:val="00347C27"/>
    <w:rsid w:val="003512EC"/>
    <w:rsid w:val="00351E96"/>
    <w:rsid w:val="0035211C"/>
    <w:rsid w:val="0035282B"/>
    <w:rsid w:val="00352FF7"/>
    <w:rsid w:val="003534CF"/>
    <w:rsid w:val="00353E17"/>
    <w:rsid w:val="00354108"/>
    <w:rsid w:val="00355863"/>
    <w:rsid w:val="00355C20"/>
    <w:rsid w:val="00356394"/>
    <w:rsid w:val="0035656E"/>
    <w:rsid w:val="00357236"/>
    <w:rsid w:val="0035743B"/>
    <w:rsid w:val="0035763C"/>
    <w:rsid w:val="00357872"/>
    <w:rsid w:val="0035796D"/>
    <w:rsid w:val="003601B0"/>
    <w:rsid w:val="003609B0"/>
    <w:rsid w:val="00361391"/>
    <w:rsid w:val="0036243A"/>
    <w:rsid w:val="0036290B"/>
    <w:rsid w:val="00362B85"/>
    <w:rsid w:val="00362BF7"/>
    <w:rsid w:val="003632B8"/>
    <w:rsid w:val="00364FA0"/>
    <w:rsid w:val="00365586"/>
    <w:rsid w:val="00365D92"/>
    <w:rsid w:val="0036767B"/>
    <w:rsid w:val="00370095"/>
    <w:rsid w:val="00370111"/>
    <w:rsid w:val="00372149"/>
    <w:rsid w:val="00373247"/>
    <w:rsid w:val="003744A6"/>
    <w:rsid w:val="003754B6"/>
    <w:rsid w:val="00375BDE"/>
    <w:rsid w:val="00375C62"/>
    <w:rsid w:val="00375DA3"/>
    <w:rsid w:val="00376585"/>
    <w:rsid w:val="00376690"/>
    <w:rsid w:val="00376C9F"/>
    <w:rsid w:val="00376D5C"/>
    <w:rsid w:val="00377A3F"/>
    <w:rsid w:val="003826F5"/>
    <w:rsid w:val="003828C6"/>
    <w:rsid w:val="0038331B"/>
    <w:rsid w:val="0038337D"/>
    <w:rsid w:val="00383555"/>
    <w:rsid w:val="00383657"/>
    <w:rsid w:val="003854BE"/>
    <w:rsid w:val="00386223"/>
    <w:rsid w:val="0038676B"/>
    <w:rsid w:val="003873D1"/>
    <w:rsid w:val="00387747"/>
    <w:rsid w:val="0039036D"/>
    <w:rsid w:val="003905C3"/>
    <w:rsid w:val="00390759"/>
    <w:rsid w:val="00390F43"/>
    <w:rsid w:val="00391858"/>
    <w:rsid w:val="0039699A"/>
    <w:rsid w:val="00397AB4"/>
    <w:rsid w:val="003A0B3C"/>
    <w:rsid w:val="003A1466"/>
    <w:rsid w:val="003A16D2"/>
    <w:rsid w:val="003A1A4B"/>
    <w:rsid w:val="003A1C5C"/>
    <w:rsid w:val="003A2384"/>
    <w:rsid w:val="003A4A66"/>
    <w:rsid w:val="003A4D02"/>
    <w:rsid w:val="003A57AA"/>
    <w:rsid w:val="003A7378"/>
    <w:rsid w:val="003B0E90"/>
    <w:rsid w:val="003B1C93"/>
    <w:rsid w:val="003B2890"/>
    <w:rsid w:val="003B3096"/>
    <w:rsid w:val="003B353A"/>
    <w:rsid w:val="003B3A16"/>
    <w:rsid w:val="003B50A0"/>
    <w:rsid w:val="003B528C"/>
    <w:rsid w:val="003B537B"/>
    <w:rsid w:val="003B5668"/>
    <w:rsid w:val="003B5929"/>
    <w:rsid w:val="003B700E"/>
    <w:rsid w:val="003C034B"/>
    <w:rsid w:val="003C07E8"/>
    <w:rsid w:val="003C21E7"/>
    <w:rsid w:val="003C26DF"/>
    <w:rsid w:val="003C27D4"/>
    <w:rsid w:val="003C3152"/>
    <w:rsid w:val="003C3431"/>
    <w:rsid w:val="003C3A29"/>
    <w:rsid w:val="003C3ABF"/>
    <w:rsid w:val="003C3B25"/>
    <w:rsid w:val="003C491B"/>
    <w:rsid w:val="003C4E1A"/>
    <w:rsid w:val="003C520D"/>
    <w:rsid w:val="003C656F"/>
    <w:rsid w:val="003D0409"/>
    <w:rsid w:val="003D057F"/>
    <w:rsid w:val="003D0D16"/>
    <w:rsid w:val="003D0FA3"/>
    <w:rsid w:val="003D16A2"/>
    <w:rsid w:val="003D19EF"/>
    <w:rsid w:val="003D21B2"/>
    <w:rsid w:val="003D2C6F"/>
    <w:rsid w:val="003D4A1E"/>
    <w:rsid w:val="003D506B"/>
    <w:rsid w:val="003D50DC"/>
    <w:rsid w:val="003D62B1"/>
    <w:rsid w:val="003D69C0"/>
    <w:rsid w:val="003D72E0"/>
    <w:rsid w:val="003E0958"/>
    <w:rsid w:val="003E269D"/>
    <w:rsid w:val="003E2E23"/>
    <w:rsid w:val="003E397E"/>
    <w:rsid w:val="003E3A58"/>
    <w:rsid w:val="003E3DB7"/>
    <w:rsid w:val="003E428D"/>
    <w:rsid w:val="003E4887"/>
    <w:rsid w:val="003E5BA3"/>
    <w:rsid w:val="003E629C"/>
    <w:rsid w:val="003E6318"/>
    <w:rsid w:val="003E6647"/>
    <w:rsid w:val="003E7061"/>
    <w:rsid w:val="003E7474"/>
    <w:rsid w:val="003E7C6B"/>
    <w:rsid w:val="003F00F5"/>
    <w:rsid w:val="003F07C1"/>
    <w:rsid w:val="003F0A5E"/>
    <w:rsid w:val="003F1D07"/>
    <w:rsid w:val="003F2648"/>
    <w:rsid w:val="003F2ABB"/>
    <w:rsid w:val="003F34B3"/>
    <w:rsid w:val="003F35CB"/>
    <w:rsid w:val="003F379A"/>
    <w:rsid w:val="003F3CD3"/>
    <w:rsid w:val="003F3E91"/>
    <w:rsid w:val="003F4B13"/>
    <w:rsid w:val="003F5CE1"/>
    <w:rsid w:val="003F5E33"/>
    <w:rsid w:val="003F7033"/>
    <w:rsid w:val="003F7AA5"/>
    <w:rsid w:val="00401ECA"/>
    <w:rsid w:val="00402613"/>
    <w:rsid w:val="004027C2"/>
    <w:rsid w:val="00403471"/>
    <w:rsid w:val="004037C9"/>
    <w:rsid w:val="0040437B"/>
    <w:rsid w:val="00404702"/>
    <w:rsid w:val="00404AAA"/>
    <w:rsid w:val="00404AC7"/>
    <w:rsid w:val="00406E66"/>
    <w:rsid w:val="00407802"/>
    <w:rsid w:val="004103B7"/>
    <w:rsid w:val="0041133C"/>
    <w:rsid w:val="004116D2"/>
    <w:rsid w:val="00412370"/>
    <w:rsid w:val="00412F6E"/>
    <w:rsid w:val="00413764"/>
    <w:rsid w:val="00414B1E"/>
    <w:rsid w:val="00414E56"/>
    <w:rsid w:val="00414EC5"/>
    <w:rsid w:val="004161A8"/>
    <w:rsid w:val="00416496"/>
    <w:rsid w:val="00416CA7"/>
    <w:rsid w:val="00417A84"/>
    <w:rsid w:val="004200A9"/>
    <w:rsid w:val="00420E0E"/>
    <w:rsid w:val="004214DD"/>
    <w:rsid w:val="004227D2"/>
    <w:rsid w:val="00422A7F"/>
    <w:rsid w:val="00423560"/>
    <w:rsid w:val="00423A32"/>
    <w:rsid w:val="00423C11"/>
    <w:rsid w:val="00423D6B"/>
    <w:rsid w:val="00425912"/>
    <w:rsid w:val="00425C8B"/>
    <w:rsid w:val="004266CE"/>
    <w:rsid w:val="0042688F"/>
    <w:rsid w:val="004272F8"/>
    <w:rsid w:val="0043006C"/>
    <w:rsid w:val="004302F4"/>
    <w:rsid w:val="00430639"/>
    <w:rsid w:val="00431730"/>
    <w:rsid w:val="00431B13"/>
    <w:rsid w:val="00432F8D"/>
    <w:rsid w:val="00433454"/>
    <w:rsid w:val="004339C5"/>
    <w:rsid w:val="00434566"/>
    <w:rsid w:val="004346F0"/>
    <w:rsid w:val="0043552D"/>
    <w:rsid w:val="00435DE7"/>
    <w:rsid w:val="00436D21"/>
    <w:rsid w:val="004401E5"/>
    <w:rsid w:val="0044038C"/>
    <w:rsid w:val="004413E8"/>
    <w:rsid w:val="00441982"/>
    <w:rsid w:val="00441D66"/>
    <w:rsid w:val="0044296C"/>
    <w:rsid w:val="0044318B"/>
    <w:rsid w:val="00443434"/>
    <w:rsid w:val="00443C98"/>
    <w:rsid w:val="00444BBA"/>
    <w:rsid w:val="00444F8F"/>
    <w:rsid w:val="0044537D"/>
    <w:rsid w:val="00445702"/>
    <w:rsid w:val="00445B37"/>
    <w:rsid w:val="00445D25"/>
    <w:rsid w:val="00445F72"/>
    <w:rsid w:val="0044630F"/>
    <w:rsid w:val="00446951"/>
    <w:rsid w:val="004502A5"/>
    <w:rsid w:val="00450489"/>
    <w:rsid w:val="004505CE"/>
    <w:rsid w:val="004515B3"/>
    <w:rsid w:val="0045196F"/>
    <w:rsid w:val="00452777"/>
    <w:rsid w:val="0045329D"/>
    <w:rsid w:val="00454140"/>
    <w:rsid w:val="004556B5"/>
    <w:rsid w:val="0045591B"/>
    <w:rsid w:val="00455C28"/>
    <w:rsid w:val="00455F1D"/>
    <w:rsid w:val="0045696A"/>
    <w:rsid w:val="004573C4"/>
    <w:rsid w:val="00457431"/>
    <w:rsid w:val="00457FA3"/>
    <w:rsid w:val="004616F7"/>
    <w:rsid w:val="00463D49"/>
    <w:rsid w:val="00465843"/>
    <w:rsid w:val="0046608C"/>
    <w:rsid w:val="004665A5"/>
    <w:rsid w:val="00466E11"/>
    <w:rsid w:val="004675E6"/>
    <w:rsid w:val="00467BB8"/>
    <w:rsid w:val="00471C55"/>
    <w:rsid w:val="00471FB4"/>
    <w:rsid w:val="004721C5"/>
    <w:rsid w:val="00472F16"/>
    <w:rsid w:val="004738FF"/>
    <w:rsid w:val="00474749"/>
    <w:rsid w:val="00474DC7"/>
    <w:rsid w:val="00475059"/>
    <w:rsid w:val="00475AD5"/>
    <w:rsid w:val="00475D6B"/>
    <w:rsid w:val="00475DBF"/>
    <w:rsid w:val="00476A65"/>
    <w:rsid w:val="00477228"/>
    <w:rsid w:val="00477BC8"/>
    <w:rsid w:val="00481F1B"/>
    <w:rsid w:val="00482104"/>
    <w:rsid w:val="004822E4"/>
    <w:rsid w:val="0048282D"/>
    <w:rsid w:val="004830E5"/>
    <w:rsid w:val="004831E2"/>
    <w:rsid w:val="00484C3F"/>
    <w:rsid w:val="00486332"/>
    <w:rsid w:val="00487157"/>
    <w:rsid w:val="004871B4"/>
    <w:rsid w:val="0049075A"/>
    <w:rsid w:val="00491110"/>
    <w:rsid w:val="00491B30"/>
    <w:rsid w:val="00491F1B"/>
    <w:rsid w:val="0049239D"/>
    <w:rsid w:val="00492A45"/>
    <w:rsid w:val="00492C85"/>
    <w:rsid w:val="004930D1"/>
    <w:rsid w:val="00493DD3"/>
    <w:rsid w:val="004945E1"/>
    <w:rsid w:val="004946D7"/>
    <w:rsid w:val="0049500F"/>
    <w:rsid w:val="00495A51"/>
    <w:rsid w:val="00495EB3"/>
    <w:rsid w:val="0049647A"/>
    <w:rsid w:val="00496E51"/>
    <w:rsid w:val="00497683"/>
    <w:rsid w:val="00497C5A"/>
    <w:rsid w:val="004A0355"/>
    <w:rsid w:val="004A043A"/>
    <w:rsid w:val="004A0740"/>
    <w:rsid w:val="004A1541"/>
    <w:rsid w:val="004A2C3A"/>
    <w:rsid w:val="004A36A6"/>
    <w:rsid w:val="004A3A45"/>
    <w:rsid w:val="004A3BA2"/>
    <w:rsid w:val="004A3C35"/>
    <w:rsid w:val="004A4887"/>
    <w:rsid w:val="004A48A5"/>
    <w:rsid w:val="004A4A18"/>
    <w:rsid w:val="004A554A"/>
    <w:rsid w:val="004A6333"/>
    <w:rsid w:val="004A6523"/>
    <w:rsid w:val="004A6B9B"/>
    <w:rsid w:val="004A7C16"/>
    <w:rsid w:val="004B0CE8"/>
    <w:rsid w:val="004B1F28"/>
    <w:rsid w:val="004B2E03"/>
    <w:rsid w:val="004B3314"/>
    <w:rsid w:val="004B3A1E"/>
    <w:rsid w:val="004B4D44"/>
    <w:rsid w:val="004B5B83"/>
    <w:rsid w:val="004B6E43"/>
    <w:rsid w:val="004B701E"/>
    <w:rsid w:val="004B78B5"/>
    <w:rsid w:val="004C07E4"/>
    <w:rsid w:val="004C1045"/>
    <w:rsid w:val="004C1385"/>
    <w:rsid w:val="004C145E"/>
    <w:rsid w:val="004C164D"/>
    <w:rsid w:val="004C2983"/>
    <w:rsid w:val="004C3122"/>
    <w:rsid w:val="004C338E"/>
    <w:rsid w:val="004C34B6"/>
    <w:rsid w:val="004C3A56"/>
    <w:rsid w:val="004C3CCC"/>
    <w:rsid w:val="004C3E30"/>
    <w:rsid w:val="004C50CF"/>
    <w:rsid w:val="004C5ECE"/>
    <w:rsid w:val="004C6A2D"/>
    <w:rsid w:val="004C735A"/>
    <w:rsid w:val="004C752E"/>
    <w:rsid w:val="004C77B4"/>
    <w:rsid w:val="004D0822"/>
    <w:rsid w:val="004D25B5"/>
    <w:rsid w:val="004D3445"/>
    <w:rsid w:val="004D4455"/>
    <w:rsid w:val="004D48B8"/>
    <w:rsid w:val="004D55A6"/>
    <w:rsid w:val="004D5F69"/>
    <w:rsid w:val="004D614C"/>
    <w:rsid w:val="004D7251"/>
    <w:rsid w:val="004D7364"/>
    <w:rsid w:val="004D7C62"/>
    <w:rsid w:val="004E009D"/>
    <w:rsid w:val="004E0392"/>
    <w:rsid w:val="004E0B76"/>
    <w:rsid w:val="004E0C51"/>
    <w:rsid w:val="004E1115"/>
    <w:rsid w:val="004E1767"/>
    <w:rsid w:val="004E1AAA"/>
    <w:rsid w:val="004E1FDB"/>
    <w:rsid w:val="004E2102"/>
    <w:rsid w:val="004E3E36"/>
    <w:rsid w:val="004E405A"/>
    <w:rsid w:val="004E448F"/>
    <w:rsid w:val="004E4AFA"/>
    <w:rsid w:val="004E53AF"/>
    <w:rsid w:val="004E55F8"/>
    <w:rsid w:val="004F0727"/>
    <w:rsid w:val="004F0917"/>
    <w:rsid w:val="004F0E44"/>
    <w:rsid w:val="004F194E"/>
    <w:rsid w:val="004F1A32"/>
    <w:rsid w:val="004F2B0B"/>
    <w:rsid w:val="004F2B68"/>
    <w:rsid w:val="004F3E7D"/>
    <w:rsid w:val="004F3FC5"/>
    <w:rsid w:val="004F4801"/>
    <w:rsid w:val="004F4949"/>
    <w:rsid w:val="004F4980"/>
    <w:rsid w:val="004F63B5"/>
    <w:rsid w:val="004F7246"/>
    <w:rsid w:val="004F7678"/>
    <w:rsid w:val="004F7975"/>
    <w:rsid w:val="00500BBC"/>
    <w:rsid w:val="00500D08"/>
    <w:rsid w:val="00501138"/>
    <w:rsid w:val="0050158A"/>
    <w:rsid w:val="00502EFE"/>
    <w:rsid w:val="00504097"/>
    <w:rsid w:val="0050426C"/>
    <w:rsid w:val="00505F85"/>
    <w:rsid w:val="00506471"/>
    <w:rsid w:val="00506822"/>
    <w:rsid w:val="00506906"/>
    <w:rsid w:val="00506B93"/>
    <w:rsid w:val="00507BDD"/>
    <w:rsid w:val="0051085E"/>
    <w:rsid w:val="00511DFB"/>
    <w:rsid w:val="00512511"/>
    <w:rsid w:val="005133F5"/>
    <w:rsid w:val="00513EFE"/>
    <w:rsid w:val="00514B22"/>
    <w:rsid w:val="005157BA"/>
    <w:rsid w:val="005158A5"/>
    <w:rsid w:val="00515BFF"/>
    <w:rsid w:val="0051614B"/>
    <w:rsid w:val="00516999"/>
    <w:rsid w:val="00516B2E"/>
    <w:rsid w:val="005172BC"/>
    <w:rsid w:val="005177C0"/>
    <w:rsid w:val="00517F31"/>
    <w:rsid w:val="00517F4A"/>
    <w:rsid w:val="00520623"/>
    <w:rsid w:val="005213C7"/>
    <w:rsid w:val="0052212A"/>
    <w:rsid w:val="0052270C"/>
    <w:rsid w:val="0052274C"/>
    <w:rsid w:val="00522827"/>
    <w:rsid w:val="00522CFB"/>
    <w:rsid w:val="00523872"/>
    <w:rsid w:val="00523E9B"/>
    <w:rsid w:val="0052462D"/>
    <w:rsid w:val="005249AB"/>
    <w:rsid w:val="005260D0"/>
    <w:rsid w:val="00527BE3"/>
    <w:rsid w:val="005303FB"/>
    <w:rsid w:val="00532E7A"/>
    <w:rsid w:val="0053382A"/>
    <w:rsid w:val="005347C8"/>
    <w:rsid w:val="005349CD"/>
    <w:rsid w:val="0053553D"/>
    <w:rsid w:val="00536538"/>
    <w:rsid w:val="005367C9"/>
    <w:rsid w:val="00536818"/>
    <w:rsid w:val="00536DB7"/>
    <w:rsid w:val="00536E48"/>
    <w:rsid w:val="00537140"/>
    <w:rsid w:val="00537441"/>
    <w:rsid w:val="00537445"/>
    <w:rsid w:val="00540CC7"/>
    <w:rsid w:val="00542FB0"/>
    <w:rsid w:val="00543945"/>
    <w:rsid w:val="00543D7D"/>
    <w:rsid w:val="00543F72"/>
    <w:rsid w:val="005459F6"/>
    <w:rsid w:val="00546053"/>
    <w:rsid w:val="005471B6"/>
    <w:rsid w:val="005478D7"/>
    <w:rsid w:val="00547B1B"/>
    <w:rsid w:val="00550CD8"/>
    <w:rsid w:val="00550EA9"/>
    <w:rsid w:val="005519AE"/>
    <w:rsid w:val="00552B5E"/>
    <w:rsid w:val="00554EDF"/>
    <w:rsid w:val="0055773D"/>
    <w:rsid w:val="00557D85"/>
    <w:rsid w:val="005614C6"/>
    <w:rsid w:val="005614E2"/>
    <w:rsid w:val="005616DC"/>
    <w:rsid w:val="00561BCA"/>
    <w:rsid w:val="00561E8E"/>
    <w:rsid w:val="00562147"/>
    <w:rsid w:val="005621C6"/>
    <w:rsid w:val="00562723"/>
    <w:rsid w:val="00562C2D"/>
    <w:rsid w:val="00562D60"/>
    <w:rsid w:val="00564560"/>
    <w:rsid w:val="00565C18"/>
    <w:rsid w:val="00565CCB"/>
    <w:rsid w:val="0056636F"/>
    <w:rsid w:val="00567770"/>
    <w:rsid w:val="00567CB9"/>
    <w:rsid w:val="005700D4"/>
    <w:rsid w:val="005703DF"/>
    <w:rsid w:val="00571769"/>
    <w:rsid w:val="00571A80"/>
    <w:rsid w:val="00572413"/>
    <w:rsid w:val="00572533"/>
    <w:rsid w:val="00572877"/>
    <w:rsid w:val="005729E1"/>
    <w:rsid w:val="005736B6"/>
    <w:rsid w:val="0057371E"/>
    <w:rsid w:val="00575634"/>
    <w:rsid w:val="00575B3B"/>
    <w:rsid w:val="00576A9A"/>
    <w:rsid w:val="00580BD3"/>
    <w:rsid w:val="00581181"/>
    <w:rsid w:val="005812BB"/>
    <w:rsid w:val="005812D7"/>
    <w:rsid w:val="005814E7"/>
    <w:rsid w:val="005816E4"/>
    <w:rsid w:val="00581B60"/>
    <w:rsid w:val="00582219"/>
    <w:rsid w:val="005827CF"/>
    <w:rsid w:val="005834C1"/>
    <w:rsid w:val="00583A59"/>
    <w:rsid w:val="00585392"/>
    <w:rsid w:val="00585D8D"/>
    <w:rsid w:val="005865F5"/>
    <w:rsid w:val="00590315"/>
    <w:rsid w:val="0059065F"/>
    <w:rsid w:val="0059080C"/>
    <w:rsid w:val="00590913"/>
    <w:rsid w:val="00590CF7"/>
    <w:rsid w:val="0059186A"/>
    <w:rsid w:val="00591AE4"/>
    <w:rsid w:val="00591B2B"/>
    <w:rsid w:val="00592067"/>
    <w:rsid w:val="00592139"/>
    <w:rsid w:val="005925FF"/>
    <w:rsid w:val="005929A5"/>
    <w:rsid w:val="00593CEB"/>
    <w:rsid w:val="005953C6"/>
    <w:rsid w:val="00595830"/>
    <w:rsid w:val="00596367"/>
    <w:rsid w:val="00597EBC"/>
    <w:rsid w:val="005A0741"/>
    <w:rsid w:val="005A08E8"/>
    <w:rsid w:val="005A0A28"/>
    <w:rsid w:val="005A0AED"/>
    <w:rsid w:val="005A3AAE"/>
    <w:rsid w:val="005A3E97"/>
    <w:rsid w:val="005A4452"/>
    <w:rsid w:val="005A4A16"/>
    <w:rsid w:val="005A4AB3"/>
    <w:rsid w:val="005A4ED7"/>
    <w:rsid w:val="005A5F67"/>
    <w:rsid w:val="005A7089"/>
    <w:rsid w:val="005B0BDC"/>
    <w:rsid w:val="005B17B8"/>
    <w:rsid w:val="005B1997"/>
    <w:rsid w:val="005B1CB2"/>
    <w:rsid w:val="005B2BB9"/>
    <w:rsid w:val="005B31B4"/>
    <w:rsid w:val="005B38F1"/>
    <w:rsid w:val="005B4DAD"/>
    <w:rsid w:val="005B5447"/>
    <w:rsid w:val="005B57CC"/>
    <w:rsid w:val="005B5AE5"/>
    <w:rsid w:val="005B5B74"/>
    <w:rsid w:val="005B6936"/>
    <w:rsid w:val="005B6B67"/>
    <w:rsid w:val="005B7565"/>
    <w:rsid w:val="005B769B"/>
    <w:rsid w:val="005B76E5"/>
    <w:rsid w:val="005B7A1B"/>
    <w:rsid w:val="005B7AA4"/>
    <w:rsid w:val="005B7EA2"/>
    <w:rsid w:val="005B7F9B"/>
    <w:rsid w:val="005C0052"/>
    <w:rsid w:val="005C02C7"/>
    <w:rsid w:val="005C04CB"/>
    <w:rsid w:val="005C08F6"/>
    <w:rsid w:val="005C17A2"/>
    <w:rsid w:val="005C28F7"/>
    <w:rsid w:val="005C31C2"/>
    <w:rsid w:val="005C3A57"/>
    <w:rsid w:val="005C3DE3"/>
    <w:rsid w:val="005C44AF"/>
    <w:rsid w:val="005C464E"/>
    <w:rsid w:val="005C4BC1"/>
    <w:rsid w:val="005C6A47"/>
    <w:rsid w:val="005C756B"/>
    <w:rsid w:val="005D0F05"/>
    <w:rsid w:val="005D1DB0"/>
    <w:rsid w:val="005D31DE"/>
    <w:rsid w:val="005D31FD"/>
    <w:rsid w:val="005D376A"/>
    <w:rsid w:val="005D4C82"/>
    <w:rsid w:val="005D5787"/>
    <w:rsid w:val="005D5DC9"/>
    <w:rsid w:val="005D6BCA"/>
    <w:rsid w:val="005D7D64"/>
    <w:rsid w:val="005E0BF7"/>
    <w:rsid w:val="005E0E86"/>
    <w:rsid w:val="005E1233"/>
    <w:rsid w:val="005E1F63"/>
    <w:rsid w:val="005E2012"/>
    <w:rsid w:val="005E23F6"/>
    <w:rsid w:val="005E3549"/>
    <w:rsid w:val="005E36BC"/>
    <w:rsid w:val="005E3A74"/>
    <w:rsid w:val="005E4E92"/>
    <w:rsid w:val="005E5DF1"/>
    <w:rsid w:val="005E6AA3"/>
    <w:rsid w:val="005E7388"/>
    <w:rsid w:val="005E7D88"/>
    <w:rsid w:val="005F01D0"/>
    <w:rsid w:val="005F121B"/>
    <w:rsid w:val="005F38D2"/>
    <w:rsid w:val="005F42C3"/>
    <w:rsid w:val="005F5DBA"/>
    <w:rsid w:val="005F5EF9"/>
    <w:rsid w:val="005F7926"/>
    <w:rsid w:val="00600685"/>
    <w:rsid w:val="0060079C"/>
    <w:rsid w:val="00600A8B"/>
    <w:rsid w:val="006012A3"/>
    <w:rsid w:val="0060194A"/>
    <w:rsid w:val="006023F9"/>
    <w:rsid w:val="00603376"/>
    <w:rsid w:val="00603D4F"/>
    <w:rsid w:val="00603EFA"/>
    <w:rsid w:val="0060410B"/>
    <w:rsid w:val="0060465D"/>
    <w:rsid w:val="00604C4D"/>
    <w:rsid w:val="00604C77"/>
    <w:rsid w:val="0060518B"/>
    <w:rsid w:val="00605E53"/>
    <w:rsid w:val="006062AA"/>
    <w:rsid w:val="006071F0"/>
    <w:rsid w:val="00607221"/>
    <w:rsid w:val="00607676"/>
    <w:rsid w:val="00607AFC"/>
    <w:rsid w:val="00607B67"/>
    <w:rsid w:val="00607CD2"/>
    <w:rsid w:val="00607EED"/>
    <w:rsid w:val="00610769"/>
    <w:rsid w:val="006108E4"/>
    <w:rsid w:val="00611149"/>
    <w:rsid w:val="00611550"/>
    <w:rsid w:val="006122DF"/>
    <w:rsid w:val="006122F4"/>
    <w:rsid w:val="00613879"/>
    <w:rsid w:val="0061387B"/>
    <w:rsid w:val="00613B6A"/>
    <w:rsid w:val="00614557"/>
    <w:rsid w:val="00614827"/>
    <w:rsid w:val="00615595"/>
    <w:rsid w:val="00615739"/>
    <w:rsid w:val="00617ACD"/>
    <w:rsid w:val="00621081"/>
    <w:rsid w:val="0062229F"/>
    <w:rsid w:val="00623CEB"/>
    <w:rsid w:val="006240B9"/>
    <w:rsid w:val="0062423E"/>
    <w:rsid w:val="0062469D"/>
    <w:rsid w:val="00624AE8"/>
    <w:rsid w:val="00627F3C"/>
    <w:rsid w:val="00627FDD"/>
    <w:rsid w:val="0063017E"/>
    <w:rsid w:val="0063096E"/>
    <w:rsid w:val="00631409"/>
    <w:rsid w:val="006318E3"/>
    <w:rsid w:val="00634E73"/>
    <w:rsid w:val="00635525"/>
    <w:rsid w:val="00635823"/>
    <w:rsid w:val="00635A83"/>
    <w:rsid w:val="00635DF8"/>
    <w:rsid w:val="00635E88"/>
    <w:rsid w:val="00636088"/>
    <w:rsid w:val="006371C4"/>
    <w:rsid w:val="006375E1"/>
    <w:rsid w:val="006376A4"/>
    <w:rsid w:val="006405EC"/>
    <w:rsid w:val="006406A9"/>
    <w:rsid w:val="006422A5"/>
    <w:rsid w:val="006425AA"/>
    <w:rsid w:val="00643621"/>
    <w:rsid w:val="00643E5E"/>
    <w:rsid w:val="0064407F"/>
    <w:rsid w:val="006443F7"/>
    <w:rsid w:val="006444B4"/>
    <w:rsid w:val="00644573"/>
    <w:rsid w:val="00644DD2"/>
    <w:rsid w:val="00645134"/>
    <w:rsid w:val="00645333"/>
    <w:rsid w:val="00645AEE"/>
    <w:rsid w:val="00645B14"/>
    <w:rsid w:val="00646655"/>
    <w:rsid w:val="00646BA6"/>
    <w:rsid w:val="00646C9C"/>
    <w:rsid w:val="006475A2"/>
    <w:rsid w:val="00651189"/>
    <w:rsid w:val="0065201B"/>
    <w:rsid w:val="00652463"/>
    <w:rsid w:val="006528AE"/>
    <w:rsid w:val="00652CED"/>
    <w:rsid w:val="00652DED"/>
    <w:rsid w:val="0065343A"/>
    <w:rsid w:val="00654876"/>
    <w:rsid w:val="00655576"/>
    <w:rsid w:val="006562D3"/>
    <w:rsid w:val="00656AC2"/>
    <w:rsid w:val="00657381"/>
    <w:rsid w:val="006578F7"/>
    <w:rsid w:val="00657976"/>
    <w:rsid w:val="006602C4"/>
    <w:rsid w:val="006605DF"/>
    <w:rsid w:val="00660C12"/>
    <w:rsid w:val="00661154"/>
    <w:rsid w:val="00661839"/>
    <w:rsid w:val="006624E4"/>
    <w:rsid w:val="00662C9D"/>
    <w:rsid w:val="00664755"/>
    <w:rsid w:val="00664DB6"/>
    <w:rsid w:val="00665C13"/>
    <w:rsid w:val="00665D5B"/>
    <w:rsid w:val="00665FDA"/>
    <w:rsid w:val="006660AC"/>
    <w:rsid w:val="006669CF"/>
    <w:rsid w:val="006670F1"/>
    <w:rsid w:val="00670088"/>
    <w:rsid w:val="0067202F"/>
    <w:rsid w:val="006725EE"/>
    <w:rsid w:val="00672C09"/>
    <w:rsid w:val="00673DA8"/>
    <w:rsid w:val="00673EB8"/>
    <w:rsid w:val="00674F75"/>
    <w:rsid w:val="00674FF9"/>
    <w:rsid w:val="006751E7"/>
    <w:rsid w:val="0067704C"/>
    <w:rsid w:val="006774D1"/>
    <w:rsid w:val="0068018A"/>
    <w:rsid w:val="00680761"/>
    <w:rsid w:val="00680C3D"/>
    <w:rsid w:val="006845E1"/>
    <w:rsid w:val="00686B9B"/>
    <w:rsid w:val="0068719A"/>
    <w:rsid w:val="00687DB2"/>
    <w:rsid w:val="00690830"/>
    <w:rsid w:val="00690B2F"/>
    <w:rsid w:val="00690D6F"/>
    <w:rsid w:val="006910CF"/>
    <w:rsid w:val="0069126C"/>
    <w:rsid w:val="006915A3"/>
    <w:rsid w:val="0069246F"/>
    <w:rsid w:val="0069533A"/>
    <w:rsid w:val="0069544F"/>
    <w:rsid w:val="00696768"/>
    <w:rsid w:val="00696CDE"/>
    <w:rsid w:val="0069745F"/>
    <w:rsid w:val="0069769A"/>
    <w:rsid w:val="00697D94"/>
    <w:rsid w:val="006A0F6A"/>
    <w:rsid w:val="006A1C73"/>
    <w:rsid w:val="006A1E4D"/>
    <w:rsid w:val="006A2265"/>
    <w:rsid w:val="006A2398"/>
    <w:rsid w:val="006A262E"/>
    <w:rsid w:val="006A29C6"/>
    <w:rsid w:val="006A2B85"/>
    <w:rsid w:val="006A30E5"/>
    <w:rsid w:val="006A3144"/>
    <w:rsid w:val="006A3B4A"/>
    <w:rsid w:val="006A3EC2"/>
    <w:rsid w:val="006A4461"/>
    <w:rsid w:val="006A4D9E"/>
    <w:rsid w:val="006A5373"/>
    <w:rsid w:val="006A5FD8"/>
    <w:rsid w:val="006A66A0"/>
    <w:rsid w:val="006A7278"/>
    <w:rsid w:val="006A7AA4"/>
    <w:rsid w:val="006A7E74"/>
    <w:rsid w:val="006A7EFC"/>
    <w:rsid w:val="006B0DB5"/>
    <w:rsid w:val="006B161F"/>
    <w:rsid w:val="006B1BAA"/>
    <w:rsid w:val="006B1F2C"/>
    <w:rsid w:val="006B25A2"/>
    <w:rsid w:val="006B2E43"/>
    <w:rsid w:val="006B361C"/>
    <w:rsid w:val="006B40C6"/>
    <w:rsid w:val="006B4919"/>
    <w:rsid w:val="006B5D28"/>
    <w:rsid w:val="006B5FF0"/>
    <w:rsid w:val="006B7304"/>
    <w:rsid w:val="006C086A"/>
    <w:rsid w:val="006C0D5C"/>
    <w:rsid w:val="006C170C"/>
    <w:rsid w:val="006C27A5"/>
    <w:rsid w:val="006C2BC8"/>
    <w:rsid w:val="006C3C38"/>
    <w:rsid w:val="006C3DE0"/>
    <w:rsid w:val="006C3F63"/>
    <w:rsid w:val="006C53D1"/>
    <w:rsid w:val="006C5A32"/>
    <w:rsid w:val="006C5AD9"/>
    <w:rsid w:val="006C5D44"/>
    <w:rsid w:val="006C5E18"/>
    <w:rsid w:val="006C6031"/>
    <w:rsid w:val="006C7463"/>
    <w:rsid w:val="006D0217"/>
    <w:rsid w:val="006D02E6"/>
    <w:rsid w:val="006D10CB"/>
    <w:rsid w:val="006D1139"/>
    <w:rsid w:val="006D1341"/>
    <w:rsid w:val="006D1947"/>
    <w:rsid w:val="006D4009"/>
    <w:rsid w:val="006D442E"/>
    <w:rsid w:val="006D61F5"/>
    <w:rsid w:val="006D6491"/>
    <w:rsid w:val="006D6513"/>
    <w:rsid w:val="006D6882"/>
    <w:rsid w:val="006D6EAA"/>
    <w:rsid w:val="006D7000"/>
    <w:rsid w:val="006D701C"/>
    <w:rsid w:val="006D708F"/>
    <w:rsid w:val="006D7AF8"/>
    <w:rsid w:val="006E0BB9"/>
    <w:rsid w:val="006E197A"/>
    <w:rsid w:val="006E224B"/>
    <w:rsid w:val="006E23C5"/>
    <w:rsid w:val="006E278E"/>
    <w:rsid w:val="006E2E60"/>
    <w:rsid w:val="006E2F68"/>
    <w:rsid w:val="006E5101"/>
    <w:rsid w:val="006E54B0"/>
    <w:rsid w:val="006E55D0"/>
    <w:rsid w:val="006E5D83"/>
    <w:rsid w:val="006E5EBA"/>
    <w:rsid w:val="006E5FC9"/>
    <w:rsid w:val="006E611A"/>
    <w:rsid w:val="006E7217"/>
    <w:rsid w:val="006F011A"/>
    <w:rsid w:val="006F0707"/>
    <w:rsid w:val="006F12E7"/>
    <w:rsid w:val="006F1AA3"/>
    <w:rsid w:val="006F1BBA"/>
    <w:rsid w:val="006F2D5B"/>
    <w:rsid w:val="006F2F74"/>
    <w:rsid w:val="006F3912"/>
    <w:rsid w:val="006F487D"/>
    <w:rsid w:val="006F6C23"/>
    <w:rsid w:val="006F70F7"/>
    <w:rsid w:val="006F725A"/>
    <w:rsid w:val="006F7836"/>
    <w:rsid w:val="006F7F2D"/>
    <w:rsid w:val="007005D5"/>
    <w:rsid w:val="00700A02"/>
    <w:rsid w:val="00700ACD"/>
    <w:rsid w:val="00700C21"/>
    <w:rsid w:val="00702311"/>
    <w:rsid w:val="0070238B"/>
    <w:rsid w:val="00702599"/>
    <w:rsid w:val="007029AF"/>
    <w:rsid w:val="00702CC9"/>
    <w:rsid w:val="00703985"/>
    <w:rsid w:val="00703999"/>
    <w:rsid w:val="00703B5F"/>
    <w:rsid w:val="00703FF8"/>
    <w:rsid w:val="00704610"/>
    <w:rsid w:val="00704809"/>
    <w:rsid w:val="00705B27"/>
    <w:rsid w:val="00706659"/>
    <w:rsid w:val="0070692B"/>
    <w:rsid w:val="00706CC5"/>
    <w:rsid w:val="00706F65"/>
    <w:rsid w:val="007079AC"/>
    <w:rsid w:val="00710240"/>
    <w:rsid w:val="007102E0"/>
    <w:rsid w:val="00710FA0"/>
    <w:rsid w:val="0071207F"/>
    <w:rsid w:val="00712FCD"/>
    <w:rsid w:val="00713CFB"/>
    <w:rsid w:val="00713F84"/>
    <w:rsid w:val="0071452D"/>
    <w:rsid w:val="007145E7"/>
    <w:rsid w:val="00714D8B"/>
    <w:rsid w:val="00715A40"/>
    <w:rsid w:val="007164E1"/>
    <w:rsid w:val="00716C05"/>
    <w:rsid w:val="007171E5"/>
    <w:rsid w:val="00720200"/>
    <w:rsid w:val="0072078A"/>
    <w:rsid w:val="007207B3"/>
    <w:rsid w:val="00720809"/>
    <w:rsid w:val="00720F30"/>
    <w:rsid w:val="0072100D"/>
    <w:rsid w:val="00721199"/>
    <w:rsid w:val="00721926"/>
    <w:rsid w:val="00721F3E"/>
    <w:rsid w:val="00722019"/>
    <w:rsid w:val="00722885"/>
    <w:rsid w:val="007236DE"/>
    <w:rsid w:val="00723DF4"/>
    <w:rsid w:val="00724514"/>
    <w:rsid w:val="007245F9"/>
    <w:rsid w:val="00724C5D"/>
    <w:rsid w:val="00726137"/>
    <w:rsid w:val="00727DD5"/>
    <w:rsid w:val="007301AD"/>
    <w:rsid w:val="0073141E"/>
    <w:rsid w:val="00731CF4"/>
    <w:rsid w:val="00732134"/>
    <w:rsid w:val="00733F30"/>
    <w:rsid w:val="00735047"/>
    <w:rsid w:val="007360E3"/>
    <w:rsid w:val="007362F5"/>
    <w:rsid w:val="00737482"/>
    <w:rsid w:val="00737595"/>
    <w:rsid w:val="00737EE4"/>
    <w:rsid w:val="00740472"/>
    <w:rsid w:val="00740509"/>
    <w:rsid w:val="00740F03"/>
    <w:rsid w:val="00741302"/>
    <w:rsid w:val="00742823"/>
    <w:rsid w:val="00744128"/>
    <w:rsid w:val="00746602"/>
    <w:rsid w:val="0074717A"/>
    <w:rsid w:val="00747B56"/>
    <w:rsid w:val="00747C9A"/>
    <w:rsid w:val="0075002E"/>
    <w:rsid w:val="00750441"/>
    <w:rsid w:val="00750EB1"/>
    <w:rsid w:val="00751578"/>
    <w:rsid w:val="0075301A"/>
    <w:rsid w:val="007538C5"/>
    <w:rsid w:val="007542FF"/>
    <w:rsid w:val="00754389"/>
    <w:rsid w:val="00754775"/>
    <w:rsid w:val="0075479C"/>
    <w:rsid w:val="00755171"/>
    <w:rsid w:val="00755D72"/>
    <w:rsid w:val="00756249"/>
    <w:rsid w:val="0075696A"/>
    <w:rsid w:val="00756BC3"/>
    <w:rsid w:val="00756F02"/>
    <w:rsid w:val="00757D53"/>
    <w:rsid w:val="00757F93"/>
    <w:rsid w:val="0076002D"/>
    <w:rsid w:val="007604EF"/>
    <w:rsid w:val="00760DF3"/>
    <w:rsid w:val="00761773"/>
    <w:rsid w:val="00761AA6"/>
    <w:rsid w:val="0076202C"/>
    <w:rsid w:val="007624FB"/>
    <w:rsid w:val="0076265E"/>
    <w:rsid w:val="007636F3"/>
    <w:rsid w:val="0076428C"/>
    <w:rsid w:val="0076494E"/>
    <w:rsid w:val="0076513E"/>
    <w:rsid w:val="00765259"/>
    <w:rsid w:val="00766171"/>
    <w:rsid w:val="007666DF"/>
    <w:rsid w:val="00767666"/>
    <w:rsid w:val="007677D1"/>
    <w:rsid w:val="007706EF"/>
    <w:rsid w:val="00771503"/>
    <w:rsid w:val="00771DB5"/>
    <w:rsid w:val="00772C4A"/>
    <w:rsid w:val="0077350A"/>
    <w:rsid w:val="00773889"/>
    <w:rsid w:val="00773D14"/>
    <w:rsid w:val="007747B2"/>
    <w:rsid w:val="00775264"/>
    <w:rsid w:val="007769ED"/>
    <w:rsid w:val="007777A3"/>
    <w:rsid w:val="00777BA6"/>
    <w:rsid w:val="00781027"/>
    <w:rsid w:val="007811DC"/>
    <w:rsid w:val="00781386"/>
    <w:rsid w:val="007816BB"/>
    <w:rsid w:val="00782201"/>
    <w:rsid w:val="0078253C"/>
    <w:rsid w:val="0078376F"/>
    <w:rsid w:val="007837E0"/>
    <w:rsid w:val="00783B86"/>
    <w:rsid w:val="00783C7E"/>
    <w:rsid w:val="00783FAD"/>
    <w:rsid w:val="00783FD8"/>
    <w:rsid w:val="0078537F"/>
    <w:rsid w:val="00785B93"/>
    <w:rsid w:val="00785D57"/>
    <w:rsid w:val="007862CD"/>
    <w:rsid w:val="00787CEB"/>
    <w:rsid w:val="00790B6B"/>
    <w:rsid w:val="007917A1"/>
    <w:rsid w:val="00791AC4"/>
    <w:rsid w:val="007931C5"/>
    <w:rsid w:val="00793213"/>
    <w:rsid w:val="00793468"/>
    <w:rsid w:val="007951D4"/>
    <w:rsid w:val="00796896"/>
    <w:rsid w:val="007974C7"/>
    <w:rsid w:val="007A2594"/>
    <w:rsid w:val="007A26E7"/>
    <w:rsid w:val="007A2AD2"/>
    <w:rsid w:val="007A3328"/>
    <w:rsid w:val="007A3CAF"/>
    <w:rsid w:val="007A4496"/>
    <w:rsid w:val="007A450B"/>
    <w:rsid w:val="007A47CF"/>
    <w:rsid w:val="007A496A"/>
    <w:rsid w:val="007A61C9"/>
    <w:rsid w:val="007A724F"/>
    <w:rsid w:val="007A72B6"/>
    <w:rsid w:val="007A72BA"/>
    <w:rsid w:val="007A7A83"/>
    <w:rsid w:val="007B063B"/>
    <w:rsid w:val="007B07C8"/>
    <w:rsid w:val="007B1BC1"/>
    <w:rsid w:val="007B1CA0"/>
    <w:rsid w:val="007B4436"/>
    <w:rsid w:val="007B4859"/>
    <w:rsid w:val="007B6620"/>
    <w:rsid w:val="007B6EB8"/>
    <w:rsid w:val="007B722C"/>
    <w:rsid w:val="007B7C0B"/>
    <w:rsid w:val="007C076A"/>
    <w:rsid w:val="007C08DB"/>
    <w:rsid w:val="007C117D"/>
    <w:rsid w:val="007C15E4"/>
    <w:rsid w:val="007C16BB"/>
    <w:rsid w:val="007C1D49"/>
    <w:rsid w:val="007C4455"/>
    <w:rsid w:val="007C46EF"/>
    <w:rsid w:val="007C510B"/>
    <w:rsid w:val="007C58AF"/>
    <w:rsid w:val="007C767F"/>
    <w:rsid w:val="007C7BCB"/>
    <w:rsid w:val="007D0170"/>
    <w:rsid w:val="007D0EC5"/>
    <w:rsid w:val="007D2156"/>
    <w:rsid w:val="007D2BD7"/>
    <w:rsid w:val="007D2CCF"/>
    <w:rsid w:val="007D3366"/>
    <w:rsid w:val="007D3381"/>
    <w:rsid w:val="007D4974"/>
    <w:rsid w:val="007D5C61"/>
    <w:rsid w:val="007D62C9"/>
    <w:rsid w:val="007D64B2"/>
    <w:rsid w:val="007D6E85"/>
    <w:rsid w:val="007D7337"/>
    <w:rsid w:val="007E0B21"/>
    <w:rsid w:val="007E104F"/>
    <w:rsid w:val="007E1580"/>
    <w:rsid w:val="007E34E7"/>
    <w:rsid w:val="007E37F4"/>
    <w:rsid w:val="007E38FF"/>
    <w:rsid w:val="007E3C06"/>
    <w:rsid w:val="007E3C76"/>
    <w:rsid w:val="007E460B"/>
    <w:rsid w:val="007E460D"/>
    <w:rsid w:val="007E4CC5"/>
    <w:rsid w:val="007E4DB9"/>
    <w:rsid w:val="007E5023"/>
    <w:rsid w:val="007E55E3"/>
    <w:rsid w:val="007E5739"/>
    <w:rsid w:val="007E60D6"/>
    <w:rsid w:val="007E6A34"/>
    <w:rsid w:val="007E6F0C"/>
    <w:rsid w:val="007E7375"/>
    <w:rsid w:val="007E74D1"/>
    <w:rsid w:val="007F005C"/>
    <w:rsid w:val="007F07FE"/>
    <w:rsid w:val="007F119C"/>
    <w:rsid w:val="007F11F4"/>
    <w:rsid w:val="007F1A6D"/>
    <w:rsid w:val="007F2A17"/>
    <w:rsid w:val="007F3460"/>
    <w:rsid w:val="007F3EE8"/>
    <w:rsid w:val="007F439E"/>
    <w:rsid w:val="007F4DAA"/>
    <w:rsid w:val="007F7A33"/>
    <w:rsid w:val="007F7AFE"/>
    <w:rsid w:val="00800205"/>
    <w:rsid w:val="00800B61"/>
    <w:rsid w:val="00802964"/>
    <w:rsid w:val="0080300B"/>
    <w:rsid w:val="00803C72"/>
    <w:rsid w:val="00804FBF"/>
    <w:rsid w:val="0080558D"/>
    <w:rsid w:val="00805A0A"/>
    <w:rsid w:val="00805E3C"/>
    <w:rsid w:val="0080688E"/>
    <w:rsid w:val="00806EF0"/>
    <w:rsid w:val="00810630"/>
    <w:rsid w:val="00811987"/>
    <w:rsid w:val="00812FDE"/>
    <w:rsid w:val="00813025"/>
    <w:rsid w:val="00813A13"/>
    <w:rsid w:val="00813A56"/>
    <w:rsid w:val="00813C23"/>
    <w:rsid w:val="00814084"/>
    <w:rsid w:val="0081425E"/>
    <w:rsid w:val="00815828"/>
    <w:rsid w:val="00815E4D"/>
    <w:rsid w:val="008167AC"/>
    <w:rsid w:val="0081701F"/>
    <w:rsid w:val="00820220"/>
    <w:rsid w:val="00820399"/>
    <w:rsid w:val="00820F5B"/>
    <w:rsid w:val="0082166C"/>
    <w:rsid w:val="008223F3"/>
    <w:rsid w:val="00822C31"/>
    <w:rsid w:val="00823114"/>
    <w:rsid w:val="0082346F"/>
    <w:rsid w:val="008235AE"/>
    <w:rsid w:val="00823E4E"/>
    <w:rsid w:val="008240B3"/>
    <w:rsid w:val="00825CFA"/>
    <w:rsid w:val="00825E08"/>
    <w:rsid w:val="00826506"/>
    <w:rsid w:val="00826E27"/>
    <w:rsid w:val="00827139"/>
    <w:rsid w:val="008273AD"/>
    <w:rsid w:val="0082740D"/>
    <w:rsid w:val="0083003C"/>
    <w:rsid w:val="00830340"/>
    <w:rsid w:val="00831160"/>
    <w:rsid w:val="008312B3"/>
    <w:rsid w:val="00831A9C"/>
    <w:rsid w:val="008320FF"/>
    <w:rsid w:val="00832407"/>
    <w:rsid w:val="008332DF"/>
    <w:rsid w:val="008345FF"/>
    <w:rsid w:val="008348FF"/>
    <w:rsid w:val="00834970"/>
    <w:rsid w:val="00834DF9"/>
    <w:rsid w:val="008350CF"/>
    <w:rsid w:val="00835409"/>
    <w:rsid w:val="008358E9"/>
    <w:rsid w:val="008366BE"/>
    <w:rsid w:val="008372DA"/>
    <w:rsid w:val="00840903"/>
    <w:rsid w:val="00842194"/>
    <w:rsid w:val="008426B3"/>
    <w:rsid w:val="00842D9F"/>
    <w:rsid w:val="0084407C"/>
    <w:rsid w:val="0084433E"/>
    <w:rsid w:val="00844C82"/>
    <w:rsid w:val="00845673"/>
    <w:rsid w:val="008463AC"/>
    <w:rsid w:val="00846805"/>
    <w:rsid w:val="00847EE0"/>
    <w:rsid w:val="008501DF"/>
    <w:rsid w:val="008506FB"/>
    <w:rsid w:val="00850BD1"/>
    <w:rsid w:val="008515A0"/>
    <w:rsid w:val="00851B4F"/>
    <w:rsid w:val="00853E3F"/>
    <w:rsid w:val="00853F11"/>
    <w:rsid w:val="0085441A"/>
    <w:rsid w:val="00854E9A"/>
    <w:rsid w:val="00854EF6"/>
    <w:rsid w:val="00854FDD"/>
    <w:rsid w:val="00855FCD"/>
    <w:rsid w:val="008560EF"/>
    <w:rsid w:val="008567C8"/>
    <w:rsid w:val="008569D1"/>
    <w:rsid w:val="00856B8E"/>
    <w:rsid w:val="008577F8"/>
    <w:rsid w:val="00861A7E"/>
    <w:rsid w:val="00861DF2"/>
    <w:rsid w:val="00862712"/>
    <w:rsid w:val="00862D29"/>
    <w:rsid w:val="0086369C"/>
    <w:rsid w:val="00863FA4"/>
    <w:rsid w:val="00864B9D"/>
    <w:rsid w:val="00864D42"/>
    <w:rsid w:val="0086653E"/>
    <w:rsid w:val="00866622"/>
    <w:rsid w:val="00866AA7"/>
    <w:rsid w:val="0086725D"/>
    <w:rsid w:val="0086734F"/>
    <w:rsid w:val="0087122B"/>
    <w:rsid w:val="008717B2"/>
    <w:rsid w:val="008719E9"/>
    <w:rsid w:val="0087212B"/>
    <w:rsid w:val="00872208"/>
    <w:rsid w:val="008727AF"/>
    <w:rsid w:val="0087292D"/>
    <w:rsid w:val="0087298A"/>
    <w:rsid w:val="008729B8"/>
    <w:rsid w:val="00874057"/>
    <w:rsid w:val="008743A0"/>
    <w:rsid w:val="0087496C"/>
    <w:rsid w:val="00874A06"/>
    <w:rsid w:val="00875366"/>
    <w:rsid w:val="00875DC0"/>
    <w:rsid w:val="0087650C"/>
    <w:rsid w:val="00876C14"/>
    <w:rsid w:val="00876DE1"/>
    <w:rsid w:val="008775C7"/>
    <w:rsid w:val="0087783D"/>
    <w:rsid w:val="00880E57"/>
    <w:rsid w:val="00880EC3"/>
    <w:rsid w:val="008810C6"/>
    <w:rsid w:val="0088197C"/>
    <w:rsid w:val="00881CD6"/>
    <w:rsid w:val="00882971"/>
    <w:rsid w:val="00882A5A"/>
    <w:rsid w:val="00883572"/>
    <w:rsid w:val="00883CA8"/>
    <w:rsid w:val="00883FAF"/>
    <w:rsid w:val="00884445"/>
    <w:rsid w:val="00884A70"/>
    <w:rsid w:val="00884E1E"/>
    <w:rsid w:val="0088560D"/>
    <w:rsid w:val="008859AD"/>
    <w:rsid w:val="008873A1"/>
    <w:rsid w:val="008876A8"/>
    <w:rsid w:val="008905DA"/>
    <w:rsid w:val="008908FE"/>
    <w:rsid w:val="00891739"/>
    <w:rsid w:val="00892B70"/>
    <w:rsid w:val="008954A3"/>
    <w:rsid w:val="008955B1"/>
    <w:rsid w:val="0089581A"/>
    <w:rsid w:val="0089624E"/>
    <w:rsid w:val="00896D7F"/>
    <w:rsid w:val="00897420"/>
    <w:rsid w:val="00897FDC"/>
    <w:rsid w:val="008A0076"/>
    <w:rsid w:val="008A204D"/>
    <w:rsid w:val="008A23C9"/>
    <w:rsid w:val="008A2BE7"/>
    <w:rsid w:val="008A3083"/>
    <w:rsid w:val="008A411F"/>
    <w:rsid w:val="008A4E83"/>
    <w:rsid w:val="008A5BBF"/>
    <w:rsid w:val="008A5E4C"/>
    <w:rsid w:val="008A610C"/>
    <w:rsid w:val="008A7B50"/>
    <w:rsid w:val="008B0998"/>
    <w:rsid w:val="008B0F48"/>
    <w:rsid w:val="008B118F"/>
    <w:rsid w:val="008B1821"/>
    <w:rsid w:val="008B2B53"/>
    <w:rsid w:val="008B2E36"/>
    <w:rsid w:val="008B4112"/>
    <w:rsid w:val="008B46A8"/>
    <w:rsid w:val="008B5765"/>
    <w:rsid w:val="008B5DF1"/>
    <w:rsid w:val="008B690E"/>
    <w:rsid w:val="008B7198"/>
    <w:rsid w:val="008B74E9"/>
    <w:rsid w:val="008B7BA6"/>
    <w:rsid w:val="008B7FD2"/>
    <w:rsid w:val="008C0E0A"/>
    <w:rsid w:val="008C0F45"/>
    <w:rsid w:val="008C23CD"/>
    <w:rsid w:val="008C2614"/>
    <w:rsid w:val="008C27B5"/>
    <w:rsid w:val="008C33D5"/>
    <w:rsid w:val="008C4BBC"/>
    <w:rsid w:val="008C4E81"/>
    <w:rsid w:val="008C524C"/>
    <w:rsid w:val="008C5A13"/>
    <w:rsid w:val="008C5B09"/>
    <w:rsid w:val="008C6437"/>
    <w:rsid w:val="008C6B2C"/>
    <w:rsid w:val="008C6DFF"/>
    <w:rsid w:val="008C71EA"/>
    <w:rsid w:val="008C7C92"/>
    <w:rsid w:val="008C7D11"/>
    <w:rsid w:val="008D005B"/>
    <w:rsid w:val="008D05B7"/>
    <w:rsid w:val="008D064D"/>
    <w:rsid w:val="008D1964"/>
    <w:rsid w:val="008D269E"/>
    <w:rsid w:val="008D2843"/>
    <w:rsid w:val="008D3B56"/>
    <w:rsid w:val="008D3D83"/>
    <w:rsid w:val="008D4189"/>
    <w:rsid w:val="008D42E7"/>
    <w:rsid w:val="008D44D8"/>
    <w:rsid w:val="008D4D6D"/>
    <w:rsid w:val="008D58E5"/>
    <w:rsid w:val="008D635A"/>
    <w:rsid w:val="008E0BA4"/>
    <w:rsid w:val="008E1C27"/>
    <w:rsid w:val="008E2AA4"/>
    <w:rsid w:val="008E3E6E"/>
    <w:rsid w:val="008E5680"/>
    <w:rsid w:val="008E68C5"/>
    <w:rsid w:val="008E7B61"/>
    <w:rsid w:val="008F0519"/>
    <w:rsid w:val="008F0AA1"/>
    <w:rsid w:val="008F0F6D"/>
    <w:rsid w:val="008F1310"/>
    <w:rsid w:val="008F1F0E"/>
    <w:rsid w:val="008F2CA7"/>
    <w:rsid w:val="008F322C"/>
    <w:rsid w:val="008F362F"/>
    <w:rsid w:val="008F3A23"/>
    <w:rsid w:val="008F3F12"/>
    <w:rsid w:val="008F401A"/>
    <w:rsid w:val="008F429E"/>
    <w:rsid w:val="008F4901"/>
    <w:rsid w:val="008F5584"/>
    <w:rsid w:val="008F70AF"/>
    <w:rsid w:val="008F7245"/>
    <w:rsid w:val="008F72BF"/>
    <w:rsid w:val="0090076A"/>
    <w:rsid w:val="00900BBD"/>
    <w:rsid w:val="009011A6"/>
    <w:rsid w:val="009019D7"/>
    <w:rsid w:val="00901BAC"/>
    <w:rsid w:val="00902131"/>
    <w:rsid w:val="00902C8A"/>
    <w:rsid w:val="009032E3"/>
    <w:rsid w:val="00903578"/>
    <w:rsid w:val="009035AE"/>
    <w:rsid w:val="00905078"/>
    <w:rsid w:val="009051A5"/>
    <w:rsid w:val="00905CE4"/>
    <w:rsid w:val="00905FF1"/>
    <w:rsid w:val="009064C2"/>
    <w:rsid w:val="00906642"/>
    <w:rsid w:val="00907498"/>
    <w:rsid w:val="00907A87"/>
    <w:rsid w:val="00910B27"/>
    <w:rsid w:val="0091164C"/>
    <w:rsid w:val="00911BFB"/>
    <w:rsid w:val="009121D7"/>
    <w:rsid w:val="0091277B"/>
    <w:rsid w:val="009127D9"/>
    <w:rsid w:val="0091317E"/>
    <w:rsid w:val="0091389A"/>
    <w:rsid w:val="00913ADB"/>
    <w:rsid w:val="00913C4D"/>
    <w:rsid w:val="00913C5C"/>
    <w:rsid w:val="00914E75"/>
    <w:rsid w:val="00915EFC"/>
    <w:rsid w:val="0091637F"/>
    <w:rsid w:val="00916527"/>
    <w:rsid w:val="00916605"/>
    <w:rsid w:val="00916A0C"/>
    <w:rsid w:val="00916E30"/>
    <w:rsid w:val="009174DC"/>
    <w:rsid w:val="00917FCD"/>
    <w:rsid w:val="00920815"/>
    <w:rsid w:val="00920B19"/>
    <w:rsid w:val="00922A05"/>
    <w:rsid w:val="0092360A"/>
    <w:rsid w:val="00923837"/>
    <w:rsid w:val="009240A9"/>
    <w:rsid w:val="009246B6"/>
    <w:rsid w:val="00924748"/>
    <w:rsid w:val="00924B01"/>
    <w:rsid w:val="00924E01"/>
    <w:rsid w:val="00925BE0"/>
    <w:rsid w:val="0092635F"/>
    <w:rsid w:val="00926654"/>
    <w:rsid w:val="00926ACE"/>
    <w:rsid w:val="00926E76"/>
    <w:rsid w:val="00927557"/>
    <w:rsid w:val="0092794F"/>
    <w:rsid w:val="00930024"/>
    <w:rsid w:val="009318FA"/>
    <w:rsid w:val="00931A10"/>
    <w:rsid w:val="00931B58"/>
    <w:rsid w:val="00933107"/>
    <w:rsid w:val="00933D6A"/>
    <w:rsid w:val="009340DB"/>
    <w:rsid w:val="009344B7"/>
    <w:rsid w:val="0093502C"/>
    <w:rsid w:val="009366DF"/>
    <w:rsid w:val="00937431"/>
    <w:rsid w:val="00937432"/>
    <w:rsid w:val="00937B6C"/>
    <w:rsid w:val="009418B8"/>
    <w:rsid w:val="00942201"/>
    <w:rsid w:val="009429DB"/>
    <w:rsid w:val="00942FE0"/>
    <w:rsid w:val="00943327"/>
    <w:rsid w:val="00943741"/>
    <w:rsid w:val="00943E6F"/>
    <w:rsid w:val="00943FAE"/>
    <w:rsid w:val="009442F1"/>
    <w:rsid w:val="00945023"/>
    <w:rsid w:val="0094503B"/>
    <w:rsid w:val="009450FB"/>
    <w:rsid w:val="009455C8"/>
    <w:rsid w:val="00945FAC"/>
    <w:rsid w:val="009469A5"/>
    <w:rsid w:val="00947578"/>
    <w:rsid w:val="0094760C"/>
    <w:rsid w:val="0094784A"/>
    <w:rsid w:val="00947B7D"/>
    <w:rsid w:val="00950791"/>
    <w:rsid w:val="00952DAD"/>
    <w:rsid w:val="00952F97"/>
    <w:rsid w:val="0095443F"/>
    <w:rsid w:val="0095462E"/>
    <w:rsid w:val="00954EDB"/>
    <w:rsid w:val="00955076"/>
    <w:rsid w:val="0095540D"/>
    <w:rsid w:val="00957280"/>
    <w:rsid w:val="009576A2"/>
    <w:rsid w:val="009577EA"/>
    <w:rsid w:val="0096076F"/>
    <w:rsid w:val="00961123"/>
    <w:rsid w:val="009611E2"/>
    <w:rsid w:val="00961291"/>
    <w:rsid w:val="009619B9"/>
    <w:rsid w:val="00961FB4"/>
    <w:rsid w:val="00962598"/>
    <w:rsid w:val="00962788"/>
    <w:rsid w:val="0096296E"/>
    <w:rsid w:val="00963105"/>
    <w:rsid w:val="00964629"/>
    <w:rsid w:val="00964643"/>
    <w:rsid w:val="00965215"/>
    <w:rsid w:val="00965BF2"/>
    <w:rsid w:val="00966686"/>
    <w:rsid w:val="00967343"/>
    <w:rsid w:val="00967E4D"/>
    <w:rsid w:val="0097104F"/>
    <w:rsid w:val="0097143E"/>
    <w:rsid w:val="009720A9"/>
    <w:rsid w:val="009723D4"/>
    <w:rsid w:val="00972578"/>
    <w:rsid w:val="00973034"/>
    <w:rsid w:val="009734D3"/>
    <w:rsid w:val="00974105"/>
    <w:rsid w:val="00974E4F"/>
    <w:rsid w:val="00975142"/>
    <w:rsid w:val="00975C39"/>
    <w:rsid w:val="009764F1"/>
    <w:rsid w:val="00976C72"/>
    <w:rsid w:val="009774B7"/>
    <w:rsid w:val="00980654"/>
    <w:rsid w:val="009820A0"/>
    <w:rsid w:val="009822DA"/>
    <w:rsid w:val="00982576"/>
    <w:rsid w:val="009827E7"/>
    <w:rsid w:val="00982F20"/>
    <w:rsid w:val="009834C2"/>
    <w:rsid w:val="00983BE2"/>
    <w:rsid w:val="00984F51"/>
    <w:rsid w:val="009854C7"/>
    <w:rsid w:val="0098603C"/>
    <w:rsid w:val="00986F74"/>
    <w:rsid w:val="00987F68"/>
    <w:rsid w:val="00991600"/>
    <w:rsid w:val="00991DB2"/>
    <w:rsid w:val="00993A25"/>
    <w:rsid w:val="00994A2C"/>
    <w:rsid w:val="00994AEC"/>
    <w:rsid w:val="00995AF8"/>
    <w:rsid w:val="00995FE6"/>
    <w:rsid w:val="009961E6"/>
    <w:rsid w:val="0099700A"/>
    <w:rsid w:val="00997F14"/>
    <w:rsid w:val="009A03BF"/>
    <w:rsid w:val="009A0BE8"/>
    <w:rsid w:val="009A0C9E"/>
    <w:rsid w:val="009A1935"/>
    <w:rsid w:val="009A1D43"/>
    <w:rsid w:val="009A21BC"/>
    <w:rsid w:val="009A3013"/>
    <w:rsid w:val="009A302D"/>
    <w:rsid w:val="009A31EB"/>
    <w:rsid w:val="009A35F2"/>
    <w:rsid w:val="009A3886"/>
    <w:rsid w:val="009A4281"/>
    <w:rsid w:val="009A5161"/>
    <w:rsid w:val="009A6352"/>
    <w:rsid w:val="009A73F1"/>
    <w:rsid w:val="009A79E4"/>
    <w:rsid w:val="009B1464"/>
    <w:rsid w:val="009B1C78"/>
    <w:rsid w:val="009B1E99"/>
    <w:rsid w:val="009B2D25"/>
    <w:rsid w:val="009B3430"/>
    <w:rsid w:val="009B44CC"/>
    <w:rsid w:val="009B540D"/>
    <w:rsid w:val="009B5554"/>
    <w:rsid w:val="009B55D8"/>
    <w:rsid w:val="009B6472"/>
    <w:rsid w:val="009B6616"/>
    <w:rsid w:val="009B6D60"/>
    <w:rsid w:val="009B70FB"/>
    <w:rsid w:val="009B7DF0"/>
    <w:rsid w:val="009C0B43"/>
    <w:rsid w:val="009C0F87"/>
    <w:rsid w:val="009C14EE"/>
    <w:rsid w:val="009C26C9"/>
    <w:rsid w:val="009C2EE2"/>
    <w:rsid w:val="009C3D82"/>
    <w:rsid w:val="009C44C0"/>
    <w:rsid w:val="009C4C6A"/>
    <w:rsid w:val="009C4D46"/>
    <w:rsid w:val="009C5490"/>
    <w:rsid w:val="009C5A2C"/>
    <w:rsid w:val="009C5B60"/>
    <w:rsid w:val="009C6AEB"/>
    <w:rsid w:val="009C7919"/>
    <w:rsid w:val="009C794A"/>
    <w:rsid w:val="009D05FD"/>
    <w:rsid w:val="009D0B4A"/>
    <w:rsid w:val="009D2506"/>
    <w:rsid w:val="009D25BD"/>
    <w:rsid w:val="009D331B"/>
    <w:rsid w:val="009D3943"/>
    <w:rsid w:val="009D3FB8"/>
    <w:rsid w:val="009D43F1"/>
    <w:rsid w:val="009D5379"/>
    <w:rsid w:val="009D6E37"/>
    <w:rsid w:val="009D791C"/>
    <w:rsid w:val="009D7C82"/>
    <w:rsid w:val="009E0114"/>
    <w:rsid w:val="009E09B5"/>
    <w:rsid w:val="009E1581"/>
    <w:rsid w:val="009E1E16"/>
    <w:rsid w:val="009E2854"/>
    <w:rsid w:val="009E317C"/>
    <w:rsid w:val="009E3797"/>
    <w:rsid w:val="009E37EF"/>
    <w:rsid w:val="009E40DE"/>
    <w:rsid w:val="009E42E8"/>
    <w:rsid w:val="009E4FB2"/>
    <w:rsid w:val="009E53D4"/>
    <w:rsid w:val="009E5986"/>
    <w:rsid w:val="009E5F4E"/>
    <w:rsid w:val="009E6071"/>
    <w:rsid w:val="009E6CEA"/>
    <w:rsid w:val="009E70DA"/>
    <w:rsid w:val="009F0500"/>
    <w:rsid w:val="009F11D9"/>
    <w:rsid w:val="009F1440"/>
    <w:rsid w:val="009F23F6"/>
    <w:rsid w:val="009F2C15"/>
    <w:rsid w:val="009F302C"/>
    <w:rsid w:val="009F3BCB"/>
    <w:rsid w:val="009F4227"/>
    <w:rsid w:val="009F439B"/>
    <w:rsid w:val="009F4602"/>
    <w:rsid w:val="009F4872"/>
    <w:rsid w:val="009F5771"/>
    <w:rsid w:val="009F5B22"/>
    <w:rsid w:val="009F6DF5"/>
    <w:rsid w:val="009F6E2B"/>
    <w:rsid w:val="00A00CA2"/>
    <w:rsid w:val="00A00D94"/>
    <w:rsid w:val="00A01D21"/>
    <w:rsid w:val="00A0280C"/>
    <w:rsid w:val="00A03962"/>
    <w:rsid w:val="00A04D1C"/>
    <w:rsid w:val="00A0512F"/>
    <w:rsid w:val="00A06D7A"/>
    <w:rsid w:val="00A07028"/>
    <w:rsid w:val="00A0740C"/>
    <w:rsid w:val="00A07B2A"/>
    <w:rsid w:val="00A1051E"/>
    <w:rsid w:val="00A10E3E"/>
    <w:rsid w:val="00A11767"/>
    <w:rsid w:val="00A11C98"/>
    <w:rsid w:val="00A11E54"/>
    <w:rsid w:val="00A12616"/>
    <w:rsid w:val="00A12EF4"/>
    <w:rsid w:val="00A130FF"/>
    <w:rsid w:val="00A14D3C"/>
    <w:rsid w:val="00A1625B"/>
    <w:rsid w:val="00A16601"/>
    <w:rsid w:val="00A16F4E"/>
    <w:rsid w:val="00A170B2"/>
    <w:rsid w:val="00A175EF"/>
    <w:rsid w:val="00A2039E"/>
    <w:rsid w:val="00A2057A"/>
    <w:rsid w:val="00A23CA9"/>
    <w:rsid w:val="00A23F46"/>
    <w:rsid w:val="00A245AB"/>
    <w:rsid w:val="00A25893"/>
    <w:rsid w:val="00A25C2A"/>
    <w:rsid w:val="00A26575"/>
    <w:rsid w:val="00A27353"/>
    <w:rsid w:val="00A27C41"/>
    <w:rsid w:val="00A303F1"/>
    <w:rsid w:val="00A31D1F"/>
    <w:rsid w:val="00A34769"/>
    <w:rsid w:val="00A3506B"/>
    <w:rsid w:val="00A35188"/>
    <w:rsid w:val="00A352CA"/>
    <w:rsid w:val="00A358AA"/>
    <w:rsid w:val="00A35A0F"/>
    <w:rsid w:val="00A36D35"/>
    <w:rsid w:val="00A37043"/>
    <w:rsid w:val="00A40BE5"/>
    <w:rsid w:val="00A40D86"/>
    <w:rsid w:val="00A417C8"/>
    <w:rsid w:val="00A41DF4"/>
    <w:rsid w:val="00A420DD"/>
    <w:rsid w:val="00A42CFF"/>
    <w:rsid w:val="00A43AC2"/>
    <w:rsid w:val="00A441C4"/>
    <w:rsid w:val="00A442BB"/>
    <w:rsid w:val="00A448EB"/>
    <w:rsid w:val="00A44C01"/>
    <w:rsid w:val="00A45282"/>
    <w:rsid w:val="00A464F0"/>
    <w:rsid w:val="00A47AEC"/>
    <w:rsid w:val="00A50706"/>
    <w:rsid w:val="00A51C5A"/>
    <w:rsid w:val="00A51C96"/>
    <w:rsid w:val="00A51F5D"/>
    <w:rsid w:val="00A521BB"/>
    <w:rsid w:val="00A526DC"/>
    <w:rsid w:val="00A52A36"/>
    <w:rsid w:val="00A52E78"/>
    <w:rsid w:val="00A53621"/>
    <w:rsid w:val="00A54269"/>
    <w:rsid w:val="00A54E29"/>
    <w:rsid w:val="00A54E59"/>
    <w:rsid w:val="00A55778"/>
    <w:rsid w:val="00A55E84"/>
    <w:rsid w:val="00A566CD"/>
    <w:rsid w:val="00A57188"/>
    <w:rsid w:val="00A57196"/>
    <w:rsid w:val="00A5765A"/>
    <w:rsid w:val="00A60139"/>
    <w:rsid w:val="00A60654"/>
    <w:rsid w:val="00A60A3C"/>
    <w:rsid w:val="00A60E75"/>
    <w:rsid w:val="00A610E9"/>
    <w:rsid w:val="00A61956"/>
    <w:rsid w:val="00A62F10"/>
    <w:rsid w:val="00A633FC"/>
    <w:rsid w:val="00A63947"/>
    <w:rsid w:val="00A64B1E"/>
    <w:rsid w:val="00A64C7B"/>
    <w:rsid w:val="00A6573F"/>
    <w:rsid w:val="00A65B53"/>
    <w:rsid w:val="00A65DA4"/>
    <w:rsid w:val="00A661A5"/>
    <w:rsid w:val="00A66CCA"/>
    <w:rsid w:val="00A66F94"/>
    <w:rsid w:val="00A72115"/>
    <w:rsid w:val="00A73413"/>
    <w:rsid w:val="00A74154"/>
    <w:rsid w:val="00A74282"/>
    <w:rsid w:val="00A744EE"/>
    <w:rsid w:val="00A74BB8"/>
    <w:rsid w:val="00A7557D"/>
    <w:rsid w:val="00A76220"/>
    <w:rsid w:val="00A766D6"/>
    <w:rsid w:val="00A768E8"/>
    <w:rsid w:val="00A76E74"/>
    <w:rsid w:val="00A77BB0"/>
    <w:rsid w:val="00A8038B"/>
    <w:rsid w:val="00A809C7"/>
    <w:rsid w:val="00A810CA"/>
    <w:rsid w:val="00A811AD"/>
    <w:rsid w:val="00A82164"/>
    <w:rsid w:val="00A823F7"/>
    <w:rsid w:val="00A82402"/>
    <w:rsid w:val="00A8254A"/>
    <w:rsid w:val="00A82731"/>
    <w:rsid w:val="00A828A4"/>
    <w:rsid w:val="00A834CF"/>
    <w:rsid w:val="00A83612"/>
    <w:rsid w:val="00A84323"/>
    <w:rsid w:val="00A8456B"/>
    <w:rsid w:val="00A85684"/>
    <w:rsid w:val="00A8663D"/>
    <w:rsid w:val="00A86AFC"/>
    <w:rsid w:val="00A877A6"/>
    <w:rsid w:val="00A87ACF"/>
    <w:rsid w:val="00A914A2"/>
    <w:rsid w:val="00A91F64"/>
    <w:rsid w:val="00A9250C"/>
    <w:rsid w:val="00A92548"/>
    <w:rsid w:val="00A93068"/>
    <w:rsid w:val="00A9351B"/>
    <w:rsid w:val="00A94A9C"/>
    <w:rsid w:val="00A94F55"/>
    <w:rsid w:val="00A964BF"/>
    <w:rsid w:val="00A97514"/>
    <w:rsid w:val="00A97674"/>
    <w:rsid w:val="00A97D32"/>
    <w:rsid w:val="00AA0E2E"/>
    <w:rsid w:val="00AA16AF"/>
    <w:rsid w:val="00AA25A5"/>
    <w:rsid w:val="00AA25D2"/>
    <w:rsid w:val="00AA2654"/>
    <w:rsid w:val="00AA2AEA"/>
    <w:rsid w:val="00AA2BF0"/>
    <w:rsid w:val="00AA332E"/>
    <w:rsid w:val="00AA3885"/>
    <w:rsid w:val="00AA3ED4"/>
    <w:rsid w:val="00AA5882"/>
    <w:rsid w:val="00AA5E0B"/>
    <w:rsid w:val="00AA6417"/>
    <w:rsid w:val="00AA65DB"/>
    <w:rsid w:val="00AA6843"/>
    <w:rsid w:val="00AA68D4"/>
    <w:rsid w:val="00AA69C8"/>
    <w:rsid w:val="00AA6B66"/>
    <w:rsid w:val="00AA6E9C"/>
    <w:rsid w:val="00AA7A7C"/>
    <w:rsid w:val="00AB05C5"/>
    <w:rsid w:val="00AB08B6"/>
    <w:rsid w:val="00AB0F80"/>
    <w:rsid w:val="00AB1176"/>
    <w:rsid w:val="00AB13C2"/>
    <w:rsid w:val="00AB1688"/>
    <w:rsid w:val="00AB199A"/>
    <w:rsid w:val="00AB22A5"/>
    <w:rsid w:val="00AB261E"/>
    <w:rsid w:val="00AB372D"/>
    <w:rsid w:val="00AB5B4A"/>
    <w:rsid w:val="00AB692B"/>
    <w:rsid w:val="00AB792D"/>
    <w:rsid w:val="00AB7A54"/>
    <w:rsid w:val="00AB7A61"/>
    <w:rsid w:val="00AC0300"/>
    <w:rsid w:val="00AC05D4"/>
    <w:rsid w:val="00AC2C5F"/>
    <w:rsid w:val="00AC2E00"/>
    <w:rsid w:val="00AC3261"/>
    <w:rsid w:val="00AC36F6"/>
    <w:rsid w:val="00AC4867"/>
    <w:rsid w:val="00AC4F94"/>
    <w:rsid w:val="00AC5EA2"/>
    <w:rsid w:val="00AD0A3E"/>
    <w:rsid w:val="00AD2A02"/>
    <w:rsid w:val="00AD3016"/>
    <w:rsid w:val="00AD552E"/>
    <w:rsid w:val="00AD6828"/>
    <w:rsid w:val="00AD6F49"/>
    <w:rsid w:val="00AD7285"/>
    <w:rsid w:val="00AD7371"/>
    <w:rsid w:val="00AD7545"/>
    <w:rsid w:val="00AD7BA7"/>
    <w:rsid w:val="00AE0E6D"/>
    <w:rsid w:val="00AE184A"/>
    <w:rsid w:val="00AE233B"/>
    <w:rsid w:val="00AE24B5"/>
    <w:rsid w:val="00AE2F86"/>
    <w:rsid w:val="00AE3532"/>
    <w:rsid w:val="00AE474F"/>
    <w:rsid w:val="00AE4C9D"/>
    <w:rsid w:val="00AE6281"/>
    <w:rsid w:val="00AE7546"/>
    <w:rsid w:val="00AE75CF"/>
    <w:rsid w:val="00AE774F"/>
    <w:rsid w:val="00AF008C"/>
    <w:rsid w:val="00AF174F"/>
    <w:rsid w:val="00AF211D"/>
    <w:rsid w:val="00AF3814"/>
    <w:rsid w:val="00AF3F9A"/>
    <w:rsid w:val="00AF4EC4"/>
    <w:rsid w:val="00AF5DB2"/>
    <w:rsid w:val="00AF7964"/>
    <w:rsid w:val="00B00461"/>
    <w:rsid w:val="00B00935"/>
    <w:rsid w:val="00B00FBC"/>
    <w:rsid w:val="00B01634"/>
    <w:rsid w:val="00B05960"/>
    <w:rsid w:val="00B05E8E"/>
    <w:rsid w:val="00B05EB4"/>
    <w:rsid w:val="00B06C12"/>
    <w:rsid w:val="00B06EC8"/>
    <w:rsid w:val="00B06F4C"/>
    <w:rsid w:val="00B114DD"/>
    <w:rsid w:val="00B12E7B"/>
    <w:rsid w:val="00B14901"/>
    <w:rsid w:val="00B15BEC"/>
    <w:rsid w:val="00B15BF8"/>
    <w:rsid w:val="00B16251"/>
    <w:rsid w:val="00B17474"/>
    <w:rsid w:val="00B174B2"/>
    <w:rsid w:val="00B20746"/>
    <w:rsid w:val="00B21F62"/>
    <w:rsid w:val="00B22D5D"/>
    <w:rsid w:val="00B234CC"/>
    <w:rsid w:val="00B24198"/>
    <w:rsid w:val="00B24602"/>
    <w:rsid w:val="00B257AC"/>
    <w:rsid w:val="00B26B53"/>
    <w:rsid w:val="00B2728D"/>
    <w:rsid w:val="00B27561"/>
    <w:rsid w:val="00B27637"/>
    <w:rsid w:val="00B27F62"/>
    <w:rsid w:val="00B300D5"/>
    <w:rsid w:val="00B3046C"/>
    <w:rsid w:val="00B30898"/>
    <w:rsid w:val="00B30E73"/>
    <w:rsid w:val="00B30ED2"/>
    <w:rsid w:val="00B32D5F"/>
    <w:rsid w:val="00B3470D"/>
    <w:rsid w:val="00B36724"/>
    <w:rsid w:val="00B3672C"/>
    <w:rsid w:val="00B37541"/>
    <w:rsid w:val="00B401F1"/>
    <w:rsid w:val="00B40BCB"/>
    <w:rsid w:val="00B4194A"/>
    <w:rsid w:val="00B42ACD"/>
    <w:rsid w:val="00B42C93"/>
    <w:rsid w:val="00B42FFD"/>
    <w:rsid w:val="00B4334A"/>
    <w:rsid w:val="00B43462"/>
    <w:rsid w:val="00B43EEB"/>
    <w:rsid w:val="00B44A15"/>
    <w:rsid w:val="00B451BE"/>
    <w:rsid w:val="00B454FD"/>
    <w:rsid w:val="00B46EA2"/>
    <w:rsid w:val="00B475C5"/>
    <w:rsid w:val="00B511AE"/>
    <w:rsid w:val="00B51BEB"/>
    <w:rsid w:val="00B51F40"/>
    <w:rsid w:val="00B52538"/>
    <w:rsid w:val="00B52696"/>
    <w:rsid w:val="00B52E6C"/>
    <w:rsid w:val="00B5302A"/>
    <w:rsid w:val="00B5456F"/>
    <w:rsid w:val="00B5474E"/>
    <w:rsid w:val="00B54A48"/>
    <w:rsid w:val="00B54D72"/>
    <w:rsid w:val="00B54F60"/>
    <w:rsid w:val="00B561BA"/>
    <w:rsid w:val="00B562CE"/>
    <w:rsid w:val="00B56B6F"/>
    <w:rsid w:val="00B5769A"/>
    <w:rsid w:val="00B60257"/>
    <w:rsid w:val="00B608DE"/>
    <w:rsid w:val="00B60BA9"/>
    <w:rsid w:val="00B6200E"/>
    <w:rsid w:val="00B629F3"/>
    <w:rsid w:val="00B6340E"/>
    <w:rsid w:val="00B63518"/>
    <w:rsid w:val="00B63735"/>
    <w:rsid w:val="00B6394A"/>
    <w:rsid w:val="00B63D2F"/>
    <w:rsid w:val="00B6422F"/>
    <w:rsid w:val="00B64557"/>
    <w:rsid w:val="00B64830"/>
    <w:rsid w:val="00B65F2A"/>
    <w:rsid w:val="00B71CE8"/>
    <w:rsid w:val="00B71D83"/>
    <w:rsid w:val="00B74B3E"/>
    <w:rsid w:val="00B74CFC"/>
    <w:rsid w:val="00B76722"/>
    <w:rsid w:val="00B76B15"/>
    <w:rsid w:val="00B76B6D"/>
    <w:rsid w:val="00B773D1"/>
    <w:rsid w:val="00B81583"/>
    <w:rsid w:val="00B830DE"/>
    <w:rsid w:val="00B83371"/>
    <w:rsid w:val="00B833CF"/>
    <w:rsid w:val="00B834F4"/>
    <w:rsid w:val="00B839A0"/>
    <w:rsid w:val="00B852E7"/>
    <w:rsid w:val="00B8637A"/>
    <w:rsid w:val="00B863D0"/>
    <w:rsid w:val="00B86E8E"/>
    <w:rsid w:val="00B871E4"/>
    <w:rsid w:val="00B87676"/>
    <w:rsid w:val="00B87681"/>
    <w:rsid w:val="00B87A0D"/>
    <w:rsid w:val="00B9030F"/>
    <w:rsid w:val="00B90E41"/>
    <w:rsid w:val="00B910AD"/>
    <w:rsid w:val="00B919AA"/>
    <w:rsid w:val="00B91DB0"/>
    <w:rsid w:val="00B91F36"/>
    <w:rsid w:val="00B9263D"/>
    <w:rsid w:val="00B92A56"/>
    <w:rsid w:val="00B92E2C"/>
    <w:rsid w:val="00B93965"/>
    <w:rsid w:val="00B93E6E"/>
    <w:rsid w:val="00B94FB9"/>
    <w:rsid w:val="00B95725"/>
    <w:rsid w:val="00B9575B"/>
    <w:rsid w:val="00B97982"/>
    <w:rsid w:val="00BA1642"/>
    <w:rsid w:val="00BA1C8D"/>
    <w:rsid w:val="00BA1FE8"/>
    <w:rsid w:val="00BA2045"/>
    <w:rsid w:val="00BA3116"/>
    <w:rsid w:val="00BA5290"/>
    <w:rsid w:val="00BA52CE"/>
    <w:rsid w:val="00BA5EDF"/>
    <w:rsid w:val="00BA61B7"/>
    <w:rsid w:val="00BB022B"/>
    <w:rsid w:val="00BB0869"/>
    <w:rsid w:val="00BB160D"/>
    <w:rsid w:val="00BB17D6"/>
    <w:rsid w:val="00BB1A1E"/>
    <w:rsid w:val="00BB1A2D"/>
    <w:rsid w:val="00BB1BF1"/>
    <w:rsid w:val="00BB2002"/>
    <w:rsid w:val="00BB24DE"/>
    <w:rsid w:val="00BB299A"/>
    <w:rsid w:val="00BB44DF"/>
    <w:rsid w:val="00BB450E"/>
    <w:rsid w:val="00BB4C55"/>
    <w:rsid w:val="00BB51A0"/>
    <w:rsid w:val="00BB5355"/>
    <w:rsid w:val="00BB6595"/>
    <w:rsid w:val="00BB6BBC"/>
    <w:rsid w:val="00BB72EA"/>
    <w:rsid w:val="00BB772F"/>
    <w:rsid w:val="00BB79D8"/>
    <w:rsid w:val="00BC0330"/>
    <w:rsid w:val="00BC0494"/>
    <w:rsid w:val="00BC1227"/>
    <w:rsid w:val="00BC1328"/>
    <w:rsid w:val="00BC4112"/>
    <w:rsid w:val="00BC46FD"/>
    <w:rsid w:val="00BC483E"/>
    <w:rsid w:val="00BC4F11"/>
    <w:rsid w:val="00BC5BF7"/>
    <w:rsid w:val="00BC5BFA"/>
    <w:rsid w:val="00BC5C63"/>
    <w:rsid w:val="00BC5C9B"/>
    <w:rsid w:val="00BC5E44"/>
    <w:rsid w:val="00BC68DF"/>
    <w:rsid w:val="00BC7089"/>
    <w:rsid w:val="00BC7204"/>
    <w:rsid w:val="00BC7588"/>
    <w:rsid w:val="00BC774B"/>
    <w:rsid w:val="00BC7EE2"/>
    <w:rsid w:val="00BC7F28"/>
    <w:rsid w:val="00BD0350"/>
    <w:rsid w:val="00BD183D"/>
    <w:rsid w:val="00BD1CD6"/>
    <w:rsid w:val="00BD2573"/>
    <w:rsid w:val="00BD3030"/>
    <w:rsid w:val="00BD3F85"/>
    <w:rsid w:val="00BD44DE"/>
    <w:rsid w:val="00BD65D4"/>
    <w:rsid w:val="00BD6DE2"/>
    <w:rsid w:val="00BD76C5"/>
    <w:rsid w:val="00BD77B0"/>
    <w:rsid w:val="00BD784D"/>
    <w:rsid w:val="00BD7F4B"/>
    <w:rsid w:val="00BE02D6"/>
    <w:rsid w:val="00BE08CC"/>
    <w:rsid w:val="00BE09A9"/>
    <w:rsid w:val="00BE1784"/>
    <w:rsid w:val="00BE230E"/>
    <w:rsid w:val="00BE34B2"/>
    <w:rsid w:val="00BE359A"/>
    <w:rsid w:val="00BE3B9B"/>
    <w:rsid w:val="00BE4264"/>
    <w:rsid w:val="00BE49CA"/>
    <w:rsid w:val="00BE4D2E"/>
    <w:rsid w:val="00BE5DAD"/>
    <w:rsid w:val="00BE6DAB"/>
    <w:rsid w:val="00BE6E52"/>
    <w:rsid w:val="00BE6F2F"/>
    <w:rsid w:val="00BE76C2"/>
    <w:rsid w:val="00BE7DA3"/>
    <w:rsid w:val="00BE7E21"/>
    <w:rsid w:val="00BF0CCF"/>
    <w:rsid w:val="00BF1AD7"/>
    <w:rsid w:val="00BF32D3"/>
    <w:rsid w:val="00BF51E9"/>
    <w:rsid w:val="00BF628F"/>
    <w:rsid w:val="00BF6B99"/>
    <w:rsid w:val="00BF6D8E"/>
    <w:rsid w:val="00BF734A"/>
    <w:rsid w:val="00BF7A49"/>
    <w:rsid w:val="00C012B6"/>
    <w:rsid w:val="00C0301F"/>
    <w:rsid w:val="00C0343B"/>
    <w:rsid w:val="00C03768"/>
    <w:rsid w:val="00C04B41"/>
    <w:rsid w:val="00C04FF3"/>
    <w:rsid w:val="00C05429"/>
    <w:rsid w:val="00C0676F"/>
    <w:rsid w:val="00C06BAD"/>
    <w:rsid w:val="00C07F65"/>
    <w:rsid w:val="00C102FC"/>
    <w:rsid w:val="00C11CE3"/>
    <w:rsid w:val="00C121B3"/>
    <w:rsid w:val="00C12351"/>
    <w:rsid w:val="00C13559"/>
    <w:rsid w:val="00C138A5"/>
    <w:rsid w:val="00C13A08"/>
    <w:rsid w:val="00C16BD0"/>
    <w:rsid w:val="00C17ACB"/>
    <w:rsid w:val="00C17CCE"/>
    <w:rsid w:val="00C17D32"/>
    <w:rsid w:val="00C17D4F"/>
    <w:rsid w:val="00C17D68"/>
    <w:rsid w:val="00C202B7"/>
    <w:rsid w:val="00C2033A"/>
    <w:rsid w:val="00C207F8"/>
    <w:rsid w:val="00C20FD5"/>
    <w:rsid w:val="00C212A8"/>
    <w:rsid w:val="00C2136D"/>
    <w:rsid w:val="00C21377"/>
    <w:rsid w:val="00C219BB"/>
    <w:rsid w:val="00C21DEF"/>
    <w:rsid w:val="00C21F27"/>
    <w:rsid w:val="00C235FE"/>
    <w:rsid w:val="00C2395D"/>
    <w:rsid w:val="00C23C7E"/>
    <w:rsid w:val="00C24416"/>
    <w:rsid w:val="00C25B7F"/>
    <w:rsid w:val="00C26D99"/>
    <w:rsid w:val="00C26FF7"/>
    <w:rsid w:val="00C27BCA"/>
    <w:rsid w:val="00C302C8"/>
    <w:rsid w:val="00C306C7"/>
    <w:rsid w:val="00C3077F"/>
    <w:rsid w:val="00C3192C"/>
    <w:rsid w:val="00C32022"/>
    <w:rsid w:val="00C328BD"/>
    <w:rsid w:val="00C3388E"/>
    <w:rsid w:val="00C33D76"/>
    <w:rsid w:val="00C34512"/>
    <w:rsid w:val="00C346C2"/>
    <w:rsid w:val="00C35071"/>
    <w:rsid w:val="00C352BF"/>
    <w:rsid w:val="00C359FE"/>
    <w:rsid w:val="00C35BC6"/>
    <w:rsid w:val="00C3617A"/>
    <w:rsid w:val="00C36C23"/>
    <w:rsid w:val="00C3752A"/>
    <w:rsid w:val="00C37FE0"/>
    <w:rsid w:val="00C40DAE"/>
    <w:rsid w:val="00C415C9"/>
    <w:rsid w:val="00C419CB"/>
    <w:rsid w:val="00C41DFC"/>
    <w:rsid w:val="00C421B3"/>
    <w:rsid w:val="00C42737"/>
    <w:rsid w:val="00C42F07"/>
    <w:rsid w:val="00C42F48"/>
    <w:rsid w:val="00C434FC"/>
    <w:rsid w:val="00C451C6"/>
    <w:rsid w:val="00C45492"/>
    <w:rsid w:val="00C45729"/>
    <w:rsid w:val="00C45B9C"/>
    <w:rsid w:val="00C4625F"/>
    <w:rsid w:val="00C464E2"/>
    <w:rsid w:val="00C4710A"/>
    <w:rsid w:val="00C4717D"/>
    <w:rsid w:val="00C477A0"/>
    <w:rsid w:val="00C47DD1"/>
    <w:rsid w:val="00C50054"/>
    <w:rsid w:val="00C506DE"/>
    <w:rsid w:val="00C511F5"/>
    <w:rsid w:val="00C51303"/>
    <w:rsid w:val="00C51B0E"/>
    <w:rsid w:val="00C52121"/>
    <w:rsid w:val="00C527D2"/>
    <w:rsid w:val="00C528D4"/>
    <w:rsid w:val="00C52A0E"/>
    <w:rsid w:val="00C52AB8"/>
    <w:rsid w:val="00C530E9"/>
    <w:rsid w:val="00C5362D"/>
    <w:rsid w:val="00C53898"/>
    <w:rsid w:val="00C540DF"/>
    <w:rsid w:val="00C54196"/>
    <w:rsid w:val="00C54777"/>
    <w:rsid w:val="00C5509A"/>
    <w:rsid w:val="00C568F9"/>
    <w:rsid w:val="00C568FC"/>
    <w:rsid w:val="00C573F0"/>
    <w:rsid w:val="00C57871"/>
    <w:rsid w:val="00C62407"/>
    <w:rsid w:val="00C6279B"/>
    <w:rsid w:val="00C642DF"/>
    <w:rsid w:val="00C6460C"/>
    <w:rsid w:val="00C64EEF"/>
    <w:rsid w:val="00C6549E"/>
    <w:rsid w:val="00C668C0"/>
    <w:rsid w:val="00C66B48"/>
    <w:rsid w:val="00C67843"/>
    <w:rsid w:val="00C67D25"/>
    <w:rsid w:val="00C723B3"/>
    <w:rsid w:val="00C72567"/>
    <w:rsid w:val="00C72649"/>
    <w:rsid w:val="00C7272B"/>
    <w:rsid w:val="00C72BA7"/>
    <w:rsid w:val="00C73476"/>
    <w:rsid w:val="00C735E9"/>
    <w:rsid w:val="00C73E54"/>
    <w:rsid w:val="00C7457E"/>
    <w:rsid w:val="00C75F61"/>
    <w:rsid w:val="00C76397"/>
    <w:rsid w:val="00C76821"/>
    <w:rsid w:val="00C76C7E"/>
    <w:rsid w:val="00C77251"/>
    <w:rsid w:val="00C77DC1"/>
    <w:rsid w:val="00C77FC8"/>
    <w:rsid w:val="00C80C82"/>
    <w:rsid w:val="00C8125B"/>
    <w:rsid w:val="00C81665"/>
    <w:rsid w:val="00C826AE"/>
    <w:rsid w:val="00C826BD"/>
    <w:rsid w:val="00C82861"/>
    <w:rsid w:val="00C828E3"/>
    <w:rsid w:val="00C82D95"/>
    <w:rsid w:val="00C83471"/>
    <w:rsid w:val="00C836DD"/>
    <w:rsid w:val="00C838E4"/>
    <w:rsid w:val="00C84476"/>
    <w:rsid w:val="00C84F6F"/>
    <w:rsid w:val="00C862F8"/>
    <w:rsid w:val="00C86469"/>
    <w:rsid w:val="00C86B7B"/>
    <w:rsid w:val="00C877EB"/>
    <w:rsid w:val="00C90026"/>
    <w:rsid w:val="00C909FB"/>
    <w:rsid w:val="00C91591"/>
    <w:rsid w:val="00C91B06"/>
    <w:rsid w:val="00C92451"/>
    <w:rsid w:val="00C95382"/>
    <w:rsid w:val="00C9547A"/>
    <w:rsid w:val="00C95599"/>
    <w:rsid w:val="00C97672"/>
    <w:rsid w:val="00CA2698"/>
    <w:rsid w:val="00CA3586"/>
    <w:rsid w:val="00CA3B23"/>
    <w:rsid w:val="00CA43C2"/>
    <w:rsid w:val="00CA4590"/>
    <w:rsid w:val="00CA4B79"/>
    <w:rsid w:val="00CA5ED9"/>
    <w:rsid w:val="00CA6DFA"/>
    <w:rsid w:val="00CA6ED8"/>
    <w:rsid w:val="00CA7588"/>
    <w:rsid w:val="00CA77DA"/>
    <w:rsid w:val="00CB0368"/>
    <w:rsid w:val="00CB0A0A"/>
    <w:rsid w:val="00CB0B7E"/>
    <w:rsid w:val="00CB0DD3"/>
    <w:rsid w:val="00CB0E70"/>
    <w:rsid w:val="00CB266D"/>
    <w:rsid w:val="00CB2A1D"/>
    <w:rsid w:val="00CB30E4"/>
    <w:rsid w:val="00CB312E"/>
    <w:rsid w:val="00CB344E"/>
    <w:rsid w:val="00CB35A4"/>
    <w:rsid w:val="00CB48D5"/>
    <w:rsid w:val="00CB5BA9"/>
    <w:rsid w:val="00CB5E3E"/>
    <w:rsid w:val="00CB62EB"/>
    <w:rsid w:val="00CB7FF8"/>
    <w:rsid w:val="00CC0745"/>
    <w:rsid w:val="00CC0AC5"/>
    <w:rsid w:val="00CC0B08"/>
    <w:rsid w:val="00CC0D78"/>
    <w:rsid w:val="00CC1360"/>
    <w:rsid w:val="00CC1893"/>
    <w:rsid w:val="00CC19B7"/>
    <w:rsid w:val="00CC2391"/>
    <w:rsid w:val="00CC260B"/>
    <w:rsid w:val="00CC35B2"/>
    <w:rsid w:val="00CC3695"/>
    <w:rsid w:val="00CC369B"/>
    <w:rsid w:val="00CC37FF"/>
    <w:rsid w:val="00CC397E"/>
    <w:rsid w:val="00CC5237"/>
    <w:rsid w:val="00CC5891"/>
    <w:rsid w:val="00CC6073"/>
    <w:rsid w:val="00CC6858"/>
    <w:rsid w:val="00CC6917"/>
    <w:rsid w:val="00CC692C"/>
    <w:rsid w:val="00CC7134"/>
    <w:rsid w:val="00CD16A2"/>
    <w:rsid w:val="00CD1EB5"/>
    <w:rsid w:val="00CD21E7"/>
    <w:rsid w:val="00CD2895"/>
    <w:rsid w:val="00CD2C21"/>
    <w:rsid w:val="00CD3689"/>
    <w:rsid w:val="00CD3A3C"/>
    <w:rsid w:val="00CD4275"/>
    <w:rsid w:val="00CD499C"/>
    <w:rsid w:val="00CD6216"/>
    <w:rsid w:val="00CD6518"/>
    <w:rsid w:val="00CD75CD"/>
    <w:rsid w:val="00CD7763"/>
    <w:rsid w:val="00CD79AF"/>
    <w:rsid w:val="00CD7B5A"/>
    <w:rsid w:val="00CE0169"/>
    <w:rsid w:val="00CE07C9"/>
    <w:rsid w:val="00CE1732"/>
    <w:rsid w:val="00CE318A"/>
    <w:rsid w:val="00CE3494"/>
    <w:rsid w:val="00CE498A"/>
    <w:rsid w:val="00CE6257"/>
    <w:rsid w:val="00CE7C2B"/>
    <w:rsid w:val="00CE7C7F"/>
    <w:rsid w:val="00CE7D7A"/>
    <w:rsid w:val="00CF0BE2"/>
    <w:rsid w:val="00CF2970"/>
    <w:rsid w:val="00CF30DA"/>
    <w:rsid w:val="00CF3E98"/>
    <w:rsid w:val="00CF42DA"/>
    <w:rsid w:val="00CF51CB"/>
    <w:rsid w:val="00CF5389"/>
    <w:rsid w:val="00CF5D75"/>
    <w:rsid w:val="00CF695D"/>
    <w:rsid w:val="00CF6D16"/>
    <w:rsid w:val="00CF6E11"/>
    <w:rsid w:val="00CF6EAD"/>
    <w:rsid w:val="00CF6F81"/>
    <w:rsid w:val="00CF718B"/>
    <w:rsid w:val="00CF7AFF"/>
    <w:rsid w:val="00D006D0"/>
    <w:rsid w:val="00D019B5"/>
    <w:rsid w:val="00D020DE"/>
    <w:rsid w:val="00D03005"/>
    <w:rsid w:val="00D03805"/>
    <w:rsid w:val="00D03947"/>
    <w:rsid w:val="00D03D1D"/>
    <w:rsid w:val="00D047B8"/>
    <w:rsid w:val="00D0569E"/>
    <w:rsid w:val="00D060D5"/>
    <w:rsid w:val="00D067D1"/>
    <w:rsid w:val="00D070C6"/>
    <w:rsid w:val="00D0782C"/>
    <w:rsid w:val="00D10020"/>
    <w:rsid w:val="00D103C9"/>
    <w:rsid w:val="00D105AF"/>
    <w:rsid w:val="00D11AEB"/>
    <w:rsid w:val="00D1306C"/>
    <w:rsid w:val="00D131EA"/>
    <w:rsid w:val="00D131F0"/>
    <w:rsid w:val="00D1561B"/>
    <w:rsid w:val="00D15FD5"/>
    <w:rsid w:val="00D164FA"/>
    <w:rsid w:val="00D1701E"/>
    <w:rsid w:val="00D177CD"/>
    <w:rsid w:val="00D17F7E"/>
    <w:rsid w:val="00D20CB6"/>
    <w:rsid w:val="00D214F4"/>
    <w:rsid w:val="00D21A69"/>
    <w:rsid w:val="00D21BDC"/>
    <w:rsid w:val="00D22769"/>
    <w:rsid w:val="00D22BC1"/>
    <w:rsid w:val="00D25BD7"/>
    <w:rsid w:val="00D267AE"/>
    <w:rsid w:val="00D27312"/>
    <w:rsid w:val="00D27812"/>
    <w:rsid w:val="00D279C8"/>
    <w:rsid w:val="00D3060F"/>
    <w:rsid w:val="00D30E3D"/>
    <w:rsid w:val="00D30E8D"/>
    <w:rsid w:val="00D32B52"/>
    <w:rsid w:val="00D32BC9"/>
    <w:rsid w:val="00D36D60"/>
    <w:rsid w:val="00D37472"/>
    <w:rsid w:val="00D40CE8"/>
    <w:rsid w:val="00D42B37"/>
    <w:rsid w:val="00D42CA5"/>
    <w:rsid w:val="00D42DB3"/>
    <w:rsid w:val="00D43154"/>
    <w:rsid w:val="00D43498"/>
    <w:rsid w:val="00D4440C"/>
    <w:rsid w:val="00D44DCD"/>
    <w:rsid w:val="00D44E85"/>
    <w:rsid w:val="00D455A3"/>
    <w:rsid w:val="00D459AC"/>
    <w:rsid w:val="00D47BBD"/>
    <w:rsid w:val="00D507D7"/>
    <w:rsid w:val="00D5162A"/>
    <w:rsid w:val="00D51692"/>
    <w:rsid w:val="00D519D7"/>
    <w:rsid w:val="00D519FD"/>
    <w:rsid w:val="00D52C71"/>
    <w:rsid w:val="00D5395F"/>
    <w:rsid w:val="00D543FC"/>
    <w:rsid w:val="00D54EBC"/>
    <w:rsid w:val="00D551F4"/>
    <w:rsid w:val="00D56303"/>
    <w:rsid w:val="00D5737B"/>
    <w:rsid w:val="00D574F4"/>
    <w:rsid w:val="00D5761E"/>
    <w:rsid w:val="00D57CE6"/>
    <w:rsid w:val="00D600AD"/>
    <w:rsid w:val="00D605FC"/>
    <w:rsid w:val="00D61324"/>
    <w:rsid w:val="00D61A6B"/>
    <w:rsid w:val="00D61ED8"/>
    <w:rsid w:val="00D6211E"/>
    <w:rsid w:val="00D62174"/>
    <w:rsid w:val="00D62531"/>
    <w:rsid w:val="00D62C41"/>
    <w:rsid w:val="00D63ECB"/>
    <w:rsid w:val="00D641DC"/>
    <w:rsid w:val="00D64C0C"/>
    <w:rsid w:val="00D65513"/>
    <w:rsid w:val="00D661E7"/>
    <w:rsid w:val="00D67BA1"/>
    <w:rsid w:val="00D67E07"/>
    <w:rsid w:val="00D70126"/>
    <w:rsid w:val="00D706A3"/>
    <w:rsid w:val="00D718FF"/>
    <w:rsid w:val="00D72122"/>
    <w:rsid w:val="00D72C43"/>
    <w:rsid w:val="00D73C50"/>
    <w:rsid w:val="00D74189"/>
    <w:rsid w:val="00D746A9"/>
    <w:rsid w:val="00D74904"/>
    <w:rsid w:val="00D74CE4"/>
    <w:rsid w:val="00D7506A"/>
    <w:rsid w:val="00D76972"/>
    <w:rsid w:val="00D76B49"/>
    <w:rsid w:val="00D776B7"/>
    <w:rsid w:val="00D77927"/>
    <w:rsid w:val="00D8011F"/>
    <w:rsid w:val="00D80F3C"/>
    <w:rsid w:val="00D81363"/>
    <w:rsid w:val="00D81568"/>
    <w:rsid w:val="00D81836"/>
    <w:rsid w:val="00D81896"/>
    <w:rsid w:val="00D820F7"/>
    <w:rsid w:val="00D830C8"/>
    <w:rsid w:val="00D8375C"/>
    <w:rsid w:val="00D8412F"/>
    <w:rsid w:val="00D84DE6"/>
    <w:rsid w:val="00D86212"/>
    <w:rsid w:val="00D867B9"/>
    <w:rsid w:val="00D86C6C"/>
    <w:rsid w:val="00D8716E"/>
    <w:rsid w:val="00D87659"/>
    <w:rsid w:val="00D87DC2"/>
    <w:rsid w:val="00D91375"/>
    <w:rsid w:val="00D9144A"/>
    <w:rsid w:val="00D9152C"/>
    <w:rsid w:val="00D915B6"/>
    <w:rsid w:val="00D91607"/>
    <w:rsid w:val="00D93216"/>
    <w:rsid w:val="00D9377B"/>
    <w:rsid w:val="00D93E90"/>
    <w:rsid w:val="00D94C12"/>
    <w:rsid w:val="00D9590C"/>
    <w:rsid w:val="00D96196"/>
    <w:rsid w:val="00D96230"/>
    <w:rsid w:val="00D9654E"/>
    <w:rsid w:val="00D9718F"/>
    <w:rsid w:val="00D97829"/>
    <w:rsid w:val="00D97D91"/>
    <w:rsid w:val="00D97DE4"/>
    <w:rsid w:val="00DA1232"/>
    <w:rsid w:val="00DA2669"/>
    <w:rsid w:val="00DA33C7"/>
    <w:rsid w:val="00DA51BF"/>
    <w:rsid w:val="00DA60AB"/>
    <w:rsid w:val="00DA6804"/>
    <w:rsid w:val="00DA7135"/>
    <w:rsid w:val="00DA7AC1"/>
    <w:rsid w:val="00DA7B27"/>
    <w:rsid w:val="00DB0665"/>
    <w:rsid w:val="00DB2C42"/>
    <w:rsid w:val="00DB3BA5"/>
    <w:rsid w:val="00DB3EC2"/>
    <w:rsid w:val="00DB42A7"/>
    <w:rsid w:val="00DB4310"/>
    <w:rsid w:val="00DB5540"/>
    <w:rsid w:val="00DB585A"/>
    <w:rsid w:val="00DB5DDC"/>
    <w:rsid w:val="00DB647A"/>
    <w:rsid w:val="00DB6957"/>
    <w:rsid w:val="00DB72CD"/>
    <w:rsid w:val="00DB731F"/>
    <w:rsid w:val="00DC06F7"/>
    <w:rsid w:val="00DC1496"/>
    <w:rsid w:val="00DC1A82"/>
    <w:rsid w:val="00DC1B24"/>
    <w:rsid w:val="00DC3431"/>
    <w:rsid w:val="00DC3634"/>
    <w:rsid w:val="00DC4207"/>
    <w:rsid w:val="00DC4285"/>
    <w:rsid w:val="00DC4335"/>
    <w:rsid w:val="00DC442A"/>
    <w:rsid w:val="00DC467F"/>
    <w:rsid w:val="00DC4858"/>
    <w:rsid w:val="00DC5206"/>
    <w:rsid w:val="00DC73CF"/>
    <w:rsid w:val="00DC744D"/>
    <w:rsid w:val="00DC79B2"/>
    <w:rsid w:val="00DD00D3"/>
    <w:rsid w:val="00DD03FA"/>
    <w:rsid w:val="00DD103E"/>
    <w:rsid w:val="00DD17FA"/>
    <w:rsid w:val="00DD19B9"/>
    <w:rsid w:val="00DD3B68"/>
    <w:rsid w:val="00DD448F"/>
    <w:rsid w:val="00DD48FD"/>
    <w:rsid w:val="00DD4BC5"/>
    <w:rsid w:val="00DD5A88"/>
    <w:rsid w:val="00DD64B8"/>
    <w:rsid w:val="00DD66E8"/>
    <w:rsid w:val="00DD69E1"/>
    <w:rsid w:val="00DD6FBF"/>
    <w:rsid w:val="00DD6FD9"/>
    <w:rsid w:val="00DE0B9B"/>
    <w:rsid w:val="00DE0FB0"/>
    <w:rsid w:val="00DE1790"/>
    <w:rsid w:val="00DE1BB4"/>
    <w:rsid w:val="00DE1BD8"/>
    <w:rsid w:val="00DE1F1F"/>
    <w:rsid w:val="00DE231F"/>
    <w:rsid w:val="00DE3E23"/>
    <w:rsid w:val="00DE3FCF"/>
    <w:rsid w:val="00DE41B2"/>
    <w:rsid w:val="00DE4DCA"/>
    <w:rsid w:val="00DE4E32"/>
    <w:rsid w:val="00DE6792"/>
    <w:rsid w:val="00DF0490"/>
    <w:rsid w:val="00DF1068"/>
    <w:rsid w:val="00DF1089"/>
    <w:rsid w:val="00DF1D79"/>
    <w:rsid w:val="00DF1F36"/>
    <w:rsid w:val="00DF32DA"/>
    <w:rsid w:val="00DF3E84"/>
    <w:rsid w:val="00DF4333"/>
    <w:rsid w:val="00DF47A5"/>
    <w:rsid w:val="00DF48F2"/>
    <w:rsid w:val="00DF4B42"/>
    <w:rsid w:val="00DF5800"/>
    <w:rsid w:val="00DF6340"/>
    <w:rsid w:val="00DF6993"/>
    <w:rsid w:val="00DF6AC4"/>
    <w:rsid w:val="00E005BF"/>
    <w:rsid w:val="00E01A7B"/>
    <w:rsid w:val="00E01F5B"/>
    <w:rsid w:val="00E0201A"/>
    <w:rsid w:val="00E02463"/>
    <w:rsid w:val="00E02E24"/>
    <w:rsid w:val="00E02F3E"/>
    <w:rsid w:val="00E03494"/>
    <w:rsid w:val="00E0373F"/>
    <w:rsid w:val="00E03C58"/>
    <w:rsid w:val="00E03E43"/>
    <w:rsid w:val="00E043B4"/>
    <w:rsid w:val="00E05466"/>
    <w:rsid w:val="00E061C8"/>
    <w:rsid w:val="00E066C4"/>
    <w:rsid w:val="00E075A7"/>
    <w:rsid w:val="00E10233"/>
    <w:rsid w:val="00E103ED"/>
    <w:rsid w:val="00E11287"/>
    <w:rsid w:val="00E1217D"/>
    <w:rsid w:val="00E12FB0"/>
    <w:rsid w:val="00E1320C"/>
    <w:rsid w:val="00E136B2"/>
    <w:rsid w:val="00E13890"/>
    <w:rsid w:val="00E138BB"/>
    <w:rsid w:val="00E14662"/>
    <w:rsid w:val="00E152CB"/>
    <w:rsid w:val="00E15E87"/>
    <w:rsid w:val="00E16C34"/>
    <w:rsid w:val="00E176D9"/>
    <w:rsid w:val="00E1793F"/>
    <w:rsid w:val="00E20D59"/>
    <w:rsid w:val="00E21094"/>
    <w:rsid w:val="00E221E4"/>
    <w:rsid w:val="00E22EA8"/>
    <w:rsid w:val="00E22EDA"/>
    <w:rsid w:val="00E22FCF"/>
    <w:rsid w:val="00E23A2E"/>
    <w:rsid w:val="00E23BF7"/>
    <w:rsid w:val="00E24F6E"/>
    <w:rsid w:val="00E255D6"/>
    <w:rsid w:val="00E259E4"/>
    <w:rsid w:val="00E25A27"/>
    <w:rsid w:val="00E2697D"/>
    <w:rsid w:val="00E27319"/>
    <w:rsid w:val="00E3017F"/>
    <w:rsid w:val="00E30485"/>
    <w:rsid w:val="00E30DB2"/>
    <w:rsid w:val="00E30E1E"/>
    <w:rsid w:val="00E33729"/>
    <w:rsid w:val="00E33F63"/>
    <w:rsid w:val="00E34B1D"/>
    <w:rsid w:val="00E34F28"/>
    <w:rsid w:val="00E354E2"/>
    <w:rsid w:val="00E35656"/>
    <w:rsid w:val="00E35925"/>
    <w:rsid w:val="00E35EBA"/>
    <w:rsid w:val="00E363AC"/>
    <w:rsid w:val="00E3761E"/>
    <w:rsid w:val="00E37EFB"/>
    <w:rsid w:val="00E4050E"/>
    <w:rsid w:val="00E40575"/>
    <w:rsid w:val="00E41A36"/>
    <w:rsid w:val="00E41DA6"/>
    <w:rsid w:val="00E42080"/>
    <w:rsid w:val="00E4239A"/>
    <w:rsid w:val="00E42A2E"/>
    <w:rsid w:val="00E4326D"/>
    <w:rsid w:val="00E435CB"/>
    <w:rsid w:val="00E43B05"/>
    <w:rsid w:val="00E44255"/>
    <w:rsid w:val="00E44328"/>
    <w:rsid w:val="00E44979"/>
    <w:rsid w:val="00E4635B"/>
    <w:rsid w:val="00E46867"/>
    <w:rsid w:val="00E47046"/>
    <w:rsid w:val="00E474B7"/>
    <w:rsid w:val="00E475C7"/>
    <w:rsid w:val="00E476B5"/>
    <w:rsid w:val="00E478A1"/>
    <w:rsid w:val="00E47CD1"/>
    <w:rsid w:val="00E50436"/>
    <w:rsid w:val="00E506DC"/>
    <w:rsid w:val="00E50793"/>
    <w:rsid w:val="00E51444"/>
    <w:rsid w:val="00E519A4"/>
    <w:rsid w:val="00E519D2"/>
    <w:rsid w:val="00E51BCE"/>
    <w:rsid w:val="00E53EEF"/>
    <w:rsid w:val="00E54BE8"/>
    <w:rsid w:val="00E551A3"/>
    <w:rsid w:val="00E551B2"/>
    <w:rsid w:val="00E56647"/>
    <w:rsid w:val="00E56816"/>
    <w:rsid w:val="00E56845"/>
    <w:rsid w:val="00E57AD4"/>
    <w:rsid w:val="00E60008"/>
    <w:rsid w:val="00E605F0"/>
    <w:rsid w:val="00E613FA"/>
    <w:rsid w:val="00E635CC"/>
    <w:rsid w:val="00E64B2C"/>
    <w:rsid w:val="00E64C5D"/>
    <w:rsid w:val="00E65290"/>
    <w:rsid w:val="00E652C0"/>
    <w:rsid w:val="00E65903"/>
    <w:rsid w:val="00E65B27"/>
    <w:rsid w:val="00E65BC3"/>
    <w:rsid w:val="00E66460"/>
    <w:rsid w:val="00E669E5"/>
    <w:rsid w:val="00E67742"/>
    <w:rsid w:val="00E6784A"/>
    <w:rsid w:val="00E705D0"/>
    <w:rsid w:val="00E711B9"/>
    <w:rsid w:val="00E718F9"/>
    <w:rsid w:val="00E71908"/>
    <w:rsid w:val="00E71ABC"/>
    <w:rsid w:val="00E7333F"/>
    <w:rsid w:val="00E73AD4"/>
    <w:rsid w:val="00E7427E"/>
    <w:rsid w:val="00E74555"/>
    <w:rsid w:val="00E76407"/>
    <w:rsid w:val="00E768EC"/>
    <w:rsid w:val="00E76F75"/>
    <w:rsid w:val="00E77A1F"/>
    <w:rsid w:val="00E80C08"/>
    <w:rsid w:val="00E80D8A"/>
    <w:rsid w:val="00E8121D"/>
    <w:rsid w:val="00E81597"/>
    <w:rsid w:val="00E822C1"/>
    <w:rsid w:val="00E82EE0"/>
    <w:rsid w:val="00E8332E"/>
    <w:rsid w:val="00E83678"/>
    <w:rsid w:val="00E836AE"/>
    <w:rsid w:val="00E8375D"/>
    <w:rsid w:val="00E839BF"/>
    <w:rsid w:val="00E8400E"/>
    <w:rsid w:val="00E8660D"/>
    <w:rsid w:val="00E86F6E"/>
    <w:rsid w:val="00E87120"/>
    <w:rsid w:val="00E87560"/>
    <w:rsid w:val="00E8771D"/>
    <w:rsid w:val="00E90008"/>
    <w:rsid w:val="00E92483"/>
    <w:rsid w:val="00E92F02"/>
    <w:rsid w:val="00E94289"/>
    <w:rsid w:val="00E95201"/>
    <w:rsid w:val="00E95A2B"/>
    <w:rsid w:val="00E96840"/>
    <w:rsid w:val="00E96F3D"/>
    <w:rsid w:val="00E97F77"/>
    <w:rsid w:val="00EA0A54"/>
    <w:rsid w:val="00EA0AEE"/>
    <w:rsid w:val="00EA36B3"/>
    <w:rsid w:val="00EA37C9"/>
    <w:rsid w:val="00EA3B29"/>
    <w:rsid w:val="00EA456C"/>
    <w:rsid w:val="00EA4983"/>
    <w:rsid w:val="00EA5778"/>
    <w:rsid w:val="00EA74C3"/>
    <w:rsid w:val="00EA79F9"/>
    <w:rsid w:val="00EB03B7"/>
    <w:rsid w:val="00EB0639"/>
    <w:rsid w:val="00EB0CD9"/>
    <w:rsid w:val="00EB1942"/>
    <w:rsid w:val="00EB19DC"/>
    <w:rsid w:val="00EB2B90"/>
    <w:rsid w:val="00EB2F1C"/>
    <w:rsid w:val="00EB4EE0"/>
    <w:rsid w:val="00EB4FE8"/>
    <w:rsid w:val="00EB510A"/>
    <w:rsid w:val="00EB5D2D"/>
    <w:rsid w:val="00EB6161"/>
    <w:rsid w:val="00EB634A"/>
    <w:rsid w:val="00EB774E"/>
    <w:rsid w:val="00EC00A5"/>
    <w:rsid w:val="00EC0354"/>
    <w:rsid w:val="00EC0599"/>
    <w:rsid w:val="00EC0853"/>
    <w:rsid w:val="00EC137B"/>
    <w:rsid w:val="00EC1D8F"/>
    <w:rsid w:val="00EC24E8"/>
    <w:rsid w:val="00EC32BA"/>
    <w:rsid w:val="00EC4087"/>
    <w:rsid w:val="00EC49C7"/>
    <w:rsid w:val="00EC4C56"/>
    <w:rsid w:val="00EC5204"/>
    <w:rsid w:val="00EC55EE"/>
    <w:rsid w:val="00EC5A15"/>
    <w:rsid w:val="00EC6C02"/>
    <w:rsid w:val="00ED0217"/>
    <w:rsid w:val="00ED05CF"/>
    <w:rsid w:val="00ED1C16"/>
    <w:rsid w:val="00ED2435"/>
    <w:rsid w:val="00ED27CD"/>
    <w:rsid w:val="00ED39B6"/>
    <w:rsid w:val="00ED3DDF"/>
    <w:rsid w:val="00ED4828"/>
    <w:rsid w:val="00ED4F52"/>
    <w:rsid w:val="00ED57DF"/>
    <w:rsid w:val="00ED5DE5"/>
    <w:rsid w:val="00ED6208"/>
    <w:rsid w:val="00ED67EB"/>
    <w:rsid w:val="00ED7394"/>
    <w:rsid w:val="00ED74C0"/>
    <w:rsid w:val="00EE0168"/>
    <w:rsid w:val="00EE0630"/>
    <w:rsid w:val="00EE16EB"/>
    <w:rsid w:val="00EE1AD0"/>
    <w:rsid w:val="00EE1B1A"/>
    <w:rsid w:val="00EE2F69"/>
    <w:rsid w:val="00EE30D9"/>
    <w:rsid w:val="00EE36FD"/>
    <w:rsid w:val="00EE4605"/>
    <w:rsid w:val="00EE5109"/>
    <w:rsid w:val="00EE6187"/>
    <w:rsid w:val="00EE6AF1"/>
    <w:rsid w:val="00EE6ED4"/>
    <w:rsid w:val="00EE7CB0"/>
    <w:rsid w:val="00EF00E4"/>
    <w:rsid w:val="00EF0178"/>
    <w:rsid w:val="00EF023C"/>
    <w:rsid w:val="00EF04C1"/>
    <w:rsid w:val="00EF0B36"/>
    <w:rsid w:val="00EF0E51"/>
    <w:rsid w:val="00EF1129"/>
    <w:rsid w:val="00EF1183"/>
    <w:rsid w:val="00EF152A"/>
    <w:rsid w:val="00EF1958"/>
    <w:rsid w:val="00EF2620"/>
    <w:rsid w:val="00EF2C68"/>
    <w:rsid w:val="00EF3507"/>
    <w:rsid w:val="00EF3F2F"/>
    <w:rsid w:val="00EF49FE"/>
    <w:rsid w:val="00EF6DE7"/>
    <w:rsid w:val="00EF73B8"/>
    <w:rsid w:val="00EF763C"/>
    <w:rsid w:val="00F006AC"/>
    <w:rsid w:val="00F00D1D"/>
    <w:rsid w:val="00F00DFE"/>
    <w:rsid w:val="00F01000"/>
    <w:rsid w:val="00F020A7"/>
    <w:rsid w:val="00F0223F"/>
    <w:rsid w:val="00F03E97"/>
    <w:rsid w:val="00F04CF5"/>
    <w:rsid w:val="00F05174"/>
    <w:rsid w:val="00F052FB"/>
    <w:rsid w:val="00F05B4C"/>
    <w:rsid w:val="00F05B56"/>
    <w:rsid w:val="00F06552"/>
    <w:rsid w:val="00F072EA"/>
    <w:rsid w:val="00F102D0"/>
    <w:rsid w:val="00F12FCB"/>
    <w:rsid w:val="00F137C1"/>
    <w:rsid w:val="00F13A3C"/>
    <w:rsid w:val="00F13B19"/>
    <w:rsid w:val="00F14356"/>
    <w:rsid w:val="00F14ACC"/>
    <w:rsid w:val="00F155FA"/>
    <w:rsid w:val="00F15C8A"/>
    <w:rsid w:val="00F1706E"/>
    <w:rsid w:val="00F17559"/>
    <w:rsid w:val="00F17BCC"/>
    <w:rsid w:val="00F20212"/>
    <w:rsid w:val="00F20537"/>
    <w:rsid w:val="00F223A0"/>
    <w:rsid w:val="00F2335D"/>
    <w:rsid w:val="00F234ED"/>
    <w:rsid w:val="00F23C6C"/>
    <w:rsid w:val="00F249EE"/>
    <w:rsid w:val="00F2756C"/>
    <w:rsid w:val="00F27791"/>
    <w:rsid w:val="00F27977"/>
    <w:rsid w:val="00F27A67"/>
    <w:rsid w:val="00F3078D"/>
    <w:rsid w:val="00F30B17"/>
    <w:rsid w:val="00F31C5F"/>
    <w:rsid w:val="00F320A5"/>
    <w:rsid w:val="00F32C9A"/>
    <w:rsid w:val="00F330F3"/>
    <w:rsid w:val="00F339DC"/>
    <w:rsid w:val="00F33B1D"/>
    <w:rsid w:val="00F33ECC"/>
    <w:rsid w:val="00F34A54"/>
    <w:rsid w:val="00F359BA"/>
    <w:rsid w:val="00F37492"/>
    <w:rsid w:val="00F37537"/>
    <w:rsid w:val="00F377C9"/>
    <w:rsid w:val="00F3799B"/>
    <w:rsid w:val="00F4002C"/>
    <w:rsid w:val="00F4010C"/>
    <w:rsid w:val="00F410C9"/>
    <w:rsid w:val="00F412AE"/>
    <w:rsid w:val="00F4224F"/>
    <w:rsid w:val="00F42480"/>
    <w:rsid w:val="00F42D80"/>
    <w:rsid w:val="00F439D2"/>
    <w:rsid w:val="00F43A96"/>
    <w:rsid w:val="00F4460A"/>
    <w:rsid w:val="00F448A0"/>
    <w:rsid w:val="00F456EF"/>
    <w:rsid w:val="00F4621D"/>
    <w:rsid w:val="00F46F41"/>
    <w:rsid w:val="00F4717A"/>
    <w:rsid w:val="00F4731A"/>
    <w:rsid w:val="00F47B41"/>
    <w:rsid w:val="00F47B86"/>
    <w:rsid w:val="00F5099A"/>
    <w:rsid w:val="00F51261"/>
    <w:rsid w:val="00F51B4B"/>
    <w:rsid w:val="00F521C8"/>
    <w:rsid w:val="00F5225C"/>
    <w:rsid w:val="00F52E65"/>
    <w:rsid w:val="00F52E73"/>
    <w:rsid w:val="00F537BA"/>
    <w:rsid w:val="00F53FE2"/>
    <w:rsid w:val="00F53FF9"/>
    <w:rsid w:val="00F5498F"/>
    <w:rsid w:val="00F54D86"/>
    <w:rsid w:val="00F55010"/>
    <w:rsid w:val="00F55D09"/>
    <w:rsid w:val="00F56251"/>
    <w:rsid w:val="00F562F3"/>
    <w:rsid w:val="00F56637"/>
    <w:rsid w:val="00F56D98"/>
    <w:rsid w:val="00F572F6"/>
    <w:rsid w:val="00F5741A"/>
    <w:rsid w:val="00F574A8"/>
    <w:rsid w:val="00F57590"/>
    <w:rsid w:val="00F5772F"/>
    <w:rsid w:val="00F60202"/>
    <w:rsid w:val="00F602E8"/>
    <w:rsid w:val="00F61210"/>
    <w:rsid w:val="00F615ED"/>
    <w:rsid w:val="00F61B12"/>
    <w:rsid w:val="00F62159"/>
    <w:rsid w:val="00F62C68"/>
    <w:rsid w:val="00F62D23"/>
    <w:rsid w:val="00F64513"/>
    <w:rsid w:val="00F64C9B"/>
    <w:rsid w:val="00F65C05"/>
    <w:rsid w:val="00F66001"/>
    <w:rsid w:val="00F6611D"/>
    <w:rsid w:val="00F66122"/>
    <w:rsid w:val="00F66D35"/>
    <w:rsid w:val="00F70B3B"/>
    <w:rsid w:val="00F71ACB"/>
    <w:rsid w:val="00F71EE5"/>
    <w:rsid w:val="00F7231E"/>
    <w:rsid w:val="00F72F3F"/>
    <w:rsid w:val="00F73358"/>
    <w:rsid w:val="00F73666"/>
    <w:rsid w:val="00F7439B"/>
    <w:rsid w:val="00F74736"/>
    <w:rsid w:val="00F74D9A"/>
    <w:rsid w:val="00F74F14"/>
    <w:rsid w:val="00F75B70"/>
    <w:rsid w:val="00F75F03"/>
    <w:rsid w:val="00F76625"/>
    <w:rsid w:val="00F76E90"/>
    <w:rsid w:val="00F770AE"/>
    <w:rsid w:val="00F801D3"/>
    <w:rsid w:val="00F8083D"/>
    <w:rsid w:val="00F816F8"/>
    <w:rsid w:val="00F81F77"/>
    <w:rsid w:val="00F82DF5"/>
    <w:rsid w:val="00F84615"/>
    <w:rsid w:val="00F86610"/>
    <w:rsid w:val="00F8669A"/>
    <w:rsid w:val="00F8700B"/>
    <w:rsid w:val="00F8715C"/>
    <w:rsid w:val="00F90276"/>
    <w:rsid w:val="00F91075"/>
    <w:rsid w:val="00F9148A"/>
    <w:rsid w:val="00F91CF6"/>
    <w:rsid w:val="00F92182"/>
    <w:rsid w:val="00F92991"/>
    <w:rsid w:val="00F9330C"/>
    <w:rsid w:val="00F93483"/>
    <w:rsid w:val="00F9380B"/>
    <w:rsid w:val="00F93E6E"/>
    <w:rsid w:val="00F94C83"/>
    <w:rsid w:val="00F95270"/>
    <w:rsid w:val="00F95616"/>
    <w:rsid w:val="00F965AC"/>
    <w:rsid w:val="00F9716A"/>
    <w:rsid w:val="00F97974"/>
    <w:rsid w:val="00FA057B"/>
    <w:rsid w:val="00FA0967"/>
    <w:rsid w:val="00FA1D02"/>
    <w:rsid w:val="00FA267E"/>
    <w:rsid w:val="00FA3BCB"/>
    <w:rsid w:val="00FA40A9"/>
    <w:rsid w:val="00FA5992"/>
    <w:rsid w:val="00FA6CDA"/>
    <w:rsid w:val="00FA7198"/>
    <w:rsid w:val="00FA759B"/>
    <w:rsid w:val="00FA7E1B"/>
    <w:rsid w:val="00FA7E93"/>
    <w:rsid w:val="00FB0291"/>
    <w:rsid w:val="00FB0300"/>
    <w:rsid w:val="00FB0DC4"/>
    <w:rsid w:val="00FB1298"/>
    <w:rsid w:val="00FB1617"/>
    <w:rsid w:val="00FB216D"/>
    <w:rsid w:val="00FB264B"/>
    <w:rsid w:val="00FB31D6"/>
    <w:rsid w:val="00FB3C65"/>
    <w:rsid w:val="00FB5220"/>
    <w:rsid w:val="00FB59B6"/>
    <w:rsid w:val="00FB5D58"/>
    <w:rsid w:val="00FB5FFB"/>
    <w:rsid w:val="00FB6DD2"/>
    <w:rsid w:val="00FB759E"/>
    <w:rsid w:val="00FC17A7"/>
    <w:rsid w:val="00FC1AB4"/>
    <w:rsid w:val="00FC1FB7"/>
    <w:rsid w:val="00FC2404"/>
    <w:rsid w:val="00FC403B"/>
    <w:rsid w:val="00FC5001"/>
    <w:rsid w:val="00FC5321"/>
    <w:rsid w:val="00FC539D"/>
    <w:rsid w:val="00FC58C8"/>
    <w:rsid w:val="00FC602A"/>
    <w:rsid w:val="00FC6BE6"/>
    <w:rsid w:val="00FC6DBF"/>
    <w:rsid w:val="00FC7E04"/>
    <w:rsid w:val="00FD0115"/>
    <w:rsid w:val="00FD0714"/>
    <w:rsid w:val="00FD07CF"/>
    <w:rsid w:val="00FD1A80"/>
    <w:rsid w:val="00FD1D2D"/>
    <w:rsid w:val="00FD345C"/>
    <w:rsid w:val="00FD484A"/>
    <w:rsid w:val="00FD497B"/>
    <w:rsid w:val="00FD6205"/>
    <w:rsid w:val="00FD63AB"/>
    <w:rsid w:val="00FD6F4A"/>
    <w:rsid w:val="00FD7B98"/>
    <w:rsid w:val="00FD7E8D"/>
    <w:rsid w:val="00FE004F"/>
    <w:rsid w:val="00FE0182"/>
    <w:rsid w:val="00FE0292"/>
    <w:rsid w:val="00FE0437"/>
    <w:rsid w:val="00FE04E6"/>
    <w:rsid w:val="00FE172E"/>
    <w:rsid w:val="00FE1C1D"/>
    <w:rsid w:val="00FE2117"/>
    <w:rsid w:val="00FE3360"/>
    <w:rsid w:val="00FE39DB"/>
    <w:rsid w:val="00FE3DDE"/>
    <w:rsid w:val="00FE41AD"/>
    <w:rsid w:val="00FE5ED7"/>
    <w:rsid w:val="00FE6493"/>
    <w:rsid w:val="00FF0010"/>
    <w:rsid w:val="00FF02CB"/>
    <w:rsid w:val="00FF24AF"/>
    <w:rsid w:val="00FF2704"/>
    <w:rsid w:val="00FF4DE5"/>
    <w:rsid w:val="00FF5653"/>
    <w:rsid w:val="00FF638C"/>
    <w:rsid w:val="00FF652F"/>
    <w:rsid w:val="00FF73F8"/>
    <w:rsid w:val="00FF7A4D"/>
    <w:rsid w:val="010333FC"/>
    <w:rsid w:val="01101675"/>
    <w:rsid w:val="014F4774"/>
    <w:rsid w:val="015B4FE6"/>
    <w:rsid w:val="015C24EA"/>
    <w:rsid w:val="01661B19"/>
    <w:rsid w:val="018F27AE"/>
    <w:rsid w:val="019D2DF8"/>
    <w:rsid w:val="01AD25E4"/>
    <w:rsid w:val="01DC32D2"/>
    <w:rsid w:val="01E42EDA"/>
    <w:rsid w:val="01E46D89"/>
    <w:rsid w:val="01E83324"/>
    <w:rsid w:val="01F40F97"/>
    <w:rsid w:val="020F7B7E"/>
    <w:rsid w:val="022E26FA"/>
    <w:rsid w:val="027171BF"/>
    <w:rsid w:val="02767F56"/>
    <w:rsid w:val="02891DD2"/>
    <w:rsid w:val="02A62291"/>
    <w:rsid w:val="02BE582C"/>
    <w:rsid w:val="02CB619B"/>
    <w:rsid w:val="02FE541E"/>
    <w:rsid w:val="0311708D"/>
    <w:rsid w:val="03190396"/>
    <w:rsid w:val="036D4EAF"/>
    <w:rsid w:val="038500F8"/>
    <w:rsid w:val="0397059C"/>
    <w:rsid w:val="03990047"/>
    <w:rsid w:val="03CF04A1"/>
    <w:rsid w:val="03DB240E"/>
    <w:rsid w:val="03DE3E91"/>
    <w:rsid w:val="03E8481E"/>
    <w:rsid w:val="03E912FF"/>
    <w:rsid w:val="03EF27C8"/>
    <w:rsid w:val="045A77D7"/>
    <w:rsid w:val="04695C6C"/>
    <w:rsid w:val="048B377C"/>
    <w:rsid w:val="048B73F0"/>
    <w:rsid w:val="048F369A"/>
    <w:rsid w:val="049F343C"/>
    <w:rsid w:val="04A24CDA"/>
    <w:rsid w:val="04A84405"/>
    <w:rsid w:val="04B94686"/>
    <w:rsid w:val="04C335CE"/>
    <w:rsid w:val="04C44C50"/>
    <w:rsid w:val="04D8694E"/>
    <w:rsid w:val="04F04BD3"/>
    <w:rsid w:val="05526700"/>
    <w:rsid w:val="05AD7FF5"/>
    <w:rsid w:val="05B24C3C"/>
    <w:rsid w:val="05B96A96"/>
    <w:rsid w:val="05EB486B"/>
    <w:rsid w:val="05ED14BF"/>
    <w:rsid w:val="06141C07"/>
    <w:rsid w:val="062260D2"/>
    <w:rsid w:val="064C7E90"/>
    <w:rsid w:val="066A1827"/>
    <w:rsid w:val="069C651F"/>
    <w:rsid w:val="069F5975"/>
    <w:rsid w:val="06A0349B"/>
    <w:rsid w:val="06A25B33"/>
    <w:rsid w:val="06B74C51"/>
    <w:rsid w:val="06BA58EF"/>
    <w:rsid w:val="06C1410B"/>
    <w:rsid w:val="06DA6F02"/>
    <w:rsid w:val="06F65F75"/>
    <w:rsid w:val="06FD269B"/>
    <w:rsid w:val="07423F30"/>
    <w:rsid w:val="074E779B"/>
    <w:rsid w:val="079032CD"/>
    <w:rsid w:val="07917CAA"/>
    <w:rsid w:val="07AA637F"/>
    <w:rsid w:val="07B72059"/>
    <w:rsid w:val="07E177ED"/>
    <w:rsid w:val="07F96744"/>
    <w:rsid w:val="07FE7171"/>
    <w:rsid w:val="08030185"/>
    <w:rsid w:val="08035B97"/>
    <w:rsid w:val="08371DE4"/>
    <w:rsid w:val="08752E31"/>
    <w:rsid w:val="087D7F38"/>
    <w:rsid w:val="089F47FD"/>
    <w:rsid w:val="08FD3876"/>
    <w:rsid w:val="08FE0F34"/>
    <w:rsid w:val="09324853"/>
    <w:rsid w:val="094940E4"/>
    <w:rsid w:val="094E02AD"/>
    <w:rsid w:val="09643DE4"/>
    <w:rsid w:val="09657C14"/>
    <w:rsid w:val="097906FF"/>
    <w:rsid w:val="09BC4A90"/>
    <w:rsid w:val="09CB1BE0"/>
    <w:rsid w:val="09D02CE9"/>
    <w:rsid w:val="09FD4BFA"/>
    <w:rsid w:val="0A081A8F"/>
    <w:rsid w:val="0A232419"/>
    <w:rsid w:val="0A35061E"/>
    <w:rsid w:val="0A3A79E0"/>
    <w:rsid w:val="0A4C7BC2"/>
    <w:rsid w:val="0A590531"/>
    <w:rsid w:val="0A7E74E7"/>
    <w:rsid w:val="0A8424A6"/>
    <w:rsid w:val="0AB37C41"/>
    <w:rsid w:val="0AB47515"/>
    <w:rsid w:val="0AB57A4A"/>
    <w:rsid w:val="0ABF65E6"/>
    <w:rsid w:val="0AC361C6"/>
    <w:rsid w:val="0AE0030A"/>
    <w:rsid w:val="0AFA5870"/>
    <w:rsid w:val="0B073AE9"/>
    <w:rsid w:val="0B1227AF"/>
    <w:rsid w:val="0B1C4AA2"/>
    <w:rsid w:val="0B370759"/>
    <w:rsid w:val="0BA92DF2"/>
    <w:rsid w:val="0BB43C70"/>
    <w:rsid w:val="0BC773CD"/>
    <w:rsid w:val="0BD936D7"/>
    <w:rsid w:val="0C192780"/>
    <w:rsid w:val="0C2473AA"/>
    <w:rsid w:val="0C442786"/>
    <w:rsid w:val="0C4A7332"/>
    <w:rsid w:val="0CB41A4E"/>
    <w:rsid w:val="0CC07E3A"/>
    <w:rsid w:val="0CCF15BA"/>
    <w:rsid w:val="0CE51D21"/>
    <w:rsid w:val="0CF85DDF"/>
    <w:rsid w:val="0CF90EA0"/>
    <w:rsid w:val="0D1D5F20"/>
    <w:rsid w:val="0D224C0A"/>
    <w:rsid w:val="0D4B23B2"/>
    <w:rsid w:val="0D562B05"/>
    <w:rsid w:val="0D5A25F6"/>
    <w:rsid w:val="0D7B2EA8"/>
    <w:rsid w:val="0D947AC0"/>
    <w:rsid w:val="0DB717F6"/>
    <w:rsid w:val="0DC246A2"/>
    <w:rsid w:val="0DC256A0"/>
    <w:rsid w:val="0E0229A4"/>
    <w:rsid w:val="0E044FB3"/>
    <w:rsid w:val="0E7A2D5D"/>
    <w:rsid w:val="0ED308B1"/>
    <w:rsid w:val="0ED904BE"/>
    <w:rsid w:val="0EF425D6"/>
    <w:rsid w:val="0EFB5712"/>
    <w:rsid w:val="0F040A6B"/>
    <w:rsid w:val="0F1C0FF3"/>
    <w:rsid w:val="0F220886"/>
    <w:rsid w:val="0F303FF7"/>
    <w:rsid w:val="0F445912"/>
    <w:rsid w:val="0F4632F8"/>
    <w:rsid w:val="0F6E2388"/>
    <w:rsid w:val="0F893C69"/>
    <w:rsid w:val="0F895414"/>
    <w:rsid w:val="0FB360BB"/>
    <w:rsid w:val="0FD40256"/>
    <w:rsid w:val="0FDC42A7"/>
    <w:rsid w:val="10262C63"/>
    <w:rsid w:val="1041184B"/>
    <w:rsid w:val="104906FF"/>
    <w:rsid w:val="10525806"/>
    <w:rsid w:val="10550ADA"/>
    <w:rsid w:val="10637A13"/>
    <w:rsid w:val="107A6169"/>
    <w:rsid w:val="107E65FB"/>
    <w:rsid w:val="108300B5"/>
    <w:rsid w:val="10AA73F0"/>
    <w:rsid w:val="10F74CBA"/>
    <w:rsid w:val="110A553C"/>
    <w:rsid w:val="110C12EC"/>
    <w:rsid w:val="11403824"/>
    <w:rsid w:val="115B052A"/>
    <w:rsid w:val="116003F7"/>
    <w:rsid w:val="12036816"/>
    <w:rsid w:val="120B2110"/>
    <w:rsid w:val="120E7E53"/>
    <w:rsid w:val="12490E8B"/>
    <w:rsid w:val="124D5059"/>
    <w:rsid w:val="12603A24"/>
    <w:rsid w:val="127B4651"/>
    <w:rsid w:val="12880156"/>
    <w:rsid w:val="129505EA"/>
    <w:rsid w:val="12B26D30"/>
    <w:rsid w:val="12B502CE"/>
    <w:rsid w:val="12D075E1"/>
    <w:rsid w:val="13313DF9"/>
    <w:rsid w:val="13374378"/>
    <w:rsid w:val="138F2201"/>
    <w:rsid w:val="13912AE9"/>
    <w:rsid w:val="13A530BA"/>
    <w:rsid w:val="13D03B79"/>
    <w:rsid w:val="13FF691F"/>
    <w:rsid w:val="14121C6E"/>
    <w:rsid w:val="141E6EE4"/>
    <w:rsid w:val="142A3B2F"/>
    <w:rsid w:val="1437543F"/>
    <w:rsid w:val="14A71FB7"/>
    <w:rsid w:val="14D84D32"/>
    <w:rsid w:val="14FB2A5F"/>
    <w:rsid w:val="153642E7"/>
    <w:rsid w:val="153B2D0D"/>
    <w:rsid w:val="153E0A4F"/>
    <w:rsid w:val="1542409B"/>
    <w:rsid w:val="15603729"/>
    <w:rsid w:val="15612611"/>
    <w:rsid w:val="156E7814"/>
    <w:rsid w:val="1570073A"/>
    <w:rsid w:val="157763A6"/>
    <w:rsid w:val="15CC1CE9"/>
    <w:rsid w:val="15D11A6A"/>
    <w:rsid w:val="15ED7BD6"/>
    <w:rsid w:val="15FD3709"/>
    <w:rsid w:val="16284627"/>
    <w:rsid w:val="16337E88"/>
    <w:rsid w:val="16367EFB"/>
    <w:rsid w:val="165006DF"/>
    <w:rsid w:val="16873D30"/>
    <w:rsid w:val="16B33BAE"/>
    <w:rsid w:val="16C15493"/>
    <w:rsid w:val="16C531D6"/>
    <w:rsid w:val="16CB6312"/>
    <w:rsid w:val="16F67D2D"/>
    <w:rsid w:val="17136118"/>
    <w:rsid w:val="172C5003"/>
    <w:rsid w:val="17497CDE"/>
    <w:rsid w:val="176C3651"/>
    <w:rsid w:val="1795621E"/>
    <w:rsid w:val="17C76F65"/>
    <w:rsid w:val="17ED1232"/>
    <w:rsid w:val="17F13B56"/>
    <w:rsid w:val="180513B0"/>
    <w:rsid w:val="18147845"/>
    <w:rsid w:val="18341AE3"/>
    <w:rsid w:val="18577EC3"/>
    <w:rsid w:val="18613018"/>
    <w:rsid w:val="18A62B93"/>
    <w:rsid w:val="18C32BBE"/>
    <w:rsid w:val="18CA3FC7"/>
    <w:rsid w:val="18E72FF6"/>
    <w:rsid w:val="18F45BA2"/>
    <w:rsid w:val="18FA6A3B"/>
    <w:rsid w:val="190C0C1E"/>
    <w:rsid w:val="194E3880"/>
    <w:rsid w:val="1977008B"/>
    <w:rsid w:val="1A204BC7"/>
    <w:rsid w:val="1A231FC1"/>
    <w:rsid w:val="1A5F04A8"/>
    <w:rsid w:val="1A7016AA"/>
    <w:rsid w:val="1A8B38D4"/>
    <w:rsid w:val="1AAB4490"/>
    <w:rsid w:val="1B0A2E6A"/>
    <w:rsid w:val="1B4D19EC"/>
    <w:rsid w:val="1B762CF0"/>
    <w:rsid w:val="1B773462"/>
    <w:rsid w:val="1B7F1C1F"/>
    <w:rsid w:val="1BA86B96"/>
    <w:rsid w:val="1BBA61D0"/>
    <w:rsid w:val="1BC12B8B"/>
    <w:rsid w:val="1BD73063"/>
    <w:rsid w:val="1BEC2FB3"/>
    <w:rsid w:val="1C4F52EF"/>
    <w:rsid w:val="1C6B60F6"/>
    <w:rsid w:val="1C6D795C"/>
    <w:rsid w:val="1CD203FA"/>
    <w:rsid w:val="1CDB51D5"/>
    <w:rsid w:val="1CFC330C"/>
    <w:rsid w:val="1D0A17B1"/>
    <w:rsid w:val="1D601743"/>
    <w:rsid w:val="1D6333DE"/>
    <w:rsid w:val="1D7019C1"/>
    <w:rsid w:val="1D823644"/>
    <w:rsid w:val="1DD12460"/>
    <w:rsid w:val="1DDC0DD7"/>
    <w:rsid w:val="1DF95513"/>
    <w:rsid w:val="1E2D6E05"/>
    <w:rsid w:val="1E543091"/>
    <w:rsid w:val="1EF97083"/>
    <w:rsid w:val="1F1C595D"/>
    <w:rsid w:val="1F3F789D"/>
    <w:rsid w:val="1F4D1FBA"/>
    <w:rsid w:val="1FA2210B"/>
    <w:rsid w:val="1FE16BA6"/>
    <w:rsid w:val="1FF12341"/>
    <w:rsid w:val="200E0021"/>
    <w:rsid w:val="202A5E57"/>
    <w:rsid w:val="20474E76"/>
    <w:rsid w:val="20743577"/>
    <w:rsid w:val="20774389"/>
    <w:rsid w:val="207B38A4"/>
    <w:rsid w:val="207D484F"/>
    <w:rsid w:val="208359AC"/>
    <w:rsid w:val="20860626"/>
    <w:rsid w:val="209201F7"/>
    <w:rsid w:val="209314D4"/>
    <w:rsid w:val="20A0611A"/>
    <w:rsid w:val="20A07520"/>
    <w:rsid w:val="20BB02B9"/>
    <w:rsid w:val="20C8258A"/>
    <w:rsid w:val="20E92483"/>
    <w:rsid w:val="20F85F56"/>
    <w:rsid w:val="213304C1"/>
    <w:rsid w:val="214111D9"/>
    <w:rsid w:val="21423675"/>
    <w:rsid w:val="21450638"/>
    <w:rsid w:val="215238B8"/>
    <w:rsid w:val="216B371D"/>
    <w:rsid w:val="21842B78"/>
    <w:rsid w:val="219954B9"/>
    <w:rsid w:val="21B06830"/>
    <w:rsid w:val="21DD0324"/>
    <w:rsid w:val="21FF3314"/>
    <w:rsid w:val="223B434C"/>
    <w:rsid w:val="223D5209"/>
    <w:rsid w:val="224376A4"/>
    <w:rsid w:val="22441EB1"/>
    <w:rsid w:val="224B0307"/>
    <w:rsid w:val="224F1BA5"/>
    <w:rsid w:val="22717D6E"/>
    <w:rsid w:val="22764C40"/>
    <w:rsid w:val="22B3482A"/>
    <w:rsid w:val="22C70A79"/>
    <w:rsid w:val="22C72083"/>
    <w:rsid w:val="22FB175C"/>
    <w:rsid w:val="23150751"/>
    <w:rsid w:val="23377735"/>
    <w:rsid w:val="234B1856"/>
    <w:rsid w:val="235112C1"/>
    <w:rsid w:val="236D737C"/>
    <w:rsid w:val="239156A0"/>
    <w:rsid w:val="23CA7E50"/>
    <w:rsid w:val="23D24E34"/>
    <w:rsid w:val="23DF51AB"/>
    <w:rsid w:val="23F73406"/>
    <w:rsid w:val="240F6D8F"/>
    <w:rsid w:val="241237D2"/>
    <w:rsid w:val="241412F8"/>
    <w:rsid w:val="246C3C96"/>
    <w:rsid w:val="249B0B09"/>
    <w:rsid w:val="24AA57B9"/>
    <w:rsid w:val="24BC045F"/>
    <w:rsid w:val="24CE1405"/>
    <w:rsid w:val="24D44611"/>
    <w:rsid w:val="25002580"/>
    <w:rsid w:val="2501161D"/>
    <w:rsid w:val="25027659"/>
    <w:rsid w:val="250E5D48"/>
    <w:rsid w:val="25137802"/>
    <w:rsid w:val="252E7CF3"/>
    <w:rsid w:val="25307707"/>
    <w:rsid w:val="25326D79"/>
    <w:rsid w:val="25372DE9"/>
    <w:rsid w:val="253D2312"/>
    <w:rsid w:val="25CD79B1"/>
    <w:rsid w:val="25DD396C"/>
    <w:rsid w:val="2624726E"/>
    <w:rsid w:val="26497527"/>
    <w:rsid w:val="267267AA"/>
    <w:rsid w:val="267B67D7"/>
    <w:rsid w:val="269C55D5"/>
    <w:rsid w:val="269E759F"/>
    <w:rsid w:val="26B11081"/>
    <w:rsid w:val="26C610B7"/>
    <w:rsid w:val="26CA409A"/>
    <w:rsid w:val="270C737C"/>
    <w:rsid w:val="271D2DE6"/>
    <w:rsid w:val="276B73F4"/>
    <w:rsid w:val="277D45DB"/>
    <w:rsid w:val="2790513A"/>
    <w:rsid w:val="27AC51B9"/>
    <w:rsid w:val="27B21755"/>
    <w:rsid w:val="27E17743"/>
    <w:rsid w:val="27E96E49"/>
    <w:rsid w:val="280921ED"/>
    <w:rsid w:val="28217F65"/>
    <w:rsid w:val="28277120"/>
    <w:rsid w:val="28363D32"/>
    <w:rsid w:val="283C6D97"/>
    <w:rsid w:val="285976AB"/>
    <w:rsid w:val="286B1703"/>
    <w:rsid w:val="2891635B"/>
    <w:rsid w:val="28D728F5"/>
    <w:rsid w:val="28E26171"/>
    <w:rsid w:val="290A70E8"/>
    <w:rsid w:val="291B4ED7"/>
    <w:rsid w:val="2948084E"/>
    <w:rsid w:val="297121CD"/>
    <w:rsid w:val="298760C9"/>
    <w:rsid w:val="299D0256"/>
    <w:rsid w:val="29B219D4"/>
    <w:rsid w:val="29B733F6"/>
    <w:rsid w:val="29B82726"/>
    <w:rsid w:val="29CD7BEE"/>
    <w:rsid w:val="29CF4022"/>
    <w:rsid w:val="29E76052"/>
    <w:rsid w:val="29ED0A7D"/>
    <w:rsid w:val="29FF6315"/>
    <w:rsid w:val="2A2E29E8"/>
    <w:rsid w:val="2A3C1A2E"/>
    <w:rsid w:val="2A471960"/>
    <w:rsid w:val="2A482069"/>
    <w:rsid w:val="2A49479F"/>
    <w:rsid w:val="2A4E636C"/>
    <w:rsid w:val="2A566386"/>
    <w:rsid w:val="2A6401B8"/>
    <w:rsid w:val="2A677CA8"/>
    <w:rsid w:val="2A7501E7"/>
    <w:rsid w:val="2A8A4FE9"/>
    <w:rsid w:val="2A8F286C"/>
    <w:rsid w:val="2A992557"/>
    <w:rsid w:val="2AD02254"/>
    <w:rsid w:val="2B1C6CE5"/>
    <w:rsid w:val="2B3E1A75"/>
    <w:rsid w:val="2B797138"/>
    <w:rsid w:val="2B88437A"/>
    <w:rsid w:val="2BD33F54"/>
    <w:rsid w:val="2BDA51C6"/>
    <w:rsid w:val="2BFA31F8"/>
    <w:rsid w:val="2C0C01DE"/>
    <w:rsid w:val="2C0E07F8"/>
    <w:rsid w:val="2C12686C"/>
    <w:rsid w:val="2C20555F"/>
    <w:rsid w:val="2C3E0994"/>
    <w:rsid w:val="2C6E17C2"/>
    <w:rsid w:val="2C7527F0"/>
    <w:rsid w:val="2CD86254"/>
    <w:rsid w:val="2CD94571"/>
    <w:rsid w:val="2CF577ED"/>
    <w:rsid w:val="2CFC3762"/>
    <w:rsid w:val="2D0B08DF"/>
    <w:rsid w:val="2D223EAD"/>
    <w:rsid w:val="2D3142DE"/>
    <w:rsid w:val="2D453DEB"/>
    <w:rsid w:val="2D672B94"/>
    <w:rsid w:val="2D9B0A8B"/>
    <w:rsid w:val="2DAD43B0"/>
    <w:rsid w:val="2DBD47AF"/>
    <w:rsid w:val="2DE05F6F"/>
    <w:rsid w:val="2DE55AB4"/>
    <w:rsid w:val="2E0B376C"/>
    <w:rsid w:val="2E257BD8"/>
    <w:rsid w:val="2E283D2E"/>
    <w:rsid w:val="2E4A5917"/>
    <w:rsid w:val="2E551B35"/>
    <w:rsid w:val="2E6120D2"/>
    <w:rsid w:val="2E665B25"/>
    <w:rsid w:val="2E701821"/>
    <w:rsid w:val="2E7F07D9"/>
    <w:rsid w:val="2E8E614B"/>
    <w:rsid w:val="2EA957E6"/>
    <w:rsid w:val="2EC71714"/>
    <w:rsid w:val="2EC77A75"/>
    <w:rsid w:val="2EE72D23"/>
    <w:rsid w:val="2F0E0E3A"/>
    <w:rsid w:val="2F0E5351"/>
    <w:rsid w:val="2F2D14C0"/>
    <w:rsid w:val="2F322202"/>
    <w:rsid w:val="2F3C1703"/>
    <w:rsid w:val="2F430CE4"/>
    <w:rsid w:val="2F4F58DB"/>
    <w:rsid w:val="2F954E96"/>
    <w:rsid w:val="2F996B56"/>
    <w:rsid w:val="2FAD43AF"/>
    <w:rsid w:val="2FDB0F1C"/>
    <w:rsid w:val="2FE63FB0"/>
    <w:rsid w:val="2FF63FA8"/>
    <w:rsid w:val="303D69DF"/>
    <w:rsid w:val="304951D7"/>
    <w:rsid w:val="305C3852"/>
    <w:rsid w:val="30622BA0"/>
    <w:rsid w:val="306E3B3E"/>
    <w:rsid w:val="30720F94"/>
    <w:rsid w:val="308C0468"/>
    <w:rsid w:val="309A0DD7"/>
    <w:rsid w:val="30C71542"/>
    <w:rsid w:val="30CD16C8"/>
    <w:rsid w:val="311A3CC6"/>
    <w:rsid w:val="313D6250"/>
    <w:rsid w:val="31434FCB"/>
    <w:rsid w:val="316513E5"/>
    <w:rsid w:val="317F1B79"/>
    <w:rsid w:val="3183198D"/>
    <w:rsid w:val="3192385D"/>
    <w:rsid w:val="319770C5"/>
    <w:rsid w:val="319F4825"/>
    <w:rsid w:val="31A76D18"/>
    <w:rsid w:val="31AA06AE"/>
    <w:rsid w:val="31BC0566"/>
    <w:rsid w:val="31E00A6C"/>
    <w:rsid w:val="31F973A1"/>
    <w:rsid w:val="31FF6F86"/>
    <w:rsid w:val="32221084"/>
    <w:rsid w:val="322A7F39"/>
    <w:rsid w:val="322C193C"/>
    <w:rsid w:val="3234700A"/>
    <w:rsid w:val="32462F60"/>
    <w:rsid w:val="32B048E2"/>
    <w:rsid w:val="32C303F2"/>
    <w:rsid w:val="32CC7242"/>
    <w:rsid w:val="32D305D1"/>
    <w:rsid w:val="32D60D8A"/>
    <w:rsid w:val="32E20814"/>
    <w:rsid w:val="32F2114A"/>
    <w:rsid w:val="331D35FA"/>
    <w:rsid w:val="332D7CE1"/>
    <w:rsid w:val="333746BC"/>
    <w:rsid w:val="333C6176"/>
    <w:rsid w:val="334E2D6D"/>
    <w:rsid w:val="335A484E"/>
    <w:rsid w:val="338B2C59"/>
    <w:rsid w:val="33AB6595"/>
    <w:rsid w:val="33BB353F"/>
    <w:rsid w:val="33EF4BC0"/>
    <w:rsid w:val="3400694E"/>
    <w:rsid w:val="342B6606"/>
    <w:rsid w:val="343E3F89"/>
    <w:rsid w:val="344317E2"/>
    <w:rsid w:val="34543A65"/>
    <w:rsid w:val="345E211C"/>
    <w:rsid w:val="34681E15"/>
    <w:rsid w:val="34753A59"/>
    <w:rsid w:val="348140F6"/>
    <w:rsid w:val="348E3225"/>
    <w:rsid w:val="34B34562"/>
    <w:rsid w:val="34D32EED"/>
    <w:rsid w:val="34FB1072"/>
    <w:rsid w:val="35011C05"/>
    <w:rsid w:val="35401F9A"/>
    <w:rsid w:val="35665C4E"/>
    <w:rsid w:val="35794950"/>
    <w:rsid w:val="359E77FB"/>
    <w:rsid w:val="35F03248"/>
    <w:rsid w:val="36366E82"/>
    <w:rsid w:val="363A2CB9"/>
    <w:rsid w:val="363B7262"/>
    <w:rsid w:val="363D65C4"/>
    <w:rsid w:val="364A2958"/>
    <w:rsid w:val="364D2448"/>
    <w:rsid w:val="36526639"/>
    <w:rsid w:val="366B031A"/>
    <w:rsid w:val="36767B12"/>
    <w:rsid w:val="367D6306"/>
    <w:rsid w:val="367E26A4"/>
    <w:rsid w:val="36B971F0"/>
    <w:rsid w:val="36D6243D"/>
    <w:rsid w:val="36DF5796"/>
    <w:rsid w:val="36F03302"/>
    <w:rsid w:val="371171C3"/>
    <w:rsid w:val="371A4A20"/>
    <w:rsid w:val="374F726F"/>
    <w:rsid w:val="376B527C"/>
    <w:rsid w:val="376E09B0"/>
    <w:rsid w:val="37774D6F"/>
    <w:rsid w:val="377C0CC0"/>
    <w:rsid w:val="37840064"/>
    <w:rsid w:val="37940F7C"/>
    <w:rsid w:val="379A5293"/>
    <w:rsid w:val="37A83DDA"/>
    <w:rsid w:val="37D451C1"/>
    <w:rsid w:val="37EA2644"/>
    <w:rsid w:val="381F3845"/>
    <w:rsid w:val="38210DB4"/>
    <w:rsid w:val="383A0B46"/>
    <w:rsid w:val="3843431D"/>
    <w:rsid w:val="384F4255"/>
    <w:rsid w:val="386D5023"/>
    <w:rsid w:val="387F3FB0"/>
    <w:rsid w:val="388606FA"/>
    <w:rsid w:val="388834D5"/>
    <w:rsid w:val="38ED44C0"/>
    <w:rsid w:val="38EF5A38"/>
    <w:rsid w:val="39053BD7"/>
    <w:rsid w:val="391D76E1"/>
    <w:rsid w:val="395064D7"/>
    <w:rsid w:val="396F26D5"/>
    <w:rsid w:val="39754E22"/>
    <w:rsid w:val="39873EC3"/>
    <w:rsid w:val="39957B47"/>
    <w:rsid w:val="39AE72B7"/>
    <w:rsid w:val="39B051C8"/>
    <w:rsid w:val="39CB08B9"/>
    <w:rsid w:val="39E3734B"/>
    <w:rsid w:val="39FD0695"/>
    <w:rsid w:val="3A2E433E"/>
    <w:rsid w:val="3A3F6B21"/>
    <w:rsid w:val="3A623E3D"/>
    <w:rsid w:val="3A946897"/>
    <w:rsid w:val="3AA75652"/>
    <w:rsid w:val="3AB26D1E"/>
    <w:rsid w:val="3ABF2707"/>
    <w:rsid w:val="3ADD4D08"/>
    <w:rsid w:val="3AFA311F"/>
    <w:rsid w:val="3B0752BD"/>
    <w:rsid w:val="3B0A0C7F"/>
    <w:rsid w:val="3B294136"/>
    <w:rsid w:val="3B4441DB"/>
    <w:rsid w:val="3B4C2CCE"/>
    <w:rsid w:val="3B586C31"/>
    <w:rsid w:val="3B677B08"/>
    <w:rsid w:val="3B8732EB"/>
    <w:rsid w:val="3B936B4F"/>
    <w:rsid w:val="3BAE1BDB"/>
    <w:rsid w:val="3BD553B9"/>
    <w:rsid w:val="3C017F5D"/>
    <w:rsid w:val="3C0454EB"/>
    <w:rsid w:val="3C376FB4"/>
    <w:rsid w:val="3C3F0A85"/>
    <w:rsid w:val="3C6A5454"/>
    <w:rsid w:val="3C795889"/>
    <w:rsid w:val="3C942B7F"/>
    <w:rsid w:val="3C97589F"/>
    <w:rsid w:val="3CB23005"/>
    <w:rsid w:val="3CC323A5"/>
    <w:rsid w:val="3CC45CCC"/>
    <w:rsid w:val="3D352C2C"/>
    <w:rsid w:val="3D3C7C9B"/>
    <w:rsid w:val="3D4015F6"/>
    <w:rsid w:val="3D527825"/>
    <w:rsid w:val="3D9646D4"/>
    <w:rsid w:val="3DA260D2"/>
    <w:rsid w:val="3DC20F51"/>
    <w:rsid w:val="3DC65F30"/>
    <w:rsid w:val="3DCD4688"/>
    <w:rsid w:val="3DEE2762"/>
    <w:rsid w:val="3DFA0012"/>
    <w:rsid w:val="3E0C2BE9"/>
    <w:rsid w:val="3E126C05"/>
    <w:rsid w:val="3E202377"/>
    <w:rsid w:val="3E2303AD"/>
    <w:rsid w:val="3E304758"/>
    <w:rsid w:val="3E37309D"/>
    <w:rsid w:val="3E7964D0"/>
    <w:rsid w:val="3E8C5DC8"/>
    <w:rsid w:val="3E9E292D"/>
    <w:rsid w:val="3EB17988"/>
    <w:rsid w:val="3ECD384E"/>
    <w:rsid w:val="3EF06066"/>
    <w:rsid w:val="3EF52737"/>
    <w:rsid w:val="3EF82AA2"/>
    <w:rsid w:val="3EF9316D"/>
    <w:rsid w:val="3F00656D"/>
    <w:rsid w:val="3F1057C0"/>
    <w:rsid w:val="3F1635AD"/>
    <w:rsid w:val="3F2D1BD7"/>
    <w:rsid w:val="3F5C54AA"/>
    <w:rsid w:val="3F7974B7"/>
    <w:rsid w:val="3FC30698"/>
    <w:rsid w:val="3FE80C33"/>
    <w:rsid w:val="402C0595"/>
    <w:rsid w:val="405239C6"/>
    <w:rsid w:val="40552625"/>
    <w:rsid w:val="4067258A"/>
    <w:rsid w:val="40782B0D"/>
    <w:rsid w:val="407E7726"/>
    <w:rsid w:val="409018AF"/>
    <w:rsid w:val="40C94DC1"/>
    <w:rsid w:val="40F563F2"/>
    <w:rsid w:val="410F2445"/>
    <w:rsid w:val="4126129E"/>
    <w:rsid w:val="412E057C"/>
    <w:rsid w:val="414A6E99"/>
    <w:rsid w:val="4162324B"/>
    <w:rsid w:val="41902A0E"/>
    <w:rsid w:val="41A75102"/>
    <w:rsid w:val="41B163EE"/>
    <w:rsid w:val="41F64109"/>
    <w:rsid w:val="422C3859"/>
    <w:rsid w:val="42755E28"/>
    <w:rsid w:val="42931F04"/>
    <w:rsid w:val="42BB5628"/>
    <w:rsid w:val="42E244FA"/>
    <w:rsid w:val="42E83C24"/>
    <w:rsid w:val="43234C0A"/>
    <w:rsid w:val="43234D3C"/>
    <w:rsid w:val="432F1B9E"/>
    <w:rsid w:val="433A03BF"/>
    <w:rsid w:val="434F5A51"/>
    <w:rsid w:val="435E7A42"/>
    <w:rsid w:val="43696E2D"/>
    <w:rsid w:val="43863296"/>
    <w:rsid w:val="43947908"/>
    <w:rsid w:val="43964DAD"/>
    <w:rsid w:val="43BA05BC"/>
    <w:rsid w:val="43CC495B"/>
    <w:rsid w:val="43DB5D75"/>
    <w:rsid w:val="43E51F12"/>
    <w:rsid w:val="43F54BF4"/>
    <w:rsid w:val="43F5781C"/>
    <w:rsid w:val="43F62371"/>
    <w:rsid w:val="43FA6D02"/>
    <w:rsid w:val="443F7874"/>
    <w:rsid w:val="444053BD"/>
    <w:rsid w:val="44571DD6"/>
    <w:rsid w:val="4492209A"/>
    <w:rsid w:val="44CE6E4A"/>
    <w:rsid w:val="453273D9"/>
    <w:rsid w:val="45467A41"/>
    <w:rsid w:val="4555580E"/>
    <w:rsid w:val="45771A12"/>
    <w:rsid w:val="4597066B"/>
    <w:rsid w:val="45A335B7"/>
    <w:rsid w:val="45AC0F39"/>
    <w:rsid w:val="45C16367"/>
    <w:rsid w:val="45CC3389"/>
    <w:rsid w:val="45ED77B9"/>
    <w:rsid w:val="461647F2"/>
    <w:rsid w:val="46476EB4"/>
    <w:rsid w:val="46B80811"/>
    <w:rsid w:val="46BE36AC"/>
    <w:rsid w:val="46C73B51"/>
    <w:rsid w:val="46EB3CE3"/>
    <w:rsid w:val="474451A1"/>
    <w:rsid w:val="4754496B"/>
    <w:rsid w:val="477912EF"/>
    <w:rsid w:val="47793B6F"/>
    <w:rsid w:val="478F466E"/>
    <w:rsid w:val="479D0537"/>
    <w:rsid w:val="47C9275A"/>
    <w:rsid w:val="47CD5197"/>
    <w:rsid w:val="482F5E51"/>
    <w:rsid w:val="48742308"/>
    <w:rsid w:val="48763CF1"/>
    <w:rsid w:val="487E1548"/>
    <w:rsid w:val="48947E12"/>
    <w:rsid w:val="48DE7B2E"/>
    <w:rsid w:val="48F055E1"/>
    <w:rsid w:val="48FD385A"/>
    <w:rsid w:val="490C3EA8"/>
    <w:rsid w:val="492D444B"/>
    <w:rsid w:val="49410D19"/>
    <w:rsid w:val="49695393"/>
    <w:rsid w:val="497207C3"/>
    <w:rsid w:val="49877DA8"/>
    <w:rsid w:val="49D23782"/>
    <w:rsid w:val="49E73E13"/>
    <w:rsid w:val="4A055FCC"/>
    <w:rsid w:val="4A183615"/>
    <w:rsid w:val="4A25750C"/>
    <w:rsid w:val="4A54394D"/>
    <w:rsid w:val="4A62250E"/>
    <w:rsid w:val="4A6242BC"/>
    <w:rsid w:val="4A791606"/>
    <w:rsid w:val="4A8929DA"/>
    <w:rsid w:val="4A8B08EE"/>
    <w:rsid w:val="4A8B5701"/>
    <w:rsid w:val="4A910A80"/>
    <w:rsid w:val="4AB54808"/>
    <w:rsid w:val="4AC20348"/>
    <w:rsid w:val="4AED326E"/>
    <w:rsid w:val="4AF10F19"/>
    <w:rsid w:val="4B313C8F"/>
    <w:rsid w:val="4B614574"/>
    <w:rsid w:val="4B882C13"/>
    <w:rsid w:val="4B923D95"/>
    <w:rsid w:val="4BA16207"/>
    <w:rsid w:val="4BC44A01"/>
    <w:rsid w:val="4BCA69F6"/>
    <w:rsid w:val="4BED509D"/>
    <w:rsid w:val="4C082C41"/>
    <w:rsid w:val="4C1720CC"/>
    <w:rsid w:val="4C7E76FD"/>
    <w:rsid w:val="4C842AA1"/>
    <w:rsid w:val="4CA3296A"/>
    <w:rsid w:val="4CB56259"/>
    <w:rsid w:val="4CD44B29"/>
    <w:rsid w:val="4CE97813"/>
    <w:rsid w:val="4CFB1EE8"/>
    <w:rsid w:val="4CFC5D7C"/>
    <w:rsid w:val="4D510618"/>
    <w:rsid w:val="4D6A629B"/>
    <w:rsid w:val="4D876ED4"/>
    <w:rsid w:val="4DA150FB"/>
    <w:rsid w:val="4DB41070"/>
    <w:rsid w:val="4DE91678"/>
    <w:rsid w:val="4E28658D"/>
    <w:rsid w:val="4E4C303A"/>
    <w:rsid w:val="4E6C5709"/>
    <w:rsid w:val="4EA50C1B"/>
    <w:rsid w:val="4EC372F3"/>
    <w:rsid w:val="4EF61477"/>
    <w:rsid w:val="4F22401A"/>
    <w:rsid w:val="4F355850"/>
    <w:rsid w:val="4F361873"/>
    <w:rsid w:val="4FA64C4B"/>
    <w:rsid w:val="501112F3"/>
    <w:rsid w:val="5034536B"/>
    <w:rsid w:val="50394127"/>
    <w:rsid w:val="508619CE"/>
    <w:rsid w:val="509C1BAA"/>
    <w:rsid w:val="50A820D4"/>
    <w:rsid w:val="50CA384D"/>
    <w:rsid w:val="50E10B6B"/>
    <w:rsid w:val="50F934A0"/>
    <w:rsid w:val="511A6D4F"/>
    <w:rsid w:val="512723B2"/>
    <w:rsid w:val="51353EB5"/>
    <w:rsid w:val="515678E9"/>
    <w:rsid w:val="515D24E6"/>
    <w:rsid w:val="518F3414"/>
    <w:rsid w:val="51A736B9"/>
    <w:rsid w:val="51A73F45"/>
    <w:rsid w:val="51B01DB1"/>
    <w:rsid w:val="51C13FBE"/>
    <w:rsid w:val="51C63383"/>
    <w:rsid w:val="51DB73CB"/>
    <w:rsid w:val="51F54E50"/>
    <w:rsid w:val="522400A9"/>
    <w:rsid w:val="522639DC"/>
    <w:rsid w:val="523B2B37"/>
    <w:rsid w:val="52474359"/>
    <w:rsid w:val="5257222D"/>
    <w:rsid w:val="527949B6"/>
    <w:rsid w:val="52816A7D"/>
    <w:rsid w:val="52A7651D"/>
    <w:rsid w:val="52B12842"/>
    <w:rsid w:val="52E66BD1"/>
    <w:rsid w:val="52F061DD"/>
    <w:rsid w:val="53100CAE"/>
    <w:rsid w:val="531148D7"/>
    <w:rsid w:val="53144AF9"/>
    <w:rsid w:val="53311C69"/>
    <w:rsid w:val="53373E0C"/>
    <w:rsid w:val="53726DDE"/>
    <w:rsid w:val="53892D20"/>
    <w:rsid w:val="53970DEF"/>
    <w:rsid w:val="53C6520D"/>
    <w:rsid w:val="53D62275"/>
    <w:rsid w:val="53FA1BCB"/>
    <w:rsid w:val="53FA5565"/>
    <w:rsid w:val="540168F4"/>
    <w:rsid w:val="541008E5"/>
    <w:rsid w:val="544D1B39"/>
    <w:rsid w:val="546A70A7"/>
    <w:rsid w:val="547F729E"/>
    <w:rsid w:val="547F78DD"/>
    <w:rsid w:val="54A20D14"/>
    <w:rsid w:val="54B25E40"/>
    <w:rsid w:val="54B67DA5"/>
    <w:rsid w:val="54D9161F"/>
    <w:rsid w:val="55083CB2"/>
    <w:rsid w:val="5512068D"/>
    <w:rsid w:val="55124B31"/>
    <w:rsid w:val="551272F9"/>
    <w:rsid w:val="554D5A93"/>
    <w:rsid w:val="5552317F"/>
    <w:rsid w:val="55524F2D"/>
    <w:rsid w:val="556B5782"/>
    <w:rsid w:val="55886FB5"/>
    <w:rsid w:val="558A0B6B"/>
    <w:rsid w:val="55C25D98"/>
    <w:rsid w:val="55D73B2B"/>
    <w:rsid w:val="55D818D6"/>
    <w:rsid w:val="55EB160A"/>
    <w:rsid w:val="56004989"/>
    <w:rsid w:val="56097C71"/>
    <w:rsid w:val="56272031"/>
    <w:rsid w:val="56334D5F"/>
    <w:rsid w:val="5641747C"/>
    <w:rsid w:val="565371AF"/>
    <w:rsid w:val="56644961"/>
    <w:rsid w:val="569972B8"/>
    <w:rsid w:val="56A03DCC"/>
    <w:rsid w:val="56BC2FA6"/>
    <w:rsid w:val="56F75D8C"/>
    <w:rsid w:val="56F95FA8"/>
    <w:rsid w:val="5705494D"/>
    <w:rsid w:val="57087F99"/>
    <w:rsid w:val="573568B4"/>
    <w:rsid w:val="57581F3D"/>
    <w:rsid w:val="57591D1A"/>
    <w:rsid w:val="575B774B"/>
    <w:rsid w:val="576C0528"/>
    <w:rsid w:val="57894B3F"/>
    <w:rsid w:val="57AD28EF"/>
    <w:rsid w:val="57B861B7"/>
    <w:rsid w:val="57C9597B"/>
    <w:rsid w:val="57CA0BC1"/>
    <w:rsid w:val="57D855E2"/>
    <w:rsid w:val="57DF4F53"/>
    <w:rsid w:val="583067EF"/>
    <w:rsid w:val="58383267"/>
    <w:rsid w:val="58417C07"/>
    <w:rsid w:val="584F0CD6"/>
    <w:rsid w:val="587F072F"/>
    <w:rsid w:val="587F13A6"/>
    <w:rsid w:val="58AB6E2E"/>
    <w:rsid w:val="58C34194"/>
    <w:rsid w:val="58DB276C"/>
    <w:rsid w:val="58E93B78"/>
    <w:rsid w:val="58FC1D80"/>
    <w:rsid w:val="593E4146"/>
    <w:rsid w:val="59457283"/>
    <w:rsid w:val="59575208"/>
    <w:rsid w:val="596361DB"/>
    <w:rsid w:val="59765B98"/>
    <w:rsid w:val="597856D8"/>
    <w:rsid w:val="597D4C6F"/>
    <w:rsid w:val="59A365D6"/>
    <w:rsid w:val="59CC2DB9"/>
    <w:rsid w:val="59D12AA8"/>
    <w:rsid w:val="59F91E1B"/>
    <w:rsid w:val="5A4E03B9"/>
    <w:rsid w:val="5A6942C4"/>
    <w:rsid w:val="5A781C40"/>
    <w:rsid w:val="5A812060"/>
    <w:rsid w:val="5AB6367D"/>
    <w:rsid w:val="5AB83673"/>
    <w:rsid w:val="5ADE75F7"/>
    <w:rsid w:val="5AE26D53"/>
    <w:rsid w:val="5AE605F2"/>
    <w:rsid w:val="5AE8158A"/>
    <w:rsid w:val="5AF04B90"/>
    <w:rsid w:val="5AF2343A"/>
    <w:rsid w:val="5AFA6DB3"/>
    <w:rsid w:val="5B073454"/>
    <w:rsid w:val="5B1F58B2"/>
    <w:rsid w:val="5B22757E"/>
    <w:rsid w:val="5B331248"/>
    <w:rsid w:val="5B4A5024"/>
    <w:rsid w:val="5B5F07CA"/>
    <w:rsid w:val="5B646AE1"/>
    <w:rsid w:val="5B7C71A8"/>
    <w:rsid w:val="5B8A73CA"/>
    <w:rsid w:val="5B953DC6"/>
    <w:rsid w:val="5BA517D0"/>
    <w:rsid w:val="5BC621D1"/>
    <w:rsid w:val="5BCE7A03"/>
    <w:rsid w:val="5BD72291"/>
    <w:rsid w:val="5BE02F7F"/>
    <w:rsid w:val="5C050881"/>
    <w:rsid w:val="5C396A6A"/>
    <w:rsid w:val="5C7F06B2"/>
    <w:rsid w:val="5C924161"/>
    <w:rsid w:val="5CA43D0D"/>
    <w:rsid w:val="5CF039A9"/>
    <w:rsid w:val="5CFE37B6"/>
    <w:rsid w:val="5D3F66DF"/>
    <w:rsid w:val="5D44369C"/>
    <w:rsid w:val="5D494E68"/>
    <w:rsid w:val="5D650ECF"/>
    <w:rsid w:val="5D6D0F9D"/>
    <w:rsid w:val="5D845EA0"/>
    <w:rsid w:val="5D867E6A"/>
    <w:rsid w:val="5DAF116F"/>
    <w:rsid w:val="5DC032B6"/>
    <w:rsid w:val="5DC67282"/>
    <w:rsid w:val="5DCD3DFA"/>
    <w:rsid w:val="5DD26CE9"/>
    <w:rsid w:val="5DED15CA"/>
    <w:rsid w:val="5DF37D17"/>
    <w:rsid w:val="5DF9590A"/>
    <w:rsid w:val="5DFB36D0"/>
    <w:rsid w:val="5DFE6FEF"/>
    <w:rsid w:val="5E535F52"/>
    <w:rsid w:val="5E8862A9"/>
    <w:rsid w:val="5E886BC6"/>
    <w:rsid w:val="5E8D7E4F"/>
    <w:rsid w:val="5EC5760C"/>
    <w:rsid w:val="5ED27138"/>
    <w:rsid w:val="5F060EBB"/>
    <w:rsid w:val="5F1274C2"/>
    <w:rsid w:val="5F3F6522"/>
    <w:rsid w:val="5F767085"/>
    <w:rsid w:val="5F8623A3"/>
    <w:rsid w:val="5F9F3465"/>
    <w:rsid w:val="5FA64BD1"/>
    <w:rsid w:val="5FAC1901"/>
    <w:rsid w:val="5FBF2FFD"/>
    <w:rsid w:val="5FD21144"/>
    <w:rsid w:val="5FD924D3"/>
    <w:rsid w:val="5FFB68ED"/>
    <w:rsid w:val="6009483C"/>
    <w:rsid w:val="6010125F"/>
    <w:rsid w:val="60120C7F"/>
    <w:rsid w:val="60440B78"/>
    <w:rsid w:val="605E0C2A"/>
    <w:rsid w:val="606C01E4"/>
    <w:rsid w:val="60732927"/>
    <w:rsid w:val="607928FD"/>
    <w:rsid w:val="608A48AD"/>
    <w:rsid w:val="60CE6CD8"/>
    <w:rsid w:val="61135EB8"/>
    <w:rsid w:val="611834CF"/>
    <w:rsid w:val="614E43D3"/>
    <w:rsid w:val="615269E1"/>
    <w:rsid w:val="615472BD"/>
    <w:rsid w:val="61673F51"/>
    <w:rsid w:val="616A1B52"/>
    <w:rsid w:val="6190080C"/>
    <w:rsid w:val="619C5EAE"/>
    <w:rsid w:val="61BD7BD2"/>
    <w:rsid w:val="61DA69D6"/>
    <w:rsid w:val="61DF12F2"/>
    <w:rsid w:val="620A12CA"/>
    <w:rsid w:val="62440670"/>
    <w:rsid w:val="62461533"/>
    <w:rsid w:val="62483940"/>
    <w:rsid w:val="62744735"/>
    <w:rsid w:val="62A82630"/>
    <w:rsid w:val="62F83658"/>
    <w:rsid w:val="63356726"/>
    <w:rsid w:val="635C5BCB"/>
    <w:rsid w:val="636C18B0"/>
    <w:rsid w:val="639130C5"/>
    <w:rsid w:val="63954114"/>
    <w:rsid w:val="639C03E7"/>
    <w:rsid w:val="639C14E1"/>
    <w:rsid w:val="63AB38C0"/>
    <w:rsid w:val="63BC45E5"/>
    <w:rsid w:val="63C26D58"/>
    <w:rsid w:val="63D151C2"/>
    <w:rsid w:val="63D77671"/>
    <w:rsid w:val="63DA6783"/>
    <w:rsid w:val="63FF21DF"/>
    <w:rsid w:val="644022F7"/>
    <w:rsid w:val="645066B3"/>
    <w:rsid w:val="64586027"/>
    <w:rsid w:val="645D1AE8"/>
    <w:rsid w:val="646F1658"/>
    <w:rsid w:val="64717AF0"/>
    <w:rsid w:val="647B1F23"/>
    <w:rsid w:val="64A71A70"/>
    <w:rsid w:val="64AC465A"/>
    <w:rsid w:val="64AD03D2"/>
    <w:rsid w:val="64CA4E9F"/>
    <w:rsid w:val="64EA06AD"/>
    <w:rsid w:val="64EC5D1A"/>
    <w:rsid w:val="650765BC"/>
    <w:rsid w:val="65110EF3"/>
    <w:rsid w:val="6518407E"/>
    <w:rsid w:val="653D3504"/>
    <w:rsid w:val="656F3050"/>
    <w:rsid w:val="657E3E58"/>
    <w:rsid w:val="658811DA"/>
    <w:rsid w:val="658A2ED7"/>
    <w:rsid w:val="659A605B"/>
    <w:rsid w:val="65F20C84"/>
    <w:rsid w:val="664028EF"/>
    <w:rsid w:val="6640680E"/>
    <w:rsid w:val="665B2388"/>
    <w:rsid w:val="6679056C"/>
    <w:rsid w:val="667E066E"/>
    <w:rsid w:val="669E7D74"/>
    <w:rsid w:val="66B25CCF"/>
    <w:rsid w:val="66DD085E"/>
    <w:rsid w:val="66E83432"/>
    <w:rsid w:val="66FD119D"/>
    <w:rsid w:val="673646AF"/>
    <w:rsid w:val="673A7FE6"/>
    <w:rsid w:val="6740552D"/>
    <w:rsid w:val="675A65EF"/>
    <w:rsid w:val="675D15A7"/>
    <w:rsid w:val="676326FD"/>
    <w:rsid w:val="67691024"/>
    <w:rsid w:val="67696302"/>
    <w:rsid w:val="67780823"/>
    <w:rsid w:val="6780529D"/>
    <w:rsid w:val="67883263"/>
    <w:rsid w:val="67AC2BC3"/>
    <w:rsid w:val="67B47053"/>
    <w:rsid w:val="67C1041C"/>
    <w:rsid w:val="67C52405"/>
    <w:rsid w:val="67F87BB6"/>
    <w:rsid w:val="680E73DA"/>
    <w:rsid w:val="6811449C"/>
    <w:rsid w:val="68451CF9"/>
    <w:rsid w:val="685017A0"/>
    <w:rsid w:val="6864524C"/>
    <w:rsid w:val="687308E6"/>
    <w:rsid w:val="68A815DC"/>
    <w:rsid w:val="68AA017E"/>
    <w:rsid w:val="68E52784"/>
    <w:rsid w:val="690F1369"/>
    <w:rsid w:val="69603C65"/>
    <w:rsid w:val="696C1C50"/>
    <w:rsid w:val="69817B62"/>
    <w:rsid w:val="69833DCE"/>
    <w:rsid w:val="699A597D"/>
    <w:rsid w:val="699E02E9"/>
    <w:rsid w:val="69BD08A6"/>
    <w:rsid w:val="69E30726"/>
    <w:rsid w:val="69FB2708"/>
    <w:rsid w:val="6A0B51F9"/>
    <w:rsid w:val="6A256453"/>
    <w:rsid w:val="6A3D5F3E"/>
    <w:rsid w:val="6A617C95"/>
    <w:rsid w:val="6A9A6D03"/>
    <w:rsid w:val="6AAB53B4"/>
    <w:rsid w:val="6AAF3902"/>
    <w:rsid w:val="6AC33DB7"/>
    <w:rsid w:val="6AC670F0"/>
    <w:rsid w:val="6ADD78C0"/>
    <w:rsid w:val="6B1009DB"/>
    <w:rsid w:val="6B1A65DE"/>
    <w:rsid w:val="6B1B7E43"/>
    <w:rsid w:val="6B267862"/>
    <w:rsid w:val="6B4035AD"/>
    <w:rsid w:val="6B484A5E"/>
    <w:rsid w:val="6BA73DCD"/>
    <w:rsid w:val="6BB65DBE"/>
    <w:rsid w:val="6BD77B89"/>
    <w:rsid w:val="6BFD579B"/>
    <w:rsid w:val="6C1C7996"/>
    <w:rsid w:val="6C1D45C3"/>
    <w:rsid w:val="6C472EBA"/>
    <w:rsid w:val="6C8141C1"/>
    <w:rsid w:val="6C880260"/>
    <w:rsid w:val="6C9D00D2"/>
    <w:rsid w:val="6C9F2CF6"/>
    <w:rsid w:val="6CDF30F3"/>
    <w:rsid w:val="6CF44DF0"/>
    <w:rsid w:val="6CFE5C6F"/>
    <w:rsid w:val="6D2D0302"/>
    <w:rsid w:val="6D3B0943"/>
    <w:rsid w:val="6D3B5B01"/>
    <w:rsid w:val="6D675D52"/>
    <w:rsid w:val="6D681C71"/>
    <w:rsid w:val="6D9640F9"/>
    <w:rsid w:val="6DBE53FE"/>
    <w:rsid w:val="6DC20A4A"/>
    <w:rsid w:val="6DE544DB"/>
    <w:rsid w:val="6E3D5861"/>
    <w:rsid w:val="6E732C64"/>
    <w:rsid w:val="6E8A319E"/>
    <w:rsid w:val="6E9D66C9"/>
    <w:rsid w:val="6EA842B4"/>
    <w:rsid w:val="6EB00B67"/>
    <w:rsid w:val="6EF50787"/>
    <w:rsid w:val="6EF94940"/>
    <w:rsid w:val="6F2614AD"/>
    <w:rsid w:val="6F3C65DA"/>
    <w:rsid w:val="6F4A519B"/>
    <w:rsid w:val="6F6A75EB"/>
    <w:rsid w:val="6F9311E9"/>
    <w:rsid w:val="6F943C5A"/>
    <w:rsid w:val="6FA04DBB"/>
    <w:rsid w:val="6FAC19B2"/>
    <w:rsid w:val="6FBC771B"/>
    <w:rsid w:val="6FD131C7"/>
    <w:rsid w:val="6FDD412F"/>
    <w:rsid w:val="70106AAE"/>
    <w:rsid w:val="701859C6"/>
    <w:rsid w:val="702A555A"/>
    <w:rsid w:val="70304003"/>
    <w:rsid w:val="70497201"/>
    <w:rsid w:val="7057030E"/>
    <w:rsid w:val="705B5C81"/>
    <w:rsid w:val="70666005"/>
    <w:rsid w:val="707A2BBD"/>
    <w:rsid w:val="707D23AD"/>
    <w:rsid w:val="709020CD"/>
    <w:rsid w:val="70904E30"/>
    <w:rsid w:val="709E3D5C"/>
    <w:rsid w:val="70AE3508"/>
    <w:rsid w:val="70AF4319"/>
    <w:rsid w:val="70B2124A"/>
    <w:rsid w:val="70E231B1"/>
    <w:rsid w:val="70E7606C"/>
    <w:rsid w:val="71092E34"/>
    <w:rsid w:val="712B5D4C"/>
    <w:rsid w:val="71327C95"/>
    <w:rsid w:val="714D4ACF"/>
    <w:rsid w:val="71704FE8"/>
    <w:rsid w:val="71791D68"/>
    <w:rsid w:val="717F2130"/>
    <w:rsid w:val="719C6805"/>
    <w:rsid w:val="719D7123"/>
    <w:rsid w:val="71B37159"/>
    <w:rsid w:val="71BC3A02"/>
    <w:rsid w:val="71C62B4D"/>
    <w:rsid w:val="71D15700"/>
    <w:rsid w:val="71E4748A"/>
    <w:rsid w:val="71FE5A8F"/>
    <w:rsid w:val="720A716D"/>
    <w:rsid w:val="72146F60"/>
    <w:rsid w:val="721E1865"/>
    <w:rsid w:val="725162FB"/>
    <w:rsid w:val="726F39C8"/>
    <w:rsid w:val="72744FEC"/>
    <w:rsid w:val="72822E9E"/>
    <w:rsid w:val="728E1843"/>
    <w:rsid w:val="72907369"/>
    <w:rsid w:val="72A81BF6"/>
    <w:rsid w:val="73261A7B"/>
    <w:rsid w:val="73270445"/>
    <w:rsid w:val="73445FBD"/>
    <w:rsid w:val="73522A45"/>
    <w:rsid w:val="73667409"/>
    <w:rsid w:val="737C4621"/>
    <w:rsid w:val="737E3665"/>
    <w:rsid w:val="739156B9"/>
    <w:rsid w:val="739C1D3D"/>
    <w:rsid w:val="73D40F3E"/>
    <w:rsid w:val="73E84F83"/>
    <w:rsid w:val="73EC7472"/>
    <w:rsid w:val="74341F76"/>
    <w:rsid w:val="74375FCC"/>
    <w:rsid w:val="745368A0"/>
    <w:rsid w:val="745A5E80"/>
    <w:rsid w:val="746C0AE1"/>
    <w:rsid w:val="74823F2A"/>
    <w:rsid w:val="74C23A26"/>
    <w:rsid w:val="74D5432B"/>
    <w:rsid w:val="74E97204"/>
    <w:rsid w:val="74FA7758"/>
    <w:rsid w:val="750B71C1"/>
    <w:rsid w:val="752C55F8"/>
    <w:rsid w:val="753E305C"/>
    <w:rsid w:val="755E6A8C"/>
    <w:rsid w:val="757036AC"/>
    <w:rsid w:val="75873DBC"/>
    <w:rsid w:val="75AA17D7"/>
    <w:rsid w:val="75AB5E5B"/>
    <w:rsid w:val="75BE5F9B"/>
    <w:rsid w:val="75C15B22"/>
    <w:rsid w:val="75CC3053"/>
    <w:rsid w:val="760C2E49"/>
    <w:rsid w:val="76B803DA"/>
    <w:rsid w:val="76C00A25"/>
    <w:rsid w:val="76C21ABB"/>
    <w:rsid w:val="774A742E"/>
    <w:rsid w:val="77521091"/>
    <w:rsid w:val="775C1F10"/>
    <w:rsid w:val="777850C3"/>
    <w:rsid w:val="77901BB9"/>
    <w:rsid w:val="77CD6969"/>
    <w:rsid w:val="77E5721F"/>
    <w:rsid w:val="77FE4D75"/>
    <w:rsid w:val="78014865"/>
    <w:rsid w:val="780507B8"/>
    <w:rsid w:val="780F5BAA"/>
    <w:rsid w:val="78596A84"/>
    <w:rsid w:val="78663A6E"/>
    <w:rsid w:val="78672E77"/>
    <w:rsid w:val="7894637F"/>
    <w:rsid w:val="78AD5DB4"/>
    <w:rsid w:val="78E21FA1"/>
    <w:rsid w:val="78F533E5"/>
    <w:rsid w:val="78F84414"/>
    <w:rsid w:val="790833C3"/>
    <w:rsid w:val="79091C23"/>
    <w:rsid w:val="792A1B99"/>
    <w:rsid w:val="794C38BE"/>
    <w:rsid w:val="794C5FB4"/>
    <w:rsid w:val="79500C97"/>
    <w:rsid w:val="795409C4"/>
    <w:rsid w:val="79646E59"/>
    <w:rsid w:val="796E7CD8"/>
    <w:rsid w:val="797F5A41"/>
    <w:rsid w:val="79914FB2"/>
    <w:rsid w:val="79983862"/>
    <w:rsid w:val="79B31B8F"/>
    <w:rsid w:val="79B61B86"/>
    <w:rsid w:val="79CC749F"/>
    <w:rsid w:val="79DA536E"/>
    <w:rsid w:val="79E26729"/>
    <w:rsid w:val="7A081EDB"/>
    <w:rsid w:val="7A3E76AA"/>
    <w:rsid w:val="7A4E3666"/>
    <w:rsid w:val="7A5713C9"/>
    <w:rsid w:val="7A637111"/>
    <w:rsid w:val="7AB33636"/>
    <w:rsid w:val="7AC754CB"/>
    <w:rsid w:val="7ACF47A6"/>
    <w:rsid w:val="7AE74C21"/>
    <w:rsid w:val="7B00022D"/>
    <w:rsid w:val="7B0E1773"/>
    <w:rsid w:val="7B387332"/>
    <w:rsid w:val="7B3E7BD0"/>
    <w:rsid w:val="7B784E3E"/>
    <w:rsid w:val="7B851222"/>
    <w:rsid w:val="7B9D2AF7"/>
    <w:rsid w:val="7C2823C0"/>
    <w:rsid w:val="7C4C0372"/>
    <w:rsid w:val="7C520A0E"/>
    <w:rsid w:val="7C570EF7"/>
    <w:rsid w:val="7C5E5DE2"/>
    <w:rsid w:val="7C7E6484"/>
    <w:rsid w:val="7CB7520E"/>
    <w:rsid w:val="7CCA7084"/>
    <w:rsid w:val="7CE83493"/>
    <w:rsid w:val="7D4E5E42"/>
    <w:rsid w:val="7D6531C9"/>
    <w:rsid w:val="7D6D45C0"/>
    <w:rsid w:val="7D8E0949"/>
    <w:rsid w:val="7DCA359D"/>
    <w:rsid w:val="7DCB087D"/>
    <w:rsid w:val="7DE81FDD"/>
    <w:rsid w:val="7DF12C86"/>
    <w:rsid w:val="7DF16E74"/>
    <w:rsid w:val="7E327D58"/>
    <w:rsid w:val="7E3808B5"/>
    <w:rsid w:val="7E51336F"/>
    <w:rsid w:val="7E522651"/>
    <w:rsid w:val="7E8B02FC"/>
    <w:rsid w:val="7E922B63"/>
    <w:rsid w:val="7ECA0011"/>
    <w:rsid w:val="7F4236E5"/>
    <w:rsid w:val="7F64763D"/>
    <w:rsid w:val="7F6C01A4"/>
    <w:rsid w:val="7F6C7346"/>
    <w:rsid w:val="7F817B02"/>
    <w:rsid w:val="7F930498"/>
    <w:rsid w:val="7FCA06E4"/>
    <w:rsid w:val="7FDF68AC"/>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ocked="1"/>
    <w:lsdException w:qFormat="1" w:uiPriority="9"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1"/>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4"/>
    <w:qFormat/>
    <w:locked/>
    <w:uiPriority w:val="0"/>
    <w:pPr>
      <w:spacing w:line="0" w:lineRule="atLeast"/>
      <w:ind w:left="1"/>
      <w:jc w:val="left"/>
      <w:textAlignment w:val="bottom"/>
      <w:outlineLvl w:val="1"/>
    </w:pPr>
    <w:rPr>
      <w:kern w:val="0"/>
      <w:sz w:val="28"/>
      <w:szCs w:val="20"/>
    </w:rPr>
  </w:style>
  <w:style w:type="paragraph" w:styleId="5">
    <w:name w:val="heading 3"/>
    <w:basedOn w:val="1"/>
    <w:next w:val="1"/>
    <w:semiHidden/>
    <w:unhideWhenUsed/>
    <w:qFormat/>
    <w:locked/>
    <w:uiPriority w:val="9"/>
    <w:pPr>
      <w:keepNext/>
      <w:keepLines/>
      <w:spacing w:before="260" w:after="260" w:line="416" w:lineRule="auto"/>
      <w:outlineLvl w:val="2"/>
    </w:pPr>
    <w:rPr>
      <w:b/>
      <w:bCs/>
      <w:sz w:val="32"/>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4">
    <w:name w:val="Subtitle"/>
    <w:basedOn w:val="1"/>
    <w:next w:val="1"/>
    <w:link w:val="55"/>
    <w:qFormat/>
    <w:locked/>
    <w:uiPriority w:val="0"/>
    <w:pPr>
      <w:spacing w:before="240" w:after="60" w:line="312" w:lineRule="auto"/>
      <w:ind w:left="100" w:leftChars="100" w:right="100" w:rightChars="100"/>
      <w:jc w:val="left"/>
      <w:outlineLvl w:val="1"/>
    </w:pPr>
    <w:rPr>
      <w:rFonts w:ascii="Cambria" w:hAnsi="Cambria"/>
      <w:bCs/>
      <w:kern w:val="28"/>
      <w:sz w:val="28"/>
      <w:szCs w:val="32"/>
    </w:rPr>
  </w:style>
  <w:style w:type="paragraph" w:styleId="6">
    <w:name w:val="Normal Indent"/>
    <w:basedOn w:val="1"/>
    <w:qFormat/>
    <w:uiPriority w:val="0"/>
    <w:pPr>
      <w:spacing w:line="360" w:lineRule="auto"/>
      <w:ind w:firstLine="420"/>
    </w:pPr>
    <w:rPr>
      <w:rFonts w:eastAsia="仿宋_GB2312"/>
      <w:sz w:val="28"/>
      <w:szCs w:val="20"/>
    </w:rPr>
  </w:style>
  <w:style w:type="paragraph" w:styleId="7">
    <w:name w:val="annotation text"/>
    <w:basedOn w:val="1"/>
    <w:link w:val="32"/>
    <w:qFormat/>
    <w:uiPriority w:val="99"/>
    <w:pPr>
      <w:jc w:val="left"/>
    </w:pPr>
  </w:style>
  <w:style w:type="paragraph" w:styleId="8">
    <w:name w:val="Body Text Indent"/>
    <w:basedOn w:val="1"/>
    <w:link w:val="33"/>
    <w:qFormat/>
    <w:uiPriority w:val="99"/>
    <w:pPr>
      <w:tabs>
        <w:tab w:val="left" w:pos="360"/>
        <w:tab w:val="left" w:pos="1418"/>
      </w:tabs>
      <w:spacing w:line="560" w:lineRule="atLeast"/>
      <w:ind w:firstLine="560" w:firstLineChars="200"/>
    </w:pPr>
    <w:rPr>
      <w:rFonts w:ascii="楷体_GB2312" w:eastAsia="楷体_GB2312"/>
      <w:sz w:val="28"/>
    </w:rPr>
  </w:style>
  <w:style w:type="paragraph" w:styleId="9">
    <w:name w:val="toc 3"/>
    <w:basedOn w:val="1"/>
    <w:next w:val="1"/>
    <w:semiHidden/>
    <w:unhideWhenUsed/>
    <w:qFormat/>
    <w:uiPriority w:val="39"/>
    <w:pPr>
      <w:widowControl/>
      <w:spacing w:after="100" w:line="276" w:lineRule="auto"/>
      <w:ind w:left="440"/>
      <w:jc w:val="left"/>
    </w:pPr>
    <w:rPr>
      <w:rFonts w:ascii="Calibri" w:hAnsi="Calibri"/>
      <w:kern w:val="0"/>
      <w:sz w:val="22"/>
      <w:szCs w:val="22"/>
    </w:rPr>
  </w:style>
  <w:style w:type="paragraph" w:styleId="10">
    <w:name w:val="Date"/>
    <w:basedOn w:val="1"/>
    <w:next w:val="1"/>
    <w:link w:val="34"/>
    <w:qFormat/>
    <w:uiPriority w:val="99"/>
    <w:pPr>
      <w:ind w:left="100" w:leftChars="2500"/>
    </w:pPr>
    <w:rPr>
      <w:rFonts w:ascii="楷体_GB2312" w:eastAsia="楷体_GB2312"/>
      <w:sz w:val="28"/>
    </w:rPr>
  </w:style>
  <w:style w:type="paragraph" w:styleId="11">
    <w:name w:val="Body Text Indent 2"/>
    <w:basedOn w:val="1"/>
    <w:link w:val="35"/>
    <w:qFormat/>
    <w:uiPriority w:val="99"/>
    <w:pPr>
      <w:spacing w:line="560" w:lineRule="atLeast"/>
      <w:ind w:left="2" w:firstLine="538"/>
    </w:pPr>
    <w:rPr>
      <w:rFonts w:ascii="楷体_GB2312" w:eastAsia="楷体_GB2312"/>
      <w:bCs/>
      <w:sz w:val="28"/>
    </w:rPr>
  </w:style>
  <w:style w:type="paragraph" w:styleId="12">
    <w:name w:val="Balloon Text"/>
    <w:basedOn w:val="1"/>
    <w:link w:val="36"/>
    <w:qFormat/>
    <w:uiPriority w:val="99"/>
    <w:rPr>
      <w:sz w:val="18"/>
      <w:szCs w:val="18"/>
    </w:rPr>
  </w:style>
  <w:style w:type="paragraph" w:styleId="13">
    <w:name w:val="footer"/>
    <w:basedOn w:val="1"/>
    <w:link w:val="37"/>
    <w:qFormat/>
    <w:uiPriority w:val="99"/>
    <w:pPr>
      <w:tabs>
        <w:tab w:val="center" w:pos="4153"/>
        <w:tab w:val="right" w:pos="8306"/>
      </w:tabs>
      <w:snapToGrid w:val="0"/>
      <w:jc w:val="left"/>
    </w:pPr>
    <w:rPr>
      <w:sz w:val="18"/>
      <w:szCs w:val="18"/>
    </w:rPr>
  </w:style>
  <w:style w:type="paragraph" w:styleId="14">
    <w:name w:val="header"/>
    <w:basedOn w:val="1"/>
    <w:link w:val="38"/>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tabs>
        <w:tab w:val="right" w:leader="dot" w:pos="9072"/>
      </w:tabs>
      <w:spacing w:beforeLines="25" w:afterLines="25" w:line="380" w:lineRule="exact"/>
      <w:ind w:left="-1" w:leftChars="-187" w:hanging="424" w:hangingChars="165"/>
      <w:jc w:val="left"/>
    </w:pPr>
    <w:rPr>
      <w:rFonts w:eastAsia="楷体_GB2312"/>
      <w:sz w:val="24"/>
      <w:szCs w:val="20"/>
    </w:rPr>
  </w:style>
  <w:style w:type="paragraph" w:styleId="16">
    <w:name w:val="Body Text Indent 3"/>
    <w:basedOn w:val="1"/>
    <w:link w:val="39"/>
    <w:qFormat/>
    <w:uiPriority w:val="99"/>
    <w:pPr>
      <w:spacing w:line="560" w:lineRule="atLeast"/>
      <w:ind w:left="540" w:leftChars="257"/>
    </w:pPr>
    <w:rPr>
      <w:rFonts w:ascii="楷体_GB2312" w:eastAsia="楷体_GB2312"/>
      <w:sz w:val="28"/>
    </w:rPr>
  </w:style>
  <w:style w:type="paragraph" w:styleId="17">
    <w:name w:val="toc 2"/>
    <w:basedOn w:val="1"/>
    <w:next w:val="1"/>
    <w:qFormat/>
    <w:uiPriority w:val="39"/>
    <w:pPr>
      <w:tabs>
        <w:tab w:val="right" w:leader="dot" w:pos="9072"/>
      </w:tabs>
      <w:spacing w:beforeLines="25" w:afterLines="25" w:line="380" w:lineRule="exact"/>
      <w:ind w:left="-425" w:leftChars="-187"/>
      <w:jc w:val="left"/>
    </w:pPr>
    <w:rPr>
      <w:rFonts w:eastAsia="楷体_GB2312"/>
      <w:sz w:val="24"/>
    </w:rPr>
  </w:style>
  <w:style w:type="paragraph" w:styleId="18">
    <w:name w:val="Normal (Web)"/>
    <w:basedOn w:val="1"/>
    <w:qFormat/>
    <w:uiPriority w:val="99"/>
    <w:pPr>
      <w:spacing w:before="0" w:beforeAutospacing="1" w:after="0" w:afterAutospacing="1"/>
      <w:ind w:left="0" w:right="0"/>
      <w:jc w:val="left"/>
    </w:pPr>
    <w:rPr>
      <w:kern w:val="0"/>
      <w:sz w:val="24"/>
      <w:lang w:val="en-US" w:eastAsia="zh-CN" w:bidi="ar"/>
    </w:rPr>
  </w:style>
  <w:style w:type="paragraph" w:styleId="19">
    <w:name w:val="Title"/>
    <w:basedOn w:val="1"/>
    <w:next w:val="1"/>
    <w:link w:val="53"/>
    <w:qFormat/>
    <w:locked/>
    <w:uiPriority w:val="0"/>
    <w:pPr>
      <w:spacing w:before="240" w:after="60"/>
      <w:jc w:val="center"/>
      <w:outlineLvl w:val="0"/>
    </w:pPr>
    <w:rPr>
      <w:rFonts w:ascii="Cambria" w:hAnsi="Cambria"/>
      <w:bCs/>
      <w:sz w:val="44"/>
      <w:szCs w:val="32"/>
    </w:rPr>
  </w:style>
  <w:style w:type="paragraph" w:styleId="20">
    <w:name w:val="annotation subject"/>
    <w:basedOn w:val="7"/>
    <w:next w:val="7"/>
    <w:link w:val="44"/>
    <w:qFormat/>
    <w:uiPriority w:val="99"/>
    <w:rPr>
      <w:b/>
      <w:bCs/>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qFormat/>
    <w:locked/>
    <w:uiPriority w:val="0"/>
    <w:rPr>
      <w:b/>
      <w:bCs/>
    </w:rPr>
  </w:style>
  <w:style w:type="character" w:styleId="25">
    <w:name w:val="page number"/>
    <w:basedOn w:val="23"/>
    <w:qFormat/>
    <w:uiPriority w:val="99"/>
    <w:rPr>
      <w:rFonts w:cs="Times New Roman"/>
    </w:rPr>
  </w:style>
  <w:style w:type="character" w:styleId="26">
    <w:name w:val="FollowedHyperlink"/>
    <w:basedOn w:val="23"/>
    <w:qFormat/>
    <w:uiPriority w:val="99"/>
    <w:rPr>
      <w:rFonts w:cs="Times New Roman"/>
      <w:color w:val="741274"/>
      <w:u w:val="single"/>
    </w:rPr>
  </w:style>
  <w:style w:type="character" w:styleId="27">
    <w:name w:val="Emphasis"/>
    <w:basedOn w:val="23"/>
    <w:qFormat/>
    <w:uiPriority w:val="99"/>
    <w:rPr>
      <w:rFonts w:cs="Times New Roman"/>
      <w:color w:val="CC0000"/>
    </w:rPr>
  </w:style>
  <w:style w:type="character" w:styleId="28">
    <w:name w:val="Hyperlink"/>
    <w:basedOn w:val="23"/>
    <w:qFormat/>
    <w:uiPriority w:val="99"/>
    <w:rPr>
      <w:rFonts w:cs="Times New Roman"/>
      <w:color w:val="000000"/>
      <w:u w:val="none"/>
    </w:rPr>
  </w:style>
  <w:style w:type="character" w:styleId="29">
    <w:name w:val="annotation reference"/>
    <w:basedOn w:val="23"/>
    <w:qFormat/>
    <w:uiPriority w:val="99"/>
    <w:rPr>
      <w:rFonts w:cs="Times New Roman"/>
      <w:sz w:val="21"/>
      <w:szCs w:val="21"/>
    </w:rPr>
  </w:style>
  <w:style w:type="character" w:styleId="30">
    <w:name w:val="HTML Cite"/>
    <w:basedOn w:val="23"/>
    <w:qFormat/>
    <w:uiPriority w:val="99"/>
    <w:rPr>
      <w:rFonts w:cs="Times New Roman"/>
      <w:color w:val="008000"/>
    </w:rPr>
  </w:style>
  <w:style w:type="character" w:customStyle="1" w:styleId="31">
    <w:name w:val="标题 1 Char"/>
    <w:basedOn w:val="23"/>
    <w:link w:val="2"/>
    <w:qFormat/>
    <w:locked/>
    <w:uiPriority w:val="99"/>
    <w:rPr>
      <w:rFonts w:ascii="宋体" w:eastAsia="宋体" w:cs="宋体"/>
      <w:b/>
      <w:bCs/>
      <w:kern w:val="36"/>
      <w:sz w:val="48"/>
      <w:szCs w:val="48"/>
    </w:rPr>
  </w:style>
  <w:style w:type="character" w:customStyle="1" w:styleId="32">
    <w:name w:val="批注文字 Char"/>
    <w:basedOn w:val="23"/>
    <w:link w:val="7"/>
    <w:qFormat/>
    <w:locked/>
    <w:uiPriority w:val="99"/>
    <w:rPr>
      <w:rFonts w:cs="Times New Roman"/>
      <w:kern w:val="2"/>
      <w:sz w:val="24"/>
      <w:szCs w:val="24"/>
    </w:rPr>
  </w:style>
  <w:style w:type="character" w:customStyle="1" w:styleId="33">
    <w:name w:val="正文文本缩进 Char"/>
    <w:basedOn w:val="23"/>
    <w:link w:val="8"/>
    <w:semiHidden/>
    <w:qFormat/>
    <w:uiPriority w:val="99"/>
    <w:rPr>
      <w:szCs w:val="24"/>
    </w:rPr>
  </w:style>
  <w:style w:type="character" w:customStyle="1" w:styleId="34">
    <w:name w:val="日期 Char"/>
    <w:basedOn w:val="23"/>
    <w:link w:val="10"/>
    <w:qFormat/>
    <w:locked/>
    <w:uiPriority w:val="99"/>
    <w:rPr>
      <w:rFonts w:ascii="楷体_GB2312" w:eastAsia="楷体_GB2312" w:cs="Times New Roman"/>
      <w:kern w:val="2"/>
      <w:sz w:val="24"/>
      <w:szCs w:val="24"/>
    </w:rPr>
  </w:style>
  <w:style w:type="character" w:customStyle="1" w:styleId="35">
    <w:name w:val="正文文本缩进 2 Char"/>
    <w:basedOn w:val="23"/>
    <w:link w:val="11"/>
    <w:semiHidden/>
    <w:qFormat/>
    <w:uiPriority w:val="99"/>
    <w:rPr>
      <w:szCs w:val="24"/>
    </w:rPr>
  </w:style>
  <w:style w:type="character" w:customStyle="1" w:styleId="36">
    <w:name w:val="批注框文本 Char"/>
    <w:basedOn w:val="23"/>
    <w:link w:val="12"/>
    <w:qFormat/>
    <w:locked/>
    <w:uiPriority w:val="99"/>
    <w:rPr>
      <w:rFonts w:cs="Times New Roman"/>
      <w:kern w:val="2"/>
      <w:sz w:val="18"/>
      <w:szCs w:val="18"/>
    </w:rPr>
  </w:style>
  <w:style w:type="character" w:customStyle="1" w:styleId="37">
    <w:name w:val="页脚 Char"/>
    <w:basedOn w:val="23"/>
    <w:link w:val="13"/>
    <w:qFormat/>
    <w:locked/>
    <w:uiPriority w:val="99"/>
    <w:rPr>
      <w:rFonts w:cs="Times New Roman"/>
      <w:kern w:val="2"/>
      <w:sz w:val="18"/>
      <w:szCs w:val="18"/>
    </w:rPr>
  </w:style>
  <w:style w:type="character" w:customStyle="1" w:styleId="38">
    <w:name w:val="页眉 Char"/>
    <w:basedOn w:val="23"/>
    <w:link w:val="14"/>
    <w:qFormat/>
    <w:locked/>
    <w:uiPriority w:val="99"/>
    <w:rPr>
      <w:rFonts w:cs="Times New Roman"/>
      <w:kern w:val="2"/>
      <w:sz w:val="18"/>
      <w:szCs w:val="18"/>
    </w:rPr>
  </w:style>
  <w:style w:type="character" w:customStyle="1" w:styleId="39">
    <w:name w:val="正文文本缩进 3 Char"/>
    <w:basedOn w:val="23"/>
    <w:link w:val="16"/>
    <w:semiHidden/>
    <w:qFormat/>
    <w:uiPriority w:val="99"/>
    <w:rPr>
      <w:sz w:val="16"/>
      <w:szCs w:val="16"/>
    </w:rPr>
  </w:style>
  <w:style w:type="paragraph" w:styleId="40">
    <w:name w:val="List Paragraph"/>
    <w:basedOn w:val="1"/>
    <w:qFormat/>
    <w:uiPriority w:val="99"/>
    <w:pPr>
      <w:ind w:firstLine="420" w:firstLineChars="200"/>
    </w:pPr>
  </w:style>
  <w:style w:type="paragraph" w:customStyle="1" w:styleId="41">
    <w:name w:val="列出段落1"/>
    <w:basedOn w:val="1"/>
    <w:qFormat/>
    <w:uiPriority w:val="34"/>
    <w:pPr>
      <w:spacing w:line="365" w:lineRule="atLeast"/>
      <w:ind w:left="1" w:firstLine="420" w:firstLineChars="200"/>
      <w:textAlignment w:val="bottom"/>
    </w:pPr>
    <w:rPr>
      <w:kern w:val="0"/>
      <w:sz w:val="20"/>
      <w:szCs w:val="20"/>
    </w:rPr>
  </w:style>
  <w:style w:type="character" w:customStyle="1" w:styleId="42">
    <w:name w:val="sugg-loading"/>
    <w:basedOn w:val="23"/>
    <w:qFormat/>
    <w:uiPriority w:val="99"/>
    <w:rPr>
      <w:rFonts w:cs="Times New Roman"/>
    </w:rPr>
  </w:style>
  <w:style w:type="character" w:customStyle="1" w:styleId="43">
    <w:name w:val="page-cur"/>
    <w:basedOn w:val="23"/>
    <w:qFormat/>
    <w:uiPriority w:val="99"/>
    <w:rPr>
      <w:rFonts w:cs="Times New Roman"/>
      <w:b/>
      <w:color w:val="333333"/>
      <w:bdr w:val="single" w:color="E5E5E5" w:sz="6" w:space="0"/>
      <w:shd w:val="clear" w:color="auto" w:fill="F2F2F2"/>
    </w:rPr>
  </w:style>
  <w:style w:type="character" w:customStyle="1" w:styleId="44">
    <w:name w:val="批注主题 Char"/>
    <w:basedOn w:val="32"/>
    <w:link w:val="20"/>
    <w:qFormat/>
    <w:locked/>
    <w:uiPriority w:val="99"/>
  </w:style>
  <w:style w:type="paragraph" w:customStyle="1" w:styleId="45">
    <w:name w:val="font5"/>
    <w:basedOn w:val="1"/>
    <w:qFormat/>
    <w:uiPriority w:val="0"/>
    <w:pPr>
      <w:widowControl/>
      <w:spacing w:before="100" w:beforeAutospacing="1" w:after="100" w:afterAutospacing="1"/>
      <w:jc w:val="left"/>
    </w:pPr>
    <w:rPr>
      <w:rFonts w:ascii="Tahoma" w:hAnsi="Tahoma" w:cs="Tahoma"/>
      <w:kern w:val="0"/>
      <w:sz w:val="18"/>
      <w:szCs w:val="18"/>
    </w:rPr>
  </w:style>
  <w:style w:type="paragraph" w:customStyle="1" w:styleId="46">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4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48">
    <w:name w:val="xl67"/>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4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5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5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8"/>
      <w:szCs w:val="28"/>
    </w:rPr>
  </w:style>
  <w:style w:type="paragraph" w:customStyle="1" w:styleId="52">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53">
    <w:name w:val="标题 Char"/>
    <w:basedOn w:val="23"/>
    <w:link w:val="19"/>
    <w:qFormat/>
    <w:uiPriority w:val="0"/>
    <w:rPr>
      <w:rFonts w:ascii="Cambria" w:hAnsi="Cambria" w:cs="Times New Roman"/>
      <w:bCs/>
      <w:kern w:val="2"/>
      <w:sz w:val="44"/>
      <w:szCs w:val="32"/>
    </w:rPr>
  </w:style>
  <w:style w:type="paragraph" w:customStyle="1" w:styleId="54">
    <w:name w:val="TOC 标题1"/>
    <w:basedOn w:val="2"/>
    <w:next w:val="1"/>
    <w:semiHidden/>
    <w:unhideWhenUsed/>
    <w:qFormat/>
    <w:uiPriority w:val="39"/>
    <w:pPr>
      <w:keepNext/>
      <w:keepLines/>
      <w:spacing w:before="480" w:beforeAutospacing="0" w:after="0" w:afterAutospacing="0" w:line="276" w:lineRule="auto"/>
      <w:outlineLvl w:val="9"/>
    </w:pPr>
    <w:rPr>
      <w:rFonts w:ascii="Cambria" w:hAnsi="Cambria" w:cs="Times New Roman"/>
      <w:color w:val="365F91"/>
      <w:kern w:val="0"/>
      <w:sz w:val="28"/>
      <w:szCs w:val="28"/>
    </w:rPr>
  </w:style>
  <w:style w:type="character" w:customStyle="1" w:styleId="55">
    <w:name w:val="副标题 Char"/>
    <w:basedOn w:val="23"/>
    <w:link w:val="4"/>
    <w:qFormat/>
    <w:uiPriority w:val="0"/>
    <w:rPr>
      <w:rFonts w:ascii="Cambria" w:hAnsi="Cambria"/>
      <w:bCs/>
      <w:kern w:val="28"/>
      <w:sz w:val="28"/>
      <w:szCs w:val="32"/>
    </w:rPr>
  </w:style>
  <w:style w:type="paragraph" w:customStyle="1" w:styleId="56">
    <w:name w:val="p"/>
    <w:basedOn w:val="1"/>
    <w:qFormat/>
    <w:uiPriority w:val="0"/>
    <w:pPr>
      <w:widowControl/>
      <w:spacing w:before="100" w:beforeAutospacing="1" w:after="100" w:afterAutospacing="1"/>
      <w:jc w:val="left"/>
    </w:pPr>
    <w:rPr>
      <w:kern w:val="0"/>
      <w:sz w:val="24"/>
      <w:lang w:val="en-US" w:eastAsia="zh-CN" w:bidi="ar"/>
    </w:rPr>
  </w:style>
  <w:style w:type="character" w:customStyle="1" w:styleId="57">
    <w:name w:val="16"/>
    <w:basedOn w:val="23"/>
    <w:qFormat/>
    <w:uiPriority w:val="0"/>
  </w:style>
  <w:style w:type="character" w:customStyle="1" w:styleId="58">
    <w:name w:val="font21"/>
    <w:basedOn w:val="23"/>
    <w:qFormat/>
    <w:uiPriority w:val="0"/>
    <w:rPr>
      <w:rFonts w:hint="eastAsia" w:ascii="宋体" w:hAnsi="宋体" w:eastAsia="宋体" w:cs="宋体"/>
      <w:color w:val="000000"/>
      <w:sz w:val="18"/>
      <w:szCs w:val="18"/>
      <w:u w:val="none"/>
    </w:rPr>
  </w:style>
  <w:style w:type="character" w:customStyle="1" w:styleId="59">
    <w:name w:val="font41"/>
    <w:basedOn w:val="23"/>
    <w:qFormat/>
    <w:uiPriority w:val="0"/>
    <w:rPr>
      <w:rFonts w:hint="default" w:ascii="Times New Roman" w:hAnsi="Times New Roman" w:cs="Times New Roman"/>
      <w:color w:val="000000"/>
      <w:sz w:val="18"/>
      <w:szCs w:val="18"/>
      <w:u w:val="none"/>
    </w:rPr>
  </w:style>
  <w:style w:type="character" w:customStyle="1" w:styleId="60">
    <w:name w:val="font61"/>
    <w:basedOn w:val="23"/>
    <w:qFormat/>
    <w:uiPriority w:val="0"/>
    <w:rPr>
      <w:rFonts w:hint="default" w:ascii="Times New Roman" w:hAnsi="Times New Roman" w:cs="Times New Roman"/>
      <w:color w:val="000000"/>
      <w:sz w:val="18"/>
      <w:szCs w:val="18"/>
      <w:u w:val="none"/>
      <w:vertAlign w:val="subscript"/>
    </w:rPr>
  </w:style>
  <w:style w:type="character" w:customStyle="1" w:styleId="61">
    <w:name w:val="font51"/>
    <w:basedOn w:val="23"/>
    <w:qFormat/>
    <w:uiPriority w:val="0"/>
    <w:rPr>
      <w:rFonts w:hint="default" w:ascii="Times New Roman" w:hAnsi="Times New Roman" w:cs="Times New Roman"/>
      <w:color w:val="000000"/>
      <w:sz w:val="18"/>
      <w:szCs w:val="18"/>
      <w:u w:val="none"/>
      <w:vertAlign w:val="superscript"/>
    </w:rPr>
  </w:style>
  <w:style w:type="character" w:customStyle="1" w:styleId="62">
    <w:name w:val="font101"/>
    <w:basedOn w:val="23"/>
    <w:qFormat/>
    <w:uiPriority w:val="0"/>
    <w:rPr>
      <w:rFonts w:hint="default" w:ascii="Times New Roman" w:hAnsi="Times New Roman" w:cs="Times New Roman"/>
      <w:color w:val="000000"/>
      <w:sz w:val="18"/>
      <w:szCs w:val="18"/>
      <w:u w:val="none"/>
      <w:vertAlign w:val="subscript"/>
    </w:rPr>
  </w:style>
  <w:style w:type="character" w:customStyle="1" w:styleId="63">
    <w:name w:val="font112"/>
    <w:basedOn w:val="23"/>
    <w:qFormat/>
    <w:uiPriority w:val="0"/>
    <w:rPr>
      <w:rFonts w:hint="default" w:ascii="Times New Roman" w:hAnsi="Times New Roman" w:cs="Times New Roman"/>
      <w:color w:val="000000"/>
      <w:sz w:val="18"/>
      <w:szCs w:val="18"/>
      <w:u w:val="none"/>
      <w:vertAlign w:val="superscript"/>
    </w:rPr>
  </w:style>
  <w:style w:type="character" w:customStyle="1" w:styleId="64">
    <w:name w:val="ca-3"/>
    <w:qFormat/>
    <w:uiPriority w:val="0"/>
  </w:style>
  <w:style w:type="character" w:customStyle="1" w:styleId="65">
    <w:name w:val="font11"/>
    <w:basedOn w:val="23"/>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A305D8-E285-440F-89A2-3EABF706B623}">
  <ds:schemaRefs/>
</ds:datastoreItem>
</file>

<file path=docProps/app.xml><?xml version="1.0" encoding="utf-8"?>
<Properties xmlns="http://schemas.openxmlformats.org/officeDocument/2006/extended-properties" xmlns:vt="http://schemas.openxmlformats.org/officeDocument/2006/docPropsVTypes">
  <Template>Normal</Template>
  <Company>德信房地产评估公司</Company>
  <Pages>31</Pages>
  <Words>15099</Words>
  <Characters>16380</Characters>
  <Lines>283</Lines>
  <Paragraphs>79</Paragraphs>
  <TotalTime>28</TotalTime>
  <ScaleCrop>false</ScaleCrop>
  <LinksUpToDate>false</LinksUpToDate>
  <CharactersWithSpaces>16635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2018-01-06T07:16:00Z</dcterms:created>
  <dc:creator>德信</dc:creator>
  <cp:lastModifiedBy>喂。</cp:lastModifiedBy>
  <cp:lastPrinted>2022-10-10T06:48:00Z</cp:lastPrinted>
  <dcterms:modified xsi:type="dcterms:W3CDTF">2022-10-27T03:14:26Z</dcterms:modified>
  <cp:revision>2008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0F9C46496A0D4C818318A2215FC5BF07</vt:lpwstr>
  </property>
</Properties>
</file>