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Times New Roman"/>
          <w:b/>
          <w:color w:val="auto"/>
          <w:sz w:val="52"/>
          <w:szCs w:val="52"/>
          <w:highlight w:val="none"/>
        </w:rPr>
      </w:pPr>
    </w:p>
    <w:p>
      <w:pPr>
        <w:jc w:val="center"/>
        <w:rPr>
          <w:rFonts w:hint="eastAsia" w:ascii="宋体" w:hAnsi="宋体" w:eastAsia="宋体" w:cs="Times New Roman"/>
          <w:b/>
          <w:color w:val="auto"/>
          <w:sz w:val="52"/>
          <w:szCs w:val="52"/>
          <w:highlight w:val="none"/>
        </w:rPr>
      </w:pPr>
    </w:p>
    <w:p>
      <w:pPr>
        <w:jc w:val="center"/>
        <w:rPr>
          <w:rFonts w:hint="eastAsia" w:ascii="宋体" w:hAnsi="宋体" w:eastAsia="宋体" w:cs="Times New Roman"/>
          <w:b/>
          <w:color w:val="auto"/>
          <w:sz w:val="52"/>
          <w:szCs w:val="52"/>
          <w:highlight w:val="none"/>
        </w:rPr>
      </w:pPr>
      <w:r>
        <w:rPr>
          <w:rFonts w:hint="eastAsia" w:ascii="宋体" w:hAnsi="宋体" w:eastAsia="宋体" w:cs="Times New Roman"/>
          <w:b/>
          <w:color w:val="auto"/>
          <w:sz w:val="52"/>
          <w:szCs w:val="52"/>
          <w:highlight w:val="none"/>
          <w:u w:val="double"/>
        </w:rPr>
        <w:t>涉执房地产处置司法评估报告</w:t>
      </w:r>
    </w:p>
    <w:p>
      <w:pPr>
        <w:rPr>
          <w:rFonts w:hint="eastAsia" w:ascii="宋体" w:hAnsi="宋体"/>
          <w:color w:val="auto"/>
          <w:highlight w:val="none"/>
        </w:rPr>
      </w:pPr>
      <w:bookmarkStart w:id="0" w:name="_Hlt91515658"/>
      <w:bookmarkEnd w:id="0"/>
    </w:p>
    <w:p>
      <w:pPr>
        <w:tabs>
          <w:tab w:val="left" w:pos="9540"/>
        </w:tabs>
        <w:spacing w:before="120" w:beforeLines="50" w:after="120" w:afterLines="50" w:line="900" w:lineRule="exact"/>
        <w:ind w:right="1432" w:rightChars="682"/>
        <w:outlineLvl w:val="0"/>
        <w:rPr>
          <w:rFonts w:hint="eastAsia" w:ascii="宋体" w:hAnsi="宋体"/>
          <w:b/>
          <w:color w:val="auto"/>
          <w:sz w:val="28"/>
          <w:szCs w:val="28"/>
          <w:highlight w:val="none"/>
        </w:rPr>
      </w:pPr>
    </w:p>
    <w:p>
      <w:pPr>
        <w:tabs>
          <w:tab w:val="left" w:pos="9540"/>
        </w:tabs>
        <w:spacing w:before="120" w:beforeLines="50" w:after="120" w:afterLines="50" w:line="900" w:lineRule="exact"/>
        <w:ind w:left="2070" w:leftChars="327" w:right="1432" w:rightChars="682" w:hanging="1383" w:hangingChars="492"/>
        <w:outlineLvl w:val="0"/>
        <w:rPr>
          <w:rFonts w:hint="eastAsia" w:ascii="宋体" w:hAnsi="宋体"/>
          <w:b/>
          <w:color w:val="auto"/>
          <w:sz w:val="28"/>
          <w:szCs w:val="28"/>
          <w:highlight w:val="none"/>
        </w:rPr>
      </w:pPr>
    </w:p>
    <w:p>
      <w:pPr>
        <w:spacing w:line="480" w:lineRule="auto"/>
        <w:ind w:left="2372" w:leftChars="326" w:hanging="1687" w:hangingChars="600"/>
        <w:jc w:val="left"/>
        <w:rPr>
          <w:rFonts w:hint="eastAsia" w:ascii="宋体" w:hAnsi="宋体"/>
          <w:color w:val="auto"/>
          <w:sz w:val="28"/>
          <w:szCs w:val="28"/>
          <w:highlight w:val="none"/>
        </w:rPr>
      </w:pPr>
      <w:r>
        <w:rPr>
          <w:rFonts w:hint="eastAsia" w:ascii="宋体" w:hAnsi="宋体"/>
          <w:b/>
          <w:color w:val="auto"/>
          <w:sz w:val="28"/>
          <w:szCs w:val="28"/>
          <w:highlight w:val="none"/>
        </w:rPr>
        <w:t>项目名称：</w:t>
      </w:r>
      <w:r>
        <w:rPr>
          <w:rFonts w:hint="eastAsia" w:ascii="宋体" w:hAnsi="宋体"/>
          <w:color w:val="auto"/>
          <w:sz w:val="28"/>
          <w:szCs w:val="28"/>
          <w:highlight w:val="none"/>
          <w:lang w:eastAsia="zh-CN"/>
        </w:rPr>
        <w:t>汕头市南澳县后宅镇港畔路2号楼1301、1302、1303、1401、1501号</w:t>
      </w:r>
      <w:r>
        <w:rPr>
          <w:rFonts w:hint="eastAsia" w:ascii="宋体" w:hAnsi="宋体"/>
          <w:color w:val="auto"/>
          <w:sz w:val="28"/>
          <w:szCs w:val="28"/>
          <w:highlight w:val="none"/>
        </w:rPr>
        <w:t>房地产价格评估</w:t>
      </w:r>
    </w:p>
    <w:p>
      <w:pPr>
        <w:spacing w:line="480" w:lineRule="auto"/>
        <w:ind w:firstLine="689" w:firstLineChars="245"/>
        <w:rPr>
          <w:rFonts w:hint="eastAsia" w:ascii="宋体" w:hAnsi="宋体" w:eastAsia="宋体"/>
          <w:color w:val="auto"/>
          <w:sz w:val="28"/>
          <w:szCs w:val="28"/>
          <w:highlight w:val="none"/>
          <w:lang w:eastAsia="zh-CN"/>
        </w:rPr>
      </w:pPr>
      <w:r>
        <w:rPr>
          <w:rFonts w:hint="eastAsia" w:ascii="宋体" w:hAnsi="宋体"/>
          <w:b/>
          <w:color w:val="auto"/>
          <w:sz w:val="28"/>
          <w:szCs w:val="28"/>
          <w:highlight w:val="none"/>
        </w:rPr>
        <w:t>估价委托人：</w:t>
      </w:r>
      <w:r>
        <w:rPr>
          <w:rFonts w:hint="eastAsia" w:ascii="宋体" w:hAnsi="宋体"/>
          <w:b w:val="0"/>
          <w:bCs/>
          <w:color w:val="auto"/>
          <w:sz w:val="28"/>
          <w:szCs w:val="28"/>
          <w:highlight w:val="none"/>
          <w:lang w:eastAsia="zh-CN"/>
        </w:rPr>
        <w:t>广东省南澳县人民法院</w:t>
      </w:r>
    </w:p>
    <w:p>
      <w:pPr>
        <w:spacing w:line="480" w:lineRule="auto"/>
        <w:ind w:firstLine="689" w:firstLineChars="245"/>
        <w:rPr>
          <w:rFonts w:hint="eastAsia" w:ascii="宋体" w:hAnsi="宋体"/>
          <w:b/>
          <w:color w:val="auto"/>
          <w:sz w:val="28"/>
          <w:szCs w:val="28"/>
          <w:highlight w:val="none"/>
        </w:rPr>
      </w:pPr>
      <w:r>
        <w:rPr>
          <w:rFonts w:hint="eastAsia" w:ascii="宋体" w:hAnsi="宋体"/>
          <w:b/>
          <w:color w:val="auto"/>
          <w:sz w:val="28"/>
          <w:szCs w:val="28"/>
          <w:highlight w:val="none"/>
        </w:rPr>
        <w:t>估价机构：</w:t>
      </w:r>
      <w:r>
        <w:rPr>
          <w:rFonts w:hint="eastAsia" w:ascii="宋体" w:hAnsi="宋体"/>
          <w:color w:val="auto"/>
          <w:sz w:val="28"/>
          <w:szCs w:val="28"/>
          <w:highlight w:val="none"/>
        </w:rPr>
        <w:t>汕头市宏基土地房地产评估有限公司</w:t>
      </w:r>
    </w:p>
    <w:p>
      <w:pPr>
        <w:spacing w:line="480" w:lineRule="auto"/>
        <w:ind w:firstLine="703" w:firstLineChars="250"/>
        <w:rPr>
          <w:rFonts w:hint="eastAsia" w:ascii="宋体" w:hAnsi="宋体"/>
          <w:color w:val="auto"/>
          <w:sz w:val="28"/>
          <w:szCs w:val="28"/>
          <w:highlight w:val="none"/>
        </w:rPr>
      </w:pPr>
      <w:r>
        <w:rPr>
          <w:rFonts w:hint="eastAsia" w:ascii="宋体" w:hAnsi="宋体"/>
          <w:b/>
          <w:color w:val="auto"/>
          <w:sz w:val="28"/>
          <w:szCs w:val="28"/>
          <w:highlight w:val="none"/>
        </w:rPr>
        <w:t>注册</w:t>
      </w:r>
      <w:r>
        <w:rPr>
          <w:rFonts w:ascii="宋体" w:hAnsi="宋体"/>
          <w:b/>
          <w:color w:val="auto"/>
          <w:sz w:val="28"/>
          <w:szCs w:val="28"/>
          <w:highlight w:val="none"/>
        </w:rPr>
        <w:t>房地产估价师</w:t>
      </w:r>
      <w:r>
        <w:rPr>
          <w:rFonts w:hint="eastAsia" w:ascii="宋体" w:hAnsi="宋体"/>
          <w:b/>
          <w:color w:val="auto"/>
          <w:sz w:val="28"/>
          <w:szCs w:val="28"/>
          <w:highlight w:val="none"/>
        </w:rPr>
        <w:t>：</w:t>
      </w:r>
      <w:r>
        <w:rPr>
          <w:rFonts w:hint="eastAsia" w:ascii="宋体" w:hAnsi="宋体"/>
          <w:color w:val="auto"/>
          <w:sz w:val="28"/>
          <w:szCs w:val="28"/>
          <w:highlight w:val="none"/>
        </w:rPr>
        <w:t>林添盛（</w:t>
      </w:r>
      <w:r>
        <w:rPr>
          <w:rFonts w:ascii="宋体" w:hAnsi="宋体"/>
          <w:color w:val="auto"/>
          <w:sz w:val="28"/>
          <w:szCs w:val="28"/>
          <w:highlight w:val="none"/>
        </w:rPr>
        <w:t>注册号：4420080014</w:t>
      </w:r>
      <w:r>
        <w:rPr>
          <w:rFonts w:hint="eastAsia" w:ascii="宋体" w:hAnsi="宋体"/>
          <w:color w:val="auto"/>
          <w:sz w:val="28"/>
          <w:szCs w:val="28"/>
          <w:highlight w:val="none"/>
        </w:rPr>
        <w:t>）</w:t>
      </w:r>
    </w:p>
    <w:p>
      <w:pPr>
        <w:spacing w:line="480" w:lineRule="auto"/>
        <w:ind w:firstLine="3220" w:firstLineChars="1150"/>
        <w:rPr>
          <w:rFonts w:hint="eastAsia" w:ascii="宋体" w:hAnsi="宋体"/>
          <w:color w:val="auto"/>
          <w:sz w:val="28"/>
          <w:szCs w:val="28"/>
          <w:highlight w:val="none"/>
        </w:rPr>
      </w:pPr>
      <w:r>
        <w:rPr>
          <w:rFonts w:hint="eastAsia" w:ascii="宋体" w:hAnsi="宋体"/>
          <w:color w:val="auto"/>
          <w:sz w:val="28"/>
          <w:szCs w:val="28"/>
          <w:highlight w:val="none"/>
          <w:lang w:eastAsia="zh-CN"/>
        </w:rPr>
        <w:t>翁运钿（注册号：4420190125）</w:t>
      </w:r>
    </w:p>
    <w:p>
      <w:pPr>
        <w:spacing w:line="480" w:lineRule="auto"/>
        <w:ind w:firstLine="689" w:firstLineChars="245"/>
        <w:rPr>
          <w:rFonts w:hint="eastAsia" w:ascii="宋体" w:hAnsi="宋体" w:eastAsia="宋体"/>
          <w:b/>
          <w:color w:val="auto"/>
          <w:sz w:val="28"/>
          <w:szCs w:val="28"/>
          <w:highlight w:val="none"/>
          <w:lang w:eastAsia="zh-CN"/>
        </w:rPr>
      </w:pPr>
      <w:r>
        <w:rPr>
          <w:rFonts w:hint="eastAsia" w:ascii="宋体" w:hAnsi="宋体"/>
          <w:b/>
          <w:color w:val="auto"/>
          <w:sz w:val="28"/>
          <w:szCs w:val="28"/>
          <w:highlight w:val="none"/>
        </w:rPr>
        <w:t>估价报告出具日期：</w:t>
      </w:r>
      <w:r>
        <w:rPr>
          <w:rFonts w:hint="eastAsia" w:ascii="宋体" w:hAnsi="宋体"/>
          <w:color w:val="auto"/>
          <w:sz w:val="28"/>
          <w:szCs w:val="28"/>
          <w:highlight w:val="none"/>
          <w:lang w:eastAsia="zh-CN"/>
        </w:rPr>
        <w:t>2022年8月22日</w:t>
      </w:r>
    </w:p>
    <w:p>
      <w:pPr>
        <w:tabs>
          <w:tab w:val="left" w:pos="528"/>
        </w:tabs>
        <w:spacing w:line="480" w:lineRule="auto"/>
        <w:ind w:firstLine="689" w:firstLineChars="245"/>
        <w:rPr>
          <w:rFonts w:hint="eastAsia" w:ascii="宋体" w:hAnsi="宋体" w:eastAsia="宋体"/>
          <w:color w:val="auto"/>
          <w:sz w:val="28"/>
          <w:szCs w:val="28"/>
          <w:highlight w:val="none"/>
          <w:lang w:eastAsia="zh-CN"/>
        </w:rPr>
      </w:pPr>
      <w:bookmarkStart w:id="1" w:name="_Toc101930829"/>
      <w:bookmarkStart w:id="2" w:name="_Toc101858824"/>
      <w:bookmarkStart w:id="3" w:name="_Toc91515629"/>
      <w:bookmarkStart w:id="4" w:name="_Toc101858169"/>
      <w:bookmarkStart w:id="5" w:name="_Toc102019537"/>
      <w:bookmarkStart w:id="6" w:name="_Toc101858768"/>
      <w:bookmarkStart w:id="7" w:name="_Toc101858865"/>
      <w:bookmarkStart w:id="8" w:name="_Toc101857731"/>
      <w:bookmarkStart w:id="9" w:name="_Toc101858091"/>
      <w:bookmarkStart w:id="10" w:name="_Toc101930704"/>
      <w:bookmarkStart w:id="11" w:name="_Toc101858323"/>
      <w:bookmarkStart w:id="12" w:name="_Toc102185267"/>
      <w:r>
        <w:rPr>
          <w:rFonts w:hint="eastAsia" w:ascii="宋体" w:hAnsi="宋体"/>
          <w:b/>
          <w:color w:val="auto"/>
          <w:sz w:val="28"/>
          <w:szCs w:val="28"/>
          <w:highlight w:val="none"/>
        </w:rPr>
        <w:t>估价报告编号：</w:t>
      </w:r>
      <w:bookmarkEnd w:id="1"/>
      <w:bookmarkEnd w:id="2"/>
      <w:bookmarkEnd w:id="3"/>
      <w:bookmarkEnd w:id="4"/>
      <w:bookmarkEnd w:id="5"/>
      <w:bookmarkEnd w:id="6"/>
      <w:bookmarkEnd w:id="7"/>
      <w:bookmarkEnd w:id="8"/>
      <w:bookmarkEnd w:id="9"/>
      <w:bookmarkEnd w:id="10"/>
      <w:bookmarkEnd w:id="11"/>
      <w:bookmarkEnd w:id="12"/>
      <w:r>
        <w:rPr>
          <w:rFonts w:hint="eastAsia" w:ascii="宋体" w:hAnsi="宋体"/>
          <w:color w:val="auto"/>
          <w:sz w:val="28"/>
          <w:szCs w:val="28"/>
          <w:highlight w:val="none"/>
        </w:rPr>
        <w:t>汕宏评（20</w:t>
      </w:r>
      <w:r>
        <w:rPr>
          <w:rFonts w:hint="eastAsia" w:ascii="宋体" w:hAnsi="宋体"/>
          <w:color w:val="auto"/>
          <w:sz w:val="28"/>
          <w:szCs w:val="28"/>
          <w:highlight w:val="none"/>
          <w:lang w:val="en-US" w:eastAsia="zh-CN"/>
        </w:rPr>
        <w:t>22</w:t>
      </w:r>
      <w:r>
        <w:rPr>
          <w:rFonts w:hint="eastAsia" w:ascii="宋体" w:hAnsi="宋体"/>
          <w:color w:val="auto"/>
          <w:sz w:val="28"/>
          <w:szCs w:val="28"/>
          <w:highlight w:val="none"/>
        </w:rPr>
        <w:t>）</w:t>
      </w:r>
      <w:r>
        <w:rPr>
          <w:rFonts w:hint="eastAsia" w:ascii="宋体" w:hAnsi="宋体"/>
          <w:color w:val="auto"/>
          <w:sz w:val="28"/>
          <w:szCs w:val="28"/>
          <w:highlight w:val="none"/>
          <w:lang w:eastAsia="zh-CN"/>
        </w:rPr>
        <w:t>房</w:t>
      </w:r>
      <w:r>
        <w:rPr>
          <w:rFonts w:hint="eastAsia" w:ascii="宋体" w:hAnsi="宋体"/>
          <w:color w:val="auto"/>
          <w:sz w:val="28"/>
          <w:szCs w:val="28"/>
          <w:highlight w:val="none"/>
          <w:lang w:val="en-US" w:eastAsia="zh-CN"/>
        </w:rPr>
        <w:t>412</w:t>
      </w:r>
      <w:r>
        <w:rPr>
          <w:rFonts w:hint="eastAsia" w:ascii="宋体" w:hAnsi="宋体"/>
          <w:color w:val="auto"/>
          <w:sz w:val="28"/>
          <w:szCs w:val="28"/>
          <w:highlight w:val="none"/>
          <w:lang w:eastAsia="zh-CN"/>
        </w:rPr>
        <w:t>号</w:t>
      </w:r>
    </w:p>
    <w:p>
      <w:pPr>
        <w:tabs>
          <w:tab w:val="left" w:pos="528"/>
        </w:tabs>
        <w:spacing w:line="480" w:lineRule="auto"/>
        <w:ind w:firstLine="686" w:firstLineChars="245"/>
        <w:rPr>
          <w:rFonts w:hint="eastAsia" w:ascii="宋体" w:hAnsi="宋体"/>
          <w:color w:val="auto"/>
          <w:sz w:val="28"/>
          <w:szCs w:val="28"/>
          <w:highlight w:val="none"/>
        </w:rPr>
      </w:pPr>
    </w:p>
    <w:p>
      <w:pPr>
        <w:spacing w:before="120" w:beforeLines="50" w:after="120" w:afterLines="50" w:line="600" w:lineRule="exact"/>
        <w:ind w:firstLine="686" w:firstLineChars="245"/>
        <w:rPr>
          <w:rFonts w:hint="eastAsia" w:ascii="宋体" w:hAnsi="宋体"/>
          <w:color w:val="auto"/>
          <w:sz w:val="28"/>
          <w:szCs w:val="28"/>
          <w:highlight w:val="none"/>
        </w:rPr>
      </w:pPr>
    </w:p>
    <w:p>
      <w:pPr>
        <w:spacing w:before="120" w:beforeLines="50" w:after="120" w:afterLines="50" w:line="600" w:lineRule="exact"/>
        <w:ind w:firstLine="686" w:firstLineChars="245"/>
        <w:rPr>
          <w:rFonts w:hint="eastAsia" w:ascii="宋体" w:hAnsi="宋体"/>
          <w:color w:val="auto"/>
          <w:sz w:val="28"/>
          <w:szCs w:val="28"/>
          <w:highlight w:val="none"/>
        </w:rPr>
      </w:pPr>
    </w:p>
    <w:p>
      <w:pPr>
        <w:spacing w:before="120" w:beforeLines="50" w:after="120" w:afterLines="50" w:line="600" w:lineRule="exact"/>
        <w:ind w:firstLine="686" w:firstLineChars="245"/>
        <w:rPr>
          <w:rFonts w:hint="eastAsia" w:ascii="宋体" w:hAnsi="宋体"/>
          <w:color w:val="auto"/>
          <w:sz w:val="28"/>
          <w:szCs w:val="28"/>
          <w:highlight w:val="none"/>
        </w:rPr>
      </w:pPr>
    </w:p>
    <w:p>
      <w:pPr>
        <w:jc w:val="center"/>
        <w:rPr>
          <w:rFonts w:hint="eastAsia"/>
          <w:b/>
          <w:color w:val="auto"/>
          <w:sz w:val="28"/>
          <w:szCs w:val="28"/>
          <w:highlight w:val="none"/>
        </w:rPr>
      </w:pPr>
      <w:bookmarkStart w:id="13" w:name="_Toc165264275"/>
    </w:p>
    <w:p>
      <w:pPr>
        <w:jc w:val="center"/>
        <w:rPr>
          <w:rFonts w:hint="eastAsia"/>
          <w:b/>
          <w:color w:val="auto"/>
          <w:sz w:val="28"/>
          <w:szCs w:val="28"/>
          <w:highlight w:val="none"/>
        </w:rPr>
      </w:pPr>
      <w:r>
        <w:rPr>
          <w:rFonts w:hint="eastAsia"/>
          <w:b/>
          <w:color w:val="auto"/>
          <w:sz w:val="28"/>
          <w:szCs w:val="28"/>
          <w:highlight w:val="none"/>
        </w:rPr>
        <w:t>致估价委托人函</w:t>
      </w:r>
    </w:p>
    <w:p>
      <w:pPr>
        <w:spacing w:before="240" w:beforeLines="100" w:line="360" w:lineRule="auto"/>
        <w:rPr>
          <w:rFonts w:hint="eastAsia" w:ascii="宋体" w:hAnsi="宋体"/>
          <w:color w:val="auto"/>
          <w:sz w:val="24"/>
          <w:highlight w:val="none"/>
        </w:rPr>
      </w:pPr>
      <w:r>
        <w:rPr>
          <w:rFonts w:hint="eastAsia" w:ascii="宋体" w:hAnsi="宋体"/>
          <w:color w:val="auto"/>
          <w:sz w:val="24"/>
          <w:highlight w:val="none"/>
          <w:lang w:eastAsia="zh-CN"/>
        </w:rPr>
        <w:t>广东省南澳县人民法院</w:t>
      </w:r>
      <w:r>
        <w:rPr>
          <w:rFonts w:hint="eastAsia" w:ascii="宋体" w:hAnsi="宋体"/>
          <w:color w:val="auto"/>
          <w:sz w:val="24"/>
          <w:highlight w:val="none"/>
        </w:rPr>
        <w:t>：</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承蒙委托，我公司对位于</w:t>
      </w:r>
      <w:r>
        <w:rPr>
          <w:rFonts w:hint="eastAsia" w:ascii="宋体" w:hAnsi="宋体"/>
          <w:color w:val="auto"/>
          <w:sz w:val="24"/>
          <w:highlight w:val="none"/>
          <w:lang w:eastAsia="zh-CN"/>
        </w:rPr>
        <w:t>汕头市南澳县后宅镇港畔路2号楼1301、1302、1303、1401、1501号</w:t>
      </w:r>
      <w:r>
        <w:rPr>
          <w:rFonts w:ascii="宋体" w:hAnsi="宋体"/>
          <w:color w:val="auto"/>
          <w:sz w:val="24"/>
          <w:highlight w:val="none"/>
        </w:rPr>
        <w:t>房地产</w:t>
      </w:r>
      <w:r>
        <w:rPr>
          <w:rFonts w:hint="eastAsia" w:ascii="宋体" w:hAnsi="宋体"/>
          <w:color w:val="auto"/>
          <w:sz w:val="24"/>
          <w:highlight w:val="none"/>
        </w:rPr>
        <w:t>进行了实地查勘，并对其市场价格进行了评估，</w:t>
      </w:r>
      <w:r>
        <w:rPr>
          <w:rFonts w:hint="eastAsia" w:ascii="宋体" w:hAnsi="宋体"/>
          <w:color w:val="auto"/>
          <w:sz w:val="24"/>
          <w:highlight w:val="none"/>
          <w:lang w:eastAsia="zh-CN"/>
        </w:rPr>
        <w:t>估价目的是为</w:t>
      </w:r>
      <w:r>
        <w:rPr>
          <w:rFonts w:hint="eastAsia" w:ascii="宋体" w:hAnsi="宋体"/>
          <w:color w:val="auto"/>
          <w:sz w:val="24"/>
          <w:highlight w:val="none"/>
          <w:lang w:val="en-US" w:eastAsia="zh-CN"/>
        </w:rPr>
        <w:t>贵院</w:t>
      </w:r>
      <w:r>
        <w:rPr>
          <w:rFonts w:hint="eastAsia" w:ascii="宋体" w:hAnsi="宋体"/>
          <w:color w:val="auto"/>
          <w:sz w:val="24"/>
          <w:highlight w:val="none"/>
          <w:lang w:eastAsia="zh-CN"/>
        </w:rPr>
        <w:t>确定财产处置参考价提供参考依据</w:t>
      </w:r>
      <w:r>
        <w:rPr>
          <w:rFonts w:hint="eastAsia" w:ascii="宋体" w:hAnsi="宋体"/>
          <w:color w:val="auto"/>
          <w:sz w:val="24"/>
          <w:highlight w:val="none"/>
        </w:rPr>
        <w:t>。</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估价人员根据</w:t>
      </w:r>
      <w:r>
        <w:rPr>
          <w:rFonts w:hint="eastAsia" w:ascii="宋体" w:hAnsi="宋体"/>
          <w:snapToGrid w:val="0"/>
          <w:color w:val="000000"/>
          <w:kern w:val="0"/>
          <w:sz w:val="24"/>
          <w:szCs w:val="24"/>
        </w:rPr>
        <w:t>国家有关房地产估价的法律法规和估价目的</w:t>
      </w:r>
      <w:r>
        <w:rPr>
          <w:rFonts w:hint="eastAsia" w:ascii="宋体" w:hAnsi="宋体"/>
          <w:color w:val="auto"/>
          <w:sz w:val="24"/>
          <w:highlight w:val="none"/>
        </w:rPr>
        <w:t>、遵循估价原则、按照估价工作程序、在认真分析现有资料，</w:t>
      </w:r>
      <w:r>
        <w:rPr>
          <w:rFonts w:hint="eastAsia" w:ascii="宋体" w:hAnsi="宋体"/>
          <w:snapToGrid w:val="0"/>
          <w:color w:val="000000"/>
          <w:kern w:val="0"/>
          <w:sz w:val="24"/>
          <w:szCs w:val="24"/>
          <w:lang w:eastAsia="zh-CN"/>
        </w:rPr>
        <w:t>运用收益法，经过周密准确的测算</w:t>
      </w:r>
      <w:r>
        <w:rPr>
          <w:rFonts w:hint="eastAsia" w:ascii="宋体" w:hAnsi="宋体"/>
          <w:color w:val="auto"/>
          <w:sz w:val="24"/>
          <w:highlight w:val="none"/>
        </w:rPr>
        <w:t>，并结合估价经验，详细考虑了影响房地产价格的各项因素之后，</w:t>
      </w:r>
      <w:r>
        <w:rPr>
          <w:rFonts w:hint="eastAsia" w:ascii="宋体" w:hAnsi="宋体" w:cs="宋体"/>
          <w:color w:val="auto"/>
          <w:sz w:val="24"/>
          <w:highlight w:val="none"/>
        </w:rPr>
        <w:t>确定估价对象</w:t>
      </w:r>
      <w:r>
        <w:rPr>
          <w:rFonts w:hint="eastAsia" w:ascii="宋体" w:hAnsi="宋体" w:cs="宋体"/>
          <w:color w:val="auto"/>
          <w:sz w:val="24"/>
          <w:highlight w:val="none"/>
          <w:lang w:val="en-US" w:eastAsia="zh-CN"/>
        </w:rPr>
        <w:t>土地划拨条件下</w:t>
      </w:r>
      <w:r>
        <w:rPr>
          <w:rFonts w:hint="eastAsia" w:ascii="宋体" w:hAnsi="宋体" w:cs="宋体"/>
          <w:color w:val="auto"/>
          <w:sz w:val="24"/>
          <w:highlight w:val="none"/>
        </w:rPr>
        <w:t>在价值时点</w:t>
      </w:r>
      <w:r>
        <w:rPr>
          <w:rFonts w:hint="eastAsia" w:ascii="宋体" w:hAnsi="宋体" w:cs="宋体"/>
          <w:color w:val="auto"/>
          <w:sz w:val="24"/>
          <w:highlight w:val="none"/>
          <w:lang w:eastAsia="zh-CN"/>
        </w:rPr>
        <w:t>2022年8月2日</w:t>
      </w:r>
      <w:r>
        <w:rPr>
          <w:rFonts w:hint="eastAsia" w:ascii="宋体" w:hAnsi="宋体" w:cs="宋体"/>
          <w:color w:val="auto"/>
          <w:sz w:val="24"/>
          <w:highlight w:val="none"/>
        </w:rPr>
        <w:t>的公开市场价格为</w:t>
      </w:r>
      <w:r>
        <w:rPr>
          <w:rFonts w:hint="eastAsia" w:ascii="宋体" w:hAnsi="宋体"/>
          <w:color w:val="auto"/>
          <w:sz w:val="24"/>
          <w:highlight w:val="none"/>
          <w:lang w:eastAsia="zh-CN"/>
        </w:rPr>
        <w:t>RMB</w:t>
      </w:r>
      <w:r>
        <w:rPr>
          <w:rFonts w:hint="eastAsia" w:ascii="宋体" w:hAnsi="宋体"/>
          <w:color w:val="auto"/>
          <w:sz w:val="24"/>
          <w:lang w:val="en-US" w:eastAsia="zh-CN"/>
        </w:rPr>
        <w:t>457.14</w:t>
      </w:r>
      <w:r>
        <w:rPr>
          <w:rFonts w:hint="eastAsia" w:ascii="宋体" w:hAnsi="宋体"/>
          <w:color w:val="auto"/>
          <w:sz w:val="24"/>
          <w:highlight w:val="none"/>
        </w:rPr>
        <w:t>万元，</w:t>
      </w:r>
      <w:r>
        <w:rPr>
          <w:rFonts w:hint="eastAsia" w:ascii="宋体" w:hAnsi="宋体"/>
          <w:color w:val="auto"/>
          <w:sz w:val="24"/>
          <w:highlight w:val="none"/>
          <w:lang w:eastAsia="zh-CN"/>
        </w:rPr>
        <w:t>大写人民</w:t>
      </w:r>
      <w:r>
        <w:rPr>
          <w:rFonts w:hint="eastAsia" w:ascii="宋体" w:hAnsi="宋体"/>
          <w:color w:val="auto"/>
          <w:sz w:val="24"/>
          <w:highlight w:val="none"/>
          <w:lang w:val="en-US" w:eastAsia="zh-CN"/>
        </w:rPr>
        <w:t>币肆佰伍拾柒万壹仟肆佰元</w:t>
      </w:r>
      <w:r>
        <w:rPr>
          <w:rFonts w:hint="eastAsia" w:ascii="宋体" w:hAnsi="宋体"/>
          <w:color w:val="auto"/>
          <w:sz w:val="24"/>
          <w:highlight w:val="none"/>
          <w:lang w:eastAsia="zh-CN"/>
        </w:rPr>
        <w:t>整，详见《估价结果明细表》</w:t>
      </w:r>
      <w:r>
        <w:rPr>
          <w:rFonts w:hint="eastAsia" w:ascii="宋体" w:hAnsi="宋体"/>
          <w:color w:val="auto"/>
          <w:sz w:val="24"/>
          <w:highlight w:val="none"/>
        </w:rPr>
        <w:t>。</w:t>
      </w:r>
    </w:p>
    <w:p>
      <w:pPr>
        <w:spacing w:line="360" w:lineRule="auto"/>
        <w:ind w:firstLine="586" w:firstLineChars="200"/>
        <w:jc w:val="center"/>
        <w:rPr>
          <w:rFonts w:hint="eastAsia" w:ascii="宋体" w:hAnsi="宋体"/>
          <w:color w:val="auto"/>
          <w:sz w:val="24"/>
          <w:highlight w:val="none"/>
        </w:rPr>
      </w:pPr>
      <w:r>
        <w:rPr>
          <w:rFonts w:hint="eastAsia" w:ascii="宋体" w:hAnsi="宋体"/>
          <w:b/>
          <w:color w:val="auto"/>
          <w:spacing w:val="26"/>
          <w:sz w:val="24"/>
          <w:highlight w:val="none"/>
          <w:u w:val="double"/>
        </w:rPr>
        <w:t>估价结果明细表</w:t>
      </w:r>
    </w:p>
    <w:tbl>
      <w:tblPr>
        <w:tblStyle w:val="73"/>
        <w:tblpPr w:leftFromText="180" w:rightFromText="180" w:vertAnchor="text" w:horzAnchor="page" w:tblpX="600" w:tblpY="288"/>
        <w:tblOverlap w:val="never"/>
        <w:tblW w:w="110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795"/>
        <w:gridCol w:w="750"/>
        <w:gridCol w:w="1335"/>
        <w:gridCol w:w="765"/>
        <w:gridCol w:w="1118"/>
        <w:gridCol w:w="1088"/>
        <w:gridCol w:w="1173"/>
        <w:gridCol w:w="1230"/>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675" w:type="dxa"/>
            <w:vMerge w:val="restar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序号</w:t>
            </w:r>
          </w:p>
        </w:tc>
        <w:tc>
          <w:tcPr>
            <w:tcW w:w="1795" w:type="dxa"/>
            <w:vMerge w:val="restar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估价对象</w:t>
            </w:r>
          </w:p>
        </w:tc>
        <w:tc>
          <w:tcPr>
            <w:tcW w:w="750" w:type="dxa"/>
            <w:vMerge w:val="restar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权属人</w:t>
            </w:r>
          </w:p>
        </w:tc>
        <w:tc>
          <w:tcPr>
            <w:tcW w:w="1335" w:type="dxa"/>
            <w:vMerge w:val="restar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产权资料</w:t>
            </w:r>
          </w:p>
        </w:tc>
        <w:tc>
          <w:tcPr>
            <w:tcW w:w="765" w:type="dxa"/>
            <w:vMerge w:val="restar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cs="宋体"/>
                <w:i w:val="0"/>
                <w:iCs w:val="0"/>
                <w:color w:val="auto"/>
                <w:kern w:val="0"/>
                <w:sz w:val="21"/>
                <w:szCs w:val="21"/>
                <w:u w:val="none"/>
                <w:lang w:val="en-US" w:eastAsia="zh-CN" w:bidi="ar"/>
              </w:rPr>
              <w:t>规划</w:t>
            </w:r>
            <w:r>
              <w:rPr>
                <w:rFonts w:hint="eastAsia" w:ascii="宋体" w:hAnsi="宋体" w:eastAsia="宋体" w:cs="宋体"/>
                <w:i w:val="0"/>
                <w:iCs w:val="0"/>
                <w:color w:val="auto"/>
                <w:kern w:val="0"/>
                <w:sz w:val="21"/>
                <w:szCs w:val="21"/>
                <w:u w:val="none"/>
                <w:lang w:val="en-US" w:eastAsia="zh-CN" w:bidi="ar"/>
              </w:rPr>
              <w:t>用途</w:t>
            </w:r>
          </w:p>
        </w:tc>
        <w:tc>
          <w:tcPr>
            <w:tcW w:w="1118"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建筑面积</w:t>
            </w:r>
          </w:p>
        </w:tc>
        <w:tc>
          <w:tcPr>
            <w:tcW w:w="1088"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评估单价</w:t>
            </w:r>
          </w:p>
        </w:tc>
        <w:tc>
          <w:tcPr>
            <w:tcW w:w="1173"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cs="宋体"/>
                <w:i w:val="0"/>
                <w:iCs w:val="0"/>
                <w:color w:val="auto"/>
                <w:kern w:val="0"/>
                <w:sz w:val="21"/>
                <w:szCs w:val="21"/>
                <w:u w:val="none"/>
                <w:lang w:val="en-US" w:eastAsia="zh-CN" w:bidi="ar"/>
              </w:rPr>
              <w:t>土地</w:t>
            </w:r>
            <w:r>
              <w:rPr>
                <w:rFonts w:hint="eastAsia" w:ascii="宋体" w:hAnsi="宋体" w:eastAsia="宋体" w:cs="宋体"/>
                <w:i w:val="0"/>
                <w:iCs w:val="0"/>
                <w:color w:val="auto"/>
                <w:kern w:val="0"/>
                <w:sz w:val="21"/>
                <w:szCs w:val="21"/>
                <w:u w:val="none"/>
                <w:lang w:val="en-US" w:eastAsia="zh-CN" w:bidi="ar"/>
              </w:rPr>
              <w:t>出让条件下总值</w:t>
            </w:r>
          </w:p>
        </w:tc>
        <w:tc>
          <w:tcPr>
            <w:tcW w:w="1230" w:type="dxa"/>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应扣土地出让金</w:t>
            </w:r>
          </w:p>
        </w:tc>
        <w:tc>
          <w:tcPr>
            <w:tcW w:w="1155" w:type="dxa"/>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土地划拨条件下</w:t>
            </w:r>
            <w:r>
              <w:rPr>
                <w:rFonts w:hint="eastAsia" w:ascii="宋体" w:hAnsi="宋体" w:eastAsia="宋体" w:cs="宋体"/>
                <w:i w:val="0"/>
                <w:iCs w:val="0"/>
                <w:color w:val="auto"/>
                <w:kern w:val="0"/>
                <w:sz w:val="21"/>
                <w:szCs w:val="21"/>
                <w:u w:val="none"/>
                <w:lang w:val="en-US" w:eastAsia="zh-CN" w:bidi="ar"/>
              </w:rPr>
              <w:t>总值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675" w:type="dxa"/>
            <w:vMerge w:val="continue"/>
            <w:noWrap w:val="0"/>
            <w:vAlign w:val="center"/>
          </w:tcPr>
          <w:p>
            <w:pPr>
              <w:spacing w:line="240" w:lineRule="auto"/>
              <w:jc w:val="center"/>
              <w:rPr>
                <w:rFonts w:hint="eastAsia" w:ascii="宋体" w:hAnsi="宋体" w:eastAsia="宋体" w:cs="宋体"/>
                <w:i w:val="0"/>
                <w:iCs w:val="0"/>
                <w:color w:val="auto"/>
                <w:sz w:val="21"/>
                <w:szCs w:val="21"/>
                <w:u w:val="none"/>
              </w:rPr>
            </w:pPr>
          </w:p>
        </w:tc>
        <w:tc>
          <w:tcPr>
            <w:tcW w:w="1795" w:type="dxa"/>
            <w:vMerge w:val="continue"/>
            <w:noWrap w:val="0"/>
            <w:vAlign w:val="center"/>
          </w:tcPr>
          <w:p>
            <w:pPr>
              <w:spacing w:line="240" w:lineRule="auto"/>
              <w:jc w:val="center"/>
              <w:rPr>
                <w:rFonts w:hint="eastAsia" w:ascii="宋体" w:hAnsi="宋体" w:eastAsia="宋体" w:cs="宋体"/>
                <w:i w:val="0"/>
                <w:iCs w:val="0"/>
                <w:color w:val="auto"/>
                <w:sz w:val="21"/>
                <w:szCs w:val="21"/>
                <w:u w:val="none"/>
              </w:rPr>
            </w:pPr>
          </w:p>
        </w:tc>
        <w:tc>
          <w:tcPr>
            <w:tcW w:w="750" w:type="dxa"/>
            <w:vMerge w:val="continue"/>
            <w:noWrap w:val="0"/>
            <w:vAlign w:val="center"/>
          </w:tcPr>
          <w:p>
            <w:pPr>
              <w:spacing w:line="240" w:lineRule="auto"/>
              <w:jc w:val="center"/>
              <w:rPr>
                <w:rFonts w:hint="eastAsia" w:ascii="宋体" w:hAnsi="宋体" w:eastAsia="宋体" w:cs="宋体"/>
                <w:i w:val="0"/>
                <w:iCs w:val="0"/>
                <w:color w:val="auto"/>
                <w:sz w:val="21"/>
                <w:szCs w:val="21"/>
                <w:u w:val="none"/>
              </w:rPr>
            </w:pPr>
          </w:p>
        </w:tc>
        <w:tc>
          <w:tcPr>
            <w:tcW w:w="1335" w:type="dxa"/>
            <w:vMerge w:val="continue"/>
            <w:noWrap w:val="0"/>
            <w:vAlign w:val="center"/>
          </w:tcPr>
          <w:p>
            <w:pPr>
              <w:spacing w:line="240" w:lineRule="auto"/>
              <w:jc w:val="center"/>
              <w:rPr>
                <w:rFonts w:hint="eastAsia" w:ascii="宋体" w:hAnsi="宋体" w:eastAsia="宋体" w:cs="宋体"/>
                <w:i w:val="0"/>
                <w:iCs w:val="0"/>
                <w:color w:val="auto"/>
                <w:sz w:val="21"/>
                <w:szCs w:val="21"/>
                <w:u w:val="none"/>
              </w:rPr>
            </w:pPr>
          </w:p>
        </w:tc>
        <w:tc>
          <w:tcPr>
            <w:tcW w:w="765" w:type="dxa"/>
            <w:vMerge w:val="continue"/>
            <w:noWrap w:val="0"/>
            <w:vAlign w:val="center"/>
          </w:tcPr>
          <w:p>
            <w:pPr>
              <w:spacing w:line="240" w:lineRule="auto"/>
              <w:jc w:val="center"/>
              <w:rPr>
                <w:rFonts w:hint="eastAsia" w:ascii="宋体" w:hAnsi="宋体" w:eastAsia="宋体" w:cs="宋体"/>
                <w:i w:val="0"/>
                <w:iCs w:val="0"/>
                <w:color w:val="auto"/>
                <w:sz w:val="21"/>
                <w:szCs w:val="21"/>
                <w:u w:val="none"/>
              </w:rPr>
            </w:pPr>
          </w:p>
        </w:tc>
        <w:tc>
          <w:tcPr>
            <w:tcW w:w="1118"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w:t>
            </w:r>
          </w:p>
        </w:tc>
        <w:tc>
          <w:tcPr>
            <w:tcW w:w="1088"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(元/㎡)</w:t>
            </w:r>
          </w:p>
        </w:tc>
        <w:tc>
          <w:tcPr>
            <w:tcW w:w="1173"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(万元)</w:t>
            </w:r>
          </w:p>
        </w:tc>
        <w:tc>
          <w:tcPr>
            <w:tcW w:w="1230"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(万元)</w:t>
            </w:r>
          </w:p>
        </w:tc>
        <w:tc>
          <w:tcPr>
            <w:tcW w:w="1155"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jc w:val="center"/>
        </w:trPr>
        <w:tc>
          <w:tcPr>
            <w:tcW w:w="675"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1</w:t>
            </w:r>
          </w:p>
        </w:tc>
        <w:tc>
          <w:tcPr>
            <w:tcW w:w="17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lang w:eastAsia="zh-CN"/>
              </w:rPr>
            </w:pPr>
            <w:r>
              <w:rPr>
                <w:rFonts w:hint="eastAsia" w:ascii="宋体" w:hAnsi="宋体" w:eastAsia="宋体" w:cs="宋体"/>
                <w:i w:val="0"/>
                <w:iCs w:val="0"/>
                <w:color w:val="auto"/>
                <w:kern w:val="0"/>
                <w:sz w:val="21"/>
                <w:szCs w:val="21"/>
                <w:u w:val="none"/>
                <w:lang w:val="en-US" w:eastAsia="zh-CN" w:bidi="ar"/>
              </w:rPr>
              <w:t>汕头市南澳县后宅镇港畔路2号楼1301、1303号</w:t>
            </w:r>
          </w:p>
        </w:tc>
        <w:tc>
          <w:tcPr>
            <w:tcW w:w="750" w:type="dxa"/>
            <w:vMerge w:val="restar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cs="宋体"/>
                <w:i w:val="0"/>
                <w:iCs w:val="0"/>
                <w:color w:val="auto"/>
                <w:kern w:val="0"/>
                <w:sz w:val="21"/>
                <w:szCs w:val="21"/>
                <w:u w:val="none"/>
                <w:lang w:val="en-US" w:eastAsia="zh-CN" w:bidi="ar"/>
              </w:rPr>
              <w:t>南澳县融信房地产开发有限公司</w:t>
            </w:r>
          </w:p>
        </w:tc>
        <w:tc>
          <w:tcPr>
            <w:tcW w:w="1335" w:type="dxa"/>
            <w:vMerge w:val="restar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w:t>
            </w:r>
            <w:r>
              <w:rPr>
                <w:rFonts w:hint="eastAsia" w:ascii="宋体" w:hAnsi="宋体" w:cs="宋体"/>
                <w:i w:val="0"/>
                <w:iCs w:val="0"/>
                <w:color w:val="auto"/>
                <w:kern w:val="0"/>
                <w:sz w:val="21"/>
                <w:szCs w:val="21"/>
                <w:u w:val="none"/>
                <w:lang w:val="en-US" w:eastAsia="zh-CN" w:bidi="ar"/>
              </w:rPr>
              <w:t>广东省南澳县人民法院评估委托书</w:t>
            </w:r>
            <w:r>
              <w:rPr>
                <w:rFonts w:hint="eastAsia" w:ascii="宋体" w:hAnsi="宋体" w:eastAsia="宋体" w:cs="宋体"/>
                <w:i w:val="0"/>
                <w:iCs w:val="0"/>
                <w:color w:val="auto"/>
                <w:kern w:val="0"/>
                <w:sz w:val="21"/>
                <w:szCs w:val="21"/>
                <w:u w:val="none"/>
                <w:lang w:val="en-US" w:eastAsia="zh-CN" w:bidi="ar"/>
              </w:rPr>
              <w:t>》[(</w:t>
            </w:r>
            <w:r>
              <w:rPr>
                <w:rFonts w:hint="eastAsia" w:ascii="宋体" w:hAnsi="宋体" w:cs="宋体"/>
                <w:i w:val="0"/>
                <w:iCs w:val="0"/>
                <w:color w:val="auto"/>
                <w:kern w:val="0"/>
                <w:sz w:val="21"/>
                <w:szCs w:val="21"/>
                <w:u w:val="none"/>
                <w:lang w:val="en-US" w:eastAsia="zh-CN" w:bidi="ar"/>
              </w:rPr>
              <w:t>2022)汕澳法技鉴字第12号</w:t>
            </w:r>
            <w:r>
              <w:rPr>
                <w:rFonts w:hint="eastAsia" w:ascii="宋体" w:hAnsi="宋体" w:eastAsia="宋体" w:cs="宋体"/>
                <w:i w:val="0"/>
                <w:iCs w:val="0"/>
                <w:color w:val="auto"/>
                <w:kern w:val="0"/>
                <w:sz w:val="21"/>
                <w:szCs w:val="21"/>
                <w:u w:val="none"/>
                <w:lang w:val="en-US" w:eastAsia="zh-CN" w:bidi="ar"/>
              </w:rPr>
              <w:t>]、《</w:t>
            </w:r>
            <w:r>
              <w:rPr>
                <w:rFonts w:hint="eastAsia" w:ascii="宋体" w:hAnsi="宋体" w:cs="宋体"/>
                <w:i w:val="0"/>
                <w:iCs w:val="0"/>
                <w:color w:val="auto"/>
                <w:kern w:val="0"/>
                <w:sz w:val="21"/>
                <w:szCs w:val="21"/>
                <w:u w:val="none"/>
                <w:lang w:val="en-US" w:eastAsia="zh-CN" w:bidi="ar"/>
              </w:rPr>
              <w:t>房地产权证</w:t>
            </w:r>
            <w:r>
              <w:rPr>
                <w:rFonts w:hint="eastAsia" w:ascii="宋体" w:hAnsi="宋体" w:eastAsia="宋体" w:cs="宋体"/>
                <w:i w:val="0"/>
                <w:iCs w:val="0"/>
                <w:color w:val="auto"/>
                <w:kern w:val="0"/>
                <w:sz w:val="21"/>
                <w:szCs w:val="21"/>
                <w:u w:val="none"/>
                <w:lang w:val="en-US" w:eastAsia="zh-CN" w:bidi="ar"/>
              </w:rPr>
              <w:t>》及其提供的其他相关资料</w:t>
            </w:r>
          </w:p>
        </w:tc>
        <w:tc>
          <w:tcPr>
            <w:tcW w:w="76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住宅</w:t>
            </w:r>
          </w:p>
        </w:tc>
        <w:tc>
          <w:tcPr>
            <w:tcW w:w="1118"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413.66</w:t>
            </w:r>
          </w:p>
        </w:tc>
        <w:tc>
          <w:tcPr>
            <w:tcW w:w="1088"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2750</w:t>
            </w:r>
          </w:p>
        </w:tc>
        <w:tc>
          <w:tcPr>
            <w:tcW w:w="1173"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113.76</w:t>
            </w:r>
          </w:p>
        </w:tc>
        <w:tc>
          <w:tcPr>
            <w:tcW w:w="123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0.18</w:t>
            </w:r>
          </w:p>
        </w:tc>
        <w:tc>
          <w:tcPr>
            <w:tcW w:w="1155"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113.58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jc w:val="center"/>
        </w:trPr>
        <w:tc>
          <w:tcPr>
            <w:tcW w:w="675"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2</w:t>
            </w:r>
          </w:p>
        </w:tc>
        <w:tc>
          <w:tcPr>
            <w:tcW w:w="1795" w:type="dxa"/>
            <w:noWrap w:val="0"/>
            <w:vAlign w:val="center"/>
          </w:tcPr>
          <w:p>
            <w:pPr>
              <w:keepNext w:val="0"/>
              <w:keepLines w:val="0"/>
              <w:widowControl/>
              <w:suppressLineNumbers w:val="0"/>
              <w:jc w:val="center"/>
              <w:textAlignment w:val="center"/>
              <w:rPr>
                <w:rFonts w:hint="eastAsia" w:ascii="宋体" w:hAnsi="宋体" w:cs="宋体"/>
                <w:i w:val="0"/>
                <w:iCs w:val="0"/>
                <w:color w:val="auto"/>
                <w:sz w:val="21"/>
                <w:szCs w:val="21"/>
                <w:u w:val="none"/>
                <w:lang w:eastAsia="zh-CN"/>
              </w:rPr>
            </w:pPr>
            <w:r>
              <w:rPr>
                <w:rFonts w:hint="eastAsia" w:ascii="宋体" w:hAnsi="宋体" w:eastAsia="宋体" w:cs="宋体"/>
                <w:i w:val="0"/>
                <w:iCs w:val="0"/>
                <w:color w:val="auto"/>
                <w:kern w:val="0"/>
                <w:sz w:val="21"/>
                <w:szCs w:val="21"/>
                <w:u w:val="none"/>
                <w:lang w:val="en-US" w:eastAsia="zh-CN" w:bidi="ar"/>
              </w:rPr>
              <w:t>汕头市南澳县后宅镇港畔路2号楼1302号</w:t>
            </w:r>
          </w:p>
        </w:tc>
        <w:tc>
          <w:tcPr>
            <w:tcW w:w="750" w:type="dxa"/>
            <w:vMerge w:val="continue"/>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p>
        </w:tc>
        <w:tc>
          <w:tcPr>
            <w:tcW w:w="1335" w:type="dxa"/>
            <w:vMerge w:val="continue"/>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p>
        </w:tc>
        <w:tc>
          <w:tcPr>
            <w:tcW w:w="76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住宅</w:t>
            </w:r>
          </w:p>
        </w:tc>
        <w:tc>
          <w:tcPr>
            <w:tcW w:w="1118"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454.8</w:t>
            </w:r>
          </w:p>
        </w:tc>
        <w:tc>
          <w:tcPr>
            <w:tcW w:w="1088"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2750</w:t>
            </w:r>
          </w:p>
        </w:tc>
        <w:tc>
          <w:tcPr>
            <w:tcW w:w="117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125.07</w:t>
            </w:r>
          </w:p>
        </w:tc>
        <w:tc>
          <w:tcPr>
            <w:tcW w:w="123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0.19</w:t>
            </w:r>
          </w:p>
        </w:tc>
        <w:tc>
          <w:tcPr>
            <w:tcW w:w="115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124.88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675"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3</w:t>
            </w:r>
          </w:p>
        </w:tc>
        <w:tc>
          <w:tcPr>
            <w:tcW w:w="1795" w:type="dxa"/>
            <w:noWrap w:val="0"/>
            <w:vAlign w:val="center"/>
          </w:tcPr>
          <w:p>
            <w:pPr>
              <w:keepNext w:val="0"/>
              <w:keepLines w:val="0"/>
              <w:widowControl/>
              <w:suppressLineNumbers w:val="0"/>
              <w:jc w:val="center"/>
              <w:textAlignment w:val="center"/>
              <w:rPr>
                <w:rFonts w:hint="eastAsia" w:ascii="宋体" w:hAnsi="宋体" w:cs="宋体"/>
                <w:i w:val="0"/>
                <w:iCs w:val="0"/>
                <w:color w:val="auto"/>
                <w:sz w:val="21"/>
                <w:szCs w:val="21"/>
                <w:u w:val="none"/>
                <w:lang w:eastAsia="zh-CN"/>
              </w:rPr>
            </w:pPr>
            <w:r>
              <w:rPr>
                <w:rFonts w:hint="eastAsia" w:ascii="宋体" w:hAnsi="宋体" w:eastAsia="宋体" w:cs="宋体"/>
                <w:i w:val="0"/>
                <w:iCs w:val="0"/>
                <w:color w:val="auto"/>
                <w:kern w:val="0"/>
                <w:sz w:val="21"/>
                <w:szCs w:val="21"/>
                <w:u w:val="none"/>
                <w:lang w:val="en-US" w:eastAsia="zh-CN" w:bidi="ar"/>
              </w:rPr>
              <w:t>汕头市南澳县后宅镇港畔路2号楼1401号</w:t>
            </w:r>
          </w:p>
        </w:tc>
        <w:tc>
          <w:tcPr>
            <w:tcW w:w="750" w:type="dxa"/>
            <w:vMerge w:val="continue"/>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p>
        </w:tc>
        <w:tc>
          <w:tcPr>
            <w:tcW w:w="1335" w:type="dxa"/>
            <w:vMerge w:val="continue"/>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p>
        </w:tc>
        <w:tc>
          <w:tcPr>
            <w:tcW w:w="76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住宅</w:t>
            </w:r>
          </w:p>
        </w:tc>
        <w:tc>
          <w:tcPr>
            <w:tcW w:w="1118"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426.97</w:t>
            </w:r>
          </w:p>
        </w:tc>
        <w:tc>
          <w:tcPr>
            <w:tcW w:w="1088"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2750</w:t>
            </w:r>
          </w:p>
        </w:tc>
        <w:tc>
          <w:tcPr>
            <w:tcW w:w="117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117.42</w:t>
            </w:r>
          </w:p>
        </w:tc>
        <w:tc>
          <w:tcPr>
            <w:tcW w:w="123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0.18</w:t>
            </w:r>
          </w:p>
        </w:tc>
        <w:tc>
          <w:tcPr>
            <w:tcW w:w="115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117.24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675"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4</w:t>
            </w:r>
          </w:p>
        </w:tc>
        <w:tc>
          <w:tcPr>
            <w:tcW w:w="1795" w:type="dxa"/>
            <w:noWrap w:val="0"/>
            <w:vAlign w:val="center"/>
          </w:tcPr>
          <w:p>
            <w:pPr>
              <w:keepNext w:val="0"/>
              <w:keepLines w:val="0"/>
              <w:widowControl/>
              <w:suppressLineNumbers w:val="0"/>
              <w:jc w:val="center"/>
              <w:textAlignment w:val="center"/>
              <w:rPr>
                <w:rFonts w:hint="eastAsia" w:ascii="宋体" w:hAnsi="宋体" w:cs="宋体"/>
                <w:i w:val="0"/>
                <w:iCs w:val="0"/>
                <w:color w:val="auto"/>
                <w:sz w:val="21"/>
                <w:szCs w:val="21"/>
                <w:u w:val="none"/>
                <w:lang w:eastAsia="zh-CN"/>
              </w:rPr>
            </w:pPr>
            <w:r>
              <w:rPr>
                <w:rFonts w:hint="eastAsia" w:ascii="宋体" w:hAnsi="宋体" w:eastAsia="宋体" w:cs="宋体"/>
                <w:i w:val="0"/>
                <w:iCs w:val="0"/>
                <w:color w:val="auto"/>
                <w:kern w:val="0"/>
                <w:sz w:val="21"/>
                <w:szCs w:val="21"/>
                <w:u w:val="none"/>
                <w:lang w:val="en-US" w:eastAsia="zh-CN" w:bidi="ar"/>
              </w:rPr>
              <w:t>汕头市南澳县后宅镇港畔路2号楼1501号</w:t>
            </w:r>
          </w:p>
        </w:tc>
        <w:tc>
          <w:tcPr>
            <w:tcW w:w="750" w:type="dxa"/>
            <w:vMerge w:val="continue"/>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p>
        </w:tc>
        <w:tc>
          <w:tcPr>
            <w:tcW w:w="1335" w:type="dxa"/>
            <w:vMerge w:val="continue"/>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p>
        </w:tc>
        <w:tc>
          <w:tcPr>
            <w:tcW w:w="76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住宅</w:t>
            </w:r>
          </w:p>
        </w:tc>
        <w:tc>
          <w:tcPr>
            <w:tcW w:w="1118"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426.97</w:t>
            </w:r>
          </w:p>
        </w:tc>
        <w:tc>
          <w:tcPr>
            <w:tcW w:w="1088"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2380</w:t>
            </w:r>
          </w:p>
        </w:tc>
        <w:tc>
          <w:tcPr>
            <w:tcW w:w="117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101.62</w:t>
            </w:r>
          </w:p>
        </w:tc>
        <w:tc>
          <w:tcPr>
            <w:tcW w:w="123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0.18</w:t>
            </w:r>
          </w:p>
        </w:tc>
        <w:tc>
          <w:tcPr>
            <w:tcW w:w="115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101.44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5320" w:type="dxa"/>
            <w:gridSpan w:val="5"/>
            <w:noWrap w:val="0"/>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auto"/>
                <w:kern w:val="0"/>
                <w:sz w:val="21"/>
                <w:szCs w:val="21"/>
                <w:u w:val="none"/>
                <w:lang w:val="en-US" w:eastAsia="zh-CN" w:bidi="ar"/>
              </w:rPr>
            </w:pPr>
            <w:r>
              <w:rPr>
                <w:rFonts w:hint="eastAsia" w:ascii="宋体" w:hAnsi="宋体" w:cs="宋体"/>
                <w:b/>
                <w:bCs/>
                <w:i w:val="0"/>
                <w:iCs w:val="0"/>
                <w:color w:val="auto"/>
                <w:kern w:val="0"/>
                <w:sz w:val="21"/>
                <w:szCs w:val="21"/>
                <w:u w:val="none"/>
                <w:lang w:val="en-US" w:eastAsia="zh-CN" w:bidi="ar"/>
              </w:rPr>
              <w:t>合计</w:t>
            </w:r>
          </w:p>
        </w:tc>
        <w:tc>
          <w:tcPr>
            <w:tcW w:w="1118" w:type="dxa"/>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1"/>
                <w:szCs w:val="21"/>
                <w:u w:val="none"/>
                <w:lang w:val="en-US" w:eastAsia="zh-CN" w:bidi="ar"/>
              </w:rPr>
            </w:pPr>
            <w:r>
              <w:rPr>
                <w:rFonts w:hint="eastAsia" w:ascii="宋体" w:hAnsi="宋体" w:eastAsia="宋体" w:cs="宋体"/>
                <w:b/>
                <w:bCs/>
                <w:i w:val="0"/>
                <w:iCs w:val="0"/>
                <w:color w:val="auto"/>
                <w:kern w:val="0"/>
                <w:sz w:val="21"/>
                <w:szCs w:val="21"/>
                <w:u w:val="none"/>
                <w:lang w:val="en-US" w:eastAsia="zh-CN" w:bidi="ar"/>
              </w:rPr>
              <w:t>1722.4</w:t>
            </w:r>
          </w:p>
        </w:tc>
        <w:tc>
          <w:tcPr>
            <w:tcW w:w="1088" w:type="dxa"/>
            <w:noWrap w:val="0"/>
            <w:vAlign w:val="center"/>
          </w:tcPr>
          <w:p>
            <w:pPr>
              <w:keepNext w:val="0"/>
              <w:keepLines w:val="0"/>
              <w:widowControl/>
              <w:suppressLineNumbers w:val="0"/>
              <w:jc w:val="center"/>
              <w:textAlignment w:val="center"/>
              <w:rPr>
                <w:rFonts w:hint="default" w:ascii="宋体" w:hAnsi="宋体" w:eastAsia="宋体" w:cs="宋体"/>
                <w:b/>
                <w:bCs/>
                <w:i w:val="0"/>
                <w:iCs w:val="0"/>
                <w:color w:val="auto"/>
                <w:kern w:val="0"/>
                <w:sz w:val="21"/>
                <w:szCs w:val="21"/>
                <w:u w:val="none"/>
                <w:lang w:val="en-US" w:eastAsia="zh-CN" w:bidi="ar"/>
              </w:rPr>
            </w:pPr>
            <w:r>
              <w:rPr>
                <w:rFonts w:hint="eastAsia" w:ascii="宋体" w:hAnsi="宋体" w:eastAsia="宋体" w:cs="宋体"/>
                <w:b/>
                <w:bCs/>
                <w:i w:val="0"/>
                <w:iCs w:val="0"/>
                <w:color w:val="auto"/>
                <w:kern w:val="0"/>
                <w:sz w:val="21"/>
                <w:szCs w:val="21"/>
                <w:u w:val="none"/>
                <w:lang w:val="en-US" w:eastAsia="zh-CN" w:bidi="ar"/>
              </w:rPr>
              <w:t>-</w:t>
            </w:r>
          </w:p>
        </w:tc>
        <w:tc>
          <w:tcPr>
            <w:tcW w:w="1173" w:type="dxa"/>
            <w:noWrap w:val="0"/>
            <w:vAlign w:val="center"/>
          </w:tcPr>
          <w:p>
            <w:pPr>
              <w:keepNext w:val="0"/>
              <w:keepLines w:val="0"/>
              <w:widowControl/>
              <w:suppressLineNumbers w:val="0"/>
              <w:jc w:val="center"/>
              <w:textAlignment w:val="center"/>
              <w:rPr>
                <w:rFonts w:hint="default" w:ascii="宋体" w:hAnsi="宋体" w:eastAsia="宋体" w:cs="宋体"/>
                <w:b/>
                <w:bCs/>
                <w:i w:val="0"/>
                <w:iCs w:val="0"/>
                <w:color w:val="auto"/>
                <w:kern w:val="0"/>
                <w:sz w:val="21"/>
                <w:szCs w:val="21"/>
                <w:u w:val="none"/>
                <w:lang w:val="en-US" w:eastAsia="zh-CN" w:bidi="ar"/>
              </w:rPr>
            </w:pPr>
            <w:r>
              <w:rPr>
                <w:rFonts w:hint="eastAsia" w:ascii="宋体" w:hAnsi="宋体" w:eastAsia="宋体" w:cs="宋体"/>
                <w:b/>
                <w:bCs/>
                <w:i w:val="0"/>
                <w:iCs w:val="0"/>
                <w:color w:val="auto"/>
                <w:kern w:val="0"/>
                <w:sz w:val="21"/>
                <w:szCs w:val="21"/>
                <w:u w:val="none"/>
                <w:lang w:val="en-US" w:eastAsia="zh-CN" w:bidi="ar"/>
              </w:rPr>
              <w:t>457.87</w:t>
            </w:r>
          </w:p>
        </w:tc>
        <w:tc>
          <w:tcPr>
            <w:tcW w:w="1230" w:type="dxa"/>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1"/>
                <w:szCs w:val="21"/>
                <w:u w:val="none"/>
                <w:lang w:val="en-US" w:eastAsia="zh-CN" w:bidi="ar"/>
              </w:rPr>
            </w:pPr>
            <w:r>
              <w:rPr>
                <w:rFonts w:hint="eastAsia" w:ascii="宋体" w:hAnsi="宋体" w:eastAsia="宋体" w:cs="宋体"/>
                <w:b/>
                <w:bCs/>
                <w:i w:val="0"/>
                <w:iCs w:val="0"/>
                <w:color w:val="auto"/>
                <w:kern w:val="0"/>
                <w:sz w:val="21"/>
                <w:szCs w:val="21"/>
                <w:u w:val="none"/>
                <w:lang w:val="en-US" w:eastAsia="zh-CN" w:bidi="ar"/>
              </w:rPr>
              <w:t>0.73</w:t>
            </w:r>
          </w:p>
        </w:tc>
        <w:tc>
          <w:tcPr>
            <w:tcW w:w="1155" w:type="dxa"/>
            <w:noWrap w:val="0"/>
            <w:vAlign w:val="center"/>
          </w:tcPr>
          <w:p>
            <w:pPr>
              <w:keepNext w:val="0"/>
              <w:keepLines w:val="0"/>
              <w:widowControl/>
              <w:suppressLineNumbers w:val="0"/>
              <w:jc w:val="center"/>
              <w:textAlignment w:val="center"/>
              <w:rPr>
                <w:rFonts w:hint="default" w:ascii="宋体" w:hAnsi="宋体" w:eastAsia="宋体" w:cs="宋体"/>
                <w:b/>
                <w:bCs/>
                <w:i w:val="0"/>
                <w:iCs w:val="0"/>
                <w:color w:val="auto"/>
                <w:kern w:val="0"/>
                <w:sz w:val="21"/>
                <w:szCs w:val="21"/>
                <w:u w:val="none"/>
                <w:lang w:val="en-US" w:eastAsia="zh-CN" w:bidi="ar"/>
              </w:rPr>
            </w:pPr>
            <w:r>
              <w:rPr>
                <w:rFonts w:hint="eastAsia" w:ascii="宋体" w:hAnsi="宋体" w:eastAsia="宋体" w:cs="宋体"/>
                <w:b/>
                <w:bCs/>
                <w:i w:val="0"/>
                <w:iCs w:val="0"/>
                <w:color w:val="auto"/>
                <w:kern w:val="0"/>
                <w:sz w:val="21"/>
                <w:szCs w:val="21"/>
                <w:u w:val="none"/>
                <w:lang w:val="en-US" w:eastAsia="zh-CN" w:bidi="ar"/>
              </w:rPr>
              <w:t>457.14</w:t>
            </w:r>
          </w:p>
        </w:tc>
      </w:tr>
    </w:tbl>
    <w:p>
      <w:pPr>
        <w:spacing w:before="120" w:beforeLines="50" w:line="360" w:lineRule="auto"/>
        <w:jc w:val="both"/>
        <w:rPr>
          <w:rFonts w:hint="eastAsia" w:ascii="宋体" w:hAnsi="宋体"/>
          <w:color w:val="auto"/>
          <w:sz w:val="24"/>
          <w:highlight w:val="none"/>
        </w:rPr>
      </w:pPr>
      <w:r>
        <w:rPr>
          <w:rFonts w:hint="eastAsia" w:ascii="宋体" w:hAnsi="宋体"/>
          <w:color w:val="auto"/>
          <w:sz w:val="24"/>
          <w:highlight w:val="none"/>
        </w:rPr>
        <w:t>备注：按</w:t>
      </w:r>
      <w:r>
        <w:rPr>
          <w:rFonts w:hint="eastAsia" w:ascii="宋体" w:hAnsi="宋体"/>
          <w:color w:val="auto"/>
          <w:sz w:val="24"/>
          <w:highlight w:val="none"/>
          <w:lang w:val="en-US" w:eastAsia="zh-CN"/>
        </w:rPr>
        <w:t>建筑面积</w:t>
      </w:r>
      <w:r>
        <w:rPr>
          <w:rFonts w:hint="eastAsia" w:ascii="宋体" w:hAnsi="宋体"/>
          <w:color w:val="auto"/>
          <w:sz w:val="24"/>
          <w:highlight w:val="none"/>
        </w:rPr>
        <w:t>计价，评估总价取整至百位。</w:t>
      </w:r>
    </w:p>
    <w:p>
      <w:pPr>
        <w:spacing w:before="120" w:beforeLines="50" w:line="360" w:lineRule="auto"/>
        <w:ind w:firstLine="482" w:firstLineChars="200"/>
        <w:rPr>
          <w:rFonts w:hint="eastAsia" w:ascii="宋体" w:hAnsi="宋体"/>
          <w:b/>
          <w:bCs/>
          <w:color w:val="auto"/>
          <w:sz w:val="24"/>
          <w:highlight w:val="none"/>
        </w:rPr>
      </w:pPr>
      <w:r>
        <w:rPr>
          <w:rFonts w:hint="eastAsia" w:ascii="宋体" w:hAnsi="宋体"/>
          <w:b/>
          <w:bCs/>
          <w:color w:val="auto"/>
          <w:sz w:val="24"/>
          <w:highlight w:val="none"/>
        </w:rPr>
        <w:t>特别提示：本次评估是基于下文的</w:t>
      </w:r>
      <w:r>
        <w:rPr>
          <w:rFonts w:hint="eastAsia" w:ascii="宋体" w:hAnsi="宋体"/>
          <w:b/>
          <w:bCs/>
          <w:color w:val="auto"/>
          <w:sz w:val="24"/>
          <w:highlight w:val="none"/>
          <w:lang w:eastAsia="zh-CN"/>
        </w:rPr>
        <w:t>估价假设和限制条件</w:t>
      </w:r>
      <w:r>
        <w:rPr>
          <w:rFonts w:hint="eastAsia" w:ascii="宋体" w:hAnsi="宋体"/>
          <w:b/>
          <w:bCs/>
          <w:color w:val="auto"/>
          <w:sz w:val="24"/>
          <w:highlight w:val="none"/>
        </w:rPr>
        <w:t>成立的，如该假设和限制条件发生变化，本报告结果必须作相应调整。</w:t>
      </w:r>
    </w:p>
    <w:p>
      <w:pPr>
        <w:spacing w:before="120" w:beforeLines="50"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本报告有效期为壹年，从</w:t>
      </w:r>
      <w:r>
        <w:rPr>
          <w:rFonts w:hint="eastAsia" w:ascii="宋体" w:hAnsi="宋体"/>
          <w:color w:val="auto"/>
          <w:sz w:val="24"/>
          <w:highlight w:val="none"/>
          <w:lang w:eastAsia="zh-CN"/>
        </w:rPr>
        <w:t>2022年8月22日</w:t>
      </w:r>
      <w:r>
        <w:rPr>
          <w:rFonts w:hint="eastAsia" w:ascii="宋体" w:hAnsi="宋体"/>
          <w:color w:val="auto"/>
          <w:sz w:val="24"/>
          <w:highlight w:val="none"/>
        </w:rPr>
        <w:t>至</w:t>
      </w:r>
      <w:r>
        <w:rPr>
          <w:rFonts w:hint="eastAsia" w:ascii="宋体" w:hAnsi="宋体"/>
          <w:color w:val="auto"/>
          <w:sz w:val="24"/>
          <w:highlight w:val="none"/>
          <w:lang w:eastAsia="zh-CN"/>
        </w:rPr>
        <w:t>202</w:t>
      </w:r>
      <w:r>
        <w:rPr>
          <w:rFonts w:hint="eastAsia" w:ascii="宋体" w:hAnsi="宋体"/>
          <w:color w:val="auto"/>
          <w:sz w:val="24"/>
          <w:highlight w:val="none"/>
          <w:lang w:val="en-US" w:eastAsia="zh-CN"/>
        </w:rPr>
        <w:t>3</w:t>
      </w:r>
      <w:r>
        <w:rPr>
          <w:rFonts w:hint="eastAsia" w:ascii="宋体" w:hAnsi="宋体"/>
          <w:color w:val="auto"/>
          <w:sz w:val="24"/>
          <w:highlight w:val="none"/>
          <w:lang w:eastAsia="zh-CN"/>
        </w:rPr>
        <w:t>年</w:t>
      </w:r>
      <w:r>
        <w:rPr>
          <w:rFonts w:hint="eastAsia" w:ascii="宋体" w:hAnsi="宋体"/>
          <w:color w:val="auto"/>
          <w:sz w:val="24"/>
          <w:highlight w:val="none"/>
          <w:lang w:val="en-US" w:eastAsia="zh-CN"/>
        </w:rPr>
        <w:t>8</w:t>
      </w:r>
      <w:r>
        <w:rPr>
          <w:rFonts w:hint="eastAsia" w:ascii="宋体" w:hAnsi="宋体"/>
          <w:color w:val="auto"/>
          <w:sz w:val="24"/>
          <w:highlight w:val="none"/>
          <w:lang w:eastAsia="zh-CN"/>
        </w:rPr>
        <w:t>月</w:t>
      </w:r>
      <w:r>
        <w:rPr>
          <w:rFonts w:hint="eastAsia" w:ascii="宋体" w:hAnsi="宋体"/>
          <w:color w:val="auto"/>
          <w:sz w:val="24"/>
          <w:highlight w:val="none"/>
          <w:lang w:val="en-US" w:eastAsia="zh-CN"/>
        </w:rPr>
        <w:t>21</w:t>
      </w:r>
      <w:r>
        <w:rPr>
          <w:rFonts w:hint="eastAsia" w:ascii="宋体" w:hAnsi="宋体"/>
          <w:color w:val="auto"/>
          <w:sz w:val="24"/>
          <w:highlight w:val="none"/>
          <w:lang w:eastAsia="zh-CN"/>
        </w:rPr>
        <w:t>日</w:t>
      </w:r>
      <w:r>
        <w:rPr>
          <w:rFonts w:hint="eastAsia" w:ascii="宋体" w:hAnsi="宋体"/>
          <w:color w:val="auto"/>
          <w:sz w:val="24"/>
          <w:highlight w:val="none"/>
        </w:rPr>
        <w:t>止。</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特此致函</w:t>
      </w:r>
    </w:p>
    <w:p>
      <w:pPr>
        <w:spacing w:line="360" w:lineRule="auto"/>
        <w:ind w:firstLine="2760" w:firstLineChars="1150"/>
        <w:rPr>
          <w:rFonts w:hint="eastAsia" w:ascii="宋体" w:hAnsi="宋体"/>
          <w:color w:val="auto"/>
          <w:sz w:val="24"/>
          <w:highlight w:val="none"/>
        </w:rPr>
      </w:pPr>
      <w:r>
        <w:rPr>
          <w:rFonts w:hint="eastAsia" w:ascii="宋体" w:hAnsi="宋体"/>
          <w:color w:val="auto"/>
          <w:sz w:val="24"/>
          <w:highlight w:val="none"/>
        </w:rPr>
        <w:t>法定代表人：</w:t>
      </w:r>
    </w:p>
    <w:p>
      <w:pPr>
        <w:spacing w:line="360" w:lineRule="auto"/>
        <w:ind w:firstLine="2400" w:firstLineChars="1000"/>
        <w:rPr>
          <w:rFonts w:hint="eastAsia" w:ascii="宋体" w:hAnsi="宋体"/>
          <w:color w:val="auto"/>
          <w:sz w:val="24"/>
          <w:highlight w:val="none"/>
        </w:rPr>
      </w:pPr>
      <w:r>
        <w:rPr>
          <w:rFonts w:hint="eastAsia" w:ascii="宋体" w:hAnsi="宋体"/>
          <w:color w:val="auto"/>
          <w:sz w:val="24"/>
          <w:highlight w:val="none"/>
        </w:rPr>
        <w:t>(中国房地产估价师)</w:t>
      </w:r>
    </w:p>
    <w:p>
      <w:pPr>
        <w:spacing w:line="360" w:lineRule="auto"/>
        <w:jc w:val="right"/>
        <w:rPr>
          <w:rFonts w:hint="eastAsia" w:ascii="宋体" w:hAnsi="宋体"/>
          <w:color w:val="auto"/>
          <w:sz w:val="24"/>
          <w:highlight w:val="none"/>
        </w:rPr>
      </w:pPr>
      <w:r>
        <w:rPr>
          <w:rFonts w:hint="eastAsia" w:ascii="宋体" w:hAnsi="宋体"/>
          <w:color w:val="auto"/>
          <w:sz w:val="24"/>
          <w:highlight w:val="none"/>
        </w:rPr>
        <w:t xml:space="preserve">汕头市宏基土地房地产评估有限公司                             </w:t>
      </w:r>
    </w:p>
    <w:p>
      <w:pPr>
        <w:spacing w:line="360" w:lineRule="auto"/>
        <w:ind w:right="560" w:firstLine="5160" w:firstLineChars="2150"/>
        <w:jc w:val="left"/>
        <w:rPr>
          <w:rFonts w:hint="eastAsia"/>
          <w:color w:val="auto"/>
          <w:sz w:val="24"/>
          <w:highlight w:val="none"/>
          <w:lang w:eastAsia="zh-CN"/>
        </w:rPr>
      </w:pPr>
      <w:r>
        <w:rPr>
          <w:rFonts w:hint="eastAsia"/>
          <w:color w:val="auto"/>
          <w:sz w:val="24"/>
          <w:highlight w:val="none"/>
        </w:rPr>
        <w:t>致函</w:t>
      </w:r>
      <w:r>
        <w:rPr>
          <w:color w:val="auto"/>
          <w:sz w:val="24"/>
          <w:highlight w:val="none"/>
        </w:rPr>
        <w:t>日期：</w:t>
      </w:r>
      <w:r>
        <w:rPr>
          <w:rFonts w:hint="eastAsia"/>
          <w:color w:val="auto"/>
          <w:sz w:val="24"/>
          <w:highlight w:val="none"/>
          <w:lang w:eastAsia="zh-CN"/>
        </w:rPr>
        <w:t>2022年8月22日</w:t>
      </w:r>
    </w:p>
    <w:p>
      <w:pPr>
        <w:spacing w:line="360" w:lineRule="auto"/>
        <w:ind w:right="560" w:firstLine="5160" w:firstLineChars="2150"/>
        <w:jc w:val="left"/>
        <w:rPr>
          <w:rFonts w:hint="eastAsia"/>
          <w:color w:val="auto"/>
          <w:sz w:val="24"/>
          <w:highlight w:val="none"/>
          <w:lang w:eastAsia="zh-CN"/>
        </w:rPr>
        <w:sectPr>
          <w:headerReference r:id="rId3" w:type="default"/>
          <w:footerReference r:id="rId4" w:type="default"/>
          <w:pgSz w:w="11906" w:h="16838"/>
          <w:pgMar w:top="1588" w:right="1418" w:bottom="1418" w:left="1588" w:header="777" w:footer="624" w:gutter="0"/>
          <w:pgBorders>
            <w:top w:val="none" w:sz="0" w:space="0"/>
            <w:left w:val="none" w:sz="0" w:space="0"/>
            <w:bottom w:val="none" w:sz="0" w:space="0"/>
            <w:right w:val="none" w:sz="0" w:space="0"/>
          </w:pgBorders>
          <w:pgNumType w:fmt="upperRoman"/>
          <w:cols w:space="720" w:num="1"/>
          <w:docGrid w:linePitch="312" w:charSpace="0"/>
        </w:sectPr>
      </w:pPr>
    </w:p>
    <w:p>
      <w:pPr>
        <w:spacing w:line="360" w:lineRule="auto"/>
        <w:ind w:right="560" w:firstLine="5160" w:firstLineChars="2150"/>
        <w:jc w:val="left"/>
        <w:rPr>
          <w:rFonts w:hint="eastAsia"/>
          <w:color w:val="auto"/>
          <w:sz w:val="24"/>
          <w:highlight w:val="none"/>
          <w:lang w:eastAsia="zh-CN"/>
        </w:rPr>
      </w:pPr>
    </w:p>
    <w:p>
      <w:pPr>
        <w:spacing w:line="360" w:lineRule="auto"/>
        <w:ind w:right="560"/>
        <w:jc w:val="left"/>
        <w:rPr>
          <w:rFonts w:hint="eastAsia"/>
          <w:color w:val="auto"/>
          <w:sz w:val="24"/>
          <w:highlight w:val="none"/>
          <w:lang w:eastAsia="zh-CN"/>
        </w:rPr>
      </w:pPr>
    </w:p>
    <w:p>
      <w:pPr>
        <w:spacing w:line="360" w:lineRule="auto"/>
        <w:ind w:right="560"/>
        <w:jc w:val="left"/>
        <w:rPr>
          <w:rFonts w:hint="eastAsia"/>
          <w:color w:val="auto"/>
          <w:sz w:val="24"/>
          <w:highlight w:val="none"/>
          <w:lang w:eastAsia="zh-CN"/>
        </w:rPr>
      </w:pPr>
    </w:p>
    <w:p>
      <w:pPr>
        <w:spacing w:line="360" w:lineRule="auto"/>
        <w:jc w:val="center"/>
        <w:rPr>
          <w:rFonts w:hint="eastAsia" w:ascii="宋体" w:hAnsi="宋体"/>
          <w:b/>
          <w:color w:val="auto"/>
          <w:sz w:val="36"/>
          <w:szCs w:val="36"/>
          <w:highlight w:val="none"/>
        </w:rPr>
      </w:pPr>
    </w:p>
    <w:p>
      <w:pPr>
        <w:spacing w:line="360" w:lineRule="auto"/>
        <w:jc w:val="center"/>
        <w:rPr>
          <w:rFonts w:hint="eastAsia" w:ascii="宋体" w:hAnsi="宋体"/>
          <w:b/>
          <w:color w:val="auto"/>
          <w:sz w:val="36"/>
          <w:szCs w:val="36"/>
          <w:highlight w:val="none"/>
        </w:rPr>
      </w:pPr>
    </w:p>
    <w:p>
      <w:pPr>
        <w:spacing w:line="360" w:lineRule="auto"/>
        <w:jc w:val="center"/>
        <w:rPr>
          <w:rFonts w:hint="eastAsia" w:ascii="宋体" w:hAnsi="宋体"/>
          <w:b/>
          <w:color w:val="auto"/>
          <w:sz w:val="36"/>
          <w:szCs w:val="36"/>
          <w:highlight w:val="none"/>
        </w:rPr>
      </w:pPr>
    </w:p>
    <w:p>
      <w:pPr>
        <w:spacing w:line="360" w:lineRule="auto"/>
        <w:jc w:val="center"/>
        <w:rPr>
          <w:rFonts w:hint="eastAsia" w:ascii="宋体" w:hAnsi="宋体"/>
          <w:b/>
          <w:color w:val="auto"/>
          <w:sz w:val="36"/>
          <w:szCs w:val="36"/>
          <w:highlight w:val="none"/>
        </w:rPr>
      </w:pPr>
    </w:p>
    <w:p>
      <w:pPr>
        <w:spacing w:line="360" w:lineRule="auto"/>
        <w:jc w:val="center"/>
        <w:rPr>
          <w:rFonts w:hint="eastAsia" w:ascii="宋体" w:hAnsi="宋体"/>
          <w:b/>
          <w:color w:val="auto"/>
          <w:sz w:val="36"/>
          <w:szCs w:val="36"/>
          <w:highlight w:val="none"/>
        </w:rPr>
      </w:pPr>
    </w:p>
    <w:p>
      <w:pPr>
        <w:spacing w:line="360" w:lineRule="auto"/>
        <w:jc w:val="center"/>
        <w:rPr>
          <w:rFonts w:hint="eastAsia" w:ascii="宋体" w:hAnsi="宋体"/>
          <w:b/>
          <w:color w:val="auto"/>
          <w:sz w:val="36"/>
          <w:szCs w:val="36"/>
          <w:highlight w:val="none"/>
        </w:rPr>
      </w:pPr>
    </w:p>
    <w:p>
      <w:pPr>
        <w:spacing w:line="360" w:lineRule="auto"/>
        <w:jc w:val="center"/>
        <w:rPr>
          <w:rFonts w:hint="eastAsia" w:ascii="宋体" w:hAnsi="宋体"/>
          <w:b/>
          <w:color w:val="auto"/>
          <w:sz w:val="36"/>
          <w:szCs w:val="36"/>
          <w:highlight w:val="none"/>
        </w:rPr>
      </w:pPr>
    </w:p>
    <w:p>
      <w:pPr>
        <w:spacing w:line="360" w:lineRule="auto"/>
        <w:jc w:val="center"/>
        <w:rPr>
          <w:rFonts w:hint="eastAsia" w:ascii="宋体" w:hAnsi="宋体"/>
          <w:b/>
          <w:color w:val="auto"/>
          <w:sz w:val="36"/>
          <w:szCs w:val="36"/>
          <w:highlight w:val="none"/>
        </w:rPr>
      </w:pPr>
    </w:p>
    <w:p>
      <w:pPr>
        <w:spacing w:line="360" w:lineRule="auto"/>
        <w:jc w:val="center"/>
        <w:rPr>
          <w:rFonts w:hint="eastAsia" w:ascii="宋体" w:hAnsi="宋体"/>
          <w:b/>
          <w:color w:val="auto"/>
          <w:sz w:val="36"/>
          <w:szCs w:val="36"/>
          <w:highlight w:val="none"/>
        </w:rPr>
      </w:pPr>
    </w:p>
    <w:p>
      <w:pPr>
        <w:spacing w:line="360" w:lineRule="auto"/>
        <w:jc w:val="center"/>
        <w:rPr>
          <w:rFonts w:hint="eastAsia" w:ascii="宋体" w:hAnsi="宋体"/>
          <w:b/>
          <w:color w:val="auto"/>
          <w:sz w:val="36"/>
          <w:szCs w:val="36"/>
          <w:highlight w:val="none"/>
        </w:rPr>
      </w:pPr>
    </w:p>
    <w:p>
      <w:pPr>
        <w:spacing w:line="360" w:lineRule="auto"/>
        <w:jc w:val="center"/>
        <w:rPr>
          <w:rFonts w:hint="eastAsia" w:ascii="宋体" w:hAnsi="宋体"/>
          <w:b/>
          <w:color w:val="auto"/>
          <w:sz w:val="36"/>
          <w:szCs w:val="36"/>
          <w:highlight w:val="none"/>
        </w:rPr>
      </w:pPr>
    </w:p>
    <w:p>
      <w:pPr>
        <w:spacing w:line="360" w:lineRule="auto"/>
        <w:jc w:val="center"/>
        <w:rPr>
          <w:rFonts w:hint="eastAsia" w:ascii="宋体" w:hAnsi="宋体"/>
          <w:b/>
          <w:color w:val="auto"/>
          <w:sz w:val="36"/>
          <w:szCs w:val="36"/>
          <w:highlight w:val="none"/>
        </w:rPr>
      </w:pPr>
    </w:p>
    <w:p>
      <w:pPr>
        <w:spacing w:line="360" w:lineRule="auto"/>
        <w:jc w:val="center"/>
        <w:rPr>
          <w:rFonts w:hint="eastAsia" w:ascii="宋体" w:hAnsi="宋体"/>
          <w:b/>
          <w:color w:val="auto"/>
          <w:sz w:val="36"/>
          <w:szCs w:val="36"/>
          <w:highlight w:val="none"/>
        </w:rPr>
      </w:pPr>
    </w:p>
    <w:p>
      <w:pPr>
        <w:spacing w:line="360" w:lineRule="auto"/>
        <w:jc w:val="center"/>
        <w:rPr>
          <w:rFonts w:hint="eastAsia" w:ascii="宋体" w:hAnsi="宋体"/>
          <w:b/>
          <w:color w:val="auto"/>
          <w:sz w:val="36"/>
          <w:szCs w:val="36"/>
          <w:highlight w:val="none"/>
        </w:rPr>
      </w:pPr>
    </w:p>
    <w:p>
      <w:pPr>
        <w:spacing w:line="360" w:lineRule="auto"/>
        <w:jc w:val="center"/>
        <w:rPr>
          <w:rFonts w:hint="eastAsia" w:ascii="宋体" w:hAnsi="宋体"/>
          <w:b/>
          <w:color w:val="auto"/>
          <w:sz w:val="36"/>
          <w:szCs w:val="36"/>
          <w:highlight w:val="none"/>
        </w:rPr>
      </w:pPr>
    </w:p>
    <w:p>
      <w:pPr>
        <w:spacing w:line="360" w:lineRule="auto"/>
        <w:jc w:val="center"/>
        <w:rPr>
          <w:rFonts w:hint="eastAsia" w:ascii="宋体" w:hAnsi="宋体"/>
          <w:b/>
          <w:color w:val="auto"/>
          <w:sz w:val="36"/>
          <w:szCs w:val="36"/>
          <w:highlight w:val="none"/>
        </w:rPr>
      </w:pPr>
      <w:r>
        <w:rPr>
          <w:rFonts w:hint="eastAsia" w:ascii="宋体" w:hAnsi="宋体"/>
          <w:b/>
          <w:color w:val="auto"/>
          <w:sz w:val="36"/>
          <w:szCs w:val="36"/>
          <w:highlight w:val="none"/>
        </w:rPr>
        <w:t>目    录</w:t>
      </w:r>
      <w:bookmarkStart w:id="140" w:name="_GoBack"/>
      <w:bookmarkEnd w:id="140"/>
    </w:p>
    <w:p>
      <w:pPr>
        <w:pStyle w:val="51"/>
        <w:tabs>
          <w:tab w:val="right" w:leader="dot" w:pos="8900"/>
        </w:tabs>
      </w:pPr>
      <w:r>
        <w:rPr>
          <w:rFonts w:ascii="宋体" w:hAnsi="宋体"/>
          <w:b w:val="0"/>
          <w:bCs w:val="0"/>
          <w:caps w:val="0"/>
          <w:color w:val="auto"/>
          <w:sz w:val="24"/>
          <w:szCs w:val="24"/>
          <w:highlight w:val="none"/>
        </w:rPr>
        <w:fldChar w:fldCharType="begin"/>
      </w:r>
      <w:r>
        <w:rPr>
          <w:rFonts w:ascii="宋体" w:hAnsi="宋体"/>
          <w:b w:val="0"/>
          <w:bCs w:val="0"/>
          <w:caps w:val="0"/>
          <w:color w:val="auto"/>
          <w:sz w:val="24"/>
          <w:szCs w:val="24"/>
          <w:highlight w:val="none"/>
        </w:rPr>
        <w:instrText xml:space="preserve"> TOC \o "1-2" \h \z \u </w:instrText>
      </w:r>
      <w:r>
        <w:rPr>
          <w:rFonts w:ascii="宋体" w:hAnsi="宋体"/>
          <w:b w:val="0"/>
          <w:bCs w:val="0"/>
          <w:caps w:val="0"/>
          <w:color w:val="auto"/>
          <w:sz w:val="24"/>
          <w:szCs w:val="24"/>
          <w:highlight w:val="none"/>
        </w:rPr>
        <w:fldChar w:fldCharType="separate"/>
      </w:r>
      <w:r>
        <w:rPr>
          <w:rFonts w:ascii="宋体" w:hAnsi="宋体"/>
          <w:bCs w:val="0"/>
          <w:caps w:val="0"/>
          <w:color w:val="auto"/>
          <w:szCs w:val="24"/>
          <w:highlight w:val="none"/>
        </w:rPr>
        <w:fldChar w:fldCharType="begin"/>
      </w:r>
      <w:r>
        <w:rPr>
          <w:rFonts w:ascii="宋体" w:hAnsi="宋体"/>
          <w:bCs w:val="0"/>
          <w:caps w:val="0"/>
          <w:szCs w:val="24"/>
          <w:highlight w:val="none"/>
        </w:rPr>
        <w:instrText xml:space="preserve"> HYPERLINK \l _Toc20103 </w:instrText>
      </w:r>
      <w:r>
        <w:rPr>
          <w:rFonts w:ascii="宋体" w:hAnsi="宋体"/>
          <w:bCs w:val="0"/>
          <w:caps w:val="0"/>
          <w:szCs w:val="24"/>
          <w:highlight w:val="none"/>
        </w:rPr>
        <w:fldChar w:fldCharType="separate"/>
      </w:r>
      <w:r>
        <w:rPr>
          <w:rFonts w:hint="eastAsia" w:ascii="宋体" w:hAnsi="宋体"/>
          <w:bCs/>
          <w:highlight w:val="none"/>
        </w:rPr>
        <w:t>一、估价师声明</w:t>
      </w:r>
      <w:r>
        <w:tab/>
      </w:r>
      <w:r>
        <w:fldChar w:fldCharType="begin"/>
      </w:r>
      <w:r>
        <w:instrText xml:space="preserve"> PAGEREF _Toc20103 \h </w:instrText>
      </w:r>
      <w:r>
        <w:fldChar w:fldCharType="separate"/>
      </w:r>
      <w:r>
        <w:t>1</w:t>
      </w:r>
      <w:r>
        <w:fldChar w:fldCharType="end"/>
      </w:r>
      <w:r>
        <w:rPr>
          <w:rFonts w:ascii="宋体" w:hAnsi="宋体"/>
          <w:bCs w:val="0"/>
          <w:caps w:val="0"/>
          <w:color w:val="auto"/>
          <w:szCs w:val="24"/>
          <w:highlight w:val="none"/>
        </w:rPr>
        <w:fldChar w:fldCharType="end"/>
      </w:r>
    </w:p>
    <w:p>
      <w:pPr>
        <w:pStyle w:val="51"/>
        <w:tabs>
          <w:tab w:val="right" w:leader="dot" w:pos="8900"/>
        </w:tabs>
      </w:pPr>
      <w:r>
        <w:rPr>
          <w:rFonts w:ascii="宋体" w:hAnsi="宋体"/>
          <w:bCs/>
          <w:caps/>
          <w:color w:val="auto"/>
          <w:highlight w:val="none"/>
        </w:rPr>
        <w:fldChar w:fldCharType="begin"/>
      </w:r>
      <w:r>
        <w:rPr>
          <w:rFonts w:ascii="宋体" w:hAnsi="宋体"/>
          <w:bCs/>
          <w:caps/>
          <w:highlight w:val="none"/>
        </w:rPr>
        <w:instrText xml:space="preserve"> HYPERLINK \l _Toc961 </w:instrText>
      </w:r>
      <w:r>
        <w:rPr>
          <w:rFonts w:ascii="宋体" w:hAnsi="宋体"/>
          <w:bCs/>
          <w:caps/>
          <w:highlight w:val="none"/>
        </w:rPr>
        <w:fldChar w:fldCharType="separate"/>
      </w:r>
      <w:r>
        <w:rPr>
          <w:rFonts w:hint="eastAsia" w:ascii="宋体" w:hAnsi="宋体"/>
          <w:bCs/>
          <w:highlight w:val="none"/>
        </w:rPr>
        <w:t>二、</w:t>
      </w:r>
      <w:r>
        <w:rPr>
          <w:rFonts w:hint="eastAsia" w:ascii="宋体" w:hAnsi="宋体"/>
          <w:bCs/>
          <w:highlight w:val="none"/>
          <w:lang w:eastAsia="zh-CN"/>
        </w:rPr>
        <w:t>估价假设和限制条件</w:t>
      </w:r>
      <w:r>
        <w:tab/>
      </w:r>
      <w:r>
        <w:fldChar w:fldCharType="begin"/>
      </w:r>
      <w:r>
        <w:instrText xml:space="preserve"> PAGEREF _Toc961 \h </w:instrText>
      </w:r>
      <w:r>
        <w:fldChar w:fldCharType="separate"/>
      </w:r>
      <w:r>
        <w:t>2</w:t>
      </w:r>
      <w:r>
        <w:fldChar w:fldCharType="end"/>
      </w:r>
      <w:r>
        <w:rPr>
          <w:rFonts w:ascii="宋体" w:hAnsi="宋体"/>
          <w:bCs/>
          <w:caps/>
          <w:color w:val="auto"/>
          <w:highlight w:val="none"/>
        </w:rPr>
        <w:fldChar w:fldCharType="end"/>
      </w:r>
    </w:p>
    <w:p>
      <w:pPr>
        <w:pStyle w:val="51"/>
        <w:tabs>
          <w:tab w:val="right" w:leader="dot" w:pos="8900"/>
        </w:tabs>
      </w:pPr>
      <w:r>
        <w:rPr>
          <w:rFonts w:ascii="宋体" w:hAnsi="宋体"/>
          <w:bCs/>
          <w:caps/>
          <w:color w:val="auto"/>
          <w:highlight w:val="none"/>
        </w:rPr>
        <w:fldChar w:fldCharType="begin"/>
      </w:r>
      <w:r>
        <w:rPr>
          <w:rFonts w:ascii="宋体" w:hAnsi="宋体"/>
          <w:bCs/>
          <w:caps/>
          <w:highlight w:val="none"/>
        </w:rPr>
        <w:instrText xml:space="preserve"> HYPERLINK \l _Toc31615 </w:instrText>
      </w:r>
      <w:r>
        <w:rPr>
          <w:rFonts w:ascii="宋体" w:hAnsi="宋体"/>
          <w:bCs/>
          <w:caps/>
          <w:highlight w:val="none"/>
        </w:rPr>
        <w:fldChar w:fldCharType="separate"/>
      </w:r>
      <w:r>
        <w:rPr>
          <w:rFonts w:hint="eastAsia" w:ascii="宋体" w:hAnsi="宋体"/>
          <w:bCs/>
          <w:highlight w:val="none"/>
        </w:rPr>
        <w:t>三、房地产估价结果报告</w:t>
      </w:r>
      <w:r>
        <w:tab/>
      </w:r>
      <w:r>
        <w:fldChar w:fldCharType="begin"/>
      </w:r>
      <w:r>
        <w:instrText xml:space="preserve"> PAGEREF _Toc31615 \h </w:instrText>
      </w:r>
      <w:r>
        <w:fldChar w:fldCharType="separate"/>
      </w:r>
      <w:r>
        <w:t>6</w:t>
      </w:r>
      <w:r>
        <w:fldChar w:fldCharType="end"/>
      </w:r>
      <w:r>
        <w:rPr>
          <w:rFonts w:ascii="宋体" w:hAnsi="宋体"/>
          <w:bCs/>
          <w:caps/>
          <w:color w:val="auto"/>
          <w:highlight w:val="none"/>
        </w:rPr>
        <w:fldChar w:fldCharType="end"/>
      </w:r>
    </w:p>
    <w:p>
      <w:pPr>
        <w:pStyle w:val="60"/>
        <w:tabs>
          <w:tab w:val="right" w:leader="dot" w:pos="8900"/>
        </w:tabs>
      </w:pPr>
      <w:r>
        <w:rPr>
          <w:rFonts w:ascii="宋体" w:hAnsi="宋体"/>
          <w:bCs/>
          <w:caps/>
          <w:color w:val="auto"/>
          <w:highlight w:val="none"/>
        </w:rPr>
        <w:fldChar w:fldCharType="begin"/>
      </w:r>
      <w:r>
        <w:rPr>
          <w:rFonts w:ascii="宋体" w:hAnsi="宋体"/>
          <w:bCs/>
          <w:caps/>
          <w:highlight w:val="none"/>
        </w:rPr>
        <w:instrText xml:space="preserve"> HYPERLINK \l _Toc24885 </w:instrText>
      </w:r>
      <w:r>
        <w:rPr>
          <w:rFonts w:ascii="宋体" w:hAnsi="宋体"/>
          <w:bCs/>
          <w:caps/>
          <w:highlight w:val="none"/>
        </w:rPr>
        <w:fldChar w:fldCharType="separate"/>
      </w:r>
      <w:r>
        <w:rPr>
          <w:rFonts w:hint="eastAsia" w:ascii="宋体" w:hAnsi="宋体" w:eastAsia="宋体"/>
          <w:highlight w:val="none"/>
        </w:rPr>
        <w:t>（一）估价委托人</w:t>
      </w:r>
      <w:r>
        <w:tab/>
      </w:r>
      <w:r>
        <w:fldChar w:fldCharType="begin"/>
      </w:r>
      <w:r>
        <w:instrText xml:space="preserve"> PAGEREF _Toc24885 \h </w:instrText>
      </w:r>
      <w:r>
        <w:fldChar w:fldCharType="separate"/>
      </w:r>
      <w:r>
        <w:t>6</w:t>
      </w:r>
      <w:r>
        <w:fldChar w:fldCharType="end"/>
      </w:r>
      <w:r>
        <w:rPr>
          <w:rFonts w:ascii="宋体" w:hAnsi="宋体"/>
          <w:bCs/>
          <w:caps/>
          <w:color w:val="auto"/>
          <w:highlight w:val="none"/>
        </w:rPr>
        <w:fldChar w:fldCharType="end"/>
      </w:r>
    </w:p>
    <w:p>
      <w:pPr>
        <w:pStyle w:val="60"/>
        <w:tabs>
          <w:tab w:val="right" w:leader="dot" w:pos="8900"/>
        </w:tabs>
      </w:pPr>
      <w:r>
        <w:rPr>
          <w:rFonts w:ascii="宋体" w:hAnsi="宋体"/>
          <w:bCs/>
          <w:caps/>
          <w:color w:val="auto"/>
          <w:highlight w:val="none"/>
        </w:rPr>
        <w:fldChar w:fldCharType="begin"/>
      </w:r>
      <w:r>
        <w:rPr>
          <w:rFonts w:ascii="宋体" w:hAnsi="宋体"/>
          <w:bCs/>
          <w:caps/>
          <w:highlight w:val="none"/>
        </w:rPr>
        <w:instrText xml:space="preserve"> HYPERLINK \l _Toc20404 </w:instrText>
      </w:r>
      <w:r>
        <w:rPr>
          <w:rFonts w:ascii="宋体" w:hAnsi="宋体"/>
          <w:bCs/>
          <w:caps/>
          <w:highlight w:val="none"/>
        </w:rPr>
        <w:fldChar w:fldCharType="separate"/>
      </w:r>
      <w:r>
        <w:rPr>
          <w:rFonts w:hint="eastAsia" w:ascii="宋体" w:hAnsi="宋体" w:eastAsia="宋体"/>
          <w:highlight w:val="none"/>
        </w:rPr>
        <w:t>（二）估价机构</w:t>
      </w:r>
      <w:r>
        <w:tab/>
      </w:r>
      <w:r>
        <w:fldChar w:fldCharType="begin"/>
      </w:r>
      <w:r>
        <w:instrText xml:space="preserve"> PAGEREF _Toc20404 \h </w:instrText>
      </w:r>
      <w:r>
        <w:fldChar w:fldCharType="separate"/>
      </w:r>
      <w:r>
        <w:t>6</w:t>
      </w:r>
      <w:r>
        <w:fldChar w:fldCharType="end"/>
      </w:r>
      <w:r>
        <w:rPr>
          <w:rFonts w:ascii="宋体" w:hAnsi="宋体"/>
          <w:bCs/>
          <w:caps/>
          <w:color w:val="auto"/>
          <w:highlight w:val="none"/>
        </w:rPr>
        <w:fldChar w:fldCharType="end"/>
      </w:r>
    </w:p>
    <w:p>
      <w:pPr>
        <w:pStyle w:val="60"/>
        <w:tabs>
          <w:tab w:val="right" w:leader="dot" w:pos="8900"/>
        </w:tabs>
      </w:pPr>
      <w:r>
        <w:rPr>
          <w:rFonts w:ascii="宋体" w:hAnsi="宋体"/>
          <w:bCs/>
          <w:caps/>
          <w:color w:val="auto"/>
          <w:highlight w:val="none"/>
        </w:rPr>
        <w:fldChar w:fldCharType="begin"/>
      </w:r>
      <w:r>
        <w:rPr>
          <w:rFonts w:ascii="宋体" w:hAnsi="宋体"/>
          <w:bCs/>
          <w:caps/>
          <w:highlight w:val="none"/>
        </w:rPr>
        <w:instrText xml:space="preserve"> HYPERLINK \l _Toc20989 </w:instrText>
      </w:r>
      <w:r>
        <w:rPr>
          <w:rFonts w:ascii="宋体" w:hAnsi="宋体"/>
          <w:bCs/>
          <w:caps/>
          <w:highlight w:val="none"/>
        </w:rPr>
        <w:fldChar w:fldCharType="separate"/>
      </w:r>
      <w:r>
        <w:rPr>
          <w:rFonts w:hint="eastAsia" w:ascii="宋体" w:hAnsi="宋体" w:eastAsia="宋体"/>
          <w:highlight w:val="none"/>
        </w:rPr>
        <w:t>（三）估价目的</w:t>
      </w:r>
      <w:r>
        <w:tab/>
      </w:r>
      <w:r>
        <w:fldChar w:fldCharType="begin"/>
      </w:r>
      <w:r>
        <w:instrText xml:space="preserve"> PAGEREF _Toc20989 \h </w:instrText>
      </w:r>
      <w:r>
        <w:fldChar w:fldCharType="separate"/>
      </w:r>
      <w:r>
        <w:t>6</w:t>
      </w:r>
      <w:r>
        <w:fldChar w:fldCharType="end"/>
      </w:r>
      <w:r>
        <w:rPr>
          <w:rFonts w:ascii="宋体" w:hAnsi="宋体"/>
          <w:bCs/>
          <w:caps/>
          <w:color w:val="auto"/>
          <w:highlight w:val="none"/>
        </w:rPr>
        <w:fldChar w:fldCharType="end"/>
      </w:r>
    </w:p>
    <w:p>
      <w:pPr>
        <w:pStyle w:val="60"/>
        <w:tabs>
          <w:tab w:val="right" w:leader="dot" w:pos="8900"/>
        </w:tabs>
      </w:pPr>
      <w:r>
        <w:rPr>
          <w:rFonts w:ascii="宋体" w:hAnsi="宋体"/>
          <w:bCs/>
          <w:caps/>
          <w:color w:val="auto"/>
          <w:highlight w:val="none"/>
        </w:rPr>
        <w:fldChar w:fldCharType="begin"/>
      </w:r>
      <w:r>
        <w:rPr>
          <w:rFonts w:ascii="宋体" w:hAnsi="宋体"/>
          <w:bCs/>
          <w:caps/>
          <w:highlight w:val="none"/>
        </w:rPr>
        <w:instrText xml:space="preserve"> HYPERLINK \l _Toc7105 </w:instrText>
      </w:r>
      <w:r>
        <w:rPr>
          <w:rFonts w:ascii="宋体" w:hAnsi="宋体"/>
          <w:bCs/>
          <w:caps/>
          <w:highlight w:val="none"/>
        </w:rPr>
        <w:fldChar w:fldCharType="separate"/>
      </w:r>
      <w:r>
        <w:rPr>
          <w:rFonts w:hint="eastAsia" w:ascii="宋体" w:hAnsi="宋体" w:eastAsia="宋体"/>
          <w:bCs/>
          <w:kern w:val="2"/>
          <w:szCs w:val="32"/>
          <w:highlight w:val="none"/>
          <w:lang w:val="en-US" w:eastAsia="zh-CN" w:bidi="ar-SA"/>
        </w:rPr>
        <w:t>（四）估价对象</w:t>
      </w:r>
      <w:r>
        <w:tab/>
      </w:r>
      <w:r>
        <w:fldChar w:fldCharType="begin"/>
      </w:r>
      <w:r>
        <w:instrText xml:space="preserve"> PAGEREF _Toc7105 \h </w:instrText>
      </w:r>
      <w:r>
        <w:fldChar w:fldCharType="separate"/>
      </w:r>
      <w:r>
        <w:t>6</w:t>
      </w:r>
      <w:r>
        <w:fldChar w:fldCharType="end"/>
      </w:r>
      <w:r>
        <w:rPr>
          <w:rFonts w:ascii="宋体" w:hAnsi="宋体"/>
          <w:bCs/>
          <w:caps/>
          <w:color w:val="auto"/>
          <w:highlight w:val="none"/>
        </w:rPr>
        <w:fldChar w:fldCharType="end"/>
      </w:r>
    </w:p>
    <w:p>
      <w:pPr>
        <w:pStyle w:val="60"/>
        <w:tabs>
          <w:tab w:val="right" w:leader="dot" w:pos="8900"/>
        </w:tabs>
      </w:pPr>
      <w:r>
        <w:rPr>
          <w:rFonts w:ascii="宋体" w:hAnsi="宋体"/>
          <w:bCs/>
          <w:caps/>
          <w:color w:val="auto"/>
          <w:highlight w:val="none"/>
        </w:rPr>
        <w:fldChar w:fldCharType="begin"/>
      </w:r>
      <w:r>
        <w:rPr>
          <w:rFonts w:ascii="宋体" w:hAnsi="宋体"/>
          <w:bCs/>
          <w:caps/>
          <w:highlight w:val="none"/>
        </w:rPr>
        <w:instrText xml:space="preserve"> HYPERLINK \l _Toc24266 </w:instrText>
      </w:r>
      <w:r>
        <w:rPr>
          <w:rFonts w:ascii="宋体" w:hAnsi="宋体"/>
          <w:bCs/>
          <w:caps/>
          <w:highlight w:val="none"/>
        </w:rPr>
        <w:fldChar w:fldCharType="separate"/>
      </w:r>
      <w:r>
        <w:rPr>
          <w:rFonts w:hint="eastAsia" w:ascii="宋体" w:hAnsi="宋体" w:eastAsia="宋体"/>
          <w:highlight w:val="none"/>
        </w:rPr>
        <w:t>（五）价值时点</w:t>
      </w:r>
      <w:r>
        <w:tab/>
      </w:r>
      <w:r>
        <w:fldChar w:fldCharType="begin"/>
      </w:r>
      <w:r>
        <w:instrText xml:space="preserve"> PAGEREF _Toc24266 \h </w:instrText>
      </w:r>
      <w:r>
        <w:fldChar w:fldCharType="separate"/>
      </w:r>
      <w:r>
        <w:t>12</w:t>
      </w:r>
      <w:r>
        <w:fldChar w:fldCharType="end"/>
      </w:r>
      <w:r>
        <w:rPr>
          <w:rFonts w:ascii="宋体" w:hAnsi="宋体"/>
          <w:bCs/>
          <w:caps/>
          <w:color w:val="auto"/>
          <w:highlight w:val="none"/>
        </w:rPr>
        <w:fldChar w:fldCharType="end"/>
      </w:r>
    </w:p>
    <w:p>
      <w:pPr>
        <w:pStyle w:val="60"/>
        <w:tabs>
          <w:tab w:val="right" w:leader="dot" w:pos="8900"/>
        </w:tabs>
      </w:pPr>
      <w:r>
        <w:rPr>
          <w:rFonts w:ascii="宋体" w:hAnsi="宋体"/>
          <w:bCs/>
          <w:caps/>
          <w:color w:val="auto"/>
          <w:highlight w:val="none"/>
        </w:rPr>
        <w:fldChar w:fldCharType="begin"/>
      </w:r>
      <w:r>
        <w:rPr>
          <w:rFonts w:ascii="宋体" w:hAnsi="宋体"/>
          <w:bCs/>
          <w:caps/>
          <w:highlight w:val="none"/>
        </w:rPr>
        <w:instrText xml:space="preserve"> HYPERLINK \l _Toc15907 </w:instrText>
      </w:r>
      <w:r>
        <w:rPr>
          <w:rFonts w:ascii="宋体" w:hAnsi="宋体"/>
          <w:bCs/>
          <w:caps/>
          <w:highlight w:val="none"/>
        </w:rPr>
        <w:fldChar w:fldCharType="separate"/>
      </w:r>
      <w:r>
        <w:rPr>
          <w:rFonts w:hint="eastAsia" w:ascii="宋体" w:hAnsi="宋体" w:eastAsia="宋体"/>
          <w:highlight w:val="none"/>
        </w:rPr>
        <w:t>（六）价值类型</w:t>
      </w:r>
      <w:r>
        <w:tab/>
      </w:r>
      <w:r>
        <w:fldChar w:fldCharType="begin"/>
      </w:r>
      <w:r>
        <w:instrText xml:space="preserve"> PAGEREF _Toc15907 \h </w:instrText>
      </w:r>
      <w:r>
        <w:fldChar w:fldCharType="separate"/>
      </w:r>
      <w:r>
        <w:t>12</w:t>
      </w:r>
      <w:r>
        <w:fldChar w:fldCharType="end"/>
      </w:r>
      <w:r>
        <w:rPr>
          <w:rFonts w:ascii="宋体" w:hAnsi="宋体"/>
          <w:bCs/>
          <w:caps/>
          <w:color w:val="auto"/>
          <w:highlight w:val="none"/>
        </w:rPr>
        <w:fldChar w:fldCharType="end"/>
      </w:r>
    </w:p>
    <w:p>
      <w:pPr>
        <w:pStyle w:val="60"/>
        <w:tabs>
          <w:tab w:val="right" w:leader="dot" w:pos="8900"/>
        </w:tabs>
      </w:pPr>
      <w:r>
        <w:rPr>
          <w:rFonts w:ascii="宋体" w:hAnsi="宋体"/>
          <w:bCs/>
          <w:caps/>
          <w:color w:val="auto"/>
          <w:highlight w:val="none"/>
        </w:rPr>
        <w:fldChar w:fldCharType="begin"/>
      </w:r>
      <w:r>
        <w:rPr>
          <w:rFonts w:ascii="宋体" w:hAnsi="宋体"/>
          <w:bCs/>
          <w:caps/>
          <w:highlight w:val="none"/>
        </w:rPr>
        <w:instrText xml:space="preserve"> HYPERLINK \l _Toc19049 </w:instrText>
      </w:r>
      <w:r>
        <w:rPr>
          <w:rFonts w:ascii="宋体" w:hAnsi="宋体"/>
          <w:bCs/>
          <w:caps/>
          <w:highlight w:val="none"/>
        </w:rPr>
        <w:fldChar w:fldCharType="separate"/>
      </w:r>
      <w:r>
        <w:rPr>
          <w:rFonts w:hint="eastAsia" w:ascii="宋体" w:hAnsi="宋体" w:eastAsia="宋体"/>
          <w:highlight w:val="none"/>
        </w:rPr>
        <w:t>（七）估价原则</w:t>
      </w:r>
      <w:r>
        <w:tab/>
      </w:r>
      <w:r>
        <w:fldChar w:fldCharType="begin"/>
      </w:r>
      <w:r>
        <w:instrText xml:space="preserve"> PAGEREF _Toc19049 \h </w:instrText>
      </w:r>
      <w:r>
        <w:fldChar w:fldCharType="separate"/>
      </w:r>
      <w:r>
        <w:t>13</w:t>
      </w:r>
      <w:r>
        <w:fldChar w:fldCharType="end"/>
      </w:r>
      <w:r>
        <w:rPr>
          <w:rFonts w:ascii="宋体" w:hAnsi="宋体"/>
          <w:bCs/>
          <w:caps/>
          <w:color w:val="auto"/>
          <w:highlight w:val="none"/>
        </w:rPr>
        <w:fldChar w:fldCharType="end"/>
      </w:r>
    </w:p>
    <w:p>
      <w:pPr>
        <w:pStyle w:val="60"/>
        <w:tabs>
          <w:tab w:val="right" w:leader="dot" w:pos="8900"/>
        </w:tabs>
      </w:pPr>
      <w:r>
        <w:rPr>
          <w:rFonts w:ascii="宋体" w:hAnsi="宋体"/>
          <w:bCs/>
          <w:caps/>
          <w:color w:val="auto"/>
          <w:highlight w:val="none"/>
        </w:rPr>
        <w:fldChar w:fldCharType="begin"/>
      </w:r>
      <w:r>
        <w:rPr>
          <w:rFonts w:ascii="宋体" w:hAnsi="宋体"/>
          <w:bCs/>
          <w:caps/>
          <w:highlight w:val="none"/>
        </w:rPr>
        <w:instrText xml:space="preserve"> HYPERLINK \l _Toc31639 </w:instrText>
      </w:r>
      <w:r>
        <w:rPr>
          <w:rFonts w:ascii="宋体" w:hAnsi="宋体"/>
          <w:bCs/>
          <w:caps/>
          <w:highlight w:val="none"/>
        </w:rPr>
        <w:fldChar w:fldCharType="separate"/>
      </w:r>
      <w:r>
        <w:rPr>
          <w:rFonts w:hint="eastAsia" w:ascii="宋体" w:hAnsi="宋体" w:eastAsia="宋体"/>
          <w:highlight w:val="none"/>
        </w:rPr>
        <w:t>（八）估价依据</w:t>
      </w:r>
      <w:r>
        <w:tab/>
      </w:r>
      <w:r>
        <w:fldChar w:fldCharType="begin"/>
      </w:r>
      <w:r>
        <w:instrText xml:space="preserve"> PAGEREF _Toc31639 \h </w:instrText>
      </w:r>
      <w:r>
        <w:fldChar w:fldCharType="separate"/>
      </w:r>
      <w:r>
        <w:t>13</w:t>
      </w:r>
      <w:r>
        <w:fldChar w:fldCharType="end"/>
      </w:r>
      <w:r>
        <w:rPr>
          <w:rFonts w:ascii="宋体" w:hAnsi="宋体"/>
          <w:bCs/>
          <w:caps/>
          <w:color w:val="auto"/>
          <w:highlight w:val="none"/>
        </w:rPr>
        <w:fldChar w:fldCharType="end"/>
      </w:r>
    </w:p>
    <w:p>
      <w:pPr>
        <w:pStyle w:val="60"/>
        <w:tabs>
          <w:tab w:val="right" w:leader="dot" w:pos="8900"/>
        </w:tabs>
      </w:pPr>
      <w:r>
        <w:rPr>
          <w:rFonts w:ascii="宋体" w:hAnsi="宋体"/>
          <w:bCs/>
          <w:caps/>
          <w:color w:val="auto"/>
          <w:highlight w:val="none"/>
        </w:rPr>
        <w:fldChar w:fldCharType="begin"/>
      </w:r>
      <w:r>
        <w:rPr>
          <w:rFonts w:ascii="宋体" w:hAnsi="宋体"/>
          <w:bCs/>
          <w:caps/>
          <w:highlight w:val="none"/>
        </w:rPr>
        <w:instrText xml:space="preserve"> HYPERLINK \l _Toc10049 </w:instrText>
      </w:r>
      <w:r>
        <w:rPr>
          <w:rFonts w:ascii="宋体" w:hAnsi="宋体"/>
          <w:bCs/>
          <w:caps/>
          <w:highlight w:val="none"/>
        </w:rPr>
        <w:fldChar w:fldCharType="separate"/>
      </w:r>
      <w:r>
        <w:rPr>
          <w:rFonts w:hint="default" w:ascii="宋体" w:hAnsi="宋体" w:eastAsia="宋体"/>
          <w:highlight w:val="none"/>
        </w:rPr>
        <w:t>（九）估价方法</w:t>
      </w:r>
      <w:r>
        <w:tab/>
      </w:r>
      <w:r>
        <w:fldChar w:fldCharType="begin"/>
      </w:r>
      <w:r>
        <w:instrText xml:space="preserve"> PAGEREF _Toc10049 \h </w:instrText>
      </w:r>
      <w:r>
        <w:fldChar w:fldCharType="separate"/>
      </w:r>
      <w:r>
        <w:t>14</w:t>
      </w:r>
      <w:r>
        <w:fldChar w:fldCharType="end"/>
      </w:r>
      <w:r>
        <w:rPr>
          <w:rFonts w:ascii="宋体" w:hAnsi="宋体"/>
          <w:bCs/>
          <w:caps/>
          <w:color w:val="auto"/>
          <w:highlight w:val="none"/>
        </w:rPr>
        <w:fldChar w:fldCharType="end"/>
      </w:r>
    </w:p>
    <w:p>
      <w:pPr>
        <w:pStyle w:val="60"/>
        <w:tabs>
          <w:tab w:val="right" w:leader="dot" w:pos="8900"/>
        </w:tabs>
      </w:pPr>
      <w:r>
        <w:rPr>
          <w:rFonts w:ascii="宋体" w:hAnsi="宋体"/>
          <w:bCs/>
          <w:caps/>
          <w:color w:val="auto"/>
          <w:highlight w:val="none"/>
        </w:rPr>
        <w:fldChar w:fldCharType="begin"/>
      </w:r>
      <w:r>
        <w:rPr>
          <w:rFonts w:ascii="宋体" w:hAnsi="宋体"/>
          <w:bCs/>
          <w:caps/>
          <w:highlight w:val="none"/>
        </w:rPr>
        <w:instrText xml:space="preserve"> HYPERLINK \l _Toc25366 </w:instrText>
      </w:r>
      <w:r>
        <w:rPr>
          <w:rFonts w:ascii="宋体" w:hAnsi="宋体"/>
          <w:bCs/>
          <w:caps/>
          <w:highlight w:val="none"/>
        </w:rPr>
        <w:fldChar w:fldCharType="separate"/>
      </w:r>
      <w:r>
        <w:rPr>
          <w:rFonts w:hint="eastAsia" w:ascii="宋体" w:hAnsi="宋体" w:eastAsia="宋体"/>
          <w:highlight w:val="none"/>
        </w:rPr>
        <w:t>（十）估价结果</w:t>
      </w:r>
      <w:r>
        <w:tab/>
      </w:r>
      <w:r>
        <w:fldChar w:fldCharType="begin"/>
      </w:r>
      <w:r>
        <w:instrText xml:space="preserve"> PAGEREF _Toc25366 \h </w:instrText>
      </w:r>
      <w:r>
        <w:fldChar w:fldCharType="separate"/>
      </w:r>
      <w:r>
        <w:t>16</w:t>
      </w:r>
      <w:r>
        <w:fldChar w:fldCharType="end"/>
      </w:r>
      <w:r>
        <w:rPr>
          <w:rFonts w:ascii="宋体" w:hAnsi="宋体"/>
          <w:bCs/>
          <w:caps/>
          <w:color w:val="auto"/>
          <w:highlight w:val="none"/>
        </w:rPr>
        <w:fldChar w:fldCharType="end"/>
      </w:r>
    </w:p>
    <w:p>
      <w:pPr>
        <w:pStyle w:val="60"/>
        <w:tabs>
          <w:tab w:val="right" w:leader="dot" w:pos="8900"/>
        </w:tabs>
      </w:pPr>
      <w:r>
        <w:rPr>
          <w:rFonts w:ascii="宋体" w:hAnsi="宋体"/>
          <w:bCs/>
          <w:caps/>
          <w:color w:val="auto"/>
          <w:highlight w:val="none"/>
        </w:rPr>
        <w:fldChar w:fldCharType="begin"/>
      </w:r>
      <w:r>
        <w:rPr>
          <w:rFonts w:ascii="宋体" w:hAnsi="宋体"/>
          <w:bCs/>
          <w:caps/>
          <w:highlight w:val="none"/>
        </w:rPr>
        <w:instrText xml:space="preserve"> HYPERLINK \l _Toc15821 </w:instrText>
      </w:r>
      <w:r>
        <w:rPr>
          <w:rFonts w:ascii="宋体" w:hAnsi="宋体"/>
          <w:bCs/>
          <w:caps/>
          <w:highlight w:val="none"/>
        </w:rPr>
        <w:fldChar w:fldCharType="separate"/>
      </w:r>
      <w:r>
        <w:rPr>
          <w:rFonts w:hint="eastAsia" w:ascii="宋体" w:hAnsi="宋体" w:eastAsia="宋体"/>
          <w:highlight w:val="none"/>
        </w:rPr>
        <w:t>（十一）注</w:t>
      </w:r>
      <w:r>
        <w:rPr>
          <w:rFonts w:ascii="宋体" w:hAnsi="宋体" w:eastAsia="宋体"/>
          <w:highlight w:val="none"/>
        </w:rPr>
        <w:t>册房地产估价师</w:t>
      </w:r>
      <w:r>
        <w:tab/>
      </w:r>
      <w:r>
        <w:fldChar w:fldCharType="begin"/>
      </w:r>
      <w:r>
        <w:instrText xml:space="preserve"> PAGEREF _Toc15821 \h </w:instrText>
      </w:r>
      <w:r>
        <w:fldChar w:fldCharType="separate"/>
      </w:r>
      <w:r>
        <w:t>17</w:t>
      </w:r>
      <w:r>
        <w:fldChar w:fldCharType="end"/>
      </w:r>
      <w:r>
        <w:rPr>
          <w:rFonts w:ascii="宋体" w:hAnsi="宋体"/>
          <w:bCs/>
          <w:caps/>
          <w:color w:val="auto"/>
          <w:highlight w:val="none"/>
        </w:rPr>
        <w:fldChar w:fldCharType="end"/>
      </w:r>
    </w:p>
    <w:p>
      <w:pPr>
        <w:pStyle w:val="60"/>
        <w:tabs>
          <w:tab w:val="right" w:leader="dot" w:pos="8900"/>
        </w:tabs>
      </w:pPr>
      <w:r>
        <w:rPr>
          <w:rFonts w:ascii="宋体" w:hAnsi="宋体"/>
          <w:bCs/>
          <w:caps/>
          <w:color w:val="auto"/>
          <w:highlight w:val="none"/>
        </w:rPr>
        <w:fldChar w:fldCharType="begin"/>
      </w:r>
      <w:r>
        <w:rPr>
          <w:rFonts w:ascii="宋体" w:hAnsi="宋体"/>
          <w:bCs/>
          <w:caps/>
          <w:highlight w:val="none"/>
        </w:rPr>
        <w:instrText xml:space="preserve"> HYPERLINK \l _Toc25330 </w:instrText>
      </w:r>
      <w:r>
        <w:rPr>
          <w:rFonts w:ascii="宋体" w:hAnsi="宋体"/>
          <w:bCs/>
          <w:caps/>
          <w:highlight w:val="none"/>
        </w:rPr>
        <w:fldChar w:fldCharType="separate"/>
      </w:r>
      <w:r>
        <w:rPr>
          <w:rFonts w:hint="eastAsia" w:ascii="宋体" w:hAnsi="宋体" w:eastAsia="宋体"/>
          <w:highlight w:val="none"/>
        </w:rPr>
        <w:t>（十二）实</w:t>
      </w:r>
      <w:r>
        <w:rPr>
          <w:rFonts w:ascii="宋体" w:hAnsi="宋体" w:eastAsia="宋体"/>
          <w:highlight w:val="none"/>
        </w:rPr>
        <w:t>地查勘期</w:t>
      </w:r>
      <w:r>
        <w:tab/>
      </w:r>
      <w:r>
        <w:fldChar w:fldCharType="begin"/>
      </w:r>
      <w:r>
        <w:instrText xml:space="preserve"> PAGEREF _Toc25330 \h </w:instrText>
      </w:r>
      <w:r>
        <w:fldChar w:fldCharType="separate"/>
      </w:r>
      <w:r>
        <w:t>17</w:t>
      </w:r>
      <w:r>
        <w:fldChar w:fldCharType="end"/>
      </w:r>
      <w:r>
        <w:rPr>
          <w:rFonts w:ascii="宋体" w:hAnsi="宋体"/>
          <w:bCs/>
          <w:caps/>
          <w:color w:val="auto"/>
          <w:highlight w:val="none"/>
        </w:rPr>
        <w:fldChar w:fldCharType="end"/>
      </w:r>
    </w:p>
    <w:p>
      <w:pPr>
        <w:pStyle w:val="60"/>
        <w:tabs>
          <w:tab w:val="right" w:leader="dot" w:pos="8900"/>
        </w:tabs>
      </w:pPr>
      <w:r>
        <w:rPr>
          <w:rFonts w:ascii="宋体" w:hAnsi="宋体"/>
          <w:bCs/>
          <w:caps/>
          <w:color w:val="auto"/>
          <w:highlight w:val="none"/>
        </w:rPr>
        <w:fldChar w:fldCharType="begin"/>
      </w:r>
      <w:r>
        <w:rPr>
          <w:rFonts w:ascii="宋体" w:hAnsi="宋体"/>
          <w:bCs/>
          <w:caps/>
          <w:highlight w:val="none"/>
        </w:rPr>
        <w:instrText xml:space="preserve"> HYPERLINK \l _Toc29654 </w:instrText>
      </w:r>
      <w:r>
        <w:rPr>
          <w:rFonts w:ascii="宋体" w:hAnsi="宋体"/>
          <w:bCs/>
          <w:caps/>
          <w:highlight w:val="none"/>
        </w:rPr>
        <w:fldChar w:fldCharType="separate"/>
      </w:r>
      <w:r>
        <w:rPr>
          <w:rFonts w:hint="eastAsia" w:ascii="宋体" w:hAnsi="宋体" w:eastAsia="宋体"/>
          <w:highlight w:val="none"/>
        </w:rPr>
        <w:t>（十三）估价作</w:t>
      </w:r>
      <w:r>
        <w:rPr>
          <w:rFonts w:ascii="宋体" w:hAnsi="宋体" w:eastAsia="宋体"/>
          <w:highlight w:val="none"/>
        </w:rPr>
        <w:t>业</w:t>
      </w:r>
      <w:r>
        <w:rPr>
          <w:rFonts w:hint="eastAsia" w:ascii="宋体" w:hAnsi="宋体" w:eastAsia="宋体"/>
          <w:highlight w:val="none"/>
        </w:rPr>
        <w:t>期</w:t>
      </w:r>
      <w:r>
        <w:tab/>
      </w:r>
      <w:r>
        <w:fldChar w:fldCharType="begin"/>
      </w:r>
      <w:r>
        <w:instrText xml:space="preserve"> PAGEREF _Toc29654 \h </w:instrText>
      </w:r>
      <w:r>
        <w:fldChar w:fldCharType="separate"/>
      </w:r>
      <w:r>
        <w:t>17</w:t>
      </w:r>
      <w:r>
        <w:fldChar w:fldCharType="end"/>
      </w:r>
      <w:r>
        <w:rPr>
          <w:rFonts w:ascii="宋体" w:hAnsi="宋体"/>
          <w:bCs/>
          <w:caps/>
          <w:color w:val="auto"/>
          <w:highlight w:val="none"/>
        </w:rPr>
        <w:fldChar w:fldCharType="end"/>
      </w:r>
    </w:p>
    <w:p>
      <w:pPr>
        <w:pStyle w:val="51"/>
        <w:tabs>
          <w:tab w:val="right" w:leader="dot" w:pos="8900"/>
        </w:tabs>
      </w:pPr>
      <w:r>
        <w:rPr>
          <w:rFonts w:ascii="宋体" w:hAnsi="宋体"/>
          <w:bCs/>
          <w:caps/>
          <w:color w:val="auto"/>
          <w:highlight w:val="none"/>
        </w:rPr>
        <w:fldChar w:fldCharType="begin"/>
      </w:r>
      <w:r>
        <w:rPr>
          <w:rFonts w:ascii="宋体" w:hAnsi="宋体"/>
          <w:bCs/>
          <w:caps/>
          <w:highlight w:val="none"/>
        </w:rPr>
        <w:instrText xml:space="preserve"> HYPERLINK \l _Toc8102 </w:instrText>
      </w:r>
      <w:r>
        <w:rPr>
          <w:rFonts w:ascii="宋体" w:hAnsi="宋体"/>
          <w:bCs/>
          <w:caps/>
          <w:highlight w:val="none"/>
        </w:rPr>
        <w:fldChar w:fldCharType="separate"/>
      </w:r>
      <w:r>
        <w:rPr>
          <w:rFonts w:hint="eastAsia" w:ascii="宋体" w:hAnsi="宋体"/>
          <w:bCs/>
          <w:highlight w:val="none"/>
          <w:lang w:eastAsia="zh-CN"/>
        </w:rPr>
        <w:t>四</w:t>
      </w:r>
      <w:r>
        <w:rPr>
          <w:rFonts w:hint="eastAsia" w:ascii="宋体" w:hAnsi="宋体"/>
          <w:bCs/>
          <w:highlight w:val="none"/>
        </w:rPr>
        <w:t>、附件</w:t>
      </w:r>
      <w:r>
        <w:tab/>
      </w:r>
      <w:r>
        <w:fldChar w:fldCharType="begin"/>
      </w:r>
      <w:r>
        <w:instrText xml:space="preserve"> PAGEREF _Toc8102 \h </w:instrText>
      </w:r>
      <w:r>
        <w:fldChar w:fldCharType="separate"/>
      </w:r>
      <w:r>
        <w:t>18</w:t>
      </w:r>
      <w:r>
        <w:fldChar w:fldCharType="end"/>
      </w:r>
      <w:r>
        <w:rPr>
          <w:rFonts w:ascii="宋体" w:hAnsi="宋体"/>
          <w:bCs/>
          <w:caps/>
          <w:color w:val="auto"/>
          <w:highlight w:val="none"/>
        </w:rPr>
        <w:fldChar w:fldCharType="end"/>
      </w:r>
    </w:p>
    <w:p>
      <w:pPr>
        <w:pStyle w:val="60"/>
        <w:tabs>
          <w:tab w:val="right" w:leader="dot" w:pos="8900"/>
        </w:tabs>
      </w:pPr>
      <w:r>
        <w:rPr>
          <w:rFonts w:ascii="宋体" w:hAnsi="宋体"/>
          <w:bCs/>
          <w:caps/>
          <w:color w:val="auto"/>
          <w:highlight w:val="none"/>
        </w:rPr>
        <w:fldChar w:fldCharType="begin"/>
      </w:r>
      <w:r>
        <w:rPr>
          <w:rFonts w:ascii="宋体" w:hAnsi="宋体"/>
          <w:bCs/>
          <w:caps/>
          <w:highlight w:val="none"/>
        </w:rPr>
        <w:instrText xml:space="preserve"> HYPERLINK \l _Toc8816 </w:instrText>
      </w:r>
      <w:r>
        <w:rPr>
          <w:rFonts w:ascii="宋体" w:hAnsi="宋体"/>
          <w:bCs/>
          <w:caps/>
          <w:highlight w:val="none"/>
        </w:rPr>
        <w:fldChar w:fldCharType="separate"/>
      </w:r>
      <w:r>
        <w:rPr>
          <w:rFonts w:hint="eastAsia" w:ascii="宋体" w:hAnsi="宋体"/>
          <w:highlight w:val="none"/>
        </w:rPr>
        <w:t>（一）估价对象位置图</w:t>
      </w:r>
      <w:r>
        <w:tab/>
      </w:r>
      <w:r>
        <w:fldChar w:fldCharType="begin"/>
      </w:r>
      <w:r>
        <w:instrText xml:space="preserve"> PAGEREF _Toc8816 \h </w:instrText>
      </w:r>
      <w:r>
        <w:fldChar w:fldCharType="separate"/>
      </w:r>
      <w:r>
        <w:t>18</w:t>
      </w:r>
      <w:r>
        <w:fldChar w:fldCharType="end"/>
      </w:r>
      <w:r>
        <w:rPr>
          <w:rFonts w:ascii="宋体" w:hAnsi="宋体"/>
          <w:bCs/>
          <w:caps/>
          <w:color w:val="auto"/>
          <w:highlight w:val="none"/>
        </w:rPr>
        <w:fldChar w:fldCharType="end"/>
      </w:r>
    </w:p>
    <w:p>
      <w:pPr>
        <w:pStyle w:val="60"/>
        <w:tabs>
          <w:tab w:val="right" w:leader="dot" w:pos="8900"/>
        </w:tabs>
      </w:pPr>
      <w:r>
        <w:rPr>
          <w:rFonts w:ascii="宋体" w:hAnsi="宋体"/>
          <w:bCs/>
          <w:caps/>
          <w:color w:val="auto"/>
          <w:highlight w:val="none"/>
        </w:rPr>
        <w:fldChar w:fldCharType="begin"/>
      </w:r>
      <w:r>
        <w:rPr>
          <w:rFonts w:ascii="宋体" w:hAnsi="宋体"/>
          <w:bCs/>
          <w:caps/>
          <w:highlight w:val="none"/>
        </w:rPr>
        <w:instrText xml:space="preserve"> HYPERLINK \l _Toc25171 </w:instrText>
      </w:r>
      <w:r>
        <w:rPr>
          <w:rFonts w:ascii="宋体" w:hAnsi="宋体"/>
          <w:bCs/>
          <w:caps/>
          <w:highlight w:val="none"/>
        </w:rPr>
        <w:fldChar w:fldCharType="separate"/>
      </w:r>
      <w:r>
        <w:rPr>
          <w:rFonts w:hint="eastAsia" w:ascii="宋体" w:hAnsi="宋体"/>
          <w:highlight w:val="none"/>
        </w:rPr>
        <w:t>（二）估价委托书（复印件）</w:t>
      </w:r>
      <w:r>
        <w:tab/>
      </w:r>
      <w:r>
        <w:fldChar w:fldCharType="begin"/>
      </w:r>
      <w:r>
        <w:instrText xml:space="preserve"> PAGEREF _Toc25171 \h </w:instrText>
      </w:r>
      <w:r>
        <w:fldChar w:fldCharType="separate"/>
      </w:r>
      <w:r>
        <w:t>18</w:t>
      </w:r>
      <w:r>
        <w:fldChar w:fldCharType="end"/>
      </w:r>
      <w:r>
        <w:rPr>
          <w:rFonts w:ascii="宋体" w:hAnsi="宋体"/>
          <w:bCs/>
          <w:caps/>
          <w:color w:val="auto"/>
          <w:highlight w:val="none"/>
        </w:rPr>
        <w:fldChar w:fldCharType="end"/>
      </w:r>
    </w:p>
    <w:p>
      <w:pPr>
        <w:pStyle w:val="60"/>
        <w:tabs>
          <w:tab w:val="right" w:leader="dot" w:pos="8900"/>
        </w:tabs>
      </w:pPr>
      <w:r>
        <w:rPr>
          <w:rFonts w:ascii="宋体" w:hAnsi="宋体"/>
          <w:bCs/>
          <w:caps/>
          <w:color w:val="auto"/>
          <w:highlight w:val="none"/>
        </w:rPr>
        <w:fldChar w:fldCharType="begin"/>
      </w:r>
      <w:r>
        <w:rPr>
          <w:rFonts w:ascii="宋体" w:hAnsi="宋体"/>
          <w:bCs/>
          <w:caps/>
          <w:highlight w:val="none"/>
        </w:rPr>
        <w:instrText xml:space="preserve"> HYPERLINK \l _Toc30995 </w:instrText>
      </w:r>
      <w:r>
        <w:rPr>
          <w:rFonts w:ascii="宋体" w:hAnsi="宋体"/>
          <w:bCs/>
          <w:caps/>
          <w:highlight w:val="none"/>
        </w:rPr>
        <w:fldChar w:fldCharType="separate"/>
      </w:r>
      <w:r>
        <w:rPr>
          <w:rFonts w:hint="eastAsia" w:ascii="宋体" w:hAnsi="宋体"/>
          <w:highlight w:val="none"/>
        </w:rPr>
        <w:t>（三）估价对象权属证明复印件</w:t>
      </w:r>
      <w:r>
        <w:tab/>
      </w:r>
      <w:r>
        <w:fldChar w:fldCharType="begin"/>
      </w:r>
      <w:r>
        <w:instrText xml:space="preserve"> PAGEREF _Toc30995 \h </w:instrText>
      </w:r>
      <w:r>
        <w:fldChar w:fldCharType="separate"/>
      </w:r>
      <w:r>
        <w:t>18</w:t>
      </w:r>
      <w:r>
        <w:fldChar w:fldCharType="end"/>
      </w:r>
      <w:r>
        <w:rPr>
          <w:rFonts w:ascii="宋体" w:hAnsi="宋体"/>
          <w:bCs/>
          <w:caps/>
          <w:color w:val="auto"/>
          <w:highlight w:val="none"/>
        </w:rPr>
        <w:fldChar w:fldCharType="end"/>
      </w:r>
    </w:p>
    <w:p>
      <w:pPr>
        <w:pStyle w:val="60"/>
        <w:tabs>
          <w:tab w:val="right" w:leader="dot" w:pos="8900"/>
        </w:tabs>
      </w:pPr>
      <w:r>
        <w:rPr>
          <w:rFonts w:ascii="宋体" w:hAnsi="宋体"/>
          <w:bCs/>
          <w:caps/>
          <w:color w:val="auto"/>
          <w:highlight w:val="none"/>
        </w:rPr>
        <w:fldChar w:fldCharType="begin"/>
      </w:r>
      <w:r>
        <w:rPr>
          <w:rFonts w:ascii="宋体" w:hAnsi="宋体"/>
          <w:bCs/>
          <w:caps/>
          <w:highlight w:val="none"/>
        </w:rPr>
        <w:instrText xml:space="preserve"> HYPERLINK \l _Toc25607 </w:instrText>
      </w:r>
      <w:r>
        <w:rPr>
          <w:rFonts w:ascii="宋体" w:hAnsi="宋体"/>
          <w:bCs/>
          <w:caps/>
          <w:highlight w:val="none"/>
        </w:rPr>
        <w:fldChar w:fldCharType="separate"/>
      </w:r>
      <w:r>
        <w:rPr>
          <w:rFonts w:hint="eastAsia" w:ascii="宋体" w:hAnsi="宋体"/>
          <w:highlight w:val="none"/>
        </w:rPr>
        <w:t>（四）估价对象实地查勘情况和相关照片</w:t>
      </w:r>
      <w:r>
        <w:tab/>
      </w:r>
      <w:r>
        <w:fldChar w:fldCharType="begin"/>
      </w:r>
      <w:r>
        <w:instrText xml:space="preserve"> PAGEREF _Toc25607 \h </w:instrText>
      </w:r>
      <w:r>
        <w:fldChar w:fldCharType="separate"/>
      </w:r>
      <w:r>
        <w:t>18</w:t>
      </w:r>
      <w:r>
        <w:fldChar w:fldCharType="end"/>
      </w:r>
      <w:r>
        <w:rPr>
          <w:rFonts w:ascii="宋体" w:hAnsi="宋体"/>
          <w:bCs/>
          <w:caps/>
          <w:color w:val="auto"/>
          <w:highlight w:val="none"/>
        </w:rPr>
        <w:fldChar w:fldCharType="end"/>
      </w:r>
    </w:p>
    <w:p>
      <w:pPr>
        <w:pStyle w:val="60"/>
        <w:tabs>
          <w:tab w:val="right" w:leader="dot" w:pos="8900"/>
        </w:tabs>
      </w:pPr>
      <w:r>
        <w:rPr>
          <w:rFonts w:ascii="宋体" w:hAnsi="宋体"/>
          <w:bCs/>
          <w:caps/>
          <w:color w:val="auto"/>
          <w:highlight w:val="none"/>
        </w:rPr>
        <w:fldChar w:fldCharType="begin"/>
      </w:r>
      <w:r>
        <w:rPr>
          <w:rFonts w:ascii="宋体" w:hAnsi="宋体"/>
          <w:bCs/>
          <w:caps/>
          <w:highlight w:val="none"/>
        </w:rPr>
        <w:instrText xml:space="preserve"> HYPERLINK \l _Toc15939 </w:instrText>
      </w:r>
      <w:r>
        <w:rPr>
          <w:rFonts w:ascii="宋体" w:hAnsi="宋体"/>
          <w:bCs/>
          <w:caps/>
          <w:highlight w:val="none"/>
        </w:rPr>
        <w:fldChar w:fldCharType="separate"/>
      </w:r>
      <w:r>
        <w:rPr>
          <w:rFonts w:hint="eastAsia" w:ascii="宋体" w:hAnsi="宋体"/>
          <w:highlight w:val="none"/>
        </w:rPr>
        <w:t>（五）估价对象法定优先受偿款调查情况（无）</w:t>
      </w:r>
      <w:r>
        <w:tab/>
      </w:r>
      <w:r>
        <w:fldChar w:fldCharType="begin"/>
      </w:r>
      <w:r>
        <w:instrText xml:space="preserve"> PAGEREF _Toc15939 \h </w:instrText>
      </w:r>
      <w:r>
        <w:fldChar w:fldCharType="separate"/>
      </w:r>
      <w:r>
        <w:t>18</w:t>
      </w:r>
      <w:r>
        <w:fldChar w:fldCharType="end"/>
      </w:r>
      <w:r>
        <w:rPr>
          <w:rFonts w:ascii="宋体" w:hAnsi="宋体"/>
          <w:bCs/>
          <w:caps/>
          <w:color w:val="auto"/>
          <w:highlight w:val="none"/>
        </w:rPr>
        <w:fldChar w:fldCharType="end"/>
      </w:r>
    </w:p>
    <w:p>
      <w:pPr>
        <w:pStyle w:val="60"/>
        <w:tabs>
          <w:tab w:val="right" w:leader="dot" w:pos="8900"/>
        </w:tabs>
      </w:pPr>
      <w:r>
        <w:rPr>
          <w:rFonts w:ascii="宋体" w:hAnsi="宋体"/>
          <w:bCs/>
          <w:caps/>
          <w:color w:val="auto"/>
          <w:highlight w:val="none"/>
        </w:rPr>
        <w:fldChar w:fldCharType="begin"/>
      </w:r>
      <w:r>
        <w:rPr>
          <w:rFonts w:ascii="宋体" w:hAnsi="宋体"/>
          <w:bCs/>
          <w:caps/>
          <w:highlight w:val="none"/>
        </w:rPr>
        <w:instrText xml:space="preserve"> HYPERLINK \l _Toc9268 </w:instrText>
      </w:r>
      <w:r>
        <w:rPr>
          <w:rFonts w:ascii="宋体" w:hAnsi="宋体"/>
          <w:bCs/>
          <w:caps/>
          <w:highlight w:val="none"/>
        </w:rPr>
        <w:fldChar w:fldCharType="separate"/>
      </w:r>
      <w:r>
        <w:rPr>
          <w:rFonts w:hint="eastAsia" w:ascii="宋体" w:hAnsi="宋体"/>
          <w:highlight w:val="none"/>
        </w:rPr>
        <w:t>（</w:t>
      </w:r>
      <w:r>
        <w:rPr>
          <w:rFonts w:hint="eastAsia" w:ascii="宋体" w:hAnsi="宋体"/>
          <w:highlight w:val="none"/>
          <w:lang w:eastAsia="zh-CN"/>
        </w:rPr>
        <w:t>六</w:t>
      </w:r>
      <w:r>
        <w:rPr>
          <w:rFonts w:hint="eastAsia" w:ascii="宋体" w:hAnsi="宋体"/>
          <w:highlight w:val="none"/>
        </w:rPr>
        <w:t>）专业帮助情况和相关专业意见（无）</w:t>
      </w:r>
      <w:r>
        <w:tab/>
      </w:r>
      <w:r>
        <w:fldChar w:fldCharType="begin"/>
      </w:r>
      <w:r>
        <w:instrText xml:space="preserve"> PAGEREF _Toc9268 \h </w:instrText>
      </w:r>
      <w:r>
        <w:fldChar w:fldCharType="separate"/>
      </w:r>
      <w:r>
        <w:t>18</w:t>
      </w:r>
      <w:r>
        <w:fldChar w:fldCharType="end"/>
      </w:r>
      <w:r>
        <w:rPr>
          <w:rFonts w:ascii="宋体" w:hAnsi="宋体"/>
          <w:bCs/>
          <w:caps/>
          <w:color w:val="auto"/>
          <w:highlight w:val="none"/>
        </w:rPr>
        <w:fldChar w:fldCharType="end"/>
      </w:r>
    </w:p>
    <w:p>
      <w:pPr>
        <w:pStyle w:val="60"/>
        <w:tabs>
          <w:tab w:val="right" w:leader="dot" w:pos="8900"/>
        </w:tabs>
      </w:pPr>
      <w:r>
        <w:rPr>
          <w:rFonts w:ascii="宋体" w:hAnsi="宋体"/>
          <w:bCs/>
          <w:caps/>
          <w:color w:val="auto"/>
          <w:highlight w:val="none"/>
        </w:rPr>
        <w:fldChar w:fldCharType="begin"/>
      </w:r>
      <w:r>
        <w:rPr>
          <w:rFonts w:ascii="宋体" w:hAnsi="宋体"/>
          <w:bCs/>
          <w:caps/>
          <w:highlight w:val="none"/>
        </w:rPr>
        <w:instrText xml:space="preserve"> HYPERLINK \l _Toc673 </w:instrText>
      </w:r>
      <w:r>
        <w:rPr>
          <w:rFonts w:ascii="宋体" w:hAnsi="宋体"/>
          <w:bCs/>
          <w:caps/>
          <w:highlight w:val="none"/>
        </w:rPr>
        <w:fldChar w:fldCharType="separate"/>
      </w:r>
      <w:r>
        <w:rPr>
          <w:rFonts w:hint="eastAsia" w:ascii="宋体" w:hAnsi="宋体"/>
          <w:highlight w:val="none"/>
        </w:rPr>
        <w:t>（</w:t>
      </w:r>
      <w:r>
        <w:rPr>
          <w:rFonts w:hint="eastAsia" w:ascii="宋体" w:hAnsi="宋体"/>
          <w:highlight w:val="none"/>
          <w:lang w:eastAsia="zh-CN"/>
        </w:rPr>
        <w:t>七</w:t>
      </w:r>
      <w:r>
        <w:rPr>
          <w:rFonts w:hint="eastAsia" w:ascii="宋体" w:hAnsi="宋体"/>
          <w:highlight w:val="none"/>
        </w:rPr>
        <w:t>）估价所依据的其他文件资料（无）</w:t>
      </w:r>
      <w:r>
        <w:tab/>
      </w:r>
      <w:r>
        <w:fldChar w:fldCharType="begin"/>
      </w:r>
      <w:r>
        <w:instrText xml:space="preserve"> PAGEREF _Toc673 \h </w:instrText>
      </w:r>
      <w:r>
        <w:fldChar w:fldCharType="separate"/>
      </w:r>
      <w:r>
        <w:t>18</w:t>
      </w:r>
      <w:r>
        <w:fldChar w:fldCharType="end"/>
      </w:r>
      <w:r>
        <w:rPr>
          <w:rFonts w:ascii="宋体" w:hAnsi="宋体"/>
          <w:bCs/>
          <w:caps/>
          <w:color w:val="auto"/>
          <w:highlight w:val="none"/>
        </w:rPr>
        <w:fldChar w:fldCharType="end"/>
      </w:r>
    </w:p>
    <w:p>
      <w:pPr>
        <w:pStyle w:val="60"/>
        <w:tabs>
          <w:tab w:val="right" w:leader="dot" w:pos="8900"/>
        </w:tabs>
      </w:pPr>
      <w:r>
        <w:rPr>
          <w:rFonts w:ascii="宋体" w:hAnsi="宋体"/>
          <w:bCs/>
          <w:caps/>
          <w:color w:val="auto"/>
          <w:highlight w:val="none"/>
        </w:rPr>
        <w:fldChar w:fldCharType="begin"/>
      </w:r>
      <w:r>
        <w:rPr>
          <w:rFonts w:ascii="宋体" w:hAnsi="宋体"/>
          <w:bCs/>
          <w:caps/>
          <w:highlight w:val="none"/>
        </w:rPr>
        <w:instrText xml:space="preserve"> HYPERLINK \l _Toc11277 </w:instrText>
      </w:r>
      <w:r>
        <w:rPr>
          <w:rFonts w:ascii="宋体" w:hAnsi="宋体"/>
          <w:bCs/>
          <w:caps/>
          <w:highlight w:val="none"/>
        </w:rPr>
        <w:fldChar w:fldCharType="separate"/>
      </w:r>
      <w:r>
        <w:rPr>
          <w:rFonts w:hint="eastAsia" w:ascii="宋体" w:hAnsi="宋体"/>
          <w:highlight w:val="none"/>
        </w:rPr>
        <w:t>（</w:t>
      </w:r>
      <w:r>
        <w:rPr>
          <w:rFonts w:hint="eastAsia" w:ascii="宋体" w:hAnsi="宋体"/>
          <w:highlight w:val="none"/>
          <w:lang w:eastAsia="zh-CN"/>
        </w:rPr>
        <w:t>八</w:t>
      </w:r>
      <w:r>
        <w:rPr>
          <w:rFonts w:hint="eastAsia" w:ascii="宋体" w:hAnsi="宋体"/>
          <w:highlight w:val="none"/>
        </w:rPr>
        <w:t>）房地产估价机构营业执照和估价资质证书复印件</w:t>
      </w:r>
      <w:r>
        <w:tab/>
      </w:r>
      <w:r>
        <w:fldChar w:fldCharType="begin"/>
      </w:r>
      <w:r>
        <w:instrText xml:space="preserve"> PAGEREF _Toc11277 \h </w:instrText>
      </w:r>
      <w:r>
        <w:fldChar w:fldCharType="separate"/>
      </w:r>
      <w:r>
        <w:t>18</w:t>
      </w:r>
      <w:r>
        <w:fldChar w:fldCharType="end"/>
      </w:r>
      <w:r>
        <w:rPr>
          <w:rFonts w:ascii="宋体" w:hAnsi="宋体"/>
          <w:bCs/>
          <w:caps/>
          <w:color w:val="auto"/>
          <w:highlight w:val="none"/>
        </w:rPr>
        <w:fldChar w:fldCharType="end"/>
      </w:r>
    </w:p>
    <w:p>
      <w:pPr>
        <w:pStyle w:val="60"/>
        <w:tabs>
          <w:tab w:val="right" w:leader="dot" w:pos="8900"/>
        </w:tabs>
      </w:pPr>
      <w:r>
        <w:rPr>
          <w:rFonts w:ascii="宋体" w:hAnsi="宋体"/>
          <w:bCs/>
          <w:caps/>
          <w:color w:val="auto"/>
          <w:highlight w:val="none"/>
        </w:rPr>
        <w:fldChar w:fldCharType="begin"/>
      </w:r>
      <w:r>
        <w:rPr>
          <w:rFonts w:ascii="宋体" w:hAnsi="宋体"/>
          <w:bCs/>
          <w:caps/>
          <w:highlight w:val="none"/>
        </w:rPr>
        <w:instrText xml:space="preserve"> HYPERLINK \l _Toc16733 </w:instrText>
      </w:r>
      <w:r>
        <w:rPr>
          <w:rFonts w:ascii="宋体" w:hAnsi="宋体"/>
          <w:bCs/>
          <w:caps/>
          <w:highlight w:val="none"/>
        </w:rPr>
        <w:fldChar w:fldCharType="separate"/>
      </w:r>
      <w:r>
        <w:rPr>
          <w:rFonts w:hint="eastAsia" w:ascii="宋体" w:hAnsi="宋体"/>
          <w:highlight w:val="none"/>
        </w:rPr>
        <w:t>（</w:t>
      </w:r>
      <w:r>
        <w:rPr>
          <w:rFonts w:hint="eastAsia" w:ascii="宋体" w:hAnsi="宋体"/>
          <w:highlight w:val="none"/>
          <w:lang w:eastAsia="zh-CN"/>
        </w:rPr>
        <w:t>九</w:t>
      </w:r>
      <w:r>
        <w:rPr>
          <w:rFonts w:hint="eastAsia" w:ascii="宋体" w:hAnsi="宋体"/>
          <w:highlight w:val="none"/>
        </w:rPr>
        <w:t>）注册房地产估价师估价资格证书复印件</w:t>
      </w:r>
      <w:r>
        <w:tab/>
      </w:r>
      <w:r>
        <w:fldChar w:fldCharType="begin"/>
      </w:r>
      <w:r>
        <w:instrText xml:space="preserve"> PAGEREF _Toc16733 \h </w:instrText>
      </w:r>
      <w:r>
        <w:fldChar w:fldCharType="separate"/>
      </w:r>
      <w:r>
        <w:t>18</w:t>
      </w:r>
      <w:r>
        <w:fldChar w:fldCharType="end"/>
      </w:r>
      <w:r>
        <w:rPr>
          <w:rFonts w:ascii="宋体" w:hAnsi="宋体"/>
          <w:bCs/>
          <w:caps/>
          <w:color w:val="auto"/>
          <w:highlight w:val="none"/>
        </w:rPr>
        <w:fldChar w:fldCharType="end"/>
      </w:r>
    </w:p>
    <w:p>
      <w:pPr>
        <w:pStyle w:val="2"/>
        <w:spacing w:before="360" w:after="360" w:line="240" w:lineRule="auto"/>
        <w:jc w:val="center"/>
        <w:rPr>
          <w:b w:val="0"/>
          <w:color w:val="auto"/>
          <w:sz w:val="36"/>
          <w:szCs w:val="36"/>
          <w:highlight w:val="none"/>
        </w:rPr>
        <w:sectPr>
          <w:footerReference r:id="rId5" w:type="default"/>
          <w:type w:val="continuous"/>
          <w:pgSz w:w="11906" w:h="16838"/>
          <w:pgMar w:top="1588" w:right="1418" w:bottom="1418" w:left="1588" w:header="777" w:footer="624" w:gutter="0"/>
          <w:pgBorders>
            <w:top w:val="none" w:sz="0" w:space="0"/>
            <w:left w:val="none" w:sz="0" w:space="0"/>
            <w:bottom w:val="none" w:sz="0" w:space="0"/>
            <w:right w:val="none" w:sz="0" w:space="0"/>
          </w:pgBorders>
          <w:pgNumType w:fmt="upperRoman"/>
          <w:cols w:space="720" w:num="1"/>
          <w:docGrid w:linePitch="312" w:charSpace="0"/>
        </w:sectPr>
      </w:pPr>
      <w:r>
        <w:rPr>
          <w:rFonts w:ascii="宋体" w:hAnsi="宋体"/>
          <w:bCs/>
          <w:caps/>
          <w:color w:val="auto"/>
          <w:highlight w:val="none"/>
        </w:rPr>
        <w:fldChar w:fldCharType="end"/>
      </w:r>
      <w:bookmarkEnd w:id="13"/>
      <w:bookmarkStart w:id="14" w:name="_Toc165264276"/>
      <w:bookmarkStart w:id="15" w:name="_Toc337642424"/>
      <w:bookmarkStart w:id="16" w:name="_Toc40186486"/>
    </w:p>
    <w:p>
      <w:pPr>
        <w:pStyle w:val="2"/>
        <w:spacing w:before="360" w:after="360" w:line="240" w:lineRule="auto"/>
        <w:jc w:val="center"/>
        <w:rPr>
          <w:rFonts w:hint="eastAsia" w:ascii="宋体" w:hAnsi="宋体"/>
          <w:bCs/>
          <w:color w:val="auto"/>
          <w:sz w:val="28"/>
          <w:szCs w:val="24"/>
          <w:highlight w:val="none"/>
        </w:rPr>
      </w:pPr>
      <w:bookmarkStart w:id="17" w:name="_Toc20103"/>
      <w:r>
        <w:rPr>
          <w:rFonts w:hint="eastAsia" w:ascii="宋体" w:hAnsi="宋体"/>
          <w:bCs/>
          <w:color w:val="auto"/>
          <w:sz w:val="28"/>
          <w:highlight w:val="none"/>
        </w:rPr>
        <w:t>一、估价师声明</w:t>
      </w:r>
      <w:bookmarkEnd w:id="14"/>
      <w:bookmarkEnd w:id="15"/>
      <w:bookmarkEnd w:id="16"/>
      <w:bookmarkEnd w:id="17"/>
    </w:p>
    <w:p>
      <w:pPr>
        <w:spacing w:line="520" w:lineRule="exact"/>
        <w:rPr>
          <w:rFonts w:hint="eastAsia" w:ascii="宋体" w:hAnsi="宋体"/>
          <w:b/>
          <w:color w:val="auto"/>
          <w:sz w:val="24"/>
          <w:highlight w:val="none"/>
        </w:rPr>
      </w:pPr>
      <w:bookmarkStart w:id="18" w:name="_Toc165264277"/>
      <w:bookmarkStart w:id="19" w:name="_Toc40186487"/>
      <w:r>
        <w:rPr>
          <w:rFonts w:hint="eastAsia" w:ascii="宋体" w:hAnsi="宋体"/>
          <w:b/>
          <w:color w:val="auto"/>
          <w:sz w:val="24"/>
          <w:highlight w:val="none"/>
        </w:rPr>
        <w:t>对本报告我们作如下郑重声明：</w:t>
      </w:r>
    </w:p>
    <w:bookmarkEnd w:id="18"/>
    <w:bookmarkEnd w:id="19"/>
    <w:p>
      <w:pPr>
        <w:spacing w:line="520" w:lineRule="exact"/>
        <w:ind w:firstLine="480" w:firstLineChars="200"/>
        <w:rPr>
          <w:rFonts w:hint="eastAsia" w:ascii="宋体" w:hAnsi="宋体"/>
          <w:color w:val="auto"/>
          <w:sz w:val="24"/>
          <w:highlight w:val="none"/>
        </w:rPr>
      </w:pPr>
      <w:bookmarkStart w:id="20" w:name="_Toc275164989"/>
      <w:bookmarkStart w:id="21" w:name="_Toc40186488"/>
      <w:bookmarkStart w:id="22" w:name="_Toc165264278"/>
      <w:bookmarkStart w:id="23" w:name="_Toc466876823"/>
      <w:bookmarkStart w:id="24" w:name="_Toc455994950"/>
      <w:r>
        <w:rPr>
          <w:rFonts w:hint="eastAsia" w:ascii="宋体" w:hAnsi="宋体"/>
          <w:color w:val="auto"/>
          <w:sz w:val="24"/>
          <w:highlight w:val="none"/>
        </w:rPr>
        <w:t>1.我们在估价报告中对</w:t>
      </w:r>
      <w:r>
        <w:rPr>
          <w:rFonts w:ascii="宋体" w:hAnsi="宋体"/>
          <w:color w:val="auto"/>
          <w:sz w:val="24"/>
          <w:highlight w:val="none"/>
        </w:rPr>
        <w:t>事实的说明是</w:t>
      </w:r>
      <w:r>
        <w:rPr>
          <w:rFonts w:hint="eastAsia" w:ascii="宋体" w:hAnsi="宋体"/>
          <w:color w:val="auto"/>
          <w:sz w:val="24"/>
          <w:highlight w:val="none"/>
        </w:rPr>
        <w:t>真实和准确的，</w:t>
      </w:r>
      <w:r>
        <w:rPr>
          <w:rFonts w:ascii="宋体" w:hAnsi="宋体"/>
          <w:color w:val="auto"/>
          <w:sz w:val="24"/>
          <w:highlight w:val="none"/>
        </w:rPr>
        <w:t>没有虚假记载、误导性陈述及重大</w:t>
      </w:r>
      <w:r>
        <w:rPr>
          <w:rFonts w:hint="eastAsia" w:ascii="宋体" w:hAnsi="宋体"/>
          <w:color w:val="auto"/>
          <w:sz w:val="24"/>
          <w:highlight w:val="none"/>
        </w:rPr>
        <w:t>遗</w:t>
      </w:r>
      <w:r>
        <w:rPr>
          <w:rFonts w:ascii="宋体" w:hAnsi="宋体"/>
          <w:color w:val="auto"/>
          <w:sz w:val="24"/>
          <w:highlight w:val="none"/>
        </w:rPr>
        <w:t>漏</w:t>
      </w:r>
      <w:r>
        <w:rPr>
          <w:rFonts w:hint="eastAsia" w:ascii="宋体" w:hAnsi="宋体"/>
          <w:color w:val="auto"/>
          <w:sz w:val="24"/>
          <w:highlight w:val="none"/>
        </w:rPr>
        <w:t>；</w:t>
      </w:r>
    </w:p>
    <w:p>
      <w:pPr>
        <w:spacing w:line="520" w:lineRule="exact"/>
        <w:ind w:firstLine="480" w:firstLineChars="200"/>
        <w:rPr>
          <w:rFonts w:hint="eastAsia" w:ascii="宋体" w:hAnsi="宋体"/>
          <w:color w:val="auto"/>
          <w:sz w:val="24"/>
          <w:highlight w:val="none"/>
        </w:rPr>
      </w:pPr>
      <w:r>
        <w:rPr>
          <w:rFonts w:hint="eastAsia" w:ascii="宋体" w:hAnsi="宋体"/>
          <w:color w:val="auto"/>
          <w:sz w:val="24"/>
          <w:highlight w:val="none"/>
        </w:rPr>
        <w:t>2.估价报告中的分析、意见和结论，是我们独立、客观、公正的专业分析、意见和结论，但受到估价报告中已说明的假设和限制条件的限制；</w:t>
      </w:r>
    </w:p>
    <w:p>
      <w:pPr>
        <w:spacing w:line="520" w:lineRule="exact"/>
        <w:ind w:firstLine="480" w:firstLineChars="200"/>
        <w:rPr>
          <w:rFonts w:hint="eastAsia" w:ascii="宋体" w:hAnsi="宋体"/>
          <w:color w:val="auto"/>
          <w:sz w:val="24"/>
          <w:highlight w:val="none"/>
        </w:rPr>
      </w:pPr>
      <w:r>
        <w:rPr>
          <w:rFonts w:hint="eastAsia" w:ascii="宋体" w:hAnsi="宋体"/>
          <w:color w:val="auto"/>
          <w:sz w:val="24"/>
          <w:highlight w:val="none"/>
        </w:rPr>
        <w:t>3.我们与本估价报告中的估价对象没有现</w:t>
      </w:r>
      <w:r>
        <w:rPr>
          <w:rFonts w:ascii="宋体" w:hAnsi="宋体"/>
          <w:color w:val="auto"/>
          <w:sz w:val="24"/>
          <w:highlight w:val="none"/>
        </w:rPr>
        <w:t>实或潜在的利益，与估价委托人及估价利害关系人没有</w:t>
      </w:r>
      <w:r>
        <w:rPr>
          <w:rFonts w:hint="eastAsia" w:ascii="宋体" w:hAnsi="宋体"/>
          <w:color w:val="auto"/>
          <w:sz w:val="24"/>
          <w:highlight w:val="none"/>
        </w:rPr>
        <w:t>利害关系，也对</w:t>
      </w:r>
      <w:r>
        <w:rPr>
          <w:rFonts w:ascii="宋体" w:hAnsi="宋体"/>
          <w:color w:val="auto"/>
          <w:sz w:val="24"/>
          <w:highlight w:val="none"/>
        </w:rPr>
        <w:t>估价对象、估价委托人及估价</w:t>
      </w:r>
      <w:r>
        <w:rPr>
          <w:rFonts w:hint="eastAsia" w:ascii="宋体" w:hAnsi="宋体"/>
          <w:color w:val="auto"/>
          <w:sz w:val="24"/>
          <w:highlight w:val="none"/>
        </w:rPr>
        <w:t>利害关系人</w:t>
      </w:r>
      <w:r>
        <w:rPr>
          <w:rFonts w:ascii="宋体" w:hAnsi="宋体"/>
          <w:color w:val="auto"/>
          <w:sz w:val="24"/>
          <w:highlight w:val="none"/>
        </w:rPr>
        <w:t>没有</w:t>
      </w:r>
      <w:r>
        <w:rPr>
          <w:rFonts w:hint="eastAsia" w:ascii="宋体" w:hAnsi="宋体"/>
          <w:color w:val="auto"/>
          <w:sz w:val="24"/>
          <w:highlight w:val="none"/>
        </w:rPr>
        <w:t>偏见；</w:t>
      </w:r>
    </w:p>
    <w:p>
      <w:pPr>
        <w:spacing w:line="520" w:lineRule="exact"/>
        <w:ind w:firstLine="480" w:firstLineChars="200"/>
        <w:rPr>
          <w:rFonts w:hint="eastAsia" w:ascii="宋体" w:hAnsi="宋体"/>
          <w:color w:val="auto"/>
          <w:sz w:val="24"/>
          <w:highlight w:val="none"/>
        </w:rPr>
      </w:pPr>
      <w:r>
        <w:rPr>
          <w:rFonts w:hint="eastAsia" w:ascii="宋体" w:hAnsi="宋体"/>
          <w:color w:val="auto"/>
          <w:sz w:val="24"/>
          <w:highlight w:val="none"/>
        </w:rPr>
        <w:t>4.我们是</w:t>
      </w:r>
      <w:r>
        <w:rPr>
          <w:rFonts w:ascii="宋体" w:hAnsi="宋体"/>
          <w:color w:val="auto"/>
          <w:sz w:val="24"/>
          <w:highlight w:val="none"/>
        </w:rPr>
        <w:t>按</w:t>
      </w:r>
      <w:r>
        <w:rPr>
          <w:rFonts w:hint="eastAsia" w:ascii="宋体" w:hAnsi="宋体"/>
          <w:color w:val="auto"/>
          <w:sz w:val="24"/>
          <w:highlight w:val="none"/>
        </w:rPr>
        <w:t>照有关房地产估价标</w:t>
      </w:r>
      <w:r>
        <w:rPr>
          <w:rFonts w:ascii="宋体" w:hAnsi="宋体"/>
          <w:color w:val="auto"/>
          <w:sz w:val="24"/>
          <w:highlight w:val="none"/>
        </w:rPr>
        <w:t>准的规定进行估价工作，</w:t>
      </w:r>
      <w:r>
        <w:rPr>
          <w:rFonts w:hint="eastAsia" w:ascii="宋体" w:hAnsi="宋体"/>
          <w:color w:val="auto"/>
          <w:sz w:val="24"/>
          <w:highlight w:val="none"/>
        </w:rPr>
        <w:t>撰</w:t>
      </w:r>
      <w:r>
        <w:rPr>
          <w:rFonts w:ascii="宋体" w:hAnsi="宋体"/>
          <w:color w:val="auto"/>
          <w:sz w:val="24"/>
          <w:highlight w:val="none"/>
        </w:rPr>
        <w:t>写估价报告；</w:t>
      </w:r>
    </w:p>
    <w:p>
      <w:pPr>
        <w:spacing w:line="520" w:lineRule="exact"/>
        <w:ind w:firstLine="480" w:firstLineChars="200"/>
        <w:rPr>
          <w:rFonts w:hint="eastAsia" w:ascii="宋体" w:hAnsi="宋体"/>
          <w:color w:val="auto"/>
          <w:sz w:val="24"/>
          <w:highlight w:val="none"/>
        </w:rPr>
      </w:pPr>
      <w:r>
        <w:rPr>
          <w:rFonts w:hint="eastAsia" w:ascii="宋体" w:hAnsi="宋体"/>
          <w:color w:val="auto"/>
          <w:sz w:val="24"/>
          <w:highlight w:val="none"/>
        </w:rPr>
        <w:t>5.本估价报告中对估价对象权属状况的披露不能作为对其权属确认的依据，估价对象权属界定以有权管理部门的认定为准；</w:t>
      </w:r>
      <w:r>
        <w:rPr>
          <w:rFonts w:hint="eastAsia"/>
          <w:snapToGrid w:val="0"/>
          <w:color w:val="auto"/>
          <w:kern w:val="0"/>
          <w:sz w:val="24"/>
          <w:szCs w:val="24"/>
          <w:highlight w:val="none"/>
        </w:rPr>
        <w:t>本报告中，除使用政府部门、行业公布的价格资料和公开市场的价格信息外，主要依据估价委托人提供的相关材料，包括但不限于其提供的权属证件等复印件，我们未得到授权也无法定资格核查审验估价委托人提供的资料之真伪，估价委托人应对其提供的全部资料的真实性、合法性、完整性及其可能引起的后果负责</w:t>
      </w:r>
      <w:r>
        <w:rPr>
          <w:rFonts w:hint="eastAsia" w:ascii="宋体" w:hAnsi="宋体"/>
          <w:color w:val="auto"/>
          <w:sz w:val="24"/>
          <w:highlight w:val="none"/>
        </w:rPr>
        <w:t>；</w:t>
      </w:r>
    </w:p>
    <w:p>
      <w:pPr>
        <w:spacing w:line="520" w:lineRule="exact"/>
        <w:ind w:firstLine="480" w:firstLineChars="200"/>
        <w:rPr>
          <w:rFonts w:hint="eastAsia" w:ascii="宋体" w:hAnsi="宋体"/>
          <w:color w:val="auto"/>
          <w:sz w:val="24"/>
          <w:highlight w:val="none"/>
        </w:rPr>
      </w:pPr>
      <w:r>
        <w:rPr>
          <w:rFonts w:hint="eastAsia" w:ascii="宋体" w:hAnsi="宋体"/>
          <w:color w:val="auto"/>
          <w:sz w:val="24"/>
          <w:highlight w:val="none"/>
        </w:rPr>
        <w:t>6.没有人对本估价报告提供了重要专业支持或帮助；</w:t>
      </w:r>
    </w:p>
    <w:p>
      <w:pPr>
        <w:spacing w:line="520" w:lineRule="exact"/>
        <w:ind w:firstLine="480" w:firstLineChars="200"/>
        <w:rPr>
          <w:rFonts w:hint="eastAsia" w:ascii="宋体" w:hAnsi="宋体"/>
          <w:color w:val="auto"/>
          <w:sz w:val="24"/>
          <w:highlight w:val="none"/>
        </w:rPr>
      </w:pPr>
      <w:r>
        <w:rPr>
          <w:rFonts w:hint="eastAsia" w:ascii="宋体" w:hAnsi="宋体"/>
          <w:color w:val="auto"/>
          <w:sz w:val="24"/>
          <w:highlight w:val="none"/>
        </w:rPr>
        <w:t>7.我们将保密相关当事人的商业秘密和隐私；</w:t>
      </w:r>
    </w:p>
    <w:p>
      <w:pPr>
        <w:spacing w:line="520" w:lineRule="exact"/>
        <w:ind w:firstLine="480" w:firstLineChars="200"/>
        <w:rPr>
          <w:rFonts w:hint="eastAsia" w:ascii="宋体" w:hAnsi="宋体"/>
          <w:color w:val="auto"/>
          <w:sz w:val="24"/>
          <w:highlight w:val="none"/>
        </w:rPr>
      </w:pPr>
      <w:r>
        <w:rPr>
          <w:rFonts w:hint="eastAsia" w:ascii="宋体" w:hAnsi="宋体"/>
          <w:color w:val="auto"/>
          <w:sz w:val="24"/>
          <w:highlight w:val="none"/>
        </w:rPr>
        <w:t>8.估价是估价人员模拟市场形成价格的机制和过程，将估价对象客观价格或价值揭示出来，本估价结果不应被认为是对估价对象成交价格的决策，我们并不承担决策责任。</w:t>
      </w:r>
    </w:p>
    <w:p>
      <w:pPr>
        <w:pStyle w:val="2"/>
        <w:spacing w:before="120" w:beforeLines="50" w:after="120" w:afterLines="50" w:line="360" w:lineRule="auto"/>
        <w:jc w:val="center"/>
        <w:rPr>
          <w:rFonts w:hint="eastAsia" w:ascii="宋体" w:hAnsi="宋体" w:eastAsia="宋体"/>
          <w:bCs/>
          <w:color w:val="auto"/>
          <w:sz w:val="28"/>
          <w:szCs w:val="28"/>
          <w:highlight w:val="none"/>
          <w:lang w:eastAsia="zh-CN"/>
        </w:rPr>
      </w:pPr>
      <w:r>
        <w:rPr>
          <w:color w:val="auto"/>
          <w:highlight w:val="none"/>
        </w:rPr>
        <w:br w:type="page"/>
      </w:r>
      <w:bookmarkStart w:id="25" w:name="_Toc337642425"/>
      <w:bookmarkStart w:id="26" w:name="_Toc961"/>
      <w:r>
        <w:rPr>
          <w:rFonts w:hint="eastAsia" w:ascii="宋体" w:hAnsi="宋体"/>
          <w:bCs/>
          <w:color w:val="auto"/>
          <w:sz w:val="28"/>
          <w:highlight w:val="none"/>
        </w:rPr>
        <w:t>二、</w:t>
      </w:r>
      <w:bookmarkEnd w:id="20"/>
      <w:bookmarkEnd w:id="25"/>
      <w:r>
        <w:rPr>
          <w:rFonts w:hint="eastAsia" w:ascii="宋体" w:hAnsi="宋体"/>
          <w:bCs/>
          <w:color w:val="auto"/>
          <w:sz w:val="28"/>
          <w:highlight w:val="none"/>
          <w:lang w:eastAsia="zh-CN"/>
        </w:rPr>
        <w:t>估价假设和限制条件</w:t>
      </w:r>
      <w:bookmarkEnd w:id="26"/>
    </w:p>
    <w:p>
      <w:pPr>
        <w:pStyle w:val="119"/>
        <w:spacing w:line="500" w:lineRule="exact"/>
        <w:outlineLvl w:val="2"/>
        <w:rPr>
          <w:rFonts w:hint="eastAsia" w:ascii="宋体" w:hAnsi="宋体"/>
          <w:color w:val="auto"/>
          <w:sz w:val="24"/>
          <w:szCs w:val="24"/>
          <w:highlight w:val="none"/>
        </w:rPr>
      </w:pPr>
      <w:r>
        <w:rPr>
          <w:rFonts w:hint="eastAsia" w:ascii="宋体" w:hAnsi="宋体"/>
          <w:color w:val="auto"/>
          <w:sz w:val="24"/>
          <w:szCs w:val="24"/>
          <w:highlight w:val="none"/>
        </w:rPr>
        <w:t>（一）估价的假设前提</w:t>
      </w:r>
    </w:p>
    <w:p>
      <w:pPr>
        <w:spacing w:line="500" w:lineRule="exact"/>
        <w:ind w:firstLine="482" w:firstLineChars="200"/>
        <w:outlineLvl w:val="3"/>
        <w:rPr>
          <w:rFonts w:hint="eastAsia" w:ascii="宋体" w:hAnsi="宋体"/>
          <w:b/>
          <w:bCs/>
          <w:color w:val="auto"/>
          <w:sz w:val="24"/>
          <w:highlight w:val="none"/>
        </w:rPr>
      </w:pPr>
      <w:r>
        <w:rPr>
          <w:rFonts w:hint="eastAsia" w:ascii="宋体" w:hAnsi="宋体"/>
          <w:b/>
          <w:bCs/>
          <w:color w:val="auto"/>
          <w:sz w:val="24"/>
          <w:highlight w:val="none"/>
        </w:rPr>
        <w:t>1．一般假设</w:t>
      </w:r>
    </w:p>
    <w:p>
      <w:pPr>
        <w:pStyle w:val="39"/>
        <w:keepNext w:val="0"/>
        <w:keepLines w:val="0"/>
        <w:pageBreakBefore w:val="0"/>
        <w:widowControl w:val="0"/>
        <w:kinsoku/>
        <w:wordWrap/>
        <w:overflowPunct/>
        <w:topLinePunct/>
        <w:autoSpaceDE/>
        <w:autoSpaceDN/>
        <w:bidi w:val="0"/>
        <w:adjustRightInd w:val="0"/>
        <w:snapToGrid w:val="0"/>
        <w:spacing w:line="360" w:lineRule="auto"/>
        <w:ind w:firstLine="480" w:firstLineChars="200"/>
        <w:rPr>
          <w:rFonts w:hAnsi="宋体"/>
          <w:snapToGrid w:val="0"/>
          <w:color w:val="000000"/>
          <w:sz w:val="24"/>
          <w:szCs w:val="24"/>
        </w:rPr>
      </w:pPr>
      <w:r>
        <w:rPr>
          <w:rFonts w:hint="eastAsia" w:ascii="宋体" w:hAnsi="宋体"/>
          <w:color w:val="auto"/>
          <w:sz w:val="24"/>
          <w:highlight w:val="none"/>
        </w:rPr>
        <w:t>（1）</w:t>
      </w:r>
      <w:r>
        <w:rPr>
          <w:rFonts w:hint="eastAsia" w:hAnsi="宋体"/>
          <w:snapToGrid w:val="0"/>
          <w:color w:val="000000"/>
          <w:sz w:val="24"/>
          <w:szCs w:val="24"/>
        </w:rPr>
        <w:t xml:space="preserve">估价对象在价值时点的房地产市场为公开、平等、自愿的交易市场，即能满足以下条件： </w:t>
      </w:r>
    </w:p>
    <w:p>
      <w:pPr>
        <w:keepNext w:val="0"/>
        <w:keepLines w:val="0"/>
        <w:pageBreakBefore w:val="0"/>
        <w:widowControl w:val="0"/>
        <w:kinsoku/>
        <w:wordWrap/>
        <w:overflowPunct/>
        <w:topLinePunct/>
        <w:autoSpaceDE/>
        <w:autoSpaceDN/>
        <w:bidi w:val="0"/>
        <w:adjustRightInd w:val="0"/>
        <w:snapToGrid w:val="0"/>
        <w:spacing w:line="360" w:lineRule="auto"/>
        <w:ind w:firstLine="480" w:firstLineChars="200"/>
        <w:rPr>
          <w:rFonts w:ascii="宋体" w:hAnsi="宋体"/>
          <w:snapToGrid w:val="0"/>
          <w:color w:val="000000"/>
          <w:kern w:val="0"/>
          <w:sz w:val="24"/>
          <w:szCs w:val="24"/>
        </w:rPr>
      </w:pPr>
      <w:r>
        <w:rPr>
          <w:rFonts w:hint="eastAsia" w:ascii="宋体" w:hAnsi="宋体"/>
          <w:snapToGrid w:val="0"/>
          <w:color w:val="000000"/>
          <w:kern w:val="0"/>
          <w:sz w:val="24"/>
          <w:szCs w:val="24"/>
        </w:rPr>
        <w:t>①</w:t>
      </w:r>
      <w:r>
        <w:rPr>
          <w:rFonts w:ascii="宋体" w:hAnsi="宋体"/>
          <w:snapToGrid w:val="0"/>
          <w:color w:val="000000"/>
          <w:kern w:val="0"/>
          <w:sz w:val="24"/>
          <w:szCs w:val="24"/>
        </w:rPr>
        <w:t>交易双方自愿地进行交易；</w:t>
      </w:r>
    </w:p>
    <w:p>
      <w:pPr>
        <w:keepNext w:val="0"/>
        <w:keepLines w:val="0"/>
        <w:pageBreakBefore w:val="0"/>
        <w:widowControl w:val="0"/>
        <w:kinsoku/>
        <w:wordWrap/>
        <w:overflowPunct/>
        <w:topLinePunct/>
        <w:autoSpaceDE/>
        <w:autoSpaceDN/>
        <w:bidi w:val="0"/>
        <w:adjustRightInd w:val="0"/>
        <w:snapToGrid w:val="0"/>
        <w:spacing w:line="360" w:lineRule="auto"/>
        <w:ind w:firstLine="480" w:firstLineChars="200"/>
        <w:rPr>
          <w:rFonts w:ascii="宋体" w:hAnsi="宋体"/>
          <w:snapToGrid w:val="0"/>
          <w:color w:val="000000"/>
          <w:kern w:val="0"/>
          <w:sz w:val="24"/>
          <w:szCs w:val="24"/>
        </w:rPr>
      </w:pPr>
      <w:r>
        <w:rPr>
          <w:rFonts w:hint="eastAsia" w:ascii="宋体" w:hAnsi="宋体"/>
          <w:snapToGrid w:val="0"/>
          <w:color w:val="000000"/>
          <w:kern w:val="0"/>
          <w:sz w:val="24"/>
          <w:szCs w:val="24"/>
        </w:rPr>
        <w:t>②</w:t>
      </w:r>
      <w:r>
        <w:rPr>
          <w:rFonts w:ascii="宋体" w:hAnsi="宋体"/>
          <w:snapToGrid w:val="0"/>
          <w:color w:val="000000"/>
          <w:kern w:val="0"/>
          <w:sz w:val="24"/>
          <w:szCs w:val="24"/>
        </w:rPr>
        <w:t>交易双方处于利己动机进行交易；</w:t>
      </w:r>
    </w:p>
    <w:p>
      <w:pPr>
        <w:keepNext w:val="0"/>
        <w:keepLines w:val="0"/>
        <w:pageBreakBefore w:val="0"/>
        <w:widowControl w:val="0"/>
        <w:kinsoku/>
        <w:wordWrap/>
        <w:overflowPunct/>
        <w:topLinePunct/>
        <w:autoSpaceDE/>
        <w:autoSpaceDN/>
        <w:bidi w:val="0"/>
        <w:adjustRightInd w:val="0"/>
        <w:snapToGrid w:val="0"/>
        <w:spacing w:line="360" w:lineRule="auto"/>
        <w:ind w:firstLine="480" w:firstLineChars="200"/>
        <w:rPr>
          <w:rFonts w:ascii="宋体" w:hAnsi="宋体"/>
          <w:snapToGrid w:val="0"/>
          <w:color w:val="000000"/>
          <w:kern w:val="0"/>
          <w:sz w:val="24"/>
          <w:szCs w:val="24"/>
        </w:rPr>
      </w:pPr>
      <w:r>
        <w:rPr>
          <w:rFonts w:hint="eastAsia" w:ascii="宋体" w:hAnsi="宋体"/>
          <w:snapToGrid w:val="0"/>
          <w:color w:val="000000"/>
          <w:kern w:val="0"/>
          <w:sz w:val="24"/>
          <w:szCs w:val="24"/>
        </w:rPr>
        <w:t>③</w:t>
      </w:r>
      <w:r>
        <w:rPr>
          <w:rFonts w:ascii="宋体" w:hAnsi="宋体"/>
          <w:snapToGrid w:val="0"/>
          <w:color w:val="000000"/>
          <w:kern w:val="0"/>
          <w:sz w:val="24"/>
          <w:szCs w:val="24"/>
        </w:rPr>
        <w:t>交易双方精明、谨慎行事，并了解交易对象、知晓市场行情；</w:t>
      </w:r>
    </w:p>
    <w:p>
      <w:pPr>
        <w:keepNext w:val="0"/>
        <w:keepLines w:val="0"/>
        <w:pageBreakBefore w:val="0"/>
        <w:widowControl w:val="0"/>
        <w:kinsoku/>
        <w:wordWrap/>
        <w:overflowPunct/>
        <w:topLinePunct/>
        <w:autoSpaceDE/>
        <w:autoSpaceDN/>
        <w:bidi w:val="0"/>
        <w:adjustRightInd w:val="0"/>
        <w:snapToGrid w:val="0"/>
        <w:spacing w:line="360" w:lineRule="auto"/>
        <w:ind w:firstLine="480" w:firstLineChars="200"/>
        <w:rPr>
          <w:rFonts w:ascii="宋体" w:hAnsi="宋体"/>
          <w:snapToGrid w:val="0"/>
          <w:color w:val="000000"/>
          <w:kern w:val="0"/>
          <w:sz w:val="24"/>
          <w:szCs w:val="24"/>
        </w:rPr>
      </w:pPr>
      <w:r>
        <w:rPr>
          <w:rFonts w:hint="eastAsia" w:ascii="宋体" w:hAnsi="宋体"/>
          <w:snapToGrid w:val="0"/>
          <w:color w:val="000000"/>
          <w:kern w:val="0"/>
          <w:sz w:val="24"/>
          <w:szCs w:val="24"/>
        </w:rPr>
        <w:t>④</w:t>
      </w:r>
      <w:r>
        <w:rPr>
          <w:rFonts w:ascii="宋体" w:hAnsi="宋体"/>
          <w:snapToGrid w:val="0"/>
          <w:color w:val="000000"/>
          <w:kern w:val="0"/>
          <w:sz w:val="24"/>
          <w:szCs w:val="24"/>
        </w:rPr>
        <w:t>交易双方有较充裕的时间进行交易；</w:t>
      </w:r>
    </w:p>
    <w:p>
      <w:pPr>
        <w:keepNext w:val="0"/>
        <w:keepLines w:val="0"/>
        <w:pageBreakBefore w:val="0"/>
        <w:widowControl w:val="0"/>
        <w:kinsoku/>
        <w:wordWrap/>
        <w:overflowPunct/>
        <w:topLinePunct/>
        <w:autoSpaceDE/>
        <w:autoSpaceDN/>
        <w:bidi w:val="0"/>
        <w:adjustRightInd w:val="0"/>
        <w:snapToGrid w:val="0"/>
        <w:spacing w:line="360" w:lineRule="auto"/>
        <w:ind w:firstLine="480" w:firstLineChars="200"/>
        <w:rPr>
          <w:rFonts w:hint="eastAsia" w:ascii="宋体" w:hAnsi="宋体"/>
          <w:color w:val="auto"/>
          <w:sz w:val="24"/>
          <w:highlight w:val="none"/>
        </w:rPr>
      </w:pPr>
      <w:r>
        <w:rPr>
          <w:rFonts w:hint="eastAsia" w:ascii="宋体" w:hAnsi="宋体"/>
          <w:snapToGrid w:val="0"/>
          <w:color w:val="000000"/>
          <w:kern w:val="0"/>
          <w:sz w:val="24"/>
          <w:szCs w:val="24"/>
        </w:rPr>
        <w:t>⑤</w:t>
      </w:r>
      <w:r>
        <w:rPr>
          <w:rFonts w:ascii="宋体" w:hAnsi="宋体"/>
          <w:snapToGrid w:val="0"/>
          <w:color w:val="000000"/>
          <w:kern w:val="0"/>
          <w:sz w:val="24"/>
          <w:szCs w:val="24"/>
        </w:rPr>
        <w:t>不存在买者因特殊兴趣而给予附加出价</w:t>
      </w:r>
      <w:r>
        <w:rPr>
          <w:rFonts w:hint="eastAsia" w:ascii="宋体" w:hAnsi="宋体"/>
          <w:snapToGrid w:val="0"/>
          <w:color w:val="000000"/>
          <w:kern w:val="0"/>
          <w:sz w:val="24"/>
          <w:szCs w:val="24"/>
        </w:rPr>
        <w:t>。</w:t>
      </w:r>
    </w:p>
    <w:p>
      <w:pPr>
        <w:keepNext w:val="0"/>
        <w:keepLines w:val="0"/>
        <w:pageBreakBefore w:val="0"/>
        <w:widowControl w:val="0"/>
        <w:kinsoku/>
        <w:wordWrap/>
        <w:overflowPunct/>
        <w:autoSpaceDE/>
        <w:autoSpaceDN/>
        <w:bidi w:val="0"/>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（2）本次估价中，对估价对象产权的界定</w:t>
      </w:r>
      <w:r>
        <w:rPr>
          <w:rFonts w:hint="eastAsia" w:ascii="宋体" w:hAnsi="宋体"/>
          <w:color w:val="auto"/>
          <w:sz w:val="24"/>
          <w:highlight w:val="none"/>
          <w:lang w:val="en-US" w:eastAsia="zh-CN"/>
        </w:rPr>
        <w:t>根据《广东省南澳县人民法院评估委托书》[(2022)汕澳法技鉴字第12号]、《房地产权证》及其他相关资料</w:t>
      </w:r>
      <w:r>
        <w:rPr>
          <w:rFonts w:hint="eastAsia" w:ascii="宋体" w:hAnsi="宋体"/>
          <w:color w:val="auto"/>
          <w:sz w:val="24"/>
          <w:highlight w:val="none"/>
        </w:rPr>
        <w:t>的复印件为依据；本次评估以上述权属资料的真实、合法、有效为前提，估价方不承担因上述权属资料失实造成的任何法律责任。</w:t>
      </w:r>
    </w:p>
    <w:p>
      <w:pPr>
        <w:keepNext w:val="0"/>
        <w:keepLines w:val="0"/>
        <w:pageBreakBefore w:val="0"/>
        <w:widowControl w:val="0"/>
        <w:kinsoku/>
        <w:wordWrap/>
        <w:overflowPunct/>
        <w:autoSpaceDE/>
        <w:autoSpaceDN/>
        <w:bidi w:val="0"/>
        <w:spacing w:line="360" w:lineRule="auto"/>
        <w:ind w:firstLine="480" w:firstLineChars="200"/>
        <w:rPr>
          <w:rFonts w:hint="eastAsia" w:ascii="宋体" w:hAnsi="宋体"/>
          <w:color w:val="auto"/>
          <w:sz w:val="24"/>
          <w:highlight w:val="none"/>
          <w:lang w:eastAsia="zh-CN"/>
        </w:rPr>
      </w:pPr>
      <w:r>
        <w:rPr>
          <w:rFonts w:hint="eastAsia" w:ascii="宋体" w:hAnsi="宋体"/>
          <w:color w:val="auto"/>
          <w:sz w:val="24"/>
          <w:highlight w:val="none"/>
        </w:rPr>
        <w:t>（3）注册房地产估价师已对房屋安全、环境污染等影响估价对象价值的重大因素给予了关注，在无理由怀疑估价对象存在安全隐患且无相应的专业机构进行鉴定、检测的情况下，假定估价对象能正常安全使用</w:t>
      </w:r>
      <w:r>
        <w:rPr>
          <w:rFonts w:hint="eastAsia" w:ascii="宋体" w:hAnsi="宋体"/>
          <w:color w:val="auto"/>
          <w:sz w:val="24"/>
          <w:highlight w:val="none"/>
          <w:lang w:eastAsia="zh-CN"/>
        </w:rPr>
        <w:t>。</w:t>
      </w:r>
    </w:p>
    <w:p>
      <w:pPr>
        <w:keepNext w:val="0"/>
        <w:keepLines w:val="0"/>
        <w:pageBreakBefore w:val="0"/>
        <w:widowControl w:val="0"/>
        <w:kinsoku/>
        <w:wordWrap/>
        <w:overflowPunct/>
        <w:autoSpaceDE/>
        <w:autoSpaceDN/>
        <w:bidi w:val="0"/>
        <w:spacing w:line="360" w:lineRule="auto"/>
        <w:ind w:firstLine="480" w:firstLineChars="200"/>
        <w:rPr>
          <w:rFonts w:hint="eastAsia" w:ascii="宋体" w:hAnsi="宋体"/>
          <w:color w:val="auto"/>
          <w:sz w:val="24"/>
          <w:highlight w:val="none"/>
          <w:lang w:eastAsia="zh-CN"/>
        </w:rPr>
      </w:pPr>
      <w:r>
        <w:rPr>
          <w:rFonts w:hint="eastAsia" w:ascii="宋体" w:hAnsi="宋体"/>
          <w:color w:val="auto"/>
          <w:sz w:val="24"/>
          <w:highlight w:val="none"/>
          <w:lang w:eastAsia="zh-CN"/>
        </w:rPr>
        <w:t>（4）估价对象</w:t>
      </w:r>
      <w:r>
        <w:rPr>
          <w:rFonts w:hint="eastAsia" w:ascii="宋体" w:hAnsi="宋体"/>
          <w:color w:val="auto"/>
          <w:sz w:val="24"/>
          <w:highlight w:val="none"/>
          <w:lang w:val="en-US" w:eastAsia="zh-CN"/>
        </w:rPr>
        <w:t>现状均</w:t>
      </w:r>
      <w:r>
        <w:rPr>
          <w:rFonts w:hint="eastAsia" w:ascii="宋体" w:hAnsi="宋体"/>
          <w:color w:val="auto"/>
          <w:sz w:val="24"/>
          <w:highlight w:val="none"/>
          <w:lang w:eastAsia="zh-CN"/>
        </w:rPr>
        <w:t>为</w:t>
      </w:r>
      <w:r>
        <w:rPr>
          <w:rFonts w:hint="eastAsia" w:ascii="宋体" w:hAnsi="宋体"/>
          <w:color w:val="auto"/>
          <w:sz w:val="24"/>
          <w:highlight w:val="none"/>
          <w:lang w:val="en-US" w:eastAsia="zh-CN"/>
        </w:rPr>
        <w:t>住宅</w:t>
      </w:r>
      <w:r>
        <w:rPr>
          <w:rFonts w:hint="eastAsia" w:ascii="宋体" w:hAnsi="宋体"/>
          <w:color w:val="auto"/>
          <w:sz w:val="24"/>
          <w:highlight w:val="none"/>
          <w:lang w:eastAsia="zh-CN"/>
        </w:rPr>
        <w:t>房地产，本次估价结果假设以估价对象正常使用为估价前提。</w:t>
      </w:r>
    </w:p>
    <w:p>
      <w:pPr>
        <w:keepNext w:val="0"/>
        <w:keepLines w:val="0"/>
        <w:pageBreakBefore w:val="0"/>
        <w:widowControl w:val="0"/>
        <w:kinsoku/>
        <w:wordWrap/>
        <w:overflowPunct/>
        <w:autoSpaceDE/>
        <w:autoSpaceDN/>
        <w:bidi w:val="0"/>
        <w:spacing w:line="360" w:lineRule="auto"/>
        <w:ind w:firstLine="480" w:firstLineChars="200"/>
        <w:rPr>
          <w:rFonts w:hint="eastAsia" w:ascii="宋体" w:hAnsi="宋体"/>
          <w:color w:val="auto"/>
          <w:sz w:val="24"/>
          <w:highlight w:val="none"/>
          <w:lang w:eastAsia="zh-CN"/>
        </w:rPr>
      </w:pPr>
      <w:r>
        <w:rPr>
          <w:rFonts w:hint="eastAsia" w:ascii="宋体" w:hAnsi="宋体"/>
          <w:color w:val="auto"/>
          <w:sz w:val="24"/>
          <w:highlight w:val="none"/>
          <w:lang w:eastAsia="zh-CN"/>
        </w:rPr>
        <w:t>（5）估价对象应享有公共部位的通行权及水、电等共用设施的使用权。</w:t>
      </w:r>
    </w:p>
    <w:p>
      <w:pPr>
        <w:pStyle w:val="39"/>
        <w:keepNext w:val="0"/>
        <w:keepLines w:val="0"/>
        <w:pageBreakBefore w:val="0"/>
        <w:widowControl w:val="0"/>
        <w:kinsoku/>
        <w:wordWrap/>
        <w:overflowPunct/>
        <w:topLinePunct/>
        <w:autoSpaceDE/>
        <w:autoSpaceDN/>
        <w:bidi w:val="0"/>
        <w:adjustRightInd w:val="0"/>
        <w:snapToGrid w:val="0"/>
        <w:spacing w:line="360" w:lineRule="auto"/>
        <w:ind w:firstLine="720" w:firstLineChars="300"/>
        <w:rPr>
          <w:rFonts w:hint="eastAsia" w:hAnsi="宋体"/>
          <w:snapToGrid w:val="0"/>
          <w:color w:val="auto"/>
          <w:sz w:val="24"/>
          <w:szCs w:val="24"/>
        </w:rPr>
      </w:pPr>
      <w:r>
        <w:rPr>
          <w:rFonts w:hint="eastAsia" w:hAnsi="宋体"/>
          <w:snapToGrid w:val="0"/>
          <w:color w:val="auto"/>
          <w:sz w:val="24"/>
          <w:szCs w:val="24"/>
          <w:lang w:eastAsia="zh-CN"/>
        </w:rPr>
        <w:t>（</w:t>
      </w:r>
      <w:r>
        <w:rPr>
          <w:rFonts w:hint="eastAsia" w:hAnsi="宋体"/>
          <w:snapToGrid w:val="0"/>
          <w:color w:val="auto"/>
          <w:sz w:val="24"/>
          <w:szCs w:val="24"/>
          <w:lang w:val="en-US" w:eastAsia="zh-CN"/>
        </w:rPr>
        <w:t>6</w:t>
      </w:r>
      <w:r>
        <w:rPr>
          <w:rFonts w:hint="eastAsia" w:hAnsi="宋体"/>
          <w:snapToGrid w:val="0"/>
          <w:color w:val="auto"/>
          <w:sz w:val="24"/>
          <w:szCs w:val="24"/>
          <w:lang w:eastAsia="zh-CN"/>
        </w:rPr>
        <w:t>）</w:t>
      </w:r>
      <w:r>
        <w:rPr>
          <w:rFonts w:hint="eastAsia" w:hAnsi="宋体"/>
          <w:snapToGrid w:val="0"/>
          <w:color w:val="auto"/>
          <w:sz w:val="24"/>
          <w:szCs w:val="24"/>
        </w:rPr>
        <w:t>本次估价的实地查勘完成之日为</w:t>
      </w:r>
      <w:r>
        <w:rPr>
          <w:rFonts w:hint="eastAsia" w:hAnsi="宋体"/>
          <w:snapToGrid w:val="0"/>
          <w:color w:val="auto"/>
          <w:sz w:val="24"/>
          <w:szCs w:val="24"/>
          <w:lang w:eastAsia="zh-CN"/>
        </w:rPr>
        <w:t>2022年8月2日</w:t>
      </w:r>
      <w:r>
        <w:rPr>
          <w:rFonts w:hint="eastAsia" w:hAnsi="宋体"/>
          <w:snapToGrid w:val="0"/>
          <w:color w:val="auto"/>
          <w:sz w:val="24"/>
          <w:szCs w:val="24"/>
        </w:rPr>
        <w:t>，</w:t>
      </w:r>
      <w:r>
        <w:rPr>
          <w:rFonts w:hint="eastAsia" w:hAnsi="宋体"/>
          <w:snapToGrid w:val="0"/>
          <w:color w:val="auto"/>
          <w:sz w:val="24"/>
          <w:szCs w:val="24"/>
          <w:lang w:val="en-US" w:eastAsia="zh-CN"/>
        </w:rPr>
        <w:t>由于委托方</w:t>
      </w:r>
      <w:r>
        <w:rPr>
          <w:rFonts w:hint="eastAsia" w:ascii="宋体" w:hAnsi="宋体" w:eastAsia="宋体" w:cs="宋体"/>
          <w:color w:val="auto"/>
          <w:sz w:val="24"/>
          <w:szCs w:val="24"/>
          <w:shd w:val="clear" w:color="auto" w:fill="FFFFFF"/>
        </w:rPr>
        <w:t>未明确价值时点</w:t>
      </w:r>
      <w:r>
        <w:rPr>
          <w:rFonts w:hint="eastAsia" w:hAnsi="宋体" w:eastAsia="宋体" w:cs="宋体"/>
          <w:color w:val="auto"/>
          <w:sz w:val="24"/>
          <w:szCs w:val="24"/>
          <w:shd w:val="clear" w:color="auto" w:fill="FFFFFF"/>
          <w:lang w:eastAsia="zh-CN"/>
        </w:rPr>
        <w:t>，</w:t>
      </w:r>
      <w:r>
        <w:rPr>
          <w:rFonts w:hint="eastAsia" w:hAnsi="宋体" w:eastAsia="宋体" w:cs="宋体"/>
          <w:color w:val="auto"/>
          <w:sz w:val="24"/>
          <w:szCs w:val="24"/>
          <w:shd w:val="clear" w:color="auto" w:fill="FFFFFF"/>
          <w:lang w:val="en-US" w:eastAsia="zh-CN"/>
        </w:rPr>
        <w:t>因此，根据房地产估价规范，本次</w:t>
      </w:r>
      <w:r>
        <w:rPr>
          <w:rFonts w:hint="eastAsia" w:ascii="宋体" w:hAnsi="宋体" w:eastAsia="宋体" w:cs="宋体"/>
          <w:color w:val="auto"/>
          <w:sz w:val="24"/>
          <w:szCs w:val="24"/>
          <w:shd w:val="clear" w:color="auto" w:fill="FFFFFF"/>
        </w:rPr>
        <w:t>评估</w:t>
      </w:r>
      <w:r>
        <w:rPr>
          <w:rFonts w:hint="eastAsia" w:hAnsi="宋体" w:eastAsia="宋体" w:cs="宋体"/>
          <w:color w:val="auto"/>
          <w:sz w:val="24"/>
          <w:szCs w:val="24"/>
          <w:shd w:val="clear" w:color="auto" w:fill="FFFFFF"/>
          <w:lang w:val="en-US" w:eastAsia="zh-CN"/>
        </w:rPr>
        <w:t>以</w:t>
      </w:r>
      <w:r>
        <w:rPr>
          <w:rFonts w:hint="eastAsia" w:ascii="宋体" w:hAnsi="宋体" w:eastAsia="宋体" w:cs="宋体"/>
          <w:color w:val="auto"/>
          <w:sz w:val="24"/>
          <w:szCs w:val="24"/>
          <w:shd w:val="clear" w:color="auto" w:fill="FFFFFF"/>
        </w:rPr>
        <w:t>实地查勘完成之日</w:t>
      </w:r>
      <w:r>
        <w:rPr>
          <w:rFonts w:hint="eastAsia" w:hAnsi="宋体" w:eastAsia="宋体" w:cs="宋体"/>
          <w:color w:val="auto"/>
          <w:sz w:val="24"/>
          <w:szCs w:val="24"/>
          <w:shd w:val="clear" w:color="auto" w:fill="FFFFFF"/>
          <w:lang w:val="en-US" w:eastAsia="zh-CN"/>
        </w:rPr>
        <w:t>即</w:t>
      </w:r>
      <w:r>
        <w:rPr>
          <w:rFonts w:hint="eastAsia" w:hAnsi="宋体"/>
          <w:snapToGrid w:val="0"/>
          <w:color w:val="auto"/>
          <w:sz w:val="24"/>
          <w:szCs w:val="24"/>
          <w:lang w:eastAsia="zh-CN"/>
        </w:rPr>
        <w:t>2022年8月2日</w:t>
      </w:r>
      <w:r>
        <w:rPr>
          <w:rFonts w:hint="eastAsia" w:ascii="宋体" w:hAnsi="宋体" w:eastAsia="宋体" w:cs="宋体"/>
          <w:color w:val="auto"/>
          <w:sz w:val="24"/>
          <w:szCs w:val="24"/>
          <w:shd w:val="clear" w:color="auto" w:fill="FFFFFF"/>
        </w:rPr>
        <w:t>作为价值时点</w:t>
      </w:r>
      <w:r>
        <w:rPr>
          <w:rFonts w:hint="eastAsia" w:hAnsi="宋体" w:eastAsia="宋体" w:cs="宋体"/>
          <w:color w:val="auto"/>
          <w:sz w:val="24"/>
          <w:szCs w:val="24"/>
          <w:shd w:val="clear" w:color="auto" w:fill="FFFFFF"/>
          <w:lang w:eastAsia="zh-CN"/>
        </w:rPr>
        <w:t>，</w:t>
      </w:r>
      <w:r>
        <w:rPr>
          <w:rFonts w:hint="eastAsia" w:hAnsi="宋体"/>
          <w:snapToGrid w:val="0"/>
          <w:color w:val="auto"/>
          <w:sz w:val="24"/>
          <w:szCs w:val="24"/>
        </w:rPr>
        <w:t>本次估价设定</w:t>
      </w:r>
      <w:r>
        <w:rPr>
          <w:rFonts w:hint="eastAsia" w:hAnsi="宋体"/>
          <w:snapToGrid w:val="0"/>
          <w:color w:val="auto"/>
          <w:sz w:val="24"/>
          <w:szCs w:val="24"/>
          <w:lang w:eastAsia="zh-CN"/>
        </w:rPr>
        <w:t>司法财产处置</w:t>
      </w:r>
      <w:r>
        <w:rPr>
          <w:rFonts w:hint="eastAsia" w:hAnsi="宋体"/>
          <w:snapToGrid w:val="0"/>
          <w:color w:val="auto"/>
          <w:sz w:val="24"/>
          <w:szCs w:val="24"/>
        </w:rPr>
        <w:t>之日的估价对象状况和房地产市场状况与实地查勘完成之日的状况一致。</w:t>
      </w:r>
    </w:p>
    <w:p>
      <w:pPr>
        <w:pStyle w:val="39"/>
        <w:keepNext w:val="0"/>
        <w:keepLines w:val="0"/>
        <w:pageBreakBefore w:val="0"/>
        <w:widowControl w:val="0"/>
        <w:kinsoku/>
        <w:wordWrap/>
        <w:overflowPunct/>
        <w:topLinePunct/>
        <w:autoSpaceDE/>
        <w:autoSpaceDN/>
        <w:bidi w:val="0"/>
        <w:adjustRightInd w:val="0"/>
        <w:snapToGrid w:val="0"/>
        <w:spacing w:line="360" w:lineRule="auto"/>
        <w:ind w:firstLine="720" w:firstLineChars="300"/>
        <w:rPr>
          <w:rFonts w:hint="eastAsia" w:hAnsi="宋体"/>
          <w:snapToGrid w:val="0"/>
          <w:color w:val="auto"/>
          <w:sz w:val="24"/>
          <w:szCs w:val="24"/>
          <w:lang w:eastAsia="zh-CN"/>
        </w:rPr>
      </w:pPr>
      <w:r>
        <w:rPr>
          <w:rFonts w:hint="eastAsia" w:hAnsi="宋体"/>
          <w:snapToGrid w:val="0"/>
          <w:color w:val="auto"/>
          <w:sz w:val="24"/>
          <w:szCs w:val="24"/>
          <w:lang w:eastAsia="zh-CN"/>
        </w:rPr>
        <w:t>（</w:t>
      </w:r>
      <w:r>
        <w:rPr>
          <w:rFonts w:hint="eastAsia" w:hAnsi="宋体"/>
          <w:snapToGrid w:val="0"/>
          <w:color w:val="auto"/>
          <w:sz w:val="24"/>
          <w:szCs w:val="24"/>
          <w:lang w:val="en-US" w:eastAsia="zh-CN"/>
        </w:rPr>
        <w:t>7</w:t>
      </w:r>
      <w:r>
        <w:rPr>
          <w:rFonts w:hint="eastAsia" w:hAnsi="宋体"/>
          <w:snapToGrid w:val="0"/>
          <w:color w:val="auto"/>
          <w:sz w:val="24"/>
          <w:szCs w:val="24"/>
          <w:lang w:eastAsia="zh-CN"/>
        </w:rPr>
        <w:t>）根据委托方提供的相关资料，估价对象为划拨用地不动产，根据相关规定该类房地产上市交易需缴纳土地出让金，根据汕头经济特区地价管理规定(汕府令第167号)，第八条“（二）属其他类型房产的，按批准土地用途基准地价的3％补交。”，</w:t>
      </w:r>
      <w:r>
        <w:rPr>
          <w:rFonts w:hint="eastAsia" w:hAnsi="宋体"/>
          <w:snapToGrid w:val="0"/>
          <w:color w:val="auto"/>
          <w:sz w:val="24"/>
          <w:szCs w:val="24"/>
          <w:lang w:val="en-US" w:eastAsia="zh-CN"/>
        </w:rPr>
        <w:t>经查，估价对象所在片区基准地价为1892元/平方米，</w:t>
      </w:r>
      <w:r>
        <w:rPr>
          <w:rFonts w:hint="eastAsia" w:hAnsi="宋体"/>
          <w:snapToGrid w:val="0"/>
          <w:color w:val="auto"/>
          <w:sz w:val="24"/>
          <w:szCs w:val="24"/>
          <w:lang w:eastAsia="zh-CN"/>
        </w:rPr>
        <w:t>即估价对象预计应补缴出让金=</w:t>
      </w:r>
      <w:r>
        <w:rPr>
          <w:rFonts w:hint="eastAsia" w:hAnsi="宋体"/>
          <w:snapToGrid w:val="0"/>
          <w:color w:val="auto"/>
          <w:sz w:val="24"/>
          <w:szCs w:val="24"/>
          <w:lang w:val="en-US" w:eastAsia="zh-CN"/>
        </w:rPr>
        <w:t>1892</w:t>
      </w:r>
      <w:r>
        <w:rPr>
          <w:rFonts w:hint="eastAsia" w:hAnsi="宋体"/>
          <w:snapToGrid w:val="0"/>
          <w:color w:val="auto"/>
          <w:sz w:val="24"/>
          <w:szCs w:val="24"/>
          <w:lang w:eastAsia="zh-CN"/>
        </w:rPr>
        <w:t>*分摊土地面积*3%/10000，具体以汕头市房管及自然资源相关部门核算为准。特提请报告使用人注意。</w:t>
      </w:r>
    </w:p>
    <w:p>
      <w:pPr>
        <w:pStyle w:val="39"/>
        <w:keepNext w:val="0"/>
        <w:keepLines w:val="0"/>
        <w:pageBreakBefore w:val="0"/>
        <w:widowControl w:val="0"/>
        <w:kinsoku/>
        <w:wordWrap/>
        <w:overflowPunct/>
        <w:topLinePunct/>
        <w:autoSpaceDE/>
        <w:autoSpaceDN/>
        <w:bidi w:val="0"/>
        <w:adjustRightInd w:val="0"/>
        <w:snapToGrid w:val="0"/>
        <w:spacing w:line="360" w:lineRule="auto"/>
        <w:ind w:firstLine="720" w:firstLineChars="300"/>
        <w:rPr>
          <w:rFonts w:hint="eastAsia" w:hAnsi="宋体" w:eastAsia="宋体"/>
          <w:snapToGrid w:val="0"/>
          <w:color w:val="auto"/>
          <w:sz w:val="24"/>
          <w:szCs w:val="24"/>
          <w:lang w:val="en-US" w:eastAsia="zh-CN"/>
        </w:rPr>
      </w:pPr>
      <w:r>
        <w:rPr>
          <w:rFonts w:hint="eastAsia" w:hAnsi="宋体"/>
          <w:snapToGrid w:val="0"/>
          <w:color w:val="000000"/>
          <w:sz w:val="24"/>
          <w:szCs w:val="24"/>
          <w:lang w:eastAsia="zh-CN"/>
        </w:rPr>
        <w:t>（</w:t>
      </w:r>
      <w:r>
        <w:rPr>
          <w:rFonts w:hint="eastAsia" w:hAnsi="宋体"/>
          <w:snapToGrid w:val="0"/>
          <w:color w:val="000000"/>
          <w:sz w:val="24"/>
          <w:szCs w:val="24"/>
          <w:lang w:val="en-US" w:eastAsia="zh-CN"/>
        </w:rPr>
        <w:t>8</w:t>
      </w:r>
      <w:r>
        <w:rPr>
          <w:rFonts w:hint="eastAsia" w:hAnsi="宋体"/>
          <w:snapToGrid w:val="0"/>
          <w:color w:val="000000"/>
          <w:sz w:val="24"/>
          <w:szCs w:val="24"/>
          <w:lang w:eastAsia="zh-CN"/>
        </w:rPr>
        <w:t>）</w:t>
      </w:r>
      <w:r>
        <w:rPr>
          <w:rFonts w:hint="eastAsia" w:hAnsi="宋体"/>
          <w:snapToGrid w:val="0"/>
          <w:color w:val="000000"/>
          <w:sz w:val="24"/>
          <w:szCs w:val="24"/>
        </w:rPr>
        <w:t>根据</w:t>
      </w:r>
      <w:r>
        <w:rPr>
          <w:rFonts w:hint="eastAsia" w:hAnsi="宋体"/>
          <w:snapToGrid w:val="0"/>
          <w:sz w:val="24"/>
          <w:szCs w:val="24"/>
        </w:rPr>
        <w:t>委托方</w:t>
      </w:r>
      <w:r>
        <w:rPr>
          <w:rFonts w:hint="eastAsia" w:hAnsi="宋体"/>
          <w:snapToGrid w:val="0"/>
          <w:color w:val="000000"/>
          <w:sz w:val="24"/>
          <w:szCs w:val="24"/>
        </w:rPr>
        <w:t>提供的相关资料</w:t>
      </w:r>
      <w:r>
        <w:rPr>
          <w:rFonts w:hint="eastAsia" w:hAnsi="宋体"/>
          <w:snapToGrid w:val="0"/>
          <w:color w:val="000000"/>
          <w:sz w:val="24"/>
          <w:szCs w:val="24"/>
          <w:lang w:eastAsia="zh-CN"/>
        </w:rPr>
        <w:t>，该不动产办理过户所需的一切应由被执行人负担的税、费（包括但不限于契税、增值税、地价款和拍卖标的物涉及的其他费用等款项）均由买受人（承受人）负担。</w:t>
      </w:r>
      <w:r>
        <w:rPr>
          <w:rFonts w:hint="eastAsia" w:hAnsi="宋体"/>
          <w:snapToGrid w:val="0"/>
          <w:color w:val="auto"/>
          <w:sz w:val="24"/>
          <w:szCs w:val="24"/>
          <w:lang w:eastAsia="zh-CN"/>
        </w:rPr>
        <w:t>特提请报告使用人注意。</w:t>
      </w:r>
    </w:p>
    <w:p>
      <w:pPr>
        <w:pStyle w:val="39"/>
        <w:keepNext w:val="0"/>
        <w:keepLines w:val="0"/>
        <w:pageBreakBefore w:val="0"/>
        <w:widowControl w:val="0"/>
        <w:kinsoku/>
        <w:wordWrap/>
        <w:overflowPunct/>
        <w:topLinePunct/>
        <w:autoSpaceDE/>
        <w:autoSpaceDN/>
        <w:bidi w:val="0"/>
        <w:adjustRightInd w:val="0"/>
        <w:snapToGrid w:val="0"/>
        <w:spacing w:line="360" w:lineRule="auto"/>
        <w:ind w:firstLine="720" w:firstLineChars="300"/>
        <w:rPr>
          <w:rFonts w:hint="eastAsia" w:hAnsi="宋体"/>
          <w:snapToGrid w:val="0"/>
          <w:color w:val="000000"/>
          <w:sz w:val="24"/>
          <w:szCs w:val="24"/>
        </w:rPr>
      </w:pPr>
      <w:r>
        <w:rPr>
          <w:rFonts w:hint="eastAsia" w:hAnsi="宋体"/>
          <w:snapToGrid w:val="0"/>
          <w:color w:val="000000"/>
          <w:sz w:val="24"/>
          <w:szCs w:val="24"/>
          <w:lang w:eastAsia="zh-CN"/>
        </w:rPr>
        <w:t>（</w:t>
      </w:r>
      <w:r>
        <w:rPr>
          <w:rFonts w:hint="eastAsia" w:hAnsi="宋体"/>
          <w:snapToGrid w:val="0"/>
          <w:color w:val="000000"/>
          <w:sz w:val="24"/>
          <w:szCs w:val="24"/>
          <w:lang w:val="en-US" w:eastAsia="zh-CN"/>
        </w:rPr>
        <w:t>9</w:t>
      </w:r>
      <w:r>
        <w:rPr>
          <w:rFonts w:hint="eastAsia" w:hAnsi="宋体"/>
          <w:snapToGrid w:val="0"/>
          <w:color w:val="000000"/>
          <w:sz w:val="24"/>
          <w:szCs w:val="24"/>
          <w:lang w:eastAsia="zh-CN"/>
        </w:rPr>
        <w:t>）</w:t>
      </w:r>
      <w:r>
        <w:rPr>
          <w:rFonts w:hint="eastAsia" w:hAnsi="宋体"/>
          <w:snapToGrid w:val="0"/>
          <w:color w:val="000000"/>
          <w:sz w:val="24"/>
          <w:szCs w:val="24"/>
        </w:rPr>
        <w:t>根据</w:t>
      </w:r>
      <w:r>
        <w:rPr>
          <w:rFonts w:hint="eastAsia" w:hAnsi="宋体"/>
          <w:snapToGrid w:val="0"/>
          <w:sz w:val="24"/>
          <w:szCs w:val="24"/>
        </w:rPr>
        <w:t>委托方</w:t>
      </w:r>
      <w:r>
        <w:rPr>
          <w:rFonts w:hint="eastAsia" w:hAnsi="宋体"/>
          <w:snapToGrid w:val="0"/>
          <w:color w:val="000000"/>
          <w:sz w:val="24"/>
          <w:szCs w:val="24"/>
        </w:rPr>
        <w:t>提供的相关资料，委托方未能确定估价对象是否存在欠缴税费（含税收、物业费、供暖费、水电气费等），本估价机构亦未能掌握相关情况。</w:t>
      </w:r>
      <w:r>
        <w:rPr>
          <w:rFonts w:hint="eastAsia" w:hAnsi="宋体"/>
          <w:snapToGrid w:val="0"/>
          <w:sz w:val="24"/>
          <w:szCs w:val="24"/>
        </w:rPr>
        <w:t>本次估价设定估价结果不存在欠缴税费</w:t>
      </w:r>
      <w:r>
        <w:rPr>
          <w:rFonts w:hint="eastAsia" w:hAnsi="宋体"/>
          <w:snapToGrid w:val="0"/>
          <w:sz w:val="24"/>
          <w:szCs w:val="24"/>
          <w:lang w:eastAsia="zh-CN"/>
        </w:rPr>
        <w:t>，</w:t>
      </w:r>
      <w:r>
        <w:rPr>
          <w:rFonts w:hint="eastAsia" w:hAnsi="宋体"/>
          <w:snapToGrid w:val="0"/>
          <w:color w:val="000000"/>
          <w:sz w:val="24"/>
          <w:szCs w:val="24"/>
        </w:rPr>
        <w:t>特提请报告使用人注意。</w:t>
      </w:r>
    </w:p>
    <w:p>
      <w:pPr>
        <w:numPr>
          <w:ilvl w:val="0"/>
          <w:numId w:val="16"/>
        </w:numPr>
        <w:spacing w:line="500" w:lineRule="exact"/>
        <w:ind w:left="358" w:leftChars="0" w:firstLine="482" w:firstLineChars="0"/>
        <w:outlineLvl w:val="3"/>
        <w:rPr>
          <w:rFonts w:hint="eastAsia" w:ascii="宋体" w:hAnsi="宋体"/>
          <w:color w:val="auto"/>
          <w:sz w:val="24"/>
          <w:highlight w:val="none"/>
        </w:rPr>
      </w:pPr>
      <w:r>
        <w:rPr>
          <w:rFonts w:hint="eastAsia" w:ascii="宋体" w:hAnsi="宋体"/>
          <w:b/>
          <w:bCs/>
          <w:color w:val="auto"/>
          <w:sz w:val="24"/>
          <w:highlight w:val="none"/>
        </w:rPr>
        <w:t>未定事项假设</w:t>
      </w:r>
      <w:r>
        <w:rPr>
          <w:rFonts w:hint="eastAsia" w:ascii="宋体" w:hAnsi="宋体"/>
          <w:color w:val="auto"/>
          <w:sz w:val="24"/>
          <w:highlight w:val="none"/>
        </w:rPr>
        <w:t xml:space="preserve"> </w:t>
      </w:r>
    </w:p>
    <w:p>
      <w:pPr>
        <w:numPr>
          <w:ilvl w:val="0"/>
          <w:numId w:val="0"/>
        </w:numPr>
        <w:spacing w:line="500" w:lineRule="exact"/>
        <w:ind w:firstLine="480" w:firstLineChars="200"/>
        <w:rPr>
          <w:rFonts w:hint="eastAsia" w:ascii="宋体" w:hAnsi="宋体"/>
          <w:color w:val="auto"/>
          <w:sz w:val="24"/>
          <w:highlight w:val="none"/>
          <w:lang w:eastAsia="zh-CN"/>
        </w:rPr>
      </w:pPr>
      <w:r>
        <w:rPr>
          <w:rFonts w:hint="eastAsia" w:ascii="宋体" w:hAnsi="宋体"/>
          <w:color w:val="auto"/>
          <w:sz w:val="24"/>
          <w:highlight w:val="none"/>
        </w:rPr>
        <w:t>本次估价项目</w:t>
      </w:r>
      <w:r>
        <w:rPr>
          <w:rFonts w:hint="eastAsia" w:ascii="宋体" w:hAnsi="宋体"/>
          <w:color w:val="auto"/>
          <w:sz w:val="24"/>
          <w:highlight w:val="none"/>
          <w:lang w:eastAsia="zh-CN"/>
        </w:rPr>
        <w:t>不</w:t>
      </w:r>
      <w:r>
        <w:rPr>
          <w:rFonts w:hint="eastAsia" w:ascii="宋体" w:hAnsi="宋体"/>
          <w:color w:val="auto"/>
          <w:sz w:val="24"/>
          <w:highlight w:val="none"/>
        </w:rPr>
        <w:t>存在未定事项，</w:t>
      </w:r>
      <w:r>
        <w:rPr>
          <w:rFonts w:hint="eastAsia" w:ascii="宋体" w:hAnsi="宋体"/>
          <w:color w:val="auto"/>
          <w:sz w:val="24"/>
          <w:highlight w:val="none"/>
          <w:lang w:eastAsia="zh-CN"/>
        </w:rPr>
        <w:t>本次评估无</w:t>
      </w:r>
      <w:r>
        <w:rPr>
          <w:rFonts w:hint="eastAsia" w:ascii="宋体" w:hAnsi="宋体"/>
          <w:color w:val="auto"/>
          <w:sz w:val="24"/>
          <w:highlight w:val="none"/>
        </w:rPr>
        <w:t>未定事项</w:t>
      </w:r>
      <w:r>
        <w:rPr>
          <w:rFonts w:hint="eastAsia" w:ascii="宋体" w:hAnsi="宋体"/>
          <w:color w:val="auto"/>
          <w:sz w:val="24"/>
          <w:highlight w:val="none"/>
          <w:lang w:eastAsia="zh-CN"/>
        </w:rPr>
        <w:t>。</w:t>
      </w:r>
    </w:p>
    <w:p>
      <w:pPr>
        <w:numPr>
          <w:ilvl w:val="0"/>
          <w:numId w:val="16"/>
        </w:numPr>
        <w:spacing w:line="500" w:lineRule="exact"/>
        <w:ind w:left="358" w:leftChars="0" w:firstLine="482" w:firstLineChars="0"/>
        <w:outlineLvl w:val="3"/>
        <w:rPr>
          <w:rFonts w:hint="eastAsia" w:ascii="宋体" w:hAnsi="宋体" w:eastAsia="宋体"/>
          <w:color w:val="auto"/>
          <w:sz w:val="24"/>
          <w:highlight w:val="none"/>
          <w:lang w:val="en-US" w:eastAsia="zh-CN"/>
        </w:rPr>
      </w:pPr>
      <w:r>
        <w:rPr>
          <w:rFonts w:hint="eastAsia" w:ascii="宋体" w:hAnsi="宋体"/>
          <w:b/>
          <w:bCs/>
          <w:color w:val="auto"/>
          <w:sz w:val="24"/>
          <w:highlight w:val="none"/>
        </w:rPr>
        <w:t>背离事实假设</w:t>
      </w:r>
      <w:r>
        <w:rPr>
          <w:rFonts w:hint="eastAsia" w:ascii="宋体" w:hAnsi="宋体"/>
          <w:color w:val="auto"/>
          <w:sz w:val="24"/>
          <w:highlight w:val="none"/>
        </w:rPr>
        <w:t xml:space="preserve"> </w:t>
      </w:r>
      <w:r>
        <w:rPr>
          <w:rFonts w:hint="eastAsia" w:ascii="宋体" w:hAnsi="宋体"/>
          <w:color w:val="auto"/>
          <w:sz w:val="24"/>
          <w:highlight w:val="none"/>
          <w:lang w:eastAsia="zh-CN"/>
        </w:rPr>
        <w:br w:type="textWrapping"/>
      </w:r>
      <w:r>
        <w:rPr>
          <w:rFonts w:hint="eastAsia" w:ascii="宋体" w:hAnsi="宋体"/>
          <w:color w:val="auto"/>
          <w:sz w:val="24"/>
          <w:highlight w:val="none"/>
          <w:lang w:val="en-US" w:eastAsia="zh-CN"/>
        </w:rPr>
        <w:t xml:space="preserve">   </w:t>
      </w:r>
      <w:r>
        <w:rPr>
          <w:snapToGrid w:val="0"/>
          <w:sz w:val="24"/>
        </w:rPr>
        <w:t>本估价结果未考虑国家宏观经济政策发生变化，及遇到自然力或其它不可抗力时，可能对房地产价格产生的影响；未考虑将估价对象按拍卖或其它特殊方式处置时，因变现方式或价格折让等因素导致的价格变化；</w:t>
      </w:r>
      <w:r>
        <w:rPr>
          <w:rFonts w:hint="eastAsia"/>
          <w:snapToGrid w:val="0"/>
          <w:color w:val="auto"/>
          <w:sz w:val="24"/>
          <w:lang w:val="en-US" w:eastAsia="zh-CN"/>
        </w:rPr>
        <w:t>未</w:t>
      </w:r>
      <w:r>
        <w:rPr>
          <w:rFonts w:hint="eastAsia" w:ascii="宋体" w:hAnsi="宋体" w:eastAsia="宋体" w:cs="宋体"/>
          <w:color w:val="auto"/>
          <w:sz w:val="24"/>
          <w:szCs w:val="24"/>
          <w:shd w:val="clear" w:color="auto" w:fill="FFFFFF"/>
        </w:rPr>
        <w:t>考虑评估对象被查封以及原有的担保物权和其他优先受偿权的影响</w:t>
      </w:r>
      <w:r>
        <w:rPr>
          <w:rFonts w:hint="eastAsia" w:ascii="宋体" w:hAnsi="宋体" w:eastAsia="宋体" w:cs="宋体"/>
          <w:color w:val="auto"/>
          <w:sz w:val="24"/>
          <w:szCs w:val="24"/>
          <w:shd w:val="clear" w:color="auto" w:fill="FFFFFF"/>
          <w:lang w:eastAsia="zh-CN"/>
        </w:rPr>
        <w:t>，</w:t>
      </w:r>
      <w:r>
        <w:rPr>
          <w:rFonts w:hint="eastAsia" w:ascii="宋体" w:hAnsi="宋体" w:eastAsia="宋体" w:cs="宋体"/>
          <w:color w:val="auto"/>
          <w:sz w:val="24"/>
          <w:szCs w:val="24"/>
          <w:shd w:val="clear" w:color="auto" w:fill="FFFFFF"/>
          <w:lang w:val="en-US" w:eastAsia="zh-CN"/>
        </w:rPr>
        <w:t>也</w:t>
      </w:r>
      <w:r>
        <w:rPr>
          <w:snapToGrid w:val="0"/>
          <w:color w:val="auto"/>
          <w:sz w:val="24"/>
        </w:rPr>
        <w:t>未考虑影响</w:t>
      </w:r>
      <w:r>
        <w:rPr>
          <w:snapToGrid w:val="0"/>
          <w:sz w:val="24"/>
        </w:rPr>
        <w:t>房地产价值的债权等法律义务限制。</w:t>
      </w:r>
    </w:p>
    <w:p>
      <w:pPr>
        <w:numPr>
          <w:ilvl w:val="0"/>
          <w:numId w:val="16"/>
        </w:numPr>
        <w:spacing w:line="500" w:lineRule="exact"/>
        <w:ind w:left="358" w:leftChars="0" w:firstLine="482" w:firstLineChars="0"/>
        <w:outlineLvl w:val="3"/>
        <w:rPr>
          <w:rFonts w:hint="eastAsia" w:ascii="宋体" w:hAnsi="宋体"/>
          <w:color w:val="auto"/>
          <w:sz w:val="24"/>
          <w:highlight w:val="none"/>
        </w:rPr>
      </w:pPr>
      <w:r>
        <w:rPr>
          <w:rFonts w:hint="eastAsia" w:ascii="宋体" w:hAnsi="宋体"/>
          <w:b/>
          <w:bCs/>
          <w:color w:val="auto"/>
          <w:sz w:val="24"/>
          <w:highlight w:val="none"/>
        </w:rPr>
        <w:t>不相一致假设</w:t>
      </w:r>
      <w:r>
        <w:rPr>
          <w:rFonts w:hint="eastAsia" w:ascii="宋体" w:hAnsi="宋体"/>
          <w:color w:val="auto"/>
          <w:sz w:val="24"/>
          <w:highlight w:val="none"/>
        </w:rPr>
        <w:t xml:space="preserve"> </w:t>
      </w:r>
    </w:p>
    <w:p>
      <w:pPr>
        <w:numPr>
          <w:ilvl w:val="0"/>
          <w:numId w:val="0"/>
        </w:numPr>
        <w:spacing w:line="500" w:lineRule="exact"/>
        <w:ind w:firstLine="480" w:firstLineChars="200"/>
        <w:rPr>
          <w:rFonts w:hint="eastAsia" w:ascii="宋体" w:hAnsi="宋体"/>
          <w:color w:val="auto"/>
          <w:sz w:val="24"/>
          <w:highlight w:val="none"/>
          <w:lang w:eastAsia="zh-CN"/>
        </w:rPr>
      </w:pPr>
      <w:r>
        <w:rPr>
          <w:rFonts w:hint="eastAsia" w:ascii="宋体" w:hAnsi="宋体"/>
          <w:color w:val="auto"/>
          <w:sz w:val="24"/>
          <w:highlight w:val="none"/>
        </w:rPr>
        <w:t>本估价项目不存在不相一致事项 ，</w:t>
      </w:r>
      <w:r>
        <w:rPr>
          <w:rFonts w:hint="eastAsia" w:hAnsi="宋体"/>
          <w:snapToGrid w:val="0"/>
          <w:color w:val="auto"/>
          <w:kern w:val="0"/>
          <w:sz w:val="24"/>
          <w:szCs w:val="24"/>
          <w:highlight w:val="none"/>
        </w:rPr>
        <w:t>本次评估</w:t>
      </w:r>
      <w:r>
        <w:rPr>
          <w:rFonts w:hint="eastAsia" w:ascii="宋体" w:hAnsi="宋体"/>
          <w:color w:val="auto"/>
          <w:sz w:val="24"/>
          <w:highlight w:val="none"/>
        </w:rPr>
        <w:t>无不相一致假设。</w:t>
      </w:r>
    </w:p>
    <w:p>
      <w:pPr>
        <w:numPr>
          <w:ilvl w:val="0"/>
          <w:numId w:val="16"/>
        </w:numPr>
        <w:spacing w:line="500" w:lineRule="exact"/>
        <w:ind w:left="358" w:leftChars="0" w:firstLine="482" w:firstLineChars="0"/>
        <w:outlineLvl w:val="3"/>
        <w:rPr>
          <w:rFonts w:hint="eastAsia" w:ascii="宋体" w:hAnsi="宋体"/>
          <w:color w:val="auto"/>
          <w:sz w:val="24"/>
          <w:highlight w:val="none"/>
        </w:rPr>
      </w:pPr>
      <w:r>
        <w:rPr>
          <w:rFonts w:hint="eastAsia" w:ascii="宋体" w:hAnsi="宋体"/>
          <w:b/>
          <w:bCs/>
          <w:color w:val="auto"/>
          <w:sz w:val="24"/>
          <w:highlight w:val="none"/>
        </w:rPr>
        <w:t>依据不足假设</w:t>
      </w:r>
      <w:r>
        <w:rPr>
          <w:rFonts w:hint="eastAsia" w:ascii="宋体" w:hAnsi="宋体"/>
          <w:color w:val="auto"/>
          <w:sz w:val="24"/>
          <w:highlight w:val="none"/>
        </w:rPr>
        <w:t xml:space="preserve"> </w:t>
      </w:r>
    </w:p>
    <w:p>
      <w:pPr>
        <w:pStyle w:val="67"/>
        <w:spacing w:before="0" w:beforeAutospacing="0" w:after="0" w:afterAutospacing="0" w:line="360" w:lineRule="auto"/>
        <w:ind w:firstLine="480" w:firstLineChars="200"/>
        <w:rPr>
          <w:rFonts w:hint="eastAsia" w:ascii="宋体" w:hAnsi="宋体" w:eastAsia="宋体"/>
          <w:color w:val="auto"/>
          <w:sz w:val="24"/>
          <w:highlight w:val="none"/>
          <w:lang w:val="en-US" w:eastAsia="zh-CN"/>
        </w:rPr>
      </w:pPr>
      <w:r>
        <w:rPr>
          <w:rFonts w:hint="eastAsia" w:ascii="宋体" w:hAnsi="宋体"/>
          <w:color w:val="auto"/>
          <w:sz w:val="24"/>
          <w:highlight w:val="none"/>
          <w:lang w:val="en-US" w:eastAsia="zh-CN"/>
        </w:rPr>
        <w:t>由于</w:t>
      </w:r>
      <w:r>
        <w:rPr>
          <w:rFonts w:hint="eastAsia"/>
          <w:snapToGrid w:val="0"/>
          <w:color w:val="auto"/>
          <w:kern w:val="0"/>
          <w:sz w:val="24"/>
        </w:rPr>
        <w:t>估价对象</w:t>
      </w:r>
      <w:r>
        <w:rPr>
          <w:rFonts w:hint="eastAsia"/>
          <w:snapToGrid w:val="0"/>
          <w:color w:val="auto"/>
          <w:kern w:val="0"/>
          <w:sz w:val="24"/>
          <w:lang w:val="en-US" w:eastAsia="zh-CN"/>
        </w:rPr>
        <w:t>土地使用年限</w:t>
      </w:r>
      <w:r>
        <w:rPr>
          <w:rFonts w:hint="eastAsia"/>
          <w:snapToGrid w:val="0"/>
          <w:color w:val="auto"/>
          <w:kern w:val="0"/>
          <w:sz w:val="24"/>
          <w:lang w:eastAsia="zh-CN"/>
        </w:rPr>
        <w:t>无记载，</w:t>
      </w:r>
      <w:r>
        <w:rPr>
          <w:rFonts w:hint="eastAsia" w:ascii="宋体" w:hAnsi="宋体" w:eastAsia="宋体"/>
          <w:color w:val="auto"/>
          <w:sz w:val="24"/>
          <w:highlight w:val="none"/>
          <w:lang w:val="en-US" w:eastAsia="zh-CN"/>
        </w:rPr>
        <w:t>经</w:t>
      </w:r>
      <w:r>
        <w:rPr>
          <w:rFonts w:hint="eastAsia" w:ascii="宋体" w:hAnsi="宋体" w:eastAsia="宋体"/>
          <w:color w:val="auto"/>
          <w:sz w:val="24"/>
          <w:highlight w:val="none"/>
          <w:lang w:eastAsia="zh-CN"/>
        </w:rPr>
        <w:t>估价人员</w:t>
      </w:r>
      <w:r>
        <w:rPr>
          <w:rFonts w:hint="eastAsia" w:ascii="宋体" w:hAnsi="宋体" w:eastAsia="宋体"/>
          <w:color w:val="auto"/>
          <w:sz w:val="24"/>
          <w:highlight w:val="none"/>
          <w:lang w:val="en-US" w:eastAsia="zh-CN"/>
        </w:rPr>
        <w:t>尽职调查后仍未能明确其</w:t>
      </w:r>
      <w:r>
        <w:rPr>
          <w:rFonts w:hint="eastAsia"/>
          <w:snapToGrid w:val="0"/>
          <w:color w:val="auto"/>
          <w:kern w:val="0"/>
          <w:sz w:val="24"/>
          <w:lang w:val="en-US" w:eastAsia="zh-CN"/>
        </w:rPr>
        <w:t>土地使用年限</w:t>
      </w:r>
      <w:r>
        <w:rPr>
          <w:rFonts w:hint="eastAsia" w:ascii="宋体" w:hAnsi="宋体" w:eastAsia="宋体"/>
          <w:color w:val="auto"/>
          <w:sz w:val="24"/>
          <w:highlight w:val="none"/>
          <w:lang w:eastAsia="zh-CN"/>
        </w:rPr>
        <w:t>，</w:t>
      </w:r>
      <w:r>
        <w:rPr>
          <w:rFonts w:hint="eastAsia"/>
          <w:snapToGrid w:val="0"/>
          <w:color w:val="auto"/>
          <w:kern w:val="0"/>
          <w:sz w:val="24"/>
          <w:lang w:val="en-US" w:eastAsia="zh-CN"/>
        </w:rPr>
        <w:t>因此，按</w:t>
      </w:r>
      <w:r>
        <w:rPr>
          <w:rFonts w:hint="eastAsia" w:ascii="宋体" w:hAnsi="宋体" w:eastAsia="宋体"/>
          <w:color w:val="auto"/>
          <w:sz w:val="24"/>
          <w:highlight w:val="none"/>
          <w:lang w:val="en-US" w:eastAsia="zh-CN"/>
        </w:rPr>
        <w:t>国家法定</w:t>
      </w:r>
      <w:r>
        <w:rPr>
          <w:rFonts w:hint="eastAsia" w:ascii="宋体" w:hAnsi="宋体"/>
          <w:color w:val="auto"/>
          <w:sz w:val="24"/>
          <w:highlight w:val="none"/>
          <w:lang w:val="en-US" w:eastAsia="zh-CN"/>
        </w:rPr>
        <w:t>城镇住宅</w:t>
      </w:r>
      <w:r>
        <w:rPr>
          <w:rFonts w:hint="eastAsia" w:ascii="宋体" w:hAnsi="宋体" w:eastAsia="宋体"/>
          <w:color w:val="auto"/>
          <w:sz w:val="24"/>
          <w:highlight w:val="none"/>
          <w:lang w:val="en-US" w:eastAsia="zh-CN"/>
        </w:rPr>
        <w:t>用地最高使用年限</w:t>
      </w:r>
      <w:r>
        <w:rPr>
          <w:rFonts w:hint="eastAsia" w:ascii="宋体" w:hAnsi="宋体"/>
          <w:color w:val="auto"/>
          <w:sz w:val="24"/>
          <w:highlight w:val="none"/>
          <w:lang w:val="en-US" w:eastAsia="zh-CN"/>
        </w:rPr>
        <w:t>7</w:t>
      </w:r>
      <w:r>
        <w:rPr>
          <w:rFonts w:hint="eastAsia" w:ascii="宋体" w:hAnsi="宋体" w:eastAsia="宋体"/>
          <w:color w:val="auto"/>
          <w:sz w:val="24"/>
          <w:highlight w:val="none"/>
          <w:lang w:val="en-US" w:eastAsia="zh-CN"/>
        </w:rPr>
        <w:t>0年计</w:t>
      </w:r>
      <w:r>
        <w:rPr>
          <w:rFonts w:hint="eastAsia" w:ascii="宋体" w:hAnsi="宋体" w:eastAsia="宋体"/>
          <w:color w:val="auto"/>
          <w:sz w:val="24"/>
          <w:highlight w:val="none"/>
          <w:lang w:eastAsia="zh-CN"/>
        </w:rPr>
        <w:t>，</w:t>
      </w:r>
      <w:r>
        <w:rPr>
          <w:rFonts w:hint="eastAsia" w:ascii="宋体" w:hAnsi="宋体" w:eastAsia="宋体"/>
          <w:color w:val="auto"/>
          <w:sz w:val="24"/>
          <w:highlight w:val="none"/>
          <w:lang w:val="en-US" w:eastAsia="zh-CN"/>
        </w:rPr>
        <w:t>并根据估价对象建筑规模设定土地使用权于房屋竣工（1999年）前</w:t>
      </w:r>
      <w:r>
        <w:rPr>
          <w:rFonts w:hint="eastAsia" w:ascii="宋体" w:hAnsi="宋体"/>
          <w:color w:val="auto"/>
          <w:sz w:val="24"/>
          <w:highlight w:val="none"/>
          <w:lang w:val="en-US" w:eastAsia="zh-CN"/>
        </w:rPr>
        <w:t>两</w:t>
      </w:r>
      <w:r>
        <w:rPr>
          <w:rFonts w:hint="eastAsia" w:ascii="宋体" w:hAnsi="宋体" w:eastAsia="宋体"/>
          <w:color w:val="auto"/>
          <w:sz w:val="24"/>
          <w:highlight w:val="none"/>
          <w:lang w:val="en-US" w:eastAsia="zh-CN"/>
        </w:rPr>
        <w:t>年（即19</w:t>
      </w:r>
      <w:r>
        <w:rPr>
          <w:rFonts w:hint="eastAsia" w:ascii="宋体" w:hAnsi="宋体"/>
          <w:color w:val="auto"/>
          <w:sz w:val="24"/>
          <w:highlight w:val="none"/>
          <w:lang w:val="en-US" w:eastAsia="zh-CN"/>
        </w:rPr>
        <w:t>97</w:t>
      </w:r>
      <w:r>
        <w:rPr>
          <w:rFonts w:hint="eastAsia" w:ascii="宋体" w:hAnsi="宋体" w:eastAsia="宋体"/>
          <w:color w:val="auto"/>
          <w:sz w:val="24"/>
          <w:highlight w:val="none"/>
          <w:lang w:val="en-US" w:eastAsia="zh-CN"/>
        </w:rPr>
        <w:t>年）取得</w:t>
      </w:r>
      <w:r>
        <w:rPr>
          <w:rFonts w:hint="eastAsia" w:ascii="宋体" w:hAnsi="宋体"/>
          <w:color w:val="auto"/>
          <w:sz w:val="24"/>
          <w:highlight w:val="none"/>
          <w:lang w:val="en-US" w:eastAsia="zh-CN"/>
        </w:rPr>
        <w:t>，则剩余土地使用年限约45年，特提醒报告使用人注意</w:t>
      </w:r>
      <w:r>
        <w:rPr>
          <w:rFonts w:hint="eastAsia" w:ascii="宋体" w:hAnsi="宋体" w:eastAsia="宋体"/>
          <w:color w:val="auto"/>
          <w:sz w:val="24"/>
          <w:highlight w:val="none"/>
          <w:lang w:val="en-US" w:eastAsia="zh-CN"/>
        </w:rPr>
        <w:t>。</w:t>
      </w:r>
    </w:p>
    <w:p>
      <w:pPr>
        <w:pStyle w:val="119"/>
        <w:spacing w:line="500" w:lineRule="exact"/>
        <w:outlineLvl w:val="2"/>
        <w:rPr>
          <w:rFonts w:hint="eastAsia" w:ascii="宋体" w:hAnsi="宋体"/>
          <w:color w:val="auto"/>
          <w:sz w:val="24"/>
          <w:szCs w:val="24"/>
          <w:highlight w:val="none"/>
        </w:rPr>
      </w:pPr>
      <w:r>
        <w:rPr>
          <w:rFonts w:hint="eastAsia" w:ascii="宋体" w:hAnsi="宋体"/>
          <w:color w:val="auto"/>
          <w:sz w:val="24"/>
          <w:szCs w:val="24"/>
          <w:highlight w:val="none"/>
        </w:rPr>
        <w:t>（二）估价的限制条件</w:t>
      </w:r>
    </w:p>
    <w:p>
      <w:pPr>
        <w:spacing w:line="500" w:lineRule="exact"/>
        <w:ind w:firstLine="480" w:firstLineChars="200"/>
        <w:rPr>
          <w:rFonts w:hint="eastAsia" w:ascii="宋体" w:hAnsi="宋体"/>
          <w:color w:val="auto"/>
          <w:sz w:val="24"/>
          <w:highlight w:val="none"/>
        </w:rPr>
      </w:pPr>
      <w:r>
        <w:rPr>
          <w:rFonts w:hint="eastAsia" w:ascii="宋体" w:hAnsi="宋体"/>
          <w:color w:val="auto"/>
          <w:sz w:val="24"/>
          <w:highlight w:val="none"/>
        </w:rPr>
        <w:t>1.有关估价对象的产权等资料取自委托方，若资料有误，本报告应重新修订；</w:t>
      </w:r>
    </w:p>
    <w:p>
      <w:pPr>
        <w:spacing w:line="500" w:lineRule="exact"/>
        <w:ind w:firstLine="480" w:firstLineChars="200"/>
        <w:rPr>
          <w:rFonts w:hint="eastAsia" w:ascii="宋体" w:hAnsi="宋体"/>
          <w:color w:val="auto"/>
          <w:sz w:val="24"/>
          <w:highlight w:val="none"/>
        </w:rPr>
      </w:pPr>
      <w:r>
        <w:rPr>
          <w:rFonts w:hint="eastAsia" w:ascii="宋体" w:hAnsi="宋体"/>
          <w:color w:val="auto"/>
          <w:sz w:val="24"/>
          <w:highlight w:val="none"/>
        </w:rPr>
        <w:t>2.本报告的估价结果是估价对象在报告所列明之价值时点的价值，不能作为在其他时点的价值；</w:t>
      </w:r>
    </w:p>
    <w:p>
      <w:pPr>
        <w:spacing w:line="500" w:lineRule="exact"/>
        <w:ind w:firstLine="480" w:firstLineChars="200"/>
        <w:rPr>
          <w:rFonts w:hint="eastAsia" w:ascii="宋体" w:hAnsi="宋体"/>
          <w:color w:val="auto"/>
          <w:sz w:val="24"/>
          <w:highlight w:val="none"/>
        </w:rPr>
      </w:pPr>
      <w:r>
        <w:rPr>
          <w:rFonts w:hint="eastAsia" w:ascii="宋体" w:hAnsi="宋体"/>
          <w:color w:val="auto"/>
          <w:sz w:val="24"/>
          <w:highlight w:val="none"/>
        </w:rPr>
        <w:t>3.本估价报告仅适用于报告所列明之估价目的，其他用途的运用均无效；</w:t>
      </w:r>
    </w:p>
    <w:p>
      <w:pPr>
        <w:spacing w:line="500" w:lineRule="exact"/>
        <w:ind w:firstLine="480" w:firstLineChars="200"/>
        <w:rPr>
          <w:rFonts w:hint="eastAsia" w:ascii="宋体" w:hAnsi="宋体"/>
          <w:color w:val="auto"/>
          <w:sz w:val="24"/>
          <w:highlight w:val="none"/>
        </w:rPr>
      </w:pPr>
      <w:r>
        <w:rPr>
          <w:rFonts w:hint="eastAsia" w:ascii="宋体" w:hAnsi="宋体"/>
          <w:color w:val="auto"/>
          <w:sz w:val="24"/>
          <w:highlight w:val="none"/>
        </w:rPr>
        <w:t>4.本估价报告自</w:t>
      </w:r>
      <w:r>
        <w:rPr>
          <w:rFonts w:ascii="宋体" w:hAnsi="宋体"/>
          <w:color w:val="auto"/>
          <w:sz w:val="24"/>
          <w:highlight w:val="none"/>
        </w:rPr>
        <w:t>出具之日起一年有效，</w:t>
      </w:r>
      <w:r>
        <w:rPr>
          <w:rFonts w:hint="eastAsia" w:ascii="宋体" w:hAnsi="宋体"/>
          <w:color w:val="auto"/>
          <w:sz w:val="24"/>
          <w:highlight w:val="none"/>
        </w:rPr>
        <w:t>应在应用有效期内使用，对于超过此期限使用本报告的，本公司不承担责任；</w:t>
      </w:r>
    </w:p>
    <w:p>
      <w:pPr>
        <w:spacing w:line="500" w:lineRule="exact"/>
        <w:ind w:firstLine="480" w:firstLineChars="200"/>
        <w:rPr>
          <w:rFonts w:hint="eastAsia" w:ascii="宋体" w:hAnsi="宋体"/>
          <w:color w:val="auto"/>
          <w:sz w:val="24"/>
          <w:highlight w:val="none"/>
        </w:rPr>
      </w:pPr>
      <w:r>
        <w:rPr>
          <w:rFonts w:hint="eastAsia" w:ascii="宋体" w:hAnsi="宋体"/>
          <w:color w:val="auto"/>
          <w:sz w:val="24"/>
          <w:highlight w:val="none"/>
        </w:rPr>
        <w:t>5.估价结果未考虑估价对象及其运营企业(或其拥有人)已承担的债务、或有债务及经营决策失误或市场运作失当对其价值的影响；</w:t>
      </w:r>
    </w:p>
    <w:p>
      <w:pPr>
        <w:spacing w:line="500" w:lineRule="exact"/>
        <w:ind w:firstLine="480" w:firstLineChars="200"/>
        <w:rPr>
          <w:rFonts w:hint="eastAsia" w:ascii="宋体" w:hAnsi="宋体"/>
          <w:color w:val="auto"/>
          <w:sz w:val="24"/>
          <w:highlight w:val="none"/>
        </w:rPr>
      </w:pPr>
      <w:r>
        <w:rPr>
          <w:rFonts w:hint="eastAsia" w:ascii="宋体" w:hAnsi="宋体"/>
          <w:color w:val="auto"/>
          <w:sz w:val="24"/>
          <w:highlight w:val="none"/>
          <w:lang w:val="en-US" w:eastAsia="zh-CN"/>
        </w:rPr>
        <w:t>6.</w:t>
      </w:r>
      <w:r>
        <w:rPr>
          <w:rFonts w:hint="eastAsia" w:ascii="宋体" w:hAnsi="宋体"/>
          <w:color w:val="auto"/>
          <w:sz w:val="24"/>
          <w:highlight w:val="none"/>
        </w:rPr>
        <w:t>估价机构对报告本身的内容负责，且拥有对估价报告和估价结果的最终解释权。基于</w:t>
      </w:r>
      <w:r>
        <w:rPr>
          <w:rFonts w:hint="eastAsia" w:ascii="宋体" w:hAnsi="宋体"/>
          <w:color w:val="auto"/>
          <w:sz w:val="24"/>
          <w:highlight w:val="none"/>
          <w:lang w:eastAsia="zh-CN"/>
        </w:rPr>
        <w:t>司法财产处置</w:t>
      </w:r>
      <w:r>
        <w:rPr>
          <w:rFonts w:hint="eastAsia" w:ascii="宋体" w:hAnsi="宋体"/>
          <w:color w:val="auto"/>
          <w:sz w:val="24"/>
          <w:highlight w:val="none"/>
        </w:rPr>
        <w:t>需求，本报告部分内容可能会被发表于特定公开媒体，委托人应合理确定被发表内容，确保为阅读者对相关内容的全面、充分理解提供必要技术支持，避免因不客观的发表或转载行为损害估价机构声誉。本报告使用者为本次估价委托人，或为估价委托合同中约定的其他报告使用者和国家法律、法规规定的报告使用者。其他任何机构或个人在未经本机构及本次估价委托人许可，不能因得到估价报告而成为估价报告使用者。</w:t>
      </w:r>
    </w:p>
    <w:p>
      <w:pPr>
        <w:spacing w:line="500" w:lineRule="exact"/>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7.本报告中对于未来房地产市场发展趋势的分析、判断，是估价人员基于价值时点的房地产市场状况作出的，由于估价人员依据的数据资料或其经验、能力的限制，估价结果可能与实际情况存在一定的偏差，提请报告使用人注意。</w:t>
      </w:r>
    </w:p>
    <w:p>
      <w:pPr>
        <w:spacing w:line="500" w:lineRule="exact"/>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8.随着时间的推移，房地产市场状况和估价对象自身情况可能发生变化，导致估价对象的市场价值变化，建议报告使用人应定期或在房地产市场价格变化较快时对房地产市场价值进行再评估。</w:t>
      </w:r>
    </w:p>
    <w:p>
      <w:pPr>
        <w:topLinePunct w:val="0"/>
        <w:adjustRightInd/>
        <w:snapToGrid/>
        <w:spacing w:line="500" w:lineRule="exact"/>
        <w:ind w:firstLine="480" w:firstLineChars="200"/>
        <w:rPr>
          <w:rFonts w:hint="eastAsia" w:ascii="宋体" w:hAnsi="宋体"/>
          <w:snapToGrid/>
          <w:color w:val="auto"/>
          <w:kern w:val="2"/>
          <w:sz w:val="24"/>
          <w:highlight w:val="none"/>
        </w:rPr>
      </w:pPr>
      <w:r>
        <w:rPr>
          <w:rFonts w:hint="eastAsia" w:ascii="宋体" w:hAnsi="宋体"/>
          <w:snapToGrid/>
          <w:color w:val="auto"/>
          <w:kern w:val="2"/>
          <w:sz w:val="24"/>
          <w:szCs w:val="24"/>
          <w:highlight w:val="none"/>
          <w:lang w:val="en-US" w:eastAsia="zh-CN"/>
        </w:rPr>
        <w:t>9.</w:t>
      </w:r>
      <w:r>
        <w:rPr>
          <w:rFonts w:hint="eastAsia" w:ascii="宋体" w:hAnsi="宋体"/>
          <w:snapToGrid/>
          <w:color w:val="auto"/>
          <w:kern w:val="2"/>
          <w:sz w:val="24"/>
          <w:szCs w:val="24"/>
          <w:highlight w:val="none"/>
        </w:rPr>
        <w:t>本次</w:t>
      </w:r>
      <w:r>
        <w:rPr>
          <w:rFonts w:hint="eastAsia" w:ascii="宋体" w:hAnsi="宋体"/>
          <w:snapToGrid/>
          <w:color w:val="auto"/>
          <w:kern w:val="2"/>
          <w:sz w:val="24"/>
          <w:highlight w:val="none"/>
        </w:rPr>
        <w:t>估价结果不考虑评估费、诉讼费、律师费等财产处置费用对评估结果的影响。</w:t>
      </w:r>
    </w:p>
    <w:p>
      <w:pPr>
        <w:topLinePunct w:val="0"/>
        <w:adjustRightInd/>
        <w:snapToGrid/>
        <w:spacing w:line="500" w:lineRule="exact"/>
        <w:ind w:firstLine="480" w:firstLineChars="200"/>
        <w:rPr>
          <w:rFonts w:hint="eastAsia" w:ascii="宋体" w:hAnsi="宋体"/>
          <w:snapToGrid/>
          <w:color w:val="auto"/>
          <w:kern w:val="2"/>
          <w:sz w:val="24"/>
          <w:highlight w:val="none"/>
        </w:rPr>
      </w:pPr>
      <w:r>
        <w:rPr>
          <w:rFonts w:hint="eastAsia" w:ascii="宋体" w:hAnsi="宋体"/>
          <w:snapToGrid/>
          <w:color w:val="auto"/>
          <w:kern w:val="2"/>
          <w:sz w:val="24"/>
          <w:highlight w:val="none"/>
        </w:rPr>
        <w:t>1</w:t>
      </w:r>
      <w:r>
        <w:rPr>
          <w:rFonts w:hint="eastAsia" w:ascii="宋体" w:hAnsi="宋体"/>
          <w:snapToGrid/>
          <w:color w:val="auto"/>
          <w:kern w:val="2"/>
          <w:sz w:val="24"/>
          <w:highlight w:val="none"/>
          <w:lang w:eastAsia="zh-CN"/>
        </w:rPr>
        <w:t>0</w:t>
      </w:r>
      <w:r>
        <w:rPr>
          <w:rFonts w:hint="eastAsia" w:ascii="宋体" w:hAnsi="宋体"/>
          <w:snapToGrid/>
          <w:color w:val="auto"/>
          <w:kern w:val="2"/>
          <w:sz w:val="24"/>
          <w:szCs w:val="24"/>
          <w:highlight w:val="none"/>
        </w:rPr>
        <w:t>．</w:t>
      </w:r>
      <w:r>
        <w:rPr>
          <w:rFonts w:hint="eastAsia" w:ascii="宋体" w:hAnsi="宋体"/>
          <w:snapToGrid/>
          <w:color w:val="auto"/>
          <w:kern w:val="2"/>
          <w:sz w:val="24"/>
          <w:highlight w:val="none"/>
        </w:rPr>
        <w:t>估价结果使用特别提示：</w:t>
      </w:r>
    </w:p>
    <w:p>
      <w:pPr>
        <w:topLinePunct w:val="0"/>
        <w:adjustRightInd/>
        <w:snapToGrid/>
        <w:spacing w:line="500" w:lineRule="exact"/>
        <w:ind w:firstLine="480" w:firstLineChars="200"/>
        <w:rPr>
          <w:rFonts w:hint="eastAsia" w:ascii="宋体" w:hAnsi="宋体"/>
          <w:snapToGrid/>
          <w:color w:val="auto"/>
          <w:kern w:val="2"/>
          <w:sz w:val="24"/>
          <w:highlight w:val="none"/>
        </w:rPr>
      </w:pPr>
      <w:r>
        <w:rPr>
          <w:rFonts w:hint="eastAsia" w:ascii="宋体" w:hAnsi="宋体"/>
          <w:snapToGrid/>
          <w:color w:val="auto"/>
          <w:kern w:val="2"/>
          <w:sz w:val="24"/>
          <w:highlight w:val="none"/>
        </w:rPr>
        <w:fldChar w:fldCharType="begin"/>
      </w:r>
      <w:r>
        <w:rPr>
          <w:rFonts w:hint="eastAsia" w:ascii="宋体" w:hAnsi="宋体"/>
          <w:snapToGrid/>
          <w:color w:val="auto"/>
          <w:kern w:val="2"/>
          <w:sz w:val="24"/>
          <w:highlight w:val="none"/>
        </w:rPr>
        <w:instrText xml:space="preserve"> = 1 \* GB3 </w:instrText>
      </w:r>
      <w:r>
        <w:rPr>
          <w:rFonts w:hint="eastAsia" w:ascii="宋体" w:hAnsi="宋体"/>
          <w:snapToGrid/>
          <w:color w:val="auto"/>
          <w:kern w:val="2"/>
          <w:sz w:val="24"/>
          <w:highlight w:val="none"/>
        </w:rPr>
        <w:fldChar w:fldCharType="separate"/>
      </w:r>
      <w:r>
        <w:rPr>
          <w:rFonts w:hint="eastAsia" w:ascii="宋体" w:hAnsi="宋体"/>
          <w:snapToGrid/>
          <w:color w:val="auto"/>
          <w:kern w:val="2"/>
          <w:sz w:val="24"/>
          <w:highlight w:val="none"/>
        </w:rPr>
        <w:t>①</w:t>
      </w:r>
      <w:r>
        <w:rPr>
          <w:rFonts w:hint="eastAsia" w:ascii="宋体" w:hAnsi="宋体"/>
          <w:snapToGrid/>
          <w:color w:val="auto"/>
          <w:kern w:val="2"/>
          <w:sz w:val="24"/>
          <w:highlight w:val="none"/>
        </w:rPr>
        <w:fldChar w:fldCharType="end"/>
      </w:r>
      <w:r>
        <w:rPr>
          <w:rFonts w:hint="eastAsia" w:ascii="宋体" w:hAnsi="宋体"/>
          <w:snapToGrid/>
          <w:color w:val="auto"/>
          <w:kern w:val="2"/>
          <w:sz w:val="24"/>
          <w:highlight w:val="none"/>
        </w:rPr>
        <w:t>因</w:t>
      </w:r>
      <w:r>
        <w:rPr>
          <w:rFonts w:hint="eastAsia" w:ascii="宋体" w:hAnsi="宋体"/>
          <w:snapToGrid/>
          <w:color w:val="auto"/>
          <w:kern w:val="2"/>
          <w:sz w:val="24"/>
          <w:highlight w:val="none"/>
          <w:lang w:eastAsia="zh-CN"/>
        </w:rPr>
        <w:t>司法财产处置</w:t>
      </w:r>
      <w:r>
        <w:rPr>
          <w:rFonts w:hint="eastAsia" w:ascii="宋体" w:hAnsi="宋体"/>
          <w:snapToGrid/>
          <w:color w:val="auto"/>
          <w:kern w:val="2"/>
          <w:sz w:val="24"/>
          <w:highlight w:val="none"/>
        </w:rPr>
        <w:t xml:space="preserve">与价值时点不一致，估价对象状况或者房地产市场状况的变化会对估价结果产生影响； </w:t>
      </w:r>
    </w:p>
    <w:p>
      <w:pPr>
        <w:topLinePunct w:val="0"/>
        <w:adjustRightInd/>
        <w:snapToGrid/>
        <w:spacing w:line="500" w:lineRule="exact"/>
        <w:ind w:firstLine="480" w:firstLineChars="200"/>
        <w:rPr>
          <w:rFonts w:hint="eastAsia" w:ascii="宋体" w:hAnsi="宋体"/>
          <w:snapToGrid/>
          <w:color w:val="auto"/>
          <w:kern w:val="2"/>
          <w:sz w:val="24"/>
          <w:highlight w:val="none"/>
        </w:rPr>
      </w:pPr>
      <w:r>
        <w:rPr>
          <w:rFonts w:hint="eastAsia" w:ascii="宋体" w:hAnsi="宋体"/>
          <w:snapToGrid/>
          <w:color w:val="auto"/>
          <w:kern w:val="2"/>
          <w:sz w:val="24"/>
          <w:highlight w:val="none"/>
        </w:rPr>
        <w:fldChar w:fldCharType="begin"/>
      </w:r>
      <w:r>
        <w:rPr>
          <w:rFonts w:hint="eastAsia" w:ascii="宋体" w:hAnsi="宋体"/>
          <w:snapToGrid/>
          <w:color w:val="auto"/>
          <w:kern w:val="2"/>
          <w:sz w:val="24"/>
          <w:highlight w:val="none"/>
        </w:rPr>
        <w:instrText xml:space="preserve"> = 2 \* GB3 </w:instrText>
      </w:r>
      <w:r>
        <w:rPr>
          <w:rFonts w:hint="eastAsia" w:ascii="宋体" w:hAnsi="宋体"/>
          <w:snapToGrid/>
          <w:color w:val="auto"/>
          <w:kern w:val="2"/>
          <w:sz w:val="24"/>
          <w:highlight w:val="none"/>
        </w:rPr>
        <w:fldChar w:fldCharType="separate"/>
      </w:r>
      <w:r>
        <w:rPr>
          <w:rFonts w:hint="eastAsia" w:ascii="宋体" w:hAnsi="宋体"/>
          <w:snapToGrid/>
          <w:color w:val="auto"/>
          <w:kern w:val="2"/>
          <w:sz w:val="24"/>
          <w:highlight w:val="none"/>
        </w:rPr>
        <w:t>②</w:t>
      </w:r>
      <w:r>
        <w:rPr>
          <w:rFonts w:hint="eastAsia" w:ascii="宋体" w:hAnsi="宋体"/>
          <w:snapToGrid/>
          <w:color w:val="auto"/>
          <w:kern w:val="2"/>
          <w:sz w:val="24"/>
          <w:highlight w:val="none"/>
        </w:rPr>
        <w:fldChar w:fldCharType="end"/>
      </w:r>
      <w:r>
        <w:rPr>
          <w:rFonts w:hint="eastAsia" w:ascii="宋体" w:hAnsi="宋体"/>
          <w:snapToGrid/>
          <w:color w:val="auto"/>
          <w:kern w:val="2"/>
          <w:sz w:val="24"/>
          <w:highlight w:val="none"/>
        </w:rPr>
        <w:t>在报告使用有效期内，若估价对象状况或者房地产市场发生明显变化的，</w:t>
      </w:r>
      <w:r>
        <w:rPr>
          <w:rFonts w:hint="eastAsia" w:ascii="宋体" w:hAnsi="宋体"/>
          <w:snapToGrid/>
          <w:color w:val="auto"/>
          <w:kern w:val="2"/>
          <w:sz w:val="24"/>
          <w:szCs w:val="24"/>
          <w:highlight w:val="none"/>
        </w:rPr>
        <w:t>估价结果应予调整或委托估价机构重新估价</w:t>
      </w:r>
      <w:r>
        <w:rPr>
          <w:rFonts w:hint="eastAsia" w:ascii="宋体" w:hAnsi="宋体"/>
          <w:snapToGrid/>
          <w:color w:val="auto"/>
          <w:kern w:val="2"/>
          <w:sz w:val="24"/>
          <w:highlight w:val="none"/>
        </w:rPr>
        <w:t>；</w:t>
      </w:r>
    </w:p>
    <w:p>
      <w:pPr>
        <w:topLinePunct w:val="0"/>
        <w:adjustRightInd/>
        <w:snapToGrid/>
        <w:spacing w:line="500" w:lineRule="exact"/>
        <w:ind w:firstLine="480" w:firstLineChars="200"/>
        <w:rPr>
          <w:rFonts w:hint="eastAsia" w:ascii="宋体" w:hAnsi="宋体"/>
          <w:snapToGrid/>
          <w:color w:val="auto"/>
          <w:kern w:val="2"/>
          <w:sz w:val="24"/>
          <w:highlight w:val="none"/>
        </w:rPr>
      </w:pPr>
      <w:r>
        <w:rPr>
          <w:rFonts w:hint="eastAsia" w:ascii="宋体" w:hAnsi="宋体"/>
          <w:snapToGrid/>
          <w:color w:val="auto"/>
          <w:kern w:val="2"/>
          <w:sz w:val="24"/>
          <w:highlight w:val="none"/>
        </w:rPr>
        <w:fldChar w:fldCharType="begin"/>
      </w:r>
      <w:r>
        <w:rPr>
          <w:rFonts w:hint="eastAsia" w:ascii="宋体" w:hAnsi="宋体"/>
          <w:snapToGrid/>
          <w:color w:val="auto"/>
          <w:kern w:val="2"/>
          <w:sz w:val="24"/>
          <w:highlight w:val="none"/>
        </w:rPr>
        <w:instrText xml:space="preserve"> = 3 \* GB3 </w:instrText>
      </w:r>
      <w:r>
        <w:rPr>
          <w:rFonts w:hint="eastAsia" w:ascii="宋体" w:hAnsi="宋体"/>
          <w:snapToGrid/>
          <w:color w:val="auto"/>
          <w:kern w:val="2"/>
          <w:sz w:val="24"/>
          <w:highlight w:val="none"/>
        </w:rPr>
        <w:fldChar w:fldCharType="separate"/>
      </w:r>
      <w:r>
        <w:rPr>
          <w:rFonts w:hint="eastAsia" w:ascii="宋体" w:hAnsi="宋体"/>
          <w:snapToGrid/>
          <w:color w:val="auto"/>
          <w:kern w:val="2"/>
          <w:sz w:val="24"/>
          <w:highlight w:val="none"/>
        </w:rPr>
        <w:t>③</w:t>
      </w:r>
      <w:r>
        <w:rPr>
          <w:rFonts w:hint="eastAsia" w:ascii="宋体" w:hAnsi="宋体"/>
          <w:snapToGrid/>
          <w:color w:val="auto"/>
          <w:kern w:val="2"/>
          <w:sz w:val="24"/>
          <w:highlight w:val="none"/>
        </w:rPr>
        <w:fldChar w:fldCharType="end"/>
      </w:r>
      <w:r>
        <w:rPr>
          <w:rFonts w:hint="eastAsia" w:ascii="宋体" w:hAnsi="宋体"/>
          <w:snapToGrid/>
          <w:color w:val="auto"/>
          <w:kern w:val="2"/>
          <w:sz w:val="24"/>
          <w:highlight w:val="none"/>
        </w:rPr>
        <w:t>委托人或者估价报告使用人应当按照法律规定和估价报告载明的使用范围使用本估价报告或将本估价运用本次估价目的以外的任何经济行为及由此带来的结果，均由违规使用方承担相应的法律责任，本估价机构和注册房地产估价师依法不承担责任。</w:t>
      </w:r>
    </w:p>
    <w:p>
      <w:pPr>
        <w:topLinePunct w:val="0"/>
        <w:adjustRightInd/>
        <w:snapToGrid/>
        <w:spacing w:line="500" w:lineRule="exact"/>
        <w:ind w:firstLine="480" w:firstLineChars="200"/>
        <w:rPr>
          <w:rFonts w:hint="eastAsia" w:ascii="宋体" w:hAnsi="宋体"/>
          <w:snapToGrid/>
          <w:color w:val="auto"/>
          <w:kern w:val="2"/>
          <w:sz w:val="24"/>
          <w:highlight w:val="none"/>
        </w:rPr>
      </w:pPr>
      <w:r>
        <w:rPr>
          <w:rFonts w:hint="eastAsia" w:ascii="宋体" w:hAnsi="宋体"/>
          <w:snapToGrid/>
          <w:color w:val="auto"/>
          <w:kern w:val="2"/>
          <w:sz w:val="24"/>
          <w:highlight w:val="none"/>
        </w:rPr>
        <w:fldChar w:fldCharType="begin"/>
      </w:r>
      <w:r>
        <w:rPr>
          <w:rFonts w:hint="eastAsia" w:ascii="宋体" w:hAnsi="宋体"/>
          <w:snapToGrid/>
          <w:color w:val="auto"/>
          <w:kern w:val="2"/>
          <w:sz w:val="24"/>
          <w:highlight w:val="none"/>
        </w:rPr>
        <w:instrText xml:space="preserve"> = 4 \* GB3 </w:instrText>
      </w:r>
      <w:r>
        <w:rPr>
          <w:rFonts w:hint="eastAsia" w:ascii="宋体" w:hAnsi="宋体"/>
          <w:snapToGrid/>
          <w:color w:val="auto"/>
          <w:kern w:val="2"/>
          <w:sz w:val="24"/>
          <w:highlight w:val="none"/>
        </w:rPr>
        <w:fldChar w:fldCharType="separate"/>
      </w:r>
      <w:r>
        <w:rPr>
          <w:rFonts w:hint="eastAsia" w:ascii="宋体" w:hAnsi="宋体"/>
          <w:snapToGrid/>
          <w:color w:val="auto"/>
          <w:kern w:val="2"/>
          <w:sz w:val="24"/>
          <w:highlight w:val="none"/>
        </w:rPr>
        <w:t>④</w:t>
      </w:r>
      <w:r>
        <w:rPr>
          <w:rFonts w:hint="eastAsia" w:ascii="宋体" w:hAnsi="宋体"/>
          <w:snapToGrid/>
          <w:color w:val="auto"/>
          <w:kern w:val="2"/>
          <w:sz w:val="24"/>
          <w:highlight w:val="none"/>
        </w:rPr>
        <w:fldChar w:fldCharType="end"/>
      </w:r>
      <w:r>
        <w:rPr>
          <w:rFonts w:hint="eastAsia" w:ascii="宋体" w:hAnsi="宋体"/>
          <w:snapToGrid/>
          <w:color w:val="auto"/>
          <w:kern w:val="2"/>
          <w:sz w:val="24"/>
          <w:highlight w:val="none"/>
        </w:rPr>
        <w:t>本次估价结果不等于估价对象处置可实现的成交价，不应被认为是对估价对象处置成交价的保证。</w:t>
      </w:r>
    </w:p>
    <w:p>
      <w:pPr>
        <w:topLinePunct w:val="0"/>
        <w:adjustRightInd/>
        <w:snapToGrid/>
        <w:spacing w:line="500" w:lineRule="exact"/>
        <w:ind w:firstLine="480" w:firstLineChars="200"/>
        <w:rPr>
          <w:rFonts w:hint="eastAsia" w:ascii="宋体" w:hAnsi="宋体" w:eastAsia="宋体" w:cs="Times New Roman"/>
          <w:snapToGrid/>
          <w:color w:val="auto"/>
          <w:kern w:val="2"/>
          <w:sz w:val="24"/>
          <w:highlight w:val="none"/>
          <w:lang w:eastAsia="zh-CN"/>
        </w:rPr>
      </w:pPr>
      <w:r>
        <w:rPr>
          <w:rFonts w:hint="eastAsia" w:ascii="宋体" w:hAnsi="宋体" w:eastAsia="宋体" w:cs="Times New Roman"/>
          <w:snapToGrid/>
          <w:color w:val="auto"/>
          <w:kern w:val="2"/>
          <w:sz w:val="24"/>
          <w:highlight w:val="none"/>
        </w:rPr>
        <w:fldChar w:fldCharType="begin"/>
      </w:r>
      <w:r>
        <w:rPr>
          <w:rFonts w:hint="eastAsia" w:ascii="宋体" w:hAnsi="宋体" w:eastAsia="宋体" w:cs="Times New Roman"/>
          <w:snapToGrid/>
          <w:color w:val="auto"/>
          <w:kern w:val="2"/>
          <w:sz w:val="24"/>
          <w:highlight w:val="none"/>
        </w:rPr>
        <w:instrText xml:space="preserve"> = 5 \* GB3 \* MERGEFORMAT </w:instrText>
      </w:r>
      <w:r>
        <w:rPr>
          <w:rFonts w:hint="eastAsia" w:ascii="宋体" w:hAnsi="宋体" w:eastAsia="宋体" w:cs="Times New Roman"/>
          <w:snapToGrid/>
          <w:color w:val="auto"/>
          <w:kern w:val="2"/>
          <w:sz w:val="24"/>
          <w:highlight w:val="none"/>
        </w:rPr>
        <w:fldChar w:fldCharType="separate"/>
      </w:r>
      <w:r>
        <w:rPr>
          <w:rFonts w:hint="eastAsia" w:ascii="宋体" w:hAnsi="宋体" w:eastAsia="宋体" w:cs="Times New Roman"/>
          <w:snapToGrid/>
          <w:color w:val="auto"/>
          <w:kern w:val="2"/>
          <w:sz w:val="24"/>
          <w:highlight w:val="none"/>
        </w:rPr>
        <w:t>⑤</w:t>
      </w:r>
      <w:r>
        <w:rPr>
          <w:rFonts w:hint="eastAsia" w:ascii="宋体" w:hAnsi="宋体" w:eastAsia="宋体" w:cs="Times New Roman"/>
          <w:snapToGrid/>
          <w:color w:val="auto"/>
          <w:kern w:val="2"/>
          <w:sz w:val="24"/>
          <w:highlight w:val="none"/>
        </w:rPr>
        <w:fldChar w:fldCharType="end"/>
      </w:r>
      <w:r>
        <w:rPr>
          <w:rFonts w:hint="eastAsia" w:ascii="宋体" w:hAnsi="宋体" w:eastAsia="宋体" w:cs="Times New Roman"/>
          <w:snapToGrid/>
          <w:color w:val="auto"/>
          <w:kern w:val="2"/>
          <w:sz w:val="24"/>
          <w:highlight w:val="none"/>
          <w:lang w:val="en-US" w:eastAsia="zh-CN"/>
        </w:rPr>
        <w:t>估价对象</w:t>
      </w:r>
      <w:r>
        <w:rPr>
          <w:rFonts w:hint="eastAsia" w:ascii="宋体" w:hAnsi="宋体" w:eastAsia="宋体" w:cs="Times New Roman"/>
          <w:snapToGrid/>
          <w:color w:val="auto"/>
          <w:kern w:val="2"/>
          <w:sz w:val="24"/>
          <w:highlight w:val="none"/>
        </w:rPr>
        <w:t>拍卖或者变卖之日与价值时点不一致，可能导致评估结果对应的评估对象状况、房地产市场状况、欠缴税费状况等与财产拍卖或者变卖时的相应状况不一致，发生明显变化的，评估结果应当进行相应调整后才可使用</w:t>
      </w:r>
      <w:r>
        <w:rPr>
          <w:rFonts w:hint="eastAsia" w:ascii="宋体" w:hAnsi="宋体" w:eastAsia="宋体" w:cs="Times New Roman"/>
          <w:snapToGrid/>
          <w:color w:val="auto"/>
          <w:kern w:val="2"/>
          <w:sz w:val="24"/>
          <w:highlight w:val="none"/>
          <w:lang w:eastAsia="zh-CN"/>
        </w:rPr>
        <w:t>。</w:t>
      </w:r>
    </w:p>
    <w:p>
      <w:pPr>
        <w:pStyle w:val="67"/>
        <w:keepNext w:val="0"/>
        <w:keepLines w:val="0"/>
        <w:widowControl/>
        <w:suppressLineNumbers w:val="0"/>
        <w:shd w:val="clear" w:color="auto" w:fill="FFFFFF"/>
        <w:spacing w:before="120" w:beforeAutospacing="0" w:after="120" w:afterAutospacing="0" w:line="420" w:lineRule="atLeast"/>
        <w:ind w:left="0" w:right="0" w:firstLine="384"/>
        <w:jc w:val="both"/>
        <w:rPr>
          <w:rFonts w:hint="eastAsia" w:ascii="宋体" w:hAnsi="宋体" w:eastAsia="宋体" w:cs="Times New Roman"/>
          <w:snapToGrid/>
          <w:color w:val="auto"/>
          <w:kern w:val="2"/>
          <w:sz w:val="24"/>
          <w:highlight w:val="none"/>
          <w:lang w:eastAsia="zh-CN"/>
        </w:rPr>
      </w:pPr>
      <w:r>
        <w:rPr>
          <w:rFonts w:hint="eastAsia" w:ascii="宋体" w:hAnsi="宋体" w:eastAsia="宋体" w:cs="Times New Roman"/>
          <w:snapToGrid/>
          <w:color w:val="auto"/>
          <w:kern w:val="2"/>
          <w:sz w:val="24"/>
          <w:highlight w:val="none"/>
          <w:lang w:eastAsia="zh-CN"/>
        </w:rPr>
        <w:fldChar w:fldCharType="begin"/>
      </w:r>
      <w:r>
        <w:rPr>
          <w:rFonts w:hint="eastAsia" w:ascii="宋体" w:hAnsi="宋体" w:eastAsia="宋体" w:cs="Times New Roman"/>
          <w:snapToGrid/>
          <w:color w:val="auto"/>
          <w:kern w:val="2"/>
          <w:sz w:val="24"/>
          <w:highlight w:val="none"/>
          <w:lang w:eastAsia="zh-CN"/>
        </w:rPr>
        <w:instrText xml:space="preserve"> = 6 \* GB3 \* MERGEFORMAT </w:instrText>
      </w:r>
      <w:r>
        <w:rPr>
          <w:rFonts w:hint="eastAsia" w:ascii="宋体" w:hAnsi="宋体" w:eastAsia="宋体" w:cs="Times New Roman"/>
          <w:snapToGrid/>
          <w:color w:val="auto"/>
          <w:kern w:val="2"/>
          <w:sz w:val="24"/>
          <w:highlight w:val="none"/>
          <w:lang w:eastAsia="zh-CN"/>
        </w:rPr>
        <w:fldChar w:fldCharType="separate"/>
      </w:r>
      <w:r>
        <w:rPr>
          <w:rFonts w:hint="eastAsia" w:ascii="宋体" w:hAnsi="宋体" w:eastAsia="宋体" w:cs="Times New Roman"/>
          <w:snapToGrid/>
          <w:color w:val="auto"/>
          <w:kern w:val="2"/>
          <w:sz w:val="24"/>
          <w:highlight w:val="none"/>
        </w:rPr>
        <w:t>⑥</w:t>
      </w:r>
      <w:r>
        <w:rPr>
          <w:rFonts w:hint="eastAsia" w:ascii="宋体" w:hAnsi="宋体" w:eastAsia="宋体" w:cs="Times New Roman"/>
          <w:snapToGrid/>
          <w:color w:val="auto"/>
          <w:kern w:val="2"/>
          <w:sz w:val="24"/>
          <w:highlight w:val="none"/>
          <w:lang w:eastAsia="zh-CN"/>
        </w:rPr>
        <w:fldChar w:fldCharType="end"/>
      </w:r>
      <w:r>
        <w:rPr>
          <w:rFonts w:hint="eastAsia" w:ascii="宋体" w:hAnsi="宋体" w:eastAsia="宋体" w:cs="宋体"/>
          <w:color w:val="auto"/>
          <w:sz w:val="24"/>
          <w:szCs w:val="24"/>
          <w:shd w:val="clear" w:color="auto" w:fill="FFFFFF"/>
        </w:rPr>
        <w:t>当事人、利害关系人收到评估报告后五日内可对评估报告的参照标准、计算方法或者评估结果等向人民法院提出书面异议；当事人、利害关系人对评估机构作出的说明仍有异议的，可以提请人民法院委托评估行业组织进行专业技术评审。</w:t>
      </w:r>
    </w:p>
    <w:p>
      <w:pPr>
        <w:spacing w:line="500" w:lineRule="exact"/>
        <w:ind w:firstLine="480" w:firstLineChars="200"/>
        <w:rPr>
          <w:rFonts w:hint="eastAsia" w:ascii="宋体" w:hAnsi="宋体"/>
          <w:color w:val="auto"/>
          <w:sz w:val="24"/>
          <w:highlight w:val="none"/>
          <w:lang w:val="en-US" w:eastAsia="zh-CN"/>
        </w:rPr>
      </w:pPr>
      <w:r>
        <w:rPr>
          <w:rFonts w:hint="eastAsia" w:ascii="宋体" w:hAnsi="宋体"/>
          <w:snapToGrid/>
          <w:color w:val="auto"/>
          <w:sz w:val="24"/>
          <w:szCs w:val="24"/>
          <w:highlight w:val="none"/>
        </w:rPr>
        <w:t>1</w:t>
      </w:r>
      <w:r>
        <w:rPr>
          <w:rFonts w:hint="eastAsia" w:ascii="宋体" w:hAnsi="宋体"/>
          <w:snapToGrid/>
          <w:color w:val="auto"/>
          <w:sz w:val="24"/>
          <w:szCs w:val="24"/>
          <w:highlight w:val="none"/>
          <w:lang w:eastAsia="zh-CN"/>
        </w:rPr>
        <w:t>1</w:t>
      </w:r>
      <w:r>
        <w:rPr>
          <w:rFonts w:hint="eastAsia" w:ascii="宋体" w:hAnsi="宋体"/>
          <w:snapToGrid/>
          <w:color w:val="auto"/>
          <w:sz w:val="24"/>
          <w:szCs w:val="24"/>
          <w:highlight w:val="none"/>
        </w:rPr>
        <w:t>．本次评估是基于上述假设和限制条件成立的，如以上假设和限制条件发生变化，本报告结果必须作相应调整。</w:t>
      </w:r>
    </w:p>
    <w:p>
      <w:pPr>
        <w:spacing w:line="500" w:lineRule="exact"/>
        <w:ind w:firstLine="480" w:firstLineChars="200"/>
        <w:rPr>
          <w:rFonts w:hint="eastAsia" w:ascii="宋体" w:hAnsi="宋体"/>
          <w:color w:val="auto"/>
          <w:sz w:val="24"/>
          <w:highlight w:val="none"/>
        </w:rPr>
      </w:pPr>
      <w:r>
        <w:rPr>
          <w:rFonts w:hint="eastAsia" w:ascii="宋体" w:hAnsi="宋体"/>
          <w:color w:val="auto"/>
          <w:sz w:val="24"/>
          <w:highlight w:val="none"/>
          <w:lang w:val="en-US" w:eastAsia="zh-CN"/>
        </w:rPr>
        <w:t>12.</w:t>
      </w:r>
      <w:r>
        <w:rPr>
          <w:rFonts w:hint="eastAsia" w:ascii="宋体" w:hAnsi="宋体"/>
          <w:color w:val="auto"/>
          <w:sz w:val="24"/>
          <w:highlight w:val="none"/>
        </w:rPr>
        <w:t>本估价报告及附件须同时完整使用方为有效，本公司不对仅使用报告中部分内容或不同时使用所可能导致的任何损失承担责任。本</w:t>
      </w:r>
      <w:r>
        <w:rPr>
          <w:rFonts w:hint="eastAsia" w:ascii="宋体" w:hAnsi="宋体"/>
          <w:color w:val="auto"/>
          <w:sz w:val="24"/>
          <w:highlight w:val="none"/>
          <w:lang w:val="en-US" w:eastAsia="zh-CN"/>
        </w:rPr>
        <w:t>估价</w:t>
      </w:r>
      <w:r>
        <w:rPr>
          <w:rFonts w:hint="eastAsia" w:ascii="宋体" w:hAnsi="宋体"/>
          <w:color w:val="auto"/>
          <w:sz w:val="24"/>
          <w:highlight w:val="none"/>
        </w:rPr>
        <w:t>报告不可作为任何形式的产权证明文件。</w:t>
      </w:r>
    </w:p>
    <w:p>
      <w:pPr>
        <w:pStyle w:val="2"/>
        <w:spacing w:before="360" w:after="360" w:line="240" w:lineRule="auto"/>
        <w:jc w:val="center"/>
        <w:rPr>
          <w:rFonts w:hint="eastAsia" w:ascii="宋体" w:hAnsi="宋体"/>
          <w:bCs/>
          <w:color w:val="auto"/>
          <w:sz w:val="28"/>
          <w:highlight w:val="none"/>
        </w:rPr>
      </w:pPr>
      <w:r>
        <w:rPr>
          <w:rFonts w:hint="eastAsia"/>
          <w:color w:val="auto"/>
          <w:highlight w:val="none"/>
        </w:rPr>
        <w:br w:type="page"/>
      </w:r>
      <w:bookmarkEnd w:id="21"/>
      <w:bookmarkEnd w:id="22"/>
      <w:bookmarkStart w:id="27" w:name="_Toc337642426"/>
      <w:bookmarkStart w:id="28" w:name="_Toc31615"/>
      <w:r>
        <w:rPr>
          <w:rFonts w:hint="eastAsia" w:ascii="宋体" w:hAnsi="宋体"/>
          <w:bCs/>
          <w:color w:val="auto"/>
          <w:sz w:val="28"/>
          <w:highlight w:val="none"/>
        </w:rPr>
        <w:t>三、房地产估价结果报告</w:t>
      </w:r>
      <w:bookmarkEnd w:id="27"/>
      <w:bookmarkEnd w:id="28"/>
    </w:p>
    <w:bookmarkEnd w:id="23"/>
    <w:bookmarkEnd w:id="24"/>
    <w:p>
      <w:pPr>
        <w:pStyle w:val="3"/>
        <w:spacing w:before="120" w:beforeLines="50" w:after="0" w:line="360" w:lineRule="auto"/>
        <w:ind w:left="198"/>
        <w:rPr>
          <w:rFonts w:hint="eastAsia" w:ascii="宋体" w:hAnsi="宋体" w:eastAsia="宋体"/>
          <w:color w:val="auto"/>
          <w:sz w:val="24"/>
          <w:highlight w:val="none"/>
        </w:rPr>
      </w:pPr>
      <w:bookmarkStart w:id="29" w:name="_Toc172481238"/>
      <w:bookmarkStart w:id="30" w:name="_Toc40186489"/>
      <w:bookmarkStart w:id="31" w:name="_Toc165264279"/>
      <w:bookmarkStart w:id="32" w:name="_Toc337642427"/>
      <w:bookmarkStart w:id="33" w:name="_Toc24885"/>
      <w:r>
        <w:rPr>
          <w:rFonts w:hint="eastAsia" w:ascii="宋体" w:hAnsi="宋体" w:eastAsia="宋体"/>
          <w:color w:val="auto"/>
          <w:sz w:val="24"/>
          <w:highlight w:val="none"/>
        </w:rPr>
        <w:t>（一）</w:t>
      </w:r>
      <w:bookmarkEnd w:id="29"/>
      <w:bookmarkEnd w:id="30"/>
      <w:bookmarkEnd w:id="31"/>
      <w:r>
        <w:rPr>
          <w:rFonts w:hint="eastAsia" w:ascii="宋体" w:hAnsi="宋体" w:eastAsia="宋体"/>
          <w:color w:val="auto"/>
          <w:sz w:val="24"/>
          <w:highlight w:val="none"/>
        </w:rPr>
        <w:t>估价委托人</w:t>
      </w:r>
      <w:bookmarkEnd w:id="32"/>
      <w:bookmarkEnd w:id="33"/>
    </w:p>
    <w:p>
      <w:pPr>
        <w:spacing w:line="360" w:lineRule="auto"/>
        <w:ind w:firstLine="480" w:firstLineChars="200"/>
        <w:rPr>
          <w:rFonts w:hint="eastAsia" w:ascii="宋体" w:hAnsi="宋体" w:eastAsia="宋体"/>
          <w:color w:val="auto"/>
          <w:sz w:val="24"/>
          <w:highlight w:val="none"/>
          <w:lang w:eastAsia="zh-CN"/>
        </w:rPr>
      </w:pPr>
      <w:r>
        <w:rPr>
          <w:rFonts w:hint="eastAsia" w:ascii="宋体" w:hAnsi="宋体"/>
          <w:color w:val="auto"/>
          <w:sz w:val="24"/>
          <w:highlight w:val="none"/>
        </w:rPr>
        <w:t>委托人：</w:t>
      </w:r>
      <w:r>
        <w:rPr>
          <w:rFonts w:hint="eastAsia" w:ascii="宋体" w:hAnsi="宋体"/>
          <w:color w:val="auto"/>
          <w:sz w:val="24"/>
          <w:highlight w:val="none"/>
          <w:lang w:eastAsia="zh-CN"/>
        </w:rPr>
        <w:t>广东省南澳县人民法院</w:t>
      </w:r>
    </w:p>
    <w:p>
      <w:pPr>
        <w:pStyle w:val="3"/>
        <w:spacing w:before="120" w:beforeLines="50" w:after="0" w:line="360" w:lineRule="auto"/>
        <w:ind w:left="198"/>
        <w:rPr>
          <w:rFonts w:hint="eastAsia" w:ascii="宋体" w:hAnsi="宋体" w:eastAsia="宋体"/>
          <w:color w:val="auto"/>
          <w:sz w:val="24"/>
          <w:highlight w:val="none"/>
        </w:rPr>
      </w:pPr>
      <w:bookmarkStart w:id="34" w:name="_Toc40186490"/>
      <w:bookmarkStart w:id="35" w:name="_Toc494703318"/>
      <w:bookmarkStart w:id="36" w:name="_Toc165264280"/>
      <w:bookmarkStart w:id="37" w:name="_Toc467923303"/>
      <w:bookmarkStart w:id="38" w:name="_Toc512132720"/>
      <w:bookmarkStart w:id="39" w:name="_Toc172481239"/>
      <w:bookmarkStart w:id="40" w:name="_Toc337642428"/>
      <w:bookmarkStart w:id="41" w:name="_Toc20404"/>
      <w:r>
        <w:rPr>
          <w:rFonts w:hint="eastAsia" w:ascii="宋体" w:hAnsi="宋体" w:eastAsia="宋体"/>
          <w:color w:val="auto"/>
          <w:sz w:val="24"/>
          <w:highlight w:val="none"/>
        </w:rPr>
        <w:t>（二）估价</w:t>
      </w:r>
      <w:bookmarkEnd w:id="34"/>
      <w:bookmarkEnd w:id="35"/>
      <w:bookmarkEnd w:id="36"/>
      <w:bookmarkEnd w:id="37"/>
      <w:bookmarkEnd w:id="38"/>
      <w:bookmarkEnd w:id="39"/>
      <w:r>
        <w:rPr>
          <w:rFonts w:hint="eastAsia" w:ascii="宋体" w:hAnsi="宋体" w:eastAsia="宋体"/>
          <w:color w:val="auto"/>
          <w:sz w:val="24"/>
          <w:highlight w:val="none"/>
        </w:rPr>
        <w:t>机构</w:t>
      </w:r>
      <w:bookmarkEnd w:id="40"/>
      <w:bookmarkEnd w:id="41"/>
      <w:r>
        <w:rPr>
          <w:rFonts w:hint="eastAsia" w:ascii="宋体" w:hAnsi="宋体" w:eastAsia="宋体"/>
          <w:color w:val="auto"/>
          <w:sz w:val="24"/>
          <w:highlight w:val="none"/>
        </w:rPr>
        <w:t xml:space="preserve"> </w:t>
      </w:r>
    </w:p>
    <w:p>
      <w:pPr>
        <w:spacing w:line="360" w:lineRule="auto"/>
        <w:ind w:firstLine="480" w:firstLineChars="200"/>
        <w:rPr>
          <w:rFonts w:hint="eastAsia" w:ascii="宋体" w:hAnsi="宋体"/>
          <w:color w:val="auto"/>
          <w:sz w:val="24"/>
          <w:highlight w:val="none"/>
        </w:rPr>
      </w:pPr>
      <w:bookmarkStart w:id="42" w:name="_Toc165264281"/>
      <w:bookmarkStart w:id="43" w:name="_Toc172481240"/>
      <w:bookmarkStart w:id="44" w:name="_Toc40186491"/>
      <w:bookmarkStart w:id="45" w:name="_Toc494703320"/>
      <w:r>
        <w:rPr>
          <w:rFonts w:hint="eastAsia" w:ascii="宋体" w:hAnsi="宋体"/>
          <w:color w:val="auto"/>
          <w:sz w:val="24"/>
          <w:highlight w:val="none"/>
        </w:rPr>
        <w:t xml:space="preserve">机构名称：汕头市宏基土地房地产评估有限公司 </w:t>
      </w:r>
    </w:p>
    <w:p>
      <w:pPr>
        <w:spacing w:line="360" w:lineRule="auto"/>
        <w:ind w:firstLine="480" w:firstLineChars="200"/>
        <w:rPr>
          <w:rFonts w:ascii="宋体" w:hAnsi="宋体" w:cs="宋体"/>
          <w:color w:val="auto"/>
          <w:kern w:val="0"/>
          <w:szCs w:val="21"/>
          <w:highlight w:val="none"/>
        </w:rPr>
      </w:pPr>
      <w:r>
        <w:rPr>
          <w:rFonts w:hint="eastAsia" w:ascii="宋体" w:hAnsi="宋体"/>
          <w:color w:val="auto"/>
          <w:sz w:val="24"/>
          <w:highlight w:val="none"/>
        </w:rPr>
        <w:t>住    所：</w:t>
      </w:r>
      <w:r>
        <w:rPr>
          <w:rFonts w:ascii="宋体" w:hAnsi="宋体" w:cs="宋体"/>
          <w:color w:val="auto"/>
          <w:kern w:val="0"/>
          <w:sz w:val="22"/>
          <w:szCs w:val="22"/>
          <w:highlight w:val="none"/>
        </w:rPr>
        <w:t>汕头市澄海区玉亭路南侧、玉潭路西侧馥璟园1幢804号、805号、806号</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法定代表人：林添盛</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公司类型：有限责任公司</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注册资本：人民币400万元</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资质等级：贰级</w:t>
      </w:r>
    </w:p>
    <w:p>
      <w:pPr>
        <w:spacing w:line="360" w:lineRule="auto"/>
        <w:ind w:firstLine="480" w:firstLineChars="200"/>
        <w:rPr>
          <w:rFonts w:hint="eastAsia" w:ascii="宋体" w:hAnsi="宋体"/>
          <w:color w:val="auto"/>
          <w:sz w:val="24"/>
          <w:highlight w:val="none"/>
        </w:rPr>
      </w:pPr>
      <w:bookmarkStart w:id="46" w:name="_Toc337642429"/>
      <w:r>
        <w:rPr>
          <w:rFonts w:hint="eastAsia" w:ascii="宋体" w:hAnsi="宋体"/>
          <w:color w:val="auto"/>
          <w:sz w:val="24"/>
          <w:highlight w:val="none"/>
        </w:rPr>
        <w:t>资质证书编号：粤房估备字贰0400005</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有效期限：202</w:t>
      </w:r>
      <w:r>
        <w:rPr>
          <w:rFonts w:hint="eastAsia" w:ascii="宋体" w:hAnsi="宋体"/>
          <w:color w:val="auto"/>
          <w:sz w:val="24"/>
          <w:highlight w:val="none"/>
          <w:lang w:val="en-US" w:eastAsia="zh-CN"/>
        </w:rPr>
        <w:t>4</w:t>
      </w:r>
      <w:r>
        <w:rPr>
          <w:rFonts w:hint="eastAsia" w:ascii="宋体" w:hAnsi="宋体"/>
          <w:color w:val="auto"/>
          <w:sz w:val="24"/>
          <w:highlight w:val="none"/>
        </w:rPr>
        <w:t>年</w:t>
      </w:r>
      <w:r>
        <w:rPr>
          <w:rFonts w:hint="eastAsia" w:ascii="宋体" w:hAnsi="宋体"/>
          <w:color w:val="auto"/>
          <w:sz w:val="24"/>
          <w:highlight w:val="none"/>
          <w:lang w:val="en-US" w:eastAsia="zh-CN"/>
        </w:rPr>
        <w:t>09</w:t>
      </w:r>
      <w:r>
        <w:rPr>
          <w:rFonts w:hint="eastAsia" w:ascii="宋体" w:hAnsi="宋体"/>
          <w:color w:val="auto"/>
          <w:sz w:val="24"/>
          <w:highlight w:val="none"/>
        </w:rPr>
        <w:t>月</w:t>
      </w:r>
      <w:r>
        <w:rPr>
          <w:rFonts w:hint="eastAsia" w:ascii="宋体" w:hAnsi="宋体"/>
          <w:color w:val="auto"/>
          <w:sz w:val="24"/>
          <w:highlight w:val="none"/>
          <w:lang w:val="en-US" w:eastAsia="zh-CN"/>
        </w:rPr>
        <w:t>03</w:t>
      </w:r>
      <w:r>
        <w:rPr>
          <w:rFonts w:hint="eastAsia" w:ascii="宋体" w:hAnsi="宋体"/>
          <w:color w:val="auto"/>
          <w:sz w:val="24"/>
          <w:highlight w:val="none"/>
          <w:lang w:eastAsia="zh-CN"/>
        </w:rPr>
        <w:t>日</w:t>
      </w:r>
      <w:r>
        <w:rPr>
          <w:rFonts w:hint="eastAsia" w:ascii="宋体" w:hAnsi="宋体"/>
          <w:color w:val="auto"/>
          <w:sz w:val="24"/>
          <w:highlight w:val="none"/>
        </w:rPr>
        <w:t>止</w:t>
      </w:r>
    </w:p>
    <w:p>
      <w:pPr>
        <w:pStyle w:val="3"/>
        <w:spacing w:before="120" w:beforeLines="50" w:after="0" w:line="360" w:lineRule="auto"/>
        <w:ind w:left="198"/>
        <w:rPr>
          <w:rFonts w:hint="eastAsia" w:ascii="宋体" w:hAnsi="宋体" w:eastAsia="宋体"/>
          <w:color w:val="auto"/>
          <w:sz w:val="24"/>
          <w:highlight w:val="none"/>
        </w:rPr>
      </w:pPr>
      <w:bookmarkStart w:id="47" w:name="_Toc20989"/>
      <w:r>
        <w:rPr>
          <w:rFonts w:hint="eastAsia" w:ascii="宋体" w:hAnsi="宋体" w:eastAsia="宋体"/>
          <w:color w:val="auto"/>
          <w:sz w:val="24"/>
          <w:highlight w:val="none"/>
        </w:rPr>
        <w:t>（三）估价目的</w:t>
      </w:r>
      <w:bookmarkEnd w:id="47"/>
    </w:p>
    <w:p>
      <w:pPr>
        <w:snapToGrid w:val="0"/>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lang w:eastAsia="zh-CN"/>
        </w:rPr>
        <w:t>根据</w:t>
      </w:r>
      <w:r>
        <w:rPr>
          <w:rFonts w:hint="eastAsia" w:ascii="宋体" w:hAnsi="宋体"/>
          <w:color w:val="auto"/>
          <w:sz w:val="24"/>
          <w:highlight w:val="none"/>
          <w:lang w:val="en-US" w:eastAsia="zh-CN"/>
        </w:rPr>
        <w:t>《广东省南澳县人民法院评估委托书》[(2022)汕澳法技鉴字第12号]及其他相关资料</w:t>
      </w:r>
      <w:r>
        <w:rPr>
          <w:rFonts w:hint="eastAsia" w:ascii="宋体" w:hAnsi="宋体"/>
          <w:color w:val="auto"/>
          <w:sz w:val="24"/>
          <w:highlight w:val="none"/>
          <w:lang w:eastAsia="zh-CN"/>
        </w:rPr>
        <w:t>，本次估价目的为：为人民法院确定财产处置参考价提供参考依据</w:t>
      </w:r>
      <w:r>
        <w:rPr>
          <w:rFonts w:hint="eastAsia" w:ascii="宋体" w:hAnsi="宋体"/>
          <w:color w:val="auto"/>
          <w:sz w:val="24"/>
          <w:highlight w:val="none"/>
        </w:rPr>
        <w:t>。</w:t>
      </w:r>
    </w:p>
    <w:p>
      <w:pPr>
        <w:snapToGrid w:val="0"/>
        <w:spacing w:line="360" w:lineRule="auto"/>
        <w:outlineLvl w:val="1"/>
        <w:rPr>
          <w:rFonts w:hint="eastAsia" w:ascii="宋体" w:hAnsi="宋体" w:eastAsia="宋体"/>
          <w:b/>
          <w:bCs/>
          <w:color w:val="auto"/>
          <w:kern w:val="2"/>
          <w:sz w:val="24"/>
          <w:szCs w:val="32"/>
          <w:highlight w:val="none"/>
          <w:lang w:val="en-US" w:eastAsia="zh-CN" w:bidi="ar-SA"/>
        </w:rPr>
      </w:pPr>
      <w:r>
        <w:rPr>
          <w:rFonts w:hint="eastAsia" w:ascii="宋体" w:hAnsi="宋体" w:eastAsia="宋体"/>
          <w:color w:val="auto"/>
          <w:sz w:val="24"/>
          <w:highlight w:val="none"/>
          <w:lang w:val="en-US" w:eastAsia="zh-CN"/>
        </w:rPr>
        <w:t xml:space="preserve">  </w:t>
      </w:r>
      <w:bookmarkStart w:id="48" w:name="_Toc7105"/>
      <w:r>
        <w:rPr>
          <w:rFonts w:hint="eastAsia" w:ascii="宋体" w:hAnsi="宋体" w:eastAsia="宋体"/>
          <w:b/>
          <w:bCs/>
          <w:color w:val="auto"/>
          <w:kern w:val="2"/>
          <w:sz w:val="24"/>
          <w:szCs w:val="32"/>
          <w:highlight w:val="none"/>
          <w:lang w:val="en-US" w:eastAsia="zh-CN" w:bidi="ar-SA"/>
        </w:rPr>
        <w:t>（四）估价对象</w:t>
      </w:r>
      <w:bookmarkEnd w:id="42"/>
      <w:bookmarkEnd w:id="43"/>
      <w:bookmarkEnd w:id="44"/>
      <w:bookmarkEnd w:id="46"/>
      <w:bookmarkEnd w:id="48"/>
    </w:p>
    <w:p>
      <w:pPr>
        <w:numPr>
          <w:ilvl w:val="0"/>
          <w:numId w:val="0"/>
        </w:numPr>
        <w:tabs>
          <w:tab w:val="left" w:pos="7350"/>
        </w:tabs>
        <w:snapToGrid w:val="0"/>
        <w:spacing w:line="360" w:lineRule="auto"/>
        <w:ind w:left="482" w:leftChars="0"/>
        <w:rPr>
          <w:rFonts w:hint="eastAsia" w:ascii="宋体" w:hAnsi="宋体"/>
          <w:b/>
          <w:color w:val="auto"/>
          <w:sz w:val="24"/>
          <w:highlight w:val="none"/>
        </w:rPr>
      </w:pPr>
      <w:r>
        <w:rPr>
          <w:rFonts w:hint="eastAsia" w:ascii="宋体" w:hAnsi="宋体"/>
          <w:b/>
          <w:color w:val="auto"/>
          <w:sz w:val="24"/>
          <w:highlight w:val="none"/>
          <w:lang w:val="en-US" w:eastAsia="zh-CN"/>
        </w:rPr>
        <w:t>1</w:t>
      </w:r>
      <w:r>
        <w:rPr>
          <w:rFonts w:hint="eastAsia" w:ascii="宋体" w:hAnsi="宋体"/>
          <w:color w:val="auto"/>
          <w:sz w:val="24"/>
          <w:highlight w:val="none"/>
        </w:rPr>
        <w:t>、</w:t>
      </w:r>
      <w:r>
        <w:rPr>
          <w:rFonts w:hint="eastAsia" w:ascii="宋体" w:hAnsi="宋体"/>
          <w:b/>
          <w:color w:val="auto"/>
          <w:sz w:val="24"/>
          <w:highlight w:val="none"/>
        </w:rPr>
        <w:t>估价对象范围</w:t>
      </w:r>
    </w:p>
    <w:p>
      <w:pPr>
        <w:tabs>
          <w:tab w:val="left" w:pos="7350"/>
        </w:tabs>
        <w:snapToGrid w:val="0"/>
        <w:spacing w:line="360" w:lineRule="auto"/>
        <w:ind w:firstLine="480" w:firstLineChars="200"/>
        <w:rPr>
          <w:rFonts w:hint="eastAsia" w:ascii="宋体" w:hAnsi="宋体"/>
          <w:color w:val="auto"/>
          <w:sz w:val="24"/>
          <w:highlight w:val="none"/>
        </w:rPr>
      </w:pPr>
      <w:r>
        <w:rPr>
          <w:rFonts w:hint="eastAsia" w:ascii="宋体" w:hAnsi="宋体"/>
          <w:b w:val="0"/>
          <w:color w:val="auto"/>
          <w:sz w:val="24"/>
          <w:highlight w:val="none"/>
        </w:rPr>
        <w:t>本次估价对象范围为</w:t>
      </w:r>
      <w:r>
        <w:rPr>
          <w:rFonts w:hint="eastAsia" w:ascii="宋体" w:hAnsi="宋体"/>
          <w:color w:val="auto"/>
          <w:sz w:val="24"/>
          <w:highlight w:val="none"/>
          <w:lang w:eastAsia="zh-CN"/>
        </w:rPr>
        <w:t>汕头市南澳县后宅镇港畔路2号楼1301、1302、1303、1401、1501号</w:t>
      </w:r>
      <w:r>
        <w:rPr>
          <w:rFonts w:hint="eastAsia" w:ascii="宋体" w:hAnsi="宋体"/>
          <w:b w:val="0"/>
          <w:color w:val="auto"/>
          <w:sz w:val="24"/>
          <w:highlight w:val="none"/>
        </w:rPr>
        <w:t>的房地产，估价对象</w:t>
      </w:r>
      <w:r>
        <w:rPr>
          <w:rFonts w:hint="eastAsia" w:ascii="宋体" w:hAnsi="宋体"/>
          <w:b w:val="0"/>
          <w:color w:val="auto"/>
          <w:sz w:val="24"/>
          <w:highlight w:val="none"/>
          <w:lang w:val="en-US" w:eastAsia="zh-CN"/>
        </w:rPr>
        <w:t>建筑面积</w:t>
      </w:r>
      <w:r>
        <w:rPr>
          <w:rFonts w:hint="eastAsia" w:ascii="宋体" w:hAnsi="宋体"/>
          <w:b w:val="0"/>
          <w:color w:val="auto"/>
          <w:sz w:val="24"/>
          <w:highlight w:val="none"/>
          <w:lang w:eastAsia="zh-CN"/>
        </w:rPr>
        <w:t>合计为1722.4</w:t>
      </w:r>
      <w:r>
        <w:rPr>
          <w:rFonts w:hint="eastAsia" w:ascii="宋体" w:hAnsi="宋体"/>
          <w:b w:val="0"/>
          <w:color w:val="auto"/>
          <w:sz w:val="24"/>
          <w:highlight w:val="none"/>
        </w:rPr>
        <w:t>平方米。</w:t>
      </w:r>
      <w:r>
        <w:rPr>
          <w:rFonts w:hint="eastAsia" w:ascii="宋体" w:hAnsi="宋体"/>
          <w:color w:val="auto"/>
          <w:sz w:val="24"/>
          <w:highlight w:val="none"/>
          <w:lang w:eastAsia="zh-CN"/>
        </w:rPr>
        <w:t>包括房屋及附属于房屋建筑物的供水、供电、电讯、排水、消防等辅助设施和合理分摊的土地使用权，</w:t>
      </w:r>
      <w:r>
        <w:rPr>
          <w:rFonts w:hint="eastAsia" w:ascii="宋体" w:hAnsi="宋体"/>
          <w:b w:val="0"/>
          <w:color w:val="auto"/>
          <w:sz w:val="24"/>
          <w:highlight w:val="none"/>
        </w:rPr>
        <w:t>但不包括可移动的家具、电器、设备等动产。</w:t>
      </w:r>
    </w:p>
    <w:bookmarkEnd w:id="45"/>
    <w:p>
      <w:pPr>
        <w:tabs>
          <w:tab w:val="left" w:pos="7350"/>
        </w:tabs>
        <w:snapToGrid w:val="0"/>
        <w:spacing w:line="360" w:lineRule="auto"/>
        <w:ind w:firstLine="482" w:firstLineChars="200"/>
        <w:rPr>
          <w:rFonts w:hint="eastAsia" w:ascii="宋体" w:hAnsi="宋体"/>
          <w:color w:val="auto"/>
          <w:sz w:val="24"/>
          <w:highlight w:val="none"/>
        </w:rPr>
      </w:pPr>
      <w:bookmarkStart w:id="49" w:name="_Toc172481241"/>
      <w:bookmarkStart w:id="50" w:name="_Toc102185276"/>
      <w:bookmarkStart w:id="51" w:name="_Toc165264283"/>
      <w:bookmarkStart w:id="52" w:name="_Toc40186493"/>
      <w:r>
        <w:rPr>
          <w:rFonts w:hint="eastAsia" w:ascii="宋体" w:hAnsi="宋体"/>
          <w:b/>
          <w:color w:val="auto"/>
          <w:sz w:val="24"/>
          <w:highlight w:val="none"/>
          <w:lang w:val="en-US" w:eastAsia="zh-CN"/>
        </w:rPr>
        <w:t>2</w:t>
      </w:r>
      <w:r>
        <w:rPr>
          <w:rFonts w:hint="eastAsia" w:ascii="宋体" w:hAnsi="宋体"/>
          <w:color w:val="auto"/>
          <w:sz w:val="24"/>
          <w:highlight w:val="none"/>
        </w:rPr>
        <w:t>、</w:t>
      </w:r>
      <w:r>
        <w:rPr>
          <w:rFonts w:hint="eastAsia" w:ascii="宋体" w:hAnsi="宋体"/>
          <w:b/>
          <w:snapToGrid w:val="0"/>
          <w:kern w:val="0"/>
          <w:sz w:val="24"/>
          <w:szCs w:val="24"/>
        </w:rPr>
        <w:t>估价对象基本状况</w:t>
      </w:r>
    </w:p>
    <w:p>
      <w:pPr>
        <w:keepNext/>
        <w:keepLines/>
        <w:topLinePunct/>
        <w:adjustRightInd w:val="0"/>
        <w:snapToGrid w:val="0"/>
        <w:jc w:val="center"/>
        <w:rPr>
          <w:rFonts w:hint="eastAsia"/>
          <w:b/>
          <w:color w:val="000000"/>
          <w:sz w:val="18"/>
          <w:szCs w:val="18"/>
        </w:rPr>
        <w:sectPr>
          <w:footerReference r:id="rId6" w:type="default"/>
          <w:pgSz w:w="11906" w:h="16838"/>
          <w:pgMar w:top="1588" w:right="1418" w:bottom="1418" w:left="1588" w:header="777" w:footer="624" w:gutter="0"/>
          <w:pgBorders>
            <w:top w:val="none" w:sz="0" w:space="0"/>
            <w:left w:val="none" w:sz="0" w:space="0"/>
            <w:bottom w:val="none" w:sz="0" w:space="0"/>
            <w:right w:val="none" w:sz="0" w:space="0"/>
          </w:pgBorders>
          <w:pgNumType w:fmt="decimal" w:start="1"/>
          <w:cols w:space="720" w:num="1"/>
          <w:docGrid w:linePitch="312" w:charSpace="0"/>
        </w:sectPr>
      </w:pPr>
    </w:p>
    <w:tbl>
      <w:tblPr>
        <w:tblStyle w:val="73"/>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733"/>
        <w:gridCol w:w="12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2" w:hRule="atLeast"/>
          <w:tblHeader/>
        </w:trPr>
        <w:tc>
          <w:tcPr>
            <w:tcW w:w="626" w:type="pct"/>
            <w:noWrap w:val="0"/>
            <w:vAlign w:val="center"/>
          </w:tcPr>
          <w:p>
            <w:pPr>
              <w:keepNext/>
              <w:keepLines/>
              <w:topLinePunct/>
              <w:adjustRightInd w:val="0"/>
              <w:snapToGrid w:val="0"/>
              <w:jc w:val="center"/>
              <w:rPr>
                <w:b/>
                <w:color w:val="000000"/>
                <w:sz w:val="22"/>
                <w:szCs w:val="22"/>
              </w:rPr>
            </w:pPr>
            <w:r>
              <w:rPr>
                <w:rFonts w:hint="eastAsia"/>
                <w:b/>
                <w:color w:val="000000"/>
                <w:sz w:val="22"/>
                <w:szCs w:val="22"/>
              </w:rPr>
              <w:t>项    目</w:t>
            </w:r>
          </w:p>
        </w:tc>
        <w:tc>
          <w:tcPr>
            <w:tcW w:w="4373" w:type="pct"/>
            <w:noWrap w:val="0"/>
            <w:vAlign w:val="center"/>
          </w:tcPr>
          <w:p>
            <w:pPr>
              <w:keepNext/>
              <w:keepLines/>
              <w:topLinePunct/>
              <w:adjustRightInd w:val="0"/>
              <w:snapToGrid w:val="0"/>
              <w:jc w:val="center"/>
              <w:rPr>
                <w:b/>
                <w:snapToGrid w:val="0"/>
                <w:color w:val="000000"/>
                <w:sz w:val="22"/>
                <w:szCs w:val="22"/>
              </w:rPr>
            </w:pPr>
            <w:r>
              <w:rPr>
                <w:rFonts w:hint="eastAsia"/>
                <w:b/>
                <w:snapToGrid w:val="0"/>
                <w:color w:val="000000"/>
                <w:sz w:val="22"/>
                <w:szCs w:val="22"/>
              </w:rPr>
              <w:t>描    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2" w:hRule="atLeast"/>
        </w:trPr>
        <w:tc>
          <w:tcPr>
            <w:tcW w:w="626" w:type="pct"/>
            <w:noWrap w:val="0"/>
            <w:vAlign w:val="center"/>
          </w:tcPr>
          <w:p>
            <w:pPr>
              <w:keepNext/>
              <w:keepLines/>
              <w:topLinePunct/>
              <w:adjustRightInd w:val="0"/>
              <w:snapToGrid w:val="0"/>
              <w:jc w:val="center"/>
              <w:rPr>
                <w:b/>
                <w:color w:val="000000"/>
                <w:sz w:val="22"/>
                <w:szCs w:val="22"/>
              </w:rPr>
            </w:pPr>
            <w:r>
              <w:rPr>
                <w:rFonts w:hint="eastAsia"/>
                <w:b/>
                <w:color w:val="000000"/>
                <w:sz w:val="22"/>
                <w:szCs w:val="22"/>
              </w:rPr>
              <w:t>估价对象名称</w:t>
            </w:r>
          </w:p>
        </w:tc>
        <w:tc>
          <w:tcPr>
            <w:tcW w:w="4373" w:type="pct"/>
            <w:noWrap w:val="0"/>
            <w:vAlign w:val="center"/>
          </w:tcPr>
          <w:p>
            <w:pPr>
              <w:rPr>
                <w:rFonts w:ascii="宋体" w:hAnsi="宋体"/>
                <w:color w:val="000000"/>
                <w:sz w:val="22"/>
                <w:szCs w:val="22"/>
              </w:rPr>
            </w:pPr>
            <w:r>
              <w:rPr>
                <w:rFonts w:hint="eastAsia" w:ascii="宋体" w:hAnsi="宋体"/>
                <w:color w:val="000000"/>
                <w:sz w:val="22"/>
                <w:szCs w:val="22"/>
                <w:lang w:eastAsia="zh-CN"/>
              </w:rPr>
              <w:t>汕头市南澳县后宅镇港畔路2号楼1301、1302、1303、1401、1501号的房地产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2" w:hRule="atLeast"/>
        </w:trPr>
        <w:tc>
          <w:tcPr>
            <w:tcW w:w="626" w:type="pct"/>
            <w:noWrap w:val="0"/>
            <w:vAlign w:val="center"/>
          </w:tcPr>
          <w:p>
            <w:pPr>
              <w:keepNext/>
              <w:keepLines/>
              <w:topLinePunct/>
              <w:adjustRightInd w:val="0"/>
              <w:snapToGrid w:val="0"/>
              <w:jc w:val="center"/>
              <w:rPr>
                <w:b/>
                <w:color w:val="000000"/>
                <w:sz w:val="22"/>
                <w:szCs w:val="22"/>
              </w:rPr>
            </w:pPr>
            <w:r>
              <w:rPr>
                <w:rFonts w:hint="eastAsia"/>
                <w:b/>
                <w:color w:val="000000"/>
                <w:sz w:val="22"/>
                <w:szCs w:val="22"/>
              </w:rPr>
              <w:t>坐    落</w:t>
            </w:r>
          </w:p>
        </w:tc>
        <w:tc>
          <w:tcPr>
            <w:tcW w:w="4373" w:type="pct"/>
            <w:noWrap w:val="0"/>
            <w:vAlign w:val="center"/>
          </w:tcPr>
          <w:p>
            <w:pPr>
              <w:rPr>
                <w:rFonts w:ascii="宋体" w:hAnsi="宋体"/>
                <w:color w:val="000000"/>
                <w:sz w:val="22"/>
                <w:szCs w:val="22"/>
              </w:rPr>
            </w:pPr>
            <w:r>
              <w:rPr>
                <w:rFonts w:hint="eastAsia" w:ascii="宋体" w:hAnsi="宋体"/>
                <w:color w:val="000000"/>
                <w:sz w:val="22"/>
                <w:szCs w:val="22"/>
                <w:lang w:eastAsia="zh-CN"/>
              </w:rPr>
              <w:t>汕头市南澳县后宅镇港畔路2号楼1301、1302、1303、1401、1501号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7" w:hRule="atLeast"/>
        </w:trPr>
        <w:tc>
          <w:tcPr>
            <w:tcW w:w="626" w:type="pct"/>
            <w:noWrap w:val="0"/>
            <w:vAlign w:val="center"/>
          </w:tcPr>
          <w:p>
            <w:pPr>
              <w:keepNext/>
              <w:keepLines/>
              <w:topLinePunct/>
              <w:adjustRightInd w:val="0"/>
              <w:snapToGrid w:val="0"/>
              <w:jc w:val="center"/>
              <w:rPr>
                <w:b/>
                <w:color w:val="000000"/>
                <w:sz w:val="22"/>
                <w:szCs w:val="22"/>
              </w:rPr>
            </w:pPr>
            <w:r>
              <w:rPr>
                <w:rFonts w:hint="eastAsia"/>
                <w:b/>
                <w:color w:val="000000"/>
                <w:sz w:val="22"/>
                <w:szCs w:val="22"/>
              </w:rPr>
              <w:t>规    模</w:t>
            </w:r>
          </w:p>
        </w:tc>
        <w:tc>
          <w:tcPr>
            <w:tcW w:w="4373" w:type="pct"/>
            <w:noWrap w:val="0"/>
            <w:vAlign w:val="center"/>
          </w:tcPr>
          <w:p>
            <w:pPr>
              <w:rPr>
                <w:rFonts w:hint="default" w:ascii="宋体" w:hAnsi="宋体" w:eastAsia="宋体"/>
                <w:color w:val="000000"/>
                <w:sz w:val="22"/>
                <w:szCs w:val="22"/>
                <w:lang w:val="en-US" w:eastAsia="zh-CN"/>
              </w:rPr>
            </w:pPr>
            <w:r>
              <w:rPr>
                <w:rFonts w:hint="eastAsia" w:ascii="宋体" w:hAnsi="宋体"/>
                <w:snapToGrid w:val="0"/>
                <w:color w:val="000000"/>
                <w:sz w:val="22"/>
                <w:szCs w:val="22"/>
                <w:lang w:eastAsia="zh-CN"/>
              </w:rPr>
              <w:t>估价对象建筑面积合计为1722.4㎡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0" w:hRule="atLeast"/>
        </w:trPr>
        <w:tc>
          <w:tcPr>
            <w:tcW w:w="626" w:type="pct"/>
            <w:noWrap w:val="0"/>
            <w:vAlign w:val="center"/>
          </w:tcPr>
          <w:p>
            <w:pPr>
              <w:keepNext/>
              <w:keepLines/>
              <w:topLinePunct/>
              <w:adjustRightInd w:val="0"/>
              <w:snapToGrid w:val="0"/>
              <w:jc w:val="center"/>
              <w:rPr>
                <w:b/>
                <w:color w:val="000000"/>
                <w:sz w:val="22"/>
                <w:szCs w:val="22"/>
              </w:rPr>
            </w:pPr>
            <w:r>
              <w:rPr>
                <w:rFonts w:hint="eastAsia"/>
                <w:b/>
                <w:color w:val="000000"/>
                <w:sz w:val="22"/>
                <w:szCs w:val="22"/>
              </w:rPr>
              <w:t>用    途</w:t>
            </w:r>
          </w:p>
        </w:tc>
        <w:tc>
          <w:tcPr>
            <w:tcW w:w="4373" w:type="pct"/>
            <w:noWrap w:val="0"/>
            <w:vAlign w:val="center"/>
          </w:tcPr>
          <w:p>
            <w:pPr>
              <w:rPr>
                <w:rFonts w:hint="default" w:ascii="宋体" w:hAnsi="宋体"/>
                <w:color w:val="000000"/>
                <w:sz w:val="22"/>
                <w:szCs w:val="22"/>
                <w:lang w:val="en-US"/>
              </w:rPr>
            </w:pPr>
            <w:r>
              <w:rPr>
                <w:rFonts w:hint="eastAsia" w:ascii="宋体" w:hAnsi="宋体"/>
                <w:color w:val="000000"/>
                <w:sz w:val="22"/>
                <w:szCs w:val="22"/>
                <w:lang w:val="en-US" w:eastAsia="zh-CN"/>
              </w:rPr>
              <w:t>估价对象规划用途均为住</w:t>
            </w:r>
            <w:r>
              <w:rPr>
                <w:rFonts w:hint="eastAsia" w:ascii="宋体" w:hAnsi="宋体"/>
                <w:color w:val="auto"/>
                <w:sz w:val="22"/>
                <w:szCs w:val="22"/>
                <w:lang w:val="en-US" w:eastAsia="zh-CN"/>
              </w:rPr>
              <w:t>宅</w:t>
            </w:r>
            <w:r>
              <w:rPr>
                <w:rFonts w:hint="eastAsia" w:ascii="宋体" w:hAnsi="宋体"/>
                <w:color w:val="auto"/>
                <w:sz w:val="22"/>
                <w:szCs w:val="22"/>
              </w:rPr>
              <w:t>，</w:t>
            </w:r>
            <w:r>
              <w:rPr>
                <w:rFonts w:hint="eastAsia" w:ascii="宋体" w:hAnsi="宋体"/>
                <w:color w:val="auto"/>
                <w:sz w:val="22"/>
                <w:szCs w:val="22"/>
                <w:lang w:eastAsia="zh-CN"/>
              </w:rPr>
              <w:t>1301、1302、1303、1401</w:t>
            </w:r>
            <w:r>
              <w:rPr>
                <w:rFonts w:hint="eastAsia" w:ascii="宋体" w:hAnsi="宋体"/>
                <w:color w:val="auto"/>
                <w:sz w:val="22"/>
                <w:szCs w:val="22"/>
              </w:rPr>
              <w:t>现状为</w:t>
            </w:r>
            <w:r>
              <w:rPr>
                <w:rFonts w:hint="eastAsia" w:ascii="宋体" w:hAnsi="宋体"/>
                <w:color w:val="auto"/>
                <w:sz w:val="22"/>
                <w:szCs w:val="22"/>
                <w:lang w:val="en-US" w:eastAsia="zh-CN"/>
              </w:rPr>
              <w:t>住宅，1501空置，均</w:t>
            </w:r>
            <w:r>
              <w:rPr>
                <w:rFonts w:hint="eastAsia" w:ascii="宋体" w:hAnsi="宋体"/>
                <w:color w:val="auto"/>
                <w:sz w:val="22"/>
                <w:szCs w:val="22"/>
              </w:rPr>
              <w:t>设定房屋为</w:t>
            </w:r>
            <w:r>
              <w:rPr>
                <w:rFonts w:hint="eastAsia" w:ascii="宋体" w:hAnsi="宋体"/>
                <w:color w:val="auto"/>
                <w:sz w:val="22"/>
                <w:szCs w:val="22"/>
                <w:lang w:val="en-US" w:eastAsia="zh-CN"/>
              </w:rPr>
              <w:t>住宅用途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2" w:hRule="atLeast"/>
        </w:trPr>
        <w:tc>
          <w:tcPr>
            <w:tcW w:w="626" w:type="pct"/>
            <w:noWrap w:val="0"/>
            <w:vAlign w:val="center"/>
          </w:tcPr>
          <w:p>
            <w:pPr>
              <w:keepNext/>
              <w:keepLines/>
              <w:topLinePunct/>
              <w:adjustRightInd w:val="0"/>
              <w:snapToGrid w:val="0"/>
              <w:jc w:val="center"/>
              <w:rPr>
                <w:b/>
                <w:color w:val="000000"/>
                <w:sz w:val="22"/>
                <w:szCs w:val="22"/>
              </w:rPr>
            </w:pPr>
            <w:r>
              <w:rPr>
                <w:rFonts w:hint="eastAsia"/>
                <w:b/>
                <w:color w:val="000000"/>
                <w:sz w:val="22"/>
                <w:szCs w:val="22"/>
              </w:rPr>
              <w:t>权    属</w:t>
            </w:r>
          </w:p>
        </w:tc>
        <w:tc>
          <w:tcPr>
            <w:tcW w:w="4373" w:type="pct"/>
            <w:noWrap w:val="0"/>
            <w:vAlign w:val="center"/>
          </w:tcPr>
          <w:p>
            <w:pPr>
              <w:rPr>
                <w:rFonts w:ascii="宋体" w:hAnsi="宋体"/>
                <w:color w:val="000000"/>
                <w:sz w:val="22"/>
                <w:szCs w:val="22"/>
              </w:rPr>
            </w:pPr>
            <w:r>
              <w:rPr>
                <w:rFonts w:hint="eastAsia" w:ascii="宋体" w:hAnsi="宋体"/>
                <w:color w:val="000000"/>
                <w:sz w:val="22"/>
                <w:szCs w:val="22"/>
                <w:lang w:val="en-US" w:eastAsia="zh-CN"/>
              </w:rPr>
              <w:t>南澳县融信房地产开发有限公司</w:t>
            </w:r>
          </w:p>
        </w:tc>
      </w:tr>
    </w:tbl>
    <w:p>
      <w:pPr>
        <w:numPr>
          <w:ilvl w:val="0"/>
          <w:numId w:val="17"/>
        </w:numPr>
        <w:spacing w:before="120" w:beforeLines="50" w:line="360" w:lineRule="auto"/>
        <w:ind w:firstLine="482" w:firstLineChars="200"/>
        <w:rPr>
          <w:rFonts w:hint="eastAsia" w:ascii="宋体" w:hAnsi="宋体"/>
          <w:b/>
          <w:color w:val="auto"/>
          <w:sz w:val="24"/>
          <w:highlight w:val="none"/>
        </w:rPr>
      </w:pPr>
      <w:r>
        <w:rPr>
          <w:rFonts w:hint="eastAsia" w:ascii="宋体" w:hAnsi="宋体"/>
          <w:b/>
          <w:snapToGrid w:val="0"/>
          <w:kern w:val="0"/>
          <w:sz w:val="24"/>
          <w:szCs w:val="24"/>
        </w:rPr>
        <w:t>土地基本状况</w:t>
      </w:r>
    </w:p>
    <w:tbl>
      <w:tblPr>
        <w:tblStyle w:val="73"/>
        <w:tblW w:w="5071" w:type="pct"/>
        <w:tblInd w:w="0" w:type="dxa"/>
        <w:tblLayout w:type="autofit"/>
        <w:tblCellMar>
          <w:top w:w="0" w:type="dxa"/>
          <w:left w:w="0" w:type="dxa"/>
          <w:bottom w:w="0" w:type="dxa"/>
          <w:right w:w="0" w:type="dxa"/>
        </w:tblCellMar>
      </w:tblPr>
      <w:tblGrid>
        <w:gridCol w:w="903"/>
        <w:gridCol w:w="1619"/>
        <w:gridCol w:w="1205"/>
        <w:gridCol w:w="1258"/>
        <w:gridCol w:w="1073"/>
        <w:gridCol w:w="2334"/>
        <w:gridCol w:w="780"/>
        <w:gridCol w:w="1205"/>
        <w:gridCol w:w="923"/>
        <w:gridCol w:w="1208"/>
        <w:gridCol w:w="1551"/>
      </w:tblGrid>
      <w:tr>
        <w:tblPrEx>
          <w:tblCellMar>
            <w:top w:w="0" w:type="dxa"/>
            <w:left w:w="0" w:type="dxa"/>
            <w:bottom w:w="0" w:type="dxa"/>
            <w:right w:w="0" w:type="dxa"/>
          </w:tblCellMar>
        </w:tblPrEx>
        <w:trPr>
          <w:trHeight w:val="820" w:hRule="atLeast"/>
        </w:trPr>
        <w:tc>
          <w:tcPr>
            <w:tcW w:w="32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57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宗地名称</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四至</w:t>
            </w:r>
          </w:p>
        </w:tc>
        <w:tc>
          <w:tcPr>
            <w:tcW w:w="44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分摊面积（㎡）</w:t>
            </w:r>
          </w:p>
        </w:tc>
        <w:tc>
          <w:tcPr>
            <w:tcW w:w="3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用途</w:t>
            </w:r>
          </w:p>
        </w:tc>
        <w:tc>
          <w:tcPr>
            <w:tcW w:w="82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土地使用期限</w:t>
            </w:r>
          </w:p>
        </w:tc>
        <w:tc>
          <w:tcPr>
            <w:tcW w:w="2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形状</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地形地势</w:t>
            </w:r>
          </w:p>
        </w:tc>
        <w:tc>
          <w:tcPr>
            <w:tcW w:w="3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土壤</w:t>
            </w:r>
          </w:p>
        </w:tc>
        <w:tc>
          <w:tcPr>
            <w:tcW w:w="42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地质条件</w:t>
            </w:r>
          </w:p>
        </w:tc>
        <w:tc>
          <w:tcPr>
            <w:tcW w:w="55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土地开发程度</w:t>
            </w:r>
          </w:p>
        </w:tc>
      </w:tr>
      <w:tr>
        <w:tblPrEx>
          <w:tblCellMar>
            <w:top w:w="0" w:type="dxa"/>
            <w:left w:w="0" w:type="dxa"/>
            <w:bottom w:w="0" w:type="dxa"/>
            <w:right w:w="0" w:type="dxa"/>
          </w:tblCellMar>
        </w:tblPrEx>
        <w:trPr>
          <w:trHeight w:val="1296" w:hRule="atLeast"/>
        </w:trPr>
        <w:tc>
          <w:tcPr>
            <w:tcW w:w="32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57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汕头市南澳县后宅镇港畔路2号楼1301、1303号</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iCs w:val="0"/>
                <w:color w:val="000000"/>
                <w:kern w:val="0"/>
                <w:sz w:val="22"/>
                <w:szCs w:val="22"/>
                <w:u w:val="none"/>
                <w:lang w:val="en-US" w:eastAsia="zh-CN" w:bidi="ar"/>
              </w:rPr>
              <w:t>西北临龙滨路，东南临其他辅路</w:t>
            </w:r>
          </w:p>
        </w:tc>
        <w:tc>
          <w:tcPr>
            <w:tcW w:w="44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2"/>
                <w:szCs w:val="22"/>
                <w:u w:val="none"/>
                <w:lang w:val="en-US" w:eastAsia="zh-CN"/>
              </w:rPr>
            </w:pPr>
            <w:r>
              <w:rPr>
                <w:rFonts w:hint="eastAsia" w:ascii="宋体" w:hAnsi="宋体" w:cs="宋体"/>
                <w:i w:val="0"/>
                <w:iCs w:val="0"/>
                <w:color w:val="auto"/>
                <w:kern w:val="0"/>
                <w:sz w:val="22"/>
                <w:szCs w:val="22"/>
                <w:u w:val="none"/>
                <w:lang w:val="en-US" w:eastAsia="zh-CN" w:bidi="ar"/>
              </w:rPr>
              <w:t>30.98</w:t>
            </w:r>
          </w:p>
        </w:tc>
        <w:tc>
          <w:tcPr>
            <w:tcW w:w="3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城镇住宅用地</w:t>
            </w:r>
          </w:p>
        </w:tc>
        <w:tc>
          <w:tcPr>
            <w:tcW w:w="82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未记载</w:t>
            </w:r>
          </w:p>
        </w:tc>
        <w:tc>
          <w:tcPr>
            <w:tcW w:w="2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规则</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地形属于平地，地势平坦</w:t>
            </w:r>
          </w:p>
        </w:tc>
        <w:tc>
          <w:tcPr>
            <w:tcW w:w="3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无污染</w:t>
            </w:r>
          </w:p>
        </w:tc>
        <w:tc>
          <w:tcPr>
            <w:tcW w:w="42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地质条件一般，无不良地质现象</w:t>
            </w:r>
          </w:p>
        </w:tc>
        <w:tc>
          <w:tcPr>
            <w:tcW w:w="55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土地实际开发程度均达到红线外“五通”，红线内建有建筑物</w:t>
            </w:r>
          </w:p>
        </w:tc>
      </w:tr>
      <w:tr>
        <w:tblPrEx>
          <w:tblCellMar>
            <w:top w:w="0" w:type="dxa"/>
            <w:left w:w="0" w:type="dxa"/>
            <w:bottom w:w="0" w:type="dxa"/>
            <w:right w:w="0" w:type="dxa"/>
          </w:tblCellMar>
        </w:tblPrEx>
        <w:trPr>
          <w:trHeight w:val="1296" w:hRule="atLeast"/>
        </w:trPr>
        <w:tc>
          <w:tcPr>
            <w:tcW w:w="32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57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汕头市南澳县后宅镇港畔路2号楼1302号</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iCs w:val="0"/>
                <w:color w:val="000000"/>
                <w:kern w:val="0"/>
                <w:sz w:val="22"/>
                <w:szCs w:val="22"/>
                <w:u w:val="none"/>
                <w:lang w:val="en-US" w:eastAsia="zh-CN" w:bidi="ar"/>
              </w:rPr>
              <w:t>西北临龙滨路，东南临其他辅路</w:t>
            </w:r>
          </w:p>
        </w:tc>
        <w:tc>
          <w:tcPr>
            <w:tcW w:w="44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22"/>
                <w:szCs w:val="22"/>
                <w:u w:val="none"/>
                <w:lang w:val="en-US" w:eastAsia="zh-CN" w:bidi="ar-SA"/>
              </w:rPr>
            </w:pPr>
            <w:r>
              <w:rPr>
                <w:rFonts w:hint="eastAsia" w:ascii="宋体" w:hAnsi="宋体" w:cs="宋体"/>
                <w:i w:val="0"/>
                <w:iCs w:val="0"/>
                <w:color w:val="auto"/>
                <w:kern w:val="0"/>
                <w:sz w:val="22"/>
                <w:szCs w:val="22"/>
                <w:u w:val="none"/>
                <w:lang w:val="en-US" w:eastAsia="zh-CN" w:bidi="ar"/>
              </w:rPr>
              <w:t>34.07</w:t>
            </w:r>
          </w:p>
        </w:tc>
        <w:tc>
          <w:tcPr>
            <w:tcW w:w="3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城镇住宅用地</w:t>
            </w:r>
          </w:p>
        </w:tc>
        <w:tc>
          <w:tcPr>
            <w:tcW w:w="82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未记载</w:t>
            </w:r>
          </w:p>
        </w:tc>
        <w:tc>
          <w:tcPr>
            <w:tcW w:w="2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规则</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地形属于平地，地势平坦</w:t>
            </w:r>
          </w:p>
        </w:tc>
        <w:tc>
          <w:tcPr>
            <w:tcW w:w="3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无污染</w:t>
            </w:r>
          </w:p>
        </w:tc>
        <w:tc>
          <w:tcPr>
            <w:tcW w:w="42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地质条件一般，无不良地质现象</w:t>
            </w:r>
          </w:p>
        </w:tc>
        <w:tc>
          <w:tcPr>
            <w:tcW w:w="55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土地实际开发程度均达到红线外“五通”，红线内建有建筑物</w:t>
            </w:r>
          </w:p>
        </w:tc>
      </w:tr>
      <w:tr>
        <w:tblPrEx>
          <w:tblCellMar>
            <w:top w:w="0" w:type="dxa"/>
            <w:left w:w="0" w:type="dxa"/>
            <w:bottom w:w="0" w:type="dxa"/>
            <w:right w:w="0" w:type="dxa"/>
          </w:tblCellMar>
        </w:tblPrEx>
        <w:trPr>
          <w:trHeight w:val="1296" w:hRule="atLeast"/>
        </w:trPr>
        <w:tc>
          <w:tcPr>
            <w:tcW w:w="32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57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汕头市南澳县后宅镇港畔路2号楼1401号</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iCs w:val="0"/>
                <w:color w:val="000000"/>
                <w:kern w:val="0"/>
                <w:sz w:val="22"/>
                <w:szCs w:val="22"/>
                <w:u w:val="none"/>
                <w:lang w:val="en-US" w:eastAsia="zh-CN" w:bidi="ar"/>
              </w:rPr>
              <w:t>西北临龙滨路，东南临其他辅路</w:t>
            </w:r>
          </w:p>
        </w:tc>
        <w:tc>
          <w:tcPr>
            <w:tcW w:w="44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22"/>
                <w:szCs w:val="22"/>
                <w:u w:val="none"/>
                <w:lang w:val="en-US" w:eastAsia="zh-CN" w:bidi="ar-SA"/>
              </w:rPr>
            </w:pPr>
            <w:r>
              <w:rPr>
                <w:rFonts w:hint="eastAsia" w:ascii="宋体" w:hAnsi="宋体" w:cs="宋体"/>
                <w:i w:val="0"/>
                <w:iCs w:val="0"/>
                <w:color w:val="auto"/>
                <w:kern w:val="0"/>
                <w:sz w:val="22"/>
                <w:szCs w:val="22"/>
                <w:u w:val="none"/>
                <w:lang w:val="en-US" w:eastAsia="zh-CN" w:bidi="ar"/>
              </w:rPr>
              <w:t>31.98</w:t>
            </w:r>
          </w:p>
        </w:tc>
        <w:tc>
          <w:tcPr>
            <w:tcW w:w="3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城镇住宅用地</w:t>
            </w:r>
          </w:p>
        </w:tc>
        <w:tc>
          <w:tcPr>
            <w:tcW w:w="82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未记载</w:t>
            </w:r>
          </w:p>
        </w:tc>
        <w:tc>
          <w:tcPr>
            <w:tcW w:w="2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规则</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地形属于平地，地势平坦</w:t>
            </w:r>
          </w:p>
        </w:tc>
        <w:tc>
          <w:tcPr>
            <w:tcW w:w="3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无污染</w:t>
            </w:r>
          </w:p>
        </w:tc>
        <w:tc>
          <w:tcPr>
            <w:tcW w:w="42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地质条件一般，无不良地质现象</w:t>
            </w:r>
          </w:p>
        </w:tc>
        <w:tc>
          <w:tcPr>
            <w:tcW w:w="55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土地实际开发程度均达到红线外“五通”，红线内建有建筑物</w:t>
            </w:r>
          </w:p>
        </w:tc>
      </w:tr>
      <w:tr>
        <w:tblPrEx>
          <w:tblCellMar>
            <w:top w:w="0" w:type="dxa"/>
            <w:left w:w="0" w:type="dxa"/>
            <w:bottom w:w="0" w:type="dxa"/>
            <w:right w:w="0" w:type="dxa"/>
          </w:tblCellMar>
        </w:tblPrEx>
        <w:trPr>
          <w:trHeight w:val="1296" w:hRule="atLeast"/>
        </w:trPr>
        <w:tc>
          <w:tcPr>
            <w:tcW w:w="32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57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汕头市南澳县后宅镇港畔路2号楼1501号</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iCs w:val="0"/>
                <w:color w:val="000000"/>
                <w:kern w:val="0"/>
                <w:sz w:val="22"/>
                <w:szCs w:val="22"/>
                <w:u w:val="none"/>
                <w:lang w:val="en-US" w:eastAsia="zh-CN" w:bidi="ar"/>
              </w:rPr>
              <w:t>西北临龙滨路，东南临其他辅路</w:t>
            </w:r>
          </w:p>
        </w:tc>
        <w:tc>
          <w:tcPr>
            <w:tcW w:w="44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cs="宋体"/>
                <w:i w:val="0"/>
                <w:iCs w:val="0"/>
                <w:color w:val="auto"/>
                <w:kern w:val="0"/>
                <w:sz w:val="22"/>
                <w:szCs w:val="22"/>
                <w:u w:val="none"/>
                <w:lang w:val="en-US" w:eastAsia="zh-CN" w:bidi="ar"/>
              </w:rPr>
              <w:t>31.98</w:t>
            </w:r>
          </w:p>
        </w:tc>
        <w:tc>
          <w:tcPr>
            <w:tcW w:w="3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城镇住宅用地</w:t>
            </w:r>
          </w:p>
        </w:tc>
        <w:tc>
          <w:tcPr>
            <w:tcW w:w="82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right="-17" w:rightChars="-8"/>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未记载</w:t>
            </w:r>
          </w:p>
        </w:tc>
        <w:tc>
          <w:tcPr>
            <w:tcW w:w="2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规则</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地形属于平地，地势平坦</w:t>
            </w:r>
          </w:p>
        </w:tc>
        <w:tc>
          <w:tcPr>
            <w:tcW w:w="3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无污染</w:t>
            </w:r>
          </w:p>
        </w:tc>
        <w:tc>
          <w:tcPr>
            <w:tcW w:w="42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地质条件一般，无不良地质现象</w:t>
            </w:r>
          </w:p>
        </w:tc>
        <w:tc>
          <w:tcPr>
            <w:tcW w:w="55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土地实际开发程度均达到红线外“五通”，红线内建有建筑物</w:t>
            </w:r>
          </w:p>
        </w:tc>
      </w:tr>
    </w:tbl>
    <w:p>
      <w:pPr>
        <w:numPr>
          <w:ilvl w:val="0"/>
          <w:numId w:val="17"/>
        </w:numPr>
        <w:tabs>
          <w:tab w:val="left" w:pos="7350"/>
        </w:tabs>
        <w:snapToGrid w:val="0"/>
        <w:spacing w:before="120" w:beforeLines="50" w:line="360" w:lineRule="auto"/>
        <w:ind w:firstLine="482" w:firstLineChars="200"/>
        <w:rPr>
          <w:rFonts w:hint="eastAsia" w:ascii="宋体" w:hAnsi="宋体"/>
          <w:b/>
          <w:snapToGrid w:val="0"/>
          <w:kern w:val="0"/>
          <w:sz w:val="24"/>
          <w:szCs w:val="24"/>
        </w:rPr>
      </w:pPr>
      <w:r>
        <w:rPr>
          <w:rFonts w:hint="eastAsia" w:ascii="宋体" w:hAnsi="宋体"/>
          <w:b/>
          <w:snapToGrid w:val="0"/>
          <w:kern w:val="0"/>
          <w:sz w:val="24"/>
          <w:szCs w:val="24"/>
        </w:rPr>
        <w:t>建筑物基本状况</w:t>
      </w:r>
    </w:p>
    <w:tbl>
      <w:tblPr>
        <w:tblStyle w:val="73"/>
        <w:tblW w:w="5138" w:type="pct"/>
        <w:tblInd w:w="0" w:type="dxa"/>
        <w:tblLayout w:type="autofit"/>
        <w:tblCellMar>
          <w:top w:w="0" w:type="dxa"/>
          <w:left w:w="0" w:type="dxa"/>
          <w:bottom w:w="0" w:type="dxa"/>
          <w:right w:w="0" w:type="dxa"/>
        </w:tblCellMar>
      </w:tblPr>
      <w:tblGrid>
        <w:gridCol w:w="539"/>
        <w:gridCol w:w="1119"/>
        <w:gridCol w:w="802"/>
        <w:gridCol w:w="725"/>
        <w:gridCol w:w="714"/>
        <w:gridCol w:w="1005"/>
        <w:gridCol w:w="657"/>
        <w:gridCol w:w="714"/>
        <w:gridCol w:w="788"/>
        <w:gridCol w:w="748"/>
        <w:gridCol w:w="748"/>
        <w:gridCol w:w="808"/>
        <w:gridCol w:w="1136"/>
        <w:gridCol w:w="1116"/>
        <w:gridCol w:w="808"/>
        <w:gridCol w:w="745"/>
        <w:gridCol w:w="1073"/>
      </w:tblGrid>
      <w:tr>
        <w:tblPrEx>
          <w:tblCellMar>
            <w:top w:w="0" w:type="dxa"/>
            <w:left w:w="0" w:type="dxa"/>
            <w:bottom w:w="0" w:type="dxa"/>
            <w:right w:w="0" w:type="dxa"/>
          </w:tblCellMar>
        </w:tblPrEx>
        <w:trPr>
          <w:trHeight w:val="893" w:hRule="atLeast"/>
        </w:trPr>
        <w:tc>
          <w:tcPr>
            <w:tcW w:w="18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序号</w:t>
            </w:r>
          </w:p>
        </w:tc>
        <w:tc>
          <w:tcPr>
            <w:tcW w:w="39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房地产名称</w:t>
            </w:r>
          </w:p>
        </w:tc>
        <w:tc>
          <w:tcPr>
            <w:tcW w:w="2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建筑结构</w:t>
            </w:r>
          </w:p>
        </w:tc>
        <w:tc>
          <w:tcPr>
            <w:tcW w:w="2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用途</w:t>
            </w:r>
          </w:p>
        </w:tc>
        <w:tc>
          <w:tcPr>
            <w:tcW w:w="25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建筑规模㎡</w:t>
            </w:r>
          </w:p>
        </w:tc>
        <w:tc>
          <w:tcPr>
            <w:tcW w:w="3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总层数/所在层数</w:t>
            </w:r>
          </w:p>
        </w:tc>
        <w:tc>
          <w:tcPr>
            <w:tcW w:w="2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层高</w:t>
            </w:r>
          </w:p>
        </w:tc>
        <w:tc>
          <w:tcPr>
            <w:tcW w:w="25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建筑功能</w:t>
            </w:r>
          </w:p>
        </w:tc>
        <w:tc>
          <w:tcPr>
            <w:tcW w:w="27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空间布局</w:t>
            </w:r>
          </w:p>
        </w:tc>
        <w:tc>
          <w:tcPr>
            <w:tcW w:w="26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平面布局</w:t>
            </w:r>
          </w:p>
        </w:tc>
        <w:tc>
          <w:tcPr>
            <w:tcW w:w="26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工程质量</w:t>
            </w:r>
          </w:p>
        </w:tc>
        <w:tc>
          <w:tcPr>
            <w:tcW w:w="28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外观形象</w:t>
            </w:r>
          </w:p>
        </w:tc>
        <w:tc>
          <w:tcPr>
            <w:tcW w:w="39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装饰装修</w:t>
            </w:r>
          </w:p>
        </w:tc>
        <w:tc>
          <w:tcPr>
            <w:tcW w:w="39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设施设备</w:t>
            </w:r>
          </w:p>
        </w:tc>
        <w:tc>
          <w:tcPr>
            <w:tcW w:w="28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建成时间</w:t>
            </w:r>
          </w:p>
        </w:tc>
        <w:tc>
          <w:tcPr>
            <w:tcW w:w="26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物业管理</w:t>
            </w:r>
          </w:p>
        </w:tc>
        <w:tc>
          <w:tcPr>
            <w:tcW w:w="37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使用及维护状况、新旧程度</w:t>
            </w:r>
          </w:p>
        </w:tc>
      </w:tr>
      <w:tr>
        <w:tblPrEx>
          <w:tblCellMar>
            <w:top w:w="0" w:type="dxa"/>
            <w:left w:w="0" w:type="dxa"/>
            <w:bottom w:w="0" w:type="dxa"/>
            <w:right w:w="0" w:type="dxa"/>
          </w:tblCellMar>
        </w:tblPrEx>
        <w:trPr>
          <w:trHeight w:val="1692" w:hRule="atLeast"/>
        </w:trPr>
        <w:tc>
          <w:tcPr>
            <w:tcW w:w="18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39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汕头市南澳县后宅镇港畔路2号楼1301、1303号</w:t>
            </w:r>
          </w:p>
        </w:tc>
        <w:tc>
          <w:tcPr>
            <w:tcW w:w="2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钢筋混凝土</w:t>
            </w:r>
          </w:p>
        </w:tc>
        <w:tc>
          <w:tcPr>
            <w:tcW w:w="2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2"/>
                <w:szCs w:val="22"/>
                <w:u w:val="none"/>
                <w:lang w:val="en-US"/>
              </w:rPr>
            </w:pPr>
            <w:r>
              <w:rPr>
                <w:rFonts w:hint="eastAsia" w:ascii="宋体" w:hAnsi="宋体" w:cs="宋体"/>
                <w:i w:val="0"/>
                <w:iCs w:val="0"/>
                <w:color w:val="auto"/>
                <w:kern w:val="0"/>
                <w:sz w:val="22"/>
                <w:szCs w:val="22"/>
                <w:u w:val="none"/>
                <w:lang w:val="en-US" w:eastAsia="zh-CN" w:bidi="ar"/>
              </w:rPr>
              <w:t>住宅</w:t>
            </w:r>
          </w:p>
        </w:tc>
        <w:tc>
          <w:tcPr>
            <w:tcW w:w="25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413.66</w:t>
            </w:r>
          </w:p>
        </w:tc>
        <w:tc>
          <w:tcPr>
            <w:tcW w:w="3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总层数</w:t>
            </w:r>
            <w:r>
              <w:rPr>
                <w:rFonts w:hint="eastAsia" w:ascii="宋体" w:hAnsi="宋体" w:cs="宋体"/>
                <w:i w:val="0"/>
                <w:iCs w:val="0"/>
                <w:color w:val="auto"/>
                <w:kern w:val="0"/>
                <w:sz w:val="22"/>
                <w:szCs w:val="22"/>
                <w:u w:val="none"/>
                <w:lang w:val="en-US" w:eastAsia="zh-CN" w:bidi="ar"/>
              </w:rPr>
              <w:t>16</w:t>
            </w:r>
            <w:r>
              <w:rPr>
                <w:rFonts w:hint="eastAsia" w:ascii="宋体" w:hAnsi="宋体" w:eastAsia="宋体" w:cs="宋体"/>
                <w:i w:val="0"/>
                <w:iCs w:val="0"/>
                <w:color w:val="auto"/>
                <w:kern w:val="0"/>
                <w:sz w:val="22"/>
                <w:szCs w:val="22"/>
                <w:u w:val="none"/>
                <w:lang w:val="en-US" w:eastAsia="zh-CN" w:bidi="ar"/>
              </w:rPr>
              <w:t>层/位于第</w:t>
            </w:r>
            <w:r>
              <w:rPr>
                <w:rFonts w:hint="eastAsia" w:ascii="宋体" w:hAnsi="宋体" w:cs="宋体"/>
                <w:i w:val="0"/>
                <w:iCs w:val="0"/>
                <w:color w:val="auto"/>
                <w:kern w:val="0"/>
                <w:sz w:val="22"/>
                <w:szCs w:val="22"/>
                <w:u w:val="none"/>
                <w:lang w:val="en-US" w:eastAsia="zh-CN" w:bidi="ar"/>
              </w:rPr>
              <w:t>13</w:t>
            </w:r>
            <w:r>
              <w:rPr>
                <w:rFonts w:hint="eastAsia" w:ascii="宋体" w:hAnsi="宋体" w:eastAsia="宋体" w:cs="宋体"/>
                <w:i w:val="0"/>
                <w:iCs w:val="0"/>
                <w:color w:val="auto"/>
                <w:kern w:val="0"/>
                <w:sz w:val="22"/>
                <w:szCs w:val="22"/>
                <w:u w:val="none"/>
                <w:lang w:val="en-US" w:eastAsia="zh-CN" w:bidi="ar"/>
              </w:rPr>
              <w:t>层</w:t>
            </w:r>
          </w:p>
        </w:tc>
        <w:tc>
          <w:tcPr>
            <w:tcW w:w="2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层高约</w:t>
            </w:r>
            <w:r>
              <w:rPr>
                <w:rFonts w:hint="eastAsia" w:ascii="宋体" w:hAnsi="宋体" w:cs="宋体"/>
                <w:i w:val="0"/>
                <w:iCs w:val="0"/>
                <w:color w:val="auto"/>
                <w:kern w:val="0"/>
                <w:sz w:val="22"/>
                <w:szCs w:val="22"/>
                <w:u w:val="none"/>
                <w:lang w:val="en-US" w:eastAsia="zh-CN" w:bidi="ar"/>
              </w:rPr>
              <w:t>3</w:t>
            </w:r>
            <w:r>
              <w:rPr>
                <w:rFonts w:hint="eastAsia" w:ascii="宋体" w:hAnsi="宋体" w:eastAsia="宋体" w:cs="宋体"/>
                <w:i w:val="0"/>
                <w:iCs w:val="0"/>
                <w:color w:val="auto"/>
                <w:kern w:val="0"/>
                <w:sz w:val="22"/>
                <w:szCs w:val="22"/>
                <w:u w:val="none"/>
                <w:lang w:val="en-US" w:eastAsia="zh-CN" w:bidi="ar"/>
              </w:rPr>
              <w:t>米</w:t>
            </w:r>
          </w:p>
        </w:tc>
        <w:tc>
          <w:tcPr>
            <w:tcW w:w="25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通风、采光、日照等</w:t>
            </w:r>
          </w:p>
        </w:tc>
        <w:tc>
          <w:tcPr>
            <w:tcW w:w="27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为</w:t>
            </w:r>
            <w:r>
              <w:rPr>
                <w:rFonts w:hint="eastAsia" w:ascii="宋体" w:hAnsi="宋体" w:cs="宋体"/>
                <w:i w:val="0"/>
                <w:iCs w:val="0"/>
                <w:color w:val="auto"/>
                <w:kern w:val="0"/>
                <w:sz w:val="22"/>
                <w:szCs w:val="22"/>
                <w:u w:val="none"/>
                <w:lang w:val="en-US" w:eastAsia="zh-CN" w:bidi="ar"/>
              </w:rPr>
              <w:t>住宅</w:t>
            </w:r>
          </w:p>
        </w:tc>
        <w:tc>
          <w:tcPr>
            <w:tcW w:w="26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较合理</w:t>
            </w:r>
          </w:p>
        </w:tc>
        <w:tc>
          <w:tcPr>
            <w:tcW w:w="26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合格</w:t>
            </w:r>
          </w:p>
        </w:tc>
        <w:tc>
          <w:tcPr>
            <w:tcW w:w="28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cs="宋体"/>
                <w:i w:val="0"/>
                <w:iCs w:val="0"/>
                <w:color w:val="auto"/>
                <w:kern w:val="0"/>
                <w:sz w:val="22"/>
                <w:szCs w:val="22"/>
                <w:u w:val="none"/>
                <w:lang w:val="en-US" w:eastAsia="zh-CN" w:bidi="ar"/>
              </w:rPr>
              <w:t>一般</w:t>
            </w:r>
          </w:p>
        </w:tc>
        <w:tc>
          <w:tcPr>
            <w:tcW w:w="39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外墙</w:t>
            </w:r>
            <w:r>
              <w:rPr>
                <w:rFonts w:hint="eastAsia" w:ascii="宋体" w:hAnsi="宋体" w:cs="宋体"/>
                <w:i w:val="0"/>
                <w:iCs w:val="0"/>
                <w:color w:val="auto"/>
                <w:kern w:val="0"/>
                <w:sz w:val="22"/>
                <w:szCs w:val="22"/>
                <w:u w:val="none"/>
                <w:lang w:val="en-US" w:eastAsia="zh-CN" w:bidi="ar"/>
              </w:rPr>
              <w:t>砌红砖</w:t>
            </w:r>
            <w:r>
              <w:rPr>
                <w:rFonts w:hint="eastAsia" w:ascii="宋体" w:hAnsi="宋体" w:eastAsia="宋体" w:cs="宋体"/>
                <w:i w:val="0"/>
                <w:iCs w:val="0"/>
                <w:color w:val="auto"/>
                <w:kern w:val="0"/>
                <w:sz w:val="22"/>
                <w:szCs w:val="22"/>
                <w:u w:val="none"/>
                <w:lang w:val="en-US" w:eastAsia="zh-CN" w:bidi="ar"/>
              </w:rPr>
              <w:t>，室内</w:t>
            </w:r>
            <w:r>
              <w:rPr>
                <w:rFonts w:hint="eastAsia" w:ascii="宋体" w:hAnsi="宋体" w:cs="宋体"/>
                <w:i w:val="0"/>
                <w:iCs w:val="0"/>
                <w:color w:val="auto"/>
                <w:kern w:val="0"/>
                <w:sz w:val="22"/>
                <w:szCs w:val="22"/>
                <w:u w:val="none"/>
                <w:lang w:val="en-US" w:eastAsia="zh-CN" w:bidi="ar"/>
              </w:rPr>
              <w:t>为红砖及泡沫板内墙，水泥地面及天花</w:t>
            </w:r>
          </w:p>
        </w:tc>
        <w:tc>
          <w:tcPr>
            <w:tcW w:w="39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配套有水电、通风</w:t>
            </w:r>
            <w:r>
              <w:rPr>
                <w:rFonts w:hint="eastAsia" w:ascii="宋体" w:hAnsi="宋体" w:cs="宋体"/>
                <w:i w:val="0"/>
                <w:iCs w:val="0"/>
                <w:color w:val="auto"/>
                <w:kern w:val="0"/>
                <w:sz w:val="22"/>
                <w:szCs w:val="22"/>
                <w:u w:val="none"/>
                <w:lang w:val="en-US" w:eastAsia="zh-CN" w:bidi="ar"/>
              </w:rPr>
              <w:t>、电梯</w:t>
            </w:r>
            <w:r>
              <w:rPr>
                <w:rFonts w:hint="eastAsia" w:ascii="宋体" w:hAnsi="宋体" w:eastAsia="宋体" w:cs="宋体"/>
                <w:i w:val="0"/>
                <w:iCs w:val="0"/>
                <w:color w:val="auto"/>
                <w:kern w:val="0"/>
                <w:sz w:val="22"/>
                <w:szCs w:val="22"/>
                <w:u w:val="none"/>
                <w:lang w:val="en-US" w:eastAsia="zh-CN" w:bidi="ar"/>
              </w:rPr>
              <w:t>等设施设备等</w:t>
            </w:r>
          </w:p>
        </w:tc>
        <w:tc>
          <w:tcPr>
            <w:tcW w:w="28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cs="宋体"/>
                <w:i w:val="0"/>
                <w:iCs w:val="0"/>
                <w:color w:val="auto"/>
                <w:kern w:val="0"/>
                <w:sz w:val="22"/>
                <w:szCs w:val="22"/>
                <w:u w:val="none"/>
                <w:lang w:val="en-US" w:eastAsia="zh-CN" w:bidi="ar"/>
              </w:rPr>
              <w:t>1999</w:t>
            </w:r>
            <w:r>
              <w:rPr>
                <w:rFonts w:hint="eastAsia" w:ascii="宋体" w:hAnsi="宋体" w:eastAsia="宋体" w:cs="宋体"/>
                <w:i w:val="0"/>
                <w:iCs w:val="0"/>
                <w:color w:val="auto"/>
                <w:kern w:val="0"/>
                <w:sz w:val="22"/>
                <w:szCs w:val="22"/>
                <w:u w:val="none"/>
                <w:lang w:val="en-US" w:eastAsia="zh-CN" w:bidi="ar"/>
              </w:rPr>
              <w:t>年</w:t>
            </w:r>
          </w:p>
        </w:tc>
        <w:tc>
          <w:tcPr>
            <w:tcW w:w="26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lang w:val="en-US" w:eastAsia="zh-CN"/>
              </w:rPr>
            </w:pPr>
            <w:r>
              <w:rPr>
                <w:rFonts w:hint="eastAsia" w:ascii="宋体" w:hAnsi="宋体" w:cs="宋体"/>
                <w:i w:val="0"/>
                <w:color w:val="auto"/>
                <w:sz w:val="22"/>
                <w:szCs w:val="22"/>
                <w:u w:val="none"/>
                <w:lang w:val="en-US" w:eastAsia="zh-CN"/>
              </w:rPr>
              <w:t>有</w:t>
            </w:r>
          </w:p>
        </w:tc>
        <w:tc>
          <w:tcPr>
            <w:tcW w:w="37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房屋维护保养状况</w:t>
            </w:r>
            <w:r>
              <w:rPr>
                <w:rFonts w:hint="eastAsia" w:ascii="宋体" w:hAnsi="宋体" w:cs="宋体"/>
                <w:i w:val="0"/>
                <w:iCs w:val="0"/>
                <w:color w:val="auto"/>
                <w:kern w:val="0"/>
                <w:sz w:val="22"/>
                <w:szCs w:val="22"/>
                <w:u w:val="none"/>
                <w:lang w:val="en-US" w:eastAsia="zh-CN" w:bidi="ar"/>
              </w:rPr>
              <w:t>一般</w:t>
            </w:r>
            <w:r>
              <w:rPr>
                <w:rFonts w:hint="eastAsia" w:ascii="宋体" w:hAnsi="宋体" w:eastAsia="宋体" w:cs="宋体"/>
                <w:i w:val="0"/>
                <w:iCs w:val="0"/>
                <w:color w:val="auto"/>
                <w:kern w:val="0"/>
                <w:sz w:val="22"/>
                <w:szCs w:val="22"/>
                <w:u w:val="none"/>
                <w:lang w:val="en-US" w:eastAsia="zh-CN" w:bidi="ar"/>
              </w:rPr>
              <w:t>，结构较完整，综合成新率约为</w:t>
            </w:r>
            <w:r>
              <w:rPr>
                <w:rFonts w:hint="eastAsia" w:ascii="宋体" w:hAnsi="宋体" w:cs="宋体"/>
                <w:i w:val="0"/>
                <w:iCs w:val="0"/>
                <w:color w:val="auto"/>
                <w:kern w:val="0"/>
                <w:sz w:val="22"/>
                <w:szCs w:val="22"/>
                <w:u w:val="none"/>
                <w:lang w:val="en-US" w:eastAsia="zh-CN" w:bidi="ar"/>
              </w:rPr>
              <w:t>62</w:t>
            </w:r>
            <w:r>
              <w:rPr>
                <w:rFonts w:hint="eastAsia" w:ascii="宋体" w:hAnsi="宋体" w:eastAsia="宋体" w:cs="宋体"/>
                <w:i w:val="0"/>
                <w:iCs w:val="0"/>
                <w:color w:val="auto"/>
                <w:kern w:val="0"/>
                <w:sz w:val="22"/>
                <w:szCs w:val="22"/>
                <w:u w:val="none"/>
                <w:lang w:val="en-US" w:eastAsia="zh-CN" w:bidi="ar"/>
              </w:rPr>
              <w:t>%</w:t>
            </w:r>
          </w:p>
        </w:tc>
      </w:tr>
      <w:tr>
        <w:tblPrEx>
          <w:tblCellMar>
            <w:top w:w="0" w:type="dxa"/>
            <w:left w:w="0" w:type="dxa"/>
            <w:bottom w:w="0" w:type="dxa"/>
            <w:right w:w="0" w:type="dxa"/>
          </w:tblCellMar>
        </w:tblPrEx>
        <w:trPr>
          <w:trHeight w:val="90" w:hRule="atLeast"/>
        </w:trPr>
        <w:tc>
          <w:tcPr>
            <w:tcW w:w="18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w:t>
            </w:r>
          </w:p>
        </w:tc>
        <w:tc>
          <w:tcPr>
            <w:tcW w:w="39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汕头市南澳县后宅镇港畔路2号楼1302号</w:t>
            </w:r>
          </w:p>
        </w:tc>
        <w:tc>
          <w:tcPr>
            <w:tcW w:w="2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钢筋混凝土</w:t>
            </w:r>
          </w:p>
        </w:tc>
        <w:tc>
          <w:tcPr>
            <w:tcW w:w="2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cs="宋体"/>
                <w:i w:val="0"/>
                <w:iCs w:val="0"/>
                <w:color w:val="auto"/>
                <w:kern w:val="0"/>
                <w:sz w:val="22"/>
                <w:szCs w:val="22"/>
                <w:u w:val="none"/>
                <w:lang w:val="en-US" w:eastAsia="zh-CN" w:bidi="ar"/>
              </w:rPr>
              <w:t>住宅</w:t>
            </w:r>
          </w:p>
        </w:tc>
        <w:tc>
          <w:tcPr>
            <w:tcW w:w="25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454.8</w:t>
            </w:r>
          </w:p>
        </w:tc>
        <w:tc>
          <w:tcPr>
            <w:tcW w:w="3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总层数</w:t>
            </w:r>
            <w:r>
              <w:rPr>
                <w:rFonts w:hint="eastAsia" w:ascii="宋体" w:hAnsi="宋体" w:cs="宋体"/>
                <w:i w:val="0"/>
                <w:iCs w:val="0"/>
                <w:color w:val="auto"/>
                <w:kern w:val="0"/>
                <w:sz w:val="22"/>
                <w:szCs w:val="22"/>
                <w:u w:val="none"/>
                <w:lang w:val="en-US" w:eastAsia="zh-CN" w:bidi="ar"/>
              </w:rPr>
              <w:t>16</w:t>
            </w:r>
            <w:r>
              <w:rPr>
                <w:rFonts w:hint="eastAsia" w:ascii="宋体" w:hAnsi="宋体" w:eastAsia="宋体" w:cs="宋体"/>
                <w:i w:val="0"/>
                <w:iCs w:val="0"/>
                <w:color w:val="auto"/>
                <w:kern w:val="0"/>
                <w:sz w:val="22"/>
                <w:szCs w:val="22"/>
                <w:u w:val="none"/>
                <w:lang w:val="en-US" w:eastAsia="zh-CN" w:bidi="ar"/>
              </w:rPr>
              <w:t>层/位于第</w:t>
            </w:r>
            <w:r>
              <w:rPr>
                <w:rFonts w:hint="eastAsia" w:ascii="宋体" w:hAnsi="宋体" w:cs="宋体"/>
                <w:i w:val="0"/>
                <w:iCs w:val="0"/>
                <w:color w:val="auto"/>
                <w:kern w:val="0"/>
                <w:sz w:val="22"/>
                <w:szCs w:val="22"/>
                <w:u w:val="none"/>
                <w:lang w:val="en-US" w:eastAsia="zh-CN" w:bidi="ar"/>
              </w:rPr>
              <w:t>13</w:t>
            </w:r>
            <w:r>
              <w:rPr>
                <w:rFonts w:hint="eastAsia" w:ascii="宋体" w:hAnsi="宋体" w:eastAsia="宋体" w:cs="宋体"/>
                <w:i w:val="0"/>
                <w:iCs w:val="0"/>
                <w:color w:val="auto"/>
                <w:kern w:val="0"/>
                <w:sz w:val="22"/>
                <w:szCs w:val="22"/>
                <w:u w:val="none"/>
                <w:lang w:val="en-US" w:eastAsia="zh-CN" w:bidi="ar"/>
              </w:rPr>
              <w:t>层</w:t>
            </w:r>
          </w:p>
        </w:tc>
        <w:tc>
          <w:tcPr>
            <w:tcW w:w="2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层高约</w:t>
            </w:r>
            <w:r>
              <w:rPr>
                <w:rFonts w:hint="eastAsia" w:ascii="宋体" w:hAnsi="宋体" w:cs="宋体"/>
                <w:i w:val="0"/>
                <w:iCs w:val="0"/>
                <w:color w:val="auto"/>
                <w:kern w:val="0"/>
                <w:sz w:val="22"/>
                <w:szCs w:val="22"/>
                <w:u w:val="none"/>
                <w:lang w:val="en-US" w:eastAsia="zh-CN" w:bidi="ar"/>
              </w:rPr>
              <w:t>3</w:t>
            </w:r>
            <w:r>
              <w:rPr>
                <w:rFonts w:hint="eastAsia" w:ascii="宋体" w:hAnsi="宋体" w:eastAsia="宋体" w:cs="宋体"/>
                <w:i w:val="0"/>
                <w:iCs w:val="0"/>
                <w:color w:val="auto"/>
                <w:kern w:val="0"/>
                <w:sz w:val="22"/>
                <w:szCs w:val="22"/>
                <w:u w:val="none"/>
                <w:lang w:val="en-US" w:eastAsia="zh-CN" w:bidi="ar"/>
              </w:rPr>
              <w:t>米</w:t>
            </w:r>
          </w:p>
        </w:tc>
        <w:tc>
          <w:tcPr>
            <w:tcW w:w="25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通风、采光、日照等</w:t>
            </w:r>
          </w:p>
        </w:tc>
        <w:tc>
          <w:tcPr>
            <w:tcW w:w="27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为</w:t>
            </w:r>
            <w:r>
              <w:rPr>
                <w:rFonts w:hint="eastAsia" w:ascii="宋体" w:hAnsi="宋体" w:cs="宋体"/>
                <w:i w:val="0"/>
                <w:iCs w:val="0"/>
                <w:color w:val="auto"/>
                <w:kern w:val="0"/>
                <w:sz w:val="22"/>
                <w:szCs w:val="22"/>
                <w:u w:val="none"/>
                <w:lang w:val="en-US" w:eastAsia="zh-CN" w:bidi="ar"/>
              </w:rPr>
              <w:t>住宅</w:t>
            </w:r>
          </w:p>
        </w:tc>
        <w:tc>
          <w:tcPr>
            <w:tcW w:w="26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较合理</w:t>
            </w:r>
          </w:p>
        </w:tc>
        <w:tc>
          <w:tcPr>
            <w:tcW w:w="26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合格</w:t>
            </w:r>
          </w:p>
        </w:tc>
        <w:tc>
          <w:tcPr>
            <w:tcW w:w="28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cs="宋体"/>
                <w:i w:val="0"/>
                <w:iCs w:val="0"/>
                <w:color w:val="auto"/>
                <w:kern w:val="0"/>
                <w:sz w:val="22"/>
                <w:szCs w:val="22"/>
                <w:u w:val="none"/>
                <w:lang w:val="en-US" w:eastAsia="zh-CN" w:bidi="ar"/>
              </w:rPr>
              <w:t>一般</w:t>
            </w:r>
          </w:p>
        </w:tc>
        <w:tc>
          <w:tcPr>
            <w:tcW w:w="39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外墙</w:t>
            </w:r>
            <w:r>
              <w:rPr>
                <w:rFonts w:hint="eastAsia" w:ascii="宋体" w:hAnsi="宋体" w:cs="宋体"/>
                <w:i w:val="0"/>
                <w:iCs w:val="0"/>
                <w:color w:val="auto"/>
                <w:kern w:val="0"/>
                <w:sz w:val="22"/>
                <w:szCs w:val="22"/>
                <w:u w:val="none"/>
                <w:lang w:val="en-US" w:eastAsia="zh-CN" w:bidi="ar"/>
              </w:rPr>
              <w:t>砌红砖</w:t>
            </w:r>
            <w:r>
              <w:rPr>
                <w:rFonts w:hint="eastAsia" w:ascii="宋体" w:hAnsi="宋体" w:eastAsia="宋体" w:cs="宋体"/>
                <w:i w:val="0"/>
                <w:iCs w:val="0"/>
                <w:color w:val="auto"/>
                <w:kern w:val="0"/>
                <w:sz w:val="22"/>
                <w:szCs w:val="22"/>
                <w:u w:val="none"/>
                <w:lang w:val="en-US" w:eastAsia="zh-CN" w:bidi="ar"/>
              </w:rPr>
              <w:t>，室内</w:t>
            </w:r>
            <w:r>
              <w:rPr>
                <w:rFonts w:hint="eastAsia" w:ascii="宋体" w:hAnsi="宋体" w:cs="宋体"/>
                <w:i w:val="0"/>
                <w:iCs w:val="0"/>
                <w:color w:val="auto"/>
                <w:kern w:val="0"/>
                <w:sz w:val="22"/>
                <w:szCs w:val="22"/>
                <w:u w:val="none"/>
                <w:lang w:val="en-US" w:eastAsia="zh-CN" w:bidi="ar"/>
              </w:rPr>
              <w:t>为红砖及泡沫板内墙，水泥地面及天花</w:t>
            </w:r>
          </w:p>
        </w:tc>
        <w:tc>
          <w:tcPr>
            <w:tcW w:w="39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配套有水电、通风</w:t>
            </w:r>
            <w:r>
              <w:rPr>
                <w:rFonts w:hint="eastAsia" w:ascii="宋体" w:hAnsi="宋体" w:cs="宋体"/>
                <w:i w:val="0"/>
                <w:iCs w:val="0"/>
                <w:color w:val="auto"/>
                <w:kern w:val="0"/>
                <w:sz w:val="22"/>
                <w:szCs w:val="22"/>
                <w:u w:val="none"/>
                <w:lang w:val="en-US" w:eastAsia="zh-CN" w:bidi="ar"/>
              </w:rPr>
              <w:t>、电梯</w:t>
            </w:r>
            <w:r>
              <w:rPr>
                <w:rFonts w:hint="eastAsia" w:ascii="宋体" w:hAnsi="宋体" w:eastAsia="宋体" w:cs="宋体"/>
                <w:i w:val="0"/>
                <w:iCs w:val="0"/>
                <w:color w:val="auto"/>
                <w:kern w:val="0"/>
                <w:sz w:val="22"/>
                <w:szCs w:val="22"/>
                <w:u w:val="none"/>
                <w:lang w:val="en-US" w:eastAsia="zh-CN" w:bidi="ar"/>
              </w:rPr>
              <w:t>等设施设备等</w:t>
            </w:r>
          </w:p>
        </w:tc>
        <w:tc>
          <w:tcPr>
            <w:tcW w:w="28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cs="宋体"/>
                <w:i w:val="0"/>
                <w:iCs w:val="0"/>
                <w:color w:val="auto"/>
                <w:kern w:val="0"/>
                <w:sz w:val="22"/>
                <w:szCs w:val="22"/>
                <w:u w:val="none"/>
                <w:lang w:val="en-US" w:eastAsia="zh-CN" w:bidi="ar"/>
              </w:rPr>
              <w:t>1999</w:t>
            </w:r>
            <w:r>
              <w:rPr>
                <w:rFonts w:hint="eastAsia" w:ascii="宋体" w:hAnsi="宋体" w:eastAsia="宋体" w:cs="宋体"/>
                <w:i w:val="0"/>
                <w:iCs w:val="0"/>
                <w:color w:val="auto"/>
                <w:kern w:val="0"/>
                <w:sz w:val="22"/>
                <w:szCs w:val="22"/>
                <w:u w:val="none"/>
                <w:lang w:val="en-US" w:eastAsia="zh-CN" w:bidi="ar"/>
              </w:rPr>
              <w:t>年</w:t>
            </w:r>
          </w:p>
        </w:tc>
        <w:tc>
          <w:tcPr>
            <w:tcW w:w="26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cs="宋体"/>
                <w:i w:val="0"/>
                <w:color w:val="auto"/>
                <w:sz w:val="22"/>
                <w:szCs w:val="22"/>
                <w:u w:val="none"/>
                <w:lang w:val="en-US" w:eastAsia="zh-CN"/>
              </w:rPr>
              <w:t>有</w:t>
            </w:r>
          </w:p>
        </w:tc>
        <w:tc>
          <w:tcPr>
            <w:tcW w:w="37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房屋维护保养状况</w:t>
            </w:r>
            <w:r>
              <w:rPr>
                <w:rFonts w:hint="eastAsia" w:ascii="宋体" w:hAnsi="宋体" w:cs="宋体"/>
                <w:i w:val="0"/>
                <w:iCs w:val="0"/>
                <w:color w:val="auto"/>
                <w:kern w:val="0"/>
                <w:sz w:val="22"/>
                <w:szCs w:val="22"/>
                <w:u w:val="none"/>
                <w:lang w:val="en-US" w:eastAsia="zh-CN" w:bidi="ar"/>
              </w:rPr>
              <w:t>一般</w:t>
            </w:r>
            <w:r>
              <w:rPr>
                <w:rFonts w:hint="eastAsia" w:ascii="宋体" w:hAnsi="宋体" w:eastAsia="宋体" w:cs="宋体"/>
                <w:i w:val="0"/>
                <w:iCs w:val="0"/>
                <w:color w:val="auto"/>
                <w:kern w:val="0"/>
                <w:sz w:val="22"/>
                <w:szCs w:val="22"/>
                <w:u w:val="none"/>
                <w:lang w:val="en-US" w:eastAsia="zh-CN" w:bidi="ar"/>
              </w:rPr>
              <w:t>，结构较完整，综合成新率约为</w:t>
            </w:r>
            <w:r>
              <w:rPr>
                <w:rFonts w:hint="eastAsia" w:ascii="宋体" w:hAnsi="宋体" w:cs="宋体"/>
                <w:i w:val="0"/>
                <w:iCs w:val="0"/>
                <w:color w:val="auto"/>
                <w:kern w:val="0"/>
                <w:sz w:val="22"/>
                <w:szCs w:val="22"/>
                <w:u w:val="none"/>
                <w:lang w:val="en-US" w:eastAsia="zh-CN" w:bidi="ar"/>
              </w:rPr>
              <w:t>62</w:t>
            </w:r>
            <w:r>
              <w:rPr>
                <w:rFonts w:hint="eastAsia" w:ascii="宋体" w:hAnsi="宋体" w:eastAsia="宋体" w:cs="宋体"/>
                <w:i w:val="0"/>
                <w:iCs w:val="0"/>
                <w:color w:val="auto"/>
                <w:kern w:val="0"/>
                <w:sz w:val="22"/>
                <w:szCs w:val="22"/>
                <w:u w:val="none"/>
                <w:lang w:val="en-US" w:eastAsia="zh-CN" w:bidi="ar"/>
              </w:rPr>
              <w:t>%</w:t>
            </w:r>
          </w:p>
        </w:tc>
      </w:tr>
      <w:tr>
        <w:tblPrEx>
          <w:tblCellMar>
            <w:top w:w="0" w:type="dxa"/>
            <w:left w:w="0" w:type="dxa"/>
            <w:bottom w:w="0" w:type="dxa"/>
            <w:right w:w="0" w:type="dxa"/>
          </w:tblCellMar>
        </w:tblPrEx>
        <w:trPr>
          <w:trHeight w:val="1722" w:hRule="atLeast"/>
        </w:trPr>
        <w:tc>
          <w:tcPr>
            <w:tcW w:w="18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3</w:t>
            </w:r>
          </w:p>
        </w:tc>
        <w:tc>
          <w:tcPr>
            <w:tcW w:w="39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汕头市南澳县后宅镇港畔路2号楼1401号</w:t>
            </w:r>
          </w:p>
        </w:tc>
        <w:tc>
          <w:tcPr>
            <w:tcW w:w="2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钢筋混凝土</w:t>
            </w:r>
          </w:p>
        </w:tc>
        <w:tc>
          <w:tcPr>
            <w:tcW w:w="2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cs="宋体"/>
                <w:i w:val="0"/>
                <w:iCs w:val="0"/>
                <w:color w:val="auto"/>
                <w:kern w:val="0"/>
                <w:sz w:val="22"/>
                <w:szCs w:val="22"/>
                <w:u w:val="none"/>
                <w:lang w:val="en-US" w:eastAsia="zh-CN" w:bidi="ar"/>
              </w:rPr>
              <w:t>住宅</w:t>
            </w:r>
          </w:p>
        </w:tc>
        <w:tc>
          <w:tcPr>
            <w:tcW w:w="25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426.97</w:t>
            </w:r>
          </w:p>
        </w:tc>
        <w:tc>
          <w:tcPr>
            <w:tcW w:w="3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总层数</w:t>
            </w:r>
            <w:r>
              <w:rPr>
                <w:rFonts w:hint="eastAsia" w:ascii="宋体" w:hAnsi="宋体" w:cs="宋体"/>
                <w:i w:val="0"/>
                <w:iCs w:val="0"/>
                <w:color w:val="auto"/>
                <w:kern w:val="0"/>
                <w:sz w:val="22"/>
                <w:szCs w:val="22"/>
                <w:u w:val="none"/>
                <w:lang w:val="en-US" w:eastAsia="zh-CN" w:bidi="ar"/>
              </w:rPr>
              <w:t>16</w:t>
            </w:r>
            <w:r>
              <w:rPr>
                <w:rFonts w:hint="eastAsia" w:ascii="宋体" w:hAnsi="宋体" w:eastAsia="宋体" w:cs="宋体"/>
                <w:i w:val="0"/>
                <w:iCs w:val="0"/>
                <w:color w:val="auto"/>
                <w:kern w:val="0"/>
                <w:sz w:val="22"/>
                <w:szCs w:val="22"/>
                <w:u w:val="none"/>
                <w:lang w:val="en-US" w:eastAsia="zh-CN" w:bidi="ar"/>
              </w:rPr>
              <w:t>层/位于第</w:t>
            </w:r>
            <w:r>
              <w:rPr>
                <w:rFonts w:hint="eastAsia" w:ascii="宋体" w:hAnsi="宋体" w:cs="宋体"/>
                <w:i w:val="0"/>
                <w:iCs w:val="0"/>
                <w:color w:val="auto"/>
                <w:kern w:val="0"/>
                <w:sz w:val="22"/>
                <w:szCs w:val="22"/>
                <w:u w:val="none"/>
                <w:lang w:val="en-US" w:eastAsia="zh-CN" w:bidi="ar"/>
              </w:rPr>
              <w:t>14</w:t>
            </w:r>
            <w:r>
              <w:rPr>
                <w:rFonts w:hint="eastAsia" w:ascii="宋体" w:hAnsi="宋体" w:eastAsia="宋体" w:cs="宋体"/>
                <w:i w:val="0"/>
                <w:iCs w:val="0"/>
                <w:color w:val="auto"/>
                <w:kern w:val="0"/>
                <w:sz w:val="22"/>
                <w:szCs w:val="22"/>
                <w:u w:val="none"/>
                <w:lang w:val="en-US" w:eastAsia="zh-CN" w:bidi="ar"/>
              </w:rPr>
              <w:t>层</w:t>
            </w:r>
          </w:p>
        </w:tc>
        <w:tc>
          <w:tcPr>
            <w:tcW w:w="2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层高约</w:t>
            </w:r>
            <w:r>
              <w:rPr>
                <w:rFonts w:hint="eastAsia" w:ascii="宋体" w:hAnsi="宋体" w:cs="宋体"/>
                <w:i w:val="0"/>
                <w:iCs w:val="0"/>
                <w:color w:val="auto"/>
                <w:kern w:val="0"/>
                <w:sz w:val="22"/>
                <w:szCs w:val="22"/>
                <w:u w:val="none"/>
                <w:lang w:val="en-US" w:eastAsia="zh-CN" w:bidi="ar"/>
              </w:rPr>
              <w:t>3</w:t>
            </w:r>
            <w:r>
              <w:rPr>
                <w:rFonts w:hint="eastAsia" w:ascii="宋体" w:hAnsi="宋体" w:eastAsia="宋体" w:cs="宋体"/>
                <w:i w:val="0"/>
                <w:iCs w:val="0"/>
                <w:color w:val="auto"/>
                <w:kern w:val="0"/>
                <w:sz w:val="22"/>
                <w:szCs w:val="22"/>
                <w:u w:val="none"/>
                <w:lang w:val="en-US" w:eastAsia="zh-CN" w:bidi="ar"/>
              </w:rPr>
              <w:t>米</w:t>
            </w:r>
          </w:p>
        </w:tc>
        <w:tc>
          <w:tcPr>
            <w:tcW w:w="25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通风、采光、日照等</w:t>
            </w:r>
          </w:p>
        </w:tc>
        <w:tc>
          <w:tcPr>
            <w:tcW w:w="27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为</w:t>
            </w:r>
            <w:r>
              <w:rPr>
                <w:rFonts w:hint="eastAsia" w:ascii="宋体" w:hAnsi="宋体" w:cs="宋体"/>
                <w:i w:val="0"/>
                <w:iCs w:val="0"/>
                <w:color w:val="auto"/>
                <w:kern w:val="0"/>
                <w:sz w:val="22"/>
                <w:szCs w:val="22"/>
                <w:u w:val="none"/>
                <w:lang w:val="en-US" w:eastAsia="zh-CN" w:bidi="ar"/>
              </w:rPr>
              <w:t>住宅</w:t>
            </w:r>
          </w:p>
        </w:tc>
        <w:tc>
          <w:tcPr>
            <w:tcW w:w="26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较合理</w:t>
            </w:r>
          </w:p>
        </w:tc>
        <w:tc>
          <w:tcPr>
            <w:tcW w:w="26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合格</w:t>
            </w:r>
          </w:p>
        </w:tc>
        <w:tc>
          <w:tcPr>
            <w:tcW w:w="28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cs="宋体"/>
                <w:i w:val="0"/>
                <w:iCs w:val="0"/>
                <w:color w:val="auto"/>
                <w:kern w:val="0"/>
                <w:sz w:val="22"/>
                <w:szCs w:val="22"/>
                <w:u w:val="none"/>
                <w:lang w:val="en-US" w:eastAsia="zh-CN" w:bidi="ar"/>
              </w:rPr>
              <w:t>一般</w:t>
            </w:r>
          </w:p>
        </w:tc>
        <w:tc>
          <w:tcPr>
            <w:tcW w:w="39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外墙</w:t>
            </w:r>
            <w:r>
              <w:rPr>
                <w:rFonts w:hint="eastAsia" w:ascii="宋体" w:hAnsi="宋体" w:cs="宋体"/>
                <w:i w:val="0"/>
                <w:iCs w:val="0"/>
                <w:color w:val="auto"/>
                <w:kern w:val="0"/>
                <w:sz w:val="22"/>
                <w:szCs w:val="22"/>
                <w:u w:val="none"/>
                <w:lang w:val="en-US" w:eastAsia="zh-CN" w:bidi="ar"/>
              </w:rPr>
              <w:t>砌红砖</w:t>
            </w:r>
            <w:r>
              <w:rPr>
                <w:rFonts w:hint="eastAsia" w:ascii="宋体" w:hAnsi="宋体" w:eastAsia="宋体" w:cs="宋体"/>
                <w:i w:val="0"/>
                <w:iCs w:val="0"/>
                <w:color w:val="auto"/>
                <w:kern w:val="0"/>
                <w:sz w:val="22"/>
                <w:szCs w:val="22"/>
                <w:u w:val="none"/>
                <w:lang w:val="en-US" w:eastAsia="zh-CN" w:bidi="ar"/>
              </w:rPr>
              <w:t>，室内</w:t>
            </w:r>
            <w:r>
              <w:rPr>
                <w:rFonts w:hint="eastAsia" w:ascii="宋体" w:hAnsi="宋体" w:cs="宋体"/>
                <w:i w:val="0"/>
                <w:iCs w:val="0"/>
                <w:color w:val="auto"/>
                <w:kern w:val="0"/>
                <w:sz w:val="22"/>
                <w:szCs w:val="22"/>
                <w:u w:val="none"/>
                <w:lang w:val="en-US" w:eastAsia="zh-CN" w:bidi="ar"/>
              </w:rPr>
              <w:t>为红砖及泡沫板内墙，水泥地面及天花，安装有玻璃门等</w:t>
            </w:r>
          </w:p>
        </w:tc>
        <w:tc>
          <w:tcPr>
            <w:tcW w:w="39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配套有水电、通风</w:t>
            </w:r>
            <w:r>
              <w:rPr>
                <w:rFonts w:hint="eastAsia" w:ascii="宋体" w:hAnsi="宋体" w:cs="宋体"/>
                <w:i w:val="0"/>
                <w:iCs w:val="0"/>
                <w:color w:val="auto"/>
                <w:kern w:val="0"/>
                <w:sz w:val="22"/>
                <w:szCs w:val="22"/>
                <w:u w:val="none"/>
                <w:lang w:val="en-US" w:eastAsia="zh-CN" w:bidi="ar"/>
              </w:rPr>
              <w:t>、电梯</w:t>
            </w:r>
            <w:r>
              <w:rPr>
                <w:rFonts w:hint="eastAsia" w:ascii="宋体" w:hAnsi="宋体" w:eastAsia="宋体" w:cs="宋体"/>
                <w:i w:val="0"/>
                <w:iCs w:val="0"/>
                <w:color w:val="auto"/>
                <w:kern w:val="0"/>
                <w:sz w:val="22"/>
                <w:szCs w:val="22"/>
                <w:u w:val="none"/>
                <w:lang w:val="en-US" w:eastAsia="zh-CN" w:bidi="ar"/>
              </w:rPr>
              <w:t>等设施设备等</w:t>
            </w:r>
          </w:p>
        </w:tc>
        <w:tc>
          <w:tcPr>
            <w:tcW w:w="28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cs="宋体"/>
                <w:i w:val="0"/>
                <w:iCs w:val="0"/>
                <w:color w:val="auto"/>
                <w:kern w:val="0"/>
                <w:sz w:val="22"/>
                <w:szCs w:val="22"/>
                <w:u w:val="none"/>
                <w:lang w:val="en-US" w:eastAsia="zh-CN" w:bidi="ar"/>
              </w:rPr>
              <w:t>1999</w:t>
            </w:r>
            <w:r>
              <w:rPr>
                <w:rFonts w:hint="eastAsia" w:ascii="宋体" w:hAnsi="宋体" w:eastAsia="宋体" w:cs="宋体"/>
                <w:i w:val="0"/>
                <w:iCs w:val="0"/>
                <w:color w:val="auto"/>
                <w:kern w:val="0"/>
                <w:sz w:val="22"/>
                <w:szCs w:val="22"/>
                <w:u w:val="none"/>
                <w:lang w:val="en-US" w:eastAsia="zh-CN" w:bidi="ar"/>
              </w:rPr>
              <w:t>年</w:t>
            </w:r>
          </w:p>
        </w:tc>
        <w:tc>
          <w:tcPr>
            <w:tcW w:w="26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cs="宋体"/>
                <w:i w:val="0"/>
                <w:color w:val="auto"/>
                <w:sz w:val="22"/>
                <w:szCs w:val="22"/>
                <w:u w:val="none"/>
                <w:lang w:val="en-US" w:eastAsia="zh-CN"/>
              </w:rPr>
              <w:t>有</w:t>
            </w:r>
          </w:p>
        </w:tc>
        <w:tc>
          <w:tcPr>
            <w:tcW w:w="37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房屋维护保养状况</w:t>
            </w:r>
            <w:r>
              <w:rPr>
                <w:rFonts w:hint="eastAsia" w:ascii="宋体" w:hAnsi="宋体" w:cs="宋体"/>
                <w:i w:val="0"/>
                <w:iCs w:val="0"/>
                <w:color w:val="auto"/>
                <w:kern w:val="0"/>
                <w:sz w:val="22"/>
                <w:szCs w:val="22"/>
                <w:u w:val="none"/>
                <w:lang w:val="en-US" w:eastAsia="zh-CN" w:bidi="ar"/>
              </w:rPr>
              <w:t>一般</w:t>
            </w:r>
            <w:r>
              <w:rPr>
                <w:rFonts w:hint="eastAsia" w:ascii="宋体" w:hAnsi="宋体" w:eastAsia="宋体" w:cs="宋体"/>
                <w:i w:val="0"/>
                <w:iCs w:val="0"/>
                <w:color w:val="auto"/>
                <w:kern w:val="0"/>
                <w:sz w:val="22"/>
                <w:szCs w:val="22"/>
                <w:u w:val="none"/>
                <w:lang w:val="en-US" w:eastAsia="zh-CN" w:bidi="ar"/>
              </w:rPr>
              <w:t>，结构较完整，综合成新率约为</w:t>
            </w:r>
            <w:r>
              <w:rPr>
                <w:rFonts w:hint="eastAsia" w:ascii="宋体" w:hAnsi="宋体" w:cs="宋体"/>
                <w:i w:val="0"/>
                <w:iCs w:val="0"/>
                <w:color w:val="auto"/>
                <w:kern w:val="0"/>
                <w:sz w:val="22"/>
                <w:szCs w:val="22"/>
                <w:u w:val="none"/>
                <w:lang w:val="en-US" w:eastAsia="zh-CN" w:bidi="ar"/>
              </w:rPr>
              <w:t>62</w:t>
            </w:r>
            <w:r>
              <w:rPr>
                <w:rFonts w:hint="eastAsia" w:ascii="宋体" w:hAnsi="宋体" w:eastAsia="宋体" w:cs="宋体"/>
                <w:i w:val="0"/>
                <w:iCs w:val="0"/>
                <w:color w:val="auto"/>
                <w:kern w:val="0"/>
                <w:sz w:val="22"/>
                <w:szCs w:val="22"/>
                <w:u w:val="none"/>
                <w:lang w:val="en-US" w:eastAsia="zh-CN" w:bidi="ar"/>
              </w:rPr>
              <w:t>%</w:t>
            </w:r>
          </w:p>
        </w:tc>
      </w:tr>
      <w:tr>
        <w:tblPrEx>
          <w:tblCellMar>
            <w:top w:w="0" w:type="dxa"/>
            <w:left w:w="0" w:type="dxa"/>
            <w:bottom w:w="0" w:type="dxa"/>
            <w:right w:w="0" w:type="dxa"/>
          </w:tblCellMar>
        </w:tblPrEx>
        <w:trPr>
          <w:trHeight w:val="1552" w:hRule="atLeast"/>
        </w:trPr>
        <w:tc>
          <w:tcPr>
            <w:tcW w:w="18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4</w:t>
            </w:r>
          </w:p>
        </w:tc>
        <w:tc>
          <w:tcPr>
            <w:tcW w:w="39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汕头市南澳县后宅镇港畔路2号楼1501号</w:t>
            </w:r>
          </w:p>
        </w:tc>
        <w:tc>
          <w:tcPr>
            <w:tcW w:w="2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钢筋混凝土</w:t>
            </w:r>
          </w:p>
        </w:tc>
        <w:tc>
          <w:tcPr>
            <w:tcW w:w="2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cs="宋体"/>
                <w:i w:val="0"/>
                <w:iCs w:val="0"/>
                <w:color w:val="auto"/>
                <w:kern w:val="0"/>
                <w:sz w:val="22"/>
                <w:szCs w:val="22"/>
                <w:u w:val="none"/>
                <w:lang w:val="en-US" w:eastAsia="zh-CN" w:bidi="ar"/>
              </w:rPr>
              <w:t>住宅</w:t>
            </w:r>
          </w:p>
        </w:tc>
        <w:tc>
          <w:tcPr>
            <w:tcW w:w="25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426.97</w:t>
            </w:r>
          </w:p>
        </w:tc>
        <w:tc>
          <w:tcPr>
            <w:tcW w:w="3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总层数</w:t>
            </w:r>
            <w:r>
              <w:rPr>
                <w:rFonts w:hint="eastAsia" w:ascii="宋体" w:hAnsi="宋体" w:cs="宋体"/>
                <w:i w:val="0"/>
                <w:iCs w:val="0"/>
                <w:color w:val="auto"/>
                <w:kern w:val="0"/>
                <w:sz w:val="22"/>
                <w:szCs w:val="22"/>
                <w:u w:val="none"/>
                <w:lang w:val="en-US" w:eastAsia="zh-CN" w:bidi="ar"/>
              </w:rPr>
              <w:t>16</w:t>
            </w:r>
            <w:r>
              <w:rPr>
                <w:rFonts w:hint="eastAsia" w:ascii="宋体" w:hAnsi="宋体" w:eastAsia="宋体" w:cs="宋体"/>
                <w:i w:val="0"/>
                <w:iCs w:val="0"/>
                <w:color w:val="auto"/>
                <w:kern w:val="0"/>
                <w:sz w:val="22"/>
                <w:szCs w:val="22"/>
                <w:u w:val="none"/>
                <w:lang w:val="en-US" w:eastAsia="zh-CN" w:bidi="ar"/>
              </w:rPr>
              <w:t>层/位于第</w:t>
            </w:r>
            <w:r>
              <w:rPr>
                <w:rFonts w:hint="eastAsia" w:ascii="宋体" w:hAnsi="宋体" w:cs="宋体"/>
                <w:i w:val="0"/>
                <w:iCs w:val="0"/>
                <w:color w:val="auto"/>
                <w:kern w:val="0"/>
                <w:sz w:val="22"/>
                <w:szCs w:val="22"/>
                <w:u w:val="none"/>
                <w:lang w:val="en-US" w:eastAsia="zh-CN" w:bidi="ar"/>
              </w:rPr>
              <w:t>15</w:t>
            </w:r>
            <w:r>
              <w:rPr>
                <w:rFonts w:hint="eastAsia" w:ascii="宋体" w:hAnsi="宋体" w:eastAsia="宋体" w:cs="宋体"/>
                <w:i w:val="0"/>
                <w:iCs w:val="0"/>
                <w:color w:val="auto"/>
                <w:kern w:val="0"/>
                <w:sz w:val="22"/>
                <w:szCs w:val="22"/>
                <w:u w:val="none"/>
                <w:lang w:val="en-US" w:eastAsia="zh-CN" w:bidi="ar"/>
              </w:rPr>
              <w:t>层</w:t>
            </w:r>
          </w:p>
        </w:tc>
        <w:tc>
          <w:tcPr>
            <w:tcW w:w="2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层高约</w:t>
            </w:r>
            <w:r>
              <w:rPr>
                <w:rFonts w:hint="eastAsia" w:ascii="宋体" w:hAnsi="宋体" w:cs="宋体"/>
                <w:i w:val="0"/>
                <w:iCs w:val="0"/>
                <w:color w:val="auto"/>
                <w:kern w:val="0"/>
                <w:sz w:val="22"/>
                <w:szCs w:val="22"/>
                <w:u w:val="none"/>
                <w:lang w:val="en-US" w:eastAsia="zh-CN" w:bidi="ar"/>
              </w:rPr>
              <w:t>3</w:t>
            </w:r>
            <w:r>
              <w:rPr>
                <w:rFonts w:hint="eastAsia" w:ascii="宋体" w:hAnsi="宋体" w:eastAsia="宋体" w:cs="宋体"/>
                <w:i w:val="0"/>
                <w:iCs w:val="0"/>
                <w:color w:val="auto"/>
                <w:kern w:val="0"/>
                <w:sz w:val="22"/>
                <w:szCs w:val="22"/>
                <w:u w:val="none"/>
                <w:lang w:val="en-US" w:eastAsia="zh-CN" w:bidi="ar"/>
              </w:rPr>
              <w:t>米</w:t>
            </w:r>
          </w:p>
        </w:tc>
        <w:tc>
          <w:tcPr>
            <w:tcW w:w="25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通风、采光、日照等</w:t>
            </w:r>
          </w:p>
        </w:tc>
        <w:tc>
          <w:tcPr>
            <w:tcW w:w="27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为</w:t>
            </w:r>
            <w:r>
              <w:rPr>
                <w:rFonts w:hint="eastAsia" w:ascii="宋体" w:hAnsi="宋体" w:cs="宋体"/>
                <w:i w:val="0"/>
                <w:iCs w:val="0"/>
                <w:color w:val="auto"/>
                <w:kern w:val="0"/>
                <w:sz w:val="22"/>
                <w:szCs w:val="22"/>
                <w:u w:val="none"/>
                <w:lang w:val="en-US" w:eastAsia="zh-CN" w:bidi="ar"/>
              </w:rPr>
              <w:t>住宅</w:t>
            </w:r>
          </w:p>
        </w:tc>
        <w:tc>
          <w:tcPr>
            <w:tcW w:w="26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较合理</w:t>
            </w:r>
          </w:p>
        </w:tc>
        <w:tc>
          <w:tcPr>
            <w:tcW w:w="26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合格</w:t>
            </w:r>
          </w:p>
        </w:tc>
        <w:tc>
          <w:tcPr>
            <w:tcW w:w="28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cs="宋体"/>
                <w:i w:val="0"/>
                <w:iCs w:val="0"/>
                <w:color w:val="auto"/>
                <w:kern w:val="0"/>
                <w:sz w:val="22"/>
                <w:szCs w:val="22"/>
                <w:u w:val="none"/>
                <w:lang w:val="en-US" w:eastAsia="zh-CN" w:bidi="ar"/>
              </w:rPr>
              <w:t>一般</w:t>
            </w:r>
          </w:p>
        </w:tc>
        <w:tc>
          <w:tcPr>
            <w:tcW w:w="39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cs="宋体"/>
                <w:i w:val="0"/>
                <w:iCs w:val="0"/>
                <w:color w:val="auto"/>
                <w:kern w:val="0"/>
                <w:sz w:val="22"/>
                <w:szCs w:val="22"/>
                <w:u w:val="none"/>
                <w:lang w:val="en-US" w:eastAsia="zh-CN" w:bidi="ar"/>
              </w:rPr>
              <w:t>无外墙体，水泥地面</w:t>
            </w:r>
          </w:p>
        </w:tc>
        <w:tc>
          <w:tcPr>
            <w:tcW w:w="39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配套</w:t>
            </w:r>
            <w:r>
              <w:rPr>
                <w:rFonts w:hint="eastAsia" w:ascii="宋体" w:hAnsi="宋体" w:cs="宋体"/>
                <w:i w:val="0"/>
                <w:iCs w:val="0"/>
                <w:color w:val="auto"/>
                <w:kern w:val="0"/>
                <w:sz w:val="22"/>
                <w:szCs w:val="22"/>
                <w:u w:val="none"/>
                <w:lang w:val="en-US" w:eastAsia="zh-CN" w:bidi="ar"/>
              </w:rPr>
              <w:t>有电梯</w:t>
            </w:r>
            <w:r>
              <w:rPr>
                <w:rFonts w:hint="eastAsia" w:ascii="宋体" w:hAnsi="宋体" w:eastAsia="宋体" w:cs="宋体"/>
                <w:i w:val="0"/>
                <w:iCs w:val="0"/>
                <w:color w:val="auto"/>
                <w:kern w:val="0"/>
                <w:sz w:val="22"/>
                <w:szCs w:val="22"/>
                <w:u w:val="none"/>
                <w:lang w:val="en-US" w:eastAsia="zh-CN" w:bidi="ar"/>
              </w:rPr>
              <w:t>等设施设备等</w:t>
            </w:r>
          </w:p>
        </w:tc>
        <w:tc>
          <w:tcPr>
            <w:tcW w:w="28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cs="宋体"/>
                <w:i w:val="0"/>
                <w:iCs w:val="0"/>
                <w:color w:val="auto"/>
                <w:kern w:val="0"/>
                <w:sz w:val="22"/>
                <w:szCs w:val="22"/>
                <w:u w:val="none"/>
                <w:lang w:val="en-US" w:eastAsia="zh-CN" w:bidi="ar"/>
              </w:rPr>
              <w:t>1999</w:t>
            </w:r>
            <w:r>
              <w:rPr>
                <w:rFonts w:hint="eastAsia" w:ascii="宋体" w:hAnsi="宋体" w:eastAsia="宋体" w:cs="宋体"/>
                <w:i w:val="0"/>
                <w:iCs w:val="0"/>
                <w:color w:val="auto"/>
                <w:kern w:val="0"/>
                <w:sz w:val="22"/>
                <w:szCs w:val="22"/>
                <w:u w:val="none"/>
                <w:lang w:val="en-US" w:eastAsia="zh-CN" w:bidi="ar"/>
              </w:rPr>
              <w:t>年</w:t>
            </w:r>
          </w:p>
        </w:tc>
        <w:tc>
          <w:tcPr>
            <w:tcW w:w="26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cs="宋体"/>
                <w:i w:val="0"/>
                <w:color w:val="auto"/>
                <w:sz w:val="22"/>
                <w:szCs w:val="22"/>
                <w:u w:val="none"/>
                <w:lang w:val="en-US" w:eastAsia="zh-CN"/>
              </w:rPr>
              <w:t>有</w:t>
            </w:r>
          </w:p>
        </w:tc>
        <w:tc>
          <w:tcPr>
            <w:tcW w:w="37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房屋维护保养状况</w:t>
            </w:r>
            <w:r>
              <w:rPr>
                <w:rFonts w:hint="eastAsia" w:ascii="宋体" w:hAnsi="宋体" w:cs="宋体"/>
                <w:i w:val="0"/>
                <w:iCs w:val="0"/>
                <w:color w:val="auto"/>
                <w:kern w:val="0"/>
                <w:sz w:val="22"/>
                <w:szCs w:val="22"/>
                <w:u w:val="none"/>
                <w:lang w:val="en-US" w:eastAsia="zh-CN" w:bidi="ar"/>
              </w:rPr>
              <w:t>一般</w:t>
            </w:r>
            <w:r>
              <w:rPr>
                <w:rFonts w:hint="eastAsia" w:ascii="宋体" w:hAnsi="宋体" w:eastAsia="宋体" w:cs="宋体"/>
                <w:i w:val="0"/>
                <w:iCs w:val="0"/>
                <w:color w:val="auto"/>
                <w:kern w:val="0"/>
                <w:sz w:val="22"/>
                <w:szCs w:val="22"/>
                <w:u w:val="none"/>
                <w:lang w:val="en-US" w:eastAsia="zh-CN" w:bidi="ar"/>
              </w:rPr>
              <w:t>，结构较完整，综合成新率约为</w:t>
            </w:r>
            <w:r>
              <w:rPr>
                <w:rFonts w:hint="eastAsia" w:ascii="宋体" w:hAnsi="宋体" w:cs="宋体"/>
                <w:i w:val="0"/>
                <w:iCs w:val="0"/>
                <w:color w:val="auto"/>
                <w:kern w:val="0"/>
                <w:sz w:val="22"/>
                <w:szCs w:val="22"/>
                <w:u w:val="none"/>
                <w:lang w:val="en-US" w:eastAsia="zh-CN" w:bidi="ar"/>
              </w:rPr>
              <w:t>62</w:t>
            </w:r>
            <w:r>
              <w:rPr>
                <w:rFonts w:hint="eastAsia" w:ascii="宋体" w:hAnsi="宋体" w:eastAsia="宋体" w:cs="宋体"/>
                <w:i w:val="0"/>
                <w:iCs w:val="0"/>
                <w:color w:val="auto"/>
                <w:kern w:val="0"/>
                <w:sz w:val="22"/>
                <w:szCs w:val="22"/>
                <w:u w:val="none"/>
                <w:lang w:val="en-US" w:eastAsia="zh-CN" w:bidi="ar"/>
              </w:rPr>
              <w:t>%</w:t>
            </w:r>
          </w:p>
        </w:tc>
      </w:tr>
    </w:tbl>
    <w:p>
      <w:pPr>
        <w:numPr>
          <w:ilvl w:val="0"/>
          <w:numId w:val="17"/>
        </w:numPr>
        <w:tabs>
          <w:tab w:val="left" w:pos="7350"/>
        </w:tabs>
        <w:snapToGrid w:val="0"/>
        <w:spacing w:before="120" w:beforeLines="50" w:line="360" w:lineRule="auto"/>
        <w:ind w:firstLine="482" w:firstLineChars="200"/>
        <w:rPr>
          <w:rFonts w:hint="eastAsia" w:ascii="宋体" w:hAnsi="宋体"/>
          <w:b/>
          <w:color w:val="auto"/>
          <w:sz w:val="24"/>
          <w:highlight w:val="none"/>
        </w:rPr>
      </w:pPr>
      <w:r>
        <w:rPr>
          <w:rFonts w:hint="eastAsia" w:ascii="宋体" w:hAnsi="宋体"/>
          <w:b/>
          <w:bCs/>
          <w:snapToGrid w:val="0"/>
          <w:kern w:val="0"/>
          <w:sz w:val="24"/>
          <w:szCs w:val="24"/>
        </w:rPr>
        <w:t>权益状况</w:t>
      </w:r>
    </w:p>
    <w:p>
      <w:pPr>
        <w:numPr>
          <w:ilvl w:val="0"/>
          <w:numId w:val="18"/>
        </w:numPr>
        <w:tabs>
          <w:tab w:val="left" w:pos="267"/>
        </w:tabs>
        <w:topLinePunct/>
        <w:adjustRightInd w:val="0"/>
        <w:snapToGrid w:val="0"/>
        <w:spacing w:line="360" w:lineRule="auto"/>
        <w:ind w:firstLine="480" w:firstLineChars="200"/>
        <w:rPr>
          <w:rFonts w:hint="eastAsia" w:ascii="宋体" w:hAnsi="宋体"/>
          <w:bCs/>
          <w:sz w:val="24"/>
          <w:szCs w:val="24"/>
        </w:rPr>
      </w:pPr>
      <w:r>
        <w:rPr>
          <w:rFonts w:hint="eastAsia" w:ascii="宋体" w:hAnsi="宋体"/>
          <w:bCs/>
          <w:sz w:val="24"/>
          <w:szCs w:val="24"/>
        </w:rPr>
        <w:t>土地权益状况</w:t>
      </w:r>
    </w:p>
    <w:tbl>
      <w:tblPr>
        <w:tblStyle w:val="73"/>
        <w:tblW w:w="5113" w:type="pct"/>
        <w:tblInd w:w="0" w:type="dxa"/>
        <w:tblLayout w:type="fixed"/>
        <w:tblCellMar>
          <w:top w:w="0" w:type="dxa"/>
          <w:left w:w="0" w:type="dxa"/>
          <w:bottom w:w="0" w:type="dxa"/>
          <w:right w:w="0" w:type="dxa"/>
        </w:tblCellMar>
      </w:tblPr>
      <w:tblGrid>
        <w:gridCol w:w="527"/>
        <w:gridCol w:w="1547"/>
        <w:gridCol w:w="1383"/>
        <w:gridCol w:w="982"/>
        <w:gridCol w:w="706"/>
        <w:gridCol w:w="790"/>
        <w:gridCol w:w="712"/>
        <w:gridCol w:w="969"/>
        <w:gridCol w:w="997"/>
        <w:gridCol w:w="1013"/>
        <w:gridCol w:w="1105"/>
        <w:gridCol w:w="1107"/>
        <w:gridCol w:w="1368"/>
        <w:gridCol w:w="970"/>
      </w:tblGrid>
      <w:tr>
        <w:tblPrEx>
          <w:tblCellMar>
            <w:top w:w="0" w:type="dxa"/>
            <w:left w:w="0" w:type="dxa"/>
            <w:bottom w:w="0" w:type="dxa"/>
            <w:right w:w="0" w:type="dxa"/>
          </w:tblCellMar>
        </w:tblPrEx>
        <w:trPr>
          <w:trHeight w:val="410" w:hRule="atLeast"/>
        </w:trPr>
        <w:tc>
          <w:tcPr>
            <w:tcW w:w="185"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序号</w:t>
            </w:r>
          </w:p>
        </w:tc>
        <w:tc>
          <w:tcPr>
            <w:tcW w:w="545"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坐落</w:t>
            </w:r>
          </w:p>
        </w:tc>
        <w:tc>
          <w:tcPr>
            <w:tcW w:w="487"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权属证明</w:t>
            </w:r>
          </w:p>
        </w:tc>
        <w:tc>
          <w:tcPr>
            <w:tcW w:w="346"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土地性质</w:t>
            </w:r>
          </w:p>
        </w:tc>
        <w:tc>
          <w:tcPr>
            <w:tcW w:w="249"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规划条件</w:t>
            </w:r>
          </w:p>
        </w:tc>
        <w:tc>
          <w:tcPr>
            <w:tcW w:w="2360" w:type="pct"/>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土地使用权状况</w:t>
            </w:r>
          </w:p>
        </w:tc>
        <w:tc>
          <w:tcPr>
            <w:tcW w:w="482"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土地使用管制</w:t>
            </w:r>
          </w:p>
        </w:tc>
        <w:tc>
          <w:tcPr>
            <w:tcW w:w="342"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其他特殊情况</w:t>
            </w:r>
          </w:p>
        </w:tc>
      </w:tr>
      <w:tr>
        <w:tblPrEx>
          <w:tblCellMar>
            <w:top w:w="0" w:type="dxa"/>
            <w:left w:w="0" w:type="dxa"/>
            <w:bottom w:w="0" w:type="dxa"/>
            <w:right w:w="0" w:type="dxa"/>
          </w:tblCellMar>
        </w:tblPrEx>
        <w:trPr>
          <w:trHeight w:val="590" w:hRule="atLeast"/>
        </w:trPr>
        <w:tc>
          <w:tcPr>
            <w:tcW w:w="185"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545"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48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34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249"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27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权属人</w:t>
            </w:r>
          </w:p>
        </w:tc>
        <w:tc>
          <w:tcPr>
            <w:tcW w:w="25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土地来源</w:t>
            </w:r>
          </w:p>
        </w:tc>
        <w:tc>
          <w:tcPr>
            <w:tcW w:w="34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土地用途</w:t>
            </w:r>
          </w:p>
        </w:tc>
        <w:tc>
          <w:tcPr>
            <w:tcW w:w="35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土地分摊面积㎡</w:t>
            </w:r>
          </w:p>
        </w:tc>
        <w:tc>
          <w:tcPr>
            <w:tcW w:w="3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土地共有面积㎡</w:t>
            </w:r>
          </w:p>
        </w:tc>
        <w:tc>
          <w:tcPr>
            <w:tcW w:w="38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终止日期</w:t>
            </w:r>
          </w:p>
        </w:tc>
        <w:tc>
          <w:tcPr>
            <w:tcW w:w="39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共有情况</w:t>
            </w:r>
          </w:p>
        </w:tc>
        <w:tc>
          <w:tcPr>
            <w:tcW w:w="48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34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CellMar>
            <w:top w:w="0" w:type="dxa"/>
            <w:left w:w="0" w:type="dxa"/>
            <w:bottom w:w="0" w:type="dxa"/>
            <w:right w:w="0" w:type="dxa"/>
          </w:tblCellMar>
        </w:tblPrEx>
        <w:trPr>
          <w:trHeight w:val="1221" w:hRule="atLeast"/>
        </w:trPr>
        <w:tc>
          <w:tcPr>
            <w:tcW w:w="18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54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汕头市南澳县后宅镇港畔路2号楼1301、1303号</w:t>
            </w:r>
          </w:p>
        </w:tc>
        <w:tc>
          <w:tcPr>
            <w:tcW w:w="4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auto"/>
                <w:sz w:val="22"/>
                <w:szCs w:val="22"/>
                <w:u w:val="none"/>
                <w:lang w:val="en-US"/>
              </w:rPr>
            </w:pPr>
            <w:r>
              <w:rPr>
                <w:rFonts w:hint="eastAsia" w:ascii="宋体" w:hAnsi="宋体" w:eastAsia="宋体" w:cs="宋体"/>
                <w:i w:val="0"/>
                <w:iCs w:val="0"/>
                <w:color w:val="auto"/>
                <w:kern w:val="0"/>
                <w:sz w:val="22"/>
                <w:szCs w:val="22"/>
                <w:u w:val="none"/>
                <w:lang w:val="en-US" w:eastAsia="zh-CN" w:bidi="ar"/>
              </w:rPr>
              <w:t>粤房地权证南字第5000001293号</w:t>
            </w:r>
          </w:p>
        </w:tc>
        <w:tc>
          <w:tcPr>
            <w:tcW w:w="34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国有建设用地使用权</w:t>
            </w:r>
          </w:p>
        </w:tc>
        <w:tc>
          <w:tcPr>
            <w:tcW w:w="24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住宅</w:t>
            </w:r>
          </w:p>
        </w:tc>
        <w:tc>
          <w:tcPr>
            <w:tcW w:w="27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cs="宋体"/>
                <w:i w:val="0"/>
                <w:iCs w:val="0"/>
                <w:color w:val="auto"/>
                <w:kern w:val="0"/>
                <w:sz w:val="22"/>
                <w:szCs w:val="22"/>
                <w:u w:val="none"/>
                <w:lang w:val="en-US" w:eastAsia="zh-CN" w:bidi="ar"/>
              </w:rPr>
              <w:t>南澳县融信房地产开发有限公司</w:t>
            </w:r>
          </w:p>
        </w:tc>
        <w:tc>
          <w:tcPr>
            <w:tcW w:w="25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划拨</w:t>
            </w:r>
          </w:p>
        </w:tc>
        <w:tc>
          <w:tcPr>
            <w:tcW w:w="34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城镇住宅用地</w:t>
            </w:r>
          </w:p>
        </w:tc>
        <w:tc>
          <w:tcPr>
            <w:tcW w:w="35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2"/>
                <w:szCs w:val="22"/>
                <w:u w:val="none"/>
                <w:lang w:val="en-US"/>
              </w:rPr>
            </w:pPr>
            <w:r>
              <w:rPr>
                <w:rFonts w:hint="eastAsia" w:ascii="宋体" w:hAnsi="宋体" w:cs="宋体"/>
                <w:i w:val="0"/>
                <w:iCs w:val="0"/>
                <w:color w:val="auto"/>
                <w:kern w:val="0"/>
                <w:sz w:val="22"/>
                <w:szCs w:val="22"/>
                <w:u w:val="none"/>
                <w:lang w:val="en-US" w:eastAsia="zh-CN" w:bidi="ar"/>
              </w:rPr>
              <w:t>30.98</w:t>
            </w:r>
          </w:p>
        </w:tc>
        <w:tc>
          <w:tcPr>
            <w:tcW w:w="3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2"/>
                <w:szCs w:val="22"/>
                <w:u w:val="none"/>
                <w:lang w:val="en-US" w:eastAsia="zh-CN"/>
              </w:rPr>
            </w:pPr>
            <w:r>
              <w:rPr>
                <w:rFonts w:hint="eastAsia" w:ascii="宋体" w:hAnsi="宋体" w:cs="宋体"/>
                <w:i w:val="0"/>
                <w:color w:val="auto"/>
                <w:sz w:val="22"/>
                <w:szCs w:val="22"/>
                <w:u w:val="none"/>
                <w:lang w:val="en-US" w:eastAsia="zh-CN"/>
              </w:rPr>
              <w:t>1128.00</w:t>
            </w:r>
          </w:p>
        </w:tc>
        <w:tc>
          <w:tcPr>
            <w:tcW w:w="38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2"/>
                <w:szCs w:val="22"/>
                <w:u w:val="none"/>
                <w:lang w:val="en-US"/>
              </w:rPr>
            </w:pPr>
            <w:r>
              <w:rPr>
                <w:rFonts w:hint="eastAsia" w:ascii="宋体" w:hAnsi="宋体" w:eastAsia="宋体" w:cs="宋体"/>
                <w:i w:val="0"/>
                <w:iCs w:val="0"/>
                <w:color w:val="auto"/>
                <w:kern w:val="0"/>
                <w:sz w:val="22"/>
                <w:szCs w:val="22"/>
                <w:u w:val="none"/>
                <w:lang w:val="en-US" w:eastAsia="zh-CN" w:bidi="ar"/>
              </w:rPr>
              <w:t>未记载</w:t>
            </w:r>
          </w:p>
        </w:tc>
        <w:tc>
          <w:tcPr>
            <w:tcW w:w="39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2"/>
                <w:szCs w:val="22"/>
                <w:u w:val="none"/>
                <w:lang w:val="en-US"/>
              </w:rPr>
            </w:pPr>
            <w:r>
              <w:rPr>
                <w:rFonts w:hint="eastAsia" w:ascii="宋体" w:hAnsi="宋体" w:eastAsia="宋体" w:cs="宋体"/>
                <w:i w:val="0"/>
                <w:iCs w:val="0"/>
                <w:color w:val="auto"/>
                <w:kern w:val="0"/>
                <w:sz w:val="22"/>
                <w:szCs w:val="22"/>
                <w:u w:val="none"/>
                <w:lang w:val="en-US" w:eastAsia="zh-CN" w:bidi="ar"/>
              </w:rPr>
              <w:t>无</w:t>
            </w:r>
          </w:p>
        </w:tc>
        <w:tc>
          <w:tcPr>
            <w:tcW w:w="4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无</w:t>
            </w:r>
          </w:p>
        </w:tc>
        <w:tc>
          <w:tcPr>
            <w:tcW w:w="3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无</w:t>
            </w:r>
          </w:p>
        </w:tc>
      </w:tr>
      <w:tr>
        <w:tblPrEx>
          <w:tblCellMar>
            <w:top w:w="0" w:type="dxa"/>
            <w:left w:w="0" w:type="dxa"/>
            <w:bottom w:w="0" w:type="dxa"/>
            <w:right w:w="0" w:type="dxa"/>
          </w:tblCellMar>
        </w:tblPrEx>
        <w:trPr>
          <w:trHeight w:val="1221" w:hRule="atLeast"/>
        </w:trPr>
        <w:tc>
          <w:tcPr>
            <w:tcW w:w="18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w:t>
            </w:r>
          </w:p>
        </w:tc>
        <w:tc>
          <w:tcPr>
            <w:tcW w:w="54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汕头市南澳县后宅镇港畔路2号楼1302号</w:t>
            </w:r>
          </w:p>
        </w:tc>
        <w:tc>
          <w:tcPr>
            <w:tcW w:w="4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粤房地权证南字第5000001295号</w:t>
            </w:r>
          </w:p>
        </w:tc>
        <w:tc>
          <w:tcPr>
            <w:tcW w:w="34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国有建设用地使用权</w:t>
            </w:r>
          </w:p>
        </w:tc>
        <w:tc>
          <w:tcPr>
            <w:tcW w:w="24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住宅</w:t>
            </w:r>
          </w:p>
        </w:tc>
        <w:tc>
          <w:tcPr>
            <w:tcW w:w="27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cs="宋体"/>
                <w:i w:val="0"/>
                <w:iCs w:val="0"/>
                <w:color w:val="auto"/>
                <w:kern w:val="0"/>
                <w:sz w:val="22"/>
                <w:szCs w:val="22"/>
                <w:u w:val="none"/>
                <w:lang w:val="en-US" w:eastAsia="zh-CN" w:bidi="ar"/>
              </w:rPr>
              <w:t>南澳县融信房地产开发有限公司</w:t>
            </w:r>
          </w:p>
        </w:tc>
        <w:tc>
          <w:tcPr>
            <w:tcW w:w="25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划拨</w:t>
            </w:r>
          </w:p>
        </w:tc>
        <w:tc>
          <w:tcPr>
            <w:tcW w:w="34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城镇住宅用地</w:t>
            </w:r>
          </w:p>
        </w:tc>
        <w:tc>
          <w:tcPr>
            <w:tcW w:w="35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34.07</w:t>
            </w:r>
          </w:p>
        </w:tc>
        <w:tc>
          <w:tcPr>
            <w:tcW w:w="3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cs="宋体"/>
                <w:i w:val="0"/>
                <w:color w:val="auto"/>
                <w:sz w:val="22"/>
                <w:szCs w:val="22"/>
                <w:u w:val="none"/>
                <w:lang w:val="en-US" w:eastAsia="zh-CN"/>
              </w:rPr>
              <w:t>1128.00</w:t>
            </w:r>
          </w:p>
        </w:tc>
        <w:tc>
          <w:tcPr>
            <w:tcW w:w="38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未记载</w:t>
            </w:r>
          </w:p>
        </w:tc>
        <w:tc>
          <w:tcPr>
            <w:tcW w:w="39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无</w:t>
            </w:r>
          </w:p>
        </w:tc>
        <w:tc>
          <w:tcPr>
            <w:tcW w:w="4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无</w:t>
            </w:r>
          </w:p>
        </w:tc>
        <w:tc>
          <w:tcPr>
            <w:tcW w:w="3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无</w:t>
            </w:r>
          </w:p>
        </w:tc>
      </w:tr>
      <w:tr>
        <w:tblPrEx>
          <w:tblCellMar>
            <w:top w:w="0" w:type="dxa"/>
            <w:left w:w="0" w:type="dxa"/>
            <w:bottom w:w="0" w:type="dxa"/>
            <w:right w:w="0" w:type="dxa"/>
          </w:tblCellMar>
        </w:tblPrEx>
        <w:trPr>
          <w:trHeight w:val="1221" w:hRule="atLeast"/>
        </w:trPr>
        <w:tc>
          <w:tcPr>
            <w:tcW w:w="18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3</w:t>
            </w:r>
          </w:p>
        </w:tc>
        <w:tc>
          <w:tcPr>
            <w:tcW w:w="54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汕头市南澳县后宅镇港畔路2号楼1401号</w:t>
            </w:r>
          </w:p>
        </w:tc>
        <w:tc>
          <w:tcPr>
            <w:tcW w:w="4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粤房地权证南字第5000001284号</w:t>
            </w:r>
          </w:p>
        </w:tc>
        <w:tc>
          <w:tcPr>
            <w:tcW w:w="34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国有建设用地使用权</w:t>
            </w:r>
          </w:p>
        </w:tc>
        <w:tc>
          <w:tcPr>
            <w:tcW w:w="24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住宅</w:t>
            </w:r>
          </w:p>
        </w:tc>
        <w:tc>
          <w:tcPr>
            <w:tcW w:w="27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cs="宋体"/>
                <w:i w:val="0"/>
                <w:iCs w:val="0"/>
                <w:color w:val="auto"/>
                <w:kern w:val="0"/>
                <w:sz w:val="22"/>
                <w:szCs w:val="22"/>
                <w:u w:val="none"/>
                <w:lang w:val="en-US" w:eastAsia="zh-CN" w:bidi="ar"/>
              </w:rPr>
              <w:t>南澳县融信房地产开发有限公司</w:t>
            </w:r>
          </w:p>
        </w:tc>
        <w:tc>
          <w:tcPr>
            <w:tcW w:w="25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划拨</w:t>
            </w:r>
          </w:p>
        </w:tc>
        <w:tc>
          <w:tcPr>
            <w:tcW w:w="34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城镇住宅用地</w:t>
            </w:r>
          </w:p>
        </w:tc>
        <w:tc>
          <w:tcPr>
            <w:tcW w:w="35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31.98</w:t>
            </w:r>
          </w:p>
        </w:tc>
        <w:tc>
          <w:tcPr>
            <w:tcW w:w="3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cs="宋体"/>
                <w:i w:val="0"/>
                <w:color w:val="auto"/>
                <w:sz w:val="22"/>
                <w:szCs w:val="22"/>
                <w:u w:val="none"/>
                <w:lang w:val="en-US" w:eastAsia="zh-CN"/>
              </w:rPr>
              <w:t>1128.00</w:t>
            </w:r>
          </w:p>
        </w:tc>
        <w:tc>
          <w:tcPr>
            <w:tcW w:w="38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未记载</w:t>
            </w:r>
          </w:p>
        </w:tc>
        <w:tc>
          <w:tcPr>
            <w:tcW w:w="39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无</w:t>
            </w:r>
          </w:p>
        </w:tc>
        <w:tc>
          <w:tcPr>
            <w:tcW w:w="4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无</w:t>
            </w:r>
          </w:p>
        </w:tc>
        <w:tc>
          <w:tcPr>
            <w:tcW w:w="3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无</w:t>
            </w:r>
          </w:p>
        </w:tc>
      </w:tr>
      <w:tr>
        <w:tblPrEx>
          <w:tblCellMar>
            <w:top w:w="0" w:type="dxa"/>
            <w:left w:w="0" w:type="dxa"/>
            <w:bottom w:w="0" w:type="dxa"/>
            <w:right w:w="0" w:type="dxa"/>
          </w:tblCellMar>
        </w:tblPrEx>
        <w:trPr>
          <w:trHeight w:val="1221" w:hRule="atLeast"/>
        </w:trPr>
        <w:tc>
          <w:tcPr>
            <w:tcW w:w="18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4</w:t>
            </w:r>
          </w:p>
        </w:tc>
        <w:tc>
          <w:tcPr>
            <w:tcW w:w="54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汕头市南澳县后宅镇港畔路2号楼1501号</w:t>
            </w:r>
          </w:p>
        </w:tc>
        <w:tc>
          <w:tcPr>
            <w:tcW w:w="4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粤房地权证南字第5000001296号</w:t>
            </w:r>
          </w:p>
        </w:tc>
        <w:tc>
          <w:tcPr>
            <w:tcW w:w="34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国有建设用地使用权</w:t>
            </w:r>
          </w:p>
        </w:tc>
        <w:tc>
          <w:tcPr>
            <w:tcW w:w="24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住宅</w:t>
            </w:r>
          </w:p>
        </w:tc>
        <w:tc>
          <w:tcPr>
            <w:tcW w:w="27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cs="宋体"/>
                <w:i w:val="0"/>
                <w:iCs w:val="0"/>
                <w:color w:val="auto"/>
                <w:kern w:val="0"/>
                <w:sz w:val="22"/>
                <w:szCs w:val="22"/>
                <w:u w:val="none"/>
                <w:lang w:val="en-US" w:eastAsia="zh-CN" w:bidi="ar"/>
              </w:rPr>
              <w:t>南澳县融信房地产开发有限公司</w:t>
            </w:r>
          </w:p>
        </w:tc>
        <w:tc>
          <w:tcPr>
            <w:tcW w:w="25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划拨</w:t>
            </w:r>
          </w:p>
        </w:tc>
        <w:tc>
          <w:tcPr>
            <w:tcW w:w="34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城镇住宅用地</w:t>
            </w:r>
          </w:p>
        </w:tc>
        <w:tc>
          <w:tcPr>
            <w:tcW w:w="35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31.98</w:t>
            </w:r>
          </w:p>
        </w:tc>
        <w:tc>
          <w:tcPr>
            <w:tcW w:w="3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cs="宋体"/>
                <w:i w:val="0"/>
                <w:color w:val="auto"/>
                <w:sz w:val="22"/>
                <w:szCs w:val="22"/>
                <w:u w:val="none"/>
                <w:lang w:val="en-US" w:eastAsia="zh-CN"/>
              </w:rPr>
              <w:t>1128.00</w:t>
            </w:r>
          </w:p>
        </w:tc>
        <w:tc>
          <w:tcPr>
            <w:tcW w:w="38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未记载</w:t>
            </w:r>
          </w:p>
        </w:tc>
        <w:tc>
          <w:tcPr>
            <w:tcW w:w="39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无</w:t>
            </w:r>
          </w:p>
        </w:tc>
        <w:tc>
          <w:tcPr>
            <w:tcW w:w="4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无</w:t>
            </w:r>
          </w:p>
        </w:tc>
        <w:tc>
          <w:tcPr>
            <w:tcW w:w="3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无</w:t>
            </w:r>
          </w:p>
        </w:tc>
      </w:tr>
    </w:tbl>
    <w:p>
      <w:pPr>
        <w:numPr>
          <w:ilvl w:val="0"/>
          <w:numId w:val="18"/>
        </w:numPr>
        <w:tabs>
          <w:tab w:val="left" w:pos="267"/>
        </w:tabs>
        <w:topLinePunct/>
        <w:adjustRightInd w:val="0"/>
        <w:snapToGrid w:val="0"/>
        <w:spacing w:line="360" w:lineRule="auto"/>
        <w:ind w:firstLine="480" w:firstLineChars="200"/>
        <w:rPr>
          <w:rFonts w:hint="eastAsia" w:ascii="宋体" w:hAnsi="宋体"/>
          <w:bCs/>
          <w:sz w:val="24"/>
          <w:szCs w:val="24"/>
        </w:rPr>
      </w:pPr>
      <w:r>
        <w:rPr>
          <w:rFonts w:hint="eastAsia" w:ascii="宋体" w:hAnsi="宋体"/>
          <w:bCs/>
          <w:sz w:val="24"/>
          <w:szCs w:val="24"/>
        </w:rPr>
        <w:t>建筑物权益状况</w:t>
      </w:r>
    </w:p>
    <w:p>
      <w:pPr>
        <w:numPr>
          <w:ilvl w:val="0"/>
          <w:numId w:val="0"/>
        </w:numPr>
        <w:tabs>
          <w:tab w:val="left" w:pos="267"/>
        </w:tabs>
        <w:topLinePunct/>
        <w:adjustRightInd w:val="0"/>
        <w:snapToGrid w:val="0"/>
        <w:spacing w:line="360" w:lineRule="auto"/>
        <w:rPr>
          <w:rFonts w:hint="eastAsia" w:ascii="宋体" w:hAnsi="宋体"/>
          <w:bCs/>
          <w:sz w:val="24"/>
          <w:szCs w:val="24"/>
        </w:rPr>
      </w:pPr>
    </w:p>
    <w:tbl>
      <w:tblPr>
        <w:tblStyle w:val="73"/>
        <w:tblW w:w="5155" w:type="pct"/>
        <w:tblInd w:w="0" w:type="dxa"/>
        <w:tblLayout w:type="autofit"/>
        <w:tblCellMar>
          <w:top w:w="0" w:type="dxa"/>
          <w:left w:w="0" w:type="dxa"/>
          <w:bottom w:w="0" w:type="dxa"/>
          <w:right w:w="0" w:type="dxa"/>
        </w:tblCellMar>
      </w:tblPr>
      <w:tblGrid>
        <w:gridCol w:w="511"/>
        <w:gridCol w:w="1824"/>
        <w:gridCol w:w="1421"/>
        <w:gridCol w:w="1053"/>
        <w:gridCol w:w="1213"/>
        <w:gridCol w:w="1296"/>
        <w:gridCol w:w="1033"/>
        <w:gridCol w:w="1041"/>
        <w:gridCol w:w="1207"/>
        <w:gridCol w:w="1150"/>
        <w:gridCol w:w="1393"/>
        <w:gridCol w:w="1150"/>
      </w:tblGrid>
      <w:tr>
        <w:tblPrEx>
          <w:tblCellMar>
            <w:top w:w="0" w:type="dxa"/>
            <w:left w:w="0" w:type="dxa"/>
            <w:bottom w:w="0" w:type="dxa"/>
            <w:right w:w="0" w:type="dxa"/>
          </w:tblCellMar>
        </w:tblPrEx>
        <w:trPr>
          <w:trHeight w:val="660" w:hRule="atLeast"/>
        </w:trPr>
        <w:tc>
          <w:tcPr>
            <w:tcW w:w="179"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序号</w:t>
            </w:r>
          </w:p>
        </w:tc>
        <w:tc>
          <w:tcPr>
            <w:tcW w:w="638"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坐落</w:t>
            </w:r>
          </w:p>
        </w:tc>
        <w:tc>
          <w:tcPr>
            <w:tcW w:w="497"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权属证明</w:t>
            </w:r>
          </w:p>
        </w:tc>
        <w:tc>
          <w:tcPr>
            <w:tcW w:w="2392" w:type="pct"/>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房屋所有权状况</w:t>
            </w:r>
          </w:p>
        </w:tc>
        <w:tc>
          <w:tcPr>
            <w:tcW w:w="402"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他项权利设立情况</w:t>
            </w:r>
          </w:p>
        </w:tc>
        <w:tc>
          <w:tcPr>
            <w:tcW w:w="487"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租赁或占用情况</w:t>
            </w:r>
          </w:p>
        </w:tc>
        <w:tc>
          <w:tcPr>
            <w:tcW w:w="402"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其他特殊情况</w:t>
            </w:r>
          </w:p>
        </w:tc>
      </w:tr>
      <w:tr>
        <w:tblPrEx>
          <w:tblCellMar>
            <w:top w:w="0" w:type="dxa"/>
            <w:left w:w="0" w:type="dxa"/>
            <w:bottom w:w="0" w:type="dxa"/>
            <w:right w:w="0" w:type="dxa"/>
          </w:tblCellMar>
        </w:tblPrEx>
        <w:trPr>
          <w:trHeight w:val="540" w:hRule="atLeast"/>
        </w:trPr>
        <w:tc>
          <w:tcPr>
            <w:tcW w:w="179"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63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49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3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权属人</w:t>
            </w:r>
          </w:p>
        </w:tc>
        <w:tc>
          <w:tcPr>
            <w:tcW w:w="42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房屋权利类型</w:t>
            </w:r>
          </w:p>
        </w:tc>
        <w:tc>
          <w:tcPr>
            <w:tcW w:w="4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房屋用途</w:t>
            </w:r>
          </w:p>
        </w:tc>
        <w:tc>
          <w:tcPr>
            <w:tcW w:w="36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房屋取得方式</w:t>
            </w:r>
          </w:p>
        </w:tc>
        <w:tc>
          <w:tcPr>
            <w:tcW w:w="3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建筑面积㎡</w:t>
            </w:r>
          </w:p>
        </w:tc>
        <w:tc>
          <w:tcPr>
            <w:tcW w:w="42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权属份额</w:t>
            </w:r>
          </w:p>
        </w:tc>
        <w:tc>
          <w:tcPr>
            <w:tcW w:w="40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48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40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CellMar>
            <w:top w:w="0" w:type="dxa"/>
            <w:left w:w="0" w:type="dxa"/>
            <w:bottom w:w="0" w:type="dxa"/>
            <w:right w:w="0" w:type="dxa"/>
          </w:tblCellMar>
        </w:tblPrEx>
        <w:trPr>
          <w:trHeight w:val="915" w:hRule="atLeast"/>
        </w:trPr>
        <w:tc>
          <w:tcPr>
            <w:tcW w:w="17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w:t>
            </w:r>
          </w:p>
        </w:tc>
        <w:tc>
          <w:tcPr>
            <w:tcW w:w="63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汕头市南澳县后宅镇港畔路2号楼1301、1303号</w:t>
            </w:r>
          </w:p>
        </w:tc>
        <w:tc>
          <w:tcPr>
            <w:tcW w:w="49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粤房地权证南字第5000001293号</w:t>
            </w:r>
          </w:p>
        </w:tc>
        <w:tc>
          <w:tcPr>
            <w:tcW w:w="3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cs="宋体"/>
                <w:i w:val="0"/>
                <w:iCs w:val="0"/>
                <w:color w:val="auto"/>
                <w:kern w:val="0"/>
                <w:sz w:val="22"/>
                <w:szCs w:val="22"/>
                <w:u w:val="none"/>
                <w:lang w:val="en-US" w:eastAsia="zh-CN" w:bidi="ar"/>
              </w:rPr>
              <w:t>南澳县融信房地产开发有限公司</w:t>
            </w:r>
          </w:p>
        </w:tc>
        <w:tc>
          <w:tcPr>
            <w:tcW w:w="42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2"/>
                <w:szCs w:val="22"/>
                <w:u w:val="none"/>
                <w:lang w:val="en-US" w:eastAsia="zh-CN"/>
              </w:rPr>
            </w:pPr>
            <w:r>
              <w:rPr>
                <w:rFonts w:hint="eastAsia" w:ascii="宋体" w:hAnsi="宋体" w:eastAsia="宋体" w:cs="宋体"/>
                <w:i w:val="0"/>
                <w:iCs w:val="0"/>
                <w:color w:val="auto"/>
                <w:kern w:val="0"/>
                <w:sz w:val="22"/>
                <w:szCs w:val="22"/>
                <w:u w:val="none"/>
                <w:lang w:val="en-US" w:eastAsia="zh-CN" w:bidi="ar"/>
              </w:rPr>
              <w:t>-</w:t>
            </w:r>
            <w:r>
              <w:rPr>
                <w:rFonts w:hint="eastAsia" w:ascii="宋体" w:hAnsi="宋体" w:cs="宋体"/>
                <w:i w:val="0"/>
                <w:iCs w:val="0"/>
                <w:color w:val="auto"/>
                <w:kern w:val="0"/>
                <w:sz w:val="22"/>
                <w:szCs w:val="22"/>
                <w:u w:val="none"/>
                <w:lang w:val="en-US" w:eastAsia="zh-CN" w:bidi="ar"/>
              </w:rPr>
              <w:t>-</w:t>
            </w:r>
          </w:p>
        </w:tc>
        <w:tc>
          <w:tcPr>
            <w:tcW w:w="4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cs="宋体"/>
                <w:i w:val="0"/>
                <w:iCs w:val="0"/>
                <w:color w:val="auto"/>
                <w:kern w:val="0"/>
                <w:sz w:val="22"/>
                <w:szCs w:val="22"/>
                <w:u w:val="none"/>
                <w:lang w:val="en-US" w:eastAsia="zh-CN" w:bidi="ar"/>
              </w:rPr>
              <w:t>住宅</w:t>
            </w:r>
          </w:p>
        </w:tc>
        <w:tc>
          <w:tcPr>
            <w:tcW w:w="36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2"/>
                <w:szCs w:val="22"/>
                <w:u w:val="none"/>
                <w:lang w:val="en-US" w:eastAsia="zh-CN"/>
              </w:rPr>
            </w:pPr>
            <w:r>
              <w:rPr>
                <w:rFonts w:hint="eastAsia" w:ascii="宋体" w:hAnsi="宋体" w:eastAsia="宋体" w:cs="宋体"/>
                <w:i w:val="0"/>
                <w:iCs w:val="0"/>
                <w:color w:val="auto"/>
                <w:kern w:val="0"/>
                <w:sz w:val="22"/>
                <w:szCs w:val="22"/>
                <w:u w:val="none"/>
                <w:lang w:val="en-US" w:eastAsia="zh-CN" w:bidi="ar"/>
              </w:rPr>
              <w:t>购买</w:t>
            </w:r>
          </w:p>
        </w:tc>
        <w:tc>
          <w:tcPr>
            <w:tcW w:w="3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2"/>
                <w:szCs w:val="22"/>
                <w:u w:val="none"/>
                <w:lang w:val="en-US"/>
              </w:rPr>
            </w:pPr>
            <w:r>
              <w:rPr>
                <w:rFonts w:hint="eastAsia" w:ascii="宋体" w:hAnsi="宋体" w:eastAsia="宋体" w:cs="宋体"/>
                <w:i w:val="0"/>
                <w:iCs w:val="0"/>
                <w:color w:val="auto"/>
                <w:kern w:val="0"/>
                <w:sz w:val="22"/>
                <w:szCs w:val="22"/>
                <w:u w:val="none"/>
                <w:lang w:val="en-US" w:eastAsia="zh-CN" w:bidi="ar"/>
              </w:rPr>
              <w:t>413.66</w:t>
            </w:r>
          </w:p>
        </w:tc>
        <w:tc>
          <w:tcPr>
            <w:tcW w:w="42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2"/>
                <w:szCs w:val="22"/>
                <w:u w:val="none"/>
                <w:lang w:val="en-US"/>
              </w:rPr>
            </w:pPr>
            <w:r>
              <w:rPr>
                <w:rFonts w:hint="eastAsia" w:ascii="宋体" w:hAnsi="宋体" w:eastAsia="宋体" w:cs="宋体"/>
                <w:i w:val="0"/>
                <w:iCs w:val="0"/>
                <w:color w:val="auto"/>
                <w:kern w:val="0"/>
                <w:sz w:val="22"/>
                <w:szCs w:val="22"/>
                <w:u w:val="none"/>
                <w:lang w:val="en-US" w:eastAsia="zh-CN" w:bidi="ar"/>
              </w:rPr>
              <w:t>-</w:t>
            </w:r>
            <w:r>
              <w:rPr>
                <w:rFonts w:hint="eastAsia" w:ascii="宋体" w:hAnsi="宋体" w:cs="宋体"/>
                <w:i w:val="0"/>
                <w:iCs w:val="0"/>
                <w:color w:val="auto"/>
                <w:kern w:val="0"/>
                <w:sz w:val="22"/>
                <w:szCs w:val="22"/>
                <w:u w:val="none"/>
                <w:lang w:val="en-US" w:eastAsia="zh-CN" w:bidi="ar"/>
              </w:rPr>
              <w:t>-</w:t>
            </w:r>
          </w:p>
        </w:tc>
        <w:tc>
          <w:tcPr>
            <w:tcW w:w="4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已抵押</w:t>
            </w:r>
          </w:p>
        </w:tc>
        <w:tc>
          <w:tcPr>
            <w:tcW w:w="4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出租中</w:t>
            </w:r>
          </w:p>
        </w:tc>
        <w:tc>
          <w:tcPr>
            <w:tcW w:w="4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lang w:eastAsia="zh-CN"/>
              </w:rPr>
            </w:pPr>
            <w:r>
              <w:rPr>
                <w:rFonts w:hint="eastAsia" w:ascii="宋体" w:hAnsi="宋体" w:cs="宋体"/>
                <w:i w:val="0"/>
                <w:color w:val="auto"/>
                <w:sz w:val="22"/>
                <w:szCs w:val="22"/>
                <w:u w:val="none"/>
                <w:lang w:eastAsia="zh-CN"/>
              </w:rPr>
              <w:t>无</w:t>
            </w:r>
          </w:p>
        </w:tc>
      </w:tr>
      <w:tr>
        <w:tblPrEx>
          <w:tblCellMar>
            <w:top w:w="0" w:type="dxa"/>
            <w:left w:w="0" w:type="dxa"/>
            <w:bottom w:w="0" w:type="dxa"/>
            <w:right w:w="0" w:type="dxa"/>
          </w:tblCellMar>
        </w:tblPrEx>
        <w:trPr>
          <w:trHeight w:val="915" w:hRule="atLeast"/>
        </w:trPr>
        <w:tc>
          <w:tcPr>
            <w:tcW w:w="17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w:t>
            </w:r>
          </w:p>
        </w:tc>
        <w:tc>
          <w:tcPr>
            <w:tcW w:w="63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汕头市南澳县后宅镇港畔路2号楼1302号</w:t>
            </w:r>
          </w:p>
        </w:tc>
        <w:tc>
          <w:tcPr>
            <w:tcW w:w="49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粤房地权证南字第5000001295号</w:t>
            </w:r>
          </w:p>
        </w:tc>
        <w:tc>
          <w:tcPr>
            <w:tcW w:w="3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cs="宋体"/>
                <w:i w:val="0"/>
                <w:iCs w:val="0"/>
                <w:color w:val="auto"/>
                <w:kern w:val="0"/>
                <w:sz w:val="22"/>
                <w:szCs w:val="22"/>
                <w:u w:val="none"/>
                <w:lang w:val="en-US" w:eastAsia="zh-CN" w:bidi="ar"/>
              </w:rPr>
              <w:t>南澳县融信房地产开发有限公司</w:t>
            </w:r>
          </w:p>
        </w:tc>
        <w:tc>
          <w:tcPr>
            <w:tcW w:w="42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w:t>
            </w:r>
            <w:r>
              <w:rPr>
                <w:rFonts w:hint="eastAsia" w:ascii="宋体" w:hAnsi="宋体" w:cs="宋体"/>
                <w:i w:val="0"/>
                <w:iCs w:val="0"/>
                <w:color w:val="auto"/>
                <w:kern w:val="0"/>
                <w:sz w:val="22"/>
                <w:szCs w:val="22"/>
                <w:u w:val="none"/>
                <w:lang w:val="en-US" w:eastAsia="zh-CN" w:bidi="ar"/>
              </w:rPr>
              <w:t>-</w:t>
            </w:r>
          </w:p>
        </w:tc>
        <w:tc>
          <w:tcPr>
            <w:tcW w:w="4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cs="宋体"/>
                <w:i w:val="0"/>
                <w:iCs w:val="0"/>
                <w:color w:val="auto"/>
                <w:kern w:val="0"/>
                <w:sz w:val="22"/>
                <w:szCs w:val="22"/>
                <w:u w:val="none"/>
                <w:lang w:val="en-US" w:eastAsia="zh-CN" w:bidi="ar"/>
              </w:rPr>
              <w:t>住宅</w:t>
            </w:r>
          </w:p>
        </w:tc>
        <w:tc>
          <w:tcPr>
            <w:tcW w:w="36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购买</w:t>
            </w:r>
          </w:p>
        </w:tc>
        <w:tc>
          <w:tcPr>
            <w:tcW w:w="3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454.8</w:t>
            </w:r>
          </w:p>
        </w:tc>
        <w:tc>
          <w:tcPr>
            <w:tcW w:w="42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w:t>
            </w:r>
            <w:r>
              <w:rPr>
                <w:rFonts w:hint="eastAsia" w:ascii="宋体" w:hAnsi="宋体" w:cs="宋体"/>
                <w:i w:val="0"/>
                <w:iCs w:val="0"/>
                <w:color w:val="auto"/>
                <w:kern w:val="0"/>
                <w:sz w:val="22"/>
                <w:szCs w:val="22"/>
                <w:u w:val="none"/>
                <w:lang w:val="en-US" w:eastAsia="zh-CN" w:bidi="ar"/>
              </w:rPr>
              <w:t>-</w:t>
            </w:r>
          </w:p>
        </w:tc>
        <w:tc>
          <w:tcPr>
            <w:tcW w:w="4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已抵押</w:t>
            </w:r>
          </w:p>
        </w:tc>
        <w:tc>
          <w:tcPr>
            <w:tcW w:w="4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出租中</w:t>
            </w:r>
          </w:p>
        </w:tc>
        <w:tc>
          <w:tcPr>
            <w:tcW w:w="4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无</w:t>
            </w:r>
          </w:p>
        </w:tc>
      </w:tr>
      <w:tr>
        <w:tblPrEx>
          <w:tblCellMar>
            <w:top w:w="0" w:type="dxa"/>
            <w:left w:w="0" w:type="dxa"/>
            <w:bottom w:w="0" w:type="dxa"/>
            <w:right w:w="0" w:type="dxa"/>
          </w:tblCellMar>
        </w:tblPrEx>
        <w:trPr>
          <w:trHeight w:val="915" w:hRule="atLeast"/>
        </w:trPr>
        <w:tc>
          <w:tcPr>
            <w:tcW w:w="17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3</w:t>
            </w:r>
          </w:p>
        </w:tc>
        <w:tc>
          <w:tcPr>
            <w:tcW w:w="63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汕头市南澳县后宅镇港畔路2号楼1401号</w:t>
            </w:r>
          </w:p>
        </w:tc>
        <w:tc>
          <w:tcPr>
            <w:tcW w:w="49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粤房地权证南字第5000001284号</w:t>
            </w:r>
          </w:p>
        </w:tc>
        <w:tc>
          <w:tcPr>
            <w:tcW w:w="3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cs="宋体"/>
                <w:i w:val="0"/>
                <w:iCs w:val="0"/>
                <w:color w:val="auto"/>
                <w:kern w:val="0"/>
                <w:sz w:val="22"/>
                <w:szCs w:val="22"/>
                <w:u w:val="none"/>
                <w:lang w:val="en-US" w:eastAsia="zh-CN" w:bidi="ar"/>
              </w:rPr>
              <w:t>南澳县融信房地产开发有限公司</w:t>
            </w:r>
          </w:p>
        </w:tc>
        <w:tc>
          <w:tcPr>
            <w:tcW w:w="42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w:t>
            </w:r>
            <w:r>
              <w:rPr>
                <w:rFonts w:hint="eastAsia" w:ascii="宋体" w:hAnsi="宋体" w:cs="宋体"/>
                <w:i w:val="0"/>
                <w:iCs w:val="0"/>
                <w:color w:val="auto"/>
                <w:kern w:val="0"/>
                <w:sz w:val="22"/>
                <w:szCs w:val="22"/>
                <w:u w:val="none"/>
                <w:lang w:val="en-US" w:eastAsia="zh-CN" w:bidi="ar"/>
              </w:rPr>
              <w:t>-</w:t>
            </w:r>
          </w:p>
        </w:tc>
        <w:tc>
          <w:tcPr>
            <w:tcW w:w="4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cs="宋体"/>
                <w:i w:val="0"/>
                <w:iCs w:val="0"/>
                <w:color w:val="auto"/>
                <w:kern w:val="0"/>
                <w:sz w:val="22"/>
                <w:szCs w:val="22"/>
                <w:u w:val="none"/>
                <w:lang w:val="en-US" w:eastAsia="zh-CN" w:bidi="ar"/>
              </w:rPr>
              <w:t>住宅</w:t>
            </w:r>
          </w:p>
        </w:tc>
        <w:tc>
          <w:tcPr>
            <w:tcW w:w="36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购买</w:t>
            </w:r>
          </w:p>
        </w:tc>
        <w:tc>
          <w:tcPr>
            <w:tcW w:w="3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426.97</w:t>
            </w:r>
          </w:p>
        </w:tc>
        <w:tc>
          <w:tcPr>
            <w:tcW w:w="42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w:t>
            </w:r>
            <w:r>
              <w:rPr>
                <w:rFonts w:hint="eastAsia" w:ascii="宋体" w:hAnsi="宋体" w:cs="宋体"/>
                <w:i w:val="0"/>
                <w:iCs w:val="0"/>
                <w:color w:val="auto"/>
                <w:kern w:val="0"/>
                <w:sz w:val="22"/>
                <w:szCs w:val="22"/>
                <w:u w:val="none"/>
                <w:lang w:val="en-US" w:eastAsia="zh-CN" w:bidi="ar"/>
              </w:rPr>
              <w:t>-</w:t>
            </w:r>
          </w:p>
        </w:tc>
        <w:tc>
          <w:tcPr>
            <w:tcW w:w="4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已抵押</w:t>
            </w:r>
          </w:p>
        </w:tc>
        <w:tc>
          <w:tcPr>
            <w:tcW w:w="4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出租中</w:t>
            </w:r>
          </w:p>
        </w:tc>
        <w:tc>
          <w:tcPr>
            <w:tcW w:w="4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无</w:t>
            </w:r>
          </w:p>
        </w:tc>
      </w:tr>
      <w:tr>
        <w:tblPrEx>
          <w:tblCellMar>
            <w:top w:w="0" w:type="dxa"/>
            <w:left w:w="0" w:type="dxa"/>
            <w:bottom w:w="0" w:type="dxa"/>
            <w:right w:w="0" w:type="dxa"/>
          </w:tblCellMar>
        </w:tblPrEx>
        <w:trPr>
          <w:trHeight w:val="915" w:hRule="atLeast"/>
        </w:trPr>
        <w:tc>
          <w:tcPr>
            <w:tcW w:w="17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4</w:t>
            </w:r>
          </w:p>
        </w:tc>
        <w:tc>
          <w:tcPr>
            <w:tcW w:w="63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汕头市南澳县后宅镇港畔路2号楼1501号</w:t>
            </w:r>
          </w:p>
        </w:tc>
        <w:tc>
          <w:tcPr>
            <w:tcW w:w="49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粤房地权证南字第5000001296号</w:t>
            </w:r>
          </w:p>
        </w:tc>
        <w:tc>
          <w:tcPr>
            <w:tcW w:w="3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cs="宋体"/>
                <w:i w:val="0"/>
                <w:iCs w:val="0"/>
                <w:color w:val="auto"/>
                <w:kern w:val="0"/>
                <w:sz w:val="22"/>
                <w:szCs w:val="22"/>
                <w:u w:val="none"/>
                <w:lang w:val="en-US" w:eastAsia="zh-CN" w:bidi="ar"/>
              </w:rPr>
              <w:t>南澳县融信房地产开发有限公司</w:t>
            </w:r>
          </w:p>
        </w:tc>
        <w:tc>
          <w:tcPr>
            <w:tcW w:w="42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w:t>
            </w:r>
            <w:r>
              <w:rPr>
                <w:rFonts w:hint="eastAsia" w:ascii="宋体" w:hAnsi="宋体" w:cs="宋体"/>
                <w:i w:val="0"/>
                <w:iCs w:val="0"/>
                <w:color w:val="auto"/>
                <w:kern w:val="0"/>
                <w:sz w:val="22"/>
                <w:szCs w:val="22"/>
                <w:u w:val="none"/>
                <w:lang w:val="en-US" w:eastAsia="zh-CN" w:bidi="ar"/>
              </w:rPr>
              <w:t>-</w:t>
            </w:r>
          </w:p>
        </w:tc>
        <w:tc>
          <w:tcPr>
            <w:tcW w:w="4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cs="宋体"/>
                <w:i w:val="0"/>
                <w:iCs w:val="0"/>
                <w:color w:val="auto"/>
                <w:kern w:val="0"/>
                <w:sz w:val="22"/>
                <w:szCs w:val="22"/>
                <w:u w:val="none"/>
                <w:lang w:val="en-US" w:eastAsia="zh-CN" w:bidi="ar"/>
              </w:rPr>
              <w:t>住宅</w:t>
            </w:r>
          </w:p>
        </w:tc>
        <w:tc>
          <w:tcPr>
            <w:tcW w:w="36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购买</w:t>
            </w:r>
          </w:p>
        </w:tc>
        <w:tc>
          <w:tcPr>
            <w:tcW w:w="3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426.97</w:t>
            </w:r>
          </w:p>
        </w:tc>
        <w:tc>
          <w:tcPr>
            <w:tcW w:w="42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w:t>
            </w:r>
            <w:r>
              <w:rPr>
                <w:rFonts w:hint="eastAsia" w:ascii="宋体" w:hAnsi="宋体" w:cs="宋体"/>
                <w:i w:val="0"/>
                <w:iCs w:val="0"/>
                <w:color w:val="auto"/>
                <w:kern w:val="0"/>
                <w:sz w:val="22"/>
                <w:szCs w:val="22"/>
                <w:u w:val="none"/>
                <w:lang w:val="en-US" w:eastAsia="zh-CN" w:bidi="ar"/>
              </w:rPr>
              <w:t>-</w:t>
            </w:r>
          </w:p>
        </w:tc>
        <w:tc>
          <w:tcPr>
            <w:tcW w:w="4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已抵押</w:t>
            </w:r>
          </w:p>
        </w:tc>
        <w:tc>
          <w:tcPr>
            <w:tcW w:w="4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cs="宋体"/>
                <w:i w:val="0"/>
                <w:color w:val="auto"/>
                <w:kern w:val="2"/>
                <w:sz w:val="22"/>
                <w:szCs w:val="22"/>
                <w:u w:val="none"/>
                <w:lang w:val="en-US" w:eastAsia="zh-CN" w:bidi="ar-SA"/>
              </w:rPr>
              <w:t>空置</w:t>
            </w:r>
          </w:p>
        </w:tc>
        <w:tc>
          <w:tcPr>
            <w:tcW w:w="4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无</w:t>
            </w:r>
          </w:p>
        </w:tc>
      </w:tr>
    </w:tbl>
    <w:p>
      <w:pPr>
        <w:keepNext w:val="0"/>
        <w:keepLines w:val="0"/>
        <w:pageBreakBefore w:val="0"/>
        <w:numPr>
          <w:ilvl w:val="0"/>
          <w:numId w:val="0"/>
        </w:numPr>
        <w:kinsoku/>
        <w:wordWrap w:val="0"/>
        <w:overflowPunct/>
        <w:topLinePunct/>
        <w:autoSpaceDE/>
        <w:autoSpaceDN/>
        <w:bidi w:val="0"/>
        <w:adjustRightInd w:val="0"/>
        <w:snapToGrid w:val="0"/>
        <w:spacing w:after="120" w:afterLines="50" w:line="360" w:lineRule="auto"/>
        <w:ind w:firstLine="0" w:firstLineChars="0"/>
        <w:jc w:val="center"/>
        <w:outlineLvl w:val="9"/>
        <w:rPr>
          <w:rFonts w:hint="eastAsia" w:ascii="宋体" w:hAnsi="宋体" w:eastAsia="宋体"/>
          <w:b/>
          <w:bCs w:val="0"/>
          <w:snapToGrid/>
          <w:color w:val="auto"/>
          <w:kern w:val="2"/>
          <w:sz w:val="24"/>
          <w:szCs w:val="24"/>
          <w:highlight w:val="none"/>
          <w:lang w:eastAsia="zh-CN"/>
        </w:rPr>
      </w:pPr>
    </w:p>
    <w:p>
      <w:pPr>
        <w:numPr>
          <w:ilvl w:val="0"/>
          <w:numId w:val="0"/>
        </w:numPr>
        <w:wordWrap w:val="0"/>
        <w:topLinePunct/>
        <w:adjustRightInd w:val="0"/>
        <w:snapToGrid w:val="0"/>
        <w:spacing w:after="120" w:afterLines="50" w:line="360" w:lineRule="auto"/>
        <w:ind w:firstLine="241" w:firstLineChars="100"/>
        <w:jc w:val="left"/>
        <w:outlineLvl w:val="2"/>
        <w:rPr>
          <w:rFonts w:hint="eastAsia"/>
          <w:lang w:eastAsia="zh-CN"/>
        </w:rPr>
      </w:pPr>
      <w:r>
        <w:rPr>
          <w:rFonts w:hint="eastAsia" w:ascii="宋体" w:hAnsi="宋体" w:eastAsia="宋体"/>
          <w:b/>
          <w:bCs w:val="0"/>
          <w:snapToGrid/>
          <w:color w:val="auto"/>
          <w:kern w:val="2"/>
          <w:sz w:val="24"/>
          <w:szCs w:val="24"/>
          <w:highlight w:val="none"/>
          <w:lang w:val="en-US" w:eastAsia="zh-CN"/>
        </w:rPr>
        <w:t>6、抵押情况表</w:t>
      </w:r>
    </w:p>
    <w:tbl>
      <w:tblPr>
        <w:tblStyle w:val="74"/>
        <w:tblW w:w="14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2"/>
        <w:gridCol w:w="2310"/>
        <w:gridCol w:w="1800"/>
        <w:gridCol w:w="1830"/>
        <w:gridCol w:w="1755"/>
        <w:gridCol w:w="1877"/>
        <w:gridCol w:w="1790"/>
        <w:gridCol w:w="1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372"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序号</w:t>
            </w:r>
          </w:p>
        </w:tc>
        <w:tc>
          <w:tcPr>
            <w:tcW w:w="231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受理编号</w:t>
            </w:r>
          </w:p>
        </w:tc>
        <w:tc>
          <w:tcPr>
            <w:tcW w:w="180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抵押权人</w:t>
            </w:r>
          </w:p>
        </w:tc>
        <w:tc>
          <w:tcPr>
            <w:tcW w:w="183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债权数额</w:t>
            </w:r>
          </w:p>
        </w:tc>
        <w:tc>
          <w:tcPr>
            <w:tcW w:w="175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抵押范围</w:t>
            </w:r>
          </w:p>
        </w:tc>
        <w:tc>
          <w:tcPr>
            <w:tcW w:w="187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他项权利证号</w:t>
            </w:r>
          </w:p>
        </w:tc>
        <w:tc>
          <w:tcPr>
            <w:tcW w:w="179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登记日期</w:t>
            </w:r>
          </w:p>
        </w:tc>
        <w:tc>
          <w:tcPr>
            <w:tcW w:w="1782"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抵押期限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1372" w:type="dxa"/>
            <w:noWrap w:val="0"/>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1</w:t>
            </w:r>
          </w:p>
        </w:tc>
        <w:tc>
          <w:tcPr>
            <w:tcW w:w="2310" w:type="dxa"/>
            <w:noWrap w:val="0"/>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BLDY2018040300059</w:t>
            </w:r>
          </w:p>
        </w:tc>
        <w:tc>
          <w:tcPr>
            <w:tcW w:w="180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南澳县农村信用合作联社营业部</w:t>
            </w:r>
          </w:p>
        </w:tc>
        <w:tc>
          <w:tcPr>
            <w:tcW w:w="1830" w:type="dxa"/>
            <w:noWrap w:val="0"/>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380000元</w:t>
            </w:r>
          </w:p>
        </w:tc>
        <w:tc>
          <w:tcPr>
            <w:tcW w:w="175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房地产</w:t>
            </w:r>
          </w:p>
        </w:tc>
        <w:tc>
          <w:tcPr>
            <w:tcW w:w="1877" w:type="dxa"/>
            <w:noWrap w:val="0"/>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粤房地他项权证南房抵2014字第1627号</w:t>
            </w:r>
          </w:p>
        </w:tc>
        <w:tc>
          <w:tcPr>
            <w:tcW w:w="1790" w:type="dxa"/>
            <w:noWrap w:val="0"/>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2014-01-09</w:t>
            </w:r>
          </w:p>
        </w:tc>
        <w:tc>
          <w:tcPr>
            <w:tcW w:w="1782" w:type="dxa"/>
            <w:noWrap w:val="0"/>
            <w:vAlign w:val="center"/>
          </w:tcPr>
          <w:p>
            <w:pPr>
              <w:keepNext w:val="0"/>
              <w:keepLines w:val="0"/>
              <w:widowControl/>
              <w:suppressLineNumbers w:val="0"/>
              <w:jc w:val="center"/>
              <w:textAlignment w:val="center"/>
              <w:rPr>
                <w:rFonts w:hint="default" w:ascii="宋体" w:hAnsi="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2025-12-30止</w:t>
            </w:r>
          </w:p>
        </w:tc>
      </w:tr>
    </w:tbl>
    <w:p>
      <w:pPr>
        <w:numPr>
          <w:ilvl w:val="0"/>
          <w:numId w:val="0"/>
        </w:numPr>
        <w:wordWrap w:val="0"/>
        <w:topLinePunct/>
        <w:adjustRightInd w:val="0"/>
        <w:snapToGrid w:val="0"/>
        <w:spacing w:after="120" w:afterLines="50" w:line="360" w:lineRule="auto"/>
        <w:ind w:firstLine="241" w:firstLineChars="100"/>
        <w:jc w:val="left"/>
        <w:outlineLvl w:val="2"/>
        <w:rPr>
          <w:rFonts w:hint="eastAsia" w:ascii="宋体" w:hAnsi="宋体" w:eastAsia="宋体" w:cs="Times New Roman"/>
          <w:b/>
          <w:bCs w:val="0"/>
          <w:snapToGrid/>
          <w:color w:val="auto"/>
          <w:kern w:val="2"/>
          <w:sz w:val="24"/>
          <w:szCs w:val="24"/>
          <w:highlight w:val="none"/>
          <w:lang w:val="en-US" w:eastAsia="zh-CN"/>
        </w:rPr>
      </w:pPr>
      <w:r>
        <w:rPr>
          <w:rFonts w:hint="eastAsia" w:ascii="宋体" w:hAnsi="宋体" w:eastAsia="宋体" w:cs="Times New Roman"/>
          <w:b/>
          <w:bCs w:val="0"/>
          <w:snapToGrid/>
          <w:color w:val="auto"/>
          <w:kern w:val="2"/>
          <w:sz w:val="24"/>
          <w:szCs w:val="24"/>
          <w:highlight w:val="none"/>
          <w:lang w:val="en-US" w:eastAsia="zh-CN"/>
        </w:rPr>
        <w:t>7、查封情况表</w:t>
      </w:r>
    </w:p>
    <w:tbl>
      <w:tblPr>
        <w:tblStyle w:val="74"/>
        <w:tblW w:w="144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2"/>
        <w:gridCol w:w="3024"/>
        <w:gridCol w:w="2406"/>
        <w:gridCol w:w="2399"/>
        <w:gridCol w:w="2408"/>
        <w:gridCol w:w="2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1852"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序号</w:t>
            </w:r>
          </w:p>
        </w:tc>
        <w:tc>
          <w:tcPr>
            <w:tcW w:w="3024"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受理编号</w:t>
            </w:r>
          </w:p>
        </w:tc>
        <w:tc>
          <w:tcPr>
            <w:tcW w:w="240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查封文号</w:t>
            </w:r>
          </w:p>
        </w:tc>
        <w:tc>
          <w:tcPr>
            <w:tcW w:w="2399"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来文单位</w:t>
            </w:r>
          </w:p>
        </w:tc>
        <w:tc>
          <w:tcPr>
            <w:tcW w:w="240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登记日期</w:t>
            </w:r>
          </w:p>
        </w:tc>
        <w:tc>
          <w:tcPr>
            <w:tcW w:w="240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查封期限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1852" w:type="dxa"/>
            <w:noWrap w:val="0"/>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1</w:t>
            </w:r>
          </w:p>
        </w:tc>
        <w:tc>
          <w:tcPr>
            <w:tcW w:w="3024" w:type="dxa"/>
            <w:noWrap w:val="0"/>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NA202206140002-1</w:t>
            </w:r>
          </w:p>
        </w:tc>
        <w:tc>
          <w:tcPr>
            <w:tcW w:w="2406" w:type="dxa"/>
            <w:noWrap w:val="0"/>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（20</w:t>
            </w:r>
            <w:r>
              <w:rPr>
                <w:rFonts w:hint="eastAsia" w:ascii="宋体" w:hAnsi="宋体" w:cs="宋体"/>
                <w:i w:val="0"/>
                <w:color w:val="auto"/>
                <w:kern w:val="0"/>
                <w:sz w:val="22"/>
                <w:szCs w:val="22"/>
                <w:u w:val="none"/>
                <w:lang w:val="en-US" w:eastAsia="zh-CN" w:bidi="ar"/>
              </w:rPr>
              <w:t>22</w:t>
            </w:r>
            <w:r>
              <w:rPr>
                <w:rFonts w:hint="eastAsia" w:ascii="宋体" w:hAnsi="宋体" w:eastAsia="宋体" w:cs="宋体"/>
                <w:i w:val="0"/>
                <w:color w:val="auto"/>
                <w:kern w:val="0"/>
                <w:sz w:val="22"/>
                <w:szCs w:val="22"/>
                <w:u w:val="none"/>
                <w:lang w:val="en-US" w:eastAsia="zh-CN" w:bidi="ar"/>
              </w:rPr>
              <w:t>）粤05</w:t>
            </w:r>
            <w:r>
              <w:rPr>
                <w:rFonts w:hint="eastAsia" w:ascii="宋体" w:hAnsi="宋体" w:cs="宋体"/>
                <w:i w:val="0"/>
                <w:color w:val="auto"/>
                <w:kern w:val="0"/>
                <w:sz w:val="22"/>
                <w:szCs w:val="22"/>
                <w:u w:val="none"/>
                <w:lang w:val="en-US" w:eastAsia="zh-CN" w:bidi="ar"/>
              </w:rPr>
              <w:t>23</w:t>
            </w:r>
            <w:r>
              <w:rPr>
                <w:rFonts w:hint="eastAsia" w:ascii="宋体" w:hAnsi="宋体" w:eastAsia="宋体" w:cs="宋体"/>
                <w:i w:val="0"/>
                <w:color w:val="auto"/>
                <w:kern w:val="0"/>
                <w:sz w:val="22"/>
                <w:szCs w:val="22"/>
                <w:u w:val="none"/>
                <w:lang w:val="en-US" w:eastAsia="zh-CN" w:bidi="ar"/>
              </w:rPr>
              <w:t>执</w:t>
            </w:r>
            <w:r>
              <w:rPr>
                <w:rFonts w:hint="eastAsia" w:ascii="宋体" w:hAnsi="宋体" w:cs="宋体"/>
                <w:i w:val="0"/>
                <w:color w:val="auto"/>
                <w:kern w:val="0"/>
                <w:sz w:val="22"/>
                <w:szCs w:val="22"/>
                <w:u w:val="none"/>
                <w:lang w:val="en-US" w:eastAsia="zh-CN" w:bidi="ar"/>
              </w:rPr>
              <w:t>18</w:t>
            </w:r>
            <w:r>
              <w:rPr>
                <w:rFonts w:hint="eastAsia" w:ascii="宋体" w:hAnsi="宋体" w:eastAsia="宋体" w:cs="宋体"/>
                <w:i w:val="0"/>
                <w:color w:val="auto"/>
                <w:kern w:val="0"/>
                <w:sz w:val="22"/>
                <w:szCs w:val="22"/>
                <w:u w:val="none"/>
                <w:lang w:val="en-US" w:eastAsia="zh-CN" w:bidi="ar"/>
              </w:rPr>
              <w:t>号</w:t>
            </w:r>
          </w:p>
        </w:tc>
        <w:tc>
          <w:tcPr>
            <w:tcW w:w="2399"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广东省南澳县</w:t>
            </w:r>
            <w:r>
              <w:rPr>
                <w:rFonts w:hint="eastAsia" w:ascii="宋体" w:hAnsi="宋体" w:eastAsia="宋体" w:cs="宋体"/>
                <w:i w:val="0"/>
                <w:color w:val="auto"/>
                <w:kern w:val="0"/>
                <w:sz w:val="22"/>
                <w:szCs w:val="22"/>
                <w:u w:val="none"/>
                <w:lang w:val="en-US" w:eastAsia="zh-CN" w:bidi="ar"/>
              </w:rPr>
              <w:t>人民法院</w:t>
            </w:r>
          </w:p>
        </w:tc>
        <w:tc>
          <w:tcPr>
            <w:tcW w:w="2408" w:type="dxa"/>
            <w:noWrap w:val="0"/>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2022-06-14</w:t>
            </w:r>
          </w:p>
        </w:tc>
        <w:tc>
          <w:tcPr>
            <w:tcW w:w="2408" w:type="dxa"/>
            <w:noWrap w:val="0"/>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202</w:t>
            </w:r>
            <w:r>
              <w:rPr>
                <w:rFonts w:hint="eastAsia" w:ascii="宋体" w:hAnsi="宋体" w:cs="宋体"/>
                <w:i w:val="0"/>
                <w:color w:val="auto"/>
                <w:kern w:val="0"/>
                <w:sz w:val="22"/>
                <w:szCs w:val="22"/>
                <w:u w:val="none"/>
                <w:lang w:val="en-US" w:eastAsia="zh-CN" w:bidi="ar"/>
              </w:rPr>
              <w:t>2-06-08</w:t>
            </w:r>
            <w:r>
              <w:rPr>
                <w:rFonts w:hint="eastAsia" w:ascii="宋体" w:hAnsi="宋体" w:eastAsia="宋体" w:cs="宋体"/>
                <w:i w:val="0"/>
                <w:color w:val="auto"/>
                <w:kern w:val="0"/>
                <w:sz w:val="22"/>
                <w:szCs w:val="22"/>
                <w:u w:val="none"/>
                <w:lang w:val="en-US" w:eastAsia="zh-CN" w:bidi="ar"/>
              </w:rPr>
              <w:t>至202</w:t>
            </w:r>
            <w:r>
              <w:rPr>
                <w:rFonts w:hint="eastAsia" w:ascii="宋体" w:hAnsi="宋体" w:cs="宋体"/>
                <w:i w:val="0"/>
                <w:color w:val="auto"/>
                <w:kern w:val="0"/>
                <w:sz w:val="22"/>
                <w:szCs w:val="22"/>
                <w:u w:val="none"/>
                <w:lang w:val="en-US" w:eastAsia="zh-CN" w:bidi="ar"/>
              </w:rPr>
              <w:t>5</w:t>
            </w:r>
            <w:r>
              <w:rPr>
                <w:rFonts w:hint="eastAsia" w:ascii="宋体" w:hAnsi="宋体" w:eastAsia="宋体" w:cs="宋体"/>
                <w:i w:val="0"/>
                <w:color w:val="auto"/>
                <w:kern w:val="0"/>
                <w:sz w:val="22"/>
                <w:szCs w:val="22"/>
                <w:u w:val="none"/>
                <w:lang w:val="en-US" w:eastAsia="zh-CN" w:bidi="ar"/>
              </w:rPr>
              <w:t>-0</w:t>
            </w:r>
            <w:r>
              <w:rPr>
                <w:rFonts w:hint="eastAsia" w:ascii="宋体" w:hAnsi="宋体" w:cs="宋体"/>
                <w:i w:val="0"/>
                <w:color w:val="auto"/>
                <w:kern w:val="0"/>
                <w:sz w:val="22"/>
                <w:szCs w:val="22"/>
                <w:u w:val="none"/>
                <w:lang w:val="en-US" w:eastAsia="zh-CN" w:bidi="ar"/>
              </w:rPr>
              <w:t>6</w:t>
            </w:r>
            <w:r>
              <w:rPr>
                <w:rFonts w:hint="eastAsia" w:ascii="宋体" w:hAnsi="宋体" w:eastAsia="宋体" w:cs="宋体"/>
                <w:i w:val="0"/>
                <w:color w:val="auto"/>
                <w:kern w:val="0"/>
                <w:sz w:val="22"/>
                <w:szCs w:val="22"/>
                <w:u w:val="none"/>
                <w:lang w:val="en-US" w:eastAsia="zh-CN" w:bidi="ar"/>
              </w:rPr>
              <w:t>-</w:t>
            </w:r>
            <w:r>
              <w:rPr>
                <w:rFonts w:hint="eastAsia" w:ascii="宋体" w:hAnsi="宋体" w:cs="宋体"/>
                <w:i w:val="0"/>
                <w:color w:val="auto"/>
                <w:kern w:val="0"/>
                <w:sz w:val="22"/>
                <w:szCs w:val="22"/>
                <w:u w:val="none"/>
                <w:lang w:val="en-US" w:eastAsia="zh-CN" w:bidi="ar"/>
              </w:rPr>
              <w:t>07</w:t>
            </w:r>
          </w:p>
        </w:tc>
      </w:tr>
    </w:tbl>
    <w:p>
      <w:pPr>
        <w:numPr>
          <w:ilvl w:val="0"/>
          <w:numId w:val="0"/>
        </w:numPr>
        <w:tabs>
          <w:tab w:val="left" w:pos="267"/>
        </w:tabs>
        <w:topLinePunct/>
        <w:adjustRightInd w:val="0"/>
        <w:snapToGrid w:val="0"/>
        <w:spacing w:line="360" w:lineRule="auto"/>
        <w:ind w:firstLine="0" w:firstLineChars="0"/>
        <w:jc w:val="both"/>
        <w:rPr>
          <w:rFonts w:hint="eastAsia" w:ascii="宋体" w:hAnsi="宋体"/>
          <w:b/>
          <w:bCs w:val="0"/>
          <w:sz w:val="24"/>
          <w:szCs w:val="24"/>
        </w:rPr>
        <w:sectPr>
          <w:footerReference r:id="rId7" w:type="default"/>
          <w:pgSz w:w="16838" w:h="11906" w:orient="landscape"/>
          <w:pgMar w:top="1588" w:right="1588" w:bottom="1418" w:left="1418" w:header="777" w:footer="624" w:gutter="0"/>
          <w:pgBorders>
            <w:top w:val="none" w:sz="0" w:space="0"/>
            <w:left w:val="none" w:sz="0" w:space="0"/>
            <w:bottom w:val="none" w:sz="0" w:space="0"/>
            <w:right w:val="none" w:sz="0" w:space="0"/>
          </w:pgBorders>
          <w:pgNumType w:fmt="decimal"/>
          <w:cols w:space="720" w:num="1"/>
          <w:docGrid w:linePitch="312" w:charSpace="0"/>
        </w:sectPr>
      </w:pPr>
    </w:p>
    <w:p>
      <w:pPr>
        <w:numPr>
          <w:ilvl w:val="0"/>
          <w:numId w:val="0"/>
        </w:numPr>
        <w:tabs>
          <w:tab w:val="left" w:pos="267"/>
        </w:tabs>
        <w:topLinePunct/>
        <w:adjustRightInd w:val="0"/>
        <w:snapToGrid w:val="0"/>
        <w:spacing w:line="360" w:lineRule="auto"/>
        <w:ind w:firstLine="482" w:firstLineChars="200"/>
        <w:rPr>
          <w:rFonts w:hint="eastAsia" w:ascii="宋体" w:hAnsi="宋体"/>
          <w:bCs/>
          <w:sz w:val="24"/>
          <w:szCs w:val="24"/>
        </w:rPr>
      </w:pPr>
      <w:r>
        <w:rPr>
          <w:rFonts w:hint="eastAsia" w:ascii="宋体" w:hAnsi="宋体"/>
          <w:b/>
          <w:snapToGrid w:val="0"/>
          <w:kern w:val="0"/>
          <w:sz w:val="24"/>
          <w:szCs w:val="24"/>
          <w:lang w:val="en-US" w:eastAsia="zh-CN"/>
        </w:rPr>
        <w:t>6</w:t>
      </w:r>
      <w:r>
        <w:rPr>
          <w:rFonts w:hint="eastAsia" w:ascii="宋体" w:hAnsi="宋体"/>
          <w:b/>
          <w:snapToGrid w:val="0"/>
          <w:kern w:val="0"/>
          <w:sz w:val="24"/>
          <w:szCs w:val="24"/>
        </w:rPr>
        <w:t>.估价对象区位状况</w:t>
      </w:r>
    </w:p>
    <w:tbl>
      <w:tblPr>
        <w:tblStyle w:val="73"/>
        <w:tblW w:w="9082" w:type="dxa"/>
        <w:tblInd w:w="-5"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autofit"/>
        <w:tblCellMar>
          <w:top w:w="0" w:type="dxa"/>
          <w:left w:w="0" w:type="dxa"/>
          <w:bottom w:w="0" w:type="dxa"/>
          <w:right w:w="0" w:type="dxa"/>
        </w:tblCellMar>
      </w:tblPr>
      <w:tblGrid>
        <w:gridCol w:w="714"/>
        <w:gridCol w:w="1843"/>
        <w:gridCol w:w="6525"/>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0" w:type="dxa"/>
            <w:bottom w:w="0" w:type="dxa"/>
            <w:right w:w="0" w:type="dxa"/>
          </w:tblCellMar>
        </w:tblPrEx>
        <w:trPr>
          <w:trHeight w:val="397" w:hRule="atLeast"/>
          <w:tblHeader/>
        </w:trPr>
        <w:tc>
          <w:tcPr>
            <w:tcW w:w="714" w:type="dxa"/>
            <w:tcBorders>
              <w:top w:val="single" w:color="auto" w:sz="4" w:space="0"/>
              <w:left w:val="single" w:color="auto" w:sz="4" w:space="0"/>
              <w:bottom w:val="single" w:color="auto" w:sz="4" w:space="0"/>
              <w:right w:val="single" w:color="auto" w:sz="4" w:space="0"/>
            </w:tcBorders>
            <w:noWrap w:val="0"/>
            <w:vAlign w:val="center"/>
          </w:tcPr>
          <w:p>
            <w:pPr>
              <w:keepNext/>
              <w:keepLines/>
              <w:topLinePunct/>
              <w:adjustRightInd w:val="0"/>
              <w:snapToGrid w:val="0"/>
              <w:jc w:val="center"/>
              <w:rPr>
                <w:rFonts w:hint="eastAsia" w:ascii="宋体" w:hAnsi="宋体"/>
                <w:b/>
                <w:color w:val="auto"/>
                <w:sz w:val="18"/>
                <w:szCs w:val="18"/>
              </w:rPr>
            </w:pPr>
            <w:r>
              <w:rPr>
                <w:rFonts w:hint="eastAsia" w:ascii="宋体" w:hAnsi="宋体"/>
                <w:b/>
                <w:color w:val="auto"/>
                <w:sz w:val="18"/>
                <w:szCs w:val="18"/>
              </w:rPr>
              <w:t>类别</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keepNext/>
              <w:keepLines/>
              <w:wordWrap w:val="0"/>
              <w:topLinePunct/>
              <w:adjustRightInd w:val="0"/>
              <w:snapToGrid w:val="0"/>
              <w:jc w:val="center"/>
              <w:rPr>
                <w:rFonts w:hint="eastAsia" w:ascii="宋体" w:hAnsi="宋体"/>
                <w:b/>
                <w:color w:val="auto"/>
                <w:sz w:val="18"/>
                <w:szCs w:val="18"/>
              </w:rPr>
            </w:pPr>
            <w:r>
              <w:rPr>
                <w:rFonts w:hint="eastAsia" w:ascii="宋体" w:hAnsi="宋体"/>
                <w:b/>
                <w:color w:val="auto"/>
                <w:sz w:val="18"/>
                <w:szCs w:val="18"/>
              </w:rPr>
              <w:t>名称</w:t>
            </w:r>
          </w:p>
        </w:tc>
        <w:tc>
          <w:tcPr>
            <w:tcW w:w="6525" w:type="dxa"/>
            <w:tcBorders>
              <w:top w:val="single" w:color="auto" w:sz="4" w:space="0"/>
              <w:left w:val="single" w:color="auto" w:sz="4" w:space="0"/>
              <w:bottom w:val="single" w:color="auto" w:sz="4" w:space="0"/>
              <w:right w:val="single" w:color="auto" w:sz="4" w:space="0"/>
            </w:tcBorders>
            <w:noWrap w:val="0"/>
            <w:vAlign w:val="center"/>
          </w:tcPr>
          <w:p>
            <w:pPr>
              <w:keepNext/>
              <w:keepLines/>
              <w:wordWrap w:val="0"/>
              <w:topLinePunct/>
              <w:adjustRightInd w:val="0"/>
              <w:snapToGrid w:val="0"/>
              <w:jc w:val="center"/>
              <w:rPr>
                <w:rFonts w:hint="eastAsia" w:ascii="宋体" w:hAnsi="宋体"/>
                <w:b/>
                <w:snapToGrid w:val="0"/>
                <w:color w:val="auto"/>
                <w:sz w:val="18"/>
                <w:szCs w:val="18"/>
              </w:rPr>
            </w:pPr>
            <w:r>
              <w:rPr>
                <w:rFonts w:hint="eastAsia" w:ascii="宋体" w:hAnsi="宋体"/>
                <w:b/>
                <w:snapToGrid w:val="0"/>
                <w:color w:val="auto"/>
                <w:sz w:val="18"/>
                <w:szCs w:val="18"/>
              </w:rPr>
              <w:t>描    述</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0" w:type="dxa"/>
            <w:bottom w:w="0" w:type="dxa"/>
            <w:right w:w="0" w:type="dxa"/>
          </w:tblCellMar>
        </w:tblPrEx>
        <w:trPr>
          <w:trHeight w:val="397" w:hRule="atLeast"/>
        </w:trPr>
        <w:tc>
          <w:tcPr>
            <w:tcW w:w="714"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color w:val="auto"/>
                <w:sz w:val="18"/>
                <w:szCs w:val="18"/>
              </w:rPr>
            </w:pPr>
            <w:r>
              <w:rPr>
                <w:rFonts w:hint="eastAsia" w:ascii="宋体" w:hAnsi="宋体"/>
                <w:b/>
                <w:color w:val="auto"/>
                <w:sz w:val="18"/>
                <w:szCs w:val="18"/>
              </w:rPr>
              <w:t>位置</w:t>
            </w:r>
          </w:p>
          <w:p>
            <w:pPr>
              <w:jc w:val="center"/>
              <w:rPr>
                <w:rFonts w:ascii="宋体" w:hAnsi="宋体"/>
                <w:b/>
                <w:color w:val="auto"/>
                <w:sz w:val="18"/>
                <w:szCs w:val="18"/>
              </w:rPr>
            </w:pPr>
            <w:r>
              <w:rPr>
                <w:rFonts w:hint="eastAsia" w:ascii="宋体" w:hAnsi="宋体"/>
                <w:b/>
                <w:color w:val="auto"/>
                <w:sz w:val="18"/>
                <w:szCs w:val="18"/>
              </w:rPr>
              <w:t>状况</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18"/>
                <w:szCs w:val="18"/>
              </w:rPr>
            </w:pPr>
            <w:r>
              <w:rPr>
                <w:rFonts w:hint="eastAsia" w:ascii="宋体" w:hAnsi="宋体"/>
                <w:color w:val="auto"/>
                <w:sz w:val="18"/>
                <w:szCs w:val="18"/>
              </w:rPr>
              <w:t>坐落</w:t>
            </w:r>
          </w:p>
        </w:tc>
        <w:tc>
          <w:tcPr>
            <w:tcW w:w="652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 w:val="18"/>
                <w:szCs w:val="18"/>
              </w:rPr>
            </w:pPr>
            <w:r>
              <w:rPr>
                <w:rFonts w:hint="eastAsia" w:ascii="宋体" w:hAnsi="宋体"/>
                <w:snapToGrid w:val="0"/>
                <w:color w:val="auto"/>
                <w:sz w:val="18"/>
                <w:szCs w:val="18"/>
                <w:lang w:eastAsia="zh-CN"/>
              </w:rPr>
              <w:t>汕头市南澳县后宅镇港畔路2号楼1301、1302、1303、1401、1501号的房地产</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0" w:type="dxa"/>
            <w:bottom w:w="0" w:type="dxa"/>
            <w:right w:w="0" w:type="dxa"/>
          </w:tblCellMar>
        </w:tblPrEx>
        <w:trPr>
          <w:trHeight w:val="397" w:hRule="atLeast"/>
        </w:trPr>
        <w:tc>
          <w:tcPr>
            <w:tcW w:w="714"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color w:val="auto"/>
                <w:sz w:val="18"/>
                <w:szCs w:val="18"/>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18"/>
                <w:szCs w:val="18"/>
              </w:rPr>
            </w:pPr>
            <w:r>
              <w:rPr>
                <w:rFonts w:hint="eastAsia" w:ascii="宋体" w:hAnsi="宋体"/>
                <w:color w:val="auto"/>
                <w:sz w:val="18"/>
                <w:szCs w:val="18"/>
              </w:rPr>
              <w:t>方位</w:t>
            </w:r>
          </w:p>
        </w:tc>
        <w:tc>
          <w:tcPr>
            <w:tcW w:w="652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 w:val="18"/>
                <w:szCs w:val="18"/>
              </w:rPr>
            </w:pPr>
            <w:r>
              <w:rPr>
                <w:rFonts w:hint="eastAsia" w:ascii="宋体" w:hAnsi="宋体"/>
                <w:snapToGrid w:val="0"/>
                <w:color w:val="auto"/>
                <w:sz w:val="18"/>
                <w:szCs w:val="18"/>
                <w:lang w:val="en-US" w:eastAsia="zh-CN"/>
              </w:rPr>
              <w:t>西北临龙滨路，东南临其他辅路</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0" w:type="dxa"/>
            <w:bottom w:w="0" w:type="dxa"/>
            <w:right w:w="0" w:type="dxa"/>
          </w:tblCellMar>
        </w:tblPrEx>
        <w:trPr>
          <w:trHeight w:val="397" w:hRule="atLeast"/>
        </w:trPr>
        <w:tc>
          <w:tcPr>
            <w:tcW w:w="714"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color w:val="auto"/>
                <w:sz w:val="18"/>
                <w:szCs w:val="18"/>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18"/>
                <w:szCs w:val="18"/>
              </w:rPr>
            </w:pPr>
            <w:r>
              <w:rPr>
                <w:rFonts w:hint="eastAsia" w:ascii="宋体" w:hAnsi="宋体"/>
                <w:color w:val="auto"/>
                <w:sz w:val="18"/>
                <w:szCs w:val="18"/>
              </w:rPr>
              <w:t>临街状况</w:t>
            </w:r>
          </w:p>
        </w:tc>
        <w:tc>
          <w:tcPr>
            <w:tcW w:w="652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olor w:val="auto"/>
                <w:sz w:val="18"/>
                <w:szCs w:val="18"/>
                <w:lang w:eastAsia="zh-CN"/>
              </w:rPr>
            </w:pPr>
            <w:r>
              <w:rPr>
                <w:rFonts w:hint="eastAsia" w:ascii="宋体" w:hAnsi="宋体"/>
                <w:snapToGrid w:val="0"/>
                <w:color w:val="auto"/>
                <w:sz w:val="18"/>
                <w:szCs w:val="18"/>
                <w:lang w:val="en-US" w:eastAsia="zh-CN"/>
              </w:rPr>
              <w:t>临龙滨路</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0" w:type="dxa"/>
            <w:bottom w:w="0" w:type="dxa"/>
            <w:right w:w="0" w:type="dxa"/>
          </w:tblCellMar>
        </w:tblPrEx>
        <w:trPr>
          <w:trHeight w:val="397" w:hRule="atLeast"/>
        </w:trPr>
        <w:tc>
          <w:tcPr>
            <w:tcW w:w="714"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color w:val="auto"/>
                <w:sz w:val="18"/>
                <w:szCs w:val="18"/>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sz w:val="18"/>
                <w:szCs w:val="18"/>
              </w:rPr>
            </w:pPr>
            <w:r>
              <w:rPr>
                <w:rFonts w:hint="eastAsia"/>
                <w:color w:val="auto"/>
                <w:sz w:val="20"/>
              </w:rPr>
              <w:t>所处楼幢</w:t>
            </w:r>
          </w:p>
        </w:tc>
        <w:tc>
          <w:tcPr>
            <w:tcW w:w="652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auto"/>
                <w:sz w:val="18"/>
                <w:szCs w:val="18"/>
              </w:rPr>
            </w:pPr>
            <w:r>
              <w:rPr>
                <w:rFonts w:hint="eastAsia" w:ascii="宋体" w:hAnsi="宋体"/>
                <w:color w:val="auto"/>
                <w:sz w:val="18"/>
                <w:szCs w:val="18"/>
                <w:lang w:eastAsia="zh-CN"/>
              </w:rPr>
              <w:t>位于</w:t>
            </w:r>
            <w:r>
              <w:rPr>
                <w:rFonts w:hint="eastAsia" w:ascii="宋体" w:hAnsi="宋体"/>
                <w:snapToGrid w:val="0"/>
                <w:color w:val="auto"/>
                <w:sz w:val="18"/>
                <w:szCs w:val="18"/>
                <w:lang w:eastAsia="zh-CN"/>
              </w:rPr>
              <w:t>港畔路2号楼</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0" w:type="dxa"/>
            <w:bottom w:w="0" w:type="dxa"/>
            <w:right w:w="0" w:type="dxa"/>
          </w:tblCellMar>
        </w:tblPrEx>
        <w:trPr>
          <w:trHeight w:val="397" w:hRule="atLeast"/>
        </w:trPr>
        <w:tc>
          <w:tcPr>
            <w:tcW w:w="714"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color w:val="auto"/>
                <w:sz w:val="18"/>
                <w:szCs w:val="18"/>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sz w:val="18"/>
                <w:szCs w:val="18"/>
              </w:rPr>
            </w:pPr>
            <w:r>
              <w:rPr>
                <w:rFonts w:hint="eastAsia" w:ascii="宋体" w:hAnsi="宋体"/>
                <w:color w:val="auto"/>
                <w:sz w:val="18"/>
                <w:szCs w:val="18"/>
              </w:rPr>
              <w:t>朝向</w:t>
            </w:r>
          </w:p>
        </w:tc>
        <w:tc>
          <w:tcPr>
            <w:tcW w:w="652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olor w:val="auto"/>
                <w:sz w:val="18"/>
                <w:szCs w:val="18"/>
                <w:lang w:eastAsia="zh-CN"/>
              </w:rPr>
            </w:pPr>
            <w:r>
              <w:rPr>
                <w:rFonts w:hint="eastAsia" w:ascii="宋体" w:hAnsi="宋体"/>
                <w:color w:val="auto"/>
                <w:sz w:val="18"/>
                <w:szCs w:val="18"/>
                <w:lang w:eastAsia="zh-CN"/>
              </w:rPr>
              <w:t>朝北</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0" w:type="dxa"/>
            <w:bottom w:w="0" w:type="dxa"/>
            <w:right w:w="0" w:type="dxa"/>
          </w:tblCellMar>
        </w:tblPrEx>
        <w:trPr>
          <w:trHeight w:val="397" w:hRule="atLeast"/>
        </w:trPr>
        <w:tc>
          <w:tcPr>
            <w:tcW w:w="714"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color w:val="auto"/>
                <w:sz w:val="18"/>
                <w:szCs w:val="18"/>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18"/>
                <w:szCs w:val="18"/>
              </w:rPr>
            </w:pPr>
            <w:r>
              <w:rPr>
                <w:rFonts w:hint="eastAsia" w:ascii="宋体" w:hAnsi="宋体"/>
                <w:color w:val="auto"/>
                <w:sz w:val="18"/>
                <w:szCs w:val="18"/>
              </w:rPr>
              <w:t>楼层</w:t>
            </w:r>
          </w:p>
        </w:tc>
        <w:tc>
          <w:tcPr>
            <w:tcW w:w="6525" w:type="dxa"/>
            <w:tcBorders>
              <w:top w:val="single" w:color="auto" w:sz="4" w:space="0"/>
              <w:left w:val="single" w:color="auto" w:sz="4" w:space="0"/>
              <w:bottom w:val="single" w:color="auto" w:sz="4" w:space="0"/>
              <w:right w:val="single" w:color="auto" w:sz="4" w:space="0"/>
            </w:tcBorders>
            <w:noWrap w:val="0"/>
            <w:vAlign w:val="center"/>
          </w:tcPr>
          <w:p>
            <w:pPr>
              <w:rPr>
                <w:rFonts w:hint="default" w:ascii="宋体" w:hAnsi="宋体" w:eastAsia="宋体"/>
                <w:color w:val="auto"/>
                <w:sz w:val="18"/>
                <w:szCs w:val="18"/>
                <w:lang w:val="en-US" w:eastAsia="zh-CN"/>
              </w:rPr>
            </w:pPr>
            <w:r>
              <w:rPr>
                <w:rFonts w:hint="eastAsia" w:ascii="宋体" w:hAnsi="宋体"/>
                <w:color w:val="auto"/>
                <w:sz w:val="18"/>
                <w:szCs w:val="18"/>
              </w:rPr>
              <w:t>共</w:t>
            </w:r>
            <w:r>
              <w:rPr>
                <w:rFonts w:hint="eastAsia" w:ascii="宋体" w:hAnsi="宋体"/>
                <w:color w:val="auto"/>
                <w:sz w:val="18"/>
                <w:szCs w:val="18"/>
                <w:lang w:val="en-US" w:eastAsia="zh-CN"/>
              </w:rPr>
              <w:t>16</w:t>
            </w:r>
            <w:r>
              <w:rPr>
                <w:rFonts w:hint="eastAsia" w:ascii="宋体" w:hAnsi="宋体"/>
                <w:color w:val="auto"/>
                <w:sz w:val="18"/>
                <w:szCs w:val="18"/>
              </w:rPr>
              <w:t>层</w:t>
            </w:r>
            <w:r>
              <w:rPr>
                <w:rFonts w:hint="eastAsia" w:ascii="宋体" w:hAnsi="宋体"/>
                <w:color w:val="auto"/>
                <w:sz w:val="18"/>
                <w:szCs w:val="18"/>
                <w:lang w:val="en-US" w:eastAsia="zh-CN"/>
              </w:rPr>
              <w:t>/位于第13-15层</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0" w:type="dxa"/>
            <w:bottom w:w="0" w:type="dxa"/>
            <w:right w:w="0" w:type="dxa"/>
          </w:tblCellMar>
        </w:tblPrEx>
        <w:trPr>
          <w:trHeight w:val="397" w:hRule="atLeast"/>
        </w:trPr>
        <w:tc>
          <w:tcPr>
            <w:tcW w:w="714"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color w:val="auto"/>
                <w:sz w:val="18"/>
                <w:szCs w:val="18"/>
              </w:rPr>
            </w:pPr>
            <w:r>
              <w:rPr>
                <w:rFonts w:hint="eastAsia" w:ascii="宋体" w:hAnsi="宋体"/>
                <w:b/>
                <w:color w:val="auto"/>
                <w:sz w:val="18"/>
                <w:szCs w:val="18"/>
              </w:rPr>
              <w:t>交通</w:t>
            </w:r>
          </w:p>
          <w:p>
            <w:pPr>
              <w:jc w:val="center"/>
              <w:rPr>
                <w:rFonts w:ascii="宋体" w:hAnsi="宋体"/>
                <w:b/>
                <w:color w:val="auto"/>
                <w:sz w:val="18"/>
                <w:szCs w:val="18"/>
              </w:rPr>
            </w:pPr>
            <w:r>
              <w:rPr>
                <w:rFonts w:hint="eastAsia" w:ascii="宋体" w:hAnsi="宋体"/>
                <w:b/>
                <w:color w:val="auto"/>
                <w:sz w:val="18"/>
                <w:szCs w:val="18"/>
              </w:rPr>
              <w:t>状况</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18"/>
                <w:szCs w:val="18"/>
              </w:rPr>
            </w:pPr>
            <w:r>
              <w:rPr>
                <w:rFonts w:hint="eastAsia" w:ascii="宋体" w:hAnsi="宋体"/>
                <w:color w:val="auto"/>
                <w:sz w:val="18"/>
                <w:szCs w:val="18"/>
              </w:rPr>
              <w:t>道路状况</w:t>
            </w:r>
          </w:p>
        </w:tc>
        <w:tc>
          <w:tcPr>
            <w:tcW w:w="652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snapToGrid w:val="0"/>
                <w:color w:val="auto"/>
                <w:sz w:val="18"/>
                <w:szCs w:val="18"/>
                <w:lang w:eastAsia="zh-CN"/>
              </w:rPr>
            </w:pPr>
            <w:r>
              <w:rPr>
                <w:rFonts w:hint="eastAsia" w:ascii="宋体" w:hAnsi="宋体"/>
                <w:snapToGrid w:val="0"/>
                <w:color w:val="auto"/>
                <w:sz w:val="18"/>
                <w:szCs w:val="18"/>
                <w:lang w:val="en-US" w:eastAsia="zh-CN"/>
              </w:rPr>
              <w:t>临龙滨路</w:t>
            </w:r>
            <w:r>
              <w:rPr>
                <w:rFonts w:hint="eastAsia" w:ascii="宋体" w:hAnsi="宋体"/>
                <w:snapToGrid w:val="0"/>
                <w:color w:val="auto"/>
                <w:sz w:val="18"/>
                <w:szCs w:val="18"/>
                <w:lang w:eastAsia="zh-CN"/>
              </w:rPr>
              <w:t>，</w:t>
            </w:r>
            <w:r>
              <w:rPr>
                <w:rFonts w:hint="eastAsia" w:ascii="宋体" w:hAnsi="宋体"/>
                <w:snapToGrid w:val="0"/>
                <w:color w:val="auto"/>
                <w:sz w:val="18"/>
                <w:szCs w:val="18"/>
              </w:rPr>
              <w:t>道路通达度</w:t>
            </w:r>
            <w:r>
              <w:rPr>
                <w:rFonts w:hint="eastAsia" w:ascii="宋体" w:hAnsi="宋体"/>
                <w:snapToGrid w:val="0"/>
                <w:color w:val="auto"/>
                <w:sz w:val="18"/>
                <w:szCs w:val="18"/>
                <w:lang w:eastAsia="zh-CN"/>
              </w:rPr>
              <w:t>较好</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0" w:type="dxa"/>
            <w:bottom w:w="0" w:type="dxa"/>
            <w:right w:w="0" w:type="dxa"/>
          </w:tblCellMar>
        </w:tblPrEx>
        <w:trPr>
          <w:trHeight w:val="397" w:hRule="atLeast"/>
        </w:trPr>
        <w:tc>
          <w:tcPr>
            <w:tcW w:w="714"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color w:val="auto"/>
                <w:sz w:val="18"/>
                <w:szCs w:val="18"/>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18"/>
                <w:szCs w:val="18"/>
              </w:rPr>
            </w:pPr>
            <w:r>
              <w:rPr>
                <w:rFonts w:hint="eastAsia" w:ascii="宋体" w:hAnsi="宋体"/>
                <w:color w:val="auto"/>
                <w:sz w:val="18"/>
                <w:szCs w:val="18"/>
              </w:rPr>
              <w:t>出入可利用交通工具</w:t>
            </w:r>
          </w:p>
        </w:tc>
        <w:tc>
          <w:tcPr>
            <w:tcW w:w="652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 w:val="18"/>
                <w:szCs w:val="18"/>
              </w:rPr>
            </w:pPr>
            <w:r>
              <w:rPr>
                <w:rFonts w:hint="eastAsia" w:ascii="宋体" w:hAnsi="宋体"/>
                <w:snapToGrid w:val="0"/>
                <w:color w:val="auto"/>
                <w:sz w:val="18"/>
                <w:szCs w:val="18"/>
              </w:rPr>
              <w:t>附近设有“</w:t>
            </w:r>
            <w:r>
              <w:rPr>
                <w:rFonts w:hint="eastAsia" w:ascii="宋体" w:hAnsi="宋体"/>
                <w:snapToGrid w:val="0"/>
                <w:color w:val="auto"/>
                <w:sz w:val="18"/>
                <w:szCs w:val="18"/>
                <w:lang w:eastAsia="zh-CN"/>
              </w:rPr>
              <w:t>宫前大圆</w:t>
            </w:r>
            <w:r>
              <w:rPr>
                <w:rFonts w:hint="eastAsia" w:ascii="宋体" w:hAnsi="宋体" w:eastAsia="宋体" w:cs="Times New Roman"/>
                <w:snapToGrid w:val="0"/>
                <w:color w:val="auto"/>
                <w:sz w:val="18"/>
                <w:szCs w:val="18"/>
              </w:rPr>
              <w:t>”</w:t>
            </w:r>
            <w:r>
              <w:rPr>
                <w:rFonts w:hint="eastAsia" w:ascii="宋体" w:hAnsi="宋体" w:eastAsia="宋体" w:cs="Times New Roman"/>
                <w:snapToGrid w:val="0"/>
                <w:color w:val="auto"/>
                <w:sz w:val="18"/>
                <w:szCs w:val="18"/>
                <w:lang w:eastAsia="zh-CN"/>
              </w:rPr>
              <w:t>等</w:t>
            </w:r>
            <w:r>
              <w:rPr>
                <w:rFonts w:hint="eastAsia" w:ascii="宋体" w:hAnsi="宋体"/>
                <w:snapToGrid w:val="0"/>
                <w:color w:val="auto"/>
                <w:sz w:val="18"/>
                <w:szCs w:val="18"/>
              </w:rPr>
              <w:t>公共汽车站，</w:t>
            </w:r>
            <w:r>
              <w:rPr>
                <w:rFonts w:hint="eastAsia" w:ascii="宋体" w:hAnsi="宋体" w:eastAsia="宋体" w:cs="Times New Roman"/>
                <w:snapToGrid w:val="0"/>
                <w:color w:val="auto"/>
                <w:sz w:val="18"/>
                <w:szCs w:val="18"/>
              </w:rPr>
              <w:t>有</w:t>
            </w:r>
            <w:r>
              <w:rPr>
                <w:rFonts w:hint="eastAsia" w:ascii="宋体" w:hAnsi="宋体" w:cs="Times New Roman"/>
                <w:snapToGrid w:val="0"/>
                <w:color w:val="auto"/>
                <w:sz w:val="18"/>
                <w:szCs w:val="18"/>
                <w:lang w:val="en-US" w:eastAsia="zh-CN"/>
              </w:rPr>
              <w:t>10</w:t>
            </w:r>
            <w:r>
              <w:rPr>
                <w:rFonts w:hint="eastAsia" w:ascii="宋体" w:hAnsi="宋体" w:eastAsia="宋体" w:cs="Times New Roman"/>
                <w:snapToGrid w:val="0"/>
                <w:color w:val="auto"/>
                <w:sz w:val="18"/>
                <w:szCs w:val="18"/>
                <w:lang w:val="en-US" w:eastAsia="zh-CN"/>
              </w:rPr>
              <w:t>5</w:t>
            </w:r>
            <w:r>
              <w:rPr>
                <w:rFonts w:hint="eastAsia" w:ascii="宋体" w:hAnsi="宋体" w:eastAsia="宋体" w:cs="Times New Roman"/>
                <w:snapToGrid w:val="0"/>
                <w:color w:val="auto"/>
                <w:sz w:val="18"/>
                <w:szCs w:val="18"/>
              </w:rPr>
              <w:t>路、</w:t>
            </w:r>
            <w:r>
              <w:rPr>
                <w:rFonts w:hint="eastAsia" w:ascii="宋体" w:hAnsi="宋体" w:cs="Times New Roman"/>
                <w:snapToGrid w:val="0"/>
                <w:color w:val="auto"/>
                <w:sz w:val="18"/>
                <w:szCs w:val="18"/>
                <w:lang w:val="en-US" w:eastAsia="zh-CN"/>
              </w:rPr>
              <w:t>20</w:t>
            </w:r>
            <w:r>
              <w:rPr>
                <w:rFonts w:hint="eastAsia" w:ascii="宋体" w:hAnsi="宋体" w:eastAsia="宋体" w:cs="Times New Roman"/>
                <w:snapToGrid w:val="0"/>
                <w:color w:val="auto"/>
                <w:sz w:val="18"/>
                <w:szCs w:val="18"/>
                <w:lang w:val="en-US" w:eastAsia="zh-CN"/>
              </w:rPr>
              <w:t>3</w:t>
            </w:r>
            <w:r>
              <w:rPr>
                <w:rFonts w:hint="eastAsia" w:ascii="宋体" w:hAnsi="宋体" w:cs="Times New Roman"/>
                <w:snapToGrid w:val="0"/>
                <w:color w:val="auto"/>
                <w:sz w:val="18"/>
                <w:szCs w:val="18"/>
                <w:lang w:val="en-US" w:eastAsia="zh-CN"/>
              </w:rPr>
              <w:t>K</w:t>
            </w:r>
            <w:r>
              <w:rPr>
                <w:rFonts w:hint="eastAsia" w:ascii="宋体" w:hAnsi="宋体" w:eastAsia="宋体" w:cs="Times New Roman"/>
                <w:snapToGrid w:val="0"/>
                <w:color w:val="auto"/>
                <w:sz w:val="18"/>
                <w:szCs w:val="18"/>
              </w:rPr>
              <w:t>路、</w:t>
            </w:r>
            <w:r>
              <w:rPr>
                <w:rFonts w:hint="eastAsia" w:ascii="宋体" w:hAnsi="宋体" w:eastAsia="宋体" w:cs="Times New Roman"/>
                <w:snapToGrid w:val="0"/>
                <w:color w:val="auto"/>
                <w:sz w:val="18"/>
                <w:szCs w:val="18"/>
                <w:lang w:val="en-US" w:eastAsia="zh-CN"/>
              </w:rPr>
              <w:t>1</w:t>
            </w:r>
            <w:r>
              <w:rPr>
                <w:rFonts w:hint="eastAsia" w:ascii="宋体" w:hAnsi="宋体" w:cs="Times New Roman"/>
                <w:snapToGrid w:val="0"/>
                <w:color w:val="auto"/>
                <w:sz w:val="18"/>
                <w:szCs w:val="18"/>
                <w:lang w:val="en-US" w:eastAsia="zh-CN"/>
              </w:rPr>
              <w:t>6</w:t>
            </w:r>
            <w:r>
              <w:rPr>
                <w:rFonts w:hint="eastAsia" w:ascii="宋体" w:hAnsi="宋体" w:eastAsia="宋体" w:cs="Times New Roman"/>
                <w:snapToGrid w:val="0"/>
                <w:color w:val="auto"/>
                <w:sz w:val="18"/>
                <w:szCs w:val="18"/>
                <w:lang w:val="en-US" w:eastAsia="zh-CN"/>
              </w:rPr>
              <w:t>1</w:t>
            </w:r>
            <w:r>
              <w:rPr>
                <w:rFonts w:hint="eastAsia" w:ascii="宋体" w:hAnsi="宋体" w:cs="Times New Roman"/>
                <w:snapToGrid w:val="0"/>
                <w:color w:val="auto"/>
                <w:sz w:val="18"/>
                <w:szCs w:val="18"/>
                <w:lang w:val="en-US" w:eastAsia="zh-CN"/>
              </w:rPr>
              <w:t>A</w:t>
            </w:r>
            <w:r>
              <w:rPr>
                <w:rFonts w:hint="eastAsia" w:ascii="宋体" w:hAnsi="宋体" w:eastAsia="宋体" w:cs="Times New Roman"/>
                <w:snapToGrid w:val="0"/>
                <w:color w:val="auto"/>
                <w:sz w:val="18"/>
                <w:szCs w:val="18"/>
              </w:rPr>
              <w:t>路等公交线路经停，交通较便捷</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0" w:type="dxa"/>
            <w:bottom w:w="0" w:type="dxa"/>
            <w:right w:w="0" w:type="dxa"/>
          </w:tblCellMar>
        </w:tblPrEx>
        <w:trPr>
          <w:trHeight w:val="397" w:hRule="atLeast"/>
        </w:trPr>
        <w:tc>
          <w:tcPr>
            <w:tcW w:w="714"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color w:val="auto"/>
                <w:sz w:val="18"/>
                <w:szCs w:val="18"/>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18"/>
                <w:szCs w:val="18"/>
              </w:rPr>
            </w:pPr>
            <w:r>
              <w:rPr>
                <w:rFonts w:hint="eastAsia" w:ascii="宋体" w:hAnsi="宋体"/>
                <w:color w:val="auto"/>
                <w:sz w:val="18"/>
                <w:szCs w:val="18"/>
              </w:rPr>
              <w:t>交通管制</w:t>
            </w:r>
          </w:p>
        </w:tc>
        <w:tc>
          <w:tcPr>
            <w:tcW w:w="652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 w:val="18"/>
                <w:szCs w:val="18"/>
              </w:rPr>
            </w:pPr>
            <w:r>
              <w:rPr>
                <w:rFonts w:hint="eastAsia" w:ascii="宋体" w:hAnsi="宋体"/>
                <w:color w:val="auto"/>
                <w:sz w:val="18"/>
                <w:szCs w:val="18"/>
              </w:rPr>
              <w:t>无交通管制</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0" w:type="dxa"/>
            <w:bottom w:w="0" w:type="dxa"/>
            <w:right w:w="0" w:type="dxa"/>
          </w:tblCellMar>
        </w:tblPrEx>
        <w:trPr>
          <w:trHeight w:val="397" w:hRule="atLeast"/>
        </w:trPr>
        <w:tc>
          <w:tcPr>
            <w:tcW w:w="714"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color w:val="auto"/>
                <w:sz w:val="18"/>
                <w:szCs w:val="18"/>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18"/>
                <w:szCs w:val="18"/>
              </w:rPr>
            </w:pPr>
            <w:r>
              <w:rPr>
                <w:rFonts w:hint="eastAsia" w:ascii="宋体" w:hAnsi="宋体"/>
                <w:color w:val="auto"/>
                <w:sz w:val="18"/>
                <w:szCs w:val="18"/>
              </w:rPr>
              <w:t>停车便利度</w:t>
            </w:r>
          </w:p>
        </w:tc>
        <w:tc>
          <w:tcPr>
            <w:tcW w:w="652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 w:val="18"/>
                <w:szCs w:val="18"/>
              </w:rPr>
            </w:pPr>
            <w:r>
              <w:rPr>
                <w:rFonts w:hint="eastAsia" w:ascii="宋体" w:hAnsi="宋体"/>
                <w:color w:val="auto"/>
                <w:sz w:val="18"/>
                <w:szCs w:val="18"/>
              </w:rPr>
              <w:t>周边设有临时停车位，停车较方便</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0" w:type="dxa"/>
            <w:bottom w:w="0" w:type="dxa"/>
            <w:right w:w="0" w:type="dxa"/>
          </w:tblCellMar>
        </w:tblPrEx>
        <w:trPr>
          <w:trHeight w:val="397" w:hRule="atLeast"/>
        </w:trPr>
        <w:tc>
          <w:tcPr>
            <w:tcW w:w="714"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color w:val="auto"/>
                <w:sz w:val="18"/>
                <w:szCs w:val="18"/>
              </w:rPr>
            </w:pPr>
            <w:r>
              <w:rPr>
                <w:rFonts w:hint="eastAsia" w:ascii="宋体" w:hAnsi="宋体"/>
                <w:b/>
                <w:color w:val="auto"/>
                <w:sz w:val="18"/>
                <w:szCs w:val="18"/>
              </w:rPr>
              <w:t>环境</w:t>
            </w:r>
          </w:p>
          <w:p>
            <w:pPr>
              <w:jc w:val="center"/>
              <w:rPr>
                <w:rFonts w:ascii="宋体" w:hAnsi="宋体"/>
                <w:b/>
                <w:color w:val="auto"/>
                <w:sz w:val="18"/>
                <w:szCs w:val="18"/>
              </w:rPr>
            </w:pPr>
            <w:r>
              <w:rPr>
                <w:rFonts w:hint="eastAsia" w:ascii="宋体" w:hAnsi="宋体"/>
                <w:b/>
                <w:color w:val="auto"/>
                <w:sz w:val="18"/>
                <w:szCs w:val="18"/>
              </w:rPr>
              <w:t>状况</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18"/>
                <w:szCs w:val="18"/>
              </w:rPr>
            </w:pPr>
            <w:r>
              <w:rPr>
                <w:rFonts w:hint="eastAsia" w:ascii="宋体" w:hAnsi="宋体"/>
                <w:color w:val="auto"/>
                <w:sz w:val="18"/>
                <w:szCs w:val="18"/>
              </w:rPr>
              <w:t>自然环境</w:t>
            </w:r>
          </w:p>
        </w:tc>
        <w:tc>
          <w:tcPr>
            <w:tcW w:w="652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olor w:val="auto"/>
                <w:sz w:val="18"/>
                <w:szCs w:val="18"/>
                <w:lang w:eastAsia="zh-CN"/>
              </w:rPr>
            </w:pPr>
            <w:r>
              <w:rPr>
                <w:rFonts w:hint="eastAsia" w:ascii="宋体" w:hAnsi="宋体"/>
                <w:snapToGrid w:val="0"/>
                <w:color w:val="auto"/>
                <w:sz w:val="18"/>
                <w:szCs w:val="18"/>
              </w:rPr>
              <w:t>自然环境</w:t>
            </w:r>
            <w:r>
              <w:rPr>
                <w:rFonts w:hint="eastAsia" w:ascii="宋体" w:hAnsi="宋体"/>
                <w:snapToGrid w:val="0"/>
                <w:color w:val="auto"/>
                <w:sz w:val="18"/>
                <w:szCs w:val="18"/>
                <w:lang w:eastAsia="zh-CN"/>
              </w:rPr>
              <w:t>较好</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0" w:type="dxa"/>
            <w:bottom w:w="0" w:type="dxa"/>
            <w:right w:w="0" w:type="dxa"/>
          </w:tblCellMar>
        </w:tblPrEx>
        <w:trPr>
          <w:trHeight w:val="397" w:hRule="atLeast"/>
        </w:trPr>
        <w:tc>
          <w:tcPr>
            <w:tcW w:w="714"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color w:val="auto"/>
                <w:sz w:val="18"/>
                <w:szCs w:val="18"/>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18"/>
                <w:szCs w:val="18"/>
              </w:rPr>
            </w:pPr>
            <w:r>
              <w:rPr>
                <w:rFonts w:hint="eastAsia" w:ascii="宋体" w:hAnsi="宋体"/>
                <w:color w:val="auto"/>
                <w:sz w:val="18"/>
                <w:szCs w:val="18"/>
              </w:rPr>
              <w:t>人文环境</w:t>
            </w:r>
          </w:p>
        </w:tc>
        <w:tc>
          <w:tcPr>
            <w:tcW w:w="652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olor w:val="auto"/>
                <w:sz w:val="18"/>
                <w:szCs w:val="18"/>
                <w:lang w:eastAsia="zh-CN"/>
              </w:rPr>
            </w:pPr>
            <w:r>
              <w:rPr>
                <w:rFonts w:hint="eastAsia" w:ascii="宋体" w:hAnsi="宋体"/>
                <w:color w:val="auto"/>
                <w:sz w:val="18"/>
                <w:szCs w:val="18"/>
                <w:lang w:eastAsia="zh-CN"/>
              </w:rPr>
              <w:t>人口密度较高，治安状况较好</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0" w:type="dxa"/>
            <w:bottom w:w="0" w:type="dxa"/>
            <w:right w:w="0" w:type="dxa"/>
          </w:tblCellMar>
        </w:tblPrEx>
        <w:trPr>
          <w:trHeight w:val="397" w:hRule="atLeast"/>
        </w:trPr>
        <w:tc>
          <w:tcPr>
            <w:tcW w:w="714"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color w:val="auto"/>
                <w:sz w:val="18"/>
                <w:szCs w:val="18"/>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18"/>
                <w:szCs w:val="18"/>
              </w:rPr>
            </w:pPr>
            <w:r>
              <w:rPr>
                <w:rFonts w:hint="eastAsia" w:ascii="宋体" w:hAnsi="宋体"/>
                <w:color w:val="auto"/>
                <w:sz w:val="18"/>
                <w:szCs w:val="18"/>
              </w:rPr>
              <w:t>景观</w:t>
            </w:r>
          </w:p>
        </w:tc>
        <w:tc>
          <w:tcPr>
            <w:tcW w:w="6525" w:type="dxa"/>
            <w:tcBorders>
              <w:top w:val="single" w:color="auto" w:sz="4" w:space="0"/>
              <w:left w:val="single" w:color="auto" w:sz="4" w:space="0"/>
              <w:bottom w:val="single" w:color="auto" w:sz="4" w:space="0"/>
              <w:right w:val="single" w:color="auto" w:sz="4" w:space="0"/>
            </w:tcBorders>
            <w:noWrap w:val="0"/>
            <w:vAlign w:val="center"/>
          </w:tcPr>
          <w:p>
            <w:pPr>
              <w:rPr>
                <w:rFonts w:hint="default" w:ascii="宋体" w:hAnsi="宋体" w:eastAsia="宋体"/>
                <w:color w:val="auto"/>
                <w:sz w:val="18"/>
                <w:szCs w:val="18"/>
                <w:lang w:val="en-US" w:eastAsia="zh-CN"/>
              </w:rPr>
            </w:pPr>
            <w:r>
              <w:rPr>
                <w:rFonts w:hint="eastAsia" w:ascii="宋体" w:hAnsi="宋体"/>
                <w:color w:val="auto"/>
                <w:sz w:val="18"/>
                <w:szCs w:val="18"/>
                <w:lang w:val="en-US" w:eastAsia="zh-CN"/>
              </w:rPr>
              <w:t>望海景</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0" w:type="dxa"/>
            <w:bottom w:w="0" w:type="dxa"/>
            <w:right w:w="0" w:type="dxa"/>
          </w:tblCellMar>
        </w:tblPrEx>
        <w:trPr>
          <w:trHeight w:val="397" w:hRule="atLeast"/>
        </w:trPr>
        <w:tc>
          <w:tcPr>
            <w:tcW w:w="714"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color w:val="auto"/>
                <w:sz w:val="18"/>
                <w:szCs w:val="18"/>
              </w:rPr>
            </w:pPr>
            <w:r>
              <w:rPr>
                <w:rFonts w:hint="eastAsia" w:ascii="宋体" w:hAnsi="宋体"/>
                <w:b/>
                <w:color w:val="auto"/>
                <w:sz w:val="18"/>
                <w:szCs w:val="18"/>
              </w:rPr>
              <w:t>外部配套设施</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18"/>
                <w:szCs w:val="18"/>
              </w:rPr>
            </w:pPr>
            <w:r>
              <w:rPr>
                <w:rFonts w:hint="eastAsia" w:ascii="宋体" w:hAnsi="宋体"/>
                <w:color w:val="auto"/>
                <w:sz w:val="18"/>
                <w:szCs w:val="18"/>
              </w:rPr>
              <w:t>基础设施</w:t>
            </w:r>
          </w:p>
        </w:tc>
        <w:tc>
          <w:tcPr>
            <w:tcW w:w="652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auto"/>
                <w:sz w:val="18"/>
                <w:szCs w:val="18"/>
              </w:rPr>
            </w:pPr>
            <w:r>
              <w:rPr>
                <w:rFonts w:hint="eastAsia" w:ascii="宋体" w:hAnsi="宋体"/>
                <w:color w:val="auto"/>
                <w:sz w:val="18"/>
                <w:szCs w:val="18"/>
              </w:rPr>
              <w:t>供水、排水、供电、通讯等基础设施完备</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0" w:type="dxa"/>
            <w:bottom w:w="0" w:type="dxa"/>
            <w:right w:w="0" w:type="dxa"/>
          </w:tblCellMar>
        </w:tblPrEx>
        <w:trPr>
          <w:trHeight w:val="397" w:hRule="atLeast"/>
        </w:trPr>
        <w:tc>
          <w:tcPr>
            <w:tcW w:w="714"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color w:val="auto"/>
                <w:sz w:val="18"/>
                <w:szCs w:val="18"/>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18"/>
                <w:szCs w:val="18"/>
              </w:rPr>
            </w:pPr>
            <w:r>
              <w:rPr>
                <w:rFonts w:hint="eastAsia" w:ascii="宋体" w:hAnsi="宋体"/>
                <w:color w:val="auto"/>
                <w:sz w:val="18"/>
                <w:szCs w:val="18"/>
              </w:rPr>
              <w:t>公共服务设施</w:t>
            </w:r>
          </w:p>
        </w:tc>
        <w:tc>
          <w:tcPr>
            <w:tcW w:w="652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snapToGrid w:val="0"/>
                <w:color w:val="auto"/>
                <w:sz w:val="18"/>
                <w:szCs w:val="18"/>
                <w:lang w:eastAsia="zh-CN"/>
              </w:rPr>
            </w:pPr>
            <w:r>
              <w:rPr>
                <w:rFonts w:hint="eastAsia" w:ascii="宋体" w:hAnsi="宋体"/>
                <w:snapToGrid w:val="0"/>
                <w:color w:val="auto"/>
                <w:sz w:val="18"/>
                <w:szCs w:val="18"/>
              </w:rPr>
              <w:t>周边有</w:t>
            </w:r>
            <w:r>
              <w:rPr>
                <w:rFonts w:hint="eastAsia" w:ascii="宋体" w:hAnsi="宋体"/>
                <w:snapToGrid w:val="0"/>
                <w:color w:val="auto"/>
                <w:sz w:val="18"/>
                <w:szCs w:val="18"/>
                <w:lang w:eastAsia="zh-CN"/>
              </w:rPr>
              <w:t>后宅镇文化服务中心、后宅镇政府、祥云广场、后宅镇中心小学、</w:t>
            </w:r>
            <w:r>
              <w:rPr>
                <w:rFonts w:hint="eastAsia" w:ascii="宋体" w:hAnsi="宋体"/>
                <w:snapToGrid w:val="0"/>
                <w:color w:val="auto"/>
                <w:sz w:val="18"/>
                <w:szCs w:val="18"/>
                <w:lang w:val="en-US" w:eastAsia="zh-CN"/>
              </w:rPr>
              <w:t>南澳海鲜市场</w:t>
            </w:r>
            <w:r>
              <w:rPr>
                <w:rFonts w:hint="eastAsia" w:ascii="宋体" w:hAnsi="宋体"/>
                <w:snapToGrid w:val="0"/>
                <w:color w:val="auto"/>
                <w:sz w:val="18"/>
                <w:szCs w:val="18"/>
                <w:lang w:eastAsia="zh-CN"/>
              </w:rPr>
              <w:t>、中国工商银行</w:t>
            </w:r>
            <w:r>
              <w:rPr>
                <w:rFonts w:hint="eastAsia" w:ascii="宋体" w:hAnsi="宋体"/>
                <w:snapToGrid w:val="0"/>
                <w:color w:val="auto"/>
                <w:sz w:val="18"/>
                <w:szCs w:val="18"/>
              </w:rPr>
              <w:t>等，公共配套设施较完善</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0" w:type="dxa"/>
            <w:bottom w:w="0" w:type="dxa"/>
            <w:right w:w="0" w:type="dxa"/>
          </w:tblCellMar>
        </w:tblPrEx>
        <w:trPr>
          <w:trHeight w:val="397" w:hRule="atLeast"/>
        </w:trPr>
        <w:tc>
          <w:tcPr>
            <w:tcW w:w="71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color w:val="auto"/>
                <w:sz w:val="18"/>
                <w:szCs w:val="18"/>
              </w:rPr>
            </w:pPr>
            <w:r>
              <w:rPr>
                <w:rFonts w:hint="eastAsia" w:ascii="宋体" w:hAnsi="宋体"/>
                <w:b/>
                <w:color w:val="auto"/>
                <w:sz w:val="18"/>
                <w:szCs w:val="18"/>
              </w:rPr>
              <w:t>氛围</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sz w:val="18"/>
                <w:szCs w:val="18"/>
              </w:rPr>
            </w:pPr>
            <w:r>
              <w:rPr>
                <w:rFonts w:hint="eastAsia" w:ascii="宋体" w:hAnsi="宋体"/>
                <w:color w:val="auto"/>
                <w:sz w:val="18"/>
                <w:szCs w:val="18"/>
                <w:lang w:eastAsia="zh-CN"/>
              </w:rPr>
              <w:t>居住</w:t>
            </w:r>
            <w:r>
              <w:rPr>
                <w:rFonts w:hint="eastAsia" w:ascii="宋体" w:hAnsi="宋体"/>
                <w:color w:val="auto"/>
                <w:sz w:val="18"/>
                <w:szCs w:val="18"/>
              </w:rPr>
              <w:t>氛围</w:t>
            </w:r>
          </w:p>
        </w:tc>
        <w:tc>
          <w:tcPr>
            <w:tcW w:w="6525" w:type="dxa"/>
            <w:tcBorders>
              <w:top w:val="single" w:color="auto" w:sz="4" w:space="0"/>
              <w:left w:val="single" w:color="auto" w:sz="4" w:space="0"/>
              <w:bottom w:val="single" w:color="auto" w:sz="4" w:space="0"/>
              <w:right w:val="single" w:color="auto" w:sz="4" w:space="0"/>
            </w:tcBorders>
            <w:noWrap w:val="0"/>
            <w:vAlign w:val="center"/>
          </w:tcPr>
          <w:p>
            <w:pPr>
              <w:rPr>
                <w:rFonts w:hint="default" w:ascii="宋体" w:hAnsi="宋体" w:eastAsia="宋体"/>
                <w:snapToGrid w:val="0"/>
                <w:color w:val="auto"/>
                <w:sz w:val="18"/>
                <w:szCs w:val="18"/>
                <w:lang w:val="en-US" w:eastAsia="zh-CN"/>
              </w:rPr>
            </w:pPr>
            <w:r>
              <w:rPr>
                <w:rFonts w:hint="eastAsia" w:ascii="宋体" w:hAnsi="宋体"/>
                <w:snapToGrid w:val="0"/>
                <w:color w:val="auto"/>
                <w:sz w:val="18"/>
                <w:szCs w:val="18"/>
              </w:rPr>
              <w:t>估价对象</w:t>
            </w:r>
            <w:r>
              <w:rPr>
                <w:rFonts w:hint="eastAsia" w:ascii="宋体" w:hAnsi="宋体"/>
                <w:snapToGrid w:val="0"/>
                <w:color w:val="auto"/>
                <w:sz w:val="18"/>
                <w:szCs w:val="18"/>
                <w:lang w:eastAsia="zh-CN"/>
              </w:rPr>
              <w:t>小区绿化率较低，</w:t>
            </w:r>
            <w:r>
              <w:rPr>
                <w:rFonts w:hint="eastAsia" w:ascii="宋体" w:hAnsi="宋体"/>
                <w:snapToGrid w:val="0"/>
                <w:color w:val="auto"/>
                <w:sz w:val="18"/>
                <w:szCs w:val="18"/>
              </w:rPr>
              <w:t>居住氛围</w:t>
            </w:r>
            <w:r>
              <w:rPr>
                <w:rFonts w:hint="eastAsia" w:ascii="宋体" w:hAnsi="宋体"/>
                <w:snapToGrid w:val="0"/>
                <w:color w:val="auto"/>
                <w:sz w:val="18"/>
                <w:szCs w:val="18"/>
                <w:lang w:eastAsia="zh-CN"/>
              </w:rPr>
              <w:t>一般</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0" w:type="dxa"/>
            <w:bottom w:w="0" w:type="dxa"/>
            <w:right w:w="0" w:type="dxa"/>
          </w:tblCellMar>
        </w:tblPrEx>
        <w:trPr>
          <w:trHeight w:val="397" w:hRule="atLeast"/>
        </w:trPr>
        <w:tc>
          <w:tcPr>
            <w:tcW w:w="714"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color w:val="auto"/>
                <w:sz w:val="18"/>
                <w:szCs w:val="18"/>
              </w:rPr>
            </w:pPr>
            <w:r>
              <w:rPr>
                <w:rFonts w:hint="eastAsia" w:ascii="宋体" w:hAnsi="宋体"/>
                <w:b/>
                <w:color w:val="auto"/>
                <w:sz w:val="18"/>
                <w:szCs w:val="18"/>
              </w:rPr>
              <w:t>区位状况来来变化趋势分析</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18"/>
                <w:szCs w:val="18"/>
              </w:rPr>
            </w:pPr>
            <w:r>
              <w:rPr>
                <w:rFonts w:hint="eastAsia" w:ascii="宋体" w:hAnsi="宋体"/>
                <w:color w:val="auto"/>
                <w:sz w:val="18"/>
                <w:szCs w:val="18"/>
              </w:rPr>
              <w:t>城市分区及地段类</w:t>
            </w:r>
          </w:p>
        </w:tc>
        <w:tc>
          <w:tcPr>
            <w:tcW w:w="652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auto"/>
                <w:sz w:val="18"/>
                <w:szCs w:val="18"/>
              </w:rPr>
            </w:pPr>
            <w:r>
              <w:rPr>
                <w:rFonts w:hint="eastAsia" w:ascii="宋体" w:hAnsi="宋体"/>
                <w:color w:val="auto"/>
                <w:sz w:val="18"/>
                <w:szCs w:val="18"/>
              </w:rPr>
              <w:t>位于</w:t>
            </w:r>
            <w:r>
              <w:rPr>
                <w:rFonts w:hint="eastAsia" w:ascii="宋体" w:hAnsi="宋体"/>
                <w:color w:val="auto"/>
                <w:sz w:val="18"/>
                <w:szCs w:val="18"/>
                <w:lang w:eastAsia="zh-CN"/>
              </w:rPr>
              <w:t>汕头市南澳县</w:t>
            </w:r>
            <w:r>
              <w:rPr>
                <w:rFonts w:hint="eastAsia" w:ascii="宋体" w:hAnsi="宋体"/>
                <w:color w:val="auto"/>
                <w:sz w:val="18"/>
                <w:szCs w:val="18"/>
              </w:rPr>
              <w:t>，该片区为</w:t>
            </w:r>
            <w:r>
              <w:rPr>
                <w:rFonts w:hint="eastAsia" w:ascii="宋体" w:hAnsi="宋体"/>
                <w:color w:val="auto"/>
                <w:sz w:val="18"/>
                <w:szCs w:val="18"/>
                <w:lang w:eastAsia="zh-CN"/>
              </w:rPr>
              <w:t>风景旅游区</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0" w:type="dxa"/>
            <w:bottom w:w="0" w:type="dxa"/>
            <w:right w:w="0" w:type="dxa"/>
          </w:tblCellMar>
        </w:tblPrEx>
        <w:trPr>
          <w:trHeight w:val="397" w:hRule="atLeast"/>
        </w:trPr>
        <w:tc>
          <w:tcPr>
            <w:tcW w:w="714"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color w:val="auto"/>
                <w:sz w:val="18"/>
                <w:szCs w:val="18"/>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18"/>
                <w:szCs w:val="18"/>
              </w:rPr>
            </w:pPr>
            <w:r>
              <w:rPr>
                <w:rFonts w:hint="eastAsia" w:ascii="宋体" w:hAnsi="宋体"/>
                <w:color w:val="auto"/>
                <w:sz w:val="18"/>
                <w:szCs w:val="18"/>
              </w:rPr>
              <w:t>周边物业类别</w:t>
            </w:r>
          </w:p>
        </w:tc>
        <w:tc>
          <w:tcPr>
            <w:tcW w:w="652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 w:val="18"/>
                <w:szCs w:val="18"/>
              </w:rPr>
            </w:pPr>
            <w:r>
              <w:rPr>
                <w:rFonts w:hint="eastAsia" w:ascii="宋体" w:hAnsi="宋体"/>
                <w:color w:val="auto"/>
                <w:sz w:val="18"/>
                <w:szCs w:val="18"/>
              </w:rPr>
              <w:t>住宅、商业</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0" w:type="dxa"/>
            <w:bottom w:w="0" w:type="dxa"/>
            <w:right w:w="0" w:type="dxa"/>
          </w:tblCellMar>
        </w:tblPrEx>
        <w:trPr>
          <w:trHeight w:val="397" w:hRule="atLeast"/>
        </w:trPr>
        <w:tc>
          <w:tcPr>
            <w:tcW w:w="714"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color w:val="auto"/>
                <w:sz w:val="18"/>
                <w:szCs w:val="18"/>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18"/>
                <w:szCs w:val="18"/>
              </w:rPr>
            </w:pPr>
            <w:r>
              <w:rPr>
                <w:rFonts w:hint="eastAsia" w:ascii="宋体" w:hAnsi="宋体"/>
                <w:color w:val="auto"/>
                <w:sz w:val="18"/>
                <w:szCs w:val="18"/>
              </w:rPr>
              <w:t>房地产发展趋势</w:t>
            </w:r>
          </w:p>
        </w:tc>
        <w:tc>
          <w:tcPr>
            <w:tcW w:w="652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olor w:val="auto"/>
                <w:sz w:val="18"/>
                <w:szCs w:val="18"/>
                <w:lang w:eastAsia="zh-CN"/>
              </w:rPr>
            </w:pPr>
            <w:r>
              <w:rPr>
                <w:rFonts w:hint="eastAsia" w:ascii="宋体" w:hAnsi="宋体"/>
                <w:color w:val="auto"/>
                <w:sz w:val="18"/>
                <w:szCs w:val="18"/>
              </w:rPr>
              <w:t>规划为</w:t>
            </w:r>
            <w:r>
              <w:rPr>
                <w:rFonts w:hint="eastAsia" w:ascii="宋体" w:hAnsi="宋体"/>
                <w:color w:val="auto"/>
                <w:sz w:val="18"/>
                <w:szCs w:val="18"/>
                <w:lang w:eastAsia="zh-CN"/>
              </w:rPr>
              <w:t>风景旅游区</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0" w:type="dxa"/>
            <w:bottom w:w="0" w:type="dxa"/>
            <w:right w:w="0" w:type="dxa"/>
          </w:tblCellMar>
        </w:tblPrEx>
        <w:trPr>
          <w:trHeight w:val="397" w:hRule="atLeast"/>
        </w:trPr>
        <w:tc>
          <w:tcPr>
            <w:tcW w:w="714"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color w:val="auto"/>
                <w:sz w:val="18"/>
                <w:szCs w:val="18"/>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18"/>
                <w:szCs w:val="18"/>
              </w:rPr>
            </w:pPr>
            <w:r>
              <w:rPr>
                <w:rFonts w:hint="eastAsia" w:ascii="宋体" w:hAnsi="宋体"/>
                <w:color w:val="auto"/>
                <w:sz w:val="18"/>
                <w:szCs w:val="18"/>
              </w:rPr>
              <w:t>市场供应情况</w:t>
            </w:r>
          </w:p>
        </w:tc>
        <w:tc>
          <w:tcPr>
            <w:tcW w:w="652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 w:val="18"/>
                <w:szCs w:val="18"/>
              </w:rPr>
            </w:pPr>
            <w:r>
              <w:rPr>
                <w:rFonts w:hint="eastAsia" w:ascii="宋体" w:hAnsi="宋体"/>
                <w:color w:val="auto"/>
                <w:sz w:val="18"/>
                <w:szCs w:val="18"/>
              </w:rPr>
              <w:t xml:space="preserve">区内偶有土地供应 </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0" w:type="dxa"/>
            <w:bottom w:w="0" w:type="dxa"/>
            <w:right w:w="0" w:type="dxa"/>
          </w:tblCellMar>
        </w:tblPrEx>
        <w:trPr>
          <w:trHeight w:val="397" w:hRule="atLeast"/>
        </w:trPr>
        <w:tc>
          <w:tcPr>
            <w:tcW w:w="714"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color w:val="auto"/>
                <w:sz w:val="18"/>
                <w:szCs w:val="18"/>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18"/>
                <w:szCs w:val="18"/>
              </w:rPr>
            </w:pPr>
            <w:r>
              <w:rPr>
                <w:rFonts w:hint="eastAsia" w:ascii="宋体" w:hAnsi="宋体"/>
                <w:color w:val="auto"/>
                <w:sz w:val="18"/>
                <w:szCs w:val="18"/>
              </w:rPr>
              <w:t>市场需求情况</w:t>
            </w:r>
          </w:p>
        </w:tc>
        <w:tc>
          <w:tcPr>
            <w:tcW w:w="652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 w:val="18"/>
                <w:szCs w:val="18"/>
              </w:rPr>
            </w:pPr>
            <w:r>
              <w:rPr>
                <w:rFonts w:hint="eastAsia" w:ascii="宋体" w:hAnsi="宋体"/>
                <w:color w:val="auto"/>
                <w:sz w:val="18"/>
                <w:szCs w:val="18"/>
              </w:rPr>
              <w:t>主要为住宅、商业</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0" w:type="dxa"/>
            <w:bottom w:w="0" w:type="dxa"/>
            <w:right w:w="0" w:type="dxa"/>
          </w:tblCellMar>
        </w:tblPrEx>
        <w:trPr>
          <w:trHeight w:val="397" w:hRule="atLeast"/>
        </w:trPr>
        <w:tc>
          <w:tcPr>
            <w:tcW w:w="714"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color w:val="auto"/>
                <w:sz w:val="18"/>
                <w:szCs w:val="18"/>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18"/>
                <w:szCs w:val="18"/>
              </w:rPr>
            </w:pPr>
            <w:r>
              <w:rPr>
                <w:rFonts w:hint="eastAsia" w:ascii="宋体" w:hAnsi="宋体"/>
                <w:color w:val="auto"/>
                <w:sz w:val="18"/>
                <w:szCs w:val="18"/>
              </w:rPr>
              <w:t>总体发展趋势评价</w:t>
            </w:r>
          </w:p>
        </w:tc>
        <w:tc>
          <w:tcPr>
            <w:tcW w:w="652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 w:val="18"/>
                <w:szCs w:val="18"/>
              </w:rPr>
            </w:pPr>
            <w:r>
              <w:rPr>
                <w:rFonts w:hint="eastAsia" w:ascii="宋体" w:hAnsi="宋体"/>
                <w:color w:val="auto"/>
                <w:sz w:val="18"/>
                <w:szCs w:val="18"/>
              </w:rPr>
              <w:t>该区域规划为</w:t>
            </w:r>
            <w:r>
              <w:rPr>
                <w:rFonts w:hint="eastAsia" w:ascii="宋体" w:hAnsi="宋体"/>
                <w:color w:val="auto"/>
                <w:sz w:val="18"/>
                <w:szCs w:val="18"/>
                <w:lang w:eastAsia="zh-CN"/>
              </w:rPr>
              <w:t>风景旅游区</w:t>
            </w:r>
            <w:r>
              <w:rPr>
                <w:rFonts w:hint="eastAsia" w:ascii="宋体" w:hAnsi="宋体"/>
                <w:color w:val="auto"/>
                <w:sz w:val="18"/>
                <w:szCs w:val="18"/>
              </w:rPr>
              <w:t>，整体规划较好，交通便捷度较好，总体发展趋势较好</w:t>
            </w:r>
          </w:p>
        </w:tc>
      </w:tr>
      <w:bookmarkEnd w:id="49"/>
      <w:bookmarkEnd w:id="50"/>
      <w:bookmarkEnd w:id="51"/>
      <w:bookmarkEnd w:id="52"/>
    </w:tbl>
    <w:p>
      <w:pPr>
        <w:pStyle w:val="3"/>
        <w:spacing w:before="120" w:beforeLines="50" w:after="0" w:line="360" w:lineRule="auto"/>
        <w:ind w:left="198"/>
        <w:rPr>
          <w:rFonts w:hint="eastAsia" w:ascii="宋体" w:hAnsi="宋体" w:eastAsia="宋体"/>
          <w:color w:val="auto"/>
          <w:sz w:val="24"/>
          <w:highlight w:val="none"/>
        </w:rPr>
      </w:pPr>
      <w:bookmarkStart w:id="53" w:name="_Toc172481242"/>
      <w:bookmarkStart w:id="54" w:name="_Toc337642431"/>
      <w:bookmarkStart w:id="55" w:name="_Toc102185277"/>
      <w:bookmarkStart w:id="56" w:name="_Toc165264284"/>
      <w:bookmarkStart w:id="57" w:name="_Toc40186494"/>
      <w:bookmarkStart w:id="58" w:name="_Toc24266"/>
      <w:r>
        <w:rPr>
          <w:rFonts w:hint="eastAsia" w:ascii="宋体" w:hAnsi="宋体" w:eastAsia="宋体"/>
          <w:color w:val="auto"/>
          <w:sz w:val="24"/>
          <w:highlight w:val="none"/>
        </w:rPr>
        <w:t>（五）价值时点</w:t>
      </w:r>
      <w:bookmarkEnd w:id="53"/>
      <w:bookmarkEnd w:id="54"/>
      <w:bookmarkEnd w:id="55"/>
      <w:bookmarkEnd w:id="56"/>
      <w:bookmarkEnd w:id="57"/>
      <w:bookmarkEnd w:id="58"/>
    </w:p>
    <w:p>
      <w:pPr>
        <w:snapToGrid w:val="0"/>
        <w:spacing w:line="360" w:lineRule="auto"/>
        <w:ind w:firstLine="480" w:firstLineChars="200"/>
        <w:rPr>
          <w:rFonts w:hint="eastAsia" w:ascii="宋体" w:hAnsi="宋体"/>
          <w:color w:val="auto"/>
          <w:sz w:val="24"/>
          <w:highlight w:val="none"/>
        </w:rPr>
      </w:pPr>
      <w:r>
        <w:rPr>
          <w:rFonts w:hint="eastAsia" w:hAnsi="宋体"/>
          <w:snapToGrid w:val="0"/>
          <w:color w:val="auto"/>
          <w:sz w:val="24"/>
          <w:szCs w:val="24"/>
          <w:lang w:val="en-US" w:eastAsia="zh-CN"/>
        </w:rPr>
        <w:t>由于委托方</w:t>
      </w:r>
      <w:r>
        <w:rPr>
          <w:rFonts w:hint="eastAsia" w:ascii="宋体" w:hAnsi="宋体" w:eastAsia="宋体" w:cs="宋体"/>
          <w:color w:val="auto"/>
          <w:sz w:val="24"/>
          <w:szCs w:val="24"/>
          <w:shd w:val="clear" w:color="auto" w:fill="FFFFFF"/>
        </w:rPr>
        <w:t>未明确价值时点</w:t>
      </w:r>
      <w:r>
        <w:rPr>
          <w:rFonts w:hint="eastAsia" w:hAnsi="宋体" w:eastAsia="宋体" w:cs="宋体"/>
          <w:color w:val="auto"/>
          <w:sz w:val="24"/>
          <w:szCs w:val="24"/>
          <w:shd w:val="clear" w:color="auto" w:fill="FFFFFF"/>
          <w:lang w:eastAsia="zh-CN"/>
        </w:rPr>
        <w:t>，</w:t>
      </w:r>
      <w:r>
        <w:rPr>
          <w:rFonts w:hint="eastAsia" w:hAnsi="宋体" w:eastAsia="宋体" w:cs="宋体"/>
          <w:color w:val="auto"/>
          <w:sz w:val="24"/>
          <w:szCs w:val="24"/>
          <w:shd w:val="clear" w:color="auto" w:fill="FFFFFF"/>
          <w:lang w:val="en-US" w:eastAsia="zh-CN"/>
        </w:rPr>
        <w:t>因此，根据《房地产估价规范》要求，本次</w:t>
      </w:r>
      <w:r>
        <w:rPr>
          <w:rFonts w:hint="eastAsia" w:ascii="宋体" w:hAnsi="宋体" w:eastAsia="宋体" w:cs="宋体"/>
          <w:color w:val="auto"/>
          <w:sz w:val="24"/>
          <w:szCs w:val="24"/>
          <w:shd w:val="clear" w:color="auto" w:fill="FFFFFF"/>
        </w:rPr>
        <w:t>评估</w:t>
      </w:r>
      <w:r>
        <w:rPr>
          <w:rFonts w:hint="eastAsia" w:hAnsi="宋体" w:eastAsia="宋体" w:cs="宋体"/>
          <w:color w:val="auto"/>
          <w:sz w:val="24"/>
          <w:szCs w:val="24"/>
          <w:shd w:val="clear" w:color="auto" w:fill="FFFFFF"/>
          <w:lang w:val="en-US" w:eastAsia="zh-CN"/>
        </w:rPr>
        <w:t>以</w:t>
      </w:r>
      <w:r>
        <w:rPr>
          <w:rFonts w:hint="eastAsia" w:ascii="宋体" w:hAnsi="宋体" w:eastAsia="宋体" w:cs="宋体"/>
          <w:color w:val="auto"/>
          <w:sz w:val="24"/>
          <w:szCs w:val="24"/>
          <w:shd w:val="clear" w:color="auto" w:fill="FFFFFF"/>
        </w:rPr>
        <w:t>实地查勘完成之日</w:t>
      </w:r>
      <w:r>
        <w:rPr>
          <w:rFonts w:hint="eastAsia" w:hAnsi="宋体" w:eastAsia="宋体" w:cs="宋体"/>
          <w:color w:val="auto"/>
          <w:sz w:val="24"/>
          <w:szCs w:val="24"/>
          <w:shd w:val="clear" w:color="auto" w:fill="FFFFFF"/>
          <w:lang w:val="en-US" w:eastAsia="zh-CN"/>
        </w:rPr>
        <w:t>即</w:t>
      </w:r>
      <w:r>
        <w:rPr>
          <w:rFonts w:hint="eastAsia" w:hAnsi="宋体"/>
          <w:snapToGrid w:val="0"/>
          <w:color w:val="auto"/>
          <w:sz w:val="24"/>
          <w:szCs w:val="24"/>
          <w:lang w:eastAsia="zh-CN"/>
        </w:rPr>
        <w:t>2022年8月2日</w:t>
      </w:r>
      <w:r>
        <w:rPr>
          <w:rFonts w:hint="eastAsia" w:ascii="宋体" w:hAnsi="宋体" w:eastAsia="宋体" w:cs="宋体"/>
          <w:color w:val="auto"/>
          <w:sz w:val="24"/>
          <w:szCs w:val="24"/>
          <w:shd w:val="clear" w:color="auto" w:fill="FFFFFF"/>
        </w:rPr>
        <w:t>作为价值时点</w:t>
      </w:r>
      <w:r>
        <w:rPr>
          <w:rFonts w:hint="eastAsia" w:hAnsi="宋体" w:eastAsia="宋体" w:cs="宋体"/>
          <w:color w:val="auto"/>
          <w:sz w:val="24"/>
          <w:szCs w:val="24"/>
          <w:shd w:val="clear" w:color="auto" w:fill="FFFFFF"/>
          <w:lang w:eastAsia="zh-CN"/>
        </w:rPr>
        <w:t>，</w:t>
      </w:r>
      <w:r>
        <w:rPr>
          <w:rFonts w:hint="eastAsia" w:ascii="宋体" w:hAnsi="宋体"/>
          <w:color w:val="auto"/>
          <w:sz w:val="24"/>
          <w:highlight w:val="none"/>
          <w:lang w:eastAsia="zh-CN"/>
        </w:rPr>
        <w:t>以明确估价对象的实物状况和权益状况</w:t>
      </w:r>
      <w:r>
        <w:rPr>
          <w:rFonts w:hint="eastAsia" w:ascii="宋体" w:hAnsi="宋体"/>
          <w:color w:val="auto"/>
          <w:sz w:val="24"/>
          <w:highlight w:val="none"/>
        </w:rPr>
        <w:t>。</w:t>
      </w:r>
    </w:p>
    <w:p>
      <w:pPr>
        <w:pStyle w:val="3"/>
        <w:spacing w:before="120" w:beforeLines="50" w:after="0" w:line="360" w:lineRule="auto"/>
        <w:ind w:left="198"/>
        <w:rPr>
          <w:rFonts w:hint="eastAsia" w:ascii="宋体" w:hAnsi="宋体" w:eastAsia="宋体"/>
          <w:color w:val="auto"/>
          <w:sz w:val="24"/>
          <w:highlight w:val="none"/>
        </w:rPr>
      </w:pPr>
      <w:bookmarkStart w:id="59" w:name="_Toc337642432"/>
      <w:bookmarkStart w:id="60" w:name="_Toc102185278"/>
      <w:bookmarkStart w:id="61" w:name="_Toc172481243"/>
      <w:bookmarkStart w:id="62" w:name="_Toc165264285"/>
      <w:bookmarkStart w:id="63" w:name="_Toc40186495"/>
      <w:bookmarkStart w:id="64" w:name="_Toc15907"/>
      <w:r>
        <w:rPr>
          <w:rFonts w:hint="eastAsia" w:ascii="宋体" w:hAnsi="宋体" w:eastAsia="宋体"/>
          <w:color w:val="auto"/>
          <w:sz w:val="24"/>
          <w:highlight w:val="none"/>
        </w:rPr>
        <w:t>（六）价值类型</w:t>
      </w:r>
      <w:bookmarkEnd w:id="59"/>
      <w:bookmarkEnd w:id="60"/>
      <w:bookmarkEnd w:id="61"/>
      <w:bookmarkEnd w:id="62"/>
      <w:bookmarkEnd w:id="63"/>
      <w:bookmarkEnd w:id="64"/>
    </w:p>
    <w:p>
      <w:pPr>
        <w:snapToGrid w:val="0"/>
        <w:spacing w:line="360" w:lineRule="auto"/>
        <w:ind w:firstLine="480" w:firstLineChars="200"/>
        <w:rPr>
          <w:rFonts w:hint="eastAsia" w:ascii="宋体" w:hAnsi="宋体"/>
          <w:color w:val="auto"/>
          <w:sz w:val="24"/>
          <w:highlight w:val="none"/>
        </w:rPr>
      </w:pPr>
      <w:bookmarkStart w:id="65" w:name="_Toc494703324"/>
      <w:r>
        <w:rPr>
          <w:rFonts w:hint="eastAsia" w:ascii="宋体" w:hAnsi="宋体"/>
          <w:color w:val="auto"/>
          <w:sz w:val="24"/>
          <w:highlight w:val="none"/>
        </w:rPr>
        <w:t>本次估价的价值类型为公开市场价格。具体来说，是指估价对象于价值时点状态、在满足上述估价对象价值定义内涵及估价假设和限制条件、并假定未设立法定优先受偿权利的条件下的价值。</w:t>
      </w:r>
    </w:p>
    <w:bookmarkEnd w:id="65"/>
    <w:p>
      <w:pPr>
        <w:pStyle w:val="3"/>
        <w:spacing w:before="120" w:beforeLines="50" w:after="0" w:line="360" w:lineRule="auto"/>
        <w:ind w:left="198"/>
        <w:rPr>
          <w:rFonts w:hint="eastAsia" w:ascii="宋体" w:hAnsi="宋体" w:eastAsia="宋体"/>
          <w:color w:val="auto"/>
          <w:sz w:val="24"/>
          <w:highlight w:val="none"/>
        </w:rPr>
      </w:pPr>
      <w:bookmarkStart w:id="66" w:name="_Toc19049"/>
      <w:bookmarkStart w:id="67" w:name="_Toc102185279"/>
      <w:bookmarkStart w:id="68" w:name="_Toc337642433"/>
      <w:bookmarkStart w:id="69" w:name="_Toc165264286"/>
      <w:bookmarkStart w:id="70" w:name="_Toc40186496"/>
      <w:bookmarkStart w:id="71" w:name="_Toc172481244"/>
      <w:r>
        <w:rPr>
          <w:rFonts w:hint="eastAsia" w:ascii="宋体" w:hAnsi="宋体" w:eastAsia="宋体"/>
          <w:color w:val="auto"/>
          <w:sz w:val="24"/>
          <w:highlight w:val="none"/>
        </w:rPr>
        <w:t>（七）估价原则</w:t>
      </w:r>
      <w:bookmarkEnd w:id="66"/>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在独立、客观、公正的基本原则下，结合估价目的对估价对象进行科学、合理地价值评估，具体遵循如下原则：</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1.合法原则：估价以估价对象的合法产权、合法使用、合法处分为前提。</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2.最高最佳使用原则：本报告的估价结论是确定估价对象处于最高最佳使用状态下的价值。</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3.替代原则：遵循替代原则，要求估价结果不得明显偏离类似房地产在同等条件下的正常价格。</w:t>
      </w:r>
    </w:p>
    <w:p>
      <w:pPr>
        <w:spacing w:before="120" w:beforeLines="50" w:line="360" w:lineRule="auto"/>
        <w:ind w:left="0" w:firstLine="480" w:firstLineChars="200"/>
        <w:rPr>
          <w:rFonts w:hint="eastAsia" w:ascii="宋体" w:hAnsi="宋体"/>
          <w:color w:val="auto"/>
          <w:sz w:val="24"/>
          <w:highlight w:val="none"/>
        </w:rPr>
      </w:pPr>
      <w:r>
        <w:rPr>
          <w:rFonts w:hint="default" w:ascii="宋体" w:hAnsi="宋体"/>
          <w:color w:val="auto"/>
          <w:sz w:val="24"/>
          <w:highlight w:val="none"/>
        </w:rPr>
        <w:t>4.价值时点原则：本报告充分考虑估价结论的时间相关性、时效性，同时，价值内涵以估价对象于价值时点的状态为前提。</w:t>
      </w:r>
    </w:p>
    <w:bookmarkEnd w:id="67"/>
    <w:bookmarkEnd w:id="68"/>
    <w:bookmarkEnd w:id="69"/>
    <w:bookmarkEnd w:id="70"/>
    <w:bookmarkEnd w:id="71"/>
    <w:p>
      <w:pPr>
        <w:pStyle w:val="3"/>
        <w:spacing w:before="157" w:after="0" w:line="416" w:lineRule="auto"/>
        <w:rPr>
          <w:rFonts w:hint="eastAsia" w:ascii="宋体" w:hAnsi="宋体" w:eastAsia="宋体"/>
          <w:color w:val="auto"/>
          <w:sz w:val="24"/>
          <w:highlight w:val="none"/>
        </w:rPr>
      </w:pPr>
      <w:bookmarkStart w:id="72" w:name="_Toc31639"/>
      <w:bookmarkStart w:id="73" w:name="_Toc40186497"/>
      <w:bookmarkStart w:id="74" w:name="_Toc337642434"/>
      <w:bookmarkStart w:id="75" w:name="_Toc165264287"/>
      <w:bookmarkStart w:id="76" w:name="_Toc102185280"/>
      <w:bookmarkStart w:id="77" w:name="_Toc172481245"/>
      <w:r>
        <w:rPr>
          <w:rFonts w:hint="eastAsia" w:ascii="宋体" w:hAnsi="宋体" w:eastAsia="宋体"/>
          <w:color w:val="auto"/>
          <w:sz w:val="24"/>
          <w:highlight w:val="none"/>
        </w:rPr>
        <w:t>（八）估价依据</w:t>
      </w:r>
      <w:bookmarkEnd w:id="72"/>
    </w:p>
    <w:p>
      <w:pPr>
        <w:numPr>
          <w:ilvl w:val="0"/>
          <w:numId w:val="19"/>
        </w:num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国家</w:t>
      </w:r>
      <w:r>
        <w:rPr>
          <w:rFonts w:hint="eastAsia" w:ascii="宋体" w:hAnsi="宋体"/>
          <w:color w:val="auto"/>
          <w:sz w:val="24"/>
          <w:highlight w:val="none"/>
          <w:lang w:val="en-US" w:eastAsia="zh-CN"/>
        </w:rPr>
        <w:t>及</w:t>
      </w:r>
      <w:r>
        <w:rPr>
          <w:rFonts w:hint="eastAsia" w:ascii="宋体" w:hAnsi="宋体"/>
          <w:color w:val="auto"/>
          <w:sz w:val="24"/>
          <w:highlight w:val="none"/>
        </w:rPr>
        <w:t>有关部门颁布的法律法规依据：</w:t>
      </w:r>
    </w:p>
    <w:p>
      <w:pPr>
        <w:snapToGrid w:val="0"/>
        <w:spacing w:line="360" w:lineRule="auto"/>
        <w:ind w:firstLine="480" w:firstLineChars="20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（1）《中华人民共和国民法典》（主席令第45号，中华人民共和国第十三届全国人民代表大会第三次会议于2020年5月28日通过，自2021年1月1日起施行）；</w:t>
      </w:r>
    </w:p>
    <w:p>
      <w:pPr>
        <w:snapToGrid w:val="0"/>
        <w:spacing w:line="360" w:lineRule="auto"/>
        <w:ind w:firstLine="480" w:firstLineChars="20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lang w:eastAsia="zh-CN"/>
        </w:rPr>
        <w:t>（</w:t>
      </w:r>
      <w:r>
        <w:rPr>
          <w:rFonts w:hint="eastAsia" w:ascii="宋体" w:hAnsi="宋体" w:eastAsia="宋体" w:cs="Times New Roman"/>
          <w:color w:val="auto"/>
          <w:sz w:val="24"/>
          <w:highlight w:val="none"/>
          <w:lang w:val="en-US" w:eastAsia="zh-CN"/>
        </w:rPr>
        <w:t>2</w:t>
      </w:r>
      <w:r>
        <w:rPr>
          <w:rFonts w:hint="eastAsia" w:ascii="宋体" w:hAnsi="宋体" w:eastAsia="宋体" w:cs="Times New Roman"/>
          <w:color w:val="auto"/>
          <w:sz w:val="24"/>
          <w:highlight w:val="none"/>
          <w:lang w:eastAsia="zh-CN"/>
        </w:rPr>
        <w:t>）</w:t>
      </w:r>
      <w:r>
        <w:rPr>
          <w:rFonts w:hint="eastAsia" w:ascii="宋体" w:hAnsi="宋体" w:eastAsia="宋体" w:cs="Times New Roman"/>
          <w:color w:val="auto"/>
          <w:sz w:val="24"/>
          <w:highlight w:val="none"/>
        </w:rPr>
        <w:t>《中华人民共和国土地管理法》（主席令第32号，2019年8月26日第十三届全国人民代表大会常务委员会第十二次会议《关于修改〈中华人民共和国土地管理法〉、〈中华人民共和国城市房地产管理法〉的决定》第三次修正</w:t>
      </w:r>
      <w:r>
        <w:rPr>
          <w:rFonts w:hint="eastAsia" w:ascii="宋体" w:hAnsi="宋体" w:eastAsia="宋体" w:cs="Times New Roman"/>
          <w:color w:val="auto"/>
          <w:sz w:val="24"/>
          <w:highlight w:val="none"/>
          <w:lang w:eastAsia="zh-CN"/>
        </w:rPr>
        <w:t>。</w:t>
      </w:r>
      <w:r>
        <w:rPr>
          <w:rFonts w:hint="eastAsia" w:hAnsi="宋体"/>
          <w:snapToGrid w:val="0"/>
          <w:sz w:val="24"/>
          <w:szCs w:val="24"/>
        </w:rPr>
        <w:t>自2020年1月1日起施行</w:t>
      </w:r>
      <w:r>
        <w:rPr>
          <w:rFonts w:hint="eastAsia" w:ascii="宋体" w:hAnsi="宋体" w:eastAsia="宋体" w:cs="Times New Roman"/>
          <w:color w:val="auto"/>
          <w:sz w:val="24"/>
          <w:highlight w:val="none"/>
        </w:rPr>
        <w:t>）；</w:t>
      </w:r>
    </w:p>
    <w:p>
      <w:pPr>
        <w:snapToGrid w:val="0"/>
        <w:spacing w:line="360" w:lineRule="auto"/>
        <w:ind w:firstLine="480" w:firstLineChars="20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lang w:eastAsia="zh-CN"/>
        </w:rPr>
        <w:t>（</w:t>
      </w:r>
      <w:r>
        <w:rPr>
          <w:rFonts w:hint="eastAsia" w:ascii="宋体" w:hAnsi="宋体" w:eastAsia="宋体" w:cs="Times New Roman"/>
          <w:color w:val="auto"/>
          <w:sz w:val="24"/>
          <w:highlight w:val="none"/>
          <w:lang w:val="en-US" w:eastAsia="zh-CN"/>
        </w:rPr>
        <w:t>3</w:t>
      </w:r>
      <w:r>
        <w:rPr>
          <w:rFonts w:hint="eastAsia" w:ascii="宋体" w:hAnsi="宋体" w:eastAsia="宋体" w:cs="Times New Roman"/>
          <w:color w:val="auto"/>
          <w:sz w:val="24"/>
          <w:highlight w:val="none"/>
          <w:lang w:eastAsia="zh-CN"/>
        </w:rPr>
        <w:t>）</w:t>
      </w:r>
      <w:r>
        <w:rPr>
          <w:rFonts w:hint="eastAsia" w:ascii="宋体" w:hAnsi="宋体" w:eastAsia="宋体" w:cs="Times New Roman"/>
          <w:color w:val="auto"/>
          <w:sz w:val="24"/>
          <w:highlight w:val="none"/>
        </w:rPr>
        <w:t>《中华人民共和国城市房地产管理法》（主席令第32号，2019年8月26日第十三届全国人民代表大会常务委员会第十二次会议《关于修改〈中华人民共和国土地管理法〉、〈中华人民共和国城市房地产管理法〉的决定》第三次修正</w:t>
      </w:r>
      <w:r>
        <w:rPr>
          <w:rFonts w:hint="eastAsia" w:hAnsi="宋体"/>
          <w:snapToGrid w:val="0"/>
          <w:sz w:val="24"/>
          <w:szCs w:val="24"/>
        </w:rPr>
        <w:t>。自2020年1月1日起施行</w:t>
      </w:r>
      <w:r>
        <w:rPr>
          <w:rFonts w:hint="eastAsia" w:ascii="宋体" w:hAnsi="宋体" w:eastAsia="宋体" w:cs="Times New Roman"/>
          <w:color w:val="auto"/>
          <w:sz w:val="24"/>
          <w:highlight w:val="none"/>
        </w:rPr>
        <w:t>）；</w:t>
      </w:r>
    </w:p>
    <w:p>
      <w:pPr>
        <w:snapToGrid w:val="0"/>
        <w:spacing w:line="360" w:lineRule="auto"/>
        <w:ind w:firstLine="480" w:firstLineChars="20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lang w:eastAsia="zh-CN"/>
        </w:rPr>
        <w:t>（</w:t>
      </w:r>
      <w:r>
        <w:rPr>
          <w:rFonts w:hint="eastAsia" w:ascii="宋体" w:hAnsi="宋体" w:eastAsia="宋体" w:cs="Times New Roman"/>
          <w:color w:val="auto"/>
          <w:sz w:val="24"/>
          <w:highlight w:val="none"/>
          <w:lang w:val="en-US" w:eastAsia="zh-CN"/>
        </w:rPr>
        <w:t>4</w:t>
      </w:r>
      <w:r>
        <w:rPr>
          <w:rFonts w:hint="eastAsia" w:ascii="宋体" w:hAnsi="宋体" w:eastAsia="宋体" w:cs="Times New Roman"/>
          <w:color w:val="auto"/>
          <w:sz w:val="24"/>
          <w:highlight w:val="none"/>
          <w:lang w:eastAsia="zh-CN"/>
        </w:rPr>
        <w:t>）</w:t>
      </w:r>
      <w:r>
        <w:rPr>
          <w:rFonts w:hint="eastAsia" w:ascii="宋体" w:hAnsi="宋体" w:eastAsia="宋体" w:cs="Times New Roman"/>
          <w:color w:val="auto"/>
          <w:sz w:val="24"/>
          <w:highlight w:val="none"/>
        </w:rPr>
        <w:t>《中华人民共和国城乡规划法》（主席令第二十九号，中华人民共和国第十三届全国人民代表大会常务委员会第十次会议于2019年4月23日通过公布，自公布之日起施行）；</w:t>
      </w:r>
    </w:p>
    <w:p>
      <w:pPr>
        <w:snapToGrid w:val="0"/>
        <w:spacing w:line="360" w:lineRule="auto"/>
        <w:ind w:firstLine="480" w:firstLineChars="20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lang w:eastAsia="zh-CN"/>
        </w:rPr>
        <w:t>（</w:t>
      </w:r>
      <w:r>
        <w:rPr>
          <w:rFonts w:hint="eastAsia" w:ascii="宋体" w:hAnsi="宋体" w:eastAsia="宋体" w:cs="Times New Roman"/>
          <w:color w:val="auto"/>
          <w:sz w:val="24"/>
          <w:highlight w:val="none"/>
          <w:lang w:val="en-US" w:eastAsia="zh-CN"/>
        </w:rPr>
        <w:t>5</w:t>
      </w:r>
      <w:r>
        <w:rPr>
          <w:rFonts w:hint="eastAsia" w:ascii="宋体" w:hAnsi="宋体" w:eastAsia="宋体" w:cs="Times New Roman"/>
          <w:color w:val="auto"/>
          <w:sz w:val="24"/>
          <w:highlight w:val="none"/>
          <w:lang w:eastAsia="zh-CN"/>
        </w:rPr>
        <w:t>）</w:t>
      </w:r>
      <w:r>
        <w:rPr>
          <w:rFonts w:hint="eastAsia" w:ascii="宋体" w:hAnsi="宋体" w:eastAsia="宋体" w:cs="Times New Roman"/>
          <w:color w:val="auto"/>
          <w:sz w:val="24"/>
          <w:highlight w:val="none"/>
        </w:rPr>
        <w:t>《中华人民共和国资产评估法》（主席令第四十六号，中华人民共和国全国人民代表大会常务委员会于2016年7月2日发布，自2016年12月1日起施行）；</w:t>
      </w:r>
    </w:p>
    <w:p>
      <w:pPr>
        <w:snapToGrid w:val="0"/>
        <w:spacing w:line="360" w:lineRule="auto"/>
        <w:ind w:firstLine="480" w:firstLineChars="20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lang w:eastAsia="zh-CN"/>
        </w:rPr>
        <w:t>（</w:t>
      </w:r>
      <w:r>
        <w:rPr>
          <w:rFonts w:hint="eastAsia" w:ascii="宋体" w:hAnsi="宋体" w:eastAsia="宋体" w:cs="Times New Roman"/>
          <w:color w:val="auto"/>
          <w:sz w:val="24"/>
          <w:highlight w:val="none"/>
          <w:lang w:val="en-US" w:eastAsia="zh-CN"/>
        </w:rPr>
        <w:t>6</w:t>
      </w:r>
      <w:r>
        <w:rPr>
          <w:rFonts w:hint="eastAsia" w:ascii="宋体" w:hAnsi="宋体" w:eastAsia="宋体" w:cs="Times New Roman"/>
          <w:color w:val="auto"/>
          <w:sz w:val="24"/>
          <w:highlight w:val="none"/>
          <w:lang w:eastAsia="zh-CN"/>
        </w:rPr>
        <w:t>）</w:t>
      </w:r>
      <w:r>
        <w:rPr>
          <w:rFonts w:hint="eastAsia" w:ascii="宋体" w:hAnsi="宋体" w:eastAsia="宋体" w:cs="Times New Roman"/>
          <w:color w:val="auto"/>
          <w:sz w:val="24"/>
          <w:highlight w:val="none"/>
        </w:rPr>
        <w:t>《最高人民法院关于人民法院委托评估、拍卖和变卖工作的若干规定》；</w:t>
      </w:r>
    </w:p>
    <w:p>
      <w:pPr>
        <w:snapToGrid w:val="0"/>
        <w:spacing w:line="360" w:lineRule="auto"/>
        <w:ind w:firstLine="480" w:firstLineChars="20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lang w:eastAsia="zh-CN"/>
        </w:rPr>
        <w:t>（</w:t>
      </w:r>
      <w:r>
        <w:rPr>
          <w:rFonts w:hint="eastAsia" w:ascii="宋体" w:hAnsi="宋体" w:eastAsia="宋体" w:cs="Times New Roman"/>
          <w:color w:val="auto"/>
          <w:sz w:val="24"/>
          <w:highlight w:val="none"/>
          <w:lang w:val="en-US" w:eastAsia="zh-CN"/>
        </w:rPr>
        <w:t>7</w:t>
      </w:r>
      <w:r>
        <w:rPr>
          <w:rFonts w:hint="eastAsia" w:ascii="宋体" w:hAnsi="宋体" w:eastAsia="宋体" w:cs="Times New Roman"/>
          <w:color w:val="auto"/>
          <w:sz w:val="24"/>
          <w:highlight w:val="none"/>
          <w:lang w:eastAsia="zh-CN"/>
        </w:rPr>
        <w:t>）</w:t>
      </w:r>
      <w:r>
        <w:rPr>
          <w:rFonts w:hint="eastAsia" w:ascii="宋体" w:hAnsi="宋体" w:eastAsia="宋体" w:cs="Times New Roman"/>
          <w:color w:val="auto"/>
          <w:sz w:val="24"/>
          <w:highlight w:val="none"/>
        </w:rPr>
        <w:t>《最高人民法院对外委托鉴定、评估、拍卖等工作管理规定》</w:t>
      </w:r>
    </w:p>
    <w:p>
      <w:pPr>
        <w:snapToGrid w:val="0"/>
        <w:spacing w:line="360" w:lineRule="auto"/>
        <w:ind w:firstLine="480" w:firstLineChars="200"/>
        <w:rPr>
          <w:rFonts w:hint="eastAsia" w:ascii="宋体" w:hAnsi="宋体" w:eastAsia="宋体" w:cs="Times New Roman"/>
          <w:color w:val="auto"/>
          <w:sz w:val="24"/>
          <w:highlight w:val="none"/>
          <w:lang w:eastAsia="zh-CN"/>
        </w:rPr>
      </w:pPr>
      <w:r>
        <w:rPr>
          <w:rFonts w:hint="eastAsia" w:ascii="宋体" w:hAnsi="宋体" w:eastAsia="宋体" w:cs="Times New Roman"/>
          <w:color w:val="auto"/>
          <w:sz w:val="24"/>
          <w:highlight w:val="none"/>
          <w:lang w:eastAsia="zh-CN"/>
        </w:rPr>
        <w:t>（</w:t>
      </w:r>
      <w:r>
        <w:rPr>
          <w:rFonts w:hint="eastAsia" w:ascii="宋体" w:hAnsi="宋体" w:eastAsia="宋体" w:cs="Times New Roman"/>
          <w:color w:val="auto"/>
          <w:sz w:val="24"/>
          <w:highlight w:val="none"/>
          <w:lang w:val="en-US" w:eastAsia="zh-CN"/>
        </w:rPr>
        <w:t>8</w:t>
      </w:r>
      <w:r>
        <w:rPr>
          <w:rFonts w:hint="eastAsia" w:ascii="宋体" w:hAnsi="宋体" w:eastAsia="宋体" w:cs="Times New Roman"/>
          <w:color w:val="auto"/>
          <w:sz w:val="24"/>
          <w:highlight w:val="none"/>
          <w:lang w:eastAsia="zh-CN"/>
        </w:rPr>
        <w:t>）《国务院关于废止〈中华人民共和国营业税暂行条例〉和修改〈中华人民共和国增值税暂行条例〉的决定》（2017年10月30日国务院第191次常务会议通过，2017年11月19日公布，自公布之日起施行）</w:t>
      </w:r>
    </w:p>
    <w:p>
      <w:pPr>
        <w:snapToGrid w:val="0"/>
        <w:spacing w:line="360" w:lineRule="auto"/>
        <w:ind w:firstLine="480" w:firstLineChars="200"/>
        <w:rPr>
          <w:rFonts w:hint="eastAsia" w:ascii="宋体" w:hAnsi="宋体" w:eastAsia="宋体" w:cs="Times New Roman"/>
          <w:color w:val="auto"/>
          <w:sz w:val="24"/>
          <w:highlight w:val="none"/>
          <w:lang w:eastAsia="zh-CN"/>
        </w:rPr>
      </w:pPr>
      <w:r>
        <w:rPr>
          <w:rFonts w:hint="eastAsia" w:ascii="宋体" w:hAnsi="宋体" w:eastAsia="宋体" w:cs="Times New Roman"/>
          <w:color w:val="auto"/>
          <w:sz w:val="24"/>
          <w:highlight w:val="none"/>
          <w:lang w:eastAsia="zh-CN"/>
        </w:rPr>
        <w:t>（</w:t>
      </w:r>
      <w:r>
        <w:rPr>
          <w:rFonts w:hint="eastAsia" w:ascii="宋体" w:hAnsi="宋体" w:eastAsia="宋体" w:cs="Times New Roman"/>
          <w:color w:val="auto"/>
          <w:sz w:val="24"/>
          <w:highlight w:val="none"/>
          <w:lang w:val="en-US" w:eastAsia="zh-CN"/>
        </w:rPr>
        <w:t>9</w:t>
      </w:r>
      <w:r>
        <w:rPr>
          <w:rFonts w:hint="eastAsia" w:ascii="宋体" w:hAnsi="宋体" w:eastAsia="宋体" w:cs="Times New Roman"/>
          <w:color w:val="auto"/>
          <w:sz w:val="24"/>
          <w:highlight w:val="none"/>
          <w:lang w:eastAsia="zh-CN"/>
        </w:rPr>
        <w:t>）《国家税务总局关于全面推开营业税改征增值税试点有关税收征收管理事项的公告》（国家税务总局公告2016年第23号）</w:t>
      </w:r>
    </w:p>
    <w:p>
      <w:pPr>
        <w:snapToGrid w:val="0"/>
        <w:spacing w:line="360" w:lineRule="auto"/>
        <w:ind w:firstLine="480" w:firstLineChars="200"/>
        <w:rPr>
          <w:rFonts w:hint="eastAsia" w:ascii="宋体" w:hAnsi="宋体" w:eastAsia="宋体" w:cs="Times New Roman"/>
          <w:color w:val="auto"/>
          <w:sz w:val="24"/>
          <w:highlight w:val="none"/>
          <w:lang w:eastAsia="zh-CN"/>
        </w:rPr>
      </w:pPr>
      <w:r>
        <w:rPr>
          <w:rFonts w:hint="eastAsia" w:ascii="宋体" w:hAnsi="宋体" w:eastAsia="宋体" w:cs="Times New Roman"/>
          <w:color w:val="auto"/>
          <w:sz w:val="24"/>
          <w:highlight w:val="none"/>
          <w:lang w:eastAsia="zh-CN"/>
        </w:rPr>
        <w:t>（</w:t>
      </w:r>
      <w:r>
        <w:rPr>
          <w:rFonts w:hint="eastAsia" w:ascii="宋体" w:hAnsi="宋体" w:eastAsia="宋体" w:cs="Times New Roman"/>
          <w:color w:val="auto"/>
          <w:sz w:val="24"/>
          <w:highlight w:val="none"/>
          <w:lang w:val="en-US" w:eastAsia="zh-CN"/>
        </w:rPr>
        <w:t>10</w:t>
      </w:r>
      <w:r>
        <w:rPr>
          <w:rFonts w:hint="eastAsia" w:ascii="宋体" w:hAnsi="宋体" w:eastAsia="宋体" w:cs="Times New Roman"/>
          <w:color w:val="auto"/>
          <w:sz w:val="24"/>
          <w:highlight w:val="none"/>
          <w:lang w:eastAsia="zh-CN"/>
        </w:rPr>
        <w:t>）《财政部国家税务总局关于营改增后契税房产税土地增值税个人所得税计税依据问题的通知》（本通知自2016年5月1日起执行）</w:t>
      </w:r>
    </w:p>
    <w:p>
      <w:pPr>
        <w:snapToGrid w:val="0"/>
        <w:spacing w:line="360" w:lineRule="auto"/>
        <w:ind w:firstLine="480" w:firstLineChars="200"/>
        <w:rPr>
          <w:rFonts w:hint="eastAsia" w:ascii="宋体" w:hAnsi="宋体" w:eastAsia="宋体" w:cs="Times New Roman"/>
          <w:color w:val="auto"/>
          <w:sz w:val="24"/>
          <w:highlight w:val="none"/>
          <w:lang w:eastAsia="zh-CN"/>
        </w:rPr>
      </w:pPr>
      <w:r>
        <w:rPr>
          <w:rFonts w:hint="eastAsia" w:ascii="宋体" w:hAnsi="宋体" w:eastAsia="宋体" w:cs="Times New Roman"/>
          <w:color w:val="auto"/>
          <w:sz w:val="24"/>
          <w:highlight w:val="none"/>
          <w:lang w:eastAsia="zh-CN"/>
        </w:rPr>
        <w:t>（</w:t>
      </w:r>
      <w:r>
        <w:rPr>
          <w:rFonts w:hint="eastAsia" w:ascii="宋体" w:hAnsi="宋体" w:eastAsia="宋体" w:cs="Times New Roman"/>
          <w:color w:val="auto"/>
          <w:sz w:val="24"/>
          <w:highlight w:val="none"/>
          <w:lang w:val="en-US" w:eastAsia="zh-CN"/>
        </w:rPr>
        <w:t>11</w:t>
      </w:r>
      <w:r>
        <w:rPr>
          <w:rFonts w:hint="eastAsia" w:ascii="宋体" w:hAnsi="宋体" w:eastAsia="宋体" w:cs="Times New Roman"/>
          <w:color w:val="auto"/>
          <w:sz w:val="24"/>
          <w:highlight w:val="none"/>
          <w:lang w:eastAsia="zh-CN"/>
        </w:rPr>
        <w:t>）国家税务总局关于发布《纳税人转让不动产增值税征收管理暂行办法》的公告（国家税务总局公告 2016年第14号 ）</w:t>
      </w:r>
    </w:p>
    <w:p>
      <w:pPr>
        <w:snapToGrid w:val="0"/>
        <w:spacing w:line="360" w:lineRule="auto"/>
        <w:ind w:firstLine="480" w:firstLineChars="200"/>
        <w:rPr>
          <w:rFonts w:hint="eastAsia" w:ascii="宋体" w:hAnsi="宋体" w:eastAsia="宋体" w:cs="Times New Roman"/>
          <w:color w:val="auto"/>
          <w:sz w:val="24"/>
          <w:highlight w:val="none"/>
          <w:lang w:eastAsia="zh-CN"/>
        </w:rPr>
      </w:pPr>
      <w:r>
        <w:rPr>
          <w:rFonts w:hint="eastAsia" w:ascii="宋体" w:hAnsi="宋体" w:eastAsia="宋体" w:cs="Times New Roman"/>
          <w:color w:val="auto"/>
          <w:sz w:val="24"/>
          <w:highlight w:val="none"/>
          <w:lang w:eastAsia="zh-CN"/>
        </w:rPr>
        <w:t>（</w:t>
      </w:r>
      <w:r>
        <w:rPr>
          <w:rFonts w:hint="eastAsia" w:ascii="宋体" w:hAnsi="宋体" w:eastAsia="宋体" w:cs="Times New Roman"/>
          <w:color w:val="auto"/>
          <w:sz w:val="24"/>
          <w:highlight w:val="none"/>
          <w:lang w:val="en-US" w:eastAsia="zh-CN"/>
        </w:rPr>
        <w:t>12</w:t>
      </w:r>
      <w:r>
        <w:rPr>
          <w:rFonts w:hint="eastAsia" w:ascii="宋体" w:hAnsi="宋体" w:eastAsia="宋体" w:cs="Times New Roman"/>
          <w:color w:val="auto"/>
          <w:sz w:val="24"/>
          <w:highlight w:val="none"/>
          <w:lang w:eastAsia="zh-CN"/>
        </w:rPr>
        <w:t>）国家税务总局关于发布《纳税人提供不动产经营租赁服务增值税征收管理暂行办法》的公告（国家税务总局公告 2016年第16号）</w:t>
      </w:r>
    </w:p>
    <w:p>
      <w:pPr>
        <w:snapToGrid w:val="0"/>
        <w:spacing w:line="360" w:lineRule="auto"/>
        <w:ind w:firstLine="480" w:firstLineChars="200"/>
        <w:rPr>
          <w:rFonts w:hint="eastAsia" w:ascii="宋体" w:hAnsi="宋体" w:eastAsia="宋体" w:cs="Times New Roman"/>
          <w:color w:val="auto"/>
          <w:sz w:val="24"/>
          <w:highlight w:val="none"/>
          <w:lang w:eastAsia="zh-CN"/>
        </w:rPr>
      </w:pPr>
      <w:r>
        <w:rPr>
          <w:rFonts w:hint="eastAsia" w:ascii="宋体" w:hAnsi="宋体" w:eastAsia="宋体" w:cs="Times New Roman"/>
          <w:color w:val="auto"/>
          <w:sz w:val="24"/>
          <w:highlight w:val="none"/>
          <w:lang w:eastAsia="zh-CN"/>
        </w:rPr>
        <w:t>（</w:t>
      </w:r>
      <w:r>
        <w:rPr>
          <w:rFonts w:hint="eastAsia" w:ascii="宋体" w:hAnsi="宋体" w:eastAsia="宋体" w:cs="Times New Roman"/>
          <w:color w:val="auto"/>
          <w:sz w:val="24"/>
          <w:highlight w:val="none"/>
          <w:lang w:val="en-US" w:eastAsia="zh-CN"/>
        </w:rPr>
        <w:t>13</w:t>
      </w:r>
      <w:r>
        <w:rPr>
          <w:rFonts w:hint="eastAsia" w:ascii="宋体" w:hAnsi="宋体" w:eastAsia="宋体" w:cs="Times New Roman"/>
          <w:color w:val="auto"/>
          <w:sz w:val="24"/>
          <w:highlight w:val="none"/>
          <w:lang w:eastAsia="zh-CN"/>
        </w:rPr>
        <w:t>）《关于调整增值税税率的通知》（财税〔2018〕32号）</w:t>
      </w:r>
    </w:p>
    <w:p>
      <w:pPr>
        <w:snapToGrid w:val="0"/>
        <w:spacing w:line="360" w:lineRule="auto"/>
        <w:ind w:firstLine="480" w:firstLineChars="20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lang w:eastAsia="zh-CN"/>
        </w:rPr>
        <w:t>（</w:t>
      </w:r>
      <w:r>
        <w:rPr>
          <w:rFonts w:hint="eastAsia" w:ascii="宋体" w:hAnsi="宋体" w:eastAsia="宋体" w:cs="Times New Roman"/>
          <w:color w:val="auto"/>
          <w:sz w:val="24"/>
          <w:highlight w:val="none"/>
          <w:lang w:val="en-US" w:eastAsia="zh-CN"/>
        </w:rPr>
        <w:t>14</w:t>
      </w:r>
      <w:r>
        <w:rPr>
          <w:rFonts w:hint="eastAsia" w:ascii="宋体" w:hAnsi="宋体" w:eastAsia="宋体" w:cs="Times New Roman"/>
          <w:color w:val="auto"/>
          <w:sz w:val="24"/>
          <w:highlight w:val="none"/>
          <w:lang w:eastAsia="zh-CN"/>
        </w:rPr>
        <w:t>）《财政部 税务总局 海关总署关于深化增值税改革有关政策的公告》（财政部 税务总局 海关总署公告2019年第39号）</w:t>
      </w:r>
      <w:r>
        <w:rPr>
          <w:rFonts w:hint="eastAsia" w:ascii="宋体" w:hAnsi="宋体" w:eastAsia="宋体" w:cs="Times New Roman"/>
          <w:color w:val="auto"/>
          <w:sz w:val="24"/>
          <w:highlight w:val="none"/>
        </w:rPr>
        <w:t>；</w:t>
      </w:r>
    </w:p>
    <w:p>
      <w:pPr>
        <w:numPr>
          <w:ilvl w:val="0"/>
          <w:numId w:val="0"/>
        </w:num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2、有关技术规程和技术标准依据：</w:t>
      </w:r>
    </w:p>
    <w:p>
      <w:pPr>
        <w:numPr>
          <w:ilvl w:val="0"/>
          <w:numId w:val="0"/>
        </w:num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lang w:val="en-US" w:eastAsia="zh-CN"/>
        </w:rPr>
        <w:t>(1)《房地产估价规范》（GB/T 50291-2015，自2015年12月1日施行）</w:t>
      </w:r>
      <w:r>
        <w:rPr>
          <w:rFonts w:hint="eastAsia" w:ascii="宋体" w:hAnsi="宋体"/>
          <w:color w:val="auto"/>
          <w:sz w:val="24"/>
          <w:highlight w:val="none"/>
        </w:rPr>
        <w:t>；</w:t>
      </w:r>
    </w:p>
    <w:p>
      <w:pPr>
        <w:numPr>
          <w:ilvl w:val="0"/>
          <w:numId w:val="0"/>
        </w:num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lang w:val="en-US" w:eastAsia="zh-CN"/>
        </w:rPr>
        <w:t>(2)《房地产估价基本术语标准》（编号：GB/T50899-2013，自2014年2月1日起实施）</w:t>
      </w:r>
      <w:r>
        <w:rPr>
          <w:rFonts w:hint="eastAsia" w:ascii="宋体" w:hAnsi="宋体"/>
          <w:color w:val="auto"/>
          <w:sz w:val="24"/>
          <w:highlight w:val="none"/>
        </w:rPr>
        <w:t>；</w:t>
      </w:r>
    </w:p>
    <w:p>
      <w:pPr>
        <w:numPr>
          <w:ilvl w:val="0"/>
          <w:numId w:val="0"/>
        </w:numPr>
        <w:spacing w:line="360" w:lineRule="auto"/>
        <w:ind w:firstLine="480" w:firstLineChars="200"/>
        <w:rPr>
          <w:rFonts w:hint="eastAsia" w:ascii="宋体" w:hAnsi="宋体" w:eastAsia="宋体" w:cs="Times New Roman"/>
          <w:color w:val="auto"/>
          <w:sz w:val="24"/>
          <w:highlight w:val="none"/>
          <w:lang w:eastAsia="zh-CN"/>
        </w:rPr>
      </w:pPr>
      <w:r>
        <w:rPr>
          <w:rFonts w:hint="eastAsia" w:ascii="宋体" w:hAnsi="宋体"/>
          <w:color w:val="auto"/>
          <w:sz w:val="24"/>
          <w:highlight w:val="none"/>
          <w:lang w:val="en-US" w:eastAsia="zh-CN"/>
        </w:rPr>
        <w:t>(3)</w:t>
      </w:r>
      <w:r>
        <w:rPr>
          <w:rFonts w:hint="eastAsia" w:ascii="宋体" w:hAnsi="宋体" w:eastAsia="宋体" w:cs="Times New Roman"/>
          <w:color w:val="auto"/>
          <w:sz w:val="24"/>
          <w:highlight w:val="none"/>
          <w:lang w:eastAsia="zh-CN"/>
        </w:rPr>
        <w:t>《房屋完损等级评定标准》（1985年1月1日试行）；</w:t>
      </w:r>
    </w:p>
    <w:p>
      <w:pPr>
        <w:numPr>
          <w:ilvl w:val="0"/>
          <w:numId w:val="0"/>
        </w:numPr>
        <w:spacing w:line="360" w:lineRule="auto"/>
        <w:ind w:firstLine="480" w:firstLineChars="200"/>
        <w:rPr>
          <w:rFonts w:hint="default"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(4)中房学关于印发《涉执房地产处置司法评估指导意见（试行）》的通知中房学〔2021〕37号；</w:t>
      </w:r>
    </w:p>
    <w:p>
      <w:pPr>
        <w:numPr>
          <w:ilvl w:val="0"/>
          <w:numId w:val="0"/>
        </w:num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lang w:val="en-US" w:eastAsia="zh-CN"/>
        </w:rPr>
        <w:t>3</w:t>
      </w:r>
      <w:r>
        <w:rPr>
          <w:rFonts w:hint="eastAsia" w:ascii="宋体" w:hAnsi="宋体"/>
          <w:color w:val="auto"/>
          <w:sz w:val="24"/>
          <w:highlight w:val="none"/>
        </w:rPr>
        <w:t>、</w:t>
      </w:r>
      <w:r>
        <w:rPr>
          <w:rFonts w:hint="eastAsia" w:ascii="宋体" w:hAnsi="宋体"/>
          <w:sz w:val="24"/>
        </w:rPr>
        <w:t>委托方提供的</w:t>
      </w:r>
      <w:r>
        <w:rPr>
          <w:rFonts w:hint="eastAsia" w:ascii="宋体" w:hAnsi="宋体"/>
          <w:color w:val="auto"/>
          <w:sz w:val="24"/>
          <w:highlight w:val="none"/>
          <w:lang w:val="en-US" w:eastAsia="zh-CN"/>
        </w:rPr>
        <w:t>《广东省南澳县人民法院评估委托书》[(2022)汕澳法技鉴字第12号]及《房地产权证》</w:t>
      </w:r>
      <w:r>
        <w:rPr>
          <w:rFonts w:hint="eastAsia" w:hAnsi="宋体"/>
          <w:snapToGrid w:val="0"/>
          <w:color w:val="auto"/>
          <w:sz w:val="24"/>
        </w:rPr>
        <w:t>等</w:t>
      </w:r>
      <w:r>
        <w:rPr>
          <w:rFonts w:hint="eastAsia" w:ascii="宋体" w:hAnsi="宋体"/>
          <w:color w:val="auto"/>
          <w:sz w:val="24"/>
        </w:rPr>
        <w:t>相关房屋面</w:t>
      </w:r>
      <w:r>
        <w:rPr>
          <w:rFonts w:hint="eastAsia" w:ascii="宋体" w:hAnsi="宋体"/>
          <w:sz w:val="24"/>
        </w:rPr>
        <w:t>积数据等复印件及有关证明资料</w:t>
      </w:r>
      <w:r>
        <w:rPr>
          <w:rFonts w:hint="eastAsia" w:ascii="宋体" w:hAnsi="宋体"/>
          <w:color w:val="auto"/>
          <w:sz w:val="24"/>
          <w:highlight w:val="none"/>
        </w:rPr>
        <w:t>；</w:t>
      </w:r>
    </w:p>
    <w:p>
      <w:pPr>
        <w:numPr>
          <w:ilvl w:val="0"/>
          <w:numId w:val="0"/>
        </w:num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lang w:val="en-US" w:eastAsia="zh-CN"/>
        </w:rPr>
        <w:t>4</w:t>
      </w:r>
      <w:r>
        <w:rPr>
          <w:rFonts w:hint="eastAsia" w:ascii="宋体" w:hAnsi="宋体"/>
          <w:color w:val="auto"/>
          <w:sz w:val="24"/>
          <w:highlight w:val="none"/>
        </w:rPr>
        <w:t>、估价机构和估价人员掌握和搜集的有关资料。</w:t>
      </w:r>
    </w:p>
    <w:bookmarkEnd w:id="73"/>
    <w:bookmarkEnd w:id="74"/>
    <w:bookmarkEnd w:id="75"/>
    <w:bookmarkEnd w:id="76"/>
    <w:bookmarkEnd w:id="77"/>
    <w:p>
      <w:pPr>
        <w:pStyle w:val="3"/>
        <w:spacing w:before="157" w:after="0" w:line="360" w:lineRule="auto"/>
        <w:rPr>
          <w:rFonts w:hint="default" w:ascii="宋体" w:hAnsi="宋体" w:eastAsia="宋体"/>
          <w:color w:val="FF0000"/>
          <w:sz w:val="24"/>
          <w:highlight w:val="none"/>
        </w:rPr>
      </w:pPr>
      <w:bookmarkStart w:id="78" w:name="_Toc40186498"/>
      <w:bookmarkStart w:id="79" w:name="_Toc337642435"/>
      <w:bookmarkStart w:id="80" w:name="_Toc102185281"/>
      <w:bookmarkStart w:id="81" w:name="_Toc172481246"/>
      <w:bookmarkStart w:id="82" w:name="_Toc165264288"/>
      <w:bookmarkStart w:id="83" w:name="_Toc10049"/>
      <w:r>
        <w:rPr>
          <w:rFonts w:hint="default" w:ascii="宋体" w:hAnsi="宋体" w:eastAsia="宋体"/>
          <w:color w:val="auto"/>
          <w:sz w:val="24"/>
          <w:highlight w:val="none"/>
        </w:rPr>
        <w:t>（九）估价方法</w:t>
      </w:r>
      <w:bookmarkEnd w:id="78"/>
      <w:bookmarkEnd w:id="79"/>
      <w:bookmarkEnd w:id="80"/>
      <w:bookmarkEnd w:id="81"/>
      <w:bookmarkEnd w:id="82"/>
      <w:bookmarkEnd w:id="83"/>
      <w:bookmarkStart w:id="84" w:name="_Toc40186499"/>
      <w:bookmarkStart w:id="85" w:name="_Toc172481247"/>
      <w:bookmarkStart w:id="86" w:name="_Toc102185282"/>
      <w:bookmarkStart w:id="87" w:name="_Toc165264289"/>
    </w:p>
    <w:p>
      <w:pPr>
        <w:numPr>
          <w:ilvl w:val="0"/>
          <w:numId w:val="0"/>
        </w:numPr>
        <w:spacing w:line="360" w:lineRule="auto"/>
        <w:ind w:left="0" w:firstLine="480" w:firstLineChars="200"/>
        <w:rPr>
          <w:rFonts w:hint="eastAsia" w:ascii="宋体" w:hAnsi="宋体" w:eastAsia="宋体" w:cs="Times New Roman"/>
          <w:color w:val="auto"/>
          <w:sz w:val="24"/>
          <w:highlight w:val="none"/>
          <w:lang w:eastAsia="zh-CN"/>
        </w:rPr>
      </w:pPr>
      <w:r>
        <w:rPr>
          <w:rFonts w:hint="eastAsia" w:ascii="宋体" w:hAnsi="宋体" w:eastAsia="宋体" w:cs="Times New Roman"/>
          <w:color w:val="auto"/>
          <w:sz w:val="24"/>
          <w:highlight w:val="none"/>
          <w:lang w:eastAsia="zh-CN"/>
        </w:rPr>
        <w:t>1.估价方法适用性分析</w:t>
      </w:r>
    </w:p>
    <w:p>
      <w:pPr>
        <w:numPr>
          <w:ilvl w:val="0"/>
          <w:numId w:val="0"/>
        </w:numPr>
        <w:spacing w:line="360" w:lineRule="auto"/>
        <w:ind w:left="0" w:firstLine="480" w:firstLineChars="200"/>
        <w:rPr>
          <w:rFonts w:hint="eastAsia" w:ascii="宋体" w:hAnsi="宋体" w:eastAsia="宋体" w:cs="Times New Roman"/>
          <w:color w:val="auto"/>
          <w:sz w:val="24"/>
          <w:highlight w:val="none"/>
          <w:lang w:eastAsia="zh-CN"/>
        </w:rPr>
      </w:pPr>
      <w:r>
        <w:rPr>
          <w:rFonts w:hint="eastAsia" w:ascii="宋体" w:hAnsi="宋体" w:eastAsia="宋体" w:cs="Times New Roman"/>
          <w:color w:val="auto"/>
          <w:sz w:val="24"/>
          <w:highlight w:val="none"/>
          <w:lang w:eastAsia="zh-CN"/>
        </w:rPr>
        <w:t>根据《房地产估价规范》，常见的估价方法有比较法、收益法、成本法、假设开发法（剩余法）等。估价方法的选择应按照房地产评估的技术规程，根据本地区房地产市场发育情况并结合估价对象的具体特点及估价目的等，在遵循估价原则的前提下，采用科学、合理的方法进行评估测算，上述方法的适用范围如下：</w:t>
      </w:r>
    </w:p>
    <w:p>
      <w:pPr>
        <w:numPr>
          <w:ilvl w:val="0"/>
          <w:numId w:val="0"/>
        </w:numPr>
        <w:spacing w:line="360" w:lineRule="auto"/>
        <w:ind w:left="0" w:firstLine="480" w:firstLineChars="200"/>
        <w:rPr>
          <w:rFonts w:hint="eastAsia" w:ascii="宋体" w:hAnsi="宋体" w:eastAsia="宋体" w:cs="Times New Roman"/>
          <w:color w:val="auto"/>
          <w:sz w:val="24"/>
          <w:highlight w:val="none"/>
          <w:lang w:eastAsia="zh-CN"/>
        </w:rPr>
      </w:pPr>
      <w:r>
        <w:rPr>
          <w:rFonts w:hint="eastAsia" w:ascii="宋体" w:hAnsi="宋体" w:eastAsia="宋体" w:cs="Times New Roman"/>
          <w:color w:val="auto"/>
          <w:sz w:val="24"/>
          <w:highlight w:val="none"/>
          <w:lang w:eastAsia="zh-CN"/>
        </w:rPr>
        <w:t>（</w:t>
      </w:r>
      <w:r>
        <w:rPr>
          <w:rFonts w:hint="eastAsia" w:ascii="宋体" w:hAnsi="宋体" w:eastAsia="宋体" w:cs="Times New Roman"/>
          <w:color w:val="auto"/>
          <w:sz w:val="24"/>
          <w:highlight w:val="none"/>
          <w:lang w:val="en-US" w:eastAsia="zh-CN"/>
        </w:rPr>
        <w:t>1</w:t>
      </w:r>
      <w:r>
        <w:rPr>
          <w:rFonts w:hint="eastAsia" w:ascii="宋体" w:hAnsi="宋体" w:eastAsia="宋体" w:cs="Times New Roman"/>
          <w:color w:val="auto"/>
          <w:sz w:val="24"/>
          <w:highlight w:val="none"/>
          <w:lang w:eastAsia="zh-CN"/>
        </w:rPr>
        <w:t>）比较法也称为交易实例比较法，是选取一定数量、符合一定条件、发生过交易的类似房地产，然后将它们与估价对象进行比较，对它们的实际成交价格进行适当处理来求取估价对象价值的方法。比较法适用的估价对象是同种类型的数量较多且经常发生交易的房地产。</w:t>
      </w:r>
    </w:p>
    <w:p>
      <w:pPr>
        <w:numPr>
          <w:ilvl w:val="0"/>
          <w:numId w:val="0"/>
        </w:numPr>
        <w:spacing w:line="360" w:lineRule="auto"/>
        <w:ind w:left="0" w:firstLine="480" w:firstLineChars="200"/>
        <w:rPr>
          <w:rFonts w:hint="eastAsia" w:ascii="宋体" w:hAnsi="宋体" w:eastAsia="宋体" w:cs="Times New Roman"/>
          <w:color w:val="auto"/>
          <w:sz w:val="24"/>
          <w:highlight w:val="none"/>
          <w:lang w:eastAsia="zh-CN"/>
        </w:rPr>
      </w:pPr>
      <w:r>
        <w:rPr>
          <w:rFonts w:hint="eastAsia" w:ascii="宋体" w:hAnsi="宋体" w:eastAsia="宋体" w:cs="Times New Roman"/>
          <w:color w:val="auto"/>
          <w:sz w:val="24"/>
          <w:highlight w:val="none"/>
          <w:lang w:eastAsia="zh-CN"/>
        </w:rPr>
        <w:t>（</w:t>
      </w:r>
      <w:r>
        <w:rPr>
          <w:rFonts w:hint="eastAsia" w:ascii="宋体" w:hAnsi="宋体" w:eastAsia="宋体" w:cs="Times New Roman"/>
          <w:color w:val="auto"/>
          <w:sz w:val="24"/>
          <w:highlight w:val="none"/>
          <w:lang w:val="en-US" w:eastAsia="zh-CN"/>
        </w:rPr>
        <w:t>2</w:t>
      </w:r>
      <w:r>
        <w:rPr>
          <w:rFonts w:hint="eastAsia" w:ascii="宋体" w:hAnsi="宋体" w:eastAsia="宋体" w:cs="Times New Roman"/>
          <w:color w:val="auto"/>
          <w:sz w:val="24"/>
          <w:highlight w:val="none"/>
          <w:lang w:eastAsia="zh-CN"/>
        </w:rPr>
        <w:t>）收益法也称收益还原法，是预测估价对象的未来收益，然后将其转换为价值来求取估价对象价值的方法。收益法适用的估价对象是有经济收益或有潜在经济收益的房地产。</w:t>
      </w:r>
    </w:p>
    <w:p>
      <w:pPr>
        <w:numPr>
          <w:ilvl w:val="0"/>
          <w:numId w:val="0"/>
        </w:numPr>
        <w:spacing w:line="360" w:lineRule="auto"/>
        <w:ind w:left="0" w:firstLine="480" w:firstLineChars="200"/>
        <w:rPr>
          <w:rFonts w:hint="eastAsia" w:ascii="宋体" w:hAnsi="宋体" w:eastAsia="宋体" w:cs="Times New Roman"/>
          <w:color w:val="auto"/>
          <w:sz w:val="24"/>
          <w:highlight w:val="none"/>
          <w:lang w:eastAsia="zh-CN"/>
        </w:rPr>
      </w:pPr>
      <w:r>
        <w:rPr>
          <w:rFonts w:hint="eastAsia" w:ascii="宋体" w:hAnsi="宋体" w:eastAsia="宋体" w:cs="Times New Roman"/>
          <w:color w:val="auto"/>
          <w:sz w:val="24"/>
          <w:highlight w:val="none"/>
          <w:lang w:eastAsia="zh-CN"/>
        </w:rPr>
        <w:t>（</w:t>
      </w:r>
      <w:r>
        <w:rPr>
          <w:rFonts w:hint="eastAsia" w:ascii="宋体" w:hAnsi="宋体" w:eastAsia="宋体" w:cs="Times New Roman"/>
          <w:color w:val="auto"/>
          <w:sz w:val="24"/>
          <w:highlight w:val="none"/>
          <w:lang w:val="en-US" w:eastAsia="zh-CN"/>
        </w:rPr>
        <w:t>3</w:t>
      </w:r>
      <w:r>
        <w:rPr>
          <w:rFonts w:hint="eastAsia" w:ascii="宋体" w:hAnsi="宋体" w:eastAsia="宋体" w:cs="Times New Roman"/>
          <w:color w:val="auto"/>
          <w:sz w:val="24"/>
          <w:highlight w:val="none"/>
          <w:lang w:eastAsia="zh-CN"/>
        </w:rPr>
        <w:t>）成本法是求取估价对象在价值时点的重新购建价格和折旧，然后将重新购建价格减去折旧来求取估价对象的方法。重新购建价格是指假设在价值时点重新取得全新状况的估价对象的必要支出，或者重新开发建设全新状况的估价对象的必要支出及应得利润。折旧是指各种原因造成的估价对象价值的实际减损，其金额为估价对象在价值时点的市场价值与在价值时点的重新购建价格之差。成本法适用的估价对象包括很少发生交易而限制了比较法的运用，又没有经济收益或没有潜在经济收益而限制了收益法运用的房地产。</w:t>
      </w:r>
    </w:p>
    <w:p>
      <w:pPr>
        <w:numPr>
          <w:ilvl w:val="0"/>
          <w:numId w:val="0"/>
        </w:numPr>
        <w:spacing w:line="360" w:lineRule="auto"/>
        <w:ind w:left="0" w:firstLine="480" w:firstLineChars="200"/>
        <w:rPr>
          <w:rFonts w:hint="eastAsia" w:ascii="宋体" w:hAnsi="宋体" w:eastAsia="宋体" w:cs="Times New Roman"/>
          <w:color w:val="auto"/>
          <w:sz w:val="24"/>
          <w:highlight w:val="none"/>
          <w:lang w:eastAsia="zh-CN"/>
        </w:rPr>
      </w:pPr>
      <w:r>
        <w:rPr>
          <w:rFonts w:hint="eastAsia" w:ascii="宋体" w:hAnsi="宋体" w:eastAsia="宋体" w:cs="Times New Roman"/>
          <w:color w:val="auto"/>
          <w:sz w:val="24"/>
          <w:highlight w:val="none"/>
          <w:lang w:eastAsia="zh-CN"/>
        </w:rPr>
        <w:t>（</w:t>
      </w:r>
      <w:r>
        <w:rPr>
          <w:rFonts w:hint="eastAsia" w:ascii="宋体" w:hAnsi="宋体" w:eastAsia="宋体" w:cs="Times New Roman"/>
          <w:color w:val="auto"/>
          <w:sz w:val="24"/>
          <w:highlight w:val="none"/>
          <w:lang w:val="en-US" w:eastAsia="zh-CN"/>
        </w:rPr>
        <w:t>4</w:t>
      </w:r>
      <w:r>
        <w:rPr>
          <w:rFonts w:hint="eastAsia" w:ascii="宋体" w:hAnsi="宋体" w:eastAsia="宋体" w:cs="Times New Roman"/>
          <w:color w:val="auto"/>
          <w:sz w:val="24"/>
          <w:highlight w:val="none"/>
          <w:lang w:eastAsia="zh-CN"/>
        </w:rPr>
        <w:t>）假设开发法也称剩余法、预期开发法、开发法，是预测估价对象开发完成后的价值和后续开发建设的必要支出及应得利润，然后将估价对象开发完成后的价值减去后续开发建设的必要支出及应得利润来求取估价对象价值的方法。凡是具有开发或再开发潜力并且其开发完成后的价值可采用比较法、收益法等方法求取的房地产，都适用假设开发法估价。</w:t>
      </w:r>
    </w:p>
    <w:p>
      <w:pPr>
        <w:numPr>
          <w:ilvl w:val="0"/>
          <w:numId w:val="0"/>
        </w:numPr>
        <w:spacing w:line="360" w:lineRule="auto"/>
        <w:ind w:left="0" w:firstLine="480" w:firstLineChars="200"/>
        <w:rPr>
          <w:rFonts w:hint="eastAsia" w:ascii="宋体" w:hAnsi="宋体" w:eastAsia="宋体" w:cs="Times New Roman"/>
          <w:color w:val="auto"/>
          <w:sz w:val="24"/>
          <w:highlight w:val="none"/>
          <w:lang w:eastAsia="zh-CN"/>
        </w:rPr>
      </w:pPr>
      <w:r>
        <w:rPr>
          <w:rFonts w:hint="eastAsia" w:ascii="宋体" w:hAnsi="宋体" w:eastAsia="宋体" w:cs="Times New Roman"/>
          <w:color w:val="auto"/>
          <w:sz w:val="24"/>
          <w:highlight w:val="none"/>
          <w:lang w:eastAsia="zh-CN"/>
        </w:rPr>
        <w:t>2.估价方法的选用分析</w:t>
      </w:r>
    </w:p>
    <w:p>
      <w:pPr>
        <w:spacing w:line="360" w:lineRule="auto"/>
        <w:ind w:firstLine="480" w:firstLineChars="200"/>
        <w:rPr>
          <w:rFonts w:hint="eastAsia" w:ascii="宋体" w:hAnsi="宋体"/>
          <w:color w:val="auto"/>
          <w:sz w:val="24"/>
        </w:rPr>
      </w:pPr>
      <w:r>
        <w:rPr>
          <w:rFonts w:hint="eastAsia" w:ascii="宋体" w:hAnsi="宋体"/>
          <w:color w:val="auto"/>
          <w:sz w:val="24"/>
        </w:rPr>
        <w:t>（1）估价对象</w:t>
      </w:r>
      <w:r>
        <w:rPr>
          <w:rFonts w:hint="eastAsia" w:ascii="宋体" w:hAnsi="宋体"/>
          <w:color w:val="auto"/>
          <w:sz w:val="24"/>
          <w:lang w:val="en-US" w:eastAsia="zh-CN"/>
        </w:rPr>
        <w:t>房屋用途为住宅，1301、1302、1303、1401目前出租中，1501空置且无外墙及装修，受其特点限制并受近年来疫情对该类住宅地产的影响，</w:t>
      </w:r>
      <w:r>
        <w:rPr>
          <w:rFonts w:hint="eastAsia" w:ascii="宋体" w:hAnsi="宋体"/>
          <w:color w:val="auto"/>
          <w:sz w:val="24"/>
        </w:rPr>
        <w:t>同一供求圈内同类房地产</w:t>
      </w:r>
      <w:r>
        <w:rPr>
          <w:rFonts w:hint="eastAsia" w:ascii="宋体" w:hAnsi="宋体"/>
          <w:color w:val="auto"/>
          <w:sz w:val="24"/>
          <w:lang w:eastAsia="zh-CN"/>
        </w:rPr>
        <w:t>存在极少</w:t>
      </w:r>
      <w:r>
        <w:rPr>
          <w:rFonts w:hint="eastAsia" w:ascii="宋体" w:hAnsi="宋体"/>
          <w:color w:val="auto"/>
          <w:sz w:val="24"/>
        </w:rPr>
        <w:t>的销售、转让案例，</w:t>
      </w:r>
      <w:r>
        <w:rPr>
          <w:rFonts w:hint="eastAsia" w:ascii="宋体" w:hAnsi="宋体"/>
          <w:color w:val="auto"/>
          <w:sz w:val="24"/>
          <w:lang w:eastAsia="zh-CN"/>
        </w:rPr>
        <w:t>且</w:t>
      </w:r>
      <w:r>
        <w:rPr>
          <w:rFonts w:hint="eastAsia" w:ascii="宋体" w:hAnsi="宋体"/>
          <w:color w:val="auto"/>
          <w:sz w:val="24"/>
        </w:rPr>
        <w:t>同一供需圈近期类似案例较</w:t>
      </w:r>
      <w:r>
        <w:rPr>
          <w:rFonts w:hint="eastAsia" w:ascii="宋体" w:hAnsi="宋体"/>
          <w:color w:val="auto"/>
          <w:sz w:val="24"/>
          <w:lang w:eastAsia="zh-CN"/>
        </w:rPr>
        <w:t>少</w:t>
      </w:r>
      <w:r>
        <w:rPr>
          <w:rFonts w:hint="eastAsia" w:ascii="宋体" w:hAnsi="宋体"/>
          <w:color w:val="auto"/>
          <w:sz w:val="24"/>
        </w:rPr>
        <w:t>，</w:t>
      </w:r>
      <w:r>
        <w:rPr>
          <w:rFonts w:hint="eastAsia" w:ascii="宋体" w:hAnsi="宋体"/>
          <w:color w:val="auto"/>
          <w:sz w:val="24"/>
          <w:lang w:eastAsia="zh-CN"/>
        </w:rPr>
        <w:t>故不</w:t>
      </w:r>
      <w:r>
        <w:rPr>
          <w:rFonts w:hint="eastAsia" w:ascii="宋体" w:hAnsi="宋体"/>
          <w:color w:val="auto"/>
          <w:sz w:val="24"/>
        </w:rPr>
        <w:t>宜采用比较法。</w:t>
      </w:r>
    </w:p>
    <w:p>
      <w:pPr>
        <w:spacing w:line="360" w:lineRule="auto"/>
        <w:ind w:firstLine="480" w:firstLineChars="200"/>
        <w:rPr>
          <w:rFonts w:hint="eastAsia" w:ascii="宋体" w:hAnsi="宋体"/>
          <w:sz w:val="24"/>
        </w:rPr>
      </w:pPr>
      <w:r>
        <w:rPr>
          <w:rFonts w:hint="eastAsia" w:ascii="宋体" w:hAnsi="宋体"/>
          <w:sz w:val="24"/>
        </w:rPr>
        <w:t>（2）</w:t>
      </w:r>
      <w:r>
        <w:rPr>
          <w:rFonts w:hint="eastAsia" w:ascii="宋体" w:hAnsi="宋体" w:eastAsia="宋体" w:cs="Times New Roman"/>
          <w:b w:val="0"/>
          <w:bCs w:val="0"/>
          <w:color w:val="auto"/>
          <w:sz w:val="24"/>
          <w:highlight w:val="none"/>
          <w:lang w:eastAsia="zh-CN"/>
        </w:rPr>
        <w:t>估价对象及周边类似物业</w:t>
      </w:r>
      <w:r>
        <w:rPr>
          <w:rFonts w:hint="eastAsia" w:ascii="宋体" w:hAnsi="宋体" w:cs="Times New Roman"/>
          <w:b w:val="0"/>
          <w:bCs w:val="0"/>
          <w:color w:val="auto"/>
          <w:sz w:val="24"/>
          <w:highlight w:val="none"/>
          <w:lang w:eastAsia="zh-CN"/>
        </w:rPr>
        <w:t>多</w:t>
      </w:r>
      <w:r>
        <w:rPr>
          <w:rFonts w:hint="eastAsia" w:ascii="宋体" w:hAnsi="宋体" w:eastAsia="宋体" w:cs="Times New Roman"/>
          <w:b w:val="0"/>
          <w:bCs w:val="0"/>
          <w:color w:val="auto"/>
          <w:sz w:val="24"/>
          <w:highlight w:val="none"/>
          <w:lang w:eastAsia="zh-CN"/>
        </w:rPr>
        <w:t>做为</w:t>
      </w:r>
      <w:r>
        <w:rPr>
          <w:rFonts w:hint="eastAsia" w:ascii="宋体" w:hAnsi="宋体" w:cs="Times New Roman"/>
          <w:b w:val="0"/>
          <w:bCs w:val="0"/>
          <w:color w:val="auto"/>
          <w:sz w:val="24"/>
          <w:highlight w:val="none"/>
          <w:lang w:eastAsia="zh-CN"/>
        </w:rPr>
        <w:t>出租</w:t>
      </w:r>
      <w:r>
        <w:rPr>
          <w:rFonts w:hint="eastAsia" w:ascii="宋体" w:hAnsi="宋体" w:eastAsia="宋体" w:cs="Times New Roman"/>
          <w:b w:val="0"/>
          <w:bCs w:val="0"/>
          <w:color w:val="auto"/>
          <w:sz w:val="24"/>
          <w:highlight w:val="none"/>
          <w:lang w:eastAsia="zh-CN"/>
        </w:rPr>
        <w:t>经营，存在明显的预期收益或潜在收益，且周边类似租赁案例较多，客观租金水平可求取，故适合采用收益法。</w:t>
      </w:r>
    </w:p>
    <w:p>
      <w:pPr>
        <w:spacing w:line="360" w:lineRule="auto"/>
        <w:ind w:firstLine="480" w:firstLineChars="200"/>
        <w:rPr>
          <w:rFonts w:hint="eastAsia" w:ascii="宋体" w:hAnsi="宋体"/>
          <w:sz w:val="24"/>
        </w:rPr>
      </w:pPr>
      <w:r>
        <w:rPr>
          <w:rFonts w:hint="eastAsia" w:ascii="宋体" w:hAnsi="宋体"/>
          <w:sz w:val="24"/>
        </w:rPr>
        <w:t>（3）估价对象为整体开发楼盘中的某一套，因无独立占地（仅为分摊用地面积，楼盘地面以下为全体业主共用），不具有重新开发前提，故假设开发不可使用。</w:t>
      </w:r>
    </w:p>
    <w:p>
      <w:pPr>
        <w:spacing w:line="360" w:lineRule="auto"/>
        <w:ind w:firstLine="480" w:firstLineChars="200"/>
        <w:rPr>
          <w:rFonts w:hint="eastAsia" w:ascii="宋体" w:hAnsi="宋体"/>
          <w:sz w:val="24"/>
        </w:rPr>
      </w:pPr>
      <w:r>
        <w:rPr>
          <w:rFonts w:hint="eastAsia" w:ascii="宋体" w:hAnsi="宋体"/>
          <w:sz w:val="24"/>
        </w:rPr>
        <w:t>（4）成本法的使用需进行房地分估测算，对分摊用地评估理论上可采用基准地价修正法及市场比较法进行测算，但基准地价偏向于税收及政府的有关土地管理，若采用必会造成最终的估价结果偏低而损害被执行人的合理权益，市场比较法则因无可比性案例而作罢（市场上无面积规模相当的住宅用地交易行为）。</w:t>
      </w:r>
    </w:p>
    <w:p>
      <w:pPr>
        <w:numPr>
          <w:ilvl w:val="0"/>
          <w:numId w:val="0"/>
        </w:numPr>
        <w:spacing w:line="360" w:lineRule="auto"/>
        <w:ind w:left="0" w:firstLine="480" w:firstLineChars="200"/>
        <w:rPr>
          <w:rFonts w:hint="eastAsia" w:ascii="宋体" w:hAnsi="宋体" w:eastAsia="宋体" w:cs="Times New Roman"/>
          <w:color w:val="auto"/>
          <w:sz w:val="24"/>
          <w:highlight w:val="none"/>
          <w:lang w:eastAsia="zh-CN"/>
        </w:rPr>
      </w:pPr>
      <w:r>
        <w:rPr>
          <w:rFonts w:hint="eastAsia" w:ascii="宋体" w:hAnsi="宋体"/>
          <w:sz w:val="24"/>
        </w:rPr>
        <w:t>从上述分析中可知，我司估价人员是在遵守“独立、客观、公正”的估价原则下，认真分析所掌握的资料并对估价对象进行实地查勘后，根据估价对象的特点及本身的实际情况，遵照国家标准《房地产估价规范》，选择</w:t>
      </w:r>
      <w:r>
        <w:rPr>
          <w:rFonts w:hint="eastAsia" w:ascii="宋体" w:hAnsi="宋体"/>
          <w:b/>
          <w:bCs/>
          <w:sz w:val="24"/>
          <w:lang w:eastAsia="zh-CN"/>
        </w:rPr>
        <w:t>收益</w:t>
      </w:r>
      <w:r>
        <w:rPr>
          <w:rFonts w:hint="eastAsia" w:ascii="宋体" w:hAnsi="宋体"/>
          <w:b/>
          <w:bCs/>
          <w:sz w:val="24"/>
        </w:rPr>
        <w:t>法</w:t>
      </w:r>
      <w:r>
        <w:rPr>
          <w:rFonts w:hint="eastAsia" w:ascii="宋体" w:hAnsi="宋体"/>
          <w:sz w:val="24"/>
        </w:rPr>
        <w:t>作为本次估价的测算方法</w:t>
      </w:r>
      <w:r>
        <w:rPr>
          <w:rFonts w:hint="eastAsia" w:ascii="宋体" w:hAnsi="宋体" w:eastAsia="宋体" w:cs="Times New Roman"/>
          <w:b w:val="0"/>
          <w:bCs w:val="0"/>
          <w:color w:val="auto"/>
          <w:sz w:val="24"/>
          <w:highlight w:val="none"/>
          <w:lang w:eastAsia="zh-CN"/>
        </w:rPr>
        <w:t>。</w:t>
      </w:r>
    </w:p>
    <w:p>
      <w:pPr>
        <w:pStyle w:val="3"/>
        <w:spacing w:before="120" w:beforeLines="50" w:after="0" w:line="360" w:lineRule="auto"/>
        <w:ind w:left="198"/>
        <w:rPr>
          <w:rFonts w:hint="eastAsia" w:ascii="宋体" w:hAnsi="宋体" w:eastAsia="宋体"/>
          <w:color w:val="auto"/>
          <w:sz w:val="24"/>
          <w:highlight w:val="none"/>
        </w:rPr>
      </w:pPr>
      <w:bookmarkStart w:id="88" w:name="_Toc337642436"/>
      <w:bookmarkStart w:id="89" w:name="_Toc25366"/>
      <w:r>
        <w:rPr>
          <w:rFonts w:hint="eastAsia" w:ascii="宋体" w:hAnsi="宋体" w:eastAsia="宋体"/>
          <w:color w:val="auto"/>
          <w:sz w:val="24"/>
          <w:highlight w:val="none"/>
        </w:rPr>
        <w:t>（十）估价结果</w:t>
      </w:r>
      <w:bookmarkEnd w:id="84"/>
      <w:bookmarkEnd w:id="85"/>
      <w:bookmarkEnd w:id="86"/>
      <w:bookmarkEnd w:id="87"/>
      <w:bookmarkEnd w:id="88"/>
      <w:bookmarkEnd w:id="89"/>
      <w:bookmarkStart w:id="90" w:name="_Toc40186500"/>
    </w:p>
    <w:p>
      <w:pPr>
        <w:spacing w:line="360" w:lineRule="auto"/>
        <w:ind w:firstLine="480" w:firstLineChars="200"/>
        <w:rPr>
          <w:rFonts w:hint="eastAsia" w:ascii="宋体" w:hAnsi="宋体"/>
          <w:color w:val="auto"/>
          <w:sz w:val="24"/>
          <w:highlight w:val="none"/>
        </w:rPr>
      </w:pPr>
      <w:bookmarkStart w:id="91" w:name="_Toc337642437"/>
      <w:bookmarkStart w:id="92" w:name="_Toc165264290"/>
      <w:bookmarkStart w:id="93" w:name="_Toc172481248"/>
      <w:bookmarkStart w:id="94" w:name="_Toc102185283"/>
      <w:r>
        <w:rPr>
          <w:rFonts w:hint="eastAsia" w:ascii="宋体" w:hAnsi="宋体"/>
          <w:color w:val="auto"/>
          <w:sz w:val="24"/>
          <w:highlight w:val="none"/>
        </w:rPr>
        <w:t>估价人员根据</w:t>
      </w:r>
      <w:r>
        <w:rPr>
          <w:rFonts w:hint="eastAsia" w:ascii="宋体" w:hAnsi="宋体"/>
          <w:snapToGrid w:val="0"/>
          <w:color w:val="auto"/>
          <w:kern w:val="0"/>
          <w:sz w:val="24"/>
          <w:szCs w:val="24"/>
        </w:rPr>
        <w:t>国家有关房地产估价的法律法规和</w:t>
      </w:r>
      <w:r>
        <w:rPr>
          <w:rFonts w:hint="eastAsia" w:ascii="宋体" w:hAnsi="宋体"/>
          <w:color w:val="auto"/>
          <w:sz w:val="24"/>
          <w:highlight w:val="none"/>
        </w:rPr>
        <w:t>估价目的、遵循估价原则、按照估价工作程序、在认真分析现有资料，</w:t>
      </w:r>
      <w:r>
        <w:rPr>
          <w:rFonts w:hint="eastAsia" w:ascii="宋体" w:hAnsi="宋体"/>
          <w:snapToGrid w:val="0"/>
          <w:color w:val="auto"/>
          <w:kern w:val="0"/>
          <w:sz w:val="24"/>
          <w:szCs w:val="24"/>
          <w:lang w:eastAsia="zh-CN"/>
        </w:rPr>
        <w:t>运用收益法，经过周密准确的测算</w:t>
      </w:r>
      <w:r>
        <w:rPr>
          <w:rFonts w:hint="eastAsia" w:ascii="宋体" w:hAnsi="宋体"/>
          <w:color w:val="auto"/>
          <w:sz w:val="24"/>
          <w:highlight w:val="none"/>
        </w:rPr>
        <w:t>，并结合估价经验，详细考虑了影响房地产价格的各项因素之后，</w:t>
      </w:r>
      <w:r>
        <w:rPr>
          <w:rFonts w:hint="eastAsia" w:ascii="宋体" w:hAnsi="宋体" w:cs="宋体"/>
          <w:color w:val="auto"/>
          <w:sz w:val="24"/>
          <w:highlight w:val="none"/>
        </w:rPr>
        <w:t>确定估价对象</w:t>
      </w:r>
      <w:r>
        <w:rPr>
          <w:rFonts w:hint="eastAsia" w:ascii="宋体" w:hAnsi="宋体" w:cs="宋体"/>
          <w:color w:val="auto"/>
          <w:sz w:val="24"/>
          <w:highlight w:val="none"/>
          <w:lang w:val="en-US" w:eastAsia="zh-CN"/>
        </w:rPr>
        <w:t>规划用途划拨条件下</w:t>
      </w:r>
      <w:r>
        <w:rPr>
          <w:rFonts w:hint="eastAsia" w:ascii="宋体" w:hAnsi="宋体" w:cs="宋体"/>
          <w:color w:val="auto"/>
          <w:sz w:val="24"/>
          <w:highlight w:val="none"/>
        </w:rPr>
        <w:t>在价值时点</w:t>
      </w:r>
      <w:r>
        <w:rPr>
          <w:rFonts w:hint="eastAsia" w:ascii="宋体" w:hAnsi="宋体" w:cs="宋体"/>
          <w:color w:val="auto"/>
          <w:sz w:val="24"/>
          <w:highlight w:val="none"/>
          <w:lang w:eastAsia="zh-CN"/>
        </w:rPr>
        <w:t>2022年8月2日</w:t>
      </w:r>
      <w:r>
        <w:rPr>
          <w:rFonts w:hint="eastAsia" w:ascii="宋体" w:hAnsi="宋体" w:cs="宋体"/>
          <w:color w:val="auto"/>
          <w:sz w:val="24"/>
          <w:highlight w:val="none"/>
        </w:rPr>
        <w:t>的公开市场价格为</w:t>
      </w:r>
      <w:r>
        <w:rPr>
          <w:rFonts w:hint="eastAsia" w:ascii="宋体" w:hAnsi="宋体"/>
          <w:color w:val="auto"/>
          <w:sz w:val="24"/>
          <w:highlight w:val="none"/>
          <w:lang w:eastAsia="zh-CN"/>
        </w:rPr>
        <w:t>RMB</w:t>
      </w:r>
      <w:r>
        <w:rPr>
          <w:rFonts w:hint="eastAsia" w:ascii="宋体" w:hAnsi="宋体"/>
          <w:color w:val="auto"/>
          <w:sz w:val="24"/>
          <w:lang w:val="en-US" w:eastAsia="zh-CN"/>
        </w:rPr>
        <w:t>457.14</w:t>
      </w:r>
      <w:r>
        <w:rPr>
          <w:rFonts w:hint="eastAsia" w:ascii="宋体" w:hAnsi="宋体"/>
          <w:color w:val="auto"/>
          <w:sz w:val="24"/>
          <w:highlight w:val="none"/>
        </w:rPr>
        <w:t>万元，</w:t>
      </w:r>
      <w:r>
        <w:rPr>
          <w:rFonts w:hint="eastAsia" w:ascii="宋体" w:hAnsi="宋体"/>
          <w:color w:val="auto"/>
          <w:sz w:val="24"/>
          <w:highlight w:val="none"/>
          <w:lang w:eastAsia="zh-CN"/>
        </w:rPr>
        <w:t>大写人民</w:t>
      </w:r>
      <w:r>
        <w:rPr>
          <w:rFonts w:hint="eastAsia" w:ascii="宋体" w:hAnsi="宋体"/>
          <w:color w:val="auto"/>
          <w:sz w:val="24"/>
          <w:highlight w:val="none"/>
          <w:lang w:val="en-US" w:eastAsia="zh-CN"/>
        </w:rPr>
        <w:t>币肆佰伍拾柒万壹仟肆佰元</w:t>
      </w:r>
      <w:r>
        <w:rPr>
          <w:rFonts w:hint="eastAsia" w:ascii="宋体" w:hAnsi="宋体"/>
          <w:color w:val="auto"/>
          <w:sz w:val="24"/>
          <w:highlight w:val="none"/>
          <w:lang w:eastAsia="zh-CN"/>
        </w:rPr>
        <w:t>整，详见《估价结果明细表》</w:t>
      </w:r>
      <w:r>
        <w:rPr>
          <w:rFonts w:hint="eastAsia" w:ascii="宋体" w:hAnsi="宋体"/>
          <w:color w:val="auto"/>
          <w:sz w:val="24"/>
          <w:highlight w:val="none"/>
        </w:rPr>
        <w:t>。</w:t>
      </w:r>
    </w:p>
    <w:p>
      <w:pPr>
        <w:spacing w:line="360" w:lineRule="auto"/>
        <w:ind w:firstLine="586" w:firstLineChars="200"/>
        <w:jc w:val="center"/>
        <w:rPr>
          <w:rFonts w:hint="eastAsia" w:ascii="宋体" w:hAnsi="宋体"/>
          <w:color w:val="auto"/>
          <w:sz w:val="24"/>
          <w:highlight w:val="none"/>
        </w:rPr>
      </w:pPr>
      <w:r>
        <w:rPr>
          <w:rFonts w:hint="eastAsia" w:ascii="宋体" w:hAnsi="宋体"/>
          <w:b/>
          <w:color w:val="auto"/>
          <w:spacing w:val="26"/>
          <w:sz w:val="24"/>
          <w:highlight w:val="none"/>
          <w:u w:val="double"/>
        </w:rPr>
        <w:t>估价结果明细表</w:t>
      </w:r>
    </w:p>
    <w:tbl>
      <w:tblPr>
        <w:tblStyle w:val="73"/>
        <w:tblpPr w:leftFromText="180" w:rightFromText="180" w:vertAnchor="text" w:horzAnchor="page" w:tblpX="600" w:tblpY="288"/>
        <w:tblOverlap w:val="never"/>
        <w:tblW w:w="110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795"/>
        <w:gridCol w:w="750"/>
        <w:gridCol w:w="1335"/>
        <w:gridCol w:w="765"/>
        <w:gridCol w:w="1118"/>
        <w:gridCol w:w="1088"/>
        <w:gridCol w:w="1173"/>
        <w:gridCol w:w="1230"/>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675" w:type="dxa"/>
            <w:vMerge w:val="restar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序号</w:t>
            </w:r>
          </w:p>
        </w:tc>
        <w:tc>
          <w:tcPr>
            <w:tcW w:w="1795" w:type="dxa"/>
            <w:vMerge w:val="restar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估价对象</w:t>
            </w:r>
          </w:p>
        </w:tc>
        <w:tc>
          <w:tcPr>
            <w:tcW w:w="750" w:type="dxa"/>
            <w:vMerge w:val="restar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权属人</w:t>
            </w:r>
          </w:p>
        </w:tc>
        <w:tc>
          <w:tcPr>
            <w:tcW w:w="1335" w:type="dxa"/>
            <w:vMerge w:val="restar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产权资料</w:t>
            </w:r>
          </w:p>
        </w:tc>
        <w:tc>
          <w:tcPr>
            <w:tcW w:w="765" w:type="dxa"/>
            <w:vMerge w:val="restar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cs="宋体"/>
                <w:i w:val="0"/>
                <w:iCs w:val="0"/>
                <w:color w:val="auto"/>
                <w:kern w:val="0"/>
                <w:sz w:val="21"/>
                <w:szCs w:val="21"/>
                <w:u w:val="none"/>
                <w:lang w:val="en-US" w:eastAsia="zh-CN" w:bidi="ar"/>
              </w:rPr>
              <w:t>规划</w:t>
            </w:r>
            <w:r>
              <w:rPr>
                <w:rFonts w:hint="eastAsia" w:ascii="宋体" w:hAnsi="宋体" w:eastAsia="宋体" w:cs="宋体"/>
                <w:i w:val="0"/>
                <w:iCs w:val="0"/>
                <w:color w:val="auto"/>
                <w:kern w:val="0"/>
                <w:sz w:val="21"/>
                <w:szCs w:val="21"/>
                <w:u w:val="none"/>
                <w:lang w:val="en-US" w:eastAsia="zh-CN" w:bidi="ar"/>
              </w:rPr>
              <w:t>用途</w:t>
            </w:r>
          </w:p>
        </w:tc>
        <w:tc>
          <w:tcPr>
            <w:tcW w:w="1118"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建筑面积</w:t>
            </w:r>
          </w:p>
        </w:tc>
        <w:tc>
          <w:tcPr>
            <w:tcW w:w="1088"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评估单价</w:t>
            </w:r>
          </w:p>
        </w:tc>
        <w:tc>
          <w:tcPr>
            <w:tcW w:w="1173"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cs="宋体"/>
                <w:i w:val="0"/>
                <w:iCs w:val="0"/>
                <w:color w:val="auto"/>
                <w:kern w:val="0"/>
                <w:sz w:val="21"/>
                <w:szCs w:val="21"/>
                <w:u w:val="none"/>
                <w:lang w:val="en-US" w:eastAsia="zh-CN" w:bidi="ar"/>
              </w:rPr>
              <w:t>土地</w:t>
            </w:r>
            <w:r>
              <w:rPr>
                <w:rFonts w:hint="eastAsia" w:ascii="宋体" w:hAnsi="宋体" w:eastAsia="宋体" w:cs="宋体"/>
                <w:i w:val="0"/>
                <w:iCs w:val="0"/>
                <w:color w:val="auto"/>
                <w:kern w:val="0"/>
                <w:sz w:val="21"/>
                <w:szCs w:val="21"/>
                <w:u w:val="none"/>
                <w:lang w:val="en-US" w:eastAsia="zh-CN" w:bidi="ar"/>
              </w:rPr>
              <w:t>出让条件下总值</w:t>
            </w:r>
          </w:p>
        </w:tc>
        <w:tc>
          <w:tcPr>
            <w:tcW w:w="1230" w:type="dxa"/>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应扣土地出让金</w:t>
            </w:r>
          </w:p>
        </w:tc>
        <w:tc>
          <w:tcPr>
            <w:tcW w:w="1155" w:type="dxa"/>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土地划拨条件下</w:t>
            </w:r>
            <w:r>
              <w:rPr>
                <w:rFonts w:hint="eastAsia" w:ascii="宋体" w:hAnsi="宋体" w:eastAsia="宋体" w:cs="宋体"/>
                <w:i w:val="0"/>
                <w:iCs w:val="0"/>
                <w:color w:val="auto"/>
                <w:kern w:val="0"/>
                <w:sz w:val="21"/>
                <w:szCs w:val="21"/>
                <w:u w:val="none"/>
                <w:lang w:val="en-US" w:eastAsia="zh-CN" w:bidi="ar"/>
              </w:rPr>
              <w:t>总值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675" w:type="dxa"/>
            <w:vMerge w:val="continue"/>
            <w:noWrap w:val="0"/>
            <w:vAlign w:val="center"/>
          </w:tcPr>
          <w:p>
            <w:pPr>
              <w:spacing w:line="240" w:lineRule="auto"/>
              <w:jc w:val="center"/>
              <w:rPr>
                <w:rFonts w:hint="eastAsia" w:ascii="宋体" w:hAnsi="宋体" w:eastAsia="宋体" w:cs="宋体"/>
                <w:i w:val="0"/>
                <w:iCs w:val="0"/>
                <w:color w:val="auto"/>
                <w:sz w:val="21"/>
                <w:szCs w:val="21"/>
                <w:u w:val="none"/>
              </w:rPr>
            </w:pPr>
          </w:p>
        </w:tc>
        <w:tc>
          <w:tcPr>
            <w:tcW w:w="1795" w:type="dxa"/>
            <w:vMerge w:val="continue"/>
            <w:noWrap w:val="0"/>
            <w:vAlign w:val="center"/>
          </w:tcPr>
          <w:p>
            <w:pPr>
              <w:spacing w:line="240" w:lineRule="auto"/>
              <w:jc w:val="center"/>
              <w:rPr>
                <w:rFonts w:hint="eastAsia" w:ascii="宋体" w:hAnsi="宋体" w:eastAsia="宋体" w:cs="宋体"/>
                <w:i w:val="0"/>
                <w:iCs w:val="0"/>
                <w:color w:val="auto"/>
                <w:sz w:val="21"/>
                <w:szCs w:val="21"/>
                <w:u w:val="none"/>
              </w:rPr>
            </w:pPr>
          </w:p>
        </w:tc>
        <w:tc>
          <w:tcPr>
            <w:tcW w:w="750" w:type="dxa"/>
            <w:vMerge w:val="continue"/>
            <w:noWrap w:val="0"/>
            <w:vAlign w:val="center"/>
          </w:tcPr>
          <w:p>
            <w:pPr>
              <w:spacing w:line="240" w:lineRule="auto"/>
              <w:jc w:val="center"/>
              <w:rPr>
                <w:rFonts w:hint="eastAsia" w:ascii="宋体" w:hAnsi="宋体" w:eastAsia="宋体" w:cs="宋体"/>
                <w:i w:val="0"/>
                <w:iCs w:val="0"/>
                <w:color w:val="auto"/>
                <w:sz w:val="21"/>
                <w:szCs w:val="21"/>
                <w:u w:val="none"/>
              </w:rPr>
            </w:pPr>
          </w:p>
        </w:tc>
        <w:tc>
          <w:tcPr>
            <w:tcW w:w="1335" w:type="dxa"/>
            <w:vMerge w:val="continue"/>
            <w:noWrap w:val="0"/>
            <w:vAlign w:val="center"/>
          </w:tcPr>
          <w:p>
            <w:pPr>
              <w:spacing w:line="240" w:lineRule="auto"/>
              <w:jc w:val="center"/>
              <w:rPr>
                <w:rFonts w:hint="eastAsia" w:ascii="宋体" w:hAnsi="宋体" w:eastAsia="宋体" w:cs="宋体"/>
                <w:i w:val="0"/>
                <w:iCs w:val="0"/>
                <w:color w:val="auto"/>
                <w:sz w:val="21"/>
                <w:szCs w:val="21"/>
                <w:u w:val="none"/>
              </w:rPr>
            </w:pPr>
          </w:p>
        </w:tc>
        <w:tc>
          <w:tcPr>
            <w:tcW w:w="765" w:type="dxa"/>
            <w:vMerge w:val="continue"/>
            <w:noWrap w:val="0"/>
            <w:vAlign w:val="center"/>
          </w:tcPr>
          <w:p>
            <w:pPr>
              <w:spacing w:line="240" w:lineRule="auto"/>
              <w:jc w:val="center"/>
              <w:rPr>
                <w:rFonts w:hint="eastAsia" w:ascii="宋体" w:hAnsi="宋体" w:eastAsia="宋体" w:cs="宋体"/>
                <w:i w:val="0"/>
                <w:iCs w:val="0"/>
                <w:color w:val="auto"/>
                <w:sz w:val="21"/>
                <w:szCs w:val="21"/>
                <w:u w:val="none"/>
              </w:rPr>
            </w:pPr>
          </w:p>
        </w:tc>
        <w:tc>
          <w:tcPr>
            <w:tcW w:w="1118"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w:t>
            </w:r>
          </w:p>
        </w:tc>
        <w:tc>
          <w:tcPr>
            <w:tcW w:w="1088"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(元/㎡)</w:t>
            </w:r>
          </w:p>
        </w:tc>
        <w:tc>
          <w:tcPr>
            <w:tcW w:w="1173"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(万元)</w:t>
            </w:r>
          </w:p>
        </w:tc>
        <w:tc>
          <w:tcPr>
            <w:tcW w:w="1230"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(万元)</w:t>
            </w:r>
          </w:p>
        </w:tc>
        <w:tc>
          <w:tcPr>
            <w:tcW w:w="1155"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jc w:val="center"/>
        </w:trPr>
        <w:tc>
          <w:tcPr>
            <w:tcW w:w="675"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1</w:t>
            </w:r>
          </w:p>
        </w:tc>
        <w:tc>
          <w:tcPr>
            <w:tcW w:w="17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lang w:eastAsia="zh-CN"/>
              </w:rPr>
            </w:pPr>
            <w:r>
              <w:rPr>
                <w:rFonts w:hint="eastAsia" w:ascii="宋体" w:hAnsi="宋体" w:eastAsia="宋体" w:cs="宋体"/>
                <w:i w:val="0"/>
                <w:iCs w:val="0"/>
                <w:color w:val="auto"/>
                <w:kern w:val="0"/>
                <w:sz w:val="21"/>
                <w:szCs w:val="21"/>
                <w:u w:val="none"/>
                <w:lang w:val="en-US" w:eastAsia="zh-CN" w:bidi="ar"/>
              </w:rPr>
              <w:t>汕头市南澳县后宅镇港畔路2号楼1301、1303号</w:t>
            </w:r>
          </w:p>
        </w:tc>
        <w:tc>
          <w:tcPr>
            <w:tcW w:w="750" w:type="dxa"/>
            <w:vMerge w:val="restar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cs="宋体"/>
                <w:i w:val="0"/>
                <w:iCs w:val="0"/>
                <w:color w:val="auto"/>
                <w:kern w:val="0"/>
                <w:sz w:val="21"/>
                <w:szCs w:val="21"/>
                <w:u w:val="none"/>
                <w:lang w:val="en-US" w:eastAsia="zh-CN" w:bidi="ar"/>
              </w:rPr>
              <w:t>南澳县融信房地产开发有限公司</w:t>
            </w:r>
          </w:p>
        </w:tc>
        <w:tc>
          <w:tcPr>
            <w:tcW w:w="1335" w:type="dxa"/>
            <w:vMerge w:val="restar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w:t>
            </w:r>
            <w:r>
              <w:rPr>
                <w:rFonts w:hint="eastAsia" w:ascii="宋体" w:hAnsi="宋体" w:cs="宋体"/>
                <w:i w:val="0"/>
                <w:iCs w:val="0"/>
                <w:color w:val="auto"/>
                <w:kern w:val="0"/>
                <w:sz w:val="21"/>
                <w:szCs w:val="21"/>
                <w:u w:val="none"/>
                <w:lang w:val="en-US" w:eastAsia="zh-CN" w:bidi="ar"/>
              </w:rPr>
              <w:t>广东省南澳县人民法院评估委托书</w:t>
            </w:r>
            <w:r>
              <w:rPr>
                <w:rFonts w:hint="eastAsia" w:ascii="宋体" w:hAnsi="宋体" w:eastAsia="宋体" w:cs="宋体"/>
                <w:i w:val="0"/>
                <w:iCs w:val="0"/>
                <w:color w:val="auto"/>
                <w:kern w:val="0"/>
                <w:sz w:val="21"/>
                <w:szCs w:val="21"/>
                <w:u w:val="none"/>
                <w:lang w:val="en-US" w:eastAsia="zh-CN" w:bidi="ar"/>
              </w:rPr>
              <w:t>》[(</w:t>
            </w:r>
            <w:r>
              <w:rPr>
                <w:rFonts w:hint="eastAsia" w:ascii="宋体" w:hAnsi="宋体" w:cs="宋体"/>
                <w:i w:val="0"/>
                <w:iCs w:val="0"/>
                <w:color w:val="auto"/>
                <w:kern w:val="0"/>
                <w:sz w:val="21"/>
                <w:szCs w:val="21"/>
                <w:u w:val="none"/>
                <w:lang w:val="en-US" w:eastAsia="zh-CN" w:bidi="ar"/>
              </w:rPr>
              <w:t>2022)汕澳法技鉴字第12号</w:t>
            </w:r>
            <w:r>
              <w:rPr>
                <w:rFonts w:hint="eastAsia" w:ascii="宋体" w:hAnsi="宋体" w:eastAsia="宋体" w:cs="宋体"/>
                <w:i w:val="0"/>
                <w:iCs w:val="0"/>
                <w:color w:val="auto"/>
                <w:kern w:val="0"/>
                <w:sz w:val="21"/>
                <w:szCs w:val="21"/>
                <w:u w:val="none"/>
                <w:lang w:val="en-US" w:eastAsia="zh-CN" w:bidi="ar"/>
              </w:rPr>
              <w:t>]、《</w:t>
            </w:r>
            <w:r>
              <w:rPr>
                <w:rFonts w:hint="eastAsia" w:ascii="宋体" w:hAnsi="宋体" w:cs="宋体"/>
                <w:i w:val="0"/>
                <w:iCs w:val="0"/>
                <w:color w:val="auto"/>
                <w:kern w:val="0"/>
                <w:sz w:val="21"/>
                <w:szCs w:val="21"/>
                <w:u w:val="none"/>
                <w:lang w:val="en-US" w:eastAsia="zh-CN" w:bidi="ar"/>
              </w:rPr>
              <w:t>房地产权证</w:t>
            </w:r>
            <w:r>
              <w:rPr>
                <w:rFonts w:hint="eastAsia" w:ascii="宋体" w:hAnsi="宋体" w:eastAsia="宋体" w:cs="宋体"/>
                <w:i w:val="0"/>
                <w:iCs w:val="0"/>
                <w:color w:val="auto"/>
                <w:kern w:val="0"/>
                <w:sz w:val="21"/>
                <w:szCs w:val="21"/>
                <w:u w:val="none"/>
                <w:lang w:val="en-US" w:eastAsia="zh-CN" w:bidi="ar"/>
              </w:rPr>
              <w:t>》及其提供的其他相关资料</w:t>
            </w:r>
          </w:p>
        </w:tc>
        <w:tc>
          <w:tcPr>
            <w:tcW w:w="76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住宅</w:t>
            </w:r>
          </w:p>
        </w:tc>
        <w:tc>
          <w:tcPr>
            <w:tcW w:w="1118"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413.66</w:t>
            </w:r>
          </w:p>
        </w:tc>
        <w:tc>
          <w:tcPr>
            <w:tcW w:w="1088"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2750</w:t>
            </w:r>
          </w:p>
        </w:tc>
        <w:tc>
          <w:tcPr>
            <w:tcW w:w="1173"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113.76</w:t>
            </w:r>
          </w:p>
        </w:tc>
        <w:tc>
          <w:tcPr>
            <w:tcW w:w="123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0.18</w:t>
            </w:r>
          </w:p>
        </w:tc>
        <w:tc>
          <w:tcPr>
            <w:tcW w:w="1155"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113.58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jc w:val="center"/>
        </w:trPr>
        <w:tc>
          <w:tcPr>
            <w:tcW w:w="675"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2</w:t>
            </w:r>
          </w:p>
        </w:tc>
        <w:tc>
          <w:tcPr>
            <w:tcW w:w="1795" w:type="dxa"/>
            <w:noWrap w:val="0"/>
            <w:vAlign w:val="center"/>
          </w:tcPr>
          <w:p>
            <w:pPr>
              <w:keepNext w:val="0"/>
              <w:keepLines w:val="0"/>
              <w:widowControl/>
              <w:suppressLineNumbers w:val="0"/>
              <w:jc w:val="center"/>
              <w:textAlignment w:val="center"/>
              <w:rPr>
                <w:rFonts w:hint="eastAsia" w:ascii="宋体" w:hAnsi="宋体" w:cs="宋体"/>
                <w:i w:val="0"/>
                <w:iCs w:val="0"/>
                <w:color w:val="auto"/>
                <w:sz w:val="21"/>
                <w:szCs w:val="21"/>
                <w:u w:val="none"/>
                <w:lang w:eastAsia="zh-CN"/>
              </w:rPr>
            </w:pPr>
            <w:r>
              <w:rPr>
                <w:rFonts w:hint="eastAsia" w:ascii="宋体" w:hAnsi="宋体" w:eastAsia="宋体" w:cs="宋体"/>
                <w:i w:val="0"/>
                <w:iCs w:val="0"/>
                <w:color w:val="auto"/>
                <w:kern w:val="0"/>
                <w:sz w:val="21"/>
                <w:szCs w:val="21"/>
                <w:u w:val="none"/>
                <w:lang w:val="en-US" w:eastAsia="zh-CN" w:bidi="ar"/>
              </w:rPr>
              <w:t>汕头市南澳县后宅镇港畔路2号楼1302号</w:t>
            </w:r>
          </w:p>
        </w:tc>
        <w:tc>
          <w:tcPr>
            <w:tcW w:w="750" w:type="dxa"/>
            <w:vMerge w:val="continue"/>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p>
        </w:tc>
        <w:tc>
          <w:tcPr>
            <w:tcW w:w="1335" w:type="dxa"/>
            <w:vMerge w:val="continue"/>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p>
        </w:tc>
        <w:tc>
          <w:tcPr>
            <w:tcW w:w="76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住宅</w:t>
            </w:r>
          </w:p>
        </w:tc>
        <w:tc>
          <w:tcPr>
            <w:tcW w:w="1118"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454.8</w:t>
            </w:r>
          </w:p>
        </w:tc>
        <w:tc>
          <w:tcPr>
            <w:tcW w:w="1088"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2750</w:t>
            </w:r>
          </w:p>
        </w:tc>
        <w:tc>
          <w:tcPr>
            <w:tcW w:w="117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125.07</w:t>
            </w:r>
          </w:p>
        </w:tc>
        <w:tc>
          <w:tcPr>
            <w:tcW w:w="123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0.19</w:t>
            </w:r>
          </w:p>
        </w:tc>
        <w:tc>
          <w:tcPr>
            <w:tcW w:w="115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124.88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675"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3</w:t>
            </w:r>
          </w:p>
        </w:tc>
        <w:tc>
          <w:tcPr>
            <w:tcW w:w="1795" w:type="dxa"/>
            <w:noWrap w:val="0"/>
            <w:vAlign w:val="center"/>
          </w:tcPr>
          <w:p>
            <w:pPr>
              <w:keepNext w:val="0"/>
              <w:keepLines w:val="0"/>
              <w:widowControl/>
              <w:suppressLineNumbers w:val="0"/>
              <w:jc w:val="center"/>
              <w:textAlignment w:val="center"/>
              <w:rPr>
                <w:rFonts w:hint="eastAsia" w:ascii="宋体" w:hAnsi="宋体" w:cs="宋体"/>
                <w:i w:val="0"/>
                <w:iCs w:val="0"/>
                <w:color w:val="auto"/>
                <w:sz w:val="21"/>
                <w:szCs w:val="21"/>
                <w:u w:val="none"/>
                <w:lang w:eastAsia="zh-CN"/>
              </w:rPr>
            </w:pPr>
            <w:r>
              <w:rPr>
                <w:rFonts w:hint="eastAsia" w:ascii="宋体" w:hAnsi="宋体" w:eastAsia="宋体" w:cs="宋体"/>
                <w:i w:val="0"/>
                <w:iCs w:val="0"/>
                <w:color w:val="auto"/>
                <w:kern w:val="0"/>
                <w:sz w:val="21"/>
                <w:szCs w:val="21"/>
                <w:u w:val="none"/>
                <w:lang w:val="en-US" w:eastAsia="zh-CN" w:bidi="ar"/>
              </w:rPr>
              <w:t>汕头市南澳县后宅镇港畔路2号楼1401号</w:t>
            </w:r>
          </w:p>
        </w:tc>
        <w:tc>
          <w:tcPr>
            <w:tcW w:w="750" w:type="dxa"/>
            <w:vMerge w:val="continue"/>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p>
        </w:tc>
        <w:tc>
          <w:tcPr>
            <w:tcW w:w="1335" w:type="dxa"/>
            <w:vMerge w:val="continue"/>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p>
        </w:tc>
        <w:tc>
          <w:tcPr>
            <w:tcW w:w="76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住宅</w:t>
            </w:r>
          </w:p>
        </w:tc>
        <w:tc>
          <w:tcPr>
            <w:tcW w:w="1118"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426.97</w:t>
            </w:r>
          </w:p>
        </w:tc>
        <w:tc>
          <w:tcPr>
            <w:tcW w:w="1088"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2750</w:t>
            </w:r>
          </w:p>
        </w:tc>
        <w:tc>
          <w:tcPr>
            <w:tcW w:w="117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117.42</w:t>
            </w:r>
          </w:p>
        </w:tc>
        <w:tc>
          <w:tcPr>
            <w:tcW w:w="123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0.18</w:t>
            </w:r>
          </w:p>
        </w:tc>
        <w:tc>
          <w:tcPr>
            <w:tcW w:w="115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117.24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675"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4</w:t>
            </w:r>
          </w:p>
        </w:tc>
        <w:tc>
          <w:tcPr>
            <w:tcW w:w="1795" w:type="dxa"/>
            <w:noWrap w:val="0"/>
            <w:vAlign w:val="center"/>
          </w:tcPr>
          <w:p>
            <w:pPr>
              <w:keepNext w:val="0"/>
              <w:keepLines w:val="0"/>
              <w:widowControl/>
              <w:suppressLineNumbers w:val="0"/>
              <w:jc w:val="center"/>
              <w:textAlignment w:val="center"/>
              <w:rPr>
                <w:rFonts w:hint="eastAsia" w:ascii="宋体" w:hAnsi="宋体" w:cs="宋体"/>
                <w:i w:val="0"/>
                <w:iCs w:val="0"/>
                <w:color w:val="auto"/>
                <w:sz w:val="21"/>
                <w:szCs w:val="21"/>
                <w:u w:val="none"/>
                <w:lang w:eastAsia="zh-CN"/>
              </w:rPr>
            </w:pPr>
            <w:r>
              <w:rPr>
                <w:rFonts w:hint="eastAsia" w:ascii="宋体" w:hAnsi="宋体" w:eastAsia="宋体" w:cs="宋体"/>
                <w:i w:val="0"/>
                <w:iCs w:val="0"/>
                <w:color w:val="auto"/>
                <w:kern w:val="0"/>
                <w:sz w:val="21"/>
                <w:szCs w:val="21"/>
                <w:u w:val="none"/>
                <w:lang w:val="en-US" w:eastAsia="zh-CN" w:bidi="ar"/>
              </w:rPr>
              <w:t>汕头市南澳县后宅镇港畔路2号楼1501号</w:t>
            </w:r>
          </w:p>
        </w:tc>
        <w:tc>
          <w:tcPr>
            <w:tcW w:w="750" w:type="dxa"/>
            <w:vMerge w:val="continue"/>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p>
        </w:tc>
        <w:tc>
          <w:tcPr>
            <w:tcW w:w="1335" w:type="dxa"/>
            <w:vMerge w:val="continue"/>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p>
        </w:tc>
        <w:tc>
          <w:tcPr>
            <w:tcW w:w="76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住宅</w:t>
            </w:r>
          </w:p>
        </w:tc>
        <w:tc>
          <w:tcPr>
            <w:tcW w:w="1118"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426.97</w:t>
            </w:r>
          </w:p>
        </w:tc>
        <w:tc>
          <w:tcPr>
            <w:tcW w:w="1088"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2380</w:t>
            </w:r>
          </w:p>
        </w:tc>
        <w:tc>
          <w:tcPr>
            <w:tcW w:w="117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101.62</w:t>
            </w:r>
          </w:p>
        </w:tc>
        <w:tc>
          <w:tcPr>
            <w:tcW w:w="123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0.18</w:t>
            </w:r>
          </w:p>
        </w:tc>
        <w:tc>
          <w:tcPr>
            <w:tcW w:w="115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101.44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5320" w:type="dxa"/>
            <w:gridSpan w:val="5"/>
            <w:noWrap w:val="0"/>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auto"/>
                <w:kern w:val="0"/>
                <w:sz w:val="21"/>
                <w:szCs w:val="21"/>
                <w:u w:val="none"/>
                <w:lang w:val="en-US" w:eastAsia="zh-CN" w:bidi="ar"/>
              </w:rPr>
            </w:pPr>
            <w:r>
              <w:rPr>
                <w:rFonts w:hint="eastAsia" w:ascii="宋体" w:hAnsi="宋体" w:cs="宋体"/>
                <w:b/>
                <w:bCs/>
                <w:i w:val="0"/>
                <w:iCs w:val="0"/>
                <w:color w:val="auto"/>
                <w:kern w:val="0"/>
                <w:sz w:val="21"/>
                <w:szCs w:val="21"/>
                <w:u w:val="none"/>
                <w:lang w:val="en-US" w:eastAsia="zh-CN" w:bidi="ar"/>
              </w:rPr>
              <w:t>合计</w:t>
            </w:r>
          </w:p>
        </w:tc>
        <w:tc>
          <w:tcPr>
            <w:tcW w:w="1118" w:type="dxa"/>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1"/>
                <w:szCs w:val="21"/>
                <w:u w:val="none"/>
                <w:lang w:val="en-US" w:eastAsia="zh-CN" w:bidi="ar"/>
              </w:rPr>
            </w:pPr>
            <w:r>
              <w:rPr>
                <w:rFonts w:hint="eastAsia" w:ascii="宋体" w:hAnsi="宋体" w:eastAsia="宋体" w:cs="宋体"/>
                <w:b/>
                <w:bCs/>
                <w:i w:val="0"/>
                <w:iCs w:val="0"/>
                <w:color w:val="auto"/>
                <w:kern w:val="0"/>
                <w:sz w:val="21"/>
                <w:szCs w:val="21"/>
                <w:u w:val="none"/>
                <w:lang w:val="en-US" w:eastAsia="zh-CN" w:bidi="ar"/>
              </w:rPr>
              <w:t>1722.4</w:t>
            </w:r>
          </w:p>
        </w:tc>
        <w:tc>
          <w:tcPr>
            <w:tcW w:w="1088" w:type="dxa"/>
            <w:noWrap w:val="0"/>
            <w:vAlign w:val="center"/>
          </w:tcPr>
          <w:p>
            <w:pPr>
              <w:keepNext w:val="0"/>
              <w:keepLines w:val="0"/>
              <w:widowControl/>
              <w:suppressLineNumbers w:val="0"/>
              <w:jc w:val="center"/>
              <w:textAlignment w:val="center"/>
              <w:rPr>
                <w:rFonts w:hint="default" w:ascii="宋体" w:hAnsi="宋体" w:eastAsia="宋体" w:cs="宋体"/>
                <w:b/>
                <w:bCs/>
                <w:i w:val="0"/>
                <w:iCs w:val="0"/>
                <w:color w:val="auto"/>
                <w:kern w:val="0"/>
                <w:sz w:val="21"/>
                <w:szCs w:val="21"/>
                <w:u w:val="none"/>
                <w:lang w:val="en-US" w:eastAsia="zh-CN" w:bidi="ar"/>
              </w:rPr>
            </w:pPr>
            <w:r>
              <w:rPr>
                <w:rFonts w:hint="eastAsia" w:ascii="宋体" w:hAnsi="宋体" w:eastAsia="宋体" w:cs="宋体"/>
                <w:b/>
                <w:bCs/>
                <w:i w:val="0"/>
                <w:iCs w:val="0"/>
                <w:color w:val="auto"/>
                <w:kern w:val="0"/>
                <w:sz w:val="21"/>
                <w:szCs w:val="21"/>
                <w:u w:val="none"/>
                <w:lang w:val="en-US" w:eastAsia="zh-CN" w:bidi="ar"/>
              </w:rPr>
              <w:t>-</w:t>
            </w:r>
          </w:p>
        </w:tc>
        <w:tc>
          <w:tcPr>
            <w:tcW w:w="1173" w:type="dxa"/>
            <w:noWrap w:val="0"/>
            <w:vAlign w:val="center"/>
          </w:tcPr>
          <w:p>
            <w:pPr>
              <w:keepNext w:val="0"/>
              <w:keepLines w:val="0"/>
              <w:widowControl/>
              <w:suppressLineNumbers w:val="0"/>
              <w:jc w:val="center"/>
              <w:textAlignment w:val="center"/>
              <w:rPr>
                <w:rFonts w:hint="default" w:ascii="宋体" w:hAnsi="宋体" w:eastAsia="宋体" w:cs="宋体"/>
                <w:b/>
                <w:bCs/>
                <w:i w:val="0"/>
                <w:iCs w:val="0"/>
                <w:color w:val="auto"/>
                <w:kern w:val="0"/>
                <w:sz w:val="21"/>
                <w:szCs w:val="21"/>
                <w:u w:val="none"/>
                <w:lang w:val="en-US" w:eastAsia="zh-CN" w:bidi="ar"/>
              </w:rPr>
            </w:pPr>
            <w:r>
              <w:rPr>
                <w:rFonts w:hint="eastAsia" w:ascii="宋体" w:hAnsi="宋体" w:eastAsia="宋体" w:cs="宋体"/>
                <w:b/>
                <w:bCs/>
                <w:i w:val="0"/>
                <w:iCs w:val="0"/>
                <w:color w:val="auto"/>
                <w:kern w:val="0"/>
                <w:sz w:val="21"/>
                <w:szCs w:val="21"/>
                <w:u w:val="none"/>
                <w:lang w:val="en-US" w:eastAsia="zh-CN" w:bidi="ar"/>
              </w:rPr>
              <w:t>457.87</w:t>
            </w:r>
          </w:p>
        </w:tc>
        <w:tc>
          <w:tcPr>
            <w:tcW w:w="1230" w:type="dxa"/>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1"/>
                <w:szCs w:val="21"/>
                <w:u w:val="none"/>
                <w:lang w:val="en-US" w:eastAsia="zh-CN" w:bidi="ar"/>
              </w:rPr>
            </w:pPr>
            <w:r>
              <w:rPr>
                <w:rFonts w:hint="eastAsia" w:ascii="宋体" w:hAnsi="宋体" w:eastAsia="宋体" w:cs="宋体"/>
                <w:b/>
                <w:bCs/>
                <w:i w:val="0"/>
                <w:iCs w:val="0"/>
                <w:color w:val="auto"/>
                <w:kern w:val="0"/>
                <w:sz w:val="21"/>
                <w:szCs w:val="21"/>
                <w:u w:val="none"/>
                <w:lang w:val="en-US" w:eastAsia="zh-CN" w:bidi="ar"/>
              </w:rPr>
              <w:t>0.73</w:t>
            </w:r>
          </w:p>
        </w:tc>
        <w:tc>
          <w:tcPr>
            <w:tcW w:w="1155" w:type="dxa"/>
            <w:noWrap w:val="0"/>
            <w:vAlign w:val="center"/>
          </w:tcPr>
          <w:p>
            <w:pPr>
              <w:keepNext w:val="0"/>
              <w:keepLines w:val="0"/>
              <w:widowControl/>
              <w:suppressLineNumbers w:val="0"/>
              <w:jc w:val="center"/>
              <w:textAlignment w:val="center"/>
              <w:rPr>
                <w:rFonts w:hint="default" w:ascii="宋体" w:hAnsi="宋体" w:eastAsia="宋体" w:cs="宋体"/>
                <w:b/>
                <w:bCs/>
                <w:i w:val="0"/>
                <w:iCs w:val="0"/>
                <w:color w:val="auto"/>
                <w:kern w:val="0"/>
                <w:sz w:val="21"/>
                <w:szCs w:val="21"/>
                <w:u w:val="none"/>
                <w:lang w:val="en-US" w:eastAsia="zh-CN" w:bidi="ar"/>
              </w:rPr>
            </w:pPr>
            <w:r>
              <w:rPr>
                <w:rFonts w:hint="eastAsia" w:ascii="宋体" w:hAnsi="宋体" w:eastAsia="宋体" w:cs="宋体"/>
                <w:b/>
                <w:bCs/>
                <w:i w:val="0"/>
                <w:iCs w:val="0"/>
                <w:color w:val="auto"/>
                <w:kern w:val="0"/>
                <w:sz w:val="21"/>
                <w:szCs w:val="21"/>
                <w:u w:val="none"/>
                <w:lang w:val="en-US" w:eastAsia="zh-CN" w:bidi="ar"/>
              </w:rPr>
              <w:t>457.14</w:t>
            </w:r>
          </w:p>
        </w:tc>
      </w:tr>
    </w:tbl>
    <w:p>
      <w:pPr>
        <w:spacing w:line="360" w:lineRule="auto"/>
        <w:ind w:firstLine="480" w:firstLineChars="200"/>
        <w:jc w:val="center"/>
        <w:rPr>
          <w:rFonts w:hint="eastAsia" w:ascii="宋体" w:hAnsi="宋体"/>
          <w:color w:val="auto"/>
          <w:sz w:val="24"/>
          <w:highlight w:val="none"/>
        </w:rPr>
      </w:pPr>
    </w:p>
    <w:p>
      <w:pPr>
        <w:keepNext/>
        <w:keepLines/>
        <w:jc w:val="both"/>
        <w:outlineLvl w:val="9"/>
        <w:rPr>
          <w:rFonts w:hint="eastAsia" w:ascii="宋体" w:hAnsi="宋体"/>
          <w:color w:val="auto"/>
          <w:sz w:val="24"/>
          <w:highlight w:val="none"/>
        </w:rPr>
      </w:pPr>
    </w:p>
    <w:p>
      <w:pPr>
        <w:keepNext/>
        <w:keepLines/>
        <w:jc w:val="right"/>
        <w:outlineLvl w:val="9"/>
        <w:rPr>
          <w:rFonts w:hint="eastAsia" w:ascii="宋体" w:hAnsi="宋体" w:eastAsia="宋体"/>
          <w:color w:val="auto"/>
          <w:sz w:val="24"/>
          <w:highlight w:val="none"/>
        </w:rPr>
      </w:pPr>
      <w:r>
        <w:rPr>
          <w:rFonts w:hint="eastAsia" w:ascii="宋体" w:hAnsi="宋体"/>
          <w:color w:val="auto"/>
          <w:sz w:val="24"/>
          <w:highlight w:val="none"/>
        </w:rPr>
        <w:t>备注：按</w:t>
      </w:r>
      <w:r>
        <w:rPr>
          <w:rFonts w:hint="eastAsia" w:ascii="宋体" w:hAnsi="宋体"/>
          <w:color w:val="auto"/>
          <w:sz w:val="24"/>
          <w:highlight w:val="none"/>
          <w:lang w:val="en-US" w:eastAsia="zh-CN"/>
        </w:rPr>
        <w:t>建筑面积</w:t>
      </w:r>
      <w:r>
        <w:rPr>
          <w:rFonts w:hint="eastAsia" w:ascii="宋体" w:hAnsi="宋体"/>
          <w:color w:val="auto"/>
          <w:sz w:val="24"/>
          <w:highlight w:val="none"/>
        </w:rPr>
        <w:t>计价，评估总价取整至百位。</w:t>
      </w:r>
    </w:p>
    <w:p>
      <w:pPr>
        <w:pStyle w:val="3"/>
        <w:spacing w:before="120" w:beforeLines="50" w:after="0" w:line="360" w:lineRule="auto"/>
        <w:ind w:left="198"/>
        <w:rPr>
          <w:rFonts w:hint="eastAsia" w:ascii="宋体" w:hAnsi="宋体" w:eastAsia="宋体"/>
          <w:color w:val="auto"/>
          <w:sz w:val="24"/>
          <w:highlight w:val="none"/>
        </w:rPr>
      </w:pPr>
      <w:bookmarkStart w:id="95" w:name="_Toc15821"/>
      <w:r>
        <w:rPr>
          <w:rFonts w:hint="eastAsia" w:ascii="宋体" w:hAnsi="宋体" w:eastAsia="宋体"/>
          <w:color w:val="auto"/>
          <w:sz w:val="24"/>
          <w:highlight w:val="none"/>
        </w:rPr>
        <w:t>（十一）</w:t>
      </w:r>
      <w:bookmarkEnd w:id="90"/>
      <w:bookmarkEnd w:id="91"/>
      <w:bookmarkEnd w:id="92"/>
      <w:bookmarkEnd w:id="93"/>
      <w:bookmarkEnd w:id="94"/>
      <w:r>
        <w:rPr>
          <w:rFonts w:hint="eastAsia" w:ascii="宋体" w:hAnsi="宋体" w:eastAsia="宋体"/>
          <w:color w:val="auto"/>
          <w:sz w:val="24"/>
          <w:highlight w:val="none"/>
        </w:rPr>
        <w:t>注</w:t>
      </w:r>
      <w:r>
        <w:rPr>
          <w:rFonts w:ascii="宋体" w:hAnsi="宋体" w:eastAsia="宋体"/>
          <w:color w:val="auto"/>
          <w:sz w:val="24"/>
          <w:highlight w:val="none"/>
        </w:rPr>
        <w:t>册房地产估价师</w:t>
      </w:r>
      <w:bookmarkEnd w:id="95"/>
    </w:p>
    <w:tbl>
      <w:tblPr>
        <w:tblStyle w:val="7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9"/>
        <w:gridCol w:w="2279"/>
        <w:gridCol w:w="2279"/>
        <w:gridCol w:w="2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1250" w:type="pct"/>
            <w:noWrap w:val="0"/>
            <w:vAlign w:val="center"/>
          </w:tcPr>
          <w:p>
            <w:pPr>
              <w:pStyle w:val="119"/>
              <w:spacing w:before="0" w:beforeLines="0"/>
              <w:jc w:val="center"/>
              <w:rPr>
                <w:rFonts w:hint="eastAsia" w:ascii="宋体" w:hAnsi="宋体"/>
                <w:b w:val="0"/>
                <w:color w:val="auto"/>
                <w:sz w:val="24"/>
                <w:szCs w:val="24"/>
                <w:highlight w:val="none"/>
              </w:rPr>
            </w:pPr>
            <w:bookmarkStart w:id="96" w:name="_Toc172481249"/>
            <w:bookmarkStart w:id="97" w:name="_Toc102185284"/>
            <w:bookmarkStart w:id="98" w:name="_Toc165264291"/>
            <w:bookmarkStart w:id="99" w:name="_Toc40186501"/>
            <w:bookmarkStart w:id="100" w:name="_Toc337642438"/>
            <w:r>
              <w:rPr>
                <w:rFonts w:hint="eastAsia" w:ascii="宋体" w:hAnsi="宋体"/>
                <w:b w:val="0"/>
                <w:color w:val="auto"/>
                <w:sz w:val="24"/>
                <w:szCs w:val="24"/>
                <w:highlight w:val="none"/>
              </w:rPr>
              <w:t>姓名</w:t>
            </w:r>
          </w:p>
        </w:tc>
        <w:tc>
          <w:tcPr>
            <w:tcW w:w="1250" w:type="pct"/>
            <w:noWrap w:val="0"/>
            <w:vAlign w:val="center"/>
          </w:tcPr>
          <w:p>
            <w:pPr>
              <w:pStyle w:val="119"/>
              <w:spacing w:before="0" w:beforeLines="0"/>
              <w:jc w:val="center"/>
              <w:rPr>
                <w:rFonts w:hint="eastAsia" w:ascii="宋体" w:hAnsi="宋体"/>
                <w:b w:val="0"/>
                <w:color w:val="auto"/>
                <w:sz w:val="24"/>
                <w:szCs w:val="24"/>
                <w:highlight w:val="none"/>
              </w:rPr>
            </w:pPr>
            <w:r>
              <w:rPr>
                <w:rFonts w:hint="eastAsia" w:ascii="宋体" w:hAnsi="宋体"/>
                <w:b w:val="0"/>
                <w:color w:val="auto"/>
                <w:sz w:val="24"/>
                <w:szCs w:val="24"/>
                <w:highlight w:val="none"/>
              </w:rPr>
              <w:t>注册号</w:t>
            </w:r>
          </w:p>
        </w:tc>
        <w:tc>
          <w:tcPr>
            <w:tcW w:w="1250" w:type="pct"/>
            <w:noWrap w:val="0"/>
            <w:vAlign w:val="center"/>
          </w:tcPr>
          <w:p>
            <w:pPr>
              <w:pStyle w:val="119"/>
              <w:spacing w:before="0" w:beforeLines="0"/>
              <w:jc w:val="center"/>
              <w:rPr>
                <w:rFonts w:hint="eastAsia" w:ascii="宋体" w:hAnsi="宋体"/>
                <w:b w:val="0"/>
                <w:bCs/>
                <w:color w:val="auto"/>
                <w:sz w:val="24"/>
                <w:szCs w:val="24"/>
                <w:highlight w:val="none"/>
              </w:rPr>
            </w:pPr>
            <w:r>
              <w:rPr>
                <w:rFonts w:hint="eastAsia" w:ascii="宋体" w:hAnsi="宋体"/>
                <w:b w:val="0"/>
                <w:bCs/>
                <w:color w:val="auto"/>
                <w:sz w:val="24"/>
                <w:szCs w:val="24"/>
                <w:highlight w:val="none"/>
              </w:rPr>
              <w:t>签名</w:t>
            </w:r>
          </w:p>
        </w:tc>
        <w:tc>
          <w:tcPr>
            <w:tcW w:w="1250" w:type="pct"/>
            <w:noWrap w:val="0"/>
            <w:vAlign w:val="center"/>
          </w:tcPr>
          <w:p>
            <w:pPr>
              <w:pStyle w:val="119"/>
              <w:spacing w:before="0" w:beforeLines="0"/>
              <w:jc w:val="center"/>
              <w:rPr>
                <w:rFonts w:hint="eastAsia" w:ascii="宋体" w:hAnsi="宋体"/>
                <w:b w:val="0"/>
                <w:bCs/>
                <w:color w:val="auto"/>
                <w:sz w:val="24"/>
                <w:szCs w:val="24"/>
                <w:highlight w:val="none"/>
              </w:rPr>
            </w:pPr>
            <w:r>
              <w:rPr>
                <w:rFonts w:hint="eastAsia" w:ascii="宋体" w:hAnsi="宋体"/>
                <w:b w:val="0"/>
                <w:bCs/>
                <w:snapToGrid/>
                <w:color w:val="auto"/>
                <w:kern w:val="2"/>
                <w:sz w:val="24"/>
                <w:szCs w:val="24"/>
                <w:highlight w:val="none"/>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1250" w:type="pct"/>
            <w:noWrap w:val="0"/>
            <w:vAlign w:val="center"/>
          </w:tcPr>
          <w:p>
            <w:pPr>
              <w:pStyle w:val="119"/>
              <w:spacing w:before="0" w:beforeLines="0"/>
              <w:jc w:val="center"/>
              <w:rPr>
                <w:rFonts w:hint="eastAsia" w:ascii="宋体" w:hAnsi="宋体"/>
                <w:b w:val="0"/>
                <w:color w:val="auto"/>
                <w:sz w:val="24"/>
                <w:szCs w:val="24"/>
                <w:highlight w:val="none"/>
              </w:rPr>
            </w:pPr>
            <w:r>
              <w:rPr>
                <w:rFonts w:hint="eastAsia" w:ascii="宋体" w:hAnsi="宋体"/>
                <w:b w:val="0"/>
                <w:color w:val="auto"/>
                <w:sz w:val="24"/>
                <w:szCs w:val="24"/>
                <w:highlight w:val="none"/>
              </w:rPr>
              <w:t>林添盛</w:t>
            </w:r>
          </w:p>
        </w:tc>
        <w:tc>
          <w:tcPr>
            <w:tcW w:w="1250" w:type="pct"/>
            <w:noWrap w:val="0"/>
            <w:vAlign w:val="center"/>
          </w:tcPr>
          <w:p>
            <w:pPr>
              <w:pStyle w:val="119"/>
              <w:spacing w:before="0" w:beforeLines="0"/>
              <w:jc w:val="center"/>
              <w:rPr>
                <w:rFonts w:hint="eastAsia" w:ascii="宋体" w:hAnsi="宋体"/>
                <w:b w:val="0"/>
                <w:color w:val="auto"/>
                <w:sz w:val="24"/>
                <w:szCs w:val="24"/>
                <w:highlight w:val="none"/>
              </w:rPr>
            </w:pPr>
            <w:r>
              <w:rPr>
                <w:rFonts w:ascii="宋体" w:hAnsi="宋体"/>
                <w:b w:val="0"/>
                <w:color w:val="auto"/>
                <w:sz w:val="24"/>
                <w:szCs w:val="24"/>
                <w:highlight w:val="none"/>
              </w:rPr>
              <w:t>4420080014</w:t>
            </w:r>
          </w:p>
        </w:tc>
        <w:tc>
          <w:tcPr>
            <w:tcW w:w="1250" w:type="pct"/>
            <w:noWrap w:val="0"/>
            <w:vAlign w:val="center"/>
          </w:tcPr>
          <w:p>
            <w:pPr>
              <w:pStyle w:val="119"/>
              <w:spacing w:before="0" w:beforeLines="0"/>
              <w:jc w:val="center"/>
              <w:rPr>
                <w:rFonts w:hint="eastAsia" w:ascii="宋体" w:hAnsi="宋体"/>
                <w:b w:val="0"/>
                <w:color w:val="auto"/>
                <w:sz w:val="24"/>
                <w:szCs w:val="24"/>
                <w:highlight w:val="none"/>
              </w:rPr>
            </w:pPr>
          </w:p>
        </w:tc>
        <w:tc>
          <w:tcPr>
            <w:tcW w:w="1250" w:type="pct"/>
            <w:noWrap w:val="0"/>
            <w:vAlign w:val="center"/>
          </w:tcPr>
          <w:p>
            <w:pPr>
              <w:pStyle w:val="119"/>
              <w:spacing w:before="0" w:beforeLines="0"/>
              <w:jc w:val="center"/>
              <w:rPr>
                <w:rFonts w:hint="eastAsia" w:ascii="宋体" w:hAnsi="宋体"/>
                <w:b w:val="0"/>
                <w:bCs/>
                <w:color w:val="auto"/>
                <w:sz w:val="24"/>
                <w:szCs w:val="24"/>
                <w:highlight w:val="none"/>
              </w:rPr>
            </w:pPr>
            <w:r>
              <w:rPr>
                <w:rFonts w:hint="eastAsia" w:ascii="宋体" w:hAnsi="宋体" w:cs="宋体"/>
                <w:b w:val="0"/>
                <w:bCs/>
                <w:color w:val="auto"/>
                <w:sz w:val="24"/>
                <w:highlight w:val="none"/>
                <w:lang w:eastAsia="zh-CN"/>
              </w:rPr>
              <w:t>2022年8月22日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1250" w:type="pct"/>
            <w:noWrap w:val="0"/>
            <w:vAlign w:val="center"/>
          </w:tcPr>
          <w:p>
            <w:pPr>
              <w:pStyle w:val="119"/>
              <w:spacing w:before="0" w:beforeLines="0"/>
              <w:jc w:val="center"/>
              <w:rPr>
                <w:rFonts w:hint="eastAsia" w:ascii="宋体" w:hAnsi="宋体" w:eastAsia="宋体"/>
                <w:b w:val="0"/>
                <w:color w:val="auto"/>
                <w:sz w:val="24"/>
                <w:szCs w:val="24"/>
                <w:highlight w:val="none"/>
                <w:lang w:eastAsia="zh-CN"/>
              </w:rPr>
            </w:pPr>
            <w:r>
              <w:rPr>
                <w:rFonts w:hint="eastAsia" w:ascii="宋体" w:hAnsi="宋体"/>
                <w:b w:val="0"/>
                <w:color w:val="auto"/>
                <w:sz w:val="24"/>
                <w:szCs w:val="24"/>
                <w:highlight w:val="none"/>
                <w:lang w:eastAsia="zh-CN"/>
              </w:rPr>
              <w:t>翁运钿</w:t>
            </w:r>
          </w:p>
        </w:tc>
        <w:tc>
          <w:tcPr>
            <w:tcW w:w="1250" w:type="pct"/>
            <w:noWrap w:val="0"/>
            <w:vAlign w:val="center"/>
          </w:tcPr>
          <w:p>
            <w:pPr>
              <w:pStyle w:val="119"/>
              <w:spacing w:before="0" w:beforeLines="0"/>
              <w:jc w:val="center"/>
              <w:rPr>
                <w:rFonts w:hint="eastAsia" w:ascii="宋体" w:hAnsi="宋体" w:eastAsia="宋体"/>
                <w:b w:val="0"/>
                <w:color w:val="auto"/>
                <w:sz w:val="24"/>
                <w:szCs w:val="24"/>
                <w:highlight w:val="none"/>
                <w:lang w:eastAsia="zh-CN"/>
              </w:rPr>
            </w:pPr>
            <w:r>
              <w:rPr>
                <w:rFonts w:hint="eastAsia" w:ascii="宋体" w:hAnsi="宋体"/>
                <w:b w:val="0"/>
                <w:color w:val="auto"/>
                <w:sz w:val="24"/>
                <w:highlight w:val="none"/>
                <w:lang w:eastAsia="zh-CN"/>
              </w:rPr>
              <w:t>4420190125</w:t>
            </w:r>
          </w:p>
        </w:tc>
        <w:tc>
          <w:tcPr>
            <w:tcW w:w="1250" w:type="pct"/>
            <w:noWrap w:val="0"/>
            <w:vAlign w:val="center"/>
          </w:tcPr>
          <w:p>
            <w:pPr>
              <w:pStyle w:val="119"/>
              <w:spacing w:before="0" w:beforeLines="0"/>
              <w:jc w:val="center"/>
              <w:rPr>
                <w:rFonts w:hint="eastAsia" w:ascii="宋体" w:hAnsi="宋体"/>
                <w:b w:val="0"/>
                <w:color w:val="auto"/>
                <w:sz w:val="24"/>
                <w:szCs w:val="24"/>
                <w:highlight w:val="none"/>
              </w:rPr>
            </w:pPr>
          </w:p>
        </w:tc>
        <w:tc>
          <w:tcPr>
            <w:tcW w:w="1250" w:type="pct"/>
            <w:noWrap w:val="0"/>
            <w:vAlign w:val="center"/>
          </w:tcPr>
          <w:p>
            <w:pPr>
              <w:pStyle w:val="119"/>
              <w:spacing w:before="0" w:beforeLines="0"/>
              <w:jc w:val="center"/>
              <w:rPr>
                <w:rFonts w:hint="eastAsia" w:ascii="宋体" w:hAnsi="宋体"/>
                <w:b w:val="0"/>
                <w:bCs/>
                <w:color w:val="auto"/>
                <w:sz w:val="24"/>
                <w:szCs w:val="24"/>
                <w:highlight w:val="none"/>
              </w:rPr>
            </w:pPr>
            <w:r>
              <w:rPr>
                <w:rFonts w:hint="eastAsia" w:ascii="宋体" w:hAnsi="宋体" w:cs="宋体"/>
                <w:b w:val="0"/>
                <w:bCs/>
                <w:color w:val="auto"/>
                <w:sz w:val="24"/>
                <w:highlight w:val="none"/>
                <w:lang w:eastAsia="zh-CN"/>
              </w:rPr>
              <w:t>2022年8月22日</w:t>
            </w:r>
          </w:p>
        </w:tc>
      </w:tr>
      <w:bookmarkEnd w:id="96"/>
      <w:bookmarkEnd w:id="97"/>
      <w:bookmarkEnd w:id="98"/>
      <w:bookmarkEnd w:id="99"/>
      <w:bookmarkEnd w:id="100"/>
    </w:tbl>
    <w:p>
      <w:pPr>
        <w:pStyle w:val="3"/>
        <w:spacing w:before="120" w:beforeLines="50" w:after="0" w:line="360" w:lineRule="auto"/>
        <w:ind w:left="198"/>
        <w:rPr>
          <w:rFonts w:hint="eastAsia" w:ascii="宋体" w:hAnsi="宋体" w:eastAsia="宋体"/>
          <w:color w:val="auto"/>
          <w:sz w:val="24"/>
          <w:highlight w:val="none"/>
        </w:rPr>
      </w:pPr>
      <w:bookmarkStart w:id="101" w:name="_Toc461980238"/>
      <w:bookmarkStart w:id="102" w:name="_Toc461979627"/>
      <w:bookmarkStart w:id="103" w:name="_Toc25330"/>
      <w:r>
        <w:rPr>
          <w:rFonts w:hint="eastAsia" w:ascii="宋体" w:hAnsi="宋体" w:eastAsia="宋体"/>
          <w:color w:val="auto"/>
          <w:sz w:val="24"/>
          <w:highlight w:val="none"/>
        </w:rPr>
        <w:t>（十二）</w:t>
      </w:r>
      <w:bookmarkEnd w:id="101"/>
      <w:bookmarkEnd w:id="102"/>
      <w:r>
        <w:rPr>
          <w:rFonts w:hint="eastAsia" w:ascii="宋体" w:hAnsi="宋体" w:eastAsia="宋体"/>
          <w:color w:val="auto"/>
          <w:sz w:val="24"/>
          <w:highlight w:val="none"/>
        </w:rPr>
        <w:t>实</w:t>
      </w:r>
      <w:r>
        <w:rPr>
          <w:rFonts w:ascii="宋体" w:hAnsi="宋体" w:eastAsia="宋体"/>
          <w:color w:val="auto"/>
          <w:sz w:val="24"/>
          <w:highlight w:val="none"/>
        </w:rPr>
        <w:t>地查勘期</w:t>
      </w:r>
      <w:bookmarkEnd w:id="103"/>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实地</w:t>
      </w:r>
      <w:r>
        <w:rPr>
          <w:rFonts w:ascii="宋体" w:hAnsi="宋体"/>
          <w:color w:val="auto"/>
          <w:sz w:val="24"/>
          <w:highlight w:val="none"/>
        </w:rPr>
        <w:t>查勘起止日期</w:t>
      </w:r>
      <w:r>
        <w:rPr>
          <w:rFonts w:hint="eastAsia" w:ascii="宋体" w:hAnsi="宋体"/>
          <w:color w:val="auto"/>
          <w:sz w:val="24"/>
          <w:highlight w:val="none"/>
        </w:rPr>
        <w:t>为</w:t>
      </w:r>
      <w:r>
        <w:rPr>
          <w:rFonts w:hint="eastAsia" w:ascii="宋体" w:hAnsi="宋体" w:cs="宋体"/>
          <w:color w:val="auto"/>
          <w:sz w:val="24"/>
          <w:highlight w:val="none"/>
          <w:lang w:eastAsia="zh-CN"/>
        </w:rPr>
        <w:t>2022年8月2日</w:t>
      </w:r>
      <w:r>
        <w:rPr>
          <w:rFonts w:hint="eastAsia" w:ascii="宋体" w:hAnsi="宋体" w:cs="宋体"/>
          <w:color w:val="auto"/>
          <w:sz w:val="24"/>
          <w:highlight w:val="none"/>
        </w:rPr>
        <w:t>至</w:t>
      </w:r>
      <w:r>
        <w:rPr>
          <w:rFonts w:hint="eastAsia" w:ascii="宋体" w:hAnsi="宋体" w:cs="宋体"/>
          <w:color w:val="auto"/>
          <w:sz w:val="24"/>
          <w:highlight w:val="none"/>
          <w:lang w:eastAsia="zh-CN"/>
        </w:rPr>
        <w:t>2022年8月2日</w:t>
      </w:r>
      <w:r>
        <w:rPr>
          <w:rFonts w:hint="eastAsia" w:ascii="宋体" w:hAnsi="宋体"/>
          <w:color w:val="auto"/>
          <w:sz w:val="24"/>
          <w:highlight w:val="none"/>
        </w:rPr>
        <w:t>。</w:t>
      </w:r>
    </w:p>
    <w:p>
      <w:pPr>
        <w:pStyle w:val="3"/>
        <w:spacing w:before="120" w:beforeLines="50" w:after="0" w:line="360" w:lineRule="auto"/>
        <w:ind w:left="198"/>
        <w:rPr>
          <w:rFonts w:hint="eastAsia" w:ascii="宋体" w:hAnsi="宋体" w:eastAsia="宋体"/>
          <w:color w:val="auto"/>
          <w:sz w:val="24"/>
          <w:highlight w:val="none"/>
        </w:rPr>
      </w:pPr>
      <w:bookmarkStart w:id="104" w:name="_Toc461979628"/>
      <w:bookmarkStart w:id="105" w:name="_Toc337642439"/>
      <w:bookmarkStart w:id="106" w:name="_Toc461980239"/>
      <w:bookmarkStart w:id="107" w:name="_Toc29654"/>
      <w:r>
        <w:rPr>
          <w:rFonts w:hint="eastAsia" w:ascii="宋体" w:hAnsi="宋体" w:eastAsia="宋体"/>
          <w:color w:val="auto"/>
          <w:sz w:val="24"/>
          <w:highlight w:val="none"/>
        </w:rPr>
        <w:t>（十三）</w:t>
      </w:r>
      <w:bookmarkEnd w:id="104"/>
      <w:bookmarkEnd w:id="105"/>
      <w:bookmarkEnd w:id="106"/>
      <w:r>
        <w:rPr>
          <w:rFonts w:hint="eastAsia" w:ascii="宋体" w:hAnsi="宋体" w:eastAsia="宋体"/>
          <w:color w:val="auto"/>
          <w:sz w:val="24"/>
          <w:highlight w:val="none"/>
        </w:rPr>
        <w:t>估价作</w:t>
      </w:r>
      <w:r>
        <w:rPr>
          <w:rFonts w:ascii="宋体" w:hAnsi="宋体" w:eastAsia="宋体"/>
          <w:color w:val="auto"/>
          <w:sz w:val="24"/>
          <w:highlight w:val="none"/>
        </w:rPr>
        <w:t>业</w:t>
      </w:r>
      <w:r>
        <w:rPr>
          <w:rFonts w:hint="eastAsia" w:ascii="宋体" w:hAnsi="宋体" w:eastAsia="宋体"/>
          <w:color w:val="auto"/>
          <w:sz w:val="24"/>
          <w:highlight w:val="none"/>
        </w:rPr>
        <w:t>期</w:t>
      </w:r>
      <w:bookmarkEnd w:id="107"/>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outlineLvl w:val="9"/>
        <w:rPr>
          <w:rFonts w:hint="eastAsia" w:ascii="宋体" w:hAnsi="宋体" w:cs="宋体"/>
          <w:color w:val="auto"/>
          <w:sz w:val="24"/>
          <w:highlight w:val="none"/>
        </w:rPr>
      </w:pPr>
      <w:r>
        <w:rPr>
          <w:rFonts w:hint="eastAsia" w:ascii="宋体" w:hAnsi="宋体"/>
          <w:color w:val="auto"/>
          <w:sz w:val="24"/>
          <w:highlight w:val="none"/>
        </w:rPr>
        <w:t>本次估价的作业日期为</w:t>
      </w:r>
      <w:r>
        <w:rPr>
          <w:rFonts w:hint="eastAsia" w:ascii="宋体" w:hAnsi="宋体" w:cs="宋体"/>
          <w:color w:val="auto"/>
          <w:sz w:val="24"/>
          <w:highlight w:val="none"/>
          <w:lang w:eastAsia="zh-CN"/>
        </w:rPr>
        <w:t>2022年8月2日</w:t>
      </w:r>
      <w:r>
        <w:rPr>
          <w:rFonts w:hint="eastAsia" w:ascii="宋体" w:hAnsi="宋体" w:cs="宋体"/>
          <w:color w:val="auto"/>
          <w:sz w:val="24"/>
          <w:highlight w:val="none"/>
        </w:rPr>
        <w:t>至</w:t>
      </w:r>
      <w:r>
        <w:rPr>
          <w:rFonts w:hint="eastAsia" w:ascii="宋体" w:hAnsi="宋体" w:cs="宋体"/>
          <w:color w:val="auto"/>
          <w:sz w:val="24"/>
          <w:highlight w:val="none"/>
          <w:lang w:eastAsia="zh-CN"/>
        </w:rPr>
        <w:t>2022年8月22日</w:t>
      </w:r>
      <w:r>
        <w:rPr>
          <w:rFonts w:hint="eastAsia" w:ascii="宋体" w:hAnsi="宋体" w:cs="宋体"/>
          <w:color w:val="auto"/>
          <w:sz w:val="24"/>
          <w:highlight w:val="none"/>
        </w:rPr>
        <w:t>。</w:t>
      </w:r>
      <w:bookmarkStart w:id="108" w:name="_Toc275164991"/>
    </w:p>
    <w:p>
      <w:pPr>
        <w:spacing w:line="360" w:lineRule="auto"/>
        <w:jc w:val="right"/>
        <w:rPr>
          <w:rFonts w:hint="eastAsia" w:ascii="宋体" w:hAnsi="宋体"/>
          <w:bCs/>
          <w:color w:val="auto"/>
          <w:sz w:val="28"/>
          <w:highlight w:val="none"/>
          <w:lang w:eastAsia="zh-CN"/>
        </w:rPr>
        <w:sectPr>
          <w:pgSz w:w="11906" w:h="16838"/>
          <w:pgMar w:top="1588" w:right="1418" w:bottom="1418" w:left="1588" w:header="777" w:footer="624" w:gutter="0"/>
          <w:pgBorders>
            <w:top w:val="none" w:sz="0" w:space="0"/>
            <w:left w:val="none" w:sz="0" w:space="0"/>
            <w:bottom w:val="none" w:sz="0" w:space="0"/>
            <w:right w:val="none" w:sz="0" w:space="0"/>
          </w:pgBorders>
          <w:pgNumType w:fmt="decimal"/>
          <w:cols w:space="720" w:num="1"/>
          <w:docGrid w:linePitch="312" w:charSpace="0"/>
        </w:sectPr>
      </w:pPr>
      <w:r>
        <w:rPr>
          <w:color w:val="auto"/>
          <w:highlight w:val="none"/>
        </w:rPr>
        <w:br w:type="page"/>
      </w:r>
      <w:bookmarkEnd w:id="108"/>
      <w:bookmarkStart w:id="109" w:name="_Toc337642449"/>
    </w:p>
    <w:p>
      <w:pPr>
        <w:pStyle w:val="2"/>
        <w:spacing w:before="360" w:after="360" w:line="240" w:lineRule="auto"/>
        <w:jc w:val="center"/>
        <w:rPr>
          <w:rFonts w:hint="eastAsia" w:ascii="宋体" w:hAnsi="宋体"/>
          <w:bCs/>
          <w:color w:val="auto"/>
          <w:sz w:val="28"/>
          <w:highlight w:val="none"/>
        </w:rPr>
      </w:pPr>
      <w:bookmarkStart w:id="110" w:name="_Toc8102"/>
      <w:r>
        <w:rPr>
          <w:rFonts w:hint="eastAsia" w:ascii="宋体" w:hAnsi="宋体"/>
          <w:bCs/>
          <w:color w:val="auto"/>
          <w:sz w:val="28"/>
          <w:highlight w:val="none"/>
          <w:lang w:eastAsia="zh-CN"/>
        </w:rPr>
        <w:t>四</w:t>
      </w:r>
      <w:r>
        <w:rPr>
          <w:rFonts w:hint="eastAsia" w:ascii="宋体" w:hAnsi="宋体"/>
          <w:bCs/>
          <w:color w:val="auto"/>
          <w:sz w:val="28"/>
          <w:highlight w:val="none"/>
        </w:rPr>
        <w:t>、附件</w:t>
      </w:r>
      <w:bookmarkEnd w:id="109"/>
      <w:bookmarkEnd w:id="110"/>
    </w:p>
    <w:p>
      <w:pPr>
        <w:tabs>
          <w:tab w:val="left" w:pos="5670"/>
        </w:tabs>
        <w:spacing w:line="360" w:lineRule="auto"/>
        <w:outlineLvl w:val="1"/>
        <w:rPr>
          <w:rFonts w:hint="eastAsia" w:ascii="宋体" w:hAnsi="宋体"/>
          <w:b/>
          <w:color w:val="auto"/>
          <w:sz w:val="24"/>
          <w:highlight w:val="none"/>
        </w:rPr>
      </w:pPr>
      <w:bookmarkStart w:id="111" w:name="_Toc20232277"/>
      <w:bookmarkStart w:id="112" w:name="_Toc404786224"/>
      <w:bookmarkStart w:id="113" w:name="_Toc8816"/>
      <w:bookmarkStart w:id="114" w:name="_Toc317692952"/>
      <w:bookmarkStart w:id="115" w:name="_Toc288049874"/>
      <w:r>
        <w:rPr>
          <w:rFonts w:hint="eastAsia" w:ascii="宋体" w:hAnsi="宋体"/>
          <w:b/>
          <w:color w:val="auto"/>
          <w:sz w:val="24"/>
          <w:highlight w:val="none"/>
        </w:rPr>
        <w:t>（一）</w:t>
      </w:r>
      <w:bookmarkEnd w:id="111"/>
      <w:bookmarkEnd w:id="112"/>
      <w:r>
        <w:rPr>
          <w:rFonts w:hint="eastAsia" w:ascii="宋体" w:hAnsi="宋体"/>
          <w:b/>
          <w:color w:val="auto"/>
          <w:sz w:val="24"/>
          <w:highlight w:val="none"/>
        </w:rPr>
        <w:t>估价对象位置图</w:t>
      </w:r>
      <w:bookmarkEnd w:id="113"/>
    </w:p>
    <w:p>
      <w:pPr>
        <w:tabs>
          <w:tab w:val="left" w:pos="5670"/>
        </w:tabs>
        <w:spacing w:line="360" w:lineRule="auto"/>
        <w:outlineLvl w:val="1"/>
        <w:rPr>
          <w:rFonts w:hint="eastAsia" w:ascii="宋体" w:hAnsi="宋体" w:eastAsia="宋体"/>
          <w:b/>
          <w:color w:val="auto"/>
          <w:sz w:val="24"/>
          <w:highlight w:val="none"/>
          <w:lang w:eastAsia="zh-CN"/>
        </w:rPr>
      </w:pPr>
      <w:bookmarkStart w:id="116" w:name="_Toc20232278"/>
      <w:bookmarkStart w:id="117" w:name="_Toc25171"/>
      <w:r>
        <w:rPr>
          <w:rFonts w:hint="eastAsia" w:ascii="宋体" w:hAnsi="宋体"/>
          <w:b/>
          <w:color w:val="auto"/>
          <w:sz w:val="24"/>
          <w:highlight w:val="none"/>
        </w:rPr>
        <w:t>（二）</w:t>
      </w:r>
      <w:bookmarkEnd w:id="116"/>
      <w:r>
        <w:rPr>
          <w:rFonts w:hint="eastAsia" w:ascii="宋体" w:hAnsi="宋体"/>
          <w:b/>
          <w:color w:val="auto"/>
          <w:sz w:val="24"/>
          <w:highlight w:val="none"/>
        </w:rPr>
        <w:t>估价委托书（复印件）</w:t>
      </w:r>
      <w:bookmarkEnd w:id="117"/>
    </w:p>
    <w:p>
      <w:pPr>
        <w:tabs>
          <w:tab w:val="left" w:pos="5670"/>
        </w:tabs>
        <w:spacing w:line="360" w:lineRule="auto"/>
        <w:outlineLvl w:val="1"/>
        <w:rPr>
          <w:rFonts w:hint="eastAsia" w:ascii="宋体" w:hAnsi="宋体" w:eastAsia="宋体"/>
          <w:b/>
          <w:color w:val="auto"/>
          <w:sz w:val="24"/>
          <w:highlight w:val="none"/>
          <w:lang w:eastAsia="zh-CN"/>
        </w:rPr>
      </w:pPr>
      <w:bookmarkStart w:id="118" w:name="_Toc404786225"/>
      <w:bookmarkStart w:id="119" w:name="_Toc20232279"/>
      <w:bookmarkStart w:id="120" w:name="_Toc30995"/>
      <w:r>
        <w:rPr>
          <w:rFonts w:hint="eastAsia" w:ascii="宋体" w:hAnsi="宋体"/>
          <w:b/>
          <w:color w:val="auto"/>
          <w:sz w:val="24"/>
          <w:highlight w:val="none"/>
        </w:rPr>
        <w:t>（三）</w:t>
      </w:r>
      <w:bookmarkEnd w:id="118"/>
      <w:bookmarkEnd w:id="119"/>
      <w:r>
        <w:rPr>
          <w:rFonts w:hint="eastAsia" w:ascii="宋体" w:hAnsi="宋体"/>
          <w:b/>
          <w:color w:val="auto"/>
          <w:sz w:val="24"/>
          <w:highlight w:val="none"/>
        </w:rPr>
        <w:t>估价对象权属证明复印件</w:t>
      </w:r>
      <w:bookmarkEnd w:id="120"/>
    </w:p>
    <w:p>
      <w:pPr>
        <w:tabs>
          <w:tab w:val="left" w:pos="5670"/>
        </w:tabs>
        <w:spacing w:line="360" w:lineRule="auto"/>
        <w:outlineLvl w:val="1"/>
        <w:rPr>
          <w:rFonts w:hint="eastAsia" w:ascii="宋体" w:hAnsi="宋体"/>
          <w:b/>
          <w:color w:val="auto"/>
          <w:sz w:val="24"/>
          <w:highlight w:val="none"/>
        </w:rPr>
      </w:pPr>
      <w:bookmarkStart w:id="121" w:name="_Toc404786226"/>
      <w:bookmarkStart w:id="122" w:name="_Toc20232280"/>
      <w:bookmarkStart w:id="123" w:name="_Toc25607"/>
      <w:r>
        <w:rPr>
          <w:rFonts w:hint="eastAsia" w:ascii="宋体" w:hAnsi="宋体"/>
          <w:b/>
          <w:color w:val="auto"/>
          <w:sz w:val="24"/>
          <w:highlight w:val="none"/>
        </w:rPr>
        <w:t>（</w:t>
      </w:r>
      <w:bookmarkEnd w:id="114"/>
      <w:bookmarkEnd w:id="115"/>
      <w:r>
        <w:rPr>
          <w:rFonts w:hint="eastAsia" w:ascii="宋体" w:hAnsi="宋体"/>
          <w:b/>
          <w:color w:val="auto"/>
          <w:sz w:val="24"/>
          <w:highlight w:val="none"/>
        </w:rPr>
        <w:t>四）</w:t>
      </w:r>
      <w:bookmarkEnd w:id="121"/>
      <w:bookmarkEnd w:id="122"/>
      <w:r>
        <w:rPr>
          <w:rFonts w:hint="eastAsia" w:ascii="宋体" w:hAnsi="宋体"/>
          <w:b/>
          <w:color w:val="auto"/>
          <w:sz w:val="24"/>
          <w:highlight w:val="none"/>
        </w:rPr>
        <w:t>估价对象实地查勘情况和相关照片</w:t>
      </w:r>
      <w:bookmarkEnd w:id="123"/>
    </w:p>
    <w:p>
      <w:pPr>
        <w:tabs>
          <w:tab w:val="left" w:pos="5670"/>
        </w:tabs>
        <w:spacing w:line="360" w:lineRule="auto"/>
        <w:outlineLvl w:val="1"/>
        <w:rPr>
          <w:rFonts w:hint="eastAsia" w:ascii="宋体" w:hAnsi="宋体"/>
          <w:b/>
          <w:color w:val="auto"/>
          <w:sz w:val="24"/>
          <w:highlight w:val="none"/>
        </w:rPr>
      </w:pPr>
      <w:bookmarkStart w:id="124" w:name="_Toc288049875"/>
      <w:bookmarkStart w:id="125" w:name="_Toc317692953"/>
      <w:bookmarkStart w:id="126" w:name="_Toc404786227"/>
      <w:bookmarkStart w:id="127" w:name="_Toc20232281"/>
      <w:bookmarkStart w:id="128" w:name="_Toc15939"/>
      <w:r>
        <w:rPr>
          <w:rFonts w:hint="eastAsia" w:ascii="宋体" w:hAnsi="宋体"/>
          <w:b/>
          <w:color w:val="auto"/>
          <w:sz w:val="24"/>
          <w:highlight w:val="none"/>
        </w:rPr>
        <w:t>（</w:t>
      </w:r>
      <w:bookmarkEnd w:id="124"/>
      <w:bookmarkEnd w:id="125"/>
      <w:r>
        <w:rPr>
          <w:rFonts w:hint="eastAsia" w:ascii="宋体" w:hAnsi="宋体"/>
          <w:b/>
          <w:color w:val="auto"/>
          <w:sz w:val="24"/>
          <w:highlight w:val="none"/>
        </w:rPr>
        <w:t>五）</w:t>
      </w:r>
      <w:bookmarkEnd w:id="126"/>
      <w:r>
        <w:rPr>
          <w:rFonts w:hint="eastAsia" w:ascii="宋体" w:hAnsi="宋体"/>
          <w:b/>
          <w:color w:val="auto"/>
          <w:sz w:val="24"/>
          <w:highlight w:val="none"/>
        </w:rPr>
        <w:t>估价对象法定优先受偿款调查情况（无）</w:t>
      </w:r>
      <w:bookmarkEnd w:id="127"/>
      <w:bookmarkEnd w:id="128"/>
    </w:p>
    <w:p>
      <w:pPr>
        <w:tabs>
          <w:tab w:val="left" w:pos="5670"/>
        </w:tabs>
        <w:spacing w:line="360" w:lineRule="auto"/>
        <w:outlineLvl w:val="1"/>
        <w:rPr>
          <w:rFonts w:hint="eastAsia" w:ascii="宋体" w:hAnsi="宋体"/>
          <w:b/>
          <w:color w:val="auto"/>
          <w:sz w:val="24"/>
          <w:highlight w:val="none"/>
        </w:rPr>
      </w:pPr>
      <w:bookmarkStart w:id="129" w:name="_Toc20232283"/>
      <w:bookmarkStart w:id="130" w:name="_Toc9268"/>
      <w:bookmarkStart w:id="131" w:name="_Toc317692955"/>
      <w:bookmarkStart w:id="132" w:name="_Toc404786229"/>
      <w:bookmarkStart w:id="133" w:name="_Toc288049877"/>
      <w:r>
        <w:rPr>
          <w:rFonts w:hint="eastAsia" w:ascii="宋体" w:hAnsi="宋体"/>
          <w:b/>
          <w:color w:val="auto"/>
          <w:sz w:val="24"/>
          <w:highlight w:val="none"/>
        </w:rPr>
        <w:t>（</w:t>
      </w:r>
      <w:r>
        <w:rPr>
          <w:rFonts w:hint="eastAsia" w:ascii="宋体" w:hAnsi="宋体"/>
          <w:b/>
          <w:color w:val="auto"/>
          <w:sz w:val="24"/>
          <w:highlight w:val="none"/>
          <w:lang w:eastAsia="zh-CN"/>
        </w:rPr>
        <w:t>六</w:t>
      </w:r>
      <w:r>
        <w:rPr>
          <w:rFonts w:hint="eastAsia" w:ascii="宋体" w:hAnsi="宋体"/>
          <w:b/>
          <w:color w:val="auto"/>
          <w:sz w:val="24"/>
          <w:highlight w:val="none"/>
        </w:rPr>
        <w:t>）专业帮助情况和相关专业意见（无）</w:t>
      </w:r>
      <w:bookmarkEnd w:id="129"/>
      <w:bookmarkEnd w:id="130"/>
    </w:p>
    <w:p>
      <w:pPr>
        <w:tabs>
          <w:tab w:val="left" w:pos="5670"/>
        </w:tabs>
        <w:spacing w:line="360" w:lineRule="auto"/>
        <w:ind w:firstLine="480" w:firstLineChars="200"/>
        <w:rPr>
          <w:rFonts w:hint="eastAsia" w:ascii="宋体" w:hAnsi="宋体"/>
          <w:b w:val="0"/>
          <w:bCs/>
          <w:color w:val="auto"/>
          <w:sz w:val="24"/>
          <w:highlight w:val="none"/>
        </w:rPr>
      </w:pPr>
      <w:r>
        <w:rPr>
          <w:rFonts w:hint="eastAsia" w:ascii="宋体" w:hAnsi="宋体"/>
          <w:b w:val="0"/>
          <w:bCs/>
          <w:color w:val="auto"/>
          <w:sz w:val="24"/>
          <w:highlight w:val="none"/>
        </w:rPr>
        <w:t>本次评估没有得到其他专业帮助及未依据相关专业意见，故无相关附件。</w:t>
      </w:r>
    </w:p>
    <w:p>
      <w:pPr>
        <w:tabs>
          <w:tab w:val="left" w:pos="5670"/>
        </w:tabs>
        <w:spacing w:line="360" w:lineRule="auto"/>
        <w:outlineLvl w:val="1"/>
        <w:rPr>
          <w:rFonts w:hint="eastAsia" w:ascii="宋体" w:hAnsi="宋体"/>
          <w:b/>
          <w:color w:val="auto"/>
          <w:sz w:val="24"/>
          <w:highlight w:val="none"/>
        </w:rPr>
      </w:pPr>
      <w:bookmarkStart w:id="134" w:name="_Toc20232284"/>
      <w:bookmarkStart w:id="135" w:name="_Toc673"/>
      <w:r>
        <w:rPr>
          <w:rFonts w:hint="eastAsia" w:ascii="宋体" w:hAnsi="宋体"/>
          <w:b/>
          <w:color w:val="auto"/>
          <w:sz w:val="24"/>
          <w:highlight w:val="none"/>
        </w:rPr>
        <w:t>（</w:t>
      </w:r>
      <w:r>
        <w:rPr>
          <w:rFonts w:hint="eastAsia" w:ascii="宋体" w:hAnsi="宋体"/>
          <w:b/>
          <w:color w:val="auto"/>
          <w:sz w:val="24"/>
          <w:highlight w:val="none"/>
          <w:lang w:eastAsia="zh-CN"/>
        </w:rPr>
        <w:t>七</w:t>
      </w:r>
      <w:r>
        <w:rPr>
          <w:rFonts w:hint="eastAsia" w:ascii="宋体" w:hAnsi="宋体"/>
          <w:b/>
          <w:color w:val="auto"/>
          <w:sz w:val="24"/>
          <w:highlight w:val="none"/>
        </w:rPr>
        <w:t>）估价所依据的其他文件资料（无）</w:t>
      </w:r>
      <w:bookmarkEnd w:id="134"/>
      <w:bookmarkEnd w:id="135"/>
    </w:p>
    <w:p>
      <w:pPr>
        <w:tabs>
          <w:tab w:val="left" w:pos="5670"/>
        </w:tabs>
        <w:spacing w:line="360" w:lineRule="auto"/>
        <w:outlineLvl w:val="1"/>
        <w:rPr>
          <w:rFonts w:hint="eastAsia" w:ascii="宋体" w:hAnsi="宋体"/>
          <w:b/>
          <w:color w:val="auto"/>
          <w:sz w:val="24"/>
          <w:highlight w:val="none"/>
        </w:rPr>
      </w:pPr>
      <w:bookmarkStart w:id="136" w:name="_Toc20232285"/>
      <w:bookmarkStart w:id="137" w:name="_Toc11277"/>
      <w:r>
        <w:rPr>
          <w:rFonts w:hint="eastAsia" w:ascii="宋体" w:hAnsi="宋体"/>
          <w:b/>
          <w:color w:val="auto"/>
          <w:sz w:val="24"/>
          <w:highlight w:val="none"/>
        </w:rPr>
        <w:t>（</w:t>
      </w:r>
      <w:r>
        <w:rPr>
          <w:rFonts w:hint="eastAsia" w:ascii="宋体" w:hAnsi="宋体"/>
          <w:b/>
          <w:color w:val="auto"/>
          <w:sz w:val="24"/>
          <w:highlight w:val="none"/>
          <w:lang w:eastAsia="zh-CN"/>
        </w:rPr>
        <w:t>八</w:t>
      </w:r>
      <w:r>
        <w:rPr>
          <w:rFonts w:hint="eastAsia" w:ascii="宋体" w:hAnsi="宋体"/>
          <w:b/>
          <w:color w:val="auto"/>
          <w:sz w:val="24"/>
          <w:highlight w:val="none"/>
        </w:rPr>
        <w:t>）房地产估价机构营业执照和估价资质证书复印件</w:t>
      </w:r>
      <w:bookmarkEnd w:id="131"/>
      <w:bookmarkEnd w:id="132"/>
      <w:bookmarkEnd w:id="133"/>
      <w:bookmarkEnd w:id="136"/>
      <w:bookmarkEnd w:id="137"/>
    </w:p>
    <w:p>
      <w:pPr>
        <w:tabs>
          <w:tab w:val="left" w:pos="5670"/>
        </w:tabs>
        <w:spacing w:line="360" w:lineRule="auto"/>
        <w:outlineLvl w:val="1"/>
        <w:rPr>
          <w:rFonts w:hint="eastAsia" w:ascii="宋体" w:hAnsi="宋体"/>
          <w:b/>
          <w:color w:val="auto"/>
          <w:sz w:val="24"/>
          <w:highlight w:val="none"/>
        </w:rPr>
      </w:pPr>
      <w:bookmarkStart w:id="138" w:name="_Toc20232286"/>
      <w:bookmarkStart w:id="139" w:name="_Toc16733"/>
      <w:r>
        <w:rPr>
          <w:rFonts w:hint="eastAsia" w:ascii="宋体" w:hAnsi="宋体"/>
          <w:b/>
          <w:color w:val="auto"/>
          <w:sz w:val="24"/>
          <w:highlight w:val="none"/>
        </w:rPr>
        <w:t>（</w:t>
      </w:r>
      <w:r>
        <w:rPr>
          <w:rFonts w:hint="eastAsia" w:ascii="宋体" w:hAnsi="宋体"/>
          <w:b/>
          <w:color w:val="auto"/>
          <w:sz w:val="24"/>
          <w:highlight w:val="none"/>
          <w:lang w:eastAsia="zh-CN"/>
        </w:rPr>
        <w:t>九</w:t>
      </w:r>
      <w:r>
        <w:rPr>
          <w:rFonts w:hint="eastAsia" w:ascii="宋体" w:hAnsi="宋体"/>
          <w:b/>
          <w:color w:val="auto"/>
          <w:sz w:val="24"/>
          <w:highlight w:val="none"/>
        </w:rPr>
        <w:t>）注册房地产估价师估价资格证书复印件</w:t>
      </w:r>
      <w:bookmarkEnd w:id="138"/>
      <w:bookmarkEnd w:id="139"/>
    </w:p>
    <w:p>
      <w:pPr>
        <w:tabs>
          <w:tab w:val="left" w:pos="5670"/>
        </w:tabs>
        <w:spacing w:line="360" w:lineRule="auto"/>
        <w:rPr>
          <w:rFonts w:hint="eastAsia" w:ascii="宋体" w:hAnsi="宋体"/>
          <w:b/>
          <w:color w:val="auto"/>
          <w:sz w:val="24"/>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tabs>
          <w:tab w:val="left" w:pos="5670"/>
        </w:tabs>
        <w:spacing w:line="360" w:lineRule="auto"/>
        <w:jc w:val="center"/>
        <w:rPr>
          <w:rFonts w:hint="eastAsia" w:ascii="宋体" w:hAnsi="宋体"/>
          <w:b/>
          <w:bCs/>
          <w:color w:val="auto"/>
          <w:kern w:val="44"/>
          <w:sz w:val="28"/>
          <w:szCs w:val="20"/>
          <w:highlight w:val="none"/>
          <w:lang w:val="en-US" w:eastAsia="zh-CN" w:bidi="ar-SA"/>
        </w:rPr>
      </w:pPr>
    </w:p>
    <w:p>
      <w:pPr>
        <w:tabs>
          <w:tab w:val="left" w:pos="5670"/>
        </w:tabs>
        <w:spacing w:line="360" w:lineRule="auto"/>
        <w:jc w:val="center"/>
        <w:rPr>
          <w:rFonts w:hint="eastAsia" w:ascii="宋体" w:hAnsi="宋体"/>
          <w:b/>
          <w:bCs/>
          <w:color w:val="auto"/>
          <w:kern w:val="44"/>
          <w:sz w:val="28"/>
          <w:szCs w:val="20"/>
          <w:highlight w:val="none"/>
          <w:lang w:val="en-US" w:eastAsia="zh-CN" w:bidi="ar-SA"/>
        </w:rPr>
      </w:pPr>
    </w:p>
    <w:p>
      <w:pPr>
        <w:tabs>
          <w:tab w:val="left" w:pos="5670"/>
        </w:tabs>
        <w:spacing w:line="360" w:lineRule="auto"/>
        <w:jc w:val="center"/>
        <w:rPr>
          <w:rFonts w:hint="eastAsia" w:ascii="宋体" w:hAnsi="宋体"/>
          <w:b/>
          <w:bCs/>
          <w:color w:val="auto"/>
          <w:kern w:val="44"/>
          <w:sz w:val="28"/>
          <w:szCs w:val="20"/>
          <w:highlight w:val="none"/>
          <w:lang w:val="en-US" w:eastAsia="zh-CN" w:bidi="ar-SA"/>
        </w:rPr>
      </w:pPr>
    </w:p>
    <w:p>
      <w:pPr>
        <w:tabs>
          <w:tab w:val="left" w:pos="5670"/>
        </w:tabs>
        <w:spacing w:line="360" w:lineRule="auto"/>
        <w:jc w:val="center"/>
        <w:rPr>
          <w:rFonts w:hint="eastAsia" w:ascii="宋体" w:hAnsi="宋体"/>
          <w:b/>
          <w:bCs/>
          <w:color w:val="auto"/>
          <w:kern w:val="44"/>
          <w:sz w:val="28"/>
          <w:szCs w:val="20"/>
          <w:highlight w:val="none"/>
          <w:lang w:val="en-US" w:eastAsia="zh-CN" w:bidi="ar-SA"/>
        </w:rPr>
      </w:pPr>
    </w:p>
    <w:p>
      <w:pPr>
        <w:tabs>
          <w:tab w:val="left" w:pos="5670"/>
        </w:tabs>
        <w:spacing w:line="360" w:lineRule="auto"/>
        <w:jc w:val="center"/>
        <w:rPr>
          <w:rFonts w:hint="eastAsia" w:ascii="宋体" w:hAnsi="宋体"/>
          <w:b/>
          <w:bCs/>
          <w:color w:val="auto"/>
          <w:kern w:val="44"/>
          <w:sz w:val="28"/>
          <w:szCs w:val="20"/>
          <w:highlight w:val="none"/>
          <w:lang w:val="en-US" w:eastAsia="zh-CN" w:bidi="ar-SA"/>
        </w:rPr>
      </w:pPr>
    </w:p>
    <w:p>
      <w:pPr>
        <w:tabs>
          <w:tab w:val="left" w:pos="5670"/>
        </w:tabs>
        <w:spacing w:line="360" w:lineRule="auto"/>
        <w:jc w:val="center"/>
        <w:rPr>
          <w:rFonts w:hint="eastAsia" w:ascii="宋体" w:hAnsi="宋体"/>
          <w:b/>
          <w:bCs/>
          <w:color w:val="auto"/>
          <w:kern w:val="44"/>
          <w:sz w:val="28"/>
          <w:szCs w:val="20"/>
          <w:highlight w:val="none"/>
          <w:lang w:val="en-US" w:eastAsia="zh-CN" w:bidi="ar-SA"/>
        </w:rPr>
      </w:pPr>
    </w:p>
    <w:p>
      <w:pPr>
        <w:tabs>
          <w:tab w:val="left" w:pos="5670"/>
        </w:tabs>
        <w:spacing w:line="360" w:lineRule="auto"/>
        <w:jc w:val="center"/>
        <w:rPr>
          <w:rFonts w:hint="eastAsia" w:ascii="宋体" w:hAnsi="宋体"/>
          <w:b/>
          <w:bCs/>
          <w:color w:val="auto"/>
          <w:kern w:val="44"/>
          <w:sz w:val="28"/>
          <w:szCs w:val="20"/>
          <w:highlight w:val="none"/>
          <w:lang w:val="en-US" w:eastAsia="zh-CN" w:bidi="ar-SA"/>
        </w:rPr>
      </w:pPr>
    </w:p>
    <w:p>
      <w:pPr>
        <w:tabs>
          <w:tab w:val="left" w:pos="5670"/>
        </w:tabs>
        <w:spacing w:line="360" w:lineRule="auto"/>
        <w:jc w:val="center"/>
        <w:rPr>
          <w:rFonts w:hint="eastAsia" w:ascii="宋体" w:hAnsi="宋体"/>
          <w:b/>
          <w:bCs/>
          <w:color w:val="auto"/>
          <w:kern w:val="44"/>
          <w:sz w:val="28"/>
          <w:szCs w:val="20"/>
          <w:highlight w:val="none"/>
          <w:lang w:val="en-US" w:eastAsia="zh-CN" w:bidi="ar-SA"/>
        </w:rPr>
      </w:pPr>
      <w:r>
        <w:rPr>
          <w:rFonts w:hint="eastAsia" w:ascii="宋体" w:hAnsi="宋体"/>
          <w:b/>
          <w:bCs/>
          <w:color w:val="auto"/>
          <w:kern w:val="44"/>
          <w:sz w:val="28"/>
          <w:szCs w:val="20"/>
          <w:highlight w:val="none"/>
          <w:lang w:val="en-US" w:eastAsia="zh-CN" w:bidi="ar-SA"/>
        </w:rPr>
        <w:t>估价对象位置图</w:t>
      </w:r>
    </w:p>
    <w:p>
      <w:pPr>
        <w:tabs>
          <w:tab w:val="left" w:pos="5670"/>
        </w:tabs>
        <w:spacing w:line="360" w:lineRule="auto"/>
        <w:jc w:val="center"/>
        <w:rPr>
          <w:rFonts w:hint="eastAsia" w:ascii="宋体" w:hAnsi="宋体"/>
          <w:b/>
          <w:bCs/>
          <w:color w:val="auto"/>
          <w:kern w:val="44"/>
          <w:sz w:val="28"/>
          <w:szCs w:val="20"/>
          <w:highlight w:val="none"/>
          <w:lang w:val="en-US" w:eastAsia="zh-CN" w:bidi="ar-SA"/>
        </w:rPr>
      </w:pPr>
    </w:p>
    <w:p>
      <w:pPr>
        <w:jc w:val="center"/>
        <w:rPr>
          <w:rFonts w:hint="eastAsia" w:ascii="宋体" w:hAnsi="宋体" w:eastAsia="宋体" w:cs="宋体"/>
          <w:i w:val="0"/>
          <w:color w:val="auto"/>
          <w:kern w:val="0"/>
          <w:sz w:val="28"/>
          <w:szCs w:val="28"/>
          <w:highlight w:val="none"/>
          <w:u w:val="none"/>
          <w:lang w:val="en-US" w:eastAsia="zh-CN" w:bidi="ar"/>
        </w:rPr>
      </w:pPr>
      <w:r>
        <w:rPr>
          <w:rFonts w:hint="eastAsia" w:ascii="宋体" w:hAnsi="宋体"/>
          <w:color w:val="auto"/>
          <w:sz w:val="28"/>
          <w:szCs w:val="28"/>
          <w:highlight w:val="none"/>
          <w:lang w:eastAsia="zh-CN"/>
        </w:rPr>
        <w:t>汕头市南澳县后宅镇港畔路2号楼1301、1302、1303、1401、1501号</w:t>
      </w:r>
    </w:p>
    <w:p>
      <w:pPr>
        <w:jc w:val="center"/>
        <w:rPr>
          <w:rFonts w:hint="eastAsia" w:ascii="宋体" w:hAnsi="宋体" w:eastAsia="宋体" w:cs="宋体"/>
          <w:i w:val="0"/>
          <w:color w:val="auto"/>
          <w:kern w:val="0"/>
          <w:sz w:val="28"/>
          <w:szCs w:val="28"/>
          <w:highlight w:val="none"/>
          <w:u w:val="none"/>
          <w:lang w:val="en-US" w:eastAsia="zh-CN" w:bidi="ar"/>
        </w:rPr>
      </w:pPr>
    </w:p>
    <w:p>
      <w:pPr>
        <w:rPr>
          <w:rFonts w:hint="eastAsia" w:eastAsia="宋体"/>
          <w:color w:val="auto"/>
          <w:highlight w:val="none"/>
          <w:lang w:eastAsia="zh-CN"/>
        </w:rPr>
      </w:pPr>
      <w:r>
        <w:rPr>
          <w:color w:val="auto"/>
          <w:highlight w:val="none"/>
        </w:rPr>
        <mc:AlternateContent>
          <mc:Choice Requires="wps">
            <w:drawing>
              <wp:anchor distT="0" distB="0" distL="114300" distR="114300" simplePos="0" relativeHeight="251659264" behindDoc="0" locked="0" layoutInCell="1" allowOverlap="1">
                <wp:simplePos x="0" y="0"/>
                <wp:positionH relativeFrom="column">
                  <wp:posOffset>2710815</wp:posOffset>
                </wp:positionH>
                <wp:positionV relativeFrom="paragraph">
                  <wp:posOffset>2438400</wp:posOffset>
                </wp:positionV>
                <wp:extent cx="1002030" cy="278130"/>
                <wp:effectExtent l="156210" t="5080" r="22860" b="402590"/>
                <wp:wrapNone/>
                <wp:docPr id="1" name="自选图形 16"/>
                <wp:cNvGraphicFramePr/>
                <a:graphic xmlns:a="http://schemas.openxmlformats.org/drawingml/2006/main">
                  <a:graphicData uri="http://schemas.microsoft.com/office/word/2010/wordprocessingShape">
                    <wps:wsp>
                      <wps:cNvSpPr/>
                      <wps:spPr>
                        <a:xfrm>
                          <a:off x="0" y="0"/>
                          <a:ext cx="1002030" cy="278130"/>
                        </a:xfrm>
                        <a:prstGeom prst="wedgeRoundRectCallout">
                          <a:avLst>
                            <a:gd name="adj1" fmla="val -63245"/>
                            <a:gd name="adj2" fmla="val 186074"/>
                            <a:gd name="adj3" fmla="val 16667"/>
                          </a:avLst>
                        </a:prstGeom>
                        <a:solidFill>
                          <a:srgbClr val="FF0000">
                            <a:alpha val="54999"/>
                          </a:srgbClr>
                        </a:solidFill>
                        <a:ln w="9525" cap="flat" cmpd="sng">
                          <a:solidFill>
                            <a:srgbClr val="FF0000"/>
                          </a:solidFill>
                          <a:prstDash val="dash"/>
                          <a:miter/>
                          <a:headEnd type="none" w="med" len="med"/>
                          <a:tailEnd type="none" w="med" len="med"/>
                        </a:ln>
                      </wps:spPr>
                      <wps:txbx>
                        <w:txbxContent>
                          <w:p>
                            <w:pPr>
                              <w:jc w:val="center"/>
                              <w:rPr>
                                <w:rFonts w:hint="eastAsia"/>
                                <w:b/>
                                <w:color w:val="FFFFFF"/>
                                <w:sz w:val="24"/>
                              </w:rPr>
                            </w:pPr>
                            <w:r>
                              <w:rPr>
                                <w:rFonts w:hint="eastAsia"/>
                                <w:b/>
                                <w:color w:val="FFFFFF"/>
                                <w:sz w:val="24"/>
                              </w:rPr>
                              <w:t>估价对象</w:t>
                            </w:r>
                          </w:p>
                        </w:txbxContent>
                      </wps:txbx>
                      <wps:bodyPr wrap="square" lIns="108000" tIns="36000" rIns="72000" bIns="36000" upright="1"/>
                    </wps:wsp>
                  </a:graphicData>
                </a:graphic>
              </wp:anchor>
            </w:drawing>
          </mc:Choice>
          <mc:Fallback>
            <w:pict>
              <v:shape id="自选图形 16" o:spid="_x0000_s1026" o:spt="62" type="#_x0000_t62" style="position:absolute;left:0pt;margin-left:213.45pt;margin-top:192pt;height:21.9pt;width:78.9pt;z-index:251659264;mso-width-relative:page;mso-height-relative:page;" fillcolor="#FF0000" filled="t" stroked="t" coordsize="21600,21600" o:gfxdata="UEsDBAoAAAAAAIdO4kAAAAAAAAAAAAAAAAAEAAAAZHJzL1BLAwQUAAAACACHTuJAsWctA9kAAAAL&#10;AQAADwAAAGRycy9kb3ducmV2LnhtbE2Py07DMBBF90j8gzVI7KiTkLYmxKlEEUskSBFVd248JBHx&#10;OIrdB3/PdAXL0T26c265OrtBHHEKvScN6SwBgdR421Or4WPzcqdAhGjImsETavjBAKvq+qo0hfUn&#10;esdjHVvBJRQKo6GLcSykDE2HzoSZH5E4+/KTM5HPqZV2Micud4PMkmQhnemJP3RmxHWHzXd9cBo2&#10;66dPnL9mmDa7UI+q3drnN9L69iZNHkFEPMc/GC76rA4VO+39gWwQg4Y8WzwwquFe5TyKibnKlyD2&#10;l2ipQFal/L+h+gVQSwMEFAAAAAgAh07iQChS+Dt9AgAAGwUAAA4AAABkcnMvZTJvRG9jLnhtbK1U&#10;S27bMBDdF+gdCO4TfRzLH0TOIq6LAkUbJO0BaJGSWPBXkrbsXXdFz5Bdl71De5sA7S06pNTETjZZ&#10;1At5Rnx6fPM4w/OLnRRoy6zjWpU4O00xYqrSlKumxB8/rE6mGDlPFCVCK1biPXP4YvHyxXln5izX&#10;rRaUWQQkys07U+LWezNPEle1TBJ3qg1TsFhrK4mH1DYJtaQDdimSPE2LpNOWGqsr5hy8XfaLeGC0&#10;zyHUdc0rttTVRjLle1bLBPFQkmu5cXgR1dY1q/z7unbMI1FiqNTHJ2wC8To8k8U5mTeWmJZXgwTy&#10;HAmPapKEK9j0nmpJPEEby59QSV5Z7XTtTystk76Q6AhUkaWPvLlpiWGxFrDamXvT3f+jrd5tryzi&#10;FDoBI0UkHPjvrz/+fPl2d/vr7ud3lBXBos64OSBvzJUdMgdhqHdXWxn+oRK0i7bu721lO48qeJml&#10;aZ6OwPEK1vLJNIMYaJKHr411/jXTEoWgxB2jDbvWG0Wv4QAviRB646O9ZPvW+egzHdQS+gmU11LA&#10;sW2JQCfFKD8bD+d6AMoPQdm0SCdnT0GjI1BRFJNB6LAvSP4nNYhwWnC64kLExDbrS2ERiCjxapXC&#10;r5csTEv6t+Oz2Ww2MLoeHm044hEKdSWejfMxGEZgwGpobAilgUNyqomkR18MVEc79/4ewYLyJXFt&#10;j6MQ9QZI7pkFPJm3jNBXiiK/N9AHCsYfBy2SUYwEg9siRBHpCRfPQYJhQkGNoYH6lgmR3613QBPC&#10;taZ7aMAOJhCq+7whFvYUbxS0eJZOg4fIx2xUxMTGZAIXSZjgw5WNsbxpoXuy6HAgh5mJ/g7zHYby&#10;MI+6Hu60xV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CxZy0D2QAAAAsBAAAPAAAAAAAAAAEAIAAA&#10;ACIAAABkcnMvZG93bnJldi54bWxQSwECFAAUAAAACACHTuJAKFL4O30CAAAbBQAADgAAAAAAAAAB&#10;ACAAAAAoAQAAZHJzL2Uyb0RvYy54bWxQSwUGAAAAAAYABgBZAQAAFwYAAAAA&#10;" adj="-2861,50992,14400">
                <v:fill on="t" opacity="36044f" focussize="0,0"/>
                <v:stroke color="#FF0000" joinstyle="miter" dashstyle="dash"/>
                <v:imagedata o:title=""/>
                <o:lock v:ext="edit" aspectratio="f"/>
                <v:textbox inset="3mm,1mm,2mm,1mm">
                  <w:txbxContent>
                    <w:p>
                      <w:pPr>
                        <w:jc w:val="center"/>
                        <w:rPr>
                          <w:rFonts w:hint="eastAsia"/>
                          <w:b/>
                          <w:color w:val="FFFFFF"/>
                          <w:sz w:val="24"/>
                        </w:rPr>
                      </w:pPr>
                      <w:r>
                        <w:rPr>
                          <w:rFonts w:hint="eastAsia"/>
                          <w:b/>
                          <w:color w:val="FFFFFF"/>
                          <w:sz w:val="24"/>
                        </w:rPr>
                        <w:t>估价对象</w:t>
                      </w:r>
                    </w:p>
                  </w:txbxContent>
                </v:textbox>
              </v:shape>
            </w:pict>
          </mc:Fallback>
        </mc:AlternateContent>
      </w:r>
      <w:r>
        <w:drawing>
          <wp:inline distT="0" distB="0" distL="114300" distR="114300">
            <wp:extent cx="5735320" cy="4487545"/>
            <wp:effectExtent l="0" t="0" r="17780" b="8255"/>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pic:cNvPicPr>
                      <a:picLocks noChangeAspect="1"/>
                    </pic:cNvPicPr>
                  </pic:nvPicPr>
                  <pic:blipFill>
                    <a:blip r:embed="rId9"/>
                    <a:stretch>
                      <a:fillRect/>
                    </a:stretch>
                  </pic:blipFill>
                  <pic:spPr>
                    <a:xfrm>
                      <a:off x="0" y="0"/>
                      <a:ext cx="5735320" cy="4487545"/>
                    </a:xfrm>
                    <a:prstGeom prst="rect">
                      <a:avLst/>
                    </a:prstGeom>
                    <a:noFill/>
                    <a:ln>
                      <a:noFill/>
                    </a:ln>
                  </pic:spPr>
                </pic:pic>
              </a:graphicData>
            </a:graphic>
          </wp:inline>
        </w:drawing>
      </w:r>
    </w:p>
    <w:p>
      <w:pPr>
        <w:rPr>
          <w:color w:val="auto"/>
          <w:highlight w:val="none"/>
        </w:rPr>
      </w:pPr>
    </w:p>
    <w:p/>
    <w:sectPr>
      <w:pgSz w:w="11906" w:h="16838"/>
      <w:pgMar w:top="1588" w:right="1418" w:bottom="1418" w:left="1588" w:header="777" w:footer="624" w:gutter="0"/>
      <w:pgBorders>
        <w:top w:val="none" w:sz="0" w:space="0"/>
        <w:left w:val="none" w:sz="0" w:space="0"/>
        <w:bottom w:val="none" w:sz="0" w:space="0"/>
        <w:right w:val="none" w:sz="0" w:space="0"/>
      </w:pgBorders>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创艺简仿宋">
    <w:altName w:val="宋体"/>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_x000B__x000C_">
    <w:altName w:val="Times New Roman"/>
    <w:panose1 w:val="00000000000000000000"/>
    <w:charset w:val="00"/>
    <w:family w:val="roman"/>
    <w:pitch w:val="default"/>
    <w:sig w:usb0="00000000" w:usb1="00000000" w:usb2="00000000" w:usb3="00000000" w:csb0="00040001" w:csb1="00000000"/>
  </w:font>
  <w:font w:name="方正北魏楷书简体">
    <w:altName w:val="宋体"/>
    <w:panose1 w:val="00000000000000000000"/>
    <w:charset w:val="86"/>
    <w:family w:val="roma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MS Sans Serif">
    <w:altName w:val="Arial"/>
    <w:panose1 w:val="00000000000000000000"/>
    <w:charset w:val="00"/>
    <w:family w:val="swiss"/>
    <w:pitch w:val="default"/>
    <w:sig w:usb0="00000000" w:usb1="00000000" w:usb2="00000000" w:usb3="00000000" w:csb0="00000001" w:csb1="00000000"/>
  </w:font>
  <w:font w:name="Arial Narrow">
    <w:altName w:val="Arial"/>
    <w:panose1 w:val="020B0606020202030204"/>
    <w:charset w:val="00"/>
    <w:family w:val="swiss"/>
    <w:pitch w:val="default"/>
    <w:sig w:usb0="00000000" w:usb1="00000000" w:usb2="00000000" w:usb3="00000000" w:csb0="2000009F" w:csb1="DFD70000"/>
  </w:font>
  <w:font w:name="幼圆">
    <w:altName w:val="宋体"/>
    <w:panose1 w:val="02010509060101010101"/>
    <w:charset w:val="86"/>
    <w:family w:val="modern"/>
    <w:pitch w:val="default"/>
    <w:sig w:usb0="00000000" w:usb1="00000000" w:usb2="00000000" w:usb3="00000000" w:csb0="00040000" w:csb1="00000000"/>
  </w:font>
  <w:font w:name="昆仑楷体">
    <w:altName w:val="新宋体"/>
    <w:panose1 w:val="00000000000000000000"/>
    <w:charset w:val="86"/>
    <w:family w:val="modern"/>
    <w:pitch w:val="default"/>
    <w:sig w:usb0="00000000" w:usb1="00000000" w:usb2="00000010" w:usb3="00000000" w:csb0="00040000" w:csb1="0000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pBdr>
        <w:top w:val="single" w:color="auto" w:sz="6" w:space="1"/>
      </w:pBdr>
      <w:rPr>
        <w:rFonts w:hint="eastAsia" w:ascii="宋体" w:hAnsi="宋体"/>
      </w:rPr>
    </w:pPr>
    <w:r>
      <w:rPr>
        <w:sz w:val="1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1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28575">
                        <a:noFill/>
                      </a:ln>
                    </wps:spPr>
                    <wps:txbx>
                      <w:txbxContent>
                        <w:p>
                          <w:pPr>
                            <w:pStyle w:val="47"/>
                            <w:pBdr>
                              <w:top w:val="single" w:color="auto" w:sz="6" w:space="1"/>
                            </w:pBdr>
                          </w:pPr>
                          <w:r>
                            <w:rPr>
                              <w:rFonts w:hint="eastAsia" w:ascii="宋体" w:hAnsi="宋体"/>
                            </w:rPr>
                            <w:t xml:space="preserve">机构地址：汕头市澄海区玉亭路南侧、玉潭路西侧馥璟园1幢804号、805号、806号                   </w:t>
                          </w:r>
                          <w:r>
                            <w:rPr>
                              <w:rFonts w:ascii="宋体" w:hAnsi="宋体"/>
                            </w:rPr>
                            <w:t xml:space="preserve">- </w:t>
                          </w:r>
                          <w:r>
                            <w:rPr>
                              <w:rFonts w:ascii="宋体" w:hAnsi="宋体"/>
                            </w:rPr>
                            <w:fldChar w:fldCharType="begin"/>
                          </w:r>
                          <w:r>
                            <w:rPr>
                              <w:rFonts w:ascii="宋体" w:hAnsi="宋体"/>
                            </w:rPr>
                            <w:instrText xml:space="preserve"> PAGE </w:instrText>
                          </w:r>
                          <w:r>
                            <w:rPr>
                              <w:rFonts w:ascii="宋体" w:hAnsi="宋体"/>
                            </w:rPr>
                            <w:fldChar w:fldCharType="separate"/>
                          </w:r>
                          <w:r>
                            <w:rPr>
                              <w:rFonts w:ascii="宋体" w:hAnsi="宋体"/>
                            </w:rPr>
                            <w:t>10</w:t>
                          </w:r>
                          <w:r>
                            <w:rPr>
                              <w:rFonts w:ascii="宋体" w:hAnsi="宋体"/>
                            </w:rPr>
                            <w:fldChar w:fldCharType="end"/>
                          </w:r>
                          <w:r>
                            <w:rPr>
                              <w:rFonts w:ascii="宋体" w:hAnsi="宋体"/>
                            </w:rPr>
                            <w:t xml:space="preserve"> -</w:t>
                          </w:r>
                        </w:p>
                      </w:txbxContent>
                    </wps:txbx>
                    <wps:bodyPr vert="horz" wrap="none" lIns="0" tIns="0" rIns="0" bIns="0" anchor="t" anchorCtr="0" upright="0">
                      <a:spAutoFit/>
                    </wps:bodyPr>
                  </wps:wsp>
                </a:graphicData>
              </a:graphic>
            </wp:anchor>
          </w:drawing>
        </mc:Choice>
        <mc:Fallback>
          <w:pict>
            <v:shape id="文本框 1"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Y/c1QNIAAAAF&#10;AQAADwAAAGRycy9kb3ducmV2LnhtbE2PQU/DMAyF70j8h8hI3Fi6HlBVmu4AQgJxAAaHcfMa00Q0&#10;TtVk3fbvMQiJXSw/Pev5e83qEAY105R8ZAPLRQGKuIvWc2/g/e3+qgKVMrLFITIZOFKCVXt+1mBt&#10;455faV7nXkkIpxoNuJzHWuvUOQqYFnEkFu8zTgGzyKnXdsK9hIdBl0VxrQN6lg8OR7p11H2td8HA&#10;s9ts5uj808cxPjyO3Uvp73JpzOXFsrgBlemQ/4/hB1/QoRWmbdyxTWowIEXy7xSvrCqR279Ft40+&#10;pW+/AVBLAwQUAAAACACHTuJA9nmPWugBAADJAwAADgAAAGRycy9lMm9Eb2MueG1srVPBbtswDL0P&#10;6D8Iujd2DLQzjDhFt6DFgGEb0O0DFFmOBUiiICmxsw/Y/mCnXXbfd+U7Ssl2OnSXHnqxKZF85Huk&#10;VjeDVuQgnJdgarpc5JQIw6GRZlfTb1/vLktKfGCmYQqMqOlReHqzvniz6m0lCuhANcIRBDG+6m1N&#10;uxBslWWed0IzvwArDDpbcJoFPLpd1jjWI7pWWZHn11kPrrEOuPAebzejk06I7iWA0LaSiw3wvRYm&#10;jKhOKBaQku+k9XSdum1bwcPntvUiEFVTZBrSF4ugvY3fbL1i1c4x20k+tcBe0sIzTppJg0XPUBsW&#10;GNk7+R+UltyBhzYsOOhsJJIUQRbL/Jk2Dx2zInFBqb09i+5fD5Z/OnxxRDa4CQUlhmmc+OnXz9Pv&#10;v6c/P8gy6tNbX2HYg8XAMLyDAWPne4+XkfbQOh3/SIigH9U9ntUVQyA8JpVFWebo4uibD4ifPaVb&#10;58O9AE2iUVOH40uqssNHH8bQOSRWM3AnlUojVIb0NS3Kq7dXKePsQnRlsEhkMXYbrTBsh4naFpoj&#10;MsMXgRU7cN8p6XEfampw/SlRHwzKHVdnNtxsbGeDGY6JNQ2UjOb7MK7Y3jq569LSxX69vd0H7DlR&#10;iW2MtafucMJJjGkb4wr9e05RTy9w/Qh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j9zVA0gAAAAUB&#10;AAAPAAAAAAAAAAEAIAAAACIAAABkcnMvZG93bnJldi54bWxQSwECFAAUAAAACACHTuJA9nmPWugB&#10;AADJAwAADgAAAAAAAAABACAAAAAhAQAAZHJzL2Uyb0RvYy54bWxQSwUGAAAAAAYABgBZAQAAewUA&#10;AAAA&#10;">
              <v:fill on="f" focussize="0,0"/>
              <v:stroke on="f" weight="2.25pt"/>
              <v:imagedata o:title=""/>
              <o:lock v:ext="edit" aspectratio="f"/>
              <v:textbox inset="0mm,0mm,0mm,0mm" style="mso-fit-shape-to-text:t;">
                <w:txbxContent>
                  <w:p>
                    <w:pPr>
                      <w:pStyle w:val="47"/>
                      <w:pBdr>
                        <w:top w:val="single" w:color="auto" w:sz="6" w:space="1"/>
                      </w:pBdr>
                    </w:pPr>
                    <w:r>
                      <w:rPr>
                        <w:rFonts w:hint="eastAsia" w:ascii="宋体" w:hAnsi="宋体"/>
                      </w:rPr>
                      <w:t xml:space="preserve">机构地址：汕头市澄海区玉亭路南侧、玉潭路西侧馥璟园1幢804号、805号、806号                   </w:t>
                    </w:r>
                    <w:r>
                      <w:rPr>
                        <w:rFonts w:ascii="宋体" w:hAnsi="宋体"/>
                      </w:rPr>
                      <w:t xml:space="preserve">- </w:t>
                    </w:r>
                    <w:r>
                      <w:rPr>
                        <w:rFonts w:ascii="宋体" w:hAnsi="宋体"/>
                      </w:rPr>
                      <w:fldChar w:fldCharType="begin"/>
                    </w:r>
                    <w:r>
                      <w:rPr>
                        <w:rFonts w:ascii="宋体" w:hAnsi="宋体"/>
                      </w:rPr>
                      <w:instrText xml:space="preserve"> PAGE </w:instrText>
                    </w:r>
                    <w:r>
                      <w:rPr>
                        <w:rFonts w:ascii="宋体" w:hAnsi="宋体"/>
                      </w:rPr>
                      <w:fldChar w:fldCharType="separate"/>
                    </w:r>
                    <w:r>
                      <w:rPr>
                        <w:rFonts w:ascii="宋体" w:hAnsi="宋体"/>
                      </w:rPr>
                      <w:t>10</w:t>
                    </w:r>
                    <w:r>
                      <w:rPr>
                        <w:rFonts w:ascii="宋体" w:hAnsi="宋体"/>
                      </w:rPr>
                      <w:fldChar w:fldCharType="end"/>
                    </w:r>
                    <w:r>
                      <w:rPr>
                        <w:rFonts w:ascii="宋体" w:hAnsi="宋体"/>
                      </w:rPr>
                      <w:t xml:space="preserve"> -</w:t>
                    </w:r>
                  </w:p>
                </w:txbxContent>
              </v:textbox>
            </v:shape>
          </w:pict>
        </mc:Fallback>
      </mc:AlternateContent>
    </w:r>
  </w:p>
  <w:p>
    <w:pPr>
      <w:pStyle w:val="47"/>
      <w:pBdr>
        <w:top w:val="single" w:color="auto" w:sz="6" w:space="1"/>
      </w:pBdr>
      <w:rPr>
        <w:rFonts w:hint="eastAsia" w:ascii="宋体" w:hAnsi="宋体"/>
      </w:rPr>
    </w:pPr>
    <w:r>
      <w:rPr>
        <w:rFonts w:hint="eastAsia" w:ascii="宋体" w:hAnsi="宋体"/>
      </w:rPr>
      <w:t>联系电话：0754-85637799       传真：0754-85637099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pBdr>
        <w:top w:val="single" w:color="auto" w:sz="6" w:space="1"/>
      </w:pBdr>
      <w:rPr>
        <w:rFonts w:hint="eastAsia" w:ascii="宋体" w:hAnsi="宋体"/>
      </w:rPr>
    </w:pPr>
    <w:r>
      <w:rPr>
        <w:sz w:val="18"/>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1828800" cy="1828800"/>
              <wp:effectExtent l="0" t="0" r="0" b="0"/>
              <wp:wrapNone/>
              <wp:docPr id="13"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28575">
                        <a:noFill/>
                      </a:ln>
                    </wps:spPr>
                    <wps:txbx>
                      <w:txbxContent>
                        <w:p>
                          <w:pPr>
                            <w:pStyle w:val="47"/>
                            <w:pBdr>
                              <w:top w:val="single" w:color="auto" w:sz="6" w:space="1"/>
                            </w:pBdr>
                          </w:pPr>
                          <w:r>
                            <w:rPr>
                              <w:rFonts w:hint="eastAsia" w:ascii="宋体" w:hAnsi="宋体"/>
                            </w:rPr>
                            <w:t xml:space="preserve">机构地址：汕头市澄海区玉亭路南侧、玉潭路西侧馥璟园1幢804号、805号、806号                   </w:t>
                          </w:r>
                          <w:r>
                            <w:rPr>
                              <w:rFonts w:ascii="宋体" w:hAnsi="宋体"/>
                            </w:rPr>
                            <w:t xml:space="preserve">- </w:t>
                          </w:r>
                          <w:r>
                            <w:rPr>
                              <w:rFonts w:ascii="宋体" w:hAnsi="宋体"/>
                            </w:rPr>
                            <w:fldChar w:fldCharType="begin"/>
                          </w:r>
                          <w:r>
                            <w:rPr>
                              <w:rFonts w:ascii="宋体" w:hAnsi="宋体"/>
                            </w:rPr>
                            <w:instrText xml:space="preserve"> PAGE </w:instrText>
                          </w:r>
                          <w:r>
                            <w:rPr>
                              <w:rFonts w:ascii="宋体" w:hAnsi="宋体"/>
                            </w:rPr>
                            <w:fldChar w:fldCharType="separate"/>
                          </w:r>
                          <w:r>
                            <w:rPr>
                              <w:rFonts w:ascii="宋体" w:hAnsi="宋体"/>
                            </w:rPr>
                            <w:t>10</w:t>
                          </w:r>
                          <w:r>
                            <w:rPr>
                              <w:rFonts w:ascii="宋体" w:hAnsi="宋体"/>
                            </w:rPr>
                            <w:fldChar w:fldCharType="end"/>
                          </w:r>
                          <w:r>
                            <w:rPr>
                              <w:rFonts w:ascii="宋体" w:hAnsi="宋体"/>
                            </w:rPr>
                            <w:t xml:space="preserve"> -</w:t>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left;mso-position-horizontal-relative:margin;mso-wrap-style:none;z-index:251660288;mso-width-relative:page;mso-height-relative:page;" filled="f" stroked="f" coordsize="21600,21600" o:gfxdata="UEsDBAoAAAAAAIdO4kAAAAAAAAAAAAAAAAAEAAAAZHJzL1BLAwQUAAAACACHTuJAY/c1QNIAAAAF&#10;AQAADwAAAGRycy9kb3ducmV2LnhtbE2PQU/DMAyF70j8h8hI3Fi6HlBVmu4AQgJxAAaHcfMa00Q0&#10;TtVk3fbvMQiJXSw/Pev5e83qEAY105R8ZAPLRQGKuIvWc2/g/e3+qgKVMrLFITIZOFKCVXt+1mBt&#10;455faV7nXkkIpxoNuJzHWuvUOQqYFnEkFu8zTgGzyKnXdsK9hIdBl0VxrQN6lg8OR7p11H2td8HA&#10;s9ts5uj808cxPjyO3Uvp73JpzOXFsrgBlemQ/4/hB1/QoRWmbdyxTWowIEXy7xSvrCqR279Ft40+&#10;pW+/AVBLAwQUAAAACACHTuJAK5bNP9IBAACkAwAADgAAAGRycy9lMm9Eb2MueG1srVPNjtMwEL4j&#10;8Q6W7zTZoIUoarpaVC1CQoC08ACuYzeW/CeP26QvAG/AiQt3nqvPwdhJumi57GEvzoxn/M1830zW&#10;N6PR5CgCKGdberUqKRGWu07ZfUu/fb17VVMCkdmOaWdFS08C6M3m5Yv14BtRud7pTgSCIBaawbe0&#10;j9E3RQG8F4bBynlhMShdMCyiG/ZFF9iA6EYXVVm+KQYXOh8cFwB4u52CdEYMTwF0Uiouto4fjLBx&#10;Qg1Cs4iUoFce6CZ3K6Xg8bOUICLRLUWmMZ9YBO1dOovNmjX7wHyv+NwCe0oLjzgZpiwWvUBtWWTk&#10;ENR/UEbx4MDJuOLOFBORrAiyuCofaXPfMy8yF5Qa/EV0eD5Y/un4JRDV4Sa8psQygxM///xx/vXn&#10;/Ps7qZI+g4cG0+49JsbxnRsxd7kHvEy0RxlM+iIhgnFU93RRV4yR8PSoruq6xBDH2OIgfvHw3AeI&#10;74UzJBktDTi+rCo7foQ4pS4pqZp1d0rrPEJtydDSqr5+e51fXEKIri0WSSymbpMVx904U9u57oTM&#10;BtyBllpceUr0B4sSp3VZjLAYu8U4+KD2fd6n1Ar420PEdnKXqcIEOxfG4WWe86Kl7fjXz1kPP9fm&#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P3NUDSAAAABQEAAA8AAAAAAAAAAQAgAAAAIgAAAGRy&#10;cy9kb3ducmV2LnhtbFBLAQIUABQAAAAIAIdO4kArls0/0gEAAKQDAAAOAAAAAAAAAAEAIAAAACEB&#10;AABkcnMvZTJvRG9jLnhtbFBLBQYAAAAABgAGAFkBAABlBQAAAAA=&#10;">
              <v:fill on="f" focussize="0,0"/>
              <v:stroke on="f" weight="2.25pt"/>
              <v:imagedata o:title=""/>
              <o:lock v:ext="edit" aspectratio="f"/>
              <v:textbox inset="0mm,0mm,0mm,0mm" style="mso-fit-shape-to-text:t;">
                <w:txbxContent>
                  <w:p>
                    <w:pPr>
                      <w:pStyle w:val="47"/>
                      <w:pBdr>
                        <w:top w:val="single" w:color="auto" w:sz="6" w:space="1"/>
                      </w:pBdr>
                    </w:pPr>
                    <w:r>
                      <w:rPr>
                        <w:rFonts w:hint="eastAsia" w:ascii="宋体" w:hAnsi="宋体"/>
                      </w:rPr>
                      <w:t xml:space="preserve">机构地址：汕头市澄海区玉亭路南侧、玉潭路西侧馥璟园1幢804号、805号、806号                   </w:t>
                    </w:r>
                    <w:r>
                      <w:rPr>
                        <w:rFonts w:ascii="宋体" w:hAnsi="宋体"/>
                      </w:rPr>
                      <w:t xml:space="preserve">- </w:t>
                    </w:r>
                    <w:r>
                      <w:rPr>
                        <w:rFonts w:ascii="宋体" w:hAnsi="宋体"/>
                      </w:rPr>
                      <w:fldChar w:fldCharType="begin"/>
                    </w:r>
                    <w:r>
                      <w:rPr>
                        <w:rFonts w:ascii="宋体" w:hAnsi="宋体"/>
                      </w:rPr>
                      <w:instrText xml:space="preserve"> PAGE </w:instrText>
                    </w:r>
                    <w:r>
                      <w:rPr>
                        <w:rFonts w:ascii="宋体" w:hAnsi="宋体"/>
                      </w:rPr>
                      <w:fldChar w:fldCharType="separate"/>
                    </w:r>
                    <w:r>
                      <w:rPr>
                        <w:rFonts w:ascii="宋体" w:hAnsi="宋体"/>
                      </w:rPr>
                      <w:t>10</w:t>
                    </w:r>
                    <w:r>
                      <w:rPr>
                        <w:rFonts w:ascii="宋体" w:hAnsi="宋体"/>
                      </w:rPr>
                      <w:fldChar w:fldCharType="end"/>
                    </w:r>
                    <w:r>
                      <w:rPr>
                        <w:rFonts w:ascii="宋体" w:hAnsi="宋体"/>
                      </w:rPr>
                      <w:t xml:space="preserve"> -</w:t>
                    </w:r>
                  </w:p>
                </w:txbxContent>
              </v:textbox>
            </v:shape>
          </w:pict>
        </mc:Fallback>
      </mc:AlternateContent>
    </w:r>
  </w:p>
  <w:p>
    <w:pPr>
      <w:pStyle w:val="47"/>
      <w:pBdr>
        <w:top w:val="single" w:color="auto" w:sz="6" w:space="1"/>
      </w:pBdr>
      <w:rPr>
        <w:rFonts w:hint="eastAsia" w:ascii="宋体" w:hAnsi="宋体"/>
      </w:rPr>
    </w:pPr>
    <w:r>
      <w:rPr>
        <w:rFonts w:hint="eastAsia" w:ascii="宋体" w:hAnsi="宋体"/>
      </w:rPr>
      <w:t>联系电话：0754-85637799       传真：0754-85637099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pBdr>
        <w:top w:val="single" w:color="auto" w:sz="6" w:space="1"/>
      </w:pBdr>
      <w:rPr>
        <w:rFonts w:hint="eastAsia" w:ascii="宋体" w:hAnsi="宋体"/>
      </w:rPr>
    </w:pPr>
    <w:r>
      <w:rPr>
        <w:sz w:val="18"/>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0</wp:posOffset>
              </wp:positionV>
              <wp:extent cx="1828800" cy="1828800"/>
              <wp:effectExtent l="0" t="0" r="0" b="0"/>
              <wp:wrapNone/>
              <wp:docPr id="14"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28575">
                        <a:noFill/>
                      </a:ln>
                    </wps:spPr>
                    <wps:txbx>
                      <w:txbxContent>
                        <w:p>
                          <w:pPr>
                            <w:pStyle w:val="47"/>
                            <w:pBdr>
                              <w:top w:val="single" w:color="auto" w:sz="6" w:space="1"/>
                            </w:pBdr>
                          </w:pPr>
                          <w:r>
                            <w:rPr>
                              <w:rFonts w:hint="eastAsia" w:ascii="宋体" w:hAnsi="宋体"/>
                            </w:rPr>
                            <w:t xml:space="preserve">机构地址：汕头市澄海区玉亭路南侧、玉潭路西侧馥璟园1幢804号、805号、806号                   </w:t>
                          </w:r>
                          <w:r>
                            <w:rPr>
                              <w:rFonts w:ascii="宋体" w:hAnsi="宋体"/>
                            </w:rPr>
                            <w:t xml:space="preserve">- </w:t>
                          </w:r>
                          <w:r>
                            <w:rPr>
                              <w:rFonts w:ascii="宋体" w:hAnsi="宋体"/>
                            </w:rPr>
                            <w:fldChar w:fldCharType="begin"/>
                          </w:r>
                          <w:r>
                            <w:rPr>
                              <w:rFonts w:ascii="宋体" w:hAnsi="宋体"/>
                            </w:rPr>
                            <w:instrText xml:space="preserve"> PAGE </w:instrText>
                          </w:r>
                          <w:r>
                            <w:rPr>
                              <w:rFonts w:ascii="宋体" w:hAnsi="宋体"/>
                            </w:rPr>
                            <w:fldChar w:fldCharType="separate"/>
                          </w:r>
                          <w:r>
                            <w:rPr>
                              <w:rFonts w:ascii="宋体" w:hAnsi="宋体"/>
                            </w:rPr>
                            <w:t>10</w:t>
                          </w:r>
                          <w:r>
                            <w:rPr>
                              <w:rFonts w:ascii="宋体" w:hAnsi="宋体"/>
                            </w:rPr>
                            <w:fldChar w:fldCharType="end"/>
                          </w:r>
                          <w:r>
                            <w:rPr>
                              <w:rFonts w:ascii="宋体" w:hAnsi="宋体"/>
                            </w:rPr>
                            <w:t xml:space="preserve"> -</w:t>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left;mso-position-horizontal-relative:margin;mso-wrap-style:none;z-index:251661312;mso-width-relative:page;mso-height-relative:page;" filled="f" stroked="f" coordsize="21600,21600" o:gfxdata="UEsDBAoAAAAAAIdO4kAAAAAAAAAAAAAAAAAEAAAAZHJzL1BLAwQUAAAACACHTuJAY/c1QNIAAAAF&#10;AQAADwAAAGRycy9kb3ducmV2LnhtbE2PQU/DMAyF70j8h8hI3Fi6HlBVmu4AQgJxAAaHcfMa00Q0&#10;TtVk3fbvMQiJXSw/Pev5e83qEAY105R8ZAPLRQGKuIvWc2/g/e3+qgKVMrLFITIZOFKCVXt+1mBt&#10;455faV7nXkkIpxoNuJzHWuvUOQqYFnEkFu8zTgGzyKnXdsK9hIdBl0VxrQN6lg8OR7p11H2td8HA&#10;s9ts5uj808cxPjyO3Uvp73JpzOXFsrgBlemQ/4/hB1/QoRWmbdyxTWowIEXy7xSvrCqR279Ft40+&#10;pW+/AVBLAwQUAAAACACHTuJAE2VA0dMBAACkAwAADgAAAGRycy9lMm9Eb2MueG1srVNLbtswEN0X&#10;yB0I7mMpbtMKguWghZGiQNEWSHIAmiItAvyBQ1vyBdobdNVN9z2Xz5EhJTlFusmiG2qGM3wz781o&#10;dTMYTQ4igHK2oVeLkhJhuWuV3TX04f72sqIEIrMt086Khh4F0Jv1xatV72uxdJ3TrQgEQSzUvW9o&#10;F6OviwJ4JwyDhfPCYlC6YFhEN+yKNrAe0Y0ulmX5tuhdaH1wXADg7WYM0gkxvATQSam42Di+N8LG&#10;ETUIzSJSgk55oOvcrZSCx69SgohENxSZxnxiEbS36SzWK1bvAvOd4lML7CUtPONkmLJY9Ay1YZGR&#10;fVD/QBnFgwMn44I7U4xEsiLI4qp8ps1dx7zIXFBq8GfR4f/B8i+Hb4GoFjfhDSWWGZz46eeP068/&#10;p9/fyeukT++hxrQ7j4lx+OAGzJ3vAS8T7UEGk75IiGAc1T2e1RVDJDw9qpZVVWKIY2x2EL94eu4D&#10;xI/CGZKMhgYcX1aVHT5DHFPnlFTNululdR6htqRv6LK6fnedX5xDiK4tFkksxm6TFYftMFHbuvaI&#10;zHrcgYZaXHlK9CeLEqd1mY0wG9vZ2Pugdl3ep9QK+Pf7iO3kLlOFEXYqjMPLPKdFS9vxt5+znn6u&#10;9S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j9zVA0gAAAAUBAAAPAAAAAAAAAAEAIAAAACIAAABk&#10;cnMvZG93bnJldi54bWxQSwECFAAUAAAACACHTuJAE2VA0dMBAACkAwAADgAAAAAAAAABACAAAAAh&#10;AQAAZHJzL2Uyb0RvYy54bWxQSwUGAAAAAAYABgBZAQAAZgUAAAAA&#10;">
              <v:fill on="f" focussize="0,0"/>
              <v:stroke on="f" weight="2.25pt"/>
              <v:imagedata o:title=""/>
              <o:lock v:ext="edit" aspectratio="f"/>
              <v:textbox inset="0mm,0mm,0mm,0mm" style="mso-fit-shape-to-text:t;">
                <w:txbxContent>
                  <w:p>
                    <w:pPr>
                      <w:pStyle w:val="47"/>
                      <w:pBdr>
                        <w:top w:val="single" w:color="auto" w:sz="6" w:space="1"/>
                      </w:pBdr>
                    </w:pPr>
                    <w:r>
                      <w:rPr>
                        <w:rFonts w:hint="eastAsia" w:ascii="宋体" w:hAnsi="宋体"/>
                      </w:rPr>
                      <w:t xml:space="preserve">机构地址：汕头市澄海区玉亭路南侧、玉潭路西侧馥璟园1幢804号、805号、806号                   </w:t>
                    </w:r>
                    <w:r>
                      <w:rPr>
                        <w:rFonts w:ascii="宋体" w:hAnsi="宋体"/>
                      </w:rPr>
                      <w:t xml:space="preserve">- </w:t>
                    </w:r>
                    <w:r>
                      <w:rPr>
                        <w:rFonts w:ascii="宋体" w:hAnsi="宋体"/>
                      </w:rPr>
                      <w:fldChar w:fldCharType="begin"/>
                    </w:r>
                    <w:r>
                      <w:rPr>
                        <w:rFonts w:ascii="宋体" w:hAnsi="宋体"/>
                      </w:rPr>
                      <w:instrText xml:space="preserve"> PAGE </w:instrText>
                    </w:r>
                    <w:r>
                      <w:rPr>
                        <w:rFonts w:ascii="宋体" w:hAnsi="宋体"/>
                      </w:rPr>
                      <w:fldChar w:fldCharType="separate"/>
                    </w:r>
                    <w:r>
                      <w:rPr>
                        <w:rFonts w:ascii="宋体" w:hAnsi="宋体"/>
                      </w:rPr>
                      <w:t>10</w:t>
                    </w:r>
                    <w:r>
                      <w:rPr>
                        <w:rFonts w:ascii="宋体" w:hAnsi="宋体"/>
                      </w:rPr>
                      <w:fldChar w:fldCharType="end"/>
                    </w:r>
                    <w:r>
                      <w:rPr>
                        <w:rFonts w:ascii="宋体" w:hAnsi="宋体"/>
                      </w:rPr>
                      <w:t xml:space="preserve"> -</w:t>
                    </w:r>
                  </w:p>
                </w:txbxContent>
              </v:textbox>
            </v:shape>
          </w:pict>
        </mc:Fallback>
      </mc:AlternateContent>
    </w:r>
  </w:p>
  <w:p>
    <w:pPr>
      <w:pStyle w:val="47"/>
      <w:pBdr>
        <w:top w:val="single" w:color="auto" w:sz="6" w:space="1"/>
      </w:pBdr>
      <w:rPr>
        <w:rFonts w:hint="eastAsia" w:ascii="宋体" w:hAnsi="宋体"/>
      </w:rPr>
    </w:pPr>
    <w:r>
      <w:rPr>
        <w:rFonts w:hint="eastAsia" w:ascii="宋体" w:hAnsi="宋体"/>
      </w:rPr>
      <w:t>联系电话：0754-85637799       传真：0754-85637099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pBdr>
        <w:top w:val="single" w:color="auto" w:sz="6" w:space="1"/>
      </w:pBdr>
      <w:rPr>
        <w:rFonts w:hint="eastAsia" w:ascii="宋体" w:hAnsi="宋体"/>
      </w:rPr>
    </w:pPr>
    <w:r>
      <w:rPr>
        <w:sz w:val="18"/>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0</wp:posOffset>
              </wp:positionV>
              <wp:extent cx="1828800" cy="1828800"/>
              <wp:effectExtent l="0" t="0" r="0" b="0"/>
              <wp:wrapNone/>
              <wp:docPr id="15"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28575">
                        <a:noFill/>
                      </a:ln>
                    </wps:spPr>
                    <wps:txbx>
                      <w:txbxContent>
                        <w:p>
                          <w:pPr>
                            <w:pStyle w:val="47"/>
                            <w:pBdr>
                              <w:top w:val="single" w:color="auto" w:sz="6" w:space="1"/>
                            </w:pBdr>
                          </w:pPr>
                          <w:r>
                            <w:rPr>
                              <w:rFonts w:hint="eastAsia" w:ascii="宋体" w:hAnsi="宋体"/>
                            </w:rPr>
                            <w:t xml:space="preserve">机构地址：汕头市澄海区玉亭路南侧、玉潭路西侧馥璟园1幢804号、805号、806号                   </w:t>
                          </w:r>
                          <w:r>
                            <w:rPr>
                              <w:rFonts w:ascii="宋体" w:hAnsi="宋体"/>
                            </w:rPr>
                            <w:t xml:space="preserve">- </w:t>
                          </w:r>
                          <w:r>
                            <w:rPr>
                              <w:rFonts w:ascii="宋体" w:hAnsi="宋体"/>
                            </w:rPr>
                            <w:fldChar w:fldCharType="begin"/>
                          </w:r>
                          <w:r>
                            <w:rPr>
                              <w:rFonts w:ascii="宋体" w:hAnsi="宋体"/>
                            </w:rPr>
                            <w:instrText xml:space="preserve"> PAGE </w:instrText>
                          </w:r>
                          <w:r>
                            <w:rPr>
                              <w:rFonts w:ascii="宋体" w:hAnsi="宋体"/>
                            </w:rPr>
                            <w:fldChar w:fldCharType="separate"/>
                          </w:r>
                          <w:r>
                            <w:rPr>
                              <w:rFonts w:ascii="宋体" w:hAnsi="宋体"/>
                            </w:rPr>
                            <w:t>10</w:t>
                          </w:r>
                          <w:r>
                            <w:rPr>
                              <w:rFonts w:ascii="宋体" w:hAnsi="宋体"/>
                            </w:rPr>
                            <w:fldChar w:fldCharType="end"/>
                          </w:r>
                          <w:r>
                            <w:rPr>
                              <w:rFonts w:ascii="宋体" w:hAnsi="宋体"/>
                            </w:rPr>
                            <w:t xml:space="preserve"> -</w:t>
                          </w:r>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44pt;width:144pt;mso-position-horizontal:left;mso-position-horizontal-relative:margin;mso-wrap-style:none;z-index:251662336;mso-width-relative:page;mso-height-relative:page;" filled="f" stroked="f" coordsize="21600,21600" o:gfxdata="UEsDBAoAAAAAAIdO4kAAAAAAAAAAAAAAAAAEAAAAZHJzL1BLAwQUAAAACACHTuJAY/c1QNIAAAAF&#10;AQAADwAAAGRycy9kb3ducmV2LnhtbE2PQU/DMAyF70j8h8hI3Fi6HlBVmu4AQgJxAAaHcfMa00Q0&#10;TtVk3fbvMQiJXSw/Pev5e83qEAY105R8ZAPLRQGKuIvWc2/g/e3+qgKVMrLFITIZOFKCVXt+1mBt&#10;455faV7nXkkIpxoNuJzHWuvUOQqYFnEkFu8zTgGzyKnXdsK9hIdBl0VxrQN6lg8OR7p11H2td8HA&#10;s9ts5uj808cxPjyO3Uvp73JpzOXFsrgBlemQ/4/hB1/QoRWmbdyxTWowIEXy7xSvrCqR279Ft40+&#10;pW+/AVBLAwQUAAAACACHTuJAVzijr9MBAACkAwAADgAAAGRycy9lMm9Eb2MueG1srVPNjtMwEL4j&#10;7TtYvm+TrbYQRU1XrKpFSAiQFh7AdezGkv/kcZv0BeANOHHhznP1ORg7SRctlz1wcWY842/m+2ay&#10;vhuMJkcRQDnb0JtFSYmw3LXK7hv69cvDdUUJRGZbpp0VDT0JoHebq1fr3tdi6TqnWxEIglioe9/Q&#10;LkZfFwXwThgGC+eFxaB0wbCIbtgXbWA9ohtdLMvyddG70PrguADA2+0YpBNieAmgk1JxsXX8YISN&#10;I2oQmkWkBJ3yQDe5WykFj5+kBBGJbigyjfnEImjv0lls1qzeB+Y7xacW2EtaeMbJMGWx6AVqyyIj&#10;h6D+gTKKBwdOxgV3phiJZEWQxU35TJvHjnmRuaDU4C+iw/+D5R+PnwNRLW7CihLLDE78/OP7+efv&#10;869v5Dbp03uoMe3RY2Ic7t2AufM94GWiPchg0hcJEYyjuqeLumKIhKdH1bKqSgxxjM0O4hdPz32A&#10;+E44Q5LR0IDjy6qy4weIY+qckqpZ96C0ziPUlvQNXVarN6v84hJCdG2xSGIxdpusOOyGidrOtSdk&#10;1uMONNTiylOi31uUOK3LbITZ2M3GwQe17/I+pVbAvz1EbCd3mSqMsFNhHF7mOS1a2o6//Zz19HNt&#10;/g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j9zVA0gAAAAUBAAAPAAAAAAAAAAEAIAAAACIAAABk&#10;cnMvZG93bnJldi54bWxQSwECFAAUAAAACACHTuJAVzijr9MBAACkAwAADgAAAAAAAAABACAAAAAh&#10;AQAAZHJzL2Uyb0RvYy54bWxQSwUGAAAAAAYABgBZAQAAZgUAAAAA&#10;">
              <v:fill on="f" focussize="0,0"/>
              <v:stroke on="f" weight="2.25pt"/>
              <v:imagedata o:title=""/>
              <o:lock v:ext="edit" aspectratio="f"/>
              <v:textbox inset="0mm,0mm,0mm,0mm" style="mso-fit-shape-to-text:t;">
                <w:txbxContent>
                  <w:p>
                    <w:pPr>
                      <w:pStyle w:val="47"/>
                      <w:pBdr>
                        <w:top w:val="single" w:color="auto" w:sz="6" w:space="1"/>
                      </w:pBdr>
                    </w:pPr>
                    <w:r>
                      <w:rPr>
                        <w:rFonts w:hint="eastAsia" w:ascii="宋体" w:hAnsi="宋体"/>
                      </w:rPr>
                      <w:t xml:space="preserve">机构地址：汕头市澄海区玉亭路南侧、玉潭路西侧馥璟园1幢804号、805号、806号                   </w:t>
                    </w:r>
                    <w:r>
                      <w:rPr>
                        <w:rFonts w:ascii="宋体" w:hAnsi="宋体"/>
                      </w:rPr>
                      <w:t xml:space="preserve">- </w:t>
                    </w:r>
                    <w:r>
                      <w:rPr>
                        <w:rFonts w:ascii="宋体" w:hAnsi="宋体"/>
                      </w:rPr>
                      <w:fldChar w:fldCharType="begin"/>
                    </w:r>
                    <w:r>
                      <w:rPr>
                        <w:rFonts w:ascii="宋体" w:hAnsi="宋体"/>
                      </w:rPr>
                      <w:instrText xml:space="preserve"> PAGE </w:instrText>
                    </w:r>
                    <w:r>
                      <w:rPr>
                        <w:rFonts w:ascii="宋体" w:hAnsi="宋体"/>
                      </w:rPr>
                      <w:fldChar w:fldCharType="separate"/>
                    </w:r>
                    <w:r>
                      <w:rPr>
                        <w:rFonts w:ascii="宋体" w:hAnsi="宋体"/>
                      </w:rPr>
                      <w:t>10</w:t>
                    </w:r>
                    <w:r>
                      <w:rPr>
                        <w:rFonts w:ascii="宋体" w:hAnsi="宋体"/>
                      </w:rPr>
                      <w:fldChar w:fldCharType="end"/>
                    </w:r>
                    <w:r>
                      <w:rPr>
                        <w:rFonts w:ascii="宋体" w:hAnsi="宋体"/>
                      </w:rPr>
                      <w:t xml:space="preserve"> -</w:t>
                    </w:r>
                  </w:p>
                </w:txbxContent>
              </v:textbox>
            </v:shape>
          </w:pict>
        </mc:Fallback>
      </mc:AlternateContent>
    </w:r>
  </w:p>
  <w:p>
    <w:pPr>
      <w:pStyle w:val="47"/>
      <w:pBdr>
        <w:top w:val="single" w:color="auto" w:sz="6" w:space="1"/>
      </w:pBdr>
      <w:rPr>
        <w:rFonts w:hint="eastAsia" w:ascii="宋体" w:hAnsi="宋体"/>
      </w:rPr>
    </w:pPr>
    <w:r>
      <w:rPr>
        <w:rFonts w:hint="eastAsia" w:ascii="宋体" w:hAnsi="宋体"/>
      </w:rPr>
      <w:t>联系电话：0754-85637799       传真：0754-85637099</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jc w:val="both"/>
      <w:rPr>
        <w:rFonts w:hint="eastAsia" w:ascii="宋体" w:hAnsi="宋体" w:cs="宋体"/>
        <w:color w:val="C0C0C0"/>
        <w:sz w:val="21"/>
        <w:szCs w:val="21"/>
      </w:rPr>
    </w:pPr>
    <w:r>
      <w:rPr>
        <w:rFonts w:hint="eastAsia" w:ascii="宋体" w:hAnsi="宋体" w:cs="宋体"/>
        <w:color w:val="C0C0C0"/>
        <w:sz w:val="21"/>
        <w:szCs w:val="21"/>
      </w:rPr>
      <w:t>汕头市宏基土地房地产评估有限公司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BFC001"/>
    <w:multiLevelType w:val="singleLevel"/>
    <w:tmpl w:val="86BFC001"/>
    <w:lvl w:ilvl="0" w:tentative="0">
      <w:start w:val="2"/>
      <w:numFmt w:val="decimal"/>
      <w:suff w:val="nothing"/>
      <w:lvlText w:val="%1．"/>
      <w:lvlJc w:val="left"/>
      <w:pPr>
        <w:ind w:left="358"/>
      </w:pPr>
      <w:rPr>
        <w:rFonts w:hint="default"/>
        <w:b/>
        <w:bCs/>
      </w:rPr>
    </w:lvl>
  </w:abstractNum>
  <w:abstractNum w:abstractNumId="1">
    <w:nsid w:val="C6577903"/>
    <w:multiLevelType w:val="singleLevel"/>
    <w:tmpl w:val="C6577903"/>
    <w:lvl w:ilvl="0" w:tentative="0">
      <w:start w:val="3"/>
      <w:numFmt w:val="decimal"/>
      <w:suff w:val="nothing"/>
      <w:lvlText w:val="%1、"/>
      <w:lvlJc w:val="left"/>
    </w:lvl>
  </w:abstractNum>
  <w:abstractNum w:abstractNumId="2">
    <w:nsid w:val="F6A6706F"/>
    <w:multiLevelType w:val="singleLevel"/>
    <w:tmpl w:val="F6A6706F"/>
    <w:lvl w:ilvl="0" w:tentative="0">
      <w:start w:val="1"/>
      <w:numFmt w:val="decimal"/>
      <w:suff w:val="nothing"/>
      <w:lvlText w:val="%1、"/>
      <w:lvlJc w:val="left"/>
    </w:lvl>
  </w:abstractNum>
  <w:abstractNum w:abstractNumId="3">
    <w:nsid w:val="FFFFFF7C"/>
    <w:multiLevelType w:val="singleLevel"/>
    <w:tmpl w:val="FFFFFF7C"/>
    <w:lvl w:ilvl="0" w:tentative="0">
      <w:start w:val="1"/>
      <w:numFmt w:val="decimal"/>
      <w:pStyle w:val="64"/>
      <w:lvlText w:val="%1."/>
      <w:lvlJc w:val="left"/>
      <w:pPr>
        <w:tabs>
          <w:tab w:val="left" w:pos="2040"/>
        </w:tabs>
        <w:ind w:left="2040" w:hanging="360"/>
      </w:pPr>
    </w:lvl>
  </w:abstractNum>
  <w:abstractNum w:abstractNumId="4">
    <w:nsid w:val="FFFFFF7D"/>
    <w:multiLevelType w:val="singleLevel"/>
    <w:tmpl w:val="FFFFFF7D"/>
    <w:lvl w:ilvl="0" w:tentative="0">
      <w:start w:val="1"/>
      <w:numFmt w:val="decimal"/>
      <w:pStyle w:val="40"/>
      <w:lvlText w:val="%1."/>
      <w:lvlJc w:val="left"/>
      <w:pPr>
        <w:tabs>
          <w:tab w:val="left" w:pos="1620"/>
        </w:tabs>
        <w:ind w:left="1620" w:hanging="360"/>
      </w:pPr>
    </w:lvl>
  </w:abstractNum>
  <w:abstractNum w:abstractNumId="5">
    <w:nsid w:val="FFFFFF7E"/>
    <w:multiLevelType w:val="singleLevel"/>
    <w:tmpl w:val="FFFFFF7E"/>
    <w:lvl w:ilvl="0" w:tentative="0">
      <w:start w:val="1"/>
      <w:numFmt w:val="decimal"/>
      <w:pStyle w:val="45"/>
      <w:lvlText w:val="%1."/>
      <w:lvlJc w:val="left"/>
      <w:pPr>
        <w:tabs>
          <w:tab w:val="left" w:pos="1200"/>
        </w:tabs>
        <w:ind w:left="1200" w:hanging="360"/>
      </w:pPr>
    </w:lvl>
  </w:abstractNum>
  <w:abstractNum w:abstractNumId="6">
    <w:nsid w:val="FFFFFF7F"/>
    <w:multiLevelType w:val="singleLevel"/>
    <w:tmpl w:val="FFFFFF7F"/>
    <w:lvl w:ilvl="0" w:tentative="0">
      <w:start w:val="1"/>
      <w:numFmt w:val="decimal"/>
      <w:pStyle w:val="52"/>
      <w:lvlText w:val="%1."/>
      <w:lvlJc w:val="left"/>
      <w:pPr>
        <w:tabs>
          <w:tab w:val="left" w:pos="780"/>
        </w:tabs>
        <w:ind w:left="780" w:hanging="360"/>
      </w:pPr>
    </w:lvl>
  </w:abstractNum>
  <w:abstractNum w:abstractNumId="7">
    <w:nsid w:val="FFFFFF80"/>
    <w:multiLevelType w:val="singleLevel"/>
    <w:tmpl w:val="FFFFFF80"/>
    <w:lvl w:ilvl="0" w:tentative="0">
      <w:start w:val="1"/>
      <w:numFmt w:val="bullet"/>
      <w:pStyle w:val="26"/>
      <w:lvlText w:val=""/>
      <w:lvlJc w:val="left"/>
      <w:pPr>
        <w:tabs>
          <w:tab w:val="left" w:pos="2040"/>
        </w:tabs>
        <w:ind w:left="2040" w:hanging="360"/>
      </w:pPr>
      <w:rPr>
        <w:rFonts w:hint="default" w:ascii="Wingdings" w:hAnsi="Wingdings"/>
      </w:rPr>
    </w:lvl>
  </w:abstractNum>
  <w:abstractNum w:abstractNumId="8">
    <w:nsid w:val="FFFFFF81"/>
    <w:multiLevelType w:val="singleLevel"/>
    <w:tmpl w:val="FFFFFF81"/>
    <w:lvl w:ilvl="0" w:tentative="0">
      <w:start w:val="1"/>
      <w:numFmt w:val="bullet"/>
      <w:pStyle w:val="72"/>
      <w:lvlText w:val=""/>
      <w:lvlJc w:val="left"/>
      <w:pPr>
        <w:tabs>
          <w:tab w:val="left" w:pos="1620"/>
        </w:tabs>
        <w:ind w:left="1620" w:hanging="360"/>
      </w:pPr>
      <w:rPr>
        <w:rFonts w:hint="default" w:ascii="Wingdings" w:hAnsi="Wingdings"/>
      </w:rPr>
    </w:lvl>
  </w:abstractNum>
  <w:abstractNum w:abstractNumId="9">
    <w:nsid w:val="FFFFFF82"/>
    <w:multiLevelType w:val="singleLevel"/>
    <w:tmpl w:val="FFFFFF82"/>
    <w:lvl w:ilvl="0" w:tentative="0">
      <w:start w:val="1"/>
      <w:numFmt w:val="bullet"/>
      <w:pStyle w:val="65"/>
      <w:lvlText w:val=""/>
      <w:lvlJc w:val="left"/>
      <w:pPr>
        <w:tabs>
          <w:tab w:val="left" w:pos="1200"/>
        </w:tabs>
        <w:ind w:left="1200" w:hanging="360"/>
      </w:pPr>
      <w:rPr>
        <w:rFonts w:hint="default" w:ascii="Wingdings" w:hAnsi="Wingdings"/>
      </w:rPr>
    </w:lvl>
  </w:abstractNum>
  <w:abstractNum w:abstractNumId="10">
    <w:nsid w:val="FFFFFF83"/>
    <w:multiLevelType w:val="singleLevel"/>
    <w:tmpl w:val="FFFFFF83"/>
    <w:lvl w:ilvl="0" w:tentative="0">
      <w:start w:val="1"/>
      <w:numFmt w:val="bullet"/>
      <w:pStyle w:val="50"/>
      <w:lvlText w:val=""/>
      <w:lvlJc w:val="left"/>
      <w:pPr>
        <w:tabs>
          <w:tab w:val="left" w:pos="780"/>
        </w:tabs>
        <w:ind w:left="780" w:hanging="360"/>
      </w:pPr>
      <w:rPr>
        <w:rFonts w:hint="default" w:ascii="Wingdings" w:hAnsi="Wingdings"/>
      </w:rPr>
    </w:lvl>
  </w:abstractNum>
  <w:abstractNum w:abstractNumId="11">
    <w:nsid w:val="FFFFFF88"/>
    <w:multiLevelType w:val="singleLevel"/>
    <w:tmpl w:val="FFFFFF88"/>
    <w:lvl w:ilvl="0" w:tentative="0">
      <w:start w:val="1"/>
      <w:numFmt w:val="decimal"/>
      <w:pStyle w:val="68"/>
      <w:lvlText w:val="%1."/>
      <w:lvlJc w:val="left"/>
      <w:pPr>
        <w:tabs>
          <w:tab w:val="left" w:pos="360"/>
        </w:tabs>
        <w:ind w:left="360" w:hanging="360"/>
      </w:pPr>
    </w:lvl>
  </w:abstractNum>
  <w:abstractNum w:abstractNumId="12">
    <w:nsid w:val="FFFFFF89"/>
    <w:multiLevelType w:val="singleLevel"/>
    <w:tmpl w:val="FFFFFF89"/>
    <w:lvl w:ilvl="0" w:tentative="0">
      <w:start w:val="1"/>
      <w:numFmt w:val="bullet"/>
      <w:pStyle w:val="54"/>
      <w:lvlText w:val=""/>
      <w:lvlJc w:val="left"/>
      <w:pPr>
        <w:tabs>
          <w:tab w:val="left" w:pos="360"/>
        </w:tabs>
        <w:ind w:left="360" w:hanging="360"/>
      </w:pPr>
      <w:rPr>
        <w:rFonts w:hint="default" w:ascii="Wingdings" w:hAnsi="Wingdings"/>
      </w:rPr>
    </w:lvl>
  </w:abstractNum>
  <w:abstractNum w:abstractNumId="13">
    <w:nsid w:val="21002EE2"/>
    <w:multiLevelType w:val="multilevel"/>
    <w:tmpl w:val="21002EE2"/>
    <w:lvl w:ilvl="0" w:tentative="0">
      <w:start w:val="1"/>
      <w:numFmt w:val="chineseCountingThousand"/>
      <w:pStyle w:val="55"/>
      <w:suff w:val="nothing"/>
      <w:lvlText w:val="%1、"/>
      <w:lvlJc w:val="left"/>
      <w:pPr>
        <w:ind w:left="200" w:firstLine="0"/>
      </w:pPr>
      <w:rPr>
        <w:rFonts w:hint="eastAsia" w:eastAsia="创艺简仿宋"/>
        <w:sz w:val="24"/>
        <w:szCs w:val="24"/>
      </w:rPr>
    </w:lvl>
    <w:lvl w:ilvl="1" w:tentative="0">
      <w:start w:val="1"/>
      <w:numFmt w:val="none"/>
      <w:pStyle w:val="3"/>
      <w:suff w:val="nothing"/>
      <w:lvlText w:val=""/>
      <w:lvlJc w:val="left"/>
      <w:pPr>
        <w:ind w:left="200" w:firstLine="0"/>
      </w:pPr>
      <w:rPr>
        <w:rFonts w:hint="eastAsia"/>
      </w:rPr>
    </w:lvl>
    <w:lvl w:ilvl="2" w:tentative="0">
      <w:start w:val="1"/>
      <w:numFmt w:val="none"/>
      <w:pStyle w:val="4"/>
      <w:suff w:val="nothing"/>
      <w:lvlText w:val=""/>
      <w:lvlJc w:val="left"/>
      <w:pPr>
        <w:ind w:left="200" w:firstLine="0"/>
      </w:pPr>
      <w:rPr>
        <w:rFonts w:hint="eastAsia"/>
      </w:rPr>
    </w:lvl>
    <w:lvl w:ilvl="3" w:tentative="0">
      <w:start w:val="1"/>
      <w:numFmt w:val="none"/>
      <w:pStyle w:val="5"/>
      <w:suff w:val="nothing"/>
      <w:lvlText w:val=""/>
      <w:lvlJc w:val="left"/>
      <w:pPr>
        <w:ind w:left="200" w:firstLine="0"/>
      </w:pPr>
      <w:rPr>
        <w:rFonts w:hint="eastAsia"/>
      </w:rPr>
    </w:lvl>
    <w:lvl w:ilvl="4" w:tentative="0">
      <w:start w:val="1"/>
      <w:numFmt w:val="none"/>
      <w:pStyle w:val="6"/>
      <w:suff w:val="nothing"/>
      <w:lvlText w:val=""/>
      <w:lvlJc w:val="left"/>
      <w:pPr>
        <w:ind w:left="200" w:firstLine="0"/>
      </w:pPr>
      <w:rPr>
        <w:rFonts w:hint="eastAsia"/>
      </w:rPr>
    </w:lvl>
    <w:lvl w:ilvl="5" w:tentative="0">
      <w:start w:val="1"/>
      <w:numFmt w:val="none"/>
      <w:pStyle w:val="7"/>
      <w:suff w:val="nothing"/>
      <w:lvlText w:val=""/>
      <w:lvlJc w:val="left"/>
      <w:pPr>
        <w:ind w:left="200" w:firstLine="0"/>
      </w:pPr>
      <w:rPr>
        <w:rFonts w:hint="eastAsia"/>
      </w:rPr>
    </w:lvl>
    <w:lvl w:ilvl="6" w:tentative="0">
      <w:start w:val="1"/>
      <w:numFmt w:val="none"/>
      <w:pStyle w:val="8"/>
      <w:suff w:val="nothing"/>
      <w:lvlText w:val=""/>
      <w:lvlJc w:val="left"/>
      <w:pPr>
        <w:ind w:left="200" w:firstLine="0"/>
      </w:pPr>
      <w:rPr>
        <w:rFonts w:hint="eastAsia"/>
      </w:rPr>
    </w:lvl>
    <w:lvl w:ilvl="7" w:tentative="0">
      <w:start w:val="1"/>
      <w:numFmt w:val="none"/>
      <w:pStyle w:val="9"/>
      <w:suff w:val="nothing"/>
      <w:lvlText w:val=""/>
      <w:lvlJc w:val="left"/>
      <w:pPr>
        <w:ind w:left="200" w:firstLine="0"/>
      </w:pPr>
      <w:rPr>
        <w:rFonts w:hint="eastAsia"/>
      </w:rPr>
    </w:lvl>
    <w:lvl w:ilvl="8" w:tentative="0">
      <w:start w:val="1"/>
      <w:numFmt w:val="none"/>
      <w:pStyle w:val="10"/>
      <w:suff w:val="nothing"/>
      <w:lvlText w:val=""/>
      <w:lvlJc w:val="left"/>
      <w:pPr>
        <w:ind w:left="200" w:firstLine="0"/>
      </w:pPr>
      <w:rPr>
        <w:rFonts w:hint="eastAsia"/>
      </w:rPr>
    </w:lvl>
  </w:abstractNum>
  <w:abstractNum w:abstractNumId="14">
    <w:nsid w:val="272169D7"/>
    <w:multiLevelType w:val="multilevel"/>
    <w:tmpl w:val="272169D7"/>
    <w:lvl w:ilvl="0" w:tentative="0">
      <w:start w:val="1"/>
      <w:numFmt w:val="japaneseCounting"/>
      <w:pStyle w:val="153"/>
      <w:lvlText w:val="%1、"/>
      <w:lvlJc w:val="left"/>
      <w:pPr>
        <w:tabs>
          <w:tab w:val="left" w:pos="1290"/>
        </w:tabs>
        <w:ind w:left="1290" w:hanging="129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3E32435C"/>
    <w:multiLevelType w:val="multilevel"/>
    <w:tmpl w:val="3E32435C"/>
    <w:lvl w:ilvl="0" w:tentative="0">
      <w:start w:val="1"/>
      <w:numFmt w:val="chineseCountingThousand"/>
      <w:pStyle w:val="28"/>
      <w:lvlText w:val="（%1）"/>
      <w:lvlJc w:val="left"/>
      <w:pPr>
        <w:tabs>
          <w:tab w:val="left" w:pos="1260"/>
        </w:tabs>
        <w:ind w:left="1260" w:hanging="420"/>
      </w:pPr>
      <w:rPr>
        <w:rFonts w:hint="eastAsia"/>
      </w:rPr>
    </w:lvl>
    <w:lvl w:ilvl="1" w:tentative="0">
      <w:start w:val="1"/>
      <w:numFmt w:val="lowerLetter"/>
      <w:lvlText w:val="%2)"/>
      <w:lvlJc w:val="left"/>
      <w:pPr>
        <w:tabs>
          <w:tab w:val="left" w:pos="1680"/>
        </w:tabs>
        <w:ind w:left="1680" w:hanging="420"/>
      </w:pPr>
    </w:lvl>
    <w:lvl w:ilvl="2" w:tentative="0">
      <w:start w:val="1"/>
      <w:numFmt w:val="lowerRoman"/>
      <w:lvlText w:val="%3."/>
      <w:lvlJc w:val="right"/>
      <w:pPr>
        <w:tabs>
          <w:tab w:val="left" w:pos="2100"/>
        </w:tabs>
        <w:ind w:left="2100" w:hanging="420"/>
      </w:p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16">
    <w:nsid w:val="52400DE1"/>
    <w:multiLevelType w:val="singleLevel"/>
    <w:tmpl w:val="52400DE1"/>
    <w:lvl w:ilvl="0" w:tentative="0">
      <w:start w:val="1"/>
      <w:numFmt w:val="decimal"/>
      <w:suff w:val="nothing"/>
      <w:lvlText w:val="（%1）"/>
      <w:lvlJc w:val="left"/>
    </w:lvl>
  </w:abstractNum>
  <w:abstractNum w:abstractNumId="17">
    <w:nsid w:val="570A6568"/>
    <w:multiLevelType w:val="multilevel"/>
    <w:tmpl w:val="570A6568"/>
    <w:lvl w:ilvl="0" w:tentative="0">
      <w:start w:val="1"/>
      <w:numFmt w:val="decimal"/>
      <w:pStyle w:val="151"/>
      <w:lvlText w:val="%1."/>
      <w:lvlJc w:val="left"/>
      <w:pPr>
        <w:tabs>
          <w:tab w:val="left" w:pos="900"/>
        </w:tabs>
        <w:ind w:left="900" w:hanging="420"/>
      </w:pPr>
      <w:rPr>
        <w:rFonts w:hint="eastAsia"/>
      </w:rPr>
    </w:lvl>
    <w:lvl w:ilvl="1" w:tentative="0">
      <w:start w:val="1"/>
      <w:numFmt w:val="decimal"/>
      <w:lvlText w:val="%2、"/>
      <w:lvlJc w:val="left"/>
      <w:pPr>
        <w:tabs>
          <w:tab w:val="left" w:pos="1140"/>
        </w:tabs>
        <w:ind w:left="1140" w:hanging="720"/>
      </w:pPr>
      <w:rPr>
        <w:rFonts w:hint="default"/>
      </w:rPr>
    </w:lvl>
    <w:lvl w:ilvl="2" w:tentative="0">
      <w:start w:val="1"/>
      <w:numFmt w:val="decimal"/>
      <w:lvlText w:val="%3．"/>
      <w:lvlJc w:val="left"/>
      <w:pPr>
        <w:tabs>
          <w:tab w:val="left" w:pos="1560"/>
        </w:tabs>
        <w:ind w:left="1560" w:hanging="7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4"/>
    <w:lvlOverride w:ilvl="0">
      <w:startOverride w:val="1"/>
    </w:lvlOverride>
  </w:num>
  <w:num w:numId="5">
    <w:abstractNumId w:val="7"/>
  </w:num>
  <w:num w:numId="6">
    <w:abstractNumId w:val="15"/>
  </w:num>
  <w:num w:numId="7">
    <w:abstractNumId w:val="11"/>
    <w:lvlOverride w:ilvl="0">
      <w:startOverride w:val="1"/>
    </w:lvlOverride>
  </w:num>
  <w:num w:numId="8">
    <w:abstractNumId w:val="3"/>
    <w:lvlOverride w:ilvl="0">
      <w:startOverride w:val="1"/>
    </w:lvlOverride>
  </w:num>
  <w:num w:numId="9">
    <w:abstractNumId w:val="5"/>
    <w:lvlOverride w:ilvl="0">
      <w:startOverride w:val="1"/>
    </w:lvlOverride>
  </w:num>
  <w:num w:numId="10">
    <w:abstractNumId w:val="6"/>
    <w:lvlOverride w:ilvl="0">
      <w:startOverride w:val="1"/>
    </w:lvlOverride>
  </w:num>
  <w:num w:numId="11">
    <w:abstractNumId w:val="12"/>
  </w:num>
  <w:num w:numId="12">
    <w:abstractNumId w:val="9"/>
  </w:num>
  <w:num w:numId="13">
    <w:abstractNumId w:val="8"/>
  </w:num>
  <w:num w:numId="14">
    <w:abstractNumId w:val="17"/>
  </w:num>
  <w:num w:numId="15">
    <w:abstractNumId w:val="14"/>
  </w:num>
  <w:num w:numId="16">
    <w:abstractNumId w:val="0"/>
  </w:num>
  <w:num w:numId="17">
    <w:abstractNumId w:val="1"/>
  </w:num>
  <w:num w:numId="18">
    <w:abstractNumId w:val="1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5NzVhMjkxMTVmZjc5NzQ5NmZkZWFjNmYxMjg5YmEifQ=="/>
  </w:docVars>
  <w:rsids>
    <w:rsidRoot w:val="0032253A"/>
    <w:rsid w:val="00000650"/>
    <w:rsid w:val="00000665"/>
    <w:rsid w:val="000008BD"/>
    <w:rsid w:val="00000C59"/>
    <w:rsid w:val="0000115E"/>
    <w:rsid w:val="00001312"/>
    <w:rsid w:val="00001331"/>
    <w:rsid w:val="00001861"/>
    <w:rsid w:val="000019A2"/>
    <w:rsid w:val="00001E80"/>
    <w:rsid w:val="00001F8A"/>
    <w:rsid w:val="00002389"/>
    <w:rsid w:val="0000247E"/>
    <w:rsid w:val="00002681"/>
    <w:rsid w:val="000026CD"/>
    <w:rsid w:val="000027E8"/>
    <w:rsid w:val="00002867"/>
    <w:rsid w:val="00003178"/>
    <w:rsid w:val="000033BA"/>
    <w:rsid w:val="00003510"/>
    <w:rsid w:val="000037E2"/>
    <w:rsid w:val="00003819"/>
    <w:rsid w:val="00003E5B"/>
    <w:rsid w:val="00004609"/>
    <w:rsid w:val="00004690"/>
    <w:rsid w:val="00004BAC"/>
    <w:rsid w:val="00005273"/>
    <w:rsid w:val="00005368"/>
    <w:rsid w:val="000053B3"/>
    <w:rsid w:val="0000583E"/>
    <w:rsid w:val="00005B33"/>
    <w:rsid w:val="00005B96"/>
    <w:rsid w:val="00005D46"/>
    <w:rsid w:val="00005F41"/>
    <w:rsid w:val="00006AE2"/>
    <w:rsid w:val="0000720D"/>
    <w:rsid w:val="00007B8C"/>
    <w:rsid w:val="00007E20"/>
    <w:rsid w:val="00010114"/>
    <w:rsid w:val="00010126"/>
    <w:rsid w:val="000101EF"/>
    <w:rsid w:val="00010498"/>
    <w:rsid w:val="0001088A"/>
    <w:rsid w:val="000108CA"/>
    <w:rsid w:val="00010F3C"/>
    <w:rsid w:val="00011206"/>
    <w:rsid w:val="0001133F"/>
    <w:rsid w:val="000113F3"/>
    <w:rsid w:val="00011B95"/>
    <w:rsid w:val="00011CFB"/>
    <w:rsid w:val="00011DF8"/>
    <w:rsid w:val="00011FF0"/>
    <w:rsid w:val="00012217"/>
    <w:rsid w:val="000123D7"/>
    <w:rsid w:val="00012644"/>
    <w:rsid w:val="00012A68"/>
    <w:rsid w:val="00012C42"/>
    <w:rsid w:val="00012D77"/>
    <w:rsid w:val="00012D7C"/>
    <w:rsid w:val="000131E1"/>
    <w:rsid w:val="00013AA3"/>
    <w:rsid w:val="00014796"/>
    <w:rsid w:val="000150D0"/>
    <w:rsid w:val="00015832"/>
    <w:rsid w:val="00016D08"/>
    <w:rsid w:val="00016E23"/>
    <w:rsid w:val="00017D5D"/>
    <w:rsid w:val="00017EC4"/>
    <w:rsid w:val="00017F15"/>
    <w:rsid w:val="00017F63"/>
    <w:rsid w:val="00017F8F"/>
    <w:rsid w:val="00020157"/>
    <w:rsid w:val="0002177B"/>
    <w:rsid w:val="0002190D"/>
    <w:rsid w:val="00021B32"/>
    <w:rsid w:val="00021FF2"/>
    <w:rsid w:val="00022530"/>
    <w:rsid w:val="00022781"/>
    <w:rsid w:val="00022950"/>
    <w:rsid w:val="0002298A"/>
    <w:rsid w:val="00022FC3"/>
    <w:rsid w:val="0002306B"/>
    <w:rsid w:val="00023B35"/>
    <w:rsid w:val="00023C66"/>
    <w:rsid w:val="00023CA1"/>
    <w:rsid w:val="00023DB3"/>
    <w:rsid w:val="00023FBD"/>
    <w:rsid w:val="000244BB"/>
    <w:rsid w:val="000248BA"/>
    <w:rsid w:val="00025181"/>
    <w:rsid w:val="00025CF6"/>
    <w:rsid w:val="00026256"/>
    <w:rsid w:val="0002686F"/>
    <w:rsid w:val="000276EB"/>
    <w:rsid w:val="00027AB6"/>
    <w:rsid w:val="00027D27"/>
    <w:rsid w:val="000301A2"/>
    <w:rsid w:val="0003027F"/>
    <w:rsid w:val="00030470"/>
    <w:rsid w:val="000309B6"/>
    <w:rsid w:val="00030DCC"/>
    <w:rsid w:val="00031303"/>
    <w:rsid w:val="0003205C"/>
    <w:rsid w:val="00032E47"/>
    <w:rsid w:val="000335F6"/>
    <w:rsid w:val="00033961"/>
    <w:rsid w:val="00033FDA"/>
    <w:rsid w:val="000343BC"/>
    <w:rsid w:val="000345B2"/>
    <w:rsid w:val="00034D31"/>
    <w:rsid w:val="00034F65"/>
    <w:rsid w:val="000362C2"/>
    <w:rsid w:val="0003769E"/>
    <w:rsid w:val="000376D8"/>
    <w:rsid w:val="0003776D"/>
    <w:rsid w:val="00037883"/>
    <w:rsid w:val="00037DE7"/>
    <w:rsid w:val="00037E49"/>
    <w:rsid w:val="00037EA6"/>
    <w:rsid w:val="00040370"/>
    <w:rsid w:val="000403EB"/>
    <w:rsid w:val="0004064F"/>
    <w:rsid w:val="00040946"/>
    <w:rsid w:val="00040D23"/>
    <w:rsid w:val="00040EBF"/>
    <w:rsid w:val="0004123A"/>
    <w:rsid w:val="000412DF"/>
    <w:rsid w:val="0004167C"/>
    <w:rsid w:val="0004219B"/>
    <w:rsid w:val="0004232C"/>
    <w:rsid w:val="000425F3"/>
    <w:rsid w:val="00043662"/>
    <w:rsid w:val="00043935"/>
    <w:rsid w:val="00043B28"/>
    <w:rsid w:val="00043E36"/>
    <w:rsid w:val="000443B8"/>
    <w:rsid w:val="000449F7"/>
    <w:rsid w:val="00044E00"/>
    <w:rsid w:val="0004526A"/>
    <w:rsid w:val="000453E4"/>
    <w:rsid w:val="000461F0"/>
    <w:rsid w:val="00046222"/>
    <w:rsid w:val="000467BC"/>
    <w:rsid w:val="000467D5"/>
    <w:rsid w:val="00046827"/>
    <w:rsid w:val="00046E54"/>
    <w:rsid w:val="000470DD"/>
    <w:rsid w:val="00047C18"/>
    <w:rsid w:val="000505C5"/>
    <w:rsid w:val="0005093D"/>
    <w:rsid w:val="000511B7"/>
    <w:rsid w:val="00051EB6"/>
    <w:rsid w:val="000529A1"/>
    <w:rsid w:val="000537ED"/>
    <w:rsid w:val="00053814"/>
    <w:rsid w:val="00053B61"/>
    <w:rsid w:val="00053D26"/>
    <w:rsid w:val="0005404A"/>
    <w:rsid w:val="000544D7"/>
    <w:rsid w:val="0005466C"/>
    <w:rsid w:val="00054A23"/>
    <w:rsid w:val="000556AA"/>
    <w:rsid w:val="000556C9"/>
    <w:rsid w:val="00055F22"/>
    <w:rsid w:val="000563C7"/>
    <w:rsid w:val="000563F1"/>
    <w:rsid w:val="000565FD"/>
    <w:rsid w:val="00057CE0"/>
    <w:rsid w:val="0006008A"/>
    <w:rsid w:val="00060754"/>
    <w:rsid w:val="000610DE"/>
    <w:rsid w:val="00061447"/>
    <w:rsid w:val="000619CF"/>
    <w:rsid w:val="00061A4C"/>
    <w:rsid w:val="00061AC0"/>
    <w:rsid w:val="00062431"/>
    <w:rsid w:val="00062D2C"/>
    <w:rsid w:val="0006328E"/>
    <w:rsid w:val="0006405D"/>
    <w:rsid w:val="000643BD"/>
    <w:rsid w:val="00064703"/>
    <w:rsid w:val="000648B7"/>
    <w:rsid w:val="00064AF7"/>
    <w:rsid w:val="00064E5D"/>
    <w:rsid w:val="00064ED4"/>
    <w:rsid w:val="00064FC2"/>
    <w:rsid w:val="00065319"/>
    <w:rsid w:val="0006550A"/>
    <w:rsid w:val="00065549"/>
    <w:rsid w:val="000658BB"/>
    <w:rsid w:val="000659BF"/>
    <w:rsid w:val="00065CCF"/>
    <w:rsid w:val="00065F78"/>
    <w:rsid w:val="000664A6"/>
    <w:rsid w:val="0006665F"/>
    <w:rsid w:val="00066F5F"/>
    <w:rsid w:val="0006700A"/>
    <w:rsid w:val="000674DD"/>
    <w:rsid w:val="0007022A"/>
    <w:rsid w:val="000702E1"/>
    <w:rsid w:val="000713CE"/>
    <w:rsid w:val="000714AF"/>
    <w:rsid w:val="000716AF"/>
    <w:rsid w:val="00071AC6"/>
    <w:rsid w:val="000722ED"/>
    <w:rsid w:val="00072477"/>
    <w:rsid w:val="00072CEB"/>
    <w:rsid w:val="00072DBE"/>
    <w:rsid w:val="00072FD4"/>
    <w:rsid w:val="00073198"/>
    <w:rsid w:val="00073614"/>
    <w:rsid w:val="00073BF6"/>
    <w:rsid w:val="00073DC8"/>
    <w:rsid w:val="00073F25"/>
    <w:rsid w:val="000743AA"/>
    <w:rsid w:val="00074953"/>
    <w:rsid w:val="00074E20"/>
    <w:rsid w:val="00074FCA"/>
    <w:rsid w:val="000750D5"/>
    <w:rsid w:val="0007536A"/>
    <w:rsid w:val="00075771"/>
    <w:rsid w:val="000761AC"/>
    <w:rsid w:val="00076627"/>
    <w:rsid w:val="00076C13"/>
    <w:rsid w:val="00076F0A"/>
    <w:rsid w:val="00077361"/>
    <w:rsid w:val="00077462"/>
    <w:rsid w:val="00077E6B"/>
    <w:rsid w:val="00077EC7"/>
    <w:rsid w:val="00080B8B"/>
    <w:rsid w:val="00080E31"/>
    <w:rsid w:val="00080F89"/>
    <w:rsid w:val="00081820"/>
    <w:rsid w:val="00081A80"/>
    <w:rsid w:val="0008233E"/>
    <w:rsid w:val="00082704"/>
    <w:rsid w:val="0008357F"/>
    <w:rsid w:val="00084997"/>
    <w:rsid w:val="000850AF"/>
    <w:rsid w:val="00085251"/>
    <w:rsid w:val="00085339"/>
    <w:rsid w:val="00085AC0"/>
    <w:rsid w:val="00085BD0"/>
    <w:rsid w:val="0008643D"/>
    <w:rsid w:val="000869B9"/>
    <w:rsid w:val="00086AD3"/>
    <w:rsid w:val="00086CD6"/>
    <w:rsid w:val="000870E4"/>
    <w:rsid w:val="00087242"/>
    <w:rsid w:val="00087E11"/>
    <w:rsid w:val="00087FB4"/>
    <w:rsid w:val="00090634"/>
    <w:rsid w:val="000907E0"/>
    <w:rsid w:val="000910BC"/>
    <w:rsid w:val="000927C4"/>
    <w:rsid w:val="00092C2E"/>
    <w:rsid w:val="00093C97"/>
    <w:rsid w:val="00093F09"/>
    <w:rsid w:val="0009414A"/>
    <w:rsid w:val="0009427E"/>
    <w:rsid w:val="00094690"/>
    <w:rsid w:val="00094C4D"/>
    <w:rsid w:val="00094E4E"/>
    <w:rsid w:val="0009563C"/>
    <w:rsid w:val="000957DB"/>
    <w:rsid w:val="00095863"/>
    <w:rsid w:val="00095A03"/>
    <w:rsid w:val="00095FB6"/>
    <w:rsid w:val="0009653F"/>
    <w:rsid w:val="00096850"/>
    <w:rsid w:val="00097645"/>
    <w:rsid w:val="00097A82"/>
    <w:rsid w:val="00097DBC"/>
    <w:rsid w:val="000A08F5"/>
    <w:rsid w:val="000A0C48"/>
    <w:rsid w:val="000A1590"/>
    <w:rsid w:val="000A1712"/>
    <w:rsid w:val="000A171F"/>
    <w:rsid w:val="000A1983"/>
    <w:rsid w:val="000A1DBC"/>
    <w:rsid w:val="000A276B"/>
    <w:rsid w:val="000A29DD"/>
    <w:rsid w:val="000A2DD1"/>
    <w:rsid w:val="000A3265"/>
    <w:rsid w:val="000A34C9"/>
    <w:rsid w:val="000A37F1"/>
    <w:rsid w:val="000A3CDE"/>
    <w:rsid w:val="000A3CFE"/>
    <w:rsid w:val="000A3E4D"/>
    <w:rsid w:val="000A4A91"/>
    <w:rsid w:val="000A4C5F"/>
    <w:rsid w:val="000A6D44"/>
    <w:rsid w:val="000A740C"/>
    <w:rsid w:val="000A7556"/>
    <w:rsid w:val="000A7574"/>
    <w:rsid w:val="000A7BFF"/>
    <w:rsid w:val="000A7DD2"/>
    <w:rsid w:val="000A7E93"/>
    <w:rsid w:val="000B0462"/>
    <w:rsid w:val="000B0BAF"/>
    <w:rsid w:val="000B1F6F"/>
    <w:rsid w:val="000B1FD3"/>
    <w:rsid w:val="000B2107"/>
    <w:rsid w:val="000B2254"/>
    <w:rsid w:val="000B2AD1"/>
    <w:rsid w:val="000B2BD1"/>
    <w:rsid w:val="000B2D17"/>
    <w:rsid w:val="000B3489"/>
    <w:rsid w:val="000B36CB"/>
    <w:rsid w:val="000B380E"/>
    <w:rsid w:val="000B39A3"/>
    <w:rsid w:val="000B3A5D"/>
    <w:rsid w:val="000B42B0"/>
    <w:rsid w:val="000B5321"/>
    <w:rsid w:val="000B534E"/>
    <w:rsid w:val="000B5382"/>
    <w:rsid w:val="000B5AC5"/>
    <w:rsid w:val="000B5BC0"/>
    <w:rsid w:val="000B67DE"/>
    <w:rsid w:val="000B6F9F"/>
    <w:rsid w:val="000B70A8"/>
    <w:rsid w:val="000B7349"/>
    <w:rsid w:val="000B7909"/>
    <w:rsid w:val="000B7E59"/>
    <w:rsid w:val="000C04A0"/>
    <w:rsid w:val="000C1465"/>
    <w:rsid w:val="000C1C7F"/>
    <w:rsid w:val="000C1FBF"/>
    <w:rsid w:val="000C25FA"/>
    <w:rsid w:val="000C26A0"/>
    <w:rsid w:val="000C2706"/>
    <w:rsid w:val="000C3652"/>
    <w:rsid w:val="000C3748"/>
    <w:rsid w:val="000C43ED"/>
    <w:rsid w:val="000C4655"/>
    <w:rsid w:val="000C4A59"/>
    <w:rsid w:val="000C4B6D"/>
    <w:rsid w:val="000C55E0"/>
    <w:rsid w:val="000C6092"/>
    <w:rsid w:val="000C6102"/>
    <w:rsid w:val="000C68E8"/>
    <w:rsid w:val="000C68EC"/>
    <w:rsid w:val="000C6C5C"/>
    <w:rsid w:val="000C7322"/>
    <w:rsid w:val="000D0245"/>
    <w:rsid w:val="000D06B8"/>
    <w:rsid w:val="000D071F"/>
    <w:rsid w:val="000D09FA"/>
    <w:rsid w:val="000D1248"/>
    <w:rsid w:val="000D1364"/>
    <w:rsid w:val="000D18D2"/>
    <w:rsid w:val="000D19A0"/>
    <w:rsid w:val="000D1D4F"/>
    <w:rsid w:val="000D1F57"/>
    <w:rsid w:val="000D2518"/>
    <w:rsid w:val="000D2757"/>
    <w:rsid w:val="000D2B56"/>
    <w:rsid w:val="000D30D4"/>
    <w:rsid w:val="000D31BF"/>
    <w:rsid w:val="000D38E1"/>
    <w:rsid w:val="000D5360"/>
    <w:rsid w:val="000D6DB7"/>
    <w:rsid w:val="000D72C3"/>
    <w:rsid w:val="000D7912"/>
    <w:rsid w:val="000D7D8D"/>
    <w:rsid w:val="000E0221"/>
    <w:rsid w:val="000E0253"/>
    <w:rsid w:val="000E1219"/>
    <w:rsid w:val="000E13C1"/>
    <w:rsid w:val="000E13CE"/>
    <w:rsid w:val="000E1406"/>
    <w:rsid w:val="000E1560"/>
    <w:rsid w:val="000E192F"/>
    <w:rsid w:val="000E20F2"/>
    <w:rsid w:val="000E2360"/>
    <w:rsid w:val="000E2776"/>
    <w:rsid w:val="000E33BF"/>
    <w:rsid w:val="000E35DA"/>
    <w:rsid w:val="000E36D7"/>
    <w:rsid w:val="000E3739"/>
    <w:rsid w:val="000E3A0D"/>
    <w:rsid w:val="000E3A10"/>
    <w:rsid w:val="000E49F5"/>
    <w:rsid w:val="000E5175"/>
    <w:rsid w:val="000E5221"/>
    <w:rsid w:val="000E5227"/>
    <w:rsid w:val="000E5276"/>
    <w:rsid w:val="000E55D8"/>
    <w:rsid w:val="000E5781"/>
    <w:rsid w:val="000E5A85"/>
    <w:rsid w:val="000E5AFA"/>
    <w:rsid w:val="000E60F8"/>
    <w:rsid w:val="000E6319"/>
    <w:rsid w:val="000E6893"/>
    <w:rsid w:val="000E6939"/>
    <w:rsid w:val="000E697C"/>
    <w:rsid w:val="000E7053"/>
    <w:rsid w:val="000E7375"/>
    <w:rsid w:val="000E7F46"/>
    <w:rsid w:val="000F0070"/>
    <w:rsid w:val="000F0252"/>
    <w:rsid w:val="000F02B2"/>
    <w:rsid w:val="000F11F1"/>
    <w:rsid w:val="000F1F31"/>
    <w:rsid w:val="000F275E"/>
    <w:rsid w:val="000F29D8"/>
    <w:rsid w:val="000F2F14"/>
    <w:rsid w:val="000F3629"/>
    <w:rsid w:val="000F3906"/>
    <w:rsid w:val="000F39B7"/>
    <w:rsid w:val="000F3E1A"/>
    <w:rsid w:val="000F4057"/>
    <w:rsid w:val="000F45C0"/>
    <w:rsid w:val="000F49C7"/>
    <w:rsid w:val="000F4AFD"/>
    <w:rsid w:val="000F4FD0"/>
    <w:rsid w:val="000F5BB5"/>
    <w:rsid w:val="000F5BC1"/>
    <w:rsid w:val="000F5CC5"/>
    <w:rsid w:val="000F5E70"/>
    <w:rsid w:val="000F5EDC"/>
    <w:rsid w:val="000F5FFA"/>
    <w:rsid w:val="000F6664"/>
    <w:rsid w:val="000F6C9B"/>
    <w:rsid w:val="000F7297"/>
    <w:rsid w:val="000F779F"/>
    <w:rsid w:val="000F7C4F"/>
    <w:rsid w:val="000F7CCF"/>
    <w:rsid w:val="000F7FC5"/>
    <w:rsid w:val="0010059D"/>
    <w:rsid w:val="001007C2"/>
    <w:rsid w:val="0010086A"/>
    <w:rsid w:val="00100A8D"/>
    <w:rsid w:val="00101850"/>
    <w:rsid w:val="001018BC"/>
    <w:rsid w:val="00102280"/>
    <w:rsid w:val="001024FF"/>
    <w:rsid w:val="00102A85"/>
    <w:rsid w:val="00102AA0"/>
    <w:rsid w:val="00102B6D"/>
    <w:rsid w:val="00102DAA"/>
    <w:rsid w:val="00103B36"/>
    <w:rsid w:val="00103D41"/>
    <w:rsid w:val="00103DEF"/>
    <w:rsid w:val="00103E1A"/>
    <w:rsid w:val="00103F21"/>
    <w:rsid w:val="00103FD6"/>
    <w:rsid w:val="001040A6"/>
    <w:rsid w:val="0010463C"/>
    <w:rsid w:val="00104656"/>
    <w:rsid w:val="001053C0"/>
    <w:rsid w:val="00105A1A"/>
    <w:rsid w:val="00105CA6"/>
    <w:rsid w:val="00106496"/>
    <w:rsid w:val="00106570"/>
    <w:rsid w:val="00107ACE"/>
    <w:rsid w:val="001101CF"/>
    <w:rsid w:val="001101D0"/>
    <w:rsid w:val="00110238"/>
    <w:rsid w:val="001107A7"/>
    <w:rsid w:val="001108A1"/>
    <w:rsid w:val="001110F8"/>
    <w:rsid w:val="00111599"/>
    <w:rsid w:val="0011170C"/>
    <w:rsid w:val="00111C38"/>
    <w:rsid w:val="00111F26"/>
    <w:rsid w:val="001120EC"/>
    <w:rsid w:val="00112608"/>
    <w:rsid w:val="0011287D"/>
    <w:rsid w:val="00112AA4"/>
    <w:rsid w:val="00113237"/>
    <w:rsid w:val="001136B3"/>
    <w:rsid w:val="001138BF"/>
    <w:rsid w:val="001139E3"/>
    <w:rsid w:val="00113ADE"/>
    <w:rsid w:val="00113F11"/>
    <w:rsid w:val="0011405A"/>
    <w:rsid w:val="00114A97"/>
    <w:rsid w:val="00114DB4"/>
    <w:rsid w:val="00114E17"/>
    <w:rsid w:val="00114ECB"/>
    <w:rsid w:val="001152D6"/>
    <w:rsid w:val="00115E14"/>
    <w:rsid w:val="001160B2"/>
    <w:rsid w:val="00116485"/>
    <w:rsid w:val="00116886"/>
    <w:rsid w:val="001169C5"/>
    <w:rsid w:val="00116A50"/>
    <w:rsid w:val="00116AD7"/>
    <w:rsid w:val="00116DBE"/>
    <w:rsid w:val="001171B5"/>
    <w:rsid w:val="00117248"/>
    <w:rsid w:val="0011735D"/>
    <w:rsid w:val="0011746E"/>
    <w:rsid w:val="00117A3B"/>
    <w:rsid w:val="00117BE3"/>
    <w:rsid w:val="00117CC5"/>
    <w:rsid w:val="00117F04"/>
    <w:rsid w:val="0012058B"/>
    <w:rsid w:val="0012150D"/>
    <w:rsid w:val="001215CB"/>
    <w:rsid w:val="00121AC5"/>
    <w:rsid w:val="00121B24"/>
    <w:rsid w:val="00121D57"/>
    <w:rsid w:val="00121D9B"/>
    <w:rsid w:val="00121E35"/>
    <w:rsid w:val="00121E91"/>
    <w:rsid w:val="00121F58"/>
    <w:rsid w:val="00122F8F"/>
    <w:rsid w:val="0012314C"/>
    <w:rsid w:val="001234CB"/>
    <w:rsid w:val="00123527"/>
    <w:rsid w:val="00123E55"/>
    <w:rsid w:val="00124687"/>
    <w:rsid w:val="0012482D"/>
    <w:rsid w:val="00125BA4"/>
    <w:rsid w:val="001261AA"/>
    <w:rsid w:val="001264A4"/>
    <w:rsid w:val="001266A9"/>
    <w:rsid w:val="0012679A"/>
    <w:rsid w:val="00126F82"/>
    <w:rsid w:val="00127577"/>
    <w:rsid w:val="0012759D"/>
    <w:rsid w:val="0012794B"/>
    <w:rsid w:val="00130378"/>
    <w:rsid w:val="00130AAB"/>
    <w:rsid w:val="001313AD"/>
    <w:rsid w:val="0013158E"/>
    <w:rsid w:val="00131A90"/>
    <w:rsid w:val="001322B9"/>
    <w:rsid w:val="001324C6"/>
    <w:rsid w:val="00132A00"/>
    <w:rsid w:val="001334F7"/>
    <w:rsid w:val="00133565"/>
    <w:rsid w:val="00133674"/>
    <w:rsid w:val="00134853"/>
    <w:rsid w:val="001354A4"/>
    <w:rsid w:val="00135CA2"/>
    <w:rsid w:val="0013606B"/>
    <w:rsid w:val="0013625A"/>
    <w:rsid w:val="001365C3"/>
    <w:rsid w:val="00136865"/>
    <w:rsid w:val="001369FB"/>
    <w:rsid w:val="00137174"/>
    <w:rsid w:val="001374DC"/>
    <w:rsid w:val="00137B3A"/>
    <w:rsid w:val="00137E2F"/>
    <w:rsid w:val="00137F09"/>
    <w:rsid w:val="00140351"/>
    <w:rsid w:val="001405E1"/>
    <w:rsid w:val="00140837"/>
    <w:rsid w:val="001419D9"/>
    <w:rsid w:val="00142561"/>
    <w:rsid w:val="001425E9"/>
    <w:rsid w:val="00143283"/>
    <w:rsid w:val="001432E8"/>
    <w:rsid w:val="00144672"/>
    <w:rsid w:val="0014481A"/>
    <w:rsid w:val="00144D9D"/>
    <w:rsid w:val="00145849"/>
    <w:rsid w:val="00145C21"/>
    <w:rsid w:val="00145F1A"/>
    <w:rsid w:val="00145FD3"/>
    <w:rsid w:val="001463A9"/>
    <w:rsid w:val="00146C2A"/>
    <w:rsid w:val="0014775E"/>
    <w:rsid w:val="00147799"/>
    <w:rsid w:val="00147992"/>
    <w:rsid w:val="0015084A"/>
    <w:rsid w:val="00150A01"/>
    <w:rsid w:val="00151497"/>
    <w:rsid w:val="001514DF"/>
    <w:rsid w:val="00151637"/>
    <w:rsid w:val="0015175D"/>
    <w:rsid w:val="001519A6"/>
    <w:rsid w:val="00151B39"/>
    <w:rsid w:val="00151D16"/>
    <w:rsid w:val="0015295D"/>
    <w:rsid w:val="00152B52"/>
    <w:rsid w:val="00152DA7"/>
    <w:rsid w:val="00153397"/>
    <w:rsid w:val="00154808"/>
    <w:rsid w:val="00154C5D"/>
    <w:rsid w:val="00155138"/>
    <w:rsid w:val="0015574F"/>
    <w:rsid w:val="00155A1B"/>
    <w:rsid w:val="00155C0C"/>
    <w:rsid w:val="00155E56"/>
    <w:rsid w:val="00156179"/>
    <w:rsid w:val="0015626F"/>
    <w:rsid w:val="0015627B"/>
    <w:rsid w:val="0015660E"/>
    <w:rsid w:val="00156B0D"/>
    <w:rsid w:val="00156DA9"/>
    <w:rsid w:val="0015719D"/>
    <w:rsid w:val="00157247"/>
    <w:rsid w:val="001574EB"/>
    <w:rsid w:val="00157851"/>
    <w:rsid w:val="00157D5D"/>
    <w:rsid w:val="00157EE8"/>
    <w:rsid w:val="00157EEE"/>
    <w:rsid w:val="001603D7"/>
    <w:rsid w:val="0016094C"/>
    <w:rsid w:val="00160BA8"/>
    <w:rsid w:val="00160CFE"/>
    <w:rsid w:val="00160E17"/>
    <w:rsid w:val="00161922"/>
    <w:rsid w:val="00161946"/>
    <w:rsid w:val="00161C70"/>
    <w:rsid w:val="00161DF2"/>
    <w:rsid w:val="00162533"/>
    <w:rsid w:val="00163663"/>
    <w:rsid w:val="00163800"/>
    <w:rsid w:val="00163D72"/>
    <w:rsid w:val="00163E03"/>
    <w:rsid w:val="001640D7"/>
    <w:rsid w:val="00164455"/>
    <w:rsid w:val="00164700"/>
    <w:rsid w:val="00164B0B"/>
    <w:rsid w:val="001650E7"/>
    <w:rsid w:val="0016564A"/>
    <w:rsid w:val="00165988"/>
    <w:rsid w:val="0016643A"/>
    <w:rsid w:val="00166682"/>
    <w:rsid w:val="0016696B"/>
    <w:rsid w:val="00166E9B"/>
    <w:rsid w:val="00167B33"/>
    <w:rsid w:val="00170153"/>
    <w:rsid w:val="001703C0"/>
    <w:rsid w:val="00170614"/>
    <w:rsid w:val="001707B1"/>
    <w:rsid w:val="0017192E"/>
    <w:rsid w:val="00172094"/>
    <w:rsid w:val="0017293C"/>
    <w:rsid w:val="001729E8"/>
    <w:rsid w:val="001731DF"/>
    <w:rsid w:val="00173A22"/>
    <w:rsid w:val="00173A89"/>
    <w:rsid w:val="00173B51"/>
    <w:rsid w:val="001743A0"/>
    <w:rsid w:val="001747EE"/>
    <w:rsid w:val="00174BED"/>
    <w:rsid w:val="00174E11"/>
    <w:rsid w:val="00174E72"/>
    <w:rsid w:val="00174FC2"/>
    <w:rsid w:val="001751AC"/>
    <w:rsid w:val="00175700"/>
    <w:rsid w:val="0017579D"/>
    <w:rsid w:val="001767DE"/>
    <w:rsid w:val="0017689D"/>
    <w:rsid w:val="0017709D"/>
    <w:rsid w:val="001772A6"/>
    <w:rsid w:val="001774D8"/>
    <w:rsid w:val="001776D5"/>
    <w:rsid w:val="00180615"/>
    <w:rsid w:val="0018061E"/>
    <w:rsid w:val="0018081D"/>
    <w:rsid w:val="00180948"/>
    <w:rsid w:val="00180BF9"/>
    <w:rsid w:val="00180E3E"/>
    <w:rsid w:val="0018142B"/>
    <w:rsid w:val="001816F7"/>
    <w:rsid w:val="00182260"/>
    <w:rsid w:val="001822AD"/>
    <w:rsid w:val="0018230B"/>
    <w:rsid w:val="00182505"/>
    <w:rsid w:val="001825DF"/>
    <w:rsid w:val="00182E76"/>
    <w:rsid w:val="0018327D"/>
    <w:rsid w:val="0018328A"/>
    <w:rsid w:val="00183A70"/>
    <w:rsid w:val="00183C31"/>
    <w:rsid w:val="00183CC4"/>
    <w:rsid w:val="00184030"/>
    <w:rsid w:val="001844B6"/>
    <w:rsid w:val="00184500"/>
    <w:rsid w:val="001846A5"/>
    <w:rsid w:val="0018493C"/>
    <w:rsid w:val="00184D5B"/>
    <w:rsid w:val="00185037"/>
    <w:rsid w:val="00185431"/>
    <w:rsid w:val="001859C5"/>
    <w:rsid w:val="00185A12"/>
    <w:rsid w:val="00185A71"/>
    <w:rsid w:val="00185FED"/>
    <w:rsid w:val="0018627A"/>
    <w:rsid w:val="001869FE"/>
    <w:rsid w:val="00186D2C"/>
    <w:rsid w:val="0018737F"/>
    <w:rsid w:val="00187792"/>
    <w:rsid w:val="0018787A"/>
    <w:rsid w:val="00187BA9"/>
    <w:rsid w:val="00187C04"/>
    <w:rsid w:val="00190574"/>
    <w:rsid w:val="0019087C"/>
    <w:rsid w:val="00190920"/>
    <w:rsid w:val="00190BC5"/>
    <w:rsid w:val="0019165C"/>
    <w:rsid w:val="001917B1"/>
    <w:rsid w:val="00191A17"/>
    <w:rsid w:val="00191CFA"/>
    <w:rsid w:val="001920DE"/>
    <w:rsid w:val="00192189"/>
    <w:rsid w:val="00192982"/>
    <w:rsid w:val="00192E41"/>
    <w:rsid w:val="00192F1B"/>
    <w:rsid w:val="0019307C"/>
    <w:rsid w:val="0019311A"/>
    <w:rsid w:val="00193988"/>
    <w:rsid w:val="00193FF7"/>
    <w:rsid w:val="0019493A"/>
    <w:rsid w:val="001949BE"/>
    <w:rsid w:val="00195066"/>
    <w:rsid w:val="0019515A"/>
    <w:rsid w:val="00195221"/>
    <w:rsid w:val="0019540F"/>
    <w:rsid w:val="00195493"/>
    <w:rsid w:val="00195916"/>
    <w:rsid w:val="00195FB6"/>
    <w:rsid w:val="00196273"/>
    <w:rsid w:val="00196364"/>
    <w:rsid w:val="00196BB5"/>
    <w:rsid w:val="00196CBA"/>
    <w:rsid w:val="00196F4B"/>
    <w:rsid w:val="0019752E"/>
    <w:rsid w:val="001A0486"/>
    <w:rsid w:val="001A0F83"/>
    <w:rsid w:val="001A101F"/>
    <w:rsid w:val="001A1455"/>
    <w:rsid w:val="001A1A2E"/>
    <w:rsid w:val="001A2550"/>
    <w:rsid w:val="001A256E"/>
    <w:rsid w:val="001A2649"/>
    <w:rsid w:val="001A2ADA"/>
    <w:rsid w:val="001A2C16"/>
    <w:rsid w:val="001A361C"/>
    <w:rsid w:val="001A36C4"/>
    <w:rsid w:val="001A36E3"/>
    <w:rsid w:val="001A36FE"/>
    <w:rsid w:val="001A4141"/>
    <w:rsid w:val="001A4806"/>
    <w:rsid w:val="001A4EBE"/>
    <w:rsid w:val="001A4FF0"/>
    <w:rsid w:val="001A5008"/>
    <w:rsid w:val="001A5573"/>
    <w:rsid w:val="001A576A"/>
    <w:rsid w:val="001A57CF"/>
    <w:rsid w:val="001A5A24"/>
    <w:rsid w:val="001A5D67"/>
    <w:rsid w:val="001A5F31"/>
    <w:rsid w:val="001A625F"/>
    <w:rsid w:val="001A62E6"/>
    <w:rsid w:val="001A636D"/>
    <w:rsid w:val="001A68B1"/>
    <w:rsid w:val="001A73F6"/>
    <w:rsid w:val="001A79B2"/>
    <w:rsid w:val="001A7FC9"/>
    <w:rsid w:val="001B0B89"/>
    <w:rsid w:val="001B12DC"/>
    <w:rsid w:val="001B25AB"/>
    <w:rsid w:val="001B2907"/>
    <w:rsid w:val="001B2BA3"/>
    <w:rsid w:val="001B2CAA"/>
    <w:rsid w:val="001B36AC"/>
    <w:rsid w:val="001B36B0"/>
    <w:rsid w:val="001B379C"/>
    <w:rsid w:val="001B379E"/>
    <w:rsid w:val="001B3C8A"/>
    <w:rsid w:val="001B3FE1"/>
    <w:rsid w:val="001B4388"/>
    <w:rsid w:val="001B4B5F"/>
    <w:rsid w:val="001B4D02"/>
    <w:rsid w:val="001B5114"/>
    <w:rsid w:val="001B5149"/>
    <w:rsid w:val="001B5430"/>
    <w:rsid w:val="001B5984"/>
    <w:rsid w:val="001B5AAB"/>
    <w:rsid w:val="001B5FF5"/>
    <w:rsid w:val="001B64A9"/>
    <w:rsid w:val="001B64EA"/>
    <w:rsid w:val="001B67B5"/>
    <w:rsid w:val="001B6D55"/>
    <w:rsid w:val="001B6F1D"/>
    <w:rsid w:val="001B73CA"/>
    <w:rsid w:val="001B75C9"/>
    <w:rsid w:val="001B77D7"/>
    <w:rsid w:val="001B7B9A"/>
    <w:rsid w:val="001C028C"/>
    <w:rsid w:val="001C05E3"/>
    <w:rsid w:val="001C06F3"/>
    <w:rsid w:val="001C0B6A"/>
    <w:rsid w:val="001C0BC2"/>
    <w:rsid w:val="001C13E1"/>
    <w:rsid w:val="001C198F"/>
    <w:rsid w:val="001C1C2A"/>
    <w:rsid w:val="001C1DF5"/>
    <w:rsid w:val="001C2436"/>
    <w:rsid w:val="001C2C0D"/>
    <w:rsid w:val="001C2D10"/>
    <w:rsid w:val="001C2E9D"/>
    <w:rsid w:val="001C2F19"/>
    <w:rsid w:val="001C316C"/>
    <w:rsid w:val="001C38E1"/>
    <w:rsid w:val="001C41AD"/>
    <w:rsid w:val="001C43CD"/>
    <w:rsid w:val="001C4649"/>
    <w:rsid w:val="001C4C01"/>
    <w:rsid w:val="001C5575"/>
    <w:rsid w:val="001C5596"/>
    <w:rsid w:val="001C667A"/>
    <w:rsid w:val="001C676F"/>
    <w:rsid w:val="001C6852"/>
    <w:rsid w:val="001C692A"/>
    <w:rsid w:val="001C70B0"/>
    <w:rsid w:val="001D0412"/>
    <w:rsid w:val="001D0687"/>
    <w:rsid w:val="001D06D4"/>
    <w:rsid w:val="001D17CA"/>
    <w:rsid w:val="001D1BB2"/>
    <w:rsid w:val="001D1DAE"/>
    <w:rsid w:val="001D28C1"/>
    <w:rsid w:val="001D2FAC"/>
    <w:rsid w:val="001D3118"/>
    <w:rsid w:val="001D3140"/>
    <w:rsid w:val="001D3386"/>
    <w:rsid w:val="001D353C"/>
    <w:rsid w:val="001D3BEE"/>
    <w:rsid w:val="001D41F2"/>
    <w:rsid w:val="001D42BB"/>
    <w:rsid w:val="001D516B"/>
    <w:rsid w:val="001D541A"/>
    <w:rsid w:val="001D555D"/>
    <w:rsid w:val="001D5832"/>
    <w:rsid w:val="001D6DEF"/>
    <w:rsid w:val="001D78E4"/>
    <w:rsid w:val="001D78E7"/>
    <w:rsid w:val="001D7D49"/>
    <w:rsid w:val="001D7D78"/>
    <w:rsid w:val="001D7EB8"/>
    <w:rsid w:val="001E0041"/>
    <w:rsid w:val="001E0055"/>
    <w:rsid w:val="001E076F"/>
    <w:rsid w:val="001E08AB"/>
    <w:rsid w:val="001E08C3"/>
    <w:rsid w:val="001E0AF2"/>
    <w:rsid w:val="001E0CB6"/>
    <w:rsid w:val="001E1384"/>
    <w:rsid w:val="001E1433"/>
    <w:rsid w:val="001E1A5C"/>
    <w:rsid w:val="001E1B20"/>
    <w:rsid w:val="001E1ED9"/>
    <w:rsid w:val="001E21E6"/>
    <w:rsid w:val="001E2772"/>
    <w:rsid w:val="001E291A"/>
    <w:rsid w:val="001E29FD"/>
    <w:rsid w:val="001E2B09"/>
    <w:rsid w:val="001E2EF6"/>
    <w:rsid w:val="001E3277"/>
    <w:rsid w:val="001E3539"/>
    <w:rsid w:val="001E39E3"/>
    <w:rsid w:val="001E57EC"/>
    <w:rsid w:val="001E6352"/>
    <w:rsid w:val="001E6F1E"/>
    <w:rsid w:val="001E7457"/>
    <w:rsid w:val="001E76F5"/>
    <w:rsid w:val="001F013E"/>
    <w:rsid w:val="001F04F8"/>
    <w:rsid w:val="001F088F"/>
    <w:rsid w:val="001F0B38"/>
    <w:rsid w:val="001F0D6C"/>
    <w:rsid w:val="001F10F1"/>
    <w:rsid w:val="001F1618"/>
    <w:rsid w:val="001F16F9"/>
    <w:rsid w:val="001F1739"/>
    <w:rsid w:val="001F1C86"/>
    <w:rsid w:val="001F20DC"/>
    <w:rsid w:val="001F2232"/>
    <w:rsid w:val="001F23AF"/>
    <w:rsid w:val="001F2C23"/>
    <w:rsid w:val="001F43BD"/>
    <w:rsid w:val="001F469B"/>
    <w:rsid w:val="001F47F8"/>
    <w:rsid w:val="001F5157"/>
    <w:rsid w:val="001F5A6B"/>
    <w:rsid w:val="001F5E61"/>
    <w:rsid w:val="001F62F2"/>
    <w:rsid w:val="001F6302"/>
    <w:rsid w:val="001F63A3"/>
    <w:rsid w:val="001F642F"/>
    <w:rsid w:val="001F64AA"/>
    <w:rsid w:val="001F678D"/>
    <w:rsid w:val="001F6CBB"/>
    <w:rsid w:val="001F6D0E"/>
    <w:rsid w:val="001F6E92"/>
    <w:rsid w:val="001F70FA"/>
    <w:rsid w:val="001F7805"/>
    <w:rsid w:val="001F7A18"/>
    <w:rsid w:val="001F7F76"/>
    <w:rsid w:val="002004E5"/>
    <w:rsid w:val="00200C19"/>
    <w:rsid w:val="00200D20"/>
    <w:rsid w:val="00201238"/>
    <w:rsid w:val="0020129A"/>
    <w:rsid w:val="00201593"/>
    <w:rsid w:val="002027BD"/>
    <w:rsid w:val="00202941"/>
    <w:rsid w:val="00202D14"/>
    <w:rsid w:val="002037FC"/>
    <w:rsid w:val="00203A59"/>
    <w:rsid w:val="00203B49"/>
    <w:rsid w:val="00203C76"/>
    <w:rsid w:val="00204481"/>
    <w:rsid w:val="0020497B"/>
    <w:rsid w:val="002051AD"/>
    <w:rsid w:val="00205998"/>
    <w:rsid w:val="00206077"/>
    <w:rsid w:val="00206335"/>
    <w:rsid w:val="0020699A"/>
    <w:rsid w:val="002069FE"/>
    <w:rsid w:val="00206F11"/>
    <w:rsid w:val="002076AC"/>
    <w:rsid w:val="00207CD7"/>
    <w:rsid w:val="00207F8F"/>
    <w:rsid w:val="0021069F"/>
    <w:rsid w:val="0021246A"/>
    <w:rsid w:val="00212603"/>
    <w:rsid w:val="002127E9"/>
    <w:rsid w:val="00212884"/>
    <w:rsid w:val="002129E2"/>
    <w:rsid w:val="00212F04"/>
    <w:rsid w:val="002130C9"/>
    <w:rsid w:val="00213178"/>
    <w:rsid w:val="0021344C"/>
    <w:rsid w:val="00213617"/>
    <w:rsid w:val="00214418"/>
    <w:rsid w:val="00214602"/>
    <w:rsid w:val="002149AE"/>
    <w:rsid w:val="002150F0"/>
    <w:rsid w:val="00215444"/>
    <w:rsid w:val="00215BC6"/>
    <w:rsid w:val="00216307"/>
    <w:rsid w:val="00216D20"/>
    <w:rsid w:val="00217207"/>
    <w:rsid w:val="00217CD6"/>
    <w:rsid w:val="00217DF8"/>
    <w:rsid w:val="002200AD"/>
    <w:rsid w:val="002203D7"/>
    <w:rsid w:val="00220820"/>
    <w:rsid w:val="00220CB6"/>
    <w:rsid w:val="00221225"/>
    <w:rsid w:val="002215DF"/>
    <w:rsid w:val="0022171E"/>
    <w:rsid w:val="00222973"/>
    <w:rsid w:val="00222DC5"/>
    <w:rsid w:val="00222E01"/>
    <w:rsid w:val="00222FC5"/>
    <w:rsid w:val="00223100"/>
    <w:rsid w:val="0022310E"/>
    <w:rsid w:val="00223424"/>
    <w:rsid w:val="00223450"/>
    <w:rsid w:val="00223660"/>
    <w:rsid w:val="002244A9"/>
    <w:rsid w:val="0022464E"/>
    <w:rsid w:val="00224AD6"/>
    <w:rsid w:val="00224B47"/>
    <w:rsid w:val="00225457"/>
    <w:rsid w:val="002255F5"/>
    <w:rsid w:val="00225FA0"/>
    <w:rsid w:val="00225FA9"/>
    <w:rsid w:val="00226A54"/>
    <w:rsid w:val="00226AE5"/>
    <w:rsid w:val="0022726E"/>
    <w:rsid w:val="002272B6"/>
    <w:rsid w:val="00227644"/>
    <w:rsid w:val="002276C8"/>
    <w:rsid w:val="00227AEE"/>
    <w:rsid w:val="002300AD"/>
    <w:rsid w:val="0023088D"/>
    <w:rsid w:val="00230B49"/>
    <w:rsid w:val="00231B4B"/>
    <w:rsid w:val="00231B5E"/>
    <w:rsid w:val="00232054"/>
    <w:rsid w:val="002329D8"/>
    <w:rsid w:val="00232A84"/>
    <w:rsid w:val="0023361D"/>
    <w:rsid w:val="002337B2"/>
    <w:rsid w:val="00233E95"/>
    <w:rsid w:val="002340FC"/>
    <w:rsid w:val="0023418E"/>
    <w:rsid w:val="0023490E"/>
    <w:rsid w:val="00234A6E"/>
    <w:rsid w:val="00234A86"/>
    <w:rsid w:val="00234DAF"/>
    <w:rsid w:val="00235158"/>
    <w:rsid w:val="00235589"/>
    <w:rsid w:val="002355FF"/>
    <w:rsid w:val="00235D89"/>
    <w:rsid w:val="00235F44"/>
    <w:rsid w:val="00236BCF"/>
    <w:rsid w:val="0023732C"/>
    <w:rsid w:val="002376BF"/>
    <w:rsid w:val="002378A1"/>
    <w:rsid w:val="0023799A"/>
    <w:rsid w:val="002402A3"/>
    <w:rsid w:val="0024071A"/>
    <w:rsid w:val="0024076B"/>
    <w:rsid w:val="00240888"/>
    <w:rsid w:val="002414BB"/>
    <w:rsid w:val="00241C6F"/>
    <w:rsid w:val="002421DA"/>
    <w:rsid w:val="00242543"/>
    <w:rsid w:val="00242CA0"/>
    <w:rsid w:val="00242E12"/>
    <w:rsid w:val="0024351E"/>
    <w:rsid w:val="00243A73"/>
    <w:rsid w:val="00243AFC"/>
    <w:rsid w:val="00243CEB"/>
    <w:rsid w:val="00243E73"/>
    <w:rsid w:val="00244387"/>
    <w:rsid w:val="002447A7"/>
    <w:rsid w:val="002449AA"/>
    <w:rsid w:val="00244ABE"/>
    <w:rsid w:val="00245EDB"/>
    <w:rsid w:val="00246407"/>
    <w:rsid w:val="00246E26"/>
    <w:rsid w:val="00246FCF"/>
    <w:rsid w:val="00247052"/>
    <w:rsid w:val="002473E8"/>
    <w:rsid w:val="002474F1"/>
    <w:rsid w:val="00247532"/>
    <w:rsid w:val="0024754B"/>
    <w:rsid w:val="002477A1"/>
    <w:rsid w:val="00247A6E"/>
    <w:rsid w:val="00247AA7"/>
    <w:rsid w:val="002500B3"/>
    <w:rsid w:val="0025058C"/>
    <w:rsid w:val="00250679"/>
    <w:rsid w:val="002513F9"/>
    <w:rsid w:val="00251854"/>
    <w:rsid w:val="00251D22"/>
    <w:rsid w:val="00252B6B"/>
    <w:rsid w:val="00252CDF"/>
    <w:rsid w:val="00252D34"/>
    <w:rsid w:val="00252D3B"/>
    <w:rsid w:val="00253364"/>
    <w:rsid w:val="00253B95"/>
    <w:rsid w:val="00254737"/>
    <w:rsid w:val="00254AE8"/>
    <w:rsid w:val="00254C45"/>
    <w:rsid w:val="00254D84"/>
    <w:rsid w:val="00254FC3"/>
    <w:rsid w:val="002555D3"/>
    <w:rsid w:val="00256691"/>
    <w:rsid w:val="00256878"/>
    <w:rsid w:val="002569C2"/>
    <w:rsid w:val="00256BC7"/>
    <w:rsid w:val="00256C18"/>
    <w:rsid w:val="00257663"/>
    <w:rsid w:val="002577E8"/>
    <w:rsid w:val="00260234"/>
    <w:rsid w:val="00260847"/>
    <w:rsid w:val="002612B4"/>
    <w:rsid w:val="0026221D"/>
    <w:rsid w:val="00262221"/>
    <w:rsid w:val="00262603"/>
    <w:rsid w:val="002627C3"/>
    <w:rsid w:val="00262BF3"/>
    <w:rsid w:val="00262E8A"/>
    <w:rsid w:val="00263064"/>
    <w:rsid w:val="00263749"/>
    <w:rsid w:val="00263B93"/>
    <w:rsid w:val="00263E1D"/>
    <w:rsid w:val="00263E36"/>
    <w:rsid w:val="0026460C"/>
    <w:rsid w:val="00264755"/>
    <w:rsid w:val="002652C2"/>
    <w:rsid w:val="00265310"/>
    <w:rsid w:val="002657C1"/>
    <w:rsid w:val="00266003"/>
    <w:rsid w:val="002660E8"/>
    <w:rsid w:val="00266138"/>
    <w:rsid w:val="00266C89"/>
    <w:rsid w:val="002670EE"/>
    <w:rsid w:val="002673BF"/>
    <w:rsid w:val="00267532"/>
    <w:rsid w:val="002676C0"/>
    <w:rsid w:val="002676C7"/>
    <w:rsid w:val="00267A63"/>
    <w:rsid w:val="00267D3B"/>
    <w:rsid w:val="002700D4"/>
    <w:rsid w:val="002703C6"/>
    <w:rsid w:val="002707C4"/>
    <w:rsid w:val="00270BA8"/>
    <w:rsid w:val="00270C46"/>
    <w:rsid w:val="00270E83"/>
    <w:rsid w:val="00270EB4"/>
    <w:rsid w:val="002711A1"/>
    <w:rsid w:val="00271412"/>
    <w:rsid w:val="00271BDC"/>
    <w:rsid w:val="0027281D"/>
    <w:rsid w:val="0027288A"/>
    <w:rsid w:val="00272AB1"/>
    <w:rsid w:val="00272C72"/>
    <w:rsid w:val="00272CF1"/>
    <w:rsid w:val="00272EB0"/>
    <w:rsid w:val="0027304C"/>
    <w:rsid w:val="00273648"/>
    <w:rsid w:val="0027397C"/>
    <w:rsid w:val="00273E38"/>
    <w:rsid w:val="002741E3"/>
    <w:rsid w:val="00274848"/>
    <w:rsid w:val="00275205"/>
    <w:rsid w:val="00275227"/>
    <w:rsid w:val="00275273"/>
    <w:rsid w:val="0027554C"/>
    <w:rsid w:val="00275A00"/>
    <w:rsid w:val="0027629F"/>
    <w:rsid w:val="00276842"/>
    <w:rsid w:val="00276D61"/>
    <w:rsid w:val="00277122"/>
    <w:rsid w:val="00277881"/>
    <w:rsid w:val="00280194"/>
    <w:rsid w:val="00280582"/>
    <w:rsid w:val="002805EB"/>
    <w:rsid w:val="00281062"/>
    <w:rsid w:val="002819F8"/>
    <w:rsid w:val="00284263"/>
    <w:rsid w:val="00285371"/>
    <w:rsid w:val="0028570C"/>
    <w:rsid w:val="0028581E"/>
    <w:rsid w:val="0028613D"/>
    <w:rsid w:val="00287BC8"/>
    <w:rsid w:val="00287F7E"/>
    <w:rsid w:val="002901B0"/>
    <w:rsid w:val="002903ED"/>
    <w:rsid w:val="00290825"/>
    <w:rsid w:val="002908C0"/>
    <w:rsid w:val="0029161F"/>
    <w:rsid w:val="002921FF"/>
    <w:rsid w:val="00293039"/>
    <w:rsid w:val="00293082"/>
    <w:rsid w:val="00293480"/>
    <w:rsid w:val="00293C5A"/>
    <w:rsid w:val="00293D48"/>
    <w:rsid w:val="00293D7A"/>
    <w:rsid w:val="002940C0"/>
    <w:rsid w:val="00294165"/>
    <w:rsid w:val="002941B4"/>
    <w:rsid w:val="00294869"/>
    <w:rsid w:val="00294F92"/>
    <w:rsid w:val="002950E7"/>
    <w:rsid w:val="00295295"/>
    <w:rsid w:val="00295738"/>
    <w:rsid w:val="00295CD4"/>
    <w:rsid w:val="0029628A"/>
    <w:rsid w:val="00296496"/>
    <w:rsid w:val="00296509"/>
    <w:rsid w:val="00296FE0"/>
    <w:rsid w:val="00297CF9"/>
    <w:rsid w:val="002A019F"/>
    <w:rsid w:val="002A0A09"/>
    <w:rsid w:val="002A1137"/>
    <w:rsid w:val="002A1310"/>
    <w:rsid w:val="002A142D"/>
    <w:rsid w:val="002A2255"/>
    <w:rsid w:val="002A2575"/>
    <w:rsid w:val="002A3086"/>
    <w:rsid w:val="002A350B"/>
    <w:rsid w:val="002A351F"/>
    <w:rsid w:val="002A392E"/>
    <w:rsid w:val="002A3E72"/>
    <w:rsid w:val="002A4C38"/>
    <w:rsid w:val="002A52EA"/>
    <w:rsid w:val="002A54A6"/>
    <w:rsid w:val="002A673F"/>
    <w:rsid w:val="002A677E"/>
    <w:rsid w:val="002A6843"/>
    <w:rsid w:val="002A69A2"/>
    <w:rsid w:val="002A6E63"/>
    <w:rsid w:val="002A70A4"/>
    <w:rsid w:val="002A77A5"/>
    <w:rsid w:val="002A77E9"/>
    <w:rsid w:val="002A7AD8"/>
    <w:rsid w:val="002A7C1A"/>
    <w:rsid w:val="002A7D9D"/>
    <w:rsid w:val="002B00A5"/>
    <w:rsid w:val="002B08AE"/>
    <w:rsid w:val="002B1BB5"/>
    <w:rsid w:val="002B1F08"/>
    <w:rsid w:val="002B24F8"/>
    <w:rsid w:val="002B2677"/>
    <w:rsid w:val="002B2728"/>
    <w:rsid w:val="002B276B"/>
    <w:rsid w:val="002B338F"/>
    <w:rsid w:val="002B34B6"/>
    <w:rsid w:val="002B3B0F"/>
    <w:rsid w:val="002B4110"/>
    <w:rsid w:val="002B4130"/>
    <w:rsid w:val="002B421C"/>
    <w:rsid w:val="002B49E3"/>
    <w:rsid w:val="002B4B09"/>
    <w:rsid w:val="002B4CD1"/>
    <w:rsid w:val="002B5342"/>
    <w:rsid w:val="002B5C11"/>
    <w:rsid w:val="002B666B"/>
    <w:rsid w:val="002B7009"/>
    <w:rsid w:val="002B7085"/>
    <w:rsid w:val="002C0A60"/>
    <w:rsid w:val="002C15F2"/>
    <w:rsid w:val="002C1B31"/>
    <w:rsid w:val="002C205C"/>
    <w:rsid w:val="002C21C9"/>
    <w:rsid w:val="002C228B"/>
    <w:rsid w:val="002C2585"/>
    <w:rsid w:val="002C340B"/>
    <w:rsid w:val="002C34AD"/>
    <w:rsid w:val="002C3639"/>
    <w:rsid w:val="002C3657"/>
    <w:rsid w:val="002C417D"/>
    <w:rsid w:val="002C4702"/>
    <w:rsid w:val="002C4995"/>
    <w:rsid w:val="002C4CA6"/>
    <w:rsid w:val="002C4E27"/>
    <w:rsid w:val="002C4F47"/>
    <w:rsid w:val="002C52C9"/>
    <w:rsid w:val="002C5BF9"/>
    <w:rsid w:val="002C5DEA"/>
    <w:rsid w:val="002C6099"/>
    <w:rsid w:val="002C60CD"/>
    <w:rsid w:val="002C71C3"/>
    <w:rsid w:val="002C7674"/>
    <w:rsid w:val="002C7C50"/>
    <w:rsid w:val="002D0402"/>
    <w:rsid w:val="002D09F2"/>
    <w:rsid w:val="002D0E7A"/>
    <w:rsid w:val="002D14B7"/>
    <w:rsid w:val="002D1984"/>
    <w:rsid w:val="002D1DAC"/>
    <w:rsid w:val="002D1F10"/>
    <w:rsid w:val="002D1F22"/>
    <w:rsid w:val="002D1FBC"/>
    <w:rsid w:val="002D226D"/>
    <w:rsid w:val="002D235B"/>
    <w:rsid w:val="002D26F2"/>
    <w:rsid w:val="002D436B"/>
    <w:rsid w:val="002D43E4"/>
    <w:rsid w:val="002D4545"/>
    <w:rsid w:val="002D5357"/>
    <w:rsid w:val="002D5712"/>
    <w:rsid w:val="002D6185"/>
    <w:rsid w:val="002D624F"/>
    <w:rsid w:val="002D62EE"/>
    <w:rsid w:val="002D64C5"/>
    <w:rsid w:val="002D65E8"/>
    <w:rsid w:val="002D6C94"/>
    <w:rsid w:val="002D6F83"/>
    <w:rsid w:val="002D7292"/>
    <w:rsid w:val="002D7B70"/>
    <w:rsid w:val="002D7F2B"/>
    <w:rsid w:val="002D7F5F"/>
    <w:rsid w:val="002E034F"/>
    <w:rsid w:val="002E138F"/>
    <w:rsid w:val="002E13C1"/>
    <w:rsid w:val="002E2198"/>
    <w:rsid w:val="002E235E"/>
    <w:rsid w:val="002E2EA4"/>
    <w:rsid w:val="002E354D"/>
    <w:rsid w:val="002E39FB"/>
    <w:rsid w:val="002E4391"/>
    <w:rsid w:val="002E4589"/>
    <w:rsid w:val="002E45EC"/>
    <w:rsid w:val="002E49BA"/>
    <w:rsid w:val="002E4EE4"/>
    <w:rsid w:val="002E4F7D"/>
    <w:rsid w:val="002E5287"/>
    <w:rsid w:val="002E54CA"/>
    <w:rsid w:val="002E5C51"/>
    <w:rsid w:val="002E5EC0"/>
    <w:rsid w:val="002E6824"/>
    <w:rsid w:val="002E683F"/>
    <w:rsid w:val="002E6B78"/>
    <w:rsid w:val="002E6B83"/>
    <w:rsid w:val="002E7682"/>
    <w:rsid w:val="002E7827"/>
    <w:rsid w:val="002F05C7"/>
    <w:rsid w:val="002F1171"/>
    <w:rsid w:val="002F11AB"/>
    <w:rsid w:val="002F295D"/>
    <w:rsid w:val="002F2A49"/>
    <w:rsid w:val="002F2E12"/>
    <w:rsid w:val="002F2FC3"/>
    <w:rsid w:val="002F3321"/>
    <w:rsid w:val="002F412B"/>
    <w:rsid w:val="002F41BD"/>
    <w:rsid w:val="002F4804"/>
    <w:rsid w:val="002F4AAB"/>
    <w:rsid w:val="002F4B35"/>
    <w:rsid w:val="002F4B73"/>
    <w:rsid w:val="002F4DA3"/>
    <w:rsid w:val="002F4ECB"/>
    <w:rsid w:val="002F5E7B"/>
    <w:rsid w:val="002F605F"/>
    <w:rsid w:val="002F6103"/>
    <w:rsid w:val="002F6477"/>
    <w:rsid w:val="002F6815"/>
    <w:rsid w:val="002F6B0F"/>
    <w:rsid w:val="002F6D23"/>
    <w:rsid w:val="002F7107"/>
    <w:rsid w:val="002F71CA"/>
    <w:rsid w:val="002F7600"/>
    <w:rsid w:val="002F7FDE"/>
    <w:rsid w:val="00300EA0"/>
    <w:rsid w:val="00300FD4"/>
    <w:rsid w:val="003012DC"/>
    <w:rsid w:val="00301596"/>
    <w:rsid w:val="00301CA0"/>
    <w:rsid w:val="003027C6"/>
    <w:rsid w:val="00302904"/>
    <w:rsid w:val="00302ACA"/>
    <w:rsid w:val="00302BB5"/>
    <w:rsid w:val="00302DC8"/>
    <w:rsid w:val="00303402"/>
    <w:rsid w:val="003034B5"/>
    <w:rsid w:val="003035E4"/>
    <w:rsid w:val="00303643"/>
    <w:rsid w:val="0030422E"/>
    <w:rsid w:val="00305AC5"/>
    <w:rsid w:val="00306016"/>
    <w:rsid w:val="0030623C"/>
    <w:rsid w:val="00306854"/>
    <w:rsid w:val="00306AAF"/>
    <w:rsid w:val="003074C7"/>
    <w:rsid w:val="0030758E"/>
    <w:rsid w:val="00307BD5"/>
    <w:rsid w:val="00307DBB"/>
    <w:rsid w:val="00307F81"/>
    <w:rsid w:val="003103AE"/>
    <w:rsid w:val="00310A4C"/>
    <w:rsid w:val="00310FCC"/>
    <w:rsid w:val="00311354"/>
    <w:rsid w:val="0031150A"/>
    <w:rsid w:val="00311603"/>
    <w:rsid w:val="00311932"/>
    <w:rsid w:val="00312018"/>
    <w:rsid w:val="00312275"/>
    <w:rsid w:val="003125E2"/>
    <w:rsid w:val="0031275F"/>
    <w:rsid w:val="00312A15"/>
    <w:rsid w:val="00312EA4"/>
    <w:rsid w:val="00312F2C"/>
    <w:rsid w:val="0031301D"/>
    <w:rsid w:val="003134E9"/>
    <w:rsid w:val="00313746"/>
    <w:rsid w:val="00313FEF"/>
    <w:rsid w:val="00314451"/>
    <w:rsid w:val="0031500E"/>
    <w:rsid w:val="003152A4"/>
    <w:rsid w:val="003153E5"/>
    <w:rsid w:val="00315BEF"/>
    <w:rsid w:val="00315EC1"/>
    <w:rsid w:val="0031625B"/>
    <w:rsid w:val="003165FC"/>
    <w:rsid w:val="00316741"/>
    <w:rsid w:val="00317704"/>
    <w:rsid w:val="00317711"/>
    <w:rsid w:val="00317B23"/>
    <w:rsid w:val="00317BEF"/>
    <w:rsid w:val="0032032D"/>
    <w:rsid w:val="00320557"/>
    <w:rsid w:val="00320B82"/>
    <w:rsid w:val="00320F22"/>
    <w:rsid w:val="00321BD3"/>
    <w:rsid w:val="00321BF3"/>
    <w:rsid w:val="00321D0F"/>
    <w:rsid w:val="00321E01"/>
    <w:rsid w:val="00322390"/>
    <w:rsid w:val="0032253A"/>
    <w:rsid w:val="00323040"/>
    <w:rsid w:val="00323568"/>
    <w:rsid w:val="00323712"/>
    <w:rsid w:val="00323AF5"/>
    <w:rsid w:val="003246E4"/>
    <w:rsid w:val="003250AE"/>
    <w:rsid w:val="003257F4"/>
    <w:rsid w:val="00325B1B"/>
    <w:rsid w:val="003261E3"/>
    <w:rsid w:val="00326553"/>
    <w:rsid w:val="00326932"/>
    <w:rsid w:val="00326C21"/>
    <w:rsid w:val="00326DE9"/>
    <w:rsid w:val="003271A2"/>
    <w:rsid w:val="003301DC"/>
    <w:rsid w:val="00330504"/>
    <w:rsid w:val="00330725"/>
    <w:rsid w:val="0033106B"/>
    <w:rsid w:val="00331695"/>
    <w:rsid w:val="00331A94"/>
    <w:rsid w:val="00331C48"/>
    <w:rsid w:val="00331F14"/>
    <w:rsid w:val="00332CE4"/>
    <w:rsid w:val="003331B2"/>
    <w:rsid w:val="00333F6B"/>
    <w:rsid w:val="00334716"/>
    <w:rsid w:val="00334DC4"/>
    <w:rsid w:val="003361A8"/>
    <w:rsid w:val="00336353"/>
    <w:rsid w:val="00336BDF"/>
    <w:rsid w:val="00336F0F"/>
    <w:rsid w:val="0033730B"/>
    <w:rsid w:val="003378C1"/>
    <w:rsid w:val="003405EC"/>
    <w:rsid w:val="0034078F"/>
    <w:rsid w:val="0034108F"/>
    <w:rsid w:val="00341343"/>
    <w:rsid w:val="00341A6C"/>
    <w:rsid w:val="00341E50"/>
    <w:rsid w:val="003421E1"/>
    <w:rsid w:val="00342432"/>
    <w:rsid w:val="00342455"/>
    <w:rsid w:val="0034259F"/>
    <w:rsid w:val="00342748"/>
    <w:rsid w:val="00342F1D"/>
    <w:rsid w:val="003430A5"/>
    <w:rsid w:val="003439AF"/>
    <w:rsid w:val="003446D5"/>
    <w:rsid w:val="00344E10"/>
    <w:rsid w:val="0034510C"/>
    <w:rsid w:val="00345242"/>
    <w:rsid w:val="0034525A"/>
    <w:rsid w:val="003452A4"/>
    <w:rsid w:val="00345A58"/>
    <w:rsid w:val="003461A0"/>
    <w:rsid w:val="003471FE"/>
    <w:rsid w:val="003472AD"/>
    <w:rsid w:val="003474F8"/>
    <w:rsid w:val="003501C5"/>
    <w:rsid w:val="003502AC"/>
    <w:rsid w:val="0035058D"/>
    <w:rsid w:val="00351664"/>
    <w:rsid w:val="003516DC"/>
    <w:rsid w:val="003519DE"/>
    <w:rsid w:val="00352393"/>
    <w:rsid w:val="0035278A"/>
    <w:rsid w:val="00352F0A"/>
    <w:rsid w:val="0035301C"/>
    <w:rsid w:val="003530D6"/>
    <w:rsid w:val="00353560"/>
    <w:rsid w:val="003538EA"/>
    <w:rsid w:val="00354A83"/>
    <w:rsid w:val="00354DFC"/>
    <w:rsid w:val="003551A6"/>
    <w:rsid w:val="00355445"/>
    <w:rsid w:val="00355791"/>
    <w:rsid w:val="00355891"/>
    <w:rsid w:val="00355B30"/>
    <w:rsid w:val="0035614A"/>
    <w:rsid w:val="00356575"/>
    <w:rsid w:val="003565E1"/>
    <w:rsid w:val="003573DF"/>
    <w:rsid w:val="00357567"/>
    <w:rsid w:val="00360057"/>
    <w:rsid w:val="00360194"/>
    <w:rsid w:val="00360859"/>
    <w:rsid w:val="00360D0D"/>
    <w:rsid w:val="00360F28"/>
    <w:rsid w:val="00361C39"/>
    <w:rsid w:val="00361F99"/>
    <w:rsid w:val="0036293E"/>
    <w:rsid w:val="00362FE5"/>
    <w:rsid w:val="003638DE"/>
    <w:rsid w:val="00364423"/>
    <w:rsid w:val="00364790"/>
    <w:rsid w:val="00364A6D"/>
    <w:rsid w:val="00364B01"/>
    <w:rsid w:val="00364F1F"/>
    <w:rsid w:val="00365E0F"/>
    <w:rsid w:val="00366F44"/>
    <w:rsid w:val="00367DA4"/>
    <w:rsid w:val="00370A18"/>
    <w:rsid w:val="003715BB"/>
    <w:rsid w:val="003717E8"/>
    <w:rsid w:val="00371E59"/>
    <w:rsid w:val="00372764"/>
    <w:rsid w:val="003728E4"/>
    <w:rsid w:val="00372B97"/>
    <w:rsid w:val="00372D00"/>
    <w:rsid w:val="003740B3"/>
    <w:rsid w:val="003743A0"/>
    <w:rsid w:val="003767E7"/>
    <w:rsid w:val="0037711D"/>
    <w:rsid w:val="003774B2"/>
    <w:rsid w:val="00380065"/>
    <w:rsid w:val="00380711"/>
    <w:rsid w:val="003809FB"/>
    <w:rsid w:val="0038112F"/>
    <w:rsid w:val="00381744"/>
    <w:rsid w:val="00381FF0"/>
    <w:rsid w:val="00382BE1"/>
    <w:rsid w:val="00383223"/>
    <w:rsid w:val="003843B5"/>
    <w:rsid w:val="003848CD"/>
    <w:rsid w:val="00384B46"/>
    <w:rsid w:val="00384ED6"/>
    <w:rsid w:val="00385116"/>
    <w:rsid w:val="003855CA"/>
    <w:rsid w:val="00385889"/>
    <w:rsid w:val="00386110"/>
    <w:rsid w:val="00386700"/>
    <w:rsid w:val="003868EA"/>
    <w:rsid w:val="00386A24"/>
    <w:rsid w:val="00386BFE"/>
    <w:rsid w:val="00386E05"/>
    <w:rsid w:val="00387C83"/>
    <w:rsid w:val="00387FE6"/>
    <w:rsid w:val="003900A4"/>
    <w:rsid w:val="003908A6"/>
    <w:rsid w:val="00390938"/>
    <w:rsid w:val="00390BC1"/>
    <w:rsid w:val="00390CD7"/>
    <w:rsid w:val="00390DED"/>
    <w:rsid w:val="00390E14"/>
    <w:rsid w:val="00390E85"/>
    <w:rsid w:val="00391557"/>
    <w:rsid w:val="003919F3"/>
    <w:rsid w:val="0039292E"/>
    <w:rsid w:val="00392B0C"/>
    <w:rsid w:val="003932B8"/>
    <w:rsid w:val="00393456"/>
    <w:rsid w:val="0039360C"/>
    <w:rsid w:val="00393A53"/>
    <w:rsid w:val="00394262"/>
    <w:rsid w:val="00394330"/>
    <w:rsid w:val="00394901"/>
    <w:rsid w:val="00394BDA"/>
    <w:rsid w:val="00394E2F"/>
    <w:rsid w:val="00394FE4"/>
    <w:rsid w:val="003956F3"/>
    <w:rsid w:val="00396067"/>
    <w:rsid w:val="003961F8"/>
    <w:rsid w:val="003961FF"/>
    <w:rsid w:val="00396223"/>
    <w:rsid w:val="003979A8"/>
    <w:rsid w:val="003A047A"/>
    <w:rsid w:val="003A09D5"/>
    <w:rsid w:val="003A1650"/>
    <w:rsid w:val="003A2D7C"/>
    <w:rsid w:val="003A2E34"/>
    <w:rsid w:val="003A3106"/>
    <w:rsid w:val="003A3265"/>
    <w:rsid w:val="003A33B6"/>
    <w:rsid w:val="003A3761"/>
    <w:rsid w:val="003A399F"/>
    <w:rsid w:val="003A3C07"/>
    <w:rsid w:val="003A419E"/>
    <w:rsid w:val="003A4629"/>
    <w:rsid w:val="003A47EC"/>
    <w:rsid w:val="003A4C33"/>
    <w:rsid w:val="003A5093"/>
    <w:rsid w:val="003A536A"/>
    <w:rsid w:val="003A5470"/>
    <w:rsid w:val="003A648C"/>
    <w:rsid w:val="003A6554"/>
    <w:rsid w:val="003A6705"/>
    <w:rsid w:val="003A684D"/>
    <w:rsid w:val="003A6C9E"/>
    <w:rsid w:val="003A7978"/>
    <w:rsid w:val="003A79C5"/>
    <w:rsid w:val="003A79DD"/>
    <w:rsid w:val="003B05CB"/>
    <w:rsid w:val="003B1347"/>
    <w:rsid w:val="003B13A6"/>
    <w:rsid w:val="003B13D5"/>
    <w:rsid w:val="003B14E0"/>
    <w:rsid w:val="003B16F6"/>
    <w:rsid w:val="003B1C82"/>
    <w:rsid w:val="003B26C1"/>
    <w:rsid w:val="003B288C"/>
    <w:rsid w:val="003B3104"/>
    <w:rsid w:val="003B315E"/>
    <w:rsid w:val="003B35B5"/>
    <w:rsid w:val="003B4831"/>
    <w:rsid w:val="003B4E3B"/>
    <w:rsid w:val="003B5080"/>
    <w:rsid w:val="003B56FA"/>
    <w:rsid w:val="003B58AE"/>
    <w:rsid w:val="003B5CAA"/>
    <w:rsid w:val="003B5D02"/>
    <w:rsid w:val="003B5FC9"/>
    <w:rsid w:val="003B63B2"/>
    <w:rsid w:val="003B64ED"/>
    <w:rsid w:val="003B7177"/>
    <w:rsid w:val="003B7248"/>
    <w:rsid w:val="003B76A0"/>
    <w:rsid w:val="003C044D"/>
    <w:rsid w:val="003C04CE"/>
    <w:rsid w:val="003C0BB0"/>
    <w:rsid w:val="003C0DAB"/>
    <w:rsid w:val="003C11F3"/>
    <w:rsid w:val="003C184F"/>
    <w:rsid w:val="003C1880"/>
    <w:rsid w:val="003C1BFF"/>
    <w:rsid w:val="003C1C8D"/>
    <w:rsid w:val="003C1E64"/>
    <w:rsid w:val="003C27B2"/>
    <w:rsid w:val="003C27CB"/>
    <w:rsid w:val="003C3BB7"/>
    <w:rsid w:val="003C3BE9"/>
    <w:rsid w:val="003C43E1"/>
    <w:rsid w:val="003C4494"/>
    <w:rsid w:val="003C5021"/>
    <w:rsid w:val="003C57B7"/>
    <w:rsid w:val="003C5944"/>
    <w:rsid w:val="003C6E52"/>
    <w:rsid w:val="003D0054"/>
    <w:rsid w:val="003D0181"/>
    <w:rsid w:val="003D0205"/>
    <w:rsid w:val="003D0229"/>
    <w:rsid w:val="003D04D0"/>
    <w:rsid w:val="003D0908"/>
    <w:rsid w:val="003D0CB2"/>
    <w:rsid w:val="003D0E05"/>
    <w:rsid w:val="003D18E0"/>
    <w:rsid w:val="003D1D1D"/>
    <w:rsid w:val="003D1F05"/>
    <w:rsid w:val="003D2074"/>
    <w:rsid w:val="003D27E8"/>
    <w:rsid w:val="003D2E6C"/>
    <w:rsid w:val="003D3262"/>
    <w:rsid w:val="003D3770"/>
    <w:rsid w:val="003D400F"/>
    <w:rsid w:val="003D41BE"/>
    <w:rsid w:val="003D4AA8"/>
    <w:rsid w:val="003D566A"/>
    <w:rsid w:val="003D574F"/>
    <w:rsid w:val="003D57F8"/>
    <w:rsid w:val="003D5D34"/>
    <w:rsid w:val="003D605A"/>
    <w:rsid w:val="003D617A"/>
    <w:rsid w:val="003D66C2"/>
    <w:rsid w:val="003D6D4D"/>
    <w:rsid w:val="003D7220"/>
    <w:rsid w:val="003D7439"/>
    <w:rsid w:val="003D7748"/>
    <w:rsid w:val="003E00B6"/>
    <w:rsid w:val="003E0659"/>
    <w:rsid w:val="003E0B71"/>
    <w:rsid w:val="003E0D17"/>
    <w:rsid w:val="003E1B46"/>
    <w:rsid w:val="003E1C03"/>
    <w:rsid w:val="003E233E"/>
    <w:rsid w:val="003E23AA"/>
    <w:rsid w:val="003E23FE"/>
    <w:rsid w:val="003E26D4"/>
    <w:rsid w:val="003E2A74"/>
    <w:rsid w:val="003E2CF3"/>
    <w:rsid w:val="003E3409"/>
    <w:rsid w:val="003E4CFD"/>
    <w:rsid w:val="003E54E5"/>
    <w:rsid w:val="003E567D"/>
    <w:rsid w:val="003E610C"/>
    <w:rsid w:val="003E75D1"/>
    <w:rsid w:val="003E7981"/>
    <w:rsid w:val="003F06E6"/>
    <w:rsid w:val="003F1769"/>
    <w:rsid w:val="003F1DB6"/>
    <w:rsid w:val="003F2A8D"/>
    <w:rsid w:val="003F2DDD"/>
    <w:rsid w:val="003F2E33"/>
    <w:rsid w:val="003F2ED5"/>
    <w:rsid w:val="003F347B"/>
    <w:rsid w:val="003F35BC"/>
    <w:rsid w:val="003F36A7"/>
    <w:rsid w:val="003F37EC"/>
    <w:rsid w:val="003F37F4"/>
    <w:rsid w:val="003F39E4"/>
    <w:rsid w:val="003F3A93"/>
    <w:rsid w:val="003F4042"/>
    <w:rsid w:val="003F47E9"/>
    <w:rsid w:val="003F51BA"/>
    <w:rsid w:val="003F5384"/>
    <w:rsid w:val="003F53E4"/>
    <w:rsid w:val="003F57EC"/>
    <w:rsid w:val="003F5800"/>
    <w:rsid w:val="003F58E5"/>
    <w:rsid w:val="003F695D"/>
    <w:rsid w:val="003F6A15"/>
    <w:rsid w:val="003F6DF7"/>
    <w:rsid w:val="003F7521"/>
    <w:rsid w:val="003F79BD"/>
    <w:rsid w:val="004006D7"/>
    <w:rsid w:val="0040114E"/>
    <w:rsid w:val="004015E2"/>
    <w:rsid w:val="00401620"/>
    <w:rsid w:val="00401A16"/>
    <w:rsid w:val="00402A0F"/>
    <w:rsid w:val="00402AE2"/>
    <w:rsid w:val="00402CF2"/>
    <w:rsid w:val="00403B2A"/>
    <w:rsid w:val="00403C35"/>
    <w:rsid w:val="00404162"/>
    <w:rsid w:val="00404217"/>
    <w:rsid w:val="004045FE"/>
    <w:rsid w:val="0040466D"/>
    <w:rsid w:val="004047BA"/>
    <w:rsid w:val="00405091"/>
    <w:rsid w:val="00405536"/>
    <w:rsid w:val="0040555D"/>
    <w:rsid w:val="004056E3"/>
    <w:rsid w:val="0040589A"/>
    <w:rsid w:val="00405905"/>
    <w:rsid w:val="00405F21"/>
    <w:rsid w:val="00405F3B"/>
    <w:rsid w:val="0040625E"/>
    <w:rsid w:val="0040642C"/>
    <w:rsid w:val="00406765"/>
    <w:rsid w:val="00406808"/>
    <w:rsid w:val="00406A7D"/>
    <w:rsid w:val="0040739B"/>
    <w:rsid w:val="0040741D"/>
    <w:rsid w:val="00407483"/>
    <w:rsid w:val="00407F98"/>
    <w:rsid w:val="00407FF8"/>
    <w:rsid w:val="0041066D"/>
    <w:rsid w:val="004106D8"/>
    <w:rsid w:val="004114E3"/>
    <w:rsid w:val="00411A9C"/>
    <w:rsid w:val="00412148"/>
    <w:rsid w:val="00412287"/>
    <w:rsid w:val="0041230A"/>
    <w:rsid w:val="00412375"/>
    <w:rsid w:val="0041308C"/>
    <w:rsid w:val="004130C0"/>
    <w:rsid w:val="00413242"/>
    <w:rsid w:val="004139F6"/>
    <w:rsid w:val="00413C82"/>
    <w:rsid w:val="00413CE9"/>
    <w:rsid w:val="004143D9"/>
    <w:rsid w:val="004143F0"/>
    <w:rsid w:val="004145B7"/>
    <w:rsid w:val="00414AAD"/>
    <w:rsid w:val="004151B6"/>
    <w:rsid w:val="004152FF"/>
    <w:rsid w:val="00415A56"/>
    <w:rsid w:val="00415E74"/>
    <w:rsid w:val="00415F60"/>
    <w:rsid w:val="00416D73"/>
    <w:rsid w:val="00416F3F"/>
    <w:rsid w:val="00417193"/>
    <w:rsid w:val="00417439"/>
    <w:rsid w:val="004175F1"/>
    <w:rsid w:val="00417675"/>
    <w:rsid w:val="00417B15"/>
    <w:rsid w:val="00417CAF"/>
    <w:rsid w:val="00417F0D"/>
    <w:rsid w:val="0042081A"/>
    <w:rsid w:val="00420D9D"/>
    <w:rsid w:val="00421A07"/>
    <w:rsid w:val="00421CF3"/>
    <w:rsid w:val="004225FC"/>
    <w:rsid w:val="00422F5F"/>
    <w:rsid w:val="00423713"/>
    <w:rsid w:val="004238C8"/>
    <w:rsid w:val="00424189"/>
    <w:rsid w:val="004242C3"/>
    <w:rsid w:val="00424658"/>
    <w:rsid w:val="004251CD"/>
    <w:rsid w:val="004256B6"/>
    <w:rsid w:val="00425896"/>
    <w:rsid w:val="00425B3D"/>
    <w:rsid w:val="00425E99"/>
    <w:rsid w:val="00425F2F"/>
    <w:rsid w:val="004262DC"/>
    <w:rsid w:val="00426859"/>
    <w:rsid w:val="00426B07"/>
    <w:rsid w:val="00426CE2"/>
    <w:rsid w:val="00427A6E"/>
    <w:rsid w:val="00427B8D"/>
    <w:rsid w:val="00430069"/>
    <w:rsid w:val="00430347"/>
    <w:rsid w:val="0043043C"/>
    <w:rsid w:val="004307C1"/>
    <w:rsid w:val="00430818"/>
    <w:rsid w:val="00430BB9"/>
    <w:rsid w:val="004312BB"/>
    <w:rsid w:val="004315B7"/>
    <w:rsid w:val="004317FF"/>
    <w:rsid w:val="00431947"/>
    <w:rsid w:val="00431D0D"/>
    <w:rsid w:val="00431F89"/>
    <w:rsid w:val="0043232C"/>
    <w:rsid w:val="00432776"/>
    <w:rsid w:val="0043371C"/>
    <w:rsid w:val="00434262"/>
    <w:rsid w:val="00434866"/>
    <w:rsid w:val="00435D50"/>
    <w:rsid w:val="00435D90"/>
    <w:rsid w:val="00435F4D"/>
    <w:rsid w:val="0043613A"/>
    <w:rsid w:val="004367E4"/>
    <w:rsid w:val="00436915"/>
    <w:rsid w:val="00436A9C"/>
    <w:rsid w:val="0043710A"/>
    <w:rsid w:val="004373F6"/>
    <w:rsid w:val="004404B3"/>
    <w:rsid w:val="004404D6"/>
    <w:rsid w:val="00440D69"/>
    <w:rsid w:val="00440ED4"/>
    <w:rsid w:val="00441136"/>
    <w:rsid w:val="0044136F"/>
    <w:rsid w:val="00441745"/>
    <w:rsid w:val="004418AB"/>
    <w:rsid w:val="004418FF"/>
    <w:rsid w:val="00443034"/>
    <w:rsid w:val="00443347"/>
    <w:rsid w:val="0044344A"/>
    <w:rsid w:val="0044345F"/>
    <w:rsid w:val="004434D6"/>
    <w:rsid w:val="004434F3"/>
    <w:rsid w:val="0044380E"/>
    <w:rsid w:val="00443984"/>
    <w:rsid w:val="00443B80"/>
    <w:rsid w:val="00444044"/>
    <w:rsid w:val="00444600"/>
    <w:rsid w:val="00445379"/>
    <w:rsid w:val="0044546C"/>
    <w:rsid w:val="00446156"/>
    <w:rsid w:val="004464DC"/>
    <w:rsid w:val="00446960"/>
    <w:rsid w:val="00446FBC"/>
    <w:rsid w:val="00447260"/>
    <w:rsid w:val="004474AA"/>
    <w:rsid w:val="00447F85"/>
    <w:rsid w:val="004502D6"/>
    <w:rsid w:val="0045088D"/>
    <w:rsid w:val="00450939"/>
    <w:rsid w:val="00450A2A"/>
    <w:rsid w:val="00450EA3"/>
    <w:rsid w:val="00451033"/>
    <w:rsid w:val="00451049"/>
    <w:rsid w:val="004510A3"/>
    <w:rsid w:val="0045152C"/>
    <w:rsid w:val="004515C5"/>
    <w:rsid w:val="00451A69"/>
    <w:rsid w:val="00451B6D"/>
    <w:rsid w:val="00451F75"/>
    <w:rsid w:val="00452143"/>
    <w:rsid w:val="0045267C"/>
    <w:rsid w:val="00452873"/>
    <w:rsid w:val="0045287E"/>
    <w:rsid w:val="004531F4"/>
    <w:rsid w:val="00453891"/>
    <w:rsid w:val="00453B56"/>
    <w:rsid w:val="00453D8B"/>
    <w:rsid w:val="00453F7D"/>
    <w:rsid w:val="00454163"/>
    <w:rsid w:val="00454724"/>
    <w:rsid w:val="00454CA4"/>
    <w:rsid w:val="00454DFA"/>
    <w:rsid w:val="00455067"/>
    <w:rsid w:val="00455480"/>
    <w:rsid w:val="00455915"/>
    <w:rsid w:val="00455F95"/>
    <w:rsid w:val="00455FF2"/>
    <w:rsid w:val="0045630C"/>
    <w:rsid w:val="0045633C"/>
    <w:rsid w:val="004567A3"/>
    <w:rsid w:val="0045773B"/>
    <w:rsid w:val="0045779D"/>
    <w:rsid w:val="004601D1"/>
    <w:rsid w:val="004602C0"/>
    <w:rsid w:val="00460339"/>
    <w:rsid w:val="00460807"/>
    <w:rsid w:val="00460C81"/>
    <w:rsid w:val="00461B88"/>
    <w:rsid w:val="00461C6B"/>
    <w:rsid w:val="0046209D"/>
    <w:rsid w:val="00462316"/>
    <w:rsid w:val="004626B0"/>
    <w:rsid w:val="004626C7"/>
    <w:rsid w:val="00462E9A"/>
    <w:rsid w:val="00463A74"/>
    <w:rsid w:val="004640E9"/>
    <w:rsid w:val="0046410E"/>
    <w:rsid w:val="00464326"/>
    <w:rsid w:val="004643FF"/>
    <w:rsid w:val="004647E3"/>
    <w:rsid w:val="00464C32"/>
    <w:rsid w:val="00464D70"/>
    <w:rsid w:val="0046524D"/>
    <w:rsid w:val="00465DB5"/>
    <w:rsid w:val="00465DE8"/>
    <w:rsid w:val="00465E26"/>
    <w:rsid w:val="00465F07"/>
    <w:rsid w:val="004668A9"/>
    <w:rsid w:val="00466C11"/>
    <w:rsid w:val="00467F94"/>
    <w:rsid w:val="00470599"/>
    <w:rsid w:val="00470D4C"/>
    <w:rsid w:val="004712D7"/>
    <w:rsid w:val="00471572"/>
    <w:rsid w:val="004716C5"/>
    <w:rsid w:val="00471859"/>
    <w:rsid w:val="00471D3A"/>
    <w:rsid w:val="00471EA7"/>
    <w:rsid w:val="0047245F"/>
    <w:rsid w:val="004724D0"/>
    <w:rsid w:val="0047296F"/>
    <w:rsid w:val="0047298F"/>
    <w:rsid w:val="004731AC"/>
    <w:rsid w:val="0047336F"/>
    <w:rsid w:val="0047343B"/>
    <w:rsid w:val="004741A5"/>
    <w:rsid w:val="00474419"/>
    <w:rsid w:val="004746E5"/>
    <w:rsid w:val="00474BEF"/>
    <w:rsid w:val="00474E9E"/>
    <w:rsid w:val="004755E4"/>
    <w:rsid w:val="00475643"/>
    <w:rsid w:val="0047659D"/>
    <w:rsid w:val="00476B11"/>
    <w:rsid w:val="00476EAA"/>
    <w:rsid w:val="0047733D"/>
    <w:rsid w:val="004776E2"/>
    <w:rsid w:val="00477B1D"/>
    <w:rsid w:val="0048016A"/>
    <w:rsid w:val="0048017D"/>
    <w:rsid w:val="0048035B"/>
    <w:rsid w:val="00480491"/>
    <w:rsid w:val="00480715"/>
    <w:rsid w:val="00480A0C"/>
    <w:rsid w:val="00480DD9"/>
    <w:rsid w:val="004813FA"/>
    <w:rsid w:val="00481C75"/>
    <w:rsid w:val="00481E42"/>
    <w:rsid w:val="004826C9"/>
    <w:rsid w:val="00482A5F"/>
    <w:rsid w:val="0048302B"/>
    <w:rsid w:val="0048310C"/>
    <w:rsid w:val="004834A4"/>
    <w:rsid w:val="0048388C"/>
    <w:rsid w:val="00483B07"/>
    <w:rsid w:val="00483BB8"/>
    <w:rsid w:val="00483F7A"/>
    <w:rsid w:val="0048443B"/>
    <w:rsid w:val="00484CE7"/>
    <w:rsid w:val="00484D15"/>
    <w:rsid w:val="00484F1A"/>
    <w:rsid w:val="00485192"/>
    <w:rsid w:val="00485766"/>
    <w:rsid w:val="00485903"/>
    <w:rsid w:val="00485B21"/>
    <w:rsid w:val="00485D42"/>
    <w:rsid w:val="00485D4F"/>
    <w:rsid w:val="004861EA"/>
    <w:rsid w:val="00486AE4"/>
    <w:rsid w:val="00487754"/>
    <w:rsid w:val="00490066"/>
    <w:rsid w:val="00490071"/>
    <w:rsid w:val="004912EC"/>
    <w:rsid w:val="004914C1"/>
    <w:rsid w:val="00491513"/>
    <w:rsid w:val="00491610"/>
    <w:rsid w:val="004916A3"/>
    <w:rsid w:val="00491B28"/>
    <w:rsid w:val="00491C5C"/>
    <w:rsid w:val="00491DDD"/>
    <w:rsid w:val="004920E8"/>
    <w:rsid w:val="004922D5"/>
    <w:rsid w:val="004924E3"/>
    <w:rsid w:val="0049275E"/>
    <w:rsid w:val="00492AC7"/>
    <w:rsid w:val="00492F98"/>
    <w:rsid w:val="004932A0"/>
    <w:rsid w:val="00494036"/>
    <w:rsid w:val="00494177"/>
    <w:rsid w:val="004941C1"/>
    <w:rsid w:val="00494539"/>
    <w:rsid w:val="00494990"/>
    <w:rsid w:val="004949DE"/>
    <w:rsid w:val="00494CDC"/>
    <w:rsid w:val="004954A2"/>
    <w:rsid w:val="004955A5"/>
    <w:rsid w:val="00495892"/>
    <w:rsid w:val="00495A95"/>
    <w:rsid w:val="00495BA4"/>
    <w:rsid w:val="00495C2E"/>
    <w:rsid w:val="00495F9C"/>
    <w:rsid w:val="00496D3E"/>
    <w:rsid w:val="00496DB9"/>
    <w:rsid w:val="004979F4"/>
    <w:rsid w:val="00497A00"/>
    <w:rsid w:val="00497A56"/>
    <w:rsid w:val="00497F12"/>
    <w:rsid w:val="004A0008"/>
    <w:rsid w:val="004A079B"/>
    <w:rsid w:val="004A0C75"/>
    <w:rsid w:val="004A1095"/>
    <w:rsid w:val="004A132E"/>
    <w:rsid w:val="004A14DE"/>
    <w:rsid w:val="004A155A"/>
    <w:rsid w:val="004A173E"/>
    <w:rsid w:val="004A1DE4"/>
    <w:rsid w:val="004A1EE1"/>
    <w:rsid w:val="004A22CE"/>
    <w:rsid w:val="004A2CE9"/>
    <w:rsid w:val="004A2D52"/>
    <w:rsid w:val="004A300F"/>
    <w:rsid w:val="004A305C"/>
    <w:rsid w:val="004A3138"/>
    <w:rsid w:val="004A3320"/>
    <w:rsid w:val="004A35C1"/>
    <w:rsid w:val="004A3DFE"/>
    <w:rsid w:val="004A40DE"/>
    <w:rsid w:val="004A45AE"/>
    <w:rsid w:val="004A4BE8"/>
    <w:rsid w:val="004A4FE1"/>
    <w:rsid w:val="004A598F"/>
    <w:rsid w:val="004A5EA9"/>
    <w:rsid w:val="004A6804"/>
    <w:rsid w:val="004A6892"/>
    <w:rsid w:val="004A6DAA"/>
    <w:rsid w:val="004A70DA"/>
    <w:rsid w:val="004A77DF"/>
    <w:rsid w:val="004A7F4B"/>
    <w:rsid w:val="004B028B"/>
    <w:rsid w:val="004B0737"/>
    <w:rsid w:val="004B08D6"/>
    <w:rsid w:val="004B0B95"/>
    <w:rsid w:val="004B0FD4"/>
    <w:rsid w:val="004B1035"/>
    <w:rsid w:val="004B11F2"/>
    <w:rsid w:val="004B120A"/>
    <w:rsid w:val="004B12A6"/>
    <w:rsid w:val="004B1377"/>
    <w:rsid w:val="004B138D"/>
    <w:rsid w:val="004B1549"/>
    <w:rsid w:val="004B2254"/>
    <w:rsid w:val="004B275C"/>
    <w:rsid w:val="004B278F"/>
    <w:rsid w:val="004B2A14"/>
    <w:rsid w:val="004B2AD5"/>
    <w:rsid w:val="004B3216"/>
    <w:rsid w:val="004B3349"/>
    <w:rsid w:val="004B3640"/>
    <w:rsid w:val="004B3878"/>
    <w:rsid w:val="004B45A8"/>
    <w:rsid w:val="004B460D"/>
    <w:rsid w:val="004B4663"/>
    <w:rsid w:val="004B4815"/>
    <w:rsid w:val="004B4DC1"/>
    <w:rsid w:val="004B4E85"/>
    <w:rsid w:val="004B4F30"/>
    <w:rsid w:val="004B5A4B"/>
    <w:rsid w:val="004B5AB0"/>
    <w:rsid w:val="004B6B24"/>
    <w:rsid w:val="004B7670"/>
    <w:rsid w:val="004B7981"/>
    <w:rsid w:val="004C01B4"/>
    <w:rsid w:val="004C09DD"/>
    <w:rsid w:val="004C1409"/>
    <w:rsid w:val="004C1A46"/>
    <w:rsid w:val="004C1AF8"/>
    <w:rsid w:val="004C214A"/>
    <w:rsid w:val="004C32CF"/>
    <w:rsid w:val="004C41BF"/>
    <w:rsid w:val="004C4BA3"/>
    <w:rsid w:val="004C4E25"/>
    <w:rsid w:val="004C5555"/>
    <w:rsid w:val="004C593A"/>
    <w:rsid w:val="004C5979"/>
    <w:rsid w:val="004C5BB0"/>
    <w:rsid w:val="004C60FF"/>
    <w:rsid w:val="004C649D"/>
    <w:rsid w:val="004C667C"/>
    <w:rsid w:val="004C6792"/>
    <w:rsid w:val="004C6F19"/>
    <w:rsid w:val="004C6FCF"/>
    <w:rsid w:val="004C745E"/>
    <w:rsid w:val="004C7971"/>
    <w:rsid w:val="004D07F6"/>
    <w:rsid w:val="004D086C"/>
    <w:rsid w:val="004D0D78"/>
    <w:rsid w:val="004D1196"/>
    <w:rsid w:val="004D145D"/>
    <w:rsid w:val="004D1554"/>
    <w:rsid w:val="004D19B6"/>
    <w:rsid w:val="004D1C3D"/>
    <w:rsid w:val="004D1CD2"/>
    <w:rsid w:val="004D20D9"/>
    <w:rsid w:val="004D2377"/>
    <w:rsid w:val="004D239B"/>
    <w:rsid w:val="004D2401"/>
    <w:rsid w:val="004D3B1E"/>
    <w:rsid w:val="004D3C9A"/>
    <w:rsid w:val="004D3CBB"/>
    <w:rsid w:val="004D4055"/>
    <w:rsid w:val="004D49E9"/>
    <w:rsid w:val="004D508D"/>
    <w:rsid w:val="004D5370"/>
    <w:rsid w:val="004D5C8D"/>
    <w:rsid w:val="004D5E8A"/>
    <w:rsid w:val="004D68EB"/>
    <w:rsid w:val="004D7505"/>
    <w:rsid w:val="004D755F"/>
    <w:rsid w:val="004D7904"/>
    <w:rsid w:val="004D7C2E"/>
    <w:rsid w:val="004E02BC"/>
    <w:rsid w:val="004E0740"/>
    <w:rsid w:val="004E09D0"/>
    <w:rsid w:val="004E0BA0"/>
    <w:rsid w:val="004E15F2"/>
    <w:rsid w:val="004E174B"/>
    <w:rsid w:val="004E1AE8"/>
    <w:rsid w:val="004E22CD"/>
    <w:rsid w:val="004E24BD"/>
    <w:rsid w:val="004E2700"/>
    <w:rsid w:val="004E27F6"/>
    <w:rsid w:val="004E299C"/>
    <w:rsid w:val="004E304B"/>
    <w:rsid w:val="004E377E"/>
    <w:rsid w:val="004E3B07"/>
    <w:rsid w:val="004E42D9"/>
    <w:rsid w:val="004E465E"/>
    <w:rsid w:val="004E4DCC"/>
    <w:rsid w:val="004E5D03"/>
    <w:rsid w:val="004E5DC4"/>
    <w:rsid w:val="004E6101"/>
    <w:rsid w:val="004E673F"/>
    <w:rsid w:val="004E6C17"/>
    <w:rsid w:val="004E73A9"/>
    <w:rsid w:val="004E7AAC"/>
    <w:rsid w:val="004F020D"/>
    <w:rsid w:val="004F0F83"/>
    <w:rsid w:val="004F1192"/>
    <w:rsid w:val="004F1657"/>
    <w:rsid w:val="004F1E29"/>
    <w:rsid w:val="004F2431"/>
    <w:rsid w:val="004F27A7"/>
    <w:rsid w:val="004F28FD"/>
    <w:rsid w:val="004F297F"/>
    <w:rsid w:val="004F29E2"/>
    <w:rsid w:val="004F2BF0"/>
    <w:rsid w:val="004F349E"/>
    <w:rsid w:val="004F390F"/>
    <w:rsid w:val="004F3C59"/>
    <w:rsid w:val="004F3C70"/>
    <w:rsid w:val="004F465C"/>
    <w:rsid w:val="004F4BAA"/>
    <w:rsid w:val="004F58A0"/>
    <w:rsid w:val="004F6423"/>
    <w:rsid w:val="004F67E0"/>
    <w:rsid w:val="004F6C86"/>
    <w:rsid w:val="004F6C91"/>
    <w:rsid w:val="004F6E38"/>
    <w:rsid w:val="004F7459"/>
    <w:rsid w:val="00500247"/>
    <w:rsid w:val="00500D17"/>
    <w:rsid w:val="00500FF9"/>
    <w:rsid w:val="00502281"/>
    <w:rsid w:val="00502466"/>
    <w:rsid w:val="005028B8"/>
    <w:rsid w:val="00502DBB"/>
    <w:rsid w:val="0050349A"/>
    <w:rsid w:val="00503C13"/>
    <w:rsid w:val="00503D90"/>
    <w:rsid w:val="00503E09"/>
    <w:rsid w:val="00504BBF"/>
    <w:rsid w:val="00504F3B"/>
    <w:rsid w:val="00505C28"/>
    <w:rsid w:val="00505D80"/>
    <w:rsid w:val="00505E1A"/>
    <w:rsid w:val="00505E24"/>
    <w:rsid w:val="00506022"/>
    <w:rsid w:val="00506903"/>
    <w:rsid w:val="00506B6E"/>
    <w:rsid w:val="00507079"/>
    <w:rsid w:val="005072EF"/>
    <w:rsid w:val="005076A4"/>
    <w:rsid w:val="00507D2E"/>
    <w:rsid w:val="005102BD"/>
    <w:rsid w:val="00510DF7"/>
    <w:rsid w:val="00511738"/>
    <w:rsid w:val="00511D84"/>
    <w:rsid w:val="00511F06"/>
    <w:rsid w:val="005126FD"/>
    <w:rsid w:val="00512EDF"/>
    <w:rsid w:val="00513801"/>
    <w:rsid w:val="00513DAE"/>
    <w:rsid w:val="00514047"/>
    <w:rsid w:val="005145D8"/>
    <w:rsid w:val="005147EE"/>
    <w:rsid w:val="005149CC"/>
    <w:rsid w:val="00514D1F"/>
    <w:rsid w:val="0051537C"/>
    <w:rsid w:val="00515C5A"/>
    <w:rsid w:val="00515EB7"/>
    <w:rsid w:val="00515F32"/>
    <w:rsid w:val="00516201"/>
    <w:rsid w:val="00516252"/>
    <w:rsid w:val="005168C9"/>
    <w:rsid w:val="00516F9F"/>
    <w:rsid w:val="005177C8"/>
    <w:rsid w:val="00517984"/>
    <w:rsid w:val="00517C59"/>
    <w:rsid w:val="00517EF4"/>
    <w:rsid w:val="00521475"/>
    <w:rsid w:val="005219C0"/>
    <w:rsid w:val="00521BAE"/>
    <w:rsid w:val="00521E90"/>
    <w:rsid w:val="005220C9"/>
    <w:rsid w:val="00522B33"/>
    <w:rsid w:val="00522CFD"/>
    <w:rsid w:val="00524421"/>
    <w:rsid w:val="00524698"/>
    <w:rsid w:val="005246EA"/>
    <w:rsid w:val="00524F9D"/>
    <w:rsid w:val="00525490"/>
    <w:rsid w:val="005257F3"/>
    <w:rsid w:val="005260D3"/>
    <w:rsid w:val="00526431"/>
    <w:rsid w:val="00527258"/>
    <w:rsid w:val="00527863"/>
    <w:rsid w:val="00527924"/>
    <w:rsid w:val="005279BF"/>
    <w:rsid w:val="00530373"/>
    <w:rsid w:val="00530780"/>
    <w:rsid w:val="0053148C"/>
    <w:rsid w:val="00531F8C"/>
    <w:rsid w:val="005324C2"/>
    <w:rsid w:val="00532CDA"/>
    <w:rsid w:val="00532DC7"/>
    <w:rsid w:val="0053329D"/>
    <w:rsid w:val="0053367A"/>
    <w:rsid w:val="00533809"/>
    <w:rsid w:val="0053388A"/>
    <w:rsid w:val="00533BCA"/>
    <w:rsid w:val="00533D4F"/>
    <w:rsid w:val="00534043"/>
    <w:rsid w:val="0053441D"/>
    <w:rsid w:val="00534D3D"/>
    <w:rsid w:val="005351D8"/>
    <w:rsid w:val="0053527E"/>
    <w:rsid w:val="00535BD9"/>
    <w:rsid w:val="00535D4B"/>
    <w:rsid w:val="00535F1D"/>
    <w:rsid w:val="00536050"/>
    <w:rsid w:val="0053605B"/>
    <w:rsid w:val="0053610F"/>
    <w:rsid w:val="00536692"/>
    <w:rsid w:val="00536E08"/>
    <w:rsid w:val="00537319"/>
    <w:rsid w:val="00537381"/>
    <w:rsid w:val="00537463"/>
    <w:rsid w:val="00540CD2"/>
    <w:rsid w:val="00540CF1"/>
    <w:rsid w:val="00541ED5"/>
    <w:rsid w:val="005422AC"/>
    <w:rsid w:val="00542ADB"/>
    <w:rsid w:val="0054457F"/>
    <w:rsid w:val="00544757"/>
    <w:rsid w:val="00544B1C"/>
    <w:rsid w:val="00544B36"/>
    <w:rsid w:val="00544B6F"/>
    <w:rsid w:val="00545239"/>
    <w:rsid w:val="00545490"/>
    <w:rsid w:val="00545832"/>
    <w:rsid w:val="00545F4F"/>
    <w:rsid w:val="005460FF"/>
    <w:rsid w:val="00547454"/>
    <w:rsid w:val="00547D4C"/>
    <w:rsid w:val="00550AE4"/>
    <w:rsid w:val="00550C60"/>
    <w:rsid w:val="0055102F"/>
    <w:rsid w:val="00551249"/>
    <w:rsid w:val="00551253"/>
    <w:rsid w:val="00551736"/>
    <w:rsid w:val="00551AEB"/>
    <w:rsid w:val="00552849"/>
    <w:rsid w:val="005537E1"/>
    <w:rsid w:val="00553829"/>
    <w:rsid w:val="00554589"/>
    <w:rsid w:val="00554A22"/>
    <w:rsid w:val="00554ED8"/>
    <w:rsid w:val="00555032"/>
    <w:rsid w:val="00555048"/>
    <w:rsid w:val="0055539A"/>
    <w:rsid w:val="00555717"/>
    <w:rsid w:val="005559B1"/>
    <w:rsid w:val="00555AF5"/>
    <w:rsid w:val="00555D37"/>
    <w:rsid w:val="00555DD9"/>
    <w:rsid w:val="00555EFB"/>
    <w:rsid w:val="00556287"/>
    <w:rsid w:val="005562CA"/>
    <w:rsid w:val="0055661E"/>
    <w:rsid w:val="00556647"/>
    <w:rsid w:val="00556B15"/>
    <w:rsid w:val="005572E5"/>
    <w:rsid w:val="00560127"/>
    <w:rsid w:val="005602DC"/>
    <w:rsid w:val="0056082C"/>
    <w:rsid w:val="00560842"/>
    <w:rsid w:val="00560D75"/>
    <w:rsid w:val="00560E76"/>
    <w:rsid w:val="00560F25"/>
    <w:rsid w:val="005611DB"/>
    <w:rsid w:val="00561577"/>
    <w:rsid w:val="005618B7"/>
    <w:rsid w:val="00561AB5"/>
    <w:rsid w:val="005624F2"/>
    <w:rsid w:val="005642D6"/>
    <w:rsid w:val="005651E8"/>
    <w:rsid w:val="00565206"/>
    <w:rsid w:val="005659DB"/>
    <w:rsid w:val="00565E56"/>
    <w:rsid w:val="0056604A"/>
    <w:rsid w:val="005660C4"/>
    <w:rsid w:val="005679D8"/>
    <w:rsid w:val="00567A18"/>
    <w:rsid w:val="005700CD"/>
    <w:rsid w:val="0057047A"/>
    <w:rsid w:val="0057055D"/>
    <w:rsid w:val="0057069D"/>
    <w:rsid w:val="00570744"/>
    <w:rsid w:val="0057101B"/>
    <w:rsid w:val="00571193"/>
    <w:rsid w:val="005715FF"/>
    <w:rsid w:val="00571987"/>
    <w:rsid w:val="00572153"/>
    <w:rsid w:val="00572AFA"/>
    <w:rsid w:val="00572EC7"/>
    <w:rsid w:val="00572FD5"/>
    <w:rsid w:val="00573002"/>
    <w:rsid w:val="0057380E"/>
    <w:rsid w:val="005741A5"/>
    <w:rsid w:val="005742D6"/>
    <w:rsid w:val="00574874"/>
    <w:rsid w:val="00574BEF"/>
    <w:rsid w:val="00574C48"/>
    <w:rsid w:val="00574F15"/>
    <w:rsid w:val="005752F8"/>
    <w:rsid w:val="0057532D"/>
    <w:rsid w:val="005759EF"/>
    <w:rsid w:val="00575FFD"/>
    <w:rsid w:val="0057648E"/>
    <w:rsid w:val="0057719C"/>
    <w:rsid w:val="0057764C"/>
    <w:rsid w:val="005778C8"/>
    <w:rsid w:val="00577CEC"/>
    <w:rsid w:val="00580B62"/>
    <w:rsid w:val="00580E69"/>
    <w:rsid w:val="00581535"/>
    <w:rsid w:val="00581BEF"/>
    <w:rsid w:val="00581C27"/>
    <w:rsid w:val="005824CD"/>
    <w:rsid w:val="00582668"/>
    <w:rsid w:val="00582CCC"/>
    <w:rsid w:val="005831FE"/>
    <w:rsid w:val="00583C98"/>
    <w:rsid w:val="00583EB5"/>
    <w:rsid w:val="00584608"/>
    <w:rsid w:val="00584A26"/>
    <w:rsid w:val="00584B1B"/>
    <w:rsid w:val="00584C96"/>
    <w:rsid w:val="00585112"/>
    <w:rsid w:val="005852DE"/>
    <w:rsid w:val="00585374"/>
    <w:rsid w:val="00585796"/>
    <w:rsid w:val="00585B7D"/>
    <w:rsid w:val="00585E34"/>
    <w:rsid w:val="00585FA2"/>
    <w:rsid w:val="0058623C"/>
    <w:rsid w:val="005866D8"/>
    <w:rsid w:val="0058714A"/>
    <w:rsid w:val="005871A3"/>
    <w:rsid w:val="00587344"/>
    <w:rsid w:val="005875F3"/>
    <w:rsid w:val="0058796C"/>
    <w:rsid w:val="00587A23"/>
    <w:rsid w:val="00590007"/>
    <w:rsid w:val="00590E12"/>
    <w:rsid w:val="005910C7"/>
    <w:rsid w:val="00591116"/>
    <w:rsid w:val="00591730"/>
    <w:rsid w:val="00591D4B"/>
    <w:rsid w:val="00592242"/>
    <w:rsid w:val="00592365"/>
    <w:rsid w:val="0059281B"/>
    <w:rsid w:val="005929E1"/>
    <w:rsid w:val="00592D94"/>
    <w:rsid w:val="005930C4"/>
    <w:rsid w:val="00593266"/>
    <w:rsid w:val="005933A8"/>
    <w:rsid w:val="0059385E"/>
    <w:rsid w:val="005946CC"/>
    <w:rsid w:val="00594BFD"/>
    <w:rsid w:val="00594DB5"/>
    <w:rsid w:val="00594FFF"/>
    <w:rsid w:val="00595441"/>
    <w:rsid w:val="005958F9"/>
    <w:rsid w:val="00595A3B"/>
    <w:rsid w:val="00595C50"/>
    <w:rsid w:val="00596A2E"/>
    <w:rsid w:val="00596B05"/>
    <w:rsid w:val="00597018"/>
    <w:rsid w:val="005974DB"/>
    <w:rsid w:val="0059785E"/>
    <w:rsid w:val="00597F86"/>
    <w:rsid w:val="005A02EF"/>
    <w:rsid w:val="005A0762"/>
    <w:rsid w:val="005A1C97"/>
    <w:rsid w:val="005A1F98"/>
    <w:rsid w:val="005A31DC"/>
    <w:rsid w:val="005A3340"/>
    <w:rsid w:val="005A3D33"/>
    <w:rsid w:val="005A3E95"/>
    <w:rsid w:val="005A4621"/>
    <w:rsid w:val="005A5DF0"/>
    <w:rsid w:val="005A672E"/>
    <w:rsid w:val="005A6B6C"/>
    <w:rsid w:val="005A6E4F"/>
    <w:rsid w:val="005A72B4"/>
    <w:rsid w:val="005A75E0"/>
    <w:rsid w:val="005A76BC"/>
    <w:rsid w:val="005A7997"/>
    <w:rsid w:val="005A7A52"/>
    <w:rsid w:val="005B01A4"/>
    <w:rsid w:val="005B03AB"/>
    <w:rsid w:val="005B0C33"/>
    <w:rsid w:val="005B0E80"/>
    <w:rsid w:val="005B0EFE"/>
    <w:rsid w:val="005B0F3F"/>
    <w:rsid w:val="005B1742"/>
    <w:rsid w:val="005B1822"/>
    <w:rsid w:val="005B209E"/>
    <w:rsid w:val="005B2652"/>
    <w:rsid w:val="005B2D28"/>
    <w:rsid w:val="005B33DD"/>
    <w:rsid w:val="005B357D"/>
    <w:rsid w:val="005B3AA4"/>
    <w:rsid w:val="005B5261"/>
    <w:rsid w:val="005B54F0"/>
    <w:rsid w:val="005B54F3"/>
    <w:rsid w:val="005B5597"/>
    <w:rsid w:val="005B5D54"/>
    <w:rsid w:val="005B6623"/>
    <w:rsid w:val="005B6762"/>
    <w:rsid w:val="005B6EC6"/>
    <w:rsid w:val="005B705F"/>
    <w:rsid w:val="005B7163"/>
    <w:rsid w:val="005B74A5"/>
    <w:rsid w:val="005B7723"/>
    <w:rsid w:val="005B7CFF"/>
    <w:rsid w:val="005C001B"/>
    <w:rsid w:val="005C05F6"/>
    <w:rsid w:val="005C0623"/>
    <w:rsid w:val="005C06E1"/>
    <w:rsid w:val="005C09FD"/>
    <w:rsid w:val="005C0B67"/>
    <w:rsid w:val="005C0CD0"/>
    <w:rsid w:val="005C0E3E"/>
    <w:rsid w:val="005C187D"/>
    <w:rsid w:val="005C1F6C"/>
    <w:rsid w:val="005C30AD"/>
    <w:rsid w:val="005C3728"/>
    <w:rsid w:val="005C3B3C"/>
    <w:rsid w:val="005C41F2"/>
    <w:rsid w:val="005C4580"/>
    <w:rsid w:val="005C4763"/>
    <w:rsid w:val="005C4A59"/>
    <w:rsid w:val="005C50BB"/>
    <w:rsid w:val="005C5449"/>
    <w:rsid w:val="005C572F"/>
    <w:rsid w:val="005C5952"/>
    <w:rsid w:val="005C5B4A"/>
    <w:rsid w:val="005C6C65"/>
    <w:rsid w:val="005C7454"/>
    <w:rsid w:val="005C75FC"/>
    <w:rsid w:val="005D00AE"/>
    <w:rsid w:val="005D091E"/>
    <w:rsid w:val="005D09D4"/>
    <w:rsid w:val="005D10FA"/>
    <w:rsid w:val="005D2066"/>
    <w:rsid w:val="005D2967"/>
    <w:rsid w:val="005D2A63"/>
    <w:rsid w:val="005D30E7"/>
    <w:rsid w:val="005D3A2A"/>
    <w:rsid w:val="005D418B"/>
    <w:rsid w:val="005D435A"/>
    <w:rsid w:val="005D436F"/>
    <w:rsid w:val="005D4D57"/>
    <w:rsid w:val="005D583C"/>
    <w:rsid w:val="005D589A"/>
    <w:rsid w:val="005D58AA"/>
    <w:rsid w:val="005D5BCF"/>
    <w:rsid w:val="005D5D5E"/>
    <w:rsid w:val="005D60E9"/>
    <w:rsid w:val="005D634C"/>
    <w:rsid w:val="005D63E8"/>
    <w:rsid w:val="005D6DB2"/>
    <w:rsid w:val="005D703A"/>
    <w:rsid w:val="005D7191"/>
    <w:rsid w:val="005D73BC"/>
    <w:rsid w:val="005D7BC3"/>
    <w:rsid w:val="005E02CA"/>
    <w:rsid w:val="005E042D"/>
    <w:rsid w:val="005E0821"/>
    <w:rsid w:val="005E0E99"/>
    <w:rsid w:val="005E0F05"/>
    <w:rsid w:val="005E1104"/>
    <w:rsid w:val="005E145C"/>
    <w:rsid w:val="005E18B6"/>
    <w:rsid w:val="005E1D08"/>
    <w:rsid w:val="005E2582"/>
    <w:rsid w:val="005E2583"/>
    <w:rsid w:val="005E2844"/>
    <w:rsid w:val="005E2C1E"/>
    <w:rsid w:val="005E2EBB"/>
    <w:rsid w:val="005E2FF1"/>
    <w:rsid w:val="005E3013"/>
    <w:rsid w:val="005E3317"/>
    <w:rsid w:val="005E3341"/>
    <w:rsid w:val="005E3380"/>
    <w:rsid w:val="005E3437"/>
    <w:rsid w:val="005E3C2C"/>
    <w:rsid w:val="005E4395"/>
    <w:rsid w:val="005E5183"/>
    <w:rsid w:val="005E5768"/>
    <w:rsid w:val="005E59E4"/>
    <w:rsid w:val="005E5F12"/>
    <w:rsid w:val="005E62CE"/>
    <w:rsid w:val="005E6561"/>
    <w:rsid w:val="005E6A44"/>
    <w:rsid w:val="005E7845"/>
    <w:rsid w:val="005E78FE"/>
    <w:rsid w:val="005E7B72"/>
    <w:rsid w:val="005F0957"/>
    <w:rsid w:val="005F0B8B"/>
    <w:rsid w:val="005F0D5B"/>
    <w:rsid w:val="005F1080"/>
    <w:rsid w:val="005F19E0"/>
    <w:rsid w:val="005F236C"/>
    <w:rsid w:val="005F2DB2"/>
    <w:rsid w:val="005F2F20"/>
    <w:rsid w:val="005F30D3"/>
    <w:rsid w:val="005F34CF"/>
    <w:rsid w:val="005F367E"/>
    <w:rsid w:val="005F3B23"/>
    <w:rsid w:val="005F43F0"/>
    <w:rsid w:val="005F4726"/>
    <w:rsid w:val="005F49B9"/>
    <w:rsid w:val="005F4A3F"/>
    <w:rsid w:val="005F4A6B"/>
    <w:rsid w:val="005F4D16"/>
    <w:rsid w:val="005F5153"/>
    <w:rsid w:val="005F5BB6"/>
    <w:rsid w:val="005F6328"/>
    <w:rsid w:val="005F63EE"/>
    <w:rsid w:val="005F6881"/>
    <w:rsid w:val="005F69EC"/>
    <w:rsid w:val="005F6DAD"/>
    <w:rsid w:val="005F6E38"/>
    <w:rsid w:val="005F71E1"/>
    <w:rsid w:val="005F74EA"/>
    <w:rsid w:val="005F79FE"/>
    <w:rsid w:val="00600710"/>
    <w:rsid w:val="00600714"/>
    <w:rsid w:val="00600A93"/>
    <w:rsid w:val="00600AC0"/>
    <w:rsid w:val="00600BB9"/>
    <w:rsid w:val="00600DD0"/>
    <w:rsid w:val="006010A4"/>
    <w:rsid w:val="00601234"/>
    <w:rsid w:val="00601E9D"/>
    <w:rsid w:val="00602178"/>
    <w:rsid w:val="006021B3"/>
    <w:rsid w:val="006026C8"/>
    <w:rsid w:val="006030AE"/>
    <w:rsid w:val="006037B2"/>
    <w:rsid w:val="00603A0D"/>
    <w:rsid w:val="00603B3A"/>
    <w:rsid w:val="00604109"/>
    <w:rsid w:val="00604124"/>
    <w:rsid w:val="0060448D"/>
    <w:rsid w:val="006044E2"/>
    <w:rsid w:val="00604829"/>
    <w:rsid w:val="00604E45"/>
    <w:rsid w:val="00604F29"/>
    <w:rsid w:val="006050FD"/>
    <w:rsid w:val="0060531F"/>
    <w:rsid w:val="0060534D"/>
    <w:rsid w:val="0060565B"/>
    <w:rsid w:val="00605E52"/>
    <w:rsid w:val="00606008"/>
    <w:rsid w:val="00606632"/>
    <w:rsid w:val="0060789D"/>
    <w:rsid w:val="00607A7B"/>
    <w:rsid w:val="0061038D"/>
    <w:rsid w:val="006103AD"/>
    <w:rsid w:val="00610F0A"/>
    <w:rsid w:val="00611087"/>
    <w:rsid w:val="006117FC"/>
    <w:rsid w:val="0061196A"/>
    <w:rsid w:val="00611A52"/>
    <w:rsid w:val="00612ADB"/>
    <w:rsid w:val="00612C41"/>
    <w:rsid w:val="006131AF"/>
    <w:rsid w:val="006133F1"/>
    <w:rsid w:val="00613CF8"/>
    <w:rsid w:val="006141B1"/>
    <w:rsid w:val="006141ED"/>
    <w:rsid w:val="00614B50"/>
    <w:rsid w:val="00614E5C"/>
    <w:rsid w:val="00614F76"/>
    <w:rsid w:val="00615067"/>
    <w:rsid w:val="0061509F"/>
    <w:rsid w:val="006152CB"/>
    <w:rsid w:val="006152CF"/>
    <w:rsid w:val="00615686"/>
    <w:rsid w:val="00615921"/>
    <w:rsid w:val="00615B24"/>
    <w:rsid w:val="0061638D"/>
    <w:rsid w:val="006168A6"/>
    <w:rsid w:val="00616CDE"/>
    <w:rsid w:val="00616E03"/>
    <w:rsid w:val="006174B9"/>
    <w:rsid w:val="00617513"/>
    <w:rsid w:val="00617FA6"/>
    <w:rsid w:val="00620194"/>
    <w:rsid w:val="00620253"/>
    <w:rsid w:val="00620B64"/>
    <w:rsid w:val="00620C21"/>
    <w:rsid w:val="00621915"/>
    <w:rsid w:val="00621C9C"/>
    <w:rsid w:val="00621CA9"/>
    <w:rsid w:val="00621D61"/>
    <w:rsid w:val="006220AD"/>
    <w:rsid w:val="00622112"/>
    <w:rsid w:val="0062245A"/>
    <w:rsid w:val="00622C2F"/>
    <w:rsid w:val="00622D12"/>
    <w:rsid w:val="0062317E"/>
    <w:rsid w:val="006242D7"/>
    <w:rsid w:val="006248A1"/>
    <w:rsid w:val="0062490E"/>
    <w:rsid w:val="00624D4E"/>
    <w:rsid w:val="006250B8"/>
    <w:rsid w:val="00625402"/>
    <w:rsid w:val="006255BD"/>
    <w:rsid w:val="0062676B"/>
    <w:rsid w:val="006267BF"/>
    <w:rsid w:val="00626B06"/>
    <w:rsid w:val="00626BB8"/>
    <w:rsid w:val="0062708A"/>
    <w:rsid w:val="00627199"/>
    <w:rsid w:val="00627340"/>
    <w:rsid w:val="0062784E"/>
    <w:rsid w:val="00630FA6"/>
    <w:rsid w:val="00631356"/>
    <w:rsid w:val="0063147E"/>
    <w:rsid w:val="0063184E"/>
    <w:rsid w:val="00631C45"/>
    <w:rsid w:val="00631F84"/>
    <w:rsid w:val="00632ACF"/>
    <w:rsid w:val="00633D53"/>
    <w:rsid w:val="006342BF"/>
    <w:rsid w:val="006346FF"/>
    <w:rsid w:val="00634AEA"/>
    <w:rsid w:val="00634B61"/>
    <w:rsid w:val="00634C26"/>
    <w:rsid w:val="00634EA2"/>
    <w:rsid w:val="006350D9"/>
    <w:rsid w:val="00635927"/>
    <w:rsid w:val="006366BF"/>
    <w:rsid w:val="0063680D"/>
    <w:rsid w:val="006375B4"/>
    <w:rsid w:val="006404B5"/>
    <w:rsid w:val="00640B58"/>
    <w:rsid w:val="0064105C"/>
    <w:rsid w:val="00641106"/>
    <w:rsid w:val="00641F7E"/>
    <w:rsid w:val="006428B7"/>
    <w:rsid w:val="00642A01"/>
    <w:rsid w:val="00642A82"/>
    <w:rsid w:val="00642F24"/>
    <w:rsid w:val="006431A3"/>
    <w:rsid w:val="006439C8"/>
    <w:rsid w:val="00643E7F"/>
    <w:rsid w:val="00644575"/>
    <w:rsid w:val="006448A0"/>
    <w:rsid w:val="00645523"/>
    <w:rsid w:val="00645E75"/>
    <w:rsid w:val="00646122"/>
    <w:rsid w:val="0064615B"/>
    <w:rsid w:val="0064656A"/>
    <w:rsid w:val="00646AAE"/>
    <w:rsid w:val="00646F9A"/>
    <w:rsid w:val="006472E1"/>
    <w:rsid w:val="006477B8"/>
    <w:rsid w:val="00647875"/>
    <w:rsid w:val="00647B35"/>
    <w:rsid w:val="00647D0E"/>
    <w:rsid w:val="00650308"/>
    <w:rsid w:val="00650D21"/>
    <w:rsid w:val="00650E08"/>
    <w:rsid w:val="0065176F"/>
    <w:rsid w:val="006517D0"/>
    <w:rsid w:val="00651B77"/>
    <w:rsid w:val="006522DF"/>
    <w:rsid w:val="0065289D"/>
    <w:rsid w:val="006528A6"/>
    <w:rsid w:val="0065303B"/>
    <w:rsid w:val="00653657"/>
    <w:rsid w:val="00653A04"/>
    <w:rsid w:val="006549FA"/>
    <w:rsid w:val="00654B95"/>
    <w:rsid w:val="00654F80"/>
    <w:rsid w:val="00657610"/>
    <w:rsid w:val="00657989"/>
    <w:rsid w:val="00657B2C"/>
    <w:rsid w:val="00657E93"/>
    <w:rsid w:val="006602D3"/>
    <w:rsid w:val="00660A52"/>
    <w:rsid w:val="00660CDD"/>
    <w:rsid w:val="006615FA"/>
    <w:rsid w:val="00661BAA"/>
    <w:rsid w:val="00662B43"/>
    <w:rsid w:val="00662CF3"/>
    <w:rsid w:val="00663A5E"/>
    <w:rsid w:val="00663C04"/>
    <w:rsid w:val="00663F57"/>
    <w:rsid w:val="00663F5E"/>
    <w:rsid w:val="00663FD0"/>
    <w:rsid w:val="0066436F"/>
    <w:rsid w:val="006645AA"/>
    <w:rsid w:val="006651CA"/>
    <w:rsid w:val="00665502"/>
    <w:rsid w:val="00665988"/>
    <w:rsid w:val="00665B17"/>
    <w:rsid w:val="006663F5"/>
    <w:rsid w:val="006670F0"/>
    <w:rsid w:val="00667E01"/>
    <w:rsid w:val="00670648"/>
    <w:rsid w:val="0067089E"/>
    <w:rsid w:val="00670BAD"/>
    <w:rsid w:val="00670C85"/>
    <w:rsid w:val="006717F2"/>
    <w:rsid w:val="00671A48"/>
    <w:rsid w:val="006726D2"/>
    <w:rsid w:val="00673483"/>
    <w:rsid w:val="0067374F"/>
    <w:rsid w:val="006737A0"/>
    <w:rsid w:val="00673856"/>
    <w:rsid w:val="006738A7"/>
    <w:rsid w:val="00673E52"/>
    <w:rsid w:val="00673FA3"/>
    <w:rsid w:val="006742EA"/>
    <w:rsid w:val="00674399"/>
    <w:rsid w:val="006744B4"/>
    <w:rsid w:val="00674E30"/>
    <w:rsid w:val="0067502E"/>
    <w:rsid w:val="00675969"/>
    <w:rsid w:val="00675A7D"/>
    <w:rsid w:val="00675BCE"/>
    <w:rsid w:val="00676306"/>
    <w:rsid w:val="006763B5"/>
    <w:rsid w:val="006766F8"/>
    <w:rsid w:val="0067692C"/>
    <w:rsid w:val="00676C61"/>
    <w:rsid w:val="0067756F"/>
    <w:rsid w:val="0068005B"/>
    <w:rsid w:val="0068018A"/>
    <w:rsid w:val="00680301"/>
    <w:rsid w:val="0068083E"/>
    <w:rsid w:val="0068087C"/>
    <w:rsid w:val="006815E6"/>
    <w:rsid w:val="00682190"/>
    <w:rsid w:val="0068254B"/>
    <w:rsid w:val="00682DD6"/>
    <w:rsid w:val="00683242"/>
    <w:rsid w:val="00683329"/>
    <w:rsid w:val="006836DF"/>
    <w:rsid w:val="00683ED5"/>
    <w:rsid w:val="0068445B"/>
    <w:rsid w:val="006849B3"/>
    <w:rsid w:val="00685536"/>
    <w:rsid w:val="00685A0A"/>
    <w:rsid w:val="0068612F"/>
    <w:rsid w:val="006861BE"/>
    <w:rsid w:val="006864CB"/>
    <w:rsid w:val="00686670"/>
    <w:rsid w:val="006867B3"/>
    <w:rsid w:val="00686C57"/>
    <w:rsid w:val="00686FB4"/>
    <w:rsid w:val="00687627"/>
    <w:rsid w:val="00687AA4"/>
    <w:rsid w:val="00687F54"/>
    <w:rsid w:val="00687F69"/>
    <w:rsid w:val="006907AF"/>
    <w:rsid w:val="006909F6"/>
    <w:rsid w:val="00690C81"/>
    <w:rsid w:val="00690D94"/>
    <w:rsid w:val="00690FEA"/>
    <w:rsid w:val="00691017"/>
    <w:rsid w:val="00691EC0"/>
    <w:rsid w:val="00691F61"/>
    <w:rsid w:val="006925D4"/>
    <w:rsid w:val="006926DA"/>
    <w:rsid w:val="00692C1B"/>
    <w:rsid w:val="00692D87"/>
    <w:rsid w:val="00693041"/>
    <w:rsid w:val="0069361A"/>
    <w:rsid w:val="006942BB"/>
    <w:rsid w:val="006947D3"/>
    <w:rsid w:val="00694BFE"/>
    <w:rsid w:val="00694CA3"/>
    <w:rsid w:val="00695213"/>
    <w:rsid w:val="00695C41"/>
    <w:rsid w:val="00695FE4"/>
    <w:rsid w:val="00696092"/>
    <w:rsid w:val="006961AE"/>
    <w:rsid w:val="0069675E"/>
    <w:rsid w:val="006968B9"/>
    <w:rsid w:val="00696D60"/>
    <w:rsid w:val="00697726"/>
    <w:rsid w:val="00697F36"/>
    <w:rsid w:val="00697F96"/>
    <w:rsid w:val="006A015B"/>
    <w:rsid w:val="006A07A0"/>
    <w:rsid w:val="006A086B"/>
    <w:rsid w:val="006A164C"/>
    <w:rsid w:val="006A1658"/>
    <w:rsid w:val="006A1E93"/>
    <w:rsid w:val="006A1FB7"/>
    <w:rsid w:val="006A1FEC"/>
    <w:rsid w:val="006A203B"/>
    <w:rsid w:val="006A2061"/>
    <w:rsid w:val="006A2130"/>
    <w:rsid w:val="006A2A57"/>
    <w:rsid w:val="006A2AEB"/>
    <w:rsid w:val="006A2B1D"/>
    <w:rsid w:val="006A2CA5"/>
    <w:rsid w:val="006A31F2"/>
    <w:rsid w:val="006A3376"/>
    <w:rsid w:val="006A3563"/>
    <w:rsid w:val="006A385E"/>
    <w:rsid w:val="006A3F97"/>
    <w:rsid w:val="006A4D1F"/>
    <w:rsid w:val="006A5038"/>
    <w:rsid w:val="006A52A7"/>
    <w:rsid w:val="006A5B64"/>
    <w:rsid w:val="006A5E1B"/>
    <w:rsid w:val="006A5EA9"/>
    <w:rsid w:val="006A5FE9"/>
    <w:rsid w:val="006A6337"/>
    <w:rsid w:val="006A65BA"/>
    <w:rsid w:val="006A66B3"/>
    <w:rsid w:val="006A723F"/>
    <w:rsid w:val="006A74D5"/>
    <w:rsid w:val="006A768B"/>
    <w:rsid w:val="006A78F2"/>
    <w:rsid w:val="006A7DB0"/>
    <w:rsid w:val="006A7F07"/>
    <w:rsid w:val="006B0804"/>
    <w:rsid w:val="006B0B79"/>
    <w:rsid w:val="006B1938"/>
    <w:rsid w:val="006B19B1"/>
    <w:rsid w:val="006B2A55"/>
    <w:rsid w:val="006B361E"/>
    <w:rsid w:val="006B3DB8"/>
    <w:rsid w:val="006B49E7"/>
    <w:rsid w:val="006B4DC3"/>
    <w:rsid w:val="006B5001"/>
    <w:rsid w:val="006B50A8"/>
    <w:rsid w:val="006B541D"/>
    <w:rsid w:val="006B5BBD"/>
    <w:rsid w:val="006B61FB"/>
    <w:rsid w:val="006B6555"/>
    <w:rsid w:val="006B6BD0"/>
    <w:rsid w:val="006B6E0C"/>
    <w:rsid w:val="006B72EF"/>
    <w:rsid w:val="006B78C3"/>
    <w:rsid w:val="006B7DBA"/>
    <w:rsid w:val="006B7F30"/>
    <w:rsid w:val="006C00A0"/>
    <w:rsid w:val="006C012F"/>
    <w:rsid w:val="006C033D"/>
    <w:rsid w:val="006C0522"/>
    <w:rsid w:val="006C058A"/>
    <w:rsid w:val="006C0886"/>
    <w:rsid w:val="006C0A09"/>
    <w:rsid w:val="006C0C21"/>
    <w:rsid w:val="006C119C"/>
    <w:rsid w:val="006C169B"/>
    <w:rsid w:val="006C1F3C"/>
    <w:rsid w:val="006C1F7A"/>
    <w:rsid w:val="006C2AC8"/>
    <w:rsid w:val="006C2E18"/>
    <w:rsid w:val="006C3298"/>
    <w:rsid w:val="006C366D"/>
    <w:rsid w:val="006C37DC"/>
    <w:rsid w:val="006C3876"/>
    <w:rsid w:val="006C3AB3"/>
    <w:rsid w:val="006C445A"/>
    <w:rsid w:val="006C54DB"/>
    <w:rsid w:val="006C5AF9"/>
    <w:rsid w:val="006C61BD"/>
    <w:rsid w:val="006C6C57"/>
    <w:rsid w:val="006C6D38"/>
    <w:rsid w:val="006C79F7"/>
    <w:rsid w:val="006C7D2C"/>
    <w:rsid w:val="006C7D8D"/>
    <w:rsid w:val="006D1107"/>
    <w:rsid w:val="006D1AD3"/>
    <w:rsid w:val="006D289E"/>
    <w:rsid w:val="006D2DC0"/>
    <w:rsid w:val="006D3136"/>
    <w:rsid w:val="006D324F"/>
    <w:rsid w:val="006D3272"/>
    <w:rsid w:val="006D3402"/>
    <w:rsid w:val="006D354D"/>
    <w:rsid w:val="006D3C4B"/>
    <w:rsid w:val="006D3EE3"/>
    <w:rsid w:val="006D4036"/>
    <w:rsid w:val="006D51B6"/>
    <w:rsid w:val="006D5609"/>
    <w:rsid w:val="006D56CC"/>
    <w:rsid w:val="006D58B3"/>
    <w:rsid w:val="006D6089"/>
    <w:rsid w:val="006D722E"/>
    <w:rsid w:val="006D74E0"/>
    <w:rsid w:val="006D78CC"/>
    <w:rsid w:val="006E0163"/>
    <w:rsid w:val="006E033A"/>
    <w:rsid w:val="006E0639"/>
    <w:rsid w:val="006E0730"/>
    <w:rsid w:val="006E100C"/>
    <w:rsid w:val="006E1434"/>
    <w:rsid w:val="006E19E3"/>
    <w:rsid w:val="006E1A45"/>
    <w:rsid w:val="006E1F2C"/>
    <w:rsid w:val="006E1FD8"/>
    <w:rsid w:val="006E2099"/>
    <w:rsid w:val="006E23F8"/>
    <w:rsid w:val="006E296A"/>
    <w:rsid w:val="006E3C4E"/>
    <w:rsid w:val="006E3E21"/>
    <w:rsid w:val="006E3E71"/>
    <w:rsid w:val="006E3FDF"/>
    <w:rsid w:val="006E42A5"/>
    <w:rsid w:val="006E5818"/>
    <w:rsid w:val="006E6036"/>
    <w:rsid w:val="006E6C3E"/>
    <w:rsid w:val="006F096E"/>
    <w:rsid w:val="006F0AB7"/>
    <w:rsid w:val="006F0E22"/>
    <w:rsid w:val="006F0F80"/>
    <w:rsid w:val="006F109D"/>
    <w:rsid w:val="006F148D"/>
    <w:rsid w:val="006F1A68"/>
    <w:rsid w:val="006F2861"/>
    <w:rsid w:val="006F2A85"/>
    <w:rsid w:val="006F2FEB"/>
    <w:rsid w:val="006F32F2"/>
    <w:rsid w:val="006F34A9"/>
    <w:rsid w:val="006F3978"/>
    <w:rsid w:val="006F3B67"/>
    <w:rsid w:val="006F3D94"/>
    <w:rsid w:val="006F487F"/>
    <w:rsid w:val="006F5AAC"/>
    <w:rsid w:val="006F5E17"/>
    <w:rsid w:val="006F63A1"/>
    <w:rsid w:val="006F7294"/>
    <w:rsid w:val="006F731C"/>
    <w:rsid w:val="006F73EE"/>
    <w:rsid w:val="006F7588"/>
    <w:rsid w:val="006F7758"/>
    <w:rsid w:val="006F7CDD"/>
    <w:rsid w:val="00700095"/>
    <w:rsid w:val="00700197"/>
    <w:rsid w:val="00700410"/>
    <w:rsid w:val="00700425"/>
    <w:rsid w:val="00700914"/>
    <w:rsid w:val="00701392"/>
    <w:rsid w:val="0070169C"/>
    <w:rsid w:val="00701898"/>
    <w:rsid w:val="00701D67"/>
    <w:rsid w:val="00702C95"/>
    <w:rsid w:val="007038F7"/>
    <w:rsid w:val="00703D8D"/>
    <w:rsid w:val="00704266"/>
    <w:rsid w:val="00704524"/>
    <w:rsid w:val="007048E7"/>
    <w:rsid w:val="00704B15"/>
    <w:rsid w:val="00704F01"/>
    <w:rsid w:val="00705057"/>
    <w:rsid w:val="00705773"/>
    <w:rsid w:val="00705DCB"/>
    <w:rsid w:val="00706277"/>
    <w:rsid w:val="00706351"/>
    <w:rsid w:val="0070639B"/>
    <w:rsid w:val="007063DD"/>
    <w:rsid w:val="0070683C"/>
    <w:rsid w:val="00706A75"/>
    <w:rsid w:val="007075D9"/>
    <w:rsid w:val="007076D4"/>
    <w:rsid w:val="0070770B"/>
    <w:rsid w:val="00707B44"/>
    <w:rsid w:val="00707DF8"/>
    <w:rsid w:val="00707E58"/>
    <w:rsid w:val="00710026"/>
    <w:rsid w:val="0071044B"/>
    <w:rsid w:val="00710824"/>
    <w:rsid w:val="007109C9"/>
    <w:rsid w:val="00710B01"/>
    <w:rsid w:val="00710CB9"/>
    <w:rsid w:val="00711284"/>
    <w:rsid w:val="00711A41"/>
    <w:rsid w:val="00711D2D"/>
    <w:rsid w:val="00712207"/>
    <w:rsid w:val="00712220"/>
    <w:rsid w:val="0071280B"/>
    <w:rsid w:val="0071297A"/>
    <w:rsid w:val="00712C5C"/>
    <w:rsid w:val="00712CA3"/>
    <w:rsid w:val="00713095"/>
    <w:rsid w:val="00713158"/>
    <w:rsid w:val="0071321C"/>
    <w:rsid w:val="007132AD"/>
    <w:rsid w:val="007134CC"/>
    <w:rsid w:val="007141FD"/>
    <w:rsid w:val="007145CE"/>
    <w:rsid w:val="00714D2A"/>
    <w:rsid w:val="00714F96"/>
    <w:rsid w:val="00715A12"/>
    <w:rsid w:val="00715AAF"/>
    <w:rsid w:val="0071659A"/>
    <w:rsid w:val="007170C9"/>
    <w:rsid w:val="007172F0"/>
    <w:rsid w:val="00717516"/>
    <w:rsid w:val="00717539"/>
    <w:rsid w:val="00720164"/>
    <w:rsid w:val="00720427"/>
    <w:rsid w:val="00720477"/>
    <w:rsid w:val="00720A2A"/>
    <w:rsid w:val="00720C53"/>
    <w:rsid w:val="00720F7A"/>
    <w:rsid w:val="007213E0"/>
    <w:rsid w:val="00721506"/>
    <w:rsid w:val="00721A76"/>
    <w:rsid w:val="00721D04"/>
    <w:rsid w:val="00721F39"/>
    <w:rsid w:val="00721FDE"/>
    <w:rsid w:val="00722789"/>
    <w:rsid w:val="00722B13"/>
    <w:rsid w:val="0072308D"/>
    <w:rsid w:val="00723E8F"/>
    <w:rsid w:val="00723F86"/>
    <w:rsid w:val="00724063"/>
    <w:rsid w:val="0072431C"/>
    <w:rsid w:val="0072436F"/>
    <w:rsid w:val="0072448D"/>
    <w:rsid w:val="007245F2"/>
    <w:rsid w:val="007247A8"/>
    <w:rsid w:val="00724AE3"/>
    <w:rsid w:val="00724D96"/>
    <w:rsid w:val="00725039"/>
    <w:rsid w:val="00725859"/>
    <w:rsid w:val="00725AA7"/>
    <w:rsid w:val="007262BD"/>
    <w:rsid w:val="007262D8"/>
    <w:rsid w:val="00726A92"/>
    <w:rsid w:val="00726D51"/>
    <w:rsid w:val="00726DAD"/>
    <w:rsid w:val="007270D4"/>
    <w:rsid w:val="00727418"/>
    <w:rsid w:val="00727BB9"/>
    <w:rsid w:val="0073016A"/>
    <w:rsid w:val="007303C8"/>
    <w:rsid w:val="0073076D"/>
    <w:rsid w:val="00730FE2"/>
    <w:rsid w:val="007314C3"/>
    <w:rsid w:val="00731549"/>
    <w:rsid w:val="00731A7B"/>
    <w:rsid w:val="00731FAC"/>
    <w:rsid w:val="00732052"/>
    <w:rsid w:val="0073293D"/>
    <w:rsid w:val="00733791"/>
    <w:rsid w:val="00733CC0"/>
    <w:rsid w:val="00733DD5"/>
    <w:rsid w:val="00733E1A"/>
    <w:rsid w:val="00733E93"/>
    <w:rsid w:val="00734018"/>
    <w:rsid w:val="0073432B"/>
    <w:rsid w:val="00734444"/>
    <w:rsid w:val="00734600"/>
    <w:rsid w:val="00734B42"/>
    <w:rsid w:val="00735291"/>
    <w:rsid w:val="007354D4"/>
    <w:rsid w:val="007357A0"/>
    <w:rsid w:val="00735B72"/>
    <w:rsid w:val="00735CF5"/>
    <w:rsid w:val="0073603A"/>
    <w:rsid w:val="00736532"/>
    <w:rsid w:val="00736675"/>
    <w:rsid w:val="00736760"/>
    <w:rsid w:val="00737226"/>
    <w:rsid w:val="007372DA"/>
    <w:rsid w:val="0073760A"/>
    <w:rsid w:val="0073783B"/>
    <w:rsid w:val="00737AF1"/>
    <w:rsid w:val="00737D2B"/>
    <w:rsid w:val="00741A14"/>
    <w:rsid w:val="00741A80"/>
    <w:rsid w:val="00741A9C"/>
    <w:rsid w:val="00741B9D"/>
    <w:rsid w:val="007423E3"/>
    <w:rsid w:val="0074253E"/>
    <w:rsid w:val="007435F6"/>
    <w:rsid w:val="00743BE4"/>
    <w:rsid w:val="00743CF6"/>
    <w:rsid w:val="00743EC6"/>
    <w:rsid w:val="0074472A"/>
    <w:rsid w:val="00744C8D"/>
    <w:rsid w:val="00745332"/>
    <w:rsid w:val="00745571"/>
    <w:rsid w:val="00745610"/>
    <w:rsid w:val="00745D60"/>
    <w:rsid w:val="00745FF2"/>
    <w:rsid w:val="0074664D"/>
    <w:rsid w:val="00746B25"/>
    <w:rsid w:val="00746C6A"/>
    <w:rsid w:val="00746CEC"/>
    <w:rsid w:val="00746D41"/>
    <w:rsid w:val="007477E7"/>
    <w:rsid w:val="0074782B"/>
    <w:rsid w:val="00747A35"/>
    <w:rsid w:val="00747BE2"/>
    <w:rsid w:val="00747E16"/>
    <w:rsid w:val="00750B60"/>
    <w:rsid w:val="00750E4D"/>
    <w:rsid w:val="00752071"/>
    <w:rsid w:val="007522AD"/>
    <w:rsid w:val="0075252C"/>
    <w:rsid w:val="00752753"/>
    <w:rsid w:val="00752CAF"/>
    <w:rsid w:val="0075309B"/>
    <w:rsid w:val="00753209"/>
    <w:rsid w:val="00753667"/>
    <w:rsid w:val="00753E9E"/>
    <w:rsid w:val="0075459D"/>
    <w:rsid w:val="00754AC1"/>
    <w:rsid w:val="00754B14"/>
    <w:rsid w:val="00755FEA"/>
    <w:rsid w:val="0075645D"/>
    <w:rsid w:val="00756A77"/>
    <w:rsid w:val="00756FA3"/>
    <w:rsid w:val="00757582"/>
    <w:rsid w:val="007577F3"/>
    <w:rsid w:val="00757925"/>
    <w:rsid w:val="00757A95"/>
    <w:rsid w:val="00757B93"/>
    <w:rsid w:val="00757E48"/>
    <w:rsid w:val="00757F53"/>
    <w:rsid w:val="00760610"/>
    <w:rsid w:val="00760621"/>
    <w:rsid w:val="0076094E"/>
    <w:rsid w:val="00760963"/>
    <w:rsid w:val="00760C25"/>
    <w:rsid w:val="00760F13"/>
    <w:rsid w:val="0076112B"/>
    <w:rsid w:val="00761672"/>
    <w:rsid w:val="00761A3A"/>
    <w:rsid w:val="00761B55"/>
    <w:rsid w:val="00761CBA"/>
    <w:rsid w:val="00762648"/>
    <w:rsid w:val="00762919"/>
    <w:rsid w:val="00762920"/>
    <w:rsid w:val="00762D43"/>
    <w:rsid w:val="00762D78"/>
    <w:rsid w:val="00762FCE"/>
    <w:rsid w:val="007637D8"/>
    <w:rsid w:val="00763E5B"/>
    <w:rsid w:val="00763E9E"/>
    <w:rsid w:val="007646C1"/>
    <w:rsid w:val="00764955"/>
    <w:rsid w:val="00765191"/>
    <w:rsid w:val="007651EB"/>
    <w:rsid w:val="007655BA"/>
    <w:rsid w:val="00765ADA"/>
    <w:rsid w:val="00767019"/>
    <w:rsid w:val="00767CA4"/>
    <w:rsid w:val="00770649"/>
    <w:rsid w:val="0077085C"/>
    <w:rsid w:val="007709E6"/>
    <w:rsid w:val="00770CBA"/>
    <w:rsid w:val="00770F49"/>
    <w:rsid w:val="00771320"/>
    <w:rsid w:val="007721D9"/>
    <w:rsid w:val="007723D4"/>
    <w:rsid w:val="00772510"/>
    <w:rsid w:val="0077257B"/>
    <w:rsid w:val="007729DF"/>
    <w:rsid w:val="00772A48"/>
    <w:rsid w:val="00772E02"/>
    <w:rsid w:val="0077378D"/>
    <w:rsid w:val="00773BB4"/>
    <w:rsid w:val="00773C32"/>
    <w:rsid w:val="007742E0"/>
    <w:rsid w:val="00774684"/>
    <w:rsid w:val="00774723"/>
    <w:rsid w:val="00774724"/>
    <w:rsid w:val="00774B29"/>
    <w:rsid w:val="00774E24"/>
    <w:rsid w:val="00774F18"/>
    <w:rsid w:val="00775048"/>
    <w:rsid w:val="00775286"/>
    <w:rsid w:val="007756B5"/>
    <w:rsid w:val="00775E05"/>
    <w:rsid w:val="0077605C"/>
    <w:rsid w:val="00776132"/>
    <w:rsid w:val="007766A1"/>
    <w:rsid w:val="00776910"/>
    <w:rsid w:val="00776DE9"/>
    <w:rsid w:val="0077707D"/>
    <w:rsid w:val="00777645"/>
    <w:rsid w:val="00777893"/>
    <w:rsid w:val="00777D0D"/>
    <w:rsid w:val="00777EDB"/>
    <w:rsid w:val="007800B1"/>
    <w:rsid w:val="007812DD"/>
    <w:rsid w:val="00781D79"/>
    <w:rsid w:val="007822B4"/>
    <w:rsid w:val="00782AAF"/>
    <w:rsid w:val="00782FC8"/>
    <w:rsid w:val="00783472"/>
    <w:rsid w:val="00783BE1"/>
    <w:rsid w:val="00783E24"/>
    <w:rsid w:val="00783FF1"/>
    <w:rsid w:val="007841F0"/>
    <w:rsid w:val="00785775"/>
    <w:rsid w:val="00785CF3"/>
    <w:rsid w:val="00786194"/>
    <w:rsid w:val="007863EA"/>
    <w:rsid w:val="00786C2E"/>
    <w:rsid w:val="007870A6"/>
    <w:rsid w:val="00787144"/>
    <w:rsid w:val="00787EB7"/>
    <w:rsid w:val="00790223"/>
    <w:rsid w:val="007902FC"/>
    <w:rsid w:val="0079034F"/>
    <w:rsid w:val="00790413"/>
    <w:rsid w:val="007907EC"/>
    <w:rsid w:val="00790AB2"/>
    <w:rsid w:val="00790B30"/>
    <w:rsid w:val="00790D0F"/>
    <w:rsid w:val="0079173C"/>
    <w:rsid w:val="007921AC"/>
    <w:rsid w:val="00792A68"/>
    <w:rsid w:val="00793A90"/>
    <w:rsid w:val="00794014"/>
    <w:rsid w:val="00794A35"/>
    <w:rsid w:val="00794AB2"/>
    <w:rsid w:val="00794C9C"/>
    <w:rsid w:val="007958CE"/>
    <w:rsid w:val="00795B53"/>
    <w:rsid w:val="007966AF"/>
    <w:rsid w:val="0079699B"/>
    <w:rsid w:val="00796AE7"/>
    <w:rsid w:val="00796AF5"/>
    <w:rsid w:val="00796CAB"/>
    <w:rsid w:val="007970FD"/>
    <w:rsid w:val="00797367"/>
    <w:rsid w:val="0079743B"/>
    <w:rsid w:val="007974FC"/>
    <w:rsid w:val="00797735"/>
    <w:rsid w:val="0079788F"/>
    <w:rsid w:val="0079789E"/>
    <w:rsid w:val="007A06E8"/>
    <w:rsid w:val="007A1CC8"/>
    <w:rsid w:val="007A24A4"/>
    <w:rsid w:val="007A3AC0"/>
    <w:rsid w:val="007A3B09"/>
    <w:rsid w:val="007A3E63"/>
    <w:rsid w:val="007A45AC"/>
    <w:rsid w:val="007A5214"/>
    <w:rsid w:val="007A52F8"/>
    <w:rsid w:val="007A579F"/>
    <w:rsid w:val="007A589E"/>
    <w:rsid w:val="007A5A1C"/>
    <w:rsid w:val="007A5DBC"/>
    <w:rsid w:val="007A62B9"/>
    <w:rsid w:val="007A690C"/>
    <w:rsid w:val="007A697F"/>
    <w:rsid w:val="007A6C03"/>
    <w:rsid w:val="007A7CFA"/>
    <w:rsid w:val="007A7F28"/>
    <w:rsid w:val="007B0D50"/>
    <w:rsid w:val="007B12FB"/>
    <w:rsid w:val="007B1637"/>
    <w:rsid w:val="007B173F"/>
    <w:rsid w:val="007B1A7D"/>
    <w:rsid w:val="007B2040"/>
    <w:rsid w:val="007B2078"/>
    <w:rsid w:val="007B20D9"/>
    <w:rsid w:val="007B2438"/>
    <w:rsid w:val="007B25FD"/>
    <w:rsid w:val="007B27AD"/>
    <w:rsid w:val="007B29DF"/>
    <w:rsid w:val="007B2A37"/>
    <w:rsid w:val="007B2A5E"/>
    <w:rsid w:val="007B330C"/>
    <w:rsid w:val="007B35A7"/>
    <w:rsid w:val="007B35BF"/>
    <w:rsid w:val="007B3DCA"/>
    <w:rsid w:val="007B3E7C"/>
    <w:rsid w:val="007B43D9"/>
    <w:rsid w:val="007B45C0"/>
    <w:rsid w:val="007B55B4"/>
    <w:rsid w:val="007B5751"/>
    <w:rsid w:val="007B5EFF"/>
    <w:rsid w:val="007B6020"/>
    <w:rsid w:val="007B7729"/>
    <w:rsid w:val="007B7AEC"/>
    <w:rsid w:val="007B7DBC"/>
    <w:rsid w:val="007C002E"/>
    <w:rsid w:val="007C1387"/>
    <w:rsid w:val="007C138E"/>
    <w:rsid w:val="007C1628"/>
    <w:rsid w:val="007C1986"/>
    <w:rsid w:val="007C1B16"/>
    <w:rsid w:val="007C1EFA"/>
    <w:rsid w:val="007C1F13"/>
    <w:rsid w:val="007C2DD2"/>
    <w:rsid w:val="007C2FC2"/>
    <w:rsid w:val="007C3501"/>
    <w:rsid w:val="007C36D6"/>
    <w:rsid w:val="007C3DAD"/>
    <w:rsid w:val="007C4DD2"/>
    <w:rsid w:val="007C4E1D"/>
    <w:rsid w:val="007C5049"/>
    <w:rsid w:val="007C516D"/>
    <w:rsid w:val="007C552B"/>
    <w:rsid w:val="007C5563"/>
    <w:rsid w:val="007C60CD"/>
    <w:rsid w:val="007C6534"/>
    <w:rsid w:val="007C679A"/>
    <w:rsid w:val="007C6984"/>
    <w:rsid w:val="007C6A9F"/>
    <w:rsid w:val="007C6C99"/>
    <w:rsid w:val="007C6E5C"/>
    <w:rsid w:val="007C7796"/>
    <w:rsid w:val="007C78FE"/>
    <w:rsid w:val="007C7908"/>
    <w:rsid w:val="007C7C80"/>
    <w:rsid w:val="007D04BE"/>
    <w:rsid w:val="007D09B1"/>
    <w:rsid w:val="007D09F6"/>
    <w:rsid w:val="007D0A91"/>
    <w:rsid w:val="007D177A"/>
    <w:rsid w:val="007D1911"/>
    <w:rsid w:val="007D1F85"/>
    <w:rsid w:val="007D23EA"/>
    <w:rsid w:val="007D2D68"/>
    <w:rsid w:val="007D38BA"/>
    <w:rsid w:val="007D3CDD"/>
    <w:rsid w:val="007D3D31"/>
    <w:rsid w:val="007D3E35"/>
    <w:rsid w:val="007D4495"/>
    <w:rsid w:val="007D4D11"/>
    <w:rsid w:val="007D5111"/>
    <w:rsid w:val="007D5CCD"/>
    <w:rsid w:val="007D63EE"/>
    <w:rsid w:val="007D67BC"/>
    <w:rsid w:val="007D6C0B"/>
    <w:rsid w:val="007D7298"/>
    <w:rsid w:val="007D739C"/>
    <w:rsid w:val="007D759F"/>
    <w:rsid w:val="007D7BB4"/>
    <w:rsid w:val="007E00BC"/>
    <w:rsid w:val="007E06CA"/>
    <w:rsid w:val="007E1469"/>
    <w:rsid w:val="007E1660"/>
    <w:rsid w:val="007E17A8"/>
    <w:rsid w:val="007E2C58"/>
    <w:rsid w:val="007E2F6E"/>
    <w:rsid w:val="007E36C1"/>
    <w:rsid w:val="007E3D47"/>
    <w:rsid w:val="007E4746"/>
    <w:rsid w:val="007E47D9"/>
    <w:rsid w:val="007E48C9"/>
    <w:rsid w:val="007E4BF0"/>
    <w:rsid w:val="007E4D85"/>
    <w:rsid w:val="007E50EE"/>
    <w:rsid w:val="007E513F"/>
    <w:rsid w:val="007E5853"/>
    <w:rsid w:val="007E5BCE"/>
    <w:rsid w:val="007E6148"/>
    <w:rsid w:val="007E6920"/>
    <w:rsid w:val="007E79F5"/>
    <w:rsid w:val="007E7B95"/>
    <w:rsid w:val="007F0166"/>
    <w:rsid w:val="007F0999"/>
    <w:rsid w:val="007F0F8E"/>
    <w:rsid w:val="007F14E7"/>
    <w:rsid w:val="007F158E"/>
    <w:rsid w:val="007F2509"/>
    <w:rsid w:val="007F2A4D"/>
    <w:rsid w:val="007F2ED2"/>
    <w:rsid w:val="007F330F"/>
    <w:rsid w:val="007F350A"/>
    <w:rsid w:val="007F4C3F"/>
    <w:rsid w:val="007F4C88"/>
    <w:rsid w:val="007F506B"/>
    <w:rsid w:val="007F5772"/>
    <w:rsid w:val="007F5AFD"/>
    <w:rsid w:val="007F5FCA"/>
    <w:rsid w:val="007F6FA1"/>
    <w:rsid w:val="007F6FFB"/>
    <w:rsid w:val="007F73C7"/>
    <w:rsid w:val="007F7BD2"/>
    <w:rsid w:val="007F7E42"/>
    <w:rsid w:val="0080019E"/>
    <w:rsid w:val="00800202"/>
    <w:rsid w:val="00800F33"/>
    <w:rsid w:val="008013B8"/>
    <w:rsid w:val="0080162A"/>
    <w:rsid w:val="00801AA8"/>
    <w:rsid w:val="00802030"/>
    <w:rsid w:val="00802320"/>
    <w:rsid w:val="0080241F"/>
    <w:rsid w:val="008028E9"/>
    <w:rsid w:val="00803895"/>
    <w:rsid w:val="0080399C"/>
    <w:rsid w:val="008039EB"/>
    <w:rsid w:val="00803C80"/>
    <w:rsid w:val="00804077"/>
    <w:rsid w:val="008053DA"/>
    <w:rsid w:val="00805E53"/>
    <w:rsid w:val="00806BB8"/>
    <w:rsid w:val="00806C6E"/>
    <w:rsid w:val="00806E5F"/>
    <w:rsid w:val="00807040"/>
    <w:rsid w:val="0080737F"/>
    <w:rsid w:val="008079D1"/>
    <w:rsid w:val="00807B75"/>
    <w:rsid w:val="00807D69"/>
    <w:rsid w:val="008106B9"/>
    <w:rsid w:val="00810895"/>
    <w:rsid w:val="00810DFA"/>
    <w:rsid w:val="0081137F"/>
    <w:rsid w:val="008116EE"/>
    <w:rsid w:val="00811A27"/>
    <w:rsid w:val="00811D57"/>
    <w:rsid w:val="00811ED8"/>
    <w:rsid w:val="00812401"/>
    <w:rsid w:val="00813B78"/>
    <w:rsid w:val="00813BDB"/>
    <w:rsid w:val="008146C6"/>
    <w:rsid w:val="00814D23"/>
    <w:rsid w:val="00814E19"/>
    <w:rsid w:val="00814EC8"/>
    <w:rsid w:val="0081501D"/>
    <w:rsid w:val="00815630"/>
    <w:rsid w:val="0081578E"/>
    <w:rsid w:val="008158CB"/>
    <w:rsid w:val="0081618D"/>
    <w:rsid w:val="00816353"/>
    <w:rsid w:val="008163AF"/>
    <w:rsid w:val="00816674"/>
    <w:rsid w:val="00816E75"/>
    <w:rsid w:val="00816F1B"/>
    <w:rsid w:val="00816FCC"/>
    <w:rsid w:val="00817901"/>
    <w:rsid w:val="00817BA0"/>
    <w:rsid w:val="00817F1A"/>
    <w:rsid w:val="008202E4"/>
    <w:rsid w:val="008213A7"/>
    <w:rsid w:val="0082147D"/>
    <w:rsid w:val="0082182F"/>
    <w:rsid w:val="0082225B"/>
    <w:rsid w:val="0082229D"/>
    <w:rsid w:val="00822375"/>
    <w:rsid w:val="00822657"/>
    <w:rsid w:val="00822EC8"/>
    <w:rsid w:val="00823D6E"/>
    <w:rsid w:val="00823EC4"/>
    <w:rsid w:val="00823F8D"/>
    <w:rsid w:val="0082445C"/>
    <w:rsid w:val="00824609"/>
    <w:rsid w:val="0082537E"/>
    <w:rsid w:val="0082561E"/>
    <w:rsid w:val="008257B9"/>
    <w:rsid w:val="008258C5"/>
    <w:rsid w:val="00825BD5"/>
    <w:rsid w:val="00825F93"/>
    <w:rsid w:val="00826470"/>
    <w:rsid w:val="00826493"/>
    <w:rsid w:val="008268E0"/>
    <w:rsid w:val="008274B2"/>
    <w:rsid w:val="008279FB"/>
    <w:rsid w:val="00830190"/>
    <w:rsid w:val="00830392"/>
    <w:rsid w:val="00830955"/>
    <w:rsid w:val="0083097F"/>
    <w:rsid w:val="0083102F"/>
    <w:rsid w:val="008312DE"/>
    <w:rsid w:val="00831831"/>
    <w:rsid w:val="00831E84"/>
    <w:rsid w:val="008328DD"/>
    <w:rsid w:val="00832A30"/>
    <w:rsid w:val="008331DA"/>
    <w:rsid w:val="0083325C"/>
    <w:rsid w:val="008344B8"/>
    <w:rsid w:val="00834814"/>
    <w:rsid w:val="00834D47"/>
    <w:rsid w:val="008351DF"/>
    <w:rsid w:val="008354A2"/>
    <w:rsid w:val="0083558F"/>
    <w:rsid w:val="00835632"/>
    <w:rsid w:val="00835693"/>
    <w:rsid w:val="0083609D"/>
    <w:rsid w:val="00836167"/>
    <w:rsid w:val="00836205"/>
    <w:rsid w:val="00836AD3"/>
    <w:rsid w:val="008377B8"/>
    <w:rsid w:val="00837988"/>
    <w:rsid w:val="00837C2C"/>
    <w:rsid w:val="00837F0F"/>
    <w:rsid w:val="00840629"/>
    <w:rsid w:val="0084065F"/>
    <w:rsid w:val="00841602"/>
    <w:rsid w:val="00841DAD"/>
    <w:rsid w:val="00841DC0"/>
    <w:rsid w:val="00841E18"/>
    <w:rsid w:val="0084210B"/>
    <w:rsid w:val="00842441"/>
    <w:rsid w:val="0084265F"/>
    <w:rsid w:val="00843CF7"/>
    <w:rsid w:val="00843FC1"/>
    <w:rsid w:val="00843FDD"/>
    <w:rsid w:val="008448AA"/>
    <w:rsid w:val="00844A1A"/>
    <w:rsid w:val="00844A58"/>
    <w:rsid w:val="00844B18"/>
    <w:rsid w:val="00844D1B"/>
    <w:rsid w:val="00844D27"/>
    <w:rsid w:val="008450FE"/>
    <w:rsid w:val="00845206"/>
    <w:rsid w:val="00845886"/>
    <w:rsid w:val="008459A5"/>
    <w:rsid w:val="00845A21"/>
    <w:rsid w:val="00845F6B"/>
    <w:rsid w:val="008461EC"/>
    <w:rsid w:val="008467FF"/>
    <w:rsid w:val="00847153"/>
    <w:rsid w:val="00847D91"/>
    <w:rsid w:val="00847E98"/>
    <w:rsid w:val="008500E0"/>
    <w:rsid w:val="00850268"/>
    <w:rsid w:val="00850735"/>
    <w:rsid w:val="00850C93"/>
    <w:rsid w:val="00851497"/>
    <w:rsid w:val="0085188E"/>
    <w:rsid w:val="00851CFB"/>
    <w:rsid w:val="008520A7"/>
    <w:rsid w:val="008525E8"/>
    <w:rsid w:val="008528E3"/>
    <w:rsid w:val="00852CBC"/>
    <w:rsid w:val="00853508"/>
    <w:rsid w:val="00853851"/>
    <w:rsid w:val="0085401C"/>
    <w:rsid w:val="0085424A"/>
    <w:rsid w:val="008542D1"/>
    <w:rsid w:val="00854947"/>
    <w:rsid w:val="00854BAB"/>
    <w:rsid w:val="00854CED"/>
    <w:rsid w:val="00854E73"/>
    <w:rsid w:val="00855790"/>
    <w:rsid w:val="00855EA2"/>
    <w:rsid w:val="00855F37"/>
    <w:rsid w:val="00856502"/>
    <w:rsid w:val="008566B8"/>
    <w:rsid w:val="00856C72"/>
    <w:rsid w:val="00857740"/>
    <w:rsid w:val="008579A6"/>
    <w:rsid w:val="00857CD1"/>
    <w:rsid w:val="00857DFA"/>
    <w:rsid w:val="00860870"/>
    <w:rsid w:val="00860F1E"/>
    <w:rsid w:val="00861222"/>
    <w:rsid w:val="00861841"/>
    <w:rsid w:val="008618CE"/>
    <w:rsid w:val="008619D7"/>
    <w:rsid w:val="00861CC8"/>
    <w:rsid w:val="00861D66"/>
    <w:rsid w:val="00862E97"/>
    <w:rsid w:val="0086385A"/>
    <w:rsid w:val="00863B4E"/>
    <w:rsid w:val="0086435D"/>
    <w:rsid w:val="008646CD"/>
    <w:rsid w:val="0086550B"/>
    <w:rsid w:val="00865C02"/>
    <w:rsid w:val="00866526"/>
    <w:rsid w:val="008666E3"/>
    <w:rsid w:val="00866C68"/>
    <w:rsid w:val="008671AE"/>
    <w:rsid w:val="00867739"/>
    <w:rsid w:val="00867B47"/>
    <w:rsid w:val="00870908"/>
    <w:rsid w:val="00870AB1"/>
    <w:rsid w:val="00871337"/>
    <w:rsid w:val="008715F3"/>
    <w:rsid w:val="00871D84"/>
    <w:rsid w:val="00872535"/>
    <w:rsid w:val="008725CC"/>
    <w:rsid w:val="00872D65"/>
    <w:rsid w:val="00872E68"/>
    <w:rsid w:val="00873017"/>
    <w:rsid w:val="00873C3A"/>
    <w:rsid w:val="00874042"/>
    <w:rsid w:val="008742AD"/>
    <w:rsid w:val="008745E7"/>
    <w:rsid w:val="008746C6"/>
    <w:rsid w:val="008752B9"/>
    <w:rsid w:val="0087592D"/>
    <w:rsid w:val="00875BC9"/>
    <w:rsid w:val="008760D3"/>
    <w:rsid w:val="00876BC2"/>
    <w:rsid w:val="00876EA2"/>
    <w:rsid w:val="008779C7"/>
    <w:rsid w:val="008818C4"/>
    <w:rsid w:val="00881A0B"/>
    <w:rsid w:val="00881DF8"/>
    <w:rsid w:val="008821D3"/>
    <w:rsid w:val="008824E9"/>
    <w:rsid w:val="008832B8"/>
    <w:rsid w:val="008834F4"/>
    <w:rsid w:val="00883604"/>
    <w:rsid w:val="008840B4"/>
    <w:rsid w:val="008843EB"/>
    <w:rsid w:val="00884634"/>
    <w:rsid w:val="0088530E"/>
    <w:rsid w:val="0088560A"/>
    <w:rsid w:val="0088594B"/>
    <w:rsid w:val="00885976"/>
    <w:rsid w:val="00885B7B"/>
    <w:rsid w:val="00886F00"/>
    <w:rsid w:val="00886FDE"/>
    <w:rsid w:val="008878B3"/>
    <w:rsid w:val="00887F91"/>
    <w:rsid w:val="00890097"/>
    <w:rsid w:val="008905DC"/>
    <w:rsid w:val="008909D4"/>
    <w:rsid w:val="00890B29"/>
    <w:rsid w:val="00890EEA"/>
    <w:rsid w:val="008918A1"/>
    <w:rsid w:val="00891B60"/>
    <w:rsid w:val="00892392"/>
    <w:rsid w:val="00892A25"/>
    <w:rsid w:val="00893294"/>
    <w:rsid w:val="0089333C"/>
    <w:rsid w:val="008939E8"/>
    <w:rsid w:val="00894159"/>
    <w:rsid w:val="008946F8"/>
    <w:rsid w:val="00894B73"/>
    <w:rsid w:val="00894C03"/>
    <w:rsid w:val="0089504B"/>
    <w:rsid w:val="008951B9"/>
    <w:rsid w:val="00895680"/>
    <w:rsid w:val="00896900"/>
    <w:rsid w:val="00896A02"/>
    <w:rsid w:val="00896A49"/>
    <w:rsid w:val="00897025"/>
    <w:rsid w:val="0089702F"/>
    <w:rsid w:val="008972CC"/>
    <w:rsid w:val="0089753D"/>
    <w:rsid w:val="00897F0F"/>
    <w:rsid w:val="008A07FE"/>
    <w:rsid w:val="008A0E6D"/>
    <w:rsid w:val="008A2035"/>
    <w:rsid w:val="008A21C1"/>
    <w:rsid w:val="008A21E7"/>
    <w:rsid w:val="008A24AF"/>
    <w:rsid w:val="008A2B03"/>
    <w:rsid w:val="008A2F14"/>
    <w:rsid w:val="008A33EE"/>
    <w:rsid w:val="008A3880"/>
    <w:rsid w:val="008A46EF"/>
    <w:rsid w:val="008A4A6F"/>
    <w:rsid w:val="008A4C2D"/>
    <w:rsid w:val="008A4DAC"/>
    <w:rsid w:val="008A53E6"/>
    <w:rsid w:val="008A571C"/>
    <w:rsid w:val="008A597C"/>
    <w:rsid w:val="008A5D90"/>
    <w:rsid w:val="008A60B7"/>
    <w:rsid w:val="008A60D7"/>
    <w:rsid w:val="008A6182"/>
    <w:rsid w:val="008A62B7"/>
    <w:rsid w:val="008A6D20"/>
    <w:rsid w:val="008A6FCD"/>
    <w:rsid w:val="008A7525"/>
    <w:rsid w:val="008B0447"/>
    <w:rsid w:val="008B04E8"/>
    <w:rsid w:val="008B06FD"/>
    <w:rsid w:val="008B104F"/>
    <w:rsid w:val="008B12FD"/>
    <w:rsid w:val="008B22CD"/>
    <w:rsid w:val="008B2964"/>
    <w:rsid w:val="008B3206"/>
    <w:rsid w:val="008B34A0"/>
    <w:rsid w:val="008B3683"/>
    <w:rsid w:val="008B3C63"/>
    <w:rsid w:val="008B46CD"/>
    <w:rsid w:val="008B4F62"/>
    <w:rsid w:val="008B513C"/>
    <w:rsid w:val="008B540F"/>
    <w:rsid w:val="008B5BDE"/>
    <w:rsid w:val="008B613D"/>
    <w:rsid w:val="008B64B1"/>
    <w:rsid w:val="008B7288"/>
    <w:rsid w:val="008B7D76"/>
    <w:rsid w:val="008C107E"/>
    <w:rsid w:val="008C1984"/>
    <w:rsid w:val="008C1D5D"/>
    <w:rsid w:val="008C22A3"/>
    <w:rsid w:val="008C31F1"/>
    <w:rsid w:val="008C3317"/>
    <w:rsid w:val="008C3516"/>
    <w:rsid w:val="008C3998"/>
    <w:rsid w:val="008C43B4"/>
    <w:rsid w:val="008C44EA"/>
    <w:rsid w:val="008C610A"/>
    <w:rsid w:val="008C6945"/>
    <w:rsid w:val="008C6A06"/>
    <w:rsid w:val="008C7374"/>
    <w:rsid w:val="008C760B"/>
    <w:rsid w:val="008C7623"/>
    <w:rsid w:val="008C76C9"/>
    <w:rsid w:val="008C7798"/>
    <w:rsid w:val="008C7903"/>
    <w:rsid w:val="008C7EB7"/>
    <w:rsid w:val="008D27A3"/>
    <w:rsid w:val="008D29EA"/>
    <w:rsid w:val="008D30CA"/>
    <w:rsid w:val="008D33D3"/>
    <w:rsid w:val="008D42FD"/>
    <w:rsid w:val="008D45D5"/>
    <w:rsid w:val="008D48D3"/>
    <w:rsid w:val="008D574B"/>
    <w:rsid w:val="008D57EE"/>
    <w:rsid w:val="008D5818"/>
    <w:rsid w:val="008D58BC"/>
    <w:rsid w:val="008D5BCE"/>
    <w:rsid w:val="008D5CCE"/>
    <w:rsid w:val="008D5CF7"/>
    <w:rsid w:val="008D62ED"/>
    <w:rsid w:val="008D63DC"/>
    <w:rsid w:val="008D64F8"/>
    <w:rsid w:val="008D6D4F"/>
    <w:rsid w:val="008D6E04"/>
    <w:rsid w:val="008D7002"/>
    <w:rsid w:val="008D74FC"/>
    <w:rsid w:val="008D7E6F"/>
    <w:rsid w:val="008E10F8"/>
    <w:rsid w:val="008E1353"/>
    <w:rsid w:val="008E13D1"/>
    <w:rsid w:val="008E1D80"/>
    <w:rsid w:val="008E1E5B"/>
    <w:rsid w:val="008E1F60"/>
    <w:rsid w:val="008E29D5"/>
    <w:rsid w:val="008E3D15"/>
    <w:rsid w:val="008E40CB"/>
    <w:rsid w:val="008E4328"/>
    <w:rsid w:val="008E482A"/>
    <w:rsid w:val="008E495A"/>
    <w:rsid w:val="008E57F6"/>
    <w:rsid w:val="008E59D2"/>
    <w:rsid w:val="008E5A21"/>
    <w:rsid w:val="008E5C80"/>
    <w:rsid w:val="008E638C"/>
    <w:rsid w:val="008E64A8"/>
    <w:rsid w:val="008E64CA"/>
    <w:rsid w:val="008E6945"/>
    <w:rsid w:val="008E70B8"/>
    <w:rsid w:val="008E77A2"/>
    <w:rsid w:val="008F031B"/>
    <w:rsid w:val="008F107A"/>
    <w:rsid w:val="008F10AC"/>
    <w:rsid w:val="008F1A0D"/>
    <w:rsid w:val="008F1B40"/>
    <w:rsid w:val="008F2163"/>
    <w:rsid w:val="008F2AF1"/>
    <w:rsid w:val="008F2C71"/>
    <w:rsid w:val="008F2EF0"/>
    <w:rsid w:val="008F32F9"/>
    <w:rsid w:val="008F379E"/>
    <w:rsid w:val="008F3BA5"/>
    <w:rsid w:val="008F3EBE"/>
    <w:rsid w:val="008F5315"/>
    <w:rsid w:val="008F5509"/>
    <w:rsid w:val="008F5A1F"/>
    <w:rsid w:val="008F6C47"/>
    <w:rsid w:val="008F6CA9"/>
    <w:rsid w:val="008F739E"/>
    <w:rsid w:val="008F77A2"/>
    <w:rsid w:val="008F7F14"/>
    <w:rsid w:val="009008A1"/>
    <w:rsid w:val="00900B3A"/>
    <w:rsid w:val="009014CF"/>
    <w:rsid w:val="00901602"/>
    <w:rsid w:val="0090169F"/>
    <w:rsid w:val="00902825"/>
    <w:rsid w:val="0090284B"/>
    <w:rsid w:val="00902A71"/>
    <w:rsid w:val="00903E61"/>
    <w:rsid w:val="00904B4B"/>
    <w:rsid w:val="00904F83"/>
    <w:rsid w:val="0090506C"/>
    <w:rsid w:val="0090596D"/>
    <w:rsid w:val="0090608B"/>
    <w:rsid w:val="00906DB6"/>
    <w:rsid w:val="00906E51"/>
    <w:rsid w:val="00906F7D"/>
    <w:rsid w:val="009074B8"/>
    <w:rsid w:val="0090752D"/>
    <w:rsid w:val="009077C7"/>
    <w:rsid w:val="009078FB"/>
    <w:rsid w:val="00907A4A"/>
    <w:rsid w:val="00907ACC"/>
    <w:rsid w:val="00910251"/>
    <w:rsid w:val="009106A4"/>
    <w:rsid w:val="00910E3A"/>
    <w:rsid w:val="00911000"/>
    <w:rsid w:val="0091110B"/>
    <w:rsid w:val="00911A67"/>
    <w:rsid w:val="00912522"/>
    <w:rsid w:val="009126ED"/>
    <w:rsid w:val="00912706"/>
    <w:rsid w:val="00912D60"/>
    <w:rsid w:val="00912E39"/>
    <w:rsid w:val="00913286"/>
    <w:rsid w:val="00913447"/>
    <w:rsid w:val="00913471"/>
    <w:rsid w:val="0091382E"/>
    <w:rsid w:val="00913DAA"/>
    <w:rsid w:val="0091454E"/>
    <w:rsid w:val="00914D10"/>
    <w:rsid w:val="009152AD"/>
    <w:rsid w:val="0091536A"/>
    <w:rsid w:val="009155B7"/>
    <w:rsid w:val="00915627"/>
    <w:rsid w:val="0091668B"/>
    <w:rsid w:val="00916878"/>
    <w:rsid w:val="00916FC5"/>
    <w:rsid w:val="00916FF9"/>
    <w:rsid w:val="009175F7"/>
    <w:rsid w:val="009202A5"/>
    <w:rsid w:val="009204B1"/>
    <w:rsid w:val="00920848"/>
    <w:rsid w:val="009209DA"/>
    <w:rsid w:val="009214BA"/>
    <w:rsid w:val="00921DD9"/>
    <w:rsid w:val="00922057"/>
    <w:rsid w:val="00922234"/>
    <w:rsid w:val="009229AE"/>
    <w:rsid w:val="00922BD6"/>
    <w:rsid w:val="00922D32"/>
    <w:rsid w:val="00922EF3"/>
    <w:rsid w:val="0092346C"/>
    <w:rsid w:val="00923BF4"/>
    <w:rsid w:val="00923E2B"/>
    <w:rsid w:val="00923EAB"/>
    <w:rsid w:val="0092410C"/>
    <w:rsid w:val="009241B3"/>
    <w:rsid w:val="009245ED"/>
    <w:rsid w:val="0092479B"/>
    <w:rsid w:val="00925561"/>
    <w:rsid w:val="0092561E"/>
    <w:rsid w:val="00925D40"/>
    <w:rsid w:val="009266C4"/>
    <w:rsid w:val="00926EB1"/>
    <w:rsid w:val="00926F18"/>
    <w:rsid w:val="00927018"/>
    <w:rsid w:val="0092765A"/>
    <w:rsid w:val="009276C5"/>
    <w:rsid w:val="00927F5D"/>
    <w:rsid w:val="00930005"/>
    <w:rsid w:val="0093084A"/>
    <w:rsid w:val="00930923"/>
    <w:rsid w:val="00930D68"/>
    <w:rsid w:val="009316B7"/>
    <w:rsid w:val="0093183C"/>
    <w:rsid w:val="009325B5"/>
    <w:rsid w:val="009328D6"/>
    <w:rsid w:val="00933077"/>
    <w:rsid w:val="00933198"/>
    <w:rsid w:val="009331F4"/>
    <w:rsid w:val="009335D2"/>
    <w:rsid w:val="009337CD"/>
    <w:rsid w:val="009344F9"/>
    <w:rsid w:val="00934534"/>
    <w:rsid w:val="00934ADD"/>
    <w:rsid w:val="00934E6F"/>
    <w:rsid w:val="009356D8"/>
    <w:rsid w:val="00935CD3"/>
    <w:rsid w:val="00936C4A"/>
    <w:rsid w:val="009370A9"/>
    <w:rsid w:val="00937649"/>
    <w:rsid w:val="00937959"/>
    <w:rsid w:val="00937EC1"/>
    <w:rsid w:val="00940074"/>
    <w:rsid w:val="00940350"/>
    <w:rsid w:val="0094056B"/>
    <w:rsid w:val="009405B2"/>
    <w:rsid w:val="009405E7"/>
    <w:rsid w:val="009405FB"/>
    <w:rsid w:val="009407BC"/>
    <w:rsid w:val="009409F1"/>
    <w:rsid w:val="00940E9F"/>
    <w:rsid w:val="00941323"/>
    <w:rsid w:val="00941513"/>
    <w:rsid w:val="0094176D"/>
    <w:rsid w:val="00941C57"/>
    <w:rsid w:val="00941D35"/>
    <w:rsid w:val="00941E07"/>
    <w:rsid w:val="00941F35"/>
    <w:rsid w:val="009421E5"/>
    <w:rsid w:val="00942351"/>
    <w:rsid w:val="00942E6A"/>
    <w:rsid w:val="00942E9B"/>
    <w:rsid w:val="00942EA2"/>
    <w:rsid w:val="009437D4"/>
    <w:rsid w:val="0094387A"/>
    <w:rsid w:val="0094413B"/>
    <w:rsid w:val="00944339"/>
    <w:rsid w:val="009446C5"/>
    <w:rsid w:val="00944C1A"/>
    <w:rsid w:val="00944F71"/>
    <w:rsid w:val="009451C5"/>
    <w:rsid w:val="00945B58"/>
    <w:rsid w:val="00946019"/>
    <w:rsid w:val="00946408"/>
    <w:rsid w:val="009464DF"/>
    <w:rsid w:val="0094663B"/>
    <w:rsid w:val="00946724"/>
    <w:rsid w:val="00946842"/>
    <w:rsid w:val="00946CD2"/>
    <w:rsid w:val="00947597"/>
    <w:rsid w:val="00947A75"/>
    <w:rsid w:val="00947AE6"/>
    <w:rsid w:val="00947E0E"/>
    <w:rsid w:val="0095005C"/>
    <w:rsid w:val="009500C0"/>
    <w:rsid w:val="0095039A"/>
    <w:rsid w:val="00950491"/>
    <w:rsid w:val="00950D73"/>
    <w:rsid w:val="00950EB4"/>
    <w:rsid w:val="00950FA8"/>
    <w:rsid w:val="009510E3"/>
    <w:rsid w:val="0095259A"/>
    <w:rsid w:val="00952AC3"/>
    <w:rsid w:val="00953404"/>
    <w:rsid w:val="0095349E"/>
    <w:rsid w:val="00953996"/>
    <w:rsid w:val="00953E19"/>
    <w:rsid w:val="0095499C"/>
    <w:rsid w:val="00955109"/>
    <w:rsid w:val="009557B0"/>
    <w:rsid w:val="0095591A"/>
    <w:rsid w:val="0095591F"/>
    <w:rsid w:val="00955ACD"/>
    <w:rsid w:val="00955F5E"/>
    <w:rsid w:val="00956013"/>
    <w:rsid w:val="0095618B"/>
    <w:rsid w:val="0095667C"/>
    <w:rsid w:val="00956698"/>
    <w:rsid w:val="009570A3"/>
    <w:rsid w:val="00957872"/>
    <w:rsid w:val="00957EB2"/>
    <w:rsid w:val="00957F15"/>
    <w:rsid w:val="009601C2"/>
    <w:rsid w:val="00960A73"/>
    <w:rsid w:val="009617A5"/>
    <w:rsid w:val="00961FE7"/>
    <w:rsid w:val="00962249"/>
    <w:rsid w:val="009626C8"/>
    <w:rsid w:val="00962B76"/>
    <w:rsid w:val="00962C88"/>
    <w:rsid w:val="00962FE2"/>
    <w:rsid w:val="00963142"/>
    <w:rsid w:val="0096395B"/>
    <w:rsid w:val="00963CC6"/>
    <w:rsid w:val="00963E07"/>
    <w:rsid w:val="0096416F"/>
    <w:rsid w:val="00964E8B"/>
    <w:rsid w:val="00965580"/>
    <w:rsid w:val="009660EE"/>
    <w:rsid w:val="00966C1E"/>
    <w:rsid w:val="00967A6C"/>
    <w:rsid w:val="00967C67"/>
    <w:rsid w:val="00967F63"/>
    <w:rsid w:val="0097006A"/>
    <w:rsid w:val="009700A8"/>
    <w:rsid w:val="00970DA6"/>
    <w:rsid w:val="00970E43"/>
    <w:rsid w:val="009715BA"/>
    <w:rsid w:val="00971871"/>
    <w:rsid w:val="00971CF7"/>
    <w:rsid w:val="0097202C"/>
    <w:rsid w:val="00972394"/>
    <w:rsid w:val="009728E2"/>
    <w:rsid w:val="009728F8"/>
    <w:rsid w:val="00972CB7"/>
    <w:rsid w:val="00972E8D"/>
    <w:rsid w:val="00972EF4"/>
    <w:rsid w:val="00973CCB"/>
    <w:rsid w:val="00974188"/>
    <w:rsid w:val="009743D8"/>
    <w:rsid w:val="00974A18"/>
    <w:rsid w:val="00974F58"/>
    <w:rsid w:val="0097501A"/>
    <w:rsid w:val="009751DB"/>
    <w:rsid w:val="009751E5"/>
    <w:rsid w:val="0097578D"/>
    <w:rsid w:val="0097579B"/>
    <w:rsid w:val="0097581F"/>
    <w:rsid w:val="00975C18"/>
    <w:rsid w:val="00975C58"/>
    <w:rsid w:val="00976DFE"/>
    <w:rsid w:val="009771FF"/>
    <w:rsid w:val="00977270"/>
    <w:rsid w:val="00977BCD"/>
    <w:rsid w:val="00977E5B"/>
    <w:rsid w:val="00980514"/>
    <w:rsid w:val="009807C4"/>
    <w:rsid w:val="00981448"/>
    <w:rsid w:val="00981CD4"/>
    <w:rsid w:val="00982283"/>
    <w:rsid w:val="00982ED5"/>
    <w:rsid w:val="00983426"/>
    <w:rsid w:val="00983885"/>
    <w:rsid w:val="0098416E"/>
    <w:rsid w:val="0098439F"/>
    <w:rsid w:val="009844BB"/>
    <w:rsid w:val="00986204"/>
    <w:rsid w:val="009865BA"/>
    <w:rsid w:val="00986B21"/>
    <w:rsid w:val="009870A2"/>
    <w:rsid w:val="00987135"/>
    <w:rsid w:val="00987685"/>
    <w:rsid w:val="00987D79"/>
    <w:rsid w:val="0099069C"/>
    <w:rsid w:val="009908BB"/>
    <w:rsid w:val="009915D8"/>
    <w:rsid w:val="00991B1C"/>
    <w:rsid w:val="00991CA7"/>
    <w:rsid w:val="00991D93"/>
    <w:rsid w:val="00991F11"/>
    <w:rsid w:val="009926A3"/>
    <w:rsid w:val="009933EA"/>
    <w:rsid w:val="009958C6"/>
    <w:rsid w:val="00996206"/>
    <w:rsid w:val="0099641A"/>
    <w:rsid w:val="00997043"/>
    <w:rsid w:val="0099752B"/>
    <w:rsid w:val="0099784B"/>
    <w:rsid w:val="0099785D"/>
    <w:rsid w:val="009979A9"/>
    <w:rsid w:val="00997F0D"/>
    <w:rsid w:val="009A00FF"/>
    <w:rsid w:val="009A085E"/>
    <w:rsid w:val="009A1D84"/>
    <w:rsid w:val="009A20A9"/>
    <w:rsid w:val="009A213D"/>
    <w:rsid w:val="009A252A"/>
    <w:rsid w:val="009A289D"/>
    <w:rsid w:val="009A29EC"/>
    <w:rsid w:val="009A2AFE"/>
    <w:rsid w:val="009A2CF5"/>
    <w:rsid w:val="009A34A6"/>
    <w:rsid w:val="009A3CB3"/>
    <w:rsid w:val="009A3DB5"/>
    <w:rsid w:val="009A3F96"/>
    <w:rsid w:val="009A483A"/>
    <w:rsid w:val="009A49BB"/>
    <w:rsid w:val="009A4F5B"/>
    <w:rsid w:val="009A501C"/>
    <w:rsid w:val="009A5DA9"/>
    <w:rsid w:val="009A6B67"/>
    <w:rsid w:val="009A6DC5"/>
    <w:rsid w:val="009A74D5"/>
    <w:rsid w:val="009A7663"/>
    <w:rsid w:val="009A7FC4"/>
    <w:rsid w:val="009B0267"/>
    <w:rsid w:val="009B06A0"/>
    <w:rsid w:val="009B0863"/>
    <w:rsid w:val="009B12D1"/>
    <w:rsid w:val="009B1CD5"/>
    <w:rsid w:val="009B2D1A"/>
    <w:rsid w:val="009B2D2E"/>
    <w:rsid w:val="009B2DA8"/>
    <w:rsid w:val="009B32DD"/>
    <w:rsid w:val="009B363E"/>
    <w:rsid w:val="009B397F"/>
    <w:rsid w:val="009B3985"/>
    <w:rsid w:val="009B3BDD"/>
    <w:rsid w:val="009B3CA5"/>
    <w:rsid w:val="009B433A"/>
    <w:rsid w:val="009B45E4"/>
    <w:rsid w:val="009B4604"/>
    <w:rsid w:val="009B48B7"/>
    <w:rsid w:val="009B4F51"/>
    <w:rsid w:val="009B5131"/>
    <w:rsid w:val="009B5D44"/>
    <w:rsid w:val="009B5ECE"/>
    <w:rsid w:val="009B6A38"/>
    <w:rsid w:val="009B6DAC"/>
    <w:rsid w:val="009B6FBC"/>
    <w:rsid w:val="009B6FBF"/>
    <w:rsid w:val="009B7BD9"/>
    <w:rsid w:val="009C004B"/>
    <w:rsid w:val="009C0AA3"/>
    <w:rsid w:val="009C0C0A"/>
    <w:rsid w:val="009C184B"/>
    <w:rsid w:val="009C1B51"/>
    <w:rsid w:val="009C1CA7"/>
    <w:rsid w:val="009C2479"/>
    <w:rsid w:val="009C2804"/>
    <w:rsid w:val="009C30D7"/>
    <w:rsid w:val="009C3696"/>
    <w:rsid w:val="009C39AD"/>
    <w:rsid w:val="009C3BE3"/>
    <w:rsid w:val="009C3DF8"/>
    <w:rsid w:val="009C45DE"/>
    <w:rsid w:val="009C49E4"/>
    <w:rsid w:val="009C4EC2"/>
    <w:rsid w:val="009C55AF"/>
    <w:rsid w:val="009C5E20"/>
    <w:rsid w:val="009C5E4A"/>
    <w:rsid w:val="009C5F7F"/>
    <w:rsid w:val="009C6656"/>
    <w:rsid w:val="009C669A"/>
    <w:rsid w:val="009C6CF5"/>
    <w:rsid w:val="009C756D"/>
    <w:rsid w:val="009C7EEA"/>
    <w:rsid w:val="009D02C3"/>
    <w:rsid w:val="009D032A"/>
    <w:rsid w:val="009D063B"/>
    <w:rsid w:val="009D0EA4"/>
    <w:rsid w:val="009D1171"/>
    <w:rsid w:val="009D1350"/>
    <w:rsid w:val="009D1AFA"/>
    <w:rsid w:val="009D1DEE"/>
    <w:rsid w:val="009D1F48"/>
    <w:rsid w:val="009D2875"/>
    <w:rsid w:val="009D2BAA"/>
    <w:rsid w:val="009D2CAF"/>
    <w:rsid w:val="009D3E99"/>
    <w:rsid w:val="009D44B4"/>
    <w:rsid w:val="009D4798"/>
    <w:rsid w:val="009D4913"/>
    <w:rsid w:val="009D53BB"/>
    <w:rsid w:val="009D6AF3"/>
    <w:rsid w:val="009D6F22"/>
    <w:rsid w:val="009D76F3"/>
    <w:rsid w:val="009D79A6"/>
    <w:rsid w:val="009D7B44"/>
    <w:rsid w:val="009D7BEA"/>
    <w:rsid w:val="009D7C51"/>
    <w:rsid w:val="009E0274"/>
    <w:rsid w:val="009E08FC"/>
    <w:rsid w:val="009E0B2E"/>
    <w:rsid w:val="009E25BC"/>
    <w:rsid w:val="009E27FD"/>
    <w:rsid w:val="009E2A81"/>
    <w:rsid w:val="009E32E9"/>
    <w:rsid w:val="009E33E5"/>
    <w:rsid w:val="009E3914"/>
    <w:rsid w:val="009E3BC2"/>
    <w:rsid w:val="009E3CF6"/>
    <w:rsid w:val="009E3DB8"/>
    <w:rsid w:val="009E44B9"/>
    <w:rsid w:val="009E4A90"/>
    <w:rsid w:val="009E5149"/>
    <w:rsid w:val="009E519E"/>
    <w:rsid w:val="009E51AB"/>
    <w:rsid w:val="009E5695"/>
    <w:rsid w:val="009E657F"/>
    <w:rsid w:val="009E6647"/>
    <w:rsid w:val="009E6894"/>
    <w:rsid w:val="009E68EF"/>
    <w:rsid w:val="009E69B0"/>
    <w:rsid w:val="009F01F0"/>
    <w:rsid w:val="009F0216"/>
    <w:rsid w:val="009F023F"/>
    <w:rsid w:val="009F0537"/>
    <w:rsid w:val="009F127E"/>
    <w:rsid w:val="009F16B5"/>
    <w:rsid w:val="009F1DC9"/>
    <w:rsid w:val="009F1F6D"/>
    <w:rsid w:val="009F2094"/>
    <w:rsid w:val="009F2149"/>
    <w:rsid w:val="009F247F"/>
    <w:rsid w:val="009F2C26"/>
    <w:rsid w:val="009F3B0D"/>
    <w:rsid w:val="009F42DF"/>
    <w:rsid w:val="009F4374"/>
    <w:rsid w:val="009F43A4"/>
    <w:rsid w:val="009F462E"/>
    <w:rsid w:val="009F4E84"/>
    <w:rsid w:val="009F56AB"/>
    <w:rsid w:val="009F5A92"/>
    <w:rsid w:val="009F617C"/>
    <w:rsid w:val="009F6196"/>
    <w:rsid w:val="009F6491"/>
    <w:rsid w:val="009F674D"/>
    <w:rsid w:val="009F709A"/>
    <w:rsid w:val="009F749C"/>
    <w:rsid w:val="009F75C4"/>
    <w:rsid w:val="009F767E"/>
    <w:rsid w:val="009F7DD4"/>
    <w:rsid w:val="009F7E1F"/>
    <w:rsid w:val="00A001AA"/>
    <w:rsid w:val="00A004FA"/>
    <w:rsid w:val="00A00780"/>
    <w:rsid w:val="00A00E23"/>
    <w:rsid w:val="00A013B9"/>
    <w:rsid w:val="00A015BF"/>
    <w:rsid w:val="00A018F8"/>
    <w:rsid w:val="00A01AB6"/>
    <w:rsid w:val="00A01D82"/>
    <w:rsid w:val="00A02172"/>
    <w:rsid w:val="00A02202"/>
    <w:rsid w:val="00A028D3"/>
    <w:rsid w:val="00A0292A"/>
    <w:rsid w:val="00A02C85"/>
    <w:rsid w:val="00A02D27"/>
    <w:rsid w:val="00A0344A"/>
    <w:rsid w:val="00A03E2B"/>
    <w:rsid w:val="00A05009"/>
    <w:rsid w:val="00A0501D"/>
    <w:rsid w:val="00A05446"/>
    <w:rsid w:val="00A05BA5"/>
    <w:rsid w:val="00A062E6"/>
    <w:rsid w:val="00A065D1"/>
    <w:rsid w:val="00A0692B"/>
    <w:rsid w:val="00A070B0"/>
    <w:rsid w:val="00A078A2"/>
    <w:rsid w:val="00A07AD2"/>
    <w:rsid w:val="00A10016"/>
    <w:rsid w:val="00A10992"/>
    <w:rsid w:val="00A11AA2"/>
    <w:rsid w:val="00A11AB4"/>
    <w:rsid w:val="00A1227D"/>
    <w:rsid w:val="00A1248E"/>
    <w:rsid w:val="00A1290B"/>
    <w:rsid w:val="00A12996"/>
    <w:rsid w:val="00A12B4F"/>
    <w:rsid w:val="00A12D62"/>
    <w:rsid w:val="00A13D97"/>
    <w:rsid w:val="00A14774"/>
    <w:rsid w:val="00A153FD"/>
    <w:rsid w:val="00A160B9"/>
    <w:rsid w:val="00A162AD"/>
    <w:rsid w:val="00A163F4"/>
    <w:rsid w:val="00A16853"/>
    <w:rsid w:val="00A16AED"/>
    <w:rsid w:val="00A17781"/>
    <w:rsid w:val="00A17AFB"/>
    <w:rsid w:val="00A20A84"/>
    <w:rsid w:val="00A20CB6"/>
    <w:rsid w:val="00A2102A"/>
    <w:rsid w:val="00A21191"/>
    <w:rsid w:val="00A211DE"/>
    <w:rsid w:val="00A2161B"/>
    <w:rsid w:val="00A21AC3"/>
    <w:rsid w:val="00A21B1B"/>
    <w:rsid w:val="00A21BA5"/>
    <w:rsid w:val="00A21E9C"/>
    <w:rsid w:val="00A221D7"/>
    <w:rsid w:val="00A22241"/>
    <w:rsid w:val="00A22459"/>
    <w:rsid w:val="00A22472"/>
    <w:rsid w:val="00A227AB"/>
    <w:rsid w:val="00A22BBD"/>
    <w:rsid w:val="00A23102"/>
    <w:rsid w:val="00A23282"/>
    <w:rsid w:val="00A236A3"/>
    <w:rsid w:val="00A23B43"/>
    <w:rsid w:val="00A23C37"/>
    <w:rsid w:val="00A24040"/>
    <w:rsid w:val="00A2473D"/>
    <w:rsid w:val="00A24C13"/>
    <w:rsid w:val="00A24EE5"/>
    <w:rsid w:val="00A24F4F"/>
    <w:rsid w:val="00A2512F"/>
    <w:rsid w:val="00A251F5"/>
    <w:rsid w:val="00A25933"/>
    <w:rsid w:val="00A2599C"/>
    <w:rsid w:val="00A25DD0"/>
    <w:rsid w:val="00A26275"/>
    <w:rsid w:val="00A264DE"/>
    <w:rsid w:val="00A26887"/>
    <w:rsid w:val="00A26906"/>
    <w:rsid w:val="00A27089"/>
    <w:rsid w:val="00A276FD"/>
    <w:rsid w:val="00A2785A"/>
    <w:rsid w:val="00A27B4F"/>
    <w:rsid w:val="00A27D88"/>
    <w:rsid w:val="00A27F5D"/>
    <w:rsid w:val="00A30AE0"/>
    <w:rsid w:val="00A31084"/>
    <w:rsid w:val="00A316D8"/>
    <w:rsid w:val="00A31730"/>
    <w:rsid w:val="00A322BE"/>
    <w:rsid w:val="00A32AF3"/>
    <w:rsid w:val="00A32EB3"/>
    <w:rsid w:val="00A33366"/>
    <w:rsid w:val="00A33D0A"/>
    <w:rsid w:val="00A33E02"/>
    <w:rsid w:val="00A34487"/>
    <w:rsid w:val="00A34C8E"/>
    <w:rsid w:val="00A34EFF"/>
    <w:rsid w:val="00A34F61"/>
    <w:rsid w:val="00A35189"/>
    <w:rsid w:val="00A35BCA"/>
    <w:rsid w:val="00A35C5E"/>
    <w:rsid w:val="00A35D72"/>
    <w:rsid w:val="00A36236"/>
    <w:rsid w:val="00A366F6"/>
    <w:rsid w:val="00A36AC4"/>
    <w:rsid w:val="00A37EBF"/>
    <w:rsid w:val="00A4030D"/>
    <w:rsid w:val="00A40B3E"/>
    <w:rsid w:val="00A40DA7"/>
    <w:rsid w:val="00A418A1"/>
    <w:rsid w:val="00A41FDA"/>
    <w:rsid w:val="00A434F0"/>
    <w:rsid w:val="00A43B0B"/>
    <w:rsid w:val="00A43EAB"/>
    <w:rsid w:val="00A43FF8"/>
    <w:rsid w:val="00A4411E"/>
    <w:rsid w:val="00A44776"/>
    <w:rsid w:val="00A44B8A"/>
    <w:rsid w:val="00A45365"/>
    <w:rsid w:val="00A4598C"/>
    <w:rsid w:val="00A45E41"/>
    <w:rsid w:val="00A45FC4"/>
    <w:rsid w:val="00A472CF"/>
    <w:rsid w:val="00A50197"/>
    <w:rsid w:val="00A50390"/>
    <w:rsid w:val="00A50C89"/>
    <w:rsid w:val="00A50FAB"/>
    <w:rsid w:val="00A51591"/>
    <w:rsid w:val="00A51F45"/>
    <w:rsid w:val="00A52B24"/>
    <w:rsid w:val="00A52BF1"/>
    <w:rsid w:val="00A52FD5"/>
    <w:rsid w:val="00A53110"/>
    <w:rsid w:val="00A534E3"/>
    <w:rsid w:val="00A539A8"/>
    <w:rsid w:val="00A53C87"/>
    <w:rsid w:val="00A53CD7"/>
    <w:rsid w:val="00A53EDC"/>
    <w:rsid w:val="00A54511"/>
    <w:rsid w:val="00A5494B"/>
    <w:rsid w:val="00A54BB9"/>
    <w:rsid w:val="00A54C73"/>
    <w:rsid w:val="00A54D8C"/>
    <w:rsid w:val="00A558A0"/>
    <w:rsid w:val="00A55939"/>
    <w:rsid w:val="00A55B62"/>
    <w:rsid w:val="00A55D18"/>
    <w:rsid w:val="00A562C6"/>
    <w:rsid w:val="00A5692F"/>
    <w:rsid w:val="00A57548"/>
    <w:rsid w:val="00A5762B"/>
    <w:rsid w:val="00A57AC1"/>
    <w:rsid w:val="00A60227"/>
    <w:rsid w:val="00A605D5"/>
    <w:rsid w:val="00A6067F"/>
    <w:rsid w:val="00A606A7"/>
    <w:rsid w:val="00A606E7"/>
    <w:rsid w:val="00A609E7"/>
    <w:rsid w:val="00A60F0B"/>
    <w:rsid w:val="00A615A0"/>
    <w:rsid w:val="00A62D50"/>
    <w:rsid w:val="00A63151"/>
    <w:rsid w:val="00A635F4"/>
    <w:rsid w:val="00A6379D"/>
    <w:rsid w:val="00A639CF"/>
    <w:rsid w:val="00A63AD3"/>
    <w:rsid w:val="00A63DB2"/>
    <w:rsid w:val="00A63E1A"/>
    <w:rsid w:val="00A63E22"/>
    <w:rsid w:val="00A649AB"/>
    <w:rsid w:val="00A6585F"/>
    <w:rsid w:val="00A66917"/>
    <w:rsid w:val="00A670BA"/>
    <w:rsid w:val="00A6716C"/>
    <w:rsid w:val="00A6723C"/>
    <w:rsid w:val="00A672E8"/>
    <w:rsid w:val="00A678FA"/>
    <w:rsid w:val="00A67AC9"/>
    <w:rsid w:val="00A67BE3"/>
    <w:rsid w:val="00A67D97"/>
    <w:rsid w:val="00A67E20"/>
    <w:rsid w:val="00A707B1"/>
    <w:rsid w:val="00A70891"/>
    <w:rsid w:val="00A70AA1"/>
    <w:rsid w:val="00A70D84"/>
    <w:rsid w:val="00A70E5A"/>
    <w:rsid w:val="00A70EDF"/>
    <w:rsid w:val="00A7100D"/>
    <w:rsid w:val="00A71211"/>
    <w:rsid w:val="00A7147F"/>
    <w:rsid w:val="00A71857"/>
    <w:rsid w:val="00A71862"/>
    <w:rsid w:val="00A71B1F"/>
    <w:rsid w:val="00A71FD2"/>
    <w:rsid w:val="00A72163"/>
    <w:rsid w:val="00A722FB"/>
    <w:rsid w:val="00A72EE2"/>
    <w:rsid w:val="00A72FF8"/>
    <w:rsid w:val="00A730E1"/>
    <w:rsid w:val="00A73320"/>
    <w:rsid w:val="00A737CD"/>
    <w:rsid w:val="00A73A05"/>
    <w:rsid w:val="00A73F3E"/>
    <w:rsid w:val="00A7467B"/>
    <w:rsid w:val="00A74719"/>
    <w:rsid w:val="00A74955"/>
    <w:rsid w:val="00A74D78"/>
    <w:rsid w:val="00A74DFF"/>
    <w:rsid w:val="00A7506E"/>
    <w:rsid w:val="00A75097"/>
    <w:rsid w:val="00A752F0"/>
    <w:rsid w:val="00A754C7"/>
    <w:rsid w:val="00A7566A"/>
    <w:rsid w:val="00A7583E"/>
    <w:rsid w:val="00A768F9"/>
    <w:rsid w:val="00A76FB9"/>
    <w:rsid w:val="00A76FEB"/>
    <w:rsid w:val="00A7745E"/>
    <w:rsid w:val="00A77807"/>
    <w:rsid w:val="00A77B05"/>
    <w:rsid w:val="00A80109"/>
    <w:rsid w:val="00A8048A"/>
    <w:rsid w:val="00A807BA"/>
    <w:rsid w:val="00A80973"/>
    <w:rsid w:val="00A80ABB"/>
    <w:rsid w:val="00A81183"/>
    <w:rsid w:val="00A81873"/>
    <w:rsid w:val="00A81C93"/>
    <w:rsid w:val="00A82043"/>
    <w:rsid w:val="00A82B3E"/>
    <w:rsid w:val="00A8381D"/>
    <w:rsid w:val="00A84002"/>
    <w:rsid w:val="00A84A85"/>
    <w:rsid w:val="00A85339"/>
    <w:rsid w:val="00A8558D"/>
    <w:rsid w:val="00A85928"/>
    <w:rsid w:val="00A85C9A"/>
    <w:rsid w:val="00A85CE4"/>
    <w:rsid w:val="00A85E2E"/>
    <w:rsid w:val="00A86782"/>
    <w:rsid w:val="00A8688F"/>
    <w:rsid w:val="00A86D58"/>
    <w:rsid w:val="00A86F84"/>
    <w:rsid w:val="00A87552"/>
    <w:rsid w:val="00A87AE1"/>
    <w:rsid w:val="00A9001F"/>
    <w:rsid w:val="00A9069C"/>
    <w:rsid w:val="00A90705"/>
    <w:rsid w:val="00A90C05"/>
    <w:rsid w:val="00A9139B"/>
    <w:rsid w:val="00A915DF"/>
    <w:rsid w:val="00A92056"/>
    <w:rsid w:val="00A92428"/>
    <w:rsid w:val="00A92457"/>
    <w:rsid w:val="00A92563"/>
    <w:rsid w:val="00A9316B"/>
    <w:rsid w:val="00A932E0"/>
    <w:rsid w:val="00A93315"/>
    <w:rsid w:val="00A938BA"/>
    <w:rsid w:val="00A939E6"/>
    <w:rsid w:val="00A93EFD"/>
    <w:rsid w:val="00A940DB"/>
    <w:rsid w:val="00A946B6"/>
    <w:rsid w:val="00A946BC"/>
    <w:rsid w:val="00A94B14"/>
    <w:rsid w:val="00A951E1"/>
    <w:rsid w:val="00A953C2"/>
    <w:rsid w:val="00A954BF"/>
    <w:rsid w:val="00A965DF"/>
    <w:rsid w:val="00A96C26"/>
    <w:rsid w:val="00AA003B"/>
    <w:rsid w:val="00AA0103"/>
    <w:rsid w:val="00AA0935"/>
    <w:rsid w:val="00AA0E49"/>
    <w:rsid w:val="00AA0E7E"/>
    <w:rsid w:val="00AA110D"/>
    <w:rsid w:val="00AA16AE"/>
    <w:rsid w:val="00AA19CD"/>
    <w:rsid w:val="00AA1AC3"/>
    <w:rsid w:val="00AA1DC3"/>
    <w:rsid w:val="00AA2558"/>
    <w:rsid w:val="00AA38C3"/>
    <w:rsid w:val="00AA3917"/>
    <w:rsid w:val="00AA3A57"/>
    <w:rsid w:val="00AA3A70"/>
    <w:rsid w:val="00AA3ED3"/>
    <w:rsid w:val="00AA426A"/>
    <w:rsid w:val="00AA4717"/>
    <w:rsid w:val="00AA54F2"/>
    <w:rsid w:val="00AA60C0"/>
    <w:rsid w:val="00AA674C"/>
    <w:rsid w:val="00AA6778"/>
    <w:rsid w:val="00AA6FD0"/>
    <w:rsid w:val="00AA71A2"/>
    <w:rsid w:val="00AA7DCD"/>
    <w:rsid w:val="00AB05CE"/>
    <w:rsid w:val="00AB078E"/>
    <w:rsid w:val="00AB0902"/>
    <w:rsid w:val="00AB093C"/>
    <w:rsid w:val="00AB09FF"/>
    <w:rsid w:val="00AB0FB9"/>
    <w:rsid w:val="00AB1005"/>
    <w:rsid w:val="00AB1095"/>
    <w:rsid w:val="00AB1119"/>
    <w:rsid w:val="00AB18B3"/>
    <w:rsid w:val="00AB1CDE"/>
    <w:rsid w:val="00AB1F84"/>
    <w:rsid w:val="00AB246D"/>
    <w:rsid w:val="00AB3355"/>
    <w:rsid w:val="00AB3569"/>
    <w:rsid w:val="00AB3FA7"/>
    <w:rsid w:val="00AB4264"/>
    <w:rsid w:val="00AB4C0F"/>
    <w:rsid w:val="00AB4D4F"/>
    <w:rsid w:val="00AB506C"/>
    <w:rsid w:val="00AB5148"/>
    <w:rsid w:val="00AB586E"/>
    <w:rsid w:val="00AB603D"/>
    <w:rsid w:val="00AB6489"/>
    <w:rsid w:val="00AB6B52"/>
    <w:rsid w:val="00AB6C9F"/>
    <w:rsid w:val="00AB710D"/>
    <w:rsid w:val="00AB71F5"/>
    <w:rsid w:val="00AB7616"/>
    <w:rsid w:val="00AB7AA2"/>
    <w:rsid w:val="00AB7CD6"/>
    <w:rsid w:val="00AC0137"/>
    <w:rsid w:val="00AC05CF"/>
    <w:rsid w:val="00AC07F7"/>
    <w:rsid w:val="00AC0F35"/>
    <w:rsid w:val="00AC0FF8"/>
    <w:rsid w:val="00AC109B"/>
    <w:rsid w:val="00AC1205"/>
    <w:rsid w:val="00AC14D8"/>
    <w:rsid w:val="00AC1684"/>
    <w:rsid w:val="00AC1827"/>
    <w:rsid w:val="00AC1E09"/>
    <w:rsid w:val="00AC2EFD"/>
    <w:rsid w:val="00AC3A5C"/>
    <w:rsid w:val="00AC4035"/>
    <w:rsid w:val="00AC423E"/>
    <w:rsid w:val="00AC4A9D"/>
    <w:rsid w:val="00AC55C8"/>
    <w:rsid w:val="00AC5F8F"/>
    <w:rsid w:val="00AC674C"/>
    <w:rsid w:val="00AC6765"/>
    <w:rsid w:val="00AC6C13"/>
    <w:rsid w:val="00AC7258"/>
    <w:rsid w:val="00AC7AB1"/>
    <w:rsid w:val="00AC7B6E"/>
    <w:rsid w:val="00AD0264"/>
    <w:rsid w:val="00AD0FD5"/>
    <w:rsid w:val="00AD1041"/>
    <w:rsid w:val="00AD1837"/>
    <w:rsid w:val="00AD1BC1"/>
    <w:rsid w:val="00AD27DE"/>
    <w:rsid w:val="00AD2802"/>
    <w:rsid w:val="00AD3F56"/>
    <w:rsid w:val="00AD4584"/>
    <w:rsid w:val="00AD5067"/>
    <w:rsid w:val="00AD5091"/>
    <w:rsid w:val="00AD510D"/>
    <w:rsid w:val="00AD5614"/>
    <w:rsid w:val="00AD5882"/>
    <w:rsid w:val="00AD5B2A"/>
    <w:rsid w:val="00AD63D6"/>
    <w:rsid w:val="00AD64F1"/>
    <w:rsid w:val="00AD6524"/>
    <w:rsid w:val="00AD69DC"/>
    <w:rsid w:val="00AD6E53"/>
    <w:rsid w:val="00AD6F8D"/>
    <w:rsid w:val="00AD6FD5"/>
    <w:rsid w:val="00AD7068"/>
    <w:rsid w:val="00AD7925"/>
    <w:rsid w:val="00AD7A2D"/>
    <w:rsid w:val="00AD7E25"/>
    <w:rsid w:val="00AE0A64"/>
    <w:rsid w:val="00AE11D0"/>
    <w:rsid w:val="00AE1CFC"/>
    <w:rsid w:val="00AE22EE"/>
    <w:rsid w:val="00AE23B9"/>
    <w:rsid w:val="00AE252C"/>
    <w:rsid w:val="00AE2865"/>
    <w:rsid w:val="00AE2C19"/>
    <w:rsid w:val="00AE2F08"/>
    <w:rsid w:val="00AE3C5D"/>
    <w:rsid w:val="00AE3DBF"/>
    <w:rsid w:val="00AE3FA4"/>
    <w:rsid w:val="00AE41DE"/>
    <w:rsid w:val="00AE4BC8"/>
    <w:rsid w:val="00AE5003"/>
    <w:rsid w:val="00AE504F"/>
    <w:rsid w:val="00AE5513"/>
    <w:rsid w:val="00AE5EF3"/>
    <w:rsid w:val="00AE5FBB"/>
    <w:rsid w:val="00AE60D8"/>
    <w:rsid w:val="00AE63C7"/>
    <w:rsid w:val="00AE64D4"/>
    <w:rsid w:val="00AE6724"/>
    <w:rsid w:val="00AE6729"/>
    <w:rsid w:val="00AE767C"/>
    <w:rsid w:val="00AE783A"/>
    <w:rsid w:val="00AF0006"/>
    <w:rsid w:val="00AF071B"/>
    <w:rsid w:val="00AF0B48"/>
    <w:rsid w:val="00AF0E2E"/>
    <w:rsid w:val="00AF0E30"/>
    <w:rsid w:val="00AF11F9"/>
    <w:rsid w:val="00AF15D7"/>
    <w:rsid w:val="00AF1639"/>
    <w:rsid w:val="00AF16DB"/>
    <w:rsid w:val="00AF1792"/>
    <w:rsid w:val="00AF1BB1"/>
    <w:rsid w:val="00AF21FA"/>
    <w:rsid w:val="00AF24D2"/>
    <w:rsid w:val="00AF2C2C"/>
    <w:rsid w:val="00AF3590"/>
    <w:rsid w:val="00AF3903"/>
    <w:rsid w:val="00AF3B66"/>
    <w:rsid w:val="00AF3BD4"/>
    <w:rsid w:val="00AF43A7"/>
    <w:rsid w:val="00AF4A19"/>
    <w:rsid w:val="00AF5140"/>
    <w:rsid w:val="00AF51AB"/>
    <w:rsid w:val="00AF5AC1"/>
    <w:rsid w:val="00AF61AA"/>
    <w:rsid w:val="00AF6BB4"/>
    <w:rsid w:val="00AF7381"/>
    <w:rsid w:val="00AF7713"/>
    <w:rsid w:val="00AF7919"/>
    <w:rsid w:val="00AF7C22"/>
    <w:rsid w:val="00AF7FEC"/>
    <w:rsid w:val="00B001C7"/>
    <w:rsid w:val="00B001E7"/>
    <w:rsid w:val="00B0020D"/>
    <w:rsid w:val="00B002BC"/>
    <w:rsid w:val="00B00354"/>
    <w:rsid w:val="00B00843"/>
    <w:rsid w:val="00B00A9D"/>
    <w:rsid w:val="00B00ED1"/>
    <w:rsid w:val="00B0139C"/>
    <w:rsid w:val="00B016DF"/>
    <w:rsid w:val="00B018F5"/>
    <w:rsid w:val="00B01EF0"/>
    <w:rsid w:val="00B02035"/>
    <w:rsid w:val="00B026E8"/>
    <w:rsid w:val="00B027B8"/>
    <w:rsid w:val="00B02935"/>
    <w:rsid w:val="00B02A3F"/>
    <w:rsid w:val="00B0360B"/>
    <w:rsid w:val="00B03C21"/>
    <w:rsid w:val="00B0430E"/>
    <w:rsid w:val="00B0456A"/>
    <w:rsid w:val="00B049A1"/>
    <w:rsid w:val="00B04AE2"/>
    <w:rsid w:val="00B052B8"/>
    <w:rsid w:val="00B053D8"/>
    <w:rsid w:val="00B057A6"/>
    <w:rsid w:val="00B05D53"/>
    <w:rsid w:val="00B05D93"/>
    <w:rsid w:val="00B05ED2"/>
    <w:rsid w:val="00B06672"/>
    <w:rsid w:val="00B069F6"/>
    <w:rsid w:val="00B071EF"/>
    <w:rsid w:val="00B0747A"/>
    <w:rsid w:val="00B078B2"/>
    <w:rsid w:val="00B07EB0"/>
    <w:rsid w:val="00B10730"/>
    <w:rsid w:val="00B107DF"/>
    <w:rsid w:val="00B10D1B"/>
    <w:rsid w:val="00B113B8"/>
    <w:rsid w:val="00B11775"/>
    <w:rsid w:val="00B11EBD"/>
    <w:rsid w:val="00B12881"/>
    <w:rsid w:val="00B13529"/>
    <w:rsid w:val="00B13FB3"/>
    <w:rsid w:val="00B1444B"/>
    <w:rsid w:val="00B1476B"/>
    <w:rsid w:val="00B14E2B"/>
    <w:rsid w:val="00B15AF5"/>
    <w:rsid w:val="00B16579"/>
    <w:rsid w:val="00B1693B"/>
    <w:rsid w:val="00B17317"/>
    <w:rsid w:val="00B1784B"/>
    <w:rsid w:val="00B17D5C"/>
    <w:rsid w:val="00B20096"/>
    <w:rsid w:val="00B200B1"/>
    <w:rsid w:val="00B20495"/>
    <w:rsid w:val="00B204F2"/>
    <w:rsid w:val="00B2134A"/>
    <w:rsid w:val="00B218F6"/>
    <w:rsid w:val="00B21CEB"/>
    <w:rsid w:val="00B228E6"/>
    <w:rsid w:val="00B22A44"/>
    <w:rsid w:val="00B235B0"/>
    <w:rsid w:val="00B23C48"/>
    <w:rsid w:val="00B23E21"/>
    <w:rsid w:val="00B24444"/>
    <w:rsid w:val="00B2454B"/>
    <w:rsid w:val="00B24763"/>
    <w:rsid w:val="00B2480B"/>
    <w:rsid w:val="00B24894"/>
    <w:rsid w:val="00B25005"/>
    <w:rsid w:val="00B252C4"/>
    <w:rsid w:val="00B2547F"/>
    <w:rsid w:val="00B25C9F"/>
    <w:rsid w:val="00B26084"/>
    <w:rsid w:val="00B26361"/>
    <w:rsid w:val="00B269F0"/>
    <w:rsid w:val="00B275C1"/>
    <w:rsid w:val="00B27A28"/>
    <w:rsid w:val="00B27E54"/>
    <w:rsid w:val="00B303D3"/>
    <w:rsid w:val="00B30603"/>
    <w:rsid w:val="00B30846"/>
    <w:rsid w:val="00B30AD8"/>
    <w:rsid w:val="00B311CD"/>
    <w:rsid w:val="00B3183D"/>
    <w:rsid w:val="00B31ADC"/>
    <w:rsid w:val="00B31F13"/>
    <w:rsid w:val="00B3208A"/>
    <w:rsid w:val="00B32344"/>
    <w:rsid w:val="00B32593"/>
    <w:rsid w:val="00B32D85"/>
    <w:rsid w:val="00B332EB"/>
    <w:rsid w:val="00B3357F"/>
    <w:rsid w:val="00B3381B"/>
    <w:rsid w:val="00B33A75"/>
    <w:rsid w:val="00B34877"/>
    <w:rsid w:val="00B34C94"/>
    <w:rsid w:val="00B3577B"/>
    <w:rsid w:val="00B35C42"/>
    <w:rsid w:val="00B35C54"/>
    <w:rsid w:val="00B361DA"/>
    <w:rsid w:val="00B36665"/>
    <w:rsid w:val="00B36902"/>
    <w:rsid w:val="00B36EC7"/>
    <w:rsid w:val="00B36F15"/>
    <w:rsid w:val="00B370CF"/>
    <w:rsid w:val="00B377D3"/>
    <w:rsid w:val="00B37B23"/>
    <w:rsid w:val="00B37C18"/>
    <w:rsid w:val="00B37DC9"/>
    <w:rsid w:val="00B40404"/>
    <w:rsid w:val="00B40599"/>
    <w:rsid w:val="00B40942"/>
    <w:rsid w:val="00B409CF"/>
    <w:rsid w:val="00B412DB"/>
    <w:rsid w:val="00B418A0"/>
    <w:rsid w:val="00B41E2F"/>
    <w:rsid w:val="00B423A9"/>
    <w:rsid w:val="00B4246D"/>
    <w:rsid w:val="00B42498"/>
    <w:rsid w:val="00B4260C"/>
    <w:rsid w:val="00B426CD"/>
    <w:rsid w:val="00B43721"/>
    <w:rsid w:val="00B4377F"/>
    <w:rsid w:val="00B439E8"/>
    <w:rsid w:val="00B43A22"/>
    <w:rsid w:val="00B43BF0"/>
    <w:rsid w:val="00B44687"/>
    <w:rsid w:val="00B447ED"/>
    <w:rsid w:val="00B44C55"/>
    <w:rsid w:val="00B44CE2"/>
    <w:rsid w:val="00B450AF"/>
    <w:rsid w:val="00B45D73"/>
    <w:rsid w:val="00B468C7"/>
    <w:rsid w:val="00B46C14"/>
    <w:rsid w:val="00B474C5"/>
    <w:rsid w:val="00B47508"/>
    <w:rsid w:val="00B47C44"/>
    <w:rsid w:val="00B502B5"/>
    <w:rsid w:val="00B50E24"/>
    <w:rsid w:val="00B5122F"/>
    <w:rsid w:val="00B512AC"/>
    <w:rsid w:val="00B516F7"/>
    <w:rsid w:val="00B51874"/>
    <w:rsid w:val="00B51BC3"/>
    <w:rsid w:val="00B5272C"/>
    <w:rsid w:val="00B52FE3"/>
    <w:rsid w:val="00B531B1"/>
    <w:rsid w:val="00B53AC9"/>
    <w:rsid w:val="00B53DB2"/>
    <w:rsid w:val="00B5452B"/>
    <w:rsid w:val="00B548BC"/>
    <w:rsid w:val="00B54D86"/>
    <w:rsid w:val="00B55B49"/>
    <w:rsid w:val="00B56067"/>
    <w:rsid w:val="00B56092"/>
    <w:rsid w:val="00B5630F"/>
    <w:rsid w:val="00B566AA"/>
    <w:rsid w:val="00B56B2D"/>
    <w:rsid w:val="00B57153"/>
    <w:rsid w:val="00B57303"/>
    <w:rsid w:val="00B5759C"/>
    <w:rsid w:val="00B57E89"/>
    <w:rsid w:val="00B604C2"/>
    <w:rsid w:val="00B604F6"/>
    <w:rsid w:val="00B610E5"/>
    <w:rsid w:val="00B61263"/>
    <w:rsid w:val="00B6135C"/>
    <w:rsid w:val="00B61459"/>
    <w:rsid w:val="00B6178F"/>
    <w:rsid w:val="00B61B4F"/>
    <w:rsid w:val="00B61ED7"/>
    <w:rsid w:val="00B61F62"/>
    <w:rsid w:val="00B62606"/>
    <w:rsid w:val="00B62DD3"/>
    <w:rsid w:val="00B6321D"/>
    <w:rsid w:val="00B63378"/>
    <w:rsid w:val="00B6347A"/>
    <w:rsid w:val="00B63583"/>
    <w:rsid w:val="00B637AB"/>
    <w:rsid w:val="00B63E45"/>
    <w:rsid w:val="00B64047"/>
    <w:rsid w:val="00B64D9E"/>
    <w:rsid w:val="00B65432"/>
    <w:rsid w:val="00B65938"/>
    <w:rsid w:val="00B65E63"/>
    <w:rsid w:val="00B65F2B"/>
    <w:rsid w:val="00B66653"/>
    <w:rsid w:val="00B66EEC"/>
    <w:rsid w:val="00B67210"/>
    <w:rsid w:val="00B6776D"/>
    <w:rsid w:val="00B67787"/>
    <w:rsid w:val="00B678F8"/>
    <w:rsid w:val="00B67A0D"/>
    <w:rsid w:val="00B67E9E"/>
    <w:rsid w:val="00B705C7"/>
    <w:rsid w:val="00B7063C"/>
    <w:rsid w:val="00B7068D"/>
    <w:rsid w:val="00B70A03"/>
    <w:rsid w:val="00B70B96"/>
    <w:rsid w:val="00B71208"/>
    <w:rsid w:val="00B71A40"/>
    <w:rsid w:val="00B71A42"/>
    <w:rsid w:val="00B71A49"/>
    <w:rsid w:val="00B723E5"/>
    <w:rsid w:val="00B72736"/>
    <w:rsid w:val="00B73856"/>
    <w:rsid w:val="00B7390D"/>
    <w:rsid w:val="00B739FC"/>
    <w:rsid w:val="00B73AA0"/>
    <w:rsid w:val="00B73B86"/>
    <w:rsid w:val="00B73B9D"/>
    <w:rsid w:val="00B73EC3"/>
    <w:rsid w:val="00B746AD"/>
    <w:rsid w:val="00B74C97"/>
    <w:rsid w:val="00B759B0"/>
    <w:rsid w:val="00B75A27"/>
    <w:rsid w:val="00B75B1C"/>
    <w:rsid w:val="00B75C73"/>
    <w:rsid w:val="00B767BB"/>
    <w:rsid w:val="00B76E15"/>
    <w:rsid w:val="00B77094"/>
    <w:rsid w:val="00B774A3"/>
    <w:rsid w:val="00B77921"/>
    <w:rsid w:val="00B8055E"/>
    <w:rsid w:val="00B81CB1"/>
    <w:rsid w:val="00B8348F"/>
    <w:rsid w:val="00B83C76"/>
    <w:rsid w:val="00B84147"/>
    <w:rsid w:val="00B84729"/>
    <w:rsid w:val="00B84E72"/>
    <w:rsid w:val="00B853A2"/>
    <w:rsid w:val="00B85820"/>
    <w:rsid w:val="00B85B02"/>
    <w:rsid w:val="00B85BFF"/>
    <w:rsid w:val="00B867AB"/>
    <w:rsid w:val="00B86DC7"/>
    <w:rsid w:val="00B870FC"/>
    <w:rsid w:val="00B87298"/>
    <w:rsid w:val="00B87888"/>
    <w:rsid w:val="00B90434"/>
    <w:rsid w:val="00B9076E"/>
    <w:rsid w:val="00B9163B"/>
    <w:rsid w:val="00B91766"/>
    <w:rsid w:val="00B919C9"/>
    <w:rsid w:val="00B92D00"/>
    <w:rsid w:val="00B92DA4"/>
    <w:rsid w:val="00B9346E"/>
    <w:rsid w:val="00B935CB"/>
    <w:rsid w:val="00B93D45"/>
    <w:rsid w:val="00B94060"/>
    <w:rsid w:val="00B940C4"/>
    <w:rsid w:val="00B943E0"/>
    <w:rsid w:val="00B94D24"/>
    <w:rsid w:val="00B94D40"/>
    <w:rsid w:val="00B94DC6"/>
    <w:rsid w:val="00B94F8F"/>
    <w:rsid w:val="00B95147"/>
    <w:rsid w:val="00B958AC"/>
    <w:rsid w:val="00B97219"/>
    <w:rsid w:val="00B97448"/>
    <w:rsid w:val="00B97C01"/>
    <w:rsid w:val="00BA0296"/>
    <w:rsid w:val="00BA0484"/>
    <w:rsid w:val="00BA0B1E"/>
    <w:rsid w:val="00BA0DAB"/>
    <w:rsid w:val="00BA0E24"/>
    <w:rsid w:val="00BA1CEF"/>
    <w:rsid w:val="00BA2E2B"/>
    <w:rsid w:val="00BA3490"/>
    <w:rsid w:val="00BA353A"/>
    <w:rsid w:val="00BA3D98"/>
    <w:rsid w:val="00BA3E81"/>
    <w:rsid w:val="00BA4314"/>
    <w:rsid w:val="00BA4CD5"/>
    <w:rsid w:val="00BA50B8"/>
    <w:rsid w:val="00BA5625"/>
    <w:rsid w:val="00BA56F0"/>
    <w:rsid w:val="00BA5EEA"/>
    <w:rsid w:val="00BA63FE"/>
    <w:rsid w:val="00BA64F7"/>
    <w:rsid w:val="00BA6577"/>
    <w:rsid w:val="00BA668C"/>
    <w:rsid w:val="00BA68A2"/>
    <w:rsid w:val="00BA690B"/>
    <w:rsid w:val="00BA6CA7"/>
    <w:rsid w:val="00BA741C"/>
    <w:rsid w:val="00BA7688"/>
    <w:rsid w:val="00BA7CC1"/>
    <w:rsid w:val="00BA7EE4"/>
    <w:rsid w:val="00BB0195"/>
    <w:rsid w:val="00BB04DF"/>
    <w:rsid w:val="00BB0976"/>
    <w:rsid w:val="00BB0B99"/>
    <w:rsid w:val="00BB106D"/>
    <w:rsid w:val="00BB110E"/>
    <w:rsid w:val="00BB1D58"/>
    <w:rsid w:val="00BB218F"/>
    <w:rsid w:val="00BB246B"/>
    <w:rsid w:val="00BB2DCB"/>
    <w:rsid w:val="00BB3601"/>
    <w:rsid w:val="00BB3917"/>
    <w:rsid w:val="00BB43F5"/>
    <w:rsid w:val="00BB4B29"/>
    <w:rsid w:val="00BB4C14"/>
    <w:rsid w:val="00BB4CAA"/>
    <w:rsid w:val="00BB511A"/>
    <w:rsid w:val="00BB537A"/>
    <w:rsid w:val="00BB5B05"/>
    <w:rsid w:val="00BB60D0"/>
    <w:rsid w:val="00BB614B"/>
    <w:rsid w:val="00BB61E8"/>
    <w:rsid w:val="00BB631D"/>
    <w:rsid w:val="00BB652C"/>
    <w:rsid w:val="00BB66FC"/>
    <w:rsid w:val="00BB6A3E"/>
    <w:rsid w:val="00BB6DB4"/>
    <w:rsid w:val="00BB6DC9"/>
    <w:rsid w:val="00BB73D1"/>
    <w:rsid w:val="00BB7568"/>
    <w:rsid w:val="00BC04F3"/>
    <w:rsid w:val="00BC0843"/>
    <w:rsid w:val="00BC11F8"/>
    <w:rsid w:val="00BC15AC"/>
    <w:rsid w:val="00BC15F8"/>
    <w:rsid w:val="00BC1BAB"/>
    <w:rsid w:val="00BC1F79"/>
    <w:rsid w:val="00BC244C"/>
    <w:rsid w:val="00BC245E"/>
    <w:rsid w:val="00BC297E"/>
    <w:rsid w:val="00BC2A5C"/>
    <w:rsid w:val="00BC2A7A"/>
    <w:rsid w:val="00BC2B03"/>
    <w:rsid w:val="00BC3A30"/>
    <w:rsid w:val="00BC4119"/>
    <w:rsid w:val="00BC4E9F"/>
    <w:rsid w:val="00BC4FB2"/>
    <w:rsid w:val="00BC5089"/>
    <w:rsid w:val="00BC521D"/>
    <w:rsid w:val="00BC5461"/>
    <w:rsid w:val="00BC559E"/>
    <w:rsid w:val="00BC58C4"/>
    <w:rsid w:val="00BC5956"/>
    <w:rsid w:val="00BC5B3E"/>
    <w:rsid w:val="00BC5F94"/>
    <w:rsid w:val="00BC65D9"/>
    <w:rsid w:val="00BC6C53"/>
    <w:rsid w:val="00BD041A"/>
    <w:rsid w:val="00BD07CD"/>
    <w:rsid w:val="00BD1488"/>
    <w:rsid w:val="00BD18AF"/>
    <w:rsid w:val="00BD1A46"/>
    <w:rsid w:val="00BD1C09"/>
    <w:rsid w:val="00BD21B5"/>
    <w:rsid w:val="00BD2BD0"/>
    <w:rsid w:val="00BD34EB"/>
    <w:rsid w:val="00BD3A8E"/>
    <w:rsid w:val="00BD3BC3"/>
    <w:rsid w:val="00BD4456"/>
    <w:rsid w:val="00BD4D95"/>
    <w:rsid w:val="00BD4DB9"/>
    <w:rsid w:val="00BD4E00"/>
    <w:rsid w:val="00BD4E2E"/>
    <w:rsid w:val="00BD59FD"/>
    <w:rsid w:val="00BD6BCD"/>
    <w:rsid w:val="00BD6D31"/>
    <w:rsid w:val="00BD6E4A"/>
    <w:rsid w:val="00BD740B"/>
    <w:rsid w:val="00BD7B44"/>
    <w:rsid w:val="00BD7D66"/>
    <w:rsid w:val="00BE1449"/>
    <w:rsid w:val="00BE1604"/>
    <w:rsid w:val="00BE18D7"/>
    <w:rsid w:val="00BE1B5F"/>
    <w:rsid w:val="00BE1BC2"/>
    <w:rsid w:val="00BE2068"/>
    <w:rsid w:val="00BE2CDF"/>
    <w:rsid w:val="00BE2DB4"/>
    <w:rsid w:val="00BE317C"/>
    <w:rsid w:val="00BE3248"/>
    <w:rsid w:val="00BE3274"/>
    <w:rsid w:val="00BE32C7"/>
    <w:rsid w:val="00BE364F"/>
    <w:rsid w:val="00BE4145"/>
    <w:rsid w:val="00BE45B3"/>
    <w:rsid w:val="00BE4782"/>
    <w:rsid w:val="00BE5743"/>
    <w:rsid w:val="00BE5AA8"/>
    <w:rsid w:val="00BE62DD"/>
    <w:rsid w:val="00BE67B9"/>
    <w:rsid w:val="00BE6940"/>
    <w:rsid w:val="00BE722E"/>
    <w:rsid w:val="00BE7392"/>
    <w:rsid w:val="00BE7730"/>
    <w:rsid w:val="00BF0AF4"/>
    <w:rsid w:val="00BF0F60"/>
    <w:rsid w:val="00BF1021"/>
    <w:rsid w:val="00BF12D4"/>
    <w:rsid w:val="00BF191A"/>
    <w:rsid w:val="00BF23C7"/>
    <w:rsid w:val="00BF286A"/>
    <w:rsid w:val="00BF45C0"/>
    <w:rsid w:val="00BF4A12"/>
    <w:rsid w:val="00BF4D4E"/>
    <w:rsid w:val="00BF5055"/>
    <w:rsid w:val="00BF52BD"/>
    <w:rsid w:val="00BF54CC"/>
    <w:rsid w:val="00BF55EB"/>
    <w:rsid w:val="00BF57DB"/>
    <w:rsid w:val="00BF5EDE"/>
    <w:rsid w:val="00BF5F87"/>
    <w:rsid w:val="00BF6485"/>
    <w:rsid w:val="00BF70BC"/>
    <w:rsid w:val="00BF7A30"/>
    <w:rsid w:val="00BF7EC7"/>
    <w:rsid w:val="00C000C1"/>
    <w:rsid w:val="00C002B3"/>
    <w:rsid w:val="00C0077B"/>
    <w:rsid w:val="00C00BC8"/>
    <w:rsid w:val="00C00CDF"/>
    <w:rsid w:val="00C00ED6"/>
    <w:rsid w:val="00C01153"/>
    <w:rsid w:val="00C015A0"/>
    <w:rsid w:val="00C01BF1"/>
    <w:rsid w:val="00C01DCD"/>
    <w:rsid w:val="00C02BF9"/>
    <w:rsid w:val="00C03C86"/>
    <w:rsid w:val="00C04040"/>
    <w:rsid w:val="00C040FF"/>
    <w:rsid w:val="00C0444D"/>
    <w:rsid w:val="00C04643"/>
    <w:rsid w:val="00C050DE"/>
    <w:rsid w:val="00C060EB"/>
    <w:rsid w:val="00C07FF0"/>
    <w:rsid w:val="00C10059"/>
    <w:rsid w:val="00C1007C"/>
    <w:rsid w:val="00C1013E"/>
    <w:rsid w:val="00C10698"/>
    <w:rsid w:val="00C10C9B"/>
    <w:rsid w:val="00C10D58"/>
    <w:rsid w:val="00C11A37"/>
    <w:rsid w:val="00C1200C"/>
    <w:rsid w:val="00C122A4"/>
    <w:rsid w:val="00C12383"/>
    <w:rsid w:val="00C124AC"/>
    <w:rsid w:val="00C126C0"/>
    <w:rsid w:val="00C128C9"/>
    <w:rsid w:val="00C12959"/>
    <w:rsid w:val="00C12A7A"/>
    <w:rsid w:val="00C12F39"/>
    <w:rsid w:val="00C12F7B"/>
    <w:rsid w:val="00C13157"/>
    <w:rsid w:val="00C13D98"/>
    <w:rsid w:val="00C14F55"/>
    <w:rsid w:val="00C150BA"/>
    <w:rsid w:val="00C15385"/>
    <w:rsid w:val="00C15A33"/>
    <w:rsid w:val="00C16534"/>
    <w:rsid w:val="00C168BF"/>
    <w:rsid w:val="00C16B84"/>
    <w:rsid w:val="00C16F31"/>
    <w:rsid w:val="00C17E74"/>
    <w:rsid w:val="00C202A0"/>
    <w:rsid w:val="00C20377"/>
    <w:rsid w:val="00C203D5"/>
    <w:rsid w:val="00C20A49"/>
    <w:rsid w:val="00C211B0"/>
    <w:rsid w:val="00C22CCC"/>
    <w:rsid w:val="00C22D43"/>
    <w:rsid w:val="00C22E1F"/>
    <w:rsid w:val="00C22E48"/>
    <w:rsid w:val="00C22E6A"/>
    <w:rsid w:val="00C233DD"/>
    <w:rsid w:val="00C24217"/>
    <w:rsid w:val="00C24400"/>
    <w:rsid w:val="00C24AE9"/>
    <w:rsid w:val="00C25F93"/>
    <w:rsid w:val="00C265F1"/>
    <w:rsid w:val="00C26846"/>
    <w:rsid w:val="00C26A80"/>
    <w:rsid w:val="00C279AC"/>
    <w:rsid w:val="00C27A34"/>
    <w:rsid w:val="00C27CD0"/>
    <w:rsid w:val="00C308E5"/>
    <w:rsid w:val="00C30AA3"/>
    <w:rsid w:val="00C30ED5"/>
    <w:rsid w:val="00C31071"/>
    <w:rsid w:val="00C318EA"/>
    <w:rsid w:val="00C31B6D"/>
    <w:rsid w:val="00C31D77"/>
    <w:rsid w:val="00C31F6C"/>
    <w:rsid w:val="00C323E8"/>
    <w:rsid w:val="00C324A8"/>
    <w:rsid w:val="00C329C3"/>
    <w:rsid w:val="00C330CF"/>
    <w:rsid w:val="00C33AF9"/>
    <w:rsid w:val="00C343C8"/>
    <w:rsid w:val="00C34ACE"/>
    <w:rsid w:val="00C34F1C"/>
    <w:rsid w:val="00C35355"/>
    <w:rsid w:val="00C35A94"/>
    <w:rsid w:val="00C35F36"/>
    <w:rsid w:val="00C363A0"/>
    <w:rsid w:val="00C36544"/>
    <w:rsid w:val="00C368E5"/>
    <w:rsid w:val="00C36E4B"/>
    <w:rsid w:val="00C36E4D"/>
    <w:rsid w:val="00C373E0"/>
    <w:rsid w:val="00C37AB9"/>
    <w:rsid w:val="00C37B6F"/>
    <w:rsid w:val="00C404E5"/>
    <w:rsid w:val="00C4050C"/>
    <w:rsid w:val="00C4080C"/>
    <w:rsid w:val="00C4091E"/>
    <w:rsid w:val="00C40E44"/>
    <w:rsid w:val="00C40F1A"/>
    <w:rsid w:val="00C4107C"/>
    <w:rsid w:val="00C41A11"/>
    <w:rsid w:val="00C42849"/>
    <w:rsid w:val="00C4289A"/>
    <w:rsid w:val="00C428E9"/>
    <w:rsid w:val="00C42C99"/>
    <w:rsid w:val="00C4440C"/>
    <w:rsid w:val="00C446CC"/>
    <w:rsid w:val="00C44831"/>
    <w:rsid w:val="00C44C6D"/>
    <w:rsid w:val="00C4523F"/>
    <w:rsid w:val="00C455D1"/>
    <w:rsid w:val="00C4587E"/>
    <w:rsid w:val="00C45CC7"/>
    <w:rsid w:val="00C45F97"/>
    <w:rsid w:val="00C461FF"/>
    <w:rsid w:val="00C46367"/>
    <w:rsid w:val="00C4682A"/>
    <w:rsid w:val="00C46F97"/>
    <w:rsid w:val="00C47112"/>
    <w:rsid w:val="00C474EF"/>
    <w:rsid w:val="00C50107"/>
    <w:rsid w:val="00C502BD"/>
    <w:rsid w:val="00C50726"/>
    <w:rsid w:val="00C51282"/>
    <w:rsid w:val="00C5128D"/>
    <w:rsid w:val="00C513D3"/>
    <w:rsid w:val="00C518C8"/>
    <w:rsid w:val="00C51A17"/>
    <w:rsid w:val="00C51D81"/>
    <w:rsid w:val="00C51F54"/>
    <w:rsid w:val="00C52224"/>
    <w:rsid w:val="00C5226B"/>
    <w:rsid w:val="00C522C6"/>
    <w:rsid w:val="00C52A8D"/>
    <w:rsid w:val="00C52FA3"/>
    <w:rsid w:val="00C53293"/>
    <w:rsid w:val="00C532DE"/>
    <w:rsid w:val="00C5386E"/>
    <w:rsid w:val="00C53880"/>
    <w:rsid w:val="00C53AA3"/>
    <w:rsid w:val="00C543DE"/>
    <w:rsid w:val="00C5444E"/>
    <w:rsid w:val="00C551CC"/>
    <w:rsid w:val="00C551E4"/>
    <w:rsid w:val="00C55B16"/>
    <w:rsid w:val="00C55B95"/>
    <w:rsid w:val="00C55D0B"/>
    <w:rsid w:val="00C55D47"/>
    <w:rsid w:val="00C55DB2"/>
    <w:rsid w:val="00C560F9"/>
    <w:rsid w:val="00C56572"/>
    <w:rsid w:val="00C56651"/>
    <w:rsid w:val="00C5700E"/>
    <w:rsid w:val="00C57116"/>
    <w:rsid w:val="00C57BFA"/>
    <w:rsid w:val="00C57C95"/>
    <w:rsid w:val="00C57D00"/>
    <w:rsid w:val="00C601B0"/>
    <w:rsid w:val="00C6060E"/>
    <w:rsid w:val="00C60EED"/>
    <w:rsid w:val="00C61252"/>
    <w:rsid w:val="00C61436"/>
    <w:rsid w:val="00C61441"/>
    <w:rsid w:val="00C61C22"/>
    <w:rsid w:val="00C61EE7"/>
    <w:rsid w:val="00C61F95"/>
    <w:rsid w:val="00C62530"/>
    <w:rsid w:val="00C62EC8"/>
    <w:rsid w:val="00C63347"/>
    <w:rsid w:val="00C63530"/>
    <w:rsid w:val="00C63676"/>
    <w:rsid w:val="00C63EBB"/>
    <w:rsid w:val="00C64E75"/>
    <w:rsid w:val="00C64F71"/>
    <w:rsid w:val="00C6607F"/>
    <w:rsid w:val="00C660CF"/>
    <w:rsid w:val="00C66261"/>
    <w:rsid w:val="00C6644D"/>
    <w:rsid w:val="00C66698"/>
    <w:rsid w:val="00C6695F"/>
    <w:rsid w:val="00C669BA"/>
    <w:rsid w:val="00C66BEF"/>
    <w:rsid w:val="00C674A5"/>
    <w:rsid w:val="00C674C2"/>
    <w:rsid w:val="00C677DE"/>
    <w:rsid w:val="00C67C9F"/>
    <w:rsid w:val="00C67F15"/>
    <w:rsid w:val="00C70319"/>
    <w:rsid w:val="00C7076E"/>
    <w:rsid w:val="00C70DC2"/>
    <w:rsid w:val="00C71106"/>
    <w:rsid w:val="00C7113A"/>
    <w:rsid w:val="00C7181B"/>
    <w:rsid w:val="00C71B19"/>
    <w:rsid w:val="00C71D43"/>
    <w:rsid w:val="00C72201"/>
    <w:rsid w:val="00C72CF4"/>
    <w:rsid w:val="00C73670"/>
    <w:rsid w:val="00C73B4F"/>
    <w:rsid w:val="00C73B64"/>
    <w:rsid w:val="00C745DA"/>
    <w:rsid w:val="00C759D8"/>
    <w:rsid w:val="00C76902"/>
    <w:rsid w:val="00C76D71"/>
    <w:rsid w:val="00C76D84"/>
    <w:rsid w:val="00C7731F"/>
    <w:rsid w:val="00C80404"/>
    <w:rsid w:val="00C80703"/>
    <w:rsid w:val="00C80D2F"/>
    <w:rsid w:val="00C8116B"/>
    <w:rsid w:val="00C81398"/>
    <w:rsid w:val="00C814DD"/>
    <w:rsid w:val="00C815D3"/>
    <w:rsid w:val="00C83252"/>
    <w:rsid w:val="00C834F4"/>
    <w:rsid w:val="00C83C14"/>
    <w:rsid w:val="00C83E74"/>
    <w:rsid w:val="00C84357"/>
    <w:rsid w:val="00C847F1"/>
    <w:rsid w:val="00C84F8A"/>
    <w:rsid w:val="00C855D7"/>
    <w:rsid w:val="00C85677"/>
    <w:rsid w:val="00C85D77"/>
    <w:rsid w:val="00C864EE"/>
    <w:rsid w:val="00C8652D"/>
    <w:rsid w:val="00C8731D"/>
    <w:rsid w:val="00C902F0"/>
    <w:rsid w:val="00C90481"/>
    <w:rsid w:val="00C905E6"/>
    <w:rsid w:val="00C907AD"/>
    <w:rsid w:val="00C908A2"/>
    <w:rsid w:val="00C90D70"/>
    <w:rsid w:val="00C90E71"/>
    <w:rsid w:val="00C912AF"/>
    <w:rsid w:val="00C91BEB"/>
    <w:rsid w:val="00C91C00"/>
    <w:rsid w:val="00C924D2"/>
    <w:rsid w:val="00C925FF"/>
    <w:rsid w:val="00C92A10"/>
    <w:rsid w:val="00C933D8"/>
    <w:rsid w:val="00C93981"/>
    <w:rsid w:val="00C93B5C"/>
    <w:rsid w:val="00C93F6C"/>
    <w:rsid w:val="00C946B1"/>
    <w:rsid w:val="00C94705"/>
    <w:rsid w:val="00C94CF2"/>
    <w:rsid w:val="00C94E12"/>
    <w:rsid w:val="00C95154"/>
    <w:rsid w:val="00C9578E"/>
    <w:rsid w:val="00C9597E"/>
    <w:rsid w:val="00C965B8"/>
    <w:rsid w:val="00C96BCB"/>
    <w:rsid w:val="00C96DE3"/>
    <w:rsid w:val="00C9721C"/>
    <w:rsid w:val="00C978F0"/>
    <w:rsid w:val="00C97ABF"/>
    <w:rsid w:val="00CA022C"/>
    <w:rsid w:val="00CA0ABC"/>
    <w:rsid w:val="00CA0CB5"/>
    <w:rsid w:val="00CA0EB5"/>
    <w:rsid w:val="00CA18A6"/>
    <w:rsid w:val="00CA1D2C"/>
    <w:rsid w:val="00CA2126"/>
    <w:rsid w:val="00CA3AEF"/>
    <w:rsid w:val="00CA3D2F"/>
    <w:rsid w:val="00CA4CDE"/>
    <w:rsid w:val="00CA4F49"/>
    <w:rsid w:val="00CA5AE0"/>
    <w:rsid w:val="00CA5AEB"/>
    <w:rsid w:val="00CA6331"/>
    <w:rsid w:val="00CA6404"/>
    <w:rsid w:val="00CA6846"/>
    <w:rsid w:val="00CA69CA"/>
    <w:rsid w:val="00CA6C68"/>
    <w:rsid w:val="00CA7095"/>
    <w:rsid w:val="00CA722B"/>
    <w:rsid w:val="00CA72E7"/>
    <w:rsid w:val="00CA74F8"/>
    <w:rsid w:val="00CA757B"/>
    <w:rsid w:val="00CA7F52"/>
    <w:rsid w:val="00CB0B7A"/>
    <w:rsid w:val="00CB0B88"/>
    <w:rsid w:val="00CB1383"/>
    <w:rsid w:val="00CB1725"/>
    <w:rsid w:val="00CB18E3"/>
    <w:rsid w:val="00CB1FF0"/>
    <w:rsid w:val="00CB20DF"/>
    <w:rsid w:val="00CB2221"/>
    <w:rsid w:val="00CB25C0"/>
    <w:rsid w:val="00CB2AFB"/>
    <w:rsid w:val="00CB2E6F"/>
    <w:rsid w:val="00CB30A6"/>
    <w:rsid w:val="00CB33CE"/>
    <w:rsid w:val="00CB3DA2"/>
    <w:rsid w:val="00CB49DD"/>
    <w:rsid w:val="00CB4ED2"/>
    <w:rsid w:val="00CB565E"/>
    <w:rsid w:val="00CB5FB5"/>
    <w:rsid w:val="00CB6548"/>
    <w:rsid w:val="00CB65F2"/>
    <w:rsid w:val="00CB6619"/>
    <w:rsid w:val="00CB67A9"/>
    <w:rsid w:val="00CB70E1"/>
    <w:rsid w:val="00CB73A5"/>
    <w:rsid w:val="00CB78A7"/>
    <w:rsid w:val="00CB7998"/>
    <w:rsid w:val="00CB7EDD"/>
    <w:rsid w:val="00CC02E9"/>
    <w:rsid w:val="00CC04B0"/>
    <w:rsid w:val="00CC08F2"/>
    <w:rsid w:val="00CC0A41"/>
    <w:rsid w:val="00CC1129"/>
    <w:rsid w:val="00CC1D7E"/>
    <w:rsid w:val="00CC1E2A"/>
    <w:rsid w:val="00CC1EBB"/>
    <w:rsid w:val="00CC1F8C"/>
    <w:rsid w:val="00CC2272"/>
    <w:rsid w:val="00CC272D"/>
    <w:rsid w:val="00CC2AFC"/>
    <w:rsid w:val="00CC3010"/>
    <w:rsid w:val="00CC3072"/>
    <w:rsid w:val="00CC30F5"/>
    <w:rsid w:val="00CC318C"/>
    <w:rsid w:val="00CC3A4A"/>
    <w:rsid w:val="00CC3A6C"/>
    <w:rsid w:val="00CC4206"/>
    <w:rsid w:val="00CC42C1"/>
    <w:rsid w:val="00CC43F7"/>
    <w:rsid w:val="00CC4BDB"/>
    <w:rsid w:val="00CC4D66"/>
    <w:rsid w:val="00CC4E95"/>
    <w:rsid w:val="00CC5191"/>
    <w:rsid w:val="00CC5920"/>
    <w:rsid w:val="00CC6714"/>
    <w:rsid w:val="00CC6A34"/>
    <w:rsid w:val="00CC74D3"/>
    <w:rsid w:val="00CC7A47"/>
    <w:rsid w:val="00CC7C7F"/>
    <w:rsid w:val="00CD0824"/>
    <w:rsid w:val="00CD0B10"/>
    <w:rsid w:val="00CD0B57"/>
    <w:rsid w:val="00CD0EF6"/>
    <w:rsid w:val="00CD1241"/>
    <w:rsid w:val="00CD1844"/>
    <w:rsid w:val="00CD19AF"/>
    <w:rsid w:val="00CD1D2D"/>
    <w:rsid w:val="00CD1F2B"/>
    <w:rsid w:val="00CD1F6B"/>
    <w:rsid w:val="00CD2024"/>
    <w:rsid w:val="00CD2336"/>
    <w:rsid w:val="00CD28B8"/>
    <w:rsid w:val="00CD29DD"/>
    <w:rsid w:val="00CD2AD8"/>
    <w:rsid w:val="00CD2BF5"/>
    <w:rsid w:val="00CD32B5"/>
    <w:rsid w:val="00CD3767"/>
    <w:rsid w:val="00CD3BCC"/>
    <w:rsid w:val="00CD4084"/>
    <w:rsid w:val="00CD41AF"/>
    <w:rsid w:val="00CD429F"/>
    <w:rsid w:val="00CD455A"/>
    <w:rsid w:val="00CD4BC2"/>
    <w:rsid w:val="00CD54AC"/>
    <w:rsid w:val="00CD59C0"/>
    <w:rsid w:val="00CD5E56"/>
    <w:rsid w:val="00CD614B"/>
    <w:rsid w:val="00CD619F"/>
    <w:rsid w:val="00CD6277"/>
    <w:rsid w:val="00CD67C8"/>
    <w:rsid w:val="00CD697B"/>
    <w:rsid w:val="00CD6D7D"/>
    <w:rsid w:val="00CD6EF4"/>
    <w:rsid w:val="00CD7297"/>
    <w:rsid w:val="00CD75AE"/>
    <w:rsid w:val="00CD796E"/>
    <w:rsid w:val="00CE017F"/>
    <w:rsid w:val="00CE028C"/>
    <w:rsid w:val="00CE02D5"/>
    <w:rsid w:val="00CE05AF"/>
    <w:rsid w:val="00CE0729"/>
    <w:rsid w:val="00CE2776"/>
    <w:rsid w:val="00CE2F08"/>
    <w:rsid w:val="00CE3053"/>
    <w:rsid w:val="00CE3618"/>
    <w:rsid w:val="00CE3B98"/>
    <w:rsid w:val="00CE400E"/>
    <w:rsid w:val="00CE41F7"/>
    <w:rsid w:val="00CE4665"/>
    <w:rsid w:val="00CE4764"/>
    <w:rsid w:val="00CE4B8F"/>
    <w:rsid w:val="00CE4ED2"/>
    <w:rsid w:val="00CE5237"/>
    <w:rsid w:val="00CE5B0F"/>
    <w:rsid w:val="00CE5B5D"/>
    <w:rsid w:val="00CE5D2E"/>
    <w:rsid w:val="00CE5ECF"/>
    <w:rsid w:val="00CE62DC"/>
    <w:rsid w:val="00CE6369"/>
    <w:rsid w:val="00CE7588"/>
    <w:rsid w:val="00CE7885"/>
    <w:rsid w:val="00CE7EFF"/>
    <w:rsid w:val="00CF0009"/>
    <w:rsid w:val="00CF02D7"/>
    <w:rsid w:val="00CF0776"/>
    <w:rsid w:val="00CF08C6"/>
    <w:rsid w:val="00CF0C37"/>
    <w:rsid w:val="00CF11F2"/>
    <w:rsid w:val="00CF15C9"/>
    <w:rsid w:val="00CF17D5"/>
    <w:rsid w:val="00CF1FF8"/>
    <w:rsid w:val="00CF24CA"/>
    <w:rsid w:val="00CF2700"/>
    <w:rsid w:val="00CF272F"/>
    <w:rsid w:val="00CF2CC0"/>
    <w:rsid w:val="00CF2D10"/>
    <w:rsid w:val="00CF36C9"/>
    <w:rsid w:val="00CF3791"/>
    <w:rsid w:val="00CF4282"/>
    <w:rsid w:val="00CF46EB"/>
    <w:rsid w:val="00CF496C"/>
    <w:rsid w:val="00CF53E8"/>
    <w:rsid w:val="00CF57AB"/>
    <w:rsid w:val="00CF5888"/>
    <w:rsid w:val="00CF59E8"/>
    <w:rsid w:val="00CF5F42"/>
    <w:rsid w:val="00CF6157"/>
    <w:rsid w:val="00CF6655"/>
    <w:rsid w:val="00CF6960"/>
    <w:rsid w:val="00CF6B45"/>
    <w:rsid w:val="00CF6CE5"/>
    <w:rsid w:val="00CF6ECD"/>
    <w:rsid w:val="00CF7123"/>
    <w:rsid w:val="00CF747D"/>
    <w:rsid w:val="00CF75E0"/>
    <w:rsid w:val="00CF75E7"/>
    <w:rsid w:val="00D00134"/>
    <w:rsid w:val="00D002B2"/>
    <w:rsid w:val="00D00750"/>
    <w:rsid w:val="00D00E1A"/>
    <w:rsid w:val="00D010FA"/>
    <w:rsid w:val="00D0171E"/>
    <w:rsid w:val="00D019D1"/>
    <w:rsid w:val="00D01D5D"/>
    <w:rsid w:val="00D020E5"/>
    <w:rsid w:val="00D02552"/>
    <w:rsid w:val="00D029FE"/>
    <w:rsid w:val="00D02CAD"/>
    <w:rsid w:val="00D0316F"/>
    <w:rsid w:val="00D03243"/>
    <w:rsid w:val="00D03BE2"/>
    <w:rsid w:val="00D0440B"/>
    <w:rsid w:val="00D045FF"/>
    <w:rsid w:val="00D046C5"/>
    <w:rsid w:val="00D04837"/>
    <w:rsid w:val="00D0555E"/>
    <w:rsid w:val="00D056CB"/>
    <w:rsid w:val="00D058AA"/>
    <w:rsid w:val="00D059B5"/>
    <w:rsid w:val="00D05C63"/>
    <w:rsid w:val="00D05C80"/>
    <w:rsid w:val="00D05F2D"/>
    <w:rsid w:val="00D06A00"/>
    <w:rsid w:val="00D06A0D"/>
    <w:rsid w:val="00D07145"/>
    <w:rsid w:val="00D071A9"/>
    <w:rsid w:val="00D07785"/>
    <w:rsid w:val="00D0786A"/>
    <w:rsid w:val="00D106E2"/>
    <w:rsid w:val="00D10A45"/>
    <w:rsid w:val="00D10C60"/>
    <w:rsid w:val="00D10CE9"/>
    <w:rsid w:val="00D11107"/>
    <w:rsid w:val="00D11259"/>
    <w:rsid w:val="00D118DE"/>
    <w:rsid w:val="00D118FB"/>
    <w:rsid w:val="00D12439"/>
    <w:rsid w:val="00D12EB7"/>
    <w:rsid w:val="00D13143"/>
    <w:rsid w:val="00D1333E"/>
    <w:rsid w:val="00D134B8"/>
    <w:rsid w:val="00D13AF3"/>
    <w:rsid w:val="00D13D9F"/>
    <w:rsid w:val="00D14648"/>
    <w:rsid w:val="00D14874"/>
    <w:rsid w:val="00D14888"/>
    <w:rsid w:val="00D148A8"/>
    <w:rsid w:val="00D14AE2"/>
    <w:rsid w:val="00D14CC2"/>
    <w:rsid w:val="00D14CEB"/>
    <w:rsid w:val="00D14E2C"/>
    <w:rsid w:val="00D1501E"/>
    <w:rsid w:val="00D15264"/>
    <w:rsid w:val="00D157CE"/>
    <w:rsid w:val="00D158B3"/>
    <w:rsid w:val="00D15B3D"/>
    <w:rsid w:val="00D17647"/>
    <w:rsid w:val="00D17D9B"/>
    <w:rsid w:val="00D17F2B"/>
    <w:rsid w:val="00D20010"/>
    <w:rsid w:val="00D202C2"/>
    <w:rsid w:val="00D203E8"/>
    <w:rsid w:val="00D2131C"/>
    <w:rsid w:val="00D213CD"/>
    <w:rsid w:val="00D214B5"/>
    <w:rsid w:val="00D2235F"/>
    <w:rsid w:val="00D22368"/>
    <w:rsid w:val="00D224A1"/>
    <w:rsid w:val="00D22C7F"/>
    <w:rsid w:val="00D232A0"/>
    <w:rsid w:val="00D236CD"/>
    <w:rsid w:val="00D239B3"/>
    <w:rsid w:val="00D2421D"/>
    <w:rsid w:val="00D24334"/>
    <w:rsid w:val="00D2463A"/>
    <w:rsid w:val="00D2472A"/>
    <w:rsid w:val="00D24A29"/>
    <w:rsid w:val="00D24A3A"/>
    <w:rsid w:val="00D2580A"/>
    <w:rsid w:val="00D25E46"/>
    <w:rsid w:val="00D26C21"/>
    <w:rsid w:val="00D26CF6"/>
    <w:rsid w:val="00D26D8C"/>
    <w:rsid w:val="00D26E15"/>
    <w:rsid w:val="00D2730B"/>
    <w:rsid w:val="00D27351"/>
    <w:rsid w:val="00D27488"/>
    <w:rsid w:val="00D274B9"/>
    <w:rsid w:val="00D27511"/>
    <w:rsid w:val="00D27A79"/>
    <w:rsid w:val="00D27F6A"/>
    <w:rsid w:val="00D27FCE"/>
    <w:rsid w:val="00D307E7"/>
    <w:rsid w:val="00D313CE"/>
    <w:rsid w:val="00D316A8"/>
    <w:rsid w:val="00D3178A"/>
    <w:rsid w:val="00D3243E"/>
    <w:rsid w:val="00D326D6"/>
    <w:rsid w:val="00D341E4"/>
    <w:rsid w:val="00D3548F"/>
    <w:rsid w:val="00D35849"/>
    <w:rsid w:val="00D359C0"/>
    <w:rsid w:val="00D35ABD"/>
    <w:rsid w:val="00D35C2E"/>
    <w:rsid w:val="00D363A3"/>
    <w:rsid w:val="00D365D5"/>
    <w:rsid w:val="00D36686"/>
    <w:rsid w:val="00D36B5F"/>
    <w:rsid w:val="00D3704C"/>
    <w:rsid w:val="00D37441"/>
    <w:rsid w:val="00D37995"/>
    <w:rsid w:val="00D37E8D"/>
    <w:rsid w:val="00D403F5"/>
    <w:rsid w:val="00D40BD3"/>
    <w:rsid w:val="00D4142B"/>
    <w:rsid w:val="00D41D2F"/>
    <w:rsid w:val="00D41E6F"/>
    <w:rsid w:val="00D42737"/>
    <w:rsid w:val="00D428C4"/>
    <w:rsid w:val="00D42BEB"/>
    <w:rsid w:val="00D42C88"/>
    <w:rsid w:val="00D4317C"/>
    <w:rsid w:val="00D43299"/>
    <w:rsid w:val="00D43873"/>
    <w:rsid w:val="00D43897"/>
    <w:rsid w:val="00D43959"/>
    <w:rsid w:val="00D43AA5"/>
    <w:rsid w:val="00D4437B"/>
    <w:rsid w:val="00D4491B"/>
    <w:rsid w:val="00D44EA5"/>
    <w:rsid w:val="00D456C8"/>
    <w:rsid w:val="00D46232"/>
    <w:rsid w:val="00D469CD"/>
    <w:rsid w:val="00D47223"/>
    <w:rsid w:val="00D47DB2"/>
    <w:rsid w:val="00D47E6F"/>
    <w:rsid w:val="00D47ED3"/>
    <w:rsid w:val="00D47F98"/>
    <w:rsid w:val="00D50E38"/>
    <w:rsid w:val="00D52241"/>
    <w:rsid w:val="00D52433"/>
    <w:rsid w:val="00D52810"/>
    <w:rsid w:val="00D52868"/>
    <w:rsid w:val="00D52AF1"/>
    <w:rsid w:val="00D52FF2"/>
    <w:rsid w:val="00D53161"/>
    <w:rsid w:val="00D539DC"/>
    <w:rsid w:val="00D54041"/>
    <w:rsid w:val="00D544A6"/>
    <w:rsid w:val="00D548BB"/>
    <w:rsid w:val="00D54B90"/>
    <w:rsid w:val="00D55117"/>
    <w:rsid w:val="00D5531C"/>
    <w:rsid w:val="00D5550D"/>
    <w:rsid w:val="00D55569"/>
    <w:rsid w:val="00D55650"/>
    <w:rsid w:val="00D57102"/>
    <w:rsid w:val="00D57C05"/>
    <w:rsid w:val="00D57D9B"/>
    <w:rsid w:val="00D57E8E"/>
    <w:rsid w:val="00D602FC"/>
    <w:rsid w:val="00D604E6"/>
    <w:rsid w:val="00D60928"/>
    <w:rsid w:val="00D60EF3"/>
    <w:rsid w:val="00D61086"/>
    <w:rsid w:val="00D61231"/>
    <w:rsid w:val="00D6150E"/>
    <w:rsid w:val="00D61A22"/>
    <w:rsid w:val="00D62848"/>
    <w:rsid w:val="00D63039"/>
    <w:rsid w:val="00D63176"/>
    <w:rsid w:val="00D642F8"/>
    <w:rsid w:val="00D643C6"/>
    <w:rsid w:val="00D648D4"/>
    <w:rsid w:val="00D64CC8"/>
    <w:rsid w:val="00D64D00"/>
    <w:rsid w:val="00D65189"/>
    <w:rsid w:val="00D651C2"/>
    <w:rsid w:val="00D65438"/>
    <w:rsid w:val="00D656D4"/>
    <w:rsid w:val="00D65759"/>
    <w:rsid w:val="00D65EBD"/>
    <w:rsid w:val="00D65FFC"/>
    <w:rsid w:val="00D66802"/>
    <w:rsid w:val="00D66C2F"/>
    <w:rsid w:val="00D66D0B"/>
    <w:rsid w:val="00D6728E"/>
    <w:rsid w:val="00D67A15"/>
    <w:rsid w:val="00D67CE4"/>
    <w:rsid w:val="00D70223"/>
    <w:rsid w:val="00D7095F"/>
    <w:rsid w:val="00D70F02"/>
    <w:rsid w:val="00D710F1"/>
    <w:rsid w:val="00D711A9"/>
    <w:rsid w:val="00D71626"/>
    <w:rsid w:val="00D716F8"/>
    <w:rsid w:val="00D71DA2"/>
    <w:rsid w:val="00D71EFE"/>
    <w:rsid w:val="00D72015"/>
    <w:rsid w:val="00D72160"/>
    <w:rsid w:val="00D72393"/>
    <w:rsid w:val="00D72429"/>
    <w:rsid w:val="00D72B1B"/>
    <w:rsid w:val="00D72C34"/>
    <w:rsid w:val="00D732F6"/>
    <w:rsid w:val="00D73780"/>
    <w:rsid w:val="00D73E87"/>
    <w:rsid w:val="00D7419D"/>
    <w:rsid w:val="00D74577"/>
    <w:rsid w:val="00D74ACA"/>
    <w:rsid w:val="00D74D49"/>
    <w:rsid w:val="00D75086"/>
    <w:rsid w:val="00D75140"/>
    <w:rsid w:val="00D7597E"/>
    <w:rsid w:val="00D759FA"/>
    <w:rsid w:val="00D7636C"/>
    <w:rsid w:val="00D76A88"/>
    <w:rsid w:val="00D7730C"/>
    <w:rsid w:val="00D774BA"/>
    <w:rsid w:val="00D775DF"/>
    <w:rsid w:val="00D7770F"/>
    <w:rsid w:val="00D779C7"/>
    <w:rsid w:val="00D77F72"/>
    <w:rsid w:val="00D8040C"/>
    <w:rsid w:val="00D809D5"/>
    <w:rsid w:val="00D80EC3"/>
    <w:rsid w:val="00D81096"/>
    <w:rsid w:val="00D816AA"/>
    <w:rsid w:val="00D81703"/>
    <w:rsid w:val="00D81A1E"/>
    <w:rsid w:val="00D81B8C"/>
    <w:rsid w:val="00D81D8C"/>
    <w:rsid w:val="00D8205C"/>
    <w:rsid w:val="00D82AD0"/>
    <w:rsid w:val="00D82F1F"/>
    <w:rsid w:val="00D83887"/>
    <w:rsid w:val="00D83D93"/>
    <w:rsid w:val="00D844D2"/>
    <w:rsid w:val="00D8522C"/>
    <w:rsid w:val="00D8531F"/>
    <w:rsid w:val="00D85371"/>
    <w:rsid w:val="00D85440"/>
    <w:rsid w:val="00D85509"/>
    <w:rsid w:val="00D859BC"/>
    <w:rsid w:val="00D8669E"/>
    <w:rsid w:val="00D86CCD"/>
    <w:rsid w:val="00D86FF6"/>
    <w:rsid w:val="00D871B3"/>
    <w:rsid w:val="00D873A8"/>
    <w:rsid w:val="00D879A2"/>
    <w:rsid w:val="00D87AAD"/>
    <w:rsid w:val="00D87AF9"/>
    <w:rsid w:val="00D87D40"/>
    <w:rsid w:val="00D9072E"/>
    <w:rsid w:val="00D90C12"/>
    <w:rsid w:val="00D90E45"/>
    <w:rsid w:val="00D91425"/>
    <w:rsid w:val="00D91633"/>
    <w:rsid w:val="00D916A8"/>
    <w:rsid w:val="00D91D1D"/>
    <w:rsid w:val="00D920C4"/>
    <w:rsid w:val="00D9278A"/>
    <w:rsid w:val="00D92CD9"/>
    <w:rsid w:val="00D9309D"/>
    <w:rsid w:val="00D933EF"/>
    <w:rsid w:val="00D9418A"/>
    <w:rsid w:val="00D9436E"/>
    <w:rsid w:val="00D944B8"/>
    <w:rsid w:val="00D947BE"/>
    <w:rsid w:val="00D94C17"/>
    <w:rsid w:val="00D950B7"/>
    <w:rsid w:val="00D95808"/>
    <w:rsid w:val="00D95BDF"/>
    <w:rsid w:val="00D960B3"/>
    <w:rsid w:val="00D96443"/>
    <w:rsid w:val="00D97B9B"/>
    <w:rsid w:val="00D97D4D"/>
    <w:rsid w:val="00D97EF3"/>
    <w:rsid w:val="00D97FA1"/>
    <w:rsid w:val="00D97FBA"/>
    <w:rsid w:val="00DA0207"/>
    <w:rsid w:val="00DA021C"/>
    <w:rsid w:val="00DA024A"/>
    <w:rsid w:val="00DA045A"/>
    <w:rsid w:val="00DA116D"/>
    <w:rsid w:val="00DA160A"/>
    <w:rsid w:val="00DA1819"/>
    <w:rsid w:val="00DA18FC"/>
    <w:rsid w:val="00DA206C"/>
    <w:rsid w:val="00DA212B"/>
    <w:rsid w:val="00DA2955"/>
    <w:rsid w:val="00DA2B1A"/>
    <w:rsid w:val="00DA2E57"/>
    <w:rsid w:val="00DA42D0"/>
    <w:rsid w:val="00DA4719"/>
    <w:rsid w:val="00DA4B07"/>
    <w:rsid w:val="00DA4DFD"/>
    <w:rsid w:val="00DA59F2"/>
    <w:rsid w:val="00DA5E17"/>
    <w:rsid w:val="00DA5EC2"/>
    <w:rsid w:val="00DA6969"/>
    <w:rsid w:val="00DA6C3F"/>
    <w:rsid w:val="00DA6D36"/>
    <w:rsid w:val="00DA710F"/>
    <w:rsid w:val="00DA7701"/>
    <w:rsid w:val="00DB02A2"/>
    <w:rsid w:val="00DB02BE"/>
    <w:rsid w:val="00DB0371"/>
    <w:rsid w:val="00DB1138"/>
    <w:rsid w:val="00DB1EB4"/>
    <w:rsid w:val="00DB2BE7"/>
    <w:rsid w:val="00DB3A79"/>
    <w:rsid w:val="00DB4408"/>
    <w:rsid w:val="00DB4598"/>
    <w:rsid w:val="00DB4676"/>
    <w:rsid w:val="00DB479F"/>
    <w:rsid w:val="00DB4BCE"/>
    <w:rsid w:val="00DB4C02"/>
    <w:rsid w:val="00DB5291"/>
    <w:rsid w:val="00DB56C5"/>
    <w:rsid w:val="00DB5F80"/>
    <w:rsid w:val="00DB6358"/>
    <w:rsid w:val="00DB704E"/>
    <w:rsid w:val="00DB721C"/>
    <w:rsid w:val="00DB7BAE"/>
    <w:rsid w:val="00DC0092"/>
    <w:rsid w:val="00DC0350"/>
    <w:rsid w:val="00DC04B8"/>
    <w:rsid w:val="00DC0661"/>
    <w:rsid w:val="00DC0DC9"/>
    <w:rsid w:val="00DC13A1"/>
    <w:rsid w:val="00DC1440"/>
    <w:rsid w:val="00DC1C77"/>
    <w:rsid w:val="00DC2378"/>
    <w:rsid w:val="00DC39B3"/>
    <w:rsid w:val="00DC44AF"/>
    <w:rsid w:val="00DC4BE9"/>
    <w:rsid w:val="00DC4DB6"/>
    <w:rsid w:val="00DC5054"/>
    <w:rsid w:val="00DC536A"/>
    <w:rsid w:val="00DC57F2"/>
    <w:rsid w:val="00DC59E6"/>
    <w:rsid w:val="00DC5DE4"/>
    <w:rsid w:val="00DC6497"/>
    <w:rsid w:val="00DC6732"/>
    <w:rsid w:val="00DC67C1"/>
    <w:rsid w:val="00DC681C"/>
    <w:rsid w:val="00DC6AF0"/>
    <w:rsid w:val="00DC6D8F"/>
    <w:rsid w:val="00DC6ED7"/>
    <w:rsid w:val="00DD093C"/>
    <w:rsid w:val="00DD095F"/>
    <w:rsid w:val="00DD2101"/>
    <w:rsid w:val="00DD2C53"/>
    <w:rsid w:val="00DD2D93"/>
    <w:rsid w:val="00DD3512"/>
    <w:rsid w:val="00DD3B9B"/>
    <w:rsid w:val="00DD3CA2"/>
    <w:rsid w:val="00DD415C"/>
    <w:rsid w:val="00DD42FF"/>
    <w:rsid w:val="00DD451A"/>
    <w:rsid w:val="00DD46B4"/>
    <w:rsid w:val="00DD61D2"/>
    <w:rsid w:val="00DD67E3"/>
    <w:rsid w:val="00DD6B17"/>
    <w:rsid w:val="00DD6C46"/>
    <w:rsid w:val="00DD6CFD"/>
    <w:rsid w:val="00DD6E04"/>
    <w:rsid w:val="00DD761A"/>
    <w:rsid w:val="00DD7E3D"/>
    <w:rsid w:val="00DD7EDE"/>
    <w:rsid w:val="00DE013E"/>
    <w:rsid w:val="00DE0848"/>
    <w:rsid w:val="00DE0F3C"/>
    <w:rsid w:val="00DE1251"/>
    <w:rsid w:val="00DE1BF2"/>
    <w:rsid w:val="00DE2072"/>
    <w:rsid w:val="00DE273D"/>
    <w:rsid w:val="00DE2B8B"/>
    <w:rsid w:val="00DE32B3"/>
    <w:rsid w:val="00DE3CA0"/>
    <w:rsid w:val="00DE40A5"/>
    <w:rsid w:val="00DE470D"/>
    <w:rsid w:val="00DE4905"/>
    <w:rsid w:val="00DE4946"/>
    <w:rsid w:val="00DE501F"/>
    <w:rsid w:val="00DE507D"/>
    <w:rsid w:val="00DE5591"/>
    <w:rsid w:val="00DE5BD6"/>
    <w:rsid w:val="00DE5F0E"/>
    <w:rsid w:val="00DE606A"/>
    <w:rsid w:val="00DE6142"/>
    <w:rsid w:val="00DE6387"/>
    <w:rsid w:val="00DE6492"/>
    <w:rsid w:val="00DE6F3E"/>
    <w:rsid w:val="00DE7290"/>
    <w:rsid w:val="00DE7549"/>
    <w:rsid w:val="00DE783A"/>
    <w:rsid w:val="00DE7953"/>
    <w:rsid w:val="00DE7B1F"/>
    <w:rsid w:val="00DF0221"/>
    <w:rsid w:val="00DF0BF6"/>
    <w:rsid w:val="00DF0DD1"/>
    <w:rsid w:val="00DF1A64"/>
    <w:rsid w:val="00DF2005"/>
    <w:rsid w:val="00DF2377"/>
    <w:rsid w:val="00DF23A1"/>
    <w:rsid w:val="00DF24C0"/>
    <w:rsid w:val="00DF2D4E"/>
    <w:rsid w:val="00DF3250"/>
    <w:rsid w:val="00DF364C"/>
    <w:rsid w:val="00DF489B"/>
    <w:rsid w:val="00DF49C7"/>
    <w:rsid w:val="00DF4A53"/>
    <w:rsid w:val="00DF4B20"/>
    <w:rsid w:val="00DF5049"/>
    <w:rsid w:val="00DF51FC"/>
    <w:rsid w:val="00DF526D"/>
    <w:rsid w:val="00DF54AF"/>
    <w:rsid w:val="00DF5627"/>
    <w:rsid w:val="00DF5A7D"/>
    <w:rsid w:val="00DF5E55"/>
    <w:rsid w:val="00DF62C1"/>
    <w:rsid w:val="00DF6D55"/>
    <w:rsid w:val="00DF75DA"/>
    <w:rsid w:val="00DF7F90"/>
    <w:rsid w:val="00E0026D"/>
    <w:rsid w:val="00E0030A"/>
    <w:rsid w:val="00E004EE"/>
    <w:rsid w:val="00E0097D"/>
    <w:rsid w:val="00E00D3D"/>
    <w:rsid w:val="00E00DB4"/>
    <w:rsid w:val="00E00E6D"/>
    <w:rsid w:val="00E021D5"/>
    <w:rsid w:val="00E0228F"/>
    <w:rsid w:val="00E02AC4"/>
    <w:rsid w:val="00E02B0D"/>
    <w:rsid w:val="00E02E76"/>
    <w:rsid w:val="00E037D7"/>
    <w:rsid w:val="00E03B70"/>
    <w:rsid w:val="00E04940"/>
    <w:rsid w:val="00E04FB0"/>
    <w:rsid w:val="00E050B5"/>
    <w:rsid w:val="00E05717"/>
    <w:rsid w:val="00E05C40"/>
    <w:rsid w:val="00E0613D"/>
    <w:rsid w:val="00E06902"/>
    <w:rsid w:val="00E06B2B"/>
    <w:rsid w:val="00E06BAC"/>
    <w:rsid w:val="00E06C16"/>
    <w:rsid w:val="00E06DDC"/>
    <w:rsid w:val="00E06EEB"/>
    <w:rsid w:val="00E072EF"/>
    <w:rsid w:val="00E072FE"/>
    <w:rsid w:val="00E074E4"/>
    <w:rsid w:val="00E0769A"/>
    <w:rsid w:val="00E07AA9"/>
    <w:rsid w:val="00E07C34"/>
    <w:rsid w:val="00E07F95"/>
    <w:rsid w:val="00E07FDB"/>
    <w:rsid w:val="00E10B45"/>
    <w:rsid w:val="00E10F4A"/>
    <w:rsid w:val="00E12F7F"/>
    <w:rsid w:val="00E13005"/>
    <w:rsid w:val="00E131E7"/>
    <w:rsid w:val="00E133CB"/>
    <w:rsid w:val="00E13886"/>
    <w:rsid w:val="00E1406F"/>
    <w:rsid w:val="00E1435A"/>
    <w:rsid w:val="00E145C1"/>
    <w:rsid w:val="00E1483B"/>
    <w:rsid w:val="00E148CB"/>
    <w:rsid w:val="00E14FDD"/>
    <w:rsid w:val="00E15329"/>
    <w:rsid w:val="00E15886"/>
    <w:rsid w:val="00E15AE7"/>
    <w:rsid w:val="00E160EF"/>
    <w:rsid w:val="00E16261"/>
    <w:rsid w:val="00E16284"/>
    <w:rsid w:val="00E16809"/>
    <w:rsid w:val="00E16960"/>
    <w:rsid w:val="00E16B42"/>
    <w:rsid w:val="00E177A9"/>
    <w:rsid w:val="00E177D8"/>
    <w:rsid w:val="00E20693"/>
    <w:rsid w:val="00E206A5"/>
    <w:rsid w:val="00E20854"/>
    <w:rsid w:val="00E2160E"/>
    <w:rsid w:val="00E2179E"/>
    <w:rsid w:val="00E220E4"/>
    <w:rsid w:val="00E22338"/>
    <w:rsid w:val="00E2257D"/>
    <w:rsid w:val="00E2273F"/>
    <w:rsid w:val="00E228BB"/>
    <w:rsid w:val="00E22A1A"/>
    <w:rsid w:val="00E22C7C"/>
    <w:rsid w:val="00E234B0"/>
    <w:rsid w:val="00E23D95"/>
    <w:rsid w:val="00E23E7B"/>
    <w:rsid w:val="00E24BC4"/>
    <w:rsid w:val="00E250CE"/>
    <w:rsid w:val="00E2547B"/>
    <w:rsid w:val="00E2629A"/>
    <w:rsid w:val="00E263CB"/>
    <w:rsid w:val="00E2661D"/>
    <w:rsid w:val="00E2688D"/>
    <w:rsid w:val="00E26FD2"/>
    <w:rsid w:val="00E271AB"/>
    <w:rsid w:val="00E27331"/>
    <w:rsid w:val="00E27F99"/>
    <w:rsid w:val="00E27FFB"/>
    <w:rsid w:val="00E305A0"/>
    <w:rsid w:val="00E30D89"/>
    <w:rsid w:val="00E310EC"/>
    <w:rsid w:val="00E31544"/>
    <w:rsid w:val="00E31583"/>
    <w:rsid w:val="00E31930"/>
    <w:rsid w:val="00E31B74"/>
    <w:rsid w:val="00E3216E"/>
    <w:rsid w:val="00E32D9D"/>
    <w:rsid w:val="00E339B6"/>
    <w:rsid w:val="00E33D16"/>
    <w:rsid w:val="00E343B5"/>
    <w:rsid w:val="00E35463"/>
    <w:rsid w:val="00E3653E"/>
    <w:rsid w:val="00E36BE1"/>
    <w:rsid w:val="00E3759A"/>
    <w:rsid w:val="00E37E80"/>
    <w:rsid w:val="00E4042E"/>
    <w:rsid w:val="00E411E6"/>
    <w:rsid w:val="00E41CA9"/>
    <w:rsid w:val="00E41FAE"/>
    <w:rsid w:val="00E41FB0"/>
    <w:rsid w:val="00E4229D"/>
    <w:rsid w:val="00E4238A"/>
    <w:rsid w:val="00E42452"/>
    <w:rsid w:val="00E425CE"/>
    <w:rsid w:val="00E42961"/>
    <w:rsid w:val="00E42DFD"/>
    <w:rsid w:val="00E436CE"/>
    <w:rsid w:val="00E43763"/>
    <w:rsid w:val="00E43D42"/>
    <w:rsid w:val="00E43E1E"/>
    <w:rsid w:val="00E43FC0"/>
    <w:rsid w:val="00E44C7E"/>
    <w:rsid w:val="00E44CA1"/>
    <w:rsid w:val="00E451B0"/>
    <w:rsid w:val="00E45373"/>
    <w:rsid w:val="00E4559F"/>
    <w:rsid w:val="00E45B8A"/>
    <w:rsid w:val="00E45C69"/>
    <w:rsid w:val="00E46E7F"/>
    <w:rsid w:val="00E4787D"/>
    <w:rsid w:val="00E478B9"/>
    <w:rsid w:val="00E47A17"/>
    <w:rsid w:val="00E47B30"/>
    <w:rsid w:val="00E50275"/>
    <w:rsid w:val="00E504E7"/>
    <w:rsid w:val="00E5067D"/>
    <w:rsid w:val="00E506F1"/>
    <w:rsid w:val="00E5078B"/>
    <w:rsid w:val="00E50860"/>
    <w:rsid w:val="00E50E9E"/>
    <w:rsid w:val="00E50F2A"/>
    <w:rsid w:val="00E51383"/>
    <w:rsid w:val="00E51448"/>
    <w:rsid w:val="00E51B55"/>
    <w:rsid w:val="00E51D5E"/>
    <w:rsid w:val="00E52ADE"/>
    <w:rsid w:val="00E52DC0"/>
    <w:rsid w:val="00E53991"/>
    <w:rsid w:val="00E54385"/>
    <w:rsid w:val="00E54593"/>
    <w:rsid w:val="00E5496F"/>
    <w:rsid w:val="00E54A42"/>
    <w:rsid w:val="00E55502"/>
    <w:rsid w:val="00E556A2"/>
    <w:rsid w:val="00E55DE9"/>
    <w:rsid w:val="00E5673C"/>
    <w:rsid w:val="00E56893"/>
    <w:rsid w:val="00E56D51"/>
    <w:rsid w:val="00E5721E"/>
    <w:rsid w:val="00E579BF"/>
    <w:rsid w:val="00E57F2F"/>
    <w:rsid w:val="00E6000A"/>
    <w:rsid w:val="00E60AB6"/>
    <w:rsid w:val="00E60CA7"/>
    <w:rsid w:val="00E60E61"/>
    <w:rsid w:val="00E611AC"/>
    <w:rsid w:val="00E615F9"/>
    <w:rsid w:val="00E6174E"/>
    <w:rsid w:val="00E61B43"/>
    <w:rsid w:val="00E61BBD"/>
    <w:rsid w:val="00E61E1F"/>
    <w:rsid w:val="00E62AE1"/>
    <w:rsid w:val="00E63A31"/>
    <w:rsid w:val="00E63EA8"/>
    <w:rsid w:val="00E6437A"/>
    <w:rsid w:val="00E643D4"/>
    <w:rsid w:val="00E643DC"/>
    <w:rsid w:val="00E64C1E"/>
    <w:rsid w:val="00E64D0F"/>
    <w:rsid w:val="00E64D76"/>
    <w:rsid w:val="00E64EF9"/>
    <w:rsid w:val="00E65787"/>
    <w:rsid w:val="00E66269"/>
    <w:rsid w:val="00E66390"/>
    <w:rsid w:val="00E66A54"/>
    <w:rsid w:val="00E66BB1"/>
    <w:rsid w:val="00E66E70"/>
    <w:rsid w:val="00E67053"/>
    <w:rsid w:val="00E670C7"/>
    <w:rsid w:val="00E67BC4"/>
    <w:rsid w:val="00E70077"/>
    <w:rsid w:val="00E70104"/>
    <w:rsid w:val="00E7087C"/>
    <w:rsid w:val="00E70B91"/>
    <w:rsid w:val="00E712F2"/>
    <w:rsid w:val="00E71C30"/>
    <w:rsid w:val="00E71E1F"/>
    <w:rsid w:val="00E72044"/>
    <w:rsid w:val="00E720EB"/>
    <w:rsid w:val="00E7237D"/>
    <w:rsid w:val="00E72614"/>
    <w:rsid w:val="00E72863"/>
    <w:rsid w:val="00E729EE"/>
    <w:rsid w:val="00E72B9F"/>
    <w:rsid w:val="00E72CB1"/>
    <w:rsid w:val="00E73081"/>
    <w:rsid w:val="00E730D2"/>
    <w:rsid w:val="00E736B3"/>
    <w:rsid w:val="00E73D0C"/>
    <w:rsid w:val="00E73F38"/>
    <w:rsid w:val="00E7430B"/>
    <w:rsid w:val="00E74B01"/>
    <w:rsid w:val="00E75225"/>
    <w:rsid w:val="00E759D6"/>
    <w:rsid w:val="00E75CAD"/>
    <w:rsid w:val="00E75CE6"/>
    <w:rsid w:val="00E75F29"/>
    <w:rsid w:val="00E75F96"/>
    <w:rsid w:val="00E761F7"/>
    <w:rsid w:val="00E76257"/>
    <w:rsid w:val="00E764AC"/>
    <w:rsid w:val="00E7695F"/>
    <w:rsid w:val="00E770C2"/>
    <w:rsid w:val="00E775AE"/>
    <w:rsid w:val="00E77913"/>
    <w:rsid w:val="00E77938"/>
    <w:rsid w:val="00E77B23"/>
    <w:rsid w:val="00E77CDD"/>
    <w:rsid w:val="00E77F64"/>
    <w:rsid w:val="00E80100"/>
    <w:rsid w:val="00E80300"/>
    <w:rsid w:val="00E80323"/>
    <w:rsid w:val="00E81048"/>
    <w:rsid w:val="00E81166"/>
    <w:rsid w:val="00E813A4"/>
    <w:rsid w:val="00E814CF"/>
    <w:rsid w:val="00E81A15"/>
    <w:rsid w:val="00E81FF7"/>
    <w:rsid w:val="00E82177"/>
    <w:rsid w:val="00E82496"/>
    <w:rsid w:val="00E82E8C"/>
    <w:rsid w:val="00E83029"/>
    <w:rsid w:val="00E837F4"/>
    <w:rsid w:val="00E83F54"/>
    <w:rsid w:val="00E84034"/>
    <w:rsid w:val="00E8478E"/>
    <w:rsid w:val="00E84A80"/>
    <w:rsid w:val="00E85347"/>
    <w:rsid w:val="00E853D0"/>
    <w:rsid w:val="00E85DD4"/>
    <w:rsid w:val="00E86468"/>
    <w:rsid w:val="00E865E2"/>
    <w:rsid w:val="00E865FB"/>
    <w:rsid w:val="00E86E18"/>
    <w:rsid w:val="00E871D0"/>
    <w:rsid w:val="00E87513"/>
    <w:rsid w:val="00E87AB6"/>
    <w:rsid w:val="00E910E8"/>
    <w:rsid w:val="00E91A08"/>
    <w:rsid w:val="00E91A0A"/>
    <w:rsid w:val="00E92253"/>
    <w:rsid w:val="00E926B0"/>
    <w:rsid w:val="00E92803"/>
    <w:rsid w:val="00E92A3E"/>
    <w:rsid w:val="00E92AA3"/>
    <w:rsid w:val="00E92AC2"/>
    <w:rsid w:val="00E930FE"/>
    <w:rsid w:val="00E935F9"/>
    <w:rsid w:val="00E93AA8"/>
    <w:rsid w:val="00E93D7D"/>
    <w:rsid w:val="00E94001"/>
    <w:rsid w:val="00E9405B"/>
    <w:rsid w:val="00E94600"/>
    <w:rsid w:val="00E94F80"/>
    <w:rsid w:val="00E95010"/>
    <w:rsid w:val="00E950FD"/>
    <w:rsid w:val="00E9672D"/>
    <w:rsid w:val="00E96810"/>
    <w:rsid w:val="00E96DC7"/>
    <w:rsid w:val="00E972F1"/>
    <w:rsid w:val="00E97B0B"/>
    <w:rsid w:val="00E97F31"/>
    <w:rsid w:val="00EA00BB"/>
    <w:rsid w:val="00EA02FF"/>
    <w:rsid w:val="00EA07A3"/>
    <w:rsid w:val="00EA0D71"/>
    <w:rsid w:val="00EA1068"/>
    <w:rsid w:val="00EA1612"/>
    <w:rsid w:val="00EA16DF"/>
    <w:rsid w:val="00EA173E"/>
    <w:rsid w:val="00EA1CAE"/>
    <w:rsid w:val="00EA2844"/>
    <w:rsid w:val="00EA2C13"/>
    <w:rsid w:val="00EA2D81"/>
    <w:rsid w:val="00EA39E3"/>
    <w:rsid w:val="00EA3A08"/>
    <w:rsid w:val="00EA3AD5"/>
    <w:rsid w:val="00EA42E0"/>
    <w:rsid w:val="00EA46E4"/>
    <w:rsid w:val="00EA4E07"/>
    <w:rsid w:val="00EA5BFA"/>
    <w:rsid w:val="00EA5E9F"/>
    <w:rsid w:val="00EA63E3"/>
    <w:rsid w:val="00EA65D2"/>
    <w:rsid w:val="00EA68E5"/>
    <w:rsid w:val="00EA69C0"/>
    <w:rsid w:val="00EA74EB"/>
    <w:rsid w:val="00EA7527"/>
    <w:rsid w:val="00EA771F"/>
    <w:rsid w:val="00EA7EF1"/>
    <w:rsid w:val="00EA7FB1"/>
    <w:rsid w:val="00EB0261"/>
    <w:rsid w:val="00EB0C0F"/>
    <w:rsid w:val="00EB0DBC"/>
    <w:rsid w:val="00EB1211"/>
    <w:rsid w:val="00EB1441"/>
    <w:rsid w:val="00EB14EC"/>
    <w:rsid w:val="00EB15C0"/>
    <w:rsid w:val="00EB2499"/>
    <w:rsid w:val="00EB2E5C"/>
    <w:rsid w:val="00EB3DA0"/>
    <w:rsid w:val="00EB41F5"/>
    <w:rsid w:val="00EB4294"/>
    <w:rsid w:val="00EB4518"/>
    <w:rsid w:val="00EB48D2"/>
    <w:rsid w:val="00EB4A64"/>
    <w:rsid w:val="00EB4E27"/>
    <w:rsid w:val="00EB50F9"/>
    <w:rsid w:val="00EB5275"/>
    <w:rsid w:val="00EB5849"/>
    <w:rsid w:val="00EB60A0"/>
    <w:rsid w:val="00EB6656"/>
    <w:rsid w:val="00EB6BE2"/>
    <w:rsid w:val="00EB6C38"/>
    <w:rsid w:val="00EB72A0"/>
    <w:rsid w:val="00EB7606"/>
    <w:rsid w:val="00EB7BEB"/>
    <w:rsid w:val="00EB7ED3"/>
    <w:rsid w:val="00EC0C5F"/>
    <w:rsid w:val="00EC110E"/>
    <w:rsid w:val="00EC146A"/>
    <w:rsid w:val="00EC1E4E"/>
    <w:rsid w:val="00EC2C0F"/>
    <w:rsid w:val="00EC2D02"/>
    <w:rsid w:val="00EC2F79"/>
    <w:rsid w:val="00EC300A"/>
    <w:rsid w:val="00EC3E1C"/>
    <w:rsid w:val="00EC41B0"/>
    <w:rsid w:val="00EC426F"/>
    <w:rsid w:val="00EC49DC"/>
    <w:rsid w:val="00EC4BB5"/>
    <w:rsid w:val="00EC4C8F"/>
    <w:rsid w:val="00EC6288"/>
    <w:rsid w:val="00EC6E61"/>
    <w:rsid w:val="00EC6EBC"/>
    <w:rsid w:val="00EC6F37"/>
    <w:rsid w:val="00EC7047"/>
    <w:rsid w:val="00EC7397"/>
    <w:rsid w:val="00EC7F6D"/>
    <w:rsid w:val="00ED0224"/>
    <w:rsid w:val="00ED039F"/>
    <w:rsid w:val="00ED079F"/>
    <w:rsid w:val="00ED13BD"/>
    <w:rsid w:val="00ED1404"/>
    <w:rsid w:val="00ED1B53"/>
    <w:rsid w:val="00ED1D2E"/>
    <w:rsid w:val="00ED21A4"/>
    <w:rsid w:val="00ED2B9F"/>
    <w:rsid w:val="00ED2F99"/>
    <w:rsid w:val="00ED3792"/>
    <w:rsid w:val="00ED37D2"/>
    <w:rsid w:val="00ED3DD3"/>
    <w:rsid w:val="00ED4701"/>
    <w:rsid w:val="00ED47DC"/>
    <w:rsid w:val="00ED4C34"/>
    <w:rsid w:val="00ED4C3B"/>
    <w:rsid w:val="00ED4FF4"/>
    <w:rsid w:val="00ED5863"/>
    <w:rsid w:val="00ED6D4D"/>
    <w:rsid w:val="00ED72F6"/>
    <w:rsid w:val="00ED7395"/>
    <w:rsid w:val="00ED73CA"/>
    <w:rsid w:val="00ED7BFD"/>
    <w:rsid w:val="00ED7FB6"/>
    <w:rsid w:val="00EE0189"/>
    <w:rsid w:val="00EE0AC0"/>
    <w:rsid w:val="00EE0EEC"/>
    <w:rsid w:val="00EE0FFB"/>
    <w:rsid w:val="00EE1D22"/>
    <w:rsid w:val="00EE1FCE"/>
    <w:rsid w:val="00EE2AE3"/>
    <w:rsid w:val="00EE2D0D"/>
    <w:rsid w:val="00EE2EA3"/>
    <w:rsid w:val="00EE3BC5"/>
    <w:rsid w:val="00EE3C98"/>
    <w:rsid w:val="00EE41F9"/>
    <w:rsid w:val="00EE45D7"/>
    <w:rsid w:val="00EE5175"/>
    <w:rsid w:val="00EE5220"/>
    <w:rsid w:val="00EE52EE"/>
    <w:rsid w:val="00EE5649"/>
    <w:rsid w:val="00EE5875"/>
    <w:rsid w:val="00EE58E7"/>
    <w:rsid w:val="00EE58EB"/>
    <w:rsid w:val="00EE5F5E"/>
    <w:rsid w:val="00EE61D0"/>
    <w:rsid w:val="00EE63C2"/>
    <w:rsid w:val="00EE6B17"/>
    <w:rsid w:val="00EE6D1A"/>
    <w:rsid w:val="00EE7714"/>
    <w:rsid w:val="00EE799B"/>
    <w:rsid w:val="00EE7C6F"/>
    <w:rsid w:val="00EE7D4C"/>
    <w:rsid w:val="00EE7E20"/>
    <w:rsid w:val="00EF1926"/>
    <w:rsid w:val="00EF1FB9"/>
    <w:rsid w:val="00EF2A81"/>
    <w:rsid w:val="00EF31C0"/>
    <w:rsid w:val="00EF3496"/>
    <w:rsid w:val="00EF3736"/>
    <w:rsid w:val="00EF3846"/>
    <w:rsid w:val="00EF4241"/>
    <w:rsid w:val="00EF48FB"/>
    <w:rsid w:val="00EF491B"/>
    <w:rsid w:val="00EF4D53"/>
    <w:rsid w:val="00EF5765"/>
    <w:rsid w:val="00EF6152"/>
    <w:rsid w:val="00EF6B35"/>
    <w:rsid w:val="00EF6E32"/>
    <w:rsid w:val="00EF7113"/>
    <w:rsid w:val="00EF7DD7"/>
    <w:rsid w:val="00F001A9"/>
    <w:rsid w:val="00F0057C"/>
    <w:rsid w:val="00F0059E"/>
    <w:rsid w:val="00F009D0"/>
    <w:rsid w:val="00F00C99"/>
    <w:rsid w:val="00F00EE6"/>
    <w:rsid w:val="00F0160B"/>
    <w:rsid w:val="00F01762"/>
    <w:rsid w:val="00F0281A"/>
    <w:rsid w:val="00F02B8A"/>
    <w:rsid w:val="00F03775"/>
    <w:rsid w:val="00F03F77"/>
    <w:rsid w:val="00F0554B"/>
    <w:rsid w:val="00F055BC"/>
    <w:rsid w:val="00F056A2"/>
    <w:rsid w:val="00F056E2"/>
    <w:rsid w:val="00F05EDC"/>
    <w:rsid w:val="00F067C6"/>
    <w:rsid w:val="00F067CE"/>
    <w:rsid w:val="00F068A2"/>
    <w:rsid w:val="00F069CD"/>
    <w:rsid w:val="00F07AC3"/>
    <w:rsid w:val="00F10C12"/>
    <w:rsid w:val="00F10DFD"/>
    <w:rsid w:val="00F10E6B"/>
    <w:rsid w:val="00F116B2"/>
    <w:rsid w:val="00F116CB"/>
    <w:rsid w:val="00F12254"/>
    <w:rsid w:val="00F124D1"/>
    <w:rsid w:val="00F124D5"/>
    <w:rsid w:val="00F126A8"/>
    <w:rsid w:val="00F12AC5"/>
    <w:rsid w:val="00F12DEB"/>
    <w:rsid w:val="00F13336"/>
    <w:rsid w:val="00F1346E"/>
    <w:rsid w:val="00F134C8"/>
    <w:rsid w:val="00F13589"/>
    <w:rsid w:val="00F1384C"/>
    <w:rsid w:val="00F13BE1"/>
    <w:rsid w:val="00F13E89"/>
    <w:rsid w:val="00F13EEE"/>
    <w:rsid w:val="00F14049"/>
    <w:rsid w:val="00F1428D"/>
    <w:rsid w:val="00F144A5"/>
    <w:rsid w:val="00F14BB3"/>
    <w:rsid w:val="00F153EF"/>
    <w:rsid w:val="00F15A07"/>
    <w:rsid w:val="00F15AED"/>
    <w:rsid w:val="00F15B0B"/>
    <w:rsid w:val="00F15D28"/>
    <w:rsid w:val="00F15D2F"/>
    <w:rsid w:val="00F16710"/>
    <w:rsid w:val="00F1688C"/>
    <w:rsid w:val="00F16B2D"/>
    <w:rsid w:val="00F17415"/>
    <w:rsid w:val="00F176C1"/>
    <w:rsid w:val="00F179F3"/>
    <w:rsid w:val="00F17BB4"/>
    <w:rsid w:val="00F17BD4"/>
    <w:rsid w:val="00F17CF2"/>
    <w:rsid w:val="00F2122B"/>
    <w:rsid w:val="00F21C96"/>
    <w:rsid w:val="00F21DF7"/>
    <w:rsid w:val="00F22748"/>
    <w:rsid w:val="00F228A9"/>
    <w:rsid w:val="00F22D40"/>
    <w:rsid w:val="00F23888"/>
    <w:rsid w:val="00F2389B"/>
    <w:rsid w:val="00F24028"/>
    <w:rsid w:val="00F243BB"/>
    <w:rsid w:val="00F243FC"/>
    <w:rsid w:val="00F248F1"/>
    <w:rsid w:val="00F24A6C"/>
    <w:rsid w:val="00F250AA"/>
    <w:rsid w:val="00F2525A"/>
    <w:rsid w:val="00F25422"/>
    <w:rsid w:val="00F2565B"/>
    <w:rsid w:val="00F25725"/>
    <w:rsid w:val="00F26943"/>
    <w:rsid w:val="00F26DE4"/>
    <w:rsid w:val="00F26F0B"/>
    <w:rsid w:val="00F27021"/>
    <w:rsid w:val="00F27327"/>
    <w:rsid w:val="00F2732E"/>
    <w:rsid w:val="00F27490"/>
    <w:rsid w:val="00F27E29"/>
    <w:rsid w:val="00F27F72"/>
    <w:rsid w:val="00F27FCF"/>
    <w:rsid w:val="00F304C5"/>
    <w:rsid w:val="00F304D2"/>
    <w:rsid w:val="00F305BE"/>
    <w:rsid w:val="00F30644"/>
    <w:rsid w:val="00F30FEA"/>
    <w:rsid w:val="00F31798"/>
    <w:rsid w:val="00F318B8"/>
    <w:rsid w:val="00F31BA4"/>
    <w:rsid w:val="00F31C1A"/>
    <w:rsid w:val="00F31EE0"/>
    <w:rsid w:val="00F32663"/>
    <w:rsid w:val="00F3288A"/>
    <w:rsid w:val="00F329B9"/>
    <w:rsid w:val="00F32ACC"/>
    <w:rsid w:val="00F331D4"/>
    <w:rsid w:val="00F33439"/>
    <w:rsid w:val="00F33E7C"/>
    <w:rsid w:val="00F34200"/>
    <w:rsid w:val="00F34331"/>
    <w:rsid w:val="00F34BCF"/>
    <w:rsid w:val="00F34BF4"/>
    <w:rsid w:val="00F34E31"/>
    <w:rsid w:val="00F357FA"/>
    <w:rsid w:val="00F35807"/>
    <w:rsid w:val="00F358A6"/>
    <w:rsid w:val="00F35EA5"/>
    <w:rsid w:val="00F35FB3"/>
    <w:rsid w:val="00F35FF9"/>
    <w:rsid w:val="00F36AA1"/>
    <w:rsid w:val="00F37305"/>
    <w:rsid w:val="00F37798"/>
    <w:rsid w:val="00F37A55"/>
    <w:rsid w:val="00F37CE9"/>
    <w:rsid w:val="00F37FB6"/>
    <w:rsid w:val="00F40304"/>
    <w:rsid w:val="00F4032C"/>
    <w:rsid w:val="00F407B5"/>
    <w:rsid w:val="00F40BBD"/>
    <w:rsid w:val="00F4134C"/>
    <w:rsid w:val="00F41DD3"/>
    <w:rsid w:val="00F425BD"/>
    <w:rsid w:val="00F42E90"/>
    <w:rsid w:val="00F440CC"/>
    <w:rsid w:val="00F444EE"/>
    <w:rsid w:val="00F44BDA"/>
    <w:rsid w:val="00F45657"/>
    <w:rsid w:val="00F4580B"/>
    <w:rsid w:val="00F45B44"/>
    <w:rsid w:val="00F45BA6"/>
    <w:rsid w:val="00F4603C"/>
    <w:rsid w:val="00F4611F"/>
    <w:rsid w:val="00F46820"/>
    <w:rsid w:val="00F4697E"/>
    <w:rsid w:val="00F47436"/>
    <w:rsid w:val="00F479C2"/>
    <w:rsid w:val="00F47CE9"/>
    <w:rsid w:val="00F47D9C"/>
    <w:rsid w:val="00F47E59"/>
    <w:rsid w:val="00F47E84"/>
    <w:rsid w:val="00F47F08"/>
    <w:rsid w:val="00F50E46"/>
    <w:rsid w:val="00F515BF"/>
    <w:rsid w:val="00F51D6D"/>
    <w:rsid w:val="00F5296C"/>
    <w:rsid w:val="00F52BEA"/>
    <w:rsid w:val="00F536DA"/>
    <w:rsid w:val="00F53A30"/>
    <w:rsid w:val="00F54EDE"/>
    <w:rsid w:val="00F551C4"/>
    <w:rsid w:val="00F5557B"/>
    <w:rsid w:val="00F55746"/>
    <w:rsid w:val="00F559C1"/>
    <w:rsid w:val="00F55D37"/>
    <w:rsid w:val="00F55F02"/>
    <w:rsid w:val="00F565B2"/>
    <w:rsid w:val="00F57032"/>
    <w:rsid w:val="00F57132"/>
    <w:rsid w:val="00F576C4"/>
    <w:rsid w:val="00F57DB1"/>
    <w:rsid w:val="00F60171"/>
    <w:rsid w:val="00F603A5"/>
    <w:rsid w:val="00F60818"/>
    <w:rsid w:val="00F61067"/>
    <w:rsid w:val="00F610C7"/>
    <w:rsid w:val="00F61167"/>
    <w:rsid w:val="00F61A5E"/>
    <w:rsid w:val="00F61EFD"/>
    <w:rsid w:val="00F629FF"/>
    <w:rsid w:val="00F62C52"/>
    <w:rsid w:val="00F63040"/>
    <w:rsid w:val="00F635A7"/>
    <w:rsid w:val="00F635E0"/>
    <w:rsid w:val="00F639A3"/>
    <w:rsid w:val="00F63A82"/>
    <w:rsid w:val="00F63B6E"/>
    <w:rsid w:val="00F63F98"/>
    <w:rsid w:val="00F63FAD"/>
    <w:rsid w:val="00F6404C"/>
    <w:rsid w:val="00F640F4"/>
    <w:rsid w:val="00F64885"/>
    <w:rsid w:val="00F64AF8"/>
    <w:rsid w:val="00F64E27"/>
    <w:rsid w:val="00F64EC7"/>
    <w:rsid w:val="00F657D9"/>
    <w:rsid w:val="00F65953"/>
    <w:rsid w:val="00F65A77"/>
    <w:rsid w:val="00F65E03"/>
    <w:rsid w:val="00F665E3"/>
    <w:rsid w:val="00F66822"/>
    <w:rsid w:val="00F668F9"/>
    <w:rsid w:val="00F6696C"/>
    <w:rsid w:val="00F66A0D"/>
    <w:rsid w:val="00F66C4D"/>
    <w:rsid w:val="00F66D9D"/>
    <w:rsid w:val="00F6715A"/>
    <w:rsid w:val="00F674E5"/>
    <w:rsid w:val="00F67675"/>
    <w:rsid w:val="00F678D4"/>
    <w:rsid w:val="00F67939"/>
    <w:rsid w:val="00F7185A"/>
    <w:rsid w:val="00F71D69"/>
    <w:rsid w:val="00F71F80"/>
    <w:rsid w:val="00F7247F"/>
    <w:rsid w:val="00F72828"/>
    <w:rsid w:val="00F7307F"/>
    <w:rsid w:val="00F73755"/>
    <w:rsid w:val="00F7399E"/>
    <w:rsid w:val="00F74048"/>
    <w:rsid w:val="00F74157"/>
    <w:rsid w:val="00F748C3"/>
    <w:rsid w:val="00F74E60"/>
    <w:rsid w:val="00F74EAB"/>
    <w:rsid w:val="00F7518F"/>
    <w:rsid w:val="00F7589E"/>
    <w:rsid w:val="00F75B49"/>
    <w:rsid w:val="00F75EFC"/>
    <w:rsid w:val="00F75F40"/>
    <w:rsid w:val="00F75FD2"/>
    <w:rsid w:val="00F762F8"/>
    <w:rsid w:val="00F76AB6"/>
    <w:rsid w:val="00F76B2F"/>
    <w:rsid w:val="00F76CDB"/>
    <w:rsid w:val="00F77397"/>
    <w:rsid w:val="00F77885"/>
    <w:rsid w:val="00F77A6A"/>
    <w:rsid w:val="00F77E78"/>
    <w:rsid w:val="00F77EEF"/>
    <w:rsid w:val="00F8007C"/>
    <w:rsid w:val="00F801F8"/>
    <w:rsid w:val="00F80364"/>
    <w:rsid w:val="00F8093B"/>
    <w:rsid w:val="00F80D87"/>
    <w:rsid w:val="00F80DC5"/>
    <w:rsid w:val="00F8106C"/>
    <w:rsid w:val="00F8173B"/>
    <w:rsid w:val="00F81A75"/>
    <w:rsid w:val="00F81DD3"/>
    <w:rsid w:val="00F820F7"/>
    <w:rsid w:val="00F824BB"/>
    <w:rsid w:val="00F830B9"/>
    <w:rsid w:val="00F8387B"/>
    <w:rsid w:val="00F84CDA"/>
    <w:rsid w:val="00F856F9"/>
    <w:rsid w:val="00F858A6"/>
    <w:rsid w:val="00F86296"/>
    <w:rsid w:val="00F862B2"/>
    <w:rsid w:val="00F86B18"/>
    <w:rsid w:val="00F86B83"/>
    <w:rsid w:val="00F8720A"/>
    <w:rsid w:val="00F9032D"/>
    <w:rsid w:val="00F90498"/>
    <w:rsid w:val="00F90550"/>
    <w:rsid w:val="00F90FD9"/>
    <w:rsid w:val="00F910E0"/>
    <w:rsid w:val="00F9181C"/>
    <w:rsid w:val="00F9244B"/>
    <w:rsid w:val="00F924C6"/>
    <w:rsid w:val="00F925A5"/>
    <w:rsid w:val="00F929CB"/>
    <w:rsid w:val="00F92D56"/>
    <w:rsid w:val="00F92D5A"/>
    <w:rsid w:val="00F92E02"/>
    <w:rsid w:val="00F9333B"/>
    <w:rsid w:val="00F93630"/>
    <w:rsid w:val="00F93C41"/>
    <w:rsid w:val="00F93C7A"/>
    <w:rsid w:val="00F93DE7"/>
    <w:rsid w:val="00F9407D"/>
    <w:rsid w:val="00F94081"/>
    <w:rsid w:val="00F949D3"/>
    <w:rsid w:val="00F94A6C"/>
    <w:rsid w:val="00F94CFB"/>
    <w:rsid w:val="00F94F18"/>
    <w:rsid w:val="00F95E87"/>
    <w:rsid w:val="00F95F34"/>
    <w:rsid w:val="00F967E4"/>
    <w:rsid w:val="00F96855"/>
    <w:rsid w:val="00F96AF1"/>
    <w:rsid w:val="00F96F86"/>
    <w:rsid w:val="00F9745A"/>
    <w:rsid w:val="00F975B1"/>
    <w:rsid w:val="00F97770"/>
    <w:rsid w:val="00F97B45"/>
    <w:rsid w:val="00FA03FB"/>
    <w:rsid w:val="00FA050D"/>
    <w:rsid w:val="00FA050F"/>
    <w:rsid w:val="00FA08A7"/>
    <w:rsid w:val="00FA10C8"/>
    <w:rsid w:val="00FA16C6"/>
    <w:rsid w:val="00FA1765"/>
    <w:rsid w:val="00FA1DE5"/>
    <w:rsid w:val="00FA205D"/>
    <w:rsid w:val="00FA2448"/>
    <w:rsid w:val="00FA28FB"/>
    <w:rsid w:val="00FA2C07"/>
    <w:rsid w:val="00FA2CD1"/>
    <w:rsid w:val="00FA38E8"/>
    <w:rsid w:val="00FA3955"/>
    <w:rsid w:val="00FA3E69"/>
    <w:rsid w:val="00FA3EA7"/>
    <w:rsid w:val="00FA56E5"/>
    <w:rsid w:val="00FA5850"/>
    <w:rsid w:val="00FA588F"/>
    <w:rsid w:val="00FA6096"/>
    <w:rsid w:val="00FA6286"/>
    <w:rsid w:val="00FA6452"/>
    <w:rsid w:val="00FA66C6"/>
    <w:rsid w:val="00FA6AEA"/>
    <w:rsid w:val="00FA6C2A"/>
    <w:rsid w:val="00FA6CA1"/>
    <w:rsid w:val="00FA6DD7"/>
    <w:rsid w:val="00FA7049"/>
    <w:rsid w:val="00FA74AF"/>
    <w:rsid w:val="00FA7CDB"/>
    <w:rsid w:val="00FB1747"/>
    <w:rsid w:val="00FB1AE5"/>
    <w:rsid w:val="00FB2C02"/>
    <w:rsid w:val="00FB3057"/>
    <w:rsid w:val="00FB35E5"/>
    <w:rsid w:val="00FB3D05"/>
    <w:rsid w:val="00FB4125"/>
    <w:rsid w:val="00FB4382"/>
    <w:rsid w:val="00FB44D4"/>
    <w:rsid w:val="00FB476E"/>
    <w:rsid w:val="00FB4AA7"/>
    <w:rsid w:val="00FB4CDA"/>
    <w:rsid w:val="00FB547C"/>
    <w:rsid w:val="00FB5678"/>
    <w:rsid w:val="00FB59D3"/>
    <w:rsid w:val="00FB5B2A"/>
    <w:rsid w:val="00FB5DC6"/>
    <w:rsid w:val="00FB61C2"/>
    <w:rsid w:val="00FB6951"/>
    <w:rsid w:val="00FB6D22"/>
    <w:rsid w:val="00FB7498"/>
    <w:rsid w:val="00FB74F7"/>
    <w:rsid w:val="00FB7501"/>
    <w:rsid w:val="00FB771A"/>
    <w:rsid w:val="00FB7959"/>
    <w:rsid w:val="00FB7A9B"/>
    <w:rsid w:val="00FB7CAE"/>
    <w:rsid w:val="00FB7FBD"/>
    <w:rsid w:val="00FC009C"/>
    <w:rsid w:val="00FC0199"/>
    <w:rsid w:val="00FC077A"/>
    <w:rsid w:val="00FC0AD3"/>
    <w:rsid w:val="00FC0DE6"/>
    <w:rsid w:val="00FC1CDE"/>
    <w:rsid w:val="00FC1E29"/>
    <w:rsid w:val="00FC2BA7"/>
    <w:rsid w:val="00FC3043"/>
    <w:rsid w:val="00FC35C2"/>
    <w:rsid w:val="00FC382E"/>
    <w:rsid w:val="00FC3E26"/>
    <w:rsid w:val="00FC4167"/>
    <w:rsid w:val="00FC4299"/>
    <w:rsid w:val="00FC52D3"/>
    <w:rsid w:val="00FC53C1"/>
    <w:rsid w:val="00FC5AD8"/>
    <w:rsid w:val="00FC5C33"/>
    <w:rsid w:val="00FC5F34"/>
    <w:rsid w:val="00FC6104"/>
    <w:rsid w:val="00FC7A62"/>
    <w:rsid w:val="00FC7CD8"/>
    <w:rsid w:val="00FC7DBA"/>
    <w:rsid w:val="00FD0C20"/>
    <w:rsid w:val="00FD0F66"/>
    <w:rsid w:val="00FD1799"/>
    <w:rsid w:val="00FD1C45"/>
    <w:rsid w:val="00FD1F5B"/>
    <w:rsid w:val="00FD23C0"/>
    <w:rsid w:val="00FD23FC"/>
    <w:rsid w:val="00FD254C"/>
    <w:rsid w:val="00FD3444"/>
    <w:rsid w:val="00FD3525"/>
    <w:rsid w:val="00FD3CDF"/>
    <w:rsid w:val="00FD3D23"/>
    <w:rsid w:val="00FD4160"/>
    <w:rsid w:val="00FD41E2"/>
    <w:rsid w:val="00FD4363"/>
    <w:rsid w:val="00FD5336"/>
    <w:rsid w:val="00FD57F7"/>
    <w:rsid w:val="00FD5A11"/>
    <w:rsid w:val="00FD6117"/>
    <w:rsid w:val="00FD61B6"/>
    <w:rsid w:val="00FD7708"/>
    <w:rsid w:val="00FD77C1"/>
    <w:rsid w:val="00FD788E"/>
    <w:rsid w:val="00FE0307"/>
    <w:rsid w:val="00FE03FD"/>
    <w:rsid w:val="00FE0502"/>
    <w:rsid w:val="00FE0C74"/>
    <w:rsid w:val="00FE1CC2"/>
    <w:rsid w:val="00FE1FE0"/>
    <w:rsid w:val="00FE2418"/>
    <w:rsid w:val="00FE3227"/>
    <w:rsid w:val="00FE3389"/>
    <w:rsid w:val="00FE3422"/>
    <w:rsid w:val="00FE359F"/>
    <w:rsid w:val="00FE3864"/>
    <w:rsid w:val="00FE3A96"/>
    <w:rsid w:val="00FE3AB0"/>
    <w:rsid w:val="00FE3CE9"/>
    <w:rsid w:val="00FE3DF6"/>
    <w:rsid w:val="00FE408B"/>
    <w:rsid w:val="00FE40A2"/>
    <w:rsid w:val="00FE53F4"/>
    <w:rsid w:val="00FE543A"/>
    <w:rsid w:val="00FE5499"/>
    <w:rsid w:val="00FE58C8"/>
    <w:rsid w:val="00FE63A8"/>
    <w:rsid w:val="00FE63DD"/>
    <w:rsid w:val="00FE69A8"/>
    <w:rsid w:val="00FE6AA8"/>
    <w:rsid w:val="00FE6EDE"/>
    <w:rsid w:val="00FE74E8"/>
    <w:rsid w:val="00FE7A5F"/>
    <w:rsid w:val="00FF01F5"/>
    <w:rsid w:val="00FF0709"/>
    <w:rsid w:val="00FF0C70"/>
    <w:rsid w:val="00FF0D5B"/>
    <w:rsid w:val="00FF0EF1"/>
    <w:rsid w:val="00FF11A9"/>
    <w:rsid w:val="00FF15E4"/>
    <w:rsid w:val="00FF1CAD"/>
    <w:rsid w:val="00FF1E01"/>
    <w:rsid w:val="00FF1F9B"/>
    <w:rsid w:val="00FF25E8"/>
    <w:rsid w:val="00FF26FD"/>
    <w:rsid w:val="00FF3188"/>
    <w:rsid w:val="00FF335E"/>
    <w:rsid w:val="00FF33F9"/>
    <w:rsid w:val="00FF3564"/>
    <w:rsid w:val="00FF390C"/>
    <w:rsid w:val="00FF3E0D"/>
    <w:rsid w:val="00FF4084"/>
    <w:rsid w:val="00FF4465"/>
    <w:rsid w:val="00FF45D3"/>
    <w:rsid w:val="00FF4688"/>
    <w:rsid w:val="00FF4A91"/>
    <w:rsid w:val="00FF4C86"/>
    <w:rsid w:val="00FF542B"/>
    <w:rsid w:val="00FF54B4"/>
    <w:rsid w:val="00FF5D23"/>
    <w:rsid w:val="00FF5F91"/>
    <w:rsid w:val="00FF62B3"/>
    <w:rsid w:val="00FF63E1"/>
    <w:rsid w:val="00FF64B8"/>
    <w:rsid w:val="00FF6A27"/>
    <w:rsid w:val="00FF7039"/>
    <w:rsid w:val="00FF7D82"/>
    <w:rsid w:val="01002627"/>
    <w:rsid w:val="01110F30"/>
    <w:rsid w:val="0114215B"/>
    <w:rsid w:val="01152768"/>
    <w:rsid w:val="013879A7"/>
    <w:rsid w:val="016B21AD"/>
    <w:rsid w:val="017625A5"/>
    <w:rsid w:val="019B5C11"/>
    <w:rsid w:val="019F430C"/>
    <w:rsid w:val="01AD522A"/>
    <w:rsid w:val="01DF752E"/>
    <w:rsid w:val="01E96FA2"/>
    <w:rsid w:val="01F07A53"/>
    <w:rsid w:val="020D3C86"/>
    <w:rsid w:val="022A3B0D"/>
    <w:rsid w:val="024151F4"/>
    <w:rsid w:val="02474423"/>
    <w:rsid w:val="025713C2"/>
    <w:rsid w:val="02600FEC"/>
    <w:rsid w:val="0265798F"/>
    <w:rsid w:val="0275520D"/>
    <w:rsid w:val="028A61AB"/>
    <w:rsid w:val="02A429BD"/>
    <w:rsid w:val="02B7480C"/>
    <w:rsid w:val="02BF517C"/>
    <w:rsid w:val="02E215EF"/>
    <w:rsid w:val="03005E2F"/>
    <w:rsid w:val="03291A01"/>
    <w:rsid w:val="032F79D5"/>
    <w:rsid w:val="0363127E"/>
    <w:rsid w:val="0366535B"/>
    <w:rsid w:val="03927877"/>
    <w:rsid w:val="03936424"/>
    <w:rsid w:val="039F1373"/>
    <w:rsid w:val="03C2481F"/>
    <w:rsid w:val="03DC7417"/>
    <w:rsid w:val="03DD4665"/>
    <w:rsid w:val="03E90092"/>
    <w:rsid w:val="04243022"/>
    <w:rsid w:val="04442E01"/>
    <w:rsid w:val="04531FA4"/>
    <w:rsid w:val="049279E2"/>
    <w:rsid w:val="04B8699B"/>
    <w:rsid w:val="04D926B4"/>
    <w:rsid w:val="04EB21C8"/>
    <w:rsid w:val="053A3E21"/>
    <w:rsid w:val="059F66D1"/>
    <w:rsid w:val="05A351AD"/>
    <w:rsid w:val="05BB5D56"/>
    <w:rsid w:val="05DB5321"/>
    <w:rsid w:val="06086C47"/>
    <w:rsid w:val="061A254E"/>
    <w:rsid w:val="061B1735"/>
    <w:rsid w:val="063E0A3B"/>
    <w:rsid w:val="0640799F"/>
    <w:rsid w:val="06622FA2"/>
    <w:rsid w:val="066A6593"/>
    <w:rsid w:val="066F43C7"/>
    <w:rsid w:val="067718CA"/>
    <w:rsid w:val="067B30ED"/>
    <w:rsid w:val="067E7068"/>
    <w:rsid w:val="068E09A1"/>
    <w:rsid w:val="0694658C"/>
    <w:rsid w:val="06950AC6"/>
    <w:rsid w:val="069F5E65"/>
    <w:rsid w:val="06B54B94"/>
    <w:rsid w:val="06E61031"/>
    <w:rsid w:val="07140EA4"/>
    <w:rsid w:val="07150154"/>
    <w:rsid w:val="07297923"/>
    <w:rsid w:val="072F7231"/>
    <w:rsid w:val="07340CEC"/>
    <w:rsid w:val="073B3122"/>
    <w:rsid w:val="073B42A0"/>
    <w:rsid w:val="075F117F"/>
    <w:rsid w:val="07604AC9"/>
    <w:rsid w:val="077E3072"/>
    <w:rsid w:val="079D4492"/>
    <w:rsid w:val="07AF0E80"/>
    <w:rsid w:val="07B05A56"/>
    <w:rsid w:val="07ED4F48"/>
    <w:rsid w:val="07F009FC"/>
    <w:rsid w:val="080C09FE"/>
    <w:rsid w:val="0813007D"/>
    <w:rsid w:val="08137A68"/>
    <w:rsid w:val="081F275B"/>
    <w:rsid w:val="08390B56"/>
    <w:rsid w:val="083F4915"/>
    <w:rsid w:val="084A54D9"/>
    <w:rsid w:val="085F71BF"/>
    <w:rsid w:val="08756905"/>
    <w:rsid w:val="08802525"/>
    <w:rsid w:val="088806C1"/>
    <w:rsid w:val="089A557F"/>
    <w:rsid w:val="08AF1509"/>
    <w:rsid w:val="08D247D4"/>
    <w:rsid w:val="08D77354"/>
    <w:rsid w:val="08D93394"/>
    <w:rsid w:val="08DD4532"/>
    <w:rsid w:val="08E82D7A"/>
    <w:rsid w:val="08EA47FD"/>
    <w:rsid w:val="08FB6BE6"/>
    <w:rsid w:val="091A03CF"/>
    <w:rsid w:val="094407CA"/>
    <w:rsid w:val="09542B43"/>
    <w:rsid w:val="097B71D6"/>
    <w:rsid w:val="098542A9"/>
    <w:rsid w:val="09A15A31"/>
    <w:rsid w:val="09A804FC"/>
    <w:rsid w:val="09A84247"/>
    <w:rsid w:val="09AA4ED8"/>
    <w:rsid w:val="09C422E1"/>
    <w:rsid w:val="09C61A63"/>
    <w:rsid w:val="09C93501"/>
    <w:rsid w:val="09D16101"/>
    <w:rsid w:val="09D25044"/>
    <w:rsid w:val="09E8221E"/>
    <w:rsid w:val="0A01319A"/>
    <w:rsid w:val="0A155381"/>
    <w:rsid w:val="0A2028DA"/>
    <w:rsid w:val="0A287579"/>
    <w:rsid w:val="0A34264D"/>
    <w:rsid w:val="0A38448B"/>
    <w:rsid w:val="0A4471AB"/>
    <w:rsid w:val="0A577638"/>
    <w:rsid w:val="0A790EA8"/>
    <w:rsid w:val="0A7F71E0"/>
    <w:rsid w:val="0A9A28F3"/>
    <w:rsid w:val="0AD502F6"/>
    <w:rsid w:val="0ADF3BAE"/>
    <w:rsid w:val="0AE13C52"/>
    <w:rsid w:val="0AF138C8"/>
    <w:rsid w:val="0AF96B73"/>
    <w:rsid w:val="0B046C93"/>
    <w:rsid w:val="0B0A5905"/>
    <w:rsid w:val="0B2C7611"/>
    <w:rsid w:val="0B2D1AFF"/>
    <w:rsid w:val="0B322ECB"/>
    <w:rsid w:val="0B3841E6"/>
    <w:rsid w:val="0B5171D0"/>
    <w:rsid w:val="0B5E098D"/>
    <w:rsid w:val="0B656671"/>
    <w:rsid w:val="0BD97F69"/>
    <w:rsid w:val="0C1B2FD7"/>
    <w:rsid w:val="0C3A72BF"/>
    <w:rsid w:val="0C4C003B"/>
    <w:rsid w:val="0C6E6214"/>
    <w:rsid w:val="0CC112F0"/>
    <w:rsid w:val="0CCA3020"/>
    <w:rsid w:val="0CF039ED"/>
    <w:rsid w:val="0CF154A6"/>
    <w:rsid w:val="0D292F51"/>
    <w:rsid w:val="0D3B691F"/>
    <w:rsid w:val="0D401E46"/>
    <w:rsid w:val="0D4636BA"/>
    <w:rsid w:val="0D5312AB"/>
    <w:rsid w:val="0D637A0D"/>
    <w:rsid w:val="0D6700E3"/>
    <w:rsid w:val="0D7A5791"/>
    <w:rsid w:val="0D8156C8"/>
    <w:rsid w:val="0D8E0814"/>
    <w:rsid w:val="0DA606A6"/>
    <w:rsid w:val="0DC202F0"/>
    <w:rsid w:val="0DC511D4"/>
    <w:rsid w:val="0DD21E04"/>
    <w:rsid w:val="0DD7095D"/>
    <w:rsid w:val="0DE062FC"/>
    <w:rsid w:val="0DFE6F9F"/>
    <w:rsid w:val="0E031C94"/>
    <w:rsid w:val="0E0E49E4"/>
    <w:rsid w:val="0E236723"/>
    <w:rsid w:val="0E476A31"/>
    <w:rsid w:val="0E4A266A"/>
    <w:rsid w:val="0E5425AB"/>
    <w:rsid w:val="0EAC1B21"/>
    <w:rsid w:val="0EC85E3B"/>
    <w:rsid w:val="0EDA409A"/>
    <w:rsid w:val="0EDB4A2B"/>
    <w:rsid w:val="0EDD3020"/>
    <w:rsid w:val="0EF513CC"/>
    <w:rsid w:val="0EFE4B62"/>
    <w:rsid w:val="0F0700ED"/>
    <w:rsid w:val="0F1517AD"/>
    <w:rsid w:val="0F161014"/>
    <w:rsid w:val="0F2F6DD0"/>
    <w:rsid w:val="0F4F43AA"/>
    <w:rsid w:val="0F8D6973"/>
    <w:rsid w:val="0F956303"/>
    <w:rsid w:val="0F9F64CA"/>
    <w:rsid w:val="0FA43869"/>
    <w:rsid w:val="0FAA0C9A"/>
    <w:rsid w:val="0FAB6806"/>
    <w:rsid w:val="0FB80B84"/>
    <w:rsid w:val="0FD06FEF"/>
    <w:rsid w:val="0FDC03BC"/>
    <w:rsid w:val="10013802"/>
    <w:rsid w:val="10116FC8"/>
    <w:rsid w:val="101317B2"/>
    <w:rsid w:val="101806FC"/>
    <w:rsid w:val="101F206C"/>
    <w:rsid w:val="10456B86"/>
    <w:rsid w:val="104A273C"/>
    <w:rsid w:val="105C7D9F"/>
    <w:rsid w:val="106969A3"/>
    <w:rsid w:val="10C61420"/>
    <w:rsid w:val="10D0762B"/>
    <w:rsid w:val="10E219F0"/>
    <w:rsid w:val="10F21F59"/>
    <w:rsid w:val="110513E7"/>
    <w:rsid w:val="11090E25"/>
    <w:rsid w:val="11091A80"/>
    <w:rsid w:val="111B5509"/>
    <w:rsid w:val="112A25B7"/>
    <w:rsid w:val="11374139"/>
    <w:rsid w:val="117C06AA"/>
    <w:rsid w:val="11814AB3"/>
    <w:rsid w:val="1182348D"/>
    <w:rsid w:val="11982C95"/>
    <w:rsid w:val="11BA6B0F"/>
    <w:rsid w:val="11BD3153"/>
    <w:rsid w:val="11BF64DA"/>
    <w:rsid w:val="11C6025A"/>
    <w:rsid w:val="11D2186F"/>
    <w:rsid w:val="11D4277A"/>
    <w:rsid w:val="11DC5E3D"/>
    <w:rsid w:val="11EA1632"/>
    <w:rsid w:val="1217338B"/>
    <w:rsid w:val="121B196E"/>
    <w:rsid w:val="124C241F"/>
    <w:rsid w:val="1255198C"/>
    <w:rsid w:val="126705D3"/>
    <w:rsid w:val="12A31E29"/>
    <w:rsid w:val="12AB2119"/>
    <w:rsid w:val="12AD26EB"/>
    <w:rsid w:val="12CF313E"/>
    <w:rsid w:val="12D41BB3"/>
    <w:rsid w:val="12E05F7A"/>
    <w:rsid w:val="12EF7D17"/>
    <w:rsid w:val="12FB23A1"/>
    <w:rsid w:val="131B7C67"/>
    <w:rsid w:val="13244BA6"/>
    <w:rsid w:val="132D5589"/>
    <w:rsid w:val="134830FA"/>
    <w:rsid w:val="13503F69"/>
    <w:rsid w:val="13544BD0"/>
    <w:rsid w:val="13674346"/>
    <w:rsid w:val="136D6E86"/>
    <w:rsid w:val="13727EBE"/>
    <w:rsid w:val="137F21A1"/>
    <w:rsid w:val="138B796A"/>
    <w:rsid w:val="13AE7B18"/>
    <w:rsid w:val="13B85C37"/>
    <w:rsid w:val="13F9492D"/>
    <w:rsid w:val="14020D7D"/>
    <w:rsid w:val="1420263C"/>
    <w:rsid w:val="1435716D"/>
    <w:rsid w:val="14732C7A"/>
    <w:rsid w:val="14C50507"/>
    <w:rsid w:val="14C52864"/>
    <w:rsid w:val="14CC29DE"/>
    <w:rsid w:val="14E06954"/>
    <w:rsid w:val="14EF6BC5"/>
    <w:rsid w:val="14FC4FFC"/>
    <w:rsid w:val="15044D59"/>
    <w:rsid w:val="1536271C"/>
    <w:rsid w:val="154648F8"/>
    <w:rsid w:val="156B7796"/>
    <w:rsid w:val="156F49E7"/>
    <w:rsid w:val="15785D0F"/>
    <w:rsid w:val="158F2CA7"/>
    <w:rsid w:val="15AF117D"/>
    <w:rsid w:val="15C2524E"/>
    <w:rsid w:val="15D30206"/>
    <w:rsid w:val="15DA2EE9"/>
    <w:rsid w:val="15E76740"/>
    <w:rsid w:val="15F26DA1"/>
    <w:rsid w:val="160B2CB4"/>
    <w:rsid w:val="1617484A"/>
    <w:rsid w:val="1631401E"/>
    <w:rsid w:val="164E1E13"/>
    <w:rsid w:val="167F22BE"/>
    <w:rsid w:val="168820F6"/>
    <w:rsid w:val="16976489"/>
    <w:rsid w:val="16D01BB0"/>
    <w:rsid w:val="16DA29CB"/>
    <w:rsid w:val="16EB661A"/>
    <w:rsid w:val="16F356DB"/>
    <w:rsid w:val="171276A5"/>
    <w:rsid w:val="171D6078"/>
    <w:rsid w:val="174167ED"/>
    <w:rsid w:val="174509EC"/>
    <w:rsid w:val="176D7F46"/>
    <w:rsid w:val="1784215C"/>
    <w:rsid w:val="17D85166"/>
    <w:rsid w:val="17E31439"/>
    <w:rsid w:val="17F771AA"/>
    <w:rsid w:val="18004692"/>
    <w:rsid w:val="18300CD9"/>
    <w:rsid w:val="18326D43"/>
    <w:rsid w:val="1835040B"/>
    <w:rsid w:val="18415F32"/>
    <w:rsid w:val="18663553"/>
    <w:rsid w:val="18667233"/>
    <w:rsid w:val="188C69A9"/>
    <w:rsid w:val="18A87D92"/>
    <w:rsid w:val="18BF1738"/>
    <w:rsid w:val="18CE470B"/>
    <w:rsid w:val="1908466B"/>
    <w:rsid w:val="191D1B69"/>
    <w:rsid w:val="192069E3"/>
    <w:rsid w:val="192272DB"/>
    <w:rsid w:val="192756AE"/>
    <w:rsid w:val="19362704"/>
    <w:rsid w:val="195B1B7D"/>
    <w:rsid w:val="197A5AA8"/>
    <w:rsid w:val="19836A30"/>
    <w:rsid w:val="198F1DD3"/>
    <w:rsid w:val="19930963"/>
    <w:rsid w:val="199436F1"/>
    <w:rsid w:val="19DB6FF4"/>
    <w:rsid w:val="19EA7092"/>
    <w:rsid w:val="1A02586B"/>
    <w:rsid w:val="1A262CBC"/>
    <w:rsid w:val="1A3151E7"/>
    <w:rsid w:val="1A354551"/>
    <w:rsid w:val="1A7D0D7D"/>
    <w:rsid w:val="1A9F38B0"/>
    <w:rsid w:val="1AA23C12"/>
    <w:rsid w:val="1AA27FB2"/>
    <w:rsid w:val="1AB17C78"/>
    <w:rsid w:val="1ABA1156"/>
    <w:rsid w:val="1AE20F59"/>
    <w:rsid w:val="1AE56C4E"/>
    <w:rsid w:val="1AF21E13"/>
    <w:rsid w:val="1B0C51AB"/>
    <w:rsid w:val="1B4406DA"/>
    <w:rsid w:val="1B4D51FF"/>
    <w:rsid w:val="1B5929A2"/>
    <w:rsid w:val="1B7150E0"/>
    <w:rsid w:val="1B917B2A"/>
    <w:rsid w:val="1BC97552"/>
    <w:rsid w:val="1BDB5B6F"/>
    <w:rsid w:val="1C137EBE"/>
    <w:rsid w:val="1C26326E"/>
    <w:rsid w:val="1C2B4A13"/>
    <w:rsid w:val="1C2C5226"/>
    <w:rsid w:val="1C377622"/>
    <w:rsid w:val="1C430AF8"/>
    <w:rsid w:val="1C5E2249"/>
    <w:rsid w:val="1CBB52E6"/>
    <w:rsid w:val="1CC60CBC"/>
    <w:rsid w:val="1CD73247"/>
    <w:rsid w:val="1CF6617B"/>
    <w:rsid w:val="1CFF78D8"/>
    <w:rsid w:val="1D0047F7"/>
    <w:rsid w:val="1D0113C9"/>
    <w:rsid w:val="1D0C7840"/>
    <w:rsid w:val="1D1A799C"/>
    <w:rsid w:val="1D1D4AE3"/>
    <w:rsid w:val="1D284183"/>
    <w:rsid w:val="1D3D0061"/>
    <w:rsid w:val="1D5176F2"/>
    <w:rsid w:val="1D76514E"/>
    <w:rsid w:val="1D967F5D"/>
    <w:rsid w:val="1DA07CC0"/>
    <w:rsid w:val="1DB654F2"/>
    <w:rsid w:val="1DDC4D3C"/>
    <w:rsid w:val="1DE47691"/>
    <w:rsid w:val="1DE522E4"/>
    <w:rsid w:val="1DF112DA"/>
    <w:rsid w:val="1DF96254"/>
    <w:rsid w:val="1E16170D"/>
    <w:rsid w:val="1E3B29CF"/>
    <w:rsid w:val="1E43436C"/>
    <w:rsid w:val="1E5A31BE"/>
    <w:rsid w:val="1E6146E8"/>
    <w:rsid w:val="1E6A459D"/>
    <w:rsid w:val="1E9E31B4"/>
    <w:rsid w:val="1EFE6280"/>
    <w:rsid w:val="1EFF639E"/>
    <w:rsid w:val="1F0F6428"/>
    <w:rsid w:val="1F246A2D"/>
    <w:rsid w:val="1F330BCC"/>
    <w:rsid w:val="1F370439"/>
    <w:rsid w:val="1F453901"/>
    <w:rsid w:val="1F483C29"/>
    <w:rsid w:val="1F5F1CED"/>
    <w:rsid w:val="1F6D2C33"/>
    <w:rsid w:val="1F6E25FE"/>
    <w:rsid w:val="1F917C1B"/>
    <w:rsid w:val="1F99201A"/>
    <w:rsid w:val="1FA07774"/>
    <w:rsid w:val="1FAE066D"/>
    <w:rsid w:val="1FC12CFA"/>
    <w:rsid w:val="1FC1771D"/>
    <w:rsid w:val="1FCA6A98"/>
    <w:rsid w:val="1FD04FC4"/>
    <w:rsid w:val="200B5C1A"/>
    <w:rsid w:val="202335A8"/>
    <w:rsid w:val="205A67D0"/>
    <w:rsid w:val="20713A86"/>
    <w:rsid w:val="20717453"/>
    <w:rsid w:val="207215AC"/>
    <w:rsid w:val="20817BE3"/>
    <w:rsid w:val="209D2105"/>
    <w:rsid w:val="20A94716"/>
    <w:rsid w:val="20AB6A5A"/>
    <w:rsid w:val="20AD3524"/>
    <w:rsid w:val="20BE75C2"/>
    <w:rsid w:val="20E5153C"/>
    <w:rsid w:val="20E92B22"/>
    <w:rsid w:val="20E96A55"/>
    <w:rsid w:val="21032C47"/>
    <w:rsid w:val="210C2957"/>
    <w:rsid w:val="210F303A"/>
    <w:rsid w:val="21135161"/>
    <w:rsid w:val="211D2974"/>
    <w:rsid w:val="2126609A"/>
    <w:rsid w:val="215D4E8F"/>
    <w:rsid w:val="215D6FD0"/>
    <w:rsid w:val="215E0EA5"/>
    <w:rsid w:val="21606027"/>
    <w:rsid w:val="216435C1"/>
    <w:rsid w:val="21731A80"/>
    <w:rsid w:val="217D47E7"/>
    <w:rsid w:val="21B177AA"/>
    <w:rsid w:val="21BA37E4"/>
    <w:rsid w:val="21DA5CC8"/>
    <w:rsid w:val="21E262EE"/>
    <w:rsid w:val="220411D6"/>
    <w:rsid w:val="22121299"/>
    <w:rsid w:val="22182FB9"/>
    <w:rsid w:val="221B3BA9"/>
    <w:rsid w:val="221D35CB"/>
    <w:rsid w:val="222944BD"/>
    <w:rsid w:val="22330CBB"/>
    <w:rsid w:val="225418B2"/>
    <w:rsid w:val="22807A1E"/>
    <w:rsid w:val="22931E78"/>
    <w:rsid w:val="22947D98"/>
    <w:rsid w:val="229A7CBC"/>
    <w:rsid w:val="22AE7F74"/>
    <w:rsid w:val="22CD2E1E"/>
    <w:rsid w:val="231A2BFF"/>
    <w:rsid w:val="231E17DE"/>
    <w:rsid w:val="23205E0C"/>
    <w:rsid w:val="23215223"/>
    <w:rsid w:val="2322375E"/>
    <w:rsid w:val="232B7E3E"/>
    <w:rsid w:val="232D5996"/>
    <w:rsid w:val="232E5A8F"/>
    <w:rsid w:val="233737D6"/>
    <w:rsid w:val="23614195"/>
    <w:rsid w:val="237E1B69"/>
    <w:rsid w:val="23912F36"/>
    <w:rsid w:val="23B53ADC"/>
    <w:rsid w:val="23C5446B"/>
    <w:rsid w:val="23D06E4B"/>
    <w:rsid w:val="241D6566"/>
    <w:rsid w:val="24412F47"/>
    <w:rsid w:val="24685E33"/>
    <w:rsid w:val="247479AA"/>
    <w:rsid w:val="2489577D"/>
    <w:rsid w:val="24A63599"/>
    <w:rsid w:val="24B71200"/>
    <w:rsid w:val="24BB43D1"/>
    <w:rsid w:val="2515419C"/>
    <w:rsid w:val="251D317D"/>
    <w:rsid w:val="25254097"/>
    <w:rsid w:val="25357B03"/>
    <w:rsid w:val="253A33DC"/>
    <w:rsid w:val="25453733"/>
    <w:rsid w:val="255F0F89"/>
    <w:rsid w:val="25604DB3"/>
    <w:rsid w:val="256B3B0B"/>
    <w:rsid w:val="257B5C12"/>
    <w:rsid w:val="257D449A"/>
    <w:rsid w:val="25825255"/>
    <w:rsid w:val="25893E5D"/>
    <w:rsid w:val="25903D37"/>
    <w:rsid w:val="25A25F2F"/>
    <w:rsid w:val="25C849AB"/>
    <w:rsid w:val="25D570B7"/>
    <w:rsid w:val="260C101A"/>
    <w:rsid w:val="261D5838"/>
    <w:rsid w:val="2637038F"/>
    <w:rsid w:val="265C7193"/>
    <w:rsid w:val="265E685B"/>
    <w:rsid w:val="2686569D"/>
    <w:rsid w:val="268E3019"/>
    <w:rsid w:val="26986DD4"/>
    <w:rsid w:val="26BB1AF7"/>
    <w:rsid w:val="26CB2739"/>
    <w:rsid w:val="26D92653"/>
    <w:rsid w:val="26D9610A"/>
    <w:rsid w:val="26ED679E"/>
    <w:rsid w:val="26F71190"/>
    <w:rsid w:val="27092363"/>
    <w:rsid w:val="270C3677"/>
    <w:rsid w:val="271068A5"/>
    <w:rsid w:val="271153EB"/>
    <w:rsid w:val="27115F73"/>
    <w:rsid w:val="272D7741"/>
    <w:rsid w:val="274B3D90"/>
    <w:rsid w:val="27584129"/>
    <w:rsid w:val="275C4034"/>
    <w:rsid w:val="27631008"/>
    <w:rsid w:val="27683B3F"/>
    <w:rsid w:val="276B7836"/>
    <w:rsid w:val="276F4994"/>
    <w:rsid w:val="277672E7"/>
    <w:rsid w:val="277F12D1"/>
    <w:rsid w:val="278101F3"/>
    <w:rsid w:val="27A177C6"/>
    <w:rsid w:val="27AC3CFB"/>
    <w:rsid w:val="27B5295C"/>
    <w:rsid w:val="27C938F0"/>
    <w:rsid w:val="280367CB"/>
    <w:rsid w:val="28171DBA"/>
    <w:rsid w:val="282533EF"/>
    <w:rsid w:val="28324866"/>
    <w:rsid w:val="284F1777"/>
    <w:rsid w:val="285E1E03"/>
    <w:rsid w:val="285E55D1"/>
    <w:rsid w:val="285F72D9"/>
    <w:rsid w:val="28776E9C"/>
    <w:rsid w:val="288667F0"/>
    <w:rsid w:val="289266E8"/>
    <w:rsid w:val="28B93555"/>
    <w:rsid w:val="28BF2841"/>
    <w:rsid w:val="28D456BB"/>
    <w:rsid w:val="28DA25A6"/>
    <w:rsid w:val="290929CD"/>
    <w:rsid w:val="29115A89"/>
    <w:rsid w:val="2920429C"/>
    <w:rsid w:val="2926470C"/>
    <w:rsid w:val="29832B50"/>
    <w:rsid w:val="29881E8C"/>
    <w:rsid w:val="29AA6439"/>
    <w:rsid w:val="29B40EB8"/>
    <w:rsid w:val="29B8365B"/>
    <w:rsid w:val="29D42A36"/>
    <w:rsid w:val="29E21DB9"/>
    <w:rsid w:val="29EE7A2C"/>
    <w:rsid w:val="29F204D1"/>
    <w:rsid w:val="2A112F24"/>
    <w:rsid w:val="2A2F53CB"/>
    <w:rsid w:val="2A3D5543"/>
    <w:rsid w:val="2A413BAD"/>
    <w:rsid w:val="2A463EC3"/>
    <w:rsid w:val="2A636981"/>
    <w:rsid w:val="2A7F6234"/>
    <w:rsid w:val="2A9C0E85"/>
    <w:rsid w:val="2AA72EC8"/>
    <w:rsid w:val="2ACA3B49"/>
    <w:rsid w:val="2ACE4429"/>
    <w:rsid w:val="2B035159"/>
    <w:rsid w:val="2B162F17"/>
    <w:rsid w:val="2B2849DE"/>
    <w:rsid w:val="2B2D7B06"/>
    <w:rsid w:val="2B526515"/>
    <w:rsid w:val="2B786294"/>
    <w:rsid w:val="2BB7187E"/>
    <w:rsid w:val="2BD569F0"/>
    <w:rsid w:val="2BD70D0E"/>
    <w:rsid w:val="2BDB4285"/>
    <w:rsid w:val="2BF437BD"/>
    <w:rsid w:val="2C136339"/>
    <w:rsid w:val="2C336450"/>
    <w:rsid w:val="2C3C3E22"/>
    <w:rsid w:val="2C801B67"/>
    <w:rsid w:val="2C9A3C39"/>
    <w:rsid w:val="2C9A6598"/>
    <w:rsid w:val="2CA97DDD"/>
    <w:rsid w:val="2CAA70AF"/>
    <w:rsid w:val="2CBB3594"/>
    <w:rsid w:val="2CD21D51"/>
    <w:rsid w:val="2CD41455"/>
    <w:rsid w:val="2CDC7A16"/>
    <w:rsid w:val="2CF07BCC"/>
    <w:rsid w:val="2D1C26F8"/>
    <w:rsid w:val="2D3D21A3"/>
    <w:rsid w:val="2D4F212E"/>
    <w:rsid w:val="2D5226E1"/>
    <w:rsid w:val="2D6C67E8"/>
    <w:rsid w:val="2D80162C"/>
    <w:rsid w:val="2D8D56E0"/>
    <w:rsid w:val="2D8F68B9"/>
    <w:rsid w:val="2DAA5D8D"/>
    <w:rsid w:val="2DBF0E31"/>
    <w:rsid w:val="2DC46D95"/>
    <w:rsid w:val="2DC804A7"/>
    <w:rsid w:val="2DCC12FC"/>
    <w:rsid w:val="2E054ADE"/>
    <w:rsid w:val="2E091F3B"/>
    <w:rsid w:val="2E322200"/>
    <w:rsid w:val="2E6E7D1A"/>
    <w:rsid w:val="2E7A2CC3"/>
    <w:rsid w:val="2E8452CD"/>
    <w:rsid w:val="2EAF4EFE"/>
    <w:rsid w:val="2ECC434D"/>
    <w:rsid w:val="2EDE0D95"/>
    <w:rsid w:val="2EFD55AD"/>
    <w:rsid w:val="2EFE141D"/>
    <w:rsid w:val="2F2B1BEC"/>
    <w:rsid w:val="2F4F249C"/>
    <w:rsid w:val="2F54137A"/>
    <w:rsid w:val="2F6E1598"/>
    <w:rsid w:val="2F7C6CF9"/>
    <w:rsid w:val="2F8A05BF"/>
    <w:rsid w:val="2FAB5291"/>
    <w:rsid w:val="2FB20BF5"/>
    <w:rsid w:val="2FC47EF3"/>
    <w:rsid w:val="2FCA31B3"/>
    <w:rsid w:val="2FCE31DD"/>
    <w:rsid w:val="2FD82941"/>
    <w:rsid w:val="2FE90210"/>
    <w:rsid w:val="2FF72CF0"/>
    <w:rsid w:val="30031D54"/>
    <w:rsid w:val="30034917"/>
    <w:rsid w:val="30190C38"/>
    <w:rsid w:val="302D66A2"/>
    <w:rsid w:val="30341EC9"/>
    <w:rsid w:val="30347C76"/>
    <w:rsid w:val="30471898"/>
    <w:rsid w:val="30774162"/>
    <w:rsid w:val="307E1E29"/>
    <w:rsid w:val="308551C2"/>
    <w:rsid w:val="30BC263F"/>
    <w:rsid w:val="30C734A0"/>
    <w:rsid w:val="30DF7D2F"/>
    <w:rsid w:val="30FB542F"/>
    <w:rsid w:val="3100340C"/>
    <w:rsid w:val="310F7478"/>
    <w:rsid w:val="311238DA"/>
    <w:rsid w:val="31172090"/>
    <w:rsid w:val="313F6096"/>
    <w:rsid w:val="31552F50"/>
    <w:rsid w:val="31627770"/>
    <w:rsid w:val="318104F6"/>
    <w:rsid w:val="31915A2B"/>
    <w:rsid w:val="31A0095D"/>
    <w:rsid w:val="31BD4F89"/>
    <w:rsid w:val="31BE6471"/>
    <w:rsid w:val="31C414CE"/>
    <w:rsid w:val="31CB36EE"/>
    <w:rsid w:val="31D42898"/>
    <w:rsid w:val="31E12B8A"/>
    <w:rsid w:val="32097242"/>
    <w:rsid w:val="321145B0"/>
    <w:rsid w:val="32394972"/>
    <w:rsid w:val="323D20C1"/>
    <w:rsid w:val="32672F3B"/>
    <w:rsid w:val="326D51F8"/>
    <w:rsid w:val="32C429C5"/>
    <w:rsid w:val="33094AE0"/>
    <w:rsid w:val="33102FBC"/>
    <w:rsid w:val="33375E66"/>
    <w:rsid w:val="33586FAD"/>
    <w:rsid w:val="33593E45"/>
    <w:rsid w:val="336A1E80"/>
    <w:rsid w:val="336F0745"/>
    <w:rsid w:val="338F1860"/>
    <w:rsid w:val="33A4663F"/>
    <w:rsid w:val="33A62661"/>
    <w:rsid w:val="33CD7699"/>
    <w:rsid w:val="33D86965"/>
    <w:rsid w:val="33F84370"/>
    <w:rsid w:val="33FF5238"/>
    <w:rsid w:val="34334FC3"/>
    <w:rsid w:val="34386283"/>
    <w:rsid w:val="344832C8"/>
    <w:rsid w:val="345507A6"/>
    <w:rsid w:val="34552A8F"/>
    <w:rsid w:val="34571F2B"/>
    <w:rsid w:val="345F7992"/>
    <w:rsid w:val="3462534E"/>
    <w:rsid w:val="346446D8"/>
    <w:rsid w:val="34747C4C"/>
    <w:rsid w:val="34783FAF"/>
    <w:rsid w:val="348B1D83"/>
    <w:rsid w:val="348F2E93"/>
    <w:rsid w:val="349645F2"/>
    <w:rsid w:val="349A355A"/>
    <w:rsid w:val="349C1B6D"/>
    <w:rsid w:val="34AB2552"/>
    <w:rsid w:val="34BF70E8"/>
    <w:rsid w:val="34C923A9"/>
    <w:rsid w:val="34CE6290"/>
    <w:rsid w:val="34D45CF9"/>
    <w:rsid w:val="34E940DB"/>
    <w:rsid w:val="34F256BC"/>
    <w:rsid w:val="34FB4ABE"/>
    <w:rsid w:val="350031D3"/>
    <w:rsid w:val="352807E6"/>
    <w:rsid w:val="353A1B2D"/>
    <w:rsid w:val="35431834"/>
    <w:rsid w:val="35916DC2"/>
    <w:rsid w:val="359E706C"/>
    <w:rsid w:val="35E5253C"/>
    <w:rsid w:val="35E65A80"/>
    <w:rsid w:val="35E84F58"/>
    <w:rsid w:val="363B44C3"/>
    <w:rsid w:val="364B6AB5"/>
    <w:rsid w:val="364C38CC"/>
    <w:rsid w:val="364D15BB"/>
    <w:rsid w:val="36616D7A"/>
    <w:rsid w:val="366174DC"/>
    <w:rsid w:val="36966189"/>
    <w:rsid w:val="36BB0914"/>
    <w:rsid w:val="36CA567F"/>
    <w:rsid w:val="36D97AF4"/>
    <w:rsid w:val="36E75E5E"/>
    <w:rsid w:val="36EB21E0"/>
    <w:rsid w:val="36F42084"/>
    <w:rsid w:val="36F6132C"/>
    <w:rsid w:val="371056DD"/>
    <w:rsid w:val="37171E71"/>
    <w:rsid w:val="371F523F"/>
    <w:rsid w:val="37347390"/>
    <w:rsid w:val="37400195"/>
    <w:rsid w:val="374C2647"/>
    <w:rsid w:val="375C01D1"/>
    <w:rsid w:val="375C567B"/>
    <w:rsid w:val="37782F69"/>
    <w:rsid w:val="379961E8"/>
    <w:rsid w:val="379F56AF"/>
    <w:rsid w:val="379F5F75"/>
    <w:rsid w:val="37E85AE4"/>
    <w:rsid w:val="37F063BE"/>
    <w:rsid w:val="38314F7C"/>
    <w:rsid w:val="383375F7"/>
    <w:rsid w:val="3834502D"/>
    <w:rsid w:val="38367638"/>
    <w:rsid w:val="383D5D21"/>
    <w:rsid w:val="384A3B6C"/>
    <w:rsid w:val="385A67AC"/>
    <w:rsid w:val="38651FE8"/>
    <w:rsid w:val="38951179"/>
    <w:rsid w:val="38A306E5"/>
    <w:rsid w:val="38A50301"/>
    <w:rsid w:val="38D21F06"/>
    <w:rsid w:val="38E3784C"/>
    <w:rsid w:val="38EC3BFC"/>
    <w:rsid w:val="39172AE5"/>
    <w:rsid w:val="391C578B"/>
    <w:rsid w:val="39204665"/>
    <w:rsid w:val="39315B2C"/>
    <w:rsid w:val="393F186C"/>
    <w:rsid w:val="393F2567"/>
    <w:rsid w:val="394854F5"/>
    <w:rsid w:val="395312ED"/>
    <w:rsid w:val="395B04BE"/>
    <w:rsid w:val="395F4EAF"/>
    <w:rsid w:val="396D157A"/>
    <w:rsid w:val="39756BFE"/>
    <w:rsid w:val="398177C5"/>
    <w:rsid w:val="398F3EE6"/>
    <w:rsid w:val="399B0A9C"/>
    <w:rsid w:val="39A5537F"/>
    <w:rsid w:val="39A74D48"/>
    <w:rsid w:val="39D4498C"/>
    <w:rsid w:val="3A134D68"/>
    <w:rsid w:val="3A355128"/>
    <w:rsid w:val="3A4E61CA"/>
    <w:rsid w:val="3A583641"/>
    <w:rsid w:val="3A593723"/>
    <w:rsid w:val="3A873793"/>
    <w:rsid w:val="3A876FDA"/>
    <w:rsid w:val="3AA358A9"/>
    <w:rsid w:val="3AA8658E"/>
    <w:rsid w:val="3AB54376"/>
    <w:rsid w:val="3AC52283"/>
    <w:rsid w:val="3ACC7436"/>
    <w:rsid w:val="3B21350A"/>
    <w:rsid w:val="3B225C51"/>
    <w:rsid w:val="3B313CD6"/>
    <w:rsid w:val="3B3E49EF"/>
    <w:rsid w:val="3B5F6411"/>
    <w:rsid w:val="3B6D553B"/>
    <w:rsid w:val="3B9D5DD5"/>
    <w:rsid w:val="3BD16901"/>
    <w:rsid w:val="3BDD46B9"/>
    <w:rsid w:val="3BF51CA4"/>
    <w:rsid w:val="3C080DCB"/>
    <w:rsid w:val="3C0D73C6"/>
    <w:rsid w:val="3C0F5488"/>
    <w:rsid w:val="3C1E1CA2"/>
    <w:rsid w:val="3C420E82"/>
    <w:rsid w:val="3C54715B"/>
    <w:rsid w:val="3C725B45"/>
    <w:rsid w:val="3C864464"/>
    <w:rsid w:val="3CB322FE"/>
    <w:rsid w:val="3D0C6ED0"/>
    <w:rsid w:val="3D301341"/>
    <w:rsid w:val="3D53485C"/>
    <w:rsid w:val="3D63477F"/>
    <w:rsid w:val="3D73008A"/>
    <w:rsid w:val="3D775E18"/>
    <w:rsid w:val="3DAE7A4B"/>
    <w:rsid w:val="3DBC2DFE"/>
    <w:rsid w:val="3DBC4FA0"/>
    <w:rsid w:val="3DD47CF2"/>
    <w:rsid w:val="3DD93613"/>
    <w:rsid w:val="3DD945B2"/>
    <w:rsid w:val="3DE52247"/>
    <w:rsid w:val="3DE61E54"/>
    <w:rsid w:val="3DF05F57"/>
    <w:rsid w:val="3E0253E3"/>
    <w:rsid w:val="3E0E244D"/>
    <w:rsid w:val="3E180A14"/>
    <w:rsid w:val="3E261119"/>
    <w:rsid w:val="3E467B34"/>
    <w:rsid w:val="3E744504"/>
    <w:rsid w:val="3EA73FC0"/>
    <w:rsid w:val="3EC930B7"/>
    <w:rsid w:val="3EF04C87"/>
    <w:rsid w:val="3EF724BD"/>
    <w:rsid w:val="3F072669"/>
    <w:rsid w:val="3F0E10BE"/>
    <w:rsid w:val="3F191198"/>
    <w:rsid w:val="3F20400B"/>
    <w:rsid w:val="3F4544E7"/>
    <w:rsid w:val="3F5465F5"/>
    <w:rsid w:val="3F88614E"/>
    <w:rsid w:val="3FA248F3"/>
    <w:rsid w:val="3FA41D15"/>
    <w:rsid w:val="3FB23F6B"/>
    <w:rsid w:val="3FD26263"/>
    <w:rsid w:val="3FDC4CD2"/>
    <w:rsid w:val="3FEC03E6"/>
    <w:rsid w:val="3FEC7E0C"/>
    <w:rsid w:val="3FFA1911"/>
    <w:rsid w:val="400666A3"/>
    <w:rsid w:val="4021297B"/>
    <w:rsid w:val="40415922"/>
    <w:rsid w:val="405E4E4F"/>
    <w:rsid w:val="40895A5C"/>
    <w:rsid w:val="409B6568"/>
    <w:rsid w:val="40AE7E2A"/>
    <w:rsid w:val="40D4191A"/>
    <w:rsid w:val="40E75547"/>
    <w:rsid w:val="41171935"/>
    <w:rsid w:val="4134531C"/>
    <w:rsid w:val="41536AB5"/>
    <w:rsid w:val="41883F34"/>
    <w:rsid w:val="418E014F"/>
    <w:rsid w:val="41AA6623"/>
    <w:rsid w:val="41AB35C4"/>
    <w:rsid w:val="41B94559"/>
    <w:rsid w:val="41BB67FF"/>
    <w:rsid w:val="41D93E25"/>
    <w:rsid w:val="41E27311"/>
    <w:rsid w:val="41E67903"/>
    <w:rsid w:val="41EC167E"/>
    <w:rsid w:val="420B4507"/>
    <w:rsid w:val="420E3248"/>
    <w:rsid w:val="42182236"/>
    <w:rsid w:val="42337B06"/>
    <w:rsid w:val="426E08CF"/>
    <w:rsid w:val="428A734E"/>
    <w:rsid w:val="42912D31"/>
    <w:rsid w:val="429A5F8E"/>
    <w:rsid w:val="42B6790B"/>
    <w:rsid w:val="42C83239"/>
    <w:rsid w:val="42DC5CC8"/>
    <w:rsid w:val="42EF5A67"/>
    <w:rsid w:val="42FC72A3"/>
    <w:rsid w:val="42FD21B8"/>
    <w:rsid w:val="43194A74"/>
    <w:rsid w:val="43294B00"/>
    <w:rsid w:val="4337496A"/>
    <w:rsid w:val="433A6A06"/>
    <w:rsid w:val="433C618D"/>
    <w:rsid w:val="43507725"/>
    <w:rsid w:val="435629F7"/>
    <w:rsid w:val="435F1D48"/>
    <w:rsid w:val="43696C4B"/>
    <w:rsid w:val="436B215F"/>
    <w:rsid w:val="43762DAF"/>
    <w:rsid w:val="437A26C0"/>
    <w:rsid w:val="43B11726"/>
    <w:rsid w:val="440B6DE3"/>
    <w:rsid w:val="44122CFB"/>
    <w:rsid w:val="44194F83"/>
    <w:rsid w:val="44316F05"/>
    <w:rsid w:val="443E6029"/>
    <w:rsid w:val="445025F1"/>
    <w:rsid w:val="4468058D"/>
    <w:rsid w:val="448C4C5F"/>
    <w:rsid w:val="44977C8C"/>
    <w:rsid w:val="44B71AF3"/>
    <w:rsid w:val="44C8785A"/>
    <w:rsid w:val="44DD0180"/>
    <w:rsid w:val="44E8347F"/>
    <w:rsid w:val="44EB79F8"/>
    <w:rsid w:val="44F81F10"/>
    <w:rsid w:val="450040B2"/>
    <w:rsid w:val="4513481F"/>
    <w:rsid w:val="45173B1F"/>
    <w:rsid w:val="452F3259"/>
    <w:rsid w:val="454964D0"/>
    <w:rsid w:val="45514C24"/>
    <w:rsid w:val="455C3CE4"/>
    <w:rsid w:val="45750405"/>
    <w:rsid w:val="45773737"/>
    <w:rsid w:val="45803D6A"/>
    <w:rsid w:val="45A64A9A"/>
    <w:rsid w:val="45BD7EDB"/>
    <w:rsid w:val="45E96AEC"/>
    <w:rsid w:val="45FA6427"/>
    <w:rsid w:val="45FE32E7"/>
    <w:rsid w:val="46020555"/>
    <w:rsid w:val="46212C1C"/>
    <w:rsid w:val="464A4BA4"/>
    <w:rsid w:val="46576044"/>
    <w:rsid w:val="46694A03"/>
    <w:rsid w:val="466D6250"/>
    <w:rsid w:val="467B2000"/>
    <w:rsid w:val="467E0317"/>
    <w:rsid w:val="46892E4F"/>
    <w:rsid w:val="46963D9C"/>
    <w:rsid w:val="46AA7468"/>
    <w:rsid w:val="46C16C66"/>
    <w:rsid w:val="46DF2CB1"/>
    <w:rsid w:val="46E04B11"/>
    <w:rsid w:val="46EA7652"/>
    <w:rsid w:val="46F35DD9"/>
    <w:rsid w:val="46F8689E"/>
    <w:rsid w:val="46F87BB3"/>
    <w:rsid w:val="472446C7"/>
    <w:rsid w:val="47570974"/>
    <w:rsid w:val="476A4623"/>
    <w:rsid w:val="476F5AB7"/>
    <w:rsid w:val="477505A3"/>
    <w:rsid w:val="4781036F"/>
    <w:rsid w:val="479E051D"/>
    <w:rsid w:val="47A81157"/>
    <w:rsid w:val="47AF0EE1"/>
    <w:rsid w:val="47AF4CB3"/>
    <w:rsid w:val="47D53E1D"/>
    <w:rsid w:val="47D959D1"/>
    <w:rsid w:val="47F22E4F"/>
    <w:rsid w:val="47F76ABE"/>
    <w:rsid w:val="47FB13CB"/>
    <w:rsid w:val="482548BA"/>
    <w:rsid w:val="48285BD8"/>
    <w:rsid w:val="483D5D03"/>
    <w:rsid w:val="48561630"/>
    <w:rsid w:val="48590AED"/>
    <w:rsid w:val="4872250E"/>
    <w:rsid w:val="48776DEB"/>
    <w:rsid w:val="48834596"/>
    <w:rsid w:val="48C35B6E"/>
    <w:rsid w:val="48D34A2F"/>
    <w:rsid w:val="48DF2DBA"/>
    <w:rsid w:val="491652C8"/>
    <w:rsid w:val="4922793A"/>
    <w:rsid w:val="492532DA"/>
    <w:rsid w:val="493F5D55"/>
    <w:rsid w:val="49443A0D"/>
    <w:rsid w:val="49480115"/>
    <w:rsid w:val="496A39B2"/>
    <w:rsid w:val="496B3AA1"/>
    <w:rsid w:val="496D1C36"/>
    <w:rsid w:val="496E3554"/>
    <w:rsid w:val="498136B7"/>
    <w:rsid w:val="49940E08"/>
    <w:rsid w:val="49B57B77"/>
    <w:rsid w:val="49BB7F40"/>
    <w:rsid w:val="49C92B62"/>
    <w:rsid w:val="49D1640B"/>
    <w:rsid w:val="49D310E5"/>
    <w:rsid w:val="49E24826"/>
    <w:rsid w:val="49E800DB"/>
    <w:rsid w:val="49E947F5"/>
    <w:rsid w:val="49FC6F67"/>
    <w:rsid w:val="4A67642A"/>
    <w:rsid w:val="4A7B1035"/>
    <w:rsid w:val="4A956940"/>
    <w:rsid w:val="4AA743C5"/>
    <w:rsid w:val="4AB64608"/>
    <w:rsid w:val="4ADF4CB7"/>
    <w:rsid w:val="4AE47571"/>
    <w:rsid w:val="4AEE6355"/>
    <w:rsid w:val="4AF77AFD"/>
    <w:rsid w:val="4B310406"/>
    <w:rsid w:val="4B347BAB"/>
    <w:rsid w:val="4B7D38DD"/>
    <w:rsid w:val="4B87436E"/>
    <w:rsid w:val="4B8C040C"/>
    <w:rsid w:val="4B8D7705"/>
    <w:rsid w:val="4BAF7762"/>
    <w:rsid w:val="4BB17B13"/>
    <w:rsid w:val="4BBD72B2"/>
    <w:rsid w:val="4BC12D75"/>
    <w:rsid w:val="4BEF5033"/>
    <w:rsid w:val="4BFB6776"/>
    <w:rsid w:val="4C08797F"/>
    <w:rsid w:val="4C143AE5"/>
    <w:rsid w:val="4C161C8D"/>
    <w:rsid w:val="4C5F7ED3"/>
    <w:rsid w:val="4C850027"/>
    <w:rsid w:val="4C946190"/>
    <w:rsid w:val="4C9726C6"/>
    <w:rsid w:val="4CA966A9"/>
    <w:rsid w:val="4CD02318"/>
    <w:rsid w:val="4CE0466F"/>
    <w:rsid w:val="4CF05994"/>
    <w:rsid w:val="4D1C44D3"/>
    <w:rsid w:val="4D214873"/>
    <w:rsid w:val="4D334BB9"/>
    <w:rsid w:val="4D4A767A"/>
    <w:rsid w:val="4D4D6EB8"/>
    <w:rsid w:val="4D5339C9"/>
    <w:rsid w:val="4D5B5303"/>
    <w:rsid w:val="4D7E3D69"/>
    <w:rsid w:val="4D812619"/>
    <w:rsid w:val="4D977916"/>
    <w:rsid w:val="4D9D5C17"/>
    <w:rsid w:val="4DAD6C63"/>
    <w:rsid w:val="4DBD0619"/>
    <w:rsid w:val="4DC7241D"/>
    <w:rsid w:val="4DCB57D5"/>
    <w:rsid w:val="4DD35173"/>
    <w:rsid w:val="4DDC4D3B"/>
    <w:rsid w:val="4DE37A02"/>
    <w:rsid w:val="4DE75B37"/>
    <w:rsid w:val="4DE819CC"/>
    <w:rsid w:val="4E076FC3"/>
    <w:rsid w:val="4E177894"/>
    <w:rsid w:val="4E185D5E"/>
    <w:rsid w:val="4E381562"/>
    <w:rsid w:val="4E550F77"/>
    <w:rsid w:val="4E5C7274"/>
    <w:rsid w:val="4E665210"/>
    <w:rsid w:val="4E6D5BF8"/>
    <w:rsid w:val="4E6F64E2"/>
    <w:rsid w:val="4E727028"/>
    <w:rsid w:val="4E7E6D7B"/>
    <w:rsid w:val="4E9201F3"/>
    <w:rsid w:val="4E9A218F"/>
    <w:rsid w:val="4EB37631"/>
    <w:rsid w:val="4EB87AB6"/>
    <w:rsid w:val="4EEA7DCC"/>
    <w:rsid w:val="4EEC7A0A"/>
    <w:rsid w:val="4EF12BCD"/>
    <w:rsid w:val="4EF72139"/>
    <w:rsid w:val="4EFA47F4"/>
    <w:rsid w:val="4EFC1D77"/>
    <w:rsid w:val="4EFC28D5"/>
    <w:rsid w:val="4F0049F4"/>
    <w:rsid w:val="4F0D3DDE"/>
    <w:rsid w:val="4F1E60E8"/>
    <w:rsid w:val="4F262917"/>
    <w:rsid w:val="4F270FC3"/>
    <w:rsid w:val="4F2A321F"/>
    <w:rsid w:val="4F2C5A01"/>
    <w:rsid w:val="4F380D20"/>
    <w:rsid w:val="4F3A35E8"/>
    <w:rsid w:val="4F472DDF"/>
    <w:rsid w:val="4F6D03C0"/>
    <w:rsid w:val="4F7D45E8"/>
    <w:rsid w:val="4F8D50F7"/>
    <w:rsid w:val="4F940C00"/>
    <w:rsid w:val="4FB8672C"/>
    <w:rsid w:val="4FD42F5D"/>
    <w:rsid w:val="502117E8"/>
    <w:rsid w:val="503536DF"/>
    <w:rsid w:val="50465FE8"/>
    <w:rsid w:val="508B61DB"/>
    <w:rsid w:val="50AB0D49"/>
    <w:rsid w:val="50F57B1B"/>
    <w:rsid w:val="51390108"/>
    <w:rsid w:val="516272C6"/>
    <w:rsid w:val="516515AC"/>
    <w:rsid w:val="516D0602"/>
    <w:rsid w:val="51A41463"/>
    <w:rsid w:val="51A4514A"/>
    <w:rsid w:val="51BB3C17"/>
    <w:rsid w:val="51BD4A65"/>
    <w:rsid w:val="51CB774E"/>
    <w:rsid w:val="51D22331"/>
    <w:rsid w:val="51D2710E"/>
    <w:rsid w:val="51D74D3D"/>
    <w:rsid w:val="51DC14BD"/>
    <w:rsid w:val="51E408C6"/>
    <w:rsid w:val="51E97071"/>
    <w:rsid w:val="51F07213"/>
    <w:rsid w:val="522C7AF0"/>
    <w:rsid w:val="522E4169"/>
    <w:rsid w:val="522F2A8F"/>
    <w:rsid w:val="523E6E04"/>
    <w:rsid w:val="525D7B66"/>
    <w:rsid w:val="527C2648"/>
    <w:rsid w:val="527C3358"/>
    <w:rsid w:val="527E55A3"/>
    <w:rsid w:val="528E5814"/>
    <w:rsid w:val="52981B71"/>
    <w:rsid w:val="52AA086C"/>
    <w:rsid w:val="52D33F22"/>
    <w:rsid w:val="52E85815"/>
    <w:rsid w:val="52F32C72"/>
    <w:rsid w:val="52F62A48"/>
    <w:rsid w:val="52FC7BF6"/>
    <w:rsid w:val="53044BC5"/>
    <w:rsid w:val="531D74A9"/>
    <w:rsid w:val="53380018"/>
    <w:rsid w:val="5354134F"/>
    <w:rsid w:val="536B4A2C"/>
    <w:rsid w:val="53733C18"/>
    <w:rsid w:val="537D3F6B"/>
    <w:rsid w:val="537F33C1"/>
    <w:rsid w:val="53AE1B98"/>
    <w:rsid w:val="54041DA7"/>
    <w:rsid w:val="540523B3"/>
    <w:rsid w:val="543D1D38"/>
    <w:rsid w:val="54446269"/>
    <w:rsid w:val="544F13AD"/>
    <w:rsid w:val="54A2422F"/>
    <w:rsid w:val="54AE6C1F"/>
    <w:rsid w:val="54E26BAF"/>
    <w:rsid w:val="550C7D75"/>
    <w:rsid w:val="55113159"/>
    <w:rsid w:val="551D6150"/>
    <w:rsid w:val="5528292D"/>
    <w:rsid w:val="55425018"/>
    <w:rsid w:val="554A5177"/>
    <w:rsid w:val="55621D2B"/>
    <w:rsid w:val="55636D0B"/>
    <w:rsid w:val="55677DCC"/>
    <w:rsid w:val="557A6AC0"/>
    <w:rsid w:val="557E582D"/>
    <w:rsid w:val="55835034"/>
    <w:rsid w:val="55AD77E2"/>
    <w:rsid w:val="55DA6F12"/>
    <w:rsid w:val="55DF1B6A"/>
    <w:rsid w:val="55E97640"/>
    <w:rsid w:val="55EC04B8"/>
    <w:rsid w:val="55F8076C"/>
    <w:rsid w:val="560F483C"/>
    <w:rsid w:val="561540A5"/>
    <w:rsid w:val="561B1F43"/>
    <w:rsid w:val="56511911"/>
    <w:rsid w:val="56574579"/>
    <w:rsid w:val="56654C62"/>
    <w:rsid w:val="567955CA"/>
    <w:rsid w:val="56A1616C"/>
    <w:rsid w:val="56B130A7"/>
    <w:rsid w:val="56B55DB9"/>
    <w:rsid w:val="56E44344"/>
    <w:rsid w:val="570309A9"/>
    <w:rsid w:val="57253D1C"/>
    <w:rsid w:val="572838DA"/>
    <w:rsid w:val="573C4252"/>
    <w:rsid w:val="57502D25"/>
    <w:rsid w:val="57532802"/>
    <w:rsid w:val="57685E64"/>
    <w:rsid w:val="578754CF"/>
    <w:rsid w:val="57977496"/>
    <w:rsid w:val="579A025A"/>
    <w:rsid w:val="57A90D35"/>
    <w:rsid w:val="57C90131"/>
    <w:rsid w:val="57DA7222"/>
    <w:rsid w:val="582A61D2"/>
    <w:rsid w:val="583B4F71"/>
    <w:rsid w:val="58447FC9"/>
    <w:rsid w:val="5851569C"/>
    <w:rsid w:val="587151C1"/>
    <w:rsid w:val="58934945"/>
    <w:rsid w:val="58A82C8D"/>
    <w:rsid w:val="58B67883"/>
    <w:rsid w:val="58DE5456"/>
    <w:rsid w:val="58E36164"/>
    <w:rsid w:val="58F57B30"/>
    <w:rsid w:val="58F62336"/>
    <w:rsid w:val="58FA7DB6"/>
    <w:rsid w:val="58FF6085"/>
    <w:rsid w:val="59054DCE"/>
    <w:rsid w:val="590D6504"/>
    <w:rsid w:val="590D7AE9"/>
    <w:rsid w:val="591854AA"/>
    <w:rsid w:val="59304B04"/>
    <w:rsid w:val="59435E5F"/>
    <w:rsid w:val="594A4286"/>
    <w:rsid w:val="59633EBB"/>
    <w:rsid w:val="5981517D"/>
    <w:rsid w:val="59A00BA3"/>
    <w:rsid w:val="59AC08AE"/>
    <w:rsid w:val="59C05960"/>
    <w:rsid w:val="59DA5416"/>
    <w:rsid w:val="59DF76D7"/>
    <w:rsid w:val="59E20E63"/>
    <w:rsid w:val="59E86FCD"/>
    <w:rsid w:val="59FF7B02"/>
    <w:rsid w:val="5A0379B0"/>
    <w:rsid w:val="5A0635F3"/>
    <w:rsid w:val="5A081879"/>
    <w:rsid w:val="5A187989"/>
    <w:rsid w:val="5A2B0B7F"/>
    <w:rsid w:val="5A311AE8"/>
    <w:rsid w:val="5A352D9D"/>
    <w:rsid w:val="5A356F49"/>
    <w:rsid w:val="5A420AF0"/>
    <w:rsid w:val="5A4719EF"/>
    <w:rsid w:val="5A4A0698"/>
    <w:rsid w:val="5A5D7EDC"/>
    <w:rsid w:val="5A6D095D"/>
    <w:rsid w:val="5A6D6CAB"/>
    <w:rsid w:val="5A855927"/>
    <w:rsid w:val="5AB0671A"/>
    <w:rsid w:val="5AC0550B"/>
    <w:rsid w:val="5ACC65A8"/>
    <w:rsid w:val="5ADE2711"/>
    <w:rsid w:val="5AE40494"/>
    <w:rsid w:val="5AE76CA4"/>
    <w:rsid w:val="5AF0456D"/>
    <w:rsid w:val="5B214E0E"/>
    <w:rsid w:val="5B3C17EB"/>
    <w:rsid w:val="5B4E74EA"/>
    <w:rsid w:val="5B504322"/>
    <w:rsid w:val="5B5307E2"/>
    <w:rsid w:val="5B55670B"/>
    <w:rsid w:val="5B5C452D"/>
    <w:rsid w:val="5B6C4B07"/>
    <w:rsid w:val="5B833485"/>
    <w:rsid w:val="5BA779F4"/>
    <w:rsid w:val="5BB03BE5"/>
    <w:rsid w:val="5BBD525F"/>
    <w:rsid w:val="5BC45432"/>
    <w:rsid w:val="5BE90B20"/>
    <w:rsid w:val="5C0B6FA7"/>
    <w:rsid w:val="5C1F729C"/>
    <w:rsid w:val="5C2D3FFE"/>
    <w:rsid w:val="5C323999"/>
    <w:rsid w:val="5C340844"/>
    <w:rsid w:val="5C38462F"/>
    <w:rsid w:val="5C3902C1"/>
    <w:rsid w:val="5C4D5162"/>
    <w:rsid w:val="5C5065DF"/>
    <w:rsid w:val="5C5D0BE8"/>
    <w:rsid w:val="5C6013C9"/>
    <w:rsid w:val="5CD843B7"/>
    <w:rsid w:val="5CE15514"/>
    <w:rsid w:val="5CE212C1"/>
    <w:rsid w:val="5D070A2E"/>
    <w:rsid w:val="5D0E780C"/>
    <w:rsid w:val="5D24016F"/>
    <w:rsid w:val="5D2801FC"/>
    <w:rsid w:val="5D301FF8"/>
    <w:rsid w:val="5D500645"/>
    <w:rsid w:val="5D5550BA"/>
    <w:rsid w:val="5D7E4504"/>
    <w:rsid w:val="5D8E18E1"/>
    <w:rsid w:val="5D920F55"/>
    <w:rsid w:val="5D973C21"/>
    <w:rsid w:val="5D99194B"/>
    <w:rsid w:val="5D9D736F"/>
    <w:rsid w:val="5DA73597"/>
    <w:rsid w:val="5DB84084"/>
    <w:rsid w:val="5DBA5BB8"/>
    <w:rsid w:val="5DCF7B7C"/>
    <w:rsid w:val="5DE07C2A"/>
    <w:rsid w:val="5DE8376C"/>
    <w:rsid w:val="5E01695E"/>
    <w:rsid w:val="5E421E9E"/>
    <w:rsid w:val="5E6F33BC"/>
    <w:rsid w:val="5E9C7EB7"/>
    <w:rsid w:val="5E9E177D"/>
    <w:rsid w:val="5EC2561E"/>
    <w:rsid w:val="5ED11126"/>
    <w:rsid w:val="5ED13A4D"/>
    <w:rsid w:val="5F017E77"/>
    <w:rsid w:val="5F037282"/>
    <w:rsid w:val="5F085BBF"/>
    <w:rsid w:val="5F0913FA"/>
    <w:rsid w:val="5F19647D"/>
    <w:rsid w:val="5F1D3CBD"/>
    <w:rsid w:val="5F244E54"/>
    <w:rsid w:val="5F321FDB"/>
    <w:rsid w:val="5F4B7845"/>
    <w:rsid w:val="5F607D38"/>
    <w:rsid w:val="5F67573A"/>
    <w:rsid w:val="5F7C39C5"/>
    <w:rsid w:val="5F820CFC"/>
    <w:rsid w:val="5FD33510"/>
    <w:rsid w:val="5FE6743B"/>
    <w:rsid w:val="5FF7348C"/>
    <w:rsid w:val="5FFE117B"/>
    <w:rsid w:val="60094C2E"/>
    <w:rsid w:val="603E0B12"/>
    <w:rsid w:val="604B553A"/>
    <w:rsid w:val="607C560D"/>
    <w:rsid w:val="60836F9E"/>
    <w:rsid w:val="61546BA9"/>
    <w:rsid w:val="61575C98"/>
    <w:rsid w:val="615B1BE9"/>
    <w:rsid w:val="61855211"/>
    <w:rsid w:val="61A3723C"/>
    <w:rsid w:val="61AD35D8"/>
    <w:rsid w:val="62037988"/>
    <w:rsid w:val="620A15A3"/>
    <w:rsid w:val="620B1D13"/>
    <w:rsid w:val="62173CCE"/>
    <w:rsid w:val="62180BE1"/>
    <w:rsid w:val="622D68E8"/>
    <w:rsid w:val="62324F53"/>
    <w:rsid w:val="6248304E"/>
    <w:rsid w:val="62585ED0"/>
    <w:rsid w:val="625C563D"/>
    <w:rsid w:val="627539DF"/>
    <w:rsid w:val="628D0435"/>
    <w:rsid w:val="629415E4"/>
    <w:rsid w:val="62C32692"/>
    <w:rsid w:val="62EE0774"/>
    <w:rsid w:val="630C0255"/>
    <w:rsid w:val="63416D0D"/>
    <w:rsid w:val="636601A4"/>
    <w:rsid w:val="637B50C4"/>
    <w:rsid w:val="637E5597"/>
    <w:rsid w:val="63AF559F"/>
    <w:rsid w:val="63BA735C"/>
    <w:rsid w:val="63D761C1"/>
    <w:rsid w:val="63FD09D3"/>
    <w:rsid w:val="64102EDD"/>
    <w:rsid w:val="64114748"/>
    <w:rsid w:val="641E33B0"/>
    <w:rsid w:val="641E79ED"/>
    <w:rsid w:val="64453950"/>
    <w:rsid w:val="644B0ED1"/>
    <w:rsid w:val="64577A86"/>
    <w:rsid w:val="64597AFD"/>
    <w:rsid w:val="647E0DC5"/>
    <w:rsid w:val="64EC4019"/>
    <w:rsid w:val="64EF4C8A"/>
    <w:rsid w:val="64F135F9"/>
    <w:rsid w:val="64F231CC"/>
    <w:rsid w:val="65052BC2"/>
    <w:rsid w:val="65093249"/>
    <w:rsid w:val="650B0C83"/>
    <w:rsid w:val="650E53FE"/>
    <w:rsid w:val="65101663"/>
    <w:rsid w:val="65192256"/>
    <w:rsid w:val="65236971"/>
    <w:rsid w:val="653D3504"/>
    <w:rsid w:val="655765AB"/>
    <w:rsid w:val="65775235"/>
    <w:rsid w:val="658E12E5"/>
    <w:rsid w:val="65A17480"/>
    <w:rsid w:val="65AE2D2F"/>
    <w:rsid w:val="65CA5B1E"/>
    <w:rsid w:val="65CB6C19"/>
    <w:rsid w:val="65D02360"/>
    <w:rsid w:val="65D6565B"/>
    <w:rsid w:val="65E56843"/>
    <w:rsid w:val="6642057F"/>
    <w:rsid w:val="664B2055"/>
    <w:rsid w:val="665B50ED"/>
    <w:rsid w:val="665E1350"/>
    <w:rsid w:val="66660009"/>
    <w:rsid w:val="666C11EC"/>
    <w:rsid w:val="667C733D"/>
    <w:rsid w:val="66820A27"/>
    <w:rsid w:val="66875385"/>
    <w:rsid w:val="66AE48B7"/>
    <w:rsid w:val="66B07855"/>
    <w:rsid w:val="66B11048"/>
    <w:rsid w:val="66C66A86"/>
    <w:rsid w:val="66C901B8"/>
    <w:rsid w:val="66E67C53"/>
    <w:rsid w:val="670F7122"/>
    <w:rsid w:val="673138A5"/>
    <w:rsid w:val="67377AA6"/>
    <w:rsid w:val="673A3EE9"/>
    <w:rsid w:val="67404363"/>
    <w:rsid w:val="674149D8"/>
    <w:rsid w:val="674965F6"/>
    <w:rsid w:val="674C500E"/>
    <w:rsid w:val="676D3CBA"/>
    <w:rsid w:val="677646AA"/>
    <w:rsid w:val="67773027"/>
    <w:rsid w:val="67834A6E"/>
    <w:rsid w:val="678673E4"/>
    <w:rsid w:val="67AA5791"/>
    <w:rsid w:val="67B67A27"/>
    <w:rsid w:val="67C3458F"/>
    <w:rsid w:val="67DD42A1"/>
    <w:rsid w:val="67E04065"/>
    <w:rsid w:val="67FC386F"/>
    <w:rsid w:val="67FD3C3B"/>
    <w:rsid w:val="68006FDD"/>
    <w:rsid w:val="682B652C"/>
    <w:rsid w:val="68690F83"/>
    <w:rsid w:val="6891211B"/>
    <w:rsid w:val="68920EBE"/>
    <w:rsid w:val="68CB3436"/>
    <w:rsid w:val="68DD2BAA"/>
    <w:rsid w:val="68E41E81"/>
    <w:rsid w:val="68FC5F25"/>
    <w:rsid w:val="69056924"/>
    <w:rsid w:val="696E01E3"/>
    <w:rsid w:val="69AE04BD"/>
    <w:rsid w:val="69B73AAB"/>
    <w:rsid w:val="69C661DC"/>
    <w:rsid w:val="69CD5F5E"/>
    <w:rsid w:val="69EC374B"/>
    <w:rsid w:val="69EC6A34"/>
    <w:rsid w:val="69F63C97"/>
    <w:rsid w:val="69F65179"/>
    <w:rsid w:val="6A0A499C"/>
    <w:rsid w:val="6A171674"/>
    <w:rsid w:val="6A1B66A9"/>
    <w:rsid w:val="6A2D419B"/>
    <w:rsid w:val="6A321963"/>
    <w:rsid w:val="6A3464E4"/>
    <w:rsid w:val="6A415844"/>
    <w:rsid w:val="6A5B6282"/>
    <w:rsid w:val="6A743755"/>
    <w:rsid w:val="6AC82BD4"/>
    <w:rsid w:val="6AC90412"/>
    <w:rsid w:val="6ACF3865"/>
    <w:rsid w:val="6B081013"/>
    <w:rsid w:val="6B1B739D"/>
    <w:rsid w:val="6B3B7BAB"/>
    <w:rsid w:val="6B4530FB"/>
    <w:rsid w:val="6B4B79D9"/>
    <w:rsid w:val="6B4E5B85"/>
    <w:rsid w:val="6B513AB6"/>
    <w:rsid w:val="6B5937E0"/>
    <w:rsid w:val="6B5F09CA"/>
    <w:rsid w:val="6B6A551D"/>
    <w:rsid w:val="6BA05AE1"/>
    <w:rsid w:val="6BAB040D"/>
    <w:rsid w:val="6BE9693F"/>
    <w:rsid w:val="6BEA393A"/>
    <w:rsid w:val="6C075EE3"/>
    <w:rsid w:val="6C272062"/>
    <w:rsid w:val="6C2E3008"/>
    <w:rsid w:val="6C314403"/>
    <w:rsid w:val="6C533653"/>
    <w:rsid w:val="6C581FF5"/>
    <w:rsid w:val="6C597C98"/>
    <w:rsid w:val="6C5A0DDD"/>
    <w:rsid w:val="6C710F85"/>
    <w:rsid w:val="6C7D7068"/>
    <w:rsid w:val="6C842883"/>
    <w:rsid w:val="6C9D5279"/>
    <w:rsid w:val="6CA23718"/>
    <w:rsid w:val="6CA607BF"/>
    <w:rsid w:val="6CA97FDD"/>
    <w:rsid w:val="6CB704BA"/>
    <w:rsid w:val="6CBE5620"/>
    <w:rsid w:val="6CC62A7D"/>
    <w:rsid w:val="6CE868F3"/>
    <w:rsid w:val="6CFA53E5"/>
    <w:rsid w:val="6D10696C"/>
    <w:rsid w:val="6D205BE5"/>
    <w:rsid w:val="6D387CD0"/>
    <w:rsid w:val="6D5616A5"/>
    <w:rsid w:val="6D5A557B"/>
    <w:rsid w:val="6D66051E"/>
    <w:rsid w:val="6D685D64"/>
    <w:rsid w:val="6D850816"/>
    <w:rsid w:val="6D924D44"/>
    <w:rsid w:val="6D964007"/>
    <w:rsid w:val="6D974094"/>
    <w:rsid w:val="6D9D5CD0"/>
    <w:rsid w:val="6DB1045B"/>
    <w:rsid w:val="6DCD133B"/>
    <w:rsid w:val="6DE50803"/>
    <w:rsid w:val="6DF3191B"/>
    <w:rsid w:val="6DFB5274"/>
    <w:rsid w:val="6DFD4130"/>
    <w:rsid w:val="6E0415E0"/>
    <w:rsid w:val="6E0755A8"/>
    <w:rsid w:val="6E0C3B5D"/>
    <w:rsid w:val="6E0E5A3E"/>
    <w:rsid w:val="6E9007AE"/>
    <w:rsid w:val="6E907BA8"/>
    <w:rsid w:val="6EB0526C"/>
    <w:rsid w:val="6EBA4761"/>
    <w:rsid w:val="6ECC236E"/>
    <w:rsid w:val="6EDF5A23"/>
    <w:rsid w:val="6EE95700"/>
    <w:rsid w:val="6EFA7B1E"/>
    <w:rsid w:val="6EFE513D"/>
    <w:rsid w:val="6F0E6175"/>
    <w:rsid w:val="6F144A9F"/>
    <w:rsid w:val="6F2359FF"/>
    <w:rsid w:val="6F2458C7"/>
    <w:rsid w:val="6F3E1EB7"/>
    <w:rsid w:val="6F443784"/>
    <w:rsid w:val="6F4D02D8"/>
    <w:rsid w:val="6F5E17EB"/>
    <w:rsid w:val="6F74086C"/>
    <w:rsid w:val="6F8321AE"/>
    <w:rsid w:val="6FB4587C"/>
    <w:rsid w:val="6FBD596D"/>
    <w:rsid w:val="6FC12448"/>
    <w:rsid w:val="6FDA4512"/>
    <w:rsid w:val="6FDE6A67"/>
    <w:rsid w:val="6FED0116"/>
    <w:rsid w:val="6FED5204"/>
    <w:rsid w:val="6FF5335B"/>
    <w:rsid w:val="700A492A"/>
    <w:rsid w:val="700C759D"/>
    <w:rsid w:val="701040B2"/>
    <w:rsid w:val="702150B6"/>
    <w:rsid w:val="70422652"/>
    <w:rsid w:val="70432388"/>
    <w:rsid w:val="7066488C"/>
    <w:rsid w:val="706952D8"/>
    <w:rsid w:val="706E54DA"/>
    <w:rsid w:val="70765B1C"/>
    <w:rsid w:val="7084648B"/>
    <w:rsid w:val="7094445F"/>
    <w:rsid w:val="70C55302"/>
    <w:rsid w:val="71032FE1"/>
    <w:rsid w:val="71266648"/>
    <w:rsid w:val="71331B6B"/>
    <w:rsid w:val="713622FE"/>
    <w:rsid w:val="713D2151"/>
    <w:rsid w:val="71713EFF"/>
    <w:rsid w:val="717C1A4E"/>
    <w:rsid w:val="71A74E89"/>
    <w:rsid w:val="71AE7170"/>
    <w:rsid w:val="71DF3ECF"/>
    <w:rsid w:val="71E820A5"/>
    <w:rsid w:val="72131483"/>
    <w:rsid w:val="724B2CCE"/>
    <w:rsid w:val="7267559F"/>
    <w:rsid w:val="72A45C3F"/>
    <w:rsid w:val="72B22A7B"/>
    <w:rsid w:val="72BB1F0C"/>
    <w:rsid w:val="72BD70E8"/>
    <w:rsid w:val="72C04F6F"/>
    <w:rsid w:val="72D52035"/>
    <w:rsid w:val="72E86F3F"/>
    <w:rsid w:val="72F50825"/>
    <w:rsid w:val="72F85EBE"/>
    <w:rsid w:val="72FD54F4"/>
    <w:rsid w:val="72FF6DAA"/>
    <w:rsid w:val="73032766"/>
    <w:rsid w:val="73084D2C"/>
    <w:rsid w:val="734E3688"/>
    <w:rsid w:val="73537821"/>
    <w:rsid w:val="73561BCF"/>
    <w:rsid w:val="735900BA"/>
    <w:rsid w:val="736437A4"/>
    <w:rsid w:val="73927162"/>
    <w:rsid w:val="73A50300"/>
    <w:rsid w:val="73D27FBF"/>
    <w:rsid w:val="73DB2F33"/>
    <w:rsid w:val="73DC66A1"/>
    <w:rsid w:val="73E97D10"/>
    <w:rsid w:val="73F77149"/>
    <w:rsid w:val="73F843D6"/>
    <w:rsid w:val="74007749"/>
    <w:rsid w:val="740A4DB5"/>
    <w:rsid w:val="74166AEC"/>
    <w:rsid w:val="742607ED"/>
    <w:rsid w:val="742E2767"/>
    <w:rsid w:val="744B6DDC"/>
    <w:rsid w:val="744B7D17"/>
    <w:rsid w:val="7466449F"/>
    <w:rsid w:val="74686AEF"/>
    <w:rsid w:val="746D74EA"/>
    <w:rsid w:val="746E1B45"/>
    <w:rsid w:val="748140AA"/>
    <w:rsid w:val="74901250"/>
    <w:rsid w:val="74930738"/>
    <w:rsid w:val="74A17A7A"/>
    <w:rsid w:val="74A63F58"/>
    <w:rsid w:val="74BB114A"/>
    <w:rsid w:val="74C048B7"/>
    <w:rsid w:val="74C45EC2"/>
    <w:rsid w:val="74D37531"/>
    <w:rsid w:val="75260FA8"/>
    <w:rsid w:val="752C70AC"/>
    <w:rsid w:val="7536623B"/>
    <w:rsid w:val="7551614F"/>
    <w:rsid w:val="755D14E8"/>
    <w:rsid w:val="757E6AB9"/>
    <w:rsid w:val="75862527"/>
    <w:rsid w:val="75904FA8"/>
    <w:rsid w:val="75AD62B1"/>
    <w:rsid w:val="75BF7029"/>
    <w:rsid w:val="75DE6A6B"/>
    <w:rsid w:val="75EF709A"/>
    <w:rsid w:val="75F362D7"/>
    <w:rsid w:val="75F73789"/>
    <w:rsid w:val="76170C49"/>
    <w:rsid w:val="7634372F"/>
    <w:rsid w:val="7638102B"/>
    <w:rsid w:val="764F2032"/>
    <w:rsid w:val="76535F48"/>
    <w:rsid w:val="765E777E"/>
    <w:rsid w:val="76707C90"/>
    <w:rsid w:val="76936ED6"/>
    <w:rsid w:val="76A16214"/>
    <w:rsid w:val="76B0722F"/>
    <w:rsid w:val="76B769CD"/>
    <w:rsid w:val="76BD7593"/>
    <w:rsid w:val="76BF18C1"/>
    <w:rsid w:val="76CE21CC"/>
    <w:rsid w:val="76D86A4B"/>
    <w:rsid w:val="76E23EFE"/>
    <w:rsid w:val="76E47735"/>
    <w:rsid w:val="76EA7F2A"/>
    <w:rsid w:val="770563EB"/>
    <w:rsid w:val="77101ADC"/>
    <w:rsid w:val="7716405C"/>
    <w:rsid w:val="77200F57"/>
    <w:rsid w:val="773B591F"/>
    <w:rsid w:val="773E7E3C"/>
    <w:rsid w:val="77513429"/>
    <w:rsid w:val="77654A79"/>
    <w:rsid w:val="776B13A3"/>
    <w:rsid w:val="776D5A49"/>
    <w:rsid w:val="779A1010"/>
    <w:rsid w:val="77A40729"/>
    <w:rsid w:val="77A706E3"/>
    <w:rsid w:val="77DA1288"/>
    <w:rsid w:val="77E62826"/>
    <w:rsid w:val="77ED374D"/>
    <w:rsid w:val="780D43C8"/>
    <w:rsid w:val="7832511A"/>
    <w:rsid w:val="7851485F"/>
    <w:rsid w:val="7852532B"/>
    <w:rsid w:val="78547D0B"/>
    <w:rsid w:val="78586623"/>
    <w:rsid w:val="78731841"/>
    <w:rsid w:val="787515F1"/>
    <w:rsid w:val="78B92D52"/>
    <w:rsid w:val="78BC0EBA"/>
    <w:rsid w:val="78BC53D1"/>
    <w:rsid w:val="78C0377A"/>
    <w:rsid w:val="78C37D6C"/>
    <w:rsid w:val="78C90A15"/>
    <w:rsid w:val="78CC258C"/>
    <w:rsid w:val="79007C34"/>
    <w:rsid w:val="79303B71"/>
    <w:rsid w:val="7939233F"/>
    <w:rsid w:val="79476444"/>
    <w:rsid w:val="79513421"/>
    <w:rsid w:val="796432FD"/>
    <w:rsid w:val="796502FF"/>
    <w:rsid w:val="797C21DE"/>
    <w:rsid w:val="79AC4E5F"/>
    <w:rsid w:val="79BF0891"/>
    <w:rsid w:val="79D6077E"/>
    <w:rsid w:val="79D7202B"/>
    <w:rsid w:val="79FB7A56"/>
    <w:rsid w:val="79FC7092"/>
    <w:rsid w:val="7A020E8A"/>
    <w:rsid w:val="7A4821DB"/>
    <w:rsid w:val="7A4872E1"/>
    <w:rsid w:val="7A551469"/>
    <w:rsid w:val="7A597D12"/>
    <w:rsid w:val="7A6540CC"/>
    <w:rsid w:val="7A66202C"/>
    <w:rsid w:val="7A697680"/>
    <w:rsid w:val="7A7B26AD"/>
    <w:rsid w:val="7A7F62CB"/>
    <w:rsid w:val="7A83332F"/>
    <w:rsid w:val="7A933DBD"/>
    <w:rsid w:val="7AC10514"/>
    <w:rsid w:val="7AD6029A"/>
    <w:rsid w:val="7AD77BDF"/>
    <w:rsid w:val="7AE020DD"/>
    <w:rsid w:val="7AF935C6"/>
    <w:rsid w:val="7AF94066"/>
    <w:rsid w:val="7B0920A3"/>
    <w:rsid w:val="7B182FED"/>
    <w:rsid w:val="7B837748"/>
    <w:rsid w:val="7B933F59"/>
    <w:rsid w:val="7BA06626"/>
    <w:rsid w:val="7BBF7466"/>
    <w:rsid w:val="7BE45F57"/>
    <w:rsid w:val="7BF54F7F"/>
    <w:rsid w:val="7C0F0D15"/>
    <w:rsid w:val="7C1B0DED"/>
    <w:rsid w:val="7C280DAE"/>
    <w:rsid w:val="7C303CB3"/>
    <w:rsid w:val="7C570D26"/>
    <w:rsid w:val="7CC13B24"/>
    <w:rsid w:val="7CC2367F"/>
    <w:rsid w:val="7CE44628"/>
    <w:rsid w:val="7CE67CDC"/>
    <w:rsid w:val="7D08084D"/>
    <w:rsid w:val="7D137E56"/>
    <w:rsid w:val="7D401537"/>
    <w:rsid w:val="7D517D34"/>
    <w:rsid w:val="7D6009FA"/>
    <w:rsid w:val="7D652C3F"/>
    <w:rsid w:val="7D8436D2"/>
    <w:rsid w:val="7D8F74DD"/>
    <w:rsid w:val="7DA9226F"/>
    <w:rsid w:val="7DAB7A33"/>
    <w:rsid w:val="7DB50E8D"/>
    <w:rsid w:val="7DB55D67"/>
    <w:rsid w:val="7DC439FE"/>
    <w:rsid w:val="7DDB1C1A"/>
    <w:rsid w:val="7DF27A9E"/>
    <w:rsid w:val="7E2F74CF"/>
    <w:rsid w:val="7E3C0E32"/>
    <w:rsid w:val="7E4321BE"/>
    <w:rsid w:val="7E4A06B1"/>
    <w:rsid w:val="7E5D735E"/>
    <w:rsid w:val="7E6B772A"/>
    <w:rsid w:val="7E811AE5"/>
    <w:rsid w:val="7E8C380E"/>
    <w:rsid w:val="7E8F105E"/>
    <w:rsid w:val="7E905DC3"/>
    <w:rsid w:val="7E9D10D9"/>
    <w:rsid w:val="7E9F341E"/>
    <w:rsid w:val="7EDC0295"/>
    <w:rsid w:val="7F121476"/>
    <w:rsid w:val="7F3B07AB"/>
    <w:rsid w:val="7F4D714E"/>
    <w:rsid w:val="7FAE0A49"/>
    <w:rsid w:val="7FBD3767"/>
    <w:rsid w:val="7FC4452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weight="2.25pt"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qFormat="1"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name="table of authorities"/>
    <w:lsdException w:unhideWhenUsed="0" w:uiPriority="0" w:semiHidden="0" w:name="macro"/>
    <w:lsdException w:qFormat="1" w:unhideWhenUsed="0"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qFormat="1"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adjustRightInd w:val="0"/>
      <w:spacing w:before="340" w:after="330" w:line="578" w:lineRule="atLeast"/>
      <w:textAlignment w:val="baseline"/>
      <w:outlineLvl w:val="0"/>
    </w:pPr>
    <w:rPr>
      <w:b/>
      <w:kern w:val="44"/>
      <w:sz w:val="44"/>
      <w:szCs w:val="20"/>
    </w:rPr>
  </w:style>
  <w:style w:type="paragraph" w:styleId="3">
    <w:name w:val="heading 2"/>
    <w:basedOn w:val="1"/>
    <w:next w:val="1"/>
    <w:link w:val="81"/>
    <w:qFormat/>
    <w:uiPriority w:val="0"/>
    <w:pPr>
      <w:keepNext/>
      <w:keepLines/>
      <w:numPr>
        <w:ilvl w:val="1"/>
        <w:numId w:val="1"/>
      </w:numPr>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numPr>
        <w:ilvl w:val="2"/>
        <w:numId w:val="1"/>
      </w:numPr>
      <w:spacing w:before="260" w:after="260" w:line="416" w:lineRule="auto"/>
      <w:outlineLvl w:val="2"/>
    </w:pPr>
    <w:rPr>
      <w:b/>
      <w:bCs/>
      <w:sz w:val="32"/>
      <w:szCs w:val="32"/>
    </w:rPr>
  </w:style>
  <w:style w:type="paragraph" w:styleId="5">
    <w:name w:val="heading 4"/>
    <w:basedOn w:val="1"/>
    <w:next w:val="1"/>
    <w:qFormat/>
    <w:uiPriority w:val="0"/>
    <w:pPr>
      <w:keepNext/>
      <w:keepLines/>
      <w:numPr>
        <w:ilvl w:val="3"/>
        <w:numId w:val="1"/>
      </w:numPr>
      <w:spacing w:before="280" w:after="290" w:line="376" w:lineRule="auto"/>
      <w:outlineLvl w:val="3"/>
    </w:pPr>
    <w:rPr>
      <w:rFonts w:ascii="Arial" w:hAnsi="Arial" w:eastAsia="黑体"/>
      <w:b/>
      <w:bCs/>
      <w:sz w:val="28"/>
      <w:szCs w:val="28"/>
    </w:rPr>
  </w:style>
  <w:style w:type="paragraph" w:styleId="6">
    <w:name w:val="heading 5"/>
    <w:basedOn w:val="1"/>
    <w:next w:val="1"/>
    <w:qFormat/>
    <w:uiPriority w:val="0"/>
    <w:pPr>
      <w:keepNext/>
      <w:keepLines/>
      <w:numPr>
        <w:ilvl w:val="4"/>
        <w:numId w:val="1"/>
      </w:numPr>
      <w:spacing w:before="280" w:after="290" w:line="376" w:lineRule="auto"/>
      <w:outlineLvl w:val="4"/>
    </w:pPr>
    <w:rPr>
      <w:b/>
      <w:bCs/>
      <w:sz w:val="28"/>
      <w:szCs w:val="28"/>
    </w:rPr>
  </w:style>
  <w:style w:type="paragraph" w:styleId="7">
    <w:name w:val="heading 6"/>
    <w:basedOn w:val="1"/>
    <w:next w:val="1"/>
    <w:qFormat/>
    <w:uiPriority w:val="0"/>
    <w:pPr>
      <w:keepNext/>
      <w:keepLines/>
      <w:numPr>
        <w:ilvl w:val="5"/>
        <w:numId w:val="1"/>
      </w:numPr>
      <w:spacing w:before="240" w:after="64" w:line="320" w:lineRule="auto"/>
      <w:outlineLvl w:val="5"/>
    </w:pPr>
    <w:rPr>
      <w:rFonts w:ascii="Arial" w:hAnsi="Arial" w:eastAsia="黑体"/>
      <w:b/>
      <w:bCs/>
      <w:sz w:val="24"/>
    </w:rPr>
  </w:style>
  <w:style w:type="paragraph" w:styleId="8">
    <w:name w:val="heading 7"/>
    <w:basedOn w:val="1"/>
    <w:next w:val="1"/>
    <w:qFormat/>
    <w:uiPriority w:val="0"/>
    <w:pPr>
      <w:keepNext/>
      <w:keepLines/>
      <w:numPr>
        <w:ilvl w:val="6"/>
        <w:numId w:val="1"/>
      </w:numPr>
      <w:spacing w:before="240" w:after="64" w:line="320" w:lineRule="auto"/>
      <w:outlineLvl w:val="6"/>
    </w:pPr>
    <w:rPr>
      <w:b/>
      <w:bCs/>
      <w:sz w:val="24"/>
    </w:rPr>
  </w:style>
  <w:style w:type="paragraph" w:styleId="9">
    <w:name w:val="heading 8"/>
    <w:basedOn w:val="1"/>
    <w:next w:val="1"/>
    <w:qFormat/>
    <w:uiPriority w:val="0"/>
    <w:pPr>
      <w:keepNext/>
      <w:keepLines/>
      <w:numPr>
        <w:ilvl w:val="7"/>
        <w:numId w:val="1"/>
      </w:numPr>
      <w:spacing w:before="240" w:after="64" w:line="320" w:lineRule="auto"/>
      <w:outlineLvl w:val="7"/>
    </w:pPr>
    <w:rPr>
      <w:rFonts w:ascii="Arial" w:hAnsi="Arial" w:eastAsia="黑体"/>
      <w:sz w:val="24"/>
    </w:rPr>
  </w:style>
  <w:style w:type="paragraph" w:styleId="10">
    <w:name w:val="heading 9"/>
    <w:basedOn w:val="1"/>
    <w:next w:val="1"/>
    <w:qFormat/>
    <w:uiPriority w:val="0"/>
    <w:pPr>
      <w:keepNext/>
      <w:keepLines/>
      <w:numPr>
        <w:ilvl w:val="8"/>
        <w:numId w:val="1"/>
      </w:numPr>
      <w:spacing w:before="240" w:after="64" w:line="320" w:lineRule="auto"/>
      <w:outlineLvl w:val="8"/>
    </w:pPr>
    <w:rPr>
      <w:rFonts w:ascii="Arial" w:hAnsi="Arial" w:eastAsia="黑体"/>
      <w:szCs w:val="21"/>
    </w:rPr>
  </w:style>
  <w:style w:type="character" w:default="1" w:styleId="75">
    <w:name w:val="Default Paragraph Font"/>
    <w:semiHidden/>
    <w:qFormat/>
    <w:uiPriority w:val="0"/>
  </w:style>
  <w:style w:type="table" w:default="1" w:styleId="73">
    <w:name w:val="Normal Table"/>
    <w:semiHidden/>
    <w:qFormat/>
    <w:uiPriority w:val="0"/>
    <w:tblPr>
      <w:tblCellMar>
        <w:top w:w="0" w:type="dxa"/>
        <w:left w:w="108" w:type="dxa"/>
        <w:bottom w:w="0" w:type="dxa"/>
        <w:right w:w="108" w:type="dxa"/>
      </w:tblCellMar>
    </w:tblPr>
  </w:style>
  <w:style w:type="paragraph" w:styleId="11">
    <w:name w:val="List 3"/>
    <w:basedOn w:val="1"/>
    <w:qFormat/>
    <w:uiPriority w:val="0"/>
    <w:pPr>
      <w:ind w:left="100" w:leftChars="400" w:hanging="200" w:hangingChars="200"/>
    </w:pPr>
    <w:rPr>
      <w:rFonts w:ascii="仿宋_GB2312" w:eastAsia="仿宋_GB2312"/>
      <w:color w:val="000000"/>
      <w:spacing w:val="20"/>
      <w:sz w:val="24"/>
    </w:rPr>
  </w:style>
  <w:style w:type="paragraph" w:styleId="12">
    <w:name w:val="toc 7"/>
    <w:basedOn w:val="1"/>
    <w:next w:val="1"/>
    <w:semiHidden/>
    <w:qFormat/>
    <w:uiPriority w:val="0"/>
    <w:pPr>
      <w:ind w:left="1260"/>
      <w:jc w:val="left"/>
    </w:pPr>
    <w:rPr>
      <w:sz w:val="18"/>
      <w:szCs w:val="18"/>
    </w:rPr>
  </w:style>
  <w:style w:type="paragraph" w:styleId="13">
    <w:name w:val="List Number 2"/>
    <w:basedOn w:val="1"/>
    <w:qFormat/>
    <w:uiPriority w:val="0"/>
    <w:pPr>
      <w:numPr>
        <w:ilvl w:val="0"/>
        <w:numId w:val="2"/>
      </w:numPr>
      <w:tabs>
        <w:tab w:val="left" w:pos="780"/>
      </w:tabs>
      <w:ind w:left="780" w:leftChars="200"/>
    </w:pPr>
    <w:rPr>
      <w:rFonts w:ascii="仿宋_GB2312" w:eastAsia="仿宋_GB2312"/>
      <w:color w:val="000000"/>
      <w:spacing w:val="20"/>
      <w:sz w:val="24"/>
    </w:rPr>
  </w:style>
  <w:style w:type="paragraph" w:styleId="14">
    <w:name w:val="table of authorities"/>
    <w:basedOn w:val="1"/>
    <w:next w:val="1"/>
    <w:semiHidden/>
    <w:qFormat/>
    <w:uiPriority w:val="0"/>
    <w:pPr>
      <w:ind w:left="420" w:leftChars="200"/>
    </w:pPr>
  </w:style>
  <w:style w:type="paragraph" w:styleId="15">
    <w:name w:val="Note Heading"/>
    <w:basedOn w:val="1"/>
    <w:next w:val="1"/>
    <w:qFormat/>
    <w:uiPriority w:val="0"/>
    <w:pPr>
      <w:jc w:val="center"/>
    </w:pPr>
    <w:rPr>
      <w:rFonts w:ascii="仿宋_GB2312" w:eastAsia="仿宋_GB2312"/>
      <w:color w:val="000000"/>
      <w:spacing w:val="20"/>
      <w:sz w:val="24"/>
    </w:rPr>
  </w:style>
  <w:style w:type="paragraph" w:styleId="16">
    <w:name w:val="List Bullet 4"/>
    <w:basedOn w:val="1"/>
    <w:qFormat/>
    <w:uiPriority w:val="0"/>
    <w:pPr>
      <w:numPr>
        <w:ilvl w:val="0"/>
        <w:numId w:val="3"/>
      </w:numPr>
      <w:tabs>
        <w:tab w:val="left" w:pos="1620"/>
      </w:tabs>
      <w:ind w:left="1620" w:leftChars="600"/>
    </w:pPr>
    <w:rPr>
      <w:rFonts w:ascii="仿宋_GB2312" w:eastAsia="仿宋_GB2312"/>
      <w:color w:val="000000"/>
      <w:spacing w:val="20"/>
      <w:sz w:val="24"/>
    </w:rPr>
  </w:style>
  <w:style w:type="paragraph" w:styleId="17">
    <w:name w:val="E-mail Signature"/>
    <w:basedOn w:val="1"/>
    <w:qFormat/>
    <w:uiPriority w:val="0"/>
    <w:rPr>
      <w:rFonts w:ascii="仿宋_GB2312" w:eastAsia="仿宋_GB2312"/>
      <w:color w:val="000000"/>
      <w:spacing w:val="20"/>
      <w:sz w:val="24"/>
    </w:rPr>
  </w:style>
  <w:style w:type="paragraph" w:styleId="18">
    <w:name w:val="List Number"/>
    <w:basedOn w:val="1"/>
    <w:qFormat/>
    <w:uiPriority w:val="0"/>
    <w:pPr>
      <w:numPr>
        <w:ilvl w:val="0"/>
        <w:numId w:val="2"/>
      </w:numPr>
    </w:pPr>
    <w:rPr>
      <w:rFonts w:ascii="仿宋_GB2312" w:eastAsia="仿宋_GB2312"/>
      <w:color w:val="000000"/>
      <w:spacing w:val="20"/>
      <w:sz w:val="24"/>
    </w:rPr>
  </w:style>
  <w:style w:type="paragraph" w:styleId="19">
    <w:name w:val="Normal Indent"/>
    <w:basedOn w:val="1"/>
    <w:qFormat/>
    <w:uiPriority w:val="0"/>
    <w:pPr>
      <w:spacing w:line="480" w:lineRule="auto"/>
      <w:ind w:firstLine="420"/>
    </w:pPr>
    <w:rPr>
      <w:spacing w:val="10"/>
      <w:szCs w:val="20"/>
    </w:rPr>
  </w:style>
  <w:style w:type="paragraph" w:styleId="20">
    <w:name w:val="List Bullet"/>
    <w:basedOn w:val="1"/>
    <w:qFormat/>
    <w:uiPriority w:val="0"/>
    <w:pPr>
      <w:numPr>
        <w:ilvl w:val="0"/>
        <w:numId w:val="4"/>
      </w:numPr>
      <w:tabs>
        <w:tab w:val="left" w:pos="360"/>
      </w:tabs>
      <w:ind w:left="360"/>
    </w:pPr>
    <w:rPr>
      <w:rFonts w:ascii="仿宋_GB2312" w:eastAsia="仿宋_GB2312"/>
      <w:color w:val="000000"/>
      <w:spacing w:val="20"/>
      <w:sz w:val="24"/>
    </w:rPr>
  </w:style>
  <w:style w:type="paragraph" w:styleId="21">
    <w:name w:val="envelope address"/>
    <w:basedOn w:val="1"/>
    <w:qFormat/>
    <w:uiPriority w:val="0"/>
    <w:pPr>
      <w:framePr w:w="7920" w:h="1980" w:hSpace="180" w:wrap="around" w:vAnchor="margin" w:hAnchor="page" w:xAlign="center" w:yAlign="bottom"/>
      <w:numPr>
        <w:ilvl w:val="0"/>
        <w:numId w:val="3"/>
      </w:numPr>
      <w:snapToGrid w:val="0"/>
      <w:ind w:left="100" w:leftChars="1400" w:firstLine="0"/>
    </w:pPr>
    <w:rPr>
      <w:rFonts w:ascii="Arial" w:hAnsi="Arial" w:eastAsia="仿宋_GB2312" w:cs="Arial"/>
      <w:color w:val="000000"/>
      <w:spacing w:val="20"/>
      <w:sz w:val="24"/>
    </w:rPr>
  </w:style>
  <w:style w:type="paragraph" w:styleId="22">
    <w:name w:val="Document Map"/>
    <w:basedOn w:val="1"/>
    <w:semiHidden/>
    <w:qFormat/>
    <w:uiPriority w:val="0"/>
    <w:pPr>
      <w:shd w:val="clear" w:color="auto" w:fill="000080"/>
    </w:pPr>
  </w:style>
  <w:style w:type="paragraph" w:styleId="23">
    <w:name w:val="toa heading"/>
    <w:basedOn w:val="1"/>
    <w:next w:val="1"/>
    <w:semiHidden/>
    <w:qFormat/>
    <w:uiPriority w:val="0"/>
    <w:pPr>
      <w:spacing w:before="120"/>
    </w:pPr>
    <w:rPr>
      <w:rFonts w:ascii="Arial" w:hAnsi="Arial" w:cs="Arial"/>
      <w:sz w:val="24"/>
    </w:rPr>
  </w:style>
  <w:style w:type="paragraph" w:styleId="24">
    <w:name w:val="annotation text"/>
    <w:basedOn w:val="1"/>
    <w:semiHidden/>
    <w:qFormat/>
    <w:uiPriority w:val="0"/>
    <w:pPr>
      <w:jc w:val="left"/>
    </w:pPr>
    <w:rPr>
      <w:rFonts w:ascii="仿宋_GB2312" w:eastAsia="仿宋_GB2312"/>
      <w:color w:val="000000"/>
      <w:spacing w:val="20"/>
      <w:sz w:val="24"/>
    </w:rPr>
  </w:style>
  <w:style w:type="paragraph" w:styleId="25">
    <w:name w:val="Salutation"/>
    <w:basedOn w:val="1"/>
    <w:next w:val="1"/>
    <w:qFormat/>
    <w:uiPriority w:val="0"/>
    <w:rPr>
      <w:rFonts w:ascii="仿宋_GB2312" w:eastAsia="仿宋_GB2312"/>
      <w:color w:val="3366FF"/>
    </w:rPr>
  </w:style>
  <w:style w:type="paragraph" w:styleId="26">
    <w:name w:val="Body Text 3"/>
    <w:basedOn w:val="1"/>
    <w:qFormat/>
    <w:uiPriority w:val="0"/>
    <w:pPr>
      <w:numPr>
        <w:ilvl w:val="0"/>
        <w:numId w:val="5"/>
      </w:numPr>
      <w:spacing w:after="120"/>
      <w:ind w:left="0" w:firstLine="0"/>
    </w:pPr>
    <w:rPr>
      <w:rFonts w:ascii="仿宋_GB2312" w:eastAsia="仿宋_GB2312"/>
      <w:color w:val="000000"/>
      <w:spacing w:val="20"/>
      <w:sz w:val="16"/>
      <w:szCs w:val="16"/>
    </w:rPr>
  </w:style>
  <w:style w:type="paragraph" w:styleId="27">
    <w:name w:val="Closing"/>
    <w:basedOn w:val="1"/>
    <w:qFormat/>
    <w:uiPriority w:val="0"/>
    <w:pPr>
      <w:ind w:left="100" w:leftChars="2100"/>
    </w:pPr>
    <w:rPr>
      <w:rFonts w:ascii="仿宋_GB2312" w:eastAsia="仿宋_GB2312"/>
      <w:color w:val="3366FF"/>
    </w:rPr>
  </w:style>
  <w:style w:type="paragraph" w:styleId="28">
    <w:name w:val="List Bullet 3"/>
    <w:basedOn w:val="1"/>
    <w:qFormat/>
    <w:uiPriority w:val="0"/>
    <w:pPr>
      <w:numPr>
        <w:ilvl w:val="0"/>
        <w:numId w:val="6"/>
      </w:numPr>
      <w:tabs>
        <w:tab w:val="left" w:pos="1200"/>
      </w:tabs>
      <w:ind w:left="1200" w:leftChars="400"/>
    </w:pPr>
    <w:rPr>
      <w:rFonts w:ascii="仿宋_GB2312" w:eastAsia="仿宋_GB2312"/>
      <w:color w:val="000000"/>
      <w:spacing w:val="20"/>
      <w:sz w:val="24"/>
    </w:rPr>
  </w:style>
  <w:style w:type="paragraph" w:styleId="29">
    <w:name w:val="Body Text"/>
    <w:basedOn w:val="1"/>
    <w:qFormat/>
    <w:uiPriority w:val="0"/>
    <w:pPr>
      <w:spacing w:line="360" w:lineRule="auto"/>
    </w:pPr>
    <w:rPr>
      <w:b/>
      <w:bCs/>
    </w:rPr>
  </w:style>
  <w:style w:type="paragraph" w:styleId="30">
    <w:name w:val="Body Text Indent"/>
    <w:basedOn w:val="1"/>
    <w:qFormat/>
    <w:uiPriority w:val="0"/>
    <w:pPr>
      <w:spacing w:before="240" w:line="360" w:lineRule="auto"/>
      <w:ind w:firstLine="420"/>
    </w:pPr>
    <w:rPr>
      <w:szCs w:val="20"/>
    </w:rPr>
  </w:style>
  <w:style w:type="paragraph" w:styleId="31">
    <w:name w:val="List Number 3"/>
    <w:basedOn w:val="1"/>
    <w:qFormat/>
    <w:uiPriority w:val="0"/>
    <w:pPr>
      <w:numPr>
        <w:ilvl w:val="0"/>
        <w:numId w:val="7"/>
      </w:numPr>
      <w:tabs>
        <w:tab w:val="left" w:pos="1200"/>
      </w:tabs>
      <w:ind w:left="1200" w:leftChars="400"/>
    </w:pPr>
    <w:rPr>
      <w:rFonts w:ascii="仿宋_GB2312" w:eastAsia="仿宋_GB2312"/>
      <w:color w:val="000000"/>
      <w:spacing w:val="20"/>
      <w:sz w:val="24"/>
    </w:rPr>
  </w:style>
  <w:style w:type="paragraph" w:styleId="32">
    <w:name w:val="List 2"/>
    <w:basedOn w:val="1"/>
    <w:qFormat/>
    <w:uiPriority w:val="0"/>
    <w:pPr>
      <w:ind w:left="100" w:leftChars="200" w:hanging="200" w:hangingChars="200"/>
    </w:pPr>
    <w:rPr>
      <w:rFonts w:ascii="仿宋_GB2312" w:eastAsia="仿宋_GB2312"/>
      <w:color w:val="000000"/>
      <w:spacing w:val="20"/>
      <w:sz w:val="24"/>
    </w:rPr>
  </w:style>
  <w:style w:type="paragraph" w:styleId="33">
    <w:name w:val="List Continue"/>
    <w:basedOn w:val="1"/>
    <w:qFormat/>
    <w:uiPriority w:val="0"/>
    <w:pPr>
      <w:numPr>
        <w:ilvl w:val="0"/>
        <w:numId w:val="7"/>
      </w:numPr>
      <w:spacing w:after="120"/>
      <w:ind w:left="420" w:firstLine="0"/>
    </w:pPr>
    <w:rPr>
      <w:rFonts w:ascii="仿宋_GB2312" w:eastAsia="仿宋_GB2312"/>
      <w:color w:val="000000"/>
      <w:spacing w:val="20"/>
      <w:sz w:val="24"/>
    </w:rPr>
  </w:style>
  <w:style w:type="paragraph" w:styleId="34">
    <w:name w:val="Block Text"/>
    <w:basedOn w:val="1"/>
    <w:qFormat/>
    <w:uiPriority w:val="0"/>
    <w:pPr>
      <w:autoSpaceDE w:val="0"/>
      <w:autoSpaceDN w:val="0"/>
      <w:adjustRightInd w:val="0"/>
      <w:spacing w:before="20" w:after="20" w:line="360" w:lineRule="auto"/>
      <w:ind w:left="1080" w:right="841"/>
      <w:jc w:val="center"/>
      <w:textAlignment w:val="baseline"/>
    </w:pPr>
    <w:rPr>
      <w:rFonts w:ascii="宋体"/>
      <w:spacing w:val="-6"/>
      <w:kern w:val="0"/>
      <w:sz w:val="32"/>
      <w:szCs w:val="20"/>
    </w:rPr>
  </w:style>
  <w:style w:type="paragraph" w:styleId="35">
    <w:name w:val="List Bullet 2"/>
    <w:basedOn w:val="1"/>
    <w:qFormat/>
    <w:uiPriority w:val="0"/>
    <w:pPr>
      <w:numPr>
        <w:ilvl w:val="0"/>
        <w:numId w:val="8"/>
      </w:numPr>
      <w:tabs>
        <w:tab w:val="left" w:pos="780"/>
      </w:tabs>
      <w:ind w:left="780" w:leftChars="200"/>
    </w:pPr>
    <w:rPr>
      <w:rFonts w:ascii="仿宋_GB2312" w:eastAsia="仿宋_GB2312"/>
      <w:color w:val="000000"/>
      <w:spacing w:val="20"/>
      <w:sz w:val="24"/>
    </w:rPr>
  </w:style>
  <w:style w:type="paragraph" w:styleId="36">
    <w:name w:val="HTML Address"/>
    <w:basedOn w:val="1"/>
    <w:qFormat/>
    <w:uiPriority w:val="0"/>
    <w:rPr>
      <w:rFonts w:ascii="仿宋_GB2312" w:eastAsia="仿宋_GB2312"/>
      <w:i/>
      <w:iCs/>
      <w:color w:val="000000"/>
      <w:spacing w:val="20"/>
      <w:sz w:val="24"/>
    </w:rPr>
  </w:style>
  <w:style w:type="paragraph" w:styleId="37">
    <w:name w:val="toc 5"/>
    <w:basedOn w:val="1"/>
    <w:next w:val="1"/>
    <w:semiHidden/>
    <w:qFormat/>
    <w:uiPriority w:val="0"/>
    <w:pPr>
      <w:ind w:left="840"/>
      <w:jc w:val="left"/>
    </w:pPr>
    <w:rPr>
      <w:sz w:val="18"/>
      <w:szCs w:val="18"/>
    </w:rPr>
  </w:style>
  <w:style w:type="paragraph" w:styleId="38">
    <w:name w:val="toc 3"/>
    <w:basedOn w:val="1"/>
    <w:next w:val="1"/>
    <w:semiHidden/>
    <w:qFormat/>
    <w:uiPriority w:val="0"/>
    <w:pPr>
      <w:ind w:left="420"/>
      <w:jc w:val="left"/>
    </w:pPr>
    <w:rPr>
      <w:i/>
      <w:iCs/>
      <w:sz w:val="20"/>
      <w:szCs w:val="20"/>
    </w:rPr>
  </w:style>
  <w:style w:type="paragraph" w:styleId="39">
    <w:name w:val="Plain Text"/>
    <w:basedOn w:val="1"/>
    <w:link w:val="82"/>
    <w:qFormat/>
    <w:uiPriority w:val="0"/>
    <w:pPr>
      <w:adjustRightInd w:val="0"/>
      <w:textAlignment w:val="baseline"/>
    </w:pPr>
    <w:rPr>
      <w:rFonts w:ascii="宋体" w:hAnsi="Courier New"/>
      <w:szCs w:val="20"/>
    </w:rPr>
  </w:style>
  <w:style w:type="paragraph" w:styleId="40">
    <w:name w:val="List Bullet 5"/>
    <w:basedOn w:val="1"/>
    <w:qFormat/>
    <w:uiPriority w:val="0"/>
    <w:pPr>
      <w:numPr>
        <w:ilvl w:val="0"/>
        <w:numId w:val="4"/>
      </w:numPr>
      <w:tabs>
        <w:tab w:val="left" w:pos="2040"/>
      </w:tabs>
      <w:ind w:left="2040" w:leftChars="800"/>
    </w:pPr>
    <w:rPr>
      <w:rFonts w:ascii="仿宋_GB2312" w:eastAsia="仿宋_GB2312"/>
      <w:color w:val="000000"/>
      <w:spacing w:val="20"/>
      <w:sz w:val="24"/>
    </w:rPr>
  </w:style>
  <w:style w:type="paragraph" w:styleId="41">
    <w:name w:val="List Number 4"/>
    <w:basedOn w:val="1"/>
    <w:qFormat/>
    <w:uiPriority w:val="0"/>
    <w:pPr>
      <w:numPr>
        <w:ilvl w:val="0"/>
        <w:numId w:val="8"/>
      </w:numPr>
      <w:tabs>
        <w:tab w:val="left" w:pos="1620"/>
      </w:tabs>
      <w:ind w:left="1620" w:leftChars="600"/>
    </w:pPr>
    <w:rPr>
      <w:rFonts w:ascii="仿宋_GB2312" w:eastAsia="仿宋_GB2312"/>
      <w:color w:val="000000"/>
      <w:spacing w:val="20"/>
      <w:sz w:val="24"/>
    </w:rPr>
  </w:style>
  <w:style w:type="paragraph" w:styleId="42">
    <w:name w:val="toc 8"/>
    <w:basedOn w:val="1"/>
    <w:next w:val="1"/>
    <w:semiHidden/>
    <w:qFormat/>
    <w:uiPriority w:val="0"/>
    <w:pPr>
      <w:ind w:left="1470"/>
      <w:jc w:val="left"/>
    </w:pPr>
    <w:rPr>
      <w:sz w:val="18"/>
      <w:szCs w:val="18"/>
    </w:rPr>
  </w:style>
  <w:style w:type="paragraph" w:styleId="43">
    <w:name w:val="Date"/>
    <w:basedOn w:val="1"/>
    <w:next w:val="1"/>
    <w:qFormat/>
    <w:uiPriority w:val="0"/>
    <w:pPr>
      <w:ind w:left="100" w:leftChars="2500"/>
    </w:pPr>
  </w:style>
  <w:style w:type="paragraph" w:styleId="44">
    <w:name w:val="Body Text Indent 2"/>
    <w:basedOn w:val="1"/>
    <w:qFormat/>
    <w:uiPriority w:val="0"/>
    <w:pPr>
      <w:adjustRightInd w:val="0"/>
      <w:snapToGrid w:val="0"/>
      <w:spacing w:line="360" w:lineRule="auto"/>
      <w:ind w:firstLine="480" w:firstLineChars="200"/>
    </w:pPr>
    <w:rPr>
      <w:rFonts w:ascii="创艺简仿宋" w:eastAsia="创艺简仿宋"/>
      <w:sz w:val="24"/>
    </w:rPr>
  </w:style>
  <w:style w:type="paragraph" w:styleId="45">
    <w:name w:val="List Continue 5"/>
    <w:basedOn w:val="1"/>
    <w:qFormat/>
    <w:uiPriority w:val="0"/>
    <w:pPr>
      <w:numPr>
        <w:ilvl w:val="0"/>
        <w:numId w:val="9"/>
      </w:numPr>
      <w:spacing w:after="120"/>
      <w:ind w:left="2100" w:leftChars="1000" w:firstLine="0"/>
    </w:pPr>
    <w:rPr>
      <w:rFonts w:ascii="仿宋_GB2312" w:eastAsia="仿宋_GB2312"/>
      <w:color w:val="000000"/>
      <w:spacing w:val="20"/>
      <w:sz w:val="24"/>
    </w:rPr>
  </w:style>
  <w:style w:type="paragraph" w:styleId="46">
    <w:name w:val="Balloon Text"/>
    <w:basedOn w:val="1"/>
    <w:semiHidden/>
    <w:qFormat/>
    <w:uiPriority w:val="0"/>
    <w:rPr>
      <w:sz w:val="18"/>
      <w:szCs w:val="18"/>
    </w:rPr>
  </w:style>
  <w:style w:type="paragraph" w:styleId="47">
    <w:name w:val="footer"/>
    <w:basedOn w:val="1"/>
    <w:qFormat/>
    <w:uiPriority w:val="0"/>
    <w:pPr>
      <w:tabs>
        <w:tab w:val="center" w:pos="4153"/>
        <w:tab w:val="right" w:pos="8306"/>
      </w:tabs>
      <w:snapToGrid w:val="0"/>
      <w:jc w:val="left"/>
    </w:pPr>
    <w:rPr>
      <w:sz w:val="18"/>
      <w:szCs w:val="18"/>
    </w:rPr>
  </w:style>
  <w:style w:type="paragraph" w:styleId="48">
    <w:name w:val="envelope return"/>
    <w:basedOn w:val="1"/>
    <w:qFormat/>
    <w:uiPriority w:val="0"/>
    <w:pPr>
      <w:snapToGrid w:val="0"/>
    </w:pPr>
    <w:rPr>
      <w:rFonts w:ascii="Arial" w:hAnsi="Arial" w:eastAsia="仿宋_GB2312" w:cs="Arial"/>
      <w:color w:val="000000"/>
      <w:spacing w:val="20"/>
      <w:sz w:val="24"/>
    </w:rPr>
  </w:style>
  <w:style w:type="paragraph" w:styleId="4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0">
    <w:name w:val="Signature"/>
    <w:basedOn w:val="1"/>
    <w:qFormat/>
    <w:uiPriority w:val="0"/>
    <w:pPr>
      <w:numPr>
        <w:ilvl w:val="0"/>
        <w:numId w:val="3"/>
      </w:numPr>
      <w:ind w:left="100" w:leftChars="2100" w:firstLine="0"/>
    </w:pPr>
    <w:rPr>
      <w:rFonts w:ascii="仿宋_GB2312" w:eastAsia="仿宋_GB2312"/>
      <w:color w:val="000000"/>
      <w:spacing w:val="20"/>
      <w:sz w:val="24"/>
    </w:rPr>
  </w:style>
  <w:style w:type="paragraph" w:styleId="51">
    <w:name w:val="toc 1"/>
    <w:basedOn w:val="1"/>
    <w:next w:val="1"/>
    <w:qFormat/>
    <w:uiPriority w:val="39"/>
    <w:pPr>
      <w:spacing w:before="120" w:after="120"/>
      <w:jc w:val="left"/>
    </w:pPr>
    <w:rPr>
      <w:b/>
      <w:bCs/>
      <w:caps/>
      <w:sz w:val="20"/>
      <w:szCs w:val="20"/>
    </w:rPr>
  </w:style>
  <w:style w:type="paragraph" w:styleId="52">
    <w:name w:val="List Continue 4"/>
    <w:basedOn w:val="1"/>
    <w:qFormat/>
    <w:uiPriority w:val="0"/>
    <w:pPr>
      <w:numPr>
        <w:ilvl w:val="0"/>
        <w:numId w:val="10"/>
      </w:numPr>
      <w:spacing w:after="120"/>
      <w:ind w:left="1680" w:leftChars="800" w:firstLine="0"/>
    </w:pPr>
    <w:rPr>
      <w:rFonts w:ascii="仿宋_GB2312" w:eastAsia="仿宋_GB2312"/>
      <w:color w:val="000000"/>
      <w:spacing w:val="20"/>
      <w:sz w:val="24"/>
    </w:rPr>
  </w:style>
  <w:style w:type="paragraph" w:styleId="53">
    <w:name w:val="toc 4"/>
    <w:basedOn w:val="1"/>
    <w:next w:val="1"/>
    <w:semiHidden/>
    <w:qFormat/>
    <w:uiPriority w:val="0"/>
    <w:pPr>
      <w:ind w:left="630"/>
      <w:jc w:val="left"/>
    </w:pPr>
    <w:rPr>
      <w:sz w:val="18"/>
      <w:szCs w:val="18"/>
    </w:rPr>
  </w:style>
  <w:style w:type="paragraph" w:styleId="54">
    <w:name w:val="Subtitle"/>
    <w:basedOn w:val="1"/>
    <w:qFormat/>
    <w:uiPriority w:val="0"/>
    <w:pPr>
      <w:numPr>
        <w:ilvl w:val="0"/>
        <w:numId w:val="11"/>
      </w:numPr>
      <w:spacing w:before="240" w:after="60" w:line="312" w:lineRule="auto"/>
      <w:ind w:left="0" w:firstLine="0"/>
      <w:jc w:val="center"/>
      <w:outlineLvl w:val="1"/>
    </w:pPr>
    <w:rPr>
      <w:rFonts w:ascii="Arial" w:hAnsi="Arial" w:eastAsia="仿宋_GB2312" w:cs="Arial"/>
      <w:b/>
      <w:bCs/>
      <w:color w:val="000000"/>
      <w:spacing w:val="20"/>
      <w:kern w:val="28"/>
      <w:sz w:val="32"/>
      <w:szCs w:val="32"/>
    </w:rPr>
  </w:style>
  <w:style w:type="paragraph" w:styleId="55">
    <w:name w:val="List Number 5"/>
    <w:basedOn w:val="1"/>
    <w:qFormat/>
    <w:uiPriority w:val="0"/>
    <w:pPr>
      <w:numPr>
        <w:ilvl w:val="0"/>
        <w:numId w:val="2"/>
      </w:numPr>
      <w:tabs>
        <w:tab w:val="left" w:pos="2040"/>
      </w:tabs>
      <w:ind w:left="2040" w:leftChars="800"/>
    </w:pPr>
    <w:rPr>
      <w:rFonts w:ascii="仿宋_GB2312" w:eastAsia="仿宋_GB2312"/>
      <w:color w:val="000000"/>
      <w:spacing w:val="20"/>
      <w:sz w:val="24"/>
    </w:rPr>
  </w:style>
  <w:style w:type="paragraph" w:styleId="56">
    <w:name w:val="List"/>
    <w:basedOn w:val="1"/>
    <w:qFormat/>
    <w:uiPriority w:val="0"/>
    <w:pPr>
      <w:ind w:left="200" w:hanging="200" w:hangingChars="200"/>
    </w:pPr>
    <w:rPr>
      <w:rFonts w:ascii="仿宋_GB2312" w:eastAsia="仿宋_GB2312"/>
      <w:color w:val="000000"/>
      <w:spacing w:val="20"/>
      <w:sz w:val="24"/>
    </w:rPr>
  </w:style>
  <w:style w:type="paragraph" w:styleId="57">
    <w:name w:val="toc 6"/>
    <w:basedOn w:val="1"/>
    <w:next w:val="1"/>
    <w:semiHidden/>
    <w:qFormat/>
    <w:uiPriority w:val="0"/>
    <w:pPr>
      <w:ind w:left="1050"/>
      <w:jc w:val="left"/>
    </w:pPr>
    <w:rPr>
      <w:sz w:val="18"/>
      <w:szCs w:val="18"/>
    </w:rPr>
  </w:style>
  <w:style w:type="paragraph" w:styleId="58">
    <w:name w:val="List 5"/>
    <w:basedOn w:val="1"/>
    <w:qFormat/>
    <w:uiPriority w:val="0"/>
    <w:pPr>
      <w:ind w:left="100" w:leftChars="800" w:hanging="200" w:hangingChars="200"/>
    </w:pPr>
    <w:rPr>
      <w:rFonts w:ascii="仿宋_GB2312" w:eastAsia="仿宋_GB2312"/>
      <w:color w:val="000000"/>
      <w:spacing w:val="20"/>
      <w:sz w:val="24"/>
    </w:rPr>
  </w:style>
  <w:style w:type="paragraph" w:styleId="59">
    <w:name w:val="Body Text Indent 3"/>
    <w:basedOn w:val="1"/>
    <w:qFormat/>
    <w:uiPriority w:val="0"/>
    <w:pPr>
      <w:shd w:val="pct10" w:color="auto" w:fill="FFFFFF"/>
      <w:spacing w:line="480" w:lineRule="auto"/>
      <w:ind w:firstLine="510"/>
    </w:pPr>
    <w:rPr>
      <w:b/>
      <w:color w:val="000000"/>
      <w:spacing w:val="20"/>
      <w:szCs w:val="20"/>
    </w:rPr>
  </w:style>
  <w:style w:type="paragraph" w:styleId="60">
    <w:name w:val="toc 2"/>
    <w:basedOn w:val="1"/>
    <w:next w:val="1"/>
    <w:qFormat/>
    <w:uiPriority w:val="39"/>
    <w:pPr>
      <w:ind w:left="210"/>
      <w:jc w:val="left"/>
    </w:pPr>
    <w:rPr>
      <w:smallCaps/>
      <w:sz w:val="20"/>
      <w:szCs w:val="20"/>
    </w:rPr>
  </w:style>
  <w:style w:type="paragraph" w:styleId="61">
    <w:name w:val="toc 9"/>
    <w:basedOn w:val="1"/>
    <w:next w:val="1"/>
    <w:semiHidden/>
    <w:qFormat/>
    <w:uiPriority w:val="0"/>
    <w:pPr>
      <w:ind w:left="1680"/>
      <w:jc w:val="left"/>
    </w:pPr>
    <w:rPr>
      <w:sz w:val="18"/>
      <w:szCs w:val="18"/>
    </w:rPr>
  </w:style>
  <w:style w:type="paragraph" w:styleId="62">
    <w:name w:val="Body Text 2"/>
    <w:basedOn w:val="1"/>
    <w:qFormat/>
    <w:uiPriority w:val="0"/>
    <w:pPr>
      <w:spacing w:line="360" w:lineRule="auto"/>
    </w:pPr>
    <w:rPr>
      <w:sz w:val="24"/>
      <w:szCs w:val="20"/>
    </w:rPr>
  </w:style>
  <w:style w:type="paragraph" w:styleId="63">
    <w:name w:val="List 4"/>
    <w:basedOn w:val="1"/>
    <w:qFormat/>
    <w:uiPriority w:val="0"/>
    <w:pPr>
      <w:ind w:left="100" w:leftChars="600" w:hanging="200" w:hangingChars="200"/>
    </w:pPr>
    <w:rPr>
      <w:rFonts w:ascii="仿宋_GB2312" w:eastAsia="仿宋_GB2312"/>
      <w:color w:val="000000"/>
      <w:spacing w:val="20"/>
      <w:sz w:val="24"/>
    </w:rPr>
  </w:style>
  <w:style w:type="paragraph" w:styleId="64">
    <w:name w:val="List Continue 2"/>
    <w:basedOn w:val="1"/>
    <w:qFormat/>
    <w:uiPriority w:val="0"/>
    <w:pPr>
      <w:numPr>
        <w:ilvl w:val="0"/>
        <w:numId w:val="8"/>
      </w:numPr>
      <w:spacing w:after="120"/>
      <w:ind w:left="840" w:firstLine="0"/>
    </w:pPr>
    <w:rPr>
      <w:rFonts w:ascii="仿宋_GB2312" w:eastAsia="仿宋_GB2312"/>
      <w:color w:val="000000"/>
      <w:spacing w:val="20"/>
      <w:sz w:val="24"/>
    </w:rPr>
  </w:style>
  <w:style w:type="paragraph" w:styleId="65">
    <w:name w:val="Message Header"/>
    <w:basedOn w:val="1"/>
    <w:qFormat/>
    <w:uiPriority w:val="0"/>
    <w:pPr>
      <w:numPr>
        <w:ilvl w:val="0"/>
        <w:numId w:val="12"/>
      </w:num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eastAsia="仿宋_GB2312" w:cs="Arial"/>
      <w:color w:val="000000"/>
      <w:spacing w:val="20"/>
      <w:sz w:val="24"/>
    </w:rPr>
  </w:style>
  <w:style w:type="paragraph" w:styleId="66">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67">
    <w:name w:val="Normal (Web)"/>
    <w:basedOn w:val="1"/>
    <w:qFormat/>
    <w:uiPriority w:val="99"/>
    <w:pPr>
      <w:widowControl/>
      <w:spacing w:before="100" w:beforeAutospacing="1" w:after="100" w:afterAutospacing="1"/>
      <w:jc w:val="left"/>
    </w:pPr>
    <w:rPr>
      <w:rFonts w:ascii="Arial Unicode MS" w:hAnsi="Arial Unicode MS" w:eastAsia="Arial Unicode MS" w:cs="黑体"/>
      <w:kern w:val="0"/>
      <w:sz w:val="26"/>
      <w:szCs w:val="26"/>
    </w:rPr>
  </w:style>
  <w:style w:type="paragraph" w:styleId="68">
    <w:name w:val="List Continue 3"/>
    <w:basedOn w:val="1"/>
    <w:qFormat/>
    <w:uiPriority w:val="0"/>
    <w:pPr>
      <w:numPr>
        <w:ilvl w:val="0"/>
        <w:numId w:val="7"/>
      </w:numPr>
      <w:spacing w:after="120"/>
      <w:ind w:left="1260" w:leftChars="600" w:firstLine="0"/>
    </w:pPr>
    <w:rPr>
      <w:rFonts w:ascii="仿宋_GB2312" w:eastAsia="仿宋_GB2312"/>
      <w:color w:val="000000"/>
      <w:spacing w:val="20"/>
      <w:sz w:val="24"/>
    </w:rPr>
  </w:style>
  <w:style w:type="paragraph" w:styleId="69">
    <w:name w:val="Title"/>
    <w:basedOn w:val="1"/>
    <w:qFormat/>
    <w:uiPriority w:val="0"/>
    <w:pPr>
      <w:spacing w:before="240" w:after="60"/>
      <w:jc w:val="center"/>
      <w:outlineLvl w:val="0"/>
    </w:pPr>
    <w:rPr>
      <w:rFonts w:ascii="Arial" w:hAnsi="Arial" w:eastAsia="仿宋_GB2312" w:cs="Arial"/>
      <w:b/>
      <w:bCs/>
      <w:color w:val="000000"/>
      <w:spacing w:val="20"/>
      <w:sz w:val="32"/>
      <w:szCs w:val="32"/>
    </w:rPr>
  </w:style>
  <w:style w:type="paragraph" w:styleId="70">
    <w:name w:val="annotation subject"/>
    <w:basedOn w:val="24"/>
    <w:next w:val="24"/>
    <w:semiHidden/>
    <w:qFormat/>
    <w:uiPriority w:val="0"/>
    <w:rPr>
      <w:rFonts w:ascii="Times New Roman" w:hAnsi="Times New Roman" w:eastAsia="宋体" w:cs="Times New Roman"/>
      <w:b/>
      <w:bCs/>
      <w:spacing w:val="0"/>
      <w:sz w:val="21"/>
      <w:szCs w:val="20"/>
    </w:rPr>
  </w:style>
  <w:style w:type="paragraph" w:styleId="71">
    <w:name w:val="Body Text First Indent"/>
    <w:basedOn w:val="29"/>
    <w:qFormat/>
    <w:uiPriority w:val="0"/>
    <w:pPr>
      <w:widowControl/>
      <w:spacing w:after="120" w:line="240" w:lineRule="auto"/>
      <w:ind w:firstLine="454"/>
      <w:jc w:val="left"/>
    </w:pPr>
    <w:rPr>
      <w:rFonts w:ascii="仿宋_GB2312" w:eastAsia="仿宋_GB2312"/>
      <w:b w:val="0"/>
      <w:bCs w:val="0"/>
      <w:color w:val="000000"/>
      <w:spacing w:val="20"/>
      <w:kern w:val="0"/>
      <w:sz w:val="24"/>
    </w:rPr>
  </w:style>
  <w:style w:type="paragraph" w:styleId="72">
    <w:name w:val="Body Text First Indent 2"/>
    <w:basedOn w:val="30"/>
    <w:qFormat/>
    <w:uiPriority w:val="0"/>
    <w:pPr>
      <w:numPr>
        <w:ilvl w:val="0"/>
        <w:numId w:val="13"/>
      </w:numPr>
      <w:spacing w:before="0" w:after="120" w:line="240" w:lineRule="auto"/>
      <w:ind w:left="420" w:leftChars="200" w:firstLine="210" w:firstLineChars="200"/>
    </w:pPr>
    <w:rPr>
      <w:rFonts w:eastAsia="仿宋_GB2312"/>
      <w:color w:val="000000"/>
      <w:spacing w:val="20"/>
      <w:sz w:val="24"/>
      <w:szCs w:val="24"/>
    </w:rPr>
  </w:style>
  <w:style w:type="table" w:styleId="74">
    <w:name w:val="Table Grid"/>
    <w:basedOn w:val="7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6">
    <w:name w:val="Strong"/>
    <w:qFormat/>
    <w:uiPriority w:val="0"/>
    <w:rPr>
      <w:b/>
      <w:bCs/>
    </w:rPr>
  </w:style>
  <w:style w:type="character" w:styleId="77">
    <w:name w:val="page number"/>
    <w:basedOn w:val="75"/>
    <w:qFormat/>
    <w:uiPriority w:val="0"/>
  </w:style>
  <w:style w:type="character" w:styleId="78">
    <w:name w:val="FollowedHyperlink"/>
    <w:basedOn w:val="75"/>
    <w:qFormat/>
    <w:uiPriority w:val="0"/>
    <w:rPr>
      <w:color w:val="000000"/>
      <w:sz w:val="18"/>
      <w:szCs w:val="18"/>
      <w:u w:val="none"/>
    </w:rPr>
  </w:style>
  <w:style w:type="character" w:styleId="79">
    <w:name w:val="Hyperlink"/>
    <w:basedOn w:val="75"/>
    <w:qFormat/>
    <w:uiPriority w:val="99"/>
    <w:rPr>
      <w:color w:val="000000"/>
      <w:sz w:val="18"/>
      <w:szCs w:val="18"/>
      <w:u w:val="none"/>
    </w:rPr>
  </w:style>
  <w:style w:type="character" w:styleId="80">
    <w:name w:val="annotation reference"/>
    <w:semiHidden/>
    <w:qFormat/>
    <w:uiPriority w:val="0"/>
    <w:rPr>
      <w:rFonts w:ascii="Times New Roman" w:hAnsi="Times New Roman" w:eastAsia="宋体" w:cs="Times New Roman"/>
      <w:sz w:val="21"/>
      <w:szCs w:val="21"/>
    </w:rPr>
  </w:style>
  <w:style w:type="character" w:customStyle="1" w:styleId="81">
    <w:name w:val="标题 2 Char"/>
    <w:link w:val="3"/>
    <w:qFormat/>
    <w:uiPriority w:val="0"/>
    <w:rPr>
      <w:rFonts w:ascii="Arial" w:hAnsi="Arial" w:eastAsia="黑体"/>
      <w:b/>
      <w:bCs/>
      <w:kern w:val="2"/>
      <w:sz w:val="32"/>
      <w:szCs w:val="32"/>
      <w:lang w:val="en-US" w:eastAsia="zh-CN" w:bidi="ar-SA"/>
    </w:rPr>
  </w:style>
  <w:style w:type="character" w:customStyle="1" w:styleId="82">
    <w:name w:val="纯文本 Char1"/>
    <w:link w:val="39"/>
    <w:qFormat/>
    <w:uiPriority w:val="0"/>
    <w:rPr>
      <w:rFonts w:ascii="宋体" w:hAnsi="Courier New" w:eastAsia="宋体" w:cs="Times New Roman"/>
      <w:kern w:val="2"/>
      <w:sz w:val="21"/>
      <w:lang w:val="en-US" w:eastAsia="zh-CN" w:bidi="ar-SA"/>
    </w:rPr>
  </w:style>
  <w:style w:type="character" w:customStyle="1" w:styleId="83">
    <w:name w:val="font01"/>
    <w:qFormat/>
    <w:uiPriority w:val="0"/>
    <w:rPr>
      <w:rFonts w:hint="default" w:ascii="Times New Roman" w:hAnsi="Times New Roman" w:cs="Times New Roman"/>
      <w:b/>
      <w:bCs/>
      <w:color w:val="000000"/>
      <w:sz w:val="22"/>
      <w:szCs w:val="22"/>
      <w:u w:val="none"/>
    </w:rPr>
  </w:style>
  <w:style w:type="character" w:customStyle="1" w:styleId="84">
    <w:name w:val="纯文本 Char"/>
    <w:qFormat/>
    <w:uiPriority w:val="0"/>
    <w:rPr>
      <w:rFonts w:ascii="宋体" w:hAnsi="Courier New" w:eastAsia="宋体" w:cs="Times New Roman"/>
      <w:kern w:val="2"/>
      <w:sz w:val="21"/>
      <w:lang w:val="en-US" w:eastAsia="zh-CN" w:bidi="ar-SA"/>
    </w:rPr>
  </w:style>
  <w:style w:type="character" w:customStyle="1" w:styleId="85">
    <w:name w:val="font61"/>
    <w:qFormat/>
    <w:uiPriority w:val="0"/>
    <w:rPr>
      <w:rFonts w:hint="default" w:ascii="Times New Roman" w:hAnsi="Times New Roman" w:cs="Times New Roman"/>
      <w:color w:val="000000"/>
      <w:sz w:val="22"/>
      <w:szCs w:val="22"/>
      <w:u w:val="none"/>
    </w:rPr>
  </w:style>
  <w:style w:type="character" w:customStyle="1" w:styleId="86">
    <w:name w:val="td11"/>
    <w:qFormat/>
    <w:uiPriority w:val="0"/>
    <w:rPr>
      <w:rFonts w:hint="default" w:ascii="_x000B__x000C_" w:hAnsi="_x000B__x000C_"/>
      <w:color w:val="000000"/>
      <w:sz w:val="18"/>
      <w:szCs w:val="18"/>
    </w:rPr>
  </w:style>
  <w:style w:type="character" w:customStyle="1" w:styleId="87">
    <w:name w:val="font41"/>
    <w:qFormat/>
    <w:uiPriority w:val="0"/>
    <w:rPr>
      <w:rFonts w:hint="eastAsia" w:ascii="宋体" w:hAnsi="宋体" w:eastAsia="宋体"/>
      <w:color w:val="000000"/>
      <w:sz w:val="22"/>
      <w:szCs w:val="22"/>
      <w:u w:val="none"/>
    </w:rPr>
  </w:style>
  <w:style w:type="character" w:customStyle="1" w:styleId="88">
    <w:name w:val="nine2"/>
    <w:basedOn w:val="75"/>
    <w:qFormat/>
    <w:uiPriority w:val="0"/>
  </w:style>
  <w:style w:type="character" w:customStyle="1" w:styleId="89">
    <w:name w:val="font11"/>
    <w:qFormat/>
    <w:uiPriority w:val="0"/>
    <w:rPr>
      <w:rFonts w:hint="eastAsia" w:ascii="方正北魏楷书简体" w:eastAsia="方正北魏楷书简体"/>
      <w:color w:val="000000"/>
      <w:sz w:val="22"/>
      <w:szCs w:val="22"/>
      <w:u w:val="none"/>
    </w:rPr>
  </w:style>
  <w:style w:type="character" w:customStyle="1" w:styleId="90">
    <w:name w:val="font21"/>
    <w:qFormat/>
    <w:uiPriority w:val="0"/>
    <w:rPr>
      <w:rFonts w:hint="eastAsia" w:ascii="宋体" w:hAnsi="宋体" w:eastAsia="宋体"/>
      <w:b/>
      <w:bCs/>
      <w:color w:val="000000"/>
      <w:sz w:val="22"/>
      <w:szCs w:val="22"/>
      <w:u w:val="none"/>
    </w:rPr>
  </w:style>
  <w:style w:type="character" w:customStyle="1" w:styleId="91">
    <w:name w:val="font31"/>
    <w:qFormat/>
    <w:uiPriority w:val="0"/>
    <w:rPr>
      <w:rFonts w:hint="default" w:ascii="方正北魏楷书简体" w:hAnsi="方正北魏楷书简体" w:eastAsia="方正北魏楷书简体" w:cs="方正北魏楷书简体"/>
      <w:color w:val="000000"/>
      <w:sz w:val="22"/>
      <w:szCs w:val="22"/>
      <w:u w:val="none"/>
    </w:rPr>
  </w:style>
  <w:style w:type="character" w:customStyle="1" w:styleId="92">
    <w:name w:val="font51"/>
    <w:qFormat/>
    <w:uiPriority w:val="0"/>
    <w:rPr>
      <w:rFonts w:hint="eastAsia" w:ascii="宋体" w:hAnsi="宋体" w:eastAsia="宋体" w:cs="宋体"/>
      <w:color w:val="000000"/>
      <w:sz w:val="22"/>
      <w:szCs w:val="22"/>
      <w:u w:val="none"/>
    </w:rPr>
  </w:style>
  <w:style w:type="character" w:customStyle="1" w:styleId="93">
    <w:name w:val="style100"/>
    <w:basedOn w:val="75"/>
    <w:qFormat/>
    <w:uiPriority w:val="0"/>
  </w:style>
  <w:style w:type="paragraph" w:customStyle="1" w:styleId="94">
    <w:name w:val="xl30"/>
    <w:basedOn w:val="1"/>
    <w:qFormat/>
    <w:uiPriority w:val="0"/>
    <w:pPr>
      <w:widowControl/>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95">
    <w:name w:val="xl31"/>
    <w:basedOn w:val="1"/>
    <w:qFormat/>
    <w:uiPriority w:val="0"/>
    <w:pPr>
      <w:widowControl/>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96">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24"/>
    </w:rPr>
  </w:style>
  <w:style w:type="paragraph" w:customStyle="1" w:styleId="97">
    <w:name w:val="_Style 15"/>
    <w:basedOn w:val="1"/>
    <w:next w:val="39"/>
    <w:qFormat/>
    <w:uiPriority w:val="0"/>
    <w:rPr>
      <w:rFonts w:ascii="宋体" w:hAnsi="Courier New" w:eastAsia="宋体" w:cs="Times New Roman"/>
      <w:szCs w:val="20"/>
    </w:rPr>
  </w:style>
  <w:style w:type="paragraph" w:customStyle="1" w:styleId="98">
    <w:name w:val="样式 目录 1 + 左侧:  0.35 厘米 行距: 固定值 19 磅"/>
    <w:basedOn w:val="51"/>
    <w:qFormat/>
    <w:uiPriority w:val="0"/>
    <w:pPr>
      <w:numPr>
        <w:ilvl w:val="0"/>
        <w:numId w:val="0"/>
      </w:numPr>
      <w:tabs>
        <w:tab w:val="right" w:leader="dot" w:pos="9344"/>
      </w:tabs>
      <w:spacing w:line="380" w:lineRule="exact"/>
      <w:ind w:left="198"/>
    </w:pPr>
    <w:rPr>
      <w:rFonts w:eastAsia="宋体" w:cs="宋体"/>
      <w:bCs w:val="0"/>
      <w:sz w:val="28"/>
      <w:szCs w:val="20"/>
    </w:rPr>
  </w:style>
  <w:style w:type="paragraph" w:customStyle="1" w:styleId="99">
    <w:name w:val="Char Char Char Char"/>
    <w:basedOn w:val="1"/>
    <w:qFormat/>
    <w:uiPriority w:val="0"/>
    <w:rPr>
      <w:rFonts w:ascii="Tahoma" w:hAnsi="Tahoma" w:eastAsia="宋体" w:cs="Times New Roman"/>
      <w:sz w:val="24"/>
      <w:szCs w:val="20"/>
    </w:rPr>
  </w:style>
  <w:style w:type="paragraph" w:customStyle="1" w:styleId="100">
    <w:name w:val="Style Before:  15 pt After:  3 pt"/>
    <w:basedOn w:val="1"/>
    <w:qFormat/>
    <w:uiPriority w:val="0"/>
    <w:pPr>
      <w:spacing w:before="300" w:after="60"/>
      <w:jc w:val="left"/>
    </w:pPr>
    <w:rPr>
      <w:rFonts w:cs="宋体"/>
      <w:sz w:val="24"/>
      <w:szCs w:val="20"/>
      <w:lang w:eastAsia="zh-TW"/>
    </w:rPr>
  </w:style>
  <w:style w:type="paragraph" w:customStyle="1" w:styleId="101">
    <w:name w:val="xl4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102">
    <w:name w:val=" Char Char Char1 Char Char Char Char"/>
    <w:basedOn w:val="1"/>
    <w:qFormat/>
    <w:uiPriority w:val="0"/>
    <w:rPr>
      <w:rFonts w:ascii="宋体" w:hAnsi="宋体" w:cs="Courier New"/>
      <w:sz w:val="32"/>
      <w:szCs w:val="32"/>
    </w:rPr>
  </w:style>
  <w:style w:type="paragraph" w:customStyle="1" w:styleId="103">
    <w:name w:val="xl37"/>
    <w:basedOn w:val="1"/>
    <w:qFormat/>
    <w:uiPriority w:val="0"/>
    <w:pPr>
      <w:widowControl/>
      <w:spacing w:before="100" w:beforeAutospacing="1" w:after="100" w:afterAutospacing="1"/>
      <w:jc w:val="center"/>
      <w:textAlignment w:val="center"/>
    </w:pPr>
    <w:rPr>
      <w:rFonts w:ascii="Arial Unicode MS" w:hAnsi="Arial Unicode MS" w:eastAsia="Arial Unicode MS" w:cs="Arial Unicode MS"/>
      <w:kern w:val="0"/>
      <w:szCs w:val="21"/>
    </w:rPr>
  </w:style>
  <w:style w:type="paragraph" w:styleId="104">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105">
    <w:name w:val="xl24"/>
    <w:basedOn w:val="1"/>
    <w:qFormat/>
    <w:uiPriority w:val="0"/>
    <w:pPr>
      <w:widowControl/>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106">
    <w:name w:val="黑体小三"/>
    <w:basedOn w:val="1"/>
    <w:next w:val="19"/>
    <w:qFormat/>
    <w:uiPriority w:val="0"/>
    <w:pPr>
      <w:spacing w:beforeLines="300" w:afterLines="200" w:line="400" w:lineRule="exact"/>
    </w:pPr>
    <w:rPr>
      <w:rFonts w:ascii="仿宋_GB2312" w:hAnsi="宋体" w:eastAsia="仿宋_GB2312"/>
      <w:b/>
      <w:bCs/>
      <w:color w:val="000000"/>
      <w:spacing w:val="20"/>
      <w:sz w:val="36"/>
      <w:szCs w:val="36"/>
    </w:rPr>
  </w:style>
  <w:style w:type="paragraph" w:customStyle="1" w:styleId="107">
    <w:name w:val="font0"/>
    <w:basedOn w:val="1"/>
    <w:qFormat/>
    <w:uiPriority w:val="0"/>
    <w:pPr>
      <w:widowControl/>
      <w:spacing w:before="100" w:beforeAutospacing="1" w:after="100" w:afterAutospacing="1"/>
      <w:jc w:val="left"/>
    </w:pPr>
    <w:rPr>
      <w:rFonts w:hint="eastAsia" w:ascii="宋体" w:hAnsi="宋体" w:cs="Arial Unicode MS"/>
      <w:kern w:val="0"/>
      <w:sz w:val="20"/>
      <w:szCs w:val="20"/>
    </w:rPr>
  </w:style>
  <w:style w:type="paragraph" w:customStyle="1" w:styleId="108">
    <w:name w:val="xl28"/>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109">
    <w:name w:val="样式 样式 样式 样式 宋体 (符号) MS Sans Serif 右侧:  -0.07 厘米 行距: 最小值 18 磅 + 首..."/>
    <w:basedOn w:val="110"/>
    <w:qFormat/>
    <w:uiPriority w:val="0"/>
    <w:pPr>
      <w:tabs>
        <w:tab w:val="left" w:pos="780"/>
      </w:tabs>
      <w:spacing w:afterLines="10" w:line="80" w:lineRule="atLeast"/>
    </w:pPr>
  </w:style>
  <w:style w:type="paragraph" w:customStyle="1" w:styleId="110">
    <w:name w:val="样式 样式 样式 宋体 (符号) MS Sans Serif 右侧:  -0.07 厘米 行距: 最小值 18 磅 + 首行缩进..."/>
    <w:basedOn w:val="111"/>
    <w:qFormat/>
    <w:uiPriority w:val="0"/>
    <w:pPr>
      <w:tabs>
        <w:tab w:val="left" w:pos="780"/>
      </w:tabs>
      <w:spacing w:afterLines="20"/>
      <w:ind w:firstLine="300"/>
    </w:pPr>
  </w:style>
  <w:style w:type="paragraph" w:customStyle="1" w:styleId="111">
    <w:name w:val="样式 样式 宋体 (符号) MS Sans Serif 右侧:  -0.07 厘米 行距: 最小值 18 磅 + 首行缩进:  ..."/>
    <w:basedOn w:val="112"/>
    <w:qFormat/>
    <w:uiPriority w:val="0"/>
    <w:pPr>
      <w:numPr>
        <w:ilvl w:val="0"/>
        <w:numId w:val="10"/>
      </w:numPr>
      <w:spacing w:afterLines="50"/>
      <w:ind w:left="0" w:firstLine="450"/>
    </w:pPr>
  </w:style>
  <w:style w:type="paragraph" w:customStyle="1" w:styleId="112">
    <w:name w:val="样式 宋体 (符号) MS Sans Serif 右侧:  -0.07 厘米 行距: 最小值 18 磅"/>
    <w:basedOn w:val="1"/>
    <w:qFormat/>
    <w:uiPriority w:val="0"/>
    <w:pPr>
      <w:spacing w:afterLines="100" w:line="120" w:lineRule="atLeast"/>
      <w:ind w:firstLine="450" w:firstLineChars="300"/>
    </w:pPr>
    <w:rPr>
      <w:rFonts w:ascii="宋体" w:hAnsi="MS Sans Serif" w:eastAsia="黑体" w:cs="宋体"/>
      <w:color w:val="000000"/>
      <w:spacing w:val="20"/>
      <w:kern w:val="0"/>
      <w:sz w:val="15"/>
    </w:rPr>
  </w:style>
  <w:style w:type="paragraph" w:customStyle="1" w:styleId="113">
    <w:name w:val="font5"/>
    <w:basedOn w:val="1"/>
    <w:qFormat/>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114">
    <w:name w:val="样式1"/>
    <w:basedOn w:val="112"/>
    <w:qFormat/>
    <w:uiPriority w:val="0"/>
  </w:style>
  <w:style w:type="paragraph" w:customStyle="1" w:styleId="115">
    <w:name w:val="Char"/>
    <w:basedOn w:val="1"/>
    <w:qFormat/>
    <w:uiPriority w:val="0"/>
    <w:rPr>
      <w:rFonts w:ascii="Tahoma" w:hAnsi="Tahoma" w:eastAsia="宋体" w:cs="Times New Roman"/>
      <w:sz w:val="24"/>
      <w:szCs w:val="20"/>
    </w:rPr>
  </w:style>
  <w:style w:type="paragraph" w:customStyle="1" w:styleId="116">
    <w:name w:val="xl43"/>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117">
    <w:name w:val="Align center"/>
    <w:qFormat/>
    <w:uiPriority w:val="0"/>
    <w:pPr>
      <w:jc w:val="center"/>
    </w:pPr>
    <w:rPr>
      <w:rFonts w:ascii="Times New Roman" w:hAnsi="Times New Roman" w:eastAsia="宋体" w:cs="Times New Roman"/>
      <w:sz w:val="21"/>
      <w:lang w:val="en-US" w:eastAsia="zh-CN" w:bidi="ar-SA"/>
    </w:rPr>
  </w:style>
  <w:style w:type="paragraph" w:customStyle="1" w:styleId="118">
    <w:name w:val="p0"/>
    <w:basedOn w:val="1"/>
    <w:qFormat/>
    <w:uiPriority w:val="0"/>
    <w:pPr>
      <w:widowControl/>
    </w:pPr>
    <w:rPr>
      <w:kern w:val="0"/>
      <w:szCs w:val="21"/>
    </w:rPr>
  </w:style>
  <w:style w:type="paragraph" w:customStyle="1" w:styleId="119">
    <w:name w:val="样式6"/>
    <w:basedOn w:val="1"/>
    <w:qFormat/>
    <w:uiPriority w:val="0"/>
    <w:pPr>
      <w:spacing w:before="120" w:beforeLines="50"/>
    </w:pPr>
    <w:rPr>
      <w:b/>
      <w:sz w:val="28"/>
      <w:szCs w:val="28"/>
    </w:rPr>
  </w:style>
  <w:style w:type="paragraph" w:customStyle="1" w:styleId="120">
    <w:name w:val="text"/>
    <w:basedOn w:val="1"/>
    <w:qFormat/>
    <w:uiPriority w:val="0"/>
    <w:pPr>
      <w:widowControl/>
      <w:spacing w:before="100" w:beforeAutospacing="1" w:after="100" w:afterAutospacing="1" w:line="300" w:lineRule="atLeast"/>
      <w:jc w:val="left"/>
    </w:pPr>
    <w:rPr>
      <w:rFonts w:ascii="宋体" w:hAnsi="宋体" w:eastAsia="仿宋_GB2312" w:cs="宋体"/>
      <w:color w:val="000000"/>
      <w:spacing w:val="20"/>
      <w:kern w:val="0"/>
      <w:sz w:val="18"/>
      <w:szCs w:val="18"/>
    </w:rPr>
  </w:style>
  <w:style w:type="paragraph" w:customStyle="1" w:styleId="121">
    <w:name w:val="xl32"/>
    <w:basedOn w:val="1"/>
    <w:qFormat/>
    <w:uiPriority w:val="0"/>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122">
    <w:name w:val="_Style 14"/>
    <w:basedOn w:val="1"/>
    <w:next w:val="44"/>
    <w:qFormat/>
    <w:uiPriority w:val="0"/>
    <w:pPr>
      <w:ind w:firstLine="560" w:firstLineChars="200"/>
    </w:pPr>
    <w:rPr>
      <w:rFonts w:ascii="宋体" w:hAnsi="宋体" w:eastAsia="宋体" w:cs="Times New Roman"/>
      <w:sz w:val="28"/>
      <w:szCs w:val="20"/>
    </w:rPr>
  </w:style>
  <w:style w:type="paragraph" w:customStyle="1" w:styleId="123">
    <w:name w:val="Minor Head"/>
    <w:basedOn w:val="1"/>
    <w:next w:val="1"/>
    <w:qFormat/>
    <w:uiPriority w:val="0"/>
    <w:pPr>
      <w:keepNext/>
      <w:keepLines/>
      <w:widowControl/>
      <w:spacing w:before="120" w:line="290" w:lineRule="atLeast"/>
      <w:jc w:val="left"/>
    </w:pPr>
    <w:rPr>
      <w:rFonts w:eastAsia="Times New Roman"/>
      <w:b/>
      <w:kern w:val="0"/>
      <w:sz w:val="24"/>
      <w:szCs w:val="20"/>
      <w:lang w:val="en-GB"/>
    </w:rPr>
  </w:style>
  <w:style w:type="paragraph" w:customStyle="1" w:styleId="124">
    <w:name w:val="xl29"/>
    <w:basedOn w:val="1"/>
    <w:qFormat/>
    <w:uiPriority w:val="0"/>
    <w:pPr>
      <w:widowControl/>
      <w:spacing w:before="100" w:beforeAutospacing="1" w:after="100" w:afterAutospacing="1"/>
      <w:jc w:val="center"/>
    </w:pPr>
    <w:rPr>
      <w:rFonts w:ascii="Arial Unicode MS" w:hAnsi="Arial Unicode MS" w:eastAsia="Arial Unicode MS" w:cs="Arial Unicode MS"/>
      <w:kern w:val="0"/>
      <w:sz w:val="24"/>
    </w:rPr>
  </w:style>
  <w:style w:type="paragraph" w:customStyle="1" w:styleId="125">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24"/>
    </w:rPr>
  </w:style>
  <w:style w:type="paragraph" w:customStyle="1" w:styleId="126">
    <w:name w:val="Normal"/>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27">
    <w:name w:val="zw"/>
    <w:basedOn w:val="1"/>
    <w:qFormat/>
    <w:uiPriority w:val="0"/>
    <w:pPr>
      <w:autoSpaceDE w:val="0"/>
      <w:autoSpaceDN w:val="0"/>
      <w:adjustRightInd w:val="0"/>
      <w:spacing w:line="360" w:lineRule="auto"/>
      <w:ind w:firstLine="482"/>
      <w:textAlignment w:val="bottom"/>
    </w:pPr>
    <w:rPr>
      <w:rFonts w:ascii="Arial Narrow" w:hAnsi="Arial Narrow" w:eastAsia="幼圆"/>
      <w:kern w:val="0"/>
      <w:sz w:val="24"/>
      <w:szCs w:val="20"/>
    </w:rPr>
  </w:style>
  <w:style w:type="paragraph" w:customStyle="1" w:styleId="128">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129">
    <w:name w:val="xl38"/>
    <w:basedOn w:val="1"/>
    <w:qFormat/>
    <w:uiPriority w:val="0"/>
    <w:pPr>
      <w:widowControl/>
      <w:pBdr>
        <w:top w:val="single" w:color="auto" w:sz="4" w:space="0"/>
        <w:bottom w:val="single" w:color="auto" w:sz="4" w:space="0"/>
        <w:right w:val="single" w:color="auto" w:sz="4" w:space="0"/>
      </w:pBdr>
      <w:shd w:val="clear" w:color="auto" w:fill="C0C0C0"/>
      <w:spacing w:before="100" w:beforeAutospacing="1" w:after="100" w:afterAutospacing="1"/>
      <w:jc w:val="left"/>
      <w:textAlignment w:val="center"/>
    </w:pPr>
    <w:rPr>
      <w:rFonts w:ascii="Arial Unicode MS" w:hAnsi="Arial Unicode MS" w:eastAsia="Arial Unicode MS" w:cs="Arial Unicode MS"/>
      <w:kern w:val="0"/>
      <w:sz w:val="24"/>
    </w:rPr>
  </w:style>
  <w:style w:type="paragraph" w:customStyle="1" w:styleId="130">
    <w:name w:val="样式 宋体 (符号) MS Sans Serif 右侧:  -0.07 厘米 行距: 最小值 18 磅1"/>
    <w:basedOn w:val="1"/>
    <w:qFormat/>
    <w:uiPriority w:val="0"/>
    <w:pPr>
      <w:spacing w:line="360" w:lineRule="atLeast"/>
      <w:ind w:right="-38" w:firstLine="420" w:firstLineChars="200"/>
    </w:pPr>
    <w:rPr>
      <w:rFonts w:ascii="宋体" w:hAnsi="MS Sans Serif" w:eastAsia="黑体" w:cs="宋体"/>
      <w:color w:val="000000"/>
      <w:spacing w:val="20"/>
      <w:kern w:val="0"/>
      <w:sz w:val="15"/>
    </w:rPr>
  </w:style>
  <w:style w:type="paragraph" w:customStyle="1" w:styleId="131">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eastAsia="Arial Unicode MS"/>
      <w:kern w:val="0"/>
      <w:sz w:val="24"/>
    </w:rPr>
  </w:style>
  <w:style w:type="paragraph" w:customStyle="1" w:styleId="132">
    <w:name w:val="章节"/>
    <w:basedOn w:val="69"/>
    <w:qFormat/>
    <w:uiPriority w:val="0"/>
    <w:pPr>
      <w:ind w:firstLine="425"/>
    </w:pPr>
    <w:rPr>
      <w:rFonts w:eastAsia="黑体"/>
      <w:sz w:val="36"/>
    </w:rPr>
  </w:style>
  <w:style w:type="paragraph" w:customStyle="1" w:styleId="133">
    <w:name w:val="样式8"/>
    <w:basedOn w:val="2"/>
    <w:next w:val="1"/>
    <w:qFormat/>
    <w:uiPriority w:val="0"/>
  </w:style>
  <w:style w:type="paragraph" w:customStyle="1" w:styleId="134">
    <w:name w:val=" Char"/>
    <w:basedOn w:val="1"/>
    <w:qFormat/>
    <w:uiPriority w:val="0"/>
    <w:rPr>
      <w:rFonts w:ascii="Times New Roman" w:hAnsi="Times New Roman" w:eastAsia="宋体" w:cs="Times New Roman"/>
      <w:szCs w:val="24"/>
    </w:rPr>
  </w:style>
  <w:style w:type="paragraph" w:customStyle="1" w:styleId="135">
    <w:name w:val=" Char Char Char Char"/>
    <w:basedOn w:val="1"/>
    <w:qFormat/>
    <w:uiPriority w:val="0"/>
    <w:rPr>
      <w:rFonts w:ascii="Tahoma" w:hAnsi="Tahoma" w:eastAsia="宋体" w:cs="Times New Roman"/>
      <w:sz w:val="24"/>
      <w:szCs w:val="20"/>
    </w:rPr>
  </w:style>
  <w:style w:type="paragraph" w:customStyle="1" w:styleId="136">
    <w:name w:val="XBT"/>
    <w:basedOn w:val="1"/>
    <w:qFormat/>
    <w:uiPriority w:val="0"/>
    <w:pPr>
      <w:adjustRightInd w:val="0"/>
      <w:spacing w:before="360" w:after="240" w:line="440" w:lineRule="atLeast"/>
      <w:ind w:firstLine="482"/>
      <w:textAlignment w:val="baseline"/>
    </w:pPr>
    <w:rPr>
      <w:rFonts w:ascii="Arial Narrow" w:hAnsi="Arial Narrow" w:eastAsia="黑体"/>
      <w:b/>
      <w:kern w:val="0"/>
      <w:sz w:val="24"/>
      <w:szCs w:val="20"/>
    </w:rPr>
  </w:style>
  <w:style w:type="paragraph" w:customStyle="1" w:styleId="137">
    <w:name w:val="xl4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138">
    <w:name w:val="xl35"/>
    <w:basedOn w:val="1"/>
    <w:qFormat/>
    <w:uiPriority w:val="0"/>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left"/>
      <w:textAlignment w:val="center"/>
    </w:pPr>
    <w:rPr>
      <w:rFonts w:ascii="Arial Unicode MS" w:hAnsi="Arial Unicode MS" w:eastAsia="Arial Unicode MS" w:cs="Arial Unicode MS"/>
      <w:kern w:val="0"/>
      <w:sz w:val="24"/>
    </w:rPr>
  </w:style>
  <w:style w:type="paragraph" w:customStyle="1" w:styleId="139">
    <w:name w:val="font6"/>
    <w:basedOn w:val="1"/>
    <w:qFormat/>
    <w:uiPriority w:val="0"/>
    <w:pPr>
      <w:widowControl/>
      <w:spacing w:before="100" w:beforeAutospacing="1" w:after="100" w:afterAutospacing="1"/>
      <w:jc w:val="left"/>
    </w:pPr>
    <w:rPr>
      <w:rFonts w:eastAsia="Arial Unicode MS"/>
      <w:kern w:val="0"/>
      <w:sz w:val="20"/>
      <w:szCs w:val="20"/>
    </w:rPr>
  </w:style>
  <w:style w:type="paragraph" w:customStyle="1" w:styleId="140">
    <w:name w:val=" Char Char Char Char Char Char Char"/>
    <w:basedOn w:val="1"/>
    <w:qFormat/>
    <w:uiPriority w:val="0"/>
    <w:rPr>
      <w:rFonts w:ascii="Times New Roman" w:hAnsi="Times New Roman" w:eastAsia="宋体" w:cs="Times New Roman"/>
      <w:szCs w:val="21"/>
    </w:rPr>
  </w:style>
  <w:style w:type="paragraph" w:customStyle="1" w:styleId="141">
    <w:name w:val="_Style 16"/>
    <w:basedOn w:val="1"/>
    <w:next w:val="44"/>
    <w:qFormat/>
    <w:uiPriority w:val="0"/>
    <w:pPr>
      <w:ind w:firstLine="560" w:firstLineChars="200"/>
    </w:pPr>
    <w:rPr>
      <w:rFonts w:ascii="宋体" w:hAnsi="宋体" w:eastAsia="宋体" w:cs="Times New Roman"/>
      <w:sz w:val="28"/>
      <w:szCs w:val="20"/>
    </w:rPr>
  </w:style>
  <w:style w:type="paragraph" w:customStyle="1" w:styleId="142">
    <w:name w:val="样式5"/>
    <w:basedOn w:val="1"/>
    <w:qFormat/>
    <w:uiPriority w:val="0"/>
    <w:rPr>
      <w:b/>
      <w:sz w:val="28"/>
      <w:szCs w:val="28"/>
    </w:rPr>
  </w:style>
  <w:style w:type="paragraph" w:customStyle="1" w:styleId="143">
    <w:name w:val="ZW"/>
    <w:basedOn w:val="1"/>
    <w:qFormat/>
    <w:uiPriority w:val="0"/>
    <w:pPr>
      <w:adjustRightInd w:val="0"/>
      <w:spacing w:line="440" w:lineRule="atLeast"/>
      <w:ind w:firstLine="601"/>
      <w:textAlignment w:val="baseline"/>
    </w:pPr>
    <w:rPr>
      <w:rFonts w:ascii="Arial Narrow" w:eastAsia="昆仑楷体"/>
      <w:kern w:val="0"/>
      <w:sz w:val="28"/>
      <w:szCs w:val="20"/>
    </w:rPr>
  </w:style>
  <w:style w:type="paragraph" w:customStyle="1" w:styleId="144">
    <w:name w:val="xl27"/>
    <w:basedOn w:val="1"/>
    <w:qFormat/>
    <w:uiPriority w:val="0"/>
    <w:pPr>
      <w:widowControl/>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145">
    <w:name w:val="样式 宋体 (符号) MS Sans Serif 行距: 最小值 18 磅"/>
    <w:basedOn w:val="1"/>
    <w:qFormat/>
    <w:uiPriority w:val="0"/>
    <w:pPr>
      <w:numPr>
        <w:ilvl w:val="0"/>
        <w:numId w:val="10"/>
      </w:numPr>
      <w:spacing w:line="120" w:lineRule="atLeast"/>
    </w:pPr>
    <w:rPr>
      <w:rFonts w:ascii="宋体" w:hAnsi="MS Sans Serif" w:eastAsia="黑体" w:cs="宋体"/>
      <w:color w:val="000000"/>
      <w:spacing w:val="20"/>
      <w:kern w:val="0"/>
      <w:sz w:val="15"/>
    </w:rPr>
  </w:style>
  <w:style w:type="paragraph" w:customStyle="1" w:styleId="146">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147">
    <w:name w:val="样式4"/>
    <w:basedOn w:val="23"/>
    <w:next w:val="1"/>
    <w:qFormat/>
    <w:uiPriority w:val="0"/>
    <w:pPr>
      <w:jc w:val="center"/>
    </w:pPr>
    <w:rPr>
      <w:b/>
      <w:sz w:val="36"/>
      <w:szCs w:val="36"/>
    </w:rPr>
  </w:style>
  <w:style w:type="paragraph" w:customStyle="1" w:styleId="148">
    <w:name w:val="font1"/>
    <w:basedOn w:val="1"/>
    <w:qFormat/>
    <w:uiPriority w:val="0"/>
    <w:pPr>
      <w:widowControl/>
      <w:spacing w:before="100" w:beforeAutospacing="1" w:after="100" w:afterAutospacing="1"/>
      <w:jc w:val="left"/>
    </w:pPr>
    <w:rPr>
      <w:rFonts w:hint="eastAsia" w:ascii="宋体" w:hAnsi="宋体" w:cs="Arial Unicode MS"/>
      <w:kern w:val="0"/>
      <w:sz w:val="20"/>
      <w:szCs w:val="20"/>
    </w:rPr>
  </w:style>
  <w:style w:type="paragraph" w:customStyle="1" w:styleId="149">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24"/>
    </w:rPr>
  </w:style>
  <w:style w:type="paragraph" w:customStyle="1" w:styleId="150">
    <w:name w:val="样式2"/>
    <w:basedOn w:val="60"/>
    <w:qFormat/>
    <w:uiPriority w:val="0"/>
    <w:pPr>
      <w:widowControl/>
      <w:tabs>
        <w:tab w:val="left" w:pos="620"/>
        <w:tab w:val="right" w:leader="dot" w:pos="6114"/>
        <w:tab w:val="right" w:leader="dot" w:pos="9062"/>
      </w:tabs>
      <w:spacing w:line="560" w:lineRule="exact"/>
      <w:ind w:left="0" w:leftChars="0" w:firstLine="200" w:firstLineChars="200"/>
      <w:jc w:val="left"/>
    </w:pPr>
    <w:rPr>
      <w:rFonts w:ascii="仿宋_GB2312" w:eastAsia="黑体"/>
      <w:smallCaps w:val="0"/>
      <w:color w:val="000000"/>
      <w:sz w:val="13"/>
      <w:szCs w:val="20"/>
    </w:rPr>
  </w:style>
  <w:style w:type="paragraph" w:customStyle="1" w:styleId="151">
    <w:name w:val="样式3"/>
    <w:basedOn w:val="51"/>
    <w:next w:val="51"/>
    <w:qFormat/>
    <w:uiPriority w:val="0"/>
    <w:pPr>
      <w:widowControl/>
      <w:numPr>
        <w:ilvl w:val="0"/>
        <w:numId w:val="14"/>
      </w:numPr>
      <w:tabs>
        <w:tab w:val="left" w:pos="425"/>
        <w:tab w:val="right" w:leader="dot" w:pos="6114"/>
        <w:tab w:val="right" w:leader="dot" w:pos="9062"/>
      </w:tabs>
      <w:spacing w:before="120" w:after="120" w:line="560" w:lineRule="exact"/>
      <w:ind w:left="0" w:firstLine="0"/>
      <w:jc w:val="left"/>
    </w:pPr>
    <w:rPr>
      <w:rFonts w:ascii="仿宋_GB2312" w:eastAsia="仿宋_GB2312"/>
      <w:bCs w:val="0"/>
      <w:caps w:val="0"/>
      <w:color w:val="000000"/>
      <w:sz w:val="20"/>
      <w:szCs w:val="13"/>
    </w:rPr>
  </w:style>
  <w:style w:type="paragraph" w:customStyle="1" w:styleId="152">
    <w:name w:val="xl36"/>
    <w:basedOn w:val="1"/>
    <w:qFormat/>
    <w:uiPriority w:val="0"/>
    <w:pPr>
      <w:widowControl/>
      <w:spacing w:before="100" w:beforeAutospacing="1" w:after="100" w:afterAutospacing="1"/>
      <w:jc w:val="right"/>
      <w:textAlignment w:val="center"/>
    </w:pPr>
    <w:rPr>
      <w:rFonts w:ascii="Arial Unicode MS" w:hAnsi="Arial Unicode MS" w:eastAsia="Arial Unicode MS" w:cs="Arial Unicode MS"/>
      <w:kern w:val="0"/>
      <w:szCs w:val="21"/>
    </w:rPr>
  </w:style>
  <w:style w:type="paragraph" w:customStyle="1" w:styleId="153">
    <w:name w:val="样式7"/>
    <w:basedOn w:val="14"/>
    <w:qFormat/>
    <w:uiPriority w:val="0"/>
    <w:pPr>
      <w:numPr>
        <w:ilvl w:val="0"/>
        <w:numId w:val="15"/>
      </w:numPr>
    </w:pPr>
    <w:rPr>
      <w:b/>
      <w:sz w:val="36"/>
    </w:rPr>
  </w:style>
  <w:style w:type="paragraph" w:customStyle="1" w:styleId="154">
    <w:name w:val="1"/>
    <w:basedOn w:val="1"/>
    <w:next w:val="19"/>
    <w:qFormat/>
    <w:uiPriority w:val="0"/>
    <w:pPr>
      <w:ind w:firstLine="420"/>
    </w:pPr>
    <w:rPr>
      <w:rFonts w:ascii="仿宋_GB2312" w:eastAsia="仿宋_GB2312"/>
      <w:color w:val="000000"/>
      <w:spacing w:val="20"/>
      <w:sz w:val="24"/>
    </w:rPr>
  </w:style>
  <w:style w:type="paragraph" w:customStyle="1" w:styleId="155">
    <w:name w:val="样式 仿宋_GB2312 小二 加粗 居中 段前: 24 磅 段后: 12 磅"/>
    <w:basedOn w:val="1"/>
    <w:qFormat/>
    <w:uiPriority w:val="0"/>
    <w:pPr>
      <w:pageBreakBefore/>
      <w:spacing w:before="480" w:after="240"/>
      <w:jc w:val="center"/>
      <w:outlineLvl w:val="0"/>
    </w:pPr>
    <w:rPr>
      <w:rFonts w:ascii="仿宋_GB2312" w:hAnsi="Arial Narrow" w:eastAsia="仿宋_GB2312" w:cs="宋体"/>
      <w:b/>
      <w:bCs/>
      <w:spacing w:val="20"/>
      <w:sz w:val="36"/>
      <w:szCs w:val="20"/>
    </w:rPr>
  </w:style>
  <w:style w:type="paragraph" w:customStyle="1" w:styleId="156">
    <w:name w:val="c_memo6"/>
    <w:basedOn w:val="1"/>
    <w:qFormat/>
    <w:uiPriority w:val="0"/>
    <w:pPr>
      <w:widowControl/>
      <w:spacing w:before="100" w:beforeAutospacing="1" w:after="100" w:afterAutospacing="1" w:line="285" w:lineRule="atLeast"/>
      <w:jc w:val="left"/>
    </w:pPr>
    <w:rPr>
      <w:rFonts w:ascii="宋体" w:hAnsi="宋体" w:cs="宋体"/>
      <w:color w:val="333333"/>
      <w:kern w:val="0"/>
      <w:sz w:val="19"/>
      <w:szCs w:val="19"/>
    </w:rPr>
  </w:style>
  <w:style w:type="paragraph" w:customStyle="1" w:styleId="157">
    <w:name w:val="仿宋正文"/>
    <w:qFormat/>
    <w:uiPriority w:val="0"/>
    <w:pPr>
      <w:spacing w:line="360" w:lineRule="auto"/>
      <w:ind w:firstLine="200" w:firstLineChars="200"/>
    </w:pPr>
    <w:rPr>
      <w:rFonts w:ascii="Times New Roman" w:hAnsi="Times New Roman" w:eastAsia="仿宋_GB2312" w:cs="Times New Roman"/>
      <w:caps/>
      <w:kern w:val="44"/>
      <w:sz w:val="28"/>
      <w:lang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8-243&#12289;&#20964;&#21150;&#21271;&#30952;&#23621;&#22996;&#20250;&#33620;&#22478;&#22823;&#36947;&#24066;&#31293;&#24449;&#22788;&#20844;&#25151;1&#24162;602&#23460;"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www.Apmis.com</Company>
  <Pages>23</Pages>
  <Words>10745</Words>
  <Characters>11858</Characters>
  <Lines>104</Lines>
  <Paragraphs>29</Paragraphs>
  <TotalTime>0</TotalTime>
  <ScaleCrop>false</ScaleCrop>
  <LinksUpToDate>false</LinksUpToDate>
  <CharactersWithSpaces>11981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2012-10-10T06:17:00Z</dcterms:created>
  <dc:creator>apmis</dc:creator>
  <cp:lastModifiedBy>Administrator</cp:lastModifiedBy>
  <cp:lastPrinted>2019-12-09T03:10:00Z</cp:lastPrinted>
  <dcterms:modified xsi:type="dcterms:W3CDTF">2022-08-22T01:37:04Z</dcterms:modified>
  <dc:subject>房地产成本法估价报告</dc:subject>
  <dc:title>房估报告（成本法）模型</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0E7E8056947F45AC90BEB535BC7EB8EA</vt:lpwstr>
  </property>
</Properties>
</file>