
<file path=[Content_Types].xml><?xml version="1.0" encoding="utf-8"?>
<Types xmlns="http://schemas.openxmlformats.org/package/2006/content-types">
  <Default Extension="xml" ContentType="application/xml"/>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val="0"/>
        <w:spacing w:before="315" w:beforeLines="100" w:line="240" w:lineRule="auto"/>
        <w:jc w:val="both"/>
        <w:textAlignment w:val="auto"/>
        <w:rPr>
          <w:rFonts w:hint="default" w:ascii="宋体" w:hAnsi="宋体" w:eastAsia="宋体"/>
          <w:b/>
          <w:bCs/>
          <w:color w:val="auto"/>
          <w:sz w:val="28"/>
          <w:szCs w:val="28"/>
          <w:lang w:val="en-US" w:eastAsia="zh-CN"/>
        </w:rPr>
      </w:pPr>
      <w:r>
        <w:rPr>
          <w:rFonts w:hint="eastAsia" w:ascii="宋体" w:hAnsi="宋体" w:eastAsia="宋体"/>
          <w:b/>
          <w:bCs/>
          <w:color w:val="auto"/>
          <w:sz w:val="48"/>
          <w:szCs w:val="48"/>
        </w:rPr>
        <w:t xml:space="preserve"> </w:t>
      </w:r>
      <w:r>
        <w:rPr>
          <w:rFonts w:hint="eastAsia" w:ascii="宋体" w:hAnsi="宋体" w:eastAsia="宋体"/>
          <w:b/>
          <w:bCs/>
          <w:color w:val="auto"/>
          <w:sz w:val="48"/>
          <w:szCs w:val="48"/>
          <w:lang w:val="en-US" w:eastAsia="zh-CN"/>
        </w:rPr>
        <w:t xml:space="preserve">       </w:t>
      </w:r>
      <w:r>
        <w:rPr>
          <w:rFonts w:hint="eastAsia" w:ascii="宋体" w:hAnsi="宋体" w:eastAsia="宋体"/>
          <w:b/>
          <w:bCs/>
          <w:color w:val="auto"/>
          <w:sz w:val="48"/>
          <w:szCs w:val="48"/>
        </w:rPr>
        <w:t>涉执房地产处置司法评估报告</w:t>
      </w:r>
      <w:r>
        <w:rPr>
          <w:rFonts w:hint="eastAsia" w:ascii="宋体" w:hAnsi="宋体" w:eastAsia="宋体"/>
          <w:b/>
          <w:bCs/>
          <w:color w:val="auto"/>
          <w:sz w:val="48"/>
          <w:szCs w:val="48"/>
          <w:lang w:val="en-US" w:eastAsia="zh-CN"/>
        </w:rPr>
        <w:t xml:space="preserve"> </w:t>
      </w:r>
    </w:p>
    <w:p>
      <w:pPr>
        <w:keepNext w:val="0"/>
        <w:keepLines w:val="0"/>
        <w:pageBreakBefore w:val="0"/>
        <w:widowControl/>
        <w:kinsoku/>
        <w:wordWrap/>
        <w:overflowPunct/>
        <w:topLinePunct w:val="0"/>
        <w:autoSpaceDE/>
        <w:autoSpaceDN/>
        <w:bidi w:val="0"/>
        <w:adjustRightInd/>
        <w:snapToGrid w:val="0"/>
        <w:spacing w:before="472" w:beforeLines="150" w:line="240" w:lineRule="auto"/>
        <w:jc w:val="both"/>
        <w:textAlignment w:val="auto"/>
        <w:rPr>
          <w:rFonts w:hint="default" w:ascii="宋体" w:hAnsi="宋体" w:eastAsia="宋体"/>
          <w:color w:val="auto"/>
          <w:sz w:val="24"/>
          <w:lang w:val="en-US" w:eastAsia="zh-CN"/>
        </w:rPr>
      </w:pPr>
      <w:r>
        <w:rPr>
          <w:rFonts w:hint="eastAsia" w:ascii="宋体" w:hAnsi="宋体" w:eastAsia="宋体"/>
          <w:color w:val="auto"/>
          <w:sz w:val="24"/>
        </w:rPr>
        <w:t xml:space="preserve"> </w:t>
      </w:r>
      <w:r>
        <w:rPr>
          <w:rFonts w:hint="eastAsia" w:ascii="宋体" w:hAnsi="宋体" w:eastAsia="宋体"/>
          <w:color w:val="auto"/>
          <w:sz w:val="24"/>
          <w:lang w:val="en-US" w:eastAsia="zh-CN"/>
        </w:rPr>
        <w:t xml:space="preserve">                           </w:t>
      </w:r>
      <w:r>
        <w:rPr>
          <w:rFonts w:hint="eastAsia" w:ascii="宋体" w:hAnsi="宋体" w:eastAsia="宋体"/>
          <w:color w:val="auto"/>
          <w:sz w:val="24"/>
        </w:rPr>
        <w:t xml:space="preserve"> </w:t>
      </w:r>
      <w:r>
        <w:rPr>
          <w:rFonts w:hint="eastAsia" w:ascii="宋体" w:hAnsi="宋体" w:eastAsia="宋体"/>
          <w:color w:val="auto"/>
          <w:sz w:val="24"/>
          <w:szCs w:val="24"/>
        </w:rPr>
        <w:t>昆正房评报字第</w:t>
      </w:r>
      <w:r>
        <w:rPr>
          <w:rFonts w:ascii="宋体" w:hAnsi="宋体" w:eastAsia="宋体"/>
          <w:color w:val="auto"/>
          <w:sz w:val="24"/>
          <w:szCs w:val="24"/>
        </w:rPr>
        <w:t>[</w:t>
      </w:r>
      <w:r>
        <w:rPr>
          <w:rFonts w:hint="eastAsia" w:ascii="宋体" w:hAnsi="宋体" w:eastAsia="宋体"/>
          <w:color w:val="auto"/>
          <w:sz w:val="24"/>
          <w:szCs w:val="24"/>
          <w:lang w:val="en-US" w:eastAsia="zh-CN"/>
        </w:rPr>
        <w:t>2022</w:t>
      </w:r>
      <w:r>
        <w:rPr>
          <w:rFonts w:ascii="宋体" w:hAnsi="宋体" w:eastAsia="宋体"/>
          <w:color w:val="auto"/>
          <w:sz w:val="24"/>
          <w:szCs w:val="24"/>
        </w:rPr>
        <w:t>]-</w:t>
      </w:r>
      <w:r>
        <w:rPr>
          <w:rFonts w:hint="eastAsia" w:ascii="宋体" w:hAnsi="宋体" w:eastAsia="宋体"/>
          <w:color w:val="auto"/>
          <w:sz w:val="24"/>
          <w:szCs w:val="24"/>
          <w:highlight w:val="none"/>
          <w:lang w:val="en-US" w:eastAsia="zh-CN"/>
        </w:rPr>
        <w:t>08011</w:t>
      </w:r>
      <w:r>
        <w:rPr>
          <w:rFonts w:hint="eastAsia" w:ascii="宋体" w:hAnsi="宋体" w:eastAsia="宋体"/>
          <w:color w:val="auto"/>
          <w:sz w:val="24"/>
          <w:szCs w:val="24"/>
        </w:rPr>
        <w:t>号</w:t>
      </w:r>
      <w:r>
        <w:rPr>
          <w:rFonts w:hint="eastAsia" w:ascii="宋体" w:hAnsi="宋体" w:eastAsia="宋体"/>
          <w:color w:val="auto"/>
          <w:sz w:val="24"/>
          <w:lang w:val="en-US" w:eastAsia="zh-CN"/>
        </w:rPr>
        <w:t xml:space="preserve">        </w:t>
      </w:r>
    </w:p>
    <w:p>
      <w:pPr>
        <w:keepNext w:val="0"/>
        <w:keepLines w:val="0"/>
        <w:pageBreakBefore w:val="0"/>
        <w:widowControl/>
        <w:kinsoku/>
        <w:wordWrap/>
        <w:overflowPunct/>
        <w:topLinePunct w:val="0"/>
        <w:autoSpaceDE/>
        <w:autoSpaceDN/>
        <w:bidi w:val="0"/>
        <w:adjustRightInd/>
        <w:snapToGrid w:val="0"/>
        <w:spacing w:before="629" w:beforeLines="200" w:line="360" w:lineRule="auto"/>
        <w:jc w:val="center"/>
        <w:textAlignment w:val="auto"/>
        <w:rPr>
          <w:rFonts w:ascii="宋体" w:hAnsi="宋体" w:eastAsia="宋体"/>
          <w:b/>
          <w:color w:val="auto"/>
          <w:sz w:val="28"/>
        </w:rPr>
      </w:pPr>
      <w:r>
        <w:rPr>
          <w:rFonts w:hint="eastAsia" w:ascii="宋体" w:hAnsi="宋体" w:eastAsia="宋体"/>
          <w:b/>
          <w:color w:val="auto"/>
          <w:sz w:val="28"/>
        </w:rPr>
        <w:t xml:space="preserve"> </w:t>
      </w:r>
      <w:r>
        <w:rPr>
          <w:rFonts w:hint="eastAsia" w:ascii="宋体" w:hAnsi="宋体" w:eastAsia="宋体"/>
          <w:b/>
          <w:color w:val="auto"/>
          <w:sz w:val="28"/>
          <w:lang w:val="en-US" w:eastAsia="zh-CN"/>
        </w:rPr>
        <w:t xml:space="preserve"> </w:t>
      </w:r>
      <w:r>
        <w:rPr>
          <w:rFonts w:hint="eastAsia" w:ascii="宋体" w:hAnsi="宋体" w:eastAsia="宋体"/>
          <w:b/>
          <w:color w:val="auto"/>
          <w:sz w:val="28"/>
        </w:rPr>
        <w:t xml:space="preserve"> </w:t>
      </w:r>
      <w:r>
        <w:rPr>
          <w:rFonts w:hint="eastAsia" w:ascii="宋体" w:hAnsi="宋体" w:eastAsia="宋体"/>
          <w:b/>
          <w:color w:val="auto"/>
          <w:sz w:val="28"/>
        </w:rPr>
        <w:drawing>
          <wp:inline distT="0" distB="0" distL="114300" distR="114300">
            <wp:extent cx="3959860" cy="3420110"/>
            <wp:effectExtent l="0" t="0" r="2540" b="8890"/>
            <wp:docPr id="7" name="图片 7" descr="微信图片_20220725135102"/>
            <wp:cNvGraphicFramePr/>
            <a:graphic xmlns:a="http://schemas.openxmlformats.org/drawingml/2006/main">
              <a:graphicData uri="http://schemas.openxmlformats.org/drawingml/2006/picture">
                <pic:pic xmlns:pic="http://schemas.openxmlformats.org/drawingml/2006/picture">
                  <pic:nvPicPr>
                    <pic:cNvPr id="7" name="图片 7" descr="微信图片_20220725135102"/>
                    <pic:cNvPicPr/>
                  </pic:nvPicPr>
                  <pic:blipFill>
                    <a:blip r:embed="rId15">
                      <a:lum bright="6000"/>
                    </a:blip>
                    <a:stretch>
                      <a:fillRect/>
                    </a:stretch>
                  </pic:blipFill>
                  <pic:spPr>
                    <a:xfrm>
                      <a:off x="0" y="0"/>
                      <a:ext cx="3959860" cy="3420110"/>
                    </a:xfrm>
                    <a:prstGeom prst="rect">
                      <a:avLst/>
                    </a:prstGeom>
                  </pic:spPr>
                </pic:pic>
              </a:graphicData>
            </a:graphic>
          </wp:inline>
        </w:drawing>
      </w:r>
      <w:r>
        <w:rPr>
          <w:rFonts w:hint="eastAsia" w:ascii="宋体" w:hAnsi="宋体" w:eastAsia="宋体"/>
          <w:b/>
          <w:color w:val="auto"/>
          <w:sz w:val="28"/>
        </w:rPr>
        <w:t xml:space="preserve">      </w:t>
      </w:r>
    </w:p>
    <w:p>
      <w:pPr>
        <w:keepNext w:val="0"/>
        <w:keepLines w:val="0"/>
        <w:pageBreakBefore w:val="0"/>
        <w:widowControl/>
        <w:kinsoku/>
        <w:wordWrap/>
        <w:overflowPunct/>
        <w:topLinePunct w:val="0"/>
        <w:autoSpaceDE/>
        <w:autoSpaceDN/>
        <w:bidi w:val="0"/>
        <w:adjustRightInd/>
        <w:snapToGrid w:val="0"/>
        <w:spacing w:before="629" w:beforeLines="200" w:line="408" w:lineRule="auto"/>
        <w:ind w:left="2074" w:leftChars="304" w:hanging="1405" w:hangingChars="500"/>
        <w:jc w:val="both"/>
        <w:textAlignment w:val="auto"/>
        <w:rPr>
          <w:rFonts w:ascii="宋体" w:hAnsi="宋体" w:eastAsia="宋体"/>
          <w:spacing w:val="-6"/>
          <w:sz w:val="28"/>
        </w:rPr>
      </w:pPr>
      <w:r>
        <w:rPr>
          <w:rFonts w:hint="eastAsia" w:ascii="宋体" w:hAnsi="宋体" w:eastAsia="宋体"/>
          <w:b/>
          <w:sz w:val="28"/>
        </w:rPr>
        <w:t>项目名称：</w:t>
      </w:r>
      <w:r>
        <w:rPr>
          <w:rFonts w:hint="eastAsia" w:ascii="宋体" w:hAnsi="宋体" w:eastAsia="宋体"/>
          <w:bCs/>
          <w:sz w:val="28"/>
          <w:lang w:val="en-US" w:eastAsia="zh-CN"/>
        </w:rPr>
        <w:t>寻甸县仁德街道办事处凤梧路馨苑小区B区3幢1单元401室住宅</w:t>
      </w:r>
      <w:r>
        <w:rPr>
          <w:rFonts w:hint="eastAsia" w:ascii="宋体" w:hAnsi="宋体" w:eastAsia="宋体"/>
          <w:bCs/>
          <w:sz w:val="28"/>
          <w:lang w:eastAsia="zh-CN"/>
        </w:rPr>
        <w:t>，建筑面积146.26㎡涉执房地产处置</w:t>
      </w:r>
      <w:r>
        <w:rPr>
          <w:rFonts w:hint="eastAsia" w:ascii="宋体" w:hAnsi="宋体" w:eastAsia="宋体"/>
          <w:sz w:val="28"/>
          <w:szCs w:val="28"/>
        </w:rPr>
        <w:t>市场价值评估</w:t>
      </w:r>
    </w:p>
    <w:p>
      <w:pPr>
        <w:keepNext w:val="0"/>
        <w:keepLines w:val="0"/>
        <w:pageBreakBefore w:val="0"/>
        <w:widowControl/>
        <w:kinsoku/>
        <w:wordWrap/>
        <w:overflowPunct/>
        <w:topLinePunct w:val="0"/>
        <w:autoSpaceDE/>
        <w:autoSpaceDN/>
        <w:bidi w:val="0"/>
        <w:adjustRightInd/>
        <w:snapToGrid w:val="0"/>
        <w:spacing w:before="158" w:beforeLines="50" w:line="408" w:lineRule="auto"/>
        <w:ind w:left="807" w:leftChars="304" w:hanging="138" w:hangingChars="49"/>
        <w:textAlignment w:val="auto"/>
        <w:rPr>
          <w:rFonts w:hint="eastAsia" w:ascii="宋体" w:hAnsi="宋体" w:eastAsia="宋体"/>
          <w:b/>
          <w:color w:val="0000FF"/>
          <w:sz w:val="28"/>
          <w:lang w:eastAsia="zh-CN"/>
        </w:rPr>
      </w:pPr>
      <w:r>
        <w:rPr>
          <w:rFonts w:hint="eastAsia" w:ascii="宋体" w:hAnsi="宋体" w:eastAsia="宋体"/>
          <w:b/>
          <w:sz w:val="28"/>
        </w:rPr>
        <w:t>估价委托人</w:t>
      </w:r>
      <w:r>
        <w:rPr>
          <w:rFonts w:ascii="宋体" w:hAnsi="宋体" w:eastAsia="宋体"/>
          <w:b/>
          <w:bCs w:val="0"/>
          <w:sz w:val="28"/>
        </w:rPr>
        <w:t>:</w:t>
      </w:r>
      <w:r>
        <w:rPr>
          <w:rFonts w:hint="eastAsia" w:ascii="宋体" w:hAnsi="宋体" w:eastAsia="宋体"/>
          <w:sz w:val="28"/>
          <w:szCs w:val="28"/>
          <w:lang w:eastAsia="zh-CN"/>
        </w:rPr>
        <w:t>寻甸回族彝族自治县人民法院</w:t>
      </w:r>
    </w:p>
    <w:p>
      <w:pPr>
        <w:keepNext w:val="0"/>
        <w:keepLines w:val="0"/>
        <w:pageBreakBefore w:val="0"/>
        <w:widowControl/>
        <w:kinsoku/>
        <w:wordWrap/>
        <w:overflowPunct/>
        <w:topLinePunct w:val="0"/>
        <w:autoSpaceDE/>
        <w:autoSpaceDN/>
        <w:bidi w:val="0"/>
        <w:adjustRightInd/>
        <w:snapToGrid w:val="0"/>
        <w:spacing w:before="158" w:beforeLines="50" w:line="408" w:lineRule="auto"/>
        <w:ind w:left="807" w:leftChars="304" w:hanging="138" w:hangingChars="49"/>
        <w:textAlignment w:val="auto"/>
        <w:rPr>
          <w:rFonts w:ascii="宋体" w:hAnsi="宋体" w:eastAsia="宋体"/>
          <w:sz w:val="28"/>
        </w:rPr>
      </w:pPr>
      <w:r>
        <w:rPr>
          <w:rFonts w:hint="eastAsia" w:ascii="宋体" w:hAnsi="宋体" w:eastAsia="宋体"/>
          <w:b/>
          <w:sz w:val="28"/>
        </w:rPr>
        <w:t>估价机构</w:t>
      </w:r>
      <w:r>
        <w:rPr>
          <w:rFonts w:ascii="宋体" w:hAnsi="宋体" w:eastAsia="宋体"/>
          <w:b/>
          <w:bCs w:val="0"/>
          <w:sz w:val="28"/>
        </w:rPr>
        <w:t>:</w:t>
      </w:r>
      <w:r>
        <w:rPr>
          <w:rFonts w:hint="eastAsia" w:ascii="宋体" w:hAnsi="宋体" w:eastAsia="宋体"/>
          <w:sz w:val="28"/>
        </w:rPr>
        <w:t>昆明正中房地产土地资产评估有限公司</w:t>
      </w:r>
    </w:p>
    <w:p>
      <w:pPr>
        <w:keepNext w:val="0"/>
        <w:keepLines w:val="0"/>
        <w:pageBreakBefore w:val="0"/>
        <w:widowControl/>
        <w:kinsoku/>
        <w:wordWrap/>
        <w:overflowPunct/>
        <w:topLinePunct w:val="0"/>
        <w:autoSpaceDE/>
        <w:autoSpaceDN/>
        <w:bidi w:val="0"/>
        <w:adjustRightInd/>
        <w:snapToGrid w:val="0"/>
        <w:spacing w:before="158" w:beforeLines="50" w:line="408" w:lineRule="auto"/>
        <w:ind w:left="807" w:leftChars="304" w:hanging="138" w:hangingChars="49"/>
        <w:textAlignment w:val="auto"/>
        <w:rPr>
          <w:rFonts w:ascii="Times New Roman" w:hAnsi="Times New Roman" w:eastAsia="宋体" w:cs="Times New Roman"/>
          <w:bCs/>
          <w:sz w:val="28"/>
        </w:rPr>
      </w:pPr>
      <w:r>
        <w:rPr>
          <w:rFonts w:hint="eastAsia" w:ascii="宋体" w:hAnsi="宋体" w:eastAsia="宋体"/>
          <w:b/>
          <w:sz w:val="28"/>
        </w:rPr>
        <w:t>注册房地产估价师</w:t>
      </w:r>
      <w:r>
        <w:rPr>
          <w:rFonts w:hint="eastAsia" w:ascii="宋体" w:hAnsi="宋体" w:eastAsia="宋体"/>
          <w:b/>
          <w:bCs w:val="0"/>
          <w:sz w:val="28"/>
        </w:rPr>
        <w:t>：</w:t>
      </w:r>
      <w:r>
        <w:rPr>
          <w:rFonts w:ascii="Times New Roman" w:hAnsi="Times New Roman" w:eastAsia="宋体" w:cs="Times New Roman"/>
          <w:bCs/>
          <w:sz w:val="28"/>
        </w:rPr>
        <w:t xml:space="preserve">孙尔琳     </w:t>
      </w:r>
      <w:r>
        <w:rPr>
          <w:rFonts w:hint="eastAsia" w:ascii="Times New Roman" w:hAnsi="Times New Roman" w:eastAsia="宋体" w:cs="Times New Roman"/>
          <w:bCs/>
          <w:sz w:val="28"/>
        </w:rPr>
        <w:t>（</w:t>
      </w:r>
      <w:r>
        <w:rPr>
          <w:rFonts w:ascii="Times New Roman" w:hAnsi="Times New Roman" w:eastAsia="宋体" w:cs="Times New Roman"/>
          <w:bCs/>
          <w:sz w:val="28"/>
        </w:rPr>
        <w:t>注册号：5320130046</w:t>
      </w:r>
      <w:r>
        <w:rPr>
          <w:rFonts w:hint="eastAsia" w:ascii="Times New Roman" w:hAnsi="Times New Roman" w:eastAsia="宋体" w:cs="Times New Roman"/>
          <w:bCs/>
          <w:sz w:val="28"/>
        </w:rPr>
        <w:t>）</w:t>
      </w:r>
    </w:p>
    <w:p>
      <w:pPr>
        <w:keepNext w:val="0"/>
        <w:keepLines w:val="0"/>
        <w:pageBreakBefore w:val="0"/>
        <w:widowControl/>
        <w:kinsoku/>
        <w:wordWrap/>
        <w:overflowPunct/>
        <w:topLinePunct w:val="0"/>
        <w:autoSpaceDE/>
        <w:autoSpaceDN/>
        <w:bidi w:val="0"/>
        <w:adjustRightInd/>
        <w:snapToGrid w:val="0"/>
        <w:spacing w:before="158" w:beforeLines="50" w:line="408" w:lineRule="auto"/>
        <w:ind w:left="110" w:leftChars="50" w:firstLine="3080" w:firstLineChars="1100"/>
        <w:textAlignment w:val="auto"/>
        <w:rPr>
          <w:rFonts w:ascii="Times New Roman" w:hAnsi="Times New Roman" w:eastAsia="宋体" w:cs="Times New Roman"/>
          <w:bCs/>
          <w:sz w:val="28"/>
        </w:rPr>
      </w:pPr>
      <w:r>
        <w:rPr>
          <w:rFonts w:hint="eastAsia" w:ascii="Times New Roman" w:hAnsi="Times New Roman" w:eastAsia="宋体" w:cs="Times New Roman"/>
          <w:bCs/>
          <w:sz w:val="28"/>
          <w:lang w:eastAsia="zh-CN"/>
        </w:rPr>
        <w:t>陈冠滔</w:t>
      </w:r>
      <w:r>
        <w:rPr>
          <w:rFonts w:ascii="Times New Roman" w:hAnsi="Times New Roman" w:eastAsia="宋体" w:cs="Times New Roman"/>
          <w:bCs/>
          <w:sz w:val="28"/>
        </w:rPr>
        <w:t xml:space="preserve">  </w:t>
      </w:r>
      <w:r>
        <w:rPr>
          <w:rFonts w:hint="eastAsia" w:ascii="Times New Roman" w:hAnsi="Times New Roman" w:eastAsia="宋体" w:cs="Times New Roman"/>
          <w:bCs/>
          <w:sz w:val="28"/>
        </w:rPr>
        <w:t xml:space="preserve">   </w:t>
      </w:r>
      <w:r>
        <w:rPr>
          <w:rFonts w:ascii="Times New Roman" w:hAnsi="Times New Roman" w:eastAsia="宋体" w:cs="Times New Roman"/>
          <w:bCs/>
          <w:sz w:val="28"/>
        </w:rPr>
        <w:t xml:space="preserve"> </w:t>
      </w:r>
      <w:r>
        <w:rPr>
          <w:rFonts w:hint="eastAsia" w:ascii="Times New Roman" w:hAnsi="Times New Roman" w:eastAsia="宋体" w:cs="Times New Roman"/>
          <w:bCs/>
          <w:sz w:val="28"/>
        </w:rPr>
        <w:t>（</w:t>
      </w:r>
      <w:r>
        <w:rPr>
          <w:rFonts w:ascii="Times New Roman" w:hAnsi="Times New Roman" w:eastAsia="宋体" w:cs="Times New Roman"/>
          <w:bCs/>
          <w:sz w:val="28"/>
        </w:rPr>
        <w:t>注册号：</w:t>
      </w:r>
      <w:r>
        <w:rPr>
          <w:rFonts w:hint="eastAsia" w:ascii="Times New Roman" w:hAnsi="Times New Roman" w:eastAsia="宋体" w:cs="Times New Roman"/>
          <w:bCs/>
          <w:sz w:val="28"/>
          <w:lang w:eastAsia="zh-CN"/>
        </w:rPr>
        <w:t>5320200065</w:t>
      </w:r>
      <w:r>
        <w:rPr>
          <w:rFonts w:hint="eastAsia" w:ascii="Times New Roman" w:hAnsi="Times New Roman" w:eastAsia="宋体" w:cs="Times New Roman"/>
          <w:bCs/>
          <w:sz w:val="28"/>
        </w:rPr>
        <w:t>）</w:t>
      </w:r>
    </w:p>
    <w:p>
      <w:pPr>
        <w:keepNext w:val="0"/>
        <w:keepLines w:val="0"/>
        <w:pageBreakBefore w:val="0"/>
        <w:widowControl/>
        <w:kinsoku/>
        <w:wordWrap/>
        <w:overflowPunct/>
        <w:topLinePunct w:val="0"/>
        <w:autoSpaceDE/>
        <w:autoSpaceDN/>
        <w:bidi w:val="0"/>
        <w:adjustRightInd/>
        <w:snapToGrid w:val="0"/>
        <w:spacing w:before="158" w:beforeLines="50" w:line="408" w:lineRule="auto"/>
        <w:ind w:left="807" w:leftChars="304" w:hanging="138" w:hangingChars="49"/>
        <w:textAlignment w:val="auto"/>
        <w:rPr>
          <w:rFonts w:hint="eastAsia" w:ascii="宋体" w:hAnsi="宋体" w:eastAsia="宋体"/>
          <w:bCs/>
          <w:sz w:val="28"/>
          <w:lang w:eastAsia="zh-CN"/>
        </w:rPr>
        <w:sectPr>
          <w:headerReference r:id="rId5" w:type="default"/>
          <w:footerReference r:id="rId6" w:type="default"/>
          <w:pgSz w:w="11906" w:h="16838"/>
          <w:pgMar w:top="1247" w:right="1020" w:bottom="794" w:left="1134" w:header="737" w:footer="794" w:gutter="0"/>
          <w:pgBorders>
            <w:top w:val="none" w:sz="0" w:space="0"/>
            <w:left w:val="none" w:sz="0" w:space="0"/>
            <w:bottom w:val="none" w:sz="0" w:space="0"/>
            <w:right w:val="none" w:sz="0" w:space="0"/>
          </w:pgBorders>
          <w:pgNumType w:fmt="decimal" w:start="1"/>
          <w:cols w:space="720" w:num="1"/>
          <w:docGrid w:linePitch="314" w:charSpace="847"/>
        </w:sectPr>
      </w:pPr>
      <w:r>
        <w:rPr>
          <w:rFonts w:hint="eastAsia" w:ascii="宋体" w:hAnsi="宋体" w:eastAsia="宋体"/>
          <w:b/>
          <w:sz w:val="28"/>
        </w:rPr>
        <w:t>估价报告出具日期</w:t>
      </w:r>
      <w:r>
        <w:rPr>
          <w:rFonts w:hint="eastAsia" w:ascii="宋体" w:hAnsi="宋体" w:eastAsia="宋体"/>
          <w:b/>
          <w:bCs w:val="0"/>
          <w:sz w:val="28"/>
        </w:rPr>
        <w:t>：</w:t>
      </w:r>
      <w:r>
        <w:rPr>
          <w:rFonts w:hint="eastAsia" w:ascii="宋体" w:hAnsi="宋体" w:eastAsia="宋体"/>
          <w:bCs/>
          <w:sz w:val="28"/>
          <w:lang w:eastAsia="zh-CN"/>
        </w:rPr>
        <w:t>2022年08月04日</w:t>
      </w:r>
    </w:p>
    <w:p>
      <w:pPr>
        <w:keepNext/>
        <w:keepLines/>
        <w:pageBreakBefore w:val="0"/>
        <w:widowControl/>
        <w:kinsoku/>
        <w:wordWrap/>
        <w:overflowPunct/>
        <w:topLinePunct w:val="0"/>
        <w:autoSpaceDE/>
        <w:autoSpaceDN/>
        <w:bidi w:val="0"/>
        <w:adjustRightInd/>
        <w:snapToGrid/>
        <w:spacing w:line="360" w:lineRule="auto"/>
        <w:jc w:val="center"/>
        <w:textAlignment w:val="auto"/>
        <w:rPr>
          <w:rFonts w:ascii="宋体" w:hAnsi="宋体" w:eastAsia="宋体"/>
          <w:color w:val="auto"/>
          <w:sz w:val="36"/>
          <w:szCs w:val="36"/>
        </w:rPr>
      </w:pPr>
      <w:r>
        <w:rPr>
          <w:rFonts w:hint="eastAsia" w:ascii="宋体" w:hAnsi="宋体" w:eastAsia="宋体"/>
          <w:color w:val="auto"/>
          <w:sz w:val="36"/>
          <w:szCs w:val="36"/>
          <w:lang w:val="en-US" w:eastAsia="zh-CN"/>
        </w:rPr>
        <w:t xml:space="preserve">  </w:t>
      </w:r>
      <w:r>
        <w:rPr>
          <w:rFonts w:hint="eastAsia" w:ascii="宋体" w:hAnsi="宋体" w:eastAsia="宋体"/>
          <w:color w:val="auto"/>
          <w:sz w:val="36"/>
          <w:szCs w:val="36"/>
        </w:rPr>
        <w:t>致估价委托人函</w:t>
      </w:r>
    </w:p>
    <w:p>
      <w:pPr>
        <w:keepNext w:val="0"/>
        <w:keepLines w:val="0"/>
        <w:pageBreakBefore w:val="0"/>
        <w:widowControl/>
        <w:kinsoku/>
        <w:wordWrap/>
        <w:overflowPunct/>
        <w:topLinePunct w:val="0"/>
        <w:autoSpaceDE/>
        <w:autoSpaceDN/>
        <w:bidi w:val="0"/>
        <w:adjustRightInd/>
        <w:snapToGrid w:val="0"/>
        <w:spacing w:before="158" w:beforeLines="50" w:line="384" w:lineRule="auto"/>
        <w:jc w:val="both"/>
        <w:textAlignment w:val="auto"/>
        <w:rPr>
          <w:rFonts w:ascii="宋体" w:hAnsi="宋体" w:eastAsia="宋体"/>
          <w:bCs/>
          <w:color w:val="auto"/>
          <w:sz w:val="28"/>
          <w:szCs w:val="28"/>
        </w:rPr>
      </w:pPr>
      <w:r>
        <w:rPr>
          <w:rFonts w:hint="eastAsia" w:ascii="宋体" w:hAnsi="宋体" w:eastAsia="宋体"/>
          <w:color w:val="auto"/>
          <w:sz w:val="28"/>
          <w:szCs w:val="28"/>
          <w:lang w:eastAsia="zh-CN"/>
        </w:rPr>
        <w:t>寻甸回族彝族自治县人民法院</w:t>
      </w:r>
      <w:r>
        <w:rPr>
          <w:rFonts w:hint="eastAsia" w:ascii="宋体" w:hAnsi="宋体" w:eastAsia="宋体"/>
          <w:color w:val="auto"/>
          <w:sz w:val="28"/>
          <w:szCs w:val="28"/>
        </w:rPr>
        <w:t>：</w:t>
      </w:r>
    </w:p>
    <w:p>
      <w:pPr>
        <w:keepNext w:val="0"/>
        <w:keepLines w:val="0"/>
        <w:pageBreakBefore w:val="0"/>
        <w:widowControl/>
        <w:kinsoku/>
        <w:wordWrap/>
        <w:overflowPunct/>
        <w:topLinePunct w:val="0"/>
        <w:autoSpaceDE/>
        <w:autoSpaceDN/>
        <w:bidi w:val="0"/>
        <w:adjustRightInd/>
        <w:spacing w:line="384" w:lineRule="auto"/>
        <w:ind w:firstLine="560" w:firstLineChars="200"/>
        <w:jc w:val="both"/>
        <w:textAlignment w:val="auto"/>
        <w:rPr>
          <w:rFonts w:ascii="宋体" w:hAnsi="宋体" w:eastAsia="宋体"/>
          <w:color w:val="auto"/>
          <w:sz w:val="28"/>
          <w:szCs w:val="28"/>
        </w:rPr>
      </w:pPr>
      <w:r>
        <w:rPr>
          <w:rFonts w:hint="eastAsia" w:ascii="宋体" w:hAnsi="宋体" w:eastAsia="宋体"/>
          <w:sz w:val="28"/>
          <w:szCs w:val="28"/>
        </w:rPr>
        <w:t>承蒙贵单位的委托，本公司秉着客观、公正、科学、独立的原则，采用市场价值标准，对</w:t>
      </w:r>
      <w:r>
        <w:rPr>
          <w:rFonts w:hint="eastAsia" w:ascii="宋体" w:hAnsi="宋体" w:eastAsia="宋体"/>
          <w:sz w:val="28"/>
          <w:szCs w:val="28"/>
          <w:lang w:val="en-US" w:eastAsia="zh-CN"/>
        </w:rPr>
        <w:t>李永奇、浦卉共有的</w:t>
      </w:r>
      <w:r>
        <w:rPr>
          <w:rFonts w:hint="eastAsia" w:ascii="宋体" w:hAnsi="宋体" w:eastAsia="宋体"/>
          <w:sz w:val="28"/>
          <w:szCs w:val="28"/>
        </w:rPr>
        <w:t>位于</w:t>
      </w:r>
      <w:r>
        <w:rPr>
          <w:rFonts w:hint="eastAsia" w:ascii="宋体" w:hAnsi="宋体" w:eastAsia="宋体"/>
          <w:sz w:val="28"/>
          <w:szCs w:val="28"/>
          <w:lang w:val="en-US" w:eastAsia="zh-CN"/>
        </w:rPr>
        <w:t>寻甸县仁德街道办事处凤梧路馨苑小区B区3幢1单元401室</w:t>
      </w:r>
      <w:r>
        <w:rPr>
          <w:rFonts w:hint="eastAsia" w:ascii="宋体" w:hAnsi="宋体" w:eastAsia="宋体"/>
          <w:bCs/>
          <w:sz w:val="28"/>
          <w:lang w:val="en-US" w:eastAsia="zh-CN"/>
        </w:rPr>
        <w:t>住宅</w:t>
      </w:r>
      <w:r>
        <w:rPr>
          <w:rFonts w:hint="eastAsia" w:ascii="宋体" w:hAnsi="宋体" w:eastAsia="宋体"/>
          <w:sz w:val="28"/>
          <w:szCs w:val="28"/>
          <w:lang w:eastAsia="zh-CN"/>
        </w:rPr>
        <w:t>，建筑面积146.26㎡</w:t>
      </w:r>
      <w:r>
        <w:rPr>
          <w:rFonts w:hint="eastAsia" w:ascii="宋体" w:hAnsi="宋体" w:eastAsia="宋体"/>
          <w:bCs/>
          <w:sz w:val="28"/>
          <w:lang w:eastAsia="zh-CN"/>
        </w:rPr>
        <w:t>涉执房地产</w:t>
      </w:r>
      <w:r>
        <w:rPr>
          <w:rFonts w:hint="eastAsia" w:ascii="宋体" w:hAnsi="宋体" w:eastAsia="宋体"/>
          <w:sz w:val="28"/>
          <w:szCs w:val="28"/>
        </w:rPr>
        <w:t>进行了</w:t>
      </w:r>
      <w:r>
        <w:rPr>
          <w:rFonts w:hint="eastAsia" w:ascii="宋体" w:hAnsi="宋体" w:eastAsia="宋体"/>
          <w:sz w:val="28"/>
          <w:szCs w:val="28"/>
          <w:highlight w:val="none"/>
        </w:rPr>
        <w:t>市场价值估价</w:t>
      </w:r>
      <w:r>
        <w:rPr>
          <w:rFonts w:hint="eastAsia" w:ascii="宋体" w:hAnsi="宋体" w:eastAsia="宋体"/>
          <w:sz w:val="28"/>
          <w:szCs w:val="28"/>
        </w:rPr>
        <w:t>。估价结果如下</w:t>
      </w:r>
      <w:r>
        <w:rPr>
          <w:rFonts w:hint="eastAsia" w:ascii="宋体" w:hAnsi="宋体" w:eastAsia="宋体"/>
          <w:color w:val="auto"/>
          <w:sz w:val="28"/>
          <w:szCs w:val="28"/>
        </w:rPr>
        <w:t>：</w:t>
      </w:r>
    </w:p>
    <w:p>
      <w:pPr>
        <w:keepNext w:val="0"/>
        <w:keepLines w:val="0"/>
        <w:pageBreakBefore w:val="0"/>
        <w:widowControl/>
        <w:kinsoku/>
        <w:wordWrap/>
        <w:overflowPunct/>
        <w:topLinePunct w:val="0"/>
        <w:autoSpaceDE/>
        <w:autoSpaceDN/>
        <w:bidi w:val="0"/>
        <w:adjustRightInd/>
        <w:spacing w:line="384" w:lineRule="auto"/>
        <w:ind w:firstLine="560" w:firstLineChars="200"/>
        <w:jc w:val="both"/>
        <w:textAlignment w:val="auto"/>
        <w:rPr>
          <w:rFonts w:hint="eastAsia" w:ascii="宋体" w:hAnsi="宋体" w:eastAsia="宋体"/>
          <w:color w:val="auto"/>
          <w:sz w:val="28"/>
          <w:szCs w:val="28"/>
          <w:lang w:eastAsia="zh-CN"/>
        </w:rPr>
      </w:pPr>
      <w:r>
        <w:rPr>
          <w:rFonts w:hint="eastAsia" w:ascii="宋体" w:hAnsi="宋体" w:eastAsia="宋体"/>
          <w:color w:val="auto"/>
          <w:sz w:val="28"/>
          <w:szCs w:val="28"/>
        </w:rPr>
        <w:t>价值时点：</w:t>
      </w:r>
      <w:r>
        <w:rPr>
          <w:rFonts w:hint="eastAsia" w:ascii="宋体" w:hAnsi="宋体" w:eastAsia="宋体"/>
          <w:color w:val="auto"/>
          <w:sz w:val="28"/>
          <w:szCs w:val="28"/>
          <w:lang w:eastAsia="zh-CN"/>
        </w:rPr>
        <w:t>2022年07月25日</w:t>
      </w:r>
    </w:p>
    <w:p>
      <w:pPr>
        <w:keepNext w:val="0"/>
        <w:keepLines w:val="0"/>
        <w:pageBreakBefore w:val="0"/>
        <w:widowControl/>
        <w:kinsoku/>
        <w:wordWrap/>
        <w:overflowPunct/>
        <w:topLinePunct w:val="0"/>
        <w:autoSpaceDE/>
        <w:autoSpaceDN/>
        <w:bidi w:val="0"/>
        <w:adjustRightInd/>
        <w:spacing w:line="384" w:lineRule="auto"/>
        <w:ind w:firstLine="536" w:firstLineChars="200"/>
        <w:jc w:val="both"/>
        <w:textAlignment w:val="auto"/>
        <w:rPr>
          <w:rFonts w:hint="eastAsia" w:ascii="宋体" w:hAnsi="宋体" w:eastAsia="宋体"/>
          <w:color w:val="auto"/>
          <w:sz w:val="28"/>
          <w:szCs w:val="28"/>
        </w:rPr>
      </w:pPr>
      <w:r>
        <w:rPr>
          <w:rFonts w:hint="eastAsia" w:ascii="宋体" w:hAnsi="宋体" w:eastAsia="宋体"/>
          <w:color w:val="auto"/>
          <w:spacing w:val="-6"/>
          <w:sz w:val="28"/>
          <w:szCs w:val="28"/>
        </w:rPr>
        <w:t>估价目的：</w:t>
      </w:r>
      <w:r>
        <w:rPr>
          <w:rFonts w:hint="eastAsia" w:ascii="宋体" w:hAnsi="宋体" w:eastAsia="宋体"/>
          <w:color w:val="auto"/>
          <w:sz w:val="28"/>
          <w:szCs w:val="28"/>
        </w:rPr>
        <w:t>为司法</w:t>
      </w:r>
      <w:r>
        <w:rPr>
          <w:rFonts w:hint="eastAsia" w:ascii="宋体" w:hAnsi="宋体" w:eastAsia="宋体"/>
          <w:color w:val="auto"/>
          <w:sz w:val="28"/>
          <w:szCs w:val="28"/>
          <w:lang w:val="en-US" w:eastAsia="zh-CN"/>
        </w:rPr>
        <w:t>处置</w:t>
      </w:r>
      <w:r>
        <w:rPr>
          <w:rFonts w:hint="eastAsia" w:ascii="宋体" w:hAnsi="宋体" w:eastAsia="宋体"/>
          <w:color w:val="auto"/>
          <w:sz w:val="28"/>
          <w:szCs w:val="28"/>
        </w:rPr>
        <w:t>房地产确定</w:t>
      </w:r>
      <w:r>
        <w:rPr>
          <w:rFonts w:hint="eastAsia" w:ascii="宋体" w:hAnsi="宋体" w:eastAsia="宋体"/>
          <w:color w:val="auto"/>
          <w:sz w:val="28"/>
          <w:szCs w:val="28"/>
          <w:lang w:eastAsia="zh-CN"/>
        </w:rPr>
        <w:t>处置</w:t>
      </w:r>
      <w:r>
        <w:rPr>
          <w:rFonts w:hint="eastAsia" w:ascii="宋体" w:hAnsi="宋体" w:eastAsia="宋体"/>
          <w:color w:val="auto"/>
          <w:sz w:val="28"/>
          <w:szCs w:val="28"/>
        </w:rPr>
        <w:t>保留价提供参考依据</w:t>
      </w:r>
    </w:p>
    <w:p>
      <w:pPr>
        <w:keepNext w:val="0"/>
        <w:keepLines w:val="0"/>
        <w:pageBreakBefore w:val="0"/>
        <w:widowControl/>
        <w:kinsoku/>
        <w:wordWrap/>
        <w:overflowPunct/>
        <w:topLinePunct w:val="0"/>
        <w:autoSpaceDE/>
        <w:autoSpaceDN/>
        <w:bidi w:val="0"/>
        <w:adjustRightInd/>
        <w:spacing w:line="384" w:lineRule="auto"/>
        <w:ind w:firstLine="536" w:firstLineChars="200"/>
        <w:jc w:val="both"/>
        <w:textAlignment w:val="auto"/>
        <w:rPr>
          <w:rFonts w:ascii="宋体" w:hAnsi="宋体" w:eastAsia="宋体"/>
          <w:spacing w:val="-6"/>
          <w:sz w:val="28"/>
          <w:szCs w:val="28"/>
        </w:rPr>
      </w:pPr>
      <w:r>
        <w:rPr>
          <w:rFonts w:hint="eastAsia" w:ascii="宋体" w:hAnsi="宋体" w:eastAsia="宋体"/>
          <w:spacing w:val="-6"/>
          <w:sz w:val="28"/>
          <w:szCs w:val="28"/>
        </w:rPr>
        <w:t>价值类型：市场价值</w:t>
      </w:r>
    </w:p>
    <w:p>
      <w:pPr>
        <w:keepNext w:val="0"/>
        <w:keepLines w:val="0"/>
        <w:pageBreakBefore w:val="0"/>
        <w:widowControl/>
        <w:kinsoku/>
        <w:wordWrap/>
        <w:overflowPunct/>
        <w:topLinePunct w:val="0"/>
        <w:autoSpaceDE/>
        <w:autoSpaceDN/>
        <w:bidi w:val="0"/>
        <w:adjustRightInd/>
        <w:spacing w:line="384" w:lineRule="auto"/>
        <w:ind w:firstLine="536" w:firstLineChars="200"/>
        <w:jc w:val="both"/>
        <w:textAlignment w:val="auto"/>
        <w:rPr>
          <w:rFonts w:hint="eastAsia" w:ascii="宋体" w:hAnsi="宋体" w:eastAsia="宋体"/>
          <w:color w:val="auto"/>
          <w:sz w:val="28"/>
          <w:szCs w:val="28"/>
        </w:rPr>
      </w:pPr>
      <w:r>
        <w:rPr>
          <w:rFonts w:hint="eastAsia" w:ascii="宋体" w:hAnsi="宋体" w:eastAsia="宋体"/>
          <w:spacing w:val="-6"/>
          <w:sz w:val="28"/>
          <w:szCs w:val="28"/>
        </w:rPr>
        <w:t>估价方法：比较法</w:t>
      </w:r>
    </w:p>
    <w:p>
      <w:pPr>
        <w:keepNext w:val="0"/>
        <w:keepLines w:val="0"/>
        <w:pageBreakBefore w:val="0"/>
        <w:widowControl/>
        <w:kinsoku/>
        <w:wordWrap/>
        <w:overflowPunct/>
        <w:topLinePunct w:val="0"/>
        <w:autoSpaceDE/>
        <w:autoSpaceDN/>
        <w:bidi w:val="0"/>
        <w:adjustRightInd/>
        <w:spacing w:line="384" w:lineRule="auto"/>
        <w:ind w:firstLine="560" w:firstLineChars="200"/>
        <w:jc w:val="both"/>
        <w:textAlignment w:val="auto"/>
        <w:rPr>
          <w:rFonts w:ascii="宋体" w:hAnsi="宋体" w:eastAsia="宋体"/>
          <w:color w:val="auto"/>
          <w:sz w:val="28"/>
          <w:szCs w:val="28"/>
        </w:rPr>
      </w:pPr>
      <w:r>
        <w:rPr>
          <w:rFonts w:hint="eastAsia" w:ascii="宋体" w:hAnsi="宋体" w:eastAsia="宋体"/>
          <w:color w:val="auto"/>
          <w:spacing w:val="0"/>
          <w:sz w:val="28"/>
          <w:szCs w:val="28"/>
        </w:rPr>
        <w:t>估价结果：估价对象在价值时点的参考市场价值</w:t>
      </w:r>
      <w:r>
        <w:rPr>
          <w:rFonts w:hint="eastAsia" w:ascii="宋体" w:hAnsi="宋体" w:eastAsia="宋体"/>
          <w:color w:val="auto"/>
          <w:spacing w:val="0"/>
          <w:sz w:val="28"/>
          <w:szCs w:val="28"/>
          <w:lang w:eastAsia="zh-CN"/>
        </w:rPr>
        <w:t>（</w:t>
      </w:r>
      <w:r>
        <w:rPr>
          <w:rFonts w:hint="eastAsia" w:ascii="宋体" w:hAnsi="宋体" w:eastAsia="宋体"/>
          <w:color w:val="auto"/>
          <w:spacing w:val="0"/>
          <w:sz w:val="28"/>
          <w:szCs w:val="28"/>
          <w:lang w:val="en-US" w:eastAsia="zh-CN"/>
        </w:rPr>
        <w:t>不含税价</w:t>
      </w:r>
      <w:r>
        <w:rPr>
          <w:rFonts w:hint="eastAsia" w:ascii="宋体" w:hAnsi="宋体" w:eastAsia="宋体"/>
          <w:color w:val="auto"/>
          <w:spacing w:val="0"/>
          <w:sz w:val="28"/>
          <w:szCs w:val="28"/>
          <w:lang w:eastAsia="zh-CN"/>
        </w:rPr>
        <w:t>）</w:t>
      </w:r>
      <w:r>
        <w:rPr>
          <w:rFonts w:hint="eastAsia" w:ascii="宋体" w:hAnsi="宋体" w:eastAsia="宋体"/>
          <w:color w:val="auto"/>
          <w:spacing w:val="0"/>
          <w:sz w:val="28"/>
          <w:szCs w:val="28"/>
        </w:rPr>
        <w:t>为</w:t>
      </w:r>
      <w:r>
        <w:rPr>
          <w:rFonts w:ascii="宋体" w:hAnsi="宋体" w:eastAsia="宋体"/>
          <w:b/>
          <w:color w:val="auto"/>
          <w:spacing w:val="0"/>
          <w:sz w:val="28"/>
          <w:szCs w:val="28"/>
        </w:rPr>
        <w:t>¥</w:t>
      </w:r>
      <w:r>
        <w:rPr>
          <w:rFonts w:hint="eastAsia" w:ascii="宋体" w:hAnsi="宋体" w:eastAsia="宋体"/>
          <w:b/>
          <w:color w:val="auto"/>
          <w:spacing w:val="0"/>
          <w:sz w:val="28"/>
          <w:szCs w:val="28"/>
          <w:lang w:val="en-US" w:eastAsia="zh-CN"/>
        </w:rPr>
        <w:t>703,100.00</w:t>
      </w:r>
      <w:r>
        <w:rPr>
          <w:rFonts w:hint="eastAsia" w:ascii="宋体" w:hAnsi="宋体" w:eastAsia="宋体"/>
          <w:b/>
          <w:color w:val="auto"/>
          <w:spacing w:val="0"/>
          <w:sz w:val="28"/>
          <w:szCs w:val="28"/>
        </w:rPr>
        <w:t>元（大写人民币：</w:t>
      </w:r>
      <w:r>
        <w:rPr>
          <w:rFonts w:hint="eastAsia" w:ascii="宋体" w:hAnsi="宋体" w:eastAsia="宋体"/>
          <w:b/>
          <w:color w:val="auto"/>
          <w:spacing w:val="0"/>
          <w:sz w:val="28"/>
          <w:szCs w:val="28"/>
          <w:lang w:val="en-US" w:eastAsia="zh-CN"/>
        </w:rPr>
        <w:t>柒拾万零叁仟壹佰</w:t>
      </w:r>
      <w:r>
        <w:rPr>
          <w:rFonts w:hint="eastAsia" w:ascii="宋体" w:hAnsi="宋体" w:eastAsia="宋体"/>
          <w:b/>
          <w:color w:val="auto"/>
          <w:spacing w:val="0"/>
          <w:sz w:val="28"/>
          <w:szCs w:val="28"/>
        </w:rPr>
        <w:t>元整</w:t>
      </w:r>
      <w:r>
        <w:rPr>
          <w:rFonts w:ascii="Times New Roman" w:hAnsi="Times New Roman" w:eastAsia="宋体" w:cs="Times New Roman"/>
          <w:b/>
          <w:color w:val="auto"/>
          <w:spacing w:val="0"/>
          <w:sz w:val="28"/>
          <w:szCs w:val="28"/>
        </w:rPr>
        <w:t>，取整至佰元</w:t>
      </w:r>
      <w:r>
        <w:rPr>
          <w:rFonts w:hint="eastAsia" w:ascii="宋体" w:hAnsi="宋体" w:eastAsia="宋体"/>
          <w:b/>
          <w:color w:val="auto"/>
          <w:spacing w:val="0"/>
          <w:sz w:val="28"/>
          <w:szCs w:val="28"/>
        </w:rPr>
        <w:t>）</w:t>
      </w:r>
      <w:r>
        <w:rPr>
          <w:rFonts w:hint="eastAsia" w:ascii="宋体" w:hAnsi="宋体" w:eastAsia="宋体"/>
          <w:color w:val="auto"/>
          <w:spacing w:val="0"/>
          <w:sz w:val="28"/>
          <w:szCs w:val="28"/>
        </w:rPr>
        <w:t>。详见下表：</w:t>
      </w:r>
    </w:p>
    <w:p>
      <w:pPr>
        <w:keepNext w:val="0"/>
        <w:keepLines w:val="0"/>
        <w:pageBreakBefore w:val="0"/>
        <w:widowControl/>
        <w:kinsoku/>
        <w:wordWrap/>
        <w:overflowPunct/>
        <w:topLinePunct w:val="0"/>
        <w:autoSpaceDE/>
        <w:autoSpaceDN/>
        <w:bidi w:val="0"/>
        <w:adjustRightInd/>
        <w:spacing w:line="360" w:lineRule="auto"/>
        <w:ind w:firstLine="482" w:firstLineChars="20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房地产市场价值估价结果汇总表</w:t>
      </w:r>
    </w:p>
    <w:p>
      <w:pPr>
        <w:keepNext w:val="0"/>
        <w:keepLines w:val="0"/>
        <w:pageBreakBefore w:val="0"/>
        <w:widowControl/>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olor w:val="auto"/>
          <w:sz w:val="21"/>
          <w:szCs w:val="21"/>
        </w:rPr>
      </w:pP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币种：人民币</w:t>
      </w:r>
    </w:p>
    <w:tbl>
      <w:tblPr>
        <w:tblStyle w:val="88"/>
        <w:tblW w:w="513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0"/>
        <w:gridCol w:w="942"/>
        <w:gridCol w:w="1562"/>
        <w:gridCol w:w="1550"/>
        <w:gridCol w:w="988"/>
        <w:gridCol w:w="700"/>
        <w:gridCol w:w="887"/>
        <w:gridCol w:w="638"/>
        <w:gridCol w:w="1087"/>
        <w:gridCol w:w="12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房屋所有人</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座落</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b/>
                <w:bCs/>
                <w:i w:val="0"/>
                <w:iCs w:val="0"/>
                <w:color w:val="000000"/>
                <w:sz w:val="18"/>
                <w:szCs w:val="18"/>
                <w:u w:val="none"/>
                <w:lang w:val="en-US"/>
              </w:rPr>
            </w:pPr>
            <w:r>
              <w:rPr>
                <w:rFonts w:hint="eastAsia" w:ascii="宋体" w:hAnsi="宋体" w:eastAsia="宋体" w:cs="宋体"/>
                <w:b/>
                <w:bCs/>
                <w:i w:val="0"/>
                <w:iCs w:val="0"/>
                <w:color w:val="000000"/>
                <w:kern w:val="0"/>
                <w:sz w:val="18"/>
                <w:szCs w:val="18"/>
                <w:u w:val="none"/>
                <w:lang w:val="en-US" w:eastAsia="zh-CN" w:bidi="ar"/>
              </w:rPr>
              <w:t>权证号</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建筑面积（㎡）</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结构</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所在层/总层数</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用途</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单价</w:t>
            </w:r>
          </w:p>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（元/㎡）</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总价</w:t>
            </w:r>
          </w:p>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李永奇、浦卉</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寻甸县仁德街道办事处凤梧路馨苑小区B区3幢1单元401室</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土地证：寻国用（2007）第712号；房产证：004417</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146.26</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钢筋混凝土</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住宅</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4,807.00</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703,100.00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225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合计</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146.26</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b/>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b/>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b/>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703,100.00</w:t>
            </w:r>
          </w:p>
        </w:tc>
      </w:tr>
    </w:tbl>
    <w:p>
      <w:pPr>
        <w:keepNext w:val="0"/>
        <w:keepLines w:val="0"/>
        <w:pageBreakBefore w:val="0"/>
        <w:widowControl w:val="0"/>
        <w:kinsoku/>
        <w:wordWrap/>
        <w:overflowPunct/>
        <w:topLinePunct w:val="0"/>
        <w:autoSpaceDE/>
        <w:autoSpaceDN/>
        <w:bidi w:val="0"/>
        <w:adjustRightInd/>
        <w:snapToGrid/>
        <w:spacing w:before="158" w:beforeLines="50" w:line="396" w:lineRule="auto"/>
        <w:ind w:firstLine="518" w:firstLineChars="200"/>
        <w:jc w:val="both"/>
        <w:textAlignment w:val="auto"/>
        <w:rPr>
          <w:rFonts w:ascii="宋体" w:hAnsi="宋体" w:eastAsia="宋体"/>
          <w:color w:val="auto"/>
          <w:sz w:val="21"/>
          <w:szCs w:val="21"/>
        </w:rPr>
      </w:pPr>
      <w:r>
        <w:rPr>
          <w:rFonts w:hint="eastAsia" w:ascii="宋体" w:hAnsi="宋体" w:eastAsia="宋体"/>
          <w:b/>
          <w:bCs/>
          <w:color w:val="auto"/>
          <w:spacing w:val="-11"/>
          <w:sz w:val="28"/>
          <w:szCs w:val="28"/>
        </w:rPr>
        <w:t>注：</w:t>
      </w:r>
      <w:r>
        <w:rPr>
          <w:rFonts w:hint="eastAsia" w:ascii="宋体" w:hAnsi="宋体" w:eastAsia="宋体"/>
          <w:b/>
          <w:bCs/>
          <w:color w:val="auto"/>
          <w:spacing w:val="-11"/>
          <w:sz w:val="28"/>
          <w:szCs w:val="28"/>
          <w:lang w:eastAsia="zh-CN"/>
        </w:rPr>
        <w:t>本评估报告的评估价值为房地产市场价值，含分摊的国有建设用地使用权价值，含室内装修，不含现状包含的</w:t>
      </w:r>
      <w:r>
        <w:rPr>
          <w:rFonts w:hint="eastAsia" w:ascii="宋体" w:hAnsi="宋体" w:eastAsia="宋体"/>
          <w:b/>
          <w:bCs/>
          <w:color w:val="auto"/>
          <w:spacing w:val="-11"/>
          <w:sz w:val="28"/>
          <w:szCs w:val="28"/>
          <w:lang w:val="en-US" w:eastAsia="zh-CN"/>
        </w:rPr>
        <w:t>室内</w:t>
      </w:r>
      <w:r>
        <w:rPr>
          <w:rFonts w:hint="eastAsia" w:ascii="宋体" w:hAnsi="宋体" w:eastAsia="宋体"/>
          <w:b/>
          <w:bCs/>
          <w:color w:val="auto"/>
          <w:spacing w:val="-11"/>
          <w:sz w:val="28"/>
          <w:szCs w:val="28"/>
          <w:lang w:eastAsia="zh-CN"/>
        </w:rPr>
        <w:t>可移动物品及其他债权债务</w:t>
      </w:r>
      <w:r>
        <w:rPr>
          <w:rFonts w:hint="eastAsia" w:ascii="宋体" w:hAnsi="宋体" w:eastAsia="宋体"/>
          <w:b/>
          <w:bCs/>
          <w:color w:val="auto"/>
          <w:spacing w:val="-11"/>
          <w:sz w:val="28"/>
          <w:szCs w:val="28"/>
        </w:rPr>
        <w:t>。</w:t>
      </w:r>
      <w:r>
        <w:rPr>
          <w:rFonts w:ascii="宋体" w:hAnsi="宋体" w:eastAsia="宋体" w:cs="宋体"/>
          <w:bCs/>
          <w:color w:val="auto"/>
          <w:sz w:val="24"/>
          <w:szCs w:val="24"/>
        </w:rPr>
        <w:t xml:space="preserve">                                                                                                            </w:t>
      </w:r>
    </w:p>
    <w:p>
      <w:pPr>
        <w:keepNext w:val="0"/>
        <w:keepLines w:val="0"/>
        <w:pageBreakBefore w:val="0"/>
        <w:widowControl/>
        <w:kinsoku/>
        <w:wordWrap/>
        <w:overflowPunct/>
        <w:topLinePunct w:val="0"/>
        <w:autoSpaceDE/>
        <w:autoSpaceDN/>
        <w:bidi w:val="0"/>
        <w:adjustRightInd/>
        <w:snapToGrid/>
        <w:spacing w:line="396" w:lineRule="auto"/>
        <w:textAlignment w:val="auto"/>
        <w:rPr>
          <w:rFonts w:hint="eastAsia" w:ascii="宋体" w:hAnsi="宋体" w:eastAsia="宋体"/>
          <w:color w:val="auto"/>
          <w:sz w:val="28"/>
          <w:szCs w:val="28"/>
        </w:rPr>
      </w:pPr>
      <w:r>
        <w:rPr>
          <w:rFonts w:ascii="宋体" w:hAnsi="宋体" w:eastAsia="宋体"/>
          <w:color w:val="auto"/>
          <w:sz w:val="28"/>
          <w:szCs w:val="28"/>
        </w:rPr>
        <w:t>特别提示</w:t>
      </w:r>
      <w:r>
        <w:rPr>
          <w:rFonts w:hint="eastAsia" w:ascii="宋体" w:hAnsi="宋体" w:eastAsia="宋体"/>
          <w:color w:val="auto"/>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560" w:firstLineChars="200"/>
        <w:textAlignment w:val="auto"/>
        <w:rPr>
          <w:rFonts w:ascii="宋体" w:hAnsi="宋体" w:eastAsia="宋体"/>
          <w:color w:val="auto"/>
          <w:sz w:val="28"/>
          <w:szCs w:val="28"/>
        </w:rPr>
      </w:pPr>
      <w:r>
        <w:rPr>
          <w:rFonts w:hint="eastAsia" w:ascii="宋体" w:hAnsi="宋体" w:eastAsia="宋体"/>
          <w:color w:val="auto"/>
          <w:sz w:val="28"/>
          <w:szCs w:val="28"/>
          <w:lang w:eastAsia="zh-CN"/>
        </w:rPr>
        <w:t>（</w:t>
      </w:r>
      <w:r>
        <w:rPr>
          <w:rFonts w:hint="eastAsia" w:ascii="宋体" w:hAnsi="宋体" w:eastAsia="宋体"/>
          <w:color w:val="auto"/>
          <w:sz w:val="28"/>
          <w:szCs w:val="28"/>
          <w:lang w:val="en-US" w:eastAsia="zh-CN"/>
        </w:rPr>
        <w:t>一</w:t>
      </w:r>
      <w:r>
        <w:rPr>
          <w:rFonts w:hint="eastAsia" w:ascii="宋体" w:hAnsi="宋体" w:eastAsia="宋体"/>
          <w:color w:val="auto"/>
          <w:sz w:val="28"/>
          <w:szCs w:val="28"/>
          <w:lang w:eastAsia="zh-CN"/>
        </w:rPr>
        <w:t>）</w:t>
      </w:r>
      <w:r>
        <w:rPr>
          <w:rFonts w:ascii="宋体" w:hAnsi="宋体" w:eastAsia="宋体"/>
          <w:color w:val="auto"/>
          <w:sz w:val="28"/>
          <w:szCs w:val="28"/>
        </w:rPr>
        <w:t>本评</w:t>
      </w:r>
      <w:r>
        <w:rPr>
          <w:rFonts w:hint="eastAsia" w:ascii="宋体" w:hAnsi="宋体" w:eastAsia="宋体"/>
          <w:color w:val="auto"/>
          <w:sz w:val="28"/>
          <w:szCs w:val="28"/>
          <w:lang w:val="en-US" w:eastAsia="zh-CN"/>
        </w:rPr>
        <w:t>估</w:t>
      </w:r>
      <w:r>
        <w:rPr>
          <w:rFonts w:ascii="宋体" w:hAnsi="宋体" w:eastAsia="宋体"/>
          <w:color w:val="auto"/>
          <w:sz w:val="28"/>
          <w:szCs w:val="28"/>
        </w:rPr>
        <w:t>报告依照法律法规的有关规定发生法律效力。</w:t>
      </w:r>
    </w:p>
    <w:p>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560" w:firstLineChars="200"/>
        <w:jc w:val="both"/>
        <w:textAlignment w:val="auto"/>
        <w:rPr>
          <w:rFonts w:hint="eastAsia" w:ascii="宋体" w:hAnsi="宋体" w:eastAsia="宋体"/>
          <w:spacing w:val="0"/>
          <w:sz w:val="28"/>
          <w:szCs w:val="28"/>
        </w:rPr>
        <w:sectPr>
          <w:headerReference r:id="rId7" w:type="default"/>
          <w:footerReference r:id="rId8" w:type="default"/>
          <w:pgSz w:w="11906" w:h="16838"/>
          <w:pgMar w:top="1247" w:right="1134" w:bottom="850" w:left="1247" w:header="567" w:footer="850" w:gutter="0"/>
          <w:pgBorders>
            <w:top w:val="none" w:sz="0" w:space="0"/>
            <w:left w:val="none" w:sz="0" w:space="0"/>
            <w:bottom w:val="none" w:sz="0" w:space="0"/>
            <w:right w:val="none" w:sz="0" w:space="0"/>
          </w:pgBorders>
          <w:pgNumType w:fmt="decimal" w:start="1"/>
          <w:cols w:space="720" w:num="1"/>
          <w:docGrid w:linePitch="314" w:charSpace="847"/>
        </w:sectPr>
      </w:pPr>
      <w:r>
        <w:rPr>
          <w:rFonts w:hint="eastAsia" w:ascii="宋体" w:hAnsi="宋体" w:eastAsia="宋体"/>
          <w:color w:val="auto"/>
          <w:sz w:val="28"/>
          <w:szCs w:val="28"/>
          <w:lang w:val="en-US" w:eastAsia="zh-CN"/>
        </w:rPr>
        <w:t>（二）经查，至价值时点，</w:t>
      </w:r>
      <w:r>
        <w:rPr>
          <w:rFonts w:hint="eastAsia" w:ascii="宋体" w:hAnsi="宋体" w:eastAsia="宋体"/>
          <w:color w:val="auto"/>
          <w:sz w:val="28"/>
          <w:szCs w:val="28"/>
        </w:rPr>
        <w:t>估价对象</w:t>
      </w:r>
      <w:r>
        <w:rPr>
          <w:rFonts w:hint="eastAsia" w:ascii="宋体" w:hAnsi="宋体" w:eastAsia="宋体"/>
          <w:color w:val="auto"/>
          <w:sz w:val="28"/>
          <w:szCs w:val="28"/>
          <w:lang w:val="en-US" w:eastAsia="zh-CN"/>
        </w:rPr>
        <w:t>欠物管费1,141.00元</w:t>
      </w:r>
      <w:r>
        <w:rPr>
          <w:rFonts w:hint="eastAsia" w:ascii="宋体" w:hAnsi="宋体" w:eastAsia="宋体"/>
          <w:color w:val="auto"/>
          <w:sz w:val="28"/>
          <w:szCs w:val="28"/>
          <w:lang w:eastAsia="zh-CN"/>
        </w:rPr>
        <w:t>，</w:t>
      </w:r>
      <w:r>
        <w:rPr>
          <w:rFonts w:hint="eastAsia" w:ascii="宋体" w:hAnsi="宋体" w:eastAsia="宋体"/>
          <w:spacing w:val="0"/>
          <w:sz w:val="28"/>
          <w:szCs w:val="28"/>
        </w:rPr>
        <w:t>提请报告使</w:t>
      </w:r>
    </w:p>
    <w:p>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560" w:firstLineChars="200"/>
        <w:jc w:val="both"/>
        <w:textAlignment w:val="auto"/>
        <w:rPr>
          <w:rFonts w:hint="eastAsia" w:ascii="宋体" w:hAnsi="宋体" w:eastAsia="宋体"/>
          <w:color w:val="auto"/>
          <w:sz w:val="28"/>
          <w:szCs w:val="28"/>
          <w:lang w:val="en-US" w:eastAsia="zh-CN"/>
        </w:rPr>
      </w:pPr>
      <w:r>
        <w:rPr>
          <w:rFonts w:hint="eastAsia" w:ascii="宋体" w:hAnsi="宋体" w:eastAsia="宋体"/>
          <w:spacing w:val="0"/>
          <w:sz w:val="28"/>
          <w:szCs w:val="28"/>
        </w:rPr>
        <w:t>用人注意</w:t>
      </w:r>
      <w:r>
        <w:rPr>
          <w:rFonts w:hint="eastAsia" w:ascii="宋体" w:hAnsi="宋体" w:eastAsia="宋体"/>
          <w:color w:val="auto"/>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396" w:lineRule="auto"/>
        <w:ind w:firstLine="560" w:firstLineChars="200"/>
        <w:jc w:val="both"/>
        <w:textAlignment w:val="auto"/>
        <w:rPr>
          <w:rFonts w:ascii="宋体" w:hAnsi="宋体" w:eastAsia="宋体"/>
          <w:color w:val="auto"/>
          <w:sz w:val="28"/>
          <w:szCs w:val="28"/>
        </w:rPr>
      </w:pPr>
      <w:r>
        <w:rPr>
          <w:rFonts w:hint="eastAsia" w:ascii="宋体" w:hAnsi="宋体" w:eastAsia="宋体"/>
          <w:color w:val="auto"/>
          <w:sz w:val="28"/>
          <w:szCs w:val="28"/>
          <w:lang w:val="en-US" w:eastAsia="zh-CN"/>
        </w:rPr>
        <w:t>（三）</w:t>
      </w:r>
      <w:r>
        <w:rPr>
          <w:rFonts w:ascii="宋体" w:hAnsi="宋体" w:eastAsia="宋体"/>
          <w:color w:val="auto"/>
          <w:sz w:val="28"/>
          <w:szCs w:val="28"/>
        </w:rPr>
        <w:t>以上内容摘自估价报告，欲了解本评估项目的全面情况，应认真阅读估价报告全文。</w:t>
      </w:r>
    </w:p>
    <w:p>
      <w:pPr>
        <w:keepNext w:val="0"/>
        <w:keepLines w:val="0"/>
        <w:pageBreakBefore w:val="0"/>
        <w:widowControl/>
        <w:kinsoku/>
        <w:wordWrap/>
        <w:overflowPunct/>
        <w:topLinePunct w:val="0"/>
        <w:autoSpaceDE/>
        <w:autoSpaceDN/>
        <w:bidi w:val="0"/>
        <w:adjustRightInd/>
        <w:snapToGrid/>
        <w:spacing w:line="360" w:lineRule="auto"/>
        <w:ind w:firstLine="4452" w:firstLineChars="1590"/>
        <w:jc w:val="right"/>
        <w:textAlignment w:val="auto"/>
        <w:rPr>
          <w:rFonts w:ascii="宋体" w:hAnsi="宋体" w:eastAsia="宋体"/>
          <w:color w:val="auto"/>
          <w:sz w:val="28"/>
          <w:szCs w:val="28"/>
        </w:rPr>
      </w:pPr>
      <w:r>
        <w:rPr>
          <w:rFonts w:hint="eastAsia" w:ascii="宋体" w:hAnsi="宋体" w:eastAsia="宋体"/>
          <w:color w:val="auto"/>
          <w:sz w:val="28"/>
          <w:szCs w:val="28"/>
        </w:rPr>
        <w:t>昆明正中房地产土地资产评估有限公司</w:t>
      </w:r>
    </w:p>
    <w:p>
      <w:pPr>
        <w:keepNext w:val="0"/>
        <w:keepLines w:val="0"/>
        <w:pageBreakBefore w:val="0"/>
        <w:widowControl/>
        <w:kinsoku/>
        <w:wordWrap/>
        <w:overflowPunct/>
        <w:topLinePunct w:val="0"/>
        <w:autoSpaceDE/>
        <w:autoSpaceDN/>
        <w:bidi w:val="0"/>
        <w:adjustRightInd/>
        <w:snapToGrid/>
        <w:spacing w:line="360" w:lineRule="auto"/>
        <w:ind w:right="1136"/>
        <w:textAlignment w:val="auto"/>
        <w:rPr>
          <w:rFonts w:ascii="宋体" w:hAnsi="宋体" w:eastAsia="宋体"/>
          <w:color w:val="auto"/>
          <w:sz w:val="28"/>
          <w:szCs w:val="28"/>
        </w:rPr>
      </w:pPr>
      <w:r>
        <w:rPr>
          <w:rFonts w:ascii="宋体" w:hAnsi="宋体" w:eastAsia="宋体"/>
          <w:color w:val="auto"/>
          <w:sz w:val="28"/>
          <w:szCs w:val="28"/>
        </w:rPr>
        <w:t xml:space="preserve">                                         </w:t>
      </w:r>
      <w:r>
        <w:rPr>
          <w:rFonts w:hint="eastAsia" w:ascii="宋体" w:hAnsi="宋体" w:eastAsia="宋体"/>
          <w:color w:val="auto"/>
          <w:sz w:val="28"/>
          <w:szCs w:val="28"/>
        </w:rPr>
        <w:t>法定代表人：</w:t>
      </w:r>
    </w:p>
    <w:p>
      <w:pPr>
        <w:keepNext w:val="0"/>
        <w:keepLines w:val="0"/>
        <w:pageBreakBefore w:val="0"/>
        <w:widowControl/>
        <w:kinsoku/>
        <w:wordWrap/>
        <w:overflowPunct/>
        <w:topLinePunct w:val="0"/>
        <w:autoSpaceDE/>
        <w:autoSpaceDN/>
        <w:bidi w:val="0"/>
        <w:adjustRightInd/>
        <w:snapToGrid/>
        <w:spacing w:line="360" w:lineRule="auto"/>
        <w:ind w:right="1136"/>
        <w:textAlignment w:val="auto"/>
        <w:rPr>
          <w:rFonts w:hint="eastAsia" w:ascii="宋体" w:hAnsi="宋体" w:eastAsia="宋体"/>
          <w:color w:val="auto"/>
          <w:sz w:val="28"/>
          <w:szCs w:val="28"/>
          <w:lang w:eastAsia="zh-CN"/>
        </w:rPr>
      </w:pPr>
      <w:r>
        <w:rPr>
          <w:rFonts w:ascii="宋体" w:hAnsi="宋体" w:eastAsia="宋体"/>
          <w:color w:val="auto"/>
          <w:sz w:val="28"/>
          <w:szCs w:val="28"/>
        </w:rPr>
        <w:t xml:space="preserve">                            </w:t>
      </w:r>
      <w:r>
        <w:rPr>
          <w:rFonts w:hint="eastAsia" w:ascii="宋体" w:hAnsi="宋体" w:eastAsia="宋体"/>
          <w:color w:val="auto"/>
          <w:sz w:val="28"/>
          <w:szCs w:val="28"/>
        </w:rPr>
        <w:t xml:space="preserve">           </w:t>
      </w:r>
      <w:r>
        <w:rPr>
          <w:rFonts w:ascii="宋体" w:hAnsi="宋体" w:eastAsia="宋体"/>
          <w:color w:val="auto"/>
          <w:sz w:val="28"/>
          <w:szCs w:val="28"/>
        </w:rPr>
        <w:t xml:space="preserve">  </w:t>
      </w:r>
      <w:r>
        <w:rPr>
          <w:rFonts w:hint="eastAsia" w:ascii="宋体" w:hAnsi="宋体" w:eastAsia="宋体"/>
          <w:color w:val="auto"/>
          <w:sz w:val="28"/>
          <w:szCs w:val="28"/>
          <w:lang w:eastAsia="zh-CN"/>
        </w:rPr>
        <w:t>2022年08月04日</w:t>
      </w:r>
    </w:p>
    <w:p>
      <w:pPr>
        <w:keepNext w:val="0"/>
        <w:keepLines w:val="0"/>
        <w:pageBreakBefore w:val="0"/>
        <w:widowControl/>
        <w:kinsoku/>
        <w:wordWrap/>
        <w:overflowPunct/>
        <w:topLinePunct w:val="0"/>
        <w:autoSpaceDE/>
        <w:autoSpaceDN/>
        <w:bidi w:val="0"/>
        <w:adjustRightInd/>
        <w:snapToGrid/>
        <w:spacing w:line="360" w:lineRule="auto"/>
        <w:ind w:right="1136"/>
        <w:textAlignment w:val="auto"/>
        <w:rPr>
          <w:rFonts w:hint="eastAsia" w:ascii="宋体" w:hAnsi="宋体" w:eastAsia="宋体"/>
          <w:color w:val="auto"/>
          <w:sz w:val="28"/>
          <w:szCs w:val="28"/>
          <w:lang w:eastAsia="zh-CN"/>
        </w:rPr>
      </w:pPr>
    </w:p>
    <w:p>
      <w:pPr>
        <w:keepNext w:val="0"/>
        <w:keepLines w:val="0"/>
        <w:pageBreakBefore w:val="0"/>
        <w:widowControl/>
        <w:kinsoku/>
        <w:wordWrap/>
        <w:overflowPunct/>
        <w:topLinePunct w:val="0"/>
        <w:autoSpaceDE/>
        <w:autoSpaceDN/>
        <w:bidi w:val="0"/>
        <w:adjustRightInd/>
        <w:snapToGrid/>
        <w:spacing w:line="360" w:lineRule="auto"/>
        <w:ind w:right="1136"/>
        <w:textAlignment w:val="auto"/>
        <w:rPr>
          <w:rFonts w:hint="eastAsia" w:ascii="宋体" w:hAnsi="宋体" w:eastAsia="宋体"/>
          <w:color w:val="auto"/>
          <w:sz w:val="28"/>
          <w:szCs w:val="28"/>
          <w:lang w:eastAsia="zh-CN"/>
        </w:rPr>
      </w:pPr>
    </w:p>
    <w:p>
      <w:pPr>
        <w:keepNext w:val="0"/>
        <w:keepLines w:val="0"/>
        <w:pageBreakBefore w:val="0"/>
        <w:widowControl/>
        <w:kinsoku/>
        <w:wordWrap/>
        <w:overflowPunct/>
        <w:topLinePunct w:val="0"/>
        <w:autoSpaceDE/>
        <w:autoSpaceDN/>
        <w:bidi w:val="0"/>
        <w:adjustRightInd/>
        <w:snapToGrid/>
        <w:spacing w:line="360" w:lineRule="auto"/>
        <w:ind w:right="1136"/>
        <w:textAlignment w:val="auto"/>
        <w:rPr>
          <w:rFonts w:hint="eastAsia" w:ascii="宋体" w:hAnsi="宋体" w:eastAsia="宋体"/>
          <w:color w:val="auto"/>
          <w:sz w:val="28"/>
          <w:szCs w:val="28"/>
          <w:lang w:eastAsia="zh-CN"/>
        </w:rPr>
      </w:pPr>
    </w:p>
    <w:p>
      <w:pPr>
        <w:keepNext w:val="0"/>
        <w:keepLines w:val="0"/>
        <w:pageBreakBefore w:val="0"/>
        <w:widowControl/>
        <w:kinsoku/>
        <w:wordWrap/>
        <w:overflowPunct/>
        <w:topLinePunct w:val="0"/>
        <w:autoSpaceDE/>
        <w:autoSpaceDN/>
        <w:bidi w:val="0"/>
        <w:adjustRightInd/>
        <w:snapToGrid/>
        <w:spacing w:line="360" w:lineRule="auto"/>
        <w:ind w:right="1136"/>
        <w:textAlignment w:val="auto"/>
        <w:rPr>
          <w:rFonts w:hint="eastAsia" w:ascii="宋体" w:hAnsi="宋体" w:eastAsia="宋体"/>
          <w:color w:val="auto"/>
          <w:sz w:val="28"/>
          <w:szCs w:val="28"/>
          <w:lang w:eastAsia="zh-CN"/>
        </w:rPr>
      </w:pPr>
    </w:p>
    <w:p>
      <w:pPr>
        <w:keepNext w:val="0"/>
        <w:keepLines w:val="0"/>
        <w:pageBreakBefore w:val="0"/>
        <w:widowControl/>
        <w:kinsoku/>
        <w:wordWrap/>
        <w:overflowPunct/>
        <w:topLinePunct w:val="0"/>
        <w:autoSpaceDE/>
        <w:autoSpaceDN/>
        <w:bidi w:val="0"/>
        <w:adjustRightInd/>
        <w:snapToGrid/>
        <w:spacing w:line="360" w:lineRule="auto"/>
        <w:ind w:right="1136"/>
        <w:textAlignment w:val="auto"/>
        <w:rPr>
          <w:rFonts w:hint="eastAsia" w:ascii="宋体" w:hAnsi="宋体" w:eastAsia="宋体"/>
          <w:color w:val="auto"/>
          <w:sz w:val="28"/>
          <w:szCs w:val="28"/>
          <w:lang w:eastAsia="zh-CN"/>
        </w:rPr>
      </w:pPr>
    </w:p>
    <w:p>
      <w:pPr>
        <w:keepNext w:val="0"/>
        <w:keepLines w:val="0"/>
        <w:pageBreakBefore w:val="0"/>
        <w:widowControl/>
        <w:kinsoku/>
        <w:wordWrap/>
        <w:overflowPunct/>
        <w:topLinePunct w:val="0"/>
        <w:autoSpaceDE/>
        <w:autoSpaceDN/>
        <w:bidi w:val="0"/>
        <w:adjustRightInd/>
        <w:snapToGrid/>
        <w:spacing w:line="360" w:lineRule="auto"/>
        <w:ind w:right="1136"/>
        <w:textAlignment w:val="auto"/>
        <w:rPr>
          <w:rFonts w:hint="eastAsia" w:ascii="宋体" w:hAnsi="宋体" w:eastAsia="宋体"/>
          <w:color w:val="auto"/>
          <w:sz w:val="28"/>
          <w:szCs w:val="28"/>
          <w:lang w:eastAsia="zh-CN"/>
        </w:rPr>
      </w:pPr>
    </w:p>
    <w:p>
      <w:pPr>
        <w:keepNext w:val="0"/>
        <w:keepLines w:val="0"/>
        <w:pageBreakBefore w:val="0"/>
        <w:widowControl/>
        <w:kinsoku/>
        <w:wordWrap/>
        <w:overflowPunct/>
        <w:topLinePunct w:val="0"/>
        <w:autoSpaceDE/>
        <w:autoSpaceDN/>
        <w:bidi w:val="0"/>
        <w:adjustRightInd/>
        <w:snapToGrid/>
        <w:spacing w:line="360" w:lineRule="auto"/>
        <w:ind w:right="1136"/>
        <w:textAlignment w:val="auto"/>
        <w:rPr>
          <w:rFonts w:hint="eastAsia" w:ascii="宋体" w:hAnsi="宋体" w:eastAsia="宋体"/>
          <w:color w:val="auto"/>
          <w:sz w:val="28"/>
          <w:szCs w:val="28"/>
          <w:lang w:eastAsia="zh-CN"/>
        </w:rPr>
      </w:pPr>
    </w:p>
    <w:p>
      <w:pPr>
        <w:keepNext w:val="0"/>
        <w:keepLines w:val="0"/>
        <w:pageBreakBefore w:val="0"/>
        <w:widowControl/>
        <w:kinsoku/>
        <w:wordWrap/>
        <w:overflowPunct/>
        <w:topLinePunct w:val="0"/>
        <w:autoSpaceDE/>
        <w:autoSpaceDN/>
        <w:bidi w:val="0"/>
        <w:adjustRightInd/>
        <w:snapToGrid/>
        <w:spacing w:line="360" w:lineRule="auto"/>
        <w:ind w:right="1136"/>
        <w:textAlignment w:val="auto"/>
        <w:rPr>
          <w:rFonts w:hint="eastAsia" w:ascii="宋体" w:hAnsi="宋体" w:eastAsia="宋体"/>
          <w:color w:val="auto"/>
          <w:sz w:val="28"/>
          <w:szCs w:val="28"/>
          <w:lang w:eastAsia="zh-CN"/>
        </w:rPr>
      </w:pPr>
    </w:p>
    <w:p>
      <w:pPr>
        <w:keepNext w:val="0"/>
        <w:keepLines w:val="0"/>
        <w:pageBreakBefore w:val="0"/>
        <w:widowControl/>
        <w:kinsoku/>
        <w:wordWrap/>
        <w:overflowPunct/>
        <w:topLinePunct w:val="0"/>
        <w:autoSpaceDE/>
        <w:autoSpaceDN/>
        <w:bidi w:val="0"/>
        <w:adjustRightInd/>
        <w:snapToGrid/>
        <w:spacing w:line="360" w:lineRule="auto"/>
        <w:ind w:right="1136"/>
        <w:textAlignment w:val="auto"/>
        <w:rPr>
          <w:rFonts w:hint="eastAsia" w:ascii="宋体" w:hAnsi="宋体" w:eastAsia="宋体"/>
          <w:color w:val="auto"/>
          <w:sz w:val="28"/>
          <w:szCs w:val="28"/>
          <w:lang w:eastAsia="zh-CN"/>
        </w:rPr>
      </w:pPr>
    </w:p>
    <w:p>
      <w:pPr>
        <w:keepNext w:val="0"/>
        <w:keepLines w:val="0"/>
        <w:pageBreakBefore w:val="0"/>
        <w:widowControl/>
        <w:kinsoku/>
        <w:wordWrap/>
        <w:overflowPunct/>
        <w:topLinePunct w:val="0"/>
        <w:autoSpaceDE/>
        <w:autoSpaceDN/>
        <w:bidi w:val="0"/>
        <w:adjustRightInd/>
        <w:snapToGrid/>
        <w:spacing w:line="360" w:lineRule="auto"/>
        <w:ind w:right="1136"/>
        <w:textAlignment w:val="auto"/>
        <w:rPr>
          <w:rFonts w:hint="eastAsia" w:ascii="宋体" w:hAnsi="宋体" w:eastAsia="宋体"/>
          <w:color w:val="auto"/>
          <w:sz w:val="28"/>
          <w:szCs w:val="28"/>
          <w:lang w:eastAsia="zh-CN"/>
        </w:rPr>
      </w:pPr>
    </w:p>
    <w:p>
      <w:pPr>
        <w:keepNext w:val="0"/>
        <w:keepLines w:val="0"/>
        <w:pageBreakBefore w:val="0"/>
        <w:widowControl/>
        <w:kinsoku/>
        <w:wordWrap/>
        <w:overflowPunct/>
        <w:topLinePunct w:val="0"/>
        <w:autoSpaceDE/>
        <w:autoSpaceDN/>
        <w:bidi w:val="0"/>
        <w:adjustRightInd/>
        <w:snapToGrid/>
        <w:spacing w:line="360" w:lineRule="auto"/>
        <w:ind w:right="1136"/>
        <w:textAlignment w:val="auto"/>
        <w:rPr>
          <w:rFonts w:hint="eastAsia" w:ascii="宋体" w:hAnsi="宋体" w:eastAsia="宋体"/>
          <w:color w:val="auto"/>
          <w:sz w:val="28"/>
          <w:szCs w:val="28"/>
          <w:lang w:eastAsia="zh-CN"/>
        </w:rPr>
      </w:pPr>
    </w:p>
    <w:p>
      <w:pPr>
        <w:keepNext w:val="0"/>
        <w:keepLines w:val="0"/>
        <w:pageBreakBefore w:val="0"/>
        <w:widowControl/>
        <w:kinsoku/>
        <w:wordWrap/>
        <w:overflowPunct/>
        <w:topLinePunct w:val="0"/>
        <w:autoSpaceDE/>
        <w:autoSpaceDN/>
        <w:bidi w:val="0"/>
        <w:adjustRightInd/>
        <w:snapToGrid/>
        <w:spacing w:line="360" w:lineRule="auto"/>
        <w:ind w:right="1136"/>
        <w:textAlignment w:val="auto"/>
        <w:rPr>
          <w:rFonts w:hint="eastAsia" w:ascii="宋体" w:hAnsi="宋体" w:eastAsia="宋体"/>
          <w:color w:val="auto"/>
          <w:sz w:val="28"/>
          <w:szCs w:val="28"/>
          <w:lang w:eastAsia="zh-CN"/>
        </w:rPr>
      </w:pPr>
    </w:p>
    <w:p>
      <w:pPr>
        <w:keepNext w:val="0"/>
        <w:keepLines w:val="0"/>
        <w:pageBreakBefore w:val="0"/>
        <w:widowControl/>
        <w:kinsoku/>
        <w:wordWrap/>
        <w:overflowPunct/>
        <w:topLinePunct w:val="0"/>
        <w:autoSpaceDE/>
        <w:autoSpaceDN/>
        <w:bidi w:val="0"/>
        <w:adjustRightInd/>
        <w:snapToGrid/>
        <w:spacing w:line="360" w:lineRule="auto"/>
        <w:ind w:right="1136"/>
        <w:textAlignment w:val="auto"/>
        <w:rPr>
          <w:rFonts w:hint="eastAsia" w:ascii="宋体" w:hAnsi="宋体" w:eastAsia="宋体"/>
          <w:color w:val="auto"/>
          <w:sz w:val="28"/>
          <w:szCs w:val="28"/>
          <w:lang w:eastAsia="zh-CN"/>
        </w:rPr>
      </w:pPr>
    </w:p>
    <w:p>
      <w:pPr>
        <w:keepNext w:val="0"/>
        <w:keepLines w:val="0"/>
        <w:pageBreakBefore w:val="0"/>
        <w:widowControl/>
        <w:kinsoku/>
        <w:wordWrap/>
        <w:overflowPunct/>
        <w:topLinePunct w:val="0"/>
        <w:autoSpaceDE/>
        <w:autoSpaceDN/>
        <w:bidi w:val="0"/>
        <w:adjustRightInd/>
        <w:snapToGrid/>
        <w:spacing w:line="360" w:lineRule="auto"/>
        <w:ind w:right="1136"/>
        <w:textAlignment w:val="auto"/>
        <w:rPr>
          <w:rFonts w:hint="eastAsia" w:ascii="宋体" w:hAnsi="宋体" w:eastAsia="宋体"/>
          <w:color w:val="auto"/>
          <w:sz w:val="28"/>
          <w:szCs w:val="28"/>
          <w:lang w:eastAsia="zh-CN"/>
        </w:rPr>
      </w:pPr>
    </w:p>
    <w:p>
      <w:pPr>
        <w:keepNext w:val="0"/>
        <w:keepLines w:val="0"/>
        <w:pageBreakBefore w:val="0"/>
        <w:widowControl/>
        <w:kinsoku/>
        <w:wordWrap/>
        <w:overflowPunct/>
        <w:topLinePunct w:val="0"/>
        <w:autoSpaceDE/>
        <w:autoSpaceDN/>
        <w:bidi w:val="0"/>
        <w:adjustRightInd/>
        <w:snapToGrid/>
        <w:spacing w:line="360" w:lineRule="auto"/>
        <w:ind w:right="1136"/>
        <w:textAlignment w:val="auto"/>
        <w:rPr>
          <w:rFonts w:hint="eastAsia" w:ascii="宋体" w:hAnsi="宋体" w:eastAsia="宋体"/>
          <w:color w:val="auto"/>
          <w:sz w:val="28"/>
          <w:szCs w:val="28"/>
          <w:lang w:eastAsia="zh-CN"/>
        </w:rPr>
      </w:pPr>
    </w:p>
    <w:p>
      <w:pPr>
        <w:keepNext w:val="0"/>
        <w:keepLines w:val="0"/>
        <w:pageBreakBefore w:val="0"/>
        <w:widowControl/>
        <w:kinsoku/>
        <w:wordWrap/>
        <w:overflowPunct/>
        <w:topLinePunct w:val="0"/>
        <w:autoSpaceDE/>
        <w:autoSpaceDN/>
        <w:bidi w:val="0"/>
        <w:adjustRightInd/>
        <w:snapToGrid/>
        <w:spacing w:line="360" w:lineRule="auto"/>
        <w:ind w:right="1136"/>
        <w:textAlignment w:val="auto"/>
        <w:rPr>
          <w:rFonts w:hint="eastAsia" w:ascii="宋体" w:hAnsi="宋体" w:eastAsia="宋体"/>
          <w:color w:val="auto"/>
          <w:sz w:val="28"/>
          <w:szCs w:val="28"/>
          <w:lang w:eastAsia="zh-CN"/>
        </w:rPr>
      </w:pPr>
    </w:p>
    <w:p>
      <w:pPr>
        <w:keepNext w:val="0"/>
        <w:keepLines w:val="0"/>
        <w:pageBreakBefore w:val="0"/>
        <w:widowControl/>
        <w:kinsoku/>
        <w:wordWrap/>
        <w:overflowPunct/>
        <w:topLinePunct w:val="0"/>
        <w:autoSpaceDE/>
        <w:autoSpaceDN/>
        <w:bidi w:val="0"/>
        <w:adjustRightInd/>
        <w:snapToGrid/>
        <w:spacing w:line="360" w:lineRule="auto"/>
        <w:ind w:right="1136"/>
        <w:textAlignment w:val="auto"/>
        <w:rPr>
          <w:rFonts w:hint="eastAsia" w:ascii="宋体" w:hAnsi="宋体" w:eastAsia="宋体"/>
          <w:color w:val="auto"/>
          <w:sz w:val="28"/>
          <w:szCs w:val="28"/>
          <w:lang w:eastAsia="zh-CN"/>
        </w:rPr>
      </w:pPr>
    </w:p>
    <w:p>
      <w:pPr>
        <w:keepNext w:val="0"/>
        <w:keepLines w:val="0"/>
        <w:pageBreakBefore w:val="0"/>
        <w:widowControl/>
        <w:kinsoku/>
        <w:wordWrap/>
        <w:overflowPunct/>
        <w:topLinePunct w:val="0"/>
        <w:autoSpaceDE/>
        <w:autoSpaceDN/>
        <w:bidi w:val="0"/>
        <w:adjustRightInd/>
        <w:snapToGrid/>
        <w:spacing w:line="360" w:lineRule="auto"/>
        <w:ind w:right="1136"/>
        <w:textAlignment w:val="auto"/>
        <w:rPr>
          <w:rFonts w:hint="eastAsia" w:ascii="宋体" w:hAnsi="宋体" w:eastAsia="宋体"/>
          <w:color w:val="auto"/>
          <w:sz w:val="28"/>
          <w:szCs w:val="28"/>
          <w:lang w:eastAsia="zh-CN"/>
        </w:rPr>
      </w:pPr>
    </w:p>
    <w:p>
      <w:pPr>
        <w:keepNext w:val="0"/>
        <w:keepLines w:val="0"/>
        <w:pageBreakBefore w:val="0"/>
        <w:widowControl/>
        <w:kinsoku/>
        <w:wordWrap/>
        <w:overflowPunct/>
        <w:topLinePunct w:val="0"/>
        <w:autoSpaceDE/>
        <w:autoSpaceDN/>
        <w:bidi w:val="0"/>
        <w:adjustRightInd/>
        <w:snapToGrid/>
        <w:spacing w:line="360" w:lineRule="auto"/>
        <w:ind w:right="1136"/>
        <w:textAlignment w:val="auto"/>
        <w:rPr>
          <w:rFonts w:hint="eastAsia" w:ascii="宋体" w:hAnsi="宋体" w:eastAsia="宋体"/>
          <w:color w:val="auto"/>
          <w:sz w:val="28"/>
          <w:szCs w:val="28"/>
          <w:lang w:eastAsia="zh-CN"/>
        </w:rPr>
      </w:pPr>
    </w:p>
    <w:p>
      <w:pPr>
        <w:pStyle w:val="59"/>
        <w:tabs>
          <w:tab w:val="right" w:leader="dot" w:pos="9628"/>
        </w:tabs>
        <w:spacing w:line="360" w:lineRule="auto"/>
        <w:jc w:val="center"/>
        <w:rPr>
          <w:rFonts w:hint="eastAsia" w:ascii="宋体" w:hAnsi="宋体" w:eastAsia="宋体"/>
          <w:b/>
          <w:color w:val="auto"/>
          <w:sz w:val="52"/>
          <w:szCs w:val="52"/>
        </w:rPr>
        <w:sectPr>
          <w:headerReference r:id="rId9" w:type="default"/>
          <w:pgSz w:w="11906" w:h="16838"/>
          <w:pgMar w:top="1247" w:right="1134" w:bottom="850" w:left="1247" w:header="567" w:footer="850" w:gutter="0"/>
          <w:pgBorders>
            <w:top w:val="none" w:sz="0" w:space="0"/>
            <w:left w:val="none" w:sz="0" w:space="0"/>
            <w:bottom w:val="none" w:sz="0" w:space="0"/>
            <w:right w:val="none" w:sz="0" w:space="0"/>
          </w:pgBorders>
          <w:pgNumType w:fmt="decimal" w:start="1"/>
          <w:cols w:space="720" w:num="1"/>
          <w:docGrid w:linePitch="314" w:charSpace="847"/>
        </w:sectPr>
      </w:pPr>
    </w:p>
    <w:p>
      <w:pPr>
        <w:pStyle w:val="59"/>
        <w:tabs>
          <w:tab w:val="right" w:leader="dot" w:pos="9628"/>
        </w:tabs>
        <w:spacing w:line="360" w:lineRule="auto"/>
        <w:jc w:val="center"/>
        <w:rPr>
          <w:rFonts w:ascii="宋体" w:hAnsi="宋体" w:eastAsia="宋体"/>
          <w:b/>
          <w:color w:val="auto"/>
          <w:sz w:val="52"/>
          <w:szCs w:val="52"/>
        </w:rPr>
      </w:pPr>
      <w:r>
        <w:rPr>
          <w:rFonts w:hint="eastAsia" w:ascii="宋体" w:hAnsi="宋体" w:eastAsia="宋体"/>
          <w:b/>
          <w:color w:val="auto"/>
          <w:sz w:val="52"/>
          <w:szCs w:val="52"/>
        </w:rPr>
        <w:t>目  录</w:t>
      </w:r>
    </w:p>
    <w:p>
      <w:pPr>
        <w:pStyle w:val="59"/>
        <w:tabs>
          <w:tab w:val="right" w:leader="dot" w:pos="9525"/>
        </w:tabs>
        <w:rPr>
          <w:rFonts w:hint="eastAsia" w:ascii="宋体" w:hAnsi="宋体" w:eastAsia="宋体" w:cs="宋体"/>
          <w:sz w:val="24"/>
          <w:szCs w:val="24"/>
        </w:rPr>
      </w:pPr>
      <w:bookmarkStart w:id="0" w:name="_Toc412710259"/>
      <w:bookmarkStart w:id="1" w:name="_Toc412710260"/>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TOC \o "1-2" \h \z \u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_Toc24756 </w:instrText>
      </w:r>
      <w:r>
        <w:rPr>
          <w:rFonts w:hint="eastAsia" w:ascii="宋体" w:hAnsi="宋体" w:eastAsia="宋体" w:cs="宋体"/>
          <w:sz w:val="24"/>
          <w:szCs w:val="24"/>
        </w:rPr>
        <w:fldChar w:fldCharType="separate"/>
      </w:r>
      <w:r>
        <w:rPr>
          <w:rFonts w:hint="eastAsia" w:ascii="宋体" w:hAnsi="宋体" w:eastAsia="宋体" w:cs="宋体"/>
          <w:sz w:val="24"/>
          <w:szCs w:val="24"/>
        </w:rPr>
        <w:t>第一部分 估价师声明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_Toc24756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pPr>
        <w:pStyle w:val="59"/>
        <w:tabs>
          <w:tab w:val="right" w:leader="dot" w:pos="9525"/>
        </w:tabs>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_Toc24040 </w:instrText>
      </w:r>
      <w:r>
        <w:rPr>
          <w:rFonts w:hint="eastAsia" w:ascii="宋体" w:hAnsi="宋体" w:eastAsia="宋体" w:cs="宋体"/>
          <w:sz w:val="24"/>
          <w:szCs w:val="24"/>
        </w:rPr>
        <w:fldChar w:fldCharType="separate"/>
      </w:r>
      <w:r>
        <w:rPr>
          <w:rFonts w:hint="eastAsia" w:ascii="宋体" w:hAnsi="宋体" w:eastAsia="宋体" w:cs="宋体"/>
          <w:sz w:val="24"/>
          <w:szCs w:val="24"/>
        </w:rPr>
        <w:t>第二部分 估价的假设和限制条件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_Toc24040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pPr>
        <w:pStyle w:val="59"/>
        <w:tabs>
          <w:tab w:val="right" w:leader="dot" w:pos="9525"/>
        </w:tabs>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_Toc28767 </w:instrText>
      </w:r>
      <w:r>
        <w:rPr>
          <w:rFonts w:hint="eastAsia" w:ascii="宋体" w:hAnsi="宋体" w:eastAsia="宋体" w:cs="宋体"/>
          <w:sz w:val="24"/>
          <w:szCs w:val="24"/>
        </w:rPr>
        <w:fldChar w:fldCharType="separate"/>
      </w:r>
      <w:r>
        <w:rPr>
          <w:rFonts w:hint="eastAsia" w:ascii="宋体" w:hAnsi="宋体" w:eastAsia="宋体" w:cs="宋体"/>
          <w:sz w:val="24"/>
          <w:szCs w:val="24"/>
        </w:rPr>
        <w:t>第三部分 估价结果报告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_Toc28767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pPr>
        <w:pStyle w:val="74"/>
        <w:tabs>
          <w:tab w:val="right" w:leader="dot" w:pos="9525"/>
        </w:tabs>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_Toc22639 </w:instrText>
      </w:r>
      <w:r>
        <w:rPr>
          <w:rFonts w:hint="eastAsia" w:ascii="宋体" w:hAnsi="宋体" w:eastAsia="宋体" w:cs="宋体"/>
          <w:sz w:val="24"/>
          <w:szCs w:val="24"/>
        </w:rPr>
        <w:fldChar w:fldCharType="separate"/>
      </w:r>
      <w:r>
        <w:rPr>
          <w:rFonts w:hint="eastAsia" w:ascii="宋体" w:hAnsi="宋体" w:eastAsia="宋体" w:cs="宋体"/>
          <w:sz w:val="24"/>
          <w:szCs w:val="24"/>
        </w:rPr>
        <w:t>一、估价委托人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_Toc22639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pPr>
        <w:pStyle w:val="74"/>
        <w:tabs>
          <w:tab w:val="right" w:leader="dot" w:pos="9525"/>
        </w:tabs>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_Toc18640 </w:instrText>
      </w:r>
      <w:r>
        <w:rPr>
          <w:rFonts w:hint="eastAsia" w:ascii="宋体" w:hAnsi="宋体" w:eastAsia="宋体" w:cs="宋体"/>
          <w:sz w:val="24"/>
          <w:szCs w:val="24"/>
        </w:rPr>
        <w:fldChar w:fldCharType="separate"/>
      </w:r>
      <w:r>
        <w:rPr>
          <w:rFonts w:hint="eastAsia" w:ascii="宋体" w:hAnsi="宋体" w:eastAsia="宋体" w:cs="宋体"/>
          <w:sz w:val="24"/>
          <w:szCs w:val="24"/>
        </w:rPr>
        <w:t>二、估价机构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_Toc18640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pPr>
        <w:pStyle w:val="74"/>
        <w:tabs>
          <w:tab w:val="right" w:leader="dot" w:pos="9525"/>
        </w:tabs>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_Toc10538 </w:instrText>
      </w:r>
      <w:r>
        <w:rPr>
          <w:rFonts w:hint="eastAsia" w:ascii="宋体" w:hAnsi="宋体" w:eastAsia="宋体" w:cs="宋体"/>
          <w:sz w:val="24"/>
          <w:szCs w:val="24"/>
        </w:rPr>
        <w:fldChar w:fldCharType="separate"/>
      </w:r>
      <w:r>
        <w:rPr>
          <w:rFonts w:hint="eastAsia" w:ascii="宋体" w:hAnsi="宋体" w:eastAsia="宋体" w:cs="宋体"/>
          <w:bCs/>
          <w:sz w:val="24"/>
          <w:szCs w:val="24"/>
        </w:rPr>
        <w:t>三、估价对象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_Toc10538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pPr>
        <w:pStyle w:val="74"/>
        <w:tabs>
          <w:tab w:val="right" w:leader="dot" w:pos="9525"/>
        </w:tabs>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_Toc12823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四、估价目的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_Toc12823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pPr>
        <w:pStyle w:val="74"/>
        <w:tabs>
          <w:tab w:val="right" w:leader="dot" w:pos="9525"/>
        </w:tabs>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_Toc7700 </w:instrText>
      </w:r>
      <w:r>
        <w:rPr>
          <w:rFonts w:hint="eastAsia" w:ascii="宋体" w:hAnsi="宋体" w:eastAsia="宋体" w:cs="宋体"/>
          <w:sz w:val="24"/>
          <w:szCs w:val="24"/>
        </w:rPr>
        <w:fldChar w:fldCharType="separate"/>
      </w:r>
      <w:r>
        <w:rPr>
          <w:rFonts w:hint="eastAsia" w:ascii="宋体" w:hAnsi="宋体" w:eastAsia="宋体" w:cs="宋体"/>
          <w:bCs/>
          <w:sz w:val="24"/>
          <w:szCs w:val="24"/>
        </w:rPr>
        <w:t>五、价值时点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_Toc7700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pPr>
        <w:pStyle w:val="74"/>
        <w:tabs>
          <w:tab w:val="right" w:leader="dot" w:pos="9525"/>
        </w:tabs>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_Toc30658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六、</w:t>
      </w:r>
      <w:r>
        <w:rPr>
          <w:rFonts w:hint="eastAsia" w:ascii="宋体" w:hAnsi="宋体" w:eastAsia="宋体" w:cs="宋体"/>
          <w:bCs/>
          <w:sz w:val="24"/>
          <w:szCs w:val="24"/>
        </w:rPr>
        <w:t>价值类型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_Toc30658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pPr>
        <w:pStyle w:val="74"/>
        <w:tabs>
          <w:tab w:val="right" w:leader="dot" w:pos="9525"/>
        </w:tabs>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_Toc15352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七、估价依据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_Toc15352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pPr>
        <w:pStyle w:val="74"/>
        <w:tabs>
          <w:tab w:val="right" w:leader="dot" w:pos="9525"/>
        </w:tabs>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_Toc15619 </w:instrText>
      </w:r>
      <w:r>
        <w:rPr>
          <w:rFonts w:hint="eastAsia" w:ascii="宋体" w:hAnsi="宋体" w:eastAsia="宋体" w:cs="宋体"/>
          <w:sz w:val="24"/>
          <w:szCs w:val="24"/>
        </w:rPr>
        <w:fldChar w:fldCharType="separate"/>
      </w:r>
      <w:r>
        <w:rPr>
          <w:rFonts w:hint="eastAsia" w:ascii="宋体" w:hAnsi="宋体" w:eastAsia="宋体" w:cs="宋体"/>
          <w:bCs/>
          <w:sz w:val="24"/>
          <w:szCs w:val="24"/>
        </w:rPr>
        <w:t>八、估价原则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_Toc15619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pPr>
        <w:pStyle w:val="74"/>
        <w:tabs>
          <w:tab w:val="right" w:leader="dot" w:pos="9525"/>
        </w:tabs>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_Toc19599 </w:instrText>
      </w:r>
      <w:r>
        <w:rPr>
          <w:rFonts w:hint="eastAsia" w:ascii="宋体" w:hAnsi="宋体" w:eastAsia="宋体" w:cs="宋体"/>
          <w:sz w:val="24"/>
          <w:szCs w:val="24"/>
        </w:rPr>
        <w:fldChar w:fldCharType="separate"/>
      </w:r>
      <w:r>
        <w:rPr>
          <w:rFonts w:hint="eastAsia" w:ascii="宋体" w:hAnsi="宋体" w:eastAsia="宋体" w:cs="宋体"/>
          <w:bCs/>
          <w:sz w:val="24"/>
          <w:szCs w:val="24"/>
        </w:rPr>
        <w:t>九、估价方法的选用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_Toc19599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pPr>
        <w:pStyle w:val="74"/>
        <w:tabs>
          <w:tab w:val="right" w:leader="dot" w:pos="9525"/>
        </w:tabs>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_Toc13008 </w:instrText>
      </w:r>
      <w:r>
        <w:rPr>
          <w:rFonts w:hint="eastAsia" w:ascii="宋体" w:hAnsi="宋体" w:eastAsia="宋体" w:cs="宋体"/>
          <w:sz w:val="24"/>
          <w:szCs w:val="24"/>
        </w:rPr>
        <w:fldChar w:fldCharType="separate"/>
      </w:r>
      <w:r>
        <w:rPr>
          <w:rFonts w:hint="eastAsia" w:ascii="宋体" w:hAnsi="宋体" w:eastAsia="宋体" w:cs="宋体"/>
          <w:bCs/>
          <w:sz w:val="24"/>
          <w:szCs w:val="24"/>
        </w:rPr>
        <w:t>十、估价结果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_Toc13008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pPr>
        <w:pStyle w:val="74"/>
        <w:tabs>
          <w:tab w:val="right" w:leader="dot" w:pos="9525"/>
        </w:tabs>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_Toc6800 </w:instrText>
      </w:r>
      <w:r>
        <w:rPr>
          <w:rFonts w:hint="eastAsia" w:ascii="宋体" w:hAnsi="宋体" w:eastAsia="宋体" w:cs="宋体"/>
          <w:sz w:val="24"/>
          <w:szCs w:val="24"/>
        </w:rPr>
        <w:fldChar w:fldCharType="separate"/>
      </w:r>
      <w:r>
        <w:rPr>
          <w:rFonts w:hint="eastAsia" w:ascii="宋体" w:hAnsi="宋体" w:eastAsia="宋体" w:cs="宋体"/>
          <w:bCs/>
          <w:sz w:val="24"/>
          <w:szCs w:val="24"/>
        </w:rPr>
        <w:t>十一、 房地产估价报告使用提示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_Toc6800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pPr>
        <w:pStyle w:val="74"/>
        <w:tabs>
          <w:tab w:val="right" w:leader="dot" w:pos="9525"/>
        </w:tabs>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_Toc18488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十二、估价人员</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_Toc18488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pPr>
        <w:pStyle w:val="74"/>
        <w:tabs>
          <w:tab w:val="right" w:leader="dot" w:pos="9525"/>
        </w:tabs>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_Toc13110 </w:instrText>
      </w:r>
      <w:r>
        <w:rPr>
          <w:rFonts w:hint="eastAsia" w:ascii="宋体" w:hAnsi="宋体" w:eastAsia="宋体" w:cs="宋体"/>
          <w:sz w:val="24"/>
          <w:szCs w:val="24"/>
        </w:rPr>
        <w:fldChar w:fldCharType="separate"/>
      </w:r>
      <w:r>
        <w:rPr>
          <w:rFonts w:hint="eastAsia" w:ascii="宋体" w:hAnsi="宋体" w:eastAsia="宋体" w:cs="宋体"/>
          <w:bCs w:val="0"/>
          <w:sz w:val="24"/>
          <w:szCs w:val="24"/>
          <w:lang w:val="en-US" w:eastAsia="zh-CN"/>
        </w:rPr>
        <w:t>十三、实地查勘日期</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_Toc13110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pPr>
        <w:pStyle w:val="74"/>
        <w:tabs>
          <w:tab w:val="right" w:leader="dot" w:pos="9525"/>
        </w:tabs>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_Toc28236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十</w:t>
      </w:r>
      <w:r>
        <w:rPr>
          <w:rFonts w:hint="eastAsia" w:ascii="宋体" w:hAnsi="宋体" w:eastAsia="宋体" w:cs="宋体"/>
          <w:bCs w:val="0"/>
          <w:sz w:val="24"/>
          <w:szCs w:val="24"/>
          <w:lang w:val="en-US" w:eastAsia="zh-CN"/>
        </w:rPr>
        <w:t>四</w:t>
      </w:r>
      <w:r>
        <w:rPr>
          <w:rFonts w:hint="eastAsia" w:ascii="宋体" w:hAnsi="宋体" w:eastAsia="宋体" w:cs="宋体"/>
          <w:bCs w:val="0"/>
          <w:sz w:val="24"/>
          <w:szCs w:val="24"/>
        </w:rPr>
        <w:t>、估价作业期</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_Toc28236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pPr>
        <w:pStyle w:val="74"/>
        <w:tabs>
          <w:tab w:val="right" w:leader="dot" w:pos="9525"/>
        </w:tabs>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_Toc267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十</w:t>
      </w:r>
      <w:r>
        <w:rPr>
          <w:rFonts w:hint="eastAsia" w:ascii="宋体" w:hAnsi="宋体" w:eastAsia="宋体" w:cs="宋体"/>
          <w:bCs w:val="0"/>
          <w:sz w:val="24"/>
          <w:szCs w:val="24"/>
          <w:lang w:val="en-US" w:eastAsia="zh-CN"/>
        </w:rPr>
        <w:t>五</w:t>
      </w:r>
      <w:r>
        <w:rPr>
          <w:rFonts w:hint="eastAsia" w:ascii="宋体" w:hAnsi="宋体" w:eastAsia="宋体" w:cs="宋体"/>
          <w:bCs w:val="0"/>
          <w:sz w:val="24"/>
          <w:szCs w:val="24"/>
        </w:rPr>
        <w:t>、估价报告应用的有效期</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_Toc267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pPr>
        <w:pStyle w:val="59"/>
        <w:tabs>
          <w:tab w:val="right" w:leader="dot" w:pos="9525"/>
        </w:tabs>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_Toc5184 </w:instrText>
      </w:r>
      <w:r>
        <w:rPr>
          <w:rFonts w:hint="eastAsia" w:ascii="宋体" w:hAnsi="宋体" w:eastAsia="宋体" w:cs="宋体"/>
          <w:sz w:val="24"/>
          <w:szCs w:val="24"/>
        </w:rPr>
        <w:fldChar w:fldCharType="separate"/>
      </w:r>
      <w:r>
        <w:rPr>
          <w:rFonts w:hint="eastAsia" w:ascii="宋体" w:hAnsi="宋体" w:eastAsia="宋体" w:cs="宋体"/>
          <w:bCs/>
          <w:sz w:val="24"/>
          <w:szCs w:val="24"/>
        </w:rPr>
        <w:t>第</w:t>
      </w:r>
      <w:r>
        <w:rPr>
          <w:rFonts w:hint="eastAsia" w:ascii="宋体" w:hAnsi="宋体" w:eastAsia="宋体" w:cs="宋体"/>
          <w:bCs/>
          <w:sz w:val="24"/>
          <w:szCs w:val="24"/>
          <w:lang w:val="en-US" w:eastAsia="zh-CN"/>
        </w:rPr>
        <w:t>四</w:t>
      </w:r>
      <w:r>
        <w:rPr>
          <w:rFonts w:hint="eastAsia" w:ascii="宋体" w:hAnsi="宋体" w:eastAsia="宋体" w:cs="宋体"/>
          <w:bCs/>
          <w:sz w:val="24"/>
          <w:szCs w:val="24"/>
        </w:rPr>
        <w:t xml:space="preserve">部分 </w:t>
      </w:r>
      <w:r>
        <w:rPr>
          <w:rFonts w:hint="eastAsia" w:ascii="宋体" w:hAnsi="宋体" w:eastAsia="宋体" w:cs="宋体"/>
          <w:sz w:val="24"/>
          <w:szCs w:val="24"/>
        </w:rPr>
        <w:t xml:space="preserve"> </w:t>
      </w:r>
      <w:r>
        <w:rPr>
          <w:rFonts w:hint="eastAsia" w:ascii="宋体" w:hAnsi="宋体" w:eastAsia="宋体" w:cs="宋体"/>
          <w:bCs/>
          <w:sz w:val="24"/>
          <w:szCs w:val="24"/>
        </w:rPr>
        <w:t>附  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_Toc5184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pPr>
        <w:pStyle w:val="74"/>
        <w:tabs>
          <w:tab w:val="right" w:leader="dot" w:pos="9525"/>
        </w:tabs>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_Toc29175 </w:instrText>
      </w:r>
      <w:r>
        <w:rPr>
          <w:rFonts w:hint="eastAsia" w:ascii="宋体" w:hAnsi="宋体" w:eastAsia="宋体" w:cs="宋体"/>
          <w:sz w:val="24"/>
          <w:szCs w:val="24"/>
        </w:rPr>
        <w:fldChar w:fldCharType="separate"/>
      </w:r>
      <w:r>
        <w:rPr>
          <w:rFonts w:hint="eastAsia" w:ascii="宋体" w:hAnsi="宋体" w:eastAsia="宋体" w:cs="宋体"/>
          <w:sz w:val="24"/>
          <w:szCs w:val="24"/>
        </w:rPr>
        <w:t>1、估价对象区位图；</w:t>
      </w:r>
      <w:r>
        <w:rPr>
          <w:rFonts w:hint="eastAsia" w:ascii="宋体" w:hAnsi="宋体" w:eastAsia="宋体" w:cs="宋体"/>
          <w:color w:val="auto"/>
          <w:sz w:val="24"/>
          <w:szCs w:val="24"/>
        </w:rPr>
        <w:fldChar w:fldCharType="end"/>
      </w:r>
    </w:p>
    <w:p>
      <w:pPr>
        <w:pStyle w:val="74"/>
        <w:tabs>
          <w:tab w:val="right" w:leader="dot" w:pos="9525"/>
        </w:tabs>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_Toc26042 </w:instrText>
      </w:r>
      <w:r>
        <w:rPr>
          <w:rFonts w:hint="eastAsia" w:ascii="宋体" w:hAnsi="宋体" w:eastAsia="宋体" w:cs="宋体"/>
          <w:sz w:val="24"/>
          <w:szCs w:val="24"/>
        </w:rPr>
        <w:fldChar w:fldCharType="separate"/>
      </w:r>
      <w:r>
        <w:rPr>
          <w:rFonts w:hint="eastAsia" w:ascii="宋体" w:hAnsi="宋体" w:eastAsia="宋体" w:cs="宋体"/>
          <w:sz w:val="24"/>
          <w:szCs w:val="24"/>
        </w:rPr>
        <w:t>2、估价对象现场勘查图样；</w:t>
      </w:r>
      <w:r>
        <w:rPr>
          <w:rFonts w:hint="eastAsia" w:ascii="宋体" w:hAnsi="宋体" w:eastAsia="宋体" w:cs="宋体"/>
          <w:color w:val="auto"/>
          <w:sz w:val="24"/>
          <w:szCs w:val="24"/>
        </w:rPr>
        <w:fldChar w:fldCharType="end"/>
      </w:r>
    </w:p>
    <w:p>
      <w:pPr>
        <w:pStyle w:val="74"/>
        <w:tabs>
          <w:tab w:val="right" w:leader="dot" w:pos="9525"/>
        </w:tabs>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_Toc10986 </w:instrText>
      </w:r>
      <w:r>
        <w:rPr>
          <w:rFonts w:hint="eastAsia" w:ascii="宋体" w:hAnsi="宋体" w:eastAsia="宋体" w:cs="宋体"/>
          <w:sz w:val="24"/>
          <w:szCs w:val="24"/>
        </w:rPr>
        <w:fldChar w:fldCharType="separate"/>
      </w:r>
      <w:r>
        <w:rPr>
          <w:rFonts w:hint="eastAsia" w:ascii="宋体" w:hAnsi="宋体" w:eastAsia="宋体" w:cs="宋体"/>
          <w:spacing w:val="0"/>
          <w:sz w:val="24"/>
          <w:szCs w:val="24"/>
          <w:lang w:val="en-US" w:eastAsia="zh-CN"/>
        </w:rPr>
        <w:t>3</w:t>
      </w:r>
      <w:r>
        <w:rPr>
          <w:rFonts w:hint="eastAsia" w:ascii="宋体" w:hAnsi="宋体" w:eastAsia="宋体" w:cs="宋体"/>
          <w:spacing w:val="0"/>
          <w:sz w:val="24"/>
          <w:szCs w:val="24"/>
        </w:rPr>
        <w:t>、《</w:t>
      </w:r>
      <w:r>
        <w:rPr>
          <w:rFonts w:hint="eastAsia" w:ascii="宋体" w:hAnsi="宋体" w:eastAsia="宋体" w:cs="宋体"/>
          <w:spacing w:val="0"/>
          <w:sz w:val="24"/>
          <w:szCs w:val="24"/>
          <w:lang w:eastAsia="zh-CN"/>
        </w:rPr>
        <w:t>寻甸回族彝族自治县人民法院委托书</w:t>
      </w:r>
      <w:r>
        <w:rPr>
          <w:rFonts w:hint="eastAsia" w:ascii="宋体" w:hAnsi="宋体" w:eastAsia="宋体" w:cs="宋体"/>
          <w:spacing w:val="0"/>
          <w:sz w:val="24"/>
          <w:szCs w:val="24"/>
        </w:rPr>
        <w:t>》</w:t>
      </w:r>
      <w:r>
        <w:rPr>
          <w:rFonts w:hint="eastAsia" w:ascii="宋体" w:hAnsi="宋体" w:eastAsia="宋体" w:cs="宋体"/>
          <w:spacing w:val="0"/>
          <w:sz w:val="24"/>
          <w:szCs w:val="24"/>
          <w:lang w:eastAsia="zh-CN"/>
        </w:rPr>
        <w:t>（2022）云0129执529号</w:t>
      </w:r>
      <w:r>
        <w:rPr>
          <w:rFonts w:hint="eastAsia" w:ascii="宋体" w:hAnsi="宋体" w:eastAsia="宋体" w:cs="宋体"/>
          <w:spacing w:val="0"/>
          <w:sz w:val="24"/>
          <w:szCs w:val="24"/>
        </w:rPr>
        <w:t>；</w:t>
      </w:r>
      <w:r>
        <w:rPr>
          <w:rFonts w:hint="eastAsia" w:ascii="宋体" w:hAnsi="宋体" w:eastAsia="宋体" w:cs="宋体"/>
          <w:color w:val="auto"/>
          <w:sz w:val="24"/>
          <w:szCs w:val="24"/>
        </w:rPr>
        <w:fldChar w:fldCharType="end"/>
      </w:r>
    </w:p>
    <w:p>
      <w:pPr>
        <w:pStyle w:val="74"/>
        <w:tabs>
          <w:tab w:val="right" w:leader="dot" w:pos="9525"/>
        </w:tabs>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_Toc25698 </w:instrText>
      </w:r>
      <w:r>
        <w:rPr>
          <w:rFonts w:hint="eastAsia" w:ascii="宋体" w:hAnsi="宋体" w:eastAsia="宋体" w:cs="宋体"/>
          <w:sz w:val="24"/>
          <w:szCs w:val="24"/>
        </w:rPr>
        <w:fldChar w:fldCharType="separate"/>
      </w:r>
      <w:r>
        <w:rPr>
          <w:rFonts w:hint="eastAsia" w:ascii="宋体" w:hAnsi="宋体" w:eastAsia="宋体" w:cs="宋体"/>
          <w:spacing w:val="0"/>
          <w:sz w:val="24"/>
          <w:szCs w:val="24"/>
          <w:lang w:val="en-US" w:eastAsia="zh-CN"/>
        </w:rPr>
        <w:t>4、《不动产登记中心查档表》复印件；《自然资源部房地产权结果信息一览表》复印件；</w:t>
      </w:r>
      <w:r>
        <w:rPr>
          <w:rFonts w:hint="eastAsia" w:ascii="宋体" w:hAnsi="宋体" w:eastAsia="宋体" w:cs="宋体"/>
          <w:color w:val="auto"/>
          <w:sz w:val="24"/>
          <w:szCs w:val="24"/>
        </w:rPr>
        <w:fldChar w:fldCharType="end"/>
      </w:r>
    </w:p>
    <w:p>
      <w:pPr>
        <w:pStyle w:val="74"/>
        <w:tabs>
          <w:tab w:val="right" w:leader="dot" w:pos="9525"/>
        </w:tabs>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_Toc7567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5</w:t>
      </w:r>
      <w:r>
        <w:rPr>
          <w:rFonts w:hint="eastAsia" w:ascii="宋体" w:hAnsi="宋体" w:eastAsia="宋体" w:cs="宋体"/>
          <w:sz w:val="24"/>
          <w:szCs w:val="24"/>
        </w:rPr>
        <w:t>、房地产估价机构《企业法人营业执照》（复印件）；</w:t>
      </w:r>
      <w:r>
        <w:rPr>
          <w:rFonts w:hint="eastAsia" w:ascii="宋体" w:hAnsi="宋体" w:eastAsia="宋体" w:cs="宋体"/>
          <w:color w:val="auto"/>
          <w:sz w:val="24"/>
          <w:szCs w:val="24"/>
        </w:rPr>
        <w:fldChar w:fldCharType="end"/>
      </w:r>
    </w:p>
    <w:p>
      <w:pPr>
        <w:pStyle w:val="74"/>
        <w:tabs>
          <w:tab w:val="right" w:leader="dot" w:pos="9525"/>
        </w:tabs>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_Toc32565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6</w:t>
      </w:r>
      <w:r>
        <w:rPr>
          <w:rFonts w:hint="eastAsia" w:ascii="宋体" w:hAnsi="宋体" w:eastAsia="宋体" w:cs="宋体"/>
          <w:sz w:val="24"/>
          <w:szCs w:val="24"/>
        </w:rPr>
        <w:t>、房地产估价机构备案证书（复印件）；</w:t>
      </w:r>
      <w:r>
        <w:rPr>
          <w:rFonts w:hint="eastAsia" w:ascii="宋体" w:hAnsi="宋体" w:eastAsia="宋体" w:cs="宋体"/>
          <w:color w:val="auto"/>
          <w:sz w:val="24"/>
          <w:szCs w:val="24"/>
        </w:rPr>
        <w:fldChar w:fldCharType="end"/>
      </w:r>
    </w:p>
    <w:p>
      <w:pPr>
        <w:pStyle w:val="74"/>
        <w:tabs>
          <w:tab w:val="right" w:leader="dot" w:pos="9525"/>
        </w:tabs>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_Toc14578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7、注册房地产估价师注册证书（复印件）。</w:t>
      </w:r>
      <w:r>
        <w:rPr>
          <w:rFonts w:hint="eastAsia" w:ascii="宋体" w:hAnsi="宋体" w:eastAsia="宋体" w:cs="宋体"/>
          <w:color w:val="auto"/>
          <w:sz w:val="24"/>
          <w:szCs w:val="24"/>
        </w:rPr>
        <w:fldChar w:fldCharType="end"/>
      </w:r>
    </w:p>
    <w:p>
      <w:pPr>
        <w:pStyle w:val="3"/>
        <w:pageBreakBefore w:val="0"/>
        <w:widowControl/>
        <w:kinsoku/>
        <w:wordWrap/>
        <w:overflowPunct/>
        <w:topLinePunct w:val="0"/>
        <w:autoSpaceDE/>
        <w:autoSpaceDN/>
        <w:bidi w:val="0"/>
        <w:adjustRightInd/>
        <w:snapToGrid/>
        <w:spacing w:before="0" w:line="360" w:lineRule="auto"/>
        <w:jc w:val="center"/>
        <w:textAlignment w:val="auto"/>
        <w:rPr>
          <w:rFonts w:hint="eastAsia" w:ascii="宋体" w:hAnsi="宋体" w:eastAsia="宋体" w:cs="宋体"/>
          <w:color w:val="auto"/>
          <w:sz w:val="24"/>
          <w:szCs w:val="24"/>
        </w:rPr>
        <w:sectPr>
          <w:headerReference r:id="rId10" w:type="default"/>
          <w:pgSz w:w="11906" w:h="16838"/>
          <w:pgMar w:top="1247" w:right="1134" w:bottom="850" w:left="1247" w:header="567" w:footer="850" w:gutter="0"/>
          <w:pgBorders>
            <w:top w:val="none" w:sz="0" w:space="0"/>
            <w:left w:val="none" w:sz="0" w:space="0"/>
            <w:bottom w:val="none" w:sz="0" w:space="0"/>
            <w:right w:val="none" w:sz="0" w:space="0"/>
          </w:pgBorders>
          <w:pgNumType w:fmt="decimal" w:start="1"/>
          <w:cols w:space="720" w:num="1"/>
          <w:docGrid w:linePitch="314" w:charSpace="847"/>
        </w:sectPr>
      </w:pPr>
    </w:p>
    <w:p>
      <w:pPr>
        <w:pStyle w:val="3"/>
        <w:pageBreakBefore w:val="0"/>
        <w:widowControl/>
        <w:kinsoku/>
        <w:wordWrap/>
        <w:overflowPunct/>
        <w:topLinePunct w:val="0"/>
        <w:autoSpaceDE/>
        <w:autoSpaceDN/>
        <w:bidi w:val="0"/>
        <w:adjustRightInd/>
        <w:snapToGrid/>
        <w:spacing w:before="0" w:line="360" w:lineRule="auto"/>
        <w:jc w:val="center"/>
        <w:textAlignment w:val="auto"/>
        <w:rPr>
          <w:rFonts w:ascii="宋体" w:hAnsi="宋体" w:eastAsia="宋体"/>
          <w:color w:val="auto"/>
          <w:sz w:val="36"/>
          <w:szCs w:val="36"/>
        </w:rPr>
      </w:pPr>
      <w:r>
        <w:rPr>
          <w:rFonts w:hint="eastAsia" w:ascii="宋体" w:hAnsi="宋体" w:eastAsia="宋体" w:cs="宋体"/>
          <w:color w:val="auto"/>
          <w:sz w:val="24"/>
          <w:szCs w:val="24"/>
        </w:rPr>
        <w:fldChar w:fldCharType="end"/>
      </w:r>
      <w:bookmarkEnd w:id="0"/>
      <w:bookmarkStart w:id="2" w:name="_Toc24756"/>
      <w:bookmarkStart w:id="3" w:name="_Toc18355"/>
      <w:bookmarkStart w:id="4" w:name="_Toc20239"/>
      <w:bookmarkStart w:id="5" w:name="_Toc29546"/>
      <w:bookmarkStart w:id="6" w:name="_Toc31172"/>
      <w:bookmarkStart w:id="7" w:name="_Toc491678695"/>
      <w:bookmarkStart w:id="8" w:name="_Toc18257"/>
      <w:bookmarkStart w:id="9" w:name="_Toc9727"/>
      <w:bookmarkStart w:id="10" w:name="_Toc18718"/>
      <w:bookmarkStart w:id="11" w:name="_Toc28995"/>
      <w:bookmarkStart w:id="12" w:name="_Toc32243"/>
      <w:bookmarkStart w:id="13" w:name="_Toc491437040"/>
      <w:r>
        <w:rPr>
          <w:rFonts w:hint="eastAsia" w:ascii="宋体" w:hAnsi="宋体" w:eastAsia="宋体"/>
          <w:color w:val="auto"/>
          <w:sz w:val="36"/>
          <w:szCs w:val="36"/>
        </w:rPr>
        <w:t>第一部分</w:t>
      </w:r>
      <w:r>
        <w:rPr>
          <w:rFonts w:ascii="宋体" w:hAnsi="宋体" w:eastAsia="宋体"/>
          <w:color w:val="auto"/>
          <w:sz w:val="36"/>
          <w:szCs w:val="36"/>
        </w:rPr>
        <w:t xml:space="preserve"> </w:t>
      </w:r>
      <w:r>
        <w:rPr>
          <w:rFonts w:hint="eastAsia" w:ascii="宋体" w:hAnsi="宋体" w:eastAsia="宋体"/>
          <w:color w:val="auto"/>
          <w:sz w:val="36"/>
          <w:szCs w:val="36"/>
        </w:rPr>
        <w:t xml:space="preserve">  估价师声明</w:t>
      </w:r>
      <w:bookmarkEnd w:id="2"/>
    </w:p>
    <w:p>
      <w:pPr>
        <w:keepNext w:val="0"/>
        <w:keepLines w:val="0"/>
        <w:pageBreakBefore w:val="0"/>
        <w:widowControl/>
        <w:kinsoku/>
        <w:wordWrap/>
        <w:overflowPunct/>
        <w:topLinePunct w:val="0"/>
        <w:autoSpaceDE/>
        <w:autoSpaceDN/>
        <w:bidi w:val="0"/>
        <w:adjustRightInd/>
        <w:snapToGrid/>
        <w:spacing w:before="240" w:beforeLines="100" w:line="372" w:lineRule="auto"/>
        <w:ind w:firstLine="562" w:firstLineChars="200"/>
        <w:jc w:val="both"/>
        <w:textAlignment w:val="auto"/>
        <w:rPr>
          <w:rFonts w:ascii="宋体" w:hAnsi="宋体" w:eastAsia="宋体"/>
          <w:b/>
          <w:color w:val="auto"/>
          <w:sz w:val="28"/>
        </w:rPr>
      </w:pPr>
      <w:r>
        <w:rPr>
          <w:rFonts w:hint="eastAsia" w:ascii="宋体" w:hAnsi="宋体" w:eastAsia="宋体"/>
          <w:b/>
          <w:color w:val="auto"/>
          <w:sz w:val="28"/>
        </w:rPr>
        <w:t>我们根据自己的专业知识和执业道德，在此郑重声明：</w:t>
      </w:r>
    </w:p>
    <w:p>
      <w:pPr>
        <w:keepNext w:val="0"/>
        <w:keepLines w:val="0"/>
        <w:pageBreakBefore w:val="0"/>
        <w:widowControl/>
        <w:numPr>
          <w:ilvl w:val="0"/>
          <w:numId w:val="1"/>
        </w:numPr>
        <w:kinsoku/>
        <w:wordWrap/>
        <w:overflowPunct/>
        <w:topLinePunct w:val="0"/>
        <w:autoSpaceDE/>
        <w:autoSpaceDN/>
        <w:bidi w:val="0"/>
        <w:adjustRightInd/>
        <w:snapToGrid/>
        <w:spacing w:line="372" w:lineRule="auto"/>
        <w:ind w:firstLine="560" w:firstLineChars="200"/>
        <w:jc w:val="both"/>
        <w:textAlignment w:val="auto"/>
        <w:rPr>
          <w:rFonts w:ascii="宋体" w:hAnsi="宋体" w:eastAsia="宋体"/>
          <w:color w:val="auto"/>
          <w:sz w:val="28"/>
        </w:rPr>
      </w:pPr>
      <w:r>
        <w:rPr>
          <w:rFonts w:hint="eastAsia" w:ascii="宋体" w:hAnsi="宋体" w:eastAsia="宋体"/>
          <w:color w:val="auto"/>
          <w:sz w:val="28"/>
        </w:rPr>
        <w:t>我们在本次估价报告中陈述的事实是真实的和准确的，没有虚假记载、误导性陈述和重大遗漏。</w:t>
      </w:r>
    </w:p>
    <w:p>
      <w:pPr>
        <w:keepNext w:val="0"/>
        <w:keepLines w:val="0"/>
        <w:pageBreakBefore w:val="0"/>
        <w:widowControl/>
        <w:kinsoku/>
        <w:wordWrap/>
        <w:overflowPunct/>
        <w:topLinePunct w:val="0"/>
        <w:autoSpaceDE/>
        <w:autoSpaceDN/>
        <w:bidi w:val="0"/>
        <w:adjustRightInd/>
        <w:snapToGrid/>
        <w:spacing w:line="372" w:lineRule="auto"/>
        <w:ind w:firstLine="560" w:firstLineChars="200"/>
        <w:jc w:val="both"/>
        <w:textAlignment w:val="auto"/>
        <w:rPr>
          <w:rFonts w:ascii="宋体" w:hAnsi="宋体" w:eastAsia="宋体"/>
          <w:color w:val="auto"/>
          <w:sz w:val="28"/>
        </w:rPr>
      </w:pPr>
      <w:r>
        <w:rPr>
          <w:rFonts w:hint="eastAsia" w:ascii="宋体" w:hAnsi="宋体" w:eastAsia="宋体"/>
          <w:color w:val="auto"/>
          <w:sz w:val="28"/>
        </w:rPr>
        <w:t>二、本估价报告中的分析、意见和结论是我们独立、客观、公证的专业分析、意见和结论，但受到本估价报告中已说明的假设和限制条件的限制。</w:t>
      </w:r>
    </w:p>
    <w:p>
      <w:pPr>
        <w:keepNext w:val="0"/>
        <w:keepLines w:val="0"/>
        <w:pageBreakBefore w:val="0"/>
        <w:widowControl/>
        <w:kinsoku/>
        <w:wordWrap/>
        <w:overflowPunct/>
        <w:topLinePunct w:val="0"/>
        <w:autoSpaceDE/>
        <w:autoSpaceDN/>
        <w:bidi w:val="0"/>
        <w:adjustRightInd/>
        <w:snapToGrid/>
        <w:spacing w:line="372" w:lineRule="auto"/>
        <w:ind w:firstLine="560" w:firstLineChars="200"/>
        <w:jc w:val="both"/>
        <w:textAlignment w:val="auto"/>
        <w:rPr>
          <w:rFonts w:ascii="宋体" w:hAnsi="宋体" w:eastAsia="宋体"/>
          <w:color w:val="auto"/>
          <w:sz w:val="28"/>
        </w:rPr>
      </w:pPr>
      <w:r>
        <w:rPr>
          <w:rFonts w:hint="eastAsia" w:ascii="宋体" w:hAnsi="宋体" w:eastAsia="宋体"/>
          <w:color w:val="auto"/>
          <w:sz w:val="28"/>
        </w:rPr>
        <w:t>三、我们与本估价报告中的估价对象没有现实或潜在的利益，与估价委托人及估价利害关系人没有利害关系，也对估价对象、估价委托人及估价利害关系人没有偏见。</w:t>
      </w:r>
    </w:p>
    <w:p>
      <w:pPr>
        <w:keepNext w:val="0"/>
        <w:keepLines w:val="0"/>
        <w:pageBreakBefore w:val="0"/>
        <w:widowControl/>
        <w:kinsoku/>
        <w:wordWrap/>
        <w:overflowPunct/>
        <w:topLinePunct w:val="0"/>
        <w:autoSpaceDE/>
        <w:autoSpaceDN/>
        <w:bidi w:val="0"/>
        <w:adjustRightInd/>
        <w:snapToGrid/>
        <w:spacing w:line="372" w:lineRule="auto"/>
        <w:ind w:firstLine="560" w:firstLineChars="200"/>
        <w:jc w:val="both"/>
        <w:textAlignment w:val="auto"/>
        <w:rPr>
          <w:rFonts w:ascii="宋体" w:hAnsi="宋体" w:eastAsia="宋体"/>
          <w:color w:val="auto"/>
          <w:sz w:val="28"/>
        </w:rPr>
      </w:pPr>
      <w:r>
        <w:rPr>
          <w:rFonts w:hint="eastAsia" w:ascii="宋体" w:hAnsi="宋体" w:eastAsia="宋体"/>
          <w:color w:val="auto"/>
          <w:sz w:val="28"/>
        </w:rPr>
        <w:t>四、我们是依照中华人民共和国国家标准《房地产估价规范》（</w:t>
      </w:r>
      <w:r>
        <w:rPr>
          <w:rFonts w:ascii="宋体" w:hAnsi="宋体" w:eastAsia="宋体"/>
          <w:color w:val="auto"/>
          <w:sz w:val="28"/>
        </w:rPr>
        <w:t>GB/T 50291—2015</w:t>
      </w:r>
      <w:r>
        <w:rPr>
          <w:rFonts w:hint="eastAsia" w:ascii="宋体" w:hAnsi="宋体" w:eastAsia="宋体"/>
          <w:color w:val="auto"/>
          <w:sz w:val="28"/>
        </w:rPr>
        <w:t>）、《房地产估价基本术语标准》（</w:t>
      </w:r>
      <w:r>
        <w:rPr>
          <w:rFonts w:ascii="宋体" w:hAnsi="宋体" w:eastAsia="宋体"/>
          <w:color w:val="auto"/>
          <w:sz w:val="28"/>
        </w:rPr>
        <w:t>GB/T50899—2013</w:t>
      </w:r>
      <w:r>
        <w:rPr>
          <w:rFonts w:hint="eastAsia" w:ascii="宋体" w:hAnsi="宋体" w:eastAsia="宋体"/>
          <w:color w:val="auto"/>
          <w:sz w:val="28"/>
        </w:rPr>
        <w:t>）</w:t>
      </w:r>
      <w:r>
        <w:rPr>
          <w:rFonts w:hint="eastAsia" w:ascii="宋体" w:hAnsi="宋体" w:eastAsia="宋体"/>
          <w:color w:val="auto"/>
          <w:sz w:val="28"/>
          <w:szCs w:val="28"/>
          <w:lang w:val="en-US" w:eastAsia="zh-CN"/>
        </w:rPr>
        <w:t>对估价对象</w:t>
      </w:r>
      <w:r>
        <w:rPr>
          <w:rFonts w:hint="eastAsia" w:ascii="宋体" w:hAnsi="宋体" w:eastAsia="宋体"/>
          <w:color w:val="auto"/>
          <w:sz w:val="28"/>
        </w:rPr>
        <w:t>进行分析，形成意见和结论，撰写本估价报告。</w:t>
      </w:r>
    </w:p>
    <w:p>
      <w:pPr>
        <w:spacing w:line="360" w:lineRule="auto"/>
        <w:ind w:firstLine="551" w:firstLineChars="197"/>
        <w:jc w:val="both"/>
        <w:rPr>
          <w:rFonts w:ascii="宋体" w:hAnsi="宋体" w:eastAsia="宋体"/>
          <w:color w:val="auto"/>
          <w:sz w:val="28"/>
        </w:rPr>
      </w:pPr>
    </w:p>
    <w:p>
      <w:pPr>
        <w:pStyle w:val="3"/>
        <w:spacing w:before="0"/>
        <w:jc w:val="center"/>
        <w:rPr>
          <w:rFonts w:ascii="宋体" w:hAnsi="宋体" w:eastAsia="宋体"/>
          <w:color w:val="auto"/>
          <w:sz w:val="36"/>
          <w:szCs w:val="36"/>
        </w:rPr>
      </w:pPr>
    </w:p>
    <w:p>
      <w:pPr>
        <w:rPr>
          <w:rFonts w:ascii="宋体" w:hAnsi="宋体" w:eastAsia="宋体"/>
          <w:color w:val="auto"/>
          <w:sz w:val="36"/>
          <w:szCs w:val="36"/>
        </w:rPr>
      </w:pPr>
    </w:p>
    <w:p>
      <w:pPr>
        <w:rPr>
          <w:rFonts w:ascii="宋体" w:hAnsi="宋体" w:eastAsia="宋体"/>
          <w:color w:val="auto"/>
          <w:sz w:val="36"/>
          <w:szCs w:val="36"/>
        </w:rPr>
      </w:pPr>
    </w:p>
    <w:p>
      <w:pPr>
        <w:rPr>
          <w:rFonts w:ascii="宋体" w:hAnsi="宋体" w:eastAsia="宋体"/>
          <w:color w:val="auto"/>
          <w:sz w:val="36"/>
          <w:szCs w:val="36"/>
        </w:rPr>
      </w:pPr>
    </w:p>
    <w:p>
      <w:pPr>
        <w:rPr>
          <w:rFonts w:ascii="宋体" w:hAnsi="宋体" w:eastAsia="宋体"/>
          <w:color w:val="auto"/>
          <w:sz w:val="36"/>
          <w:szCs w:val="36"/>
        </w:rPr>
      </w:pPr>
    </w:p>
    <w:p>
      <w:pPr>
        <w:rPr>
          <w:rFonts w:ascii="宋体" w:hAnsi="宋体" w:eastAsia="宋体"/>
          <w:color w:val="auto"/>
          <w:sz w:val="36"/>
          <w:szCs w:val="36"/>
        </w:rPr>
      </w:pPr>
    </w:p>
    <w:p>
      <w:pPr>
        <w:rPr>
          <w:rFonts w:ascii="宋体" w:hAnsi="宋体" w:eastAsia="宋体"/>
          <w:color w:val="auto"/>
          <w:sz w:val="36"/>
          <w:szCs w:val="36"/>
        </w:rPr>
      </w:pPr>
    </w:p>
    <w:p>
      <w:pPr>
        <w:rPr>
          <w:rFonts w:ascii="宋体" w:hAnsi="宋体" w:eastAsia="宋体"/>
          <w:color w:val="auto"/>
          <w:sz w:val="36"/>
          <w:szCs w:val="36"/>
        </w:rPr>
      </w:pPr>
    </w:p>
    <w:p>
      <w:pPr>
        <w:rPr>
          <w:rFonts w:ascii="宋体" w:hAnsi="宋体" w:eastAsia="宋体"/>
          <w:color w:val="auto"/>
          <w:sz w:val="36"/>
          <w:szCs w:val="36"/>
        </w:rPr>
      </w:pPr>
    </w:p>
    <w:p>
      <w:pPr>
        <w:rPr>
          <w:rFonts w:ascii="宋体" w:hAnsi="宋体" w:eastAsia="宋体"/>
          <w:color w:val="auto"/>
          <w:sz w:val="36"/>
          <w:szCs w:val="36"/>
        </w:rPr>
      </w:pPr>
    </w:p>
    <w:p>
      <w:pPr>
        <w:rPr>
          <w:rFonts w:ascii="宋体" w:hAnsi="宋体" w:eastAsia="宋体"/>
          <w:color w:val="auto"/>
          <w:sz w:val="36"/>
          <w:szCs w:val="36"/>
        </w:rPr>
      </w:pPr>
    </w:p>
    <w:p>
      <w:pPr>
        <w:pStyle w:val="3"/>
        <w:numPr>
          <w:ilvl w:val="0"/>
          <w:numId w:val="2"/>
        </w:numPr>
        <w:spacing w:before="0"/>
        <w:jc w:val="center"/>
        <w:rPr>
          <w:rFonts w:ascii="宋体" w:hAnsi="宋体" w:eastAsia="宋体"/>
          <w:color w:val="auto"/>
          <w:sz w:val="36"/>
          <w:szCs w:val="36"/>
        </w:rPr>
      </w:pPr>
      <w:bookmarkStart w:id="14" w:name="_Toc11960"/>
      <w:r>
        <w:rPr>
          <w:rFonts w:hint="eastAsia" w:ascii="宋体" w:hAnsi="宋体" w:eastAsia="宋体"/>
          <w:color w:val="auto"/>
          <w:sz w:val="36"/>
          <w:szCs w:val="36"/>
        </w:rPr>
        <w:t xml:space="preserve">  </w:t>
      </w:r>
      <w:bookmarkStart w:id="15" w:name="_Toc24040"/>
      <w:r>
        <w:rPr>
          <w:rFonts w:hint="eastAsia" w:ascii="宋体" w:hAnsi="宋体" w:eastAsia="宋体"/>
          <w:color w:val="auto"/>
          <w:sz w:val="36"/>
          <w:szCs w:val="36"/>
        </w:rPr>
        <w:t>估价的假设和限制条件</w:t>
      </w:r>
      <w:bookmarkEnd w:id="14"/>
      <w:bookmarkEnd w:id="15"/>
    </w:p>
    <w:p>
      <w:pPr>
        <w:spacing w:before="240" w:beforeLines="100" w:line="360" w:lineRule="auto"/>
        <w:ind w:firstLine="602" w:firstLineChars="200"/>
        <w:jc w:val="both"/>
        <w:rPr>
          <w:rFonts w:ascii="宋体" w:hAnsi="宋体" w:eastAsia="宋体"/>
          <w:b/>
          <w:bCs/>
          <w:color w:val="auto"/>
          <w:sz w:val="30"/>
          <w:szCs w:val="30"/>
        </w:rPr>
      </w:pPr>
      <w:r>
        <w:rPr>
          <w:rFonts w:hint="eastAsia" w:ascii="宋体" w:hAnsi="宋体" w:eastAsia="宋体"/>
          <w:b/>
          <w:bCs/>
          <w:color w:val="auto"/>
          <w:sz w:val="30"/>
          <w:szCs w:val="30"/>
        </w:rPr>
        <w:t>估价假设条件</w:t>
      </w:r>
    </w:p>
    <w:p>
      <w:pPr>
        <w:spacing w:line="360" w:lineRule="auto"/>
        <w:ind w:firstLine="562" w:firstLineChars="200"/>
        <w:jc w:val="both"/>
        <w:rPr>
          <w:rFonts w:ascii="宋体" w:hAnsi="宋体" w:eastAsia="宋体"/>
          <w:b/>
          <w:bCs/>
          <w:color w:val="auto"/>
          <w:sz w:val="28"/>
          <w:szCs w:val="32"/>
        </w:rPr>
      </w:pPr>
      <w:r>
        <w:rPr>
          <w:rFonts w:hint="eastAsia" w:ascii="宋体" w:hAnsi="宋体" w:eastAsia="宋体"/>
          <w:b/>
          <w:bCs/>
          <w:color w:val="auto"/>
          <w:sz w:val="28"/>
          <w:szCs w:val="32"/>
        </w:rPr>
        <w:t>（一）一般假设</w:t>
      </w:r>
    </w:p>
    <w:p>
      <w:pPr>
        <w:spacing w:line="360" w:lineRule="auto"/>
        <w:ind w:firstLine="560" w:firstLineChars="200"/>
        <w:jc w:val="both"/>
        <w:rPr>
          <w:rFonts w:ascii="宋体" w:hAnsi="宋体" w:eastAsia="宋体"/>
          <w:color w:val="auto"/>
          <w:sz w:val="28"/>
        </w:rPr>
      </w:pPr>
      <w:r>
        <w:rPr>
          <w:rFonts w:ascii="宋体" w:hAnsi="宋体" w:eastAsia="宋体"/>
          <w:color w:val="auto"/>
          <w:sz w:val="28"/>
        </w:rPr>
        <w:t>1</w:t>
      </w:r>
      <w:r>
        <w:rPr>
          <w:rFonts w:hint="eastAsia" w:ascii="宋体" w:hAnsi="宋体" w:eastAsia="宋体"/>
          <w:color w:val="auto"/>
          <w:sz w:val="28"/>
        </w:rPr>
        <w:t>、本次估价报告以委托人提供的估价对象相关资料真实有效，估价对象无司法机关、行政机关查封等禁止转让、抵押情况，房地产权属无纠纷，土地使用权符合法定的转让条件为假设前提，即以估价对象合法产权、属合法使用、可以在公开市场上自由转让、抵押等处分为假设前提。</w:t>
      </w:r>
    </w:p>
    <w:p>
      <w:pPr>
        <w:spacing w:line="360" w:lineRule="auto"/>
        <w:ind w:firstLine="560" w:firstLineChars="200"/>
        <w:jc w:val="both"/>
        <w:rPr>
          <w:rFonts w:ascii="宋体" w:hAnsi="宋体" w:eastAsia="宋体"/>
          <w:color w:val="auto"/>
          <w:sz w:val="28"/>
        </w:rPr>
      </w:pPr>
      <w:r>
        <w:rPr>
          <w:rFonts w:hint="eastAsia" w:ascii="宋体" w:hAnsi="宋体" w:eastAsia="宋体"/>
          <w:color w:val="auto"/>
          <w:sz w:val="28"/>
        </w:rPr>
        <w:t>2、交易双方是在公开的市场上进行交易，交易目的在于最大限度地追求经济利益，并掌握必要的市场信息，有较充裕的时间进行交易，对交易对象具有必要的专业知识，交易条件公开并不具有排他性。</w:t>
      </w:r>
    </w:p>
    <w:p>
      <w:pPr>
        <w:spacing w:line="360" w:lineRule="auto"/>
        <w:ind w:firstLine="560" w:firstLineChars="200"/>
        <w:jc w:val="both"/>
        <w:rPr>
          <w:rFonts w:ascii="宋体" w:hAnsi="宋体" w:eastAsia="宋体"/>
          <w:color w:val="auto"/>
          <w:sz w:val="28"/>
        </w:rPr>
      </w:pPr>
      <w:r>
        <w:rPr>
          <w:rFonts w:hint="eastAsia" w:ascii="宋体" w:hAnsi="宋体" w:eastAsia="宋体"/>
          <w:color w:val="auto"/>
          <w:sz w:val="28"/>
        </w:rPr>
        <w:t>3、</w:t>
      </w:r>
      <w:r>
        <w:rPr>
          <w:rFonts w:hint="eastAsia" w:ascii="宋体" w:hAnsi="宋体" w:eastAsia="宋体"/>
          <w:color w:val="auto"/>
          <w:sz w:val="28"/>
          <w:lang w:eastAsia="zh-CN"/>
        </w:rPr>
        <w:t>本报告以估价对象按照《不动产登记中心查档表》及房</w:t>
      </w:r>
      <w:r>
        <w:rPr>
          <w:rFonts w:hint="eastAsia" w:ascii="宋体" w:hAnsi="宋体" w:eastAsia="宋体"/>
          <w:color w:val="auto"/>
          <w:sz w:val="28"/>
        </w:rPr>
        <w:t>屋</w:t>
      </w:r>
      <w:r>
        <w:rPr>
          <w:rFonts w:hint="eastAsia" w:ascii="宋体" w:hAnsi="宋体" w:eastAsia="宋体"/>
          <w:color w:val="auto"/>
          <w:sz w:val="28"/>
          <w:lang w:eastAsia="zh-CN"/>
        </w:rPr>
        <w:t>用途</w:t>
      </w:r>
      <w:r>
        <w:rPr>
          <w:rFonts w:hint="eastAsia" w:ascii="宋体" w:hAnsi="宋体" w:eastAsia="宋体"/>
          <w:color w:val="auto"/>
          <w:sz w:val="28"/>
        </w:rPr>
        <w:t>达到最高最佳利用并能够持续使用为假设前提。</w:t>
      </w:r>
    </w:p>
    <w:p>
      <w:pPr>
        <w:spacing w:line="360" w:lineRule="auto"/>
        <w:ind w:firstLine="560" w:firstLineChars="200"/>
        <w:jc w:val="both"/>
        <w:rPr>
          <w:rFonts w:ascii="宋体" w:hAnsi="宋体" w:eastAsia="宋体"/>
          <w:color w:val="auto"/>
          <w:sz w:val="28"/>
        </w:rPr>
      </w:pPr>
      <w:r>
        <w:rPr>
          <w:rFonts w:hint="eastAsia" w:ascii="宋体" w:hAnsi="宋体" w:eastAsia="宋体"/>
          <w:color w:val="auto"/>
          <w:sz w:val="28"/>
        </w:rPr>
        <w:t>4、本公司没有接受进行结构测试、检验设施及环境污染的要求，估价人员只对估价对象视力可及的部分作一般性的查勘，不能确定估价对象有没有缺陷。因此，在无理由怀疑估价对象存在安全隐患且无相应的专业机构进行鉴定、检测的情况下，本次估价以估价对象无基础、结构及环境污染等方面的重大问题不影响估价对象的正常使用未假设前提。</w:t>
      </w:r>
    </w:p>
    <w:p>
      <w:pPr>
        <w:spacing w:line="360" w:lineRule="auto"/>
        <w:ind w:firstLine="536" w:firstLineChars="200"/>
        <w:jc w:val="both"/>
        <w:rPr>
          <w:rFonts w:ascii="宋体" w:hAnsi="宋体" w:eastAsia="宋体"/>
          <w:color w:val="auto"/>
          <w:spacing w:val="-6"/>
          <w:sz w:val="28"/>
        </w:rPr>
      </w:pPr>
      <w:r>
        <w:rPr>
          <w:rFonts w:hint="eastAsia" w:ascii="宋体" w:hAnsi="宋体" w:eastAsia="宋体"/>
          <w:color w:val="auto"/>
          <w:spacing w:val="-6"/>
          <w:sz w:val="28"/>
        </w:rPr>
        <w:t>5、本次估价以估价对象可享有合理分摊其公共配套设施、水、电等的供应及道路交通使用的权益为假设前提。</w:t>
      </w:r>
    </w:p>
    <w:p>
      <w:pPr>
        <w:widowControl w:val="0"/>
        <w:tabs>
          <w:tab w:val="left" w:pos="7616"/>
        </w:tabs>
        <w:kinsoku w:val="0"/>
        <w:overflowPunct w:val="0"/>
        <w:autoSpaceDE w:val="0"/>
        <w:autoSpaceDN w:val="0"/>
        <w:spacing w:line="360" w:lineRule="auto"/>
        <w:ind w:firstLine="562" w:firstLineChars="200"/>
        <w:jc w:val="both"/>
        <w:rPr>
          <w:rFonts w:ascii="宋体" w:hAnsi="宋体" w:eastAsia="宋体"/>
          <w:b/>
          <w:bCs/>
          <w:color w:val="auto"/>
          <w:sz w:val="28"/>
          <w:szCs w:val="32"/>
        </w:rPr>
      </w:pPr>
      <w:r>
        <w:rPr>
          <w:rFonts w:hint="eastAsia" w:ascii="宋体" w:hAnsi="宋体" w:eastAsia="宋体"/>
          <w:b/>
          <w:bCs/>
          <w:color w:val="auto"/>
          <w:sz w:val="28"/>
          <w:szCs w:val="32"/>
        </w:rPr>
        <w:t>（二）未定事项假设</w:t>
      </w:r>
    </w:p>
    <w:p>
      <w:pPr>
        <w:widowControl w:val="0"/>
        <w:spacing w:line="360" w:lineRule="auto"/>
        <w:ind w:firstLine="560" w:firstLineChars="200"/>
        <w:rPr>
          <w:rFonts w:hint="eastAsia" w:ascii="宋体" w:hAnsi="宋体" w:eastAsia="宋体"/>
          <w:color w:val="auto"/>
          <w:sz w:val="28"/>
        </w:rPr>
      </w:pPr>
      <w:r>
        <w:rPr>
          <w:rFonts w:hint="eastAsia" w:ascii="宋体" w:hAnsi="宋体" w:eastAsia="宋体"/>
          <w:color w:val="auto"/>
          <w:sz w:val="28"/>
          <w:lang w:val="en-US" w:eastAsia="zh-CN"/>
        </w:rPr>
        <w:t>无</w:t>
      </w:r>
      <w:r>
        <w:rPr>
          <w:rFonts w:hint="eastAsia" w:ascii="宋体" w:hAnsi="宋体" w:eastAsia="宋体"/>
          <w:color w:val="auto"/>
          <w:sz w:val="28"/>
        </w:rPr>
        <w:t>。</w:t>
      </w:r>
    </w:p>
    <w:p>
      <w:pPr>
        <w:widowControl w:val="0"/>
        <w:kinsoku w:val="0"/>
        <w:overflowPunct w:val="0"/>
        <w:autoSpaceDE w:val="0"/>
        <w:autoSpaceDN w:val="0"/>
        <w:spacing w:line="360" w:lineRule="auto"/>
        <w:ind w:firstLine="562" w:firstLineChars="200"/>
        <w:jc w:val="both"/>
        <w:rPr>
          <w:rFonts w:ascii="宋体" w:hAnsi="宋体" w:eastAsia="宋体"/>
          <w:b/>
          <w:bCs/>
          <w:color w:val="auto"/>
          <w:sz w:val="28"/>
          <w:szCs w:val="32"/>
        </w:rPr>
      </w:pPr>
      <w:r>
        <w:rPr>
          <w:rFonts w:hint="eastAsia" w:ascii="宋体" w:hAnsi="宋体" w:eastAsia="宋体"/>
          <w:b/>
          <w:bCs/>
          <w:color w:val="auto"/>
          <w:sz w:val="28"/>
          <w:szCs w:val="32"/>
          <w:lang w:eastAsia="zh-CN"/>
        </w:rPr>
        <w:t>（</w:t>
      </w:r>
      <w:r>
        <w:rPr>
          <w:rFonts w:hint="eastAsia" w:ascii="宋体" w:hAnsi="宋体" w:eastAsia="宋体"/>
          <w:b/>
          <w:bCs/>
          <w:color w:val="auto"/>
          <w:sz w:val="28"/>
          <w:szCs w:val="32"/>
          <w:lang w:val="en-US" w:eastAsia="zh-CN"/>
        </w:rPr>
        <w:t>三</w:t>
      </w:r>
      <w:r>
        <w:rPr>
          <w:rFonts w:hint="eastAsia" w:ascii="宋体" w:hAnsi="宋体" w:eastAsia="宋体"/>
          <w:b/>
          <w:bCs/>
          <w:color w:val="auto"/>
          <w:sz w:val="28"/>
          <w:szCs w:val="32"/>
          <w:lang w:eastAsia="zh-CN"/>
        </w:rPr>
        <w:t>）</w:t>
      </w:r>
      <w:r>
        <w:rPr>
          <w:rFonts w:hint="eastAsia" w:ascii="宋体" w:hAnsi="宋体" w:eastAsia="宋体"/>
          <w:b/>
          <w:bCs/>
          <w:color w:val="auto"/>
          <w:sz w:val="28"/>
          <w:szCs w:val="32"/>
        </w:rPr>
        <w:t>背离事实假设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ascii="宋体" w:hAnsi="宋体" w:eastAsia="宋体"/>
          <w:color w:val="auto"/>
          <w:sz w:val="28"/>
        </w:rPr>
      </w:pPr>
      <w:r>
        <w:rPr>
          <w:rFonts w:hint="eastAsia" w:ascii="宋体" w:hAnsi="宋体" w:eastAsia="宋体"/>
          <w:color w:val="auto"/>
          <w:sz w:val="28"/>
        </w:rPr>
        <w:t>至价值时点，估价对象已被查封，本次估价以不考虑估价对象原有的担保物权、其他优先受偿权及查封因素影响为假设前提。</w:t>
      </w:r>
    </w:p>
    <w:p>
      <w:pPr>
        <w:widowControl w:val="0"/>
        <w:numPr>
          <w:ilvl w:val="0"/>
          <w:numId w:val="3"/>
        </w:numPr>
        <w:kinsoku w:val="0"/>
        <w:overflowPunct w:val="0"/>
        <w:autoSpaceDE w:val="0"/>
        <w:autoSpaceDN w:val="0"/>
        <w:spacing w:line="360" w:lineRule="auto"/>
        <w:ind w:firstLine="562" w:firstLineChars="200"/>
        <w:jc w:val="both"/>
        <w:rPr>
          <w:rFonts w:hint="eastAsia" w:ascii="宋体" w:hAnsi="宋体" w:eastAsia="宋体"/>
          <w:b/>
          <w:bCs/>
          <w:color w:val="auto"/>
          <w:sz w:val="28"/>
          <w:szCs w:val="32"/>
        </w:rPr>
      </w:pPr>
      <w:r>
        <w:rPr>
          <w:rFonts w:hint="eastAsia" w:ascii="宋体" w:hAnsi="宋体" w:eastAsia="宋体"/>
          <w:b/>
          <w:bCs/>
          <w:color w:val="auto"/>
          <w:sz w:val="28"/>
          <w:szCs w:val="32"/>
        </w:rPr>
        <w:t>不相一致假设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宋体" w:hAnsi="宋体" w:eastAsia="宋体"/>
          <w:b/>
          <w:bCs/>
          <w:color w:val="auto"/>
          <w:sz w:val="28"/>
          <w:szCs w:val="32"/>
          <w:lang w:val="en-US" w:eastAsia="zh-CN"/>
        </w:rPr>
      </w:pPr>
      <w:r>
        <w:rPr>
          <w:rFonts w:hint="eastAsia" w:ascii="宋体" w:hAnsi="宋体" w:eastAsia="宋体"/>
          <w:color w:val="auto"/>
          <w:sz w:val="28"/>
          <w:szCs w:val="28"/>
          <w:highlight w:val="none"/>
          <w:lang w:val="en-US" w:eastAsia="zh-CN"/>
        </w:rPr>
        <w:t>无不相一致假设</w:t>
      </w:r>
      <w:r>
        <w:rPr>
          <w:rFonts w:hint="eastAsia" w:ascii="宋体" w:hAnsi="宋体" w:eastAsia="宋体"/>
          <w:color w:val="auto"/>
          <w:sz w:val="28"/>
        </w:rPr>
        <w:t>。</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562" w:firstLineChars="200"/>
        <w:jc w:val="both"/>
        <w:textAlignment w:val="auto"/>
        <w:rPr>
          <w:rFonts w:hint="eastAsia" w:ascii="宋体" w:hAnsi="宋体" w:eastAsia="宋体"/>
          <w:b/>
          <w:bCs/>
          <w:color w:val="auto"/>
          <w:sz w:val="28"/>
          <w:szCs w:val="32"/>
        </w:rPr>
      </w:pPr>
      <w:r>
        <w:rPr>
          <w:rFonts w:hint="eastAsia" w:ascii="宋体" w:hAnsi="宋体" w:eastAsia="宋体"/>
          <w:b/>
          <w:bCs/>
          <w:color w:val="auto"/>
          <w:sz w:val="28"/>
          <w:szCs w:val="32"/>
        </w:rPr>
        <w:t>依据不足假设</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536" w:firstLineChars="200"/>
        <w:jc w:val="both"/>
        <w:textAlignment w:val="auto"/>
        <w:rPr>
          <w:rFonts w:hint="eastAsia" w:ascii="宋体" w:hAnsi="宋体" w:eastAsia="宋体"/>
          <w:color w:val="auto"/>
          <w:sz w:val="28"/>
          <w:lang w:val="en-US" w:eastAsia="zh-CN"/>
        </w:rPr>
      </w:pPr>
      <w:r>
        <w:rPr>
          <w:rFonts w:hint="eastAsia" w:ascii="宋体" w:hAnsi="宋体" w:eastAsia="宋体"/>
          <w:spacing w:val="-6"/>
          <w:sz w:val="28"/>
          <w:szCs w:val="28"/>
          <w:lang w:val="en-US" w:eastAsia="zh-CN"/>
        </w:rPr>
        <w:t>相关产权登记机关提供的权属资料未登记估价对象建成年份，据注册房地产估价师调查，寻甸县馨苑小区约2005年建成。本次估价以此为前提，本次调查的建成年份仅用于本次估价报告。</w:t>
      </w:r>
    </w:p>
    <w:p>
      <w:pPr>
        <w:spacing w:line="360" w:lineRule="auto"/>
        <w:ind w:firstLine="602" w:firstLineChars="200"/>
        <w:jc w:val="both"/>
        <w:rPr>
          <w:rFonts w:ascii="宋体" w:hAnsi="宋体" w:eastAsia="宋体"/>
          <w:b/>
          <w:bCs/>
          <w:color w:val="auto"/>
          <w:sz w:val="30"/>
          <w:szCs w:val="30"/>
        </w:rPr>
      </w:pPr>
      <w:r>
        <w:rPr>
          <w:rFonts w:hint="eastAsia" w:ascii="宋体" w:hAnsi="宋体" w:eastAsia="宋体"/>
          <w:b/>
          <w:bCs/>
          <w:color w:val="auto"/>
          <w:sz w:val="30"/>
          <w:szCs w:val="30"/>
        </w:rPr>
        <w:t>估价限制条件</w:t>
      </w:r>
    </w:p>
    <w:p>
      <w:pPr>
        <w:numPr>
          <w:ilvl w:val="-1"/>
          <w:numId w:val="0"/>
        </w:numPr>
        <w:spacing w:line="384" w:lineRule="auto"/>
        <w:ind w:firstLine="560" w:firstLineChars="200"/>
        <w:jc w:val="both"/>
        <w:rPr>
          <w:rFonts w:ascii="宋体" w:hAnsi="宋体" w:eastAsia="宋体"/>
          <w:color w:val="auto"/>
          <w:sz w:val="28"/>
        </w:rPr>
      </w:pPr>
      <w:r>
        <w:rPr>
          <w:rFonts w:hint="eastAsia" w:ascii="宋体" w:hAnsi="宋体" w:eastAsia="宋体"/>
          <w:color w:val="auto"/>
          <w:sz w:val="28"/>
        </w:rPr>
        <w:t>本估价报告仅为</w:t>
      </w:r>
      <w:r>
        <w:rPr>
          <w:rFonts w:hint="eastAsia" w:ascii="宋体" w:hAnsi="宋体" w:eastAsia="宋体"/>
          <w:color w:val="auto"/>
          <w:sz w:val="28"/>
          <w:szCs w:val="28"/>
        </w:rPr>
        <w:t>为人民法院确定财产处置参考价</w:t>
      </w:r>
      <w:r>
        <w:rPr>
          <w:rFonts w:hint="eastAsia" w:ascii="宋体" w:hAnsi="宋体" w:eastAsia="宋体"/>
          <w:color w:val="auto"/>
          <w:sz w:val="28"/>
        </w:rPr>
        <w:t>提供参考依据，不做其他估价目的之用。如估价条件或估价目的发生变化，估价报告需做相应调整甚至重新估价。</w:t>
      </w:r>
    </w:p>
    <w:p>
      <w:pPr>
        <w:numPr>
          <w:ilvl w:val="0"/>
          <w:numId w:val="5"/>
        </w:numPr>
        <w:spacing w:line="360" w:lineRule="auto"/>
        <w:ind w:firstLine="560" w:firstLineChars="200"/>
        <w:jc w:val="both"/>
        <w:rPr>
          <w:rFonts w:ascii="宋体" w:hAnsi="宋体" w:eastAsia="宋体"/>
          <w:color w:val="auto"/>
          <w:sz w:val="28"/>
        </w:rPr>
      </w:pPr>
      <w:r>
        <w:rPr>
          <w:rFonts w:hint="eastAsia" w:ascii="宋体" w:hAnsi="宋体" w:eastAsia="宋体"/>
          <w:color w:val="auto"/>
          <w:sz w:val="28"/>
        </w:rPr>
        <w:t>本估价报告需经估价人员签名盖章并加盖估价机构公章，作为一个整体时有效，复印件无效。</w:t>
      </w:r>
    </w:p>
    <w:p>
      <w:pPr>
        <w:numPr>
          <w:ilvl w:val="0"/>
          <w:numId w:val="5"/>
        </w:numPr>
        <w:spacing w:line="360" w:lineRule="auto"/>
        <w:ind w:firstLine="560" w:firstLineChars="200"/>
        <w:jc w:val="both"/>
        <w:rPr>
          <w:rFonts w:ascii="宋体" w:hAnsi="宋体" w:eastAsia="宋体"/>
          <w:color w:val="auto"/>
          <w:sz w:val="28"/>
        </w:rPr>
      </w:pPr>
      <w:r>
        <w:rPr>
          <w:rFonts w:hint="eastAsia" w:ascii="宋体" w:hAnsi="宋体" w:eastAsia="宋体"/>
          <w:color w:val="auto"/>
          <w:sz w:val="28"/>
        </w:rPr>
        <w:t>未经估价机构书面同意，本估价报告的全部或部分及任何参考资料均不允许在任何公开发表的文件、通告或声明中引用，亦不得以其他任何方式公开发表。</w:t>
      </w:r>
    </w:p>
    <w:p>
      <w:pPr>
        <w:spacing w:line="360" w:lineRule="auto"/>
        <w:ind w:firstLine="560" w:firstLineChars="200"/>
        <w:jc w:val="both"/>
        <w:rPr>
          <w:rFonts w:ascii="宋体" w:hAnsi="宋体" w:eastAsia="宋体"/>
          <w:color w:val="auto"/>
          <w:sz w:val="28"/>
        </w:rPr>
      </w:pPr>
      <w:r>
        <w:rPr>
          <w:rFonts w:hint="eastAsia" w:ascii="宋体" w:hAnsi="宋体" w:eastAsia="宋体"/>
          <w:color w:val="auto"/>
          <w:sz w:val="28"/>
          <w:lang w:val="en-US" w:eastAsia="zh-CN"/>
        </w:rPr>
        <w:t>3</w:t>
      </w:r>
      <w:r>
        <w:rPr>
          <w:rFonts w:hint="eastAsia" w:ascii="宋体" w:hAnsi="宋体" w:eastAsia="宋体"/>
          <w:color w:val="auto"/>
          <w:sz w:val="28"/>
        </w:rPr>
        <w:t>、</w:t>
      </w:r>
      <w:r>
        <w:rPr>
          <w:rFonts w:hint="eastAsia" w:ascii="宋体" w:hAnsi="宋体" w:eastAsia="宋体"/>
          <w:color w:val="auto"/>
          <w:sz w:val="28"/>
          <w:szCs w:val="28"/>
        </w:rPr>
        <w:t>估价结果为房地产市场价值，未来市场变化风险和短期强制处分等因素对市场价值均产生一定的影响。</w:t>
      </w:r>
    </w:p>
    <w:p>
      <w:pPr>
        <w:widowControl w:val="0"/>
        <w:spacing w:line="360" w:lineRule="auto"/>
        <w:ind w:firstLine="560" w:firstLineChars="200"/>
        <w:jc w:val="both"/>
        <w:rPr>
          <w:rFonts w:ascii="宋体" w:hAnsi="宋体" w:eastAsia="宋体"/>
          <w:color w:val="auto"/>
          <w:sz w:val="28"/>
        </w:rPr>
      </w:pPr>
      <w:r>
        <w:rPr>
          <w:rFonts w:hint="eastAsia" w:ascii="宋体" w:hAnsi="宋体" w:eastAsia="宋体"/>
          <w:color w:val="auto"/>
          <w:sz w:val="28"/>
          <w:lang w:val="en-US" w:eastAsia="zh-CN"/>
        </w:rPr>
        <w:t>4</w:t>
      </w:r>
      <w:r>
        <w:rPr>
          <w:rFonts w:hint="eastAsia" w:ascii="宋体" w:hAnsi="宋体" w:eastAsia="宋体"/>
          <w:color w:val="auto"/>
          <w:sz w:val="28"/>
        </w:rPr>
        <w:t>、本次估价结果未考虑国家宏观政治经济政策、市场状况发生重大变化以及遇有自然力和其他不可抗力对估价结论的影响，如遇有以上情况，不能直接使用本报告。我们建议：合理使用评估价值；定期或者在房地产市场价格变化较快时对房地产市场价值进行再评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ascii="宋体" w:hAnsi="宋体" w:eastAsia="宋体"/>
          <w:color w:val="auto"/>
          <w:sz w:val="28"/>
        </w:rPr>
      </w:pPr>
      <w:r>
        <w:rPr>
          <w:rFonts w:hint="eastAsia" w:ascii="宋体" w:hAnsi="宋体" w:eastAsia="宋体"/>
          <w:color w:val="auto"/>
          <w:sz w:val="28"/>
          <w:lang w:val="en-US" w:eastAsia="zh-CN"/>
        </w:rPr>
        <w:t>5</w:t>
      </w:r>
      <w:r>
        <w:rPr>
          <w:rFonts w:hint="eastAsia" w:ascii="宋体" w:hAnsi="宋体" w:eastAsia="宋体"/>
          <w:color w:val="auto"/>
          <w:sz w:val="28"/>
        </w:rPr>
        <w:t>、本报告使用期限自估价报告出具之日（</w:t>
      </w:r>
      <w:r>
        <w:rPr>
          <w:rFonts w:hint="eastAsia" w:ascii="宋体" w:hAnsi="宋体" w:eastAsia="宋体"/>
          <w:color w:val="auto"/>
          <w:sz w:val="28"/>
          <w:highlight w:val="none"/>
          <w:lang w:eastAsia="zh-CN"/>
        </w:rPr>
        <w:t>2022年08月04日</w:t>
      </w:r>
      <w:r>
        <w:rPr>
          <w:rFonts w:hint="eastAsia" w:ascii="宋体" w:hAnsi="宋体" w:eastAsia="宋体"/>
          <w:color w:val="auto"/>
          <w:sz w:val="28"/>
          <w:highlight w:val="none"/>
        </w:rPr>
        <w:t>）</w:t>
      </w:r>
      <w:r>
        <w:rPr>
          <w:rFonts w:hint="eastAsia" w:ascii="宋体" w:hAnsi="宋体" w:eastAsia="宋体"/>
          <w:color w:val="auto"/>
          <w:sz w:val="28"/>
        </w:rPr>
        <w:t>起为一年，超过一年需重新进行估价。</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ascii="宋体" w:hAnsi="宋体" w:eastAsia="宋体"/>
          <w:b/>
          <w:bCs/>
          <w:color w:val="auto"/>
          <w:sz w:val="28"/>
          <w:szCs w:val="32"/>
        </w:rPr>
      </w:pPr>
      <w:r>
        <w:rPr>
          <w:rFonts w:hint="eastAsia" w:ascii="宋体" w:hAnsi="宋体" w:eastAsia="宋体"/>
          <w:b/>
          <w:bCs/>
          <w:color w:val="auto"/>
          <w:sz w:val="28"/>
          <w:szCs w:val="32"/>
        </w:rPr>
        <w:t>（六）特别说明</w:t>
      </w:r>
    </w:p>
    <w:p>
      <w:pPr>
        <w:keepNext w:val="0"/>
        <w:keepLines w:val="0"/>
        <w:pageBreakBefore w:val="0"/>
        <w:widowControl w:val="0"/>
        <w:kinsoku/>
        <w:wordWrap/>
        <w:overflowPunct/>
        <w:topLinePunct w:val="0"/>
        <w:autoSpaceDE/>
        <w:autoSpaceDN/>
        <w:bidi w:val="0"/>
        <w:adjustRightInd/>
        <w:snapToGrid/>
        <w:spacing w:line="360" w:lineRule="auto"/>
        <w:ind w:firstLine="536" w:firstLineChars="200"/>
        <w:jc w:val="both"/>
        <w:textAlignment w:val="auto"/>
        <w:rPr>
          <w:rFonts w:hint="default" w:ascii="宋体" w:hAnsi="宋体" w:eastAsia="宋体"/>
          <w:color w:val="auto"/>
          <w:sz w:val="28"/>
          <w:lang w:val="en-US" w:eastAsia="zh-CN"/>
        </w:rPr>
      </w:pPr>
      <w:r>
        <w:rPr>
          <w:rFonts w:hint="eastAsia" w:ascii="宋体" w:hAnsi="宋体" w:eastAsia="宋体"/>
          <w:color w:val="auto"/>
          <w:spacing w:val="-6"/>
          <w:sz w:val="28"/>
          <w:lang w:val="en-US" w:eastAsia="zh-CN"/>
        </w:rPr>
        <w:t>1、</w:t>
      </w:r>
      <w:r>
        <w:rPr>
          <w:rFonts w:hint="eastAsia" w:ascii="宋体" w:hAnsi="宋体" w:eastAsia="宋体"/>
          <w:color w:val="auto"/>
          <w:spacing w:val="-6"/>
          <w:sz w:val="28"/>
        </w:rPr>
        <w:t>我公司估价人员于</w:t>
      </w:r>
      <w:r>
        <w:rPr>
          <w:rFonts w:hint="eastAsia" w:ascii="宋体" w:hAnsi="宋体" w:eastAsia="宋体"/>
          <w:color w:val="auto"/>
          <w:spacing w:val="-6"/>
          <w:sz w:val="28"/>
          <w:highlight w:val="none"/>
          <w:lang w:val="en-US" w:eastAsia="zh-CN"/>
        </w:rPr>
        <w:t>2022年07月25日</w:t>
      </w:r>
      <w:r>
        <w:rPr>
          <w:rFonts w:hint="eastAsia" w:ascii="宋体" w:hAnsi="宋体" w:eastAsia="宋体"/>
          <w:color w:val="auto"/>
          <w:spacing w:val="-6"/>
          <w:sz w:val="28"/>
        </w:rPr>
        <w:t>对</w:t>
      </w:r>
      <w:r>
        <w:rPr>
          <w:rFonts w:hint="eastAsia" w:ascii="宋体" w:hAnsi="宋体" w:eastAsia="宋体"/>
          <w:spacing w:val="-6"/>
          <w:sz w:val="28"/>
          <w:szCs w:val="28"/>
          <w:lang w:eastAsia="zh-CN"/>
        </w:rPr>
        <w:t>寻甸县仁德街道办事处凤梧路馨苑小区B区3幢1单元401室</w:t>
      </w:r>
      <w:r>
        <w:rPr>
          <w:rFonts w:hint="eastAsia" w:ascii="宋体" w:hAnsi="宋体" w:eastAsia="宋体"/>
          <w:color w:val="auto"/>
          <w:spacing w:val="-6"/>
          <w:sz w:val="28"/>
        </w:rPr>
        <w:t>进行实地査勘</w:t>
      </w:r>
      <w:r>
        <w:rPr>
          <w:rFonts w:hint="eastAsia" w:ascii="宋体" w:hAnsi="宋体" w:eastAsia="宋体"/>
          <w:color w:val="auto"/>
          <w:spacing w:val="-6"/>
          <w:sz w:val="28"/>
          <w:lang w:eastAsia="zh-CN"/>
        </w:rPr>
        <w:t>。</w:t>
      </w:r>
      <w:r>
        <w:rPr>
          <w:rFonts w:hint="eastAsia" w:ascii="宋体" w:hAnsi="宋体" w:eastAsia="宋体"/>
          <w:color w:val="auto"/>
          <w:spacing w:val="-6"/>
          <w:sz w:val="28"/>
          <w:lang w:val="en-US" w:eastAsia="zh-CN"/>
        </w:rPr>
        <w:t>被执行人及法院工作人员</w:t>
      </w:r>
      <w:r>
        <w:rPr>
          <w:rFonts w:hint="eastAsia" w:ascii="宋体" w:hAnsi="宋体" w:eastAsia="宋体"/>
          <w:color w:val="auto"/>
          <w:spacing w:val="-6"/>
          <w:sz w:val="28"/>
        </w:rPr>
        <w:t>到场</w:t>
      </w:r>
      <w:r>
        <w:rPr>
          <w:rFonts w:hint="eastAsia" w:ascii="宋体" w:hAnsi="宋体" w:eastAsia="宋体"/>
          <w:color w:val="auto"/>
          <w:spacing w:val="-6"/>
          <w:sz w:val="28"/>
          <w:lang w:val="en-US" w:eastAsia="zh-CN"/>
        </w:rPr>
        <w:t>并协助</w:t>
      </w:r>
      <w:r>
        <w:rPr>
          <w:rFonts w:hint="eastAsia" w:ascii="宋体" w:hAnsi="宋体" w:eastAsia="宋体"/>
          <w:color w:val="auto"/>
          <w:spacing w:val="-6"/>
          <w:sz w:val="28"/>
        </w:rPr>
        <w:t>实地查物</w:t>
      </w:r>
      <w:r>
        <w:rPr>
          <w:rFonts w:hint="eastAsia" w:ascii="宋体" w:hAnsi="宋体" w:eastAsia="宋体"/>
          <w:color w:val="auto"/>
          <w:spacing w:val="-6"/>
          <w:sz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spacing w:val="0"/>
          <w:sz w:val="28"/>
          <w:szCs w:val="28"/>
          <w:lang w:eastAsia="zh-CN"/>
        </w:rPr>
      </w:pPr>
      <w:r>
        <w:rPr>
          <w:rFonts w:hint="eastAsia" w:ascii="宋体" w:hAnsi="宋体" w:eastAsia="宋体"/>
          <w:color w:val="auto"/>
          <w:sz w:val="28"/>
          <w:lang w:val="en-US" w:eastAsia="zh-CN"/>
        </w:rPr>
        <w:t>2、</w:t>
      </w:r>
      <w:r>
        <w:rPr>
          <w:rFonts w:hint="eastAsia" w:ascii="宋体" w:hAnsi="宋体" w:eastAsia="宋体"/>
          <w:color w:val="auto"/>
          <w:sz w:val="28"/>
          <w:szCs w:val="28"/>
          <w:lang w:val="en-US" w:eastAsia="zh-CN"/>
        </w:rPr>
        <w:t>经查，至价值时点，</w:t>
      </w:r>
      <w:r>
        <w:rPr>
          <w:rFonts w:hint="eastAsia" w:ascii="宋体" w:hAnsi="宋体" w:eastAsia="宋体"/>
          <w:color w:val="auto"/>
          <w:sz w:val="28"/>
          <w:szCs w:val="28"/>
        </w:rPr>
        <w:t>估价对象</w:t>
      </w:r>
      <w:r>
        <w:rPr>
          <w:rFonts w:hint="eastAsia" w:ascii="宋体" w:hAnsi="宋体" w:eastAsia="宋体"/>
          <w:color w:val="auto"/>
          <w:sz w:val="28"/>
          <w:szCs w:val="28"/>
          <w:lang w:val="en-US" w:eastAsia="zh-CN"/>
        </w:rPr>
        <w:t>欠物管费1,141.00元</w:t>
      </w:r>
      <w:r>
        <w:rPr>
          <w:rFonts w:hint="eastAsia" w:ascii="宋体" w:hAnsi="宋体" w:eastAsia="宋体"/>
          <w:spacing w:val="0"/>
          <w:sz w:val="28"/>
          <w:szCs w:val="28"/>
          <w:lang w:eastAsia="zh-CN"/>
        </w:rPr>
        <w:t>。</w:t>
      </w:r>
      <w:r>
        <w:rPr>
          <w:rFonts w:hint="eastAsia" w:ascii="宋体" w:hAnsi="宋体" w:eastAsia="宋体"/>
          <w:spacing w:val="0"/>
          <w:sz w:val="28"/>
          <w:szCs w:val="28"/>
          <w:lang w:val="en-US" w:eastAsia="zh-CN"/>
        </w:rPr>
        <w:t>因委托人未明确以上费用的处理方式，故本次估价未考虑以上欠费对评估结论的影响，提请报告使用人注意。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spacing w:val="0"/>
          <w:sz w:val="28"/>
          <w:szCs w:val="28"/>
          <w:lang w:val="en-US" w:eastAsia="zh-CN"/>
        </w:rPr>
      </w:pPr>
      <w:r>
        <w:rPr>
          <w:rFonts w:hint="eastAsia" w:ascii="宋体" w:hAnsi="宋体" w:eastAsia="宋体"/>
          <w:spacing w:val="0"/>
          <w:sz w:val="28"/>
          <w:szCs w:val="28"/>
          <w:lang w:val="en-US" w:eastAsia="zh-CN"/>
        </w:rPr>
        <w:t>3、</w:t>
      </w:r>
      <w:r>
        <w:rPr>
          <w:rFonts w:hint="eastAsia" w:ascii="宋体" w:hAnsi="宋体" w:eastAsia="宋体"/>
          <w:color w:val="auto"/>
          <w:spacing w:val="0"/>
          <w:sz w:val="28"/>
          <w:lang w:val="en-US" w:eastAsia="zh-CN"/>
        </w:rPr>
        <w:t>估价对象的《不动产登记中心查档表》系</w:t>
      </w:r>
      <w:r>
        <w:rPr>
          <w:rFonts w:hint="eastAsia" w:ascii="宋体" w:hAnsi="宋体" w:eastAsia="宋体"/>
          <w:spacing w:val="0"/>
          <w:sz w:val="28"/>
          <w:szCs w:val="28"/>
          <w:lang w:val="en-US" w:eastAsia="zh-CN"/>
        </w:rPr>
        <w:t>我公司评估人员前往</w:t>
      </w:r>
      <w:r>
        <w:rPr>
          <w:rFonts w:hint="eastAsia" w:ascii="宋体" w:hAnsi="宋体" w:eastAsia="宋体"/>
          <w:color w:val="auto"/>
          <w:spacing w:val="0"/>
          <w:sz w:val="28"/>
          <w:lang w:val="en-US" w:eastAsia="zh-CN"/>
        </w:rPr>
        <w:t>寻甸回族彝族自治县不动产登记中心查档取得，</w:t>
      </w:r>
      <w:r>
        <w:rPr>
          <w:rFonts w:hint="eastAsia" w:ascii="宋体" w:hAnsi="宋体" w:eastAsia="宋体"/>
          <w:spacing w:val="0"/>
          <w:sz w:val="28"/>
          <w:szCs w:val="28"/>
        </w:rPr>
        <w:t>《</w:t>
      </w:r>
      <w:r>
        <w:rPr>
          <w:rFonts w:hint="eastAsia" w:ascii="宋体" w:hAnsi="宋体" w:eastAsia="宋体"/>
          <w:spacing w:val="0"/>
          <w:sz w:val="28"/>
          <w:szCs w:val="28"/>
          <w:lang w:eastAsia="zh-CN"/>
        </w:rPr>
        <w:t>自然资源部房地产权结果信息一览表</w:t>
      </w:r>
      <w:r>
        <w:rPr>
          <w:rFonts w:hint="eastAsia" w:ascii="宋体" w:hAnsi="宋体" w:eastAsia="宋体"/>
          <w:spacing w:val="0"/>
          <w:sz w:val="28"/>
          <w:szCs w:val="28"/>
          <w:lang w:val="en-US" w:eastAsia="zh-CN"/>
        </w:rPr>
        <w:t>》由寻甸回族彝族自治县人民法院提供。</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宋体" w:hAnsi="宋体" w:eastAsia="宋体"/>
          <w:spacing w:val="0"/>
          <w:sz w:val="28"/>
          <w:szCs w:val="28"/>
          <w:lang w:val="en-US" w:eastAsia="zh-CN"/>
        </w:rPr>
      </w:pPr>
      <w:r>
        <w:rPr>
          <w:rFonts w:hint="eastAsia" w:ascii="宋体" w:hAnsi="宋体" w:eastAsia="宋体"/>
          <w:spacing w:val="0"/>
          <w:sz w:val="28"/>
          <w:szCs w:val="28"/>
          <w:lang w:val="en-US" w:eastAsia="zh-CN"/>
        </w:rPr>
        <w:t xml:space="preserve">4、评估结论不包含拍卖标的物（估价对象）交割、过户时发生的全部税费（包含但不限于增值税等）。评估结果也未考虑评估费、拍卖费、诉讼费、律师费等财产处置其他费用及对其的影响。 </w:t>
      </w:r>
    </w:p>
    <w:p>
      <w:pPr>
        <w:widowControl w:val="0"/>
        <w:spacing w:line="360" w:lineRule="auto"/>
        <w:ind w:firstLine="560" w:firstLineChars="200"/>
        <w:jc w:val="both"/>
        <w:rPr>
          <w:rFonts w:hint="eastAsia" w:ascii="宋体" w:hAnsi="宋体" w:eastAsia="宋体"/>
          <w:color w:val="auto"/>
          <w:sz w:val="28"/>
        </w:rPr>
      </w:pPr>
      <w:r>
        <w:rPr>
          <w:rFonts w:hint="eastAsia" w:ascii="宋体" w:hAnsi="宋体" w:eastAsia="宋体"/>
          <w:color w:val="auto"/>
          <w:sz w:val="28"/>
          <w:highlight w:val="none"/>
          <w:lang w:val="en-US" w:eastAsia="zh-CN"/>
        </w:rPr>
        <w:t>5</w:t>
      </w:r>
      <w:r>
        <w:rPr>
          <w:rFonts w:hint="default" w:ascii="宋体" w:hAnsi="宋体" w:eastAsia="宋体"/>
          <w:color w:val="auto"/>
          <w:sz w:val="28"/>
          <w:highlight w:val="none"/>
          <w:lang w:val="en-US" w:eastAsia="zh-CN"/>
        </w:rPr>
        <w:t>、</w:t>
      </w:r>
      <w:r>
        <w:rPr>
          <w:rFonts w:hint="eastAsia" w:ascii="宋体" w:hAnsi="宋体" w:eastAsia="宋体"/>
          <w:color w:val="auto"/>
          <w:sz w:val="28"/>
        </w:rPr>
        <w:t>现实房产交易中，一般难以达到理想的公开市场条件，导致实际交易价格往往与估价结果不够一致。</w:t>
      </w:r>
    </w:p>
    <w:p>
      <w:pPr>
        <w:widowControl w:val="0"/>
        <w:spacing w:line="360" w:lineRule="auto"/>
        <w:ind w:firstLine="560" w:firstLineChars="200"/>
        <w:jc w:val="both"/>
        <w:rPr>
          <w:rFonts w:ascii="宋体" w:hAnsi="宋体" w:eastAsia="宋体"/>
          <w:color w:val="auto"/>
          <w:sz w:val="28"/>
        </w:rPr>
      </w:pPr>
      <w:r>
        <w:rPr>
          <w:rFonts w:hint="eastAsia" w:ascii="宋体" w:hAnsi="宋体" w:eastAsia="宋体"/>
          <w:color w:val="auto"/>
          <w:sz w:val="28"/>
          <w:lang w:val="en-US" w:eastAsia="zh-CN"/>
        </w:rPr>
        <w:t>6、</w:t>
      </w:r>
      <w:r>
        <w:rPr>
          <w:rFonts w:hint="eastAsia" w:ascii="宋体" w:hAnsi="宋体" w:eastAsia="宋体"/>
          <w:color w:val="auto"/>
          <w:sz w:val="28"/>
        </w:rPr>
        <w:t>成交价格受处置方式、宣传推广力度和买受人对估价对象的了解及对房地产市场的判断等因素有关，同时还应考虑转让过程中需缴纳的相关税费。</w:t>
      </w:r>
    </w:p>
    <w:p>
      <w:pPr>
        <w:widowControl w:val="0"/>
        <w:spacing w:line="360" w:lineRule="auto"/>
        <w:ind w:firstLine="560" w:firstLineChars="200"/>
        <w:jc w:val="both"/>
        <w:rPr>
          <w:rFonts w:ascii="宋体" w:hAnsi="宋体" w:eastAsia="宋体"/>
          <w:color w:val="auto"/>
          <w:sz w:val="28"/>
        </w:rPr>
      </w:pPr>
      <w:r>
        <w:rPr>
          <w:rFonts w:hint="eastAsia" w:ascii="宋体" w:hAnsi="宋体" w:eastAsia="宋体"/>
          <w:color w:val="auto"/>
          <w:sz w:val="28"/>
          <w:lang w:val="en-US" w:eastAsia="zh-CN"/>
        </w:rPr>
        <w:t>7</w:t>
      </w:r>
      <w:r>
        <w:rPr>
          <w:rFonts w:hint="eastAsia" w:ascii="宋体" w:hAnsi="宋体" w:eastAsia="宋体"/>
          <w:color w:val="auto"/>
          <w:sz w:val="28"/>
        </w:rPr>
        <w:t>、估价中无法考虑实地查勘后、处置完毕之前，因不可抗力、人为破坏等因素对估价对象造成的意外损害。</w:t>
      </w:r>
    </w:p>
    <w:p>
      <w:pPr>
        <w:keepNext w:val="0"/>
        <w:keepLines w:val="0"/>
        <w:pageBreakBefore w:val="0"/>
        <w:widowControl w:val="0"/>
        <w:kinsoku w:val="0"/>
        <w:wordWrap/>
        <w:overflowPunct w:val="0"/>
        <w:topLinePunct w:val="0"/>
        <w:autoSpaceDE w:val="0"/>
        <w:autoSpaceDN w:val="0"/>
        <w:bidi w:val="0"/>
        <w:adjustRightInd/>
        <w:snapToGrid/>
        <w:spacing w:line="360" w:lineRule="auto"/>
        <w:ind w:firstLine="560" w:firstLineChars="200"/>
        <w:jc w:val="both"/>
        <w:textAlignment w:val="auto"/>
        <w:rPr>
          <w:rFonts w:hint="eastAsia" w:ascii="宋体" w:hAnsi="宋体" w:eastAsia="宋体"/>
          <w:color w:val="auto"/>
          <w:sz w:val="28"/>
        </w:rPr>
      </w:pPr>
      <w:r>
        <w:rPr>
          <w:rFonts w:hint="eastAsia" w:ascii="宋体" w:hAnsi="宋体" w:eastAsia="宋体"/>
          <w:color w:val="auto"/>
          <w:sz w:val="28"/>
          <w:lang w:val="en-US" w:eastAsia="zh-CN"/>
        </w:rPr>
        <w:t>8</w:t>
      </w:r>
      <w:r>
        <w:rPr>
          <w:rFonts w:hint="eastAsia" w:ascii="宋体" w:hAnsi="宋体" w:eastAsia="宋体"/>
          <w:color w:val="auto"/>
          <w:sz w:val="28"/>
        </w:rPr>
        <w:t>、报告中数据全部采用电算化连续计算得出，由于在报告中计算的数据均按四舍五入保留两位数据或取整，因此可能出现个别等式左右不完全相等的情况，但不影响计算结果及最终评估结论的准确性。</w:t>
      </w:r>
      <w:bookmarkStart w:id="16" w:name="_Toc13809"/>
    </w:p>
    <w:p>
      <w:pPr>
        <w:pStyle w:val="3"/>
        <w:keepNext w:val="0"/>
        <w:keepLines w:val="0"/>
        <w:pageBreakBefore w:val="0"/>
        <w:widowControl w:val="0"/>
        <w:kinsoku w:val="0"/>
        <w:wordWrap/>
        <w:overflowPunct w:val="0"/>
        <w:topLinePunct w:val="0"/>
        <w:autoSpaceDE w:val="0"/>
        <w:autoSpaceDN w:val="0"/>
        <w:bidi w:val="0"/>
        <w:adjustRightInd/>
        <w:snapToGrid/>
        <w:spacing w:before="0"/>
        <w:jc w:val="center"/>
        <w:textAlignment w:val="auto"/>
        <w:rPr>
          <w:rFonts w:hint="eastAsia" w:ascii="宋体" w:hAnsi="宋体" w:eastAsia="宋体"/>
          <w:color w:val="auto"/>
          <w:sz w:val="36"/>
          <w:szCs w:val="36"/>
        </w:rPr>
      </w:pPr>
    </w:p>
    <w:p>
      <w:pPr>
        <w:rPr>
          <w:rFonts w:hint="eastAsia" w:ascii="宋体" w:hAnsi="宋体" w:eastAsia="宋体"/>
          <w:color w:val="auto"/>
          <w:sz w:val="36"/>
          <w:szCs w:val="36"/>
        </w:rPr>
      </w:pPr>
    </w:p>
    <w:p>
      <w:pPr>
        <w:rPr>
          <w:rFonts w:hint="eastAsia" w:ascii="宋体" w:hAnsi="宋体" w:eastAsia="宋体"/>
          <w:color w:val="auto"/>
          <w:sz w:val="36"/>
          <w:szCs w:val="36"/>
        </w:rPr>
      </w:pPr>
    </w:p>
    <w:p>
      <w:pPr>
        <w:rPr>
          <w:rFonts w:hint="eastAsia" w:ascii="宋体" w:hAnsi="宋体" w:eastAsia="宋体"/>
          <w:color w:val="auto"/>
          <w:sz w:val="36"/>
          <w:szCs w:val="36"/>
        </w:rPr>
      </w:pPr>
    </w:p>
    <w:p>
      <w:pPr>
        <w:rPr>
          <w:rFonts w:hint="eastAsia" w:ascii="宋体" w:hAnsi="宋体" w:eastAsia="宋体"/>
          <w:color w:val="auto"/>
          <w:sz w:val="36"/>
          <w:szCs w:val="36"/>
        </w:rPr>
      </w:pPr>
    </w:p>
    <w:p>
      <w:pPr>
        <w:rPr>
          <w:rFonts w:hint="eastAsia" w:ascii="宋体" w:hAnsi="宋体" w:eastAsia="宋体"/>
          <w:color w:val="auto"/>
          <w:sz w:val="36"/>
          <w:szCs w:val="36"/>
        </w:rPr>
      </w:pPr>
    </w:p>
    <w:p>
      <w:pPr>
        <w:pStyle w:val="3"/>
        <w:keepNext w:val="0"/>
        <w:keepLines w:val="0"/>
        <w:pageBreakBefore w:val="0"/>
        <w:widowControl w:val="0"/>
        <w:kinsoku w:val="0"/>
        <w:wordWrap/>
        <w:overflowPunct w:val="0"/>
        <w:topLinePunct w:val="0"/>
        <w:autoSpaceDE w:val="0"/>
        <w:autoSpaceDN w:val="0"/>
        <w:bidi w:val="0"/>
        <w:adjustRightInd/>
        <w:snapToGrid/>
        <w:spacing w:before="0"/>
        <w:jc w:val="center"/>
        <w:textAlignment w:val="auto"/>
        <w:rPr>
          <w:rFonts w:ascii="宋体" w:hAnsi="宋体" w:eastAsia="宋体"/>
          <w:color w:val="auto"/>
          <w:sz w:val="36"/>
          <w:szCs w:val="36"/>
        </w:rPr>
      </w:pPr>
      <w:bookmarkStart w:id="17" w:name="_Toc28767"/>
      <w:r>
        <w:rPr>
          <w:rFonts w:hint="eastAsia" w:ascii="宋体" w:hAnsi="宋体" w:eastAsia="宋体"/>
          <w:color w:val="auto"/>
          <w:sz w:val="36"/>
          <w:szCs w:val="36"/>
        </w:rPr>
        <w:t>第三部分</w:t>
      </w:r>
      <w:r>
        <w:rPr>
          <w:rFonts w:ascii="宋体" w:hAnsi="宋体" w:eastAsia="宋体"/>
          <w:color w:val="auto"/>
          <w:sz w:val="36"/>
          <w:szCs w:val="36"/>
        </w:rPr>
        <w:t xml:space="preserve"> </w:t>
      </w:r>
      <w:r>
        <w:rPr>
          <w:rFonts w:hint="eastAsia" w:ascii="宋体" w:hAnsi="宋体" w:eastAsia="宋体"/>
          <w:color w:val="auto"/>
          <w:sz w:val="36"/>
          <w:szCs w:val="36"/>
        </w:rPr>
        <w:t>估价结果报告</w:t>
      </w:r>
      <w:bookmarkEnd w:id="16"/>
      <w:bookmarkEnd w:id="17"/>
    </w:p>
    <w:p>
      <w:pPr>
        <w:pStyle w:val="4"/>
        <w:keepNext w:val="0"/>
        <w:keepLines w:val="0"/>
        <w:pageBreakBefore w:val="0"/>
        <w:widowControl w:val="0"/>
        <w:kinsoku/>
        <w:wordWrap/>
        <w:overflowPunct/>
        <w:topLinePunct w:val="0"/>
        <w:autoSpaceDE/>
        <w:autoSpaceDN/>
        <w:bidi w:val="0"/>
        <w:adjustRightInd/>
        <w:snapToGrid/>
        <w:spacing w:before="158" w:beforeLines="50" w:line="360" w:lineRule="auto"/>
        <w:ind w:firstLine="562" w:firstLineChars="200"/>
        <w:jc w:val="both"/>
        <w:textAlignment w:val="auto"/>
        <w:rPr>
          <w:rFonts w:ascii="宋体" w:hAnsi="宋体" w:eastAsia="宋体"/>
          <w:b w:val="0"/>
          <w:bCs w:val="0"/>
          <w:color w:val="auto"/>
          <w:sz w:val="28"/>
        </w:rPr>
      </w:pPr>
      <w:bookmarkStart w:id="18" w:name="_Toc22639"/>
      <w:bookmarkStart w:id="19" w:name="_Toc5113"/>
      <w:r>
        <w:rPr>
          <w:rFonts w:hint="eastAsia" w:ascii="宋体" w:hAnsi="宋体" w:eastAsia="宋体"/>
          <w:color w:val="auto"/>
          <w:sz w:val="28"/>
        </w:rPr>
        <w:t>一、估价委托人</w:t>
      </w:r>
      <w:bookmarkEnd w:id="18"/>
      <w:bookmarkEnd w:id="19"/>
    </w:p>
    <w:p>
      <w:pPr>
        <w:keepNext w:val="0"/>
        <w:keepLines w:val="0"/>
        <w:pageBreakBefore w:val="0"/>
        <w:widowControl w:val="0"/>
        <w:wordWrap/>
        <w:topLinePunct w:val="0"/>
        <w:bidi w:val="0"/>
        <w:adjustRightInd/>
        <w:snapToGrid/>
        <w:spacing w:line="360" w:lineRule="auto"/>
        <w:ind w:firstLine="560" w:firstLineChars="200"/>
        <w:jc w:val="both"/>
        <w:textAlignment w:val="auto"/>
        <w:rPr>
          <w:rFonts w:hint="eastAsia" w:ascii="宋体" w:hAnsi="宋体" w:eastAsia="宋体"/>
          <w:color w:val="auto"/>
          <w:sz w:val="28"/>
          <w:lang w:eastAsia="zh-CN"/>
        </w:rPr>
      </w:pPr>
      <w:r>
        <w:rPr>
          <w:rFonts w:hint="eastAsia" w:ascii="宋体" w:hAnsi="宋体" w:eastAsia="宋体"/>
          <w:color w:val="auto"/>
          <w:sz w:val="28"/>
        </w:rPr>
        <w:t>名称：</w:t>
      </w:r>
      <w:r>
        <w:rPr>
          <w:rFonts w:hint="eastAsia" w:ascii="宋体" w:hAnsi="宋体" w:eastAsia="宋体"/>
          <w:color w:val="auto"/>
          <w:sz w:val="28"/>
          <w:szCs w:val="28"/>
          <w:lang w:eastAsia="zh-CN"/>
        </w:rPr>
        <w:t>寻甸回族彝族自治县人民法院</w:t>
      </w:r>
    </w:p>
    <w:p>
      <w:pPr>
        <w:pStyle w:val="4"/>
        <w:keepNext w:val="0"/>
        <w:keepLines w:val="0"/>
        <w:pageBreakBefore w:val="0"/>
        <w:widowControl w:val="0"/>
        <w:wordWrap/>
        <w:topLinePunct w:val="0"/>
        <w:bidi w:val="0"/>
        <w:adjustRightInd/>
        <w:snapToGrid/>
        <w:spacing w:before="0" w:line="360" w:lineRule="auto"/>
        <w:ind w:firstLine="562" w:firstLineChars="200"/>
        <w:jc w:val="both"/>
        <w:textAlignment w:val="auto"/>
        <w:rPr>
          <w:rFonts w:ascii="宋体" w:hAnsi="宋体" w:eastAsia="宋体"/>
          <w:color w:val="auto"/>
          <w:sz w:val="28"/>
        </w:rPr>
      </w:pPr>
      <w:bookmarkStart w:id="20" w:name="_Toc18640"/>
      <w:bookmarkStart w:id="21" w:name="_Toc21683"/>
      <w:r>
        <w:rPr>
          <w:rFonts w:hint="eastAsia" w:ascii="宋体" w:hAnsi="宋体" w:eastAsia="宋体"/>
          <w:color w:val="auto"/>
          <w:sz w:val="28"/>
        </w:rPr>
        <w:t>二、估价机构</w:t>
      </w:r>
      <w:bookmarkEnd w:id="20"/>
      <w:bookmarkEnd w:id="21"/>
    </w:p>
    <w:p>
      <w:pPr>
        <w:keepNext w:val="0"/>
        <w:keepLines w:val="0"/>
        <w:pageBreakBefore w:val="0"/>
        <w:widowControl w:val="0"/>
        <w:wordWrap/>
        <w:topLinePunct w:val="0"/>
        <w:bidi w:val="0"/>
        <w:adjustRightInd/>
        <w:snapToGrid/>
        <w:spacing w:line="360" w:lineRule="auto"/>
        <w:ind w:firstLine="560" w:firstLineChars="200"/>
        <w:jc w:val="both"/>
        <w:textAlignment w:val="auto"/>
        <w:rPr>
          <w:rFonts w:ascii="宋体" w:hAnsi="宋体" w:eastAsia="宋体"/>
          <w:color w:val="auto"/>
          <w:sz w:val="28"/>
        </w:rPr>
      </w:pPr>
      <w:r>
        <w:rPr>
          <w:rFonts w:hint="eastAsia" w:ascii="宋体" w:hAnsi="宋体" w:eastAsia="宋体"/>
          <w:color w:val="auto"/>
          <w:sz w:val="28"/>
        </w:rPr>
        <w:t>名称：昆明正中房地产土地资产评估有限公司</w:t>
      </w:r>
    </w:p>
    <w:p>
      <w:pPr>
        <w:keepNext w:val="0"/>
        <w:keepLines w:val="0"/>
        <w:pageBreakBefore w:val="0"/>
        <w:widowControl w:val="0"/>
        <w:wordWrap/>
        <w:topLinePunct w:val="0"/>
        <w:bidi w:val="0"/>
        <w:adjustRightInd/>
        <w:snapToGrid/>
        <w:spacing w:line="360" w:lineRule="auto"/>
        <w:ind w:firstLine="560" w:firstLineChars="200"/>
        <w:jc w:val="both"/>
        <w:textAlignment w:val="auto"/>
        <w:rPr>
          <w:rFonts w:ascii="宋体" w:hAnsi="宋体" w:eastAsia="宋体"/>
          <w:color w:val="auto"/>
          <w:sz w:val="28"/>
        </w:rPr>
      </w:pPr>
      <w:r>
        <w:rPr>
          <w:rFonts w:hint="eastAsia" w:ascii="宋体" w:hAnsi="宋体" w:eastAsia="宋体"/>
          <w:color w:val="auto"/>
          <w:sz w:val="28"/>
        </w:rPr>
        <w:t>法定代表人：杨洪才</w:t>
      </w:r>
    </w:p>
    <w:p>
      <w:pPr>
        <w:keepNext w:val="0"/>
        <w:keepLines w:val="0"/>
        <w:pageBreakBefore w:val="0"/>
        <w:widowControl w:val="0"/>
        <w:wordWrap/>
        <w:topLinePunct w:val="0"/>
        <w:bidi w:val="0"/>
        <w:adjustRightInd/>
        <w:snapToGrid/>
        <w:spacing w:line="360" w:lineRule="auto"/>
        <w:ind w:firstLine="560" w:firstLineChars="200"/>
        <w:jc w:val="both"/>
        <w:textAlignment w:val="auto"/>
        <w:rPr>
          <w:rFonts w:ascii="宋体" w:hAnsi="宋体" w:eastAsia="宋体"/>
          <w:color w:val="auto"/>
          <w:sz w:val="28"/>
        </w:rPr>
      </w:pPr>
      <w:r>
        <w:rPr>
          <w:rFonts w:hint="eastAsia" w:ascii="宋体" w:hAnsi="宋体" w:eastAsia="宋体"/>
          <w:color w:val="auto"/>
          <w:sz w:val="28"/>
        </w:rPr>
        <w:t>住所：昆明市人民中路</w:t>
      </w:r>
      <w:r>
        <w:rPr>
          <w:rFonts w:ascii="宋体" w:hAnsi="宋体" w:eastAsia="宋体"/>
          <w:color w:val="auto"/>
          <w:sz w:val="28"/>
        </w:rPr>
        <w:t>39</w:t>
      </w:r>
      <w:r>
        <w:rPr>
          <w:rFonts w:hint="eastAsia" w:ascii="宋体" w:hAnsi="宋体" w:eastAsia="宋体"/>
          <w:color w:val="auto"/>
          <w:sz w:val="28"/>
        </w:rPr>
        <w:t>号银顺广场（傲城）</w:t>
      </w:r>
      <w:r>
        <w:rPr>
          <w:rFonts w:ascii="宋体" w:hAnsi="宋体" w:eastAsia="宋体"/>
          <w:color w:val="auto"/>
          <w:sz w:val="28"/>
        </w:rPr>
        <w:t>A</w:t>
      </w:r>
      <w:r>
        <w:rPr>
          <w:rFonts w:hint="eastAsia" w:ascii="宋体" w:hAnsi="宋体" w:eastAsia="宋体"/>
          <w:color w:val="auto"/>
          <w:sz w:val="28"/>
        </w:rPr>
        <w:t>座</w:t>
      </w:r>
      <w:r>
        <w:rPr>
          <w:rFonts w:hint="eastAsia" w:ascii="宋体" w:hAnsi="宋体" w:eastAsia="宋体"/>
          <w:color w:val="auto"/>
          <w:sz w:val="28"/>
          <w:lang w:val="en-US" w:eastAsia="zh-CN"/>
        </w:rPr>
        <w:t>12</w:t>
      </w:r>
      <w:r>
        <w:rPr>
          <w:rFonts w:hint="eastAsia" w:ascii="宋体" w:hAnsi="宋体" w:eastAsia="宋体"/>
          <w:color w:val="auto"/>
          <w:sz w:val="28"/>
          <w:lang w:eastAsia="zh-CN"/>
        </w:rPr>
        <w:t>层</w:t>
      </w:r>
      <w:r>
        <w:rPr>
          <w:rFonts w:ascii="宋体" w:hAnsi="宋体" w:eastAsia="宋体"/>
          <w:color w:val="auto"/>
          <w:sz w:val="28"/>
        </w:rPr>
        <w:t>104</w:t>
      </w:r>
      <w:r>
        <w:rPr>
          <w:rFonts w:hint="eastAsia" w:ascii="宋体" w:hAnsi="宋体" w:eastAsia="宋体"/>
          <w:color w:val="auto"/>
          <w:sz w:val="28"/>
        </w:rPr>
        <w:t>号</w:t>
      </w:r>
    </w:p>
    <w:p>
      <w:pPr>
        <w:spacing w:line="360" w:lineRule="auto"/>
        <w:ind w:firstLine="560" w:firstLineChars="200"/>
        <w:jc w:val="both"/>
        <w:rPr>
          <w:rFonts w:ascii="宋体" w:hAnsi="宋体" w:eastAsia="宋体"/>
          <w:color w:val="auto"/>
          <w:sz w:val="28"/>
        </w:rPr>
      </w:pPr>
      <w:r>
        <w:rPr>
          <w:rFonts w:hint="eastAsia" w:ascii="宋体" w:hAnsi="宋体" w:eastAsia="宋体"/>
          <w:color w:val="auto"/>
          <w:sz w:val="28"/>
        </w:rPr>
        <w:t>备案等级：贰级</w:t>
      </w:r>
    </w:p>
    <w:p>
      <w:pPr>
        <w:spacing w:line="360" w:lineRule="auto"/>
        <w:ind w:firstLine="560" w:firstLineChars="200"/>
        <w:jc w:val="both"/>
        <w:rPr>
          <w:rFonts w:ascii="宋体" w:hAnsi="宋体" w:eastAsia="宋体"/>
          <w:color w:val="auto"/>
          <w:sz w:val="28"/>
        </w:rPr>
      </w:pPr>
      <w:r>
        <w:rPr>
          <w:rFonts w:hint="eastAsia" w:ascii="宋体" w:hAnsi="宋体" w:eastAsia="宋体"/>
          <w:color w:val="auto"/>
          <w:sz w:val="28"/>
        </w:rPr>
        <w:t>备案证书编号：云建房证估字第</w:t>
      </w:r>
      <w:r>
        <w:rPr>
          <w:rFonts w:ascii="宋体" w:hAnsi="宋体" w:eastAsia="宋体"/>
          <w:color w:val="auto"/>
          <w:sz w:val="28"/>
        </w:rPr>
        <w:t>145</w:t>
      </w:r>
      <w:r>
        <w:rPr>
          <w:rFonts w:hint="eastAsia" w:ascii="宋体" w:hAnsi="宋体" w:eastAsia="宋体"/>
          <w:color w:val="auto"/>
          <w:sz w:val="28"/>
        </w:rPr>
        <w:t>号</w:t>
      </w:r>
    </w:p>
    <w:p>
      <w:pPr>
        <w:spacing w:line="360" w:lineRule="auto"/>
        <w:ind w:firstLine="560" w:firstLineChars="200"/>
        <w:jc w:val="both"/>
        <w:rPr>
          <w:rFonts w:ascii="宋体" w:hAnsi="宋体" w:eastAsia="宋体"/>
          <w:color w:val="auto"/>
          <w:sz w:val="28"/>
        </w:rPr>
      </w:pPr>
      <w:r>
        <w:rPr>
          <w:rFonts w:hint="eastAsia" w:ascii="宋体" w:hAnsi="宋体" w:eastAsia="宋体"/>
          <w:color w:val="auto"/>
          <w:sz w:val="28"/>
        </w:rPr>
        <w:t>备案证书有效期限：20</w:t>
      </w:r>
      <w:r>
        <w:rPr>
          <w:rFonts w:hint="eastAsia" w:ascii="宋体" w:hAnsi="宋体" w:eastAsia="宋体"/>
          <w:color w:val="auto"/>
          <w:sz w:val="28"/>
          <w:lang w:val="en-US" w:eastAsia="zh-CN"/>
        </w:rPr>
        <w:t>21</w:t>
      </w:r>
      <w:r>
        <w:rPr>
          <w:rFonts w:hint="eastAsia" w:ascii="宋体" w:hAnsi="宋体" w:eastAsia="宋体"/>
          <w:color w:val="auto"/>
          <w:sz w:val="28"/>
        </w:rPr>
        <w:t>年10月</w:t>
      </w:r>
      <w:r>
        <w:rPr>
          <w:rFonts w:hint="eastAsia" w:ascii="宋体" w:hAnsi="宋体" w:eastAsia="宋体"/>
          <w:color w:val="auto"/>
          <w:sz w:val="28"/>
          <w:lang w:val="en-US" w:eastAsia="zh-CN"/>
        </w:rPr>
        <w:t>26</w:t>
      </w:r>
      <w:r>
        <w:rPr>
          <w:rFonts w:hint="eastAsia" w:ascii="宋体" w:hAnsi="宋体" w:eastAsia="宋体"/>
          <w:color w:val="auto"/>
          <w:sz w:val="28"/>
        </w:rPr>
        <w:t>日至</w:t>
      </w:r>
      <w:r>
        <w:rPr>
          <w:rFonts w:hint="eastAsia" w:ascii="宋体" w:hAnsi="宋体" w:eastAsia="宋体"/>
          <w:color w:val="auto"/>
          <w:sz w:val="28"/>
          <w:lang w:eastAsia="zh-CN"/>
        </w:rPr>
        <w:t>202</w:t>
      </w:r>
      <w:r>
        <w:rPr>
          <w:rFonts w:hint="eastAsia" w:ascii="宋体" w:hAnsi="宋体" w:eastAsia="宋体"/>
          <w:color w:val="auto"/>
          <w:sz w:val="28"/>
          <w:lang w:val="en-US" w:eastAsia="zh-CN"/>
        </w:rPr>
        <w:t>4</w:t>
      </w:r>
      <w:r>
        <w:rPr>
          <w:rFonts w:hint="eastAsia" w:ascii="宋体" w:hAnsi="宋体" w:eastAsia="宋体"/>
          <w:color w:val="auto"/>
          <w:sz w:val="28"/>
          <w:lang w:eastAsia="zh-CN"/>
        </w:rPr>
        <w:t>年</w:t>
      </w:r>
      <w:r>
        <w:rPr>
          <w:rFonts w:hint="eastAsia" w:ascii="宋体" w:hAnsi="宋体" w:eastAsia="宋体"/>
          <w:color w:val="auto"/>
          <w:sz w:val="28"/>
        </w:rPr>
        <w:t>10月</w:t>
      </w:r>
      <w:r>
        <w:rPr>
          <w:rFonts w:hint="eastAsia" w:ascii="宋体" w:hAnsi="宋体" w:eastAsia="宋体"/>
          <w:color w:val="auto"/>
          <w:sz w:val="28"/>
          <w:lang w:val="en-US" w:eastAsia="zh-CN"/>
        </w:rPr>
        <w:t>26</w:t>
      </w:r>
      <w:r>
        <w:rPr>
          <w:rFonts w:hint="eastAsia" w:ascii="宋体" w:hAnsi="宋体" w:eastAsia="宋体"/>
          <w:color w:val="auto"/>
          <w:sz w:val="28"/>
        </w:rPr>
        <w:t>日</w:t>
      </w:r>
    </w:p>
    <w:p>
      <w:pPr>
        <w:spacing w:line="360" w:lineRule="auto"/>
        <w:ind w:firstLine="560" w:firstLineChars="200"/>
        <w:jc w:val="both"/>
        <w:rPr>
          <w:rFonts w:ascii="宋体" w:hAnsi="宋体" w:eastAsia="宋体"/>
          <w:color w:val="auto"/>
          <w:sz w:val="28"/>
        </w:rPr>
      </w:pPr>
      <w:r>
        <w:rPr>
          <w:rFonts w:hint="eastAsia" w:ascii="宋体" w:hAnsi="宋体" w:eastAsia="宋体"/>
          <w:color w:val="auto"/>
          <w:sz w:val="28"/>
        </w:rPr>
        <w:t>统一社会信用代码：9153010079028916XJ</w:t>
      </w:r>
    </w:p>
    <w:p>
      <w:pPr>
        <w:spacing w:line="360" w:lineRule="auto"/>
        <w:ind w:firstLine="560" w:firstLineChars="200"/>
        <w:jc w:val="both"/>
        <w:rPr>
          <w:rFonts w:ascii="宋体" w:hAnsi="宋体" w:eastAsia="宋体"/>
          <w:color w:val="auto"/>
          <w:sz w:val="28"/>
        </w:rPr>
      </w:pPr>
      <w:r>
        <w:rPr>
          <w:rFonts w:hint="eastAsia" w:ascii="宋体" w:hAnsi="宋体" w:eastAsia="宋体"/>
          <w:color w:val="auto"/>
          <w:sz w:val="28"/>
        </w:rPr>
        <w:t>电话号码：</w:t>
      </w:r>
      <w:r>
        <w:rPr>
          <w:rFonts w:ascii="宋体" w:hAnsi="宋体" w:eastAsia="宋体"/>
          <w:color w:val="auto"/>
          <w:sz w:val="28"/>
        </w:rPr>
        <w:t>0871-63641020</w:t>
      </w:r>
    </w:p>
    <w:p>
      <w:pPr>
        <w:spacing w:line="360" w:lineRule="auto"/>
        <w:ind w:firstLine="562" w:firstLineChars="200"/>
        <w:jc w:val="both"/>
        <w:outlineLvl w:val="1"/>
        <w:rPr>
          <w:rFonts w:ascii="宋体" w:hAnsi="宋体" w:eastAsia="宋体"/>
          <w:b/>
          <w:bCs/>
          <w:color w:val="auto"/>
          <w:sz w:val="28"/>
          <w:szCs w:val="28"/>
        </w:rPr>
      </w:pPr>
      <w:bookmarkStart w:id="22" w:name="_Toc10538"/>
      <w:r>
        <w:rPr>
          <w:rFonts w:hint="eastAsia" w:ascii="宋体" w:hAnsi="宋体" w:eastAsia="宋体"/>
          <w:b/>
          <w:bCs/>
          <w:color w:val="auto"/>
          <w:sz w:val="28"/>
          <w:szCs w:val="28"/>
        </w:rPr>
        <w:t>三、估价对象</w:t>
      </w:r>
      <w:bookmarkEnd w:id="22"/>
    </w:p>
    <w:p>
      <w:pPr>
        <w:spacing w:line="360" w:lineRule="auto"/>
        <w:ind w:firstLine="560" w:firstLineChars="200"/>
        <w:jc w:val="both"/>
        <w:rPr>
          <w:rFonts w:ascii="宋体" w:hAnsi="宋体" w:eastAsia="宋体"/>
          <w:bCs/>
          <w:color w:val="auto"/>
          <w:sz w:val="28"/>
        </w:rPr>
      </w:pPr>
      <w:r>
        <w:rPr>
          <w:rFonts w:hint="eastAsia" w:ascii="宋体" w:hAnsi="宋体" w:eastAsia="宋体"/>
          <w:bCs/>
          <w:color w:val="auto"/>
          <w:sz w:val="28"/>
        </w:rPr>
        <w:t>1、估价对象范围</w:t>
      </w:r>
    </w:p>
    <w:p>
      <w:pPr>
        <w:spacing w:line="360" w:lineRule="auto"/>
        <w:ind w:firstLine="516" w:firstLineChars="200"/>
        <w:jc w:val="both"/>
        <w:rPr>
          <w:rFonts w:hint="eastAsia" w:ascii="宋体" w:hAnsi="宋体" w:eastAsia="宋体"/>
          <w:color w:val="auto"/>
          <w:sz w:val="28"/>
        </w:rPr>
      </w:pPr>
      <w:r>
        <w:rPr>
          <w:rFonts w:hint="eastAsia" w:ascii="宋体" w:hAnsi="宋体" w:eastAsia="宋体"/>
          <w:color w:val="auto"/>
          <w:spacing w:val="-11"/>
          <w:sz w:val="28"/>
          <w:lang w:eastAsia="zh-CN"/>
        </w:rPr>
        <w:t>寻甸县仁德街道办事处凤梧路馨苑小区B区3幢1单元401室</w:t>
      </w:r>
      <w:r>
        <w:rPr>
          <w:rFonts w:hint="eastAsia" w:ascii="宋体" w:hAnsi="宋体" w:eastAsia="宋体"/>
          <w:color w:val="auto"/>
          <w:spacing w:val="-11"/>
          <w:sz w:val="28"/>
          <w:lang w:val="en-US" w:eastAsia="zh-CN"/>
        </w:rPr>
        <w:t>住宅，</w:t>
      </w:r>
      <w:r>
        <w:rPr>
          <w:rFonts w:hint="eastAsia" w:ascii="宋体" w:hAnsi="宋体" w:eastAsia="宋体"/>
          <w:color w:val="auto"/>
          <w:spacing w:val="-11"/>
          <w:sz w:val="28"/>
          <w:lang w:eastAsia="zh-CN"/>
        </w:rPr>
        <w:t>建筑面积146.26㎡</w:t>
      </w:r>
      <w:r>
        <w:rPr>
          <w:rFonts w:hint="eastAsia" w:ascii="宋体" w:hAnsi="宋体" w:eastAsia="宋体"/>
          <w:color w:val="auto"/>
          <w:spacing w:val="-11"/>
          <w:sz w:val="28"/>
          <w:lang w:val="en-US" w:eastAsia="zh-CN"/>
        </w:rPr>
        <w:t>房地产</w:t>
      </w:r>
      <w:r>
        <w:rPr>
          <w:rFonts w:hint="eastAsia" w:ascii="宋体" w:hAnsi="宋体" w:eastAsia="宋体"/>
          <w:color w:val="auto"/>
          <w:spacing w:val="-11"/>
          <w:sz w:val="28"/>
        </w:rPr>
        <w: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bCs/>
          <w:color w:val="auto"/>
          <w:sz w:val="28"/>
        </w:rPr>
      </w:pPr>
      <w:r>
        <w:rPr>
          <w:rFonts w:hint="eastAsia" w:ascii="宋体" w:hAnsi="宋体" w:eastAsia="宋体"/>
          <w:bCs/>
          <w:color w:val="auto"/>
          <w:sz w:val="28"/>
        </w:rPr>
        <w:t>估价对象基本状况</w:t>
      </w:r>
      <w:bookmarkStart w:id="23" w:name="_Toc8257"/>
    </w:p>
    <w:tbl>
      <w:tblPr>
        <w:tblStyle w:val="88"/>
        <w:tblW w:w="99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7"/>
        <w:gridCol w:w="400"/>
        <w:gridCol w:w="1825"/>
        <w:gridCol w:w="1338"/>
        <w:gridCol w:w="1162"/>
        <w:gridCol w:w="1150"/>
        <w:gridCol w:w="1150"/>
        <w:gridCol w:w="1163"/>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702" w:type="dxa"/>
            <w:gridSpan w:val="3"/>
            <w:shd w:val="clear" w:color="auto" w:fill="auto"/>
            <w:tcMar>
              <w:top w:w="15" w:type="dxa"/>
              <w:left w:w="15" w:type="dxa"/>
              <w:right w:w="15" w:type="dxa"/>
            </w:tcMar>
            <w:vAlign w:val="center"/>
          </w:tcPr>
          <w:p>
            <w:pPr>
              <w:spacing w:line="240" w:lineRule="auto"/>
              <w:jc w:val="center"/>
              <w:textAlignment w:val="center"/>
              <w:rPr>
                <w:rFonts w:cs="等线" w:asciiTheme="minorEastAsia" w:hAnsiTheme="minorEastAsia" w:eastAsiaTheme="minorEastAsia"/>
                <w:b/>
                <w:color w:val="auto"/>
                <w:sz w:val="21"/>
                <w:szCs w:val="21"/>
              </w:rPr>
            </w:pPr>
            <w:r>
              <w:rPr>
                <w:rFonts w:hint="eastAsia" w:cs="等线" w:asciiTheme="minorEastAsia" w:hAnsiTheme="minorEastAsia" w:eastAsiaTheme="minorEastAsia"/>
                <w:b/>
                <w:color w:val="auto"/>
                <w:sz w:val="21"/>
                <w:szCs w:val="21"/>
                <w:lang w:bidi="ar"/>
              </w:rPr>
              <w:t>名称</w:t>
            </w:r>
          </w:p>
        </w:tc>
        <w:tc>
          <w:tcPr>
            <w:tcW w:w="7200" w:type="dxa"/>
            <w:gridSpan w:val="6"/>
            <w:shd w:val="clear" w:color="auto" w:fill="auto"/>
            <w:tcMar>
              <w:top w:w="15" w:type="dxa"/>
              <w:left w:w="15" w:type="dxa"/>
              <w:right w:w="15" w:type="dxa"/>
            </w:tcMar>
            <w:vAlign w:val="center"/>
          </w:tcPr>
          <w:p>
            <w:pPr>
              <w:spacing w:line="240" w:lineRule="auto"/>
              <w:jc w:val="center"/>
              <w:textAlignment w:val="top"/>
              <w:rPr>
                <w:rFonts w:hint="default" w:cs="等线" w:asciiTheme="minorEastAsia" w:hAnsiTheme="minorEastAsia" w:eastAsiaTheme="minorEastAsia"/>
                <w:color w:val="auto"/>
                <w:sz w:val="21"/>
                <w:szCs w:val="21"/>
                <w:lang w:val="en-US"/>
              </w:rPr>
            </w:pPr>
            <w:r>
              <w:rPr>
                <w:rFonts w:hint="eastAsia" w:cs="等线" w:asciiTheme="minorEastAsia" w:hAnsiTheme="minorEastAsia" w:eastAsiaTheme="minorEastAsia"/>
                <w:b/>
                <w:color w:val="auto"/>
                <w:sz w:val="21"/>
                <w:szCs w:val="21"/>
                <w:lang w:val="en-US" w:eastAsia="zh-CN" w:bidi="ar"/>
              </w:rPr>
              <w:t>寻甸县仁德街道办事处凤梧路馨苑小区B区3幢1单元401室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7" w:type="dxa"/>
            <w:vMerge w:val="restart"/>
            <w:shd w:val="clear" w:color="auto" w:fill="auto"/>
            <w:tcMar>
              <w:top w:w="15" w:type="dxa"/>
              <w:left w:w="15" w:type="dxa"/>
              <w:right w:w="15" w:type="dxa"/>
            </w:tcMar>
            <w:vAlign w:val="center"/>
          </w:tcPr>
          <w:p>
            <w:pPr>
              <w:spacing w:line="240" w:lineRule="auto"/>
              <w:jc w:val="center"/>
              <w:textAlignment w:val="center"/>
              <w:rPr>
                <w:rFonts w:cs="等线" w:asciiTheme="minorEastAsia" w:hAnsiTheme="minorEastAsia" w:eastAsiaTheme="minorEastAsia"/>
                <w:b/>
                <w:color w:val="auto"/>
                <w:sz w:val="21"/>
                <w:szCs w:val="21"/>
                <w:lang w:bidi="ar"/>
              </w:rPr>
            </w:pPr>
          </w:p>
          <w:p>
            <w:pPr>
              <w:spacing w:line="240" w:lineRule="auto"/>
              <w:jc w:val="center"/>
              <w:textAlignment w:val="center"/>
              <w:rPr>
                <w:rFonts w:cs="等线" w:asciiTheme="minorEastAsia" w:hAnsiTheme="minorEastAsia" w:eastAsiaTheme="minorEastAsia"/>
                <w:b/>
                <w:color w:val="auto"/>
                <w:sz w:val="21"/>
                <w:szCs w:val="21"/>
                <w:lang w:bidi="ar"/>
              </w:rPr>
            </w:pPr>
          </w:p>
          <w:p>
            <w:pPr>
              <w:spacing w:line="240" w:lineRule="auto"/>
              <w:jc w:val="center"/>
              <w:textAlignment w:val="center"/>
              <w:rPr>
                <w:rFonts w:cs="等线" w:asciiTheme="minorEastAsia" w:hAnsiTheme="minorEastAsia" w:eastAsiaTheme="minorEastAsia"/>
                <w:b/>
                <w:color w:val="auto"/>
                <w:sz w:val="21"/>
                <w:szCs w:val="21"/>
                <w:lang w:bidi="ar"/>
              </w:rPr>
            </w:pPr>
          </w:p>
          <w:p>
            <w:pPr>
              <w:spacing w:line="240" w:lineRule="auto"/>
              <w:jc w:val="center"/>
              <w:textAlignment w:val="center"/>
              <w:rPr>
                <w:rFonts w:cs="等线" w:asciiTheme="minorEastAsia" w:hAnsiTheme="minorEastAsia" w:eastAsiaTheme="minorEastAsia"/>
                <w:b/>
                <w:color w:val="auto"/>
                <w:sz w:val="21"/>
                <w:szCs w:val="21"/>
              </w:rPr>
            </w:pPr>
            <w:r>
              <w:rPr>
                <w:rFonts w:hint="eastAsia" w:cs="等线" w:asciiTheme="minorEastAsia" w:hAnsiTheme="minorEastAsia" w:eastAsiaTheme="minorEastAsia"/>
                <w:b/>
                <w:color w:val="auto"/>
                <w:sz w:val="21"/>
                <w:szCs w:val="21"/>
                <w:lang w:bidi="ar"/>
              </w:rPr>
              <w:t>区位状况</w:t>
            </w:r>
          </w:p>
        </w:tc>
        <w:tc>
          <w:tcPr>
            <w:tcW w:w="2225" w:type="dxa"/>
            <w:gridSpan w:val="2"/>
            <w:shd w:val="clear" w:color="auto" w:fill="auto"/>
            <w:tcMar>
              <w:top w:w="15" w:type="dxa"/>
              <w:left w:w="15" w:type="dxa"/>
              <w:right w:w="15" w:type="dxa"/>
            </w:tcMar>
            <w:vAlign w:val="center"/>
          </w:tcPr>
          <w:p>
            <w:pPr>
              <w:spacing w:line="240" w:lineRule="auto"/>
              <w:jc w:val="center"/>
              <w:textAlignment w:val="center"/>
              <w:rPr>
                <w:rFonts w:cs="等线" w:asciiTheme="minorEastAsia" w:hAnsiTheme="minorEastAsia" w:eastAsiaTheme="minorEastAsia"/>
                <w:b/>
                <w:color w:val="auto"/>
                <w:sz w:val="21"/>
                <w:szCs w:val="21"/>
              </w:rPr>
            </w:pPr>
            <w:r>
              <w:rPr>
                <w:rFonts w:hint="eastAsia" w:cs="等线" w:asciiTheme="minorEastAsia" w:hAnsiTheme="minorEastAsia" w:eastAsiaTheme="minorEastAsia"/>
                <w:b/>
                <w:color w:val="auto"/>
                <w:sz w:val="21"/>
                <w:szCs w:val="21"/>
                <w:lang w:bidi="ar"/>
              </w:rPr>
              <w:t>坐落</w:t>
            </w:r>
          </w:p>
        </w:tc>
        <w:tc>
          <w:tcPr>
            <w:tcW w:w="7200" w:type="dxa"/>
            <w:gridSpan w:val="6"/>
            <w:shd w:val="clear" w:color="auto" w:fill="auto"/>
            <w:tcMar>
              <w:top w:w="15" w:type="dxa"/>
              <w:left w:w="15" w:type="dxa"/>
              <w:right w:w="15" w:type="dxa"/>
            </w:tcMar>
            <w:vAlign w:val="center"/>
          </w:tcPr>
          <w:p>
            <w:pPr>
              <w:spacing w:line="240" w:lineRule="auto"/>
              <w:jc w:val="both"/>
              <w:textAlignment w:val="top"/>
              <w:rPr>
                <w:rFonts w:hint="default" w:cs="等线" w:asciiTheme="minorEastAsia" w:hAnsiTheme="minorEastAsia" w:eastAsiaTheme="minorEastAsia"/>
                <w:b w:val="0"/>
                <w:bCs/>
                <w:color w:val="auto"/>
                <w:sz w:val="21"/>
                <w:szCs w:val="21"/>
                <w:lang w:val="en-US"/>
              </w:rPr>
            </w:pPr>
            <w:r>
              <w:rPr>
                <w:rFonts w:hint="eastAsia" w:cs="等线" w:asciiTheme="minorEastAsia" w:hAnsiTheme="minorEastAsia" w:eastAsiaTheme="minorEastAsia"/>
                <w:b w:val="0"/>
                <w:bCs/>
                <w:color w:val="auto"/>
                <w:sz w:val="21"/>
                <w:szCs w:val="21"/>
                <w:lang w:val="en-US" w:eastAsia="zh-CN" w:bidi="ar"/>
              </w:rPr>
              <w:t>寻甸县仁德街道办事处凤梧路馨苑小区B区3幢1单元401室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7"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b/>
                <w:color w:val="auto"/>
                <w:sz w:val="21"/>
                <w:szCs w:val="21"/>
              </w:rPr>
            </w:pPr>
          </w:p>
        </w:tc>
        <w:tc>
          <w:tcPr>
            <w:tcW w:w="2225" w:type="dxa"/>
            <w:gridSpan w:val="2"/>
            <w:shd w:val="clear" w:color="auto" w:fill="auto"/>
            <w:tcMar>
              <w:top w:w="15" w:type="dxa"/>
              <w:left w:w="15" w:type="dxa"/>
              <w:right w:w="15" w:type="dxa"/>
            </w:tcMar>
            <w:vAlign w:val="center"/>
          </w:tcPr>
          <w:p>
            <w:pPr>
              <w:spacing w:line="240" w:lineRule="auto"/>
              <w:jc w:val="center"/>
              <w:textAlignment w:val="center"/>
              <w:rPr>
                <w:rFonts w:cs="等线" w:asciiTheme="minorEastAsia" w:hAnsiTheme="minorEastAsia" w:eastAsiaTheme="minorEastAsia"/>
                <w:b/>
                <w:color w:val="auto"/>
                <w:sz w:val="21"/>
                <w:szCs w:val="21"/>
              </w:rPr>
            </w:pPr>
            <w:r>
              <w:rPr>
                <w:rFonts w:hint="eastAsia" w:cs="等线" w:asciiTheme="minorEastAsia" w:hAnsiTheme="minorEastAsia" w:eastAsiaTheme="minorEastAsia"/>
                <w:b/>
                <w:color w:val="auto"/>
                <w:sz w:val="21"/>
                <w:szCs w:val="21"/>
                <w:lang w:bidi="ar"/>
              </w:rPr>
              <w:t>土地四至</w:t>
            </w:r>
          </w:p>
        </w:tc>
        <w:tc>
          <w:tcPr>
            <w:tcW w:w="7200" w:type="dxa"/>
            <w:gridSpan w:val="6"/>
            <w:shd w:val="clear" w:color="auto" w:fill="auto"/>
            <w:tcMar>
              <w:top w:w="15" w:type="dxa"/>
              <w:left w:w="15" w:type="dxa"/>
              <w:right w:w="15" w:type="dxa"/>
            </w:tcMar>
            <w:vAlign w:val="center"/>
          </w:tcPr>
          <w:p>
            <w:pPr>
              <w:spacing w:line="240" w:lineRule="auto"/>
              <w:jc w:val="both"/>
              <w:textAlignment w:val="top"/>
              <w:rPr>
                <w:rFonts w:hint="default" w:cs="等线" w:asciiTheme="minorEastAsia" w:hAnsiTheme="minorEastAsia" w:eastAsiaTheme="minorEastAsia"/>
                <w:color w:val="auto"/>
                <w:sz w:val="21"/>
                <w:szCs w:val="21"/>
                <w:lang w:val="en-US" w:eastAsia="zh-CN"/>
              </w:rPr>
            </w:pPr>
            <w:r>
              <w:rPr>
                <w:rFonts w:hint="eastAsia" w:cs="等线" w:asciiTheme="minorEastAsia" w:hAnsiTheme="minorEastAsia" w:eastAsiaTheme="minorEastAsia"/>
                <w:color w:val="auto"/>
                <w:sz w:val="21"/>
                <w:szCs w:val="21"/>
                <w:lang w:eastAsia="zh-CN"/>
              </w:rPr>
              <w:t>东临广场西路，西至玉屏南街，南临月秀路，北至玉屏巷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7"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b/>
                <w:color w:val="auto"/>
                <w:sz w:val="21"/>
                <w:szCs w:val="21"/>
              </w:rPr>
            </w:pPr>
          </w:p>
        </w:tc>
        <w:tc>
          <w:tcPr>
            <w:tcW w:w="2225" w:type="dxa"/>
            <w:gridSpan w:val="2"/>
            <w:shd w:val="clear" w:color="auto" w:fill="auto"/>
            <w:tcMar>
              <w:top w:w="15" w:type="dxa"/>
              <w:left w:w="15" w:type="dxa"/>
              <w:right w:w="15" w:type="dxa"/>
            </w:tcMar>
            <w:vAlign w:val="center"/>
          </w:tcPr>
          <w:p>
            <w:pPr>
              <w:spacing w:line="240" w:lineRule="auto"/>
              <w:jc w:val="center"/>
              <w:textAlignment w:val="center"/>
              <w:rPr>
                <w:rFonts w:hint="eastAsia" w:cs="等线" w:asciiTheme="minorEastAsia" w:hAnsiTheme="minorEastAsia" w:eastAsiaTheme="minorEastAsia"/>
                <w:b/>
                <w:color w:val="auto"/>
                <w:sz w:val="21"/>
                <w:szCs w:val="21"/>
                <w:lang w:eastAsia="zh-CN"/>
              </w:rPr>
            </w:pPr>
            <w:r>
              <w:rPr>
                <w:rFonts w:hint="eastAsia" w:cs="等线" w:asciiTheme="minorEastAsia" w:hAnsiTheme="minorEastAsia" w:eastAsiaTheme="minorEastAsia"/>
                <w:b/>
                <w:color w:val="auto"/>
                <w:sz w:val="21"/>
                <w:szCs w:val="21"/>
                <w:lang w:eastAsia="zh-CN" w:bidi="ar"/>
              </w:rPr>
              <w:t>所在层/总层数</w:t>
            </w:r>
          </w:p>
        </w:tc>
        <w:tc>
          <w:tcPr>
            <w:tcW w:w="7200" w:type="dxa"/>
            <w:gridSpan w:val="6"/>
            <w:shd w:val="clear" w:color="auto" w:fill="auto"/>
            <w:tcMar>
              <w:top w:w="15" w:type="dxa"/>
              <w:left w:w="15" w:type="dxa"/>
              <w:right w:w="15" w:type="dxa"/>
            </w:tcMar>
            <w:vAlign w:val="center"/>
          </w:tcPr>
          <w:p>
            <w:pPr>
              <w:spacing w:line="240" w:lineRule="auto"/>
              <w:jc w:val="both"/>
              <w:textAlignment w:val="center"/>
              <w:rPr>
                <w:rFonts w:cs="等线" w:asciiTheme="minorEastAsia" w:hAnsiTheme="minorEastAsia" w:eastAsiaTheme="minorEastAsia"/>
                <w:color w:val="auto"/>
                <w:sz w:val="21"/>
                <w:szCs w:val="21"/>
              </w:rPr>
            </w:pPr>
            <w:r>
              <w:rPr>
                <w:rFonts w:hint="eastAsia" w:cs="等线" w:asciiTheme="minorEastAsia" w:hAnsiTheme="minorEastAsia" w:eastAsiaTheme="minorEastAsia"/>
                <w:color w:val="auto"/>
                <w:sz w:val="21"/>
                <w:szCs w:val="21"/>
                <w:lang w:val="en-US" w:eastAsia="zh-CN" w:bidi="ar"/>
              </w:rPr>
              <w:t>4层/5层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7"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b/>
                <w:color w:val="auto"/>
                <w:sz w:val="21"/>
                <w:szCs w:val="21"/>
              </w:rPr>
            </w:pPr>
          </w:p>
        </w:tc>
        <w:tc>
          <w:tcPr>
            <w:tcW w:w="2225" w:type="dxa"/>
            <w:gridSpan w:val="2"/>
            <w:shd w:val="clear" w:color="auto" w:fill="auto"/>
            <w:tcMar>
              <w:top w:w="15" w:type="dxa"/>
              <w:left w:w="15" w:type="dxa"/>
              <w:right w:w="15" w:type="dxa"/>
            </w:tcMar>
            <w:vAlign w:val="center"/>
          </w:tcPr>
          <w:p>
            <w:pPr>
              <w:spacing w:line="240" w:lineRule="auto"/>
              <w:jc w:val="center"/>
              <w:textAlignment w:val="center"/>
              <w:rPr>
                <w:rFonts w:cs="等线" w:asciiTheme="minorEastAsia" w:hAnsiTheme="minorEastAsia" w:eastAsiaTheme="minorEastAsia"/>
                <w:b/>
                <w:color w:val="auto"/>
                <w:sz w:val="21"/>
                <w:szCs w:val="21"/>
              </w:rPr>
            </w:pPr>
            <w:r>
              <w:rPr>
                <w:rFonts w:hint="eastAsia" w:cs="等线" w:asciiTheme="minorEastAsia" w:hAnsiTheme="minorEastAsia" w:eastAsiaTheme="minorEastAsia"/>
                <w:b/>
                <w:color w:val="auto"/>
                <w:sz w:val="21"/>
                <w:szCs w:val="21"/>
                <w:lang w:bidi="ar"/>
              </w:rPr>
              <w:t>交通状况</w:t>
            </w:r>
          </w:p>
        </w:tc>
        <w:tc>
          <w:tcPr>
            <w:tcW w:w="7200" w:type="dxa"/>
            <w:gridSpan w:val="6"/>
            <w:shd w:val="clear" w:color="auto" w:fill="auto"/>
            <w:noWrap/>
            <w:tcMar>
              <w:top w:w="15" w:type="dxa"/>
              <w:left w:w="15" w:type="dxa"/>
              <w:right w:w="15" w:type="dxa"/>
            </w:tcMar>
            <w:vAlign w:val="center"/>
          </w:tcPr>
          <w:p>
            <w:pPr>
              <w:spacing w:line="240" w:lineRule="auto"/>
              <w:textAlignment w:val="center"/>
              <w:rPr>
                <w:rFonts w:cs="等线" w:asciiTheme="minorEastAsia" w:hAnsiTheme="minorEastAsia" w:eastAsiaTheme="minorEastAsia"/>
                <w:color w:val="auto"/>
                <w:sz w:val="21"/>
                <w:szCs w:val="21"/>
              </w:rPr>
            </w:pPr>
            <w:r>
              <w:rPr>
                <w:rFonts w:hint="eastAsia" w:cs="等线" w:asciiTheme="minorEastAsia" w:hAnsiTheme="minorEastAsia" w:eastAsiaTheme="minorEastAsia"/>
                <w:color w:val="auto"/>
                <w:sz w:val="21"/>
                <w:szCs w:val="21"/>
                <w:lang w:val="en-US" w:eastAsia="zh-CN" w:bidi="ar"/>
              </w:rPr>
              <w:t>城乡公交通往该区域，打车较方便，距离寻甸汽车客运站约1公里。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7"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b/>
                <w:color w:val="auto"/>
                <w:sz w:val="21"/>
                <w:szCs w:val="21"/>
              </w:rPr>
            </w:pPr>
          </w:p>
        </w:tc>
        <w:tc>
          <w:tcPr>
            <w:tcW w:w="2225" w:type="dxa"/>
            <w:gridSpan w:val="2"/>
            <w:shd w:val="clear" w:color="auto" w:fill="auto"/>
            <w:tcMar>
              <w:top w:w="15" w:type="dxa"/>
              <w:left w:w="15" w:type="dxa"/>
              <w:right w:w="15" w:type="dxa"/>
            </w:tcMar>
            <w:vAlign w:val="center"/>
          </w:tcPr>
          <w:p>
            <w:pPr>
              <w:spacing w:line="240" w:lineRule="auto"/>
              <w:jc w:val="center"/>
              <w:textAlignment w:val="center"/>
              <w:rPr>
                <w:rFonts w:cs="等线" w:asciiTheme="minorEastAsia" w:hAnsiTheme="minorEastAsia" w:eastAsiaTheme="minorEastAsia"/>
                <w:b/>
                <w:color w:val="auto"/>
                <w:sz w:val="21"/>
                <w:szCs w:val="21"/>
              </w:rPr>
            </w:pPr>
            <w:r>
              <w:rPr>
                <w:rFonts w:hint="eastAsia" w:cs="等线" w:asciiTheme="minorEastAsia" w:hAnsiTheme="minorEastAsia" w:eastAsiaTheme="minorEastAsia"/>
                <w:b/>
                <w:color w:val="auto"/>
                <w:sz w:val="21"/>
                <w:szCs w:val="21"/>
                <w:lang w:val="en-US" w:eastAsia="zh-CN" w:bidi="ar"/>
              </w:rPr>
              <w:t>外部</w:t>
            </w:r>
            <w:r>
              <w:rPr>
                <w:rFonts w:hint="eastAsia" w:cs="等线" w:asciiTheme="minorEastAsia" w:hAnsiTheme="minorEastAsia" w:eastAsiaTheme="minorEastAsia"/>
                <w:b/>
                <w:color w:val="auto"/>
                <w:sz w:val="21"/>
                <w:szCs w:val="21"/>
                <w:lang w:bidi="ar"/>
              </w:rPr>
              <w:t>配套设施</w:t>
            </w:r>
          </w:p>
        </w:tc>
        <w:tc>
          <w:tcPr>
            <w:tcW w:w="7200" w:type="dxa"/>
            <w:gridSpan w:val="6"/>
            <w:shd w:val="clear" w:color="auto" w:fill="auto"/>
            <w:tcMar>
              <w:top w:w="15" w:type="dxa"/>
              <w:left w:w="15" w:type="dxa"/>
              <w:right w:w="15" w:type="dxa"/>
            </w:tcMar>
            <w:vAlign w:val="center"/>
          </w:tcPr>
          <w:p>
            <w:pPr>
              <w:spacing w:line="240" w:lineRule="auto"/>
              <w:jc w:val="both"/>
              <w:textAlignment w:val="center"/>
              <w:rPr>
                <w:rFonts w:hint="eastAsia" w:cs="等线" w:asciiTheme="minorEastAsia" w:hAnsiTheme="minorEastAsia" w:eastAsiaTheme="minorEastAsia"/>
                <w:color w:val="auto"/>
                <w:sz w:val="21"/>
                <w:szCs w:val="21"/>
                <w:lang w:eastAsia="zh-CN" w:bidi="ar"/>
              </w:rPr>
            </w:pPr>
            <w:r>
              <w:rPr>
                <w:rFonts w:hint="eastAsia" w:cs="等线" w:asciiTheme="minorEastAsia" w:hAnsiTheme="minorEastAsia" w:eastAsiaTheme="minorEastAsia"/>
                <w:color w:val="auto"/>
                <w:sz w:val="21"/>
                <w:szCs w:val="21"/>
                <w:lang w:bidi="ar"/>
              </w:rPr>
              <w:t>学校：</w:t>
            </w:r>
            <w:r>
              <w:rPr>
                <w:rFonts w:hint="eastAsia" w:cs="等线" w:asciiTheme="minorEastAsia" w:hAnsiTheme="minorEastAsia" w:eastAsiaTheme="minorEastAsia"/>
                <w:color w:val="auto"/>
                <w:sz w:val="21"/>
                <w:szCs w:val="21"/>
                <w:lang w:eastAsia="zh-CN" w:bidi="ar"/>
              </w:rPr>
              <w:t>仁德小学、城关乡初级中学、仁德镇第二初级中学</w:t>
            </w:r>
            <w:r>
              <w:rPr>
                <w:rFonts w:hint="eastAsia" w:cs="等线" w:asciiTheme="minorEastAsia" w:hAnsiTheme="minorEastAsia" w:eastAsiaTheme="minorEastAsia"/>
                <w:color w:val="auto"/>
                <w:sz w:val="21"/>
                <w:szCs w:val="21"/>
                <w:lang w:bidi="ar"/>
              </w:rPr>
              <w:t>等学校；</w:t>
            </w:r>
          </w:p>
          <w:p>
            <w:pPr>
              <w:spacing w:line="240" w:lineRule="auto"/>
              <w:jc w:val="both"/>
              <w:textAlignment w:val="center"/>
              <w:rPr>
                <w:rFonts w:hint="eastAsia" w:cs="等线" w:asciiTheme="minorEastAsia" w:hAnsiTheme="minorEastAsia" w:eastAsiaTheme="minorEastAsia"/>
                <w:color w:val="auto"/>
                <w:sz w:val="21"/>
                <w:szCs w:val="21"/>
                <w:lang w:eastAsia="zh-CN" w:bidi="ar"/>
              </w:rPr>
            </w:pPr>
            <w:r>
              <w:rPr>
                <w:rFonts w:hint="eastAsia" w:cs="等线" w:asciiTheme="minorEastAsia" w:hAnsiTheme="minorEastAsia" w:eastAsiaTheme="minorEastAsia"/>
                <w:color w:val="auto"/>
                <w:sz w:val="21"/>
                <w:szCs w:val="21"/>
                <w:lang w:bidi="ar"/>
              </w:rPr>
              <w:t>医院：</w:t>
            </w:r>
            <w:r>
              <w:rPr>
                <w:rFonts w:hint="eastAsia" w:cs="等线" w:asciiTheme="minorEastAsia" w:hAnsiTheme="minorEastAsia" w:eastAsiaTheme="minorEastAsia"/>
                <w:color w:val="auto"/>
                <w:sz w:val="21"/>
                <w:szCs w:val="21"/>
                <w:lang w:eastAsia="zh-CN" w:bidi="ar"/>
              </w:rPr>
              <w:t>寻甸五洲医院、寻甸回族彝族自治县中医医院、寻甸仁和医院、寻甸回族彝族自治县妇幼保健中心</w:t>
            </w:r>
            <w:r>
              <w:rPr>
                <w:rFonts w:hint="eastAsia" w:cs="等线" w:asciiTheme="minorEastAsia" w:hAnsiTheme="minorEastAsia" w:eastAsiaTheme="minorEastAsia"/>
                <w:color w:val="auto"/>
                <w:sz w:val="21"/>
                <w:szCs w:val="21"/>
                <w:lang w:bidi="ar"/>
              </w:rPr>
              <w:t>等医院；</w:t>
            </w:r>
          </w:p>
          <w:p>
            <w:pPr>
              <w:spacing w:line="240" w:lineRule="auto"/>
              <w:jc w:val="both"/>
              <w:textAlignment w:val="center"/>
              <w:rPr>
                <w:rFonts w:hint="eastAsia" w:cs="等线" w:asciiTheme="minorEastAsia" w:hAnsiTheme="minorEastAsia" w:eastAsiaTheme="minorEastAsia"/>
                <w:color w:val="auto"/>
                <w:sz w:val="21"/>
                <w:szCs w:val="21"/>
                <w:lang w:eastAsia="zh-CN" w:bidi="ar"/>
              </w:rPr>
            </w:pPr>
            <w:r>
              <w:rPr>
                <w:rFonts w:hint="eastAsia" w:cs="等线" w:asciiTheme="minorEastAsia" w:hAnsiTheme="minorEastAsia" w:eastAsiaTheme="minorEastAsia"/>
                <w:color w:val="auto"/>
                <w:sz w:val="21"/>
                <w:szCs w:val="21"/>
                <w:lang w:bidi="ar"/>
              </w:rPr>
              <w:t xml:space="preserve">银行: </w:t>
            </w:r>
            <w:r>
              <w:rPr>
                <w:rFonts w:hint="eastAsia" w:cs="等线" w:asciiTheme="minorEastAsia" w:hAnsiTheme="minorEastAsia" w:eastAsiaTheme="minorEastAsia"/>
                <w:color w:val="auto"/>
                <w:sz w:val="21"/>
                <w:szCs w:val="21"/>
                <w:lang w:eastAsia="zh-CN" w:bidi="ar"/>
              </w:rPr>
              <w:t>中国农业银行、云南省农村信用合作社、寻甸中成村镇银行</w:t>
            </w:r>
            <w:r>
              <w:rPr>
                <w:rFonts w:hint="eastAsia" w:cs="等线" w:asciiTheme="minorEastAsia" w:hAnsiTheme="minorEastAsia" w:eastAsiaTheme="minorEastAsia"/>
                <w:color w:val="auto"/>
                <w:sz w:val="21"/>
                <w:szCs w:val="21"/>
                <w:lang w:bidi="ar"/>
              </w:rPr>
              <w:t>等银行；</w:t>
            </w:r>
          </w:p>
          <w:p>
            <w:pPr>
              <w:spacing w:line="240" w:lineRule="auto"/>
              <w:jc w:val="both"/>
              <w:textAlignment w:val="center"/>
              <w:rPr>
                <w:rFonts w:cs="等线" w:asciiTheme="minorEastAsia" w:hAnsiTheme="minorEastAsia" w:eastAsiaTheme="minorEastAsia"/>
                <w:color w:val="auto"/>
                <w:sz w:val="21"/>
                <w:szCs w:val="21"/>
              </w:rPr>
            </w:pPr>
            <w:r>
              <w:rPr>
                <w:rFonts w:hint="eastAsia" w:cs="等线" w:asciiTheme="minorEastAsia" w:hAnsiTheme="minorEastAsia" w:eastAsiaTheme="minorEastAsia"/>
                <w:color w:val="auto"/>
                <w:sz w:val="21"/>
                <w:szCs w:val="21"/>
                <w:lang w:bidi="ar"/>
              </w:rPr>
              <w:t>超市：</w:t>
            </w:r>
            <w:r>
              <w:rPr>
                <w:rFonts w:hint="eastAsia" w:cs="等线" w:asciiTheme="minorEastAsia" w:hAnsiTheme="minorEastAsia" w:eastAsiaTheme="minorEastAsia"/>
                <w:color w:val="auto"/>
                <w:sz w:val="21"/>
                <w:szCs w:val="21"/>
                <w:lang w:eastAsia="zh-CN" w:bidi="ar"/>
              </w:rPr>
              <w:t>通汇购物中心、寻甸仁德丁丁百货店、佳用华联超市</w:t>
            </w:r>
            <w:r>
              <w:rPr>
                <w:rFonts w:hint="eastAsia" w:cs="等线" w:asciiTheme="minorEastAsia" w:hAnsiTheme="minorEastAsia" w:eastAsiaTheme="minorEastAsia"/>
                <w:color w:val="auto"/>
                <w:sz w:val="21"/>
                <w:szCs w:val="21"/>
                <w:lang w:bidi="ar"/>
              </w:rPr>
              <w:t>等</w:t>
            </w:r>
            <w:r>
              <w:rPr>
                <w:rFonts w:hint="eastAsia" w:cs="等线" w:asciiTheme="minorEastAsia" w:hAnsiTheme="minorEastAsia" w:eastAsiaTheme="minorEastAsia"/>
                <w:color w:val="auto"/>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7" w:type="dxa"/>
            <w:vMerge w:val="continue"/>
            <w:shd w:val="clear" w:color="auto" w:fill="auto"/>
            <w:tcMar>
              <w:top w:w="15" w:type="dxa"/>
              <w:left w:w="15" w:type="dxa"/>
              <w:right w:w="15" w:type="dxa"/>
            </w:tcMar>
            <w:vAlign w:val="center"/>
          </w:tcPr>
          <w:p>
            <w:pPr>
              <w:spacing w:line="240" w:lineRule="auto"/>
              <w:jc w:val="center"/>
              <w:textAlignment w:val="center"/>
              <w:rPr>
                <w:rFonts w:hint="eastAsia" w:cs="等线" w:asciiTheme="minorEastAsia" w:hAnsiTheme="minorEastAsia" w:eastAsiaTheme="minorEastAsia"/>
                <w:b/>
                <w:color w:val="auto"/>
                <w:sz w:val="21"/>
                <w:szCs w:val="21"/>
                <w:lang w:bidi="ar"/>
              </w:rPr>
            </w:pPr>
          </w:p>
        </w:tc>
        <w:tc>
          <w:tcPr>
            <w:tcW w:w="2225" w:type="dxa"/>
            <w:gridSpan w:val="2"/>
            <w:shd w:val="clear" w:color="auto" w:fill="auto"/>
            <w:tcMar>
              <w:top w:w="15" w:type="dxa"/>
              <w:left w:w="15" w:type="dxa"/>
              <w:right w:w="15" w:type="dxa"/>
            </w:tcMar>
            <w:vAlign w:val="center"/>
          </w:tcPr>
          <w:p>
            <w:pPr>
              <w:spacing w:line="240" w:lineRule="auto"/>
              <w:jc w:val="center"/>
              <w:textAlignment w:val="center"/>
              <w:rPr>
                <w:rFonts w:hint="default" w:cs="等线" w:asciiTheme="minorEastAsia" w:hAnsiTheme="minorEastAsia" w:eastAsiaTheme="minorEastAsia"/>
                <w:b/>
                <w:color w:val="auto"/>
                <w:sz w:val="21"/>
                <w:szCs w:val="21"/>
                <w:lang w:val="en-US" w:eastAsia="zh-CN" w:bidi="ar"/>
              </w:rPr>
            </w:pPr>
            <w:r>
              <w:rPr>
                <w:rFonts w:hint="eastAsia" w:cs="等线" w:asciiTheme="minorEastAsia" w:hAnsiTheme="minorEastAsia" w:eastAsiaTheme="minorEastAsia"/>
                <w:b/>
                <w:color w:val="auto"/>
                <w:sz w:val="21"/>
                <w:szCs w:val="21"/>
                <w:lang w:val="en-US" w:eastAsia="zh-CN" w:bidi="ar"/>
              </w:rPr>
              <w:t>周边环境状况</w:t>
            </w:r>
          </w:p>
        </w:tc>
        <w:tc>
          <w:tcPr>
            <w:tcW w:w="7200" w:type="dxa"/>
            <w:gridSpan w:val="6"/>
            <w:shd w:val="clear" w:color="auto" w:fill="auto"/>
            <w:tcMar>
              <w:top w:w="15" w:type="dxa"/>
              <w:left w:w="15" w:type="dxa"/>
              <w:right w:w="15" w:type="dxa"/>
            </w:tcMar>
            <w:vAlign w:val="center"/>
          </w:tcPr>
          <w:p>
            <w:pPr>
              <w:spacing w:line="240" w:lineRule="auto"/>
              <w:jc w:val="center"/>
              <w:textAlignment w:val="center"/>
              <w:rPr>
                <w:rFonts w:hint="default" w:cs="等线" w:asciiTheme="minorEastAsia" w:hAnsiTheme="minorEastAsia" w:eastAsiaTheme="minorEastAsia"/>
                <w:color w:val="auto"/>
                <w:sz w:val="21"/>
                <w:szCs w:val="21"/>
                <w:lang w:val="en-US" w:eastAsia="zh-CN"/>
              </w:rPr>
            </w:pPr>
            <w:r>
              <w:rPr>
                <w:rFonts w:hint="eastAsia" w:cs="等线" w:asciiTheme="minorEastAsia" w:hAnsiTheme="minorEastAsia" w:eastAsiaTheme="minorEastAsia"/>
                <w:color w:val="auto"/>
                <w:sz w:val="21"/>
                <w:szCs w:val="21"/>
                <w:lang w:val="en-US" w:eastAsia="zh-CN"/>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7" w:type="dxa"/>
            <w:vMerge w:val="restart"/>
            <w:shd w:val="clear" w:color="auto" w:fill="auto"/>
            <w:tcMar>
              <w:top w:w="15" w:type="dxa"/>
              <w:left w:w="15" w:type="dxa"/>
              <w:right w:w="15" w:type="dxa"/>
            </w:tcMar>
            <w:vAlign w:val="center"/>
          </w:tcPr>
          <w:p>
            <w:pPr>
              <w:spacing w:line="240" w:lineRule="auto"/>
              <w:jc w:val="center"/>
              <w:textAlignment w:val="center"/>
              <w:rPr>
                <w:rFonts w:hint="eastAsia" w:cs="等线" w:asciiTheme="minorEastAsia" w:hAnsiTheme="minorEastAsia" w:eastAsiaTheme="minorEastAsia"/>
                <w:b/>
                <w:color w:val="auto"/>
                <w:sz w:val="21"/>
                <w:szCs w:val="21"/>
                <w:lang w:bidi="ar"/>
              </w:rPr>
            </w:pPr>
          </w:p>
          <w:p>
            <w:pPr>
              <w:spacing w:line="240" w:lineRule="auto"/>
              <w:jc w:val="center"/>
              <w:textAlignment w:val="center"/>
              <w:rPr>
                <w:rFonts w:hint="eastAsia" w:cs="等线" w:asciiTheme="minorEastAsia" w:hAnsiTheme="minorEastAsia" w:eastAsiaTheme="minorEastAsia"/>
                <w:b/>
                <w:color w:val="auto"/>
                <w:sz w:val="21"/>
                <w:szCs w:val="21"/>
                <w:lang w:bidi="ar"/>
              </w:rPr>
            </w:pPr>
          </w:p>
          <w:p>
            <w:pPr>
              <w:spacing w:line="240" w:lineRule="auto"/>
              <w:jc w:val="center"/>
              <w:textAlignment w:val="center"/>
              <w:rPr>
                <w:rFonts w:hint="eastAsia" w:cs="等线" w:asciiTheme="minorEastAsia" w:hAnsiTheme="minorEastAsia" w:eastAsiaTheme="minorEastAsia"/>
                <w:b/>
                <w:color w:val="auto"/>
                <w:sz w:val="21"/>
                <w:szCs w:val="21"/>
                <w:lang w:bidi="ar"/>
              </w:rPr>
            </w:pPr>
          </w:p>
          <w:p>
            <w:pPr>
              <w:spacing w:line="240" w:lineRule="auto"/>
              <w:jc w:val="center"/>
              <w:textAlignment w:val="center"/>
              <w:rPr>
                <w:rFonts w:hint="eastAsia" w:cs="等线" w:asciiTheme="minorEastAsia" w:hAnsiTheme="minorEastAsia" w:eastAsiaTheme="minorEastAsia"/>
                <w:b/>
                <w:color w:val="auto"/>
                <w:sz w:val="21"/>
                <w:szCs w:val="21"/>
                <w:lang w:bidi="ar"/>
              </w:rPr>
            </w:pPr>
          </w:p>
          <w:p>
            <w:pPr>
              <w:spacing w:line="240" w:lineRule="auto"/>
              <w:jc w:val="center"/>
              <w:textAlignment w:val="center"/>
              <w:rPr>
                <w:rFonts w:hint="eastAsia" w:cs="等线" w:asciiTheme="minorEastAsia" w:hAnsiTheme="minorEastAsia" w:eastAsiaTheme="minorEastAsia"/>
                <w:b/>
                <w:color w:val="auto"/>
                <w:sz w:val="21"/>
                <w:szCs w:val="21"/>
                <w:lang w:bidi="ar"/>
              </w:rPr>
            </w:pPr>
          </w:p>
          <w:p>
            <w:pPr>
              <w:spacing w:line="240" w:lineRule="auto"/>
              <w:jc w:val="center"/>
              <w:textAlignment w:val="center"/>
              <w:rPr>
                <w:rFonts w:hint="eastAsia" w:cs="等线" w:asciiTheme="minorEastAsia" w:hAnsiTheme="minorEastAsia" w:eastAsiaTheme="minorEastAsia"/>
                <w:b/>
                <w:color w:val="auto"/>
                <w:sz w:val="21"/>
                <w:szCs w:val="21"/>
                <w:lang w:bidi="ar"/>
              </w:rPr>
            </w:pPr>
          </w:p>
          <w:p>
            <w:pPr>
              <w:spacing w:line="240" w:lineRule="auto"/>
              <w:jc w:val="center"/>
              <w:textAlignment w:val="center"/>
              <w:rPr>
                <w:rFonts w:hint="eastAsia" w:cs="等线" w:asciiTheme="minorEastAsia" w:hAnsiTheme="minorEastAsia" w:eastAsiaTheme="minorEastAsia"/>
                <w:b/>
                <w:color w:val="auto"/>
                <w:sz w:val="21"/>
                <w:szCs w:val="21"/>
                <w:lang w:bidi="ar"/>
              </w:rPr>
            </w:pPr>
          </w:p>
          <w:p>
            <w:pPr>
              <w:spacing w:line="240" w:lineRule="auto"/>
              <w:jc w:val="center"/>
              <w:textAlignment w:val="center"/>
              <w:rPr>
                <w:rFonts w:hint="eastAsia" w:cs="等线" w:asciiTheme="minorEastAsia" w:hAnsiTheme="minorEastAsia" w:eastAsiaTheme="minorEastAsia"/>
                <w:b/>
                <w:color w:val="auto"/>
                <w:sz w:val="21"/>
                <w:szCs w:val="21"/>
                <w:lang w:bidi="ar"/>
              </w:rPr>
            </w:pPr>
          </w:p>
          <w:p>
            <w:pPr>
              <w:spacing w:line="240" w:lineRule="auto"/>
              <w:jc w:val="center"/>
              <w:textAlignment w:val="center"/>
              <w:rPr>
                <w:rFonts w:cs="等线" w:asciiTheme="minorEastAsia" w:hAnsiTheme="minorEastAsia" w:eastAsiaTheme="minorEastAsia"/>
                <w:b/>
                <w:color w:val="auto"/>
                <w:sz w:val="21"/>
                <w:szCs w:val="21"/>
              </w:rPr>
            </w:pPr>
            <w:r>
              <w:rPr>
                <w:rFonts w:hint="eastAsia" w:cs="等线" w:asciiTheme="minorEastAsia" w:hAnsiTheme="minorEastAsia" w:eastAsiaTheme="minorEastAsia"/>
                <w:b/>
                <w:color w:val="auto"/>
                <w:sz w:val="21"/>
                <w:szCs w:val="21"/>
                <w:lang w:bidi="ar"/>
              </w:rPr>
              <w:t>实物状况</w:t>
            </w:r>
          </w:p>
        </w:tc>
        <w:tc>
          <w:tcPr>
            <w:tcW w:w="400" w:type="dxa"/>
            <w:vMerge w:val="restart"/>
            <w:shd w:val="clear" w:color="auto" w:fill="auto"/>
            <w:tcMar>
              <w:top w:w="15" w:type="dxa"/>
              <w:left w:w="15" w:type="dxa"/>
              <w:right w:w="15" w:type="dxa"/>
            </w:tcMar>
            <w:vAlign w:val="center"/>
          </w:tcPr>
          <w:p>
            <w:pPr>
              <w:spacing w:line="240" w:lineRule="auto"/>
              <w:jc w:val="center"/>
              <w:textAlignment w:val="center"/>
              <w:rPr>
                <w:rFonts w:hint="eastAsia" w:cs="等线" w:asciiTheme="minorEastAsia" w:hAnsiTheme="minorEastAsia" w:eastAsiaTheme="minorEastAsia"/>
                <w:b/>
                <w:bCs/>
                <w:color w:val="auto"/>
                <w:sz w:val="21"/>
                <w:szCs w:val="21"/>
                <w:lang w:bidi="ar"/>
              </w:rPr>
            </w:pPr>
          </w:p>
          <w:p>
            <w:pPr>
              <w:spacing w:line="240" w:lineRule="auto"/>
              <w:jc w:val="center"/>
              <w:textAlignment w:val="center"/>
              <w:rPr>
                <w:rFonts w:hint="eastAsia" w:cs="等线" w:asciiTheme="minorEastAsia" w:hAnsiTheme="minorEastAsia" w:eastAsiaTheme="minorEastAsia"/>
                <w:b/>
                <w:bCs/>
                <w:color w:val="auto"/>
                <w:sz w:val="21"/>
                <w:szCs w:val="21"/>
                <w:lang w:bidi="ar"/>
              </w:rPr>
            </w:pPr>
          </w:p>
          <w:p>
            <w:pPr>
              <w:spacing w:line="240" w:lineRule="auto"/>
              <w:jc w:val="center"/>
              <w:textAlignment w:val="center"/>
              <w:rPr>
                <w:rFonts w:hint="eastAsia" w:cs="等线" w:asciiTheme="minorEastAsia" w:hAnsiTheme="minorEastAsia" w:eastAsiaTheme="minorEastAsia"/>
                <w:b/>
                <w:bCs/>
                <w:color w:val="auto"/>
                <w:sz w:val="21"/>
                <w:szCs w:val="21"/>
                <w:lang w:bidi="ar"/>
              </w:rPr>
            </w:pPr>
          </w:p>
          <w:p>
            <w:pPr>
              <w:spacing w:line="240" w:lineRule="auto"/>
              <w:jc w:val="center"/>
              <w:textAlignment w:val="center"/>
              <w:rPr>
                <w:rFonts w:hint="eastAsia" w:cs="等线" w:asciiTheme="minorEastAsia" w:hAnsiTheme="minorEastAsia" w:eastAsiaTheme="minorEastAsia"/>
                <w:b/>
                <w:bCs/>
                <w:color w:val="auto"/>
                <w:sz w:val="21"/>
                <w:szCs w:val="21"/>
                <w:lang w:bidi="ar"/>
              </w:rPr>
            </w:pPr>
          </w:p>
          <w:p>
            <w:pPr>
              <w:spacing w:line="240" w:lineRule="auto"/>
              <w:jc w:val="center"/>
              <w:textAlignment w:val="center"/>
              <w:rPr>
                <w:rFonts w:hint="eastAsia" w:cs="等线" w:asciiTheme="minorEastAsia" w:hAnsiTheme="minorEastAsia" w:eastAsiaTheme="minorEastAsia"/>
                <w:b/>
                <w:bCs/>
                <w:color w:val="auto"/>
                <w:sz w:val="21"/>
                <w:szCs w:val="21"/>
                <w:lang w:bidi="ar"/>
              </w:rPr>
            </w:pPr>
          </w:p>
          <w:p>
            <w:pPr>
              <w:spacing w:line="240" w:lineRule="auto"/>
              <w:jc w:val="center"/>
              <w:textAlignment w:val="center"/>
              <w:rPr>
                <w:rFonts w:hint="eastAsia" w:cs="等线" w:asciiTheme="minorEastAsia" w:hAnsiTheme="minorEastAsia" w:eastAsiaTheme="minorEastAsia"/>
                <w:b/>
                <w:bCs/>
                <w:color w:val="auto"/>
                <w:sz w:val="21"/>
                <w:szCs w:val="21"/>
                <w:lang w:bidi="ar"/>
              </w:rPr>
            </w:pPr>
          </w:p>
          <w:p>
            <w:pPr>
              <w:spacing w:line="240" w:lineRule="auto"/>
              <w:jc w:val="center"/>
              <w:textAlignment w:val="center"/>
              <w:rPr>
                <w:rFonts w:cs="等线" w:asciiTheme="minorEastAsia" w:hAnsiTheme="minorEastAsia" w:eastAsiaTheme="minorEastAsia"/>
                <w:color w:val="auto"/>
                <w:sz w:val="21"/>
                <w:szCs w:val="21"/>
              </w:rPr>
            </w:pPr>
            <w:r>
              <w:rPr>
                <w:rFonts w:hint="eastAsia" w:cs="等线" w:asciiTheme="minorEastAsia" w:hAnsiTheme="minorEastAsia" w:eastAsiaTheme="minorEastAsia"/>
                <w:b/>
                <w:bCs/>
                <w:color w:val="auto"/>
                <w:sz w:val="21"/>
                <w:szCs w:val="21"/>
                <w:lang w:bidi="ar"/>
              </w:rPr>
              <w:t>建  筑  物</w:t>
            </w:r>
          </w:p>
        </w:tc>
        <w:tc>
          <w:tcPr>
            <w:tcW w:w="1825" w:type="dxa"/>
            <w:shd w:val="clear" w:color="auto" w:fill="auto"/>
            <w:tcMar>
              <w:top w:w="15" w:type="dxa"/>
              <w:left w:w="15" w:type="dxa"/>
              <w:right w:w="15" w:type="dxa"/>
            </w:tcMar>
            <w:vAlign w:val="center"/>
          </w:tcPr>
          <w:p>
            <w:pPr>
              <w:spacing w:line="240" w:lineRule="auto"/>
              <w:jc w:val="center"/>
              <w:textAlignment w:val="center"/>
              <w:rPr>
                <w:rFonts w:cs="等线" w:asciiTheme="minorEastAsia" w:hAnsiTheme="minorEastAsia" w:eastAsiaTheme="minorEastAsia"/>
                <w:b/>
                <w:color w:val="auto"/>
                <w:sz w:val="21"/>
                <w:szCs w:val="21"/>
              </w:rPr>
            </w:pPr>
            <w:r>
              <w:rPr>
                <w:rFonts w:hint="eastAsia" w:cs="等线" w:asciiTheme="minorEastAsia" w:hAnsiTheme="minorEastAsia" w:eastAsiaTheme="minorEastAsia"/>
                <w:b/>
                <w:color w:val="auto"/>
                <w:sz w:val="21"/>
                <w:szCs w:val="21"/>
                <w:lang w:val="en-US" w:eastAsia="zh-CN" w:bidi="ar"/>
              </w:rPr>
              <w:t>实际</w:t>
            </w:r>
            <w:r>
              <w:rPr>
                <w:rFonts w:hint="eastAsia" w:cs="等线" w:asciiTheme="minorEastAsia" w:hAnsiTheme="minorEastAsia" w:eastAsiaTheme="minorEastAsia"/>
                <w:b/>
                <w:color w:val="auto"/>
                <w:sz w:val="21"/>
                <w:szCs w:val="21"/>
                <w:lang w:bidi="ar"/>
              </w:rPr>
              <w:t>用途</w:t>
            </w:r>
          </w:p>
        </w:tc>
        <w:tc>
          <w:tcPr>
            <w:tcW w:w="7200" w:type="dxa"/>
            <w:gridSpan w:val="6"/>
            <w:shd w:val="clear" w:color="auto" w:fill="auto"/>
            <w:tcMar>
              <w:top w:w="15" w:type="dxa"/>
              <w:left w:w="15" w:type="dxa"/>
              <w:right w:w="15" w:type="dxa"/>
            </w:tcMar>
            <w:vAlign w:val="center"/>
          </w:tcPr>
          <w:p>
            <w:pPr>
              <w:spacing w:line="240" w:lineRule="auto"/>
              <w:jc w:val="center"/>
              <w:textAlignment w:val="center"/>
              <w:rPr>
                <w:rFonts w:hint="default" w:cs="等线" w:asciiTheme="minorEastAsia" w:hAnsiTheme="minorEastAsia" w:eastAsiaTheme="minorEastAsia"/>
                <w:color w:val="auto"/>
                <w:sz w:val="21"/>
                <w:szCs w:val="21"/>
                <w:lang w:val="en-US" w:eastAsia="zh-CN"/>
              </w:rPr>
            </w:pPr>
            <w:r>
              <w:rPr>
                <w:rFonts w:hint="eastAsia" w:cs="等线" w:asciiTheme="minorEastAsia" w:hAnsiTheme="minorEastAsia" w:eastAsiaTheme="minorEastAsia"/>
                <w:color w:val="auto"/>
                <w:sz w:val="21"/>
                <w:szCs w:val="21"/>
                <w:lang w:val="en-US" w:eastAsia="zh-CN"/>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7"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b/>
                <w:color w:val="auto"/>
                <w:sz w:val="21"/>
                <w:szCs w:val="21"/>
              </w:rPr>
            </w:pPr>
          </w:p>
        </w:tc>
        <w:tc>
          <w:tcPr>
            <w:tcW w:w="400"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color w:val="auto"/>
                <w:sz w:val="21"/>
                <w:szCs w:val="21"/>
              </w:rPr>
            </w:pPr>
          </w:p>
        </w:tc>
        <w:tc>
          <w:tcPr>
            <w:tcW w:w="1825" w:type="dxa"/>
            <w:shd w:val="clear" w:color="auto" w:fill="auto"/>
            <w:tcMar>
              <w:top w:w="15" w:type="dxa"/>
              <w:left w:w="15" w:type="dxa"/>
              <w:right w:w="15" w:type="dxa"/>
            </w:tcMar>
            <w:vAlign w:val="center"/>
          </w:tcPr>
          <w:p>
            <w:pPr>
              <w:spacing w:line="240" w:lineRule="auto"/>
              <w:jc w:val="center"/>
              <w:textAlignment w:val="center"/>
              <w:rPr>
                <w:rFonts w:cs="等线" w:asciiTheme="minorEastAsia" w:hAnsiTheme="minorEastAsia" w:eastAsiaTheme="minorEastAsia"/>
                <w:b/>
                <w:color w:val="auto"/>
                <w:sz w:val="21"/>
                <w:szCs w:val="21"/>
              </w:rPr>
            </w:pPr>
            <w:r>
              <w:rPr>
                <w:rFonts w:hint="eastAsia" w:cs="等线" w:asciiTheme="minorEastAsia" w:hAnsiTheme="minorEastAsia" w:eastAsiaTheme="minorEastAsia"/>
                <w:b/>
                <w:color w:val="auto"/>
                <w:sz w:val="21"/>
                <w:szCs w:val="21"/>
                <w:lang w:bidi="ar"/>
              </w:rPr>
              <w:t>建筑结构</w:t>
            </w:r>
          </w:p>
        </w:tc>
        <w:tc>
          <w:tcPr>
            <w:tcW w:w="2500" w:type="dxa"/>
            <w:gridSpan w:val="2"/>
            <w:shd w:val="clear" w:color="auto" w:fill="auto"/>
            <w:tcMar>
              <w:top w:w="15" w:type="dxa"/>
              <w:left w:w="15" w:type="dxa"/>
              <w:right w:w="15" w:type="dxa"/>
            </w:tcMar>
            <w:vAlign w:val="center"/>
          </w:tcPr>
          <w:p>
            <w:pPr>
              <w:spacing w:line="240" w:lineRule="auto"/>
              <w:jc w:val="center"/>
              <w:textAlignment w:val="center"/>
              <w:rPr>
                <w:rFonts w:hint="eastAsia" w:cs="等线" w:asciiTheme="minorEastAsia" w:hAnsiTheme="minorEastAsia" w:eastAsiaTheme="minorEastAsia"/>
                <w:color w:val="auto"/>
                <w:sz w:val="21"/>
                <w:szCs w:val="21"/>
                <w:lang w:eastAsia="zh-CN"/>
              </w:rPr>
            </w:pPr>
            <w:r>
              <w:rPr>
                <w:rFonts w:hint="eastAsia" w:cs="等线" w:asciiTheme="minorEastAsia" w:hAnsiTheme="minorEastAsia" w:eastAsiaTheme="minorEastAsia"/>
                <w:color w:val="auto"/>
                <w:sz w:val="21"/>
                <w:szCs w:val="21"/>
                <w:lang w:val="en-US" w:eastAsia="zh-CN" w:bidi="ar"/>
              </w:rPr>
              <w:t>钢筋混凝土</w:t>
            </w:r>
          </w:p>
        </w:tc>
        <w:tc>
          <w:tcPr>
            <w:tcW w:w="1150" w:type="dxa"/>
            <w:shd w:val="clear" w:color="auto" w:fill="auto"/>
            <w:tcMar>
              <w:top w:w="15" w:type="dxa"/>
              <w:left w:w="15" w:type="dxa"/>
              <w:right w:w="15" w:type="dxa"/>
            </w:tcMar>
            <w:vAlign w:val="center"/>
          </w:tcPr>
          <w:p>
            <w:pPr>
              <w:spacing w:line="240" w:lineRule="auto"/>
              <w:jc w:val="center"/>
              <w:textAlignment w:val="center"/>
              <w:rPr>
                <w:rFonts w:cs="等线" w:asciiTheme="minorEastAsia" w:hAnsiTheme="minorEastAsia" w:eastAsiaTheme="minorEastAsia"/>
                <w:b/>
                <w:color w:val="auto"/>
                <w:sz w:val="21"/>
                <w:szCs w:val="21"/>
              </w:rPr>
            </w:pPr>
            <w:r>
              <w:rPr>
                <w:rFonts w:hint="eastAsia" w:cs="等线" w:asciiTheme="minorEastAsia" w:hAnsiTheme="minorEastAsia" w:eastAsiaTheme="minorEastAsia"/>
                <w:b/>
                <w:color w:val="auto"/>
                <w:sz w:val="21"/>
                <w:szCs w:val="21"/>
                <w:lang w:bidi="ar"/>
              </w:rPr>
              <w:t>层高</w:t>
            </w:r>
          </w:p>
        </w:tc>
        <w:tc>
          <w:tcPr>
            <w:tcW w:w="3550" w:type="dxa"/>
            <w:gridSpan w:val="3"/>
            <w:shd w:val="clear" w:color="auto" w:fill="auto"/>
            <w:tcMar>
              <w:top w:w="15" w:type="dxa"/>
              <w:left w:w="15" w:type="dxa"/>
              <w:right w:w="15" w:type="dxa"/>
            </w:tcMar>
            <w:vAlign w:val="center"/>
          </w:tcPr>
          <w:p>
            <w:pPr>
              <w:spacing w:line="240" w:lineRule="auto"/>
              <w:jc w:val="center"/>
              <w:rPr>
                <w:rFonts w:hint="default" w:cs="等线" w:asciiTheme="minorEastAsia" w:hAnsiTheme="minorEastAsia" w:eastAsiaTheme="minorEastAsia"/>
                <w:b/>
                <w:color w:val="auto"/>
                <w:sz w:val="21"/>
                <w:szCs w:val="21"/>
                <w:lang w:val="en-US" w:eastAsia="zh-CN"/>
              </w:rPr>
            </w:pPr>
            <w:r>
              <w:rPr>
                <w:rFonts w:hint="eastAsia" w:cs="等线" w:asciiTheme="minorEastAsia" w:hAnsiTheme="minorEastAsia" w:eastAsiaTheme="minorEastAsia"/>
                <w:color w:val="auto"/>
                <w:sz w:val="21"/>
                <w:szCs w:val="21"/>
              </w:rPr>
              <w:t>约</w:t>
            </w:r>
            <w:r>
              <w:rPr>
                <w:rFonts w:hint="eastAsia" w:cs="等线" w:asciiTheme="minorEastAsia" w:hAnsiTheme="minorEastAsia" w:eastAsiaTheme="minorEastAsia"/>
                <w:color w:val="auto"/>
                <w:sz w:val="21"/>
                <w:szCs w:val="21"/>
                <w:lang w:val="en-US" w:eastAsia="zh-CN"/>
              </w:rPr>
              <w:t>2.9米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7"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b/>
                <w:color w:val="auto"/>
                <w:sz w:val="21"/>
                <w:szCs w:val="21"/>
              </w:rPr>
            </w:pPr>
          </w:p>
        </w:tc>
        <w:tc>
          <w:tcPr>
            <w:tcW w:w="400"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color w:val="auto"/>
                <w:sz w:val="21"/>
                <w:szCs w:val="21"/>
              </w:rPr>
            </w:pPr>
          </w:p>
        </w:tc>
        <w:tc>
          <w:tcPr>
            <w:tcW w:w="1825" w:type="dxa"/>
            <w:shd w:val="clear" w:color="auto" w:fill="auto"/>
            <w:tcMar>
              <w:top w:w="15" w:type="dxa"/>
              <w:left w:w="15" w:type="dxa"/>
              <w:right w:w="15" w:type="dxa"/>
            </w:tcMar>
            <w:vAlign w:val="center"/>
          </w:tcPr>
          <w:p>
            <w:pPr>
              <w:spacing w:line="240" w:lineRule="auto"/>
              <w:jc w:val="center"/>
              <w:textAlignment w:val="center"/>
              <w:rPr>
                <w:rFonts w:hint="default" w:cs="等线" w:asciiTheme="minorEastAsia" w:hAnsiTheme="minorEastAsia" w:eastAsiaTheme="minorEastAsia"/>
                <w:b/>
                <w:color w:val="auto"/>
                <w:sz w:val="21"/>
                <w:szCs w:val="21"/>
                <w:lang w:val="en-US" w:eastAsia="zh-CN" w:bidi="ar"/>
              </w:rPr>
            </w:pPr>
            <w:r>
              <w:rPr>
                <w:rFonts w:hint="eastAsia" w:cs="等线" w:asciiTheme="minorEastAsia" w:hAnsiTheme="minorEastAsia" w:eastAsiaTheme="minorEastAsia"/>
                <w:b/>
                <w:color w:val="auto"/>
                <w:sz w:val="21"/>
                <w:szCs w:val="21"/>
                <w:lang w:val="en-US" w:eastAsia="zh-CN" w:bidi="ar"/>
              </w:rPr>
              <w:t>房屋类型</w:t>
            </w:r>
          </w:p>
        </w:tc>
        <w:tc>
          <w:tcPr>
            <w:tcW w:w="2500" w:type="dxa"/>
            <w:gridSpan w:val="2"/>
            <w:shd w:val="clear" w:color="auto" w:fill="auto"/>
            <w:tcMar>
              <w:top w:w="15" w:type="dxa"/>
              <w:left w:w="15" w:type="dxa"/>
              <w:right w:w="15" w:type="dxa"/>
            </w:tcMar>
            <w:vAlign w:val="center"/>
          </w:tcPr>
          <w:p>
            <w:pPr>
              <w:spacing w:line="240" w:lineRule="auto"/>
              <w:jc w:val="center"/>
              <w:textAlignment w:val="center"/>
              <w:rPr>
                <w:rFonts w:hint="default" w:cs="等线" w:asciiTheme="minorEastAsia" w:hAnsiTheme="minorEastAsia" w:eastAsiaTheme="minorEastAsia"/>
                <w:color w:val="auto"/>
                <w:sz w:val="21"/>
                <w:szCs w:val="21"/>
                <w:lang w:val="en-US" w:eastAsia="zh-CN"/>
              </w:rPr>
            </w:pPr>
            <w:r>
              <w:rPr>
                <w:rFonts w:hint="eastAsia" w:cs="等线" w:asciiTheme="minorEastAsia" w:hAnsiTheme="minorEastAsia" w:eastAsiaTheme="minorEastAsia"/>
                <w:color w:val="auto"/>
                <w:sz w:val="21"/>
                <w:szCs w:val="21"/>
                <w:lang w:val="en-US" w:eastAsia="zh-CN" w:bidi="ar"/>
              </w:rPr>
              <w:t>多层住宅</w:t>
            </w:r>
          </w:p>
        </w:tc>
        <w:tc>
          <w:tcPr>
            <w:tcW w:w="2300" w:type="dxa"/>
            <w:gridSpan w:val="2"/>
            <w:shd w:val="clear" w:color="auto" w:fill="auto"/>
            <w:tcMar>
              <w:top w:w="15" w:type="dxa"/>
              <w:left w:w="15" w:type="dxa"/>
              <w:right w:w="15" w:type="dxa"/>
            </w:tcMar>
            <w:vAlign w:val="center"/>
          </w:tcPr>
          <w:p>
            <w:pPr>
              <w:spacing w:line="240" w:lineRule="auto"/>
              <w:jc w:val="center"/>
              <w:textAlignment w:val="center"/>
              <w:rPr>
                <w:rFonts w:hint="default" w:cs="等线" w:asciiTheme="minorEastAsia" w:hAnsiTheme="minorEastAsia" w:eastAsiaTheme="minorEastAsia"/>
                <w:color w:val="auto"/>
                <w:sz w:val="21"/>
                <w:szCs w:val="21"/>
                <w:lang w:val="en-US" w:eastAsia="zh-CN" w:bidi="ar"/>
              </w:rPr>
            </w:pPr>
            <w:r>
              <w:rPr>
                <w:rFonts w:hint="eastAsia" w:cs="等线" w:asciiTheme="minorEastAsia" w:hAnsiTheme="minorEastAsia" w:eastAsiaTheme="minorEastAsia"/>
                <w:b/>
                <w:bCs/>
                <w:color w:val="auto"/>
                <w:sz w:val="21"/>
                <w:szCs w:val="21"/>
                <w:lang w:val="en-US" w:eastAsia="zh-CN" w:bidi="ar"/>
              </w:rPr>
              <w:t>户型</w:t>
            </w:r>
          </w:p>
        </w:tc>
        <w:tc>
          <w:tcPr>
            <w:tcW w:w="2400" w:type="dxa"/>
            <w:gridSpan w:val="2"/>
            <w:shd w:val="clear" w:color="auto" w:fill="auto"/>
            <w:tcMar>
              <w:top w:w="15" w:type="dxa"/>
              <w:left w:w="15" w:type="dxa"/>
              <w:right w:w="15" w:type="dxa"/>
            </w:tcMar>
            <w:vAlign w:val="center"/>
          </w:tcPr>
          <w:p>
            <w:pPr>
              <w:spacing w:line="240" w:lineRule="auto"/>
              <w:jc w:val="center"/>
              <w:textAlignment w:val="center"/>
              <w:rPr>
                <w:rFonts w:hint="default" w:cs="等线" w:asciiTheme="minorEastAsia" w:hAnsiTheme="minorEastAsia" w:eastAsiaTheme="minorEastAsia"/>
                <w:color w:val="auto"/>
                <w:sz w:val="21"/>
                <w:szCs w:val="21"/>
                <w:lang w:val="en-US" w:eastAsia="zh-CN" w:bidi="ar"/>
              </w:rPr>
            </w:pPr>
            <w:r>
              <w:rPr>
                <w:rFonts w:hint="eastAsia" w:cs="等线" w:asciiTheme="minorEastAsia" w:hAnsiTheme="minorEastAsia" w:eastAsiaTheme="minorEastAsia"/>
                <w:color w:val="auto"/>
                <w:sz w:val="21"/>
                <w:szCs w:val="21"/>
                <w:lang w:val="en-US" w:eastAsia="zh-CN" w:bidi="ar"/>
              </w:rPr>
              <w:t>错层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7"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b/>
                <w:color w:val="auto"/>
                <w:sz w:val="21"/>
                <w:szCs w:val="21"/>
              </w:rPr>
            </w:pPr>
          </w:p>
        </w:tc>
        <w:tc>
          <w:tcPr>
            <w:tcW w:w="400"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color w:val="auto"/>
                <w:sz w:val="21"/>
                <w:szCs w:val="21"/>
              </w:rPr>
            </w:pPr>
          </w:p>
        </w:tc>
        <w:tc>
          <w:tcPr>
            <w:tcW w:w="1825" w:type="dxa"/>
            <w:shd w:val="clear" w:color="auto" w:fill="auto"/>
            <w:tcMar>
              <w:top w:w="15" w:type="dxa"/>
              <w:left w:w="15" w:type="dxa"/>
              <w:right w:w="15" w:type="dxa"/>
            </w:tcMar>
            <w:vAlign w:val="center"/>
          </w:tcPr>
          <w:p>
            <w:pPr>
              <w:spacing w:line="240" w:lineRule="auto"/>
              <w:jc w:val="center"/>
              <w:textAlignment w:val="center"/>
              <w:rPr>
                <w:rFonts w:cs="等线" w:asciiTheme="minorEastAsia" w:hAnsiTheme="minorEastAsia" w:eastAsiaTheme="minorEastAsia"/>
                <w:b/>
                <w:color w:val="auto"/>
                <w:sz w:val="21"/>
                <w:szCs w:val="21"/>
              </w:rPr>
            </w:pPr>
            <w:r>
              <w:rPr>
                <w:rFonts w:hint="eastAsia" w:cs="等线" w:asciiTheme="minorEastAsia" w:hAnsiTheme="minorEastAsia" w:eastAsiaTheme="minorEastAsia"/>
                <w:b/>
                <w:color w:val="auto"/>
                <w:sz w:val="21"/>
                <w:szCs w:val="21"/>
                <w:lang w:bidi="ar"/>
              </w:rPr>
              <w:t>设施设备</w:t>
            </w:r>
          </w:p>
        </w:tc>
        <w:tc>
          <w:tcPr>
            <w:tcW w:w="7200" w:type="dxa"/>
            <w:gridSpan w:val="6"/>
            <w:shd w:val="clear" w:color="auto" w:fill="auto"/>
            <w:tcMar>
              <w:top w:w="15" w:type="dxa"/>
              <w:left w:w="15" w:type="dxa"/>
              <w:right w:w="15" w:type="dxa"/>
            </w:tcMar>
            <w:vAlign w:val="center"/>
          </w:tcPr>
          <w:p>
            <w:pPr>
              <w:spacing w:line="240" w:lineRule="auto"/>
              <w:jc w:val="center"/>
              <w:textAlignment w:val="center"/>
              <w:rPr>
                <w:rFonts w:hint="default" w:cs="等线" w:asciiTheme="minorEastAsia" w:hAnsiTheme="minorEastAsia" w:eastAsiaTheme="minorEastAsia"/>
                <w:color w:val="auto"/>
                <w:sz w:val="21"/>
                <w:szCs w:val="21"/>
                <w:lang w:val="en-US"/>
              </w:rPr>
            </w:pPr>
            <w:r>
              <w:rPr>
                <w:rFonts w:hint="eastAsia" w:cs="等线" w:asciiTheme="minorEastAsia" w:hAnsiTheme="minorEastAsia" w:eastAsiaTheme="minorEastAsia"/>
                <w:color w:val="auto"/>
                <w:sz w:val="21"/>
                <w:szCs w:val="21"/>
                <w:lang w:val="en-US" w:eastAsia="zh-CN"/>
              </w:rPr>
              <w:t>水、电、有线电视、宽带网、太阳能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7"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b/>
                <w:color w:val="auto"/>
                <w:sz w:val="21"/>
                <w:szCs w:val="21"/>
              </w:rPr>
            </w:pPr>
          </w:p>
        </w:tc>
        <w:tc>
          <w:tcPr>
            <w:tcW w:w="400"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color w:val="auto"/>
                <w:sz w:val="21"/>
                <w:szCs w:val="21"/>
              </w:rPr>
            </w:pPr>
          </w:p>
        </w:tc>
        <w:tc>
          <w:tcPr>
            <w:tcW w:w="1825" w:type="dxa"/>
            <w:shd w:val="clear" w:color="auto" w:fill="auto"/>
            <w:tcMar>
              <w:top w:w="15" w:type="dxa"/>
              <w:left w:w="15" w:type="dxa"/>
              <w:right w:w="15" w:type="dxa"/>
            </w:tcMar>
            <w:vAlign w:val="center"/>
          </w:tcPr>
          <w:p>
            <w:pPr>
              <w:spacing w:line="240" w:lineRule="auto"/>
              <w:jc w:val="center"/>
              <w:textAlignment w:val="center"/>
              <w:rPr>
                <w:rFonts w:cs="等线" w:asciiTheme="minorEastAsia" w:hAnsiTheme="minorEastAsia" w:eastAsiaTheme="minorEastAsia"/>
                <w:b/>
                <w:color w:val="auto"/>
                <w:sz w:val="21"/>
                <w:szCs w:val="21"/>
              </w:rPr>
            </w:pPr>
            <w:r>
              <w:rPr>
                <w:rFonts w:hint="eastAsia" w:cs="等线" w:asciiTheme="minorEastAsia" w:hAnsiTheme="minorEastAsia" w:eastAsiaTheme="minorEastAsia"/>
                <w:b/>
                <w:color w:val="auto"/>
                <w:sz w:val="21"/>
                <w:szCs w:val="21"/>
                <w:lang w:bidi="ar"/>
              </w:rPr>
              <w:t>建成时间</w:t>
            </w:r>
          </w:p>
        </w:tc>
        <w:tc>
          <w:tcPr>
            <w:tcW w:w="2500" w:type="dxa"/>
            <w:gridSpan w:val="2"/>
            <w:shd w:val="clear" w:color="auto" w:fill="auto"/>
            <w:tcMar>
              <w:top w:w="15" w:type="dxa"/>
              <w:left w:w="15" w:type="dxa"/>
              <w:right w:w="15" w:type="dxa"/>
            </w:tcMar>
            <w:vAlign w:val="center"/>
          </w:tcPr>
          <w:p>
            <w:pPr>
              <w:spacing w:line="240" w:lineRule="auto"/>
              <w:jc w:val="center"/>
              <w:textAlignment w:val="center"/>
              <w:rPr>
                <w:rFonts w:hint="eastAsia" w:cs="等线" w:asciiTheme="minorEastAsia" w:hAnsiTheme="minorEastAsia" w:eastAsiaTheme="minorEastAsia"/>
                <w:color w:val="auto"/>
                <w:sz w:val="21"/>
                <w:szCs w:val="21"/>
                <w:lang w:eastAsia="zh-CN"/>
              </w:rPr>
            </w:pPr>
            <w:r>
              <w:rPr>
                <w:rFonts w:hint="eastAsia" w:cs="等线" w:asciiTheme="minorEastAsia" w:hAnsiTheme="minorEastAsia" w:eastAsiaTheme="minorEastAsia"/>
                <w:color w:val="auto"/>
                <w:sz w:val="21"/>
                <w:szCs w:val="21"/>
                <w:lang w:eastAsia="zh-CN" w:bidi="ar"/>
              </w:rPr>
              <w:t>20</w:t>
            </w:r>
            <w:r>
              <w:rPr>
                <w:rFonts w:hint="eastAsia" w:cs="等线" w:asciiTheme="minorEastAsia" w:hAnsiTheme="minorEastAsia" w:eastAsiaTheme="minorEastAsia"/>
                <w:color w:val="auto"/>
                <w:sz w:val="21"/>
                <w:szCs w:val="21"/>
                <w:lang w:val="en-US" w:eastAsia="zh-CN" w:bidi="ar"/>
              </w:rPr>
              <w:t>05</w:t>
            </w:r>
            <w:r>
              <w:rPr>
                <w:rFonts w:hint="eastAsia" w:cs="等线" w:asciiTheme="minorEastAsia" w:hAnsiTheme="minorEastAsia" w:eastAsiaTheme="minorEastAsia"/>
                <w:color w:val="auto"/>
                <w:sz w:val="21"/>
                <w:szCs w:val="21"/>
                <w:lang w:eastAsia="zh-CN" w:bidi="ar"/>
              </w:rPr>
              <w:t>年</w:t>
            </w:r>
          </w:p>
        </w:tc>
        <w:tc>
          <w:tcPr>
            <w:tcW w:w="2300" w:type="dxa"/>
            <w:gridSpan w:val="2"/>
            <w:shd w:val="clear" w:color="auto" w:fill="auto"/>
            <w:tcMar>
              <w:top w:w="15" w:type="dxa"/>
              <w:left w:w="15" w:type="dxa"/>
              <w:right w:w="15" w:type="dxa"/>
            </w:tcMar>
            <w:vAlign w:val="center"/>
          </w:tcPr>
          <w:p>
            <w:pPr>
              <w:spacing w:line="240" w:lineRule="auto"/>
              <w:jc w:val="center"/>
              <w:textAlignment w:val="center"/>
              <w:rPr>
                <w:rFonts w:cs="等线" w:asciiTheme="minorEastAsia" w:hAnsiTheme="minorEastAsia" w:eastAsiaTheme="minorEastAsia"/>
                <w:color w:val="auto"/>
                <w:sz w:val="21"/>
                <w:szCs w:val="21"/>
              </w:rPr>
            </w:pPr>
            <w:r>
              <w:rPr>
                <w:rFonts w:hint="eastAsia" w:cs="等线" w:asciiTheme="minorEastAsia" w:hAnsiTheme="minorEastAsia" w:eastAsiaTheme="minorEastAsia"/>
                <w:b/>
                <w:bCs/>
                <w:color w:val="auto"/>
                <w:sz w:val="21"/>
                <w:szCs w:val="21"/>
                <w:lang w:bidi="ar"/>
              </w:rPr>
              <w:t>使用及维护状况</w:t>
            </w:r>
          </w:p>
        </w:tc>
        <w:tc>
          <w:tcPr>
            <w:tcW w:w="2400" w:type="dxa"/>
            <w:gridSpan w:val="2"/>
            <w:shd w:val="clear" w:color="auto" w:fill="auto"/>
            <w:tcMar>
              <w:top w:w="15" w:type="dxa"/>
              <w:left w:w="15" w:type="dxa"/>
              <w:right w:w="15" w:type="dxa"/>
            </w:tcMar>
            <w:vAlign w:val="center"/>
          </w:tcPr>
          <w:p>
            <w:pPr>
              <w:spacing w:line="240" w:lineRule="auto"/>
              <w:jc w:val="center"/>
              <w:rPr>
                <w:rFonts w:hint="default" w:cs="等线" w:asciiTheme="minorEastAsia" w:hAnsiTheme="minorEastAsia" w:eastAsiaTheme="minorEastAsia"/>
                <w:color w:val="auto"/>
                <w:sz w:val="21"/>
                <w:szCs w:val="21"/>
                <w:lang w:val="en-US" w:eastAsia="zh-CN"/>
              </w:rPr>
            </w:pPr>
            <w:r>
              <w:rPr>
                <w:rFonts w:hint="eastAsia" w:cs="等线" w:asciiTheme="minorEastAsia" w:hAnsiTheme="minorEastAsia" w:eastAsiaTheme="minorEastAsia"/>
                <w:color w:val="auto"/>
                <w:sz w:val="21"/>
                <w:szCs w:val="21"/>
                <w:lang w:val="en-US" w:eastAsia="zh-CN"/>
              </w:rPr>
              <w:t>自用，维护状况良好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7"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b/>
                <w:color w:val="auto"/>
                <w:sz w:val="21"/>
                <w:szCs w:val="21"/>
              </w:rPr>
            </w:pPr>
          </w:p>
        </w:tc>
        <w:tc>
          <w:tcPr>
            <w:tcW w:w="400"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color w:val="auto"/>
                <w:sz w:val="21"/>
                <w:szCs w:val="21"/>
              </w:rPr>
            </w:pPr>
          </w:p>
        </w:tc>
        <w:tc>
          <w:tcPr>
            <w:tcW w:w="1825" w:type="dxa"/>
            <w:vMerge w:val="restart"/>
            <w:shd w:val="clear" w:color="auto" w:fill="auto"/>
            <w:tcMar>
              <w:top w:w="15" w:type="dxa"/>
              <w:left w:w="15" w:type="dxa"/>
              <w:right w:w="15" w:type="dxa"/>
            </w:tcMar>
            <w:vAlign w:val="center"/>
          </w:tcPr>
          <w:p>
            <w:pPr>
              <w:spacing w:line="240" w:lineRule="auto"/>
              <w:jc w:val="center"/>
              <w:textAlignment w:val="center"/>
              <w:rPr>
                <w:rFonts w:cs="等线" w:asciiTheme="minorEastAsia" w:hAnsiTheme="minorEastAsia" w:eastAsiaTheme="minorEastAsia"/>
                <w:b/>
                <w:color w:val="auto"/>
                <w:sz w:val="21"/>
                <w:szCs w:val="21"/>
              </w:rPr>
            </w:pPr>
            <w:r>
              <w:rPr>
                <w:rFonts w:hint="eastAsia" w:cs="等线" w:asciiTheme="minorEastAsia" w:hAnsiTheme="minorEastAsia" w:eastAsiaTheme="minorEastAsia"/>
                <w:b/>
                <w:color w:val="auto"/>
                <w:sz w:val="21"/>
                <w:szCs w:val="21"/>
                <w:lang w:bidi="ar"/>
              </w:rPr>
              <w:t>装修装饰</w:t>
            </w:r>
          </w:p>
        </w:tc>
        <w:tc>
          <w:tcPr>
            <w:tcW w:w="1338" w:type="dxa"/>
            <w:shd w:val="clear" w:color="auto" w:fill="auto"/>
            <w:tcMar>
              <w:top w:w="15" w:type="dxa"/>
              <w:left w:w="15" w:type="dxa"/>
              <w:right w:w="15" w:type="dxa"/>
            </w:tcMar>
            <w:vAlign w:val="center"/>
          </w:tcPr>
          <w:p>
            <w:pPr>
              <w:spacing w:line="240" w:lineRule="auto"/>
              <w:jc w:val="center"/>
              <w:textAlignment w:val="center"/>
              <w:rPr>
                <w:rFonts w:cs="等线" w:asciiTheme="minorEastAsia" w:hAnsiTheme="minorEastAsia" w:eastAsiaTheme="minorEastAsia"/>
                <w:b/>
                <w:bCs/>
                <w:color w:val="auto"/>
                <w:sz w:val="21"/>
                <w:szCs w:val="21"/>
              </w:rPr>
            </w:pPr>
            <w:r>
              <w:rPr>
                <w:rFonts w:hint="eastAsia" w:cs="等线" w:asciiTheme="minorEastAsia" w:hAnsiTheme="minorEastAsia" w:eastAsiaTheme="minorEastAsia"/>
                <w:b/>
                <w:bCs/>
                <w:color w:val="auto"/>
                <w:sz w:val="21"/>
                <w:szCs w:val="21"/>
                <w:lang w:bidi="ar"/>
              </w:rPr>
              <w:t>外墙面</w:t>
            </w:r>
          </w:p>
        </w:tc>
        <w:tc>
          <w:tcPr>
            <w:tcW w:w="5862" w:type="dxa"/>
            <w:gridSpan w:val="5"/>
            <w:shd w:val="clear" w:color="auto" w:fill="auto"/>
            <w:tcMar>
              <w:top w:w="15" w:type="dxa"/>
              <w:left w:w="15" w:type="dxa"/>
              <w:right w:w="15" w:type="dxa"/>
            </w:tcMar>
            <w:vAlign w:val="center"/>
          </w:tcPr>
          <w:p>
            <w:pPr>
              <w:spacing w:line="240" w:lineRule="auto"/>
              <w:jc w:val="center"/>
              <w:textAlignment w:val="center"/>
              <w:rPr>
                <w:rFonts w:hint="default" w:cs="等线" w:asciiTheme="minorEastAsia" w:hAnsiTheme="minorEastAsia" w:eastAsiaTheme="minorEastAsia"/>
                <w:color w:val="auto"/>
                <w:sz w:val="21"/>
                <w:szCs w:val="21"/>
                <w:lang w:val="en-US" w:eastAsia="zh-CN"/>
              </w:rPr>
            </w:pPr>
            <w:r>
              <w:rPr>
                <w:rFonts w:hint="eastAsia" w:cs="等线" w:asciiTheme="minorEastAsia" w:hAnsiTheme="minorEastAsia" w:eastAsiaTheme="minorEastAsia"/>
                <w:color w:val="auto"/>
                <w:sz w:val="21"/>
                <w:szCs w:val="21"/>
                <w:lang w:val="en-US" w:eastAsia="zh-CN" w:bidi="ar"/>
              </w:rPr>
              <w:t>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7"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b/>
                <w:color w:val="auto"/>
                <w:sz w:val="21"/>
                <w:szCs w:val="21"/>
              </w:rPr>
            </w:pPr>
          </w:p>
        </w:tc>
        <w:tc>
          <w:tcPr>
            <w:tcW w:w="400"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color w:val="auto"/>
                <w:sz w:val="21"/>
                <w:szCs w:val="21"/>
              </w:rPr>
            </w:pPr>
          </w:p>
        </w:tc>
        <w:tc>
          <w:tcPr>
            <w:tcW w:w="1825" w:type="dxa"/>
            <w:vMerge w:val="continue"/>
            <w:shd w:val="clear" w:color="auto" w:fill="auto"/>
            <w:tcMar>
              <w:top w:w="15" w:type="dxa"/>
              <w:left w:w="15" w:type="dxa"/>
              <w:right w:w="15" w:type="dxa"/>
            </w:tcMar>
            <w:vAlign w:val="center"/>
          </w:tcPr>
          <w:p>
            <w:pPr>
              <w:spacing w:line="240" w:lineRule="auto"/>
              <w:jc w:val="center"/>
              <w:textAlignment w:val="center"/>
              <w:rPr>
                <w:rFonts w:hint="eastAsia" w:cs="等线" w:asciiTheme="minorEastAsia" w:hAnsiTheme="minorEastAsia" w:eastAsiaTheme="minorEastAsia"/>
                <w:b/>
                <w:color w:val="auto"/>
                <w:sz w:val="21"/>
                <w:szCs w:val="21"/>
                <w:lang w:bidi="ar"/>
              </w:rPr>
            </w:pPr>
          </w:p>
        </w:tc>
        <w:tc>
          <w:tcPr>
            <w:tcW w:w="1338" w:type="dxa"/>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top"/>
              <w:rPr>
                <w:rFonts w:hint="eastAsia" w:cs="等线" w:asciiTheme="minorEastAsia" w:hAnsiTheme="minorEastAsia" w:eastAsiaTheme="minorEastAsia"/>
                <w:b/>
                <w:bCs/>
                <w:color w:val="auto"/>
                <w:sz w:val="21"/>
                <w:szCs w:val="21"/>
                <w:lang w:bidi="ar"/>
              </w:rPr>
            </w:pPr>
            <w:r>
              <w:rPr>
                <w:rFonts w:hint="eastAsia" w:cs="等线" w:asciiTheme="minorEastAsia" w:hAnsiTheme="minorEastAsia" w:eastAsiaTheme="minorEastAsia"/>
                <w:b/>
                <w:bCs/>
                <w:color w:val="auto"/>
                <w:sz w:val="21"/>
                <w:szCs w:val="21"/>
                <w:lang w:val="en-US" w:eastAsia="zh-CN" w:bidi="ar"/>
              </w:rPr>
              <w:t>室内主要装修</w:t>
            </w:r>
          </w:p>
        </w:tc>
        <w:tc>
          <w:tcPr>
            <w:tcW w:w="1162" w:type="dxa"/>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top"/>
              <w:rPr>
                <w:rFonts w:hint="default" w:cs="等线" w:asciiTheme="minorEastAsia" w:hAnsiTheme="minorEastAsia" w:eastAsiaTheme="minorEastAsia"/>
                <w:b/>
                <w:bCs/>
                <w:color w:val="auto"/>
                <w:sz w:val="21"/>
                <w:szCs w:val="21"/>
                <w:lang w:val="en-US" w:eastAsia="zh-CN" w:bidi="ar"/>
              </w:rPr>
            </w:pPr>
            <w:r>
              <w:rPr>
                <w:rFonts w:hint="eastAsia" w:cs="等线" w:asciiTheme="minorEastAsia" w:hAnsiTheme="minorEastAsia" w:eastAsiaTheme="minorEastAsia"/>
                <w:b/>
                <w:bCs/>
                <w:color w:val="auto"/>
                <w:sz w:val="21"/>
                <w:szCs w:val="21"/>
                <w:lang w:val="en-US" w:eastAsia="zh-CN" w:bidi="ar"/>
              </w:rPr>
              <w:t>墙面</w:t>
            </w:r>
          </w:p>
        </w:tc>
        <w:tc>
          <w:tcPr>
            <w:tcW w:w="1150" w:type="dxa"/>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top"/>
              <w:rPr>
                <w:rFonts w:hint="default" w:cs="等线" w:asciiTheme="minorEastAsia" w:hAnsiTheme="minorEastAsia" w:eastAsiaTheme="minorEastAsia"/>
                <w:b/>
                <w:bCs/>
                <w:color w:val="auto"/>
                <w:sz w:val="21"/>
                <w:szCs w:val="21"/>
                <w:lang w:val="en-US" w:eastAsia="zh-CN" w:bidi="ar"/>
              </w:rPr>
            </w:pPr>
            <w:r>
              <w:rPr>
                <w:rFonts w:hint="eastAsia" w:cs="等线" w:asciiTheme="minorEastAsia" w:hAnsiTheme="minorEastAsia" w:eastAsiaTheme="minorEastAsia"/>
                <w:b/>
                <w:bCs/>
                <w:color w:val="auto"/>
                <w:sz w:val="21"/>
                <w:szCs w:val="21"/>
                <w:lang w:val="en-US" w:eastAsia="zh-CN" w:bidi="ar"/>
              </w:rPr>
              <w:t>地面</w:t>
            </w:r>
          </w:p>
        </w:tc>
        <w:tc>
          <w:tcPr>
            <w:tcW w:w="1150" w:type="dxa"/>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top"/>
              <w:rPr>
                <w:rFonts w:hint="default" w:cs="等线" w:asciiTheme="minorEastAsia" w:hAnsiTheme="minorEastAsia" w:eastAsiaTheme="minorEastAsia"/>
                <w:b/>
                <w:bCs/>
                <w:color w:val="auto"/>
                <w:sz w:val="21"/>
                <w:szCs w:val="21"/>
                <w:lang w:val="en-US" w:eastAsia="zh-CN" w:bidi="ar"/>
              </w:rPr>
            </w:pPr>
            <w:r>
              <w:rPr>
                <w:rFonts w:hint="eastAsia" w:cs="等线" w:asciiTheme="minorEastAsia" w:hAnsiTheme="minorEastAsia" w:eastAsiaTheme="minorEastAsia"/>
                <w:b/>
                <w:bCs/>
                <w:color w:val="auto"/>
                <w:sz w:val="21"/>
                <w:szCs w:val="21"/>
                <w:lang w:val="en-US" w:eastAsia="zh-CN" w:bidi="ar"/>
              </w:rPr>
              <w:t>顶棚</w:t>
            </w:r>
          </w:p>
        </w:tc>
        <w:tc>
          <w:tcPr>
            <w:tcW w:w="1163" w:type="dxa"/>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top"/>
              <w:rPr>
                <w:rFonts w:hint="default" w:cs="等线" w:asciiTheme="minorEastAsia" w:hAnsiTheme="minorEastAsia" w:eastAsiaTheme="minorEastAsia"/>
                <w:b/>
                <w:bCs/>
                <w:color w:val="auto"/>
                <w:sz w:val="21"/>
                <w:szCs w:val="21"/>
                <w:lang w:val="en-US" w:eastAsia="zh-CN" w:bidi="ar"/>
              </w:rPr>
            </w:pPr>
            <w:r>
              <w:rPr>
                <w:rFonts w:hint="eastAsia" w:cs="等线" w:asciiTheme="minorEastAsia" w:hAnsiTheme="minorEastAsia" w:eastAsiaTheme="minorEastAsia"/>
                <w:b/>
                <w:bCs/>
                <w:color w:val="auto"/>
                <w:sz w:val="21"/>
                <w:szCs w:val="21"/>
                <w:lang w:val="en-US" w:eastAsia="zh-CN" w:bidi="ar"/>
              </w:rPr>
              <w:t>门</w:t>
            </w:r>
          </w:p>
        </w:tc>
        <w:tc>
          <w:tcPr>
            <w:tcW w:w="1237" w:type="dxa"/>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top"/>
              <w:rPr>
                <w:rFonts w:hint="default" w:cs="等线" w:asciiTheme="minorEastAsia" w:hAnsiTheme="minorEastAsia" w:eastAsiaTheme="minorEastAsia"/>
                <w:b/>
                <w:bCs/>
                <w:color w:val="auto"/>
                <w:sz w:val="21"/>
                <w:szCs w:val="21"/>
                <w:lang w:val="en-US" w:eastAsia="zh-CN" w:bidi="ar"/>
              </w:rPr>
            </w:pPr>
            <w:r>
              <w:rPr>
                <w:rFonts w:hint="eastAsia" w:cs="等线" w:asciiTheme="minorEastAsia" w:hAnsiTheme="minorEastAsia" w:eastAsiaTheme="minorEastAsia"/>
                <w:b/>
                <w:bCs/>
                <w:color w:val="auto"/>
                <w:sz w:val="21"/>
                <w:szCs w:val="21"/>
                <w:lang w:val="en-US" w:eastAsia="zh-CN" w:bidi="ar"/>
              </w:rPr>
              <w:t>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7"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b/>
                <w:color w:val="auto"/>
                <w:sz w:val="21"/>
                <w:szCs w:val="21"/>
              </w:rPr>
            </w:pPr>
          </w:p>
        </w:tc>
        <w:tc>
          <w:tcPr>
            <w:tcW w:w="400"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color w:val="auto"/>
                <w:sz w:val="21"/>
                <w:szCs w:val="21"/>
              </w:rPr>
            </w:pPr>
          </w:p>
        </w:tc>
        <w:tc>
          <w:tcPr>
            <w:tcW w:w="1825" w:type="dxa"/>
            <w:vMerge w:val="continue"/>
            <w:shd w:val="clear" w:color="auto" w:fill="auto"/>
            <w:tcMar>
              <w:top w:w="15" w:type="dxa"/>
              <w:left w:w="15" w:type="dxa"/>
              <w:right w:w="15" w:type="dxa"/>
            </w:tcMar>
            <w:vAlign w:val="center"/>
          </w:tcPr>
          <w:p>
            <w:pPr>
              <w:spacing w:line="240" w:lineRule="auto"/>
              <w:jc w:val="center"/>
              <w:textAlignment w:val="center"/>
              <w:rPr>
                <w:rFonts w:hint="eastAsia" w:cs="等线" w:asciiTheme="minorEastAsia" w:hAnsiTheme="minorEastAsia" w:eastAsiaTheme="minorEastAsia"/>
                <w:b/>
                <w:color w:val="auto"/>
                <w:sz w:val="21"/>
                <w:szCs w:val="21"/>
                <w:lang w:bidi="ar"/>
              </w:rPr>
            </w:pPr>
          </w:p>
        </w:tc>
        <w:tc>
          <w:tcPr>
            <w:tcW w:w="1338" w:type="dxa"/>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cs="等线" w:asciiTheme="minorEastAsia" w:hAnsiTheme="minorEastAsia" w:eastAsiaTheme="minorEastAsia"/>
                <w:b/>
                <w:bCs/>
                <w:color w:val="auto"/>
                <w:sz w:val="21"/>
                <w:szCs w:val="21"/>
                <w:lang w:val="en-US" w:eastAsia="zh-CN" w:bidi="ar"/>
              </w:rPr>
            </w:pPr>
            <w:r>
              <w:rPr>
                <w:rFonts w:hint="eastAsia" w:ascii="宋体" w:hAnsi="宋体" w:eastAsia="宋体" w:cs="宋体"/>
                <w:b/>
                <w:bCs/>
                <w:i w:val="0"/>
                <w:color w:val="000000"/>
                <w:kern w:val="0"/>
                <w:sz w:val="21"/>
                <w:szCs w:val="21"/>
                <w:highlight w:val="none"/>
                <w:u w:val="none"/>
                <w:lang w:val="en-US" w:eastAsia="zh-CN" w:bidi="ar"/>
              </w:rPr>
              <w:t>客厅</w:t>
            </w:r>
          </w:p>
        </w:tc>
        <w:tc>
          <w:tcPr>
            <w:tcW w:w="1162" w:type="dxa"/>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cs="等线" w:asciiTheme="minorEastAsia" w:hAnsiTheme="minorEastAsia" w:eastAsiaTheme="minorEastAsia"/>
                <w:color w:val="auto"/>
                <w:sz w:val="21"/>
                <w:szCs w:val="21"/>
                <w:lang w:val="en-US" w:eastAsia="zh-CN" w:bidi="ar"/>
              </w:rPr>
            </w:pPr>
            <w:r>
              <w:rPr>
                <w:rFonts w:hint="eastAsia" w:ascii="宋体" w:hAnsi="宋体" w:eastAsia="宋体" w:cs="宋体"/>
                <w:i w:val="0"/>
                <w:color w:val="000000"/>
                <w:kern w:val="0"/>
                <w:sz w:val="21"/>
                <w:szCs w:val="21"/>
                <w:highlight w:val="none"/>
                <w:u w:val="none"/>
                <w:lang w:val="en-US" w:eastAsia="zh-CN" w:bidi="ar"/>
              </w:rPr>
              <w:t>墙纸</w:t>
            </w:r>
          </w:p>
        </w:tc>
        <w:tc>
          <w:tcPr>
            <w:tcW w:w="1150" w:type="dxa"/>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top"/>
              <w:rPr>
                <w:rFonts w:hint="default" w:cs="等线" w:asciiTheme="minorEastAsia" w:hAnsiTheme="minorEastAsia" w:eastAsiaTheme="minorEastAsia"/>
                <w:color w:val="auto"/>
                <w:sz w:val="21"/>
                <w:szCs w:val="21"/>
                <w:lang w:val="en-US" w:eastAsia="zh-CN" w:bidi="ar"/>
              </w:rPr>
            </w:pPr>
            <w:r>
              <w:rPr>
                <w:rFonts w:hint="eastAsia" w:ascii="宋体" w:hAnsi="宋体" w:eastAsia="宋体" w:cs="宋体"/>
                <w:i w:val="0"/>
                <w:color w:val="000000"/>
                <w:kern w:val="0"/>
                <w:sz w:val="21"/>
                <w:szCs w:val="21"/>
                <w:highlight w:val="none"/>
                <w:u w:val="none"/>
                <w:lang w:val="en-US" w:eastAsia="zh-CN" w:bidi="ar"/>
              </w:rPr>
              <w:t>木地板</w:t>
            </w:r>
          </w:p>
        </w:tc>
        <w:tc>
          <w:tcPr>
            <w:tcW w:w="1150" w:type="dxa"/>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cs="等线" w:asciiTheme="minorEastAsia" w:hAnsiTheme="minorEastAsia" w:eastAsiaTheme="minorEastAsia"/>
                <w:color w:val="auto"/>
                <w:sz w:val="21"/>
                <w:szCs w:val="21"/>
                <w:lang w:val="en-US" w:eastAsia="zh-CN" w:bidi="ar"/>
              </w:rPr>
            </w:pPr>
            <w:r>
              <w:rPr>
                <w:rFonts w:hint="eastAsia" w:ascii="宋体" w:hAnsi="宋体" w:eastAsia="宋体" w:cs="宋体"/>
                <w:i w:val="0"/>
                <w:color w:val="000000"/>
                <w:kern w:val="0"/>
                <w:sz w:val="21"/>
                <w:szCs w:val="21"/>
                <w:highlight w:val="none"/>
                <w:u w:val="none"/>
                <w:lang w:val="en-US" w:eastAsia="zh-CN" w:bidi="ar"/>
              </w:rPr>
              <w:t>乳胶漆</w:t>
            </w:r>
          </w:p>
        </w:tc>
        <w:tc>
          <w:tcPr>
            <w:tcW w:w="1163" w:type="dxa"/>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cs="等线" w:asciiTheme="minorEastAsia" w:hAnsiTheme="minorEastAsia" w:eastAsiaTheme="minorEastAsia"/>
                <w:color w:val="auto"/>
                <w:sz w:val="21"/>
                <w:szCs w:val="21"/>
                <w:lang w:val="en-US" w:eastAsia="zh-CN" w:bidi="ar"/>
              </w:rPr>
            </w:pPr>
            <w:r>
              <w:rPr>
                <w:rFonts w:hint="eastAsia" w:ascii="宋体" w:hAnsi="宋体" w:eastAsia="宋体" w:cs="宋体"/>
                <w:i w:val="0"/>
                <w:color w:val="000000"/>
                <w:kern w:val="0"/>
                <w:sz w:val="21"/>
                <w:szCs w:val="21"/>
                <w:highlight w:val="none"/>
                <w:u w:val="none"/>
                <w:lang w:val="en-US" w:eastAsia="zh-CN" w:bidi="ar"/>
              </w:rPr>
              <w:t>防盗门</w:t>
            </w:r>
          </w:p>
        </w:tc>
        <w:tc>
          <w:tcPr>
            <w:tcW w:w="1237" w:type="dxa"/>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cs="等线" w:asciiTheme="minorEastAsia" w:hAnsiTheme="minorEastAsia" w:eastAsiaTheme="minorEastAsia"/>
                <w:color w:val="auto"/>
                <w:sz w:val="21"/>
                <w:szCs w:val="21"/>
                <w:lang w:val="en-US" w:eastAsia="zh-CN" w:bidi="ar"/>
              </w:rPr>
            </w:pPr>
            <w:r>
              <w:rPr>
                <w:rFonts w:hint="eastAsia" w:ascii="宋体" w:hAnsi="宋体" w:eastAsia="宋体" w:cs="宋体"/>
                <w:i w:val="0"/>
                <w:color w:val="000000"/>
                <w:kern w:val="0"/>
                <w:sz w:val="21"/>
                <w:szCs w:val="21"/>
                <w:highlight w:val="none"/>
                <w:u w:val="none"/>
                <w:lang w:val="en-US" w:eastAsia="zh-CN" w:bidi="ar"/>
              </w:rPr>
              <w:t>铝合金窗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7"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b/>
                <w:color w:val="auto"/>
                <w:sz w:val="21"/>
                <w:szCs w:val="21"/>
              </w:rPr>
            </w:pPr>
          </w:p>
        </w:tc>
        <w:tc>
          <w:tcPr>
            <w:tcW w:w="400"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color w:val="auto"/>
                <w:sz w:val="21"/>
                <w:szCs w:val="21"/>
              </w:rPr>
            </w:pPr>
          </w:p>
        </w:tc>
        <w:tc>
          <w:tcPr>
            <w:tcW w:w="1825" w:type="dxa"/>
            <w:vMerge w:val="continue"/>
            <w:shd w:val="clear" w:color="auto" w:fill="auto"/>
            <w:tcMar>
              <w:top w:w="15" w:type="dxa"/>
              <w:left w:w="15" w:type="dxa"/>
              <w:right w:w="15" w:type="dxa"/>
            </w:tcMar>
            <w:vAlign w:val="center"/>
          </w:tcPr>
          <w:p>
            <w:pPr>
              <w:spacing w:line="240" w:lineRule="auto"/>
              <w:jc w:val="center"/>
              <w:textAlignment w:val="center"/>
              <w:rPr>
                <w:rFonts w:hint="eastAsia" w:cs="等线" w:asciiTheme="minorEastAsia" w:hAnsiTheme="minorEastAsia" w:eastAsiaTheme="minorEastAsia"/>
                <w:b/>
                <w:color w:val="auto"/>
                <w:sz w:val="21"/>
                <w:szCs w:val="21"/>
                <w:lang w:bidi="ar"/>
              </w:rPr>
            </w:pPr>
          </w:p>
        </w:tc>
        <w:tc>
          <w:tcPr>
            <w:tcW w:w="1338" w:type="dxa"/>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cs="等线" w:asciiTheme="minorEastAsia" w:hAnsiTheme="minorEastAsia" w:eastAsiaTheme="minorEastAsia"/>
                <w:b/>
                <w:bCs/>
                <w:color w:val="auto"/>
                <w:sz w:val="21"/>
                <w:szCs w:val="21"/>
                <w:lang w:val="en-US" w:eastAsia="zh-CN" w:bidi="ar"/>
              </w:rPr>
            </w:pPr>
            <w:r>
              <w:rPr>
                <w:rFonts w:hint="eastAsia" w:ascii="宋体" w:hAnsi="宋体" w:eastAsia="宋体" w:cs="宋体"/>
                <w:b/>
                <w:bCs/>
                <w:i w:val="0"/>
                <w:color w:val="000000"/>
                <w:kern w:val="0"/>
                <w:sz w:val="21"/>
                <w:szCs w:val="21"/>
                <w:highlight w:val="none"/>
                <w:u w:val="none"/>
                <w:lang w:val="en-US" w:eastAsia="zh-CN" w:bidi="ar"/>
              </w:rPr>
              <w:t>卧室</w:t>
            </w:r>
          </w:p>
        </w:tc>
        <w:tc>
          <w:tcPr>
            <w:tcW w:w="1162" w:type="dxa"/>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cs="等线" w:asciiTheme="minorEastAsia" w:hAnsiTheme="minorEastAsia" w:eastAsiaTheme="minorEastAsia"/>
                <w:color w:val="auto"/>
                <w:sz w:val="21"/>
                <w:szCs w:val="21"/>
                <w:lang w:val="en-US" w:eastAsia="zh-CN" w:bidi="ar"/>
              </w:rPr>
            </w:pPr>
            <w:r>
              <w:rPr>
                <w:rFonts w:hint="eastAsia" w:ascii="宋体" w:hAnsi="宋体" w:eastAsia="宋体" w:cs="宋体"/>
                <w:i w:val="0"/>
                <w:color w:val="000000"/>
                <w:kern w:val="0"/>
                <w:sz w:val="21"/>
                <w:szCs w:val="21"/>
                <w:highlight w:val="none"/>
                <w:u w:val="none"/>
                <w:lang w:val="en-US" w:eastAsia="zh-CN" w:bidi="ar"/>
              </w:rPr>
              <w:t>墙纸</w:t>
            </w:r>
          </w:p>
        </w:tc>
        <w:tc>
          <w:tcPr>
            <w:tcW w:w="1150" w:type="dxa"/>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top"/>
              <w:rPr>
                <w:rFonts w:hint="eastAsia" w:cs="等线" w:asciiTheme="minorEastAsia" w:hAnsiTheme="minorEastAsia" w:eastAsiaTheme="minorEastAsia"/>
                <w:color w:val="auto"/>
                <w:sz w:val="21"/>
                <w:szCs w:val="21"/>
                <w:lang w:val="en-US" w:eastAsia="zh-CN" w:bidi="ar"/>
              </w:rPr>
            </w:pPr>
            <w:r>
              <w:rPr>
                <w:rFonts w:hint="eastAsia" w:ascii="宋体" w:hAnsi="宋体" w:eastAsia="宋体" w:cs="宋体"/>
                <w:i w:val="0"/>
                <w:color w:val="000000"/>
                <w:kern w:val="0"/>
                <w:sz w:val="21"/>
                <w:szCs w:val="21"/>
                <w:highlight w:val="none"/>
                <w:u w:val="none"/>
                <w:lang w:val="en-US" w:eastAsia="zh-CN" w:bidi="ar"/>
              </w:rPr>
              <w:t>木地板</w:t>
            </w:r>
          </w:p>
        </w:tc>
        <w:tc>
          <w:tcPr>
            <w:tcW w:w="1150" w:type="dxa"/>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cs="等线" w:asciiTheme="minorEastAsia" w:hAnsiTheme="minorEastAsia" w:eastAsiaTheme="minorEastAsia"/>
                <w:color w:val="auto"/>
                <w:sz w:val="21"/>
                <w:szCs w:val="21"/>
                <w:lang w:val="en-US" w:eastAsia="zh-CN" w:bidi="ar"/>
              </w:rPr>
            </w:pPr>
            <w:r>
              <w:rPr>
                <w:rFonts w:hint="eastAsia" w:ascii="宋体" w:hAnsi="宋体" w:eastAsia="宋体" w:cs="宋体"/>
                <w:i w:val="0"/>
                <w:color w:val="000000"/>
                <w:kern w:val="0"/>
                <w:sz w:val="21"/>
                <w:szCs w:val="21"/>
                <w:highlight w:val="none"/>
                <w:u w:val="none"/>
                <w:lang w:val="en-US" w:eastAsia="zh-CN" w:bidi="ar"/>
              </w:rPr>
              <w:t>乳胶漆</w:t>
            </w:r>
          </w:p>
        </w:tc>
        <w:tc>
          <w:tcPr>
            <w:tcW w:w="1163" w:type="dxa"/>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cs="等线" w:asciiTheme="minorEastAsia" w:hAnsiTheme="minorEastAsia" w:eastAsiaTheme="minorEastAsia"/>
                <w:color w:val="auto"/>
                <w:sz w:val="21"/>
                <w:szCs w:val="21"/>
                <w:lang w:val="en-US" w:eastAsia="zh-CN" w:bidi="ar"/>
              </w:rPr>
            </w:pPr>
            <w:r>
              <w:rPr>
                <w:rFonts w:hint="eastAsia" w:ascii="宋体" w:hAnsi="宋体" w:eastAsia="宋体" w:cs="宋体"/>
                <w:i w:val="0"/>
                <w:color w:val="000000"/>
                <w:kern w:val="0"/>
                <w:sz w:val="21"/>
                <w:szCs w:val="21"/>
                <w:highlight w:val="none"/>
                <w:u w:val="none"/>
                <w:lang w:val="en-US" w:eastAsia="zh-CN" w:bidi="ar"/>
              </w:rPr>
              <w:t>木门</w:t>
            </w:r>
          </w:p>
        </w:tc>
        <w:tc>
          <w:tcPr>
            <w:tcW w:w="1237" w:type="dxa"/>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cs="等线" w:asciiTheme="minorEastAsia" w:hAnsiTheme="minorEastAsia" w:eastAsiaTheme="minorEastAsia"/>
                <w:color w:val="auto"/>
                <w:sz w:val="21"/>
                <w:szCs w:val="21"/>
                <w:lang w:val="en-US" w:eastAsia="zh-CN" w:bidi="ar"/>
              </w:rPr>
            </w:pPr>
            <w:r>
              <w:rPr>
                <w:rFonts w:hint="eastAsia" w:ascii="宋体" w:hAnsi="宋体" w:eastAsia="宋体" w:cs="宋体"/>
                <w:i w:val="0"/>
                <w:color w:val="000000"/>
                <w:kern w:val="0"/>
                <w:sz w:val="21"/>
                <w:szCs w:val="21"/>
                <w:highlight w:val="none"/>
                <w:u w:val="none"/>
                <w:lang w:val="en-US" w:eastAsia="zh-CN" w:bidi="ar"/>
              </w:rPr>
              <w:t>铝合金窗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7"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b/>
                <w:color w:val="auto"/>
                <w:sz w:val="21"/>
                <w:szCs w:val="21"/>
              </w:rPr>
            </w:pPr>
          </w:p>
        </w:tc>
        <w:tc>
          <w:tcPr>
            <w:tcW w:w="400"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color w:val="auto"/>
                <w:sz w:val="21"/>
                <w:szCs w:val="21"/>
              </w:rPr>
            </w:pPr>
          </w:p>
        </w:tc>
        <w:tc>
          <w:tcPr>
            <w:tcW w:w="1825" w:type="dxa"/>
            <w:vMerge w:val="continue"/>
            <w:shd w:val="clear" w:color="auto" w:fill="auto"/>
            <w:tcMar>
              <w:top w:w="15" w:type="dxa"/>
              <w:left w:w="15" w:type="dxa"/>
              <w:right w:w="15" w:type="dxa"/>
            </w:tcMar>
            <w:vAlign w:val="center"/>
          </w:tcPr>
          <w:p>
            <w:pPr>
              <w:spacing w:line="240" w:lineRule="auto"/>
              <w:jc w:val="center"/>
              <w:textAlignment w:val="center"/>
              <w:rPr>
                <w:rFonts w:hint="eastAsia" w:cs="等线" w:asciiTheme="minorEastAsia" w:hAnsiTheme="minorEastAsia" w:eastAsiaTheme="minorEastAsia"/>
                <w:b/>
                <w:color w:val="auto"/>
                <w:sz w:val="21"/>
                <w:szCs w:val="21"/>
                <w:lang w:bidi="ar"/>
              </w:rPr>
            </w:pPr>
          </w:p>
        </w:tc>
        <w:tc>
          <w:tcPr>
            <w:tcW w:w="1338" w:type="dxa"/>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cs="等线" w:asciiTheme="minorEastAsia" w:hAnsiTheme="minorEastAsia" w:eastAsiaTheme="minorEastAsia"/>
                <w:b/>
                <w:bCs/>
                <w:color w:val="auto"/>
                <w:sz w:val="21"/>
                <w:szCs w:val="21"/>
                <w:lang w:val="en-US" w:eastAsia="zh-CN" w:bidi="ar"/>
              </w:rPr>
            </w:pPr>
            <w:r>
              <w:rPr>
                <w:rFonts w:hint="eastAsia" w:ascii="宋体" w:hAnsi="宋体" w:eastAsia="宋体" w:cs="宋体"/>
                <w:b/>
                <w:bCs/>
                <w:i w:val="0"/>
                <w:color w:val="000000"/>
                <w:kern w:val="0"/>
                <w:sz w:val="21"/>
                <w:szCs w:val="21"/>
                <w:highlight w:val="none"/>
                <w:u w:val="none"/>
                <w:lang w:val="en-US" w:eastAsia="zh-CN" w:bidi="ar"/>
              </w:rPr>
              <w:t>厨房</w:t>
            </w:r>
          </w:p>
        </w:tc>
        <w:tc>
          <w:tcPr>
            <w:tcW w:w="1162" w:type="dxa"/>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cs="等线" w:asciiTheme="minorEastAsia" w:hAnsiTheme="minorEastAsia" w:eastAsiaTheme="minorEastAsia"/>
                <w:color w:val="auto"/>
                <w:sz w:val="21"/>
                <w:szCs w:val="21"/>
                <w:lang w:val="en-US" w:eastAsia="zh-CN" w:bidi="ar"/>
              </w:rPr>
            </w:pPr>
            <w:r>
              <w:rPr>
                <w:rFonts w:hint="eastAsia" w:ascii="宋体" w:hAnsi="宋体" w:eastAsia="宋体" w:cs="宋体"/>
                <w:i w:val="0"/>
                <w:color w:val="000000"/>
                <w:kern w:val="0"/>
                <w:sz w:val="21"/>
                <w:szCs w:val="21"/>
                <w:highlight w:val="none"/>
                <w:u w:val="none"/>
                <w:lang w:val="en-US" w:eastAsia="zh-CN" w:bidi="ar"/>
              </w:rPr>
              <w:t>墙砖</w:t>
            </w:r>
          </w:p>
        </w:tc>
        <w:tc>
          <w:tcPr>
            <w:tcW w:w="1150" w:type="dxa"/>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top"/>
              <w:rPr>
                <w:rFonts w:hint="eastAsia" w:cs="等线" w:asciiTheme="minorEastAsia" w:hAnsiTheme="minorEastAsia" w:eastAsiaTheme="minorEastAsia"/>
                <w:color w:val="auto"/>
                <w:sz w:val="21"/>
                <w:szCs w:val="21"/>
                <w:lang w:val="en-US" w:eastAsia="zh-CN" w:bidi="ar"/>
              </w:rPr>
            </w:pPr>
            <w:r>
              <w:rPr>
                <w:rFonts w:hint="eastAsia" w:ascii="宋体" w:hAnsi="宋体" w:eastAsia="宋体" w:cs="宋体"/>
                <w:i w:val="0"/>
                <w:color w:val="000000"/>
                <w:kern w:val="0"/>
                <w:sz w:val="21"/>
                <w:szCs w:val="21"/>
                <w:highlight w:val="none"/>
                <w:u w:val="none"/>
                <w:lang w:val="en-US" w:eastAsia="zh-CN" w:bidi="ar"/>
              </w:rPr>
              <w:t>地砖</w:t>
            </w:r>
          </w:p>
        </w:tc>
        <w:tc>
          <w:tcPr>
            <w:tcW w:w="1150" w:type="dxa"/>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cs="等线" w:asciiTheme="minorEastAsia" w:hAnsiTheme="minorEastAsia" w:eastAsiaTheme="minorEastAsia"/>
                <w:color w:val="auto"/>
                <w:sz w:val="21"/>
                <w:szCs w:val="21"/>
                <w:lang w:val="en-US" w:eastAsia="zh-CN" w:bidi="ar"/>
              </w:rPr>
            </w:pPr>
            <w:r>
              <w:rPr>
                <w:rFonts w:hint="eastAsia" w:ascii="宋体" w:hAnsi="宋体" w:eastAsia="宋体" w:cs="宋体"/>
                <w:i w:val="0"/>
                <w:color w:val="000000"/>
                <w:kern w:val="0"/>
                <w:sz w:val="21"/>
                <w:szCs w:val="21"/>
                <w:highlight w:val="none"/>
                <w:u w:val="none"/>
                <w:lang w:val="en-US" w:eastAsia="zh-CN" w:bidi="ar"/>
              </w:rPr>
              <w:t>复合扣板</w:t>
            </w:r>
          </w:p>
        </w:tc>
        <w:tc>
          <w:tcPr>
            <w:tcW w:w="1163" w:type="dxa"/>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cs="等线" w:asciiTheme="minorEastAsia" w:hAnsiTheme="minorEastAsia" w:eastAsiaTheme="minorEastAsia"/>
                <w:color w:val="auto"/>
                <w:sz w:val="21"/>
                <w:szCs w:val="21"/>
                <w:lang w:val="en-US" w:eastAsia="zh-CN" w:bidi="ar"/>
              </w:rPr>
            </w:pPr>
            <w:r>
              <w:rPr>
                <w:rFonts w:hint="eastAsia" w:ascii="宋体" w:hAnsi="宋体" w:eastAsia="宋体" w:cs="宋体"/>
                <w:i w:val="0"/>
                <w:color w:val="000000"/>
                <w:kern w:val="0"/>
                <w:sz w:val="21"/>
                <w:szCs w:val="21"/>
                <w:highlight w:val="none"/>
                <w:u w:val="none"/>
                <w:lang w:val="en-US" w:eastAsia="zh-CN" w:bidi="ar"/>
              </w:rPr>
              <w:t>木框玻璃推拉门</w:t>
            </w:r>
          </w:p>
        </w:tc>
        <w:tc>
          <w:tcPr>
            <w:tcW w:w="1237" w:type="dxa"/>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cs="等线" w:asciiTheme="minorEastAsia" w:hAnsiTheme="minorEastAsia" w:eastAsiaTheme="minorEastAsia"/>
                <w:color w:val="auto"/>
                <w:sz w:val="21"/>
                <w:szCs w:val="21"/>
                <w:lang w:val="en-US" w:eastAsia="zh-CN" w:bidi="ar"/>
              </w:rPr>
            </w:pPr>
            <w:r>
              <w:rPr>
                <w:rFonts w:hint="eastAsia" w:ascii="宋体" w:hAnsi="宋体" w:eastAsia="宋体" w:cs="宋体"/>
                <w:i w:val="0"/>
                <w:color w:val="000000"/>
                <w:kern w:val="0"/>
                <w:sz w:val="21"/>
                <w:szCs w:val="21"/>
                <w:highlight w:val="none"/>
                <w:u w:val="none"/>
                <w:lang w:val="en-US" w:eastAsia="zh-CN" w:bidi="ar"/>
              </w:rPr>
              <w:t>铝合金窗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7"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b/>
                <w:color w:val="auto"/>
                <w:sz w:val="21"/>
                <w:szCs w:val="21"/>
              </w:rPr>
            </w:pPr>
          </w:p>
        </w:tc>
        <w:tc>
          <w:tcPr>
            <w:tcW w:w="400"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color w:val="auto"/>
                <w:sz w:val="21"/>
                <w:szCs w:val="21"/>
              </w:rPr>
            </w:pPr>
          </w:p>
        </w:tc>
        <w:tc>
          <w:tcPr>
            <w:tcW w:w="1825" w:type="dxa"/>
            <w:vMerge w:val="continue"/>
            <w:shd w:val="clear" w:color="auto" w:fill="auto"/>
            <w:tcMar>
              <w:top w:w="15" w:type="dxa"/>
              <w:left w:w="15" w:type="dxa"/>
              <w:right w:w="15" w:type="dxa"/>
            </w:tcMar>
            <w:vAlign w:val="center"/>
          </w:tcPr>
          <w:p>
            <w:pPr>
              <w:spacing w:line="240" w:lineRule="auto"/>
              <w:jc w:val="center"/>
              <w:textAlignment w:val="center"/>
              <w:rPr>
                <w:rFonts w:hint="eastAsia" w:cs="等线" w:asciiTheme="minorEastAsia" w:hAnsiTheme="minorEastAsia" w:eastAsiaTheme="minorEastAsia"/>
                <w:b/>
                <w:color w:val="auto"/>
                <w:sz w:val="21"/>
                <w:szCs w:val="21"/>
                <w:lang w:bidi="ar"/>
              </w:rPr>
            </w:pPr>
          </w:p>
        </w:tc>
        <w:tc>
          <w:tcPr>
            <w:tcW w:w="1338" w:type="dxa"/>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cs="等线" w:asciiTheme="minorEastAsia" w:hAnsiTheme="minorEastAsia" w:eastAsiaTheme="minorEastAsia"/>
                <w:b/>
                <w:bCs/>
                <w:color w:val="auto"/>
                <w:sz w:val="21"/>
                <w:szCs w:val="21"/>
                <w:lang w:val="en-US" w:eastAsia="zh-CN" w:bidi="ar"/>
              </w:rPr>
            </w:pPr>
            <w:r>
              <w:rPr>
                <w:rFonts w:hint="eastAsia" w:ascii="宋体" w:hAnsi="宋体" w:eastAsia="宋体" w:cs="宋体"/>
                <w:b/>
                <w:bCs/>
                <w:i w:val="0"/>
                <w:color w:val="000000"/>
                <w:kern w:val="0"/>
                <w:sz w:val="21"/>
                <w:szCs w:val="21"/>
                <w:highlight w:val="none"/>
                <w:u w:val="none"/>
                <w:lang w:val="en-US" w:eastAsia="zh-CN" w:bidi="ar"/>
              </w:rPr>
              <w:t>卫生间</w:t>
            </w:r>
          </w:p>
        </w:tc>
        <w:tc>
          <w:tcPr>
            <w:tcW w:w="1162" w:type="dxa"/>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cs="等线" w:asciiTheme="minorEastAsia" w:hAnsiTheme="minorEastAsia" w:eastAsiaTheme="minorEastAsia"/>
                <w:color w:val="auto"/>
                <w:sz w:val="21"/>
                <w:szCs w:val="21"/>
                <w:lang w:val="en-US" w:eastAsia="zh-CN" w:bidi="ar"/>
              </w:rPr>
            </w:pPr>
            <w:r>
              <w:rPr>
                <w:rFonts w:hint="eastAsia" w:ascii="宋体" w:hAnsi="宋体" w:eastAsia="宋体" w:cs="宋体"/>
                <w:i w:val="0"/>
                <w:color w:val="000000"/>
                <w:kern w:val="0"/>
                <w:sz w:val="21"/>
                <w:szCs w:val="21"/>
                <w:highlight w:val="none"/>
                <w:u w:val="none"/>
                <w:lang w:val="en-US" w:eastAsia="zh-CN" w:bidi="ar"/>
              </w:rPr>
              <w:t>墙砖</w:t>
            </w:r>
          </w:p>
        </w:tc>
        <w:tc>
          <w:tcPr>
            <w:tcW w:w="1150" w:type="dxa"/>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cs="等线" w:asciiTheme="minorEastAsia" w:hAnsiTheme="minorEastAsia" w:eastAsiaTheme="minorEastAsia"/>
                <w:color w:val="auto"/>
                <w:sz w:val="21"/>
                <w:szCs w:val="21"/>
                <w:lang w:val="en-US" w:eastAsia="zh-CN" w:bidi="ar"/>
              </w:rPr>
            </w:pPr>
            <w:r>
              <w:rPr>
                <w:rFonts w:hint="eastAsia" w:ascii="宋体" w:hAnsi="宋体" w:eastAsia="宋体" w:cs="宋体"/>
                <w:i w:val="0"/>
                <w:color w:val="000000"/>
                <w:kern w:val="0"/>
                <w:sz w:val="21"/>
                <w:szCs w:val="21"/>
                <w:highlight w:val="none"/>
                <w:u w:val="none"/>
                <w:lang w:val="en-US" w:eastAsia="zh-CN" w:bidi="ar"/>
              </w:rPr>
              <w:t>地砖</w:t>
            </w:r>
          </w:p>
        </w:tc>
        <w:tc>
          <w:tcPr>
            <w:tcW w:w="1150" w:type="dxa"/>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cs="等线" w:asciiTheme="minorEastAsia" w:hAnsiTheme="minorEastAsia" w:eastAsiaTheme="minorEastAsia"/>
                <w:color w:val="auto"/>
                <w:sz w:val="21"/>
                <w:szCs w:val="21"/>
                <w:lang w:val="en-US" w:eastAsia="zh-CN" w:bidi="ar"/>
              </w:rPr>
            </w:pPr>
            <w:r>
              <w:rPr>
                <w:rFonts w:hint="eastAsia" w:ascii="宋体" w:hAnsi="宋体" w:eastAsia="宋体" w:cs="宋体"/>
                <w:i w:val="0"/>
                <w:color w:val="000000"/>
                <w:kern w:val="0"/>
                <w:sz w:val="21"/>
                <w:szCs w:val="21"/>
                <w:highlight w:val="none"/>
                <w:u w:val="none"/>
                <w:lang w:val="en-US" w:eastAsia="zh-CN" w:bidi="ar"/>
              </w:rPr>
              <w:t>复合扣板</w:t>
            </w:r>
          </w:p>
        </w:tc>
        <w:tc>
          <w:tcPr>
            <w:tcW w:w="1163" w:type="dxa"/>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cs="等线" w:asciiTheme="minorEastAsia" w:hAnsiTheme="minorEastAsia" w:eastAsiaTheme="minorEastAsia"/>
                <w:color w:val="auto"/>
                <w:sz w:val="21"/>
                <w:szCs w:val="21"/>
                <w:lang w:val="en-US" w:eastAsia="zh-CN" w:bidi="ar"/>
              </w:rPr>
            </w:pPr>
            <w:r>
              <w:rPr>
                <w:rFonts w:hint="eastAsia" w:ascii="宋体" w:hAnsi="宋体" w:eastAsia="宋体" w:cs="宋体"/>
                <w:i w:val="0"/>
                <w:color w:val="000000"/>
                <w:kern w:val="0"/>
                <w:sz w:val="21"/>
                <w:szCs w:val="21"/>
                <w:highlight w:val="none"/>
                <w:u w:val="none"/>
                <w:lang w:val="en-US" w:eastAsia="zh-CN" w:bidi="ar"/>
              </w:rPr>
              <w:t>木框磨砂玻璃门</w:t>
            </w:r>
          </w:p>
        </w:tc>
        <w:tc>
          <w:tcPr>
            <w:tcW w:w="1237" w:type="dxa"/>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cs="等线" w:asciiTheme="minorEastAsia" w:hAnsiTheme="minorEastAsia" w:eastAsiaTheme="minorEastAsia"/>
                <w:color w:val="auto"/>
                <w:sz w:val="21"/>
                <w:szCs w:val="21"/>
                <w:lang w:val="en-US" w:eastAsia="zh-CN" w:bidi="ar"/>
              </w:rPr>
            </w:pPr>
            <w:r>
              <w:rPr>
                <w:rFonts w:hint="eastAsia" w:ascii="宋体" w:hAnsi="宋体" w:eastAsia="宋体" w:cs="宋体"/>
                <w:i w:val="0"/>
                <w:color w:val="000000"/>
                <w:kern w:val="0"/>
                <w:sz w:val="21"/>
                <w:szCs w:val="21"/>
                <w:highlight w:val="none"/>
                <w:u w:val="none"/>
                <w:lang w:val="en-US" w:eastAsia="zh-CN" w:bidi="ar"/>
              </w:rPr>
              <w:t>铝合金窗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7"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b/>
                <w:color w:val="auto"/>
                <w:sz w:val="21"/>
                <w:szCs w:val="21"/>
              </w:rPr>
            </w:pPr>
          </w:p>
        </w:tc>
        <w:tc>
          <w:tcPr>
            <w:tcW w:w="400" w:type="dxa"/>
            <w:vMerge w:val="restart"/>
            <w:shd w:val="clear" w:color="auto" w:fill="auto"/>
            <w:tcMar>
              <w:top w:w="15" w:type="dxa"/>
              <w:left w:w="15" w:type="dxa"/>
              <w:right w:w="15" w:type="dxa"/>
            </w:tcMar>
            <w:vAlign w:val="center"/>
          </w:tcPr>
          <w:p>
            <w:pPr>
              <w:spacing w:line="240" w:lineRule="auto"/>
              <w:jc w:val="center"/>
              <w:textAlignment w:val="center"/>
              <w:rPr>
                <w:rFonts w:cs="等线" w:asciiTheme="minorEastAsia" w:hAnsiTheme="minorEastAsia" w:eastAsiaTheme="minorEastAsia"/>
                <w:b/>
                <w:bCs/>
                <w:color w:val="auto"/>
                <w:sz w:val="21"/>
                <w:szCs w:val="21"/>
              </w:rPr>
            </w:pPr>
            <w:r>
              <w:rPr>
                <w:rFonts w:hint="eastAsia" w:cs="等线" w:asciiTheme="minorEastAsia" w:hAnsiTheme="minorEastAsia" w:eastAsiaTheme="minorEastAsia"/>
                <w:b/>
                <w:bCs/>
                <w:color w:val="auto"/>
                <w:sz w:val="21"/>
                <w:szCs w:val="21"/>
                <w:lang w:bidi="ar"/>
              </w:rPr>
              <w:t>土地</w:t>
            </w:r>
          </w:p>
        </w:tc>
        <w:tc>
          <w:tcPr>
            <w:tcW w:w="1825" w:type="dxa"/>
            <w:shd w:val="clear" w:color="auto" w:fill="auto"/>
            <w:noWrap/>
            <w:tcMar>
              <w:top w:w="15" w:type="dxa"/>
              <w:left w:w="15" w:type="dxa"/>
              <w:right w:w="15" w:type="dxa"/>
            </w:tcMar>
            <w:vAlign w:val="center"/>
          </w:tcPr>
          <w:p>
            <w:pPr>
              <w:spacing w:line="240" w:lineRule="auto"/>
              <w:jc w:val="center"/>
              <w:textAlignment w:val="center"/>
              <w:rPr>
                <w:rFonts w:cs="等线" w:asciiTheme="minorEastAsia" w:hAnsiTheme="minorEastAsia" w:eastAsiaTheme="minorEastAsia"/>
                <w:b/>
                <w:bCs/>
                <w:color w:val="auto"/>
                <w:sz w:val="21"/>
                <w:szCs w:val="21"/>
              </w:rPr>
            </w:pPr>
            <w:r>
              <w:rPr>
                <w:rFonts w:hint="eastAsia" w:cs="等线" w:asciiTheme="minorEastAsia" w:hAnsiTheme="minorEastAsia" w:eastAsiaTheme="minorEastAsia"/>
                <w:b/>
                <w:bCs/>
                <w:color w:val="auto"/>
                <w:sz w:val="21"/>
                <w:szCs w:val="21"/>
                <w:lang w:val="en-US" w:eastAsia="zh-CN" w:bidi="ar"/>
              </w:rPr>
              <w:t>分摊</w:t>
            </w:r>
            <w:r>
              <w:rPr>
                <w:rFonts w:hint="eastAsia" w:cs="等线" w:asciiTheme="minorEastAsia" w:hAnsiTheme="minorEastAsia" w:eastAsiaTheme="minorEastAsia"/>
                <w:b/>
                <w:bCs/>
                <w:color w:val="auto"/>
                <w:sz w:val="21"/>
                <w:szCs w:val="21"/>
                <w:lang w:bidi="ar"/>
              </w:rPr>
              <w:t>面积（㎡）</w:t>
            </w:r>
          </w:p>
        </w:tc>
        <w:tc>
          <w:tcPr>
            <w:tcW w:w="1338" w:type="dxa"/>
            <w:shd w:val="clear" w:color="auto" w:fill="auto"/>
            <w:noWrap/>
            <w:tcMar>
              <w:top w:w="15" w:type="dxa"/>
              <w:left w:w="15" w:type="dxa"/>
              <w:right w:w="15" w:type="dxa"/>
            </w:tcMar>
            <w:vAlign w:val="center"/>
          </w:tcPr>
          <w:p>
            <w:pPr>
              <w:spacing w:line="240" w:lineRule="auto"/>
              <w:jc w:val="center"/>
              <w:rPr>
                <w:rFonts w:hint="default" w:cs="等线" w:asciiTheme="minorEastAsia" w:hAnsiTheme="minorEastAsia" w:eastAsiaTheme="minorEastAsia"/>
                <w:b/>
                <w:bCs/>
                <w:color w:val="auto"/>
                <w:sz w:val="21"/>
                <w:szCs w:val="21"/>
                <w:lang w:val="en-US" w:eastAsia="zh-CN"/>
              </w:rPr>
            </w:pPr>
            <w:r>
              <w:rPr>
                <w:rFonts w:hint="eastAsia" w:cs="等线" w:asciiTheme="minorEastAsia" w:hAnsiTheme="minorEastAsia" w:eastAsiaTheme="minorEastAsia"/>
                <w:b w:val="0"/>
                <w:bCs w:val="0"/>
                <w:color w:val="auto"/>
                <w:sz w:val="21"/>
                <w:szCs w:val="21"/>
                <w:lang w:val="en-US" w:eastAsia="zh-CN"/>
              </w:rPr>
              <w:t>—</w:t>
            </w:r>
          </w:p>
        </w:tc>
        <w:tc>
          <w:tcPr>
            <w:tcW w:w="1162" w:type="dxa"/>
            <w:shd w:val="clear" w:color="auto" w:fill="auto"/>
            <w:noWrap/>
            <w:tcMar>
              <w:top w:w="15" w:type="dxa"/>
              <w:left w:w="15" w:type="dxa"/>
              <w:right w:w="15" w:type="dxa"/>
            </w:tcMar>
            <w:vAlign w:val="center"/>
          </w:tcPr>
          <w:p>
            <w:pPr>
              <w:spacing w:line="240" w:lineRule="auto"/>
              <w:jc w:val="center"/>
              <w:textAlignment w:val="center"/>
              <w:rPr>
                <w:rFonts w:cs="等线" w:asciiTheme="minorEastAsia" w:hAnsiTheme="minorEastAsia" w:eastAsiaTheme="minorEastAsia"/>
                <w:b/>
                <w:bCs/>
                <w:color w:val="auto"/>
                <w:sz w:val="21"/>
                <w:szCs w:val="21"/>
              </w:rPr>
            </w:pPr>
            <w:r>
              <w:rPr>
                <w:rFonts w:hint="eastAsia" w:cs="等线" w:asciiTheme="minorEastAsia" w:hAnsiTheme="minorEastAsia" w:eastAsiaTheme="minorEastAsia"/>
                <w:b/>
                <w:bCs/>
                <w:color w:val="auto"/>
                <w:sz w:val="21"/>
                <w:szCs w:val="21"/>
                <w:lang w:bidi="ar"/>
              </w:rPr>
              <w:t>用途</w:t>
            </w:r>
          </w:p>
        </w:tc>
        <w:tc>
          <w:tcPr>
            <w:tcW w:w="2300" w:type="dxa"/>
            <w:gridSpan w:val="2"/>
            <w:shd w:val="clear" w:color="auto" w:fill="auto"/>
            <w:noWrap/>
            <w:tcMar>
              <w:top w:w="15" w:type="dxa"/>
              <w:left w:w="15" w:type="dxa"/>
              <w:right w:w="15" w:type="dxa"/>
            </w:tcMar>
            <w:vAlign w:val="center"/>
          </w:tcPr>
          <w:p>
            <w:pPr>
              <w:spacing w:line="240" w:lineRule="auto"/>
              <w:jc w:val="center"/>
              <w:rPr>
                <w:rFonts w:hint="default" w:cs="等线" w:asciiTheme="minorEastAsia" w:hAnsiTheme="minorEastAsia" w:eastAsiaTheme="minorEastAsia"/>
                <w:b/>
                <w:bCs/>
                <w:color w:val="auto"/>
                <w:sz w:val="21"/>
                <w:szCs w:val="21"/>
                <w:lang w:val="en-US" w:eastAsia="zh-CN"/>
              </w:rPr>
            </w:pPr>
            <w:r>
              <w:rPr>
                <w:rFonts w:hint="eastAsia" w:cs="等线" w:asciiTheme="minorEastAsia" w:hAnsiTheme="minorEastAsia" w:eastAsiaTheme="minorEastAsia"/>
                <w:b w:val="0"/>
                <w:bCs w:val="0"/>
                <w:color w:val="auto"/>
                <w:sz w:val="21"/>
                <w:szCs w:val="21"/>
                <w:lang w:val="en-US" w:eastAsia="zh-CN"/>
              </w:rPr>
              <w:t>—</w:t>
            </w:r>
          </w:p>
        </w:tc>
        <w:tc>
          <w:tcPr>
            <w:tcW w:w="1163" w:type="dxa"/>
            <w:shd w:val="clear" w:color="auto" w:fill="auto"/>
            <w:noWrap/>
            <w:tcMar>
              <w:top w:w="15" w:type="dxa"/>
              <w:left w:w="15" w:type="dxa"/>
              <w:right w:w="15" w:type="dxa"/>
            </w:tcMar>
            <w:vAlign w:val="center"/>
          </w:tcPr>
          <w:p>
            <w:pPr>
              <w:spacing w:line="240" w:lineRule="auto"/>
              <w:jc w:val="center"/>
              <w:textAlignment w:val="center"/>
              <w:rPr>
                <w:rFonts w:cs="等线" w:asciiTheme="minorEastAsia" w:hAnsiTheme="minorEastAsia" w:eastAsiaTheme="minorEastAsia"/>
                <w:b/>
                <w:bCs/>
                <w:color w:val="auto"/>
                <w:sz w:val="21"/>
                <w:szCs w:val="21"/>
              </w:rPr>
            </w:pPr>
            <w:r>
              <w:rPr>
                <w:rFonts w:hint="eastAsia" w:cs="等线" w:asciiTheme="minorEastAsia" w:hAnsiTheme="minorEastAsia" w:eastAsiaTheme="minorEastAsia"/>
                <w:b/>
                <w:bCs/>
                <w:color w:val="auto"/>
                <w:sz w:val="21"/>
                <w:szCs w:val="21"/>
                <w:lang w:bidi="ar"/>
              </w:rPr>
              <w:t>形状</w:t>
            </w:r>
          </w:p>
        </w:tc>
        <w:tc>
          <w:tcPr>
            <w:tcW w:w="1237" w:type="dxa"/>
            <w:shd w:val="clear" w:color="auto" w:fill="auto"/>
            <w:noWrap/>
            <w:tcMar>
              <w:top w:w="15" w:type="dxa"/>
              <w:left w:w="15" w:type="dxa"/>
              <w:right w:w="15" w:type="dxa"/>
            </w:tcMar>
            <w:vAlign w:val="center"/>
          </w:tcPr>
          <w:p>
            <w:pPr>
              <w:spacing w:line="240" w:lineRule="auto"/>
              <w:jc w:val="center"/>
              <w:rPr>
                <w:rFonts w:hint="eastAsia" w:cs="等线" w:asciiTheme="minorEastAsia" w:hAnsiTheme="minorEastAsia" w:eastAsiaTheme="minorEastAsia"/>
                <w:b/>
                <w:bCs/>
                <w:color w:val="auto"/>
                <w:sz w:val="21"/>
                <w:szCs w:val="21"/>
                <w:lang w:eastAsia="zh-CN"/>
              </w:rPr>
            </w:pPr>
            <w:r>
              <w:rPr>
                <w:rFonts w:hint="eastAsia" w:cs="等线" w:asciiTheme="minorEastAsia" w:hAnsiTheme="minorEastAsia" w:eastAsiaTheme="minorEastAsia"/>
                <w:color w:val="auto"/>
                <w:sz w:val="21"/>
                <w:szCs w:val="21"/>
                <w:lang w:val="en-US" w:eastAsia="zh-CN"/>
              </w:rPr>
              <w:t>较规则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7"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b/>
                <w:color w:val="auto"/>
                <w:sz w:val="21"/>
                <w:szCs w:val="21"/>
              </w:rPr>
            </w:pPr>
          </w:p>
        </w:tc>
        <w:tc>
          <w:tcPr>
            <w:tcW w:w="400"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b/>
                <w:bCs/>
                <w:color w:val="auto"/>
                <w:sz w:val="21"/>
                <w:szCs w:val="21"/>
              </w:rPr>
            </w:pPr>
          </w:p>
        </w:tc>
        <w:tc>
          <w:tcPr>
            <w:tcW w:w="1825" w:type="dxa"/>
            <w:shd w:val="clear" w:color="auto" w:fill="auto"/>
            <w:noWrap/>
            <w:tcMar>
              <w:top w:w="15" w:type="dxa"/>
              <w:left w:w="15" w:type="dxa"/>
              <w:right w:w="15" w:type="dxa"/>
            </w:tcMar>
            <w:vAlign w:val="center"/>
          </w:tcPr>
          <w:p>
            <w:pPr>
              <w:spacing w:line="240" w:lineRule="auto"/>
              <w:jc w:val="center"/>
              <w:textAlignment w:val="center"/>
              <w:rPr>
                <w:rFonts w:cs="等线" w:asciiTheme="minorEastAsia" w:hAnsiTheme="minorEastAsia" w:eastAsiaTheme="minorEastAsia"/>
                <w:b/>
                <w:bCs/>
                <w:color w:val="auto"/>
                <w:sz w:val="21"/>
                <w:szCs w:val="21"/>
              </w:rPr>
            </w:pPr>
            <w:r>
              <w:rPr>
                <w:rFonts w:hint="eastAsia" w:cs="等线" w:asciiTheme="minorEastAsia" w:hAnsiTheme="minorEastAsia" w:eastAsiaTheme="minorEastAsia"/>
                <w:b/>
                <w:bCs/>
                <w:color w:val="auto"/>
                <w:sz w:val="21"/>
                <w:szCs w:val="21"/>
                <w:lang w:bidi="ar"/>
              </w:rPr>
              <w:t>地形地势</w:t>
            </w:r>
          </w:p>
        </w:tc>
        <w:tc>
          <w:tcPr>
            <w:tcW w:w="2500" w:type="dxa"/>
            <w:gridSpan w:val="2"/>
            <w:shd w:val="clear" w:color="auto" w:fill="auto"/>
            <w:noWrap/>
            <w:tcMar>
              <w:top w:w="15" w:type="dxa"/>
              <w:left w:w="15" w:type="dxa"/>
              <w:right w:w="15" w:type="dxa"/>
            </w:tcMar>
            <w:vAlign w:val="center"/>
          </w:tcPr>
          <w:p>
            <w:pPr>
              <w:spacing w:line="240" w:lineRule="auto"/>
              <w:jc w:val="center"/>
              <w:rPr>
                <w:rFonts w:hint="default" w:cs="等线" w:asciiTheme="minorEastAsia" w:hAnsiTheme="minorEastAsia" w:eastAsiaTheme="minorEastAsia"/>
                <w:b/>
                <w:bCs/>
                <w:color w:val="auto"/>
                <w:sz w:val="21"/>
                <w:szCs w:val="21"/>
                <w:lang w:val="en-US" w:eastAsia="zh-CN"/>
              </w:rPr>
            </w:pPr>
            <w:r>
              <w:rPr>
                <w:rFonts w:hint="eastAsia" w:cs="等线" w:asciiTheme="minorEastAsia" w:hAnsiTheme="minorEastAsia" w:eastAsiaTheme="minorEastAsia"/>
                <w:color w:val="auto"/>
                <w:sz w:val="21"/>
                <w:szCs w:val="21"/>
                <w:lang w:val="en-US" w:eastAsia="zh-CN"/>
              </w:rPr>
              <w:t>平坦</w:t>
            </w:r>
          </w:p>
        </w:tc>
        <w:tc>
          <w:tcPr>
            <w:tcW w:w="1150" w:type="dxa"/>
            <w:shd w:val="clear" w:color="auto" w:fill="auto"/>
            <w:noWrap/>
            <w:tcMar>
              <w:top w:w="15" w:type="dxa"/>
              <w:left w:w="15" w:type="dxa"/>
              <w:right w:w="15" w:type="dxa"/>
            </w:tcMar>
            <w:vAlign w:val="center"/>
          </w:tcPr>
          <w:p>
            <w:pPr>
              <w:spacing w:line="240" w:lineRule="auto"/>
              <w:jc w:val="center"/>
              <w:textAlignment w:val="center"/>
              <w:rPr>
                <w:rFonts w:cs="等线" w:asciiTheme="minorEastAsia" w:hAnsiTheme="minorEastAsia" w:eastAsiaTheme="minorEastAsia"/>
                <w:b/>
                <w:bCs/>
                <w:color w:val="auto"/>
                <w:sz w:val="21"/>
                <w:szCs w:val="21"/>
              </w:rPr>
            </w:pPr>
            <w:r>
              <w:rPr>
                <w:rFonts w:hint="eastAsia" w:cs="等线" w:asciiTheme="minorEastAsia" w:hAnsiTheme="minorEastAsia" w:eastAsiaTheme="minorEastAsia"/>
                <w:b/>
                <w:bCs/>
                <w:color w:val="auto"/>
                <w:sz w:val="21"/>
                <w:szCs w:val="21"/>
                <w:lang w:bidi="ar"/>
              </w:rPr>
              <w:t>开发程度</w:t>
            </w:r>
          </w:p>
        </w:tc>
        <w:tc>
          <w:tcPr>
            <w:tcW w:w="3550" w:type="dxa"/>
            <w:gridSpan w:val="3"/>
            <w:shd w:val="clear" w:color="auto" w:fill="auto"/>
            <w:noWrap/>
            <w:tcMar>
              <w:top w:w="15" w:type="dxa"/>
              <w:left w:w="15" w:type="dxa"/>
              <w:right w:w="15" w:type="dxa"/>
            </w:tcMar>
            <w:vAlign w:val="center"/>
          </w:tcPr>
          <w:p>
            <w:pPr>
              <w:spacing w:line="240" w:lineRule="auto"/>
              <w:jc w:val="center"/>
              <w:rPr>
                <w:rFonts w:cs="等线" w:asciiTheme="minorEastAsia" w:hAnsiTheme="minorEastAsia" w:eastAsiaTheme="minorEastAsia"/>
                <w:b/>
                <w:bCs/>
                <w:color w:val="auto"/>
                <w:sz w:val="21"/>
                <w:szCs w:val="21"/>
              </w:rPr>
            </w:pPr>
            <w:r>
              <w:rPr>
                <w:rFonts w:hint="eastAsia" w:cs="等线" w:asciiTheme="minorEastAsia" w:hAnsiTheme="minorEastAsia" w:eastAsiaTheme="minorEastAsia"/>
                <w:color w:val="auto"/>
                <w:sz w:val="21"/>
                <w:szCs w:val="21"/>
                <w:lang w:val="en-US" w:eastAsia="zh-CN"/>
              </w:rPr>
              <w:t>五通一平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7"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b/>
                <w:color w:val="auto"/>
                <w:sz w:val="21"/>
                <w:szCs w:val="21"/>
              </w:rPr>
            </w:pPr>
          </w:p>
        </w:tc>
        <w:tc>
          <w:tcPr>
            <w:tcW w:w="400"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b/>
                <w:bCs/>
                <w:color w:val="auto"/>
                <w:sz w:val="21"/>
                <w:szCs w:val="21"/>
              </w:rPr>
            </w:pPr>
          </w:p>
        </w:tc>
        <w:tc>
          <w:tcPr>
            <w:tcW w:w="1825" w:type="dxa"/>
            <w:shd w:val="clear" w:color="auto" w:fill="auto"/>
            <w:noWrap/>
            <w:tcMar>
              <w:top w:w="15" w:type="dxa"/>
              <w:left w:w="15" w:type="dxa"/>
              <w:right w:w="15" w:type="dxa"/>
            </w:tcMar>
            <w:vAlign w:val="center"/>
          </w:tcPr>
          <w:p>
            <w:pPr>
              <w:spacing w:line="240" w:lineRule="auto"/>
              <w:jc w:val="center"/>
              <w:textAlignment w:val="center"/>
              <w:rPr>
                <w:rFonts w:hint="eastAsia" w:cs="等线" w:asciiTheme="minorEastAsia" w:hAnsiTheme="minorEastAsia" w:eastAsiaTheme="minorEastAsia"/>
                <w:b/>
                <w:bCs/>
                <w:color w:val="auto"/>
                <w:sz w:val="21"/>
                <w:szCs w:val="21"/>
                <w:lang w:val="en-US" w:eastAsia="zh-CN" w:bidi="ar"/>
              </w:rPr>
            </w:pPr>
            <w:r>
              <w:rPr>
                <w:rFonts w:hint="eastAsia" w:cs="等线" w:asciiTheme="minorEastAsia" w:hAnsiTheme="minorEastAsia" w:eastAsiaTheme="minorEastAsia"/>
                <w:b/>
                <w:bCs/>
                <w:color w:val="auto"/>
                <w:sz w:val="21"/>
                <w:szCs w:val="21"/>
                <w:lang w:val="en-US" w:eastAsia="zh-CN" w:bidi="ar"/>
              </w:rPr>
              <w:t>备注</w:t>
            </w:r>
          </w:p>
        </w:tc>
        <w:tc>
          <w:tcPr>
            <w:tcW w:w="7200" w:type="dxa"/>
            <w:gridSpan w:val="6"/>
            <w:shd w:val="clear" w:color="auto" w:fill="auto"/>
            <w:noWrap/>
            <w:tcMar>
              <w:top w:w="15" w:type="dxa"/>
              <w:left w:w="15" w:type="dxa"/>
              <w:right w:w="15" w:type="dxa"/>
            </w:tcMar>
            <w:vAlign w:val="center"/>
          </w:tcPr>
          <w:p>
            <w:pPr>
              <w:spacing w:line="240" w:lineRule="auto"/>
              <w:jc w:val="center"/>
              <w:rPr>
                <w:rFonts w:hint="default" w:cs="等线" w:asciiTheme="minorEastAsia" w:hAnsiTheme="minorEastAsia" w:eastAsiaTheme="minorEastAsia"/>
                <w:color w:val="auto"/>
                <w:sz w:val="21"/>
                <w:szCs w:val="21"/>
                <w:lang w:val="en-US" w:eastAsia="zh-CN"/>
              </w:rPr>
            </w:pPr>
            <w:r>
              <w:rPr>
                <w:rFonts w:hint="eastAsia" w:cs="等线" w:asciiTheme="minorEastAsia" w:hAnsiTheme="minorEastAsia" w:eastAsiaTheme="minorEastAsia"/>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7" w:type="dxa"/>
            <w:vMerge w:val="restart"/>
            <w:shd w:val="clear" w:color="auto" w:fill="auto"/>
            <w:tcMar>
              <w:top w:w="15" w:type="dxa"/>
              <w:left w:w="15" w:type="dxa"/>
              <w:right w:w="15" w:type="dxa"/>
            </w:tcMar>
            <w:vAlign w:val="center"/>
          </w:tcPr>
          <w:p>
            <w:pPr>
              <w:spacing w:line="240" w:lineRule="auto"/>
              <w:jc w:val="center"/>
              <w:textAlignment w:val="center"/>
              <w:rPr>
                <w:rFonts w:cs="等线" w:asciiTheme="minorEastAsia" w:hAnsiTheme="minorEastAsia" w:eastAsiaTheme="minorEastAsia"/>
                <w:b/>
                <w:color w:val="auto"/>
                <w:sz w:val="21"/>
                <w:szCs w:val="21"/>
              </w:rPr>
            </w:pPr>
            <w:r>
              <w:rPr>
                <w:rFonts w:hint="eastAsia" w:cs="等线" w:asciiTheme="minorEastAsia" w:hAnsiTheme="minorEastAsia" w:eastAsiaTheme="minorEastAsia"/>
                <w:b/>
                <w:color w:val="auto"/>
                <w:sz w:val="21"/>
                <w:szCs w:val="21"/>
                <w:lang w:bidi="ar"/>
              </w:rPr>
              <w:t>权益状况</w:t>
            </w:r>
          </w:p>
        </w:tc>
        <w:tc>
          <w:tcPr>
            <w:tcW w:w="400" w:type="dxa"/>
            <w:vMerge w:val="restart"/>
            <w:shd w:val="clear" w:color="auto" w:fill="auto"/>
            <w:noWrap/>
            <w:tcMar>
              <w:top w:w="15" w:type="dxa"/>
              <w:left w:w="15" w:type="dxa"/>
              <w:right w:w="15" w:type="dxa"/>
            </w:tcMar>
            <w:vAlign w:val="center"/>
          </w:tcPr>
          <w:p>
            <w:pPr>
              <w:spacing w:line="240" w:lineRule="auto"/>
              <w:jc w:val="center"/>
              <w:textAlignment w:val="center"/>
              <w:rPr>
                <w:rFonts w:hint="eastAsia" w:cs="等线" w:asciiTheme="minorEastAsia" w:hAnsiTheme="minorEastAsia" w:eastAsiaTheme="minorEastAsia"/>
                <w:b/>
                <w:bCs/>
                <w:color w:val="auto"/>
                <w:sz w:val="21"/>
                <w:szCs w:val="21"/>
                <w:lang w:eastAsia="zh-CN"/>
              </w:rPr>
            </w:pPr>
            <w:r>
              <w:rPr>
                <w:rFonts w:hint="eastAsia" w:cs="等线" w:asciiTheme="minorEastAsia" w:hAnsiTheme="minorEastAsia" w:eastAsiaTheme="minorEastAsia"/>
                <w:b/>
                <w:bCs/>
                <w:color w:val="auto"/>
                <w:sz w:val="21"/>
                <w:szCs w:val="21"/>
                <w:lang w:val="en-US" w:eastAsia="zh-CN" w:bidi="ar"/>
              </w:rPr>
              <w:t>不动产</w:t>
            </w:r>
          </w:p>
        </w:tc>
        <w:tc>
          <w:tcPr>
            <w:tcW w:w="1825" w:type="dxa"/>
            <w:shd w:val="clear" w:color="auto" w:fill="auto"/>
            <w:noWrap/>
            <w:tcMar>
              <w:top w:w="15" w:type="dxa"/>
              <w:left w:w="15" w:type="dxa"/>
              <w:right w:w="15" w:type="dxa"/>
            </w:tcMar>
            <w:vAlign w:val="center"/>
          </w:tcPr>
          <w:p>
            <w:pPr>
              <w:spacing w:line="240" w:lineRule="auto"/>
              <w:jc w:val="center"/>
              <w:textAlignment w:val="center"/>
              <w:rPr>
                <w:rFonts w:hint="default" w:cs="等线" w:asciiTheme="minorEastAsia" w:hAnsiTheme="minorEastAsia" w:eastAsiaTheme="minorEastAsia"/>
                <w:b/>
                <w:bCs/>
                <w:color w:val="auto"/>
                <w:sz w:val="21"/>
                <w:szCs w:val="21"/>
                <w:lang w:val="en-US"/>
              </w:rPr>
            </w:pPr>
            <w:r>
              <w:rPr>
                <w:rFonts w:hint="eastAsia" w:cs="等线" w:asciiTheme="minorEastAsia" w:hAnsiTheme="minorEastAsia" w:eastAsiaTheme="minorEastAsia"/>
                <w:b/>
                <w:bCs/>
                <w:color w:val="auto"/>
                <w:sz w:val="21"/>
                <w:szCs w:val="21"/>
                <w:lang w:val="en-US" w:eastAsia="zh-CN" w:bidi="ar"/>
              </w:rPr>
              <w:t>房屋所有人</w:t>
            </w:r>
          </w:p>
        </w:tc>
        <w:tc>
          <w:tcPr>
            <w:tcW w:w="2500" w:type="dxa"/>
            <w:gridSpan w:val="2"/>
            <w:shd w:val="clear" w:color="auto" w:fill="auto"/>
            <w:noWrap/>
            <w:tcMar>
              <w:top w:w="15" w:type="dxa"/>
              <w:left w:w="15" w:type="dxa"/>
              <w:right w:w="15" w:type="dxa"/>
            </w:tcMar>
            <w:vAlign w:val="center"/>
          </w:tcPr>
          <w:p>
            <w:pPr>
              <w:spacing w:line="240" w:lineRule="auto"/>
              <w:jc w:val="center"/>
              <w:rPr>
                <w:rFonts w:hint="default" w:cs="等线" w:asciiTheme="minorEastAsia" w:hAnsiTheme="minorEastAsia" w:eastAsiaTheme="minorEastAsia"/>
                <w:b/>
                <w:bCs/>
                <w:color w:val="auto"/>
                <w:sz w:val="21"/>
                <w:szCs w:val="21"/>
                <w:lang w:val="en-US" w:eastAsia="zh-CN"/>
              </w:rPr>
            </w:pPr>
            <w:r>
              <w:rPr>
                <w:rFonts w:hint="eastAsia" w:cs="等线" w:asciiTheme="minorEastAsia" w:hAnsiTheme="minorEastAsia" w:eastAsiaTheme="minorEastAsia"/>
                <w:color w:val="auto"/>
                <w:sz w:val="21"/>
                <w:szCs w:val="21"/>
                <w:lang w:val="en-US" w:eastAsia="zh-CN"/>
              </w:rPr>
              <w:t>李永奇、浦卉</w:t>
            </w:r>
          </w:p>
        </w:tc>
        <w:tc>
          <w:tcPr>
            <w:tcW w:w="2300" w:type="dxa"/>
            <w:gridSpan w:val="2"/>
            <w:shd w:val="clear" w:color="auto" w:fill="auto"/>
            <w:noWrap/>
            <w:tcMar>
              <w:top w:w="15" w:type="dxa"/>
              <w:left w:w="15" w:type="dxa"/>
              <w:right w:w="15" w:type="dxa"/>
            </w:tcMar>
            <w:vAlign w:val="center"/>
          </w:tcPr>
          <w:p>
            <w:pPr>
              <w:spacing w:line="240" w:lineRule="auto"/>
              <w:jc w:val="center"/>
              <w:textAlignment w:val="center"/>
              <w:rPr>
                <w:rFonts w:hint="default" w:cs="等线" w:asciiTheme="minorEastAsia" w:hAnsiTheme="minorEastAsia" w:eastAsiaTheme="minorEastAsia"/>
                <w:b/>
                <w:bCs/>
                <w:color w:val="auto"/>
                <w:sz w:val="21"/>
                <w:szCs w:val="21"/>
                <w:lang w:val="en-US" w:eastAsia="zh-CN"/>
              </w:rPr>
            </w:pPr>
            <w:r>
              <w:rPr>
                <w:rFonts w:hint="eastAsia" w:cs="等线" w:asciiTheme="minorEastAsia" w:hAnsiTheme="minorEastAsia" w:eastAsiaTheme="minorEastAsia"/>
                <w:b/>
                <w:bCs/>
                <w:color w:val="auto"/>
                <w:sz w:val="21"/>
                <w:szCs w:val="21"/>
                <w:lang w:val="en-US" w:eastAsia="zh-CN" w:bidi="ar"/>
              </w:rPr>
              <w:t>权证号</w:t>
            </w:r>
          </w:p>
        </w:tc>
        <w:tc>
          <w:tcPr>
            <w:tcW w:w="2400" w:type="dxa"/>
            <w:gridSpan w:val="2"/>
            <w:shd w:val="clear" w:color="auto" w:fill="auto"/>
            <w:noWrap/>
            <w:tcMar>
              <w:top w:w="15" w:type="dxa"/>
              <w:left w:w="15" w:type="dxa"/>
              <w:right w:w="15" w:type="dxa"/>
            </w:tcMar>
            <w:vAlign w:val="center"/>
          </w:tcPr>
          <w:p>
            <w:pPr>
              <w:spacing w:line="240" w:lineRule="auto"/>
              <w:jc w:val="center"/>
              <w:rPr>
                <w:rFonts w:hint="default" w:cs="等线" w:asciiTheme="minorEastAsia" w:hAnsiTheme="minorEastAsia" w:eastAsiaTheme="minorEastAsia"/>
                <w:color w:val="auto"/>
                <w:sz w:val="21"/>
                <w:szCs w:val="21"/>
                <w:lang w:val="en-US" w:eastAsia="zh-CN"/>
              </w:rPr>
            </w:pPr>
            <w:r>
              <w:rPr>
                <w:rFonts w:hint="eastAsia" w:cs="等线" w:asciiTheme="minorEastAsia" w:hAnsiTheme="minorEastAsia" w:eastAsiaTheme="minorEastAsia"/>
                <w:color w:val="auto"/>
                <w:sz w:val="21"/>
                <w:szCs w:val="21"/>
                <w:lang w:val="en-US" w:eastAsia="zh-CN"/>
              </w:rPr>
              <w:t>土地证：寻国用（2007）第712号；房产证：004417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7"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b/>
                <w:color w:val="auto"/>
                <w:sz w:val="21"/>
                <w:szCs w:val="21"/>
              </w:rPr>
            </w:pPr>
          </w:p>
        </w:tc>
        <w:tc>
          <w:tcPr>
            <w:tcW w:w="400" w:type="dxa"/>
            <w:vMerge w:val="continue"/>
            <w:shd w:val="clear" w:color="auto" w:fill="auto"/>
            <w:noWrap/>
            <w:tcMar>
              <w:top w:w="15" w:type="dxa"/>
              <w:left w:w="15" w:type="dxa"/>
              <w:right w:w="15" w:type="dxa"/>
            </w:tcMar>
            <w:vAlign w:val="center"/>
          </w:tcPr>
          <w:p>
            <w:pPr>
              <w:spacing w:line="240" w:lineRule="auto"/>
              <w:jc w:val="center"/>
              <w:rPr>
                <w:rFonts w:cs="等线" w:asciiTheme="minorEastAsia" w:hAnsiTheme="minorEastAsia" w:eastAsiaTheme="minorEastAsia"/>
                <w:b/>
                <w:bCs/>
                <w:color w:val="auto"/>
                <w:sz w:val="21"/>
                <w:szCs w:val="21"/>
              </w:rPr>
            </w:pPr>
          </w:p>
        </w:tc>
        <w:tc>
          <w:tcPr>
            <w:tcW w:w="1825" w:type="dxa"/>
            <w:shd w:val="clear" w:color="auto" w:fill="auto"/>
            <w:noWrap/>
            <w:tcMar>
              <w:top w:w="15" w:type="dxa"/>
              <w:left w:w="15" w:type="dxa"/>
              <w:right w:w="15" w:type="dxa"/>
            </w:tcMar>
            <w:vAlign w:val="center"/>
          </w:tcPr>
          <w:p>
            <w:pPr>
              <w:spacing w:line="240" w:lineRule="auto"/>
              <w:jc w:val="center"/>
              <w:textAlignment w:val="center"/>
              <w:rPr>
                <w:rFonts w:hint="default" w:cs="等线" w:asciiTheme="minorEastAsia" w:hAnsiTheme="minorEastAsia" w:eastAsiaTheme="minorEastAsia"/>
                <w:b/>
                <w:bCs/>
                <w:color w:val="auto"/>
                <w:sz w:val="21"/>
                <w:szCs w:val="21"/>
                <w:lang w:val="en-US" w:eastAsia="zh-CN"/>
              </w:rPr>
            </w:pPr>
            <w:r>
              <w:rPr>
                <w:rFonts w:hint="eastAsia" w:cs="等线" w:asciiTheme="minorEastAsia" w:hAnsiTheme="minorEastAsia" w:eastAsiaTheme="minorEastAsia"/>
                <w:b/>
                <w:bCs/>
                <w:color w:val="auto"/>
                <w:sz w:val="21"/>
                <w:szCs w:val="21"/>
                <w:lang w:val="en-US" w:eastAsia="zh-CN" w:bidi="ar"/>
              </w:rPr>
              <w:t>不动产单元号</w:t>
            </w:r>
          </w:p>
        </w:tc>
        <w:tc>
          <w:tcPr>
            <w:tcW w:w="2500" w:type="dxa"/>
            <w:gridSpan w:val="2"/>
            <w:shd w:val="clear" w:color="auto" w:fill="auto"/>
            <w:noWrap/>
            <w:tcMar>
              <w:top w:w="15" w:type="dxa"/>
              <w:left w:w="15" w:type="dxa"/>
              <w:right w:w="15" w:type="dxa"/>
            </w:tcMar>
            <w:vAlign w:val="center"/>
          </w:tcPr>
          <w:p>
            <w:pPr>
              <w:spacing w:line="240" w:lineRule="auto"/>
              <w:jc w:val="center"/>
              <w:rPr>
                <w:rFonts w:hint="default" w:cs="等线" w:asciiTheme="minorEastAsia" w:hAnsiTheme="minorEastAsia" w:eastAsiaTheme="minorEastAsia"/>
                <w:b/>
                <w:bCs/>
                <w:color w:val="auto"/>
                <w:sz w:val="21"/>
                <w:szCs w:val="21"/>
                <w:lang w:val="en-US" w:eastAsia="zh-CN"/>
              </w:rPr>
            </w:pPr>
            <w:r>
              <w:rPr>
                <w:rFonts w:hint="eastAsia" w:cs="等线" w:asciiTheme="minorEastAsia" w:hAnsiTheme="minorEastAsia" w:eastAsiaTheme="minorEastAsia"/>
                <w:color w:val="auto"/>
                <w:sz w:val="21"/>
                <w:szCs w:val="21"/>
                <w:lang w:val="en-US" w:eastAsia="zh-CN"/>
              </w:rPr>
              <w:t>530129101032GB00001F00031401</w:t>
            </w:r>
          </w:p>
        </w:tc>
        <w:tc>
          <w:tcPr>
            <w:tcW w:w="2300" w:type="dxa"/>
            <w:gridSpan w:val="2"/>
            <w:shd w:val="clear" w:color="auto" w:fill="auto"/>
            <w:noWrap/>
            <w:tcMar>
              <w:top w:w="15" w:type="dxa"/>
              <w:left w:w="15" w:type="dxa"/>
              <w:right w:w="15" w:type="dxa"/>
            </w:tcMar>
            <w:vAlign w:val="center"/>
          </w:tcPr>
          <w:p>
            <w:pPr>
              <w:spacing w:line="240" w:lineRule="auto"/>
              <w:jc w:val="center"/>
              <w:textAlignment w:val="center"/>
              <w:rPr>
                <w:rFonts w:hint="default" w:cs="等线" w:asciiTheme="minorEastAsia" w:hAnsiTheme="minorEastAsia" w:eastAsiaTheme="minorEastAsia"/>
                <w:b/>
                <w:bCs/>
                <w:color w:val="auto"/>
                <w:sz w:val="21"/>
                <w:szCs w:val="21"/>
                <w:lang w:val="en-US" w:eastAsia="zh-CN"/>
              </w:rPr>
            </w:pPr>
            <w:r>
              <w:rPr>
                <w:rFonts w:hint="eastAsia" w:cs="等线" w:asciiTheme="minorEastAsia" w:hAnsiTheme="minorEastAsia" w:eastAsiaTheme="minorEastAsia"/>
                <w:b/>
                <w:bCs/>
                <w:color w:val="auto"/>
                <w:sz w:val="21"/>
                <w:szCs w:val="21"/>
                <w:lang w:val="en-US" w:eastAsia="zh-CN" w:bidi="ar"/>
              </w:rPr>
              <w:t>建筑面积（㎡）</w:t>
            </w:r>
          </w:p>
        </w:tc>
        <w:tc>
          <w:tcPr>
            <w:tcW w:w="2400" w:type="dxa"/>
            <w:gridSpan w:val="2"/>
            <w:shd w:val="clear" w:color="auto" w:fill="auto"/>
            <w:noWrap/>
            <w:tcMar>
              <w:top w:w="15" w:type="dxa"/>
              <w:left w:w="15" w:type="dxa"/>
              <w:right w:w="15" w:type="dxa"/>
            </w:tcMar>
            <w:vAlign w:val="center"/>
          </w:tcPr>
          <w:p>
            <w:pPr>
              <w:spacing w:line="240" w:lineRule="auto"/>
              <w:jc w:val="center"/>
              <w:rPr>
                <w:rFonts w:hint="default" w:cs="等线" w:asciiTheme="minorEastAsia" w:hAnsiTheme="minorEastAsia" w:eastAsiaTheme="minorEastAsia"/>
                <w:b/>
                <w:bCs/>
                <w:color w:val="auto"/>
                <w:sz w:val="21"/>
                <w:szCs w:val="21"/>
                <w:lang w:val="en-US" w:eastAsia="zh-CN"/>
              </w:rPr>
            </w:pPr>
            <w:r>
              <w:rPr>
                <w:rFonts w:hint="eastAsia" w:cs="等线" w:asciiTheme="minorEastAsia" w:hAnsiTheme="minorEastAsia" w:eastAsiaTheme="minorEastAsia"/>
                <w:color w:val="auto"/>
                <w:sz w:val="21"/>
                <w:szCs w:val="21"/>
                <w:lang w:val="en-US" w:eastAsia="zh-CN"/>
              </w:rPr>
              <w:t>146.26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7"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b/>
                <w:color w:val="auto"/>
                <w:sz w:val="21"/>
                <w:szCs w:val="21"/>
              </w:rPr>
            </w:pPr>
          </w:p>
        </w:tc>
        <w:tc>
          <w:tcPr>
            <w:tcW w:w="400" w:type="dxa"/>
            <w:vMerge w:val="continue"/>
            <w:shd w:val="clear" w:color="auto" w:fill="auto"/>
            <w:noWrap/>
            <w:tcMar>
              <w:top w:w="15" w:type="dxa"/>
              <w:left w:w="15" w:type="dxa"/>
              <w:right w:w="15" w:type="dxa"/>
            </w:tcMar>
            <w:vAlign w:val="center"/>
          </w:tcPr>
          <w:p>
            <w:pPr>
              <w:spacing w:line="240" w:lineRule="auto"/>
              <w:jc w:val="center"/>
              <w:rPr>
                <w:rFonts w:cs="等线" w:asciiTheme="minorEastAsia" w:hAnsiTheme="minorEastAsia" w:eastAsiaTheme="minorEastAsia"/>
                <w:b/>
                <w:bCs/>
                <w:color w:val="auto"/>
                <w:sz w:val="21"/>
                <w:szCs w:val="21"/>
              </w:rPr>
            </w:pPr>
          </w:p>
        </w:tc>
        <w:tc>
          <w:tcPr>
            <w:tcW w:w="1825" w:type="dxa"/>
            <w:shd w:val="clear" w:color="auto" w:fill="auto"/>
            <w:noWrap/>
            <w:tcMar>
              <w:top w:w="15" w:type="dxa"/>
              <w:left w:w="15" w:type="dxa"/>
              <w:right w:w="15" w:type="dxa"/>
            </w:tcMar>
            <w:vAlign w:val="center"/>
          </w:tcPr>
          <w:p>
            <w:pPr>
              <w:spacing w:line="240" w:lineRule="auto"/>
              <w:jc w:val="center"/>
              <w:textAlignment w:val="center"/>
              <w:rPr>
                <w:rFonts w:hint="default" w:cs="等线" w:asciiTheme="minorEastAsia" w:hAnsiTheme="minorEastAsia" w:eastAsiaTheme="minorEastAsia"/>
                <w:b/>
                <w:bCs/>
                <w:color w:val="auto"/>
                <w:sz w:val="21"/>
                <w:szCs w:val="21"/>
                <w:lang w:val="en-US" w:eastAsia="zh-CN" w:bidi="ar"/>
              </w:rPr>
            </w:pPr>
            <w:r>
              <w:rPr>
                <w:rFonts w:hint="eastAsia" w:cs="等线" w:asciiTheme="minorEastAsia" w:hAnsiTheme="minorEastAsia" w:eastAsiaTheme="minorEastAsia"/>
                <w:b/>
                <w:bCs/>
                <w:color w:val="auto"/>
                <w:sz w:val="21"/>
                <w:szCs w:val="21"/>
                <w:lang w:val="en-US" w:eastAsia="zh-CN" w:bidi="ar"/>
              </w:rPr>
              <w:t>房屋性质</w:t>
            </w:r>
          </w:p>
        </w:tc>
        <w:tc>
          <w:tcPr>
            <w:tcW w:w="2500" w:type="dxa"/>
            <w:gridSpan w:val="2"/>
            <w:shd w:val="clear" w:color="auto" w:fill="auto"/>
            <w:noWrap/>
            <w:tcMar>
              <w:top w:w="15" w:type="dxa"/>
              <w:left w:w="15" w:type="dxa"/>
              <w:right w:w="15" w:type="dxa"/>
            </w:tcMar>
            <w:vAlign w:val="center"/>
          </w:tcPr>
          <w:p>
            <w:pPr>
              <w:spacing w:line="240" w:lineRule="auto"/>
              <w:jc w:val="center"/>
              <w:textAlignment w:val="center"/>
              <w:rPr>
                <w:rFonts w:hint="default" w:cs="等线" w:asciiTheme="minorEastAsia" w:hAnsiTheme="minorEastAsia" w:eastAsiaTheme="minorEastAsia"/>
                <w:color w:val="auto"/>
                <w:sz w:val="21"/>
                <w:szCs w:val="21"/>
                <w:lang w:val="en-US" w:eastAsia="zh-CN"/>
              </w:rPr>
            </w:pPr>
            <w:r>
              <w:rPr>
                <w:rFonts w:hint="eastAsia" w:cs="等线" w:asciiTheme="minorEastAsia" w:hAnsiTheme="minorEastAsia" w:eastAsiaTheme="minorEastAsia"/>
                <w:color w:val="auto"/>
                <w:sz w:val="21"/>
                <w:szCs w:val="21"/>
                <w:lang w:val="en-US" w:eastAsia="zh-CN"/>
              </w:rPr>
              <w:t>市场化商品房</w:t>
            </w:r>
          </w:p>
        </w:tc>
        <w:tc>
          <w:tcPr>
            <w:tcW w:w="2300" w:type="dxa"/>
            <w:gridSpan w:val="2"/>
            <w:shd w:val="clear" w:color="auto" w:fill="auto"/>
            <w:noWrap/>
            <w:tcMar>
              <w:top w:w="15" w:type="dxa"/>
              <w:left w:w="15" w:type="dxa"/>
              <w:right w:w="15" w:type="dxa"/>
            </w:tcMar>
            <w:vAlign w:val="center"/>
          </w:tcPr>
          <w:p>
            <w:pPr>
              <w:spacing w:line="240" w:lineRule="auto"/>
              <w:jc w:val="center"/>
              <w:rPr>
                <w:rFonts w:hint="default" w:cs="等线" w:asciiTheme="minorEastAsia" w:hAnsiTheme="minorEastAsia" w:eastAsiaTheme="minorEastAsia"/>
                <w:b/>
                <w:bCs/>
                <w:color w:val="auto"/>
                <w:sz w:val="21"/>
                <w:szCs w:val="21"/>
                <w:lang w:val="en-US" w:eastAsia="zh-CN"/>
              </w:rPr>
            </w:pPr>
            <w:r>
              <w:rPr>
                <w:rFonts w:hint="eastAsia" w:cs="等线" w:asciiTheme="minorEastAsia" w:hAnsiTheme="minorEastAsia" w:eastAsiaTheme="minorEastAsia"/>
                <w:b/>
                <w:bCs/>
                <w:color w:val="auto"/>
                <w:sz w:val="21"/>
                <w:szCs w:val="21"/>
                <w:lang w:val="en-US" w:eastAsia="zh-CN"/>
              </w:rPr>
              <w:t>房屋用途</w:t>
            </w:r>
          </w:p>
        </w:tc>
        <w:tc>
          <w:tcPr>
            <w:tcW w:w="2400" w:type="dxa"/>
            <w:gridSpan w:val="2"/>
            <w:shd w:val="clear" w:color="auto" w:fill="auto"/>
            <w:noWrap/>
            <w:tcMar>
              <w:top w:w="15" w:type="dxa"/>
              <w:left w:w="15" w:type="dxa"/>
              <w:right w:w="15" w:type="dxa"/>
            </w:tcMar>
            <w:vAlign w:val="center"/>
          </w:tcPr>
          <w:p>
            <w:pPr>
              <w:spacing w:line="240" w:lineRule="auto"/>
              <w:jc w:val="center"/>
              <w:rPr>
                <w:rFonts w:hint="default" w:cs="等线" w:asciiTheme="minorEastAsia" w:hAnsiTheme="minorEastAsia" w:eastAsiaTheme="minorEastAsia"/>
                <w:b w:val="0"/>
                <w:bCs w:val="0"/>
                <w:color w:val="auto"/>
                <w:sz w:val="21"/>
                <w:szCs w:val="21"/>
                <w:lang w:val="en-US" w:eastAsia="zh-CN"/>
              </w:rPr>
            </w:pPr>
            <w:r>
              <w:rPr>
                <w:rFonts w:hint="eastAsia" w:cs="等线" w:asciiTheme="minorEastAsia" w:hAnsiTheme="minorEastAsia" w:eastAsiaTheme="minorEastAsia"/>
                <w:b w:val="0"/>
                <w:bCs w:val="0"/>
                <w:color w:val="auto"/>
                <w:sz w:val="21"/>
                <w:szCs w:val="21"/>
                <w:lang w:val="en-US" w:eastAsia="zh-CN"/>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7"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b/>
                <w:color w:val="auto"/>
                <w:sz w:val="21"/>
                <w:szCs w:val="21"/>
              </w:rPr>
            </w:pPr>
          </w:p>
        </w:tc>
        <w:tc>
          <w:tcPr>
            <w:tcW w:w="400" w:type="dxa"/>
            <w:vMerge w:val="continue"/>
            <w:shd w:val="clear" w:color="auto" w:fill="auto"/>
            <w:noWrap/>
            <w:tcMar>
              <w:top w:w="15" w:type="dxa"/>
              <w:left w:w="15" w:type="dxa"/>
              <w:right w:w="15" w:type="dxa"/>
            </w:tcMar>
            <w:vAlign w:val="center"/>
          </w:tcPr>
          <w:p>
            <w:pPr>
              <w:spacing w:line="240" w:lineRule="auto"/>
              <w:jc w:val="center"/>
              <w:rPr>
                <w:rFonts w:cs="等线" w:asciiTheme="minorEastAsia" w:hAnsiTheme="minorEastAsia" w:eastAsiaTheme="minorEastAsia"/>
                <w:b/>
                <w:bCs/>
                <w:color w:val="auto"/>
                <w:sz w:val="21"/>
                <w:szCs w:val="21"/>
              </w:rPr>
            </w:pPr>
          </w:p>
        </w:tc>
        <w:tc>
          <w:tcPr>
            <w:tcW w:w="1825" w:type="dxa"/>
            <w:shd w:val="clear" w:color="auto" w:fill="auto"/>
            <w:noWrap/>
            <w:tcMar>
              <w:top w:w="15" w:type="dxa"/>
              <w:left w:w="15" w:type="dxa"/>
              <w:right w:w="15" w:type="dxa"/>
            </w:tcMar>
            <w:vAlign w:val="center"/>
          </w:tcPr>
          <w:p>
            <w:pPr>
              <w:spacing w:line="240" w:lineRule="auto"/>
              <w:jc w:val="center"/>
              <w:textAlignment w:val="center"/>
              <w:rPr>
                <w:rFonts w:hint="default" w:cs="等线" w:asciiTheme="minorEastAsia" w:hAnsiTheme="minorEastAsia" w:eastAsiaTheme="minorEastAsia"/>
                <w:b/>
                <w:bCs/>
                <w:color w:val="auto"/>
                <w:sz w:val="21"/>
                <w:szCs w:val="21"/>
                <w:lang w:val="en-US" w:eastAsia="zh-CN" w:bidi="ar"/>
              </w:rPr>
            </w:pPr>
            <w:r>
              <w:rPr>
                <w:rFonts w:hint="eastAsia" w:cs="等线" w:asciiTheme="minorEastAsia" w:hAnsiTheme="minorEastAsia" w:eastAsiaTheme="minorEastAsia"/>
                <w:b/>
                <w:bCs/>
                <w:color w:val="auto"/>
                <w:sz w:val="21"/>
                <w:szCs w:val="21"/>
                <w:lang w:val="en-US" w:eastAsia="zh-CN" w:bidi="ar"/>
              </w:rPr>
              <w:t>分摊建筑面积（㎡）</w:t>
            </w:r>
          </w:p>
        </w:tc>
        <w:tc>
          <w:tcPr>
            <w:tcW w:w="2500" w:type="dxa"/>
            <w:gridSpan w:val="2"/>
            <w:shd w:val="clear" w:color="auto" w:fill="auto"/>
            <w:noWrap/>
            <w:tcMar>
              <w:top w:w="15" w:type="dxa"/>
              <w:left w:w="15" w:type="dxa"/>
              <w:right w:w="15" w:type="dxa"/>
            </w:tcMar>
            <w:vAlign w:val="center"/>
          </w:tcPr>
          <w:p>
            <w:pPr>
              <w:spacing w:line="240" w:lineRule="auto"/>
              <w:jc w:val="center"/>
              <w:textAlignment w:val="center"/>
              <w:rPr>
                <w:rFonts w:hint="default" w:cs="等线" w:asciiTheme="minorEastAsia" w:hAnsiTheme="minorEastAsia" w:eastAsiaTheme="minorEastAsia"/>
                <w:color w:val="auto"/>
                <w:sz w:val="21"/>
                <w:szCs w:val="21"/>
                <w:lang w:val="en-US" w:eastAsia="zh-CN"/>
              </w:rPr>
            </w:pPr>
            <w:r>
              <w:rPr>
                <w:rFonts w:hint="eastAsia" w:cs="等线" w:asciiTheme="minorEastAsia" w:hAnsiTheme="minorEastAsia" w:eastAsiaTheme="minorEastAsia"/>
                <w:color w:val="auto"/>
                <w:sz w:val="21"/>
                <w:szCs w:val="21"/>
                <w:lang w:val="en-US" w:eastAsia="zh-CN"/>
              </w:rPr>
              <w:t>12.3</w:t>
            </w:r>
          </w:p>
        </w:tc>
        <w:tc>
          <w:tcPr>
            <w:tcW w:w="2300" w:type="dxa"/>
            <w:gridSpan w:val="2"/>
            <w:shd w:val="clear" w:color="auto" w:fill="auto"/>
            <w:noWrap/>
            <w:tcMar>
              <w:top w:w="15" w:type="dxa"/>
              <w:left w:w="15" w:type="dxa"/>
              <w:right w:w="15" w:type="dxa"/>
            </w:tcMar>
            <w:vAlign w:val="center"/>
          </w:tcPr>
          <w:p>
            <w:pPr>
              <w:spacing w:line="240" w:lineRule="auto"/>
              <w:jc w:val="center"/>
              <w:rPr>
                <w:rFonts w:hint="default" w:cs="等线" w:asciiTheme="minorEastAsia" w:hAnsiTheme="minorEastAsia" w:eastAsiaTheme="minorEastAsia"/>
                <w:b/>
                <w:bCs/>
                <w:color w:val="auto"/>
                <w:sz w:val="21"/>
                <w:szCs w:val="21"/>
                <w:lang w:val="en-US" w:eastAsia="zh-CN"/>
              </w:rPr>
            </w:pPr>
            <w:r>
              <w:rPr>
                <w:rFonts w:hint="eastAsia" w:cs="等线" w:asciiTheme="minorEastAsia" w:hAnsiTheme="minorEastAsia" w:eastAsiaTheme="minorEastAsia"/>
                <w:b/>
                <w:bCs/>
                <w:color w:val="auto"/>
                <w:sz w:val="21"/>
                <w:szCs w:val="21"/>
                <w:lang w:val="en-US" w:eastAsia="zh-CN"/>
              </w:rPr>
              <w:t>专有建筑面积（㎡）</w:t>
            </w:r>
          </w:p>
        </w:tc>
        <w:tc>
          <w:tcPr>
            <w:tcW w:w="2400" w:type="dxa"/>
            <w:gridSpan w:val="2"/>
            <w:shd w:val="clear" w:color="auto" w:fill="auto"/>
            <w:noWrap/>
            <w:tcMar>
              <w:top w:w="15" w:type="dxa"/>
              <w:left w:w="15" w:type="dxa"/>
              <w:right w:w="15" w:type="dxa"/>
            </w:tcMar>
            <w:vAlign w:val="center"/>
          </w:tcPr>
          <w:p>
            <w:pPr>
              <w:spacing w:line="240" w:lineRule="auto"/>
              <w:jc w:val="center"/>
              <w:rPr>
                <w:rFonts w:hint="default" w:cs="等线" w:asciiTheme="minorEastAsia" w:hAnsiTheme="minorEastAsia" w:eastAsiaTheme="minorEastAsia"/>
                <w:b w:val="0"/>
                <w:bCs w:val="0"/>
                <w:color w:val="auto"/>
                <w:sz w:val="21"/>
                <w:szCs w:val="21"/>
                <w:lang w:val="en-US" w:eastAsia="zh-CN"/>
              </w:rPr>
            </w:pPr>
            <w:r>
              <w:rPr>
                <w:rFonts w:hint="eastAsia" w:cs="等线" w:asciiTheme="minorEastAsia" w:hAnsiTheme="minorEastAsia" w:eastAsiaTheme="minorEastAsia"/>
                <w:b w:val="0"/>
                <w:bCs w:val="0"/>
                <w:color w:val="auto"/>
                <w:sz w:val="21"/>
                <w:szCs w:val="21"/>
                <w:lang w:val="en-US" w:eastAsia="zh-CN"/>
              </w:rPr>
              <w:t>133.96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7"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b/>
                <w:color w:val="auto"/>
                <w:sz w:val="21"/>
                <w:szCs w:val="21"/>
              </w:rPr>
            </w:pPr>
          </w:p>
        </w:tc>
        <w:tc>
          <w:tcPr>
            <w:tcW w:w="400" w:type="dxa"/>
            <w:vMerge w:val="continue"/>
            <w:shd w:val="clear" w:color="auto" w:fill="auto"/>
            <w:noWrap/>
            <w:tcMar>
              <w:top w:w="15" w:type="dxa"/>
              <w:left w:w="15" w:type="dxa"/>
              <w:right w:w="15" w:type="dxa"/>
            </w:tcMar>
            <w:vAlign w:val="center"/>
          </w:tcPr>
          <w:p>
            <w:pPr>
              <w:spacing w:line="240" w:lineRule="auto"/>
              <w:jc w:val="center"/>
              <w:rPr>
                <w:rFonts w:cs="等线" w:asciiTheme="minorEastAsia" w:hAnsiTheme="minorEastAsia" w:eastAsiaTheme="minorEastAsia"/>
                <w:b/>
                <w:bCs/>
                <w:color w:val="auto"/>
                <w:sz w:val="21"/>
                <w:szCs w:val="21"/>
              </w:rPr>
            </w:pPr>
          </w:p>
        </w:tc>
        <w:tc>
          <w:tcPr>
            <w:tcW w:w="1825" w:type="dxa"/>
            <w:shd w:val="clear" w:color="auto" w:fill="auto"/>
            <w:noWrap/>
            <w:tcMar>
              <w:top w:w="15" w:type="dxa"/>
              <w:left w:w="15" w:type="dxa"/>
              <w:right w:w="15" w:type="dxa"/>
            </w:tcMar>
            <w:vAlign w:val="center"/>
          </w:tcPr>
          <w:p>
            <w:pPr>
              <w:spacing w:line="240" w:lineRule="auto"/>
              <w:jc w:val="center"/>
              <w:textAlignment w:val="center"/>
              <w:rPr>
                <w:rFonts w:hint="default" w:cs="等线" w:asciiTheme="minorEastAsia" w:hAnsiTheme="minorEastAsia" w:eastAsiaTheme="minorEastAsia"/>
                <w:b/>
                <w:bCs/>
                <w:color w:val="auto"/>
                <w:sz w:val="21"/>
                <w:szCs w:val="21"/>
                <w:lang w:val="en-US" w:eastAsia="zh-CN" w:bidi="ar"/>
              </w:rPr>
            </w:pPr>
            <w:r>
              <w:rPr>
                <w:rFonts w:hint="eastAsia" w:cs="等线" w:asciiTheme="minorEastAsia" w:hAnsiTheme="minorEastAsia" w:eastAsiaTheme="minorEastAsia"/>
                <w:b/>
                <w:bCs/>
                <w:color w:val="auto"/>
                <w:sz w:val="21"/>
                <w:szCs w:val="21"/>
                <w:lang w:val="en-US" w:eastAsia="zh-CN" w:bidi="ar"/>
              </w:rPr>
              <w:t>土地用途</w:t>
            </w:r>
          </w:p>
        </w:tc>
        <w:tc>
          <w:tcPr>
            <w:tcW w:w="2500" w:type="dxa"/>
            <w:gridSpan w:val="2"/>
            <w:shd w:val="clear" w:color="auto" w:fill="auto"/>
            <w:noWrap/>
            <w:tcMar>
              <w:top w:w="15" w:type="dxa"/>
              <w:left w:w="15" w:type="dxa"/>
              <w:right w:w="15" w:type="dxa"/>
            </w:tcMar>
            <w:vAlign w:val="center"/>
          </w:tcPr>
          <w:p>
            <w:pPr>
              <w:spacing w:line="240" w:lineRule="auto"/>
              <w:jc w:val="center"/>
              <w:textAlignment w:val="center"/>
              <w:rPr>
                <w:rFonts w:hint="default" w:cs="等线" w:asciiTheme="minorEastAsia" w:hAnsiTheme="minorEastAsia" w:eastAsiaTheme="minorEastAsia"/>
                <w:color w:val="auto"/>
                <w:sz w:val="21"/>
                <w:szCs w:val="21"/>
                <w:lang w:val="en-US" w:eastAsia="zh-CN"/>
              </w:rPr>
            </w:pPr>
            <w:r>
              <w:rPr>
                <w:rFonts w:hint="eastAsia" w:cs="等线" w:asciiTheme="minorEastAsia" w:hAnsiTheme="minorEastAsia" w:eastAsiaTheme="minorEastAsia"/>
                <w:color w:val="auto"/>
                <w:sz w:val="21"/>
                <w:szCs w:val="21"/>
                <w:lang w:val="en-US" w:eastAsia="zh-CN"/>
              </w:rPr>
              <w:t>城镇住宅用地</w:t>
            </w:r>
          </w:p>
        </w:tc>
        <w:tc>
          <w:tcPr>
            <w:tcW w:w="2300" w:type="dxa"/>
            <w:gridSpan w:val="2"/>
            <w:shd w:val="clear" w:color="auto" w:fill="auto"/>
            <w:noWrap/>
            <w:tcMar>
              <w:top w:w="15" w:type="dxa"/>
              <w:left w:w="15" w:type="dxa"/>
              <w:right w:w="15" w:type="dxa"/>
            </w:tcMar>
            <w:vAlign w:val="center"/>
          </w:tcPr>
          <w:p>
            <w:pPr>
              <w:spacing w:line="240" w:lineRule="auto"/>
              <w:jc w:val="center"/>
              <w:rPr>
                <w:rFonts w:hint="default" w:cs="等线" w:asciiTheme="minorEastAsia" w:hAnsiTheme="minorEastAsia" w:eastAsiaTheme="minorEastAsia"/>
                <w:b/>
                <w:bCs/>
                <w:color w:val="auto"/>
                <w:sz w:val="21"/>
                <w:szCs w:val="21"/>
                <w:lang w:val="en-US" w:eastAsia="zh-CN"/>
              </w:rPr>
            </w:pPr>
            <w:r>
              <w:rPr>
                <w:rFonts w:hint="eastAsia" w:cs="等线" w:asciiTheme="minorEastAsia" w:hAnsiTheme="minorEastAsia" w:eastAsiaTheme="minorEastAsia"/>
                <w:b/>
                <w:bCs/>
                <w:color w:val="auto"/>
                <w:sz w:val="21"/>
                <w:szCs w:val="21"/>
                <w:lang w:val="en-US" w:eastAsia="zh-CN"/>
              </w:rPr>
              <w:t>分摊土地面积（㎡）</w:t>
            </w:r>
          </w:p>
        </w:tc>
        <w:tc>
          <w:tcPr>
            <w:tcW w:w="2400" w:type="dxa"/>
            <w:gridSpan w:val="2"/>
            <w:shd w:val="clear" w:color="auto" w:fill="auto"/>
            <w:noWrap/>
            <w:tcMar>
              <w:top w:w="15" w:type="dxa"/>
              <w:left w:w="15" w:type="dxa"/>
              <w:right w:w="15" w:type="dxa"/>
            </w:tcMar>
            <w:vAlign w:val="center"/>
          </w:tcPr>
          <w:p>
            <w:pPr>
              <w:spacing w:line="240" w:lineRule="auto"/>
              <w:jc w:val="center"/>
              <w:rPr>
                <w:rFonts w:hint="default" w:cs="等线" w:asciiTheme="minorEastAsia" w:hAnsiTheme="minorEastAsia" w:eastAsiaTheme="minorEastAsia"/>
                <w:b w:val="0"/>
                <w:bCs w:val="0"/>
                <w:color w:val="auto"/>
                <w:sz w:val="21"/>
                <w:szCs w:val="21"/>
                <w:lang w:val="en-US" w:eastAsia="zh-CN"/>
              </w:rPr>
            </w:pPr>
            <w:r>
              <w:rPr>
                <w:rFonts w:hint="eastAsia" w:cs="等线" w:asciiTheme="minorEastAsia" w:hAnsiTheme="minorEastAsia" w:eastAsiaTheme="minorEastAsia"/>
                <w:b w:val="0"/>
                <w:bCs w:val="0"/>
                <w:color w:val="auto"/>
                <w:sz w:val="21"/>
                <w:szCs w:val="21"/>
                <w:lang w:val="en-US" w:eastAsia="zh-CN"/>
              </w:rPr>
              <w:t>30.03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7"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b/>
                <w:color w:val="auto"/>
                <w:sz w:val="21"/>
                <w:szCs w:val="21"/>
              </w:rPr>
            </w:pPr>
          </w:p>
        </w:tc>
        <w:tc>
          <w:tcPr>
            <w:tcW w:w="400" w:type="dxa"/>
            <w:vMerge w:val="continue"/>
            <w:shd w:val="clear" w:color="auto" w:fill="auto"/>
            <w:noWrap/>
            <w:tcMar>
              <w:top w:w="15" w:type="dxa"/>
              <w:left w:w="15" w:type="dxa"/>
              <w:right w:w="15" w:type="dxa"/>
            </w:tcMar>
            <w:vAlign w:val="center"/>
          </w:tcPr>
          <w:p>
            <w:pPr>
              <w:spacing w:line="240" w:lineRule="auto"/>
              <w:jc w:val="center"/>
              <w:rPr>
                <w:rFonts w:cs="等线" w:asciiTheme="minorEastAsia" w:hAnsiTheme="minorEastAsia" w:eastAsiaTheme="minorEastAsia"/>
                <w:b/>
                <w:bCs/>
                <w:color w:val="auto"/>
                <w:sz w:val="21"/>
                <w:szCs w:val="21"/>
              </w:rPr>
            </w:pPr>
          </w:p>
        </w:tc>
        <w:tc>
          <w:tcPr>
            <w:tcW w:w="1825" w:type="dxa"/>
            <w:shd w:val="clear" w:color="auto" w:fill="auto"/>
            <w:noWrap/>
            <w:tcMar>
              <w:top w:w="15" w:type="dxa"/>
              <w:left w:w="15" w:type="dxa"/>
              <w:right w:w="15" w:type="dxa"/>
            </w:tcMar>
            <w:vAlign w:val="center"/>
          </w:tcPr>
          <w:p>
            <w:pPr>
              <w:spacing w:line="240" w:lineRule="auto"/>
              <w:jc w:val="center"/>
              <w:textAlignment w:val="center"/>
              <w:rPr>
                <w:rFonts w:hint="default" w:cs="等线" w:asciiTheme="minorEastAsia" w:hAnsiTheme="minorEastAsia" w:eastAsiaTheme="minorEastAsia"/>
                <w:b/>
                <w:bCs/>
                <w:color w:val="auto"/>
                <w:sz w:val="21"/>
                <w:szCs w:val="21"/>
                <w:lang w:val="en-US" w:eastAsia="zh-CN" w:bidi="ar"/>
              </w:rPr>
            </w:pPr>
            <w:r>
              <w:rPr>
                <w:rFonts w:hint="eastAsia" w:cs="等线" w:asciiTheme="minorEastAsia" w:hAnsiTheme="minorEastAsia" w:eastAsiaTheme="minorEastAsia"/>
                <w:b/>
                <w:bCs/>
                <w:color w:val="auto"/>
                <w:sz w:val="21"/>
                <w:szCs w:val="21"/>
                <w:lang w:val="en-US" w:eastAsia="zh-CN" w:bidi="ar"/>
              </w:rPr>
              <w:t>土地使用期限起</w:t>
            </w:r>
          </w:p>
        </w:tc>
        <w:tc>
          <w:tcPr>
            <w:tcW w:w="2500" w:type="dxa"/>
            <w:gridSpan w:val="2"/>
            <w:shd w:val="clear" w:color="auto" w:fill="auto"/>
            <w:noWrap/>
            <w:tcMar>
              <w:top w:w="15" w:type="dxa"/>
              <w:left w:w="15" w:type="dxa"/>
              <w:right w:w="15" w:type="dxa"/>
            </w:tcMar>
            <w:vAlign w:val="center"/>
          </w:tcPr>
          <w:p>
            <w:pPr>
              <w:spacing w:line="240" w:lineRule="auto"/>
              <w:jc w:val="center"/>
              <w:textAlignment w:val="center"/>
              <w:rPr>
                <w:rFonts w:hint="default" w:cs="等线" w:asciiTheme="minorEastAsia" w:hAnsiTheme="minorEastAsia" w:eastAsiaTheme="minorEastAsia"/>
                <w:color w:val="auto"/>
                <w:sz w:val="21"/>
                <w:szCs w:val="21"/>
                <w:lang w:val="en-US" w:eastAsia="zh-CN"/>
              </w:rPr>
            </w:pPr>
            <w:r>
              <w:rPr>
                <w:rFonts w:hint="eastAsia" w:cs="等线" w:asciiTheme="minorEastAsia" w:hAnsiTheme="minorEastAsia" w:eastAsiaTheme="minorEastAsia"/>
                <w:color w:val="auto"/>
                <w:sz w:val="21"/>
                <w:szCs w:val="21"/>
                <w:lang w:val="en-US" w:eastAsia="zh-CN"/>
              </w:rPr>
              <w:t xml:space="preserve">2004-04-19 </w:t>
            </w:r>
          </w:p>
        </w:tc>
        <w:tc>
          <w:tcPr>
            <w:tcW w:w="2300" w:type="dxa"/>
            <w:gridSpan w:val="2"/>
            <w:shd w:val="clear" w:color="auto" w:fill="auto"/>
            <w:noWrap/>
            <w:tcMar>
              <w:top w:w="15" w:type="dxa"/>
              <w:left w:w="15" w:type="dxa"/>
              <w:right w:w="15" w:type="dxa"/>
            </w:tcMar>
            <w:vAlign w:val="center"/>
          </w:tcPr>
          <w:p>
            <w:pPr>
              <w:spacing w:line="240" w:lineRule="auto"/>
              <w:jc w:val="center"/>
              <w:rPr>
                <w:rFonts w:hint="default" w:cs="等线" w:asciiTheme="minorEastAsia" w:hAnsiTheme="minorEastAsia" w:eastAsiaTheme="minorEastAsia"/>
                <w:b/>
                <w:bCs/>
                <w:color w:val="auto"/>
                <w:sz w:val="21"/>
                <w:szCs w:val="21"/>
                <w:lang w:val="en-US" w:eastAsia="zh-CN"/>
              </w:rPr>
            </w:pPr>
            <w:r>
              <w:rPr>
                <w:rFonts w:hint="eastAsia" w:cs="等线" w:asciiTheme="minorEastAsia" w:hAnsiTheme="minorEastAsia" w:eastAsiaTheme="minorEastAsia"/>
                <w:b/>
                <w:bCs/>
                <w:color w:val="auto"/>
                <w:sz w:val="21"/>
                <w:szCs w:val="21"/>
                <w:lang w:val="en-US" w:eastAsia="zh-CN"/>
              </w:rPr>
              <w:t>土地使用期限止</w:t>
            </w:r>
          </w:p>
        </w:tc>
        <w:tc>
          <w:tcPr>
            <w:tcW w:w="2400" w:type="dxa"/>
            <w:gridSpan w:val="2"/>
            <w:shd w:val="clear" w:color="auto" w:fill="auto"/>
            <w:noWrap/>
            <w:tcMar>
              <w:top w:w="15" w:type="dxa"/>
              <w:left w:w="15" w:type="dxa"/>
              <w:right w:w="15" w:type="dxa"/>
            </w:tcMar>
            <w:vAlign w:val="center"/>
          </w:tcPr>
          <w:p>
            <w:pPr>
              <w:spacing w:line="240" w:lineRule="auto"/>
              <w:jc w:val="center"/>
              <w:rPr>
                <w:rFonts w:hint="default" w:cs="等线" w:asciiTheme="minorEastAsia" w:hAnsiTheme="minorEastAsia" w:eastAsiaTheme="minorEastAsia"/>
                <w:b w:val="0"/>
                <w:bCs w:val="0"/>
                <w:color w:val="auto"/>
                <w:sz w:val="21"/>
                <w:szCs w:val="21"/>
                <w:lang w:val="en-US" w:eastAsia="zh-CN"/>
              </w:rPr>
            </w:pPr>
            <w:r>
              <w:rPr>
                <w:rFonts w:hint="eastAsia" w:cs="等线" w:asciiTheme="minorEastAsia" w:hAnsiTheme="minorEastAsia" w:eastAsiaTheme="minorEastAsia"/>
                <w:b w:val="0"/>
                <w:bCs w:val="0"/>
                <w:color w:val="auto"/>
                <w:sz w:val="21"/>
                <w:szCs w:val="21"/>
                <w:lang w:val="en-US" w:eastAsia="zh-CN"/>
              </w:rPr>
              <w:t>2074-04-19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7"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b/>
                <w:color w:val="auto"/>
                <w:sz w:val="21"/>
                <w:szCs w:val="21"/>
              </w:rPr>
            </w:pPr>
          </w:p>
        </w:tc>
        <w:tc>
          <w:tcPr>
            <w:tcW w:w="400" w:type="dxa"/>
            <w:vMerge w:val="continue"/>
            <w:shd w:val="clear" w:color="auto" w:fill="auto"/>
            <w:noWrap/>
            <w:tcMar>
              <w:top w:w="15" w:type="dxa"/>
              <w:left w:w="15" w:type="dxa"/>
              <w:right w:w="15" w:type="dxa"/>
            </w:tcMar>
            <w:vAlign w:val="center"/>
          </w:tcPr>
          <w:p>
            <w:pPr>
              <w:spacing w:line="240" w:lineRule="auto"/>
              <w:jc w:val="center"/>
              <w:rPr>
                <w:rFonts w:cs="等线" w:asciiTheme="minorEastAsia" w:hAnsiTheme="minorEastAsia" w:eastAsiaTheme="minorEastAsia"/>
                <w:b/>
                <w:bCs/>
                <w:color w:val="auto"/>
                <w:sz w:val="21"/>
                <w:szCs w:val="21"/>
              </w:rPr>
            </w:pPr>
          </w:p>
        </w:tc>
        <w:tc>
          <w:tcPr>
            <w:tcW w:w="1825" w:type="dxa"/>
            <w:shd w:val="clear" w:color="auto" w:fill="auto"/>
            <w:noWrap/>
            <w:tcMar>
              <w:top w:w="15" w:type="dxa"/>
              <w:left w:w="15" w:type="dxa"/>
              <w:right w:w="15" w:type="dxa"/>
            </w:tcMar>
            <w:vAlign w:val="center"/>
          </w:tcPr>
          <w:p>
            <w:pPr>
              <w:spacing w:line="240" w:lineRule="auto"/>
              <w:jc w:val="center"/>
              <w:textAlignment w:val="center"/>
              <w:rPr>
                <w:rFonts w:hint="default" w:cs="等线" w:asciiTheme="minorEastAsia" w:hAnsiTheme="minorEastAsia" w:eastAsiaTheme="minorEastAsia"/>
                <w:b/>
                <w:bCs/>
                <w:color w:val="auto"/>
                <w:sz w:val="21"/>
                <w:szCs w:val="21"/>
                <w:lang w:val="en-US" w:eastAsia="zh-CN" w:bidi="ar"/>
              </w:rPr>
            </w:pPr>
            <w:r>
              <w:rPr>
                <w:rFonts w:hint="eastAsia" w:cs="等线" w:asciiTheme="minorEastAsia" w:hAnsiTheme="minorEastAsia" w:eastAsiaTheme="minorEastAsia"/>
                <w:b/>
                <w:bCs/>
                <w:color w:val="auto"/>
                <w:sz w:val="21"/>
                <w:szCs w:val="21"/>
                <w:lang w:val="en-US" w:eastAsia="zh-CN" w:bidi="ar"/>
              </w:rPr>
              <w:t>结构</w:t>
            </w:r>
          </w:p>
        </w:tc>
        <w:tc>
          <w:tcPr>
            <w:tcW w:w="2500" w:type="dxa"/>
            <w:gridSpan w:val="2"/>
            <w:shd w:val="clear" w:color="auto" w:fill="auto"/>
            <w:noWrap/>
            <w:tcMar>
              <w:top w:w="15" w:type="dxa"/>
              <w:left w:w="15" w:type="dxa"/>
              <w:right w:w="15" w:type="dxa"/>
            </w:tcMar>
            <w:vAlign w:val="center"/>
          </w:tcPr>
          <w:p>
            <w:pPr>
              <w:spacing w:line="240" w:lineRule="auto"/>
              <w:jc w:val="center"/>
              <w:textAlignment w:val="center"/>
              <w:rPr>
                <w:rFonts w:hint="default" w:cs="等线" w:asciiTheme="minorEastAsia" w:hAnsiTheme="minorEastAsia" w:eastAsiaTheme="minorEastAsia"/>
                <w:color w:val="auto"/>
                <w:sz w:val="21"/>
                <w:szCs w:val="21"/>
                <w:lang w:val="en-US" w:eastAsia="zh-CN"/>
              </w:rPr>
            </w:pPr>
            <w:r>
              <w:rPr>
                <w:rFonts w:hint="eastAsia" w:cs="等线" w:asciiTheme="minorEastAsia" w:hAnsiTheme="minorEastAsia" w:eastAsiaTheme="minorEastAsia"/>
                <w:color w:val="auto"/>
                <w:sz w:val="21"/>
                <w:szCs w:val="21"/>
                <w:lang w:val="en-US" w:eastAsia="zh-CN"/>
              </w:rPr>
              <w:t>钢筋混凝土</w:t>
            </w:r>
          </w:p>
        </w:tc>
        <w:tc>
          <w:tcPr>
            <w:tcW w:w="2300" w:type="dxa"/>
            <w:gridSpan w:val="2"/>
            <w:shd w:val="clear" w:color="auto" w:fill="auto"/>
            <w:noWrap/>
            <w:tcMar>
              <w:top w:w="15" w:type="dxa"/>
              <w:left w:w="15" w:type="dxa"/>
              <w:right w:w="15" w:type="dxa"/>
            </w:tcMar>
            <w:vAlign w:val="center"/>
          </w:tcPr>
          <w:p>
            <w:pPr>
              <w:spacing w:line="240" w:lineRule="auto"/>
              <w:jc w:val="center"/>
              <w:rPr>
                <w:rFonts w:hint="default" w:cs="等线" w:asciiTheme="minorEastAsia" w:hAnsiTheme="minorEastAsia" w:eastAsiaTheme="minorEastAsia"/>
                <w:b/>
                <w:bCs/>
                <w:color w:val="auto"/>
                <w:sz w:val="21"/>
                <w:szCs w:val="21"/>
                <w:lang w:val="en-US" w:eastAsia="zh-CN"/>
              </w:rPr>
            </w:pPr>
            <w:r>
              <w:rPr>
                <w:rFonts w:hint="eastAsia" w:cs="等线" w:asciiTheme="minorEastAsia" w:hAnsiTheme="minorEastAsia" w:eastAsiaTheme="minorEastAsia"/>
                <w:b/>
                <w:bCs/>
                <w:color w:val="auto"/>
                <w:sz w:val="21"/>
                <w:szCs w:val="21"/>
                <w:lang w:val="en-US" w:eastAsia="zh-CN"/>
              </w:rPr>
              <w:t>所在层/总层数</w:t>
            </w:r>
          </w:p>
        </w:tc>
        <w:tc>
          <w:tcPr>
            <w:tcW w:w="2400" w:type="dxa"/>
            <w:gridSpan w:val="2"/>
            <w:shd w:val="clear" w:color="auto" w:fill="auto"/>
            <w:noWrap/>
            <w:tcMar>
              <w:top w:w="15" w:type="dxa"/>
              <w:left w:w="15" w:type="dxa"/>
              <w:right w:w="15" w:type="dxa"/>
            </w:tcMar>
            <w:vAlign w:val="center"/>
          </w:tcPr>
          <w:p>
            <w:pPr>
              <w:spacing w:line="240" w:lineRule="auto"/>
              <w:jc w:val="center"/>
              <w:rPr>
                <w:rFonts w:hint="default" w:cs="等线" w:asciiTheme="minorEastAsia" w:hAnsiTheme="minorEastAsia" w:eastAsiaTheme="minorEastAsia"/>
                <w:b w:val="0"/>
                <w:bCs w:val="0"/>
                <w:color w:val="auto"/>
                <w:sz w:val="21"/>
                <w:szCs w:val="21"/>
                <w:lang w:val="en-US" w:eastAsia="zh-CN"/>
              </w:rPr>
            </w:pPr>
            <w:r>
              <w:rPr>
                <w:rFonts w:hint="eastAsia" w:cs="等线" w:asciiTheme="minorEastAsia" w:hAnsiTheme="minorEastAsia" w:eastAsiaTheme="minorEastAsia"/>
                <w:b w:val="0"/>
                <w:bCs w:val="0"/>
                <w:color w:val="auto"/>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7"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b/>
                <w:color w:val="auto"/>
                <w:sz w:val="21"/>
                <w:szCs w:val="21"/>
              </w:rPr>
            </w:pPr>
          </w:p>
        </w:tc>
        <w:tc>
          <w:tcPr>
            <w:tcW w:w="400" w:type="dxa"/>
            <w:vMerge w:val="continue"/>
            <w:shd w:val="clear" w:color="auto" w:fill="auto"/>
            <w:noWrap/>
            <w:tcMar>
              <w:top w:w="15" w:type="dxa"/>
              <w:left w:w="15" w:type="dxa"/>
              <w:right w:w="15" w:type="dxa"/>
            </w:tcMar>
            <w:vAlign w:val="center"/>
          </w:tcPr>
          <w:p>
            <w:pPr>
              <w:spacing w:line="240" w:lineRule="auto"/>
              <w:jc w:val="center"/>
              <w:rPr>
                <w:rFonts w:cs="等线" w:asciiTheme="minorEastAsia" w:hAnsiTheme="minorEastAsia" w:eastAsiaTheme="minorEastAsia"/>
                <w:b/>
                <w:bCs/>
                <w:color w:val="auto"/>
                <w:sz w:val="21"/>
                <w:szCs w:val="21"/>
              </w:rPr>
            </w:pPr>
          </w:p>
        </w:tc>
        <w:tc>
          <w:tcPr>
            <w:tcW w:w="1825" w:type="dxa"/>
            <w:shd w:val="clear" w:color="auto" w:fill="auto"/>
            <w:noWrap/>
            <w:tcMar>
              <w:top w:w="15" w:type="dxa"/>
              <w:left w:w="15" w:type="dxa"/>
              <w:right w:w="15" w:type="dxa"/>
            </w:tcMar>
            <w:vAlign w:val="center"/>
          </w:tcPr>
          <w:p>
            <w:pPr>
              <w:spacing w:line="240" w:lineRule="auto"/>
              <w:jc w:val="center"/>
              <w:textAlignment w:val="center"/>
              <w:rPr>
                <w:rFonts w:cs="等线" w:asciiTheme="minorEastAsia" w:hAnsiTheme="minorEastAsia" w:eastAsiaTheme="minorEastAsia"/>
                <w:b/>
                <w:bCs/>
                <w:color w:val="auto"/>
                <w:sz w:val="21"/>
                <w:szCs w:val="21"/>
              </w:rPr>
            </w:pPr>
            <w:r>
              <w:rPr>
                <w:rFonts w:hint="eastAsia" w:cs="等线" w:asciiTheme="minorEastAsia" w:hAnsiTheme="minorEastAsia" w:eastAsiaTheme="minorEastAsia"/>
                <w:b/>
                <w:bCs/>
                <w:color w:val="auto"/>
                <w:sz w:val="21"/>
                <w:szCs w:val="21"/>
                <w:lang w:bidi="ar"/>
              </w:rPr>
              <w:t>物业服务水平</w:t>
            </w:r>
          </w:p>
        </w:tc>
        <w:tc>
          <w:tcPr>
            <w:tcW w:w="7200" w:type="dxa"/>
            <w:gridSpan w:val="6"/>
            <w:shd w:val="clear" w:color="auto" w:fill="auto"/>
            <w:noWrap/>
            <w:tcMar>
              <w:top w:w="15" w:type="dxa"/>
              <w:left w:w="15" w:type="dxa"/>
              <w:right w:w="15" w:type="dxa"/>
            </w:tcMar>
            <w:vAlign w:val="center"/>
          </w:tcPr>
          <w:p>
            <w:pPr>
              <w:spacing w:line="240" w:lineRule="auto"/>
              <w:jc w:val="center"/>
              <w:rPr>
                <w:rFonts w:hint="eastAsia" w:cs="等线" w:asciiTheme="minorEastAsia" w:hAnsiTheme="minorEastAsia" w:eastAsiaTheme="minorEastAsia"/>
                <w:b/>
                <w:bCs/>
                <w:color w:val="auto"/>
                <w:sz w:val="21"/>
                <w:szCs w:val="21"/>
                <w:lang w:eastAsia="zh-CN"/>
              </w:rPr>
            </w:pPr>
            <w:r>
              <w:rPr>
                <w:rFonts w:hint="eastAsia" w:cs="等线" w:asciiTheme="minorEastAsia" w:hAnsiTheme="minorEastAsia" w:eastAsiaTheme="minorEastAsia"/>
                <w:color w:val="auto"/>
                <w:sz w:val="21"/>
                <w:szCs w:val="21"/>
                <w:lang w:val="en-US" w:eastAsia="zh-CN"/>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77" w:type="dxa"/>
            <w:vMerge w:val="continue"/>
            <w:shd w:val="clear" w:color="auto" w:fill="auto"/>
            <w:tcMar>
              <w:top w:w="15" w:type="dxa"/>
              <w:left w:w="15" w:type="dxa"/>
              <w:right w:w="15" w:type="dxa"/>
            </w:tcMar>
            <w:vAlign w:val="center"/>
          </w:tcPr>
          <w:p>
            <w:pPr>
              <w:spacing w:line="240" w:lineRule="auto"/>
              <w:jc w:val="center"/>
              <w:rPr>
                <w:rFonts w:cs="等线" w:asciiTheme="minorEastAsia" w:hAnsiTheme="minorEastAsia" w:eastAsiaTheme="minorEastAsia"/>
                <w:b/>
                <w:color w:val="auto"/>
                <w:sz w:val="21"/>
                <w:szCs w:val="21"/>
              </w:rPr>
            </w:pPr>
          </w:p>
        </w:tc>
        <w:tc>
          <w:tcPr>
            <w:tcW w:w="400" w:type="dxa"/>
            <w:vMerge w:val="continue"/>
            <w:shd w:val="clear" w:color="auto" w:fill="auto"/>
            <w:noWrap/>
            <w:tcMar>
              <w:top w:w="15" w:type="dxa"/>
              <w:left w:w="15" w:type="dxa"/>
              <w:right w:w="15" w:type="dxa"/>
            </w:tcMar>
            <w:vAlign w:val="center"/>
          </w:tcPr>
          <w:p>
            <w:pPr>
              <w:spacing w:line="240" w:lineRule="auto"/>
              <w:jc w:val="center"/>
              <w:rPr>
                <w:rFonts w:cs="等线" w:asciiTheme="minorEastAsia" w:hAnsiTheme="minorEastAsia" w:eastAsiaTheme="minorEastAsia"/>
                <w:b/>
                <w:bCs/>
                <w:color w:val="auto"/>
                <w:sz w:val="21"/>
                <w:szCs w:val="21"/>
              </w:rPr>
            </w:pPr>
          </w:p>
        </w:tc>
        <w:tc>
          <w:tcPr>
            <w:tcW w:w="1825" w:type="dxa"/>
            <w:shd w:val="clear" w:color="auto" w:fill="auto"/>
            <w:noWrap/>
            <w:tcMar>
              <w:top w:w="15" w:type="dxa"/>
              <w:left w:w="15" w:type="dxa"/>
              <w:right w:w="15" w:type="dxa"/>
            </w:tcMar>
            <w:vAlign w:val="center"/>
          </w:tcPr>
          <w:p>
            <w:pPr>
              <w:spacing w:line="240" w:lineRule="auto"/>
              <w:jc w:val="center"/>
              <w:textAlignment w:val="center"/>
              <w:rPr>
                <w:rFonts w:cs="等线" w:asciiTheme="minorEastAsia" w:hAnsiTheme="minorEastAsia" w:eastAsiaTheme="minorEastAsia"/>
                <w:b/>
                <w:bCs/>
                <w:color w:val="auto"/>
                <w:sz w:val="21"/>
                <w:szCs w:val="21"/>
              </w:rPr>
            </w:pPr>
            <w:r>
              <w:rPr>
                <w:rFonts w:hint="eastAsia" w:cs="等线" w:asciiTheme="minorEastAsia" w:hAnsiTheme="minorEastAsia" w:eastAsiaTheme="minorEastAsia"/>
                <w:b/>
                <w:bCs/>
                <w:color w:val="auto"/>
                <w:sz w:val="21"/>
                <w:szCs w:val="21"/>
                <w:lang w:bidi="ar"/>
              </w:rPr>
              <w:t>拖欠物业费情况</w:t>
            </w:r>
          </w:p>
        </w:tc>
        <w:tc>
          <w:tcPr>
            <w:tcW w:w="7200" w:type="dxa"/>
            <w:gridSpan w:val="6"/>
            <w:shd w:val="clear" w:color="auto" w:fill="auto"/>
            <w:noWrap/>
            <w:tcMar>
              <w:top w:w="15" w:type="dxa"/>
              <w:left w:w="15" w:type="dxa"/>
              <w:right w:w="15" w:type="dxa"/>
            </w:tcMar>
            <w:vAlign w:val="center"/>
          </w:tcPr>
          <w:p>
            <w:pPr>
              <w:spacing w:line="240" w:lineRule="auto"/>
              <w:jc w:val="left"/>
              <w:rPr>
                <w:rFonts w:hint="default" w:cs="等线" w:asciiTheme="minorEastAsia" w:hAnsiTheme="minorEastAsia" w:eastAsiaTheme="minorEastAsia"/>
                <w:b/>
                <w:bCs/>
                <w:color w:val="auto"/>
                <w:sz w:val="21"/>
                <w:szCs w:val="21"/>
                <w:lang w:val="en-US"/>
              </w:rPr>
            </w:pPr>
            <w:r>
              <w:rPr>
                <w:rFonts w:hint="eastAsia" w:cs="等线" w:asciiTheme="minorEastAsia" w:hAnsiTheme="minorEastAsia" w:eastAsiaTheme="minorEastAsia"/>
                <w:color w:val="auto"/>
                <w:sz w:val="21"/>
                <w:szCs w:val="21"/>
                <w:lang w:val="en-US" w:eastAsia="zh-CN"/>
              </w:rPr>
              <w:t>经查，至价值时点，估价对象欠物管费1,141.00元。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77" w:type="dxa"/>
            <w:gridSpan w:val="2"/>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000000"/>
                <w:sz w:val="21"/>
                <w:szCs w:val="21"/>
                <w:u w:val="none"/>
                <w:lang w:val="en-US" w:eastAsia="zh-CN"/>
              </w:rPr>
            </w:pPr>
            <w:r>
              <w:rPr>
                <w:rFonts w:hint="eastAsia" w:cs="等线" w:asciiTheme="minorEastAsia" w:hAnsiTheme="minorEastAsia" w:eastAsiaTheme="minorEastAsia"/>
                <w:b/>
                <w:color w:val="auto"/>
                <w:sz w:val="21"/>
                <w:szCs w:val="21"/>
                <w:lang w:val="en-US" w:eastAsia="zh-CN" w:bidi="ar"/>
              </w:rPr>
              <w:t>限制情况</w:t>
            </w:r>
          </w:p>
        </w:tc>
        <w:tc>
          <w:tcPr>
            <w:tcW w:w="9025" w:type="dxa"/>
            <w:gridSpan w:val="7"/>
            <w:shd w:val="clear" w:color="auto" w:fill="auto"/>
            <w:vAlign w:val="center"/>
          </w:tcPr>
          <w:p>
            <w:pPr>
              <w:keepNext w:val="0"/>
              <w:keepLines w:val="0"/>
              <w:widowControl/>
              <w:suppressLineNumbers w:val="0"/>
              <w:spacing w:line="240" w:lineRule="auto"/>
              <w:jc w:val="both"/>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已经查封3次：1.寻甸法院2020.5.19（3年）；2.寻甸法院2022.3.8（3年）；3.寻甸法院2022.7.19（3年）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5" w:hRule="atLeast"/>
          <w:jc w:val="center"/>
        </w:trPr>
        <w:tc>
          <w:tcPr>
            <w:tcW w:w="877" w:type="dxa"/>
            <w:gridSpan w:val="2"/>
            <w:shd w:val="clear" w:color="auto" w:fill="auto"/>
            <w:vAlign w:val="center"/>
          </w:tcPr>
          <w:p>
            <w:pPr>
              <w:keepNext w:val="0"/>
              <w:keepLines w:val="0"/>
              <w:widowControl/>
              <w:suppressLineNumbers w:val="0"/>
              <w:spacing w:line="240" w:lineRule="auto"/>
              <w:jc w:val="center"/>
              <w:textAlignment w:val="center"/>
              <w:rPr>
                <w:rFonts w:hint="default" w:cs="等线" w:asciiTheme="minorEastAsia" w:hAnsiTheme="minorEastAsia" w:eastAsiaTheme="minorEastAsia"/>
                <w:b/>
                <w:color w:val="auto"/>
                <w:sz w:val="21"/>
                <w:szCs w:val="21"/>
                <w:lang w:val="en-US" w:eastAsia="zh-CN" w:bidi="ar"/>
              </w:rPr>
            </w:pPr>
            <w:r>
              <w:rPr>
                <w:rFonts w:hint="eastAsia" w:cs="等线" w:asciiTheme="minorEastAsia" w:hAnsiTheme="minorEastAsia" w:eastAsiaTheme="minorEastAsia"/>
                <w:b/>
                <w:color w:val="auto"/>
                <w:sz w:val="21"/>
                <w:szCs w:val="21"/>
                <w:lang w:val="en-US" w:eastAsia="zh-CN" w:bidi="ar"/>
              </w:rPr>
              <w:t>附记</w:t>
            </w:r>
          </w:p>
        </w:tc>
        <w:tc>
          <w:tcPr>
            <w:tcW w:w="9025" w:type="dxa"/>
            <w:gridSpan w:val="7"/>
            <w:shd w:val="clear" w:color="auto" w:fill="auto"/>
            <w:vAlign w:val="center"/>
          </w:tcPr>
          <w:p>
            <w:pPr>
              <w:keepNext w:val="0"/>
              <w:keepLines w:val="0"/>
              <w:widowControl/>
              <w:suppressLineNumbers w:val="0"/>
              <w:spacing w:line="240" w:lineRule="auto"/>
              <w:jc w:val="both"/>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已经抵押。抵押权人为中国建设银行寻甸支行，2012年6月27日至2023年6月27日</w:t>
            </w:r>
          </w:p>
        </w:tc>
      </w:tr>
    </w:tbl>
    <w:p>
      <w:pPr>
        <w:pStyle w:val="4"/>
        <w:keepNext w:val="0"/>
        <w:keepLines w:val="0"/>
        <w:pageBreakBefore w:val="0"/>
        <w:widowControl w:val="0"/>
        <w:kinsoku/>
        <w:wordWrap/>
        <w:overflowPunct/>
        <w:topLinePunct w:val="0"/>
        <w:autoSpaceDE/>
        <w:autoSpaceDN/>
        <w:bidi w:val="0"/>
        <w:adjustRightInd/>
        <w:snapToGrid/>
        <w:spacing w:before="315" w:beforeLines="100" w:line="372" w:lineRule="auto"/>
        <w:ind w:firstLine="562" w:firstLineChars="200"/>
        <w:jc w:val="both"/>
        <w:textAlignment w:val="auto"/>
        <w:rPr>
          <w:rFonts w:ascii="宋体" w:hAnsi="宋体" w:eastAsia="宋体"/>
          <w:bCs w:val="0"/>
          <w:color w:val="auto"/>
          <w:sz w:val="28"/>
          <w:szCs w:val="28"/>
        </w:rPr>
      </w:pPr>
      <w:bookmarkStart w:id="24" w:name="_Toc12823"/>
      <w:r>
        <w:rPr>
          <w:rFonts w:hint="eastAsia" w:ascii="宋体" w:hAnsi="宋体" w:eastAsia="宋体"/>
          <w:bCs w:val="0"/>
          <w:color w:val="auto"/>
          <w:sz w:val="28"/>
          <w:szCs w:val="28"/>
        </w:rPr>
        <w:t>四、估价目的</w:t>
      </w:r>
      <w:bookmarkEnd w:id="23"/>
      <w:bookmarkEnd w:id="24"/>
    </w:p>
    <w:p>
      <w:pPr>
        <w:keepNext w:val="0"/>
        <w:keepLines w:val="0"/>
        <w:pageBreakBefore w:val="0"/>
        <w:widowControl w:val="0"/>
        <w:kinsoku/>
        <w:wordWrap/>
        <w:overflowPunct/>
        <w:topLinePunct w:val="0"/>
        <w:autoSpaceDE/>
        <w:autoSpaceDN/>
        <w:bidi w:val="0"/>
        <w:adjustRightInd/>
        <w:snapToGrid/>
        <w:spacing w:line="372" w:lineRule="auto"/>
        <w:ind w:firstLine="527"/>
        <w:jc w:val="both"/>
        <w:textAlignment w:val="auto"/>
        <w:rPr>
          <w:rFonts w:ascii="宋体" w:hAnsi="宋体" w:eastAsia="宋体"/>
          <w:color w:val="auto"/>
          <w:sz w:val="28"/>
          <w:szCs w:val="28"/>
        </w:rPr>
      </w:pPr>
      <w:r>
        <w:rPr>
          <w:rFonts w:hint="eastAsia" w:ascii="宋体" w:hAnsi="宋体" w:eastAsia="宋体"/>
          <w:color w:val="auto"/>
          <w:sz w:val="28"/>
          <w:szCs w:val="28"/>
        </w:rPr>
        <w:t>估价目的是</w:t>
      </w:r>
      <w:r>
        <w:rPr>
          <w:rFonts w:hint="eastAsia" w:ascii="宋体" w:hAnsi="宋体" w:eastAsia="宋体"/>
          <w:color w:val="auto"/>
          <w:sz w:val="28"/>
        </w:rPr>
        <w:t>为司法</w:t>
      </w:r>
      <w:r>
        <w:rPr>
          <w:rFonts w:hint="eastAsia" w:ascii="宋体" w:hAnsi="宋体" w:eastAsia="宋体"/>
          <w:color w:val="auto"/>
          <w:sz w:val="28"/>
          <w:lang w:eastAsia="zh-CN"/>
        </w:rPr>
        <w:t>处置</w:t>
      </w:r>
      <w:r>
        <w:rPr>
          <w:rFonts w:hint="eastAsia" w:ascii="宋体" w:hAnsi="宋体" w:eastAsia="宋体"/>
          <w:color w:val="auto"/>
          <w:sz w:val="28"/>
        </w:rPr>
        <w:t>房地产确定</w:t>
      </w:r>
      <w:r>
        <w:rPr>
          <w:rFonts w:hint="eastAsia" w:ascii="宋体" w:hAnsi="宋体" w:eastAsia="宋体"/>
          <w:color w:val="auto"/>
          <w:sz w:val="28"/>
          <w:lang w:val="en-US" w:eastAsia="zh-CN"/>
        </w:rPr>
        <w:t>处置</w:t>
      </w:r>
      <w:r>
        <w:rPr>
          <w:rFonts w:hint="eastAsia" w:ascii="宋体" w:hAnsi="宋体" w:eastAsia="宋体"/>
          <w:color w:val="auto"/>
          <w:sz w:val="28"/>
        </w:rPr>
        <w:t>保留价提供参考依据而评估被</w:t>
      </w:r>
      <w:r>
        <w:rPr>
          <w:rFonts w:hint="eastAsia" w:ascii="宋体" w:hAnsi="宋体" w:eastAsia="宋体"/>
          <w:color w:val="auto"/>
          <w:sz w:val="28"/>
          <w:lang w:eastAsia="zh-CN"/>
        </w:rPr>
        <w:t>处置</w:t>
      </w:r>
      <w:r>
        <w:rPr>
          <w:rFonts w:hint="eastAsia" w:ascii="宋体" w:hAnsi="宋体" w:eastAsia="宋体"/>
          <w:color w:val="auto"/>
          <w:sz w:val="28"/>
        </w:rPr>
        <w:t>房地产的市场价值</w:t>
      </w:r>
      <w:r>
        <w:rPr>
          <w:rFonts w:hint="eastAsia" w:ascii="宋体" w:hAnsi="宋体" w:eastAsia="宋体"/>
          <w:color w:val="auto"/>
          <w:sz w:val="28"/>
          <w:szCs w:val="28"/>
        </w:rPr>
        <w:t>。</w:t>
      </w:r>
    </w:p>
    <w:p>
      <w:pPr>
        <w:pageBreakBefore w:val="0"/>
        <w:kinsoku/>
        <w:wordWrap/>
        <w:overflowPunct/>
        <w:topLinePunct w:val="0"/>
        <w:autoSpaceDE/>
        <w:autoSpaceDN/>
        <w:bidi w:val="0"/>
        <w:adjustRightInd/>
        <w:snapToGrid/>
        <w:spacing w:line="372" w:lineRule="auto"/>
        <w:ind w:firstLine="562" w:firstLineChars="200"/>
        <w:jc w:val="both"/>
        <w:textAlignment w:val="auto"/>
        <w:outlineLvl w:val="1"/>
        <w:rPr>
          <w:rFonts w:ascii="宋体" w:hAnsi="宋体" w:eastAsia="宋体"/>
          <w:b/>
          <w:bCs/>
          <w:color w:val="auto"/>
          <w:sz w:val="28"/>
          <w:szCs w:val="28"/>
        </w:rPr>
      </w:pPr>
      <w:bookmarkStart w:id="25" w:name="_Toc7700"/>
      <w:r>
        <w:rPr>
          <w:rFonts w:hint="eastAsia" w:ascii="宋体" w:hAnsi="宋体" w:eastAsia="宋体"/>
          <w:b/>
          <w:bCs/>
          <w:color w:val="auto"/>
          <w:sz w:val="28"/>
          <w:szCs w:val="28"/>
        </w:rPr>
        <w:t>五、价值时点</w:t>
      </w:r>
      <w:bookmarkEnd w:id="25"/>
    </w:p>
    <w:p>
      <w:pPr>
        <w:keepNext w:val="0"/>
        <w:keepLines w:val="0"/>
        <w:pageBreakBefore w:val="0"/>
        <w:widowControl w:val="0"/>
        <w:kinsoku/>
        <w:wordWrap/>
        <w:overflowPunct/>
        <w:topLinePunct w:val="0"/>
        <w:autoSpaceDE/>
        <w:autoSpaceDN/>
        <w:bidi w:val="0"/>
        <w:adjustRightInd/>
        <w:snapToGrid/>
        <w:spacing w:line="372" w:lineRule="auto"/>
        <w:ind w:firstLine="560" w:firstLineChars="200"/>
        <w:jc w:val="both"/>
        <w:textAlignment w:val="auto"/>
        <w:rPr>
          <w:rFonts w:hint="eastAsia" w:ascii="宋体" w:hAnsi="宋体" w:eastAsia="宋体"/>
          <w:color w:val="auto"/>
          <w:sz w:val="28"/>
          <w:szCs w:val="28"/>
        </w:rPr>
      </w:pPr>
      <w:r>
        <w:rPr>
          <w:rFonts w:hint="eastAsia" w:ascii="宋体" w:hAnsi="宋体" w:eastAsia="宋体"/>
          <w:color w:val="auto"/>
          <w:sz w:val="28"/>
          <w:szCs w:val="28"/>
        </w:rPr>
        <w:t>房地产估价的价值时点原则上为完成估价对象实地查勘之日。本次估价完成估价对象实地查勘的时间为</w:t>
      </w:r>
      <w:r>
        <w:rPr>
          <w:rFonts w:hint="eastAsia" w:ascii="宋体" w:hAnsi="宋体" w:eastAsia="宋体"/>
          <w:color w:val="auto"/>
          <w:sz w:val="28"/>
          <w:lang w:eastAsia="zh-CN"/>
        </w:rPr>
        <w:t>2022年07月25日</w:t>
      </w:r>
      <w:r>
        <w:rPr>
          <w:rFonts w:hint="eastAsia" w:ascii="宋体" w:hAnsi="宋体" w:eastAsia="宋体"/>
          <w:color w:val="auto"/>
          <w:sz w:val="28"/>
        </w:rPr>
        <w:t>。</w:t>
      </w:r>
      <w:r>
        <w:rPr>
          <w:rFonts w:hint="eastAsia" w:ascii="宋体" w:hAnsi="宋体" w:eastAsia="宋体"/>
          <w:color w:val="auto"/>
          <w:sz w:val="28"/>
          <w:szCs w:val="28"/>
        </w:rPr>
        <w:t>根据本次估价目的及估价委托人的需要及估价报告的预期用途，确定本次估价的价值时点为：</w:t>
      </w:r>
      <w:r>
        <w:rPr>
          <w:rFonts w:hint="eastAsia" w:ascii="宋体" w:hAnsi="宋体" w:eastAsia="宋体"/>
          <w:color w:val="auto"/>
          <w:sz w:val="28"/>
          <w:lang w:eastAsia="zh-CN"/>
        </w:rPr>
        <w:t>2022年07月25日</w:t>
      </w:r>
      <w:r>
        <w:rPr>
          <w:rFonts w:hint="eastAsia" w:ascii="宋体" w:hAnsi="宋体" w:eastAsia="宋体"/>
          <w:color w:val="auto"/>
          <w:sz w:val="28"/>
          <w:szCs w:val="28"/>
        </w:rPr>
        <w:t>。</w:t>
      </w:r>
    </w:p>
    <w:p>
      <w:pPr>
        <w:pageBreakBefore w:val="0"/>
        <w:kinsoku/>
        <w:wordWrap/>
        <w:overflowPunct/>
        <w:topLinePunct w:val="0"/>
        <w:autoSpaceDE/>
        <w:autoSpaceDN/>
        <w:bidi w:val="0"/>
        <w:adjustRightInd/>
        <w:snapToGrid/>
        <w:spacing w:line="360" w:lineRule="auto"/>
        <w:ind w:firstLine="562" w:firstLineChars="200"/>
        <w:jc w:val="both"/>
        <w:textAlignment w:val="auto"/>
        <w:outlineLvl w:val="1"/>
        <w:rPr>
          <w:rFonts w:hint="eastAsia" w:ascii="宋体" w:hAnsi="宋体" w:eastAsia="宋体"/>
          <w:b/>
          <w:bCs/>
          <w:color w:val="auto"/>
          <w:sz w:val="28"/>
          <w:szCs w:val="28"/>
        </w:rPr>
      </w:pPr>
      <w:bookmarkStart w:id="26" w:name="_Toc30658"/>
      <w:bookmarkStart w:id="27" w:name="_Toc31191"/>
      <w:r>
        <w:rPr>
          <w:rFonts w:hint="eastAsia" w:ascii="宋体" w:hAnsi="宋体" w:eastAsia="宋体"/>
          <w:b/>
          <w:bCs/>
          <w:color w:val="auto"/>
          <w:sz w:val="28"/>
          <w:szCs w:val="28"/>
          <w:lang w:val="en-US" w:eastAsia="zh-CN"/>
        </w:rPr>
        <w:t>六、</w:t>
      </w:r>
      <w:r>
        <w:rPr>
          <w:rFonts w:hint="eastAsia" w:ascii="宋体" w:hAnsi="宋体" w:eastAsia="宋体"/>
          <w:b/>
          <w:bCs/>
          <w:color w:val="auto"/>
          <w:sz w:val="28"/>
          <w:szCs w:val="28"/>
        </w:rPr>
        <w:t>价值类型</w:t>
      </w:r>
      <w:bookmarkEnd w:id="26"/>
      <w:bookmarkEnd w:id="27"/>
    </w:p>
    <w:p>
      <w:pPr>
        <w:pageBreakBefore w:val="0"/>
        <w:widowControl w:val="0"/>
        <w:kinsoku/>
        <w:wordWrap/>
        <w:overflowPunct/>
        <w:topLinePunct w:val="0"/>
        <w:autoSpaceDE/>
        <w:autoSpaceDN/>
        <w:bidi w:val="0"/>
        <w:adjustRightInd/>
        <w:snapToGrid/>
        <w:spacing w:line="360" w:lineRule="auto"/>
        <w:ind w:firstLine="440" w:firstLineChars="200"/>
        <w:jc w:val="both"/>
        <w:textAlignment w:val="auto"/>
        <w:rPr>
          <w:rFonts w:ascii="宋体" w:hAnsi="宋体" w:eastAsia="宋体"/>
          <w:color w:val="auto"/>
          <w:sz w:val="28"/>
          <w:szCs w:val="28"/>
        </w:rPr>
      </w:pPr>
      <w:r>
        <w:rPr>
          <w:rFonts w:hint="eastAsia"/>
          <w:color w:val="auto"/>
        </w:rPr>
        <w:t xml:space="preserve">  </w:t>
      </w:r>
      <w:r>
        <w:rPr>
          <w:rFonts w:hint="eastAsia" w:ascii="宋体" w:hAnsi="宋体" w:eastAsia="宋体"/>
          <w:color w:val="auto"/>
          <w:sz w:val="28"/>
          <w:szCs w:val="28"/>
        </w:rPr>
        <w:t>本次估价的价值类型为市场价值。价值内涵如下：</w:t>
      </w:r>
    </w:p>
    <w:p>
      <w:pPr>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ascii="宋体" w:hAnsi="宋体" w:eastAsia="宋体"/>
          <w:color w:val="auto"/>
          <w:sz w:val="28"/>
          <w:szCs w:val="28"/>
        </w:rPr>
      </w:pPr>
      <w:r>
        <w:rPr>
          <w:rFonts w:hint="eastAsia" w:ascii="宋体" w:hAnsi="宋体" w:eastAsia="宋体"/>
          <w:color w:val="auto"/>
          <w:sz w:val="28"/>
          <w:szCs w:val="28"/>
        </w:rPr>
        <w:t>市场价值是估价对象由熟悉的交易双方以公平交易方式在价值时点自愿进行交易的金额。指估价对象在公开市场标准及满足估价的假设和限制条件下，于价值时点交易双方各自负担税费下所具有的客观合理价值。</w:t>
      </w:r>
    </w:p>
    <w:p>
      <w:pPr>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ascii="宋体" w:hAnsi="宋体" w:eastAsia="宋体" w:cs="Times New Roman"/>
          <w:color w:val="auto"/>
          <w:sz w:val="28"/>
          <w:szCs w:val="26"/>
        </w:rPr>
      </w:pPr>
      <w:r>
        <w:rPr>
          <w:rFonts w:hint="eastAsia" w:ascii="宋体" w:hAnsi="宋体" w:eastAsia="宋体"/>
          <w:b w:val="0"/>
          <w:bCs w:val="0"/>
          <w:color w:val="auto"/>
          <w:sz w:val="28"/>
          <w:szCs w:val="28"/>
        </w:rPr>
        <w:t>本评估报告的评估价值为房地产市场价值，含分摊的国有建设用地使用权</w:t>
      </w:r>
      <w:r>
        <w:rPr>
          <w:rFonts w:hint="eastAsia" w:ascii="宋体" w:hAnsi="宋体" w:eastAsia="宋体"/>
          <w:b w:val="0"/>
          <w:bCs w:val="0"/>
          <w:color w:val="auto"/>
          <w:sz w:val="28"/>
          <w:szCs w:val="28"/>
          <w:lang w:val="en-US" w:eastAsia="zh-CN"/>
        </w:rPr>
        <w:t>价值</w:t>
      </w:r>
      <w:r>
        <w:rPr>
          <w:rFonts w:hint="eastAsia" w:ascii="宋体" w:hAnsi="宋体" w:eastAsia="宋体"/>
          <w:b w:val="0"/>
          <w:bCs w:val="0"/>
          <w:color w:val="auto"/>
          <w:sz w:val="28"/>
          <w:szCs w:val="28"/>
        </w:rPr>
        <w:t>，不含</w:t>
      </w:r>
      <w:r>
        <w:rPr>
          <w:rFonts w:hint="eastAsia" w:ascii="宋体" w:hAnsi="宋体" w:eastAsia="宋体"/>
          <w:b w:val="0"/>
          <w:bCs w:val="0"/>
          <w:color w:val="auto"/>
          <w:sz w:val="28"/>
          <w:szCs w:val="28"/>
          <w:lang w:val="en-US" w:eastAsia="zh-CN"/>
        </w:rPr>
        <w:t>现状包含的</w:t>
      </w:r>
      <w:r>
        <w:rPr>
          <w:rFonts w:hint="eastAsia" w:ascii="宋体" w:hAnsi="宋体" w:eastAsia="宋体"/>
          <w:b w:val="0"/>
          <w:bCs w:val="0"/>
          <w:color w:val="auto"/>
          <w:sz w:val="28"/>
          <w:szCs w:val="28"/>
        </w:rPr>
        <w:t>可移动物品及其他债权债务</w:t>
      </w:r>
      <w:r>
        <w:rPr>
          <w:rFonts w:hint="eastAsia" w:ascii="宋体" w:hAnsi="宋体" w:eastAsia="宋体" w:cs="Times New Roman"/>
          <w:color w:val="auto"/>
          <w:sz w:val="28"/>
          <w:szCs w:val="26"/>
        </w:rPr>
        <w:t>。</w:t>
      </w:r>
    </w:p>
    <w:p>
      <w:pPr>
        <w:pStyle w:val="4"/>
        <w:keepNext/>
        <w:keepLines/>
        <w:pageBreakBefore w:val="0"/>
        <w:widowControl w:val="0"/>
        <w:kinsoku/>
        <w:wordWrap/>
        <w:overflowPunct/>
        <w:topLinePunct w:val="0"/>
        <w:autoSpaceDE/>
        <w:autoSpaceDN/>
        <w:bidi w:val="0"/>
        <w:adjustRightInd/>
        <w:snapToGrid/>
        <w:spacing w:before="0" w:line="360" w:lineRule="auto"/>
        <w:ind w:firstLine="562" w:firstLineChars="200"/>
        <w:jc w:val="both"/>
        <w:textAlignment w:val="auto"/>
        <w:rPr>
          <w:rFonts w:ascii="宋体" w:hAnsi="宋体" w:eastAsia="宋体"/>
          <w:bCs w:val="0"/>
          <w:color w:val="auto"/>
          <w:sz w:val="28"/>
          <w:szCs w:val="28"/>
        </w:rPr>
      </w:pPr>
      <w:bookmarkStart w:id="28" w:name="_Toc18435"/>
      <w:bookmarkStart w:id="29" w:name="_Toc15352"/>
      <w:r>
        <w:rPr>
          <w:rFonts w:hint="eastAsia" w:ascii="宋体" w:hAnsi="宋体" w:eastAsia="宋体"/>
          <w:bCs w:val="0"/>
          <w:color w:val="auto"/>
          <w:sz w:val="28"/>
          <w:szCs w:val="28"/>
        </w:rPr>
        <w:t>七、估价依据</w:t>
      </w:r>
      <w:bookmarkEnd w:id="28"/>
      <w:bookmarkEnd w:id="29"/>
    </w:p>
    <w:p>
      <w:pPr>
        <w:pageBreakBefore w:val="0"/>
        <w:kinsoku/>
        <w:wordWrap/>
        <w:overflowPunct/>
        <w:topLinePunct w:val="0"/>
        <w:autoSpaceDE/>
        <w:autoSpaceDN/>
        <w:bidi w:val="0"/>
        <w:adjustRightInd/>
        <w:snapToGrid/>
        <w:spacing w:line="360" w:lineRule="auto"/>
        <w:ind w:firstLine="548" w:firstLineChars="196"/>
        <w:jc w:val="both"/>
        <w:textAlignment w:val="auto"/>
        <w:rPr>
          <w:rFonts w:ascii="宋体" w:hAnsi="宋体" w:eastAsia="宋体"/>
          <w:color w:val="auto"/>
          <w:sz w:val="28"/>
          <w:szCs w:val="28"/>
        </w:rPr>
      </w:pPr>
      <w:r>
        <w:rPr>
          <w:rFonts w:hint="eastAsia" w:ascii="宋体" w:hAnsi="宋体" w:eastAsia="宋体"/>
          <w:color w:val="auto"/>
          <w:sz w:val="28"/>
          <w:szCs w:val="28"/>
        </w:rPr>
        <w:t>（一）有关法律法规</w:t>
      </w:r>
    </w:p>
    <w:p>
      <w:pPr>
        <w:pageBreakBefore w:val="0"/>
        <w:kinsoku/>
        <w:wordWrap/>
        <w:overflowPunct/>
        <w:topLinePunct w:val="0"/>
        <w:autoSpaceDE/>
        <w:autoSpaceDN/>
        <w:bidi w:val="0"/>
        <w:adjustRightInd/>
        <w:snapToGrid/>
        <w:spacing w:line="360" w:lineRule="auto"/>
        <w:ind w:firstLine="548" w:firstLineChars="196"/>
        <w:jc w:val="both"/>
        <w:textAlignment w:val="auto"/>
        <w:rPr>
          <w:rFonts w:ascii="宋体" w:hAnsi="宋体" w:eastAsia="宋体"/>
          <w:color w:val="auto"/>
          <w:sz w:val="28"/>
          <w:szCs w:val="28"/>
        </w:rPr>
      </w:pPr>
      <w:r>
        <w:rPr>
          <w:rFonts w:ascii="宋体" w:hAnsi="宋体" w:eastAsia="宋体"/>
          <w:color w:val="auto"/>
          <w:sz w:val="28"/>
          <w:szCs w:val="28"/>
        </w:rPr>
        <w:t xml:space="preserve"> 1</w:t>
      </w:r>
      <w:r>
        <w:rPr>
          <w:rFonts w:hint="eastAsia" w:ascii="宋体" w:hAnsi="宋体" w:eastAsia="宋体"/>
          <w:color w:val="auto"/>
          <w:sz w:val="28"/>
          <w:szCs w:val="28"/>
        </w:rPr>
        <w:t>、《中华人民共和国城市房地产管理法》；</w:t>
      </w:r>
    </w:p>
    <w:p>
      <w:pPr>
        <w:pageBreakBefore w:val="0"/>
        <w:kinsoku/>
        <w:wordWrap/>
        <w:overflowPunct/>
        <w:topLinePunct w:val="0"/>
        <w:autoSpaceDE/>
        <w:autoSpaceDN/>
        <w:bidi w:val="0"/>
        <w:adjustRightInd/>
        <w:snapToGrid/>
        <w:spacing w:line="360" w:lineRule="auto"/>
        <w:ind w:firstLine="700" w:firstLineChars="250"/>
        <w:jc w:val="both"/>
        <w:textAlignment w:val="auto"/>
        <w:rPr>
          <w:rFonts w:ascii="宋体" w:hAnsi="宋体" w:eastAsia="宋体"/>
          <w:color w:val="auto"/>
          <w:sz w:val="28"/>
          <w:szCs w:val="28"/>
        </w:rPr>
      </w:pPr>
      <w:r>
        <w:rPr>
          <w:rFonts w:ascii="宋体" w:hAnsi="宋体" w:eastAsia="宋体"/>
          <w:color w:val="auto"/>
          <w:sz w:val="28"/>
          <w:szCs w:val="28"/>
        </w:rPr>
        <w:t>2</w:t>
      </w:r>
      <w:r>
        <w:rPr>
          <w:rFonts w:hint="eastAsia" w:ascii="宋体" w:hAnsi="宋体" w:eastAsia="宋体"/>
          <w:color w:val="auto"/>
          <w:sz w:val="28"/>
          <w:szCs w:val="28"/>
        </w:rPr>
        <w:t>、《中华人民共和国土地管理法》；</w:t>
      </w:r>
    </w:p>
    <w:p>
      <w:pPr>
        <w:pageBreakBefore w:val="0"/>
        <w:kinsoku/>
        <w:wordWrap/>
        <w:overflowPunct/>
        <w:topLinePunct w:val="0"/>
        <w:autoSpaceDE/>
        <w:autoSpaceDN/>
        <w:bidi w:val="0"/>
        <w:adjustRightInd/>
        <w:snapToGrid/>
        <w:spacing w:line="360" w:lineRule="auto"/>
        <w:ind w:firstLine="700" w:firstLineChars="250"/>
        <w:jc w:val="both"/>
        <w:textAlignment w:val="auto"/>
        <w:rPr>
          <w:rFonts w:ascii="宋体" w:hAnsi="宋体" w:eastAsia="宋体"/>
          <w:color w:val="auto"/>
          <w:sz w:val="28"/>
          <w:szCs w:val="28"/>
        </w:rPr>
      </w:pPr>
      <w:r>
        <w:rPr>
          <w:rFonts w:ascii="宋体" w:hAnsi="宋体" w:eastAsia="宋体"/>
          <w:color w:val="auto"/>
          <w:sz w:val="28"/>
          <w:szCs w:val="28"/>
        </w:rPr>
        <w:t>3</w:t>
      </w:r>
      <w:r>
        <w:rPr>
          <w:rFonts w:hint="eastAsia" w:ascii="宋体" w:hAnsi="宋体" w:eastAsia="宋体"/>
          <w:color w:val="auto"/>
          <w:sz w:val="28"/>
          <w:szCs w:val="28"/>
        </w:rPr>
        <w:t>、《中华人民共和国</w:t>
      </w:r>
      <w:r>
        <w:rPr>
          <w:rFonts w:hint="eastAsia" w:ascii="宋体" w:hAnsi="宋体" w:eastAsia="宋体"/>
          <w:color w:val="auto"/>
          <w:sz w:val="28"/>
          <w:szCs w:val="28"/>
          <w:lang w:val="en-US" w:eastAsia="zh-CN"/>
        </w:rPr>
        <w:t>民法典</w:t>
      </w:r>
      <w:r>
        <w:rPr>
          <w:rFonts w:hint="eastAsia" w:ascii="宋体" w:hAnsi="宋体" w:eastAsia="宋体"/>
          <w:color w:val="auto"/>
          <w:sz w:val="28"/>
          <w:szCs w:val="28"/>
        </w:rPr>
        <w:t>》；</w:t>
      </w:r>
    </w:p>
    <w:p>
      <w:pPr>
        <w:pageBreakBefore w:val="0"/>
        <w:kinsoku/>
        <w:wordWrap/>
        <w:overflowPunct/>
        <w:topLinePunct w:val="0"/>
        <w:autoSpaceDE/>
        <w:autoSpaceDN/>
        <w:bidi w:val="0"/>
        <w:adjustRightInd/>
        <w:snapToGrid/>
        <w:spacing w:line="360" w:lineRule="auto"/>
        <w:jc w:val="both"/>
        <w:textAlignment w:val="auto"/>
        <w:rPr>
          <w:rFonts w:ascii="宋体" w:hAnsi="宋体" w:eastAsia="宋体"/>
          <w:color w:val="auto"/>
          <w:sz w:val="28"/>
          <w:szCs w:val="28"/>
        </w:rPr>
      </w:pPr>
      <w:r>
        <w:rPr>
          <w:rFonts w:ascii="宋体" w:hAnsi="宋体" w:eastAsia="宋体"/>
          <w:color w:val="auto"/>
          <w:sz w:val="28"/>
          <w:szCs w:val="28"/>
        </w:rPr>
        <w:t xml:space="preserve">     4</w:t>
      </w:r>
      <w:r>
        <w:rPr>
          <w:rFonts w:hint="eastAsia" w:ascii="宋体" w:hAnsi="宋体" w:eastAsia="宋体"/>
          <w:color w:val="auto"/>
          <w:sz w:val="28"/>
          <w:szCs w:val="28"/>
        </w:rPr>
        <w:t>、《中华人民共和国城乡规划法》；</w:t>
      </w:r>
    </w:p>
    <w:p>
      <w:pPr>
        <w:pageBreakBefore w:val="0"/>
        <w:kinsoku/>
        <w:wordWrap/>
        <w:overflowPunct/>
        <w:topLinePunct w:val="0"/>
        <w:autoSpaceDE/>
        <w:autoSpaceDN/>
        <w:bidi w:val="0"/>
        <w:adjustRightInd/>
        <w:snapToGrid/>
        <w:spacing w:line="360" w:lineRule="auto"/>
        <w:ind w:firstLine="420" w:firstLineChars="150"/>
        <w:jc w:val="both"/>
        <w:textAlignment w:val="auto"/>
        <w:rPr>
          <w:rFonts w:ascii="宋体" w:hAnsi="宋体" w:eastAsia="宋体"/>
          <w:color w:val="auto"/>
          <w:sz w:val="28"/>
          <w:szCs w:val="28"/>
        </w:rPr>
      </w:pPr>
      <w:r>
        <w:rPr>
          <w:rFonts w:ascii="宋体" w:hAnsi="宋体" w:eastAsia="宋体"/>
          <w:color w:val="auto"/>
          <w:sz w:val="28"/>
          <w:szCs w:val="28"/>
        </w:rPr>
        <w:t xml:space="preserve">  </w:t>
      </w:r>
      <w:r>
        <w:rPr>
          <w:rFonts w:hint="eastAsia" w:ascii="宋体" w:hAnsi="宋体" w:eastAsia="宋体"/>
          <w:color w:val="auto"/>
          <w:sz w:val="28"/>
          <w:szCs w:val="28"/>
        </w:rPr>
        <w:t>5、《中华人民共和国资产评估法》；</w:t>
      </w:r>
    </w:p>
    <w:p>
      <w:pPr>
        <w:keepNext w:val="0"/>
        <w:keepLines w:val="0"/>
        <w:pageBreakBefore w:val="0"/>
        <w:widowControl w:val="0"/>
        <w:kinsoku/>
        <w:wordWrap/>
        <w:overflowPunct/>
        <w:topLinePunct w:val="0"/>
        <w:autoSpaceDE/>
        <w:autoSpaceDN/>
        <w:bidi w:val="0"/>
        <w:adjustRightInd/>
        <w:snapToGrid/>
        <w:spacing w:line="360" w:lineRule="auto"/>
        <w:ind w:firstLine="700" w:firstLineChars="250"/>
        <w:jc w:val="both"/>
        <w:textAlignment w:val="auto"/>
        <w:rPr>
          <w:rFonts w:ascii="宋体" w:hAnsi="宋体" w:eastAsia="宋体"/>
          <w:color w:val="auto"/>
          <w:sz w:val="28"/>
          <w:szCs w:val="28"/>
        </w:rPr>
      </w:pPr>
      <w:r>
        <w:rPr>
          <w:rFonts w:hint="eastAsia" w:ascii="宋体" w:hAnsi="宋体" w:eastAsia="宋体"/>
          <w:color w:val="auto"/>
          <w:sz w:val="28"/>
          <w:szCs w:val="28"/>
        </w:rPr>
        <w:t>6、“最高人民法院关于人民法院确定财产处置参考价若干问题的规定”（法释[2018]15号）。</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eastAsia="宋体"/>
          <w:color w:val="auto"/>
          <w:sz w:val="28"/>
          <w:szCs w:val="28"/>
        </w:rPr>
      </w:pPr>
      <w:r>
        <w:rPr>
          <w:rFonts w:ascii="宋体" w:hAnsi="宋体" w:eastAsia="宋体"/>
          <w:color w:val="auto"/>
          <w:sz w:val="28"/>
          <w:szCs w:val="28"/>
        </w:rPr>
        <w:t xml:space="preserve">   </w:t>
      </w:r>
      <w:r>
        <w:rPr>
          <w:rFonts w:hint="eastAsia" w:ascii="宋体" w:hAnsi="宋体" w:eastAsia="宋体"/>
          <w:color w:val="auto"/>
          <w:sz w:val="28"/>
          <w:szCs w:val="28"/>
        </w:rPr>
        <w:t>（二）有关估价技术标准</w:t>
      </w:r>
    </w:p>
    <w:p>
      <w:pPr>
        <w:pageBreakBefore w:val="0"/>
        <w:kinsoku/>
        <w:wordWrap/>
        <w:overflowPunct/>
        <w:topLinePunct w:val="0"/>
        <w:autoSpaceDE/>
        <w:autoSpaceDN/>
        <w:bidi w:val="0"/>
        <w:adjustRightInd/>
        <w:snapToGrid/>
        <w:spacing w:line="360" w:lineRule="auto"/>
        <w:ind w:firstLine="560" w:firstLineChars="200"/>
        <w:jc w:val="both"/>
        <w:textAlignment w:val="auto"/>
        <w:rPr>
          <w:rFonts w:ascii="宋体" w:hAnsi="宋体" w:eastAsia="宋体"/>
          <w:color w:val="auto"/>
          <w:sz w:val="28"/>
          <w:szCs w:val="28"/>
        </w:rPr>
      </w:pPr>
      <w:r>
        <w:rPr>
          <w:rFonts w:ascii="宋体" w:hAnsi="宋体" w:eastAsia="宋体"/>
          <w:color w:val="auto"/>
          <w:sz w:val="28"/>
          <w:szCs w:val="28"/>
        </w:rPr>
        <w:t>1</w:t>
      </w:r>
      <w:r>
        <w:rPr>
          <w:rFonts w:hint="eastAsia" w:ascii="宋体" w:hAnsi="宋体" w:eastAsia="宋体"/>
          <w:color w:val="auto"/>
          <w:sz w:val="28"/>
          <w:szCs w:val="28"/>
        </w:rPr>
        <w:t>、中华人民共和国国家标准</w:t>
      </w:r>
      <w:r>
        <w:rPr>
          <w:rFonts w:ascii="宋体" w:hAnsi="宋体" w:eastAsia="宋体"/>
          <w:color w:val="auto"/>
          <w:sz w:val="28"/>
          <w:szCs w:val="28"/>
        </w:rPr>
        <w:t>GB/T50291—2015</w:t>
      </w:r>
      <w:r>
        <w:rPr>
          <w:rFonts w:hint="eastAsia" w:ascii="宋体" w:hAnsi="宋体" w:eastAsia="宋体"/>
          <w:color w:val="auto"/>
          <w:sz w:val="28"/>
          <w:szCs w:val="28"/>
        </w:rPr>
        <w:t>《房地产估价规范》；</w:t>
      </w:r>
    </w:p>
    <w:p>
      <w:pPr>
        <w:keepNext w:val="0"/>
        <w:keepLines w:val="0"/>
        <w:pageBreakBefore w:val="0"/>
        <w:widowControl w:val="0"/>
        <w:kinsoku/>
        <w:wordWrap/>
        <w:overflowPunct/>
        <w:topLinePunct w:val="0"/>
        <w:autoSpaceDE/>
        <w:autoSpaceDN/>
        <w:bidi w:val="0"/>
        <w:adjustRightInd/>
        <w:snapToGrid/>
        <w:spacing w:line="360" w:lineRule="auto"/>
        <w:ind w:firstLine="516" w:firstLineChars="200"/>
        <w:jc w:val="both"/>
        <w:textAlignment w:val="auto"/>
        <w:rPr>
          <w:rFonts w:ascii="宋体" w:hAnsi="宋体" w:eastAsia="宋体"/>
          <w:color w:val="auto"/>
          <w:sz w:val="28"/>
          <w:szCs w:val="28"/>
        </w:rPr>
      </w:pPr>
      <w:r>
        <w:rPr>
          <w:rFonts w:ascii="宋体" w:hAnsi="宋体" w:eastAsia="宋体"/>
          <w:color w:val="auto"/>
          <w:spacing w:val="-11"/>
          <w:sz w:val="28"/>
          <w:szCs w:val="28"/>
        </w:rPr>
        <w:t>2</w:t>
      </w:r>
      <w:r>
        <w:rPr>
          <w:rFonts w:hint="eastAsia" w:ascii="宋体" w:hAnsi="宋体" w:eastAsia="宋体"/>
          <w:color w:val="auto"/>
          <w:spacing w:val="-11"/>
          <w:sz w:val="28"/>
          <w:szCs w:val="28"/>
        </w:rPr>
        <w:t>、中华人民共和国国家标准</w:t>
      </w:r>
      <w:r>
        <w:rPr>
          <w:rFonts w:ascii="宋体" w:hAnsi="宋体" w:eastAsia="宋体"/>
          <w:color w:val="auto"/>
          <w:spacing w:val="-11"/>
          <w:sz w:val="28"/>
          <w:szCs w:val="28"/>
        </w:rPr>
        <w:t>GB/T50899—2013</w:t>
      </w:r>
      <w:r>
        <w:rPr>
          <w:rFonts w:hint="eastAsia" w:ascii="宋体" w:hAnsi="宋体" w:eastAsia="宋体"/>
          <w:color w:val="auto"/>
          <w:spacing w:val="-11"/>
          <w:sz w:val="28"/>
          <w:szCs w:val="28"/>
        </w:rPr>
        <w:t>《房地产估价基本术语标准》；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ascii="宋体" w:hAnsi="宋体" w:eastAsia="宋体"/>
          <w:color w:val="auto"/>
          <w:sz w:val="28"/>
          <w:szCs w:val="28"/>
        </w:rPr>
      </w:pPr>
      <w:r>
        <w:rPr>
          <w:rFonts w:hint="eastAsia" w:ascii="宋体" w:hAnsi="宋体" w:eastAsia="宋体"/>
          <w:color w:val="auto"/>
          <w:sz w:val="28"/>
          <w:szCs w:val="28"/>
        </w:rPr>
        <w:t>（三）有关行为依据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ascii="宋体" w:hAnsi="宋体" w:eastAsia="宋体"/>
          <w:color w:val="auto"/>
          <w:spacing w:val="0"/>
          <w:sz w:val="28"/>
          <w:szCs w:val="28"/>
        </w:rPr>
      </w:pPr>
      <w:bookmarkStart w:id="30" w:name="_Toc23970"/>
      <w:r>
        <w:rPr>
          <w:rFonts w:ascii="宋体" w:hAnsi="宋体" w:eastAsia="宋体"/>
          <w:color w:val="auto"/>
          <w:spacing w:val="0"/>
          <w:sz w:val="28"/>
          <w:szCs w:val="28"/>
        </w:rPr>
        <w:t>1</w:t>
      </w:r>
      <w:r>
        <w:rPr>
          <w:rFonts w:hint="eastAsia" w:ascii="宋体" w:hAnsi="宋体" w:eastAsia="宋体"/>
          <w:color w:val="auto"/>
          <w:spacing w:val="0"/>
          <w:sz w:val="28"/>
          <w:szCs w:val="28"/>
        </w:rPr>
        <w:t>、《</w:t>
      </w:r>
      <w:r>
        <w:rPr>
          <w:rFonts w:hint="eastAsia" w:ascii="宋体" w:hAnsi="宋体" w:eastAsia="宋体"/>
          <w:color w:val="auto"/>
          <w:spacing w:val="0"/>
          <w:sz w:val="28"/>
          <w:szCs w:val="28"/>
          <w:lang w:eastAsia="zh-CN"/>
        </w:rPr>
        <w:t>寻甸回族彝族自治县人民法院委托书</w:t>
      </w:r>
      <w:r>
        <w:rPr>
          <w:rFonts w:hint="eastAsia" w:ascii="宋体" w:hAnsi="宋体" w:eastAsia="宋体"/>
          <w:color w:val="auto"/>
          <w:spacing w:val="0"/>
          <w:sz w:val="28"/>
          <w:szCs w:val="28"/>
        </w:rPr>
        <w:t>》</w:t>
      </w:r>
      <w:r>
        <w:rPr>
          <w:rFonts w:hint="eastAsia" w:ascii="宋体" w:hAnsi="宋体" w:eastAsia="宋体"/>
          <w:color w:val="auto"/>
          <w:spacing w:val="0"/>
          <w:sz w:val="28"/>
          <w:szCs w:val="28"/>
          <w:lang w:eastAsia="zh-CN"/>
        </w:rPr>
        <w:t>（2022）云0129执529号</w:t>
      </w:r>
      <w:r>
        <w:rPr>
          <w:rFonts w:hint="eastAsia" w:ascii="宋体" w:hAnsi="宋体" w:eastAsia="宋体"/>
          <w:color w:val="auto"/>
          <w:spacing w:val="0"/>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ascii="宋体" w:hAnsi="宋体" w:eastAsia="宋体"/>
          <w:color w:val="auto"/>
          <w:spacing w:val="0"/>
          <w:sz w:val="28"/>
          <w:szCs w:val="28"/>
        </w:rPr>
      </w:pPr>
      <w:r>
        <w:rPr>
          <w:rFonts w:hint="eastAsia" w:ascii="宋体" w:hAnsi="宋体" w:eastAsia="宋体"/>
          <w:color w:val="auto"/>
          <w:spacing w:val="0"/>
          <w:sz w:val="28"/>
          <w:szCs w:val="28"/>
        </w:rPr>
        <w:t>2、</w:t>
      </w:r>
      <w:r>
        <w:rPr>
          <w:rFonts w:hint="eastAsia" w:ascii="宋体" w:hAnsi="宋体" w:eastAsia="宋体"/>
          <w:color w:val="auto"/>
          <w:spacing w:val="0"/>
          <w:sz w:val="28"/>
          <w:szCs w:val="28"/>
          <w:lang w:eastAsia="zh-CN"/>
        </w:rPr>
        <w:t>《不动产登记中心查档表》</w:t>
      </w:r>
      <w:r>
        <w:rPr>
          <w:rFonts w:hint="eastAsia" w:ascii="宋体" w:hAnsi="宋体" w:eastAsia="宋体"/>
          <w:color w:val="auto"/>
          <w:spacing w:val="0"/>
          <w:sz w:val="28"/>
          <w:szCs w:val="28"/>
        </w:rPr>
        <w:t>复印件</w:t>
      </w:r>
      <w:r>
        <w:rPr>
          <w:rFonts w:hint="eastAsia" w:ascii="宋体" w:hAnsi="宋体" w:eastAsia="宋体"/>
          <w:color w:val="auto"/>
          <w:spacing w:val="0"/>
          <w:sz w:val="28"/>
          <w:szCs w:val="28"/>
          <w:lang w:eastAsia="zh-CN"/>
        </w:rPr>
        <w:t>；《</w:t>
      </w:r>
      <w:r>
        <w:rPr>
          <w:rFonts w:hint="eastAsia" w:ascii="宋体" w:hAnsi="宋体" w:eastAsia="宋体"/>
          <w:color w:val="auto"/>
          <w:spacing w:val="0"/>
          <w:sz w:val="28"/>
          <w:szCs w:val="28"/>
          <w:lang w:val="en-US" w:eastAsia="zh-CN"/>
        </w:rPr>
        <w:t>自然资源部房地产权结果信息一览表</w:t>
      </w:r>
      <w:r>
        <w:rPr>
          <w:rFonts w:hint="eastAsia" w:ascii="宋体" w:hAnsi="宋体" w:eastAsia="宋体"/>
          <w:color w:val="auto"/>
          <w:spacing w:val="0"/>
          <w:sz w:val="28"/>
          <w:szCs w:val="28"/>
          <w:lang w:eastAsia="zh-CN"/>
        </w:rPr>
        <w:t>》</w:t>
      </w:r>
      <w:r>
        <w:rPr>
          <w:rFonts w:hint="eastAsia" w:ascii="宋体" w:hAnsi="宋体" w:eastAsia="宋体"/>
          <w:color w:val="auto"/>
          <w:spacing w:val="0"/>
          <w:sz w:val="28"/>
          <w:szCs w:val="28"/>
          <w:lang w:val="en-US" w:eastAsia="zh-CN"/>
        </w:rPr>
        <w:t>复印件</w:t>
      </w:r>
      <w:r>
        <w:rPr>
          <w:rFonts w:hint="eastAsia" w:ascii="宋体" w:hAnsi="宋体" w:eastAsia="宋体"/>
          <w:color w:val="auto"/>
          <w:spacing w:val="0"/>
          <w:sz w:val="28"/>
          <w:szCs w:val="28"/>
          <w:lang w:eastAsia="zh-CN"/>
        </w:rPr>
        <w:t>；</w:t>
      </w:r>
    </w:p>
    <w:p>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ascii="宋体" w:hAnsi="宋体" w:eastAsia="宋体"/>
          <w:color w:val="auto"/>
          <w:spacing w:val="0"/>
          <w:sz w:val="28"/>
          <w:szCs w:val="28"/>
        </w:rPr>
      </w:pPr>
      <w:r>
        <w:rPr>
          <w:rFonts w:hint="eastAsia" w:ascii="宋体" w:hAnsi="宋体" w:eastAsia="宋体"/>
          <w:color w:val="auto"/>
          <w:spacing w:val="0"/>
          <w:sz w:val="28"/>
          <w:szCs w:val="28"/>
          <w:lang w:val="en-US" w:eastAsia="zh-CN"/>
        </w:rPr>
        <w:t>3</w:t>
      </w:r>
      <w:r>
        <w:rPr>
          <w:rFonts w:hint="eastAsia" w:ascii="宋体" w:hAnsi="宋体" w:eastAsia="宋体"/>
          <w:color w:val="auto"/>
          <w:spacing w:val="0"/>
          <w:sz w:val="28"/>
          <w:szCs w:val="28"/>
        </w:rPr>
        <w:t>、本估价机构估价人员实地查勘、调查、收集的相关资料；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olor w:val="auto"/>
          <w:spacing w:val="0"/>
          <w:sz w:val="28"/>
          <w:szCs w:val="28"/>
        </w:rPr>
      </w:pPr>
      <w:r>
        <w:rPr>
          <w:rFonts w:hint="eastAsia" w:ascii="宋体" w:hAnsi="宋体" w:eastAsia="宋体"/>
          <w:color w:val="auto"/>
          <w:spacing w:val="0"/>
          <w:sz w:val="28"/>
          <w:szCs w:val="28"/>
          <w:lang w:val="en-US" w:eastAsia="zh-CN"/>
        </w:rPr>
        <w:t>4</w:t>
      </w:r>
      <w:r>
        <w:rPr>
          <w:rFonts w:hint="eastAsia" w:ascii="宋体" w:hAnsi="宋体" w:eastAsia="宋体"/>
          <w:color w:val="auto"/>
          <w:spacing w:val="0"/>
          <w:sz w:val="28"/>
          <w:szCs w:val="28"/>
        </w:rPr>
        <w:t>、本估价机构掌握的有关市场信息资料。</w:t>
      </w:r>
    </w:p>
    <w:p>
      <w:pPr>
        <w:keepNext w:val="0"/>
        <w:keepLines w:val="0"/>
        <w:pageBreakBefore w:val="0"/>
        <w:widowControl/>
        <w:tabs>
          <w:tab w:val="left" w:pos="1775"/>
        </w:tabs>
        <w:kinsoku/>
        <w:wordWrap/>
        <w:overflowPunct/>
        <w:topLinePunct w:val="0"/>
        <w:autoSpaceDE/>
        <w:autoSpaceDN/>
        <w:bidi w:val="0"/>
        <w:adjustRightInd/>
        <w:snapToGrid/>
        <w:spacing w:line="360" w:lineRule="auto"/>
        <w:ind w:firstLine="562" w:firstLineChars="200"/>
        <w:jc w:val="left"/>
        <w:textAlignment w:val="auto"/>
        <w:outlineLvl w:val="1"/>
        <w:rPr>
          <w:rFonts w:ascii="宋体" w:hAnsi="宋体" w:eastAsia="宋体"/>
          <w:bCs w:val="0"/>
          <w:color w:val="auto"/>
          <w:sz w:val="28"/>
          <w:szCs w:val="28"/>
        </w:rPr>
      </w:pPr>
      <w:bookmarkStart w:id="31" w:name="_Toc15619"/>
      <w:r>
        <w:rPr>
          <w:rFonts w:hint="eastAsia" w:ascii="宋体" w:hAnsi="宋体" w:eastAsia="宋体"/>
          <w:b/>
          <w:bCs/>
          <w:color w:val="auto"/>
          <w:sz w:val="28"/>
          <w:szCs w:val="28"/>
        </w:rPr>
        <w:t>八、估价原则</w:t>
      </w:r>
      <w:bookmarkEnd w:id="30"/>
      <w:bookmarkEnd w:id="31"/>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ascii="宋体" w:hAnsi="宋体" w:eastAsia="宋体"/>
          <w:color w:val="auto"/>
          <w:spacing w:val="0"/>
          <w:sz w:val="28"/>
          <w:szCs w:val="28"/>
        </w:rPr>
      </w:pPr>
      <w:r>
        <w:rPr>
          <w:rFonts w:hint="eastAsia" w:ascii="宋体" w:hAnsi="宋体" w:eastAsia="宋体"/>
          <w:color w:val="auto"/>
          <w:spacing w:val="0"/>
          <w:sz w:val="28"/>
          <w:szCs w:val="28"/>
        </w:rPr>
        <w:t>1、独立、客观、公正原则。评估价值应为对各方估价利害关系人军事公平合理的价值或价格；</w:t>
      </w:r>
    </w:p>
    <w:p>
      <w:pPr>
        <w:keepNext w:val="0"/>
        <w:keepLines w:val="0"/>
        <w:pageBreakBefore w:val="0"/>
        <w:widowControl w:val="0"/>
        <w:kinsoku/>
        <w:wordWrap/>
        <w:overflowPunct/>
        <w:topLinePunct w:val="0"/>
        <w:autoSpaceDE/>
        <w:autoSpaceDN/>
        <w:bidi w:val="0"/>
        <w:adjustRightInd/>
        <w:snapToGrid/>
        <w:spacing w:line="360" w:lineRule="auto"/>
        <w:ind w:firstLine="536" w:firstLineChars="200"/>
        <w:jc w:val="both"/>
        <w:textAlignment w:val="auto"/>
        <w:rPr>
          <w:rFonts w:ascii="宋体" w:hAnsi="宋体" w:eastAsia="宋体"/>
          <w:color w:val="auto"/>
          <w:spacing w:val="0"/>
          <w:sz w:val="28"/>
          <w:szCs w:val="28"/>
        </w:rPr>
      </w:pPr>
      <w:r>
        <w:rPr>
          <w:rFonts w:hint="eastAsia" w:ascii="宋体" w:hAnsi="宋体" w:eastAsia="宋体"/>
          <w:color w:val="auto"/>
          <w:spacing w:val="-6"/>
          <w:sz w:val="28"/>
          <w:szCs w:val="28"/>
        </w:rPr>
        <w:t>2、合法原则。评估价值应为在依法判定的估价对象状况下的价值或价格；</w:t>
      </w:r>
    </w:p>
    <w:p>
      <w:pPr>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ascii="宋体" w:hAnsi="宋体" w:eastAsia="宋体"/>
          <w:color w:val="auto"/>
          <w:spacing w:val="0"/>
          <w:sz w:val="28"/>
          <w:szCs w:val="28"/>
        </w:rPr>
      </w:pPr>
      <w:r>
        <w:rPr>
          <w:rFonts w:hint="eastAsia" w:ascii="宋体" w:hAnsi="宋体" w:eastAsia="宋体"/>
          <w:color w:val="auto"/>
          <w:spacing w:val="0"/>
          <w:sz w:val="28"/>
          <w:szCs w:val="28"/>
        </w:rPr>
        <w:t>3、价值时点原则。评估价值应为在根据估价目的确定的某一特定时间的价值或价格；</w:t>
      </w:r>
    </w:p>
    <w:p>
      <w:pPr>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ascii="宋体" w:hAnsi="宋体" w:eastAsia="宋体"/>
          <w:color w:val="auto"/>
          <w:spacing w:val="0"/>
          <w:sz w:val="28"/>
          <w:szCs w:val="28"/>
        </w:rPr>
      </w:pPr>
      <w:r>
        <w:rPr>
          <w:rFonts w:hint="eastAsia" w:ascii="宋体" w:hAnsi="宋体" w:eastAsia="宋体"/>
          <w:color w:val="auto"/>
          <w:spacing w:val="0"/>
          <w:sz w:val="28"/>
          <w:szCs w:val="28"/>
        </w:rPr>
        <w:t>4、替代原则。评估价值与估价对象的类似房地产在同等条件下的价值或价格偏差应在合理范围内；</w:t>
      </w:r>
    </w:p>
    <w:p>
      <w:pPr>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ascii="宋体" w:hAnsi="宋体" w:eastAsia="宋体"/>
          <w:color w:val="auto"/>
          <w:spacing w:val="0"/>
          <w:sz w:val="28"/>
          <w:szCs w:val="28"/>
        </w:rPr>
      </w:pPr>
      <w:r>
        <w:rPr>
          <w:rFonts w:hint="eastAsia" w:ascii="宋体" w:hAnsi="宋体" w:eastAsia="宋体"/>
          <w:color w:val="auto"/>
          <w:spacing w:val="0"/>
          <w:sz w:val="28"/>
          <w:szCs w:val="28"/>
        </w:rPr>
        <w:t>5、最高最佳利用原则。评估价值应为在估价对象最高最佳利用状况下的价值或价格；最高最佳利用状况包括最佳的用途、规模和档次，应按法律上允许、技术上可能、财务上可行、价值最大化。</w:t>
      </w:r>
    </w:p>
    <w:p>
      <w:pPr>
        <w:pageBreakBefore w:val="0"/>
        <w:widowControl w:val="0"/>
        <w:kinsoku/>
        <w:wordWrap/>
        <w:overflowPunct/>
        <w:topLinePunct w:val="0"/>
        <w:autoSpaceDE/>
        <w:autoSpaceDN/>
        <w:bidi w:val="0"/>
        <w:adjustRightInd/>
        <w:snapToGrid/>
        <w:spacing w:line="360" w:lineRule="auto"/>
        <w:ind w:firstLine="562" w:firstLineChars="200"/>
        <w:jc w:val="both"/>
        <w:textAlignment w:val="auto"/>
        <w:outlineLvl w:val="1"/>
        <w:rPr>
          <w:rFonts w:ascii="宋体" w:hAnsi="宋体" w:eastAsia="宋体"/>
          <w:color w:val="auto"/>
          <w:sz w:val="28"/>
          <w:szCs w:val="28"/>
        </w:rPr>
      </w:pPr>
      <w:bookmarkStart w:id="32" w:name="_Toc19599"/>
      <w:r>
        <w:rPr>
          <w:rFonts w:hint="eastAsia" w:ascii="宋体" w:hAnsi="宋体" w:eastAsia="宋体"/>
          <w:b/>
          <w:bCs/>
          <w:color w:val="auto"/>
          <w:sz w:val="28"/>
          <w:szCs w:val="28"/>
        </w:rPr>
        <w:t>九、估价方法的选用</w:t>
      </w:r>
      <w:bookmarkEnd w:id="3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sz w:val="28"/>
          <w:szCs w:val="28"/>
          <w:lang w:val="en-US" w:eastAsia="zh-CN"/>
        </w:rPr>
      </w:pPr>
      <w:r>
        <w:rPr>
          <w:rFonts w:hint="eastAsia" w:ascii="宋体" w:hAnsi="宋体" w:eastAsia="宋体"/>
          <w:sz w:val="28"/>
          <w:szCs w:val="28"/>
        </w:rPr>
        <w:t>房地产估价的基本方法有比较法、收益法、成本法、假设开发法</w:t>
      </w:r>
      <w:r>
        <w:rPr>
          <w:rFonts w:hint="eastAsia" w:ascii="宋体" w:hAnsi="宋体" w:eastAsia="宋体"/>
          <w:sz w:val="28"/>
          <w:szCs w:val="28"/>
          <w:lang w:val="en-US" w:eastAsia="zh-CN"/>
        </w:rPr>
        <w:t>等</w:t>
      </w:r>
      <w:r>
        <w:rPr>
          <w:rFonts w:hint="eastAsia" w:ascii="宋体" w:hAnsi="宋体" w:eastAsia="宋体"/>
          <w:sz w:val="28"/>
          <w:szCs w:val="28"/>
        </w:rPr>
        <w:t>，针对不同的估价目的和估价对象的状况的不同选用适宜的估价方法。</w:t>
      </w:r>
      <w:r>
        <w:rPr>
          <w:rFonts w:hint="eastAsia" w:ascii="宋体" w:hAnsi="宋体" w:eastAsia="宋体"/>
          <w:sz w:val="28"/>
          <w:szCs w:val="28"/>
          <w:lang w:val="en-US" w:eastAsia="zh-CN"/>
        </w:rPr>
        <w:t>估价对象的同类房地产有较多交易的，应选用比较法；估价对象或其同类房地产通常有租金等经济收入的，应选用收益法；估价对象可假定为独立的开发建设项目进行重新开发建设的，估价对象或其同类房地产没有交易或交易很少，且估价对象或其同类房地产没有租金等经济收入时，宜选用成本法；估价对象具有开发或再开发潜力且开发完成后的价值可采用除成本法以外的方法测算的，应选用假设开发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sz w:val="28"/>
          <w:szCs w:val="28"/>
          <w:lang w:val="en-US" w:eastAsia="zh-CN"/>
        </w:rPr>
      </w:pPr>
      <w:r>
        <w:rPr>
          <w:rFonts w:hint="eastAsia" w:ascii="宋体" w:hAnsi="宋体" w:eastAsia="宋体"/>
          <w:sz w:val="28"/>
          <w:szCs w:val="28"/>
          <w:lang w:val="en-US" w:eastAsia="zh-CN"/>
        </w:rPr>
        <w:t>估价人员在认真分析所掌握的资料，并对估价对象进行了实地查勘以及对周边房地产市场进行调查后，根据《房地产估价规范》</w:t>
      </w:r>
      <w:r>
        <w:rPr>
          <w:rFonts w:hint="eastAsia" w:ascii="宋体" w:hAnsi="宋体" w:eastAsia="宋体"/>
          <w:sz w:val="28"/>
          <w:szCs w:val="28"/>
        </w:rPr>
        <w:t>（GB/T 50291—2015）</w:t>
      </w:r>
      <w:r>
        <w:rPr>
          <w:rFonts w:hint="eastAsia" w:ascii="宋体" w:hAnsi="宋体" w:eastAsia="宋体"/>
          <w:sz w:val="28"/>
          <w:szCs w:val="28"/>
          <w:lang w:val="en-US" w:eastAsia="zh-CN"/>
        </w:rPr>
        <w:t>和遵照国家有关法律、法规、归家技术标准，经过反复研究，我们认为估价对象适合采用</w:t>
      </w:r>
      <w:r>
        <w:rPr>
          <w:rFonts w:hint="default" w:ascii="宋体" w:hAnsi="宋体" w:eastAsia="宋体"/>
          <w:sz w:val="28"/>
          <w:szCs w:val="28"/>
          <w:lang w:val="en-US" w:eastAsia="zh-CN"/>
        </w:rPr>
        <w:t>比较法</w:t>
      </w:r>
      <w:r>
        <w:rPr>
          <w:rFonts w:hint="eastAsia" w:ascii="宋体" w:hAnsi="宋体" w:eastAsia="宋体"/>
          <w:sz w:val="28"/>
          <w:szCs w:val="28"/>
          <w:lang w:val="en-US" w:eastAsia="zh-CN"/>
        </w:rPr>
        <w:t>进行估算，估价方法适用性分析如下：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sz w:val="28"/>
          <w:szCs w:val="28"/>
          <w:lang w:val="en-US" w:eastAsia="zh-CN"/>
        </w:rPr>
      </w:pPr>
      <w:r>
        <w:rPr>
          <w:rFonts w:hint="eastAsia" w:ascii="宋体" w:hAnsi="宋体" w:eastAsia="宋体"/>
          <w:sz w:val="28"/>
          <w:szCs w:val="28"/>
        </w:rPr>
        <w:t>比较法是</w:t>
      </w:r>
      <w:r>
        <w:rPr>
          <w:rFonts w:hint="eastAsia" w:ascii="宋体" w:hAnsi="宋体" w:eastAsia="宋体"/>
          <w:sz w:val="28"/>
          <w:szCs w:val="28"/>
          <w:lang w:val="en-US" w:eastAsia="zh-CN"/>
        </w:rPr>
        <w:t>选取一定数量的可比实例，将它们与估价对象进行比较，根据其间的差异对可比实例成交价格进行处理后得到估价对象价值或价格的方法。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sz w:val="28"/>
          <w:szCs w:val="28"/>
        </w:rPr>
      </w:pPr>
      <w:r>
        <w:rPr>
          <w:rFonts w:hint="eastAsia" w:ascii="宋体" w:hAnsi="宋体" w:eastAsia="宋体"/>
          <w:sz w:val="28"/>
          <w:szCs w:val="28"/>
        </w:rPr>
        <w:t>本次估价在同等供求范围内可以找到规定数量满足要求的交易实例作为可比实例，并且经过调查验证，这些交易实例在一定程度上客观准确地反映了当前房地产市场的状况，体现出一部分房地产在当前时期的价值，通过对这些实例的各项因素（包括交易日期、交易情况、区域因素、个别因素、权益状况等）加以修正可以</w:t>
      </w:r>
      <w:r>
        <w:rPr>
          <w:rFonts w:hint="eastAsia" w:ascii="宋体" w:hAnsi="宋体" w:eastAsia="宋体"/>
          <w:sz w:val="28"/>
          <w:szCs w:val="28"/>
          <w:lang w:val="en-US" w:eastAsia="zh-CN"/>
        </w:rPr>
        <w:t>估算</w:t>
      </w:r>
      <w:r>
        <w:rPr>
          <w:rFonts w:hint="eastAsia" w:ascii="宋体" w:hAnsi="宋体" w:eastAsia="宋体"/>
          <w:sz w:val="28"/>
          <w:szCs w:val="28"/>
        </w:rPr>
        <w:t>估价对象价值。</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sz w:val="28"/>
          <w:szCs w:val="28"/>
        </w:rPr>
      </w:pPr>
      <w:r>
        <w:rPr>
          <w:rFonts w:hint="eastAsia" w:ascii="宋体" w:hAnsi="宋体" w:eastAsia="宋体"/>
          <w:sz w:val="28"/>
          <w:szCs w:val="28"/>
        </w:rPr>
        <w:t>比较法所采用的基本公式：</w:t>
      </w:r>
    </w:p>
    <w:p>
      <w:pPr>
        <w:pStyle w:val="28"/>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ascii="宋体"/>
          <w:sz w:val="28"/>
          <w:szCs w:val="28"/>
        </w:rPr>
      </w:pPr>
      <w:r>
        <w:rPr>
          <w:rFonts w:ascii="宋体" w:hAnsi="宋体"/>
          <w:sz w:val="28"/>
          <w:szCs w:val="28"/>
        </w:rPr>
        <w:t>a.</w:t>
      </w:r>
      <w:r>
        <w:rPr>
          <w:rFonts w:hint="eastAsia" w:ascii="宋体" w:hAnsi="宋体"/>
          <w:sz w:val="28"/>
          <w:szCs w:val="28"/>
        </w:rPr>
        <w:t>估价对象评估总价</w:t>
      </w:r>
      <w:r>
        <w:rPr>
          <w:rFonts w:ascii="宋体" w:hAnsi="宋体"/>
          <w:sz w:val="28"/>
          <w:szCs w:val="28"/>
        </w:rPr>
        <w:t>=</w:t>
      </w:r>
      <w:r>
        <w:rPr>
          <w:rFonts w:hint="eastAsia" w:ascii="宋体" w:hAnsi="宋体"/>
          <w:sz w:val="28"/>
          <w:szCs w:val="28"/>
        </w:rPr>
        <w:t>估价对象评估单价×估价对象建筑面积</w:t>
      </w:r>
    </w:p>
    <w:p>
      <w:pPr>
        <w:pStyle w:val="28"/>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ascii="宋体"/>
          <w:sz w:val="28"/>
          <w:szCs w:val="28"/>
        </w:rPr>
      </w:pPr>
      <w:r>
        <w:rPr>
          <w:rFonts w:ascii="宋体" w:hAnsi="宋体"/>
          <w:sz w:val="28"/>
          <w:szCs w:val="28"/>
        </w:rPr>
        <w:t>b.</w:t>
      </w:r>
      <w:r>
        <w:rPr>
          <w:rFonts w:hint="eastAsia" w:ascii="宋体" w:hAnsi="宋体"/>
          <w:sz w:val="28"/>
          <w:szCs w:val="28"/>
        </w:rPr>
        <w:t>估价对象评估单价</w:t>
      </w:r>
      <w:r>
        <w:rPr>
          <w:rFonts w:ascii="宋体" w:hAnsi="宋体"/>
          <w:sz w:val="28"/>
          <w:szCs w:val="28"/>
        </w:rPr>
        <w:t>=</w:t>
      </w:r>
      <w:r>
        <w:rPr>
          <w:rFonts w:hint="eastAsia" w:ascii="宋体" w:hAnsi="宋体"/>
          <w:sz w:val="28"/>
          <w:szCs w:val="28"/>
        </w:rPr>
        <w:t>各可比实例比准价值之和÷可比实例数</w:t>
      </w:r>
    </w:p>
    <w:p>
      <w:pPr>
        <w:pStyle w:val="28"/>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ascii="宋体" w:hAnsi="宋体"/>
          <w:sz w:val="28"/>
          <w:szCs w:val="28"/>
        </w:rPr>
      </w:pPr>
      <w:r>
        <w:rPr>
          <w:rFonts w:ascii="宋体" w:hAnsi="宋体"/>
          <w:sz w:val="28"/>
          <w:szCs w:val="28"/>
        </w:rPr>
        <w:t>c.</w:t>
      </w:r>
      <w:r>
        <w:rPr>
          <w:rFonts w:hint="eastAsia" w:ascii="宋体" w:hAnsi="宋体"/>
          <w:sz w:val="28"/>
          <w:szCs w:val="28"/>
        </w:rPr>
        <w:t>比准价值</w:t>
      </w:r>
      <w:r>
        <w:rPr>
          <w:rFonts w:ascii="宋体" w:hAnsi="宋体"/>
          <w:sz w:val="28"/>
          <w:szCs w:val="28"/>
        </w:rPr>
        <w:t>=</w:t>
      </w:r>
      <w:r>
        <w:rPr>
          <w:rFonts w:hint="eastAsia" w:ascii="宋体" w:hAnsi="宋体"/>
          <w:sz w:val="28"/>
          <w:szCs w:val="28"/>
        </w:rPr>
        <w:t>可比实例单价×总调整系数</w:t>
      </w:r>
    </w:p>
    <w:p>
      <w:pPr>
        <w:pStyle w:val="28"/>
        <w:keepNext w:val="0"/>
        <w:keepLines w:val="0"/>
        <w:pageBreakBefore w:val="0"/>
        <w:kinsoku/>
        <w:wordWrap/>
        <w:overflowPunct/>
        <w:topLinePunct w:val="0"/>
        <w:autoSpaceDE/>
        <w:autoSpaceDN/>
        <w:bidi w:val="0"/>
        <w:adjustRightInd/>
        <w:snapToGrid/>
        <w:spacing w:line="360" w:lineRule="auto"/>
        <w:ind w:firstLine="516" w:firstLineChars="200"/>
        <w:jc w:val="both"/>
        <w:textAlignment w:val="auto"/>
        <w:rPr>
          <w:rFonts w:ascii="宋体" w:hAnsi="宋体"/>
          <w:sz w:val="28"/>
          <w:szCs w:val="28"/>
        </w:rPr>
      </w:pPr>
      <w:r>
        <w:rPr>
          <w:rFonts w:ascii="宋体" w:hAnsi="宋体"/>
          <w:spacing w:val="-11"/>
          <w:sz w:val="28"/>
          <w:szCs w:val="28"/>
        </w:rPr>
        <w:t>d.</w:t>
      </w:r>
      <w:r>
        <w:rPr>
          <w:rFonts w:hint="eastAsia" w:ascii="宋体" w:hAnsi="宋体"/>
          <w:spacing w:val="-11"/>
          <w:sz w:val="28"/>
          <w:szCs w:val="28"/>
        </w:rPr>
        <w:t>总调整系数</w:t>
      </w:r>
      <w:r>
        <w:rPr>
          <w:rFonts w:ascii="宋体" w:hAnsi="宋体"/>
          <w:spacing w:val="-11"/>
          <w:sz w:val="28"/>
          <w:szCs w:val="28"/>
        </w:rPr>
        <w:t>=</w:t>
      </w:r>
      <w:r>
        <w:rPr>
          <w:rFonts w:hint="eastAsia" w:ascii="宋体" w:hAnsi="宋体"/>
          <w:spacing w:val="-11"/>
          <w:sz w:val="28"/>
          <w:szCs w:val="28"/>
        </w:rPr>
        <w:t>交易情况</w:t>
      </w:r>
      <w:r>
        <w:rPr>
          <w:rFonts w:hint="eastAsia" w:ascii="宋体" w:hAnsi="宋体"/>
          <w:spacing w:val="-11"/>
          <w:sz w:val="28"/>
          <w:szCs w:val="28"/>
          <w:lang w:val="en-US" w:eastAsia="zh-CN"/>
        </w:rPr>
        <w:t>修正系数</w:t>
      </w:r>
      <w:r>
        <w:rPr>
          <w:rFonts w:hint="eastAsia" w:ascii="宋体" w:hAnsi="宋体"/>
          <w:spacing w:val="-11"/>
          <w:sz w:val="28"/>
          <w:szCs w:val="28"/>
        </w:rPr>
        <w:t>×</w:t>
      </w:r>
      <w:r>
        <w:rPr>
          <w:rFonts w:hint="eastAsia" w:ascii="宋体" w:hAnsi="宋体"/>
          <w:spacing w:val="-11"/>
          <w:sz w:val="28"/>
          <w:szCs w:val="28"/>
          <w:lang w:val="en-US" w:eastAsia="zh-CN"/>
        </w:rPr>
        <w:t>市场状况</w:t>
      </w:r>
      <w:r>
        <w:rPr>
          <w:rFonts w:hint="eastAsia" w:ascii="宋体" w:hAnsi="宋体"/>
          <w:spacing w:val="-11"/>
          <w:sz w:val="28"/>
          <w:szCs w:val="28"/>
        </w:rPr>
        <w:t>调整系数×</w:t>
      </w:r>
      <w:r>
        <w:rPr>
          <w:rFonts w:hint="eastAsia" w:ascii="宋体" w:hAnsi="宋体"/>
          <w:spacing w:val="-11"/>
          <w:sz w:val="28"/>
          <w:szCs w:val="28"/>
          <w:lang w:val="en-US" w:eastAsia="zh-CN"/>
        </w:rPr>
        <w:t>房地产状况</w:t>
      </w:r>
      <w:r>
        <w:rPr>
          <w:rFonts w:hint="eastAsia" w:ascii="宋体" w:hAnsi="宋体"/>
          <w:spacing w:val="-11"/>
          <w:sz w:val="28"/>
          <w:szCs w:val="28"/>
        </w:rPr>
        <w:t>调整系数</w:t>
      </w:r>
    </w:p>
    <w:p>
      <w:pPr>
        <w:keepNext w:val="0"/>
        <w:keepLines w:val="0"/>
        <w:pageBreakBefore w:val="0"/>
        <w:kinsoku/>
        <w:wordWrap/>
        <w:overflowPunct/>
        <w:topLinePunct w:val="0"/>
        <w:autoSpaceDE/>
        <w:autoSpaceDN/>
        <w:bidi w:val="0"/>
        <w:adjustRightInd/>
        <w:snapToGrid/>
        <w:spacing w:line="360" w:lineRule="auto"/>
        <w:ind w:firstLine="492" w:firstLineChars="200"/>
        <w:jc w:val="both"/>
        <w:textAlignment w:val="auto"/>
        <w:rPr>
          <w:rFonts w:ascii="宋体" w:hAnsi="宋体" w:eastAsia="宋体"/>
          <w:color w:val="auto"/>
          <w:sz w:val="28"/>
          <w:szCs w:val="28"/>
        </w:rPr>
      </w:pPr>
      <w:r>
        <w:rPr>
          <w:rFonts w:hint="eastAsia" w:ascii="宋体" w:hAnsi="宋体" w:eastAsia="宋体"/>
          <w:bCs/>
          <w:spacing w:val="-17"/>
          <w:sz w:val="28"/>
          <w:szCs w:val="28"/>
        </w:rPr>
        <w:t>估价对象市场价值评估总价</w:t>
      </w:r>
      <w:r>
        <w:rPr>
          <w:rFonts w:ascii="宋体" w:hAnsi="宋体" w:eastAsia="宋体"/>
          <w:bCs/>
          <w:spacing w:val="-17"/>
          <w:sz w:val="28"/>
          <w:szCs w:val="28"/>
        </w:rPr>
        <w:t>=</w:t>
      </w:r>
      <w:r>
        <w:rPr>
          <w:rFonts w:hint="eastAsia" w:ascii="宋体" w:hAnsi="宋体" w:eastAsia="宋体"/>
          <w:bCs/>
          <w:spacing w:val="-17"/>
          <w:sz w:val="28"/>
          <w:szCs w:val="28"/>
        </w:rPr>
        <w:t>估价对象市场价值评估单价×估价对象建筑面积</w:t>
      </w:r>
    </w:p>
    <w:p>
      <w:pPr>
        <w:keepNext w:val="0"/>
        <w:keepLines w:val="0"/>
        <w:pageBreakBefore w:val="0"/>
        <w:widowControl/>
        <w:tabs>
          <w:tab w:val="left" w:pos="2125"/>
        </w:tabs>
        <w:kinsoku/>
        <w:wordWrap/>
        <w:overflowPunct/>
        <w:topLinePunct w:val="0"/>
        <w:autoSpaceDE/>
        <w:autoSpaceDN/>
        <w:bidi w:val="0"/>
        <w:adjustRightInd/>
        <w:snapToGrid/>
        <w:spacing w:line="360" w:lineRule="auto"/>
        <w:ind w:firstLine="562" w:firstLineChars="200"/>
        <w:jc w:val="left"/>
        <w:textAlignment w:val="auto"/>
        <w:outlineLvl w:val="1"/>
        <w:rPr>
          <w:rFonts w:ascii="宋体" w:hAnsi="宋体" w:eastAsia="宋体"/>
          <w:bCs w:val="0"/>
          <w:color w:val="auto"/>
          <w:sz w:val="28"/>
          <w:szCs w:val="28"/>
        </w:rPr>
      </w:pPr>
      <w:bookmarkStart w:id="33" w:name="_Toc13008"/>
      <w:bookmarkStart w:id="34" w:name="_Toc14289"/>
      <w:r>
        <w:rPr>
          <w:rFonts w:hint="eastAsia" w:ascii="宋体" w:hAnsi="宋体" w:eastAsia="宋体"/>
          <w:b/>
          <w:bCs/>
          <w:color w:val="auto"/>
          <w:sz w:val="28"/>
          <w:szCs w:val="28"/>
        </w:rPr>
        <w:t>十、估价结果</w:t>
      </w:r>
      <w:bookmarkEnd w:id="33"/>
      <w:bookmarkEnd w:id="34"/>
    </w:p>
    <w:p>
      <w:pPr>
        <w:keepNext w:val="0"/>
        <w:keepLines w:val="0"/>
        <w:pageBreakBefore w:val="0"/>
        <w:widowControl w:val="0"/>
        <w:kinsoku/>
        <w:wordWrap/>
        <w:overflowPunct/>
        <w:topLinePunct w:val="0"/>
        <w:autoSpaceDE/>
        <w:autoSpaceDN/>
        <w:bidi w:val="0"/>
        <w:adjustRightInd/>
        <w:snapToGrid/>
        <w:spacing w:line="360" w:lineRule="auto"/>
        <w:ind w:firstLine="516" w:firstLineChars="200"/>
        <w:jc w:val="both"/>
        <w:textAlignment w:val="auto"/>
        <w:rPr>
          <w:rFonts w:ascii="宋体" w:hAnsi="宋体" w:eastAsia="宋体"/>
          <w:color w:val="auto"/>
          <w:sz w:val="28"/>
          <w:szCs w:val="28"/>
        </w:rPr>
      </w:pPr>
      <w:r>
        <w:rPr>
          <w:rFonts w:hint="eastAsia" w:ascii="宋体" w:hAnsi="宋体" w:eastAsia="宋体"/>
          <w:color w:val="auto"/>
          <w:spacing w:val="-11"/>
          <w:sz w:val="28"/>
          <w:szCs w:val="28"/>
        </w:rPr>
        <w:t>本公司根据估价目的，遵循估价原则，依照估价程序和技术标准，在认真分析现有资料、市场调查与询价的基础上，依据相关法律法规及估价委托人提供的产权资料和我们实地查勘的情况，采用科学合理的估价方法，结合估价经验与对影响房地产市场价值的因素进行分析，采用比较法对估价对象进行评估。经过估价测算，于价值时点</w:t>
      </w:r>
      <w:r>
        <w:rPr>
          <w:rFonts w:hint="eastAsia" w:ascii="宋体" w:hAnsi="宋体" w:eastAsia="宋体"/>
          <w:color w:val="auto"/>
          <w:spacing w:val="-11"/>
          <w:sz w:val="28"/>
          <w:szCs w:val="28"/>
          <w:lang w:eastAsia="zh-CN"/>
        </w:rPr>
        <w:t>2022年07月25日</w:t>
      </w:r>
      <w:r>
        <w:rPr>
          <w:rFonts w:hint="eastAsia" w:ascii="宋体" w:hAnsi="宋体" w:eastAsia="宋体"/>
          <w:color w:val="auto"/>
          <w:spacing w:val="-11"/>
          <w:sz w:val="28"/>
          <w:szCs w:val="28"/>
        </w:rPr>
        <w:t>的市场价值为：</w:t>
      </w:r>
      <w:bookmarkStart w:id="35" w:name="_Toc3682"/>
      <w:r>
        <w:rPr>
          <w:rFonts w:ascii="宋体" w:hAnsi="宋体" w:eastAsia="宋体"/>
          <w:b/>
          <w:color w:val="auto"/>
          <w:spacing w:val="-11"/>
          <w:sz w:val="28"/>
          <w:szCs w:val="28"/>
        </w:rPr>
        <w:t>¥</w:t>
      </w:r>
      <w:r>
        <w:rPr>
          <w:rFonts w:hint="eastAsia" w:ascii="宋体" w:hAnsi="宋体" w:eastAsia="宋体"/>
          <w:b/>
          <w:color w:val="auto"/>
          <w:spacing w:val="-11"/>
          <w:sz w:val="28"/>
          <w:szCs w:val="28"/>
          <w:lang w:val="en-US" w:eastAsia="zh-CN"/>
        </w:rPr>
        <w:t>703,100.00</w:t>
      </w:r>
      <w:r>
        <w:rPr>
          <w:rFonts w:hint="eastAsia" w:ascii="宋体" w:hAnsi="宋体" w:eastAsia="宋体"/>
          <w:b/>
          <w:color w:val="auto"/>
          <w:spacing w:val="-11"/>
          <w:sz w:val="28"/>
          <w:szCs w:val="28"/>
          <w:lang w:eastAsia="zh-CN"/>
        </w:rPr>
        <w:t>元</w:t>
      </w:r>
      <w:r>
        <w:rPr>
          <w:rFonts w:hint="eastAsia" w:ascii="宋体" w:hAnsi="宋体" w:eastAsia="宋体"/>
          <w:b/>
          <w:color w:val="auto"/>
          <w:spacing w:val="-11"/>
          <w:sz w:val="28"/>
          <w:szCs w:val="28"/>
        </w:rPr>
        <w:t>（大写人民币：</w:t>
      </w:r>
      <w:r>
        <w:rPr>
          <w:rFonts w:hint="eastAsia" w:ascii="宋体" w:hAnsi="宋体" w:eastAsia="宋体"/>
          <w:b/>
          <w:color w:val="auto"/>
          <w:spacing w:val="-11"/>
          <w:sz w:val="28"/>
          <w:szCs w:val="28"/>
          <w:lang w:eastAsia="zh-CN"/>
        </w:rPr>
        <w:t>柒拾万零叁仟壹佰</w:t>
      </w:r>
      <w:r>
        <w:rPr>
          <w:rFonts w:hint="eastAsia" w:ascii="宋体" w:hAnsi="宋体" w:eastAsia="宋体"/>
          <w:b/>
          <w:color w:val="auto"/>
          <w:spacing w:val="-11"/>
          <w:sz w:val="28"/>
          <w:szCs w:val="28"/>
        </w:rPr>
        <w:t>元整</w:t>
      </w:r>
      <w:r>
        <w:rPr>
          <w:rFonts w:ascii="Times New Roman" w:hAnsi="Times New Roman" w:eastAsia="宋体" w:cs="Times New Roman"/>
          <w:b/>
          <w:color w:val="auto"/>
          <w:spacing w:val="-11"/>
          <w:sz w:val="28"/>
          <w:szCs w:val="28"/>
        </w:rPr>
        <w:t>，取整至佰元</w:t>
      </w:r>
      <w:r>
        <w:rPr>
          <w:rFonts w:hint="eastAsia" w:ascii="宋体" w:hAnsi="宋体" w:eastAsia="宋体"/>
          <w:b/>
          <w:color w:val="auto"/>
          <w:spacing w:val="-11"/>
          <w:sz w:val="28"/>
          <w:szCs w:val="28"/>
        </w:rPr>
        <w:t>）</w:t>
      </w:r>
      <w:r>
        <w:rPr>
          <w:rFonts w:hint="eastAsia" w:ascii="宋体" w:hAnsi="宋体" w:eastAsia="宋体"/>
          <w:color w:val="auto"/>
          <w:spacing w:val="-11"/>
          <w:sz w:val="28"/>
          <w:szCs w:val="28"/>
        </w:rPr>
        <w:t>。详见下表：</w:t>
      </w:r>
    </w:p>
    <w:p>
      <w:pPr>
        <w:keepNext w:val="0"/>
        <w:keepLines w:val="0"/>
        <w:pageBreakBefore w:val="0"/>
        <w:widowControl/>
        <w:kinsoku/>
        <w:wordWrap/>
        <w:overflowPunct/>
        <w:topLinePunct w:val="0"/>
        <w:autoSpaceDE/>
        <w:autoSpaceDN/>
        <w:bidi w:val="0"/>
        <w:adjustRightInd/>
        <w:spacing w:line="336" w:lineRule="auto"/>
        <w:ind w:firstLine="482" w:firstLineChars="20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房地产市场价值估价结果汇总表</w:t>
      </w:r>
    </w:p>
    <w:p>
      <w:pPr>
        <w:keepNext w:val="0"/>
        <w:keepLines w:val="0"/>
        <w:pageBreakBefore w:val="0"/>
        <w:widowControl/>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olor w:val="auto"/>
          <w:sz w:val="21"/>
          <w:szCs w:val="21"/>
        </w:rPr>
      </w:pP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币种：人民币</w:t>
      </w:r>
    </w:p>
    <w:tbl>
      <w:tblPr>
        <w:tblStyle w:val="88"/>
        <w:tblW w:w="513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0"/>
        <w:gridCol w:w="942"/>
        <w:gridCol w:w="1562"/>
        <w:gridCol w:w="1550"/>
        <w:gridCol w:w="988"/>
        <w:gridCol w:w="700"/>
        <w:gridCol w:w="887"/>
        <w:gridCol w:w="638"/>
        <w:gridCol w:w="1087"/>
        <w:gridCol w:w="12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房屋所有人</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座落</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b/>
                <w:bCs/>
                <w:i w:val="0"/>
                <w:iCs w:val="0"/>
                <w:color w:val="000000"/>
                <w:sz w:val="18"/>
                <w:szCs w:val="18"/>
                <w:u w:val="none"/>
                <w:lang w:val="en-US"/>
              </w:rPr>
            </w:pPr>
            <w:r>
              <w:rPr>
                <w:rFonts w:hint="eastAsia" w:ascii="宋体" w:hAnsi="宋体" w:eastAsia="宋体" w:cs="宋体"/>
                <w:b/>
                <w:bCs/>
                <w:i w:val="0"/>
                <w:iCs w:val="0"/>
                <w:color w:val="000000"/>
                <w:kern w:val="0"/>
                <w:sz w:val="18"/>
                <w:szCs w:val="18"/>
                <w:u w:val="none"/>
                <w:lang w:val="en-US" w:eastAsia="zh-CN" w:bidi="ar"/>
              </w:rPr>
              <w:t>不动产权证书号</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建筑面积（㎡）</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结构</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所在层/总层数</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用途</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单价</w:t>
            </w:r>
          </w:p>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（元/㎡）</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总价</w:t>
            </w:r>
          </w:p>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1"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李永奇、浦卉</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寻甸县仁德街道办事处凤梧路馨苑小区B区3幢1单元401室</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土地证：寻国用（2007）第712号；房产证：004417</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146.26</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钢筋混凝土</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住宅</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4,807.00</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703,100.00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jc w:val="center"/>
        </w:trPr>
        <w:tc>
          <w:tcPr>
            <w:tcW w:w="225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合计</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146.26</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b/>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b/>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b/>
                <w:bCs/>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703,100.00</w:t>
            </w:r>
          </w:p>
        </w:tc>
      </w:tr>
    </w:tbl>
    <w:p>
      <w:pPr>
        <w:keepNext w:val="0"/>
        <w:keepLines w:val="0"/>
        <w:pageBreakBefore w:val="0"/>
        <w:widowControl w:val="0"/>
        <w:kinsoku/>
        <w:wordWrap/>
        <w:overflowPunct/>
        <w:topLinePunct w:val="0"/>
        <w:autoSpaceDE/>
        <w:autoSpaceDN/>
        <w:bidi w:val="0"/>
        <w:adjustRightInd/>
        <w:snapToGrid/>
        <w:spacing w:before="158" w:beforeLines="50" w:line="372" w:lineRule="auto"/>
        <w:ind w:firstLine="556" w:firstLineChars="200"/>
        <w:jc w:val="both"/>
        <w:textAlignment w:val="auto"/>
        <w:rPr>
          <w:rFonts w:hint="eastAsia" w:ascii="宋体" w:hAnsi="宋体" w:eastAsia="宋体"/>
          <w:color w:val="auto"/>
          <w:sz w:val="28"/>
          <w:szCs w:val="28"/>
        </w:rPr>
      </w:pPr>
      <w:r>
        <w:rPr>
          <w:rFonts w:hint="eastAsia" w:ascii="宋体" w:hAnsi="宋体" w:eastAsia="宋体"/>
          <w:b/>
          <w:bCs/>
          <w:color w:val="auto"/>
          <w:w w:val="99"/>
          <w:sz w:val="28"/>
          <w:szCs w:val="28"/>
        </w:rPr>
        <w:t>注：</w:t>
      </w:r>
      <w:r>
        <w:rPr>
          <w:rFonts w:hint="eastAsia" w:ascii="宋体" w:hAnsi="宋体" w:eastAsia="宋体"/>
          <w:b/>
          <w:bCs/>
          <w:color w:val="auto"/>
          <w:w w:val="99"/>
          <w:sz w:val="28"/>
          <w:szCs w:val="28"/>
          <w:lang w:eastAsia="zh-CN"/>
        </w:rPr>
        <w:t>本评估报告的评估价值为房地产市场价值，含分摊的国有建设用地使用权价值，含室内装修，不含现状</w:t>
      </w:r>
      <w:r>
        <w:rPr>
          <w:rFonts w:hint="eastAsia" w:ascii="宋体" w:hAnsi="宋体" w:eastAsia="宋体"/>
          <w:b/>
          <w:bCs/>
          <w:color w:val="auto"/>
          <w:w w:val="99"/>
          <w:sz w:val="28"/>
          <w:szCs w:val="28"/>
          <w:lang w:val="en-US" w:eastAsia="zh-CN"/>
        </w:rPr>
        <w:t>室内</w:t>
      </w:r>
      <w:r>
        <w:rPr>
          <w:rFonts w:hint="eastAsia" w:ascii="宋体" w:hAnsi="宋体" w:eastAsia="宋体"/>
          <w:b/>
          <w:bCs/>
          <w:color w:val="auto"/>
          <w:w w:val="99"/>
          <w:sz w:val="28"/>
          <w:szCs w:val="28"/>
          <w:lang w:eastAsia="zh-CN"/>
        </w:rPr>
        <w:t>的可移动物品及其他债权债务</w:t>
      </w:r>
      <w:r>
        <w:rPr>
          <w:rFonts w:hint="eastAsia" w:ascii="宋体" w:hAnsi="宋体" w:eastAsia="宋体"/>
          <w:b/>
          <w:bCs/>
          <w:color w:val="auto"/>
          <w:w w:val="99"/>
          <w:sz w:val="28"/>
          <w:szCs w:val="28"/>
        </w:rPr>
        <w:t>。</w:t>
      </w:r>
    </w:p>
    <w:p>
      <w:pPr>
        <w:keepNext w:val="0"/>
        <w:keepLines w:val="0"/>
        <w:pageBreakBefore w:val="0"/>
        <w:widowControl/>
        <w:numPr>
          <w:ilvl w:val="0"/>
          <w:numId w:val="7"/>
        </w:numPr>
        <w:tabs>
          <w:tab w:val="left" w:pos="3675"/>
        </w:tabs>
        <w:kinsoku/>
        <w:wordWrap/>
        <w:overflowPunct/>
        <w:topLinePunct w:val="0"/>
        <w:autoSpaceDE/>
        <w:autoSpaceDN/>
        <w:bidi w:val="0"/>
        <w:adjustRightInd/>
        <w:snapToGrid/>
        <w:spacing w:line="372" w:lineRule="auto"/>
        <w:ind w:firstLine="562" w:firstLineChars="200"/>
        <w:jc w:val="left"/>
        <w:textAlignment w:val="auto"/>
        <w:outlineLvl w:val="1"/>
        <w:rPr>
          <w:rFonts w:hint="eastAsia" w:ascii="宋体" w:hAnsi="宋体" w:eastAsia="宋体"/>
          <w:b/>
          <w:bCs/>
          <w:color w:val="auto"/>
          <w:sz w:val="28"/>
        </w:rPr>
      </w:pPr>
      <w:bookmarkStart w:id="36" w:name="_Toc6800"/>
      <w:r>
        <w:rPr>
          <w:rFonts w:hint="eastAsia" w:ascii="宋体" w:hAnsi="宋体" w:eastAsia="宋体"/>
          <w:b/>
          <w:bCs/>
          <w:color w:val="auto"/>
          <w:sz w:val="28"/>
        </w:rPr>
        <w:t>房地产估价报告使用提示</w:t>
      </w:r>
      <w:bookmarkEnd w:id="35"/>
      <w:bookmarkEnd w:id="36"/>
    </w:p>
    <w:p>
      <w:pPr>
        <w:keepNext w:val="0"/>
        <w:keepLines w:val="0"/>
        <w:pageBreakBefore w:val="0"/>
        <w:widowControl w:val="0"/>
        <w:numPr>
          <w:ilvl w:val="0"/>
          <w:numId w:val="8"/>
        </w:numPr>
        <w:kinsoku/>
        <w:wordWrap/>
        <w:overflowPunct/>
        <w:topLinePunct w:val="0"/>
        <w:autoSpaceDE/>
        <w:autoSpaceDN/>
        <w:bidi w:val="0"/>
        <w:adjustRightInd/>
        <w:snapToGrid/>
        <w:spacing w:line="372" w:lineRule="auto"/>
        <w:ind w:firstLine="560" w:firstLineChars="200"/>
        <w:jc w:val="both"/>
        <w:textAlignment w:val="auto"/>
        <w:outlineLvl w:val="9"/>
        <w:rPr>
          <w:rFonts w:hint="eastAsia" w:ascii="宋体" w:hAnsi="宋体" w:eastAsia="宋体"/>
          <w:b w:val="0"/>
          <w:bCs w:val="0"/>
          <w:color w:val="auto"/>
          <w:sz w:val="28"/>
          <w:szCs w:val="28"/>
          <w:lang w:eastAsia="zh-CN"/>
        </w:rPr>
      </w:pPr>
      <w:r>
        <w:rPr>
          <w:rFonts w:hint="eastAsia" w:ascii="宋体" w:hAnsi="宋体" w:eastAsia="宋体"/>
          <w:b w:val="0"/>
          <w:bCs w:val="0"/>
          <w:color w:val="auto"/>
          <w:sz w:val="28"/>
          <w:szCs w:val="28"/>
          <w:lang w:val="en-US" w:eastAsia="zh-CN"/>
        </w:rPr>
        <w:t>评估报告使用人</w:t>
      </w:r>
      <w:r>
        <w:rPr>
          <w:rFonts w:hint="eastAsia" w:ascii="宋体" w:hAnsi="宋体" w:eastAsia="宋体"/>
          <w:b w:val="0"/>
          <w:bCs w:val="0"/>
          <w:color w:val="auto"/>
          <w:sz w:val="28"/>
          <w:szCs w:val="28"/>
          <w:lang w:eastAsia="zh-CN"/>
        </w:rPr>
        <w:t>应当按照法律规定和评估报告载明的用途、使用人、使用期限等使用范围使用评估报告。否则，房地产估价机构和注册房地产估价师依法不承担责任。</w:t>
      </w:r>
    </w:p>
    <w:p>
      <w:pPr>
        <w:keepNext w:val="0"/>
        <w:keepLines w:val="0"/>
        <w:pageBreakBefore w:val="0"/>
        <w:widowControl w:val="0"/>
        <w:numPr>
          <w:ilvl w:val="0"/>
          <w:numId w:val="8"/>
        </w:numPr>
        <w:kinsoku/>
        <w:wordWrap/>
        <w:overflowPunct/>
        <w:topLinePunct w:val="0"/>
        <w:autoSpaceDE/>
        <w:autoSpaceDN/>
        <w:bidi w:val="0"/>
        <w:adjustRightInd/>
        <w:snapToGrid/>
        <w:spacing w:line="372" w:lineRule="auto"/>
        <w:ind w:firstLine="560" w:firstLineChars="200"/>
        <w:jc w:val="both"/>
        <w:textAlignment w:val="auto"/>
        <w:rPr>
          <w:rFonts w:ascii="宋体" w:hAnsi="宋体" w:eastAsia="宋体"/>
          <w:color w:val="auto"/>
          <w:sz w:val="28"/>
          <w:szCs w:val="28"/>
        </w:rPr>
      </w:pPr>
      <w:r>
        <w:rPr>
          <w:rFonts w:hint="eastAsia" w:ascii="宋体" w:hAnsi="宋体" w:eastAsia="宋体"/>
          <w:color w:val="auto"/>
          <w:sz w:val="28"/>
          <w:szCs w:val="28"/>
        </w:rPr>
        <w:t>评估结果仅为人民法院确定财产处置参考价服务，不是评估对象处置可实现的成交价格，也不应当被视为对评估对象处置成交价格的保证</w:t>
      </w:r>
      <w:r>
        <w:rPr>
          <w:rFonts w:hint="eastAsia" w:ascii="宋体" w:hAnsi="宋体" w:eastAsia="宋体"/>
          <w:color w:val="auto"/>
          <w:sz w:val="28"/>
          <w:szCs w:val="28"/>
          <w:lang w:eastAsia="zh-CN"/>
        </w:rPr>
        <w:t>。</w:t>
      </w:r>
    </w:p>
    <w:p>
      <w:pPr>
        <w:keepNext w:val="0"/>
        <w:keepLines w:val="0"/>
        <w:pageBreakBefore w:val="0"/>
        <w:widowControl w:val="0"/>
        <w:numPr>
          <w:ilvl w:val="0"/>
          <w:numId w:val="8"/>
        </w:numPr>
        <w:kinsoku/>
        <w:wordWrap/>
        <w:overflowPunct/>
        <w:topLinePunct w:val="0"/>
        <w:autoSpaceDE/>
        <w:autoSpaceDN/>
        <w:bidi w:val="0"/>
        <w:adjustRightInd/>
        <w:snapToGrid/>
        <w:spacing w:line="372" w:lineRule="auto"/>
        <w:ind w:firstLine="560" w:firstLineChars="200"/>
        <w:jc w:val="both"/>
        <w:textAlignment w:val="auto"/>
        <w:rPr>
          <w:rFonts w:ascii="宋体" w:hAnsi="宋体" w:eastAsia="宋体"/>
          <w:color w:val="auto"/>
          <w:sz w:val="28"/>
          <w:szCs w:val="28"/>
        </w:rPr>
      </w:pPr>
      <w:r>
        <w:rPr>
          <w:rFonts w:hint="eastAsia" w:ascii="宋体" w:hAnsi="宋体" w:eastAsia="宋体"/>
          <w:color w:val="auto"/>
          <w:sz w:val="28"/>
          <w:szCs w:val="28"/>
        </w:rPr>
        <w:t>本次估价以估价对象的合法权益为前提进行。包括合法产权、合法使用、合法处分并符合城市规划、土地用途管制等方面为前提。未来可实现的价值与评估的市场价值的差异程度主要在于“价值时点”，而且是“拍卖或变卖”的情形。这种差异程度主要取决于：市场状况、短期强制处分、购买群体的心理排斥等因素的影响，其最可能实现的价值一般比评估价值要低。</w:t>
      </w:r>
    </w:p>
    <w:p>
      <w:pPr>
        <w:keepNext w:val="0"/>
        <w:keepLines w:val="0"/>
        <w:pageBreakBefore w:val="0"/>
        <w:widowControl w:val="0"/>
        <w:numPr>
          <w:ilvl w:val="0"/>
          <w:numId w:val="8"/>
        </w:numPr>
        <w:kinsoku/>
        <w:wordWrap/>
        <w:overflowPunct/>
        <w:topLinePunct w:val="0"/>
        <w:autoSpaceDE/>
        <w:autoSpaceDN/>
        <w:bidi w:val="0"/>
        <w:adjustRightInd/>
        <w:snapToGrid/>
        <w:spacing w:line="372" w:lineRule="auto"/>
        <w:ind w:firstLine="560" w:firstLineChars="200"/>
        <w:jc w:val="both"/>
        <w:textAlignment w:val="auto"/>
        <w:rPr>
          <w:rFonts w:ascii="宋体" w:hAnsi="宋体" w:eastAsia="宋体"/>
          <w:color w:val="auto"/>
          <w:sz w:val="28"/>
          <w:szCs w:val="28"/>
        </w:rPr>
      </w:pPr>
      <w:r>
        <w:rPr>
          <w:rFonts w:hint="eastAsia" w:ascii="宋体" w:hAnsi="宋体" w:eastAsia="宋体"/>
          <w:color w:val="auto"/>
          <w:sz w:val="28"/>
          <w:szCs w:val="28"/>
        </w:rPr>
        <w:t>财产拍卖或者变卖之日与价值时点不一致，可能导致评估结果对应的评估对象状况、房地产市场状况、欠缴税费状况等与财产拍卖或者变卖时的相应状况不一致，发生明显变化的，评估结果应当进行相应调整后才可使用</w:t>
      </w:r>
      <w:r>
        <w:rPr>
          <w:rFonts w:hint="eastAsia" w:ascii="宋体" w:hAnsi="宋体" w:eastAsia="宋体"/>
          <w:color w:val="auto"/>
          <w:sz w:val="28"/>
          <w:szCs w:val="28"/>
          <w:lang w:eastAsia="zh-CN"/>
        </w:rPr>
        <w:t>。</w:t>
      </w:r>
    </w:p>
    <w:p>
      <w:pPr>
        <w:keepNext w:val="0"/>
        <w:keepLines w:val="0"/>
        <w:pageBreakBefore w:val="0"/>
        <w:widowControl w:val="0"/>
        <w:numPr>
          <w:ilvl w:val="0"/>
          <w:numId w:val="8"/>
        </w:numPr>
        <w:kinsoku/>
        <w:wordWrap/>
        <w:overflowPunct/>
        <w:topLinePunct w:val="0"/>
        <w:autoSpaceDE/>
        <w:autoSpaceDN/>
        <w:bidi w:val="0"/>
        <w:adjustRightInd/>
        <w:snapToGrid/>
        <w:spacing w:line="372" w:lineRule="auto"/>
        <w:ind w:firstLine="560" w:firstLineChars="200"/>
        <w:jc w:val="both"/>
        <w:textAlignment w:val="auto"/>
        <w:outlineLvl w:val="9"/>
        <w:rPr>
          <w:rFonts w:hint="eastAsia" w:ascii="宋体" w:hAnsi="宋体" w:eastAsia="宋体"/>
          <w:color w:val="auto"/>
          <w:sz w:val="28"/>
          <w:szCs w:val="28"/>
        </w:rPr>
      </w:pPr>
      <w:r>
        <w:rPr>
          <w:rFonts w:hint="eastAsia" w:ascii="宋体" w:hAnsi="宋体" w:eastAsia="宋体"/>
          <w:color w:val="auto"/>
          <w:sz w:val="28"/>
          <w:szCs w:val="28"/>
        </w:rPr>
        <w:t>估价对象状况和房地产市场状况因时间变化对房地产市场价值可能产生影响，在估价对象实物及区位因素不受意外损害，能正常维护使用，房地产市场没有较大波动的情况下，预计估价报告使用有效期内，房地产市场价值基本保持稳定。在评估报告使用期限或者评估结果有效期内，评估报告或者评估结果未使用之前，如果评估对象状况或者房地产市场状况发生明显变化的，评估结果应当进行相应调整后才可使用</w:t>
      </w:r>
      <w:r>
        <w:rPr>
          <w:rFonts w:hint="eastAsia" w:ascii="宋体" w:hAnsi="宋体" w:eastAsia="宋体"/>
          <w:color w:val="auto"/>
          <w:sz w:val="28"/>
          <w:szCs w:val="28"/>
          <w:lang w:eastAsia="zh-CN"/>
        </w:rPr>
        <w:t>。</w:t>
      </w:r>
    </w:p>
    <w:p>
      <w:pPr>
        <w:keepNext w:val="0"/>
        <w:keepLines w:val="0"/>
        <w:pageBreakBefore w:val="0"/>
        <w:widowControl w:val="0"/>
        <w:numPr>
          <w:ilvl w:val="0"/>
          <w:numId w:val="8"/>
        </w:numPr>
        <w:kinsoku/>
        <w:wordWrap/>
        <w:overflowPunct/>
        <w:topLinePunct w:val="0"/>
        <w:autoSpaceDE/>
        <w:autoSpaceDN/>
        <w:bidi w:val="0"/>
        <w:adjustRightInd/>
        <w:snapToGrid/>
        <w:spacing w:line="372" w:lineRule="auto"/>
        <w:ind w:firstLine="560" w:firstLineChars="200"/>
        <w:jc w:val="both"/>
        <w:textAlignment w:val="auto"/>
        <w:outlineLvl w:val="9"/>
        <w:rPr>
          <w:rFonts w:hint="eastAsia" w:ascii="宋体" w:hAnsi="宋体" w:eastAsia="宋体"/>
          <w:b w:val="0"/>
          <w:bCs w:val="0"/>
          <w:color w:val="auto"/>
          <w:sz w:val="28"/>
          <w:szCs w:val="28"/>
          <w:lang w:eastAsia="zh-CN"/>
        </w:rPr>
      </w:pPr>
      <w:r>
        <w:rPr>
          <w:rFonts w:hint="eastAsia" w:ascii="宋体" w:hAnsi="宋体" w:eastAsia="宋体"/>
          <w:color w:val="auto"/>
          <w:sz w:val="28"/>
          <w:szCs w:val="28"/>
        </w:rPr>
        <w:t xml:space="preserve">当事人、利害关系人收到评估报告后五日内可对评估报告的参照标准、计算方法或者评估结果等向人民法院提出书面异议；当事人、利害关系人对评估机构作出的说明仍有异议的，可以提请人民法院委托评估行业组织进行专业技术评审。 </w:t>
      </w:r>
    </w:p>
    <w:p>
      <w:pPr>
        <w:pStyle w:val="4"/>
        <w:keepNext/>
        <w:keepLines/>
        <w:pageBreakBefore w:val="0"/>
        <w:widowControl/>
        <w:kinsoku/>
        <w:wordWrap/>
        <w:overflowPunct/>
        <w:topLinePunct w:val="0"/>
        <w:autoSpaceDE/>
        <w:autoSpaceDN/>
        <w:bidi w:val="0"/>
        <w:adjustRightInd/>
        <w:snapToGrid/>
        <w:spacing w:before="158" w:beforeLines="50" w:line="360" w:lineRule="auto"/>
        <w:ind w:firstLine="562" w:firstLineChars="200"/>
        <w:textAlignment w:val="auto"/>
        <w:rPr>
          <w:rFonts w:ascii="宋体" w:hAnsi="宋体" w:eastAsia="宋体"/>
          <w:b w:val="0"/>
          <w:color w:val="auto"/>
          <w:sz w:val="28"/>
          <w:szCs w:val="28"/>
        </w:rPr>
      </w:pPr>
      <w:bookmarkStart w:id="37" w:name="_Toc18079"/>
      <w:bookmarkStart w:id="38" w:name="_Toc18488"/>
      <w:r>
        <w:rPr>
          <w:rFonts w:hint="eastAsia" w:ascii="宋体" w:hAnsi="宋体" w:eastAsia="宋体"/>
          <w:bCs w:val="0"/>
          <w:color w:val="auto"/>
          <w:sz w:val="28"/>
          <w:szCs w:val="28"/>
        </w:rPr>
        <w:t>十二、估价人员</w:t>
      </w:r>
      <w:bookmarkEnd w:id="37"/>
      <w:bookmarkEnd w:id="38"/>
      <w:r>
        <w:rPr>
          <w:rFonts w:ascii="宋体" w:hAnsi="宋体" w:eastAsia="宋体"/>
          <w:b w:val="0"/>
          <w:color w:val="auto"/>
          <w:sz w:val="28"/>
          <w:szCs w:val="28"/>
        </w:rPr>
        <w:t xml:space="preserve"> </w:t>
      </w:r>
    </w:p>
    <w:p>
      <w:pPr>
        <w:spacing w:before="120" w:beforeLines="50" w:line="360" w:lineRule="auto"/>
        <w:ind w:firstLine="560" w:firstLineChars="200"/>
        <w:rPr>
          <w:rFonts w:ascii="宋体" w:hAnsi="宋体" w:eastAsia="宋体"/>
          <w:color w:val="auto"/>
          <w:sz w:val="28"/>
          <w:szCs w:val="28"/>
        </w:rPr>
      </w:pPr>
      <w:r>
        <w:rPr>
          <w:rFonts w:hint="eastAsia" w:ascii="宋体" w:hAnsi="宋体" w:eastAsia="宋体"/>
          <w:color w:val="auto"/>
          <w:sz w:val="28"/>
          <w:szCs w:val="28"/>
        </w:rPr>
        <w:t>注册估价师（签章）：</w:t>
      </w:r>
      <w:r>
        <w:rPr>
          <w:rFonts w:ascii="宋体" w:hAnsi="宋体" w:eastAsia="宋体"/>
          <w:color w:val="auto"/>
          <w:sz w:val="28"/>
          <w:szCs w:val="28"/>
        </w:rPr>
        <w:t xml:space="preserve"> </w:t>
      </w:r>
    </w:p>
    <w:p>
      <w:pPr>
        <w:keepNext w:val="0"/>
        <w:keepLines w:val="0"/>
        <w:pageBreakBefore w:val="0"/>
        <w:widowControl/>
        <w:kinsoku/>
        <w:wordWrap/>
        <w:overflowPunct/>
        <w:topLinePunct w:val="0"/>
        <w:autoSpaceDE/>
        <w:autoSpaceDN/>
        <w:bidi w:val="0"/>
        <w:adjustRightInd/>
        <w:snapToGrid/>
        <w:spacing w:before="472" w:beforeLines="150" w:line="480" w:lineRule="auto"/>
        <w:ind w:firstLine="584"/>
        <w:textAlignment w:val="auto"/>
        <w:rPr>
          <w:rFonts w:hint="eastAsia" w:ascii="宋体" w:hAnsi="宋体" w:eastAsia="宋体"/>
          <w:color w:val="auto"/>
          <w:sz w:val="28"/>
          <w:szCs w:val="28"/>
        </w:rPr>
      </w:pPr>
      <w:r>
        <w:rPr>
          <w:rFonts w:hint="eastAsia" w:ascii="宋体" w:hAnsi="宋体" w:eastAsia="宋体"/>
          <w:color w:val="auto"/>
          <w:sz w:val="28"/>
          <w:szCs w:val="28"/>
        </w:rPr>
        <w:t>中国注册房地产估价师：</w:t>
      </w:r>
      <w:r>
        <w:rPr>
          <w:rFonts w:ascii="宋体" w:hAnsi="宋体" w:eastAsia="宋体"/>
          <w:color w:val="auto"/>
          <w:sz w:val="28"/>
          <w:szCs w:val="28"/>
        </w:rPr>
        <w:t xml:space="preserve">  </w:t>
      </w:r>
      <w:r>
        <w:rPr>
          <w:rFonts w:hint="eastAsia" w:ascii="宋体" w:hAnsi="宋体" w:eastAsia="宋体"/>
          <w:color w:val="auto"/>
          <w:sz w:val="28"/>
          <w:szCs w:val="28"/>
        </w:rPr>
        <w:t>孙尔琳</w:t>
      </w:r>
      <w:r>
        <w:rPr>
          <w:rFonts w:ascii="宋体" w:hAnsi="宋体" w:eastAsia="宋体"/>
          <w:color w:val="auto"/>
          <w:sz w:val="28"/>
          <w:szCs w:val="28"/>
        </w:rPr>
        <w:t xml:space="preserve">   </w:t>
      </w:r>
      <w:r>
        <w:rPr>
          <w:rFonts w:hint="eastAsia" w:ascii="宋体" w:hAnsi="宋体" w:eastAsia="宋体"/>
          <w:color w:val="auto"/>
          <w:sz w:val="28"/>
          <w:szCs w:val="28"/>
        </w:rPr>
        <w:t>注册号：5320130046</w:t>
      </w:r>
    </w:p>
    <w:p>
      <w:pPr>
        <w:keepNext w:val="0"/>
        <w:keepLines w:val="0"/>
        <w:pageBreakBefore w:val="0"/>
        <w:widowControl/>
        <w:kinsoku/>
        <w:wordWrap/>
        <w:overflowPunct/>
        <w:topLinePunct w:val="0"/>
        <w:autoSpaceDE/>
        <w:autoSpaceDN/>
        <w:bidi w:val="0"/>
        <w:adjustRightInd/>
        <w:snapToGrid/>
        <w:spacing w:before="1257" w:beforeLines="400" w:line="360" w:lineRule="auto"/>
        <w:ind w:firstLine="585" w:firstLineChars="209"/>
        <w:jc w:val="both"/>
        <w:textAlignment w:val="auto"/>
        <w:rPr>
          <w:rFonts w:hint="eastAsia" w:ascii="宋体" w:hAnsi="宋体" w:eastAsia="宋体"/>
          <w:color w:val="auto"/>
          <w:sz w:val="28"/>
          <w:szCs w:val="28"/>
          <w:lang w:eastAsia="zh-CN"/>
        </w:rPr>
      </w:pPr>
      <w:r>
        <w:rPr>
          <w:rFonts w:hint="eastAsia" w:ascii="宋体" w:hAnsi="宋体" w:eastAsia="宋体"/>
          <w:color w:val="auto"/>
          <w:sz w:val="28"/>
          <w:szCs w:val="28"/>
        </w:rPr>
        <w:t>中国注册房地产估价师：</w:t>
      </w:r>
      <w:r>
        <w:rPr>
          <w:rFonts w:ascii="宋体" w:hAnsi="宋体" w:eastAsia="宋体"/>
          <w:color w:val="auto"/>
          <w:sz w:val="28"/>
          <w:szCs w:val="28"/>
        </w:rPr>
        <w:t xml:space="preserve"> </w:t>
      </w:r>
      <w:r>
        <w:rPr>
          <w:rFonts w:hint="eastAsia" w:ascii="宋体" w:hAnsi="宋体" w:eastAsia="宋体"/>
          <w:color w:val="auto"/>
          <w:sz w:val="28"/>
          <w:szCs w:val="28"/>
        </w:rPr>
        <w:t xml:space="preserve"> </w:t>
      </w:r>
      <w:r>
        <w:rPr>
          <w:rFonts w:hint="eastAsia" w:ascii="宋体" w:hAnsi="宋体" w:eastAsia="宋体"/>
          <w:color w:val="auto"/>
          <w:sz w:val="28"/>
          <w:szCs w:val="28"/>
          <w:lang w:eastAsia="zh-CN"/>
        </w:rPr>
        <w:t>陈冠滔</w:t>
      </w:r>
      <w:r>
        <w:rPr>
          <w:rFonts w:ascii="宋体" w:hAnsi="宋体" w:eastAsia="宋体"/>
          <w:color w:val="auto"/>
          <w:sz w:val="28"/>
          <w:szCs w:val="28"/>
        </w:rPr>
        <w:t xml:space="preserve">   </w:t>
      </w:r>
      <w:r>
        <w:rPr>
          <w:rFonts w:hint="eastAsia" w:ascii="宋体" w:hAnsi="宋体" w:eastAsia="宋体"/>
          <w:color w:val="auto"/>
          <w:sz w:val="28"/>
          <w:szCs w:val="28"/>
        </w:rPr>
        <w:t>注册号：</w:t>
      </w:r>
      <w:r>
        <w:rPr>
          <w:rFonts w:hint="eastAsia" w:ascii="宋体" w:hAnsi="宋体" w:eastAsia="宋体"/>
          <w:color w:val="auto"/>
          <w:sz w:val="28"/>
          <w:szCs w:val="28"/>
          <w:lang w:eastAsia="zh-CN"/>
        </w:rPr>
        <w:t>5320200065</w:t>
      </w:r>
    </w:p>
    <w:p>
      <w:pPr>
        <w:pStyle w:val="4"/>
        <w:keepNext/>
        <w:keepLines/>
        <w:pageBreakBefore w:val="0"/>
        <w:widowControl w:val="0"/>
        <w:numPr>
          <w:ilvl w:val="0"/>
          <w:numId w:val="0"/>
        </w:numPr>
        <w:kinsoku/>
        <w:wordWrap/>
        <w:overflowPunct/>
        <w:topLinePunct w:val="0"/>
        <w:autoSpaceDE/>
        <w:autoSpaceDN/>
        <w:bidi w:val="0"/>
        <w:adjustRightInd/>
        <w:snapToGrid/>
        <w:spacing w:before="629" w:beforeLines="200" w:line="360" w:lineRule="auto"/>
        <w:ind w:firstLine="562" w:firstLineChars="200"/>
        <w:jc w:val="both"/>
        <w:textAlignment w:val="auto"/>
        <w:rPr>
          <w:rFonts w:hint="eastAsia" w:ascii="宋体" w:hAnsi="宋体" w:eastAsia="宋体"/>
          <w:bCs w:val="0"/>
          <w:color w:val="auto"/>
          <w:sz w:val="28"/>
          <w:szCs w:val="28"/>
          <w:lang w:val="en-US" w:eastAsia="zh-CN"/>
        </w:rPr>
      </w:pPr>
      <w:bookmarkStart w:id="39" w:name="_Toc13110"/>
      <w:bookmarkStart w:id="40" w:name="_Toc14499"/>
      <w:r>
        <w:rPr>
          <w:rFonts w:hint="eastAsia" w:ascii="宋体" w:hAnsi="宋体" w:eastAsia="宋体"/>
          <w:bCs w:val="0"/>
          <w:color w:val="auto"/>
          <w:sz w:val="28"/>
          <w:szCs w:val="28"/>
          <w:lang w:val="en-US" w:eastAsia="zh-CN"/>
        </w:rPr>
        <w:t>十三、实地查勘日期</w:t>
      </w:r>
      <w:bookmarkEnd w:id="39"/>
    </w:p>
    <w:p>
      <w:pPr>
        <w:widowControl w:val="0"/>
        <w:spacing w:line="360" w:lineRule="auto"/>
        <w:ind w:firstLine="560" w:firstLineChars="200"/>
        <w:jc w:val="both"/>
        <w:rPr>
          <w:rFonts w:hint="default" w:ascii="宋体" w:hAnsi="宋体" w:eastAsia="宋体"/>
          <w:color w:val="auto"/>
          <w:sz w:val="28"/>
          <w:szCs w:val="28"/>
          <w:lang w:val="en-US" w:eastAsia="zh-CN"/>
        </w:rPr>
      </w:pPr>
      <w:r>
        <w:rPr>
          <w:rFonts w:hint="eastAsia" w:ascii="宋体" w:hAnsi="宋体" w:eastAsia="宋体"/>
          <w:color w:val="auto"/>
          <w:sz w:val="28"/>
          <w:szCs w:val="28"/>
          <w:lang w:val="en-US" w:eastAsia="zh-CN"/>
        </w:rPr>
        <w:t>2022年07月25日</w:t>
      </w:r>
    </w:p>
    <w:p>
      <w:pPr>
        <w:pStyle w:val="4"/>
        <w:keepNext/>
        <w:keepLines/>
        <w:pageBreakBefore w:val="0"/>
        <w:widowControl w:val="0"/>
        <w:kinsoku/>
        <w:wordWrap/>
        <w:overflowPunct/>
        <w:topLinePunct w:val="0"/>
        <w:autoSpaceDE/>
        <w:autoSpaceDN/>
        <w:bidi w:val="0"/>
        <w:adjustRightInd/>
        <w:snapToGrid/>
        <w:spacing w:before="0" w:line="360" w:lineRule="auto"/>
        <w:ind w:firstLine="562" w:firstLineChars="200"/>
        <w:jc w:val="both"/>
        <w:textAlignment w:val="auto"/>
        <w:rPr>
          <w:rFonts w:ascii="宋体" w:hAnsi="宋体" w:eastAsia="宋体"/>
          <w:bCs w:val="0"/>
          <w:color w:val="auto"/>
          <w:sz w:val="28"/>
          <w:szCs w:val="28"/>
        </w:rPr>
      </w:pPr>
      <w:bookmarkStart w:id="41" w:name="_Toc28236"/>
      <w:r>
        <w:rPr>
          <w:rFonts w:hint="eastAsia" w:ascii="宋体" w:hAnsi="宋体" w:eastAsia="宋体"/>
          <w:bCs w:val="0"/>
          <w:color w:val="auto"/>
          <w:sz w:val="28"/>
          <w:szCs w:val="28"/>
        </w:rPr>
        <w:t>十</w:t>
      </w:r>
      <w:r>
        <w:rPr>
          <w:rFonts w:hint="eastAsia" w:ascii="宋体" w:hAnsi="宋体" w:eastAsia="宋体"/>
          <w:bCs w:val="0"/>
          <w:color w:val="auto"/>
          <w:sz w:val="28"/>
          <w:szCs w:val="28"/>
          <w:lang w:val="en-US" w:eastAsia="zh-CN"/>
        </w:rPr>
        <w:t>四</w:t>
      </w:r>
      <w:r>
        <w:rPr>
          <w:rFonts w:hint="eastAsia" w:ascii="宋体" w:hAnsi="宋体" w:eastAsia="宋体"/>
          <w:bCs w:val="0"/>
          <w:color w:val="auto"/>
          <w:sz w:val="28"/>
          <w:szCs w:val="28"/>
        </w:rPr>
        <w:t>、估价作业期</w:t>
      </w:r>
      <w:bookmarkEnd w:id="40"/>
      <w:bookmarkEnd w:id="41"/>
    </w:p>
    <w:p>
      <w:pPr>
        <w:widowControl w:val="0"/>
        <w:spacing w:line="360" w:lineRule="auto"/>
        <w:ind w:firstLine="560" w:firstLineChars="200"/>
        <w:jc w:val="both"/>
        <w:rPr>
          <w:rFonts w:ascii="宋体" w:hAnsi="宋体" w:eastAsia="宋体"/>
          <w:color w:val="auto"/>
          <w:sz w:val="28"/>
          <w:szCs w:val="28"/>
        </w:rPr>
      </w:pPr>
      <w:r>
        <w:rPr>
          <w:rFonts w:hint="eastAsia" w:ascii="宋体" w:hAnsi="宋体" w:eastAsia="宋体"/>
          <w:color w:val="auto"/>
          <w:sz w:val="28"/>
          <w:szCs w:val="28"/>
          <w:lang w:eastAsia="zh-CN"/>
        </w:rPr>
        <w:t>2022年0</w:t>
      </w:r>
      <w:r>
        <w:rPr>
          <w:rFonts w:hint="eastAsia" w:ascii="宋体" w:hAnsi="宋体" w:eastAsia="宋体"/>
          <w:color w:val="auto"/>
          <w:sz w:val="28"/>
          <w:szCs w:val="28"/>
          <w:lang w:val="en-US" w:eastAsia="zh-CN"/>
        </w:rPr>
        <w:t>7</w:t>
      </w:r>
      <w:r>
        <w:rPr>
          <w:rFonts w:hint="eastAsia" w:ascii="宋体" w:hAnsi="宋体" w:eastAsia="宋体"/>
          <w:color w:val="auto"/>
          <w:sz w:val="28"/>
          <w:szCs w:val="28"/>
          <w:lang w:eastAsia="zh-CN"/>
        </w:rPr>
        <w:t>月</w:t>
      </w:r>
      <w:r>
        <w:rPr>
          <w:rFonts w:hint="eastAsia" w:ascii="宋体" w:hAnsi="宋体" w:eastAsia="宋体"/>
          <w:color w:val="auto"/>
          <w:sz w:val="28"/>
          <w:szCs w:val="28"/>
          <w:lang w:val="en-US" w:eastAsia="zh-CN"/>
        </w:rPr>
        <w:t>20</w:t>
      </w:r>
      <w:r>
        <w:rPr>
          <w:rFonts w:hint="eastAsia" w:ascii="宋体" w:hAnsi="宋体" w:eastAsia="宋体"/>
          <w:color w:val="auto"/>
          <w:sz w:val="28"/>
          <w:szCs w:val="28"/>
          <w:lang w:eastAsia="zh-CN"/>
        </w:rPr>
        <w:t>日</w:t>
      </w:r>
      <w:r>
        <w:rPr>
          <w:rFonts w:ascii="宋体" w:hAnsi="宋体" w:eastAsia="宋体"/>
          <w:color w:val="auto"/>
          <w:sz w:val="28"/>
          <w:szCs w:val="28"/>
        </w:rPr>
        <w:t>—</w:t>
      </w:r>
      <w:r>
        <w:rPr>
          <w:rFonts w:hint="eastAsia" w:ascii="宋体" w:hAnsi="宋体" w:eastAsia="宋体"/>
          <w:color w:val="auto"/>
          <w:sz w:val="28"/>
          <w:szCs w:val="28"/>
          <w:lang w:eastAsia="zh-CN"/>
        </w:rPr>
        <w:t>2022年08月04日</w:t>
      </w:r>
      <w:r>
        <w:rPr>
          <w:rFonts w:ascii="宋体" w:hAnsi="宋体" w:eastAsia="宋体"/>
          <w:color w:val="auto"/>
          <w:sz w:val="28"/>
          <w:szCs w:val="28"/>
        </w:rPr>
        <w:t xml:space="preserve">  </w:t>
      </w:r>
    </w:p>
    <w:p>
      <w:pPr>
        <w:pStyle w:val="4"/>
        <w:widowControl w:val="0"/>
        <w:spacing w:before="0" w:line="360" w:lineRule="auto"/>
        <w:ind w:firstLine="562" w:firstLineChars="200"/>
        <w:jc w:val="both"/>
        <w:rPr>
          <w:rFonts w:ascii="宋体" w:hAnsi="宋体" w:eastAsia="宋体"/>
          <w:b w:val="0"/>
          <w:color w:val="auto"/>
          <w:sz w:val="28"/>
          <w:szCs w:val="28"/>
        </w:rPr>
      </w:pPr>
      <w:bookmarkStart w:id="42" w:name="_Toc26303"/>
      <w:bookmarkStart w:id="43" w:name="_Toc267"/>
      <w:r>
        <w:rPr>
          <w:rFonts w:hint="eastAsia" w:ascii="宋体" w:hAnsi="宋体" w:eastAsia="宋体"/>
          <w:bCs w:val="0"/>
          <w:color w:val="auto"/>
          <w:sz w:val="28"/>
          <w:szCs w:val="28"/>
        </w:rPr>
        <w:t>十</w:t>
      </w:r>
      <w:r>
        <w:rPr>
          <w:rFonts w:hint="eastAsia" w:ascii="宋体" w:hAnsi="宋体" w:eastAsia="宋体"/>
          <w:bCs w:val="0"/>
          <w:color w:val="auto"/>
          <w:sz w:val="28"/>
          <w:szCs w:val="28"/>
          <w:lang w:val="en-US" w:eastAsia="zh-CN"/>
        </w:rPr>
        <w:t>五</w:t>
      </w:r>
      <w:r>
        <w:rPr>
          <w:rFonts w:hint="eastAsia" w:ascii="宋体" w:hAnsi="宋体" w:eastAsia="宋体"/>
          <w:bCs w:val="0"/>
          <w:color w:val="auto"/>
          <w:sz w:val="28"/>
          <w:szCs w:val="28"/>
        </w:rPr>
        <w:t>、估价报告应用的有效期</w:t>
      </w:r>
      <w:bookmarkEnd w:id="42"/>
      <w:bookmarkEnd w:id="43"/>
    </w:p>
    <w:p>
      <w:pPr>
        <w:widowControl w:val="0"/>
        <w:spacing w:line="360" w:lineRule="auto"/>
        <w:ind w:firstLine="560" w:firstLineChars="200"/>
        <w:jc w:val="both"/>
        <w:rPr>
          <w:rFonts w:ascii="宋体" w:hAnsi="宋体" w:eastAsia="宋体"/>
          <w:color w:val="auto"/>
          <w:sz w:val="28"/>
          <w:szCs w:val="28"/>
        </w:rPr>
      </w:pPr>
      <w:r>
        <w:rPr>
          <w:rFonts w:hint="eastAsia" w:ascii="宋体" w:hAnsi="宋体" w:eastAsia="宋体"/>
          <w:color w:val="auto"/>
          <w:sz w:val="28"/>
          <w:szCs w:val="28"/>
        </w:rPr>
        <w:t>估价报告应用的有效期自完成估价之日起原则上为一年，即（自</w:t>
      </w:r>
      <w:r>
        <w:rPr>
          <w:rFonts w:hint="eastAsia" w:ascii="宋体" w:hAnsi="宋体" w:eastAsia="宋体"/>
          <w:color w:val="auto"/>
          <w:sz w:val="28"/>
          <w:szCs w:val="28"/>
          <w:lang w:eastAsia="zh-CN"/>
        </w:rPr>
        <w:t>2022年08月04日</w:t>
      </w:r>
      <w:r>
        <w:rPr>
          <w:rFonts w:hint="eastAsia" w:ascii="宋体" w:hAnsi="宋体" w:eastAsia="宋体"/>
          <w:color w:val="auto"/>
          <w:sz w:val="28"/>
          <w:szCs w:val="28"/>
        </w:rPr>
        <w:t>至</w:t>
      </w:r>
      <w:r>
        <w:rPr>
          <w:rFonts w:hint="eastAsia" w:ascii="宋体" w:hAnsi="宋体" w:eastAsia="宋体"/>
          <w:color w:val="auto"/>
          <w:sz w:val="28"/>
          <w:szCs w:val="28"/>
          <w:lang w:eastAsia="zh-CN"/>
        </w:rPr>
        <w:t>202</w:t>
      </w:r>
      <w:r>
        <w:rPr>
          <w:rFonts w:hint="eastAsia" w:ascii="宋体" w:hAnsi="宋体" w:eastAsia="宋体"/>
          <w:color w:val="auto"/>
          <w:sz w:val="28"/>
          <w:szCs w:val="28"/>
          <w:lang w:val="en-US" w:eastAsia="zh-CN"/>
        </w:rPr>
        <w:t>3</w:t>
      </w:r>
      <w:r>
        <w:rPr>
          <w:rFonts w:hint="eastAsia" w:ascii="宋体" w:hAnsi="宋体" w:eastAsia="宋体"/>
          <w:color w:val="auto"/>
          <w:sz w:val="28"/>
          <w:szCs w:val="28"/>
          <w:lang w:eastAsia="zh-CN"/>
        </w:rPr>
        <w:t>年</w:t>
      </w:r>
      <w:r>
        <w:rPr>
          <w:rFonts w:hint="eastAsia" w:ascii="宋体" w:hAnsi="宋体" w:eastAsia="宋体"/>
          <w:color w:val="auto"/>
          <w:sz w:val="28"/>
          <w:szCs w:val="28"/>
          <w:lang w:val="en-US" w:eastAsia="zh-CN"/>
        </w:rPr>
        <w:t>08月03日</w:t>
      </w:r>
      <w:r>
        <w:rPr>
          <w:rFonts w:hint="eastAsia" w:ascii="宋体" w:hAnsi="宋体" w:eastAsia="宋体"/>
          <w:color w:val="auto"/>
          <w:sz w:val="28"/>
          <w:szCs w:val="28"/>
        </w:rPr>
        <w:t>）。但是市场状况变化很大时，应对估价对象重新评估。</w:t>
      </w:r>
    </w:p>
    <w:p>
      <w:pPr>
        <w:keepNext w:val="0"/>
        <w:keepLines w:val="0"/>
        <w:pageBreakBefore w:val="0"/>
        <w:widowControl/>
        <w:kinsoku/>
        <w:wordWrap/>
        <w:overflowPunct/>
        <w:topLinePunct w:val="0"/>
        <w:autoSpaceDE/>
        <w:autoSpaceDN/>
        <w:bidi w:val="0"/>
        <w:adjustRightInd/>
        <w:snapToGrid/>
        <w:spacing w:before="315" w:beforeLines="100" w:line="360" w:lineRule="auto"/>
        <w:ind w:firstLine="198"/>
        <w:jc w:val="right"/>
        <w:textAlignment w:val="auto"/>
        <w:rPr>
          <w:rFonts w:ascii="宋体" w:hAnsi="宋体" w:eastAsia="宋体"/>
          <w:color w:val="auto"/>
          <w:sz w:val="28"/>
          <w:szCs w:val="28"/>
        </w:rPr>
      </w:pPr>
      <w:r>
        <w:rPr>
          <w:rFonts w:hint="eastAsia" w:ascii="宋体" w:hAnsi="宋体" w:eastAsia="宋体"/>
          <w:color w:val="auto"/>
          <w:sz w:val="28"/>
          <w:szCs w:val="28"/>
        </w:rPr>
        <w:t>昆明正中房地产土地资产评估有限公司</w:t>
      </w:r>
      <w:r>
        <w:rPr>
          <w:rFonts w:ascii="宋体" w:hAnsi="宋体" w:eastAsia="宋体"/>
          <w:color w:val="auto"/>
          <w:sz w:val="28"/>
          <w:szCs w:val="28"/>
        </w:rPr>
        <w:t xml:space="preserve">            </w:t>
      </w:r>
    </w:p>
    <w:p>
      <w:pPr>
        <w:spacing w:line="360" w:lineRule="auto"/>
        <w:ind w:right="568" w:firstLine="5180" w:firstLineChars="1850"/>
        <w:jc w:val="center"/>
        <w:rPr>
          <w:rFonts w:hint="eastAsia" w:ascii="宋体" w:hAnsi="宋体" w:eastAsia="宋体"/>
          <w:color w:val="auto"/>
          <w:sz w:val="28"/>
          <w:szCs w:val="28"/>
          <w:lang w:eastAsia="zh-CN"/>
        </w:rPr>
      </w:pPr>
      <w:r>
        <w:rPr>
          <w:rFonts w:hint="eastAsia" w:ascii="宋体" w:hAnsi="宋体" w:eastAsia="宋体"/>
          <w:color w:val="auto"/>
          <w:sz w:val="28"/>
          <w:szCs w:val="28"/>
          <w:lang w:eastAsia="zh-CN"/>
        </w:rPr>
        <w:t>2022年08月04日</w:t>
      </w:r>
    </w:p>
    <w:p>
      <w:pPr>
        <w:spacing w:line="360" w:lineRule="auto"/>
        <w:ind w:right="568" w:firstLine="5180" w:firstLineChars="1850"/>
        <w:jc w:val="center"/>
        <w:rPr>
          <w:rFonts w:hint="eastAsia" w:ascii="宋体" w:hAnsi="宋体" w:eastAsia="宋体"/>
          <w:color w:val="auto"/>
          <w:sz w:val="28"/>
          <w:szCs w:val="28"/>
          <w:lang w:eastAsia="zh-CN"/>
        </w:rPr>
      </w:pPr>
    </w:p>
    <w:p>
      <w:pPr>
        <w:spacing w:line="360" w:lineRule="auto"/>
        <w:ind w:right="568" w:firstLine="5180" w:firstLineChars="1850"/>
        <w:jc w:val="center"/>
        <w:rPr>
          <w:rFonts w:hint="eastAsia" w:ascii="宋体" w:hAnsi="宋体" w:eastAsia="宋体"/>
          <w:color w:val="auto"/>
          <w:sz w:val="28"/>
          <w:szCs w:val="28"/>
          <w:lang w:eastAsia="zh-CN"/>
        </w:rPr>
      </w:pPr>
    </w:p>
    <w:p>
      <w:pPr>
        <w:spacing w:line="360" w:lineRule="auto"/>
        <w:ind w:right="568" w:firstLine="5180" w:firstLineChars="1850"/>
        <w:jc w:val="center"/>
        <w:rPr>
          <w:rFonts w:hint="eastAsia" w:ascii="宋体" w:hAnsi="宋体" w:eastAsia="宋体"/>
          <w:color w:val="auto"/>
          <w:sz w:val="28"/>
          <w:szCs w:val="28"/>
          <w:lang w:eastAsia="zh-CN"/>
        </w:rPr>
      </w:pPr>
    </w:p>
    <w:p>
      <w:pPr>
        <w:spacing w:line="360" w:lineRule="auto"/>
        <w:ind w:right="568" w:firstLine="5180" w:firstLineChars="1850"/>
        <w:jc w:val="center"/>
        <w:rPr>
          <w:rFonts w:hint="eastAsia" w:ascii="宋体" w:hAnsi="宋体" w:eastAsia="宋体"/>
          <w:color w:val="auto"/>
          <w:sz w:val="28"/>
          <w:szCs w:val="28"/>
          <w:lang w:eastAsia="zh-CN"/>
        </w:rPr>
      </w:pPr>
    </w:p>
    <w:p>
      <w:pPr>
        <w:spacing w:line="360" w:lineRule="auto"/>
        <w:ind w:right="568" w:firstLine="5180" w:firstLineChars="1850"/>
        <w:jc w:val="center"/>
        <w:rPr>
          <w:rFonts w:hint="eastAsia" w:ascii="宋体" w:hAnsi="宋体" w:eastAsia="宋体"/>
          <w:color w:val="auto"/>
          <w:sz w:val="28"/>
          <w:szCs w:val="28"/>
          <w:lang w:eastAsia="zh-CN"/>
        </w:rPr>
      </w:pPr>
    </w:p>
    <w:p>
      <w:pPr>
        <w:spacing w:line="360" w:lineRule="auto"/>
        <w:ind w:right="568" w:firstLine="5180" w:firstLineChars="1850"/>
        <w:jc w:val="center"/>
        <w:rPr>
          <w:rFonts w:hint="eastAsia" w:ascii="宋体" w:hAnsi="宋体" w:eastAsia="宋体"/>
          <w:color w:val="auto"/>
          <w:sz w:val="28"/>
          <w:szCs w:val="28"/>
          <w:lang w:eastAsia="zh-CN"/>
        </w:rPr>
      </w:pPr>
    </w:p>
    <w:p>
      <w:pPr>
        <w:spacing w:line="360" w:lineRule="auto"/>
        <w:ind w:right="568" w:firstLine="5180" w:firstLineChars="1850"/>
        <w:jc w:val="center"/>
        <w:rPr>
          <w:rFonts w:hint="eastAsia" w:ascii="宋体" w:hAnsi="宋体" w:eastAsia="宋体"/>
          <w:color w:val="auto"/>
          <w:sz w:val="28"/>
          <w:szCs w:val="28"/>
          <w:lang w:eastAsia="zh-CN"/>
        </w:rPr>
      </w:pPr>
    </w:p>
    <w:p>
      <w:pPr>
        <w:spacing w:line="360" w:lineRule="auto"/>
        <w:ind w:right="700"/>
        <w:jc w:val="center"/>
        <w:outlineLvl w:val="0"/>
        <w:rPr>
          <w:color w:val="auto"/>
        </w:rPr>
      </w:pPr>
      <w:bookmarkStart w:id="44" w:name="_Toc3134"/>
      <w:bookmarkStart w:id="45" w:name="_Toc5184"/>
      <w:r>
        <w:rPr>
          <w:rFonts w:hint="eastAsia" w:ascii="宋体" w:hAnsi="宋体" w:eastAsia="宋体"/>
          <w:b/>
          <w:bCs/>
          <w:color w:val="auto"/>
          <w:sz w:val="36"/>
          <w:szCs w:val="36"/>
        </w:rPr>
        <w:t>第</w:t>
      </w:r>
      <w:r>
        <w:rPr>
          <w:rFonts w:hint="eastAsia" w:ascii="宋体" w:hAnsi="宋体" w:eastAsia="宋体"/>
          <w:b/>
          <w:bCs/>
          <w:color w:val="auto"/>
          <w:sz w:val="36"/>
          <w:szCs w:val="36"/>
          <w:lang w:val="en-US" w:eastAsia="zh-CN"/>
        </w:rPr>
        <w:t>四</w:t>
      </w:r>
      <w:r>
        <w:rPr>
          <w:rFonts w:hint="eastAsia" w:ascii="宋体" w:hAnsi="宋体" w:eastAsia="宋体"/>
          <w:b/>
          <w:bCs/>
          <w:color w:val="auto"/>
          <w:sz w:val="36"/>
          <w:szCs w:val="36"/>
        </w:rPr>
        <w:t xml:space="preserve">部分 </w:t>
      </w:r>
      <w:r>
        <w:rPr>
          <w:rFonts w:hint="eastAsia" w:ascii="宋体" w:hAnsi="宋体" w:eastAsia="宋体"/>
          <w:color w:val="auto"/>
          <w:sz w:val="36"/>
          <w:szCs w:val="36"/>
        </w:rPr>
        <w:t xml:space="preserve"> </w:t>
      </w:r>
      <w:r>
        <w:rPr>
          <w:rFonts w:ascii="宋体" w:hAnsi="宋体" w:eastAsia="宋体"/>
          <w:color w:val="auto"/>
          <w:sz w:val="36"/>
          <w:szCs w:val="36"/>
        </w:rPr>
        <w:t xml:space="preserve"> </w:t>
      </w:r>
      <w:bookmarkEnd w:id="44"/>
      <w:bookmarkStart w:id="46" w:name="_Toc13742"/>
      <w:r>
        <w:rPr>
          <w:rFonts w:hint="eastAsia" w:ascii="宋体" w:hAnsi="宋体" w:eastAsia="宋体"/>
          <w:b/>
          <w:bCs/>
          <w:color w:val="auto"/>
          <w:sz w:val="36"/>
          <w:szCs w:val="36"/>
        </w:rPr>
        <w:t xml:space="preserve">  </w:t>
      </w:r>
      <w:r>
        <w:rPr>
          <w:rFonts w:ascii="宋体" w:hAnsi="宋体" w:eastAsia="宋体"/>
          <w:b/>
          <w:bCs/>
          <w:color w:val="auto"/>
          <w:sz w:val="36"/>
          <w:szCs w:val="36"/>
        </w:rPr>
        <w:t xml:space="preserve"> </w:t>
      </w:r>
      <w:r>
        <w:rPr>
          <w:rFonts w:hint="eastAsia" w:ascii="宋体" w:hAnsi="宋体" w:eastAsia="宋体"/>
          <w:b/>
          <w:bCs/>
          <w:color w:val="auto"/>
          <w:sz w:val="36"/>
          <w:szCs w:val="36"/>
        </w:rPr>
        <w:t>附</w:t>
      </w:r>
      <w:r>
        <w:rPr>
          <w:rFonts w:ascii="宋体" w:hAnsi="宋体" w:eastAsia="宋体"/>
          <w:b/>
          <w:bCs/>
          <w:color w:val="auto"/>
          <w:sz w:val="36"/>
          <w:szCs w:val="36"/>
        </w:rPr>
        <w:t xml:space="preserve">  </w:t>
      </w:r>
      <w:r>
        <w:rPr>
          <w:rFonts w:hint="eastAsia" w:ascii="宋体" w:hAnsi="宋体" w:eastAsia="宋体"/>
          <w:b/>
          <w:bCs/>
          <w:color w:val="auto"/>
          <w:sz w:val="36"/>
          <w:szCs w:val="36"/>
        </w:rPr>
        <w:t>件</w:t>
      </w:r>
      <w:bookmarkEnd w:id="45"/>
      <w:bookmarkEnd w:id="46"/>
    </w:p>
    <w:p>
      <w:pPr>
        <w:pStyle w:val="28"/>
        <w:keepNext w:val="0"/>
        <w:keepLines w:val="0"/>
        <w:pageBreakBefore w:val="0"/>
        <w:widowControl/>
        <w:kinsoku/>
        <w:wordWrap/>
        <w:overflowPunct/>
        <w:topLinePunct w:val="0"/>
        <w:autoSpaceDE/>
        <w:autoSpaceDN/>
        <w:bidi w:val="0"/>
        <w:adjustRightInd/>
        <w:snapToGrid/>
        <w:spacing w:before="315" w:beforeLines="100" w:line="384" w:lineRule="auto"/>
        <w:ind w:firstLine="560" w:firstLineChars="200"/>
        <w:textAlignment w:val="auto"/>
        <w:outlineLvl w:val="1"/>
        <w:rPr>
          <w:rFonts w:ascii="宋体"/>
          <w:color w:val="auto"/>
          <w:sz w:val="28"/>
          <w:szCs w:val="28"/>
        </w:rPr>
      </w:pPr>
      <w:bookmarkStart w:id="47" w:name="_Toc6850"/>
      <w:bookmarkStart w:id="48" w:name="_Toc16039"/>
      <w:bookmarkStart w:id="49" w:name="_Toc29175"/>
      <w:r>
        <w:rPr>
          <w:rFonts w:ascii="宋体" w:hAnsi="宋体"/>
          <w:color w:val="auto"/>
          <w:sz w:val="28"/>
          <w:szCs w:val="28"/>
        </w:rPr>
        <w:t>1</w:t>
      </w:r>
      <w:r>
        <w:rPr>
          <w:rFonts w:hint="eastAsia" w:ascii="宋体" w:hAnsi="宋体"/>
          <w:color w:val="auto"/>
          <w:sz w:val="28"/>
          <w:szCs w:val="28"/>
        </w:rPr>
        <w:t>、估价对象区位图；</w:t>
      </w:r>
      <w:bookmarkEnd w:id="47"/>
      <w:bookmarkEnd w:id="48"/>
      <w:bookmarkEnd w:id="49"/>
    </w:p>
    <w:p>
      <w:pPr>
        <w:pStyle w:val="28"/>
        <w:spacing w:line="384" w:lineRule="auto"/>
        <w:ind w:firstLine="560" w:firstLineChars="200"/>
        <w:outlineLvl w:val="1"/>
        <w:rPr>
          <w:rFonts w:ascii="宋体" w:hAnsi="宋体"/>
          <w:color w:val="auto"/>
          <w:sz w:val="28"/>
          <w:szCs w:val="28"/>
        </w:rPr>
      </w:pPr>
      <w:bookmarkStart w:id="50" w:name="_Toc1235"/>
      <w:bookmarkStart w:id="51" w:name="_Toc6465"/>
      <w:bookmarkStart w:id="52" w:name="_Toc26042"/>
      <w:r>
        <w:rPr>
          <w:rFonts w:ascii="宋体" w:hAnsi="宋体"/>
          <w:color w:val="auto"/>
          <w:sz w:val="28"/>
          <w:szCs w:val="28"/>
        </w:rPr>
        <w:t>2</w:t>
      </w:r>
      <w:r>
        <w:rPr>
          <w:rFonts w:hint="eastAsia" w:ascii="宋体" w:hAnsi="宋体"/>
          <w:color w:val="auto"/>
          <w:sz w:val="28"/>
          <w:szCs w:val="28"/>
        </w:rPr>
        <w:t>、估价对象现场勘查图样；</w:t>
      </w:r>
      <w:bookmarkEnd w:id="50"/>
      <w:bookmarkEnd w:id="51"/>
      <w:bookmarkEnd w:id="52"/>
    </w:p>
    <w:p>
      <w:pPr>
        <w:spacing w:line="360" w:lineRule="auto"/>
        <w:ind w:firstLine="560" w:firstLineChars="200"/>
        <w:jc w:val="both"/>
        <w:outlineLvl w:val="1"/>
        <w:rPr>
          <w:rFonts w:ascii="宋体" w:hAnsi="宋体" w:eastAsia="宋体"/>
          <w:color w:val="auto"/>
          <w:spacing w:val="0"/>
          <w:sz w:val="28"/>
          <w:szCs w:val="28"/>
        </w:rPr>
      </w:pPr>
      <w:bookmarkStart w:id="53" w:name="_Toc10986"/>
      <w:bookmarkStart w:id="54" w:name="_Toc22147"/>
      <w:bookmarkStart w:id="55" w:name="_Toc15736"/>
      <w:r>
        <w:rPr>
          <w:rFonts w:hint="eastAsia" w:ascii="宋体" w:hAnsi="宋体" w:eastAsia="宋体"/>
          <w:color w:val="auto"/>
          <w:spacing w:val="0"/>
          <w:sz w:val="28"/>
          <w:szCs w:val="28"/>
          <w:lang w:val="en-US" w:eastAsia="zh-CN"/>
        </w:rPr>
        <w:t>3</w:t>
      </w:r>
      <w:r>
        <w:rPr>
          <w:rFonts w:hint="eastAsia" w:ascii="宋体" w:hAnsi="宋体" w:eastAsia="宋体"/>
          <w:color w:val="auto"/>
          <w:spacing w:val="0"/>
          <w:sz w:val="28"/>
          <w:szCs w:val="28"/>
        </w:rPr>
        <w:t>、《</w:t>
      </w:r>
      <w:r>
        <w:rPr>
          <w:rFonts w:hint="eastAsia" w:ascii="宋体" w:hAnsi="宋体" w:eastAsia="宋体"/>
          <w:color w:val="auto"/>
          <w:spacing w:val="0"/>
          <w:sz w:val="28"/>
          <w:szCs w:val="28"/>
          <w:lang w:eastAsia="zh-CN"/>
        </w:rPr>
        <w:t>寻甸回族彝族自治县人民法院委托书</w:t>
      </w:r>
      <w:r>
        <w:rPr>
          <w:rFonts w:hint="eastAsia" w:ascii="宋体" w:hAnsi="宋体" w:eastAsia="宋体"/>
          <w:color w:val="auto"/>
          <w:spacing w:val="0"/>
          <w:sz w:val="28"/>
          <w:szCs w:val="28"/>
        </w:rPr>
        <w:t>》</w:t>
      </w:r>
      <w:r>
        <w:rPr>
          <w:rFonts w:hint="eastAsia" w:ascii="宋体" w:hAnsi="宋体" w:eastAsia="宋体"/>
          <w:color w:val="auto"/>
          <w:spacing w:val="0"/>
          <w:sz w:val="28"/>
          <w:szCs w:val="28"/>
          <w:lang w:eastAsia="zh-CN"/>
        </w:rPr>
        <w:t>（2022）云0129执529号</w:t>
      </w:r>
      <w:r>
        <w:rPr>
          <w:rFonts w:hint="eastAsia" w:ascii="宋体" w:hAnsi="宋体" w:eastAsia="宋体"/>
          <w:color w:val="auto"/>
          <w:spacing w:val="0"/>
          <w:sz w:val="28"/>
          <w:szCs w:val="28"/>
        </w:rPr>
        <w:t>；</w:t>
      </w:r>
      <w:bookmarkEnd w:id="53"/>
    </w:p>
    <w:p>
      <w:pPr>
        <w:spacing w:line="360" w:lineRule="auto"/>
        <w:ind w:firstLine="560" w:firstLineChars="200"/>
        <w:jc w:val="both"/>
        <w:outlineLvl w:val="1"/>
        <w:rPr>
          <w:rFonts w:hint="eastAsia" w:ascii="宋体" w:hAnsi="宋体" w:eastAsia="宋体"/>
          <w:color w:val="auto"/>
          <w:spacing w:val="-11"/>
          <w:sz w:val="28"/>
          <w:szCs w:val="28"/>
          <w:lang w:val="en-US" w:eastAsia="zh-CN"/>
        </w:rPr>
      </w:pPr>
      <w:bookmarkStart w:id="56" w:name="_Toc25698"/>
      <w:r>
        <w:rPr>
          <w:rFonts w:hint="eastAsia" w:ascii="宋体" w:hAnsi="宋体" w:eastAsia="宋体"/>
          <w:color w:val="auto"/>
          <w:spacing w:val="0"/>
          <w:sz w:val="28"/>
          <w:szCs w:val="28"/>
          <w:lang w:val="en-US" w:eastAsia="zh-CN"/>
        </w:rPr>
        <w:t>4、《不动产登记中心查档表》复印件；《自然资源部房地产权结果信息一览表》复印件；</w:t>
      </w:r>
      <w:bookmarkEnd w:id="54"/>
      <w:bookmarkEnd w:id="55"/>
      <w:bookmarkEnd w:id="56"/>
    </w:p>
    <w:p>
      <w:pPr>
        <w:pStyle w:val="28"/>
        <w:tabs>
          <w:tab w:val="left" w:pos="8624"/>
        </w:tabs>
        <w:spacing w:line="384" w:lineRule="auto"/>
        <w:ind w:firstLine="560" w:firstLineChars="200"/>
        <w:outlineLvl w:val="1"/>
        <w:rPr>
          <w:rFonts w:ascii="宋体" w:hAnsi="宋体"/>
          <w:color w:val="auto"/>
          <w:sz w:val="28"/>
          <w:szCs w:val="28"/>
        </w:rPr>
      </w:pPr>
      <w:bookmarkStart w:id="57" w:name="_Toc12641"/>
      <w:bookmarkStart w:id="58" w:name="_Toc26724"/>
      <w:bookmarkStart w:id="59" w:name="_Toc7567"/>
      <w:r>
        <w:rPr>
          <w:rFonts w:hint="eastAsia" w:ascii="宋体" w:hAnsi="宋体"/>
          <w:color w:val="auto"/>
          <w:sz w:val="28"/>
          <w:szCs w:val="28"/>
          <w:lang w:val="en-US" w:eastAsia="zh-CN"/>
        </w:rPr>
        <w:t>5</w:t>
      </w:r>
      <w:r>
        <w:rPr>
          <w:rFonts w:hint="eastAsia" w:ascii="宋体" w:hAnsi="宋体"/>
          <w:color w:val="auto"/>
          <w:sz w:val="28"/>
          <w:szCs w:val="28"/>
        </w:rPr>
        <w:t>、房地产估价机构《企业法人营业执照》（复印件）；</w:t>
      </w:r>
      <w:bookmarkEnd w:id="57"/>
      <w:bookmarkEnd w:id="58"/>
      <w:bookmarkEnd w:id="59"/>
    </w:p>
    <w:p>
      <w:pPr>
        <w:pStyle w:val="28"/>
        <w:tabs>
          <w:tab w:val="left" w:pos="8624"/>
        </w:tabs>
        <w:spacing w:line="384" w:lineRule="auto"/>
        <w:ind w:firstLine="560" w:firstLineChars="200"/>
        <w:outlineLvl w:val="1"/>
        <w:rPr>
          <w:rFonts w:ascii="宋体" w:hAnsi="宋体"/>
          <w:color w:val="auto"/>
          <w:sz w:val="28"/>
          <w:szCs w:val="28"/>
        </w:rPr>
      </w:pPr>
      <w:bookmarkStart w:id="60" w:name="_Toc32565"/>
      <w:bookmarkStart w:id="61" w:name="_Toc14395"/>
      <w:bookmarkStart w:id="62" w:name="_Toc32485"/>
      <w:r>
        <w:rPr>
          <w:rFonts w:hint="eastAsia" w:ascii="宋体" w:hAnsi="宋体"/>
          <w:color w:val="auto"/>
          <w:sz w:val="28"/>
          <w:szCs w:val="28"/>
          <w:lang w:val="en-US" w:eastAsia="zh-CN"/>
        </w:rPr>
        <w:t>6</w:t>
      </w:r>
      <w:r>
        <w:rPr>
          <w:rFonts w:hint="eastAsia" w:ascii="宋体" w:hAnsi="宋体"/>
          <w:color w:val="auto"/>
          <w:sz w:val="28"/>
          <w:szCs w:val="28"/>
        </w:rPr>
        <w:t>、房地产估价机构备案证书（复印件）；</w:t>
      </w:r>
      <w:bookmarkEnd w:id="60"/>
      <w:bookmarkEnd w:id="61"/>
      <w:bookmarkEnd w:id="62"/>
    </w:p>
    <w:p>
      <w:pPr>
        <w:pStyle w:val="28"/>
        <w:tabs>
          <w:tab w:val="left" w:pos="8624"/>
        </w:tabs>
        <w:spacing w:line="384" w:lineRule="auto"/>
        <w:ind w:firstLine="560" w:firstLineChars="200"/>
        <w:outlineLvl w:val="1"/>
        <w:rPr>
          <w:rFonts w:hint="eastAsia" w:ascii="宋体" w:hAnsi="宋体"/>
          <w:color w:val="auto"/>
          <w:sz w:val="28"/>
          <w:szCs w:val="28"/>
          <w:lang w:val="en-US" w:eastAsia="zh-CN"/>
        </w:rPr>
      </w:pPr>
      <w:bookmarkStart w:id="63" w:name="_Toc6959"/>
      <w:bookmarkStart w:id="64" w:name="_Toc28179"/>
      <w:bookmarkStart w:id="65" w:name="_Toc14578"/>
      <w:r>
        <w:rPr>
          <w:rFonts w:hint="eastAsia" w:ascii="宋体" w:hAnsi="宋体"/>
          <w:color w:val="auto"/>
          <w:sz w:val="28"/>
          <w:szCs w:val="28"/>
          <w:lang w:val="en-US" w:eastAsia="zh-CN"/>
        </w:rPr>
        <w:t>7、注册房地产估价师注册证书（复印件）。</w:t>
      </w:r>
      <w:bookmarkEnd w:id="1"/>
      <w:bookmarkEnd w:id="3"/>
      <w:bookmarkEnd w:id="4"/>
      <w:bookmarkEnd w:id="5"/>
      <w:bookmarkEnd w:id="6"/>
      <w:bookmarkEnd w:id="7"/>
      <w:bookmarkEnd w:id="8"/>
      <w:bookmarkEnd w:id="9"/>
      <w:bookmarkEnd w:id="10"/>
      <w:bookmarkEnd w:id="11"/>
      <w:bookmarkEnd w:id="12"/>
      <w:bookmarkEnd w:id="13"/>
      <w:bookmarkEnd w:id="63"/>
      <w:bookmarkEnd w:id="64"/>
      <w:bookmarkEnd w:id="65"/>
      <w:bookmarkStart w:id="66" w:name="#go10"/>
      <w:bookmarkEnd w:id="66"/>
    </w:p>
    <w:p>
      <w:pPr>
        <w:pStyle w:val="28"/>
        <w:tabs>
          <w:tab w:val="left" w:pos="8624"/>
        </w:tabs>
        <w:spacing w:line="384" w:lineRule="auto"/>
        <w:ind w:firstLine="560" w:firstLineChars="200"/>
        <w:outlineLvl w:val="1"/>
        <w:rPr>
          <w:rFonts w:hint="eastAsia" w:ascii="宋体" w:hAnsi="宋体"/>
          <w:color w:val="auto"/>
          <w:sz w:val="28"/>
          <w:szCs w:val="28"/>
          <w:lang w:val="en-US" w:eastAsia="zh-CN"/>
        </w:rPr>
      </w:pPr>
    </w:p>
    <w:p>
      <w:pPr>
        <w:pStyle w:val="28"/>
        <w:tabs>
          <w:tab w:val="left" w:pos="8624"/>
        </w:tabs>
        <w:spacing w:line="384" w:lineRule="auto"/>
        <w:ind w:firstLine="560" w:firstLineChars="200"/>
        <w:outlineLvl w:val="1"/>
        <w:rPr>
          <w:rFonts w:hint="eastAsia" w:ascii="宋体" w:hAnsi="宋体"/>
          <w:color w:val="auto"/>
          <w:sz w:val="28"/>
          <w:szCs w:val="28"/>
          <w:lang w:val="en-US" w:eastAsia="zh-CN"/>
        </w:rPr>
      </w:pPr>
    </w:p>
    <w:p>
      <w:pPr>
        <w:spacing w:line="360" w:lineRule="auto"/>
        <w:ind w:right="1820"/>
        <w:jc w:val="right"/>
        <w:rPr>
          <w:rFonts w:ascii="宋体" w:hAnsi="宋体" w:eastAsia="宋体"/>
          <w:color w:val="auto"/>
          <w:sz w:val="28"/>
          <w:szCs w:val="28"/>
        </w:rPr>
        <w:sectPr>
          <w:headerReference r:id="rId11" w:type="default"/>
          <w:pgSz w:w="11906" w:h="16838"/>
          <w:pgMar w:top="1247" w:right="1134" w:bottom="850" w:left="1247" w:header="567" w:footer="850" w:gutter="0"/>
          <w:pgBorders>
            <w:top w:val="none" w:sz="0" w:space="0"/>
            <w:left w:val="none" w:sz="0" w:space="0"/>
            <w:bottom w:val="none" w:sz="0" w:space="0"/>
            <w:right w:val="none" w:sz="0" w:space="0"/>
          </w:pgBorders>
          <w:pgNumType w:fmt="decimal" w:start="1"/>
          <w:cols w:space="720" w:num="1"/>
          <w:docGrid w:linePitch="314" w:charSpace="847"/>
        </w:sectPr>
      </w:pPr>
      <w:bookmarkStart w:id="67" w:name="_Toc412710264"/>
    </w:p>
    <w:bookmarkEnd w:id="67"/>
    <w:p>
      <w:bookmarkStart w:id="68" w:name="_GoBack"/>
      <w:bookmarkEnd w:id="68"/>
    </w:p>
    <w:sectPr>
      <w:headerReference r:id="rId12" w:type="default"/>
      <w:footerReference r:id="rId13" w:type="default"/>
      <w:pgSz w:w="11906" w:h="16838"/>
      <w:pgMar w:top="1247" w:right="1134" w:bottom="794" w:left="1134" w:header="283" w:footer="680" w:gutter="0"/>
      <w:pgBorders>
        <w:top w:val="none" w:sz="0" w:space="0"/>
        <w:left w:val="none" w:sz="0" w:space="0"/>
        <w:bottom w:val="none" w:sz="0" w:space="0"/>
        <w:right w:val="none" w:sz="0" w:space="0"/>
      </w:pgBorders>
      <w:pgNumType w:fmt="decimal"/>
      <w:cols w:space="720" w:num="1"/>
      <w:docGrid w:linePitch="314" w:charSpace="8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ell MT">
    <w:panose1 w:val="02020503060305020303"/>
    <w:charset w:val="00"/>
    <w:family w:val="roman"/>
    <w:pitch w:val="default"/>
    <w:sig w:usb0="00000003" w:usb1="00000000" w:usb2="00000000" w:usb3="00000000" w:csb0="20000001" w:csb1="00000000"/>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Arial Narrow">
    <w:panose1 w:val="020B0606020202030204"/>
    <w:charset w:val="00"/>
    <w:family w:val="swiss"/>
    <w:pitch w:val="default"/>
    <w:sig w:usb0="00000287" w:usb1="00000800" w:usb2="00000000" w:usb3="00000000" w:csb0="2000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roman"/>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center"/>
      <w:rPr>
        <w:sz w:val="18"/>
        <w:szCs w:val="18"/>
      </w:rPr>
    </w:pPr>
    <w:r>
      <w:rPr>
        <w:rStyle w:val="92"/>
        <w:rFonts w:hint="eastAsia" w:asciiTheme="minorEastAsia" w:hAnsiTheme="minorEastAsia" w:eastAsiaTheme="minorEastAsia" w:cstheme="minorEastAsia"/>
        <w:color w:val="000000"/>
        <w:sz w:val="21"/>
        <w:szCs w:val="21"/>
      </w:rPr>
      <w:t>昆明</w:t>
    </w:r>
    <w:r>
      <w:rPr>
        <w:rStyle w:val="92"/>
        <w:rFonts w:hint="eastAsia" w:asciiTheme="minorEastAsia" w:hAnsiTheme="minorEastAsia" w:eastAsiaTheme="minorEastAsia" w:cstheme="minorEastAsia"/>
        <w:color w:val="000000"/>
        <w:sz w:val="21"/>
        <w:szCs w:val="21"/>
        <w:lang w:val="en-US" w:eastAsia="zh-CN"/>
      </w:rPr>
      <w:t>正中房地产土地资产评估有限公司</w:t>
    </w:r>
    <w:r>
      <w:rPr>
        <w:rStyle w:val="92"/>
        <w:rFonts w:hint="eastAsia" w:asciiTheme="minorEastAsia" w:hAnsiTheme="minorEastAsia" w:eastAsiaTheme="minorEastAsia" w:cstheme="minorEastAsia"/>
        <w:color w:val="000000"/>
        <w:sz w:val="21"/>
        <w:szCs w:val="21"/>
      </w:rPr>
      <w:t xml:space="preserve">  </w:t>
    </w:r>
    <w:r>
      <w:rPr>
        <w:rStyle w:val="92"/>
        <w:rFonts w:hint="eastAsia" w:asciiTheme="minorEastAsia" w:hAnsiTheme="minorEastAsia" w:eastAsiaTheme="minorEastAsia" w:cstheme="minorEastAsia"/>
        <w:color w:val="000000"/>
        <w:sz w:val="21"/>
        <w:szCs w:val="21"/>
        <w:lang w:val="en-US" w:eastAsia="zh-CN"/>
      </w:rPr>
      <w:t xml:space="preserve">                       </w:t>
    </w:r>
    <w:r>
      <w:rPr>
        <w:rStyle w:val="92"/>
        <w:rFonts w:hint="eastAsia" w:asciiTheme="minorEastAsia" w:hAnsiTheme="minorEastAsia" w:eastAsiaTheme="minorEastAsia" w:cstheme="minorEastAsia"/>
        <w:color w:val="000000"/>
        <w:sz w:val="21"/>
        <w:szCs w:val="21"/>
      </w:rPr>
      <w:t xml:space="preserve">  电话:0871-63641020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center"/>
      <w:rPr>
        <w:sz w:val="18"/>
        <w:szCs w:val="18"/>
      </w:rPr>
    </w:pPr>
    <w:r>
      <w:rPr>
        <w:rStyle w:val="92"/>
        <w:rFonts w:hint="eastAsia" w:asciiTheme="minorEastAsia" w:hAnsiTheme="minorEastAsia" w:eastAsiaTheme="minorEastAsia" w:cstheme="minorEastAsia"/>
        <w:color w:val="000000"/>
        <w:sz w:val="21"/>
        <w:szCs w:val="21"/>
      </w:rPr>
      <w:t>昆明</w:t>
    </w:r>
    <w:r>
      <w:rPr>
        <w:rStyle w:val="92"/>
        <w:rFonts w:hint="eastAsia" w:asciiTheme="minorEastAsia" w:hAnsiTheme="minorEastAsia" w:eastAsiaTheme="minorEastAsia" w:cstheme="minorEastAsia"/>
        <w:color w:val="000000"/>
        <w:sz w:val="21"/>
        <w:szCs w:val="21"/>
        <w:lang w:val="en-US" w:eastAsia="zh-CN"/>
      </w:rPr>
      <w:t>正中房地产土地资产评估有限公司</w:t>
    </w:r>
    <w:r>
      <w:rPr>
        <w:rStyle w:val="92"/>
        <w:rFonts w:hint="eastAsia" w:asciiTheme="minorEastAsia" w:hAnsiTheme="minorEastAsia" w:eastAsiaTheme="minorEastAsia" w:cstheme="minorEastAsia"/>
        <w:color w:val="000000"/>
        <w:sz w:val="21"/>
        <w:szCs w:val="21"/>
      </w:rPr>
      <w:t xml:space="preserve">  </w:t>
    </w:r>
    <w:r>
      <w:rPr>
        <w:rStyle w:val="92"/>
        <w:rFonts w:hint="eastAsia" w:asciiTheme="minorEastAsia" w:hAnsiTheme="minorEastAsia" w:eastAsiaTheme="minorEastAsia" w:cstheme="minorEastAsia"/>
        <w:color w:val="000000"/>
        <w:sz w:val="21"/>
        <w:szCs w:val="21"/>
        <w:lang w:val="en-US" w:eastAsia="zh-CN"/>
      </w:rPr>
      <w:t xml:space="preserve">                       </w:t>
    </w:r>
    <w:r>
      <w:rPr>
        <w:rStyle w:val="92"/>
        <w:rFonts w:hint="eastAsia" w:asciiTheme="minorEastAsia" w:hAnsiTheme="minorEastAsia" w:eastAsiaTheme="minorEastAsia" w:cstheme="minorEastAsia"/>
        <w:color w:val="000000"/>
        <w:sz w:val="21"/>
        <w:szCs w:val="21"/>
      </w:rPr>
      <w:t xml:space="preserve">  电话:0871-63641020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center"/>
    </w:pPr>
    <w:r>
      <w:rPr>
        <w:rStyle w:val="92"/>
        <w:rFonts w:hint="eastAsia" w:asciiTheme="minorEastAsia" w:hAnsiTheme="minorEastAsia" w:eastAsiaTheme="minorEastAsia" w:cstheme="minorEastAsia"/>
        <w:color w:val="000000"/>
        <w:sz w:val="21"/>
        <w:szCs w:val="21"/>
      </w:rPr>
      <w:t>昆明</w:t>
    </w:r>
    <w:r>
      <w:rPr>
        <w:rStyle w:val="92"/>
        <w:rFonts w:hint="eastAsia" w:asciiTheme="minorEastAsia" w:hAnsiTheme="minorEastAsia" w:eastAsiaTheme="minorEastAsia" w:cstheme="minorEastAsia"/>
        <w:color w:val="000000"/>
        <w:sz w:val="21"/>
        <w:szCs w:val="21"/>
        <w:lang w:val="en-US" w:eastAsia="zh-CN"/>
      </w:rPr>
      <w:t>正中房地产土地资产评估有限公司</w:t>
    </w:r>
    <w:r>
      <w:rPr>
        <w:rStyle w:val="92"/>
        <w:rFonts w:hint="eastAsia" w:asciiTheme="minorEastAsia" w:hAnsiTheme="minorEastAsia" w:eastAsiaTheme="minorEastAsia" w:cstheme="minorEastAsia"/>
        <w:color w:val="000000"/>
        <w:sz w:val="21"/>
        <w:szCs w:val="21"/>
      </w:rPr>
      <w:t xml:space="preserve">  </w:t>
    </w:r>
    <w:r>
      <w:rPr>
        <w:rStyle w:val="92"/>
        <w:rFonts w:hint="eastAsia" w:asciiTheme="minorEastAsia" w:hAnsiTheme="minorEastAsia" w:eastAsiaTheme="minorEastAsia" w:cstheme="minorEastAsia"/>
        <w:color w:val="000000"/>
        <w:sz w:val="21"/>
        <w:szCs w:val="21"/>
        <w:lang w:val="en-US" w:eastAsia="zh-CN"/>
      </w:rPr>
      <w:t xml:space="preserve">                       </w:t>
    </w:r>
    <w:r>
      <w:rPr>
        <w:rStyle w:val="92"/>
        <w:rFonts w:hint="eastAsia" w:asciiTheme="minorEastAsia" w:hAnsiTheme="minorEastAsia" w:eastAsiaTheme="minorEastAsia" w:cstheme="minorEastAsia"/>
        <w:color w:val="000000"/>
        <w:sz w:val="21"/>
        <w:szCs w:val="21"/>
      </w:rPr>
      <w:t xml:space="preserve">  电话:0871-63641020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pPr>
      <w:r>
        <w:separator/>
      </w:r>
    </w:p>
  </w:footnote>
  <w:footnote w:type="continuationSeparator" w:id="1">
    <w:p>
      <w:pPr>
        <w:spacing w:line="30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r>
      <w:drawing>
        <wp:anchor distT="0" distB="0" distL="114300" distR="114300" simplePos="0" relativeHeight="251660288" behindDoc="0" locked="0" layoutInCell="1" allowOverlap="1">
          <wp:simplePos x="0" y="0"/>
          <wp:positionH relativeFrom="column">
            <wp:posOffset>568960</wp:posOffset>
          </wp:positionH>
          <wp:positionV relativeFrom="paragraph">
            <wp:posOffset>-128905</wp:posOffset>
          </wp:positionV>
          <wp:extent cx="5453380" cy="751840"/>
          <wp:effectExtent l="0" t="0" r="13970" b="10160"/>
          <wp:wrapTopAndBottom/>
          <wp:docPr id="1" name="图片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46"/>
                  <pic:cNvPicPr>
                    <a:picLocks noChangeAspect="1"/>
                  </pic:cNvPicPr>
                </pic:nvPicPr>
                <pic:blipFill>
                  <a:blip r:embed="rId1"/>
                  <a:stretch>
                    <a:fillRect/>
                  </a:stretch>
                </pic:blipFill>
                <pic:spPr>
                  <a:xfrm>
                    <a:off x="0" y="0"/>
                    <a:ext cx="5453380" cy="751840"/>
                  </a:xfrm>
                  <a:prstGeom prst="rect">
                    <a:avLst/>
                  </a:prstGeom>
                  <a:noFill/>
                  <a:ln w="9525">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r>
      <w:drawing>
        <wp:anchor distT="0" distB="0" distL="114300" distR="114300" simplePos="0" relativeHeight="251661312" behindDoc="0" locked="0" layoutInCell="1" allowOverlap="1">
          <wp:simplePos x="0" y="0"/>
          <wp:positionH relativeFrom="column">
            <wp:posOffset>820420</wp:posOffset>
          </wp:positionH>
          <wp:positionV relativeFrom="paragraph">
            <wp:posOffset>-3810</wp:posOffset>
          </wp:positionV>
          <wp:extent cx="4701540" cy="647700"/>
          <wp:effectExtent l="0" t="0" r="3810" b="0"/>
          <wp:wrapTopAndBottom/>
          <wp:docPr id="81" name="图片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046"/>
                  <pic:cNvPicPr>
                    <a:picLocks noChangeAspect="1"/>
                  </pic:cNvPicPr>
                </pic:nvPicPr>
                <pic:blipFill>
                  <a:blip r:embed="rId1"/>
                  <a:stretch>
                    <a:fillRect/>
                  </a:stretch>
                </pic:blipFill>
                <pic:spPr>
                  <a:xfrm>
                    <a:off x="0" y="0"/>
                    <a:ext cx="4701540" cy="647700"/>
                  </a:xfrm>
                  <a:prstGeom prst="rect">
                    <a:avLst/>
                  </a:prstGeom>
                  <a:noFill/>
                  <a:ln w="9525">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r>
      <w:drawing>
        <wp:anchor distT="0" distB="0" distL="114300" distR="114300" simplePos="0" relativeHeight="251662336" behindDoc="0" locked="0" layoutInCell="1" allowOverlap="1">
          <wp:simplePos x="0" y="0"/>
          <wp:positionH relativeFrom="column">
            <wp:posOffset>820420</wp:posOffset>
          </wp:positionH>
          <wp:positionV relativeFrom="paragraph">
            <wp:posOffset>-3810</wp:posOffset>
          </wp:positionV>
          <wp:extent cx="4701540" cy="647700"/>
          <wp:effectExtent l="0" t="0" r="3810" b="0"/>
          <wp:wrapTopAndBottom/>
          <wp:docPr id="15" name="图片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46"/>
                  <pic:cNvPicPr>
                    <a:picLocks noChangeAspect="1"/>
                  </pic:cNvPicPr>
                </pic:nvPicPr>
                <pic:blipFill>
                  <a:blip r:embed="rId1"/>
                  <a:stretch>
                    <a:fillRect/>
                  </a:stretch>
                </pic:blipFill>
                <pic:spPr>
                  <a:xfrm>
                    <a:off x="0" y="0"/>
                    <a:ext cx="4701540" cy="647700"/>
                  </a:xfrm>
                  <a:prstGeom prst="rect">
                    <a:avLst/>
                  </a:prstGeom>
                  <a:noFill/>
                  <a:ln w="9525">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r>
      <w:drawing>
        <wp:anchor distT="0" distB="0" distL="114300" distR="114300" simplePos="0" relativeHeight="251663360" behindDoc="0" locked="0" layoutInCell="1" allowOverlap="1">
          <wp:simplePos x="0" y="0"/>
          <wp:positionH relativeFrom="column">
            <wp:posOffset>820420</wp:posOffset>
          </wp:positionH>
          <wp:positionV relativeFrom="paragraph">
            <wp:posOffset>-3810</wp:posOffset>
          </wp:positionV>
          <wp:extent cx="4701540" cy="647700"/>
          <wp:effectExtent l="0" t="0" r="3810" b="0"/>
          <wp:wrapTopAndBottom/>
          <wp:docPr id="22" name="图片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46"/>
                  <pic:cNvPicPr>
                    <a:picLocks noChangeAspect="1"/>
                  </pic:cNvPicPr>
                </pic:nvPicPr>
                <pic:blipFill>
                  <a:blip r:embed="rId1"/>
                  <a:stretch>
                    <a:fillRect/>
                  </a:stretch>
                </pic:blipFill>
                <pic:spPr>
                  <a:xfrm>
                    <a:off x="0" y="0"/>
                    <a:ext cx="4701540" cy="647700"/>
                  </a:xfrm>
                  <a:prstGeom prst="rect">
                    <a:avLst/>
                  </a:prstGeom>
                  <a:noFill/>
                  <a:ln w="9525">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r>
      <w:drawing>
        <wp:anchor distT="0" distB="0" distL="114300" distR="114300" simplePos="0" relativeHeight="251664384" behindDoc="0" locked="0" layoutInCell="1" allowOverlap="1">
          <wp:simplePos x="0" y="0"/>
          <wp:positionH relativeFrom="column">
            <wp:posOffset>820420</wp:posOffset>
          </wp:positionH>
          <wp:positionV relativeFrom="paragraph">
            <wp:posOffset>-3810</wp:posOffset>
          </wp:positionV>
          <wp:extent cx="4701540" cy="647700"/>
          <wp:effectExtent l="0" t="0" r="3810" b="0"/>
          <wp:wrapTopAndBottom/>
          <wp:docPr id="24" name="图片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46"/>
                  <pic:cNvPicPr>
                    <a:picLocks noChangeAspect="1"/>
                  </pic:cNvPicPr>
                </pic:nvPicPr>
                <pic:blipFill>
                  <a:blip r:embed="rId1"/>
                  <a:stretch>
                    <a:fillRect/>
                  </a:stretch>
                </pic:blipFill>
                <pic:spPr>
                  <a:xfrm>
                    <a:off x="0" y="0"/>
                    <a:ext cx="4701540" cy="647700"/>
                  </a:xfrm>
                  <a:prstGeom prst="rect">
                    <a:avLst/>
                  </a:prstGeom>
                  <a:noFill/>
                  <a:ln w="9525">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r>
      <w:drawing>
        <wp:anchor distT="0" distB="0" distL="114300" distR="114300" simplePos="0" relativeHeight="251659264" behindDoc="0" locked="0" layoutInCell="1" allowOverlap="1">
          <wp:simplePos x="0" y="0"/>
          <wp:positionH relativeFrom="column">
            <wp:posOffset>865505</wp:posOffset>
          </wp:positionH>
          <wp:positionV relativeFrom="paragraph">
            <wp:posOffset>52070</wp:posOffset>
          </wp:positionV>
          <wp:extent cx="4697095" cy="646430"/>
          <wp:effectExtent l="0" t="0" r="8255" b="1270"/>
          <wp:wrapTopAndBottom/>
          <wp:docPr id="28" name="图片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48"/>
                  <pic:cNvPicPr>
                    <a:picLocks noChangeAspect="1"/>
                  </pic:cNvPicPr>
                </pic:nvPicPr>
                <pic:blipFill>
                  <a:blip r:embed="rId1"/>
                  <a:stretch>
                    <a:fillRect/>
                  </a:stretch>
                </pic:blipFill>
                <pic:spPr>
                  <a:xfrm>
                    <a:off x="0" y="0"/>
                    <a:ext cx="4697095" cy="646430"/>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EC823C"/>
    <w:multiLevelType w:val="singleLevel"/>
    <w:tmpl w:val="97EC823C"/>
    <w:lvl w:ilvl="0" w:tentative="0">
      <w:start w:val="11"/>
      <w:numFmt w:val="chineseCounting"/>
      <w:suff w:val="nothing"/>
      <w:lvlText w:val="%1、"/>
      <w:lvlJc w:val="left"/>
      <w:rPr>
        <w:rFonts w:hint="eastAsia"/>
      </w:rPr>
    </w:lvl>
  </w:abstractNum>
  <w:abstractNum w:abstractNumId="1">
    <w:nsid w:val="9C1EFB49"/>
    <w:multiLevelType w:val="singleLevel"/>
    <w:tmpl w:val="9C1EFB49"/>
    <w:lvl w:ilvl="0" w:tentative="0">
      <w:start w:val="1"/>
      <w:numFmt w:val="chineseCounting"/>
      <w:suff w:val="nothing"/>
      <w:lvlText w:val="（%1）"/>
      <w:lvlJc w:val="left"/>
      <w:rPr>
        <w:rFonts w:hint="eastAsia"/>
      </w:rPr>
    </w:lvl>
  </w:abstractNum>
  <w:abstractNum w:abstractNumId="2">
    <w:nsid w:val="D276B31E"/>
    <w:multiLevelType w:val="singleLevel"/>
    <w:tmpl w:val="D276B31E"/>
    <w:lvl w:ilvl="0" w:tentative="0">
      <w:start w:val="2"/>
      <w:numFmt w:val="chineseCounting"/>
      <w:suff w:val="space"/>
      <w:lvlText w:val="第%1部分"/>
      <w:lvlJc w:val="left"/>
      <w:rPr>
        <w:rFonts w:hint="eastAsia"/>
      </w:rPr>
    </w:lvl>
  </w:abstractNum>
  <w:abstractNum w:abstractNumId="3">
    <w:nsid w:val="D2988FF3"/>
    <w:multiLevelType w:val="singleLevel"/>
    <w:tmpl w:val="D2988FF3"/>
    <w:lvl w:ilvl="0" w:tentative="0">
      <w:start w:val="4"/>
      <w:numFmt w:val="chineseCounting"/>
      <w:suff w:val="nothing"/>
      <w:lvlText w:val="（%1）"/>
      <w:lvlJc w:val="left"/>
      <w:rPr>
        <w:rFonts w:hint="eastAsia"/>
      </w:rPr>
    </w:lvl>
  </w:abstractNum>
  <w:abstractNum w:abstractNumId="4">
    <w:nsid w:val="EA7A672B"/>
    <w:multiLevelType w:val="singleLevel"/>
    <w:tmpl w:val="EA7A672B"/>
    <w:lvl w:ilvl="0" w:tentative="0">
      <w:start w:val="1"/>
      <w:numFmt w:val="decimal"/>
      <w:suff w:val="nothing"/>
      <w:lvlText w:val="%1、"/>
      <w:lvlJc w:val="left"/>
    </w:lvl>
  </w:abstractNum>
  <w:abstractNum w:abstractNumId="5">
    <w:nsid w:val="EAA9EDC8"/>
    <w:multiLevelType w:val="singleLevel"/>
    <w:tmpl w:val="EAA9EDC8"/>
    <w:lvl w:ilvl="0" w:tentative="0">
      <w:start w:val="1"/>
      <w:numFmt w:val="chineseCounting"/>
      <w:suff w:val="nothing"/>
      <w:lvlText w:val="%1、"/>
      <w:lvlJc w:val="left"/>
      <w:rPr>
        <w:rFonts w:hint="eastAsia"/>
      </w:rPr>
    </w:lvl>
  </w:abstractNum>
  <w:abstractNum w:abstractNumId="6">
    <w:nsid w:val="1907027E"/>
    <w:multiLevelType w:val="singleLevel"/>
    <w:tmpl w:val="1907027E"/>
    <w:lvl w:ilvl="0" w:tentative="0">
      <w:start w:val="2"/>
      <w:numFmt w:val="decimal"/>
      <w:suff w:val="nothing"/>
      <w:lvlText w:val="%1、"/>
      <w:lvlJc w:val="left"/>
    </w:lvl>
  </w:abstractNum>
  <w:abstractNum w:abstractNumId="7">
    <w:nsid w:val="7541D30B"/>
    <w:multiLevelType w:val="singleLevel"/>
    <w:tmpl w:val="7541D30B"/>
    <w:lvl w:ilvl="0" w:tentative="0">
      <w:start w:val="5"/>
      <w:numFmt w:val="chineseCounting"/>
      <w:suff w:val="nothing"/>
      <w:lvlText w:val="（%1）"/>
      <w:lvlJc w:val="left"/>
      <w:rPr>
        <w:rFonts w:hint="eastAsia"/>
      </w:rPr>
    </w:lvl>
  </w:abstractNum>
  <w:num w:numId="1">
    <w:abstractNumId w:val="5"/>
  </w:num>
  <w:num w:numId="2">
    <w:abstractNumId w:val="2"/>
  </w:num>
  <w:num w:numId="3">
    <w:abstractNumId w:val="3"/>
  </w:num>
  <w:num w:numId="4">
    <w:abstractNumId w:val="7"/>
  </w:num>
  <w:num w:numId="5">
    <w:abstractNumId w:val="4"/>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Type w:val="letter"/>
  <w:bordersDoNotSurroundHeader w:val="0"/>
  <w:bordersDoNotSurroundFooter w:val="0"/>
  <w:hideSpellingErrors/>
  <w:doNotTrackMoves/>
  <w:documentProtection w:enforcement="0"/>
  <w:defaultTabStop w:val="720"/>
  <w:drawingGridHorizontalSpacing w:val="112"/>
  <w:drawingGridVerticalSpacing w:val="157"/>
  <w:displayHorizontalDrawingGridEvery w:val="1"/>
  <w:displayVerticalDrawingGridEvery w:val="1"/>
  <w:noPunctuationKerning w:val="1"/>
  <w:characterSpacingControl w:val="doNotCompress"/>
  <w:noLineBreaksAfter w:lang="zh-CN" w:val="$([{£¥·‘“〈《「『【〔〖〝﹙﹛﹝＄（．［｛￡￥"/>
  <w:noLineBreaksBefore w:lang="zh-CN" w:val="!%),.:;&gt;?]}¢¨°·ˇˉ―‖’”…‰′″›℃∶、。〃〉》」』】〕〗〞︶︺︾﹀﹄﹚﹜﹞！＂％＇），．：；？］｀｜｝～￠"/>
  <w:footnotePr>
    <w:footnote w:id="0"/>
    <w:footnote w:id="1"/>
  </w:footnotePr>
  <w:endnotePr>
    <w:endnote w:id="0"/>
    <w:endnote w:id="1"/>
  </w:endnotePr>
  <w:compat>
    <w:spaceForUL/>
    <w:doNotLeaveBackslashAlone/>
    <w:ulTrailSpace/>
    <w:doNotExpandShiftReturn/>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ViMGUzNjIyMDk5NTA2YmU3N2U4NzdiOWIwNTU5MmQifQ=="/>
    <w:docVar w:name="ShowDynamicGuides" w:val="w:compa"/>
    <w:docVar w:name="ShowMarginGuides" w:val="w:docVa"/>
    <w:docVar w:name="ShowOutlines" w:val="w:docVa"/>
    <w:docVar w:name="ShowStaticGuides" w:val="w:docVa"/>
  </w:docVars>
  <w:rsids>
    <w:rsidRoot w:val="00172A27"/>
    <w:rsid w:val="0000025A"/>
    <w:rsid w:val="000003A0"/>
    <w:rsid w:val="00000615"/>
    <w:rsid w:val="00000C2B"/>
    <w:rsid w:val="00000F81"/>
    <w:rsid w:val="00004C76"/>
    <w:rsid w:val="00005583"/>
    <w:rsid w:val="000055D5"/>
    <w:rsid w:val="0000701C"/>
    <w:rsid w:val="00007BCB"/>
    <w:rsid w:val="00010546"/>
    <w:rsid w:val="000119AA"/>
    <w:rsid w:val="00011B12"/>
    <w:rsid w:val="000124AC"/>
    <w:rsid w:val="0001326D"/>
    <w:rsid w:val="00013513"/>
    <w:rsid w:val="00015080"/>
    <w:rsid w:val="000157AD"/>
    <w:rsid w:val="00015B5F"/>
    <w:rsid w:val="00016291"/>
    <w:rsid w:val="00022FAE"/>
    <w:rsid w:val="0002383C"/>
    <w:rsid w:val="0002461F"/>
    <w:rsid w:val="00025007"/>
    <w:rsid w:val="00025CCF"/>
    <w:rsid w:val="00026A5F"/>
    <w:rsid w:val="000305BA"/>
    <w:rsid w:val="000310C4"/>
    <w:rsid w:val="00031D58"/>
    <w:rsid w:val="000336FE"/>
    <w:rsid w:val="00033D64"/>
    <w:rsid w:val="00034576"/>
    <w:rsid w:val="0003611A"/>
    <w:rsid w:val="000362CD"/>
    <w:rsid w:val="0003685F"/>
    <w:rsid w:val="00036CF5"/>
    <w:rsid w:val="00037252"/>
    <w:rsid w:val="000372ED"/>
    <w:rsid w:val="00037E36"/>
    <w:rsid w:val="000409A4"/>
    <w:rsid w:val="00040D2C"/>
    <w:rsid w:val="0004116F"/>
    <w:rsid w:val="00041F45"/>
    <w:rsid w:val="00042F62"/>
    <w:rsid w:val="000432BA"/>
    <w:rsid w:val="0004382C"/>
    <w:rsid w:val="00045283"/>
    <w:rsid w:val="00045492"/>
    <w:rsid w:val="000456B3"/>
    <w:rsid w:val="00045EFB"/>
    <w:rsid w:val="00047300"/>
    <w:rsid w:val="00047386"/>
    <w:rsid w:val="0004794D"/>
    <w:rsid w:val="00047AFC"/>
    <w:rsid w:val="00051BE3"/>
    <w:rsid w:val="00052579"/>
    <w:rsid w:val="00052AF6"/>
    <w:rsid w:val="00053277"/>
    <w:rsid w:val="00055204"/>
    <w:rsid w:val="00055A05"/>
    <w:rsid w:val="00055BFE"/>
    <w:rsid w:val="00055DD0"/>
    <w:rsid w:val="0005618E"/>
    <w:rsid w:val="000562DE"/>
    <w:rsid w:val="00056A9E"/>
    <w:rsid w:val="00057235"/>
    <w:rsid w:val="000577FE"/>
    <w:rsid w:val="00057D8B"/>
    <w:rsid w:val="00060F6F"/>
    <w:rsid w:val="00061025"/>
    <w:rsid w:val="00061CCD"/>
    <w:rsid w:val="000620CB"/>
    <w:rsid w:val="000622E2"/>
    <w:rsid w:val="00062E36"/>
    <w:rsid w:val="0006403C"/>
    <w:rsid w:val="00065894"/>
    <w:rsid w:val="000659D5"/>
    <w:rsid w:val="00066336"/>
    <w:rsid w:val="000706D5"/>
    <w:rsid w:val="00070F62"/>
    <w:rsid w:val="00071038"/>
    <w:rsid w:val="00071187"/>
    <w:rsid w:val="0007138C"/>
    <w:rsid w:val="00071860"/>
    <w:rsid w:val="00071A8E"/>
    <w:rsid w:val="00073DF4"/>
    <w:rsid w:val="000745EC"/>
    <w:rsid w:val="00075653"/>
    <w:rsid w:val="00075761"/>
    <w:rsid w:val="00076768"/>
    <w:rsid w:val="0007697C"/>
    <w:rsid w:val="00077C7F"/>
    <w:rsid w:val="00077E79"/>
    <w:rsid w:val="000817D1"/>
    <w:rsid w:val="000819BC"/>
    <w:rsid w:val="00081F74"/>
    <w:rsid w:val="00082D09"/>
    <w:rsid w:val="00082E81"/>
    <w:rsid w:val="000834A8"/>
    <w:rsid w:val="00083828"/>
    <w:rsid w:val="00083BAD"/>
    <w:rsid w:val="00083F94"/>
    <w:rsid w:val="0008401C"/>
    <w:rsid w:val="00084E52"/>
    <w:rsid w:val="000863B0"/>
    <w:rsid w:val="000874C7"/>
    <w:rsid w:val="0008789A"/>
    <w:rsid w:val="000900A6"/>
    <w:rsid w:val="000910D9"/>
    <w:rsid w:val="00091263"/>
    <w:rsid w:val="000912FC"/>
    <w:rsid w:val="0009277F"/>
    <w:rsid w:val="00092A75"/>
    <w:rsid w:val="0009313F"/>
    <w:rsid w:val="000931E9"/>
    <w:rsid w:val="00093BC1"/>
    <w:rsid w:val="00094000"/>
    <w:rsid w:val="0009480B"/>
    <w:rsid w:val="00094D7D"/>
    <w:rsid w:val="00096B11"/>
    <w:rsid w:val="00096EAE"/>
    <w:rsid w:val="00097499"/>
    <w:rsid w:val="00097836"/>
    <w:rsid w:val="000A193A"/>
    <w:rsid w:val="000A1AF0"/>
    <w:rsid w:val="000A1BB1"/>
    <w:rsid w:val="000A2B3E"/>
    <w:rsid w:val="000A3E29"/>
    <w:rsid w:val="000A4343"/>
    <w:rsid w:val="000A4F46"/>
    <w:rsid w:val="000A5B74"/>
    <w:rsid w:val="000A5D8D"/>
    <w:rsid w:val="000A62D5"/>
    <w:rsid w:val="000A6CAC"/>
    <w:rsid w:val="000B11A5"/>
    <w:rsid w:val="000B134F"/>
    <w:rsid w:val="000B15B9"/>
    <w:rsid w:val="000B2E10"/>
    <w:rsid w:val="000B2E6E"/>
    <w:rsid w:val="000B3A33"/>
    <w:rsid w:val="000B412E"/>
    <w:rsid w:val="000B5C30"/>
    <w:rsid w:val="000B6930"/>
    <w:rsid w:val="000B6BCC"/>
    <w:rsid w:val="000B6E2B"/>
    <w:rsid w:val="000B7668"/>
    <w:rsid w:val="000B7BE6"/>
    <w:rsid w:val="000B7D3A"/>
    <w:rsid w:val="000C1E94"/>
    <w:rsid w:val="000C2895"/>
    <w:rsid w:val="000C2B8B"/>
    <w:rsid w:val="000C2EDF"/>
    <w:rsid w:val="000C3440"/>
    <w:rsid w:val="000C4991"/>
    <w:rsid w:val="000C5304"/>
    <w:rsid w:val="000C5AF6"/>
    <w:rsid w:val="000C7713"/>
    <w:rsid w:val="000C786D"/>
    <w:rsid w:val="000D0082"/>
    <w:rsid w:val="000D05FA"/>
    <w:rsid w:val="000D0BA4"/>
    <w:rsid w:val="000D2512"/>
    <w:rsid w:val="000D29C8"/>
    <w:rsid w:val="000D3527"/>
    <w:rsid w:val="000D4A61"/>
    <w:rsid w:val="000D4AD9"/>
    <w:rsid w:val="000D4D65"/>
    <w:rsid w:val="000D5D2F"/>
    <w:rsid w:val="000D60DD"/>
    <w:rsid w:val="000D7BBA"/>
    <w:rsid w:val="000E031E"/>
    <w:rsid w:val="000E10BC"/>
    <w:rsid w:val="000E1948"/>
    <w:rsid w:val="000E20C3"/>
    <w:rsid w:val="000E282C"/>
    <w:rsid w:val="000E3F6F"/>
    <w:rsid w:val="000E45E2"/>
    <w:rsid w:val="000E4B0F"/>
    <w:rsid w:val="000E4C6B"/>
    <w:rsid w:val="000E57FE"/>
    <w:rsid w:val="000E5BE9"/>
    <w:rsid w:val="000F0427"/>
    <w:rsid w:val="000F1506"/>
    <w:rsid w:val="000F15A0"/>
    <w:rsid w:val="000F2DB6"/>
    <w:rsid w:val="000F4F71"/>
    <w:rsid w:val="000F6025"/>
    <w:rsid w:val="000F62D3"/>
    <w:rsid w:val="000F6796"/>
    <w:rsid w:val="000F7926"/>
    <w:rsid w:val="0010066C"/>
    <w:rsid w:val="001014C3"/>
    <w:rsid w:val="00101A1A"/>
    <w:rsid w:val="001034A6"/>
    <w:rsid w:val="00103554"/>
    <w:rsid w:val="00103AB9"/>
    <w:rsid w:val="001040F8"/>
    <w:rsid w:val="001049AE"/>
    <w:rsid w:val="001050B7"/>
    <w:rsid w:val="00105B6B"/>
    <w:rsid w:val="00105C09"/>
    <w:rsid w:val="00105D30"/>
    <w:rsid w:val="00106ACD"/>
    <w:rsid w:val="00106DAE"/>
    <w:rsid w:val="00106F53"/>
    <w:rsid w:val="001104D6"/>
    <w:rsid w:val="00110709"/>
    <w:rsid w:val="001119B0"/>
    <w:rsid w:val="00111CB9"/>
    <w:rsid w:val="00111E5B"/>
    <w:rsid w:val="00112362"/>
    <w:rsid w:val="00112420"/>
    <w:rsid w:val="0011364F"/>
    <w:rsid w:val="001137B1"/>
    <w:rsid w:val="00114637"/>
    <w:rsid w:val="001169F2"/>
    <w:rsid w:val="00117868"/>
    <w:rsid w:val="001205C5"/>
    <w:rsid w:val="00122040"/>
    <w:rsid w:val="0012357E"/>
    <w:rsid w:val="00123B67"/>
    <w:rsid w:val="001247D0"/>
    <w:rsid w:val="00125513"/>
    <w:rsid w:val="00125711"/>
    <w:rsid w:val="0012622C"/>
    <w:rsid w:val="00126549"/>
    <w:rsid w:val="00126582"/>
    <w:rsid w:val="001267D3"/>
    <w:rsid w:val="00126931"/>
    <w:rsid w:val="0012693F"/>
    <w:rsid w:val="001301C9"/>
    <w:rsid w:val="00130BBC"/>
    <w:rsid w:val="00131837"/>
    <w:rsid w:val="00131F64"/>
    <w:rsid w:val="0013207F"/>
    <w:rsid w:val="001324A1"/>
    <w:rsid w:val="001335BD"/>
    <w:rsid w:val="0013373A"/>
    <w:rsid w:val="00133C95"/>
    <w:rsid w:val="00134E6B"/>
    <w:rsid w:val="00137FEF"/>
    <w:rsid w:val="00140967"/>
    <w:rsid w:val="00140A94"/>
    <w:rsid w:val="00141B36"/>
    <w:rsid w:val="00142C67"/>
    <w:rsid w:val="00142F0F"/>
    <w:rsid w:val="001436BE"/>
    <w:rsid w:val="001438CB"/>
    <w:rsid w:val="00144559"/>
    <w:rsid w:val="001445AD"/>
    <w:rsid w:val="00144B0E"/>
    <w:rsid w:val="00144E60"/>
    <w:rsid w:val="0014535C"/>
    <w:rsid w:val="00145E44"/>
    <w:rsid w:val="00146D84"/>
    <w:rsid w:val="00146FC7"/>
    <w:rsid w:val="00147A58"/>
    <w:rsid w:val="00150376"/>
    <w:rsid w:val="001517F0"/>
    <w:rsid w:val="001528F0"/>
    <w:rsid w:val="00152BA4"/>
    <w:rsid w:val="00152E78"/>
    <w:rsid w:val="00153355"/>
    <w:rsid w:val="00153556"/>
    <w:rsid w:val="00153590"/>
    <w:rsid w:val="001543AB"/>
    <w:rsid w:val="001548CA"/>
    <w:rsid w:val="00155215"/>
    <w:rsid w:val="00155C61"/>
    <w:rsid w:val="00156803"/>
    <w:rsid w:val="00160560"/>
    <w:rsid w:val="00161658"/>
    <w:rsid w:val="001620E2"/>
    <w:rsid w:val="001627D9"/>
    <w:rsid w:val="00162B76"/>
    <w:rsid w:val="00162DEF"/>
    <w:rsid w:val="00165A4D"/>
    <w:rsid w:val="00166724"/>
    <w:rsid w:val="00170938"/>
    <w:rsid w:val="00172B1F"/>
    <w:rsid w:val="00172F71"/>
    <w:rsid w:val="001742C7"/>
    <w:rsid w:val="0017593F"/>
    <w:rsid w:val="00177AF2"/>
    <w:rsid w:val="00177B7C"/>
    <w:rsid w:val="00177E26"/>
    <w:rsid w:val="00180AFC"/>
    <w:rsid w:val="00181E1D"/>
    <w:rsid w:val="00183644"/>
    <w:rsid w:val="00183BF4"/>
    <w:rsid w:val="0018483F"/>
    <w:rsid w:val="00185558"/>
    <w:rsid w:val="0018684A"/>
    <w:rsid w:val="00186B8A"/>
    <w:rsid w:val="001900DB"/>
    <w:rsid w:val="00190239"/>
    <w:rsid w:val="00190C2F"/>
    <w:rsid w:val="00190C36"/>
    <w:rsid w:val="00190FCE"/>
    <w:rsid w:val="0019198A"/>
    <w:rsid w:val="00191A75"/>
    <w:rsid w:val="00195A52"/>
    <w:rsid w:val="00197AFA"/>
    <w:rsid w:val="00197D48"/>
    <w:rsid w:val="001A137B"/>
    <w:rsid w:val="001A1DF3"/>
    <w:rsid w:val="001A1FE1"/>
    <w:rsid w:val="001A21CD"/>
    <w:rsid w:val="001A3B4F"/>
    <w:rsid w:val="001A458A"/>
    <w:rsid w:val="001A5107"/>
    <w:rsid w:val="001A528C"/>
    <w:rsid w:val="001A6071"/>
    <w:rsid w:val="001A69A9"/>
    <w:rsid w:val="001A6E54"/>
    <w:rsid w:val="001A7349"/>
    <w:rsid w:val="001A7563"/>
    <w:rsid w:val="001A7721"/>
    <w:rsid w:val="001A7C23"/>
    <w:rsid w:val="001A7D57"/>
    <w:rsid w:val="001A7F2A"/>
    <w:rsid w:val="001A7FA1"/>
    <w:rsid w:val="001B0258"/>
    <w:rsid w:val="001B0D54"/>
    <w:rsid w:val="001B2682"/>
    <w:rsid w:val="001B2E5D"/>
    <w:rsid w:val="001B3211"/>
    <w:rsid w:val="001B46C0"/>
    <w:rsid w:val="001B5E1A"/>
    <w:rsid w:val="001B62A7"/>
    <w:rsid w:val="001B6CC3"/>
    <w:rsid w:val="001B79D5"/>
    <w:rsid w:val="001B7EFE"/>
    <w:rsid w:val="001C1892"/>
    <w:rsid w:val="001C1913"/>
    <w:rsid w:val="001C1DD1"/>
    <w:rsid w:val="001C4AA3"/>
    <w:rsid w:val="001C4CC8"/>
    <w:rsid w:val="001C552B"/>
    <w:rsid w:val="001C5E2B"/>
    <w:rsid w:val="001C5FEA"/>
    <w:rsid w:val="001C648A"/>
    <w:rsid w:val="001C7957"/>
    <w:rsid w:val="001C7A32"/>
    <w:rsid w:val="001C7E85"/>
    <w:rsid w:val="001D02AF"/>
    <w:rsid w:val="001D1061"/>
    <w:rsid w:val="001D1F0A"/>
    <w:rsid w:val="001D1FF3"/>
    <w:rsid w:val="001D28F1"/>
    <w:rsid w:val="001D330F"/>
    <w:rsid w:val="001D3F17"/>
    <w:rsid w:val="001D6483"/>
    <w:rsid w:val="001E0C01"/>
    <w:rsid w:val="001E0D03"/>
    <w:rsid w:val="001E286B"/>
    <w:rsid w:val="001E318E"/>
    <w:rsid w:val="001E398D"/>
    <w:rsid w:val="001E3D93"/>
    <w:rsid w:val="001E4487"/>
    <w:rsid w:val="001E44EA"/>
    <w:rsid w:val="001E464B"/>
    <w:rsid w:val="001E490C"/>
    <w:rsid w:val="001E4DE8"/>
    <w:rsid w:val="001E5C47"/>
    <w:rsid w:val="001E678B"/>
    <w:rsid w:val="001E6915"/>
    <w:rsid w:val="001E7661"/>
    <w:rsid w:val="001E7947"/>
    <w:rsid w:val="001F0027"/>
    <w:rsid w:val="001F104B"/>
    <w:rsid w:val="001F16CC"/>
    <w:rsid w:val="001F16E6"/>
    <w:rsid w:val="001F5D65"/>
    <w:rsid w:val="001F6DE2"/>
    <w:rsid w:val="001F7078"/>
    <w:rsid w:val="001F79FC"/>
    <w:rsid w:val="001F7C28"/>
    <w:rsid w:val="002017F6"/>
    <w:rsid w:val="00202012"/>
    <w:rsid w:val="00202371"/>
    <w:rsid w:val="002030CA"/>
    <w:rsid w:val="002034E0"/>
    <w:rsid w:val="0020357B"/>
    <w:rsid w:val="002045D5"/>
    <w:rsid w:val="0020470B"/>
    <w:rsid w:val="00204869"/>
    <w:rsid w:val="0020489D"/>
    <w:rsid w:val="002051C4"/>
    <w:rsid w:val="002051D4"/>
    <w:rsid w:val="00205B7A"/>
    <w:rsid w:val="002079F3"/>
    <w:rsid w:val="002100D4"/>
    <w:rsid w:val="002103F4"/>
    <w:rsid w:val="0021072F"/>
    <w:rsid w:val="002116BD"/>
    <w:rsid w:val="00211D97"/>
    <w:rsid w:val="00212391"/>
    <w:rsid w:val="002134DD"/>
    <w:rsid w:val="00213866"/>
    <w:rsid w:val="0021428C"/>
    <w:rsid w:val="00215F91"/>
    <w:rsid w:val="00216469"/>
    <w:rsid w:val="00216D7E"/>
    <w:rsid w:val="00217CF0"/>
    <w:rsid w:val="002200AD"/>
    <w:rsid w:val="00220A85"/>
    <w:rsid w:val="002211CD"/>
    <w:rsid w:val="002226D1"/>
    <w:rsid w:val="0022291D"/>
    <w:rsid w:val="00223524"/>
    <w:rsid w:val="00223D82"/>
    <w:rsid w:val="00224543"/>
    <w:rsid w:val="0022561D"/>
    <w:rsid w:val="00230902"/>
    <w:rsid w:val="00230BC5"/>
    <w:rsid w:val="002315AB"/>
    <w:rsid w:val="00231718"/>
    <w:rsid w:val="002319C4"/>
    <w:rsid w:val="00231D55"/>
    <w:rsid w:val="00232CBE"/>
    <w:rsid w:val="00232E73"/>
    <w:rsid w:val="002333D8"/>
    <w:rsid w:val="002348FC"/>
    <w:rsid w:val="00235719"/>
    <w:rsid w:val="0023624B"/>
    <w:rsid w:val="00236285"/>
    <w:rsid w:val="00236CB9"/>
    <w:rsid w:val="00237701"/>
    <w:rsid w:val="00237DFD"/>
    <w:rsid w:val="00240226"/>
    <w:rsid w:val="00240C67"/>
    <w:rsid w:val="00240FFF"/>
    <w:rsid w:val="0024137C"/>
    <w:rsid w:val="00241CA8"/>
    <w:rsid w:val="002424F4"/>
    <w:rsid w:val="00242B4F"/>
    <w:rsid w:val="00242F02"/>
    <w:rsid w:val="0024345C"/>
    <w:rsid w:val="0024355B"/>
    <w:rsid w:val="00244C14"/>
    <w:rsid w:val="00244ED9"/>
    <w:rsid w:val="00245249"/>
    <w:rsid w:val="002453B1"/>
    <w:rsid w:val="0024591C"/>
    <w:rsid w:val="0025058B"/>
    <w:rsid w:val="00251206"/>
    <w:rsid w:val="002515FA"/>
    <w:rsid w:val="00251DA6"/>
    <w:rsid w:val="00253560"/>
    <w:rsid w:val="002545C0"/>
    <w:rsid w:val="002552A1"/>
    <w:rsid w:val="00255466"/>
    <w:rsid w:val="00255D34"/>
    <w:rsid w:val="00255E19"/>
    <w:rsid w:val="00256916"/>
    <w:rsid w:val="002573B3"/>
    <w:rsid w:val="00257526"/>
    <w:rsid w:val="00257697"/>
    <w:rsid w:val="002621F2"/>
    <w:rsid w:val="00262AA1"/>
    <w:rsid w:val="002638A3"/>
    <w:rsid w:val="00263DB5"/>
    <w:rsid w:val="0026494A"/>
    <w:rsid w:val="002660DD"/>
    <w:rsid w:val="0026633E"/>
    <w:rsid w:val="00266FBF"/>
    <w:rsid w:val="00266FDB"/>
    <w:rsid w:val="00267A15"/>
    <w:rsid w:val="00270985"/>
    <w:rsid w:val="00271329"/>
    <w:rsid w:val="0027149B"/>
    <w:rsid w:val="002716D8"/>
    <w:rsid w:val="00271C61"/>
    <w:rsid w:val="00273E20"/>
    <w:rsid w:val="002744B7"/>
    <w:rsid w:val="0027517E"/>
    <w:rsid w:val="00275737"/>
    <w:rsid w:val="00275F8A"/>
    <w:rsid w:val="00277A79"/>
    <w:rsid w:val="00281686"/>
    <w:rsid w:val="00281B17"/>
    <w:rsid w:val="00281C1C"/>
    <w:rsid w:val="00282470"/>
    <w:rsid w:val="00282814"/>
    <w:rsid w:val="00283C97"/>
    <w:rsid w:val="002845EA"/>
    <w:rsid w:val="00284800"/>
    <w:rsid w:val="00285CC4"/>
    <w:rsid w:val="0028669C"/>
    <w:rsid w:val="00287D22"/>
    <w:rsid w:val="00287E9E"/>
    <w:rsid w:val="002918E3"/>
    <w:rsid w:val="00291AB8"/>
    <w:rsid w:val="00291E21"/>
    <w:rsid w:val="00292110"/>
    <w:rsid w:val="00292909"/>
    <w:rsid w:val="00292A88"/>
    <w:rsid w:val="00293DBD"/>
    <w:rsid w:val="00294046"/>
    <w:rsid w:val="00294912"/>
    <w:rsid w:val="002950D8"/>
    <w:rsid w:val="0029558E"/>
    <w:rsid w:val="00295C8B"/>
    <w:rsid w:val="0029661A"/>
    <w:rsid w:val="002969E8"/>
    <w:rsid w:val="00296A11"/>
    <w:rsid w:val="00297210"/>
    <w:rsid w:val="002972CC"/>
    <w:rsid w:val="00297732"/>
    <w:rsid w:val="00297E71"/>
    <w:rsid w:val="002A020C"/>
    <w:rsid w:val="002A02FF"/>
    <w:rsid w:val="002A1AFC"/>
    <w:rsid w:val="002A2A11"/>
    <w:rsid w:val="002A31F7"/>
    <w:rsid w:val="002A343D"/>
    <w:rsid w:val="002A3777"/>
    <w:rsid w:val="002A3AC1"/>
    <w:rsid w:val="002A5931"/>
    <w:rsid w:val="002A5F7F"/>
    <w:rsid w:val="002A63CF"/>
    <w:rsid w:val="002A6747"/>
    <w:rsid w:val="002B1B0C"/>
    <w:rsid w:val="002B22A2"/>
    <w:rsid w:val="002B2326"/>
    <w:rsid w:val="002B4534"/>
    <w:rsid w:val="002B58ED"/>
    <w:rsid w:val="002B612B"/>
    <w:rsid w:val="002B7709"/>
    <w:rsid w:val="002C02FC"/>
    <w:rsid w:val="002C0CAD"/>
    <w:rsid w:val="002C1E79"/>
    <w:rsid w:val="002C21A7"/>
    <w:rsid w:val="002C2E8B"/>
    <w:rsid w:val="002C2F3F"/>
    <w:rsid w:val="002C5B68"/>
    <w:rsid w:val="002C66E1"/>
    <w:rsid w:val="002C751A"/>
    <w:rsid w:val="002C7F7D"/>
    <w:rsid w:val="002D0768"/>
    <w:rsid w:val="002D13F0"/>
    <w:rsid w:val="002D1CA2"/>
    <w:rsid w:val="002D21F2"/>
    <w:rsid w:val="002D233C"/>
    <w:rsid w:val="002D37E5"/>
    <w:rsid w:val="002D405B"/>
    <w:rsid w:val="002D43E0"/>
    <w:rsid w:val="002D511D"/>
    <w:rsid w:val="002D53F5"/>
    <w:rsid w:val="002D6135"/>
    <w:rsid w:val="002D693C"/>
    <w:rsid w:val="002E0A6F"/>
    <w:rsid w:val="002E123E"/>
    <w:rsid w:val="002E1322"/>
    <w:rsid w:val="002E37DF"/>
    <w:rsid w:val="002E3C42"/>
    <w:rsid w:val="002E3F7B"/>
    <w:rsid w:val="002E594A"/>
    <w:rsid w:val="002E5BED"/>
    <w:rsid w:val="002E67ED"/>
    <w:rsid w:val="002E6A1C"/>
    <w:rsid w:val="002E722C"/>
    <w:rsid w:val="002E7564"/>
    <w:rsid w:val="002E7D22"/>
    <w:rsid w:val="002E7DF6"/>
    <w:rsid w:val="002F0D02"/>
    <w:rsid w:val="002F152F"/>
    <w:rsid w:val="002F1866"/>
    <w:rsid w:val="002F1B07"/>
    <w:rsid w:val="002F208E"/>
    <w:rsid w:val="002F3E34"/>
    <w:rsid w:val="002F4BD8"/>
    <w:rsid w:val="002F4C8F"/>
    <w:rsid w:val="002F51EA"/>
    <w:rsid w:val="002F59D1"/>
    <w:rsid w:val="002F6356"/>
    <w:rsid w:val="002F66B4"/>
    <w:rsid w:val="002F797C"/>
    <w:rsid w:val="002F79D5"/>
    <w:rsid w:val="002F7F26"/>
    <w:rsid w:val="00300B70"/>
    <w:rsid w:val="00301E5E"/>
    <w:rsid w:val="0030202C"/>
    <w:rsid w:val="00302202"/>
    <w:rsid w:val="003032B0"/>
    <w:rsid w:val="0030370E"/>
    <w:rsid w:val="00304191"/>
    <w:rsid w:val="00307988"/>
    <w:rsid w:val="00307BC5"/>
    <w:rsid w:val="0031174D"/>
    <w:rsid w:val="003118C3"/>
    <w:rsid w:val="00311B69"/>
    <w:rsid w:val="00312F45"/>
    <w:rsid w:val="003131A9"/>
    <w:rsid w:val="00313C1F"/>
    <w:rsid w:val="00314241"/>
    <w:rsid w:val="00316770"/>
    <w:rsid w:val="00316903"/>
    <w:rsid w:val="00316E8C"/>
    <w:rsid w:val="003171CE"/>
    <w:rsid w:val="003174E7"/>
    <w:rsid w:val="003178B4"/>
    <w:rsid w:val="00317B8D"/>
    <w:rsid w:val="00321808"/>
    <w:rsid w:val="003222CA"/>
    <w:rsid w:val="003224F8"/>
    <w:rsid w:val="003234C6"/>
    <w:rsid w:val="003236F5"/>
    <w:rsid w:val="003255C1"/>
    <w:rsid w:val="00326FF0"/>
    <w:rsid w:val="00327F60"/>
    <w:rsid w:val="00330754"/>
    <w:rsid w:val="00330AF8"/>
    <w:rsid w:val="003313A6"/>
    <w:rsid w:val="00332456"/>
    <w:rsid w:val="00334258"/>
    <w:rsid w:val="0033435C"/>
    <w:rsid w:val="00335BCF"/>
    <w:rsid w:val="0033667B"/>
    <w:rsid w:val="00340041"/>
    <w:rsid w:val="003400D1"/>
    <w:rsid w:val="00340B43"/>
    <w:rsid w:val="00342DDA"/>
    <w:rsid w:val="00342ED4"/>
    <w:rsid w:val="00345DAA"/>
    <w:rsid w:val="0034610A"/>
    <w:rsid w:val="003503A4"/>
    <w:rsid w:val="00352192"/>
    <w:rsid w:val="0035264F"/>
    <w:rsid w:val="00353AC0"/>
    <w:rsid w:val="00353D6B"/>
    <w:rsid w:val="00355865"/>
    <w:rsid w:val="003560E3"/>
    <w:rsid w:val="00357130"/>
    <w:rsid w:val="00357EC0"/>
    <w:rsid w:val="00357FFE"/>
    <w:rsid w:val="00360068"/>
    <w:rsid w:val="0036023D"/>
    <w:rsid w:val="00360278"/>
    <w:rsid w:val="003602BC"/>
    <w:rsid w:val="003602CD"/>
    <w:rsid w:val="003607FB"/>
    <w:rsid w:val="00360887"/>
    <w:rsid w:val="0036092A"/>
    <w:rsid w:val="00360EF4"/>
    <w:rsid w:val="00362590"/>
    <w:rsid w:val="00362869"/>
    <w:rsid w:val="0036394E"/>
    <w:rsid w:val="00363E19"/>
    <w:rsid w:val="00363E85"/>
    <w:rsid w:val="00364158"/>
    <w:rsid w:val="003645B7"/>
    <w:rsid w:val="0036760B"/>
    <w:rsid w:val="003678E8"/>
    <w:rsid w:val="00367D33"/>
    <w:rsid w:val="003706B1"/>
    <w:rsid w:val="003708B0"/>
    <w:rsid w:val="00370B37"/>
    <w:rsid w:val="003718A8"/>
    <w:rsid w:val="00371958"/>
    <w:rsid w:val="003723A7"/>
    <w:rsid w:val="00372FAE"/>
    <w:rsid w:val="0037301D"/>
    <w:rsid w:val="00373CC0"/>
    <w:rsid w:val="00374124"/>
    <w:rsid w:val="0037478A"/>
    <w:rsid w:val="00374A60"/>
    <w:rsid w:val="00374A67"/>
    <w:rsid w:val="0037685F"/>
    <w:rsid w:val="003769DA"/>
    <w:rsid w:val="003803AB"/>
    <w:rsid w:val="0038071E"/>
    <w:rsid w:val="00380E6F"/>
    <w:rsid w:val="00381B2B"/>
    <w:rsid w:val="00382BA6"/>
    <w:rsid w:val="0038329E"/>
    <w:rsid w:val="00383A45"/>
    <w:rsid w:val="00383D91"/>
    <w:rsid w:val="00384A72"/>
    <w:rsid w:val="003856AA"/>
    <w:rsid w:val="003871F0"/>
    <w:rsid w:val="00390BD9"/>
    <w:rsid w:val="00392B4C"/>
    <w:rsid w:val="00392B5E"/>
    <w:rsid w:val="00392C1D"/>
    <w:rsid w:val="00392E47"/>
    <w:rsid w:val="00392FE7"/>
    <w:rsid w:val="00395E0F"/>
    <w:rsid w:val="003964AD"/>
    <w:rsid w:val="003964D4"/>
    <w:rsid w:val="00396A2E"/>
    <w:rsid w:val="00397B24"/>
    <w:rsid w:val="003A04C9"/>
    <w:rsid w:val="003A4199"/>
    <w:rsid w:val="003A4305"/>
    <w:rsid w:val="003A5F18"/>
    <w:rsid w:val="003A6DD5"/>
    <w:rsid w:val="003B09BC"/>
    <w:rsid w:val="003B1BEB"/>
    <w:rsid w:val="003B1F02"/>
    <w:rsid w:val="003B24AF"/>
    <w:rsid w:val="003B2933"/>
    <w:rsid w:val="003B2C02"/>
    <w:rsid w:val="003B74DA"/>
    <w:rsid w:val="003B7AE8"/>
    <w:rsid w:val="003B7BDA"/>
    <w:rsid w:val="003C0946"/>
    <w:rsid w:val="003C0D8E"/>
    <w:rsid w:val="003C0E92"/>
    <w:rsid w:val="003C29D9"/>
    <w:rsid w:val="003C2BB7"/>
    <w:rsid w:val="003C39C1"/>
    <w:rsid w:val="003C3AE2"/>
    <w:rsid w:val="003C4FCA"/>
    <w:rsid w:val="003C7B0D"/>
    <w:rsid w:val="003D043D"/>
    <w:rsid w:val="003D07BB"/>
    <w:rsid w:val="003D08DD"/>
    <w:rsid w:val="003D2985"/>
    <w:rsid w:val="003D47B1"/>
    <w:rsid w:val="003D786D"/>
    <w:rsid w:val="003E0A46"/>
    <w:rsid w:val="003E2C08"/>
    <w:rsid w:val="003E53FB"/>
    <w:rsid w:val="003E6A4F"/>
    <w:rsid w:val="003F1439"/>
    <w:rsid w:val="003F23AC"/>
    <w:rsid w:val="003F3C86"/>
    <w:rsid w:val="003F40ED"/>
    <w:rsid w:val="003F5003"/>
    <w:rsid w:val="003F5DF1"/>
    <w:rsid w:val="003F6343"/>
    <w:rsid w:val="003F68E9"/>
    <w:rsid w:val="003F6B87"/>
    <w:rsid w:val="0040259E"/>
    <w:rsid w:val="00402D33"/>
    <w:rsid w:val="004052C2"/>
    <w:rsid w:val="0040551F"/>
    <w:rsid w:val="004062FE"/>
    <w:rsid w:val="00410E3A"/>
    <w:rsid w:val="00411A20"/>
    <w:rsid w:val="00412BA8"/>
    <w:rsid w:val="00413680"/>
    <w:rsid w:val="004142D4"/>
    <w:rsid w:val="00414AF5"/>
    <w:rsid w:val="00415700"/>
    <w:rsid w:val="004159C2"/>
    <w:rsid w:val="00416161"/>
    <w:rsid w:val="0042025F"/>
    <w:rsid w:val="004209AC"/>
    <w:rsid w:val="004209B5"/>
    <w:rsid w:val="00420B1B"/>
    <w:rsid w:val="004227BC"/>
    <w:rsid w:val="00422FA0"/>
    <w:rsid w:val="0042462D"/>
    <w:rsid w:val="00424B04"/>
    <w:rsid w:val="00424E7F"/>
    <w:rsid w:val="00424EEA"/>
    <w:rsid w:val="00425836"/>
    <w:rsid w:val="0042603A"/>
    <w:rsid w:val="004274F4"/>
    <w:rsid w:val="004302BE"/>
    <w:rsid w:val="004303D1"/>
    <w:rsid w:val="00430F27"/>
    <w:rsid w:val="0043105F"/>
    <w:rsid w:val="00431987"/>
    <w:rsid w:val="00432188"/>
    <w:rsid w:val="004322ED"/>
    <w:rsid w:val="00432DFF"/>
    <w:rsid w:val="0043387C"/>
    <w:rsid w:val="00433A50"/>
    <w:rsid w:val="00434300"/>
    <w:rsid w:val="00434431"/>
    <w:rsid w:val="00435769"/>
    <w:rsid w:val="00435898"/>
    <w:rsid w:val="00437B43"/>
    <w:rsid w:val="00437E3C"/>
    <w:rsid w:val="00440C5D"/>
    <w:rsid w:val="00442653"/>
    <w:rsid w:val="00443F1D"/>
    <w:rsid w:val="004448D8"/>
    <w:rsid w:val="00444FD8"/>
    <w:rsid w:val="0044549D"/>
    <w:rsid w:val="00445C24"/>
    <w:rsid w:val="004503DE"/>
    <w:rsid w:val="00450DEB"/>
    <w:rsid w:val="004513CC"/>
    <w:rsid w:val="00451808"/>
    <w:rsid w:val="00452A12"/>
    <w:rsid w:val="00453189"/>
    <w:rsid w:val="004532ED"/>
    <w:rsid w:val="00453ACB"/>
    <w:rsid w:val="00453B84"/>
    <w:rsid w:val="00454935"/>
    <w:rsid w:val="00456158"/>
    <w:rsid w:val="004566CE"/>
    <w:rsid w:val="00456864"/>
    <w:rsid w:val="00456F11"/>
    <w:rsid w:val="004575CA"/>
    <w:rsid w:val="00460A6F"/>
    <w:rsid w:val="00462280"/>
    <w:rsid w:val="00462B0E"/>
    <w:rsid w:val="00462BE6"/>
    <w:rsid w:val="004637E5"/>
    <w:rsid w:val="00463BA1"/>
    <w:rsid w:val="00464EC6"/>
    <w:rsid w:val="00465260"/>
    <w:rsid w:val="00466762"/>
    <w:rsid w:val="00466BB7"/>
    <w:rsid w:val="00466EE6"/>
    <w:rsid w:val="00467134"/>
    <w:rsid w:val="004721AF"/>
    <w:rsid w:val="00472AAA"/>
    <w:rsid w:val="00472BBC"/>
    <w:rsid w:val="004740D1"/>
    <w:rsid w:val="004743E0"/>
    <w:rsid w:val="00474497"/>
    <w:rsid w:val="00475256"/>
    <w:rsid w:val="004756F9"/>
    <w:rsid w:val="00475F9B"/>
    <w:rsid w:val="004761F8"/>
    <w:rsid w:val="0047624A"/>
    <w:rsid w:val="0047687A"/>
    <w:rsid w:val="00480781"/>
    <w:rsid w:val="00480ED2"/>
    <w:rsid w:val="004815A3"/>
    <w:rsid w:val="00481E08"/>
    <w:rsid w:val="00482B7E"/>
    <w:rsid w:val="00483995"/>
    <w:rsid w:val="00484CC7"/>
    <w:rsid w:val="00484E05"/>
    <w:rsid w:val="00485F61"/>
    <w:rsid w:val="004907BB"/>
    <w:rsid w:val="00490B33"/>
    <w:rsid w:val="004910BB"/>
    <w:rsid w:val="004918D9"/>
    <w:rsid w:val="00491B6F"/>
    <w:rsid w:val="00491CA6"/>
    <w:rsid w:val="0049228A"/>
    <w:rsid w:val="0049237C"/>
    <w:rsid w:val="00492897"/>
    <w:rsid w:val="00492E39"/>
    <w:rsid w:val="00494459"/>
    <w:rsid w:val="00495833"/>
    <w:rsid w:val="004961DC"/>
    <w:rsid w:val="00496F45"/>
    <w:rsid w:val="00497008"/>
    <w:rsid w:val="00497A51"/>
    <w:rsid w:val="00497C71"/>
    <w:rsid w:val="004A0EF1"/>
    <w:rsid w:val="004A103E"/>
    <w:rsid w:val="004A108F"/>
    <w:rsid w:val="004A1F9E"/>
    <w:rsid w:val="004A3C48"/>
    <w:rsid w:val="004A4170"/>
    <w:rsid w:val="004A4F3E"/>
    <w:rsid w:val="004A521E"/>
    <w:rsid w:val="004A60FF"/>
    <w:rsid w:val="004A7463"/>
    <w:rsid w:val="004B0655"/>
    <w:rsid w:val="004B06DC"/>
    <w:rsid w:val="004B0E1C"/>
    <w:rsid w:val="004B1021"/>
    <w:rsid w:val="004B1D3D"/>
    <w:rsid w:val="004B310E"/>
    <w:rsid w:val="004B376F"/>
    <w:rsid w:val="004B3B43"/>
    <w:rsid w:val="004B3F5A"/>
    <w:rsid w:val="004B4D21"/>
    <w:rsid w:val="004B54CD"/>
    <w:rsid w:val="004B5BD8"/>
    <w:rsid w:val="004B64B5"/>
    <w:rsid w:val="004B76E7"/>
    <w:rsid w:val="004C1634"/>
    <w:rsid w:val="004C3116"/>
    <w:rsid w:val="004C3132"/>
    <w:rsid w:val="004C3EEA"/>
    <w:rsid w:val="004C5232"/>
    <w:rsid w:val="004C5EF9"/>
    <w:rsid w:val="004C6E1E"/>
    <w:rsid w:val="004C7432"/>
    <w:rsid w:val="004C78A2"/>
    <w:rsid w:val="004C7956"/>
    <w:rsid w:val="004C7CF1"/>
    <w:rsid w:val="004D2146"/>
    <w:rsid w:val="004D2455"/>
    <w:rsid w:val="004D24B8"/>
    <w:rsid w:val="004D2613"/>
    <w:rsid w:val="004D3EDF"/>
    <w:rsid w:val="004D40B5"/>
    <w:rsid w:val="004D57EA"/>
    <w:rsid w:val="004D5E34"/>
    <w:rsid w:val="004D5FD9"/>
    <w:rsid w:val="004D6249"/>
    <w:rsid w:val="004D62D0"/>
    <w:rsid w:val="004E1066"/>
    <w:rsid w:val="004E10DE"/>
    <w:rsid w:val="004E1489"/>
    <w:rsid w:val="004E164B"/>
    <w:rsid w:val="004E31E5"/>
    <w:rsid w:val="004E33A9"/>
    <w:rsid w:val="004E3CB4"/>
    <w:rsid w:val="004E43A1"/>
    <w:rsid w:val="004E68B3"/>
    <w:rsid w:val="004E6965"/>
    <w:rsid w:val="004E6D2D"/>
    <w:rsid w:val="004F0450"/>
    <w:rsid w:val="004F17EE"/>
    <w:rsid w:val="004F1D3E"/>
    <w:rsid w:val="004F24C3"/>
    <w:rsid w:val="004F3292"/>
    <w:rsid w:val="004F3558"/>
    <w:rsid w:val="004F3F87"/>
    <w:rsid w:val="004F3FFE"/>
    <w:rsid w:val="004F47E0"/>
    <w:rsid w:val="004F4866"/>
    <w:rsid w:val="004F5CB0"/>
    <w:rsid w:val="004F5FD1"/>
    <w:rsid w:val="004F644F"/>
    <w:rsid w:val="004F6571"/>
    <w:rsid w:val="004F72DF"/>
    <w:rsid w:val="004F7A28"/>
    <w:rsid w:val="005009B8"/>
    <w:rsid w:val="0050416A"/>
    <w:rsid w:val="00504587"/>
    <w:rsid w:val="00504A3A"/>
    <w:rsid w:val="00504FC5"/>
    <w:rsid w:val="00505760"/>
    <w:rsid w:val="00505A0F"/>
    <w:rsid w:val="00505FE1"/>
    <w:rsid w:val="0050611E"/>
    <w:rsid w:val="00506F3C"/>
    <w:rsid w:val="00507237"/>
    <w:rsid w:val="00507723"/>
    <w:rsid w:val="00507836"/>
    <w:rsid w:val="00510742"/>
    <w:rsid w:val="005129EE"/>
    <w:rsid w:val="00513616"/>
    <w:rsid w:val="005142E1"/>
    <w:rsid w:val="00514AE3"/>
    <w:rsid w:val="0051652D"/>
    <w:rsid w:val="00516926"/>
    <w:rsid w:val="005169FF"/>
    <w:rsid w:val="0051742F"/>
    <w:rsid w:val="00520341"/>
    <w:rsid w:val="00522E0C"/>
    <w:rsid w:val="00523593"/>
    <w:rsid w:val="00523A29"/>
    <w:rsid w:val="00526A03"/>
    <w:rsid w:val="0053059C"/>
    <w:rsid w:val="005305C8"/>
    <w:rsid w:val="00530F6C"/>
    <w:rsid w:val="00530FC9"/>
    <w:rsid w:val="00531232"/>
    <w:rsid w:val="005320BF"/>
    <w:rsid w:val="005324BA"/>
    <w:rsid w:val="00532F14"/>
    <w:rsid w:val="0053476E"/>
    <w:rsid w:val="005361C2"/>
    <w:rsid w:val="00536E62"/>
    <w:rsid w:val="005406F7"/>
    <w:rsid w:val="005408CE"/>
    <w:rsid w:val="005412D8"/>
    <w:rsid w:val="00542598"/>
    <w:rsid w:val="00543E6D"/>
    <w:rsid w:val="00544435"/>
    <w:rsid w:val="0054565F"/>
    <w:rsid w:val="00545849"/>
    <w:rsid w:val="005463F9"/>
    <w:rsid w:val="005468F3"/>
    <w:rsid w:val="00546E95"/>
    <w:rsid w:val="00551368"/>
    <w:rsid w:val="00551547"/>
    <w:rsid w:val="00551C6F"/>
    <w:rsid w:val="00551DFD"/>
    <w:rsid w:val="005533DF"/>
    <w:rsid w:val="0055576D"/>
    <w:rsid w:val="005560C3"/>
    <w:rsid w:val="005568DF"/>
    <w:rsid w:val="00556F27"/>
    <w:rsid w:val="005572C2"/>
    <w:rsid w:val="005603B9"/>
    <w:rsid w:val="005606C7"/>
    <w:rsid w:val="0056282F"/>
    <w:rsid w:val="005628EF"/>
    <w:rsid w:val="00562CC5"/>
    <w:rsid w:val="00562CF7"/>
    <w:rsid w:val="00563A2D"/>
    <w:rsid w:val="00565374"/>
    <w:rsid w:val="00565C01"/>
    <w:rsid w:val="005665B3"/>
    <w:rsid w:val="0056661E"/>
    <w:rsid w:val="00566C66"/>
    <w:rsid w:val="0056707B"/>
    <w:rsid w:val="00571AB6"/>
    <w:rsid w:val="00572BC2"/>
    <w:rsid w:val="00572BDE"/>
    <w:rsid w:val="00572EA3"/>
    <w:rsid w:val="0057307A"/>
    <w:rsid w:val="005733B9"/>
    <w:rsid w:val="00573B1C"/>
    <w:rsid w:val="0057465B"/>
    <w:rsid w:val="00576FF4"/>
    <w:rsid w:val="0058128D"/>
    <w:rsid w:val="00581C15"/>
    <w:rsid w:val="00581EBD"/>
    <w:rsid w:val="00582933"/>
    <w:rsid w:val="0058306E"/>
    <w:rsid w:val="00583359"/>
    <w:rsid w:val="00583BA3"/>
    <w:rsid w:val="005841DB"/>
    <w:rsid w:val="00585305"/>
    <w:rsid w:val="00586EAA"/>
    <w:rsid w:val="00587DD1"/>
    <w:rsid w:val="00593308"/>
    <w:rsid w:val="00595C0B"/>
    <w:rsid w:val="00596084"/>
    <w:rsid w:val="00596891"/>
    <w:rsid w:val="005A0876"/>
    <w:rsid w:val="005A24DC"/>
    <w:rsid w:val="005A259C"/>
    <w:rsid w:val="005A46B9"/>
    <w:rsid w:val="005A5176"/>
    <w:rsid w:val="005A6CD8"/>
    <w:rsid w:val="005A6ED7"/>
    <w:rsid w:val="005A6F0E"/>
    <w:rsid w:val="005B036C"/>
    <w:rsid w:val="005B0A22"/>
    <w:rsid w:val="005B1FB3"/>
    <w:rsid w:val="005B1FDD"/>
    <w:rsid w:val="005B297B"/>
    <w:rsid w:val="005B2DAF"/>
    <w:rsid w:val="005B3B52"/>
    <w:rsid w:val="005B3E9D"/>
    <w:rsid w:val="005B4816"/>
    <w:rsid w:val="005B5B74"/>
    <w:rsid w:val="005B6BD7"/>
    <w:rsid w:val="005B7008"/>
    <w:rsid w:val="005B7FDB"/>
    <w:rsid w:val="005C0021"/>
    <w:rsid w:val="005C0405"/>
    <w:rsid w:val="005C044D"/>
    <w:rsid w:val="005C057D"/>
    <w:rsid w:val="005C0DB7"/>
    <w:rsid w:val="005C1A52"/>
    <w:rsid w:val="005C2DFF"/>
    <w:rsid w:val="005C3564"/>
    <w:rsid w:val="005C3BC2"/>
    <w:rsid w:val="005C4098"/>
    <w:rsid w:val="005C43BB"/>
    <w:rsid w:val="005C4BEE"/>
    <w:rsid w:val="005C5BBE"/>
    <w:rsid w:val="005C6708"/>
    <w:rsid w:val="005C7246"/>
    <w:rsid w:val="005D0227"/>
    <w:rsid w:val="005D1158"/>
    <w:rsid w:val="005D2948"/>
    <w:rsid w:val="005D296F"/>
    <w:rsid w:val="005D47DA"/>
    <w:rsid w:val="005D486F"/>
    <w:rsid w:val="005D49D8"/>
    <w:rsid w:val="005D55BA"/>
    <w:rsid w:val="005D6204"/>
    <w:rsid w:val="005D6FF4"/>
    <w:rsid w:val="005D7B46"/>
    <w:rsid w:val="005E0825"/>
    <w:rsid w:val="005E0CDA"/>
    <w:rsid w:val="005E28CA"/>
    <w:rsid w:val="005E3C47"/>
    <w:rsid w:val="005E4458"/>
    <w:rsid w:val="005E4674"/>
    <w:rsid w:val="005E4934"/>
    <w:rsid w:val="005E7CBE"/>
    <w:rsid w:val="005F042F"/>
    <w:rsid w:val="005F0FFA"/>
    <w:rsid w:val="005F1030"/>
    <w:rsid w:val="005F1147"/>
    <w:rsid w:val="005F66FD"/>
    <w:rsid w:val="005F6A4C"/>
    <w:rsid w:val="005F742C"/>
    <w:rsid w:val="00600034"/>
    <w:rsid w:val="0060034F"/>
    <w:rsid w:val="0060072F"/>
    <w:rsid w:val="0060075E"/>
    <w:rsid w:val="00600903"/>
    <w:rsid w:val="00600B32"/>
    <w:rsid w:val="00600B7A"/>
    <w:rsid w:val="00603559"/>
    <w:rsid w:val="00603CD8"/>
    <w:rsid w:val="0060484F"/>
    <w:rsid w:val="00605204"/>
    <w:rsid w:val="0060610A"/>
    <w:rsid w:val="00606700"/>
    <w:rsid w:val="006075BA"/>
    <w:rsid w:val="0061030D"/>
    <w:rsid w:val="00610D4E"/>
    <w:rsid w:val="0061111A"/>
    <w:rsid w:val="0061130B"/>
    <w:rsid w:val="0061182C"/>
    <w:rsid w:val="00611D51"/>
    <w:rsid w:val="006126E3"/>
    <w:rsid w:val="00613669"/>
    <w:rsid w:val="00613FE4"/>
    <w:rsid w:val="0061406A"/>
    <w:rsid w:val="00614E5A"/>
    <w:rsid w:val="00615B1C"/>
    <w:rsid w:val="00615E0B"/>
    <w:rsid w:val="00617576"/>
    <w:rsid w:val="0061769F"/>
    <w:rsid w:val="00620260"/>
    <w:rsid w:val="00620271"/>
    <w:rsid w:val="00620AC5"/>
    <w:rsid w:val="00620B93"/>
    <w:rsid w:val="006227E3"/>
    <w:rsid w:val="0062471F"/>
    <w:rsid w:val="00625603"/>
    <w:rsid w:val="00626FDC"/>
    <w:rsid w:val="006272BD"/>
    <w:rsid w:val="00632F14"/>
    <w:rsid w:val="00633390"/>
    <w:rsid w:val="006341B1"/>
    <w:rsid w:val="006348E1"/>
    <w:rsid w:val="00634D1F"/>
    <w:rsid w:val="0063545D"/>
    <w:rsid w:val="00636282"/>
    <w:rsid w:val="00636758"/>
    <w:rsid w:val="00636769"/>
    <w:rsid w:val="00636D8C"/>
    <w:rsid w:val="00637804"/>
    <w:rsid w:val="00640B8F"/>
    <w:rsid w:val="00640BED"/>
    <w:rsid w:val="0064130E"/>
    <w:rsid w:val="00641761"/>
    <w:rsid w:val="00641E9D"/>
    <w:rsid w:val="00642DCA"/>
    <w:rsid w:val="0064319F"/>
    <w:rsid w:val="006434B1"/>
    <w:rsid w:val="00644A33"/>
    <w:rsid w:val="00644C5D"/>
    <w:rsid w:val="006453EA"/>
    <w:rsid w:val="00646571"/>
    <w:rsid w:val="00646AAE"/>
    <w:rsid w:val="00647968"/>
    <w:rsid w:val="006501BC"/>
    <w:rsid w:val="00650C3A"/>
    <w:rsid w:val="00650FDB"/>
    <w:rsid w:val="006510BF"/>
    <w:rsid w:val="00651E67"/>
    <w:rsid w:val="00651EB0"/>
    <w:rsid w:val="00653907"/>
    <w:rsid w:val="0065546A"/>
    <w:rsid w:val="00656484"/>
    <w:rsid w:val="006567B0"/>
    <w:rsid w:val="00656B3B"/>
    <w:rsid w:val="00657F23"/>
    <w:rsid w:val="0066039C"/>
    <w:rsid w:val="00660DA3"/>
    <w:rsid w:val="006618CE"/>
    <w:rsid w:val="00661A3E"/>
    <w:rsid w:val="0066260B"/>
    <w:rsid w:val="00663515"/>
    <w:rsid w:val="0066397E"/>
    <w:rsid w:val="006649E9"/>
    <w:rsid w:val="00664FF3"/>
    <w:rsid w:val="00665DAF"/>
    <w:rsid w:val="00666AF3"/>
    <w:rsid w:val="00666BCE"/>
    <w:rsid w:val="00667085"/>
    <w:rsid w:val="0066757D"/>
    <w:rsid w:val="00670A4A"/>
    <w:rsid w:val="00670B2E"/>
    <w:rsid w:val="00670BD1"/>
    <w:rsid w:val="006713FC"/>
    <w:rsid w:val="00671A27"/>
    <w:rsid w:val="00671F9A"/>
    <w:rsid w:val="00672863"/>
    <w:rsid w:val="00672BD1"/>
    <w:rsid w:val="006735E6"/>
    <w:rsid w:val="00674035"/>
    <w:rsid w:val="00674960"/>
    <w:rsid w:val="00677BA7"/>
    <w:rsid w:val="00677F86"/>
    <w:rsid w:val="00680131"/>
    <w:rsid w:val="006817A6"/>
    <w:rsid w:val="00681835"/>
    <w:rsid w:val="0068209F"/>
    <w:rsid w:val="006826A3"/>
    <w:rsid w:val="00682ED9"/>
    <w:rsid w:val="006837FC"/>
    <w:rsid w:val="00684B5B"/>
    <w:rsid w:val="00685830"/>
    <w:rsid w:val="006862D9"/>
    <w:rsid w:val="00686325"/>
    <w:rsid w:val="00686746"/>
    <w:rsid w:val="00686B7F"/>
    <w:rsid w:val="00691762"/>
    <w:rsid w:val="00691834"/>
    <w:rsid w:val="00691955"/>
    <w:rsid w:val="00691F4B"/>
    <w:rsid w:val="00692395"/>
    <w:rsid w:val="00692B6E"/>
    <w:rsid w:val="006935AF"/>
    <w:rsid w:val="00693658"/>
    <w:rsid w:val="006942F5"/>
    <w:rsid w:val="00696280"/>
    <w:rsid w:val="00696E39"/>
    <w:rsid w:val="00696E97"/>
    <w:rsid w:val="00697097"/>
    <w:rsid w:val="0069761D"/>
    <w:rsid w:val="00697E08"/>
    <w:rsid w:val="006A0A23"/>
    <w:rsid w:val="006A0B7C"/>
    <w:rsid w:val="006A10AA"/>
    <w:rsid w:val="006A10AD"/>
    <w:rsid w:val="006A15C3"/>
    <w:rsid w:val="006A1EBE"/>
    <w:rsid w:val="006A277B"/>
    <w:rsid w:val="006A3308"/>
    <w:rsid w:val="006A3528"/>
    <w:rsid w:val="006A36B1"/>
    <w:rsid w:val="006A3751"/>
    <w:rsid w:val="006A3D50"/>
    <w:rsid w:val="006A4438"/>
    <w:rsid w:val="006A484B"/>
    <w:rsid w:val="006A62BC"/>
    <w:rsid w:val="006A7BCE"/>
    <w:rsid w:val="006B0BC9"/>
    <w:rsid w:val="006B12CB"/>
    <w:rsid w:val="006B19DC"/>
    <w:rsid w:val="006B39DD"/>
    <w:rsid w:val="006B3A92"/>
    <w:rsid w:val="006B6018"/>
    <w:rsid w:val="006B7CC6"/>
    <w:rsid w:val="006C024D"/>
    <w:rsid w:val="006C0A7A"/>
    <w:rsid w:val="006C2CD7"/>
    <w:rsid w:val="006C41B9"/>
    <w:rsid w:val="006C6859"/>
    <w:rsid w:val="006C6F67"/>
    <w:rsid w:val="006D108B"/>
    <w:rsid w:val="006D1ABF"/>
    <w:rsid w:val="006D2408"/>
    <w:rsid w:val="006D32E0"/>
    <w:rsid w:val="006D3750"/>
    <w:rsid w:val="006D4660"/>
    <w:rsid w:val="006D4C44"/>
    <w:rsid w:val="006D4CA3"/>
    <w:rsid w:val="006D5E43"/>
    <w:rsid w:val="006D612D"/>
    <w:rsid w:val="006D6682"/>
    <w:rsid w:val="006D7968"/>
    <w:rsid w:val="006E1731"/>
    <w:rsid w:val="006E196F"/>
    <w:rsid w:val="006E330A"/>
    <w:rsid w:val="006E4254"/>
    <w:rsid w:val="006E4313"/>
    <w:rsid w:val="006E4977"/>
    <w:rsid w:val="006E6CB8"/>
    <w:rsid w:val="006E6CF1"/>
    <w:rsid w:val="006E7563"/>
    <w:rsid w:val="006E77FB"/>
    <w:rsid w:val="006E7D7C"/>
    <w:rsid w:val="006F0DEE"/>
    <w:rsid w:val="006F103B"/>
    <w:rsid w:val="006F16DB"/>
    <w:rsid w:val="006F1BA4"/>
    <w:rsid w:val="006F36A8"/>
    <w:rsid w:val="006F3F61"/>
    <w:rsid w:val="006F5122"/>
    <w:rsid w:val="006F5737"/>
    <w:rsid w:val="006F5EF9"/>
    <w:rsid w:val="006F5F5B"/>
    <w:rsid w:val="00700850"/>
    <w:rsid w:val="00700CBC"/>
    <w:rsid w:val="00700EA1"/>
    <w:rsid w:val="00701585"/>
    <w:rsid w:val="00701821"/>
    <w:rsid w:val="00701CA0"/>
    <w:rsid w:val="00702036"/>
    <w:rsid w:val="00703E49"/>
    <w:rsid w:val="00703E64"/>
    <w:rsid w:val="00704D54"/>
    <w:rsid w:val="00705F0E"/>
    <w:rsid w:val="0070620D"/>
    <w:rsid w:val="00706A26"/>
    <w:rsid w:val="00706B14"/>
    <w:rsid w:val="0071049F"/>
    <w:rsid w:val="00710551"/>
    <w:rsid w:val="007110A3"/>
    <w:rsid w:val="0071139D"/>
    <w:rsid w:val="00711ACB"/>
    <w:rsid w:val="00711E42"/>
    <w:rsid w:val="00711F53"/>
    <w:rsid w:val="00712175"/>
    <w:rsid w:val="007130FC"/>
    <w:rsid w:val="007141BC"/>
    <w:rsid w:val="007153FF"/>
    <w:rsid w:val="00715CBE"/>
    <w:rsid w:val="00715D3A"/>
    <w:rsid w:val="007177B5"/>
    <w:rsid w:val="00717FB3"/>
    <w:rsid w:val="007204EF"/>
    <w:rsid w:val="007213B6"/>
    <w:rsid w:val="00721580"/>
    <w:rsid w:val="00723006"/>
    <w:rsid w:val="00725B26"/>
    <w:rsid w:val="007261A3"/>
    <w:rsid w:val="00726794"/>
    <w:rsid w:val="0072685F"/>
    <w:rsid w:val="0072709F"/>
    <w:rsid w:val="007278E4"/>
    <w:rsid w:val="007315E6"/>
    <w:rsid w:val="0073167F"/>
    <w:rsid w:val="00731BFA"/>
    <w:rsid w:val="00731D99"/>
    <w:rsid w:val="007325A2"/>
    <w:rsid w:val="00734084"/>
    <w:rsid w:val="00734CF9"/>
    <w:rsid w:val="0073522C"/>
    <w:rsid w:val="00737910"/>
    <w:rsid w:val="0074061B"/>
    <w:rsid w:val="00741388"/>
    <w:rsid w:val="00741DB0"/>
    <w:rsid w:val="00742992"/>
    <w:rsid w:val="00742C39"/>
    <w:rsid w:val="00743118"/>
    <w:rsid w:val="00743786"/>
    <w:rsid w:val="00743866"/>
    <w:rsid w:val="00744350"/>
    <w:rsid w:val="007443B9"/>
    <w:rsid w:val="00744C12"/>
    <w:rsid w:val="00746F77"/>
    <w:rsid w:val="00747FB4"/>
    <w:rsid w:val="007506BF"/>
    <w:rsid w:val="00751323"/>
    <w:rsid w:val="00751F90"/>
    <w:rsid w:val="00754278"/>
    <w:rsid w:val="00754A45"/>
    <w:rsid w:val="00756631"/>
    <w:rsid w:val="00756F8F"/>
    <w:rsid w:val="00757A89"/>
    <w:rsid w:val="00757E02"/>
    <w:rsid w:val="00761C53"/>
    <w:rsid w:val="00762259"/>
    <w:rsid w:val="00763B5E"/>
    <w:rsid w:val="00763F5A"/>
    <w:rsid w:val="00765118"/>
    <w:rsid w:val="00765AED"/>
    <w:rsid w:val="00765C11"/>
    <w:rsid w:val="00767D42"/>
    <w:rsid w:val="00770A58"/>
    <w:rsid w:val="007715F4"/>
    <w:rsid w:val="00771A64"/>
    <w:rsid w:val="00772573"/>
    <w:rsid w:val="00772F34"/>
    <w:rsid w:val="00773B96"/>
    <w:rsid w:val="00774B03"/>
    <w:rsid w:val="00775359"/>
    <w:rsid w:val="0077626A"/>
    <w:rsid w:val="00776B6E"/>
    <w:rsid w:val="00776DDD"/>
    <w:rsid w:val="0078064E"/>
    <w:rsid w:val="00780F11"/>
    <w:rsid w:val="00781C94"/>
    <w:rsid w:val="00782569"/>
    <w:rsid w:val="007832EC"/>
    <w:rsid w:val="0078376F"/>
    <w:rsid w:val="00785D77"/>
    <w:rsid w:val="007866D2"/>
    <w:rsid w:val="00787B51"/>
    <w:rsid w:val="007902E8"/>
    <w:rsid w:val="00792BBE"/>
    <w:rsid w:val="00792BC5"/>
    <w:rsid w:val="00793C5F"/>
    <w:rsid w:val="00793E52"/>
    <w:rsid w:val="00794CC4"/>
    <w:rsid w:val="00796110"/>
    <w:rsid w:val="00796A6D"/>
    <w:rsid w:val="00796ADB"/>
    <w:rsid w:val="007974FF"/>
    <w:rsid w:val="007A2C5D"/>
    <w:rsid w:val="007A3B10"/>
    <w:rsid w:val="007A43C1"/>
    <w:rsid w:val="007A46AE"/>
    <w:rsid w:val="007A4D41"/>
    <w:rsid w:val="007A5173"/>
    <w:rsid w:val="007A5994"/>
    <w:rsid w:val="007A70A7"/>
    <w:rsid w:val="007A73CA"/>
    <w:rsid w:val="007A7412"/>
    <w:rsid w:val="007A7652"/>
    <w:rsid w:val="007A7A7A"/>
    <w:rsid w:val="007A7B84"/>
    <w:rsid w:val="007B06CA"/>
    <w:rsid w:val="007B1E0B"/>
    <w:rsid w:val="007B1EA1"/>
    <w:rsid w:val="007B3493"/>
    <w:rsid w:val="007B3955"/>
    <w:rsid w:val="007B48C4"/>
    <w:rsid w:val="007B5E3B"/>
    <w:rsid w:val="007B5FC3"/>
    <w:rsid w:val="007C0F71"/>
    <w:rsid w:val="007C1100"/>
    <w:rsid w:val="007C179F"/>
    <w:rsid w:val="007C1D19"/>
    <w:rsid w:val="007C3144"/>
    <w:rsid w:val="007C31B6"/>
    <w:rsid w:val="007C3C0D"/>
    <w:rsid w:val="007C54B7"/>
    <w:rsid w:val="007C657E"/>
    <w:rsid w:val="007C67B2"/>
    <w:rsid w:val="007C6B84"/>
    <w:rsid w:val="007C6D82"/>
    <w:rsid w:val="007D17C2"/>
    <w:rsid w:val="007D1A96"/>
    <w:rsid w:val="007D203C"/>
    <w:rsid w:val="007D2A2B"/>
    <w:rsid w:val="007D2D9C"/>
    <w:rsid w:val="007D2DC3"/>
    <w:rsid w:val="007D414C"/>
    <w:rsid w:val="007D50A1"/>
    <w:rsid w:val="007D52C7"/>
    <w:rsid w:val="007D6BDD"/>
    <w:rsid w:val="007D6E7C"/>
    <w:rsid w:val="007D74BB"/>
    <w:rsid w:val="007E0375"/>
    <w:rsid w:val="007E0F86"/>
    <w:rsid w:val="007E1CD9"/>
    <w:rsid w:val="007E1D51"/>
    <w:rsid w:val="007E23FE"/>
    <w:rsid w:val="007E2A10"/>
    <w:rsid w:val="007E36C6"/>
    <w:rsid w:val="007E39E9"/>
    <w:rsid w:val="007E4ABE"/>
    <w:rsid w:val="007E5884"/>
    <w:rsid w:val="007E60DD"/>
    <w:rsid w:val="007E617B"/>
    <w:rsid w:val="007E6B90"/>
    <w:rsid w:val="007E6EE2"/>
    <w:rsid w:val="007E79FE"/>
    <w:rsid w:val="007F0547"/>
    <w:rsid w:val="007F0961"/>
    <w:rsid w:val="007F12C1"/>
    <w:rsid w:val="007F1897"/>
    <w:rsid w:val="007F201D"/>
    <w:rsid w:val="007F2D73"/>
    <w:rsid w:val="007F44D0"/>
    <w:rsid w:val="007F4932"/>
    <w:rsid w:val="007F4D72"/>
    <w:rsid w:val="007F512D"/>
    <w:rsid w:val="007F5FC1"/>
    <w:rsid w:val="007F77A4"/>
    <w:rsid w:val="007F78DE"/>
    <w:rsid w:val="00800235"/>
    <w:rsid w:val="0080036E"/>
    <w:rsid w:val="008016A7"/>
    <w:rsid w:val="00801FB0"/>
    <w:rsid w:val="008022DD"/>
    <w:rsid w:val="00802692"/>
    <w:rsid w:val="00803841"/>
    <w:rsid w:val="0080438C"/>
    <w:rsid w:val="00804550"/>
    <w:rsid w:val="0080483E"/>
    <w:rsid w:val="00805580"/>
    <w:rsid w:val="0080569A"/>
    <w:rsid w:val="00805DA7"/>
    <w:rsid w:val="008067E0"/>
    <w:rsid w:val="00806D05"/>
    <w:rsid w:val="0080779A"/>
    <w:rsid w:val="008103B0"/>
    <w:rsid w:val="00810692"/>
    <w:rsid w:val="00810B4F"/>
    <w:rsid w:val="00813474"/>
    <w:rsid w:val="0081463E"/>
    <w:rsid w:val="008160F6"/>
    <w:rsid w:val="00816BDD"/>
    <w:rsid w:val="008178C1"/>
    <w:rsid w:val="00817B1D"/>
    <w:rsid w:val="00820434"/>
    <w:rsid w:val="0082189F"/>
    <w:rsid w:val="008234CA"/>
    <w:rsid w:val="008237D3"/>
    <w:rsid w:val="008238DE"/>
    <w:rsid w:val="008239E1"/>
    <w:rsid w:val="00823D42"/>
    <w:rsid w:val="008241E1"/>
    <w:rsid w:val="00824316"/>
    <w:rsid w:val="00825DE3"/>
    <w:rsid w:val="00826654"/>
    <w:rsid w:val="00827132"/>
    <w:rsid w:val="0082736F"/>
    <w:rsid w:val="00827A50"/>
    <w:rsid w:val="00827AED"/>
    <w:rsid w:val="00827D0A"/>
    <w:rsid w:val="008304F5"/>
    <w:rsid w:val="00830565"/>
    <w:rsid w:val="008337A2"/>
    <w:rsid w:val="0083384A"/>
    <w:rsid w:val="00833B67"/>
    <w:rsid w:val="00834010"/>
    <w:rsid w:val="008343BE"/>
    <w:rsid w:val="008357A2"/>
    <w:rsid w:val="00836CEA"/>
    <w:rsid w:val="008410E1"/>
    <w:rsid w:val="008412A6"/>
    <w:rsid w:val="00842027"/>
    <w:rsid w:val="00842B0F"/>
    <w:rsid w:val="00842E30"/>
    <w:rsid w:val="00843174"/>
    <w:rsid w:val="00843633"/>
    <w:rsid w:val="00844D06"/>
    <w:rsid w:val="008453EA"/>
    <w:rsid w:val="00846664"/>
    <w:rsid w:val="00846F2F"/>
    <w:rsid w:val="00847607"/>
    <w:rsid w:val="00851243"/>
    <w:rsid w:val="00851899"/>
    <w:rsid w:val="00854444"/>
    <w:rsid w:val="00854AB0"/>
    <w:rsid w:val="00855D74"/>
    <w:rsid w:val="008577E3"/>
    <w:rsid w:val="00857D99"/>
    <w:rsid w:val="00857DB5"/>
    <w:rsid w:val="00861C32"/>
    <w:rsid w:val="0086238B"/>
    <w:rsid w:val="00862F82"/>
    <w:rsid w:val="00863194"/>
    <w:rsid w:val="00863471"/>
    <w:rsid w:val="00863572"/>
    <w:rsid w:val="00863665"/>
    <w:rsid w:val="00863C58"/>
    <w:rsid w:val="00864FF0"/>
    <w:rsid w:val="00865A4B"/>
    <w:rsid w:val="00865D27"/>
    <w:rsid w:val="00866CAA"/>
    <w:rsid w:val="008709A7"/>
    <w:rsid w:val="00870FFC"/>
    <w:rsid w:val="00871E63"/>
    <w:rsid w:val="00872501"/>
    <w:rsid w:val="00872EB3"/>
    <w:rsid w:val="008734B2"/>
    <w:rsid w:val="00873B4C"/>
    <w:rsid w:val="00873C59"/>
    <w:rsid w:val="00874063"/>
    <w:rsid w:val="008747C6"/>
    <w:rsid w:val="00875580"/>
    <w:rsid w:val="00875912"/>
    <w:rsid w:val="00875A26"/>
    <w:rsid w:val="008762EA"/>
    <w:rsid w:val="00876D3B"/>
    <w:rsid w:val="0087745F"/>
    <w:rsid w:val="0088053E"/>
    <w:rsid w:val="00880DFB"/>
    <w:rsid w:val="008818D0"/>
    <w:rsid w:val="00881AA6"/>
    <w:rsid w:val="00882D80"/>
    <w:rsid w:val="00882E68"/>
    <w:rsid w:val="00883CAE"/>
    <w:rsid w:val="00883EB7"/>
    <w:rsid w:val="008855EC"/>
    <w:rsid w:val="00886476"/>
    <w:rsid w:val="00886799"/>
    <w:rsid w:val="0088734C"/>
    <w:rsid w:val="0088779C"/>
    <w:rsid w:val="0089012E"/>
    <w:rsid w:val="008903BB"/>
    <w:rsid w:val="0089049F"/>
    <w:rsid w:val="0089146D"/>
    <w:rsid w:val="00891CFF"/>
    <w:rsid w:val="00893B81"/>
    <w:rsid w:val="00896461"/>
    <w:rsid w:val="00897702"/>
    <w:rsid w:val="008A0259"/>
    <w:rsid w:val="008A0B3B"/>
    <w:rsid w:val="008A0C12"/>
    <w:rsid w:val="008A122A"/>
    <w:rsid w:val="008A1328"/>
    <w:rsid w:val="008A14ED"/>
    <w:rsid w:val="008A1C9D"/>
    <w:rsid w:val="008A25EE"/>
    <w:rsid w:val="008A26B1"/>
    <w:rsid w:val="008A2A1E"/>
    <w:rsid w:val="008A2C7A"/>
    <w:rsid w:val="008A3249"/>
    <w:rsid w:val="008A34C6"/>
    <w:rsid w:val="008A374F"/>
    <w:rsid w:val="008A4550"/>
    <w:rsid w:val="008A5169"/>
    <w:rsid w:val="008A6D99"/>
    <w:rsid w:val="008B0888"/>
    <w:rsid w:val="008B08D2"/>
    <w:rsid w:val="008B1D74"/>
    <w:rsid w:val="008B2294"/>
    <w:rsid w:val="008B3AD1"/>
    <w:rsid w:val="008B3D61"/>
    <w:rsid w:val="008B3E57"/>
    <w:rsid w:val="008B4129"/>
    <w:rsid w:val="008B431B"/>
    <w:rsid w:val="008B47F8"/>
    <w:rsid w:val="008B5DB5"/>
    <w:rsid w:val="008B6BFD"/>
    <w:rsid w:val="008B7853"/>
    <w:rsid w:val="008B7854"/>
    <w:rsid w:val="008B7B5A"/>
    <w:rsid w:val="008B7F00"/>
    <w:rsid w:val="008B7F35"/>
    <w:rsid w:val="008C216C"/>
    <w:rsid w:val="008C2770"/>
    <w:rsid w:val="008C2C95"/>
    <w:rsid w:val="008C3A2B"/>
    <w:rsid w:val="008C43E9"/>
    <w:rsid w:val="008C4884"/>
    <w:rsid w:val="008C4B73"/>
    <w:rsid w:val="008C58AD"/>
    <w:rsid w:val="008C6F59"/>
    <w:rsid w:val="008C7396"/>
    <w:rsid w:val="008C7482"/>
    <w:rsid w:val="008C7A6F"/>
    <w:rsid w:val="008C7B5B"/>
    <w:rsid w:val="008C7D60"/>
    <w:rsid w:val="008C7F69"/>
    <w:rsid w:val="008D074B"/>
    <w:rsid w:val="008D07E0"/>
    <w:rsid w:val="008D0A76"/>
    <w:rsid w:val="008D18BC"/>
    <w:rsid w:val="008D332A"/>
    <w:rsid w:val="008D33E0"/>
    <w:rsid w:val="008D34B8"/>
    <w:rsid w:val="008D44CB"/>
    <w:rsid w:val="008D5072"/>
    <w:rsid w:val="008D5584"/>
    <w:rsid w:val="008D6008"/>
    <w:rsid w:val="008D61A8"/>
    <w:rsid w:val="008D65A1"/>
    <w:rsid w:val="008D6B85"/>
    <w:rsid w:val="008D7A9A"/>
    <w:rsid w:val="008D7C33"/>
    <w:rsid w:val="008D7D5C"/>
    <w:rsid w:val="008E0117"/>
    <w:rsid w:val="008E0263"/>
    <w:rsid w:val="008E052C"/>
    <w:rsid w:val="008E06F4"/>
    <w:rsid w:val="008E1181"/>
    <w:rsid w:val="008E156F"/>
    <w:rsid w:val="008E284A"/>
    <w:rsid w:val="008E36E9"/>
    <w:rsid w:val="008E42DF"/>
    <w:rsid w:val="008E474F"/>
    <w:rsid w:val="008E4CFA"/>
    <w:rsid w:val="008E51C8"/>
    <w:rsid w:val="008E544B"/>
    <w:rsid w:val="008E58B8"/>
    <w:rsid w:val="008E6A34"/>
    <w:rsid w:val="008F0FBF"/>
    <w:rsid w:val="008F1076"/>
    <w:rsid w:val="008F32DB"/>
    <w:rsid w:val="008F477B"/>
    <w:rsid w:val="008F7371"/>
    <w:rsid w:val="008F75DC"/>
    <w:rsid w:val="008F7ED6"/>
    <w:rsid w:val="008F7FBA"/>
    <w:rsid w:val="00900104"/>
    <w:rsid w:val="009006E7"/>
    <w:rsid w:val="00900C7B"/>
    <w:rsid w:val="00901130"/>
    <w:rsid w:val="0090165C"/>
    <w:rsid w:val="00901C1C"/>
    <w:rsid w:val="00901D4B"/>
    <w:rsid w:val="00901FAA"/>
    <w:rsid w:val="009023D4"/>
    <w:rsid w:val="0090268F"/>
    <w:rsid w:val="00903C11"/>
    <w:rsid w:val="009041B3"/>
    <w:rsid w:val="00904BC6"/>
    <w:rsid w:val="00904D9D"/>
    <w:rsid w:val="00905075"/>
    <w:rsid w:val="0090508C"/>
    <w:rsid w:val="00905A34"/>
    <w:rsid w:val="00905B98"/>
    <w:rsid w:val="00906B7D"/>
    <w:rsid w:val="00907B93"/>
    <w:rsid w:val="0091050D"/>
    <w:rsid w:val="00910E29"/>
    <w:rsid w:val="009110AE"/>
    <w:rsid w:val="009113B4"/>
    <w:rsid w:val="00911A51"/>
    <w:rsid w:val="00912C0D"/>
    <w:rsid w:val="00913BB9"/>
    <w:rsid w:val="0091564E"/>
    <w:rsid w:val="009167D9"/>
    <w:rsid w:val="00916ADB"/>
    <w:rsid w:val="0091719C"/>
    <w:rsid w:val="00917645"/>
    <w:rsid w:val="009179EE"/>
    <w:rsid w:val="00920006"/>
    <w:rsid w:val="009202AB"/>
    <w:rsid w:val="009205C2"/>
    <w:rsid w:val="00920DB5"/>
    <w:rsid w:val="00921461"/>
    <w:rsid w:val="00921905"/>
    <w:rsid w:val="00921D37"/>
    <w:rsid w:val="0092426B"/>
    <w:rsid w:val="00926172"/>
    <w:rsid w:val="00926916"/>
    <w:rsid w:val="00927927"/>
    <w:rsid w:val="009302EC"/>
    <w:rsid w:val="0093064E"/>
    <w:rsid w:val="00932377"/>
    <w:rsid w:val="00933C8E"/>
    <w:rsid w:val="00935CF7"/>
    <w:rsid w:val="0093671B"/>
    <w:rsid w:val="009373DB"/>
    <w:rsid w:val="00937674"/>
    <w:rsid w:val="009406DD"/>
    <w:rsid w:val="00940C0C"/>
    <w:rsid w:val="0094128B"/>
    <w:rsid w:val="0094175C"/>
    <w:rsid w:val="00942145"/>
    <w:rsid w:val="0094229A"/>
    <w:rsid w:val="0094437F"/>
    <w:rsid w:val="00944C17"/>
    <w:rsid w:val="00944EF5"/>
    <w:rsid w:val="0094725D"/>
    <w:rsid w:val="00947E68"/>
    <w:rsid w:val="0095044B"/>
    <w:rsid w:val="0095324A"/>
    <w:rsid w:val="009543A4"/>
    <w:rsid w:val="00954472"/>
    <w:rsid w:val="00954CD6"/>
    <w:rsid w:val="00956A82"/>
    <w:rsid w:val="00957495"/>
    <w:rsid w:val="0095791E"/>
    <w:rsid w:val="009605E2"/>
    <w:rsid w:val="00960A88"/>
    <w:rsid w:val="009617CA"/>
    <w:rsid w:val="00962231"/>
    <w:rsid w:val="00962257"/>
    <w:rsid w:val="00962FD2"/>
    <w:rsid w:val="009631DF"/>
    <w:rsid w:val="00963751"/>
    <w:rsid w:val="009643DF"/>
    <w:rsid w:val="009649AD"/>
    <w:rsid w:val="00965392"/>
    <w:rsid w:val="0096586C"/>
    <w:rsid w:val="00965E5E"/>
    <w:rsid w:val="0096671F"/>
    <w:rsid w:val="00966AD9"/>
    <w:rsid w:val="009724B6"/>
    <w:rsid w:val="00974642"/>
    <w:rsid w:val="00975409"/>
    <w:rsid w:val="00975423"/>
    <w:rsid w:val="0097584F"/>
    <w:rsid w:val="009767CA"/>
    <w:rsid w:val="00976ACB"/>
    <w:rsid w:val="0098096D"/>
    <w:rsid w:val="00981093"/>
    <w:rsid w:val="009814D7"/>
    <w:rsid w:val="00983365"/>
    <w:rsid w:val="00983649"/>
    <w:rsid w:val="00984605"/>
    <w:rsid w:val="00984913"/>
    <w:rsid w:val="00984A92"/>
    <w:rsid w:val="00984C8F"/>
    <w:rsid w:val="009857DA"/>
    <w:rsid w:val="00986D7B"/>
    <w:rsid w:val="00990560"/>
    <w:rsid w:val="0099064A"/>
    <w:rsid w:val="00990F0B"/>
    <w:rsid w:val="009915C6"/>
    <w:rsid w:val="00991B8E"/>
    <w:rsid w:val="00994C12"/>
    <w:rsid w:val="009958B8"/>
    <w:rsid w:val="00995C62"/>
    <w:rsid w:val="00996EEE"/>
    <w:rsid w:val="00997CD2"/>
    <w:rsid w:val="009A073D"/>
    <w:rsid w:val="009A0D18"/>
    <w:rsid w:val="009A2DA5"/>
    <w:rsid w:val="009A4DF1"/>
    <w:rsid w:val="009A6916"/>
    <w:rsid w:val="009A6992"/>
    <w:rsid w:val="009A6A5A"/>
    <w:rsid w:val="009A6E45"/>
    <w:rsid w:val="009A7CBD"/>
    <w:rsid w:val="009B0EC3"/>
    <w:rsid w:val="009B261D"/>
    <w:rsid w:val="009B3A80"/>
    <w:rsid w:val="009B3B6B"/>
    <w:rsid w:val="009B4ED9"/>
    <w:rsid w:val="009B6CEB"/>
    <w:rsid w:val="009B77AC"/>
    <w:rsid w:val="009B7DFB"/>
    <w:rsid w:val="009C2453"/>
    <w:rsid w:val="009C3FC9"/>
    <w:rsid w:val="009C4E94"/>
    <w:rsid w:val="009C5758"/>
    <w:rsid w:val="009C6F57"/>
    <w:rsid w:val="009D0324"/>
    <w:rsid w:val="009D0C68"/>
    <w:rsid w:val="009D18AE"/>
    <w:rsid w:val="009D1EF8"/>
    <w:rsid w:val="009D2C7D"/>
    <w:rsid w:val="009D2FE9"/>
    <w:rsid w:val="009D3539"/>
    <w:rsid w:val="009D49D6"/>
    <w:rsid w:val="009D58D2"/>
    <w:rsid w:val="009D5C16"/>
    <w:rsid w:val="009D64B8"/>
    <w:rsid w:val="009D71BB"/>
    <w:rsid w:val="009D76F5"/>
    <w:rsid w:val="009E038B"/>
    <w:rsid w:val="009E062B"/>
    <w:rsid w:val="009E0651"/>
    <w:rsid w:val="009E1A6A"/>
    <w:rsid w:val="009E20A4"/>
    <w:rsid w:val="009E29DC"/>
    <w:rsid w:val="009E2F77"/>
    <w:rsid w:val="009E365D"/>
    <w:rsid w:val="009E398A"/>
    <w:rsid w:val="009E41E7"/>
    <w:rsid w:val="009E5643"/>
    <w:rsid w:val="009E7AC2"/>
    <w:rsid w:val="009F0E0D"/>
    <w:rsid w:val="009F1A04"/>
    <w:rsid w:val="009F1A45"/>
    <w:rsid w:val="009F1A87"/>
    <w:rsid w:val="009F20F7"/>
    <w:rsid w:val="009F239E"/>
    <w:rsid w:val="009F31B8"/>
    <w:rsid w:val="009F42E4"/>
    <w:rsid w:val="009F5086"/>
    <w:rsid w:val="00A008EA"/>
    <w:rsid w:val="00A01612"/>
    <w:rsid w:val="00A02C6E"/>
    <w:rsid w:val="00A03B9F"/>
    <w:rsid w:val="00A04B4A"/>
    <w:rsid w:val="00A04CA3"/>
    <w:rsid w:val="00A0513A"/>
    <w:rsid w:val="00A0594B"/>
    <w:rsid w:val="00A0627F"/>
    <w:rsid w:val="00A07822"/>
    <w:rsid w:val="00A10925"/>
    <w:rsid w:val="00A10EF9"/>
    <w:rsid w:val="00A1167B"/>
    <w:rsid w:val="00A13A0A"/>
    <w:rsid w:val="00A13D6D"/>
    <w:rsid w:val="00A13E3D"/>
    <w:rsid w:val="00A13E87"/>
    <w:rsid w:val="00A14C15"/>
    <w:rsid w:val="00A15AE9"/>
    <w:rsid w:val="00A168A2"/>
    <w:rsid w:val="00A17A49"/>
    <w:rsid w:val="00A20300"/>
    <w:rsid w:val="00A21B81"/>
    <w:rsid w:val="00A260AC"/>
    <w:rsid w:val="00A26DB7"/>
    <w:rsid w:val="00A27977"/>
    <w:rsid w:val="00A301FB"/>
    <w:rsid w:val="00A30D3F"/>
    <w:rsid w:val="00A31DC3"/>
    <w:rsid w:val="00A32445"/>
    <w:rsid w:val="00A32498"/>
    <w:rsid w:val="00A325FE"/>
    <w:rsid w:val="00A326F7"/>
    <w:rsid w:val="00A34072"/>
    <w:rsid w:val="00A3450D"/>
    <w:rsid w:val="00A36B09"/>
    <w:rsid w:val="00A36B14"/>
    <w:rsid w:val="00A3778B"/>
    <w:rsid w:val="00A40610"/>
    <w:rsid w:val="00A40B2B"/>
    <w:rsid w:val="00A41C20"/>
    <w:rsid w:val="00A41FD4"/>
    <w:rsid w:val="00A41FDB"/>
    <w:rsid w:val="00A43E1E"/>
    <w:rsid w:val="00A44158"/>
    <w:rsid w:val="00A444B7"/>
    <w:rsid w:val="00A44D13"/>
    <w:rsid w:val="00A45466"/>
    <w:rsid w:val="00A45621"/>
    <w:rsid w:val="00A45D85"/>
    <w:rsid w:val="00A45DE1"/>
    <w:rsid w:val="00A46164"/>
    <w:rsid w:val="00A461EA"/>
    <w:rsid w:val="00A46D39"/>
    <w:rsid w:val="00A47882"/>
    <w:rsid w:val="00A47C2E"/>
    <w:rsid w:val="00A50975"/>
    <w:rsid w:val="00A50DB7"/>
    <w:rsid w:val="00A50EC6"/>
    <w:rsid w:val="00A51B99"/>
    <w:rsid w:val="00A51D1B"/>
    <w:rsid w:val="00A52D0B"/>
    <w:rsid w:val="00A53C90"/>
    <w:rsid w:val="00A53CF9"/>
    <w:rsid w:val="00A554BA"/>
    <w:rsid w:val="00A556D5"/>
    <w:rsid w:val="00A5698C"/>
    <w:rsid w:val="00A56F4D"/>
    <w:rsid w:val="00A576DC"/>
    <w:rsid w:val="00A615D1"/>
    <w:rsid w:val="00A640ED"/>
    <w:rsid w:val="00A64705"/>
    <w:rsid w:val="00A65011"/>
    <w:rsid w:val="00A6553C"/>
    <w:rsid w:val="00A6621D"/>
    <w:rsid w:val="00A66895"/>
    <w:rsid w:val="00A6690C"/>
    <w:rsid w:val="00A70054"/>
    <w:rsid w:val="00A70353"/>
    <w:rsid w:val="00A70A56"/>
    <w:rsid w:val="00A70FE0"/>
    <w:rsid w:val="00A7103A"/>
    <w:rsid w:val="00A7166A"/>
    <w:rsid w:val="00A71B97"/>
    <w:rsid w:val="00A71BD6"/>
    <w:rsid w:val="00A730FA"/>
    <w:rsid w:val="00A7364A"/>
    <w:rsid w:val="00A742BA"/>
    <w:rsid w:val="00A745BD"/>
    <w:rsid w:val="00A748B2"/>
    <w:rsid w:val="00A750FB"/>
    <w:rsid w:val="00A75B76"/>
    <w:rsid w:val="00A763CB"/>
    <w:rsid w:val="00A765C6"/>
    <w:rsid w:val="00A76F95"/>
    <w:rsid w:val="00A778A4"/>
    <w:rsid w:val="00A77AC3"/>
    <w:rsid w:val="00A82C26"/>
    <w:rsid w:val="00A839A5"/>
    <w:rsid w:val="00A83DA5"/>
    <w:rsid w:val="00A85BD9"/>
    <w:rsid w:val="00A87164"/>
    <w:rsid w:val="00A872C1"/>
    <w:rsid w:val="00A873F9"/>
    <w:rsid w:val="00A8766B"/>
    <w:rsid w:val="00A87AE0"/>
    <w:rsid w:val="00A91848"/>
    <w:rsid w:val="00A93096"/>
    <w:rsid w:val="00A937C3"/>
    <w:rsid w:val="00A94C30"/>
    <w:rsid w:val="00A9525D"/>
    <w:rsid w:val="00A95850"/>
    <w:rsid w:val="00A9609E"/>
    <w:rsid w:val="00A9660B"/>
    <w:rsid w:val="00A96CBF"/>
    <w:rsid w:val="00A97971"/>
    <w:rsid w:val="00A97C95"/>
    <w:rsid w:val="00A97DDB"/>
    <w:rsid w:val="00AA273B"/>
    <w:rsid w:val="00AA3B4B"/>
    <w:rsid w:val="00AA4393"/>
    <w:rsid w:val="00AA4A22"/>
    <w:rsid w:val="00AA4F91"/>
    <w:rsid w:val="00AA68AA"/>
    <w:rsid w:val="00AA78DA"/>
    <w:rsid w:val="00AA7D18"/>
    <w:rsid w:val="00AB0820"/>
    <w:rsid w:val="00AB085F"/>
    <w:rsid w:val="00AB27EC"/>
    <w:rsid w:val="00AB3860"/>
    <w:rsid w:val="00AB3AA2"/>
    <w:rsid w:val="00AB4297"/>
    <w:rsid w:val="00AB52D7"/>
    <w:rsid w:val="00AB58B1"/>
    <w:rsid w:val="00AB649B"/>
    <w:rsid w:val="00AB65A3"/>
    <w:rsid w:val="00AB6900"/>
    <w:rsid w:val="00AB6EFB"/>
    <w:rsid w:val="00AB7BB3"/>
    <w:rsid w:val="00AB7CD1"/>
    <w:rsid w:val="00AB7EBD"/>
    <w:rsid w:val="00AC09F6"/>
    <w:rsid w:val="00AC2F1D"/>
    <w:rsid w:val="00AC30BE"/>
    <w:rsid w:val="00AC4590"/>
    <w:rsid w:val="00AC4B26"/>
    <w:rsid w:val="00AC505D"/>
    <w:rsid w:val="00AC5764"/>
    <w:rsid w:val="00AC6D73"/>
    <w:rsid w:val="00AC6E09"/>
    <w:rsid w:val="00AD1ACF"/>
    <w:rsid w:val="00AD3267"/>
    <w:rsid w:val="00AD3DFA"/>
    <w:rsid w:val="00AD43C1"/>
    <w:rsid w:val="00AD4C42"/>
    <w:rsid w:val="00AD5C5F"/>
    <w:rsid w:val="00AD6A05"/>
    <w:rsid w:val="00AD708B"/>
    <w:rsid w:val="00AE03F3"/>
    <w:rsid w:val="00AE1788"/>
    <w:rsid w:val="00AE1D02"/>
    <w:rsid w:val="00AE23D3"/>
    <w:rsid w:val="00AE25B9"/>
    <w:rsid w:val="00AE31B8"/>
    <w:rsid w:val="00AE39BD"/>
    <w:rsid w:val="00AE3A98"/>
    <w:rsid w:val="00AE4125"/>
    <w:rsid w:val="00AE419D"/>
    <w:rsid w:val="00AE67A1"/>
    <w:rsid w:val="00AE6B06"/>
    <w:rsid w:val="00AE7930"/>
    <w:rsid w:val="00AE7B6E"/>
    <w:rsid w:val="00AE7D59"/>
    <w:rsid w:val="00AF009A"/>
    <w:rsid w:val="00AF15F9"/>
    <w:rsid w:val="00AF284D"/>
    <w:rsid w:val="00AF3060"/>
    <w:rsid w:val="00AF322D"/>
    <w:rsid w:val="00AF3278"/>
    <w:rsid w:val="00AF444A"/>
    <w:rsid w:val="00AF563C"/>
    <w:rsid w:val="00AF56E1"/>
    <w:rsid w:val="00AF6E33"/>
    <w:rsid w:val="00AF6F96"/>
    <w:rsid w:val="00AF717F"/>
    <w:rsid w:val="00AF74CB"/>
    <w:rsid w:val="00AF7F9E"/>
    <w:rsid w:val="00B00789"/>
    <w:rsid w:val="00B02B4D"/>
    <w:rsid w:val="00B02B99"/>
    <w:rsid w:val="00B03944"/>
    <w:rsid w:val="00B03E25"/>
    <w:rsid w:val="00B04480"/>
    <w:rsid w:val="00B04A09"/>
    <w:rsid w:val="00B04C68"/>
    <w:rsid w:val="00B05337"/>
    <w:rsid w:val="00B05865"/>
    <w:rsid w:val="00B05D8E"/>
    <w:rsid w:val="00B062ED"/>
    <w:rsid w:val="00B100B8"/>
    <w:rsid w:val="00B10B3C"/>
    <w:rsid w:val="00B11329"/>
    <w:rsid w:val="00B12269"/>
    <w:rsid w:val="00B13826"/>
    <w:rsid w:val="00B138B5"/>
    <w:rsid w:val="00B14621"/>
    <w:rsid w:val="00B16F72"/>
    <w:rsid w:val="00B1781B"/>
    <w:rsid w:val="00B2053C"/>
    <w:rsid w:val="00B20BCB"/>
    <w:rsid w:val="00B22528"/>
    <w:rsid w:val="00B22854"/>
    <w:rsid w:val="00B22D8D"/>
    <w:rsid w:val="00B22F6C"/>
    <w:rsid w:val="00B24130"/>
    <w:rsid w:val="00B242F4"/>
    <w:rsid w:val="00B24A6E"/>
    <w:rsid w:val="00B24FD4"/>
    <w:rsid w:val="00B27E31"/>
    <w:rsid w:val="00B27FAF"/>
    <w:rsid w:val="00B31A1F"/>
    <w:rsid w:val="00B35548"/>
    <w:rsid w:val="00B356A8"/>
    <w:rsid w:val="00B35FF8"/>
    <w:rsid w:val="00B36738"/>
    <w:rsid w:val="00B36DD8"/>
    <w:rsid w:val="00B36FD8"/>
    <w:rsid w:val="00B37CAC"/>
    <w:rsid w:val="00B411E0"/>
    <w:rsid w:val="00B41D8E"/>
    <w:rsid w:val="00B431D2"/>
    <w:rsid w:val="00B43590"/>
    <w:rsid w:val="00B437CA"/>
    <w:rsid w:val="00B43A5A"/>
    <w:rsid w:val="00B447AD"/>
    <w:rsid w:val="00B44A42"/>
    <w:rsid w:val="00B457DE"/>
    <w:rsid w:val="00B46A34"/>
    <w:rsid w:val="00B47357"/>
    <w:rsid w:val="00B47749"/>
    <w:rsid w:val="00B47D15"/>
    <w:rsid w:val="00B47D78"/>
    <w:rsid w:val="00B5005A"/>
    <w:rsid w:val="00B50712"/>
    <w:rsid w:val="00B507D3"/>
    <w:rsid w:val="00B50C16"/>
    <w:rsid w:val="00B539C3"/>
    <w:rsid w:val="00B55BE4"/>
    <w:rsid w:val="00B56334"/>
    <w:rsid w:val="00B5651A"/>
    <w:rsid w:val="00B57BC4"/>
    <w:rsid w:val="00B60B9F"/>
    <w:rsid w:val="00B6164B"/>
    <w:rsid w:val="00B61BD0"/>
    <w:rsid w:val="00B62570"/>
    <w:rsid w:val="00B628B2"/>
    <w:rsid w:val="00B63736"/>
    <w:rsid w:val="00B639EC"/>
    <w:rsid w:val="00B648EF"/>
    <w:rsid w:val="00B64ED8"/>
    <w:rsid w:val="00B659CC"/>
    <w:rsid w:val="00B66B96"/>
    <w:rsid w:val="00B71970"/>
    <w:rsid w:val="00B71B1E"/>
    <w:rsid w:val="00B72B0D"/>
    <w:rsid w:val="00B74A95"/>
    <w:rsid w:val="00B74E57"/>
    <w:rsid w:val="00B74F0F"/>
    <w:rsid w:val="00B76B22"/>
    <w:rsid w:val="00B77ECD"/>
    <w:rsid w:val="00B8045E"/>
    <w:rsid w:val="00B809F7"/>
    <w:rsid w:val="00B80EE8"/>
    <w:rsid w:val="00B8100A"/>
    <w:rsid w:val="00B81295"/>
    <w:rsid w:val="00B81E10"/>
    <w:rsid w:val="00B81FB0"/>
    <w:rsid w:val="00B82211"/>
    <w:rsid w:val="00B822DB"/>
    <w:rsid w:val="00B8373E"/>
    <w:rsid w:val="00B84542"/>
    <w:rsid w:val="00B849E3"/>
    <w:rsid w:val="00B84F71"/>
    <w:rsid w:val="00B85DA6"/>
    <w:rsid w:val="00B86792"/>
    <w:rsid w:val="00B86941"/>
    <w:rsid w:val="00B87D5D"/>
    <w:rsid w:val="00B90585"/>
    <w:rsid w:val="00B90D6A"/>
    <w:rsid w:val="00B90EAE"/>
    <w:rsid w:val="00B910D7"/>
    <w:rsid w:val="00B911BA"/>
    <w:rsid w:val="00B9133F"/>
    <w:rsid w:val="00B916B9"/>
    <w:rsid w:val="00B91A9D"/>
    <w:rsid w:val="00B91ECA"/>
    <w:rsid w:val="00B922A6"/>
    <w:rsid w:val="00B92304"/>
    <w:rsid w:val="00B92675"/>
    <w:rsid w:val="00B92865"/>
    <w:rsid w:val="00B933FF"/>
    <w:rsid w:val="00B94A0F"/>
    <w:rsid w:val="00B94F9D"/>
    <w:rsid w:val="00B95624"/>
    <w:rsid w:val="00B9613B"/>
    <w:rsid w:val="00BA049A"/>
    <w:rsid w:val="00BA06CD"/>
    <w:rsid w:val="00BA0B47"/>
    <w:rsid w:val="00BA0DEF"/>
    <w:rsid w:val="00BA1469"/>
    <w:rsid w:val="00BA1B52"/>
    <w:rsid w:val="00BA1DB6"/>
    <w:rsid w:val="00BA212B"/>
    <w:rsid w:val="00BA22D7"/>
    <w:rsid w:val="00BA28C3"/>
    <w:rsid w:val="00BA301B"/>
    <w:rsid w:val="00BA3852"/>
    <w:rsid w:val="00BA39C7"/>
    <w:rsid w:val="00BA4C6A"/>
    <w:rsid w:val="00BA66A6"/>
    <w:rsid w:val="00BA7119"/>
    <w:rsid w:val="00BA763F"/>
    <w:rsid w:val="00BA7BAA"/>
    <w:rsid w:val="00BB08FA"/>
    <w:rsid w:val="00BB0A59"/>
    <w:rsid w:val="00BB119B"/>
    <w:rsid w:val="00BB2B90"/>
    <w:rsid w:val="00BB3E1E"/>
    <w:rsid w:val="00BB3E79"/>
    <w:rsid w:val="00BB4B6E"/>
    <w:rsid w:val="00BB5CAD"/>
    <w:rsid w:val="00BB5D39"/>
    <w:rsid w:val="00BB61C2"/>
    <w:rsid w:val="00BB67F5"/>
    <w:rsid w:val="00BB702B"/>
    <w:rsid w:val="00BB71A2"/>
    <w:rsid w:val="00BB7E3A"/>
    <w:rsid w:val="00BC1169"/>
    <w:rsid w:val="00BC19F0"/>
    <w:rsid w:val="00BC2DFD"/>
    <w:rsid w:val="00BC2F23"/>
    <w:rsid w:val="00BC4AF7"/>
    <w:rsid w:val="00BC4CA8"/>
    <w:rsid w:val="00BC5262"/>
    <w:rsid w:val="00BC53F7"/>
    <w:rsid w:val="00BC575B"/>
    <w:rsid w:val="00BC63D3"/>
    <w:rsid w:val="00BC6CBB"/>
    <w:rsid w:val="00BC71B7"/>
    <w:rsid w:val="00BC73D3"/>
    <w:rsid w:val="00BC7F39"/>
    <w:rsid w:val="00BD029D"/>
    <w:rsid w:val="00BD065F"/>
    <w:rsid w:val="00BD1437"/>
    <w:rsid w:val="00BD25F0"/>
    <w:rsid w:val="00BD29E6"/>
    <w:rsid w:val="00BD2FD7"/>
    <w:rsid w:val="00BD75EF"/>
    <w:rsid w:val="00BD7B85"/>
    <w:rsid w:val="00BE0663"/>
    <w:rsid w:val="00BE1CE1"/>
    <w:rsid w:val="00BE2CA2"/>
    <w:rsid w:val="00BE346F"/>
    <w:rsid w:val="00BE3CA0"/>
    <w:rsid w:val="00BE50D6"/>
    <w:rsid w:val="00BE64E7"/>
    <w:rsid w:val="00BE6E1D"/>
    <w:rsid w:val="00BE71C2"/>
    <w:rsid w:val="00BE7248"/>
    <w:rsid w:val="00BE7527"/>
    <w:rsid w:val="00BF1018"/>
    <w:rsid w:val="00BF1E7A"/>
    <w:rsid w:val="00BF2452"/>
    <w:rsid w:val="00BF30E0"/>
    <w:rsid w:val="00BF31BA"/>
    <w:rsid w:val="00BF3654"/>
    <w:rsid w:val="00BF3B61"/>
    <w:rsid w:val="00BF3F20"/>
    <w:rsid w:val="00BF4374"/>
    <w:rsid w:val="00BF4602"/>
    <w:rsid w:val="00BF4859"/>
    <w:rsid w:val="00BF548A"/>
    <w:rsid w:val="00BF5DC2"/>
    <w:rsid w:val="00BF66F8"/>
    <w:rsid w:val="00BF6D50"/>
    <w:rsid w:val="00BF77FE"/>
    <w:rsid w:val="00BF7A71"/>
    <w:rsid w:val="00BF7B70"/>
    <w:rsid w:val="00C006B9"/>
    <w:rsid w:val="00C006BA"/>
    <w:rsid w:val="00C01429"/>
    <w:rsid w:val="00C0212C"/>
    <w:rsid w:val="00C03C54"/>
    <w:rsid w:val="00C03E23"/>
    <w:rsid w:val="00C04454"/>
    <w:rsid w:val="00C0470F"/>
    <w:rsid w:val="00C055EB"/>
    <w:rsid w:val="00C06385"/>
    <w:rsid w:val="00C071C0"/>
    <w:rsid w:val="00C07392"/>
    <w:rsid w:val="00C07495"/>
    <w:rsid w:val="00C108F2"/>
    <w:rsid w:val="00C10996"/>
    <w:rsid w:val="00C10DD9"/>
    <w:rsid w:val="00C11024"/>
    <w:rsid w:val="00C111AB"/>
    <w:rsid w:val="00C11D02"/>
    <w:rsid w:val="00C129AA"/>
    <w:rsid w:val="00C12CBA"/>
    <w:rsid w:val="00C13DEC"/>
    <w:rsid w:val="00C1584C"/>
    <w:rsid w:val="00C16639"/>
    <w:rsid w:val="00C17DF2"/>
    <w:rsid w:val="00C17E91"/>
    <w:rsid w:val="00C20982"/>
    <w:rsid w:val="00C2106D"/>
    <w:rsid w:val="00C21552"/>
    <w:rsid w:val="00C222FD"/>
    <w:rsid w:val="00C22AFA"/>
    <w:rsid w:val="00C22F3F"/>
    <w:rsid w:val="00C23340"/>
    <w:rsid w:val="00C23915"/>
    <w:rsid w:val="00C2680B"/>
    <w:rsid w:val="00C26985"/>
    <w:rsid w:val="00C26AE0"/>
    <w:rsid w:val="00C27FAD"/>
    <w:rsid w:val="00C3130B"/>
    <w:rsid w:val="00C31590"/>
    <w:rsid w:val="00C32D1A"/>
    <w:rsid w:val="00C3339F"/>
    <w:rsid w:val="00C33D91"/>
    <w:rsid w:val="00C35F5C"/>
    <w:rsid w:val="00C36AAA"/>
    <w:rsid w:val="00C374C0"/>
    <w:rsid w:val="00C40063"/>
    <w:rsid w:val="00C401E9"/>
    <w:rsid w:val="00C404D0"/>
    <w:rsid w:val="00C40692"/>
    <w:rsid w:val="00C4260B"/>
    <w:rsid w:val="00C42D92"/>
    <w:rsid w:val="00C43A84"/>
    <w:rsid w:val="00C463E5"/>
    <w:rsid w:val="00C46DF5"/>
    <w:rsid w:val="00C470D6"/>
    <w:rsid w:val="00C47A6F"/>
    <w:rsid w:val="00C50050"/>
    <w:rsid w:val="00C50DCA"/>
    <w:rsid w:val="00C51256"/>
    <w:rsid w:val="00C52F9A"/>
    <w:rsid w:val="00C53BAE"/>
    <w:rsid w:val="00C53C55"/>
    <w:rsid w:val="00C541AD"/>
    <w:rsid w:val="00C5532F"/>
    <w:rsid w:val="00C55B9A"/>
    <w:rsid w:val="00C566D4"/>
    <w:rsid w:val="00C56A83"/>
    <w:rsid w:val="00C57D1E"/>
    <w:rsid w:val="00C57DF0"/>
    <w:rsid w:val="00C60374"/>
    <w:rsid w:val="00C60618"/>
    <w:rsid w:val="00C6067E"/>
    <w:rsid w:val="00C612AB"/>
    <w:rsid w:val="00C62269"/>
    <w:rsid w:val="00C630BD"/>
    <w:rsid w:val="00C633D9"/>
    <w:rsid w:val="00C636F4"/>
    <w:rsid w:val="00C63B0B"/>
    <w:rsid w:val="00C63DFB"/>
    <w:rsid w:val="00C64111"/>
    <w:rsid w:val="00C64BF2"/>
    <w:rsid w:val="00C658E9"/>
    <w:rsid w:val="00C663EF"/>
    <w:rsid w:val="00C670A5"/>
    <w:rsid w:val="00C67959"/>
    <w:rsid w:val="00C67CE6"/>
    <w:rsid w:val="00C70626"/>
    <w:rsid w:val="00C7094B"/>
    <w:rsid w:val="00C7206E"/>
    <w:rsid w:val="00C724ED"/>
    <w:rsid w:val="00C724FC"/>
    <w:rsid w:val="00C72AC3"/>
    <w:rsid w:val="00C73A35"/>
    <w:rsid w:val="00C745A2"/>
    <w:rsid w:val="00C755C0"/>
    <w:rsid w:val="00C75680"/>
    <w:rsid w:val="00C75722"/>
    <w:rsid w:val="00C766A5"/>
    <w:rsid w:val="00C76B99"/>
    <w:rsid w:val="00C76D29"/>
    <w:rsid w:val="00C800F2"/>
    <w:rsid w:val="00C80B22"/>
    <w:rsid w:val="00C80EB7"/>
    <w:rsid w:val="00C80ED4"/>
    <w:rsid w:val="00C830C3"/>
    <w:rsid w:val="00C831F9"/>
    <w:rsid w:val="00C846C5"/>
    <w:rsid w:val="00C84858"/>
    <w:rsid w:val="00C84A4F"/>
    <w:rsid w:val="00C857AD"/>
    <w:rsid w:val="00C86BA6"/>
    <w:rsid w:val="00C87E40"/>
    <w:rsid w:val="00C901E6"/>
    <w:rsid w:val="00C9065A"/>
    <w:rsid w:val="00C906E5"/>
    <w:rsid w:val="00C91956"/>
    <w:rsid w:val="00C94E5E"/>
    <w:rsid w:val="00C962B7"/>
    <w:rsid w:val="00C9751E"/>
    <w:rsid w:val="00C97853"/>
    <w:rsid w:val="00C97F43"/>
    <w:rsid w:val="00CA098A"/>
    <w:rsid w:val="00CA0FD4"/>
    <w:rsid w:val="00CA13F4"/>
    <w:rsid w:val="00CA14BE"/>
    <w:rsid w:val="00CA15E1"/>
    <w:rsid w:val="00CA1B4B"/>
    <w:rsid w:val="00CA2C0A"/>
    <w:rsid w:val="00CA324C"/>
    <w:rsid w:val="00CA33E8"/>
    <w:rsid w:val="00CA342E"/>
    <w:rsid w:val="00CA3DA0"/>
    <w:rsid w:val="00CA475B"/>
    <w:rsid w:val="00CA523E"/>
    <w:rsid w:val="00CA5918"/>
    <w:rsid w:val="00CA78B9"/>
    <w:rsid w:val="00CB0A3D"/>
    <w:rsid w:val="00CB1690"/>
    <w:rsid w:val="00CB2617"/>
    <w:rsid w:val="00CB2937"/>
    <w:rsid w:val="00CB301A"/>
    <w:rsid w:val="00CB3733"/>
    <w:rsid w:val="00CB3CC6"/>
    <w:rsid w:val="00CB43E3"/>
    <w:rsid w:val="00CB4586"/>
    <w:rsid w:val="00CB5786"/>
    <w:rsid w:val="00CB5BEE"/>
    <w:rsid w:val="00CB5C0C"/>
    <w:rsid w:val="00CB6465"/>
    <w:rsid w:val="00CB7820"/>
    <w:rsid w:val="00CB7862"/>
    <w:rsid w:val="00CB790F"/>
    <w:rsid w:val="00CB7F71"/>
    <w:rsid w:val="00CC15A4"/>
    <w:rsid w:val="00CC16B6"/>
    <w:rsid w:val="00CC18F5"/>
    <w:rsid w:val="00CC1CB4"/>
    <w:rsid w:val="00CC20D7"/>
    <w:rsid w:val="00CC2943"/>
    <w:rsid w:val="00CC4DE4"/>
    <w:rsid w:val="00CC59FF"/>
    <w:rsid w:val="00CC5AE1"/>
    <w:rsid w:val="00CC6412"/>
    <w:rsid w:val="00CC70C5"/>
    <w:rsid w:val="00CC7855"/>
    <w:rsid w:val="00CD0055"/>
    <w:rsid w:val="00CD1265"/>
    <w:rsid w:val="00CD18C7"/>
    <w:rsid w:val="00CD1D9A"/>
    <w:rsid w:val="00CD231A"/>
    <w:rsid w:val="00CD268F"/>
    <w:rsid w:val="00CD26DF"/>
    <w:rsid w:val="00CD2AEA"/>
    <w:rsid w:val="00CD2DE0"/>
    <w:rsid w:val="00CD30F9"/>
    <w:rsid w:val="00CD321D"/>
    <w:rsid w:val="00CD36BF"/>
    <w:rsid w:val="00CD48A9"/>
    <w:rsid w:val="00CD494A"/>
    <w:rsid w:val="00CD4C77"/>
    <w:rsid w:val="00CD6CCD"/>
    <w:rsid w:val="00CD6EF7"/>
    <w:rsid w:val="00CD709D"/>
    <w:rsid w:val="00CD7A7D"/>
    <w:rsid w:val="00CE0BEB"/>
    <w:rsid w:val="00CE0D9F"/>
    <w:rsid w:val="00CE124D"/>
    <w:rsid w:val="00CE1496"/>
    <w:rsid w:val="00CE238E"/>
    <w:rsid w:val="00CE2906"/>
    <w:rsid w:val="00CE293E"/>
    <w:rsid w:val="00CE3043"/>
    <w:rsid w:val="00CE3BE7"/>
    <w:rsid w:val="00CE4A4F"/>
    <w:rsid w:val="00CE5705"/>
    <w:rsid w:val="00CE5B12"/>
    <w:rsid w:val="00CE692F"/>
    <w:rsid w:val="00CE6AEB"/>
    <w:rsid w:val="00CE6E89"/>
    <w:rsid w:val="00CF12CA"/>
    <w:rsid w:val="00CF1CFD"/>
    <w:rsid w:val="00CF1E4E"/>
    <w:rsid w:val="00CF2231"/>
    <w:rsid w:val="00CF3A40"/>
    <w:rsid w:val="00CF408A"/>
    <w:rsid w:val="00CF46E6"/>
    <w:rsid w:val="00CF530F"/>
    <w:rsid w:val="00CF73CF"/>
    <w:rsid w:val="00CF7C83"/>
    <w:rsid w:val="00D00159"/>
    <w:rsid w:val="00D01169"/>
    <w:rsid w:val="00D02CB3"/>
    <w:rsid w:val="00D03B81"/>
    <w:rsid w:val="00D03F32"/>
    <w:rsid w:val="00D04112"/>
    <w:rsid w:val="00D04D37"/>
    <w:rsid w:val="00D0512F"/>
    <w:rsid w:val="00D0689B"/>
    <w:rsid w:val="00D07B5A"/>
    <w:rsid w:val="00D07CB5"/>
    <w:rsid w:val="00D107CF"/>
    <w:rsid w:val="00D11608"/>
    <w:rsid w:val="00D13BCB"/>
    <w:rsid w:val="00D16C77"/>
    <w:rsid w:val="00D17F09"/>
    <w:rsid w:val="00D20AB1"/>
    <w:rsid w:val="00D210B8"/>
    <w:rsid w:val="00D221C7"/>
    <w:rsid w:val="00D24011"/>
    <w:rsid w:val="00D2584E"/>
    <w:rsid w:val="00D260A0"/>
    <w:rsid w:val="00D26474"/>
    <w:rsid w:val="00D26DAF"/>
    <w:rsid w:val="00D27719"/>
    <w:rsid w:val="00D30004"/>
    <w:rsid w:val="00D306D0"/>
    <w:rsid w:val="00D31FD6"/>
    <w:rsid w:val="00D32969"/>
    <w:rsid w:val="00D32E39"/>
    <w:rsid w:val="00D33188"/>
    <w:rsid w:val="00D33C34"/>
    <w:rsid w:val="00D343DA"/>
    <w:rsid w:val="00D34AEB"/>
    <w:rsid w:val="00D365A0"/>
    <w:rsid w:val="00D36CD8"/>
    <w:rsid w:val="00D3795D"/>
    <w:rsid w:val="00D40658"/>
    <w:rsid w:val="00D40C86"/>
    <w:rsid w:val="00D40FDB"/>
    <w:rsid w:val="00D40FF6"/>
    <w:rsid w:val="00D410EC"/>
    <w:rsid w:val="00D41368"/>
    <w:rsid w:val="00D41A5E"/>
    <w:rsid w:val="00D4216C"/>
    <w:rsid w:val="00D42CDE"/>
    <w:rsid w:val="00D42DEC"/>
    <w:rsid w:val="00D43F42"/>
    <w:rsid w:val="00D44CDA"/>
    <w:rsid w:val="00D453CE"/>
    <w:rsid w:val="00D4573A"/>
    <w:rsid w:val="00D458B0"/>
    <w:rsid w:val="00D46E99"/>
    <w:rsid w:val="00D46F09"/>
    <w:rsid w:val="00D47346"/>
    <w:rsid w:val="00D5073A"/>
    <w:rsid w:val="00D52381"/>
    <w:rsid w:val="00D53C6B"/>
    <w:rsid w:val="00D54CF6"/>
    <w:rsid w:val="00D5533E"/>
    <w:rsid w:val="00D55552"/>
    <w:rsid w:val="00D55689"/>
    <w:rsid w:val="00D574AF"/>
    <w:rsid w:val="00D57660"/>
    <w:rsid w:val="00D609A8"/>
    <w:rsid w:val="00D60ACE"/>
    <w:rsid w:val="00D60B13"/>
    <w:rsid w:val="00D632A6"/>
    <w:rsid w:val="00D63F21"/>
    <w:rsid w:val="00D640FD"/>
    <w:rsid w:val="00D641EA"/>
    <w:rsid w:val="00D64914"/>
    <w:rsid w:val="00D670AE"/>
    <w:rsid w:val="00D67F26"/>
    <w:rsid w:val="00D71C69"/>
    <w:rsid w:val="00D72310"/>
    <w:rsid w:val="00D72C33"/>
    <w:rsid w:val="00D73D54"/>
    <w:rsid w:val="00D741AB"/>
    <w:rsid w:val="00D755B5"/>
    <w:rsid w:val="00D75771"/>
    <w:rsid w:val="00D7608D"/>
    <w:rsid w:val="00D76266"/>
    <w:rsid w:val="00D76A07"/>
    <w:rsid w:val="00D76AB7"/>
    <w:rsid w:val="00D77558"/>
    <w:rsid w:val="00D808B3"/>
    <w:rsid w:val="00D82BF9"/>
    <w:rsid w:val="00D8353A"/>
    <w:rsid w:val="00D84C3A"/>
    <w:rsid w:val="00D867AE"/>
    <w:rsid w:val="00D86FC7"/>
    <w:rsid w:val="00D902A4"/>
    <w:rsid w:val="00D90DAF"/>
    <w:rsid w:val="00D919D1"/>
    <w:rsid w:val="00D92781"/>
    <w:rsid w:val="00D92A37"/>
    <w:rsid w:val="00D939AB"/>
    <w:rsid w:val="00D9479E"/>
    <w:rsid w:val="00D94C84"/>
    <w:rsid w:val="00D95469"/>
    <w:rsid w:val="00D958B0"/>
    <w:rsid w:val="00D95D31"/>
    <w:rsid w:val="00D977F1"/>
    <w:rsid w:val="00DA02EA"/>
    <w:rsid w:val="00DA0FBE"/>
    <w:rsid w:val="00DA1732"/>
    <w:rsid w:val="00DA184D"/>
    <w:rsid w:val="00DA2203"/>
    <w:rsid w:val="00DA26B0"/>
    <w:rsid w:val="00DA2844"/>
    <w:rsid w:val="00DA2E1A"/>
    <w:rsid w:val="00DA400C"/>
    <w:rsid w:val="00DA47C7"/>
    <w:rsid w:val="00DA5C6F"/>
    <w:rsid w:val="00DA602B"/>
    <w:rsid w:val="00DA75BD"/>
    <w:rsid w:val="00DB0833"/>
    <w:rsid w:val="00DB097B"/>
    <w:rsid w:val="00DB1495"/>
    <w:rsid w:val="00DB1F50"/>
    <w:rsid w:val="00DB2453"/>
    <w:rsid w:val="00DB36A1"/>
    <w:rsid w:val="00DB3AFD"/>
    <w:rsid w:val="00DB4E4C"/>
    <w:rsid w:val="00DB4E93"/>
    <w:rsid w:val="00DB5278"/>
    <w:rsid w:val="00DB65C5"/>
    <w:rsid w:val="00DB7BF5"/>
    <w:rsid w:val="00DB7F80"/>
    <w:rsid w:val="00DC03FB"/>
    <w:rsid w:val="00DC0636"/>
    <w:rsid w:val="00DC0AB6"/>
    <w:rsid w:val="00DC1568"/>
    <w:rsid w:val="00DC168E"/>
    <w:rsid w:val="00DC3EFC"/>
    <w:rsid w:val="00DC3FD3"/>
    <w:rsid w:val="00DC47FE"/>
    <w:rsid w:val="00DC5B9E"/>
    <w:rsid w:val="00DC6209"/>
    <w:rsid w:val="00DC636E"/>
    <w:rsid w:val="00DC6DC4"/>
    <w:rsid w:val="00DC6F76"/>
    <w:rsid w:val="00DC7F8F"/>
    <w:rsid w:val="00DD0E3A"/>
    <w:rsid w:val="00DD1B8C"/>
    <w:rsid w:val="00DD2A14"/>
    <w:rsid w:val="00DD2D57"/>
    <w:rsid w:val="00DD4641"/>
    <w:rsid w:val="00DD563D"/>
    <w:rsid w:val="00DD5A3B"/>
    <w:rsid w:val="00DD5AD1"/>
    <w:rsid w:val="00DD5CCE"/>
    <w:rsid w:val="00DD6254"/>
    <w:rsid w:val="00DD6565"/>
    <w:rsid w:val="00DD75DE"/>
    <w:rsid w:val="00DE02EE"/>
    <w:rsid w:val="00DE1350"/>
    <w:rsid w:val="00DE4429"/>
    <w:rsid w:val="00DE45A6"/>
    <w:rsid w:val="00DE463F"/>
    <w:rsid w:val="00DE5C95"/>
    <w:rsid w:val="00DE64F9"/>
    <w:rsid w:val="00DE6778"/>
    <w:rsid w:val="00DE6DD0"/>
    <w:rsid w:val="00DE77E0"/>
    <w:rsid w:val="00DE7A56"/>
    <w:rsid w:val="00DE7DE0"/>
    <w:rsid w:val="00DE7EDA"/>
    <w:rsid w:val="00DF1225"/>
    <w:rsid w:val="00DF2714"/>
    <w:rsid w:val="00DF2F52"/>
    <w:rsid w:val="00DF4C25"/>
    <w:rsid w:val="00DF5330"/>
    <w:rsid w:val="00DF6A17"/>
    <w:rsid w:val="00DF703A"/>
    <w:rsid w:val="00E0014D"/>
    <w:rsid w:val="00E011BE"/>
    <w:rsid w:val="00E0200D"/>
    <w:rsid w:val="00E02EEA"/>
    <w:rsid w:val="00E042DF"/>
    <w:rsid w:val="00E04B60"/>
    <w:rsid w:val="00E06DA1"/>
    <w:rsid w:val="00E06E4F"/>
    <w:rsid w:val="00E0700B"/>
    <w:rsid w:val="00E07107"/>
    <w:rsid w:val="00E0718F"/>
    <w:rsid w:val="00E07E54"/>
    <w:rsid w:val="00E10F4D"/>
    <w:rsid w:val="00E119DF"/>
    <w:rsid w:val="00E14290"/>
    <w:rsid w:val="00E1518E"/>
    <w:rsid w:val="00E15778"/>
    <w:rsid w:val="00E1584F"/>
    <w:rsid w:val="00E167A1"/>
    <w:rsid w:val="00E1695F"/>
    <w:rsid w:val="00E17007"/>
    <w:rsid w:val="00E177AB"/>
    <w:rsid w:val="00E177D7"/>
    <w:rsid w:val="00E21342"/>
    <w:rsid w:val="00E214D5"/>
    <w:rsid w:val="00E220CC"/>
    <w:rsid w:val="00E226DB"/>
    <w:rsid w:val="00E22838"/>
    <w:rsid w:val="00E24DB6"/>
    <w:rsid w:val="00E2573C"/>
    <w:rsid w:val="00E25A2A"/>
    <w:rsid w:val="00E2633E"/>
    <w:rsid w:val="00E26ABB"/>
    <w:rsid w:val="00E26AFC"/>
    <w:rsid w:val="00E272FD"/>
    <w:rsid w:val="00E27D58"/>
    <w:rsid w:val="00E27DEF"/>
    <w:rsid w:val="00E3018E"/>
    <w:rsid w:val="00E31C8F"/>
    <w:rsid w:val="00E3346C"/>
    <w:rsid w:val="00E33CD8"/>
    <w:rsid w:val="00E33E00"/>
    <w:rsid w:val="00E34715"/>
    <w:rsid w:val="00E34E51"/>
    <w:rsid w:val="00E35A47"/>
    <w:rsid w:val="00E35F36"/>
    <w:rsid w:val="00E36A2C"/>
    <w:rsid w:val="00E40B82"/>
    <w:rsid w:val="00E41642"/>
    <w:rsid w:val="00E42793"/>
    <w:rsid w:val="00E455AC"/>
    <w:rsid w:val="00E462AD"/>
    <w:rsid w:val="00E477E7"/>
    <w:rsid w:val="00E47A3A"/>
    <w:rsid w:val="00E50A5D"/>
    <w:rsid w:val="00E5100D"/>
    <w:rsid w:val="00E549F7"/>
    <w:rsid w:val="00E557F1"/>
    <w:rsid w:val="00E55AC2"/>
    <w:rsid w:val="00E57196"/>
    <w:rsid w:val="00E57ECB"/>
    <w:rsid w:val="00E60F34"/>
    <w:rsid w:val="00E613E0"/>
    <w:rsid w:val="00E61AC0"/>
    <w:rsid w:val="00E621BD"/>
    <w:rsid w:val="00E62762"/>
    <w:rsid w:val="00E629EC"/>
    <w:rsid w:val="00E62DA9"/>
    <w:rsid w:val="00E639CC"/>
    <w:rsid w:val="00E65315"/>
    <w:rsid w:val="00E674CA"/>
    <w:rsid w:val="00E67BA5"/>
    <w:rsid w:val="00E67C10"/>
    <w:rsid w:val="00E67CCE"/>
    <w:rsid w:val="00E704A6"/>
    <w:rsid w:val="00E707FC"/>
    <w:rsid w:val="00E72F62"/>
    <w:rsid w:val="00E73D93"/>
    <w:rsid w:val="00E741A0"/>
    <w:rsid w:val="00E74F6C"/>
    <w:rsid w:val="00E75655"/>
    <w:rsid w:val="00E76E7B"/>
    <w:rsid w:val="00E7746F"/>
    <w:rsid w:val="00E77F17"/>
    <w:rsid w:val="00E81338"/>
    <w:rsid w:val="00E81845"/>
    <w:rsid w:val="00E82421"/>
    <w:rsid w:val="00E824F9"/>
    <w:rsid w:val="00E8307B"/>
    <w:rsid w:val="00E83157"/>
    <w:rsid w:val="00E83759"/>
    <w:rsid w:val="00E84065"/>
    <w:rsid w:val="00E84A55"/>
    <w:rsid w:val="00E84C49"/>
    <w:rsid w:val="00E85125"/>
    <w:rsid w:val="00E86DA2"/>
    <w:rsid w:val="00E87111"/>
    <w:rsid w:val="00E87662"/>
    <w:rsid w:val="00E87B36"/>
    <w:rsid w:val="00E9056B"/>
    <w:rsid w:val="00E91716"/>
    <w:rsid w:val="00E91E9A"/>
    <w:rsid w:val="00E92591"/>
    <w:rsid w:val="00E94D21"/>
    <w:rsid w:val="00E95401"/>
    <w:rsid w:val="00E95448"/>
    <w:rsid w:val="00E95A25"/>
    <w:rsid w:val="00E95ADE"/>
    <w:rsid w:val="00E97437"/>
    <w:rsid w:val="00EA0234"/>
    <w:rsid w:val="00EA079F"/>
    <w:rsid w:val="00EA1A9A"/>
    <w:rsid w:val="00EA1C75"/>
    <w:rsid w:val="00EA20F0"/>
    <w:rsid w:val="00EA24B7"/>
    <w:rsid w:val="00EA3DC5"/>
    <w:rsid w:val="00EA537E"/>
    <w:rsid w:val="00EA6566"/>
    <w:rsid w:val="00EA672E"/>
    <w:rsid w:val="00EA697F"/>
    <w:rsid w:val="00EA6DED"/>
    <w:rsid w:val="00EA6F02"/>
    <w:rsid w:val="00EA704C"/>
    <w:rsid w:val="00EA7926"/>
    <w:rsid w:val="00EA7974"/>
    <w:rsid w:val="00EB0473"/>
    <w:rsid w:val="00EB0723"/>
    <w:rsid w:val="00EB1AD1"/>
    <w:rsid w:val="00EB2C5D"/>
    <w:rsid w:val="00EB4D41"/>
    <w:rsid w:val="00EB4EDB"/>
    <w:rsid w:val="00EB7891"/>
    <w:rsid w:val="00EB78D9"/>
    <w:rsid w:val="00EC055D"/>
    <w:rsid w:val="00EC087B"/>
    <w:rsid w:val="00EC18D0"/>
    <w:rsid w:val="00EC23F9"/>
    <w:rsid w:val="00EC367E"/>
    <w:rsid w:val="00EC4552"/>
    <w:rsid w:val="00EC547E"/>
    <w:rsid w:val="00EC54BF"/>
    <w:rsid w:val="00EC5AA7"/>
    <w:rsid w:val="00EC5D8C"/>
    <w:rsid w:val="00EC723A"/>
    <w:rsid w:val="00EC773F"/>
    <w:rsid w:val="00EC7DEF"/>
    <w:rsid w:val="00ED0A82"/>
    <w:rsid w:val="00ED1D59"/>
    <w:rsid w:val="00ED2F2D"/>
    <w:rsid w:val="00ED30C4"/>
    <w:rsid w:val="00ED45CD"/>
    <w:rsid w:val="00ED5B67"/>
    <w:rsid w:val="00ED5EC1"/>
    <w:rsid w:val="00ED68DD"/>
    <w:rsid w:val="00ED6A2F"/>
    <w:rsid w:val="00ED6C19"/>
    <w:rsid w:val="00ED6C92"/>
    <w:rsid w:val="00ED71AD"/>
    <w:rsid w:val="00ED7C1D"/>
    <w:rsid w:val="00ED7D0E"/>
    <w:rsid w:val="00EE0324"/>
    <w:rsid w:val="00EE05C1"/>
    <w:rsid w:val="00EE0ECD"/>
    <w:rsid w:val="00EE11A8"/>
    <w:rsid w:val="00EE133B"/>
    <w:rsid w:val="00EE136C"/>
    <w:rsid w:val="00EE2CA2"/>
    <w:rsid w:val="00EE2FD4"/>
    <w:rsid w:val="00EE3737"/>
    <w:rsid w:val="00EE4186"/>
    <w:rsid w:val="00EE73CE"/>
    <w:rsid w:val="00EE756D"/>
    <w:rsid w:val="00EF2C42"/>
    <w:rsid w:val="00EF30DE"/>
    <w:rsid w:val="00EF31AB"/>
    <w:rsid w:val="00EF31EB"/>
    <w:rsid w:val="00EF4468"/>
    <w:rsid w:val="00EF670E"/>
    <w:rsid w:val="00F00026"/>
    <w:rsid w:val="00F007B7"/>
    <w:rsid w:val="00F00BDD"/>
    <w:rsid w:val="00F00D53"/>
    <w:rsid w:val="00F012BB"/>
    <w:rsid w:val="00F014F3"/>
    <w:rsid w:val="00F02099"/>
    <w:rsid w:val="00F0444D"/>
    <w:rsid w:val="00F045C1"/>
    <w:rsid w:val="00F06828"/>
    <w:rsid w:val="00F068A0"/>
    <w:rsid w:val="00F077D7"/>
    <w:rsid w:val="00F07C37"/>
    <w:rsid w:val="00F105FB"/>
    <w:rsid w:val="00F11986"/>
    <w:rsid w:val="00F11B82"/>
    <w:rsid w:val="00F11DF3"/>
    <w:rsid w:val="00F125D0"/>
    <w:rsid w:val="00F12801"/>
    <w:rsid w:val="00F129A9"/>
    <w:rsid w:val="00F12A43"/>
    <w:rsid w:val="00F13481"/>
    <w:rsid w:val="00F13EA9"/>
    <w:rsid w:val="00F14363"/>
    <w:rsid w:val="00F14583"/>
    <w:rsid w:val="00F14F12"/>
    <w:rsid w:val="00F15418"/>
    <w:rsid w:val="00F15F38"/>
    <w:rsid w:val="00F178D7"/>
    <w:rsid w:val="00F20E94"/>
    <w:rsid w:val="00F2298D"/>
    <w:rsid w:val="00F264AA"/>
    <w:rsid w:val="00F26966"/>
    <w:rsid w:val="00F27A14"/>
    <w:rsid w:val="00F32524"/>
    <w:rsid w:val="00F32809"/>
    <w:rsid w:val="00F329FE"/>
    <w:rsid w:val="00F3377C"/>
    <w:rsid w:val="00F337D0"/>
    <w:rsid w:val="00F349AD"/>
    <w:rsid w:val="00F3612F"/>
    <w:rsid w:val="00F361A1"/>
    <w:rsid w:val="00F3674C"/>
    <w:rsid w:val="00F406D7"/>
    <w:rsid w:val="00F40AC2"/>
    <w:rsid w:val="00F41EAC"/>
    <w:rsid w:val="00F4322B"/>
    <w:rsid w:val="00F450FA"/>
    <w:rsid w:val="00F45C33"/>
    <w:rsid w:val="00F460B0"/>
    <w:rsid w:val="00F46561"/>
    <w:rsid w:val="00F47883"/>
    <w:rsid w:val="00F47E4C"/>
    <w:rsid w:val="00F50CA8"/>
    <w:rsid w:val="00F51F41"/>
    <w:rsid w:val="00F52E71"/>
    <w:rsid w:val="00F52FDA"/>
    <w:rsid w:val="00F537E3"/>
    <w:rsid w:val="00F53FAF"/>
    <w:rsid w:val="00F5428A"/>
    <w:rsid w:val="00F55A7C"/>
    <w:rsid w:val="00F56C42"/>
    <w:rsid w:val="00F57F08"/>
    <w:rsid w:val="00F605EF"/>
    <w:rsid w:val="00F60780"/>
    <w:rsid w:val="00F61500"/>
    <w:rsid w:val="00F61D1E"/>
    <w:rsid w:val="00F61DC3"/>
    <w:rsid w:val="00F61F01"/>
    <w:rsid w:val="00F6233A"/>
    <w:rsid w:val="00F62872"/>
    <w:rsid w:val="00F638DF"/>
    <w:rsid w:val="00F64DE5"/>
    <w:rsid w:val="00F663EF"/>
    <w:rsid w:val="00F66BEE"/>
    <w:rsid w:val="00F676CE"/>
    <w:rsid w:val="00F70631"/>
    <w:rsid w:val="00F70757"/>
    <w:rsid w:val="00F7185F"/>
    <w:rsid w:val="00F71C0B"/>
    <w:rsid w:val="00F72080"/>
    <w:rsid w:val="00F72312"/>
    <w:rsid w:val="00F72BAD"/>
    <w:rsid w:val="00F72DF3"/>
    <w:rsid w:val="00F733FC"/>
    <w:rsid w:val="00F73577"/>
    <w:rsid w:val="00F73FDE"/>
    <w:rsid w:val="00F75506"/>
    <w:rsid w:val="00F75F41"/>
    <w:rsid w:val="00F76F2C"/>
    <w:rsid w:val="00F7715E"/>
    <w:rsid w:val="00F77568"/>
    <w:rsid w:val="00F80535"/>
    <w:rsid w:val="00F81144"/>
    <w:rsid w:val="00F814D4"/>
    <w:rsid w:val="00F81C1A"/>
    <w:rsid w:val="00F82331"/>
    <w:rsid w:val="00F859A0"/>
    <w:rsid w:val="00F859F9"/>
    <w:rsid w:val="00F85DE6"/>
    <w:rsid w:val="00F86392"/>
    <w:rsid w:val="00F86744"/>
    <w:rsid w:val="00F87987"/>
    <w:rsid w:val="00F87D26"/>
    <w:rsid w:val="00F90E98"/>
    <w:rsid w:val="00F90FCE"/>
    <w:rsid w:val="00F92AD3"/>
    <w:rsid w:val="00F9330F"/>
    <w:rsid w:val="00F949A6"/>
    <w:rsid w:val="00F95E39"/>
    <w:rsid w:val="00F967DE"/>
    <w:rsid w:val="00F96C97"/>
    <w:rsid w:val="00F973B0"/>
    <w:rsid w:val="00F97948"/>
    <w:rsid w:val="00FA0991"/>
    <w:rsid w:val="00FA0E79"/>
    <w:rsid w:val="00FA1169"/>
    <w:rsid w:val="00FA2640"/>
    <w:rsid w:val="00FA3AA9"/>
    <w:rsid w:val="00FA5B08"/>
    <w:rsid w:val="00FA6B6B"/>
    <w:rsid w:val="00FA7603"/>
    <w:rsid w:val="00FA770E"/>
    <w:rsid w:val="00FB1C7F"/>
    <w:rsid w:val="00FB1D21"/>
    <w:rsid w:val="00FB3E3E"/>
    <w:rsid w:val="00FB414D"/>
    <w:rsid w:val="00FB4497"/>
    <w:rsid w:val="00FB49BD"/>
    <w:rsid w:val="00FB4F10"/>
    <w:rsid w:val="00FB71A8"/>
    <w:rsid w:val="00FB7272"/>
    <w:rsid w:val="00FB7B02"/>
    <w:rsid w:val="00FC0035"/>
    <w:rsid w:val="00FC2C77"/>
    <w:rsid w:val="00FC2F79"/>
    <w:rsid w:val="00FC336E"/>
    <w:rsid w:val="00FC3B9C"/>
    <w:rsid w:val="00FC3BE6"/>
    <w:rsid w:val="00FC44AB"/>
    <w:rsid w:val="00FC4A76"/>
    <w:rsid w:val="00FC513B"/>
    <w:rsid w:val="00FC5492"/>
    <w:rsid w:val="00FC6009"/>
    <w:rsid w:val="00FC60D5"/>
    <w:rsid w:val="00FC6718"/>
    <w:rsid w:val="00FC6EA1"/>
    <w:rsid w:val="00FC75B6"/>
    <w:rsid w:val="00FD130B"/>
    <w:rsid w:val="00FD151E"/>
    <w:rsid w:val="00FD1901"/>
    <w:rsid w:val="00FD2823"/>
    <w:rsid w:val="00FD3E4C"/>
    <w:rsid w:val="00FD44F1"/>
    <w:rsid w:val="00FD4D83"/>
    <w:rsid w:val="00FD5E9D"/>
    <w:rsid w:val="00FD663E"/>
    <w:rsid w:val="00FE0B3D"/>
    <w:rsid w:val="00FE1961"/>
    <w:rsid w:val="00FE1DD8"/>
    <w:rsid w:val="00FE2CCC"/>
    <w:rsid w:val="00FE357C"/>
    <w:rsid w:val="00FE3A3B"/>
    <w:rsid w:val="00FE4DA9"/>
    <w:rsid w:val="00FE4E86"/>
    <w:rsid w:val="00FE5741"/>
    <w:rsid w:val="00FE5E92"/>
    <w:rsid w:val="00FE6270"/>
    <w:rsid w:val="00FE6CEB"/>
    <w:rsid w:val="00FE6D55"/>
    <w:rsid w:val="00FF02D8"/>
    <w:rsid w:val="00FF0E98"/>
    <w:rsid w:val="00FF1BF3"/>
    <w:rsid w:val="00FF27A6"/>
    <w:rsid w:val="00FF2B02"/>
    <w:rsid w:val="00FF3043"/>
    <w:rsid w:val="00FF348E"/>
    <w:rsid w:val="00FF3502"/>
    <w:rsid w:val="00FF40D9"/>
    <w:rsid w:val="00FF4CB4"/>
    <w:rsid w:val="00FF4D2F"/>
    <w:rsid w:val="00FF52FC"/>
    <w:rsid w:val="00FF592C"/>
    <w:rsid w:val="00FF7C1E"/>
    <w:rsid w:val="010C11CE"/>
    <w:rsid w:val="0110370C"/>
    <w:rsid w:val="01381824"/>
    <w:rsid w:val="013C2E16"/>
    <w:rsid w:val="014377BD"/>
    <w:rsid w:val="01601611"/>
    <w:rsid w:val="01706C0C"/>
    <w:rsid w:val="01773A68"/>
    <w:rsid w:val="017F6D8D"/>
    <w:rsid w:val="01857507"/>
    <w:rsid w:val="018C3C0C"/>
    <w:rsid w:val="01D21E62"/>
    <w:rsid w:val="01D34288"/>
    <w:rsid w:val="01D61EF0"/>
    <w:rsid w:val="01EB553A"/>
    <w:rsid w:val="020219BD"/>
    <w:rsid w:val="02036A25"/>
    <w:rsid w:val="020470B6"/>
    <w:rsid w:val="02112BBD"/>
    <w:rsid w:val="02166B26"/>
    <w:rsid w:val="02190B77"/>
    <w:rsid w:val="0240570C"/>
    <w:rsid w:val="024C0790"/>
    <w:rsid w:val="02570D47"/>
    <w:rsid w:val="02633E16"/>
    <w:rsid w:val="026D2592"/>
    <w:rsid w:val="02717760"/>
    <w:rsid w:val="027C6EA4"/>
    <w:rsid w:val="02863B11"/>
    <w:rsid w:val="028A0839"/>
    <w:rsid w:val="028A346B"/>
    <w:rsid w:val="0290409F"/>
    <w:rsid w:val="029257EC"/>
    <w:rsid w:val="02BA001B"/>
    <w:rsid w:val="02BB2C1A"/>
    <w:rsid w:val="02BD32E4"/>
    <w:rsid w:val="02CB3931"/>
    <w:rsid w:val="02D425F2"/>
    <w:rsid w:val="02DD51A1"/>
    <w:rsid w:val="02E62AD4"/>
    <w:rsid w:val="02E661C5"/>
    <w:rsid w:val="02F500C3"/>
    <w:rsid w:val="02F63054"/>
    <w:rsid w:val="02FC2FF6"/>
    <w:rsid w:val="030135BC"/>
    <w:rsid w:val="03041E19"/>
    <w:rsid w:val="030A0F88"/>
    <w:rsid w:val="030A1FF3"/>
    <w:rsid w:val="030C4BF1"/>
    <w:rsid w:val="03117911"/>
    <w:rsid w:val="03141D3A"/>
    <w:rsid w:val="031D42AF"/>
    <w:rsid w:val="031E3CC0"/>
    <w:rsid w:val="03235D9A"/>
    <w:rsid w:val="032A1B1C"/>
    <w:rsid w:val="03382816"/>
    <w:rsid w:val="033E1C1C"/>
    <w:rsid w:val="03442353"/>
    <w:rsid w:val="034B237D"/>
    <w:rsid w:val="03557290"/>
    <w:rsid w:val="035610A6"/>
    <w:rsid w:val="03784F21"/>
    <w:rsid w:val="03856C34"/>
    <w:rsid w:val="0387432F"/>
    <w:rsid w:val="03921C67"/>
    <w:rsid w:val="03944B69"/>
    <w:rsid w:val="03BD5F12"/>
    <w:rsid w:val="03DB74AF"/>
    <w:rsid w:val="03ED3AE9"/>
    <w:rsid w:val="040B3CE7"/>
    <w:rsid w:val="04200608"/>
    <w:rsid w:val="04420014"/>
    <w:rsid w:val="04443D9C"/>
    <w:rsid w:val="044C7713"/>
    <w:rsid w:val="045D002D"/>
    <w:rsid w:val="04611F32"/>
    <w:rsid w:val="047A1BB6"/>
    <w:rsid w:val="047A3DCE"/>
    <w:rsid w:val="048A54DD"/>
    <w:rsid w:val="04910E1C"/>
    <w:rsid w:val="049776E2"/>
    <w:rsid w:val="04C2249F"/>
    <w:rsid w:val="04C677FB"/>
    <w:rsid w:val="04CB1B79"/>
    <w:rsid w:val="04D15466"/>
    <w:rsid w:val="04EF65F5"/>
    <w:rsid w:val="04FF7B9C"/>
    <w:rsid w:val="050E018C"/>
    <w:rsid w:val="050F55CA"/>
    <w:rsid w:val="05281FFF"/>
    <w:rsid w:val="053417FE"/>
    <w:rsid w:val="05343A2F"/>
    <w:rsid w:val="053A2376"/>
    <w:rsid w:val="053B1965"/>
    <w:rsid w:val="05444E03"/>
    <w:rsid w:val="054D4277"/>
    <w:rsid w:val="055310D2"/>
    <w:rsid w:val="05580A17"/>
    <w:rsid w:val="05743D18"/>
    <w:rsid w:val="05790C4D"/>
    <w:rsid w:val="057C4A9D"/>
    <w:rsid w:val="057E319D"/>
    <w:rsid w:val="058223C1"/>
    <w:rsid w:val="05835D3B"/>
    <w:rsid w:val="058658CF"/>
    <w:rsid w:val="058B4465"/>
    <w:rsid w:val="059672A6"/>
    <w:rsid w:val="05A0326C"/>
    <w:rsid w:val="05A50543"/>
    <w:rsid w:val="05B17E72"/>
    <w:rsid w:val="05B93DC8"/>
    <w:rsid w:val="05CB5F66"/>
    <w:rsid w:val="05DE3C52"/>
    <w:rsid w:val="05E35165"/>
    <w:rsid w:val="05EA6781"/>
    <w:rsid w:val="05EE2BCE"/>
    <w:rsid w:val="05F62375"/>
    <w:rsid w:val="063E7D81"/>
    <w:rsid w:val="064063A0"/>
    <w:rsid w:val="06512EB5"/>
    <w:rsid w:val="065E7D9E"/>
    <w:rsid w:val="067120CD"/>
    <w:rsid w:val="06733A5B"/>
    <w:rsid w:val="06794A76"/>
    <w:rsid w:val="067A4E81"/>
    <w:rsid w:val="069F5F8F"/>
    <w:rsid w:val="06A95FFD"/>
    <w:rsid w:val="06B04555"/>
    <w:rsid w:val="06C761FA"/>
    <w:rsid w:val="06CF0DA4"/>
    <w:rsid w:val="06E04FA0"/>
    <w:rsid w:val="06F057AB"/>
    <w:rsid w:val="07153A89"/>
    <w:rsid w:val="0729767D"/>
    <w:rsid w:val="072C251A"/>
    <w:rsid w:val="073467A0"/>
    <w:rsid w:val="0739003F"/>
    <w:rsid w:val="074D0EFE"/>
    <w:rsid w:val="07510C53"/>
    <w:rsid w:val="075F36EE"/>
    <w:rsid w:val="078256EE"/>
    <w:rsid w:val="079D334C"/>
    <w:rsid w:val="07A83B8C"/>
    <w:rsid w:val="07AB367C"/>
    <w:rsid w:val="07AE4B87"/>
    <w:rsid w:val="07B337DB"/>
    <w:rsid w:val="07C209B1"/>
    <w:rsid w:val="07D85C7C"/>
    <w:rsid w:val="07ED506B"/>
    <w:rsid w:val="07F03B6A"/>
    <w:rsid w:val="07F24C72"/>
    <w:rsid w:val="080A773F"/>
    <w:rsid w:val="08161624"/>
    <w:rsid w:val="0818678F"/>
    <w:rsid w:val="084A5A29"/>
    <w:rsid w:val="084B711C"/>
    <w:rsid w:val="086141F6"/>
    <w:rsid w:val="08616B3E"/>
    <w:rsid w:val="08667A18"/>
    <w:rsid w:val="087644E0"/>
    <w:rsid w:val="087A56E9"/>
    <w:rsid w:val="089A0581"/>
    <w:rsid w:val="089D3566"/>
    <w:rsid w:val="089E2B04"/>
    <w:rsid w:val="08B61184"/>
    <w:rsid w:val="08CD1DC2"/>
    <w:rsid w:val="08D70ACC"/>
    <w:rsid w:val="08DE2EA7"/>
    <w:rsid w:val="08E44942"/>
    <w:rsid w:val="08E51338"/>
    <w:rsid w:val="08E960DD"/>
    <w:rsid w:val="08EE237F"/>
    <w:rsid w:val="08F407E8"/>
    <w:rsid w:val="08F54757"/>
    <w:rsid w:val="08FC6C25"/>
    <w:rsid w:val="0917232B"/>
    <w:rsid w:val="09262100"/>
    <w:rsid w:val="092B29A9"/>
    <w:rsid w:val="092F7D96"/>
    <w:rsid w:val="09324953"/>
    <w:rsid w:val="093442A5"/>
    <w:rsid w:val="093D1D91"/>
    <w:rsid w:val="094B5D21"/>
    <w:rsid w:val="094C4315"/>
    <w:rsid w:val="096D0170"/>
    <w:rsid w:val="09761170"/>
    <w:rsid w:val="09781D42"/>
    <w:rsid w:val="097C3870"/>
    <w:rsid w:val="09852F06"/>
    <w:rsid w:val="09896274"/>
    <w:rsid w:val="099209DF"/>
    <w:rsid w:val="09A11665"/>
    <w:rsid w:val="09AC2173"/>
    <w:rsid w:val="09B46891"/>
    <w:rsid w:val="09B83771"/>
    <w:rsid w:val="09C1615B"/>
    <w:rsid w:val="09C47ECE"/>
    <w:rsid w:val="09C5643E"/>
    <w:rsid w:val="09C85D27"/>
    <w:rsid w:val="09CC1209"/>
    <w:rsid w:val="09CC2AF9"/>
    <w:rsid w:val="09D94B62"/>
    <w:rsid w:val="09DE4A06"/>
    <w:rsid w:val="09E322C7"/>
    <w:rsid w:val="09E9479F"/>
    <w:rsid w:val="09FD2912"/>
    <w:rsid w:val="09FE1D8C"/>
    <w:rsid w:val="0A074634"/>
    <w:rsid w:val="0A2724AD"/>
    <w:rsid w:val="0A3A334C"/>
    <w:rsid w:val="0A441990"/>
    <w:rsid w:val="0A512315"/>
    <w:rsid w:val="0A537B81"/>
    <w:rsid w:val="0A634434"/>
    <w:rsid w:val="0A6841E8"/>
    <w:rsid w:val="0A912053"/>
    <w:rsid w:val="0AAB4A5F"/>
    <w:rsid w:val="0AB102F0"/>
    <w:rsid w:val="0AC41B53"/>
    <w:rsid w:val="0AC83EA9"/>
    <w:rsid w:val="0ADA2E17"/>
    <w:rsid w:val="0AED4EE4"/>
    <w:rsid w:val="0AF64AD9"/>
    <w:rsid w:val="0B083B13"/>
    <w:rsid w:val="0B1F3E7E"/>
    <w:rsid w:val="0B20308F"/>
    <w:rsid w:val="0B37184A"/>
    <w:rsid w:val="0B4B4E02"/>
    <w:rsid w:val="0B82620A"/>
    <w:rsid w:val="0B8A05C0"/>
    <w:rsid w:val="0B992563"/>
    <w:rsid w:val="0BA84036"/>
    <w:rsid w:val="0BB32602"/>
    <w:rsid w:val="0BB7482B"/>
    <w:rsid w:val="0BC52989"/>
    <w:rsid w:val="0BCD6BF5"/>
    <w:rsid w:val="0BE63658"/>
    <w:rsid w:val="0BE70915"/>
    <w:rsid w:val="0BF75827"/>
    <w:rsid w:val="0C1378C7"/>
    <w:rsid w:val="0C226FC0"/>
    <w:rsid w:val="0C2D757F"/>
    <w:rsid w:val="0C4B01A0"/>
    <w:rsid w:val="0C4C6829"/>
    <w:rsid w:val="0C533F94"/>
    <w:rsid w:val="0C5671C1"/>
    <w:rsid w:val="0C627BA7"/>
    <w:rsid w:val="0C674165"/>
    <w:rsid w:val="0C6E418F"/>
    <w:rsid w:val="0C7300CF"/>
    <w:rsid w:val="0C736B61"/>
    <w:rsid w:val="0C765CD2"/>
    <w:rsid w:val="0C867FB7"/>
    <w:rsid w:val="0C8E2C71"/>
    <w:rsid w:val="0C925E6B"/>
    <w:rsid w:val="0C953419"/>
    <w:rsid w:val="0C96047F"/>
    <w:rsid w:val="0CB66510"/>
    <w:rsid w:val="0CB976EE"/>
    <w:rsid w:val="0CBE009A"/>
    <w:rsid w:val="0CD20ED7"/>
    <w:rsid w:val="0CE07FD5"/>
    <w:rsid w:val="0CE3686F"/>
    <w:rsid w:val="0CE41684"/>
    <w:rsid w:val="0CEE656D"/>
    <w:rsid w:val="0CFC654A"/>
    <w:rsid w:val="0D0049D3"/>
    <w:rsid w:val="0D0529F6"/>
    <w:rsid w:val="0D0B17BD"/>
    <w:rsid w:val="0D2246C7"/>
    <w:rsid w:val="0D25114F"/>
    <w:rsid w:val="0D2551DC"/>
    <w:rsid w:val="0D331F69"/>
    <w:rsid w:val="0D382AB0"/>
    <w:rsid w:val="0D393028"/>
    <w:rsid w:val="0D39733A"/>
    <w:rsid w:val="0D422F67"/>
    <w:rsid w:val="0D7223A4"/>
    <w:rsid w:val="0D7430A5"/>
    <w:rsid w:val="0D7C1B0B"/>
    <w:rsid w:val="0D9B31FB"/>
    <w:rsid w:val="0DA17B34"/>
    <w:rsid w:val="0DA249BD"/>
    <w:rsid w:val="0DAC6FF9"/>
    <w:rsid w:val="0DB35B9C"/>
    <w:rsid w:val="0DB64228"/>
    <w:rsid w:val="0DB8523E"/>
    <w:rsid w:val="0DBD16DB"/>
    <w:rsid w:val="0DC14BC1"/>
    <w:rsid w:val="0DC736D9"/>
    <w:rsid w:val="0DCB704F"/>
    <w:rsid w:val="0DD3521A"/>
    <w:rsid w:val="0DE50CEA"/>
    <w:rsid w:val="0DF97FC5"/>
    <w:rsid w:val="0DFB625E"/>
    <w:rsid w:val="0E276C88"/>
    <w:rsid w:val="0E3C3030"/>
    <w:rsid w:val="0E4018BB"/>
    <w:rsid w:val="0E42577B"/>
    <w:rsid w:val="0E442E39"/>
    <w:rsid w:val="0E487070"/>
    <w:rsid w:val="0E512018"/>
    <w:rsid w:val="0E581832"/>
    <w:rsid w:val="0E5C5D5F"/>
    <w:rsid w:val="0E6A0258"/>
    <w:rsid w:val="0E6C1ECB"/>
    <w:rsid w:val="0E754959"/>
    <w:rsid w:val="0E7763CB"/>
    <w:rsid w:val="0E7908FC"/>
    <w:rsid w:val="0E7E17D6"/>
    <w:rsid w:val="0E8F35AC"/>
    <w:rsid w:val="0E963B01"/>
    <w:rsid w:val="0E9C0022"/>
    <w:rsid w:val="0EA14C3D"/>
    <w:rsid w:val="0EA4407C"/>
    <w:rsid w:val="0EA76F92"/>
    <w:rsid w:val="0EA8749C"/>
    <w:rsid w:val="0EAA31D9"/>
    <w:rsid w:val="0EC9308B"/>
    <w:rsid w:val="0ECA1DA9"/>
    <w:rsid w:val="0ECC0836"/>
    <w:rsid w:val="0EDD3E58"/>
    <w:rsid w:val="0EDF4DB1"/>
    <w:rsid w:val="0EE54CE7"/>
    <w:rsid w:val="0EE70745"/>
    <w:rsid w:val="0EFA74F7"/>
    <w:rsid w:val="0F0071CD"/>
    <w:rsid w:val="0F060BCB"/>
    <w:rsid w:val="0F2368CF"/>
    <w:rsid w:val="0F2D130B"/>
    <w:rsid w:val="0F346BC4"/>
    <w:rsid w:val="0F485788"/>
    <w:rsid w:val="0F4A70C0"/>
    <w:rsid w:val="0F4E0846"/>
    <w:rsid w:val="0F4F44F3"/>
    <w:rsid w:val="0F503BE8"/>
    <w:rsid w:val="0F6E4F0A"/>
    <w:rsid w:val="0F6E772B"/>
    <w:rsid w:val="0F7A1842"/>
    <w:rsid w:val="0F7B0787"/>
    <w:rsid w:val="0F816DA5"/>
    <w:rsid w:val="0F8C27C8"/>
    <w:rsid w:val="0FAB2DAB"/>
    <w:rsid w:val="0FAE60C7"/>
    <w:rsid w:val="0FC914EA"/>
    <w:rsid w:val="0FDE11C6"/>
    <w:rsid w:val="0FE07AA7"/>
    <w:rsid w:val="0FEA39BE"/>
    <w:rsid w:val="0FED21EA"/>
    <w:rsid w:val="0FF54492"/>
    <w:rsid w:val="0FFB51B6"/>
    <w:rsid w:val="0FFF068B"/>
    <w:rsid w:val="100A3C19"/>
    <w:rsid w:val="100F0F0C"/>
    <w:rsid w:val="101160EB"/>
    <w:rsid w:val="102E3B73"/>
    <w:rsid w:val="104049F5"/>
    <w:rsid w:val="10415E9A"/>
    <w:rsid w:val="10430A5A"/>
    <w:rsid w:val="10462E28"/>
    <w:rsid w:val="10470B70"/>
    <w:rsid w:val="105075F7"/>
    <w:rsid w:val="10514437"/>
    <w:rsid w:val="10541D91"/>
    <w:rsid w:val="1059787A"/>
    <w:rsid w:val="10605A06"/>
    <w:rsid w:val="106A0496"/>
    <w:rsid w:val="106B1F4E"/>
    <w:rsid w:val="1070747C"/>
    <w:rsid w:val="10862218"/>
    <w:rsid w:val="10AF5E69"/>
    <w:rsid w:val="10B53293"/>
    <w:rsid w:val="10B93B50"/>
    <w:rsid w:val="10BC5CC2"/>
    <w:rsid w:val="10C958D7"/>
    <w:rsid w:val="10E432B1"/>
    <w:rsid w:val="10E82B16"/>
    <w:rsid w:val="110408A0"/>
    <w:rsid w:val="11083E55"/>
    <w:rsid w:val="11235763"/>
    <w:rsid w:val="11275E22"/>
    <w:rsid w:val="113E659D"/>
    <w:rsid w:val="113F5F15"/>
    <w:rsid w:val="11472FF5"/>
    <w:rsid w:val="11504FF3"/>
    <w:rsid w:val="11595FB6"/>
    <w:rsid w:val="115D7294"/>
    <w:rsid w:val="11687EA3"/>
    <w:rsid w:val="116C0F97"/>
    <w:rsid w:val="11873C11"/>
    <w:rsid w:val="118B1419"/>
    <w:rsid w:val="119449C9"/>
    <w:rsid w:val="119C1381"/>
    <w:rsid w:val="11A275C5"/>
    <w:rsid w:val="11BC4DE5"/>
    <w:rsid w:val="11CB1355"/>
    <w:rsid w:val="11CB215A"/>
    <w:rsid w:val="11D5523C"/>
    <w:rsid w:val="11DB5959"/>
    <w:rsid w:val="11E167E4"/>
    <w:rsid w:val="11E8650C"/>
    <w:rsid w:val="11F740C9"/>
    <w:rsid w:val="11F94283"/>
    <w:rsid w:val="12007B2B"/>
    <w:rsid w:val="12025EBB"/>
    <w:rsid w:val="12072CFB"/>
    <w:rsid w:val="12182589"/>
    <w:rsid w:val="122E369E"/>
    <w:rsid w:val="123024A2"/>
    <w:rsid w:val="12420E18"/>
    <w:rsid w:val="12560294"/>
    <w:rsid w:val="1266516B"/>
    <w:rsid w:val="12830B66"/>
    <w:rsid w:val="128C17DA"/>
    <w:rsid w:val="12956D19"/>
    <w:rsid w:val="12967C6F"/>
    <w:rsid w:val="12A06190"/>
    <w:rsid w:val="12A4736E"/>
    <w:rsid w:val="12BF496C"/>
    <w:rsid w:val="12C56292"/>
    <w:rsid w:val="12C95BAB"/>
    <w:rsid w:val="12CB068A"/>
    <w:rsid w:val="12CC497F"/>
    <w:rsid w:val="12EB5B3F"/>
    <w:rsid w:val="12EC707D"/>
    <w:rsid w:val="12ED46D5"/>
    <w:rsid w:val="12F53F78"/>
    <w:rsid w:val="12F778A2"/>
    <w:rsid w:val="130707FD"/>
    <w:rsid w:val="130B0683"/>
    <w:rsid w:val="130D4BFB"/>
    <w:rsid w:val="130F5892"/>
    <w:rsid w:val="131754B7"/>
    <w:rsid w:val="133B56C3"/>
    <w:rsid w:val="1348243A"/>
    <w:rsid w:val="134B79B2"/>
    <w:rsid w:val="13535A92"/>
    <w:rsid w:val="135551D6"/>
    <w:rsid w:val="135635DA"/>
    <w:rsid w:val="1359102C"/>
    <w:rsid w:val="136208BE"/>
    <w:rsid w:val="136A1785"/>
    <w:rsid w:val="13753B2E"/>
    <w:rsid w:val="137714B1"/>
    <w:rsid w:val="138339B7"/>
    <w:rsid w:val="138F7C7E"/>
    <w:rsid w:val="139255C9"/>
    <w:rsid w:val="1396041D"/>
    <w:rsid w:val="13A767F5"/>
    <w:rsid w:val="13C931A4"/>
    <w:rsid w:val="13D4493E"/>
    <w:rsid w:val="13D964BB"/>
    <w:rsid w:val="13DF0B85"/>
    <w:rsid w:val="13F66592"/>
    <w:rsid w:val="13F8716C"/>
    <w:rsid w:val="13F975B7"/>
    <w:rsid w:val="140F7D7B"/>
    <w:rsid w:val="14750D7B"/>
    <w:rsid w:val="14807996"/>
    <w:rsid w:val="148512FD"/>
    <w:rsid w:val="14905B7A"/>
    <w:rsid w:val="149B564E"/>
    <w:rsid w:val="14AD0D55"/>
    <w:rsid w:val="14BA73E1"/>
    <w:rsid w:val="14C03E52"/>
    <w:rsid w:val="14C32698"/>
    <w:rsid w:val="14CA1A3B"/>
    <w:rsid w:val="14CE2E47"/>
    <w:rsid w:val="14D42B64"/>
    <w:rsid w:val="14D4368E"/>
    <w:rsid w:val="14D85772"/>
    <w:rsid w:val="14F16833"/>
    <w:rsid w:val="14F36E24"/>
    <w:rsid w:val="14FE453E"/>
    <w:rsid w:val="14FF4471"/>
    <w:rsid w:val="151E5944"/>
    <w:rsid w:val="1521620D"/>
    <w:rsid w:val="153A2F8A"/>
    <w:rsid w:val="15405674"/>
    <w:rsid w:val="1544284E"/>
    <w:rsid w:val="154B77E7"/>
    <w:rsid w:val="15666DD9"/>
    <w:rsid w:val="15682669"/>
    <w:rsid w:val="157E11A3"/>
    <w:rsid w:val="1581652B"/>
    <w:rsid w:val="15855686"/>
    <w:rsid w:val="159212E4"/>
    <w:rsid w:val="15952E46"/>
    <w:rsid w:val="15A70553"/>
    <w:rsid w:val="15B64E25"/>
    <w:rsid w:val="15B7100D"/>
    <w:rsid w:val="15C23519"/>
    <w:rsid w:val="15CA514B"/>
    <w:rsid w:val="15D03D85"/>
    <w:rsid w:val="15E04557"/>
    <w:rsid w:val="15EA2EDF"/>
    <w:rsid w:val="15EB340A"/>
    <w:rsid w:val="15FA1D13"/>
    <w:rsid w:val="15FD74EC"/>
    <w:rsid w:val="16083483"/>
    <w:rsid w:val="160D0393"/>
    <w:rsid w:val="16142E7A"/>
    <w:rsid w:val="16163DF6"/>
    <w:rsid w:val="161908BF"/>
    <w:rsid w:val="16254B50"/>
    <w:rsid w:val="162A1C94"/>
    <w:rsid w:val="16317B67"/>
    <w:rsid w:val="16405680"/>
    <w:rsid w:val="1654460B"/>
    <w:rsid w:val="165D7A4C"/>
    <w:rsid w:val="166474CE"/>
    <w:rsid w:val="166A1B78"/>
    <w:rsid w:val="167B2C42"/>
    <w:rsid w:val="168711F1"/>
    <w:rsid w:val="169B41EE"/>
    <w:rsid w:val="16B32B0D"/>
    <w:rsid w:val="16B33B9C"/>
    <w:rsid w:val="16B80655"/>
    <w:rsid w:val="16D37927"/>
    <w:rsid w:val="16E60F0A"/>
    <w:rsid w:val="16E75171"/>
    <w:rsid w:val="170A7D62"/>
    <w:rsid w:val="171151F3"/>
    <w:rsid w:val="1713478E"/>
    <w:rsid w:val="171730E2"/>
    <w:rsid w:val="17366DEC"/>
    <w:rsid w:val="1745084A"/>
    <w:rsid w:val="1746145A"/>
    <w:rsid w:val="174C6434"/>
    <w:rsid w:val="175A2EAE"/>
    <w:rsid w:val="175B23DC"/>
    <w:rsid w:val="176A3995"/>
    <w:rsid w:val="17765A21"/>
    <w:rsid w:val="17780947"/>
    <w:rsid w:val="17793237"/>
    <w:rsid w:val="178068EF"/>
    <w:rsid w:val="17921E5E"/>
    <w:rsid w:val="17971F5C"/>
    <w:rsid w:val="179A58C0"/>
    <w:rsid w:val="17B20049"/>
    <w:rsid w:val="17B91F44"/>
    <w:rsid w:val="17BD73A9"/>
    <w:rsid w:val="17C64DA6"/>
    <w:rsid w:val="17D00A8D"/>
    <w:rsid w:val="17DF7ECA"/>
    <w:rsid w:val="17F8717F"/>
    <w:rsid w:val="1816412B"/>
    <w:rsid w:val="181D0028"/>
    <w:rsid w:val="18230B24"/>
    <w:rsid w:val="18234815"/>
    <w:rsid w:val="182747E8"/>
    <w:rsid w:val="183F707D"/>
    <w:rsid w:val="184A3F64"/>
    <w:rsid w:val="184B3BAF"/>
    <w:rsid w:val="18572CED"/>
    <w:rsid w:val="185C4A3B"/>
    <w:rsid w:val="185C7D65"/>
    <w:rsid w:val="186434DF"/>
    <w:rsid w:val="18681DD6"/>
    <w:rsid w:val="1875211F"/>
    <w:rsid w:val="187A7EE7"/>
    <w:rsid w:val="189A7301"/>
    <w:rsid w:val="18AD693F"/>
    <w:rsid w:val="18B21FB1"/>
    <w:rsid w:val="18B45275"/>
    <w:rsid w:val="18C9223F"/>
    <w:rsid w:val="18EC57CC"/>
    <w:rsid w:val="18F44F1F"/>
    <w:rsid w:val="19011CDD"/>
    <w:rsid w:val="19176706"/>
    <w:rsid w:val="191B1315"/>
    <w:rsid w:val="192709A7"/>
    <w:rsid w:val="192D0256"/>
    <w:rsid w:val="19364674"/>
    <w:rsid w:val="1938323D"/>
    <w:rsid w:val="196F1E99"/>
    <w:rsid w:val="196F3860"/>
    <w:rsid w:val="19750ACE"/>
    <w:rsid w:val="1980526B"/>
    <w:rsid w:val="198D00A7"/>
    <w:rsid w:val="19977355"/>
    <w:rsid w:val="199F28F0"/>
    <w:rsid w:val="19A24968"/>
    <w:rsid w:val="19B86AFB"/>
    <w:rsid w:val="19B90E69"/>
    <w:rsid w:val="19C57AD6"/>
    <w:rsid w:val="19DB7671"/>
    <w:rsid w:val="19DC781F"/>
    <w:rsid w:val="1A0E4717"/>
    <w:rsid w:val="1A1B2A09"/>
    <w:rsid w:val="1A1C3FF0"/>
    <w:rsid w:val="1A2113A2"/>
    <w:rsid w:val="1A2968A8"/>
    <w:rsid w:val="1A2A1D2D"/>
    <w:rsid w:val="1A3B4D2D"/>
    <w:rsid w:val="1A535BEF"/>
    <w:rsid w:val="1ABA5678"/>
    <w:rsid w:val="1AD05082"/>
    <w:rsid w:val="1ADA3A5B"/>
    <w:rsid w:val="1AF12BDD"/>
    <w:rsid w:val="1AFE5CBD"/>
    <w:rsid w:val="1B040173"/>
    <w:rsid w:val="1B1649E7"/>
    <w:rsid w:val="1B1A564E"/>
    <w:rsid w:val="1B327169"/>
    <w:rsid w:val="1B3F6FA2"/>
    <w:rsid w:val="1B5A3E5F"/>
    <w:rsid w:val="1B611E1F"/>
    <w:rsid w:val="1B6967D0"/>
    <w:rsid w:val="1B741AFF"/>
    <w:rsid w:val="1B744660"/>
    <w:rsid w:val="1B834CA8"/>
    <w:rsid w:val="1B9B2132"/>
    <w:rsid w:val="1BC57EB0"/>
    <w:rsid w:val="1BC657B2"/>
    <w:rsid w:val="1BCD60BF"/>
    <w:rsid w:val="1BD33CA3"/>
    <w:rsid w:val="1BDA4924"/>
    <w:rsid w:val="1BEB05B1"/>
    <w:rsid w:val="1BEE15CE"/>
    <w:rsid w:val="1BF93904"/>
    <w:rsid w:val="1C0A2D0D"/>
    <w:rsid w:val="1C1C5912"/>
    <w:rsid w:val="1C2051AB"/>
    <w:rsid w:val="1C217FDB"/>
    <w:rsid w:val="1C2B6FA5"/>
    <w:rsid w:val="1C5E5453"/>
    <w:rsid w:val="1C6C5AA0"/>
    <w:rsid w:val="1C6D3632"/>
    <w:rsid w:val="1C790C8C"/>
    <w:rsid w:val="1C792AE8"/>
    <w:rsid w:val="1C7C4BF8"/>
    <w:rsid w:val="1C8A06A6"/>
    <w:rsid w:val="1C9B7C70"/>
    <w:rsid w:val="1C9E69FD"/>
    <w:rsid w:val="1CAC4509"/>
    <w:rsid w:val="1CC15858"/>
    <w:rsid w:val="1CDE7AE5"/>
    <w:rsid w:val="1CE2467B"/>
    <w:rsid w:val="1CEB357C"/>
    <w:rsid w:val="1D0562EA"/>
    <w:rsid w:val="1D107D69"/>
    <w:rsid w:val="1D232B80"/>
    <w:rsid w:val="1D290ED3"/>
    <w:rsid w:val="1D5271C6"/>
    <w:rsid w:val="1D670D28"/>
    <w:rsid w:val="1D703007"/>
    <w:rsid w:val="1D767848"/>
    <w:rsid w:val="1D772CEF"/>
    <w:rsid w:val="1D8102E1"/>
    <w:rsid w:val="1D830699"/>
    <w:rsid w:val="1D8A2D53"/>
    <w:rsid w:val="1DAD3CBE"/>
    <w:rsid w:val="1DAE7608"/>
    <w:rsid w:val="1DB87BEB"/>
    <w:rsid w:val="1DC7638A"/>
    <w:rsid w:val="1DD0503A"/>
    <w:rsid w:val="1DD37652"/>
    <w:rsid w:val="1DD9333D"/>
    <w:rsid w:val="1DE62C02"/>
    <w:rsid w:val="1DF528F9"/>
    <w:rsid w:val="1DF53D10"/>
    <w:rsid w:val="1DF9319E"/>
    <w:rsid w:val="1DFC4D9A"/>
    <w:rsid w:val="1E077F0E"/>
    <w:rsid w:val="1E0F56A7"/>
    <w:rsid w:val="1E2043F9"/>
    <w:rsid w:val="1E340E26"/>
    <w:rsid w:val="1E364950"/>
    <w:rsid w:val="1E371658"/>
    <w:rsid w:val="1E395D98"/>
    <w:rsid w:val="1E3E627C"/>
    <w:rsid w:val="1E4035AF"/>
    <w:rsid w:val="1E4A2212"/>
    <w:rsid w:val="1E4C5E93"/>
    <w:rsid w:val="1E540118"/>
    <w:rsid w:val="1E643F92"/>
    <w:rsid w:val="1E7A4A61"/>
    <w:rsid w:val="1E864F2F"/>
    <w:rsid w:val="1E8C65D1"/>
    <w:rsid w:val="1E9C2CA2"/>
    <w:rsid w:val="1E9D3424"/>
    <w:rsid w:val="1EA50DD9"/>
    <w:rsid w:val="1EA67A57"/>
    <w:rsid w:val="1EAF5F77"/>
    <w:rsid w:val="1ED4468F"/>
    <w:rsid w:val="1EDB276F"/>
    <w:rsid w:val="1EE83226"/>
    <w:rsid w:val="1EEF2C14"/>
    <w:rsid w:val="1EF23712"/>
    <w:rsid w:val="1EF2377E"/>
    <w:rsid w:val="1EFA7BED"/>
    <w:rsid w:val="1F220AF3"/>
    <w:rsid w:val="1F2956AC"/>
    <w:rsid w:val="1F303A4A"/>
    <w:rsid w:val="1F304732"/>
    <w:rsid w:val="1F466866"/>
    <w:rsid w:val="1F4837C5"/>
    <w:rsid w:val="1F4A1D60"/>
    <w:rsid w:val="1F55556A"/>
    <w:rsid w:val="1F5F59BB"/>
    <w:rsid w:val="1F63070D"/>
    <w:rsid w:val="1F6326F7"/>
    <w:rsid w:val="1F6A2EAD"/>
    <w:rsid w:val="1F6F0598"/>
    <w:rsid w:val="1F8B7416"/>
    <w:rsid w:val="1F98577C"/>
    <w:rsid w:val="1F9A4266"/>
    <w:rsid w:val="1FA46D15"/>
    <w:rsid w:val="1FA5170E"/>
    <w:rsid w:val="1FAD2EAA"/>
    <w:rsid w:val="1FBE6869"/>
    <w:rsid w:val="1FC44E84"/>
    <w:rsid w:val="1FC51055"/>
    <w:rsid w:val="1FE17FE1"/>
    <w:rsid w:val="1FF14606"/>
    <w:rsid w:val="1FFC5174"/>
    <w:rsid w:val="200022E1"/>
    <w:rsid w:val="200476B2"/>
    <w:rsid w:val="200B6394"/>
    <w:rsid w:val="200D4256"/>
    <w:rsid w:val="20180B02"/>
    <w:rsid w:val="201B1792"/>
    <w:rsid w:val="2021189D"/>
    <w:rsid w:val="20297CFE"/>
    <w:rsid w:val="20301EEE"/>
    <w:rsid w:val="20473A67"/>
    <w:rsid w:val="205B22CC"/>
    <w:rsid w:val="208F55C7"/>
    <w:rsid w:val="209532CC"/>
    <w:rsid w:val="20974549"/>
    <w:rsid w:val="20A54172"/>
    <w:rsid w:val="20BE62E2"/>
    <w:rsid w:val="20D167B7"/>
    <w:rsid w:val="20DA6F22"/>
    <w:rsid w:val="20F328F6"/>
    <w:rsid w:val="20FC05EC"/>
    <w:rsid w:val="20FC799F"/>
    <w:rsid w:val="210B3EDB"/>
    <w:rsid w:val="211A15C1"/>
    <w:rsid w:val="213D195A"/>
    <w:rsid w:val="213E6F39"/>
    <w:rsid w:val="213F091B"/>
    <w:rsid w:val="213F3C4D"/>
    <w:rsid w:val="214827F0"/>
    <w:rsid w:val="214A32AA"/>
    <w:rsid w:val="214E5EB4"/>
    <w:rsid w:val="21523758"/>
    <w:rsid w:val="215834A7"/>
    <w:rsid w:val="215A68C8"/>
    <w:rsid w:val="2163733E"/>
    <w:rsid w:val="216D2214"/>
    <w:rsid w:val="21845897"/>
    <w:rsid w:val="21911159"/>
    <w:rsid w:val="219B5249"/>
    <w:rsid w:val="21A034FF"/>
    <w:rsid w:val="21AF401F"/>
    <w:rsid w:val="21AF580D"/>
    <w:rsid w:val="21B27D67"/>
    <w:rsid w:val="21B3107B"/>
    <w:rsid w:val="21B45A19"/>
    <w:rsid w:val="21C27675"/>
    <w:rsid w:val="21CF0828"/>
    <w:rsid w:val="21E855B0"/>
    <w:rsid w:val="21FA3A23"/>
    <w:rsid w:val="21FC1B64"/>
    <w:rsid w:val="22031056"/>
    <w:rsid w:val="220C3F71"/>
    <w:rsid w:val="22130533"/>
    <w:rsid w:val="22211101"/>
    <w:rsid w:val="2244130E"/>
    <w:rsid w:val="224F72B3"/>
    <w:rsid w:val="22546F46"/>
    <w:rsid w:val="226B6B50"/>
    <w:rsid w:val="226C646D"/>
    <w:rsid w:val="228200E7"/>
    <w:rsid w:val="22957120"/>
    <w:rsid w:val="229D532B"/>
    <w:rsid w:val="22A81E69"/>
    <w:rsid w:val="22E30237"/>
    <w:rsid w:val="22EC0CF1"/>
    <w:rsid w:val="22F957D8"/>
    <w:rsid w:val="22FF120A"/>
    <w:rsid w:val="230C10BA"/>
    <w:rsid w:val="231B79FF"/>
    <w:rsid w:val="231D364B"/>
    <w:rsid w:val="23261639"/>
    <w:rsid w:val="23646853"/>
    <w:rsid w:val="2364737C"/>
    <w:rsid w:val="236F2263"/>
    <w:rsid w:val="23740384"/>
    <w:rsid w:val="2374718C"/>
    <w:rsid w:val="237940FB"/>
    <w:rsid w:val="237B2AE4"/>
    <w:rsid w:val="237C6796"/>
    <w:rsid w:val="23875DF0"/>
    <w:rsid w:val="23A04A75"/>
    <w:rsid w:val="23A73B03"/>
    <w:rsid w:val="23B50DFE"/>
    <w:rsid w:val="23C7417E"/>
    <w:rsid w:val="23D206B5"/>
    <w:rsid w:val="23D61727"/>
    <w:rsid w:val="23E236B5"/>
    <w:rsid w:val="23EC1F0F"/>
    <w:rsid w:val="23EF0ED3"/>
    <w:rsid w:val="2406634B"/>
    <w:rsid w:val="24267220"/>
    <w:rsid w:val="242D471B"/>
    <w:rsid w:val="243306E2"/>
    <w:rsid w:val="24600096"/>
    <w:rsid w:val="24675D84"/>
    <w:rsid w:val="247435AD"/>
    <w:rsid w:val="24765BFD"/>
    <w:rsid w:val="247C383B"/>
    <w:rsid w:val="247C5A7E"/>
    <w:rsid w:val="247D523E"/>
    <w:rsid w:val="248076A1"/>
    <w:rsid w:val="24873508"/>
    <w:rsid w:val="248A7147"/>
    <w:rsid w:val="248C16E5"/>
    <w:rsid w:val="249745EF"/>
    <w:rsid w:val="24A436CA"/>
    <w:rsid w:val="24B57EE0"/>
    <w:rsid w:val="24BF0844"/>
    <w:rsid w:val="24C90DE5"/>
    <w:rsid w:val="24D52B02"/>
    <w:rsid w:val="24E93FFE"/>
    <w:rsid w:val="24EC2795"/>
    <w:rsid w:val="24F1444C"/>
    <w:rsid w:val="250C17DE"/>
    <w:rsid w:val="2515242F"/>
    <w:rsid w:val="251930B6"/>
    <w:rsid w:val="25295E1A"/>
    <w:rsid w:val="2530197F"/>
    <w:rsid w:val="25324BE3"/>
    <w:rsid w:val="25361FC5"/>
    <w:rsid w:val="253A2901"/>
    <w:rsid w:val="253F6C5D"/>
    <w:rsid w:val="254C4BA4"/>
    <w:rsid w:val="256841F1"/>
    <w:rsid w:val="256A4026"/>
    <w:rsid w:val="257B7F14"/>
    <w:rsid w:val="258B5AAF"/>
    <w:rsid w:val="25953DAD"/>
    <w:rsid w:val="2597702A"/>
    <w:rsid w:val="25A132B1"/>
    <w:rsid w:val="25B03313"/>
    <w:rsid w:val="25B41C14"/>
    <w:rsid w:val="25C44384"/>
    <w:rsid w:val="25DF1133"/>
    <w:rsid w:val="25E31D67"/>
    <w:rsid w:val="25EB5BF0"/>
    <w:rsid w:val="25EC5517"/>
    <w:rsid w:val="25F0634B"/>
    <w:rsid w:val="25FC2FA6"/>
    <w:rsid w:val="260816E3"/>
    <w:rsid w:val="2613461E"/>
    <w:rsid w:val="26262CF3"/>
    <w:rsid w:val="262719B4"/>
    <w:rsid w:val="262B200A"/>
    <w:rsid w:val="266130D1"/>
    <w:rsid w:val="26663746"/>
    <w:rsid w:val="267401BA"/>
    <w:rsid w:val="269A253F"/>
    <w:rsid w:val="26A04167"/>
    <w:rsid w:val="26AF7BD3"/>
    <w:rsid w:val="26BF1E52"/>
    <w:rsid w:val="26C460F0"/>
    <w:rsid w:val="26D12A6B"/>
    <w:rsid w:val="26D775A5"/>
    <w:rsid w:val="26DA54A2"/>
    <w:rsid w:val="271510F1"/>
    <w:rsid w:val="2715620C"/>
    <w:rsid w:val="271B541B"/>
    <w:rsid w:val="2727478D"/>
    <w:rsid w:val="272C108F"/>
    <w:rsid w:val="272D05D9"/>
    <w:rsid w:val="27484F6B"/>
    <w:rsid w:val="275E540B"/>
    <w:rsid w:val="276F00EA"/>
    <w:rsid w:val="27715CD3"/>
    <w:rsid w:val="27783F79"/>
    <w:rsid w:val="277F1F87"/>
    <w:rsid w:val="2782673D"/>
    <w:rsid w:val="27854771"/>
    <w:rsid w:val="27956920"/>
    <w:rsid w:val="27960276"/>
    <w:rsid w:val="279A77FC"/>
    <w:rsid w:val="27A124CF"/>
    <w:rsid w:val="27B9275B"/>
    <w:rsid w:val="27BC42DE"/>
    <w:rsid w:val="27BD43E1"/>
    <w:rsid w:val="27C05153"/>
    <w:rsid w:val="27C35FA5"/>
    <w:rsid w:val="27D042B1"/>
    <w:rsid w:val="27D743E5"/>
    <w:rsid w:val="27D8766D"/>
    <w:rsid w:val="27E11FD0"/>
    <w:rsid w:val="27EC38D8"/>
    <w:rsid w:val="27EE2892"/>
    <w:rsid w:val="27F54BCD"/>
    <w:rsid w:val="27F60B2C"/>
    <w:rsid w:val="280F7ACE"/>
    <w:rsid w:val="281F049A"/>
    <w:rsid w:val="28252597"/>
    <w:rsid w:val="28281DAB"/>
    <w:rsid w:val="282C0CC5"/>
    <w:rsid w:val="28314381"/>
    <w:rsid w:val="28357985"/>
    <w:rsid w:val="283E212E"/>
    <w:rsid w:val="28424A67"/>
    <w:rsid w:val="2847151D"/>
    <w:rsid w:val="286C15C4"/>
    <w:rsid w:val="287824F1"/>
    <w:rsid w:val="287D00D0"/>
    <w:rsid w:val="288B333C"/>
    <w:rsid w:val="288E2D50"/>
    <w:rsid w:val="28922EC5"/>
    <w:rsid w:val="28A21526"/>
    <w:rsid w:val="28A81AAD"/>
    <w:rsid w:val="28BC4232"/>
    <w:rsid w:val="28D80720"/>
    <w:rsid w:val="28DE3518"/>
    <w:rsid w:val="28F12006"/>
    <w:rsid w:val="28F41262"/>
    <w:rsid w:val="290B4C25"/>
    <w:rsid w:val="290F7F0E"/>
    <w:rsid w:val="29152D5C"/>
    <w:rsid w:val="29253EE7"/>
    <w:rsid w:val="292C527E"/>
    <w:rsid w:val="29367874"/>
    <w:rsid w:val="294D4780"/>
    <w:rsid w:val="296B2310"/>
    <w:rsid w:val="29720809"/>
    <w:rsid w:val="297F4293"/>
    <w:rsid w:val="298E5C17"/>
    <w:rsid w:val="298E75FA"/>
    <w:rsid w:val="299825E3"/>
    <w:rsid w:val="299F2F49"/>
    <w:rsid w:val="29A7035C"/>
    <w:rsid w:val="29A97828"/>
    <w:rsid w:val="29BC6C29"/>
    <w:rsid w:val="29D57285"/>
    <w:rsid w:val="29DB5413"/>
    <w:rsid w:val="29E07BED"/>
    <w:rsid w:val="29E07F19"/>
    <w:rsid w:val="29E418B0"/>
    <w:rsid w:val="29E74365"/>
    <w:rsid w:val="29E86B50"/>
    <w:rsid w:val="2A057E10"/>
    <w:rsid w:val="2A1A2450"/>
    <w:rsid w:val="2A221B1F"/>
    <w:rsid w:val="2A234041"/>
    <w:rsid w:val="2A251944"/>
    <w:rsid w:val="2A2F7399"/>
    <w:rsid w:val="2A35129C"/>
    <w:rsid w:val="2A3521DF"/>
    <w:rsid w:val="2A3B7D26"/>
    <w:rsid w:val="2A3C449A"/>
    <w:rsid w:val="2A4A52A9"/>
    <w:rsid w:val="2A50586E"/>
    <w:rsid w:val="2A6B26DD"/>
    <w:rsid w:val="2A7479F4"/>
    <w:rsid w:val="2A7D763F"/>
    <w:rsid w:val="2A7F2AC3"/>
    <w:rsid w:val="2A7F4983"/>
    <w:rsid w:val="2A824A8D"/>
    <w:rsid w:val="2A8E59CF"/>
    <w:rsid w:val="2A9A1E2C"/>
    <w:rsid w:val="2ACF7D81"/>
    <w:rsid w:val="2AF94DFF"/>
    <w:rsid w:val="2B152344"/>
    <w:rsid w:val="2B1D5B1E"/>
    <w:rsid w:val="2B2D3B3F"/>
    <w:rsid w:val="2B4957EF"/>
    <w:rsid w:val="2B4E0D73"/>
    <w:rsid w:val="2B6240AA"/>
    <w:rsid w:val="2B630DDB"/>
    <w:rsid w:val="2B696DF1"/>
    <w:rsid w:val="2B7828C5"/>
    <w:rsid w:val="2B9D1748"/>
    <w:rsid w:val="2BA231C4"/>
    <w:rsid w:val="2BBC3AE0"/>
    <w:rsid w:val="2BCF638E"/>
    <w:rsid w:val="2BD03962"/>
    <w:rsid w:val="2BD24F5E"/>
    <w:rsid w:val="2BD5465E"/>
    <w:rsid w:val="2BD912E6"/>
    <w:rsid w:val="2BDB5499"/>
    <w:rsid w:val="2BE57AA5"/>
    <w:rsid w:val="2BE63069"/>
    <w:rsid w:val="2BEC67F8"/>
    <w:rsid w:val="2BF739D7"/>
    <w:rsid w:val="2C1572D4"/>
    <w:rsid w:val="2C224FB7"/>
    <w:rsid w:val="2C36396B"/>
    <w:rsid w:val="2C371CB5"/>
    <w:rsid w:val="2C3D0E2A"/>
    <w:rsid w:val="2C3E7C94"/>
    <w:rsid w:val="2C4719FF"/>
    <w:rsid w:val="2C486567"/>
    <w:rsid w:val="2C50515F"/>
    <w:rsid w:val="2C5224C2"/>
    <w:rsid w:val="2C5B5E8F"/>
    <w:rsid w:val="2C5C7B5F"/>
    <w:rsid w:val="2C5E6F8D"/>
    <w:rsid w:val="2C727571"/>
    <w:rsid w:val="2C775D72"/>
    <w:rsid w:val="2C787CBA"/>
    <w:rsid w:val="2C7C0212"/>
    <w:rsid w:val="2C941645"/>
    <w:rsid w:val="2CB64297"/>
    <w:rsid w:val="2CBD4148"/>
    <w:rsid w:val="2CBE1781"/>
    <w:rsid w:val="2CC15699"/>
    <w:rsid w:val="2CD614F8"/>
    <w:rsid w:val="2CEA6801"/>
    <w:rsid w:val="2CEF489C"/>
    <w:rsid w:val="2D03692B"/>
    <w:rsid w:val="2D0B5A1D"/>
    <w:rsid w:val="2D19707D"/>
    <w:rsid w:val="2D2035E8"/>
    <w:rsid w:val="2D2E0167"/>
    <w:rsid w:val="2D334206"/>
    <w:rsid w:val="2D375899"/>
    <w:rsid w:val="2D4113A5"/>
    <w:rsid w:val="2D4E2B97"/>
    <w:rsid w:val="2D5813EB"/>
    <w:rsid w:val="2D59048F"/>
    <w:rsid w:val="2D5A4924"/>
    <w:rsid w:val="2D6434F9"/>
    <w:rsid w:val="2D6A662B"/>
    <w:rsid w:val="2D6F5F04"/>
    <w:rsid w:val="2D77017F"/>
    <w:rsid w:val="2D883661"/>
    <w:rsid w:val="2D8F2509"/>
    <w:rsid w:val="2D912FED"/>
    <w:rsid w:val="2D9268FF"/>
    <w:rsid w:val="2D9441B7"/>
    <w:rsid w:val="2D9D1C1E"/>
    <w:rsid w:val="2DA805CD"/>
    <w:rsid w:val="2DB561BF"/>
    <w:rsid w:val="2DBE182E"/>
    <w:rsid w:val="2DC96A30"/>
    <w:rsid w:val="2DCA2E24"/>
    <w:rsid w:val="2DEA6EED"/>
    <w:rsid w:val="2DEE2CFA"/>
    <w:rsid w:val="2E1547E1"/>
    <w:rsid w:val="2E1951D6"/>
    <w:rsid w:val="2E1F242B"/>
    <w:rsid w:val="2E204EDF"/>
    <w:rsid w:val="2E2A77CA"/>
    <w:rsid w:val="2E2F37FB"/>
    <w:rsid w:val="2E3C2283"/>
    <w:rsid w:val="2E4156DB"/>
    <w:rsid w:val="2E567CBD"/>
    <w:rsid w:val="2E587949"/>
    <w:rsid w:val="2E595615"/>
    <w:rsid w:val="2E6C556D"/>
    <w:rsid w:val="2E7C6059"/>
    <w:rsid w:val="2E832B40"/>
    <w:rsid w:val="2E935D1E"/>
    <w:rsid w:val="2E944FC3"/>
    <w:rsid w:val="2E9B4D78"/>
    <w:rsid w:val="2EA31FBE"/>
    <w:rsid w:val="2EBA1886"/>
    <w:rsid w:val="2EC76393"/>
    <w:rsid w:val="2ECB2508"/>
    <w:rsid w:val="2ECE3066"/>
    <w:rsid w:val="2ED530CD"/>
    <w:rsid w:val="2EDD53A2"/>
    <w:rsid w:val="2EF1176A"/>
    <w:rsid w:val="2EF172F2"/>
    <w:rsid w:val="2EF519FE"/>
    <w:rsid w:val="2EF77FAA"/>
    <w:rsid w:val="2EFE035C"/>
    <w:rsid w:val="2EFF542C"/>
    <w:rsid w:val="2F1838F6"/>
    <w:rsid w:val="2F1D0AB1"/>
    <w:rsid w:val="2F1D1379"/>
    <w:rsid w:val="2F2422D6"/>
    <w:rsid w:val="2F2C6D97"/>
    <w:rsid w:val="2F31345F"/>
    <w:rsid w:val="2F3A67D8"/>
    <w:rsid w:val="2F3E5440"/>
    <w:rsid w:val="2F4B0A7E"/>
    <w:rsid w:val="2F550418"/>
    <w:rsid w:val="2F564CC4"/>
    <w:rsid w:val="2F61697B"/>
    <w:rsid w:val="2F6D1772"/>
    <w:rsid w:val="2F7171DF"/>
    <w:rsid w:val="2F730635"/>
    <w:rsid w:val="2F764B6F"/>
    <w:rsid w:val="2F766073"/>
    <w:rsid w:val="2F7C37A9"/>
    <w:rsid w:val="2FA72FC1"/>
    <w:rsid w:val="2FAD1E15"/>
    <w:rsid w:val="2FCA7D6F"/>
    <w:rsid w:val="2FE1159F"/>
    <w:rsid w:val="2FE67A61"/>
    <w:rsid w:val="2FE83BFB"/>
    <w:rsid w:val="2FEA57C3"/>
    <w:rsid w:val="2FF758FB"/>
    <w:rsid w:val="2FF85E0F"/>
    <w:rsid w:val="2FFB4F4D"/>
    <w:rsid w:val="30177C75"/>
    <w:rsid w:val="3022646E"/>
    <w:rsid w:val="30273AAF"/>
    <w:rsid w:val="303204DB"/>
    <w:rsid w:val="303C4E3E"/>
    <w:rsid w:val="303F7DEC"/>
    <w:rsid w:val="30492304"/>
    <w:rsid w:val="30550079"/>
    <w:rsid w:val="305B4126"/>
    <w:rsid w:val="30735ACA"/>
    <w:rsid w:val="30812474"/>
    <w:rsid w:val="3096283C"/>
    <w:rsid w:val="309B4D77"/>
    <w:rsid w:val="309B4EE5"/>
    <w:rsid w:val="30A4674F"/>
    <w:rsid w:val="30B13C83"/>
    <w:rsid w:val="30C04D69"/>
    <w:rsid w:val="30C64BBF"/>
    <w:rsid w:val="30CD1236"/>
    <w:rsid w:val="30D738A9"/>
    <w:rsid w:val="30D76480"/>
    <w:rsid w:val="30D83415"/>
    <w:rsid w:val="30DB15C8"/>
    <w:rsid w:val="30DF3FCE"/>
    <w:rsid w:val="30FA45A8"/>
    <w:rsid w:val="30FE0124"/>
    <w:rsid w:val="310059C0"/>
    <w:rsid w:val="31180C3B"/>
    <w:rsid w:val="311A7CB5"/>
    <w:rsid w:val="311F6CFA"/>
    <w:rsid w:val="312600A0"/>
    <w:rsid w:val="31262022"/>
    <w:rsid w:val="31296635"/>
    <w:rsid w:val="31307DA3"/>
    <w:rsid w:val="3132657E"/>
    <w:rsid w:val="31496359"/>
    <w:rsid w:val="316361DD"/>
    <w:rsid w:val="31644296"/>
    <w:rsid w:val="31674C6F"/>
    <w:rsid w:val="316B3792"/>
    <w:rsid w:val="31814350"/>
    <w:rsid w:val="3189164D"/>
    <w:rsid w:val="31A364A7"/>
    <w:rsid w:val="31AB24FF"/>
    <w:rsid w:val="31B70762"/>
    <w:rsid w:val="31BE46B4"/>
    <w:rsid w:val="31E4072D"/>
    <w:rsid w:val="31F57F2A"/>
    <w:rsid w:val="320019D4"/>
    <w:rsid w:val="32060E9D"/>
    <w:rsid w:val="320B5545"/>
    <w:rsid w:val="323E38B6"/>
    <w:rsid w:val="326A10D2"/>
    <w:rsid w:val="32722E84"/>
    <w:rsid w:val="327A5070"/>
    <w:rsid w:val="327E6019"/>
    <w:rsid w:val="32840E13"/>
    <w:rsid w:val="328D7CB8"/>
    <w:rsid w:val="328E101E"/>
    <w:rsid w:val="32917D30"/>
    <w:rsid w:val="32930D4F"/>
    <w:rsid w:val="32996A33"/>
    <w:rsid w:val="329E28F5"/>
    <w:rsid w:val="32AE3581"/>
    <w:rsid w:val="32B03CA9"/>
    <w:rsid w:val="32D22EA2"/>
    <w:rsid w:val="32D43D0B"/>
    <w:rsid w:val="32E83BC4"/>
    <w:rsid w:val="32F060B7"/>
    <w:rsid w:val="32F12D52"/>
    <w:rsid w:val="32F20729"/>
    <w:rsid w:val="33000F03"/>
    <w:rsid w:val="330453C5"/>
    <w:rsid w:val="33084F25"/>
    <w:rsid w:val="33097E50"/>
    <w:rsid w:val="33274875"/>
    <w:rsid w:val="3330228B"/>
    <w:rsid w:val="333A57C1"/>
    <w:rsid w:val="33503C2A"/>
    <w:rsid w:val="33556B30"/>
    <w:rsid w:val="33727D82"/>
    <w:rsid w:val="337D258A"/>
    <w:rsid w:val="338D3C25"/>
    <w:rsid w:val="33935CE7"/>
    <w:rsid w:val="33951C4A"/>
    <w:rsid w:val="339921E7"/>
    <w:rsid w:val="33992B5D"/>
    <w:rsid w:val="339C18CA"/>
    <w:rsid w:val="339D5076"/>
    <w:rsid w:val="33A40B96"/>
    <w:rsid w:val="33AE7FCD"/>
    <w:rsid w:val="33C415B0"/>
    <w:rsid w:val="33C532A3"/>
    <w:rsid w:val="34075639"/>
    <w:rsid w:val="34082F3A"/>
    <w:rsid w:val="34103A6F"/>
    <w:rsid w:val="341817A5"/>
    <w:rsid w:val="34211D80"/>
    <w:rsid w:val="3426548F"/>
    <w:rsid w:val="342A673C"/>
    <w:rsid w:val="342F32BF"/>
    <w:rsid w:val="342F5BB7"/>
    <w:rsid w:val="343B4056"/>
    <w:rsid w:val="34591B58"/>
    <w:rsid w:val="34653285"/>
    <w:rsid w:val="34772598"/>
    <w:rsid w:val="3479238D"/>
    <w:rsid w:val="347E59B5"/>
    <w:rsid w:val="349152B5"/>
    <w:rsid w:val="3497613B"/>
    <w:rsid w:val="349F5732"/>
    <w:rsid w:val="34A05A57"/>
    <w:rsid w:val="34A56367"/>
    <w:rsid w:val="34AC6412"/>
    <w:rsid w:val="34B55F30"/>
    <w:rsid w:val="34C14F1A"/>
    <w:rsid w:val="34C21CD6"/>
    <w:rsid w:val="34D172CC"/>
    <w:rsid w:val="34D40745"/>
    <w:rsid w:val="34E06037"/>
    <w:rsid w:val="34E16FD5"/>
    <w:rsid w:val="34EF0EDA"/>
    <w:rsid w:val="34F668CF"/>
    <w:rsid w:val="3506217B"/>
    <w:rsid w:val="352A727B"/>
    <w:rsid w:val="35383F82"/>
    <w:rsid w:val="354D145A"/>
    <w:rsid w:val="35535274"/>
    <w:rsid w:val="3556329F"/>
    <w:rsid w:val="35597874"/>
    <w:rsid w:val="355F2666"/>
    <w:rsid w:val="35627FFA"/>
    <w:rsid w:val="35634A0C"/>
    <w:rsid w:val="356E7701"/>
    <w:rsid w:val="357109F2"/>
    <w:rsid w:val="35736419"/>
    <w:rsid w:val="3577043D"/>
    <w:rsid w:val="35856CAC"/>
    <w:rsid w:val="35857ECA"/>
    <w:rsid w:val="358E60FE"/>
    <w:rsid w:val="35A0723C"/>
    <w:rsid w:val="35A14F05"/>
    <w:rsid w:val="35AC27AF"/>
    <w:rsid w:val="35AE22D5"/>
    <w:rsid w:val="35B02441"/>
    <w:rsid w:val="35B13A99"/>
    <w:rsid w:val="35B57E1E"/>
    <w:rsid w:val="35C22CB5"/>
    <w:rsid w:val="35C240F8"/>
    <w:rsid w:val="35C46934"/>
    <w:rsid w:val="35C70943"/>
    <w:rsid w:val="35CF290E"/>
    <w:rsid w:val="35E71C59"/>
    <w:rsid w:val="35F97D22"/>
    <w:rsid w:val="36027472"/>
    <w:rsid w:val="360A0BFB"/>
    <w:rsid w:val="360A4A82"/>
    <w:rsid w:val="360C2102"/>
    <w:rsid w:val="36142E93"/>
    <w:rsid w:val="36186DB8"/>
    <w:rsid w:val="361B1AF1"/>
    <w:rsid w:val="36216175"/>
    <w:rsid w:val="3621718F"/>
    <w:rsid w:val="363C04CC"/>
    <w:rsid w:val="36416A0E"/>
    <w:rsid w:val="364459C4"/>
    <w:rsid w:val="365945E0"/>
    <w:rsid w:val="365A3B53"/>
    <w:rsid w:val="36682879"/>
    <w:rsid w:val="366F3ECE"/>
    <w:rsid w:val="3670406E"/>
    <w:rsid w:val="36746265"/>
    <w:rsid w:val="36884574"/>
    <w:rsid w:val="368D3875"/>
    <w:rsid w:val="3694384F"/>
    <w:rsid w:val="369B3B7A"/>
    <w:rsid w:val="369C762E"/>
    <w:rsid w:val="36A94F44"/>
    <w:rsid w:val="36B668D5"/>
    <w:rsid w:val="36E24A75"/>
    <w:rsid w:val="36E56B24"/>
    <w:rsid w:val="36E854E8"/>
    <w:rsid w:val="36EE14B6"/>
    <w:rsid w:val="36EF0AC8"/>
    <w:rsid w:val="36F857D4"/>
    <w:rsid w:val="36FA6D72"/>
    <w:rsid w:val="37093927"/>
    <w:rsid w:val="370B411A"/>
    <w:rsid w:val="371B7320"/>
    <w:rsid w:val="37324DD0"/>
    <w:rsid w:val="37361E4F"/>
    <w:rsid w:val="375418B0"/>
    <w:rsid w:val="37650F1D"/>
    <w:rsid w:val="37684256"/>
    <w:rsid w:val="376A0136"/>
    <w:rsid w:val="37717ED2"/>
    <w:rsid w:val="37744CD7"/>
    <w:rsid w:val="37761EFB"/>
    <w:rsid w:val="378F2156"/>
    <w:rsid w:val="378F4506"/>
    <w:rsid w:val="37923176"/>
    <w:rsid w:val="37940972"/>
    <w:rsid w:val="37A31798"/>
    <w:rsid w:val="37A76123"/>
    <w:rsid w:val="37B4109A"/>
    <w:rsid w:val="37B44072"/>
    <w:rsid w:val="37C53FC8"/>
    <w:rsid w:val="37C6626C"/>
    <w:rsid w:val="37CE643C"/>
    <w:rsid w:val="37DE1E15"/>
    <w:rsid w:val="37E81E6D"/>
    <w:rsid w:val="37EE36CB"/>
    <w:rsid w:val="37F72DD2"/>
    <w:rsid w:val="37F75E65"/>
    <w:rsid w:val="37FE5E8B"/>
    <w:rsid w:val="3817796B"/>
    <w:rsid w:val="381E20EA"/>
    <w:rsid w:val="382C0507"/>
    <w:rsid w:val="38355E87"/>
    <w:rsid w:val="383F2B58"/>
    <w:rsid w:val="384B12B6"/>
    <w:rsid w:val="384B18BA"/>
    <w:rsid w:val="38502A71"/>
    <w:rsid w:val="385E3D0A"/>
    <w:rsid w:val="38617191"/>
    <w:rsid w:val="386E3CF6"/>
    <w:rsid w:val="38820D16"/>
    <w:rsid w:val="38834543"/>
    <w:rsid w:val="388C6FB7"/>
    <w:rsid w:val="38B0026E"/>
    <w:rsid w:val="38B042E6"/>
    <w:rsid w:val="38B65D1B"/>
    <w:rsid w:val="38BE447D"/>
    <w:rsid w:val="38E05F1C"/>
    <w:rsid w:val="38F72B99"/>
    <w:rsid w:val="38FB74EA"/>
    <w:rsid w:val="38FC52E8"/>
    <w:rsid w:val="38FF705A"/>
    <w:rsid w:val="390A41BE"/>
    <w:rsid w:val="391D09B5"/>
    <w:rsid w:val="3929006B"/>
    <w:rsid w:val="392D767A"/>
    <w:rsid w:val="393701EE"/>
    <w:rsid w:val="393702B3"/>
    <w:rsid w:val="393D29DA"/>
    <w:rsid w:val="394716FE"/>
    <w:rsid w:val="39473F7F"/>
    <w:rsid w:val="395573B8"/>
    <w:rsid w:val="395A3D52"/>
    <w:rsid w:val="39692413"/>
    <w:rsid w:val="397E7A86"/>
    <w:rsid w:val="39905962"/>
    <w:rsid w:val="39975821"/>
    <w:rsid w:val="399B1EBD"/>
    <w:rsid w:val="39A31C1A"/>
    <w:rsid w:val="39B753B3"/>
    <w:rsid w:val="39C839DB"/>
    <w:rsid w:val="39DC3A3B"/>
    <w:rsid w:val="39DC592E"/>
    <w:rsid w:val="39E408EF"/>
    <w:rsid w:val="3A086DB2"/>
    <w:rsid w:val="3A105BB0"/>
    <w:rsid w:val="3A130B41"/>
    <w:rsid w:val="3A1A6E1D"/>
    <w:rsid w:val="3A1E01B2"/>
    <w:rsid w:val="3A234189"/>
    <w:rsid w:val="3A281834"/>
    <w:rsid w:val="3A3409FF"/>
    <w:rsid w:val="3A3563C7"/>
    <w:rsid w:val="3A393810"/>
    <w:rsid w:val="3A3A0E35"/>
    <w:rsid w:val="3A4B147C"/>
    <w:rsid w:val="3A5121F8"/>
    <w:rsid w:val="3A574685"/>
    <w:rsid w:val="3A6148BD"/>
    <w:rsid w:val="3A6B5252"/>
    <w:rsid w:val="3A6B5372"/>
    <w:rsid w:val="3A7259C3"/>
    <w:rsid w:val="3A73609C"/>
    <w:rsid w:val="3A844E6C"/>
    <w:rsid w:val="3A8B202A"/>
    <w:rsid w:val="3A8F7504"/>
    <w:rsid w:val="3A9542B9"/>
    <w:rsid w:val="3A9F6FD9"/>
    <w:rsid w:val="3AC37AD6"/>
    <w:rsid w:val="3AD669F8"/>
    <w:rsid w:val="3AE35C3C"/>
    <w:rsid w:val="3AE834EC"/>
    <w:rsid w:val="3B060FCF"/>
    <w:rsid w:val="3B085608"/>
    <w:rsid w:val="3B166DEF"/>
    <w:rsid w:val="3B1D4DB3"/>
    <w:rsid w:val="3B263A67"/>
    <w:rsid w:val="3B391CAD"/>
    <w:rsid w:val="3B413722"/>
    <w:rsid w:val="3B5961C8"/>
    <w:rsid w:val="3B5C75E6"/>
    <w:rsid w:val="3B824C6E"/>
    <w:rsid w:val="3B861A05"/>
    <w:rsid w:val="3B902947"/>
    <w:rsid w:val="3B907C6D"/>
    <w:rsid w:val="3BB05E28"/>
    <w:rsid w:val="3BB25B30"/>
    <w:rsid w:val="3BB47546"/>
    <w:rsid w:val="3BB76846"/>
    <w:rsid w:val="3BB93825"/>
    <w:rsid w:val="3BB9799D"/>
    <w:rsid w:val="3BDA64D6"/>
    <w:rsid w:val="3BDA7E15"/>
    <w:rsid w:val="3BDB1485"/>
    <w:rsid w:val="3BDB1D41"/>
    <w:rsid w:val="3BE47121"/>
    <w:rsid w:val="3BEB7A87"/>
    <w:rsid w:val="3BFA6BED"/>
    <w:rsid w:val="3C02791E"/>
    <w:rsid w:val="3C2B5999"/>
    <w:rsid w:val="3C3211E1"/>
    <w:rsid w:val="3C396060"/>
    <w:rsid w:val="3C436845"/>
    <w:rsid w:val="3C470B8B"/>
    <w:rsid w:val="3C5A4845"/>
    <w:rsid w:val="3C7226C6"/>
    <w:rsid w:val="3C7B1F37"/>
    <w:rsid w:val="3C9347DF"/>
    <w:rsid w:val="3C9F754C"/>
    <w:rsid w:val="3CB21E71"/>
    <w:rsid w:val="3CBF79C0"/>
    <w:rsid w:val="3CC01564"/>
    <w:rsid w:val="3CC40127"/>
    <w:rsid w:val="3CD32014"/>
    <w:rsid w:val="3CD46856"/>
    <w:rsid w:val="3CD82CD8"/>
    <w:rsid w:val="3CDC23C6"/>
    <w:rsid w:val="3CE01B06"/>
    <w:rsid w:val="3CE101A1"/>
    <w:rsid w:val="3CF04E28"/>
    <w:rsid w:val="3CF16A61"/>
    <w:rsid w:val="3CF3473C"/>
    <w:rsid w:val="3CFA6CA2"/>
    <w:rsid w:val="3D02019D"/>
    <w:rsid w:val="3D083703"/>
    <w:rsid w:val="3D0A3F12"/>
    <w:rsid w:val="3D0E3167"/>
    <w:rsid w:val="3D1D66D0"/>
    <w:rsid w:val="3D2B12DA"/>
    <w:rsid w:val="3D2C41E7"/>
    <w:rsid w:val="3D3A3646"/>
    <w:rsid w:val="3D4C0B96"/>
    <w:rsid w:val="3D5621E9"/>
    <w:rsid w:val="3D68520F"/>
    <w:rsid w:val="3D6C638C"/>
    <w:rsid w:val="3D724656"/>
    <w:rsid w:val="3D736047"/>
    <w:rsid w:val="3D776DC0"/>
    <w:rsid w:val="3D7F713F"/>
    <w:rsid w:val="3D836268"/>
    <w:rsid w:val="3DA120C5"/>
    <w:rsid w:val="3DA37F88"/>
    <w:rsid w:val="3DAF1B4B"/>
    <w:rsid w:val="3DB8282E"/>
    <w:rsid w:val="3DC542DA"/>
    <w:rsid w:val="3DC63B89"/>
    <w:rsid w:val="3DC71EB7"/>
    <w:rsid w:val="3DFC47F3"/>
    <w:rsid w:val="3E133216"/>
    <w:rsid w:val="3E140437"/>
    <w:rsid w:val="3E180EA3"/>
    <w:rsid w:val="3E257CE8"/>
    <w:rsid w:val="3E281091"/>
    <w:rsid w:val="3E2C24F6"/>
    <w:rsid w:val="3E3B2020"/>
    <w:rsid w:val="3E3E5D95"/>
    <w:rsid w:val="3E475FEA"/>
    <w:rsid w:val="3E4B7919"/>
    <w:rsid w:val="3E4F1A80"/>
    <w:rsid w:val="3E534DBA"/>
    <w:rsid w:val="3E581E58"/>
    <w:rsid w:val="3E6A08C3"/>
    <w:rsid w:val="3E6D296A"/>
    <w:rsid w:val="3E862083"/>
    <w:rsid w:val="3E8D0498"/>
    <w:rsid w:val="3E96082A"/>
    <w:rsid w:val="3EA86CA2"/>
    <w:rsid w:val="3EAA7B62"/>
    <w:rsid w:val="3EAB2AC0"/>
    <w:rsid w:val="3EAC1C04"/>
    <w:rsid w:val="3EAE3754"/>
    <w:rsid w:val="3EB37B8D"/>
    <w:rsid w:val="3EBA3E02"/>
    <w:rsid w:val="3ECE04EF"/>
    <w:rsid w:val="3ED41D30"/>
    <w:rsid w:val="3ED94CFF"/>
    <w:rsid w:val="3EE3100F"/>
    <w:rsid w:val="3EEC66D0"/>
    <w:rsid w:val="3EF15A21"/>
    <w:rsid w:val="3F105F94"/>
    <w:rsid w:val="3F202BD0"/>
    <w:rsid w:val="3F25080A"/>
    <w:rsid w:val="3F2D221F"/>
    <w:rsid w:val="3F366E93"/>
    <w:rsid w:val="3F3D28CB"/>
    <w:rsid w:val="3F42482A"/>
    <w:rsid w:val="3F44635A"/>
    <w:rsid w:val="3F49059A"/>
    <w:rsid w:val="3F5A1E9F"/>
    <w:rsid w:val="3F5F2C6C"/>
    <w:rsid w:val="3F5F7C25"/>
    <w:rsid w:val="3F662A95"/>
    <w:rsid w:val="3F736EE0"/>
    <w:rsid w:val="3F746345"/>
    <w:rsid w:val="3F875D40"/>
    <w:rsid w:val="3F961F89"/>
    <w:rsid w:val="3F9A7BBD"/>
    <w:rsid w:val="3F9C2A41"/>
    <w:rsid w:val="3FA25190"/>
    <w:rsid w:val="3FA544AA"/>
    <w:rsid w:val="3FB04399"/>
    <w:rsid w:val="3FB2569F"/>
    <w:rsid w:val="3FB34FF3"/>
    <w:rsid w:val="3FB63E46"/>
    <w:rsid w:val="3FE3042D"/>
    <w:rsid w:val="3FEB1ED5"/>
    <w:rsid w:val="3FED6201"/>
    <w:rsid w:val="40064089"/>
    <w:rsid w:val="40473369"/>
    <w:rsid w:val="40564815"/>
    <w:rsid w:val="405B5907"/>
    <w:rsid w:val="405E58FC"/>
    <w:rsid w:val="40600E9F"/>
    <w:rsid w:val="407738A4"/>
    <w:rsid w:val="40797A37"/>
    <w:rsid w:val="408F7C8B"/>
    <w:rsid w:val="40A776F0"/>
    <w:rsid w:val="40AF5862"/>
    <w:rsid w:val="40BB06E3"/>
    <w:rsid w:val="40C562F4"/>
    <w:rsid w:val="40C7140B"/>
    <w:rsid w:val="40C8444B"/>
    <w:rsid w:val="40D31BB6"/>
    <w:rsid w:val="40DB6BFD"/>
    <w:rsid w:val="40F75E64"/>
    <w:rsid w:val="40F909C5"/>
    <w:rsid w:val="41177B3E"/>
    <w:rsid w:val="411F5BA1"/>
    <w:rsid w:val="412754B5"/>
    <w:rsid w:val="412E6F24"/>
    <w:rsid w:val="413901C2"/>
    <w:rsid w:val="414C7DD1"/>
    <w:rsid w:val="417B050F"/>
    <w:rsid w:val="41800A36"/>
    <w:rsid w:val="41856CE1"/>
    <w:rsid w:val="419825D5"/>
    <w:rsid w:val="41A33D05"/>
    <w:rsid w:val="41B12449"/>
    <w:rsid w:val="41BA2ACB"/>
    <w:rsid w:val="41C7631F"/>
    <w:rsid w:val="41CA2557"/>
    <w:rsid w:val="41CC6F72"/>
    <w:rsid w:val="41D25D01"/>
    <w:rsid w:val="41DC6C59"/>
    <w:rsid w:val="41E74F89"/>
    <w:rsid w:val="41E769DC"/>
    <w:rsid w:val="41EC3004"/>
    <w:rsid w:val="420C1FC7"/>
    <w:rsid w:val="42133250"/>
    <w:rsid w:val="42215C41"/>
    <w:rsid w:val="42297279"/>
    <w:rsid w:val="422D60E6"/>
    <w:rsid w:val="423550C1"/>
    <w:rsid w:val="424C0C59"/>
    <w:rsid w:val="424F1DA0"/>
    <w:rsid w:val="425314AE"/>
    <w:rsid w:val="425A2D58"/>
    <w:rsid w:val="42770084"/>
    <w:rsid w:val="427873A4"/>
    <w:rsid w:val="427C206D"/>
    <w:rsid w:val="427F6978"/>
    <w:rsid w:val="42AB7D8F"/>
    <w:rsid w:val="42BD26E7"/>
    <w:rsid w:val="42C12262"/>
    <w:rsid w:val="42C56394"/>
    <w:rsid w:val="42C82447"/>
    <w:rsid w:val="42D05466"/>
    <w:rsid w:val="42D92AD2"/>
    <w:rsid w:val="42F024C2"/>
    <w:rsid w:val="42F94E42"/>
    <w:rsid w:val="42F95A10"/>
    <w:rsid w:val="42FA1BAF"/>
    <w:rsid w:val="43136272"/>
    <w:rsid w:val="43195D7D"/>
    <w:rsid w:val="434377BC"/>
    <w:rsid w:val="43460904"/>
    <w:rsid w:val="434E569C"/>
    <w:rsid w:val="43592A11"/>
    <w:rsid w:val="436B67EA"/>
    <w:rsid w:val="436F0C0B"/>
    <w:rsid w:val="437626AF"/>
    <w:rsid w:val="43765B50"/>
    <w:rsid w:val="43792BB2"/>
    <w:rsid w:val="43857D39"/>
    <w:rsid w:val="438C5D7D"/>
    <w:rsid w:val="43907F5A"/>
    <w:rsid w:val="439167F7"/>
    <w:rsid w:val="439274ED"/>
    <w:rsid w:val="43A56017"/>
    <w:rsid w:val="43A768A9"/>
    <w:rsid w:val="43BF2E83"/>
    <w:rsid w:val="43D94517"/>
    <w:rsid w:val="43EB7AF5"/>
    <w:rsid w:val="44173CA6"/>
    <w:rsid w:val="443D3FB3"/>
    <w:rsid w:val="44441851"/>
    <w:rsid w:val="4456421E"/>
    <w:rsid w:val="445B16F8"/>
    <w:rsid w:val="446B5EEE"/>
    <w:rsid w:val="446F2191"/>
    <w:rsid w:val="44724789"/>
    <w:rsid w:val="447B4D0B"/>
    <w:rsid w:val="447E1437"/>
    <w:rsid w:val="44861BC2"/>
    <w:rsid w:val="44914AFA"/>
    <w:rsid w:val="449E5770"/>
    <w:rsid w:val="44A67397"/>
    <w:rsid w:val="44AD3589"/>
    <w:rsid w:val="44E32723"/>
    <w:rsid w:val="451209CE"/>
    <w:rsid w:val="45225273"/>
    <w:rsid w:val="45336656"/>
    <w:rsid w:val="45486C62"/>
    <w:rsid w:val="4557076C"/>
    <w:rsid w:val="455B0F41"/>
    <w:rsid w:val="455F6E02"/>
    <w:rsid w:val="4573481C"/>
    <w:rsid w:val="457E1C8E"/>
    <w:rsid w:val="458D2D26"/>
    <w:rsid w:val="45932BBA"/>
    <w:rsid w:val="459A06B5"/>
    <w:rsid w:val="459A6FF5"/>
    <w:rsid w:val="45A23B84"/>
    <w:rsid w:val="45A46145"/>
    <w:rsid w:val="45A5166F"/>
    <w:rsid w:val="45A532F0"/>
    <w:rsid w:val="45B663A0"/>
    <w:rsid w:val="45C02510"/>
    <w:rsid w:val="45CC4DD9"/>
    <w:rsid w:val="45D67277"/>
    <w:rsid w:val="45DD38D6"/>
    <w:rsid w:val="45DD67C6"/>
    <w:rsid w:val="45F4693D"/>
    <w:rsid w:val="45F73406"/>
    <w:rsid w:val="45F874C5"/>
    <w:rsid w:val="45F97F3B"/>
    <w:rsid w:val="45FF7DAC"/>
    <w:rsid w:val="46064C80"/>
    <w:rsid w:val="461B36A4"/>
    <w:rsid w:val="461E6249"/>
    <w:rsid w:val="462B18FF"/>
    <w:rsid w:val="464261B7"/>
    <w:rsid w:val="46444464"/>
    <w:rsid w:val="46504862"/>
    <w:rsid w:val="465D7F93"/>
    <w:rsid w:val="466D7271"/>
    <w:rsid w:val="4672372C"/>
    <w:rsid w:val="467245B8"/>
    <w:rsid w:val="467F587F"/>
    <w:rsid w:val="468E6BCB"/>
    <w:rsid w:val="469B09A0"/>
    <w:rsid w:val="46A73382"/>
    <w:rsid w:val="46B82378"/>
    <w:rsid w:val="46BD708A"/>
    <w:rsid w:val="46BF14D5"/>
    <w:rsid w:val="46CA04E9"/>
    <w:rsid w:val="46CE7CE4"/>
    <w:rsid w:val="46DC216F"/>
    <w:rsid w:val="46E30AE3"/>
    <w:rsid w:val="46E46907"/>
    <w:rsid w:val="46E94051"/>
    <w:rsid w:val="46EA7F2F"/>
    <w:rsid w:val="46F93750"/>
    <w:rsid w:val="47373D29"/>
    <w:rsid w:val="4744563E"/>
    <w:rsid w:val="47476548"/>
    <w:rsid w:val="4754595C"/>
    <w:rsid w:val="47674021"/>
    <w:rsid w:val="478203C9"/>
    <w:rsid w:val="47934CE5"/>
    <w:rsid w:val="47B37FFF"/>
    <w:rsid w:val="47D0394B"/>
    <w:rsid w:val="47D07A15"/>
    <w:rsid w:val="47D33BBD"/>
    <w:rsid w:val="47E11369"/>
    <w:rsid w:val="47E42752"/>
    <w:rsid w:val="47EE67EC"/>
    <w:rsid w:val="47F647D6"/>
    <w:rsid w:val="48202DAC"/>
    <w:rsid w:val="48277BC4"/>
    <w:rsid w:val="482962AA"/>
    <w:rsid w:val="48325A8C"/>
    <w:rsid w:val="483E33F6"/>
    <w:rsid w:val="48457145"/>
    <w:rsid w:val="485855B7"/>
    <w:rsid w:val="48587352"/>
    <w:rsid w:val="48656061"/>
    <w:rsid w:val="486E4443"/>
    <w:rsid w:val="487C24BA"/>
    <w:rsid w:val="487D4EB8"/>
    <w:rsid w:val="489113E1"/>
    <w:rsid w:val="4896149E"/>
    <w:rsid w:val="489C63CF"/>
    <w:rsid w:val="489F78B8"/>
    <w:rsid w:val="48B06FCE"/>
    <w:rsid w:val="48B45220"/>
    <w:rsid w:val="48BA1600"/>
    <w:rsid w:val="48BF2D22"/>
    <w:rsid w:val="48BF440F"/>
    <w:rsid w:val="48C81442"/>
    <w:rsid w:val="48CA4A48"/>
    <w:rsid w:val="48D70C87"/>
    <w:rsid w:val="48DC196B"/>
    <w:rsid w:val="48DE29AE"/>
    <w:rsid w:val="48E55778"/>
    <w:rsid w:val="48E82AF9"/>
    <w:rsid w:val="48E851A1"/>
    <w:rsid w:val="48EF305D"/>
    <w:rsid w:val="48F41462"/>
    <w:rsid w:val="490377CA"/>
    <w:rsid w:val="490401ED"/>
    <w:rsid w:val="490D0EAA"/>
    <w:rsid w:val="491A5327"/>
    <w:rsid w:val="492257DE"/>
    <w:rsid w:val="49252B13"/>
    <w:rsid w:val="492D512E"/>
    <w:rsid w:val="493812B0"/>
    <w:rsid w:val="49452924"/>
    <w:rsid w:val="494B2CA6"/>
    <w:rsid w:val="49556B94"/>
    <w:rsid w:val="495F147D"/>
    <w:rsid w:val="496A6AF2"/>
    <w:rsid w:val="496B5310"/>
    <w:rsid w:val="496D65E8"/>
    <w:rsid w:val="496E4BAD"/>
    <w:rsid w:val="49720797"/>
    <w:rsid w:val="4980685E"/>
    <w:rsid w:val="49913F5C"/>
    <w:rsid w:val="49991847"/>
    <w:rsid w:val="499B4A26"/>
    <w:rsid w:val="49A6242B"/>
    <w:rsid w:val="49AF4DCA"/>
    <w:rsid w:val="49B11B38"/>
    <w:rsid w:val="49B25D57"/>
    <w:rsid w:val="49CF4A62"/>
    <w:rsid w:val="49DD4222"/>
    <w:rsid w:val="49DE49C6"/>
    <w:rsid w:val="49E06DFD"/>
    <w:rsid w:val="49E14F29"/>
    <w:rsid w:val="49F52473"/>
    <w:rsid w:val="4A0161C7"/>
    <w:rsid w:val="4A076FCF"/>
    <w:rsid w:val="4A0A2EDD"/>
    <w:rsid w:val="4A1449EF"/>
    <w:rsid w:val="4A173AC6"/>
    <w:rsid w:val="4A2E078E"/>
    <w:rsid w:val="4A2E5780"/>
    <w:rsid w:val="4A2F7C68"/>
    <w:rsid w:val="4A456EE5"/>
    <w:rsid w:val="4A457318"/>
    <w:rsid w:val="4A492BB8"/>
    <w:rsid w:val="4A496EE9"/>
    <w:rsid w:val="4A4D1EA5"/>
    <w:rsid w:val="4A5210D1"/>
    <w:rsid w:val="4A6C4793"/>
    <w:rsid w:val="4A6F0787"/>
    <w:rsid w:val="4A712E97"/>
    <w:rsid w:val="4A83348A"/>
    <w:rsid w:val="4A8F7946"/>
    <w:rsid w:val="4AA2655D"/>
    <w:rsid w:val="4AAD4586"/>
    <w:rsid w:val="4AAF3BE2"/>
    <w:rsid w:val="4ACC3A1D"/>
    <w:rsid w:val="4AD27AC1"/>
    <w:rsid w:val="4ADB2EFA"/>
    <w:rsid w:val="4AE74326"/>
    <w:rsid w:val="4AF1039F"/>
    <w:rsid w:val="4B052F88"/>
    <w:rsid w:val="4B06572D"/>
    <w:rsid w:val="4B08089A"/>
    <w:rsid w:val="4B14270C"/>
    <w:rsid w:val="4B2408C4"/>
    <w:rsid w:val="4B2A783A"/>
    <w:rsid w:val="4B31130F"/>
    <w:rsid w:val="4B6447CB"/>
    <w:rsid w:val="4B665F9A"/>
    <w:rsid w:val="4B666542"/>
    <w:rsid w:val="4B6863AF"/>
    <w:rsid w:val="4B686AD6"/>
    <w:rsid w:val="4B6928AA"/>
    <w:rsid w:val="4B740AD9"/>
    <w:rsid w:val="4B92671E"/>
    <w:rsid w:val="4B9E1E38"/>
    <w:rsid w:val="4B9E5BD3"/>
    <w:rsid w:val="4BB34852"/>
    <w:rsid w:val="4BBC17D5"/>
    <w:rsid w:val="4BBC45BC"/>
    <w:rsid w:val="4BCD6D97"/>
    <w:rsid w:val="4BD10920"/>
    <w:rsid w:val="4BD46E42"/>
    <w:rsid w:val="4BEB1EBF"/>
    <w:rsid w:val="4BEE3FF9"/>
    <w:rsid w:val="4BF1378C"/>
    <w:rsid w:val="4BF76E94"/>
    <w:rsid w:val="4BFB5408"/>
    <w:rsid w:val="4C0C6150"/>
    <w:rsid w:val="4C0E4A06"/>
    <w:rsid w:val="4C0E508B"/>
    <w:rsid w:val="4C0F518E"/>
    <w:rsid w:val="4C115BD4"/>
    <w:rsid w:val="4C127EB6"/>
    <w:rsid w:val="4C29741B"/>
    <w:rsid w:val="4C2B3585"/>
    <w:rsid w:val="4C2B6B6E"/>
    <w:rsid w:val="4C3B3D22"/>
    <w:rsid w:val="4C3C6FF9"/>
    <w:rsid w:val="4C475E4A"/>
    <w:rsid w:val="4C515F9E"/>
    <w:rsid w:val="4C5224D4"/>
    <w:rsid w:val="4C593718"/>
    <w:rsid w:val="4C6404D1"/>
    <w:rsid w:val="4C652C15"/>
    <w:rsid w:val="4C6614CB"/>
    <w:rsid w:val="4C6836A4"/>
    <w:rsid w:val="4C791223"/>
    <w:rsid w:val="4C84536B"/>
    <w:rsid w:val="4C8E74BB"/>
    <w:rsid w:val="4CAD5889"/>
    <w:rsid w:val="4CBD51A6"/>
    <w:rsid w:val="4CC52A8F"/>
    <w:rsid w:val="4CC862E5"/>
    <w:rsid w:val="4CD746C5"/>
    <w:rsid w:val="4CE04CBB"/>
    <w:rsid w:val="4CEE451C"/>
    <w:rsid w:val="4CFB2FB0"/>
    <w:rsid w:val="4CFE5237"/>
    <w:rsid w:val="4D0A417D"/>
    <w:rsid w:val="4D0A626C"/>
    <w:rsid w:val="4D0B4555"/>
    <w:rsid w:val="4D1677EF"/>
    <w:rsid w:val="4D201484"/>
    <w:rsid w:val="4D257A52"/>
    <w:rsid w:val="4D2E6E58"/>
    <w:rsid w:val="4D542349"/>
    <w:rsid w:val="4D5C0C1C"/>
    <w:rsid w:val="4D7A062B"/>
    <w:rsid w:val="4D7A5D9B"/>
    <w:rsid w:val="4D7D5DCF"/>
    <w:rsid w:val="4DB438DB"/>
    <w:rsid w:val="4DC35161"/>
    <w:rsid w:val="4DC424EB"/>
    <w:rsid w:val="4DEA498B"/>
    <w:rsid w:val="4DED47C2"/>
    <w:rsid w:val="4DF02536"/>
    <w:rsid w:val="4DF24024"/>
    <w:rsid w:val="4E171A86"/>
    <w:rsid w:val="4E205672"/>
    <w:rsid w:val="4E2070B8"/>
    <w:rsid w:val="4E376DDB"/>
    <w:rsid w:val="4E455FCC"/>
    <w:rsid w:val="4E46745C"/>
    <w:rsid w:val="4E47640B"/>
    <w:rsid w:val="4E493E7F"/>
    <w:rsid w:val="4E4A3752"/>
    <w:rsid w:val="4E550948"/>
    <w:rsid w:val="4E561156"/>
    <w:rsid w:val="4E562FA9"/>
    <w:rsid w:val="4E571C5E"/>
    <w:rsid w:val="4E6B2715"/>
    <w:rsid w:val="4E7C4335"/>
    <w:rsid w:val="4E7D3BAE"/>
    <w:rsid w:val="4E802BA4"/>
    <w:rsid w:val="4E886502"/>
    <w:rsid w:val="4E8B304B"/>
    <w:rsid w:val="4E8B51FF"/>
    <w:rsid w:val="4E937731"/>
    <w:rsid w:val="4E9C6EF3"/>
    <w:rsid w:val="4EAF1FDB"/>
    <w:rsid w:val="4EC3129B"/>
    <w:rsid w:val="4EE14BEA"/>
    <w:rsid w:val="4EE40F6B"/>
    <w:rsid w:val="4EF962A0"/>
    <w:rsid w:val="4F01318A"/>
    <w:rsid w:val="4F037E21"/>
    <w:rsid w:val="4F1762F1"/>
    <w:rsid w:val="4F1A1A92"/>
    <w:rsid w:val="4F2219FC"/>
    <w:rsid w:val="4F245703"/>
    <w:rsid w:val="4F2852FD"/>
    <w:rsid w:val="4F2912B5"/>
    <w:rsid w:val="4F3A32D3"/>
    <w:rsid w:val="4F507B68"/>
    <w:rsid w:val="4F540DD2"/>
    <w:rsid w:val="4F591879"/>
    <w:rsid w:val="4F63632D"/>
    <w:rsid w:val="4F81030A"/>
    <w:rsid w:val="4F8C16C7"/>
    <w:rsid w:val="4FBA376A"/>
    <w:rsid w:val="4FC475D3"/>
    <w:rsid w:val="4FC62C4F"/>
    <w:rsid w:val="4FD54E0C"/>
    <w:rsid w:val="4FD61931"/>
    <w:rsid w:val="4FE35B12"/>
    <w:rsid w:val="4FEC26BC"/>
    <w:rsid w:val="4FF67F68"/>
    <w:rsid w:val="501C0FA3"/>
    <w:rsid w:val="501C7462"/>
    <w:rsid w:val="501D5EFA"/>
    <w:rsid w:val="50274BC3"/>
    <w:rsid w:val="50283A26"/>
    <w:rsid w:val="502D2E3F"/>
    <w:rsid w:val="503C7A34"/>
    <w:rsid w:val="50404E6D"/>
    <w:rsid w:val="50475110"/>
    <w:rsid w:val="504D033D"/>
    <w:rsid w:val="50511C1A"/>
    <w:rsid w:val="50553E57"/>
    <w:rsid w:val="5069060D"/>
    <w:rsid w:val="50697898"/>
    <w:rsid w:val="50777DB2"/>
    <w:rsid w:val="5080111F"/>
    <w:rsid w:val="50835CFB"/>
    <w:rsid w:val="508366C9"/>
    <w:rsid w:val="50A02D72"/>
    <w:rsid w:val="50A26A7E"/>
    <w:rsid w:val="50A4197E"/>
    <w:rsid w:val="50B355F7"/>
    <w:rsid w:val="50C00DAC"/>
    <w:rsid w:val="50E4330D"/>
    <w:rsid w:val="512727F3"/>
    <w:rsid w:val="513031CF"/>
    <w:rsid w:val="513672A1"/>
    <w:rsid w:val="51385E11"/>
    <w:rsid w:val="51584CCF"/>
    <w:rsid w:val="515B7CA7"/>
    <w:rsid w:val="515F601A"/>
    <w:rsid w:val="51642270"/>
    <w:rsid w:val="516C731F"/>
    <w:rsid w:val="51834313"/>
    <w:rsid w:val="518B245B"/>
    <w:rsid w:val="518F5549"/>
    <w:rsid w:val="519B3915"/>
    <w:rsid w:val="51A96581"/>
    <w:rsid w:val="51AB21E2"/>
    <w:rsid w:val="51B41708"/>
    <w:rsid w:val="51C63E62"/>
    <w:rsid w:val="51CC5807"/>
    <w:rsid w:val="51D353BD"/>
    <w:rsid w:val="51D47D52"/>
    <w:rsid w:val="51DB4DE6"/>
    <w:rsid w:val="51F6370C"/>
    <w:rsid w:val="520917CD"/>
    <w:rsid w:val="520A73C0"/>
    <w:rsid w:val="521419C0"/>
    <w:rsid w:val="52155609"/>
    <w:rsid w:val="52175075"/>
    <w:rsid w:val="521826D1"/>
    <w:rsid w:val="521B7C24"/>
    <w:rsid w:val="522A2314"/>
    <w:rsid w:val="523B2BB3"/>
    <w:rsid w:val="525274F8"/>
    <w:rsid w:val="5255304D"/>
    <w:rsid w:val="52590295"/>
    <w:rsid w:val="525D6138"/>
    <w:rsid w:val="525F51BC"/>
    <w:rsid w:val="52661996"/>
    <w:rsid w:val="529C1157"/>
    <w:rsid w:val="52A2327A"/>
    <w:rsid w:val="52B1212F"/>
    <w:rsid w:val="52B3646A"/>
    <w:rsid w:val="52B85283"/>
    <w:rsid w:val="52D0425C"/>
    <w:rsid w:val="52D75F8D"/>
    <w:rsid w:val="52DB2C92"/>
    <w:rsid w:val="52F32AB0"/>
    <w:rsid w:val="52F9788E"/>
    <w:rsid w:val="52FE67C0"/>
    <w:rsid w:val="53086654"/>
    <w:rsid w:val="532304CC"/>
    <w:rsid w:val="532662DF"/>
    <w:rsid w:val="53370F8D"/>
    <w:rsid w:val="5337715E"/>
    <w:rsid w:val="53476BD3"/>
    <w:rsid w:val="534F296A"/>
    <w:rsid w:val="535A5AF9"/>
    <w:rsid w:val="535D173B"/>
    <w:rsid w:val="53767008"/>
    <w:rsid w:val="537E2AEA"/>
    <w:rsid w:val="539A2FE2"/>
    <w:rsid w:val="539A6CD1"/>
    <w:rsid w:val="53B36CD6"/>
    <w:rsid w:val="53B66A78"/>
    <w:rsid w:val="53BB319E"/>
    <w:rsid w:val="53C0029A"/>
    <w:rsid w:val="53C25F09"/>
    <w:rsid w:val="53C62CD5"/>
    <w:rsid w:val="53C63D49"/>
    <w:rsid w:val="53C954CA"/>
    <w:rsid w:val="53CF3D63"/>
    <w:rsid w:val="53E47EE9"/>
    <w:rsid w:val="53F70E58"/>
    <w:rsid w:val="540E41E9"/>
    <w:rsid w:val="5417756C"/>
    <w:rsid w:val="542538BB"/>
    <w:rsid w:val="542B38C7"/>
    <w:rsid w:val="54335809"/>
    <w:rsid w:val="543D7FDB"/>
    <w:rsid w:val="545727FA"/>
    <w:rsid w:val="54605493"/>
    <w:rsid w:val="54611C3E"/>
    <w:rsid w:val="54652D0C"/>
    <w:rsid w:val="54710E9F"/>
    <w:rsid w:val="5475287C"/>
    <w:rsid w:val="547B1A46"/>
    <w:rsid w:val="54846169"/>
    <w:rsid w:val="548B0286"/>
    <w:rsid w:val="549E1341"/>
    <w:rsid w:val="54B47F54"/>
    <w:rsid w:val="54BB121E"/>
    <w:rsid w:val="54C36358"/>
    <w:rsid w:val="54D91B61"/>
    <w:rsid w:val="54F7509B"/>
    <w:rsid w:val="54FD4D64"/>
    <w:rsid w:val="55005B19"/>
    <w:rsid w:val="55015C8D"/>
    <w:rsid w:val="550834C4"/>
    <w:rsid w:val="552A2289"/>
    <w:rsid w:val="553904EB"/>
    <w:rsid w:val="55393488"/>
    <w:rsid w:val="553F38E7"/>
    <w:rsid w:val="55473D2F"/>
    <w:rsid w:val="55555583"/>
    <w:rsid w:val="55687054"/>
    <w:rsid w:val="55705F68"/>
    <w:rsid w:val="557D7793"/>
    <w:rsid w:val="55806B13"/>
    <w:rsid w:val="55830887"/>
    <w:rsid w:val="55867261"/>
    <w:rsid w:val="558A322B"/>
    <w:rsid w:val="55AF62D2"/>
    <w:rsid w:val="55B774E7"/>
    <w:rsid w:val="55D15DCD"/>
    <w:rsid w:val="55D35663"/>
    <w:rsid w:val="55D511ED"/>
    <w:rsid w:val="55DC4006"/>
    <w:rsid w:val="55E653B2"/>
    <w:rsid w:val="55F73ED3"/>
    <w:rsid w:val="55F90A95"/>
    <w:rsid w:val="55FB23DD"/>
    <w:rsid w:val="56043973"/>
    <w:rsid w:val="560D224C"/>
    <w:rsid w:val="56122523"/>
    <w:rsid w:val="56236D85"/>
    <w:rsid w:val="56257B6E"/>
    <w:rsid w:val="563A4C2B"/>
    <w:rsid w:val="563E7B58"/>
    <w:rsid w:val="5644757B"/>
    <w:rsid w:val="56502E80"/>
    <w:rsid w:val="565118D6"/>
    <w:rsid w:val="565D7CDE"/>
    <w:rsid w:val="5669680A"/>
    <w:rsid w:val="56AE563A"/>
    <w:rsid w:val="56AF666B"/>
    <w:rsid w:val="56BD0D03"/>
    <w:rsid w:val="56BE5C88"/>
    <w:rsid w:val="56CD16C3"/>
    <w:rsid w:val="56D33D2B"/>
    <w:rsid w:val="56E012EF"/>
    <w:rsid w:val="56E5716C"/>
    <w:rsid w:val="56E97F1D"/>
    <w:rsid w:val="56EE7899"/>
    <w:rsid w:val="56F02799"/>
    <w:rsid w:val="570D0BAA"/>
    <w:rsid w:val="57167F75"/>
    <w:rsid w:val="572C67CC"/>
    <w:rsid w:val="57427439"/>
    <w:rsid w:val="574E74B0"/>
    <w:rsid w:val="574F29A3"/>
    <w:rsid w:val="57527B0E"/>
    <w:rsid w:val="576C066D"/>
    <w:rsid w:val="577425C1"/>
    <w:rsid w:val="57784A60"/>
    <w:rsid w:val="578B06F6"/>
    <w:rsid w:val="579426CA"/>
    <w:rsid w:val="57961320"/>
    <w:rsid w:val="579F3C1A"/>
    <w:rsid w:val="57A11BEF"/>
    <w:rsid w:val="57A94C7D"/>
    <w:rsid w:val="57AB17C2"/>
    <w:rsid w:val="57AE68D1"/>
    <w:rsid w:val="57B6040B"/>
    <w:rsid w:val="57C01DDE"/>
    <w:rsid w:val="57C2761B"/>
    <w:rsid w:val="58040983"/>
    <w:rsid w:val="581341F6"/>
    <w:rsid w:val="582F6A99"/>
    <w:rsid w:val="583D3FAD"/>
    <w:rsid w:val="58457FEF"/>
    <w:rsid w:val="58494B4F"/>
    <w:rsid w:val="58576680"/>
    <w:rsid w:val="586C4F3C"/>
    <w:rsid w:val="586F621D"/>
    <w:rsid w:val="58821B86"/>
    <w:rsid w:val="5893112B"/>
    <w:rsid w:val="58AF27A8"/>
    <w:rsid w:val="58AF6F83"/>
    <w:rsid w:val="58B111B2"/>
    <w:rsid w:val="58BC1F9E"/>
    <w:rsid w:val="58C547BE"/>
    <w:rsid w:val="58C93687"/>
    <w:rsid w:val="58CB5D9C"/>
    <w:rsid w:val="58D30A66"/>
    <w:rsid w:val="58DE3959"/>
    <w:rsid w:val="58DF4A9E"/>
    <w:rsid w:val="58E65A7C"/>
    <w:rsid w:val="58E82A2A"/>
    <w:rsid w:val="58F62ED2"/>
    <w:rsid w:val="591D56BB"/>
    <w:rsid w:val="591D596F"/>
    <w:rsid w:val="592F2AB9"/>
    <w:rsid w:val="59422C54"/>
    <w:rsid w:val="596246E7"/>
    <w:rsid w:val="59685C1B"/>
    <w:rsid w:val="59694F70"/>
    <w:rsid w:val="596B1D21"/>
    <w:rsid w:val="599B5537"/>
    <w:rsid w:val="599D4EFD"/>
    <w:rsid w:val="59A14B71"/>
    <w:rsid w:val="59AA3B05"/>
    <w:rsid w:val="59B73FC7"/>
    <w:rsid w:val="59BE6AAD"/>
    <w:rsid w:val="59C3750D"/>
    <w:rsid w:val="59CF36EB"/>
    <w:rsid w:val="59D25F38"/>
    <w:rsid w:val="59D674C8"/>
    <w:rsid w:val="59EB36D2"/>
    <w:rsid w:val="59F03A8B"/>
    <w:rsid w:val="59F24FFA"/>
    <w:rsid w:val="59F254E3"/>
    <w:rsid w:val="59FC6EE6"/>
    <w:rsid w:val="5A17330B"/>
    <w:rsid w:val="5A1A4F94"/>
    <w:rsid w:val="5A1C2837"/>
    <w:rsid w:val="5A2A30E3"/>
    <w:rsid w:val="5A2B726A"/>
    <w:rsid w:val="5A33554E"/>
    <w:rsid w:val="5A581AF3"/>
    <w:rsid w:val="5A5859A4"/>
    <w:rsid w:val="5A5F65F7"/>
    <w:rsid w:val="5A686DAD"/>
    <w:rsid w:val="5A6C7965"/>
    <w:rsid w:val="5A772001"/>
    <w:rsid w:val="5A8D0EDE"/>
    <w:rsid w:val="5AA334E3"/>
    <w:rsid w:val="5AA55040"/>
    <w:rsid w:val="5AB007E1"/>
    <w:rsid w:val="5AC743ED"/>
    <w:rsid w:val="5AC97198"/>
    <w:rsid w:val="5ACE54E3"/>
    <w:rsid w:val="5AD17E71"/>
    <w:rsid w:val="5AD43399"/>
    <w:rsid w:val="5AE33505"/>
    <w:rsid w:val="5AE6588C"/>
    <w:rsid w:val="5AE70565"/>
    <w:rsid w:val="5AEC199B"/>
    <w:rsid w:val="5AF15DD6"/>
    <w:rsid w:val="5AF74D62"/>
    <w:rsid w:val="5AFD7A38"/>
    <w:rsid w:val="5B191847"/>
    <w:rsid w:val="5B1E0114"/>
    <w:rsid w:val="5B294BF8"/>
    <w:rsid w:val="5B3C7848"/>
    <w:rsid w:val="5B40631C"/>
    <w:rsid w:val="5B447F69"/>
    <w:rsid w:val="5B4D0F1C"/>
    <w:rsid w:val="5B5A6EDF"/>
    <w:rsid w:val="5B6A17F7"/>
    <w:rsid w:val="5B6C5293"/>
    <w:rsid w:val="5B7770FC"/>
    <w:rsid w:val="5B8728D5"/>
    <w:rsid w:val="5BAB7355"/>
    <w:rsid w:val="5BBF22A8"/>
    <w:rsid w:val="5BDB239D"/>
    <w:rsid w:val="5BDE2FB3"/>
    <w:rsid w:val="5BF66178"/>
    <w:rsid w:val="5BFE683C"/>
    <w:rsid w:val="5C055047"/>
    <w:rsid w:val="5C067A76"/>
    <w:rsid w:val="5C113FC8"/>
    <w:rsid w:val="5C237C77"/>
    <w:rsid w:val="5C2A5A27"/>
    <w:rsid w:val="5C32047C"/>
    <w:rsid w:val="5C3C03DB"/>
    <w:rsid w:val="5C400F36"/>
    <w:rsid w:val="5C572564"/>
    <w:rsid w:val="5C627ECC"/>
    <w:rsid w:val="5C735EB5"/>
    <w:rsid w:val="5C76729D"/>
    <w:rsid w:val="5C8554A4"/>
    <w:rsid w:val="5C864EEC"/>
    <w:rsid w:val="5C886745"/>
    <w:rsid w:val="5CB92206"/>
    <w:rsid w:val="5CB97816"/>
    <w:rsid w:val="5CBC7FDE"/>
    <w:rsid w:val="5CD562BD"/>
    <w:rsid w:val="5CD90629"/>
    <w:rsid w:val="5CE64634"/>
    <w:rsid w:val="5CF4159E"/>
    <w:rsid w:val="5D073D6F"/>
    <w:rsid w:val="5D19286F"/>
    <w:rsid w:val="5D1C68F1"/>
    <w:rsid w:val="5D321881"/>
    <w:rsid w:val="5D342670"/>
    <w:rsid w:val="5D384F6F"/>
    <w:rsid w:val="5D403B56"/>
    <w:rsid w:val="5D442126"/>
    <w:rsid w:val="5D52472C"/>
    <w:rsid w:val="5D542CF4"/>
    <w:rsid w:val="5D5B3919"/>
    <w:rsid w:val="5D5D243B"/>
    <w:rsid w:val="5D796363"/>
    <w:rsid w:val="5D853FD5"/>
    <w:rsid w:val="5D897B3E"/>
    <w:rsid w:val="5D8F0904"/>
    <w:rsid w:val="5D913EBB"/>
    <w:rsid w:val="5D9576AA"/>
    <w:rsid w:val="5DA42B54"/>
    <w:rsid w:val="5DA74B3E"/>
    <w:rsid w:val="5DC86EB7"/>
    <w:rsid w:val="5DCB2C02"/>
    <w:rsid w:val="5DCF6A83"/>
    <w:rsid w:val="5DD27BD2"/>
    <w:rsid w:val="5DE3234E"/>
    <w:rsid w:val="5DE96877"/>
    <w:rsid w:val="5DED01B2"/>
    <w:rsid w:val="5DF63F66"/>
    <w:rsid w:val="5DF85203"/>
    <w:rsid w:val="5E1E3C39"/>
    <w:rsid w:val="5E246ECB"/>
    <w:rsid w:val="5E3653D4"/>
    <w:rsid w:val="5E3D3F6A"/>
    <w:rsid w:val="5E3F7E94"/>
    <w:rsid w:val="5E505F92"/>
    <w:rsid w:val="5E5D358D"/>
    <w:rsid w:val="5E5E0E00"/>
    <w:rsid w:val="5E5E3228"/>
    <w:rsid w:val="5E776382"/>
    <w:rsid w:val="5E9774C6"/>
    <w:rsid w:val="5E9C2522"/>
    <w:rsid w:val="5EA53012"/>
    <w:rsid w:val="5EA65C75"/>
    <w:rsid w:val="5EB11EE6"/>
    <w:rsid w:val="5EBA7E6C"/>
    <w:rsid w:val="5EBE0709"/>
    <w:rsid w:val="5EC31C03"/>
    <w:rsid w:val="5EC62ED5"/>
    <w:rsid w:val="5EC6783F"/>
    <w:rsid w:val="5ED335D9"/>
    <w:rsid w:val="5ED65D1F"/>
    <w:rsid w:val="5EDB53EF"/>
    <w:rsid w:val="5EDC5A90"/>
    <w:rsid w:val="5EDD604E"/>
    <w:rsid w:val="5EE73FD2"/>
    <w:rsid w:val="5EE8709E"/>
    <w:rsid w:val="5EF56D81"/>
    <w:rsid w:val="5EFE033F"/>
    <w:rsid w:val="5F077D2A"/>
    <w:rsid w:val="5F0D3285"/>
    <w:rsid w:val="5F1560B2"/>
    <w:rsid w:val="5F235E5A"/>
    <w:rsid w:val="5F240A89"/>
    <w:rsid w:val="5F247558"/>
    <w:rsid w:val="5F25490C"/>
    <w:rsid w:val="5F2A6F7F"/>
    <w:rsid w:val="5F2F01D2"/>
    <w:rsid w:val="5F3053B2"/>
    <w:rsid w:val="5F337089"/>
    <w:rsid w:val="5F387814"/>
    <w:rsid w:val="5F391572"/>
    <w:rsid w:val="5F3D0516"/>
    <w:rsid w:val="5F412C18"/>
    <w:rsid w:val="5F586C6E"/>
    <w:rsid w:val="5F6B67BF"/>
    <w:rsid w:val="5F765EE0"/>
    <w:rsid w:val="5F84421B"/>
    <w:rsid w:val="5F8D49C3"/>
    <w:rsid w:val="5F901709"/>
    <w:rsid w:val="5F910F74"/>
    <w:rsid w:val="5F9735D7"/>
    <w:rsid w:val="5F983A94"/>
    <w:rsid w:val="5F992E9A"/>
    <w:rsid w:val="5F9D67C4"/>
    <w:rsid w:val="5FA12C09"/>
    <w:rsid w:val="5FAB3CB0"/>
    <w:rsid w:val="5FB4763B"/>
    <w:rsid w:val="5FC12411"/>
    <w:rsid w:val="5FCB5D97"/>
    <w:rsid w:val="5FD25039"/>
    <w:rsid w:val="5FD41597"/>
    <w:rsid w:val="5FD566BE"/>
    <w:rsid w:val="5FFA6987"/>
    <w:rsid w:val="601713A8"/>
    <w:rsid w:val="601F6B0E"/>
    <w:rsid w:val="603736BC"/>
    <w:rsid w:val="60384B4C"/>
    <w:rsid w:val="604346C1"/>
    <w:rsid w:val="605D1AC4"/>
    <w:rsid w:val="60646CB2"/>
    <w:rsid w:val="6067235C"/>
    <w:rsid w:val="60754216"/>
    <w:rsid w:val="60777D63"/>
    <w:rsid w:val="608951AF"/>
    <w:rsid w:val="60981F1D"/>
    <w:rsid w:val="60A372C2"/>
    <w:rsid w:val="60A41A02"/>
    <w:rsid w:val="60A94E0D"/>
    <w:rsid w:val="60B945DB"/>
    <w:rsid w:val="60E72CE6"/>
    <w:rsid w:val="60EA2091"/>
    <w:rsid w:val="60F56090"/>
    <w:rsid w:val="60F667CB"/>
    <w:rsid w:val="610D1422"/>
    <w:rsid w:val="612135E6"/>
    <w:rsid w:val="61331AF9"/>
    <w:rsid w:val="613E00C0"/>
    <w:rsid w:val="614920CC"/>
    <w:rsid w:val="61497537"/>
    <w:rsid w:val="61504A43"/>
    <w:rsid w:val="61546C93"/>
    <w:rsid w:val="615A449B"/>
    <w:rsid w:val="6168496E"/>
    <w:rsid w:val="617A74DF"/>
    <w:rsid w:val="61826E9E"/>
    <w:rsid w:val="61855259"/>
    <w:rsid w:val="6196122D"/>
    <w:rsid w:val="61BE5F73"/>
    <w:rsid w:val="61E832A0"/>
    <w:rsid w:val="61F3564F"/>
    <w:rsid w:val="61F54B44"/>
    <w:rsid w:val="61F82720"/>
    <w:rsid w:val="62143E47"/>
    <w:rsid w:val="62161C09"/>
    <w:rsid w:val="6225295D"/>
    <w:rsid w:val="623578FB"/>
    <w:rsid w:val="62402333"/>
    <w:rsid w:val="62413D59"/>
    <w:rsid w:val="62416F0C"/>
    <w:rsid w:val="62471140"/>
    <w:rsid w:val="625D1EBF"/>
    <w:rsid w:val="626B2FCF"/>
    <w:rsid w:val="626F6FC2"/>
    <w:rsid w:val="6287580E"/>
    <w:rsid w:val="629406F2"/>
    <w:rsid w:val="62AB1380"/>
    <w:rsid w:val="62C96E64"/>
    <w:rsid w:val="62D3676C"/>
    <w:rsid w:val="62F27D90"/>
    <w:rsid w:val="62F322BF"/>
    <w:rsid w:val="630B12C8"/>
    <w:rsid w:val="63172359"/>
    <w:rsid w:val="632D4E67"/>
    <w:rsid w:val="632D7378"/>
    <w:rsid w:val="63377E7D"/>
    <w:rsid w:val="633F79CA"/>
    <w:rsid w:val="634E2BE2"/>
    <w:rsid w:val="63715911"/>
    <w:rsid w:val="6376457D"/>
    <w:rsid w:val="6385749B"/>
    <w:rsid w:val="638C0A4E"/>
    <w:rsid w:val="63976609"/>
    <w:rsid w:val="63CB4FC4"/>
    <w:rsid w:val="63CB5380"/>
    <w:rsid w:val="63D5137D"/>
    <w:rsid w:val="63DA5B29"/>
    <w:rsid w:val="63DB0619"/>
    <w:rsid w:val="63FA1AA6"/>
    <w:rsid w:val="64176423"/>
    <w:rsid w:val="6426327A"/>
    <w:rsid w:val="643355FB"/>
    <w:rsid w:val="64641BE9"/>
    <w:rsid w:val="6467298F"/>
    <w:rsid w:val="64677C9F"/>
    <w:rsid w:val="64715F80"/>
    <w:rsid w:val="647944E8"/>
    <w:rsid w:val="647D4D92"/>
    <w:rsid w:val="64815CD5"/>
    <w:rsid w:val="648D35F5"/>
    <w:rsid w:val="64917ACE"/>
    <w:rsid w:val="649509E3"/>
    <w:rsid w:val="6496438C"/>
    <w:rsid w:val="64A855B9"/>
    <w:rsid w:val="64B06B2F"/>
    <w:rsid w:val="64B66393"/>
    <w:rsid w:val="64BA101C"/>
    <w:rsid w:val="64C7203F"/>
    <w:rsid w:val="64D81C9D"/>
    <w:rsid w:val="64E5031E"/>
    <w:rsid w:val="64E81030"/>
    <w:rsid w:val="64ED5669"/>
    <w:rsid w:val="64EF2C91"/>
    <w:rsid w:val="6509693B"/>
    <w:rsid w:val="651A0FBD"/>
    <w:rsid w:val="652B6AAE"/>
    <w:rsid w:val="652F39D0"/>
    <w:rsid w:val="65383A8C"/>
    <w:rsid w:val="653A6BB0"/>
    <w:rsid w:val="65407A37"/>
    <w:rsid w:val="65534645"/>
    <w:rsid w:val="65540070"/>
    <w:rsid w:val="655A60C5"/>
    <w:rsid w:val="655F0FFE"/>
    <w:rsid w:val="656612D8"/>
    <w:rsid w:val="6566306F"/>
    <w:rsid w:val="657A423B"/>
    <w:rsid w:val="6583260E"/>
    <w:rsid w:val="65841C9C"/>
    <w:rsid w:val="65933D3A"/>
    <w:rsid w:val="659752FE"/>
    <w:rsid w:val="65AC0BDB"/>
    <w:rsid w:val="65B032D5"/>
    <w:rsid w:val="65B81D8D"/>
    <w:rsid w:val="65BF5AF8"/>
    <w:rsid w:val="65C10C6A"/>
    <w:rsid w:val="65C645D7"/>
    <w:rsid w:val="65CC511D"/>
    <w:rsid w:val="65D41AC4"/>
    <w:rsid w:val="65D627D2"/>
    <w:rsid w:val="65F455D6"/>
    <w:rsid w:val="66020341"/>
    <w:rsid w:val="66165FF9"/>
    <w:rsid w:val="661F2510"/>
    <w:rsid w:val="662D3F90"/>
    <w:rsid w:val="66300E79"/>
    <w:rsid w:val="66406226"/>
    <w:rsid w:val="66411185"/>
    <w:rsid w:val="66437C89"/>
    <w:rsid w:val="66442D32"/>
    <w:rsid w:val="664435A5"/>
    <w:rsid w:val="66466646"/>
    <w:rsid w:val="664B13FC"/>
    <w:rsid w:val="664F3323"/>
    <w:rsid w:val="665603D7"/>
    <w:rsid w:val="665614A4"/>
    <w:rsid w:val="66643C9E"/>
    <w:rsid w:val="66776AAD"/>
    <w:rsid w:val="667965AC"/>
    <w:rsid w:val="667C42E3"/>
    <w:rsid w:val="668029C3"/>
    <w:rsid w:val="669B2C94"/>
    <w:rsid w:val="66A3585E"/>
    <w:rsid w:val="66B53B12"/>
    <w:rsid w:val="66BD1198"/>
    <w:rsid w:val="66ED2795"/>
    <w:rsid w:val="66EF15E2"/>
    <w:rsid w:val="66F03351"/>
    <w:rsid w:val="66F37278"/>
    <w:rsid w:val="66F45975"/>
    <w:rsid w:val="66F47EB2"/>
    <w:rsid w:val="67037A44"/>
    <w:rsid w:val="67117023"/>
    <w:rsid w:val="67197D9C"/>
    <w:rsid w:val="67281A23"/>
    <w:rsid w:val="6732120A"/>
    <w:rsid w:val="674D5F3A"/>
    <w:rsid w:val="675E5633"/>
    <w:rsid w:val="676215A7"/>
    <w:rsid w:val="67623EF4"/>
    <w:rsid w:val="67711FFD"/>
    <w:rsid w:val="677924FC"/>
    <w:rsid w:val="67804735"/>
    <w:rsid w:val="67847F03"/>
    <w:rsid w:val="678772CC"/>
    <w:rsid w:val="678A6DF5"/>
    <w:rsid w:val="678D6DF2"/>
    <w:rsid w:val="678E3EA9"/>
    <w:rsid w:val="67932C15"/>
    <w:rsid w:val="67942FD5"/>
    <w:rsid w:val="67A57B88"/>
    <w:rsid w:val="67AC485A"/>
    <w:rsid w:val="67B0503B"/>
    <w:rsid w:val="67BE7E92"/>
    <w:rsid w:val="67C215D3"/>
    <w:rsid w:val="67C31C91"/>
    <w:rsid w:val="67ED3B1D"/>
    <w:rsid w:val="67EE6BCA"/>
    <w:rsid w:val="67F85C77"/>
    <w:rsid w:val="67FB78E2"/>
    <w:rsid w:val="680227E3"/>
    <w:rsid w:val="680433AA"/>
    <w:rsid w:val="68051434"/>
    <w:rsid w:val="680B7FA8"/>
    <w:rsid w:val="680C49D0"/>
    <w:rsid w:val="68185D4F"/>
    <w:rsid w:val="68194E8A"/>
    <w:rsid w:val="681D5FFC"/>
    <w:rsid w:val="6821635F"/>
    <w:rsid w:val="683066A1"/>
    <w:rsid w:val="68353B53"/>
    <w:rsid w:val="684B5985"/>
    <w:rsid w:val="687C6EC1"/>
    <w:rsid w:val="687F0AA9"/>
    <w:rsid w:val="6883426B"/>
    <w:rsid w:val="689B3885"/>
    <w:rsid w:val="68A47D54"/>
    <w:rsid w:val="68A94666"/>
    <w:rsid w:val="68AA33E0"/>
    <w:rsid w:val="68DC01C6"/>
    <w:rsid w:val="68E3188A"/>
    <w:rsid w:val="68E55DBC"/>
    <w:rsid w:val="68F12AFF"/>
    <w:rsid w:val="68FF0B7B"/>
    <w:rsid w:val="690B3E0D"/>
    <w:rsid w:val="69195CC0"/>
    <w:rsid w:val="692F7723"/>
    <w:rsid w:val="69455494"/>
    <w:rsid w:val="695C4CD5"/>
    <w:rsid w:val="69630FEE"/>
    <w:rsid w:val="697609AB"/>
    <w:rsid w:val="699F7F18"/>
    <w:rsid w:val="69A759BB"/>
    <w:rsid w:val="69B13723"/>
    <w:rsid w:val="69B17143"/>
    <w:rsid w:val="69C36EA5"/>
    <w:rsid w:val="69C40BBA"/>
    <w:rsid w:val="69CE6602"/>
    <w:rsid w:val="69DA7AD4"/>
    <w:rsid w:val="69DE3636"/>
    <w:rsid w:val="69DE6430"/>
    <w:rsid w:val="69E535E9"/>
    <w:rsid w:val="6A1129EF"/>
    <w:rsid w:val="6A160228"/>
    <w:rsid w:val="6A1C08AF"/>
    <w:rsid w:val="6A266166"/>
    <w:rsid w:val="6A3E3B94"/>
    <w:rsid w:val="6A531E77"/>
    <w:rsid w:val="6A5603D6"/>
    <w:rsid w:val="6A5838AD"/>
    <w:rsid w:val="6A6C5FF6"/>
    <w:rsid w:val="6A711995"/>
    <w:rsid w:val="6A725C2E"/>
    <w:rsid w:val="6A8056FC"/>
    <w:rsid w:val="6A8A6F59"/>
    <w:rsid w:val="6A8B0147"/>
    <w:rsid w:val="6A965642"/>
    <w:rsid w:val="6A9C3E89"/>
    <w:rsid w:val="6A9E67AA"/>
    <w:rsid w:val="6AA5103E"/>
    <w:rsid w:val="6AB75D55"/>
    <w:rsid w:val="6AC176E8"/>
    <w:rsid w:val="6ACC7CEF"/>
    <w:rsid w:val="6AD2647B"/>
    <w:rsid w:val="6AD56191"/>
    <w:rsid w:val="6AED5DC0"/>
    <w:rsid w:val="6AF20D92"/>
    <w:rsid w:val="6AFA2471"/>
    <w:rsid w:val="6AFB3901"/>
    <w:rsid w:val="6B0548A9"/>
    <w:rsid w:val="6B080C63"/>
    <w:rsid w:val="6B0A6D01"/>
    <w:rsid w:val="6B11013B"/>
    <w:rsid w:val="6B126A69"/>
    <w:rsid w:val="6B1516A4"/>
    <w:rsid w:val="6B1A0624"/>
    <w:rsid w:val="6B1C5EC1"/>
    <w:rsid w:val="6B325D0A"/>
    <w:rsid w:val="6B346925"/>
    <w:rsid w:val="6B385DB1"/>
    <w:rsid w:val="6B3D6CC2"/>
    <w:rsid w:val="6B455976"/>
    <w:rsid w:val="6B663297"/>
    <w:rsid w:val="6B6722F6"/>
    <w:rsid w:val="6B712159"/>
    <w:rsid w:val="6B723C4A"/>
    <w:rsid w:val="6B757C98"/>
    <w:rsid w:val="6B9163DC"/>
    <w:rsid w:val="6B9A787D"/>
    <w:rsid w:val="6BA92F87"/>
    <w:rsid w:val="6BAB5AA4"/>
    <w:rsid w:val="6BAF0FA3"/>
    <w:rsid w:val="6BC53396"/>
    <w:rsid w:val="6BCB2E5E"/>
    <w:rsid w:val="6BCE2414"/>
    <w:rsid w:val="6BDA5851"/>
    <w:rsid w:val="6BF7757B"/>
    <w:rsid w:val="6C0E0E8E"/>
    <w:rsid w:val="6C2118EF"/>
    <w:rsid w:val="6C2554F9"/>
    <w:rsid w:val="6C2B055A"/>
    <w:rsid w:val="6C30346B"/>
    <w:rsid w:val="6C305185"/>
    <w:rsid w:val="6C320EC3"/>
    <w:rsid w:val="6C461F19"/>
    <w:rsid w:val="6C5F4FB2"/>
    <w:rsid w:val="6C6B0006"/>
    <w:rsid w:val="6C6F44B3"/>
    <w:rsid w:val="6C787DEE"/>
    <w:rsid w:val="6C793EB3"/>
    <w:rsid w:val="6C801DDF"/>
    <w:rsid w:val="6C827605"/>
    <w:rsid w:val="6C8C1FD7"/>
    <w:rsid w:val="6C933639"/>
    <w:rsid w:val="6CC43EF6"/>
    <w:rsid w:val="6CD22170"/>
    <w:rsid w:val="6CD361F1"/>
    <w:rsid w:val="6CE61E67"/>
    <w:rsid w:val="6CEA6209"/>
    <w:rsid w:val="6CEC231F"/>
    <w:rsid w:val="6CED618C"/>
    <w:rsid w:val="6D061EEE"/>
    <w:rsid w:val="6D0D5DA8"/>
    <w:rsid w:val="6D121531"/>
    <w:rsid w:val="6D147316"/>
    <w:rsid w:val="6D2540A8"/>
    <w:rsid w:val="6D2B5D63"/>
    <w:rsid w:val="6D430E74"/>
    <w:rsid w:val="6D4E23E6"/>
    <w:rsid w:val="6D5B3497"/>
    <w:rsid w:val="6D794413"/>
    <w:rsid w:val="6D7A79D8"/>
    <w:rsid w:val="6D9F1AE6"/>
    <w:rsid w:val="6DAA5206"/>
    <w:rsid w:val="6DAB7FC7"/>
    <w:rsid w:val="6DB03457"/>
    <w:rsid w:val="6DB13DE2"/>
    <w:rsid w:val="6DBA075C"/>
    <w:rsid w:val="6DC21D69"/>
    <w:rsid w:val="6DCF5A3C"/>
    <w:rsid w:val="6DD17A84"/>
    <w:rsid w:val="6DD210AE"/>
    <w:rsid w:val="6E11460D"/>
    <w:rsid w:val="6E162258"/>
    <w:rsid w:val="6E186651"/>
    <w:rsid w:val="6E1A4995"/>
    <w:rsid w:val="6E1C33AC"/>
    <w:rsid w:val="6E2A440D"/>
    <w:rsid w:val="6E2D1823"/>
    <w:rsid w:val="6E326A69"/>
    <w:rsid w:val="6E3A26DD"/>
    <w:rsid w:val="6E466A96"/>
    <w:rsid w:val="6E4B388D"/>
    <w:rsid w:val="6E575A58"/>
    <w:rsid w:val="6E581FDE"/>
    <w:rsid w:val="6E587FAE"/>
    <w:rsid w:val="6E7C2883"/>
    <w:rsid w:val="6E9240A7"/>
    <w:rsid w:val="6EB04EFA"/>
    <w:rsid w:val="6EB0634A"/>
    <w:rsid w:val="6EB16ADD"/>
    <w:rsid w:val="6EB7159C"/>
    <w:rsid w:val="6EC430EC"/>
    <w:rsid w:val="6ECB7C07"/>
    <w:rsid w:val="6ED519D5"/>
    <w:rsid w:val="6EE146AD"/>
    <w:rsid w:val="6EE7068F"/>
    <w:rsid w:val="6F0B0F90"/>
    <w:rsid w:val="6F227250"/>
    <w:rsid w:val="6F2C0637"/>
    <w:rsid w:val="6F3900E8"/>
    <w:rsid w:val="6F3D652C"/>
    <w:rsid w:val="6F3E4D3F"/>
    <w:rsid w:val="6F4432DE"/>
    <w:rsid w:val="6F543064"/>
    <w:rsid w:val="6F6D6354"/>
    <w:rsid w:val="6F713766"/>
    <w:rsid w:val="6F7170E4"/>
    <w:rsid w:val="6F7972EA"/>
    <w:rsid w:val="6F79782E"/>
    <w:rsid w:val="6F890DEE"/>
    <w:rsid w:val="6F8B1B8F"/>
    <w:rsid w:val="6F9408DF"/>
    <w:rsid w:val="6FA54F72"/>
    <w:rsid w:val="6FAE11A2"/>
    <w:rsid w:val="6FB41B5B"/>
    <w:rsid w:val="6FB546DA"/>
    <w:rsid w:val="6FC0102D"/>
    <w:rsid w:val="6FCE1205"/>
    <w:rsid w:val="6FED7769"/>
    <w:rsid w:val="6FFF6A9C"/>
    <w:rsid w:val="70057D0E"/>
    <w:rsid w:val="70235B8E"/>
    <w:rsid w:val="702635DA"/>
    <w:rsid w:val="70337959"/>
    <w:rsid w:val="703A5B2D"/>
    <w:rsid w:val="7041226F"/>
    <w:rsid w:val="704A6085"/>
    <w:rsid w:val="70595563"/>
    <w:rsid w:val="705A3BB2"/>
    <w:rsid w:val="7067676B"/>
    <w:rsid w:val="706935C0"/>
    <w:rsid w:val="70844D44"/>
    <w:rsid w:val="708B444D"/>
    <w:rsid w:val="708E72E8"/>
    <w:rsid w:val="709871AE"/>
    <w:rsid w:val="709957AA"/>
    <w:rsid w:val="709D7268"/>
    <w:rsid w:val="70C60555"/>
    <w:rsid w:val="70E21C59"/>
    <w:rsid w:val="70E64DD8"/>
    <w:rsid w:val="70EC3B31"/>
    <w:rsid w:val="70FD7EB9"/>
    <w:rsid w:val="71034C65"/>
    <w:rsid w:val="710D73EF"/>
    <w:rsid w:val="71112E5E"/>
    <w:rsid w:val="71212026"/>
    <w:rsid w:val="713307C0"/>
    <w:rsid w:val="71331E7C"/>
    <w:rsid w:val="7142241D"/>
    <w:rsid w:val="714B0483"/>
    <w:rsid w:val="71610467"/>
    <w:rsid w:val="716333DD"/>
    <w:rsid w:val="717B2E9B"/>
    <w:rsid w:val="71804779"/>
    <w:rsid w:val="71866A42"/>
    <w:rsid w:val="71A96008"/>
    <w:rsid w:val="71AE1A2B"/>
    <w:rsid w:val="71B35E15"/>
    <w:rsid w:val="71CD222F"/>
    <w:rsid w:val="71D4536E"/>
    <w:rsid w:val="71DA51A1"/>
    <w:rsid w:val="71DB43F4"/>
    <w:rsid w:val="71DD3BA1"/>
    <w:rsid w:val="71DF4DC6"/>
    <w:rsid w:val="71E41868"/>
    <w:rsid w:val="71E61260"/>
    <w:rsid w:val="71F90862"/>
    <w:rsid w:val="71F91B11"/>
    <w:rsid w:val="71FA7839"/>
    <w:rsid w:val="71FB0C61"/>
    <w:rsid w:val="721D6042"/>
    <w:rsid w:val="722C396B"/>
    <w:rsid w:val="723062AD"/>
    <w:rsid w:val="72384BAC"/>
    <w:rsid w:val="72415C60"/>
    <w:rsid w:val="72422BBB"/>
    <w:rsid w:val="7252749C"/>
    <w:rsid w:val="72586A76"/>
    <w:rsid w:val="725C3AFF"/>
    <w:rsid w:val="72615A86"/>
    <w:rsid w:val="728108F1"/>
    <w:rsid w:val="728E57F2"/>
    <w:rsid w:val="729122CA"/>
    <w:rsid w:val="72A50DC2"/>
    <w:rsid w:val="72BE1DE3"/>
    <w:rsid w:val="72E50504"/>
    <w:rsid w:val="72F6559F"/>
    <w:rsid w:val="73002D9F"/>
    <w:rsid w:val="73102B0E"/>
    <w:rsid w:val="731763E4"/>
    <w:rsid w:val="73294BBE"/>
    <w:rsid w:val="73296F31"/>
    <w:rsid w:val="73426C6F"/>
    <w:rsid w:val="734F4ECE"/>
    <w:rsid w:val="73557E99"/>
    <w:rsid w:val="73594DD9"/>
    <w:rsid w:val="736A2F92"/>
    <w:rsid w:val="736A54EB"/>
    <w:rsid w:val="736B144E"/>
    <w:rsid w:val="73726E77"/>
    <w:rsid w:val="7374176B"/>
    <w:rsid w:val="737D4593"/>
    <w:rsid w:val="73861C3F"/>
    <w:rsid w:val="73973478"/>
    <w:rsid w:val="73A26BC6"/>
    <w:rsid w:val="73A871D8"/>
    <w:rsid w:val="73AD3EA5"/>
    <w:rsid w:val="73BF4949"/>
    <w:rsid w:val="73C71CE6"/>
    <w:rsid w:val="73D94A54"/>
    <w:rsid w:val="73DA31CA"/>
    <w:rsid w:val="73E428A7"/>
    <w:rsid w:val="73FB7361"/>
    <w:rsid w:val="740117C0"/>
    <w:rsid w:val="74106A4F"/>
    <w:rsid w:val="74183280"/>
    <w:rsid w:val="741E7FA7"/>
    <w:rsid w:val="742057CC"/>
    <w:rsid w:val="74336F9C"/>
    <w:rsid w:val="746C22BD"/>
    <w:rsid w:val="746F4BD9"/>
    <w:rsid w:val="74735521"/>
    <w:rsid w:val="747C3EF5"/>
    <w:rsid w:val="747D2E8D"/>
    <w:rsid w:val="749929A4"/>
    <w:rsid w:val="74AA2CD8"/>
    <w:rsid w:val="74C34D7D"/>
    <w:rsid w:val="74E72035"/>
    <w:rsid w:val="74E90842"/>
    <w:rsid w:val="74EB2AD2"/>
    <w:rsid w:val="7504068C"/>
    <w:rsid w:val="750F6FFA"/>
    <w:rsid w:val="75162470"/>
    <w:rsid w:val="751F5626"/>
    <w:rsid w:val="752A6E38"/>
    <w:rsid w:val="753314B1"/>
    <w:rsid w:val="75344E40"/>
    <w:rsid w:val="75351626"/>
    <w:rsid w:val="754C11E6"/>
    <w:rsid w:val="754D16DA"/>
    <w:rsid w:val="756438D1"/>
    <w:rsid w:val="756E058A"/>
    <w:rsid w:val="757114B4"/>
    <w:rsid w:val="757521CC"/>
    <w:rsid w:val="75775077"/>
    <w:rsid w:val="7584218E"/>
    <w:rsid w:val="758B6695"/>
    <w:rsid w:val="758E1CD3"/>
    <w:rsid w:val="75A00175"/>
    <w:rsid w:val="75A50B9D"/>
    <w:rsid w:val="75AC081F"/>
    <w:rsid w:val="75BC1A9E"/>
    <w:rsid w:val="75C330BC"/>
    <w:rsid w:val="75C72BD6"/>
    <w:rsid w:val="75D92EA7"/>
    <w:rsid w:val="75D97D54"/>
    <w:rsid w:val="75E305A9"/>
    <w:rsid w:val="75E83313"/>
    <w:rsid w:val="75EA6E5D"/>
    <w:rsid w:val="75ED400D"/>
    <w:rsid w:val="75FD59E4"/>
    <w:rsid w:val="760011B0"/>
    <w:rsid w:val="760E774B"/>
    <w:rsid w:val="76106C5D"/>
    <w:rsid w:val="761E22AC"/>
    <w:rsid w:val="7646481D"/>
    <w:rsid w:val="76472C14"/>
    <w:rsid w:val="766D6202"/>
    <w:rsid w:val="767D1AB9"/>
    <w:rsid w:val="769E07BD"/>
    <w:rsid w:val="76A3693C"/>
    <w:rsid w:val="76A823AC"/>
    <w:rsid w:val="76B1266C"/>
    <w:rsid w:val="76BD06D1"/>
    <w:rsid w:val="76C43FFB"/>
    <w:rsid w:val="76D423D3"/>
    <w:rsid w:val="76D93443"/>
    <w:rsid w:val="76D949F6"/>
    <w:rsid w:val="76EB63FE"/>
    <w:rsid w:val="76F50587"/>
    <w:rsid w:val="76FB584F"/>
    <w:rsid w:val="770C4A98"/>
    <w:rsid w:val="77163F32"/>
    <w:rsid w:val="771B00A7"/>
    <w:rsid w:val="772907C5"/>
    <w:rsid w:val="773A7DFE"/>
    <w:rsid w:val="773C1FA9"/>
    <w:rsid w:val="773E3E8C"/>
    <w:rsid w:val="774453AC"/>
    <w:rsid w:val="775010E6"/>
    <w:rsid w:val="77536758"/>
    <w:rsid w:val="77582670"/>
    <w:rsid w:val="77665E7B"/>
    <w:rsid w:val="77676A96"/>
    <w:rsid w:val="77A80DA9"/>
    <w:rsid w:val="77A86C50"/>
    <w:rsid w:val="77C119EC"/>
    <w:rsid w:val="77C67CC0"/>
    <w:rsid w:val="77E671ED"/>
    <w:rsid w:val="77E91EF6"/>
    <w:rsid w:val="77EE1AC4"/>
    <w:rsid w:val="77FF34F7"/>
    <w:rsid w:val="78075C5B"/>
    <w:rsid w:val="78105752"/>
    <w:rsid w:val="78105BD3"/>
    <w:rsid w:val="78106C81"/>
    <w:rsid w:val="781612A1"/>
    <w:rsid w:val="78245F83"/>
    <w:rsid w:val="78251404"/>
    <w:rsid w:val="78272578"/>
    <w:rsid w:val="78326908"/>
    <w:rsid w:val="783D46D0"/>
    <w:rsid w:val="7842417C"/>
    <w:rsid w:val="78425A8E"/>
    <w:rsid w:val="78550609"/>
    <w:rsid w:val="78566166"/>
    <w:rsid w:val="785A5599"/>
    <w:rsid w:val="788C6CEE"/>
    <w:rsid w:val="78A964D7"/>
    <w:rsid w:val="78AA7574"/>
    <w:rsid w:val="78B13C4F"/>
    <w:rsid w:val="78B4377A"/>
    <w:rsid w:val="78BB4A11"/>
    <w:rsid w:val="78DA7BC1"/>
    <w:rsid w:val="78DD480A"/>
    <w:rsid w:val="78E6338C"/>
    <w:rsid w:val="78EC783F"/>
    <w:rsid w:val="78F26DE3"/>
    <w:rsid w:val="78FC7827"/>
    <w:rsid w:val="79050322"/>
    <w:rsid w:val="79060EDC"/>
    <w:rsid w:val="79127F2D"/>
    <w:rsid w:val="791D59A4"/>
    <w:rsid w:val="792F5686"/>
    <w:rsid w:val="792F63DC"/>
    <w:rsid w:val="793F0C18"/>
    <w:rsid w:val="79675186"/>
    <w:rsid w:val="796D238D"/>
    <w:rsid w:val="79710453"/>
    <w:rsid w:val="79760FC0"/>
    <w:rsid w:val="79790496"/>
    <w:rsid w:val="798A7065"/>
    <w:rsid w:val="79AD1509"/>
    <w:rsid w:val="79B95CDC"/>
    <w:rsid w:val="79BA2F1D"/>
    <w:rsid w:val="79D14E15"/>
    <w:rsid w:val="79D41703"/>
    <w:rsid w:val="79D8154C"/>
    <w:rsid w:val="79DF3E77"/>
    <w:rsid w:val="79E354C1"/>
    <w:rsid w:val="79F94DAB"/>
    <w:rsid w:val="7A061B9C"/>
    <w:rsid w:val="7A1B1993"/>
    <w:rsid w:val="7A2350FE"/>
    <w:rsid w:val="7A246AA1"/>
    <w:rsid w:val="7A2722D4"/>
    <w:rsid w:val="7A2B2395"/>
    <w:rsid w:val="7A3A6C5C"/>
    <w:rsid w:val="7A4D10BE"/>
    <w:rsid w:val="7A4D21E4"/>
    <w:rsid w:val="7A5121F6"/>
    <w:rsid w:val="7A5715FB"/>
    <w:rsid w:val="7A5D3DE0"/>
    <w:rsid w:val="7A5E5069"/>
    <w:rsid w:val="7A60280E"/>
    <w:rsid w:val="7A670D71"/>
    <w:rsid w:val="7A69733A"/>
    <w:rsid w:val="7A6D7399"/>
    <w:rsid w:val="7A837999"/>
    <w:rsid w:val="7A844316"/>
    <w:rsid w:val="7A87381C"/>
    <w:rsid w:val="7A8A6D94"/>
    <w:rsid w:val="7A9E5444"/>
    <w:rsid w:val="7AAE61D5"/>
    <w:rsid w:val="7AB413EB"/>
    <w:rsid w:val="7AB47CDB"/>
    <w:rsid w:val="7ACB3A65"/>
    <w:rsid w:val="7ACE0273"/>
    <w:rsid w:val="7ADA7F07"/>
    <w:rsid w:val="7AE073FE"/>
    <w:rsid w:val="7AE22248"/>
    <w:rsid w:val="7B0673EE"/>
    <w:rsid w:val="7B092F4A"/>
    <w:rsid w:val="7B190570"/>
    <w:rsid w:val="7B324275"/>
    <w:rsid w:val="7B3D0810"/>
    <w:rsid w:val="7B4F68E2"/>
    <w:rsid w:val="7B582429"/>
    <w:rsid w:val="7B5F3909"/>
    <w:rsid w:val="7B6B02B7"/>
    <w:rsid w:val="7B71550B"/>
    <w:rsid w:val="7B836707"/>
    <w:rsid w:val="7B846E19"/>
    <w:rsid w:val="7B876D2F"/>
    <w:rsid w:val="7B895DAC"/>
    <w:rsid w:val="7B8A2CD6"/>
    <w:rsid w:val="7B9640D6"/>
    <w:rsid w:val="7B970F36"/>
    <w:rsid w:val="7BA41DF0"/>
    <w:rsid w:val="7BBF2338"/>
    <w:rsid w:val="7BC12DDD"/>
    <w:rsid w:val="7BCA672F"/>
    <w:rsid w:val="7BCE47D1"/>
    <w:rsid w:val="7BF43ABD"/>
    <w:rsid w:val="7C010F08"/>
    <w:rsid w:val="7C041066"/>
    <w:rsid w:val="7C043A6C"/>
    <w:rsid w:val="7C125A2E"/>
    <w:rsid w:val="7C206287"/>
    <w:rsid w:val="7C33770B"/>
    <w:rsid w:val="7C381383"/>
    <w:rsid w:val="7C53536E"/>
    <w:rsid w:val="7C5568A3"/>
    <w:rsid w:val="7C5664D9"/>
    <w:rsid w:val="7C592E9C"/>
    <w:rsid w:val="7C6477D9"/>
    <w:rsid w:val="7C762240"/>
    <w:rsid w:val="7C84417D"/>
    <w:rsid w:val="7C8D6B8B"/>
    <w:rsid w:val="7CA2777B"/>
    <w:rsid w:val="7CA53BBB"/>
    <w:rsid w:val="7CA74DCB"/>
    <w:rsid w:val="7CA92FC3"/>
    <w:rsid w:val="7CAD478D"/>
    <w:rsid w:val="7CAE0B4C"/>
    <w:rsid w:val="7CB06B16"/>
    <w:rsid w:val="7CB848AE"/>
    <w:rsid w:val="7CDA5F61"/>
    <w:rsid w:val="7CF11C44"/>
    <w:rsid w:val="7D002B8A"/>
    <w:rsid w:val="7D017CF7"/>
    <w:rsid w:val="7D02052E"/>
    <w:rsid w:val="7D0A7DB7"/>
    <w:rsid w:val="7D161E54"/>
    <w:rsid w:val="7D1F0F78"/>
    <w:rsid w:val="7D244E20"/>
    <w:rsid w:val="7D302BA5"/>
    <w:rsid w:val="7D496F68"/>
    <w:rsid w:val="7D4A35DD"/>
    <w:rsid w:val="7D5019B1"/>
    <w:rsid w:val="7D593194"/>
    <w:rsid w:val="7D595A7D"/>
    <w:rsid w:val="7D641AEE"/>
    <w:rsid w:val="7D755E06"/>
    <w:rsid w:val="7D7D4BD7"/>
    <w:rsid w:val="7D7E277C"/>
    <w:rsid w:val="7D95048A"/>
    <w:rsid w:val="7DA1282F"/>
    <w:rsid w:val="7DA135EF"/>
    <w:rsid w:val="7DA83933"/>
    <w:rsid w:val="7DBA0010"/>
    <w:rsid w:val="7DC2113F"/>
    <w:rsid w:val="7DC55E55"/>
    <w:rsid w:val="7DCC5BF5"/>
    <w:rsid w:val="7DE13FF8"/>
    <w:rsid w:val="7DE6262A"/>
    <w:rsid w:val="7DED1E0E"/>
    <w:rsid w:val="7E0F17D9"/>
    <w:rsid w:val="7E1054FF"/>
    <w:rsid w:val="7E115267"/>
    <w:rsid w:val="7E155E2D"/>
    <w:rsid w:val="7E2B37AA"/>
    <w:rsid w:val="7E2D7CFD"/>
    <w:rsid w:val="7E337688"/>
    <w:rsid w:val="7E3742F1"/>
    <w:rsid w:val="7E66337F"/>
    <w:rsid w:val="7E6842D1"/>
    <w:rsid w:val="7E6B694F"/>
    <w:rsid w:val="7E7C4910"/>
    <w:rsid w:val="7E816E02"/>
    <w:rsid w:val="7E8D7364"/>
    <w:rsid w:val="7E9D2339"/>
    <w:rsid w:val="7EA1536B"/>
    <w:rsid w:val="7EB45BD3"/>
    <w:rsid w:val="7EBD0134"/>
    <w:rsid w:val="7EBF4E2E"/>
    <w:rsid w:val="7EC41CB7"/>
    <w:rsid w:val="7EC45B0B"/>
    <w:rsid w:val="7ECD0B5E"/>
    <w:rsid w:val="7EDE61F2"/>
    <w:rsid w:val="7EEE3271"/>
    <w:rsid w:val="7EEF5E2F"/>
    <w:rsid w:val="7EF307BC"/>
    <w:rsid w:val="7EF41360"/>
    <w:rsid w:val="7F1A2276"/>
    <w:rsid w:val="7F1E17D7"/>
    <w:rsid w:val="7F236797"/>
    <w:rsid w:val="7F293DE0"/>
    <w:rsid w:val="7F36312E"/>
    <w:rsid w:val="7F3C27E9"/>
    <w:rsid w:val="7F4D12CA"/>
    <w:rsid w:val="7F627346"/>
    <w:rsid w:val="7F631961"/>
    <w:rsid w:val="7F7A0025"/>
    <w:rsid w:val="7F840990"/>
    <w:rsid w:val="7F8E1D31"/>
    <w:rsid w:val="7FA857E4"/>
    <w:rsid w:val="7FAA64FC"/>
    <w:rsid w:val="7FB352FC"/>
    <w:rsid w:val="7FBB7546"/>
    <w:rsid w:val="7FD51778"/>
    <w:rsid w:val="7FDA045A"/>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99" w:semiHidden="0" w:name="index heading"/>
    <w:lsdException w:qFormat="1" w:unhideWhenUsed="0" w:uiPriority="99"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uiPriority="99" w:name="footnote reference" w:locked="1"/>
    <w:lsdException w:qFormat="1" w:unhideWhenUsed="0" w:uiPriority="99" w:semiHidden="0" w:name="annotation reference"/>
    <w:lsdException w:qFormat="1" w:uiPriority="99" w:name="line number" w:locked="1"/>
    <w:lsdException w:qFormat="1" w:unhideWhenUsed="0" w:uiPriority="99" w:semiHidden="0" w:name="page number"/>
    <w:lsdException w:uiPriority="99" w:name="endnote reference" w:locked="1"/>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qFormat="1" w:unhideWhenUsed="0" w:uiPriority="99" w:semiHidden="0" w:name="Closing"/>
    <w:lsdException w:qFormat="1" w:unhideWhenUsed="0" w:uiPriority="99"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nhideWhenUsed="0" w:uiPriority="99" w:semiHidden="0" w:name="Normal (Web)"/>
    <w:lsdException w:uiPriority="99" w:name="HTML Acronym" w:locked="1"/>
    <w:lsdException w:qFormat="1" w:unhideWhenUsed="0" w:uiPriority="99" w:semiHidden="0" w:name="HTML Address"/>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00" w:lineRule="auto"/>
    </w:pPr>
    <w:rPr>
      <w:rFonts w:ascii="Bell MT" w:hAnsi="Bell MT" w:eastAsia="黑体" w:cs="黑体"/>
      <w:sz w:val="22"/>
      <w:szCs w:val="22"/>
      <w:lang w:val="en-US" w:eastAsia="zh-CN" w:bidi="ar-SA"/>
    </w:rPr>
  </w:style>
  <w:style w:type="paragraph" w:styleId="3">
    <w:name w:val="heading 1"/>
    <w:basedOn w:val="1"/>
    <w:next w:val="1"/>
    <w:link w:val="97"/>
    <w:qFormat/>
    <w:uiPriority w:val="99"/>
    <w:pPr>
      <w:keepNext/>
      <w:keepLines/>
      <w:spacing w:before="480"/>
      <w:outlineLvl w:val="0"/>
    </w:pPr>
    <w:rPr>
      <w:rFonts w:cs="Times New Roman"/>
      <w:b/>
      <w:bCs/>
      <w:color w:val="680021"/>
      <w:sz w:val="28"/>
      <w:szCs w:val="28"/>
    </w:rPr>
  </w:style>
  <w:style w:type="paragraph" w:styleId="4">
    <w:name w:val="heading 2"/>
    <w:basedOn w:val="1"/>
    <w:next w:val="1"/>
    <w:link w:val="98"/>
    <w:qFormat/>
    <w:uiPriority w:val="99"/>
    <w:pPr>
      <w:keepNext/>
      <w:keepLines/>
      <w:spacing w:before="200"/>
      <w:outlineLvl w:val="1"/>
    </w:pPr>
    <w:rPr>
      <w:rFonts w:cs="Times New Roman"/>
      <w:b/>
      <w:bCs/>
      <w:color w:val="8D002D"/>
      <w:sz w:val="26"/>
      <w:szCs w:val="26"/>
    </w:rPr>
  </w:style>
  <w:style w:type="paragraph" w:styleId="5">
    <w:name w:val="heading 3"/>
    <w:basedOn w:val="1"/>
    <w:next w:val="1"/>
    <w:link w:val="99"/>
    <w:qFormat/>
    <w:uiPriority w:val="99"/>
    <w:pPr>
      <w:keepNext/>
      <w:keepLines/>
      <w:spacing w:before="200"/>
      <w:outlineLvl w:val="2"/>
    </w:pPr>
    <w:rPr>
      <w:rFonts w:cs="Times New Roman"/>
      <w:b/>
      <w:bCs/>
      <w:color w:val="8D002D"/>
      <w:sz w:val="20"/>
      <w:szCs w:val="20"/>
    </w:rPr>
  </w:style>
  <w:style w:type="paragraph" w:styleId="6">
    <w:name w:val="heading 4"/>
    <w:basedOn w:val="1"/>
    <w:next w:val="1"/>
    <w:link w:val="100"/>
    <w:qFormat/>
    <w:uiPriority w:val="99"/>
    <w:pPr>
      <w:keepNext/>
      <w:keepLines/>
      <w:spacing w:before="200"/>
      <w:outlineLvl w:val="3"/>
    </w:pPr>
    <w:rPr>
      <w:rFonts w:cs="Times New Roman"/>
      <w:b/>
      <w:bCs/>
      <w:i/>
      <w:iCs/>
      <w:color w:val="8D002D"/>
      <w:sz w:val="20"/>
      <w:szCs w:val="20"/>
    </w:rPr>
  </w:style>
  <w:style w:type="paragraph" w:styleId="7">
    <w:name w:val="heading 5"/>
    <w:basedOn w:val="1"/>
    <w:next w:val="1"/>
    <w:link w:val="101"/>
    <w:qFormat/>
    <w:uiPriority w:val="99"/>
    <w:pPr>
      <w:keepNext/>
      <w:keepLines/>
      <w:spacing w:before="200"/>
      <w:outlineLvl w:val="4"/>
    </w:pPr>
    <w:rPr>
      <w:rFonts w:cs="Times New Roman"/>
      <w:color w:val="450016"/>
      <w:sz w:val="20"/>
      <w:szCs w:val="20"/>
    </w:rPr>
  </w:style>
  <w:style w:type="paragraph" w:styleId="8">
    <w:name w:val="heading 6"/>
    <w:basedOn w:val="1"/>
    <w:next w:val="1"/>
    <w:link w:val="102"/>
    <w:qFormat/>
    <w:uiPriority w:val="99"/>
    <w:pPr>
      <w:keepNext/>
      <w:keepLines/>
      <w:spacing w:before="200"/>
      <w:outlineLvl w:val="5"/>
    </w:pPr>
    <w:rPr>
      <w:rFonts w:cs="Times New Roman"/>
      <w:i/>
      <w:iCs/>
      <w:color w:val="450016"/>
      <w:sz w:val="20"/>
      <w:szCs w:val="20"/>
    </w:rPr>
  </w:style>
  <w:style w:type="paragraph" w:styleId="9">
    <w:name w:val="heading 7"/>
    <w:basedOn w:val="1"/>
    <w:next w:val="1"/>
    <w:link w:val="103"/>
    <w:qFormat/>
    <w:uiPriority w:val="99"/>
    <w:pPr>
      <w:keepNext/>
      <w:keepLines/>
      <w:spacing w:before="200"/>
      <w:outlineLvl w:val="6"/>
    </w:pPr>
    <w:rPr>
      <w:rFonts w:cs="Times New Roman"/>
      <w:i/>
      <w:iCs/>
      <w:color w:val="3F3F3F"/>
      <w:sz w:val="20"/>
      <w:szCs w:val="20"/>
    </w:rPr>
  </w:style>
  <w:style w:type="paragraph" w:styleId="10">
    <w:name w:val="heading 8"/>
    <w:basedOn w:val="1"/>
    <w:next w:val="1"/>
    <w:link w:val="104"/>
    <w:qFormat/>
    <w:uiPriority w:val="99"/>
    <w:pPr>
      <w:keepNext/>
      <w:keepLines/>
      <w:spacing w:before="200"/>
      <w:outlineLvl w:val="7"/>
    </w:pPr>
    <w:rPr>
      <w:rFonts w:cs="Times New Roman"/>
      <w:color w:val="3F3F3F"/>
      <w:sz w:val="20"/>
      <w:szCs w:val="20"/>
    </w:rPr>
  </w:style>
  <w:style w:type="paragraph" w:styleId="11">
    <w:name w:val="heading 9"/>
    <w:basedOn w:val="1"/>
    <w:next w:val="1"/>
    <w:link w:val="105"/>
    <w:qFormat/>
    <w:uiPriority w:val="99"/>
    <w:pPr>
      <w:keepNext/>
      <w:keepLines/>
      <w:spacing w:before="200"/>
      <w:outlineLvl w:val="8"/>
    </w:pPr>
    <w:rPr>
      <w:rFonts w:cs="Times New Roman"/>
      <w:i/>
      <w:iCs/>
      <w:color w:val="3F3F3F"/>
      <w:sz w:val="20"/>
      <w:szCs w:val="20"/>
    </w:rPr>
  </w:style>
  <w:style w:type="character" w:default="1" w:styleId="90">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110"/>
    <w:qFormat/>
    <w:uiPriority w:val="99"/>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eastAsia="宋体" w:cs="Times New Roman"/>
      <w:lang w:val="en-US" w:eastAsia="zh-CN" w:bidi="ar-SA"/>
    </w:rPr>
  </w:style>
  <w:style w:type="paragraph" w:styleId="12">
    <w:name w:val="List 3"/>
    <w:basedOn w:val="1"/>
    <w:qFormat/>
    <w:uiPriority w:val="99"/>
    <w:pPr>
      <w:ind w:left="1080" w:hanging="360"/>
      <w:contextualSpacing/>
    </w:pPr>
  </w:style>
  <w:style w:type="paragraph" w:styleId="13">
    <w:name w:val="toc 7"/>
    <w:basedOn w:val="1"/>
    <w:next w:val="1"/>
    <w:qFormat/>
    <w:uiPriority w:val="99"/>
    <w:pPr>
      <w:spacing w:after="100"/>
      <w:ind w:left="1320"/>
    </w:pPr>
  </w:style>
  <w:style w:type="paragraph" w:styleId="14">
    <w:name w:val="List Number 2"/>
    <w:basedOn w:val="1"/>
    <w:qFormat/>
    <w:uiPriority w:val="99"/>
    <w:pPr>
      <w:tabs>
        <w:tab w:val="left" w:pos="720"/>
      </w:tabs>
      <w:ind w:left="720" w:hanging="360"/>
      <w:contextualSpacing/>
    </w:pPr>
  </w:style>
  <w:style w:type="paragraph" w:styleId="15">
    <w:name w:val="table of authorities"/>
    <w:basedOn w:val="1"/>
    <w:next w:val="1"/>
    <w:qFormat/>
    <w:uiPriority w:val="99"/>
    <w:pPr>
      <w:ind w:left="220" w:hanging="220"/>
    </w:pPr>
  </w:style>
  <w:style w:type="paragraph" w:styleId="16">
    <w:name w:val="Note Heading"/>
    <w:basedOn w:val="1"/>
    <w:next w:val="1"/>
    <w:link w:val="111"/>
    <w:qFormat/>
    <w:uiPriority w:val="99"/>
    <w:pPr>
      <w:spacing w:line="240" w:lineRule="auto"/>
    </w:pPr>
  </w:style>
  <w:style w:type="paragraph" w:styleId="17">
    <w:name w:val="List Bullet 4"/>
    <w:basedOn w:val="1"/>
    <w:qFormat/>
    <w:uiPriority w:val="99"/>
    <w:pPr>
      <w:tabs>
        <w:tab w:val="left" w:pos="1440"/>
      </w:tabs>
      <w:ind w:left="1440" w:hanging="360"/>
      <w:contextualSpacing/>
    </w:pPr>
  </w:style>
  <w:style w:type="paragraph" w:styleId="18">
    <w:name w:val="index 8"/>
    <w:basedOn w:val="1"/>
    <w:next w:val="1"/>
    <w:qFormat/>
    <w:uiPriority w:val="99"/>
    <w:pPr>
      <w:spacing w:line="240" w:lineRule="auto"/>
      <w:ind w:left="1760" w:hanging="220"/>
    </w:pPr>
  </w:style>
  <w:style w:type="paragraph" w:styleId="19">
    <w:name w:val="E-mail Signature"/>
    <w:basedOn w:val="1"/>
    <w:link w:val="112"/>
    <w:qFormat/>
    <w:uiPriority w:val="99"/>
    <w:pPr>
      <w:spacing w:line="240" w:lineRule="auto"/>
    </w:pPr>
  </w:style>
  <w:style w:type="paragraph" w:styleId="20">
    <w:name w:val="List Number"/>
    <w:basedOn w:val="1"/>
    <w:qFormat/>
    <w:uiPriority w:val="99"/>
    <w:pPr>
      <w:tabs>
        <w:tab w:val="left" w:pos="360"/>
      </w:tabs>
      <w:ind w:left="360" w:hanging="360"/>
      <w:contextualSpacing/>
    </w:pPr>
  </w:style>
  <w:style w:type="paragraph" w:styleId="21">
    <w:name w:val="Normal Indent"/>
    <w:basedOn w:val="1"/>
    <w:qFormat/>
    <w:uiPriority w:val="99"/>
    <w:pPr>
      <w:ind w:left="720"/>
    </w:pPr>
  </w:style>
  <w:style w:type="paragraph" w:styleId="22">
    <w:name w:val="caption"/>
    <w:basedOn w:val="1"/>
    <w:next w:val="1"/>
    <w:qFormat/>
    <w:uiPriority w:val="99"/>
    <w:pPr>
      <w:spacing w:after="200" w:line="240" w:lineRule="auto"/>
    </w:pPr>
    <w:rPr>
      <w:b/>
      <w:bCs/>
      <w:color w:val="8D002D"/>
      <w:sz w:val="18"/>
      <w:szCs w:val="18"/>
    </w:rPr>
  </w:style>
  <w:style w:type="paragraph" w:styleId="23">
    <w:name w:val="index 5"/>
    <w:basedOn w:val="1"/>
    <w:next w:val="1"/>
    <w:qFormat/>
    <w:uiPriority w:val="99"/>
    <w:pPr>
      <w:spacing w:line="240" w:lineRule="auto"/>
      <w:ind w:left="1100" w:hanging="220"/>
    </w:pPr>
  </w:style>
  <w:style w:type="paragraph" w:styleId="24">
    <w:name w:val="List Bullet"/>
    <w:basedOn w:val="1"/>
    <w:qFormat/>
    <w:uiPriority w:val="99"/>
    <w:pPr>
      <w:tabs>
        <w:tab w:val="left" w:pos="360"/>
      </w:tabs>
      <w:ind w:left="360" w:hanging="360"/>
      <w:contextualSpacing/>
    </w:pPr>
  </w:style>
  <w:style w:type="paragraph" w:styleId="25">
    <w:name w:val="envelope address"/>
    <w:basedOn w:val="1"/>
    <w:qFormat/>
    <w:uiPriority w:val="99"/>
    <w:pPr>
      <w:framePr w:w="7920" w:h="1980" w:hRule="exact" w:hSpace="180" w:wrap="around" w:vAnchor="margin" w:hAnchor="page" w:xAlign="center" w:yAlign="bottom"/>
      <w:spacing w:line="240" w:lineRule="auto"/>
      <w:ind w:left="2880"/>
    </w:pPr>
    <w:rPr>
      <w:sz w:val="24"/>
      <w:szCs w:val="24"/>
    </w:rPr>
  </w:style>
  <w:style w:type="paragraph" w:styleId="26">
    <w:name w:val="Document Map"/>
    <w:basedOn w:val="1"/>
    <w:link w:val="113"/>
    <w:qFormat/>
    <w:uiPriority w:val="99"/>
    <w:pPr>
      <w:spacing w:line="240" w:lineRule="auto"/>
    </w:pPr>
    <w:rPr>
      <w:rFonts w:ascii="Tahoma" w:hAnsi="Tahoma" w:eastAsia="宋体" w:cs="Times New Roman"/>
      <w:sz w:val="16"/>
      <w:szCs w:val="16"/>
    </w:rPr>
  </w:style>
  <w:style w:type="paragraph" w:styleId="27">
    <w:name w:val="toa heading"/>
    <w:basedOn w:val="1"/>
    <w:next w:val="1"/>
    <w:qFormat/>
    <w:uiPriority w:val="99"/>
    <w:pPr>
      <w:spacing w:before="120"/>
    </w:pPr>
    <w:rPr>
      <w:b/>
      <w:bCs/>
      <w:sz w:val="24"/>
      <w:szCs w:val="24"/>
    </w:rPr>
  </w:style>
  <w:style w:type="paragraph" w:styleId="28">
    <w:name w:val="annotation text"/>
    <w:basedOn w:val="1"/>
    <w:link w:val="106"/>
    <w:qFormat/>
    <w:uiPriority w:val="99"/>
    <w:pPr>
      <w:spacing w:line="240" w:lineRule="auto"/>
    </w:pPr>
    <w:rPr>
      <w:rFonts w:ascii="Times New Roman" w:hAnsi="Times New Roman" w:eastAsia="宋体" w:cs="Times New Roman"/>
      <w:sz w:val="20"/>
      <w:szCs w:val="20"/>
    </w:rPr>
  </w:style>
  <w:style w:type="paragraph" w:styleId="29">
    <w:name w:val="index 6"/>
    <w:basedOn w:val="1"/>
    <w:next w:val="1"/>
    <w:qFormat/>
    <w:uiPriority w:val="99"/>
    <w:pPr>
      <w:spacing w:line="240" w:lineRule="auto"/>
      <w:ind w:left="1320" w:hanging="220"/>
    </w:pPr>
  </w:style>
  <w:style w:type="paragraph" w:styleId="30">
    <w:name w:val="Salutation"/>
    <w:basedOn w:val="1"/>
    <w:next w:val="1"/>
    <w:link w:val="114"/>
    <w:qFormat/>
    <w:uiPriority w:val="99"/>
  </w:style>
  <w:style w:type="paragraph" w:styleId="31">
    <w:name w:val="Body Text 3"/>
    <w:basedOn w:val="1"/>
    <w:link w:val="115"/>
    <w:qFormat/>
    <w:uiPriority w:val="99"/>
    <w:pPr>
      <w:spacing w:after="120"/>
    </w:pPr>
    <w:rPr>
      <w:rFonts w:ascii="Times New Roman" w:hAnsi="Times New Roman" w:eastAsia="宋体" w:cs="Times New Roman"/>
      <w:sz w:val="16"/>
      <w:szCs w:val="16"/>
    </w:rPr>
  </w:style>
  <w:style w:type="paragraph" w:styleId="32">
    <w:name w:val="Closing"/>
    <w:basedOn w:val="1"/>
    <w:link w:val="116"/>
    <w:qFormat/>
    <w:uiPriority w:val="99"/>
    <w:pPr>
      <w:spacing w:before="200"/>
    </w:pPr>
  </w:style>
  <w:style w:type="paragraph" w:styleId="33">
    <w:name w:val="List Bullet 3"/>
    <w:basedOn w:val="1"/>
    <w:qFormat/>
    <w:uiPriority w:val="99"/>
    <w:pPr>
      <w:tabs>
        <w:tab w:val="left" w:pos="1080"/>
      </w:tabs>
      <w:ind w:left="1080" w:hanging="360"/>
      <w:contextualSpacing/>
    </w:pPr>
  </w:style>
  <w:style w:type="paragraph" w:styleId="34">
    <w:name w:val="Body Text"/>
    <w:basedOn w:val="1"/>
    <w:link w:val="108"/>
    <w:qFormat/>
    <w:uiPriority w:val="99"/>
    <w:pPr>
      <w:spacing w:before="200"/>
    </w:pPr>
  </w:style>
  <w:style w:type="paragraph" w:styleId="35">
    <w:name w:val="Body Text Indent"/>
    <w:basedOn w:val="1"/>
    <w:link w:val="117"/>
    <w:qFormat/>
    <w:uiPriority w:val="99"/>
    <w:pPr>
      <w:widowControl w:val="0"/>
      <w:spacing w:line="700" w:lineRule="exact"/>
      <w:ind w:firstLine="600"/>
      <w:jc w:val="both"/>
    </w:pPr>
    <w:rPr>
      <w:rFonts w:ascii="华文中宋" w:hAnsi="华文中宋" w:eastAsia="华文中宋" w:cs="Times New Roman"/>
      <w:kern w:val="2"/>
      <w:sz w:val="28"/>
      <w:szCs w:val="24"/>
    </w:rPr>
  </w:style>
  <w:style w:type="paragraph" w:styleId="36">
    <w:name w:val="List Number 3"/>
    <w:basedOn w:val="1"/>
    <w:qFormat/>
    <w:uiPriority w:val="99"/>
    <w:pPr>
      <w:tabs>
        <w:tab w:val="left" w:pos="1080"/>
      </w:tabs>
      <w:ind w:left="1080" w:hanging="360"/>
      <w:contextualSpacing/>
    </w:pPr>
  </w:style>
  <w:style w:type="paragraph" w:styleId="37">
    <w:name w:val="List 2"/>
    <w:basedOn w:val="1"/>
    <w:qFormat/>
    <w:uiPriority w:val="99"/>
    <w:pPr>
      <w:ind w:left="720" w:hanging="360"/>
      <w:contextualSpacing/>
    </w:pPr>
  </w:style>
  <w:style w:type="paragraph" w:styleId="38">
    <w:name w:val="List Continue"/>
    <w:basedOn w:val="1"/>
    <w:link w:val="155"/>
    <w:qFormat/>
    <w:uiPriority w:val="99"/>
    <w:pPr>
      <w:spacing w:after="120"/>
      <w:ind w:left="360"/>
      <w:contextualSpacing/>
    </w:pPr>
  </w:style>
  <w:style w:type="paragraph" w:styleId="39">
    <w:name w:val="Block Text"/>
    <w:basedOn w:val="1"/>
    <w:qFormat/>
    <w:uiPriority w:val="99"/>
    <w:pPr>
      <w:pBdr>
        <w:top w:val="single" w:color="8D002D" w:sz="2" w:space="10"/>
        <w:left w:val="single" w:color="8D002D" w:sz="2" w:space="10"/>
        <w:bottom w:val="single" w:color="8D002D" w:sz="2" w:space="10"/>
        <w:right w:val="single" w:color="8D002D" w:sz="2" w:space="10"/>
      </w:pBdr>
      <w:ind w:left="1152" w:right="1152"/>
    </w:pPr>
    <w:rPr>
      <w:i/>
      <w:iCs/>
      <w:color w:val="8D002D"/>
    </w:rPr>
  </w:style>
  <w:style w:type="paragraph" w:styleId="40">
    <w:name w:val="List Bullet 2"/>
    <w:basedOn w:val="1"/>
    <w:qFormat/>
    <w:uiPriority w:val="99"/>
    <w:pPr>
      <w:tabs>
        <w:tab w:val="left" w:pos="720"/>
      </w:tabs>
      <w:ind w:left="720" w:hanging="360"/>
      <w:contextualSpacing/>
    </w:pPr>
  </w:style>
  <w:style w:type="paragraph" w:styleId="41">
    <w:name w:val="HTML Address"/>
    <w:basedOn w:val="1"/>
    <w:link w:val="118"/>
    <w:qFormat/>
    <w:uiPriority w:val="99"/>
    <w:pPr>
      <w:spacing w:line="240" w:lineRule="auto"/>
    </w:pPr>
    <w:rPr>
      <w:rFonts w:ascii="Times New Roman" w:hAnsi="Times New Roman" w:eastAsia="宋体" w:cs="Times New Roman"/>
      <w:i/>
      <w:iCs/>
      <w:sz w:val="20"/>
      <w:szCs w:val="20"/>
    </w:rPr>
  </w:style>
  <w:style w:type="paragraph" w:styleId="42">
    <w:name w:val="index 4"/>
    <w:basedOn w:val="1"/>
    <w:next w:val="1"/>
    <w:qFormat/>
    <w:uiPriority w:val="99"/>
    <w:pPr>
      <w:spacing w:line="240" w:lineRule="auto"/>
      <w:ind w:left="880" w:hanging="220"/>
    </w:pPr>
  </w:style>
  <w:style w:type="paragraph" w:styleId="43">
    <w:name w:val="toc 5"/>
    <w:basedOn w:val="1"/>
    <w:next w:val="1"/>
    <w:qFormat/>
    <w:uiPriority w:val="99"/>
    <w:pPr>
      <w:spacing w:after="100"/>
      <w:ind w:left="880"/>
    </w:pPr>
  </w:style>
  <w:style w:type="paragraph" w:styleId="44">
    <w:name w:val="toc 3"/>
    <w:basedOn w:val="1"/>
    <w:next w:val="1"/>
    <w:qFormat/>
    <w:uiPriority w:val="99"/>
    <w:pPr>
      <w:spacing w:after="100"/>
      <w:ind w:left="440"/>
    </w:pPr>
  </w:style>
  <w:style w:type="paragraph" w:styleId="45">
    <w:name w:val="Plain Text"/>
    <w:basedOn w:val="1"/>
    <w:link w:val="119"/>
    <w:qFormat/>
    <w:uiPriority w:val="99"/>
    <w:pPr>
      <w:spacing w:line="240" w:lineRule="auto"/>
    </w:pPr>
    <w:rPr>
      <w:rFonts w:ascii="Consolas" w:hAnsi="Consolas" w:eastAsia="宋体" w:cs="Times New Roman"/>
      <w:sz w:val="21"/>
      <w:szCs w:val="21"/>
    </w:rPr>
  </w:style>
  <w:style w:type="paragraph" w:styleId="46">
    <w:name w:val="List Bullet 5"/>
    <w:basedOn w:val="1"/>
    <w:qFormat/>
    <w:uiPriority w:val="99"/>
    <w:pPr>
      <w:tabs>
        <w:tab w:val="left" w:pos="1800"/>
      </w:tabs>
      <w:ind w:left="1800" w:hanging="360"/>
      <w:contextualSpacing/>
    </w:pPr>
  </w:style>
  <w:style w:type="paragraph" w:styleId="47">
    <w:name w:val="List Number 4"/>
    <w:basedOn w:val="1"/>
    <w:qFormat/>
    <w:uiPriority w:val="99"/>
    <w:pPr>
      <w:tabs>
        <w:tab w:val="left" w:pos="1440"/>
      </w:tabs>
      <w:ind w:left="1440" w:hanging="360"/>
      <w:contextualSpacing/>
    </w:pPr>
  </w:style>
  <w:style w:type="paragraph" w:styleId="48">
    <w:name w:val="toc 8"/>
    <w:basedOn w:val="1"/>
    <w:next w:val="1"/>
    <w:qFormat/>
    <w:uiPriority w:val="99"/>
    <w:pPr>
      <w:spacing w:after="100"/>
      <w:ind w:left="1540"/>
    </w:pPr>
  </w:style>
  <w:style w:type="paragraph" w:styleId="49">
    <w:name w:val="index 3"/>
    <w:basedOn w:val="1"/>
    <w:next w:val="1"/>
    <w:qFormat/>
    <w:uiPriority w:val="99"/>
    <w:pPr>
      <w:spacing w:line="240" w:lineRule="auto"/>
      <w:ind w:left="660" w:hanging="220"/>
    </w:pPr>
  </w:style>
  <w:style w:type="paragraph" w:styleId="50">
    <w:name w:val="Date"/>
    <w:basedOn w:val="1"/>
    <w:next w:val="1"/>
    <w:link w:val="120"/>
    <w:qFormat/>
    <w:uiPriority w:val="99"/>
  </w:style>
  <w:style w:type="paragraph" w:styleId="51">
    <w:name w:val="Body Text Indent 2"/>
    <w:basedOn w:val="1"/>
    <w:link w:val="121"/>
    <w:qFormat/>
    <w:uiPriority w:val="99"/>
    <w:pPr>
      <w:spacing w:after="120" w:line="480" w:lineRule="auto"/>
      <w:ind w:left="360"/>
    </w:pPr>
  </w:style>
  <w:style w:type="paragraph" w:styleId="52">
    <w:name w:val="endnote text"/>
    <w:basedOn w:val="1"/>
    <w:link w:val="122"/>
    <w:qFormat/>
    <w:uiPriority w:val="99"/>
    <w:pPr>
      <w:spacing w:line="240" w:lineRule="auto"/>
    </w:pPr>
    <w:rPr>
      <w:rFonts w:ascii="Times New Roman" w:hAnsi="Times New Roman" w:eastAsia="宋体" w:cs="Times New Roman"/>
      <w:sz w:val="20"/>
      <w:szCs w:val="20"/>
    </w:rPr>
  </w:style>
  <w:style w:type="paragraph" w:styleId="53">
    <w:name w:val="List Continue 5"/>
    <w:basedOn w:val="1"/>
    <w:qFormat/>
    <w:uiPriority w:val="99"/>
    <w:pPr>
      <w:spacing w:after="120"/>
      <w:ind w:left="1800"/>
      <w:contextualSpacing/>
    </w:pPr>
  </w:style>
  <w:style w:type="paragraph" w:styleId="54">
    <w:name w:val="Balloon Text"/>
    <w:basedOn w:val="1"/>
    <w:link w:val="123"/>
    <w:qFormat/>
    <w:uiPriority w:val="99"/>
    <w:pPr>
      <w:spacing w:line="240" w:lineRule="auto"/>
    </w:pPr>
    <w:rPr>
      <w:rFonts w:ascii="Tahoma" w:hAnsi="Tahoma" w:eastAsia="宋体" w:cs="Times New Roman"/>
      <w:sz w:val="16"/>
      <w:szCs w:val="16"/>
    </w:rPr>
  </w:style>
  <w:style w:type="paragraph" w:styleId="55">
    <w:name w:val="footer"/>
    <w:basedOn w:val="1"/>
    <w:link w:val="124"/>
    <w:qFormat/>
    <w:uiPriority w:val="99"/>
    <w:pPr>
      <w:tabs>
        <w:tab w:val="center" w:pos="4680"/>
        <w:tab w:val="right" w:pos="9360"/>
      </w:tabs>
      <w:spacing w:line="240" w:lineRule="auto"/>
    </w:pPr>
  </w:style>
  <w:style w:type="paragraph" w:styleId="56">
    <w:name w:val="envelope return"/>
    <w:basedOn w:val="1"/>
    <w:qFormat/>
    <w:uiPriority w:val="99"/>
    <w:pPr>
      <w:spacing w:line="240" w:lineRule="auto"/>
    </w:pPr>
    <w:rPr>
      <w:sz w:val="20"/>
      <w:szCs w:val="20"/>
    </w:rPr>
  </w:style>
  <w:style w:type="paragraph" w:styleId="57">
    <w:name w:val="header"/>
    <w:basedOn w:val="1"/>
    <w:link w:val="127"/>
    <w:qFormat/>
    <w:uiPriority w:val="99"/>
    <w:pPr>
      <w:tabs>
        <w:tab w:val="center" w:pos="4680"/>
        <w:tab w:val="right" w:pos="9360"/>
      </w:tabs>
      <w:spacing w:after="800"/>
      <w:ind w:right="-720"/>
      <w:jc w:val="right"/>
    </w:pPr>
    <w:rPr>
      <w:rFonts w:ascii="Times New Roman" w:hAnsi="Times New Roman" w:eastAsia="宋体" w:cs="Times New Roman"/>
      <w:color w:val="262626"/>
      <w:sz w:val="18"/>
      <w:szCs w:val="18"/>
    </w:rPr>
  </w:style>
  <w:style w:type="paragraph" w:styleId="58">
    <w:name w:val="Signature"/>
    <w:basedOn w:val="1"/>
    <w:link w:val="128"/>
    <w:qFormat/>
    <w:uiPriority w:val="99"/>
    <w:pPr>
      <w:spacing w:before="600" w:line="240" w:lineRule="auto"/>
    </w:pPr>
    <w:rPr>
      <w:rFonts w:ascii="Times New Roman" w:hAnsi="Times New Roman" w:eastAsia="宋体" w:cs="Times New Roman"/>
      <w:color w:val="3F3F3F"/>
      <w:sz w:val="20"/>
      <w:szCs w:val="20"/>
    </w:rPr>
  </w:style>
  <w:style w:type="paragraph" w:styleId="59">
    <w:name w:val="toc 1"/>
    <w:basedOn w:val="1"/>
    <w:next w:val="1"/>
    <w:link w:val="154"/>
    <w:qFormat/>
    <w:uiPriority w:val="39"/>
    <w:pPr>
      <w:spacing w:after="100"/>
    </w:pPr>
  </w:style>
  <w:style w:type="paragraph" w:styleId="60">
    <w:name w:val="List Continue 4"/>
    <w:basedOn w:val="1"/>
    <w:qFormat/>
    <w:uiPriority w:val="99"/>
    <w:pPr>
      <w:spacing w:after="120"/>
      <w:ind w:left="1440"/>
      <w:contextualSpacing/>
    </w:pPr>
  </w:style>
  <w:style w:type="paragraph" w:styleId="61">
    <w:name w:val="toc 4"/>
    <w:basedOn w:val="1"/>
    <w:next w:val="1"/>
    <w:qFormat/>
    <w:uiPriority w:val="99"/>
    <w:pPr>
      <w:spacing w:after="100"/>
      <w:ind w:left="660"/>
    </w:pPr>
  </w:style>
  <w:style w:type="paragraph" w:styleId="62">
    <w:name w:val="index heading"/>
    <w:basedOn w:val="1"/>
    <w:next w:val="63"/>
    <w:qFormat/>
    <w:uiPriority w:val="99"/>
    <w:rPr>
      <w:b/>
      <w:bCs/>
    </w:rPr>
  </w:style>
  <w:style w:type="paragraph" w:styleId="63">
    <w:name w:val="index 1"/>
    <w:basedOn w:val="1"/>
    <w:next w:val="1"/>
    <w:qFormat/>
    <w:uiPriority w:val="99"/>
    <w:pPr>
      <w:spacing w:line="240" w:lineRule="auto"/>
      <w:ind w:left="220" w:hanging="220"/>
    </w:pPr>
  </w:style>
  <w:style w:type="paragraph" w:styleId="64">
    <w:name w:val="Subtitle"/>
    <w:basedOn w:val="1"/>
    <w:next w:val="1"/>
    <w:link w:val="129"/>
    <w:qFormat/>
    <w:uiPriority w:val="99"/>
    <w:rPr>
      <w:rFonts w:cs="Times New Roman"/>
      <w:i/>
      <w:iCs/>
      <w:color w:val="8D002D"/>
      <w:spacing w:val="15"/>
      <w:sz w:val="24"/>
      <w:szCs w:val="24"/>
    </w:rPr>
  </w:style>
  <w:style w:type="paragraph" w:styleId="65">
    <w:name w:val="List Number 5"/>
    <w:basedOn w:val="1"/>
    <w:qFormat/>
    <w:uiPriority w:val="99"/>
    <w:pPr>
      <w:tabs>
        <w:tab w:val="left" w:pos="1800"/>
      </w:tabs>
      <w:ind w:left="1800" w:hanging="360"/>
      <w:contextualSpacing/>
    </w:pPr>
  </w:style>
  <w:style w:type="paragraph" w:styleId="66">
    <w:name w:val="List"/>
    <w:basedOn w:val="1"/>
    <w:qFormat/>
    <w:uiPriority w:val="99"/>
    <w:pPr>
      <w:ind w:left="360" w:hanging="360"/>
      <w:contextualSpacing/>
    </w:pPr>
  </w:style>
  <w:style w:type="paragraph" w:styleId="67">
    <w:name w:val="footnote text"/>
    <w:basedOn w:val="1"/>
    <w:link w:val="130"/>
    <w:qFormat/>
    <w:uiPriority w:val="99"/>
    <w:pPr>
      <w:spacing w:line="240" w:lineRule="auto"/>
    </w:pPr>
    <w:rPr>
      <w:rFonts w:ascii="Times New Roman" w:hAnsi="Times New Roman" w:eastAsia="宋体" w:cs="Times New Roman"/>
      <w:sz w:val="20"/>
      <w:szCs w:val="20"/>
    </w:rPr>
  </w:style>
  <w:style w:type="paragraph" w:styleId="68">
    <w:name w:val="toc 6"/>
    <w:basedOn w:val="1"/>
    <w:next w:val="1"/>
    <w:qFormat/>
    <w:uiPriority w:val="99"/>
    <w:pPr>
      <w:spacing w:after="100"/>
      <w:ind w:left="1100"/>
    </w:pPr>
  </w:style>
  <w:style w:type="paragraph" w:styleId="69">
    <w:name w:val="List 5"/>
    <w:basedOn w:val="1"/>
    <w:qFormat/>
    <w:uiPriority w:val="99"/>
    <w:pPr>
      <w:ind w:left="1800" w:hanging="360"/>
      <w:contextualSpacing/>
    </w:pPr>
  </w:style>
  <w:style w:type="paragraph" w:styleId="70">
    <w:name w:val="Body Text Indent 3"/>
    <w:basedOn w:val="1"/>
    <w:link w:val="131"/>
    <w:qFormat/>
    <w:uiPriority w:val="99"/>
    <w:pPr>
      <w:spacing w:after="120"/>
      <w:ind w:left="360"/>
    </w:pPr>
    <w:rPr>
      <w:rFonts w:ascii="Times New Roman" w:hAnsi="Times New Roman" w:eastAsia="宋体" w:cs="Times New Roman"/>
      <w:sz w:val="16"/>
      <w:szCs w:val="16"/>
    </w:rPr>
  </w:style>
  <w:style w:type="paragraph" w:styleId="71">
    <w:name w:val="index 7"/>
    <w:basedOn w:val="1"/>
    <w:next w:val="1"/>
    <w:qFormat/>
    <w:uiPriority w:val="99"/>
    <w:pPr>
      <w:spacing w:line="240" w:lineRule="auto"/>
      <w:ind w:left="1540" w:hanging="220"/>
    </w:pPr>
  </w:style>
  <w:style w:type="paragraph" w:styleId="72">
    <w:name w:val="index 9"/>
    <w:basedOn w:val="1"/>
    <w:next w:val="1"/>
    <w:qFormat/>
    <w:uiPriority w:val="99"/>
    <w:pPr>
      <w:spacing w:line="240" w:lineRule="auto"/>
      <w:ind w:left="1980" w:hanging="220"/>
    </w:pPr>
  </w:style>
  <w:style w:type="paragraph" w:styleId="73">
    <w:name w:val="table of figures"/>
    <w:basedOn w:val="1"/>
    <w:next w:val="1"/>
    <w:qFormat/>
    <w:uiPriority w:val="99"/>
  </w:style>
  <w:style w:type="paragraph" w:styleId="74">
    <w:name w:val="toc 2"/>
    <w:basedOn w:val="1"/>
    <w:next w:val="1"/>
    <w:qFormat/>
    <w:uiPriority w:val="39"/>
    <w:pPr>
      <w:spacing w:after="100"/>
      <w:ind w:left="220"/>
    </w:pPr>
  </w:style>
  <w:style w:type="paragraph" w:styleId="75">
    <w:name w:val="toc 9"/>
    <w:basedOn w:val="1"/>
    <w:next w:val="1"/>
    <w:qFormat/>
    <w:uiPriority w:val="99"/>
    <w:pPr>
      <w:spacing w:after="100"/>
      <w:ind w:left="1760"/>
    </w:pPr>
  </w:style>
  <w:style w:type="paragraph" w:styleId="76">
    <w:name w:val="Body Text 2"/>
    <w:basedOn w:val="1"/>
    <w:link w:val="126"/>
    <w:qFormat/>
    <w:uiPriority w:val="99"/>
    <w:pPr>
      <w:spacing w:after="120"/>
      <w:ind w:left="360"/>
    </w:pPr>
  </w:style>
  <w:style w:type="paragraph" w:styleId="77">
    <w:name w:val="List 4"/>
    <w:basedOn w:val="1"/>
    <w:qFormat/>
    <w:uiPriority w:val="99"/>
    <w:pPr>
      <w:ind w:left="1440" w:hanging="360"/>
      <w:contextualSpacing/>
    </w:pPr>
  </w:style>
  <w:style w:type="paragraph" w:styleId="78">
    <w:name w:val="List Continue 2"/>
    <w:basedOn w:val="1"/>
    <w:qFormat/>
    <w:uiPriority w:val="99"/>
    <w:pPr>
      <w:spacing w:after="120"/>
      <w:ind w:left="720"/>
      <w:contextualSpacing/>
    </w:pPr>
  </w:style>
  <w:style w:type="paragraph" w:styleId="79">
    <w:name w:val="Message Header"/>
    <w:basedOn w:val="1"/>
    <w:link w:val="132"/>
    <w:qFormat/>
    <w:uiPriority w:val="99"/>
    <w:pPr>
      <w:pBdr>
        <w:top w:val="single" w:color="auto" w:sz="6" w:space="1"/>
        <w:left w:val="single" w:color="auto" w:sz="6" w:space="1"/>
        <w:bottom w:val="single" w:color="auto" w:sz="6" w:space="1"/>
        <w:right w:val="single" w:color="auto" w:sz="6" w:space="1"/>
      </w:pBdr>
      <w:shd w:val="pct20" w:color="auto" w:fill="auto"/>
      <w:spacing w:line="240" w:lineRule="auto"/>
      <w:ind w:left="1080" w:hanging="1080"/>
    </w:pPr>
    <w:rPr>
      <w:rFonts w:cs="Times New Roman"/>
      <w:sz w:val="24"/>
      <w:szCs w:val="24"/>
    </w:rPr>
  </w:style>
  <w:style w:type="paragraph" w:styleId="80">
    <w:name w:val="HTML Preformatted"/>
    <w:basedOn w:val="1"/>
    <w:link w:val="133"/>
    <w:qFormat/>
    <w:uiPriority w:val="99"/>
    <w:pPr>
      <w:spacing w:line="240" w:lineRule="auto"/>
    </w:pPr>
    <w:rPr>
      <w:rFonts w:ascii="Consolas" w:hAnsi="Consolas" w:eastAsia="宋体" w:cs="Times New Roman"/>
      <w:sz w:val="20"/>
      <w:szCs w:val="20"/>
    </w:rPr>
  </w:style>
  <w:style w:type="paragraph" w:styleId="81">
    <w:name w:val="Normal (Web)"/>
    <w:basedOn w:val="1"/>
    <w:qFormat/>
    <w:uiPriority w:val="99"/>
    <w:rPr>
      <w:rFonts w:ascii="Times New Roman" w:hAnsi="Times New Roman" w:cs="Times New Roman"/>
      <w:sz w:val="24"/>
      <w:szCs w:val="24"/>
    </w:rPr>
  </w:style>
  <w:style w:type="paragraph" w:styleId="82">
    <w:name w:val="List Continue 3"/>
    <w:basedOn w:val="1"/>
    <w:qFormat/>
    <w:uiPriority w:val="99"/>
    <w:pPr>
      <w:spacing w:after="120"/>
      <w:ind w:left="1080"/>
      <w:contextualSpacing/>
    </w:pPr>
  </w:style>
  <w:style w:type="paragraph" w:styleId="83">
    <w:name w:val="index 2"/>
    <w:basedOn w:val="1"/>
    <w:next w:val="1"/>
    <w:qFormat/>
    <w:uiPriority w:val="99"/>
    <w:pPr>
      <w:spacing w:line="240" w:lineRule="auto"/>
      <w:ind w:left="440" w:hanging="220"/>
    </w:pPr>
  </w:style>
  <w:style w:type="paragraph" w:styleId="84">
    <w:name w:val="Title"/>
    <w:basedOn w:val="1"/>
    <w:next w:val="1"/>
    <w:link w:val="134"/>
    <w:qFormat/>
    <w:uiPriority w:val="99"/>
    <w:pPr>
      <w:spacing w:line="240" w:lineRule="auto"/>
      <w:ind w:right="-720"/>
      <w:jc w:val="right"/>
    </w:pPr>
    <w:rPr>
      <w:rFonts w:cs="Times New Roman"/>
      <w:b/>
      <w:color w:val="8D002D"/>
      <w:spacing w:val="5"/>
      <w:kern w:val="28"/>
      <w:sz w:val="32"/>
      <w:szCs w:val="32"/>
    </w:rPr>
  </w:style>
  <w:style w:type="paragraph" w:styleId="85">
    <w:name w:val="annotation subject"/>
    <w:basedOn w:val="28"/>
    <w:next w:val="28"/>
    <w:link w:val="107"/>
    <w:qFormat/>
    <w:uiPriority w:val="99"/>
    <w:rPr>
      <w:b/>
      <w:bCs/>
    </w:rPr>
  </w:style>
  <w:style w:type="paragraph" w:styleId="86">
    <w:name w:val="Body Text First Indent"/>
    <w:basedOn w:val="34"/>
    <w:link w:val="109"/>
    <w:qFormat/>
    <w:uiPriority w:val="99"/>
    <w:pPr>
      <w:spacing w:before="0"/>
      <w:ind w:firstLine="360"/>
    </w:pPr>
  </w:style>
  <w:style w:type="paragraph" w:styleId="87">
    <w:name w:val="Body Text First Indent 2"/>
    <w:basedOn w:val="76"/>
    <w:link w:val="125"/>
    <w:qFormat/>
    <w:uiPriority w:val="99"/>
    <w:pPr>
      <w:spacing w:after="0"/>
      <w:ind w:firstLine="360"/>
    </w:pPr>
  </w:style>
  <w:style w:type="table" w:styleId="89">
    <w:name w:val="Table Grid"/>
    <w:basedOn w:val="88"/>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91">
    <w:name w:val="Strong"/>
    <w:basedOn w:val="90"/>
    <w:qFormat/>
    <w:uiPriority w:val="0"/>
    <w:rPr>
      <w:b/>
    </w:rPr>
  </w:style>
  <w:style w:type="character" w:styleId="92">
    <w:name w:val="page number"/>
    <w:basedOn w:val="90"/>
    <w:qFormat/>
    <w:uiPriority w:val="99"/>
    <w:rPr>
      <w:rFonts w:cs="Times New Roman"/>
    </w:rPr>
  </w:style>
  <w:style w:type="character" w:styleId="93">
    <w:name w:val="FollowedHyperlink"/>
    <w:basedOn w:val="90"/>
    <w:semiHidden/>
    <w:unhideWhenUsed/>
    <w:qFormat/>
    <w:locked/>
    <w:uiPriority w:val="99"/>
    <w:rPr>
      <w:color w:val="800080"/>
      <w:u w:val="single"/>
    </w:rPr>
  </w:style>
  <w:style w:type="character" w:styleId="94">
    <w:name w:val="line number"/>
    <w:basedOn w:val="90"/>
    <w:semiHidden/>
    <w:unhideWhenUsed/>
    <w:qFormat/>
    <w:locked/>
    <w:uiPriority w:val="99"/>
  </w:style>
  <w:style w:type="character" w:styleId="95">
    <w:name w:val="Hyperlink"/>
    <w:basedOn w:val="90"/>
    <w:qFormat/>
    <w:uiPriority w:val="99"/>
    <w:rPr>
      <w:rFonts w:cs="Times New Roman"/>
      <w:color w:val="0000FF"/>
      <w:u w:val="single"/>
    </w:rPr>
  </w:style>
  <w:style w:type="character" w:styleId="96">
    <w:name w:val="annotation reference"/>
    <w:basedOn w:val="90"/>
    <w:qFormat/>
    <w:uiPriority w:val="99"/>
    <w:rPr>
      <w:rFonts w:cs="Times New Roman"/>
      <w:sz w:val="21"/>
    </w:rPr>
  </w:style>
  <w:style w:type="character" w:customStyle="1" w:styleId="97">
    <w:name w:val="标题 1 Char"/>
    <w:basedOn w:val="90"/>
    <w:link w:val="3"/>
    <w:qFormat/>
    <w:locked/>
    <w:uiPriority w:val="99"/>
    <w:rPr>
      <w:rFonts w:ascii="Bell MT" w:hAnsi="Bell MT" w:eastAsia="黑体" w:cs="Times New Roman"/>
      <w:b/>
      <w:color w:val="680021"/>
      <w:sz w:val="28"/>
    </w:rPr>
  </w:style>
  <w:style w:type="character" w:customStyle="1" w:styleId="98">
    <w:name w:val="标题 2 Char"/>
    <w:basedOn w:val="90"/>
    <w:link w:val="4"/>
    <w:semiHidden/>
    <w:qFormat/>
    <w:locked/>
    <w:uiPriority w:val="99"/>
    <w:rPr>
      <w:rFonts w:ascii="Bell MT" w:hAnsi="Bell MT" w:eastAsia="黑体" w:cs="Times New Roman"/>
      <w:b/>
      <w:color w:val="8D002D"/>
      <w:sz w:val="26"/>
    </w:rPr>
  </w:style>
  <w:style w:type="character" w:customStyle="1" w:styleId="99">
    <w:name w:val="标题 3 Char"/>
    <w:basedOn w:val="90"/>
    <w:link w:val="5"/>
    <w:semiHidden/>
    <w:qFormat/>
    <w:locked/>
    <w:uiPriority w:val="99"/>
    <w:rPr>
      <w:rFonts w:ascii="Bell MT" w:hAnsi="Bell MT" w:eastAsia="黑体" w:cs="Times New Roman"/>
      <w:b/>
      <w:color w:val="8D002D"/>
    </w:rPr>
  </w:style>
  <w:style w:type="character" w:customStyle="1" w:styleId="100">
    <w:name w:val="标题 4 Char"/>
    <w:basedOn w:val="90"/>
    <w:link w:val="6"/>
    <w:semiHidden/>
    <w:qFormat/>
    <w:locked/>
    <w:uiPriority w:val="99"/>
    <w:rPr>
      <w:rFonts w:ascii="Bell MT" w:hAnsi="Bell MT" w:eastAsia="黑体" w:cs="Times New Roman"/>
      <w:b/>
      <w:i/>
      <w:color w:val="8D002D"/>
    </w:rPr>
  </w:style>
  <w:style w:type="character" w:customStyle="1" w:styleId="101">
    <w:name w:val="标题 5 Char"/>
    <w:basedOn w:val="90"/>
    <w:link w:val="7"/>
    <w:semiHidden/>
    <w:qFormat/>
    <w:locked/>
    <w:uiPriority w:val="99"/>
    <w:rPr>
      <w:rFonts w:ascii="Bell MT" w:hAnsi="Bell MT" w:eastAsia="黑体" w:cs="Times New Roman"/>
      <w:color w:val="450016"/>
    </w:rPr>
  </w:style>
  <w:style w:type="character" w:customStyle="1" w:styleId="102">
    <w:name w:val="标题 6 Char"/>
    <w:basedOn w:val="90"/>
    <w:link w:val="8"/>
    <w:semiHidden/>
    <w:qFormat/>
    <w:locked/>
    <w:uiPriority w:val="99"/>
    <w:rPr>
      <w:rFonts w:ascii="Bell MT" w:hAnsi="Bell MT" w:eastAsia="黑体" w:cs="Times New Roman"/>
      <w:i/>
      <w:color w:val="450016"/>
    </w:rPr>
  </w:style>
  <w:style w:type="character" w:customStyle="1" w:styleId="103">
    <w:name w:val="标题 7 Char"/>
    <w:basedOn w:val="90"/>
    <w:link w:val="9"/>
    <w:semiHidden/>
    <w:qFormat/>
    <w:locked/>
    <w:uiPriority w:val="99"/>
    <w:rPr>
      <w:rFonts w:ascii="Bell MT" w:hAnsi="Bell MT" w:eastAsia="黑体" w:cs="Times New Roman"/>
      <w:i/>
      <w:color w:val="3F3F3F"/>
    </w:rPr>
  </w:style>
  <w:style w:type="character" w:customStyle="1" w:styleId="104">
    <w:name w:val="标题 8 Char"/>
    <w:basedOn w:val="90"/>
    <w:link w:val="10"/>
    <w:semiHidden/>
    <w:qFormat/>
    <w:locked/>
    <w:uiPriority w:val="99"/>
    <w:rPr>
      <w:rFonts w:ascii="Bell MT" w:hAnsi="Bell MT" w:eastAsia="黑体" w:cs="Times New Roman"/>
      <w:color w:val="3F3F3F"/>
      <w:sz w:val="20"/>
    </w:rPr>
  </w:style>
  <w:style w:type="character" w:customStyle="1" w:styleId="105">
    <w:name w:val="标题 9 Char"/>
    <w:basedOn w:val="90"/>
    <w:link w:val="11"/>
    <w:semiHidden/>
    <w:qFormat/>
    <w:locked/>
    <w:uiPriority w:val="99"/>
    <w:rPr>
      <w:rFonts w:ascii="Bell MT" w:hAnsi="Bell MT" w:eastAsia="黑体" w:cs="Times New Roman"/>
      <w:i/>
      <w:color w:val="3F3F3F"/>
      <w:sz w:val="20"/>
    </w:rPr>
  </w:style>
  <w:style w:type="character" w:customStyle="1" w:styleId="106">
    <w:name w:val="批注文字 Char"/>
    <w:basedOn w:val="90"/>
    <w:link w:val="28"/>
    <w:qFormat/>
    <w:locked/>
    <w:uiPriority w:val="99"/>
    <w:rPr>
      <w:rFonts w:cs="Times New Roman"/>
      <w:sz w:val="20"/>
    </w:rPr>
  </w:style>
  <w:style w:type="character" w:customStyle="1" w:styleId="107">
    <w:name w:val="批注主题 Char"/>
    <w:basedOn w:val="106"/>
    <w:link w:val="85"/>
    <w:semiHidden/>
    <w:qFormat/>
    <w:locked/>
    <w:uiPriority w:val="99"/>
    <w:rPr>
      <w:rFonts w:cs="Times New Roman"/>
      <w:b/>
      <w:sz w:val="20"/>
    </w:rPr>
  </w:style>
  <w:style w:type="character" w:customStyle="1" w:styleId="108">
    <w:name w:val="正文文本 Char"/>
    <w:basedOn w:val="90"/>
    <w:link w:val="34"/>
    <w:qFormat/>
    <w:locked/>
    <w:uiPriority w:val="99"/>
    <w:rPr>
      <w:rFonts w:cs="Times New Roman"/>
    </w:rPr>
  </w:style>
  <w:style w:type="character" w:customStyle="1" w:styleId="109">
    <w:name w:val="正文首行缩进 Char"/>
    <w:basedOn w:val="108"/>
    <w:link w:val="86"/>
    <w:semiHidden/>
    <w:qFormat/>
    <w:locked/>
    <w:uiPriority w:val="99"/>
    <w:rPr>
      <w:rFonts w:cs="Times New Roman"/>
    </w:rPr>
  </w:style>
  <w:style w:type="character" w:customStyle="1" w:styleId="110">
    <w:name w:val="宏文本 Char"/>
    <w:basedOn w:val="90"/>
    <w:link w:val="2"/>
    <w:qFormat/>
    <w:locked/>
    <w:uiPriority w:val="99"/>
    <w:rPr>
      <w:rFonts w:ascii="Consolas" w:hAnsi="Consolas"/>
      <w:lang w:val="en-US" w:eastAsia="zh-CN" w:bidi="ar-SA"/>
    </w:rPr>
  </w:style>
  <w:style w:type="character" w:customStyle="1" w:styleId="111">
    <w:name w:val="注释标题 Char"/>
    <w:basedOn w:val="90"/>
    <w:link w:val="16"/>
    <w:semiHidden/>
    <w:qFormat/>
    <w:locked/>
    <w:uiPriority w:val="99"/>
    <w:rPr>
      <w:rFonts w:cs="Times New Roman"/>
    </w:rPr>
  </w:style>
  <w:style w:type="character" w:customStyle="1" w:styleId="112">
    <w:name w:val="电子邮件签名 Char"/>
    <w:basedOn w:val="90"/>
    <w:link w:val="19"/>
    <w:semiHidden/>
    <w:qFormat/>
    <w:locked/>
    <w:uiPriority w:val="99"/>
    <w:rPr>
      <w:rFonts w:cs="Times New Roman"/>
    </w:rPr>
  </w:style>
  <w:style w:type="character" w:customStyle="1" w:styleId="113">
    <w:name w:val="文档结构图 Char"/>
    <w:basedOn w:val="90"/>
    <w:link w:val="26"/>
    <w:semiHidden/>
    <w:qFormat/>
    <w:locked/>
    <w:uiPriority w:val="99"/>
    <w:rPr>
      <w:rFonts w:ascii="Tahoma" w:hAnsi="Tahoma" w:cs="Times New Roman"/>
      <w:sz w:val="16"/>
    </w:rPr>
  </w:style>
  <w:style w:type="character" w:customStyle="1" w:styleId="114">
    <w:name w:val="称呼 Char"/>
    <w:basedOn w:val="90"/>
    <w:link w:val="30"/>
    <w:semiHidden/>
    <w:qFormat/>
    <w:locked/>
    <w:uiPriority w:val="99"/>
    <w:rPr>
      <w:rFonts w:cs="Times New Roman"/>
    </w:rPr>
  </w:style>
  <w:style w:type="character" w:customStyle="1" w:styleId="115">
    <w:name w:val="正文文本 3 Char"/>
    <w:basedOn w:val="90"/>
    <w:link w:val="31"/>
    <w:semiHidden/>
    <w:qFormat/>
    <w:locked/>
    <w:uiPriority w:val="99"/>
    <w:rPr>
      <w:rFonts w:cs="Times New Roman"/>
      <w:sz w:val="16"/>
    </w:rPr>
  </w:style>
  <w:style w:type="character" w:customStyle="1" w:styleId="116">
    <w:name w:val="结束语 Char"/>
    <w:basedOn w:val="90"/>
    <w:link w:val="32"/>
    <w:qFormat/>
    <w:locked/>
    <w:uiPriority w:val="99"/>
    <w:rPr>
      <w:rFonts w:cs="Times New Roman"/>
    </w:rPr>
  </w:style>
  <w:style w:type="character" w:customStyle="1" w:styleId="117">
    <w:name w:val="正文文本缩进 Char"/>
    <w:basedOn w:val="90"/>
    <w:link w:val="35"/>
    <w:qFormat/>
    <w:locked/>
    <w:uiPriority w:val="99"/>
    <w:rPr>
      <w:rFonts w:ascii="华文中宋" w:hAnsi="华文中宋" w:eastAsia="华文中宋" w:cs="Times New Roman"/>
      <w:kern w:val="2"/>
      <w:sz w:val="24"/>
    </w:rPr>
  </w:style>
  <w:style w:type="character" w:customStyle="1" w:styleId="118">
    <w:name w:val="HTML 地址 Char"/>
    <w:basedOn w:val="90"/>
    <w:link w:val="41"/>
    <w:semiHidden/>
    <w:qFormat/>
    <w:locked/>
    <w:uiPriority w:val="99"/>
    <w:rPr>
      <w:rFonts w:cs="Times New Roman"/>
      <w:i/>
    </w:rPr>
  </w:style>
  <w:style w:type="character" w:customStyle="1" w:styleId="119">
    <w:name w:val="纯文本 Char"/>
    <w:basedOn w:val="90"/>
    <w:link w:val="45"/>
    <w:semiHidden/>
    <w:qFormat/>
    <w:locked/>
    <w:uiPriority w:val="99"/>
    <w:rPr>
      <w:rFonts w:ascii="Consolas" w:hAnsi="Consolas" w:cs="Times New Roman"/>
      <w:sz w:val="21"/>
    </w:rPr>
  </w:style>
  <w:style w:type="character" w:customStyle="1" w:styleId="120">
    <w:name w:val="日期 Char"/>
    <w:basedOn w:val="90"/>
    <w:link w:val="50"/>
    <w:semiHidden/>
    <w:qFormat/>
    <w:locked/>
    <w:uiPriority w:val="99"/>
    <w:rPr>
      <w:rFonts w:cs="Times New Roman"/>
    </w:rPr>
  </w:style>
  <w:style w:type="character" w:customStyle="1" w:styleId="121">
    <w:name w:val="正文文本缩进 2 Char"/>
    <w:basedOn w:val="90"/>
    <w:link w:val="51"/>
    <w:semiHidden/>
    <w:qFormat/>
    <w:locked/>
    <w:uiPriority w:val="99"/>
    <w:rPr>
      <w:rFonts w:cs="Times New Roman"/>
    </w:rPr>
  </w:style>
  <w:style w:type="character" w:customStyle="1" w:styleId="122">
    <w:name w:val="尾注文本 Char"/>
    <w:basedOn w:val="90"/>
    <w:link w:val="52"/>
    <w:semiHidden/>
    <w:qFormat/>
    <w:locked/>
    <w:uiPriority w:val="99"/>
    <w:rPr>
      <w:rFonts w:cs="Times New Roman"/>
      <w:sz w:val="20"/>
    </w:rPr>
  </w:style>
  <w:style w:type="character" w:customStyle="1" w:styleId="123">
    <w:name w:val="批注框文本 Char"/>
    <w:basedOn w:val="90"/>
    <w:link w:val="54"/>
    <w:semiHidden/>
    <w:qFormat/>
    <w:locked/>
    <w:uiPriority w:val="99"/>
    <w:rPr>
      <w:rFonts w:ascii="Tahoma" w:hAnsi="Tahoma" w:cs="Times New Roman"/>
      <w:sz w:val="16"/>
    </w:rPr>
  </w:style>
  <w:style w:type="character" w:customStyle="1" w:styleId="124">
    <w:name w:val="页脚 Char"/>
    <w:basedOn w:val="90"/>
    <w:link w:val="55"/>
    <w:qFormat/>
    <w:locked/>
    <w:uiPriority w:val="99"/>
    <w:rPr>
      <w:rFonts w:cs="Times New Roman"/>
    </w:rPr>
  </w:style>
  <w:style w:type="character" w:customStyle="1" w:styleId="125">
    <w:name w:val="正文首行缩进 2 Char"/>
    <w:basedOn w:val="126"/>
    <w:link w:val="87"/>
    <w:semiHidden/>
    <w:qFormat/>
    <w:locked/>
    <w:uiPriority w:val="99"/>
    <w:rPr>
      <w:rFonts w:cs="Times New Roman"/>
    </w:rPr>
  </w:style>
  <w:style w:type="character" w:customStyle="1" w:styleId="126">
    <w:name w:val="正文文本 2 Char"/>
    <w:basedOn w:val="90"/>
    <w:link w:val="76"/>
    <w:semiHidden/>
    <w:qFormat/>
    <w:locked/>
    <w:uiPriority w:val="99"/>
    <w:rPr>
      <w:rFonts w:cs="Times New Roman"/>
    </w:rPr>
  </w:style>
  <w:style w:type="character" w:customStyle="1" w:styleId="127">
    <w:name w:val="页眉 Char"/>
    <w:basedOn w:val="90"/>
    <w:link w:val="57"/>
    <w:qFormat/>
    <w:locked/>
    <w:uiPriority w:val="99"/>
    <w:rPr>
      <w:rFonts w:cs="Times New Roman"/>
      <w:color w:val="262626"/>
      <w:sz w:val="18"/>
    </w:rPr>
  </w:style>
  <w:style w:type="character" w:customStyle="1" w:styleId="128">
    <w:name w:val="签名 Char"/>
    <w:basedOn w:val="90"/>
    <w:link w:val="58"/>
    <w:qFormat/>
    <w:locked/>
    <w:uiPriority w:val="99"/>
    <w:rPr>
      <w:rFonts w:cs="Times New Roman"/>
      <w:color w:val="3F3F3F"/>
    </w:rPr>
  </w:style>
  <w:style w:type="character" w:customStyle="1" w:styleId="129">
    <w:name w:val="副标题 Char"/>
    <w:basedOn w:val="90"/>
    <w:link w:val="64"/>
    <w:qFormat/>
    <w:locked/>
    <w:uiPriority w:val="99"/>
    <w:rPr>
      <w:rFonts w:ascii="Bell MT" w:hAnsi="Bell MT" w:eastAsia="黑体" w:cs="Times New Roman"/>
      <w:i/>
      <w:color w:val="8D002D"/>
      <w:spacing w:val="15"/>
      <w:sz w:val="24"/>
    </w:rPr>
  </w:style>
  <w:style w:type="character" w:customStyle="1" w:styleId="130">
    <w:name w:val="脚注文本 Char"/>
    <w:basedOn w:val="90"/>
    <w:link w:val="67"/>
    <w:semiHidden/>
    <w:qFormat/>
    <w:locked/>
    <w:uiPriority w:val="99"/>
    <w:rPr>
      <w:rFonts w:cs="Times New Roman"/>
      <w:sz w:val="20"/>
    </w:rPr>
  </w:style>
  <w:style w:type="character" w:customStyle="1" w:styleId="131">
    <w:name w:val="正文文本缩进 3 Char"/>
    <w:basedOn w:val="90"/>
    <w:link w:val="70"/>
    <w:semiHidden/>
    <w:qFormat/>
    <w:locked/>
    <w:uiPriority w:val="99"/>
    <w:rPr>
      <w:rFonts w:cs="Times New Roman"/>
      <w:sz w:val="16"/>
    </w:rPr>
  </w:style>
  <w:style w:type="character" w:customStyle="1" w:styleId="132">
    <w:name w:val="信息标题 Char"/>
    <w:basedOn w:val="90"/>
    <w:link w:val="79"/>
    <w:semiHidden/>
    <w:qFormat/>
    <w:locked/>
    <w:uiPriority w:val="99"/>
    <w:rPr>
      <w:rFonts w:ascii="Bell MT" w:hAnsi="Bell MT" w:eastAsia="黑体" w:cs="Times New Roman"/>
      <w:sz w:val="24"/>
      <w:shd w:val="pct20" w:color="auto" w:fill="auto"/>
    </w:rPr>
  </w:style>
  <w:style w:type="character" w:customStyle="1" w:styleId="133">
    <w:name w:val="HTML 预设格式 Char"/>
    <w:basedOn w:val="90"/>
    <w:link w:val="80"/>
    <w:semiHidden/>
    <w:qFormat/>
    <w:locked/>
    <w:uiPriority w:val="99"/>
    <w:rPr>
      <w:rFonts w:ascii="Consolas" w:hAnsi="Consolas" w:cs="Times New Roman"/>
      <w:sz w:val="20"/>
    </w:rPr>
  </w:style>
  <w:style w:type="character" w:customStyle="1" w:styleId="134">
    <w:name w:val="标题 Char"/>
    <w:basedOn w:val="90"/>
    <w:link w:val="84"/>
    <w:qFormat/>
    <w:locked/>
    <w:uiPriority w:val="99"/>
    <w:rPr>
      <w:rFonts w:ascii="Bell MT" w:hAnsi="Bell MT" w:eastAsia="黑体" w:cs="Times New Roman"/>
      <w:b/>
      <w:color w:val="8D002D"/>
      <w:spacing w:val="5"/>
      <w:kern w:val="28"/>
      <w:sz w:val="32"/>
    </w:rPr>
  </w:style>
  <w:style w:type="paragraph" w:customStyle="1" w:styleId="135">
    <w:name w:val="Contact Details"/>
    <w:basedOn w:val="1"/>
    <w:qFormat/>
    <w:uiPriority w:val="99"/>
    <w:pPr>
      <w:spacing w:before="120" w:after="240" w:line="240" w:lineRule="auto"/>
      <w:ind w:right="-720"/>
      <w:jc w:val="right"/>
    </w:pPr>
    <w:rPr>
      <w:color w:val="262626"/>
      <w:sz w:val="18"/>
      <w:szCs w:val="18"/>
    </w:rPr>
  </w:style>
  <w:style w:type="paragraph" w:customStyle="1" w:styleId="136">
    <w:name w:val="Address"/>
    <w:basedOn w:val="1"/>
    <w:qFormat/>
    <w:uiPriority w:val="99"/>
    <w:rPr>
      <w:sz w:val="20"/>
    </w:rPr>
  </w:style>
  <w:style w:type="paragraph" w:customStyle="1" w:styleId="137">
    <w:name w:val="Date and Recipient"/>
    <w:basedOn w:val="1"/>
    <w:qFormat/>
    <w:uiPriority w:val="99"/>
    <w:pPr>
      <w:spacing w:before="400"/>
    </w:pPr>
    <w:rPr>
      <w:color w:val="3F3F3F"/>
    </w:rPr>
  </w:style>
  <w:style w:type="paragraph" w:customStyle="1" w:styleId="138">
    <w:name w:val="书目1"/>
    <w:basedOn w:val="1"/>
    <w:next w:val="1"/>
    <w:qFormat/>
    <w:uiPriority w:val="99"/>
  </w:style>
  <w:style w:type="paragraph" w:customStyle="1" w:styleId="139">
    <w:name w:val="明显引用1"/>
    <w:basedOn w:val="1"/>
    <w:next w:val="1"/>
    <w:link w:val="147"/>
    <w:qFormat/>
    <w:uiPriority w:val="99"/>
    <w:pPr>
      <w:pBdr>
        <w:bottom w:val="single" w:color="8D002D" w:sz="4" w:space="4"/>
      </w:pBdr>
      <w:spacing w:before="200" w:after="280"/>
      <w:ind w:left="936" w:right="936"/>
    </w:pPr>
    <w:rPr>
      <w:rFonts w:ascii="Times New Roman" w:hAnsi="Times New Roman" w:eastAsia="宋体" w:cs="Times New Roman"/>
      <w:b/>
      <w:i/>
      <w:color w:val="8D002D"/>
      <w:sz w:val="20"/>
      <w:szCs w:val="20"/>
    </w:rPr>
  </w:style>
  <w:style w:type="paragraph" w:customStyle="1" w:styleId="140">
    <w:name w:val="列出段落1"/>
    <w:basedOn w:val="1"/>
    <w:qFormat/>
    <w:uiPriority w:val="99"/>
    <w:pPr>
      <w:ind w:left="720"/>
      <w:contextualSpacing/>
    </w:pPr>
  </w:style>
  <w:style w:type="paragraph" w:customStyle="1" w:styleId="141">
    <w:name w:val="无间隔1"/>
    <w:qFormat/>
    <w:uiPriority w:val="99"/>
    <w:rPr>
      <w:rFonts w:ascii="Bell MT" w:hAnsi="Bell MT" w:eastAsia="黑体" w:cs="黑体"/>
      <w:sz w:val="22"/>
      <w:szCs w:val="22"/>
      <w:lang w:val="en-US" w:eastAsia="zh-CN" w:bidi="ar-SA"/>
    </w:rPr>
  </w:style>
  <w:style w:type="paragraph" w:customStyle="1" w:styleId="142">
    <w:name w:val="引用1"/>
    <w:basedOn w:val="1"/>
    <w:next w:val="1"/>
    <w:link w:val="148"/>
    <w:qFormat/>
    <w:uiPriority w:val="99"/>
    <w:rPr>
      <w:rFonts w:ascii="Times New Roman" w:hAnsi="Times New Roman" w:eastAsia="宋体" w:cs="Times New Roman"/>
      <w:i/>
      <w:color w:val="000000"/>
      <w:sz w:val="20"/>
      <w:szCs w:val="20"/>
    </w:rPr>
  </w:style>
  <w:style w:type="paragraph" w:customStyle="1" w:styleId="143">
    <w:name w:val="TOC 标题1"/>
    <w:basedOn w:val="3"/>
    <w:next w:val="1"/>
    <w:qFormat/>
    <w:uiPriority w:val="99"/>
    <w:pPr>
      <w:outlineLvl w:val="9"/>
    </w:pPr>
  </w:style>
  <w:style w:type="paragraph" w:customStyle="1" w:styleId="144">
    <w:name w:val="默认段落字体 Para Char"/>
    <w:basedOn w:val="1"/>
    <w:next w:val="1"/>
    <w:qFormat/>
    <w:uiPriority w:val="99"/>
    <w:pPr>
      <w:widowControl w:val="0"/>
      <w:spacing w:line="360" w:lineRule="auto"/>
      <w:ind w:firstLine="200" w:firstLineChars="200"/>
      <w:jc w:val="both"/>
    </w:pPr>
    <w:rPr>
      <w:rFonts w:ascii="宋体" w:hAnsi="宋体" w:eastAsia="宋体" w:cs="宋体"/>
      <w:kern w:val="2"/>
      <w:sz w:val="24"/>
      <w:szCs w:val="24"/>
    </w:rPr>
  </w:style>
  <w:style w:type="paragraph" w:customStyle="1" w:styleId="145">
    <w:name w:val="font0"/>
    <w:basedOn w:val="1"/>
    <w:qFormat/>
    <w:uiPriority w:val="99"/>
    <w:pPr>
      <w:spacing w:before="100" w:beforeAutospacing="1" w:after="100" w:afterAutospacing="1" w:line="240" w:lineRule="auto"/>
    </w:pPr>
    <w:rPr>
      <w:rFonts w:ascii="宋体" w:hAnsi="宋体" w:eastAsia="宋体" w:cs="Times New Roman"/>
      <w:sz w:val="24"/>
      <w:szCs w:val="24"/>
    </w:rPr>
  </w:style>
  <w:style w:type="paragraph" w:customStyle="1" w:styleId="146">
    <w:name w:val="zw"/>
    <w:basedOn w:val="1"/>
    <w:qFormat/>
    <w:uiPriority w:val="99"/>
    <w:pPr>
      <w:widowControl w:val="0"/>
      <w:adjustRightInd w:val="0"/>
      <w:spacing w:line="360" w:lineRule="auto"/>
      <w:ind w:firstLine="482"/>
      <w:jc w:val="both"/>
      <w:textAlignment w:val="baseline"/>
    </w:pPr>
    <w:rPr>
      <w:rFonts w:ascii="Arial Narrow" w:hAnsi="Arial Narrow" w:eastAsia="楷体_GB2312" w:cs="Times New Roman"/>
      <w:sz w:val="24"/>
      <w:szCs w:val="20"/>
    </w:rPr>
  </w:style>
  <w:style w:type="character" w:customStyle="1" w:styleId="147">
    <w:name w:val="明显引用 Char"/>
    <w:link w:val="139"/>
    <w:qFormat/>
    <w:locked/>
    <w:uiPriority w:val="99"/>
    <w:rPr>
      <w:b/>
      <w:i/>
      <w:color w:val="8D002D"/>
    </w:rPr>
  </w:style>
  <w:style w:type="character" w:customStyle="1" w:styleId="148">
    <w:name w:val="引用 Char"/>
    <w:link w:val="142"/>
    <w:qFormat/>
    <w:locked/>
    <w:uiPriority w:val="99"/>
    <w:rPr>
      <w:i/>
      <w:color w:val="000000"/>
    </w:rPr>
  </w:style>
  <w:style w:type="character" w:customStyle="1" w:styleId="149">
    <w:name w:val="cp"/>
    <w:basedOn w:val="90"/>
    <w:qFormat/>
    <w:uiPriority w:val="99"/>
    <w:rPr>
      <w:rFonts w:cs="Times New Roman"/>
    </w:rPr>
  </w:style>
  <w:style w:type="character" w:customStyle="1" w:styleId="150">
    <w:name w:val="d12"/>
    <w:basedOn w:val="90"/>
    <w:qFormat/>
    <w:uiPriority w:val="99"/>
    <w:rPr>
      <w:rFonts w:cs="Times New Roman"/>
    </w:rPr>
  </w:style>
  <w:style w:type="character" w:customStyle="1" w:styleId="151">
    <w:name w:val="d4"/>
    <w:basedOn w:val="90"/>
    <w:qFormat/>
    <w:uiPriority w:val="99"/>
    <w:rPr>
      <w:rFonts w:cs="Times New Roman"/>
    </w:rPr>
  </w:style>
  <w:style w:type="character" w:customStyle="1" w:styleId="152">
    <w:name w:val="apple-converted-space"/>
    <w:basedOn w:val="90"/>
    <w:qFormat/>
    <w:uiPriority w:val="99"/>
    <w:rPr>
      <w:rFonts w:cs="Times New Roman"/>
    </w:rPr>
  </w:style>
  <w:style w:type="character" w:customStyle="1" w:styleId="153">
    <w:name w:val="Char Char2"/>
    <w:basedOn w:val="90"/>
    <w:qFormat/>
    <w:uiPriority w:val="99"/>
    <w:rPr>
      <w:rFonts w:cs="Times New Roman"/>
      <w:sz w:val="24"/>
      <w:szCs w:val="24"/>
      <w:lang w:eastAsia="en-US"/>
    </w:rPr>
  </w:style>
  <w:style w:type="character" w:customStyle="1" w:styleId="154">
    <w:name w:val="目录 1 Char"/>
    <w:basedOn w:val="90"/>
    <w:link w:val="59"/>
    <w:qFormat/>
    <w:locked/>
    <w:uiPriority w:val="99"/>
    <w:rPr>
      <w:rFonts w:ascii="Bell MT" w:hAnsi="Bell MT" w:eastAsia="黑体" w:cs="黑体"/>
      <w:sz w:val="22"/>
      <w:szCs w:val="22"/>
      <w:lang w:val="en-US" w:eastAsia="zh-CN" w:bidi="ar-SA"/>
    </w:rPr>
  </w:style>
  <w:style w:type="character" w:customStyle="1" w:styleId="155">
    <w:name w:val="列表接续 Char"/>
    <w:basedOn w:val="90"/>
    <w:link w:val="38"/>
    <w:qFormat/>
    <w:locked/>
    <w:uiPriority w:val="99"/>
    <w:rPr>
      <w:rFonts w:ascii="Bell MT" w:hAnsi="Bell MT" w:eastAsia="黑体" w:cs="黑体"/>
      <w:sz w:val="22"/>
      <w:szCs w:val="22"/>
      <w:lang w:val="en-US" w:eastAsia="zh-CN" w:bidi="ar-SA"/>
    </w:rPr>
  </w:style>
  <w:style w:type="character" w:customStyle="1" w:styleId="156">
    <w:name w:val="Char Char21"/>
    <w:basedOn w:val="90"/>
    <w:qFormat/>
    <w:uiPriority w:val="99"/>
    <w:rPr>
      <w:rFonts w:cs="Times New Roman"/>
      <w:sz w:val="24"/>
      <w:szCs w:val="24"/>
      <w:lang w:eastAsia="en-US"/>
    </w:rPr>
  </w:style>
  <w:style w:type="character" w:customStyle="1" w:styleId="157">
    <w:name w:val="ellipsis6"/>
    <w:basedOn w:val="90"/>
    <w:qFormat/>
    <w:uiPriority w:val="99"/>
    <w:rPr>
      <w:rFonts w:cs="Times New Roman"/>
    </w:rPr>
  </w:style>
  <w:style w:type="paragraph" w:customStyle="1" w:styleId="158">
    <w:name w:val="iw_poi_title"/>
    <w:basedOn w:val="1"/>
    <w:qFormat/>
    <w:uiPriority w:val="99"/>
    <w:pPr>
      <w:spacing w:line="240" w:lineRule="auto"/>
    </w:pPr>
    <w:rPr>
      <w:rFonts w:ascii="宋体" w:hAnsi="宋体" w:eastAsia="宋体" w:cs="宋体"/>
      <w:b/>
      <w:bCs/>
      <w:color w:val="4D4D4D"/>
      <w:sz w:val="21"/>
      <w:szCs w:val="21"/>
    </w:rPr>
  </w:style>
  <w:style w:type="paragraph" w:customStyle="1" w:styleId="159">
    <w:name w:val="列出段落2"/>
    <w:basedOn w:val="1"/>
    <w:qFormat/>
    <w:uiPriority w:val="99"/>
    <w:pPr>
      <w:ind w:firstLine="420" w:firstLineChars="200"/>
    </w:pPr>
  </w:style>
  <w:style w:type="paragraph" w:customStyle="1" w:styleId="160">
    <w:name w:val="修订1"/>
    <w:hidden/>
    <w:unhideWhenUsed/>
    <w:qFormat/>
    <w:uiPriority w:val="99"/>
    <w:rPr>
      <w:rFonts w:ascii="Bell MT" w:hAnsi="Bell MT" w:eastAsia="黑体" w:cs="黑体"/>
      <w:sz w:val="22"/>
      <w:szCs w:val="22"/>
      <w:lang w:val="en-US" w:eastAsia="zh-CN" w:bidi="ar-SA"/>
    </w:rPr>
  </w:style>
  <w:style w:type="character" w:customStyle="1" w:styleId="161">
    <w:name w:val="font51"/>
    <w:basedOn w:val="90"/>
    <w:qFormat/>
    <w:uiPriority w:val="0"/>
    <w:rPr>
      <w:rFonts w:hint="eastAsia" w:ascii="宋体" w:hAnsi="宋体" w:eastAsia="宋体" w:cs="宋体"/>
      <w:color w:val="000000"/>
      <w:sz w:val="21"/>
      <w:szCs w:val="21"/>
      <w:u w:val="none"/>
      <w:vertAlign w:val="superscript"/>
    </w:rPr>
  </w:style>
  <w:style w:type="character" w:customStyle="1" w:styleId="162">
    <w:name w:val="font31"/>
    <w:basedOn w:val="90"/>
    <w:qFormat/>
    <w:uiPriority w:val="0"/>
    <w:rPr>
      <w:rFonts w:hint="eastAsia" w:ascii="宋体" w:hAnsi="宋体" w:eastAsia="宋体" w:cs="宋体"/>
      <w:color w:val="000000"/>
      <w:sz w:val="21"/>
      <w:szCs w:val="21"/>
      <w:u w:val="none"/>
    </w:rPr>
  </w:style>
  <w:style w:type="character" w:customStyle="1" w:styleId="163">
    <w:name w:val="font01"/>
    <w:basedOn w:val="90"/>
    <w:qFormat/>
    <w:uiPriority w:val="0"/>
    <w:rPr>
      <w:rFonts w:hint="default" w:ascii="仿宋_GB2312" w:eastAsia="仿宋_GB2312" w:cs="仿宋_GB2312"/>
      <w:color w:val="000000"/>
      <w:sz w:val="24"/>
      <w:szCs w:val="24"/>
      <w:u w:val="none"/>
      <w:vertAlign w:val="superscript"/>
    </w:rPr>
  </w:style>
  <w:style w:type="character" w:customStyle="1" w:styleId="164">
    <w:name w:val="font21"/>
    <w:basedOn w:val="90"/>
    <w:qFormat/>
    <w:uiPriority w:val="0"/>
    <w:rPr>
      <w:rFonts w:hint="default" w:ascii="仿宋_GB2312" w:eastAsia="仿宋_GB2312" w:cs="仿宋_GB2312"/>
      <w:color w:val="000000"/>
      <w:sz w:val="24"/>
      <w:szCs w:val="24"/>
      <w:u w:val="none"/>
    </w:rPr>
  </w:style>
  <w:style w:type="character" w:customStyle="1" w:styleId="165">
    <w:name w:val="font41"/>
    <w:basedOn w:val="90"/>
    <w:qFormat/>
    <w:uiPriority w:val="0"/>
    <w:rPr>
      <w:rFonts w:hint="default" w:ascii="仿宋_GB2312" w:eastAsia="仿宋_GB2312" w:cs="仿宋_GB2312"/>
      <w:color w:val="000000"/>
      <w:sz w:val="24"/>
      <w:szCs w:val="24"/>
      <w:u w:val="none"/>
    </w:rPr>
  </w:style>
  <w:style w:type="paragraph" w:styleId="166">
    <w:name w:val="List Paragraph"/>
    <w:basedOn w:val="1"/>
    <w:unhideWhenUsed/>
    <w:qFormat/>
    <w:uiPriority w:val="99"/>
    <w:pPr>
      <w:ind w:firstLine="420" w:firstLineChars="200"/>
    </w:pPr>
  </w:style>
  <w:style w:type="character" w:customStyle="1" w:styleId="167">
    <w:name w:val="titletext"/>
    <w:basedOn w:val="90"/>
    <w:qFormat/>
    <w:uiPriority w:val="0"/>
  </w:style>
  <w:style w:type="character" w:customStyle="1" w:styleId="168">
    <w:name w:val="font71"/>
    <w:basedOn w:val="90"/>
    <w:qFormat/>
    <w:uiPriority w:val="0"/>
    <w:rPr>
      <w:rFonts w:hint="default" w:ascii="Times New Roman" w:hAnsi="Times New Roman" w:cs="Times New Roman"/>
      <w:b/>
      <w:color w:val="000000"/>
      <w:sz w:val="24"/>
      <w:szCs w:val="24"/>
      <w:u w:val="none"/>
    </w:rPr>
  </w:style>
  <w:style w:type="character" w:customStyle="1" w:styleId="169">
    <w:name w:val="font11"/>
    <w:basedOn w:val="90"/>
    <w:qFormat/>
    <w:uiPriority w:val="0"/>
    <w:rPr>
      <w:rFonts w:hint="eastAsia" w:ascii="宋体" w:hAnsi="宋体" w:eastAsia="宋体" w:cs="宋体"/>
      <w:color w:val="000000"/>
      <w:sz w:val="24"/>
      <w:szCs w:val="24"/>
      <w:u w:val="none"/>
    </w:rPr>
  </w:style>
  <w:style w:type="paragraph" w:customStyle="1" w:styleId="170">
    <w:name w:val="列出段落3"/>
    <w:basedOn w:val="1"/>
    <w:unhideWhenUsed/>
    <w:qFormat/>
    <w:uiPriority w:val="99"/>
    <w:pPr>
      <w:ind w:firstLine="420" w:firstLineChars="200"/>
    </w:pPr>
  </w:style>
  <w:style w:type="character" w:customStyle="1" w:styleId="171">
    <w:name w:val="font61"/>
    <w:basedOn w:val="90"/>
    <w:qFormat/>
    <w:uiPriority w:val="0"/>
    <w:rPr>
      <w:rFonts w:hint="eastAsia" w:ascii="宋体" w:hAnsi="宋体" w:eastAsia="宋体" w:cs="宋体"/>
      <w:b/>
      <w:color w:val="000000"/>
      <w:sz w:val="24"/>
      <w:szCs w:val="24"/>
      <w:u w:val="none"/>
    </w:rPr>
  </w:style>
  <w:style w:type="character" w:customStyle="1" w:styleId="172">
    <w:name w:val="font81"/>
    <w:basedOn w:val="90"/>
    <w:qFormat/>
    <w:uiPriority w:val="0"/>
    <w:rPr>
      <w:rFonts w:hint="eastAsia" w:ascii="宋体" w:hAnsi="宋体" w:eastAsia="宋体" w:cs="宋体"/>
      <w:color w:val="000000"/>
      <w:sz w:val="24"/>
      <w:szCs w:val="24"/>
      <w:u w:val="none"/>
    </w:rPr>
  </w:style>
  <w:style w:type="character" w:customStyle="1" w:styleId="173">
    <w:name w:val="font91"/>
    <w:basedOn w:val="90"/>
    <w:qFormat/>
    <w:uiPriority w:val="0"/>
    <w:rPr>
      <w:rFonts w:hint="default" w:ascii="Times New Roman" w:hAnsi="Times New Roman" w:cs="Times New Roman"/>
      <w:color w:val="000000"/>
      <w:sz w:val="24"/>
      <w:szCs w:val="24"/>
      <w:u w:val="none"/>
    </w:rPr>
  </w:style>
  <w:style w:type="character" w:customStyle="1" w:styleId="174">
    <w:name w:val="font101"/>
    <w:basedOn w:val="90"/>
    <w:qFormat/>
    <w:uiPriority w:val="0"/>
    <w:rPr>
      <w:rFonts w:hint="eastAsia" w:ascii="宋体" w:hAnsi="宋体" w:eastAsia="宋体" w:cs="宋体"/>
      <w:color w:val="000000"/>
      <w:sz w:val="24"/>
      <w:szCs w:val="24"/>
      <w:u w:val="none"/>
    </w:rPr>
  </w:style>
  <w:style w:type="paragraph" w:customStyle="1" w:styleId="175">
    <w:name w:val="font5"/>
    <w:basedOn w:val="1"/>
    <w:qFormat/>
    <w:uiPriority w:val="0"/>
    <w:pPr>
      <w:spacing w:before="100" w:beforeAutospacing="1" w:after="100" w:afterAutospacing="1" w:line="240" w:lineRule="auto"/>
    </w:pPr>
    <w:rPr>
      <w:rFonts w:ascii="宋体" w:hAnsi="宋体" w:eastAsia="宋体" w:cs="宋体"/>
      <w:sz w:val="18"/>
      <w:szCs w:val="18"/>
    </w:rPr>
  </w:style>
  <w:style w:type="paragraph" w:customStyle="1" w:styleId="176">
    <w:name w:val="xl794"/>
    <w:basedOn w:val="1"/>
    <w:qFormat/>
    <w:uiPriority w:val="0"/>
    <w:pPr>
      <w:spacing w:before="100" w:beforeAutospacing="1" w:after="100" w:afterAutospacing="1" w:line="240" w:lineRule="auto"/>
      <w:jc w:val="center"/>
    </w:pPr>
    <w:rPr>
      <w:rFonts w:ascii="华文细黑" w:hAnsi="宋体" w:eastAsia="华文细黑" w:cs="宋体"/>
    </w:rPr>
  </w:style>
  <w:style w:type="paragraph" w:customStyle="1" w:styleId="177">
    <w:name w:val="xl795"/>
    <w:basedOn w:val="1"/>
    <w:qFormat/>
    <w:uiPriority w:val="0"/>
    <w:pPr>
      <w:spacing w:before="100" w:beforeAutospacing="1" w:after="100" w:afterAutospacing="1" w:line="240" w:lineRule="auto"/>
    </w:pPr>
    <w:rPr>
      <w:rFonts w:ascii="华文细黑" w:hAnsi="宋体" w:eastAsia="华文细黑" w:cs="宋体"/>
    </w:rPr>
  </w:style>
  <w:style w:type="paragraph" w:customStyle="1" w:styleId="178">
    <w:name w:val="xl79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华文细黑" w:hAnsi="宋体" w:eastAsia="华文细黑" w:cs="宋体"/>
    </w:rPr>
  </w:style>
  <w:style w:type="paragraph" w:customStyle="1" w:styleId="179">
    <w:name w:val="xl79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华文细黑" w:hAnsi="宋体" w:eastAsia="华文细黑" w:cs="宋体"/>
    </w:rPr>
  </w:style>
  <w:style w:type="paragraph" w:customStyle="1" w:styleId="180">
    <w:name w:val="xl79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华文细黑" w:hAnsi="宋体" w:eastAsia="华文细黑" w:cs="宋体"/>
      <w:b/>
      <w:bCs/>
    </w:rPr>
  </w:style>
  <w:style w:type="paragraph" w:customStyle="1" w:styleId="181">
    <w:name w:val="xl79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华文细黑" w:hAnsi="宋体" w:eastAsia="华文细黑" w:cs="宋体"/>
      <w:b/>
      <w:bCs/>
    </w:rPr>
  </w:style>
  <w:style w:type="paragraph" w:customStyle="1" w:styleId="182">
    <w:name w:val="xl80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华文细黑" w:hAnsi="宋体" w:eastAsia="华文细黑" w:cs="宋体"/>
      <w:b/>
      <w:bCs/>
    </w:rPr>
  </w:style>
  <w:style w:type="paragraph" w:customStyle="1" w:styleId="183">
    <w:name w:val="xl80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华文细黑" w:hAnsi="宋体" w:eastAsia="华文细黑" w:cs="宋体"/>
      <w:b/>
      <w:bCs/>
    </w:rPr>
  </w:style>
  <w:style w:type="paragraph" w:customStyle="1" w:styleId="184">
    <w:name w:val="xl802"/>
    <w:basedOn w:val="1"/>
    <w:qFormat/>
    <w:uiPriority w:val="0"/>
    <w:pPr>
      <w:pBdr>
        <w:top w:val="single" w:color="auto" w:sz="4" w:space="0"/>
        <w:left w:val="single" w:color="auto" w:sz="4" w:space="0"/>
        <w:bottom w:val="single" w:color="auto" w:sz="4" w:space="0"/>
      </w:pBdr>
      <w:spacing w:before="100" w:beforeAutospacing="1" w:after="100" w:afterAutospacing="1" w:line="240" w:lineRule="auto"/>
      <w:jc w:val="center"/>
    </w:pPr>
    <w:rPr>
      <w:rFonts w:ascii="华文细黑" w:hAnsi="宋体" w:eastAsia="华文细黑" w:cs="宋体"/>
      <w:b/>
      <w:bCs/>
    </w:rPr>
  </w:style>
  <w:style w:type="paragraph" w:customStyle="1" w:styleId="185">
    <w:name w:val="xl803"/>
    <w:basedOn w:val="1"/>
    <w:qFormat/>
    <w:uiPriority w:val="0"/>
    <w:pPr>
      <w:pBdr>
        <w:top w:val="single" w:color="auto" w:sz="4" w:space="0"/>
        <w:bottom w:val="single" w:color="auto" w:sz="4" w:space="0"/>
      </w:pBdr>
      <w:spacing w:before="100" w:beforeAutospacing="1" w:after="100" w:afterAutospacing="1" w:line="240" w:lineRule="auto"/>
      <w:jc w:val="center"/>
    </w:pPr>
    <w:rPr>
      <w:rFonts w:ascii="华文细黑" w:hAnsi="宋体" w:eastAsia="华文细黑" w:cs="宋体"/>
      <w:b/>
      <w:bCs/>
    </w:rPr>
  </w:style>
  <w:style w:type="paragraph" w:customStyle="1" w:styleId="186">
    <w:name w:val="xl804"/>
    <w:basedOn w:val="1"/>
    <w:qFormat/>
    <w:uiPriority w:val="0"/>
    <w:pPr>
      <w:pBdr>
        <w:top w:val="single" w:color="auto" w:sz="4" w:space="0"/>
        <w:bottom w:val="single" w:color="auto" w:sz="4" w:space="0"/>
        <w:right w:val="single" w:color="auto" w:sz="4" w:space="0"/>
      </w:pBdr>
      <w:spacing w:before="100" w:beforeAutospacing="1" w:after="100" w:afterAutospacing="1" w:line="240" w:lineRule="auto"/>
      <w:jc w:val="center"/>
    </w:pPr>
    <w:rPr>
      <w:rFonts w:ascii="华文细黑" w:hAnsi="宋体" w:eastAsia="华文细黑" w:cs="宋体"/>
      <w:b/>
      <w:bCs/>
    </w:rPr>
  </w:style>
  <w:style w:type="paragraph" w:customStyle="1" w:styleId="187">
    <w:name w:val="xl805"/>
    <w:basedOn w:val="1"/>
    <w:qFormat/>
    <w:uiPriority w:val="0"/>
    <w:pPr>
      <w:pBdr>
        <w:top w:val="single" w:color="auto" w:sz="4" w:space="0"/>
        <w:left w:val="single" w:color="auto" w:sz="4" w:space="0"/>
        <w:bottom w:val="single" w:color="auto" w:sz="4" w:space="0"/>
      </w:pBdr>
      <w:spacing w:before="100" w:beforeAutospacing="1" w:after="100" w:afterAutospacing="1" w:line="240" w:lineRule="auto"/>
      <w:jc w:val="center"/>
    </w:pPr>
    <w:rPr>
      <w:rFonts w:ascii="华文细黑" w:hAnsi="宋体" w:eastAsia="华文细黑" w:cs="宋体"/>
      <w:b/>
      <w:bCs/>
    </w:rPr>
  </w:style>
  <w:style w:type="paragraph" w:customStyle="1" w:styleId="188">
    <w:name w:val="xl806"/>
    <w:basedOn w:val="1"/>
    <w:qFormat/>
    <w:uiPriority w:val="0"/>
    <w:pPr>
      <w:pBdr>
        <w:top w:val="single" w:color="auto" w:sz="4" w:space="0"/>
        <w:bottom w:val="single" w:color="auto" w:sz="4" w:space="0"/>
      </w:pBdr>
      <w:spacing w:before="100" w:beforeAutospacing="1" w:after="100" w:afterAutospacing="1" w:line="240" w:lineRule="auto"/>
      <w:jc w:val="center"/>
    </w:pPr>
    <w:rPr>
      <w:rFonts w:ascii="华文细黑" w:hAnsi="宋体" w:eastAsia="华文细黑" w:cs="宋体"/>
      <w:b/>
      <w:bCs/>
    </w:rPr>
  </w:style>
  <w:style w:type="paragraph" w:customStyle="1" w:styleId="189">
    <w:name w:val="xl807"/>
    <w:basedOn w:val="1"/>
    <w:qFormat/>
    <w:uiPriority w:val="0"/>
    <w:pPr>
      <w:pBdr>
        <w:top w:val="single" w:color="auto" w:sz="4" w:space="0"/>
        <w:bottom w:val="single" w:color="auto" w:sz="4" w:space="0"/>
        <w:right w:val="single" w:color="auto" w:sz="4" w:space="0"/>
      </w:pBdr>
      <w:spacing w:before="100" w:beforeAutospacing="1" w:after="100" w:afterAutospacing="1" w:line="240" w:lineRule="auto"/>
      <w:jc w:val="center"/>
    </w:pPr>
    <w:rPr>
      <w:rFonts w:ascii="华文细黑" w:hAnsi="宋体" w:eastAsia="华文细黑" w:cs="宋体"/>
      <w:b/>
      <w:bCs/>
    </w:rPr>
  </w:style>
  <w:style w:type="paragraph" w:customStyle="1" w:styleId="190">
    <w:name w:val="xl80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华文细黑" w:hAnsi="宋体" w:eastAsia="华文细黑" w:cs="宋体"/>
    </w:rPr>
  </w:style>
  <w:style w:type="paragraph" w:customStyle="1" w:styleId="191">
    <w:name w:val="xl80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华文细黑" w:hAnsi="宋体" w:eastAsia="华文细黑" w:cs="宋体"/>
      <w:b/>
      <w:bCs/>
    </w:rPr>
  </w:style>
  <w:style w:type="paragraph" w:customStyle="1" w:styleId="192">
    <w:name w:val="xl810"/>
    <w:basedOn w:val="1"/>
    <w:qFormat/>
    <w:uiPriority w:val="0"/>
    <w:pPr>
      <w:pBdr>
        <w:top w:val="single" w:color="auto" w:sz="4" w:space="0"/>
        <w:bottom w:val="single" w:color="auto" w:sz="4" w:space="0"/>
      </w:pBdr>
      <w:spacing w:before="100" w:beforeAutospacing="1" w:after="100" w:afterAutospacing="1" w:line="240" w:lineRule="auto"/>
      <w:jc w:val="center"/>
    </w:pPr>
    <w:rPr>
      <w:rFonts w:ascii="华文细黑" w:hAnsi="宋体" w:eastAsia="华文细黑" w:cs="宋体"/>
      <w:b/>
      <w:bCs/>
    </w:rPr>
  </w:style>
  <w:style w:type="paragraph" w:customStyle="1" w:styleId="193">
    <w:name w:val="xl811"/>
    <w:basedOn w:val="1"/>
    <w:qFormat/>
    <w:uiPriority w:val="0"/>
    <w:pPr>
      <w:pBdr>
        <w:top w:val="single" w:color="auto" w:sz="4" w:space="0"/>
        <w:bottom w:val="single" w:color="auto" w:sz="4" w:space="0"/>
        <w:right w:val="single" w:color="auto" w:sz="4" w:space="0"/>
      </w:pBdr>
      <w:spacing w:before="100" w:beforeAutospacing="1" w:after="100" w:afterAutospacing="1" w:line="240" w:lineRule="auto"/>
      <w:jc w:val="center"/>
    </w:pPr>
    <w:rPr>
      <w:rFonts w:ascii="华文细黑" w:hAnsi="宋体" w:eastAsia="华文细黑" w:cs="宋体"/>
      <w:b/>
      <w:bCs/>
    </w:rPr>
  </w:style>
  <w:style w:type="paragraph" w:customStyle="1" w:styleId="194">
    <w:name w:val="xl81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华文细黑" w:hAnsi="宋体" w:eastAsia="华文细黑" w:cs="宋体"/>
    </w:rPr>
  </w:style>
  <w:style w:type="paragraph" w:customStyle="1" w:styleId="195">
    <w:name w:val="xl81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华文细黑" w:hAnsi="宋体" w:eastAsia="华文细黑" w:cs="宋体"/>
    </w:rPr>
  </w:style>
  <w:style w:type="paragraph" w:customStyle="1" w:styleId="196">
    <w:name w:val="xl81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华文细黑" w:hAnsi="宋体" w:eastAsia="华文细黑" w:cs="宋体"/>
    </w:rPr>
  </w:style>
  <w:style w:type="paragraph" w:customStyle="1" w:styleId="197">
    <w:name w:val="xl81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华文细黑" w:hAnsi="宋体" w:eastAsia="华文细黑" w:cs="宋体"/>
    </w:rPr>
  </w:style>
  <w:style w:type="paragraph" w:customStyle="1" w:styleId="198">
    <w:name w:val="修订2"/>
    <w:hidden/>
    <w:unhideWhenUsed/>
    <w:qFormat/>
    <w:uiPriority w:val="99"/>
    <w:rPr>
      <w:rFonts w:ascii="Bell MT" w:hAnsi="Bell MT" w:eastAsia="黑体" w:cs="黑体"/>
      <w:sz w:val="22"/>
      <w:szCs w:val="22"/>
      <w:lang w:val="en-US" w:eastAsia="zh-CN" w:bidi="ar-SA"/>
    </w:rPr>
  </w:style>
  <w:style w:type="character" w:customStyle="1" w:styleId="199">
    <w:name w:val="font13"/>
    <w:basedOn w:val="90"/>
    <w:qFormat/>
    <w:uiPriority w:val="0"/>
    <w:rPr>
      <w:rFonts w:hint="eastAsia" w:ascii="宋体" w:hAnsi="宋体" w:eastAsia="宋体" w:cs="宋体"/>
      <w:b/>
      <w:color w:val="000000"/>
      <w:sz w:val="24"/>
      <w:szCs w:val="24"/>
      <w:u w:val="none"/>
    </w:rPr>
  </w:style>
  <w:style w:type="character" w:customStyle="1" w:styleId="200">
    <w:name w:val="font12"/>
    <w:basedOn w:val="90"/>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2.jpeg"/><Relationship Id="rId14" Type="http://schemas.openxmlformats.org/officeDocument/2006/relationships/theme" Target="theme/theme1.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83AE9-DA0F-44A0-AF84-8FA45C1A1184}">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26</Pages>
  <Words>7168</Words>
  <Characters>7717</Characters>
  <Lines>405</Lines>
  <Paragraphs>114</Paragraphs>
  <TotalTime>2</TotalTime>
  <ScaleCrop>false</ScaleCrop>
  <LinksUpToDate>false</LinksUpToDate>
  <CharactersWithSpaces>8220</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2015-06-23T09:54:00Z</dcterms:created>
  <dc:creator>kmbob zhang</dc:creator>
  <cp:lastModifiedBy>露</cp:lastModifiedBy>
  <cp:lastPrinted>2022-08-03T06:40:00Z</cp:lastPrinted>
  <dcterms:modified xsi:type="dcterms:W3CDTF">2022-08-31T07:24:22Z</dcterms:modified>
  <dc:title>房地产价格评估报告</dc:title>
  <cp:revision>2009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A7A6F2FB43564A028CA26E8E1E76A9AE</vt:lpwstr>
  </property>
</Properties>
</file>