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atLeast"/>
        <w:jc w:val="center"/>
        <w:rPr>
          <w:rFonts w:ascii="黑体" w:eastAsia="黑体"/>
          <w:sz w:val="44"/>
          <w:szCs w:val="44"/>
        </w:rPr>
      </w:pPr>
    </w:p>
    <w:p>
      <w:pPr>
        <w:spacing w:line="420" w:lineRule="atLeast"/>
        <w:jc w:val="center"/>
        <w:rPr>
          <w:rFonts w:ascii="黑体" w:eastAsia="黑体"/>
          <w:sz w:val="44"/>
          <w:szCs w:val="44"/>
        </w:rPr>
      </w:pPr>
    </w:p>
    <w:p>
      <w:pPr>
        <w:spacing w:line="420" w:lineRule="atLeast"/>
        <w:jc w:val="center"/>
        <w:rPr>
          <w:rFonts w:ascii="黑体" w:eastAsia="黑体"/>
          <w:sz w:val="44"/>
          <w:szCs w:val="44"/>
        </w:rPr>
      </w:pPr>
    </w:p>
    <w:p>
      <w:pPr>
        <w:spacing w:line="420" w:lineRule="atLeast"/>
        <w:jc w:val="center"/>
        <w:rPr>
          <w:rFonts w:ascii="黑体" w:eastAsia="黑体"/>
          <w:sz w:val="44"/>
          <w:szCs w:val="44"/>
        </w:rPr>
      </w:pPr>
    </w:p>
    <w:p>
      <w:pPr>
        <w:spacing w:line="420" w:lineRule="atLeast"/>
        <w:jc w:val="center"/>
        <w:rPr>
          <w:rFonts w:ascii="黑体" w:eastAsia="黑体"/>
          <w:sz w:val="44"/>
          <w:szCs w:val="44"/>
        </w:rPr>
      </w:pPr>
    </w:p>
    <w:p>
      <w:pPr>
        <w:spacing w:line="420" w:lineRule="atLeast"/>
        <w:jc w:val="center"/>
        <w:rPr>
          <w:rFonts w:ascii="黑体" w:eastAsia="黑体"/>
          <w:sz w:val="52"/>
          <w:szCs w:val="52"/>
        </w:rPr>
      </w:pPr>
      <w:r>
        <w:rPr>
          <w:rFonts w:hint="eastAsia" w:ascii="黑体" w:eastAsia="黑体" w:cs="黑体"/>
          <w:sz w:val="52"/>
          <w:szCs w:val="52"/>
        </w:rPr>
        <w:t>涉执房地产处置司法评估报告</w:t>
      </w:r>
    </w:p>
    <w:p>
      <w:pPr>
        <w:spacing w:line="420" w:lineRule="atLeast"/>
        <w:ind w:left="1606" w:hanging="1606" w:hangingChars="500"/>
        <w:rPr>
          <w:b/>
          <w:bCs/>
          <w:sz w:val="32"/>
          <w:szCs w:val="32"/>
        </w:rPr>
      </w:pPr>
    </w:p>
    <w:p>
      <w:pPr>
        <w:spacing w:line="420" w:lineRule="atLeast"/>
        <w:ind w:left="1606" w:hanging="1606" w:hangingChars="500"/>
        <w:rPr>
          <w:b/>
          <w:bCs/>
          <w:sz w:val="32"/>
          <w:szCs w:val="32"/>
        </w:rPr>
      </w:pPr>
    </w:p>
    <w:p>
      <w:pPr>
        <w:spacing w:line="420" w:lineRule="atLeast"/>
        <w:ind w:left="1606" w:hanging="1606" w:hangingChars="500"/>
        <w:rPr>
          <w:b/>
          <w:bCs/>
          <w:sz w:val="32"/>
          <w:szCs w:val="32"/>
        </w:rPr>
      </w:pPr>
    </w:p>
    <w:p>
      <w:pPr>
        <w:spacing w:line="420" w:lineRule="atLeast"/>
        <w:ind w:left="1606" w:hanging="1606" w:hangingChars="500"/>
        <w:rPr>
          <w:b/>
          <w:bCs/>
          <w:sz w:val="32"/>
          <w:szCs w:val="32"/>
        </w:rPr>
      </w:pPr>
    </w:p>
    <w:p>
      <w:pPr>
        <w:spacing w:line="420" w:lineRule="atLeast"/>
        <w:ind w:left="1606" w:hanging="1606" w:hangingChars="500"/>
        <w:rPr>
          <w:b/>
          <w:bCs/>
          <w:sz w:val="32"/>
          <w:szCs w:val="32"/>
        </w:rPr>
      </w:pPr>
    </w:p>
    <w:p>
      <w:pPr>
        <w:spacing w:line="420" w:lineRule="atLeast"/>
        <w:ind w:left="1606" w:hanging="1606" w:hangingChars="500"/>
        <w:rPr>
          <w:b/>
          <w:bCs/>
          <w:sz w:val="32"/>
          <w:szCs w:val="32"/>
        </w:rPr>
      </w:pPr>
    </w:p>
    <w:p>
      <w:pPr>
        <w:spacing w:line="420" w:lineRule="atLeast"/>
        <w:ind w:left="1606" w:hanging="1606" w:hangingChars="500"/>
        <w:rPr>
          <w:b/>
          <w:bCs/>
          <w:sz w:val="32"/>
          <w:szCs w:val="32"/>
        </w:rPr>
      </w:pPr>
    </w:p>
    <w:p>
      <w:pPr>
        <w:spacing w:line="420" w:lineRule="atLeast"/>
        <w:ind w:left="2240" w:hanging="2240" w:hangingChars="700"/>
        <w:rPr>
          <w:rFonts w:ascii="仿宋_GB2312" w:eastAsia="仿宋_GB2312"/>
          <w:sz w:val="28"/>
          <w:szCs w:val="28"/>
        </w:rPr>
      </w:pPr>
      <w:r>
        <w:rPr>
          <w:rFonts w:hint="eastAsia" w:ascii="黑体" w:eastAsia="黑体" w:cs="黑体"/>
          <w:sz w:val="32"/>
          <w:szCs w:val="32"/>
        </w:rPr>
        <w:t>估价项目名称：</w:t>
      </w:r>
      <w:r>
        <w:rPr>
          <w:rFonts w:hint="eastAsia" w:ascii="仿宋_GB2312" w:eastAsia="仿宋_GB2312" w:cs="仿宋_GB2312"/>
          <w:sz w:val="28"/>
          <w:szCs w:val="28"/>
        </w:rPr>
        <w:t>位于洮南市团结街道清真西路（玫瑰园小区一期13号楼）1单元602室、4单元601室、5单元601室的三户房地产市场价值评估</w:t>
      </w:r>
    </w:p>
    <w:p>
      <w:pPr>
        <w:spacing w:line="420" w:lineRule="atLeast"/>
        <w:rPr>
          <w:rFonts w:ascii="仿宋_GB2312" w:eastAsia="黑体"/>
          <w:b/>
          <w:bCs/>
          <w:sz w:val="28"/>
          <w:szCs w:val="28"/>
        </w:rPr>
      </w:pPr>
      <w:r>
        <w:rPr>
          <w:rFonts w:hint="eastAsia" w:ascii="黑体" w:eastAsia="黑体" w:cs="黑体"/>
          <w:sz w:val="32"/>
          <w:szCs w:val="32"/>
        </w:rPr>
        <w:t>估价委托方：</w:t>
      </w:r>
      <w:r>
        <w:rPr>
          <w:rFonts w:hint="eastAsia" w:ascii="仿宋_GB2312" w:eastAsia="仿宋_GB2312" w:cs="仿宋_GB2312"/>
          <w:sz w:val="28"/>
          <w:szCs w:val="28"/>
        </w:rPr>
        <w:t>洮南市人民法院</w:t>
      </w:r>
    </w:p>
    <w:p>
      <w:pPr>
        <w:spacing w:line="420" w:lineRule="atLeast"/>
        <w:rPr>
          <w:rFonts w:ascii="仿宋_GB2312" w:eastAsia="仿宋_GB2312"/>
          <w:sz w:val="28"/>
          <w:szCs w:val="28"/>
        </w:rPr>
      </w:pPr>
      <w:r>
        <w:rPr>
          <w:rFonts w:hint="eastAsia" w:ascii="黑体" w:eastAsia="黑体" w:cs="黑体"/>
          <w:sz w:val="32"/>
          <w:szCs w:val="32"/>
        </w:rPr>
        <w:t>房地产估价机构：</w:t>
      </w:r>
      <w:r>
        <w:rPr>
          <w:rFonts w:hint="eastAsia" w:ascii="仿宋_GB2312" w:eastAsia="仿宋_GB2312" w:cs="仿宋_GB2312"/>
          <w:sz w:val="28"/>
          <w:szCs w:val="28"/>
        </w:rPr>
        <w:t>白城市建设房地产评估有限公司</w:t>
      </w:r>
    </w:p>
    <w:p>
      <w:pPr>
        <w:spacing w:line="420" w:lineRule="atLeast"/>
        <w:ind w:left="2240" w:hanging="2240" w:hangingChars="700"/>
        <w:rPr>
          <w:rFonts w:ascii="仿宋_GB2312" w:eastAsia="仿宋_GB2312"/>
          <w:b/>
          <w:bCs/>
          <w:sz w:val="28"/>
          <w:szCs w:val="28"/>
        </w:rPr>
      </w:pPr>
      <w:r>
        <w:rPr>
          <w:rFonts w:hint="eastAsia" w:ascii="黑体" w:eastAsia="黑体" w:cs="黑体"/>
          <w:sz w:val="32"/>
          <w:szCs w:val="32"/>
        </w:rPr>
        <w:t>注册房地产估价师：</w:t>
      </w:r>
      <w:r>
        <w:rPr>
          <w:rFonts w:hint="eastAsia" w:ascii="仿宋_GB2312" w:eastAsia="仿宋_GB2312" w:cs="仿宋_GB2312"/>
          <w:sz w:val="28"/>
          <w:szCs w:val="28"/>
        </w:rPr>
        <w:t>牛亚娟、韩宝军</w:t>
      </w:r>
    </w:p>
    <w:p>
      <w:pPr>
        <w:spacing w:line="420" w:lineRule="atLeast"/>
        <w:rPr>
          <w:rFonts w:ascii="仿宋_GB2312" w:eastAsia="黑体"/>
          <w:b/>
          <w:bCs/>
          <w:sz w:val="28"/>
          <w:szCs w:val="28"/>
        </w:rPr>
      </w:pPr>
      <w:r>
        <w:rPr>
          <w:rFonts w:hint="eastAsia" w:ascii="黑体" w:eastAsia="黑体" w:cs="黑体"/>
          <w:sz w:val="32"/>
          <w:szCs w:val="32"/>
        </w:rPr>
        <w:t>估价报告出具日期：</w:t>
      </w:r>
      <w:r>
        <w:rPr>
          <w:rFonts w:hint="eastAsia" w:ascii="仿宋_GB2312" w:eastAsia="仿宋_GB2312" w:cs="仿宋_GB2312"/>
          <w:sz w:val="28"/>
          <w:szCs w:val="28"/>
          <w:lang w:eastAsia="zh-CN"/>
        </w:rPr>
        <w:t>2022年08月29日</w:t>
      </w:r>
      <w:r>
        <w:rPr>
          <w:rFonts w:hint="eastAsia" w:ascii="黑体" w:hAnsi="黑体" w:eastAsia="黑体" w:cs="仿宋_GB2312"/>
          <w:sz w:val="30"/>
          <w:szCs w:val="30"/>
        </w:rPr>
        <w:t xml:space="preserve"> </w:t>
      </w:r>
    </w:p>
    <w:p>
      <w:pPr>
        <w:spacing w:line="420" w:lineRule="atLeast"/>
        <w:rPr>
          <w:rFonts w:ascii="仿宋_GB2312" w:eastAsia="仿宋_GB2312"/>
          <w:sz w:val="28"/>
          <w:szCs w:val="28"/>
        </w:rPr>
      </w:pPr>
      <w:r>
        <w:rPr>
          <w:rFonts w:hint="eastAsia" w:ascii="黑体" w:eastAsia="黑体" w:cs="黑体"/>
          <w:sz w:val="32"/>
          <w:szCs w:val="32"/>
        </w:rPr>
        <w:t>估价报告编号：</w:t>
      </w:r>
      <w:r>
        <w:rPr>
          <w:rFonts w:hint="eastAsia" w:ascii="仿宋_GB2312" w:eastAsia="仿宋_GB2312" w:cs="仿宋_GB2312"/>
          <w:sz w:val="28"/>
          <w:szCs w:val="28"/>
        </w:rPr>
        <w:t>白建房评鉴字</w:t>
      </w:r>
      <w:r>
        <w:rPr>
          <w:rFonts w:ascii="仿宋_GB2312" w:eastAsia="仿宋_GB2312" w:cs="仿宋_GB2312"/>
          <w:sz w:val="28"/>
          <w:szCs w:val="28"/>
        </w:rPr>
        <w:t>[20</w:t>
      </w:r>
      <w:r>
        <w:rPr>
          <w:rFonts w:hint="eastAsia" w:ascii="仿宋_GB2312" w:eastAsia="仿宋_GB2312" w:cs="仿宋_GB2312"/>
          <w:sz w:val="28"/>
          <w:szCs w:val="28"/>
        </w:rPr>
        <w:t>22</w:t>
      </w:r>
      <w:r>
        <w:rPr>
          <w:rFonts w:ascii="仿宋_GB2312" w:eastAsia="仿宋_GB2312" w:cs="仿宋_GB2312"/>
          <w:sz w:val="28"/>
          <w:szCs w:val="28"/>
        </w:rPr>
        <w:t xml:space="preserve">] </w:t>
      </w:r>
      <w:r>
        <w:rPr>
          <w:rFonts w:hint="eastAsia" w:ascii="仿宋_GB2312" w:eastAsia="仿宋_GB2312" w:cs="仿宋_GB2312"/>
          <w:sz w:val="28"/>
          <w:szCs w:val="28"/>
        </w:rPr>
        <w:t>第</w:t>
      </w:r>
      <w:r>
        <w:rPr>
          <w:rFonts w:ascii="仿宋_GB2312" w:eastAsia="仿宋_GB2312" w:cs="仿宋_GB2312"/>
          <w:sz w:val="28"/>
          <w:szCs w:val="28"/>
        </w:rPr>
        <w:t>0</w:t>
      </w:r>
      <w:r>
        <w:rPr>
          <w:rFonts w:hint="eastAsia" w:ascii="仿宋_GB2312" w:eastAsia="仿宋_GB2312" w:cs="仿宋_GB2312"/>
          <w:sz w:val="28"/>
          <w:szCs w:val="28"/>
        </w:rPr>
        <w:t>016号</w:t>
      </w:r>
    </w:p>
    <w:p>
      <w:pPr>
        <w:adjustRightInd w:val="0"/>
        <w:snapToGrid w:val="0"/>
        <w:spacing w:line="420" w:lineRule="atLeast"/>
        <w:rPr>
          <w:rFonts w:ascii="仿宋_GB2312" w:eastAsia="仿宋_GB2312"/>
          <w:b/>
          <w:bCs/>
          <w:sz w:val="28"/>
          <w:szCs w:val="28"/>
        </w:rPr>
      </w:pPr>
    </w:p>
    <w:p>
      <w:pPr>
        <w:adjustRightInd w:val="0"/>
        <w:snapToGrid w:val="0"/>
        <w:spacing w:line="420" w:lineRule="atLeast"/>
        <w:jc w:val="center"/>
        <w:rPr>
          <w:rFonts w:ascii="黑体" w:eastAsia="黑体"/>
          <w:sz w:val="44"/>
          <w:szCs w:val="44"/>
        </w:rPr>
      </w:pPr>
      <w:r>
        <w:rPr>
          <w:rFonts w:hint="eastAsia" w:ascii="黑体" w:eastAsia="黑体" w:cs="黑体"/>
          <w:sz w:val="44"/>
          <w:szCs w:val="44"/>
        </w:rPr>
        <w:t>目</w:t>
      </w:r>
      <w:r>
        <w:rPr>
          <w:rFonts w:ascii="黑体" w:eastAsia="黑体" w:cs="黑体"/>
          <w:sz w:val="44"/>
          <w:szCs w:val="44"/>
        </w:rPr>
        <w:t xml:space="preserve">        </w:t>
      </w:r>
      <w:r>
        <w:rPr>
          <w:rFonts w:hint="eastAsia" w:ascii="黑体" w:eastAsia="黑体" w:cs="黑体"/>
          <w:sz w:val="44"/>
          <w:szCs w:val="44"/>
        </w:rPr>
        <w:t>录</w:t>
      </w:r>
    </w:p>
    <w:p>
      <w:pPr>
        <w:pStyle w:val="12"/>
        <w:tabs>
          <w:tab w:val="right" w:leader="dot" w:pos="8505"/>
          <w:tab w:val="clear" w:pos="8495"/>
        </w:tabs>
      </w:pPr>
      <w:r>
        <w:rPr>
          <w:b/>
          <w:sz w:val="44"/>
          <w:szCs w:val="44"/>
        </w:rPr>
        <w:fldChar w:fldCharType="begin"/>
      </w:r>
      <w:r>
        <w:rPr>
          <w:sz w:val="44"/>
          <w:szCs w:val="44"/>
        </w:rPr>
        <w:instrText xml:space="preserve"> TOC \o "1-3" \h \z \u </w:instrText>
      </w:r>
      <w:r>
        <w:rPr>
          <w:b/>
          <w:sz w:val="44"/>
          <w:szCs w:val="44"/>
        </w:rPr>
        <w:fldChar w:fldCharType="separate"/>
      </w:r>
      <w:r>
        <w:rPr>
          <w:szCs w:val="44"/>
        </w:rPr>
        <w:fldChar w:fldCharType="begin"/>
      </w:r>
      <w:r>
        <w:rPr>
          <w:szCs w:val="44"/>
        </w:rPr>
        <w:instrText xml:space="preserve"> HYPERLINK \l _Toc18251 </w:instrText>
      </w:r>
      <w:r>
        <w:rPr>
          <w:szCs w:val="44"/>
        </w:rPr>
        <w:fldChar w:fldCharType="separate"/>
      </w:r>
      <w:r>
        <w:rPr>
          <w:rFonts w:hint="eastAsia" w:ascii="宋体" w:hAnsi="宋体" w:cs="宋体"/>
        </w:rPr>
        <w:t>致估价委托人函</w:t>
      </w:r>
      <w:r>
        <w:tab/>
      </w:r>
      <w:r>
        <w:fldChar w:fldCharType="begin"/>
      </w:r>
      <w:r>
        <w:instrText xml:space="preserve"> PAGEREF _Toc18251 \h </w:instrText>
      </w:r>
      <w:r>
        <w:fldChar w:fldCharType="separate"/>
      </w:r>
      <w:r>
        <w:t>3</w:t>
      </w:r>
      <w:r>
        <w:fldChar w:fldCharType="end"/>
      </w:r>
      <w:r>
        <w:rPr>
          <w:szCs w:val="44"/>
        </w:rPr>
        <w:fldChar w:fldCharType="end"/>
      </w:r>
    </w:p>
    <w:p>
      <w:pPr>
        <w:pStyle w:val="12"/>
        <w:tabs>
          <w:tab w:val="right" w:leader="dot" w:pos="8505"/>
          <w:tab w:val="clear" w:pos="8495"/>
        </w:tabs>
      </w:pPr>
      <w:r>
        <w:rPr>
          <w:szCs w:val="44"/>
        </w:rPr>
        <w:fldChar w:fldCharType="begin"/>
      </w:r>
      <w:r>
        <w:rPr>
          <w:szCs w:val="44"/>
        </w:rPr>
        <w:instrText xml:space="preserve"> HYPERLINK \l _Toc1963 </w:instrText>
      </w:r>
      <w:r>
        <w:rPr>
          <w:szCs w:val="44"/>
        </w:rPr>
        <w:fldChar w:fldCharType="separate"/>
      </w:r>
      <w:r>
        <w:rPr>
          <w:rFonts w:hint="eastAsia" w:cs="宋体"/>
        </w:rPr>
        <w:t>注册房地产估价师声明</w:t>
      </w:r>
      <w:r>
        <w:tab/>
      </w:r>
      <w:r>
        <w:fldChar w:fldCharType="begin"/>
      </w:r>
      <w:r>
        <w:instrText xml:space="preserve"> PAGEREF _Toc1963 \h </w:instrText>
      </w:r>
      <w:r>
        <w:fldChar w:fldCharType="separate"/>
      </w:r>
      <w:r>
        <w:t>5</w:t>
      </w:r>
      <w:r>
        <w:fldChar w:fldCharType="end"/>
      </w:r>
      <w:r>
        <w:rPr>
          <w:szCs w:val="44"/>
        </w:rPr>
        <w:fldChar w:fldCharType="end"/>
      </w:r>
    </w:p>
    <w:p>
      <w:pPr>
        <w:pStyle w:val="12"/>
        <w:tabs>
          <w:tab w:val="right" w:leader="dot" w:pos="8505"/>
          <w:tab w:val="clear" w:pos="8495"/>
        </w:tabs>
        <w:rPr>
          <w:rFonts w:hint="eastAsia" w:eastAsia="宋体"/>
          <w:lang w:eastAsia="zh-CN"/>
        </w:rPr>
      </w:pPr>
      <w:r>
        <w:rPr>
          <w:szCs w:val="44"/>
        </w:rPr>
        <w:fldChar w:fldCharType="begin"/>
      </w:r>
      <w:r>
        <w:rPr>
          <w:szCs w:val="44"/>
        </w:rPr>
        <w:instrText xml:space="preserve"> HYPERLINK \l _Toc17957 </w:instrText>
      </w:r>
      <w:r>
        <w:rPr>
          <w:szCs w:val="44"/>
        </w:rPr>
        <w:fldChar w:fldCharType="separate"/>
      </w:r>
      <w:r>
        <w:rPr>
          <w:rFonts w:hint="eastAsia" w:cs="宋体"/>
        </w:rPr>
        <w:t>估价的假设和限制条件</w:t>
      </w:r>
      <w:r>
        <w:tab/>
      </w:r>
      <w:r>
        <w:fldChar w:fldCharType="begin"/>
      </w:r>
      <w:r>
        <w:instrText xml:space="preserve"> PAGEREF _Toc17957 \h </w:instrText>
      </w:r>
      <w:r>
        <w:fldChar w:fldCharType="separate"/>
      </w:r>
      <w:r>
        <w:t>6</w:t>
      </w:r>
      <w:r>
        <w:fldChar w:fldCharType="end"/>
      </w:r>
      <w:r>
        <w:rPr>
          <w:szCs w:val="44"/>
        </w:rPr>
        <w:fldChar w:fldCharType="end"/>
      </w:r>
      <w:r>
        <w:rPr>
          <w:rFonts w:hint="eastAsia"/>
          <w:szCs w:val="44"/>
          <w:lang w:val="en-US" w:eastAsia="zh-CN"/>
        </w:rPr>
        <w:t xml:space="preserve"> </w:t>
      </w:r>
    </w:p>
    <w:p>
      <w:pPr>
        <w:pStyle w:val="12"/>
        <w:tabs>
          <w:tab w:val="right" w:leader="dot" w:pos="8505"/>
          <w:tab w:val="clear" w:pos="8495"/>
        </w:tabs>
      </w:pPr>
      <w:r>
        <w:rPr>
          <w:szCs w:val="44"/>
        </w:rPr>
        <w:fldChar w:fldCharType="begin"/>
      </w:r>
      <w:r>
        <w:rPr>
          <w:szCs w:val="44"/>
        </w:rPr>
        <w:instrText xml:space="preserve"> HYPERLINK \l _Toc15124 </w:instrText>
      </w:r>
      <w:r>
        <w:rPr>
          <w:szCs w:val="44"/>
        </w:rPr>
        <w:fldChar w:fldCharType="separate"/>
      </w:r>
      <w:r>
        <w:rPr>
          <w:rFonts w:hint="eastAsia" w:cs="宋体"/>
        </w:rPr>
        <w:t>房地产估价结果报告</w:t>
      </w:r>
      <w:r>
        <w:tab/>
      </w:r>
      <w:r>
        <w:fldChar w:fldCharType="begin"/>
      </w:r>
      <w:r>
        <w:instrText xml:space="preserve"> PAGEREF _Toc15124 \h </w:instrText>
      </w:r>
      <w:r>
        <w:fldChar w:fldCharType="separate"/>
      </w:r>
      <w:r>
        <w:t>9</w:t>
      </w:r>
      <w:r>
        <w:fldChar w:fldCharType="end"/>
      </w:r>
      <w:r>
        <w:rPr>
          <w:szCs w:val="44"/>
        </w:rPr>
        <w:fldChar w:fldCharType="end"/>
      </w:r>
    </w:p>
    <w:p>
      <w:pPr>
        <w:pStyle w:val="14"/>
        <w:tabs>
          <w:tab w:val="right" w:leader="dot" w:pos="8505"/>
        </w:tabs>
        <w:ind w:left="0" w:leftChars="0" w:firstLine="0" w:firstLineChars="0"/>
        <w:rPr>
          <w:rFonts w:hint="eastAsia" w:eastAsia="宋体"/>
          <w:lang w:eastAsia="zh-CN"/>
        </w:rPr>
      </w:pPr>
      <w:r>
        <w:rPr>
          <w:szCs w:val="44"/>
        </w:rPr>
        <w:fldChar w:fldCharType="begin"/>
      </w:r>
      <w:r>
        <w:rPr>
          <w:szCs w:val="44"/>
        </w:rPr>
        <w:instrText xml:space="preserve"> HYPERLINK \l _Toc31204 </w:instrText>
      </w:r>
      <w:r>
        <w:rPr>
          <w:szCs w:val="44"/>
        </w:rPr>
        <w:fldChar w:fldCharType="separate"/>
      </w:r>
      <w:r>
        <w:rPr>
          <w:rFonts w:hint="eastAsia" w:cs="宋体"/>
        </w:rPr>
        <w:t>一、</w:t>
      </w:r>
      <w:r>
        <w:rPr>
          <w:rFonts w:hint="eastAsia" w:ascii="黑体" w:eastAsia="黑体" w:cs="黑体"/>
          <w:bCs w:val="0"/>
        </w:rPr>
        <w:t>估价委托人</w:t>
      </w:r>
      <w:r>
        <w:rPr>
          <w:rFonts w:hint="eastAsia" w:cs="宋体"/>
          <w:bCs w:val="0"/>
          <w:szCs w:val="28"/>
        </w:rPr>
        <w:t>：</w:t>
      </w:r>
      <w:r>
        <w:tab/>
      </w:r>
      <w:r>
        <w:fldChar w:fldCharType="begin"/>
      </w:r>
      <w:r>
        <w:instrText xml:space="preserve"> PAGEREF _Toc31204 \h </w:instrText>
      </w:r>
      <w:r>
        <w:fldChar w:fldCharType="separate"/>
      </w:r>
      <w:r>
        <w:t>9</w:t>
      </w:r>
      <w:r>
        <w:fldChar w:fldCharType="end"/>
      </w:r>
      <w:r>
        <w:rPr>
          <w:szCs w:val="44"/>
        </w:rPr>
        <w:fldChar w:fldCharType="end"/>
      </w:r>
      <w:r>
        <w:rPr>
          <w:rFonts w:hint="eastAsia"/>
          <w:szCs w:val="44"/>
          <w:lang w:val="en-US" w:eastAsia="zh-CN"/>
        </w:rPr>
        <w:t xml:space="preserve"> </w:t>
      </w:r>
    </w:p>
    <w:p>
      <w:pPr>
        <w:pStyle w:val="14"/>
        <w:tabs>
          <w:tab w:val="right" w:leader="dot" w:pos="8505"/>
        </w:tabs>
        <w:ind w:left="0" w:leftChars="0" w:firstLine="0" w:firstLineChars="0"/>
      </w:pPr>
      <w:r>
        <w:rPr>
          <w:szCs w:val="44"/>
        </w:rPr>
        <w:fldChar w:fldCharType="begin"/>
      </w:r>
      <w:r>
        <w:rPr>
          <w:szCs w:val="44"/>
        </w:rPr>
        <w:instrText xml:space="preserve"> HYPERLINK \l _Toc16802 </w:instrText>
      </w:r>
      <w:r>
        <w:rPr>
          <w:szCs w:val="44"/>
        </w:rPr>
        <w:fldChar w:fldCharType="separate"/>
      </w:r>
      <w:r>
        <w:rPr>
          <w:rFonts w:hint="eastAsia" w:cs="宋体"/>
          <w:bCs w:val="0"/>
        </w:rPr>
        <w:t>二、</w:t>
      </w:r>
      <w:r>
        <w:rPr>
          <w:rFonts w:hint="eastAsia" w:ascii="黑体" w:eastAsia="黑体" w:cs="黑体"/>
          <w:bCs w:val="0"/>
        </w:rPr>
        <w:t>房地产估价机构</w:t>
      </w:r>
      <w:r>
        <w:rPr>
          <w:rFonts w:hint="eastAsia" w:cs="宋体"/>
        </w:rPr>
        <w:t>：</w:t>
      </w:r>
      <w:r>
        <w:tab/>
      </w:r>
      <w:r>
        <w:fldChar w:fldCharType="begin"/>
      </w:r>
      <w:r>
        <w:instrText xml:space="preserve"> PAGEREF _Toc16802 \h </w:instrText>
      </w:r>
      <w:r>
        <w:fldChar w:fldCharType="separate"/>
      </w:r>
      <w:r>
        <w:t>9</w:t>
      </w:r>
      <w:r>
        <w:fldChar w:fldCharType="end"/>
      </w:r>
      <w:r>
        <w:rPr>
          <w:szCs w:val="44"/>
        </w:rPr>
        <w:fldChar w:fldCharType="end"/>
      </w:r>
    </w:p>
    <w:p>
      <w:pPr>
        <w:pStyle w:val="14"/>
        <w:tabs>
          <w:tab w:val="right" w:leader="dot" w:pos="8505"/>
        </w:tabs>
        <w:ind w:left="0" w:leftChars="0" w:firstLine="0" w:firstLineChars="0"/>
      </w:pPr>
      <w:r>
        <w:rPr>
          <w:szCs w:val="44"/>
        </w:rPr>
        <w:fldChar w:fldCharType="begin"/>
      </w:r>
      <w:r>
        <w:rPr>
          <w:szCs w:val="44"/>
        </w:rPr>
        <w:instrText xml:space="preserve"> HYPERLINK \l _Toc20744 </w:instrText>
      </w:r>
      <w:r>
        <w:rPr>
          <w:szCs w:val="44"/>
        </w:rPr>
        <w:fldChar w:fldCharType="separate"/>
      </w:r>
      <w:r>
        <w:rPr>
          <w:rFonts w:hint="eastAsia" w:cs="宋体"/>
        </w:rPr>
        <w:t>三、</w:t>
      </w:r>
      <w:r>
        <w:rPr>
          <w:rFonts w:hint="eastAsia" w:ascii="黑体" w:eastAsia="黑体" w:cs="黑体"/>
          <w:bCs w:val="0"/>
        </w:rPr>
        <w:t>估价目的</w:t>
      </w:r>
      <w:r>
        <w:rPr>
          <w:rFonts w:hint="eastAsia" w:cs="宋体"/>
          <w:bCs w:val="0"/>
        </w:rPr>
        <w:t>：</w:t>
      </w:r>
      <w:r>
        <w:tab/>
      </w:r>
      <w:r>
        <w:fldChar w:fldCharType="begin"/>
      </w:r>
      <w:r>
        <w:instrText xml:space="preserve"> PAGEREF _Toc20744 \h </w:instrText>
      </w:r>
      <w:r>
        <w:fldChar w:fldCharType="separate"/>
      </w:r>
      <w:r>
        <w:t>9</w:t>
      </w:r>
      <w:r>
        <w:fldChar w:fldCharType="end"/>
      </w:r>
      <w:r>
        <w:rPr>
          <w:szCs w:val="44"/>
        </w:rPr>
        <w:fldChar w:fldCharType="end"/>
      </w:r>
    </w:p>
    <w:p>
      <w:pPr>
        <w:pStyle w:val="14"/>
        <w:tabs>
          <w:tab w:val="right" w:leader="dot" w:pos="8505"/>
        </w:tabs>
        <w:ind w:left="0" w:leftChars="0" w:firstLine="0" w:firstLineChars="0"/>
      </w:pPr>
      <w:r>
        <w:rPr>
          <w:szCs w:val="44"/>
        </w:rPr>
        <w:fldChar w:fldCharType="begin"/>
      </w:r>
      <w:r>
        <w:rPr>
          <w:szCs w:val="44"/>
        </w:rPr>
        <w:instrText xml:space="preserve"> HYPERLINK \l _Toc30053 </w:instrText>
      </w:r>
      <w:r>
        <w:rPr>
          <w:szCs w:val="44"/>
        </w:rPr>
        <w:fldChar w:fldCharType="separate"/>
      </w:r>
      <w:r>
        <w:rPr>
          <w:rFonts w:hint="eastAsia" w:eastAsia="黑体" w:cs="黑体"/>
          <w:bCs w:val="0"/>
        </w:rPr>
        <w:t>四</w:t>
      </w:r>
      <w:r>
        <w:rPr>
          <w:rFonts w:hint="eastAsia" w:cs="宋体"/>
          <w:bCs w:val="0"/>
        </w:rPr>
        <w:t>、</w:t>
      </w:r>
      <w:r>
        <w:rPr>
          <w:rFonts w:hint="eastAsia" w:eastAsia="黑体" w:cs="黑体"/>
          <w:bCs w:val="0"/>
        </w:rPr>
        <w:t>估价对象</w:t>
      </w:r>
      <w:r>
        <w:rPr>
          <w:rFonts w:hint="eastAsia" w:eastAsia="黑体" w:cs="黑体"/>
        </w:rPr>
        <w:t>：</w:t>
      </w:r>
      <w:r>
        <w:tab/>
      </w:r>
      <w:r>
        <w:fldChar w:fldCharType="begin"/>
      </w:r>
      <w:r>
        <w:instrText xml:space="preserve"> PAGEREF _Toc30053 \h </w:instrText>
      </w:r>
      <w:r>
        <w:fldChar w:fldCharType="separate"/>
      </w:r>
      <w:r>
        <w:t>9</w:t>
      </w:r>
      <w:r>
        <w:fldChar w:fldCharType="end"/>
      </w:r>
      <w:r>
        <w:rPr>
          <w:szCs w:val="44"/>
        </w:rPr>
        <w:fldChar w:fldCharType="end"/>
      </w:r>
    </w:p>
    <w:p>
      <w:pPr>
        <w:pStyle w:val="14"/>
        <w:tabs>
          <w:tab w:val="right" w:leader="dot" w:pos="8505"/>
        </w:tabs>
        <w:ind w:left="0" w:leftChars="0" w:firstLine="0" w:firstLineChars="0"/>
      </w:pPr>
      <w:r>
        <w:rPr>
          <w:szCs w:val="44"/>
        </w:rPr>
        <w:fldChar w:fldCharType="begin"/>
      </w:r>
      <w:r>
        <w:rPr>
          <w:szCs w:val="44"/>
        </w:rPr>
        <w:instrText xml:space="preserve"> HYPERLINK \l _Toc19924 </w:instrText>
      </w:r>
      <w:r>
        <w:rPr>
          <w:szCs w:val="44"/>
        </w:rPr>
        <w:fldChar w:fldCharType="separate"/>
      </w:r>
      <w:r>
        <w:rPr>
          <w:rFonts w:hint="eastAsia" w:eastAsia="黑体" w:cs="黑体"/>
          <w:bCs w:val="0"/>
        </w:rPr>
        <w:t>五</w:t>
      </w:r>
      <w:r>
        <w:rPr>
          <w:rFonts w:hint="eastAsia" w:cs="宋体"/>
          <w:bCs w:val="0"/>
        </w:rPr>
        <w:t>、</w:t>
      </w:r>
      <w:r>
        <w:rPr>
          <w:rFonts w:hint="eastAsia" w:eastAsia="黑体" w:cs="黑体"/>
          <w:bCs w:val="0"/>
        </w:rPr>
        <w:t>价值时点</w:t>
      </w:r>
      <w:r>
        <w:rPr>
          <w:rFonts w:hint="eastAsia" w:cs="宋体"/>
          <w:bCs w:val="0"/>
        </w:rPr>
        <w:t>：</w:t>
      </w:r>
      <w:r>
        <w:tab/>
      </w:r>
      <w:r>
        <w:fldChar w:fldCharType="begin"/>
      </w:r>
      <w:r>
        <w:instrText xml:space="preserve"> PAGEREF _Toc19924 \h </w:instrText>
      </w:r>
      <w:r>
        <w:fldChar w:fldCharType="separate"/>
      </w:r>
      <w:r>
        <w:t>10</w:t>
      </w:r>
      <w:r>
        <w:fldChar w:fldCharType="end"/>
      </w:r>
      <w:r>
        <w:rPr>
          <w:szCs w:val="44"/>
        </w:rPr>
        <w:fldChar w:fldCharType="end"/>
      </w:r>
    </w:p>
    <w:p>
      <w:pPr>
        <w:pStyle w:val="14"/>
        <w:tabs>
          <w:tab w:val="right" w:leader="dot" w:pos="8505"/>
        </w:tabs>
        <w:ind w:left="0" w:leftChars="0" w:firstLine="0" w:firstLineChars="0"/>
      </w:pPr>
      <w:r>
        <w:rPr>
          <w:szCs w:val="44"/>
        </w:rPr>
        <w:fldChar w:fldCharType="begin"/>
      </w:r>
      <w:r>
        <w:rPr>
          <w:szCs w:val="44"/>
        </w:rPr>
        <w:instrText xml:space="preserve"> HYPERLINK \l _Toc31842 </w:instrText>
      </w:r>
      <w:r>
        <w:rPr>
          <w:szCs w:val="44"/>
        </w:rPr>
        <w:fldChar w:fldCharType="separate"/>
      </w:r>
      <w:r>
        <w:rPr>
          <w:rFonts w:hint="eastAsia" w:eastAsia="黑体" w:cs="黑体"/>
          <w:bCs w:val="0"/>
        </w:rPr>
        <w:t>六</w:t>
      </w:r>
      <w:r>
        <w:rPr>
          <w:rFonts w:hint="eastAsia" w:cs="宋体"/>
          <w:bCs w:val="0"/>
        </w:rPr>
        <w:t>、</w:t>
      </w:r>
      <w:r>
        <w:rPr>
          <w:rFonts w:hint="eastAsia" w:eastAsia="黑体" w:cs="黑体"/>
          <w:bCs w:val="0"/>
        </w:rPr>
        <w:t>估价依据</w:t>
      </w:r>
      <w:r>
        <w:rPr>
          <w:rFonts w:hint="eastAsia" w:cs="宋体"/>
          <w:bCs w:val="0"/>
        </w:rPr>
        <w:t>：</w:t>
      </w:r>
      <w:r>
        <w:tab/>
      </w:r>
      <w:r>
        <w:fldChar w:fldCharType="begin"/>
      </w:r>
      <w:r>
        <w:instrText xml:space="preserve"> PAGEREF _Toc31842 \h </w:instrText>
      </w:r>
      <w:r>
        <w:fldChar w:fldCharType="separate"/>
      </w:r>
      <w:r>
        <w:t>10</w:t>
      </w:r>
      <w:r>
        <w:fldChar w:fldCharType="end"/>
      </w:r>
      <w:r>
        <w:rPr>
          <w:szCs w:val="44"/>
        </w:rPr>
        <w:fldChar w:fldCharType="end"/>
      </w:r>
    </w:p>
    <w:p>
      <w:pPr>
        <w:pStyle w:val="14"/>
        <w:tabs>
          <w:tab w:val="right" w:leader="dot" w:pos="8505"/>
        </w:tabs>
        <w:ind w:left="0" w:leftChars="0" w:firstLine="0" w:firstLineChars="0"/>
      </w:pPr>
      <w:r>
        <w:rPr>
          <w:szCs w:val="44"/>
        </w:rPr>
        <w:fldChar w:fldCharType="begin"/>
      </w:r>
      <w:r>
        <w:rPr>
          <w:szCs w:val="44"/>
        </w:rPr>
        <w:instrText xml:space="preserve"> HYPERLINK \l _Toc28633 </w:instrText>
      </w:r>
      <w:r>
        <w:rPr>
          <w:szCs w:val="44"/>
        </w:rPr>
        <w:fldChar w:fldCharType="separate"/>
      </w:r>
      <w:r>
        <w:rPr>
          <w:rFonts w:hint="eastAsia" w:ascii="黑体" w:hAnsi="宋体" w:eastAsia="黑体" w:cs="黑体"/>
          <w:bCs w:val="0"/>
        </w:rPr>
        <w:t>七、价值类型</w:t>
      </w:r>
      <w:r>
        <w:rPr>
          <w:rFonts w:hint="eastAsia" w:ascii="黑体" w:hAnsi="宋体" w:eastAsia="黑体" w:cs="黑体"/>
        </w:rPr>
        <w:t>：</w:t>
      </w:r>
      <w:r>
        <w:tab/>
      </w:r>
      <w:r>
        <w:fldChar w:fldCharType="begin"/>
      </w:r>
      <w:r>
        <w:instrText xml:space="preserve"> PAGEREF _Toc28633 \h </w:instrText>
      </w:r>
      <w:r>
        <w:fldChar w:fldCharType="separate"/>
      </w:r>
      <w:r>
        <w:t>11</w:t>
      </w:r>
      <w:r>
        <w:fldChar w:fldCharType="end"/>
      </w:r>
      <w:r>
        <w:rPr>
          <w:szCs w:val="44"/>
        </w:rPr>
        <w:fldChar w:fldCharType="end"/>
      </w:r>
    </w:p>
    <w:p>
      <w:pPr>
        <w:pStyle w:val="14"/>
        <w:tabs>
          <w:tab w:val="right" w:leader="dot" w:pos="8505"/>
        </w:tabs>
        <w:ind w:left="0" w:leftChars="0" w:firstLine="0" w:firstLineChars="0"/>
      </w:pPr>
      <w:r>
        <w:rPr>
          <w:szCs w:val="44"/>
        </w:rPr>
        <w:fldChar w:fldCharType="begin"/>
      </w:r>
      <w:r>
        <w:rPr>
          <w:szCs w:val="44"/>
        </w:rPr>
        <w:instrText xml:space="preserve"> HYPERLINK \l _Toc25598 </w:instrText>
      </w:r>
      <w:r>
        <w:rPr>
          <w:szCs w:val="44"/>
        </w:rPr>
        <w:fldChar w:fldCharType="separate"/>
      </w:r>
      <w:r>
        <w:rPr>
          <w:rFonts w:hint="eastAsia" w:eastAsia="黑体" w:cs="黑体"/>
          <w:bCs w:val="0"/>
        </w:rPr>
        <w:t>八</w:t>
      </w:r>
      <w:r>
        <w:rPr>
          <w:rFonts w:hint="eastAsia" w:cs="宋体"/>
          <w:bCs w:val="0"/>
        </w:rPr>
        <w:t>、</w:t>
      </w:r>
      <w:r>
        <w:rPr>
          <w:rFonts w:hint="eastAsia" w:eastAsia="黑体" w:cs="黑体"/>
          <w:bCs w:val="0"/>
        </w:rPr>
        <w:t>估价原则</w:t>
      </w:r>
      <w:r>
        <w:rPr>
          <w:rFonts w:hint="eastAsia" w:cs="宋体"/>
          <w:bCs w:val="0"/>
        </w:rPr>
        <w:t>：</w:t>
      </w:r>
      <w:r>
        <w:tab/>
      </w:r>
      <w:r>
        <w:fldChar w:fldCharType="begin"/>
      </w:r>
      <w:r>
        <w:instrText xml:space="preserve"> PAGEREF _Toc25598 \h </w:instrText>
      </w:r>
      <w:r>
        <w:fldChar w:fldCharType="separate"/>
      </w:r>
      <w:r>
        <w:t>12</w:t>
      </w:r>
      <w:r>
        <w:fldChar w:fldCharType="end"/>
      </w:r>
      <w:r>
        <w:rPr>
          <w:szCs w:val="44"/>
        </w:rPr>
        <w:fldChar w:fldCharType="end"/>
      </w:r>
    </w:p>
    <w:p>
      <w:pPr>
        <w:pStyle w:val="14"/>
        <w:tabs>
          <w:tab w:val="right" w:leader="dot" w:pos="8505"/>
        </w:tabs>
        <w:ind w:left="0" w:leftChars="0" w:firstLine="0" w:firstLineChars="0"/>
      </w:pPr>
      <w:r>
        <w:rPr>
          <w:szCs w:val="44"/>
        </w:rPr>
        <w:fldChar w:fldCharType="begin"/>
      </w:r>
      <w:r>
        <w:rPr>
          <w:szCs w:val="44"/>
        </w:rPr>
        <w:instrText xml:space="preserve"> HYPERLINK \l _Toc30754 </w:instrText>
      </w:r>
      <w:r>
        <w:rPr>
          <w:szCs w:val="44"/>
        </w:rPr>
        <w:fldChar w:fldCharType="separate"/>
      </w:r>
      <w:r>
        <w:rPr>
          <w:rFonts w:hint="eastAsia" w:ascii="黑体" w:hAnsi="黑体" w:eastAsia="黑体" w:cs="黑体"/>
          <w:bCs w:val="0"/>
        </w:rPr>
        <w:t>九、估价方法：</w:t>
      </w:r>
      <w:r>
        <w:tab/>
      </w:r>
      <w:r>
        <w:fldChar w:fldCharType="begin"/>
      </w:r>
      <w:r>
        <w:instrText xml:space="preserve"> PAGEREF _Toc30754 \h </w:instrText>
      </w:r>
      <w:r>
        <w:fldChar w:fldCharType="separate"/>
      </w:r>
      <w:r>
        <w:t>12</w:t>
      </w:r>
      <w:r>
        <w:fldChar w:fldCharType="end"/>
      </w:r>
      <w:r>
        <w:rPr>
          <w:szCs w:val="44"/>
        </w:rPr>
        <w:fldChar w:fldCharType="end"/>
      </w:r>
    </w:p>
    <w:p>
      <w:pPr>
        <w:pStyle w:val="14"/>
        <w:tabs>
          <w:tab w:val="right" w:leader="dot" w:pos="8505"/>
        </w:tabs>
        <w:ind w:left="0" w:leftChars="0" w:firstLine="0" w:firstLineChars="0"/>
      </w:pPr>
      <w:r>
        <w:rPr>
          <w:szCs w:val="44"/>
        </w:rPr>
        <w:fldChar w:fldCharType="begin"/>
      </w:r>
      <w:r>
        <w:rPr>
          <w:szCs w:val="44"/>
        </w:rPr>
        <w:instrText xml:space="preserve"> HYPERLINK \l _Toc5483 </w:instrText>
      </w:r>
      <w:r>
        <w:rPr>
          <w:szCs w:val="44"/>
        </w:rPr>
        <w:fldChar w:fldCharType="separate"/>
      </w:r>
      <w:r>
        <w:rPr>
          <w:rFonts w:hint="eastAsia" w:eastAsia="黑体" w:cs="黑体"/>
        </w:rPr>
        <w:t>十、估价结果</w:t>
      </w:r>
      <w:r>
        <w:rPr>
          <w:rFonts w:hint="eastAsia" w:eastAsia="黑体" w:cs="黑体"/>
          <w:bCs/>
        </w:rPr>
        <w:t>：</w:t>
      </w:r>
      <w:r>
        <w:tab/>
      </w:r>
      <w:r>
        <w:fldChar w:fldCharType="begin"/>
      </w:r>
      <w:r>
        <w:instrText xml:space="preserve"> PAGEREF _Toc5483 \h </w:instrText>
      </w:r>
      <w:r>
        <w:fldChar w:fldCharType="separate"/>
      </w:r>
      <w:r>
        <w:t>13</w:t>
      </w:r>
      <w:r>
        <w:fldChar w:fldCharType="end"/>
      </w:r>
      <w:r>
        <w:rPr>
          <w:szCs w:val="44"/>
        </w:rPr>
        <w:fldChar w:fldCharType="end"/>
      </w:r>
    </w:p>
    <w:p>
      <w:pPr>
        <w:pStyle w:val="14"/>
        <w:tabs>
          <w:tab w:val="right" w:leader="dot" w:pos="8505"/>
        </w:tabs>
        <w:ind w:left="0" w:leftChars="0" w:firstLine="0" w:firstLineChars="0"/>
      </w:pPr>
      <w:r>
        <w:rPr>
          <w:szCs w:val="44"/>
        </w:rPr>
        <w:fldChar w:fldCharType="begin"/>
      </w:r>
      <w:r>
        <w:rPr>
          <w:szCs w:val="44"/>
        </w:rPr>
        <w:instrText xml:space="preserve"> HYPERLINK \l _Toc28197 </w:instrText>
      </w:r>
      <w:r>
        <w:rPr>
          <w:szCs w:val="44"/>
        </w:rPr>
        <w:fldChar w:fldCharType="separate"/>
      </w:r>
      <w:r>
        <w:rPr>
          <w:rFonts w:hint="eastAsia" w:eastAsia="黑体" w:cs="黑体"/>
        </w:rPr>
        <w:t>十一、</w:t>
      </w:r>
      <w:r>
        <w:rPr>
          <w:rFonts w:hint="eastAsia" w:hAnsi="黑体" w:eastAsia="黑体" w:cs="黑体"/>
          <w:bCs w:val="0"/>
        </w:rPr>
        <w:t>注册房地产估价师</w:t>
      </w:r>
      <w:r>
        <w:rPr>
          <w:rFonts w:hint="eastAsia" w:hAnsi="黑体" w:eastAsia="黑体" w:cs="黑体"/>
        </w:rPr>
        <w:t>：</w:t>
      </w:r>
      <w:r>
        <w:tab/>
      </w:r>
      <w:r>
        <w:fldChar w:fldCharType="begin"/>
      </w:r>
      <w:r>
        <w:instrText xml:space="preserve"> PAGEREF _Toc28197 \h </w:instrText>
      </w:r>
      <w:r>
        <w:fldChar w:fldCharType="separate"/>
      </w:r>
      <w:r>
        <w:t>14</w:t>
      </w:r>
      <w:r>
        <w:fldChar w:fldCharType="end"/>
      </w:r>
      <w:r>
        <w:rPr>
          <w:szCs w:val="44"/>
        </w:rPr>
        <w:fldChar w:fldCharType="end"/>
      </w:r>
    </w:p>
    <w:p>
      <w:pPr>
        <w:pStyle w:val="14"/>
        <w:tabs>
          <w:tab w:val="right" w:leader="dot" w:pos="8505"/>
        </w:tabs>
        <w:ind w:left="0" w:leftChars="0" w:firstLine="0" w:firstLineChars="0"/>
      </w:pPr>
      <w:r>
        <w:rPr>
          <w:szCs w:val="44"/>
        </w:rPr>
        <w:fldChar w:fldCharType="begin"/>
      </w:r>
      <w:r>
        <w:rPr>
          <w:szCs w:val="44"/>
        </w:rPr>
        <w:instrText xml:space="preserve"> HYPERLINK \l _Toc22823 </w:instrText>
      </w:r>
      <w:r>
        <w:rPr>
          <w:szCs w:val="44"/>
        </w:rPr>
        <w:fldChar w:fldCharType="separate"/>
      </w:r>
      <w:r>
        <w:rPr>
          <w:rFonts w:hint="eastAsia" w:eastAsia="黑体" w:cs="黑体"/>
          <w:bCs w:val="0"/>
        </w:rPr>
        <w:t>十二、 现场勘查日期</w:t>
      </w:r>
      <w:r>
        <w:tab/>
      </w:r>
      <w:r>
        <w:fldChar w:fldCharType="begin"/>
      </w:r>
      <w:r>
        <w:instrText xml:space="preserve"> PAGEREF _Toc22823 \h </w:instrText>
      </w:r>
      <w:r>
        <w:fldChar w:fldCharType="separate"/>
      </w:r>
      <w:r>
        <w:t>14</w:t>
      </w:r>
      <w:r>
        <w:fldChar w:fldCharType="end"/>
      </w:r>
      <w:r>
        <w:rPr>
          <w:szCs w:val="44"/>
        </w:rPr>
        <w:fldChar w:fldCharType="end"/>
      </w:r>
    </w:p>
    <w:p>
      <w:pPr>
        <w:pStyle w:val="14"/>
        <w:tabs>
          <w:tab w:val="right" w:leader="dot" w:pos="8505"/>
        </w:tabs>
        <w:ind w:left="0" w:leftChars="0" w:firstLine="0" w:firstLineChars="0"/>
      </w:pPr>
      <w:r>
        <w:rPr>
          <w:szCs w:val="44"/>
        </w:rPr>
        <w:fldChar w:fldCharType="begin"/>
      </w:r>
      <w:r>
        <w:rPr>
          <w:szCs w:val="44"/>
        </w:rPr>
        <w:instrText xml:space="preserve"> HYPERLINK \l _Toc25536 </w:instrText>
      </w:r>
      <w:r>
        <w:rPr>
          <w:szCs w:val="44"/>
        </w:rPr>
        <w:fldChar w:fldCharType="separate"/>
      </w:r>
      <w:r>
        <w:rPr>
          <w:rFonts w:hint="eastAsia" w:eastAsia="黑体" w:cs="黑体"/>
          <w:bCs w:val="0"/>
        </w:rPr>
        <w:t>十三、估价作业日期</w:t>
      </w:r>
      <w:r>
        <w:rPr>
          <w:rFonts w:hint="eastAsia" w:cs="宋体"/>
          <w:bCs w:val="0"/>
        </w:rPr>
        <w:t>：</w:t>
      </w:r>
      <w:r>
        <w:tab/>
      </w:r>
      <w:r>
        <w:fldChar w:fldCharType="begin"/>
      </w:r>
      <w:r>
        <w:instrText xml:space="preserve"> PAGEREF _Toc25536 \h </w:instrText>
      </w:r>
      <w:r>
        <w:fldChar w:fldCharType="separate"/>
      </w:r>
      <w:r>
        <w:t>14</w:t>
      </w:r>
      <w:r>
        <w:fldChar w:fldCharType="end"/>
      </w:r>
      <w:r>
        <w:rPr>
          <w:szCs w:val="44"/>
        </w:rPr>
        <w:fldChar w:fldCharType="end"/>
      </w:r>
    </w:p>
    <w:p>
      <w:pPr>
        <w:pStyle w:val="14"/>
        <w:tabs>
          <w:tab w:val="right" w:leader="dot" w:pos="8505"/>
        </w:tabs>
        <w:ind w:left="0" w:leftChars="0" w:firstLine="0" w:firstLineChars="0"/>
      </w:pPr>
      <w:r>
        <w:rPr>
          <w:szCs w:val="44"/>
        </w:rPr>
        <w:fldChar w:fldCharType="begin"/>
      </w:r>
      <w:r>
        <w:rPr>
          <w:szCs w:val="44"/>
        </w:rPr>
        <w:instrText xml:space="preserve"> HYPERLINK \l _Toc24073 </w:instrText>
      </w:r>
      <w:r>
        <w:rPr>
          <w:szCs w:val="44"/>
        </w:rPr>
        <w:fldChar w:fldCharType="separate"/>
      </w:r>
      <w:r>
        <w:rPr>
          <w:rFonts w:hint="eastAsia" w:eastAsia="黑体" w:cs="黑体"/>
          <w:bCs w:val="0"/>
        </w:rPr>
        <w:t>十四、估价报告应用有效期</w:t>
      </w:r>
      <w:r>
        <w:rPr>
          <w:rFonts w:hint="eastAsia" w:cs="宋体"/>
        </w:rPr>
        <w:t>：</w:t>
      </w:r>
      <w:r>
        <w:tab/>
      </w:r>
      <w:r>
        <w:fldChar w:fldCharType="begin"/>
      </w:r>
      <w:r>
        <w:instrText xml:space="preserve"> PAGEREF _Toc24073 \h </w:instrText>
      </w:r>
      <w:r>
        <w:fldChar w:fldCharType="separate"/>
      </w:r>
      <w:r>
        <w:t>14</w:t>
      </w:r>
      <w:r>
        <w:fldChar w:fldCharType="end"/>
      </w:r>
      <w:r>
        <w:rPr>
          <w:szCs w:val="44"/>
        </w:rPr>
        <w:fldChar w:fldCharType="end"/>
      </w:r>
    </w:p>
    <w:p>
      <w:pPr>
        <w:pStyle w:val="12"/>
        <w:tabs>
          <w:tab w:val="right" w:leader="dot" w:pos="8505"/>
          <w:tab w:val="clear" w:pos="8495"/>
        </w:tabs>
      </w:pPr>
      <w:r>
        <w:rPr>
          <w:szCs w:val="44"/>
        </w:rPr>
        <w:fldChar w:fldCharType="begin"/>
      </w:r>
      <w:r>
        <w:rPr>
          <w:szCs w:val="44"/>
        </w:rPr>
        <w:instrText xml:space="preserve"> HYPERLINK \l _Toc32474 </w:instrText>
      </w:r>
      <w:r>
        <w:rPr>
          <w:szCs w:val="44"/>
        </w:rPr>
        <w:fldChar w:fldCharType="separate"/>
      </w:r>
      <w:r>
        <w:rPr>
          <w:rFonts w:hint="eastAsia" w:ascii="黑体" w:eastAsia="黑体" w:cs="黑体"/>
          <w:bCs w:val="0"/>
        </w:rPr>
        <w:t>附件（复印件）</w:t>
      </w:r>
      <w:r>
        <w:tab/>
      </w:r>
      <w:r>
        <w:fldChar w:fldCharType="begin"/>
      </w:r>
      <w:r>
        <w:instrText xml:space="preserve"> PAGEREF _Toc32474 \h </w:instrText>
      </w:r>
      <w:r>
        <w:fldChar w:fldCharType="separate"/>
      </w:r>
      <w:r>
        <w:t>15</w:t>
      </w:r>
      <w:r>
        <w:fldChar w:fldCharType="end"/>
      </w:r>
      <w:r>
        <w:rPr>
          <w:szCs w:val="44"/>
        </w:rPr>
        <w:fldChar w:fldCharType="end"/>
      </w:r>
    </w:p>
    <w:p>
      <w:pPr>
        <w:adjustRightInd w:val="0"/>
        <w:snapToGrid w:val="0"/>
        <w:spacing w:line="420" w:lineRule="atLeast"/>
        <w:jc w:val="center"/>
        <w:rPr>
          <w:sz w:val="44"/>
          <w:szCs w:val="44"/>
        </w:rPr>
      </w:pPr>
      <w:r>
        <w:rPr>
          <w:szCs w:val="44"/>
        </w:rPr>
        <w:fldChar w:fldCharType="end"/>
      </w:r>
    </w:p>
    <w:p>
      <w:pPr>
        <w:adjustRightInd w:val="0"/>
        <w:snapToGrid w:val="0"/>
        <w:spacing w:line="420" w:lineRule="atLeast"/>
        <w:jc w:val="center"/>
        <w:rPr>
          <w:sz w:val="44"/>
          <w:szCs w:val="44"/>
        </w:rPr>
      </w:pPr>
    </w:p>
    <w:p>
      <w:pPr>
        <w:adjustRightInd w:val="0"/>
        <w:snapToGrid w:val="0"/>
        <w:spacing w:line="420" w:lineRule="atLeast"/>
        <w:jc w:val="center"/>
        <w:rPr>
          <w:sz w:val="44"/>
          <w:szCs w:val="44"/>
        </w:rPr>
      </w:pPr>
    </w:p>
    <w:p>
      <w:pPr>
        <w:pStyle w:val="2"/>
        <w:keepNext w:val="0"/>
        <w:keepLines w:val="0"/>
        <w:adjustRightInd w:val="0"/>
        <w:snapToGrid w:val="0"/>
        <w:spacing w:before="0" w:after="0" w:line="240" w:lineRule="atLeast"/>
        <w:jc w:val="center"/>
        <w:rPr>
          <w:rFonts w:ascii="宋体"/>
        </w:rPr>
      </w:pPr>
      <w:bookmarkStart w:id="0" w:name="_Toc18251"/>
      <w:r>
        <w:rPr>
          <w:rFonts w:hint="eastAsia" w:ascii="宋体" w:hAnsi="宋体" w:cs="宋体"/>
        </w:rPr>
        <w:t>致估价委托人函</w:t>
      </w:r>
      <w:bookmarkEnd w:id="0"/>
    </w:p>
    <w:p>
      <w:pPr>
        <w:pStyle w:val="13"/>
        <w:adjustRightInd w:val="0"/>
        <w:snapToGrid w:val="0"/>
        <w:spacing w:line="500" w:lineRule="atLeast"/>
        <w:ind w:left="0" w:leftChars="0"/>
        <w:rPr>
          <w:rFonts w:ascii="仿宋_GB2312" w:eastAsia="仿宋_GB2312"/>
          <w:sz w:val="28"/>
          <w:szCs w:val="28"/>
        </w:rPr>
      </w:pPr>
      <w:r>
        <w:rPr>
          <w:rFonts w:hint="eastAsia" w:ascii="仿宋_GB2312" w:eastAsia="仿宋_GB2312" w:cs="仿宋_GB2312"/>
          <w:sz w:val="28"/>
          <w:szCs w:val="28"/>
        </w:rPr>
        <w:t>洮南市人民法院：</w:t>
      </w:r>
    </w:p>
    <w:p>
      <w:pPr>
        <w:pStyle w:val="13"/>
        <w:adjustRightInd w:val="0"/>
        <w:snapToGrid w:val="0"/>
        <w:spacing w:line="500" w:lineRule="atLeast"/>
        <w:ind w:left="0" w:leftChars="0" w:firstLine="560" w:firstLineChars="200"/>
        <w:rPr>
          <w:rFonts w:ascii="仿宋_GB2312" w:eastAsia="仿宋_GB2312"/>
          <w:sz w:val="28"/>
          <w:szCs w:val="28"/>
        </w:rPr>
      </w:pPr>
      <w:r>
        <w:rPr>
          <w:rFonts w:hint="eastAsia" w:ascii="仿宋_GB2312" w:eastAsia="仿宋_GB2312" w:cs="仿宋_GB2312"/>
          <w:sz w:val="28"/>
          <w:szCs w:val="28"/>
        </w:rPr>
        <w:t>受贵方委托，我公司于2022年07月25日派出注册房地产估价师对估价对象房地产进行了实地查勘、调查，遵循独立、客观、公正的原则，结合估价对象房地产的具体状况和影响价格的具体因素，进行了分析、测算和判断。严格遵守房地产估价方面的法律法规及国家、地方标准，按照估价规程，采用科学、适用的估价方法，完成了对估价对象房地产的评估，现致函如下：</w:t>
      </w:r>
    </w:p>
    <w:p>
      <w:pPr>
        <w:pStyle w:val="13"/>
        <w:adjustRightInd w:val="0"/>
        <w:snapToGrid w:val="0"/>
        <w:spacing w:line="500" w:lineRule="atLeast"/>
        <w:ind w:left="0" w:leftChars="0" w:firstLine="560" w:firstLineChars="200"/>
        <w:rPr>
          <w:rFonts w:ascii="仿宋_GB2312" w:eastAsia="仿宋_GB2312"/>
          <w:sz w:val="28"/>
          <w:szCs w:val="28"/>
        </w:rPr>
      </w:pPr>
      <w:r>
        <w:rPr>
          <w:rFonts w:hint="eastAsia" w:ascii="仿宋_GB2312" w:eastAsia="仿宋_GB2312" w:cs="仿宋_GB2312"/>
          <w:sz w:val="28"/>
          <w:szCs w:val="28"/>
        </w:rPr>
        <w:t>一、估价目的：为人民法院确定财产处置参考价提供参考依据。</w:t>
      </w:r>
    </w:p>
    <w:p>
      <w:pPr>
        <w:adjustRightInd w:val="0"/>
        <w:snapToGrid w:val="0"/>
        <w:spacing w:line="500" w:lineRule="atLeast"/>
        <w:ind w:firstLine="560" w:firstLineChars="200"/>
        <w:rPr>
          <w:rFonts w:ascii="仿宋_GB2312" w:eastAsia="仿宋_GB2312"/>
          <w:sz w:val="28"/>
          <w:szCs w:val="28"/>
        </w:rPr>
      </w:pPr>
      <w:r>
        <w:rPr>
          <w:rFonts w:hint="eastAsia" w:ascii="仿宋_GB2312" w:eastAsia="仿宋_GB2312" w:cs="仿宋_GB2312"/>
          <w:sz w:val="28"/>
          <w:szCs w:val="28"/>
        </w:rPr>
        <w:t>二、估价对象：坐落于洮南市团结街道清真西路（玫瑰园小区一期13号楼）1单元602室、4单元601室、5单元601室。估价对象评估范围为权利人洮南市宏业房地产开发有限公司所属的房屋所有权及其分摊的国有建设用地使用权以及室内装修等不动产，估价对象总建筑面积为211.63平方米，住宅用途。</w:t>
      </w:r>
    </w:p>
    <w:p>
      <w:pPr>
        <w:pStyle w:val="13"/>
        <w:adjustRightInd w:val="0"/>
        <w:snapToGrid w:val="0"/>
        <w:spacing w:line="500" w:lineRule="atLeast"/>
        <w:ind w:left="0" w:leftChars="0" w:firstLine="560" w:firstLineChars="200"/>
        <w:rPr>
          <w:rFonts w:ascii="仿宋_GB2312" w:eastAsia="仿宋_GB2312" w:cs="仿宋_GB2312"/>
          <w:sz w:val="28"/>
          <w:szCs w:val="28"/>
        </w:rPr>
      </w:pPr>
      <w:r>
        <w:rPr>
          <w:rFonts w:hint="eastAsia" w:ascii="仿宋_GB2312" w:eastAsia="仿宋_GB2312" w:cs="仿宋_GB2312"/>
          <w:sz w:val="28"/>
          <w:szCs w:val="28"/>
        </w:rPr>
        <w:t>三、价值时点：2022年07月25日</w:t>
      </w:r>
      <w:r>
        <w:rPr>
          <w:rFonts w:ascii="仿宋_GB2312" w:eastAsia="仿宋_GB2312" w:cs="仿宋_GB2312"/>
          <w:sz w:val="28"/>
          <w:szCs w:val="28"/>
        </w:rPr>
        <w:t>(</w:t>
      </w:r>
      <w:r>
        <w:rPr>
          <w:rFonts w:hint="eastAsia" w:ascii="仿宋_GB2312" w:eastAsia="仿宋_GB2312" w:cs="仿宋_GB2312"/>
          <w:sz w:val="28"/>
          <w:szCs w:val="28"/>
        </w:rPr>
        <w:t>为现场查看之日</w:t>
      </w:r>
      <w:r>
        <w:rPr>
          <w:rFonts w:ascii="仿宋_GB2312" w:eastAsia="仿宋_GB2312" w:cs="仿宋_GB2312"/>
          <w:sz w:val="28"/>
          <w:szCs w:val="28"/>
        </w:rPr>
        <w:t>)</w:t>
      </w:r>
    </w:p>
    <w:p>
      <w:pPr>
        <w:pStyle w:val="13"/>
        <w:adjustRightInd w:val="0"/>
        <w:snapToGrid w:val="0"/>
        <w:spacing w:line="500" w:lineRule="atLeast"/>
        <w:ind w:left="0" w:leftChars="0" w:firstLine="560" w:firstLineChars="200"/>
        <w:rPr>
          <w:rFonts w:ascii="仿宋_GB2312" w:eastAsia="仿宋_GB2312" w:cs="仿宋_GB2312"/>
          <w:color w:val="000000"/>
          <w:spacing w:val="-4"/>
          <w:sz w:val="28"/>
          <w:szCs w:val="28"/>
        </w:rPr>
      </w:pPr>
      <w:r>
        <w:rPr>
          <w:rFonts w:hint="eastAsia" w:ascii="仿宋_GB2312" w:eastAsia="仿宋_GB2312" w:cs="仿宋_GB2312"/>
          <w:sz w:val="28"/>
          <w:szCs w:val="28"/>
        </w:rPr>
        <w:t>四、价值类型：市场价值，是指估价对象经适当营销后，由熟悉情况、谨慎行事且不受强迫的交易双方，以公平交易方式在价值时点自愿进行交易的金额。</w:t>
      </w:r>
      <w:r>
        <w:rPr>
          <w:rFonts w:ascii="仿宋_GB2312" w:eastAsia="仿宋_GB2312" w:cs="仿宋_GB2312"/>
          <w:color w:val="000000"/>
          <w:spacing w:val="-4"/>
          <w:sz w:val="28"/>
          <w:szCs w:val="28"/>
        </w:rPr>
        <w:t xml:space="preserve"> </w:t>
      </w:r>
    </w:p>
    <w:p>
      <w:pPr>
        <w:pStyle w:val="13"/>
        <w:adjustRightInd w:val="0"/>
        <w:snapToGrid w:val="0"/>
        <w:spacing w:line="500" w:lineRule="atLeast"/>
        <w:ind w:left="0" w:leftChars="0" w:firstLine="544" w:firstLineChars="200"/>
        <w:rPr>
          <w:rFonts w:ascii="仿宋_GB2312" w:eastAsia="仿宋_GB2312"/>
          <w:b/>
          <w:color w:val="000000"/>
          <w:spacing w:val="-4"/>
          <w:sz w:val="28"/>
          <w:szCs w:val="28"/>
        </w:rPr>
      </w:pPr>
      <w:r>
        <w:rPr>
          <w:rFonts w:hint="eastAsia" w:ascii="仿宋_GB2312" w:eastAsia="仿宋_GB2312" w:cs="仿宋_GB2312"/>
          <w:color w:val="000000"/>
          <w:spacing w:val="-4"/>
          <w:sz w:val="28"/>
          <w:szCs w:val="28"/>
        </w:rPr>
        <w:t>五、估价方法：</w:t>
      </w:r>
      <w:r>
        <w:rPr>
          <w:rFonts w:hint="eastAsia" w:ascii="仿宋_GB2312" w:eastAsia="仿宋_GB2312"/>
          <w:color w:val="000000"/>
          <w:spacing w:val="-4"/>
          <w:sz w:val="28"/>
          <w:szCs w:val="28"/>
        </w:rPr>
        <w:t>采用比较法，</w:t>
      </w:r>
      <w:r>
        <w:rPr>
          <w:rFonts w:hint="eastAsia" w:ascii="仿宋_GB2312" w:eastAsia="仿宋_GB2312"/>
          <w:sz w:val="28"/>
          <w:szCs w:val="28"/>
        </w:rPr>
        <w:t>比较法是选取一定数量的可比实例并将它们与估价对象进行比较，然后对这些可比实例的成交价格进行适当的处理来求取估价对象价值的方法。</w:t>
      </w:r>
    </w:p>
    <w:p>
      <w:pPr>
        <w:adjustRightInd w:val="0"/>
        <w:snapToGrid w:val="0"/>
        <w:spacing w:line="500" w:lineRule="atLeast"/>
        <w:ind w:firstLine="560" w:firstLineChars="200"/>
        <w:rPr>
          <w:rFonts w:ascii="仿宋_GB2312" w:eastAsia="仿宋_GB2312" w:cs="仿宋_GB2312"/>
          <w:sz w:val="28"/>
          <w:szCs w:val="28"/>
        </w:rPr>
      </w:pPr>
      <w:r>
        <w:rPr>
          <w:rFonts w:hint="eastAsia" w:ascii="仿宋_GB2312" w:eastAsia="仿宋_GB2312" w:cs="仿宋_GB2312"/>
          <w:sz w:val="28"/>
          <w:szCs w:val="28"/>
        </w:rPr>
        <w:t>六、估价结果：估价对象于价值时点的评估总价值为人民币</w:t>
      </w:r>
      <w:r>
        <w:rPr>
          <w:rFonts w:hint="eastAsia" w:ascii="仿宋_GB2312" w:eastAsia="仿宋_GB2312" w:cs="仿宋_GB2312"/>
          <w:kern w:val="0"/>
          <w:sz w:val="28"/>
          <w:szCs w:val="28"/>
        </w:rPr>
        <w:t>365,056.00元</w:t>
      </w:r>
      <w:r>
        <w:rPr>
          <w:rFonts w:hint="eastAsia" w:ascii="仿宋_GB2312" w:eastAsia="仿宋_GB2312" w:cs="仿宋_GB2312"/>
          <w:sz w:val="28"/>
          <w:szCs w:val="28"/>
        </w:rPr>
        <w:t>（大写人民币）</w:t>
      </w:r>
      <w:r>
        <w:rPr>
          <w:rFonts w:hint="eastAsia" w:ascii="仿宋_GB2312" w:eastAsia="仿宋_GB2312" w:cs="仿宋_GB2312"/>
          <w:kern w:val="0"/>
          <w:sz w:val="28"/>
          <w:szCs w:val="28"/>
        </w:rPr>
        <w:t>叁拾陆万伍仟零伍拾陆元</w:t>
      </w:r>
      <w:r>
        <w:rPr>
          <w:rFonts w:hint="eastAsia" w:ascii="仿宋_GB2312" w:eastAsia="仿宋_GB2312" w:cs="仿宋_GB2312"/>
          <w:sz w:val="28"/>
          <w:szCs w:val="28"/>
        </w:rPr>
        <w:t>整，</w:t>
      </w:r>
    </w:p>
    <w:p>
      <w:pPr>
        <w:adjustRightInd w:val="0"/>
        <w:snapToGrid w:val="0"/>
        <w:spacing w:line="500" w:lineRule="atLeast"/>
        <w:ind w:firstLine="560" w:firstLineChars="200"/>
        <w:rPr>
          <w:rFonts w:ascii="仿宋_GB2312" w:eastAsia="仿宋_GB2312" w:cs="仿宋_GB2312"/>
          <w:sz w:val="28"/>
          <w:szCs w:val="28"/>
        </w:rPr>
      </w:pPr>
      <w:r>
        <w:rPr>
          <w:rFonts w:hint="eastAsia" w:ascii="Calibri" w:hAnsi="Calibri" w:eastAsia="仿宋_GB2312" w:cs="仿宋_GB2312"/>
          <w:sz w:val="28"/>
          <w:szCs w:val="28"/>
        </w:rPr>
        <w:t>详细请见下表：                             表一</w:t>
      </w:r>
      <w:r>
        <w:rPr>
          <w:rFonts w:hint="eastAsia" w:ascii="仿宋_GB2312" w:eastAsia="仿宋_GB2312" w:cs="仿宋_GB2312"/>
          <w:sz w:val="28"/>
          <w:szCs w:val="28"/>
        </w:rPr>
        <w:t xml:space="preserve"> </w:t>
      </w:r>
    </w:p>
    <w:tbl>
      <w:tblPr>
        <w:tblStyle w:val="17"/>
        <w:tblW w:w="84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268"/>
        <w:gridCol w:w="709"/>
        <w:gridCol w:w="1134"/>
        <w:gridCol w:w="992"/>
        <w:gridCol w:w="1134"/>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仿宋_GB2312" w:hAnsi="Calibri" w:eastAsia="仿宋_GB2312"/>
              </w:rPr>
            </w:pPr>
            <w:r>
              <w:rPr>
                <w:rFonts w:hint="eastAsia" w:ascii="仿宋_GB2312" w:hAnsi="宋体" w:eastAsia="仿宋_GB2312" w:cs="宋体"/>
              </w:rPr>
              <w:t>序号</w:t>
            </w:r>
          </w:p>
        </w:tc>
        <w:tc>
          <w:tcPr>
            <w:tcW w:w="2268" w:type="dxa"/>
            <w:vAlign w:val="center"/>
          </w:tcPr>
          <w:p>
            <w:pPr>
              <w:jc w:val="center"/>
              <w:rPr>
                <w:rFonts w:ascii="仿宋_GB2312" w:eastAsia="仿宋_GB2312"/>
              </w:rPr>
            </w:pPr>
            <w:r>
              <w:rPr>
                <w:rFonts w:hint="eastAsia" w:ascii="仿宋_GB2312" w:hAnsi="宋体" w:eastAsia="仿宋_GB2312" w:cs="宋体"/>
              </w:rPr>
              <w:t>坐落</w:t>
            </w:r>
          </w:p>
          <w:p>
            <w:pPr>
              <w:jc w:val="center"/>
              <w:rPr>
                <w:rFonts w:ascii="仿宋_GB2312" w:eastAsia="仿宋_GB2312"/>
              </w:rPr>
            </w:pPr>
          </w:p>
        </w:tc>
        <w:tc>
          <w:tcPr>
            <w:tcW w:w="709" w:type="dxa"/>
            <w:vAlign w:val="center"/>
          </w:tcPr>
          <w:p>
            <w:pPr>
              <w:jc w:val="center"/>
              <w:rPr>
                <w:rFonts w:ascii="仿宋_GB2312" w:eastAsia="仿宋_GB2312"/>
              </w:rPr>
            </w:pPr>
            <w:r>
              <w:rPr>
                <w:rFonts w:hint="eastAsia" w:ascii="仿宋_GB2312" w:eastAsia="仿宋_GB2312"/>
              </w:rPr>
              <w:t>规划用途</w:t>
            </w:r>
          </w:p>
        </w:tc>
        <w:tc>
          <w:tcPr>
            <w:tcW w:w="1134" w:type="dxa"/>
            <w:vAlign w:val="center"/>
          </w:tcPr>
          <w:p>
            <w:pPr>
              <w:jc w:val="center"/>
              <w:rPr>
                <w:rFonts w:ascii="仿宋_GB2312" w:eastAsia="仿宋_GB2312"/>
              </w:rPr>
            </w:pPr>
            <w:r>
              <w:rPr>
                <w:rFonts w:hint="eastAsia" w:ascii="仿宋_GB2312" w:eastAsia="仿宋_GB2312"/>
              </w:rPr>
              <w:t>所在层/总层数</w:t>
            </w:r>
          </w:p>
        </w:tc>
        <w:tc>
          <w:tcPr>
            <w:tcW w:w="992" w:type="dxa"/>
            <w:vAlign w:val="center"/>
          </w:tcPr>
          <w:p>
            <w:pPr>
              <w:jc w:val="center"/>
              <w:rPr>
                <w:rFonts w:ascii="仿宋_GB2312" w:eastAsia="仿宋_GB2312"/>
              </w:rPr>
            </w:pPr>
            <w:r>
              <w:rPr>
                <w:rFonts w:hint="eastAsia" w:ascii="仿宋_GB2312" w:eastAsia="仿宋_GB2312"/>
              </w:rPr>
              <w:t>建筑面积（</w:t>
            </w:r>
            <w:r>
              <w:rPr>
                <w:rFonts w:hint="eastAsia" w:ascii="仿宋_GB2312"/>
              </w:rPr>
              <w:t>㎡</w:t>
            </w:r>
            <w:r>
              <w:rPr>
                <w:rFonts w:hint="eastAsia" w:ascii="仿宋_GB2312" w:eastAsia="仿宋_GB2312"/>
              </w:rPr>
              <w:t>）</w:t>
            </w:r>
          </w:p>
        </w:tc>
        <w:tc>
          <w:tcPr>
            <w:tcW w:w="1134" w:type="dxa"/>
            <w:vAlign w:val="center"/>
          </w:tcPr>
          <w:p>
            <w:pPr>
              <w:jc w:val="center"/>
              <w:rPr>
                <w:rFonts w:ascii="仿宋_GB2312" w:eastAsia="仿宋_GB2312"/>
              </w:rPr>
            </w:pPr>
            <w:r>
              <w:rPr>
                <w:rFonts w:hint="eastAsia" w:ascii="仿宋_GB2312" w:eastAsia="仿宋_GB2312"/>
              </w:rPr>
              <w:t>单价(元/m2)</w:t>
            </w:r>
          </w:p>
        </w:tc>
        <w:tc>
          <w:tcPr>
            <w:tcW w:w="1536" w:type="dxa"/>
            <w:vAlign w:val="center"/>
          </w:tcPr>
          <w:p>
            <w:pPr>
              <w:jc w:val="center"/>
              <w:rPr>
                <w:rFonts w:ascii="仿宋_GB2312" w:eastAsia="仿宋_GB2312"/>
              </w:rPr>
            </w:pPr>
            <w:r>
              <w:rPr>
                <w:rFonts w:hint="eastAsia" w:ascii="仿宋_GB2312" w:eastAsia="仿宋_GB2312"/>
              </w:rPr>
              <w:t>评估金额（元）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仿宋_GB2312" w:eastAsia="仿宋_GB2312"/>
              </w:rPr>
            </w:pPr>
            <w:r>
              <w:rPr>
                <w:rFonts w:hint="eastAsia" w:ascii="仿宋_GB2312" w:eastAsia="仿宋_GB2312" w:cs="仿宋_GB2312"/>
              </w:rPr>
              <w:t>1</w:t>
            </w:r>
          </w:p>
        </w:tc>
        <w:tc>
          <w:tcPr>
            <w:tcW w:w="2268" w:type="dxa"/>
            <w:vAlign w:val="center"/>
          </w:tcPr>
          <w:p>
            <w:pPr>
              <w:jc w:val="center"/>
              <w:rPr>
                <w:rFonts w:ascii="仿宋_GB2312" w:eastAsia="仿宋_GB2312"/>
              </w:rPr>
            </w:pPr>
            <w:r>
              <w:rPr>
                <w:rFonts w:hint="eastAsia" w:ascii="仿宋_GB2312" w:eastAsia="仿宋_GB2312"/>
              </w:rPr>
              <w:t>洮南市团结街道清真西路（玫瑰园小区一期13号楼）1单元602室</w:t>
            </w:r>
          </w:p>
        </w:tc>
        <w:tc>
          <w:tcPr>
            <w:tcW w:w="709" w:type="dxa"/>
            <w:vAlign w:val="center"/>
          </w:tcPr>
          <w:p>
            <w:pPr>
              <w:jc w:val="center"/>
              <w:rPr>
                <w:rFonts w:ascii="仿宋_GB2312" w:eastAsia="仿宋_GB2312"/>
              </w:rPr>
            </w:pPr>
            <w:r>
              <w:rPr>
                <w:rFonts w:hint="eastAsia" w:ascii="仿宋_GB2312" w:eastAsia="仿宋_GB2312"/>
              </w:rPr>
              <w:t>住宅</w:t>
            </w:r>
          </w:p>
        </w:tc>
        <w:tc>
          <w:tcPr>
            <w:tcW w:w="1134" w:type="dxa"/>
            <w:vAlign w:val="center"/>
          </w:tcPr>
          <w:p>
            <w:pPr>
              <w:jc w:val="center"/>
              <w:rPr>
                <w:rFonts w:ascii="仿宋_GB2312" w:eastAsia="仿宋_GB2312"/>
              </w:rPr>
            </w:pPr>
            <w:r>
              <w:rPr>
                <w:rFonts w:hint="eastAsia" w:ascii="仿宋_GB2312" w:eastAsia="仿宋_GB2312"/>
              </w:rPr>
              <w:t>6/6</w:t>
            </w:r>
          </w:p>
        </w:tc>
        <w:tc>
          <w:tcPr>
            <w:tcW w:w="992" w:type="dxa"/>
            <w:vAlign w:val="center"/>
          </w:tcPr>
          <w:p>
            <w:pPr>
              <w:jc w:val="center"/>
              <w:rPr>
                <w:rFonts w:ascii="仿宋_GB2312" w:eastAsia="仿宋_GB2312"/>
              </w:rPr>
            </w:pPr>
            <w:r>
              <w:rPr>
                <w:rFonts w:hint="eastAsia" w:ascii="仿宋_GB2312" w:eastAsia="仿宋_GB2312"/>
              </w:rPr>
              <w:t>70.28</w:t>
            </w:r>
          </w:p>
        </w:tc>
        <w:tc>
          <w:tcPr>
            <w:tcW w:w="1134" w:type="dxa"/>
            <w:vAlign w:val="center"/>
          </w:tcPr>
          <w:p>
            <w:pPr>
              <w:jc w:val="center"/>
              <w:rPr>
                <w:rFonts w:ascii="仿宋_GB2312" w:eastAsia="仿宋_GB2312"/>
              </w:rPr>
            </w:pPr>
            <w:r>
              <w:rPr>
                <w:rFonts w:hint="eastAsia" w:ascii="仿宋_GB2312" w:eastAsia="仿宋_GB2312"/>
              </w:rPr>
              <w:t>1750</w:t>
            </w:r>
          </w:p>
        </w:tc>
        <w:tc>
          <w:tcPr>
            <w:tcW w:w="1536" w:type="dxa"/>
            <w:vAlign w:val="center"/>
          </w:tcPr>
          <w:p>
            <w:pPr>
              <w:jc w:val="center"/>
              <w:rPr>
                <w:rFonts w:ascii="仿宋_GB2312" w:eastAsia="仿宋_GB2312"/>
              </w:rPr>
            </w:pPr>
            <w:r>
              <w:rPr>
                <w:rFonts w:hint="eastAsia" w:ascii="仿宋_GB2312" w:eastAsia="仿宋_GB2312"/>
              </w:rPr>
              <w:t>122,990.00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675" w:type="dxa"/>
            <w:vAlign w:val="center"/>
          </w:tcPr>
          <w:p>
            <w:pPr>
              <w:jc w:val="center"/>
              <w:rPr>
                <w:rFonts w:ascii="仿宋_GB2312" w:eastAsia="仿宋_GB2312"/>
              </w:rPr>
            </w:pPr>
            <w:r>
              <w:rPr>
                <w:rFonts w:hint="eastAsia" w:ascii="仿宋_GB2312" w:eastAsia="仿宋_GB2312" w:cs="仿宋_GB2312"/>
              </w:rPr>
              <w:t>2</w:t>
            </w:r>
          </w:p>
        </w:tc>
        <w:tc>
          <w:tcPr>
            <w:tcW w:w="2268" w:type="dxa"/>
            <w:vAlign w:val="center"/>
          </w:tcPr>
          <w:p>
            <w:pPr>
              <w:jc w:val="center"/>
              <w:rPr>
                <w:rFonts w:ascii="仿宋_GB2312" w:eastAsia="仿宋_GB2312"/>
              </w:rPr>
            </w:pPr>
            <w:r>
              <w:rPr>
                <w:rFonts w:hint="eastAsia" w:ascii="仿宋_GB2312" w:eastAsia="仿宋_GB2312"/>
              </w:rPr>
              <w:t>洮南市团结街道清真西路（玫瑰园小区一期13号楼）4单元601室</w:t>
            </w:r>
          </w:p>
        </w:tc>
        <w:tc>
          <w:tcPr>
            <w:tcW w:w="709" w:type="dxa"/>
            <w:vAlign w:val="center"/>
          </w:tcPr>
          <w:p>
            <w:pPr>
              <w:jc w:val="center"/>
              <w:rPr>
                <w:rFonts w:ascii="仿宋_GB2312" w:eastAsia="仿宋_GB2312"/>
              </w:rPr>
            </w:pPr>
            <w:r>
              <w:rPr>
                <w:rFonts w:hint="eastAsia" w:ascii="仿宋_GB2312" w:eastAsia="仿宋_GB2312"/>
              </w:rPr>
              <w:t>住宅</w:t>
            </w:r>
          </w:p>
        </w:tc>
        <w:tc>
          <w:tcPr>
            <w:tcW w:w="1134" w:type="dxa"/>
            <w:vAlign w:val="center"/>
          </w:tcPr>
          <w:p>
            <w:pPr>
              <w:jc w:val="center"/>
              <w:rPr>
                <w:rFonts w:ascii="仿宋_GB2312" w:eastAsia="仿宋_GB2312"/>
              </w:rPr>
            </w:pPr>
            <w:r>
              <w:rPr>
                <w:rFonts w:hint="eastAsia" w:ascii="仿宋_GB2312" w:eastAsia="仿宋_GB2312"/>
              </w:rPr>
              <w:t>6/6</w:t>
            </w:r>
          </w:p>
        </w:tc>
        <w:tc>
          <w:tcPr>
            <w:tcW w:w="992" w:type="dxa"/>
            <w:vAlign w:val="center"/>
          </w:tcPr>
          <w:p>
            <w:pPr>
              <w:jc w:val="center"/>
              <w:rPr>
                <w:rFonts w:ascii="仿宋_GB2312" w:eastAsia="仿宋_GB2312"/>
              </w:rPr>
            </w:pPr>
            <w:r>
              <w:rPr>
                <w:rFonts w:hint="eastAsia" w:ascii="仿宋_GB2312" w:eastAsia="仿宋_GB2312"/>
              </w:rPr>
              <w:t>65.69</w:t>
            </w:r>
          </w:p>
        </w:tc>
        <w:tc>
          <w:tcPr>
            <w:tcW w:w="1134" w:type="dxa"/>
            <w:vAlign w:val="center"/>
          </w:tcPr>
          <w:p>
            <w:pPr>
              <w:jc w:val="center"/>
              <w:rPr>
                <w:rFonts w:ascii="仿宋_GB2312" w:eastAsia="仿宋_GB2312"/>
              </w:rPr>
            </w:pPr>
            <w:r>
              <w:rPr>
                <w:rFonts w:hint="eastAsia" w:ascii="仿宋_GB2312" w:eastAsia="仿宋_GB2312"/>
              </w:rPr>
              <w:t>1750</w:t>
            </w:r>
          </w:p>
        </w:tc>
        <w:tc>
          <w:tcPr>
            <w:tcW w:w="1536" w:type="dxa"/>
            <w:vAlign w:val="center"/>
          </w:tcPr>
          <w:p>
            <w:pPr>
              <w:jc w:val="center"/>
              <w:rPr>
                <w:rFonts w:ascii="仿宋_GB2312" w:eastAsia="仿宋_GB2312"/>
              </w:rPr>
            </w:pPr>
            <w:r>
              <w:rPr>
                <w:rFonts w:hint="eastAsia" w:ascii="仿宋_GB2312" w:eastAsia="仿宋_GB2312"/>
              </w:rPr>
              <w:t>114,958.00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675" w:type="dxa"/>
            <w:vAlign w:val="center"/>
          </w:tcPr>
          <w:p>
            <w:pPr>
              <w:jc w:val="center"/>
              <w:rPr>
                <w:rFonts w:ascii="仿宋_GB2312" w:eastAsia="仿宋_GB2312" w:cs="仿宋_GB2312"/>
              </w:rPr>
            </w:pPr>
            <w:r>
              <w:rPr>
                <w:rFonts w:hint="eastAsia" w:ascii="仿宋_GB2312" w:eastAsia="仿宋_GB2312" w:cs="仿宋_GB2312"/>
              </w:rPr>
              <w:t>3</w:t>
            </w:r>
          </w:p>
        </w:tc>
        <w:tc>
          <w:tcPr>
            <w:tcW w:w="2268" w:type="dxa"/>
            <w:vAlign w:val="center"/>
          </w:tcPr>
          <w:p>
            <w:pPr>
              <w:jc w:val="center"/>
              <w:rPr>
                <w:rFonts w:ascii="仿宋_GB2312" w:eastAsia="仿宋_GB2312"/>
              </w:rPr>
            </w:pPr>
            <w:r>
              <w:rPr>
                <w:rFonts w:hint="eastAsia" w:ascii="仿宋_GB2312" w:eastAsia="仿宋_GB2312"/>
              </w:rPr>
              <w:t>洮南市团结街道清真西路（玫瑰园小区一期13号楼）5单元601室</w:t>
            </w:r>
          </w:p>
        </w:tc>
        <w:tc>
          <w:tcPr>
            <w:tcW w:w="709" w:type="dxa"/>
            <w:vAlign w:val="center"/>
          </w:tcPr>
          <w:p>
            <w:pPr>
              <w:jc w:val="center"/>
              <w:rPr>
                <w:rFonts w:ascii="仿宋_GB2312" w:eastAsia="仿宋_GB2312"/>
              </w:rPr>
            </w:pPr>
            <w:r>
              <w:rPr>
                <w:rFonts w:hint="eastAsia" w:ascii="仿宋_GB2312" w:eastAsia="仿宋_GB2312"/>
              </w:rPr>
              <w:t>住宅</w:t>
            </w:r>
          </w:p>
        </w:tc>
        <w:tc>
          <w:tcPr>
            <w:tcW w:w="1134" w:type="dxa"/>
            <w:vAlign w:val="center"/>
          </w:tcPr>
          <w:p>
            <w:pPr>
              <w:jc w:val="center"/>
              <w:rPr>
                <w:rFonts w:ascii="仿宋_GB2312" w:eastAsia="仿宋_GB2312"/>
              </w:rPr>
            </w:pPr>
            <w:r>
              <w:rPr>
                <w:rFonts w:hint="eastAsia" w:ascii="仿宋_GB2312" w:eastAsia="仿宋_GB2312"/>
              </w:rPr>
              <w:t>6/6</w:t>
            </w:r>
          </w:p>
        </w:tc>
        <w:tc>
          <w:tcPr>
            <w:tcW w:w="992" w:type="dxa"/>
            <w:vAlign w:val="center"/>
          </w:tcPr>
          <w:p>
            <w:pPr>
              <w:jc w:val="center"/>
              <w:rPr>
                <w:rFonts w:ascii="仿宋_GB2312" w:eastAsia="仿宋_GB2312"/>
              </w:rPr>
            </w:pPr>
            <w:r>
              <w:rPr>
                <w:rFonts w:hint="eastAsia" w:ascii="仿宋_GB2312" w:eastAsia="仿宋_GB2312"/>
              </w:rPr>
              <w:t>75.66</w:t>
            </w:r>
          </w:p>
        </w:tc>
        <w:tc>
          <w:tcPr>
            <w:tcW w:w="1134" w:type="dxa"/>
            <w:vAlign w:val="center"/>
          </w:tcPr>
          <w:p>
            <w:pPr>
              <w:jc w:val="center"/>
              <w:rPr>
                <w:rFonts w:ascii="仿宋_GB2312" w:eastAsia="仿宋_GB2312"/>
              </w:rPr>
            </w:pPr>
            <w:r>
              <w:rPr>
                <w:rFonts w:hint="eastAsia" w:ascii="仿宋_GB2312" w:eastAsia="仿宋_GB2312"/>
              </w:rPr>
              <w:t>1680</w:t>
            </w:r>
          </w:p>
        </w:tc>
        <w:tc>
          <w:tcPr>
            <w:tcW w:w="1536" w:type="dxa"/>
            <w:vAlign w:val="center"/>
          </w:tcPr>
          <w:p>
            <w:pPr>
              <w:jc w:val="center"/>
              <w:rPr>
                <w:rFonts w:ascii="仿宋_GB2312" w:eastAsia="仿宋_GB2312"/>
              </w:rPr>
            </w:pPr>
            <w:r>
              <w:rPr>
                <w:rFonts w:hint="eastAsia" w:ascii="仿宋_GB2312" w:eastAsia="仿宋_GB2312"/>
              </w:rPr>
              <w:t>127,109.00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675" w:type="dxa"/>
            <w:vAlign w:val="center"/>
          </w:tcPr>
          <w:p>
            <w:pPr>
              <w:jc w:val="center"/>
              <w:rPr>
                <w:rFonts w:ascii="仿宋_GB2312" w:eastAsia="仿宋_GB2312" w:cs="仿宋_GB2312"/>
              </w:rPr>
            </w:pPr>
            <w:r>
              <w:rPr>
                <w:rFonts w:hint="eastAsia" w:ascii="仿宋_GB2312" w:eastAsia="仿宋_GB2312" w:cs="仿宋_GB2312"/>
              </w:rPr>
              <w:t>合计</w:t>
            </w:r>
          </w:p>
        </w:tc>
        <w:tc>
          <w:tcPr>
            <w:tcW w:w="2268" w:type="dxa"/>
            <w:vAlign w:val="center"/>
          </w:tcPr>
          <w:p>
            <w:pPr>
              <w:jc w:val="center"/>
              <w:rPr>
                <w:rFonts w:ascii="仿宋_GB2312" w:eastAsia="仿宋_GB2312"/>
              </w:rPr>
            </w:pPr>
          </w:p>
        </w:tc>
        <w:tc>
          <w:tcPr>
            <w:tcW w:w="709" w:type="dxa"/>
            <w:vAlign w:val="center"/>
          </w:tcPr>
          <w:p>
            <w:pPr>
              <w:jc w:val="center"/>
              <w:rPr>
                <w:rFonts w:ascii="仿宋_GB2312" w:eastAsia="仿宋_GB2312"/>
              </w:rPr>
            </w:pPr>
          </w:p>
        </w:tc>
        <w:tc>
          <w:tcPr>
            <w:tcW w:w="1134" w:type="dxa"/>
            <w:vAlign w:val="center"/>
          </w:tcPr>
          <w:p>
            <w:pPr>
              <w:jc w:val="center"/>
              <w:rPr>
                <w:rFonts w:ascii="仿宋_GB2312" w:eastAsia="仿宋_GB2312"/>
              </w:rPr>
            </w:pPr>
          </w:p>
        </w:tc>
        <w:tc>
          <w:tcPr>
            <w:tcW w:w="992" w:type="dxa"/>
            <w:vAlign w:val="center"/>
          </w:tcPr>
          <w:p>
            <w:pPr>
              <w:jc w:val="center"/>
              <w:rPr>
                <w:rFonts w:ascii="仿宋_GB2312" w:eastAsia="仿宋_GB2312"/>
              </w:rPr>
            </w:pPr>
            <w:r>
              <w:rPr>
                <w:rFonts w:hint="eastAsia" w:ascii="仿宋_GB2312" w:eastAsia="仿宋_GB2312"/>
              </w:rPr>
              <w:t>211.63</w:t>
            </w:r>
          </w:p>
        </w:tc>
        <w:tc>
          <w:tcPr>
            <w:tcW w:w="1134" w:type="dxa"/>
            <w:vAlign w:val="center"/>
          </w:tcPr>
          <w:p>
            <w:pPr>
              <w:jc w:val="center"/>
              <w:rPr>
                <w:rFonts w:ascii="仿宋_GB2312" w:eastAsia="仿宋_GB2312"/>
              </w:rPr>
            </w:pPr>
          </w:p>
        </w:tc>
        <w:tc>
          <w:tcPr>
            <w:tcW w:w="1536" w:type="dxa"/>
            <w:vAlign w:val="center"/>
          </w:tcPr>
          <w:p>
            <w:pPr>
              <w:jc w:val="center"/>
              <w:rPr>
                <w:rFonts w:ascii="仿宋_GB2312" w:eastAsia="仿宋_GB2312"/>
              </w:rPr>
            </w:pPr>
            <w:r>
              <w:rPr>
                <w:rFonts w:hint="eastAsia" w:ascii="仿宋_GB2312" w:eastAsia="仿宋_GB2312"/>
              </w:rPr>
              <w:t>365,056.00</w:t>
            </w:r>
          </w:p>
        </w:tc>
      </w:tr>
    </w:tbl>
    <w:p>
      <w:pPr>
        <w:adjustRightInd w:val="0"/>
        <w:snapToGrid w:val="0"/>
        <w:spacing w:line="240" w:lineRule="atLeast"/>
        <w:ind w:firstLine="560" w:firstLineChars="200"/>
        <w:rPr>
          <w:rFonts w:ascii="仿宋_GB2312" w:eastAsia="仿宋_GB2312" w:cs="仿宋_GB2312"/>
          <w:sz w:val="28"/>
          <w:szCs w:val="28"/>
        </w:rPr>
      </w:pPr>
    </w:p>
    <w:p>
      <w:pPr>
        <w:pStyle w:val="13"/>
        <w:adjustRightInd w:val="0"/>
        <w:snapToGrid w:val="0"/>
        <w:spacing w:line="500" w:lineRule="atLeast"/>
        <w:ind w:left="0" w:leftChars="0" w:firstLine="544" w:firstLineChars="200"/>
        <w:rPr>
          <w:rFonts w:ascii="仿宋_GB2312" w:eastAsia="仿宋_GB2312" w:cs="仿宋_GB2312"/>
          <w:color w:val="000000"/>
          <w:spacing w:val="-4"/>
          <w:sz w:val="28"/>
          <w:szCs w:val="28"/>
        </w:rPr>
      </w:pPr>
      <w:r>
        <w:rPr>
          <w:rFonts w:hint="eastAsia" w:ascii="仿宋_GB2312" w:eastAsia="仿宋_GB2312" w:cs="仿宋_GB2312"/>
          <w:color w:val="000000"/>
          <w:spacing w:val="-4"/>
          <w:sz w:val="28"/>
          <w:szCs w:val="28"/>
        </w:rPr>
        <w:t>七、特别提示：报告使用人在使用本报告之前须对报告全文，特别是其中的“估价的假设和限制条件”予以关注，以免使用不当，造成损失。估价的详细结果及有关说明，请见《估价结果报告》。</w:t>
      </w:r>
      <w:r>
        <w:rPr>
          <w:rFonts w:ascii="仿宋_GB2312" w:eastAsia="仿宋_GB2312" w:cs="仿宋_GB2312"/>
          <w:color w:val="000000"/>
          <w:spacing w:val="-4"/>
          <w:sz w:val="28"/>
          <w:szCs w:val="28"/>
        </w:rPr>
        <w:t xml:space="preserve">    </w:t>
      </w:r>
    </w:p>
    <w:p>
      <w:pPr>
        <w:pStyle w:val="13"/>
        <w:adjustRightInd w:val="0"/>
        <w:snapToGrid w:val="0"/>
        <w:spacing w:line="500" w:lineRule="atLeast"/>
        <w:ind w:left="0" w:leftChars="0" w:firstLine="544" w:firstLineChars="200"/>
        <w:rPr>
          <w:rFonts w:ascii="仿宋_GB2312" w:eastAsia="仿宋_GB2312" w:cs="仿宋_GB2312"/>
          <w:color w:val="000000"/>
          <w:spacing w:val="-4"/>
          <w:sz w:val="28"/>
          <w:szCs w:val="28"/>
        </w:rPr>
      </w:pPr>
      <w:r>
        <w:rPr>
          <w:rFonts w:ascii="仿宋_GB2312" w:eastAsia="仿宋_GB2312" w:cs="仿宋_GB2312"/>
          <w:color w:val="000000"/>
          <w:spacing w:val="-4"/>
          <w:sz w:val="28"/>
          <w:szCs w:val="28"/>
        </w:rPr>
        <w:t xml:space="preserve">    </w:t>
      </w:r>
      <w:r>
        <w:rPr>
          <w:rFonts w:hint="eastAsia" w:ascii="仿宋_GB2312" w:eastAsia="仿宋_GB2312" w:cs="仿宋_GB2312"/>
          <w:color w:val="000000"/>
          <w:spacing w:val="-4"/>
          <w:sz w:val="28"/>
          <w:szCs w:val="28"/>
        </w:rPr>
        <w:t>本评估报告一式四份，报告的有效期限自</w:t>
      </w:r>
      <w:r>
        <w:rPr>
          <w:rFonts w:hint="eastAsia" w:ascii="仿宋_GB2312" w:eastAsia="仿宋_GB2312" w:cs="仿宋_GB2312"/>
          <w:color w:val="000000"/>
          <w:spacing w:val="-4"/>
          <w:sz w:val="28"/>
          <w:szCs w:val="28"/>
          <w:lang w:eastAsia="zh-CN"/>
        </w:rPr>
        <w:t>2022年08月29日</w:t>
      </w:r>
      <w:r>
        <w:rPr>
          <w:rFonts w:hint="eastAsia" w:ascii="仿宋_GB2312" w:eastAsia="仿宋_GB2312" w:cs="仿宋_GB2312"/>
          <w:color w:val="000000"/>
          <w:spacing w:val="-4"/>
          <w:sz w:val="28"/>
          <w:szCs w:val="28"/>
        </w:rPr>
        <w:t>起至</w:t>
      </w:r>
      <w:r>
        <w:rPr>
          <w:rFonts w:ascii="仿宋_GB2312" w:eastAsia="仿宋_GB2312" w:cs="仿宋_GB2312"/>
          <w:color w:val="000000"/>
          <w:spacing w:val="-4"/>
          <w:sz w:val="28"/>
          <w:szCs w:val="28"/>
        </w:rPr>
        <w:t>202</w:t>
      </w:r>
      <w:r>
        <w:rPr>
          <w:rFonts w:hint="eastAsia" w:ascii="仿宋_GB2312" w:eastAsia="仿宋_GB2312" w:cs="仿宋_GB2312"/>
          <w:color w:val="000000"/>
          <w:spacing w:val="-4"/>
          <w:sz w:val="28"/>
          <w:szCs w:val="28"/>
        </w:rPr>
        <w:t>3年0</w:t>
      </w:r>
      <w:r>
        <w:rPr>
          <w:rFonts w:hint="eastAsia" w:ascii="仿宋_GB2312" w:eastAsia="仿宋_GB2312" w:cs="仿宋_GB2312"/>
          <w:color w:val="000000"/>
          <w:spacing w:val="-4"/>
          <w:sz w:val="28"/>
          <w:szCs w:val="28"/>
          <w:lang w:val="en-US" w:eastAsia="zh-CN"/>
        </w:rPr>
        <w:t>8</w:t>
      </w:r>
      <w:r>
        <w:rPr>
          <w:rFonts w:hint="eastAsia" w:ascii="仿宋_GB2312" w:eastAsia="仿宋_GB2312" w:cs="仿宋_GB2312"/>
          <w:color w:val="000000"/>
          <w:spacing w:val="-4"/>
          <w:sz w:val="28"/>
          <w:szCs w:val="28"/>
        </w:rPr>
        <w:t>月2</w:t>
      </w:r>
      <w:r>
        <w:rPr>
          <w:rFonts w:hint="eastAsia" w:ascii="仿宋_GB2312" w:eastAsia="仿宋_GB2312" w:cs="仿宋_GB2312"/>
          <w:color w:val="000000"/>
          <w:spacing w:val="-4"/>
          <w:sz w:val="28"/>
          <w:szCs w:val="28"/>
          <w:lang w:val="en-US" w:eastAsia="zh-CN"/>
        </w:rPr>
        <w:t>8</w:t>
      </w:r>
      <w:r>
        <w:rPr>
          <w:rFonts w:hint="eastAsia" w:ascii="仿宋_GB2312" w:eastAsia="仿宋_GB2312" w:cs="仿宋_GB2312"/>
          <w:color w:val="000000"/>
          <w:spacing w:val="-4"/>
          <w:sz w:val="28"/>
          <w:szCs w:val="28"/>
        </w:rPr>
        <w:t>日止。</w:t>
      </w:r>
    </w:p>
    <w:p>
      <w:pPr>
        <w:pStyle w:val="13"/>
        <w:adjustRightInd w:val="0"/>
        <w:snapToGrid w:val="0"/>
        <w:spacing w:line="500" w:lineRule="atLeast"/>
        <w:ind w:left="0" w:leftChars="0" w:firstLine="544" w:firstLineChars="200"/>
        <w:rPr>
          <w:rFonts w:ascii="仿宋_GB2312" w:eastAsia="仿宋_GB2312"/>
          <w:color w:val="000000"/>
          <w:spacing w:val="-4"/>
          <w:sz w:val="28"/>
          <w:szCs w:val="28"/>
        </w:rPr>
      </w:pPr>
    </w:p>
    <w:p>
      <w:pPr>
        <w:pStyle w:val="13"/>
        <w:adjustRightInd w:val="0"/>
        <w:snapToGrid w:val="0"/>
        <w:spacing w:line="500" w:lineRule="atLeast"/>
        <w:ind w:left="0" w:leftChars="0" w:firstLine="544" w:firstLineChars="200"/>
        <w:rPr>
          <w:rFonts w:ascii="仿宋_GB2312" w:eastAsia="仿宋_GB2312"/>
          <w:color w:val="000000"/>
          <w:spacing w:val="-4"/>
          <w:sz w:val="28"/>
          <w:szCs w:val="28"/>
        </w:rPr>
      </w:pPr>
      <w:r>
        <w:rPr>
          <w:rFonts w:hint="eastAsia" w:ascii="仿宋_GB2312" w:eastAsia="仿宋_GB2312" w:cs="仿宋_GB2312"/>
          <w:color w:val="000000"/>
          <w:spacing w:val="-4"/>
          <w:sz w:val="28"/>
          <w:szCs w:val="28"/>
        </w:rPr>
        <w:t>此</w:t>
      </w:r>
      <w:r>
        <w:rPr>
          <w:rFonts w:ascii="仿宋_GB2312" w:eastAsia="仿宋_GB2312" w:cs="仿宋_GB2312"/>
          <w:color w:val="000000"/>
          <w:spacing w:val="-4"/>
          <w:sz w:val="28"/>
          <w:szCs w:val="28"/>
        </w:rPr>
        <w:t xml:space="preserve">  </w:t>
      </w:r>
      <w:r>
        <w:rPr>
          <w:rFonts w:hint="eastAsia" w:ascii="仿宋_GB2312" w:eastAsia="仿宋_GB2312" w:cs="仿宋_GB2312"/>
          <w:color w:val="000000"/>
          <w:spacing w:val="-4"/>
          <w:sz w:val="28"/>
          <w:szCs w:val="28"/>
        </w:rPr>
        <w:t>致</w:t>
      </w:r>
      <w:r>
        <w:rPr>
          <w:rFonts w:ascii="仿宋_GB2312" w:eastAsia="仿宋_GB2312" w:cs="仿宋_GB2312"/>
          <w:color w:val="000000"/>
          <w:spacing w:val="-4"/>
          <w:sz w:val="28"/>
          <w:szCs w:val="28"/>
        </w:rPr>
        <w:t xml:space="preserve">  </w:t>
      </w:r>
    </w:p>
    <w:p>
      <w:pPr>
        <w:pStyle w:val="13"/>
        <w:adjustRightInd w:val="0"/>
        <w:snapToGrid w:val="0"/>
        <w:spacing w:line="500" w:lineRule="atLeast"/>
        <w:ind w:left="0" w:leftChars="0" w:firstLine="544" w:firstLineChars="200"/>
        <w:rPr>
          <w:rFonts w:ascii="仿宋_GB2312" w:eastAsia="仿宋_GB2312"/>
          <w:color w:val="000000"/>
          <w:spacing w:val="-4"/>
          <w:sz w:val="28"/>
          <w:szCs w:val="28"/>
        </w:rPr>
      </w:pPr>
      <w:r>
        <w:rPr>
          <w:rFonts w:ascii="仿宋_GB2312" w:eastAsia="仿宋_GB2312" w:cs="仿宋_GB2312"/>
          <w:color w:val="000000"/>
          <w:spacing w:val="-4"/>
          <w:sz w:val="28"/>
          <w:szCs w:val="28"/>
        </w:rPr>
        <w:t xml:space="preserve">                           </w:t>
      </w:r>
      <w:r>
        <w:rPr>
          <w:rFonts w:hint="eastAsia" w:ascii="仿宋_GB2312" w:eastAsia="仿宋_GB2312" w:cs="仿宋_GB2312"/>
          <w:color w:val="000000"/>
          <w:spacing w:val="-4"/>
          <w:sz w:val="28"/>
          <w:szCs w:val="28"/>
        </w:rPr>
        <w:t>白城市建设房地产评估有限公司</w:t>
      </w:r>
    </w:p>
    <w:p>
      <w:pPr>
        <w:pStyle w:val="13"/>
        <w:adjustRightInd w:val="0"/>
        <w:snapToGrid w:val="0"/>
        <w:spacing w:line="500" w:lineRule="atLeast"/>
        <w:ind w:left="0" w:leftChars="0" w:right="1088" w:firstLine="5032" w:firstLineChars="1850"/>
        <w:rPr>
          <w:rFonts w:ascii="仿宋_GB2312" w:eastAsia="仿宋_GB2312" w:cs="仿宋_GB2312"/>
          <w:color w:val="000000"/>
          <w:spacing w:val="-4"/>
          <w:sz w:val="28"/>
          <w:szCs w:val="28"/>
        </w:rPr>
      </w:pPr>
      <w:r>
        <w:rPr>
          <w:rFonts w:hint="eastAsia" w:ascii="仿宋_GB2312" w:eastAsia="仿宋_GB2312" w:cs="仿宋_GB2312"/>
          <w:color w:val="000000"/>
          <w:spacing w:val="-4"/>
          <w:sz w:val="28"/>
          <w:szCs w:val="28"/>
        </w:rPr>
        <w:t>法人代表：牛亚娟</w:t>
      </w:r>
      <w:r>
        <w:rPr>
          <w:rFonts w:ascii="仿宋_GB2312" w:eastAsia="仿宋_GB2312" w:cs="仿宋_GB2312"/>
          <w:color w:val="000000"/>
          <w:spacing w:val="-4"/>
          <w:sz w:val="28"/>
          <w:szCs w:val="28"/>
        </w:rPr>
        <w:t xml:space="preserve">                             </w:t>
      </w:r>
    </w:p>
    <w:p>
      <w:pPr>
        <w:pStyle w:val="13"/>
        <w:adjustRightInd w:val="0"/>
        <w:snapToGrid w:val="0"/>
        <w:spacing w:line="500" w:lineRule="atLeast"/>
        <w:ind w:left="0" w:leftChars="0" w:right="1088" w:firstLine="544" w:firstLineChars="200"/>
        <w:jc w:val="center"/>
        <w:rPr>
          <w:rFonts w:hint="eastAsia" w:ascii="仿宋_GB2312" w:eastAsia="仿宋_GB2312" w:cs="仿宋_GB2312"/>
          <w:color w:val="000000"/>
          <w:spacing w:val="-4"/>
          <w:sz w:val="28"/>
          <w:szCs w:val="28"/>
          <w:lang w:eastAsia="zh-CN"/>
        </w:rPr>
      </w:pPr>
      <w:r>
        <w:rPr>
          <w:rFonts w:ascii="仿宋_GB2312" w:eastAsia="仿宋_GB2312" w:cs="仿宋_GB2312"/>
          <w:color w:val="000000"/>
          <w:spacing w:val="-4"/>
          <w:sz w:val="28"/>
          <w:szCs w:val="28"/>
        </w:rPr>
        <w:t xml:space="preserve">                                </w:t>
      </w:r>
      <w:r>
        <w:rPr>
          <w:rFonts w:hint="eastAsia" w:ascii="仿宋_GB2312" w:eastAsia="仿宋_GB2312" w:cs="仿宋_GB2312"/>
          <w:color w:val="000000"/>
          <w:spacing w:val="-4"/>
          <w:sz w:val="28"/>
          <w:szCs w:val="28"/>
          <w:lang w:eastAsia="zh-CN"/>
        </w:rPr>
        <w:t>2022年08月29日</w:t>
      </w:r>
    </w:p>
    <w:p>
      <w:pPr>
        <w:pStyle w:val="13"/>
        <w:adjustRightInd w:val="0"/>
        <w:snapToGrid w:val="0"/>
        <w:spacing w:line="500" w:lineRule="atLeast"/>
        <w:ind w:left="0" w:leftChars="0" w:right="1088" w:firstLine="544" w:firstLineChars="200"/>
        <w:jc w:val="center"/>
        <w:rPr>
          <w:rFonts w:ascii="仿宋_GB2312" w:eastAsia="仿宋_GB2312" w:cs="仿宋_GB2312"/>
          <w:color w:val="000000"/>
          <w:spacing w:val="-4"/>
          <w:sz w:val="28"/>
          <w:szCs w:val="28"/>
        </w:rPr>
      </w:pPr>
    </w:p>
    <w:p>
      <w:pPr>
        <w:pStyle w:val="13"/>
        <w:adjustRightInd w:val="0"/>
        <w:snapToGrid w:val="0"/>
        <w:spacing w:line="500" w:lineRule="atLeast"/>
        <w:ind w:left="0" w:leftChars="0" w:right="1088" w:firstLine="544" w:firstLineChars="200"/>
        <w:jc w:val="center"/>
        <w:rPr>
          <w:rFonts w:ascii="仿宋_GB2312" w:eastAsia="仿宋_GB2312" w:cs="仿宋_GB2312"/>
          <w:color w:val="000000"/>
          <w:spacing w:val="-4"/>
          <w:sz w:val="28"/>
          <w:szCs w:val="28"/>
        </w:rPr>
      </w:pPr>
    </w:p>
    <w:p>
      <w:pPr>
        <w:pStyle w:val="13"/>
        <w:adjustRightInd w:val="0"/>
        <w:snapToGrid w:val="0"/>
        <w:spacing w:line="500" w:lineRule="atLeast"/>
        <w:ind w:left="0" w:leftChars="0" w:right="1088" w:firstLine="544" w:firstLineChars="200"/>
        <w:jc w:val="center"/>
        <w:rPr>
          <w:rFonts w:ascii="仿宋_GB2312" w:eastAsia="仿宋_GB2312" w:cs="仿宋_GB2312"/>
          <w:color w:val="000000"/>
          <w:spacing w:val="-4"/>
          <w:sz w:val="28"/>
          <w:szCs w:val="28"/>
        </w:rPr>
      </w:pPr>
    </w:p>
    <w:p>
      <w:pPr>
        <w:pStyle w:val="13"/>
        <w:adjustRightInd w:val="0"/>
        <w:snapToGrid w:val="0"/>
        <w:spacing w:line="500" w:lineRule="atLeast"/>
        <w:ind w:left="0" w:leftChars="0" w:right="1088" w:firstLine="544" w:firstLineChars="200"/>
        <w:jc w:val="center"/>
        <w:rPr>
          <w:rFonts w:ascii="仿宋_GB2312" w:eastAsia="仿宋_GB2312" w:cs="仿宋_GB2312"/>
          <w:color w:val="000000"/>
          <w:spacing w:val="-4"/>
          <w:sz w:val="28"/>
          <w:szCs w:val="28"/>
        </w:rPr>
      </w:pPr>
    </w:p>
    <w:p>
      <w:pPr>
        <w:pStyle w:val="13"/>
        <w:adjustRightInd w:val="0"/>
        <w:snapToGrid w:val="0"/>
        <w:spacing w:line="500" w:lineRule="atLeast"/>
        <w:ind w:left="0" w:leftChars="0" w:right="1088" w:firstLine="544" w:firstLineChars="200"/>
        <w:jc w:val="center"/>
        <w:rPr>
          <w:rFonts w:ascii="仿宋_GB2312" w:eastAsia="仿宋_GB2312" w:cs="仿宋_GB2312"/>
          <w:color w:val="000000"/>
          <w:spacing w:val="-4"/>
          <w:sz w:val="28"/>
          <w:szCs w:val="28"/>
        </w:rPr>
      </w:pPr>
    </w:p>
    <w:p>
      <w:pPr>
        <w:pStyle w:val="13"/>
        <w:adjustRightInd w:val="0"/>
        <w:snapToGrid w:val="0"/>
        <w:spacing w:line="500" w:lineRule="atLeast"/>
        <w:ind w:left="0" w:leftChars="0" w:right="1088" w:firstLine="544" w:firstLineChars="200"/>
        <w:jc w:val="center"/>
        <w:rPr>
          <w:rFonts w:ascii="仿宋_GB2312" w:eastAsia="仿宋_GB2312" w:cs="仿宋_GB2312"/>
          <w:color w:val="000000"/>
          <w:spacing w:val="-4"/>
          <w:sz w:val="28"/>
          <w:szCs w:val="28"/>
        </w:rPr>
      </w:pPr>
    </w:p>
    <w:p>
      <w:pPr>
        <w:pStyle w:val="13"/>
        <w:adjustRightInd w:val="0"/>
        <w:snapToGrid w:val="0"/>
        <w:spacing w:line="500" w:lineRule="atLeast"/>
        <w:ind w:left="0" w:leftChars="0" w:right="1088" w:firstLine="544" w:firstLineChars="200"/>
        <w:jc w:val="center"/>
        <w:rPr>
          <w:rFonts w:ascii="仿宋_GB2312" w:eastAsia="仿宋_GB2312" w:cs="仿宋_GB2312"/>
          <w:color w:val="000000"/>
          <w:spacing w:val="-4"/>
          <w:sz w:val="28"/>
          <w:szCs w:val="28"/>
        </w:rPr>
      </w:pPr>
    </w:p>
    <w:p>
      <w:pPr>
        <w:pStyle w:val="13"/>
        <w:adjustRightInd w:val="0"/>
        <w:snapToGrid w:val="0"/>
        <w:spacing w:line="500" w:lineRule="atLeast"/>
        <w:ind w:left="0" w:leftChars="0" w:right="1088" w:firstLine="544" w:firstLineChars="200"/>
        <w:jc w:val="center"/>
        <w:rPr>
          <w:rFonts w:ascii="仿宋_GB2312" w:eastAsia="仿宋_GB2312" w:cs="仿宋_GB2312"/>
          <w:color w:val="000000"/>
          <w:spacing w:val="-4"/>
          <w:sz w:val="28"/>
          <w:szCs w:val="28"/>
        </w:rPr>
      </w:pPr>
    </w:p>
    <w:p>
      <w:pPr>
        <w:pStyle w:val="2"/>
        <w:keepNext w:val="0"/>
        <w:keepLines w:val="0"/>
        <w:adjustRightInd w:val="0"/>
        <w:snapToGrid w:val="0"/>
        <w:spacing w:before="0" w:after="0" w:line="360" w:lineRule="atLeast"/>
        <w:jc w:val="center"/>
      </w:pPr>
      <w:bookmarkStart w:id="1" w:name="_Toc1963"/>
      <w:r>
        <w:rPr>
          <w:rFonts w:hint="eastAsia" w:cs="宋体"/>
        </w:rPr>
        <w:t>注册房地产估价师声明</w:t>
      </w:r>
      <w:bookmarkEnd w:id="1"/>
    </w:p>
    <w:p>
      <w:pPr>
        <w:adjustRightInd w:val="0"/>
        <w:snapToGrid w:val="0"/>
        <w:spacing w:line="420" w:lineRule="atLeast"/>
        <w:rPr>
          <w:rFonts w:ascii="仿宋_GB2312" w:eastAsia="仿宋_GB2312"/>
          <w:sz w:val="28"/>
          <w:szCs w:val="28"/>
        </w:rPr>
      </w:pPr>
      <w:r>
        <w:rPr>
          <w:rFonts w:hint="eastAsia" w:ascii="仿宋_GB2312" w:hAnsi="宋体" w:eastAsia="仿宋_GB2312" w:cs="仿宋_GB2312"/>
          <w:sz w:val="28"/>
          <w:szCs w:val="28"/>
        </w:rPr>
        <w:t>我们根据自己的专业知识和职业道德在此郑重声明：</w:t>
      </w:r>
    </w:p>
    <w:p>
      <w:pPr>
        <w:adjustRightInd w:val="0"/>
        <w:snapToGrid w:val="0"/>
        <w:spacing w:line="400" w:lineRule="atLeast"/>
        <w:ind w:firstLine="560" w:firstLineChars="200"/>
        <w:rPr>
          <w:rFonts w:ascii="仿宋_GB2312" w:eastAsia="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、我们在本估价报告中陈述的事实是真实的和准确的。</w:t>
      </w:r>
    </w:p>
    <w:p>
      <w:pPr>
        <w:adjustRightInd w:val="0"/>
        <w:snapToGrid w:val="0"/>
        <w:spacing w:line="400" w:lineRule="atLeast"/>
        <w:ind w:firstLine="560" w:firstLineChars="200"/>
        <w:rPr>
          <w:rFonts w:ascii="仿宋_GB2312" w:eastAsia="仿宋_GB2312"/>
          <w:sz w:val="28"/>
          <w:szCs w:val="28"/>
        </w:rPr>
      </w:pPr>
      <w:r>
        <w:rPr>
          <w:rFonts w:ascii="仿宋_GB2312" w:eastAsia="仿宋_GB2312" w:cs="仿宋_GB2312"/>
          <w:sz w:val="28"/>
          <w:szCs w:val="28"/>
        </w:rPr>
        <w:t>2</w:t>
      </w:r>
      <w:r>
        <w:rPr>
          <w:rFonts w:hint="eastAsia" w:ascii="仿宋_GB2312" w:eastAsia="仿宋_GB2312" w:cs="仿宋_GB2312"/>
          <w:sz w:val="28"/>
          <w:szCs w:val="28"/>
        </w:rPr>
        <w:t>、本估价报告中的分析意见和结论是我们自己公正的专业分析、意见和结论，但受到本估价报告中已说明假设和限制条件的限制。</w:t>
      </w:r>
    </w:p>
    <w:p>
      <w:pPr>
        <w:adjustRightInd w:val="0"/>
        <w:snapToGrid w:val="0"/>
        <w:spacing w:line="400" w:lineRule="atLeast"/>
        <w:ind w:firstLine="560" w:firstLineChars="200"/>
        <w:rPr>
          <w:rFonts w:ascii="仿宋_GB2312" w:eastAsia="仿宋_GB2312" w:cs="仿宋_GB2312"/>
          <w:sz w:val="28"/>
          <w:szCs w:val="28"/>
        </w:rPr>
      </w:pPr>
      <w:r>
        <w:rPr>
          <w:rFonts w:ascii="仿宋_GB2312" w:eastAsia="仿宋_GB2312" w:cs="仿宋_GB2312"/>
          <w:sz w:val="28"/>
          <w:szCs w:val="28"/>
        </w:rPr>
        <w:t>3</w:t>
      </w:r>
      <w:r>
        <w:rPr>
          <w:rFonts w:hint="eastAsia" w:ascii="仿宋_GB2312" w:eastAsia="仿宋_GB2312" w:cs="仿宋_GB2312"/>
          <w:sz w:val="28"/>
          <w:szCs w:val="28"/>
        </w:rPr>
        <w:t>、我们与本估价报告中的估价对象没有利害关系也与有关当事人没有个人利害关系或偏见。</w:t>
      </w:r>
      <w:r>
        <w:rPr>
          <w:rFonts w:ascii="仿宋_GB2312" w:eastAsia="仿宋_GB2312" w:cs="仿宋_GB2312"/>
          <w:sz w:val="28"/>
          <w:szCs w:val="28"/>
        </w:rPr>
        <w:t xml:space="preserve">    </w:t>
      </w:r>
    </w:p>
    <w:p>
      <w:pPr>
        <w:adjustRightInd w:val="0"/>
        <w:snapToGrid w:val="0"/>
        <w:spacing w:line="400" w:lineRule="atLeast"/>
        <w:ind w:firstLine="560" w:firstLineChars="200"/>
        <w:rPr>
          <w:rFonts w:ascii="仿宋_GB2312" w:eastAsia="仿宋_GB2312"/>
          <w:sz w:val="28"/>
          <w:szCs w:val="28"/>
        </w:rPr>
      </w:pPr>
      <w:r>
        <w:rPr>
          <w:rFonts w:ascii="仿宋_GB2312" w:eastAsia="仿宋_GB2312" w:cs="仿宋_GB2312"/>
          <w:sz w:val="28"/>
          <w:szCs w:val="28"/>
        </w:rPr>
        <w:t>4</w:t>
      </w:r>
      <w:r>
        <w:rPr>
          <w:rFonts w:hint="eastAsia" w:ascii="仿宋_GB2312" w:eastAsia="仿宋_GB2312" w:cs="仿宋_GB2312"/>
          <w:sz w:val="28"/>
          <w:szCs w:val="28"/>
        </w:rPr>
        <w:t>、我们依照《资产评估法》、中华人民共和国国家标准《房地产估价规范》、《房地产估价基本术语标准》、吉林省地方标准《房地产估价规程》进行分析，形成意见和结论，撰写本估价报告。</w:t>
      </w:r>
    </w:p>
    <w:p>
      <w:pPr>
        <w:adjustRightInd w:val="0"/>
        <w:snapToGrid w:val="0"/>
        <w:spacing w:line="400" w:lineRule="atLeast"/>
        <w:ind w:firstLine="560" w:firstLineChars="200"/>
        <w:rPr>
          <w:rFonts w:ascii="仿宋_GB2312" w:eastAsia="仿宋_GB2312" w:cs="仿宋_GB2312"/>
          <w:sz w:val="28"/>
          <w:szCs w:val="28"/>
        </w:rPr>
      </w:pPr>
      <w:r>
        <w:rPr>
          <w:rFonts w:ascii="仿宋_GB2312" w:eastAsia="仿宋_GB2312" w:cs="仿宋_GB2312"/>
          <w:sz w:val="28"/>
          <w:szCs w:val="28"/>
        </w:rPr>
        <w:t>5</w:t>
      </w:r>
      <w:r>
        <w:rPr>
          <w:rFonts w:hint="eastAsia" w:ascii="仿宋_GB2312" w:eastAsia="仿宋_GB2312" w:cs="仿宋_GB2312"/>
          <w:sz w:val="28"/>
          <w:szCs w:val="28"/>
        </w:rPr>
        <w:t>、中国注册房地产估价师牛亚娟、韩宝军已在价值时点对本估价报告中的估价对象的建筑结构、室内外状况进行了实地查勘并进行了记录。</w:t>
      </w:r>
      <w:r>
        <w:rPr>
          <w:rFonts w:ascii="仿宋_GB2312" w:eastAsia="仿宋_GB2312" w:cs="仿宋_GB2312"/>
          <w:sz w:val="28"/>
          <w:szCs w:val="28"/>
        </w:rPr>
        <w:t xml:space="preserve">     </w:t>
      </w:r>
    </w:p>
    <w:p>
      <w:pPr>
        <w:adjustRightInd w:val="0"/>
        <w:snapToGrid w:val="0"/>
        <w:spacing w:line="400" w:lineRule="atLeast"/>
        <w:ind w:firstLine="560" w:firstLineChars="200"/>
        <w:rPr>
          <w:rFonts w:ascii="仿宋_GB2312" w:eastAsia="仿宋_GB2312" w:cs="仿宋_GB2312"/>
          <w:sz w:val="28"/>
          <w:szCs w:val="28"/>
        </w:rPr>
      </w:pPr>
      <w:r>
        <w:rPr>
          <w:rFonts w:ascii="仿宋_GB2312" w:eastAsia="仿宋_GB2312" w:cs="仿宋_GB2312"/>
          <w:sz w:val="28"/>
          <w:szCs w:val="28"/>
        </w:rPr>
        <w:t>6</w:t>
      </w:r>
      <w:r>
        <w:rPr>
          <w:rFonts w:hint="eastAsia" w:ascii="仿宋_GB2312" w:eastAsia="仿宋_GB2312" w:cs="仿宋_GB2312"/>
          <w:sz w:val="28"/>
          <w:szCs w:val="28"/>
        </w:rPr>
        <w:t>、没有其他专业人士对本估价报告提供重要的专业帮助。</w:t>
      </w:r>
      <w:r>
        <w:rPr>
          <w:rFonts w:ascii="仿宋_GB2312" w:eastAsia="仿宋_GB2312" w:cs="仿宋_GB2312"/>
          <w:sz w:val="28"/>
          <w:szCs w:val="28"/>
        </w:rPr>
        <w:t xml:space="preserve">    </w:t>
      </w:r>
    </w:p>
    <w:p>
      <w:pPr>
        <w:adjustRightInd w:val="0"/>
        <w:snapToGrid w:val="0"/>
        <w:spacing w:line="400" w:lineRule="atLeast"/>
        <w:ind w:firstLine="560" w:firstLineChars="200"/>
        <w:rPr>
          <w:rFonts w:ascii="仿宋_GB2312" w:eastAsia="仿宋_GB2312"/>
          <w:sz w:val="28"/>
          <w:szCs w:val="28"/>
        </w:rPr>
      </w:pPr>
      <w:r>
        <w:rPr>
          <w:rFonts w:ascii="仿宋_GB2312" w:eastAsia="仿宋_GB2312" w:cs="仿宋_GB2312"/>
          <w:sz w:val="28"/>
          <w:szCs w:val="28"/>
        </w:rPr>
        <w:t>7</w:t>
      </w:r>
      <w:r>
        <w:rPr>
          <w:rFonts w:hint="eastAsia" w:ascii="仿宋_GB2312" w:eastAsia="仿宋_GB2312" w:cs="仿宋_GB2312"/>
          <w:sz w:val="28"/>
          <w:szCs w:val="28"/>
        </w:rPr>
        <w:t>、估价对象的范围及权益状况根据委托书及委托方提供的资料确定。</w:t>
      </w:r>
    </w:p>
    <w:p>
      <w:pPr>
        <w:adjustRightInd w:val="0"/>
        <w:snapToGrid w:val="0"/>
        <w:spacing w:line="400" w:lineRule="atLeast"/>
        <w:ind w:firstLine="560" w:firstLineChars="200"/>
        <w:rPr>
          <w:rFonts w:ascii="仿宋_GB2312" w:eastAsia="仿宋_GB2312"/>
          <w:sz w:val="28"/>
          <w:szCs w:val="28"/>
        </w:rPr>
      </w:pPr>
      <w:r>
        <w:rPr>
          <w:rFonts w:hint="eastAsia" w:ascii="仿宋_GB2312" w:eastAsia="仿宋_GB2312" w:cs="仿宋_GB2312"/>
          <w:sz w:val="28"/>
          <w:szCs w:val="28"/>
        </w:rPr>
        <w:t>8、非经本估价机构允许，本估价报告不得发表于任何媒体。</w:t>
      </w:r>
    </w:p>
    <w:p>
      <w:pPr>
        <w:adjustRightInd w:val="0"/>
        <w:snapToGrid w:val="0"/>
        <w:spacing w:line="400" w:lineRule="atLeast"/>
        <w:ind w:firstLine="560" w:firstLineChars="200"/>
        <w:rPr>
          <w:rFonts w:ascii="仿宋_GB2312" w:eastAsia="仿宋_GB2312"/>
          <w:sz w:val="28"/>
          <w:szCs w:val="28"/>
        </w:rPr>
      </w:pPr>
      <w:r>
        <w:rPr>
          <w:rFonts w:hint="eastAsia" w:ascii="仿宋_GB2312" w:eastAsia="仿宋_GB2312" w:cs="仿宋_GB2312"/>
          <w:sz w:val="28"/>
          <w:szCs w:val="28"/>
        </w:rPr>
        <w:t>9、本报告中“估价技术报告”部分由本公司存档。</w:t>
      </w:r>
    </w:p>
    <w:p>
      <w:pPr>
        <w:adjustRightInd w:val="0"/>
        <w:snapToGrid w:val="0"/>
        <w:spacing w:line="400" w:lineRule="atLeast"/>
        <w:ind w:firstLine="560" w:firstLineChars="200"/>
        <w:rPr>
          <w:rFonts w:ascii="仿宋_GB2312" w:eastAsia="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0、本估价报告非经估价机构盖章和司法鉴定人签字不发生法律效力。</w:t>
      </w:r>
    </w:p>
    <w:p>
      <w:pPr>
        <w:adjustRightInd w:val="0"/>
        <w:snapToGrid w:val="0"/>
        <w:spacing w:line="400" w:lineRule="atLeast"/>
        <w:ind w:firstLine="560" w:firstLineChars="200"/>
        <w:rPr>
          <w:rFonts w:ascii="仿宋_GB2312" w:eastAsia="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1、未经我公司授权或许可，估价报告的全部或部分内容不得发表于任何公开媒体，报告的最终解释权归本公司所有。</w:t>
      </w:r>
    </w:p>
    <w:p>
      <w:pPr>
        <w:adjustRightInd w:val="0"/>
        <w:snapToGrid w:val="0"/>
        <w:spacing w:line="400" w:lineRule="atLeast"/>
        <w:ind w:firstLine="560" w:firstLineChars="200"/>
        <w:rPr>
          <w:rFonts w:hint="eastAsia" w:ascii="仿宋_GB2312" w:eastAsia="仿宋_GB2312" w:cs="仿宋_GB2312"/>
          <w:sz w:val="28"/>
          <w:szCs w:val="28"/>
          <w:lang w:val="en-US" w:eastAsia="zh-CN"/>
        </w:rPr>
      </w:pPr>
      <w:r>
        <w:rPr>
          <w:rFonts w:hint="eastAsia" w:ascii="仿宋_GB2312" w:eastAsia="仿宋_GB2312" w:cs="仿宋_GB2312"/>
          <w:sz w:val="28"/>
          <w:szCs w:val="28"/>
          <w:lang w:val="en-US" w:eastAsia="zh-CN"/>
        </w:rPr>
        <w:t xml:space="preserve"> </w:t>
      </w:r>
    </w:p>
    <w:p>
      <w:pPr>
        <w:adjustRightInd w:val="0"/>
        <w:snapToGrid w:val="0"/>
        <w:spacing w:line="400" w:lineRule="atLeast"/>
        <w:ind w:firstLine="560" w:firstLineChars="200"/>
        <w:rPr>
          <w:rFonts w:hint="eastAsia" w:ascii="仿宋_GB2312" w:eastAsia="仿宋_GB2312" w:cs="仿宋_GB2312"/>
          <w:sz w:val="28"/>
          <w:szCs w:val="28"/>
          <w:lang w:val="en-US" w:eastAsia="zh-CN"/>
        </w:rPr>
      </w:pPr>
    </w:p>
    <w:p>
      <w:pPr>
        <w:adjustRightInd w:val="0"/>
        <w:snapToGrid w:val="0"/>
        <w:spacing w:line="400" w:lineRule="atLeast"/>
        <w:ind w:firstLine="560" w:firstLineChars="200"/>
        <w:rPr>
          <w:rFonts w:ascii="仿宋_GB2312" w:eastAsia="仿宋_GB2312"/>
          <w:sz w:val="28"/>
          <w:szCs w:val="28"/>
        </w:rPr>
      </w:pPr>
      <w:r>
        <w:rPr>
          <w:rFonts w:hint="eastAsia" w:ascii="仿宋_GB2312" w:eastAsia="仿宋_GB2312" w:cs="仿宋_GB2312"/>
          <w:sz w:val="28"/>
          <w:szCs w:val="28"/>
        </w:rPr>
        <w:t xml:space="preserve"> </w:t>
      </w:r>
    </w:p>
    <w:p>
      <w:pPr>
        <w:adjustRightInd w:val="0"/>
        <w:snapToGrid w:val="0"/>
        <w:spacing w:line="400" w:lineRule="atLeast"/>
        <w:ind w:firstLine="420" w:firstLineChars="150"/>
        <w:jc w:val="left"/>
        <w:rPr>
          <w:rFonts w:ascii="仿宋_GB2312" w:eastAsia="仿宋_GB2312"/>
          <w:sz w:val="28"/>
          <w:szCs w:val="28"/>
        </w:rPr>
      </w:pPr>
      <w:r>
        <w:rPr>
          <w:rFonts w:hint="eastAsia" w:ascii="仿宋_GB2312" w:eastAsia="仿宋_GB2312" w:cs="仿宋_GB2312"/>
          <w:sz w:val="28"/>
          <w:szCs w:val="28"/>
        </w:rPr>
        <w:t>房地产估价师</w:t>
      </w:r>
      <w:r>
        <w:rPr>
          <w:rFonts w:ascii="仿宋_GB2312" w:eastAsia="仿宋_GB2312" w:cs="仿宋_GB2312"/>
          <w:sz w:val="28"/>
          <w:szCs w:val="28"/>
        </w:rPr>
        <w:t xml:space="preserve">            </w:t>
      </w:r>
      <w:r>
        <w:rPr>
          <w:rFonts w:hint="eastAsia" w:ascii="仿宋_GB2312" w:eastAsia="仿宋_GB2312" w:cs="仿宋_GB2312"/>
          <w:sz w:val="28"/>
          <w:szCs w:val="28"/>
        </w:rPr>
        <w:t>注册证号</w:t>
      </w:r>
      <w:r>
        <w:rPr>
          <w:rFonts w:ascii="仿宋_GB2312" w:eastAsia="仿宋_GB2312" w:cs="仿宋_GB2312"/>
          <w:sz w:val="28"/>
          <w:szCs w:val="28"/>
        </w:rPr>
        <w:t xml:space="preserve">             </w:t>
      </w:r>
      <w:r>
        <w:rPr>
          <w:rFonts w:hint="eastAsia" w:ascii="仿宋_GB2312" w:eastAsia="仿宋_GB2312" w:cs="仿宋_GB2312"/>
          <w:sz w:val="28"/>
          <w:szCs w:val="28"/>
        </w:rPr>
        <w:t>签字</w:t>
      </w:r>
    </w:p>
    <w:p>
      <w:pPr>
        <w:adjustRightInd w:val="0"/>
        <w:snapToGrid w:val="0"/>
        <w:spacing w:line="400" w:lineRule="atLeast"/>
        <w:ind w:left="718" w:leftChars="342"/>
        <w:jc w:val="left"/>
        <w:rPr>
          <w:rFonts w:ascii="仿宋_GB2312" w:eastAsia="仿宋_GB2312"/>
          <w:sz w:val="28"/>
          <w:szCs w:val="28"/>
        </w:rPr>
      </w:pPr>
    </w:p>
    <w:p>
      <w:pPr>
        <w:snapToGrid w:val="0"/>
        <w:spacing w:line="500" w:lineRule="atLeast"/>
        <w:ind w:firstLine="560" w:firstLineChars="200"/>
        <w:jc w:val="left"/>
        <w:rPr>
          <w:rFonts w:ascii="仿宋_GB2312" w:eastAsia="仿宋_GB2312" w:cs="仿宋_GB2312"/>
          <w:sz w:val="28"/>
          <w:szCs w:val="28"/>
        </w:rPr>
      </w:pPr>
      <w:r>
        <w:rPr>
          <w:rFonts w:hint="eastAsia" w:ascii="仿宋_GB2312" w:eastAsia="仿宋_GB2312" w:cs="仿宋_GB2312"/>
          <w:sz w:val="28"/>
          <w:szCs w:val="28"/>
        </w:rPr>
        <w:t>牛亚娟</w:t>
      </w:r>
      <w:r>
        <w:rPr>
          <w:rFonts w:ascii="仿宋_GB2312" w:eastAsia="仿宋_GB2312" w:cs="仿宋_GB2312"/>
          <w:sz w:val="28"/>
          <w:szCs w:val="28"/>
        </w:rPr>
        <w:t xml:space="preserve">                2220090029</w:t>
      </w:r>
    </w:p>
    <w:p>
      <w:pPr>
        <w:adjustRightInd w:val="0"/>
        <w:snapToGrid w:val="0"/>
        <w:spacing w:line="420" w:lineRule="atLeast"/>
        <w:ind w:left="718" w:leftChars="342" w:firstLine="140" w:firstLineChars="50"/>
        <w:jc w:val="left"/>
        <w:rPr>
          <w:rFonts w:ascii="仿宋_GB2312" w:eastAsia="仿宋_GB2312"/>
          <w:sz w:val="28"/>
          <w:szCs w:val="28"/>
        </w:rPr>
      </w:pPr>
    </w:p>
    <w:p>
      <w:pPr>
        <w:adjustRightInd w:val="0"/>
        <w:snapToGrid w:val="0"/>
        <w:spacing w:line="420" w:lineRule="atLeast"/>
        <w:ind w:left="718" w:leftChars="342" w:firstLine="140" w:firstLineChars="50"/>
        <w:jc w:val="left"/>
        <w:rPr>
          <w:rFonts w:ascii="仿宋_GB2312" w:eastAsia="仿宋_GB2312"/>
          <w:sz w:val="28"/>
          <w:szCs w:val="28"/>
        </w:rPr>
      </w:pPr>
    </w:p>
    <w:p>
      <w:pPr>
        <w:snapToGrid w:val="0"/>
        <w:spacing w:line="500" w:lineRule="atLeast"/>
        <w:ind w:firstLine="560" w:firstLineChars="200"/>
        <w:jc w:val="left"/>
        <w:rPr>
          <w:rFonts w:ascii="仿宋_GB2312" w:eastAsia="仿宋_GB2312" w:cs="仿宋_GB2312"/>
          <w:sz w:val="28"/>
          <w:szCs w:val="28"/>
        </w:rPr>
      </w:pPr>
      <w:r>
        <w:rPr>
          <w:rFonts w:hint="eastAsia" w:ascii="仿宋_GB2312" w:eastAsia="仿宋_GB2312" w:cs="仿宋_GB2312"/>
          <w:sz w:val="28"/>
          <w:szCs w:val="28"/>
        </w:rPr>
        <w:t>韩宝军</w:t>
      </w:r>
      <w:r>
        <w:rPr>
          <w:rFonts w:ascii="仿宋_GB2312" w:eastAsia="仿宋_GB2312" w:cs="仿宋_GB2312"/>
          <w:sz w:val="28"/>
          <w:szCs w:val="28"/>
        </w:rPr>
        <w:t xml:space="preserve">                </w:t>
      </w:r>
      <w:r>
        <w:rPr>
          <w:rFonts w:hint="eastAsia" w:ascii="仿宋_GB2312" w:eastAsia="仿宋_GB2312" w:cs="仿宋_GB2312"/>
          <w:sz w:val="28"/>
          <w:szCs w:val="28"/>
        </w:rPr>
        <w:t>2220000067</w:t>
      </w:r>
    </w:p>
    <w:p>
      <w:pPr>
        <w:snapToGrid w:val="0"/>
        <w:spacing w:line="500" w:lineRule="atLeast"/>
        <w:ind w:firstLine="560" w:firstLineChars="200"/>
        <w:jc w:val="left"/>
        <w:rPr>
          <w:rFonts w:ascii="仿宋_GB2312" w:eastAsia="仿宋_GB2312" w:cs="仿宋_GB2312"/>
          <w:sz w:val="28"/>
          <w:szCs w:val="28"/>
        </w:rPr>
      </w:pPr>
    </w:p>
    <w:p>
      <w:pPr>
        <w:snapToGrid w:val="0"/>
        <w:spacing w:line="500" w:lineRule="atLeast"/>
        <w:ind w:firstLine="560" w:firstLineChars="200"/>
        <w:jc w:val="left"/>
        <w:rPr>
          <w:rFonts w:ascii="仿宋_GB2312" w:eastAsia="仿宋_GB2312"/>
          <w:sz w:val="28"/>
          <w:szCs w:val="28"/>
        </w:rPr>
      </w:pPr>
    </w:p>
    <w:p>
      <w:pPr>
        <w:pStyle w:val="2"/>
        <w:keepNext w:val="0"/>
        <w:keepLines w:val="0"/>
        <w:adjustRightInd w:val="0"/>
        <w:snapToGrid w:val="0"/>
        <w:spacing w:before="0" w:after="0" w:line="360" w:lineRule="atLeast"/>
        <w:jc w:val="center"/>
      </w:pPr>
      <w:bookmarkStart w:id="2" w:name="_Toc17957"/>
      <w:r>
        <w:rPr>
          <w:rFonts w:hint="eastAsia" w:cs="宋体"/>
        </w:rPr>
        <w:t>估价的假设和限制条件</w:t>
      </w:r>
      <w:bookmarkEnd w:id="2"/>
    </w:p>
    <w:p>
      <w:pPr>
        <w:pStyle w:val="3"/>
        <w:keepNext w:val="0"/>
        <w:keepLines w:val="0"/>
        <w:adjustRightInd w:val="0"/>
        <w:snapToGrid w:val="0"/>
        <w:spacing w:before="0" w:after="0" w:line="440" w:lineRule="atLeast"/>
        <w:ind w:firstLine="643" w:firstLineChars="200"/>
        <w:rPr>
          <w:rFonts w:ascii="黑体" w:eastAsia="黑体" w:cs="黑体"/>
        </w:rPr>
      </w:pPr>
      <w:bookmarkStart w:id="3" w:name="_Toc6938"/>
      <w:r>
        <w:rPr>
          <w:rFonts w:hint="eastAsia" w:ascii="黑体" w:eastAsia="黑体" w:cs="黑体"/>
        </w:rPr>
        <w:t>一、</w:t>
      </w:r>
      <w:r>
        <w:rPr>
          <w:rFonts w:hint="eastAsia" w:ascii="黑体" w:eastAsia="黑体" w:cs="黑体"/>
          <w:b w:val="0"/>
          <w:bCs w:val="0"/>
        </w:rPr>
        <w:t>本次估价的一般假设</w:t>
      </w:r>
      <w:r>
        <w:rPr>
          <w:rFonts w:hint="eastAsia" w:ascii="黑体" w:eastAsia="黑体" w:cs="黑体"/>
        </w:rPr>
        <w:t>：</w:t>
      </w:r>
      <w:bookmarkEnd w:id="3"/>
      <w:r>
        <w:rPr>
          <w:rFonts w:ascii="黑体" w:eastAsia="黑体" w:cs="黑体"/>
        </w:rPr>
        <w:t xml:space="preserve"> </w:t>
      </w:r>
    </w:p>
    <w:p>
      <w:pPr>
        <w:adjustRightInd w:val="0"/>
        <w:snapToGrid w:val="0"/>
        <w:spacing w:line="440" w:lineRule="atLeast"/>
        <w:ind w:firstLine="560" w:firstLineChars="200"/>
        <w:rPr>
          <w:rFonts w:ascii="仿宋_GB2312" w:eastAsia="仿宋_GB2312" w:cs="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、估价对象产权明晰，手续齐全，可在公开市场上自由转让。</w:t>
      </w:r>
      <w:r>
        <w:rPr>
          <w:rFonts w:ascii="仿宋_GB2312" w:eastAsia="仿宋_GB2312" w:cs="仿宋_GB2312"/>
          <w:sz w:val="28"/>
          <w:szCs w:val="28"/>
        </w:rPr>
        <w:t xml:space="preserve"> </w:t>
      </w:r>
    </w:p>
    <w:p>
      <w:pPr>
        <w:adjustRightInd w:val="0"/>
        <w:snapToGrid w:val="0"/>
        <w:spacing w:line="440" w:lineRule="atLeast"/>
        <w:ind w:firstLine="560" w:firstLineChars="200"/>
        <w:rPr>
          <w:rFonts w:ascii="仿宋_GB2312" w:eastAsia="仿宋_GB2312"/>
          <w:sz w:val="28"/>
          <w:szCs w:val="28"/>
        </w:rPr>
      </w:pPr>
      <w:r>
        <w:rPr>
          <w:rFonts w:ascii="仿宋_GB2312" w:eastAsia="仿宋_GB2312" w:cs="仿宋_GB2312"/>
          <w:sz w:val="28"/>
          <w:szCs w:val="28"/>
        </w:rPr>
        <w:t>2</w:t>
      </w:r>
      <w:r>
        <w:rPr>
          <w:rFonts w:hint="eastAsia" w:ascii="仿宋_GB2312" w:eastAsia="仿宋_GB2312" w:cs="仿宋_GB2312"/>
          <w:sz w:val="28"/>
          <w:szCs w:val="28"/>
        </w:rPr>
        <w:t>、估价委托人提供了《吉林省洮南市人民法院评估委托书》复印件及《不动产登记信息查询单》等复印件，我们对估价对象的权属、面积、用途等资料进行了审慎检查，但未予以核实，在无理由怀疑其合法性、真实性、准确性和完整性的情况下，假定估价委托人提供的资料合法、真实、准确、完整。</w:t>
      </w:r>
      <w:r>
        <w:rPr>
          <w:rFonts w:ascii="仿宋_GB2312" w:eastAsia="仿宋_GB2312" w:cs="仿宋_GB2312"/>
          <w:sz w:val="28"/>
          <w:szCs w:val="28"/>
        </w:rPr>
        <w:t xml:space="preserve">  </w:t>
      </w:r>
    </w:p>
    <w:p>
      <w:pPr>
        <w:adjustRightInd w:val="0"/>
        <w:snapToGrid w:val="0"/>
        <w:spacing w:line="440" w:lineRule="atLeast"/>
        <w:ind w:firstLine="560" w:firstLineChars="200"/>
        <w:rPr>
          <w:rFonts w:ascii="仿宋_GB2312" w:eastAsia="仿宋_GB2312"/>
          <w:sz w:val="28"/>
          <w:szCs w:val="28"/>
        </w:rPr>
      </w:pPr>
      <w:r>
        <w:rPr>
          <w:rFonts w:ascii="仿宋_GB2312" w:eastAsia="仿宋_GB2312" w:cs="仿宋_GB2312"/>
          <w:sz w:val="28"/>
          <w:szCs w:val="28"/>
        </w:rPr>
        <w:t>3</w:t>
      </w:r>
      <w:r>
        <w:rPr>
          <w:rFonts w:hint="eastAsia" w:ascii="仿宋_GB2312" w:eastAsia="仿宋_GB2312" w:cs="仿宋_GB2312"/>
          <w:sz w:val="28"/>
          <w:szCs w:val="28"/>
        </w:rPr>
        <w:t>、注册房地产估价师在现场查勘过程中，对房屋安全、环境污染等影响估价对象价值的重大因素予以了关注，但是仅对估价对象的外观和使用状况进行查勘</w:t>
      </w:r>
      <w:r>
        <w:rPr>
          <w:rFonts w:ascii="仿宋_GB2312" w:eastAsia="仿宋_GB2312" w:cs="仿宋_GB2312"/>
          <w:sz w:val="28"/>
          <w:szCs w:val="28"/>
        </w:rPr>
        <w:t>,</w:t>
      </w:r>
      <w:r>
        <w:rPr>
          <w:rFonts w:hint="eastAsia" w:ascii="仿宋_GB2312" w:eastAsia="仿宋_GB2312" w:cs="仿宋_GB2312"/>
          <w:sz w:val="28"/>
          <w:szCs w:val="28"/>
        </w:rPr>
        <w:t>并未对其结构、设备及装修等内在质量进行测试，也无专业机构进行鉴定、检测，故不能确定其有无内部缺陷。因此本估价报告无理由怀疑估价对象存在安全隐患，但仍以假设估价对象符合国家有关技术、质量、验收规范，其质量足以维持正常的使用寿命为前提。</w:t>
      </w:r>
    </w:p>
    <w:p>
      <w:pPr>
        <w:adjustRightInd w:val="0"/>
        <w:snapToGrid w:val="0"/>
        <w:spacing w:line="440" w:lineRule="atLeast"/>
        <w:ind w:firstLine="560" w:firstLineChars="200"/>
        <w:rPr>
          <w:rFonts w:ascii="仿宋_GB2312" w:eastAsia="仿宋_GB2312" w:cs="仿宋_GB2312"/>
          <w:sz w:val="28"/>
          <w:szCs w:val="28"/>
        </w:rPr>
      </w:pPr>
      <w:r>
        <w:rPr>
          <w:rFonts w:ascii="仿宋_GB2312" w:eastAsia="仿宋_GB2312" w:cs="仿宋_GB2312"/>
          <w:sz w:val="28"/>
          <w:szCs w:val="28"/>
        </w:rPr>
        <w:t>4</w:t>
      </w:r>
      <w:r>
        <w:rPr>
          <w:rFonts w:hint="eastAsia" w:ascii="仿宋_GB2312" w:eastAsia="仿宋_GB2312" w:cs="仿宋_GB2312"/>
          <w:sz w:val="28"/>
          <w:szCs w:val="28"/>
        </w:rPr>
        <w:t>、估价对象在价值时点的房地产市场为公开、平等、自愿的交易市场，即能满足以下条件：（</w:t>
      </w:r>
      <w:r>
        <w:rPr>
          <w:rFonts w:ascii="仿宋_GB2312" w:eastAsia="仿宋_GB2312" w:cs="仿宋_GB2312"/>
          <w:sz w:val="28"/>
          <w:szCs w:val="28"/>
        </w:rPr>
        <w:t>1</w:t>
      </w:r>
      <w:r>
        <w:rPr>
          <w:rFonts w:hint="eastAsia" w:ascii="仿宋_GB2312" w:eastAsia="仿宋_GB2312" w:cs="仿宋_GB2312"/>
          <w:sz w:val="28"/>
          <w:szCs w:val="28"/>
        </w:rPr>
        <w:t>）自愿销售的卖方及自愿购买的买方；（</w:t>
      </w:r>
      <w:r>
        <w:rPr>
          <w:rFonts w:ascii="仿宋_GB2312" w:eastAsia="仿宋_GB2312" w:cs="仿宋_GB2312"/>
          <w:sz w:val="28"/>
          <w:szCs w:val="28"/>
        </w:rPr>
        <w:t>2</w:t>
      </w:r>
      <w:r>
        <w:rPr>
          <w:rFonts w:hint="eastAsia" w:ascii="仿宋_GB2312" w:eastAsia="仿宋_GB2312" w:cs="仿宋_GB2312"/>
          <w:sz w:val="28"/>
          <w:szCs w:val="28"/>
        </w:rPr>
        <w:t>）交易双方无任何利害关系，交易的目的是追求各自利益的最大化；（</w:t>
      </w:r>
      <w:r>
        <w:rPr>
          <w:rFonts w:ascii="仿宋_GB2312" w:eastAsia="仿宋_GB2312" w:cs="仿宋_GB2312"/>
          <w:sz w:val="28"/>
          <w:szCs w:val="28"/>
        </w:rPr>
        <w:t>3</w:t>
      </w:r>
      <w:r>
        <w:rPr>
          <w:rFonts w:hint="eastAsia" w:ascii="仿宋_GB2312" w:eastAsia="仿宋_GB2312" w:cs="仿宋_GB2312"/>
          <w:sz w:val="28"/>
          <w:szCs w:val="28"/>
        </w:rPr>
        <w:t>）交易双方了解交易对象、知晓市场行情；（</w:t>
      </w:r>
      <w:r>
        <w:rPr>
          <w:rFonts w:ascii="仿宋_GB2312" w:eastAsia="仿宋_GB2312" w:cs="仿宋_GB2312"/>
          <w:sz w:val="28"/>
          <w:szCs w:val="28"/>
        </w:rPr>
        <w:t>4</w:t>
      </w:r>
      <w:r>
        <w:rPr>
          <w:rFonts w:hint="eastAsia" w:ascii="仿宋_GB2312" w:eastAsia="仿宋_GB2312" w:cs="仿宋_GB2312"/>
          <w:sz w:val="28"/>
          <w:szCs w:val="28"/>
        </w:rPr>
        <w:t>）交易双方有较充裕的时间进行交易；（</w:t>
      </w:r>
      <w:r>
        <w:rPr>
          <w:rFonts w:ascii="仿宋_GB2312" w:eastAsia="仿宋_GB2312" w:cs="仿宋_GB2312"/>
          <w:sz w:val="28"/>
          <w:szCs w:val="28"/>
        </w:rPr>
        <w:t>5</w:t>
      </w:r>
      <w:r>
        <w:rPr>
          <w:rFonts w:hint="eastAsia" w:ascii="仿宋_GB2312" w:eastAsia="仿宋_GB2312" w:cs="仿宋_GB2312"/>
          <w:sz w:val="28"/>
          <w:szCs w:val="28"/>
        </w:rPr>
        <w:t>）不存在特殊买家的附加出价。</w:t>
      </w:r>
    </w:p>
    <w:p>
      <w:pPr>
        <w:adjustRightInd w:val="0"/>
        <w:snapToGrid w:val="0"/>
        <w:spacing w:line="440" w:lineRule="atLeast"/>
        <w:ind w:firstLine="560" w:firstLineChars="200"/>
        <w:rPr>
          <w:rFonts w:ascii="仿宋_GB2312" w:eastAsia="仿宋_GB2312" w:cs="仿宋_GB2312"/>
          <w:sz w:val="28"/>
          <w:szCs w:val="28"/>
        </w:rPr>
      </w:pPr>
      <w:r>
        <w:rPr>
          <w:rFonts w:hint="eastAsia" w:ascii="仿宋_GB2312" w:eastAsia="仿宋_GB2312" w:cs="仿宋_GB2312"/>
          <w:sz w:val="28"/>
          <w:szCs w:val="28"/>
        </w:rPr>
        <w:t>5、由于当事人告知没有租赁权，房地产估价机构经过尽职调查估价对象在价值时点不存在租赁权，因此本次估价以估价对象没有租赁权为假设前提。</w:t>
      </w:r>
    </w:p>
    <w:p>
      <w:pPr>
        <w:adjustRightInd w:val="0"/>
        <w:snapToGrid w:val="0"/>
        <w:spacing w:line="440" w:lineRule="atLeast"/>
        <w:ind w:firstLine="560" w:firstLineChars="200"/>
        <w:rPr>
          <w:rFonts w:ascii="仿宋_GB2312" w:eastAsia="仿宋_GB2312" w:cs="仿宋_GB2312"/>
          <w:sz w:val="28"/>
          <w:szCs w:val="28"/>
        </w:rPr>
      </w:pPr>
      <w:r>
        <w:rPr>
          <w:rFonts w:hint="eastAsia" w:ascii="仿宋_GB2312" w:eastAsia="仿宋_GB2312" w:cs="仿宋_GB2312"/>
          <w:sz w:val="28"/>
          <w:szCs w:val="28"/>
        </w:rPr>
        <w:t>6、因委托方未明确估价对象是否欠缴税金、物业费、供热费、水电费等相关费用，本次估价假定评估对象不存在欠缴税金及相关费用为假设前提。</w:t>
      </w:r>
    </w:p>
    <w:p>
      <w:pPr>
        <w:adjustRightInd w:val="0"/>
        <w:snapToGrid w:val="0"/>
        <w:spacing w:line="440" w:lineRule="atLeast"/>
        <w:ind w:firstLine="640" w:firstLineChars="200"/>
        <w:rPr>
          <w:rFonts w:ascii="黑体" w:hAnsi="Cambria" w:eastAsia="黑体" w:cs="黑体"/>
          <w:sz w:val="32"/>
          <w:szCs w:val="32"/>
        </w:rPr>
      </w:pPr>
      <w:r>
        <w:rPr>
          <w:rFonts w:hint="eastAsia" w:ascii="黑体" w:hAnsi="Cambria" w:eastAsia="黑体" w:cs="黑体"/>
          <w:sz w:val="32"/>
          <w:szCs w:val="32"/>
        </w:rPr>
        <w:t>二、未定事项假设</w:t>
      </w:r>
    </w:p>
    <w:p>
      <w:pPr>
        <w:adjustRightInd w:val="0"/>
        <w:snapToGrid w:val="0"/>
        <w:spacing w:line="440" w:lineRule="atLeast"/>
        <w:ind w:firstLine="560" w:firstLineChars="200"/>
        <w:rPr>
          <w:rFonts w:ascii="仿宋_GB2312" w:hAnsi="宋体" w:eastAsia="仿宋_GB2312"/>
          <w:sz w:val="28"/>
          <w:szCs w:val="28"/>
        </w:rPr>
      </w:pPr>
      <w:r>
        <w:rPr>
          <w:rFonts w:hint="eastAsia" w:ascii="仿宋_GB2312" w:hAnsi="宋体" w:eastAsia="仿宋_GB2312"/>
          <w:sz w:val="28"/>
          <w:szCs w:val="28"/>
        </w:rPr>
        <w:t>1、估价对象《不动产登记信息查询单》中记载估价对象房屋竣工时间为2019年11月。</w:t>
      </w:r>
    </w:p>
    <w:p>
      <w:pPr>
        <w:adjustRightInd w:val="0"/>
        <w:snapToGrid w:val="0"/>
        <w:spacing w:line="440" w:lineRule="atLeast"/>
        <w:ind w:firstLine="560" w:firstLineChars="200"/>
        <w:rPr>
          <w:rFonts w:ascii="仿宋_GB2312" w:hAnsi="宋体" w:eastAsia="仿宋_GB2312"/>
          <w:sz w:val="28"/>
          <w:szCs w:val="28"/>
        </w:rPr>
      </w:pPr>
      <w:r>
        <w:rPr>
          <w:rFonts w:hint="eastAsia" w:ascii="仿宋_GB2312" w:hAnsi="宋体" w:eastAsia="仿宋_GB2312"/>
          <w:sz w:val="28"/>
          <w:szCs w:val="28"/>
        </w:rPr>
        <w:t>2、本次估价结果为估价对象于价值时点的税费按照法律法规规定，转让人和买受人各自负担为参考。</w:t>
      </w:r>
    </w:p>
    <w:p>
      <w:pPr>
        <w:adjustRightInd w:val="0"/>
        <w:snapToGrid w:val="0"/>
        <w:spacing w:line="440" w:lineRule="atLeast"/>
        <w:ind w:firstLine="560" w:firstLineChars="200"/>
        <w:rPr>
          <w:rFonts w:ascii="仿宋_GB2312" w:hAnsi="宋体" w:eastAsia="仿宋_GB2312"/>
          <w:sz w:val="28"/>
          <w:szCs w:val="28"/>
        </w:rPr>
      </w:pPr>
      <w:r>
        <w:rPr>
          <w:rFonts w:hint="eastAsia" w:ascii="仿宋_GB2312" w:hAnsi="宋体" w:eastAsia="仿宋_GB2312"/>
          <w:sz w:val="28"/>
          <w:szCs w:val="28"/>
        </w:rPr>
        <w:t>3、本报告出具的价格包含了国有土地使用权证出让金，若至价值时点止，权利人尚有任何有关估价对象的应缴未缴税费，应按照规定缴纳或者从评估价值中相应扣减。</w:t>
      </w:r>
    </w:p>
    <w:p>
      <w:pPr>
        <w:adjustRightInd w:val="0"/>
        <w:snapToGrid w:val="0"/>
        <w:spacing w:line="440" w:lineRule="atLeast"/>
        <w:ind w:firstLine="640" w:firstLineChars="200"/>
        <w:rPr>
          <w:rFonts w:ascii="黑体" w:hAnsi="Cambria" w:eastAsia="黑体" w:cs="黑体"/>
          <w:sz w:val="32"/>
          <w:szCs w:val="32"/>
        </w:rPr>
      </w:pPr>
      <w:r>
        <w:rPr>
          <w:rFonts w:hint="eastAsia" w:ascii="黑体" w:hAnsi="Cambria" w:eastAsia="黑体" w:cs="黑体"/>
          <w:sz w:val="32"/>
          <w:szCs w:val="32"/>
        </w:rPr>
        <w:t>三、背离事实假设</w:t>
      </w:r>
    </w:p>
    <w:p>
      <w:pPr>
        <w:adjustRightInd w:val="0"/>
        <w:snapToGrid w:val="0"/>
        <w:spacing w:line="440" w:lineRule="atLeast"/>
        <w:ind w:firstLine="560" w:firstLineChars="200"/>
        <w:rPr>
          <w:rFonts w:ascii="仿宋_GB2312" w:eastAsia="仿宋_GB2312" w:cs="仿宋_GB2312"/>
          <w:sz w:val="28"/>
          <w:szCs w:val="28"/>
        </w:rPr>
      </w:pPr>
      <w:r>
        <w:rPr>
          <w:rFonts w:hint="eastAsia" w:ascii="仿宋_GB2312" w:eastAsia="仿宋_GB2312" w:cs="仿宋_GB2312"/>
          <w:sz w:val="28"/>
          <w:szCs w:val="28"/>
        </w:rPr>
        <w:t>1、估价结果是为法院确定财产处置参考价提供参考依据，估价时没有考虑国家宏观经济政策发生变化、市场供应关系变化、市场结构转变、遇有自然力和其他不可抗力等因素对房地产价值的影响，也没有考虑估价对象将来可能承担违约责任的事宜，以及特殊交易方式下的特殊交易价格等对估价结果的影响。当上诉条件发生变化时，估价结果一般亦会发生变化。</w:t>
      </w:r>
    </w:p>
    <w:p>
      <w:pPr>
        <w:adjustRightInd w:val="0"/>
        <w:snapToGrid w:val="0"/>
        <w:spacing w:line="440" w:lineRule="atLeast"/>
        <w:ind w:firstLine="560" w:firstLineChars="200"/>
        <w:rPr>
          <w:rFonts w:ascii="仿宋_GB2312" w:eastAsia="仿宋_GB2312"/>
          <w:sz w:val="28"/>
          <w:szCs w:val="28"/>
        </w:rPr>
      </w:pPr>
      <w:r>
        <w:rPr>
          <w:rFonts w:hint="eastAsia" w:ascii="仿宋_GB2312" w:eastAsia="仿宋_GB2312" w:cs="仿宋_GB2312"/>
          <w:sz w:val="28"/>
          <w:szCs w:val="28"/>
        </w:rPr>
        <w:t>2、本次估价以未考虑可能与估价对象所有权人有关的债权及债务情况对估价结果的影响为假设前提。</w:t>
      </w:r>
    </w:p>
    <w:p>
      <w:pPr>
        <w:adjustRightInd w:val="0"/>
        <w:snapToGrid w:val="0"/>
        <w:spacing w:line="440" w:lineRule="atLeast"/>
        <w:ind w:firstLine="560" w:firstLineChars="200"/>
        <w:rPr>
          <w:rFonts w:ascii="仿宋_GB2312" w:eastAsia="仿宋_GB2312" w:cs="仿宋_GB2312"/>
          <w:sz w:val="28"/>
          <w:szCs w:val="28"/>
        </w:rPr>
      </w:pPr>
      <w:r>
        <w:rPr>
          <w:rFonts w:hint="eastAsia" w:ascii="仿宋_GB2312" w:eastAsia="仿宋_GB2312" w:cs="仿宋_GB2312"/>
          <w:sz w:val="28"/>
          <w:szCs w:val="28"/>
        </w:rPr>
        <w:t>3、在本次估价时没有考虑估价对象因涉案、出租、抵押、查封或买家基于投资价值判断对估价对象市场价值的影响。</w:t>
      </w:r>
    </w:p>
    <w:p>
      <w:pPr>
        <w:pStyle w:val="5"/>
        <w:adjustRightInd w:val="0"/>
        <w:snapToGrid w:val="0"/>
        <w:spacing w:line="440" w:lineRule="atLeast"/>
        <w:ind w:left="0" w:leftChars="0" w:firstLine="640" w:firstLineChars="200"/>
        <w:rPr>
          <w:rFonts w:ascii="仿宋_GB2312" w:hAnsi="宋体" w:eastAsia="仿宋_GB2312" w:cs="Times New Roman"/>
        </w:rPr>
      </w:pPr>
      <w:r>
        <w:rPr>
          <w:rFonts w:hint="eastAsia" w:ascii="黑体" w:hAnsi="Cambria" w:eastAsia="黑体" w:cs="黑体"/>
          <w:sz w:val="32"/>
          <w:szCs w:val="32"/>
        </w:rPr>
        <w:t>四、不相一致假设</w:t>
      </w:r>
    </w:p>
    <w:p>
      <w:pPr>
        <w:pStyle w:val="5"/>
        <w:adjustRightInd w:val="0"/>
        <w:snapToGrid w:val="0"/>
        <w:spacing w:line="440" w:lineRule="atLeast"/>
        <w:ind w:left="0" w:leftChars="0" w:firstLine="560" w:firstLineChars="200"/>
        <w:rPr>
          <w:rFonts w:ascii="仿宋_GB2312" w:hAnsi="宋体" w:eastAsia="仿宋_GB2312" w:cs="Times New Roman"/>
        </w:rPr>
      </w:pPr>
      <w:r>
        <w:rPr>
          <w:rFonts w:hint="eastAsia" w:ascii="仿宋_GB2312" w:hAnsi="宋体" w:eastAsia="仿宋_GB2312" w:cs="Times New Roman"/>
        </w:rPr>
        <w:t>本次估价无不相一致假设。</w:t>
      </w:r>
    </w:p>
    <w:p>
      <w:pPr>
        <w:pStyle w:val="5"/>
        <w:adjustRightInd w:val="0"/>
        <w:snapToGrid w:val="0"/>
        <w:spacing w:line="440" w:lineRule="atLeast"/>
        <w:ind w:left="0" w:leftChars="0" w:firstLine="640" w:firstLineChars="200"/>
        <w:rPr>
          <w:rFonts w:ascii="仿宋_GB2312" w:hAnsi="宋体" w:eastAsia="仿宋_GB2312" w:cs="Times New Roman"/>
        </w:rPr>
      </w:pPr>
      <w:r>
        <w:rPr>
          <w:rFonts w:hint="eastAsia" w:ascii="黑体" w:hAnsi="Cambria" w:eastAsia="黑体" w:cs="黑体"/>
          <w:sz w:val="32"/>
          <w:szCs w:val="32"/>
        </w:rPr>
        <w:t>五、依据不足假设</w:t>
      </w:r>
    </w:p>
    <w:p>
      <w:pPr>
        <w:adjustRightInd w:val="0"/>
        <w:snapToGrid w:val="0"/>
        <w:spacing w:line="440" w:lineRule="atLeast"/>
        <w:ind w:firstLine="560" w:firstLineChars="200"/>
        <w:rPr>
          <w:rFonts w:ascii="仿宋_GB2312" w:eastAsia="仿宋_GB2312" w:cs="仿宋_GB2312"/>
          <w:sz w:val="28"/>
          <w:szCs w:val="28"/>
        </w:rPr>
      </w:pPr>
      <w:r>
        <w:rPr>
          <w:rFonts w:hint="eastAsia" w:ascii="仿宋_GB2312" w:hAnsi="宋体" w:eastAsia="仿宋_GB2312"/>
          <w:sz w:val="28"/>
          <w:szCs w:val="28"/>
        </w:rPr>
        <w:t>本次估价无依据不足假设。</w:t>
      </w:r>
    </w:p>
    <w:p>
      <w:pPr>
        <w:pStyle w:val="3"/>
        <w:keepNext w:val="0"/>
        <w:keepLines w:val="0"/>
        <w:adjustRightInd w:val="0"/>
        <w:snapToGrid w:val="0"/>
        <w:spacing w:before="0" w:after="0" w:line="440" w:lineRule="atLeast"/>
        <w:ind w:firstLine="640" w:firstLineChars="200"/>
        <w:rPr>
          <w:rFonts w:ascii="黑体" w:eastAsia="黑体" w:cs="Times New Roman"/>
          <w:sz w:val="28"/>
          <w:szCs w:val="28"/>
        </w:rPr>
      </w:pPr>
      <w:bookmarkStart w:id="4" w:name="_Toc32133"/>
      <w:r>
        <w:rPr>
          <w:rFonts w:hint="eastAsia" w:ascii="黑体" w:eastAsia="黑体" w:cs="黑体"/>
          <w:b w:val="0"/>
          <w:bCs w:val="0"/>
        </w:rPr>
        <w:t>六、估价的限制条件</w:t>
      </w:r>
      <w:bookmarkEnd w:id="4"/>
    </w:p>
    <w:p>
      <w:pPr>
        <w:adjustRightInd w:val="0"/>
        <w:snapToGrid w:val="0"/>
        <w:spacing w:line="440" w:lineRule="atLeast"/>
        <w:ind w:firstLine="560" w:firstLineChars="200"/>
        <w:rPr>
          <w:rFonts w:ascii="仿宋_GB2312" w:eastAsia="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本报告估价结果为2022年07月25日，在满足全部假定限制条件和价值定义前提下的市场价值；非经估价机构和签字的房地产估价师书面同意不得向委托人和估价报告审查部门之外的单位和个人提供，我们不承担对委托人、相关当事人、及相关行政主管部门以外的第三人对报告异议的解释义务。</w:t>
      </w:r>
    </w:p>
    <w:p>
      <w:pPr>
        <w:adjustRightInd w:val="0"/>
        <w:snapToGrid w:val="0"/>
        <w:spacing w:line="440" w:lineRule="atLeast"/>
        <w:ind w:firstLine="560" w:firstLineChars="200"/>
        <w:rPr>
          <w:rFonts w:ascii="仿宋_GB2312" w:eastAsia="仿宋_GB2312"/>
          <w:sz w:val="28"/>
          <w:szCs w:val="28"/>
        </w:rPr>
      </w:pPr>
      <w:r>
        <w:rPr>
          <w:rFonts w:ascii="仿宋_GB2312" w:eastAsia="仿宋_GB2312" w:cs="仿宋_GB2312"/>
          <w:sz w:val="28"/>
          <w:szCs w:val="28"/>
        </w:rPr>
        <w:t>2</w:t>
      </w:r>
      <w:r>
        <w:rPr>
          <w:rFonts w:hint="eastAsia" w:ascii="仿宋_GB2312" w:eastAsia="仿宋_GB2312" w:cs="仿宋_GB2312"/>
          <w:sz w:val="28"/>
          <w:szCs w:val="28"/>
        </w:rPr>
        <w:t>、委托方只能将本报告用于本次估价目的限定的用途，如果将本报告用于估价目的以外的任何用途时无效。</w:t>
      </w:r>
    </w:p>
    <w:p>
      <w:pPr>
        <w:pStyle w:val="5"/>
        <w:adjustRightInd w:val="0"/>
        <w:snapToGrid w:val="0"/>
        <w:spacing w:line="440" w:lineRule="atLeast"/>
        <w:ind w:left="136" w:leftChars="65" w:firstLine="420" w:firstLineChars="150"/>
        <w:rPr>
          <w:rFonts w:ascii="仿宋_GB2312" w:eastAsia="仿宋_GB2312" w:cs="Times New Roman"/>
        </w:rPr>
      </w:pPr>
      <w:r>
        <w:rPr>
          <w:rFonts w:ascii="仿宋_GB2312" w:eastAsia="仿宋_GB2312" w:cs="仿宋_GB2312"/>
          <w:color w:val="000000"/>
        </w:rPr>
        <w:t>3</w:t>
      </w:r>
      <w:r>
        <w:rPr>
          <w:rFonts w:hint="eastAsia" w:ascii="仿宋_GB2312" w:eastAsia="仿宋_GB2312" w:cs="仿宋_GB2312"/>
        </w:rPr>
        <w:t>、我们只对在本估价报告应用有效期内并将估价报告作为统一的有机整体使用本报告承担责任。</w:t>
      </w:r>
    </w:p>
    <w:p>
      <w:pPr>
        <w:adjustRightInd w:val="0"/>
        <w:snapToGrid w:val="0"/>
        <w:spacing w:line="440" w:lineRule="atLeast"/>
        <w:ind w:firstLine="560" w:firstLineChars="200"/>
        <w:rPr>
          <w:rFonts w:ascii="仿宋_GB2312" w:eastAsia="仿宋_GB2312" w:cs="仿宋_GB2312"/>
          <w:sz w:val="28"/>
          <w:szCs w:val="28"/>
        </w:rPr>
      </w:pPr>
      <w:r>
        <w:rPr>
          <w:rFonts w:ascii="仿宋_GB2312" w:eastAsia="仿宋_GB2312" w:cs="仿宋_GB2312"/>
          <w:sz w:val="28"/>
          <w:szCs w:val="28"/>
        </w:rPr>
        <w:t>4</w:t>
      </w:r>
      <w:r>
        <w:rPr>
          <w:rFonts w:hint="eastAsia" w:ascii="仿宋_GB2312" w:eastAsia="仿宋_GB2312" w:cs="仿宋_GB2312"/>
          <w:sz w:val="28"/>
          <w:szCs w:val="28"/>
        </w:rPr>
        <w:t>、本估价报告依据了委托人提供的相关资料，委托人应对其提供的资料的真实性、合法性、准确性和有效性及由此产生的后果负责解释。</w:t>
      </w:r>
      <w:r>
        <w:rPr>
          <w:rFonts w:ascii="仿宋_GB2312" w:eastAsia="仿宋_GB2312" w:cs="仿宋_GB2312"/>
          <w:sz w:val="28"/>
          <w:szCs w:val="28"/>
        </w:rPr>
        <w:t xml:space="preserve"> </w:t>
      </w:r>
    </w:p>
    <w:p>
      <w:pPr>
        <w:adjustRightInd w:val="0"/>
        <w:snapToGrid w:val="0"/>
        <w:spacing w:line="440" w:lineRule="atLeast"/>
        <w:ind w:firstLine="560" w:firstLineChars="200"/>
        <w:rPr>
          <w:rFonts w:ascii="仿宋_GB2312" w:eastAsia="仿宋_GB2312"/>
          <w:sz w:val="28"/>
          <w:szCs w:val="28"/>
        </w:rPr>
      </w:pPr>
      <w:r>
        <w:rPr>
          <w:rFonts w:ascii="仿宋_GB2312" w:eastAsia="仿宋_GB2312" w:cs="仿宋_GB2312"/>
          <w:sz w:val="28"/>
          <w:szCs w:val="28"/>
        </w:rPr>
        <w:t>5</w:t>
      </w:r>
      <w:r>
        <w:rPr>
          <w:rFonts w:hint="eastAsia" w:ascii="仿宋_GB2312" w:eastAsia="仿宋_GB2312" w:cs="仿宋_GB2312"/>
          <w:sz w:val="28"/>
          <w:szCs w:val="28"/>
        </w:rPr>
        <w:t>、本次估价在估价对象范围、价值时点、估价目的等均经估价机构及房地产估价师与委托人充分沟通并经其同意根据估价委托书及其提供的资料确定，如果上述内容发生变化应重新评估。</w:t>
      </w:r>
    </w:p>
    <w:p>
      <w:pPr>
        <w:adjustRightInd w:val="0"/>
        <w:snapToGrid w:val="0"/>
        <w:spacing w:line="440" w:lineRule="atLeast"/>
        <w:ind w:firstLine="560" w:firstLineChars="200"/>
        <w:rPr>
          <w:rFonts w:ascii="仿宋_GB2312" w:eastAsia="仿宋_GB2312"/>
          <w:sz w:val="28"/>
          <w:szCs w:val="28"/>
        </w:rPr>
      </w:pPr>
      <w:r>
        <w:rPr>
          <w:rFonts w:ascii="仿宋_GB2312" w:eastAsia="仿宋_GB2312" w:cs="仿宋_GB2312"/>
          <w:sz w:val="28"/>
          <w:szCs w:val="28"/>
        </w:rPr>
        <w:t>6</w:t>
      </w:r>
      <w:r>
        <w:rPr>
          <w:rFonts w:hint="eastAsia" w:ascii="仿宋_GB2312" w:eastAsia="仿宋_GB2312" w:cs="仿宋_GB2312"/>
          <w:sz w:val="28"/>
          <w:szCs w:val="28"/>
        </w:rPr>
        <w:t>、如果估价对象建筑物的结构存在重大质量缺陷，估价结论无效。</w:t>
      </w:r>
    </w:p>
    <w:p>
      <w:pPr>
        <w:adjustRightInd w:val="0"/>
        <w:snapToGrid w:val="0"/>
        <w:spacing w:line="440" w:lineRule="atLeast"/>
        <w:ind w:firstLine="560" w:firstLineChars="200"/>
        <w:rPr>
          <w:rFonts w:ascii="仿宋_GB2312" w:eastAsia="仿宋_GB2312" w:cs="仿宋_GB2312"/>
          <w:sz w:val="28"/>
          <w:szCs w:val="28"/>
        </w:rPr>
      </w:pPr>
      <w:r>
        <w:rPr>
          <w:rFonts w:ascii="仿宋_GB2312" w:eastAsia="仿宋_GB2312" w:cs="仿宋_GB2312"/>
          <w:sz w:val="28"/>
          <w:szCs w:val="28"/>
        </w:rPr>
        <w:t>7</w:t>
      </w:r>
      <w:r>
        <w:rPr>
          <w:rFonts w:hint="eastAsia" w:ascii="仿宋_GB2312" w:eastAsia="仿宋_GB2312" w:cs="仿宋_GB2312"/>
          <w:sz w:val="28"/>
          <w:szCs w:val="28"/>
        </w:rPr>
        <w:t>、本估价报告的估价结果是估价对象在价值时点时房地产价值的正常与公允的反映，没有考虑价值时点之后国家宏观政策、经济形势发生变化，以及遇有自然力和其它不可抗力等因素的影响。</w:t>
      </w:r>
      <w:r>
        <w:rPr>
          <w:rFonts w:ascii="仿宋_GB2312" w:eastAsia="仿宋_GB2312" w:cs="仿宋_GB2312"/>
          <w:sz w:val="28"/>
          <w:szCs w:val="28"/>
        </w:rPr>
        <w:t xml:space="preserve"> </w:t>
      </w:r>
    </w:p>
    <w:p>
      <w:pPr>
        <w:adjustRightInd w:val="0"/>
        <w:snapToGrid w:val="0"/>
        <w:spacing w:line="440" w:lineRule="atLeast"/>
        <w:ind w:firstLine="560" w:firstLineChars="200"/>
        <w:rPr>
          <w:rFonts w:ascii="仿宋_GB2312" w:eastAsia="仿宋_GB2312" w:cs="仿宋_GB2312"/>
          <w:sz w:val="28"/>
          <w:szCs w:val="28"/>
        </w:rPr>
      </w:pPr>
      <w:r>
        <w:rPr>
          <w:rFonts w:ascii="仿宋_GB2312" w:eastAsia="仿宋_GB2312" w:cs="仿宋_GB2312"/>
          <w:sz w:val="28"/>
          <w:szCs w:val="28"/>
        </w:rPr>
        <w:t>8</w:t>
      </w:r>
      <w:r>
        <w:rPr>
          <w:rFonts w:hint="eastAsia" w:ascii="仿宋_GB2312" w:eastAsia="仿宋_GB2312" w:cs="仿宋_GB2312"/>
          <w:sz w:val="28"/>
          <w:szCs w:val="28"/>
        </w:rPr>
        <w:t xml:space="preserve">、在价值时点后，估价报告有效期内估价对象实物状况及国家经济形势、城市规划、房地产税费政策、金融政策等发生重大变化，市场价格变化较快对估价结果产生明显影响时，估价委托人应及时聘请房地产估价机构对估价结果作相应调整或重新估价。 </w:t>
      </w:r>
    </w:p>
    <w:p>
      <w:pPr>
        <w:adjustRightInd w:val="0"/>
        <w:snapToGrid w:val="0"/>
        <w:spacing w:line="440" w:lineRule="atLeast"/>
        <w:ind w:firstLine="560" w:firstLineChars="200"/>
        <w:rPr>
          <w:rFonts w:ascii="仿宋_GB2312" w:eastAsia="仿宋_GB2312"/>
          <w:sz w:val="28"/>
          <w:szCs w:val="28"/>
        </w:rPr>
      </w:pPr>
      <w:r>
        <w:rPr>
          <w:rFonts w:hint="eastAsia" w:ascii="仿宋_GB2312" w:eastAsia="仿宋_GB2312" w:cs="仿宋_GB2312"/>
          <w:sz w:val="28"/>
          <w:szCs w:val="28"/>
        </w:rPr>
        <w:t>9、本报告估价结果专为委托人在本次估价目的下使用，未经本公司同意，不得向委托人和估价审查部门之外的单位和个人提供；本报告的全部或部分及任何参考资料均不允许在任何公开发表的文件、通告或声明中引用，亦不得以其他任何方式公开发表。</w:t>
      </w:r>
    </w:p>
    <w:p>
      <w:pPr>
        <w:adjustRightInd w:val="0"/>
        <w:snapToGrid w:val="0"/>
        <w:spacing w:line="440" w:lineRule="atLeast"/>
        <w:ind w:firstLine="560" w:firstLineChars="200"/>
        <w:rPr>
          <w:rFonts w:ascii="仿宋_GB2312" w:eastAsia="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0、本报告由白城市建设房地产评估有限公司负责解释。</w:t>
      </w:r>
    </w:p>
    <w:p>
      <w:pPr>
        <w:adjustRightInd w:val="0"/>
        <w:snapToGrid w:val="0"/>
        <w:spacing w:line="440" w:lineRule="atLeast"/>
        <w:ind w:firstLine="560" w:firstLineChars="200"/>
        <w:rPr>
          <w:rFonts w:ascii="仿宋_GB2312" w:eastAsia="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1、本报告不作为估价对象权属及数量确认的依据。</w:t>
      </w:r>
    </w:p>
    <w:p>
      <w:pPr>
        <w:adjustRightInd w:val="0"/>
        <w:snapToGrid w:val="0"/>
        <w:spacing w:line="440" w:lineRule="atLeast"/>
        <w:ind w:firstLine="560" w:firstLineChars="200"/>
        <w:rPr>
          <w:rFonts w:ascii="仿宋_GB2312" w:eastAsia="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2、如发现本估价报告文字或数字因校对或其他类似原因出现差错，属正常差错范围，请及时通知本公司进行更正，如因明知正常失误而不及时通知更正而对估价结果应用造成的影响和损失，估价机构不承担责任。</w:t>
      </w:r>
    </w:p>
    <w:p>
      <w:pPr>
        <w:adjustRightInd w:val="0"/>
        <w:snapToGrid w:val="0"/>
        <w:spacing w:line="440" w:lineRule="atLeast"/>
        <w:ind w:firstLine="560" w:firstLineChars="200"/>
        <w:rPr>
          <w:rFonts w:hint="eastAsia" w:ascii="仿宋_GB2312" w:eastAsia="仿宋_GB2312" w:cs="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3、本报告须经参加本次估价的中国注册房地产估价师签字估价机构盖章后生效，报告缺页及复印件不生效。</w:t>
      </w:r>
    </w:p>
    <w:p>
      <w:pPr>
        <w:adjustRightInd w:val="0"/>
        <w:snapToGrid w:val="0"/>
        <w:spacing w:line="440" w:lineRule="atLeast"/>
        <w:ind w:firstLine="560" w:firstLineChars="200"/>
        <w:rPr>
          <w:rFonts w:ascii="仿宋_GB2312" w:eastAsia="仿宋_GB2312" w:cs="仿宋_GB2312"/>
          <w:sz w:val="28"/>
          <w:szCs w:val="28"/>
        </w:rPr>
      </w:pPr>
      <w:bookmarkStart w:id="23" w:name="_GoBack"/>
      <w:r>
        <w:rPr>
          <w:rFonts w:hint="eastAsia" w:ascii="仿宋_GB2312" w:eastAsia="仿宋_GB2312" w:cs="仿宋_GB2312"/>
          <w:sz w:val="28"/>
          <w:szCs w:val="28"/>
          <w:lang w:val="en-US" w:eastAsia="zh-CN"/>
        </w:rPr>
        <w:t>14</w:t>
      </w:r>
      <w:r>
        <w:rPr>
          <w:rFonts w:hint="eastAsia" w:ascii="仿宋_GB2312" w:eastAsia="仿宋_GB2312" w:cs="仿宋_GB2312"/>
          <w:sz w:val="28"/>
          <w:szCs w:val="28"/>
        </w:rPr>
        <w:t>、</w:t>
      </w:r>
      <w:r>
        <w:rPr>
          <w:rFonts w:hint="eastAsia" w:ascii="仿宋_GB2312" w:eastAsia="仿宋_GB2312" w:cs="仿宋_GB2312"/>
          <w:sz w:val="28"/>
          <w:szCs w:val="28"/>
          <w:lang w:eastAsia="zh-CN"/>
        </w:rPr>
        <w:t>室内未进入，根据当事人的描述，室内为毛坯。</w:t>
      </w:r>
      <w:bookmarkEnd w:id="23"/>
      <w:r>
        <w:rPr>
          <w:rFonts w:hint="eastAsia" w:ascii="仿宋_GB2312" w:eastAsia="仿宋_GB2312" w:cs="仿宋_GB2312"/>
          <w:sz w:val="28"/>
          <w:szCs w:val="28"/>
        </w:rPr>
        <w:t xml:space="preserve"> </w:t>
      </w:r>
    </w:p>
    <w:p>
      <w:pPr>
        <w:adjustRightInd w:val="0"/>
        <w:snapToGrid w:val="0"/>
        <w:spacing w:line="440" w:lineRule="atLeast"/>
        <w:ind w:firstLine="560" w:firstLineChars="200"/>
        <w:rPr>
          <w:rFonts w:ascii="仿宋_GB2312" w:eastAsia="仿宋_GB2312"/>
          <w:sz w:val="28"/>
          <w:szCs w:val="28"/>
        </w:rPr>
      </w:pPr>
    </w:p>
    <w:p>
      <w:pPr>
        <w:adjustRightInd w:val="0"/>
        <w:snapToGrid w:val="0"/>
        <w:spacing w:line="480" w:lineRule="atLeast"/>
        <w:ind w:firstLine="560" w:firstLineChars="200"/>
        <w:rPr>
          <w:rFonts w:ascii="仿宋_GB2312" w:eastAsia="仿宋_GB2312"/>
          <w:sz w:val="28"/>
          <w:szCs w:val="28"/>
        </w:rPr>
      </w:pPr>
      <w:r>
        <w:rPr>
          <w:rFonts w:hint="eastAsia" w:ascii="仿宋_GB2312" w:eastAsia="仿宋_GB2312" w:cs="仿宋_GB2312"/>
          <w:sz w:val="28"/>
          <w:szCs w:val="28"/>
        </w:rPr>
        <w:t xml:space="preserve"> </w:t>
      </w:r>
      <w:r>
        <w:rPr>
          <w:rFonts w:ascii="仿宋_GB2312" w:eastAsia="仿宋_GB2312"/>
          <w:sz w:val="28"/>
          <w:szCs w:val="28"/>
        </w:rPr>
        <w:tab/>
      </w:r>
    </w:p>
    <w:p>
      <w:pPr>
        <w:adjustRightInd w:val="0"/>
        <w:snapToGrid w:val="0"/>
        <w:spacing w:line="480" w:lineRule="atLeast"/>
        <w:ind w:firstLine="560" w:firstLineChars="200"/>
        <w:rPr>
          <w:rFonts w:ascii="仿宋_GB2312" w:eastAsia="仿宋_GB2312" w:cs="仿宋_GB2312"/>
          <w:sz w:val="28"/>
          <w:szCs w:val="28"/>
        </w:rPr>
      </w:pPr>
      <w:r>
        <w:rPr>
          <w:rFonts w:hint="eastAsia" w:ascii="仿宋_GB2312" w:eastAsia="仿宋_GB2312" w:cs="仿宋_GB2312"/>
          <w:sz w:val="28"/>
          <w:szCs w:val="28"/>
        </w:rPr>
        <w:t xml:space="preserve"> </w:t>
      </w:r>
    </w:p>
    <w:p>
      <w:pPr>
        <w:adjustRightInd w:val="0"/>
        <w:snapToGrid w:val="0"/>
        <w:spacing w:line="480" w:lineRule="atLeast"/>
        <w:ind w:firstLine="560" w:firstLineChars="200"/>
        <w:rPr>
          <w:rFonts w:ascii="仿宋_GB2312" w:eastAsia="仿宋_GB2312" w:cs="仿宋_GB2312"/>
          <w:sz w:val="28"/>
          <w:szCs w:val="28"/>
        </w:rPr>
      </w:pPr>
    </w:p>
    <w:p>
      <w:pPr>
        <w:adjustRightInd w:val="0"/>
        <w:snapToGrid w:val="0"/>
        <w:spacing w:line="480" w:lineRule="atLeast"/>
        <w:ind w:firstLine="560" w:firstLineChars="200"/>
        <w:rPr>
          <w:rFonts w:ascii="仿宋_GB2312" w:eastAsia="仿宋_GB2312"/>
          <w:sz w:val="28"/>
          <w:szCs w:val="28"/>
        </w:rPr>
      </w:pPr>
    </w:p>
    <w:p>
      <w:pPr>
        <w:adjustRightInd w:val="0"/>
        <w:snapToGrid w:val="0"/>
        <w:spacing w:line="480" w:lineRule="atLeast"/>
        <w:ind w:firstLine="560" w:firstLineChars="200"/>
        <w:rPr>
          <w:rFonts w:ascii="仿宋_GB2312" w:eastAsia="仿宋_GB2312"/>
          <w:sz w:val="28"/>
          <w:szCs w:val="28"/>
        </w:rPr>
      </w:pPr>
    </w:p>
    <w:p>
      <w:pPr>
        <w:adjustRightInd w:val="0"/>
        <w:snapToGrid w:val="0"/>
        <w:spacing w:line="480" w:lineRule="atLeast"/>
        <w:ind w:firstLine="560" w:firstLineChars="200"/>
        <w:rPr>
          <w:rFonts w:ascii="仿宋_GB2312" w:eastAsia="仿宋_GB2312"/>
          <w:sz w:val="28"/>
          <w:szCs w:val="28"/>
        </w:rPr>
      </w:pPr>
    </w:p>
    <w:p>
      <w:pPr>
        <w:adjustRightInd w:val="0"/>
        <w:snapToGrid w:val="0"/>
        <w:spacing w:line="480" w:lineRule="atLeast"/>
        <w:ind w:firstLine="560" w:firstLineChars="200"/>
        <w:rPr>
          <w:rFonts w:ascii="仿宋_GB2312" w:eastAsia="仿宋_GB2312"/>
          <w:sz w:val="28"/>
          <w:szCs w:val="28"/>
        </w:rPr>
      </w:pPr>
    </w:p>
    <w:p>
      <w:pPr>
        <w:adjustRightInd w:val="0"/>
        <w:snapToGrid w:val="0"/>
        <w:spacing w:line="480" w:lineRule="atLeast"/>
        <w:rPr>
          <w:rFonts w:ascii="仿宋_GB2312" w:eastAsia="仿宋_GB2312"/>
          <w:sz w:val="28"/>
          <w:szCs w:val="28"/>
        </w:rPr>
      </w:pPr>
    </w:p>
    <w:p>
      <w:pPr>
        <w:pStyle w:val="2"/>
        <w:keepNext w:val="0"/>
        <w:keepLines w:val="0"/>
        <w:adjustRightInd w:val="0"/>
        <w:snapToGrid w:val="0"/>
        <w:spacing w:before="0" w:after="0" w:line="360" w:lineRule="atLeast"/>
        <w:jc w:val="center"/>
      </w:pPr>
      <w:bookmarkStart w:id="5" w:name="_Toc15124"/>
      <w:r>
        <w:rPr>
          <w:rFonts w:hint="eastAsia" w:cs="宋体"/>
        </w:rPr>
        <w:t>房地产估价结果报告</w:t>
      </w:r>
      <w:bookmarkEnd w:id="5"/>
    </w:p>
    <w:p>
      <w:pPr>
        <w:pStyle w:val="3"/>
        <w:keepNext w:val="0"/>
        <w:keepLines w:val="0"/>
        <w:adjustRightInd w:val="0"/>
        <w:snapToGrid w:val="0"/>
        <w:spacing w:before="0" w:after="0" w:line="430" w:lineRule="atLeast"/>
        <w:ind w:firstLine="643" w:firstLineChars="200"/>
        <w:rPr>
          <w:rFonts w:cs="Times New Roman"/>
          <w:b w:val="0"/>
          <w:bCs w:val="0"/>
          <w:sz w:val="28"/>
          <w:szCs w:val="28"/>
        </w:rPr>
      </w:pPr>
      <w:bookmarkStart w:id="6" w:name="_Toc31204"/>
      <w:r>
        <w:rPr>
          <w:rFonts w:hint="eastAsia" w:cs="宋体"/>
        </w:rPr>
        <w:t>一、</w:t>
      </w:r>
      <w:r>
        <w:rPr>
          <w:rFonts w:hint="eastAsia" w:ascii="黑体" w:eastAsia="黑体" w:cs="黑体"/>
          <w:b w:val="0"/>
          <w:bCs w:val="0"/>
        </w:rPr>
        <w:t>估价委托人</w:t>
      </w:r>
      <w:r>
        <w:rPr>
          <w:rFonts w:hint="eastAsia" w:cs="宋体"/>
          <w:b w:val="0"/>
          <w:bCs w:val="0"/>
          <w:sz w:val="28"/>
          <w:szCs w:val="28"/>
        </w:rPr>
        <w:t>：</w:t>
      </w:r>
      <w:bookmarkEnd w:id="6"/>
    </w:p>
    <w:p>
      <w:pPr>
        <w:adjustRightInd w:val="0"/>
        <w:snapToGrid w:val="0"/>
        <w:spacing w:line="430" w:lineRule="atLeast"/>
        <w:ind w:left="105" w:leftChars="50" w:firstLine="560" w:firstLineChars="200"/>
        <w:rPr>
          <w:rFonts w:ascii="仿宋_GB2312" w:eastAsia="仿宋_GB2312"/>
          <w:sz w:val="28"/>
          <w:szCs w:val="28"/>
        </w:rPr>
      </w:pPr>
      <w:r>
        <w:rPr>
          <w:rFonts w:hint="eastAsia" w:ascii="仿宋_GB2312" w:eastAsia="仿宋_GB2312" w:cs="仿宋_GB2312"/>
          <w:sz w:val="28"/>
          <w:szCs w:val="28"/>
        </w:rPr>
        <w:t>洮南市人民法院</w:t>
      </w:r>
    </w:p>
    <w:p>
      <w:pPr>
        <w:adjustRightInd w:val="0"/>
        <w:snapToGrid w:val="0"/>
        <w:spacing w:line="430" w:lineRule="atLeast"/>
        <w:ind w:left="105" w:leftChars="50" w:firstLine="560" w:firstLineChars="200"/>
        <w:jc w:val="left"/>
        <w:rPr>
          <w:rFonts w:ascii="仿宋_GB2312" w:eastAsia="仿宋_GB2312"/>
          <w:sz w:val="28"/>
          <w:szCs w:val="28"/>
        </w:rPr>
      </w:pPr>
      <w:r>
        <w:rPr>
          <w:rFonts w:hint="eastAsia" w:ascii="仿宋_GB2312" w:eastAsia="仿宋_GB2312"/>
          <w:sz w:val="28"/>
          <w:szCs w:val="28"/>
        </w:rPr>
        <w:t>单位地址：洮南市光明南街1800号</w:t>
      </w:r>
    </w:p>
    <w:p>
      <w:pPr>
        <w:pStyle w:val="3"/>
        <w:keepNext w:val="0"/>
        <w:keepLines w:val="0"/>
        <w:adjustRightInd w:val="0"/>
        <w:snapToGrid w:val="0"/>
        <w:spacing w:before="0" w:after="0" w:line="430" w:lineRule="atLeast"/>
        <w:ind w:firstLine="700" w:firstLineChars="250"/>
        <w:rPr>
          <w:rFonts w:ascii="仿宋_GB2312" w:eastAsia="仿宋_GB2312"/>
          <w:b w:val="0"/>
          <w:sz w:val="28"/>
          <w:szCs w:val="28"/>
        </w:rPr>
      </w:pPr>
      <w:bookmarkStart w:id="7" w:name="_Toc9515"/>
      <w:r>
        <w:rPr>
          <w:rFonts w:hint="eastAsia" w:ascii="仿宋_GB2312" w:eastAsia="仿宋_GB2312"/>
          <w:b w:val="0"/>
          <w:sz w:val="28"/>
          <w:szCs w:val="28"/>
        </w:rPr>
        <w:t>联系人：孙法特</w:t>
      </w:r>
      <w:bookmarkEnd w:id="7"/>
    </w:p>
    <w:p>
      <w:pPr>
        <w:pStyle w:val="3"/>
        <w:keepNext w:val="0"/>
        <w:keepLines w:val="0"/>
        <w:adjustRightInd w:val="0"/>
        <w:snapToGrid w:val="0"/>
        <w:spacing w:before="0" w:after="0" w:line="430" w:lineRule="atLeast"/>
        <w:ind w:firstLine="640" w:firstLineChars="200"/>
        <w:rPr>
          <w:rFonts w:cs="Times New Roman"/>
        </w:rPr>
      </w:pPr>
      <w:bookmarkStart w:id="8" w:name="_Toc16802"/>
      <w:r>
        <w:rPr>
          <w:rFonts w:hint="eastAsia" w:cs="宋体"/>
          <w:b w:val="0"/>
          <w:bCs w:val="0"/>
        </w:rPr>
        <w:t>二、</w:t>
      </w:r>
      <w:r>
        <w:rPr>
          <w:rFonts w:hint="eastAsia" w:ascii="黑体" w:eastAsia="黑体" w:cs="黑体"/>
          <w:b w:val="0"/>
          <w:bCs w:val="0"/>
        </w:rPr>
        <w:t>房地产估价机构</w:t>
      </w:r>
      <w:r>
        <w:rPr>
          <w:rFonts w:hint="eastAsia" w:cs="宋体"/>
        </w:rPr>
        <w:t>：</w:t>
      </w:r>
      <w:bookmarkEnd w:id="8"/>
    </w:p>
    <w:p>
      <w:pPr>
        <w:adjustRightInd w:val="0"/>
        <w:snapToGrid w:val="0"/>
        <w:spacing w:line="430" w:lineRule="atLeast"/>
        <w:ind w:left="105" w:leftChars="50" w:firstLine="560" w:firstLineChars="200"/>
        <w:rPr>
          <w:rFonts w:ascii="仿宋_GB2312" w:eastAsia="仿宋_GB2312" w:cs="仿宋_GB2312"/>
          <w:sz w:val="28"/>
          <w:szCs w:val="28"/>
        </w:rPr>
      </w:pPr>
      <w:r>
        <w:rPr>
          <w:rFonts w:hint="eastAsia" w:ascii="仿宋_GB2312" w:eastAsia="仿宋_GB2312" w:cs="仿宋_GB2312"/>
          <w:sz w:val="28"/>
          <w:szCs w:val="28"/>
        </w:rPr>
        <w:t>白城市建设房地产评估有限公司</w:t>
      </w:r>
      <w:r>
        <w:rPr>
          <w:rFonts w:ascii="仿宋_GB2312" w:eastAsia="仿宋_GB2312" w:cs="仿宋_GB2312"/>
          <w:sz w:val="28"/>
          <w:szCs w:val="28"/>
        </w:rPr>
        <w:t xml:space="preserve"> </w:t>
      </w:r>
    </w:p>
    <w:p>
      <w:pPr>
        <w:adjustRightInd w:val="0"/>
        <w:snapToGrid w:val="0"/>
        <w:spacing w:line="430" w:lineRule="atLeast"/>
        <w:ind w:left="105" w:leftChars="50" w:firstLine="560" w:firstLineChars="200"/>
        <w:rPr>
          <w:rFonts w:ascii="仿宋_GB2312" w:eastAsia="仿宋_GB2312"/>
          <w:sz w:val="28"/>
          <w:szCs w:val="28"/>
        </w:rPr>
      </w:pPr>
      <w:r>
        <w:rPr>
          <w:rFonts w:hint="eastAsia" w:ascii="仿宋_GB2312" w:eastAsia="仿宋_GB2312" w:cs="仿宋_GB2312"/>
          <w:sz w:val="28"/>
          <w:szCs w:val="28"/>
        </w:rPr>
        <w:t>住所：白城市洮北区长庆南街92-2号门市</w:t>
      </w:r>
    </w:p>
    <w:p>
      <w:pPr>
        <w:adjustRightInd w:val="0"/>
        <w:snapToGrid w:val="0"/>
        <w:spacing w:line="430" w:lineRule="atLeast"/>
        <w:ind w:left="105" w:leftChars="50" w:firstLine="560" w:firstLineChars="200"/>
        <w:rPr>
          <w:rFonts w:ascii="仿宋_GB2312" w:eastAsia="仿宋_GB2312" w:cs="仿宋_GB2312"/>
          <w:sz w:val="28"/>
          <w:szCs w:val="28"/>
        </w:rPr>
      </w:pPr>
      <w:r>
        <w:rPr>
          <w:rFonts w:hint="eastAsia" w:ascii="仿宋_GB2312" w:eastAsia="仿宋_GB2312" w:cs="仿宋_GB2312"/>
          <w:sz w:val="28"/>
          <w:szCs w:val="28"/>
        </w:rPr>
        <w:t>营业执照统一社会信用代码：</w:t>
      </w:r>
      <w:r>
        <w:rPr>
          <w:rFonts w:ascii="仿宋_GB2312" w:eastAsia="仿宋_GB2312" w:cs="仿宋_GB2312"/>
          <w:sz w:val="28"/>
          <w:szCs w:val="28"/>
        </w:rPr>
        <w:t>91220800724871530G</w:t>
      </w:r>
    </w:p>
    <w:p>
      <w:pPr>
        <w:adjustRightInd w:val="0"/>
        <w:snapToGrid w:val="0"/>
        <w:spacing w:line="430" w:lineRule="atLeast"/>
        <w:ind w:left="105" w:leftChars="50" w:firstLine="560" w:firstLineChars="200"/>
        <w:rPr>
          <w:rFonts w:ascii="仿宋_GB2312" w:eastAsia="仿宋_GB2312" w:cs="仿宋_GB2312"/>
          <w:sz w:val="28"/>
          <w:szCs w:val="28"/>
        </w:rPr>
      </w:pPr>
      <w:r>
        <w:rPr>
          <w:rFonts w:hint="eastAsia" w:ascii="仿宋_GB2312" w:eastAsia="仿宋_GB2312" w:cs="仿宋_GB2312"/>
          <w:sz w:val="28"/>
          <w:szCs w:val="28"/>
        </w:rPr>
        <w:t>法人代表人：牛亚娟</w:t>
      </w:r>
      <w:r>
        <w:rPr>
          <w:rFonts w:ascii="仿宋_GB2312" w:eastAsia="仿宋_GB2312" w:cs="仿宋_GB2312"/>
          <w:sz w:val="28"/>
          <w:szCs w:val="28"/>
        </w:rPr>
        <w:t xml:space="preserve">     </w:t>
      </w:r>
    </w:p>
    <w:p>
      <w:pPr>
        <w:adjustRightInd w:val="0"/>
        <w:snapToGrid w:val="0"/>
        <w:spacing w:line="430" w:lineRule="atLeast"/>
        <w:ind w:left="105" w:leftChars="50" w:firstLine="560" w:firstLineChars="200"/>
        <w:rPr>
          <w:rFonts w:ascii="仿宋_GB2312" w:eastAsia="仿宋_GB2312"/>
          <w:sz w:val="28"/>
          <w:szCs w:val="28"/>
        </w:rPr>
      </w:pPr>
      <w:r>
        <w:rPr>
          <w:rFonts w:hint="eastAsia" w:ascii="仿宋_GB2312" w:eastAsia="仿宋_GB2312" w:cs="仿宋_GB2312"/>
          <w:sz w:val="28"/>
          <w:szCs w:val="28"/>
        </w:rPr>
        <w:t>资质等级：贰级</w:t>
      </w:r>
    </w:p>
    <w:p>
      <w:pPr>
        <w:adjustRightInd w:val="0"/>
        <w:snapToGrid w:val="0"/>
        <w:spacing w:line="430" w:lineRule="atLeast"/>
        <w:ind w:left="105" w:leftChars="50" w:firstLine="560" w:firstLineChars="200"/>
        <w:rPr>
          <w:rFonts w:ascii="仿宋_GB2312" w:eastAsia="仿宋_GB2312"/>
          <w:sz w:val="28"/>
          <w:szCs w:val="28"/>
        </w:rPr>
      </w:pPr>
      <w:r>
        <w:rPr>
          <w:rFonts w:hint="eastAsia" w:ascii="仿宋_GB2312" w:eastAsia="仿宋_GB2312" w:cs="仿宋_GB2312"/>
          <w:sz w:val="28"/>
          <w:szCs w:val="28"/>
        </w:rPr>
        <w:t>资质证书编号：</w:t>
      </w:r>
      <w:r>
        <w:rPr>
          <w:rFonts w:ascii="仿宋_GB2312" w:eastAsia="仿宋_GB2312" w:cs="仿宋_GB2312"/>
          <w:sz w:val="28"/>
          <w:szCs w:val="28"/>
        </w:rPr>
        <w:t xml:space="preserve">JFG-G004 </w:t>
      </w:r>
    </w:p>
    <w:p>
      <w:pPr>
        <w:adjustRightInd w:val="0"/>
        <w:snapToGrid w:val="0"/>
        <w:spacing w:line="430" w:lineRule="atLeast"/>
        <w:ind w:left="105" w:leftChars="50" w:firstLine="560" w:firstLineChars="200"/>
        <w:rPr>
          <w:rFonts w:ascii="仿宋_GB2312" w:eastAsia="仿宋_GB2312"/>
          <w:sz w:val="28"/>
          <w:szCs w:val="28"/>
        </w:rPr>
      </w:pPr>
      <w:r>
        <w:rPr>
          <w:rFonts w:hint="eastAsia" w:ascii="仿宋_GB2312" w:eastAsia="仿宋_GB2312" w:cs="仿宋_GB2312"/>
          <w:sz w:val="28"/>
          <w:szCs w:val="28"/>
        </w:rPr>
        <w:t>联系电话</w:t>
      </w:r>
      <w:r>
        <w:rPr>
          <w:rFonts w:ascii="仿宋_GB2312" w:eastAsia="仿宋_GB2312" w:cs="仿宋_GB2312"/>
          <w:sz w:val="28"/>
          <w:szCs w:val="28"/>
        </w:rPr>
        <w:t>:0436-3203603</w:t>
      </w:r>
    </w:p>
    <w:p>
      <w:pPr>
        <w:pStyle w:val="3"/>
        <w:keepNext w:val="0"/>
        <w:keepLines w:val="0"/>
        <w:adjustRightInd w:val="0"/>
        <w:snapToGrid w:val="0"/>
        <w:spacing w:before="0" w:after="0" w:line="430" w:lineRule="atLeast"/>
        <w:ind w:firstLine="643" w:firstLineChars="200"/>
        <w:rPr>
          <w:rFonts w:cs="Times New Roman"/>
          <w:b w:val="0"/>
          <w:bCs w:val="0"/>
        </w:rPr>
      </w:pPr>
      <w:bookmarkStart w:id="9" w:name="_Toc20744"/>
      <w:r>
        <w:rPr>
          <w:rFonts w:hint="eastAsia" w:cs="宋体"/>
        </w:rPr>
        <w:t>三、</w:t>
      </w:r>
      <w:r>
        <w:rPr>
          <w:rFonts w:hint="eastAsia" w:ascii="黑体" w:eastAsia="黑体" w:cs="黑体"/>
          <w:b w:val="0"/>
          <w:bCs w:val="0"/>
        </w:rPr>
        <w:t>估价目的</w:t>
      </w:r>
      <w:r>
        <w:rPr>
          <w:rFonts w:hint="eastAsia" w:cs="宋体"/>
          <w:b w:val="0"/>
          <w:bCs w:val="0"/>
        </w:rPr>
        <w:t>：</w:t>
      </w:r>
      <w:bookmarkEnd w:id="9"/>
    </w:p>
    <w:p>
      <w:pPr>
        <w:adjustRightInd w:val="0"/>
        <w:snapToGrid w:val="0"/>
        <w:spacing w:line="430" w:lineRule="atLeast"/>
        <w:ind w:firstLine="560" w:firstLineChars="200"/>
        <w:rPr>
          <w:rFonts w:ascii="仿宋_GB2312" w:eastAsia="仿宋_GB2312"/>
          <w:sz w:val="28"/>
          <w:szCs w:val="28"/>
        </w:rPr>
      </w:pPr>
      <w:r>
        <w:rPr>
          <w:rFonts w:hint="eastAsia" w:ascii="仿宋_GB2312" w:eastAsia="仿宋_GB2312" w:cs="仿宋_GB2312"/>
          <w:sz w:val="28"/>
          <w:szCs w:val="28"/>
        </w:rPr>
        <w:t>为人民法院确定财产处置参考价提供参考依据</w:t>
      </w:r>
    </w:p>
    <w:p>
      <w:pPr>
        <w:pStyle w:val="3"/>
        <w:keepNext w:val="0"/>
        <w:keepLines w:val="0"/>
        <w:adjustRightInd w:val="0"/>
        <w:snapToGrid w:val="0"/>
        <w:spacing w:before="0" w:after="0" w:line="430" w:lineRule="atLeast"/>
        <w:ind w:firstLine="640" w:firstLineChars="200"/>
        <w:rPr>
          <w:rFonts w:eastAsia="黑体" w:cs="Times New Roman"/>
        </w:rPr>
      </w:pPr>
      <w:bookmarkStart w:id="10" w:name="_Toc30053"/>
      <w:r>
        <w:rPr>
          <w:rFonts w:hint="eastAsia" w:eastAsia="黑体" w:cs="黑体"/>
          <w:b w:val="0"/>
          <w:bCs w:val="0"/>
        </w:rPr>
        <w:t>四</w:t>
      </w:r>
      <w:r>
        <w:rPr>
          <w:rFonts w:hint="eastAsia" w:cs="宋体"/>
          <w:b w:val="0"/>
          <w:bCs w:val="0"/>
        </w:rPr>
        <w:t>、</w:t>
      </w:r>
      <w:r>
        <w:rPr>
          <w:rFonts w:hint="eastAsia" w:eastAsia="黑体" w:cs="黑体"/>
          <w:b w:val="0"/>
          <w:bCs w:val="0"/>
        </w:rPr>
        <w:t>估价对象</w:t>
      </w:r>
      <w:r>
        <w:rPr>
          <w:rFonts w:hint="eastAsia" w:eastAsia="黑体" w:cs="黑体"/>
        </w:rPr>
        <w:t>：</w:t>
      </w:r>
      <w:bookmarkEnd w:id="10"/>
    </w:p>
    <w:p>
      <w:pPr>
        <w:adjustRightInd w:val="0"/>
        <w:snapToGrid w:val="0"/>
        <w:spacing w:line="430" w:lineRule="atLeast"/>
        <w:ind w:left="105" w:leftChars="50" w:firstLine="562" w:firstLineChars="200"/>
        <w:rPr>
          <w:rFonts w:ascii="仿宋_GB2312" w:eastAsia="仿宋_GB2312" w:cs="仿宋_GB2312"/>
          <w:b/>
          <w:bCs/>
          <w:sz w:val="28"/>
          <w:szCs w:val="28"/>
        </w:rPr>
      </w:pPr>
      <w:r>
        <w:rPr>
          <w:rFonts w:ascii="仿宋_GB2312" w:eastAsia="仿宋_GB2312" w:cs="仿宋_GB2312"/>
          <w:b/>
          <w:bCs/>
          <w:sz w:val="28"/>
          <w:szCs w:val="28"/>
        </w:rPr>
        <w:t>1</w:t>
      </w:r>
      <w:r>
        <w:rPr>
          <w:rFonts w:hint="eastAsia" w:ascii="仿宋_GB2312" w:eastAsia="仿宋_GB2312" w:cs="仿宋_GB2312"/>
          <w:b/>
          <w:bCs/>
          <w:sz w:val="28"/>
          <w:szCs w:val="28"/>
        </w:rPr>
        <w:t>、区位状况：</w:t>
      </w:r>
    </w:p>
    <w:p>
      <w:pPr>
        <w:adjustRightInd w:val="0"/>
        <w:snapToGrid w:val="0"/>
        <w:spacing w:line="460" w:lineRule="atLeast"/>
        <w:ind w:firstLine="560" w:firstLineChars="200"/>
        <w:rPr>
          <w:rFonts w:ascii="仿宋_GB2312" w:eastAsia="仿宋_GB2312"/>
          <w:sz w:val="28"/>
          <w:szCs w:val="28"/>
        </w:rPr>
      </w:pPr>
      <w:r>
        <w:rPr>
          <w:rFonts w:hint="eastAsia" w:ascii="仿宋_GB2312" w:eastAsia="仿宋_GB2312" w:cs="仿宋_GB2312"/>
          <w:sz w:val="28"/>
          <w:szCs w:val="28"/>
        </w:rPr>
        <w:t>估价对象所在的建筑物坐落于洮南市团结街道清真西路（玫瑰园小区一期13号楼），估价对象所在小区东临府城北街、西临兴安北街、南临繁荣西路、北临清真西路，估价对象距洮南市实验小学约35</w:t>
      </w:r>
      <w:r>
        <w:rPr>
          <w:rFonts w:ascii="仿宋_GB2312" w:eastAsia="仿宋_GB2312" w:cs="仿宋_GB2312"/>
          <w:sz w:val="28"/>
          <w:szCs w:val="28"/>
        </w:rPr>
        <w:t>0</w:t>
      </w:r>
      <w:r>
        <w:rPr>
          <w:rFonts w:hint="eastAsia" w:ascii="仿宋_GB2312" w:eastAsia="仿宋_GB2312" w:cs="仿宋_GB2312"/>
          <w:sz w:val="28"/>
          <w:szCs w:val="28"/>
        </w:rPr>
        <w:t>米、距离洮南市第一幼儿园约45</w:t>
      </w:r>
      <w:r>
        <w:rPr>
          <w:rFonts w:ascii="仿宋_GB2312" w:eastAsia="仿宋_GB2312" w:cs="仿宋_GB2312"/>
          <w:sz w:val="28"/>
          <w:szCs w:val="28"/>
        </w:rPr>
        <w:t>0</w:t>
      </w:r>
      <w:r>
        <w:rPr>
          <w:rFonts w:hint="eastAsia" w:ascii="仿宋_GB2312" w:eastAsia="仿宋_GB2312" w:cs="仿宋_GB2312"/>
          <w:sz w:val="28"/>
          <w:szCs w:val="28"/>
        </w:rPr>
        <w:t>米、距离洮南市农业局约2</w:t>
      </w:r>
      <w:r>
        <w:rPr>
          <w:rFonts w:ascii="仿宋_GB2312" w:eastAsia="仿宋_GB2312" w:cs="仿宋_GB2312"/>
          <w:sz w:val="28"/>
          <w:szCs w:val="28"/>
        </w:rPr>
        <w:t>00</w:t>
      </w:r>
      <w:r>
        <w:rPr>
          <w:rFonts w:hint="eastAsia" w:ascii="仿宋_GB2312" w:eastAsia="仿宋_GB2312" w:cs="仿宋_GB2312"/>
          <w:sz w:val="28"/>
          <w:szCs w:val="28"/>
        </w:rPr>
        <w:t>米、距离洮南市九中850米、距离洮南市第一小学约650米、距离洮南市四中约900米。</w:t>
      </w:r>
    </w:p>
    <w:p>
      <w:pPr>
        <w:adjustRightInd w:val="0"/>
        <w:snapToGrid w:val="0"/>
        <w:spacing w:line="460" w:lineRule="atLeast"/>
        <w:ind w:left="105" w:leftChars="50" w:firstLine="560" w:firstLineChars="200"/>
        <w:rPr>
          <w:rFonts w:ascii="仿宋_GB2312" w:eastAsia="仿宋_GB2312"/>
          <w:sz w:val="28"/>
          <w:szCs w:val="28"/>
        </w:rPr>
      </w:pPr>
      <w:r>
        <w:rPr>
          <w:rFonts w:hint="eastAsia" w:ascii="仿宋_GB2312" w:eastAsia="仿宋_GB2312" w:cs="仿宋_GB2312"/>
          <w:sz w:val="28"/>
          <w:szCs w:val="28"/>
        </w:rPr>
        <w:t>估价对象附近主要有兴安家园、明秀家园、园丁花园、关东小区、商贸小区、兴海花园等一定规模的居住小区。估价对象小区属于半封闭小区、小区大门临府城北街，附近公共交通便捷度较高。</w:t>
      </w:r>
    </w:p>
    <w:p>
      <w:pPr>
        <w:adjustRightInd w:val="0"/>
        <w:snapToGrid w:val="0"/>
        <w:spacing w:line="460" w:lineRule="atLeast"/>
        <w:ind w:left="105" w:leftChars="50" w:firstLine="560" w:firstLineChars="200"/>
        <w:rPr>
          <w:rFonts w:ascii="仿宋_GB2312" w:eastAsia="仿宋_GB2312"/>
          <w:sz w:val="28"/>
          <w:szCs w:val="28"/>
        </w:rPr>
      </w:pPr>
      <w:r>
        <w:rPr>
          <w:rFonts w:hint="eastAsia" w:ascii="仿宋_GB2312" w:eastAsia="仿宋_GB2312" w:cs="仿宋_GB2312"/>
          <w:sz w:val="28"/>
          <w:szCs w:val="28"/>
        </w:rPr>
        <w:t>附近的公共建筑主要有洮南市实验小学、洮南市第一幼儿园、洮南市农业局、农业银行、关东农贸商城、洮南市九中、洮南市第一小学、洮南市四中等。</w:t>
      </w:r>
      <w:r>
        <w:rPr>
          <w:rFonts w:hint="eastAsia" w:ascii="仿宋_GB2312" w:eastAsia="仿宋_GB2312"/>
          <w:sz w:val="28"/>
          <w:szCs w:val="28"/>
        </w:rPr>
        <w:t xml:space="preserve"> </w:t>
      </w:r>
    </w:p>
    <w:p>
      <w:pPr>
        <w:adjustRightInd w:val="0"/>
        <w:snapToGrid w:val="0"/>
        <w:spacing w:line="430" w:lineRule="atLeast"/>
        <w:ind w:left="50" w:leftChars="24" w:firstLine="562" w:firstLineChars="200"/>
        <w:rPr>
          <w:rFonts w:ascii="仿宋_GB2312" w:eastAsia="仿宋_GB2312"/>
          <w:b/>
          <w:bCs/>
          <w:sz w:val="28"/>
          <w:szCs w:val="28"/>
        </w:rPr>
      </w:pPr>
      <w:r>
        <w:rPr>
          <w:rFonts w:ascii="仿宋_GB2312" w:eastAsia="仿宋_GB2312" w:cs="仿宋_GB2312"/>
          <w:b/>
          <w:bCs/>
          <w:sz w:val="28"/>
          <w:szCs w:val="28"/>
        </w:rPr>
        <w:t>2</w:t>
      </w:r>
      <w:r>
        <w:rPr>
          <w:rFonts w:hint="eastAsia" w:ascii="仿宋_GB2312" w:eastAsia="仿宋_GB2312" w:cs="仿宋_GB2312"/>
          <w:b/>
          <w:bCs/>
          <w:sz w:val="28"/>
          <w:szCs w:val="28"/>
        </w:rPr>
        <w:t>、估价对象权益及实物状况：</w:t>
      </w:r>
    </w:p>
    <w:p>
      <w:pPr>
        <w:adjustRightInd w:val="0"/>
        <w:snapToGrid w:val="0"/>
        <w:spacing w:line="430" w:lineRule="atLeast"/>
        <w:ind w:left="50" w:firstLine="560" w:firstLineChars="200"/>
        <w:rPr>
          <w:rFonts w:ascii="仿宋_GB2312" w:hAnsi="宋体" w:eastAsia="仿宋_GB2312" w:cs="仿宋_GB2312"/>
          <w:sz w:val="28"/>
          <w:szCs w:val="28"/>
        </w:rPr>
      </w:pPr>
      <w:r>
        <w:rPr>
          <w:rFonts w:hint="eastAsia" w:ascii="仿宋_GB2312" w:eastAsia="仿宋_GB2312" w:cs="仿宋_GB2312"/>
          <w:sz w:val="28"/>
          <w:szCs w:val="28"/>
        </w:rPr>
        <w:t>根据委托方提供的《</w:t>
      </w:r>
      <w:r>
        <w:rPr>
          <w:rFonts w:hint="eastAsia" w:ascii="仿宋_GB2312" w:hAnsi="宋体" w:eastAsia="仿宋_GB2312" w:cs="仿宋_GB2312"/>
          <w:sz w:val="28"/>
          <w:szCs w:val="28"/>
        </w:rPr>
        <w:t>吉林省洮南市人民法院评估委托书</w:t>
      </w:r>
      <w:r>
        <w:rPr>
          <w:rFonts w:hint="eastAsia" w:ascii="仿宋_GB2312" w:eastAsia="仿宋_GB2312" w:cs="仿宋_GB2312"/>
          <w:sz w:val="28"/>
          <w:szCs w:val="28"/>
        </w:rPr>
        <w:t>》、《吉林省洮南市人民法院执行裁定书》</w:t>
      </w:r>
      <w:r>
        <w:rPr>
          <w:rFonts w:hint="eastAsia" w:ascii="仿宋_GB2312" w:hAnsi="宋体" w:eastAsia="仿宋_GB2312" w:cs="仿宋_GB2312"/>
          <w:sz w:val="28"/>
          <w:szCs w:val="28"/>
        </w:rPr>
        <w:t>及</w:t>
      </w:r>
      <w:r>
        <w:rPr>
          <w:rFonts w:hint="eastAsia" w:ascii="仿宋_GB2312" w:eastAsia="仿宋_GB2312" w:cs="仿宋_GB2312"/>
          <w:sz w:val="28"/>
          <w:szCs w:val="28"/>
        </w:rPr>
        <w:t>《不动产登记信息查询单》等资料的记载，</w:t>
      </w:r>
      <w:r>
        <w:rPr>
          <w:rFonts w:hint="eastAsia" w:ascii="仿宋_GB2312" w:hAnsi="宋体" w:eastAsia="仿宋_GB2312" w:cs="仿宋_GB2312"/>
          <w:sz w:val="28"/>
          <w:szCs w:val="28"/>
        </w:rPr>
        <w:t>估价对象因申请人洮南市永晟城乡基础设施投资建设有限公司与被申请人洮南市宏业房地产开发有限公司因借款合同纠纷一案所涉及的三户房地产。</w:t>
      </w:r>
    </w:p>
    <w:p>
      <w:pPr>
        <w:adjustRightInd w:val="0"/>
        <w:snapToGrid w:val="0"/>
        <w:spacing w:line="430" w:lineRule="atLeast"/>
        <w:ind w:left="50" w:firstLine="560" w:firstLineChars="200"/>
        <w:rPr>
          <w:rFonts w:ascii="仿宋_GB2312" w:eastAsia="仿宋_GB2312" w:cs="仿宋_GB2312"/>
          <w:sz w:val="28"/>
          <w:szCs w:val="28"/>
        </w:rPr>
      </w:pPr>
      <w:r>
        <w:rPr>
          <w:rFonts w:hint="eastAsia" w:ascii="仿宋_GB2312" w:hAnsi="宋体" w:eastAsia="仿宋_GB2312" w:cs="仿宋_GB2312"/>
          <w:sz w:val="28"/>
          <w:szCs w:val="28"/>
        </w:rPr>
        <w:t>估价对象三户房地产的</w:t>
      </w:r>
      <w:r>
        <w:rPr>
          <w:rFonts w:hint="eastAsia" w:ascii="仿宋_GB2312" w:eastAsia="仿宋_GB2312" w:cs="仿宋_GB2312"/>
          <w:sz w:val="28"/>
          <w:szCs w:val="28"/>
        </w:rPr>
        <w:t>权利人为洮南市宏业房地产开发有限公司，权证号为吉（2020）洮南市不动产权第0000683号，</w:t>
      </w:r>
      <w:r>
        <w:rPr>
          <w:rFonts w:hint="eastAsia" w:ascii="仿宋_GB2312" w:hAnsi="宋体" w:eastAsia="仿宋_GB2312" w:cs="仿宋_GB2312"/>
          <w:sz w:val="28"/>
          <w:szCs w:val="28"/>
        </w:rPr>
        <w:t>详细情况如下</w:t>
      </w:r>
      <w:r>
        <w:rPr>
          <w:rFonts w:hint="eastAsia" w:ascii="仿宋_GB2312" w:eastAsia="仿宋_GB2312" w:cs="仿宋_GB2312"/>
          <w:sz w:val="28"/>
          <w:szCs w:val="28"/>
        </w:rPr>
        <w:t>：</w:t>
      </w:r>
    </w:p>
    <w:p>
      <w:pPr>
        <w:numPr>
          <w:ilvl w:val="0"/>
          <w:numId w:val="1"/>
        </w:numPr>
        <w:adjustRightInd w:val="0"/>
        <w:snapToGrid w:val="0"/>
        <w:spacing w:line="430" w:lineRule="atLeast"/>
        <w:ind w:left="50" w:firstLine="560" w:firstLineChars="200"/>
        <w:rPr>
          <w:rFonts w:ascii="仿宋_GB2312" w:eastAsia="仿宋_GB2312" w:cs="仿宋_GB2312"/>
          <w:sz w:val="28"/>
          <w:szCs w:val="28"/>
        </w:rPr>
      </w:pPr>
      <w:r>
        <w:rPr>
          <w:rFonts w:hint="eastAsia" w:ascii="仿宋_GB2312" w:eastAsia="仿宋_GB2312" w:cs="仿宋_GB2312"/>
          <w:sz w:val="28"/>
          <w:szCs w:val="28"/>
        </w:rPr>
        <w:t>、坐落于洮南市团结街道清真西路（玫瑰园小区一期13号楼）1单元602室，不动产单元号为220881 005008 GB0004 F00050012，用途为成套住宅，房屋建筑面积为70.28平方米，混合结构，总层数为6层、所在层数为6层；估价对象国有土地使用权期限2010-05-26起2060-05-26止。估价对象南北朝向，室内毛坯，未能进入。</w:t>
      </w:r>
    </w:p>
    <w:p>
      <w:pPr>
        <w:numPr>
          <w:ilvl w:val="0"/>
          <w:numId w:val="1"/>
        </w:numPr>
        <w:adjustRightInd w:val="0"/>
        <w:snapToGrid w:val="0"/>
        <w:spacing w:line="430" w:lineRule="atLeast"/>
        <w:ind w:left="50" w:firstLine="560" w:firstLineChars="200"/>
        <w:rPr>
          <w:rFonts w:ascii="仿宋_GB2312" w:eastAsia="仿宋_GB2312" w:cs="仿宋_GB2312"/>
          <w:color w:val="000000" w:themeColor="text1"/>
          <w:sz w:val="28"/>
          <w:szCs w:val="28"/>
        </w:rPr>
      </w:pPr>
      <w:r>
        <w:rPr>
          <w:rFonts w:hint="eastAsia" w:ascii="仿宋_GB2312" w:eastAsia="仿宋_GB2312" w:cs="仿宋_GB2312"/>
          <w:sz w:val="28"/>
          <w:szCs w:val="28"/>
        </w:rPr>
        <w:t xml:space="preserve">、坐落于洮南市团结街道清真西路（玫瑰园小区一期13号楼）4单元601室，不动产单元号为220881 005008 GB0004 F00050045，用途为成套住宅，房屋建筑面积为65.69平方米，混合结构，总层数为6层、所在层数为6层；估价对象国有土地使用权期限2010-05-26起2060-05-26止。估价对象南北朝向，室内毛坯，未能进入。 </w:t>
      </w:r>
    </w:p>
    <w:p>
      <w:pPr>
        <w:numPr>
          <w:ilvl w:val="0"/>
          <w:numId w:val="1"/>
        </w:numPr>
        <w:adjustRightInd w:val="0"/>
        <w:snapToGrid w:val="0"/>
        <w:spacing w:line="430" w:lineRule="atLeast"/>
        <w:ind w:left="50" w:firstLine="560" w:firstLineChars="200"/>
        <w:rPr>
          <w:rFonts w:ascii="仿宋_GB2312" w:eastAsia="仿宋_GB2312" w:cs="仿宋_GB2312"/>
          <w:color w:val="000000" w:themeColor="text1"/>
          <w:sz w:val="28"/>
          <w:szCs w:val="28"/>
        </w:rPr>
      </w:pPr>
      <w:r>
        <w:rPr>
          <w:rFonts w:hint="eastAsia" w:ascii="仿宋_GB2312" w:eastAsia="仿宋_GB2312" w:cs="仿宋_GB2312"/>
          <w:sz w:val="28"/>
          <w:szCs w:val="28"/>
        </w:rPr>
        <w:t xml:space="preserve">、坐落于洮南市团结街道清真西路（玫瑰园小区一期13号楼）5单元601室，不动产单元号为220881 005008 GB0004 F00050053，用途为成套住宅，房屋建筑面积为75.66平方米，混合结构，总层数为6层、所在层数为6层；估价对象国有土地使用权期限2010-05-26起2060-05-26止。估价对象南北朝向，通过三楼缓台进入单元门，室内毛坯，未能进入。 </w:t>
      </w:r>
    </w:p>
    <w:p>
      <w:pPr>
        <w:pStyle w:val="3"/>
        <w:keepNext w:val="0"/>
        <w:keepLines w:val="0"/>
        <w:adjustRightInd w:val="0"/>
        <w:snapToGrid w:val="0"/>
        <w:spacing w:before="0" w:after="0" w:line="430" w:lineRule="atLeast"/>
        <w:ind w:firstLine="640" w:firstLineChars="200"/>
        <w:rPr>
          <w:rFonts w:cs="Times New Roman"/>
        </w:rPr>
      </w:pPr>
      <w:bookmarkStart w:id="11" w:name="_Toc19924"/>
      <w:r>
        <w:rPr>
          <w:rFonts w:hint="eastAsia" w:eastAsia="黑体" w:cs="黑体"/>
          <w:b w:val="0"/>
          <w:bCs w:val="0"/>
        </w:rPr>
        <w:t>五</w:t>
      </w:r>
      <w:r>
        <w:rPr>
          <w:rFonts w:hint="eastAsia" w:cs="宋体"/>
          <w:b w:val="0"/>
          <w:bCs w:val="0"/>
        </w:rPr>
        <w:t>、</w:t>
      </w:r>
      <w:r>
        <w:rPr>
          <w:rFonts w:hint="eastAsia" w:eastAsia="黑体" w:cs="黑体"/>
          <w:b w:val="0"/>
          <w:bCs w:val="0"/>
        </w:rPr>
        <w:t>价值时点</w:t>
      </w:r>
      <w:r>
        <w:rPr>
          <w:rFonts w:hint="eastAsia" w:cs="宋体"/>
          <w:b w:val="0"/>
          <w:bCs w:val="0"/>
        </w:rPr>
        <w:t>：</w:t>
      </w:r>
      <w:bookmarkEnd w:id="11"/>
    </w:p>
    <w:p>
      <w:pPr>
        <w:adjustRightInd w:val="0"/>
        <w:snapToGrid w:val="0"/>
        <w:spacing w:line="430" w:lineRule="atLeast"/>
        <w:ind w:left="50" w:leftChars="24" w:firstLine="560" w:firstLineChars="200"/>
        <w:rPr>
          <w:rFonts w:ascii="仿宋_GB2312" w:eastAsia="仿宋_GB2312"/>
          <w:sz w:val="28"/>
          <w:szCs w:val="28"/>
        </w:rPr>
      </w:pPr>
      <w:r>
        <w:rPr>
          <w:rFonts w:hint="eastAsia" w:ascii="仿宋_GB2312" w:eastAsia="仿宋_GB2312" w:cs="仿宋_GB2312"/>
          <w:sz w:val="28"/>
          <w:szCs w:val="28"/>
        </w:rPr>
        <w:t>价值时点是2022年07月25日（现场勘查之日）</w:t>
      </w:r>
    </w:p>
    <w:p>
      <w:pPr>
        <w:pStyle w:val="3"/>
        <w:keepNext w:val="0"/>
        <w:keepLines w:val="0"/>
        <w:adjustRightInd w:val="0"/>
        <w:snapToGrid w:val="0"/>
        <w:spacing w:before="0" w:after="0" w:line="430" w:lineRule="atLeast"/>
        <w:ind w:firstLine="640" w:firstLineChars="200"/>
        <w:rPr>
          <w:rFonts w:cs="Times New Roman"/>
          <w:b w:val="0"/>
          <w:bCs w:val="0"/>
        </w:rPr>
      </w:pPr>
      <w:bookmarkStart w:id="12" w:name="_Toc31842"/>
      <w:r>
        <w:rPr>
          <w:rFonts w:hint="eastAsia" w:eastAsia="黑体" w:cs="黑体"/>
          <w:b w:val="0"/>
          <w:bCs w:val="0"/>
        </w:rPr>
        <w:t>六</w:t>
      </w:r>
      <w:r>
        <w:rPr>
          <w:rFonts w:hint="eastAsia" w:cs="宋体"/>
          <w:b w:val="0"/>
          <w:bCs w:val="0"/>
        </w:rPr>
        <w:t>、</w:t>
      </w:r>
      <w:r>
        <w:rPr>
          <w:rFonts w:hint="eastAsia" w:eastAsia="黑体" w:cs="黑体"/>
          <w:b w:val="0"/>
          <w:bCs w:val="0"/>
        </w:rPr>
        <w:t>估价依据</w:t>
      </w:r>
      <w:r>
        <w:rPr>
          <w:rFonts w:hint="eastAsia" w:cs="宋体"/>
          <w:b w:val="0"/>
          <w:bCs w:val="0"/>
        </w:rPr>
        <w:t>：</w:t>
      </w:r>
      <w:bookmarkEnd w:id="12"/>
    </w:p>
    <w:p>
      <w:pPr>
        <w:adjustRightInd w:val="0"/>
        <w:snapToGrid w:val="0"/>
        <w:spacing w:line="430" w:lineRule="atLeast"/>
        <w:ind w:left="50" w:firstLine="560" w:firstLineChars="200"/>
        <w:rPr>
          <w:rFonts w:ascii="仿宋_GB2312" w:eastAsia="仿宋_GB2312"/>
          <w:sz w:val="28"/>
          <w:szCs w:val="28"/>
        </w:rPr>
      </w:pPr>
      <w:r>
        <w:rPr>
          <w:rFonts w:hint="eastAsia" w:ascii="仿宋_GB2312" w:eastAsia="仿宋_GB2312" w:cs="仿宋_GB2312"/>
          <w:sz w:val="28"/>
          <w:szCs w:val="28"/>
        </w:rPr>
        <w:t>（一）法律依据</w:t>
      </w:r>
    </w:p>
    <w:p>
      <w:pPr>
        <w:adjustRightInd w:val="0"/>
        <w:snapToGrid w:val="0"/>
        <w:spacing w:line="430" w:lineRule="atLeast"/>
        <w:ind w:left="50" w:firstLine="560" w:firstLineChars="200"/>
        <w:rPr>
          <w:rFonts w:ascii="仿宋_GB2312" w:hAnsi="宋体" w:eastAsia="仿宋_GB2312"/>
          <w:sz w:val="28"/>
          <w:szCs w:val="28"/>
        </w:rPr>
      </w:pPr>
      <w:r>
        <w:rPr>
          <w:rFonts w:ascii="仿宋_GB2312" w:eastAsia="仿宋_GB2312" w:cs="仿宋_GB2312"/>
          <w:sz w:val="28"/>
          <w:szCs w:val="28"/>
        </w:rPr>
        <w:t>1</w:t>
      </w:r>
      <w:r>
        <w:rPr>
          <w:rFonts w:hint="eastAsia" w:ascii="仿宋_GB2312" w:hAnsi="宋体" w:eastAsia="仿宋_GB2312" w:cs="仿宋_GB2312"/>
          <w:sz w:val="28"/>
          <w:szCs w:val="28"/>
        </w:rPr>
        <w:t>、《中华人民共和国物权法》（</w:t>
      </w:r>
      <w:r>
        <w:rPr>
          <w:rFonts w:ascii="仿宋_GB2312" w:hAnsi="宋体" w:eastAsia="仿宋_GB2312" w:cs="仿宋_GB2312"/>
          <w:sz w:val="28"/>
          <w:szCs w:val="28"/>
        </w:rPr>
        <w:t>2007</w:t>
      </w:r>
      <w:r>
        <w:rPr>
          <w:rFonts w:hint="eastAsia" w:ascii="仿宋_GB2312" w:hAnsi="宋体" w:eastAsia="仿宋_GB2312" w:cs="仿宋_GB2312"/>
          <w:sz w:val="28"/>
          <w:szCs w:val="28"/>
        </w:rPr>
        <w:t>年</w:t>
      </w:r>
      <w:r>
        <w:rPr>
          <w:rFonts w:ascii="仿宋_GB2312" w:hAnsi="宋体" w:eastAsia="仿宋_GB2312" w:cs="仿宋_GB2312"/>
          <w:sz w:val="28"/>
          <w:szCs w:val="28"/>
        </w:rPr>
        <w:t>3</w:t>
      </w:r>
      <w:r>
        <w:rPr>
          <w:rFonts w:hint="eastAsia" w:ascii="仿宋_GB2312" w:hAnsi="宋体" w:eastAsia="仿宋_GB2312" w:cs="仿宋_GB2312"/>
          <w:sz w:val="28"/>
          <w:szCs w:val="28"/>
        </w:rPr>
        <w:t>月</w:t>
      </w:r>
      <w:r>
        <w:rPr>
          <w:rFonts w:ascii="仿宋_GB2312" w:hAnsi="宋体" w:eastAsia="仿宋_GB2312" w:cs="仿宋_GB2312"/>
          <w:sz w:val="28"/>
          <w:szCs w:val="28"/>
        </w:rPr>
        <w:t>16</w:t>
      </w:r>
      <w:r>
        <w:rPr>
          <w:rFonts w:hint="eastAsia" w:ascii="仿宋_GB2312" w:hAnsi="宋体" w:eastAsia="仿宋_GB2312" w:cs="仿宋_GB2312"/>
          <w:sz w:val="28"/>
          <w:szCs w:val="28"/>
        </w:rPr>
        <w:t>日中华人民共和国主席</w:t>
      </w:r>
      <w:r>
        <w:rPr>
          <w:rFonts w:ascii="仿宋_GB2312" w:hAnsi="宋体" w:eastAsia="仿宋_GB2312" w:cs="仿宋_GB2312"/>
          <w:sz w:val="28"/>
          <w:szCs w:val="28"/>
        </w:rPr>
        <w:t>62</w:t>
      </w:r>
      <w:r>
        <w:rPr>
          <w:rFonts w:hint="eastAsia" w:ascii="仿宋_GB2312" w:hAnsi="宋体" w:eastAsia="仿宋_GB2312" w:cs="仿宋_GB2312"/>
          <w:sz w:val="28"/>
          <w:szCs w:val="28"/>
        </w:rPr>
        <w:t>号公布，</w:t>
      </w:r>
      <w:r>
        <w:rPr>
          <w:rFonts w:ascii="仿宋_GB2312" w:hAnsi="宋体" w:eastAsia="仿宋_GB2312" w:cs="仿宋_GB2312"/>
          <w:sz w:val="28"/>
          <w:szCs w:val="28"/>
        </w:rPr>
        <w:t>2007</w:t>
      </w:r>
      <w:r>
        <w:rPr>
          <w:rFonts w:hint="eastAsia" w:ascii="仿宋_GB2312" w:hAnsi="宋体" w:eastAsia="仿宋_GB2312" w:cs="仿宋_GB2312"/>
          <w:sz w:val="28"/>
          <w:szCs w:val="28"/>
        </w:rPr>
        <w:t>年</w:t>
      </w:r>
      <w:r>
        <w:rPr>
          <w:rFonts w:ascii="仿宋_GB2312" w:hAnsi="宋体" w:eastAsia="仿宋_GB2312" w:cs="仿宋_GB2312"/>
          <w:sz w:val="28"/>
          <w:szCs w:val="28"/>
        </w:rPr>
        <w:t>10</w:t>
      </w:r>
      <w:r>
        <w:rPr>
          <w:rFonts w:hint="eastAsia" w:ascii="仿宋_GB2312" w:hAnsi="宋体" w:eastAsia="仿宋_GB2312" w:cs="仿宋_GB2312"/>
          <w:sz w:val="28"/>
          <w:szCs w:val="28"/>
        </w:rPr>
        <w:t>月</w:t>
      </w:r>
      <w:r>
        <w:rPr>
          <w:rFonts w:ascii="仿宋_GB2312" w:hAnsi="宋体" w:eastAsia="仿宋_GB2312" w:cs="仿宋_GB2312"/>
          <w:sz w:val="28"/>
          <w:szCs w:val="28"/>
        </w:rPr>
        <w:t>1</w:t>
      </w:r>
      <w:r>
        <w:rPr>
          <w:rFonts w:hint="eastAsia" w:ascii="仿宋_GB2312" w:hAnsi="宋体" w:eastAsia="仿宋_GB2312" w:cs="仿宋_GB2312"/>
          <w:sz w:val="28"/>
          <w:szCs w:val="28"/>
        </w:rPr>
        <w:t>日施行）</w:t>
      </w:r>
    </w:p>
    <w:p>
      <w:pPr>
        <w:adjustRightInd w:val="0"/>
        <w:snapToGrid w:val="0"/>
        <w:spacing w:line="430" w:lineRule="atLeast"/>
        <w:ind w:left="50" w:firstLine="560" w:firstLineChars="200"/>
        <w:jc w:val="left"/>
        <w:rPr>
          <w:rFonts w:ascii="仿宋_GB2312" w:hAnsi="宋体" w:eastAsia="仿宋_GB2312"/>
          <w:sz w:val="28"/>
          <w:szCs w:val="28"/>
        </w:rPr>
      </w:pPr>
      <w:r>
        <w:rPr>
          <w:rFonts w:hint="eastAsia" w:ascii="仿宋_GB2312" w:eastAsia="仿宋_GB2312"/>
          <w:sz w:val="28"/>
          <w:szCs w:val="28"/>
        </w:rPr>
        <w:t>2</w:t>
      </w:r>
      <w:r>
        <w:rPr>
          <w:rFonts w:hint="eastAsia" w:ascii="仿宋_GB2312" w:hAnsi="宋体" w:eastAsia="仿宋_GB2312"/>
          <w:sz w:val="28"/>
          <w:szCs w:val="28"/>
        </w:rPr>
        <w:t>、《中华人民共和国城市房地产管理法》（中华人民共和国主席29号，</w:t>
      </w:r>
      <w:r>
        <w:rPr>
          <w:rFonts w:hint="eastAsia" w:ascii="仿宋_GB2312" w:eastAsia="仿宋_GB2312"/>
          <w:color w:val="000000"/>
          <w:sz w:val="28"/>
          <w:szCs w:val="28"/>
          <w:shd w:val="clear" w:color="auto" w:fill="FFFFFF"/>
        </w:rPr>
        <w:t>根据2019年8月26日第十三届全国人民代表大会常务委员会第十二次会议《关于修改 〈中华人民共和国城市房地产管理法〉的决定》第三次修正</w:t>
      </w:r>
      <w:r>
        <w:rPr>
          <w:rFonts w:hint="eastAsia" w:ascii="仿宋_GB2312" w:hAnsi="宋体" w:eastAsia="仿宋_GB2312"/>
          <w:sz w:val="28"/>
          <w:szCs w:val="28"/>
        </w:rPr>
        <w:t>）</w:t>
      </w:r>
    </w:p>
    <w:p>
      <w:pPr>
        <w:adjustRightInd w:val="0"/>
        <w:snapToGrid w:val="0"/>
        <w:spacing w:line="430" w:lineRule="atLeast"/>
        <w:ind w:left="50" w:firstLine="560" w:firstLineChars="200"/>
        <w:jc w:val="left"/>
        <w:rPr>
          <w:rFonts w:ascii="仿宋_GB2312" w:hAnsi="宋体" w:eastAsia="仿宋_GB2312"/>
          <w:sz w:val="28"/>
          <w:szCs w:val="28"/>
        </w:rPr>
      </w:pPr>
      <w:r>
        <w:rPr>
          <w:rFonts w:hint="eastAsia" w:ascii="仿宋_GB2312" w:hAnsi="宋体" w:eastAsia="仿宋_GB2312"/>
          <w:sz w:val="28"/>
          <w:szCs w:val="28"/>
        </w:rPr>
        <w:t>3、《中华人民共和国土地管理法》（</w:t>
      </w:r>
      <w:r>
        <w:rPr>
          <w:rFonts w:hint="eastAsia" w:ascii="仿宋_GB2312" w:eastAsia="仿宋_GB2312"/>
          <w:color w:val="000000"/>
          <w:sz w:val="28"/>
          <w:szCs w:val="28"/>
          <w:shd w:val="clear" w:color="auto" w:fill="FFFFFF"/>
        </w:rPr>
        <w:t>根据2019年8月26日第十三届全国人民代表大会常务委员会第十二次会议《关于修改〈中华人民共和国土地管理法〉的决定》第三次修正</w:t>
      </w:r>
      <w:r>
        <w:rPr>
          <w:rFonts w:hint="eastAsia" w:ascii="仿宋_GB2312" w:hAnsi="宋体" w:eastAsia="仿宋_GB2312"/>
          <w:sz w:val="28"/>
          <w:szCs w:val="28"/>
        </w:rPr>
        <w:t>》）</w:t>
      </w:r>
    </w:p>
    <w:p>
      <w:pPr>
        <w:adjustRightInd w:val="0"/>
        <w:snapToGrid w:val="0"/>
        <w:spacing w:line="430" w:lineRule="atLeast"/>
        <w:ind w:left="50" w:firstLine="560" w:firstLineChars="200"/>
        <w:rPr>
          <w:rFonts w:ascii="仿宋_GB2312" w:hAnsi="宋体" w:eastAsia="仿宋_GB2312"/>
          <w:sz w:val="28"/>
          <w:szCs w:val="28"/>
        </w:rPr>
      </w:pPr>
      <w:r>
        <w:rPr>
          <w:rFonts w:ascii="仿宋_GB2312" w:hAnsi="宋体" w:eastAsia="仿宋_GB2312" w:cs="仿宋_GB2312"/>
          <w:sz w:val="28"/>
          <w:szCs w:val="28"/>
        </w:rPr>
        <w:t>4</w:t>
      </w:r>
      <w:r>
        <w:rPr>
          <w:rFonts w:hint="eastAsia" w:ascii="仿宋_GB2312" w:hAnsi="宋体" w:eastAsia="仿宋_GB2312" w:cs="仿宋_GB2312"/>
          <w:sz w:val="28"/>
          <w:szCs w:val="28"/>
        </w:rPr>
        <w:t>、《中华人民共和国资产评估法》（主席令第</w:t>
      </w:r>
      <w:r>
        <w:rPr>
          <w:rFonts w:ascii="仿宋_GB2312" w:hAnsi="宋体" w:eastAsia="仿宋_GB2312" w:cs="仿宋_GB2312"/>
          <w:sz w:val="28"/>
          <w:szCs w:val="28"/>
        </w:rPr>
        <w:t>46</w:t>
      </w:r>
      <w:r>
        <w:rPr>
          <w:rFonts w:hint="eastAsia" w:ascii="仿宋_GB2312" w:hAnsi="宋体" w:eastAsia="仿宋_GB2312" w:cs="仿宋_GB2312"/>
          <w:sz w:val="28"/>
          <w:szCs w:val="28"/>
        </w:rPr>
        <w:t>号</w:t>
      </w:r>
      <w:r>
        <w:rPr>
          <w:rFonts w:ascii="仿宋_GB2312" w:hAnsi="宋体" w:eastAsia="仿宋_GB2312" w:cs="仿宋_GB2312"/>
          <w:sz w:val="28"/>
          <w:szCs w:val="28"/>
        </w:rPr>
        <w:t>2016</w:t>
      </w:r>
      <w:r>
        <w:rPr>
          <w:rFonts w:hint="eastAsia" w:ascii="仿宋_GB2312" w:hAnsi="宋体" w:eastAsia="仿宋_GB2312" w:cs="仿宋_GB2312"/>
          <w:sz w:val="28"/>
          <w:szCs w:val="28"/>
        </w:rPr>
        <w:t>年</w:t>
      </w:r>
      <w:r>
        <w:rPr>
          <w:rFonts w:ascii="仿宋_GB2312" w:hAnsi="宋体" w:eastAsia="仿宋_GB2312" w:cs="仿宋_GB2312"/>
          <w:sz w:val="28"/>
          <w:szCs w:val="28"/>
        </w:rPr>
        <w:t>12</w:t>
      </w:r>
      <w:r>
        <w:rPr>
          <w:rFonts w:hint="eastAsia" w:ascii="仿宋_GB2312" w:hAnsi="宋体" w:eastAsia="仿宋_GB2312" w:cs="仿宋_GB2312"/>
          <w:sz w:val="28"/>
          <w:szCs w:val="28"/>
        </w:rPr>
        <w:t>月</w:t>
      </w:r>
      <w:r>
        <w:rPr>
          <w:rFonts w:ascii="仿宋_GB2312" w:hAnsi="宋体" w:eastAsia="仿宋_GB2312" w:cs="仿宋_GB2312"/>
          <w:sz w:val="28"/>
          <w:szCs w:val="28"/>
        </w:rPr>
        <w:t>1</w:t>
      </w:r>
      <w:r>
        <w:rPr>
          <w:rFonts w:hint="eastAsia" w:ascii="仿宋_GB2312" w:hAnsi="宋体" w:eastAsia="仿宋_GB2312" w:cs="仿宋_GB2312"/>
          <w:sz w:val="28"/>
          <w:szCs w:val="28"/>
        </w:rPr>
        <w:t>日公布实施）</w:t>
      </w:r>
    </w:p>
    <w:p>
      <w:pPr>
        <w:adjustRightInd w:val="0"/>
        <w:snapToGrid w:val="0"/>
        <w:spacing w:line="430" w:lineRule="atLeast"/>
        <w:ind w:left="50" w:firstLine="560" w:firstLineChars="200"/>
        <w:rPr>
          <w:rFonts w:ascii="仿宋_GB2312" w:hAnsi="宋体" w:eastAsia="仿宋_GB2312"/>
          <w:sz w:val="28"/>
          <w:szCs w:val="28"/>
        </w:rPr>
      </w:pPr>
      <w:r>
        <w:rPr>
          <w:rFonts w:ascii="仿宋_GB2312" w:hAnsi="宋体" w:eastAsia="仿宋_GB2312" w:cs="仿宋_GB2312"/>
          <w:sz w:val="28"/>
          <w:szCs w:val="28"/>
        </w:rPr>
        <w:t>5</w:t>
      </w:r>
      <w:r>
        <w:rPr>
          <w:rFonts w:hint="eastAsia" w:ascii="仿宋_GB2312" w:hAnsi="宋体" w:eastAsia="仿宋_GB2312" w:cs="仿宋_GB2312"/>
          <w:sz w:val="28"/>
          <w:szCs w:val="28"/>
        </w:rPr>
        <w:t>、《中华人民共和国城镇国有土地使用权出让、转让管理条例》（</w:t>
      </w:r>
      <w:r>
        <w:rPr>
          <w:rFonts w:ascii="仿宋_GB2312" w:hAnsi="宋体" w:eastAsia="仿宋_GB2312" w:cs="仿宋_GB2312"/>
          <w:sz w:val="28"/>
          <w:szCs w:val="28"/>
        </w:rPr>
        <w:t>1990</w:t>
      </w:r>
      <w:r>
        <w:rPr>
          <w:rFonts w:hint="eastAsia" w:ascii="仿宋_GB2312" w:hAnsi="宋体" w:eastAsia="仿宋_GB2312" w:cs="仿宋_GB2312"/>
          <w:sz w:val="28"/>
          <w:szCs w:val="28"/>
        </w:rPr>
        <w:t>年</w:t>
      </w:r>
      <w:r>
        <w:rPr>
          <w:rFonts w:ascii="仿宋_GB2312" w:hAnsi="宋体" w:eastAsia="仿宋_GB2312" w:cs="仿宋_GB2312"/>
          <w:sz w:val="28"/>
          <w:szCs w:val="28"/>
        </w:rPr>
        <w:t>5</w:t>
      </w:r>
      <w:r>
        <w:rPr>
          <w:rFonts w:hint="eastAsia" w:ascii="仿宋_GB2312" w:hAnsi="宋体" w:eastAsia="仿宋_GB2312" w:cs="仿宋_GB2312"/>
          <w:sz w:val="28"/>
          <w:szCs w:val="28"/>
        </w:rPr>
        <w:t>月</w:t>
      </w:r>
      <w:r>
        <w:rPr>
          <w:rFonts w:ascii="仿宋_GB2312" w:hAnsi="宋体" w:eastAsia="仿宋_GB2312" w:cs="仿宋_GB2312"/>
          <w:sz w:val="28"/>
          <w:szCs w:val="28"/>
        </w:rPr>
        <w:t>15</w:t>
      </w:r>
      <w:r>
        <w:rPr>
          <w:rFonts w:hint="eastAsia" w:ascii="仿宋_GB2312" w:hAnsi="宋体" w:eastAsia="仿宋_GB2312" w:cs="仿宋_GB2312"/>
          <w:sz w:val="28"/>
          <w:szCs w:val="28"/>
        </w:rPr>
        <w:t>日中华人民共和国国务院令第</w:t>
      </w:r>
      <w:r>
        <w:rPr>
          <w:rFonts w:ascii="仿宋_GB2312" w:hAnsi="宋体" w:eastAsia="仿宋_GB2312" w:cs="仿宋_GB2312"/>
          <w:sz w:val="28"/>
          <w:szCs w:val="28"/>
        </w:rPr>
        <w:t>55</w:t>
      </w:r>
      <w:r>
        <w:rPr>
          <w:rFonts w:hint="eastAsia" w:ascii="仿宋_GB2312" w:hAnsi="宋体" w:eastAsia="仿宋_GB2312" w:cs="仿宋_GB2312"/>
          <w:sz w:val="28"/>
          <w:szCs w:val="28"/>
        </w:rPr>
        <w:t>号自发布之日起施行）</w:t>
      </w:r>
    </w:p>
    <w:p>
      <w:pPr>
        <w:adjustRightInd w:val="0"/>
        <w:snapToGrid w:val="0"/>
        <w:spacing w:line="430" w:lineRule="atLeast"/>
        <w:ind w:left="50" w:leftChars="24" w:firstLine="560" w:firstLineChars="200"/>
        <w:rPr>
          <w:rFonts w:ascii="仿宋_GB2312" w:hAnsi="宋体" w:eastAsia="仿宋_GB2312"/>
          <w:sz w:val="28"/>
          <w:szCs w:val="28"/>
        </w:rPr>
      </w:pPr>
      <w:r>
        <w:rPr>
          <w:rFonts w:ascii="仿宋_GB2312" w:hAnsi="宋体" w:eastAsia="仿宋_GB2312" w:cs="仿宋_GB2312"/>
          <w:sz w:val="28"/>
          <w:szCs w:val="28"/>
        </w:rPr>
        <w:t>6</w:t>
      </w:r>
      <w:r>
        <w:rPr>
          <w:rFonts w:hint="eastAsia" w:ascii="仿宋_GB2312" w:hAnsi="宋体" w:eastAsia="仿宋_GB2312" w:cs="仿宋_GB2312"/>
          <w:sz w:val="28"/>
          <w:szCs w:val="28"/>
        </w:rPr>
        <w:t>、《中华人民共和国土地管理法实施细则》（中人民共和国国务院令第</w:t>
      </w:r>
      <w:r>
        <w:rPr>
          <w:rFonts w:ascii="仿宋_GB2312" w:hAnsi="宋体" w:eastAsia="仿宋_GB2312" w:cs="仿宋_GB2312"/>
          <w:sz w:val="28"/>
          <w:szCs w:val="28"/>
        </w:rPr>
        <w:t>256</w:t>
      </w:r>
      <w:r>
        <w:rPr>
          <w:rFonts w:hint="eastAsia" w:ascii="仿宋_GB2312" w:hAnsi="宋体" w:eastAsia="仿宋_GB2312" w:cs="仿宋_GB2312"/>
          <w:sz w:val="28"/>
          <w:szCs w:val="28"/>
        </w:rPr>
        <w:t>号、</w:t>
      </w:r>
      <w:r>
        <w:rPr>
          <w:rFonts w:ascii="仿宋_GB2312" w:hAnsi="宋体" w:eastAsia="仿宋_GB2312" w:cs="仿宋_GB2312"/>
          <w:sz w:val="28"/>
          <w:szCs w:val="28"/>
        </w:rPr>
        <w:t>1998</w:t>
      </w:r>
      <w:r>
        <w:rPr>
          <w:rFonts w:hint="eastAsia" w:ascii="仿宋_GB2312" w:hAnsi="宋体" w:eastAsia="仿宋_GB2312" w:cs="仿宋_GB2312"/>
          <w:sz w:val="28"/>
          <w:szCs w:val="28"/>
        </w:rPr>
        <w:t>年</w:t>
      </w:r>
      <w:r>
        <w:rPr>
          <w:rFonts w:ascii="仿宋_GB2312" w:hAnsi="宋体" w:eastAsia="仿宋_GB2312" w:cs="仿宋_GB2312"/>
          <w:sz w:val="28"/>
          <w:szCs w:val="28"/>
        </w:rPr>
        <w:t>12</w:t>
      </w:r>
      <w:r>
        <w:rPr>
          <w:rFonts w:hint="eastAsia" w:ascii="仿宋_GB2312" w:hAnsi="宋体" w:eastAsia="仿宋_GB2312" w:cs="仿宋_GB2312"/>
          <w:sz w:val="28"/>
          <w:szCs w:val="28"/>
        </w:rPr>
        <w:t>月</w:t>
      </w:r>
      <w:r>
        <w:rPr>
          <w:rFonts w:ascii="仿宋_GB2312" w:hAnsi="宋体" w:eastAsia="仿宋_GB2312" w:cs="仿宋_GB2312"/>
          <w:sz w:val="28"/>
          <w:szCs w:val="28"/>
        </w:rPr>
        <w:t>24</w:t>
      </w:r>
      <w:r>
        <w:rPr>
          <w:rFonts w:hint="eastAsia" w:ascii="仿宋_GB2312" w:hAnsi="宋体" w:eastAsia="仿宋_GB2312" w:cs="仿宋_GB2312"/>
          <w:sz w:val="28"/>
          <w:szCs w:val="28"/>
        </w:rPr>
        <w:t>日国务院第</w:t>
      </w:r>
      <w:r>
        <w:rPr>
          <w:rFonts w:ascii="仿宋_GB2312" w:hAnsi="宋体" w:eastAsia="仿宋_GB2312" w:cs="仿宋_GB2312"/>
          <w:sz w:val="28"/>
          <w:szCs w:val="28"/>
        </w:rPr>
        <w:t>12</w:t>
      </w:r>
      <w:r>
        <w:rPr>
          <w:rFonts w:hint="eastAsia" w:ascii="仿宋_GB2312" w:hAnsi="宋体" w:eastAsia="仿宋_GB2312" w:cs="仿宋_GB2312"/>
          <w:sz w:val="28"/>
          <w:szCs w:val="28"/>
        </w:rPr>
        <w:t>次常务会议通过、</w:t>
      </w:r>
      <w:r>
        <w:rPr>
          <w:rFonts w:ascii="仿宋_GB2312" w:hAnsi="宋体" w:eastAsia="仿宋_GB2312" w:cs="仿宋_GB2312"/>
          <w:sz w:val="28"/>
          <w:szCs w:val="28"/>
        </w:rPr>
        <w:t>1998</w:t>
      </w:r>
      <w:r>
        <w:rPr>
          <w:rFonts w:hint="eastAsia" w:ascii="仿宋_GB2312" w:hAnsi="宋体" w:eastAsia="仿宋_GB2312" w:cs="仿宋_GB2312"/>
          <w:sz w:val="28"/>
          <w:szCs w:val="28"/>
        </w:rPr>
        <w:t>年</w:t>
      </w:r>
      <w:r>
        <w:rPr>
          <w:rFonts w:ascii="仿宋_GB2312" w:hAnsi="宋体" w:eastAsia="仿宋_GB2312" w:cs="仿宋_GB2312"/>
          <w:sz w:val="28"/>
          <w:szCs w:val="28"/>
        </w:rPr>
        <w:t>12</w:t>
      </w:r>
      <w:r>
        <w:rPr>
          <w:rFonts w:hint="eastAsia" w:ascii="仿宋_GB2312" w:hAnsi="宋体" w:eastAsia="仿宋_GB2312" w:cs="仿宋_GB2312"/>
          <w:sz w:val="28"/>
          <w:szCs w:val="28"/>
        </w:rPr>
        <w:t>月</w:t>
      </w:r>
      <w:r>
        <w:rPr>
          <w:rFonts w:ascii="仿宋_GB2312" w:hAnsi="宋体" w:eastAsia="仿宋_GB2312" w:cs="仿宋_GB2312"/>
          <w:sz w:val="28"/>
          <w:szCs w:val="28"/>
        </w:rPr>
        <w:t>27</w:t>
      </w:r>
      <w:r>
        <w:rPr>
          <w:rFonts w:hint="eastAsia" w:ascii="仿宋_GB2312" w:hAnsi="宋体" w:eastAsia="仿宋_GB2312" w:cs="仿宋_GB2312"/>
          <w:sz w:val="28"/>
          <w:szCs w:val="28"/>
        </w:rPr>
        <w:t>日公布、</w:t>
      </w:r>
      <w:r>
        <w:rPr>
          <w:rFonts w:ascii="仿宋_GB2312" w:hAnsi="宋体" w:eastAsia="仿宋_GB2312" w:cs="仿宋_GB2312"/>
          <w:sz w:val="28"/>
          <w:szCs w:val="28"/>
        </w:rPr>
        <w:t>1999</w:t>
      </w:r>
      <w:r>
        <w:rPr>
          <w:rFonts w:hint="eastAsia" w:ascii="仿宋_GB2312" w:hAnsi="宋体" w:eastAsia="仿宋_GB2312" w:cs="仿宋_GB2312"/>
          <w:sz w:val="28"/>
          <w:szCs w:val="28"/>
        </w:rPr>
        <w:t>年</w:t>
      </w:r>
      <w:r>
        <w:rPr>
          <w:rFonts w:ascii="仿宋_GB2312" w:hAnsi="宋体" w:eastAsia="仿宋_GB2312" w:cs="仿宋_GB2312"/>
          <w:sz w:val="28"/>
          <w:szCs w:val="28"/>
        </w:rPr>
        <w:t>1</w:t>
      </w:r>
      <w:r>
        <w:rPr>
          <w:rFonts w:hint="eastAsia" w:ascii="仿宋_GB2312" w:hAnsi="宋体" w:eastAsia="仿宋_GB2312" w:cs="仿宋_GB2312"/>
          <w:sz w:val="28"/>
          <w:szCs w:val="28"/>
        </w:rPr>
        <w:t>月</w:t>
      </w:r>
      <w:r>
        <w:rPr>
          <w:rFonts w:ascii="仿宋_GB2312" w:hAnsi="宋体" w:eastAsia="仿宋_GB2312" w:cs="仿宋_GB2312"/>
          <w:sz w:val="28"/>
          <w:szCs w:val="28"/>
        </w:rPr>
        <w:t>1</w:t>
      </w:r>
      <w:r>
        <w:rPr>
          <w:rFonts w:hint="eastAsia" w:ascii="仿宋_GB2312" w:hAnsi="宋体" w:eastAsia="仿宋_GB2312" w:cs="仿宋_GB2312"/>
          <w:sz w:val="28"/>
          <w:szCs w:val="28"/>
        </w:rPr>
        <w:t>日施行）</w:t>
      </w:r>
    </w:p>
    <w:p>
      <w:pPr>
        <w:adjustRightInd w:val="0"/>
        <w:snapToGrid w:val="0"/>
        <w:spacing w:line="430" w:lineRule="atLeast"/>
        <w:ind w:left="50" w:leftChars="24" w:firstLine="560" w:firstLineChars="200"/>
        <w:rPr>
          <w:rFonts w:ascii="仿宋_GB2312" w:hAnsi="宋体" w:eastAsia="仿宋_GB2312"/>
          <w:sz w:val="28"/>
          <w:szCs w:val="28"/>
        </w:rPr>
      </w:pPr>
      <w:r>
        <w:rPr>
          <w:rFonts w:ascii="仿宋_GB2312" w:hAnsi="宋体" w:eastAsia="仿宋_GB2312" w:cs="仿宋_GB2312"/>
          <w:sz w:val="28"/>
          <w:szCs w:val="28"/>
        </w:rPr>
        <w:t>7</w:t>
      </w:r>
      <w:r>
        <w:rPr>
          <w:rFonts w:hint="eastAsia" w:ascii="仿宋_GB2312" w:hAnsi="宋体" w:eastAsia="仿宋_GB2312" w:cs="仿宋_GB2312"/>
          <w:sz w:val="28"/>
          <w:szCs w:val="28"/>
        </w:rPr>
        <w:t>、《</w:t>
      </w:r>
      <w:r>
        <w:rPr>
          <w:rFonts w:hint="eastAsia" w:ascii="仿宋_GB2312" w:hAnsi="黑体" w:eastAsia="仿宋_GB2312" w:cs="仿宋_GB2312"/>
          <w:sz w:val="28"/>
          <w:szCs w:val="28"/>
        </w:rPr>
        <w:t>最高人民法院关于人民法院委托评估、拍卖工作的若干规定</w:t>
      </w:r>
      <w:r>
        <w:rPr>
          <w:rFonts w:hint="eastAsia" w:ascii="仿宋_GB2312" w:hAnsi="宋体" w:eastAsia="仿宋_GB2312" w:cs="仿宋_GB2312"/>
          <w:sz w:val="28"/>
          <w:szCs w:val="28"/>
        </w:rPr>
        <w:t>》（</w:t>
      </w:r>
      <w:r>
        <w:rPr>
          <w:rFonts w:hint="eastAsia" w:ascii="仿宋_GB2312" w:eastAsia="仿宋_GB2312" w:cs="仿宋_GB2312"/>
          <w:sz w:val="28"/>
          <w:szCs w:val="28"/>
        </w:rPr>
        <w:t>于</w:t>
      </w:r>
      <w:r>
        <w:rPr>
          <w:rFonts w:ascii="仿宋_GB2312" w:eastAsia="仿宋_GB2312" w:cs="仿宋_GB2312"/>
          <w:sz w:val="28"/>
          <w:szCs w:val="28"/>
        </w:rPr>
        <w:t>2010</w:t>
      </w:r>
      <w:r>
        <w:rPr>
          <w:rFonts w:hint="eastAsia" w:ascii="仿宋_GB2312" w:eastAsia="仿宋_GB2312" w:cs="仿宋_GB2312"/>
          <w:sz w:val="28"/>
          <w:szCs w:val="28"/>
        </w:rPr>
        <w:t>年</w:t>
      </w:r>
      <w:r>
        <w:rPr>
          <w:rFonts w:ascii="仿宋_GB2312" w:eastAsia="仿宋_GB2312" w:cs="仿宋_GB2312"/>
          <w:sz w:val="28"/>
          <w:szCs w:val="28"/>
        </w:rPr>
        <w:t>8</w:t>
      </w:r>
      <w:r>
        <w:rPr>
          <w:rFonts w:hint="eastAsia" w:ascii="仿宋_GB2312" w:eastAsia="仿宋_GB2312" w:cs="仿宋_GB2312"/>
          <w:sz w:val="28"/>
          <w:szCs w:val="28"/>
        </w:rPr>
        <w:t>月</w:t>
      </w:r>
      <w:r>
        <w:rPr>
          <w:rFonts w:ascii="仿宋_GB2312" w:eastAsia="仿宋_GB2312" w:cs="仿宋_GB2312"/>
          <w:sz w:val="28"/>
          <w:szCs w:val="28"/>
        </w:rPr>
        <w:t>16</w:t>
      </w:r>
      <w:r>
        <w:rPr>
          <w:rFonts w:hint="eastAsia" w:ascii="仿宋_GB2312" w:eastAsia="仿宋_GB2312" w:cs="仿宋_GB2312"/>
          <w:sz w:val="28"/>
          <w:szCs w:val="28"/>
        </w:rPr>
        <w:t>日由最高人民法院审判委员会第</w:t>
      </w:r>
      <w:r>
        <w:rPr>
          <w:rFonts w:ascii="仿宋_GB2312" w:eastAsia="仿宋_GB2312" w:cs="仿宋_GB2312"/>
          <w:sz w:val="28"/>
          <w:szCs w:val="28"/>
        </w:rPr>
        <w:t>1492</w:t>
      </w:r>
      <w:r>
        <w:rPr>
          <w:rFonts w:hint="eastAsia" w:ascii="仿宋_GB2312" w:eastAsia="仿宋_GB2312" w:cs="仿宋_GB2312"/>
          <w:sz w:val="28"/>
          <w:szCs w:val="28"/>
        </w:rPr>
        <w:t>次会议通过予公布，自</w:t>
      </w:r>
      <w:r>
        <w:rPr>
          <w:rFonts w:ascii="仿宋_GB2312" w:eastAsia="仿宋_GB2312" w:cs="仿宋_GB2312"/>
          <w:sz w:val="28"/>
          <w:szCs w:val="28"/>
        </w:rPr>
        <w:t>2012</w:t>
      </w:r>
      <w:r>
        <w:rPr>
          <w:rFonts w:hint="eastAsia" w:ascii="仿宋_GB2312" w:eastAsia="仿宋_GB2312" w:cs="仿宋_GB2312"/>
          <w:sz w:val="28"/>
          <w:szCs w:val="28"/>
        </w:rPr>
        <w:t>年</w:t>
      </w:r>
      <w:r>
        <w:rPr>
          <w:rFonts w:ascii="仿宋_GB2312" w:eastAsia="仿宋_GB2312" w:cs="仿宋_GB2312"/>
          <w:sz w:val="28"/>
          <w:szCs w:val="28"/>
        </w:rPr>
        <w:t>1</w:t>
      </w:r>
      <w:r>
        <w:rPr>
          <w:rFonts w:hint="eastAsia" w:ascii="仿宋_GB2312" w:eastAsia="仿宋_GB2312" w:cs="仿宋_GB2312"/>
          <w:sz w:val="28"/>
          <w:szCs w:val="28"/>
        </w:rPr>
        <w:t>月</w:t>
      </w:r>
      <w:r>
        <w:rPr>
          <w:rFonts w:ascii="仿宋_GB2312" w:eastAsia="仿宋_GB2312" w:cs="仿宋_GB2312"/>
          <w:sz w:val="28"/>
          <w:szCs w:val="28"/>
        </w:rPr>
        <w:t>1</w:t>
      </w:r>
      <w:r>
        <w:rPr>
          <w:rFonts w:hint="eastAsia" w:ascii="仿宋_GB2312" w:eastAsia="仿宋_GB2312" w:cs="仿宋_GB2312"/>
          <w:sz w:val="28"/>
          <w:szCs w:val="28"/>
        </w:rPr>
        <w:t>日起施行</w:t>
      </w:r>
      <w:r>
        <w:rPr>
          <w:rFonts w:hint="eastAsia" w:ascii="仿宋_GB2312" w:hAnsi="宋体" w:eastAsia="仿宋_GB2312" w:cs="仿宋_GB2312"/>
          <w:sz w:val="28"/>
          <w:szCs w:val="28"/>
        </w:rPr>
        <w:t>）</w:t>
      </w:r>
    </w:p>
    <w:p>
      <w:pPr>
        <w:adjustRightInd w:val="0"/>
        <w:snapToGrid w:val="0"/>
        <w:spacing w:line="430" w:lineRule="atLeast"/>
        <w:ind w:left="50" w:leftChars="24" w:firstLine="560" w:firstLineChars="200"/>
        <w:rPr>
          <w:rFonts w:ascii="仿宋_GB2312" w:hAnsi="宋体" w:eastAsia="仿宋_GB2312" w:cs="仿宋_GB2312"/>
          <w:sz w:val="28"/>
          <w:szCs w:val="28"/>
        </w:rPr>
      </w:pPr>
      <w:r>
        <w:rPr>
          <w:rFonts w:ascii="仿宋_GB2312" w:hAnsi="宋体" w:eastAsia="仿宋_GB2312" w:cs="仿宋_GB2312"/>
          <w:sz w:val="28"/>
          <w:szCs w:val="28"/>
        </w:rPr>
        <w:t>8</w:t>
      </w:r>
      <w:r>
        <w:rPr>
          <w:rFonts w:hint="eastAsia" w:ascii="仿宋_GB2312" w:hAnsi="宋体" w:eastAsia="仿宋_GB2312" w:cs="仿宋_GB2312"/>
          <w:sz w:val="28"/>
          <w:szCs w:val="28"/>
        </w:rPr>
        <w:t>、《</w:t>
      </w:r>
      <w:r>
        <w:rPr>
          <w:rFonts w:hint="eastAsia" w:ascii="仿宋_GB2312" w:hAnsi="微软雅黑" w:eastAsia="仿宋_GB2312" w:cs="仿宋_GB2312"/>
          <w:sz w:val="28"/>
          <w:szCs w:val="28"/>
        </w:rPr>
        <w:t>最高人民法院关于人民法院确定财产处置参考价若干问题的规定</w:t>
      </w:r>
      <w:r>
        <w:rPr>
          <w:rFonts w:hint="eastAsia" w:ascii="仿宋_GB2312" w:hAnsi="宋体" w:eastAsia="仿宋_GB2312" w:cs="仿宋_GB2312"/>
          <w:sz w:val="28"/>
          <w:szCs w:val="28"/>
        </w:rPr>
        <w:t>》</w:t>
      </w:r>
      <w:r>
        <w:rPr>
          <w:rFonts w:hint="eastAsia" w:ascii="仿宋_GB2312" w:hAnsi="微软雅黑" w:eastAsia="仿宋_GB2312" w:cs="仿宋_GB2312"/>
          <w:sz w:val="28"/>
          <w:szCs w:val="28"/>
        </w:rPr>
        <w:t>（于</w:t>
      </w:r>
      <w:r>
        <w:rPr>
          <w:rFonts w:ascii="仿宋_GB2312" w:hAnsi="微软雅黑" w:eastAsia="仿宋_GB2312" w:cs="仿宋_GB2312"/>
          <w:sz w:val="28"/>
          <w:szCs w:val="28"/>
        </w:rPr>
        <w:t>2018</w:t>
      </w:r>
      <w:r>
        <w:rPr>
          <w:rFonts w:hint="eastAsia" w:ascii="仿宋_GB2312" w:hAnsi="微软雅黑" w:eastAsia="仿宋_GB2312" w:cs="仿宋_GB2312"/>
          <w:sz w:val="28"/>
          <w:szCs w:val="28"/>
        </w:rPr>
        <w:t>年</w:t>
      </w:r>
      <w:r>
        <w:rPr>
          <w:rFonts w:ascii="仿宋_GB2312" w:hAnsi="微软雅黑" w:eastAsia="仿宋_GB2312" w:cs="仿宋_GB2312"/>
          <w:sz w:val="28"/>
          <w:szCs w:val="28"/>
        </w:rPr>
        <w:t>6</w:t>
      </w:r>
      <w:r>
        <w:rPr>
          <w:rFonts w:hint="eastAsia" w:ascii="仿宋_GB2312" w:hAnsi="微软雅黑" w:eastAsia="仿宋_GB2312" w:cs="仿宋_GB2312"/>
          <w:sz w:val="28"/>
          <w:szCs w:val="28"/>
        </w:rPr>
        <w:t>月</w:t>
      </w:r>
      <w:r>
        <w:rPr>
          <w:rFonts w:ascii="仿宋_GB2312" w:hAnsi="微软雅黑" w:eastAsia="仿宋_GB2312" w:cs="仿宋_GB2312"/>
          <w:sz w:val="28"/>
          <w:szCs w:val="28"/>
        </w:rPr>
        <w:t>4</w:t>
      </w:r>
      <w:r>
        <w:rPr>
          <w:rFonts w:hint="eastAsia" w:ascii="仿宋_GB2312" w:hAnsi="微软雅黑" w:eastAsia="仿宋_GB2312" w:cs="仿宋_GB2312"/>
          <w:sz w:val="28"/>
          <w:szCs w:val="28"/>
        </w:rPr>
        <w:t>日由最高人民法院审判委员会第</w:t>
      </w:r>
      <w:r>
        <w:rPr>
          <w:rFonts w:ascii="仿宋_GB2312" w:hAnsi="微软雅黑" w:eastAsia="仿宋_GB2312" w:cs="仿宋_GB2312"/>
          <w:sz w:val="28"/>
          <w:szCs w:val="28"/>
        </w:rPr>
        <w:t>1741</w:t>
      </w:r>
      <w:r>
        <w:rPr>
          <w:rFonts w:hint="eastAsia" w:ascii="仿宋_GB2312" w:hAnsi="微软雅黑" w:eastAsia="仿宋_GB2312" w:cs="仿宋_GB2312"/>
          <w:sz w:val="28"/>
          <w:szCs w:val="28"/>
        </w:rPr>
        <w:t>次会议通过，自</w:t>
      </w:r>
      <w:r>
        <w:rPr>
          <w:rFonts w:ascii="仿宋_GB2312" w:hAnsi="微软雅黑" w:eastAsia="仿宋_GB2312" w:cs="仿宋_GB2312"/>
          <w:sz w:val="28"/>
          <w:szCs w:val="28"/>
        </w:rPr>
        <w:t>2018</w:t>
      </w:r>
      <w:r>
        <w:rPr>
          <w:rFonts w:hint="eastAsia" w:ascii="仿宋_GB2312" w:hAnsi="微软雅黑" w:eastAsia="仿宋_GB2312" w:cs="仿宋_GB2312"/>
          <w:sz w:val="28"/>
          <w:szCs w:val="28"/>
        </w:rPr>
        <w:t>年</w:t>
      </w:r>
      <w:r>
        <w:rPr>
          <w:rFonts w:ascii="仿宋_GB2312" w:hAnsi="微软雅黑" w:eastAsia="仿宋_GB2312" w:cs="仿宋_GB2312"/>
          <w:sz w:val="28"/>
          <w:szCs w:val="28"/>
        </w:rPr>
        <w:t>9</w:t>
      </w:r>
      <w:r>
        <w:rPr>
          <w:rFonts w:hint="eastAsia" w:ascii="仿宋_GB2312" w:hAnsi="微软雅黑" w:eastAsia="仿宋_GB2312" w:cs="仿宋_GB2312"/>
          <w:sz w:val="28"/>
          <w:szCs w:val="28"/>
        </w:rPr>
        <w:t>月</w:t>
      </w:r>
      <w:r>
        <w:rPr>
          <w:rFonts w:ascii="仿宋_GB2312" w:hAnsi="微软雅黑" w:eastAsia="仿宋_GB2312" w:cs="仿宋_GB2312"/>
          <w:sz w:val="28"/>
          <w:szCs w:val="28"/>
        </w:rPr>
        <w:t>1</w:t>
      </w:r>
      <w:r>
        <w:rPr>
          <w:rFonts w:hint="eastAsia" w:ascii="仿宋_GB2312" w:hAnsi="微软雅黑" w:eastAsia="仿宋_GB2312" w:cs="仿宋_GB2312"/>
          <w:sz w:val="28"/>
          <w:szCs w:val="28"/>
        </w:rPr>
        <w:t>日起施行）</w:t>
      </w:r>
    </w:p>
    <w:p>
      <w:pPr>
        <w:widowControl/>
        <w:adjustRightInd w:val="0"/>
        <w:snapToGrid w:val="0"/>
        <w:spacing w:line="430" w:lineRule="atLeast"/>
        <w:ind w:firstLine="560" w:firstLineChars="200"/>
        <w:rPr>
          <w:rFonts w:ascii="仿宋_GB2312" w:eastAsia="仿宋_GB2312"/>
          <w:sz w:val="28"/>
          <w:szCs w:val="28"/>
        </w:rPr>
      </w:pPr>
      <w:r>
        <w:rPr>
          <w:rFonts w:hint="eastAsia" w:ascii="仿宋_GB2312" w:hAnsi="宋体" w:eastAsia="仿宋_GB2312" w:cs="仿宋_GB2312"/>
          <w:sz w:val="28"/>
          <w:szCs w:val="28"/>
        </w:rPr>
        <w:t>（二）技术依据</w:t>
      </w:r>
    </w:p>
    <w:p>
      <w:pPr>
        <w:adjustRightInd w:val="0"/>
        <w:snapToGrid w:val="0"/>
        <w:spacing w:line="430" w:lineRule="atLeast"/>
        <w:ind w:firstLine="560" w:firstLineChars="200"/>
        <w:rPr>
          <w:rFonts w:ascii="仿宋_GB2312" w:eastAsia="仿宋_GB2312"/>
          <w:sz w:val="28"/>
          <w:szCs w:val="28"/>
        </w:rPr>
      </w:pPr>
      <w:r>
        <w:rPr>
          <w:rFonts w:ascii="仿宋_GB2312" w:eastAsia="仿宋_GB2312" w:cs="仿宋_GB2312"/>
          <w:sz w:val="28"/>
          <w:szCs w:val="28"/>
        </w:rPr>
        <w:t>1</w:t>
      </w:r>
      <w:r>
        <w:rPr>
          <w:rFonts w:hint="eastAsia" w:ascii="仿宋_GB2312" w:hAnsi="宋体" w:eastAsia="仿宋_GB2312" w:cs="仿宋_GB2312"/>
          <w:sz w:val="28"/>
          <w:szCs w:val="28"/>
        </w:rPr>
        <w:t>、《房地产估价规范》（</w:t>
      </w:r>
      <w:r>
        <w:rPr>
          <w:rFonts w:ascii="仿宋_GB2312" w:eastAsia="仿宋_GB2312" w:cs="仿宋_GB2312"/>
          <w:sz w:val="28"/>
          <w:szCs w:val="28"/>
        </w:rPr>
        <w:t>GB/T50291</w:t>
      </w:r>
      <w:r>
        <w:rPr>
          <w:rFonts w:ascii="仿宋_GB2312" w:eastAsia="仿宋_GB2312"/>
          <w:sz w:val="28"/>
          <w:szCs w:val="28"/>
        </w:rPr>
        <w:t>—</w:t>
      </w:r>
      <w:r>
        <w:rPr>
          <w:rFonts w:ascii="仿宋_GB2312" w:eastAsia="仿宋_GB2312" w:cs="仿宋_GB2312"/>
          <w:sz w:val="28"/>
          <w:szCs w:val="28"/>
        </w:rPr>
        <w:t>2015</w:t>
      </w:r>
      <w:r>
        <w:rPr>
          <w:rFonts w:hint="eastAsia" w:ascii="仿宋_GB2312" w:hAnsi="宋体" w:eastAsia="仿宋_GB2312" w:cs="仿宋_GB2312"/>
          <w:sz w:val="28"/>
          <w:szCs w:val="28"/>
        </w:rPr>
        <w:t>）；</w:t>
      </w:r>
    </w:p>
    <w:p>
      <w:pPr>
        <w:adjustRightInd w:val="0"/>
        <w:snapToGrid w:val="0"/>
        <w:spacing w:line="430" w:lineRule="atLeast"/>
        <w:ind w:left="50" w:firstLine="560" w:firstLineChars="200"/>
        <w:rPr>
          <w:rFonts w:ascii="仿宋_GB2312" w:eastAsia="仿宋_GB2312"/>
          <w:sz w:val="28"/>
          <w:szCs w:val="28"/>
        </w:rPr>
      </w:pPr>
      <w:r>
        <w:rPr>
          <w:rFonts w:ascii="仿宋_GB2312" w:eastAsia="仿宋_GB2312" w:cs="仿宋_GB2312"/>
          <w:sz w:val="28"/>
          <w:szCs w:val="28"/>
        </w:rPr>
        <w:t>2</w:t>
      </w:r>
      <w:r>
        <w:rPr>
          <w:rFonts w:hint="eastAsia" w:ascii="仿宋_GB2312" w:eastAsia="仿宋_GB2312" w:cs="仿宋_GB2312"/>
          <w:sz w:val="28"/>
          <w:szCs w:val="28"/>
        </w:rPr>
        <w:t>、《房地产估价规程》（</w:t>
      </w:r>
      <w:r>
        <w:rPr>
          <w:rFonts w:ascii="仿宋_GB2312" w:eastAsia="仿宋_GB2312" w:cs="仿宋_GB2312"/>
          <w:sz w:val="28"/>
          <w:szCs w:val="28"/>
        </w:rPr>
        <w:t>DB22/T475-2009</w:t>
      </w:r>
      <w:r>
        <w:rPr>
          <w:rFonts w:hint="eastAsia" w:ascii="仿宋_GB2312" w:eastAsia="仿宋_GB2312" w:cs="仿宋_GB2312"/>
          <w:sz w:val="28"/>
          <w:szCs w:val="28"/>
        </w:rPr>
        <w:t>）</w:t>
      </w:r>
    </w:p>
    <w:p>
      <w:pPr>
        <w:adjustRightInd w:val="0"/>
        <w:snapToGrid w:val="0"/>
        <w:spacing w:line="430" w:lineRule="atLeast"/>
        <w:ind w:left="50" w:firstLine="560" w:firstLineChars="200"/>
        <w:rPr>
          <w:rFonts w:ascii="仿宋_GB2312" w:hAnsi="宋体" w:eastAsia="仿宋_GB2312" w:cs="仿宋_GB2312"/>
          <w:sz w:val="28"/>
          <w:szCs w:val="28"/>
        </w:rPr>
      </w:pPr>
      <w:r>
        <w:rPr>
          <w:rFonts w:ascii="仿宋_GB2312" w:eastAsia="仿宋_GB2312" w:cs="仿宋_GB2312"/>
          <w:sz w:val="28"/>
          <w:szCs w:val="28"/>
        </w:rPr>
        <w:t>3</w:t>
      </w:r>
      <w:r>
        <w:rPr>
          <w:rFonts w:hint="eastAsia" w:ascii="仿宋_GB2312" w:eastAsia="仿宋_GB2312" w:cs="仿宋_GB2312"/>
          <w:sz w:val="28"/>
          <w:szCs w:val="28"/>
        </w:rPr>
        <w:t>、</w:t>
      </w:r>
      <w:r>
        <w:rPr>
          <w:rFonts w:hint="eastAsia" w:ascii="仿宋_GB2312" w:hAnsi="宋体" w:eastAsia="仿宋_GB2312" w:cs="仿宋_GB2312"/>
          <w:sz w:val="28"/>
          <w:szCs w:val="28"/>
        </w:rPr>
        <w:t>《房地产估价基本术语标准》（</w:t>
      </w:r>
      <w:r>
        <w:rPr>
          <w:rFonts w:ascii="仿宋_GB2312" w:hAnsi="宋体" w:eastAsia="仿宋_GB2312" w:cs="仿宋_GB2312"/>
          <w:sz w:val="28"/>
          <w:szCs w:val="28"/>
        </w:rPr>
        <w:t>GB/T 50899-2013</w:t>
      </w:r>
      <w:r>
        <w:rPr>
          <w:rFonts w:hint="eastAsia" w:ascii="仿宋_GB2312" w:hAnsi="宋体" w:eastAsia="仿宋_GB2312" w:cs="仿宋_GB2312"/>
          <w:sz w:val="28"/>
          <w:szCs w:val="28"/>
        </w:rPr>
        <w:t>）</w:t>
      </w:r>
    </w:p>
    <w:p>
      <w:pPr>
        <w:adjustRightInd w:val="0"/>
        <w:snapToGrid w:val="0"/>
        <w:spacing w:line="430" w:lineRule="atLeast"/>
        <w:ind w:left="50" w:firstLine="560" w:firstLineChars="200"/>
        <w:rPr>
          <w:rFonts w:ascii="仿宋_GB2312" w:eastAsia="仿宋_GB2312"/>
          <w:sz w:val="28"/>
          <w:szCs w:val="28"/>
        </w:rPr>
      </w:pPr>
      <w:r>
        <w:rPr>
          <w:rFonts w:hint="eastAsia" w:ascii="仿宋_GB2312" w:hAnsi="微软雅黑" w:eastAsia="仿宋_GB2312" w:cs="仿宋_GB2312"/>
          <w:sz w:val="28"/>
          <w:szCs w:val="28"/>
        </w:rPr>
        <w:t>4、</w:t>
      </w:r>
      <w:r>
        <w:rPr>
          <w:rFonts w:hint="eastAsia" w:ascii="仿宋_GB2312" w:hAnsi="宋体" w:eastAsia="仿宋_GB2312" w:cs="仿宋_GB2312"/>
          <w:sz w:val="28"/>
          <w:szCs w:val="28"/>
        </w:rPr>
        <w:t>《涉执房地产处置司法评估指导意见试行》（2021年9月1日）</w:t>
      </w:r>
    </w:p>
    <w:p>
      <w:pPr>
        <w:adjustRightInd w:val="0"/>
        <w:snapToGrid w:val="0"/>
        <w:spacing w:line="430" w:lineRule="atLeast"/>
        <w:ind w:left="50" w:firstLine="560" w:firstLineChars="200"/>
        <w:rPr>
          <w:rFonts w:ascii="仿宋_GB2312" w:eastAsia="仿宋_GB2312"/>
          <w:sz w:val="28"/>
          <w:szCs w:val="28"/>
        </w:rPr>
      </w:pPr>
      <w:r>
        <w:rPr>
          <w:rFonts w:hint="eastAsia" w:ascii="仿宋_GB2312" w:hAnsi="宋体" w:eastAsia="仿宋_GB2312" w:cs="仿宋_GB2312"/>
          <w:sz w:val="28"/>
          <w:szCs w:val="28"/>
        </w:rPr>
        <w:t>（三）委托人提供或当事人确认的相关资料（复印件）</w:t>
      </w:r>
    </w:p>
    <w:p>
      <w:pPr>
        <w:adjustRightInd w:val="0"/>
        <w:snapToGrid w:val="0"/>
        <w:spacing w:line="430" w:lineRule="atLeast"/>
        <w:ind w:left="50" w:firstLine="560" w:firstLineChars="200"/>
        <w:rPr>
          <w:rFonts w:ascii="仿宋_GB2312" w:hAnsi="宋体" w:eastAsia="仿宋_GB2312"/>
          <w:sz w:val="28"/>
          <w:szCs w:val="28"/>
        </w:rPr>
      </w:pPr>
      <w:r>
        <w:rPr>
          <w:rFonts w:ascii="仿宋_GB2312" w:eastAsia="仿宋_GB2312" w:cs="仿宋_GB2312"/>
          <w:sz w:val="28"/>
          <w:szCs w:val="28"/>
        </w:rPr>
        <w:t>1</w:t>
      </w:r>
      <w:r>
        <w:rPr>
          <w:rFonts w:hint="eastAsia" w:ascii="仿宋_GB2312" w:hAnsi="宋体" w:eastAsia="仿宋_GB2312" w:cs="仿宋_GB2312"/>
          <w:sz w:val="28"/>
          <w:szCs w:val="28"/>
        </w:rPr>
        <w:t>、</w:t>
      </w:r>
      <w:r>
        <w:rPr>
          <w:rFonts w:hint="eastAsia" w:ascii="仿宋_GB2312" w:eastAsia="仿宋_GB2312" w:cs="仿宋_GB2312"/>
          <w:sz w:val="28"/>
          <w:szCs w:val="28"/>
        </w:rPr>
        <w:t>《</w:t>
      </w:r>
      <w:r>
        <w:rPr>
          <w:rFonts w:hint="eastAsia" w:ascii="仿宋_GB2312" w:hAnsi="宋体" w:eastAsia="仿宋_GB2312" w:cs="仿宋_GB2312"/>
          <w:sz w:val="28"/>
          <w:szCs w:val="28"/>
        </w:rPr>
        <w:t>吉林省洮南市人民法院评估委托书</w:t>
      </w:r>
      <w:r>
        <w:rPr>
          <w:rFonts w:hint="eastAsia" w:ascii="仿宋_GB2312" w:eastAsia="仿宋_GB2312" w:cs="仿宋_GB2312"/>
          <w:sz w:val="28"/>
          <w:szCs w:val="28"/>
        </w:rPr>
        <w:t>》</w:t>
      </w:r>
    </w:p>
    <w:p>
      <w:pPr>
        <w:adjustRightInd w:val="0"/>
        <w:snapToGrid w:val="0"/>
        <w:spacing w:line="430" w:lineRule="atLeast"/>
        <w:ind w:left="50" w:firstLine="560" w:firstLineChars="200"/>
        <w:rPr>
          <w:rFonts w:ascii="仿宋_GB2312" w:hAnsi="宋体" w:eastAsia="仿宋_GB2312" w:cs="仿宋_GB2312"/>
          <w:sz w:val="28"/>
          <w:szCs w:val="28"/>
        </w:rPr>
      </w:pPr>
      <w:r>
        <w:rPr>
          <w:rFonts w:ascii="仿宋_GB2312" w:hAnsi="宋体" w:eastAsia="仿宋_GB2312" w:cs="仿宋_GB2312"/>
          <w:sz w:val="28"/>
          <w:szCs w:val="28"/>
        </w:rPr>
        <w:t>2</w:t>
      </w:r>
      <w:r>
        <w:rPr>
          <w:rFonts w:hint="eastAsia" w:ascii="仿宋_GB2312" w:hAnsi="宋体" w:eastAsia="仿宋_GB2312" w:cs="仿宋_GB2312"/>
          <w:sz w:val="28"/>
          <w:szCs w:val="28"/>
        </w:rPr>
        <w:t>、</w:t>
      </w:r>
      <w:r>
        <w:rPr>
          <w:rFonts w:hint="eastAsia" w:ascii="仿宋_GB2312" w:eastAsia="仿宋_GB2312" w:cs="仿宋_GB2312"/>
          <w:sz w:val="28"/>
          <w:szCs w:val="28"/>
        </w:rPr>
        <w:t>《吉林省洮南市人民法院执行裁定书》</w:t>
      </w:r>
      <w:r>
        <w:rPr>
          <w:rFonts w:ascii="仿宋_GB2312" w:hAnsi="宋体" w:eastAsia="仿宋_GB2312" w:cs="仿宋_GB2312"/>
          <w:sz w:val="28"/>
          <w:szCs w:val="28"/>
        </w:rPr>
        <w:t>[</w:t>
      </w:r>
      <w:r>
        <w:rPr>
          <w:rFonts w:hint="eastAsia" w:ascii="仿宋_GB2312" w:hAnsi="宋体" w:eastAsia="仿宋_GB2312" w:cs="仿宋_GB2312"/>
          <w:sz w:val="28"/>
          <w:szCs w:val="28"/>
        </w:rPr>
        <w:t>（</w:t>
      </w:r>
      <w:r>
        <w:rPr>
          <w:rFonts w:ascii="仿宋_GB2312" w:hAnsi="宋体" w:eastAsia="仿宋_GB2312" w:cs="仿宋_GB2312"/>
          <w:sz w:val="28"/>
          <w:szCs w:val="28"/>
        </w:rPr>
        <w:t>20</w:t>
      </w:r>
      <w:r>
        <w:rPr>
          <w:rFonts w:hint="eastAsia" w:ascii="仿宋_GB2312" w:hAnsi="宋体" w:eastAsia="仿宋_GB2312" w:cs="仿宋_GB2312"/>
          <w:sz w:val="28"/>
          <w:szCs w:val="28"/>
        </w:rPr>
        <w:t>22）吉0881执559号之二</w:t>
      </w:r>
      <w:r>
        <w:rPr>
          <w:rFonts w:ascii="仿宋_GB2312" w:hAnsi="宋体" w:eastAsia="仿宋_GB2312" w:cs="仿宋_GB2312"/>
          <w:sz w:val="28"/>
          <w:szCs w:val="28"/>
        </w:rPr>
        <w:t>]</w:t>
      </w:r>
    </w:p>
    <w:p>
      <w:pPr>
        <w:adjustRightInd w:val="0"/>
        <w:snapToGrid w:val="0"/>
        <w:spacing w:line="430" w:lineRule="atLeast"/>
        <w:ind w:left="50" w:firstLine="560" w:firstLineChars="200"/>
        <w:rPr>
          <w:rFonts w:ascii="仿宋_GB2312" w:hAnsi="宋体" w:eastAsia="仿宋_GB2312"/>
          <w:sz w:val="28"/>
          <w:szCs w:val="28"/>
        </w:rPr>
      </w:pPr>
      <w:r>
        <w:rPr>
          <w:rFonts w:hint="eastAsia" w:ascii="仿宋_GB2312" w:hAnsi="宋体" w:eastAsia="仿宋_GB2312" w:cs="仿宋_GB2312"/>
          <w:sz w:val="28"/>
          <w:szCs w:val="28"/>
        </w:rPr>
        <w:t>3、</w:t>
      </w:r>
      <w:r>
        <w:rPr>
          <w:rFonts w:hint="eastAsia" w:ascii="仿宋_GB2312" w:eastAsia="仿宋_GB2312" w:cs="仿宋_GB2312"/>
          <w:sz w:val="28"/>
          <w:szCs w:val="28"/>
        </w:rPr>
        <w:t xml:space="preserve">《不动产登记信息查询单》 </w:t>
      </w:r>
      <w:r>
        <w:rPr>
          <w:rFonts w:hint="eastAsia" w:ascii="仿宋_GB2312" w:hAnsi="宋体" w:eastAsia="仿宋_GB2312" w:cs="仿宋_GB2312"/>
          <w:sz w:val="28"/>
          <w:szCs w:val="28"/>
        </w:rPr>
        <w:t xml:space="preserve">  </w:t>
      </w:r>
    </w:p>
    <w:p>
      <w:pPr>
        <w:adjustRightInd w:val="0"/>
        <w:snapToGrid w:val="0"/>
        <w:spacing w:line="430" w:lineRule="atLeast"/>
        <w:ind w:left="50" w:firstLine="560" w:firstLineChars="200"/>
        <w:rPr>
          <w:rFonts w:ascii="仿宋_GB2312" w:hAnsi="宋体" w:eastAsia="仿宋_GB2312"/>
          <w:sz w:val="28"/>
          <w:szCs w:val="28"/>
        </w:rPr>
      </w:pPr>
      <w:r>
        <w:rPr>
          <w:rFonts w:hint="eastAsia" w:ascii="仿宋_GB2312" w:hAnsi="宋体" w:eastAsia="仿宋_GB2312" w:cs="仿宋_GB2312"/>
          <w:sz w:val="28"/>
          <w:szCs w:val="28"/>
        </w:rPr>
        <w:t>（四）、估价机构收集的资料</w:t>
      </w:r>
    </w:p>
    <w:p>
      <w:pPr>
        <w:adjustRightInd w:val="0"/>
        <w:snapToGrid w:val="0"/>
        <w:spacing w:line="430" w:lineRule="atLeast"/>
        <w:ind w:left="50" w:firstLine="560" w:firstLineChars="200"/>
        <w:rPr>
          <w:rFonts w:ascii="仿宋_GB2312" w:hAnsi="宋体" w:eastAsia="仿宋_GB2312"/>
          <w:sz w:val="28"/>
          <w:szCs w:val="28"/>
        </w:rPr>
      </w:pPr>
      <w:r>
        <w:rPr>
          <w:rFonts w:ascii="仿宋_GB2312" w:hAnsi="宋体" w:eastAsia="仿宋_GB2312" w:cs="仿宋_GB2312"/>
          <w:sz w:val="28"/>
          <w:szCs w:val="28"/>
        </w:rPr>
        <w:t>1</w:t>
      </w:r>
      <w:r>
        <w:rPr>
          <w:rFonts w:hint="eastAsia" w:ascii="仿宋_GB2312" w:hAnsi="宋体" w:eastAsia="仿宋_GB2312" w:cs="仿宋_GB2312"/>
          <w:sz w:val="28"/>
          <w:szCs w:val="28"/>
        </w:rPr>
        <w:t>、现场查勘表</w:t>
      </w:r>
    </w:p>
    <w:p>
      <w:pPr>
        <w:adjustRightInd w:val="0"/>
        <w:snapToGrid w:val="0"/>
        <w:spacing w:line="430" w:lineRule="atLeast"/>
        <w:ind w:left="50" w:firstLine="560" w:firstLineChars="200"/>
        <w:rPr>
          <w:rFonts w:ascii="仿宋_GB2312" w:hAnsi="宋体" w:eastAsia="仿宋_GB2312"/>
          <w:sz w:val="28"/>
          <w:szCs w:val="28"/>
        </w:rPr>
      </w:pPr>
      <w:r>
        <w:rPr>
          <w:rFonts w:ascii="仿宋_GB2312" w:hAnsi="宋体" w:eastAsia="仿宋_GB2312" w:cs="仿宋_GB2312"/>
          <w:sz w:val="28"/>
          <w:szCs w:val="28"/>
        </w:rPr>
        <w:t>2</w:t>
      </w:r>
      <w:r>
        <w:rPr>
          <w:rFonts w:hint="eastAsia" w:ascii="仿宋_GB2312" w:hAnsi="宋体" w:eastAsia="仿宋_GB2312" w:cs="仿宋_GB2312"/>
          <w:sz w:val="28"/>
          <w:szCs w:val="28"/>
        </w:rPr>
        <w:t>、与估价对象类似房地产的市场价格资料</w:t>
      </w:r>
    </w:p>
    <w:p>
      <w:pPr>
        <w:pStyle w:val="3"/>
        <w:keepNext w:val="0"/>
        <w:keepLines w:val="0"/>
        <w:adjustRightInd w:val="0"/>
        <w:snapToGrid w:val="0"/>
        <w:spacing w:before="0" w:after="0" w:line="430" w:lineRule="atLeast"/>
        <w:ind w:firstLine="640" w:firstLineChars="200"/>
        <w:rPr>
          <w:rFonts w:ascii="黑体" w:hAnsi="宋体" w:eastAsia="黑体" w:cs="Times New Roman"/>
          <w:b w:val="0"/>
          <w:bCs w:val="0"/>
        </w:rPr>
      </w:pPr>
      <w:bookmarkStart w:id="13" w:name="_Toc28633"/>
      <w:r>
        <w:rPr>
          <w:rFonts w:hint="eastAsia" w:ascii="黑体" w:hAnsi="宋体" w:eastAsia="黑体" w:cs="黑体"/>
          <w:b w:val="0"/>
          <w:bCs w:val="0"/>
        </w:rPr>
        <w:t>七、价值类型</w:t>
      </w:r>
      <w:r>
        <w:rPr>
          <w:rFonts w:hint="eastAsia" w:ascii="黑体" w:hAnsi="宋体" w:eastAsia="黑体" w:cs="黑体"/>
        </w:rPr>
        <w:t>：</w:t>
      </w:r>
      <w:bookmarkEnd w:id="13"/>
    </w:p>
    <w:p>
      <w:pPr>
        <w:adjustRightInd w:val="0"/>
        <w:snapToGrid w:val="0"/>
        <w:spacing w:line="430" w:lineRule="atLeast"/>
        <w:ind w:left="50" w:firstLine="560" w:firstLineChars="200"/>
        <w:rPr>
          <w:rFonts w:ascii="仿宋_GB2312" w:eastAsia="仿宋_GB2312"/>
          <w:sz w:val="28"/>
          <w:szCs w:val="28"/>
        </w:rPr>
      </w:pPr>
      <w:r>
        <w:rPr>
          <w:rFonts w:hint="eastAsia" w:ascii="仿宋_GB2312" w:eastAsia="仿宋_GB2312" w:cs="仿宋_GB2312"/>
          <w:sz w:val="28"/>
          <w:szCs w:val="28"/>
        </w:rPr>
        <w:t>在2022年07月25日，已依法取得国有土地使用权，总建筑面积为211.63平方米的住宅用途房屋所有权在无法定优先受偿权并满足本次估价全部假定及限制条件的估价前提为生效条件的市场价值。</w:t>
      </w:r>
    </w:p>
    <w:p>
      <w:pPr>
        <w:adjustRightInd w:val="0"/>
        <w:snapToGrid w:val="0"/>
        <w:spacing w:line="430" w:lineRule="atLeast"/>
        <w:ind w:left="50" w:firstLine="560" w:firstLineChars="200"/>
        <w:rPr>
          <w:rFonts w:ascii="仿宋_GB2312" w:eastAsia="仿宋_GB2312"/>
          <w:sz w:val="28"/>
          <w:szCs w:val="28"/>
        </w:rPr>
      </w:pPr>
      <w:r>
        <w:rPr>
          <w:rFonts w:hint="eastAsia" w:ascii="仿宋_GB2312" w:eastAsia="仿宋_GB2312" w:cs="仿宋_GB2312"/>
          <w:sz w:val="28"/>
          <w:szCs w:val="28"/>
        </w:rPr>
        <w:t>市场价值，是指估价对象经适当营销后，由熟悉情况、谨慎行事且不受强迫的交易双方，以公平交易方式在价值时点自愿进行交易的金额。</w:t>
      </w:r>
    </w:p>
    <w:p>
      <w:pPr>
        <w:pStyle w:val="3"/>
        <w:keepNext w:val="0"/>
        <w:keepLines w:val="0"/>
        <w:adjustRightInd w:val="0"/>
        <w:snapToGrid w:val="0"/>
        <w:spacing w:before="0" w:after="0" w:line="430" w:lineRule="atLeast"/>
        <w:ind w:firstLine="640" w:firstLineChars="200"/>
        <w:rPr>
          <w:rFonts w:cs="Times New Roman"/>
          <w:b w:val="0"/>
          <w:bCs w:val="0"/>
        </w:rPr>
      </w:pPr>
      <w:bookmarkStart w:id="14" w:name="_Toc25598"/>
      <w:r>
        <w:rPr>
          <w:rFonts w:hint="eastAsia" w:eastAsia="黑体" w:cs="黑体"/>
          <w:b w:val="0"/>
          <w:bCs w:val="0"/>
        </w:rPr>
        <w:t>八</w:t>
      </w:r>
      <w:r>
        <w:rPr>
          <w:rFonts w:hint="eastAsia" w:cs="宋体"/>
          <w:b w:val="0"/>
          <w:bCs w:val="0"/>
        </w:rPr>
        <w:t>、</w:t>
      </w:r>
      <w:r>
        <w:rPr>
          <w:rFonts w:hint="eastAsia" w:eastAsia="黑体" w:cs="黑体"/>
          <w:b w:val="0"/>
          <w:bCs w:val="0"/>
        </w:rPr>
        <w:t>估价原则</w:t>
      </w:r>
      <w:r>
        <w:rPr>
          <w:rFonts w:hint="eastAsia" w:cs="宋体"/>
          <w:b w:val="0"/>
          <w:bCs w:val="0"/>
        </w:rPr>
        <w:t>：</w:t>
      </w:r>
      <w:bookmarkEnd w:id="14"/>
    </w:p>
    <w:p>
      <w:pPr>
        <w:adjustRightInd w:val="0"/>
        <w:snapToGrid w:val="0"/>
        <w:spacing w:line="430" w:lineRule="atLeast"/>
        <w:ind w:firstLine="560" w:firstLineChars="200"/>
        <w:rPr>
          <w:rFonts w:ascii="仿宋_GB2312" w:eastAsia="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、独立、客观、公正原则</w:t>
      </w:r>
    </w:p>
    <w:p>
      <w:pPr>
        <w:adjustRightInd w:val="0"/>
        <w:snapToGrid w:val="0"/>
        <w:spacing w:line="430" w:lineRule="atLeast"/>
        <w:ind w:firstLine="560" w:firstLineChars="200"/>
        <w:rPr>
          <w:rFonts w:ascii="仿宋_GB2312" w:eastAsia="仿宋_GB2312"/>
          <w:sz w:val="28"/>
          <w:szCs w:val="28"/>
        </w:rPr>
      </w:pPr>
      <w:r>
        <w:rPr>
          <w:rFonts w:hint="eastAsia" w:ascii="仿宋_GB2312" w:eastAsia="仿宋_GB2312" w:cs="仿宋_GB2312"/>
          <w:color w:val="000000"/>
          <w:sz w:val="28"/>
          <w:szCs w:val="28"/>
        </w:rPr>
        <w:t>所谓“独立”，就是要求注册房地产估价师和房地产估价机构与估价委托人及估价利害关系人没有利害关系，在估价中不受包括估价委托人在内的任何单位和个人的影响，应凭自己的专业知识、实践经验和职业道德进行估价；所谓“客观”，就是要求注册房地产估价师和房地产估价机构在估价中不带着自己的情感、好恶和偏见，应按照事物的本来面目、实事求是地进行估价；所谓“公正”，就是要求注册房地产估价师和房地产估价机构在估价中不偏袒估价利害关系人中的任何一方，应坚持原则、公平正直地进行估价。</w:t>
      </w:r>
      <w:r>
        <w:rPr>
          <w:rFonts w:ascii="仿宋_GB2312" w:eastAsia="仿宋_GB2312" w:cs="仿宋_GB2312"/>
          <w:sz w:val="28"/>
          <w:szCs w:val="28"/>
        </w:rPr>
        <w:t xml:space="preserve"> </w:t>
      </w:r>
    </w:p>
    <w:p>
      <w:pPr>
        <w:adjustRightInd w:val="0"/>
        <w:snapToGrid w:val="0"/>
        <w:spacing w:line="430" w:lineRule="atLeast"/>
        <w:ind w:firstLine="560" w:firstLineChars="200"/>
        <w:rPr>
          <w:rFonts w:ascii="仿宋_GB2312" w:eastAsia="仿宋_GB2312"/>
          <w:sz w:val="28"/>
          <w:szCs w:val="28"/>
        </w:rPr>
      </w:pPr>
      <w:r>
        <w:rPr>
          <w:rFonts w:ascii="仿宋_GB2312" w:eastAsia="仿宋_GB2312" w:cs="仿宋_GB2312"/>
          <w:sz w:val="28"/>
          <w:szCs w:val="28"/>
        </w:rPr>
        <w:t>2</w:t>
      </w:r>
      <w:r>
        <w:rPr>
          <w:rFonts w:hint="eastAsia" w:ascii="仿宋_GB2312" w:eastAsia="仿宋_GB2312" w:cs="仿宋_GB2312"/>
          <w:sz w:val="28"/>
          <w:szCs w:val="28"/>
        </w:rPr>
        <w:t>、合法原则</w:t>
      </w:r>
    </w:p>
    <w:p>
      <w:pPr>
        <w:adjustRightInd w:val="0"/>
        <w:snapToGrid w:val="0"/>
        <w:spacing w:line="430" w:lineRule="atLeast"/>
        <w:ind w:firstLine="560" w:firstLineChars="200"/>
        <w:rPr>
          <w:rFonts w:ascii="仿宋_GB2312" w:eastAsia="仿宋_GB2312"/>
          <w:sz w:val="28"/>
          <w:szCs w:val="28"/>
        </w:rPr>
      </w:pPr>
      <w:r>
        <w:rPr>
          <w:rFonts w:hint="eastAsia" w:ascii="仿宋_GB2312" w:eastAsia="仿宋_GB2312" w:cs="仿宋_GB2312"/>
          <w:color w:val="000000"/>
          <w:sz w:val="28"/>
          <w:szCs w:val="28"/>
        </w:rPr>
        <w:t>要求估价结果是在依法判定的估价对象状况下的价值或价格的原则。</w:t>
      </w:r>
      <w:r>
        <w:rPr>
          <w:rFonts w:ascii="仿宋_GB2312" w:eastAsia="仿宋_GB2312" w:cs="仿宋_GB2312"/>
          <w:sz w:val="28"/>
          <w:szCs w:val="28"/>
        </w:rPr>
        <w:t xml:space="preserve"> </w:t>
      </w:r>
    </w:p>
    <w:p>
      <w:pPr>
        <w:adjustRightInd w:val="0"/>
        <w:snapToGrid w:val="0"/>
        <w:spacing w:line="430" w:lineRule="atLeast"/>
        <w:ind w:firstLine="560" w:firstLineChars="200"/>
        <w:rPr>
          <w:rFonts w:ascii="仿宋_GB2312" w:eastAsia="仿宋_GB2312"/>
          <w:sz w:val="28"/>
          <w:szCs w:val="28"/>
        </w:rPr>
      </w:pPr>
      <w:r>
        <w:rPr>
          <w:rFonts w:ascii="仿宋_GB2312" w:eastAsia="仿宋_GB2312" w:cs="仿宋_GB2312"/>
          <w:sz w:val="28"/>
          <w:szCs w:val="28"/>
        </w:rPr>
        <w:t>3</w:t>
      </w:r>
      <w:r>
        <w:rPr>
          <w:rFonts w:hint="eastAsia" w:ascii="仿宋_GB2312" w:eastAsia="仿宋_GB2312" w:cs="仿宋_GB2312"/>
          <w:sz w:val="28"/>
          <w:szCs w:val="28"/>
        </w:rPr>
        <w:t>、最高最佳利用原则</w:t>
      </w:r>
    </w:p>
    <w:p>
      <w:pPr>
        <w:adjustRightInd w:val="0"/>
        <w:snapToGrid w:val="0"/>
        <w:spacing w:line="430" w:lineRule="atLeast"/>
        <w:ind w:firstLine="560" w:firstLineChars="200"/>
        <w:rPr>
          <w:rFonts w:ascii="仿宋_GB2312" w:eastAsia="仿宋_GB2312"/>
          <w:sz w:val="28"/>
          <w:szCs w:val="28"/>
        </w:rPr>
      </w:pPr>
      <w:r>
        <w:rPr>
          <w:rFonts w:hint="eastAsia" w:ascii="仿宋_GB2312" w:eastAsia="仿宋_GB2312" w:cs="仿宋_GB2312"/>
          <w:color w:val="000000"/>
          <w:sz w:val="28"/>
          <w:szCs w:val="28"/>
        </w:rPr>
        <w:t>要求估价结果是在估价对象最高最佳利用状况下的价值或价格的原则。</w:t>
      </w:r>
      <w:r>
        <w:rPr>
          <w:rFonts w:ascii="仿宋_GB2312" w:eastAsia="仿宋_GB2312" w:cs="仿宋_GB2312"/>
          <w:sz w:val="28"/>
          <w:szCs w:val="28"/>
        </w:rPr>
        <w:t xml:space="preserve"> </w:t>
      </w:r>
    </w:p>
    <w:p>
      <w:pPr>
        <w:adjustRightInd w:val="0"/>
        <w:snapToGrid w:val="0"/>
        <w:spacing w:line="430" w:lineRule="atLeast"/>
        <w:ind w:firstLine="560" w:firstLineChars="200"/>
        <w:rPr>
          <w:rFonts w:ascii="仿宋_GB2312" w:eastAsia="仿宋_GB2312"/>
          <w:sz w:val="28"/>
          <w:szCs w:val="28"/>
        </w:rPr>
      </w:pPr>
      <w:r>
        <w:rPr>
          <w:rFonts w:ascii="仿宋_GB2312" w:eastAsia="仿宋_GB2312" w:cs="仿宋_GB2312"/>
          <w:sz w:val="28"/>
          <w:szCs w:val="28"/>
        </w:rPr>
        <w:t>4</w:t>
      </w:r>
      <w:r>
        <w:rPr>
          <w:rFonts w:hint="eastAsia" w:ascii="仿宋_GB2312" w:eastAsia="仿宋_GB2312" w:cs="仿宋_GB2312"/>
          <w:sz w:val="28"/>
          <w:szCs w:val="28"/>
        </w:rPr>
        <w:t>、替代原则</w:t>
      </w:r>
    </w:p>
    <w:p>
      <w:pPr>
        <w:adjustRightInd w:val="0"/>
        <w:snapToGrid w:val="0"/>
        <w:spacing w:line="430" w:lineRule="atLeast"/>
        <w:ind w:firstLine="560" w:firstLineChars="200"/>
        <w:rPr>
          <w:rFonts w:ascii="仿宋_GB2312" w:eastAsia="仿宋_GB2312"/>
          <w:sz w:val="28"/>
          <w:szCs w:val="28"/>
        </w:rPr>
      </w:pPr>
      <w:r>
        <w:rPr>
          <w:rFonts w:hint="eastAsia" w:ascii="仿宋_GB2312" w:eastAsia="仿宋_GB2312" w:cs="仿宋_GB2312"/>
          <w:color w:val="000000"/>
          <w:sz w:val="28"/>
          <w:szCs w:val="28"/>
        </w:rPr>
        <w:t>要求估价结果与估价对象的类似房地产在同等条件下的价值或价格偏差在合理范围内的原则。</w:t>
      </w:r>
    </w:p>
    <w:p>
      <w:pPr>
        <w:adjustRightInd w:val="0"/>
        <w:snapToGrid w:val="0"/>
        <w:spacing w:line="430" w:lineRule="atLeast"/>
        <w:ind w:firstLine="560" w:firstLineChars="200"/>
        <w:rPr>
          <w:rFonts w:ascii="仿宋_GB2312" w:eastAsia="仿宋_GB2312"/>
          <w:sz w:val="28"/>
          <w:szCs w:val="28"/>
        </w:rPr>
      </w:pPr>
      <w:r>
        <w:rPr>
          <w:rFonts w:ascii="仿宋_GB2312" w:eastAsia="仿宋_GB2312" w:cs="仿宋_GB2312"/>
          <w:sz w:val="28"/>
          <w:szCs w:val="28"/>
        </w:rPr>
        <w:t>5</w:t>
      </w:r>
      <w:r>
        <w:rPr>
          <w:rFonts w:hint="eastAsia" w:ascii="仿宋_GB2312" w:eastAsia="仿宋_GB2312" w:cs="仿宋_GB2312"/>
          <w:sz w:val="28"/>
          <w:szCs w:val="28"/>
        </w:rPr>
        <w:t>、价值时点原则</w:t>
      </w:r>
    </w:p>
    <w:p>
      <w:pPr>
        <w:adjustRightInd w:val="0"/>
        <w:snapToGrid w:val="0"/>
        <w:spacing w:line="430" w:lineRule="atLeast"/>
        <w:ind w:right="128" w:rightChars="61" w:firstLine="560" w:firstLineChars="200"/>
        <w:rPr>
          <w:rFonts w:ascii="仿宋_GB2312" w:eastAsia="仿宋_GB2312"/>
          <w:color w:val="000000"/>
          <w:sz w:val="28"/>
          <w:szCs w:val="28"/>
        </w:rPr>
      </w:pPr>
      <w:r>
        <w:rPr>
          <w:rFonts w:hint="eastAsia" w:ascii="仿宋_GB2312" w:eastAsia="仿宋_GB2312" w:cs="仿宋_GB2312"/>
          <w:color w:val="000000"/>
          <w:sz w:val="28"/>
          <w:szCs w:val="28"/>
        </w:rPr>
        <w:t>要求估价结果是在根据估价目的确定的某一特定时间的价值或价格的原则。</w:t>
      </w:r>
      <w:r>
        <w:rPr>
          <w:rFonts w:ascii="仿宋_GB2312" w:eastAsia="仿宋_GB2312" w:cs="仿宋_GB2312"/>
          <w:sz w:val="28"/>
          <w:szCs w:val="28"/>
        </w:rPr>
        <w:t xml:space="preserve"> </w:t>
      </w:r>
    </w:p>
    <w:p>
      <w:pPr>
        <w:pStyle w:val="3"/>
        <w:keepNext w:val="0"/>
        <w:keepLines w:val="0"/>
        <w:adjustRightInd w:val="0"/>
        <w:snapToGrid w:val="0"/>
        <w:spacing w:before="0" w:after="0" w:line="430" w:lineRule="atLeast"/>
        <w:ind w:firstLine="640" w:firstLineChars="200"/>
        <w:rPr>
          <w:rFonts w:ascii="黑体" w:hAnsi="黑体" w:eastAsia="黑体" w:cs="Times New Roman"/>
          <w:sz w:val="28"/>
          <w:szCs w:val="28"/>
        </w:rPr>
      </w:pPr>
      <w:bookmarkStart w:id="15" w:name="_Toc30754"/>
      <w:r>
        <w:rPr>
          <w:rFonts w:hint="eastAsia" w:ascii="黑体" w:hAnsi="黑体" w:eastAsia="黑体" w:cs="黑体"/>
          <w:b w:val="0"/>
          <w:bCs w:val="0"/>
        </w:rPr>
        <w:t>九、估价方法：</w:t>
      </w:r>
      <w:bookmarkEnd w:id="15"/>
    </w:p>
    <w:p>
      <w:pPr>
        <w:pStyle w:val="9"/>
        <w:adjustRightInd w:val="0"/>
        <w:snapToGrid w:val="0"/>
        <w:spacing w:line="460" w:lineRule="atLeast"/>
        <w:ind w:firstLine="560" w:firstLineChars="200"/>
        <w:rPr>
          <w:rFonts w:ascii="仿宋_GB2312" w:eastAsia="仿宋_GB2312"/>
          <w:sz w:val="28"/>
          <w:szCs w:val="28"/>
        </w:rPr>
      </w:pPr>
      <w:r>
        <w:rPr>
          <w:rFonts w:hint="eastAsia" w:ascii="仿宋_GB2312" w:eastAsia="仿宋_GB2312" w:cs="仿宋_GB2312"/>
          <w:sz w:val="28"/>
          <w:szCs w:val="28"/>
        </w:rPr>
        <w:t>估价人员在认真分析所掌握的资料，并对估价对象进行了实地查勘以及对周边房地产进行调查后，根据《房地产估价规范》和遵照国家有关法律、法规、估价技术标准，经过反复研究，我们认为估价对象适合采用比较法进行估算，估价方法适用性分析如下：</w:t>
      </w:r>
    </w:p>
    <w:p>
      <w:pPr>
        <w:pStyle w:val="9"/>
        <w:adjustRightInd w:val="0"/>
        <w:snapToGrid w:val="0"/>
        <w:spacing w:line="460" w:lineRule="atLeast"/>
        <w:ind w:firstLine="560" w:firstLineChars="200"/>
        <w:rPr>
          <w:rFonts w:ascii="仿宋_GB2312" w:hAnsi="宋体" w:eastAsia="仿宋_GB2312"/>
          <w:b/>
          <w:bCs/>
          <w:sz w:val="28"/>
          <w:szCs w:val="28"/>
        </w:rPr>
      </w:pPr>
      <w:r>
        <w:rPr>
          <w:rFonts w:hint="eastAsia" w:ascii="仿宋_GB2312" w:eastAsia="仿宋_GB2312" w:cs="仿宋_GB2312"/>
          <w:sz w:val="28"/>
          <w:szCs w:val="28"/>
        </w:rPr>
        <w:t>估价方法通常有比较法、收益法、假设开发法及成本法等四种。比较法适用于同类房地产交易案例较多的估价；收益法适用于有收益或有潜在收益的房地产估价；成本法适用于房地产不活跃或房地产交易量较少而不宜采用比较法、收益法、假设开发法进行估价的情况下的房地产估价；假设开发法适用于具有投资开发或再开发潜力的房地产的估价。</w:t>
      </w:r>
      <w:r>
        <w:rPr>
          <w:rFonts w:ascii="仿宋_GB2312" w:hAnsi="宋体" w:eastAsia="仿宋_GB2312" w:cs="仿宋_GB2312"/>
          <w:sz w:val="28"/>
          <w:szCs w:val="28"/>
        </w:rPr>
        <w:t xml:space="preserve"> </w:t>
      </w:r>
    </w:p>
    <w:p>
      <w:pPr>
        <w:adjustRightInd w:val="0"/>
        <w:snapToGrid w:val="0"/>
        <w:spacing w:line="460" w:lineRule="atLeast"/>
        <w:ind w:firstLine="560" w:firstLineChars="200"/>
        <w:rPr>
          <w:rFonts w:ascii="仿宋_GB2312" w:hAnsi="宋体" w:eastAsia="仿宋_GB2312"/>
          <w:sz w:val="28"/>
          <w:szCs w:val="28"/>
        </w:rPr>
      </w:pPr>
      <w:r>
        <w:rPr>
          <w:rFonts w:hint="eastAsia" w:ascii="仿宋_GB2312" w:hAnsi="宋体" w:eastAsia="仿宋_GB2312" w:cs="仿宋_GB2312"/>
          <w:sz w:val="28"/>
          <w:szCs w:val="28"/>
        </w:rPr>
        <w:t>由于该类房地产市场交易比较活跃、交易案例较多、可比性较好，故选择比较法对估价对象的价值进行评估。比较法是将估价对象与在估价时点的近期发生过交易的类似房地产进行比较，对这些类似的房地产的成交价格做适当处理来求取估价对象价值的方法。比较法的本质是以房地产的市场交易价格为导向求取估价对象的价值。</w:t>
      </w:r>
    </w:p>
    <w:p>
      <w:pPr>
        <w:adjustRightInd w:val="0"/>
        <w:snapToGrid w:val="0"/>
        <w:spacing w:line="460" w:lineRule="atLeast"/>
        <w:ind w:firstLine="560" w:firstLineChars="200"/>
        <w:rPr>
          <w:rFonts w:ascii="仿宋_GB2312" w:eastAsia="仿宋_GB2312"/>
          <w:sz w:val="28"/>
          <w:szCs w:val="28"/>
        </w:rPr>
      </w:pPr>
      <w:r>
        <w:rPr>
          <w:rFonts w:hint="eastAsia" w:ascii="仿宋_GB2312" w:eastAsia="仿宋_GB2312" w:cs="仿宋_GB2312"/>
          <w:sz w:val="28"/>
          <w:szCs w:val="28"/>
        </w:rPr>
        <w:t>比较法定义：</w:t>
      </w:r>
    </w:p>
    <w:p>
      <w:pPr>
        <w:pStyle w:val="13"/>
        <w:adjustRightInd w:val="0"/>
        <w:snapToGrid w:val="0"/>
        <w:spacing w:after="0" w:line="460" w:lineRule="atLeast"/>
        <w:ind w:left="0" w:leftChars="0" w:firstLine="560" w:firstLineChars="200"/>
        <w:rPr>
          <w:rFonts w:ascii="仿宋_GB2312" w:hAnsi="宋体" w:eastAsia="仿宋_GB2312"/>
          <w:sz w:val="28"/>
          <w:szCs w:val="28"/>
        </w:rPr>
      </w:pPr>
      <w:r>
        <w:rPr>
          <w:rFonts w:hint="eastAsia" w:ascii="仿宋_GB2312" w:eastAsia="仿宋_GB2312" w:cs="仿宋_GB2312"/>
          <w:sz w:val="28"/>
          <w:szCs w:val="28"/>
        </w:rPr>
        <w:t>比较法是选取一定数量的可比实例并将它们与估价对象进行比较，然后对这些可比实例的成交价格进行适当的处理来求取估价对象价值的方法。</w:t>
      </w:r>
    </w:p>
    <w:p>
      <w:pPr>
        <w:pStyle w:val="13"/>
        <w:adjustRightInd w:val="0"/>
        <w:snapToGrid w:val="0"/>
        <w:spacing w:line="460" w:lineRule="atLeast"/>
        <w:ind w:left="0" w:leftChars="0" w:firstLine="560" w:firstLineChars="200"/>
        <w:rPr>
          <w:rFonts w:ascii="仿宋_GB2312" w:eastAsia="仿宋_GB2312"/>
          <w:sz w:val="28"/>
          <w:szCs w:val="28"/>
        </w:rPr>
      </w:pPr>
      <w:r>
        <w:rPr>
          <w:rFonts w:hint="eastAsia" w:ascii="仿宋_GB2312" w:hAnsi="宋体" w:eastAsia="仿宋_GB2312" w:cs="仿宋_GB2312"/>
          <w:sz w:val="28"/>
          <w:szCs w:val="28"/>
        </w:rPr>
        <w:t>比较法</w:t>
      </w:r>
      <w:r>
        <w:rPr>
          <w:rFonts w:hint="eastAsia" w:ascii="仿宋_GB2312" w:eastAsia="仿宋_GB2312" w:cs="仿宋_GB2312"/>
          <w:sz w:val="28"/>
          <w:szCs w:val="28"/>
        </w:rPr>
        <w:t>公式如下：</w:t>
      </w:r>
    </w:p>
    <w:p>
      <w:pPr>
        <w:pStyle w:val="13"/>
        <w:adjustRightInd w:val="0"/>
        <w:snapToGrid w:val="0"/>
        <w:spacing w:after="0" w:line="460" w:lineRule="atLeast"/>
        <w:ind w:firstLine="720" w:firstLineChars="300"/>
        <w:rPr>
          <w:rFonts w:ascii="仿宋_GB2312" w:eastAsia="仿宋_GB2312"/>
          <w:sz w:val="24"/>
          <w:szCs w:val="24"/>
        </w:rPr>
      </w:pPr>
      <w:r>
        <w:rPr>
          <w:rFonts w:hint="eastAsia" w:ascii="仿宋_GB2312" w:eastAsia="仿宋_GB2312" w:cs="仿宋_GB2312"/>
          <w:sz w:val="24"/>
          <w:szCs w:val="24"/>
        </w:rPr>
        <w:t>可比实例</w:t>
      </w:r>
      <w:r>
        <w:rPr>
          <w:rFonts w:ascii="仿宋_GB2312" w:eastAsia="仿宋_GB2312" w:cs="仿宋_GB2312"/>
          <w:sz w:val="24"/>
          <w:szCs w:val="24"/>
        </w:rPr>
        <w:t xml:space="preserve">   </w:t>
      </w:r>
      <w:r>
        <w:rPr>
          <w:rFonts w:hint="eastAsia" w:ascii="仿宋_GB2312" w:eastAsia="仿宋_GB2312" w:cs="仿宋_GB2312"/>
          <w:sz w:val="24"/>
          <w:szCs w:val="24"/>
        </w:rPr>
        <w:t>交易情况</w:t>
      </w:r>
      <w:r>
        <w:rPr>
          <w:rFonts w:ascii="仿宋_GB2312" w:eastAsia="仿宋_GB2312" w:cs="仿宋_GB2312"/>
          <w:sz w:val="24"/>
          <w:szCs w:val="24"/>
        </w:rPr>
        <w:t xml:space="preserve">   </w:t>
      </w:r>
      <w:r>
        <w:rPr>
          <w:rFonts w:hint="eastAsia" w:ascii="仿宋_GB2312" w:hAnsi="宋体" w:eastAsia="仿宋_GB2312" w:cs="仿宋_GB2312"/>
          <w:sz w:val="24"/>
          <w:szCs w:val="24"/>
        </w:rPr>
        <w:t>市场状况</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房地产状况</w:t>
      </w:r>
    </w:p>
    <w:p>
      <w:pPr>
        <w:pStyle w:val="13"/>
        <w:adjustRightInd w:val="0"/>
        <w:snapToGrid w:val="0"/>
        <w:spacing w:after="0" w:line="460" w:lineRule="atLeast"/>
        <w:ind w:left="0" w:leftChars="0"/>
        <w:rPr>
          <w:rFonts w:ascii="仿宋_GB2312" w:hAnsi="宋体" w:eastAsia="仿宋_GB2312"/>
          <w:sz w:val="24"/>
          <w:szCs w:val="24"/>
        </w:rPr>
      </w:pPr>
      <w:r>
        <w:rPr>
          <w:rFonts w:hint="eastAsia" w:ascii="仿宋_GB2312" w:eastAsia="仿宋_GB2312" w:cs="仿宋_GB2312"/>
          <w:sz w:val="24"/>
          <w:szCs w:val="24"/>
        </w:rPr>
        <w:t>比准价格＝</w:t>
      </w:r>
      <w:r>
        <w:rPr>
          <w:rFonts w:ascii="仿宋_GB2312" w:eastAsia="仿宋_GB2312" w:cs="仿宋_GB2312"/>
          <w:sz w:val="24"/>
          <w:szCs w:val="24"/>
        </w:rPr>
        <w:t xml:space="preserve">        </w:t>
      </w:r>
      <w:r>
        <w:rPr>
          <w:rFonts w:hint="eastAsia" w:ascii="仿宋_GB2312" w:hAnsi="宋体" w:eastAsia="仿宋_GB2312" w:cs="仿宋_GB2312"/>
          <w:sz w:val="24"/>
          <w:szCs w:val="24"/>
        </w:rPr>
        <w:t>×</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w:t>
      </w:r>
    </w:p>
    <w:p>
      <w:pPr>
        <w:pStyle w:val="13"/>
        <w:adjustRightInd w:val="0"/>
        <w:snapToGrid w:val="0"/>
        <w:spacing w:after="0" w:line="460" w:lineRule="atLeast"/>
        <w:ind w:left="0" w:leftChars="0" w:firstLine="1200" w:firstLineChars="500"/>
        <w:rPr>
          <w:rFonts w:ascii="仿宋_GB2312" w:hAnsi="宋体" w:eastAsia="仿宋_GB2312"/>
          <w:sz w:val="24"/>
          <w:szCs w:val="24"/>
        </w:rPr>
      </w:pPr>
      <w:r>
        <w:rPr>
          <w:rFonts w:hint="eastAsia" w:ascii="仿宋_GB2312" w:eastAsia="仿宋_GB2312" w:cs="仿宋_GB2312"/>
          <w:sz w:val="24"/>
          <w:szCs w:val="24"/>
        </w:rPr>
        <w:t>成交价格</w:t>
      </w:r>
      <w:r>
        <w:rPr>
          <w:rFonts w:ascii="仿宋_GB2312" w:eastAsia="仿宋_GB2312" w:cs="仿宋_GB2312"/>
          <w:sz w:val="24"/>
          <w:szCs w:val="24"/>
        </w:rPr>
        <w:t xml:space="preserve">   </w:t>
      </w:r>
      <w:r>
        <w:rPr>
          <w:rFonts w:hint="eastAsia" w:ascii="仿宋_GB2312" w:eastAsia="仿宋_GB2312" w:cs="仿宋_GB2312"/>
          <w:sz w:val="24"/>
          <w:szCs w:val="24"/>
        </w:rPr>
        <w:t>修正系数</w:t>
      </w:r>
      <w:r>
        <w:rPr>
          <w:rFonts w:ascii="仿宋_GB2312" w:eastAsia="仿宋_GB2312" w:cs="仿宋_GB2312"/>
          <w:sz w:val="24"/>
          <w:szCs w:val="24"/>
        </w:rPr>
        <w:t xml:space="preserve">   </w:t>
      </w:r>
      <w:r>
        <w:rPr>
          <w:rFonts w:hint="eastAsia" w:ascii="仿宋_GB2312" w:hAnsi="宋体" w:eastAsia="仿宋_GB2312" w:cs="仿宋_GB2312"/>
          <w:sz w:val="24"/>
          <w:szCs w:val="24"/>
        </w:rPr>
        <w:t>调整系数</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调整系数</w:t>
      </w:r>
    </w:p>
    <w:p>
      <w:pPr>
        <w:pStyle w:val="13"/>
        <w:adjustRightInd w:val="0"/>
        <w:snapToGrid w:val="0"/>
        <w:spacing w:after="0" w:line="460" w:lineRule="atLeast"/>
        <w:ind w:leftChars="0"/>
        <w:rPr>
          <w:rFonts w:ascii="仿宋_GB2312" w:eastAsia="仿宋_GB2312"/>
          <w:sz w:val="24"/>
          <w:szCs w:val="24"/>
        </w:rPr>
      </w:pPr>
      <w:r>
        <w:rPr>
          <w:rFonts w:hint="eastAsia" w:ascii="仿宋_GB2312" w:hAnsi="宋体" w:eastAsia="仿宋_GB2312" w:cs="仿宋_GB2312"/>
          <w:sz w:val="24"/>
          <w:szCs w:val="24"/>
        </w:rPr>
        <w:t>可比实例</w:t>
      </w:r>
      <w:r>
        <w:rPr>
          <w:rFonts w:ascii="仿宋_GB2312" w:hAnsi="宋体" w:eastAsia="仿宋_GB2312" w:cs="仿宋_GB2312"/>
          <w:sz w:val="24"/>
          <w:szCs w:val="24"/>
        </w:rPr>
        <w:t xml:space="preserve">        100         100+</w:t>
      </w:r>
      <w:r>
        <w:rPr>
          <w:rFonts w:hint="eastAsia" w:ascii="仿宋_GB2312" w:hAnsi="宋体" w:eastAsia="仿宋_GB2312" w:cs="仿宋_GB2312"/>
          <w:sz w:val="24"/>
          <w:szCs w:val="24"/>
        </w:rPr>
        <w:t>市场状况调整值</w:t>
      </w:r>
      <w:r>
        <w:rPr>
          <w:rFonts w:ascii="仿宋_GB2312" w:hAnsi="宋体" w:eastAsia="仿宋_GB2312" w:cs="仿宋_GB2312"/>
          <w:sz w:val="24"/>
          <w:szCs w:val="24"/>
        </w:rPr>
        <w:t xml:space="preserve">        100</w:t>
      </w:r>
    </w:p>
    <w:p>
      <w:pPr>
        <w:pStyle w:val="13"/>
        <w:adjustRightInd w:val="0"/>
        <w:snapToGrid w:val="0"/>
        <w:spacing w:after="0" w:line="460" w:lineRule="atLeast"/>
        <w:ind w:left="0" w:leftChars="0"/>
        <w:rPr>
          <w:rFonts w:ascii="仿宋_GB2312" w:eastAsia="仿宋_GB2312"/>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w:t>
      </w:r>
      <w:r>
        <w:rPr>
          <w:rFonts w:ascii="仿宋_GB2312" w:eastAsia="仿宋_GB2312" w:cs="仿宋_GB2312"/>
          <w:sz w:val="24"/>
          <w:szCs w:val="24"/>
        </w:rPr>
        <w:t xml:space="preserve">       </w:t>
      </w:r>
      <w:r>
        <w:rPr>
          <w:rFonts w:hint="eastAsia" w:ascii="仿宋_GB2312" w:hAnsi="宋体" w:eastAsia="仿宋_GB2312" w:cs="仿宋_GB2312"/>
          <w:sz w:val="24"/>
          <w:szCs w:val="24"/>
        </w:rPr>
        <w:t>×</w:t>
      </w:r>
      <w:r>
        <w:rPr>
          <w:rFonts w:ascii="仿宋_GB2312" w:hAnsi="宋体" w:eastAsia="仿宋_GB2312" w:cs="仿宋_GB2312"/>
          <w:sz w:val="24"/>
          <w:szCs w:val="24"/>
        </w:rPr>
        <w:t>—————————</w:t>
      </w:r>
      <w:r>
        <w:rPr>
          <w:rFonts w:hint="eastAsia" w:ascii="仿宋_GB2312" w:hAnsi="宋体" w:eastAsia="仿宋_GB2312" w:cs="仿宋_GB2312"/>
          <w:sz w:val="24"/>
          <w:szCs w:val="24"/>
        </w:rPr>
        <w:t>×</w:t>
      </w:r>
      <w:r>
        <w:rPr>
          <w:rFonts w:ascii="仿宋_GB2312" w:hAnsi="宋体" w:eastAsia="仿宋_GB2312" w:cs="仿宋_GB2312"/>
          <w:sz w:val="24"/>
          <w:szCs w:val="24"/>
        </w:rPr>
        <w:t>—————————</w:t>
      </w:r>
      <w:r>
        <w:rPr>
          <w:rFonts w:hint="eastAsia" w:ascii="仿宋_GB2312" w:hAnsi="宋体" w:eastAsia="仿宋_GB2312" w:cs="仿宋_GB2312"/>
          <w:sz w:val="24"/>
          <w:szCs w:val="24"/>
        </w:rPr>
        <w:t>×</w:t>
      </w:r>
      <w:r>
        <w:rPr>
          <w:rFonts w:ascii="仿宋_GB2312" w:hAnsi="宋体" w:eastAsia="仿宋_GB2312" w:cs="仿宋_GB2312"/>
          <w:sz w:val="24"/>
          <w:szCs w:val="24"/>
        </w:rPr>
        <w:t>—————————</w:t>
      </w:r>
    </w:p>
    <w:p>
      <w:pPr>
        <w:pStyle w:val="13"/>
        <w:adjustRightInd w:val="0"/>
        <w:snapToGrid w:val="0"/>
        <w:spacing w:after="0" w:line="460" w:lineRule="atLeast"/>
        <w:ind w:leftChars="0"/>
        <w:rPr>
          <w:rFonts w:ascii="仿宋_GB2312" w:hAnsi="宋体" w:eastAsia="仿宋_GB2312"/>
          <w:sz w:val="24"/>
          <w:szCs w:val="24"/>
        </w:rPr>
      </w:pPr>
      <w:r>
        <w:rPr>
          <w:rFonts w:hint="eastAsia" w:ascii="仿宋_GB2312" w:eastAsia="仿宋_GB2312" w:cs="仿宋_GB2312"/>
          <w:sz w:val="24"/>
          <w:szCs w:val="24"/>
        </w:rPr>
        <w:t>成交</w:t>
      </w:r>
      <w:r>
        <w:rPr>
          <w:rFonts w:hint="eastAsia" w:ascii="仿宋_GB2312" w:hAnsi="宋体" w:eastAsia="仿宋_GB2312" w:cs="仿宋_GB2312"/>
          <w:sz w:val="24"/>
          <w:szCs w:val="24"/>
        </w:rPr>
        <w:t>价格</w:t>
      </w:r>
      <w:r>
        <w:rPr>
          <w:rFonts w:ascii="仿宋_GB2312" w:hAnsi="宋体" w:eastAsia="仿宋_GB2312" w:cs="仿宋_GB2312"/>
          <w:sz w:val="24"/>
          <w:szCs w:val="24"/>
        </w:rPr>
        <w:t xml:space="preserve">  100+</w:t>
      </w:r>
      <w:r>
        <w:rPr>
          <w:rFonts w:hint="eastAsia" w:ascii="仿宋_GB2312" w:hAnsi="宋体" w:eastAsia="仿宋_GB2312" w:cs="仿宋_GB2312"/>
          <w:sz w:val="24"/>
          <w:szCs w:val="24"/>
        </w:rPr>
        <w:t>交易情况修正值</w:t>
      </w:r>
      <w:r>
        <w:rPr>
          <w:rFonts w:ascii="仿宋_GB2312" w:hAnsi="宋体" w:eastAsia="仿宋_GB2312" w:cs="仿宋_GB2312"/>
          <w:sz w:val="24"/>
          <w:szCs w:val="24"/>
        </w:rPr>
        <w:t xml:space="preserve">        100        100+</w:t>
      </w:r>
      <w:r>
        <w:rPr>
          <w:rFonts w:hint="eastAsia" w:ascii="仿宋_GB2312" w:hAnsi="宋体" w:eastAsia="仿宋_GB2312" w:cs="仿宋_GB2312"/>
          <w:sz w:val="24"/>
          <w:szCs w:val="24"/>
        </w:rPr>
        <w:t>房地产状况调整值</w:t>
      </w:r>
    </w:p>
    <w:p>
      <w:pPr>
        <w:pStyle w:val="13"/>
        <w:adjustRightInd w:val="0"/>
        <w:snapToGrid w:val="0"/>
        <w:spacing w:after="0" w:line="460" w:lineRule="atLeast"/>
        <w:ind w:left="0" w:leftChars="0" w:firstLine="560" w:firstLineChars="200"/>
        <w:rPr>
          <w:rFonts w:ascii="仿宋_GB2312" w:hAnsi="宋体" w:eastAsia="仿宋_GB2312"/>
          <w:sz w:val="28"/>
          <w:szCs w:val="28"/>
        </w:rPr>
      </w:pPr>
      <w:r>
        <w:rPr>
          <w:rFonts w:hint="eastAsia" w:ascii="仿宋_GB2312" w:eastAsia="仿宋_GB2312" w:cs="仿宋_GB2312"/>
          <w:sz w:val="28"/>
          <w:szCs w:val="28"/>
        </w:rPr>
        <w:t>上式中，交易情况修正的分子为</w:t>
      </w:r>
      <w:r>
        <w:rPr>
          <w:rFonts w:ascii="仿宋_GB2312" w:eastAsia="仿宋_GB2312" w:cs="仿宋_GB2312"/>
          <w:sz w:val="28"/>
          <w:szCs w:val="28"/>
        </w:rPr>
        <w:t>100</w:t>
      </w:r>
      <w:r>
        <w:rPr>
          <w:rFonts w:hint="eastAsia" w:ascii="仿宋_GB2312" w:eastAsia="仿宋_GB2312" w:cs="仿宋_GB2312"/>
          <w:sz w:val="28"/>
          <w:szCs w:val="28"/>
        </w:rPr>
        <w:t>，表示以正常交易价格为基准；市场状况调整系数的分母为</w:t>
      </w:r>
      <w:r>
        <w:rPr>
          <w:rFonts w:ascii="仿宋_GB2312" w:eastAsia="仿宋_GB2312" w:cs="仿宋_GB2312"/>
          <w:sz w:val="28"/>
          <w:szCs w:val="28"/>
        </w:rPr>
        <w:t>100</w:t>
      </w:r>
      <w:r>
        <w:rPr>
          <w:rFonts w:hint="eastAsia" w:ascii="仿宋_GB2312" w:eastAsia="仿宋_GB2312" w:cs="仿宋_GB2312"/>
          <w:sz w:val="28"/>
          <w:szCs w:val="28"/>
        </w:rPr>
        <w:t>，表示以可比实例交易当时的日期为基准；房地产状况调整系数的分子为</w:t>
      </w:r>
      <w:r>
        <w:rPr>
          <w:rFonts w:ascii="仿宋_GB2312" w:eastAsia="仿宋_GB2312" w:cs="仿宋_GB2312"/>
          <w:sz w:val="28"/>
          <w:szCs w:val="28"/>
        </w:rPr>
        <w:t>100</w:t>
      </w:r>
      <w:r>
        <w:rPr>
          <w:rFonts w:hint="eastAsia" w:ascii="仿宋_GB2312" w:eastAsia="仿宋_GB2312" w:cs="仿宋_GB2312"/>
          <w:sz w:val="28"/>
          <w:szCs w:val="28"/>
        </w:rPr>
        <w:t>，表示以估价对象房地产状况为基准。</w:t>
      </w:r>
      <w:r>
        <w:rPr>
          <w:rFonts w:hint="eastAsia" w:ascii="仿宋_GB2312" w:hAnsi="宋体" w:eastAsia="仿宋_GB2312"/>
          <w:sz w:val="28"/>
          <w:szCs w:val="28"/>
        </w:rPr>
        <w:t xml:space="preserve"> </w:t>
      </w:r>
    </w:p>
    <w:p>
      <w:pPr>
        <w:pStyle w:val="6"/>
        <w:adjustRightInd w:val="0"/>
        <w:snapToGrid w:val="0"/>
        <w:spacing w:line="440" w:lineRule="atLeast"/>
        <w:ind w:firstLine="672" w:firstLineChars="210"/>
        <w:outlineLvl w:val="1"/>
      </w:pPr>
      <w:bookmarkStart w:id="16" w:name="_Toc5483"/>
      <w:r>
        <w:rPr>
          <w:rFonts w:hint="eastAsia" w:eastAsia="黑体" w:cs="黑体"/>
        </w:rPr>
        <w:t>十、估价结果</w:t>
      </w:r>
      <w:r>
        <w:rPr>
          <w:rFonts w:hint="eastAsia" w:eastAsia="黑体" w:cs="黑体"/>
          <w:b/>
          <w:bCs/>
        </w:rPr>
        <w:t>：</w:t>
      </w:r>
      <w:bookmarkEnd w:id="16"/>
    </w:p>
    <w:p>
      <w:pPr>
        <w:pStyle w:val="6"/>
        <w:adjustRightInd w:val="0"/>
        <w:snapToGrid w:val="0"/>
        <w:spacing w:line="440" w:lineRule="atLeast"/>
        <w:ind w:left="51" w:firstLine="560" w:firstLineChars="200"/>
        <w:rPr>
          <w:rFonts w:ascii="仿宋_GB2312" w:eastAsia="仿宋_GB2312" w:cs="仿宋_GB2312"/>
          <w:color w:val="000000"/>
          <w:sz w:val="28"/>
          <w:szCs w:val="28"/>
        </w:rPr>
      </w:pPr>
      <w:r>
        <w:rPr>
          <w:rFonts w:hint="eastAsia" w:ascii="仿宋_GB2312" w:hAnsi="宋体" w:eastAsia="仿宋_GB2312" w:cs="仿宋_GB2312"/>
          <w:sz w:val="28"/>
          <w:szCs w:val="28"/>
        </w:rPr>
        <w:t>估价人员</w:t>
      </w:r>
      <w:r>
        <w:rPr>
          <w:rFonts w:hint="eastAsia" w:ascii="仿宋_GB2312" w:eastAsia="仿宋_GB2312" w:cs="仿宋_GB2312"/>
          <w:sz w:val="28"/>
          <w:szCs w:val="28"/>
        </w:rPr>
        <w:t>根据估价目的、遵循估价原则、按照估价程序</w:t>
      </w:r>
      <w:r>
        <w:rPr>
          <w:rFonts w:hint="eastAsia" w:ascii="仿宋_GB2312" w:hAnsi="宋体" w:eastAsia="仿宋_GB2312" w:cs="仿宋_GB2312"/>
          <w:sz w:val="28"/>
          <w:szCs w:val="28"/>
        </w:rPr>
        <w:t>，采用科学的估价方法，在认真分析现有资料的基础上，经过测算，并考虑影响估价对象价格因素，综合确定估价对象的总建筑面积为211.63平方米的市场</w:t>
      </w:r>
      <w:r>
        <w:rPr>
          <w:rFonts w:hint="eastAsia" w:ascii="仿宋_GB2312" w:eastAsia="仿宋_GB2312" w:cs="仿宋_GB2312"/>
          <w:color w:val="000000"/>
          <w:sz w:val="28"/>
          <w:szCs w:val="28"/>
        </w:rPr>
        <w:t>评估总额：</w:t>
      </w:r>
      <w:r>
        <w:rPr>
          <w:rFonts w:hint="eastAsia" w:ascii="仿宋_GB2312" w:eastAsia="仿宋_GB2312" w:cs="仿宋_GB2312"/>
          <w:kern w:val="0"/>
          <w:sz w:val="28"/>
          <w:szCs w:val="28"/>
        </w:rPr>
        <w:t>365,056.00元</w:t>
      </w:r>
      <w:r>
        <w:rPr>
          <w:rFonts w:hint="eastAsia" w:ascii="仿宋_GB2312" w:hAnsi="宋体" w:eastAsia="仿宋_GB2312" w:cs="仿宋_GB2312"/>
          <w:color w:val="000000"/>
          <w:sz w:val="28"/>
          <w:szCs w:val="28"/>
        </w:rPr>
        <w:t>，人民币大写金额：</w:t>
      </w:r>
      <w:r>
        <w:rPr>
          <w:rFonts w:hint="eastAsia" w:ascii="仿宋_GB2312" w:eastAsia="仿宋_GB2312" w:cs="仿宋_GB2312"/>
          <w:kern w:val="0"/>
          <w:sz w:val="28"/>
          <w:szCs w:val="28"/>
        </w:rPr>
        <w:t>叁拾陆万伍仟零伍拾陆</w:t>
      </w:r>
      <w:r>
        <w:rPr>
          <w:rFonts w:hint="eastAsia" w:ascii="仿宋_GB2312" w:hAnsi="宋体" w:eastAsia="仿宋_GB2312" w:cs="仿宋_GB2312"/>
          <w:color w:val="000000"/>
          <w:sz w:val="28"/>
          <w:szCs w:val="28"/>
        </w:rPr>
        <w:t>元</w:t>
      </w:r>
      <w:r>
        <w:rPr>
          <w:rFonts w:hint="eastAsia" w:ascii="仿宋_GB2312" w:eastAsia="仿宋_GB2312" w:cs="仿宋_GB2312"/>
          <w:color w:val="000000"/>
          <w:sz w:val="28"/>
          <w:szCs w:val="28"/>
        </w:rPr>
        <w:t>整。</w:t>
      </w:r>
    </w:p>
    <w:p>
      <w:pPr>
        <w:adjustRightInd w:val="0"/>
        <w:snapToGrid w:val="0"/>
        <w:spacing w:line="500" w:lineRule="atLeast"/>
        <w:ind w:firstLine="560" w:firstLineChars="200"/>
        <w:rPr>
          <w:rFonts w:ascii="仿宋_GB2312" w:eastAsia="仿宋_GB2312" w:cs="仿宋_GB2312"/>
          <w:sz w:val="28"/>
          <w:szCs w:val="28"/>
        </w:rPr>
      </w:pPr>
      <w:r>
        <w:rPr>
          <w:rFonts w:hint="eastAsia" w:ascii="Calibri" w:hAnsi="Calibri" w:eastAsia="仿宋_GB2312" w:cs="仿宋_GB2312"/>
          <w:sz w:val="28"/>
          <w:szCs w:val="28"/>
        </w:rPr>
        <w:t>详细请见下表：                             表二</w:t>
      </w:r>
      <w:r>
        <w:rPr>
          <w:rFonts w:hint="eastAsia" w:ascii="仿宋_GB2312" w:eastAsia="仿宋_GB2312" w:cs="仿宋_GB2312"/>
          <w:sz w:val="28"/>
          <w:szCs w:val="28"/>
        </w:rPr>
        <w:t xml:space="preserve"> </w:t>
      </w:r>
    </w:p>
    <w:tbl>
      <w:tblPr>
        <w:tblStyle w:val="17"/>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675"/>
        <w:gridCol w:w="2302"/>
        <w:gridCol w:w="709"/>
        <w:gridCol w:w="992"/>
        <w:gridCol w:w="851"/>
        <w:gridCol w:w="992"/>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仿宋_GB2312" w:hAnsi="Calibri" w:eastAsia="仿宋_GB2312"/>
              </w:rPr>
            </w:pPr>
            <w:r>
              <w:rPr>
                <w:rFonts w:hint="eastAsia" w:ascii="仿宋_GB2312" w:hAnsi="宋体" w:eastAsia="仿宋_GB2312" w:cs="宋体"/>
              </w:rPr>
              <w:t>序号</w:t>
            </w:r>
          </w:p>
        </w:tc>
        <w:tc>
          <w:tcPr>
            <w:tcW w:w="675" w:type="dxa"/>
            <w:vAlign w:val="center"/>
          </w:tcPr>
          <w:p>
            <w:pPr>
              <w:jc w:val="center"/>
              <w:rPr>
                <w:rFonts w:ascii="仿宋_GB2312" w:hAnsi="Calibri" w:eastAsia="仿宋_GB2312"/>
              </w:rPr>
            </w:pPr>
            <w:r>
              <w:rPr>
                <w:rFonts w:hint="eastAsia" w:ascii="仿宋_GB2312" w:hAnsi="宋体" w:eastAsia="仿宋_GB2312" w:cs="宋体"/>
              </w:rPr>
              <w:t>权利人</w:t>
            </w:r>
          </w:p>
        </w:tc>
        <w:tc>
          <w:tcPr>
            <w:tcW w:w="2302" w:type="dxa"/>
            <w:vAlign w:val="center"/>
          </w:tcPr>
          <w:p>
            <w:pPr>
              <w:jc w:val="center"/>
              <w:rPr>
                <w:rFonts w:ascii="仿宋_GB2312" w:eastAsia="仿宋_GB2312"/>
              </w:rPr>
            </w:pPr>
            <w:r>
              <w:rPr>
                <w:rFonts w:hint="eastAsia" w:ascii="仿宋_GB2312" w:hAnsi="宋体" w:eastAsia="仿宋_GB2312" w:cs="宋体"/>
              </w:rPr>
              <w:t>坐落</w:t>
            </w:r>
          </w:p>
        </w:tc>
        <w:tc>
          <w:tcPr>
            <w:tcW w:w="709" w:type="dxa"/>
            <w:vAlign w:val="center"/>
          </w:tcPr>
          <w:p>
            <w:pPr>
              <w:jc w:val="center"/>
              <w:rPr>
                <w:rFonts w:ascii="仿宋_GB2312" w:eastAsia="仿宋_GB2312"/>
              </w:rPr>
            </w:pPr>
            <w:r>
              <w:rPr>
                <w:rFonts w:hint="eastAsia" w:ascii="仿宋_GB2312" w:eastAsia="仿宋_GB2312"/>
              </w:rPr>
              <w:t>规划用途</w:t>
            </w:r>
          </w:p>
        </w:tc>
        <w:tc>
          <w:tcPr>
            <w:tcW w:w="992" w:type="dxa"/>
            <w:vAlign w:val="center"/>
          </w:tcPr>
          <w:p>
            <w:pPr>
              <w:jc w:val="center"/>
              <w:rPr>
                <w:rFonts w:ascii="仿宋_GB2312" w:eastAsia="仿宋_GB2312"/>
              </w:rPr>
            </w:pPr>
            <w:r>
              <w:rPr>
                <w:rFonts w:hint="eastAsia" w:ascii="仿宋_GB2312" w:eastAsia="仿宋_GB2312"/>
              </w:rPr>
              <w:t>所在层/总层数</w:t>
            </w:r>
          </w:p>
        </w:tc>
        <w:tc>
          <w:tcPr>
            <w:tcW w:w="851" w:type="dxa"/>
            <w:vAlign w:val="center"/>
          </w:tcPr>
          <w:p>
            <w:pPr>
              <w:jc w:val="center"/>
              <w:rPr>
                <w:rFonts w:ascii="仿宋_GB2312" w:eastAsia="仿宋_GB2312"/>
              </w:rPr>
            </w:pPr>
            <w:r>
              <w:rPr>
                <w:rFonts w:hint="eastAsia" w:ascii="仿宋_GB2312" w:eastAsia="仿宋_GB2312"/>
              </w:rPr>
              <w:t>建筑面积（</w:t>
            </w:r>
            <w:r>
              <w:rPr>
                <w:rFonts w:hint="eastAsia" w:ascii="仿宋_GB2312"/>
              </w:rPr>
              <w:t>㎡</w:t>
            </w:r>
            <w:r>
              <w:rPr>
                <w:rFonts w:hint="eastAsia" w:ascii="仿宋_GB2312" w:eastAsia="仿宋_GB2312"/>
              </w:rPr>
              <w:t>）</w:t>
            </w:r>
          </w:p>
        </w:tc>
        <w:tc>
          <w:tcPr>
            <w:tcW w:w="992" w:type="dxa"/>
            <w:vAlign w:val="center"/>
          </w:tcPr>
          <w:p>
            <w:pPr>
              <w:jc w:val="center"/>
              <w:rPr>
                <w:rFonts w:ascii="仿宋_GB2312" w:eastAsia="仿宋_GB2312"/>
              </w:rPr>
            </w:pPr>
            <w:r>
              <w:rPr>
                <w:rFonts w:hint="eastAsia" w:ascii="仿宋_GB2312" w:eastAsia="仿宋_GB2312"/>
              </w:rPr>
              <w:t>单价(元/m2)</w:t>
            </w:r>
          </w:p>
        </w:tc>
        <w:tc>
          <w:tcPr>
            <w:tcW w:w="1417" w:type="dxa"/>
            <w:vAlign w:val="center"/>
          </w:tcPr>
          <w:p>
            <w:pPr>
              <w:jc w:val="center"/>
              <w:rPr>
                <w:rFonts w:ascii="仿宋_GB2312" w:eastAsia="仿宋_GB2312"/>
              </w:rPr>
            </w:pPr>
            <w:r>
              <w:rPr>
                <w:rFonts w:hint="eastAsia" w:ascii="仿宋_GB2312" w:eastAsia="仿宋_GB2312"/>
              </w:rPr>
              <w:t>评估金额（元）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仿宋_GB2312" w:eastAsia="仿宋_GB2312"/>
              </w:rPr>
            </w:pPr>
            <w:r>
              <w:rPr>
                <w:rFonts w:hint="eastAsia" w:ascii="仿宋_GB2312" w:eastAsia="仿宋_GB2312" w:cs="仿宋_GB2312"/>
              </w:rPr>
              <w:t>1</w:t>
            </w:r>
          </w:p>
        </w:tc>
        <w:tc>
          <w:tcPr>
            <w:tcW w:w="675" w:type="dxa"/>
            <w:vMerge w:val="restart"/>
            <w:vAlign w:val="center"/>
          </w:tcPr>
          <w:p>
            <w:pPr>
              <w:jc w:val="center"/>
              <w:rPr>
                <w:rFonts w:ascii="仿宋_GB2312" w:eastAsia="仿宋_GB2312"/>
              </w:rPr>
            </w:pPr>
            <w:r>
              <w:rPr>
                <w:rFonts w:hint="eastAsia" w:ascii="仿宋_GB2312" w:eastAsia="仿宋_GB2312"/>
              </w:rPr>
              <w:t>洮南市宏业房地产开发有限公司</w:t>
            </w:r>
          </w:p>
        </w:tc>
        <w:tc>
          <w:tcPr>
            <w:tcW w:w="2302" w:type="dxa"/>
            <w:vAlign w:val="center"/>
          </w:tcPr>
          <w:p>
            <w:pPr>
              <w:jc w:val="center"/>
              <w:rPr>
                <w:rFonts w:ascii="仿宋_GB2312" w:eastAsia="仿宋_GB2312"/>
              </w:rPr>
            </w:pPr>
            <w:r>
              <w:rPr>
                <w:rFonts w:hint="eastAsia" w:ascii="仿宋_GB2312" w:eastAsia="仿宋_GB2312"/>
              </w:rPr>
              <w:t>洮南市团结街道清真西路（玫瑰园小区一期13号楼）1单元602室</w:t>
            </w:r>
          </w:p>
        </w:tc>
        <w:tc>
          <w:tcPr>
            <w:tcW w:w="709" w:type="dxa"/>
            <w:vAlign w:val="center"/>
          </w:tcPr>
          <w:p>
            <w:pPr>
              <w:jc w:val="center"/>
              <w:rPr>
                <w:rFonts w:ascii="仿宋_GB2312" w:eastAsia="仿宋_GB2312"/>
              </w:rPr>
            </w:pPr>
            <w:r>
              <w:rPr>
                <w:rFonts w:hint="eastAsia" w:ascii="仿宋_GB2312" w:eastAsia="仿宋_GB2312"/>
              </w:rPr>
              <w:t>住宅</w:t>
            </w:r>
          </w:p>
        </w:tc>
        <w:tc>
          <w:tcPr>
            <w:tcW w:w="992" w:type="dxa"/>
            <w:vAlign w:val="center"/>
          </w:tcPr>
          <w:p>
            <w:pPr>
              <w:jc w:val="center"/>
              <w:rPr>
                <w:rFonts w:ascii="仿宋_GB2312" w:eastAsia="仿宋_GB2312"/>
              </w:rPr>
            </w:pPr>
            <w:r>
              <w:rPr>
                <w:rFonts w:hint="eastAsia" w:ascii="仿宋_GB2312" w:eastAsia="仿宋_GB2312"/>
              </w:rPr>
              <w:t>6/6</w:t>
            </w:r>
          </w:p>
        </w:tc>
        <w:tc>
          <w:tcPr>
            <w:tcW w:w="851" w:type="dxa"/>
            <w:vAlign w:val="center"/>
          </w:tcPr>
          <w:p>
            <w:pPr>
              <w:jc w:val="center"/>
              <w:rPr>
                <w:rFonts w:ascii="仿宋_GB2312" w:eastAsia="仿宋_GB2312"/>
              </w:rPr>
            </w:pPr>
            <w:r>
              <w:rPr>
                <w:rFonts w:hint="eastAsia" w:ascii="仿宋_GB2312" w:eastAsia="仿宋_GB2312"/>
              </w:rPr>
              <w:t>70.28</w:t>
            </w:r>
          </w:p>
        </w:tc>
        <w:tc>
          <w:tcPr>
            <w:tcW w:w="992" w:type="dxa"/>
            <w:vAlign w:val="center"/>
          </w:tcPr>
          <w:p>
            <w:pPr>
              <w:jc w:val="center"/>
              <w:rPr>
                <w:rFonts w:ascii="仿宋_GB2312" w:eastAsia="仿宋_GB2312"/>
              </w:rPr>
            </w:pPr>
            <w:r>
              <w:rPr>
                <w:rFonts w:hint="eastAsia" w:ascii="仿宋_GB2312" w:eastAsia="仿宋_GB2312"/>
              </w:rPr>
              <w:t>1750</w:t>
            </w:r>
          </w:p>
        </w:tc>
        <w:tc>
          <w:tcPr>
            <w:tcW w:w="1417" w:type="dxa"/>
            <w:vAlign w:val="center"/>
          </w:tcPr>
          <w:p>
            <w:pPr>
              <w:jc w:val="center"/>
              <w:rPr>
                <w:rFonts w:ascii="仿宋_GB2312" w:eastAsia="仿宋_GB2312"/>
              </w:rPr>
            </w:pPr>
            <w:r>
              <w:rPr>
                <w:rFonts w:hint="eastAsia" w:ascii="仿宋_GB2312" w:eastAsia="仿宋_GB2312"/>
              </w:rPr>
              <w:t>122,990.00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675" w:type="dxa"/>
            <w:vAlign w:val="center"/>
          </w:tcPr>
          <w:p>
            <w:pPr>
              <w:jc w:val="center"/>
              <w:rPr>
                <w:rFonts w:ascii="仿宋_GB2312" w:eastAsia="仿宋_GB2312"/>
              </w:rPr>
            </w:pPr>
            <w:r>
              <w:rPr>
                <w:rFonts w:hint="eastAsia" w:ascii="仿宋_GB2312" w:eastAsia="仿宋_GB2312" w:cs="仿宋_GB2312"/>
              </w:rPr>
              <w:t>2</w:t>
            </w:r>
          </w:p>
        </w:tc>
        <w:tc>
          <w:tcPr>
            <w:tcW w:w="675" w:type="dxa"/>
            <w:vMerge w:val="continue"/>
            <w:vAlign w:val="center"/>
          </w:tcPr>
          <w:p>
            <w:pPr>
              <w:jc w:val="center"/>
              <w:rPr>
                <w:rFonts w:ascii="仿宋_GB2312" w:eastAsia="仿宋_GB2312"/>
              </w:rPr>
            </w:pPr>
          </w:p>
        </w:tc>
        <w:tc>
          <w:tcPr>
            <w:tcW w:w="2302" w:type="dxa"/>
            <w:vAlign w:val="center"/>
          </w:tcPr>
          <w:p>
            <w:pPr>
              <w:jc w:val="center"/>
              <w:rPr>
                <w:rFonts w:ascii="仿宋_GB2312" w:eastAsia="仿宋_GB2312"/>
              </w:rPr>
            </w:pPr>
            <w:r>
              <w:rPr>
                <w:rFonts w:hint="eastAsia" w:ascii="仿宋_GB2312" w:eastAsia="仿宋_GB2312"/>
              </w:rPr>
              <w:t>洮南市团结街道清真西路（玫瑰园小区一期13号楼）4单元601室</w:t>
            </w:r>
          </w:p>
        </w:tc>
        <w:tc>
          <w:tcPr>
            <w:tcW w:w="709" w:type="dxa"/>
            <w:vAlign w:val="center"/>
          </w:tcPr>
          <w:p>
            <w:pPr>
              <w:jc w:val="center"/>
              <w:rPr>
                <w:rFonts w:ascii="仿宋_GB2312" w:eastAsia="仿宋_GB2312"/>
              </w:rPr>
            </w:pPr>
            <w:r>
              <w:rPr>
                <w:rFonts w:hint="eastAsia" w:ascii="仿宋_GB2312" w:eastAsia="仿宋_GB2312"/>
              </w:rPr>
              <w:t>住宅</w:t>
            </w:r>
          </w:p>
        </w:tc>
        <w:tc>
          <w:tcPr>
            <w:tcW w:w="992" w:type="dxa"/>
            <w:vAlign w:val="center"/>
          </w:tcPr>
          <w:p>
            <w:pPr>
              <w:jc w:val="center"/>
              <w:rPr>
                <w:rFonts w:ascii="仿宋_GB2312" w:eastAsia="仿宋_GB2312"/>
              </w:rPr>
            </w:pPr>
            <w:r>
              <w:rPr>
                <w:rFonts w:hint="eastAsia" w:ascii="仿宋_GB2312" w:eastAsia="仿宋_GB2312"/>
              </w:rPr>
              <w:t>6/6</w:t>
            </w:r>
          </w:p>
        </w:tc>
        <w:tc>
          <w:tcPr>
            <w:tcW w:w="851" w:type="dxa"/>
            <w:vAlign w:val="center"/>
          </w:tcPr>
          <w:p>
            <w:pPr>
              <w:jc w:val="center"/>
              <w:rPr>
                <w:rFonts w:ascii="仿宋_GB2312" w:eastAsia="仿宋_GB2312"/>
              </w:rPr>
            </w:pPr>
            <w:r>
              <w:rPr>
                <w:rFonts w:hint="eastAsia" w:ascii="仿宋_GB2312" w:eastAsia="仿宋_GB2312"/>
              </w:rPr>
              <w:t>65.69</w:t>
            </w:r>
          </w:p>
        </w:tc>
        <w:tc>
          <w:tcPr>
            <w:tcW w:w="992" w:type="dxa"/>
            <w:vAlign w:val="center"/>
          </w:tcPr>
          <w:p>
            <w:pPr>
              <w:jc w:val="center"/>
              <w:rPr>
                <w:rFonts w:ascii="仿宋_GB2312" w:eastAsia="仿宋_GB2312"/>
              </w:rPr>
            </w:pPr>
            <w:r>
              <w:rPr>
                <w:rFonts w:hint="eastAsia" w:ascii="仿宋_GB2312" w:eastAsia="仿宋_GB2312"/>
              </w:rPr>
              <w:t>1750</w:t>
            </w:r>
          </w:p>
        </w:tc>
        <w:tc>
          <w:tcPr>
            <w:tcW w:w="1417" w:type="dxa"/>
            <w:vAlign w:val="center"/>
          </w:tcPr>
          <w:p>
            <w:pPr>
              <w:jc w:val="center"/>
              <w:rPr>
                <w:rFonts w:ascii="仿宋_GB2312" w:eastAsia="仿宋_GB2312"/>
              </w:rPr>
            </w:pPr>
            <w:r>
              <w:rPr>
                <w:rFonts w:hint="eastAsia" w:ascii="仿宋_GB2312" w:eastAsia="仿宋_GB2312"/>
              </w:rPr>
              <w:t>114,958.00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675" w:type="dxa"/>
            <w:vAlign w:val="center"/>
          </w:tcPr>
          <w:p>
            <w:pPr>
              <w:jc w:val="center"/>
              <w:rPr>
                <w:rFonts w:ascii="仿宋_GB2312" w:eastAsia="仿宋_GB2312" w:cs="仿宋_GB2312"/>
              </w:rPr>
            </w:pPr>
            <w:r>
              <w:rPr>
                <w:rFonts w:hint="eastAsia" w:ascii="仿宋_GB2312" w:eastAsia="仿宋_GB2312" w:cs="仿宋_GB2312"/>
              </w:rPr>
              <w:t>3</w:t>
            </w:r>
          </w:p>
        </w:tc>
        <w:tc>
          <w:tcPr>
            <w:tcW w:w="675" w:type="dxa"/>
            <w:vMerge w:val="continue"/>
            <w:vAlign w:val="center"/>
          </w:tcPr>
          <w:p>
            <w:pPr>
              <w:jc w:val="center"/>
              <w:rPr>
                <w:rFonts w:ascii="仿宋_GB2312" w:eastAsia="仿宋_GB2312" w:cs="仿宋_GB2312"/>
              </w:rPr>
            </w:pPr>
          </w:p>
        </w:tc>
        <w:tc>
          <w:tcPr>
            <w:tcW w:w="2302" w:type="dxa"/>
            <w:vAlign w:val="center"/>
          </w:tcPr>
          <w:p>
            <w:pPr>
              <w:jc w:val="center"/>
              <w:rPr>
                <w:rFonts w:ascii="仿宋_GB2312" w:eastAsia="仿宋_GB2312"/>
              </w:rPr>
            </w:pPr>
            <w:r>
              <w:rPr>
                <w:rFonts w:hint="eastAsia" w:ascii="仿宋_GB2312" w:eastAsia="仿宋_GB2312"/>
              </w:rPr>
              <w:t>洮南市团结街道清真西路（玫瑰园小区一期13号楼）5单元601室</w:t>
            </w:r>
          </w:p>
        </w:tc>
        <w:tc>
          <w:tcPr>
            <w:tcW w:w="709" w:type="dxa"/>
            <w:vAlign w:val="center"/>
          </w:tcPr>
          <w:p>
            <w:pPr>
              <w:jc w:val="center"/>
              <w:rPr>
                <w:rFonts w:ascii="仿宋_GB2312" w:eastAsia="仿宋_GB2312"/>
              </w:rPr>
            </w:pPr>
            <w:r>
              <w:rPr>
                <w:rFonts w:hint="eastAsia" w:ascii="仿宋_GB2312" w:eastAsia="仿宋_GB2312"/>
              </w:rPr>
              <w:t>住宅</w:t>
            </w:r>
          </w:p>
        </w:tc>
        <w:tc>
          <w:tcPr>
            <w:tcW w:w="992" w:type="dxa"/>
            <w:vAlign w:val="center"/>
          </w:tcPr>
          <w:p>
            <w:pPr>
              <w:jc w:val="center"/>
              <w:rPr>
                <w:rFonts w:ascii="仿宋_GB2312" w:eastAsia="仿宋_GB2312"/>
              </w:rPr>
            </w:pPr>
            <w:r>
              <w:rPr>
                <w:rFonts w:hint="eastAsia" w:ascii="仿宋_GB2312" w:eastAsia="仿宋_GB2312"/>
              </w:rPr>
              <w:t>6/6</w:t>
            </w:r>
          </w:p>
        </w:tc>
        <w:tc>
          <w:tcPr>
            <w:tcW w:w="851" w:type="dxa"/>
            <w:vAlign w:val="center"/>
          </w:tcPr>
          <w:p>
            <w:pPr>
              <w:jc w:val="center"/>
              <w:rPr>
                <w:rFonts w:ascii="仿宋_GB2312" w:eastAsia="仿宋_GB2312"/>
              </w:rPr>
            </w:pPr>
            <w:r>
              <w:rPr>
                <w:rFonts w:hint="eastAsia" w:ascii="仿宋_GB2312" w:eastAsia="仿宋_GB2312"/>
              </w:rPr>
              <w:t>75.66</w:t>
            </w:r>
          </w:p>
        </w:tc>
        <w:tc>
          <w:tcPr>
            <w:tcW w:w="992" w:type="dxa"/>
            <w:vAlign w:val="center"/>
          </w:tcPr>
          <w:p>
            <w:pPr>
              <w:jc w:val="center"/>
              <w:rPr>
                <w:rFonts w:ascii="仿宋_GB2312" w:eastAsia="仿宋_GB2312"/>
              </w:rPr>
            </w:pPr>
            <w:r>
              <w:rPr>
                <w:rFonts w:hint="eastAsia" w:ascii="仿宋_GB2312" w:eastAsia="仿宋_GB2312"/>
              </w:rPr>
              <w:t>1680</w:t>
            </w:r>
          </w:p>
        </w:tc>
        <w:tc>
          <w:tcPr>
            <w:tcW w:w="1417" w:type="dxa"/>
            <w:vAlign w:val="center"/>
          </w:tcPr>
          <w:p>
            <w:pPr>
              <w:jc w:val="center"/>
              <w:rPr>
                <w:rFonts w:ascii="仿宋_GB2312" w:eastAsia="仿宋_GB2312"/>
              </w:rPr>
            </w:pPr>
            <w:r>
              <w:rPr>
                <w:rFonts w:hint="eastAsia" w:ascii="仿宋_GB2312" w:eastAsia="仿宋_GB2312"/>
              </w:rPr>
              <w:t>127,109.00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675" w:type="dxa"/>
            <w:vAlign w:val="center"/>
          </w:tcPr>
          <w:p>
            <w:pPr>
              <w:jc w:val="center"/>
              <w:rPr>
                <w:rFonts w:ascii="仿宋_GB2312" w:eastAsia="仿宋_GB2312" w:cs="仿宋_GB2312"/>
              </w:rPr>
            </w:pPr>
            <w:r>
              <w:rPr>
                <w:rFonts w:hint="eastAsia" w:ascii="仿宋_GB2312" w:eastAsia="仿宋_GB2312" w:cs="仿宋_GB2312"/>
              </w:rPr>
              <w:t>合计</w:t>
            </w:r>
          </w:p>
        </w:tc>
        <w:tc>
          <w:tcPr>
            <w:tcW w:w="675" w:type="dxa"/>
            <w:vAlign w:val="center"/>
          </w:tcPr>
          <w:p>
            <w:pPr>
              <w:jc w:val="center"/>
              <w:rPr>
                <w:rFonts w:ascii="仿宋_GB2312" w:eastAsia="仿宋_GB2312" w:cs="仿宋_GB2312"/>
              </w:rPr>
            </w:pPr>
            <w:r>
              <w:rPr>
                <w:rFonts w:hint="eastAsia" w:ascii="仿宋_GB2312" w:eastAsia="仿宋_GB2312" w:cs="仿宋_GB2312"/>
              </w:rPr>
              <w:t xml:space="preserve"> </w:t>
            </w:r>
          </w:p>
        </w:tc>
        <w:tc>
          <w:tcPr>
            <w:tcW w:w="2302" w:type="dxa"/>
            <w:vAlign w:val="center"/>
          </w:tcPr>
          <w:p>
            <w:pPr>
              <w:jc w:val="center"/>
              <w:rPr>
                <w:rFonts w:ascii="仿宋_GB2312" w:eastAsia="仿宋_GB2312"/>
              </w:rPr>
            </w:pPr>
          </w:p>
        </w:tc>
        <w:tc>
          <w:tcPr>
            <w:tcW w:w="709"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851" w:type="dxa"/>
            <w:vAlign w:val="center"/>
          </w:tcPr>
          <w:p>
            <w:pPr>
              <w:jc w:val="center"/>
              <w:rPr>
                <w:rFonts w:ascii="仿宋_GB2312" w:eastAsia="仿宋_GB2312"/>
              </w:rPr>
            </w:pPr>
            <w:r>
              <w:rPr>
                <w:rFonts w:hint="eastAsia" w:ascii="仿宋_GB2312" w:eastAsia="仿宋_GB2312"/>
              </w:rPr>
              <w:t>211.63</w:t>
            </w:r>
          </w:p>
        </w:tc>
        <w:tc>
          <w:tcPr>
            <w:tcW w:w="992" w:type="dxa"/>
            <w:vAlign w:val="center"/>
          </w:tcPr>
          <w:p>
            <w:pPr>
              <w:jc w:val="center"/>
              <w:rPr>
                <w:rFonts w:ascii="仿宋_GB2312" w:eastAsia="仿宋_GB2312"/>
              </w:rPr>
            </w:pPr>
          </w:p>
        </w:tc>
        <w:tc>
          <w:tcPr>
            <w:tcW w:w="1417" w:type="dxa"/>
            <w:vAlign w:val="center"/>
          </w:tcPr>
          <w:p>
            <w:pPr>
              <w:jc w:val="center"/>
              <w:rPr>
                <w:rFonts w:ascii="仿宋_GB2312" w:eastAsia="仿宋_GB2312"/>
              </w:rPr>
            </w:pPr>
            <w:r>
              <w:rPr>
                <w:rFonts w:hint="eastAsia" w:ascii="仿宋_GB2312" w:eastAsia="仿宋_GB2312"/>
              </w:rPr>
              <w:t>365,056.00</w:t>
            </w:r>
          </w:p>
        </w:tc>
      </w:tr>
    </w:tbl>
    <w:p>
      <w:pPr>
        <w:pStyle w:val="3"/>
        <w:keepNext w:val="0"/>
        <w:keepLines w:val="0"/>
        <w:adjustRightInd w:val="0"/>
        <w:snapToGrid w:val="0"/>
        <w:spacing w:before="0" w:after="0" w:line="440" w:lineRule="atLeast"/>
        <w:ind w:firstLine="630" w:firstLineChars="196"/>
        <w:rPr>
          <w:rFonts w:eastAsia="黑体" w:cs="黑体"/>
        </w:rPr>
      </w:pPr>
      <w:r>
        <w:rPr>
          <w:rFonts w:hint="eastAsia" w:eastAsia="黑体" w:cs="黑体"/>
        </w:rPr>
        <w:t xml:space="preserve"> </w:t>
      </w:r>
    </w:p>
    <w:p>
      <w:pPr>
        <w:pStyle w:val="3"/>
        <w:keepNext w:val="0"/>
        <w:keepLines w:val="0"/>
        <w:adjustRightInd w:val="0"/>
        <w:snapToGrid w:val="0"/>
        <w:spacing w:before="0" w:after="0" w:line="440" w:lineRule="atLeast"/>
        <w:ind w:firstLine="630" w:firstLineChars="196"/>
        <w:rPr>
          <w:rFonts w:hAnsi="黑体" w:eastAsia="黑体" w:cs="黑体"/>
        </w:rPr>
      </w:pPr>
      <w:bookmarkStart w:id="17" w:name="_Toc28197"/>
      <w:r>
        <w:rPr>
          <w:rFonts w:hint="eastAsia" w:eastAsia="黑体" w:cs="黑体"/>
        </w:rPr>
        <w:t>十一、</w:t>
      </w:r>
      <w:r>
        <w:rPr>
          <w:rFonts w:hint="eastAsia" w:hAnsi="黑体" w:eastAsia="黑体" w:cs="黑体"/>
          <w:b w:val="0"/>
          <w:bCs w:val="0"/>
        </w:rPr>
        <w:t>注册房地产估价师</w:t>
      </w:r>
      <w:r>
        <w:rPr>
          <w:rFonts w:hint="eastAsia" w:hAnsi="黑体" w:eastAsia="黑体" w:cs="黑体"/>
        </w:rPr>
        <w:t>：</w:t>
      </w:r>
      <w:bookmarkEnd w:id="17"/>
    </w:p>
    <w:p/>
    <w:p/>
    <w:p>
      <w:pPr>
        <w:adjustRightInd w:val="0"/>
        <w:snapToGrid w:val="0"/>
        <w:spacing w:line="440" w:lineRule="atLeast"/>
        <w:ind w:left="50" w:firstLine="560" w:firstLineChars="200"/>
        <w:rPr>
          <w:rFonts w:ascii="仿宋_GB2312" w:eastAsia="仿宋_GB2312" w:cs="仿宋_GB2312"/>
          <w:sz w:val="28"/>
          <w:szCs w:val="28"/>
        </w:rPr>
      </w:pPr>
      <w:r>
        <w:rPr>
          <w:rFonts w:hint="eastAsia" w:ascii="仿宋_GB2312" w:eastAsia="仿宋_GB2312" w:cs="仿宋_GB2312"/>
          <w:sz w:val="28"/>
          <w:szCs w:val="28"/>
        </w:rPr>
        <w:t>牛亚娟</w:t>
      </w:r>
      <w:r>
        <w:rPr>
          <w:rFonts w:ascii="仿宋_GB2312" w:eastAsia="仿宋_GB2312" w:cs="仿宋_GB2312"/>
          <w:sz w:val="28"/>
          <w:szCs w:val="28"/>
        </w:rPr>
        <w:t xml:space="preserve">   </w:t>
      </w:r>
      <w:r>
        <w:rPr>
          <w:rFonts w:hint="eastAsia" w:ascii="仿宋_GB2312" w:eastAsia="仿宋_GB2312" w:cs="仿宋_GB2312"/>
          <w:sz w:val="28"/>
          <w:szCs w:val="28"/>
        </w:rPr>
        <w:t>（注册证号</w:t>
      </w:r>
      <w:r>
        <w:rPr>
          <w:rFonts w:ascii="仿宋_GB2312" w:eastAsia="仿宋_GB2312" w:cs="仿宋_GB2312"/>
          <w:sz w:val="28"/>
          <w:szCs w:val="28"/>
        </w:rPr>
        <w:t xml:space="preserve"> </w:t>
      </w:r>
      <w:r>
        <w:rPr>
          <w:rFonts w:hint="eastAsia" w:ascii="仿宋_GB2312" w:eastAsia="仿宋_GB2312" w:cs="仿宋_GB2312"/>
          <w:sz w:val="28"/>
          <w:szCs w:val="28"/>
        </w:rPr>
        <w:t>）</w:t>
      </w:r>
      <w:r>
        <w:rPr>
          <w:rFonts w:ascii="仿宋_GB2312" w:eastAsia="仿宋_GB2312" w:cs="仿宋_GB2312"/>
          <w:sz w:val="28"/>
          <w:szCs w:val="28"/>
        </w:rPr>
        <w:t>2220090029</w:t>
      </w:r>
    </w:p>
    <w:p>
      <w:pPr>
        <w:adjustRightInd w:val="0"/>
        <w:snapToGrid w:val="0"/>
        <w:spacing w:line="440" w:lineRule="atLeast"/>
        <w:ind w:left="50" w:firstLine="560" w:firstLineChars="200"/>
        <w:rPr>
          <w:rFonts w:ascii="仿宋_GB2312" w:eastAsia="仿宋_GB2312"/>
          <w:sz w:val="28"/>
          <w:szCs w:val="28"/>
        </w:rPr>
      </w:pPr>
    </w:p>
    <w:p>
      <w:pPr>
        <w:adjustRightInd w:val="0"/>
        <w:snapToGrid w:val="0"/>
        <w:spacing w:line="440" w:lineRule="atLeast"/>
        <w:ind w:firstLine="200"/>
        <w:rPr>
          <w:rFonts w:ascii="仿宋_GB2312" w:eastAsia="仿宋_GB2312"/>
          <w:sz w:val="28"/>
          <w:szCs w:val="28"/>
        </w:rPr>
      </w:pPr>
    </w:p>
    <w:p>
      <w:pPr>
        <w:adjustRightInd w:val="0"/>
        <w:snapToGrid w:val="0"/>
        <w:spacing w:line="440" w:lineRule="atLeast"/>
        <w:ind w:left="50" w:firstLine="560" w:firstLineChars="200"/>
        <w:rPr>
          <w:rFonts w:ascii="仿宋_GB2312" w:eastAsia="仿宋_GB2312" w:cs="仿宋_GB2312"/>
          <w:sz w:val="28"/>
          <w:szCs w:val="28"/>
        </w:rPr>
      </w:pPr>
      <w:r>
        <w:rPr>
          <w:rFonts w:hint="eastAsia" w:ascii="仿宋_GB2312" w:eastAsia="仿宋_GB2312" w:cs="仿宋_GB2312"/>
          <w:sz w:val="28"/>
          <w:szCs w:val="28"/>
        </w:rPr>
        <w:t>韩宝军</w:t>
      </w:r>
      <w:r>
        <w:rPr>
          <w:rFonts w:ascii="仿宋_GB2312" w:eastAsia="仿宋_GB2312" w:cs="仿宋_GB2312"/>
          <w:sz w:val="28"/>
          <w:szCs w:val="28"/>
        </w:rPr>
        <w:t xml:space="preserve">   </w:t>
      </w:r>
      <w:r>
        <w:rPr>
          <w:rFonts w:hint="eastAsia" w:ascii="仿宋_GB2312" w:eastAsia="仿宋_GB2312" w:cs="仿宋_GB2312"/>
          <w:sz w:val="28"/>
          <w:szCs w:val="28"/>
        </w:rPr>
        <w:t>（注册证号</w:t>
      </w:r>
      <w:r>
        <w:rPr>
          <w:rFonts w:ascii="仿宋_GB2312" w:eastAsia="仿宋_GB2312" w:cs="仿宋_GB2312"/>
          <w:sz w:val="28"/>
          <w:szCs w:val="28"/>
        </w:rPr>
        <w:t xml:space="preserve"> </w:t>
      </w:r>
      <w:r>
        <w:rPr>
          <w:rFonts w:hint="eastAsia" w:ascii="仿宋_GB2312" w:eastAsia="仿宋_GB2312" w:cs="仿宋_GB2312"/>
          <w:sz w:val="28"/>
          <w:szCs w:val="28"/>
        </w:rPr>
        <w:t>）2220000067</w:t>
      </w:r>
    </w:p>
    <w:p>
      <w:pPr>
        <w:adjustRightInd w:val="0"/>
        <w:snapToGrid w:val="0"/>
        <w:spacing w:line="440" w:lineRule="atLeast"/>
        <w:ind w:left="50" w:firstLine="560" w:firstLineChars="200"/>
        <w:rPr>
          <w:rFonts w:ascii="仿宋_GB2312" w:eastAsia="仿宋_GB2312" w:cs="仿宋_GB2312"/>
          <w:sz w:val="28"/>
          <w:szCs w:val="28"/>
        </w:rPr>
      </w:pPr>
    </w:p>
    <w:p>
      <w:pPr>
        <w:adjustRightInd w:val="0"/>
        <w:snapToGrid w:val="0"/>
        <w:spacing w:line="440" w:lineRule="atLeast"/>
        <w:ind w:left="50" w:firstLine="560" w:firstLineChars="200"/>
        <w:rPr>
          <w:rFonts w:ascii="仿宋_GB2312" w:eastAsia="仿宋_GB2312"/>
          <w:sz w:val="28"/>
          <w:szCs w:val="28"/>
        </w:rPr>
      </w:pPr>
    </w:p>
    <w:p>
      <w:pPr>
        <w:pStyle w:val="3"/>
        <w:keepNext w:val="0"/>
        <w:keepLines w:val="0"/>
        <w:numPr>
          <w:ilvl w:val="0"/>
          <w:numId w:val="2"/>
        </w:numPr>
        <w:adjustRightInd w:val="0"/>
        <w:snapToGrid w:val="0"/>
        <w:spacing w:before="0" w:after="0" w:line="440" w:lineRule="atLeast"/>
        <w:ind w:firstLine="627" w:firstLineChars="196"/>
        <w:rPr>
          <w:rFonts w:eastAsia="黑体" w:cs="黑体"/>
          <w:b w:val="0"/>
          <w:bCs w:val="0"/>
        </w:rPr>
      </w:pPr>
      <w:bookmarkStart w:id="18" w:name="_Toc22823"/>
      <w:r>
        <w:rPr>
          <w:rFonts w:hint="eastAsia" w:eastAsia="黑体" w:cs="黑体"/>
          <w:b w:val="0"/>
          <w:bCs w:val="0"/>
        </w:rPr>
        <w:t>现场勘查日期</w:t>
      </w:r>
      <w:bookmarkEnd w:id="18"/>
    </w:p>
    <w:p>
      <w:pPr>
        <w:adjustRightInd w:val="0"/>
        <w:snapToGrid w:val="0"/>
        <w:spacing w:line="440" w:lineRule="atLeast"/>
        <w:ind w:firstLine="560" w:firstLineChars="200"/>
        <w:rPr>
          <w:rFonts w:ascii="仿宋_GB2312" w:eastAsia="仿宋_GB2312" w:cs="仿宋_GB2312"/>
          <w:sz w:val="28"/>
          <w:szCs w:val="28"/>
        </w:rPr>
      </w:pPr>
      <w:r>
        <w:rPr>
          <w:rFonts w:hint="eastAsia" w:ascii="仿宋_GB2312" w:eastAsia="仿宋_GB2312" w:cs="仿宋_GB2312"/>
          <w:sz w:val="28"/>
          <w:szCs w:val="28"/>
        </w:rPr>
        <w:t>2022年07月25日</w:t>
      </w:r>
      <w:r>
        <w:rPr>
          <w:rFonts w:ascii="仿宋_GB2312" w:eastAsia="仿宋_GB2312"/>
          <w:sz w:val="28"/>
          <w:szCs w:val="28"/>
        </w:rPr>
        <w:t>——</w:t>
      </w:r>
      <w:r>
        <w:rPr>
          <w:rFonts w:hint="eastAsia" w:ascii="仿宋_GB2312" w:eastAsia="仿宋_GB2312" w:cs="仿宋_GB2312"/>
          <w:sz w:val="28"/>
          <w:szCs w:val="28"/>
        </w:rPr>
        <w:t>2022年07月25日</w:t>
      </w:r>
    </w:p>
    <w:p>
      <w:pPr>
        <w:adjustRightInd w:val="0"/>
        <w:snapToGrid w:val="0"/>
        <w:spacing w:line="440" w:lineRule="atLeast"/>
        <w:ind w:firstLine="420" w:firstLineChars="200"/>
      </w:pPr>
    </w:p>
    <w:p>
      <w:pPr>
        <w:pStyle w:val="3"/>
        <w:keepNext w:val="0"/>
        <w:keepLines w:val="0"/>
        <w:adjustRightInd w:val="0"/>
        <w:snapToGrid w:val="0"/>
        <w:spacing w:before="0" w:after="0" w:line="440" w:lineRule="atLeast"/>
        <w:ind w:firstLine="627" w:firstLineChars="196"/>
        <w:rPr>
          <w:rFonts w:cs="Times New Roman"/>
          <w:b w:val="0"/>
          <w:bCs w:val="0"/>
        </w:rPr>
      </w:pPr>
      <w:bookmarkStart w:id="19" w:name="_Toc25536"/>
      <w:r>
        <w:rPr>
          <w:rFonts w:hint="eastAsia" w:eastAsia="黑体" w:cs="黑体"/>
          <w:b w:val="0"/>
          <w:bCs w:val="0"/>
        </w:rPr>
        <w:t>十三、估价作业日期</w:t>
      </w:r>
      <w:r>
        <w:rPr>
          <w:rFonts w:hint="eastAsia" w:cs="宋体"/>
          <w:b w:val="0"/>
          <w:bCs w:val="0"/>
        </w:rPr>
        <w:t>：</w:t>
      </w:r>
      <w:bookmarkEnd w:id="19"/>
    </w:p>
    <w:p>
      <w:pPr>
        <w:pStyle w:val="3"/>
        <w:keepNext w:val="0"/>
        <w:keepLines w:val="0"/>
        <w:adjustRightInd w:val="0"/>
        <w:snapToGrid w:val="0"/>
        <w:spacing w:before="0" w:after="0" w:line="440" w:lineRule="atLeast"/>
        <w:ind w:firstLine="548" w:firstLineChars="196"/>
        <w:rPr>
          <w:rFonts w:hint="eastAsia" w:ascii="仿宋_GB2312" w:eastAsia="仿宋_GB2312" w:cs="仿宋_GB2312"/>
          <w:b w:val="0"/>
          <w:bCs w:val="0"/>
          <w:sz w:val="28"/>
          <w:szCs w:val="28"/>
          <w:lang w:eastAsia="zh-CN"/>
        </w:rPr>
      </w:pPr>
      <w:bookmarkStart w:id="20" w:name="_Toc8077"/>
      <w:r>
        <w:rPr>
          <w:rFonts w:hint="eastAsia" w:ascii="仿宋_GB2312" w:eastAsia="仿宋_GB2312" w:cs="仿宋_GB2312"/>
          <w:b w:val="0"/>
          <w:bCs w:val="0"/>
          <w:sz w:val="28"/>
          <w:szCs w:val="28"/>
        </w:rPr>
        <w:t>2022年07月25日</w:t>
      </w:r>
      <w:r>
        <w:rPr>
          <w:rFonts w:ascii="仿宋_GB2312" w:eastAsia="仿宋_GB2312"/>
          <w:b w:val="0"/>
          <w:bCs w:val="0"/>
          <w:sz w:val="28"/>
          <w:szCs w:val="28"/>
        </w:rPr>
        <w:t>——</w:t>
      </w:r>
      <w:r>
        <w:rPr>
          <w:rFonts w:hint="eastAsia" w:ascii="仿宋_GB2312" w:eastAsia="仿宋_GB2312" w:cs="仿宋_GB2312"/>
          <w:b w:val="0"/>
          <w:bCs w:val="0"/>
          <w:sz w:val="28"/>
          <w:szCs w:val="28"/>
          <w:lang w:eastAsia="zh-CN"/>
        </w:rPr>
        <w:t>2022年08月29日</w:t>
      </w:r>
      <w:bookmarkEnd w:id="20"/>
    </w:p>
    <w:p/>
    <w:p>
      <w:pPr>
        <w:pStyle w:val="3"/>
        <w:keepNext w:val="0"/>
        <w:keepLines w:val="0"/>
        <w:adjustRightInd w:val="0"/>
        <w:snapToGrid w:val="0"/>
        <w:spacing w:before="0" w:after="0" w:line="440" w:lineRule="atLeast"/>
        <w:ind w:firstLine="627" w:firstLineChars="196"/>
        <w:rPr>
          <w:rFonts w:cs="Times New Roman"/>
        </w:rPr>
      </w:pPr>
      <w:bookmarkStart w:id="21" w:name="_Toc24073"/>
      <w:r>
        <w:rPr>
          <w:rFonts w:hint="eastAsia" w:eastAsia="黑体" w:cs="黑体"/>
          <w:b w:val="0"/>
          <w:bCs w:val="0"/>
          <w:color w:val="000000"/>
        </w:rPr>
        <w:t>十</w:t>
      </w:r>
      <w:r>
        <w:rPr>
          <w:rFonts w:hint="eastAsia" w:eastAsia="黑体" w:cs="黑体"/>
          <w:b w:val="0"/>
          <w:bCs w:val="0"/>
        </w:rPr>
        <w:t>四、估价报告应用有效期</w:t>
      </w:r>
      <w:r>
        <w:rPr>
          <w:rFonts w:hint="eastAsia" w:cs="宋体"/>
        </w:rPr>
        <w:t>：</w:t>
      </w:r>
      <w:bookmarkEnd w:id="21"/>
    </w:p>
    <w:p>
      <w:pPr>
        <w:adjustRightInd w:val="0"/>
        <w:snapToGrid w:val="0"/>
        <w:spacing w:line="440" w:lineRule="atLeast"/>
        <w:ind w:left="2038" w:leftChars="304" w:hanging="1400" w:hangingChars="500"/>
        <w:rPr>
          <w:color w:val="FF00FF"/>
          <w:sz w:val="28"/>
          <w:szCs w:val="28"/>
        </w:rPr>
      </w:pPr>
      <w:r>
        <w:rPr>
          <w:rFonts w:hint="eastAsia" w:ascii="仿宋_GB2312" w:eastAsia="仿宋_GB2312" w:cs="仿宋_GB2312"/>
          <w:color w:val="000000"/>
          <w:sz w:val="28"/>
          <w:szCs w:val="28"/>
        </w:rPr>
        <w:t>自</w:t>
      </w:r>
      <w:r>
        <w:rPr>
          <w:rFonts w:hint="eastAsia" w:ascii="仿宋_GB2312" w:eastAsia="仿宋_GB2312" w:cs="仿宋_GB2312"/>
          <w:color w:val="000000"/>
          <w:sz w:val="28"/>
          <w:szCs w:val="28"/>
          <w:lang w:eastAsia="zh-CN"/>
        </w:rPr>
        <w:t>2022年08月29日</w:t>
      </w:r>
      <w:r>
        <w:rPr>
          <w:rFonts w:hint="eastAsia" w:ascii="仿宋_GB2312" w:eastAsia="仿宋_GB2312" w:cs="仿宋_GB2312"/>
          <w:color w:val="000000"/>
          <w:sz w:val="28"/>
          <w:szCs w:val="28"/>
        </w:rPr>
        <w:t>起至</w:t>
      </w:r>
      <w:r>
        <w:rPr>
          <w:rFonts w:ascii="仿宋_GB2312" w:eastAsia="仿宋_GB2312" w:cs="仿宋_GB2312"/>
          <w:color w:val="000000"/>
          <w:sz w:val="28"/>
          <w:szCs w:val="28"/>
        </w:rPr>
        <w:t>202</w:t>
      </w:r>
      <w:r>
        <w:rPr>
          <w:rFonts w:hint="eastAsia" w:ascii="仿宋_GB2312" w:eastAsia="仿宋_GB2312" w:cs="仿宋_GB2312"/>
          <w:color w:val="000000"/>
          <w:sz w:val="28"/>
          <w:szCs w:val="28"/>
        </w:rPr>
        <w:t>3年0</w:t>
      </w:r>
      <w:r>
        <w:rPr>
          <w:rFonts w:hint="eastAsia" w:ascii="仿宋_GB2312" w:eastAsia="仿宋_GB2312" w:cs="仿宋_GB2312"/>
          <w:color w:val="000000"/>
          <w:sz w:val="28"/>
          <w:szCs w:val="28"/>
          <w:lang w:val="en-US" w:eastAsia="zh-CN"/>
        </w:rPr>
        <w:t>8</w:t>
      </w:r>
      <w:r>
        <w:rPr>
          <w:rFonts w:hint="eastAsia" w:ascii="仿宋_GB2312" w:eastAsia="仿宋_GB2312" w:cs="仿宋_GB2312"/>
          <w:color w:val="000000"/>
          <w:sz w:val="28"/>
          <w:szCs w:val="28"/>
        </w:rPr>
        <w:t>月2</w:t>
      </w:r>
      <w:r>
        <w:rPr>
          <w:rFonts w:hint="eastAsia" w:ascii="仿宋_GB2312" w:eastAsia="仿宋_GB2312" w:cs="仿宋_GB2312"/>
          <w:color w:val="000000"/>
          <w:sz w:val="28"/>
          <w:szCs w:val="28"/>
          <w:lang w:val="en-US" w:eastAsia="zh-CN"/>
        </w:rPr>
        <w:t>8</w:t>
      </w:r>
      <w:r>
        <w:rPr>
          <w:rFonts w:hint="eastAsia" w:ascii="仿宋_GB2312" w:eastAsia="仿宋_GB2312" w:cs="仿宋_GB2312"/>
          <w:color w:val="000000"/>
          <w:sz w:val="28"/>
          <w:szCs w:val="28"/>
        </w:rPr>
        <w:t>日止</w:t>
      </w:r>
      <w:r>
        <w:rPr>
          <w:color w:val="FF00FF"/>
          <w:sz w:val="28"/>
          <w:szCs w:val="28"/>
        </w:rPr>
        <w:t xml:space="preserve">  </w:t>
      </w:r>
    </w:p>
    <w:p>
      <w:pPr>
        <w:adjustRightInd w:val="0"/>
        <w:snapToGrid w:val="0"/>
        <w:spacing w:line="440" w:lineRule="atLeast"/>
        <w:ind w:left="2038" w:leftChars="304" w:hanging="1400" w:hangingChars="500"/>
        <w:rPr>
          <w:color w:val="FF00FF"/>
          <w:sz w:val="28"/>
          <w:szCs w:val="28"/>
        </w:rPr>
      </w:pPr>
    </w:p>
    <w:p>
      <w:pPr>
        <w:adjustRightInd w:val="0"/>
        <w:snapToGrid w:val="0"/>
        <w:spacing w:line="440" w:lineRule="atLeast"/>
        <w:ind w:left="2038" w:leftChars="304" w:hanging="1400" w:hangingChars="500"/>
        <w:rPr>
          <w:color w:val="FF00FF"/>
          <w:sz w:val="28"/>
          <w:szCs w:val="28"/>
        </w:rPr>
      </w:pPr>
    </w:p>
    <w:p>
      <w:pPr>
        <w:adjustRightInd w:val="0"/>
        <w:snapToGrid w:val="0"/>
        <w:spacing w:line="440" w:lineRule="atLeast"/>
        <w:ind w:left="2038" w:leftChars="304" w:hanging="1400" w:hangingChars="500"/>
        <w:rPr>
          <w:color w:val="FF00FF"/>
          <w:sz w:val="28"/>
          <w:szCs w:val="28"/>
        </w:rPr>
      </w:pPr>
    </w:p>
    <w:p>
      <w:pPr>
        <w:adjustRightInd w:val="0"/>
        <w:snapToGrid w:val="0"/>
        <w:spacing w:line="440" w:lineRule="atLeast"/>
        <w:ind w:left="2038" w:leftChars="304" w:hanging="1400" w:hangingChars="500"/>
        <w:rPr>
          <w:color w:val="FF00FF"/>
          <w:sz w:val="28"/>
          <w:szCs w:val="28"/>
        </w:rPr>
      </w:pPr>
    </w:p>
    <w:p>
      <w:pPr>
        <w:adjustRightInd w:val="0"/>
        <w:snapToGrid w:val="0"/>
        <w:spacing w:line="440" w:lineRule="atLeast"/>
        <w:ind w:left="2038" w:leftChars="304" w:hanging="1400" w:hangingChars="500"/>
        <w:rPr>
          <w:color w:val="FF00FF"/>
          <w:sz w:val="28"/>
          <w:szCs w:val="28"/>
        </w:rPr>
      </w:pPr>
    </w:p>
    <w:p>
      <w:pPr>
        <w:adjustRightInd w:val="0"/>
        <w:snapToGrid w:val="0"/>
        <w:spacing w:line="440" w:lineRule="atLeast"/>
        <w:ind w:left="2038" w:leftChars="304" w:hanging="1400" w:hangingChars="500"/>
        <w:rPr>
          <w:color w:val="FF00FF"/>
          <w:sz w:val="28"/>
          <w:szCs w:val="28"/>
        </w:rPr>
      </w:pPr>
    </w:p>
    <w:p>
      <w:pPr>
        <w:adjustRightInd w:val="0"/>
        <w:snapToGrid w:val="0"/>
        <w:spacing w:line="440" w:lineRule="atLeast"/>
        <w:ind w:left="1692" w:leftChars="304" w:hanging="1054" w:hangingChars="500"/>
        <w:rPr>
          <w:rFonts w:ascii="黑体" w:eastAsia="黑体"/>
          <w:b/>
          <w:bCs/>
        </w:rPr>
      </w:pPr>
    </w:p>
    <w:p>
      <w:pPr>
        <w:pStyle w:val="2"/>
        <w:keepNext w:val="0"/>
        <w:keepLines w:val="0"/>
        <w:adjustRightInd w:val="0"/>
        <w:snapToGrid w:val="0"/>
        <w:spacing w:before="120" w:after="120" w:line="440" w:lineRule="exact"/>
        <w:jc w:val="center"/>
        <w:rPr>
          <w:rFonts w:ascii="黑体" w:eastAsia="黑体"/>
          <w:b w:val="0"/>
          <w:bCs w:val="0"/>
        </w:rPr>
      </w:pPr>
      <w:bookmarkStart w:id="22" w:name="_Toc32474"/>
      <w:r>
        <w:rPr>
          <w:rFonts w:hint="eastAsia" w:ascii="黑体" w:eastAsia="黑体" w:cs="黑体"/>
          <w:b w:val="0"/>
          <w:bCs w:val="0"/>
        </w:rPr>
        <w:t>附件（复印件）</w:t>
      </w:r>
      <w:bookmarkEnd w:id="22"/>
    </w:p>
    <w:p/>
    <w:p/>
    <w:p>
      <w:pPr>
        <w:adjustRightInd w:val="0"/>
        <w:snapToGrid w:val="0"/>
        <w:spacing w:line="460" w:lineRule="atLeast"/>
        <w:rPr>
          <w:rFonts w:ascii="黑体" w:hAnsi="黑体" w:eastAsia="黑体" w:cs="黑体"/>
          <w:sz w:val="30"/>
          <w:szCs w:val="30"/>
        </w:rPr>
      </w:pPr>
      <w:r>
        <w:rPr>
          <w:rFonts w:hint="eastAsia" w:ascii="黑体" w:hAnsi="黑体" w:eastAsia="黑体" w:cs="黑体"/>
          <w:sz w:val="30"/>
          <w:szCs w:val="30"/>
        </w:rPr>
        <w:t>（一）、《吉林省洮南市人民法院评估委托书》</w:t>
      </w:r>
      <w:r>
        <w:rPr>
          <w:rFonts w:ascii="黑体" w:hAnsi="黑体" w:eastAsia="黑体" w:cs="黑体"/>
          <w:sz w:val="30"/>
          <w:szCs w:val="30"/>
        </w:rPr>
        <w:t xml:space="preserve"> </w:t>
      </w:r>
    </w:p>
    <w:p>
      <w:pPr>
        <w:adjustRightInd w:val="0"/>
        <w:snapToGrid w:val="0"/>
        <w:spacing w:line="460" w:lineRule="atLeast"/>
        <w:ind w:left="50"/>
        <w:rPr>
          <w:rFonts w:ascii="黑体" w:hAnsi="黑体" w:eastAsia="黑体" w:cs="黑体"/>
          <w:sz w:val="30"/>
          <w:szCs w:val="30"/>
        </w:rPr>
      </w:pPr>
      <w:r>
        <w:rPr>
          <w:rFonts w:hint="eastAsia" w:ascii="黑体" w:hAnsi="黑体" w:eastAsia="黑体" w:cs="黑体"/>
          <w:sz w:val="30"/>
          <w:szCs w:val="30"/>
        </w:rPr>
        <w:t>（二）、《吉林省洮南市人民法院执行裁定书》[（</w:t>
      </w:r>
      <w:r>
        <w:rPr>
          <w:rFonts w:ascii="黑体" w:hAnsi="黑体" w:eastAsia="黑体" w:cs="黑体"/>
          <w:sz w:val="30"/>
          <w:szCs w:val="30"/>
        </w:rPr>
        <w:t>20</w:t>
      </w:r>
      <w:r>
        <w:rPr>
          <w:rFonts w:hint="eastAsia" w:ascii="黑体" w:hAnsi="黑体" w:eastAsia="黑体" w:cs="黑体"/>
          <w:sz w:val="30"/>
          <w:szCs w:val="30"/>
        </w:rPr>
        <w:t>22）吉0881执559号之二]</w:t>
      </w:r>
    </w:p>
    <w:p>
      <w:pPr>
        <w:adjustRightInd w:val="0"/>
        <w:snapToGrid w:val="0"/>
        <w:spacing w:line="460" w:lineRule="atLeast"/>
        <w:ind w:left="50"/>
        <w:rPr>
          <w:rFonts w:ascii="黑体" w:hAnsi="黑体" w:eastAsia="黑体" w:cs="黑体"/>
          <w:sz w:val="30"/>
          <w:szCs w:val="30"/>
        </w:rPr>
      </w:pPr>
      <w:r>
        <w:rPr>
          <w:rFonts w:hint="eastAsia" w:ascii="黑体" w:hAnsi="黑体" w:eastAsia="黑体" w:cs="黑体"/>
          <w:sz w:val="30"/>
          <w:szCs w:val="30"/>
        </w:rPr>
        <w:t xml:space="preserve">（三）、《不动产登记信息查询单》 </w:t>
      </w:r>
    </w:p>
    <w:p>
      <w:pPr>
        <w:adjustRightInd w:val="0"/>
        <w:snapToGrid w:val="0"/>
        <w:spacing w:line="460" w:lineRule="atLeast"/>
        <w:rPr>
          <w:rFonts w:ascii="黑体" w:hAnsi="黑体" w:eastAsia="黑体" w:cs="仿宋_GB2312"/>
          <w:sz w:val="30"/>
          <w:szCs w:val="30"/>
        </w:rPr>
      </w:pPr>
      <w:r>
        <w:rPr>
          <w:rFonts w:hint="eastAsia" w:ascii="黑体" w:hAnsi="黑体" w:eastAsia="黑体" w:cs="黑体"/>
          <w:sz w:val="30"/>
          <w:szCs w:val="30"/>
        </w:rPr>
        <w:t>（四）、</w:t>
      </w:r>
      <w:r>
        <w:rPr>
          <w:rFonts w:hint="eastAsia" w:ascii="黑体" w:eastAsia="黑体" w:cs="黑体"/>
          <w:sz w:val="30"/>
          <w:szCs w:val="30"/>
        </w:rPr>
        <w:t>估价对象照片</w:t>
      </w:r>
    </w:p>
    <w:p>
      <w:pPr>
        <w:adjustRightInd w:val="0"/>
        <w:snapToGrid w:val="0"/>
        <w:spacing w:line="460" w:lineRule="atLeast"/>
        <w:ind w:firstLine="150" w:firstLineChars="50"/>
        <w:rPr>
          <w:rFonts w:ascii="黑体" w:eastAsia="黑体"/>
          <w:sz w:val="30"/>
          <w:szCs w:val="30"/>
        </w:rPr>
      </w:pPr>
      <w:r>
        <w:rPr>
          <w:rFonts w:ascii="黑体" w:eastAsia="黑体" w:cs="黑体"/>
          <w:sz w:val="30"/>
          <w:szCs w:val="30"/>
        </w:rPr>
        <w:t>(</w:t>
      </w:r>
      <w:r>
        <w:rPr>
          <w:rFonts w:hint="eastAsia" w:ascii="黑体" w:eastAsia="黑体" w:cs="黑体"/>
          <w:sz w:val="30"/>
          <w:szCs w:val="30"/>
        </w:rPr>
        <w:t>五</w:t>
      </w:r>
      <w:r>
        <w:rPr>
          <w:rFonts w:ascii="黑体" w:eastAsia="黑体" w:cs="黑体"/>
          <w:sz w:val="30"/>
          <w:szCs w:val="30"/>
        </w:rPr>
        <w:t>)</w:t>
      </w:r>
      <w:r>
        <w:rPr>
          <w:rFonts w:hint="eastAsia" w:ascii="黑体" w:eastAsia="黑体" w:cs="黑体"/>
          <w:sz w:val="30"/>
          <w:szCs w:val="30"/>
        </w:rPr>
        <w:t>、估价机构营业执照</w:t>
      </w:r>
    </w:p>
    <w:p>
      <w:pPr>
        <w:adjustRightInd w:val="0"/>
        <w:snapToGrid w:val="0"/>
        <w:spacing w:line="460" w:lineRule="atLeast"/>
        <w:ind w:firstLine="150" w:firstLineChars="50"/>
        <w:rPr>
          <w:rFonts w:ascii="黑体" w:eastAsia="黑体" w:cs="黑体"/>
          <w:sz w:val="30"/>
          <w:szCs w:val="30"/>
        </w:rPr>
      </w:pPr>
      <w:r>
        <w:rPr>
          <w:rFonts w:ascii="黑体" w:eastAsia="黑体" w:cs="黑体"/>
          <w:sz w:val="30"/>
          <w:szCs w:val="30"/>
        </w:rPr>
        <w:t>(</w:t>
      </w:r>
      <w:r>
        <w:rPr>
          <w:rFonts w:hint="eastAsia" w:ascii="黑体" w:eastAsia="黑体" w:cs="黑体"/>
          <w:sz w:val="30"/>
          <w:szCs w:val="30"/>
        </w:rPr>
        <w:t>六</w:t>
      </w:r>
      <w:r>
        <w:rPr>
          <w:rFonts w:ascii="黑体" w:eastAsia="黑体" w:cs="黑体"/>
          <w:sz w:val="30"/>
          <w:szCs w:val="30"/>
        </w:rPr>
        <w:t>)</w:t>
      </w:r>
      <w:r>
        <w:rPr>
          <w:rFonts w:hint="eastAsia" w:ascii="黑体" w:eastAsia="黑体" w:cs="黑体"/>
          <w:sz w:val="30"/>
          <w:szCs w:val="30"/>
        </w:rPr>
        <w:t>、估价机构的资质证书</w:t>
      </w:r>
    </w:p>
    <w:p>
      <w:pPr>
        <w:adjustRightInd w:val="0"/>
        <w:snapToGrid w:val="0"/>
        <w:spacing w:line="460" w:lineRule="atLeast"/>
        <w:ind w:firstLine="150" w:firstLineChars="50"/>
        <w:rPr>
          <w:rFonts w:ascii="仿宋_GB2312" w:eastAsia="仿宋_GB2312"/>
          <w:sz w:val="30"/>
          <w:szCs w:val="30"/>
        </w:rPr>
      </w:pPr>
      <w:r>
        <w:rPr>
          <w:rFonts w:ascii="黑体" w:eastAsia="黑体" w:cs="黑体"/>
          <w:sz w:val="30"/>
          <w:szCs w:val="30"/>
        </w:rPr>
        <w:t>(</w:t>
      </w:r>
      <w:r>
        <w:rPr>
          <w:rFonts w:hint="eastAsia" w:ascii="黑体" w:eastAsia="黑体" w:cs="黑体"/>
          <w:sz w:val="30"/>
          <w:szCs w:val="30"/>
        </w:rPr>
        <w:t>七</w:t>
      </w:r>
      <w:r>
        <w:rPr>
          <w:rFonts w:ascii="黑体" w:eastAsia="黑体" w:cs="黑体"/>
          <w:sz w:val="30"/>
          <w:szCs w:val="30"/>
        </w:rPr>
        <w:t>)</w:t>
      </w:r>
      <w:r>
        <w:rPr>
          <w:rFonts w:hint="eastAsia" w:ascii="黑体" w:eastAsia="黑体" w:cs="黑体"/>
          <w:sz w:val="30"/>
          <w:szCs w:val="30"/>
        </w:rPr>
        <w:t>、注册房地产估价师执业证书</w:t>
      </w:r>
    </w:p>
    <w:p>
      <w:pPr>
        <w:adjustRightInd w:val="0"/>
        <w:snapToGrid w:val="0"/>
        <w:spacing w:line="460" w:lineRule="atLeast"/>
        <w:rPr>
          <w:rFonts w:ascii="仿宋_GB2312" w:eastAsia="仿宋_GB2312"/>
          <w:sz w:val="36"/>
          <w:szCs w:val="36"/>
        </w:rPr>
      </w:pPr>
    </w:p>
    <w:p>
      <w:pPr>
        <w:adjustRightInd w:val="0"/>
        <w:snapToGrid w:val="0"/>
        <w:spacing w:line="460" w:lineRule="atLeast"/>
        <w:ind w:firstLine="141" w:firstLineChars="50"/>
        <w:rPr>
          <w:rFonts w:ascii="仿宋_GB2312" w:eastAsia="仿宋_GB2312"/>
          <w:sz w:val="30"/>
          <w:szCs w:val="30"/>
        </w:rPr>
      </w:pPr>
      <w:r>
        <w:rPr>
          <w:rFonts w:hint="eastAsia" w:ascii="仿宋_GB2312" w:eastAsia="仿宋_GB2312" w:cs="仿宋_GB2312"/>
          <w:b/>
          <w:bCs/>
          <w:sz w:val="28"/>
          <w:szCs w:val="28"/>
        </w:rPr>
        <w:t xml:space="preserve"> </w:t>
      </w:r>
    </w:p>
    <w:p>
      <w:pPr>
        <w:adjustRightInd w:val="0"/>
        <w:snapToGrid w:val="0"/>
        <w:spacing w:line="460" w:lineRule="atLeast"/>
        <w:rPr>
          <w:rFonts w:ascii="仿宋_GB2312" w:eastAsia="仿宋_GB2312"/>
          <w:sz w:val="36"/>
          <w:szCs w:val="36"/>
        </w:rPr>
      </w:pPr>
    </w:p>
    <w:sectPr>
      <w:headerReference r:id="rId3" w:type="default"/>
      <w:footerReference r:id="rId4" w:type="default"/>
      <w:pgSz w:w="11907" w:h="16840"/>
      <w:pgMar w:top="1418" w:right="1701" w:bottom="1134" w:left="1701" w:header="851"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6" w:space="0"/>
      </w:pBdr>
      <w:tabs>
        <w:tab w:val="left" w:pos="2520"/>
      </w:tabs>
      <w:ind w:right="360"/>
      <w:jc w:val="both"/>
    </w:pPr>
    <w:r>
      <w:rPr>
        <w:kern w:val="0"/>
      </w:rPr>
      <w:t xml:space="preserve">                                                                                                                                                                                            </w:t>
    </w:r>
  </w:p>
  <w:p>
    <w:pPr>
      <w:pStyle w:val="10"/>
      <w:rPr>
        <w:rFonts w:ascii="仿宋_GB2312" w:eastAsia="仿宋_GB2312"/>
      </w:rPr>
    </w:pPr>
    <w:r>
      <w:rPr>
        <w:rFonts w:hint="eastAsia" w:ascii="仿宋_GB2312" w:eastAsia="仿宋_GB2312" w:cs="仿宋_GB2312"/>
        <w:kern w:val="0"/>
      </w:rPr>
      <w:t>白城市建设房地产评估有限公司</w:t>
    </w:r>
    <w:r>
      <w:rPr>
        <w:rFonts w:ascii="仿宋_GB2312" w:eastAsia="仿宋_GB2312" w:cs="仿宋_GB2312"/>
        <w:kern w:val="0"/>
      </w:rPr>
      <w:t xml:space="preserve">              </w:t>
    </w:r>
    <w:r>
      <w:rPr>
        <w:rFonts w:hint="eastAsia" w:ascii="仿宋_GB2312" w:eastAsia="仿宋_GB2312" w:cs="仿宋_GB2312"/>
        <w:kern w:val="0"/>
      </w:rPr>
      <w:t>电话：</w:t>
    </w:r>
    <w:r>
      <w:rPr>
        <w:rFonts w:ascii="仿宋_GB2312" w:eastAsia="仿宋_GB2312" w:cs="仿宋_GB2312"/>
        <w:kern w:val="0"/>
      </w:rPr>
      <w:t xml:space="preserve">0436-3203603             </w:t>
    </w:r>
    <w:r>
      <w:rPr>
        <w:rFonts w:hint="eastAsia" w:ascii="仿宋_GB2312" w:eastAsia="仿宋_GB2312" w:cs="仿宋_GB2312"/>
        <w:kern w:val="0"/>
      </w:rPr>
      <w:t>第</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PAGE </w:instrText>
    </w:r>
    <w:r>
      <w:rPr>
        <w:rFonts w:ascii="仿宋_GB2312" w:eastAsia="仿宋_GB2312" w:cs="仿宋_GB2312"/>
        <w:kern w:val="0"/>
      </w:rPr>
      <w:fldChar w:fldCharType="separate"/>
    </w:r>
    <w:r>
      <w:rPr>
        <w:rFonts w:ascii="仿宋_GB2312" w:eastAsia="仿宋_GB2312" w:cs="仿宋_GB2312"/>
        <w:kern w:val="0"/>
      </w:rPr>
      <w:t>15</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r>
      <w:rPr>
        <w:rFonts w:ascii="仿宋_GB2312" w:eastAsia="仿宋_GB2312" w:cs="仿宋_GB2312"/>
        <w:kern w:val="0"/>
      </w:rPr>
      <w:t xml:space="preserve"> </w:t>
    </w:r>
    <w:r>
      <w:rPr>
        <w:rFonts w:hint="eastAsia" w:ascii="仿宋_GB2312" w:eastAsia="仿宋_GB2312" w:cs="仿宋_GB2312"/>
        <w:kern w:val="0"/>
      </w:rPr>
      <w:t>共</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NUMPAGES </w:instrText>
    </w:r>
    <w:r>
      <w:rPr>
        <w:rFonts w:ascii="仿宋_GB2312" w:eastAsia="仿宋_GB2312" w:cs="仿宋_GB2312"/>
        <w:kern w:val="0"/>
      </w:rPr>
      <w:fldChar w:fldCharType="separate"/>
    </w:r>
    <w:r>
      <w:rPr>
        <w:rFonts w:ascii="仿宋_GB2312" w:eastAsia="仿宋_GB2312" w:cs="仿宋_GB2312"/>
        <w:kern w:val="0"/>
      </w:rPr>
      <w:t>15</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6" w:space="0"/>
      </w:pBdr>
      <w:tabs>
        <w:tab w:val="left" w:pos="2520"/>
      </w:tabs>
      <w:jc w:val="both"/>
      <w:rPr>
        <w:rFonts w:ascii="仿宋_GB2312" w:eastAsia="仿宋_GB2312"/>
      </w:rPr>
    </w:pPr>
    <w:r>
      <w:rPr>
        <w:rFonts w:hint="eastAsia" w:ascii="仿宋_GB2312" w:eastAsia="仿宋_GB2312" w:cs="仿宋_GB2312"/>
        <w:kern w:val="0"/>
      </w:rPr>
      <w:t>房地产估价报告</w:t>
    </w:r>
    <w:r>
      <w:rPr>
        <w:rFonts w:ascii="仿宋_GB2312" w:eastAsia="仿宋_GB2312" w:cs="仿宋_GB2312"/>
        <w:kern w:val="0"/>
      </w:rPr>
      <w:t xml:space="preserve">                                                    </w:t>
    </w:r>
    <w:r>
      <w:rPr>
        <w:rFonts w:hint="eastAsia" w:ascii="仿宋_GB2312" w:hAnsi="宋体" w:eastAsia="仿宋_GB2312" w:cs="仿宋_GB2312"/>
      </w:rPr>
      <w:t>白建房评鉴字</w:t>
    </w:r>
    <w:r>
      <w:rPr>
        <w:rFonts w:ascii="仿宋_GB2312" w:hAnsi="宋体" w:eastAsia="仿宋_GB2312" w:cs="仿宋_GB2312"/>
      </w:rPr>
      <w:t>[20</w:t>
    </w:r>
    <w:r>
      <w:rPr>
        <w:rFonts w:hint="eastAsia" w:ascii="仿宋_GB2312" w:hAnsi="宋体" w:eastAsia="仿宋_GB2312" w:cs="仿宋_GB2312"/>
      </w:rPr>
      <w:t>22</w:t>
    </w:r>
    <w:r>
      <w:rPr>
        <w:rFonts w:ascii="仿宋_GB2312" w:hAnsi="宋体" w:eastAsia="仿宋_GB2312" w:cs="仿宋_GB2312"/>
      </w:rPr>
      <w:t>]</w:t>
    </w:r>
    <w:r>
      <w:rPr>
        <w:rFonts w:hint="eastAsia" w:ascii="仿宋_GB2312" w:hAnsi="宋体" w:eastAsia="仿宋_GB2312" w:cs="仿宋_GB2312"/>
      </w:rPr>
      <w:t>第0016号</w:t>
    </w:r>
    <w:r>
      <w:rPr>
        <w:rFonts w:ascii="仿宋_GB2312" w:eastAsia="仿宋_GB2312" w:cs="仿宋_GB2312"/>
        <w:kern w:val="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1B4CE1"/>
    <w:multiLevelType w:val="singleLevel"/>
    <w:tmpl w:val="3A1B4CE1"/>
    <w:lvl w:ilvl="0" w:tentative="0">
      <w:start w:val="12"/>
      <w:numFmt w:val="chineseCounting"/>
      <w:suff w:val="nothing"/>
      <w:lvlText w:val="%1、"/>
      <w:lvlJc w:val="left"/>
      <w:rPr>
        <w:rFonts w:hint="eastAsia"/>
      </w:rPr>
    </w:lvl>
  </w:abstractNum>
  <w:abstractNum w:abstractNumId="1">
    <w:nsid w:val="3CCDC938"/>
    <w:multiLevelType w:val="singleLevel"/>
    <w:tmpl w:val="3CCDC938"/>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yNjYzMTlhNTk0OGRhM2QzNzA5ZjUzOTEyNDZhODgifQ=="/>
  </w:docVars>
  <w:rsids>
    <w:rsidRoot w:val="009D35A4"/>
    <w:rsid w:val="0000046D"/>
    <w:rsid w:val="00000604"/>
    <w:rsid w:val="00000EFA"/>
    <w:rsid w:val="0000268F"/>
    <w:rsid w:val="0000294D"/>
    <w:rsid w:val="00002F3C"/>
    <w:rsid w:val="00004072"/>
    <w:rsid w:val="00004B11"/>
    <w:rsid w:val="00004F6C"/>
    <w:rsid w:val="0000632A"/>
    <w:rsid w:val="00010535"/>
    <w:rsid w:val="00010582"/>
    <w:rsid w:val="0001158F"/>
    <w:rsid w:val="00011685"/>
    <w:rsid w:val="0001198A"/>
    <w:rsid w:val="0001234E"/>
    <w:rsid w:val="00012AA2"/>
    <w:rsid w:val="0001380A"/>
    <w:rsid w:val="00013D23"/>
    <w:rsid w:val="000140AC"/>
    <w:rsid w:val="000146BF"/>
    <w:rsid w:val="0001478B"/>
    <w:rsid w:val="00017201"/>
    <w:rsid w:val="0001779B"/>
    <w:rsid w:val="00017F35"/>
    <w:rsid w:val="00017FBA"/>
    <w:rsid w:val="00020423"/>
    <w:rsid w:val="00020C91"/>
    <w:rsid w:val="00021C31"/>
    <w:rsid w:val="0002249B"/>
    <w:rsid w:val="00022F60"/>
    <w:rsid w:val="0002312D"/>
    <w:rsid w:val="00024517"/>
    <w:rsid w:val="00024904"/>
    <w:rsid w:val="00024916"/>
    <w:rsid w:val="00024C3E"/>
    <w:rsid w:val="0003042E"/>
    <w:rsid w:val="0003180E"/>
    <w:rsid w:val="000321D6"/>
    <w:rsid w:val="000322C1"/>
    <w:rsid w:val="00032E61"/>
    <w:rsid w:val="00033F5B"/>
    <w:rsid w:val="0003446B"/>
    <w:rsid w:val="000350A3"/>
    <w:rsid w:val="00035DD7"/>
    <w:rsid w:val="00035F76"/>
    <w:rsid w:val="00036252"/>
    <w:rsid w:val="000372AB"/>
    <w:rsid w:val="0004006A"/>
    <w:rsid w:val="000413EC"/>
    <w:rsid w:val="000417C2"/>
    <w:rsid w:val="000427A0"/>
    <w:rsid w:val="00043803"/>
    <w:rsid w:val="00043CC4"/>
    <w:rsid w:val="00045648"/>
    <w:rsid w:val="000469CF"/>
    <w:rsid w:val="00046C68"/>
    <w:rsid w:val="00046D1D"/>
    <w:rsid w:val="000477FF"/>
    <w:rsid w:val="00047EF5"/>
    <w:rsid w:val="000509FC"/>
    <w:rsid w:val="00050C64"/>
    <w:rsid w:val="00051423"/>
    <w:rsid w:val="000519BE"/>
    <w:rsid w:val="00052713"/>
    <w:rsid w:val="000537E6"/>
    <w:rsid w:val="00053D9D"/>
    <w:rsid w:val="00053E3C"/>
    <w:rsid w:val="000545C4"/>
    <w:rsid w:val="0005472F"/>
    <w:rsid w:val="000555D3"/>
    <w:rsid w:val="00057190"/>
    <w:rsid w:val="00057305"/>
    <w:rsid w:val="00057D13"/>
    <w:rsid w:val="00057E98"/>
    <w:rsid w:val="00057EDA"/>
    <w:rsid w:val="00060145"/>
    <w:rsid w:val="000602C5"/>
    <w:rsid w:val="000615E9"/>
    <w:rsid w:val="0006214C"/>
    <w:rsid w:val="000629C9"/>
    <w:rsid w:val="00062BB4"/>
    <w:rsid w:val="00063063"/>
    <w:rsid w:val="00064021"/>
    <w:rsid w:val="00064460"/>
    <w:rsid w:val="0006470F"/>
    <w:rsid w:val="00064DA0"/>
    <w:rsid w:val="00065A42"/>
    <w:rsid w:val="00066B6D"/>
    <w:rsid w:val="00066E14"/>
    <w:rsid w:val="00066E60"/>
    <w:rsid w:val="00066F36"/>
    <w:rsid w:val="0006779A"/>
    <w:rsid w:val="000677B6"/>
    <w:rsid w:val="00070C0E"/>
    <w:rsid w:val="00070CFC"/>
    <w:rsid w:val="00070F16"/>
    <w:rsid w:val="00071185"/>
    <w:rsid w:val="00071630"/>
    <w:rsid w:val="00071CF8"/>
    <w:rsid w:val="00074A2D"/>
    <w:rsid w:val="00075004"/>
    <w:rsid w:val="00075069"/>
    <w:rsid w:val="000762D8"/>
    <w:rsid w:val="000763C7"/>
    <w:rsid w:val="00076C73"/>
    <w:rsid w:val="00077778"/>
    <w:rsid w:val="0007778F"/>
    <w:rsid w:val="00077847"/>
    <w:rsid w:val="00080026"/>
    <w:rsid w:val="00080783"/>
    <w:rsid w:val="00080AA1"/>
    <w:rsid w:val="00080F9B"/>
    <w:rsid w:val="00081043"/>
    <w:rsid w:val="000816A8"/>
    <w:rsid w:val="00081991"/>
    <w:rsid w:val="000819F8"/>
    <w:rsid w:val="00081A9A"/>
    <w:rsid w:val="00081B99"/>
    <w:rsid w:val="00081BD5"/>
    <w:rsid w:val="000827E3"/>
    <w:rsid w:val="00082CBA"/>
    <w:rsid w:val="00082D3B"/>
    <w:rsid w:val="00083838"/>
    <w:rsid w:val="000849C5"/>
    <w:rsid w:val="00085887"/>
    <w:rsid w:val="00085A3A"/>
    <w:rsid w:val="000869EE"/>
    <w:rsid w:val="00086F33"/>
    <w:rsid w:val="00087B3A"/>
    <w:rsid w:val="00090362"/>
    <w:rsid w:val="000906CB"/>
    <w:rsid w:val="00091060"/>
    <w:rsid w:val="00091EA1"/>
    <w:rsid w:val="00092917"/>
    <w:rsid w:val="00092B8C"/>
    <w:rsid w:val="000941CE"/>
    <w:rsid w:val="00094795"/>
    <w:rsid w:val="000949D4"/>
    <w:rsid w:val="0009560C"/>
    <w:rsid w:val="00096452"/>
    <w:rsid w:val="00096A43"/>
    <w:rsid w:val="00096E5A"/>
    <w:rsid w:val="00097257"/>
    <w:rsid w:val="0009772D"/>
    <w:rsid w:val="00097CE1"/>
    <w:rsid w:val="000A02B3"/>
    <w:rsid w:val="000A16F3"/>
    <w:rsid w:val="000A202D"/>
    <w:rsid w:val="000A226D"/>
    <w:rsid w:val="000A269A"/>
    <w:rsid w:val="000A2B4A"/>
    <w:rsid w:val="000A36E0"/>
    <w:rsid w:val="000A3874"/>
    <w:rsid w:val="000A3CC6"/>
    <w:rsid w:val="000A40D1"/>
    <w:rsid w:val="000A416B"/>
    <w:rsid w:val="000A5165"/>
    <w:rsid w:val="000A5200"/>
    <w:rsid w:val="000A5D94"/>
    <w:rsid w:val="000A6CD1"/>
    <w:rsid w:val="000B0499"/>
    <w:rsid w:val="000B090B"/>
    <w:rsid w:val="000B1366"/>
    <w:rsid w:val="000B2239"/>
    <w:rsid w:val="000B2BD3"/>
    <w:rsid w:val="000B340F"/>
    <w:rsid w:val="000B37FF"/>
    <w:rsid w:val="000B4144"/>
    <w:rsid w:val="000B4AE3"/>
    <w:rsid w:val="000B4EF0"/>
    <w:rsid w:val="000B544B"/>
    <w:rsid w:val="000B5AA9"/>
    <w:rsid w:val="000B5F04"/>
    <w:rsid w:val="000B6B46"/>
    <w:rsid w:val="000B75E9"/>
    <w:rsid w:val="000B76BA"/>
    <w:rsid w:val="000B7BEA"/>
    <w:rsid w:val="000C0FB7"/>
    <w:rsid w:val="000C2E32"/>
    <w:rsid w:val="000C3C3D"/>
    <w:rsid w:val="000C3CEB"/>
    <w:rsid w:val="000C3E2E"/>
    <w:rsid w:val="000C40B6"/>
    <w:rsid w:val="000C4167"/>
    <w:rsid w:val="000C4276"/>
    <w:rsid w:val="000C45B6"/>
    <w:rsid w:val="000C4A43"/>
    <w:rsid w:val="000C5A83"/>
    <w:rsid w:val="000C5A9C"/>
    <w:rsid w:val="000C6039"/>
    <w:rsid w:val="000C614F"/>
    <w:rsid w:val="000C7527"/>
    <w:rsid w:val="000C7721"/>
    <w:rsid w:val="000C7E99"/>
    <w:rsid w:val="000D078C"/>
    <w:rsid w:val="000D0FE6"/>
    <w:rsid w:val="000D158A"/>
    <w:rsid w:val="000D17A4"/>
    <w:rsid w:val="000D246B"/>
    <w:rsid w:val="000D3629"/>
    <w:rsid w:val="000D4199"/>
    <w:rsid w:val="000D5DA1"/>
    <w:rsid w:val="000D5FCA"/>
    <w:rsid w:val="000D5FDE"/>
    <w:rsid w:val="000D7021"/>
    <w:rsid w:val="000D730A"/>
    <w:rsid w:val="000D78F2"/>
    <w:rsid w:val="000E1129"/>
    <w:rsid w:val="000E22C1"/>
    <w:rsid w:val="000E237B"/>
    <w:rsid w:val="000E29DF"/>
    <w:rsid w:val="000E2DB5"/>
    <w:rsid w:val="000E2F98"/>
    <w:rsid w:val="000E5870"/>
    <w:rsid w:val="000E5A37"/>
    <w:rsid w:val="000E6574"/>
    <w:rsid w:val="000E71FF"/>
    <w:rsid w:val="000E74C5"/>
    <w:rsid w:val="000E76F6"/>
    <w:rsid w:val="000E788C"/>
    <w:rsid w:val="000F1361"/>
    <w:rsid w:val="000F1FDF"/>
    <w:rsid w:val="000F20D6"/>
    <w:rsid w:val="000F25B9"/>
    <w:rsid w:val="000F2B1A"/>
    <w:rsid w:val="000F33D0"/>
    <w:rsid w:val="000F36DA"/>
    <w:rsid w:val="000F4252"/>
    <w:rsid w:val="000F4CE6"/>
    <w:rsid w:val="000F5240"/>
    <w:rsid w:val="000F68D2"/>
    <w:rsid w:val="000F72B3"/>
    <w:rsid w:val="000F7753"/>
    <w:rsid w:val="000F78D7"/>
    <w:rsid w:val="000F78F9"/>
    <w:rsid w:val="00101089"/>
    <w:rsid w:val="00101B97"/>
    <w:rsid w:val="00101F9B"/>
    <w:rsid w:val="00102236"/>
    <w:rsid w:val="001029F7"/>
    <w:rsid w:val="00103364"/>
    <w:rsid w:val="00103CF6"/>
    <w:rsid w:val="00103D1B"/>
    <w:rsid w:val="00103FF2"/>
    <w:rsid w:val="0010404C"/>
    <w:rsid w:val="001046D3"/>
    <w:rsid w:val="001059C3"/>
    <w:rsid w:val="00105B0B"/>
    <w:rsid w:val="00105D2C"/>
    <w:rsid w:val="001066EA"/>
    <w:rsid w:val="001068FE"/>
    <w:rsid w:val="001073B3"/>
    <w:rsid w:val="001074EF"/>
    <w:rsid w:val="00110756"/>
    <w:rsid w:val="00110F56"/>
    <w:rsid w:val="00112E00"/>
    <w:rsid w:val="00113A7F"/>
    <w:rsid w:val="00113A98"/>
    <w:rsid w:val="00113E41"/>
    <w:rsid w:val="001146DD"/>
    <w:rsid w:val="00114701"/>
    <w:rsid w:val="00114AC9"/>
    <w:rsid w:val="001156AD"/>
    <w:rsid w:val="00115DF2"/>
    <w:rsid w:val="00116DE1"/>
    <w:rsid w:val="00120BF6"/>
    <w:rsid w:val="00120D41"/>
    <w:rsid w:val="00122055"/>
    <w:rsid w:val="001231EC"/>
    <w:rsid w:val="0012360E"/>
    <w:rsid w:val="001238EA"/>
    <w:rsid w:val="00123CBB"/>
    <w:rsid w:val="00126147"/>
    <w:rsid w:val="001267E2"/>
    <w:rsid w:val="00126B5A"/>
    <w:rsid w:val="0012784E"/>
    <w:rsid w:val="00131D97"/>
    <w:rsid w:val="00132E83"/>
    <w:rsid w:val="001337F2"/>
    <w:rsid w:val="00133CF3"/>
    <w:rsid w:val="00133ECB"/>
    <w:rsid w:val="00134672"/>
    <w:rsid w:val="001351A0"/>
    <w:rsid w:val="00135977"/>
    <w:rsid w:val="00135BBF"/>
    <w:rsid w:val="00135CD3"/>
    <w:rsid w:val="0013672B"/>
    <w:rsid w:val="00137758"/>
    <w:rsid w:val="001377CE"/>
    <w:rsid w:val="00140A54"/>
    <w:rsid w:val="00140B00"/>
    <w:rsid w:val="0014192D"/>
    <w:rsid w:val="0014202F"/>
    <w:rsid w:val="0014276E"/>
    <w:rsid w:val="00143662"/>
    <w:rsid w:val="001437C3"/>
    <w:rsid w:val="00143865"/>
    <w:rsid w:val="001442F0"/>
    <w:rsid w:val="00144783"/>
    <w:rsid w:val="00144AE2"/>
    <w:rsid w:val="00145C93"/>
    <w:rsid w:val="00145F90"/>
    <w:rsid w:val="00146767"/>
    <w:rsid w:val="00150AE7"/>
    <w:rsid w:val="00151714"/>
    <w:rsid w:val="001518F6"/>
    <w:rsid w:val="00151C4D"/>
    <w:rsid w:val="001520EC"/>
    <w:rsid w:val="001528E9"/>
    <w:rsid w:val="00153EBE"/>
    <w:rsid w:val="00154D5B"/>
    <w:rsid w:val="001559C2"/>
    <w:rsid w:val="00155B56"/>
    <w:rsid w:val="00156B01"/>
    <w:rsid w:val="00161076"/>
    <w:rsid w:val="001620F1"/>
    <w:rsid w:val="001626B0"/>
    <w:rsid w:val="001631B5"/>
    <w:rsid w:val="001635F0"/>
    <w:rsid w:val="00164B64"/>
    <w:rsid w:val="00164D49"/>
    <w:rsid w:val="00165020"/>
    <w:rsid w:val="00165116"/>
    <w:rsid w:val="00166AE4"/>
    <w:rsid w:val="00166CA8"/>
    <w:rsid w:val="00167CE6"/>
    <w:rsid w:val="00167E87"/>
    <w:rsid w:val="00170106"/>
    <w:rsid w:val="00170721"/>
    <w:rsid w:val="0017139B"/>
    <w:rsid w:val="00171824"/>
    <w:rsid w:val="00171CF2"/>
    <w:rsid w:val="0017312D"/>
    <w:rsid w:val="0017335F"/>
    <w:rsid w:val="00175448"/>
    <w:rsid w:val="001765E3"/>
    <w:rsid w:val="001772A8"/>
    <w:rsid w:val="001806DC"/>
    <w:rsid w:val="001807D0"/>
    <w:rsid w:val="001808AD"/>
    <w:rsid w:val="00181ED5"/>
    <w:rsid w:val="001825AD"/>
    <w:rsid w:val="00182BA1"/>
    <w:rsid w:val="0018380E"/>
    <w:rsid w:val="0018380F"/>
    <w:rsid w:val="001845E2"/>
    <w:rsid w:val="0018495D"/>
    <w:rsid w:val="00185584"/>
    <w:rsid w:val="001856B0"/>
    <w:rsid w:val="00185E68"/>
    <w:rsid w:val="00185FCA"/>
    <w:rsid w:val="00186049"/>
    <w:rsid w:val="001869C3"/>
    <w:rsid w:val="00187D0B"/>
    <w:rsid w:val="00187D2E"/>
    <w:rsid w:val="00190A68"/>
    <w:rsid w:val="00190AD5"/>
    <w:rsid w:val="00190D4A"/>
    <w:rsid w:val="001911FE"/>
    <w:rsid w:val="00191358"/>
    <w:rsid w:val="0019168C"/>
    <w:rsid w:val="00192106"/>
    <w:rsid w:val="001928A7"/>
    <w:rsid w:val="001932FF"/>
    <w:rsid w:val="00194076"/>
    <w:rsid w:val="00194C87"/>
    <w:rsid w:val="00194CA1"/>
    <w:rsid w:val="00195219"/>
    <w:rsid w:val="0019699B"/>
    <w:rsid w:val="00197126"/>
    <w:rsid w:val="00197659"/>
    <w:rsid w:val="001A00EF"/>
    <w:rsid w:val="001A019A"/>
    <w:rsid w:val="001A01DC"/>
    <w:rsid w:val="001A08FA"/>
    <w:rsid w:val="001A12E0"/>
    <w:rsid w:val="001A20A5"/>
    <w:rsid w:val="001A232C"/>
    <w:rsid w:val="001A2F4D"/>
    <w:rsid w:val="001A369C"/>
    <w:rsid w:val="001A393F"/>
    <w:rsid w:val="001A3F01"/>
    <w:rsid w:val="001A472C"/>
    <w:rsid w:val="001A5116"/>
    <w:rsid w:val="001A52C6"/>
    <w:rsid w:val="001A5361"/>
    <w:rsid w:val="001A538C"/>
    <w:rsid w:val="001A66FF"/>
    <w:rsid w:val="001A6E0B"/>
    <w:rsid w:val="001A765D"/>
    <w:rsid w:val="001B0640"/>
    <w:rsid w:val="001B06ED"/>
    <w:rsid w:val="001B112D"/>
    <w:rsid w:val="001B1302"/>
    <w:rsid w:val="001B1431"/>
    <w:rsid w:val="001B1F20"/>
    <w:rsid w:val="001B231E"/>
    <w:rsid w:val="001B276B"/>
    <w:rsid w:val="001B27DE"/>
    <w:rsid w:val="001B2AC5"/>
    <w:rsid w:val="001B2F15"/>
    <w:rsid w:val="001B385D"/>
    <w:rsid w:val="001B390B"/>
    <w:rsid w:val="001B39C0"/>
    <w:rsid w:val="001B49A1"/>
    <w:rsid w:val="001B4EAF"/>
    <w:rsid w:val="001B565A"/>
    <w:rsid w:val="001B62B7"/>
    <w:rsid w:val="001B6891"/>
    <w:rsid w:val="001B72C5"/>
    <w:rsid w:val="001B7A7F"/>
    <w:rsid w:val="001C0727"/>
    <w:rsid w:val="001C09F8"/>
    <w:rsid w:val="001C1074"/>
    <w:rsid w:val="001C16AA"/>
    <w:rsid w:val="001C1A6C"/>
    <w:rsid w:val="001C3071"/>
    <w:rsid w:val="001C4F7F"/>
    <w:rsid w:val="001C5742"/>
    <w:rsid w:val="001C610E"/>
    <w:rsid w:val="001C7AE8"/>
    <w:rsid w:val="001D0543"/>
    <w:rsid w:val="001D15FE"/>
    <w:rsid w:val="001D1925"/>
    <w:rsid w:val="001D266D"/>
    <w:rsid w:val="001D39C1"/>
    <w:rsid w:val="001D3A77"/>
    <w:rsid w:val="001D3F5B"/>
    <w:rsid w:val="001D4DEC"/>
    <w:rsid w:val="001D5023"/>
    <w:rsid w:val="001D559D"/>
    <w:rsid w:val="001D587D"/>
    <w:rsid w:val="001D5BE4"/>
    <w:rsid w:val="001D6982"/>
    <w:rsid w:val="001D6EC2"/>
    <w:rsid w:val="001D7848"/>
    <w:rsid w:val="001D7A87"/>
    <w:rsid w:val="001D7CCF"/>
    <w:rsid w:val="001E050B"/>
    <w:rsid w:val="001E07A5"/>
    <w:rsid w:val="001E0A5D"/>
    <w:rsid w:val="001E0B2F"/>
    <w:rsid w:val="001E0C90"/>
    <w:rsid w:val="001E115A"/>
    <w:rsid w:val="001E120E"/>
    <w:rsid w:val="001E1B0F"/>
    <w:rsid w:val="001E1C01"/>
    <w:rsid w:val="001E27D0"/>
    <w:rsid w:val="001E3AB5"/>
    <w:rsid w:val="001E4856"/>
    <w:rsid w:val="001E4915"/>
    <w:rsid w:val="001E4C60"/>
    <w:rsid w:val="001E4FE3"/>
    <w:rsid w:val="001E6AA9"/>
    <w:rsid w:val="001F0D83"/>
    <w:rsid w:val="001F0E5B"/>
    <w:rsid w:val="001F33D2"/>
    <w:rsid w:val="001F384B"/>
    <w:rsid w:val="001F3A9D"/>
    <w:rsid w:val="001F3E78"/>
    <w:rsid w:val="001F40EE"/>
    <w:rsid w:val="001F444C"/>
    <w:rsid w:val="001F46F6"/>
    <w:rsid w:val="001F4A22"/>
    <w:rsid w:val="001F54B1"/>
    <w:rsid w:val="001F5D7E"/>
    <w:rsid w:val="001F6DD0"/>
    <w:rsid w:val="00201585"/>
    <w:rsid w:val="002020AA"/>
    <w:rsid w:val="00202582"/>
    <w:rsid w:val="00202F43"/>
    <w:rsid w:val="00203647"/>
    <w:rsid w:val="00204CD7"/>
    <w:rsid w:val="0020588E"/>
    <w:rsid w:val="002077B5"/>
    <w:rsid w:val="00207A8B"/>
    <w:rsid w:val="00207ACB"/>
    <w:rsid w:val="002100E1"/>
    <w:rsid w:val="00211008"/>
    <w:rsid w:val="00211511"/>
    <w:rsid w:val="002115AA"/>
    <w:rsid w:val="002116CB"/>
    <w:rsid w:val="002122CF"/>
    <w:rsid w:val="00212B42"/>
    <w:rsid w:val="002133FB"/>
    <w:rsid w:val="002134E0"/>
    <w:rsid w:val="0021419F"/>
    <w:rsid w:val="00214342"/>
    <w:rsid w:val="00214C44"/>
    <w:rsid w:val="00215166"/>
    <w:rsid w:val="002162E0"/>
    <w:rsid w:val="00216359"/>
    <w:rsid w:val="00216366"/>
    <w:rsid w:val="00216C88"/>
    <w:rsid w:val="00216CEE"/>
    <w:rsid w:val="002176B9"/>
    <w:rsid w:val="002176D6"/>
    <w:rsid w:val="00217CED"/>
    <w:rsid w:val="00217E85"/>
    <w:rsid w:val="002202AD"/>
    <w:rsid w:val="00220470"/>
    <w:rsid w:val="00220FBC"/>
    <w:rsid w:val="002212F8"/>
    <w:rsid w:val="00222210"/>
    <w:rsid w:val="00222432"/>
    <w:rsid w:val="002227D8"/>
    <w:rsid w:val="002227E0"/>
    <w:rsid w:val="00222C98"/>
    <w:rsid w:val="002233C3"/>
    <w:rsid w:val="0022387B"/>
    <w:rsid w:val="00223E79"/>
    <w:rsid w:val="00224C5D"/>
    <w:rsid w:val="00224E6F"/>
    <w:rsid w:val="00225539"/>
    <w:rsid w:val="00225B55"/>
    <w:rsid w:val="00226B18"/>
    <w:rsid w:val="00226BA9"/>
    <w:rsid w:val="0022717C"/>
    <w:rsid w:val="00227EC3"/>
    <w:rsid w:val="00230431"/>
    <w:rsid w:val="00231292"/>
    <w:rsid w:val="00231ACE"/>
    <w:rsid w:val="00231D8E"/>
    <w:rsid w:val="00232513"/>
    <w:rsid w:val="00232793"/>
    <w:rsid w:val="00235800"/>
    <w:rsid w:val="00235DEB"/>
    <w:rsid w:val="0023656A"/>
    <w:rsid w:val="00237DA5"/>
    <w:rsid w:val="00237E25"/>
    <w:rsid w:val="00241164"/>
    <w:rsid w:val="002413CF"/>
    <w:rsid w:val="00241464"/>
    <w:rsid w:val="00242444"/>
    <w:rsid w:val="002426E6"/>
    <w:rsid w:val="0024303D"/>
    <w:rsid w:val="002435C4"/>
    <w:rsid w:val="0024396F"/>
    <w:rsid w:val="00243BC7"/>
    <w:rsid w:val="0024434A"/>
    <w:rsid w:val="00245F51"/>
    <w:rsid w:val="00246518"/>
    <w:rsid w:val="00247356"/>
    <w:rsid w:val="00250657"/>
    <w:rsid w:val="00251659"/>
    <w:rsid w:val="00251D10"/>
    <w:rsid w:val="002520D9"/>
    <w:rsid w:val="0025266D"/>
    <w:rsid w:val="00252F6A"/>
    <w:rsid w:val="002532A5"/>
    <w:rsid w:val="002534E4"/>
    <w:rsid w:val="00253674"/>
    <w:rsid w:val="00253FA9"/>
    <w:rsid w:val="00254CC8"/>
    <w:rsid w:val="00255111"/>
    <w:rsid w:val="002553DE"/>
    <w:rsid w:val="002559AF"/>
    <w:rsid w:val="00256D62"/>
    <w:rsid w:val="00256F78"/>
    <w:rsid w:val="002570CF"/>
    <w:rsid w:val="00260657"/>
    <w:rsid w:val="00260E6E"/>
    <w:rsid w:val="002612BF"/>
    <w:rsid w:val="002619AF"/>
    <w:rsid w:val="00262D71"/>
    <w:rsid w:val="00262DC6"/>
    <w:rsid w:val="00262EE0"/>
    <w:rsid w:val="00263319"/>
    <w:rsid w:val="00263653"/>
    <w:rsid w:val="0026458B"/>
    <w:rsid w:val="00264CFC"/>
    <w:rsid w:val="00264F79"/>
    <w:rsid w:val="002662CE"/>
    <w:rsid w:val="00267173"/>
    <w:rsid w:val="002675B2"/>
    <w:rsid w:val="002701B0"/>
    <w:rsid w:val="002707A1"/>
    <w:rsid w:val="00271574"/>
    <w:rsid w:val="0027201E"/>
    <w:rsid w:val="0027214C"/>
    <w:rsid w:val="0027347F"/>
    <w:rsid w:val="002738BD"/>
    <w:rsid w:val="00273B89"/>
    <w:rsid w:val="002743BC"/>
    <w:rsid w:val="002744E0"/>
    <w:rsid w:val="00274B5F"/>
    <w:rsid w:val="00274F51"/>
    <w:rsid w:val="00275B38"/>
    <w:rsid w:val="00275DFA"/>
    <w:rsid w:val="00275EAA"/>
    <w:rsid w:val="00276F31"/>
    <w:rsid w:val="00277090"/>
    <w:rsid w:val="002770BE"/>
    <w:rsid w:val="00277774"/>
    <w:rsid w:val="00277C4A"/>
    <w:rsid w:val="0028084B"/>
    <w:rsid w:val="00280D19"/>
    <w:rsid w:val="00281467"/>
    <w:rsid w:val="002815B8"/>
    <w:rsid w:val="002824AD"/>
    <w:rsid w:val="00283833"/>
    <w:rsid w:val="002856C2"/>
    <w:rsid w:val="00286091"/>
    <w:rsid w:val="00286714"/>
    <w:rsid w:val="002868BB"/>
    <w:rsid w:val="00286C8D"/>
    <w:rsid w:val="0028772B"/>
    <w:rsid w:val="00287CB6"/>
    <w:rsid w:val="00287E98"/>
    <w:rsid w:val="00290DAB"/>
    <w:rsid w:val="00294AF6"/>
    <w:rsid w:val="00295F14"/>
    <w:rsid w:val="00295F5A"/>
    <w:rsid w:val="002967DF"/>
    <w:rsid w:val="00296A66"/>
    <w:rsid w:val="0029724A"/>
    <w:rsid w:val="00297A27"/>
    <w:rsid w:val="002A0CA6"/>
    <w:rsid w:val="002A141F"/>
    <w:rsid w:val="002A14FA"/>
    <w:rsid w:val="002A1B03"/>
    <w:rsid w:val="002A1BB2"/>
    <w:rsid w:val="002A1D0E"/>
    <w:rsid w:val="002A1EEB"/>
    <w:rsid w:val="002A3237"/>
    <w:rsid w:val="002A32F7"/>
    <w:rsid w:val="002A34A0"/>
    <w:rsid w:val="002B0024"/>
    <w:rsid w:val="002B0FC6"/>
    <w:rsid w:val="002B133D"/>
    <w:rsid w:val="002B16A5"/>
    <w:rsid w:val="002B24CB"/>
    <w:rsid w:val="002B2BAD"/>
    <w:rsid w:val="002B3431"/>
    <w:rsid w:val="002B35C8"/>
    <w:rsid w:val="002B42A3"/>
    <w:rsid w:val="002B51CB"/>
    <w:rsid w:val="002B5365"/>
    <w:rsid w:val="002B6BA9"/>
    <w:rsid w:val="002C03A7"/>
    <w:rsid w:val="002C1365"/>
    <w:rsid w:val="002C1A48"/>
    <w:rsid w:val="002C2478"/>
    <w:rsid w:val="002C2BC1"/>
    <w:rsid w:val="002C369B"/>
    <w:rsid w:val="002C396E"/>
    <w:rsid w:val="002C4AA0"/>
    <w:rsid w:val="002C5120"/>
    <w:rsid w:val="002C7F96"/>
    <w:rsid w:val="002D14B7"/>
    <w:rsid w:val="002D1904"/>
    <w:rsid w:val="002D1A53"/>
    <w:rsid w:val="002D1E62"/>
    <w:rsid w:val="002D3647"/>
    <w:rsid w:val="002D39EE"/>
    <w:rsid w:val="002D4372"/>
    <w:rsid w:val="002D5B01"/>
    <w:rsid w:val="002D6A2A"/>
    <w:rsid w:val="002D7147"/>
    <w:rsid w:val="002D7C15"/>
    <w:rsid w:val="002E0D11"/>
    <w:rsid w:val="002E104F"/>
    <w:rsid w:val="002E12E4"/>
    <w:rsid w:val="002E13F4"/>
    <w:rsid w:val="002E1DDE"/>
    <w:rsid w:val="002E2660"/>
    <w:rsid w:val="002E3392"/>
    <w:rsid w:val="002E3816"/>
    <w:rsid w:val="002E3A4F"/>
    <w:rsid w:val="002E4682"/>
    <w:rsid w:val="002E483B"/>
    <w:rsid w:val="002E527C"/>
    <w:rsid w:val="002E7093"/>
    <w:rsid w:val="002E7496"/>
    <w:rsid w:val="002E7572"/>
    <w:rsid w:val="002E79A1"/>
    <w:rsid w:val="002F079F"/>
    <w:rsid w:val="002F1808"/>
    <w:rsid w:val="002F1F95"/>
    <w:rsid w:val="002F251D"/>
    <w:rsid w:val="002F269C"/>
    <w:rsid w:val="002F29A6"/>
    <w:rsid w:val="002F2E2B"/>
    <w:rsid w:val="002F3328"/>
    <w:rsid w:val="002F370C"/>
    <w:rsid w:val="002F3AA5"/>
    <w:rsid w:val="002F3EA5"/>
    <w:rsid w:val="002F416A"/>
    <w:rsid w:val="002F42DC"/>
    <w:rsid w:val="002F4C5C"/>
    <w:rsid w:val="002F4D0C"/>
    <w:rsid w:val="002F6581"/>
    <w:rsid w:val="002F7155"/>
    <w:rsid w:val="002F7F5F"/>
    <w:rsid w:val="00302577"/>
    <w:rsid w:val="00302F58"/>
    <w:rsid w:val="00303347"/>
    <w:rsid w:val="003037E2"/>
    <w:rsid w:val="0030406F"/>
    <w:rsid w:val="0030480E"/>
    <w:rsid w:val="00304CE7"/>
    <w:rsid w:val="0030599F"/>
    <w:rsid w:val="0030748D"/>
    <w:rsid w:val="00307A69"/>
    <w:rsid w:val="00307C2C"/>
    <w:rsid w:val="0031058F"/>
    <w:rsid w:val="003106DB"/>
    <w:rsid w:val="0031140A"/>
    <w:rsid w:val="00311F06"/>
    <w:rsid w:val="003120B5"/>
    <w:rsid w:val="003128F7"/>
    <w:rsid w:val="003129E0"/>
    <w:rsid w:val="00312B53"/>
    <w:rsid w:val="00312C3C"/>
    <w:rsid w:val="00313F72"/>
    <w:rsid w:val="003140C4"/>
    <w:rsid w:val="00314419"/>
    <w:rsid w:val="00314690"/>
    <w:rsid w:val="00315522"/>
    <w:rsid w:val="003167A3"/>
    <w:rsid w:val="0032000F"/>
    <w:rsid w:val="00321037"/>
    <w:rsid w:val="00321085"/>
    <w:rsid w:val="00321CF7"/>
    <w:rsid w:val="00322BD1"/>
    <w:rsid w:val="003234A5"/>
    <w:rsid w:val="003234D6"/>
    <w:rsid w:val="003236A6"/>
    <w:rsid w:val="003243DD"/>
    <w:rsid w:val="003244E6"/>
    <w:rsid w:val="00324966"/>
    <w:rsid w:val="00324B23"/>
    <w:rsid w:val="00324ED2"/>
    <w:rsid w:val="00325B1E"/>
    <w:rsid w:val="00327ADE"/>
    <w:rsid w:val="00327CA6"/>
    <w:rsid w:val="00330034"/>
    <w:rsid w:val="00330698"/>
    <w:rsid w:val="00330948"/>
    <w:rsid w:val="00330AE0"/>
    <w:rsid w:val="00331B98"/>
    <w:rsid w:val="00331D73"/>
    <w:rsid w:val="00331E9E"/>
    <w:rsid w:val="00332B01"/>
    <w:rsid w:val="0033388E"/>
    <w:rsid w:val="003338CE"/>
    <w:rsid w:val="003345BA"/>
    <w:rsid w:val="003345F4"/>
    <w:rsid w:val="00335EBF"/>
    <w:rsid w:val="003366A3"/>
    <w:rsid w:val="003367E7"/>
    <w:rsid w:val="00336960"/>
    <w:rsid w:val="0034100C"/>
    <w:rsid w:val="00341745"/>
    <w:rsid w:val="00342573"/>
    <w:rsid w:val="003432E5"/>
    <w:rsid w:val="003438B4"/>
    <w:rsid w:val="00343C1B"/>
    <w:rsid w:val="0034455B"/>
    <w:rsid w:val="003447ED"/>
    <w:rsid w:val="00344ACC"/>
    <w:rsid w:val="00344AF7"/>
    <w:rsid w:val="003451FA"/>
    <w:rsid w:val="003454FA"/>
    <w:rsid w:val="003465F3"/>
    <w:rsid w:val="0034789D"/>
    <w:rsid w:val="003509A6"/>
    <w:rsid w:val="00350A99"/>
    <w:rsid w:val="00350BEB"/>
    <w:rsid w:val="00350F44"/>
    <w:rsid w:val="00351FBB"/>
    <w:rsid w:val="003521C3"/>
    <w:rsid w:val="00352862"/>
    <w:rsid w:val="0035349B"/>
    <w:rsid w:val="00353B95"/>
    <w:rsid w:val="00354A57"/>
    <w:rsid w:val="00354C2F"/>
    <w:rsid w:val="003550DE"/>
    <w:rsid w:val="00355795"/>
    <w:rsid w:val="00355926"/>
    <w:rsid w:val="00355CE1"/>
    <w:rsid w:val="0035632B"/>
    <w:rsid w:val="00356D60"/>
    <w:rsid w:val="003572DB"/>
    <w:rsid w:val="00362F7D"/>
    <w:rsid w:val="00362FA9"/>
    <w:rsid w:val="0036302D"/>
    <w:rsid w:val="003630C3"/>
    <w:rsid w:val="00363564"/>
    <w:rsid w:val="00364281"/>
    <w:rsid w:val="00364321"/>
    <w:rsid w:val="003646FC"/>
    <w:rsid w:val="003651A8"/>
    <w:rsid w:val="0036606F"/>
    <w:rsid w:val="0036627C"/>
    <w:rsid w:val="00366967"/>
    <w:rsid w:val="00366A34"/>
    <w:rsid w:val="00367CE9"/>
    <w:rsid w:val="00370C3E"/>
    <w:rsid w:val="00370CE4"/>
    <w:rsid w:val="003711AC"/>
    <w:rsid w:val="0037202F"/>
    <w:rsid w:val="00372A66"/>
    <w:rsid w:val="00373033"/>
    <w:rsid w:val="003736AD"/>
    <w:rsid w:val="0037377D"/>
    <w:rsid w:val="00373FA3"/>
    <w:rsid w:val="00374495"/>
    <w:rsid w:val="00374A98"/>
    <w:rsid w:val="00375A78"/>
    <w:rsid w:val="00376078"/>
    <w:rsid w:val="0037660D"/>
    <w:rsid w:val="00380A93"/>
    <w:rsid w:val="003812C1"/>
    <w:rsid w:val="0038223A"/>
    <w:rsid w:val="00383405"/>
    <w:rsid w:val="00383904"/>
    <w:rsid w:val="00385D37"/>
    <w:rsid w:val="003860C1"/>
    <w:rsid w:val="003866E6"/>
    <w:rsid w:val="00387CE5"/>
    <w:rsid w:val="003904FB"/>
    <w:rsid w:val="003918CA"/>
    <w:rsid w:val="0039271C"/>
    <w:rsid w:val="0039350A"/>
    <w:rsid w:val="003938FE"/>
    <w:rsid w:val="003940E8"/>
    <w:rsid w:val="00394486"/>
    <w:rsid w:val="00394E1E"/>
    <w:rsid w:val="0039592C"/>
    <w:rsid w:val="00396246"/>
    <w:rsid w:val="00396FAA"/>
    <w:rsid w:val="0039799A"/>
    <w:rsid w:val="003A0789"/>
    <w:rsid w:val="003A0F6C"/>
    <w:rsid w:val="003A23BE"/>
    <w:rsid w:val="003A2C66"/>
    <w:rsid w:val="003A3DA3"/>
    <w:rsid w:val="003A4696"/>
    <w:rsid w:val="003A569E"/>
    <w:rsid w:val="003A59FE"/>
    <w:rsid w:val="003A5C98"/>
    <w:rsid w:val="003A6E3C"/>
    <w:rsid w:val="003A711A"/>
    <w:rsid w:val="003A779C"/>
    <w:rsid w:val="003A7C26"/>
    <w:rsid w:val="003B0183"/>
    <w:rsid w:val="003B18B4"/>
    <w:rsid w:val="003B1D73"/>
    <w:rsid w:val="003B222C"/>
    <w:rsid w:val="003B2D7B"/>
    <w:rsid w:val="003B3CA9"/>
    <w:rsid w:val="003B451A"/>
    <w:rsid w:val="003B48C5"/>
    <w:rsid w:val="003B4ACC"/>
    <w:rsid w:val="003B528B"/>
    <w:rsid w:val="003B56A2"/>
    <w:rsid w:val="003B6543"/>
    <w:rsid w:val="003B7253"/>
    <w:rsid w:val="003B746F"/>
    <w:rsid w:val="003B7911"/>
    <w:rsid w:val="003B7D3A"/>
    <w:rsid w:val="003C011C"/>
    <w:rsid w:val="003C0510"/>
    <w:rsid w:val="003C06B2"/>
    <w:rsid w:val="003C14AF"/>
    <w:rsid w:val="003C14D9"/>
    <w:rsid w:val="003C163D"/>
    <w:rsid w:val="003C16B6"/>
    <w:rsid w:val="003C2766"/>
    <w:rsid w:val="003C2B8F"/>
    <w:rsid w:val="003C2D56"/>
    <w:rsid w:val="003C3327"/>
    <w:rsid w:val="003C3AB7"/>
    <w:rsid w:val="003C3BC3"/>
    <w:rsid w:val="003C3E02"/>
    <w:rsid w:val="003C3E1B"/>
    <w:rsid w:val="003C41A9"/>
    <w:rsid w:val="003C43A8"/>
    <w:rsid w:val="003C44E8"/>
    <w:rsid w:val="003C4BC7"/>
    <w:rsid w:val="003C5F63"/>
    <w:rsid w:val="003C6365"/>
    <w:rsid w:val="003C69DF"/>
    <w:rsid w:val="003D02EE"/>
    <w:rsid w:val="003D089A"/>
    <w:rsid w:val="003D1D5E"/>
    <w:rsid w:val="003D2308"/>
    <w:rsid w:val="003D2326"/>
    <w:rsid w:val="003D2932"/>
    <w:rsid w:val="003D293D"/>
    <w:rsid w:val="003D2D24"/>
    <w:rsid w:val="003D32FC"/>
    <w:rsid w:val="003D3648"/>
    <w:rsid w:val="003D4005"/>
    <w:rsid w:val="003D42FF"/>
    <w:rsid w:val="003D4AEB"/>
    <w:rsid w:val="003D4E0F"/>
    <w:rsid w:val="003D79B9"/>
    <w:rsid w:val="003D7CFA"/>
    <w:rsid w:val="003E074D"/>
    <w:rsid w:val="003E2D57"/>
    <w:rsid w:val="003E3218"/>
    <w:rsid w:val="003E3564"/>
    <w:rsid w:val="003E3582"/>
    <w:rsid w:val="003E39C6"/>
    <w:rsid w:val="003E3CB5"/>
    <w:rsid w:val="003E3F09"/>
    <w:rsid w:val="003E4B0C"/>
    <w:rsid w:val="003E4CE3"/>
    <w:rsid w:val="003E54F9"/>
    <w:rsid w:val="003E5AED"/>
    <w:rsid w:val="003E5E96"/>
    <w:rsid w:val="003E6F83"/>
    <w:rsid w:val="003E7487"/>
    <w:rsid w:val="003E7A41"/>
    <w:rsid w:val="003E7B64"/>
    <w:rsid w:val="003F0144"/>
    <w:rsid w:val="003F0617"/>
    <w:rsid w:val="003F0ED0"/>
    <w:rsid w:val="003F1318"/>
    <w:rsid w:val="003F2375"/>
    <w:rsid w:val="003F24F6"/>
    <w:rsid w:val="003F5670"/>
    <w:rsid w:val="003F5AB3"/>
    <w:rsid w:val="003F73BE"/>
    <w:rsid w:val="00400AF6"/>
    <w:rsid w:val="004012C5"/>
    <w:rsid w:val="00401E7C"/>
    <w:rsid w:val="004023BA"/>
    <w:rsid w:val="00402490"/>
    <w:rsid w:val="00402CC5"/>
    <w:rsid w:val="0040334F"/>
    <w:rsid w:val="0040343D"/>
    <w:rsid w:val="00403BC3"/>
    <w:rsid w:val="0040422D"/>
    <w:rsid w:val="00404675"/>
    <w:rsid w:val="00404DB7"/>
    <w:rsid w:val="004055CE"/>
    <w:rsid w:val="00405735"/>
    <w:rsid w:val="00405936"/>
    <w:rsid w:val="00406E60"/>
    <w:rsid w:val="00407134"/>
    <w:rsid w:val="004074DE"/>
    <w:rsid w:val="00407B17"/>
    <w:rsid w:val="00407DD2"/>
    <w:rsid w:val="004101FD"/>
    <w:rsid w:val="00411060"/>
    <w:rsid w:val="00411279"/>
    <w:rsid w:val="004127CE"/>
    <w:rsid w:val="00412B11"/>
    <w:rsid w:val="00413267"/>
    <w:rsid w:val="004147AA"/>
    <w:rsid w:val="00414922"/>
    <w:rsid w:val="00415192"/>
    <w:rsid w:val="0041525A"/>
    <w:rsid w:val="00416235"/>
    <w:rsid w:val="0041646A"/>
    <w:rsid w:val="00417660"/>
    <w:rsid w:val="00417E03"/>
    <w:rsid w:val="0042034D"/>
    <w:rsid w:val="0042058A"/>
    <w:rsid w:val="00421EE1"/>
    <w:rsid w:val="00421F2A"/>
    <w:rsid w:val="00422CC5"/>
    <w:rsid w:val="00424ADE"/>
    <w:rsid w:val="00426667"/>
    <w:rsid w:val="004267D6"/>
    <w:rsid w:val="0042700B"/>
    <w:rsid w:val="004271C9"/>
    <w:rsid w:val="0042733C"/>
    <w:rsid w:val="00427E0E"/>
    <w:rsid w:val="00430005"/>
    <w:rsid w:val="004300A1"/>
    <w:rsid w:val="004305BE"/>
    <w:rsid w:val="0043161E"/>
    <w:rsid w:val="00431F06"/>
    <w:rsid w:val="00432BAA"/>
    <w:rsid w:val="00432BE0"/>
    <w:rsid w:val="0043360B"/>
    <w:rsid w:val="00433C80"/>
    <w:rsid w:val="00434ECB"/>
    <w:rsid w:val="00434F23"/>
    <w:rsid w:val="0043598D"/>
    <w:rsid w:val="00435B8F"/>
    <w:rsid w:val="00437738"/>
    <w:rsid w:val="00440871"/>
    <w:rsid w:val="00440C48"/>
    <w:rsid w:val="00441171"/>
    <w:rsid w:val="004416C4"/>
    <w:rsid w:val="00441A80"/>
    <w:rsid w:val="00442188"/>
    <w:rsid w:val="00442241"/>
    <w:rsid w:val="00442D8E"/>
    <w:rsid w:val="00442F85"/>
    <w:rsid w:val="00443061"/>
    <w:rsid w:val="004434DA"/>
    <w:rsid w:val="0044426B"/>
    <w:rsid w:val="0044466B"/>
    <w:rsid w:val="00445138"/>
    <w:rsid w:val="00445D57"/>
    <w:rsid w:val="00450A48"/>
    <w:rsid w:val="00450B90"/>
    <w:rsid w:val="00451790"/>
    <w:rsid w:val="00451DC3"/>
    <w:rsid w:val="00451F47"/>
    <w:rsid w:val="00452163"/>
    <w:rsid w:val="004531D5"/>
    <w:rsid w:val="0045377C"/>
    <w:rsid w:val="00454EC5"/>
    <w:rsid w:val="00455BFD"/>
    <w:rsid w:val="0045720C"/>
    <w:rsid w:val="00457B66"/>
    <w:rsid w:val="00457CD9"/>
    <w:rsid w:val="0046045F"/>
    <w:rsid w:val="00460C74"/>
    <w:rsid w:val="004621CB"/>
    <w:rsid w:val="00462337"/>
    <w:rsid w:val="00462574"/>
    <w:rsid w:val="00462676"/>
    <w:rsid w:val="0046269A"/>
    <w:rsid w:val="004626AA"/>
    <w:rsid w:val="00462900"/>
    <w:rsid w:val="00462FE5"/>
    <w:rsid w:val="00463438"/>
    <w:rsid w:val="00463453"/>
    <w:rsid w:val="00463993"/>
    <w:rsid w:val="00464A40"/>
    <w:rsid w:val="00464FCA"/>
    <w:rsid w:val="004658E0"/>
    <w:rsid w:val="00465BF8"/>
    <w:rsid w:val="004669EA"/>
    <w:rsid w:val="00466D53"/>
    <w:rsid w:val="00467F47"/>
    <w:rsid w:val="00470245"/>
    <w:rsid w:val="00471769"/>
    <w:rsid w:val="00471D1A"/>
    <w:rsid w:val="0047291E"/>
    <w:rsid w:val="004745A2"/>
    <w:rsid w:val="00475161"/>
    <w:rsid w:val="0047584E"/>
    <w:rsid w:val="00475B24"/>
    <w:rsid w:val="00476B68"/>
    <w:rsid w:val="00476D74"/>
    <w:rsid w:val="0047773B"/>
    <w:rsid w:val="004805CE"/>
    <w:rsid w:val="00480657"/>
    <w:rsid w:val="00480A91"/>
    <w:rsid w:val="00480BAC"/>
    <w:rsid w:val="00480DAA"/>
    <w:rsid w:val="004818A7"/>
    <w:rsid w:val="0048340A"/>
    <w:rsid w:val="00484B23"/>
    <w:rsid w:val="00484D5D"/>
    <w:rsid w:val="00484DAA"/>
    <w:rsid w:val="0048595B"/>
    <w:rsid w:val="00486045"/>
    <w:rsid w:val="00486363"/>
    <w:rsid w:val="00486619"/>
    <w:rsid w:val="00486A8E"/>
    <w:rsid w:val="00487215"/>
    <w:rsid w:val="004902B3"/>
    <w:rsid w:val="00490616"/>
    <w:rsid w:val="00491409"/>
    <w:rsid w:val="0049154C"/>
    <w:rsid w:val="00491827"/>
    <w:rsid w:val="00492717"/>
    <w:rsid w:val="00492BD3"/>
    <w:rsid w:val="00493216"/>
    <w:rsid w:val="00494750"/>
    <w:rsid w:val="00494BCD"/>
    <w:rsid w:val="0049583D"/>
    <w:rsid w:val="00495F5C"/>
    <w:rsid w:val="004963D0"/>
    <w:rsid w:val="00496F2F"/>
    <w:rsid w:val="00497102"/>
    <w:rsid w:val="004973F4"/>
    <w:rsid w:val="004976A4"/>
    <w:rsid w:val="004977FB"/>
    <w:rsid w:val="004978D8"/>
    <w:rsid w:val="00497C91"/>
    <w:rsid w:val="004A0A49"/>
    <w:rsid w:val="004A1A59"/>
    <w:rsid w:val="004A233C"/>
    <w:rsid w:val="004A25FE"/>
    <w:rsid w:val="004A2D66"/>
    <w:rsid w:val="004A33F3"/>
    <w:rsid w:val="004A3D06"/>
    <w:rsid w:val="004A3D8F"/>
    <w:rsid w:val="004A49C7"/>
    <w:rsid w:val="004A4A80"/>
    <w:rsid w:val="004A5DA8"/>
    <w:rsid w:val="004A6792"/>
    <w:rsid w:val="004A6D42"/>
    <w:rsid w:val="004A6E8B"/>
    <w:rsid w:val="004A70A8"/>
    <w:rsid w:val="004A7359"/>
    <w:rsid w:val="004A7A91"/>
    <w:rsid w:val="004A7E9B"/>
    <w:rsid w:val="004B0089"/>
    <w:rsid w:val="004B03D7"/>
    <w:rsid w:val="004B0E5C"/>
    <w:rsid w:val="004B1849"/>
    <w:rsid w:val="004B229A"/>
    <w:rsid w:val="004B22F8"/>
    <w:rsid w:val="004B2441"/>
    <w:rsid w:val="004B36E9"/>
    <w:rsid w:val="004B4472"/>
    <w:rsid w:val="004B44B5"/>
    <w:rsid w:val="004B490A"/>
    <w:rsid w:val="004B5020"/>
    <w:rsid w:val="004B54BC"/>
    <w:rsid w:val="004B5929"/>
    <w:rsid w:val="004B5B3C"/>
    <w:rsid w:val="004B5DCA"/>
    <w:rsid w:val="004B643C"/>
    <w:rsid w:val="004B68B4"/>
    <w:rsid w:val="004B7E3A"/>
    <w:rsid w:val="004C02FE"/>
    <w:rsid w:val="004C07FF"/>
    <w:rsid w:val="004C0C25"/>
    <w:rsid w:val="004C0FC8"/>
    <w:rsid w:val="004C1ADC"/>
    <w:rsid w:val="004C1C6C"/>
    <w:rsid w:val="004C1C75"/>
    <w:rsid w:val="004C1D2A"/>
    <w:rsid w:val="004C21B7"/>
    <w:rsid w:val="004C3309"/>
    <w:rsid w:val="004C367C"/>
    <w:rsid w:val="004C3CF9"/>
    <w:rsid w:val="004C4746"/>
    <w:rsid w:val="004C49B6"/>
    <w:rsid w:val="004C4A15"/>
    <w:rsid w:val="004C6CDB"/>
    <w:rsid w:val="004C702D"/>
    <w:rsid w:val="004C72F8"/>
    <w:rsid w:val="004C7927"/>
    <w:rsid w:val="004D1286"/>
    <w:rsid w:val="004D13DE"/>
    <w:rsid w:val="004D1EDA"/>
    <w:rsid w:val="004D250B"/>
    <w:rsid w:val="004D2892"/>
    <w:rsid w:val="004D35C0"/>
    <w:rsid w:val="004D3795"/>
    <w:rsid w:val="004D3825"/>
    <w:rsid w:val="004D3CB1"/>
    <w:rsid w:val="004D4232"/>
    <w:rsid w:val="004D43E6"/>
    <w:rsid w:val="004D4431"/>
    <w:rsid w:val="004D5799"/>
    <w:rsid w:val="004D5A62"/>
    <w:rsid w:val="004D5C84"/>
    <w:rsid w:val="004D65B8"/>
    <w:rsid w:val="004D6BEC"/>
    <w:rsid w:val="004D7148"/>
    <w:rsid w:val="004D71C6"/>
    <w:rsid w:val="004D7591"/>
    <w:rsid w:val="004D7C8A"/>
    <w:rsid w:val="004E037C"/>
    <w:rsid w:val="004E12E0"/>
    <w:rsid w:val="004E2534"/>
    <w:rsid w:val="004E27A9"/>
    <w:rsid w:val="004E2CB8"/>
    <w:rsid w:val="004E3A85"/>
    <w:rsid w:val="004E4777"/>
    <w:rsid w:val="004E4E72"/>
    <w:rsid w:val="004E5691"/>
    <w:rsid w:val="004E5EA9"/>
    <w:rsid w:val="004E675D"/>
    <w:rsid w:val="004E67E8"/>
    <w:rsid w:val="004E6B8E"/>
    <w:rsid w:val="004F01EF"/>
    <w:rsid w:val="004F0213"/>
    <w:rsid w:val="004F09B7"/>
    <w:rsid w:val="004F0F21"/>
    <w:rsid w:val="004F131E"/>
    <w:rsid w:val="004F251A"/>
    <w:rsid w:val="004F26B3"/>
    <w:rsid w:val="004F3280"/>
    <w:rsid w:val="004F39C4"/>
    <w:rsid w:val="004F4237"/>
    <w:rsid w:val="004F4E65"/>
    <w:rsid w:val="004F5F3B"/>
    <w:rsid w:val="004F626B"/>
    <w:rsid w:val="004F64FC"/>
    <w:rsid w:val="004F7F17"/>
    <w:rsid w:val="005006C1"/>
    <w:rsid w:val="00500D09"/>
    <w:rsid w:val="00500F7B"/>
    <w:rsid w:val="00501663"/>
    <w:rsid w:val="005026C5"/>
    <w:rsid w:val="0050311F"/>
    <w:rsid w:val="00503153"/>
    <w:rsid w:val="00503D3E"/>
    <w:rsid w:val="0050431C"/>
    <w:rsid w:val="00505721"/>
    <w:rsid w:val="00505B12"/>
    <w:rsid w:val="00505C6E"/>
    <w:rsid w:val="00506FE3"/>
    <w:rsid w:val="0050747C"/>
    <w:rsid w:val="00507AF9"/>
    <w:rsid w:val="0051146D"/>
    <w:rsid w:val="005118BA"/>
    <w:rsid w:val="00512216"/>
    <w:rsid w:val="0051295F"/>
    <w:rsid w:val="00512AEE"/>
    <w:rsid w:val="005131EF"/>
    <w:rsid w:val="005132D5"/>
    <w:rsid w:val="0051391C"/>
    <w:rsid w:val="00513C17"/>
    <w:rsid w:val="00513D27"/>
    <w:rsid w:val="00514758"/>
    <w:rsid w:val="005150B3"/>
    <w:rsid w:val="0051512D"/>
    <w:rsid w:val="00515A08"/>
    <w:rsid w:val="00515BD2"/>
    <w:rsid w:val="00515D53"/>
    <w:rsid w:val="005162B9"/>
    <w:rsid w:val="00516760"/>
    <w:rsid w:val="00516845"/>
    <w:rsid w:val="00516C1F"/>
    <w:rsid w:val="00516ECD"/>
    <w:rsid w:val="00520867"/>
    <w:rsid w:val="005215CC"/>
    <w:rsid w:val="00521680"/>
    <w:rsid w:val="0052180A"/>
    <w:rsid w:val="00521F5B"/>
    <w:rsid w:val="005235E3"/>
    <w:rsid w:val="00523632"/>
    <w:rsid w:val="00523C8B"/>
    <w:rsid w:val="005242A7"/>
    <w:rsid w:val="00524CC8"/>
    <w:rsid w:val="005250D6"/>
    <w:rsid w:val="005252DE"/>
    <w:rsid w:val="00525CC9"/>
    <w:rsid w:val="00525FF3"/>
    <w:rsid w:val="0052718D"/>
    <w:rsid w:val="005273F7"/>
    <w:rsid w:val="00527ACD"/>
    <w:rsid w:val="00527DBD"/>
    <w:rsid w:val="0053015F"/>
    <w:rsid w:val="00530BC9"/>
    <w:rsid w:val="005316BD"/>
    <w:rsid w:val="00531BB6"/>
    <w:rsid w:val="00531BE7"/>
    <w:rsid w:val="00532236"/>
    <w:rsid w:val="00533087"/>
    <w:rsid w:val="00533355"/>
    <w:rsid w:val="00533F1A"/>
    <w:rsid w:val="0053463E"/>
    <w:rsid w:val="00535061"/>
    <w:rsid w:val="005350F6"/>
    <w:rsid w:val="0053536A"/>
    <w:rsid w:val="00535739"/>
    <w:rsid w:val="00535F77"/>
    <w:rsid w:val="00536403"/>
    <w:rsid w:val="00536421"/>
    <w:rsid w:val="00536BF8"/>
    <w:rsid w:val="00540062"/>
    <w:rsid w:val="00540597"/>
    <w:rsid w:val="005408F2"/>
    <w:rsid w:val="00541B83"/>
    <w:rsid w:val="00545DEC"/>
    <w:rsid w:val="005463CF"/>
    <w:rsid w:val="005464C9"/>
    <w:rsid w:val="00546C12"/>
    <w:rsid w:val="00546E50"/>
    <w:rsid w:val="005470F3"/>
    <w:rsid w:val="00547538"/>
    <w:rsid w:val="005478A2"/>
    <w:rsid w:val="00547CB7"/>
    <w:rsid w:val="0055098C"/>
    <w:rsid w:val="00550C90"/>
    <w:rsid w:val="00550D9B"/>
    <w:rsid w:val="00551607"/>
    <w:rsid w:val="005516BA"/>
    <w:rsid w:val="00551902"/>
    <w:rsid w:val="00552370"/>
    <w:rsid w:val="005529B5"/>
    <w:rsid w:val="00553325"/>
    <w:rsid w:val="005533B0"/>
    <w:rsid w:val="00554A40"/>
    <w:rsid w:val="00555B7F"/>
    <w:rsid w:val="00556A13"/>
    <w:rsid w:val="00556FA0"/>
    <w:rsid w:val="00557228"/>
    <w:rsid w:val="00557D97"/>
    <w:rsid w:val="00560951"/>
    <w:rsid w:val="005611CC"/>
    <w:rsid w:val="005619CA"/>
    <w:rsid w:val="0056300C"/>
    <w:rsid w:val="00563E0E"/>
    <w:rsid w:val="00563E1C"/>
    <w:rsid w:val="00564C99"/>
    <w:rsid w:val="00566567"/>
    <w:rsid w:val="00566B90"/>
    <w:rsid w:val="00570421"/>
    <w:rsid w:val="00570917"/>
    <w:rsid w:val="00570F6D"/>
    <w:rsid w:val="00570F78"/>
    <w:rsid w:val="0057205E"/>
    <w:rsid w:val="005720A3"/>
    <w:rsid w:val="00572827"/>
    <w:rsid w:val="00572CDE"/>
    <w:rsid w:val="00573273"/>
    <w:rsid w:val="00573F32"/>
    <w:rsid w:val="00573F4F"/>
    <w:rsid w:val="00574162"/>
    <w:rsid w:val="00574E75"/>
    <w:rsid w:val="00575235"/>
    <w:rsid w:val="0057583A"/>
    <w:rsid w:val="00575A6F"/>
    <w:rsid w:val="005766AF"/>
    <w:rsid w:val="00576DCB"/>
    <w:rsid w:val="00577228"/>
    <w:rsid w:val="0057740C"/>
    <w:rsid w:val="00577F5A"/>
    <w:rsid w:val="005805FB"/>
    <w:rsid w:val="005806A0"/>
    <w:rsid w:val="0058106A"/>
    <w:rsid w:val="0058147F"/>
    <w:rsid w:val="0058184B"/>
    <w:rsid w:val="00581C50"/>
    <w:rsid w:val="00581E05"/>
    <w:rsid w:val="00582A4F"/>
    <w:rsid w:val="00582C73"/>
    <w:rsid w:val="00582EC4"/>
    <w:rsid w:val="00583359"/>
    <w:rsid w:val="0058345A"/>
    <w:rsid w:val="0058391D"/>
    <w:rsid w:val="00584A2D"/>
    <w:rsid w:val="00584DE1"/>
    <w:rsid w:val="00585549"/>
    <w:rsid w:val="00585DB1"/>
    <w:rsid w:val="00586EB2"/>
    <w:rsid w:val="00587BDC"/>
    <w:rsid w:val="00587C2F"/>
    <w:rsid w:val="005916AB"/>
    <w:rsid w:val="00591836"/>
    <w:rsid w:val="00591AEB"/>
    <w:rsid w:val="00591C3A"/>
    <w:rsid w:val="00591F6A"/>
    <w:rsid w:val="00592437"/>
    <w:rsid w:val="005933E0"/>
    <w:rsid w:val="00596A91"/>
    <w:rsid w:val="005A0259"/>
    <w:rsid w:val="005A1831"/>
    <w:rsid w:val="005A21A7"/>
    <w:rsid w:val="005A2AD3"/>
    <w:rsid w:val="005A3659"/>
    <w:rsid w:val="005A37E1"/>
    <w:rsid w:val="005A38A5"/>
    <w:rsid w:val="005A4B35"/>
    <w:rsid w:val="005A4D05"/>
    <w:rsid w:val="005A4E24"/>
    <w:rsid w:val="005A4F12"/>
    <w:rsid w:val="005A533B"/>
    <w:rsid w:val="005A6BC8"/>
    <w:rsid w:val="005A7C19"/>
    <w:rsid w:val="005B0596"/>
    <w:rsid w:val="005B0759"/>
    <w:rsid w:val="005B1C0D"/>
    <w:rsid w:val="005B29C2"/>
    <w:rsid w:val="005B2BC0"/>
    <w:rsid w:val="005B3C7C"/>
    <w:rsid w:val="005B4BFD"/>
    <w:rsid w:val="005B4CC9"/>
    <w:rsid w:val="005B59DA"/>
    <w:rsid w:val="005B5E5F"/>
    <w:rsid w:val="005B654F"/>
    <w:rsid w:val="005B71A2"/>
    <w:rsid w:val="005C05BB"/>
    <w:rsid w:val="005C0CD0"/>
    <w:rsid w:val="005C0EA5"/>
    <w:rsid w:val="005C171C"/>
    <w:rsid w:val="005C2774"/>
    <w:rsid w:val="005C2C9B"/>
    <w:rsid w:val="005C385C"/>
    <w:rsid w:val="005C4BC3"/>
    <w:rsid w:val="005C5AA6"/>
    <w:rsid w:val="005C5DB0"/>
    <w:rsid w:val="005C620D"/>
    <w:rsid w:val="005C65F5"/>
    <w:rsid w:val="005C7664"/>
    <w:rsid w:val="005D0D1D"/>
    <w:rsid w:val="005D0E02"/>
    <w:rsid w:val="005D1067"/>
    <w:rsid w:val="005D1C6B"/>
    <w:rsid w:val="005D1FCC"/>
    <w:rsid w:val="005D2603"/>
    <w:rsid w:val="005D297F"/>
    <w:rsid w:val="005D2F16"/>
    <w:rsid w:val="005D4393"/>
    <w:rsid w:val="005D5656"/>
    <w:rsid w:val="005D5A15"/>
    <w:rsid w:val="005D61A0"/>
    <w:rsid w:val="005D6612"/>
    <w:rsid w:val="005D66BF"/>
    <w:rsid w:val="005D6A83"/>
    <w:rsid w:val="005D7B36"/>
    <w:rsid w:val="005E014F"/>
    <w:rsid w:val="005E0534"/>
    <w:rsid w:val="005E1959"/>
    <w:rsid w:val="005E1D4A"/>
    <w:rsid w:val="005E2111"/>
    <w:rsid w:val="005E2863"/>
    <w:rsid w:val="005E2C2F"/>
    <w:rsid w:val="005E5483"/>
    <w:rsid w:val="005E5EED"/>
    <w:rsid w:val="005E62EE"/>
    <w:rsid w:val="005E6DA4"/>
    <w:rsid w:val="005E7012"/>
    <w:rsid w:val="005F0512"/>
    <w:rsid w:val="005F0E85"/>
    <w:rsid w:val="005F133E"/>
    <w:rsid w:val="005F152E"/>
    <w:rsid w:val="005F179C"/>
    <w:rsid w:val="005F1EC4"/>
    <w:rsid w:val="005F24EA"/>
    <w:rsid w:val="005F33CD"/>
    <w:rsid w:val="005F3C66"/>
    <w:rsid w:val="005F4803"/>
    <w:rsid w:val="005F48AF"/>
    <w:rsid w:val="005F4B51"/>
    <w:rsid w:val="005F53CC"/>
    <w:rsid w:val="005F59BF"/>
    <w:rsid w:val="005F65D0"/>
    <w:rsid w:val="005F69B2"/>
    <w:rsid w:val="005F6D1B"/>
    <w:rsid w:val="005F791E"/>
    <w:rsid w:val="005F7E37"/>
    <w:rsid w:val="00602372"/>
    <w:rsid w:val="006028B9"/>
    <w:rsid w:val="0060471C"/>
    <w:rsid w:val="00604EBC"/>
    <w:rsid w:val="006050B7"/>
    <w:rsid w:val="0060544E"/>
    <w:rsid w:val="00605B67"/>
    <w:rsid w:val="00606189"/>
    <w:rsid w:val="006067D2"/>
    <w:rsid w:val="006068F0"/>
    <w:rsid w:val="00606BE8"/>
    <w:rsid w:val="00607613"/>
    <w:rsid w:val="00607A2A"/>
    <w:rsid w:val="00607BB0"/>
    <w:rsid w:val="00610109"/>
    <w:rsid w:val="006104B0"/>
    <w:rsid w:val="00611BD5"/>
    <w:rsid w:val="00611EEA"/>
    <w:rsid w:val="00612131"/>
    <w:rsid w:val="00612589"/>
    <w:rsid w:val="006133E6"/>
    <w:rsid w:val="00613ADF"/>
    <w:rsid w:val="00614D9E"/>
    <w:rsid w:val="0061522E"/>
    <w:rsid w:val="00615ADF"/>
    <w:rsid w:val="00616622"/>
    <w:rsid w:val="00620292"/>
    <w:rsid w:val="006202DA"/>
    <w:rsid w:val="00621356"/>
    <w:rsid w:val="006215EF"/>
    <w:rsid w:val="006216C7"/>
    <w:rsid w:val="00621A1D"/>
    <w:rsid w:val="0062229D"/>
    <w:rsid w:val="00624C6D"/>
    <w:rsid w:val="0062512F"/>
    <w:rsid w:val="00625769"/>
    <w:rsid w:val="00625D49"/>
    <w:rsid w:val="00625FC0"/>
    <w:rsid w:val="0062688A"/>
    <w:rsid w:val="00626C24"/>
    <w:rsid w:val="00626D09"/>
    <w:rsid w:val="00626D2D"/>
    <w:rsid w:val="00626E14"/>
    <w:rsid w:val="0062751A"/>
    <w:rsid w:val="00630DF0"/>
    <w:rsid w:val="006312CB"/>
    <w:rsid w:val="00632891"/>
    <w:rsid w:val="006329D8"/>
    <w:rsid w:val="00634417"/>
    <w:rsid w:val="00634C12"/>
    <w:rsid w:val="006355CA"/>
    <w:rsid w:val="00636AB5"/>
    <w:rsid w:val="0063758F"/>
    <w:rsid w:val="0063768B"/>
    <w:rsid w:val="006378EA"/>
    <w:rsid w:val="006379DC"/>
    <w:rsid w:val="00637F89"/>
    <w:rsid w:val="00640259"/>
    <w:rsid w:val="0064186E"/>
    <w:rsid w:val="00641921"/>
    <w:rsid w:val="00641D77"/>
    <w:rsid w:val="00642602"/>
    <w:rsid w:val="00642734"/>
    <w:rsid w:val="00642B91"/>
    <w:rsid w:val="0064395B"/>
    <w:rsid w:val="00644046"/>
    <w:rsid w:val="006442AC"/>
    <w:rsid w:val="00644F51"/>
    <w:rsid w:val="00645BD9"/>
    <w:rsid w:val="0064622C"/>
    <w:rsid w:val="0064740A"/>
    <w:rsid w:val="006478DB"/>
    <w:rsid w:val="00647E2E"/>
    <w:rsid w:val="006525A3"/>
    <w:rsid w:val="006525FB"/>
    <w:rsid w:val="00652BF3"/>
    <w:rsid w:val="006536B2"/>
    <w:rsid w:val="00653B90"/>
    <w:rsid w:val="006545A4"/>
    <w:rsid w:val="0065480C"/>
    <w:rsid w:val="00655BB7"/>
    <w:rsid w:val="00655EA7"/>
    <w:rsid w:val="0065693E"/>
    <w:rsid w:val="00656FE8"/>
    <w:rsid w:val="0065729B"/>
    <w:rsid w:val="0066052B"/>
    <w:rsid w:val="00660A5B"/>
    <w:rsid w:val="00661AB8"/>
    <w:rsid w:val="00662196"/>
    <w:rsid w:val="0066328B"/>
    <w:rsid w:val="0066336E"/>
    <w:rsid w:val="0066359C"/>
    <w:rsid w:val="00663FF1"/>
    <w:rsid w:val="006648AF"/>
    <w:rsid w:val="00664CB5"/>
    <w:rsid w:val="00666117"/>
    <w:rsid w:val="00666435"/>
    <w:rsid w:val="006666EB"/>
    <w:rsid w:val="006672DE"/>
    <w:rsid w:val="0066743F"/>
    <w:rsid w:val="006674B3"/>
    <w:rsid w:val="006677D6"/>
    <w:rsid w:val="00667815"/>
    <w:rsid w:val="006678A2"/>
    <w:rsid w:val="00667AA5"/>
    <w:rsid w:val="006700BA"/>
    <w:rsid w:val="00670EC8"/>
    <w:rsid w:val="006711F3"/>
    <w:rsid w:val="00671618"/>
    <w:rsid w:val="00672692"/>
    <w:rsid w:val="00673A20"/>
    <w:rsid w:val="00673ED3"/>
    <w:rsid w:val="0067420E"/>
    <w:rsid w:val="00674574"/>
    <w:rsid w:val="00675669"/>
    <w:rsid w:val="00675ADB"/>
    <w:rsid w:val="00675F16"/>
    <w:rsid w:val="0067691A"/>
    <w:rsid w:val="00682664"/>
    <w:rsid w:val="00682BC7"/>
    <w:rsid w:val="00684149"/>
    <w:rsid w:val="0068430D"/>
    <w:rsid w:val="0068469D"/>
    <w:rsid w:val="00685B5A"/>
    <w:rsid w:val="0068606F"/>
    <w:rsid w:val="00686EED"/>
    <w:rsid w:val="00687368"/>
    <w:rsid w:val="0069118C"/>
    <w:rsid w:val="00692660"/>
    <w:rsid w:val="00692ABA"/>
    <w:rsid w:val="00692C79"/>
    <w:rsid w:val="00693AE2"/>
    <w:rsid w:val="00693B51"/>
    <w:rsid w:val="00693DAE"/>
    <w:rsid w:val="0069493B"/>
    <w:rsid w:val="00695012"/>
    <w:rsid w:val="00695095"/>
    <w:rsid w:val="0069512D"/>
    <w:rsid w:val="006961F7"/>
    <w:rsid w:val="00696782"/>
    <w:rsid w:val="00696F68"/>
    <w:rsid w:val="006A03B9"/>
    <w:rsid w:val="006A1FCC"/>
    <w:rsid w:val="006A2B31"/>
    <w:rsid w:val="006A3DE9"/>
    <w:rsid w:val="006A4A18"/>
    <w:rsid w:val="006A4BB1"/>
    <w:rsid w:val="006A4E37"/>
    <w:rsid w:val="006A5FB2"/>
    <w:rsid w:val="006A6336"/>
    <w:rsid w:val="006A64FD"/>
    <w:rsid w:val="006A6C33"/>
    <w:rsid w:val="006A6CDD"/>
    <w:rsid w:val="006A7DDE"/>
    <w:rsid w:val="006B034B"/>
    <w:rsid w:val="006B0DFA"/>
    <w:rsid w:val="006B1284"/>
    <w:rsid w:val="006B128B"/>
    <w:rsid w:val="006B21C6"/>
    <w:rsid w:val="006B28BA"/>
    <w:rsid w:val="006B3CBB"/>
    <w:rsid w:val="006B469F"/>
    <w:rsid w:val="006B4B87"/>
    <w:rsid w:val="006B4EFB"/>
    <w:rsid w:val="006B5064"/>
    <w:rsid w:val="006B5661"/>
    <w:rsid w:val="006B5822"/>
    <w:rsid w:val="006B59A5"/>
    <w:rsid w:val="006B6860"/>
    <w:rsid w:val="006B7743"/>
    <w:rsid w:val="006B7D8D"/>
    <w:rsid w:val="006C0628"/>
    <w:rsid w:val="006C0C92"/>
    <w:rsid w:val="006C0F92"/>
    <w:rsid w:val="006C1BF1"/>
    <w:rsid w:val="006C245C"/>
    <w:rsid w:val="006C28A9"/>
    <w:rsid w:val="006C4804"/>
    <w:rsid w:val="006C4B5E"/>
    <w:rsid w:val="006C4D1B"/>
    <w:rsid w:val="006C5AF4"/>
    <w:rsid w:val="006C7C13"/>
    <w:rsid w:val="006D04BD"/>
    <w:rsid w:val="006D0619"/>
    <w:rsid w:val="006D0B6F"/>
    <w:rsid w:val="006D1159"/>
    <w:rsid w:val="006D1A74"/>
    <w:rsid w:val="006D227E"/>
    <w:rsid w:val="006D2A80"/>
    <w:rsid w:val="006D2E2E"/>
    <w:rsid w:val="006D2F9E"/>
    <w:rsid w:val="006D35E4"/>
    <w:rsid w:val="006D37BC"/>
    <w:rsid w:val="006D384F"/>
    <w:rsid w:val="006D397A"/>
    <w:rsid w:val="006D5940"/>
    <w:rsid w:val="006D658B"/>
    <w:rsid w:val="006D6A37"/>
    <w:rsid w:val="006D6DBA"/>
    <w:rsid w:val="006E083D"/>
    <w:rsid w:val="006E19A7"/>
    <w:rsid w:val="006E1B11"/>
    <w:rsid w:val="006E297C"/>
    <w:rsid w:val="006E3001"/>
    <w:rsid w:val="006E475A"/>
    <w:rsid w:val="006E512A"/>
    <w:rsid w:val="006E73CD"/>
    <w:rsid w:val="006E7A9B"/>
    <w:rsid w:val="006E7D90"/>
    <w:rsid w:val="006F01DF"/>
    <w:rsid w:val="006F27E8"/>
    <w:rsid w:val="006F3996"/>
    <w:rsid w:val="006F3FF5"/>
    <w:rsid w:val="006F5699"/>
    <w:rsid w:val="006F56FF"/>
    <w:rsid w:val="006F62F1"/>
    <w:rsid w:val="006F6BC9"/>
    <w:rsid w:val="006F6E40"/>
    <w:rsid w:val="006F75D0"/>
    <w:rsid w:val="007004A5"/>
    <w:rsid w:val="00700C99"/>
    <w:rsid w:val="00701360"/>
    <w:rsid w:val="007017BF"/>
    <w:rsid w:val="00701FE9"/>
    <w:rsid w:val="007023CC"/>
    <w:rsid w:val="00702552"/>
    <w:rsid w:val="0070313A"/>
    <w:rsid w:val="0070361D"/>
    <w:rsid w:val="0070374A"/>
    <w:rsid w:val="00703817"/>
    <w:rsid w:val="00704186"/>
    <w:rsid w:val="007044F9"/>
    <w:rsid w:val="007047AE"/>
    <w:rsid w:val="0070517C"/>
    <w:rsid w:val="00705306"/>
    <w:rsid w:val="00705FB0"/>
    <w:rsid w:val="00706120"/>
    <w:rsid w:val="00706540"/>
    <w:rsid w:val="007066C7"/>
    <w:rsid w:val="007067A6"/>
    <w:rsid w:val="0070700C"/>
    <w:rsid w:val="00707BFE"/>
    <w:rsid w:val="007123E2"/>
    <w:rsid w:val="00713E87"/>
    <w:rsid w:val="007148D4"/>
    <w:rsid w:val="00714E25"/>
    <w:rsid w:val="00715E4F"/>
    <w:rsid w:val="00716066"/>
    <w:rsid w:val="007164F8"/>
    <w:rsid w:val="00717454"/>
    <w:rsid w:val="00720167"/>
    <w:rsid w:val="007202D1"/>
    <w:rsid w:val="0072088B"/>
    <w:rsid w:val="00720F3F"/>
    <w:rsid w:val="00721772"/>
    <w:rsid w:val="00721780"/>
    <w:rsid w:val="00722C8A"/>
    <w:rsid w:val="00722E37"/>
    <w:rsid w:val="0072333E"/>
    <w:rsid w:val="007237E7"/>
    <w:rsid w:val="00723BDB"/>
    <w:rsid w:val="00723C6E"/>
    <w:rsid w:val="00724557"/>
    <w:rsid w:val="00724948"/>
    <w:rsid w:val="0072504D"/>
    <w:rsid w:val="00725412"/>
    <w:rsid w:val="00725B91"/>
    <w:rsid w:val="00725C03"/>
    <w:rsid w:val="007260AB"/>
    <w:rsid w:val="00726A06"/>
    <w:rsid w:val="00727EF2"/>
    <w:rsid w:val="00730A5A"/>
    <w:rsid w:val="00730DBB"/>
    <w:rsid w:val="00731777"/>
    <w:rsid w:val="00731AAD"/>
    <w:rsid w:val="00732508"/>
    <w:rsid w:val="0073573D"/>
    <w:rsid w:val="00735C3B"/>
    <w:rsid w:val="00736673"/>
    <w:rsid w:val="00737E67"/>
    <w:rsid w:val="0074082B"/>
    <w:rsid w:val="0074120C"/>
    <w:rsid w:val="007415F9"/>
    <w:rsid w:val="007430E2"/>
    <w:rsid w:val="0074381F"/>
    <w:rsid w:val="00744B61"/>
    <w:rsid w:val="00745570"/>
    <w:rsid w:val="00745587"/>
    <w:rsid w:val="00745842"/>
    <w:rsid w:val="00746715"/>
    <w:rsid w:val="00747411"/>
    <w:rsid w:val="007476A2"/>
    <w:rsid w:val="00747A63"/>
    <w:rsid w:val="0075018B"/>
    <w:rsid w:val="00750965"/>
    <w:rsid w:val="007516AF"/>
    <w:rsid w:val="00752975"/>
    <w:rsid w:val="00752BDD"/>
    <w:rsid w:val="0075335B"/>
    <w:rsid w:val="00753E96"/>
    <w:rsid w:val="00754734"/>
    <w:rsid w:val="00754853"/>
    <w:rsid w:val="00754DC2"/>
    <w:rsid w:val="00754E48"/>
    <w:rsid w:val="00755138"/>
    <w:rsid w:val="00755331"/>
    <w:rsid w:val="007557F9"/>
    <w:rsid w:val="00755DE0"/>
    <w:rsid w:val="00755FB5"/>
    <w:rsid w:val="0075684E"/>
    <w:rsid w:val="00757DA0"/>
    <w:rsid w:val="0076041A"/>
    <w:rsid w:val="00760C9D"/>
    <w:rsid w:val="00761041"/>
    <w:rsid w:val="00761992"/>
    <w:rsid w:val="00761EDF"/>
    <w:rsid w:val="00762930"/>
    <w:rsid w:val="00763638"/>
    <w:rsid w:val="00763C43"/>
    <w:rsid w:val="00763E36"/>
    <w:rsid w:val="0076467A"/>
    <w:rsid w:val="00764832"/>
    <w:rsid w:val="00765B94"/>
    <w:rsid w:val="00765FBB"/>
    <w:rsid w:val="007660E9"/>
    <w:rsid w:val="00766A11"/>
    <w:rsid w:val="0076735B"/>
    <w:rsid w:val="00771151"/>
    <w:rsid w:val="007717BB"/>
    <w:rsid w:val="0077261E"/>
    <w:rsid w:val="007737DE"/>
    <w:rsid w:val="007746BB"/>
    <w:rsid w:val="007748B2"/>
    <w:rsid w:val="00775082"/>
    <w:rsid w:val="007763B7"/>
    <w:rsid w:val="007763B9"/>
    <w:rsid w:val="00776972"/>
    <w:rsid w:val="00776CD7"/>
    <w:rsid w:val="00777FCE"/>
    <w:rsid w:val="0078128B"/>
    <w:rsid w:val="007816E5"/>
    <w:rsid w:val="00781EE9"/>
    <w:rsid w:val="00782070"/>
    <w:rsid w:val="007820B8"/>
    <w:rsid w:val="007822B1"/>
    <w:rsid w:val="007836DB"/>
    <w:rsid w:val="00784616"/>
    <w:rsid w:val="00784978"/>
    <w:rsid w:val="00785883"/>
    <w:rsid w:val="007868B7"/>
    <w:rsid w:val="00786EEF"/>
    <w:rsid w:val="00787286"/>
    <w:rsid w:val="0078752D"/>
    <w:rsid w:val="00787750"/>
    <w:rsid w:val="00787B87"/>
    <w:rsid w:val="00787EB7"/>
    <w:rsid w:val="00790679"/>
    <w:rsid w:val="007906CC"/>
    <w:rsid w:val="00790A81"/>
    <w:rsid w:val="007959FD"/>
    <w:rsid w:val="00795C20"/>
    <w:rsid w:val="00796D6B"/>
    <w:rsid w:val="00797B5F"/>
    <w:rsid w:val="00797EB6"/>
    <w:rsid w:val="007A0791"/>
    <w:rsid w:val="007A1061"/>
    <w:rsid w:val="007A1085"/>
    <w:rsid w:val="007A1D8F"/>
    <w:rsid w:val="007A1EDA"/>
    <w:rsid w:val="007A27C0"/>
    <w:rsid w:val="007A4251"/>
    <w:rsid w:val="007A4891"/>
    <w:rsid w:val="007A5502"/>
    <w:rsid w:val="007A6333"/>
    <w:rsid w:val="007A6C4B"/>
    <w:rsid w:val="007A6F7A"/>
    <w:rsid w:val="007A7C83"/>
    <w:rsid w:val="007B01B2"/>
    <w:rsid w:val="007B06B0"/>
    <w:rsid w:val="007B0D95"/>
    <w:rsid w:val="007B1CE1"/>
    <w:rsid w:val="007B222B"/>
    <w:rsid w:val="007B2AB9"/>
    <w:rsid w:val="007B2BB0"/>
    <w:rsid w:val="007B32CE"/>
    <w:rsid w:val="007B35D7"/>
    <w:rsid w:val="007B3904"/>
    <w:rsid w:val="007B3C0D"/>
    <w:rsid w:val="007B436A"/>
    <w:rsid w:val="007B4AC2"/>
    <w:rsid w:val="007B5747"/>
    <w:rsid w:val="007B57E4"/>
    <w:rsid w:val="007B6E83"/>
    <w:rsid w:val="007B74A6"/>
    <w:rsid w:val="007B7A8F"/>
    <w:rsid w:val="007C0418"/>
    <w:rsid w:val="007C0EC7"/>
    <w:rsid w:val="007C13CD"/>
    <w:rsid w:val="007C26DB"/>
    <w:rsid w:val="007C26E4"/>
    <w:rsid w:val="007C2D57"/>
    <w:rsid w:val="007C47B8"/>
    <w:rsid w:val="007C5BBE"/>
    <w:rsid w:val="007C5E1A"/>
    <w:rsid w:val="007C7381"/>
    <w:rsid w:val="007C767E"/>
    <w:rsid w:val="007C7AB2"/>
    <w:rsid w:val="007D12C3"/>
    <w:rsid w:val="007D1CE8"/>
    <w:rsid w:val="007D2E7C"/>
    <w:rsid w:val="007D32B4"/>
    <w:rsid w:val="007D39BE"/>
    <w:rsid w:val="007D5690"/>
    <w:rsid w:val="007D619C"/>
    <w:rsid w:val="007D6610"/>
    <w:rsid w:val="007D6682"/>
    <w:rsid w:val="007D6F5F"/>
    <w:rsid w:val="007D7D4B"/>
    <w:rsid w:val="007E1EB5"/>
    <w:rsid w:val="007E1F93"/>
    <w:rsid w:val="007E2EFD"/>
    <w:rsid w:val="007E2FD4"/>
    <w:rsid w:val="007E3B55"/>
    <w:rsid w:val="007E4B30"/>
    <w:rsid w:val="007E5454"/>
    <w:rsid w:val="007E576F"/>
    <w:rsid w:val="007E5A9E"/>
    <w:rsid w:val="007E6BA7"/>
    <w:rsid w:val="007E6EB0"/>
    <w:rsid w:val="007E7274"/>
    <w:rsid w:val="007E7CDA"/>
    <w:rsid w:val="007E7F9E"/>
    <w:rsid w:val="007F05E9"/>
    <w:rsid w:val="007F13DB"/>
    <w:rsid w:val="007F14F2"/>
    <w:rsid w:val="007F173F"/>
    <w:rsid w:val="007F1F0E"/>
    <w:rsid w:val="007F20DD"/>
    <w:rsid w:val="007F2437"/>
    <w:rsid w:val="007F2B72"/>
    <w:rsid w:val="007F3005"/>
    <w:rsid w:val="007F3182"/>
    <w:rsid w:val="007F38B5"/>
    <w:rsid w:val="007F397C"/>
    <w:rsid w:val="007F3F8F"/>
    <w:rsid w:val="007F43AD"/>
    <w:rsid w:val="007F44B0"/>
    <w:rsid w:val="007F563C"/>
    <w:rsid w:val="007F5CE9"/>
    <w:rsid w:val="007F6A6C"/>
    <w:rsid w:val="007F6DBB"/>
    <w:rsid w:val="007F7368"/>
    <w:rsid w:val="007F74DF"/>
    <w:rsid w:val="007F75C5"/>
    <w:rsid w:val="007F79F5"/>
    <w:rsid w:val="008008E6"/>
    <w:rsid w:val="00802B98"/>
    <w:rsid w:val="00804936"/>
    <w:rsid w:val="00804D4C"/>
    <w:rsid w:val="0080506A"/>
    <w:rsid w:val="00805921"/>
    <w:rsid w:val="00807CF8"/>
    <w:rsid w:val="00807D26"/>
    <w:rsid w:val="00810F2A"/>
    <w:rsid w:val="008110C9"/>
    <w:rsid w:val="008115AC"/>
    <w:rsid w:val="008116AE"/>
    <w:rsid w:val="008128D4"/>
    <w:rsid w:val="00812C1A"/>
    <w:rsid w:val="00814954"/>
    <w:rsid w:val="00815EC5"/>
    <w:rsid w:val="0081730E"/>
    <w:rsid w:val="00817464"/>
    <w:rsid w:val="00817473"/>
    <w:rsid w:val="0081780B"/>
    <w:rsid w:val="0082124B"/>
    <w:rsid w:val="008212E5"/>
    <w:rsid w:val="0082197D"/>
    <w:rsid w:val="00821BDA"/>
    <w:rsid w:val="00821FE9"/>
    <w:rsid w:val="008231D0"/>
    <w:rsid w:val="008231D1"/>
    <w:rsid w:val="008238DF"/>
    <w:rsid w:val="00825072"/>
    <w:rsid w:val="0082628A"/>
    <w:rsid w:val="00826F10"/>
    <w:rsid w:val="00827C28"/>
    <w:rsid w:val="00827E9D"/>
    <w:rsid w:val="0083049B"/>
    <w:rsid w:val="00830F9B"/>
    <w:rsid w:val="00831874"/>
    <w:rsid w:val="00831D90"/>
    <w:rsid w:val="00832187"/>
    <w:rsid w:val="008327E0"/>
    <w:rsid w:val="00832D52"/>
    <w:rsid w:val="00832F86"/>
    <w:rsid w:val="0083311C"/>
    <w:rsid w:val="008341DB"/>
    <w:rsid w:val="008343AB"/>
    <w:rsid w:val="0083601F"/>
    <w:rsid w:val="008362AD"/>
    <w:rsid w:val="00837405"/>
    <w:rsid w:val="008405A5"/>
    <w:rsid w:val="00840740"/>
    <w:rsid w:val="00840E04"/>
    <w:rsid w:val="00841695"/>
    <w:rsid w:val="00841742"/>
    <w:rsid w:val="00841E5A"/>
    <w:rsid w:val="00842371"/>
    <w:rsid w:val="00842959"/>
    <w:rsid w:val="00842D9E"/>
    <w:rsid w:val="00842FDB"/>
    <w:rsid w:val="00844A61"/>
    <w:rsid w:val="00844BD3"/>
    <w:rsid w:val="00845531"/>
    <w:rsid w:val="008457B3"/>
    <w:rsid w:val="00845BF9"/>
    <w:rsid w:val="008514A6"/>
    <w:rsid w:val="00851BB3"/>
    <w:rsid w:val="00851BE7"/>
    <w:rsid w:val="00851D7F"/>
    <w:rsid w:val="00852248"/>
    <w:rsid w:val="008528F6"/>
    <w:rsid w:val="008530EA"/>
    <w:rsid w:val="00854F4E"/>
    <w:rsid w:val="008550D3"/>
    <w:rsid w:val="008553A8"/>
    <w:rsid w:val="00855435"/>
    <w:rsid w:val="00855C29"/>
    <w:rsid w:val="008572CF"/>
    <w:rsid w:val="008574FD"/>
    <w:rsid w:val="0086063A"/>
    <w:rsid w:val="008611AB"/>
    <w:rsid w:val="008617CB"/>
    <w:rsid w:val="008619D6"/>
    <w:rsid w:val="008635D2"/>
    <w:rsid w:val="0086396E"/>
    <w:rsid w:val="00863B68"/>
    <w:rsid w:val="00863E7A"/>
    <w:rsid w:val="00863F9A"/>
    <w:rsid w:val="0086416E"/>
    <w:rsid w:val="008641A3"/>
    <w:rsid w:val="0086471F"/>
    <w:rsid w:val="008661DF"/>
    <w:rsid w:val="00866EDF"/>
    <w:rsid w:val="008673D7"/>
    <w:rsid w:val="0087098B"/>
    <w:rsid w:val="00870E94"/>
    <w:rsid w:val="00871AD8"/>
    <w:rsid w:val="00871EF9"/>
    <w:rsid w:val="00873102"/>
    <w:rsid w:val="0087383E"/>
    <w:rsid w:val="00873841"/>
    <w:rsid w:val="0087460A"/>
    <w:rsid w:val="00874815"/>
    <w:rsid w:val="00874D05"/>
    <w:rsid w:val="00874F6E"/>
    <w:rsid w:val="0087513E"/>
    <w:rsid w:val="00875A2A"/>
    <w:rsid w:val="00876052"/>
    <w:rsid w:val="00876531"/>
    <w:rsid w:val="00876749"/>
    <w:rsid w:val="00876793"/>
    <w:rsid w:val="00877645"/>
    <w:rsid w:val="00880587"/>
    <w:rsid w:val="008811FC"/>
    <w:rsid w:val="00882968"/>
    <w:rsid w:val="008830DD"/>
    <w:rsid w:val="00883309"/>
    <w:rsid w:val="00883421"/>
    <w:rsid w:val="00883F96"/>
    <w:rsid w:val="00885442"/>
    <w:rsid w:val="00886484"/>
    <w:rsid w:val="008905DC"/>
    <w:rsid w:val="00890F6B"/>
    <w:rsid w:val="0089163B"/>
    <w:rsid w:val="00891643"/>
    <w:rsid w:val="008917D9"/>
    <w:rsid w:val="00894704"/>
    <w:rsid w:val="00894836"/>
    <w:rsid w:val="0089512F"/>
    <w:rsid w:val="0089547A"/>
    <w:rsid w:val="00895D15"/>
    <w:rsid w:val="00896FB2"/>
    <w:rsid w:val="00897318"/>
    <w:rsid w:val="008979CC"/>
    <w:rsid w:val="008A01F0"/>
    <w:rsid w:val="008A0DF6"/>
    <w:rsid w:val="008A0E61"/>
    <w:rsid w:val="008A11DD"/>
    <w:rsid w:val="008A1448"/>
    <w:rsid w:val="008A1A91"/>
    <w:rsid w:val="008A2023"/>
    <w:rsid w:val="008A22EC"/>
    <w:rsid w:val="008A23FA"/>
    <w:rsid w:val="008A27C9"/>
    <w:rsid w:val="008A2F88"/>
    <w:rsid w:val="008A5D16"/>
    <w:rsid w:val="008A74A3"/>
    <w:rsid w:val="008A7B48"/>
    <w:rsid w:val="008A7B4D"/>
    <w:rsid w:val="008A7B96"/>
    <w:rsid w:val="008A7D69"/>
    <w:rsid w:val="008B082C"/>
    <w:rsid w:val="008B095F"/>
    <w:rsid w:val="008B0DD0"/>
    <w:rsid w:val="008B1BA9"/>
    <w:rsid w:val="008B2C29"/>
    <w:rsid w:val="008B3C83"/>
    <w:rsid w:val="008B3E09"/>
    <w:rsid w:val="008B4D15"/>
    <w:rsid w:val="008B51B5"/>
    <w:rsid w:val="008B5A6F"/>
    <w:rsid w:val="008B5E70"/>
    <w:rsid w:val="008B66C6"/>
    <w:rsid w:val="008B7ABC"/>
    <w:rsid w:val="008C0007"/>
    <w:rsid w:val="008C0131"/>
    <w:rsid w:val="008C1EC1"/>
    <w:rsid w:val="008C22E8"/>
    <w:rsid w:val="008C2E9F"/>
    <w:rsid w:val="008C3826"/>
    <w:rsid w:val="008C3B94"/>
    <w:rsid w:val="008C4451"/>
    <w:rsid w:val="008C52E5"/>
    <w:rsid w:val="008C736E"/>
    <w:rsid w:val="008C7AB4"/>
    <w:rsid w:val="008C7D3B"/>
    <w:rsid w:val="008C7D98"/>
    <w:rsid w:val="008D1F13"/>
    <w:rsid w:val="008D281C"/>
    <w:rsid w:val="008D2E99"/>
    <w:rsid w:val="008D2F60"/>
    <w:rsid w:val="008D3716"/>
    <w:rsid w:val="008D3A77"/>
    <w:rsid w:val="008D450C"/>
    <w:rsid w:val="008D6DA7"/>
    <w:rsid w:val="008D7235"/>
    <w:rsid w:val="008D727A"/>
    <w:rsid w:val="008D73E8"/>
    <w:rsid w:val="008D75C0"/>
    <w:rsid w:val="008D7710"/>
    <w:rsid w:val="008E0011"/>
    <w:rsid w:val="008E0A05"/>
    <w:rsid w:val="008E0FD2"/>
    <w:rsid w:val="008E102A"/>
    <w:rsid w:val="008E1133"/>
    <w:rsid w:val="008E1DE1"/>
    <w:rsid w:val="008E2FAD"/>
    <w:rsid w:val="008E3D93"/>
    <w:rsid w:val="008E3E7D"/>
    <w:rsid w:val="008E4049"/>
    <w:rsid w:val="008F006A"/>
    <w:rsid w:val="008F0B3B"/>
    <w:rsid w:val="008F107A"/>
    <w:rsid w:val="008F189D"/>
    <w:rsid w:val="008F1CAE"/>
    <w:rsid w:val="008F265F"/>
    <w:rsid w:val="008F367A"/>
    <w:rsid w:val="008F3AB8"/>
    <w:rsid w:val="008F3E37"/>
    <w:rsid w:val="008F51F6"/>
    <w:rsid w:val="008F530E"/>
    <w:rsid w:val="008F5A9E"/>
    <w:rsid w:val="008F5E55"/>
    <w:rsid w:val="008F6149"/>
    <w:rsid w:val="008F6B5D"/>
    <w:rsid w:val="008F70DE"/>
    <w:rsid w:val="008F76ED"/>
    <w:rsid w:val="00901470"/>
    <w:rsid w:val="00901D6D"/>
    <w:rsid w:val="00902677"/>
    <w:rsid w:val="00903507"/>
    <w:rsid w:val="0090355B"/>
    <w:rsid w:val="0090374B"/>
    <w:rsid w:val="00904202"/>
    <w:rsid w:val="009045DA"/>
    <w:rsid w:val="009050B7"/>
    <w:rsid w:val="00905189"/>
    <w:rsid w:val="00905711"/>
    <w:rsid w:val="00905C5D"/>
    <w:rsid w:val="009062E9"/>
    <w:rsid w:val="00907472"/>
    <w:rsid w:val="009078A9"/>
    <w:rsid w:val="00907BE7"/>
    <w:rsid w:val="00907E19"/>
    <w:rsid w:val="00911376"/>
    <w:rsid w:val="009115B5"/>
    <w:rsid w:val="00911C7A"/>
    <w:rsid w:val="009125E4"/>
    <w:rsid w:val="0091276E"/>
    <w:rsid w:val="00914C52"/>
    <w:rsid w:val="00915550"/>
    <w:rsid w:val="00916327"/>
    <w:rsid w:val="0091638E"/>
    <w:rsid w:val="009169EF"/>
    <w:rsid w:val="00921D4D"/>
    <w:rsid w:val="009221D5"/>
    <w:rsid w:val="0092253F"/>
    <w:rsid w:val="00922575"/>
    <w:rsid w:val="00922938"/>
    <w:rsid w:val="00922A72"/>
    <w:rsid w:val="009241F2"/>
    <w:rsid w:val="00924FE0"/>
    <w:rsid w:val="0092503B"/>
    <w:rsid w:val="00925CCD"/>
    <w:rsid w:val="00926358"/>
    <w:rsid w:val="00927A7D"/>
    <w:rsid w:val="009315C3"/>
    <w:rsid w:val="009327F1"/>
    <w:rsid w:val="00933CF2"/>
    <w:rsid w:val="00934057"/>
    <w:rsid w:val="0093539B"/>
    <w:rsid w:val="00935560"/>
    <w:rsid w:val="0094077C"/>
    <w:rsid w:val="00943A9B"/>
    <w:rsid w:val="00943D62"/>
    <w:rsid w:val="00944432"/>
    <w:rsid w:val="00944DBE"/>
    <w:rsid w:val="00944EFD"/>
    <w:rsid w:val="009452A6"/>
    <w:rsid w:val="0094640E"/>
    <w:rsid w:val="009468DA"/>
    <w:rsid w:val="009471F3"/>
    <w:rsid w:val="0094748E"/>
    <w:rsid w:val="0095014E"/>
    <w:rsid w:val="0095019E"/>
    <w:rsid w:val="00951EE8"/>
    <w:rsid w:val="00952BBD"/>
    <w:rsid w:val="00952DEA"/>
    <w:rsid w:val="00953138"/>
    <w:rsid w:val="0095407F"/>
    <w:rsid w:val="0095468B"/>
    <w:rsid w:val="00954882"/>
    <w:rsid w:val="00955318"/>
    <w:rsid w:val="009608F4"/>
    <w:rsid w:val="009609BB"/>
    <w:rsid w:val="00960A05"/>
    <w:rsid w:val="00961F83"/>
    <w:rsid w:val="00962FF0"/>
    <w:rsid w:val="009636EE"/>
    <w:rsid w:val="0096406D"/>
    <w:rsid w:val="0096423E"/>
    <w:rsid w:val="009643EA"/>
    <w:rsid w:val="00964B09"/>
    <w:rsid w:val="00964FC7"/>
    <w:rsid w:val="0096561D"/>
    <w:rsid w:val="00966810"/>
    <w:rsid w:val="00966A91"/>
    <w:rsid w:val="009676F2"/>
    <w:rsid w:val="00967CE3"/>
    <w:rsid w:val="00970BEE"/>
    <w:rsid w:val="009711C0"/>
    <w:rsid w:val="00971ADF"/>
    <w:rsid w:val="0097271C"/>
    <w:rsid w:val="00973571"/>
    <w:rsid w:val="009739A8"/>
    <w:rsid w:val="00973C2F"/>
    <w:rsid w:val="00974232"/>
    <w:rsid w:val="0097466D"/>
    <w:rsid w:val="00975D1D"/>
    <w:rsid w:val="00977181"/>
    <w:rsid w:val="009779BD"/>
    <w:rsid w:val="009804EB"/>
    <w:rsid w:val="009814C2"/>
    <w:rsid w:val="00981961"/>
    <w:rsid w:val="009819C2"/>
    <w:rsid w:val="0098268C"/>
    <w:rsid w:val="00982EDC"/>
    <w:rsid w:val="00983337"/>
    <w:rsid w:val="0098350A"/>
    <w:rsid w:val="00983526"/>
    <w:rsid w:val="0098383B"/>
    <w:rsid w:val="00983F2E"/>
    <w:rsid w:val="009841F6"/>
    <w:rsid w:val="009845E0"/>
    <w:rsid w:val="00984CD6"/>
    <w:rsid w:val="0098516B"/>
    <w:rsid w:val="009861DA"/>
    <w:rsid w:val="009865C0"/>
    <w:rsid w:val="009871EE"/>
    <w:rsid w:val="00990C4A"/>
    <w:rsid w:val="00991DA7"/>
    <w:rsid w:val="00991DF4"/>
    <w:rsid w:val="009921EF"/>
    <w:rsid w:val="0099360B"/>
    <w:rsid w:val="00994306"/>
    <w:rsid w:val="009960DD"/>
    <w:rsid w:val="0099697B"/>
    <w:rsid w:val="00996C12"/>
    <w:rsid w:val="00996D5E"/>
    <w:rsid w:val="00997B1B"/>
    <w:rsid w:val="009A03A1"/>
    <w:rsid w:val="009A236D"/>
    <w:rsid w:val="009A239E"/>
    <w:rsid w:val="009A2A03"/>
    <w:rsid w:val="009A414A"/>
    <w:rsid w:val="009A43AF"/>
    <w:rsid w:val="009A50AB"/>
    <w:rsid w:val="009A523E"/>
    <w:rsid w:val="009A586B"/>
    <w:rsid w:val="009A5D4D"/>
    <w:rsid w:val="009A63A0"/>
    <w:rsid w:val="009A6AB6"/>
    <w:rsid w:val="009A6C09"/>
    <w:rsid w:val="009A6E7D"/>
    <w:rsid w:val="009A7A1F"/>
    <w:rsid w:val="009B009E"/>
    <w:rsid w:val="009B0250"/>
    <w:rsid w:val="009B2054"/>
    <w:rsid w:val="009B223A"/>
    <w:rsid w:val="009B2648"/>
    <w:rsid w:val="009B29CD"/>
    <w:rsid w:val="009B2F18"/>
    <w:rsid w:val="009B4636"/>
    <w:rsid w:val="009B4D9D"/>
    <w:rsid w:val="009B51B1"/>
    <w:rsid w:val="009B5F0B"/>
    <w:rsid w:val="009B77A0"/>
    <w:rsid w:val="009B7CEC"/>
    <w:rsid w:val="009B7FAF"/>
    <w:rsid w:val="009C0670"/>
    <w:rsid w:val="009C09A0"/>
    <w:rsid w:val="009C143A"/>
    <w:rsid w:val="009C19EB"/>
    <w:rsid w:val="009C32BB"/>
    <w:rsid w:val="009C3610"/>
    <w:rsid w:val="009C362E"/>
    <w:rsid w:val="009C3A7B"/>
    <w:rsid w:val="009C4E3C"/>
    <w:rsid w:val="009C6C8D"/>
    <w:rsid w:val="009C7BDB"/>
    <w:rsid w:val="009C7C93"/>
    <w:rsid w:val="009D005E"/>
    <w:rsid w:val="009D09F9"/>
    <w:rsid w:val="009D11A3"/>
    <w:rsid w:val="009D180D"/>
    <w:rsid w:val="009D19F4"/>
    <w:rsid w:val="009D1F56"/>
    <w:rsid w:val="009D2A35"/>
    <w:rsid w:val="009D35A4"/>
    <w:rsid w:val="009D3DE4"/>
    <w:rsid w:val="009D4A89"/>
    <w:rsid w:val="009D514F"/>
    <w:rsid w:val="009D5350"/>
    <w:rsid w:val="009D582E"/>
    <w:rsid w:val="009D5866"/>
    <w:rsid w:val="009D5922"/>
    <w:rsid w:val="009D5A45"/>
    <w:rsid w:val="009D67B6"/>
    <w:rsid w:val="009D68B0"/>
    <w:rsid w:val="009E071F"/>
    <w:rsid w:val="009E0DA2"/>
    <w:rsid w:val="009E14BC"/>
    <w:rsid w:val="009E20CC"/>
    <w:rsid w:val="009E23E3"/>
    <w:rsid w:val="009E2EC3"/>
    <w:rsid w:val="009E35C5"/>
    <w:rsid w:val="009E42F3"/>
    <w:rsid w:val="009E43A7"/>
    <w:rsid w:val="009E5AB7"/>
    <w:rsid w:val="009E5AF0"/>
    <w:rsid w:val="009E5BD9"/>
    <w:rsid w:val="009E696F"/>
    <w:rsid w:val="009E7297"/>
    <w:rsid w:val="009F1DC6"/>
    <w:rsid w:val="009F1F3B"/>
    <w:rsid w:val="009F2517"/>
    <w:rsid w:val="009F29AD"/>
    <w:rsid w:val="009F302D"/>
    <w:rsid w:val="009F3D2F"/>
    <w:rsid w:val="009F3F24"/>
    <w:rsid w:val="009F4222"/>
    <w:rsid w:val="009F531E"/>
    <w:rsid w:val="009F5481"/>
    <w:rsid w:val="009F6C05"/>
    <w:rsid w:val="009F730F"/>
    <w:rsid w:val="009F79A0"/>
    <w:rsid w:val="009F7F6A"/>
    <w:rsid w:val="00A00A4B"/>
    <w:rsid w:val="00A00DE1"/>
    <w:rsid w:val="00A00E5B"/>
    <w:rsid w:val="00A022DB"/>
    <w:rsid w:val="00A023F8"/>
    <w:rsid w:val="00A02899"/>
    <w:rsid w:val="00A03502"/>
    <w:rsid w:val="00A035C1"/>
    <w:rsid w:val="00A03668"/>
    <w:rsid w:val="00A03DE3"/>
    <w:rsid w:val="00A047DF"/>
    <w:rsid w:val="00A054C8"/>
    <w:rsid w:val="00A05AB0"/>
    <w:rsid w:val="00A05C5B"/>
    <w:rsid w:val="00A063F5"/>
    <w:rsid w:val="00A07D07"/>
    <w:rsid w:val="00A07DED"/>
    <w:rsid w:val="00A10093"/>
    <w:rsid w:val="00A10602"/>
    <w:rsid w:val="00A10757"/>
    <w:rsid w:val="00A109E2"/>
    <w:rsid w:val="00A10B7F"/>
    <w:rsid w:val="00A11094"/>
    <w:rsid w:val="00A117C0"/>
    <w:rsid w:val="00A11851"/>
    <w:rsid w:val="00A11C97"/>
    <w:rsid w:val="00A12282"/>
    <w:rsid w:val="00A13911"/>
    <w:rsid w:val="00A14156"/>
    <w:rsid w:val="00A14181"/>
    <w:rsid w:val="00A147FA"/>
    <w:rsid w:val="00A14BFB"/>
    <w:rsid w:val="00A15609"/>
    <w:rsid w:val="00A16678"/>
    <w:rsid w:val="00A1688E"/>
    <w:rsid w:val="00A16D34"/>
    <w:rsid w:val="00A16F83"/>
    <w:rsid w:val="00A17038"/>
    <w:rsid w:val="00A174D6"/>
    <w:rsid w:val="00A204C9"/>
    <w:rsid w:val="00A20E77"/>
    <w:rsid w:val="00A22004"/>
    <w:rsid w:val="00A22FAB"/>
    <w:rsid w:val="00A24005"/>
    <w:rsid w:val="00A24574"/>
    <w:rsid w:val="00A25637"/>
    <w:rsid w:val="00A25747"/>
    <w:rsid w:val="00A26D53"/>
    <w:rsid w:val="00A27BED"/>
    <w:rsid w:val="00A312CF"/>
    <w:rsid w:val="00A3130D"/>
    <w:rsid w:val="00A31501"/>
    <w:rsid w:val="00A3183F"/>
    <w:rsid w:val="00A35FB4"/>
    <w:rsid w:val="00A36925"/>
    <w:rsid w:val="00A36D95"/>
    <w:rsid w:val="00A37F62"/>
    <w:rsid w:val="00A40517"/>
    <w:rsid w:val="00A409EB"/>
    <w:rsid w:val="00A412A7"/>
    <w:rsid w:val="00A41909"/>
    <w:rsid w:val="00A43B1C"/>
    <w:rsid w:val="00A43C90"/>
    <w:rsid w:val="00A43E6A"/>
    <w:rsid w:val="00A4434A"/>
    <w:rsid w:val="00A44459"/>
    <w:rsid w:val="00A444A1"/>
    <w:rsid w:val="00A44DD7"/>
    <w:rsid w:val="00A451D8"/>
    <w:rsid w:val="00A4528E"/>
    <w:rsid w:val="00A45ED1"/>
    <w:rsid w:val="00A461B7"/>
    <w:rsid w:val="00A463B2"/>
    <w:rsid w:val="00A46AC5"/>
    <w:rsid w:val="00A46B52"/>
    <w:rsid w:val="00A46C83"/>
    <w:rsid w:val="00A475EC"/>
    <w:rsid w:val="00A47807"/>
    <w:rsid w:val="00A47AC4"/>
    <w:rsid w:val="00A47D42"/>
    <w:rsid w:val="00A50ECD"/>
    <w:rsid w:val="00A510A6"/>
    <w:rsid w:val="00A5226D"/>
    <w:rsid w:val="00A527EE"/>
    <w:rsid w:val="00A53C8B"/>
    <w:rsid w:val="00A5445A"/>
    <w:rsid w:val="00A54DE7"/>
    <w:rsid w:val="00A55235"/>
    <w:rsid w:val="00A564A9"/>
    <w:rsid w:val="00A569A4"/>
    <w:rsid w:val="00A56CA2"/>
    <w:rsid w:val="00A56DAA"/>
    <w:rsid w:val="00A57084"/>
    <w:rsid w:val="00A570A2"/>
    <w:rsid w:val="00A574E7"/>
    <w:rsid w:val="00A57FF5"/>
    <w:rsid w:val="00A61552"/>
    <w:rsid w:val="00A62753"/>
    <w:rsid w:val="00A62B43"/>
    <w:rsid w:val="00A62D4D"/>
    <w:rsid w:val="00A62D76"/>
    <w:rsid w:val="00A63369"/>
    <w:rsid w:val="00A6365C"/>
    <w:rsid w:val="00A63E64"/>
    <w:rsid w:val="00A65E2F"/>
    <w:rsid w:val="00A65F1A"/>
    <w:rsid w:val="00A66246"/>
    <w:rsid w:val="00A6685E"/>
    <w:rsid w:val="00A67E70"/>
    <w:rsid w:val="00A67F26"/>
    <w:rsid w:val="00A7000A"/>
    <w:rsid w:val="00A70166"/>
    <w:rsid w:val="00A70E71"/>
    <w:rsid w:val="00A714AC"/>
    <w:rsid w:val="00A71A57"/>
    <w:rsid w:val="00A71B0B"/>
    <w:rsid w:val="00A735B6"/>
    <w:rsid w:val="00A737AF"/>
    <w:rsid w:val="00A739DB"/>
    <w:rsid w:val="00A74056"/>
    <w:rsid w:val="00A74431"/>
    <w:rsid w:val="00A7470B"/>
    <w:rsid w:val="00A750E7"/>
    <w:rsid w:val="00A75175"/>
    <w:rsid w:val="00A751F8"/>
    <w:rsid w:val="00A75B6E"/>
    <w:rsid w:val="00A75E75"/>
    <w:rsid w:val="00A77FE7"/>
    <w:rsid w:val="00A8026F"/>
    <w:rsid w:val="00A8042A"/>
    <w:rsid w:val="00A82C9C"/>
    <w:rsid w:val="00A83120"/>
    <w:rsid w:val="00A83E1B"/>
    <w:rsid w:val="00A843ED"/>
    <w:rsid w:val="00A8452F"/>
    <w:rsid w:val="00A8773F"/>
    <w:rsid w:val="00A900CA"/>
    <w:rsid w:val="00A901BA"/>
    <w:rsid w:val="00A90236"/>
    <w:rsid w:val="00A908E8"/>
    <w:rsid w:val="00A90B1A"/>
    <w:rsid w:val="00A90FCC"/>
    <w:rsid w:val="00A91645"/>
    <w:rsid w:val="00A91DFC"/>
    <w:rsid w:val="00A920C3"/>
    <w:rsid w:val="00A92B15"/>
    <w:rsid w:val="00A92E06"/>
    <w:rsid w:val="00A92FD7"/>
    <w:rsid w:val="00A93225"/>
    <w:rsid w:val="00A9444B"/>
    <w:rsid w:val="00A9470A"/>
    <w:rsid w:val="00A94D3E"/>
    <w:rsid w:val="00A953DB"/>
    <w:rsid w:val="00A954A0"/>
    <w:rsid w:val="00A9591B"/>
    <w:rsid w:val="00A9718A"/>
    <w:rsid w:val="00A973C5"/>
    <w:rsid w:val="00A974BE"/>
    <w:rsid w:val="00A97CDA"/>
    <w:rsid w:val="00AA06C6"/>
    <w:rsid w:val="00AA0A2A"/>
    <w:rsid w:val="00AA0B7A"/>
    <w:rsid w:val="00AA0F0C"/>
    <w:rsid w:val="00AA1482"/>
    <w:rsid w:val="00AA1F36"/>
    <w:rsid w:val="00AA359A"/>
    <w:rsid w:val="00AA3AB0"/>
    <w:rsid w:val="00AA3B52"/>
    <w:rsid w:val="00AA458F"/>
    <w:rsid w:val="00AA5795"/>
    <w:rsid w:val="00AA6980"/>
    <w:rsid w:val="00AA71F3"/>
    <w:rsid w:val="00AA78C8"/>
    <w:rsid w:val="00AA7F25"/>
    <w:rsid w:val="00AB05D8"/>
    <w:rsid w:val="00AB085C"/>
    <w:rsid w:val="00AB12A1"/>
    <w:rsid w:val="00AB1916"/>
    <w:rsid w:val="00AB19F6"/>
    <w:rsid w:val="00AB1E83"/>
    <w:rsid w:val="00AB2EC9"/>
    <w:rsid w:val="00AB3061"/>
    <w:rsid w:val="00AB416E"/>
    <w:rsid w:val="00AB5ED2"/>
    <w:rsid w:val="00AB622B"/>
    <w:rsid w:val="00AB664A"/>
    <w:rsid w:val="00AC0BD5"/>
    <w:rsid w:val="00AC0C4B"/>
    <w:rsid w:val="00AC11F2"/>
    <w:rsid w:val="00AC1786"/>
    <w:rsid w:val="00AC1A70"/>
    <w:rsid w:val="00AC1FAF"/>
    <w:rsid w:val="00AC2450"/>
    <w:rsid w:val="00AC2F17"/>
    <w:rsid w:val="00AC3961"/>
    <w:rsid w:val="00AC3AA2"/>
    <w:rsid w:val="00AC44A4"/>
    <w:rsid w:val="00AC4CBF"/>
    <w:rsid w:val="00AC4F8F"/>
    <w:rsid w:val="00AC50D1"/>
    <w:rsid w:val="00AC5F93"/>
    <w:rsid w:val="00AC64D4"/>
    <w:rsid w:val="00AC6A19"/>
    <w:rsid w:val="00AC749F"/>
    <w:rsid w:val="00AC78A3"/>
    <w:rsid w:val="00AC7AB0"/>
    <w:rsid w:val="00AD0496"/>
    <w:rsid w:val="00AD0502"/>
    <w:rsid w:val="00AD0B13"/>
    <w:rsid w:val="00AD10CA"/>
    <w:rsid w:val="00AD166B"/>
    <w:rsid w:val="00AD18E0"/>
    <w:rsid w:val="00AD191B"/>
    <w:rsid w:val="00AD2C59"/>
    <w:rsid w:val="00AD4677"/>
    <w:rsid w:val="00AD4DA2"/>
    <w:rsid w:val="00AD6256"/>
    <w:rsid w:val="00AD65C8"/>
    <w:rsid w:val="00AD704F"/>
    <w:rsid w:val="00AE0A9E"/>
    <w:rsid w:val="00AE326B"/>
    <w:rsid w:val="00AE372F"/>
    <w:rsid w:val="00AE3EEB"/>
    <w:rsid w:val="00AE41DF"/>
    <w:rsid w:val="00AE458A"/>
    <w:rsid w:val="00AE4850"/>
    <w:rsid w:val="00AE4C50"/>
    <w:rsid w:val="00AE4CAD"/>
    <w:rsid w:val="00AE55E3"/>
    <w:rsid w:val="00AE6F09"/>
    <w:rsid w:val="00AE7492"/>
    <w:rsid w:val="00AE7955"/>
    <w:rsid w:val="00AE7AA6"/>
    <w:rsid w:val="00AF09C0"/>
    <w:rsid w:val="00AF37BF"/>
    <w:rsid w:val="00AF3903"/>
    <w:rsid w:val="00AF4338"/>
    <w:rsid w:val="00AF45AF"/>
    <w:rsid w:val="00AF4614"/>
    <w:rsid w:val="00AF54D8"/>
    <w:rsid w:val="00AF5519"/>
    <w:rsid w:val="00AF59AB"/>
    <w:rsid w:val="00AF62EA"/>
    <w:rsid w:val="00AF675D"/>
    <w:rsid w:val="00AF6E39"/>
    <w:rsid w:val="00AF70F5"/>
    <w:rsid w:val="00AF7147"/>
    <w:rsid w:val="00AF7EA7"/>
    <w:rsid w:val="00B00DFE"/>
    <w:rsid w:val="00B01444"/>
    <w:rsid w:val="00B01AF2"/>
    <w:rsid w:val="00B01F45"/>
    <w:rsid w:val="00B025F6"/>
    <w:rsid w:val="00B03499"/>
    <w:rsid w:val="00B03549"/>
    <w:rsid w:val="00B062E0"/>
    <w:rsid w:val="00B0716B"/>
    <w:rsid w:val="00B11395"/>
    <w:rsid w:val="00B12ADD"/>
    <w:rsid w:val="00B12E8D"/>
    <w:rsid w:val="00B1311E"/>
    <w:rsid w:val="00B13A2F"/>
    <w:rsid w:val="00B13B70"/>
    <w:rsid w:val="00B13C64"/>
    <w:rsid w:val="00B14214"/>
    <w:rsid w:val="00B155F1"/>
    <w:rsid w:val="00B15C7E"/>
    <w:rsid w:val="00B17D58"/>
    <w:rsid w:val="00B17F50"/>
    <w:rsid w:val="00B201ED"/>
    <w:rsid w:val="00B207E8"/>
    <w:rsid w:val="00B20DDE"/>
    <w:rsid w:val="00B216BE"/>
    <w:rsid w:val="00B23B25"/>
    <w:rsid w:val="00B23C9D"/>
    <w:rsid w:val="00B23C9E"/>
    <w:rsid w:val="00B240C7"/>
    <w:rsid w:val="00B24104"/>
    <w:rsid w:val="00B241E4"/>
    <w:rsid w:val="00B25A7B"/>
    <w:rsid w:val="00B25DAB"/>
    <w:rsid w:val="00B25DC6"/>
    <w:rsid w:val="00B264F3"/>
    <w:rsid w:val="00B266F4"/>
    <w:rsid w:val="00B26820"/>
    <w:rsid w:val="00B27D5F"/>
    <w:rsid w:val="00B31A56"/>
    <w:rsid w:val="00B31DA5"/>
    <w:rsid w:val="00B324F9"/>
    <w:rsid w:val="00B3334B"/>
    <w:rsid w:val="00B33BFF"/>
    <w:rsid w:val="00B33DA5"/>
    <w:rsid w:val="00B3420C"/>
    <w:rsid w:val="00B34255"/>
    <w:rsid w:val="00B34855"/>
    <w:rsid w:val="00B34DEE"/>
    <w:rsid w:val="00B34E92"/>
    <w:rsid w:val="00B35741"/>
    <w:rsid w:val="00B35B26"/>
    <w:rsid w:val="00B3633E"/>
    <w:rsid w:val="00B377EF"/>
    <w:rsid w:val="00B40B22"/>
    <w:rsid w:val="00B40E79"/>
    <w:rsid w:val="00B4269F"/>
    <w:rsid w:val="00B441EC"/>
    <w:rsid w:val="00B4428B"/>
    <w:rsid w:val="00B44876"/>
    <w:rsid w:val="00B448EF"/>
    <w:rsid w:val="00B456B1"/>
    <w:rsid w:val="00B46524"/>
    <w:rsid w:val="00B46D78"/>
    <w:rsid w:val="00B476A8"/>
    <w:rsid w:val="00B47E31"/>
    <w:rsid w:val="00B47F12"/>
    <w:rsid w:val="00B50579"/>
    <w:rsid w:val="00B519A0"/>
    <w:rsid w:val="00B521F8"/>
    <w:rsid w:val="00B52570"/>
    <w:rsid w:val="00B527DB"/>
    <w:rsid w:val="00B53423"/>
    <w:rsid w:val="00B53668"/>
    <w:rsid w:val="00B53839"/>
    <w:rsid w:val="00B53E9C"/>
    <w:rsid w:val="00B5487D"/>
    <w:rsid w:val="00B54CC3"/>
    <w:rsid w:val="00B54CE5"/>
    <w:rsid w:val="00B55134"/>
    <w:rsid w:val="00B554A3"/>
    <w:rsid w:val="00B6115E"/>
    <w:rsid w:val="00B615F5"/>
    <w:rsid w:val="00B61705"/>
    <w:rsid w:val="00B61801"/>
    <w:rsid w:val="00B631DE"/>
    <w:rsid w:val="00B644AC"/>
    <w:rsid w:val="00B6589B"/>
    <w:rsid w:val="00B665F7"/>
    <w:rsid w:val="00B66898"/>
    <w:rsid w:val="00B669FB"/>
    <w:rsid w:val="00B66C7B"/>
    <w:rsid w:val="00B671A2"/>
    <w:rsid w:val="00B67821"/>
    <w:rsid w:val="00B71221"/>
    <w:rsid w:val="00B7199A"/>
    <w:rsid w:val="00B71E58"/>
    <w:rsid w:val="00B7223D"/>
    <w:rsid w:val="00B727D8"/>
    <w:rsid w:val="00B73547"/>
    <w:rsid w:val="00B738AA"/>
    <w:rsid w:val="00B7487B"/>
    <w:rsid w:val="00B75014"/>
    <w:rsid w:val="00B75154"/>
    <w:rsid w:val="00B755F4"/>
    <w:rsid w:val="00B76208"/>
    <w:rsid w:val="00B76CB7"/>
    <w:rsid w:val="00B776FD"/>
    <w:rsid w:val="00B81094"/>
    <w:rsid w:val="00B81DD5"/>
    <w:rsid w:val="00B82567"/>
    <w:rsid w:val="00B82D34"/>
    <w:rsid w:val="00B82E11"/>
    <w:rsid w:val="00B8368C"/>
    <w:rsid w:val="00B83D6E"/>
    <w:rsid w:val="00B84068"/>
    <w:rsid w:val="00B857CB"/>
    <w:rsid w:val="00B858E6"/>
    <w:rsid w:val="00B85973"/>
    <w:rsid w:val="00B85E8D"/>
    <w:rsid w:val="00B86AD7"/>
    <w:rsid w:val="00B87A3E"/>
    <w:rsid w:val="00B90014"/>
    <w:rsid w:val="00B90C82"/>
    <w:rsid w:val="00B91338"/>
    <w:rsid w:val="00B92703"/>
    <w:rsid w:val="00B92945"/>
    <w:rsid w:val="00B92DAF"/>
    <w:rsid w:val="00B938F1"/>
    <w:rsid w:val="00B9396A"/>
    <w:rsid w:val="00B93E08"/>
    <w:rsid w:val="00B950BE"/>
    <w:rsid w:val="00B954ED"/>
    <w:rsid w:val="00B963F1"/>
    <w:rsid w:val="00B96522"/>
    <w:rsid w:val="00B967EB"/>
    <w:rsid w:val="00B96ABF"/>
    <w:rsid w:val="00BA03F0"/>
    <w:rsid w:val="00BA0767"/>
    <w:rsid w:val="00BA17DD"/>
    <w:rsid w:val="00BA19D3"/>
    <w:rsid w:val="00BA19E9"/>
    <w:rsid w:val="00BA1BA9"/>
    <w:rsid w:val="00BA1E1F"/>
    <w:rsid w:val="00BA1F1B"/>
    <w:rsid w:val="00BA20A2"/>
    <w:rsid w:val="00BA2B25"/>
    <w:rsid w:val="00BA2BAA"/>
    <w:rsid w:val="00BA3C99"/>
    <w:rsid w:val="00BA4AAF"/>
    <w:rsid w:val="00BA4D98"/>
    <w:rsid w:val="00BA638B"/>
    <w:rsid w:val="00BA66AD"/>
    <w:rsid w:val="00BA6B03"/>
    <w:rsid w:val="00BA6E29"/>
    <w:rsid w:val="00BA72E3"/>
    <w:rsid w:val="00BA7C69"/>
    <w:rsid w:val="00BB004C"/>
    <w:rsid w:val="00BB02EE"/>
    <w:rsid w:val="00BB2668"/>
    <w:rsid w:val="00BB275A"/>
    <w:rsid w:val="00BB36B1"/>
    <w:rsid w:val="00BB371F"/>
    <w:rsid w:val="00BB3C31"/>
    <w:rsid w:val="00BB46B3"/>
    <w:rsid w:val="00BB50A2"/>
    <w:rsid w:val="00BB5157"/>
    <w:rsid w:val="00BB617C"/>
    <w:rsid w:val="00BB68DD"/>
    <w:rsid w:val="00BB6F85"/>
    <w:rsid w:val="00BB769F"/>
    <w:rsid w:val="00BB7C7B"/>
    <w:rsid w:val="00BC0DFF"/>
    <w:rsid w:val="00BC10EA"/>
    <w:rsid w:val="00BC1610"/>
    <w:rsid w:val="00BC254C"/>
    <w:rsid w:val="00BC283D"/>
    <w:rsid w:val="00BC3923"/>
    <w:rsid w:val="00BC42DF"/>
    <w:rsid w:val="00BC441D"/>
    <w:rsid w:val="00BC5921"/>
    <w:rsid w:val="00BC620C"/>
    <w:rsid w:val="00BC7680"/>
    <w:rsid w:val="00BC76EB"/>
    <w:rsid w:val="00BD0816"/>
    <w:rsid w:val="00BD0E61"/>
    <w:rsid w:val="00BD0EAD"/>
    <w:rsid w:val="00BD0F1C"/>
    <w:rsid w:val="00BD2949"/>
    <w:rsid w:val="00BD30A4"/>
    <w:rsid w:val="00BD3138"/>
    <w:rsid w:val="00BD456D"/>
    <w:rsid w:val="00BD48D1"/>
    <w:rsid w:val="00BD4B3E"/>
    <w:rsid w:val="00BD4CB8"/>
    <w:rsid w:val="00BD5154"/>
    <w:rsid w:val="00BD5323"/>
    <w:rsid w:val="00BD564F"/>
    <w:rsid w:val="00BD59CA"/>
    <w:rsid w:val="00BD5A10"/>
    <w:rsid w:val="00BD680E"/>
    <w:rsid w:val="00BD6DAE"/>
    <w:rsid w:val="00BD7CDA"/>
    <w:rsid w:val="00BE0AF3"/>
    <w:rsid w:val="00BE0F01"/>
    <w:rsid w:val="00BE1E70"/>
    <w:rsid w:val="00BE1E78"/>
    <w:rsid w:val="00BE2D8A"/>
    <w:rsid w:val="00BE2EC3"/>
    <w:rsid w:val="00BE4107"/>
    <w:rsid w:val="00BE4BF8"/>
    <w:rsid w:val="00BE4E4D"/>
    <w:rsid w:val="00BE6349"/>
    <w:rsid w:val="00BE6D52"/>
    <w:rsid w:val="00BE702E"/>
    <w:rsid w:val="00BE741F"/>
    <w:rsid w:val="00BE7806"/>
    <w:rsid w:val="00BE78D4"/>
    <w:rsid w:val="00BE7D2C"/>
    <w:rsid w:val="00BF0A11"/>
    <w:rsid w:val="00BF130B"/>
    <w:rsid w:val="00BF19FA"/>
    <w:rsid w:val="00BF1E0A"/>
    <w:rsid w:val="00BF2048"/>
    <w:rsid w:val="00BF23E0"/>
    <w:rsid w:val="00BF257B"/>
    <w:rsid w:val="00BF31E8"/>
    <w:rsid w:val="00BF3B4E"/>
    <w:rsid w:val="00BF3DB1"/>
    <w:rsid w:val="00BF409C"/>
    <w:rsid w:val="00BF480C"/>
    <w:rsid w:val="00BF500D"/>
    <w:rsid w:val="00BF5D1D"/>
    <w:rsid w:val="00BF5D67"/>
    <w:rsid w:val="00BF6552"/>
    <w:rsid w:val="00BF6DF5"/>
    <w:rsid w:val="00BF7C33"/>
    <w:rsid w:val="00C003A1"/>
    <w:rsid w:val="00C0119D"/>
    <w:rsid w:val="00C01507"/>
    <w:rsid w:val="00C02918"/>
    <w:rsid w:val="00C03A78"/>
    <w:rsid w:val="00C04085"/>
    <w:rsid w:val="00C043DF"/>
    <w:rsid w:val="00C04B18"/>
    <w:rsid w:val="00C052BD"/>
    <w:rsid w:val="00C05BBB"/>
    <w:rsid w:val="00C06C31"/>
    <w:rsid w:val="00C0717B"/>
    <w:rsid w:val="00C104A7"/>
    <w:rsid w:val="00C10F17"/>
    <w:rsid w:val="00C11E61"/>
    <w:rsid w:val="00C12BD2"/>
    <w:rsid w:val="00C136AC"/>
    <w:rsid w:val="00C13E3C"/>
    <w:rsid w:val="00C140FC"/>
    <w:rsid w:val="00C14732"/>
    <w:rsid w:val="00C14974"/>
    <w:rsid w:val="00C15F43"/>
    <w:rsid w:val="00C17F38"/>
    <w:rsid w:val="00C2038D"/>
    <w:rsid w:val="00C20903"/>
    <w:rsid w:val="00C20A9A"/>
    <w:rsid w:val="00C20C57"/>
    <w:rsid w:val="00C22106"/>
    <w:rsid w:val="00C221D8"/>
    <w:rsid w:val="00C228CD"/>
    <w:rsid w:val="00C252E3"/>
    <w:rsid w:val="00C25E88"/>
    <w:rsid w:val="00C264F1"/>
    <w:rsid w:val="00C2660C"/>
    <w:rsid w:val="00C27EBF"/>
    <w:rsid w:val="00C301F7"/>
    <w:rsid w:val="00C30976"/>
    <w:rsid w:val="00C311CD"/>
    <w:rsid w:val="00C312C8"/>
    <w:rsid w:val="00C317BA"/>
    <w:rsid w:val="00C31E33"/>
    <w:rsid w:val="00C31FA0"/>
    <w:rsid w:val="00C32E9D"/>
    <w:rsid w:val="00C32EC2"/>
    <w:rsid w:val="00C3380B"/>
    <w:rsid w:val="00C33ACC"/>
    <w:rsid w:val="00C353D4"/>
    <w:rsid w:val="00C35938"/>
    <w:rsid w:val="00C3633D"/>
    <w:rsid w:val="00C36505"/>
    <w:rsid w:val="00C36A9C"/>
    <w:rsid w:val="00C36C89"/>
    <w:rsid w:val="00C3706E"/>
    <w:rsid w:val="00C37A3F"/>
    <w:rsid w:val="00C37C74"/>
    <w:rsid w:val="00C402A9"/>
    <w:rsid w:val="00C40369"/>
    <w:rsid w:val="00C40D28"/>
    <w:rsid w:val="00C4268E"/>
    <w:rsid w:val="00C426D9"/>
    <w:rsid w:val="00C42A39"/>
    <w:rsid w:val="00C43D51"/>
    <w:rsid w:val="00C440E1"/>
    <w:rsid w:val="00C445CF"/>
    <w:rsid w:val="00C44E69"/>
    <w:rsid w:val="00C4567A"/>
    <w:rsid w:val="00C45EE3"/>
    <w:rsid w:val="00C478B9"/>
    <w:rsid w:val="00C47FA1"/>
    <w:rsid w:val="00C47FC0"/>
    <w:rsid w:val="00C47FD6"/>
    <w:rsid w:val="00C50BE0"/>
    <w:rsid w:val="00C51F6C"/>
    <w:rsid w:val="00C51FA7"/>
    <w:rsid w:val="00C533B6"/>
    <w:rsid w:val="00C54570"/>
    <w:rsid w:val="00C54A92"/>
    <w:rsid w:val="00C5523A"/>
    <w:rsid w:val="00C57DBA"/>
    <w:rsid w:val="00C60244"/>
    <w:rsid w:val="00C6100B"/>
    <w:rsid w:val="00C61A80"/>
    <w:rsid w:val="00C63381"/>
    <w:rsid w:val="00C63D38"/>
    <w:rsid w:val="00C65CF2"/>
    <w:rsid w:val="00C65D12"/>
    <w:rsid w:val="00C663E9"/>
    <w:rsid w:val="00C66509"/>
    <w:rsid w:val="00C66CB3"/>
    <w:rsid w:val="00C67CEC"/>
    <w:rsid w:val="00C7089F"/>
    <w:rsid w:val="00C7171C"/>
    <w:rsid w:val="00C71AE7"/>
    <w:rsid w:val="00C71EBD"/>
    <w:rsid w:val="00C71F55"/>
    <w:rsid w:val="00C72EAA"/>
    <w:rsid w:val="00C72EFD"/>
    <w:rsid w:val="00C740EE"/>
    <w:rsid w:val="00C74253"/>
    <w:rsid w:val="00C742DA"/>
    <w:rsid w:val="00C74389"/>
    <w:rsid w:val="00C75420"/>
    <w:rsid w:val="00C755FB"/>
    <w:rsid w:val="00C75625"/>
    <w:rsid w:val="00C75793"/>
    <w:rsid w:val="00C75FD6"/>
    <w:rsid w:val="00C761DF"/>
    <w:rsid w:val="00C76EDD"/>
    <w:rsid w:val="00C774AA"/>
    <w:rsid w:val="00C77B90"/>
    <w:rsid w:val="00C806B9"/>
    <w:rsid w:val="00C80EB9"/>
    <w:rsid w:val="00C81720"/>
    <w:rsid w:val="00C817B0"/>
    <w:rsid w:val="00C8188A"/>
    <w:rsid w:val="00C82491"/>
    <w:rsid w:val="00C8293C"/>
    <w:rsid w:val="00C83D5D"/>
    <w:rsid w:val="00C83E55"/>
    <w:rsid w:val="00C83E7A"/>
    <w:rsid w:val="00C84EA4"/>
    <w:rsid w:val="00C85176"/>
    <w:rsid w:val="00C8553C"/>
    <w:rsid w:val="00C855DE"/>
    <w:rsid w:val="00C85907"/>
    <w:rsid w:val="00C85A7C"/>
    <w:rsid w:val="00C85E84"/>
    <w:rsid w:val="00C85EBA"/>
    <w:rsid w:val="00C90221"/>
    <w:rsid w:val="00C9035F"/>
    <w:rsid w:val="00C90418"/>
    <w:rsid w:val="00C908C1"/>
    <w:rsid w:val="00C90A63"/>
    <w:rsid w:val="00C90BF0"/>
    <w:rsid w:val="00C919C3"/>
    <w:rsid w:val="00C92CD2"/>
    <w:rsid w:val="00C92DA0"/>
    <w:rsid w:val="00C9348A"/>
    <w:rsid w:val="00C955F3"/>
    <w:rsid w:val="00C956E2"/>
    <w:rsid w:val="00C96533"/>
    <w:rsid w:val="00C9683B"/>
    <w:rsid w:val="00CA04A7"/>
    <w:rsid w:val="00CA0FD1"/>
    <w:rsid w:val="00CA1864"/>
    <w:rsid w:val="00CA19DC"/>
    <w:rsid w:val="00CA30BF"/>
    <w:rsid w:val="00CA4E7D"/>
    <w:rsid w:val="00CA4F5F"/>
    <w:rsid w:val="00CA5B14"/>
    <w:rsid w:val="00CA5C17"/>
    <w:rsid w:val="00CA6CDF"/>
    <w:rsid w:val="00CA7378"/>
    <w:rsid w:val="00CB055D"/>
    <w:rsid w:val="00CB0D6E"/>
    <w:rsid w:val="00CB1568"/>
    <w:rsid w:val="00CB159C"/>
    <w:rsid w:val="00CB1724"/>
    <w:rsid w:val="00CB1A9A"/>
    <w:rsid w:val="00CB1B77"/>
    <w:rsid w:val="00CB27CC"/>
    <w:rsid w:val="00CB387A"/>
    <w:rsid w:val="00CB5470"/>
    <w:rsid w:val="00CB586B"/>
    <w:rsid w:val="00CB5B8D"/>
    <w:rsid w:val="00CB6117"/>
    <w:rsid w:val="00CB6EA9"/>
    <w:rsid w:val="00CB73F1"/>
    <w:rsid w:val="00CB7849"/>
    <w:rsid w:val="00CC07B2"/>
    <w:rsid w:val="00CC202B"/>
    <w:rsid w:val="00CC3440"/>
    <w:rsid w:val="00CC3EB2"/>
    <w:rsid w:val="00CC546F"/>
    <w:rsid w:val="00CC5A09"/>
    <w:rsid w:val="00CC5C27"/>
    <w:rsid w:val="00CC5DB6"/>
    <w:rsid w:val="00CC621A"/>
    <w:rsid w:val="00CC63C7"/>
    <w:rsid w:val="00CC76C8"/>
    <w:rsid w:val="00CC7DD6"/>
    <w:rsid w:val="00CD0A43"/>
    <w:rsid w:val="00CD1EC3"/>
    <w:rsid w:val="00CD2425"/>
    <w:rsid w:val="00CD286A"/>
    <w:rsid w:val="00CD2AAE"/>
    <w:rsid w:val="00CD2DF8"/>
    <w:rsid w:val="00CD3C53"/>
    <w:rsid w:val="00CD5239"/>
    <w:rsid w:val="00CD58F7"/>
    <w:rsid w:val="00CD5914"/>
    <w:rsid w:val="00CD6962"/>
    <w:rsid w:val="00CD6EAA"/>
    <w:rsid w:val="00CD745A"/>
    <w:rsid w:val="00CD74BB"/>
    <w:rsid w:val="00CE1363"/>
    <w:rsid w:val="00CE262B"/>
    <w:rsid w:val="00CE265D"/>
    <w:rsid w:val="00CE3DE5"/>
    <w:rsid w:val="00CE4D8E"/>
    <w:rsid w:val="00CE664C"/>
    <w:rsid w:val="00CE6D69"/>
    <w:rsid w:val="00CE731A"/>
    <w:rsid w:val="00CE7AE4"/>
    <w:rsid w:val="00CF0B95"/>
    <w:rsid w:val="00CF1737"/>
    <w:rsid w:val="00CF296B"/>
    <w:rsid w:val="00CF33D7"/>
    <w:rsid w:val="00CF50EF"/>
    <w:rsid w:val="00CF5666"/>
    <w:rsid w:val="00CF6923"/>
    <w:rsid w:val="00CF7C65"/>
    <w:rsid w:val="00D01B6D"/>
    <w:rsid w:val="00D0234D"/>
    <w:rsid w:val="00D02393"/>
    <w:rsid w:val="00D035E4"/>
    <w:rsid w:val="00D04339"/>
    <w:rsid w:val="00D048C5"/>
    <w:rsid w:val="00D051B7"/>
    <w:rsid w:val="00D052A5"/>
    <w:rsid w:val="00D0711C"/>
    <w:rsid w:val="00D10366"/>
    <w:rsid w:val="00D10AE7"/>
    <w:rsid w:val="00D10CB1"/>
    <w:rsid w:val="00D10CC1"/>
    <w:rsid w:val="00D10E7A"/>
    <w:rsid w:val="00D10EFA"/>
    <w:rsid w:val="00D131FB"/>
    <w:rsid w:val="00D13C90"/>
    <w:rsid w:val="00D146DB"/>
    <w:rsid w:val="00D14DA4"/>
    <w:rsid w:val="00D150CD"/>
    <w:rsid w:val="00D1547C"/>
    <w:rsid w:val="00D15554"/>
    <w:rsid w:val="00D1602A"/>
    <w:rsid w:val="00D1602D"/>
    <w:rsid w:val="00D171E3"/>
    <w:rsid w:val="00D17859"/>
    <w:rsid w:val="00D179D0"/>
    <w:rsid w:val="00D17DB1"/>
    <w:rsid w:val="00D17EF6"/>
    <w:rsid w:val="00D20406"/>
    <w:rsid w:val="00D2145F"/>
    <w:rsid w:val="00D21C65"/>
    <w:rsid w:val="00D220CB"/>
    <w:rsid w:val="00D22506"/>
    <w:rsid w:val="00D225D0"/>
    <w:rsid w:val="00D2278F"/>
    <w:rsid w:val="00D22854"/>
    <w:rsid w:val="00D229F8"/>
    <w:rsid w:val="00D22AB5"/>
    <w:rsid w:val="00D22BC9"/>
    <w:rsid w:val="00D231A6"/>
    <w:rsid w:val="00D24921"/>
    <w:rsid w:val="00D24948"/>
    <w:rsid w:val="00D25A1F"/>
    <w:rsid w:val="00D26302"/>
    <w:rsid w:val="00D26544"/>
    <w:rsid w:val="00D27827"/>
    <w:rsid w:val="00D31E6C"/>
    <w:rsid w:val="00D31E99"/>
    <w:rsid w:val="00D32BEA"/>
    <w:rsid w:val="00D330EA"/>
    <w:rsid w:val="00D33241"/>
    <w:rsid w:val="00D334FD"/>
    <w:rsid w:val="00D33EA0"/>
    <w:rsid w:val="00D33FEA"/>
    <w:rsid w:val="00D34C96"/>
    <w:rsid w:val="00D3580F"/>
    <w:rsid w:val="00D35E1B"/>
    <w:rsid w:val="00D36077"/>
    <w:rsid w:val="00D36138"/>
    <w:rsid w:val="00D36375"/>
    <w:rsid w:val="00D371EA"/>
    <w:rsid w:val="00D37B87"/>
    <w:rsid w:val="00D41BDA"/>
    <w:rsid w:val="00D4253D"/>
    <w:rsid w:val="00D4318B"/>
    <w:rsid w:val="00D437CA"/>
    <w:rsid w:val="00D4393C"/>
    <w:rsid w:val="00D43E1C"/>
    <w:rsid w:val="00D4400D"/>
    <w:rsid w:val="00D45106"/>
    <w:rsid w:val="00D466E6"/>
    <w:rsid w:val="00D46814"/>
    <w:rsid w:val="00D473E5"/>
    <w:rsid w:val="00D47488"/>
    <w:rsid w:val="00D47D9F"/>
    <w:rsid w:val="00D511AB"/>
    <w:rsid w:val="00D51ED7"/>
    <w:rsid w:val="00D53112"/>
    <w:rsid w:val="00D5387C"/>
    <w:rsid w:val="00D5489A"/>
    <w:rsid w:val="00D559CB"/>
    <w:rsid w:val="00D55ABD"/>
    <w:rsid w:val="00D6011A"/>
    <w:rsid w:val="00D6026C"/>
    <w:rsid w:val="00D60AA4"/>
    <w:rsid w:val="00D61470"/>
    <w:rsid w:val="00D61733"/>
    <w:rsid w:val="00D61DEB"/>
    <w:rsid w:val="00D61F74"/>
    <w:rsid w:val="00D61FCB"/>
    <w:rsid w:val="00D6236C"/>
    <w:rsid w:val="00D628AB"/>
    <w:rsid w:val="00D63CE7"/>
    <w:rsid w:val="00D647CD"/>
    <w:rsid w:val="00D658CF"/>
    <w:rsid w:val="00D65F34"/>
    <w:rsid w:val="00D662D2"/>
    <w:rsid w:val="00D66B10"/>
    <w:rsid w:val="00D66F1A"/>
    <w:rsid w:val="00D6742B"/>
    <w:rsid w:val="00D713F9"/>
    <w:rsid w:val="00D7153D"/>
    <w:rsid w:val="00D71621"/>
    <w:rsid w:val="00D71F3D"/>
    <w:rsid w:val="00D72341"/>
    <w:rsid w:val="00D72F44"/>
    <w:rsid w:val="00D72F9B"/>
    <w:rsid w:val="00D73016"/>
    <w:rsid w:val="00D73071"/>
    <w:rsid w:val="00D73324"/>
    <w:rsid w:val="00D7363D"/>
    <w:rsid w:val="00D743B5"/>
    <w:rsid w:val="00D74B5B"/>
    <w:rsid w:val="00D75559"/>
    <w:rsid w:val="00D755BB"/>
    <w:rsid w:val="00D75C4A"/>
    <w:rsid w:val="00D76DE4"/>
    <w:rsid w:val="00D77AD7"/>
    <w:rsid w:val="00D80CD8"/>
    <w:rsid w:val="00D8118B"/>
    <w:rsid w:val="00D83530"/>
    <w:rsid w:val="00D8383C"/>
    <w:rsid w:val="00D840FD"/>
    <w:rsid w:val="00D8431F"/>
    <w:rsid w:val="00D84B28"/>
    <w:rsid w:val="00D850B6"/>
    <w:rsid w:val="00D858CD"/>
    <w:rsid w:val="00D8659A"/>
    <w:rsid w:val="00D86707"/>
    <w:rsid w:val="00D869B7"/>
    <w:rsid w:val="00D871E9"/>
    <w:rsid w:val="00D87B35"/>
    <w:rsid w:val="00D90042"/>
    <w:rsid w:val="00D90ADE"/>
    <w:rsid w:val="00D90D5F"/>
    <w:rsid w:val="00D91283"/>
    <w:rsid w:val="00D91615"/>
    <w:rsid w:val="00D916AD"/>
    <w:rsid w:val="00D92267"/>
    <w:rsid w:val="00D92E73"/>
    <w:rsid w:val="00D92F62"/>
    <w:rsid w:val="00D93C40"/>
    <w:rsid w:val="00D94A61"/>
    <w:rsid w:val="00D95000"/>
    <w:rsid w:val="00D964C8"/>
    <w:rsid w:val="00DA269C"/>
    <w:rsid w:val="00DA32BB"/>
    <w:rsid w:val="00DA475B"/>
    <w:rsid w:val="00DA61D5"/>
    <w:rsid w:val="00DA7D73"/>
    <w:rsid w:val="00DB021C"/>
    <w:rsid w:val="00DB0D5A"/>
    <w:rsid w:val="00DB4491"/>
    <w:rsid w:val="00DB46ED"/>
    <w:rsid w:val="00DB4861"/>
    <w:rsid w:val="00DB5311"/>
    <w:rsid w:val="00DB58F9"/>
    <w:rsid w:val="00DB5E6E"/>
    <w:rsid w:val="00DB6EFD"/>
    <w:rsid w:val="00DB722F"/>
    <w:rsid w:val="00DB7A51"/>
    <w:rsid w:val="00DC0250"/>
    <w:rsid w:val="00DC0982"/>
    <w:rsid w:val="00DC1324"/>
    <w:rsid w:val="00DC2DA5"/>
    <w:rsid w:val="00DC3243"/>
    <w:rsid w:val="00DC354B"/>
    <w:rsid w:val="00DC3C7B"/>
    <w:rsid w:val="00DC3E1E"/>
    <w:rsid w:val="00DC4135"/>
    <w:rsid w:val="00DC4C6B"/>
    <w:rsid w:val="00DC57D3"/>
    <w:rsid w:val="00DC651D"/>
    <w:rsid w:val="00DC6F79"/>
    <w:rsid w:val="00DC7643"/>
    <w:rsid w:val="00DC7B84"/>
    <w:rsid w:val="00DC7E43"/>
    <w:rsid w:val="00DD00AF"/>
    <w:rsid w:val="00DD04F7"/>
    <w:rsid w:val="00DD04FF"/>
    <w:rsid w:val="00DD1555"/>
    <w:rsid w:val="00DD1F77"/>
    <w:rsid w:val="00DD28D4"/>
    <w:rsid w:val="00DD3922"/>
    <w:rsid w:val="00DD3B6B"/>
    <w:rsid w:val="00DD443F"/>
    <w:rsid w:val="00DD5B0C"/>
    <w:rsid w:val="00DD5B9A"/>
    <w:rsid w:val="00DD5DF1"/>
    <w:rsid w:val="00DD6281"/>
    <w:rsid w:val="00DD7C8C"/>
    <w:rsid w:val="00DE0BCA"/>
    <w:rsid w:val="00DE0FE5"/>
    <w:rsid w:val="00DE1AB0"/>
    <w:rsid w:val="00DE2147"/>
    <w:rsid w:val="00DE2551"/>
    <w:rsid w:val="00DE255A"/>
    <w:rsid w:val="00DE281C"/>
    <w:rsid w:val="00DE2A6F"/>
    <w:rsid w:val="00DE31CF"/>
    <w:rsid w:val="00DE31D5"/>
    <w:rsid w:val="00DE34C7"/>
    <w:rsid w:val="00DE4185"/>
    <w:rsid w:val="00DE4566"/>
    <w:rsid w:val="00DE4954"/>
    <w:rsid w:val="00DE4DC4"/>
    <w:rsid w:val="00DE5245"/>
    <w:rsid w:val="00DE52EF"/>
    <w:rsid w:val="00DE5C17"/>
    <w:rsid w:val="00DE5FE2"/>
    <w:rsid w:val="00DE7088"/>
    <w:rsid w:val="00DE73FC"/>
    <w:rsid w:val="00DE7996"/>
    <w:rsid w:val="00DE7A10"/>
    <w:rsid w:val="00DF05D9"/>
    <w:rsid w:val="00DF0D82"/>
    <w:rsid w:val="00DF110E"/>
    <w:rsid w:val="00DF114B"/>
    <w:rsid w:val="00DF182B"/>
    <w:rsid w:val="00DF20AA"/>
    <w:rsid w:val="00DF2E61"/>
    <w:rsid w:val="00DF3306"/>
    <w:rsid w:val="00DF3E09"/>
    <w:rsid w:val="00DF4A7D"/>
    <w:rsid w:val="00DF50A1"/>
    <w:rsid w:val="00DF5153"/>
    <w:rsid w:val="00DF5F33"/>
    <w:rsid w:val="00DF7322"/>
    <w:rsid w:val="00DF7B42"/>
    <w:rsid w:val="00E001D3"/>
    <w:rsid w:val="00E0061D"/>
    <w:rsid w:val="00E019FA"/>
    <w:rsid w:val="00E02677"/>
    <w:rsid w:val="00E028D2"/>
    <w:rsid w:val="00E0328D"/>
    <w:rsid w:val="00E03770"/>
    <w:rsid w:val="00E03B49"/>
    <w:rsid w:val="00E0421E"/>
    <w:rsid w:val="00E043BA"/>
    <w:rsid w:val="00E04ACD"/>
    <w:rsid w:val="00E04FD6"/>
    <w:rsid w:val="00E05CB7"/>
    <w:rsid w:val="00E0608C"/>
    <w:rsid w:val="00E06457"/>
    <w:rsid w:val="00E07827"/>
    <w:rsid w:val="00E07A79"/>
    <w:rsid w:val="00E07D97"/>
    <w:rsid w:val="00E07E8E"/>
    <w:rsid w:val="00E10253"/>
    <w:rsid w:val="00E103BB"/>
    <w:rsid w:val="00E1046F"/>
    <w:rsid w:val="00E10DC0"/>
    <w:rsid w:val="00E113FD"/>
    <w:rsid w:val="00E11A00"/>
    <w:rsid w:val="00E11A68"/>
    <w:rsid w:val="00E11E83"/>
    <w:rsid w:val="00E1207E"/>
    <w:rsid w:val="00E125E4"/>
    <w:rsid w:val="00E12921"/>
    <w:rsid w:val="00E14122"/>
    <w:rsid w:val="00E141FB"/>
    <w:rsid w:val="00E142B5"/>
    <w:rsid w:val="00E146DF"/>
    <w:rsid w:val="00E14B3F"/>
    <w:rsid w:val="00E15780"/>
    <w:rsid w:val="00E1587F"/>
    <w:rsid w:val="00E158C2"/>
    <w:rsid w:val="00E15EED"/>
    <w:rsid w:val="00E174B7"/>
    <w:rsid w:val="00E2021C"/>
    <w:rsid w:val="00E20377"/>
    <w:rsid w:val="00E207BF"/>
    <w:rsid w:val="00E215BA"/>
    <w:rsid w:val="00E219E6"/>
    <w:rsid w:val="00E221EB"/>
    <w:rsid w:val="00E2292B"/>
    <w:rsid w:val="00E22E96"/>
    <w:rsid w:val="00E246C9"/>
    <w:rsid w:val="00E24F7B"/>
    <w:rsid w:val="00E251C4"/>
    <w:rsid w:val="00E259C1"/>
    <w:rsid w:val="00E25A22"/>
    <w:rsid w:val="00E27074"/>
    <w:rsid w:val="00E27C14"/>
    <w:rsid w:val="00E30208"/>
    <w:rsid w:val="00E306E8"/>
    <w:rsid w:val="00E30DF2"/>
    <w:rsid w:val="00E3140E"/>
    <w:rsid w:val="00E3145A"/>
    <w:rsid w:val="00E3175A"/>
    <w:rsid w:val="00E31BC6"/>
    <w:rsid w:val="00E31C95"/>
    <w:rsid w:val="00E31EF1"/>
    <w:rsid w:val="00E32061"/>
    <w:rsid w:val="00E33014"/>
    <w:rsid w:val="00E33CC8"/>
    <w:rsid w:val="00E33CE4"/>
    <w:rsid w:val="00E34F50"/>
    <w:rsid w:val="00E363E1"/>
    <w:rsid w:val="00E365CF"/>
    <w:rsid w:val="00E36738"/>
    <w:rsid w:val="00E3733C"/>
    <w:rsid w:val="00E3754E"/>
    <w:rsid w:val="00E40DAA"/>
    <w:rsid w:val="00E41CA7"/>
    <w:rsid w:val="00E42283"/>
    <w:rsid w:val="00E42DBA"/>
    <w:rsid w:val="00E4311D"/>
    <w:rsid w:val="00E4356D"/>
    <w:rsid w:val="00E43F24"/>
    <w:rsid w:val="00E4441F"/>
    <w:rsid w:val="00E45495"/>
    <w:rsid w:val="00E45B0D"/>
    <w:rsid w:val="00E4640A"/>
    <w:rsid w:val="00E46EFB"/>
    <w:rsid w:val="00E470A2"/>
    <w:rsid w:val="00E47799"/>
    <w:rsid w:val="00E506A3"/>
    <w:rsid w:val="00E506E5"/>
    <w:rsid w:val="00E50942"/>
    <w:rsid w:val="00E509D0"/>
    <w:rsid w:val="00E51030"/>
    <w:rsid w:val="00E525FF"/>
    <w:rsid w:val="00E52671"/>
    <w:rsid w:val="00E5304B"/>
    <w:rsid w:val="00E5307D"/>
    <w:rsid w:val="00E53D9C"/>
    <w:rsid w:val="00E54947"/>
    <w:rsid w:val="00E55ED8"/>
    <w:rsid w:val="00E56997"/>
    <w:rsid w:val="00E56D66"/>
    <w:rsid w:val="00E56ED8"/>
    <w:rsid w:val="00E5775D"/>
    <w:rsid w:val="00E579C6"/>
    <w:rsid w:val="00E6028B"/>
    <w:rsid w:val="00E61BD9"/>
    <w:rsid w:val="00E62329"/>
    <w:rsid w:val="00E627F0"/>
    <w:rsid w:val="00E63811"/>
    <w:rsid w:val="00E63C26"/>
    <w:rsid w:val="00E63DF8"/>
    <w:rsid w:val="00E643D3"/>
    <w:rsid w:val="00E65836"/>
    <w:rsid w:val="00E65B79"/>
    <w:rsid w:val="00E662EA"/>
    <w:rsid w:val="00E66B9B"/>
    <w:rsid w:val="00E672CA"/>
    <w:rsid w:val="00E679DA"/>
    <w:rsid w:val="00E67E02"/>
    <w:rsid w:val="00E7008C"/>
    <w:rsid w:val="00E703F5"/>
    <w:rsid w:val="00E70683"/>
    <w:rsid w:val="00E706D8"/>
    <w:rsid w:val="00E71723"/>
    <w:rsid w:val="00E71997"/>
    <w:rsid w:val="00E72612"/>
    <w:rsid w:val="00E73970"/>
    <w:rsid w:val="00E74577"/>
    <w:rsid w:val="00E75461"/>
    <w:rsid w:val="00E75B1A"/>
    <w:rsid w:val="00E75E34"/>
    <w:rsid w:val="00E76B49"/>
    <w:rsid w:val="00E76C0E"/>
    <w:rsid w:val="00E80CB6"/>
    <w:rsid w:val="00E81B4F"/>
    <w:rsid w:val="00E8209B"/>
    <w:rsid w:val="00E820C5"/>
    <w:rsid w:val="00E82FAA"/>
    <w:rsid w:val="00E82FDE"/>
    <w:rsid w:val="00E832DB"/>
    <w:rsid w:val="00E83377"/>
    <w:rsid w:val="00E83FF3"/>
    <w:rsid w:val="00E8430E"/>
    <w:rsid w:val="00E84833"/>
    <w:rsid w:val="00E85000"/>
    <w:rsid w:val="00E879BE"/>
    <w:rsid w:val="00E87B4B"/>
    <w:rsid w:val="00E911C0"/>
    <w:rsid w:val="00E917DD"/>
    <w:rsid w:val="00E9235E"/>
    <w:rsid w:val="00E93351"/>
    <w:rsid w:val="00E93CF0"/>
    <w:rsid w:val="00E9405A"/>
    <w:rsid w:val="00E94658"/>
    <w:rsid w:val="00E94E3C"/>
    <w:rsid w:val="00E953CB"/>
    <w:rsid w:val="00E95418"/>
    <w:rsid w:val="00E95CDC"/>
    <w:rsid w:val="00E95F19"/>
    <w:rsid w:val="00E966F3"/>
    <w:rsid w:val="00E96833"/>
    <w:rsid w:val="00E96D4E"/>
    <w:rsid w:val="00EA0BF1"/>
    <w:rsid w:val="00EA1327"/>
    <w:rsid w:val="00EA25D5"/>
    <w:rsid w:val="00EA2852"/>
    <w:rsid w:val="00EA3D5A"/>
    <w:rsid w:val="00EA412F"/>
    <w:rsid w:val="00EA4747"/>
    <w:rsid w:val="00EA4C2E"/>
    <w:rsid w:val="00EA5DEA"/>
    <w:rsid w:val="00EA70BC"/>
    <w:rsid w:val="00EA71FF"/>
    <w:rsid w:val="00EA7895"/>
    <w:rsid w:val="00EA7B26"/>
    <w:rsid w:val="00EA7B99"/>
    <w:rsid w:val="00EB06EE"/>
    <w:rsid w:val="00EB0AC0"/>
    <w:rsid w:val="00EB1621"/>
    <w:rsid w:val="00EB191E"/>
    <w:rsid w:val="00EB3B82"/>
    <w:rsid w:val="00EB4035"/>
    <w:rsid w:val="00EB44E1"/>
    <w:rsid w:val="00EB4A45"/>
    <w:rsid w:val="00EB5036"/>
    <w:rsid w:val="00EB63D2"/>
    <w:rsid w:val="00EB68B3"/>
    <w:rsid w:val="00EB6E53"/>
    <w:rsid w:val="00EB7393"/>
    <w:rsid w:val="00EB790F"/>
    <w:rsid w:val="00EC01F7"/>
    <w:rsid w:val="00EC0857"/>
    <w:rsid w:val="00EC0F21"/>
    <w:rsid w:val="00EC1ED1"/>
    <w:rsid w:val="00EC1ED3"/>
    <w:rsid w:val="00EC2E61"/>
    <w:rsid w:val="00EC31B6"/>
    <w:rsid w:val="00EC5CE0"/>
    <w:rsid w:val="00EC5F3A"/>
    <w:rsid w:val="00EC67E1"/>
    <w:rsid w:val="00EC6BDA"/>
    <w:rsid w:val="00EC74CD"/>
    <w:rsid w:val="00EC7CA8"/>
    <w:rsid w:val="00ED102A"/>
    <w:rsid w:val="00ED1580"/>
    <w:rsid w:val="00ED23C5"/>
    <w:rsid w:val="00ED2415"/>
    <w:rsid w:val="00ED25B5"/>
    <w:rsid w:val="00ED338A"/>
    <w:rsid w:val="00ED389C"/>
    <w:rsid w:val="00ED3A8C"/>
    <w:rsid w:val="00ED3B4E"/>
    <w:rsid w:val="00ED3C17"/>
    <w:rsid w:val="00ED4CA4"/>
    <w:rsid w:val="00ED5380"/>
    <w:rsid w:val="00ED5C87"/>
    <w:rsid w:val="00ED612F"/>
    <w:rsid w:val="00ED6655"/>
    <w:rsid w:val="00ED6E3E"/>
    <w:rsid w:val="00ED6E5C"/>
    <w:rsid w:val="00ED7C9A"/>
    <w:rsid w:val="00EE01DA"/>
    <w:rsid w:val="00EE1868"/>
    <w:rsid w:val="00EE1B4D"/>
    <w:rsid w:val="00EE225A"/>
    <w:rsid w:val="00EE2BDD"/>
    <w:rsid w:val="00EE33D7"/>
    <w:rsid w:val="00EE3A32"/>
    <w:rsid w:val="00EE3B34"/>
    <w:rsid w:val="00EE4370"/>
    <w:rsid w:val="00EE4977"/>
    <w:rsid w:val="00EE55A5"/>
    <w:rsid w:val="00EE6B24"/>
    <w:rsid w:val="00EE6C43"/>
    <w:rsid w:val="00EE6E72"/>
    <w:rsid w:val="00EF0633"/>
    <w:rsid w:val="00EF19AB"/>
    <w:rsid w:val="00EF228F"/>
    <w:rsid w:val="00EF240B"/>
    <w:rsid w:val="00EF2509"/>
    <w:rsid w:val="00EF3BB1"/>
    <w:rsid w:val="00EF4498"/>
    <w:rsid w:val="00EF49F7"/>
    <w:rsid w:val="00EF4C79"/>
    <w:rsid w:val="00EF68D7"/>
    <w:rsid w:val="00EF6EC8"/>
    <w:rsid w:val="00EF7386"/>
    <w:rsid w:val="00EF768C"/>
    <w:rsid w:val="00F0036C"/>
    <w:rsid w:val="00F00AE7"/>
    <w:rsid w:val="00F025EF"/>
    <w:rsid w:val="00F0265F"/>
    <w:rsid w:val="00F02FE7"/>
    <w:rsid w:val="00F036F1"/>
    <w:rsid w:val="00F03B2D"/>
    <w:rsid w:val="00F03C48"/>
    <w:rsid w:val="00F03CD1"/>
    <w:rsid w:val="00F03F5F"/>
    <w:rsid w:val="00F03F98"/>
    <w:rsid w:val="00F03FB6"/>
    <w:rsid w:val="00F05841"/>
    <w:rsid w:val="00F0595B"/>
    <w:rsid w:val="00F064B6"/>
    <w:rsid w:val="00F07E2B"/>
    <w:rsid w:val="00F1041C"/>
    <w:rsid w:val="00F10EEB"/>
    <w:rsid w:val="00F10F0F"/>
    <w:rsid w:val="00F1184A"/>
    <w:rsid w:val="00F12BEF"/>
    <w:rsid w:val="00F13199"/>
    <w:rsid w:val="00F135FB"/>
    <w:rsid w:val="00F14752"/>
    <w:rsid w:val="00F14E21"/>
    <w:rsid w:val="00F15034"/>
    <w:rsid w:val="00F1523E"/>
    <w:rsid w:val="00F173E0"/>
    <w:rsid w:val="00F173EC"/>
    <w:rsid w:val="00F175A5"/>
    <w:rsid w:val="00F17701"/>
    <w:rsid w:val="00F17C3B"/>
    <w:rsid w:val="00F21B17"/>
    <w:rsid w:val="00F21FA1"/>
    <w:rsid w:val="00F220AF"/>
    <w:rsid w:val="00F22CCF"/>
    <w:rsid w:val="00F23836"/>
    <w:rsid w:val="00F23D9D"/>
    <w:rsid w:val="00F23DE8"/>
    <w:rsid w:val="00F247CE"/>
    <w:rsid w:val="00F24D55"/>
    <w:rsid w:val="00F25841"/>
    <w:rsid w:val="00F268E8"/>
    <w:rsid w:val="00F27518"/>
    <w:rsid w:val="00F2777D"/>
    <w:rsid w:val="00F3051C"/>
    <w:rsid w:val="00F30684"/>
    <w:rsid w:val="00F3142A"/>
    <w:rsid w:val="00F32196"/>
    <w:rsid w:val="00F33F5F"/>
    <w:rsid w:val="00F35860"/>
    <w:rsid w:val="00F36B86"/>
    <w:rsid w:val="00F36D54"/>
    <w:rsid w:val="00F372C4"/>
    <w:rsid w:val="00F37C81"/>
    <w:rsid w:val="00F37D0A"/>
    <w:rsid w:val="00F37D37"/>
    <w:rsid w:val="00F400A9"/>
    <w:rsid w:val="00F41114"/>
    <w:rsid w:val="00F420F9"/>
    <w:rsid w:val="00F429BD"/>
    <w:rsid w:val="00F42E7E"/>
    <w:rsid w:val="00F433BF"/>
    <w:rsid w:val="00F443D4"/>
    <w:rsid w:val="00F44AD9"/>
    <w:rsid w:val="00F45CD3"/>
    <w:rsid w:val="00F45E27"/>
    <w:rsid w:val="00F460C8"/>
    <w:rsid w:val="00F47205"/>
    <w:rsid w:val="00F5091E"/>
    <w:rsid w:val="00F51F44"/>
    <w:rsid w:val="00F51FBB"/>
    <w:rsid w:val="00F53C08"/>
    <w:rsid w:val="00F5412E"/>
    <w:rsid w:val="00F54B20"/>
    <w:rsid w:val="00F557AC"/>
    <w:rsid w:val="00F57429"/>
    <w:rsid w:val="00F604DA"/>
    <w:rsid w:val="00F60733"/>
    <w:rsid w:val="00F62A14"/>
    <w:rsid w:val="00F632EA"/>
    <w:rsid w:val="00F63E28"/>
    <w:rsid w:val="00F64F70"/>
    <w:rsid w:val="00F6503A"/>
    <w:rsid w:val="00F65965"/>
    <w:rsid w:val="00F66524"/>
    <w:rsid w:val="00F666F5"/>
    <w:rsid w:val="00F67208"/>
    <w:rsid w:val="00F67C1A"/>
    <w:rsid w:val="00F67C2B"/>
    <w:rsid w:val="00F7007A"/>
    <w:rsid w:val="00F7029D"/>
    <w:rsid w:val="00F70FB4"/>
    <w:rsid w:val="00F72C35"/>
    <w:rsid w:val="00F73DF8"/>
    <w:rsid w:val="00F749C3"/>
    <w:rsid w:val="00F74FBC"/>
    <w:rsid w:val="00F75359"/>
    <w:rsid w:val="00F75CA5"/>
    <w:rsid w:val="00F75FB9"/>
    <w:rsid w:val="00F770DC"/>
    <w:rsid w:val="00F80B75"/>
    <w:rsid w:val="00F80D23"/>
    <w:rsid w:val="00F811CD"/>
    <w:rsid w:val="00F81D4A"/>
    <w:rsid w:val="00F825EF"/>
    <w:rsid w:val="00F83302"/>
    <w:rsid w:val="00F837F9"/>
    <w:rsid w:val="00F84551"/>
    <w:rsid w:val="00F84A47"/>
    <w:rsid w:val="00F84ED2"/>
    <w:rsid w:val="00F84F84"/>
    <w:rsid w:val="00F8564B"/>
    <w:rsid w:val="00F857B5"/>
    <w:rsid w:val="00F86030"/>
    <w:rsid w:val="00F860DC"/>
    <w:rsid w:val="00F864C8"/>
    <w:rsid w:val="00F86C4D"/>
    <w:rsid w:val="00F901B3"/>
    <w:rsid w:val="00F90924"/>
    <w:rsid w:val="00F90CBD"/>
    <w:rsid w:val="00F9123D"/>
    <w:rsid w:val="00F91343"/>
    <w:rsid w:val="00F9248E"/>
    <w:rsid w:val="00F92C8A"/>
    <w:rsid w:val="00F93C30"/>
    <w:rsid w:val="00F975D7"/>
    <w:rsid w:val="00F978A7"/>
    <w:rsid w:val="00FA28A4"/>
    <w:rsid w:val="00FA470F"/>
    <w:rsid w:val="00FA51BF"/>
    <w:rsid w:val="00FA5DB5"/>
    <w:rsid w:val="00FA7942"/>
    <w:rsid w:val="00FA7A87"/>
    <w:rsid w:val="00FB05DC"/>
    <w:rsid w:val="00FB0B59"/>
    <w:rsid w:val="00FB10CE"/>
    <w:rsid w:val="00FB1E0B"/>
    <w:rsid w:val="00FB2B92"/>
    <w:rsid w:val="00FB30A5"/>
    <w:rsid w:val="00FB321E"/>
    <w:rsid w:val="00FB527D"/>
    <w:rsid w:val="00FB6660"/>
    <w:rsid w:val="00FB6E6B"/>
    <w:rsid w:val="00FB7058"/>
    <w:rsid w:val="00FB7CE1"/>
    <w:rsid w:val="00FC0191"/>
    <w:rsid w:val="00FC01D7"/>
    <w:rsid w:val="00FC07DA"/>
    <w:rsid w:val="00FC168C"/>
    <w:rsid w:val="00FC21DE"/>
    <w:rsid w:val="00FC2B11"/>
    <w:rsid w:val="00FC4437"/>
    <w:rsid w:val="00FC4483"/>
    <w:rsid w:val="00FC4795"/>
    <w:rsid w:val="00FC6F15"/>
    <w:rsid w:val="00FC742C"/>
    <w:rsid w:val="00FC763D"/>
    <w:rsid w:val="00FC7E17"/>
    <w:rsid w:val="00FD0762"/>
    <w:rsid w:val="00FD0BB4"/>
    <w:rsid w:val="00FD0D60"/>
    <w:rsid w:val="00FD2268"/>
    <w:rsid w:val="00FD2365"/>
    <w:rsid w:val="00FD239E"/>
    <w:rsid w:val="00FD5034"/>
    <w:rsid w:val="00FD5307"/>
    <w:rsid w:val="00FD6661"/>
    <w:rsid w:val="00FD6CF4"/>
    <w:rsid w:val="00FD6FA0"/>
    <w:rsid w:val="00FD7A16"/>
    <w:rsid w:val="00FE062C"/>
    <w:rsid w:val="00FE0CBB"/>
    <w:rsid w:val="00FE0E2E"/>
    <w:rsid w:val="00FE2389"/>
    <w:rsid w:val="00FE3488"/>
    <w:rsid w:val="00FE457E"/>
    <w:rsid w:val="00FE4B88"/>
    <w:rsid w:val="00FE6B09"/>
    <w:rsid w:val="00FE6D02"/>
    <w:rsid w:val="00FE7ED4"/>
    <w:rsid w:val="00FF0663"/>
    <w:rsid w:val="00FF093C"/>
    <w:rsid w:val="00FF2332"/>
    <w:rsid w:val="00FF2F1F"/>
    <w:rsid w:val="00FF3631"/>
    <w:rsid w:val="00FF3CE0"/>
    <w:rsid w:val="00FF3E8A"/>
    <w:rsid w:val="00FF50B2"/>
    <w:rsid w:val="00FF5194"/>
    <w:rsid w:val="00FF5355"/>
    <w:rsid w:val="00FF654A"/>
    <w:rsid w:val="00FF67D9"/>
    <w:rsid w:val="00FF7043"/>
    <w:rsid w:val="00FF7D34"/>
    <w:rsid w:val="097E5174"/>
    <w:rsid w:val="173747F5"/>
    <w:rsid w:val="1C6D792F"/>
    <w:rsid w:val="1D38330E"/>
    <w:rsid w:val="1D4A34D3"/>
    <w:rsid w:val="1F0E4EC6"/>
    <w:rsid w:val="27983C41"/>
    <w:rsid w:val="27FF6747"/>
    <w:rsid w:val="2D5C05DE"/>
    <w:rsid w:val="2DB7177E"/>
    <w:rsid w:val="2E7D325E"/>
    <w:rsid w:val="32F847A5"/>
    <w:rsid w:val="35E13C93"/>
    <w:rsid w:val="39C849B3"/>
    <w:rsid w:val="3FD828D1"/>
    <w:rsid w:val="4CB85C70"/>
    <w:rsid w:val="4CC23DF7"/>
    <w:rsid w:val="4DAD20B4"/>
    <w:rsid w:val="52A03A6C"/>
    <w:rsid w:val="55505CFF"/>
    <w:rsid w:val="60E547CE"/>
    <w:rsid w:val="630D04DE"/>
    <w:rsid w:val="63596D74"/>
    <w:rsid w:val="645F5782"/>
    <w:rsid w:val="716817FE"/>
    <w:rsid w:val="7F185FC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qFormat="1" w:unhideWhenUsed="0" w:uiPriority="99" w:semiHidden="0" w:name="Closing"/>
    <w:lsdException w:uiPriority="99" w:name="Signature"/>
    <w:lsdException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qFormat="1" w:unhideWhenUsed="0" w:uiPriority="99" w:semiHidden="0"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23"/>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24"/>
    <w:qFormat/>
    <w:uiPriority w:val="99"/>
    <w:pPr>
      <w:keepNext/>
      <w:keepLines/>
      <w:spacing w:before="260" w:after="260" w:line="416" w:lineRule="auto"/>
      <w:outlineLvl w:val="1"/>
    </w:pPr>
    <w:rPr>
      <w:rFonts w:ascii="Cambria" w:hAnsi="Cambria" w:cs="Cambria"/>
      <w:b/>
      <w:bCs/>
      <w:sz w:val="32"/>
      <w:szCs w:val="32"/>
    </w:rPr>
  </w:style>
  <w:style w:type="character" w:default="1" w:styleId="19">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4">
    <w:name w:val="Salutation"/>
    <w:basedOn w:val="1"/>
    <w:next w:val="1"/>
    <w:link w:val="26"/>
    <w:qFormat/>
    <w:uiPriority w:val="99"/>
    <w:rPr>
      <w:rFonts w:ascii="宋体" w:cs="宋体"/>
      <w:sz w:val="28"/>
      <w:szCs w:val="28"/>
    </w:rPr>
  </w:style>
  <w:style w:type="paragraph" w:styleId="5">
    <w:name w:val="Closing"/>
    <w:basedOn w:val="1"/>
    <w:link w:val="27"/>
    <w:qFormat/>
    <w:uiPriority w:val="99"/>
    <w:pPr>
      <w:ind w:left="100" w:leftChars="2100"/>
    </w:pPr>
    <w:rPr>
      <w:rFonts w:ascii="宋体" w:cs="宋体"/>
      <w:sz w:val="28"/>
      <w:szCs w:val="28"/>
    </w:rPr>
  </w:style>
  <w:style w:type="paragraph" w:styleId="6">
    <w:name w:val="Body Text"/>
    <w:basedOn w:val="1"/>
    <w:link w:val="30"/>
    <w:qFormat/>
    <w:uiPriority w:val="99"/>
    <w:rPr>
      <w:sz w:val="32"/>
      <w:szCs w:val="32"/>
    </w:rPr>
  </w:style>
  <w:style w:type="paragraph" w:styleId="7">
    <w:name w:val="Body Text Indent"/>
    <w:basedOn w:val="1"/>
    <w:link w:val="31"/>
    <w:qFormat/>
    <w:uiPriority w:val="99"/>
    <w:pPr>
      <w:ind w:firstLine="320" w:firstLineChars="100"/>
    </w:pPr>
    <w:rPr>
      <w:sz w:val="32"/>
      <w:szCs w:val="32"/>
    </w:rPr>
  </w:style>
  <w:style w:type="paragraph" w:styleId="8">
    <w:name w:val="Date"/>
    <w:basedOn w:val="1"/>
    <w:next w:val="1"/>
    <w:link w:val="32"/>
    <w:qFormat/>
    <w:uiPriority w:val="99"/>
    <w:pPr>
      <w:ind w:left="100" w:leftChars="2500"/>
    </w:pPr>
    <w:rPr>
      <w:sz w:val="32"/>
      <w:szCs w:val="32"/>
    </w:rPr>
  </w:style>
  <w:style w:type="paragraph" w:styleId="9">
    <w:name w:val="Body Text Indent 2"/>
    <w:basedOn w:val="1"/>
    <w:link w:val="25"/>
    <w:qFormat/>
    <w:uiPriority w:val="99"/>
    <w:pPr>
      <w:spacing w:line="540" w:lineRule="atLeast"/>
      <w:ind w:firstLine="800" w:firstLineChars="250"/>
    </w:pPr>
    <w:rPr>
      <w:sz w:val="32"/>
      <w:szCs w:val="32"/>
    </w:rPr>
  </w:style>
  <w:style w:type="paragraph" w:styleId="10">
    <w:name w:val="footer"/>
    <w:basedOn w:val="1"/>
    <w:link w:val="29"/>
    <w:qFormat/>
    <w:uiPriority w:val="99"/>
    <w:pPr>
      <w:tabs>
        <w:tab w:val="center" w:pos="4153"/>
        <w:tab w:val="right" w:pos="8306"/>
      </w:tabs>
      <w:snapToGrid w:val="0"/>
      <w:jc w:val="left"/>
    </w:pPr>
    <w:rPr>
      <w:sz w:val="18"/>
      <w:szCs w:val="18"/>
    </w:rPr>
  </w:style>
  <w:style w:type="paragraph" w:styleId="11">
    <w:name w:val="header"/>
    <w:basedOn w:val="1"/>
    <w:link w:val="28"/>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semiHidden/>
    <w:qFormat/>
    <w:uiPriority w:val="99"/>
    <w:pPr>
      <w:tabs>
        <w:tab w:val="right" w:leader="dot" w:pos="8495"/>
      </w:tabs>
      <w:ind w:right="210" w:rightChars="100"/>
      <w:jc w:val="left"/>
    </w:pPr>
    <w:rPr>
      <w:rFonts w:ascii="黑体" w:eastAsia="黑体" w:cs="黑体"/>
      <w:bCs/>
      <w:sz w:val="30"/>
      <w:szCs w:val="30"/>
    </w:rPr>
  </w:style>
  <w:style w:type="paragraph" w:styleId="13">
    <w:name w:val="Body Text Indent 3"/>
    <w:basedOn w:val="1"/>
    <w:link w:val="33"/>
    <w:qFormat/>
    <w:uiPriority w:val="99"/>
    <w:pPr>
      <w:spacing w:after="120"/>
      <w:ind w:left="420" w:leftChars="200"/>
    </w:pPr>
    <w:rPr>
      <w:sz w:val="16"/>
      <w:szCs w:val="16"/>
    </w:rPr>
  </w:style>
  <w:style w:type="paragraph" w:styleId="14">
    <w:name w:val="toc 2"/>
    <w:basedOn w:val="1"/>
    <w:next w:val="1"/>
    <w:semiHidden/>
    <w:qFormat/>
    <w:uiPriority w:val="99"/>
    <w:pPr>
      <w:ind w:left="420" w:leftChars="200"/>
      <w:jc w:val="left"/>
    </w:pPr>
    <w:rPr>
      <w:sz w:val="30"/>
      <w:szCs w:val="30"/>
    </w:rPr>
  </w:style>
  <w:style w:type="paragraph" w:styleId="15">
    <w:name w:val="HTML Preformatted"/>
    <w:basedOn w:val="1"/>
    <w:link w:val="34"/>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18">
    <w:name w:val="Table Grid"/>
    <w:basedOn w:val="1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basedOn w:val="19"/>
    <w:qFormat/>
    <w:uiPriority w:val="99"/>
    <w:rPr>
      <w:b/>
      <w:bCs/>
    </w:rPr>
  </w:style>
  <w:style w:type="character" w:styleId="21">
    <w:name w:val="page number"/>
    <w:basedOn w:val="19"/>
    <w:qFormat/>
    <w:uiPriority w:val="99"/>
  </w:style>
  <w:style w:type="character" w:styleId="22">
    <w:name w:val="Hyperlink"/>
    <w:basedOn w:val="19"/>
    <w:qFormat/>
    <w:uiPriority w:val="99"/>
    <w:rPr>
      <w:color w:val="0268CD"/>
      <w:u w:val="none"/>
    </w:rPr>
  </w:style>
  <w:style w:type="character" w:customStyle="1" w:styleId="23">
    <w:name w:val="标题 1 Char"/>
    <w:basedOn w:val="19"/>
    <w:link w:val="2"/>
    <w:qFormat/>
    <w:locked/>
    <w:uiPriority w:val="99"/>
    <w:rPr>
      <w:b/>
      <w:bCs/>
      <w:kern w:val="44"/>
      <w:sz w:val="44"/>
      <w:szCs w:val="44"/>
    </w:rPr>
  </w:style>
  <w:style w:type="character" w:customStyle="1" w:styleId="24">
    <w:name w:val="标题 2 Char"/>
    <w:basedOn w:val="19"/>
    <w:link w:val="3"/>
    <w:qFormat/>
    <w:locked/>
    <w:uiPriority w:val="99"/>
    <w:rPr>
      <w:rFonts w:ascii="Cambria" w:hAnsi="Cambria" w:eastAsia="宋体" w:cs="Cambria"/>
      <w:b/>
      <w:bCs/>
      <w:kern w:val="2"/>
      <w:sz w:val="32"/>
      <w:szCs w:val="32"/>
    </w:rPr>
  </w:style>
  <w:style w:type="character" w:customStyle="1" w:styleId="25">
    <w:name w:val="正文文本缩进 2 Char"/>
    <w:basedOn w:val="19"/>
    <w:link w:val="9"/>
    <w:qFormat/>
    <w:locked/>
    <w:uiPriority w:val="99"/>
    <w:rPr>
      <w:sz w:val="21"/>
      <w:szCs w:val="21"/>
    </w:rPr>
  </w:style>
  <w:style w:type="character" w:customStyle="1" w:styleId="26">
    <w:name w:val="称呼 Char"/>
    <w:basedOn w:val="19"/>
    <w:link w:val="4"/>
    <w:qFormat/>
    <w:locked/>
    <w:uiPriority w:val="99"/>
    <w:rPr>
      <w:rFonts w:ascii="宋体" w:cs="宋体"/>
      <w:kern w:val="2"/>
      <w:sz w:val="24"/>
      <w:szCs w:val="24"/>
    </w:rPr>
  </w:style>
  <w:style w:type="character" w:customStyle="1" w:styleId="27">
    <w:name w:val="结束语 Char"/>
    <w:basedOn w:val="19"/>
    <w:link w:val="5"/>
    <w:qFormat/>
    <w:locked/>
    <w:uiPriority w:val="99"/>
    <w:rPr>
      <w:rFonts w:ascii="宋体" w:cs="宋体"/>
      <w:kern w:val="2"/>
      <w:sz w:val="24"/>
      <w:szCs w:val="24"/>
    </w:rPr>
  </w:style>
  <w:style w:type="character" w:customStyle="1" w:styleId="28">
    <w:name w:val="页眉 Char"/>
    <w:basedOn w:val="19"/>
    <w:link w:val="11"/>
    <w:semiHidden/>
    <w:qFormat/>
    <w:locked/>
    <w:uiPriority w:val="99"/>
    <w:rPr>
      <w:sz w:val="18"/>
      <w:szCs w:val="18"/>
    </w:rPr>
  </w:style>
  <w:style w:type="character" w:customStyle="1" w:styleId="29">
    <w:name w:val="页脚 Char"/>
    <w:basedOn w:val="19"/>
    <w:link w:val="10"/>
    <w:semiHidden/>
    <w:qFormat/>
    <w:locked/>
    <w:uiPriority w:val="99"/>
    <w:rPr>
      <w:sz w:val="18"/>
      <w:szCs w:val="18"/>
    </w:rPr>
  </w:style>
  <w:style w:type="character" w:customStyle="1" w:styleId="30">
    <w:name w:val="正文文本 Char"/>
    <w:basedOn w:val="19"/>
    <w:link w:val="6"/>
    <w:qFormat/>
    <w:locked/>
    <w:uiPriority w:val="99"/>
    <w:rPr>
      <w:sz w:val="21"/>
      <w:szCs w:val="21"/>
    </w:rPr>
  </w:style>
  <w:style w:type="character" w:customStyle="1" w:styleId="31">
    <w:name w:val="正文文本缩进 Char"/>
    <w:basedOn w:val="19"/>
    <w:link w:val="7"/>
    <w:semiHidden/>
    <w:qFormat/>
    <w:locked/>
    <w:uiPriority w:val="99"/>
    <w:rPr>
      <w:sz w:val="21"/>
      <w:szCs w:val="21"/>
    </w:rPr>
  </w:style>
  <w:style w:type="character" w:customStyle="1" w:styleId="32">
    <w:name w:val="日期 Char"/>
    <w:basedOn w:val="19"/>
    <w:link w:val="8"/>
    <w:semiHidden/>
    <w:qFormat/>
    <w:locked/>
    <w:uiPriority w:val="99"/>
    <w:rPr>
      <w:sz w:val="21"/>
      <w:szCs w:val="21"/>
    </w:rPr>
  </w:style>
  <w:style w:type="character" w:customStyle="1" w:styleId="33">
    <w:name w:val="正文文本缩进 3 Char"/>
    <w:basedOn w:val="19"/>
    <w:link w:val="13"/>
    <w:qFormat/>
    <w:locked/>
    <w:uiPriority w:val="99"/>
    <w:rPr>
      <w:sz w:val="16"/>
      <w:szCs w:val="16"/>
    </w:rPr>
  </w:style>
  <w:style w:type="character" w:customStyle="1" w:styleId="34">
    <w:name w:val="HTML 预设格式 Char"/>
    <w:basedOn w:val="19"/>
    <w:link w:val="15"/>
    <w:semiHidden/>
    <w:qFormat/>
    <w:locked/>
    <w:uiPriority w:val="99"/>
    <w:rPr>
      <w:rFonts w:ascii="Courier New" w:hAnsi="Courier New" w:cs="Courier New"/>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CQC</Company>
  <Pages>15</Pages>
  <Words>7330</Words>
  <Characters>8030</Characters>
  <Lines>72</Lines>
  <Paragraphs>20</Paragraphs>
  <TotalTime>2</TotalTime>
  <ScaleCrop>false</ScaleCrop>
  <LinksUpToDate>false</LinksUpToDate>
  <CharactersWithSpaces>9214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2022-07-26T07:42:00Z</dcterms:created>
  <dc:creator>TY</dc:creator>
  <cp:lastModifiedBy>Administrator</cp:lastModifiedBy>
  <cp:lastPrinted>2022-08-29T01:42:43Z</cp:lastPrinted>
  <dcterms:modified xsi:type="dcterms:W3CDTF">2022-08-29T02:53:32Z</dcterms:modified>
  <dc:title>房地产估价报告 </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89E42703825E4870B4A87E18278BD584</vt:lpwstr>
  </property>
</Properties>
</file>