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left="470" w:leftChars="224"/>
        <w:jc w:val="center"/>
        <w:rPr>
          <w:rFonts w:hint="eastAsia" w:eastAsia="仿宋_GB2312"/>
          <w:b/>
          <w:color w:val="000000"/>
          <w:w w:val="90"/>
          <w:sz w:val="52"/>
          <w:szCs w:val="52"/>
        </w:rPr>
      </w:pPr>
    </w:p>
    <w:p>
      <w:pPr>
        <w:spacing w:line="360" w:lineRule="auto"/>
        <w:ind w:left="470" w:leftChars="224"/>
        <w:rPr>
          <w:rFonts w:hint="eastAsia" w:eastAsia="仿宋_GB2312"/>
          <w:b/>
          <w:color w:val="000000"/>
          <w:w w:val="90"/>
          <w:sz w:val="48"/>
          <w:szCs w:val="48"/>
        </w:rPr>
      </w:pPr>
      <w:r>
        <w:rPr>
          <w:rFonts w:hint="eastAsia" w:eastAsia="仿宋_GB2312"/>
          <w:b/>
          <w:color w:val="000000"/>
          <w:w w:val="90"/>
          <w:sz w:val="48"/>
          <w:szCs w:val="48"/>
        </w:rPr>
        <w:t xml:space="preserve">   </w:t>
      </w:r>
    </w:p>
    <w:p>
      <w:pPr>
        <w:spacing w:line="700" w:lineRule="exact"/>
        <w:jc w:val="center"/>
        <w:rPr>
          <w:rFonts w:hint="eastAsia" w:ascii="仿宋_GB2312" w:hAnsi="宋体" w:eastAsia="仿宋_GB2312"/>
          <w:b/>
          <w:sz w:val="48"/>
        </w:rPr>
      </w:pPr>
      <w:r>
        <w:rPr>
          <w:rFonts w:hint="eastAsia" w:eastAsia="仿宋_GB2312"/>
          <w:b/>
          <w:color w:val="000000"/>
          <w:w w:val="90"/>
          <w:sz w:val="48"/>
          <w:szCs w:val="48"/>
        </w:rPr>
        <w:t xml:space="preserve">  </w:t>
      </w:r>
      <w:bookmarkStart w:id="0" w:name="_Toc266116999"/>
      <w:bookmarkStart w:id="1" w:name="_Toc265761755"/>
      <w:bookmarkStart w:id="2" w:name="_Toc266117001"/>
      <w:r>
        <w:rPr>
          <w:rFonts w:hint="eastAsia" w:ascii="仿宋_GB2312" w:hAnsi="宋体" w:eastAsia="仿宋_GB2312"/>
          <w:b/>
          <w:sz w:val="48"/>
        </w:rPr>
        <w:t>房 地 产 估 价 报 告</w:t>
      </w:r>
    </w:p>
    <w:p>
      <w:pPr>
        <w:spacing w:line="480" w:lineRule="exact"/>
        <w:ind w:left="2233" w:hanging="2233" w:hangingChars="695"/>
        <w:rPr>
          <w:rFonts w:hint="eastAsia" w:eastAsia="仿宋_GB2312"/>
          <w:b/>
          <w:sz w:val="32"/>
        </w:rPr>
      </w:pPr>
    </w:p>
    <w:p>
      <w:pPr>
        <w:spacing w:line="568" w:lineRule="atLeast"/>
        <w:ind w:left="2286" w:leftChars="84" w:right="105" w:rightChars="50" w:hanging="2110" w:hangingChars="784"/>
        <w:rPr>
          <w:rFonts w:hint="eastAsia" w:hAnsi="宋体" w:eastAsia="仿宋_GB2312"/>
          <w:b/>
          <w:bCs/>
          <w:spacing w:val="8"/>
          <w:w w:val="90"/>
          <w:sz w:val="28"/>
          <w:szCs w:val="28"/>
        </w:rPr>
      </w:pPr>
      <w:r>
        <w:rPr>
          <w:rFonts w:hint="eastAsia" w:hAnsi="宋体" w:eastAsia="仿宋_GB2312"/>
          <w:b/>
          <w:bCs/>
          <w:spacing w:val="8"/>
          <w:w w:val="90"/>
          <w:sz w:val="28"/>
          <w:szCs w:val="28"/>
        </w:rPr>
        <w:t xml:space="preserve"> </w:t>
      </w:r>
    </w:p>
    <w:p>
      <w:pPr>
        <w:spacing w:line="568" w:lineRule="atLeast"/>
        <w:ind w:left="2286" w:leftChars="84" w:right="105" w:rightChars="50" w:hanging="2110" w:hangingChars="784"/>
        <w:rPr>
          <w:rFonts w:hint="eastAsia" w:hAnsi="宋体" w:eastAsia="仿宋_GB2312"/>
          <w:b/>
          <w:bCs/>
          <w:spacing w:val="8"/>
          <w:w w:val="90"/>
          <w:sz w:val="28"/>
          <w:szCs w:val="28"/>
        </w:rPr>
      </w:pPr>
    </w:p>
    <w:p>
      <w:pPr>
        <w:spacing w:line="568" w:lineRule="atLeast"/>
        <w:ind w:left="2286" w:leftChars="84" w:right="105" w:rightChars="50" w:hanging="2110" w:hangingChars="784"/>
        <w:rPr>
          <w:rFonts w:hint="eastAsia" w:hAnsi="宋体" w:eastAsia="仿宋_GB2312"/>
          <w:b/>
          <w:bCs/>
          <w:spacing w:val="8"/>
          <w:w w:val="90"/>
          <w:sz w:val="28"/>
          <w:szCs w:val="28"/>
        </w:rPr>
      </w:pPr>
    </w:p>
    <w:p>
      <w:pPr>
        <w:spacing w:line="568" w:lineRule="atLeast"/>
        <w:ind w:left="2286" w:leftChars="84" w:right="105" w:rightChars="50" w:hanging="2110" w:hangingChars="784"/>
        <w:rPr>
          <w:rFonts w:hint="eastAsia" w:hAnsi="宋体" w:eastAsia="仿宋_GB2312"/>
          <w:b/>
          <w:bCs/>
          <w:spacing w:val="8"/>
          <w:w w:val="90"/>
          <w:sz w:val="28"/>
          <w:szCs w:val="28"/>
        </w:rPr>
      </w:pPr>
    </w:p>
    <w:p>
      <w:pPr>
        <w:spacing w:line="568" w:lineRule="atLeast"/>
        <w:ind w:left="2286" w:leftChars="84" w:right="105" w:rightChars="50" w:hanging="2110" w:hangingChars="784"/>
        <w:rPr>
          <w:rFonts w:hint="eastAsia" w:hAnsi="宋体" w:eastAsia="仿宋_GB2312"/>
          <w:b/>
          <w:bCs/>
          <w:spacing w:val="8"/>
          <w:w w:val="90"/>
          <w:sz w:val="28"/>
          <w:szCs w:val="28"/>
        </w:rPr>
      </w:pPr>
    </w:p>
    <w:p>
      <w:pPr>
        <w:spacing w:line="620" w:lineRule="atLeast"/>
        <w:ind w:firstLine="272" w:firstLineChars="98"/>
        <w:rPr>
          <w:rFonts w:hint="eastAsia" w:eastAsia="仿宋_GB2312"/>
          <w:b/>
          <w:spacing w:val="7"/>
          <w:sz w:val="28"/>
          <w:szCs w:val="28"/>
          <w:lang w:eastAsia="zh-CN"/>
        </w:rPr>
      </w:pPr>
      <w:r>
        <w:rPr>
          <w:rFonts w:hAnsi="宋体" w:eastAsia="仿宋_GB2312"/>
          <w:b/>
          <w:bCs/>
          <w:spacing w:val="12"/>
          <w:w w:val="90"/>
          <w:sz w:val="28"/>
        </w:rPr>
        <w:t>估价报告编号：</w:t>
      </w:r>
      <w:r>
        <w:rPr>
          <w:rFonts w:hint="eastAsia" w:eastAsia="仿宋_GB2312"/>
          <w:b/>
          <w:spacing w:val="7"/>
          <w:sz w:val="28"/>
          <w:szCs w:val="28"/>
          <w:lang w:eastAsia="zh-CN"/>
        </w:rPr>
        <w:t>宁力天【2022】（司）字第082号</w:t>
      </w:r>
    </w:p>
    <w:p>
      <w:pPr>
        <w:spacing w:line="568" w:lineRule="atLeast"/>
        <w:ind w:left="2286" w:leftChars="84" w:right="105" w:rightChars="50" w:hanging="2110" w:hangingChars="784"/>
        <w:rPr>
          <w:rFonts w:hint="eastAsia" w:hAnsi="宋体" w:eastAsia="仿宋_GB2312"/>
          <w:b/>
          <w:bCs/>
          <w:spacing w:val="8"/>
          <w:w w:val="90"/>
          <w:sz w:val="28"/>
          <w:szCs w:val="28"/>
        </w:rPr>
      </w:pPr>
    </w:p>
    <w:p>
      <w:pPr>
        <w:spacing w:line="568" w:lineRule="atLeast"/>
        <w:ind w:left="2106" w:leftChars="124" w:right="105" w:rightChars="50" w:hanging="1846" w:hangingChars="686"/>
        <w:rPr>
          <w:rFonts w:hint="eastAsia" w:eastAsia="仿宋_GB2312"/>
          <w:b/>
          <w:sz w:val="28"/>
          <w:szCs w:val="28"/>
        </w:rPr>
      </w:pPr>
      <w:r>
        <w:rPr>
          <w:rFonts w:hint="eastAsia" w:hAnsi="宋体" w:eastAsia="仿宋_GB2312"/>
          <w:b/>
          <w:bCs/>
          <w:spacing w:val="8"/>
          <w:w w:val="90"/>
          <w:sz w:val="28"/>
          <w:szCs w:val="28"/>
        </w:rPr>
        <w:t>估价</w:t>
      </w:r>
      <w:r>
        <w:rPr>
          <w:rFonts w:hAnsi="宋体" w:eastAsia="仿宋_GB2312"/>
          <w:b/>
          <w:bCs/>
          <w:spacing w:val="8"/>
          <w:w w:val="90"/>
          <w:sz w:val="28"/>
          <w:szCs w:val="28"/>
        </w:rPr>
        <w:t>项目名称：</w:t>
      </w:r>
      <w:r>
        <w:rPr>
          <w:rFonts w:hint="eastAsia" w:hAnsi="宋体" w:eastAsia="仿宋_GB2312"/>
          <w:b/>
          <w:bCs/>
          <w:spacing w:val="-4"/>
          <w:w w:val="90"/>
          <w:sz w:val="28"/>
          <w:szCs w:val="28"/>
          <w:lang w:eastAsia="zh-CN"/>
        </w:rPr>
        <w:t>张凤英名下所有的位于吴忠市利通区早元路关马湖三号楼房地产及室内家具家电司法评估报告</w:t>
      </w:r>
    </w:p>
    <w:p>
      <w:pPr>
        <w:spacing w:line="480" w:lineRule="exact"/>
        <w:ind w:left="1811" w:leftChars="200" w:hanging="1391" w:hangingChars="495"/>
        <w:rPr>
          <w:rFonts w:hint="eastAsia" w:ascii="宋体" w:hAnsi="宋体"/>
          <w:b/>
          <w:sz w:val="28"/>
        </w:rPr>
      </w:pPr>
    </w:p>
    <w:p>
      <w:pPr>
        <w:spacing w:line="480" w:lineRule="exact"/>
        <w:ind w:firstLine="303" w:firstLineChars="98"/>
        <w:rPr>
          <w:rFonts w:hint="eastAsia" w:eastAsia="仿宋_GB2312"/>
          <w:b/>
          <w:bCs/>
          <w:spacing w:val="7"/>
          <w:sz w:val="28"/>
          <w:lang w:eastAsia="zh-CN"/>
        </w:rPr>
      </w:pPr>
      <w:r>
        <w:rPr>
          <w:rFonts w:hint="eastAsia" w:hAnsi="宋体" w:eastAsia="仿宋_GB2312"/>
          <w:b/>
          <w:bCs/>
          <w:spacing w:val="14"/>
          <w:sz w:val="28"/>
        </w:rPr>
        <w:t>估价委托人</w:t>
      </w:r>
      <w:r>
        <w:rPr>
          <w:rFonts w:hAnsi="宋体" w:eastAsia="仿宋_GB2312"/>
          <w:b/>
          <w:bCs/>
          <w:spacing w:val="7"/>
          <w:sz w:val="28"/>
        </w:rPr>
        <w:t>：</w:t>
      </w:r>
      <w:r>
        <w:rPr>
          <w:rFonts w:hint="eastAsia" w:hAnsi="宋体" w:eastAsia="仿宋_GB2312"/>
          <w:b/>
          <w:bCs/>
          <w:spacing w:val="7"/>
          <w:sz w:val="28"/>
          <w:lang w:eastAsia="zh-CN"/>
        </w:rPr>
        <w:t>吴忠市利通区人民法院</w:t>
      </w:r>
    </w:p>
    <w:p>
      <w:pPr>
        <w:spacing w:line="480" w:lineRule="exact"/>
        <w:rPr>
          <w:rFonts w:hint="eastAsia" w:ascii="宋体" w:hAnsi="宋体"/>
          <w:b/>
          <w:sz w:val="28"/>
        </w:rPr>
      </w:pPr>
    </w:p>
    <w:p>
      <w:pPr>
        <w:spacing w:line="480" w:lineRule="exact"/>
        <w:ind w:firstLine="262" w:firstLineChars="98"/>
        <w:rPr>
          <w:rFonts w:hint="eastAsia" w:eastAsia="仿宋_GB2312"/>
          <w:b/>
          <w:bCs/>
          <w:spacing w:val="7"/>
          <w:w w:val="90"/>
          <w:sz w:val="28"/>
        </w:rPr>
      </w:pPr>
      <w:r>
        <w:rPr>
          <w:rFonts w:hAnsi="宋体" w:eastAsia="仿宋_GB2312"/>
          <w:b/>
          <w:bCs/>
          <w:spacing w:val="7"/>
          <w:w w:val="90"/>
          <w:sz w:val="28"/>
        </w:rPr>
        <w:t>估价</w:t>
      </w:r>
      <w:r>
        <w:rPr>
          <w:rFonts w:hint="eastAsia" w:hAnsi="宋体" w:eastAsia="仿宋_GB2312"/>
          <w:b/>
          <w:bCs/>
          <w:spacing w:val="7"/>
          <w:w w:val="90"/>
          <w:sz w:val="28"/>
        </w:rPr>
        <w:t>机构</w:t>
      </w:r>
      <w:r>
        <w:rPr>
          <w:rFonts w:hAnsi="宋体" w:eastAsia="仿宋_GB2312"/>
          <w:b/>
          <w:bCs/>
          <w:spacing w:val="7"/>
          <w:w w:val="90"/>
          <w:sz w:val="28"/>
        </w:rPr>
        <w:t>：</w:t>
      </w:r>
      <w:r>
        <w:rPr>
          <w:rFonts w:hint="eastAsia" w:hAnsi="宋体" w:eastAsia="仿宋_GB2312"/>
          <w:b/>
          <w:bCs/>
          <w:spacing w:val="7"/>
          <w:w w:val="90"/>
          <w:sz w:val="28"/>
        </w:rPr>
        <w:t>宁夏力天房地产土地资产评估咨询有限公司</w:t>
      </w:r>
    </w:p>
    <w:p>
      <w:pPr>
        <w:spacing w:line="480" w:lineRule="exact"/>
        <w:ind w:firstLine="410" w:firstLineChars="146"/>
        <w:rPr>
          <w:rFonts w:hint="eastAsia" w:ascii="宋体" w:hAnsi="宋体"/>
          <w:b/>
          <w:sz w:val="28"/>
        </w:rPr>
      </w:pPr>
    </w:p>
    <w:p>
      <w:pPr>
        <w:spacing w:line="480" w:lineRule="exact"/>
        <w:ind w:firstLine="272" w:firstLineChars="98"/>
        <w:rPr>
          <w:rFonts w:hint="eastAsia" w:ascii="仿宋_GB2312" w:eastAsia="仿宋_GB2312"/>
          <w:b/>
          <w:sz w:val="28"/>
          <w:szCs w:val="28"/>
          <w:lang w:eastAsia="zh-CN"/>
        </w:rPr>
      </w:pPr>
      <w:r>
        <w:rPr>
          <w:rFonts w:hint="eastAsia" w:hAnsi="宋体" w:eastAsia="仿宋_GB2312"/>
          <w:b/>
          <w:bCs/>
          <w:spacing w:val="12"/>
          <w:w w:val="90"/>
          <w:sz w:val="28"/>
        </w:rPr>
        <w:t>注册房地产估价师：</w:t>
      </w:r>
      <w:r>
        <w:rPr>
          <w:rFonts w:hint="eastAsia" w:ascii="仿宋_GB2312" w:eastAsia="仿宋_GB2312"/>
          <w:b/>
          <w:sz w:val="28"/>
          <w:szCs w:val="28"/>
          <w:lang w:eastAsia="zh-CN"/>
        </w:rPr>
        <w:t>马彦宏</w:t>
      </w:r>
      <w:r>
        <w:rPr>
          <w:rFonts w:hint="eastAsia" w:ascii="仿宋_GB2312" w:eastAsia="仿宋_GB2312"/>
          <w:b/>
          <w:sz w:val="28"/>
          <w:szCs w:val="28"/>
        </w:rPr>
        <w:t xml:space="preserve">    </w:t>
      </w:r>
      <w:r>
        <w:rPr>
          <w:rFonts w:hint="eastAsia" w:ascii="仿宋_GB2312" w:eastAsia="仿宋_GB2312"/>
          <w:b/>
          <w:sz w:val="28"/>
          <w:szCs w:val="28"/>
          <w:lang w:val="en-US" w:eastAsia="zh-CN"/>
        </w:rPr>
        <w:t xml:space="preserve"> </w:t>
      </w:r>
      <w:r>
        <w:rPr>
          <w:rFonts w:hint="eastAsia" w:ascii="仿宋_GB2312" w:eastAsia="仿宋_GB2312"/>
          <w:b/>
          <w:sz w:val="28"/>
          <w:szCs w:val="28"/>
          <w:lang w:eastAsia="zh-CN"/>
        </w:rPr>
        <w:t>6420070004</w:t>
      </w:r>
    </w:p>
    <w:p>
      <w:pPr>
        <w:spacing w:line="480" w:lineRule="exact"/>
        <w:ind w:firstLine="422" w:firstLineChars="150"/>
        <w:rPr>
          <w:rFonts w:hint="eastAsia" w:ascii="仿宋_GB2312" w:eastAsia="仿宋_GB2312"/>
          <w:b/>
          <w:sz w:val="28"/>
          <w:szCs w:val="28"/>
        </w:rPr>
      </w:pPr>
    </w:p>
    <w:p>
      <w:pPr>
        <w:spacing w:line="480" w:lineRule="exact"/>
        <w:ind w:firstLine="2783" w:firstLineChars="990"/>
        <w:rPr>
          <w:rFonts w:hint="eastAsia" w:ascii="仿宋_GB2312" w:eastAsia="仿宋_GB2312"/>
          <w:b/>
          <w:sz w:val="28"/>
          <w:szCs w:val="28"/>
        </w:rPr>
      </w:pPr>
      <w:r>
        <w:rPr>
          <w:rFonts w:hint="eastAsia" w:ascii="仿宋_GB2312" w:eastAsia="仿宋_GB2312"/>
          <w:b/>
          <w:sz w:val="28"/>
          <w:szCs w:val="28"/>
        </w:rPr>
        <w:t>尹建生     6419970005</w:t>
      </w:r>
    </w:p>
    <w:p>
      <w:pPr>
        <w:tabs>
          <w:tab w:val="left" w:pos="180"/>
          <w:tab w:val="left" w:pos="5580"/>
        </w:tabs>
        <w:spacing w:line="480" w:lineRule="exact"/>
        <w:ind w:firstLine="2951" w:firstLineChars="1050"/>
        <w:rPr>
          <w:rFonts w:hint="eastAsia" w:ascii="仿宋_GB2312" w:eastAsia="仿宋_GB2312"/>
          <w:sz w:val="28"/>
          <w:szCs w:val="28"/>
        </w:rPr>
      </w:pPr>
      <w:r>
        <w:rPr>
          <w:rFonts w:hint="eastAsia" w:ascii="仿宋_GB2312" w:eastAsia="仿宋_GB2312"/>
          <w:b/>
          <w:sz w:val="28"/>
          <w:szCs w:val="28"/>
        </w:rPr>
        <w:t xml:space="preserve">    </w:t>
      </w:r>
      <w:r>
        <w:rPr>
          <w:rFonts w:hint="eastAsia" w:ascii="仿宋_GB2312" w:eastAsia="仿宋_GB2312"/>
          <w:sz w:val="28"/>
          <w:szCs w:val="28"/>
        </w:rPr>
        <w:t xml:space="preserve">         </w:t>
      </w:r>
    </w:p>
    <w:p>
      <w:pPr>
        <w:spacing w:line="480" w:lineRule="exact"/>
        <w:rPr>
          <w:rFonts w:hint="eastAsia" w:eastAsia="仿宋_GB2312"/>
          <w:b/>
          <w:bCs/>
          <w:spacing w:val="12"/>
          <w:w w:val="90"/>
          <w:sz w:val="28"/>
          <w:lang w:eastAsia="zh-CN"/>
        </w:rPr>
      </w:pPr>
      <w:r>
        <w:rPr>
          <w:rFonts w:eastAsia="仿宋_GB2312"/>
          <w:b/>
          <w:bCs/>
          <w:spacing w:val="12"/>
          <w:w w:val="90"/>
          <w:sz w:val="28"/>
        </w:rPr>
        <w:t xml:space="preserve"> </w:t>
      </w:r>
      <w:r>
        <w:rPr>
          <w:rFonts w:hint="eastAsia" w:eastAsia="仿宋_GB2312"/>
          <w:b/>
          <w:bCs/>
          <w:spacing w:val="12"/>
          <w:w w:val="90"/>
          <w:sz w:val="28"/>
        </w:rPr>
        <w:t xml:space="preserve"> </w:t>
      </w:r>
      <w:r>
        <w:rPr>
          <w:rFonts w:hAnsi="宋体" w:eastAsia="仿宋_GB2312"/>
          <w:b/>
          <w:bCs/>
          <w:spacing w:val="12"/>
          <w:w w:val="90"/>
          <w:sz w:val="28"/>
        </w:rPr>
        <w:t>估价</w:t>
      </w:r>
      <w:r>
        <w:rPr>
          <w:rFonts w:hint="eastAsia" w:hAnsi="宋体" w:eastAsia="仿宋_GB2312"/>
          <w:b/>
          <w:bCs/>
          <w:spacing w:val="12"/>
          <w:w w:val="90"/>
          <w:sz w:val="28"/>
        </w:rPr>
        <w:t>报告出具</w:t>
      </w:r>
      <w:r>
        <w:rPr>
          <w:rFonts w:hAnsi="宋体" w:eastAsia="仿宋_GB2312"/>
          <w:b/>
          <w:bCs/>
          <w:spacing w:val="12"/>
          <w:w w:val="90"/>
          <w:sz w:val="28"/>
        </w:rPr>
        <w:t>日期：</w:t>
      </w:r>
      <w:r>
        <w:rPr>
          <w:rFonts w:hint="eastAsia" w:eastAsia="仿宋_GB2312"/>
          <w:b/>
          <w:spacing w:val="7"/>
          <w:sz w:val="28"/>
          <w:szCs w:val="28"/>
          <w:lang w:eastAsia="zh-CN"/>
        </w:rPr>
        <w:t xml:space="preserve"> 2022年8月3日</w:t>
      </w:r>
    </w:p>
    <w:p>
      <w:pPr>
        <w:ind w:firstLine="269" w:firstLineChars="97"/>
        <w:rPr>
          <w:rFonts w:hint="eastAsia" w:hAnsi="宋体" w:eastAsia="仿宋_GB2312"/>
          <w:b/>
          <w:bCs/>
          <w:spacing w:val="12"/>
          <w:w w:val="90"/>
          <w:sz w:val="28"/>
        </w:rPr>
      </w:pPr>
    </w:p>
    <w:p>
      <w:pPr>
        <w:spacing w:line="360" w:lineRule="auto"/>
        <w:ind w:left="470" w:leftChars="224"/>
        <w:rPr>
          <w:rFonts w:hint="eastAsia"/>
          <w:sz w:val="24"/>
          <w:szCs w:val="24"/>
        </w:rPr>
        <w:sectPr>
          <w:headerReference r:id="rId5" w:type="first"/>
          <w:headerReference r:id="rId3" w:type="default"/>
          <w:footerReference r:id="rId6" w:type="default"/>
          <w:headerReference r:id="rId4" w:type="even"/>
          <w:footerReference r:id="rId7" w:type="even"/>
          <w:endnotePr>
            <w:numFmt w:val="decimal"/>
          </w:endnotePr>
          <w:pgSz w:w="11907" w:h="16840"/>
          <w:pgMar w:top="1134" w:right="1247" w:bottom="1090" w:left="1588" w:header="851" w:footer="680" w:gutter="0"/>
          <w:pgNumType w:start="0"/>
          <w:cols w:space="720" w:num="1"/>
          <w:titlePg/>
        </w:sectPr>
      </w:pPr>
    </w:p>
    <w:p>
      <w:pPr>
        <w:pStyle w:val="2"/>
        <w:spacing w:before="0" w:after="0" w:line="440" w:lineRule="atLeast"/>
        <w:rPr>
          <w:rFonts w:hint="eastAsia" w:eastAsia="仿宋_GB2312"/>
        </w:rPr>
      </w:pPr>
      <w:r>
        <w:rPr>
          <w:rFonts w:hint="eastAsia"/>
        </w:rPr>
        <w:t xml:space="preserve">         </w:t>
      </w:r>
      <w:r>
        <w:rPr>
          <w:rFonts w:hint="eastAsia" w:eastAsia="仿宋_GB2312"/>
          <w:bCs w:val="0"/>
          <w:kern w:val="2"/>
        </w:rPr>
        <w:t xml:space="preserve">  </w:t>
      </w:r>
      <w:bookmarkStart w:id="3" w:name="_Toc274"/>
      <w:bookmarkStart w:id="4" w:name="_Toc21789"/>
      <w:bookmarkStart w:id="5" w:name="_Toc6492"/>
      <w:bookmarkStart w:id="6" w:name="_Toc15705"/>
      <w:bookmarkStart w:id="7" w:name="_Toc21025"/>
      <w:r>
        <w:rPr>
          <w:rFonts w:hint="eastAsia" w:eastAsia="仿宋_GB2312"/>
          <w:bCs w:val="0"/>
          <w:kern w:val="2"/>
        </w:rPr>
        <w:t>致 估 价 委 托 人 函</w:t>
      </w:r>
      <w:bookmarkEnd w:id="0"/>
      <w:bookmarkEnd w:id="3"/>
      <w:bookmarkEnd w:id="4"/>
      <w:bookmarkEnd w:id="5"/>
      <w:bookmarkEnd w:id="6"/>
      <w:bookmarkEnd w:id="7"/>
    </w:p>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吴忠市利通区人民法院</w:t>
      </w:r>
      <w:r>
        <w:rPr>
          <w:rFonts w:hint="eastAsia" w:ascii="仿宋_GB2312" w:hAnsi="仿宋_GB2312" w:eastAsia="仿宋_GB2312" w:cs="仿宋_GB2312"/>
          <w:sz w:val="28"/>
          <w:szCs w:val="28"/>
        </w:rPr>
        <w:t>：</w:t>
      </w:r>
    </w:p>
    <w:p>
      <w:pPr>
        <w:spacing w:line="5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FF0000"/>
          <w:sz w:val="28"/>
          <w:szCs w:val="28"/>
        </w:rPr>
        <w:t xml:space="preserve"> </w:t>
      </w:r>
      <w:r>
        <w:rPr>
          <w:rFonts w:hint="eastAsia" w:ascii="仿宋_GB2312" w:hAnsi="仿宋_GB2312" w:eastAsia="仿宋_GB2312" w:cs="仿宋_GB2312"/>
          <w:sz w:val="28"/>
          <w:szCs w:val="28"/>
        </w:rPr>
        <w:t xml:space="preserve"> 我公司于</w:t>
      </w:r>
      <w:r>
        <w:rPr>
          <w:rFonts w:hint="eastAsia" w:ascii="仿宋_GB2312" w:hAnsi="仿宋_GB2312" w:eastAsia="仿宋_GB2312" w:cs="仿宋_GB2312"/>
          <w:sz w:val="28"/>
          <w:szCs w:val="28"/>
          <w:lang w:eastAsia="zh-CN"/>
        </w:rPr>
        <w:t>二〇二二年七月二十七日</w:t>
      </w:r>
      <w:r>
        <w:rPr>
          <w:rFonts w:hint="eastAsia" w:ascii="仿宋_GB2312" w:hAnsi="仿宋_GB2312" w:eastAsia="仿宋_GB2312" w:cs="仿宋_GB2312"/>
          <w:sz w:val="28"/>
          <w:szCs w:val="28"/>
        </w:rPr>
        <w:t>受贵院委托并执行的</w:t>
      </w:r>
      <w:r>
        <w:rPr>
          <w:rFonts w:hint="eastAsia" w:ascii="仿宋_GB2312" w:hAnsi="仿宋_GB2312" w:eastAsia="仿宋_GB2312" w:cs="仿宋_GB2312"/>
          <w:sz w:val="28"/>
          <w:szCs w:val="28"/>
          <w:lang w:eastAsia="zh-CN"/>
        </w:rPr>
        <w:t>杨家宾诉杨惠珍婚姻家庭</w:t>
      </w:r>
      <w:r>
        <w:rPr>
          <w:rFonts w:hint="eastAsia" w:ascii="仿宋_GB2312" w:hAnsi="仿宋_GB2312" w:eastAsia="仿宋_GB2312" w:cs="仿宋_GB2312"/>
          <w:sz w:val="28"/>
          <w:szCs w:val="28"/>
        </w:rPr>
        <w:t>纠纷一案中，需要对被执行人</w:t>
      </w:r>
      <w:r>
        <w:rPr>
          <w:rFonts w:hint="eastAsia" w:ascii="仿宋_GB2312" w:hAnsi="仿宋_GB2312" w:eastAsia="仿宋_GB2312" w:cs="仿宋_GB2312"/>
          <w:sz w:val="28"/>
          <w:szCs w:val="28"/>
          <w:lang w:eastAsia="zh-CN"/>
        </w:rPr>
        <w:t>张凤英</w:t>
      </w:r>
      <w:r>
        <w:rPr>
          <w:rFonts w:hint="eastAsia" w:ascii="仿宋_GB2312" w:hAnsi="仿宋_GB2312" w:eastAsia="仿宋_GB2312" w:cs="仿宋_GB2312"/>
          <w:sz w:val="28"/>
          <w:szCs w:val="28"/>
        </w:rPr>
        <w:t>名下所有的位于</w:t>
      </w:r>
      <w:r>
        <w:rPr>
          <w:rFonts w:hint="eastAsia" w:ascii="仿宋_GB2312" w:hAnsi="仿宋_GB2312" w:eastAsia="仿宋_GB2312" w:cs="仿宋_GB2312"/>
          <w:sz w:val="28"/>
          <w:szCs w:val="28"/>
          <w:lang w:eastAsia="zh-CN"/>
        </w:rPr>
        <w:t>吴忠市利通区早元路关马湖三号楼房地产及室内家具家电</w:t>
      </w:r>
      <w:r>
        <w:rPr>
          <w:rFonts w:hint="eastAsia" w:ascii="仿宋_GB2312" w:hAnsi="仿宋_GB2312" w:eastAsia="仿宋_GB2312" w:cs="仿宋_GB2312"/>
          <w:color w:val="000000"/>
          <w:sz w:val="28"/>
          <w:szCs w:val="28"/>
        </w:rPr>
        <w:t>（以下简称估价对象）</w:t>
      </w:r>
      <w:r>
        <w:rPr>
          <w:rFonts w:hint="eastAsia" w:ascii="仿宋_GB2312" w:hAnsi="宋体" w:eastAsia="仿宋_GB2312"/>
          <w:color w:val="000000"/>
          <w:sz w:val="28"/>
          <w:szCs w:val="28"/>
        </w:rPr>
        <w:t>进行价格评估</w:t>
      </w:r>
      <w:r>
        <w:rPr>
          <w:rFonts w:hint="eastAsia" w:ascii="仿宋_GB2312" w:hAnsi="宋体" w:eastAsia="仿宋_GB2312"/>
          <w:color w:val="000000"/>
          <w:sz w:val="28"/>
        </w:rPr>
        <w:t>。</w:t>
      </w:r>
      <w:r>
        <w:rPr>
          <w:rFonts w:hint="eastAsia" w:ascii="仿宋_GB2312" w:hAnsi="宋体" w:eastAsia="仿宋_GB2312"/>
          <w:color w:val="000000"/>
          <w:sz w:val="28"/>
          <w:szCs w:val="28"/>
        </w:rPr>
        <w:t>我公司派出</w:t>
      </w:r>
      <w:r>
        <w:rPr>
          <w:rFonts w:hint="eastAsia" w:ascii="仿宋_GB2312" w:hAnsi="仿宋_GB2312" w:eastAsia="仿宋_GB2312" w:cs="仿宋_GB2312"/>
          <w:color w:val="000000"/>
          <w:sz w:val="28"/>
        </w:rPr>
        <w:t>注册房地产估价师尹建生、</w:t>
      </w:r>
      <w:r>
        <w:rPr>
          <w:rFonts w:hint="eastAsia" w:ascii="仿宋_GB2312" w:hAnsi="仿宋_GB2312" w:eastAsia="仿宋_GB2312" w:cs="仿宋_GB2312"/>
          <w:color w:val="000000"/>
          <w:sz w:val="28"/>
          <w:lang w:eastAsia="zh-CN"/>
        </w:rPr>
        <w:t>马彦宏</w:t>
      </w:r>
      <w:r>
        <w:rPr>
          <w:rFonts w:hint="eastAsia" w:ascii="仿宋_GB2312" w:hAnsi="仿宋_GB2312" w:eastAsia="仿宋_GB2312" w:cs="仿宋_GB2312"/>
          <w:color w:val="000000"/>
          <w:sz w:val="28"/>
        </w:rPr>
        <w:t>对估价对象进行了实地查勘</w:t>
      </w:r>
      <w:r>
        <w:rPr>
          <w:rFonts w:hint="eastAsia" w:ascii="仿宋_GB2312" w:hAnsi="仿宋_GB2312" w:eastAsia="仿宋_GB2312" w:cs="仿宋_GB2312"/>
          <w:color w:val="000000"/>
          <w:sz w:val="28"/>
          <w:szCs w:val="28"/>
        </w:rPr>
        <w:t xml:space="preserve">。 </w:t>
      </w:r>
    </w:p>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估价目的</w:t>
      </w:r>
      <w:r>
        <w:rPr>
          <w:rFonts w:hint="eastAsia" w:ascii="仿宋_GB2312" w:hAnsi="仿宋_GB2312" w:eastAsia="仿宋_GB2312" w:cs="仿宋_GB2312"/>
          <w:color w:val="000000"/>
          <w:sz w:val="28"/>
          <w:szCs w:val="28"/>
        </w:rPr>
        <w:t>：为人民法院确定财产处置参考价提供参考依据。</w:t>
      </w:r>
    </w:p>
    <w:p>
      <w:pPr>
        <w:spacing w:line="5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 xml:space="preserve">    估价对象：位于</w:t>
      </w:r>
      <w:r>
        <w:rPr>
          <w:rFonts w:hint="eastAsia" w:ascii="仿宋_GB2312" w:hAnsi="仿宋_GB2312" w:eastAsia="仿宋_GB2312" w:cs="仿宋_GB2312"/>
          <w:sz w:val="28"/>
          <w:szCs w:val="28"/>
          <w:lang w:eastAsia="zh-CN"/>
        </w:rPr>
        <w:t>吴忠市利通区早元路关马湖三号楼房地产及室内家具家电</w:t>
      </w:r>
      <w:r>
        <w:rPr>
          <w:rFonts w:hint="eastAsia" w:ascii="仿宋_GB2312" w:hAnsi="仿宋_GB2312" w:eastAsia="仿宋_GB2312" w:cs="仿宋_GB2312"/>
          <w:sz w:val="28"/>
          <w:szCs w:val="28"/>
        </w:rPr>
        <w:t>。详见下表：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942"/>
        <w:gridCol w:w="851"/>
        <w:gridCol w:w="1194"/>
        <w:gridCol w:w="1244"/>
        <w:gridCol w:w="1166"/>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111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hint="eastAsia" w:ascii="宋体" w:hAnsi="宋体"/>
                <w:color w:val="000000"/>
                <w:szCs w:val="21"/>
              </w:rPr>
            </w:pPr>
            <w:r>
              <w:rPr>
                <w:rFonts w:hint="eastAsia" w:ascii="宋体" w:hAnsi="宋体"/>
                <w:color w:val="000000"/>
                <w:szCs w:val="21"/>
              </w:rPr>
              <w:t>房屋所有权人</w:t>
            </w:r>
          </w:p>
        </w:tc>
        <w:tc>
          <w:tcPr>
            <w:tcW w:w="194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color w:val="000000"/>
                <w:szCs w:val="21"/>
              </w:rPr>
            </w:pPr>
            <w:r>
              <w:rPr>
                <w:rFonts w:hint="eastAsia" w:ascii="宋体" w:hAnsi="宋体"/>
                <w:color w:val="000000"/>
                <w:szCs w:val="21"/>
              </w:rPr>
              <w:t>产权证号</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hint="eastAsia" w:ascii="宋体" w:hAnsi="宋体"/>
                <w:color w:val="000000"/>
                <w:szCs w:val="21"/>
              </w:rPr>
            </w:pPr>
            <w:r>
              <w:rPr>
                <w:rFonts w:hint="eastAsia" w:ascii="宋体" w:hAnsi="宋体"/>
                <w:color w:val="000000"/>
                <w:szCs w:val="21"/>
              </w:rPr>
              <w:t>规划</w:t>
            </w:r>
          </w:p>
          <w:p>
            <w:pPr>
              <w:spacing w:line="240" w:lineRule="exact"/>
              <w:jc w:val="center"/>
              <w:rPr>
                <w:rFonts w:hint="eastAsia" w:ascii="宋体" w:hAnsi="宋体"/>
                <w:color w:val="000000"/>
                <w:szCs w:val="21"/>
              </w:rPr>
            </w:pPr>
            <w:r>
              <w:rPr>
                <w:rFonts w:hint="eastAsia" w:ascii="宋体" w:hAnsi="宋体"/>
                <w:color w:val="000000"/>
                <w:szCs w:val="21"/>
              </w:rPr>
              <w:t>用途</w:t>
            </w:r>
          </w:p>
        </w:tc>
        <w:tc>
          <w:tcPr>
            <w:tcW w:w="119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hint="eastAsia" w:ascii="宋体" w:hAnsi="宋体"/>
                <w:color w:val="000000"/>
                <w:szCs w:val="21"/>
              </w:rPr>
            </w:pPr>
            <w:r>
              <w:rPr>
                <w:rFonts w:hint="eastAsia" w:ascii="宋体" w:hAnsi="宋体"/>
                <w:color w:val="000000"/>
                <w:szCs w:val="21"/>
              </w:rPr>
              <w:t>房屋结构</w:t>
            </w:r>
          </w:p>
        </w:tc>
        <w:tc>
          <w:tcPr>
            <w:tcW w:w="124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hint="eastAsia" w:ascii="宋体" w:hAnsi="宋体"/>
                <w:color w:val="000000"/>
                <w:szCs w:val="21"/>
              </w:rPr>
            </w:pPr>
            <w:r>
              <w:rPr>
                <w:rFonts w:hint="eastAsia" w:ascii="宋体" w:hAnsi="宋体"/>
                <w:color w:val="000000"/>
                <w:szCs w:val="21"/>
              </w:rPr>
              <w:t>建造年代</w:t>
            </w:r>
          </w:p>
        </w:tc>
        <w:tc>
          <w:tcPr>
            <w:tcW w:w="116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hint="eastAsia" w:ascii="宋体" w:hAnsi="宋体"/>
                <w:color w:val="000000"/>
                <w:szCs w:val="21"/>
              </w:rPr>
            </w:pPr>
            <w:r>
              <w:rPr>
                <w:rFonts w:hint="eastAsia" w:ascii="宋体" w:hAnsi="宋体"/>
                <w:color w:val="000000"/>
                <w:szCs w:val="21"/>
              </w:rPr>
              <w:t>建筑面积</w:t>
            </w:r>
          </w:p>
        </w:tc>
        <w:tc>
          <w:tcPr>
            <w:tcW w:w="172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rFonts w:hint="eastAsia" w:ascii="宋体" w:hAnsi="宋体"/>
                <w:color w:val="000000"/>
                <w:szCs w:val="21"/>
              </w:rPr>
            </w:pPr>
            <w:r>
              <w:rPr>
                <w:rFonts w:hint="eastAsia" w:ascii="宋体" w:hAnsi="宋体"/>
                <w:color w:val="000000"/>
                <w:szCs w:val="21"/>
              </w:rPr>
              <w:t>所在层及总层数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11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olor w:val="000000"/>
                <w:szCs w:val="21"/>
                <w:lang w:eastAsia="zh-CN"/>
              </w:rPr>
            </w:pPr>
            <w:r>
              <w:rPr>
                <w:rFonts w:hint="eastAsia" w:ascii="宋体" w:hAnsi="宋体"/>
                <w:color w:val="000000"/>
                <w:szCs w:val="21"/>
                <w:lang w:eastAsia="zh-CN"/>
              </w:rPr>
              <w:t>张凤英</w:t>
            </w:r>
          </w:p>
        </w:tc>
        <w:tc>
          <w:tcPr>
            <w:tcW w:w="19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olor w:val="000000"/>
                <w:szCs w:val="21"/>
                <w:lang w:eastAsia="zh-CN"/>
              </w:rPr>
            </w:pPr>
            <w:r>
              <w:rPr>
                <w:rFonts w:hint="eastAsia" w:ascii="宋体" w:hAnsi="宋体"/>
                <w:color w:val="000000"/>
                <w:szCs w:val="21"/>
                <w:lang w:eastAsia="zh-CN"/>
              </w:rPr>
              <w:t>00021328</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szCs w:val="21"/>
              </w:rPr>
            </w:pPr>
            <w:r>
              <w:rPr>
                <w:rFonts w:hint="eastAsia" w:ascii="宋体" w:hAnsi="宋体"/>
                <w:color w:val="000000"/>
                <w:szCs w:val="21"/>
              </w:rPr>
              <w:t>住宅</w:t>
            </w:r>
          </w:p>
        </w:tc>
        <w:tc>
          <w:tcPr>
            <w:tcW w:w="11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olor w:val="000000"/>
                <w:szCs w:val="21"/>
                <w:lang w:eastAsia="zh-CN"/>
              </w:rPr>
            </w:pPr>
            <w:r>
              <w:rPr>
                <w:rFonts w:hint="eastAsia" w:ascii="宋体" w:hAnsi="宋体"/>
                <w:color w:val="000000"/>
                <w:szCs w:val="21"/>
                <w:lang w:eastAsia="zh-CN"/>
              </w:rPr>
              <w:t>混合结构</w:t>
            </w:r>
          </w:p>
        </w:tc>
        <w:tc>
          <w:tcPr>
            <w:tcW w:w="12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szCs w:val="21"/>
              </w:rPr>
            </w:pPr>
            <w:r>
              <w:rPr>
                <w:rFonts w:hint="eastAsia" w:ascii="宋体" w:hAnsi="宋体"/>
                <w:color w:val="000000"/>
                <w:szCs w:val="21"/>
                <w:lang w:val="en-US" w:eastAsia="zh-CN"/>
              </w:rPr>
              <w:t>1996年</w:t>
            </w:r>
          </w:p>
        </w:tc>
        <w:tc>
          <w:tcPr>
            <w:tcW w:w="11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olor w:val="000000"/>
                <w:szCs w:val="21"/>
              </w:rPr>
            </w:pPr>
            <w:r>
              <w:rPr>
                <w:rFonts w:hint="eastAsia" w:ascii="宋体" w:hAnsi="宋体"/>
                <w:color w:val="000000"/>
                <w:szCs w:val="21"/>
                <w:lang w:eastAsia="zh-CN"/>
              </w:rPr>
              <w:t>85.66</w:t>
            </w:r>
            <w:r>
              <w:rPr>
                <w:rFonts w:hint="eastAsia" w:ascii="宋体" w:hAnsi="宋体"/>
                <w:color w:val="000000"/>
                <w:szCs w:val="21"/>
              </w:rPr>
              <w:t>㎡</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olor w:val="000000"/>
                <w:szCs w:val="21"/>
                <w:lang w:eastAsia="zh-CN"/>
              </w:rPr>
            </w:pPr>
            <w:r>
              <w:rPr>
                <w:rFonts w:hint="eastAsia" w:ascii="宋体" w:hAnsi="宋体"/>
                <w:color w:val="000000"/>
                <w:szCs w:val="21"/>
                <w:lang w:eastAsia="zh-CN"/>
              </w:rPr>
              <w:t>4/6</w:t>
            </w:r>
          </w:p>
        </w:tc>
      </w:tr>
    </w:tbl>
    <w:p>
      <w:pPr>
        <w:spacing w:line="50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lang w:eastAsia="zh-CN"/>
        </w:rPr>
        <w:t>吴忠市利通区</w:t>
      </w:r>
      <w:r>
        <w:rPr>
          <w:rFonts w:hint="eastAsia" w:ascii="仿宋_GB2312" w:hAnsi="仿宋_GB2312" w:eastAsia="仿宋_GB2312" w:cs="仿宋_GB2312"/>
          <w:color w:val="000000"/>
          <w:sz w:val="28"/>
          <w:szCs w:val="28"/>
        </w:rPr>
        <w:t>早元路关马湖三号楼</w:t>
      </w:r>
      <w:r>
        <w:rPr>
          <w:rFonts w:hint="eastAsia" w:ascii="仿宋_GB2312" w:hAnsi="仿宋_GB2312" w:eastAsia="仿宋_GB2312" w:cs="仿宋_GB2312"/>
          <w:color w:val="000000"/>
          <w:sz w:val="28"/>
          <w:szCs w:val="28"/>
          <w:lang w:eastAsia="zh-CN"/>
        </w:rPr>
        <w:t>室内</w:t>
      </w:r>
      <w:r>
        <w:rPr>
          <w:rFonts w:hint="eastAsia" w:ascii="仿宋_GB2312" w:hAnsi="仿宋_GB2312" w:eastAsia="仿宋_GB2312" w:cs="仿宋_GB2312"/>
          <w:color w:val="000000"/>
          <w:sz w:val="28"/>
          <w:szCs w:val="28"/>
        </w:rPr>
        <w:t>家具、家电</w:t>
      </w:r>
      <w:r>
        <w:rPr>
          <w:rFonts w:hint="eastAsia" w:ascii="仿宋_GB2312" w:hAnsi="仿宋_GB2312" w:eastAsia="仿宋_GB2312" w:cs="仿宋_GB2312"/>
          <w:color w:val="000000"/>
          <w:sz w:val="28"/>
          <w:szCs w:val="28"/>
          <w:lang w:eastAsia="zh-CN"/>
        </w:rPr>
        <w:t>统计清单</w:t>
      </w:r>
    </w:p>
    <w:tbl>
      <w:tblPr>
        <w:tblStyle w:val="27"/>
        <w:tblW w:w="92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1"/>
        <w:gridCol w:w="2331"/>
        <w:gridCol w:w="1725"/>
        <w:gridCol w:w="1402"/>
        <w:gridCol w:w="1537"/>
        <w:gridCol w:w="825"/>
        <w:gridCol w:w="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产品名称</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规格型号</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存放位置</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购置年代（年）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单位</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三人沙发</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布皮</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单人沙发</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布皮</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1996年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饮水机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天乐牌</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1996年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电视机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茶几</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椅子</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电视平台</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电话</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座机</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部</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电风扇</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立式</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单人床</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北侧房间</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床头柜（内有电话）</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北侧房间</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玻璃桌面，不锈钢桌腿</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北侧房间</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椅子</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北侧房间</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双开门冰箱</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新飞牌</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北侧房间</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储物柜</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厨房</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抽油烟机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新时代牌</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厨房</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煤气灶</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双灶头</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厨房</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bl>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sectPr>
          <w:headerReference r:id="rId9" w:type="first"/>
          <w:headerReference r:id="rId8" w:type="default"/>
          <w:endnotePr>
            <w:numFmt w:val="decimal"/>
          </w:endnotePr>
          <w:pgSz w:w="11907" w:h="16840"/>
          <w:pgMar w:top="1134" w:right="1247" w:bottom="1090" w:left="1588" w:header="851" w:footer="680" w:gutter="0"/>
          <w:pgNumType w:start="0"/>
          <w:cols w:space="720" w:num="1"/>
          <w:titlePg/>
        </w:sectPr>
      </w:pPr>
    </w:p>
    <w:tbl>
      <w:tblPr>
        <w:tblStyle w:val="27"/>
        <w:tblW w:w="92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1"/>
        <w:gridCol w:w="2331"/>
        <w:gridCol w:w="1725"/>
        <w:gridCol w:w="1402"/>
        <w:gridCol w:w="1537"/>
        <w:gridCol w:w="825"/>
        <w:gridCol w:w="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梳妆镜</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亚克力壁挂式</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卫生间</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洗衣机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威力牌</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卫生间</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双人床</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写字台</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梳妆台</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椅子</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衣柜</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橱柜</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梳妆台</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双卡录音机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双人床</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衣柜</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木质（单组）</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小椅子</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木箱</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折叠椅</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缝纫机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阳台</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bl>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价值时点：</w:t>
      </w:r>
      <w:r>
        <w:rPr>
          <w:rFonts w:hint="eastAsia" w:ascii="仿宋_GB2312" w:hAnsi="仿宋_GB2312" w:eastAsia="仿宋_GB2312" w:cs="仿宋_GB2312"/>
          <w:sz w:val="28"/>
          <w:szCs w:val="28"/>
          <w:lang w:eastAsia="zh-CN"/>
        </w:rPr>
        <w:t>2022年7月27日</w:t>
      </w:r>
      <w:r>
        <w:rPr>
          <w:rFonts w:hint="eastAsia" w:ascii="仿宋_GB2312" w:hAnsi="仿宋_GB2312" w:eastAsia="仿宋_GB2312" w:cs="仿宋_GB2312"/>
          <w:sz w:val="28"/>
          <w:szCs w:val="28"/>
        </w:rPr>
        <w:t>（实地</w:t>
      </w:r>
      <w:r>
        <w:rPr>
          <w:rFonts w:hint="eastAsia" w:ascii="仿宋_GB2312" w:hAnsi="仿宋_GB2312" w:eastAsia="仿宋_GB2312" w:cs="仿宋_GB2312"/>
          <w:sz w:val="28"/>
        </w:rPr>
        <w:t>查勘日期</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48" w:firstLineChars="196"/>
        <w:textAlignment w:val="auto"/>
        <w:rPr>
          <w:rFonts w:hint="eastAsia" w:ascii="仿宋_GB2312" w:hAnsi="宋体" w:eastAsia="仿宋_GB2312"/>
          <w:sz w:val="28"/>
          <w:szCs w:val="28"/>
        </w:rPr>
      </w:pPr>
      <w:r>
        <w:rPr>
          <w:rFonts w:hint="eastAsia" w:ascii="仿宋_GB2312" w:hAnsi="宋体" w:eastAsia="仿宋_GB2312"/>
          <w:sz w:val="28"/>
          <w:szCs w:val="28"/>
        </w:rPr>
        <w:t>价值类型：</w:t>
      </w:r>
      <w:r>
        <w:rPr>
          <w:rFonts w:hint="eastAsia" w:ascii="仿宋_GB2312" w:hAnsi="仿宋" w:eastAsia="仿宋_GB2312"/>
          <w:sz w:val="28"/>
          <w:szCs w:val="28"/>
        </w:rPr>
        <w:t>本报告中的价值是在估价目的、价值时点条件下的公开市场价值标准。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估价方法：比较法、收益法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仿宋_GB2312"/>
          <w:sz w:val="28"/>
          <w:szCs w:val="28"/>
        </w:rPr>
      </w:pPr>
      <w:r>
        <w:rPr>
          <w:rFonts w:hint="eastAsia" w:ascii="仿宋_GB2312" w:hAnsi="仿宋_GB2312" w:eastAsia="仿宋_GB2312" w:cs="仿宋_GB2312"/>
          <w:sz w:val="28"/>
          <w:szCs w:val="28"/>
        </w:rPr>
        <w:t>分析说明：</w:t>
      </w:r>
      <w:r>
        <w:rPr>
          <w:rFonts w:hint="eastAsia" w:ascii="仿宋_GB2312" w:hAnsi="宋体" w:eastAsia="仿宋_GB2312"/>
          <w:sz w:val="28"/>
          <w:szCs w:val="28"/>
        </w:rPr>
        <w:t>估价人员通过实地查勘，认真分析调查收集到的资料，根据估价对象的实际</w:t>
      </w:r>
      <w:r>
        <w:rPr>
          <w:rFonts w:hint="eastAsia" w:ascii="宋体" w:hAnsi="宋体" w:eastAsia="仿宋_GB2312"/>
          <w:sz w:val="28"/>
          <w:szCs w:val="28"/>
        </w:rPr>
        <w:t>情况及特点，对照估价人员对该区域房地产市场状况的调查情况，结合本次评估目的，遵循房地产估价方法的确定原则认为：本项评估采用比较法及收益法两种估价方法进行评估。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宋体" w:eastAsia="仿宋_GB2312"/>
          <w:sz w:val="28"/>
          <w:szCs w:val="22"/>
        </w:rPr>
      </w:pPr>
      <w:r>
        <w:rPr>
          <w:rFonts w:hint="eastAsia" w:ascii="仿宋_GB2312" w:hAnsi="宋体" w:eastAsia="仿宋_GB2312"/>
          <w:sz w:val="28"/>
        </w:rPr>
        <w:t>通过对以上两种方法测算结果的分析，并经估价人员对房地产市场情况的调查，得出采用比较法测算结果更能客观反映本次估价对象当前房地产市场的真实价值，因此估价结果取比较法测算结果，收益法测算结果作</w:t>
      </w:r>
      <w:r>
        <w:rPr>
          <w:rFonts w:hint="eastAsia" w:ascii="仿宋_GB2312" w:hAnsi="宋体" w:eastAsia="仿宋_GB2312"/>
          <w:sz w:val="28"/>
          <w:szCs w:val="22"/>
        </w:rPr>
        <w:t>为本次估价的参考。</w:t>
      </w:r>
    </w:p>
    <w:p>
      <w:pPr>
        <w:keepNext w:val="0"/>
        <w:keepLines w:val="0"/>
        <w:pageBreakBefore w:val="0"/>
        <w:widowControl w:val="0"/>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仿宋_GB2312"/>
          <w:bCs/>
          <w:sz w:val="28"/>
          <w:szCs w:val="28"/>
        </w:rPr>
      </w:pPr>
      <w:r>
        <w:rPr>
          <w:rFonts w:hint="eastAsia" w:ascii="仿宋_GB2312" w:hAnsi="仿宋_GB2312" w:eastAsia="仿宋_GB2312" w:cs="仿宋_GB2312"/>
          <w:sz w:val="28"/>
          <w:szCs w:val="28"/>
        </w:rPr>
        <w:t>估价结果：</w:t>
      </w:r>
      <w:r>
        <w:rPr>
          <w:rFonts w:hint="eastAsia" w:ascii="仿宋_GB2312" w:hAnsi="仿宋_GB2312" w:eastAsia="仿宋_GB2312" w:cs="仿宋_GB2312"/>
          <w:bCs/>
          <w:sz w:val="28"/>
          <w:szCs w:val="28"/>
        </w:rPr>
        <w:t>估价对象在价值时点的估价结果如下（详见“估价对象及估价结果一览表”</w:t>
      </w:r>
      <w:r>
        <w:rPr>
          <w:rFonts w:hint="eastAsia" w:ascii="宋体" w:hAnsi="宋体" w:eastAsia="仿宋_GB2312"/>
          <w:bCs/>
          <w:sz w:val="28"/>
          <w:szCs w:val="28"/>
        </w:rPr>
        <w:t>）。</w:t>
      </w:r>
    </w:p>
    <w:p>
      <w:pPr>
        <w:keepNext w:val="0"/>
        <w:keepLines w:val="0"/>
        <w:pageBreakBefore w:val="0"/>
        <w:widowControl w:val="0"/>
        <w:kinsoku/>
        <w:wordWrap/>
        <w:overflowPunct/>
        <w:topLinePunct w:val="0"/>
        <w:autoSpaceDE/>
        <w:autoSpaceDN/>
        <w:bidi w:val="0"/>
        <w:adjustRightInd/>
        <w:snapToGrid/>
        <w:spacing w:line="480" w:lineRule="atLeast"/>
        <w:ind w:firstLine="551" w:firstLineChars="196"/>
        <w:textAlignment w:val="auto"/>
        <w:rPr>
          <w:rFonts w:hint="eastAsia" w:ascii="仿宋_GB2312" w:hAnsi="仿宋_GB2312" w:eastAsia="仿宋_GB2312" w:cs="仿宋_GB2312"/>
          <w:b/>
          <w:bCs/>
          <w:sz w:val="28"/>
          <w:szCs w:val="28"/>
        </w:rPr>
        <w:sectPr>
          <w:headerReference r:id="rId11" w:type="first"/>
          <w:headerReference r:id="rId10" w:type="default"/>
          <w:endnotePr>
            <w:numFmt w:val="decimal"/>
          </w:endnotePr>
          <w:pgSz w:w="11907" w:h="16840"/>
          <w:pgMar w:top="1134" w:right="1247" w:bottom="1090" w:left="1588" w:header="851" w:footer="680" w:gutter="0"/>
          <w:pgNumType w:start="0"/>
          <w:cols w:space="720" w:num="1"/>
          <w:titlePg/>
        </w:sectPr>
      </w:pPr>
    </w:p>
    <w:p>
      <w:pPr>
        <w:keepNext w:val="0"/>
        <w:keepLines w:val="0"/>
        <w:pageBreakBefore w:val="0"/>
        <w:widowControl w:val="0"/>
        <w:kinsoku/>
        <w:wordWrap/>
        <w:overflowPunct/>
        <w:topLinePunct w:val="0"/>
        <w:autoSpaceDE/>
        <w:autoSpaceDN/>
        <w:bidi w:val="0"/>
        <w:adjustRightInd/>
        <w:snapToGrid/>
        <w:spacing w:line="480" w:lineRule="atLeast"/>
        <w:ind w:firstLine="551" w:firstLineChars="196"/>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
          <w:bCs/>
          <w:sz w:val="28"/>
          <w:szCs w:val="28"/>
        </w:rPr>
        <w:t>估价对象市场价值</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color w:val="auto"/>
          <w:sz w:val="28"/>
          <w:szCs w:val="28"/>
        </w:rPr>
        <w:t>总价RMB</w:t>
      </w:r>
      <w:r>
        <w:rPr>
          <w:rFonts w:hint="eastAsia" w:ascii="仿宋_GB2312" w:hAnsi="(使用中文字体)" w:eastAsia="仿宋_GB2312"/>
          <w:color w:val="auto"/>
          <w:sz w:val="28"/>
          <w:lang w:val="en-US" w:eastAsia="zh-CN"/>
        </w:rPr>
        <w:t>361032</w:t>
      </w:r>
      <w:r>
        <w:rPr>
          <w:rFonts w:hint="eastAsia" w:ascii="仿宋_GB2312" w:hAnsi="仿宋_GB2312" w:eastAsia="仿宋_GB2312" w:cs="仿宋_GB2312"/>
          <w:color w:val="auto"/>
          <w:sz w:val="28"/>
          <w:szCs w:val="28"/>
        </w:rPr>
        <w:t>元，大写(人民币)：</w:t>
      </w:r>
      <w:r>
        <w:rPr>
          <w:rFonts w:hint="eastAsia" w:ascii="仿宋_GB2312" w:hAnsi="仿宋_GB2312" w:eastAsia="仿宋_GB2312" w:cs="仿宋_GB2312"/>
          <w:color w:val="auto"/>
          <w:sz w:val="28"/>
          <w:szCs w:val="28"/>
          <w:lang w:eastAsia="zh-CN"/>
        </w:rPr>
        <w:t>叁拾陆万壹仟零叁拾贰元整</w:t>
      </w:r>
      <w:r>
        <w:rPr>
          <w:rFonts w:hint="eastAsia" w:ascii="宋体" w:hAnsi="宋体" w:eastAsia="仿宋_GB2312" w:cs="宋体"/>
          <w:color w:val="auto"/>
          <w:sz w:val="28"/>
          <w:szCs w:val="28"/>
        </w:rPr>
        <w:t>。</w:t>
      </w:r>
    </w:p>
    <w:p>
      <w:pPr>
        <w:spacing w:line="440" w:lineRule="atLeast"/>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sz w:val="28"/>
          <w:szCs w:val="28"/>
        </w:rPr>
        <w:t>估价对象及估价结果一览表</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2265"/>
        <w:gridCol w:w="1968"/>
        <w:gridCol w:w="150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b/>
                <w:color w:val="000000"/>
                <w:szCs w:val="21"/>
              </w:rPr>
            </w:pPr>
            <w:r>
              <w:rPr>
                <w:rFonts w:hint="eastAsia" w:ascii="宋体" w:hAnsi="宋体" w:cs="仿宋_GB2312"/>
                <w:b/>
                <w:color w:val="000000"/>
                <w:szCs w:val="21"/>
              </w:rPr>
              <w:t>房屋所有权人</w:t>
            </w:r>
          </w:p>
        </w:tc>
        <w:tc>
          <w:tcPr>
            <w:tcW w:w="22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_GB2312"/>
                <w:b/>
                <w:color w:val="000000"/>
                <w:szCs w:val="21"/>
              </w:rPr>
            </w:pPr>
            <w:r>
              <w:rPr>
                <w:rFonts w:hint="eastAsia" w:ascii="宋体" w:hAnsi="宋体" w:cs="仿宋_GB2312"/>
                <w:b/>
                <w:color w:val="000000"/>
                <w:szCs w:val="21"/>
              </w:rPr>
              <w:t>产权证号</w:t>
            </w:r>
          </w:p>
        </w:tc>
        <w:tc>
          <w:tcPr>
            <w:tcW w:w="1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b/>
                <w:color w:val="000000"/>
                <w:szCs w:val="21"/>
              </w:rPr>
            </w:pPr>
            <w:r>
              <w:rPr>
                <w:rFonts w:hint="eastAsia" w:ascii="宋体" w:hAnsi="宋体" w:cs="仿宋_GB2312"/>
                <w:b/>
                <w:color w:val="000000"/>
                <w:szCs w:val="21"/>
              </w:rPr>
              <w:t>规划用途</w:t>
            </w:r>
          </w:p>
        </w:tc>
        <w:tc>
          <w:tcPr>
            <w:tcW w:w="15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b/>
                <w:color w:val="000000"/>
                <w:szCs w:val="21"/>
              </w:rPr>
            </w:pPr>
            <w:r>
              <w:rPr>
                <w:rFonts w:hint="eastAsia" w:ascii="宋体" w:hAnsi="宋体" w:cs="仿宋_GB2312"/>
                <w:b/>
                <w:color w:val="000000"/>
                <w:szCs w:val="21"/>
              </w:rPr>
              <w:t>房屋结构</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b/>
                <w:color w:val="000000"/>
                <w:szCs w:val="21"/>
              </w:rPr>
            </w:pPr>
            <w:r>
              <w:rPr>
                <w:rFonts w:hint="eastAsia" w:ascii="宋体" w:hAnsi="宋体" w:cs="仿宋_GB2312"/>
                <w:b/>
                <w:color w:val="000000"/>
                <w:szCs w:val="21"/>
              </w:rPr>
              <w:t>建造年代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仿宋_GB2312"/>
                <w:b/>
                <w:color w:val="000000"/>
                <w:szCs w:val="21"/>
                <w:lang w:eastAsia="zh-CN"/>
              </w:rPr>
            </w:pPr>
            <w:r>
              <w:rPr>
                <w:rFonts w:hint="eastAsia" w:ascii="宋体" w:hAnsi="宋体" w:cs="仿宋_GB2312"/>
                <w:color w:val="000000"/>
                <w:szCs w:val="21"/>
                <w:lang w:eastAsia="zh-CN"/>
              </w:rPr>
              <w:t>张凤英</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仿宋_GB2312"/>
                <w:color w:val="000000"/>
                <w:szCs w:val="21"/>
                <w:lang w:eastAsia="zh-CN"/>
              </w:rPr>
            </w:pPr>
            <w:r>
              <w:rPr>
                <w:rFonts w:hint="eastAsia" w:ascii="宋体" w:hAnsi="宋体"/>
                <w:color w:val="000000"/>
                <w:szCs w:val="21"/>
                <w:lang w:eastAsia="zh-CN"/>
              </w:rPr>
              <w:t>00021328</w:t>
            </w:r>
          </w:p>
        </w:tc>
        <w:tc>
          <w:tcPr>
            <w:tcW w:w="1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color w:val="000000"/>
                <w:szCs w:val="21"/>
              </w:rPr>
            </w:pPr>
            <w:r>
              <w:rPr>
                <w:rFonts w:hint="eastAsia" w:ascii="宋体" w:hAnsi="宋体" w:cs="仿宋_GB2312"/>
                <w:color w:val="000000"/>
                <w:szCs w:val="21"/>
              </w:rPr>
              <w:t>住宅</w:t>
            </w:r>
          </w:p>
        </w:tc>
        <w:tc>
          <w:tcPr>
            <w:tcW w:w="15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仿宋_GB2312"/>
                <w:color w:val="000000"/>
                <w:szCs w:val="21"/>
                <w:lang w:eastAsia="zh-CN"/>
              </w:rPr>
            </w:pPr>
            <w:r>
              <w:rPr>
                <w:rFonts w:hint="eastAsia" w:ascii="宋体" w:hAnsi="宋体" w:cs="仿宋_GB2312"/>
                <w:color w:val="000000"/>
                <w:szCs w:val="21"/>
                <w:lang w:eastAsia="zh-CN"/>
              </w:rPr>
              <w:t>混合结构</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color w:val="000000"/>
                <w:szCs w:val="21"/>
              </w:rPr>
            </w:pPr>
            <w:r>
              <w:rPr>
                <w:rFonts w:hint="eastAsia" w:ascii="宋体" w:hAnsi="宋体" w:cs="仿宋_GB2312"/>
                <w:color w:val="000000"/>
                <w:szCs w:val="21"/>
                <w:lang w:val="en-US" w:eastAsia="zh-CN"/>
              </w:rPr>
              <w:t>1996年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b/>
                <w:color w:val="000000"/>
                <w:szCs w:val="21"/>
              </w:rPr>
            </w:pPr>
            <w:r>
              <w:rPr>
                <w:rFonts w:hint="eastAsia" w:ascii="宋体" w:hAnsi="宋体" w:cs="仿宋_GB2312"/>
                <w:b/>
                <w:color w:val="000000"/>
                <w:szCs w:val="21"/>
              </w:rPr>
              <w:t>总层数</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b/>
                <w:color w:val="000000"/>
                <w:szCs w:val="21"/>
              </w:rPr>
            </w:pPr>
            <w:r>
              <w:rPr>
                <w:rFonts w:hint="eastAsia" w:ascii="宋体" w:hAnsi="宋体" w:cs="仿宋_GB2312"/>
                <w:b/>
                <w:color w:val="000000"/>
                <w:szCs w:val="21"/>
              </w:rPr>
              <w:t>所在层</w:t>
            </w:r>
          </w:p>
        </w:tc>
        <w:tc>
          <w:tcPr>
            <w:tcW w:w="1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b/>
                <w:color w:val="000000"/>
                <w:szCs w:val="21"/>
              </w:rPr>
            </w:pPr>
            <w:r>
              <w:rPr>
                <w:rFonts w:hint="eastAsia" w:ascii="宋体" w:hAnsi="宋体" w:cs="仿宋_GB2312"/>
                <w:b/>
                <w:color w:val="000000"/>
                <w:szCs w:val="21"/>
              </w:rPr>
              <w:t>建筑面积</w:t>
            </w:r>
          </w:p>
        </w:tc>
        <w:tc>
          <w:tcPr>
            <w:tcW w:w="15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b/>
                <w:color w:val="000000"/>
                <w:szCs w:val="21"/>
              </w:rPr>
            </w:pPr>
            <w:r>
              <w:rPr>
                <w:rFonts w:hint="eastAsia" w:ascii="宋体" w:hAnsi="宋体" w:cs="仿宋_GB2312"/>
                <w:b/>
                <w:color w:val="000000"/>
                <w:szCs w:val="21"/>
              </w:rPr>
              <w:t>单价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b/>
                <w:color w:val="000000"/>
                <w:szCs w:val="21"/>
              </w:rPr>
            </w:pPr>
            <w:r>
              <w:rPr>
                <w:rFonts w:hint="eastAsia" w:ascii="宋体" w:hAnsi="宋体" w:cs="仿宋_GB2312"/>
                <w:b/>
                <w:color w:val="000000"/>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color w:val="000000"/>
                <w:szCs w:val="21"/>
              </w:rPr>
            </w:pPr>
            <w:r>
              <w:rPr>
                <w:rFonts w:hint="eastAsia" w:ascii="宋体" w:hAnsi="宋体" w:cs="仿宋_GB2312"/>
                <w:color w:val="000000"/>
                <w:szCs w:val="21"/>
                <w:lang w:val="en-US" w:eastAsia="zh-CN"/>
              </w:rPr>
              <w:t>6层</w:t>
            </w:r>
          </w:p>
        </w:tc>
        <w:tc>
          <w:tcPr>
            <w:tcW w:w="22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仿宋_GB2312"/>
                <w:color w:val="auto"/>
                <w:szCs w:val="21"/>
                <w:lang w:eastAsia="zh-CN"/>
              </w:rPr>
            </w:pPr>
            <w:r>
              <w:rPr>
                <w:rFonts w:hint="eastAsia" w:ascii="宋体" w:hAnsi="宋体" w:cs="仿宋_GB2312"/>
                <w:color w:val="auto"/>
                <w:szCs w:val="21"/>
                <w:lang w:val="en-US" w:eastAsia="zh-CN"/>
              </w:rPr>
              <w:t>4层</w:t>
            </w:r>
          </w:p>
        </w:tc>
        <w:tc>
          <w:tcPr>
            <w:tcW w:w="1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color w:val="auto"/>
                <w:szCs w:val="21"/>
              </w:rPr>
            </w:pPr>
            <w:r>
              <w:rPr>
                <w:rFonts w:hint="eastAsia" w:ascii="宋体" w:hAnsi="宋体" w:cs="仿宋_GB2312"/>
                <w:color w:val="auto"/>
                <w:szCs w:val="21"/>
                <w:lang w:eastAsia="zh-CN"/>
              </w:rPr>
              <w:t>85.66</w:t>
            </w:r>
            <w:r>
              <w:rPr>
                <w:rFonts w:hint="eastAsia" w:ascii="宋体" w:hAnsi="宋体" w:cs="仿宋_GB2312"/>
                <w:color w:val="auto"/>
                <w:szCs w:val="21"/>
              </w:rPr>
              <w:t>㎡</w:t>
            </w:r>
          </w:p>
        </w:tc>
        <w:tc>
          <w:tcPr>
            <w:tcW w:w="15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color w:val="auto"/>
                <w:szCs w:val="21"/>
              </w:rPr>
            </w:pPr>
            <w:r>
              <w:rPr>
                <w:rFonts w:hint="eastAsia" w:ascii="宋体" w:hAnsi="宋体" w:cs="仿宋_GB2312"/>
                <w:color w:val="auto"/>
                <w:szCs w:val="21"/>
                <w:lang w:eastAsia="zh-CN"/>
              </w:rPr>
              <w:t>4207</w:t>
            </w:r>
            <w:r>
              <w:rPr>
                <w:rFonts w:hint="eastAsia" w:ascii="宋体" w:hAnsi="宋体" w:cs="仿宋_GB2312"/>
                <w:color w:val="auto"/>
                <w:szCs w:val="21"/>
              </w:rPr>
              <w:t>元/㎡</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仿宋_GB2312"/>
                <w:color w:val="auto"/>
                <w:szCs w:val="21"/>
              </w:rPr>
            </w:pPr>
            <w:r>
              <w:rPr>
                <w:rFonts w:hint="eastAsia" w:ascii="宋体" w:hAnsi="宋体" w:cs="仿宋_GB2312"/>
                <w:color w:val="auto"/>
                <w:szCs w:val="21"/>
                <w:lang w:eastAsia="zh-CN"/>
              </w:rPr>
              <w:t>360372</w:t>
            </w:r>
            <w:r>
              <w:rPr>
                <w:rFonts w:hint="eastAsia" w:ascii="宋体" w:hAnsi="宋体" w:cs="仿宋_GB2312"/>
                <w:color w:val="auto"/>
                <w:szCs w:val="21"/>
              </w:rPr>
              <w:t>元</w:t>
            </w:r>
          </w:p>
        </w:tc>
      </w:tr>
    </w:tbl>
    <w:p>
      <w:pPr>
        <w:spacing w:beforeLines="100" w:line="440" w:lineRule="exact"/>
        <w:ind w:right="28"/>
        <w:rPr>
          <w:rFonts w:hint="eastAsia" w:ascii="仿宋_GB2312" w:eastAsia="仿宋_GB2312"/>
          <w:b/>
          <w:bCs/>
          <w:color w:val="auto"/>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hAnsi="仿宋_GB2312" w:eastAsia="仿宋_GB2312" w:cs="仿宋_GB2312"/>
          <w:b/>
          <w:bCs/>
          <w:color w:val="auto"/>
          <w:sz w:val="28"/>
          <w:szCs w:val="28"/>
          <w:lang w:eastAsia="zh-CN"/>
        </w:rPr>
        <w:t>吴忠市利通区</w:t>
      </w:r>
      <w:r>
        <w:rPr>
          <w:rFonts w:hint="eastAsia" w:ascii="仿宋_GB2312" w:hAnsi="仿宋_GB2312" w:eastAsia="仿宋_GB2312" w:cs="仿宋_GB2312"/>
          <w:b/>
          <w:bCs/>
          <w:color w:val="auto"/>
          <w:sz w:val="28"/>
          <w:szCs w:val="28"/>
        </w:rPr>
        <w:t>早元路关马湖三号楼</w:t>
      </w:r>
      <w:r>
        <w:rPr>
          <w:rFonts w:hint="eastAsia" w:ascii="仿宋_GB2312" w:hAnsi="仿宋_GB2312" w:eastAsia="仿宋_GB2312" w:cs="仿宋_GB2312"/>
          <w:b/>
          <w:bCs/>
          <w:color w:val="auto"/>
          <w:sz w:val="28"/>
          <w:szCs w:val="28"/>
          <w:lang w:eastAsia="zh-CN"/>
        </w:rPr>
        <w:t>室内</w:t>
      </w:r>
      <w:r>
        <w:rPr>
          <w:rFonts w:hint="eastAsia" w:ascii="仿宋_GB2312" w:hAnsi="仿宋_GB2312" w:eastAsia="仿宋_GB2312" w:cs="仿宋_GB2312"/>
          <w:b/>
          <w:bCs/>
          <w:color w:val="auto"/>
          <w:sz w:val="28"/>
          <w:szCs w:val="28"/>
        </w:rPr>
        <w:t>家具、家电评估结果明细表</w:t>
      </w:r>
    </w:p>
    <w:tbl>
      <w:tblPr>
        <w:tblStyle w:val="27"/>
        <w:tblW w:w="88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5"/>
        <w:gridCol w:w="1395"/>
        <w:gridCol w:w="1101"/>
        <w:gridCol w:w="1245"/>
        <w:gridCol w:w="1095"/>
        <w:gridCol w:w="765"/>
        <w:gridCol w:w="900"/>
        <w:gridCol w:w="90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产品名称</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规格型号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存放位置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购置年代（年）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2"/>
                <w:szCs w:val="22"/>
                <w:u w:val="none"/>
                <w:lang w:val="en-US" w:eastAsia="zh-CN" w:bidi="ar"/>
              </w:rPr>
              <w:t>评估</w:t>
            </w:r>
            <w:r>
              <w:rPr>
                <w:rFonts w:hint="eastAsia" w:ascii="宋体" w:hAnsi="宋体" w:eastAsia="宋体" w:cs="宋体"/>
                <w:b w:val="0"/>
                <w:bCs w:val="0"/>
                <w:i w:val="0"/>
                <w:iCs w:val="0"/>
                <w:color w:val="000000"/>
                <w:kern w:val="0"/>
                <w:sz w:val="22"/>
                <w:szCs w:val="22"/>
                <w:u w:val="none"/>
                <w:lang w:val="en-US" w:eastAsia="zh-CN" w:bidi="ar"/>
              </w:rPr>
              <w:t>单价（元）</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2"/>
                <w:szCs w:val="22"/>
                <w:u w:val="none"/>
                <w:lang w:val="en-US" w:eastAsia="zh-CN" w:bidi="ar"/>
              </w:rPr>
              <w:t>评估</w:t>
            </w:r>
            <w:r>
              <w:rPr>
                <w:rFonts w:hint="eastAsia" w:ascii="宋体" w:hAnsi="宋体" w:eastAsia="宋体" w:cs="宋体"/>
                <w:b w:val="0"/>
                <w:bCs w:val="0"/>
                <w:i w:val="0"/>
                <w:iCs w:val="0"/>
                <w:color w:val="000000"/>
                <w:kern w:val="0"/>
                <w:sz w:val="22"/>
                <w:szCs w:val="22"/>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三人沙发</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布皮</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单人沙发</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布皮</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1996年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饮水机</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天乐牌</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1996年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电视机</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茶几</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椅子</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电视平台</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电话</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座机</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部</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电风扇</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立式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单人床</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北侧房间</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床头柜</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（内有电话）</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北侧房间</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方桌</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玻璃桌面，不锈钢桌腿</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北侧房间</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椅子</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北侧房间</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双开门冰箱</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新飞牌</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北侧房间</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储物柜</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厨房</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抽油烟机</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新时代牌</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厨房</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煤气灶</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双灶头</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厨房</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梳妆镜</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亚克力壁挂式</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卫生间</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洗衣机</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威力牌</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卫生间</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（南侧）</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双人床</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60 </w:t>
            </w:r>
          </w:p>
        </w:tc>
      </w:tr>
    </w:tbl>
    <w:p>
      <w:pPr>
        <w:keepNext w:val="0"/>
        <w:keepLines w:val="0"/>
        <w:pageBreakBefore w:val="0"/>
        <w:widowControl w:val="0"/>
        <w:kinsoku/>
        <w:wordWrap/>
        <w:overflowPunct/>
        <w:topLinePunct w:val="0"/>
        <w:autoSpaceDE/>
        <w:autoSpaceDN/>
        <w:bidi w:val="0"/>
        <w:adjustRightInd/>
        <w:snapToGrid/>
        <w:spacing w:line="480" w:lineRule="atLeast"/>
        <w:ind w:firstLine="551" w:firstLineChars="196"/>
        <w:textAlignment w:val="auto"/>
        <w:rPr>
          <w:rFonts w:hint="eastAsia" w:ascii="仿宋_GB2312" w:hAnsi="仿宋_GB2312" w:eastAsia="仿宋_GB2312" w:cs="仿宋_GB2312"/>
          <w:b/>
          <w:bCs/>
          <w:sz w:val="28"/>
          <w:szCs w:val="28"/>
        </w:rPr>
        <w:sectPr>
          <w:endnotePr>
            <w:numFmt w:val="decimal"/>
          </w:endnotePr>
          <w:pgSz w:w="11907" w:h="16840"/>
          <w:pgMar w:top="1134" w:right="1247" w:bottom="1090" w:left="1588" w:header="851" w:footer="680" w:gutter="0"/>
          <w:pgNumType w:start="0"/>
          <w:cols w:space="720" w:num="1"/>
          <w:titlePg/>
        </w:sectPr>
      </w:pPr>
    </w:p>
    <w:tbl>
      <w:tblPr>
        <w:tblStyle w:val="27"/>
        <w:tblW w:w="88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5"/>
        <w:gridCol w:w="1395"/>
        <w:gridCol w:w="1101"/>
        <w:gridCol w:w="1245"/>
        <w:gridCol w:w="1095"/>
        <w:gridCol w:w="765"/>
        <w:gridCol w:w="900"/>
        <w:gridCol w:w="90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写字台</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梳妆台</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椅子</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衣柜</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橱柜</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梳妆台</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双卡录音机</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双人床</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次卧</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衣柜</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木质（单组）</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次卧</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小椅子</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次卧</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木箱</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次卧</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折叠椅</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次卧</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缝纫机</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阳台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34</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合计</w:t>
            </w:r>
          </w:p>
        </w:tc>
        <w:tc>
          <w:tcPr>
            <w:tcW w:w="11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1"/>
                <w:szCs w:val="21"/>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21"/>
                <w:szCs w:val="21"/>
                <w:u w:val="none"/>
                <w:lang w:val="en-US" w:eastAsia="zh-CN" w:bidi="ar"/>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660</w:t>
            </w:r>
          </w:p>
        </w:tc>
      </w:tr>
    </w:tbl>
    <w:p>
      <w:pPr>
        <w:spacing w:beforeLines="100" w:line="440" w:lineRule="exact"/>
        <w:ind w:right="28"/>
        <w:rPr>
          <w:rFonts w:hint="eastAsia" w:ascii="仿宋_GB2312" w:eastAsia="仿宋_GB2312"/>
          <w:color w:val="auto"/>
          <w:sz w:val="28"/>
          <w:szCs w:val="28"/>
        </w:rPr>
      </w:pPr>
      <w:r>
        <w:rPr>
          <w:rFonts w:hint="eastAsia" w:ascii="仿宋_GB2312" w:eastAsia="仿宋_GB2312"/>
          <w:sz w:val="28"/>
          <w:szCs w:val="28"/>
        </w:rPr>
        <w:t xml:space="preserve">  特别提示：</w:t>
      </w:r>
      <w:r>
        <w:rPr>
          <w:rFonts w:ascii="仿宋_GB2312" w:eastAsia="仿宋_GB2312"/>
          <w:sz w:val="28"/>
          <w:szCs w:val="28"/>
        </w:rPr>
        <w:t>(1)</w:t>
      </w:r>
      <w:r>
        <w:rPr>
          <w:rFonts w:hint="eastAsia" w:ascii="仿宋_GB2312" w:eastAsia="仿宋_GB2312"/>
          <w:sz w:val="28"/>
          <w:szCs w:val="28"/>
        </w:rPr>
        <w:t>估价结果不包括估价对象原有担保物权和其他法定优先受偿权。（2）估价结果没有扣除拍卖过程发生的处置费用和税金。（3）本估价结果不应作为价格实现的保证。（4）本估价报告使用期限为壹</w:t>
      </w:r>
      <w:r>
        <w:rPr>
          <w:rFonts w:hint="eastAsia" w:ascii="仿宋_GB2312" w:eastAsia="仿宋_GB2312"/>
          <w:color w:val="auto"/>
          <w:sz w:val="28"/>
          <w:szCs w:val="28"/>
        </w:rPr>
        <w:t>年（</w:t>
      </w:r>
      <w:r>
        <w:rPr>
          <w:rFonts w:hint="eastAsia" w:ascii="仿宋_GB2312" w:eastAsia="仿宋_GB2312"/>
          <w:color w:val="auto"/>
          <w:sz w:val="28"/>
          <w:szCs w:val="28"/>
          <w:lang w:eastAsia="zh-CN"/>
        </w:rPr>
        <w:t>自 2022年8月3日至2023年8月2日止</w:t>
      </w:r>
      <w:r>
        <w:rPr>
          <w:rFonts w:hint="eastAsia" w:ascii="仿宋_GB2312" w:eastAsia="仿宋_GB2312"/>
          <w:color w:val="auto"/>
          <w:sz w:val="28"/>
          <w:szCs w:val="28"/>
        </w:rPr>
        <w:t>）。（5）欲知详情，请阅读本估价报告全文。</w:t>
      </w:r>
    </w:p>
    <w:p>
      <w:pPr>
        <w:spacing w:line="440" w:lineRule="exact"/>
        <w:ind w:right="26"/>
        <w:rPr>
          <w:rFonts w:hint="eastAsia" w:ascii="宋体" w:hAnsi="宋体" w:eastAsia="仿宋_GB2312"/>
          <w:sz w:val="28"/>
        </w:rPr>
      </w:pPr>
    </w:p>
    <w:p>
      <w:pPr>
        <w:spacing w:line="440" w:lineRule="exact"/>
        <w:ind w:right="26"/>
        <w:rPr>
          <w:rFonts w:hint="eastAsia" w:ascii="宋体" w:hAnsi="宋体" w:eastAsia="仿宋_GB2312"/>
          <w:sz w:val="28"/>
        </w:rPr>
      </w:pPr>
    </w:p>
    <w:p>
      <w:pPr>
        <w:spacing w:line="440" w:lineRule="exact"/>
        <w:ind w:right="26"/>
        <w:rPr>
          <w:rFonts w:hint="eastAsia" w:ascii="宋体" w:hAnsi="宋体" w:eastAsia="仿宋_GB2312"/>
          <w:sz w:val="28"/>
        </w:rPr>
      </w:pPr>
    </w:p>
    <w:p>
      <w:pPr>
        <w:spacing w:line="440" w:lineRule="exact"/>
        <w:ind w:right="26"/>
        <w:rPr>
          <w:rFonts w:hint="eastAsia" w:ascii="宋体" w:hAnsi="宋体" w:eastAsia="仿宋_GB2312"/>
          <w:sz w:val="28"/>
        </w:rPr>
      </w:pPr>
    </w:p>
    <w:p>
      <w:pPr>
        <w:spacing w:line="440" w:lineRule="exact"/>
        <w:ind w:right="26"/>
        <w:rPr>
          <w:rFonts w:hint="eastAsia" w:ascii="宋体" w:hAnsi="宋体" w:eastAsia="仿宋_GB2312"/>
          <w:sz w:val="28"/>
        </w:rPr>
      </w:pPr>
    </w:p>
    <w:p>
      <w:pPr>
        <w:spacing w:line="440" w:lineRule="exact"/>
        <w:ind w:right="26"/>
        <w:rPr>
          <w:rFonts w:hint="eastAsia" w:ascii="宋体" w:hAnsi="宋体" w:eastAsia="仿宋_GB2312"/>
          <w:sz w:val="28"/>
        </w:rPr>
      </w:pPr>
    </w:p>
    <w:p>
      <w:pPr>
        <w:spacing w:line="440" w:lineRule="exact"/>
        <w:ind w:right="26"/>
        <w:rPr>
          <w:rFonts w:hint="eastAsia" w:ascii="宋体" w:hAnsi="宋体" w:eastAsia="仿宋_GB2312"/>
          <w:sz w:val="28"/>
        </w:rPr>
      </w:pPr>
    </w:p>
    <w:p>
      <w:pPr>
        <w:spacing w:line="440" w:lineRule="exact"/>
        <w:ind w:right="26"/>
        <w:rPr>
          <w:rFonts w:hint="eastAsia" w:ascii="宋体" w:hAnsi="宋体" w:eastAsia="仿宋_GB2312"/>
          <w:sz w:val="28"/>
        </w:rPr>
      </w:pPr>
    </w:p>
    <w:p>
      <w:pPr>
        <w:spacing w:line="440" w:lineRule="exact"/>
        <w:ind w:right="26"/>
        <w:rPr>
          <w:rFonts w:hint="eastAsia" w:ascii="宋体" w:hAnsi="宋体" w:eastAsia="仿宋_GB2312"/>
          <w:sz w:val="28"/>
          <w:szCs w:val="22"/>
        </w:rPr>
      </w:pPr>
      <w:r>
        <w:rPr>
          <w:rFonts w:hint="eastAsia" w:ascii="宋体" w:hAnsi="宋体" w:eastAsia="仿宋_GB2312"/>
          <w:sz w:val="28"/>
        </w:rPr>
        <w:t xml:space="preserve">法定代表人：           </w:t>
      </w:r>
      <w:r>
        <w:rPr>
          <w:rFonts w:hint="eastAsia" w:ascii="宋体" w:hAnsi="宋体" w:eastAsia="仿宋_GB2312"/>
          <w:sz w:val="28"/>
          <w:szCs w:val="22"/>
        </w:rPr>
        <w:t xml:space="preserve">  宁夏力天房地产土地资产评估咨询有限公司</w:t>
      </w:r>
    </w:p>
    <w:p>
      <w:pPr>
        <w:spacing w:line="440" w:lineRule="exact"/>
        <w:ind w:right="26"/>
        <w:rPr>
          <w:rFonts w:hint="eastAsia" w:ascii="宋体" w:hAnsi="宋体" w:eastAsia="仿宋_GB2312"/>
          <w:sz w:val="28"/>
          <w:szCs w:val="22"/>
          <w:lang w:eastAsia="zh-CN"/>
        </w:rPr>
      </w:pPr>
      <w:r>
        <w:rPr>
          <w:rFonts w:hint="eastAsia" w:ascii="宋体" w:hAnsi="宋体" w:eastAsia="仿宋_GB2312"/>
          <w:sz w:val="28"/>
          <w:szCs w:val="22"/>
        </w:rPr>
        <w:t xml:space="preserve">                               </w:t>
      </w:r>
      <w:r>
        <w:rPr>
          <w:rFonts w:hint="eastAsia" w:ascii="宋体" w:hAnsi="宋体" w:eastAsia="仿宋_GB2312"/>
          <w:color w:val="auto"/>
          <w:sz w:val="28"/>
          <w:szCs w:val="22"/>
        </w:rPr>
        <w:t xml:space="preserve">   </w:t>
      </w:r>
      <w:r>
        <w:rPr>
          <w:rFonts w:hint="eastAsia" w:ascii="宋体" w:hAnsi="宋体" w:eastAsia="仿宋_GB2312"/>
          <w:color w:val="auto"/>
          <w:sz w:val="28"/>
          <w:szCs w:val="22"/>
          <w:lang w:eastAsia="zh-CN"/>
        </w:rPr>
        <w:t>二〇二二年八月三日</w:t>
      </w:r>
    </w:p>
    <w:p>
      <w:pPr>
        <w:keepNext w:val="0"/>
        <w:keepLines w:val="0"/>
        <w:pageBreakBefore w:val="0"/>
        <w:widowControl w:val="0"/>
        <w:kinsoku/>
        <w:wordWrap/>
        <w:overflowPunct/>
        <w:topLinePunct w:val="0"/>
        <w:autoSpaceDE/>
        <w:autoSpaceDN/>
        <w:bidi w:val="0"/>
        <w:adjustRightInd/>
        <w:snapToGrid/>
        <w:spacing w:line="480" w:lineRule="atLeast"/>
        <w:ind w:firstLine="551" w:firstLineChars="196"/>
        <w:textAlignment w:val="auto"/>
        <w:rPr>
          <w:rFonts w:hint="eastAsia" w:ascii="仿宋_GB2312" w:hAnsi="仿宋_GB2312" w:eastAsia="仿宋_GB2312" w:cs="仿宋_GB2312"/>
          <w:b/>
          <w:bCs/>
          <w:sz w:val="28"/>
          <w:szCs w:val="28"/>
        </w:rPr>
        <w:sectPr>
          <w:endnotePr>
            <w:numFmt w:val="decimal"/>
          </w:endnotePr>
          <w:pgSz w:w="11907" w:h="16840"/>
          <w:pgMar w:top="1134" w:right="1247" w:bottom="1090" w:left="1588" w:header="851" w:footer="680" w:gutter="0"/>
          <w:pgNumType w:start="0"/>
          <w:cols w:space="720" w:num="1"/>
          <w:titlePg/>
        </w:sectPr>
      </w:pPr>
    </w:p>
    <w:p>
      <w:pPr>
        <w:rPr>
          <w:rFonts w:hint="eastAsia"/>
        </w:rPr>
      </w:pPr>
      <w:bookmarkStart w:id="8" w:name="_Toc265761754"/>
      <w:bookmarkStart w:id="9" w:name="_Toc266117000"/>
    </w:p>
    <w:p>
      <w:pPr>
        <w:pStyle w:val="17"/>
        <w:tabs>
          <w:tab w:val="right" w:leader="dot" w:pos="8778"/>
        </w:tabs>
        <w:rPr>
          <w:rFonts w:hint="eastAsia" w:eastAsia="仿宋_GB2312"/>
          <w:b/>
          <w:sz w:val="28"/>
        </w:rPr>
      </w:pPr>
      <w:r>
        <w:rPr>
          <w:rFonts w:hint="eastAsia" w:eastAsia="仿宋_GB2312"/>
          <w:sz w:val="44"/>
          <w:szCs w:val="44"/>
        </w:rPr>
        <w:t xml:space="preserve">                  </w:t>
      </w:r>
      <w:r>
        <w:rPr>
          <w:rFonts w:hint="eastAsia" w:eastAsia="仿宋_GB2312"/>
          <w:b/>
          <w:sz w:val="44"/>
          <w:szCs w:val="44"/>
        </w:rPr>
        <w:t>目    录</w:t>
      </w:r>
    </w:p>
    <w:p>
      <w:pPr>
        <w:pStyle w:val="17"/>
        <w:tabs>
          <w:tab w:val="right" w:leader="dot" w:pos="8778"/>
        </w:tabs>
        <w:spacing w:line="520" w:lineRule="exact"/>
        <w:rPr>
          <w:rFonts w:hint="eastAsia" w:ascii="仿宋_GB2312" w:hAnsi="仿宋_GB2312" w:eastAsia="仿宋_GB2312" w:cs="仿宋_GB2312"/>
          <w:sz w:val="28"/>
        </w:rPr>
      </w:pPr>
      <w:r>
        <w:rPr>
          <w:rFonts w:hint="eastAsia" w:ascii="仿宋_GB2312" w:hAnsi="仿宋_GB2312" w:eastAsia="仿宋_GB2312" w:cs="仿宋_GB2312"/>
          <w:sz w:val="28"/>
          <w:lang w:val="zh-CN"/>
        </w:rPr>
        <w:fldChar w:fldCharType="begin"/>
      </w:r>
      <w:r>
        <w:rPr>
          <w:rFonts w:hint="eastAsia" w:ascii="仿宋_GB2312" w:hAnsi="仿宋_GB2312" w:eastAsia="仿宋_GB2312" w:cs="仿宋_GB2312"/>
          <w:sz w:val="28"/>
          <w:lang w:val="zh-CN"/>
        </w:rPr>
        <w:instrText xml:space="preserve">TOC \o "1-3" \h \u </w:instrText>
      </w:r>
      <w:r>
        <w:rPr>
          <w:rFonts w:hint="eastAsia" w:ascii="仿宋_GB2312" w:hAnsi="仿宋_GB2312" w:eastAsia="仿宋_GB2312" w:cs="仿宋_GB2312"/>
          <w:sz w:val="28"/>
          <w:lang w:val="zh-CN"/>
        </w:rPr>
        <w:fldChar w:fldCharType="separate"/>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"_Toc425" </w:instrText>
      </w:r>
      <w:r>
        <w:fldChar w:fldCharType="separate"/>
      </w:r>
      <w:r>
        <w:rPr>
          <w:rFonts w:hint="eastAsia" w:ascii="仿宋_GB2312" w:hAnsi="仿宋_GB2312" w:eastAsia="仿宋_GB2312" w:cs="仿宋_GB2312"/>
          <w:b/>
          <w:bCs/>
          <w:sz w:val="28"/>
        </w:rPr>
        <w:t>估价师声明</w:t>
      </w:r>
      <w:r>
        <w:rPr>
          <w:rFonts w:hint="eastAsia" w:ascii="仿宋_GB2312" w:hAnsi="仿宋_GB2312" w:eastAsia="仿宋_GB2312" w:cs="仿宋_GB2312"/>
          <w:sz w:val="28"/>
        </w:rPr>
        <w:tab/>
      </w:r>
      <w:r>
        <w:rPr>
          <w:rFonts w:hint="eastAsia" w:ascii="仿宋_GB2312" w:hAnsi="仿宋_GB2312" w:eastAsia="仿宋_GB2312" w:cs="仿宋_GB2312"/>
          <w:sz w:val="28"/>
        </w:rPr>
        <w:t>1</w:t>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"_Toc4437" </w:instrText>
      </w:r>
      <w:r>
        <w:fldChar w:fldCharType="separate"/>
      </w:r>
      <w:r>
        <w:rPr>
          <w:rFonts w:hint="eastAsia" w:ascii="仿宋_GB2312" w:hAnsi="仿宋_GB2312" w:eastAsia="仿宋_GB2312" w:cs="仿宋_GB2312"/>
          <w:b/>
          <w:bCs/>
          <w:sz w:val="28"/>
        </w:rPr>
        <w:t>估价假设和限制条件</w:t>
      </w:r>
      <w:r>
        <w:rPr>
          <w:rFonts w:hint="eastAsia" w:ascii="仿宋_GB2312" w:hAnsi="仿宋_GB2312" w:eastAsia="仿宋_GB2312" w:cs="仿宋_GB2312"/>
          <w:sz w:val="28"/>
        </w:rPr>
        <w:tab/>
      </w:r>
      <w:r>
        <w:rPr>
          <w:rFonts w:hint="eastAsia" w:ascii="仿宋_GB2312" w:hAnsi="仿宋_GB2312" w:eastAsia="仿宋_GB2312" w:cs="仿宋_GB2312"/>
          <w:sz w:val="28"/>
        </w:rPr>
        <w:t>2</w:t>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"_Toc27459" </w:instrText>
      </w:r>
      <w:r>
        <w:fldChar w:fldCharType="separate"/>
      </w:r>
      <w:r>
        <w:rPr>
          <w:rFonts w:hint="eastAsia" w:ascii="仿宋_GB2312" w:hAnsi="仿宋_GB2312" w:eastAsia="仿宋_GB2312" w:cs="仿宋_GB2312"/>
          <w:sz w:val="28"/>
        </w:rPr>
        <w:t>一、估价假设条件</w:t>
      </w:r>
      <w:r>
        <w:rPr>
          <w:rFonts w:hint="eastAsia" w:ascii="仿宋_GB2312" w:hAnsi="仿宋_GB2312" w:eastAsia="仿宋_GB2312" w:cs="仿宋_GB2312"/>
          <w:sz w:val="28"/>
        </w:rPr>
        <w:tab/>
      </w:r>
      <w:r>
        <w:rPr>
          <w:rFonts w:hint="eastAsia" w:ascii="仿宋_GB2312" w:hAnsi="仿宋_GB2312" w:eastAsia="仿宋_GB2312" w:cs="仿宋_GB2312"/>
          <w:sz w:val="28"/>
        </w:rPr>
        <w:t>2</w:t>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rPr>
      </w:pPr>
      <w:r>
        <w:fldChar w:fldCharType="begin"/>
      </w:r>
      <w:r>
        <w:instrText xml:space="preserve"> HYPERLINK \l "_Toc23237" </w:instrText>
      </w:r>
      <w:r>
        <w:fldChar w:fldCharType="separate"/>
      </w:r>
      <w:r>
        <w:rPr>
          <w:rFonts w:hint="eastAsia" w:ascii="仿宋_GB2312" w:hAnsi="仿宋_GB2312" w:eastAsia="仿宋_GB2312" w:cs="仿宋_GB2312"/>
          <w:sz w:val="28"/>
        </w:rPr>
        <w:t>二、估价报告使用</w:t>
      </w:r>
      <w:r>
        <w:rPr>
          <w:rFonts w:hint="eastAsia" w:ascii="仿宋_GB2312" w:hAnsi="仿宋_GB2312" w:eastAsia="仿宋_GB2312" w:cs="仿宋_GB2312"/>
          <w:sz w:val="28"/>
        </w:rPr>
        <w:tab/>
      </w:r>
      <w:r>
        <w:rPr>
          <w:rFonts w:hint="eastAsia" w:ascii="仿宋_GB2312" w:hAnsi="仿宋_GB2312" w:eastAsia="仿宋_GB2312" w:cs="仿宋_GB2312"/>
          <w:sz w:val="28"/>
          <w:lang w:val="en-US" w:eastAsia="zh-CN"/>
        </w:rPr>
        <w:t>3</w:t>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"_Toc4437" </w:instrText>
      </w:r>
      <w:r>
        <w:fldChar w:fldCharType="separate"/>
      </w:r>
      <w:r>
        <w:rPr>
          <w:rFonts w:hint="eastAsia" w:ascii="仿宋_GB2312" w:hAnsi="仿宋_GB2312" w:eastAsia="仿宋_GB2312" w:cs="仿宋_GB2312"/>
          <w:b/>
          <w:bCs/>
          <w:sz w:val="28"/>
        </w:rPr>
        <w:t>估价结果报告</w:t>
      </w:r>
      <w:r>
        <w:rPr>
          <w:rFonts w:hint="eastAsia" w:ascii="仿宋_GB2312" w:hAnsi="仿宋_GB2312" w:eastAsia="仿宋_GB2312" w:cs="仿宋_GB2312"/>
          <w:sz w:val="28"/>
        </w:rPr>
        <w:tab/>
      </w: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PAGEREF _Toc4437 </w:instrText>
      </w:r>
      <w:r>
        <w:rPr>
          <w:rFonts w:hint="eastAsia" w:ascii="仿宋_GB2312" w:hAnsi="仿宋_GB2312" w:eastAsia="仿宋_GB2312" w:cs="仿宋_GB2312"/>
          <w:sz w:val="28"/>
        </w:rPr>
        <w:fldChar w:fldCharType="separate"/>
      </w:r>
      <w:r>
        <w:rPr>
          <w:rFonts w:hint="eastAsia" w:ascii="仿宋_GB2312" w:hAnsi="仿宋_GB2312" w:eastAsia="仿宋_GB2312" w:cs="仿宋_GB2312"/>
          <w:sz w:val="28"/>
        </w:rPr>
        <w:t>6</w:t>
      </w:r>
      <w:r>
        <w:rPr>
          <w:rFonts w:hint="eastAsia" w:ascii="仿宋_GB2312" w:hAnsi="仿宋_GB2312" w:eastAsia="仿宋_GB2312" w:cs="仿宋_GB2312"/>
          <w:sz w:val="28"/>
        </w:rPr>
        <w:fldChar w:fldCharType="end"/>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"_Toc27459" </w:instrText>
      </w:r>
      <w:r>
        <w:fldChar w:fldCharType="separate"/>
      </w:r>
      <w:r>
        <w:rPr>
          <w:rFonts w:hint="eastAsia" w:ascii="仿宋_GB2312" w:hAnsi="仿宋_GB2312" w:eastAsia="仿宋_GB2312" w:cs="仿宋_GB2312"/>
          <w:sz w:val="28"/>
        </w:rPr>
        <w:t>一、估价委托人</w:t>
      </w:r>
      <w:r>
        <w:rPr>
          <w:rFonts w:hint="eastAsia" w:ascii="仿宋_GB2312" w:hAnsi="仿宋_GB2312" w:eastAsia="仿宋_GB2312" w:cs="仿宋_GB2312"/>
          <w:sz w:val="28"/>
        </w:rPr>
        <w:tab/>
      </w: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PAGEREF _Toc27459 </w:instrText>
      </w:r>
      <w:r>
        <w:rPr>
          <w:rFonts w:hint="eastAsia" w:ascii="仿宋_GB2312" w:hAnsi="仿宋_GB2312" w:eastAsia="仿宋_GB2312" w:cs="仿宋_GB2312"/>
          <w:sz w:val="28"/>
        </w:rPr>
        <w:fldChar w:fldCharType="separate"/>
      </w:r>
      <w:r>
        <w:rPr>
          <w:rFonts w:hint="eastAsia" w:ascii="仿宋_GB2312" w:hAnsi="仿宋_GB2312" w:eastAsia="仿宋_GB2312" w:cs="仿宋_GB2312"/>
          <w:sz w:val="28"/>
        </w:rPr>
        <w:t>6</w:t>
      </w:r>
      <w:r>
        <w:rPr>
          <w:rFonts w:hint="eastAsia" w:ascii="仿宋_GB2312" w:hAnsi="仿宋_GB2312" w:eastAsia="仿宋_GB2312" w:cs="仿宋_GB2312"/>
          <w:sz w:val="28"/>
        </w:rPr>
        <w:fldChar w:fldCharType="end"/>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"_Toc23237" </w:instrText>
      </w:r>
      <w:r>
        <w:fldChar w:fldCharType="separate"/>
      </w:r>
      <w:r>
        <w:rPr>
          <w:rFonts w:hint="eastAsia" w:ascii="仿宋_GB2312" w:hAnsi="仿宋_GB2312" w:eastAsia="仿宋_GB2312" w:cs="仿宋_GB2312"/>
          <w:sz w:val="28"/>
        </w:rPr>
        <w:t>二、估价机构</w:t>
      </w:r>
      <w:r>
        <w:rPr>
          <w:rFonts w:hint="eastAsia" w:ascii="仿宋_GB2312" w:hAnsi="仿宋_GB2312" w:eastAsia="仿宋_GB2312" w:cs="仿宋_GB2312"/>
          <w:sz w:val="28"/>
        </w:rPr>
        <w:tab/>
      </w: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PAGEREF _Toc23237 </w:instrText>
      </w:r>
      <w:r>
        <w:rPr>
          <w:rFonts w:hint="eastAsia" w:ascii="仿宋_GB2312" w:hAnsi="仿宋_GB2312" w:eastAsia="仿宋_GB2312" w:cs="仿宋_GB2312"/>
          <w:sz w:val="28"/>
        </w:rPr>
        <w:fldChar w:fldCharType="separate"/>
      </w:r>
      <w:r>
        <w:rPr>
          <w:rFonts w:hint="eastAsia" w:ascii="仿宋_GB2312" w:hAnsi="仿宋_GB2312" w:eastAsia="仿宋_GB2312" w:cs="仿宋_GB2312"/>
          <w:sz w:val="28"/>
        </w:rPr>
        <w:t>6</w:t>
      </w:r>
      <w:r>
        <w:rPr>
          <w:rFonts w:hint="eastAsia" w:ascii="仿宋_GB2312" w:hAnsi="仿宋_GB2312" w:eastAsia="仿宋_GB2312" w:cs="仿宋_GB2312"/>
          <w:sz w:val="28"/>
        </w:rPr>
        <w:fldChar w:fldCharType="end"/>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"_Toc20815" </w:instrText>
      </w:r>
      <w:r>
        <w:fldChar w:fldCharType="separate"/>
      </w:r>
      <w:r>
        <w:rPr>
          <w:rFonts w:hint="eastAsia" w:ascii="仿宋_GB2312" w:hAnsi="仿宋_GB2312" w:eastAsia="仿宋_GB2312" w:cs="仿宋_GB2312"/>
          <w:sz w:val="28"/>
        </w:rPr>
        <w:t>三、估价目的</w:t>
      </w:r>
      <w:r>
        <w:rPr>
          <w:rFonts w:hint="eastAsia" w:ascii="仿宋_GB2312" w:hAnsi="仿宋_GB2312" w:eastAsia="仿宋_GB2312" w:cs="仿宋_GB2312"/>
          <w:sz w:val="28"/>
        </w:rPr>
        <w:tab/>
      </w: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PAGEREF _Toc20815 </w:instrText>
      </w:r>
      <w:r>
        <w:rPr>
          <w:rFonts w:hint="eastAsia" w:ascii="仿宋_GB2312" w:hAnsi="仿宋_GB2312" w:eastAsia="仿宋_GB2312" w:cs="仿宋_GB2312"/>
          <w:sz w:val="28"/>
        </w:rPr>
        <w:fldChar w:fldCharType="separate"/>
      </w:r>
      <w:r>
        <w:rPr>
          <w:rFonts w:hint="eastAsia" w:ascii="仿宋_GB2312" w:hAnsi="仿宋_GB2312" w:eastAsia="仿宋_GB2312" w:cs="仿宋_GB2312"/>
          <w:sz w:val="28"/>
        </w:rPr>
        <w:t>6</w:t>
      </w:r>
      <w:r>
        <w:rPr>
          <w:rFonts w:hint="eastAsia" w:ascii="仿宋_GB2312" w:hAnsi="仿宋_GB2312" w:eastAsia="仿宋_GB2312" w:cs="仿宋_GB2312"/>
          <w:sz w:val="28"/>
        </w:rPr>
        <w:fldChar w:fldCharType="end"/>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"_Toc10159" </w:instrText>
      </w:r>
      <w:r>
        <w:fldChar w:fldCharType="separate"/>
      </w:r>
      <w:r>
        <w:rPr>
          <w:rFonts w:hint="eastAsia" w:ascii="仿宋_GB2312" w:hAnsi="仿宋_GB2312" w:eastAsia="仿宋_GB2312" w:cs="仿宋_GB2312"/>
          <w:sz w:val="28"/>
        </w:rPr>
        <w:t>四、估价对象</w:t>
      </w:r>
      <w:r>
        <w:rPr>
          <w:rFonts w:hint="eastAsia" w:ascii="仿宋_GB2312" w:hAnsi="仿宋_GB2312" w:eastAsia="仿宋_GB2312" w:cs="仿宋_GB2312"/>
          <w:sz w:val="28"/>
        </w:rPr>
        <w:tab/>
      </w: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PAGEREF _Toc10159 </w:instrText>
      </w:r>
      <w:r>
        <w:rPr>
          <w:rFonts w:hint="eastAsia" w:ascii="仿宋_GB2312" w:hAnsi="仿宋_GB2312" w:eastAsia="仿宋_GB2312" w:cs="仿宋_GB2312"/>
          <w:sz w:val="28"/>
        </w:rPr>
        <w:fldChar w:fldCharType="separate"/>
      </w:r>
      <w:r>
        <w:rPr>
          <w:rFonts w:hint="eastAsia" w:ascii="仿宋_GB2312" w:hAnsi="仿宋_GB2312" w:eastAsia="仿宋_GB2312" w:cs="仿宋_GB2312"/>
          <w:sz w:val="28"/>
        </w:rPr>
        <w:t>6</w:t>
      </w:r>
      <w:r>
        <w:rPr>
          <w:rFonts w:hint="eastAsia" w:ascii="仿宋_GB2312" w:hAnsi="仿宋_GB2312" w:eastAsia="仿宋_GB2312" w:cs="仿宋_GB2312"/>
          <w:sz w:val="28"/>
        </w:rPr>
        <w:fldChar w:fldCharType="end"/>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"_Toc6917" </w:instrText>
      </w:r>
      <w:r>
        <w:fldChar w:fldCharType="separate"/>
      </w:r>
      <w:r>
        <w:rPr>
          <w:rFonts w:hint="eastAsia" w:ascii="仿宋_GB2312" w:hAnsi="仿宋_GB2312" w:eastAsia="仿宋_GB2312" w:cs="仿宋_GB2312"/>
          <w:sz w:val="28"/>
        </w:rPr>
        <w:t>五、价值时点</w:t>
      </w:r>
      <w:r>
        <w:rPr>
          <w:rFonts w:hint="eastAsia" w:ascii="仿宋_GB2312" w:hAnsi="仿宋_GB2312" w:eastAsia="仿宋_GB2312" w:cs="仿宋_GB2312"/>
          <w:sz w:val="28"/>
        </w:rPr>
        <w:tab/>
      </w:r>
      <w:r>
        <w:rPr>
          <w:rFonts w:hint="eastAsia" w:ascii="仿宋_GB2312" w:hAnsi="仿宋_GB2312" w:eastAsia="仿宋_GB2312" w:cs="仿宋_GB2312"/>
          <w:sz w:val="28"/>
          <w:lang w:val="en-US" w:eastAsia="zh-CN"/>
        </w:rPr>
        <w:t>9</w:t>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"_Toc12370" </w:instrText>
      </w:r>
      <w:r>
        <w:fldChar w:fldCharType="separate"/>
      </w:r>
      <w:r>
        <w:rPr>
          <w:rFonts w:hint="eastAsia" w:ascii="仿宋_GB2312" w:hAnsi="仿宋_GB2312" w:eastAsia="仿宋_GB2312" w:cs="仿宋_GB2312"/>
          <w:sz w:val="28"/>
        </w:rPr>
        <w:t>六、价值类型</w:t>
      </w:r>
      <w:r>
        <w:rPr>
          <w:rFonts w:hint="eastAsia" w:ascii="仿宋_GB2312" w:hAnsi="仿宋_GB2312" w:eastAsia="仿宋_GB2312" w:cs="仿宋_GB2312"/>
          <w:sz w:val="28"/>
        </w:rPr>
        <w:tab/>
      </w:r>
      <w:r>
        <w:rPr>
          <w:rFonts w:hint="eastAsia" w:ascii="仿宋_GB2312" w:hAnsi="仿宋_GB2312" w:eastAsia="仿宋_GB2312" w:cs="仿宋_GB2312"/>
          <w:sz w:val="28"/>
          <w:lang w:val="en-US" w:eastAsia="zh-CN"/>
        </w:rPr>
        <w:t>9</w:t>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"_Toc27240" </w:instrText>
      </w:r>
      <w:r>
        <w:fldChar w:fldCharType="separate"/>
      </w:r>
      <w:r>
        <w:rPr>
          <w:rFonts w:hint="eastAsia" w:ascii="仿宋_GB2312" w:hAnsi="仿宋_GB2312" w:eastAsia="仿宋_GB2312" w:cs="仿宋_GB2312"/>
          <w:sz w:val="28"/>
        </w:rPr>
        <w:t>七、估价原则</w:t>
      </w:r>
      <w:r>
        <w:rPr>
          <w:rFonts w:hint="eastAsia" w:ascii="仿宋_GB2312" w:hAnsi="仿宋_GB2312" w:eastAsia="仿宋_GB2312" w:cs="仿宋_GB2312"/>
          <w:sz w:val="28"/>
        </w:rPr>
        <w:tab/>
      </w: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PAGEREF _Toc27240 </w:instrText>
      </w:r>
      <w:r>
        <w:rPr>
          <w:rFonts w:hint="eastAsia" w:ascii="仿宋_GB2312" w:hAnsi="仿宋_GB2312" w:eastAsia="仿宋_GB2312" w:cs="仿宋_GB2312"/>
          <w:sz w:val="28"/>
        </w:rPr>
        <w:fldChar w:fldCharType="separate"/>
      </w:r>
      <w:r>
        <w:rPr>
          <w:rFonts w:hint="eastAsia" w:ascii="仿宋_GB2312" w:hAnsi="仿宋_GB2312" w:eastAsia="仿宋_GB2312" w:cs="仿宋_GB2312"/>
          <w:sz w:val="28"/>
        </w:rPr>
        <w:t>10</w:t>
      </w:r>
      <w:r>
        <w:rPr>
          <w:rFonts w:hint="eastAsia" w:ascii="仿宋_GB2312" w:hAnsi="仿宋_GB2312" w:eastAsia="仿宋_GB2312" w:cs="仿宋_GB2312"/>
          <w:sz w:val="28"/>
        </w:rPr>
        <w:fldChar w:fldCharType="end"/>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"_Toc13922" </w:instrText>
      </w:r>
      <w:r>
        <w:fldChar w:fldCharType="separate"/>
      </w:r>
      <w:r>
        <w:rPr>
          <w:rFonts w:hint="eastAsia" w:ascii="仿宋_GB2312" w:hAnsi="仿宋_GB2312" w:eastAsia="仿宋_GB2312" w:cs="仿宋_GB2312"/>
          <w:sz w:val="28"/>
        </w:rPr>
        <w:t>八、估价依据</w:t>
      </w:r>
      <w:r>
        <w:rPr>
          <w:rFonts w:hint="eastAsia" w:ascii="仿宋_GB2312" w:hAnsi="仿宋_GB2312" w:eastAsia="仿宋_GB2312" w:cs="仿宋_GB2312"/>
          <w:sz w:val="28"/>
        </w:rPr>
        <w:tab/>
      </w: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PAGEREF _Toc13922 </w:instrText>
      </w:r>
      <w:r>
        <w:rPr>
          <w:rFonts w:hint="eastAsia" w:ascii="仿宋_GB2312" w:hAnsi="仿宋_GB2312" w:eastAsia="仿宋_GB2312" w:cs="仿宋_GB2312"/>
          <w:sz w:val="28"/>
        </w:rPr>
        <w:fldChar w:fldCharType="separate"/>
      </w:r>
      <w:r>
        <w:rPr>
          <w:rFonts w:hint="eastAsia" w:ascii="仿宋_GB2312" w:hAnsi="仿宋_GB2312" w:eastAsia="仿宋_GB2312" w:cs="仿宋_GB2312"/>
          <w:sz w:val="28"/>
        </w:rPr>
        <w:t>10</w:t>
      </w:r>
      <w:r>
        <w:rPr>
          <w:rFonts w:hint="eastAsia" w:ascii="仿宋_GB2312" w:hAnsi="仿宋_GB2312" w:eastAsia="仿宋_GB2312" w:cs="仿宋_GB2312"/>
          <w:sz w:val="28"/>
        </w:rPr>
        <w:fldChar w:fldCharType="end"/>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"_Toc27443" </w:instrText>
      </w:r>
      <w:r>
        <w:fldChar w:fldCharType="separate"/>
      </w:r>
      <w:r>
        <w:rPr>
          <w:rFonts w:hint="eastAsia" w:ascii="仿宋_GB2312" w:hAnsi="仿宋_GB2312" w:eastAsia="仿宋_GB2312" w:cs="仿宋_GB2312"/>
          <w:sz w:val="28"/>
        </w:rPr>
        <w:t>九、估价方法</w:t>
      </w:r>
      <w:r>
        <w:rPr>
          <w:rFonts w:hint="eastAsia" w:ascii="仿宋_GB2312" w:hAnsi="仿宋_GB2312" w:eastAsia="仿宋_GB2312" w:cs="仿宋_GB2312"/>
          <w:sz w:val="28"/>
        </w:rPr>
        <w:tab/>
      </w: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PAGEREF _Toc27443 </w:instrText>
      </w:r>
      <w:r>
        <w:rPr>
          <w:rFonts w:hint="eastAsia" w:ascii="仿宋_GB2312" w:hAnsi="仿宋_GB2312" w:eastAsia="仿宋_GB2312" w:cs="仿宋_GB2312"/>
          <w:sz w:val="28"/>
        </w:rPr>
        <w:fldChar w:fldCharType="separate"/>
      </w:r>
      <w:r>
        <w:rPr>
          <w:rFonts w:hint="eastAsia" w:ascii="仿宋_GB2312" w:hAnsi="仿宋_GB2312" w:eastAsia="仿宋_GB2312" w:cs="仿宋_GB2312"/>
          <w:sz w:val="28"/>
        </w:rPr>
        <w:t>12</w:t>
      </w:r>
      <w:r>
        <w:rPr>
          <w:rFonts w:hint="eastAsia" w:ascii="仿宋_GB2312" w:hAnsi="仿宋_GB2312" w:eastAsia="仿宋_GB2312" w:cs="仿宋_GB2312"/>
          <w:sz w:val="28"/>
        </w:rPr>
        <w:fldChar w:fldCharType="end"/>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rPr>
      </w:pPr>
      <w:r>
        <w:fldChar w:fldCharType="begin"/>
      </w:r>
      <w:r>
        <w:instrText xml:space="preserve"> HYPERLINK \l "_Toc3525" </w:instrText>
      </w:r>
      <w:r>
        <w:fldChar w:fldCharType="separate"/>
      </w:r>
      <w:r>
        <w:rPr>
          <w:rFonts w:hint="eastAsia" w:ascii="仿宋_GB2312" w:hAnsi="仿宋_GB2312" w:eastAsia="仿宋_GB2312" w:cs="仿宋_GB2312"/>
          <w:sz w:val="28"/>
        </w:rPr>
        <w:t>十、估价结果</w:t>
      </w:r>
      <w:r>
        <w:rPr>
          <w:rFonts w:hint="eastAsia" w:ascii="仿宋_GB2312" w:hAnsi="仿宋_GB2312" w:eastAsia="仿宋_GB2312" w:cs="仿宋_GB2312"/>
          <w:sz w:val="28"/>
        </w:rPr>
        <w:tab/>
      </w: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PAGEREF _Toc3525 </w:instrText>
      </w:r>
      <w:r>
        <w:rPr>
          <w:rFonts w:hint="eastAsia" w:ascii="仿宋_GB2312" w:hAnsi="仿宋_GB2312" w:eastAsia="仿宋_GB2312" w:cs="仿宋_GB2312"/>
          <w:sz w:val="28"/>
        </w:rPr>
        <w:fldChar w:fldCharType="separate"/>
      </w:r>
      <w:r>
        <w:rPr>
          <w:rFonts w:hint="eastAsia" w:ascii="仿宋_GB2312" w:hAnsi="仿宋_GB2312" w:eastAsia="仿宋_GB2312" w:cs="仿宋_GB2312"/>
          <w:sz w:val="28"/>
        </w:rPr>
        <w:t>12</w:t>
      </w:r>
      <w:r>
        <w:rPr>
          <w:rFonts w:hint="eastAsia" w:ascii="仿宋_GB2312" w:hAnsi="仿宋_GB2312" w:eastAsia="仿宋_GB2312" w:cs="仿宋_GB2312"/>
          <w:sz w:val="28"/>
        </w:rPr>
        <w:fldChar w:fldCharType="end"/>
      </w:r>
      <w:r>
        <w:rPr>
          <w:rFonts w:hint="eastAsia" w:ascii="仿宋_GB2312" w:hAnsi="仿宋_GB2312" w:eastAsia="仿宋_GB2312" w:cs="仿宋_GB2312"/>
          <w:sz w:val="28"/>
        </w:rPr>
        <w:fldChar w:fldCharType="end"/>
      </w:r>
    </w:p>
    <w:p>
      <w:pPr>
        <w:pStyle w:val="17"/>
        <w:tabs>
          <w:tab w:val="right" w:leader="dot" w:pos="8778"/>
        </w:tabs>
        <w:spacing w:line="520" w:lineRule="exact"/>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rPr>
        <w:fldChar w:fldCharType="end"/>
      </w:r>
      <w:r>
        <w:fldChar w:fldCharType="begin"/>
      </w:r>
      <w:r>
        <w:instrText xml:space="preserve"> HYPERLINK \l "_Toc266117015" </w:instrText>
      </w:r>
      <w:r>
        <w:fldChar w:fldCharType="separate"/>
      </w:r>
      <w:r>
        <w:rPr>
          <w:rFonts w:hint="eastAsia" w:ascii="仿宋_GB2312" w:hAnsi="仿宋_GB2312" w:eastAsia="仿宋_GB2312" w:cs="仿宋_GB2312"/>
          <w:sz w:val="28"/>
          <w:lang w:val="zh-CN"/>
        </w:rPr>
        <w:t>十一、注册房地产估价师</w:t>
      </w:r>
      <w:r>
        <w:rPr>
          <w:rFonts w:hint="eastAsia" w:ascii="仿宋_GB2312" w:hAnsi="仿宋_GB2312" w:eastAsia="仿宋_GB2312" w:cs="仿宋_GB2312"/>
          <w:sz w:val="28"/>
        </w:rPr>
        <w:tab/>
      </w:r>
      <w:r>
        <w:rPr>
          <w:rFonts w:hint="eastAsia" w:ascii="仿宋_GB2312" w:hAnsi="仿宋_GB2312" w:eastAsia="仿宋_GB2312" w:cs="仿宋_GB2312"/>
          <w:sz w:val="28"/>
          <w:lang w:val="en-US" w:eastAsia="zh-CN"/>
        </w:rPr>
        <w:t>1</w:t>
      </w:r>
      <w:r>
        <w:rPr>
          <w:rFonts w:hint="eastAsia" w:ascii="仿宋_GB2312" w:hAnsi="仿宋_GB2312" w:eastAsia="仿宋_GB2312" w:cs="仿宋_GB2312"/>
          <w:sz w:val="28"/>
          <w:lang w:val="zh-CN"/>
        </w:rPr>
        <w:fldChar w:fldCharType="end"/>
      </w:r>
      <w:r>
        <w:rPr>
          <w:rFonts w:hint="eastAsia" w:ascii="仿宋_GB2312" w:hAnsi="仿宋_GB2312" w:eastAsia="仿宋_GB2312" w:cs="仿宋_GB2312"/>
          <w:sz w:val="28"/>
          <w:lang w:val="en-US" w:eastAsia="zh-CN"/>
        </w:rPr>
        <w:t>5</w:t>
      </w:r>
      <w:bookmarkStart w:id="69" w:name="_GoBack"/>
      <w:bookmarkEnd w:id="69"/>
    </w:p>
    <w:p>
      <w:pPr>
        <w:pStyle w:val="17"/>
        <w:tabs>
          <w:tab w:val="right" w:leader="dot" w:pos="8778"/>
        </w:tabs>
        <w:spacing w:line="520" w:lineRule="exact"/>
        <w:rPr>
          <w:rFonts w:hint="eastAsia" w:ascii="仿宋_GB2312" w:hAnsi="仿宋_GB2312" w:eastAsia="仿宋_GB2312" w:cs="仿宋_GB2312"/>
          <w:sz w:val="28"/>
          <w:lang w:val="en-US" w:eastAsia="zh-CN"/>
        </w:rPr>
      </w:pPr>
      <w:r>
        <w:fldChar w:fldCharType="begin"/>
      </w:r>
      <w:r>
        <w:instrText xml:space="preserve"> HYPERLINK \l "_Toc266117016" </w:instrText>
      </w:r>
      <w:r>
        <w:fldChar w:fldCharType="separate"/>
      </w:r>
      <w:r>
        <w:rPr>
          <w:rFonts w:hint="eastAsia" w:ascii="仿宋_GB2312" w:hAnsi="仿宋_GB2312" w:eastAsia="仿宋_GB2312" w:cs="仿宋_GB2312"/>
          <w:sz w:val="28"/>
          <w:lang w:val="zh-CN"/>
        </w:rPr>
        <w:t>十二、实地查勘期</w:t>
      </w:r>
      <w:r>
        <w:rPr>
          <w:rFonts w:hint="eastAsia" w:ascii="仿宋_GB2312" w:hAnsi="仿宋_GB2312" w:eastAsia="仿宋_GB2312" w:cs="仿宋_GB2312"/>
          <w:sz w:val="28"/>
          <w:lang w:val="zh-CN"/>
        </w:rPr>
        <w:tab/>
      </w:r>
      <w:r>
        <w:rPr>
          <w:rFonts w:hint="eastAsia" w:ascii="仿宋_GB2312" w:hAnsi="仿宋_GB2312" w:eastAsia="仿宋_GB2312" w:cs="仿宋_GB2312"/>
          <w:sz w:val="28"/>
          <w:lang w:val="en-US" w:eastAsia="zh-CN"/>
        </w:rPr>
        <w:t>1</w:t>
      </w:r>
      <w:r>
        <w:rPr>
          <w:rFonts w:hint="eastAsia" w:ascii="仿宋_GB2312" w:hAnsi="仿宋_GB2312" w:eastAsia="仿宋_GB2312" w:cs="仿宋_GB2312"/>
          <w:sz w:val="28"/>
        </w:rPr>
        <w:fldChar w:fldCharType="end"/>
      </w:r>
      <w:r>
        <w:rPr>
          <w:rFonts w:hint="eastAsia" w:ascii="仿宋_GB2312" w:hAnsi="仿宋_GB2312" w:eastAsia="仿宋_GB2312" w:cs="仿宋_GB2312"/>
          <w:sz w:val="28"/>
          <w:lang w:val="en-US" w:eastAsia="zh-CN"/>
        </w:rPr>
        <w:t>5</w:t>
      </w:r>
    </w:p>
    <w:p>
      <w:pPr>
        <w:pStyle w:val="17"/>
        <w:tabs>
          <w:tab w:val="right" w:leader="dot" w:pos="8778"/>
        </w:tabs>
        <w:spacing w:line="520" w:lineRule="exact"/>
        <w:rPr>
          <w:rFonts w:hint="eastAsia" w:ascii="宋体" w:hAnsi="宋体" w:eastAsia="仿宋_GB2312" w:cs="宋体"/>
          <w:sz w:val="32"/>
          <w:szCs w:val="32"/>
          <w:lang w:val="en-US" w:eastAsia="zh-CN"/>
        </w:rPr>
      </w:pPr>
      <w:r>
        <w:fldChar w:fldCharType="begin"/>
      </w:r>
      <w:r>
        <w:instrText xml:space="preserve"> HYPERLINK \l "_Toc266117017" </w:instrText>
      </w:r>
      <w:r>
        <w:fldChar w:fldCharType="separate"/>
      </w:r>
      <w:r>
        <w:rPr>
          <w:rFonts w:hint="eastAsia" w:ascii="仿宋_GB2312" w:hAnsi="仿宋_GB2312" w:eastAsia="仿宋_GB2312" w:cs="仿宋_GB2312"/>
          <w:sz w:val="28"/>
          <w:lang w:val="zh-CN"/>
        </w:rPr>
        <w:t>十三、估价作业期</w:t>
      </w:r>
      <w:r>
        <w:rPr>
          <w:rFonts w:hint="eastAsia" w:ascii="仿宋_GB2312" w:hAnsi="仿宋_GB2312" w:eastAsia="仿宋_GB2312" w:cs="仿宋_GB2312"/>
          <w:sz w:val="28"/>
          <w:lang w:val="zh-CN"/>
        </w:rPr>
        <w:tab/>
      </w:r>
      <w:r>
        <w:rPr>
          <w:rFonts w:hint="eastAsia" w:ascii="仿宋_GB2312" w:hAnsi="仿宋_GB2312" w:eastAsia="仿宋_GB2312" w:cs="仿宋_GB2312"/>
          <w:sz w:val="28"/>
          <w:lang w:val="en-US" w:eastAsia="zh-CN"/>
        </w:rPr>
        <w:t>1</w:t>
      </w:r>
      <w:r>
        <w:rPr>
          <w:rFonts w:hint="eastAsia" w:ascii="仿宋_GB2312" w:hAnsi="仿宋_GB2312" w:eastAsia="仿宋_GB2312" w:cs="仿宋_GB2312"/>
          <w:sz w:val="28"/>
        </w:rPr>
        <w:fldChar w:fldCharType="end"/>
      </w:r>
      <w:r>
        <w:rPr>
          <w:rFonts w:hint="eastAsia" w:ascii="仿宋_GB2312" w:hAnsi="仿宋_GB2312" w:eastAsia="仿宋_GB2312" w:cs="仿宋_GB2312"/>
          <w:sz w:val="28"/>
          <w:lang w:val="en-US" w:eastAsia="zh-CN"/>
        </w:rPr>
        <w:t>5</w:t>
      </w:r>
    </w:p>
    <w:p>
      <w:pPr>
        <w:pStyle w:val="2"/>
        <w:spacing w:before="0" w:after="0" w:line="240" w:lineRule="auto"/>
        <w:rPr>
          <w:rFonts w:hint="eastAsia" w:eastAsia="仿宋_GB2312"/>
        </w:rPr>
      </w:pPr>
      <w:r>
        <w:rPr>
          <w:rFonts w:hint="eastAsia" w:eastAsia="仿宋_GB2312"/>
        </w:rPr>
        <w:t xml:space="preserve">       </w:t>
      </w:r>
    </w:p>
    <w:p>
      <w:pPr>
        <w:rPr>
          <w:rFonts w:hint="eastAsia" w:eastAsia="仿宋_GB2312"/>
        </w:rPr>
      </w:pPr>
    </w:p>
    <w:p>
      <w:pPr>
        <w:rPr>
          <w:rFonts w:eastAsia="仿宋_GB2312"/>
        </w:rPr>
        <w:sectPr>
          <w:headerReference r:id="rId13" w:type="first"/>
          <w:headerReference r:id="rId12" w:type="default"/>
          <w:endnotePr>
            <w:numFmt w:val="decimal"/>
          </w:endnotePr>
          <w:pgSz w:w="11907" w:h="16840"/>
          <w:pgMar w:top="1134" w:right="1247" w:bottom="1090" w:left="1588" w:header="851" w:footer="680" w:gutter="0"/>
          <w:pgNumType w:start="0"/>
          <w:cols w:space="720" w:num="1"/>
          <w:titlePg/>
        </w:sectPr>
      </w:pPr>
    </w:p>
    <w:p>
      <w:pPr>
        <w:rPr>
          <w:rFonts w:hint="eastAsia" w:eastAsia="仿宋_GB2312"/>
        </w:rPr>
      </w:pPr>
    </w:p>
    <w:p>
      <w:pPr>
        <w:spacing w:beforeLines="50" w:afterLines="50" w:line="500" w:lineRule="exact"/>
        <w:ind w:firstLine="555"/>
        <w:rPr>
          <w:rFonts w:hint="eastAsia" w:ascii="宋体" w:hAnsi="宋体" w:eastAsia="仿宋_GB2312"/>
          <w:sz w:val="28"/>
          <w:szCs w:val="28"/>
          <w:lang w:val="zh-CN"/>
        </w:rPr>
      </w:pPr>
      <w:bookmarkStart w:id="10" w:name="_Toc17750"/>
      <w:bookmarkStart w:id="11" w:name="_Toc2685"/>
      <w:bookmarkStart w:id="12" w:name="_Toc425"/>
      <w:r>
        <w:rPr>
          <w:rFonts w:hint="eastAsia" w:ascii="宋体" w:hAnsi="宋体" w:eastAsia="仿宋_GB2312"/>
          <w:sz w:val="28"/>
          <w:szCs w:val="28"/>
          <w:lang w:val="zh-CN"/>
        </w:rPr>
        <w:t>（一）《吴忠市利通区人民法院评估委托书》</w:t>
      </w:r>
      <w:r>
        <w:rPr>
          <w:rFonts w:hint="eastAsia" w:ascii="仿宋" w:hAnsi="仿宋" w:eastAsia="仿宋" w:cs="仿宋"/>
          <w:sz w:val="28"/>
          <w:szCs w:val="28"/>
          <w:lang w:val="zh-CN"/>
        </w:rPr>
        <w:t>（2021）宁0302执2803号</w:t>
      </w:r>
      <w:r>
        <w:rPr>
          <w:rFonts w:hint="eastAsia" w:ascii="宋体" w:hAnsi="宋体" w:eastAsia="仿宋_GB2312"/>
          <w:sz w:val="28"/>
          <w:szCs w:val="28"/>
          <w:lang w:val="zh-CN"/>
        </w:rPr>
        <w:t>（复印件）</w:t>
      </w:r>
    </w:p>
    <w:p>
      <w:pPr>
        <w:spacing w:beforeLines="50" w:afterLines="50" w:line="500" w:lineRule="exact"/>
        <w:ind w:firstLine="555"/>
        <w:rPr>
          <w:rFonts w:hint="eastAsia" w:ascii="宋体" w:hAnsi="宋体" w:eastAsia="仿宋_GB2312"/>
          <w:sz w:val="28"/>
          <w:szCs w:val="28"/>
          <w:lang w:val="zh-CN"/>
        </w:rPr>
      </w:pPr>
      <w:r>
        <w:rPr>
          <w:rFonts w:hint="eastAsia" w:ascii="宋体" w:hAnsi="宋体" w:eastAsia="仿宋_GB2312"/>
          <w:sz w:val="28"/>
          <w:szCs w:val="28"/>
          <w:lang w:val="zh-CN"/>
        </w:rPr>
        <w:t>（二）估价对象位置图</w:t>
      </w:r>
    </w:p>
    <w:p>
      <w:pPr>
        <w:spacing w:beforeLines="50" w:afterLines="50" w:line="500" w:lineRule="exact"/>
        <w:ind w:firstLine="555"/>
        <w:rPr>
          <w:rFonts w:hint="eastAsia" w:ascii="宋体" w:hAnsi="宋体" w:eastAsia="仿宋_GB2312"/>
          <w:sz w:val="28"/>
          <w:szCs w:val="28"/>
          <w:lang w:val="zh-CN"/>
        </w:rPr>
      </w:pPr>
      <w:r>
        <w:rPr>
          <w:rFonts w:hint="eastAsia" w:ascii="宋体" w:hAnsi="宋体" w:eastAsia="仿宋_GB2312"/>
          <w:sz w:val="28"/>
          <w:szCs w:val="28"/>
          <w:lang w:val="zh-CN"/>
        </w:rPr>
        <w:t>（三）估价对象相关照片</w:t>
      </w:r>
    </w:p>
    <w:p>
      <w:pPr>
        <w:spacing w:beforeLines="50" w:afterLines="50" w:line="500" w:lineRule="exact"/>
        <w:ind w:firstLine="555"/>
        <w:rPr>
          <w:rFonts w:ascii="宋体" w:hAnsi="宋体" w:eastAsia="仿宋_GB2312"/>
          <w:sz w:val="28"/>
          <w:szCs w:val="28"/>
          <w:lang w:val="zh-CN"/>
        </w:rPr>
      </w:pPr>
      <w:r>
        <w:rPr>
          <w:rFonts w:hint="eastAsia" w:ascii="宋体" w:hAnsi="宋体" w:eastAsia="仿宋_GB2312"/>
          <w:sz w:val="28"/>
          <w:szCs w:val="28"/>
          <w:lang w:val="zh-CN"/>
        </w:rPr>
        <w:t>（四）《利通区不动产登记信息查询单》、《财产清点登记表》</w:t>
      </w:r>
    </w:p>
    <w:p>
      <w:pPr>
        <w:spacing w:beforeLines="50" w:afterLines="50" w:line="500" w:lineRule="exact"/>
        <w:ind w:firstLine="555"/>
        <w:rPr>
          <w:rFonts w:hint="eastAsia" w:ascii="宋体" w:hAnsi="宋体" w:eastAsia="仿宋_GB2312"/>
          <w:sz w:val="28"/>
          <w:szCs w:val="28"/>
          <w:lang w:val="zh-CN"/>
        </w:rPr>
      </w:pPr>
      <w:r>
        <w:rPr>
          <w:rFonts w:hint="eastAsia" w:ascii="宋体" w:hAnsi="宋体" w:eastAsia="仿宋_GB2312"/>
          <w:sz w:val="28"/>
          <w:szCs w:val="28"/>
          <w:lang w:val="zh-CN"/>
        </w:rPr>
        <w:t>（五）可比实例位置示意图及外观照片</w:t>
      </w:r>
    </w:p>
    <w:p>
      <w:pPr>
        <w:spacing w:beforeLines="50" w:afterLines="50" w:line="500" w:lineRule="exact"/>
        <w:ind w:firstLine="555"/>
        <w:rPr>
          <w:rFonts w:ascii="宋体" w:hAnsi="宋体" w:eastAsia="仿宋_GB2312"/>
          <w:sz w:val="28"/>
          <w:szCs w:val="28"/>
          <w:lang w:val="zh-CN"/>
        </w:rPr>
      </w:pPr>
      <w:r>
        <w:rPr>
          <w:rFonts w:hint="eastAsia" w:ascii="宋体" w:hAnsi="宋体" w:eastAsia="仿宋_GB2312"/>
          <w:sz w:val="28"/>
          <w:szCs w:val="28"/>
          <w:lang w:val="zh-CN"/>
        </w:rPr>
        <w:t>（六） 房地产估价机构备案证书复印件</w:t>
      </w:r>
    </w:p>
    <w:p>
      <w:pPr>
        <w:spacing w:before="50" w:after="50" w:line="500" w:lineRule="exact"/>
        <w:ind w:firstLine="560" w:firstLineChars="200"/>
        <w:rPr>
          <w:rFonts w:hint="eastAsia" w:ascii="宋体" w:hAnsi="宋体" w:eastAsia="仿宋_GB2312"/>
          <w:sz w:val="28"/>
          <w:szCs w:val="28"/>
          <w:lang w:val="zh-CN"/>
        </w:rPr>
      </w:pPr>
      <w:r>
        <w:rPr>
          <w:rFonts w:hint="eastAsia" w:ascii="宋体" w:hAnsi="宋体" w:eastAsia="仿宋_GB2312"/>
          <w:sz w:val="28"/>
          <w:szCs w:val="28"/>
          <w:lang w:val="zh-CN"/>
        </w:rPr>
        <w:t>（七） 注册房地产估价师证书复印件</w:t>
      </w:r>
    </w:p>
    <w:p>
      <w:pPr>
        <w:spacing w:beforeLines="50" w:afterLines="50" w:line="500" w:lineRule="exact"/>
        <w:ind w:firstLine="555"/>
        <w:rPr>
          <w:rFonts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560" w:firstLineChars="200"/>
        <w:rPr>
          <w:rFonts w:hint="eastAsia" w:ascii="宋体" w:hAnsi="宋体" w:eastAsia="仿宋_GB2312"/>
          <w:sz w:val="28"/>
          <w:szCs w:val="28"/>
          <w:lang w:val="zh-CN"/>
        </w:rPr>
      </w:pPr>
    </w:p>
    <w:p>
      <w:pPr>
        <w:ind w:firstLine="420" w:firstLineChars="200"/>
        <w:rPr>
          <w:rFonts w:hint="eastAsia" w:eastAsia="仿宋_GB231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spacing w:before="0" w:after="0" w:line="240" w:lineRule="auto"/>
        <w:jc w:val="center"/>
        <w:rPr>
          <w:rFonts w:eastAsia="仿宋_GB2312"/>
        </w:rPr>
        <w:sectPr>
          <w:headerReference r:id="rId15" w:type="first"/>
          <w:headerReference r:id="rId14" w:type="default"/>
          <w:endnotePr>
            <w:numFmt w:val="decimal"/>
          </w:endnotePr>
          <w:pgSz w:w="11907" w:h="16840"/>
          <w:pgMar w:top="1134" w:right="1247" w:bottom="1090" w:left="1588" w:header="851" w:footer="680" w:gutter="0"/>
          <w:pgNumType w:start="0"/>
          <w:cols w:space="720" w:num="1"/>
          <w:titlePg/>
        </w:sectPr>
      </w:pPr>
      <w:bookmarkStart w:id="13" w:name="_Toc11895"/>
    </w:p>
    <w:p>
      <w:pPr>
        <w:pStyle w:val="2"/>
        <w:spacing w:before="0" w:after="0" w:line="240" w:lineRule="auto"/>
        <w:jc w:val="center"/>
        <w:rPr>
          <w:rFonts w:hint="eastAsia" w:eastAsia="仿宋_GB2312"/>
        </w:rPr>
      </w:pPr>
      <w:r>
        <w:rPr>
          <w:rFonts w:eastAsia="仿宋_GB2312"/>
        </w:rPr>
        <w:t>估</w:t>
      </w:r>
      <w:r>
        <w:rPr>
          <w:rFonts w:hint="eastAsia" w:eastAsia="仿宋_GB2312"/>
        </w:rPr>
        <w:t xml:space="preserve"> </w:t>
      </w:r>
      <w:r>
        <w:rPr>
          <w:rFonts w:eastAsia="仿宋_GB2312"/>
        </w:rPr>
        <w:t>价</w:t>
      </w:r>
      <w:r>
        <w:rPr>
          <w:rFonts w:hint="eastAsia" w:eastAsia="仿宋_GB2312"/>
        </w:rPr>
        <w:t xml:space="preserve"> </w:t>
      </w:r>
      <w:r>
        <w:rPr>
          <w:rFonts w:eastAsia="仿宋_GB2312"/>
        </w:rPr>
        <w:t>师</w:t>
      </w:r>
      <w:r>
        <w:rPr>
          <w:rFonts w:hint="eastAsia" w:eastAsia="仿宋_GB2312"/>
        </w:rPr>
        <w:t xml:space="preserve"> </w:t>
      </w:r>
      <w:r>
        <w:rPr>
          <w:rFonts w:eastAsia="仿宋_GB2312"/>
        </w:rPr>
        <w:t>声</w:t>
      </w:r>
      <w:r>
        <w:rPr>
          <w:rFonts w:hint="eastAsia" w:eastAsia="仿宋_GB2312"/>
        </w:rPr>
        <w:t xml:space="preserve"> </w:t>
      </w:r>
      <w:r>
        <w:rPr>
          <w:rFonts w:eastAsia="仿宋_GB2312"/>
        </w:rPr>
        <w:t>明</w:t>
      </w:r>
      <w:bookmarkEnd w:id="8"/>
      <w:bookmarkEnd w:id="9"/>
      <w:bookmarkEnd w:id="10"/>
      <w:bookmarkEnd w:id="11"/>
      <w:bookmarkEnd w:id="12"/>
      <w:bookmarkEnd w:id="13"/>
    </w:p>
    <w:p>
      <w:pPr>
        <w:spacing w:line="540" w:lineRule="exact"/>
        <w:ind w:firstLine="560" w:firstLineChars="200"/>
        <w:rPr>
          <w:rFonts w:hint="eastAsia" w:ascii="仿宋_GB2312" w:hAnsi="宋体" w:eastAsia="仿宋_GB2312"/>
          <w:sz w:val="28"/>
        </w:rPr>
      </w:pPr>
    </w:p>
    <w:p>
      <w:pPr>
        <w:spacing w:line="540" w:lineRule="exact"/>
        <w:ind w:firstLine="560" w:firstLineChars="200"/>
        <w:rPr>
          <w:rFonts w:hint="eastAsia" w:ascii="仿宋_GB2312" w:hAnsi="宋体" w:eastAsia="仿宋_GB2312"/>
          <w:sz w:val="28"/>
        </w:rPr>
      </w:pPr>
      <w:r>
        <w:rPr>
          <w:rFonts w:hint="eastAsia" w:ascii="仿宋_GB2312" w:hAnsi="宋体" w:eastAsia="仿宋_GB2312"/>
          <w:sz w:val="28"/>
        </w:rPr>
        <w:t>我们根据自己的专业知识和职业道德，在此郑重声明：</w:t>
      </w:r>
    </w:p>
    <w:p>
      <w:pPr>
        <w:spacing w:line="540" w:lineRule="exact"/>
        <w:ind w:firstLine="588"/>
        <w:rPr>
          <w:rFonts w:hint="eastAsia" w:ascii="仿宋_GB2312" w:eastAsia="仿宋_GB2312"/>
          <w:sz w:val="28"/>
          <w:szCs w:val="28"/>
        </w:rPr>
      </w:pPr>
      <w:r>
        <w:rPr>
          <w:rFonts w:hint="eastAsia" w:ascii="仿宋_GB2312" w:eastAsia="仿宋_GB2312"/>
          <w:sz w:val="28"/>
          <w:szCs w:val="28"/>
        </w:rPr>
        <w:t>1、注册房地产估价师在估价报告中对事实的说明是真实和准确的，没有虚假记载、误导性陈述和重大遗漏。</w:t>
      </w:r>
    </w:p>
    <w:p>
      <w:pPr>
        <w:spacing w:line="540" w:lineRule="exact"/>
        <w:ind w:firstLine="540" w:firstLineChars="193"/>
        <w:rPr>
          <w:rFonts w:hint="eastAsia" w:ascii="仿宋_GB2312" w:eastAsia="仿宋_GB2312"/>
          <w:sz w:val="28"/>
          <w:szCs w:val="28"/>
        </w:rPr>
      </w:pPr>
      <w:r>
        <w:rPr>
          <w:rFonts w:hint="eastAsia" w:ascii="仿宋_GB2312" w:eastAsia="仿宋_GB2312"/>
          <w:sz w:val="28"/>
          <w:szCs w:val="28"/>
        </w:rPr>
        <w:t>2、估价报告中的分析、意见和结论是注册房地产估价师独立、客观、公正的专业分析、意见和结论，但受到估价报告中已说明的估价假设和限制条件的限制。</w:t>
      </w:r>
    </w:p>
    <w:p>
      <w:pPr>
        <w:spacing w:line="540" w:lineRule="exact"/>
        <w:ind w:right="6" w:firstLine="551" w:firstLineChars="197"/>
        <w:rPr>
          <w:rFonts w:hint="eastAsia" w:ascii="仿宋_GB2312" w:eastAsia="仿宋_GB2312"/>
          <w:sz w:val="28"/>
          <w:szCs w:val="28"/>
        </w:rPr>
      </w:pPr>
      <w:r>
        <w:rPr>
          <w:rFonts w:hint="eastAsia" w:ascii="仿宋_GB2312" w:eastAsia="仿宋_GB2312"/>
          <w:sz w:val="28"/>
          <w:szCs w:val="28"/>
        </w:rPr>
        <w:t>3、注册房地产估价师与估价报告中的估价对象没有现实或潜在的利益，与估价委托人及估价利害关系人没有利害关系，也对估价对象、估价委托人及估价利害关系人没有偏见；</w:t>
      </w:r>
    </w:p>
    <w:p>
      <w:pPr>
        <w:spacing w:line="540" w:lineRule="exact"/>
        <w:ind w:firstLine="551" w:firstLineChars="197"/>
        <w:rPr>
          <w:rFonts w:hint="eastAsia" w:ascii="仿宋_GB2312" w:eastAsia="仿宋_GB2312"/>
          <w:sz w:val="28"/>
          <w:szCs w:val="28"/>
        </w:rPr>
      </w:pPr>
      <w:r>
        <w:rPr>
          <w:rFonts w:hint="eastAsia" w:ascii="仿宋_GB2312" w:eastAsia="仿宋_GB2312"/>
          <w:sz w:val="28"/>
          <w:szCs w:val="28"/>
        </w:rPr>
        <w:t>4、注册房地产估价师是按照有关房地产估价标准的规定进行估价工作，撰写估价报告。</w:t>
      </w:r>
    </w:p>
    <w:p>
      <w:pPr>
        <w:spacing w:line="440" w:lineRule="atLeast"/>
        <w:rPr>
          <w:rFonts w:hint="eastAsia" w:ascii="仿宋_GB2312" w:eastAsia="仿宋_GB2312"/>
          <w:b/>
          <w:sz w:val="44"/>
          <w:szCs w:val="44"/>
        </w:rPr>
      </w:pPr>
    </w:p>
    <w:p>
      <w:pPr>
        <w:spacing w:line="440" w:lineRule="atLeast"/>
        <w:ind w:firstLine="560" w:firstLineChars="200"/>
        <w:rPr>
          <w:rFonts w:hint="eastAsia" w:ascii="仿宋_GB2312" w:eastAsia="仿宋_GB2312"/>
          <w:sz w:val="28"/>
          <w:szCs w:val="28"/>
          <w:lang w:eastAsia="zh-CN"/>
        </w:rPr>
      </w:pPr>
    </w:p>
    <w:p>
      <w:pPr>
        <w:spacing w:line="440" w:lineRule="atLeast"/>
        <w:ind w:firstLine="883" w:firstLineChars="200"/>
        <w:rPr>
          <w:rFonts w:hint="eastAsia" w:ascii="仿宋_GB2312" w:eastAsia="仿宋_GB2312"/>
          <w:b/>
          <w:sz w:val="44"/>
          <w:szCs w:val="44"/>
        </w:rPr>
      </w:pPr>
    </w:p>
    <w:p>
      <w:pPr>
        <w:spacing w:line="440" w:lineRule="atLeast"/>
        <w:ind w:firstLine="2301" w:firstLineChars="521"/>
        <w:rPr>
          <w:rFonts w:hint="eastAsia" w:ascii="仿宋_GB2312" w:eastAsia="仿宋_GB2312"/>
          <w:b/>
          <w:sz w:val="44"/>
          <w:szCs w:val="44"/>
        </w:rPr>
      </w:pPr>
    </w:p>
    <w:p>
      <w:pPr>
        <w:spacing w:line="440" w:lineRule="atLeast"/>
        <w:ind w:firstLine="2301" w:firstLineChars="521"/>
        <w:rPr>
          <w:rFonts w:hint="eastAsia" w:ascii="仿宋_GB2312" w:eastAsia="仿宋_GB2312"/>
          <w:b/>
          <w:sz w:val="44"/>
          <w:szCs w:val="44"/>
        </w:rPr>
      </w:pPr>
    </w:p>
    <w:p>
      <w:pPr>
        <w:spacing w:line="440" w:lineRule="atLeast"/>
        <w:ind w:firstLine="2301" w:firstLineChars="521"/>
        <w:rPr>
          <w:rFonts w:hint="eastAsia" w:ascii="仿宋_GB2312" w:eastAsia="仿宋_GB2312"/>
          <w:b/>
          <w:sz w:val="44"/>
          <w:szCs w:val="44"/>
        </w:rPr>
      </w:pPr>
    </w:p>
    <w:p>
      <w:pPr>
        <w:spacing w:line="464" w:lineRule="exact"/>
        <w:ind w:firstLine="2301" w:firstLineChars="521"/>
        <w:rPr>
          <w:rFonts w:hint="eastAsia" w:ascii="仿宋_GB2312" w:eastAsia="仿宋_GB2312"/>
          <w:b/>
          <w:sz w:val="44"/>
          <w:szCs w:val="44"/>
        </w:rPr>
      </w:pPr>
    </w:p>
    <w:p>
      <w:pPr>
        <w:spacing w:line="464" w:lineRule="exact"/>
        <w:ind w:firstLine="2301" w:firstLineChars="521"/>
        <w:rPr>
          <w:rFonts w:hint="eastAsia" w:ascii="仿宋_GB2312" w:eastAsia="仿宋_GB2312"/>
          <w:b/>
          <w:sz w:val="44"/>
          <w:szCs w:val="44"/>
        </w:rPr>
      </w:pPr>
    </w:p>
    <w:p>
      <w:pPr>
        <w:spacing w:line="464" w:lineRule="exact"/>
        <w:ind w:firstLine="2301" w:firstLineChars="521"/>
        <w:rPr>
          <w:rFonts w:hint="eastAsia" w:ascii="仿宋_GB2312" w:eastAsia="仿宋_GB2312"/>
          <w:b/>
          <w:sz w:val="44"/>
          <w:szCs w:val="44"/>
        </w:rPr>
      </w:pPr>
    </w:p>
    <w:p>
      <w:pPr>
        <w:spacing w:line="464" w:lineRule="exact"/>
        <w:ind w:firstLine="2301" w:firstLineChars="521"/>
        <w:rPr>
          <w:rFonts w:hint="eastAsia" w:ascii="仿宋_GB2312" w:eastAsia="仿宋_GB2312"/>
          <w:b/>
          <w:sz w:val="44"/>
          <w:szCs w:val="44"/>
        </w:rPr>
      </w:pPr>
    </w:p>
    <w:p>
      <w:pPr>
        <w:spacing w:line="464" w:lineRule="exact"/>
        <w:ind w:firstLine="2301" w:firstLineChars="521"/>
        <w:rPr>
          <w:rFonts w:hint="eastAsia" w:ascii="仿宋_GB2312" w:eastAsia="仿宋_GB2312"/>
          <w:b/>
          <w:sz w:val="44"/>
          <w:szCs w:val="44"/>
        </w:rPr>
      </w:pPr>
    </w:p>
    <w:p>
      <w:pPr>
        <w:spacing w:line="464" w:lineRule="exact"/>
        <w:ind w:firstLine="2301" w:firstLineChars="521"/>
        <w:rPr>
          <w:rFonts w:hint="eastAsia" w:ascii="仿宋_GB2312" w:eastAsia="仿宋_GB2312"/>
          <w:b/>
          <w:sz w:val="44"/>
          <w:szCs w:val="44"/>
        </w:rPr>
      </w:pPr>
    </w:p>
    <w:p>
      <w:pPr>
        <w:rPr>
          <w:rFonts w:hint="eastAsia" w:ascii="仿宋_GB2312" w:eastAsia="仿宋_GB2312"/>
          <w:b/>
          <w:sz w:val="44"/>
          <w:szCs w:val="44"/>
        </w:rPr>
      </w:pPr>
      <w:r>
        <w:rPr>
          <w:rFonts w:hint="eastAsia" w:ascii="仿宋_GB2312" w:eastAsia="仿宋_GB2312"/>
          <w:b/>
          <w:sz w:val="44"/>
          <w:szCs w:val="44"/>
        </w:rPr>
        <w:br w:type="page"/>
      </w:r>
    </w:p>
    <w:p>
      <w:pPr>
        <w:spacing w:line="464" w:lineRule="exact"/>
        <w:ind w:firstLine="2301" w:firstLineChars="521"/>
        <w:rPr>
          <w:rFonts w:hint="eastAsia" w:ascii="仿宋_GB2312" w:eastAsia="仿宋_GB2312"/>
          <w:b/>
          <w:sz w:val="44"/>
          <w:szCs w:val="44"/>
        </w:rPr>
      </w:pPr>
      <w:r>
        <w:rPr>
          <w:rFonts w:hint="eastAsia" w:ascii="仿宋_GB2312" w:eastAsia="仿宋_GB2312"/>
          <w:b/>
          <w:sz w:val="44"/>
          <w:szCs w:val="44"/>
        </w:rPr>
        <w:t>估价的假设和限制条件</w:t>
      </w:r>
      <w:bookmarkEnd w:id="1"/>
      <w:bookmarkEnd w:id="2"/>
    </w:p>
    <w:p>
      <w:pPr>
        <w:spacing w:line="520" w:lineRule="exact"/>
        <w:rPr>
          <w:rFonts w:hint="eastAsia" w:ascii="仿宋_GB2312" w:eastAsia="仿宋_GB2312"/>
          <w:b/>
          <w:sz w:val="28"/>
          <w:szCs w:val="28"/>
        </w:rPr>
      </w:pPr>
      <w:r>
        <w:rPr>
          <w:rFonts w:hint="eastAsia"/>
          <w:b/>
          <w:sz w:val="28"/>
          <w:szCs w:val="28"/>
        </w:rPr>
        <w:t>一、</w:t>
      </w:r>
      <w:r>
        <w:rPr>
          <w:rFonts w:hint="eastAsia" w:ascii="仿宋_GB2312" w:eastAsia="仿宋_GB2312"/>
          <w:b/>
          <w:sz w:val="28"/>
          <w:szCs w:val="28"/>
        </w:rPr>
        <w:t>估价假设条件</w:t>
      </w:r>
    </w:p>
    <w:p>
      <w:pPr>
        <w:spacing w:line="520" w:lineRule="exact"/>
        <w:ind w:firstLine="420" w:firstLineChars="150"/>
        <w:rPr>
          <w:rFonts w:hint="eastAsia"/>
          <w:sz w:val="28"/>
          <w:szCs w:val="28"/>
        </w:rPr>
      </w:pPr>
      <w:r>
        <w:rPr>
          <w:rFonts w:hint="eastAsia" w:ascii="仿宋_GB2312" w:eastAsia="仿宋_GB2312"/>
          <w:sz w:val="28"/>
          <w:szCs w:val="28"/>
        </w:rPr>
        <w:t xml:space="preserve">（一）一般假设    </w:t>
      </w:r>
      <w:r>
        <w:rPr>
          <w:rFonts w:hint="eastAsia"/>
          <w:sz w:val="28"/>
          <w:szCs w:val="28"/>
        </w:rPr>
        <w:t xml:space="preserve">                                                                              </w:t>
      </w:r>
    </w:p>
    <w:p>
      <w:pPr>
        <w:spacing w:line="520" w:lineRule="exact"/>
        <w:ind w:right="-73" w:rightChars="-35" w:firstLine="568"/>
        <w:rPr>
          <w:rFonts w:hint="eastAsia" w:ascii="仿宋_GB2312" w:eastAsia="仿宋_GB2312"/>
          <w:color w:val="auto"/>
          <w:spacing w:val="2"/>
          <w:sz w:val="28"/>
          <w:szCs w:val="28"/>
        </w:rPr>
      </w:pPr>
      <w:r>
        <w:rPr>
          <w:rFonts w:hint="eastAsia" w:ascii="仿宋_GB2312" w:hAnsi="宋体" w:eastAsia="仿宋_GB2312"/>
          <w:color w:val="auto"/>
          <w:sz w:val="28"/>
        </w:rPr>
        <w:t>1、</w:t>
      </w:r>
      <w:r>
        <w:rPr>
          <w:rFonts w:hint="eastAsia" w:ascii="仿宋_GB2312" w:eastAsia="仿宋_GB2312"/>
          <w:color w:val="auto"/>
          <w:spacing w:val="2"/>
          <w:sz w:val="28"/>
          <w:szCs w:val="28"/>
        </w:rPr>
        <w:t>估价人员依据估价委托人提供的</w:t>
      </w:r>
      <w:r>
        <w:rPr>
          <w:rFonts w:hint="eastAsia" w:ascii="仿宋_GB2312" w:hAnsi="仿宋_GB2312" w:eastAsia="仿宋_GB2312" w:cs="仿宋_GB2312"/>
          <w:color w:val="auto"/>
          <w:sz w:val="28"/>
          <w:szCs w:val="28"/>
          <w:lang w:eastAsia="zh-CN"/>
        </w:rPr>
        <w:t>《吴忠市利通区人民法院评估委托书》、《利通区不动产登记信息查询单》及</w:t>
      </w:r>
      <w:r>
        <w:rPr>
          <w:rFonts w:hint="eastAsia" w:ascii="仿宋_GB2312" w:hAnsi="仿宋_GB2312" w:eastAsia="仿宋_GB2312" w:cs="仿宋_GB2312"/>
          <w:color w:val="auto"/>
          <w:sz w:val="28"/>
          <w:szCs w:val="28"/>
          <w:lang w:val="zh-CN" w:eastAsia="zh-CN"/>
        </w:rPr>
        <w:t>《财产清点登记表》</w:t>
      </w:r>
      <w:r>
        <w:rPr>
          <w:rFonts w:hint="eastAsia" w:ascii="仿宋_GB2312" w:eastAsia="仿宋_GB2312"/>
          <w:color w:val="auto"/>
          <w:spacing w:val="2"/>
          <w:sz w:val="28"/>
          <w:szCs w:val="28"/>
        </w:rPr>
        <w:t>等资料，对估价对象的权属、建造年代、面积、用途</w:t>
      </w:r>
      <w:r>
        <w:rPr>
          <w:rFonts w:hint="eastAsia" w:ascii="仿宋_GB2312" w:eastAsia="仿宋_GB2312"/>
          <w:color w:val="auto"/>
          <w:spacing w:val="2"/>
          <w:sz w:val="28"/>
          <w:szCs w:val="28"/>
          <w:lang w:eastAsia="zh-CN"/>
        </w:rPr>
        <w:t>、室内家具家电</w:t>
      </w:r>
      <w:r>
        <w:rPr>
          <w:rFonts w:hint="eastAsia" w:ascii="仿宋_GB2312" w:eastAsia="仿宋_GB2312"/>
          <w:color w:val="auto"/>
          <w:spacing w:val="2"/>
          <w:sz w:val="28"/>
          <w:szCs w:val="28"/>
        </w:rPr>
        <w:t>等资料进行了检查，对估价对象房屋进行了实地查勘，在无理由怀疑其合法性、真实性、准确性和完整性且未予以核实的情况下，假定估价委托人提供的</w:t>
      </w:r>
      <w:r>
        <w:rPr>
          <w:rFonts w:hint="eastAsia" w:ascii="宋体" w:hAnsi="宋体" w:eastAsia="仿宋_GB2312"/>
          <w:color w:val="auto"/>
          <w:sz w:val="28"/>
          <w:szCs w:val="28"/>
          <w:lang w:val="zh-CN"/>
        </w:rPr>
        <w:t>《吴忠市利通区人民法院评估委托书》、《利通区不动产登记信息查询单》、</w:t>
      </w:r>
      <w:r>
        <w:rPr>
          <w:rFonts w:hint="eastAsia" w:ascii="仿宋_GB2312" w:hAnsi="仿宋_GB2312" w:eastAsia="仿宋_GB2312" w:cs="仿宋_GB2312"/>
          <w:color w:val="auto"/>
          <w:sz w:val="28"/>
          <w:szCs w:val="28"/>
          <w:lang w:val="zh-CN" w:eastAsia="zh-CN"/>
        </w:rPr>
        <w:t>《财产清点登记表》</w:t>
      </w:r>
      <w:r>
        <w:rPr>
          <w:rFonts w:hint="eastAsia" w:ascii="仿宋_GB2312" w:eastAsia="仿宋_GB2312"/>
          <w:color w:val="auto"/>
          <w:spacing w:val="2"/>
          <w:sz w:val="28"/>
          <w:szCs w:val="28"/>
        </w:rPr>
        <w:t>及估价对象的权属、建造年代、面积、用途</w:t>
      </w:r>
      <w:r>
        <w:rPr>
          <w:rFonts w:hint="eastAsia" w:ascii="仿宋_GB2312" w:eastAsia="仿宋_GB2312"/>
          <w:color w:val="auto"/>
          <w:spacing w:val="2"/>
          <w:sz w:val="28"/>
          <w:szCs w:val="28"/>
          <w:lang w:eastAsia="zh-CN"/>
        </w:rPr>
        <w:t>、室内家具家电</w:t>
      </w:r>
      <w:r>
        <w:rPr>
          <w:rFonts w:hint="eastAsia" w:ascii="仿宋_GB2312" w:eastAsia="仿宋_GB2312"/>
          <w:color w:val="auto"/>
          <w:spacing w:val="2"/>
          <w:sz w:val="28"/>
          <w:szCs w:val="28"/>
        </w:rPr>
        <w:t>等资料合法、真实、准确及完整有效。</w:t>
      </w:r>
      <w:r>
        <w:rPr>
          <w:rFonts w:hint="eastAsia" w:ascii="仿宋_GB2312" w:hAnsi="宋体" w:eastAsia="仿宋_GB2312"/>
          <w:color w:val="auto"/>
          <w:sz w:val="28"/>
        </w:rPr>
        <w:t>估价委托人对所提供情况和资料的真实性、合法性及完整性负责。因所提供情况和资料失实造成估价结果有误的，评估机构和估价人员不承担相应的责任。</w:t>
      </w:r>
    </w:p>
    <w:p>
      <w:pPr>
        <w:spacing w:line="520" w:lineRule="exact"/>
        <w:ind w:firstLine="560" w:firstLineChars="200"/>
        <w:rPr>
          <w:rFonts w:hint="eastAsia" w:ascii="仿宋_GB2312" w:hAnsi="宋体" w:eastAsia="仿宋_GB2312"/>
          <w:color w:val="auto"/>
          <w:sz w:val="28"/>
        </w:rPr>
      </w:pPr>
      <w:r>
        <w:rPr>
          <w:rFonts w:hint="eastAsia" w:ascii="仿宋_GB2312" w:hAnsi="宋体" w:eastAsia="仿宋_GB2312"/>
          <w:color w:val="auto"/>
          <w:sz w:val="28"/>
        </w:rPr>
        <w:t>2、</w:t>
      </w:r>
      <w:r>
        <w:rPr>
          <w:rFonts w:hint="eastAsia" w:ascii="仿宋_GB2312" w:eastAsia="仿宋_GB2312"/>
          <w:color w:val="auto"/>
          <w:sz w:val="28"/>
          <w:szCs w:val="28"/>
        </w:rPr>
        <w:t>本次估价是以估价委托人提供于本估价机构的估价对象无权属纠纷，无法律、法规规定禁止按本次估价目的使用的其他情形为假设前提。</w:t>
      </w:r>
    </w:p>
    <w:p>
      <w:pPr>
        <w:spacing w:line="520" w:lineRule="exact"/>
        <w:ind w:firstLine="560" w:firstLineChars="200"/>
        <w:rPr>
          <w:rFonts w:hint="eastAsia" w:ascii="仿宋_GB2312" w:eastAsia="仿宋_GB2312"/>
          <w:color w:val="auto"/>
          <w:spacing w:val="5"/>
          <w:sz w:val="28"/>
          <w:szCs w:val="28"/>
        </w:rPr>
      </w:pPr>
      <w:r>
        <w:rPr>
          <w:rFonts w:hint="eastAsia" w:ascii="仿宋_GB2312" w:hAnsi="宋体" w:eastAsia="仿宋_GB2312"/>
          <w:color w:val="auto"/>
          <w:sz w:val="28"/>
        </w:rPr>
        <w:t>3、</w:t>
      </w:r>
      <w:r>
        <w:rPr>
          <w:rFonts w:hint="eastAsia" w:ascii="仿宋_GB2312" w:eastAsia="仿宋_GB2312"/>
          <w:color w:val="auto"/>
          <w:spacing w:val="5"/>
          <w:sz w:val="28"/>
          <w:szCs w:val="28"/>
        </w:rPr>
        <w:t>估价人员对估价对象房屋安全、周边环境进行了实地查勘，但估价人员对估价对象房屋、周边环境的实地查勘仅限于在查勘之日的外观作一般性的查勘，对结构及难以接触到的部分等内在质量情况及需要对环境进行的检测，本公司没有专业上的能力及资质，故不能确定其有无内在缺陷等房屋安全及环境污染问题，故在无理由怀疑估价对象存在安全隐患且无相关的专业机构进行鉴定、检测的情况下，假定估价对象房屋安全及周边环境能够符合国家有关技术、质量、验收规范，符合国家有关安全使用标准。</w:t>
      </w:r>
    </w:p>
    <w:p>
      <w:pPr>
        <w:spacing w:line="520" w:lineRule="exact"/>
        <w:ind w:firstLine="560" w:firstLineChars="200"/>
        <w:rPr>
          <w:rFonts w:hint="eastAsia" w:ascii="仿宋_GB2312" w:hAnsi="宋体" w:eastAsia="仿宋_GB2312"/>
          <w:color w:val="000000"/>
          <w:sz w:val="28"/>
        </w:rPr>
      </w:pPr>
      <w:r>
        <w:rPr>
          <w:rFonts w:hint="eastAsia" w:ascii="仿宋_GB2312" w:hAnsi="宋体" w:eastAsia="仿宋_GB2312"/>
          <w:color w:val="auto"/>
          <w:sz w:val="28"/>
        </w:rPr>
        <w:t>4、估价对象在价值时点的房地产市场为公开、平等、自</w:t>
      </w:r>
      <w:r>
        <w:rPr>
          <w:rFonts w:hint="eastAsia" w:ascii="仿宋_GB2312" w:hAnsi="宋体" w:eastAsia="仿宋_GB2312"/>
          <w:color w:val="000000"/>
          <w:sz w:val="28"/>
        </w:rPr>
        <w:t>愿的交易市场。</w:t>
      </w:r>
    </w:p>
    <w:p>
      <w:pPr>
        <w:spacing w:line="520" w:lineRule="exact"/>
        <w:ind w:right="74" w:firstLine="580"/>
        <w:rPr>
          <w:rFonts w:hint="eastAsia" w:ascii="仿宋_GB2312" w:hAnsi="宋体" w:eastAsia="仿宋_GB2312"/>
          <w:color w:val="000000"/>
          <w:sz w:val="28"/>
        </w:rPr>
      </w:pPr>
      <w:r>
        <w:rPr>
          <w:rFonts w:hint="eastAsia" w:ascii="仿宋_GB2312" w:hAnsi="宋体" w:eastAsia="仿宋_GB2312"/>
          <w:color w:val="000000"/>
          <w:sz w:val="28"/>
        </w:rPr>
        <w:t>5、我们评估采用公开市场价值标准，即在价值时点对估价对象进行合理销售的最佳价格。这里假设：</w:t>
      </w:r>
    </w:p>
    <w:p>
      <w:pPr>
        <w:spacing w:line="520" w:lineRule="exact"/>
        <w:ind w:right="74" w:firstLine="580"/>
        <w:rPr>
          <w:rFonts w:hint="eastAsia" w:ascii="仿宋_GB2312" w:eastAsia="仿宋_GB2312"/>
          <w:spacing w:val="5"/>
          <w:sz w:val="28"/>
          <w:szCs w:val="28"/>
        </w:rPr>
      </w:pPr>
      <w:r>
        <w:rPr>
          <w:rFonts w:hint="eastAsia" w:ascii="仿宋_GB2312" w:eastAsia="仿宋_GB2312"/>
          <w:spacing w:val="5"/>
          <w:sz w:val="28"/>
          <w:szCs w:val="28"/>
        </w:rPr>
        <w:t>⑴交易双方是自愿地进行交易的；</w:t>
      </w:r>
    </w:p>
    <w:p>
      <w:pPr>
        <w:spacing w:line="520" w:lineRule="exact"/>
        <w:ind w:right="74" w:firstLine="580"/>
        <w:rPr>
          <w:rFonts w:hint="eastAsia" w:ascii="仿宋_GB2312" w:hAnsi="宋体" w:eastAsia="仿宋_GB2312" w:cs="宋体"/>
          <w:spacing w:val="5"/>
          <w:sz w:val="28"/>
          <w:szCs w:val="28"/>
        </w:rPr>
      </w:pPr>
      <w:r>
        <w:rPr>
          <w:rFonts w:hint="eastAsia" w:ascii="仿宋_GB2312" w:eastAsia="仿宋_GB2312"/>
          <w:spacing w:val="5"/>
          <w:sz w:val="28"/>
          <w:szCs w:val="28"/>
        </w:rPr>
        <w:t>⑵交易双方进行交易的目的是追求自身</w:t>
      </w:r>
      <w:r>
        <w:rPr>
          <w:rFonts w:hint="eastAsia" w:ascii="仿宋_GB2312" w:hAnsi="宋体" w:eastAsia="仿宋_GB2312" w:cs="宋体"/>
          <w:spacing w:val="5"/>
          <w:sz w:val="28"/>
          <w:szCs w:val="28"/>
        </w:rPr>
        <w:t>利益的最大化；</w:t>
      </w:r>
    </w:p>
    <w:p>
      <w:pPr>
        <w:spacing w:line="520" w:lineRule="exact"/>
        <w:ind w:right="74" w:firstLine="580"/>
        <w:rPr>
          <w:rFonts w:hint="eastAsia" w:ascii="仿宋_GB2312" w:hAnsi="宋体" w:eastAsia="仿宋_GB2312" w:cs="宋体"/>
          <w:spacing w:val="5"/>
          <w:sz w:val="28"/>
          <w:szCs w:val="28"/>
        </w:rPr>
      </w:pPr>
      <w:r>
        <w:rPr>
          <w:rFonts w:hint="eastAsia" w:ascii="仿宋_GB2312" w:hAnsi="宋体" w:eastAsia="仿宋_GB2312" w:cs="宋体"/>
          <w:spacing w:val="5"/>
          <w:sz w:val="28"/>
          <w:szCs w:val="28"/>
        </w:rPr>
        <w:t>⑶交易双方具有必要的专业知识，并了解交易对象；</w:t>
      </w:r>
    </w:p>
    <w:p>
      <w:pPr>
        <w:spacing w:line="520" w:lineRule="exact"/>
        <w:ind w:right="74" w:firstLine="580"/>
        <w:rPr>
          <w:rFonts w:hint="eastAsia" w:ascii="仿宋_GB2312" w:hAnsi="宋体" w:eastAsia="仿宋_GB2312" w:cs="宋体"/>
          <w:spacing w:val="5"/>
          <w:sz w:val="28"/>
          <w:szCs w:val="28"/>
        </w:rPr>
      </w:pPr>
      <w:r>
        <w:rPr>
          <w:rFonts w:hint="eastAsia" w:ascii="仿宋_GB2312" w:hAnsi="宋体" w:eastAsia="仿宋_GB2312" w:cs="宋体"/>
          <w:spacing w:val="5"/>
          <w:sz w:val="28"/>
          <w:szCs w:val="28"/>
        </w:rPr>
        <w:t>⑷交易双方掌握必要的市场信息；</w:t>
      </w:r>
    </w:p>
    <w:p>
      <w:pPr>
        <w:spacing w:line="520" w:lineRule="exact"/>
        <w:ind w:right="74" w:firstLine="580"/>
        <w:rPr>
          <w:rFonts w:hint="eastAsia" w:ascii="仿宋_GB2312" w:hAnsi="宋体" w:eastAsia="仿宋_GB2312" w:cs="宋体"/>
          <w:spacing w:val="5"/>
          <w:sz w:val="28"/>
          <w:szCs w:val="28"/>
        </w:rPr>
      </w:pPr>
      <w:r>
        <w:rPr>
          <w:rFonts w:hint="eastAsia" w:ascii="仿宋_GB2312" w:hAnsi="宋体" w:eastAsia="仿宋_GB2312" w:cs="宋体"/>
          <w:spacing w:val="5"/>
          <w:sz w:val="28"/>
          <w:szCs w:val="28"/>
        </w:rPr>
        <w:t>⑸交易双方有较充裕的时间进行交易；</w:t>
      </w:r>
    </w:p>
    <w:p>
      <w:pPr>
        <w:spacing w:line="520" w:lineRule="exact"/>
        <w:ind w:right="74" w:firstLine="580"/>
        <w:rPr>
          <w:rFonts w:hint="eastAsia" w:ascii="仿宋_GB2312" w:hAnsi="宋体" w:eastAsia="仿宋_GB2312" w:cs="宋体"/>
          <w:spacing w:val="5"/>
          <w:sz w:val="28"/>
          <w:szCs w:val="28"/>
        </w:rPr>
      </w:pPr>
      <w:r>
        <w:rPr>
          <w:rFonts w:hint="eastAsia" w:ascii="仿宋_GB2312" w:hAnsi="宋体" w:eastAsia="仿宋_GB2312" w:cs="宋体"/>
          <w:spacing w:val="5"/>
          <w:sz w:val="28"/>
          <w:szCs w:val="28"/>
        </w:rPr>
        <w:t>⑹不存在特殊买者的附加出价。</w:t>
      </w:r>
    </w:p>
    <w:p>
      <w:pPr>
        <w:spacing w:line="520" w:lineRule="exact"/>
        <w:ind w:firstLine="570"/>
        <w:rPr>
          <w:rFonts w:hint="eastAsia" w:ascii="仿宋_GB2312" w:hAnsi="宋体" w:eastAsia="仿宋_GB2312"/>
          <w:color w:val="000000"/>
          <w:spacing w:val="-2"/>
          <w:sz w:val="28"/>
          <w:szCs w:val="28"/>
        </w:rPr>
      </w:pPr>
      <w:r>
        <w:rPr>
          <w:rFonts w:hint="eastAsia" w:ascii="仿宋_GB2312" w:hAnsi="宋体" w:eastAsia="仿宋_GB2312"/>
          <w:color w:val="000000"/>
          <w:spacing w:val="-2"/>
          <w:sz w:val="28"/>
          <w:szCs w:val="28"/>
        </w:rPr>
        <w:t>6、估价对象应以保持估价人员现场查勘时的现状持续使用为估价前提。</w:t>
      </w:r>
    </w:p>
    <w:p>
      <w:pPr>
        <w:spacing w:line="520" w:lineRule="exact"/>
        <w:ind w:firstLine="570"/>
        <w:rPr>
          <w:rFonts w:hint="eastAsia" w:ascii="仿宋_GB2312" w:hAnsi="宋体" w:eastAsia="仿宋_GB2312"/>
          <w:color w:val="000000"/>
          <w:sz w:val="28"/>
        </w:rPr>
      </w:pPr>
      <w:r>
        <w:rPr>
          <w:rFonts w:hint="eastAsia" w:ascii="仿宋_GB2312" w:hAnsi="宋体" w:eastAsia="仿宋_GB2312"/>
          <w:color w:val="000000"/>
          <w:spacing w:val="-2"/>
          <w:sz w:val="28"/>
          <w:szCs w:val="28"/>
        </w:rPr>
        <w:t>7、报</w:t>
      </w:r>
      <w:r>
        <w:rPr>
          <w:rFonts w:hint="eastAsia" w:ascii="仿宋_GB2312" w:hAnsi="宋体" w:eastAsia="仿宋_GB2312"/>
          <w:color w:val="000000"/>
          <w:sz w:val="28"/>
        </w:rPr>
        <w:t>告有效期内无足以影响房地产市场发生实质性变化的国家财税、土地利用等政策的重大调整变化。</w:t>
      </w:r>
    </w:p>
    <w:p>
      <w:pPr>
        <w:spacing w:line="520" w:lineRule="exact"/>
        <w:ind w:firstLine="570"/>
        <w:rPr>
          <w:rFonts w:hint="eastAsia" w:ascii="仿宋_GB2312" w:hAnsi="宋体" w:eastAsia="仿宋_GB2312"/>
          <w:color w:val="000000"/>
          <w:sz w:val="28"/>
        </w:rPr>
      </w:pPr>
      <w:r>
        <w:rPr>
          <w:rFonts w:hint="eastAsia" w:ascii="仿宋_GB2312" w:hAnsi="宋体" w:eastAsia="仿宋_GB2312"/>
          <w:color w:val="000000"/>
          <w:sz w:val="28"/>
        </w:rPr>
        <w:t>8、</w:t>
      </w:r>
      <w:r>
        <w:rPr>
          <w:rFonts w:hint="eastAsia" w:ascii="仿宋_GB2312" w:hAnsi="宋体" w:eastAsia="仿宋_GB2312"/>
          <w:color w:val="000000"/>
          <w:sz w:val="28"/>
          <w:szCs w:val="22"/>
        </w:rPr>
        <w:t>估价人员未明确估价对象欠缴税费、拖欠物业费、供暖费、水电气费等情况及金额，本次估价设定上述税费均已交清，</w:t>
      </w:r>
      <w:r>
        <w:rPr>
          <w:rFonts w:hint="eastAsia" w:ascii="仿宋_GB2312" w:hAnsi="楷体_GB2312" w:eastAsia="仿宋_GB2312"/>
          <w:bCs/>
          <w:sz w:val="28"/>
        </w:rPr>
        <w:t>提请估价报告使用人注意</w:t>
      </w:r>
      <w:r>
        <w:rPr>
          <w:rFonts w:hint="eastAsia" w:ascii="仿宋_GB2312" w:hAnsi="宋体" w:eastAsia="仿宋_GB2312"/>
          <w:color w:val="000000"/>
          <w:sz w:val="28"/>
          <w:szCs w:val="22"/>
        </w:rPr>
        <w:t>。</w:t>
      </w:r>
    </w:p>
    <w:p>
      <w:pPr>
        <w:numPr>
          <w:ilvl w:val="0"/>
          <w:numId w:val="1"/>
        </w:numPr>
        <w:adjustRightInd w:val="0"/>
        <w:spacing w:line="520" w:lineRule="exact"/>
        <w:textAlignment w:val="baseline"/>
        <w:outlineLvl w:val="1"/>
        <w:rPr>
          <w:rFonts w:hint="eastAsia" w:ascii="仿宋_GB2312" w:hAnsi="宋体" w:eastAsia="仿宋_GB2312"/>
          <w:color w:val="000000"/>
          <w:sz w:val="28"/>
          <w:szCs w:val="28"/>
        </w:rPr>
      </w:pPr>
      <w:bookmarkStart w:id="14" w:name="_Toc438625249"/>
      <w:bookmarkStart w:id="15" w:name="_Toc28260"/>
      <w:bookmarkStart w:id="16" w:name="_Toc21714"/>
      <w:bookmarkStart w:id="17" w:name="_Toc15096"/>
      <w:bookmarkStart w:id="18" w:name="_Toc28967"/>
      <w:r>
        <w:rPr>
          <w:rFonts w:hint="eastAsia" w:ascii="仿宋_GB2312" w:hAnsi="宋体" w:eastAsia="仿宋_GB2312"/>
          <w:color w:val="000000"/>
          <w:sz w:val="28"/>
          <w:szCs w:val="28"/>
        </w:rPr>
        <w:t>特殊类假设</w:t>
      </w:r>
      <w:bookmarkEnd w:id="14"/>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eastAsia" w:ascii="仿宋_GB2312" w:hAnsi="楷体_GB2312" w:eastAsia="仿宋_GB2312"/>
          <w:bCs/>
          <w:color w:val="auto"/>
          <w:sz w:val="28"/>
        </w:rPr>
      </w:pPr>
      <w:r>
        <w:rPr>
          <w:rFonts w:hint="eastAsia" w:ascii="仿宋_GB2312" w:hAnsi="楷体_GB2312" w:eastAsia="仿宋_GB2312"/>
          <w:bCs/>
          <w:color w:val="auto"/>
          <w:sz w:val="28"/>
        </w:rPr>
        <w:t>1</w:t>
      </w:r>
      <w:r>
        <w:rPr>
          <w:rFonts w:hint="eastAsia" w:ascii="仿宋_GB2312" w:hAnsi="楷体_GB2312" w:eastAsia="仿宋_GB2312"/>
          <w:bCs/>
          <w:color w:val="auto"/>
          <w:sz w:val="28"/>
          <w:lang w:eastAsia="zh-CN"/>
        </w:rPr>
        <w:t>、</w:t>
      </w:r>
      <w:r>
        <w:rPr>
          <w:rFonts w:hint="eastAsia" w:ascii="仿宋_GB2312" w:hAnsi="楷体_GB2312" w:eastAsia="仿宋_GB2312"/>
          <w:bCs/>
          <w:color w:val="auto"/>
          <w:sz w:val="28"/>
        </w:rPr>
        <w:t>未定事项假设</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eastAsia" w:ascii="仿宋_GB2312" w:hAnsi="楷体_GB2312" w:eastAsia="仿宋_GB2312"/>
          <w:bCs/>
          <w:color w:val="auto"/>
          <w:sz w:val="28"/>
        </w:rPr>
      </w:pPr>
      <w:r>
        <w:rPr>
          <w:rFonts w:hint="eastAsia" w:ascii="仿宋_GB2312" w:hAnsi="楷体_GB2312" w:eastAsia="仿宋_GB2312"/>
          <w:bCs/>
          <w:color w:val="auto"/>
          <w:sz w:val="28"/>
        </w:rPr>
        <w:t>本次估价的估价对象不存在未确定事项，故本估价报告无未定事项假设</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eastAsia" w:ascii="仿宋_GB2312" w:hAnsi="楷体_GB2312" w:eastAsia="仿宋_GB2312"/>
          <w:bCs/>
          <w:color w:val="auto"/>
          <w:sz w:val="28"/>
        </w:rPr>
      </w:pPr>
      <w:r>
        <w:rPr>
          <w:rFonts w:hint="eastAsia" w:ascii="仿宋_GB2312" w:hAnsi="楷体_GB2312" w:eastAsia="仿宋_GB2312"/>
          <w:bCs/>
          <w:color w:val="auto"/>
          <w:sz w:val="28"/>
        </w:rPr>
        <w:t>2</w:t>
      </w:r>
      <w:r>
        <w:rPr>
          <w:rFonts w:hint="eastAsia" w:ascii="仿宋_GB2312" w:hAnsi="楷体_GB2312" w:eastAsia="仿宋_GB2312"/>
          <w:bCs/>
          <w:color w:val="auto"/>
          <w:sz w:val="28"/>
          <w:lang w:eastAsia="zh-CN"/>
        </w:rPr>
        <w:t>、</w:t>
      </w:r>
      <w:r>
        <w:rPr>
          <w:rFonts w:hint="eastAsia" w:ascii="仿宋_GB2312" w:hAnsi="楷体_GB2312" w:eastAsia="仿宋_GB2312"/>
          <w:bCs/>
          <w:color w:val="auto"/>
          <w:sz w:val="28"/>
        </w:rPr>
        <w:t>背离事实假设</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eastAsia" w:ascii="仿宋_GB2312" w:hAnsi="楷体_GB2312" w:eastAsia="仿宋_GB2312"/>
          <w:bCs/>
          <w:color w:val="auto"/>
          <w:sz w:val="28"/>
        </w:rPr>
      </w:pPr>
      <w:r>
        <w:rPr>
          <w:rFonts w:hint="eastAsia" w:ascii="仿宋_GB2312" w:hAnsi="楷体_GB2312" w:eastAsia="仿宋_GB2312"/>
          <w:bCs/>
          <w:color w:val="auto"/>
          <w:sz w:val="28"/>
        </w:rPr>
        <w:t>本次估价的估价对象不存在背离事实事项，故本估价报告无背离事实假设。</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eastAsia" w:ascii="仿宋_GB2312" w:hAnsi="楷体_GB2312" w:eastAsia="仿宋_GB2312"/>
          <w:bCs/>
          <w:color w:val="auto"/>
          <w:sz w:val="28"/>
        </w:rPr>
      </w:pPr>
      <w:r>
        <w:rPr>
          <w:rFonts w:hint="eastAsia" w:ascii="仿宋_GB2312" w:hAnsi="楷体_GB2312" w:eastAsia="仿宋_GB2312"/>
          <w:bCs/>
          <w:color w:val="auto"/>
          <w:sz w:val="28"/>
        </w:rPr>
        <w:t>3</w:t>
      </w:r>
      <w:r>
        <w:rPr>
          <w:rFonts w:hint="eastAsia" w:ascii="仿宋_GB2312" w:hAnsi="楷体_GB2312" w:eastAsia="仿宋_GB2312"/>
          <w:bCs/>
          <w:color w:val="auto"/>
          <w:sz w:val="28"/>
          <w:lang w:eastAsia="zh-CN"/>
        </w:rPr>
        <w:t>、</w:t>
      </w:r>
      <w:r>
        <w:rPr>
          <w:rFonts w:hint="eastAsia" w:ascii="仿宋_GB2312" w:hAnsi="楷体_GB2312" w:eastAsia="仿宋_GB2312"/>
          <w:bCs/>
          <w:color w:val="auto"/>
          <w:sz w:val="28"/>
        </w:rPr>
        <w:t>不相一致假设</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eastAsia" w:ascii="仿宋_GB2312" w:hAnsi="楷体_GB2312" w:eastAsia="仿宋_GB2312"/>
          <w:bCs/>
          <w:color w:val="auto"/>
          <w:sz w:val="28"/>
        </w:rPr>
      </w:pPr>
      <w:r>
        <w:rPr>
          <w:rFonts w:hint="eastAsia" w:ascii="仿宋_GB2312" w:hAnsi="楷体_GB2312" w:eastAsia="仿宋_GB2312"/>
          <w:bCs/>
          <w:color w:val="auto"/>
          <w:sz w:val="28"/>
        </w:rPr>
        <w:t>本次估价的估价对象</w:t>
      </w:r>
      <w:r>
        <w:rPr>
          <w:rFonts w:hint="eastAsia" w:ascii="仿宋_GB2312" w:hAnsi="楷体_GB2312" w:eastAsia="仿宋_GB2312"/>
          <w:bCs/>
          <w:color w:val="auto"/>
          <w:sz w:val="28"/>
          <w:lang w:eastAsia="zh-CN"/>
        </w:rPr>
        <w:t>不</w:t>
      </w:r>
      <w:r>
        <w:rPr>
          <w:rFonts w:hint="eastAsia" w:ascii="仿宋_GB2312" w:hAnsi="楷体_GB2312" w:eastAsia="仿宋_GB2312"/>
          <w:bCs/>
          <w:color w:val="auto"/>
          <w:sz w:val="28"/>
        </w:rPr>
        <w:t>存在不相一致事项</w:t>
      </w:r>
      <w:r>
        <w:rPr>
          <w:rFonts w:hint="eastAsia" w:ascii="仿宋_GB2312" w:hAnsi="楷体_GB2312" w:eastAsia="仿宋_GB2312"/>
          <w:bCs/>
          <w:color w:val="auto"/>
          <w:sz w:val="28"/>
          <w:lang w:eastAsia="zh-CN"/>
        </w:rPr>
        <w:t>，</w:t>
      </w:r>
      <w:r>
        <w:rPr>
          <w:rFonts w:hint="eastAsia" w:ascii="仿宋_GB2312" w:hAnsi="楷体_GB2312" w:eastAsia="仿宋_GB2312"/>
          <w:bCs/>
          <w:color w:val="auto"/>
          <w:sz w:val="28"/>
        </w:rPr>
        <w:t>故本估价报告</w:t>
      </w:r>
      <w:r>
        <w:rPr>
          <w:rFonts w:hint="eastAsia" w:ascii="仿宋_GB2312" w:hAnsi="楷体_GB2312" w:eastAsia="仿宋_GB2312"/>
          <w:bCs/>
          <w:color w:val="auto"/>
          <w:sz w:val="28"/>
          <w:lang w:eastAsia="zh-CN"/>
        </w:rPr>
        <w:t>无</w:t>
      </w:r>
      <w:r>
        <w:rPr>
          <w:rFonts w:hint="eastAsia" w:ascii="仿宋_GB2312" w:hAnsi="楷体_GB2312" w:eastAsia="仿宋_GB2312"/>
          <w:bCs/>
          <w:color w:val="auto"/>
          <w:sz w:val="28"/>
        </w:rPr>
        <w:t>不相一致事项假设。</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eastAsia" w:ascii="仿宋_GB2312" w:hAnsi="楷体_GB2312" w:eastAsia="仿宋_GB2312"/>
          <w:bCs/>
          <w:color w:val="auto"/>
          <w:sz w:val="28"/>
        </w:rPr>
      </w:pPr>
      <w:r>
        <w:rPr>
          <w:rFonts w:hint="eastAsia" w:ascii="仿宋_GB2312" w:hAnsi="楷体_GB2312" w:eastAsia="仿宋_GB2312"/>
          <w:bCs/>
          <w:color w:val="auto"/>
          <w:sz w:val="28"/>
        </w:rPr>
        <w:t>4</w:t>
      </w:r>
      <w:r>
        <w:rPr>
          <w:rFonts w:hint="eastAsia" w:ascii="仿宋_GB2312" w:hAnsi="楷体_GB2312" w:eastAsia="仿宋_GB2312"/>
          <w:bCs/>
          <w:color w:val="auto"/>
          <w:sz w:val="28"/>
          <w:lang w:eastAsia="zh-CN"/>
        </w:rPr>
        <w:t>、</w:t>
      </w:r>
      <w:r>
        <w:rPr>
          <w:rFonts w:hint="eastAsia" w:ascii="仿宋_GB2312" w:hAnsi="楷体_GB2312" w:eastAsia="仿宋_GB2312"/>
          <w:bCs/>
          <w:color w:val="auto"/>
          <w:sz w:val="28"/>
        </w:rPr>
        <w:t>依据不足假设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olor w:val="auto"/>
          <w:sz w:val="28"/>
        </w:rPr>
      </w:pPr>
      <w:r>
        <w:rPr>
          <w:rFonts w:hint="eastAsia" w:ascii="仿宋_GB2312" w:hAnsi="宋体" w:eastAsia="仿宋_GB2312"/>
          <w:b w:val="0"/>
          <w:bCs/>
          <w:color w:val="auto"/>
          <w:sz w:val="28"/>
          <w:szCs w:val="28"/>
        </w:rPr>
        <w:t>本次估价的估价对象不存在依据不足事项，故本估价报告无依据不足事项假设</w:t>
      </w:r>
      <w:r>
        <w:rPr>
          <w:rFonts w:hint="eastAsia" w:ascii="仿宋_GB2312" w:hAnsi="楷体_GB2312" w:eastAsia="仿宋_GB2312"/>
          <w:bCs/>
          <w:color w:val="auto"/>
          <w:sz w:val="28"/>
        </w:rPr>
        <w:t>。</w:t>
      </w:r>
    </w:p>
    <w:p>
      <w:pPr>
        <w:spacing w:line="520" w:lineRule="exact"/>
        <w:rPr>
          <w:rFonts w:hint="eastAsia" w:ascii="仿宋_GB2312" w:hAnsi="宋体" w:eastAsia="仿宋_GB2312"/>
          <w:b/>
          <w:color w:val="000000"/>
          <w:sz w:val="28"/>
        </w:rPr>
      </w:pPr>
      <w:r>
        <w:rPr>
          <w:rFonts w:hint="eastAsia" w:ascii="仿宋_GB2312" w:hAnsi="宋体" w:eastAsia="仿宋_GB2312"/>
          <w:b/>
          <w:color w:val="000000"/>
          <w:sz w:val="28"/>
        </w:rPr>
        <w:t>二、估价报告使用限制</w:t>
      </w:r>
    </w:p>
    <w:p>
      <w:pPr>
        <w:spacing w:line="500" w:lineRule="exact"/>
        <w:ind w:firstLine="560" w:firstLineChars="200"/>
        <w:rPr>
          <w:rFonts w:hint="eastAsia" w:ascii="仿宋_GB2312" w:hAnsi="宋体" w:eastAsia="仿宋_GB2312"/>
          <w:color w:val="000000"/>
          <w:sz w:val="28"/>
        </w:rPr>
      </w:pPr>
      <w:r>
        <w:rPr>
          <w:rFonts w:hint="eastAsia" w:ascii="仿宋_GB2312" w:hAnsi="宋体" w:eastAsia="仿宋_GB2312"/>
          <w:color w:val="000000"/>
          <w:sz w:val="28"/>
        </w:rPr>
        <w:t>1、本报告估价目的仅为人民法院确定财产处置参考价提供参考依据，不作他用，如若改变估价目的必须重新评估。</w:t>
      </w:r>
    </w:p>
    <w:p>
      <w:pPr>
        <w:spacing w:line="500" w:lineRule="exact"/>
        <w:ind w:firstLine="560" w:firstLineChars="200"/>
        <w:rPr>
          <w:rFonts w:hint="eastAsia" w:ascii="仿宋_GB2312" w:hAnsi="宋体" w:eastAsia="仿宋_GB2312"/>
          <w:color w:val="000000"/>
          <w:sz w:val="28"/>
        </w:rPr>
      </w:pPr>
      <w:r>
        <w:rPr>
          <w:rFonts w:hint="eastAsia" w:ascii="仿宋_GB2312" w:hAnsi="宋体" w:eastAsia="仿宋_GB2312"/>
          <w:color w:val="000000"/>
          <w:sz w:val="28"/>
        </w:rPr>
        <w:t>2、本报告只限于估价委托人及本次估价目的涉及的估价利害关系人使用。未经本评估机构和估价人员同意，本估价报告的全部或部分内容不得向估价委托人及估价报告审查部门之外的单位和个人提供，凡因委托人使用估价报告不当而引起的后果，评估机构和估价人员不承担相应的责任。本估价报告也不得发表于任何公开媒体上，报告解释权为本评估机构所有。</w:t>
      </w:r>
    </w:p>
    <w:p>
      <w:pPr>
        <w:spacing w:line="500" w:lineRule="exact"/>
        <w:ind w:firstLine="560" w:firstLineChars="200"/>
        <w:rPr>
          <w:rFonts w:hint="eastAsia" w:ascii="仿宋_GB2312" w:hAnsi="宋体" w:eastAsia="仿宋_GB2312"/>
          <w:color w:val="000000"/>
          <w:sz w:val="28"/>
        </w:rPr>
      </w:pPr>
      <w:r>
        <w:rPr>
          <w:rFonts w:hint="eastAsia" w:ascii="仿宋_GB2312" w:hAnsi="宋体" w:eastAsia="仿宋_GB2312"/>
          <w:color w:val="000000"/>
          <w:sz w:val="28"/>
        </w:rPr>
        <w:t>3、本估价报告书由正文和附件两部分共同构成，不得随意分割使用。本报告经法定代表人签章，注册房地产估价师签章，评估机构盖章并作为一个整体时有效。</w:t>
      </w:r>
    </w:p>
    <w:p>
      <w:pPr>
        <w:spacing w:line="500" w:lineRule="exact"/>
        <w:ind w:firstLine="560" w:firstLineChars="200"/>
        <w:rPr>
          <w:rFonts w:hint="eastAsia" w:ascii="仿宋_GB2312" w:hAnsi="宋体" w:eastAsia="仿宋_GB2312"/>
          <w:color w:val="000000"/>
          <w:sz w:val="28"/>
        </w:rPr>
      </w:pPr>
      <w:r>
        <w:rPr>
          <w:rFonts w:hint="eastAsia" w:ascii="仿宋_GB2312" w:hAnsi="宋体" w:eastAsia="仿宋_GB2312"/>
          <w:color w:val="auto"/>
          <w:sz w:val="28"/>
        </w:rPr>
        <w:t>4、估价对象的建造年代、建筑结构、建筑面积、用途</w:t>
      </w:r>
      <w:r>
        <w:rPr>
          <w:rFonts w:hint="eastAsia" w:ascii="仿宋_GB2312" w:hAnsi="宋体" w:eastAsia="仿宋_GB2312"/>
          <w:color w:val="auto"/>
          <w:sz w:val="28"/>
          <w:lang w:eastAsia="zh-CN"/>
        </w:rPr>
        <w:t>、</w:t>
      </w:r>
      <w:r>
        <w:rPr>
          <w:rFonts w:hint="eastAsia" w:ascii="仿宋_GB2312" w:hAnsi="宋体" w:eastAsia="仿宋_GB2312"/>
          <w:color w:val="auto"/>
          <w:sz w:val="28"/>
        </w:rPr>
        <w:t>土地信息</w:t>
      </w:r>
      <w:r>
        <w:rPr>
          <w:rFonts w:hint="eastAsia" w:ascii="仿宋_GB2312" w:hAnsi="宋体" w:eastAsia="仿宋_GB2312"/>
          <w:color w:val="auto"/>
          <w:sz w:val="28"/>
          <w:lang w:eastAsia="zh-CN"/>
        </w:rPr>
        <w:t>及室内家具家电</w:t>
      </w:r>
      <w:r>
        <w:rPr>
          <w:rFonts w:hint="eastAsia" w:ascii="仿宋_GB2312" w:hAnsi="宋体" w:eastAsia="仿宋_GB2312"/>
          <w:color w:val="auto"/>
          <w:sz w:val="28"/>
        </w:rPr>
        <w:t>等均以估价委托人提供的</w:t>
      </w:r>
      <w:r>
        <w:rPr>
          <w:rFonts w:hint="eastAsia" w:ascii="仿宋_GB2312" w:hAnsi="宋体" w:eastAsia="仿宋_GB2312"/>
          <w:color w:val="auto"/>
          <w:sz w:val="28"/>
          <w:lang w:eastAsia="zh-CN"/>
        </w:rPr>
        <w:t>《利通区不动产登记信息查询单》、</w:t>
      </w:r>
      <w:r>
        <w:rPr>
          <w:rFonts w:hint="eastAsia" w:ascii="仿宋_GB2312" w:hAnsi="仿宋_GB2312" w:eastAsia="仿宋_GB2312" w:cs="仿宋_GB2312"/>
          <w:color w:val="auto"/>
          <w:sz w:val="28"/>
          <w:szCs w:val="28"/>
          <w:lang w:val="zh-CN" w:eastAsia="zh-CN"/>
        </w:rPr>
        <w:t>《财产清点登记表》</w:t>
      </w:r>
      <w:r>
        <w:rPr>
          <w:rFonts w:hint="eastAsia" w:ascii="仿宋_GB2312" w:hAnsi="宋体" w:eastAsia="仿宋_GB2312"/>
          <w:color w:val="auto"/>
          <w:sz w:val="28"/>
        </w:rPr>
        <w:t>中记载的数据为依据。若与国家有关测绘部门最终确认的数据有差异，本报告估价结果</w:t>
      </w:r>
      <w:r>
        <w:rPr>
          <w:rFonts w:hint="eastAsia" w:ascii="仿宋_GB2312" w:hAnsi="宋体" w:eastAsia="仿宋_GB2312"/>
          <w:color w:val="000000"/>
          <w:sz w:val="28"/>
        </w:rPr>
        <w:t>应做相应调整。若估价对象利用方式、价值时点、建筑面积等影响房地产价格的因素发生变化,该估价结果应作相应调整,甚至重估。</w:t>
      </w:r>
    </w:p>
    <w:p>
      <w:pPr>
        <w:spacing w:line="500" w:lineRule="exact"/>
        <w:ind w:firstLine="560" w:firstLineChars="200"/>
        <w:rPr>
          <w:rFonts w:hint="eastAsia" w:ascii="仿宋_GB2312" w:hAnsi="宋体" w:eastAsia="仿宋_GB2312"/>
          <w:color w:val="000000"/>
          <w:sz w:val="28"/>
        </w:rPr>
      </w:pPr>
      <w:r>
        <w:rPr>
          <w:rFonts w:hint="eastAsia" w:ascii="仿宋_GB2312" w:hAnsi="宋体" w:eastAsia="仿宋_GB2312"/>
          <w:color w:val="000000"/>
          <w:sz w:val="28"/>
        </w:rPr>
        <w:t>5、本估价报告书应与估价对象的合法产权证一并使用方才有效，评估仅对正确使用本报告者负责。</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6、本报告对估价对象市场价格的把握，相对于价值时点状况以及估价对象的现状而言，并未考虑市场价格波动、税费率的变化、国家经济政策发生变化及其不可抗力等因素对估价对象价值的影响，使用者在运用本报告的结果时应充分考虑。</w:t>
      </w:r>
    </w:p>
    <w:p>
      <w:pPr>
        <w:spacing w:line="500" w:lineRule="exact"/>
        <w:ind w:firstLine="560" w:firstLineChars="200"/>
        <w:rPr>
          <w:rFonts w:hint="eastAsia" w:ascii="仿宋_GB2312" w:hAnsi="宋体" w:eastAsia="仿宋_GB2312"/>
          <w:sz w:val="28"/>
        </w:rPr>
      </w:pPr>
      <w:r>
        <w:rPr>
          <w:rFonts w:hint="eastAsia" w:ascii="仿宋_GB2312" w:hAnsi="宋体" w:eastAsia="仿宋_GB2312"/>
          <w:color w:val="000000"/>
          <w:sz w:val="28"/>
        </w:rPr>
        <w:t>7、因估价人员无法准确把握未来房地产市场变化风险和短期强制处分等因素对估价对象价值产生影响的大小</w:t>
      </w:r>
      <w:r>
        <w:rPr>
          <w:rFonts w:hint="eastAsia" w:ascii="宋体" w:hAnsi="宋体"/>
          <w:color w:val="000000"/>
          <w:sz w:val="28"/>
        </w:rPr>
        <w:t>，</w:t>
      </w:r>
      <w:r>
        <w:rPr>
          <w:rFonts w:hint="eastAsia" w:ascii="仿宋_GB2312" w:hAnsi="宋体" w:eastAsia="仿宋_GB2312"/>
          <w:color w:val="000000"/>
          <w:sz w:val="28"/>
        </w:rPr>
        <w:t>故提请报告使用人使用该估价报告时需全面考虑</w:t>
      </w:r>
      <w:r>
        <w:rPr>
          <w:rFonts w:hint="eastAsia" w:ascii="仿宋_GB2312" w:hAnsi="宋体" w:eastAsia="仿宋_GB2312"/>
          <w:sz w:val="28"/>
        </w:rPr>
        <w:t>。</w:t>
      </w:r>
    </w:p>
    <w:p>
      <w:pPr>
        <w:spacing w:line="500" w:lineRule="exact"/>
        <w:ind w:firstLine="560" w:firstLineChars="200"/>
        <w:rPr>
          <w:rFonts w:hint="eastAsia" w:ascii="仿宋_GB2312" w:hAnsi="宋体" w:eastAsia="仿宋_GB2312"/>
          <w:color w:val="000000"/>
          <w:sz w:val="28"/>
        </w:rPr>
      </w:pPr>
      <w:r>
        <w:rPr>
          <w:rFonts w:hint="eastAsia" w:ascii="仿宋_GB2312" w:hAnsi="宋体" w:eastAsia="仿宋_GB2312"/>
          <w:color w:val="000000"/>
          <w:sz w:val="28"/>
        </w:rPr>
        <w:t>8、本估价报告若出现文字或数字因打印、校对及其他原因发生误差时，请估价委托人及时通知本估价机构更正，否则，误差部分无效。</w:t>
      </w:r>
    </w:p>
    <w:p>
      <w:pPr>
        <w:spacing w:line="500" w:lineRule="exact"/>
        <w:ind w:firstLine="570"/>
        <w:rPr>
          <w:rFonts w:hint="eastAsia" w:ascii="仿宋_GB2312" w:hAnsi="宋体" w:eastAsia="仿宋_GB2312"/>
          <w:color w:val="000000"/>
          <w:sz w:val="28"/>
        </w:rPr>
      </w:pPr>
      <w:r>
        <w:rPr>
          <w:rFonts w:hint="eastAsia" w:ascii="仿宋_GB2312" w:hAnsi="宋体" w:eastAsia="仿宋_GB2312"/>
          <w:color w:val="000000"/>
          <w:sz w:val="28"/>
        </w:rPr>
        <w:t>9、本报告的结果是估价对象在价值时点的公开市场价格，由于时间及房地产市场价格的变化，本报告使用有效期限为壹年,即</w:t>
      </w:r>
      <w:r>
        <w:rPr>
          <w:rFonts w:hint="eastAsia" w:ascii="仿宋_GB2312" w:hAnsi="宋体" w:eastAsia="仿宋_GB2312"/>
          <w:color w:val="auto"/>
          <w:sz w:val="28"/>
        </w:rPr>
        <w:t>：</w:t>
      </w:r>
      <w:r>
        <w:rPr>
          <w:rFonts w:hint="eastAsia" w:ascii="仿宋_GB2312" w:hAnsi="宋体" w:eastAsia="仿宋_GB2312"/>
          <w:color w:val="auto"/>
          <w:sz w:val="28"/>
          <w:szCs w:val="28"/>
          <w:lang w:eastAsia="zh-CN"/>
        </w:rPr>
        <w:t>自 2022年8月3日至2023年8月2日止</w:t>
      </w:r>
      <w:r>
        <w:rPr>
          <w:rFonts w:hint="eastAsia" w:ascii="仿宋_GB2312" w:hAnsi="宋体" w:eastAsia="仿宋_GB2312"/>
          <w:color w:val="auto"/>
          <w:sz w:val="28"/>
        </w:rPr>
        <w:t>。若房地产市场价格变化较快时应对</w:t>
      </w:r>
      <w:r>
        <w:rPr>
          <w:rFonts w:hint="eastAsia" w:ascii="仿宋_GB2312" w:hAnsi="宋体" w:eastAsia="仿宋_GB2312"/>
          <w:color w:val="000000"/>
          <w:sz w:val="28"/>
        </w:rPr>
        <w:t>估价对象价值进行重新评估。</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b/>
          <w:color w:val="000000"/>
          <w:sz w:val="28"/>
        </w:rPr>
        <w:t xml:space="preserve">                                              </w:t>
      </w:r>
    </w:p>
    <w:p>
      <w:pPr>
        <w:spacing w:line="500" w:lineRule="exact"/>
        <w:ind w:firstLine="573"/>
        <w:rPr>
          <w:rFonts w:hint="eastAsia" w:ascii="仿宋_GB2312" w:hAnsi="仿宋_GB2312" w:eastAsia="仿宋_GB2312" w:cs="仿宋_GB2312"/>
          <w:b/>
          <w:bCs/>
          <w:color w:val="000000"/>
          <w:sz w:val="28"/>
          <w:szCs w:val="28"/>
        </w:rPr>
      </w:pPr>
      <w:bookmarkStart w:id="19" w:name="_Toc266117002"/>
      <w:bookmarkStart w:id="20" w:name="_Toc265761756"/>
      <w:r>
        <w:rPr>
          <w:rFonts w:hint="eastAsia" w:ascii="仿宋_GB2312" w:hAnsi="仿宋_GB2312" w:eastAsia="仿宋_GB2312" w:cs="仿宋_GB2312"/>
          <w:b/>
          <w:bCs/>
          <w:color w:val="000000"/>
          <w:sz w:val="28"/>
          <w:szCs w:val="28"/>
        </w:rPr>
        <w:t xml:space="preserve">10、评估结果不等于评估对象处置可实现的成交价，不应被认为是对评估对象处置成交价保证。                                                                                                                      </w:t>
      </w:r>
    </w:p>
    <w:p>
      <w:pPr>
        <w:spacing w:line="500" w:lineRule="exact"/>
        <w:ind w:firstLine="573"/>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11、当事人对本估价报告有异议的，自收到估价报告之日起5日内，向估价委托人提出书面复核申请，并由估价委托人向本估价机构提出书面申请进行复核。</w:t>
      </w:r>
    </w:p>
    <w:p>
      <w:pPr>
        <w:pStyle w:val="2"/>
        <w:spacing w:before="0" w:after="0" w:line="500" w:lineRule="exact"/>
        <w:jc w:val="center"/>
        <w:rPr>
          <w:rFonts w:hint="eastAsia" w:eastAsia="仿宋_GB2312"/>
        </w:rPr>
      </w:pPr>
      <w:bookmarkStart w:id="21" w:name="_Toc4437"/>
      <w:bookmarkStart w:id="22" w:name="_Toc12884"/>
      <w:bookmarkStart w:id="23" w:name="_Toc2590"/>
    </w:p>
    <w:p>
      <w:pPr>
        <w:pStyle w:val="2"/>
        <w:spacing w:before="0" w:after="0" w:line="500" w:lineRule="exact"/>
        <w:jc w:val="center"/>
        <w:rPr>
          <w:rFonts w:hint="eastAsia" w:eastAsia="仿宋_GB2312"/>
        </w:rPr>
      </w:pPr>
    </w:p>
    <w:p>
      <w:pPr>
        <w:pStyle w:val="2"/>
        <w:spacing w:before="0" w:after="0" w:line="500" w:lineRule="exact"/>
        <w:jc w:val="center"/>
        <w:rPr>
          <w:rFonts w:hint="eastAsia" w:eastAsia="仿宋_GB2312"/>
        </w:rPr>
      </w:pPr>
    </w:p>
    <w:p>
      <w:pPr>
        <w:pStyle w:val="2"/>
        <w:spacing w:before="0" w:after="0" w:line="500" w:lineRule="exact"/>
        <w:jc w:val="center"/>
        <w:rPr>
          <w:rFonts w:hint="eastAsia" w:eastAsia="仿宋_GB2312"/>
        </w:rPr>
      </w:pPr>
    </w:p>
    <w:p>
      <w:pPr>
        <w:pStyle w:val="2"/>
        <w:spacing w:before="0" w:after="0" w:line="500" w:lineRule="exact"/>
        <w:jc w:val="center"/>
        <w:rPr>
          <w:rFonts w:hint="eastAsia" w:eastAsia="仿宋_GB2312"/>
        </w:rPr>
      </w:pPr>
    </w:p>
    <w:p>
      <w:pPr>
        <w:pStyle w:val="2"/>
        <w:spacing w:before="0" w:after="0" w:line="500" w:lineRule="exact"/>
        <w:jc w:val="center"/>
        <w:rPr>
          <w:rFonts w:hint="eastAsia" w:eastAsia="仿宋_GB2312"/>
        </w:rPr>
      </w:pPr>
    </w:p>
    <w:p>
      <w:pPr>
        <w:pStyle w:val="2"/>
        <w:spacing w:before="0" w:after="0" w:line="500" w:lineRule="exact"/>
        <w:jc w:val="center"/>
        <w:rPr>
          <w:rFonts w:hint="eastAsia" w:eastAsia="仿宋_GB2312"/>
        </w:rPr>
      </w:pPr>
    </w:p>
    <w:p>
      <w:pPr>
        <w:pStyle w:val="2"/>
        <w:spacing w:before="0" w:after="0" w:line="500" w:lineRule="exact"/>
        <w:jc w:val="center"/>
        <w:rPr>
          <w:rFonts w:hint="eastAsia" w:eastAsia="仿宋_GB2312"/>
        </w:rPr>
      </w:pPr>
    </w:p>
    <w:p>
      <w:pPr>
        <w:pStyle w:val="2"/>
        <w:spacing w:before="0" w:after="0" w:line="500" w:lineRule="exact"/>
        <w:jc w:val="center"/>
        <w:rPr>
          <w:rFonts w:hint="eastAsia" w:eastAsia="仿宋_GB2312"/>
        </w:rPr>
      </w:pPr>
    </w:p>
    <w:p>
      <w:pPr>
        <w:pStyle w:val="2"/>
        <w:spacing w:before="0" w:after="0" w:line="500" w:lineRule="exact"/>
        <w:jc w:val="center"/>
        <w:rPr>
          <w:rFonts w:hint="eastAsia" w:eastAsia="仿宋_GB231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spacing w:before="0" w:after="0" w:line="500" w:lineRule="exact"/>
        <w:jc w:val="center"/>
        <w:rPr>
          <w:rFonts w:hint="eastAsia" w:eastAsia="仿宋_GB2312"/>
        </w:rPr>
      </w:pPr>
      <w:bookmarkStart w:id="24" w:name="_Toc29901"/>
    </w:p>
    <w:p>
      <w:pPr>
        <w:pStyle w:val="2"/>
        <w:spacing w:before="0" w:after="0" w:line="500" w:lineRule="exact"/>
        <w:jc w:val="center"/>
        <w:rPr>
          <w:rFonts w:hint="eastAsia" w:eastAsia="仿宋_GB2312"/>
        </w:rPr>
      </w:pPr>
    </w:p>
    <w:p>
      <w:pPr>
        <w:pStyle w:val="2"/>
        <w:spacing w:before="0" w:after="0" w:line="500" w:lineRule="exact"/>
        <w:jc w:val="center"/>
        <w:rPr>
          <w:rFonts w:hint="eastAsia" w:eastAsia="仿宋_GB2312"/>
        </w:rPr>
      </w:pPr>
    </w:p>
    <w:p>
      <w:pPr>
        <w:pStyle w:val="2"/>
        <w:spacing w:before="0" w:after="0" w:line="500" w:lineRule="exact"/>
        <w:jc w:val="center"/>
        <w:rPr>
          <w:rFonts w:hint="eastAsia" w:eastAsia="仿宋_GB2312"/>
        </w:rPr>
      </w:pPr>
    </w:p>
    <w:p>
      <w:pPr>
        <w:rPr>
          <w:rFonts w:hint="eastAsia" w:eastAsia="仿宋_GB2312"/>
        </w:rPr>
      </w:pPr>
      <w:r>
        <w:rPr>
          <w:rFonts w:hint="eastAsia" w:eastAsia="仿宋_GB2312"/>
        </w:rPr>
        <w:br w:type="page"/>
      </w:r>
    </w:p>
    <w:p>
      <w:pPr>
        <w:pStyle w:val="2"/>
        <w:spacing w:before="0" w:after="0" w:line="500" w:lineRule="exact"/>
        <w:jc w:val="center"/>
        <w:rPr>
          <w:rFonts w:hint="eastAsia"/>
        </w:rPr>
      </w:pPr>
      <w:r>
        <w:rPr>
          <w:rFonts w:eastAsia="仿宋_GB2312"/>
        </w:rPr>
        <w:t>估价结果报告</w:t>
      </w:r>
      <w:bookmarkEnd w:id="19"/>
      <w:bookmarkEnd w:id="20"/>
      <w:bookmarkEnd w:id="21"/>
      <w:bookmarkEnd w:id="22"/>
      <w:bookmarkEnd w:id="23"/>
      <w:bookmarkEnd w:id="24"/>
      <w:bookmarkStart w:id="25" w:name="_Toc265761757"/>
      <w:bookmarkStart w:id="26" w:name="_Toc265761758"/>
    </w:p>
    <w:p>
      <w:pPr>
        <w:pStyle w:val="3"/>
        <w:pageBreakBefore w:val="0"/>
        <w:widowControl w:val="0"/>
        <w:kinsoku/>
        <w:wordWrap/>
        <w:overflowPunct/>
        <w:topLinePunct w:val="0"/>
        <w:autoSpaceDE/>
        <w:autoSpaceDN/>
        <w:bidi w:val="0"/>
        <w:adjustRightInd/>
        <w:spacing w:before="0" w:after="0" w:line="500" w:lineRule="exact"/>
        <w:textAlignment w:val="auto"/>
        <w:rPr>
          <w:rFonts w:ascii="宋体" w:hAnsi="宋体" w:eastAsia="仿宋_GB2312"/>
          <w:sz w:val="28"/>
          <w:szCs w:val="28"/>
        </w:rPr>
      </w:pPr>
      <w:bookmarkStart w:id="27" w:name="_Toc27459"/>
      <w:bookmarkStart w:id="28" w:name="_Toc2966"/>
      <w:bookmarkStart w:id="29" w:name="_Toc25122"/>
      <w:r>
        <w:rPr>
          <w:rFonts w:hint="eastAsia" w:ascii="宋体" w:hAnsi="宋体" w:eastAsia="仿宋_GB2312"/>
          <w:sz w:val="28"/>
          <w:szCs w:val="28"/>
        </w:rPr>
        <w:t>一、</w:t>
      </w:r>
      <w:r>
        <w:rPr>
          <w:rFonts w:ascii="宋体" w:hAnsi="宋体" w:eastAsia="仿宋_GB2312"/>
          <w:sz w:val="28"/>
          <w:szCs w:val="28"/>
        </w:rPr>
        <w:t>估价委托人</w:t>
      </w:r>
      <w:bookmarkEnd w:id="25"/>
      <w:bookmarkEnd w:id="27"/>
      <w:bookmarkEnd w:id="28"/>
      <w:bookmarkEnd w:id="29"/>
    </w:p>
    <w:p>
      <w:pPr>
        <w:pageBreakBefore w:val="0"/>
        <w:widowControl w:val="0"/>
        <w:kinsoku/>
        <w:wordWrap/>
        <w:overflowPunct/>
        <w:topLinePunct w:val="0"/>
        <w:autoSpaceDE/>
        <w:autoSpaceDN/>
        <w:bidi w:val="0"/>
        <w:adjustRightInd/>
        <w:snapToGrid w:val="0"/>
        <w:spacing w:line="500" w:lineRule="exact"/>
        <w:ind w:firstLine="555"/>
        <w:textAlignment w:val="auto"/>
        <w:rPr>
          <w:rFonts w:hint="eastAsia" w:ascii="宋体" w:hAnsi="宋体" w:eastAsia="仿宋_GB2312"/>
          <w:sz w:val="28"/>
          <w:szCs w:val="28"/>
          <w:lang w:val="en-US" w:eastAsia="zh-CN"/>
        </w:rPr>
      </w:pPr>
      <w:r>
        <w:rPr>
          <w:rFonts w:ascii="宋体" w:hAnsi="宋体" w:eastAsia="仿宋_GB2312"/>
          <w:sz w:val="28"/>
          <w:szCs w:val="28"/>
        </w:rPr>
        <w:t>估价委托人：</w:t>
      </w:r>
      <w:r>
        <w:rPr>
          <w:rFonts w:hint="eastAsia" w:ascii="宋体" w:hAnsi="宋体" w:eastAsia="仿宋_GB2312"/>
          <w:sz w:val="28"/>
          <w:szCs w:val="28"/>
          <w:lang w:eastAsia="zh-CN"/>
        </w:rPr>
        <w:t>吴忠市利通区人民法院</w:t>
      </w:r>
      <w:r>
        <w:rPr>
          <w:rFonts w:hint="eastAsia" w:ascii="宋体" w:hAnsi="宋体" w:eastAsia="仿宋_GB2312"/>
          <w:sz w:val="28"/>
          <w:szCs w:val="28"/>
          <w:lang w:val="en-US" w:eastAsia="zh-CN"/>
        </w:rPr>
        <w:t xml:space="preserve">   </w:t>
      </w:r>
    </w:p>
    <w:p>
      <w:pPr>
        <w:pageBreakBefore w:val="0"/>
        <w:widowControl w:val="0"/>
        <w:kinsoku/>
        <w:wordWrap/>
        <w:overflowPunct/>
        <w:topLinePunct w:val="0"/>
        <w:autoSpaceDE/>
        <w:autoSpaceDN/>
        <w:bidi w:val="0"/>
        <w:adjustRightInd/>
        <w:snapToGrid w:val="0"/>
        <w:spacing w:line="500" w:lineRule="exact"/>
        <w:ind w:firstLine="555"/>
        <w:textAlignment w:val="auto"/>
        <w:rPr>
          <w:rFonts w:hint="eastAsia" w:ascii="宋体" w:hAnsi="宋体" w:eastAsia="仿宋_GB2312"/>
          <w:color w:val="auto"/>
          <w:sz w:val="28"/>
          <w:szCs w:val="28"/>
        </w:rPr>
      </w:pPr>
      <w:r>
        <w:rPr>
          <w:rFonts w:hint="eastAsia" w:ascii="宋体" w:eastAsia="仿宋_GB2312"/>
          <w:color w:val="auto"/>
          <w:sz w:val="28"/>
          <w:szCs w:val="28"/>
        </w:rPr>
        <w:t>主办法官：</w:t>
      </w:r>
      <w:r>
        <w:rPr>
          <w:rFonts w:hint="eastAsia" w:ascii="宋体" w:hAnsi="宋体" w:eastAsia="仿宋_GB2312"/>
          <w:color w:val="auto"/>
          <w:sz w:val="28"/>
          <w:szCs w:val="28"/>
          <w:lang w:eastAsia="zh-CN"/>
        </w:rPr>
        <w:t>郑鹏</w:t>
      </w:r>
      <w:r>
        <w:rPr>
          <w:rFonts w:hint="eastAsia" w:ascii="宋体" w:hAnsi="宋体" w:eastAsia="仿宋_GB2312"/>
          <w:color w:val="auto"/>
          <w:sz w:val="28"/>
          <w:szCs w:val="28"/>
        </w:rPr>
        <w:t xml:space="preserve"> </w:t>
      </w:r>
    </w:p>
    <w:p>
      <w:pPr>
        <w:pageBreakBefore w:val="0"/>
        <w:widowControl w:val="0"/>
        <w:kinsoku/>
        <w:wordWrap/>
        <w:overflowPunct/>
        <w:topLinePunct w:val="0"/>
        <w:autoSpaceDE/>
        <w:autoSpaceDN/>
        <w:bidi w:val="0"/>
        <w:adjustRightInd/>
        <w:snapToGrid w:val="0"/>
        <w:spacing w:line="500" w:lineRule="exact"/>
        <w:ind w:firstLine="555"/>
        <w:textAlignment w:val="auto"/>
        <w:rPr>
          <w:rFonts w:hint="default" w:ascii="宋体" w:hAnsi="宋体" w:eastAsia="仿宋_GB2312"/>
          <w:color w:val="auto"/>
          <w:sz w:val="28"/>
          <w:szCs w:val="28"/>
          <w:lang w:val="en-US" w:eastAsia="zh-CN"/>
        </w:rPr>
      </w:pPr>
      <w:r>
        <w:rPr>
          <w:rFonts w:hint="eastAsia" w:ascii="宋体" w:hAnsi="宋体" w:eastAsia="仿宋_GB2312"/>
          <w:color w:val="auto"/>
          <w:sz w:val="28"/>
          <w:szCs w:val="28"/>
        </w:rPr>
        <w:t>电    话：</w:t>
      </w:r>
      <w:r>
        <w:rPr>
          <w:rFonts w:hint="eastAsia" w:ascii="宋体" w:hAnsi="宋体" w:eastAsia="仿宋_GB2312"/>
          <w:color w:val="auto"/>
          <w:sz w:val="28"/>
          <w:szCs w:val="28"/>
          <w:lang w:val="en-US" w:eastAsia="zh-CN"/>
        </w:rPr>
        <w:t>18809535155</w:t>
      </w:r>
    </w:p>
    <w:bookmarkEnd w:id="26"/>
    <w:p>
      <w:pPr>
        <w:pStyle w:val="3"/>
        <w:pageBreakBefore w:val="0"/>
        <w:widowControl w:val="0"/>
        <w:kinsoku/>
        <w:wordWrap/>
        <w:overflowPunct/>
        <w:topLinePunct w:val="0"/>
        <w:autoSpaceDE/>
        <w:autoSpaceDN/>
        <w:bidi w:val="0"/>
        <w:adjustRightInd/>
        <w:spacing w:before="0" w:after="0" w:line="500" w:lineRule="exact"/>
        <w:textAlignment w:val="auto"/>
        <w:rPr>
          <w:rFonts w:hint="eastAsia" w:ascii="宋体" w:hAnsi="宋体" w:eastAsia="仿宋_GB2312"/>
          <w:sz w:val="28"/>
          <w:szCs w:val="28"/>
        </w:rPr>
      </w:pPr>
      <w:bookmarkStart w:id="30" w:name="_Toc18539"/>
      <w:bookmarkStart w:id="31" w:name="_Toc29994"/>
      <w:bookmarkStart w:id="32" w:name="_Toc23237"/>
      <w:bookmarkStart w:id="33" w:name="_Toc265761759"/>
      <w:r>
        <w:rPr>
          <w:rFonts w:ascii="宋体" w:hAnsi="宋体" w:eastAsia="仿宋_GB2312"/>
          <w:sz w:val="28"/>
          <w:szCs w:val="28"/>
        </w:rPr>
        <w:t>二、估价</w:t>
      </w:r>
      <w:r>
        <w:rPr>
          <w:rFonts w:hint="eastAsia" w:ascii="宋体" w:hAnsi="宋体" w:eastAsia="仿宋_GB2312"/>
          <w:sz w:val="28"/>
          <w:szCs w:val="28"/>
        </w:rPr>
        <w:t>机构</w:t>
      </w:r>
      <w:bookmarkEnd w:id="30"/>
      <w:bookmarkEnd w:id="31"/>
      <w:bookmarkEnd w:id="32"/>
    </w:p>
    <w:p>
      <w:pPr>
        <w:pageBreakBefore w:val="0"/>
        <w:widowControl w:val="0"/>
        <w:kinsoku/>
        <w:wordWrap/>
        <w:overflowPunct/>
        <w:topLinePunct w:val="0"/>
        <w:autoSpaceDE/>
        <w:autoSpaceDN/>
        <w:bidi w:val="0"/>
        <w:adjustRightInd/>
        <w:snapToGrid w:val="0"/>
        <w:spacing w:line="500" w:lineRule="exact"/>
        <w:textAlignment w:val="auto"/>
        <w:rPr>
          <w:rFonts w:hint="eastAsia" w:ascii="宋体" w:eastAsia="仿宋_GB2312"/>
          <w:sz w:val="28"/>
          <w:szCs w:val="28"/>
        </w:rPr>
      </w:pPr>
      <w:r>
        <w:rPr>
          <w:rFonts w:ascii="宋体" w:hAnsi="宋体" w:eastAsia="仿宋_GB2312"/>
          <w:sz w:val="28"/>
          <w:szCs w:val="28"/>
        </w:rPr>
        <w:t xml:space="preserve">    </w:t>
      </w:r>
      <w:r>
        <w:rPr>
          <w:rFonts w:hint="eastAsia" w:ascii="宋体" w:eastAsia="仿宋_GB2312"/>
          <w:sz w:val="28"/>
          <w:szCs w:val="28"/>
        </w:rPr>
        <w:t>名    称：宁夏力天房地产土地资产评估咨询有限公司</w:t>
      </w:r>
    </w:p>
    <w:p>
      <w:pPr>
        <w:pageBreakBefore w:val="0"/>
        <w:widowControl w:val="0"/>
        <w:kinsoku/>
        <w:wordWrap/>
        <w:overflowPunct/>
        <w:topLinePunct w:val="0"/>
        <w:autoSpaceDE/>
        <w:autoSpaceDN/>
        <w:bidi w:val="0"/>
        <w:adjustRightInd/>
        <w:snapToGrid w:val="0"/>
        <w:spacing w:line="500" w:lineRule="exact"/>
        <w:ind w:hanging="28"/>
        <w:textAlignment w:val="auto"/>
        <w:rPr>
          <w:rFonts w:hint="eastAsia" w:ascii="宋体" w:eastAsia="仿宋_GB2312"/>
          <w:sz w:val="28"/>
          <w:szCs w:val="28"/>
        </w:rPr>
      </w:pPr>
      <w:r>
        <w:rPr>
          <w:rFonts w:hint="eastAsia" w:ascii="宋体" w:eastAsia="仿宋_GB2312"/>
          <w:sz w:val="28"/>
          <w:szCs w:val="28"/>
        </w:rPr>
        <w:t xml:space="preserve">    法定代表人：尹建生</w:t>
      </w:r>
    </w:p>
    <w:p>
      <w:pPr>
        <w:pageBreakBefore w:val="0"/>
        <w:widowControl w:val="0"/>
        <w:kinsoku/>
        <w:wordWrap/>
        <w:overflowPunct/>
        <w:topLinePunct w:val="0"/>
        <w:autoSpaceDE/>
        <w:autoSpaceDN/>
        <w:bidi w:val="0"/>
        <w:adjustRightInd/>
        <w:snapToGrid w:val="0"/>
        <w:spacing w:line="500" w:lineRule="exact"/>
        <w:ind w:hanging="28"/>
        <w:textAlignment w:val="auto"/>
        <w:rPr>
          <w:rFonts w:hint="eastAsia" w:ascii="仿宋_GB2312" w:hAnsi="仿宋_GB2312" w:eastAsia="仿宋_GB2312" w:cs="仿宋_GB2312"/>
          <w:sz w:val="28"/>
          <w:szCs w:val="28"/>
        </w:rPr>
      </w:pPr>
      <w:r>
        <w:rPr>
          <w:rFonts w:hint="eastAsia" w:ascii="宋体" w:eastAsia="仿宋_GB2312"/>
          <w:sz w:val="28"/>
          <w:szCs w:val="28"/>
        </w:rPr>
        <w:t xml:space="preserve">    住    所：银川市</w:t>
      </w:r>
      <w:r>
        <w:rPr>
          <w:rFonts w:hint="eastAsia" w:ascii="仿宋_GB2312" w:hAnsi="仿宋_GB2312" w:eastAsia="仿宋_GB2312" w:cs="仿宋_GB2312"/>
          <w:sz w:val="28"/>
          <w:szCs w:val="28"/>
        </w:rPr>
        <w:t>兴庆区中山南街70号－4层</w:t>
      </w:r>
    </w:p>
    <w:p>
      <w:pPr>
        <w:pageBreakBefore w:val="0"/>
        <w:widowControl w:val="0"/>
        <w:kinsoku/>
        <w:wordWrap/>
        <w:overflowPunct/>
        <w:topLinePunct w:val="0"/>
        <w:autoSpaceDE/>
        <w:autoSpaceDN/>
        <w:bidi w:val="0"/>
        <w:adjustRightInd/>
        <w:snapToGrid w:val="0"/>
        <w:spacing w:line="500" w:lineRule="exact"/>
        <w:ind w:hanging="28"/>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FF0000"/>
          <w:sz w:val="28"/>
          <w:szCs w:val="28"/>
        </w:rPr>
        <w:t xml:space="preserve">    </w:t>
      </w:r>
      <w:r>
        <w:rPr>
          <w:rFonts w:hint="eastAsia" w:ascii="仿宋_GB2312" w:hAnsi="仿宋_GB2312" w:eastAsia="仿宋_GB2312" w:cs="仿宋_GB2312"/>
          <w:sz w:val="28"/>
          <w:szCs w:val="28"/>
        </w:rPr>
        <w:t>统一社会信用代码：91640100227789560B</w:t>
      </w:r>
    </w:p>
    <w:p>
      <w:pPr>
        <w:pageBreakBefore w:val="0"/>
        <w:widowControl w:val="0"/>
        <w:kinsoku/>
        <w:wordWrap/>
        <w:overflowPunct/>
        <w:topLinePunct w:val="0"/>
        <w:autoSpaceDE/>
        <w:autoSpaceDN/>
        <w:bidi w:val="0"/>
        <w:adjustRightInd/>
        <w:snapToGrid w:val="0"/>
        <w:spacing w:line="500" w:lineRule="exact"/>
        <w:ind w:hanging="28"/>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备案等级： 壹级</w:t>
      </w:r>
    </w:p>
    <w:p>
      <w:pPr>
        <w:pageBreakBefore w:val="0"/>
        <w:widowControl w:val="0"/>
        <w:kinsoku/>
        <w:wordWrap/>
        <w:overflowPunct/>
        <w:topLinePunct w:val="0"/>
        <w:autoSpaceDE/>
        <w:autoSpaceDN/>
        <w:bidi w:val="0"/>
        <w:adjustRightInd/>
        <w:snapToGrid w:val="0"/>
        <w:spacing w:line="500" w:lineRule="exact"/>
        <w:ind w:hanging="28"/>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证书编号：宁建房估证字[2016]第001号</w:t>
      </w:r>
    </w:p>
    <w:p>
      <w:pPr>
        <w:pageBreakBefore w:val="0"/>
        <w:widowControl w:val="0"/>
        <w:kinsoku/>
        <w:wordWrap/>
        <w:overflowPunct/>
        <w:topLinePunct w:val="0"/>
        <w:autoSpaceDE/>
        <w:autoSpaceDN/>
        <w:bidi w:val="0"/>
        <w:adjustRightInd/>
        <w:snapToGrid w:val="0"/>
        <w:spacing w:line="500" w:lineRule="exact"/>
        <w:ind w:hanging="28"/>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sz w:val="28"/>
          <w:szCs w:val="28"/>
        </w:rPr>
        <w:t xml:space="preserve">    有效期限：</w:t>
      </w:r>
      <w:r>
        <w:rPr>
          <w:rFonts w:hint="eastAsia" w:ascii="仿宋_GB2312" w:hAnsi="仿宋_GB2312" w:eastAsia="仿宋_GB2312" w:cs="仿宋_GB2312"/>
          <w:color w:val="auto"/>
          <w:sz w:val="28"/>
          <w:szCs w:val="28"/>
          <w:lang w:val="en-US" w:eastAsia="zh-CN"/>
        </w:rPr>
        <w:t>2022</w:t>
      </w:r>
      <w:r>
        <w:rPr>
          <w:rFonts w:hint="eastAsia" w:ascii="仿宋_GB2312" w:hAnsi="仿宋_GB2312" w:eastAsia="仿宋_GB2312" w:cs="仿宋_GB2312"/>
          <w:color w:val="auto"/>
          <w:sz w:val="28"/>
          <w:szCs w:val="28"/>
        </w:rPr>
        <w:t>年7月9日至2</w:t>
      </w:r>
      <w:r>
        <w:rPr>
          <w:rFonts w:hint="eastAsia" w:ascii="仿宋_GB2312" w:hAnsi="仿宋_GB2312" w:eastAsia="仿宋_GB2312" w:cs="仿宋_GB2312"/>
          <w:color w:val="auto"/>
          <w:sz w:val="28"/>
          <w:szCs w:val="28"/>
          <w:lang w:val="en-US" w:eastAsia="zh-CN"/>
        </w:rPr>
        <w:t>025</w:t>
      </w:r>
      <w:r>
        <w:rPr>
          <w:rFonts w:hint="eastAsia" w:ascii="仿宋_GB2312" w:hAnsi="仿宋_GB2312" w:eastAsia="仿宋_GB2312" w:cs="仿宋_GB2312"/>
          <w:color w:val="auto"/>
          <w:sz w:val="28"/>
          <w:szCs w:val="28"/>
        </w:rPr>
        <w:t>年7月8日</w:t>
      </w:r>
    </w:p>
    <w:p>
      <w:pPr>
        <w:pageBreakBefore w:val="0"/>
        <w:widowControl w:val="0"/>
        <w:kinsoku/>
        <w:wordWrap/>
        <w:overflowPunct/>
        <w:topLinePunct w:val="0"/>
        <w:autoSpaceDE/>
        <w:autoSpaceDN/>
        <w:bidi w:val="0"/>
        <w:adjustRightInd/>
        <w:snapToGrid w:val="0"/>
        <w:spacing w:line="500" w:lineRule="exact"/>
        <w:ind w:hanging="28"/>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联系电话：</w:t>
      </w:r>
      <w:r>
        <w:rPr>
          <w:rFonts w:hint="eastAsia" w:ascii="仿宋_GB2312" w:hAnsi="仿宋_GB2312" w:eastAsia="仿宋_GB2312" w:cs="仿宋_GB2312"/>
          <w:sz w:val="28"/>
          <w:szCs w:val="28"/>
          <w:lang w:val="en-US" w:eastAsia="zh-CN"/>
        </w:rPr>
        <w:t>15309583650（马彦宏）</w:t>
      </w:r>
      <w:r>
        <w:rPr>
          <w:rFonts w:hint="eastAsia" w:ascii="仿宋_GB2312" w:hAnsi="仿宋_GB2312" w:eastAsia="仿宋_GB2312" w:cs="仿宋_GB2312"/>
          <w:sz w:val="28"/>
          <w:szCs w:val="28"/>
        </w:rPr>
        <w:t xml:space="preserve"> </w:t>
      </w:r>
    </w:p>
    <w:p>
      <w:pPr>
        <w:pageBreakBefore w:val="0"/>
        <w:widowControl w:val="0"/>
        <w:kinsoku/>
        <w:wordWrap/>
        <w:overflowPunct/>
        <w:topLinePunct w:val="0"/>
        <w:autoSpaceDE/>
        <w:autoSpaceDN/>
        <w:bidi w:val="0"/>
        <w:adjustRightInd/>
        <w:snapToGrid w:val="0"/>
        <w:spacing w:line="500" w:lineRule="exact"/>
        <w:ind w:hanging="28"/>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邮    编： </w:t>
      </w:r>
      <w:r>
        <w:rPr>
          <w:rFonts w:hint="eastAsia" w:ascii="仿宋_GB2312" w:hAnsi="仿宋_GB2312" w:eastAsia="仿宋_GB2312" w:cs="仿宋_GB2312"/>
          <w:color w:val="000000"/>
          <w:sz w:val="28"/>
          <w:szCs w:val="28"/>
        </w:rPr>
        <w:t>750001</w:t>
      </w:r>
    </w:p>
    <w:p>
      <w:pPr>
        <w:pStyle w:val="3"/>
        <w:pageBreakBefore w:val="0"/>
        <w:widowControl w:val="0"/>
        <w:numPr>
          <w:ilvl w:val="0"/>
          <w:numId w:val="2"/>
        </w:numPr>
        <w:kinsoku/>
        <w:wordWrap/>
        <w:overflowPunct/>
        <w:topLinePunct w:val="0"/>
        <w:autoSpaceDE/>
        <w:autoSpaceDN/>
        <w:bidi w:val="0"/>
        <w:adjustRightInd/>
        <w:spacing w:before="0" w:after="0" w:line="500" w:lineRule="exact"/>
        <w:textAlignment w:val="auto"/>
        <w:rPr>
          <w:rFonts w:hint="eastAsia" w:ascii="宋体" w:hAnsi="宋体" w:eastAsia="仿宋_GB2312"/>
          <w:sz w:val="28"/>
          <w:szCs w:val="28"/>
        </w:rPr>
      </w:pPr>
      <w:bookmarkStart w:id="34" w:name="_Toc8041"/>
      <w:bookmarkStart w:id="35" w:name="_Toc20641"/>
      <w:bookmarkStart w:id="36" w:name="_Toc20815"/>
      <w:r>
        <w:rPr>
          <w:rFonts w:hint="eastAsia" w:ascii="宋体" w:hAnsi="宋体" w:eastAsia="仿宋_GB2312"/>
          <w:sz w:val="28"/>
          <w:szCs w:val="28"/>
        </w:rPr>
        <w:t>估价目的</w:t>
      </w:r>
      <w:bookmarkEnd w:id="34"/>
      <w:bookmarkEnd w:id="35"/>
      <w:bookmarkEnd w:id="36"/>
    </w:p>
    <w:p>
      <w:pPr>
        <w:pageBreakBefore w:val="0"/>
        <w:widowControl w:val="0"/>
        <w:kinsoku/>
        <w:wordWrap/>
        <w:overflowPunct/>
        <w:topLinePunct w:val="0"/>
        <w:autoSpaceDE/>
        <w:autoSpaceDN/>
        <w:bidi w:val="0"/>
        <w:adjustRightInd/>
        <w:spacing w:line="500" w:lineRule="exact"/>
        <w:textAlignment w:val="auto"/>
        <w:rPr>
          <w:rFonts w:hint="eastAsia"/>
        </w:rPr>
      </w:pPr>
      <w:r>
        <w:rPr>
          <w:rFonts w:hint="eastAsia" w:ascii="仿宋_GB2312" w:eastAsia="仿宋_GB2312"/>
          <w:sz w:val="28"/>
          <w:szCs w:val="28"/>
        </w:rPr>
        <w:t xml:space="preserve"> </w:t>
      </w:r>
      <w:r>
        <w:rPr>
          <w:rFonts w:hint="eastAsia" w:ascii="仿宋_GB2312" w:hAnsi="宋体" w:eastAsia="仿宋_GB2312"/>
          <w:sz w:val="28"/>
          <w:szCs w:val="28"/>
        </w:rPr>
        <w:t xml:space="preserve">   为人民法院确定财产处置参考价提供参考依据。</w:t>
      </w:r>
    </w:p>
    <w:p>
      <w:pPr>
        <w:pStyle w:val="3"/>
        <w:pageBreakBefore w:val="0"/>
        <w:widowControl w:val="0"/>
        <w:kinsoku/>
        <w:wordWrap/>
        <w:overflowPunct/>
        <w:topLinePunct w:val="0"/>
        <w:autoSpaceDE/>
        <w:autoSpaceDN/>
        <w:bidi w:val="0"/>
        <w:adjustRightInd/>
        <w:spacing w:before="0" w:after="0" w:line="500" w:lineRule="exact"/>
        <w:textAlignment w:val="auto"/>
        <w:rPr>
          <w:rFonts w:hint="eastAsia" w:ascii="宋体" w:hAnsi="宋体" w:eastAsia="仿宋_GB2312"/>
          <w:sz w:val="28"/>
          <w:szCs w:val="28"/>
        </w:rPr>
      </w:pPr>
      <w:bookmarkStart w:id="37" w:name="_Toc22166"/>
      <w:bookmarkStart w:id="38" w:name="_Toc10159"/>
      <w:bookmarkStart w:id="39" w:name="_Toc13452"/>
      <w:r>
        <w:rPr>
          <w:rFonts w:hint="eastAsia" w:ascii="宋体" w:hAnsi="宋体" w:eastAsia="仿宋_GB2312"/>
          <w:sz w:val="28"/>
          <w:szCs w:val="28"/>
        </w:rPr>
        <w:t>四、</w:t>
      </w:r>
      <w:r>
        <w:rPr>
          <w:rFonts w:ascii="宋体" w:hAnsi="宋体" w:eastAsia="仿宋_GB2312"/>
          <w:sz w:val="28"/>
          <w:szCs w:val="28"/>
        </w:rPr>
        <w:t>估价对象</w:t>
      </w:r>
      <w:bookmarkEnd w:id="33"/>
      <w:bookmarkEnd w:id="37"/>
      <w:bookmarkEnd w:id="38"/>
      <w:bookmarkEnd w:id="39"/>
      <w:bookmarkStart w:id="40" w:name="_Toc265761760"/>
      <w:bookmarkStart w:id="41" w:name="_Toc265761761"/>
    </w:p>
    <w:p>
      <w:pPr>
        <w:pageBreakBefore w:val="0"/>
        <w:widowControl w:val="0"/>
        <w:kinsoku/>
        <w:wordWrap/>
        <w:overflowPunct/>
        <w:topLinePunct w:val="0"/>
        <w:autoSpaceDE/>
        <w:autoSpaceDN/>
        <w:bidi w:val="0"/>
        <w:adjustRightInd/>
        <w:spacing w:line="500" w:lineRule="exact"/>
        <w:ind w:firstLine="420" w:firstLineChars="15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（一）估价对象财产范围</w:t>
      </w:r>
    </w:p>
    <w:p>
      <w:pPr>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_GB2312" w:hAnsi="宋体" w:eastAsia="仿宋_GB2312"/>
          <w:color w:val="auto"/>
          <w:sz w:val="28"/>
          <w:szCs w:val="28"/>
        </w:rPr>
      </w:pPr>
      <w:r>
        <w:rPr>
          <w:rFonts w:hint="eastAsia" w:ascii="仿宋_GB2312" w:hAnsi="仿宋_GB2312" w:eastAsia="仿宋_GB2312" w:cs="仿宋_GB2312"/>
          <w:color w:val="auto"/>
          <w:sz w:val="28"/>
          <w:szCs w:val="28"/>
        </w:rPr>
        <w:t>估价对象财产范围包括建筑物（含二次装修价值）、分摊的土地使用权（含土地出让金）</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公共配套设施</w:t>
      </w:r>
      <w:r>
        <w:rPr>
          <w:rFonts w:hint="eastAsia" w:ascii="仿宋_GB2312" w:hAnsi="仿宋_GB2312" w:eastAsia="仿宋_GB2312" w:cs="仿宋_GB2312"/>
          <w:color w:val="auto"/>
          <w:sz w:val="28"/>
          <w:szCs w:val="28"/>
          <w:lang w:eastAsia="zh-CN"/>
        </w:rPr>
        <w:t>及室内家具、家电，</w:t>
      </w:r>
      <w:r>
        <w:rPr>
          <w:rFonts w:hint="eastAsia" w:ascii="仿宋_GB2312" w:hAnsi="仿宋_GB2312" w:eastAsia="仿宋_GB2312" w:cs="仿宋_GB2312"/>
          <w:color w:val="auto"/>
          <w:sz w:val="28"/>
          <w:szCs w:val="28"/>
        </w:rPr>
        <w:t>不包括债权债务、特许经营权等其他财产或权益。</w:t>
      </w:r>
    </w:p>
    <w:p>
      <w:pPr>
        <w:pageBreakBefore w:val="0"/>
        <w:widowControl w:val="0"/>
        <w:kinsoku/>
        <w:wordWrap/>
        <w:overflowPunct/>
        <w:topLinePunct w:val="0"/>
        <w:autoSpaceDE/>
        <w:autoSpaceDN/>
        <w:bidi w:val="0"/>
        <w:adjustRightInd/>
        <w:spacing w:line="500" w:lineRule="exact"/>
        <w:ind w:firstLine="420" w:firstLineChars="150"/>
        <w:textAlignment w:val="auto"/>
        <w:rPr>
          <w:rFonts w:hint="eastAsia" w:ascii="仿宋_GB2312" w:hAnsi="宋体" w:eastAsia="仿宋_GB2312"/>
          <w:sz w:val="28"/>
          <w:szCs w:val="28"/>
        </w:rPr>
      </w:pPr>
      <w:r>
        <w:rPr>
          <w:rFonts w:hint="eastAsia" w:ascii="仿宋_GB2312" w:hAnsi="宋体" w:eastAsia="仿宋_GB2312"/>
          <w:sz w:val="28"/>
          <w:szCs w:val="28"/>
        </w:rPr>
        <w:t>（二）实物状况描述</w:t>
      </w:r>
    </w:p>
    <w:p>
      <w:pPr>
        <w:pageBreakBefore w:val="0"/>
        <w:widowControl w:val="0"/>
        <w:kinsoku/>
        <w:wordWrap/>
        <w:overflowPunct/>
        <w:topLinePunct w:val="0"/>
        <w:autoSpaceDE/>
        <w:autoSpaceDN/>
        <w:bidi w:val="0"/>
        <w:adjustRightInd/>
        <w:spacing w:line="500" w:lineRule="exact"/>
        <w:ind w:firstLine="573"/>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实</w:t>
      </w:r>
      <w:r>
        <w:rPr>
          <w:rFonts w:hint="eastAsia" w:ascii="仿宋_GB2312" w:hAnsi="宋体" w:eastAsia="仿宋_GB2312"/>
          <w:color w:val="auto"/>
          <w:sz w:val="28"/>
          <w:szCs w:val="28"/>
        </w:rPr>
        <w:t>物因素主要包括建筑规模、外观、建筑结构、设施设备、装饰装修、</w:t>
      </w:r>
      <w:r>
        <w:rPr>
          <w:rFonts w:hint="eastAsia" w:ascii="仿宋_GB2312" w:hAnsi="宋体" w:eastAsia="仿宋_GB2312" w:cs="Times New Roman"/>
          <w:color w:val="auto"/>
          <w:sz w:val="28"/>
          <w:szCs w:val="28"/>
        </w:rPr>
        <w:t>建筑功能</w:t>
      </w:r>
      <w:r>
        <w:rPr>
          <w:rFonts w:hint="eastAsia" w:ascii="仿宋_GB2312" w:hAnsi="宋体" w:eastAsia="仿宋_GB2312" w:cs="Times New Roman"/>
          <w:color w:val="auto"/>
          <w:sz w:val="28"/>
          <w:szCs w:val="28"/>
          <w:lang w:eastAsia="zh-CN"/>
        </w:rPr>
        <w:t>、</w:t>
      </w:r>
      <w:r>
        <w:rPr>
          <w:rFonts w:hint="eastAsia" w:ascii="仿宋_GB2312" w:hAnsi="宋体" w:eastAsia="仿宋_GB2312"/>
          <w:color w:val="auto"/>
          <w:sz w:val="28"/>
          <w:szCs w:val="28"/>
        </w:rPr>
        <w:t>空间布局、采光通风和</w:t>
      </w:r>
      <w:r>
        <w:rPr>
          <w:rFonts w:hint="eastAsia" w:ascii="仿宋_GB2312" w:hAnsi="宋体" w:eastAsia="仿宋_GB2312" w:cs="Times New Roman"/>
          <w:color w:val="auto"/>
          <w:sz w:val="28"/>
          <w:szCs w:val="28"/>
        </w:rPr>
        <w:t>新旧程度</w:t>
      </w:r>
      <w:r>
        <w:rPr>
          <w:rFonts w:hint="eastAsia" w:ascii="仿宋_GB2312" w:hAnsi="宋体" w:eastAsia="仿宋_GB2312"/>
          <w:color w:val="auto"/>
          <w:sz w:val="28"/>
          <w:szCs w:val="28"/>
        </w:rPr>
        <w:t>等</w:t>
      </w:r>
      <w:r>
        <w:rPr>
          <w:rFonts w:hint="eastAsia" w:ascii="仿宋_GB2312" w:hAnsi="宋体" w:eastAsia="仿宋_GB2312"/>
          <w:color w:val="000000"/>
          <w:sz w:val="28"/>
          <w:szCs w:val="28"/>
        </w:rPr>
        <w:t>。根据估价委托人提供的</w:t>
      </w:r>
      <w:r>
        <w:rPr>
          <w:rFonts w:hint="eastAsia" w:ascii="仿宋_GB2312" w:hAnsi="宋体" w:eastAsia="仿宋_GB2312"/>
          <w:color w:val="000000"/>
          <w:sz w:val="28"/>
          <w:szCs w:val="28"/>
          <w:lang w:eastAsia="zh-CN"/>
        </w:rPr>
        <w:t>《利通区不动产登记信息查询单》、《财产清点登记表》</w:t>
      </w:r>
      <w:r>
        <w:rPr>
          <w:rFonts w:hint="eastAsia" w:ascii="仿宋_GB2312" w:hAnsi="宋体" w:eastAsia="仿宋_GB2312"/>
          <w:color w:val="000000"/>
          <w:sz w:val="28"/>
          <w:szCs w:val="28"/>
        </w:rPr>
        <w:t>中记载及估价人员实地查勘记录情况，估价对象房地产的实物状况如下：</w:t>
      </w:r>
    </w:p>
    <w:p>
      <w:pPr>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1.建筑物的实物状况</w:t>
      </w:r>
    </w:p>
    <w:p>
      <w:pPr>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估价对象房屋为</w:t>
      </w:r>
      <w:r>
        <w:rPr>
          <w:rFonts w:hint="eastAsia" w:ascii="仿宋_GB2312" w:hAnsi="宋体" w:eastAsia="仿宋_GB2312"/>
          <w:color w:val="000000"/>
          <w:sz w:val="28"/>
          <w:szCs w:val="28"/>
          <w:lang w:eastAsia="zh-CN"/>
        </w:rPr>
        <w:t>混合结构</w:t>
      </w:r>
      <w:r>
        <w:rPr>
          <w:rFonts w:hint="eastAsia" w:ascii="仿宋_GB2312" w:hAnsi="宋体" w:eastAsia="仿宋_GB2312"/>
          <w:color w:val="000000"/>
          <w:sz w:val="28"/>
          <w:szCs w:val="28"/>
        </w:rPr>
        <w:t>，是一栋总层数为</w:t>
      </w:r>
      <w:r>
        <w:rPr>
          <w:rFonts w:hint="eastAsia" w:ascii="仿宋_GB2312" w:hAnsi="宋体" w:eastAsia="仿宋_GB2312"/>
          <w:color w:val="000000"/>
          <w:sz w:val="28"/>
          <w:szCs w:val="28"/>
          <w:lang w:val="en-US" w:eastAsia="zh-CN"/>
        </w:rPr>
        <w:t>6层</w:t>
      </w:r>
      <w:r>
        <w:rPr>
          <w:rFonts w:hint="eastAsia" w:ascii="仿宋_GB2312" w:hAnsi="宋体" w:eastAsia="仿宋_GB2312"/>
          <w:color w:val="000000"/>
          <w:sz w:val="28"/>
          <w:szCs w:val="28"/>
        </w:rPr>
        <w:t>的南北朝向</w:t>
      </w:r>
      <w:r>
        <w:rPr>
          <w:rFonts w:hint="eastAsia" w:ascii="仿宋_GB2312" w:hAnsi="宋体" w:eastAsia="仿宋_GB2312"/>
          <w:color w:val="000000"/>
          <w:sz w:val="28"/>
          <w:szCs w:val="28"/>
          <w:lang w:eastAsia="zh-CN"/>
        </w:rPr>
        <w:t>住宅楼</w:t>
      </w:r>
      <w:r>
        <w:rPr>
          <w:rFonts w:hint="eastAsia" w:ascii="仿宋_GB2312" w:hAnsi="宋体" w:eastAsia="仿宋_GB2312"/>
          <w:color w:val="000000"/>
          <w:sz w:val="28"/>
          <w:szCs w:val="28"/>
        </w:rPr>
        <w:t>。本次估价对象所在层为</w:t>
      </w:r>
      <w:r>
        <w:rPr>
          <w:rFonts w:hint="eastAsia" w:ascii="仿宋_GB2312" w:hAnsi="宋体" w:eastAsia="仿宋_GB2312"/>
          <w:color w:val="000000"/>
          <w:sz w:val="28"/>
          <w:szCs w:val="28"/>
          <w:lang w:val="en-US" w:eastAsia="zh-CN"/>
        </w:rPr>
        <w:t>4层</w:t>
      </w:r>
      <w:r>
        <w:rPr>
          <w:rFonts w:hint="eastAsia" w:ascii="仿宋_GB2312" w:hAnsi="宋体" w:eastAsia="仿宋_GB2312"/>
          <w:color w:val="000000"/>
          <w:sz w:val="28"/>
          <w:szCs w:val="28"/>
        </w:rPr>
        <w:t>，估价对象总建筑面积为</w:t>
      </w:r>
      <w:r>
        <w:rPr>
          <w:rFonts w:hint="eastAsia" w:ascii="仿宋_GB2312" w:hAnsi="宋体" w:eastAsia="仿宋_GB2312"/>
          <w:color w:val="000000"/>
          <w:sz w:val="28"/>
          <w:szCs w:val="28"/>
          <w:lang w:eastAsia="zh-CN"/>
        </w:rPr>
        <w:t>85.66</w:t>
      </w:r>
      <w:r>
        <w:rPr>
          <w:rFonts w:hint="eastAsia" w:ascii="仿宋_GB2312" w:hAnsi="宋体" w:eastAsia="仿宋_GB2312"/>
          <w:color w:val="000000"/>
          <w:sz w:val="28"/>
          <w:szCs w:val="28"/>
        </w:rPr>
        <w:t>平方米，室内层高约</w:t>
      </w:r>
      <w:r>
        <w:rPr>
          <w:rFonts w:hint="eastAsia" w:ascii="仿宋_GB2312" w:hAnsi="宋体" w:eastAsia="仿宋_GB2312"/>
          <w:color w:val="000000"/>
          <w:sz w:val="28"/>
          <w:szCs w:val="28"/>
          <w:lang w:val="en-US" w:eastAsia="zh-CN"/>
        </w:rPr>
        <w:t>2.8</w:t>
      </w:r>
      <w:r>
        <w:rPr>
          <w:rFonts w:hint="eastAsia" w:ascii="仿宋_GB2312" w:hAnsi="宋体" w:eastAsia="仿宋_GB2312"/>
          <w:color w:val="000000"/>
          <w:sz w:val="28"/>
          <w:szCs w:val="28"/>
        </w:rPr>
        <w:t>米；户型为</w:t>
      </w:r>
      <w:r>
        <w:rPr>
          <w:rFonts w:hint="eastAsia" w:ascii="仿宋_GB2312" w:hAnsi="宋体" w:eastAsia="仿宋_GB2312"/>
          <w:color w:val="000000"/>
          <w:sz w:val="28"/>
          <w:szCs w:val="28"/>
          <w:lang w:eastAsia="zh-CN"/>
        </w:rPr>
        <w:t>两室一厅一厨两卫</w:t>
      </w:r>
      <w:r>
        <w:rPr>
          <w:rFonts w:hint="eastAsia" w:ascii="仿宋_GB2312" w:hAnsi="宋体" w:eastAsia="仿宋_GB2312"/>
          <w:color w:val="000000"/>
          <w:sz w:val="28"/>
          <w:szCs w:val="28"/>
        </w:rPr>
        <w:t>；客厅地面铺地</w:t>
      </w:r>
      <w:r>
        <w:rPr>
          <w:rFonts w:hint="eastAsia" w:ascii="仿宋_GB2312" w:hAnsi="宋体" w:eastAsia="仿宋_GB2312"/>
          <w:color w:val="000000"/>
          <w:sz w:val="28"/>
          <w:szCs w:val="28"/>
          <w:lang w:eastAsia="zh-CN"/>
        </w:rPr>
        <w:t>瓷</w:t>
      </w:r>
      <w:r>
        <w:rPr>
          <w:rFonts w:hint="eastAsia" w:ascii="仿宋_GB2312" w:hAnsi="宋体" w:eastAsia="仿宋_GB2312"/>
          <w:color w:val="000000"/>
          <w:sz w:val="28"/>
          <w:szCs w:val="28"/>
        </w:rPr>
        <w:t>砖，墙面</w:t>
      </w:r>
      <w:r>
        <w:rPr>
          <w:rFonts w:hint="eastAsia" w:ascii="仿宋_GB2312" w:hAnsi="宋体" w:eastAsia="仿宋_GB2312"/>
          <w:color w:val="000000"/>
          <w:sz w:val="28"/>
          <w:szCs w:val="28"/>
          <w:lang w:eastAsia="zh-CN"/>
        </w:rPr>
        <w:t>及顶棚均刷涂料</w:t>
      </w:r>
      <w:r>
        <w:rPr>
          <w:rFonts w:hint="eastAsia" w:ascii="仿宋_GB2312" w:hAnsi="宋体" w:eastAsia="仿宋_GB2312"/>
          <w:color w:val="000000"/>
          <w:sz w:val="28"/>
          <w:szCs w:val="28"/>
        </w:rPr>
        <w:t>，厨房地面铺地</w:t>
      </w:r>
      <w:r>
        <w:rPr>
          <w:rFonts w:hint="eastAsia" w:ascii="仿宋_GB2312" w:hAnsi="宋体" w:eastAsia="仿宋_GB2312"/>
          <w:color w:val="000000"/>
          <w:sz w:val="28"/>
          <w:szCs w:val="28"/>
          <w:lang w:eastAsia="zh-CN"/>
        </w:rPr>
        <w:t>瓷</w:t>
      </w:r>
      <w:r>
        <w:rPr>
          <w:rFonts w:hint="eastAsia" w:ascii="仿宋_GB2312" w:hAnsi="宋体" w:eastAsia="仿宋_GB2312"/>
          <w:color w:val="000000"/>
          <w:sz w:val="28"/>
          <w:szCs w:val="28"/>
        </w:rPr>
        <w:t>砖，墙面</w:t>
      </w:r>
      <w:r>
        <w:rPr>
          <w:rFonts w:hint="eastAsia" w:ascii="仿宋_GB2312" w:hAnsi="宋体" w:eastAsia="仿宋_GB2312"/>
          <w:color w:val="000000"/>
          <w:sz w:val="28"/>
          <w:szCs w:val="28"/>
          <w:lang w:eastAsia="zh-CN"/>
        </w:rPr>
        <w:t>局部</w:t>
      </w:r>
      <w:r>
        <w:rPr>
          <w:rFonts w:hint="eastAsia" w:ascii="仿宋_GB2312" w:hAnsi="宋体" w:eastAsia="仿宋_GB2312"/>
          <w:color w:val="000000"/>
          <w:sz w:val="28"/>
          <w:szCs w:val="28"/>
        </w:rPr>
        <w:t>贴</w:t>
      </w:r>
      <w:r>
        <w:rPr>
          <w:rFonts w:hint="eastAsia" w:ascii="仿宋_GB2312" w:hAnsi="宋体" w:eastAsia="仿宋_GB2312"/>
          <w:color w:val="000000"/>
          <w:sz w:val="28"/>
          <w:szCs w:val="28"/>
          <w:lang w:eastAsia="zh-CN"/>
        </w:rPr>
        <w:t>瓷片加涂料</w:t>
      </w:r>
      <w:r>
        <w:rPr>
          <w:rFonts w:hint="eastAsia" w:ascii="仿宋_GB2312" w:hAnsi="宋体" w:eastAsia="仿宋_GB2312"/>
          <w:color w:val="000000"/>
          <w:sz w:val="28"/>
          <w:szCs w:val="28"/>
        </w:rPr>
        <w:t>，</w:t>
      </w:r>
      <w:r>
        <w:rPr>
          <w:rFonts w:hint="eastAsia" w:ascii="仿宋_GB2312" w:hAnsi="宋体" w:eastAsia="仿宋_GB2312"/>
          <w:color w:val="000000"/>
          <w:sz w:val="28"/>
          <w:szCs w:val="28"/>
          <w:lang w:eastAsia="zh-CN"/>
        </w:rPr>
        <w:t>顶棚刷涂料</w:t>
      </w:r>
      <w:r>
        <w:rPr>
          <w:rFonts w:hint="eastAsia" w:ascii="仿宋_GB2312" w:hAnsi="宋体" w:eastAsia="仿宋_GB2312"/>
          <w:color w:val="000000"/>
          <w:sz w:val="28"/>
          <w:szCs w:val="28"/>
        </w:rPr>
        <w:t>，钢窗；卫生间地面铺地</w:t>
      </w:r>
      <w:r>
        <w:rPr>
          <w:rFonts w:hint="eastAsia" w:ascii="仿宋_GB2312" w:hAnsi="宋体" w:eastAsia="仿宋_GB2312"/>
          <w:color w:val="000000"/>
          <w:sz w:val="28"/>
          <w:szCs w:val="28"/>
          <w:lang w:eastAsia="zh-CN"/>
        </w:rPr>
        <w:t>瓷</w:t>
      </w:r>
      <w:r>
        <w:rPr>
          <w:rFonts w:hint="eastAsia" w:ascii="仿宋_GB2312" w:hAnsi="宋体" w:eastAsia="仿宋_GB2312"/>
          <w:color w:val="000000"/>
          <w:sz w:val="28"/>
          <w:szCs w:val="28"/>
        </w:rPr>
        <w:t>砖，墙面</w:t>
      </w:r>
      <w:r>
        <w:rPr>
          <w:rFonts w:hint="eastAsia" w:ascii="仿宋_GB2312" w:hAnsi="宋体" w:eastAsia="仿宋_GB2312"/>
          <w:color w:val="000000"/>
          <w:sz w:val="28"/>
          <w:szCs w:val="28"/>
          <w:lang w:eastAsia="zh-CN"/>
        </w:rPr>
        <w:t>局部</w:t>
      </w:r>
      <w:r>
        <w:rPr>
          <w:rFonts w:hint="eastAsia" w:ascii="仿宋_GB2312" w:hAnsi="宋体" w:eastAsia="仿宋_GB2312"/>
          <w:color w:val="000000"/>
          <w:sz w:val="28"/>
          <w:szCs w:val="28"/>
        </w:rPr>
        <w:t>贴</w:t>
      </w:r>
      <w:r>
        <w:rPr>
          <w:rFonts w:hint="eastAsia" w:ascii="仿宋_GB2312" w:hAnsi="宋体" w:eastAsia="仿宋_GB2312"/>
          <w:color w:val="000000"/>
          <w:sz w:val="28"/>
          <w:szCs w:val="28"/>
          <w:lang w:eastAsia="zh-CN"/>
        </w:rPr>
        <w:t>瓷片加涂料</w:t>
      </w:r>
      <w:r>
        <w:rPr>
          <w:rFonts w:hint="eastAsia" w:ascii="仿宋_GB2312" w:hAnsi="宋体" w:eastAsia="仿宋_GB2312"/>
          <w:color w:val="000000"/>
          <w:sz w:val="28"/>
          <w:szCs w:val="28"/>
        </w:rPr>
        <w:t>，</w:t>
      </w:r>
      <w:r>
        <w:rPr>
          <w:rFonts w:hint="eastAsia" w:ascii="仿宋_GB2312" w:hAnsi="宋体" w:eastAsia="仿宋_GB2312"/>
          <w:color w:val="000000"/>
          <w:sz w:val="28"/>
          <w:szCs w:val="28"/>
          <w:lang w:eastAsia="zh-CN"/>
        </w:rPr>
        <w:t>顶棚刷涂料；卧室</w:t>
      </w:r>
      <w:r>
        <w:rPr>
          <w:rFonts w:hint="eastAsia" w:ascii="仿宋_GB2312" w:hAnsi="宋体" w:eastAsia="仿宋_GB2312"/>
          <w:color w:val="000000"/>
          <w:sz w:val="28"/>
          <w:szCs w:val="28"/>
        </w:rPr>
        <w:t>地面铺地瓷砖</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墙面</w:t>
      </w:r>
      <w:r>
        <w:rPr>
          <w:rFonts w:hint="eastAsia" w:ascii="仿宋_GB2312" w:hAnsi="宋体" w:eastAsia="仿宋_GB2312"/>
          <w:color w:val="000000"/>
          <w:sz w:val="28"/>
          <w:szCs w:val="28"/>
          <w:lang w:eastAsia="zh-CN"/>
        </w:rPr>
        <w:t>及顶棚均刷涂料</w:t>
      </w:r>
      <w:r>
        <w:rPr>
          <w:rFonts w:hint="eastAsia" w:ascii="仿宋_GB2312" w:hAnsi="宋体" w:eastAsia="仿宋_GB2312"/>
          <w:color w:val="000000"/>
          <w:sz w:val="28"/>
          <w:szCs w:val="28"/>
        </w:rPr>
        <w:t>。入户门安装</w:t>
      </w:r>
      <w:r>
        <w:rPr>
          <w:rFonts w:hint="eastAsia" w:ascii="仿宋_GB2312" w:hAnsi="宋体" w:eastAsia="仿宋_GB2312"/>
          <w:color w:val="000000"/>
          <w:sz w:val="28"/>
          <w:szCs w:val="28"/>
          <w:lang w:eastAsia="zh-CN"/>
        </w:rPr>
        <w:t>铁门</w:t>
      </w:r>
      <w:r>
        <w:rPr>
          <w:rFonts w:hint="eastAsia" w:ascii="仿宋_GB2312" w:hAnsi="宋体" w:eastAsia="仿宋_GB2312"/>
          <w:color w:val="000000"/>
          <w:sz w:val="28"/>
          <w:szCs w:val="28"/>
        </w:rPr>
        <w:t>，</w:t>
      </w:r>
      <w:r>
        <w:rPr>
          <w:rFonts w:hint="eastAsia" w:ascii="仿宋_GB2312" w:hAnsi="宋体" w:eastAsia="仿宋_GB2312"/>
          <w:color w:val="000000"/>
          <w:spacing w:val="-2"/>
          <w:sz w:val="28"/>
          <w:szCs w:val="28"/>
        </w:rPr>
        <w:t>楼外墙</w:t>
      </w:r>
      <w:r>
        <w:rPr>
          <w:rFonts w:hint="eastAsia" w:ascii="仿宋_GB2312" w:hAnsi="宋体" w:eastAsia="仿宋_GB2312"/>
          <w:color w:val="000000"/>
          <w:spacing w:val="-2"/>
          <w:sz w:val="28"/>
          <w:szCs w:val="28"/>
          <w:lang w:eastAsia="zh-CN"/>
        </w:rPr>
        <w:t>一楼贴</w:t>
      </w:r>
      <w:r>
        <w:rPr>
          <w:rFonts w:hint="eastAsia" w:ascii="仿宋_GB2312" w:hAnsi="宋体" w:eastAsia="仿宋_GB2312"/>
          <w:color w:val="000000"/>
          <w:spacing w:val="-2"/>
          <w:sz w:val="28"/>
          <w:szCs w:val="28"/>
        </w:rPr>
        <w:t>条形砖</w:t>
      </w:r>
      <w:r>
        <w:rPr>
          <w:rFonts w:hint="eastAsia" w:ascii="仿宋_GB2312" w:hAnsi="宋体" w:eastAsia="仿宋_GB2312"/>
          <w:color w:val="000000"/>
          <w:spacing w:val="-2"/>
          <w:sz w:val="28"/>
          <w:szCs w:val="28"/>
          <w:lang w:eastAsia="zh-CN"/>
        </w:rPr>
        <w:t>二楼及以上刷涂料</w:t>
      </w:r>
      <w:r>
        <w:rPr>
          <w:rFonts w:hint="eastAsia" w:ascii="仿宋_GB2312" w:hAnsi="宋体" w:eastAsia="仿宋_GB2312"/>
          <w:color w:val="000000"/>
          <w:spacing w:val="-2"/>
          <w:sz w:val="28"/>
          <w:szCs w:val="28"/>
        </w:rPr>
        <w:t>。</w:t>
      </w:r>
      <w:r>
        <w:rPr>
          <w:rFonts w:hint="eastAsia" w:ascii="仿宋_GB2312" w:hAnsi="宋体" w:eastAsia="仿宋_GB2312"/>
          <w:color w:val="000000"/>
          <w:sz w:val="28"/>
          <w:szCs w:val="28"/>
        </w:rPr>
        <w:t>室内空间布局较好，采光较好。估价对象配套设施较完善，</w:t>
      </w:r>
      <w:r>
        <w:rPr>
          <w:rFonts w:hint="eastAsia" w:ascii="仿宋_GB2312" w:hAnsi="宋体" w:eastAsia="仿宋_GB2312"/>
          <w:color w:val="000000"/>
          <w:spacing w:val="-2"/>
          <w:sz w:val="28"/>
          <w:szCs w:val="28"/>
        </w:rPr>
        <w:t>室内水、电、暖、通讯、设施齐全。房屋维护状况较好，</w:t>
      </w:r>
      <w:r>
        <w:rPr>
          <w:rFonts w:hint="eastAsia" w:ascii="仿宋_GB2312" w:hAnsi="宋体" w:eastAsia="仿宋_GB2312"/>
          <w:color w:val="000000"/>
          <w:sz w:val="28"/>
          <w:szCs w:val="28"/>
        </w:rPr>
        <w:t>能够满足使用要求。</w:t>
      </w:r>
    </w:p>
    <w:p>
      <w:pPr>
        <w:spacing w:line="50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sz w:val="28"/>
          <w:szCs w:val="28"/>
          <w:lang w:eastAsia="zh-CN"/>
        </w:rPr>
        <w:t>吴忠市利通区</w:t>
      </w:r>
      <w:r>
        <w:rPr>
          <w:rFonts w:hint="eastAsia" w:ascii="仿宋_GB2312" w:hAnsi="仿宋_GB2312" w:eastAsia="仿宋_GB2312" w:cs="仿宋_GB2312"/>
          <w:color w:val="000000"/>
          <w:sz w:val="28"/>
          <w:szCs w:val="28"/>
        </w:rPr>
        <w:t>早元路关马湖三号楼</w:t>
      </w:r>
      <w:r>
        <w:rPr>
          <w:rFonts w:hint="eastAsia" w:ascii="仿宋_GB2312" w:hAnsi="仿宋_GB2312" w:eastAsia="仿宋_GB2312" w:cs="仿宋_GB2312"/>
          <w:color w:val="000000"/>
          <w:sz w:val="28"/>
          <w:szCs w:val="28"/>
          <w:lang w:eastAsia="zh-CN"/>
        </w:rPr>
        <w:t>室内</w:t>
      </w:r>
      <w:r>
        <w:rPr>
          <w:rFonts w:hint="eastAsia" w:ascii="仿宋_GB2312" w:hAnsi="仿宋_GB2312" w:eastAsia="仿宋_GB2312" w:cs="仿宋_GB2312"/>
          <w:color w:val="000000"/>
          <w:sz w:val="28"/>
          <w:szCs w:val="28"/>
        </w:rPr>
        <w:t>家具、家电</w:t>
      </w:r>
      <w:r>
        <w:rPr>
          <w:rFonts w:hint="eastAsia" w:ascii="仿宋_GB2312" w:hAnsi="仿宋_GB2312" w:eastAsia="仿宋_GB2312" w:cs="仿宋_GB2312"/>
          <w:color w:val="000000"/>
          <w:sz w:val="28"/>
          <w:szCs w:val="28"/>
          <w:lang w:eastAsia="zh-CN"/>
        </w:rPr>
        <w:t>统计清单</w:t>
      </w:r>
    </w:p>
    <w:tbl>
      <w:tblPr>
        <w:tblStyle w:val="27"/>
        <w:tblW w:w="92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1"/>
        <w:gridCol w:w="2331"/>
        <w:gridCol w:w="1725"/>
        <w:gridCol w:w="1402"/>
        <w:gridCol w:w="1537"/>
        <w:gridCol w:w="825"/>
        <w:gridCol w:w="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产品名称</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规格型号</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存放位置</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购置年代（年）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单位</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三人沙发</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布皮</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单人沙发</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布皮</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1996年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饮水机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天乐牌</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1996年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电视机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茶几</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椅子</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电视平台</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电话</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座机</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部</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电风扇</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立式</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单人床</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北侧房间</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床头柜（内有电话）</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北侧房间</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玻璃桌面，不锈钢桌腿</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北侧房间</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椅子</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北侧房间</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双开门冰箱</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新飞牌</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北侧房间</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储物柜</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厨房</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抽油烟机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新时代牌</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厨房</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煤气灶</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双灶头</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厨房</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bl>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sectPr>
          <w:headerReference r:id="rId17" w:type="first"/>
          <w:headerReference r:id="rId16" w:type="default"/>
          <w:endnotePr>
            <w:numFmt w:val="decimal"/>
          </w:endnotePr>
          <w:pgSz w:w="11907" w:h="16840"/>
          <w:pgMar w:top="1134" w:right="1247" w:bottom="1090" w:left="1588" w:header="851" w:footer="680" w:gutter="0"/>
          <w:pgNumType w:start="1"/>
          <w:cols w:space="720" w:num="1"/>
        </w:sectPr>
      </w:pPr>
    </w:p>
    <w:tbl>
      <w:tblPr>
        <w:tblStyle w:val="27"/>
        <w:tblW w:w="92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1"/>
        <w:gridCol w:w="2331"/>
        <w:gridCol w:w="1725"/>
        <w:gridCol w:w="1402"/>
        <w:gridCol w:w="1537"/>
        <w:gridCol w:w="825"/>
        <w:gridCol w:w="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梳妆镜</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亚克力壁挂式</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卫生间</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洗衣机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威力牌</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卫生间</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双人床</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写字台</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梳妆台</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椅子</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衣柜</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橱柜</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梳妆台</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双卡录音机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双人床</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衣柜</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木质（单组）</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小椅子</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木箱</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折叠椅</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w:t>
            </w: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次卧</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缝纫机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阳台</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bl>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2.土地实物状况</w:t>
      </w:r>
    </w:p>
    <w:p>
      <w:pPr>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olor w:val="000000"/>
          <w:spacing w:val="2"/>
          <w:sz w:val="28"/>
          <w:szCs w:val="28"/>
        </w:rPr>
      </w:pPr>
      <w:r>
        <w:rPr>
          <w:rFonts w:hint="eastAsia" w:ascii="仿宋_GB2312" w:hAnsi="宋体" w:eastAsia="仿宋_GB2312"/>
          <w:color w:val="000000"/>
          <w:spacing w:val="2"/>
          <w:sz w:val="28"/>
          <w:szCs w:val="28"/>
        </w:rPr>
        <w:t xml:space="preserve">    </w:t>
      </w:r>
      <w:r>
        <w:rPr>
          <w:rFonts w:hint="eastAsia" w:ascii="仿宋_GB2312" w:hAnsi="宋体" w:eastAsia="仿宋_GB2312"/>
          <w:spacing w:val="2"/>
          <w:sz w:val="28"/>
          <w:szCs w:val="28"/>
        </w:rPr>
        <w:t>根据</w:t>
      </w:r>
      <w:r>
        <w:rPr>
          <w:rFonts w:hint="eastAsia" w:ascii="仿宋_GB2312" w:hAnsi="宋体" w:eastAsia="仿宋_GB2312"/>
          <w:color w:val="000000"/>
          <w:sz w:val="28"/>
          <w:szCs w:val="28"/>
          <w:lang w:eastAsia="zh-CN"/>
        </w:rPr>
        <w:t>《利通区不动产登记信息查询单》</w:t>
      </w:r>
      <w:r>
        <w:rPr>
          <w:rFonts w:hint="eastAsia" w:ascii="仿宋_GB2312" w:hAnsi="宋体" w:eastAsia="仿宋_GB2312"/>
          <w:spacing w:val="-2"/>
          <w:sz w:val="28"/>
          <w:szCs w:val="28"/>
        </w:rPr>
        <w:t>记</w:t>
      </w:r>
      <w:r>
        <w:rPr>
          <w:rFonts w:hint="eastAsia" w:ascii="仿宋_GB2312" w:hAnsi="宋体" w:eastAsia="仿宋_GB2312"/>
          <w:spacing w:val="-4"/>
          <w:sz w:val="28"/>
          <w:szCs w:val="28"/>
        </w:rPr>
        <w:t>载：土地使用权人为</w:t>
      </w:r>
      <w:r>
        <w:rPr>
          <w:rFonts w:hint="eastAsia" w:ascii="仿宋_GB2312" w:hAnsi="宋体" w:eastAsia="仿宋_GB2312"/>
          <w:spacing w:val="-4"/>
          <w:sz w:val="28"/>
          <w:szCs w:val="28"/>
          <w:lang w:eastAsia="zh-CN"/>
        </w:rPr>
        <w:t>张凤英</w:t>
      </w:r>
      <w:r>
        <w:rPr>
          <w:rFonts w:hint="eastAsia" w:ascii="仿宋_GB2312" w:hAnsi="宋体" w:eastAsia="仿宋_GB2312"/>
          <w:spacing w:val="-4"/>
          <w:sz w:val="28"/>
          <w:szCs w:val="28"/>
        </w:rPr>
        <w:t>；座落于</w:t>
      </w:r>
      <w:r>
        <w:rPr>
          <w:rFonts w:hint="eastAsia" w:ascii="仿宋_GB2312" w:hAnsi="宋体" w:eastAsia="仿宋_GB2312"/>
          <w:sz w:val="28"/>
          <w:szCs w:val="28"/>
          <w:lang w:eastAsia="zh-CN"/>
        </w:rPr>
        <w:t>吴忠市利通区早元路马关湖三号楼</w:t>
      </w:r>
      <w:r>
        <w:rPr>
          <w:rFonts w:hint="eastAsia" w:ascii="仿宋_GB2312" w:eastAsia="仿宋_GB2312"/>
          <w:spacing w:val="5"/>
          <w:sz w:val="28"/>
          <w:szCs w:val="28"/>
        </w:rPr>
        <w:t>，</w:t>
      </w:r>
      <w:r>
        <w:rPr>
          <w:rFonts w:hint="eastAsia" w:ascii="仿宋_GB2312" w:hAnsi="仿宋_GB2312" w:eastAsia="仿宋_GB2312" w:cs="仿宋_GB2312"/>
          <w:sz w:val="28"/>
          <w:szCs w:val="28"/>
        </w:rPr>
        <w:t>其四至为：</w:t>
      </w:r>
      <w:r>
        <w:rPr>
          <w:rFonts w:hint="eastAsia" w:ascii="仿宋_GB2312" w:hAnsi="仿宋_GB2312" w:eastAsia="仿宋_GB2312" w:cs="仿宋_GB2312"/>
          <w:sz w:val="28"/>
          <w:szCs w:val="28"/>
          <w:lang w:eastAsia="zh-CN"/>
        </w:rPr>
        <w:t>东至富康商务楼，南至黄河路，西至吴忠市气象局，北至花畔锦厨</w:t>
      </w:r>
      <w:r>
        <w:rPr>
          <w:rFonts w:hint="eastAsia" w:ascii="仿宋_GB2312" w:eastAsia="仿宋_GB2312"/>
          <w:color w:val="000000"/>
          <w:spacing w:val="5"/>
          <w:sz w:val="28"/>
          <w:szCs w:val="28"/>
        </w:rPr>
        <w:t>。</w:t>
      </w:r>
      <w:r>
        <w:rPr>
          <w:rFonts w:hint="eastAsia" w:ascii="仿宋_GB2312" w:hAnsi="宋体" w:eastAsia="仿宋_GB2312"/>
          <w:color w:val="auto"/>
          <w:spacing w:val="-6"/>
          <w:sz w:val="28"/>
          <w:szCs w:val="28"/>
          <w:lang w:eastAsia="zh-CN"/>
        </w:rPr>
        <w:t>地形</w:t>
      </w:r>
      <w:r>
        <w:rPr>
          <w:rFonts w:hint="eastAsia" w:ascii="仿宋_GB2312" w:hAnsi="宋体" w:eastAsia="仿宋_GB2312"/>
          <w:color w:val="auto"/>
          <w:spacing w:val="-6"/>
          <w:sz w:val="28"/>
          <w:szCs w:val="28"/>
        </w:rPr>
        <w:t>呈</w:t>
      </w:r>
      <w:r>
        <w:rPr>
          <w:rFonts w:hint="eastAsia" w:ascii="仿宋_GB2312" w:hAnsi="宋体" w:eastAsia="仿宋_GB2312"/>
          <w:color w:val="auto"/>
          <w:spacing w:val="-4"/>
          <w:sz w:val="28"/>
          <w:szCs w:val="28"/>
        </w:rPr>
        <w:t>较规则</w:t>
      </w:r>
      <w:r>
        <w:rPr>
          <w:rFonts w:hint="eastAsia" w:ascii="仿宋_GB2312" w:hAnsi="宋体" w:eastAsia="仿宋_GB2312"/>
          <w:color w:val="auto"/>
          <w:spacing w:val="-4"/>
          <w:sz w:val="28"/>
          <w:szCs w:val="28"/>
          <w:lang w:eastAsia="zh-CN"/>
        </w:rPr>
        <w:t>，</w:t>
      </w:r>
      <w:r>
        <w:rPr>
          <w:rFonts w:hint="eastAsia" w:ascii="仿宋_GB2312" w:hAnsi="宋体" w:eastAsia="仿宋_GB2312"/>
          <w:color w:val="auto"/>
          <w:spacing w:val="-6"/>
          <w:sz w:val="28"/>
          <w:szCs w:val="28"/>
        </w:rPr>
        <w:t>地势</w:t>
      </w:r>
      <w:r>
        <w:rPr>
          <w:rFonts w:hint="eastAsia" w:ascii="仿宋_GB2312" w:hAnsi="宋体" w:eastAsia="仿宋_GB2312"/>
          <w:color w:val="auto"/>
          <w:spacing w:val="-4"/>
          <w:sz w:val="28"/>
          <w:szCs w:val="28"/>
        </w:rPr>
        <w:t>较平整</w:t>
      </w:r>
      <w:r>
        <w:rPr>
          <w:rFonts w:hint="eastAsia" w:ascii="仿宋_GB2312" w:hAnsi="宋体" w:eastAsia="仿宋_GB2312"/>
          <w:color w:val="auto"/>
          <w:spacing w:val="-6"/>
          <w:sz w:val="28"/>
          <w:szCs w:val="28"/>
        </w:rPr>
        <w:t>，工程地质条件</w:t>
      </w:r>
      <w:r>
        <w:rPr>
          <w:rFonts w:hint="eastAsia" w:ascii="仿宋_GB2312" w:hAnsi="宋体" w:eastAsia="仿宋_GB2312"/>
          <w:color w:val="auto"/>
          <w:spacing w:val="-4"/>
          <w:sz w:val="28"/>
          <w:szCs w:val="28"/>
        </w:rPr>
        <w:t>较好</w:t>
      </w:r>
      <w:r>
        <w:rPr>
          <w:rFonts w:hint="eastAsia" w:ascii="仿宋_GB2312" w:hAnsi="宋体" w:eastAsia="仿宋_GB2312"/>
          <w:color w:val="auto"/>
          <w:spacing w:val="-6"/>
          <w:sz w:val="28"/>
          <w:szCs w:val="28"/>
          <w:lang w:eastAsia="zh-CN"/>
        </w:rPr>
        <w:t>，土壤肥沃，</w:t>
      </w:r>
      <w:r>
        <w:rPr>
          <w:rFonts w:hint="eastAsia" w:ascii="仿宋_GB2312" w:hAnsi="宋体" w:eastAsia="仿宋_GB2312"/>
          <w:color w:val="auto"/>
          <w:spacing w:val="-6"/>
          <w:sz w:val="28"/>
          <w:szCs w:val="28"/>
        </w:rPr>
        <w:t>在利用上无地质、水文等不良自然条件限制及自然灾害威胁</w:t>
      </w:r>
      <w:r>
        <w:rPr>
          <w:rFonts w:hint="eastAsia" w:ascii="仿宋_GB2312" w:hAnsi="宋体" w:eastAsia="仿宋_GB2312"/>
          <w:color w:val="000000"/>
          <w:spacing w:val="-6"/>
          <w:sz w:val="28"/>
          <w:szCs w:val="28"/>
        </w:rPr>
        <w:t>，目前达到宗地内“</w:t>
      </w:r>
      <w:r>
        <w:rPr>
          <w:rFonts w:hint="eastAsia" w:ascii="仿宋_GB2312" w:hAnsi="宋体" w:eastAsia="仿宋_GB2312"/>
          <w:color w:val="000000"/>
          <w:spacing w:val="-4"/>
          <w:sz w:val="28"/>
          <w:szCs w:val="28"/>
        </w:rPr>
        <w:t>七通一平</w:t>
      </w:r>
      <w:r>
        <w:rPr>
          <w:rFonts w:hint="eastAsia" w:ascii="仿宋_GB2312" w:hAnsi="宋体" w:eastAsia="仿宋_GB2312"/>
          <w:color w:val="000000"/>
          <w:spacing w:val="-6"/>
          <w:sz w:val="28"/>
          <w:szCs w:val="28"/>
        </w:rPr>
        <w:t>”（</w:t>
      </w:r>
      <w:r>
        <w:rPr>
          <w:rFonts w:hint="eastAsia" w:ascii="仿宋_GB2312" w:hAnsi="宋体" w:eastAsia="仿宋_GB2312"/>
          <w:color w:val="000000"/>
          <w:spacing w:val="-4"/>
          <w:sz w:val="28"/>
          <w:szCs w:val="28"/>
        </w:rPr>
        <w:t>通上水，通下水，通暖，通电，通讯，通路，通天然气，场地平整</w:t>
      </w:r>
      <w:r>
        <w:rPr>
          <w:rFonts w:hint="eastAsia" w:ascii="仿宋_GB2312" w:hAnsi="宋体" w:eastAsia="仿宋_GB2312"/>
          <w:color w:val="000000"/>
          <w:spacing w:val="-6"/>
          <w:sz w:val="28"/>
          <w:szCs w:val="28"/>
        </w:rPr>
        <w:t>）的开发程度</w:t>
      </w:r>
      <w:r>
        <w:rPr>
          <w:rFonts w:hint="eastAsia" w:ascii="仿宋_GB2312" w:hAnsi="宋体" w:eastAsia="仿宋_GB2312"/>
          <w:color w:val="000000"/>
          <w:sz w:val="28"/>
          <w:szCs w:val="28"/>
        </w:rPr>
        <w:t>。</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3.小区环境及物业管理状况</w:t>
      </w:r>
    </w:p>
    <w:p>
      <w:pPr>
        <w:pageBreakBefore w:val="0"/>
        <w:widowControl w:val="0"/>
        <w:kinsoku/>
        <w:wordWrap/>
        <w:overflowPunct/>
        <w:topLinePunct w:val="0"/>
        <w:autoSpaceDE/>
        <w:autoSpaceDN/>
        <w:bidi w:val="0"/>
        <w:adjustRightInd/>
        <w:snapToGrid/>
        <w:spacing w:line="500" w:lineRule="exact"/>
        <w:ind w:firstLine="552"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pacing w:val="-2"/>
          <w:sz w:val="28"/>
          <w:szCs w:val="28"/>
        </w:rPr>
        <w:t>该住宅小区住宅规模</w:t>
      </w:r>
      <w:r>
        <w:rPr>
          <w:rFonts w:hint="eastAsia" w:ascii="仿宋_GB2312" w:hAnsi="宋体" w:eastAsia="仿宋_GB2312"/>
          <w:color w:val="000000"/>
          <w:spacing w:val="-2"/>
          <w:sz w:val="28"/>
          <w:szCs w:val="28"/>
          <w:lang w:eastAsia="zh-CN"/>
        </w:rPr>
        <w:t>一般</w:t>
      </w:r>
      <w:r>
        <w:rPr>
          <w:rFonts w:hint="eastAsia" w:ascii="仿宋_GB2312" w:hAnsi="宋体" w:eastAsia="仿宋_GB2312"/>
          <w:color w:val="000000"/>
          <w:sz w:val="28"/>
          <w:szCs w:val="28"/>
        </w:rPr>
        <w:t>，配套设施较完善，有</w:t>
      </w:r>
      <w:r>
        <w:rPr>
          <w:rFonts w:hint="eastAsia" w:ascii="仿宋_GB2312" w:hAnsi="宋体" w:eastAsia="仿宋_GB2312"/>
          <w:color w:val="000000"/>
          <w:sz w:val="28"/>
          <w:szCs w:val="28"/>
          <w:lang w:eastAsia="zh-CN"/>
        </w:rPr>
        <w:t>健身器材</w:t>
      </w:r>
      <w:r>
        <w:rPr>
          <w:rFonts w:hint="eastAsia" w:ascii="仿宋_GB2312" w:hAnsi="宋体" w:eastAsia="仿宋_GB2312"/>
          <w:color w:val="000000"/>
          <w:sz w:val="28"/>
          <w:szCs w:val="28"/>
        </w:rPr>
        <w:t>、地</w:t>
      </w:r>
      <w:r>
        <w:rPr>
          <w:rFonts w:hint="eastAsia" w:ascii="仿宋_GB2312" w:hAnsi="宋体" w:eastAsia="仿宋_GB2312"/>
          <w:color w:val="000000"/>
          <w:sz w:val="28"/>
          <w:szCs w:val="28"/>
          <w:lang w:eastAsia="zh-CN"/>
        </w:rPr>
        <w:t>上</w:t>
      </w:r>
      <w:r>
        <w:rPr>
          <w:rFonts w:hint="eastAsia" w:ascii="仿宋_GB2312" w:hAnsi="宋体" w:eastAsia="仿宋_GB2312"/>
          <w:color w:val="000000"/>
          <w:sz w:val="28"/>
          <w:szCs w:val="28"/>
        </w:rPr>
        <w:t>停车场、</w:t>
      </w:r>
      <w:r>
        <w:rPr>
          <w:rFonts w:hint="eastAsia" w:ascii="仿宋_GB2312" w:hAnsi="宋体" w:eastAsia="仿宋_GB2312"/>
          <w:color w:val="000000"/>
          <w:sz w:val="28"/>
          <w:szCs w:val="28"/>
          <w:lang w:eastAsia="zh-CN"/>
        </w:rPr>
        <w:t>自行车、电动车棚，</w:t>
      </w:r>
      <w:r>
        <w:rPr>
          <w:rFonts w:hint="eastAsia" w:ascii="仿宋_GB2312" w:hAnsi="宋体" w:eastAsia="仿宋_GB2312"/>
          <w:color w:val="000000"/>
          <w:sz w:val="28"/>
          <w:szCs w:val="28"/>
        </w:rPr>
        <w:t>治安室等，绿化率较优，环境较优。</w:t>
      </w:r>
    </w:p>
    <w:p>
      <w:pPr>
        <w:pageBreakBefore w:val="0"/>
        <w:widowControl w:val="0"/>
        <w:kinsoku/>
        <w:wordWrap/>
        <w:overflowPunct/>
        <w:topLinePunct w:val="0"/>
        <w:autoSpaceDE/>
        <w:autoSpaceDN/>
        <w:bidi w:val="0"/>
        <w:adjustRightInd/>
        <w:snapToGrid/>
        <w:spacing w:line="500" w:lineRule="exact"/>
        <w:ind w:left="426"/>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（二）权益状况描述</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黑体" w:eastAsia="仿宋_GB2312"/>
          <w:color w:val="000000"/>
          <w:spacing w:val="-6"/>
          <w:sz w:val="28"/>
          <w:szCs w:val="28"/>
        </w:rPr>
      </w:pPr>
      <w:r>
        <w:rPr>
          <w:rFonts w:hint="eastAsia" w:ascii="仿宋_GB2312" w:hAnsi="宋体" w:eastAsia="仿宋_GB2312"/>
          <w:color w:val="000000"/>
          <w:sz w:val="28"/>
          <w:szCs w:val="28"/>
        </w:rPr>
        <w:t>1.</w:t>
      </w:r>
      <w:r>
        <w:rPr>
          <w:rFonts w:hint="eastAsia" w:ascii="仿宋_GB2312" w:hAnsi="黑体" w:eastAsia="仿宋_GB2312"/>
          <w:color w:val="000000"/>
          <w:spacing w:val="-6"/>
          <w:sz w:val="28"/>
          <w:szCs w:val="28"/>
        </w:rPr>
        <w:t>宗地权益状况</w:t>
      </w:r>
    </w:p>
    <w:p>
      <w:pPr>
        <w:pageBreakBefore w:val="0"/>
        <w:widowControl w:val="0"/>
        <w:kinsoku/>
        <w:wordWrap/>
        <w:overflowPunct/>
        <w:topLinePunct w:val="0"/>
        <w:autoSpaceDE/>
        <w:autoSpaceDN/>
        <w:bidi w:val="0"/>
        <w:adjustRightInd/>
        <w:snapToGrid/>
        <w:spacing w:line="500" w:lineRule="exact"/>
        <w:ind w:firstLine="544" w:firstLineChars="200"/>
        <w:textAlignment w:val="auto"/>
        <w:rPr>
          <w:rFonts w:hint="eastAsia" w:ascii="仿宋_GB2312" w:hAnsi="宋体" w:eastAsia="仿宋_GB2312"/>
          <w:color w:val="0000FF"/>
          <w:sz w:val="28"/>
          <w:szCs w:val="28"/>
        </w:rPr>
      </w:pPr>
      <w:r>
        <w:rPr>
          <w:rFonts w:hint="eastAsia" w:ascii="仿宋_GB2312" w:hAnsi="宋体" w:eastAsia="仿宋_GB2312"/>
          <w:spacing w:val="-4"/>
          <w:sz w:val="28"/>
          <w:szCs w:val="28"/>
        </w:rPr>
        <w:t>根据估价委托人提供的</w:t>
      </w:r>
      <w:r>
        <w:rPr>
          <w:rFonts w:hint="eastAsia" w:ascii="仿宋_GB2312" w:hAnsi="宋体" w:eastAsia="仿宋_GB2312"/>
          <w:spacing w:val="-4"/>
          <w:sz w:val="28"/>
          <w:szCs w:val="28"/>
          <w:lang w:eastAsia="zh-CN"/>
        </w:rPr>
        <w:t>《利通区不动产登记信息查询单》</w:t>
      </w:r>
      <w:r>
        <w:rPr>
          <w:rFonts w:hint="eastAsia" w:ascii="仿宋_GB2312" w:hAnsi="宋体" w:eastAsia="仿宋_GB2312"/>
          <w:spacing w:val="-4"/>
          <w:sz w:val="28"/>
          <w:szCs w:val="28"/>
        </w:rPr>
        <w:t>记载：</w:t>
      </w:r>
      <w:r>
        <w:rPr>
          <w:rFonts w:hint="eastAsia" w:ascii="仿宋_GB2312" w:hAnsi="宋体" w:eastAsia="仿宋_GB2312"/>
          <w:spacing w:val="2"/>
          <w:sz w:val="28"/>
          <w:szCs w:val="28"/>
        </w:rPr>
        <w:t>土地使用权人为</w:t>
      </w:r>
      <w:r>
        <w:rPr>
          <w:rFonts w:hint="eastAsia" w:ascii="仿宋_GB2312" w:hAnsi="宋体" w:eastAsia="仿宋_GB2312"/>
          <w:spacing w:val="-4"/>
          <w:sz w:val="28"/>
          <w:szCs w:val="28"/>
          <w:lang w:eastAsia="zh-CN"/>
        </w:rPr>
        <w:t>张凤英</w:t>
      </w:r>
      <w:r>
        <w:rPr>
          <w:rFonts w:hint="eastAsia" w:ascii="仿宋_GB2312" w:hAnsi="宋体" w:eastAsia="仿宋_GB2312"/>
          <w:spacing w:val="2"/>
          <w:sz w:val="28"/>
          <w:szCs w:val="28"/>
        </w:rPr>
        <w:t>，</w:t>
      </w:r>
      <w:r>
        <w:rPr>
          <w:rFonts w:hint="eastAsia" w:ascii="仿宋_GB2312" w:hAnsi="宋体" w:eastAsia="仿宋_GB2312"/>
          <w:spacing w:val="-4"/>
          <w:sz w:val="28"/>
          <w:szCs w:val="28"/>
        </w:rPr>
        <w:t>座落于</w:t>
      </w:r>
      <w:r>
        <w:rPr>
          <w:rFonts w:hint="eastAsia" w:ascii="仿宋_GB2312" w:hAnsi="宋体" w:eastAsia="仿宋_GB2312"/>
          <w:sz w:val="28"/>
          <w:szCs w:val="28"/>
          <w:lang w:eastAsia="zh-CN"/>
        </w:rPr>
        <w:t>吴忠市利通区早元路马关湖三号楼</w:t>
      </w:r>
      <w:r>
        <w:rPr>
          <w:rFonts w:hint="eastAsia" w:ascii="仿宋_GB2312" w:hAnsi="宋体" w:eastAsia="仿宋_GB2312"/>
          <w:spacing w:val="2"/>
          <w:sz w:val="28"/>
          <w:szCs w:val="28"/>
        </w:rPr>
        <w:t>，</w:t>
      </w:r>
      <w:r>
        <w:rPr>
          <w:rFonts w:hint="eastAsia" w:ascii="仿宋_GB2312" w:hAnsi="宋体" w:eastAsia="仿宋_GB2312"/>
          <w:spacing w:val="2"/>
          <w:sz w:val="28"/>
          <w:szCs w:val="28"/>
          <w:lang w:eastAsia="zh-CN"/>
        </w:rPr>
        <w:t>使用权类型为国有建设用地使用权；</w:t>
      </w:r>
      <w:r>
        <w:rPr>
          <w:rFonts w:hint="eastAsia" w:ascii="仿宋_GB2312" w:hAnsi="宋体" w:eastAsia="仿宋_GB2312"/>
          <w:spacing w:val="2"/>
          <w:sz w:val="28"/>
          <w:szCs w:val="28"/>
        </w:rPr>
        <w:t>地类（用途）为</w:t>
      </w:r>
      <w:r>
        <w:rPr>
          <w:rFonts w:hint="eastAsia" w:ascii="仿宋_GB2312" w:hAnsi="宋体" w:eastAsia="仿宋_GB2312"/>
          <w:sz w:val="28"/>
          <w:szCs w:val="28"/>
        </w:rPr>
        <w:t>住宅</w:t>
      </w:r>
      <w:r>
        <w:rPr>
          <w:rFonts w:hint="eastAsia" w:ascii="仿宋_GB2312" w:hAnsi="宋体" w:eastAsia="仿宋_GB2312"/>
          <w:sz w:val="28"/>
          <w:szCs w:val="28"/>
          <w:lang w:eastAsia="zh-CN"/>
        </w:rPr>
        <w:t>用地</w:t>
      </w:r>
      <w:r>
        <w:rPr>
          <w:rFonts w:hint="eastAsia" w:ascii="仿宋_GB2312" w:hAnsi="宋体" w:eastAsia="仿宋_GB2312"/>
          <w:spacing w:val="2"/>
          <w:sz w:val="28"/>
          <w:szCs w:val="28"/>
        </w:rPr>
        <w:t>；</w:t>
      </w:r>
      <w:r>
        <w:rPr>
          <w:rFonts w:hint="eastAsia" w:ascii="仿宋_GB2312" w:hAnsi="宋体" w:eastAsia="仿宋_GB2312"/>
          <w:spacing w:val="2"/>
          <w:sz w:val="28"/>
          <w:szCs w:val="28"/>
          <w:lang w:eastAsia="zh-CN"/>
        </w:rPr>
        <w:t>土地性质</w:t>
      </w:r>
      <w:r>
        <w:rPr>
          <w:rFonts w:hint="eastAsia" w:ascii="仿宋_GB2312" w:hAnsi="宋体" w:eastAsia="仿宋_GB2312"/>
          <w:spacing w:val="2"/>
          <w:sz w:val="28"/>
          <w:szCs w:val="28"/>
        </w:rPr>
        <w:t>为</w:t>
      </w:r>
      <w:r>
        <w:rPr>
          <w:rFonts w:hint="eastAsia" w:ascii="仿宋_GB2312" w:hAnsi="宋体" w:eastAsia="仿宋_GB2312"/>
          <w:sz w:val="28"/>
          <w:szCs w:val="28"/>
          <w:lang w:eastAsia="zh-CN"/>
        </w:rPr>
        <w:t>其他方式承包。</w:t>
      </w:r>
    </w:p>
    <w:p>
      <w:pPr>
        <w:pageBreakBefore w:val="0"/>
        <w:widowControl w:val="0"/>
        <w:kinsoku/>
        <w:wordWrap/>
        <w:overflowPunct/>
        <w:topLinePunct w:val="0"/>
        <w:autoSpaceDE/>
        <w:autoSpaceDN/>
        <w:bidi w:val="0"/>
        <w:adjustRightInd/>
        <w:snapToGrid/>
        <w:spacing w:line="500" w:lineRule="exact"/>
        <w:ind w:right="-73" w:rightChars="-35" w:firstLine="560" w:firstLineChars="200"/>
        <w:textAlignment w:val="auto"/>
        <w:rPr>
          <w:rFonts w:hint="eastAsia" w:ascii="仿宋_GB2312" w:hAnsi="宋体" w:eastAsia="仿宋_GB2312"/>
          <w:color w:val="000000"/>
          <w:sz w:val="28"/>
          <w:szCs w:val="28"/>
        </w:rPr>
      </w:pPr>
      <w:r>
        <w:rPr>
          <w:rFonts w:hint="eastAsia" w:ascii="仿宋_GB2312" w:hAnsi="宋体" w:eastAsia="仿宋_GB2312"/>
          <w:color w:val="000000"/>
          <w:sz w:val="28"/>
          <w:szCs w:val="28"/>
        </w:rPr>
        <w:t>2.房产权益状况</w:t>
      </w:r>
    </w:p>
    <w:p>
      <w:pPr>
        <w:pageBreakBefore w:val="0"/>
        <w:widowControl w:val="0"/>
        <w:kinsoku/>
        <w:wordWrap/>
        <w:overflowPunct/>
        <w:topLinePunct w:val="0"/>
        <w:autoSpaceDE/>
        <w:autoSpaceDN/>
        <w:bidi w:val="0"/>
        <w:adjustRightInd/>
        <w:snapToGrid/>
        <w:spacing w:line="500" w:lineRule="exact"/>
        <w:ind w:firstLine="544" w:firstLineChars="200"/>
        <w:textAlignment w:val="auto"/>
        <w:rPr>
          <w:rFonts w:hint="eastAsia" w:ascii="仿宋_GB2312" w:hAnsi="宋体" w:eastAsia="仿宋_GB2312"/>
          <w:sz w:val="28"/>
          <w:szCs w:val="28"/>
        </w:rPr>
      </w:pPr>
      <w:r>
        <w:rPr>
          <w:rFonts w:hint="eastAsia" w:ascii="仿宋_GB2312" w:hAnsi="宋体" w:eastAsia="仿宋_GB2312"/>
          <w:spacing w:val="-4"/>
          <w:sz w:val="28"/>
          <w:szCs w:val="28"/>
        </w:rPr>
        <w:t>根据估价委托人提供的</w:t>
      </w:r>
      <w:r>
        <w:rPr>
          <w:rFonts w:hint="eastAsia" w:ascii="仿宋_GB2312" w:hAnsi="宋体" w:eastAsia="仿宋_GB2312"/>
          <w:spacing w:val="-4"/>
          <w:sz w:val="28"/>
          <w:szCs w:val="28"/>
          <w:lang w:eastAsia="zh-CN"/>
        </w:rPr>
        <w:t>《利通区不动产登记信息查询单》</w:t>
      </w:r>
      <w:r>
        <w:rPr>
          <w:rFonts w:hint="eastAsia" w:ascii="仿宋_GB2312" w:hAnsi="宋体" w:eastAsia="仿宋_GB2312"/>
          <w:spacing w:val="-4"/>
          <w:sz w:val="28"/>
          <w:szCs w:val="28"/>
        </w:rPr>
        <w:t>记载</w:t>
      </w:r>
      <w:r>
        <w:rPr>
          <w:rFonts w:hint="eastAsia" w:ascii="仿宋_GB2312" w:hAnsi="宋体" w:eastAsia="仿宋_GB2312"/>
          <w:spacing w:val="-4"/>
          <w:sz w:val="28"/>
          <w:szCs w:val="28"/>
          <w:lang w:eastAsia="zh-CN"/>
        </w:rPr>
        <w:t>：</w:t>
      </w:r>
      <w:r>
        <w:rPr>
          <w:rFonts w:hint="eastAsia" w:ascii="仿宋_GB2312" w:hAnsi="宋体" w:eastAsia="仿宋_GB2312"/>
          <w:spacing w:val="-4"/>
          <w:sz w:val="28"/>
          <w:szCs w:val="28"/>
        </w:rPr>
        <w:t>房屋</w:t>
      </w:r>
      <w:r>
        <w:rPr>
          <w:rFonts w:hint="eastAsia" w:ascii="仿宋_GB2312" w:hAnsi="宋体" w:eastAsia="仿宋_GB2312"/>
          <w:spacing w:val="-4"/>
          <w:sz w:val="28"/>
          <w:szCs w:val="28"/>
          <w:lang w:eastAsia="zh-CN"/>
        </w:rPr>
        <w:t>产</w:t>
      </w:r>
      <w:r>
        <w:rPr>
          <w:rFonts w:hint="eastAsia" w:ascii="仿宋_GB2312" w:hAnsi="宋体" w:eastAsia="仿宋_GB2312"/>
          <w:spacing w:val="-4"/>
          <w:sz w:val="28"/>
          <w:szCs w:val="28"/>
        </w:rPr>
        <w:t>权人为</w:t>
      </w:r>
      <w:r>
        <w:rPr>
          <w:rFonts w:hint="eastAsia" w:ascii="仿宋_GB2312" w:hAnsi="宋体" w:eastAsia="仿宋_GB2312"/>
          <w:spacing w:val="-4"/>
          <w:sz w:val="28"/>
          <w:szCs w:val="28"/>
          <w:lang w:eastAsia="zh-CN"/>
        </w:rPr>
        <w:t>张凤英，</w:t>
      </w:r>
      <w:r>
        <w:rPr>
          <w:rFonts w:hint="eastAsia" w:ascii="仿宋_GB2312" w:hAnsi="宋体" w:eastAsia="仿宋_GB2312"/>
          <w:spacing w:val="-4"/>
          <w:sz w:val="28"/>
          <w:szCs w:val="28"/>
        </w:rPr>
        <w:t>本次估价对象房屋取得《房屋所有权证》，</w:t>
      </w:r>
      <w:r>
        <w:rPr>
          <w:rFonts w:hint="eastAsia" w:ascii="仿宋_GB2312" w:hAnsi="宋体" w:eastAsia="仿宋_GB2312"/>
          <w:spacing w:val="-4"/>
          <w:sz w:val="28"/>
          <w:szCs w:val="28"/>
          <w:lang w:eastAsia="zh-CN"/>
        </w:rPr>
        <w:t>产权</w:t>
      </w:r>
      <w:r>
        <w:rPr>
          <w:rFonts w:hint="eastAsia" w:ascii="仿宋_GB2312" w:hAnsi="宋体" w:eastAsia="仿宋_GB2312"/>
          <w:spacing w:val="-4"/>
          <w:sz w:val="28"/>
          <w:szCs w:val="28"/>
        </w:rPr>
        <w:t>证号为</w:t>
      </w:r>
      <w:r>
        <w:rPr>
          <w:rFonts w:hint="eastAsia" w:ascii="仿宋_GB2312" w:hAnsi="宋体" w:eastAsia="仿宋_GB2312"/>
          <w:spacing w:val="-4"/>
          <w:sz w:val="28"/>
          <w:szCs w:val="28"/>
          <w:lang w:eastAsia="zh-CN"/>
        </w:rPr>
        <w:t>00021328</w:t>
      </w:r>
      <w:r>
        <w:rPr>
          <w:rFonts w:hint="eastAsia" w:ascii="仿宋_GB2312" w:hAnsi="宋体" w:eastAsia="仿宋_GB2312"/>
          <w:spacing w:val="-4"/>
          <w:sz w:val="28"/>
          <w:szCs w:val="28"/>
        </w:rPr>
        <w:t>，共有情况为单独所有，房屋坐落为</w:t>
      </w:r>
      <w:r>
        <w:rPr>
          <w:rFonts w:hint="eastAsia" w:ascii="仿宋_GB2312" w:hAnsi="宋体" w:eastAsia="仿宋_GB2312"/>
          <w:sz w:val="28"/>
          <w:szCs w:val="28"/>
          <w:lang w:eastAsia="zh-CN"/>
        </w:rPr>
        <w:t>吴忠市利通区早元路马关湖三号楼</w:t>
      </w:r>
      <w:r>
        <w:rPr>
          <w:rFonts w:hint="eastAsia" w:ascii="仿宋_GB2312" w:hAnsi="宋体" w:eastAsia="仿宋_GB2312"/>
          <w:spacing w:val="-4"/>
          <w:sz w:val="28"/>
          <w:szCs w:val="28"/>
        </w:rPr>
        <w:t>，</w:t>
      </w:r>
      <w:r>
        <w:rPr>
          <w:rFonts w:hint="eastAsia" w:ascii="仿宋_GB2312" w:hAnsi="宋体" w:eastAsia="仿宋_GB2312"/>
          <w:spacing w:val="-4"/>
          <w:sz w:val="28"/>
          <w:szCs w:val="28"/>
          <w:lang w:eastAsia="zh-CN"/>
        </w:rPr>
        <w:t>房屋结构为混合结构，房屋总层数为</w:t>
      </w:r>
      <w:r>
        <w:rPr>
          <w:rFonts w:hint="eastAsia" w:ascii="仿宋_GB2312" w:hAnsi="宋体" w:eastAsia="仿宋_GB2312"/>
          <w:spacing w:val="-4"/>
          <w:sz w:val="28"/>
          <w:szCs w:val="28"/>
          <w:lang w:val="en-US" w:eastAsia="zh-CN"/>
        </w:rPr>
        <w:t>6层，所在层为4层，</w:t>
      </w:r>
      <w:r>
        <w:rPr>
          <w:rFonts w:hint="eastAsia" w:ascii="仿宋_GB2312" w:hAnsi="宋体" w:eastAsia="仿宋_GB2312"/>
          <w:spacing w:val="-4"/>
          <w:sz w:val="28"/>
          <w:szCs w:val="28"/>
        </w:rPr>
        <w:t>建筑面积为</w:t>
      </w:r>
      <w:r>
        <w:rPr>
          <w:rFonts w:hint="eastAsia" w:ascii="仿宋_GB2312" w:hAnsi="宋体" w:eastAsia="仿宋_GB2312"/>
          <w:spacing w:val="-4"/>
          <w:sz w:val="28"/>
          <w:szCs w:val="28"/>
          <w:lang w:eastAsia="zh-CN"/>
        </w:rPr>
        <w:t>85.66</w:t>
      </w:r>
      <w:r>
        <w:rPr>
          <w:rFonts w:hint="eastAsia" w:ascii="仿宋_GB2312" w:hAnsi="宋体" w:eastAsia="仿宋_GB2312"/>
          <w:spacing w:val="-4"/>
          <w:sz w:val="28"/>
          <w:szCs w:val="28"/>
        </w:rPr>
        <w:t>㎡</w:t>
      </w:r>
      <w:r>
        <w:rPr>
          <w:rFonts w:hint="eastAsia" w:ascii="仿宋_GB2312" w:hAnsi="宋体" w:eastAsia="仿宋_GB2312"/>
          <w:spacing w:val="-4"/>
          <w:sz w:val="28"/>
          <w:szCs w:val="28"/>
          <w:lang w:eastAsia="zh-CN"/>
        </w:rPr>
        <w:t>，</w:t>
      </w:r>
      <w:r>
        <w:rPr>
          <w:rFonts w:hint="eastAsia" w:ascii="仿宋_GB2312" w:hAnsi="宋体" w:eastAsia="仿宋_GB2312"/>
          <w:spacing w:val="-4"/>
          <w:sz w:val="28"/>
          <w:szCs w:val="28"/>
        </w:rPr>
        <w:t>房屋</w:t>
      </w:r>
      <w:r>
        <w:rPr>
          <w:rFonts w:hint="eastAsia" w:ascii="仿宋_GB2312" w:hAnsi="宋体" w:eastAsia="仿宋_GB2312"/>
          <w:spacing w:val="-4"/>
          <w:sz w:val="28"/>
          <w:szCs w:val="28"/>
          <w:lang w:eastAsia="zh-CN"/>
        </w:rPr>
        <w:t>用途为成套住宅</w:t>
      </w:r>
      <w:r>
        <w:rPr>
          <w:rFonts w:hint="eastAsia" w:ascii="仿宋_GB2312" w:hAnsi="宋体" w:eastAsia="仿宋_GB2312"/>
          <w:spacing w:val="-4"/>
          <w:sz w:val="28"/>
          <w:szCs w:val="28"/>
        </w:rPr>
        <w:t>，</w:t>
      </w:r>
      <w:r>
        <w:rPr>
          <w:rFonts w:hint="eastAsia" w:ascii="仿宋_GB2312" w:hAnsi="宋体" w:eastAsia="仿宋_GB2312"/>
          <w:spacing w:val="-4"/>
          <w:sz w:val="28"/>
          <w:szCs w:val="28"/>
          <w:lang w:eastAsia="zh-CN"/>
        </w:rPr>
        <w:t>竣工年代为</w:t>
      </w:r>
      <w:r>
        <w:rPr>
          <w:rFonts w:hint="eastAsia" w:ascii="仿宋_GB2312" w:hAnsi="宋体" w:eastAsia="仿宋_GB2312"/>
          <w:spacing w:val="-4"/>
          <w:sz w:val="28"/>
          <w:szCs w:val="28"/>
          <w:lang w:val="en-US" w:eastAsia="zh-CN"/>
        </w:rPr>
        <w:t>1996年1月1日，</w:t>
      </w:r>
      <w:r>
        <w:rPr>
          <w:rFonts w:hint="eastAsia" w:ascii="仿宋_GB2312" w:hAnsi="宋体" w:eastAsia="仿宋_GB2312"/>
          <w:spacing w:val="-4"/>
          <w:sz w:val="28"/>
          <w:szCs w:val="28"/>
        </w:rPr>
        <w:t>目前房屋使用情况为</w:t>
      </w:r>
      <w:r>
        <w:rPr>
          <w:rFonts w:hint="eastAsia" w:ascii="仿宋_GB2312" w:hAnsi="宋体" w:eastAsia="仿宋_GB2312"/>
          <w:spacing w:val="-4"/>
          <w:sz w:val="28"/>
          <w:szCs w:val="28"/>
          <w:lang w:eastAsia="zh-CN"/>
        </w:rPr>
        <w:t>闲置</w:t>
      </w:r>
      <w:r>
        <w:rPr>
          <w:rFonts w:hint="eastAsia" w:ascii="仿宋_GB2312" w:hAnsi="宋体" w:eastAsia="仿宋_GB2312"/>
          <w:sz w:val="28"/>
          <w:szCs w:val="28"/>
        </w:rPr>
        <w:t>。</w:t>
      </w:r>
    </w:p>
    <w:p>
      <w:pPr>
        <w:pageBreakBefore w:val="0"/>
        <w:widowControl w:val="0"/>
        <w:kinsoku/>
        <w:wordWrap/>
        <w:overflowPunct/>
        <w:topLinePunct w:val="0"/>
        <w:autoSpaceDE/>
        <w:autoSpaceDN/>
        <w:bidi w:val="0"/>
        <w:adjustRightInd/>
        <w:snapToGrid/>
        <w:spacing w:line="500" w:lineRule="exact"/>
        <w:ind w:firstLine="537" w:firstLineChars="192"/>
        <w:textAlignment w:val="auto"/>
        <w:rPr>
          <w:rFonts w:hint="eastAsia" w:ascii="仿宋_GB2312" w:hAnsi="宋体" w:eastAsia="仿宋_GB2312"/>
          <w:sz w:val="28"/>
          <w:szCs w:val="28"/>
        </w:rPr>
      </w:pPr>
      <w:r>
        <w:rPr>
          <w:rFonts w:hint="eastAsia" w:ascii="仿宋_GB2312" w:hAnsi="宋体" w:eastAsia="仿宋_GB2312"/>
          <w:sz w:val="28"/>
          <w:szCs w:val="28"/>
        </w:rPr>
        <w:t>3.他项权利状况</w:t>
      </w:r>
    </w:p>
    <w:p>
      <w:pPr>
        <w:pageBreakBefore w:val="0"/>
        <w:widowControl w:val="0"/>
        <w:kinsoku/>
        <w:wordWrap/>
        <w:overflowPunct/>
        <w:topLinePunct w:val="0"/>
        <w:autoSpaceDE/>
        <w:autoSpaceDN/>
        <w:bidi w:val="0"/>
        <w:adjustRightInd/>
        <w:snapToGrid/>
        <w:spacing w:line="500" w:lineRule="exact"/>
        <w:ind w:firstLine="537" w:firstLineChars="192"/>
        <w:textAlignment w:val="auto"/>
        <w:rPr>
          <w:rFonts w:hint="eastAsia" w:ascii="仿宋_GB2312" w:hAnsi="宋体" w:eastAsia="仿宋_GB2312"/>
          <w:color w:val="auto"/>
          <w:sz w:val="28"/>
          <w:szCs w:val="28"/>
        </w:rPr>
      </w:pPr>
      <w:r>
        <w:rPr>
          <w:rFonts w:hint="eastAsia" w:ascii="仿宋_GB2312" w:hAnsi="楷体_GB2312" w:eastAsia="仿宋_GB2312"/>
          <w:bCs/>
          <w:color w:val="auto"/>
          <w:sz w:val="28"/>
        </w:rPr>
        <w:t>根据估价委托人提供的</w:t>
      </w:r>
      <w:r>
        <w:rPr>
          <w:rFonts w:hint="eastAsia" w:ascii="仿宋_GB2312" w:hAnsi="楷体_GB2312" w:eastAsia="仿宋_GB2312"/>
          <w:bCs/>
          <w:color w:val="auto"/>
          <w:sz w:val="28"/>
          <w:lang w:eastAsia="zh-CN"/>
        </w:rPr>
        <w:t>《利通区不动产登记信息查询单》</w:t>
      </w:r>
      <w:r>
        <w:rPr>
          <w:rFonts w:hint="eastAsia" w:ascii="仿宋_GB2312" w:hAnsi="楷体_GB2312" w:eastAsia="仿宋_GB2312"/>
          <w:bCs/>
          <w:color w:val="auto"/>
          <w:sz w:val="28"/>
        </w:rPr>
        <w:t>不动产限制信息显示：</w:t>
      </w:r>
      <w:r>
        <w:rPr>
          <w:rFonts w:hint="eastAsia" w:ascii="仿宋_GB2312" w:hAnsi="宋体" w:eastAsia="仿宋_GB2312" w:cs="宋体"/>
          <w:color w:val="auto"/>
          <w:sz w:val="28"/>
          <w:szCs w:val="28"/>
        </w:rPr>
        <w:t>至价值时点时</w:t>
      </w:r>
      <w:r>
        <w:rPr>
          <w:rFonts w:hint="eastAsia" w:ascii="仿宋_GB2312" w:hAnsi="宋体" w:eastAsia="仿宋_GB2312"/>
          <w:color w:val="auto"/>
          <w:sz w:val="28"/>
          <w:szCs w:val="28"/>
        </w:rPr>
        <w:t>估价对象未进行抵押登记。故在价值时点时估价对象不存在抵押权等他项权利。</w:t>
      </w:r>
    </w:p>
    <w:p>
      <w:pPr>
        <w:pageBreakBefore w:val="0"/>
        <w:widowControl w:val="0"/>
        <w:kinsoku/>
        <w:wordWrap/>
        <w:overflowPunct/>
        <w:topLinePunct w:val="0"/>
        <w:autoSpaceDE/>
        <w:autoSpaceDN/>
        <w:bidi w:val="0"/>
        <w:adjustRightInd/>
        <w:snapToGrid/>
        <w:spacing w:line="500" w:lineRule="exact"/>
        <w:ind w:firstLine="537" w:firstLineChars="192"/>
        <w:textAlignment w:val="auto"/>
        <w:rPr>
          <w:rFonts w:hint="eastAsia" w:ascii="仿宋_GB2312" w:hAnsi="宋体" w:eastAsia="仿宋_GB2312"/>
          <w:sz w:val="28"/>
          <w:szCs w:val="28"/>
        </w:rPr>
      </w:pPr>
      <w:r>
        <w:rPr>
          <w:rFonts w:hint="eastAsia" w:ascii="仿宋_GB2312" w:hAnsi="宋体" w:eastAsia="仿宋_GB2312"/>
          <w:sz w:val="28"/>
          <w:szCs w:val="28"/>
        </w:rPr>
        <w:t>4.使用管制及相邻关系</w:t>
      </w:r>
    </w:p>
    <w:p>
      <w:pPr>
        <w:pageBreakBefore w:val="0"/>
        <w:widowControl w:val="0"/>
        <w:kinsoku/>
        <w:wordWrap/>
        <w:overflowPunct/>
        <w:topLinePunct w:val="0"/>
        <w:autoSpaceDE/>
        <w:autoSpaceDN/>
        <w:bidi w:val="0"/>
        <w:adjustRightInd/>
        <w:snapToGrid/>
        <w:spacing w:line="500" w:lineRule="exact"/>
        <w:ind w:firstLine="537" w:firstLineChars="192"/>
        <w:textAlignment w:val="auto"/>
        <w:rPr>
          <w:rFonts w:hint="eastAsia" w:ascii="仿宋_GB2312" w:hAnsi="宋体" w:eastAsia="仿宋_GB2312"/>
          <w:sz w:val="28"/>
          <w:szCs w:val="28"/>
        </w:rPr>
      </w:pPr>
      <w:r>
        <w:rPr>
          <w:rFonts w:hint="eastAsia" w:ascii="仿宋_GB2312" w:hAnsi="宋体" w:eastAsia="仿宋_GB2312"/>
          <w:sz w:val="28"/>
          <w:szCs w:val="28"/>
        </w:rPr>
        <w:t>估价对象规划用途为住宅，估价对象现状用途为住宅，符合城市规划要求，不存在相邻关系的限制。</w:t>
      </w:r>
    </w:p>
    <w:bookmarkEnd w:id="40"/>
    <w:p>
      <w:pPr>
        <w:pStyle w:val="3"/>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sz w:val="28"/>
          <w:szCs w:val="28"/>
        </w:rPr>
      </w:pPr>
      <w:bookmarkStart w:id="42" w:name="_Toc6917"/>
      <w:bookmarkStart w:id="43" w:name="_Toc10517"/>
      <w:bookmarkStart w:id="44" w:name="_Toc12160"/>
      <w:r>
        <w:rPr>
          <w:rFonts w:hint="eastAsia" w:ascii="仿宋_GB2312" w:hAnsi="仿宋_GB2312" w:eastAsia="仿宋_GB2312" w:cs="仿宋_GB2312"/>
          <w:sz w:val="28"/>
          <w:szCs w:val="28"/>
        </w:rPr>
        <w:t>五、价值时点</w:t>
      </w:r>
      <w:bookmarkEnd w:id="41"/>
      <w:bookmarkEnd w:id="42"/>
      <w:bookmarkEnd w:id="43"/>
      <w:bookmarkEnd w:id="44"/>
    </w:p>
    <w:p>
      <w:pPr>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2022年7月27日</w:t>
      </w:r>
      <w:r>
        <w:rPr>
          <w:rFonts w:hint="eastAsia" w:ascii="仿宋_GB2312" w:hAnsi="仿宋_GB2312" w:eastAsia="仿宋_GB2312" w:cs="仿宋_GB2312"/>
          <w:sz w:val="28"/>
          <w:szCs w:val="28"/>
        </w:rPr>
        <w:t>（以估价人员实地查勘日期为价值时点）。</w:t>
      </w:r>
    </w:p>
    <w:p>
      <w:pPr>
        <w:pStyle w:val="3"/>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sz w:val="28"/>
          <w:szCs w:val="28"/>
        </w:rPr>
      </w:pPr>
      <w:bookmarkStart w:id="45" w:name="_Toc265761762"/>
      <w:bookmarkStart w:id="46" w:name="_Toc12370"/>
      <w:bookmarkStart w:id="47" w:name="_Toc2273"/>
      <w:bookmarkStart w:id="48" w:name="_Toc26830"/>
      <w:r>
        <w:rPr>
          <w:rFonts w:hint="eastAsia" w:ascii="仿宋_GB2312" w:hAnsi="仿宋_GB2312" w:eastAsia="仿宋_GB2312" w:cs="仿宋_GB2312"/>
          <w:sz w:val="28"/>
          <w:szCs w:val="28"/>
        </w:rPr>
        <w:t>六、价值</w:t>
      </w:r>
      <w:bookmarkEnd w:id="45"/>
      <w:r>
        <w:rPr>
          <w:rFonts w:hint="eastAsia" w:ascii="仿宋_GB2312" w:hAnsi="仿宋_GB2312" w:eastAsia="仿宋_GB2312" w:cs="仿宋_GB2312"/>
          <w:sz w:val="28"/>
          <w:szCs w:val="28"/>
        </w:rPr>
        <w:t>类型</w:t>
      </w:r>
      <w:bookmarkEnd w:id="46"/>
      <w:bookmarkEnd w:id="47"/>
      <w:bookmarkEnd w:id="48"/>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（一）价值类型名称</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本次估价的价值类型为市场价值。</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（二）价值定义</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市场价值为估价对象经适当营销后，由熟悉情况、谨慎行事且不受强迫的交易双方，以公平交易方式在价值时点自愿进行交易的金额。</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（三）价值内涵</w:t>
      </w:r>
    </w:p>
    <w:p>
      <w:pPr>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价值内涵是估价对象在价值时点，满足本次估价假设和限制条件下包括建筑物（含二次装修价值）、分摊的土地使用权（含土地出让金）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公共配套设施</w:t>
      </w:r>
      <w:r>
        <w:rPr>
          <w:rFonts w:hint="eastAsia" w:ascii="仿宋_GB2312" w:hAnsi="仿宋_GB2312" w:eastAsia="仿宋_GB2312" w:cs="仿宋_GB2312"/>
          <w:sz w:val="28"/>
          <w:szCs w:val="28"/>
          <w:lang w:eastAsia="zh-CN"/>
        </w:rPr>
        <w:t>及室内</w:t>
      </w:r>
      <w:r>
        <w:rPr>
          <w:rFonts w:hint="eastAsia" w:ascii="仿宋_GB2312" w:hAnsi="仿宋_GB2312" w:eastAsia="仿宋_GB2312" w:cs="仿宋_GB2312"/>
          <w:color w:val="auto"/>
          <w:sz w:val="28"/>
          <w:szCs w:val="28"/>
          <w:lang w:eastAsia="zh-CN"/>
        </w:rPr>
        <w:t>家具、家电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不包括债权债务、特许经营权等其他财产或权益；付款方式是一次性付清房款；房屋面积内涵是建筑面积；开发程度是现房，具备“七通”。</w:t>
      </w:r>
    </w:p>
    <w:p>
      <w:pPr>
        <w:pStyle w:val="3"/>
        <w:pageBreakBefore w:val="0"/>
        <w:widowControl w:val="0"/>
        <w:numPr>
          <w:ilvl w:val="0"/>
          <w:numId w:val="3"/>
        </w:numPr>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sz w:val="28"/>
          <w:szCs w:val="28"/>
        </w:rPr>
      </w:pPr>
      <w:bookmarkStart w:id="49" w:name="_Toc29207"/>
      <w:bookmarkStart w:id="50" w:name="_Toc5915"/>
      <w:bookmarkStart w:id="51" w:name="_Toc27240"/>
      <w:bookmarkStart w:id="52" w:name="_Toc265761765"/>
      <w:r>
        <w:rPr>
          <w:rFonts w:hint="eastAsia" w:ascii="仿宋_GB2312" w:hAnsi="仿宋_GB2312" w:eastAsia="仿宋_GB2312" w:cs="仿宋_GB2312"/>
          <w:sz w:val="28"/>
          <w:szCs w:val="28"/>
        </w:rPr>
        <w:t>估价原则</w:t>
      </w:r>
      <w:bookmarkEnd w:id="49"/>
      <w:bookmarkEnd w:id="50"/>
      <w:bookmarkEnd w:id="51"/>
    </w:p>
    <w:p>
      <w:pPr>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房地产价格是由其效用、有效需求相互作用影响所形成的，而这些因素又经常处于变动之中，我们遵循的原则主要有下列5项：</w:t>
      </w:r>
    </w:p>
    <w:p>
      <w:pPr>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1、独立、客观、公正原则：</w:t>
      </w:r>
    </w:p>
    <w:p>
      <w:pPr>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要求站在中立的立场上，实事求是、公平正直地评估出对各方估价利害关系人均是公平合理的价值或价格的原则。</w:t>
      </w:r>
    </w:p>
    <w:p>
      <w:pPr>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2、合法原则：</w:t>
      </w:r>
    </w:p>
    <w:p>
      <w:pPr>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要求估价结果是在依法判定的估价对象状况下的价值或价格的原则。</w:t>
      </w:r>
    </w:p>
    <w:p>
      <w:pPr>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3、价值时点原则：</w:t>
      </w:r>
    </w:p>
    <w:p>
      <w:pPr>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要求估价结果是在根据估价目的确定的某一特定时间的价值或价格的原则。</w:t>
      </w:r>
    </w:p>
    <w:p>
      <w:pPr>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4、最高最佳利用原则：</w:t>
      </w:r>
    </w:p>
    <w:p>
      <w:pPr>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要求估价结果是在估价对象最高最佳利用状况下的价值或价格。</w:t>
      </w:r>
    </w:p>
    <w:p>
      <w:pPr>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5、替代原则：</w:t>
      </w:r>
    </w:p>
    <w:p>
      <w:pPr>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要求估价结果与估价对象的类似房地产在同等条件下的价值或价格偏差在合理范围内的原则。</w:t>
      </w:r>
    </w:p>
    <w:p>
      <w:pPr>
        <w:pStyle w:val="3"/>
        <w:pageBreakBefore w:val="0"/>
        <w:widowControl w:val="0"/>
        <w:kinsoku/>
        <w:wordWrap/>
        <w:overflowPunct/>
        <w:topLinePunct w:val="0"/>
        <w:autoSpaceDE/>
        <w:autoSpaceDN/>
        <w:bidi w:val="0"/>
        <w:adjustRightInd/>
        <w:snapToGrid/>
        <w:spacing w:before="0" w:after="0" w:line="500" w:lineRule="exact"/>
        <w:textAlignment w:val="auto"/>
        <w:rPr>
          <w:rFonts w:ascii="仿宋_GB2312" w:hAnsi="仿宋_GB2312" w:eastAsia="仿宋_GB2312" w:cs="仿宋_GB2312"/>
          <w:sz w:val="28"/>
          <w:szCs w:val="28"/>
        </w:rPr>
      </w:pPr>
      <w:bookmarkStart w:id="53" w:name="_Toc13922"/>
      <w:bookmarkStart w:id="54" w:name="_Toc13177"/>
      <w:bookmarkStart w:id="55" w:name="_Toc12630"/>
      <w:r>
        <w:rPr>
          <w:rFonts w:hint="eastAsia" w:ascii="仿宋_GB2312" w:hAnsi="仿宋_GB2312" w:eastAsia="仿宋_GB2312" w:cs="仿宋_GB2312"/>
          <w:sz w:val="28"/>
          <w:szCs w:val="28"/>
        </w:rPr>
        <w:t>八、估价依据</w:t>
      </w:r>
      <w:bookmarkEnd w:id="52"/>
      <w:bookmarkEnd w:id="53"/>
      <w:bookmarkEnd w:id="54"/>
      <w:bookmarkEnd w:id="55"/>
    </w:p>
    <w:p>
      <w:pPr>
        <w:pageBreakBefore w:val="0"/>
        <w:widowControl w:val="0"/>
        <w:tabs>
          <w:tab w:val="left" w:pos="2520"/>
        </w:tabs>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ascii="仿宋_GB2312" w:hAnsi="仿宋_GB2312" w:eastAsia="仿宋_GB2312" w:cs="仿宋_GB2312"/>
          <w:sz w:val="28"/>
          <w:szCs w:val="28"/>
        </w:rPr>
        <w:t>（一）法律、法规及政策文件</w:t>
      </w:r>
    </w:p>
    <w:p>
      <w:pPr>
        <w:pageBreakBefore w:val="0"/>
        <w:widowControl w:val="0"/>
        <w:tabs>
          <w:tab w:val="left" w:pos="2520"/>
        </w:tabs>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（1）《中华人民共和国民法典》（2020年5月28日第十三届全国人民代表大会第三次会议通过，2021年1月1日起施行）；</w:t>
      </w:r>
    </w:p>
    <w:p>
      <w:pPr>
        <w:pageBreakBefore w:val="0"/>
        <w:widowControl w:val="0"/>
        <w:tabs>
          <w:tab w:val="left" w:pos="2520"/>
        </w:tabs>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（2）《中华人民共和国资产评估法》（中华人民共和国主席令第46号，</w:t>
      </w:r>
      <w:r>
        <w:rPr>
          <w:rFonts w:hint="eastAsia" w:ascii="宋体" w:hAnsi="宋体" w:cs="宋体"/>
          <w:sz w:val="28"/>
          <w:szCs w:val="28"/>
        </w:rPr>
        <w:t> </w:t>
      </w:r>
      <w:r>
        <w:rPr>
          <w:rFonts w:hint="eastAsia" w:ascii="仿宋_GB2312" w:hAnsi="仿宋_GB2312" w:eastAsia="仿宋_GB2312" w:cs="仿宋_GB2312"/>
          <w:sz w:val="28"/>
          <w:szCs w:val="28"/>
        </w:rPr>
        <w:t>自2016年12月1日起施行）；</w:t>
      </w:r>
    </w:p>
    <w:p>
      <w:pPr>
        <w:pageBreakBefore w:val="0"/>
        <w:widowControl w:val="0"/>
        <w:tabs>
          <w:tab w:val="left" w:pos="2520"/>
        </w:tabs>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（3）《中华人民共和国城市房地产管理法》（中华人民共和国主席令第32号，自2020年1月1日起施行）；</w:t>
      </w:r>
    </w:p>
    <w:p>
      <w:pPr>
        <w:pageBreakBefore w:val="0"/>
        <w:widowControl w:val="0"/>
        <w:tabs>
          <w:tab w:val="left" w:pos="2520"/>
        </w:tabs>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（4）《中华人民共和国土地管理法》（中华人民共和国主席令第32号，自2020年1月1日起施行）；</w:t>
      </w:r>
    </w:p>
    <w:p>
      <w:pPr>
        <w:pageBreakBefore w:val="0"/>
        <w:widowControl w:val="0"/>
        <w:tabs>
          <w:tab w:val="left" w:pos="2520"/>
        </w:tabs>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（5）《中华人民共和国拍卖法》（2015年4月24日第十二届全国人民代表大会常务委员会第十四次会议修正）；</w:t>
      </w:r>
    </w:p>
    <w:p>
      <w:pPr>
        <w:pageBreakBefore w:val="0"/>
        <w:widowControl w:val="0"/>
        <w:tabs>
          <w:tab w:val="left" w:pos="2520"/>
        </w:tabs>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（6）《城市房地产转让管理规定》（2001年中华人民共和国建设部第96号令）；</w:t>
      </w:r>
    </w:p>
    <w:p>
      <w:pPr>
        <w:pageBreakBefore w:val="0"/>
        <w:widowControl w:val="0"/>
        <w:tabs>
          <w:tab w:val="left" w:pos="2520"/>
        </w:tabs>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（7）《最高人民法院关于人民法院确定财产处置参考价若干问题的规定》（法释〔2018〕15号）； </w:t>
      </w:r>
    </w:p>
    <w:p>
      <w:pPr>
        <w:pageBreakBefore w:val="0"/>
        <w:widowControl w:val="0"/>
        <w:tabs>
          <w:tab w:val="left" w:pos="2520"/>
        </w:tabs>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（8）《人民法院委托评估工作规范》（法办〔2018〕273号）；</w:t>
      </w:r>
    </w:p>
    <w:p>
      <w:pPr>
        <w:pageBreakBefore w:val="0"/>
        <w:widowControl w:val="0"/>
        <w:tabs>
          <w:tab w:val="left" w:pos="2520"/>
        </w:tabs>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（9）《司法鉴定程序通则》（2016年中华人民共和国司法部第132号令）；</w:t>
      </w:r>
    </w:p>
    <w:p>
      <w:pPr>
        <w:pageBreakBefore w:val="0"/>
        <w:widowControl w:val="0"/>
        <w:tabs>
          <w:tab w:val="left" w:pos="2520"/>
        </w:tabs>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（10）《司法鉴定执业活动投诉处理办法》（2019年中华人民共和国司法部第144号令)；</w:t>
      </w:r>
    </w:p>
    <w:p>
      <w:pPr>
        <w:pageBreakBefore w:val="0"/>
        <w:widowControl w:val="0"/>
        <w:tabs>
          <w:tab w:val="left" w:pos="2520"/>
        </w:tabs>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（11）《人民法院委托评估专业技术评审工作规范》（法办〔2019〕364号）;</w:t>
      </w:r>
    </w:p>
    <w:p>
      <w:pPr>
        <w:pageBreakBefore w:val="0"/>
        <w:widowControl w:val="0"/>
        <w:tabs>
          <w:tab w:val="left" w:pos="2520"/>
        </w:tabs>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（12）《最高人民法院关于人民法院委托评估、拍卖和变卖工作的若干规定》（法释〔2009〕16号）；</w:t>
      </w:r>
    </w:p>
    <w:p>
      <w:pPr>
        <w:pageBreakBefore w:val="0"/>
        <w:widowControl w:val="0"/>
        <w:tabs>
          <w:tab w:val="left" w:pos="2520"/>
        </w:tabs>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（13）《宁夏回族自治区司法鉴定管理条例》（2004年3月24日自治区第九届人民代表大会常务委员会第九次会议通过）；</w:t>
      </w:r>
    </w:p>
    <w:p>
      <w:pPr>
        <w:pageBreakBefore w:val="0"/>
        <w:widowControl w:val="0"/>
        <w:tabs>
          <w:tab w:val="left" w:pos="2520"/>
        </w:tabs>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（14）国务院、建设部、国土资源部、司法部、最高人民法院及宁夏回族自治区有关部门颁布的其它法规政策文件</w:t>
      </w:r>
      <w:r>
        <w:rPr>
          <w:rFonts w:ascii="仿宋_GB2312" w:hAnsi="仿宋_GB2312" w:eastAsia="仿宋_GB2312" w:cs="仿宋_GB2312"/>
          <w:sz w:val="28"/>
          <w:szCs w:val="28"/>
        </w:rPr>
        <w:t>。</w:t>
      </w:r>
    </w:p>
    <w:p>
      <w:pPr>
        <w:pageBreakBefore w:val="0"/>
        <w:widowControl w:val="0"/>
        <w:tabs>
          <w:tab w:val="left" w:pos="2520"/>
        </w:tabs>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ascii="仿宋_GB2312" w:hAnsi="仿宋_GB2312" w:eastAsia="仿宋_GB2312" w:cs="仿宋_GB2312"/>
          <w:sz w:val="28"/>
          <w:szCs w:val="28"/>
        </w:rPr>
        <w:t>（二）技术标准、规程及规范</w:t>
      </w:r>
    </w:p>
    <w:p>
      <w:pPr>
        <w:pageBreakBefore w:val="0"/>
        <w:widowControl w:val="0"/>
        <w:tabs>
          <w:tab w:val="left" w:pos="2520"/>
        </w:tabs>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 </w:t>
      </w:r>
      <w:r>
        <w:rPr>
          <w:rFonts w:ascii="仿宋_GB2312" w:hAnsi="仿宋_GB2312" w:eastAsia="仿宋_GB2312" w:cs="仿宋_GB2312"/>
          <w:sz w:val="28"/>
          <w:szCs w:val="28"/>
        </w:rPr>
        <w:t>中华人民共和国国家标准《房地产估价规范》GB/T50291-2015；</w:t>
      </w:r>
    </w:p>
    <w:p>
      <w:pPr>
        <w:pageBreakBefore w:val="0"/>
        <w:widowControl w:val="0"/>
        <w:tabs>
          <w:tab w:val="left" w:pos="2520"/>
        </w:tabs>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中华人民共和国国家标准《房地产估价基本术语标准》GB/T50899-2013；</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《涉执房地产处置司法评估指导意见》（</w:t>
      </w:r>
      <w:r>
        <w:rPr>
          <w:rFonts w:hint="eastAsia" w:ascii="仿宋_GB2312" w:hAnsi="仿宋_GB2312" w:eastAsia="仿宋_GB2312" w:cs="仿宋_GB2312"/>
          <w:sz w:val="28"/>
          <w:szCs w:val="28"/>
        </w:rPr>
        <w:t>试行</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p>
      <w:pPr>
        <w:pageBreakBefore w:val="0"/>
        <w:widowControl w:val="0"/>
        <w:kinsoku/>
        <w:wordWrap/>
        <w:overflowPunct/>
        <w:topLinePunct w:val="0"/>
        <w:autoSpaceDE/>
        <w:autoSpaceDN/>
        <w:bidi w:val="0"/>
        <w:adjustRightInd/>
        <w:snapToGrid/>
        <w:spacing w:line="500" w:lineRule="exact"/>
        <w:ind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（三）估价委托人提供的有关资料</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《吴忠市利通区人民法院评估委托书》（2021）宁0302执2803号</w:t>
      </w:r>
      <w:r>
        <w:rPr>
          <w:rFonts w:hint="eastAsia" w:ascii="仿宋_GB2312" w:hAnsi="仿宋_GB2312" w:eastAsia="仿宋_GB2312" w:cs="仿宋_GB2312"/>
          <w:sz w:val="28"/>
          <w:szCs w:val="28"/>
        </w:rPr>
        <w:t>；</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《利通区不动产登记信息查询单》查询编号：</w:t>
      </w:r>
      <w:r>
        <w:rPr>
          <w:rFonts w:hint="eastAsia" w:ascii="仿宋_GB2312" w:hAnsi="仿宋_GB2312" w:eastAsia="仿宋_GB2312" w:cs="仿宋_GB2312"/>
          <w:sz w:val="28"/>
          <w:szCs w:val="28"/>
          <w:lang w:val="en-US" w:eastAsia="zh-CN"/>
        </w:rPr>
        <w:t>1506825506650128385</w:t>
      </w:r>
      <w:r>
        <w:rPr>
          <w:rFonts w:hint="eastAsia" w:ascii="仿宋_GB2312" w:hAnsi="仿宋_GB2312" w:eastAsia="仿宋_GB2312" w:cs="仿宋_GB2312"/>
          <w:sz w:val="28"/>
          <w:szCs w:val="28"/>
        </w:rPr>
        <w:t>；</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《财产清点登记表》</w:t>
      </w:r>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估价委托人提供的与本次估价相关的其他资料。</w:t>
      </w:r>
    </w:p>
    <w:p>
      <w:pPr>
        <w:pageBreakBefore w:val="0"/>
        <w:widowControl w:val="0"/>
        <w:kinsoku/>
        <w:wordWrap/>
        <w:overflowPunct/>
        <w:topLinePunct w:val="0"/>
        <w:autoSpaceDE/>
        <w:autoSpaceDN/>
        <w:bidi w:val="0"/>
        <w:adjustRightInd/>
        <w:snapToGrid/>
        <w:spacing w:line="500" w:lineRule="exact"/>
        <w:ind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（四）估价方掌握的有关资料和估价人员实地查勘、调查所获取的资料</w:t>
      </w:r>
    </w:p>
    <w:p>
      <w:pPr>
        <w:pageBreakBefore w:val="0"/>
        <w:widowControl w:val="0"/>
        <w:kinsoku/>
        <w:wordWrap/>
        <w:overflowPunct/>
        <w:topLinePunct w:val="0"/>
        <w:autoSpaceDE/>
        <w:autoSpaceDN/>
        <w:bidi w:val="0"/>
        <w:adjustRightInd/>
        <w:snapToGrid/>
        <w:spacing w:line="500" w:lineRule="exact"/>
        <w:ind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（1）估价对象现场查勘记录；</w:t>
      </w:r>
    </w:p>
    <w:p>
      <w:pPr>
        <w:pageBreakBefore w:val="0"/>
        <w:widowControl w:val="0"/>
        <w:kinsoku/>
        <w:wordWrap/>
        <w:overflowPunct/>
        <w:topLinePunct w:val="0"/>
        <w:autoSpaceDE/>
        <w:autoSpaceDN/>
        <w:bidi w:val="0"/>
        <w:adjustRightInd/>
        <w:snapToGrid/>
        <w:spacing w:line="500" w:lineRule="exact"/>
        <w:ind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（2）估价人员实地考察、取证、调查所取得的资料；</w:t>
      </w:r>
    </w:p>
    <w:p>
      <w:pPr>
        <w:pageBreakBefore w:val="0"/>
        <w:widowControl w:val="0"/>
        <w:kinsoku/>
        <w:wordWrap/>
        <w:overflowPunct/>
        <w:topLinePunct w:val="0"/>
        <w:autoSpaceDE/>
        <w:autoSpaceDN/>
        <w:bidi w:val="0"/>
        <w:adjustRightInd/>
        <w:snapToGrid/>
        <w:spacing w:line="500" w:lineRule="exact"/>
        <w:ind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（3）本公司搜集掌握的相关资料。</w:t>
      </w:r>
    </w:p>
    <w:p>
      <w:pPr>
        <w:pStyle w:val="3"/>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sz w:val="28"/>
          <w:szCs w:val="28"/>
        </w:rPr>
      </w:pPr>
      <w:bookmarkStart w:id="56" w:name="_Toc12835"/>
      <w:bookmarkStart w:id="57" w:name="_Toc27443"/>
      <w:bookmarkStart w:id="58" w:name="_Toc265761767"/>
      <w:bookmarkStart w:id="59" w:name="_Toc22905"/>
      <w:r>
        <w:rPr>
          <w:rFonts w:hint="eastAsia" w:ascii="仿宋_GB2312" w:hAnsi="仿宋_GB2312" w:eastAsia="仿宋_GB2312" w:cs="仿宋_GB2312"/>
          <w:sz w:val="28"/>
          <w:szCs w:val="28"/>
        </w:rPr>
        <w:t>九、估价方法</w:t>
      </w:r>
      <w:bookmarkEnd w:id="56"/>
      <w:bookmarkEnd w:id="57"/>
      <w:bookmarkEnd w:id="58"/>
      <w:bookmarkEnd w:id="59"/>
    </w:p>
    <w:p>
      <w:pPr>
        <w:pStyle w:val="3"/>
        <w:keepNext w:val="0"/>
        <w:keepLines w:val="0"/>
        <w:pageBreakBefore w:val="0"/>
        <w:widowControl w:val="0"/>
        <w:kinsoku/>
        <w:wordWrap/>
        <w:overflowPunct/>
        <w:topLinePunct w:val="0"/>
        <w:autoSpaceDE/>
        <w:autoSpaceDN/>
        <w:bidi w:val="0"/>
        <w:adjustRightInd/>
        <w:snapToGrid/>
        <w:spacing w:before="0" w:after="0" w:line="500" w:lineRule="exact"/>
        <w:ind w:firstLine="548" w:firstLineChars="196"/>
        <w:textAlignment w:val="auto"/>
        <w:rPr>
          <w:rFonts w:hint="eastAsia" w:ascii="仿宋_GB2312" w:hAnsi="宋体" w:eastAsia="仿宋_GB2312"/>
          <w:b w:val="0"/>
          <w:color w:val="FF0000"/>
          <w:sz w:val="28"/>
          <w:szCs w:val="28"/>
        </w:rPr>
      </w:pPr>
      <w:bookmarkStart w:id="60" w:name="_Toc25438"/>
      <w:bookmarkStart w:id="61" w:name="_Toc9871"/>
      <w:bookmarkStart w:id="62" w:name="_Toc342"/>
      <w:bookmarkStart w:id="63" w:name="_Toc11316"/>
      <w:r>
        <w:rPr>
          <w:rFonts w:hint="eastAsia" w:ascii="仿宋_GB2312" w:hAnsi="宋体" w:eastAsia="仿宋_GB2312"/>
          <w:b w:val="0"/>
          <w:color w:val="auto"/>
          <w:sz w:val="28"/>
          <w:szCs w:val="28"/>
        </w:rPr>
        <w:t>房地产估价的常用方法有比较法、收益法、成本法、假设开发法及其他估价方法。依据《房地产估价规范》，结合估价目的及估价师收集的有关资料，本次估价选择比较法、收益法</w:t>
      </w:r>
      <w:r>
        <w:rPr>
          <w:rFonts w:hint="eastAsia" w:ascii="仿宋_GB2312" w:hAnsi="宋体" w:eastAsia="仿宋_GB2312"/>
          <w:b w:val="0"/>
          <w:color w:val="auto"/>
          <w:sz w:val="28"/>
          <w:szCs w:val="28"/>
          <w:lang w:eastAsia="zh-CN"/>
        </w:rPr>
        <w:t>两种方法</w:t>
      </w:r>
      <w:r>
        <w:rPr>
          <w:rFonts w:hint="eastAsia" w:ascii="仿宋_GB2312" w:hAnsi="宋体" w:eastAsia="仿宋_GB2312"/>
          <w:b w:val="0"/>
          <w:color w:val="auto"/>
          <w:sz w:val="28"/>
          <w:szCs w:val="28"/>
        </w:rPr>
        <w:t>进行评估。</w:t>
      </w:r>
      <w:bookmarkEnd w:id="60"/>
      <w:bookmarkEnd w:id="61"/>
      <w:bookmarkEnd w:id="62"/>
      <w:bookmarkEnd w:id="63"/>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hAnsi="宋体" w:eastAsia="仿宋_GB2312" w:cs="宋体"/>
          <w:sz w:val="28"/>
          <w:szCs w:val="28"/>
        </w:rPr>
        <w:t>1、</w:t>
      </w:r>
      <w:r>
        <w:rPr>
          <w:rFonts w:hint="eastAsia" w:ascii="仿宋_GB2312" w:eastAsia="仿宋_GB2312"/>
          <w:sz w:val="28"/>
          <w:szCs w:val="28"/>
        </w:rPr>
        <w:t>比较法</w:t>
      </w:r>
    </w:p>
    <w:p>
      <w:pPr>
        <w:pageBreakBefore w:val="0"/>
        <w:widowControl w:val="0"/>
        <w:kinsoku/>
        <w:wordWrap/>
        <w:overflowPunct/>
        <w:topLinePunct w:val="0"/>
        <w:autoSpaceDE/>
        <w:autoSpaceDN/>
        <w:bidi w:val="0"/>
        <w:adjustRightInd/>
        <w:snapToGrid/>
        <w:spacing w:line="500" w:lineRule="exact"/>
        <w:ind w:right="-107" w:rightChars="-51" w:firstLine="560" w:firstLineChars="200"/>
        <w:textAlignment w:val="auto"/>
        <w:rPr>
          <w:rFonts w:hint="eastAsia" w:ascii="仿宋_GB2312" w:eastAsia="仿宋_GB2312"/>
          <w:sz w:val="28"/>
          <w:szCs w:val="28"/>
        </w:rPr>
      </w:pPr>
      <w:r>
        <w:rPr>
          <w:rFonts w:hint="eastAsia" w:ascii="仿宋_GB2312" w:eastAsia="仿宋_GB2312"/>
          <w:sz w:val="28"/>
          <w:szCs w:val="28"/>
        </w:rPr>
        <w:t>比较法是将估价对象与价值时点近期有过交易的类似房地产进行比较，对这些类似房地产的已知价格作适当修正，以此估算对象的客观合理价格或价值的方法。</w:t>
      </w:r>
    </w:p>
    <w:p>
      <w:pPr>
        <w:pageBreakBefore w:val="0"/>
        <w:widowControl w:val="0"/>
        <w:kinsoku/>
        <w:wordWrap/>
        <w:overflowPunct/>
        <w:topLinePunct w:val="0"/>
        <w:autoSpaceDE/>
        <w:autoSpaceDN/>
        <w:bidi w:val="0"/>
        <w:adjustRightInd/>
        <w:snapToGrid/>
        <w:spacing w:line="500" w:lineRule="exact"/>
        <w:ind w:right="-107" w:rightChars="-51" w:firstLine="537" w:firstLineChars="192"/>
        <w:textAlignment w:val="auto"/>
        <w:rPr>
          <w:rFonts w:hint="eastAsia" w:ascii="仿宋_GB2312" w:hAnsi="宋体" w:eastAsia="仿宋_GB2312" w:cs="宋体"/>
          <w:sz w:val="28"/>
          <w:szCs w:val="28"/>
        </w:rPr>
      </w:pPr>
      <w:r>
        <w:rPr>
          <w:rFonts w:hint="eastAsia" w:ascii="仿宋_GB2312" w:hAnsi="宋体" w:eastAsia="仿宋_GB2312" w:cs="宋体"/>
          <w:sz w:val="28"/>
          <w:szCs w:val="28"/>
        </w:rPr>
        <w:t>2、收益法</w:t>
      </w:r>
    </w:p>
    <w:p>
      <w:pPr>
        <w:pageBreakBefore w:val="0"/>
        <w:widowControl w:val="0"/>
        <w:kinsoku/>
        <w:wordWrap/>
        <w:overflowPunct/>
        <w:topLinePunct w:val="0"/>
        <w:autoSpaceDE/>
        <w:autoSpaceDN/>
        <w:bidi w:val="0"/>
        <w:adjustRightInd/>
        <w:snapToGrid/>
        <w:spacing w:line="500" w:lineRule="exact"/>
        <w:ind w:firstLine="555"/>
        <w:textAlignment w:val="auto"/>
        <w:rPr>
          <w:rFonts w:hint="eastAsia" w:ascii="仿宋_GB2312" w:hAnsi="楷体_GB2312" w:eastAsia="仿宋_GB2312" w:cs="仿宋_GB2312"/>
          <w:color w:val="000000"/>
          <w:kern w:val="0"/>
          <w:sz w:val="28"/>
          <w:szCs w:val="28"/>
        </w:rPr>
      </w:pPr>
      <w:r>
        <w:rPr>
          <w:rFonts w:hint="eastAsia" w:ascii="仿宋_GB2312" w:hAnsi="楷体_GB2312" w:eastAsia="仿宋_GB2312" w:cs="仿宋_GB2312"/>
          <w:color w:val="000000"/>
          <w:kern w:val="0"/>
          <w:sz w:val="28"/>
          <w:szCs w:val="28"/>
        </w:rPr>
        <w:t>收益法是根据估价对象的预期未来收益来求取估价对象价值的方法；较具体地说，是预测估价对象的未来收益，然后将其转换为价值来求取估价对象价值的方法。</w:t>
      </w:r>
    </w:p>
    <w:p>
      <w:pPr>
        <w:pStyle w:val="3"/>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Cs w:val="0"/>
          <w:sz w:val="28"/>
          <w:szCs w:val="28"/>
        </w:rPr>
      </w:pPr>
      <w:bookmarkStart w:id="64" w:name="_Toc3525"/>
      <w:bookmarkStart w:id="65" w:name="_Toc19061"/>
      <w:bookmarkStart w:id="66" w:name="_Toc3460"/>
      <w:r>
        <w:rPr>
          <w:rFonts w:hint="eastAsia" w:ascii="仿宋_GB2312" w:hAnsi="仿宋_GB2312" w:eastAsia="仿宋_GB2312" w:cs="仿宋_GB2312"/>
          <w:bCs w:val="0"/>
          <w:sz w:val="28"/>
          <w:szCs w:val="28"/>
        </w:rPr>
        <w:t>十、估价结果</w:t>
      </w:r>
      <w:bookmarkEnd w:id="64"/>
      <w:bookmarkEnd w:id="65"/>
      <w:bookmarkEnd w:id="66"/>
    </w:p>
    <w:p>
      <w:pPr>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olor w:val="000000"/>
          <w:sz w:val="28"/>
          <w:szCs w:val="28"/>
        </w:rPr>
      </w:pPr>
      <w:r>
        <w:rPr>
          <w:rFonts w:hint="eastAsia" w:ascii="仿宋_GB2312" w:eastAsia="仿宋_GB2312"/>
          <w:sz w:val="28"/>
          <w:szCs w:val="28"/>
        </w:rPr>
        <w:t>估价人员根据特定的估价目的，遵循公认的估价原则，按照严谨的估价工作程序，选用科学合理的估价方法，在对影响估价对象价值因素进行综合分析的基础上，确定本次估价对象房地产在</w:t>
      </w:r>
      <w:r>
        <w:rPr>
          <w:rFonts w:hint="eastAsia" w:ascii="仿宋_GB2312" w:hAnsi="宋体" w:eastAsia="仿宋_GB2312"/>
          <w:sz w:val="28"/>
          <w:szCs w:val="28"/>
          <w:lang w:eastAsia="zh-CN"/>
        </w:rPr>
        <w:t>2022年7月27日</w:t>
      </w:r>
      <w:r>
        <w:rPr>
          <w:rFonts w:hint="eastAsia" w:ascii="仿宋_GB2312" w:eastAsia="仿宋_GB2312"/>
          <w:sz w:val="28"/>
          <w:szCs w:val="28"/>
        </w:rPr>
        <w:t>的</w:t>
      </w:r>
      <w:r>
        <w:rPr>
          <w:rFonts w:hint="eastAsia" w:ascii="仿宋_GB2312" w:hAnsi="宋体" w:eastAsia="仿宋_GB2312" w:cs="宋体"/>
          <w:sz w:val="28"/>
          <w:szCs w:val="28"/>
        </w:rPr>
        <w:t>评估价值如下：</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宋体"/>
          <w:b/>
          <w:bCs/>
          <w:kern w:val="0"/>
          <w:sz w:val="22"/>
          <w:szCs w:val="2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宋体"/>
          <w:b/>
          <w:bCs/>
          <w:kern w:val="0"/>
          <w:sz w:val="22"/>
          <w:szCs w:val="22"/>
        </w:rPr>
      </w:pPr>
      <w:r>
        <w:rPr>
          <w:rFonts w:hint="eastAsia" w:ascii="宋体" w:hAnsi="宋体" w:cs="宋体"/>
          <w:b/>
          <w:bCs/>
          <w:kern w:val="0"/>
          <w:sz w:val="22"/>
          <w:szCs w:val="22"/>
        </w:rPr>
        <w:t>估价结果汇总表</w:t>
      </w:r>
    </w:p>
    <w:p>
      <w:pPr>
        <w:spacing w:line="240" w:lineRule="atLeast"/>
        <w:ind w:firstLine="7131" w:firstLineChars="3962"/>
        <w:rPr>
          <w:rFonts w:hint="eastAsia" w:ascii="宋体" w:hAnsi="宋体" w:cs="宋体"/>
          <w:kern w:val="0"/>
          <w:sz w:val="18"/>
          <w:szCs w:val="18"/>
        </w:rPr>
      </w:pPr>
      <w:r>
        <w:rPr>
          <w:rFonts w:hint="eastAsia" w:ascii="宋体" w:hAnsi="宋体" w:cs="宋体"/>
          <w:kern w:val="0"/>
          <w:sz w:val="18"/>
          <w:szCs w:val="18"/>
        </w:rPr>
        <w:t>币种：人民币</w:t>
      </w:r>
    </w:p>
    <w:tbl>
      <w:tblPr>
        <w:tblStyle w:val="27"/>
        <w:tblW w:w="0" w:type="auto"/>
        <w:jc w:val="center"/>
        <w:tblLayout w:type="fixed"/>
        <w:tblCellMar>
          <w:top w:w="0" w:type="dxa"/>
          <w:left w:w="108" w:type="dxa"/>
          <w:bottom w:w="0" w:type="dxa"/>
          <w:right w:w="108" w:type="dxa"/>
        </w:tblCellMar>
      </w:tblPr>
      <w:tblGrid>
        <w:gridCol w:w="2015"/>
        <w:gridCol w:w="2040"/>
        <w:gridCol w:w="2562"/>
        <w:gridCol w:w="2423"/>
      </w:tblGrid>
      <w:tr>
        <w:tblPrEx>
          <w:tblCellMar>
            <w:top w:w="0" w:type="dxa"/>
            <w:left w:w="108" w:type="dxa"/>
            <w:bottom w:w="0" w:type="dxa"/>
            <w:right w:w="108" w:type="dxa"/>
          </w:tblCellMar>
        </w:tblPrEx>
        <w:trPr>
          <w:trHeight w:val="748" w:hRule="atLeast"/>
          <w:jc w:val="center"/>
        </w:trPr>
        <w:tc>
          <w:tcPr>
            <w:tcW w:w="4055" w:type="dxa"/>
            <w:gridSpan w:val="2"/>
            <w:tcBorders>
              <w:top w:val="single" w:color="auto" w:sz="4" w:space="0"/>
              <w:left w:val="single" w:color="auto" w:sz="4" w:space="0"/>
              <w:bottom w:val="single" w:color="auto" w:sz="4" w:space="0"/>
              <w:right w:val="single" w:color="auto" w:sz="4" w:space="0"/>
              <w:tl2br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 xml:space="preserve">        估价方法</w:t>
            </w:r>
          </w:p>
          <w:p>
            <w:pPr>
              <w:ind w:firstLine="300" w:firstLineChars="150"/>
              <w:rPr>
                <w:rFonts w:ascii="宋体" w:hAnsi="宋体" w:cs="宋体"/>
                <w:kern w:val="0"/>
                <w:sz w:val="20"/>
              </w:rPr>
            </w:pPr>
            <w:r>
              <w:rPr>
                <w:rFonts w:hint="eastAsia" w:ascii="宋体" w:hAnsi="宋体" w:cs="宋体"/>
                <w:kern w:val="0"/>
                <w:sz w:val="20"/>
              </w:rPr>
              <w:t>相关结果</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比较法</w:t>
            </w:r>
          </w:p>
        </w:tc>
        <w:tc>
          <w:tcPr>
            <w:tcW w:w="24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收益法</w:t>
            </w:r>
          </w:p>
        </w:tc>
      </w:tr>
      <w:tr>
        <w:tblPrEx>
          <w:tblCellMar>
            <w:top w:w="0" w:type="dxa"/>
            <w:left w:w="108" w:type="dxa"/>
            <w:bottom w:w="0" w:type="dxa"/>
            <w:right w:w="108" w:type="dxa"/>
          </w:tblCellMar>
        </w:tblPrEx>
        <w:trPr>
          <w:trHeight w:val="744" w:hRule="atLeast"/>
          <w:jc w:val="center"/>
        </w:trPr>
        <w:tc>
          <w:tcPr>
            <w:tcW w:w="20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测算结果</w:t>
            </w:r>
          </w:p>
        </w:tc>
        <w:tc>
          <w:tcPr>
            <w:tcW w:w="20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lang w:eastAsia="zh-CN"/>
              </w:rPr>
            </w:pPr>
            <w:r>
              <w:rPr>
                <w:rFonts w:hint="eastAsia" w:ascii="宋体" w:hAnsi="宋体" w:cs="宋体"/>
                <w:color w:val="auto"/>
                <w:kern w:val="0"/>
                <w:sz w:val="20"/>
              </w:rPr>
              <w:t>总价</w:t>
            </w:r>
            <w:r>
              <w:rPr>
                <w:rFonts w:hint="eastAsia" w:ascii="宋体" w:hAnsi="宋体" w:cs="宋体"/>
                <w:color w:val="auto"/>
                <w:kern w:val="0"/>
                <w:sz w:val="20"/>
                <w:lang w:eastAsia="zh-CN"/>
              </w:rPr>
              <w:t>（</w:t>
            </w:r>
            <w:r>
              <w:rPr>
                <w:rFonts w:hint="eastAsia" w:ascii="宋体" w:hAnsi="宋体" w:cs="宋体"/>
                <w:color w:val="auto"/>
                <w:kern w:val="0"/>
                <w:sz w:val="20"/>
              </w:rPr>
              <w:t>元</w:t>
            </w:r>
            <w:r>
              <w:rPr>
                <w:rFonts w:hint="eastAsia" w:ascii="宋体" w:hAnsi="宋体" w:cs="宋体"/>
                <w:color w:val="auto"/>
                <w:kern w:val="0"/>
                <w:sz w:val="20"/>
                <w:lang w:eastAsia="zh-CN"/>
              </w:rPr>
              <w:t>）</w:t>
            </w:r>
          </w:p>
        </w:tc>
        <w:tc>
          <w:tcPr>
            <w:tcW w:w="25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rPr>
            </w:pPr>
            <w:r>
              <w:rPr>
                <w:rFonts w:hint="eastAsia" w:ascii="宋体" w:hAnsi="宋体" w:cs="宋体"/>
                <w:color w:val="auto"/>
                <w:kern w:val="0"/>
                <w:sz w:val="20"/>
                <w:lang w:eastAsia="zh-CN"/>
              </w:rPr>
              <w:t>360372</w:t>
            </w:r>
            <w:r>
              <w:rPr>
                <w:rFonts w:hint="eastAsia" w:ascii="宋体" w:hAnsi="宋体" w:cs="宋体"/>
                <w:color w:val="auto"/>
                <w:kern w:val="0"/>
                <w:sz w:val="20"/>
              </w:rPr>
              <w:t xml:space="preserve"> </w:t>
            </w:r>
          </w:p>
        </w:tc>
        <w:tc>
          <w:tcPr>
            <w:tcW w:w="242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rPr>
            </w:pPr>
            <w:r>
              <w:rPr>
                <w:rFonts w:hint="eastAsia" w:ascii="宋体" w:hAnsi="宋体" w:cs="宋体"/>
                <w:color w:val="auto"/>
                <w:kern w:val="0"/>
                <w:sz w:val="20"/>
                <w:lang w:val="en-US" w:eastAsia="zh-CN"/>
              </w:rPr>
              <w:t>175828</w:t>
            </w:r>
          </w:p>
        </w:tc>
      </w:tr>
      <w:tr>
        <w:tblPrEx>
          <w:tblCellMar>
            <w:top w:w="0" w:type="dxa"/>
            <w:left w:w="108" w:type="dxa"/>
            <w:bottom w:w="0" w:type="dxa"/>
            <w:right w:w="108" w:type="dxa"/>
          </w:tblCellMar>
        </w:tblPrEx>
        <w:trPr>
          <w:trHeight w:val="718" w:hRule="atLeast"/>
          <w:jc w:val="center"/>
        </w:trPr>
        <w:tc>
          <w:tcPr>
            <w:tcW w:w="20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20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0"/>
                <w:lang w:eastAsia="zh-CN"/>
              </w:rPr>
            </w:pPr>
            <w:r>
              <w:rPr>
                <w:rFonts w:hint="eastAsia" w:ascii="宋体" w:hAnsi="宋体" w:cs="宋体"/>
                <w:color w:val="auto"/>
                <w:kern w:val="0"/>
                <w:sz w:val="20"/>
              </w:rPr>
              <w:t>单价</w:t>
            </w:r>
            <w:r>
              <w:rPr>
                <w:rFonts w:hint="eastAsia" w:ascii="宋体" w:hAnsi="宋体" w:cs="宋体"/>
                <w:color w:val="auto"/>
                <w:kern w:val="0"/>
                <w:sz w:val="20"/>
                <w:lang w:eastAsia="zh-CN"/>
              </w:rPr>
              <w:t>（</w:t>
            </w:r>
            <w:r>
              <w:rPr>
                <w:rFonts w:hint="eastAsia" w:ascii="宋体" w:hAnsi="宋体" w:cs="宋体"/>
                <w:color w:val="auto"/>
                <w:kern w:val="0"/>
                <w:sz w:val="20"/>
              </w:rPr>
              <w:t>元/㎡</w:t>
            </w:r>
            <w:r>
              <w:rPr>
                <w:rFonts w:hint="eastAsia" w:ascii="宋体" w:hAnsi="宋体" w:cs="宋体"/>
                <w:color w:val="auto"/>
                <w:kern w:val="0"/>
                <w:sz w:val="20"/>
                <w:lang w:eastAsia="zh-CN"/>
              </w:rPr>
              <w:t>）</w:t>
            </w:r>
          </w:p>
        </w:tc>
        <w:tc>
          <w:tcPr>
            <w:tcW w:w="25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rPr>
            </w:pPr>
            <w:r>
              <w:rPr>
                <w:rFonts w:hint="eastAsia" w:ascii="宋体" w:hAnsi="宋体" w:cs="宋体"/>
                <w:color w:val="auto"/>
                <w:kern w:val="0"/>
                <w:sz w:val="20"/>
                <w:lang w:eastAsia="zh-CN"/>
              </w:rPr>
              <w:t>4207</w:t>
            </w:r>
          </w:p>
        </w:tc>
        <w:tc>
          <w:tcPr>
            <w:tcW w:w="242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rPr>
            </w:pPr>
            <w:r>
              <w:rPr>
                <w:rFonts w:hint="eastAsia" w:ascii="宋体" w:hAnsi="宋体" w:cs="宋体"/>
                <w:color w:val="auto"/>
                <w:kern w:val="0"/>
                <w:sz w:val="20"/>
                <w:lang w:eastAsia="zh-CN"/>
              </w:rPr>
              <w:t>2053</w:t>
            </w:r>
          </w:p>
        </w:tc>
      </w:tr>
      <w:tr>
        <w:tblPrEx>
          <w:tblCellMar>
            <w:top w:w="0" w:type="dxa"/>
            <w:left w:w="108" w:type="dxa"/>
            <w:bottom w:w="0" w:type="dxa"/>
            <w:right w:w="108" w:type="dxa"/>
          </w:tblCellMar>
        </w:tblPrEx>
        <w:trPr>
          <w:trHeight w:val="940" w:hRule="atLeast"/>
          <w:jc w:val="center"/>
        </w:trPr>
        <w:tc>
          <w:tcPr>
            <w:tcW w:w="20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评估价值</w:t>
            </w:r>
          </w:p>
        </w:tc>
        <w:tc>
          <w:tcPr>
            <w:tcW w:w="20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rPr>
            </w:pPr>
            <w:r>
              <w:rPr>
                <w:rFonts w:hint="eastAsia" w:ascii="宋体" w:hAnsi="宋体" w:cs="宋体"/>
                <w:color w:val="auto"/>
                <w:kern w:val="0"/>
                <w:sz w:val="20"/>
              </w:rPr>
              <w:t>总价</w:t>
            </w:r>
            <w:r>
              <w:rPr>
                <w:rFonts w:hint="eastAsia" w:ascii="宋体" w:hAnsi="宋体" w:cs="宋体"/>
                <w:color w:val="auto"/>
                <w:kern w:val="0"/>
                <w:sz w:val="20"/>
                <w:lang w:eastAsia="zh-CN"/>
              </w:rPr>
              <w:t>（</w:t>
            </w:r>
            <w:r>
              <w:rPr>
                <w:rFonts w:hint="eastAsia" w:ascii="宋体" w:hAnsi="宋体" w:cs="宋体"/>
                <w:color w:val="auto"/>
                <w:kern w:val="0"/>
                <w:sz w:val="20"/>
              </w:rPr>
              <w:t>元</w:t>
            </w:r>
            <w:r>
              <w:rPr>
                <w:rFonts w:hint="eastAsia" w:ascii="宋体" w:hAnsi="宋体" w:cs="宋体"/>
                <w:color w:val="auto"/>
                <w:kern w:val="0"/>
                <w:sz w:val="20"/>
                <w:lang w:eastAsia="zh-CN"/>
              </w:rPr>
              <w:t>）</w:t>
            </w:r>
          </w:p>
        </w:tc>
        <w:tc>
          <w:tcPr>
            <w:tcW w:w="4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0"/>
              </w:rPr>
            </w:pPr>
            <w:r>
              <w:rPr>
                <w:rFonts w:hint="eastAsia" w:ascii="宋体" w:hAnsi="宋体" w:cs="宋体"/>
                <w:color w:val="auto"/>
                <w:kern w:val="0"/>
                <w:sz w:val="20"/>
              </w:rPr>
              <w:t>小写金额：</w:t>
            </w:r>
            <w:r>
              <w:rPr>
                <w:rFonts w:hint="eastAsia" w:ascii="宋体" w:hAnsi="宋体" w:cs="宋体"/>
                <w:color w:val="auto"/>
                <w:kern w:val="0"/>
                <w:sz w:val="20"/>
                <w:lang w:eastAsia="zh-CN"/>
              </w:rPr>
              <w:t>360372</w:t>
            </w:r>
            <w:r>
              <w:rPr>
                <w:rFonts w:hint="eastAsia" w:ascii="宋体" w:hAnsi="宋体" w:cs="宋体"/>
                <w:color w:val="auto"/>
                <w:kern w:val="0"/>
                <w:sz w:val="20"/>
              </w:rPr>
              <w:br w:type="textWrapping"/>
            </w:r>
            <w:r>
              <w:rPr>
                <w:rFonts w:hint="eastAsia" w:ascii="宋体" w:hAnsi="宋体" w:cs="宋体"/>
                <w:color w:val="auto"/>
                <w:kern w:val="0"/>
                <w:sz w:val="20"/>
              </w:rPr>
              <w:t>大写金额：</w:t>
            </w:r>
            <w:r>
              <w:rPr>
                <w:rFonts w:hint="eastAsia" w:ascii="宋体" w:hAnsi="宋体" w:cs="宋体"/>
                <w:color w:val="auto"/>
                <w:kern w:val="0"/>
                <w:sz w:val="20"/>
              </w:rPr>
              <w:fldChar w:fldCharType="begin"/>
            </w:r>
            <w:r>
              <w:rPr>
                <w:rFonts w:hint="eastAsia" w:ascii="宋体" w:hAnsi="宋体" w:cs="宋体"/>
                <w:color w:val="auto"/>
                <w:kern w:val="0"/>
                <w:sz w:val="20"/>
              </w:rPr>
              <w:instrText xml:space="preserve"> = 1114261 \* CHINESENUM2 \* MERGEFORMAT </w:instrText>
            </w:r>
            <w:r>
              <w:rPr>
                <w:rFonts w:hint="eastAsia" w:ascii="宋体" w:hAnsi="宋体" w:cs="宋体"/>
                <w:color w:val="auto"/>
                <w:kern w:val="0"/>
                <w:sz w:val="20"/>
              </w:rPr>
              <w:fldChar w:fldCharType="separate"/>
            </w:r>
            <w:r>
              <w:rPr>
                <w:rFonts w:hint="eastAsia" w:ascii="宋体" w:hAnsi="宋体" w:cs="宋体"/>
                <w:color w:val="auto"/>
                <w:kern w:val="0"/>
                <w:sz w:val="20"/>
                <w:lang w:eastAsia="zh-CN"/>
              </w:rPr>
              <w:t>叁拾陆万零叁佰柒拾贰</w:t>
            </w:r>
            <w:r>
              <w:rPr>
                <w:rFonts w:hint="eastAsia" w:ascii="宋体" w:hAnsi="宋体" w:cs="宋体"/>
                <w:color w:val="auto"/>
                <w:kern w:val="0"/>
                <w:sz w:val="20"/>
              </w:rPr>
              <w:fldChar w:fldCharType="end"/>
            </w:r>
            <w:r>
              <w:rPr>
                <w:rFonts w:hint="eastAsia" w:ascii="宋体" w:hAnsi="宋体" w:cs="宋体"/>
                <w:color w:val="auto"/>
                <w:kern w:val="0"/>
                <w:sz w:val="20"/>
              </w:rPr>
              <w:t>元整</w:t>
            </w:r>
          </w:p>
        </w:tc>
      </w:tr>
      <w:tr>
        <w:tblPrEx>
          <w:tblCellMar>
            <w:top w:w="0" w:type="dxa"/>
            <w:left w:w="108" w:type="dxa"/>
            <w:bottom w:w="0" w:type="dxa"/>
            <w:right w:w="108" w:type="dxa"/>
          </w:tblCellMar>
        </w:tblPrEx>
        <w:trPr>
          <w:trHeight w:val="651" w:hRule="atLeast"/>
          <w:jc w:val="center"/>
        </w:trPr>
        <w:tc>
          <w:tcPr>
            <w:tcW w:w="20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20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kern w:val="0"/>
                <w:sz w:val="20"/>
              </w:rPr>
            </w:pPr>
            <w:r>
              <w:rPr>
                <w:rFonts w:hint="eastAsia" w:ascii="宋体" w:hAnsi="宋体" w:cs="宋体"/>
                <w:color w:val="auto"/>
                <w:kern w:val="0"/>
                <w:sz w:val="20"/>
              </w:rPr>
              <w:t>单价</w:t>
            </w:r>
            <w:r>
              <w:rPr>
                <w:rFonts w:hint="eastAsia" w:ascii="宋体" w:hAnsi="宋体" w:cs="宋体"/>
                <w:color w:val="auto"/>
                <w:kern w:val="0"/>
                <w:sz w:val="20"/>
                <w:lang w:eastAsia="zh-CN"/>
              </w:rPr>
              <w:t>（</w:t>
            </w:r>
            <w:r>
              <w:rPr>
                <w:rFonts w:hint="eastAsia" w:ascii="宋体" w:hAnsi="宋体" w:cs="宋体"/>
                <w:color w:val="auto"/>
                <w:kern w:val="0"/>
                <w:sz w:val="20"/>
              </w:rPr>
              <w:t>元/㎡</w:t>
            </w:r>
            <w:r>
              <w:rPr>
                <w:rFonts w:hint="eastAsia" w:ascii="宋体" w:hAnsi="宋体" w:cs="宋体"/>
                <w:color w:val="auto"/>
                <w:kern w:val="0"/>
                <w:sz w:val="20"/>
                <w:lang w:eastAsia="zh-CN"/>
              </w:rPr>
              <w:t>）</w:t>
            </w:r>
          </w:p>
        </w:tc>
        <w:tc>
          <w:tcPr>
            <w:tcW w:w="4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auto"/>
                <w:kern w:val="0"/>
                <w:sz w:val="20"/>
              </w:rPr>
            </w:pPr>
            <w:r>
              <w:rPr>
                <w:rFonts w:hint="eastAsia" w:ascii="宋体" w:hAnsi="宋体" w:cs="宋体"/>
                <w:color w:val="auto"/>
                <w:kern w:val="0"/>
                <w:sz w:val="20"/>
                <w:lang w:eastAsia="zh-CN"/>
              </w:rPr>
              <w:t>4207</w:t>
            </w:r>
          </w:p>
        </w:tc>
      </w:tr>
    </w:tbl>
    <w:p>
      <w:pPr>
        <w:keepNext w:val="0"/>
        <w:keepLines w:val="0"/>
        <w:pageBreakBefore w:val="0"/>
        <w:widowControl w:val="0"/>
        <w:kinsoku/>
        <w:wordWrap/>
        <w:overflowPunct/>
        <w:topLinePunct w:val="0"/>
        <w:autoSpaceDE/>
        <w:autoSpaceDN/>
        <w:bidi w:val="0"/>
        <w:adjustRightInd/>
        <w:snapToGrid/>
        <w:spacing w:line="500" w:lineRule="exact"/>
        <w:ind w:firstLine="576" w:firstLineChars="200"/>
        <w:textAlignment w:val="auto"/>
        <w:rPr>
          <w:rFonts w:hint="eastAsia" w:ascii="仿宋_GB2312" w:eastAsia="仿宋_GB2312"/>
          <w:spacing w:val="2"/>
          <w:sz w:val="28"/>
          <w:szCs w:val="28"/>
        </w:rPr>
      </w:pPr>
      <w:bookmarkStart w:id="67" w:name="_Toc265761768"/>
      <w:r>
        <w:rPr>
          <w:rFonts w:hint="eastAsia" w:ascii="仿宋_GB2312" w:hAnsi="宋体" w:eastAsia="仿宋_GB2312"/>
          <w:spacing w:val="4"/>
          <w:sz w:val="28"/>
        </w:rPr>
        <w:t>通过对以上两种方法测算结果的分析，并经估价人员对房地产市场情况的调查综合分析后得出，</w:t>
      </w:r>
      <w:r>
        <w:rPr>
          <w:rFonts w:hint="eastAsia" w:ascii="仿宋_GB2312" w:eastAsia="仿宋_GB2312"/>
          <w:spacing w:val="2"/>
          <w:sz w:val="28"/>
          <w:szCs w:val="28"/>
        </w:rPr>
        <w:t>比较法测算结果</w:t>
      </w:r>
      <w:r>
        <w:rPr>
          <w:rFonts w:hint="eastAsia" w:ascii="仿宋_GB2312" w:eastAsia="仿宋_GB2312"/>
          <w:sz w:val="28"/>
          <w:szCs w:val="28"/>
        </w:rPr>
        <w:t>适宜性较强，可信度较高</w:t>
      </w:r>
      <w:r>
        <w:rPr>
          <w:rFonts w:hint="eastAsia" w:ascii="仿宋_GB2312" w:eastAsia="仿宋_GB2312"/>
          <w:spacing w:val="2"/>
          <w:sz w:val="28"/>
          <w:szCs w:val="28"/>
        </w:rPr>
        <w:t>，其测算结果更能客观地反映估价</w:t>
      </w:r>
      <w:r>
        <w:rPr>
          <w:rFonts w:hint="eastAsia" w:ascii="仿宋_GB2312" w:eastAsia="仿宋_GB2312"/>
          <w:spacing w:val="10"/>
          <w:sz w:val="28"/>
          <w:szCs w:val="28"/>
        </w:rPr>
        <w:t>对象的正常市场价值，而</w:t>
      </w:r>
      <w:r>
        <w:rPr>
          <w:rFonts w:hint="eastAsia" w:ascii="仿宋_GB2312" w:eastAsia="仿宋_GB2312"/>
          <w:spacing w:val="2"/>
          <w:sz w:val="28"/>
          <w:szCs w:val="28"/>
        </w:rPr>
        <w:t>通过收益法测算得出的估价结果远远低于估价对象的正常市场价值。</w:t>
      </w:r>
    </w:p>
    <w:p>
      <w:pPr>
        <w:keepNext w:val="0"/>
        <w:keepLines w:val="0"/>
        <w:pageBreakBefore w:val="0"/>
        <w:widowControl w:val="0"/>
        <w:kinsoku/>
        <w:wordWrap/>
        <w:overflowPunct/>
        <w:topLinePunct w:val="0"/>
        <w:autoSpaceDE/>
        <w:autoSpaceDN/>
        <w:bidi w:val="0"/>
        <w:adjustRightInd/>
        <w:snapToGrid/>
        <w:spacing w:line="500" w:lineRule="exact"/>
        <w:ind w:firstLine="576" w:firstLineChars="200"/>
        <w:textAlignment w:val="auto"/>
        <w:rPr>
          <w:rFonts w:hint="eastAsia" w:ascii="仿宋_GB2312" w:hAnsi="宋体" w:eastAsia="仿宋_GB2312"/>
          <w:spacing w:val="4"/>
          <w:sz w:val="28"/>
        </w:rPr>
      </w:pPr>
      <w:r>
        <w:rPr>
          <w:rFonts w:hint="eastAsia" w:ascii="仿宋_GB2312" w:hAnsi="宋体" w:eastAsia="仿宋_GB2312"/>
          <w:spacing w:val="4"/>
          <w:sz w:val="28"/>
        </w:rPr>
        <w:t>因此采用比较法测算结果更能客观反映本次估价对象当前房地产市场的真实价值，故本次估价结果取比较法测算结果，收益法测算结果作为本次估价的参考。（详见下表）</w:t>
      </w:r>
    </w:p>
    <w:tbl>
      <w:tblPr>
        <w:tblStyle w:val="27"/>
        <w:tblpPr w:leftFromText="180" w:rightFromText="180" w:vertAnchor="text" w:horzAnchor="page" w:tblpX="1412" w:tblpY="5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1836"/>
        <w:gridCol w:w="1996"/>
        <w:gridCol w:w="1981"/>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169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b/>
                <w:color w:val="000000"/>
                <w:sz w:val="24"/>
                <w:szCs w:val="24"/>
              </w:rPr>
            </w:pPr>
            <w:r>
              <w:rPr>
                <w:rFonts w:hint="eastAsia" w:ascii="宋体" w:hAnsi="宋体" w:cs="仿宋_GB2312"/>
                <w:b/>
                <w:color w:val="000000"/>
                <w:sz w:val="24"/>
                <w:szCs w:val="24"/>
              </w:rPr>
              <w:t>房屋所有权人</w:t>
            </w:r>
          </w:p>
        </w:tc>
        <w:tc>
          <w:tcPr>
            <w:tcW w:w="183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b/>
                <w:color w:val="000000"/>
                <w:sz w:val="24"/>
                <w:szCs w:val="24"/>
              </w:rPr>
            </w:pPr>
            <w:r>
              <w:rPr>
                <w:rFonts w:hint="eastAsia" w:ascii="宋体" w:hAnsi="宋体" w:cs="仿宋_GB2312"/>
                <w:b/>
                <w:color w:val="000000"/>
                <w:sz w:val="24"/>
                <w:szCs w:val="24"/>
              </w:rPr>
              <w:t>产权证号</w:t>
            </w:r>
          </w:p>
        </w:tc>
        <w:tc>
          <w:tcPr>
            <w:tcW w:w="199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b/>
                <w:color w:val="000000"/>
                <w:sz w:val="24"/>
                <w:szCs w:val="24"/>
              </w:rPr>
            </w:pPr>
            <w:r>
              <w:rPr>
                <w:rFonts w:hint="eastAsia" w:ascii="宋体" w:hAnsi="宋体" w:cs="仿宋_GB2312"/>
                <w:b/>
                <w:color w:val="000000"/>
                <w:sz w:val="24"/>
                <w:szCs w:val="24"/>
              </w:rPr>
              <w:t>规划用途</w:t>
            </w:r>
          </w:p>
        </w:tc>
        <w:tc>
          <w:tcPr>
            <w:tcW w:w="198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b/>
                <w:color w:val="000000"/>
                <w:sz w:val="24"/>
                <w:szCs w:val="24"/>
              </w:rPr>
            </w:pPr>
            <w:r>
              <w:rPr>
                <w:rFonts w:hint="eastAsia" w:ascii="宋体" w:hAnsi="宋体" w:cs="仿宋_GB2312"/>
                <w:b/>
                <w:color w:val="000000"/>
                <w:sz w:val="24"/>
                <w:szCs w:val="24"/>
              </w:rPr>
              <w:t>结构</w:t>
            </w:r>
          </w:p>
        </w:tc>
        <w:tc>
          <w:tcPr>
            <w:tcW w:w="17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b/>
                <w:color w:val="000000"/>
                <w:sz w:val="24"/>
                <w:szCs w:val="24"/>
              </w:rPr>
            </w:pPr>
            <w:r>
              <w:rPr>
                <w:rFonts w:hint="eastAsia" w:ascii="宋体" w:hAnsi="宋体" w:cs="仿宋_GB2312"/>
                <w:b/>
                <w:color w:val="000000"/>
                <w:sz w:val="24"/>
                <w:szCs w:val="24"/>
              </w:rPr>
              <w:t>建造年代（年）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仿宋_GB2312"/>
                <w:color w:val="000000"/>
                <w:sz w:val="24"/>
                <w:szCs w:val="24"/>
                <w:lang w:eastAsia="zh-CN"/>
              </w:rPr>
            </w:pPr>
            <w:r>
              <w:rPr>
                <w:rFonts w:hint="eastAsia" w:ascii="宋体" w:hAnsi="宋体" w:cs="仿宋_GB2312"/>
                <w:color w:val="000000"/>
                <w:sz w:val="24"/>
                <w:szCs w:val="24"/>
                <w:lang w:eastAsia="zh-CN"/>
              </w:rPr>
              <w:t>张凤英</w:t>
            </w:r>
          </w:p>
        </w:tc>
        <w:tc>
          <w:tcPr>
            <w:tcW w:w="18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仿宋_GB2312"/>
                <w:color w:val="000000"/>
                <w:sz w:val="24"/>
                <w:szCs w:val="24"/>
                <w:lang w:eastAsia="zh-CN"/>
              </w:rPr>
            </w:pPr>
            <w:r>
              <w:rPr>
                <w:rFonts w:hint="eastAsia" w:ascii="宋体" w:hAnsi="宋体" w:cs="仿宋_GB2312"/>
                <w:color w:val="000000"/>
                <w:sz w:val="24"/>
                <w:szCs w:val="24"/>
                <w:lang w:eastAsia="zh-CN"/>
              </w:rPr>
              <w:t>00021328</w:t>
            </w:r>
          </w:p>
        </w:tc>
        <w:tc>
          <w:tcPr>
            <w:tcW w:w="199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color w:val="000000"/>
                <w:sz w:val="24"/>
                <w:szCs w:val="24"/>
              </w:rPr>
            </w:pPr>
            <w:r>
              <w:rPr>
                <w:rFonts w:hint="eastAsia" w:ascii="宋体" w:hAnsi="宋体" w:cs="仿宋_GB2312"/>
                <w:color w:val="000000"/>
                <w:sz w:val="24"/>
                <w:szCs w:val="24"/>
              </w:rPr>
              <w:t>住宅</w:t>
            </w:r>
          </w:p>
        </w:tc>
        <w:tc>
          <w:tcPr>
            <w:tcW w:w="198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仿宋_GB2312"/>
                <w:color w:val="000000"/>
                <w:sz w:val="24"/>
                <w:szCs w:val="24"/>
                <w:lang w:eastAsia="zh-CN"/>
              </w:rPr>
            </w:pPr>
            <w:r>
              <w:rPr>
                <w:rFonts w:hint="eastAsia" w:ascii="宋体" w:hAnsi="宋体" w:cs="仿宋_GB2312"/>
                <w:color w:val="000000"/>
                <w:sz w:val="24"/>
                <w:szCs w:val="24"/>
                <w:lang w:eastAsia="zh-CN"/>
              </w:rPr>
              <w:t>混合结构</w:t>
            </w:r>
          </w:p>
        </w:tc>
        <w:tc>
          <w:tcPr>
            <w:tcW w:w="17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宋体" w:hAnsi="宋体" w:eastAsia="宋体" w:cs="仿宋_GB2312"/>
                <w:color w:val="000000"/>
                <w:sz w:val="24"/>
                <w:szCs w:val="24"/>
                <w:lang w:val="en-US" w:eastAsia="zh-CN"/>
              </w:rPr>
            </w:pPr>
            <w:r>
              <w:rPr>
                <w:rFonts w:hint="eastAsia" w:ascii="宋体" w:hAnsi="宋体" w:cs="仿宋_GB2312"/>
                <w:color w:val="000000"/>
                <w:sz w:val="24"/>
                <w:szCs w:val="24"/>
                <w:lang w:val="en-US" w:eastAsia="zh-CN"/>
              </w:rPr>
              <w:t>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9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b/>
                <w:color w:val="000000"/>
                <w:sz w:val="24"/>
                <w:szCs w:val="24"/>
              </w:rPr>
            </w:pPr>
            <w:r>
              <w:rPr>
                <w:rFonts w:hint="eastAsia" w:ascii="宋体" w:hAnsi="宋体" w:cs="仿宋_GB2312"/>
                <w:b/>
                <w:color w:val="000000"/>
                <w:sz w:val="24"/>
                <w:szCs w:val="24"/>
              </w:rPr>
              <w:t>总层数（</w:t>
            </w:r>
            <w:r>
              <w:rPr>
                <w:rFonts w:hint="eastAsia" w:ascii="宋体" w:hAnsi="宋体" w:cs="仿宋_GB2312"/>
                <w:color w:val="000000"/>
                <w:sz w:val="24"/>
                <w:szCs w:val="24"/>
              </w:rPr>
              <w:t>层</w:t>
            </w:r>
            <w:r>
              <w:rPr>
                <w:rFonts w:hint="eastAsia" w:ascii="宋体" w:hAnsi="宋体" w:cs="仿宋_GB2312"/>
                <w:b/>
                <w:color w:val="000000"/>
                <w:sz w:val="24"/>
                <w:szCs w:val="24"/>
              </w:rPr>
              <w:t>）</w:t>
            </w:r>
          </w:p>
        </w:tc>
        <w:tc>
          <w:tcPr>
            <w:tcW w:w="183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b/>
                <w:color w:val="000000"/>
                <w:sz w:val="24"/>
                <w:szCs w:val="24"/>
              </w:rPr>
            </w:pPr>
            <w:r>
              <w:rPr>
                <w:rFonts w:hint="eastAsia" w:ascii="宋体" w:hAnsi="宋体" w:cs="仿宋_GB2312"/>
                <w:b/>
                <w:color w:val="000000"/>
                <w:sz w:val="24"/>
                <w:szCs w:val="24"/>
              </w:rPr>
              <w:t>所在层（</w:t>
            </w:r>
            <w:r>
              <w:rPr>
                <w:rFonts w:hint="eastAsia" w:ascii="宋体" w:hAnsi="宋体" w:cs="仿宋_GB2312"/>
                <w:color w:val="000000"/>
                <w:sz w:val="24"/>
                <w:szCs w:val="24"/>
              </w:rPr>
              <w:t>层</w:t>
            </w:r>
            <w:r>
              <w:rPr>
                <w:rFonts w:hint="eastAsia" w:ascii="宋体" w:hAnsi="宋体" w:cs="仿宋_GB2312"/>
                <w:b/>
                <w:color w:val="000000"/>
                <w:sz w:val="24"/>
                <w:szCs w:val="24"/>
              </w:rPr>
              <w:t>）</w:t>
            </w:r>
          </w:p>
        </w:tc>
        <w:tc>
          <w:tcPr>
            <w:tcW w:w="1996"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b/>
                <w:color w:val="000000"/>
                <w:sz w:val="24"/>
                <w:szCs w:val="24"/>
              </w:rPr>
            </w:pPr>
            <w:r>
              <w:rPr>
                <w:rFonts w:hint="eastAsia" w:ascii="宋体" w:hAnsi="宋体" w:cs="仿宋_GB2312"/>
                <w:b/>
                <w:color w:val="000000"/>
                <w:sz w:val="24"/>
                <w:szCs w:val="24"/>
              </w:rPr>
              <w:t>建筑面积（</w:t>
            </w:r>
            <w:r>
              <w:rPr>
                <w:rFonts w:hint="eastAsia" w:ascii="宋体" w:hAnsi="宋体" w:cs="仿宋_GB2312"/>
                <w:color w:val="000000"/>
                <w:sz w:val="24"/>
                <w:szCs w:val="24"/>
              </w:rPr>
              <w:t>㎡</w:t>
            </w:r>
            <w:r>
              <w:rPr>
                <w:rFonts w:hint="eastAsia" w:ascii="宋体" w:hAnsi="宋体" w:cs="仿宋_GB2312"/>
                <w:b/>
                <w:color w:val="000000"/>
                <w:sz w:val="24"/>
                <w:szCs w:val="24"/>
              </w:rPr>
              <w:t>）</w:t>
            </w:r>
          </w:p>
        </w:tc>
        <w:tc>
          <w:tcPr>
            <w:tcW w:w="198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b/>
                <w:color w:val="000000"/>
                <w:sz w:val="24"/>
                <w:szCs w:val="24"/>
              </w:rPr>
            </w:pPr>
            <w:r>
              <w:rPr>
                <w:rFonts w:hint="eastAsia" w:ascii="宋体" w:hAnsi="宋体" w:cs="仿宋_GB2312"/>
                <w:b/>
                <w:color w:val="000000"/>
                <w:sz w:val="24"/>
                <w:szCs w:val="24"/>
              </w:rPr>
              <w:t>单价（</w:t>
            </w:r>
            <w:r>
              <w:rPr>
                <w:rFonts w:hint="eastAsia" w:ascii="宋体" w:hAnsi="宋体" w:cs="仿宋_GB2312"/>
                <w:color w:val="000000"/>
                <w:sz w:val="24"/>
                <w:szCs w:val="24"/>
              </w:rPr>
              <w:t>元/㎡</w:t>
            </w:r>
            <w:r>
              <w:rPr>
                <w:rFonts w:hint="eastAsia" w:ascii="宋体" w:hAnsi="宋体" w:cs="仿宋_GB2312"/>
                <w:b/>
                <w:color w:val="000000"/>
                <w:sz w:val="24"/>
                <w:szCs w:val="24"/>
              </w:rPr>
              <w:t>）</w:t>
            </w:r>
          </w:p>
        </w:tc>
        <w:tc>
          <w:tcPr>
            <w:tcW w:w="1727"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宋体" w:hAnsi="宋体" w:cs="仿宋_GB2312"/>
                <w:b/>
                <w:color w:val="000000"/>
                <w:sz w:val="24"/>
                <w:szCs w:val="24"/>
              </w:rPr>
            </w:pPr>
            <w:r>
              <w:rPr>
                <w:rFonts w:hint="eastAsia" w:ascii="宋体" w:hAnsi="宋体" w:cs="仿宋_GB2312"/>
                <w:b/>
                <w:color w:val="000000"/>
                <w:sz w:val="24"/>
                <w:szCs w:val="24"/>
              </w:rPr>
              <w:t>总价（</w:t>
            </w:r>
            <w:r>
              <w:rPr>
                <w:rFonts w:hint="eastAsia" w:ascii="宋体" w:hAnsi="宋体" w:cs="仿宋_GB2312"/>
                <w:color w:val="000000"/>
                <w:sz w:val="24"/>
                <w:szCs w:val="24"/>
              </w:rPr>
              <w:t>元</w:t>
            </w:r>
            <w:r>
              <w:rPr>
                <w:rFonts w:hint="eastAsia" w:ascii="宋体" w:hAnsi="宋体" w:cs="仿宋_GB2312"/>
                <w:b/>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仿宋_GB2312"/>
                <w:color w:val="000000"/>
                <w:sz w:val="24"/>
                <w:szCs w:val="24"/>
                <w:lang w:eastAsia="zh-CN"/>
              </w:rPr>
            </w:pPr>
            <w:r>
              <w:rPr>
                <w:rFonts w:hint="eastAsia" w:ascii="宋体" w:hAnsi="宋体" w:cs="仿宋_GB2312"/>
                <w:color w:val="000000"/>
                <w:sz w:val="24"/>
                <w:szCs w:val="24"/>
                <w:lang w:val="en-US" w:eastAsia="zh-CN"/>
              </w:rPr>
              <w:t>6</w:t>
            </w:r>
          </w:p>
        </w:tc>
        <w:tc>
          <w:tcPr>
            <w:tcW w:w="183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仿宋_GB2312"/>
                <w:color w:val="000000"/>
                <w:sz w:val="24"/>
                <w:szCs w:val="24"/>
                <w:lang w:eastAsia="zh-CN"/>
              </w:rPr>
            </w:pPr>
            <w:r>
              <w:rPr>
                <w:rFonts w:hint="eastAsia" w:ascii="宋体" w:hAnsi="宋体" w:cs="仿宋_GB2312"/>
                <w:color w:val="000000"/>
                <w:sz w:val="24"/>
                <w:szCs w:val="24"/>
                <w:lang w:val="en-US" w:eastAsia="zh-CN"/>
              </w:rPr>
              <w:t>4</w:t>
            </w:r>
          </w:p>
        </w:tc>
        <w:tc>
          <w:tcPr>
            <w:tcW w:w="19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仿宋_GB2312"/>
                <w:color w:val="000000"/>
                <w:sz w:val="24"/>
                <w:szCs w:val="24"/>
                <w:lang w:eastAsia="zh-CN"/>
              </w:rPr>
            </w:pPr>
            <w:r>
              <w:rPr>
                <w:rFonts w:hint="eastAsia" w:ascii="宋体" w:hAnsi="宋体" w:cs="仿宋_GB2312"/>
                <w:color w:val="000000"/>
                <w:sz w:val="24"/>
                <w:szCs w:val="24"/>
                <w:lang w:eastAsia="zh-CN"/>
              </w:rPr>
              <w:t>85.66</w:t>
            </w:r>
          </w:p>
        </w:tc>
        <w:tc>
          <w:tcPr>
            <w:tcW w:w="19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仿宋_GB2312"/>
                <w:color w:val="auto"/>
                <w:sz w:val="24"/>
                <w:szCs w:val="24"/>
                <w:lang w:eastAsia="zh-CN"/>
              </w:rPr>
            </w:pPr>
            <w:r>
              <w:rPr>
                <w:rFonts w:hint="eastAsia" w:ascii="宋体" w:hAnsi="宋体" w:cs="仿宋_GB2312"/>
                <w:color w:val="auto"/>
                <w:sz w:val="24"/>
                <w:szCs w:val="24"/>
                <w:lang w:eastAsia="zh-CN"/>
              </w:rPr>
              <w:t>4207</w:t>
            </w:r>
          </w:p>
        </w:tc>
        <w:tc>
          <w:tcPr>
            <w:tcW w:w="17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仿宋_GB2312"/>
                <w:color w:val="auto"/>
                <w:sz w:val="24"/>
                <w:szCs w:val="24"/>
                <w:lang w:eastAsia="zh-CN"/>
              </w:rPr>
            </w:pPr>
            <w:r>
              <w:rPr>
                <w:rFonts w:hint="eastAsia" w:ascii="宋体" w:hAnsi="宋体" w:cs="仿宋_GB2312"/>
                <w:color w:val="auto"/>
                <w:sz w:val="24"/>
                <w:szCs w:val="24"/>
                <w:lang w:eastAsia="zh-CN"/>
              </w:rPr>
              <w:t>360372</w:t>
            </w:r>
          </w:p>
        </w:tc>
      </w:tr>
    </w:tbl>
    <w:p>
      <w:pPr>
        <w:keepNext w:val="0"/>
        <w:keepLines w:val="0"/>
        <w:pageBreakBefore w:val="0"/>
        <w:widowControl w:val="0"/>
        <w:kinsoku/>
        <w:wordWrap/>
        <w:overflowPunct/>
        <w:topLinePunct w:val="0"/>
        <w:autoSpaceDE/>
        <w:autoSpaceDN/>
        <w:bidi w:val="0"/>
        <w:adjustRightInd/>
        <w:snapToGrid/>
        <w:spacing w:line="500" w:lineRule="exact"/>
        <w:ind w:firstLine="3180" w:firstLineChars="1100"/>
        <w:jc w:val="both"/>
        <w:textAlignment w:val="auto"/>
        <w:rPr>
          <w:rFonts w:hint="eastAsia" w:ascii="仿宋_GB2312" w:hAnsi="宋体" w:eastAsia="仿宋_GB2312"/>
          <w:b/>
          <w:bCs/>
          <w:spacing w:val="4"/>
          <w:sz w:val="28"/>
        </w:rPr>
      </w:pPr>
      <w:r>
        <w:rPr>
          <w:rFonts w:hint="eastAsia" w:ascii="仿宋_GB2312" w:hAnsi="宋体" w:eastAsia="仿宋_GB2312"/>
          <w:b/>
          <w:bCs/>
          <w:spacing w:val="4"/>
          <w:sz w:val="28"/>
        </w:rPr>
        <w:t>估价结果一览表</w:t>
      </w:r>
    </w:p>
    <w:bookmarkEnd w:id="67"/>
    <w:p>
      <w:pPr>
        <w:spacing w:beforeLines="100" w:line="440" w:lineRule="exact"/>
        <w:ind w:right="28" w:firstLine="562" w:firstLineChars="200"/>
        <w:rPr>
          <w:rFonts w:hint="eastAsia" w:ascii="仿宋_GB2312" w:eastAsia="仿宋_GB2312"/>
          <w:b/>
          <w:bCs/>
          <w:sz w:val="28"/>
          <w:szCs w:val="28"/>
        </w:rPr>
      </w:pPr>
      <w:r>
        <w:rPr>
          <w:rFonts w:hint="eastAsia" w:ascii="仿宋_GB2312" w:hAnsi="仿宋_GB2312" w:eastAsia="仿宋_GB2312" w:cs="仿宋_GB2312"/>
          <w:b/>
          <w:bCs/>
          <w:sz w:val="28"/>
          <w:szCs w:val="28"/>
          <w:lang w:eastAsia="zh-CN"/>
        </w:rPr>
        <w:t>吴忠市利通区</w:t>
      </w:r>
      <w:r>
        <w:rPr>
          <w:rFonts w:hint="eastAsia" w:ascii="仿宋_GB2312" w:hAnsi="仿宋_GB2312" w:eastAsia="仿宋_GB2312" w:cs="仿宋_GB2312"/>
          <w:b/>
          <w:bCs/>
          <w:color w:val="000000"/>
          <w:sz w:val="28"/>
          <w:szCs w:val="28"/>
        </w:rPr>
        <w:t>早元路关马湖三号楼家具、家电评估结果明细表</w:t>
      </w:r>
    </w:p>
    <w:tbl>
      <w:tblPr>
        <w:tblStyle w:val="27"/>
        <w:tblW w:w="93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8"/>
        <w:gridCol w:w="1135"/>
        <w:gridCol w:w="1456"/>
        <w:gridCol w:w="1265"/>
        <w:gridCol w:w="1093"/>
        <w:gridCol w:w="900"/>
        <w:gridCol w:w="878"/>
        <w:gridCol w:w="1146"/>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产品名称</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规格型号</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存放位置</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购置年代（年）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单位</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数量</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2"/>
                <w:szCs w:val="22"/>
                <w:u w:val="none"/>
                <w:lang w:val="en-US" w:eastAsia="zh-CN" w:bidi="ar"/>
              </w:rPr>
              <w:t>评估</w:t>
            </w:r>
            <w:r>
              <w:rPr>
                <w:rFonts w:hint="eastAsia" w:ascii="宋体" w:hAnsi="宋体" w:eastAsia="宋体" w:cs="宋体"/>
                <w:b w:val="0"/>
                <w:bCs w:val="0"/>
                <w:i w:val="0"/>
                <w:iCs w:val="0"/>
                <w:color w:val="000000"/>
                <w:kern w:val="0"/>
                <w:sz w:val="22"/>
                <w:szCs w:val="22"/>
                <w:u w:val="none"/>
                <w:lang w:val="en-US" w:eastAsia="zh-CN" w:bidi="ar"/>
              </w:rPr>
              <w:t>单价（元）</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2"/>
                <w:szCs w:val="22"/>
                <w:u w:val="none"/>
                <w:lang w:val="en-US" w:eastAsia="zh-CN" w:bidi="ar"/>
              </w:rPr>
              <w:t>评估</w:t>
            </w:r>
            <w:r>
              <w:rPr>
                <w:rFonts w:hint="eastAsia" w:ascii="宋体" w:hAnsi="宋体" w:eastAsia="宋体" w:cs="宋体"/>
                <w:b w:val="0"/>
                <w:bCs w:val="0"/>
                <w:i w:val="0"/>
                <w:iCs w:val="0"/>
                <w:color w:val="000000"/>
                <w:kern w:val="0"/>
                <w:sz w:val="22"/>
                <w:szCs w:val="22"/>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三人沙发</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布皮</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单人沙发</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布皮</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1996年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饮水机</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天乐牌</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1996年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电视机</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茶几</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椅子</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电视平台</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电话</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座机</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部</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电风扇</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立式</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单人床</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北侧房间</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床头柜</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（内有电话）</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北侧房间</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方桌</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玻璃桌面，不锈钢桌腿</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北侧房间</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椅子</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北侧房间</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双开门冰箱</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新飞牌</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北侧房间</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储物柜</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厨房</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抽油烟机</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新时代牌</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厨房</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煤气灶</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双灶头</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厨房</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梳妆镜</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亚克力壁挂式</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卫生间</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（北侧）</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洗衣机</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威力牌</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卫生间</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（南侧）</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双人床</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写字台</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梳妆台</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椅子</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衣柜</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橱柜</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梳妆台</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双卡录音机</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主卧</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双人床</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次卧</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衣柜</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木质（单组）</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次卧</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小椅子</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次卧</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木箱</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木质</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次卧</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折叠椅</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次卧</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缝纫机</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阳台</w:t>
            </w: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34</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合计</w:t>
            </w:r>
          </w:p>
        </w:tc>
        <w:tc>
          <w:tcPr>
            <w:tcW w:w="1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1"/>
                <w:szCs w:val="21"/>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21"/>
                <w:szCs w:val="21"/>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660</w:t>
            </w:r>
          </w:p>
        </w:tc>
      </w:tr>
    </w:tbl>
    <w:p>
      <w:pPr>
        <w:spacing w:line="450" w:lineRule="exact"/>
        <w:jc w:val="left"/>
        <w:rPr>
          <w:rFonts w:hint="eastAsia" w:ascii="仿宋_GB2312" w:hAnsi="宋体" w:eastAsia="仿宋_GB2312" w:cs="宋体"/>
          <w:b/>
          <w:sz w:val="28"/>
          <w:szCs w:val="28"/>
        </w:rPr>
      </w:pPr>
      <w:r>
        <w:rPr>
          <w:rFonts w:hint="eastAsia" w:ascii="仿宋_GB2312" w:hAnsi="宋体" w:eastAsia="仿宋_GB2312" w:cs="宋体"/>
          <w:b/>
          <w:sz w:val="28"/>
          <w:szCs w:val="28"/>
        </w:rPr>
        <w:t>十一、注册房地产估价师</w:t>
      </w:r>
    </w:p>
    <w:p>
      <w:pPr>
        <w:spacing w:line="450" w:lineRule="exact"/>
        <w:jc w:val="center"/>
        <w:rPr>
          <w:rFonts w:hint="eastAsia" w:ascii="仿宋_GB2312" w:hAnsi="宋体" w:eastAsia="仿宋_GB2312" w:cs="宋体"/>
          <w:b/>
          <w:sz w:val="28"/>
          <w:szCs w:val="28"/>
        </w:rPr>
      </w:pPr>
      <w:r>
        <w:rPr>
          <w:rFonts w:hint="eastAsia" w:ascii="仿宋_GB2312" w:hAnsi="宋体" w:eastAsia="仿宋_GB2312" w:cs="宋体"/>
          <w:b/>
          <w:color w:val="000000"/>
          <w:sz w:val="28"/>
          <w:szCs w:val="28"/>
        </w:rPr>
        <w:t>参加估价的注册房地产估价师</w:t>
      </w:r>
    </w:p>
    <w:tbl>
      <w:tblPr>
        <w:tblStyle w:val="2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8"/>
        <w:gridCol w:w="2142"/>
        <w:gridCol w:w="3283"/>
        <w:gridCol w:w="2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5" w:hRule="atLeast"/>
          <w:jc w:val="center"/>
        </w:trPr>
        <w:tc>
          <w:tcPr>
            <w:tcW w:w="1428" w:type="dxa"/>
            <w:vAlign w:val="center"/>
          </w:tcPr>
          <w:p>
            <w:pPr>
              <w:spacing w:line="440" w:lineRule="exact"/>
              <w:jc w:val="center"/>
              <w:rPr>
                <w:rFonts w:hint="eastAsia" w:ascii="仿宋_GB2312" w:hAnsi="宋体" w:eastAsia="仿宋_GB2312"/>
                <w:sz w:val="28"/>
                <w:szCs w:val="28"/>
              </w:rPr>
            </w:pPr>
            <w:r>
              <w:rPr>
                <w:rFonts w:hint="eastAsia" w:ascii="仿宋_GB2312" w:hAnsi="宋体" w:eastAsia="仿宋_GB2312"/>
                <w:sz w:val="28"/>
                <w:szCs w:val="28"/>
              </w:rPr>
              <w:t>姓名</w:t>
            </w:r>
          </w:p>
        </w:tc>
        <w:tc>
          <w:tcPr>
            <w:tcW w:w="2142" w:type="dxa"/>
            <w:vAlign w:val="center"/>
          </w:tcPr>
          <w:p>
            <w:pPr>
              <w:spacing w:line="440" w:lineRule="exact"/>
              <w:jc w:val="center"/>
              <w:rPr>
                <w:rFonts w:hint="eastAsia" w:ascii="仿宋_GB2312" w:hAnsi="宋体" w:eastAsia="仿宋_GB2312"/>
                <w:sz w:val="28"/>
                <w:szCs w:val="28"/>
              </w:rPr>
            </w:pPr>
            <w:r>
              <w:rPr>
                <w:rFonts w:hint="eastAsia" w:ascii="仿宋_GB2312" w:hAnsi="宋体" w:eastAsia="仿宋_GB2312"/>
                <w:sz w:val="28"/>
                <w:szCs w:val="28"/>
              </w:rPr>
              <w:t>注册号</w:t>
            </w:r>
          </w:p>
        </w:tc>
        <w:tc>
          <w:tcPr>
            <w:tcW w:w="3283" w:type="dxa"/>
            <w:vAlign w:val="center"/>
          </w:tcPr>
          <w:p>
            <w:pPr>
              <w:spacing w:line="440" w:lineRule="exact"/>
              <w:jc w:val="center"/>
              <w:rPr>
                <w:rFonts w:hint="eastAsia" w:ascii="仿宋_GB2312" w:hAnsi="宋体" w:eastAsia="仿宋_GB2312"/>
                <w:sz w:val="28"/>
                <w:szCs w:val="28"/>
              </w:rPr>
            </w:pPr>
            <w:r>
              <w:rPr>
                <w:rFonts w:hint="eastAsia" w:ascii="仿宋_GB2312" w:hAnsi="宋体" w:eastAsia="仿宋_GB2312"/>
                <w:sz w:val="28"/>
                <w:szCs w:val="28"/>
              </w:rPr>
              <w:t>签名</w:t>
            </w:r>
          </w:p>
        </w:tc>
        <w:tc>
          <w:tcPr>
            <w:tcW w:w="2285" w:type="dxa"/>
            <w:vAlign w:val="center"/>
          </w:tcPr>
          <w:p>
            <w:pPr>
              <w:spacing w:line="440" w:lineRule="exact"/>
              <w:jc w:val="center"/>
              <w:rPr>
                <w:rFonts w:hint="eastAsia" w:ascii="仿宋_GB2312" w:hAnsi="宋体" w:eastAsia="仿宋_GB2312"/>
                <w:sz w:val="28"/>
                <w:szCs w:val="28"/>
              </w:rPr>
            </w:pPr>
            <w:r>
              <w:rPr>
                <w:rFonts w:hint="eastAsia" w:ascii="仿宋_GB2312" w:hAnsi="宋体" w:eastAsia="仿宋_GB2312"/>
                <w:sz w:val="28"/>
                <w:szCs w:val="28"/>
              </w:rPr>
              <w:t>签名日期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6" w:hRule="atLeast"/>
          <w:jc w:val="center"/>
        </w:trPr>
        <w:tc>
          <w:tcPr>
            <w:tcW w:w="1428" w:type="dxa"/>
            <w:vAlign w:val="center"/>
          </w:tcPr>
          <w:p>
            <w:pPr>
              <w:spacing w:line="440" w:lineRule="exact"/>
              <w:jc w:val="center"/>
              <w:rPr>
                <w:rFonts w:hint="eastAsia" w:ascii="仿宋_GB2312" w:hAnsi="宋体" w:eastAsia="仿宋_GB2312"/>
                <w:sz w:val="28"/>
                <w:szCs w:val="28"/>
              </w:rPr>
            </w:pPr>
            <w:r>
              <w:rPr>
                <w:rFonts w:hint="eastAsia" w:ascii="仿宋_GB2312" w:hAnsi="仿宋_GB2312" w:eastAsia="仿宋_GB2312" w:cs="仿宋_GB2312"/>
                <w:sz w:val="28"/>
                <w:szCs w:val="28"/>
                <w:lang w:eastAsia="zh-CN"/>
              </w:rPr>
              <w:t>马彦宏</w:t>
            </w:r>
          </w:p>
        </w:tc>
        <w:tc>
          <w:tcPr>
            <w:tcW w:w="2142" w:type="dxa"/>
            <w:vAlign w:val="center"/>
          </w:tcPr>
          <w:p>
            <w:pPr>
              <w:spacing w:line="440" w:lineRule="exact"/>
              <w:jc w:val="center"/>
              <w:rPr>
                <w:rFonts w:hint="eastAsia" w:ascii="仿宋_GB2312" w:hAnsi="宋体" w:eastAsia="仿宋_GB2312"/>
                <w:sz w:val="28"/>
                <w:szCs w:val="28"/>
              </w:rPr>
            </w:pPr>
            <w:r>
              <w:rPr>
                <w:rFonts w:hint="eastAsia" w:ascii="仿宋_GB2312" w:hAnsi="仿宋_GB2312" w:eastAsia="仿宋_GB2312" w:cs="仿宋_GB2312"/>
                <w:sz w:val="28"/>
                <w:szCs w:val="28"/>
                <w:lang w:eastAsia="zh-CN"/>
              </w:rPr>
              <w:t>6420070004</w:t>
            </w:r>
          </w:p>
        </w:tc>
        <w:tc>
          <w:tcPr>
            <w:tcW w:w="3283" w:type="dxa"/>
            <w:vAlign w:val="center"/>
          </w:tcPr>
          <w:p>
            <w:pPr>
              <w:spacing w:line="440" w:lineRule="exact"/>
              <w:jc w:val="center"/>
              <w:rPr>
                <w:rFonts w:hint="eastAsia" w:ascii="仿宋_GB2312" w:hAnsi="宋体" w:eastAsia="仿宋_GB2312"/>
                <w:sz w:val="28"/>
                <w:szCs w:val="28"/>
              </w:rPr>
            </w:pPr>
          </w:p>
        </w:tc>
        <w:tc>
          <w:tcPr>
            <w:tcW w:w="2285" w:type="dxa"/>
            <w:vAlign w:val="center"/>
          </w:tcPr>
          <w:p>
            <w:pPr>
              <w:spacing w:line="440" w:lineRule="exact"/>
              <w:jc w:val="center"/>
              <w:rPr>
                <w:rFonts w:hint="eastAsia" w:ascii="仿宋_GB2312" w:hAnsi="宋体" w:eastAsia="仿宋_GB2312"/>
                <w:sz w:val="28"/>
                <w:szCs w:val="28"/>
              </w:rPr>
            </w:pPr>
            <w:r>
              <w:rPr>
                <w:rFonts w:hint="eastAsia" w:ascii="仿宋_GB2312" w:hAnsi="宋体" w:eastAsia="仿宋_GB2312"/>
                <w:sz w:val="28"/>
                <w:szCs w:val="28"/>
              </w:rPr>
              <w:t>____年__月__日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2" w:hRule="atLeast"/>
          <w:jc w:val="center"/>
        </w:trPr>
        <w:tc>
          <w:tcPr>
            <w:tcW w:w="1428" w:type="dxa"/>
            <w:vAlign w:val="center"/>
          </w:tcPr>
          <w:p>
            <w:pPr>
              <w:spacing w:line="440" w:lineRule="exact"/>
              <w:jc w:val="center"/>
              <w:rPr>
                <w:rFonts w:hint="eastAsia" w:ascii="仿宋_GB2312" w:hAnsi="宋体" w:eastAsia="仿宋_GB2312"/>
                <w:sz w:val="28"/>
                <w:szCs w:val="28"/>
                <w:lang w:eastAsia="zh-CN"/>
              </w:rPr>
            </w:pPr>
            <w:r>
              <w:rPr>
                <w:rFonts w:hint="eastAsia" w:ascii="仿宋_GB2312" w:hAnsi="仿宋_GB2312" w:eastAsia="仿宋_GB2312" w:cs="仿宋_GB2312"/>
                <w:sz w:val="28"/>
                <w:szCs w:val="28"/>
              </w:rPr>
              <w:t>尹建生</w:t>
            </w:r>
          </w:p>
        </w:tc>
        <w:tc>
          <w:tcPr>
            <w:tcW w:w="2142" w:type="dxa"/>
            <w:vAlign w:val="center"/>
          </w:tcPr>
          <w:p>
            <w:pPr>
              <w:spacing w:line="440" w:lineRule="exact"/>
              <w:jc w:val="center"/>
              <w:rPr>
                <w:rFonts w:hint="eastAsia" w:ascii="仿宋_GB2312" w:hAnsi="宋体" w:eastAsia="仿宋_GB2312"/>
                <w:sz w:val="28"/>
                <w:szCs w:val="28"/>
                <w:lang w:eastAsia="zh-CN"/>
              </w:rPr>
            </w:pPr>
            <w:r>
              <w:rPr>
                <w:rFonts w:hint="eastAsia" w:ascii="仿宋_GB2312" w:hAnsi="仿宋_GB2312" w:eastAsia="仿宋_GB2312" w:cs="仿宋_GB2312"/>
                <w:sz w:val="28"/>
                <w:szCs w:val="28"/>
              </w:rPr>
              <w:t>6419970005</w:t>
            </w:r>
          </w:p>
        </w:tc>
        <w:tc>
          <w:tcPr>
            <w:tcW w:w="3283" w:type="dxa"/>
            <w:vAlign w:val="center"/>
          </w:tcPr>
          <w:p>
            <w:pPr>
              <w:spacing w:line="440" w:lineRule="exact"/>
              <w:jc w:val="center"/>
              <w:rPr>
                <w:rFonts w:hint="eastAsia" w:ascii="仿宋_GB2312" w:hAnsi="宋体" w:eastAsia="仿宋_GB2312"/>
                <w:sz w:val="28"/>
                <w:szCs w:val="28"/>
              </w:rPr>
            </w:pPr>
          </w:p>
        </w:tc>
        <w:tc>
          <w:tcPr>
            <w:tcW w:w="2285" w:type="dxa"/>
            <w:vAlign w:val="center"/>
          </w:tcPr>
          <w:p>
            <w:pPr>
              <w:spacing w:line="440" w:lineRule="exact"/>
              <w:jc w:val="center"/>
              <w:rPr>
                <w:rFonts w:hint="eastAsia" w:ascii="仿宋_GB2312" w:hAnsi="宋体" w:eastAsia="仿宋_GB2312"/>
                <w:sz w:val="28"/>
                <w:szCs w:val="28"/>
              </w:rPr>
            </w:pPr>
            <w:r>
              <w:rPr>
                <w:rFonts w:hint="eastAsia" w:ascii="仿宋_GB2312" w:hAnsi="宋体" w:eastAsia="仿宋_GB2312"/>
                <w:sz w:val="28"/>
                <w:szCs w:val="28"/>
              </w:rPr>
              <w:t>____年__月__日</w:t>
            </w:r>
          </w:p>
        </w:tc>
      </w:tr>
    </w:tbl>
    <w:p>
      <w:pPr>
        <w:spacing w:line="480" w:lineRule="exact"/>
        <w:rPr>
          <w:rFonts w:hint="eastAsia" w:ascii="仿宋_GB2312" w:eastAsia="仿宋_GB2312"/>
          <w:b/>
          <w:sz w:val="28"/>
          <w:szCs w:val="28"/>
        </w:rPr>
      </w:pPr>
      <w:bookmarkStart w:id="68" w:name="_Toc265761769"/>
      <w:r>
        <w:rPr>
          <w:rFonts w:hint="eastAsia" w:ascii="仿宋_GB2312" w:hAnsi="仿宋_GB2312" w:eastAsia="仿宋_GB2312" w:cs="仿宋_GB2312"/>
          <w:b/>
          <w:sz w:val="28"/>
          <w:szCs w:val="28"/>
        </w:rPr>
        <w:t>十二、</w:t>
      </w:r>
      <w:r>
        <w:rPr>
          <w:rFonts w:hint="eastAsia" w:ascii="仿宋_GB2312" w:eastAsia="仿宋_GB2312"/>
          <w:b/>
          <w:sz w:val="28"/>
          <w:szCs w:val="28"/>
        </w:rPr>
        <w:t>实地查勘期</w:t>
      </w:r>
    </w:p>
    <w:p>
      <w:pPr>
        <w:spacing w:line="480" w:lineRule="exact"/>
        <w:ind w:firstLine="700" w:firstLineChars="250"/>
        <w:rPr>
          <w:rFonts w:hint="eastAsia" w:ascii="仿宋_GB2312" w:eastAsia="仿宋_GB2312"/>
          <w:sz w:val="28"/>
          <w:szCs w:val="28"/>
        </w:rPr>
      </w:pPr>
      <w:r>
        <w:rPr>
          <w:rFonts w:hint="eastAsia" w:ascii="仿宋_GB2312" w:eastAsia="仿宋_GB2312"/>
          <w:sz w:val="28"/>
          <w:szCs w:val="28"/>
          <w:lang w:eastAsia="zh-CN"/>
        </w:rPr>
        <w:t>2022年7月27日</w:t>
      </w:r>
      <w:r>
        <w:rPr>
          <w:rFonts w:hint="eastAsia" w:ascii="仿宋_GB2312" w:eastAsia="仿宋_GB2312"/>
          <w:sz w:val="28"/>
          <w:szCs w:val="28"/>
        </w:rPr>
        <w:t>至</w:t>
      </w:r>
      <w:r>
        <w:rPr>
          <w:rFonts w:hint="eastAsia" w:ascii="仿宋_GB2312" w:eastAsia="仿宋_GB2312"/>
          <w:sz w:val="28"/>
          <w:szCs w:val="28"/>
          <w:lang w:eastAsia="zh-CN"/>
        </w:rPr>
        <w:t>2022年7月27日</w:t>
      </w:r>
      <w:r>
        <w:rPr>
          <w:rFonts w:hint="eastAsia" w:ascii="仿宋_GB2312" w:eastAsia="仿宋_GB2312"/>
          <w:sz w:val="28"/>
          <w:szCs w:val="28"/>
        </w:rPr>
        <w:t>。</w:t>
      </w:r>
    </w:p>
    <w:p>
      <w:pPr>
        <w:spacing w:line="480" w:lineRule="exact"/>
        <w:rPr>
          <w:rFonts w:hint="eastAsia" w:ascii="仿宋_GB2312" w:hAnsi="宋体" w:eastAsia="仿宋_GB2312" w:cs="宋体"/>
          <w:sz w:val="24"/>
          <w:szCs w:val="24"/>
        </w:rPr>
      </w:pPr>
      <w:r>
        <w:rPr>
          <w:rFonts w:hint="eastAsia" w:ascii="仿宋_GB2312" w:eastAsia="仿宋_GB2312"/>
          <w:b/>
          <w:sz w:val="28"/>
          <w:szCs w:val="28"/>
        </w:rPr>
        <w:t>十三、</w:t>
      </w:r>
      <w:bookmarkEnd w:id="68"/>
      <w:r>
        <w:rPr>
          <w:rFonts w:hint="eastAsia" w:ascii="仿宋_GB2312" w:eastAsia="仿宋_GB2312"/>
          <w:b/>
          <w:sz w:val="28"/>
          <w:szCs w:val="28"/>
        </w:rPr>
        <w:t>估价作业期</w:t>
      </w:r>
    </w:p>
    <w:p>
      <w:pPr>
        <w:spacing w:line="480" w:lineRule="exact"/>
        <w:ind w:firstLine="700" w:firstLineChars="250"/>
        <w:rPr>
          <w:rFonts w:hint="eastAsia" w:ascii="仿宋_GB2312" w:hAnsi="仿宋_GB2312" w:eastAsia="仿宋_GB2312" w:cs="仿宋_GB2312"/>
          <w:color w:val="auto"/>
          <w:sz w:val="28"/>
          <w:szCs w:val="28"/>
        </w:rPr>
        <w:sectPr>
          <w:endnotePr>
            <w:numFmt w:val="decimal"/>
          </w:endnotePr>
          <w:pgSz w:w="11907" w:h="16840"/>
          <w:pgMar w:top="1134" w:right="1247" w:bottom="1090" w:left="1588" w:header="851" w:footer="680" w:gutter="0"/>
          <w:cols w:space="720" w:num="1"/>
          <w:titlePg/>
        </w:sectPr>
      </w:pPr>
      <w:r>
        <w:rPr>
          <w:rFonts w:hint="eastAsia" w:ascii="仿宋_GB2312" w:eastAsia="仿宋_GB2312"/>
          <w:color w:val="auto"/>
          <w:sz w:val="28"/>
          <w:szCs w:val="28"/>
          <w:lang w:eastAsia="zh-CN"/>
        </w:rPr>
        <w:t>2022年7月27日至 2022年8月3日</w:t>
      </w:r>
    </w:p>
    <w:p>
      <w:pPr>
        <w:spacing w:line="500" w:lineRule="atLeast"/>
        <w:ind w:firstLine="3360" w:firstLineChars="1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宁夏力天房地产土地资产评估咨询有限公司</w:t>
      </w:r>
    </w:p>
    <w:p>
      <w:pPr>
        <w:spacing w:line="500" w:lineRule="atLeas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eastAsia="zh-CN"/>
        </w:rPr>
        <w:t>二〇二二年八月三日</w:t>
      </w:r>
    </w:p>
    <w:p>
      <w:pPr>
        <w:spacing w:beforeLines="100" w:line="464" w:lineRule="exact"/>
        <w:jc w:val="center"/>
        <w:rPr>
          <w:rFonts w:hint="eastAsia" w:ascii="仿宋_GB2312" w:eastAsia="仿宋_GB2312"/>
          <w:b/>
          <w:sz w:val="44"/>
          <w:szCs w:val="44"/>
        </w:rPr>
      </w:pPr>
    </w:p>
    <w:p>
      <w:pPr>
        <w:spacing w:beforeLines="100" w:line="464" w:lineRule="exact"/>
        <w:jc w:val="center"/>
        <w:rPr>
          <w:rFonts w:hint="eastAsia" w:ascii="仿宋_GB2312" w:eastAsia="仿宋_GB2312"/>
          <w:b/>
          <w:sz w:val="44"/>
          <w:szCs w:val="44"/>
        </w:rPr>
      </w:pPr>
    </w:p>
    <w:p>
      <w:pPr>
        <w:spacing w:beforeLines="100" w:line="464" w:lineRule="exact"/>
        <w:jc w:val="center"/>
        <w:rPr>
          <w:rFonts w:hint="eastAsia" w:ascii="仿宋_GB2312" w:eastAsia="仿宋_GB2312"/>
          <w:b/>
          <w:sz w:val="44"/>
          <w:szCs w:val="44"/>
        </w:rPr>
      </w:pPr>
    </w:p>
    <w:p>
      <w:pPr>
        <w:spacing w:beforeLines="100" w:line="464" w:lineRule="exact"/>
        <w:jc w:val="center"/>
        <w:rPr>
          <w:rFonts w:hint="eastAsia" w:ascii="仿宋_GB2312" w:eastAsia="仿宋_GB2312"/>
          <w:b/>
          <w:sz w:val="44"/>
          <w:szCs w:val="44"/>
        </w:rPr>
      </w:pPr>
    </w:p>
    <w:p>
      <w:pPr>
        <w:spacing w:beforeLines="100" w:line="464" w:lineRule="exact"/>
        <w:jc w:val="center"/>
        <w:rPr>
          <w:rFonts w:hint="eastAsia" w:ascii="仿宋_GB2312" w:eastAsia="仿宋_GB2312"/>
          <w:b/>
          <w:sz w:val="44"/>
          <w:szCs w:val="44"/>
        </w:rPr>
      </w:pPr>
    </w:p>
    <w:p>
      <w:pPr>
        <w:spacing w:beforeLines="100" w:line="464" w:lineRule="exact"/>
        <w:jc w:val="center"/>
        <w:rPr>
          <w:rFonts w:hint="eastAsia" w:ascii="仿宋_GB2312" w:eastAsia="仿宋_GB2312"/>
          <w:b/>
          <w:sz w:val="44"/>
          <w:szCs w:val="44"/>
        </w:rPr>
      </w:pPr>
    </w:p>
    <w:p>
      <w:pPr>
        <w:spacing w:beforeLines="100" w:line="464" w:lineRule="exact"/>
        <w:jc w:val="center"/>
        <w:rPr>
          <w:rFonts w:hint="eastAsia" w:ascii="仿宋_GB2312" w:eastAsia="仿宋_GB2312"/>
          <w:b/>
          <w:sz w:val="44"/>
          <w:szCs w:val="44"/>
        </w:rPr>
      </w:pPr>
    </w:p>
    <w:p>
      <w:pPr>
        <w:spacing w:beforeLines="100" w:line="464" w:lineRule="exact"/>
        <w:jc w:val="center"/>
        <w:rPr>
          <w:rFonts w:hint="eastAsia" w:ascii="仿宋_GB2312" w:eastAsia="仿宋_GB2312"/>
          <w:b/>
          <w:sz w:val="44"/>
          <w:szCs w:val="44"/>
        </w:rPr>
      </w:pPr>
    </w:p>
    <w:p>
      <w:pPr>
        <w:spacing w:beforeLines="100" w:line="464" w:lineRule="exact"/>
        <w:jc w:val="center"/>
        <w:rPr>
          <w:rFonts w:hint="eastAsia" w:ascii="仿宋_GB2312" w:eastAsia="仿宋_GB2312"/>
          <w:b/>
          <w:sz w:val="44"/>
          <w:szCs w:val="44"/>
        </w:rPr>
      </w:pPr>
    </w:p>
    <w:p>
      <w:pPr>
        <w:spacing w:beforeLines="100" w:line="464" w:lineRule="exact"/>
        <w:jc w:val="center"/>
        <w:rPr>
          <w:rFonts w:hint="eastAsia" w:ascii="仿宋_GB2312" w:eastAsia="仿宋_GB2312"/>
          <w:b/>
          <w:sz w:val="44"/>
          <w:szCs w:val="44"/>
        </w:rPr>
      </w:pPr>
    </w:p>
    <w:p>
      <w:pPr>
        <w:spacing w:beforeLines="100" w:line="464" w:lineRule="exact"/>
        <w:jc w:val="center"/>
        <w:rPr>
          <w:rFonts w:hint="eastAsia" w:ascii="仿宋_GB2312" w:eastAsia="仿宋_GB2312"/>
          <w:b/>
          <w:sz w:val="44"/>
          <w:szCs w:val="44"/>
        </w:rPr>
      </w:pPr>
      <w:r>
        <w:rPr>
          <w:rFonts w:hint="eastAsia" w:ascii="仿宋_GB2312" w:eastAsia="仿宋_GB2312"/>
          <w:b/>
          <w:sz w:val="44"/>
          <w:szCs w:val="44"/>
        </w:rPr>
        <w:t>附 件</w:t>
      </w:r>
    </w:p>
    <w:p>
      <w:pPr>
        <w:spacing w:beforeLines="100" w:line="464" w:lineRule="exact"/>
        <w:jc w:val="center"/>
        <w:rPr>
          <w:rFonts w:ascii="宋体" w:hAnsi="宋体" w:eastAsia="仿宋_GB2312"/>
          <w:color w:val="auto"/>
          <w:sz w:val="28"/>
          <w:szCs w:val="28"/>
        </w:rPr>
      </w:pPr>
      <w:r>
        <w:rPr>
          <w:rFonts w:hint="eastAsia" w:ascii="宋体" w:hAnsi="宋体" w:eastAsia="仿宋_GB2312"/>
          <w:color w:val="auto"/>
          <w:sz w:val="28"/>
          <w:szCs w:val="28"/>
        </w:rPr>
        <w:t>（附件目录）</w:t>
      </w:r>
    </w:p>
    <w:p>
      <w:pPr>
        <w:spacing w:beforeLines="50" w:afterLines="50" w:line="500" w:lineRule="exact"/>
        <w:ind w:firstLine="555"/>
        <w:rPr>
          <w:rFonts w:hint="eastAsia" w:ascii="宋体" w:hAnsi="宋体" w:eastAsia="仿宋_GB2312"/>
          <w:color w:val="FF0000"/>
          <w:sz w:val="28"/>
          <w:szCs w:val="28"/>
          <w:lang w:val="zh-CN"/>
        </w:rPr>
      </w:pPr>
      <w:r>
        <w:rPr>
          <w:rFonts w:hint="eastAsia" w:ascii="宋体" w:hAnsi="宋体" w:eastAsia="仿宋_GB2312"/>
          <w:sz w:val="28"/>
          <w:szCs w:val="28"/>
          <w:lang w:val="zh-CN"/>
        </w:rPr>
        <w:t>（一）《吴忠市利通区人民法院评估委托书》（2021）宁0302执2803号（复印件）</w:t>
      </w:r>
    </w:p>
    <w:p>
      <w:pPr>
        <w:spacing w:beforeLines="50" w:afterLines="50" w:line="500" w:lineRule="exact"/>
        <w:ind w:firstLine="555"/>
        <w:rPr>
          <w:rFonts w:hint="eastAsia" w:ascii="宋体" w:hAnsi="宋体" w:eastAsia="仿宋_GB2312"/>
          <w:sz w:val="28"/>
          <w:szCs w:val="28"/>
          <w:lang w:val="zh-CN"/>
        </w:rPr>
      </w:pPr>
      <w:r>
        <w:rPr>
          <w:rFonts w:hint="eastAsia" w:ascii="宋体" w:hAnsi="宋体" w:eastAsia="仿宋_GB2312"/>
          <w:sz w:val="28"/>
          <w:szCs w:val="28"/>
          <w:lang w:val="zh-CN"/>
        </w:rPr>
        <w:t>（二）估价对象位置图</w:t>
      </w:r>
    </w:p>
    <w:p>
      <w:pPr>
        <w:spacing w:beforeLines="50" w:afterLines="50" w:line="500" w:lineRule="exact"/>
        <w:ind w:firstLine="555"/>
        <w:rPr>
          <w:rFonts w:hint="eastAsia" w:ascii="宋体" w:hAnsi="宋体" w:eastAsia="仿宋_GB2312"/>
          <w:sz w:val="28"/>
          <w:szCs w:val="28"/>
          <w:lang w:val="zh-CN"/>
        </w:rPr>
      </w:pPr>
      <w:r>
        <w:rPr>
          <w:rFonts w:hint="eastAsia" w:ascii="宋体" w:hAnsi="宋体" w:eastAsia="仿宋_GB2312"/>
          <w:sz w:val="28"/>
          <w:szCs w:val="28"/>
          <w:lang w:val="zh-CN"/>
        </w:rPr>
        <w:t>（三）估价对象相关照片</w:t>
      </w:r>
    </w:p>
    <w:p>
      <w:pPr>
        <w:spacing w:beforeLines="50" w:afterLines="50" w:line="500" w:lineRule="exact"/>
        <w:ind w:firstLine="555"/>
        <w:rPr>
          <w:rFonts w:ascii="宋体" w:hAnsi="宋体" w:eastAsia="仿宋_GB2312"/>
          <w:sz w:val="28"/>
          <w:szCs w:val="28"/>
          <w:lang w:val="zh-CN"/>
        </w:rPr>
      </w:pPr>
      <w:r>
        <w:rPr>
          <w:rFonts w:hint="eastAsia" w:ascii="宋体" w:hAnsi="宋体" w:eastAsia="仿宋_GB2312"/>
          <w:sz w:val="28"/>
          <w:szCs w:val="28"/>
          <w:lang w:val="zh-CN"/>
        </w:rPr>
        <w:t>（四）《利通区不动产登记信息查询单》、《财产清点登记表》</w:t>
      </w:r>
    </w:p>
    <w:p>
      <w:pPr>
        <w:spacing w:beforeLines="50" w:afterLines="50" w:line="500" w:lineRule="exact"/>
        <w:ind w:firstLine="555"/>
        <w:rPr>
          <w:rFonts w:hint="eastAsia" w:ascii="宋体" w:hAnsi="宋体" w:eastAsia="仿宋_GB2312"/>
          <w:sz w:val="28"/>
          <w:szCs w:val="28"/>
          <w:lang w:val="zh-CN"/>
        </w:rPr>
      </w:pPr>
      <w:r>
        <w:rPr>
          <w:rFonts w:hint="eastAsia" w:ascii="宋体" w:hAnsi="宋体" w:eastAsia="仿宋_GB2312"/>
          <w:sz w:val="28"/>
          <w:szCs w:val="28"/>
          <w:lang w:val="zh-CN"/>
        </w:rPr>
        <w:t>（五）可比实例位置示意图及外观照片</w:t>
      </w:r>
    </w:p>
    <w:p>
      <w:pPr>
        <w:spacing w:beforeLines="50" w:afterLines="50" w:line="500" w:lineRule="exact"/>
        <w:ind w:firstLine="555"/>
        <w:rPr>
          <w:rFonts w:ascii="宋体" w:hAnsi="宋体" w:eastAsia="仿宋_GB2312"/>
          <w:sz w:val="28"/>
          <w:szCs w:val="28"/>
          <w:lang w:val="zh-CN"/>
        </w:rPr>
      </w:pPr>
      <w:r>
        <w:rPr>
          <w:rFonts w:hint="eastAsia" w:ascii="宋体" w:hAnsi="宋体" w:eastAsia="仿宋_GB2312"/>
          <w:sz w:val="28"/>
          <w:szCs w:val="28"/>
          <w:lang w:val="zh-CN"/>
        </w:rPr>
        <w:t>（六） 房地产估价机构备案证书复印件</w:t>
      </w:r>
    </w:p>
    <w:p>
      <w:pPr>
        <w:spacing w:before="50" w:after="50" w:line="500" w:lineRule="exact"/>
        <w:ind w:firstLine="560" w:firstLineChars="200"/>
        <w:rPr>
          <w:rFonts w:hint="eastAsia" w:ascii="宋体" w:hAnsi="宋体" w:eastAsia="仿宋_GB2312"/>
          <w:sz w:val="28"/>
          <w:szCs w:val="28"/>
          <w:lang w:val="zh-CN"/>
        </w:rPr>
      </w:pPr>
      <w:r>
        <w:rPr>
          <w:rFonts w:hint="eastAsia" w:ascii="宋体" w:hAnsi="宋体" w:eastAsia="仿宋_GB2312"/>
          <w:sz w:val="28"/>
          <w:szCs w:val="28"/>
          <w:lang w:val="zh-CN"/>
        </w:rPr>
        <w:t>（七） 注册房地产估价师证书复印件</w:t>
      </w:r>
    </w:p>
    <w:p>
      <w:pPr>
        <w:spacing w:line="500" w:lineRule="atLeast"/>
        <w:rPr>
          <w:rFonts w:hint="eastAsia" w:ascii="仿宋_GB2312" w:hAnsi="仿宋_GB2312" w:eastAsia="仿宋_GB2312" w:cs="仿宋_GB2312"/>
          <w:sz w:val="28"/>
          <w:szCs w:val="28"/>
        </w:rPr>
        <w:sectPr>
          <w:headerReference r:id="rId19" w:type="first"/>
          <w:headerReference r:id="rId18" w:type="default"/>
          <w:footerReference r:id="rId20" w:type="default"/>
          <w:endnotePr>
            <w:numFmt w:val="decimal"/>
          </w:endnotePr>
          <w:type w:val="continuous"/>
          <w:pgSz w:w="11907" w:h="16840"/>
          <w:pgMar w:top="1134" w:right="1247" w:bottom="1089" w:left="1588" w:header="851" w:footer="680" w:gutter="0"/>
          <w:pgNumType w:start="0"/>
          <w:cols w:space="720" w:num="1"/>
          <w:docGrid w:linePitch="286" w:charSpace="0"/>
        </w:sectPr>
      </w:pPr>
    </w:p>
    <w:p>
      <w:pPr>
        <w:spacing w:line="500" w:lineRule="exact"/>
        <w:jc w:val="center"/>
        <w:rPr>
          <w:rFonts w:hint="eastAsia" w:ascii="仿宋_GB2312" w:hAnsi="仿宋_GB2312" w:eastAsia="仿宋_GB2312" w:cs="仿宋_GB2312"/>
          <w:b/>
          <w:color w:val="000000"/>
          <w:sz w:val="44"/>
          <w:szCs w:val="44"/>
        </w:rPr>
      </w:pPr>
    </w:p>
    <w:p>
      <w:pPr>
        <w:spacing w:line="500" w:lineRule="exact"/>
        <w:jc w:val="center"/>
        <w:rPr>
          <w:rFonts w:hint="eastAsia" w:ascii="仿宋_GB2312" w:hAnsi="仿宋_GB2312" w:eastAsia="仿宋_GB2312" w:cs="仿宋_GB2312"/>
          <w:b/>
          <w:color w:val="000000"/>
          <w:sz w:val="44"/>
          <w:szCs w:val="44"/>
        </w:rPr>
      </w:pPr>
    </w:p>
    <w:p>
      <w:pPr>
        <w:spacing w:line="500" w:lineRule="atLeast"/>
        <w:jc w:val="center"/>
        <w:outlineLvl w:val="0"/>
        <w:rPr>
          <w:rFonts w:hint="eastAsia" w:ascii="宋体" w:hAnsi="宋体" w:eastAsia="仿宋_GB2312"/>
          <w:sz w:val="28"/>
          <w:szCs w:val="28"/>
          <w:lang w:eastAsia="zh-CN"/>
        </w:rPr>
      </w:pPr>
    </w:p>
    <w:sectPr>
      <w:headerReference r:id="rId22" w:type="first"/>
      <w:headerReference r:id="rId21" w:type="default"/>
      <w:footerReference r:id="rId23" w:type="default"/>
      <w:endnotePr>
        <w:numFmt w:val="decimal"/>
      </w:endnotePr>
      <w:type w:val="continuous"/>
      <w:pgSz w:w="11907" w:h="16840"/>
      <w:pgMar w:top="1134" w:right="1247" w:bottom="1090" w:left="1588" w:header="851" w:footer="68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使用中文字体)">
    <w:altName w:val="宋体"/>
    <w:panose1 w:val="00000000000000000000"/>
    <w:charset w:val="86"/>
    <w:family w:val="moder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thinThickThinSmallGap" w:color="auto" w:sz="12" w:space="1"/>
      </w:pBdr>
      <w:rPr>
        <w:rFonts w:hint="eastAsia" w:hAnsi="宋体"/>
        <w:i/>
        <w:sz w:val="21"/>
        <w:szCs w:val="21"/>
      </w:rPr>
    </w:pPr>
    <w:r>
      <w:rPr>
        <w:rFonts w:hint="eastAsia" w:hAnsi="宋体"/>
        <w:i/>
        <w:sz w:val="21"/>
        <w:szCs w:val="21"/>
      </w:rPr>
      <w:t xml:space="preserve">国家房地产一级评估机构                       </w:t>
    </w:r>
  </w:p>
  <w:p>
    <w:pPr>
      <w:pStyle w:val="15"/>
    </w:pPr>
    <w:r>
      <w:rPr>
        <w:rFonts w:hint="eastAsia" w:hAnsi="宋体"/>
        <w:i/>
        <w:szCs w:val="18"/>
      </w:rPr>
      <w:t>评估机构地址：宁夏回族自治区银川市兴庆区中山南街70号—4层</w:t>
    </w:r>
    <w:r>
      <w:rPr>
        <w:rFonts w:hint="eastAsia" w:hAnsi="宋体"/>
        <w:i/>
      </w:rPr>
      <w:t xml:space="preserve"> </w:t>
    </w:r>
    <w:r>
      <w:rPr>
        <w:rFonts w:hint="eastAsia"/>
        <w:i/>
      </w:rPr>
      <w:t xml:space="preserve">               </w:t>
    </w:r>
    <w:r>
      <w:rPr>
        <w:rFonts w:hint="eastAsia" w:hAnsi="宋体"/>
        <w:i/>
      </w:rPr>
      <w:t>联系电话：0951-6035532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31"/>
        <w:rFonts w:hint="eastAsia"/>
        <w:sz w:val="24"/>
      </w:rPr>
    </w:pPr>
    <w:r>
      <w:rPr>
        <w:rFonts w:hint="eastAsia"/>
        <w:sz w:val="24"/>
      </w:rPr>
      <w:t xml:space="preserve"> </w:t>
    </w:r>
  </w:p>
  <w:p>
    <w:pPr>
      <w:pStyle w:val="15"/>
      <w:pBdr>
        <w:top w:val="thinThickThinSmallGap" w:color="auto" w:sz="12" w:space="1"/>
      </w:pBdr>
      <w:rPr>
        <w:rFonts w:hint="eastAsia" w:hAnsi="宋体"/>
        <w:i/>
        <w:sz w:val="21"/>
        <w:szCs w:val="21"/>
      </w:rPr>
    </w:pPr>
    <w:r>
      <w:rPr>
        <w:rFonts w:hint="eastAsia" w:hAnsi="宋体"/>
        <w:i/>
        <w:sz w:val="21"/>
        <w:szCs w:val="21"/>
      </w:rPr>
      <w:t xml:space="preserve">国家房地产一级评估机构                       </w:t>
    </w:r>
  </w:p>
  <w:p>
    <w:pPr>
      <w:pStyle w:val="15"/>
      <w:pBdr>
        <w:top w:val="thinThickThinSmallGap" w:color="auto" w:sz="12" w:space="1"/>
      </w:pBdr>
      <w:rPr>
        <w:rFonts w:hint="eastAsia" w:hAnsi="宋体"/>
        <w:i/>
      </w:rPr>
    </w:pPr>
    <w:r>
      <w:rPr>
        <w:rFonts w:hint="eastAsia" w:hAnsi="宋体"/>
        <w:i/>
        <w:szCs w:val="18"/>
      </w:rPr>
      <w:t>评估机构地址：宁夏回族自治区银川市兴庆区中山南街70号—4层</w:t>
    </w:r>
    <w:r>
      <w:rPr>
        <w:rFonts w:hint="eastAsia" w:hAnsi="宋体"/>
        <w:i/>
      </w:rPr>
      <w:t xml:space="preserve"> </w:t>
    </w:r>
    <w:r>
      <w:rPr>
        <w:rFonts w:hint="eastAsia"/>
        <w:i/>
      </w:rPr>
      <w:t xml:space="preserve">               </w:t>
    </w:r>
    <w:r>
      <w:rPr>
        <w:rFonts w:hint="eastAsia" w:hAnsi="宋体"/>
        <w:i/>
      </w:rPr>
      <w:t>联系电话：0951-6035532</w:t>
    </w:r>
    <w:r>
      <w:rPr>
        <w:rFonts w:hint="eastAsia"/>
        <w:i/>
      </w:rPr>
      <w:t>　　　　                          　</w:t>
    </w:r>
  </w:p>
  <w:p>
    <w:pPr>
      <w:pStyle w:val="15"/>
      <w:widowControl/>
      <w:autoSpaceDE w:val="0"/>
      <w:autoSpaceDN w:val="0"/>
      <w:jc w:val="center"/>
      <w:textAlignment w:val="bottom"/>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i/>
        <w:spacing w:val="22"/>
        <w:sz w:val="21"/>
      </w:rPr>
    </w:pPr>
    <w:r>
      <w:rPr>
        <w:rFonts w:hint="eastAsia"/>
        <w:i/>
        <w:spacing w:val="22"/>
        <w:sz w:val="21"/>
      </w:rPr>
      <w:t>宁夏力天房地产土地资产评估咨询有限公司</w:t>
    </w:r>
  </w:p>
  <w:p>
    <w:pPr>
      <w:pStyle w:val="16"/>
      <w:jc w:val="both"/>
      <w:rPr>
        <w:rFonts w:hint="eastAsia"/>
      </w:rPr>
    </w:pPr>
    <w:r>
      <w:rPr>
        <w:rFonts w:hint="eastAsia"/>
        <w:i/>
      </w:rPr>
      <w:t xml:space="preserve">NINGXIA  LITIAN  REAL  ESTATE  ASSESSMENT &amp; CONSULTATION  COMPANY LIMITED </w:t>
    </w:r>
    <w:r>
      <w:rPr>
        <w:rFonts w:hint="eastAsia"/>
      </w:rPr>
      <w:t xml:space="preserve">共13页 第 </w:t>
    </w:r>
    <w:r>
      <w:fldChar w:fldCharType="begin"/>
    </w:r>
    <w:r>
      <w:rPr>
        <w:rStyle w:val="31"/>
      </w:rPr>
      <w:instrText xml:space="preserve"> PAGE </w:instrText>
    </w:r>
    <w:r>
      <w:fldChar w:fldCharType="separate"/>
    </w:r>
    <w:r>
      <w:rPr>
        <w:rStyle w:val="31"/>
        <w:lang w:val="en-US" w:eastAsia="zh-CN"/>
      </w:rPr>
      <w:t>1</w:t>
    </w:r>
    <w:r>
      <w:fldChar w:fldCharType="end"/>
    </w:r>
    <w:r>
      <w:rPr>
        <w:rFonts w:hint="eastAsia"/>
      </w:rPr>
      <w:t xml:space="preserve"> </w:t>
    </w:r>
    <w:r>
      <w:rPr>
        <w:rStyle w:val="31"/>
        <w:rFonts w:hint="eastAsia"/>
      </w:rPr>
      <w:t>页</w:t>
    </w:r>
  </w:p>
  <w:p>
    <w:pPr>
      <w:pStyle w:val="16"/>
      <w:pBdr>
        <w:top w:val="thinThickThinSmallGap" w:color="auto" w:sz="12" w:space="0"/>
        <w:bottom w:val="none" w:color="auto" w:sz="0" w:space="0"/>
      </w:pBdr>
      <w:jc w:val="both"/>
      <w:rPr>
        <w:rFonts w:hint="eastAsia"/>
      </w:rPr>
    </w:pPr>
    <w:r>
      <w:rPr>
        <w:rFonts w:hint="eastAsia"/>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i/>
        <w:spacing w:val="22"/>
        <w:sz w:val="21"/>
      </w:rPr>
    </w:pPr>
    <w:r>
      <w:rPr>
        <w:rFonts w:hint="eastAsia"/>
        <w:i/>
        <w:spacing w:val="22"/>
        <w:sz w:val="21"/>
      </w:rPr>
      <w:t>宁夏力天房地产土地资产评估咨询有限公司</w:t>
    </w:r>
  </w:p>
  <w:p>
    <w:pPr>
      <w:pStyle w:val="16"/>
      <w:pBdr>
        <w:top w:val="thinThickThinSmallGap" w:color="auto" w:sz="12" w:space="0"/>
        <w:bottom w:val="none" w:color="auto" w:sz="0" w:space="0"/>
      </w:pBdr>
      <w:jc w:val="both"/>
      <w:rPr>
        <w:rFonts w:hint="eastAsia" w:ascii="仿宋_GB2312" w:eastAsia="仿宋_GB2312"/>
        <w:sz w:val="28"/>
        <w:szCs w:val="28"/>
      </w:rPr>
    </w:pPr>
    <w:r>
      <w:rPr>
        <w:rFonts w:hint="eastAsia" w:ascii="仿宋_GB2312" w:eastAsia="仿宋_GB2312"/>
        <w:sz w:val="28"/>
        <w:szCs w:val="28"/>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rPr>
        <w:rFonts w:hint="eastAsi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i/>
        <w:spacing w:val="22"/>
        <w:sz w:val="21"/>
      </w:rPr>
    </w:pPr>
    <w:r>
      <w:rPr>
        <w:rFonts w:hint="eastAsia"/>
        <w:i/>
        <w:spacing w:val="22"/>
        <w:sz w:val="21"/>
      </w:rPr>
      <w:t>宁夏力天房地产土地资产评估咨询有限公司</w:t>
    </w:r>
  </w:p>
  <w:p>
    <w:pPr>
      <w:pStyle w:val="16"/>
      <w:jc w:val="both"/>
      <w:rPr>
        <w:rFonts w:hint="eastAsia" w:ascii="仿宋_GB2312" w:eastAsia="仿宋_GB2312"/>
        <w:sz w:val="28"/>
        <w:szCs w:val="28"/>
      </w:rPr>
    </w:pPr>
    <w:r>
      <w:rPr>
        <w:rFonts w:hint="eastAsia"/>
        <w:i/>
      </w:rPr>
      <w:t xml:space="preserve">NINGXIA  LITIAN  REAL  ESTATE  ASSESSMENT &amp; CONSULTATION  COMPANY LIMITED   </w:t>
    </w:r>
    <w:r>
      <w:rPr>
        <w:rFonts w:hint="eastAsia"/>
      </w:rPr>
      <w:t>共</w:t>
    </w:r>
    <w:r>
      <w:rPr>
        <w:rFonts w:hint="eastAsia"/>
        <w:lang w:val="en-US" w:eastAsia="zh-CN"/>
      </w:rPr>
      <w:t>15</w:t>
    </w:r>
    <w:r>
      <w:rPr>
        <w:rFonts w:hint="eastAsia"/>
      </w:rPr>
      <w:t xml:space="preserve">页 第 </w:t>
    </w:r>
    <w:r>
      <w:fldChar w:fldCharType="begin"/>
    </w:r>
    <w:r>
      <w:rPr>
        <w:rStyle w:val="31"/>
      </w:rPr>
      <w:instrText xml:space="preserve"> PAGE </w:instrText>
    </w:r>
    <w:r>
      <w:fldChar w:fldCharType="separate"/>
    </w:r>
    <w:r>
      <w:rPr>
        <w:rStyle w:val="31"/>
      </w:rPr>
      <w:t>4</w:t>
    </w:r>
    <w:r>
      <w:fldChar w:fldCharType="end"/>
    </w:r>
    <w:r>
      <w:rPr>
        <w:rFonts w:hint="eastAsia"/>
      </w:rPr>
      <w:t xml:space="preserve"> </w:t>
    </w:r>
    <w:r>
      <w:rPr>
        <w:rStyle w:val="31"/>
        <w:rFonts w:hint="eastAsia"/>
      </w:rPr>
      <w:t>页</w:t>
    </w:r>
  </w:p>
  <w:p>
    <w:pPr>
      <w:pStyle w:val="16"/>
      <w:pBdr>
        <w:top w:val="thinThickThinSmallGap" w:color="auto" w:sz="12" w:space="0"/>
        <w:bottom w:val="none" w:color="auto" w:sz="0" w:space="0"/>
      </w:pBdr>
      <w:jc w:val="both"/>
      <w:rPr>
        <w:rFonts w:hint="eastAsia" w:ascii="仿宋_GB2312" w:eastAsia="仿宋_GB2312"/>
        <w:sz w:val="28"/>
        <w:szCs w:val="28"/>
      </w:rPr>
    </w:pPr>
    <w:r>
      <w:rPr>
        <w:rFonts w:hint="eastAsia" w:ascii="仿宋_GB2312" w:eastAsia="仿宋_GB2312"/>
        <w:sz w:val="28"/>
        <w:szCs w:val="28"/>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i/>
        <w:spacing w:val="22"/>
        <w:sz w:val="21"/>
      </w:rPr>
    </w:pPr>
    <w:r>
      <w:rPr>
        <w:rFonts w:hint="eastAsia"/>
        <w:i/>
        <w:spacing w:val="22"/>
        <w:sz w:val="21"/>
      </w:rPr>
      <w:t>宁夏力天房地产土地资产评估咨询有限公司</w:t>
    </w:r>
  </w:p>
  <w:p>
    <w:pPr>
      <w:pStyle w:val="16"/>
      <w:jc w:val="both"/>
      <w:rPr>
        <w:rFonts w:hint="eastAsia" w:ascii="仿宋_GB2312" w:eastAsia="仿宋_GB2312"/>
        <w:sz w:val="28"/>
        <w:szCs w:val="28"/>
      </w:rPr>
    </w:pPr>
    <w:r>
      <w:rPr>
        <w:rFonts w:hint="eastAsia"/>
        <w:i/>
      </w:rPr>
      <w:t xml:space="preserve">NINGXIA  LITIAN  REAL  ESTATE  ASSESSMENT &amp; CONSULTATION  COMPANY LIMITED   </w:t>
    </w:r>
    <w:r>
      <w:rPr>
        <w:rFonts w:hint="eastAsia"/>
      </w:rPr>
      <w:t>共1</w:t>
    </w:r>
    <w:r>
      <w:rPr>
        <w:rFonts w:hint="eastAsia"/>
        <w:lang w:val="en-US" w:eastAsia="zh-CN"/>
      </w:rPr>
      <w:t>3</w:t>
    </w:r>
    <w:r>
      <w:rPr>
        <w:rFonts w:hint="eastAsia"/>
      </w:rPr>
      <w:t xml:space="preserve">页 第 </w:t>
    </w:r>
    <w:r>
      <w:fldChar w:fldCharType="begin"/>
    </w:r>
    <w:r>
      <w:rPr>
        <w:rStyle w:val="31"/>
      </w:rPr>
      <w:instrText xml:space="preserve"> PAGE </w:instrText>
    </w:r>
    <w:r>
      <w:fldChar w:fldCharType="separate"/>
    </w:r>
    <w:r>
      <w:rPr>
        <w:rStyle w:val="31"/>
      </w:rPr>
      <w:t>4</w:t>
    </w:r>
    <w:r>
      <w:fldChar w:fldCharType="end"/>
    </w:r>
    <w:r>
      <w:rPr>
        <w:rFonts w:hint="eastAsia"/>
      </w:rPr>
      <w:t xml:space="preserve"> </w:t>
    </w:r>
    <w:r>
      <w:rPr>
        <w:rStyle w:val="31"/>
        <w:rFonts w:hint="eastAsia"/>
      </w:rPr>
      <w:t>页</w:t>
    </w:r>
  </w:p>
  <w:p>
    <w:pPr>
      <w:pStyle w:val="16"/>
      <w:pBdr>
        <w:top w:val="thinThickThinSmallGap" w:color="auto" w:sz="12" w:space="0"/>
        <w:bottom w:val="none" w:color="auto" w:sz="0" w:space="0"/>
      </w:pBdr>
      <w:jc w:val="both"/>
      <w:rPr>
        <w:rFonts w:hint="eastAsia" w:ascii="仿宋_GB2312" w:eastAsia="仿宋_GB2312"/>
        <w:sz w:val="28"/>
        <w:szCs w:val="28"/>
      </w:rPr>
    </w:pPr>
    <w:r>
      <w:rPr>
        <w:rFonts w:hint="eastAsia" w:ascii="仿宋_GB2312" w:eastAsia="仿宋_GB2312"/>
        <w:sz w:val="28"/>
        <w:szCs w:val="28"/>
      </w:rPr>
      <w:t xml:space="preserve">   </w:t>
    </w:r>
  </w:p>
  <w:p>
    <w:pPr>
      <w:pStyle w:val="16"/>
      <w:pBdr>
        <w:bottom w:val="none" w:color="auto" w:sz="0" w:space="0"/>
      </w:pBdr>
      <w:jc w:val="both"/>
      <w:rPr>
        <w:rFonts w:hint="eastAsi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rPr>
        <w:rFonts w:hint="eastAsi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i/>
        <w:spacing w:val="22"/>
        <w:sz w:val="21"/>
      </w:rPr>
    </w:pPr>
    <w:r>
      <w:rPr>
        <w:rFonts w:hint="eastAsia"/>
        <w:i/>
        <w:spacing w:val="22"/>
        <w:sz w:val="21"/>
      </w:rPr>
      <w:t>宁夏力天房地产土地资产评估咨询有限公司</w:t>
    </w:r>
  </w:p>
  <w:p>
    <w:pPr>
      <w:pStyle w:val="16"/>
      <w:jc w:val="both"/>
      <w:rPr>
        <w:rFonts w:hint="eastAsia"/>
      </w:rPr>
    </w:pPr>
    <w:r>
      <w:rPr>
        <w:rFonts w:hint="eastAsia"/>
        <w:i/>
      </w:rPr>
      <w:t xml:space="preserve">NINGXIA  LITIAN  REAL  ESTATE  ASSESSMENT &amp; CONSULTATION  COMPANY LIMITED </w:t>
    </w:r>
    <w:r>
      <w:rPr>
        <w:rFonts w:hint="eastAsia"/>
      </w:rPr>
      <w:t>共</w:t>
    </w:r>
    <w:r>
      <w:rPr>
        <w:rFonts w:hint="eastAsia"/>
        <w:lang w:val="en-US" w:eastAsia="zh-CN"/>
      </w:rPr>
      <w:t>27</w:t>
    </w:r>
    <w:r>
      <w:rPr>
        <w:rFonts w:hint="eastAsia"/>
      </w:rPr>
      <w:t xml:space="preserve">页 第 </w:t>
    </w:r>
    <w:r>
      <w:fldChar w:fldCharType="begin"/>
    </w:r>
    <w:r>
      <w:rPr>
        <w:rStyle w:val="31"/>
      </w:rPr>
      <w:instrText xml:space="preserve"> PAGE </w:instrText>
    </w:r>
    <w:r>
      <w:fldChar w:fldCharType="separate"/>
    </w:r>
    <w:r>
      <w:rPr>
        <w:rStyle w:val="31"/>
      </w:rPr>
      <w:t>23</w:t>
    </w:r>
    <w:r>
      <w:fldChar w:fldCharType="end"/>
    </w:r>
    <w:r>
      <w:rPr>
        <w:rFonts w:hint="eastAsia"/>
      </w:rPr>
      <w:t xml:space="preserve"> </w:t>
    </w:r>
    <w:r>
      <w:rPr>
        <w:rStyle w:val="31"/>
        <w:rFonts w:hint="eastAsia"/>
      </w:rPr>
      <w:t>页</w:t>
    </w:r>
  </w:p>
  <w:p>
    <w:pPr>
      <w:pStyle w:val="16"/>
      <w:pBdr>
        <w:top w:val="thinThickThinSmallGap" w:color="auto" w:sz="12" w:space="0"/>
        <w:bottom w:val="none" w:color="auto" w:sz="0" w:space="0"/>
      </w:pBdr>
      <w:jc w:val="both"/>
      <w:rPr>
        <w:rFonts w:hint="eastAsia"/>
      </w:rPr>
    </w:pPr>
    <w:r>
      <w:rPr>
        <w:rFonts w:hint="eastAsia"/>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i/>
        <w:spacing w:val="22"/>
        <w:sz w:val="21"/>
      </w:rPr>
    </w:pPr>
    <w:r>
      <w:rPr>
        <w:rFonts w:hint="eastAsia"/>
        <w:i/>
        <w:spacing w:val="22"/>
        <w:sz w:val="21"/>
      </w:rPr>
      <w:t>宁夏力天房地产土地资产评估咨询有限公司</w:t>
    </w:r>
  </w:p>
  <w:p>
    <w:pPr>
      <w:pStyle w:val="16"/>
      <w:jc w:val="both"/>
      <w:rPr>
        <w:rFonts w:hint="eastAsia" w:ascii="仿宋_GB2312" w:eastAsia="仿宋_GB2312"/>
        <w:sz w:val="28"/>
        <w:szCs w:val="28"/>
      </w:rPr>
    </w:pPr>
    <w:r>
      <w:rPr>
        <w:rFonts w:hint="eastAsia"/>
        <w:i/>
      </w:rPr>
      <w:t xml:space="preserve">NINGXIA  LITIAN  REAL  ESTATE  ASSESSMENT &amp; CONSULTATION  COMPANY LIMITED   </w:t>
    </w:r>
    <w:r>
      <w:rPr>
        <w:rFonts w:hint="eastAsia"/>
      </w:rPr>
      <w:t>共1</w:t>
    </w:r>
    <w:r>
      <w:rPr>
        <w:rFonts w:hint="eastAsia"/>
        <w:lang w:val="en-US" w:eastAsia="zh-CN"/>
      </w:rPr>
      <w:t>3</w:t>
    </w:r>
    <w:r>
      <w:rPr>
        <w:rFonts w:hint="eastAsia"/>
      </w:rPr>
      <w:t xml:space="preserve">页 第 </w:t>
    </w:r>
    <w:r>
      <w:fldChar w:fldCharType="begin"/>
    </w:r>
    <w:r>
      <w:rPr>
        <w:rStyle w:val="31"/>
      </w:rPr>
      <w:instrText xml:space="preserve"> PAGE </w:instrText>
    </w:r>
    <w:r>
      <w:fldChar w:fldCharType="separate"/>
    </w:r>
    <w:r>
      <w:rPr>
        <w:rStyle w:val="31"/>
      </w:rPr>
      <w:t>4</w:t>
    </w:r>
    <w:r>
      <w:fldChar w:fldCharType="end"/>
    </w:r>
    <w:r>
      <w:rPr>
        <w:rFonts w:hint="eastAsia"/>
      </w:rPr>
      <w:t xml:space="preserve"> </w:t>
    </w:r>
    <w:r>
      <w:rPr>
        <w:rStyle w:val="31"/>
        <w:rFonts w:hint="eastAsia"/>
      </w:rPr>
      <w:t>页</w:t>
    </w:r>
  </w:p>
  <w:p>
    <w:pPr>
      <w:pStyle w:val="16"/>
      <w:pBdr>
        <w:top w:val="thinThickThinSmallGap" w:color="auto" w:sz="12" w:space="0"/>
        <w:bottom w:val="none" w:color="auto" w:sz="0" w:space="0"/>
      </w:pBdr>
      <w:jc w:val="both"/>
      <w:rPr>
        <w:rFonts w:hint="eastAsia" w:ascii="仿宋_GB2312" w:eastAsia="仿宋_GB2312"/>
        <w:sz w:val="28"/>
        <w:szCs w:val="28"/>
      </w:rPr>
    </w:pPr>
    <w:r>
      <w:rPr>
        <w:rFonts w:hint="eastAsia" w:ascii="仿宋_GB2312" w:eastAsia="仿宋_GB2312"/>
        <w:sz w:val="28"/>
        <w:szCs w:val="2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i/>
        <w:spacing w:val="22"/>
        <w:sz w:val="21"/>
      </w:rPr>
    </w:pPr>
    <w:r>
      <w:rPr>
        <w:rFonts w:hint="eastAsia"/>
        <w:i/>
        <w:spacing w:val="22"/>
        <w:sz w:val="21"/>
      </w:rPr>
      <w:t>宁夏力天房地产土地资产评估咨询有限公司</w:t>
    </w:r>
  </w:p>
  <w:p>
    <w:pPr>
      <w:pStyle w:val="16"/>
      <w:pBdr>
        <w:top w:val="thinThickThinSmallGap" w:color="auto" w:sz="12" w:space="0"/>
        <w:bottom w:val="none" w:color="auto" w:sz="0" w:space="0"/>
      </w:pBdr>
      <w:jc w:val="both"/>
      <w:rPr>
        <w:rFonts w:hint="eastAsia" w:ascii="仿宋_GB2312" w:eastAsia="仿宋_GB2312"/>
        <w:sz w:val="28"/>
        <w:szCs w:val="28"/>
      </w:rPr>
    </w:pPr>
    <w:r>
      <w:rPr>
        <w:rFonts w:hint="eastAsia" w:ascii="仿宋_GB2312" w:eastAsia="仿宋_GB2312"/>
        <w:sz w:val="28"/>
        <w:szCs w:val="28"/>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rPr>
        <w:rFonts w:hint="eastAsi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i/>
        <w:spacing w:val="22"/>
        <w:sz w:val="21"/>
      </w:rPr>
    </w:pPr>
    <w:r>
      <w:rPr>
        <w:rFonts w:hint="eastAsia"/>
        <w:i/>
        <w:spacing w:val="22"/>
        <w:sz w:val="21"/>
      </w:rPr>
      <w:t>宁夏力天房地产土地资产评估咨询有限公司</w:t>
    </w:r>
  </w:p>
  <w:p>
    <w:pPr>
      <w:pStyle w:val="16"/>
      <w:jc w:val="both"/>
      <w:rPr>
        <w:rFonts w:hint="eastAsia" w:ascii="仿宋_GB2312" w:eastAsia="仿宋_GB2312"/>
        <w:sz w:val="28"/>
        <w:szCs w:val="28"/>
      </w:rPr>
    </w:pPr>
    <w:r>
      <w:rPr>
        <w:rFonts w:hint="eastAsia"/>
        <w:i/>
      </w:rPr>
      <w:t xml:space="preserve">NINGXIA  LITIAN  REAL  ESTATE  ASSESSMENT &amp; CONSULTATION  COMPANY LIMITED   </w:t>
    </w:r>
    <w:r>
      <w:rPr>
        <w:rFonts w:hint="eastAsia"/>
      </w:rPr>
      <w:t>共1</w:t>
    </w:r>
    <w:r>
      <w:rPr>
        <w:rFonts w:hint="eastAsia"/>
        <w:lang w:val="en-US" w:eastAsia="zh-CN"/>
      </w:rPr>
      <w:t>3</w:t>
    </w:r>
    <w:r>
      <w:rPr>
        <w:rFonts w:hint="eastAsia"/>
      </w:rPr>
      <w:t xml:space="preserve">页 第 </w:t>
    </w:r>
    <w:r>
      <w:fldChar w:fldCharType="begin"/>
    </w:r>
    <w:r>
      <w:rPr>
        <w:rStyle w:val="31"/>
      </w:rPr>
      <w:instrText xml:space="preserve"> PAGE </w:instrText>
    </w:r>
    <w:r>
      <w:fldChar w:fldCharType="separate"/>
    </w:r>
    <w:r>
      <w:rPr>
        <w:rStyle w:val="31"/>
      </w:rPr>
      <w:t>4</w:t>
    </w:r>
    <w:r>
      <w:fldChar w:fldCharType="end"/>
    </w:r>
    <w:r>
      <w:rPr>
        <w:rFonts w:hint="eastAsia"/>
      </w:rPr>
      <w:t xml:space="preserve"> </w:t>
    </w:r>
    <w:r>
      <w:rPr>
        <w:rStyle w:val="31"/>
        <w:rFonts w:hint="eastAsia"/>
      </w:rPr>
      <w:t>页</w:t>
    </w:r>
  </w:p>
  <w:p>
    <w:pPr>
      <w:pStyle w:val="16"/>
      <w:pBdr>
        <w:top w:val="thinThickThinSmallGap" w:color="auto" w:sz="12" w:space="0"/>
        <w:bottom w:val="none" w:color="auto" w:sz="0" w:space="0"/>
      </w:pBdr>
      <w:jc w:val="both"/>
      <w:rPr>
        <w:rFonts w:hint="eastAsia" w:ascii="仿宋_GB2312" w:eastAsia="仿宋_GB2312"/>
        <w:sz w:val="28"/>
        <w:szCs w:val="28"/>
      </w:rPr>
    </w:pPr>
    <w:r>
      <w:rPr>
        <w:rFonts w:hint="eastAsia" w:ascii="仿宋_GB2312" w:eastAsia="仿宋_GB2312"/>
        <w:sz w:val="28"/>
        <w:szCs w:val="28"/>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E8114C"/>
    <w:multiLevelType w:val="multilevel"/>
    <w:tmpl w:val="45E8114C"/>
    <w:lvl w:ilvl="0" w:tentative="0">
      <w:start w:val="2"/>
      <w:numFmt w:val="japaneseCounting"/>
      <w:lvlText w:val="（%1）"/>
      <w:lvlJc w:val="left"/>
      <w:pPr>
        <w:ind w:left="1311" w:hanging="885"/>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566556D3"/>
    <w:multiLevelType w:val="singleLevel"/>
    <w:tmpl w:val="566556D3"/>
    <w:lvl w:ilvl="0" w:tentative="0">
      <w:start w:val="3"/>
      <w:numFmt w:val="chineseCounting"/>
      <w:suff w:val="nothing"/>
      <w:lvlText w:val="%1、"/>
      <w:lvlJc w:val="left"/>
    </w:lvl>
  </w:abstractNum>
  <w:abstractNum w:abstractNumId="2">
    <w:nsid w:val="566A2B8C"/>
    <w:multiLevelType w:val="singleLevel"/>
    <w:tmpl w:val="566A2B8C"/>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jMTJkNzkyMDFmNzM3Yzk2NWU5ZTNiNGU4MGY2YWIifQ=="/>
  </w:docVars>
  <w:rsids>
    <w:rsidRoot w:val="00172A27"/>
    <w:rsid w:val="00000DA5"/>
    <w:rsid w:val="00000DEA"/>
    <w:rsid w:val="00003555"/>
    <w:rsid w:val="0000463B"/>
    <w:rsid w:val="00004FCF"/>
    <w:rsid w:val="00005264"/>
    <w:rsid w:val="00011D24"/>
    <w:rsid w:val="00013CF2"/>
    <w:rsid w:val="00015BA1"/>
    <w:rsid w:val="00030444"/>
    <w:rsid w:val="0003356B"/>
    <w:rsid w:val="000353AA"/>
    <w:rsid w:val="00035750"/>
    <w:rsid w:val="000368C7"/>
    <w:rsid w:val="00036A19"/>
    <w:rsid w:val="000378BB"/>
    <w:rsid w:val="00037CEA"/>
    <w:rsid w:val="00041512"/>
    <w:rsid w:val="00043D59"/>
    <w:rsid w:val="0004608C"/>
    <w:rsid w:val="00046D75"/>
    <w:rsid w:val="00050CF5"/>
    <w:rsid w:val="00054ABA"/>
    <w:rsid w:val="000562FB"/>
    <w:rsid w:val="00056A8D"/>
    <w:rsid w:val="000572B9"/>
    <w:rsid w:val="00057E81"/>
    <w:rsid w:val="0007393A"/>
    <w:rsid w:val="0008255C"/>
    <w:rsid w:val="00085FF3"/>
    <w:rsid w:val="00086996"/>
    <w:rsid w:val="000873A9"/>
    <w:rsid w:val="00091532"/>
    <w:rsid w:val="00092552"/>
    <w:rsid w:val="00093BD8"/>
    <w:rsid w:val="00094EFB"/>
    <w:rsid w:val="00097017"/>
    <w:rsid w:val="000A36B2"/>
    <w:rsid w:val="000A3C51"/>
    <w:rsid w:val="000A4F5C"/>
    <w:rsid w:val="000A571B"/>
    <w:rsid w:val="000B50D3"/>
    <w:rsid w:val="000C010D"/>
    <w:rsid w:val="000D06B7"/>
    <w:rsid w:val="000D12E2"/>
    <w:rsid w:val="000D2AB9"/>
    <w:rsid w:val="000D3A8F"/>
    <w:rsid w:val="000E0BA9"/>
    <w:rsid w:val="000E3858"/>
    <w:rsid w:val="000E38A1"/>
    <w:rsid w:val="000E49D2"/>
    <w:rsid w:val="000E569B"/>
    <w:rsid w:val="000E77E9"/>
    <w:rsid w:val="000F154D"/>
    <w:rsid w:val="000F3E10"/>
    <w:rsid w:val="000F52E7"/>
    <w:rsid w:val="000F772C"/>
    <w:rsid w:val="0010079B"/>
    <w:rsid w:val="00101EBB"/>
    <w:rsid w:val="001050C5"/>
    <w:rsid w:val="00106B55"/>
    <w:rsid w:val="00106E51"/>
    <w:rsid w:val="00107AFA"/>
    <w:rsid w:val="0011127C"/>
    <w:rsid w:val="001143CD"/>
    <w:rsid w:val="00114DAC"/>
    <w:rsid w:val="00114E39"/>
    <w:rsid w:val="00115526"/>
    <w:rsid w:val="00116A2B"/>
    <w:rsid w:val="00117C3B"/>
    <w:rsid w:val="00120C37"/>
    <w:rsid w:val="001215A1"/>
    <w:rsid w:val="00123E97"/>
    <w:rsid w:val="0012419B"/>
    <w:rsid w:val="00124CA4"/>
    <w:rsid w:val="001253C3"/>
    <w:rsid w:val="00126A37"/>
    <w:rsid w:val="00132397"/>
    <w:rsid w:val="0013457E"/>
    <w:rsid w:val="001418A3"/>
    <w:rsid w:val="00142192"/>
    <w:rsid w:val="00143EA7"/>
    <w:rsid w:val="00147896"/>
    <w:rsid w:val="001508C8"/>
    <w:rsid w:val="00152AD2"/>
    <w:rsid w:val="0015364A"/>
    <w:rsid w:val="00154D13"/>
    <w:rsid w:val="00155D89"/>
    <w:rsid w:val="001621FF"/>
    <w:rsid w:val="0017080A"/>
    <w:rsid w:val="00172D64"/>
    <w:rsid w:val="0017392D"/>
    <w:rsid w:val="00175813"/>
    <w:rsid w:val="001858A9"/>
    <w:rsid w:val="001924F8"/>
    <w:rsid w:val="00195FB5"/>
    <w:rsid w:val="001A0EEF"/>
    <w:rsid w:val="001A349B"/>
    <w:rsid w:val="001A45C9"/>
    <w:rsid w:val="001B735B"/>
    <w:rsid w:val="001C0878"/>
    <w:rsid w:val="001C2FAB"/>
    <w:rsid w:val="001C3FF1"/>
    <w:rsid w:val="001D0F73"/>
    <w:rsid w:val="001D2FE8"/>
    <w:rsid w:val="001E1925"/>
    <w:rsid w:val="001F0060"/>
    <w:rsid w:val="001F0BB8"/>
    <w:rsid w:val="001F2980"/>
    <w:rsid w:val="001F69EA"/>
    <w:rsid w:val="00205CC8"/>
    <w:rsid w:val="00206B05"/>
    <w:rsid w:val="00206D43"/>
    <w:rsid w:val="00210593"/>
    <w:rsid w:val="00211CB4"/>
    <w:rsid w:val="0021219A"/>
    <w:rsid w:val="00216230"/>
    <w:rsid w:val="00220B7A"/>
    <w:rsid w:val="00222A3D"/>
    <w:rsid w:val="00223339"/>
    <w:rsid w:val="00227B07"/>
    <w:rsid w:val="002302A6"/>
    <w:rsid w:val="0023223D"/>
    <w:rsid w:val="00240D9E"/>
    <w:rsid w:val="002449E6"/>
    <w:rsid w:val="00252757"/>
    <w:rsid w:val="0025392B"/>
    <w:rsid w:val="00256CBF"/>
    <w:rsid w:val="002635D8"/>
    <w:rsid w:val="002660BD"/>
    <w:rsid w:val="002717EF"/>
    <w:rsid w:val="00274EFE"/>
    <w:rsid w:val="00277C73"/>
    <w:rsid w:val="002818AD"/>
    <w:rsid w:val="002819A9"/>
    <w:rsid w:val="00284CBF"/>
    <w:rsid w:val="002865B4"/>
    <w:rsid w:val="0029007A"/>
    <w:rsid w:val="00290FAF"/>
    <w:rsid w:val="00293217"/>
    <w:rsid w:val="002A008E"/>
    <w:rsid w:val="002A5843"/>
    <w:rsid w:val="002B1847"/>
    <w:rsid w:val="002B3CA9"/>
    <w:rsid w:val="002B685F"/>
    <w:rsid w:val="002B7E67"/>
    <w:rsid w:val="002C0141"/>
    <w:rsid w:val="002C1E17"/>
    <w:rsid w:val="002C33A6"/>
    <w:rsid w:val="002D2CAA"/>
    <w:rsid w:val="002D513F"/>
    <w:rsid w:val="002D6362"/>
    <w:rsid w:val="002D7673"/>
    <w:rsid w:val="002E0DE5"/>
    <w:rsid w:val="002E1CE8"/>
    <w:rsid w:val="002E4C25"/>
    <w:rsid w:val="002E62E8"/>
    <w:rsid w:val="002F6708"/>
    <w:rsid w:val="00313019"/>
    <w:rsid w:val="003162AA"/>
    <w:rsid w:val="00322FA2"/>
    <w:rsid w:val="0032386C"/>
    <w:rsid w:val="00326BE7"/>
    <w:rsid w:val="003377E6"/>
    <w:rsid w:val="003417E8"/>
    <w:rsid w:val="00343932"/>
    <w:rsid w:val="00343B81"/>
    <w:rsid w:val="003509C6"/>
    <w:rsid w:val="003614A7"/>
    <w:rsid w:val="00361A0C"/>
    <w:rsid w:val="0036374D"/>
    <w:rsid w:val="00370333"/>
    <w:rsid w:val="003713B5"/>
    <w:rsid w:val="00372501"/>
    <w:rsid w:val="00377F9E"/>
    <w:rsid w:val="0038071F"/>
    <w:rsid w:val="00383412"/>
    <w:rsid w:val="00383988"/>
    <w:rsid w:val="0039020D"/>
    <w:rsid w:val="00391077"/>
    <w:rsid w:val="00391E26"/>
    <w:rsid w:val="00393BD1"/>
    <w:rsid w:val="00395B2F"/>
    <w:rsid w:val="00397369"/>
    <w:rsid w:val="00397595"/>
    <w:rsid w:val="003A1DD7"/>
    <w:rsid w:val="003A2AB2"/>
    <w:rsid w:val="003A6456"/>
    <w:rsid w:val="003A74DB"/>
    <w:rsid w:val="003B31DC"/>
    <w:rsid w:val="003C01F4"/>
    <w:rsid w:val="003C2F4D"/>
    <w:rsid w:val="003C65A0"/>
    <w:rsid w:val="003C74DB"/>
    <w:rsid w:val="003D2287"/>
    <w:rsid w:val="003D3FB0"/>
    <w:rsid w:val="003D69A4"/>
    <w:rsid w:val="003E4ABB"/>
    <w:rsid w:val="003E7671"/>
    <w:rsid w:val="003F0521"/>
    <w:rsid w:val="003F16FF"/>
    <w:rsid w:val="003F4D56"/>
    <w:rsid w:val="00402119"/>
    <w:rsid w:val="00403051"/>
    <w:rsid w:val="004033CF"/>
    <w:rsid w:val="004043F0"/>
    <w:rsid w:val="00404D13"/>
    <w:rsid w:val="00406001"/>
    <w:rsid w:val="00406FEC"/>
    <w:rsid w:val="00413856"/>
    <w:rsid w:val="00415012"/>
    <w:rsid w:val="00415966"/>
    <w:rsid w:val="0041751D"/>
    <w:rsid w:val="00421400"/>
    <w:rsid w:val="0042299F"/>
    <w:rsid w:val="00423BC2"/>
    <w:rsid w:val="004303BC"/>
    <w:rsid w:val="004358D2"/>
    <w:rsid w:val="00437B39"/>
    <w:rsid w:val="00443D45"/>
    <w:rsid w:val="00447EE2"/>
    <w:rsid w:val="00451416"/>
    <w:rsid w:val="00451AAB"/>
    <w:rsid w:val="00451B7A"/>
    <w:rsid w:val="004537DE"/>
    <w:rsid w:val="00454442"/>
    <w:rsid w:val="004549FC"/>
    <w:rsid w:val="00455E34"/>
    <w:rsid w:val="0045695A"/>
    <w:rsid w:val="00456B69"/>
    <w:rsid w:val="00463401"/>
    <w:rsid w:val="004734C2"/>
    <w:rsid w:val="004753A9"/>
    <w:rsid w:val="00483231"/>
    <w:rsid w:val="004854DE"/>
    <w:rsid w:val="00485A9D"/>
    <w:rsid w:val="00490746"/>
    <w:rsid w:val="00492C7E"/>
    <w:rsid w:val="00495559"/>
    <w:rsid w:val="00497C80"/>
    <w:rsid w:val="004A0134"/>
    <w:rsid w:val="004A3E4E"/>
    <w:rsid w:val="004B1280"/>
    <w:rsid w:val="004B3275"/>
    <w:rsid w:val="004B5422"/>
    <w:rsid w:val="004C31F2"/>
    <w:rsid w:val="004C6CCD"/>
    <w:rsid w:val="004D5E52"/>
    <w:rsid w:val="004D76CF"/>
    <w:rsid w:val="004E1FE4"/>
    <w:rsid w:val="004E209A"/>
    <w:rsid w:val="004E57D3"/>
    <w:rsid w:val="004E75F7"/>
    <w:rsid w:val="004F76B1"/>
    <w:rsid w:val="00502C3A"/>
    <w:rsid w:val="00503AD1"/>
    <w:rsid w:val="005071EA"/>
    <w:rsid w:val="00512A72"/>
    <w:rsid w:val="00514918"/>
    <w:rsid w:val="00516AE8"/>
    <w:rsid w:val="005252FE"/>
    <w:rsid w:val="00525E16"/>
    <w:rsid w:val="00526011"/>
    <w:rsid w:val="00534C47"/>
    <w:rsid w:val="00537700"/>
    <w:rsid w:val="00542200"/>
    <w:rsid w:val="00552B39"/>
    <w:rsid w:val="00561385"/>
    <w:rsid w:val="00564A76"/>
    <w:rsid w:val="00565D75"/>
    <w:rsid w:val="005727AC"/>
    <w:rsid w:val="0058279C"/>
    <w:rsid w:val="00582C7A"/>
    <w:rsid w:val="00583D5C"/>
    <w:rsid w:val="00584576"/>
    <w:rsid w:val="00584FE3"/>
    <w:rsid w:val="00586BA3"/>
    <w:rsid w:val="00596E9B"/>
    <w:rsid w:val="005A4384"/>
    <w:rsid w:val="005A762D"/>
    <w:rsid w:val="005B055C"/>
    <w:rsid w:val="005B1ED6"/>
    <w:rsid w:val="005B3EAA"/>
    <w:rsid w:val="005B49B1"/>
    <w:rsid w:val="005B5480"/>
    <w:rsid w:val="005C0BE9"/>
    <w:rsid w:val="005C3384"/>
    <w:rsid w:val="005D3323"/>
    <w:rsid w:val="005D34F0"/>
    <w:rsid w:val="005D4BB6"/>
    <w:rsid w:val="005E015A"/>
    <w:rsid w:val="005E0419"/>
    <w:rsid w:val="005E0A1E"/>
    <w:rsid w:val="005E55C3"/>
    <w:rsid w:val="005E56BC"/>
    <w:rsid w:val="0060140E"/>
    <w:rsid w:val="00603666"/>
    <w:rsid w:val="006039DF"/>
    <w:rsid w:val="00604011"/>
    <w:rsid w:val="00604BAE"/>
    <w:rsid w:val="00604F6F"/>
    <w:rsid w:val="00614BED"/>
    <w:rsid w:val="00615302"/>
    <w:rsid w:val="00616645"/>
    <w:rsid w:val="0062101B"/>
    <w:rsid w:val="00622B76"/>
    <w:rsid w:val="00623AD2"/>
    <w:rsid w:val="00627E7C"/>
    <w:rsid w:val="006309E5"/>
    <w:rsid w:val="00632E82"/>
    <w:rsid w:val="00637896"/>
    <w:rsid w:val="00655DD1"/>
    <w:rsid w:val="00662E52"/>
    <w:rsid w:val="006638E8"/>
    <w:rsid w:val="00664A21"/>
    <w:rsid w:val="00670A91"/>
    <w:rsid w:val="00670F1B"/>
    <w:rsid w:val="00675133"/>
    <w:rsid w:val="006757F3"/>
    <w:rsid w:val="00677FC6"/>
    <w:rsid w:val="00686525"/>
    <w:rsid w:val="00690EBC"/>
    <w:rsid w:val="00692C52"/>
    <w:rsid w:val="00696F82"/>
    <w:rsid w:val="006A3B3B"/>
    <w:rsid w:val="006A77C6"/>
    <w:rsid w:val="006A7C38"/>
    <w:rsid w:val="006B665E"/>
    <w:rsid w:val="006B6844"/>
    <w:rsid w:val="006C4891"/>
    <w:rsid w:val="006C75F0"/>
    <w:rsid w:val="006D0963"/>
    <w:rsid w:val="006D0DCE"/>
    <w:rsid w:val="006D416C"/>
    <w:rsid w:val="006E25B9"/>
    <w:rsid w:val="006E2EC7"/>
    <w:rsid w:val="006F0601"/>
    <w:rsid w:val="006F205E"/>
    <w:rsid w:val="006F27FF"/>
    <w:rsid w:val="007025A9"/>
    <w:rsid w:val="00703D65"/>
    <w:rsid w:val="00704BC3"/>
    <w:rsid w:val="0070541B"/>
    <w:rsid w:val="00707433"/>
    <w:rsid w:val="00710256"/>
    <w:rsid w:val="00710565"/>
    <w:rsid w:val="00716720"/>
    <w:rsid w:val="00732B04"/>
    <w:rsid w:val="007357DD"/>
    <w:rsid w:val="00736A6D"/>
    <w:rsid w:val="00740075"/>
    <w:rsid w:val="00742A4A"/>
    <w:rsid w:val="00747557"/>
    <w:rsid w:val="00754CD4"/>
    <w:rsid w:val="007618B8"/>
    <w:rsid w:val="00761FC9"/>
    <w:rsid w:val="007667A6"/>
    <w:rsid w:val="007757E9"/>
    <w:rsid w:val="0078223A"/>
    <w:rsid w:val="00786CCC"/>
    <w:rsid w:val="00790043"/>
    <w:rsid w:val="00792093"/>
    <w:rsid w:val="00792749"/>
    <w:rsid w:val="00794CCF"/>
    <w:rsid w:val="007A499F"/>
    <w:rsid w:val="007B1727"/>
    <w:rsid w:val="007B185B"/>
    <w:rsid w:val="007B20FA"/>
    <w:rsid w:val="007B5FCA"/>
    <w:rsid w:val="007C1160"/>
    <w:rsid w:val="007D4B0C"/>
    <w:rsid w:val="007D75B1"/>
    <w:rsid w:val="007D7AA1"/>
    <w:rsid w:val="007F2A7F"/>
    <w:rsid w:val="00801449"/>
    <w:rsid w:val="0080284E"/>
    <w:rsid w:val="00803BFF"/>
    <w:rsid w:val="008048D9"/>
    <w:rsid w:val="008049D5"/>
    <w:rsid w:val="0080614C"/>
    <w:rsid w:val="00811295"/>
    <w:rsid w:val="0082458B"/>
    <w:rsid w:val="00824653"/>
    <w:rsid w:val="00830737"/>
    <w:rsid w:val="008315B5"/>
    <w:rsid w:val="008348CF"/>
    <w:rsid w:val="00844A91"/>
    <w:rsid w:val="008463AA"/>
    <w:rsid w:val="00847FC7"/>
    <w:rsid w:val="00850065"/>
    <w:rsid w:val="0085156E"/>
    <w:rsid w:val="008522BB"/>
    <w:rsid w:val="0085255E"/>
    <w:rsid w:val="00852618"/>
    <w:rsid w:val="0086092C"/>
    <w:rsid w:val="00860C3E"/>
    <w:rsid w:val="008610A4"/>
    <w:rsid w:val="00863EC0"/>
    <w:rsid w:val="00865536"/>
    <w:rsid w:val="008671FA"/>
    <w:rsid w:val="0087121C"/>
    <w:rsid w:val="00872ED1"/>
    <w:rsid w:val="0087431D"/>
    <w:rsid w:val="008753FE"/>
    <w:rsid w:val="00875F5E"/>
    <w:rsid w:val="008776D5"/>
    <w:rsid w:val="008871B9"/>
    <w:rsid w:val="008936AB"/>
    <w:rsid w:val="00894499"/>
    <w:rsid w:val="008948FC"/>
    <w:rsid w:val="008A0150"/>
    <w:rsid w:val="008A38AD"/>
    <w:rsid w:val="008A6509"/>
    <w:rsid w:val="008A7611"/>
    <w:rsid w:val="008B20DA"/>
    <w:rsid w:val="008B21F3"/>
    <w:rsid w:val="008B52C5"/>
    <w:rsid w:val="008C2CB2"/>
    <w:rsid w:val="008C2F38"/>
    <w:rsid w:val="008C60C1"/>
    <w:rsid w:val="008D5713"/>
    <w:rsid w:val="008E0123"/>
    <w:rsid w:val="008E3D0A"/>
    <w:rsid w:val="008E7C83"/>
    <w:rsid w:val="008F341E"/>
    <w:rsid w:val="00905B5A"/>
    <w:rsid w:val="00907C40"/>
    <w:rsid w:val="0091405E"/>
    <w:rsid w:val="00927BF3"/>
    <w:rsid w:val="009317C7"/>
    <w:rsid w:val="00935784"/>
    <w:rsid w:val="00942A35"/>
    <w:rsid w:val="00942F9D"/>
    <w:rsid w:val="00943D35"/>
    <w:rsid w:val="00946052"/>
    <w:rsid w:val="0094776D"/>
    <w:rsid w:val="0095395B"/>
    <w:rsid w:val="00962122"/>
    <w:rsid w:val="00964BDB"/>
    <w:rsid w:val="0097056D"/>
    <w:rsid w:val="00973F67"/>
    <w:rsid w:val="00975D9F"/>
    <w:rsid w:val="00983D9A"/>
    <w:rsid w:val="00987F18"/>
    <w:rsid w:val="00992B5B"/>
    <w:rsid w:val="00996880"/>
    <w:rsid w:val="009A2BB7"/>
    <w:rsid w:val="009A5E7F"/>
    <w:rsid w:val="009A77A9"/>
    <w:rsid w:val="009B3547"/>
    <w:rsid w:val="009B37F0"/>
    <w:rsid w:val="009B433D"/>
    <w:rsid w:val="009B4D07"/>
    <w:rsid w:val="009B579C"/>
    <w:rsid w:val="009C40BA"/>
    <w:rsid w:val="009C594A"/>
    <w:rsid w:val="009D26AA"/>
    <w:rsid w:val="009E12E7"/>
    <w:rsid w:val="009E185C"/>
    <w:rsid w:val="009E4DCE"/>
    <w:rsid w:val="009E673D"/>
    <w:rsid w:val="009F19FC"/>
    <w:rsid w:val="009F3918"/>
    <w:rsid w:val="009F5ED5"/>
    <w:rsid w:val="00A0401F"/>
    <w:rsid w:val="00A111B0"/>
    <w:rsid w:val="00A16A79"/>
    <w:rsid w:val="00A20884"/>
    <w:rsid w:val="00A20CAB"/>
    <w:rsid w:val="00A2239D"/>
    <w:rsid w:val="00A22C24"/>
    <w:rsid w:val="00A23196"/>
    <w:rsid w:val="00A27D2B"/>
    <w:rsid w:val="00A27FF3"/>
    <w:rsid w:val="00A34F34"/>
    <w:rsid w:val="00A35E5F"/>
    <w:rsid w:val="00A371E4"/>
    <w:rsid w:val="00A37328"/>
    <w:rsid w:val="00A37DBA"/>
    <w:rsid w:val="00A4158B"/>
    <w:rsid w:val="00A4240E"/>
    <w:rsid w:val="00A43948"/>
    <w:rsid w:val="00A53B12"/>
    <w:rsid w:val="00A608DC"/>
    <w:rsid w:val="00A62331"/>
    <w:rsid w:val="00A62EC6"/>
    <w:rsid w:val="00A824AE"/>
    <w:rsid w:val="00A84900"/>
    <w:rsid w:val="00A858C9"/>
    <w:rsid w:val="00A91176"/>
    <w:rsid w:val="00A9337D"/>
    <w:rsid w:val="00A95086"/>
    <w:rsid w:val="00A962A2"/>
    <w:rsid w:val="00AA775F"/>
    <w:rsid w:val="00AB2B28"/>
    <w:rsid w:val="00AC457E"/>
    <w:rsid w:val="00AD1991"/>
    <w:rsid w:val="00AD53BB"/>
    <w:rsid w:val="00AD574B"/>
    <w:rsid w:val="00AD5A82"/>
    <w:rsid w:val="00AE0534"/>
    <w:rsid w:val="00AE6082"/>
    <w:rsid w:val="00AF1709"/>
    <w:rsid w:val="00AF50A2"/>
    <w:rsid w:val="00B010BB"/>
    <w:rsid w:val="00B0548B"/>
    <w:rsid w:val="00B06E82"/>
    <w:rsid w:val="00B07066"/>
    <w:rsid w:val="00B078A1"/>
    <w:rsid w:val="00B10935"/>
    <w:rsid w:val="00B1650F"/>
    <w:rsid w:val="00B20DF3"/>
    <w:rsid w:val="00B25512"/>
    <w:rsid w:val="00B2596C"/>
    <w:rsid w:val="00B309C8"/>
    <w:rsid w:val="00B35185"/>
    <w:rsid w:val="00B35C8E"/>
    <w:rsid w:val="00B36090"/>
    <w:rsid w:val="00B36197"/>
    <w:rsid w:val="00B37F49"/>
    <w:rsid w:val="00B40A1D"/>
    <w:rsid w:val="00B416A8"/>
    <w:rsid w:val="00B50432"/>
    <w:rsid w:val="00B548E8"/>
    <w:rsid w:val="00B5682E"/>
    <w:rsid w:val="00B620A7"/>
    <w:rsid w:val="00B623B7"/>
    <w:rsid w:val="00B67E34"/>
    <w:rsid w:val="00B72E00"/>
    <w:rsid w:val="00B74458"/>
    <w:rsid w:val="00B74704"/>
    <w:rsid w:val="00B81EAA"/>
    <w:rsid w:val="00B92503"/>
    <w:rsid w:val="00B92F48"/>
    <w:rsid w:val="00B97DE9"/>
    <w:rsid w:val="00BA3C14"/>
    <w:rsid w:val="00BA4365"/>
    <w:rsid w:val="00BB0AD7"/>
    <w:rsid w:val="00BB0B5C"/>
    <w:rsid w:val="00BB126B"/>
    <w:rsid w:val="00BB4585"/>
    <w:rsid w:val="00BC00B9"/>
    <w:rsid w:val="00BC093A"/>
    <w:rsid w:val="00BC0AC9"/>
    <w:rsid w:val="00BC2554"/>
    <w:rsid w:val="00BC598E"/>
    <w:rsid w:val="00BF1520"/>
    <w:rsid w:val="00BF3399"/>
    <w:rsid w:val="00BF4D0D"/>
    <w:rsid w:val="00BF58AD"/>
    <w:rsid w:val="00BF5C4D"/>
    <w:rsid w:val="00BF68D4"/>
    <w:rsid w:val="00BF7FF3"/>
    <w:rsid w:val="00C0104C"/>
    <w:rsid w:val="00C01B6C"/>
    <w:rsid w:val="00C02BC6"/>
    <w:rsid w:val="00C1273C"/>
    <w:rsid w:val="00C17C45"/>
    <w:rsid w:val="00C2035D"/>
    <w:rsid w:val="00C23DE2"/>
    <w:rsid w:val="00C26B82"/>
    <w:rsid w:val="00C3400D"/>
    <w:rsid w:val="00C3414B"/>
    <w:rsid w:val="00C358A0"/>
    <w:rsid w:val="00C44979"/>
    <w:rsid w:val="00C55C76"/>
    <w:rsid w:val="00C60525"/>
    <w:rsid w:val="00C619BA"/>
    <w:rsid w:val="00C62B61"/>
    <w:rsid w:val="00C62CE0"/>
    <w:rsid w:val="00C671F3"/>
    <w:rsid w:val="00C70BD4"/>
    <w:rsid w:val="00C732E2"/>
    <w:rsid w:val="00C74730"/>
    <w:rsid w:val="00C77863"/>
    <w:rsid w:val="00C84E70"/>
    <w:rsid w:val="00C861E7"/>
    <w:rsid w:val="00C879B4"/>
    <w:rsid w:val="00C9122F"/>
    <w:rsid w:val="00C936D3"/>
    <w:rsid w:val="00C9667D"/>
    <w:rsid w:val="00CA153C"/>
    <w:rsid w:val="00CA3AB1"/>
    <w:rsid w:val="00CA5B9A"/>
    <w:rsid w:val="00CB66CA"/>
    <w:rsid w:val="00CB679C"/>
    <w:rsid w:val="00CB77A2"/>
    <w:rsid w:val="00CC0B16"/>
    <w:rsid w:val="00CC2448"/>
    <w:rsid w:val="00CC470B"/>
    <w:rsid w:val="00CC5EF4"/>
    <w:rsid w:val="00CD0564"/>
    <w:rsid w:val="00CD0CB9"/>
    <w:rsid w:val="00CD172E"/>
    <w:rsid w:val="00CD64C4"/>
    <w:rsid w:val="00CD691C"/>
    <w:rsid w:val="00CE00AF"/>
    <w:rsid w:val="00CE29D1"/>
    <w:rsid w:val="00CF3134"/>
    <w:rsid w:val="00CF56B7"/>
    <w:rsid w:val="00CF75B2"/>
    <w:rsid w:val="00D00174"/>
    <w:rsid w:val="00D00A83"/>
    <w:rsid w:val="00D07E26"/>
    <w:rsid w:val="00D1035B"/>
    <w:rsid w:val="00D11932"/>
    <w:rsid w:val="00D12EB2"/>
    <w:rsid w:val="00D15D12"/>
    <w:rsid w:val="00D2180E"/>
    <w:rsid w:val="00D2349F"/>
    <w:rsid w:val="00D25ADA"/>
    <w:rsid w:val="00D25C3E"/>
    <w:rsid w:val="00D35BA8"/>
    <w:rsid w:val="00D36095"/>
    <w:rsid w:val="00D401E6"/>
    <w:rsid w:val="00D42645"/>
    <w:rsid w:val="00D443C9"/>
    <w:rsid w:val="00D530B4"/>
    <w:rsid w:val="00D53CBB"/>
    <w:rsid w:val="00D5594A"/>
    <w:rsid w:val="00D60C58"/>
    <w:rsid w:val="00D6101D"/>
    <w:rsid w:val="00D749A0"/>
    <w:rsid w:val="00D7539D"/>
    <w:rsid w:val="00D825E4"/>
    <w:rsid w:val="00D82765"/>
    <w:rsid w:val="00D92C9C"/>
    <w:rsid w:val="00D92F24"/>
    <w:rsid w:val="00D93410"/>
    <w:rsid w:val="00D94AB8"/>
    <w:rsid w:val="00D95C7A"/>
    <w:rsid w:val="00D960DB"/>
    <w:rsid w:val="00D96CCC"/>
    <w:rsid w:val="00DA07F7"/>
    <w:rsid w:val="00DA7B87"/>
    <w:rsid w:val="00DB2A47"/>
    <w:rsid w:val="00DB32AA"/>
    <w:rsid w:val="00DC79EE"/>
    <w:rsid w:val="00DD53B9"/>
    <w:rsid w:val="00DD622F"/>
    <w:rsid w:val="00DE09C8"/>
    <w:rsid w:val="00DE100E"/>
    <w:rsid w:val="00DE29E7"/>
    <w:rsid w:val="00DE5CB8"/>
    <w:rsid w:val="00DE5DD7"/>
    <w:rsid w:val="00DF20C9"/>
    <w:rsid w:val="00DF2F1D"/>
    <w:rsid w:val="00DF3A1D"/>
    <w:rsid w:val="00DF5F93"/>
    <w:rsid w:val="00E00CF6"/>
    <w:rsid w:val="00E03541"/>
    <w:rsid w:val="00E0427A"/>
    <w:rsid w:val="00E04D03"/>
    <w:rsid w:val="00E0695C"/>
    <w:rsid w:val="00E06A1E"/>
    <w:rsid w:val="00E0758C"/>
    <w:rsid w:val="00E125C0"/>
    <w:rsid w:val="00E136C1"/>
    <w:rsid w:val="00E162FE"/>
    <w:rsid w:val="00E27BE2"/>
    <w:rsid w:val="00E30E59"/>
    <w:rsid w:val="00E33924"/>
    <w:rsid w:val="00E35837"/>
    <w:rsid w:val="00E4481D"/>
    <w:rsid w:val="00E47FA1"/>
    <w:rsid w:val="00E50B24"/>
    <w:rsid w:val="00E559ED"/>
    <w:rsid w:val="00E644A6"/>
    <w:rsid w:val="00E73817"/>
    <w:rsid w:val="00E73A01"/>
    <w:rsid w:val="00E73B88"/>
    <w:rsid w:val="00E83DA3"/>
    <w:rsid w:val="00E859B8"/>
    <w:rsid w:val="00E86669"/>
    <w:rsid w:val="00E86D6D"/>
    <w:rsid w:val="00E9261D"/>
    <w:rsid w:val="00E9757C"/>
    <w:rsid w:val="00EA0031"/>
    <w:rsid w:val="00EA2E8A"/>
    <w:rsid w:val="00EA5912"/>
    <w:rsid w:val="00EA634B"/>
    <w:rsid w:val="00EA6755"/>
    <w:rsid w:val="00EA7A3D"/>
    <w:rsid w:val="00EB0F98"/>
    <w:rsid w:val="00EB4845"/>
    <w:rsid w:val="00EB5608"/>
    <w:rsid w:val="00EB5960"/>
    <w:rsid w:val="00EB7A7D"/>
    <w:rsid w:val="00EB7AF3"/>
    <w:rsid w:val="00EC0B31"/>
    <w:rsid w:val="00EC7068"/>
    <w:rsid w:val="00ED148C"/>
    <w:rsid w:val="00ED2410"/>
    <w:rsid w:val="00ED2BF1"/>
    <w:rsid w:val="00ED322F"/>
    <w:rsid w:val="00ED65B2"/>
    <w:rsid w:val="00ED7270"/>
    <w:rsid w:val="00ED7BDC"/>
    <w:rsid w:val="00EF4333"/>
    <w:rsid w:val="00EF580C"/>
    <w:rsid w:val="00EF6F61"/>
    <w:rsid w:val="00F0384B"/>
    <w:rsid w:val="00F107A3"/>
    <w:rsid w:val="00F12380"/>
    <w:rsid w:val="00F12947"/>
    <w:rsid w:val="00F1395D"/>
    <w:rsid w:val="00F15BAD"/>
    <w:rsid w:val="00F16B65"/>
    <w:rsid w:val="00F16C21"/>
    <w:rsid w:val="00F21106"/>
    <w:rsid w:val="00F213AC"/>
    <w:rsid w:val="00F21D78"/>
    <w:rsid w:val="00F225D1"/>
    <w:rsid w:val="00F255C2"/>
    <w:rsid w:val="00F25A76"/>
    <w:rsid w:val="00F26CEB"/>
    <w:rsid w:val="00F26D50"/>
    <w:rsid w:val="00F300F5"/>
    <w:rsid w:val="00F35E9F"/>
    <w:rsid w:val="00F366E8"/>
    <w:rsid w:val="00F3794F"/>
    <w:rsid w:val="00F40C2A"/>
    <w:rsid w:val="00F41511"/>
    <w:rsid w:val="00F42A3F"/>
    <w:rsid w:val="00F54796"/>
    <w:rsid w:val="00F54CC9"/>
    <w:rsid w:val="00F54D3D"/>
    <w:rsid w:val="00F61B58"/>
    <w:rsid w:val="00F64CC9"/>
    <w:rsid w:val="00F66B2B"/>
    <w:rsid w:val="00F70475"/>
    <w:rsid w:val="00F714D9"/>
    <w:rsid w:val="00F71CEB"/>
    <w:rsid w:val="00F72C92"/>
    <w:rsid w:val="00F745A4"/>
    <w:rsid w:val="00F75846"/>
    <w:rsid w:val="00F76112"/>
    <w:rsid w:val="00F766A0"/>
    <w:rsid w:val="00F77C6B"/>
    <w:rsid w:val="00F90883"/>
    <w:rsid w:val="00F91632"/>
    <w:rsid w:val="00F93317"/>
    <w:rsid w:val="00F934EA"/>
    <w:rsid w:val="00F958A2"/>
    <w:rsid w:val="00F96C23"/>
    <w:rsid w:val="00FA47A2"/>
    <w:rsid w:val="00FA5A62"/>
    <w:rsid w:val="00FA5DAD"/>
    <w:rsid w:val="00FB2961"/>
    <w:rsid w:val="00FB33B1"/>
    <w:rsid w:val="00FB4747"/>
    <w:rsid w:val="00FB7954"/>
    <w:rsid w:val="00FC613F"/>
    <w:rsid w:val="00FC6C74"/>
    <w:rsid w:val="00FD1B9B"/>
    <w:rsid w:val="00FD3489"/>
    <w:rsid w:val="00FD7E4E"/>
    <w:rsid w:val="00FE09C0"/>
    <w:rsid w:val="00FE6A5D"/>
    <w:rsid w:val="00FF3647"/>
    <w:rsid w:val="00FF3C2D"/>
    <w:rsid w:val="00FF6AD4"/>
    <w:rsid w:val="00FF7F10"/>
    <w:rsid w:val="0153673B"/>
    <w:rsid w:val="02014F66"/>
    <w:rsid w:val="02A73B69"/>
    <w:rsid w:val="02EF5EA2"/>
    <w:rsid w:val="030B0B6F"/>
    <w:rsid w:val="03557185"/>
    <w:rsid w:val="037E2547"/>
    <w:rsid w:val="03812A07"/>
    <w:rsid w:val="03842DE7"/>
    <w:rsid w:val="04C81265"/>
    <w:rsid w:val="04DF3649"/>
    <w:rsid w:val="051F1C74"/>
    <w:rsid w:val="05770645"/>
    <w:rsid w:val="058D5023"/>
    <w:rsid w:val="05D84CA5"/>
    <w:rsid w:val="066D5A08"/>
    <w:rsid w:val="074A4692"/>
    <w:rsid w:val="07524721"/>
    <w:rsid w:val="080A25F1"/>
    <w:rsid w:val="0891753F"/>
    <w:rsid w:val="09A45F10"/>
    <w:rsid w:val="0A2C751F"/>
    <w:rsid w:val="0CA30B4B"/>
    <w:rsid w:val="0CCF6888"/>
    <w:rsid w:val="0D1663DD"/>
    <w:rsid w:val="0D3861DB"/>
    <w:rsid w:val="0D447EB9"/>
    <w:rsid w:val="0DDF724E"/>
    <w:rsid w:val="0E5B241B"/>
    <w:rsid w:val="0E5D2BF2"/>
    <w:rsid w:val="0E7F4BD9"/>
    <w:rsid w:val="0EF1153B"/>
    <w:rsid w:val="0F702BD5"/>
    <w:rsid w:val="0FF4417B"/>
    <w:rsid w:val="106A2B50"/>
    <w:rsid w:val="10AB3168"/>
    <w:rsid w:val="12B058B8"/>
    <w:rsid w:val="12DA0C7B"/>
    <w:rsid w:val="12E16087"/>
    <w:rsid w:val="137F6F75"/>
    <w:rsid w:val="13A40F9B"/>
    <w:rsid w:val="149E7662"/>
    <w:rsid w:val="14A511EB"/>
    <w:rsid w:val="150B030C"/>
    <w:rsid w:val="15311E8E"/>
    <w:rsid w:val="156670AB"/>
    <w:rsid w:val="157902CA"/>
    <w:rsid w:val="15846DA8"/>
    <w:rsid w:val="15A77B14"/>
    <w:rsid w:val="15B12FCF"/>
    <w:rsid w:val="15F853C8"/>
    <w:rsid w:val="16576633"/>
    <w:rsid w:val="16B11567"/>
    <w:rsid w:val="17126D66"/>
    <w:rsid w:val="17687AF5"/>
    <w:rsid w:val="17A56B63"/>
    <w:rsid w:val="17EE79CE"/>
    <w:rsid w:val="182C52B5"/>
    <w:rsid w:val="186D7EF7"/>
    <w:rsid w:val="189B6BED"/>
    <w:rsid w:val="196229FF"/>
    <w:rsid w:val="19C80559"/>
    <w:rsid w:val="19E25E4D"/>
    <w:rsid w:val="1A314705"/>
    <w:rsid w:val="1A63767E"/>
    <w:rsid w:val="1B0C78EB"/>
    <w:rsid w:val="1B0D0CA7"/>
    <w:rsid w:val="1BA76300"/>
    <w:rsid w:val="1C2403B8"/>
    <w:rsid w:val="1C71350E"/>
    <w:rsid w:val="1CA13205"/>
    <w:rsid w:val="1CDB6B83"/>
    <w:rsid w:val="1CF57C85"/>
    <w:rsid w:val="1D6B3E8A"/>
    <w:rsid w:val="1D6D7456"/>
    <w:rsid w:val="1D954F84"/>
    <w:rsid w:val="1DE25C88"/>
    <w:rsid w:val="1EF53F2C"/>
    <w:rsid w:val="1FDC333E"/>
    <w:rsid w:val="20484530"/>
    <w:rsid w:val="20497803"/>
    <w:rsid w:val="20803910"/>
    <w:rsid w:val="212121E0"/>
    <w:rsid w:val="21622427"/>
    <w:rsid w:val="218D7E9A"/>
    <w:rsid w:val="21C601BC"/>
    <w:rsid w:val="21E91DFB"/>
    <w:rsid w:val="21F941AF"/>
    <w:rsid w:val="227B0BEC"/>
    <w:rsid w:val="22FB1FE8"/>
    <w:rsid w:val="23081905"/>
    <w:rsid w:val="233139A1"/>
    <w:rsid w:val="2380740A"/>
    <w:rsid w:val="23D22653"/>
    <w:rsid w:val="23E634F2"/>
    <w:rsid w:val="24174945"/>
    <w:rsid w:val="24341072"/>
    <w:rsid w:val="263962C5"/>
    <w:rsid w:val="269F5C69"/>
    <w:rsid w:val="26D34C02"/>
    <w:rsid w:val="26DD3EFA"/>
    <w:rsid w:val="274E0C09"/>
    <w:rsid w:val="28774980"/>
    <w:rsid w:val="2895052E"/>
    <w:rsid w:val="28B43155"/>
    <w:rsid w:val="28E34913"/>
    <w:rsid w:val="28FB5AC8"/>
    <w:rsid w:val="291259FD"/>
    <w:rsid w:val="2B15662B"/>
    <w:rsid w:val="2B7164D1"/>
    <w:rsid w:val="2B972785"/>
    <w:rsid w:val="2BD179D2"/>
    <w:rsid w:val="2C323ACC"/>
    <w:rsid w:val="2D0041A1"/>
    <w:rsid w:val="2D0078F3"/>
    <w:rsid w:val="2D1F486A"/>
    <w:rsid w:val="2DB72CF5"/>
    <w:rsid w:val="2DBA0995"/>
    <w:rsid w:val="2DFB0E33"/>
    <w:rsid w:val="2DFB3E80"/>
    <w:rsid w:val="2E050521"/>
    <w:rsid w:val="2ED753FC"/>
    <w:rsid w:val="2FBD2F3B"/>
    <w:rsid w:val="30F1651D"/>
    <w:rsid w:val="312707D0"/>
    <w:rsid w:val="318F1FBE"/>
    <w:rsid w:val="32932D86"/>
    <w:rsid w:val="32FE0237"/>
    <w:rsid w:val="33B40937"/>
    <w:rsid w:val="33B421B0"/>
    <w:rsid w:val="33E54DB7"/>
    <w:rsid w:val="33FF369B"/>
    <w:rsid w:val="347656B7"/>
    <w:rsid w:val="350E3F6A"/>
    <w:rsid w:val="36E44DF5"/>
    <w:rsid w:val="36E4644E"/>
    <w:rsid w:val="37494562"/>
    <w:rsid w:val="37A44758"/>
    <w:rsid w:val="382117A3"/>
    <w:rsid w:val="383C7E45"/>
    <w:rsid w:val="38A96204"/>
    <w:rsid w:val="38BF2926"/>
    <w:rsid w:val="39CC3159"/>
    <w:rsid w:val="3AB25844"/>
    <w:rsid w:val="3ABF29FF"/>
    <w:rsid w:val="3BF07AFD"/>
    <w:rsid w:val="3BF70E6F"/>
    <w:rsid w:val="3D1D0C51"/>
    <w:rsid w:val="3D3E2AEA"/>
    <w:rsid w:val="3E4F22C8"/>
    <w:rsid w:val="3FA5340F"/>
    <w:rsid w:val="40B97B12"/>
    <w:rsid w:val="40C21C2E"/>
    <w:rsid w:val="40E63206"/>
    <w:rsid w:val="41504E33"/>
    <w:rsid w:val="418D4040"/>
    <w:rsid w:val="41A75BD0"/>
    <w:rsid w:val="424F27D8"/>
    <w:rsid w:val="42AB3B75"/>
    <w:rsid w:val="43E715F4"/>
    <w:rsid w:val="447D048A"/>
    <w:rsid w:val="45BF39E1"/>
    <w:rsid w:val="45C5528D"/>
    <w:rsid w:val="46970EDE"/>
    <w:rsid w:val="46DA06CE"/>
    <w:rsid w:val="471825FE"/>
    <w:rsid w:val="473E03F2"/>
    <w:rsid w:val="47862D65"/>
    <w:rsid w:val="47BA2A98"/>
    <w:rsid w:val="48E74F2A"/>
    <w:rsid w:val="48FF684B"/>
    <w:rsid w:val="49830203"/>
    <w:rsid w:val="49C37D91"/>
    <w:rsid w:val="4A147A52"/>
    <w:rsid w:val="4A2138F5"/>
    <w:rsid w:val="4AA14924"/>
    <w:rsid w:val="4C7D53DD"/>
    <w:rsid w:val="4C8A624D"/>
    <w:rsid w:val="4D1B15A5"/>
    <w:rsid w:val="4DE30B55"/>
    <w:rsid w:val="4E131761"/>
    <w:rsid w:val="4E2A50F1"/>
    <w:rsid w:val="4EAF104D"/>
    <w:rsid w:val="4EFF0028"/>
    <w:rsid w:val="4F041BE5"/>
    <w:rsid w:val="4FCD544B"/>
    <w:rsid w:val="50465DC1"/>
    <w:rsid w:val="506A63A1"/>
    <w:rsid w:val="509C57F4"/>
    <w:rsid w:val="50A45048"/>
    <w:rsid w:val="50D90BB3"/>
    <w:rsid w:val="50E8774B"/>
    <w:rsid w:val="512A365A"/>
    <w:rsid w:val="51640797"/>
    <w:rsid w:val="517F7502"/>
    <w:rsid w:val="518A40DC"/>
    <w:rsid w:val="51B178D7"/>
    <w:rsid w:val="51B30516"/>
    <w:rsid w:val="52416E80"/>
    <w:rsid w:val="535A2F17"/>
    <w:rsid w:val="53620DD5"/>
    <w:rsid w:val="540A3EEE"/>
    <w:rsid w:val="544B76C8"/>
    <w:rsid w:val="54AF247D"/>
    <w:rsid w:val="550146D2"/>
    <w:rsid w:val="55E16072"/>
    <w:rsid w:val="55F86B80"/>
    <w:rsid w:val="55FE5396"/>
    <w:rsid w:val="56157B16"/>
    <w:rsid w:val="56C00F63"/>
    <w:rsid w:val="58005F9F"/>
    <w:rsid w:val="591C0412"/>
    <w:rsid w:val="5AB7379D"/>
    <w:rsid w:val="5AE75AB0"/>
    <w:rsid w:val="5B540662"/>
    <w:rsid w:val="5BC63154"/>
    <w:rsid w:val="5C592375"/>
    <w:rsid w:val="5C743AE8"/>
    <w:rsid w:val="5DC13FDF"/>
    <w:rsid w:val="5DF81F3B"/>
    <w:rsid w:val="5E8706F0"/>
    <w:rsid w:val="5EB13429"/>
    <w:rsid w:val="5F33643F"/>
    <w:rsid w:val="5F390348"/>
    <w:rsid w:val="5FFB68ED"/>
    <w:rsid w:val="60196E3D"/>
    <w:rsid w:val="60C72C73"/>
    <w:rsid w:val="60F178EC"/>
    <w:rsid w:val="61293077"/>
    <w:rsid w:val="619501A8"/>
    <w:rsid w:val="61FD4E4F"/>
    <w:rsid w:val="62C94D21"/>
    <w:rsid w:val="633873E8"/>
    <w:rsid w:val="638D3240"/>
    <w:rsid w:val="653B0591"/>
    <w:rsid w:val="66BC011A"/>
    <w:rsid w:val="66C919AE"/>
    <w:rsid w:val="66DB1226"/>
    <w:rsid w:val="66F649FE"/>
    <w:rsid w:val="67942BD6"/>
    <w:rsid w:val="683134FF"/>
    <w:rsid w:val="687B6DF6"/>
    <w:rsid w:val="689E0E91"/>
    <w:rsid w:val="69AC243D"/>
    <w:rsid w:val="69C9231B"/>
    <w:rsid w:val="6AAD450A"/>
    <w:rsid w:val="6BD15F74"/>
    <w:rsid w:val="6C920E15"/>
    <w:rsid w:val="6D055AC1"/>
    <w:rsid w:val="6E50180B"/>
    <w:rsid w:val="6F4D0429"/>
    <w:rsid w:val="6F6F4D31"/>
    <w:rsid w:val="6FCB0CF7"/>
    <w:rsid w:val="70180DF6"/>
    <w:rsid w:val="701D640C"/>
    <w:rsid w:val="705D7869"/>
    <w:rsid w:val="70F95EE6"/>
    <w:rsid w:val="710D6480"/>
    <w:rsid w:val="716A38D3"/>
    <w:rsid w:val="71705A54"/>
    <w:rsid w:val="72457E9C"/>
    <w:rsid w:val="725716A5"/>
    <w:rsid w:val="73010B68"/>
    <w:rsid w:val="73EE241B"/>
    <w:rsid w:val="7499165E"/>
    <w:rsid w:val="75045F1B"/>
    <w:rsid w:val="763267CE"/>
    <w:rsid w:val="76AB383E"/>
    <w:rsid w:val="7AA27816"/>
    <w:rsid w:val="7AF42141"/>
    <w:rsid w:val="7AF46D7E"/>
    <w:rsid w:val="7B4927AB"/>
    <w:rsid w:val="7C9F63FA"/>
    <w:rsid w:val="7CB9602C"/>
    <w:rsid w:val="7D3A25C1"/>
    <w:rsid w:val="7E1F7F06"/>
    <w:rsid w:val="7EE62F51"/>
    <w:rsid w:val="7EF0702B"/>
    <w:rsid w:val="7F35093E"/>
    <w:rsid w:val="7F521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29">
    <w:name w:val="Default Paragraph Font"/>
    <w:qFormat/>
    <w:uiPriority w:val="0"/>
  </w:style>
  <w:style w:type="table" w:default="1" w:styleId="27">
    <w:name w:val="Normal Table"/>
    <w:semiHidden/>
    <w:qFormat/>
    <w:uiPriority w:val="0"/>
    <w:tblPr>
      <w:tblCellMar>
        <w:top w:w="0" w:type="dxa"/>
        <w:left w:w="108" w:type="dxa"/>
        <w:bottom w:w="0" w:type="dxa"/>
        <w:right w:w="108" w:type="dxa"/>
      </w:tblCellMar>
    </w:tblPr>
  </w:style>
  <w:style w:type="paragraph" w:styleId="4">
    <w:name w:val="toc 7"/>
    <w:basedOn w:val="1"/>
    <w:next w:val="1"/>
    <w:qFormat/>
    <w:uiPriority w:val="0"/>
    <w:pPr>
      <w:ind w:left="2520" w:leftChars="1200"/>
    </w:pPr>
  </w:style>
  <w:style w:type="paragraph" w:styleId="5">
    <w:name w:val="Normal Indent"/>
    <w:basedOn w:val="1"/>
    <w:qFormat/>
    <w:uiPriority w:val="0"/>
    <w:pPr>
      <w:ind w:firstLine="420"/>
    </w:pPr>
    <w:rPr>
      <w:sz w:val="24"/>
    </w:rPr>
  </w:style>
  <w:style w:type="paragraph" w:styleId="6">
    <w:name w:val="annotation text"/>
    <w:basedOn w:val="1"/>
    <w:link w:val="35"/>
    <w:qFormat/>
    <w:uiPriority w:val="0"/>
    <w:pPr>
      <w:jc w:val="left"/>
    </w:pPr>
  </w:style>
  <w:style w:type="paragraph" w:styleId="7">
    <w:name w:val="Body Text"/>
    <w:basedOn w:val="1"/>
    <w:qFormat/>
    <w:uiPriority w:val="0"/>
    <w:pPr>
      <w:widowControl/>
      <w:autoSpaceDE w:val="0"/>
      <w:autoSpaceDN w:val="0"/>
      <w:spacing w:line="600" w:lineRule="atLeast"/>
      <w:textAlignment w:val="bottom"/>
    </w:pPr>
    <w:rPr>
      <w:rFonts w:ascii="仿宋_GB2312" w:eastAsia="仿宋_GB2312"/>
      <w:sz w:val="28"/>
    </w:rPr>
  </w:style>
  <w:style w:type="paragraph" w:styleId="8">
    <w:name w:val="Body Text Indent"/>
    <w:basedOn w:val="1"/>
    <w:qFormat/>
    <w:uiPriority w:val="0"/>
    <w:pPr>
      <w:spacing w:line="600" w:lineRule="atLeast"/>
      <w:ind w:firstLine="555"/>
    </w:pPr>
    <w:rPr>
      <w:rFonts w:ascii="仿宋_GB2312" w:eastAsia="仿宋_GB2312"/>
      <w:sz w:val="28"/>
    </w:rPr>
  </w:style>
  <w:style w:type="paragraph" w:styleId="9">
    <w:name w:val="toc 5"/>
    <w:basedOn w:val="1"/>
    <w:next w:val="1"/>
    <w:qFormat/>
    <w:uiPriority w:val="0"/>
    <w:pPr>
      <w:ind w:left="1680" w:leftChars="800"/>
    </w:p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sz w:val="30"/>
    </w:rPr>
  </w:style>
  <w:style w:type="paragraph" w:styleId="12">
    <w:name w:val="toc 8"/>
    <w:basedOn w:val="1"/>
    <w:next w:val="1"/>
    <w:qFormat/>
    <w:uiPriority w:val="0"/>
    <w:pPr>
      <w:ind w:left="2940" w:leftChars="1400"/>
    </w:pPr>
  </w:style>
  <w:style w:type="paragraph" w:styleId="13">
    <w:name w:val="Date"/>
    <w:basedOn w:val="1"/>
    <w:next w:val="1"/>
    <w:qFormat/>
    <w:uiPriority w:val="0"/>
    <w:pPr>
      <w:ind w:left="100" w:leftChars="2500"/>
    </w:pPr>
  </w:style>
  <w:style w:type="paragraph" w:styleId="14">
    <w:name w:val="Balloon Text"/>
    <w:basedOn w:val="1"/>
    <w:qFormat/>
    <w:uiPriority w:val="0"/>
    <w:rPr>
      <w:sz w:val="18"/>
    </w:rPr>
  </w:style>
  <w:style w:type="paragraph" w:styleId="15">
    <w:name w:val="footer"/>
    <w:basedOn w:val="1"/>
    <w:link w:val="36"/>
    <w:qFormat/>
    <w:uiPriority w:val="0"/>
    <w:pPr>
      <w:tabs>
        <w:tab w:val="center" w:pos="4819"/>
        <w:tab w:val="right" w:pos="9071"/>
      </w:tabs>
      <w:adjustRightInd w:val="0"/>
      <w:spacing w:line="240" w:lineRule="atLeast"/>
      <w:jc w:val="left"/>
      <w:textAlignment w:val="baseline"/>
    </w:pPr>
    <w:rPr>
      <w:rFonts w:ascii="宋体"/>
      <w:kern w:val="0"/>
      <w:sz w:val="18"/>
    </w:rPr>
  </w:style>
  <w:style w:type="paragraph" w:styleId="16">
    <w:name w:val="header"/>
    <w:basedOn w:val="1"/>
    <w:link w:val="52"/>
    <w:qFormat/>
    <w:uiPriority w:val="99"/>
    <w:pPr>
      <w:pBdr>
        <w:bottom w:val="single" w:color="auto" w:sz="6" w:space="1"/>
      </w:pBdr>
      <w:tabs>
        <w:tab w:val="center" w:pos="4153"/>
        <w:tab w:val="right" w:pos="8306"/>
      </w:tabs>
      <w:snapToGrid w:val="0"/>
      <w:jc w:val="center"/>
    </w:pPr>
    <w:rPr>
      <w:sz w:val="18"/>
    </w:rPr>
  </w:style>
  <w:style w:type="paragraph" w:styleId="17">
    <w:name w:val="toc 1"/>
    <w:basedOn w:val="1"/>
    <w:next w:val="1"/>
    <w:qFormat/>
    <w:uiPriority w:val="0"/>
  </w:style>
  <w:style w:type="paragraph" w:styleId="18">
    <w:name w:val="toc 4"/>
    <w:basedOn w:val="1"/>
    <w:next w:val="1"/>
    <w:qFormat/>
    <w:uiPriority w:val="0"/>
    <w:pPr>
      <w:ind w:left="1260" w:leftChars="600"/>
    </w:pPr>
  </w:style>
  <w:style w:type="paragraph" w:styleId="19">
    <w:name w:val="Subtitle"/>
    <w:basedOn w:val="1"/>
    <w:next w:val="1"/>
    <w:link w:val="37"/>
    <w:qFormat/>
    <w:uiPriority w:val="0"/>
    <w:pPr>
      <w:spacing w:before="240" w:after="60" w:line="312" w:lineRule="auto"/>
      <w:jc w:val="center"/>
      <w:outlineLvl w:val="1"/>
    </w:pPr>
    <w:rPr>
      <w:rFonts w:ascii="Cambria" w:hAnsi="Cambria"/>
      <w:b/>
      <w:bCs/>
      <w:kern w:val="28"/>
      <w:sz w:val="32"/>
      <w:szCs w:val="32"/>
    </w:rPr>
  </w:style>
  <w:style w:type="paragraph" w:styleId="20">
    <w:name w:val="toc 6"/>
    <w:basedOn w:val="1"/>
    <w:next w:val="1"/>
    <w:qFormat/>
    <w:uiPriority w:val="0"/>
    <w:pPr>
      <w:ind w:left="2100" w:leftChars="1000"/>
    </w:pPr>
  </w:style>
  <w:style w:type="paragraph" w:styleId="21">
    <w:name w:val="Body Text Indent 3"/>
    <w:basedOn w:val="1"/>
    <w:qFormat/>
    <w:uiPriority w:val="0"/>
    <w:pPr>
      <w:ind w:firstLine="598" w:firstLineChars="200"/>
    </w:pPr>
    <w:rPr>
      <w:rFonts w:ascii="仿宋_GB2312" w:eastAsia="仿宋_GB2312"/>
      <w:sz w:val="32"/>
    </w:rPr>
  </w:style>
  <w:style w:type="paragraph" w:styleId="22">
    <w:name w:val="toc 2"/>
    <w:basedOn w:val="1"/>
    <w:next w:val="1"/>
    <w:qFormat/>
    <w:uiPriority w:val="0"/>
    <w:pPr>
      <w:ind w:left="420" w:leftChars="200"/>
    </w:pPr>
  </w:style>
  <w:style w:type="paragraph" w:styleId="23">
    <w:name w:val="toc 9"/>
    <w:basedOn w:val="1"/>
    <w:next w:val="1"/>
    <w:qFormat/>
    <w:uiPriority w:val="0"/>
    <w:pPr>
      <w:ind w:left="3360" w:leftChars="1600"/>
    </w:p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5">
    <w:name w:val="Title"/>
    <w:basedOn w:val="1"/>
    <w:next w:val="1"/>
    <w:link w:val="38"/>
    <w:qFormat/>
    <w:uiPriority w:val="0"/>
    <w:pPr>
      <w:spacing w:before="240" w:after="60"/>
      <w:jc w:val="center"/>
      <w:outlineLvl w:val="0"/>
    </w:pPr>
    <w:rPr>
      <w:rFonts w:ascii="Cambria" w:hAnsi="Cambria"/>
      <w:b/>
      <w:bCs/>
      <w:sz w:val="32"/>
      <w:szCs w:val="32"/>
    </w:rPr>
  </w:style>
  <w:style w:type="paragraph" w:styleId="26">
    <w:name w:val="annotation subject"/>
    <w:basedOn w:val="6"/>
    <w:next w:val="6"/>
    <w:link w:val="39"/>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b/>
      <w:bCs/>
    </w:rPr>
  </w:style>
  <w:style w:type="character" w:styleId="31">
    <w:name w:val="page number"/>
    <w:qFormat/>
    <w:uiPriority w:val="0"/>
  </w:style>
  <w:style w:type="character" w:styleId="32">
    <w:name w:val="FollowedHyperlink"/>
    <w:qFormat/>
    <w:uiPriority w:val="0"/>
    <w:rPr>
      <w:color w:val="800080"/>
      <w:u w:val="single"/>
    </w:rPr>
  </w:style>
  <w:style w:type="character" w:styleId="33">
    <w:name w:val="Hyperlink"/>
    <w:qFormat/>
    <w:uiPriority w:val="0"/>
    <w:rPr>
      <w:b/>
      <w:color w:val="0000FF"/>
      <w:u w:val="wavyDouble"/>
    </w:rPr>
  </w:style>
  <w:style w:type="character" w:styleId="34">
    <w:name w:val="annotation reference"/>
    <w:qFormat/>
    <w:uiPriority w:val="0"/>
    <w:rPr>
      <w:sz w:val="21"/>
      <w:szCs w:val="21"/>
    </w:rPr>
  </w:style>
  <w:style w:type="character" w:customStyle="1" w:styleId="35">
    <w:name w:val="批注文字 Char"/>
    <w:link w:val="6"/>
    <w:qFormat/>
    <w:uiPriority w:val="0"/>
    <w:rPr>
      <w:kern w:val="2"/>
      <w:sz w:val="21"/>
      <w:lang w:bidi="ar-SA"/>
    </w:rPr>
  </w:style>
  <w:style w:type="character" w:customStyle="1" w:styleId="36">
    <w:name w:val="页脚 Char"/>
    <w:link w:val="15"/>
    <w:qFormat/>
    <w:uiPriority w:val="0"/>
    <w:rPr>
      <w:rFonts w:ascii="宋体" w:eastAsia="宋体"/>
      <w:sz w:val="18"/>
      <w:lang w:val="en-US" w:eastAsia="zh-CN" w:bidi="ar-SA"/>
    </w:rPr>
  </w:style>
  <w:style w:type="character" w:customStyle="1" w:styleId="37">
    <w:name w:val="副标题 Char"/>
    <w:link w:val="19"/>
    <w:qFormat/>
    <w:uiPriority w:val="0"/>
    <w:rPr>
      <w:rFonts w:ascii="Cambria" w:hAnsi="Cambria"/>
      <w:b/>
      <w:bCs/>
      <w:kern w:val="28"/>
      <w:sz w:val="32"/>
      <w:szCs w:val="32"/>
      <w:lang w:bidi="ar-SA"/>
    </w:rPr>
  </w:style>
  <w:style w:type="character" w:customStyle="1" w:styleId="38">
    <w:name w:val="标题 Char"/>
    <w:link w:val="25"/>
    <w:qFormat/>
    <w:uiPriority w:val="0"/>
    <w:rPr>
      <w:rFonts w:ascii="Cambria" w:hAnsi="Cambria"/>
      <w:b/>
      <w:bCs/>
      <w:kern w:val="2"/>
      <w:sz w:val="32"/>
      <w:szCs w:val="32"/>
      <w:lang w:bidi="ar-SA"/>
    </w:rPr>
  </w:style>
  <w:style w:type="character" w:customStyle="1" w:styleId="39">
    <w:name w:val="批注主题 Char"/>
    <w:link w:val="26"/>
    <w:qFormat/>
    <w:uiPriority w:val="0"/>
    <w:rPr>
      <w:b/>
      <w:bCs/>
      <w:kern w:val="2"/>
      <w:sz w:val="21"/>
      <w:lang w:bidi="ar-SA"/>
    </w:rPr>
  </w:style>
  <w:style w:type="character" w:customStyle="1" w:styleId="40">
    <w:name w:val="style2"/>
    <w:qFormat/>
    <w:uiPriority w:val="0"/>
  </w:style>
  <w:style w:type="character" w:customStyle="1" w:styleId="41">
    <w:name w:val="viewthreadtxt"/>
    <w:qFormat/>
    <w:uiPriority w:val="0"/>
  </w:style>
  <w:style w:type="character" w:customStyle="1" w:styleId="42">
    <w:name w:val="模板-表字体（居中） Char"/>
    <w:link w:val="43"/>
    <w:qFormat/>
    <w:locked/>
    <w:uiPriority w:val="0"/>
    <w:rPr>
      <w:rFonts w:ascii="仿宋_GB2312" w:hAnsi="仿宋_GB2312" w:eastAsia="仿宋_GB2312"/>
      <w:color w:val="000000"/>
      <w:kern w:val="2"/>
      <w:sz w:val="18"/>
      <w:lang w:val="en-US" w:eastAsia="zh-CN" w:bidi="ar-SA"/>
    </w:rPr>
  </w:style>
  <w:style w:type="paragraph" w:customStyle="1" w:styleId="43">
    <w:name w:val="模板-表字体（居中）"/>
    <w:basedOn w:val="1"/>
    <w:link w:val="42"/>
    <w:qFormat/>
    <w:uiPriority w:val="0"/>
    <w:pPr>
      <w:autoSpaceDE w:val="0"/>
      <w:autoSpaceDN w:val="0"/>
      <w:adjustRightInd w:val="0"/>
      <w:ind w:right="104"/>
      <w:jc w:val="center"/>
      <w:textAlignment w:val="baseline"/>
    </w:pPr>
    <w:rPr>
      <w:rFonts w:ascii="仿宋_GB2312" w:hAnsi="仿宋_GB2312" w:eastAsia="仿宋_GB2312"/>
      <w:color w:val="000000"/>
      <w:sz w:val="18"/>
    </w:rPr>
  </w:style>
  <w:style w:type="paragraph" w:customStyle="1" w:styleId="44">
    <w:name w:val="WPS Plain"/>
    <w:qFormat/>
    <w:uiPriority w:val="0"/>
    <w:rPr>
      <w:rFonts w:ascii="Times New Roman" w:hAnsi="Times New Roman" w:eastAsia="宋体" w:cs="Times New Roman"/>
      <w:lang w:val="en-US" w:eastAsia="zh-CN" w:bidi="ar-SA"/>
    </w:rPr>
  </w:style>
  <w:style w:type="paragraph" w:customStyle="1" w:styleId="45">
    <w:name w:val="_Style 14"/>
    <w:basedOn w:val="1"/>
    <w:qFormat/>
    <w:uiPriority w:val="0"/>
  </w:style>
  <w:style w:type="paragraph" w:customStyle="1" w:styleId="46">
    <w:name w:val="模板-税费表格内字体居中"/>
    <w:qFormat/>
    <w:uiPriority w:val="0"/>
    <w:pPr>
      <w:widowControl w:val="0"/>
      <w:adjustRightInd w:val="0"/>
      <w:spacing w:before="156" w:line="240" w:lineRule="exact"/>
      <w:jc w:val="center"/>
      <w:textAlignment w:val="baseline"/>
    </w:pPr>
    <w:rPr>
      <w:rFonts w:ascii="宋体" w:hAnsi="宋体" w:eastAsia="宋体" w:cs="微软雅黑"/>
      <w:color w:val="000000"/>
      <w:kern w:val="2"/>
      <w:sz w:val="18"/>
      <w:szCs w:val="18"/>
      <w:lang w:val="en-US" w:eastAsia="zh-CN" w:bidi="ar-SA"/>
    </w:rPr>
  </w:style>
  <w:style w:type="paragraph" w:customStyle="1" w:styleId="47">
    <w:name w:val="0"/>
    <w:basedOn w:val="1"/>
    <w:qFormat/>
    <w:uiPriority w:val="0"/>
    <w:pPr>
      <w:widowControl/>
      <w:jc w:val="left"/>
    </w:pPr>
    <w:rPr>
      <w:kern w:val="0"/>
      <w:sz w:val="20"/>
    </w:rPr>
  </w:style>
  <w:style w:type="paragraph" w:customStyle="1" w:styleId="48">
    <w:name w:val="_Style 16"/>
    <w:basedOn w:val="1"/>
    <w:qFormat/>
    <w:uiPriority w:val="0"/>
  </w:style>
  <w:style w:type="paragraph" w:customStyle="1" w:styleId="49">
    <w:name w:val="默认段落字体 Para Char Char Char Char Char Char Char"/>
    <w:basedOn w:val="1"/>
    <w:qFormat/>
    <w:uiPriority w:val="0"/>
  </w:style>
  <w:style w:type="paragraph" w:styleId="50">
    <w:name w:val="List Paragraph"/>
    <w:basedOn w:val="1"/>
    <w:qFormat/>
    <w:uiPriority w:val="99"/>
    <w:pPr>
      <w:ind w:firstLine="420" w:firstLineChars="200"/>
    </w:pPr>
  </w:style>
  <w:style w:type="paragraph" w:customStyle="1" w:styleId="51">
    <w:name w:val="WPSOffice手动目录 1"/>
    <w:qFormat/>
    <w:uiPriority w:val="0"/>
    <w:rPr>
      <w:rFonts w:ascii="Times New Roman" w:hAnsi="Times New Roman" w:eastAsia="宋体" w:cs="Times New Roman"/>
      <w:lang w:val="en-US" w:eastAsia="zh-CN" w:bidi="ar-SA"/>
    </w:rPr>
  </w:style>
  <w:style w:type="character" w:customStyle="1" w:styleId="52">
    <w:name w:val="页眉 Char"/>
    <w:basedOn w:val="29"/>
    <w:link w:val="16"/>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numbering" Target="numbering.xml"/><Relationship Id="rId24" Type="http://schemas.openxmlformats.org/officeDocument/2006/relationships/theme" Target="theme/theme1.xml"/><Relationship Id="rId23" Type="http://schemas.openxmlformats.org/officeDocument/2006/relationships/footer" Target="footer4.xml"/><Relationship Id="rId22" Type="http://schemas.openxmlformats.org/officeDocument/2006/relationships/header" Target="header17.xml"/><Relationship Id="rId21" Type="http://schemas.openxmlformats.org/officeDocument/2006/relationships/header" Target="header16.xml"/><Relationship Id="rId20" Type="http://schemas.openxmlformats.org/officeDocument/2006/relationships/footer" Target="footer3.xml"/><Relationship Id="rId2" Type="http://schemas.openxmlformats.org/officeDocument/2006/relationships/settings" Target="settings.xml"/><Relationship Id="rId19" Type="http://schemas.openxmlformats.org/officeDocument/2006/relationships/header" Target="header15.xml"/><Relationship Id="rId18" Type="http://schemas.openxmlformats.org/officeDocument/2006/relationships/header" Target="header14.xml"/><Relationship Id="rId17" Type="http://schemas.openxmlformats.org/officeDocument/2006/relationships/header" Target="header13.xml"/><Relationship Id="rId16" Type="http://schemas.openxmlformats.org/officeDocument/2006/relationships/header" Target="header12.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A1399-A970-4876-85C6-6E7F9AEBE905}">
  <ds:schemaRefs/>
</ds:datastoreItem>
</file>

<file path=docProps/app.xml><?xml version="1.0" encoding="utf-8"?>
<Properties xmlns="http://schemas.openxmlformats.org/officeDocument/2006/extended-properties" xmlns:vt="http://schemas.openxmlformats.org/officeDocument/2006/docPropsVTypes">
  <Template>Normal</Template>
  <Company>www.jujumao.org</Company>
  <Pages>23</Pages>
  <Words>9535</Words>
  <Characters>10512</Characters>
  <Lines>212</Lines>
  <Paragraphs>59</Paragraphs>
  <TotalTime>2</TotalTime>
  <ScaleCrop>false</ScaleCrop>
  <LinksUpToDate>false</LinksUpToDate>
  <CharactersWithSpaces>11262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2022-06-14T01:45:00Z</dcterms:created>
  <dc:creator>徐刚</dc:creator>
  <cp:lastModifiedBy>王瑞</cp:lastModifiedBy>
  <cp:lastPrinted>2022-08-08T01:53:00Z</cp:lastPrinted>
  <dcterms:modified xsi:type="dcterms:W3CDTF">2022-08-08T06:47:02Z</dcterms:modified>
  <dc:subject>宁夏大众工贸有限公司银平公路东侧商业用途宗地国有土地使用权抵押评估</dc:subject>
  <dc:title>土 地 估 价 报 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79B80A596A72411BAB906B678A769C36</vt:lpwstr>
  </property>
</Properties>
</file>