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7C2432" w14:textId="77777777" w:rsidR="00EF6A0E" w:rsidRDefault="00EF6A0E">
      <w:pPr>
        <w:jc w:val="center"/>
        <w:rPr>
          <w:rFonts w:ascii="楷体" w:eastAsia="楷体" w:hAnsi="楷体" w:cs="楷体"/>
          <w:b/>
          <w:sz w:val="52"/>
          <w:szCs w:val="52"/>
        </w:rPr>
      </w:pPr>
    </w:p>
    <w:p w14:paraId="1B8545CB" w14:textId="77777777" w:rsidR="00EF6A0E" w:rsidRDefault="00000000">
      <w:pPr>
        <w:jc w:val="center"/>
        <w:rPr>
          <w:rFonts w:ascii="宋体" w:hAnsi="宋体" w:cs="宋体"/>
          <w:b/>
          <w:sz w:val="56"/>
          <w:szCs w:val="56"/>
        </w:rPr>
      </w:pPr>
      <w:r>
        <w:rPr>
          <w:rFonts w:ascii="华文中宋" w:eastAsia="华文中宋" w:hAnsi="华文中宋" w:cs="华文中宋" w:hint="eastAsia"/>
          <w:b/>
          <w:sz w:val="56"/>
          <w:szCs w:val="56"/>
        </w:rPr>
        <w:t>涉执房地产处置司法估价报告</w:t>
      </w:r>
    </w:p>
    <w:p w14:paraId="62D335FD" w14:textId="77777777" w:rsidR="00EF6A0E" w:rsidRDefault="00EF6A0E">
      <w:pPr>
        <w:jc w:val="center"/>
        <w:rPr>
          <w:rFonts w:ascii="仿宋" w:eastAsia="仿宋" w:hAnsi="仿宋" w:cs="仿宋"/>
          <w:b/>
          <w:sz w:val="52"/>
          <w:szCs w:val="52"/>
        </w:rPr>
      </w:pPr>
    </w:p>
    <w:p w14:paraId="5BCB226B" w14:textId="77777777" w:rsidR="00EF6A0E" w:rsidRDefault="00EF6A0E">
      <w:pPr>
        <w:jc w:val="center"/>
        <w:rPr>
          <w:rFonts w:ascii="仿宋" w:eastAsia="仿宋" w:hAnsi="仿宋" w:cs="仿宋"/>
          <w:b/>
          <w:sz w:val="52"/>
          <w:szCs w:val="52"/>
        </w:rPr>
      </w:pPr>
    </w:p>
    <w:p w14:paraId="1AF45836" w14:textId="77777777" w:rsidR="00EF6A0E" w:rsidRDefault="00EF6A0E">
      <w:pPr>
        <w:jc w:val="center"/>
        <w:rPr>
          <w:rFonts w:ascii="仿宋" w:eastAsia="仿宋" w:hAnsi="仿宋" w:cs="仿宋"/>
          <w:b/>
          <w:sz w:val="52"/>
          <w:szCs w:val="52"/>
        </w:rPr>
      </w:pPr>
    </w:p>
    <w:p w14:paraId="2AE8D454" w14:textId="77777777" w:rsidR="00EF6A0E" w:rsidRDefault="00EF6A0E">
      <w:pPr>
        <w:jc w:val="center"/>
        <w:rPr>
          <w:rFonts w:ascii="仿宋" w:eastAsia="仿宋" w:hAnsi="仿宋" w:cs="仿宋"/>
          <w:b/>
          <w:sz w:val="52"/>
          <w:szCs w:val="52"/>
        </w:rPr>
      </w:pPr>
    </w:p>
    <w:p w14:paraId="412663A5" w14:textId="01BAFA69" w:rsidR="00EF6A0E" w:rsidRDefault="00000000">
      <w:pPr>
        <w:spacing w:beforeLines="100" w:before="312"/>
        <w:jc w:val="left"/>
        <w:rPr>
          <w:rFonts w:ascii="仿宋" w:eastAsia="仿宋" w:hAnsi="仿宋" w:cs="仿宋"/>
          <w:bCs/>
          <w:color w:val="000000"/>
          <w:sz w:val="28"/>
          <w:szCs w:val="28"/>
        </w:rPr>
      </w:pPr>
      <w:r>
        <w:rPr>
          <w:rFonts w:ascii="仿宋" w:eastAsia="仿宋" w:hAnsi="仿宋" w:cs="仿宋" w:hint="eastAsia"/>
          <w:b/>
          <w:sz w:val="28"/>
          <w:szCs w:val="28"/>
        </w:rPr>
        <w:t>估价报告编号：</w:t>
      </w:r>
      <w:r>
        <w:rPr>
          <w:rFonts w:ascii="仿宋" w:eastAsia="仿宋" w:hAnsi="仿宋" w:cs="仿宋" w:hint="eastAsia"/>
          <w:bCs/>
          <w:sz w:val="28"/>
          <w:szCs w:val="28"/>
        </w:rPr>
        <w:t>黔昊远房估字（2022）</w:t>
      </w:r>
      <w:r w:rsidR="00CF7FA3">
        <w:rPr>
          <w:rFonts w:ascii="仿宋" w:eastAsia="仿宋" w:hAnsi="仿宋" w:cs="仿宋" w:hint="eastAsia"/>
          <w:bCs/>
          <w:sz w:val="28"/>
          <w:szCs w:val="28"/>
        </w:rPr>
        <w:t>第</w:t>
      </w:r>
      <w:r w:rsidR="00571C34">
        <w:rPr>
          <w:rFonts w:ascii="仿宋" w:eastAsia="仿宋" w:hAnsi="仿宋" w:cs="仿宋" w:hint="eastAsia"/>
          <w:bCs/>
          <w:sz w:val="28"/>
          <w:szCs w:val="28"/>
        </w:rPr>
        <w:t>0</w:t>
      </w:r>
      <w:r w:rsidR="00571C34">
        <w:rPr>
          <w:rFonts w:ascii="仿宋" w:eastAsia="仿宋" w:hAnsi="仿宋" w:cs="仿宋"/>
          <w:bCs/>
          <w:sz w:val="28"/>
          <w:szCs w:val="28"/>
        </w:rPr>
        <w:t>7013</w:t>
      </w:r>
      <w:r>
        <w:rPr>
          <w:rFonts w:ascii="仿宋" w:eastAsia="仿宋" w:hAnsi="仿宋" w:cs="仿宋" w:hint="eastAsia"/>
          <w:bCs/>
          <w:sz w:val="28"/>
          <w:szCs w:val="28"/>
        </w:rPr>
        <w:t>号</w:t>
      </w:r>
    </w:p>
    <w:p w14:paraId="78C99591" w14:textId="24FD897E" w:rsidR="00EF6A0E" w:rsidRDefault="00000000">
      <w:pPr>
        <w:spacing w:beforeLines="100" w:before="312"/>
        <w:ind w:left="1940" w:hangingChars="690" w:hanging="1940"/>
        <w:jc w:val="left"/>
        <w:rPr>
          <w:rFonts w:eastAsia="仿宋"/>
          <w:b/>
          <w:sz w:val="28"/>
          <w:szCs w:val="28"/>
        </w:rPr>
      </w:pPr>
      <w:r>
        <w:rPr>
          <w:rFonts w:ascii="仿宋" w:eastAsia="仿宋" w:hAnsi="仿宋" w:cs="仿宋" w:hint="eastAsia"/>
          <w:b/>
          <w:sz w:val="28"/>
          <w:szCs w:val="28"/>
        </w:rPr>
        <w:t>估价项目名称：</w:t>
      </w:r>
      <w:r w:rsidR="00A10557">
        <w:rPr>
          <w:rFonts w:eastAsia="仿宋" w:hint="eastAsia"/>
          <w:bCs/>
          <w:sz w:val="28"/>
          <w:szCs w:val="28"/>
        </w:rPr>
        <w:t>贵州省兴仁市东湖街道办事处长兴路西南侧</w:t>
      </w:r>
      <w:r w:rsidR="008F3E6C">
        <w:rPr>
          <w:rFonts w:eastAsia="仿宋" w:hint="eastAsia"/>
          <w:bCs/>
          <w:sz w:val="28"/>
          <w:szCs w:val="28"/>
        </w:rPr>
        <w:t>玉清苑小区</w:t>
      </w:r>
      <w:r w:rsidR="00B62EE8">
        <w:rPr>
          <w:rFonts w:eastAsia="仿宋" w:hint="eastAsia"/>
          <w:bCs/>
          <w:sz w:val="28"/>
          <w:szCs w:val="28"/>
        </w:rPr>
        <w:t>4</w:t>
      </w:r>
      <w:r w:rsidR="00B62EE8">
        <w:rPr>
          <w:rFonts w:eastAsia="仿宋" w:hint="eastAsia"/>
          <w:bCs/>
          <w:sz w:val="28"/>
          <w:szCs w:val="28"/>
        </w:rPr>
        <w:t>栋</w:t>
      </w:r>
      <w:r w:rsidR="00B62EE8">
        <w:rPr>
          <w:rFonts w:eastAsia="仿宋" w:hint="eastAsia"/>
          <w:bCs/>
          <w:sz w:val="28"/>
          <w:szCs w:val="28"/>
        </w:rPr>
        <w:t>1</w:t>
      </w:r>
      <w:r w:rsidR="00B62EE8">
        <w:rPr>
          <w:rFonts w:eastAsia="仿宋" w:hint="eastAsia"/>
          <w:bCs/>
          <w:sz w:val="28"/>
          <w:szCs w:val="28"/>
        </w:rPr>
        <w:t>单元</w:t>
      </w:r>
      <w:r w:rsidR="00B62EE8">
        <w:rPr>
          <w:rFonts w:eastAsia="仿宋" w:hint="eastAsia"/>
          <w:bCs/>
          <w:sz w:val="28"/>
          <w:szCs w:val="28"/>
        </w:rPr>
        <w:t>1</w:t>
      </w:r>
      <w:r w:rsidR="00B62EE8">
        <w:rPr>
          <w:rFonts w:eastAsia="仿宋"/>
          <w:bCs/>
          <w:sz w:val="28"/>
          <w:szCs w:val="28"/>
        </w:rPr>
        <w:t>-4-</w:t>
      </w:r>
      <w:r w:rsidR="00B62EE8">
        <w:rPr>
          <w:rFonts w:eastAsia="仿宋" w:hint="eastAsia"/>
          <w:bCs/>
          <w:sz w:val="28"/>
          <w:szCs w:val="28"/>
        </w:rPr>
        <w:t>B</w:t>
      </w:r>
      <w:r>
        <w:rPr>
          <w:rFonts w:eastAsia="仿宋"/>
          <w:bCs/>
          <w:sz w:val="28"/>
          <w:szCs w:val="28"/>
        </w:rPr>
        <w:t>房地产市场价值评估</w:t>
      </w:r>
    </w:p>
    <w:p w14:paraId="687BD9B4" w14:textId="621741B5" w:rsidR="00EF6A0E" w:rsidRDefault="00000000">
      <w:pPr>
        <w:spacing w:beforeLines="100" w:before="312"/>
        <w:jc w:val="left"/>
        <w:rPr>
          <w:rFonts w:ascii="仿宋" w:eastAsia="仿宋" w:hAnsi="仿宋" w:cs="仿宋"/>
          <w:b/>
          <w:sz w:val="28"/>
          <w:szCs w:val="28"/>
        </w:rPr>
      </w:pPr>
      <w:r>
        <w:rPr>
          <w:rFonts w:ascii="仿宋" w:eastAsia="仿宋" w:hAnsi="仿宋" w:cs="仿宋" w:hint="eastAsia"/>
          <w:b/>
          <w:sz w:val="28"/>
          <w:szCs w:val="28"/>
        </w:rPr>
        <w:t>估价委托人：</w:t>
      </w:r>
      <w:r w:rsidR="00A10557">
        <w:rPr>
          <w:rFonts w:ascii="仿宋" w:eastAsia="仿宋" w:hAnsi="仿宋" w:cs="仿宋" w:hint="eastAsia"/>
          <w:bCs/>
          <w:sz w:val="28"/>
          <w:szCs w:val="28"/>
        </w:rPr>
        <w:t>兴仁市人民法院</w:t>
      </w:r>
    </w:p>
    <w:p w14:paraId="725BBC4F" w14:textId="77777777" w:rsidR="00EF6A0E" w:rsidRDefault="00000000">
      <w:pPr>
        <w:spacing w:beforeLines="100" w:before="312"/>
        <w:jc w:val="left"/>
        <w:rPr>
          <w:rFonts w:ascii="仿宋" w:eastAsia="仿宋" w:hAnsi="仿宋" w:cs="仿宋"/>
          <w:b/>
          <w:sz w:val="28"/>
          <w:szCs w:val="28"/>
        </w:rPr>
      </w:pPr>
      <w:r>
        <w:rPr>
          <w:rFonts w:ascii="仿宋" w:eastAsia="仿宋" w:hAnsi="仿宋" w:cs="仿宋" w:hint="eastAsia"/>
          <w:b/>
          <w:sz w:val="28"/>
          <w:szCs w:val="28"/>
        </w:rPr>
        <w:t>房地产估价机构：</w:t>
      </w:r>
      <w:r>
        <w:rPr>
          <w:rFonts w:ascii="仿宋" w:eastAsia="仿宋" w:hAnsi="仿宋" w:cs="仿宋" w:hint="eastAsia"/>
          <w:bCs/>
          <w:sz w:val="28"/>
          <w:szCs w:val="28"/>
        </w:rPr>
        <w:t>贵州昊远房地产土地评估有限公司</w:t>
      </w:r>
    </w:p>
    <w:p w14:paraId="44540E72" w14:textId="77777777" w:rsidR="00EF6A0E" w:rsidRDefault="00000000">
      <w:pPr>
        <w:spacing w:beforeLines="100" w:before="312"/>
        <w:jc w:val="left"/>
        <w:rPr>
          <w:rFonts w:ascii="仿宋" w:eastAsia="仿宋" w:hAnsi="仿宋" w:cs="仿宋"/>
          <w:bCs/>
          <w:sz w:val="28"/>
          <w:szCs w:val="28"/>
        </w:rPr>
      </w:pPr>
      <w:r>
        <w:rPr>
          <w:rFonts w:ascii="仿宋" w:eastAsia="仿宋" w:hAnsi="仿宋" w:cs="仿宋" w:hint="eastAsia"/>
          <w:b/>
          <w:sz w:val="28"/>
          <w:szCs w:val="28"/>
        </w:rPr>
        <w:t>注册房地产估价师：</w:t>
      </w:r>
      <w:r>
        <w:rPr>
          <w:rFonts w:ascii="仿宋" w:eastAsia="仿宋" w:hAnsi="仿宋" w:cs="仿宋" w:hint="eastAsia"/>
          <w:bCs/>
          <w:sz w:val="28"/>
          <w:szCs w:val="28"/>
        </w:rPr>
        <w:t>覃  剑（注册号：</w:t>
      </w:r>
      <w:r>
        <w:rPr>
          <w:rFonts w:eastAsia="仿宋_GB2312" w:hint="eastAsia"/>
          <w:bCs/>
          <w:color w:val="000000"/>
          <w:sz w:val="28"/>
          <w:szCs w:val="28"/>
        </w:rPr>
        <w:t>5220040052</w:t>
      </w:r>
      <w:r>
        <w:rPr>
          <w:rFonts w:ascii="仿宋" w:eastAsia="仿宋" w:hAnsi="仿宋" w:cs="仿宋" w:hint="eastAsia"/>
          <w:bCs/>
          <w:sz w:val="28"/>
          <w:szCs w:val="28"/>
        </w:rPr>
        <w:t>）  杨青钢（注册号：</w:t>
      </w:r>
      <w:r>
        <w:rPr>
          <w:rFonts w:eastAsia="仿宋_GB2312" w:hint="eastAsia"/>
          <w:bCs/>
          <w:color w:val="000000"/>
          <w:sz w:val="28"/>
          <w:szCs w:val="28"/>
        </w:rPr>
        <w:t>5220200026</w:t>
      </w:r>
      <w:r>
        <w:rPr>
          <w:rFonts w:ascii="仿宋" w:eastAsia="仿宋" w:hAnsi="仿宋" w:cs="仿宋" w:hint="eastAsia"/>
          <w:bCs/>
          <w:sz w:val="28"/>
          <w:szCs w:val="28"/>
        </w:rPr>
        <w:t>）</w:t>
      </w:r>
    </w:p>
    <w:p w14:paraId="67BB0D0B" w14:textId="1414E10A" w:rsidR="00EF6A0E" w:rsidRDefault="00000000">
      <w:pPr>
        <w:spacing w:beforeLines="100" w:before="312"/>
        <w:jc w:val="left"/>
        <w:rPr>
          <w:rFonts w:eastAsia="仿宋_GB2312"/>
          <w:b/>
          <w:bCs/>
          <w:color w:val="000000"/>
          <w:sz w:val="26"/>
          <w:szCs w:val="26"/>
        </w:rPr>
      </w:pPr>
      <w:r>
        <w:rPr>
          <w:rFonts w:ascii="仿宋" w:eastAsia="仿宋" w:hAnsi="仿宋" w:cs="仿宋" w:hint="eastAsia"/>
          <w:b/>
          <w:sz w:val="28"/>
          <w:szCs w:val="28"/>
        </w:rPr>
        <w:t>估价报告出具日期：</w:t>
      </w:r>
      <w:r>
        <w:rPr>
          <w:rFonts w:eastAsia="仿宋_GB2312" w:hint="eastAsia"/>
          <w:color w:val="000000"/>
          <w:sz w:val="28"/>
          <w:szCs w:val="28"/>
        </w:rPr>
        <w:t>2022</w:t>
      </w:r>
      <w:r>
        <w:rPr>
          <w:rFonts w:eastAsia="仿宋_GB2312" w:hint="eastAsia"/>
          <w:color w:val="000000"/>
          <w:sz w:val="28"/>
          <w:szCs w:val="28"/>
        </w:rPr>
        <w:t>年</w:t>
      </w:r>
      <w:r>
        <w:rPr>
          <w:rFonts w:eastAsia="仿宋_GB2312" w:hint="eastAsia"/>
          <w:color w:val="000000"/>
          <w:sz w:val="28"/>
          <w:szCs w:val="28"/>
        </w:rPr>
        <w:t>0</w:t>
      </w:r>
      <w:r w:rsidR="00571C34">
        <w:rPr>
          <w:rFonts w:eastAsia="仿宋_GB2312"/>
          <w:color w:val="000000"/>
          <w:sz w:val="28"/>
          <w:szCs w:val="28"/>
        </w:rPr>
        <w:t>7</w:t>
      </w:r>
      <w:r>
        <w:rPr>
          <w:rFonts w:eastAsia="仿宋_GB2312" w:hint="eastAsia"/>
          <w:color w:val="000000"/>
          <w:sz w:val="28"/>
          <w:szCs w:val="28"/>
        </w:rPr>
        <w:t>月</w:t>
      </w:r>
      <w:r w:rsidR="00571C34">
        <w:rPr>
          <w:rFonts w:eastAsia="仿宋_GB2312" w:hint="eastAsia"/>
          <w:color w:val="000000"/>
          <w:sz w:val="28"/>
          <w:szCs w:val="28"/>
        </w:rPr>
        <w:t>1</w:t>
      </w:r>
      <w:r w:rsidR="00571C34">
        <w:rPr>
          <w:rFonts w:eastAsia="仿宋_GB2312"/>
          <w:color w:val="000000"/>
          <w:sz w:val="28"/>
          <w:szCs w:val="28"/>
        </w:rPr>
        <w:t>1</w:t>
      </w:r>
      <w:r>
        <w:rPr>
          <w:rFonts w:eastAsia="仿宋_GB2312" w:hint="eastAsia"/>
          <w:color w:val="000000"/>
          <w:sz w:val="28"/>
          <w:szCs w:val="28"/>
        </w:rPr>
        <w:t>日</w:t>
      </w:r>
    </w:p>
    <w:p w14:paraId="0DF052D7" w14:textId="77777777" w:rsidR="00EF6A0E" w:rsidRDefault="00EF6A0E">
      <w:pPr>
        <w:jc w:val="center"/>
        <w:rPr>
          <w:rFonts w:ascii="仿宋" w:eastAsia="仿宋" w:hAnsi="仿宋" w:cs="仿宋"/>
          <w:b/>
          <w:sz w:val="28"/>
          <w:szCs w:val="28"/>
        </w:rPr>
      </w:pPr>
    </w:p>
    <w:p w14:paraId="57A6AE89" w14:textId="77777777" w:rsidR="00EF6A0E" w:rsidRDefault="00EF6A0E">
      <w:pPr>
        <w:spacing w:line="360" w:lineRule="auto"/>
        <w:jc w:val="left"/>
        <w:rPr>
          <w:rFonts w:ascii="仿宋" w:eastAsia="仿宋" w:hAnsi="仿宋" w:cs="仿宋"/>
          <w:b/>
          <w:sz w:val="28"/>
          <w:szCs w:val="28"/>
        </w:rPr>
        <w:sectPr w:rsidR="00EF6A0E">
          <w:headerReference w:type="default" r:id="rId9"/>
          <w:footerReference w:type="default" r:id="rId10"/>
          <w:endnotePr>
            <w:numFmt w:val="decimal"/>
          </w:endnotePr>
          <w:pgSz w:w="11906" w:h="16838"/>
          <w:pgMar w:top="1440" w:right="1080" w:bottom="1440" w:left="1080" w:header="851" w:footer="992" w:gutter="0"/>
          <w:pgNumType w:chapStyle="1"/>
          <w:cols w:space="720"/>
          <w:docGrid w:type="lines" w:linePitch="312"/>
        </w:sectPr>
      </w:pPr>
    </w:p>
    <w:p w14:paraId="3082B2F5" w14:textId="77777777" w:rsidR="00EF6A0E" w:rsidRDefault="00000000">
      <w:pPr>
        <w:jc w:val="center"/>
        <w:rPr>
          <w:rFonts w:ascii="仿宋" w:eastAsia="仿宋" w:hAnsi="仿宋" w:cs="仿宋"/>
          <w:b/>
          <w:sz w:val="52"/>
          <w:szCs w:val="52"/>
        </w:rPr>
      </w:pPr>
      <w:r>
        <w:rPr>
          <w:rFonts w:ascii="仿宋" w:eastAsia="仿宋" w:hAnsi="仿宋" w:cs="仿宋" w:hint="eastAsia"/>
          <w:b/>
          <w:sz w:val="52"/>
          <w:szCs w:val="52"/>
        </w:rPr>
        <w:lastRenderedPageBreak/>
        <w:t>致估价委托人函</w:t>
      </w:r>
    </w:p>
    <w:p w14:paraId="21183E24" w14:textId="1A44E433" w:rsidR="00EF6A0E" w:rsidRDefault="00A10557">
      <w:pPr>
        <w:spacing w:beforeLines="100" w:before="312" w:line="460" w:lineRule="exact"/>
        <w:jc w:val="left"/>
        <w:rPr>
          <w:rFonts w:ascii="仿宋" w:eastAsia="仿宋" w:hAnsi="仿宋" w:cs="仿宋"/>
          <w:bCs/>
          <w:color w:val="0000FF"/>
          <w:sz w:val="24"/>
        </w:rPr>
      </w:pPr>
      <w:r>
        <w:rPr>
          <w:rFonts w:ascii="仿宋" w:eastAsia="仿宋" w:hAnsi="仿宋" w:cs="仿宋" w:hint="eastAsia"/>
          <w:b/>
          <w:sz w:val="28"/>
          <w:szCs w:val="28"/>
        </w:rPr>
        <w:t>兴仁市人民法院：</w:t>
      </w:r>
      <w:r>
        <w:rPr>
          <w:rFonts w:ascii="仿宋" w:eastAsia="仿宋" w:hAnsi="仿宋" w:cs="仿宋" w:hint="eastAsia"/>
          <w:bCs/>
          <w:color w:val="0000FF"/>
          <w:sz w:val="24"/>
        </w:rPr>
        <w:t xml:space="preserve">  </w:t>
      </w:r>
    </w:p>
    <w:p w14:paraId="3A14BC73" w14:textId="42B2F7C1" w:rsidR="00EF6A0E" w:rsidRDefault="00000000">
      <w:pPr>
        <w:spacing w:beforeLines="100" w:before="312" w:line="440" w:lineRule="exact"/>
        <w:ind w:rightChars="80" w:right="168" w:firstLineChars="200" w:firstLine="520"/>
        <w:jc w:val="left"/>
        <w:rPr>
          <w:rFonts w:eastAsia="仿宋_GB2312"/>
          <w:color w:val="000000"/>
          <w:sz w:val="26"/>
          <w:szCs w:val="26"/>
        </w:rPr>
      </w:pPr>
      <w:r>
        <w:rPr>
          <w:rFonts w:eastAsia="仿宋_GB2312" w:hint="eastAsia"/>
          <w:color w:val="000000"/>
          <w:sz w:val="26"/>
          <w:szCs w:val="26"/>
        </w:rPr>
        <w:t>受贵院的委托，我公司对贵院委托的位于</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成套住宅用途房地产（权利人为：</w:t>
      </w:r>
      <w:r w:rsidR="0013644A">
        <w:rPr>
          <w:rFonts w:eastAsia="仿宋_GB2312" w:hint="eastAsia"/>
          <w:color w:val="000000"/>
          <w:sz w:val="26"/>
          <w:szCs w:val="26"/>
        </w:rPr>
        <w:t>马尤林</w:t>
      </w:r>
      <w:r>
        <w:rPr>
          <w:rFonts w:eastAsia="仿宋_GB2312" w:hint="eastAsia"/>
          <w:color w:val="000000"/>
          <w:sz w:val="26"/>
          <w:szCs w:val="26"/>
        </w:rPr>
        <w:t>，建筑面积</w:t>
      </w:r>
      <w:r w:rsidR="0013644A">
        <w:rPr>
          <w:rFonts w:eastAsia="仿宋_GB2312" w:hint="eastAsia"/>
          <w:color w:val="000000"/>
          <w:sz w:val="26"/>
          <w:szCs w:val="26"/>
        </w:rPr>
        <w:t>118.78</w:t>
      </w:r>
      <w:r>
        <w:rPr>
          <w:rFonts w:eastAsia="仿宋_GB2312" w:hint="eastAsia"/>
          <w:color w:val="000000"/>
          <w:sz w:val="26"/>
          <w:szCs w:val="26"/>
        </w:rPr>
        <w:t>平方米）进行估价；</w:t>
      </w:r>
      <w:r>
        <w:rPr>
          <w:rFonts w:eastAsia="仿宋_GB2312" w:hint="eastAsia"/>
          <w:sz w:val="26"/>
          <w:szCs w:val="26"/>
        </w:rPr>
        <w:t>本次估价包含房屋价值、相应分摊的土地使用权价值、不可分离的设施设备及装修价值</w:t>
      </w:r>
      <w:r>
        <w:rPr>
          <w:rFonts w:eastAsia="仿宋_GB2312" w:hint="eastAsia"/>
          <w:color w:val="000000"/>
          <w:sz w:val="26"/>
          <w:szCs w:val="26"/>
        </w:rPr>
        <w:t>，</w:t>
      </w:r>
      <w:r>
        <w:rPr>
          <w:rFonts w:eastAsia="仿宋_GB2312" w:hint="eastAsia"/>
          <w:sz w:val="26"/>
          <w:szCs w:val="26"/>
        </w:rPr>
        <w:t>但不包括室内可移动物品、设备等动产以及估价对象所涉及的债权债务等其他财产或权益</w:t>
      </w:r>
      <w:r>
        <w:rPr>
          <w:rFonts w:eastAsia="仿宋_GB2312" w:hint="eastAsia"/>
          <w:color w:val="000000"/>
          <w:sz w:val="26"/>
          <w:szCs w:val="26"/>
        </w:rPr>
        <w:t>；估价目的是为人民法院确定财产处置参考价提供参考依据而评估房地产市场价值；价值时点为</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w:t>
      </w:r>
    </w:p>
    <w:p w14:paraId="488E6BA8" w14:textId="40EEB02C" w:rsidR="00EF6A0E" w:rsidRDefault="008A08E1">
      <w:pPr>
        <w:spacing w:line="400" w:lineRule="exact"/>
        <w:ind w:firstLineChars="200" w:firstLine="520"/>
        <w:jc w:val="left"/>
        <w:rPr>
          <w:rFonts w:eastAsia="仿宋_GB2312"/>
          <w:color w:val="000000" w:themeColor="text1"/>
          <w:sz w:val="26"/>
          <w:szCs w:val="26"/>
        </w:rPr>
      </w:pPr>
      <w:r>
        <w:rPr>
          <w:rFonts w:eastAsia="仿宋_GB2312"/>
          <w:noProof/>
          <w:sz w:val="26"/>
          <w:szCs w:val="26"/>
        </w:rPr>
        <mc:AlternateContent>
          <mc:Choice Requires="wps">
            <w:drawing>
              <wp:anchor distT="0" distB="0" distL="114300" distR="114300" simplePos="0" relativeHeight="251660288" behindDoc="0" locked="0" layoutInCell="1" allowOverlap="1" wp14:anchorId="1FE956E3" wp14:editId="4D5490A5">
                <wp:simplePos x="0" y="0"/>
                <wp:positionH relativeFrom="column">
                  <wp:posOffset>88490</wp:posOffset>
                </wp:positionH>
                <wp:positionV relativeFrom="paragraph">
                  <wp:posOffset>2685231</wp:posOffset>
                </wp:positionV>
                <wp:extent cx="3613355" cy="338598"/>
                <wp:effectExtent l="0" t="0" r="25400" b="23495"/>
                <wp:wrapNone/>
                <wp:docPr id="3" name="直接连接符 3"/>
                <wp:cNvGraphicFramePr/>
                <a:graphic xmlns:a="http://schemas.openxmlformats.org/drawingml/2006/main">
                  <a:graphicData uri="http://schemas.microsoft.com/office/word/2010/wordprocessingShape">
                    <wps:wsp>
                      <wps:cNvCnPr/>
                      <wps:spPr>
                        <a:xfrm flipH="1">
                          <a:off x="0" y="0"/>
                          <a:ext cx="3613355" cy="3385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AD108" id="直接连接符 3"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11.45pt" to="291.4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" strokecolor="#4579b8 [3044]"/>
            </w:pict>
          </mc:Fallback>
        </mc:AlternateContent>
      </w:r>
      <w:r>
        <w:rPr>
          <w:rFonts w:eastAsia="仿宋_GB2312"/>
          <w:sz w:val="26"/>
          <w:szCs w:val="26"/>
        </w:rPr>
        <w:t>估价人员根据估价目的，经过市场调查和实地查勘，依据《房地产估价规范》</w:t>
      </w:r>
      <w:r>
        <w:rPr>
          <w:rFonts w:eastAsia="仿宋_GB2312" w:hint="eastAsia"/>
          <w:sz w:val="26"/>
          <w:szCs w:val="26"/>
        </w:rPr>
        <w:t>（</w:t>
      </w:r>
      <w:r>
        <w:rPr>
          <w:rFonts w:eastAsia="仿宋_GB2312" w:hint="eastAsia"/>
          <w:sz w:val="26"/>
          <w:szCs w:val="26"/>
        </w:rPr>
        <w:t>GB/T 50291</w:t>
      </w:r>
      <w:r>
        <w:rPr>
          <w:rFonts w:eastAsia="仿宋_GB2312" w:hint="eastAsia"/>
          <w:sz w:val="26"/>
          <w:szCs w:val="26"/>
        </w:rPr>
        <w:t>—</w:t>
      </w:r>
      <w:r>
        <w:rPr>
          <w:rFonts w:eastAsia="仿宋_GB2312" w:hint="eastAsia"/>
          <w:sz w:val="26"/>
          <w:szCs w:val="26"/>
        </w:rPr>
        <w:t>2015</w:t>
      </w:r>
      <w:r>
        <w:rPr>
          <w:rFonts w:eastAsia="仿宋_GB2312" w:hint="eastAsia"/>
          <w:sz w:val="26"/>
          <w:szCs w:val="26"/>
        </w:rPr>
        <w:t>）</w:t>
      </w:r>
      <w:r>
        <w:rPr>
          <w:rFonts w:eastAsia="仿宋_GB2312"/>
          <w:sz w:val="26"/>
          <w:szCs w:val="26"/>
        </w:rPr>
        <w:t>、</w:t>
      </w:r>
      <w:r>
        <w:rPr>
          <w:rFonts w:eastAsia="仿宋_GB2312" w:hint="eastAsia"/>
          <w:sz w:val="26"/>
          <w:szCs w:val="26"/>
        </w:rPr>
        <w:t>《房地产估价基本术语标准》（</w:t>
      </w:r>
      <w:r>
        <w:rPr>
          <w:rFonts w:eastAsia="仿宋_GB2312" w:hint="eastAsia"/>
          <w:sz w:val="26"/>
          <w:szCs w:val="26"/>
        </w:rPr>
        <w:t>GB/T 50899</w:t>
      </w:r>
      <w:r>
        <w:rPr>
          <w:rFonts w:eastAsia="仿宋_GB2312" w:hint="eastAsia"/>
          <w:sz w:val="26"/>
          <w:szCs w:val="26"/>
        </w:rPr>
        <w:t>—</w:t>
      </w:r>
      <w:r>
        <w:rPr>
          <w:rFonts w:eastAsia="仿宋_GB2312" w:hint="eastAsia"/>
          <w:sz w:val="26"/>
          <w:szCs w:val="26"/>
        </w:rPr>
        <w:t>2013</w:t>
      </w:r>
      <w:r>
        <w:rPr>
          <w:rFonts w:eastAsia="仿宋_GB2312" w:hint="eastAsia"/>
          <w:sz w:val="26"/>
          <w:szCs w:val="26"/>
        </w:rPr>
        <w:t>）、</w:t>
      </w:r>
      <w:r>
        <w:rPr>
          <w:rFonts w:eastAsia="仿宋_GB2312"/>
          <w:sz w:val="26"/>
          <w:szCs w:val="26"/>
        </w:rPr>
        <w:t>《最高人民法院关于人民法院确定财产处置参考价若干问题的规定</w:t>
      </w:r>
      <w:r>
        <w:rPr>
          <w:rFonts w:eastAsia="仿宋_GB2312"/>
          <w:sz w:val="26"/>
          <w:szCs w:val="26"/>
        </w:rPr>
        <w:t xml:space="preserve"> </w:t>
      </w:r>
      <w:r>
        <w:rPr>
          <w:rFonts w:eastAsia="仿宋_GB2312"/>
          <w:sz w:val="26"/>
          <w:szCs w:val="26"/>
        </w:rPr>
        <w:t>》（法释〔</w:t>
      </w:r>
      <w:r>
        <w:rPr>
          <w:rFonts w:eastAsia="仿宋_GB2312"/>
          <w:sz w:val="26"/>
          <w:szCs w:val="26"/>
        </w:rPr>
        <w:t>2018</w:t>
      </w:r>
      <w:r>
        <w:rPr>
          <w:rFonts w:eastAsia="仿宋_GB2312"/>
          <w:sz w:val="26"/>
          <w:szCs w:val="26"/>
        </w:rPr>
        <w:t>〕</w:t>
      </w:r>
      <w:r>
        <w:rPr>
          <w:rFonts w:eastAsia="仿宋_GB2312"/>
          <w:sz w:val="26"/>
          <w:szCs w:val="26"/>
        </w:rPr>
        <w:t>15</w:t>
      </w:r>
      <w:r>
        <w:rPr>
          <w:rFonts w:eastAsia="仿宋_GB2312"/>
          <w:sz w:val="26"/>
          <w:szCs w:val="26"/>
        </w:rPr>
        <w:t>号）及其他相关法律法规</w:t>
      </w:r>
      <w:r>
        <w:rPr>
          <w:rFonts w:eastAsia="仿宋_GB2312" w:hint="eastAsia"/>
          <w:sz w:val="26"/>
          <w:szCs w:val="26"/>
        </w:rPr>
        <w:t>，</w:t>
      </w:r>
      <w:r>
        <w:rPr>
          <w:rFonts w:eastAsia="仿宋_GB2312" w:hint="eastAsia"/>
          <w:color w:val="000000"/>
          <w:sz w:val="26"/>
          <w:szCs w:val="26"/>
        </w:rPr>
        <w:t>遵循估价原则，履行必要的估价程序，</w:t>
      </w:r>
      <w:r>
        <w:rPr>
          <w:rFonts w:eastAsia="仿宋_GB2312"/>
          <w:sz w:val="26"/>
          <w:szCs w:val="26"/>
        </w:rPr>
        <w:t>运</w:t>
      </w:r>
      <w:r>
        <w:rPr>
          <w:rFonts w:eastAsia="仿宋_GB2312" w:hint="eastAsia"/>
          <w:color w:val="000000"/>
          <w:sz w:val="26"/>
          <w:szCs w:val="26"/>
        </w:rPr>
        <w:t>用比较法</w:t>
      </w:r>
      <w:r>
        <w:rPr>
          <w:rFonts w:eastAsia="仿宋_GB2312"/>
          <w:sz w:val="26"/>
          <w:szCs w:val="26"/>
        </w:rPr>
        <w:t>对估价对象的市场价值进行测算</w:t>
      </w:r>
      <w:r>
        <w:rPr>
          <w:rFonts w:eastAsia="仿宋_GB2312" w:hint="eastAsia"/>
          <w:sz w:val="26"/>
          <w:szCs w:val="26"/>
        </w:rPr>
        <w:t>，</w:t>
      </w:r>
      <w:r>
        <w:rPr>
          <w:rFonts w:eastAsia="仿宋_GB2312" w:hint="eastAsia"/>
          <w:color w:val="000000"/>
          <w:sz w:val="26"/>
          <w:szCs w:val="26"/>
        </w:rPr>
        <w:t>并结合估价经验和对影响价值因素的分析，在满足本次估价的假设和限制条件下，确定估价对象于价值时点</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的市场价值合计为</w:t>
      </w:r>
      <w:r w:rsidR="00CF659E" w:rsidRPr="00CF659E">
        <w:rPr>
          <w:rFonts w:eastAsia="仿宋_GB2312" w:hint="eastAsia"/>
          <w:b/>
          <w:bCs/>
          <w:color w:val="000000" w:themeColor="text1"/>
          <w:sz w:val="26"/>
          <w:szCs w:val="26"/>
        </w:rPr>
        <w:t>人民币</w:t>
      </w:r>
      <w:r w:rsidR="005E00CB">
        <w:rPr>
          <w:rFonts w:eastAsia="仿宋_GB2312" w:hint="eastAsia"/>
          <w:b/>
          <w:bCs/>
          <w:color w:val="000000" w:themeColor="text1"/>
          <w:sz w:val="26"/>
          <w:szCs w:val="26"/>
        </w:rPr>
        <w:t>肆拾伍万肆仟</w:t>
      </w:r>
      <w:r w:rsidR="00CF659E" w:rsidRPr="00CF659E">
        <w:rPr>
          <w:rFonts w:eastAsia="仿宋_GB2312" w:hint="eastAsia"/>
          <w:b/>
          <w:bCs/>
          <w:color w:val="000000" w:themeColor="text1"/>
          <w:sz w:val="26"/>
          <w:szCs w:val="26"/>
        </w:rPr>
        <w:t>元整</w:t>
      </w:r>
      <w:r>
        <w:rPr>
          <w:rFonts w:eastAsia="仿宋_GB2312" w:hint="eastAsia"/>
          <w:b/>
          <w:bCs/>
          <w:color w:val="000000" w:themeColor="text1"/>
          <w:sz w:val="26"/>
          <w:szCs w:val="26"/>
        </w:rPr>
        <w:t>（</w:t>
      </w:r>
      <w:r>
        <w:rPr>
          <w:rFonts w:eastAsia="仿宋_GB2312" w:hint="eastAsia"/>
          <w:b/>
          <w:bCs/>
          <w:color w:val="000000" w:themeColor="text1"/>
          <w:sz w:val="26"/>
          <w:szCs w:val="26"/>
        </w:rPr>
        <w:t>¥</w:t>
      </w:r>
      <w:r w:rsidR="00CF4DAF">
        <w:rPr>
          <w:rFonts w:eastAsia="仿宋_GB2312"/>
          <w:b/>
          <w:bCs/>
          <w:color w:val="000000" w:themeColor="text1"/>
          <w:sz w:val="26"/>
          <w:szCs w:val="26"/>
        </w:rPr>
        <w:t>45.4</w:t>
      </w:r>
      <w:r>
        <w:rPr>
          <w:rFonts w:eastAsia="仿宋_GB2312" w:hint="eastAsia"/>
          <w:b/>
          <w:bCs/>
          <w:color w:val="000000" w:themeColor="text1"/>
          <w:sz w:val="26"/>
          <w:szCs w:val="26"/>
        </w:rPr>
        <w:t>万元）</w:t>
      </w:r>
      <w:r>
        <w:rPr>
          <w:rFonts w:eastAsia="仿宋_GB2312" w:hint="eastAsia"/>
          <w:color w:val="000000" w:themeColor="text1"/>
          <w:sz w:val="26"/>
          <w:szCs w:val="26"/>
        </w:rPr>
        <w:t>。详见下表：</w:t>
      </w:r>
    </w:p>
    <w:tbl>
      <w:tblPr>
        <w:tblStyle w:val="af5"/>
        <w:tblW w:w="9620" w:type="dxa"/>
        <w:jc w:val="center"/>
        <w:tblLook w:val="04A0" w:firstRow="1" w:lastRow="0" w:firstColumn="1" w:lastColumn="0" w:noHBand="0" w:noVBand="1"/>
      </w:tblPr>
      <w:tblGrid>
        <w:gridCol w:w="2984"/>
        <w:gridCol w:w="1163"/>
        <w:gridCol w:w="1650"/>
        <w:gridCol w:w="1995"/>
        <w:gridCol w:w="1828"/>
      </w:tblGrid>
      <w:tr w:rsidR="00EF6A0E" w14:paraId="0F6E4548" w14:textId="77777777">
        <w:trPr>
          <w:trHeight w:val="500"/>
          <w:jc w:val="center"/>
        </w:trPr>
        <w:tc>
          <w:tcPr>
            <w:tcW w:w="9620" w:type="dxa"/>
            <w:gridSpan w:val="5"/>
            <w:tcBorders>
              <w:top w:val="nil"/>
              <w:left w:val="nil"/>
              <w:bottom w:val="nil"/>
              <w:right w:val="nil"/>
            </w:tcBorders>
          </w:tcPr>
          <w:p w14:paraId="1AC4EABE" w14:textId="77777777" w:rsidR="00EF6A0E" w:rsidRDefault="00000000">
            <w:pPr>
              <w:spacing w:line="680" w:lineRule="exact"/>
              <w:jc w:val="center"/>
              <w:rPr>
                <w:rFonts w:ascii="仿宋" w:eastAsia="仿宋" w:hAnsi="仿宋" w:cs="仿宋"/>
                <w:color w:val="000000" w:themeColor="text1"/>
                <w:sz w:val="28"/>
                <w:szCs w:val="28"/>
              </w:rPr>
            </w:pPr>
            <w:r>
              <w:rPr>
                <w:rFonts w:ascii="仿宋" w:eastAsia="仿宋" w:hAnsi="仿宋" w:cs="仿宋" w:hint="eastAsia"/>
                <w:b/>
                <w:color w:val="000000" w:themeColor="text1"/>
                <w:kern w:val="0"/>
                <w:sz w:val="28"/>
                <w:szCs w:val="28"/>
                <w:lang w:bidi="ar"/>
              </w:rPr>
              <w:t>房地产估价结果汇总表</w:t>
            </w:r>
          </w:p>
        </w:tc>
      </w:tr>
      <w:tr w:rsidR="00EF6A0E" w14:paraId="70C94E22" w14:textId="77777777">
        <w:trPr>
          <w:trHeight w:val="505"/>
          <w:jc w:val="center"/>
        </w:trPr>
        <w:tc>
          <w:tcPr>
            <w:tcW w:w="9620" w:type="dxa"/>
            <w:gridSpan w:val="5"/>
            <w:tcBorders>
              <w:top w:val="nil"/>
              <w:left w:val="nil"/>
              <w:bottom w:val="single" w:sz="4" w:space="0" w:color="auto"/>
              <w:right w:val="nil"/>
            </w:tcBorders>
          </w:tcPr>
          <w:p w14:paraId="14648EDC" w14:textId="084961EC" w:rsidR="00EF6A0E" w:rsidRDefault="00000000">
            <w:pPr>
              <w:spacing w:line="680" w:lineRule="exact"/>
              <w:jc w:val="center"/>
              <w:rPr>
                <w:rFonts w:ascii="仿宋" w:eastAsia="仿宋" w:hAnsi="仿宋" w:cs="仿宋"/>
                <w:color w:val="000000" w:themeColor="text1"/>
                <w:sz w:val="28"/>
                <w:szCs w:val="28"/>
              </w:rPr>
            </w:pPr>
            <w:r>
              <w:rPr>
                <w:rFonts w:ascii="仿宋" w:eastAsia="仿宋" w:hAnsi="仿宋" w:cs="仿宋" w:hint="eastAsia"/>
                <w:b/>
                <w:bCs/>
                <w:color w:val="000000" w:themeColor="text1"/>
                <w:kern w:val="0"/>
                <w:sz w:val="24"/>
              </w:rPr>
              <w:t xml:space="preserve">                                                         币种：人民币</w:t>
            </w:r>
            <w:r w:rsidR="00CF659E">
              <w:rPr>
                <w:rFonts w:ascii="仿宋" w:eastAsia="仿宋" w:hAnsi="仿宋" w:cs="仿宋" w:hint="eastAsia"/>
                <w:b/>
                <w:bCs/>
                <w:color w:val="000000" w:themeColor="text1"/>
                <w:kern w:val="0"/>
                <w:sz w:val="24"/>
              </w:rPr>
              <w:t>元</w:t>
            </w:r>
            <w:r>
              <w:rPr>
                <w:rFonts w:ascii="仿宋" w:eastAsia="仿宋" w:hAnsi="仿宋" w:cs="仿宋" w:hint="eastAsia"/>
                <w:b/>
                <w:bCs/>
                <w:color w:val="000000" w:themeColor="text1"/>
                <w:kern w:val="0"/>
                <w:sz w:val="24"/>
              </w:rPr>
              <w:t xml:space="preserve">                                                                                                     </w:t>
            </w:r>
          </w:p>
        </w:tc>
      </w:tr>
      <w:tr w:rsidR="00EF6A0E" w14:paraId="3EFB895A" w14:textId="77777777" w:rsidTr="008A08E1">
        <w:trPr>
          <w:trHeight w:val="641"/>
          <w:jc w:val="center"/>
        </w:trPr>
        <w:tc>
          <w:tcPr>
            <w:tcW w:w="5797" w:type="dxa"/>
            <w:gridSpan w:val="3"/>
            <w:tcBorders>
              <w:top w:val="single" w:sz="4" w:space="0" w:color="auto"/>
            </w:tcBorders>
          </w:tcPr>
          <w:p w14:paraId="7CFD855E" w14:textId="77777777" w:rsidR="00EF6A0E" w:rsidRDefault="00000000" w:rsidP="008A08E1">
            <w:pPr>
              <w:widowControl/>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估价对象及结果</w:t>
            </w:r>
          </w:p>
          <w:p w14:paraId="6F3A204A" w14:textId="1D9EB40A" w:rsidR="00EF6A0E" w:rsidRDefault="00000000" w:rsidP="008A08E1">
            <w:pPr>
              <w:widowControl/>
              <w:ind w:leftChars="700" w:left="1470"/>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 xml:space="preserve">        </w:t>
            </w:r>
            <w:r w:rsidR="008A08E1">
              <w:rPr>
                <w:rFonts w:ascii="仿宋" w:eastAsia="仿宋" w:hAnsi="仿宋" w:cs="仿宋"/>
                <w:b/>
                <w:bCs/>
                <w:color w:val="000000" w:themeColor="text1"/>
                <w:kern w:val="0"/>
                <w:szCs w:val="21"/>
              </w:rPr>
              <w:t xml:space="preserve">              </w:t>
            </w:r>
            <w:r>
              <w:rPr>
                <w:rFonts w:ascii="仿宋" w:eastAsia="仿宋" w:hAnsi="仿宋" w:cs="仿宋" w:hint="eastAsia"/>
                <w:b/>
                <w:bCs/>
                <w:color w:val="000000" w:themeColor="text1"/>
                <w:kern w:val="0"/>
                <w:szCs w:val="21"/>
              </w:rPr>
              <w:t xml:space="preserve"> 估价方法及结果</w:t>
            </w:r>
          </w:p>
        </w:tc>
        <w:tc>
          <w:tcPr>
            <w:tcW w:w="1995" w:type="dxa"/>
            <w:tcBorders>
              <w:top w:val="single" w:sz="4" w:space="0" w:color="auto"/>
            </w:tcBorders>
            <w:vAlign w:val="center"/>
          </w:tcPr>
          <w:p w14:paraId="23F59F8F" w14:textId="77777777" w:rsidR="00EF6A0E" w:rsidRDefault="00000000">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比较法</w:t>
            </w:r>
          </w:p>
        </w:tc>
        <w:tc>
          <w:tcPr>
            <w:tcW w:w="1828" w:type="dxa"/>
            <w:tcBorders>
              <w:top w:val="single" w:sz="4" w:space="0" w:color="auto"/>
            </w:tcBorders>
            <w:vAlign w:val="center"/>
          </w:tcPr>
          <w:p w14:paraId="20F70159" w14:textId="77777777" w:rsidR="00EF6A0E" w:rsidRDefault="00000000">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估价结果</w:t>
            </w:r>
          </w:p>
        </w:tc>
      </w:tr>
      <w:tr w:rsidR="00EF6A0E" w14:paraId="17D149AB" w14:textId="77777777">
        <w:trPr>
          <w:trHeight w:val="455"/>
          <w:jc w:val="center"/>
        </w:trPr>
        <w:tc>
          <w:tcPr>
            <w:tcW w:w="2984" w:type="dxa"/>
            <w:vMerge w:val="restart"/>
            <w:vAlign w:val="center"/>
          </w:tcPr>
          <w:p w14:paraId="52D10940" w14:textId="6E8B3340" w:rsidR="00EF6A0E" w:rsidRDefault="00A10557">
            <w:pPr>
              <w:widowControl/>
              <w:jc w:val="center"/>
              <w:rPr>
                <w:rFonts w:eastAsia="仿宋"/>
                <w:b/>
                <w:bCs/>
                <w:color w:val="000000" w:themeColor="text1"/>
                <w:kern w:val="0"/>
                <w:szCs w:val="21"/>
              </w:rPr>
            </w:pPr>
            <w:r>
              <w:rPr>
                <w:rFonts w:eastAsia="仿宋" w:hint="eastAsia"/>
                <w:b/>
                <w:bCs/>
                <w:color w:val="000000" w:themeColor="text1"/>
                <w:kern w:val="0"/>
                <w:szCs w:val="21"/>
              </w:rPr>
              <w:t>贵州省兴仁市东湖街道办事处长兴路西南侧</w:t>
            </w:r>
          </w:p>
        </w:tc>
        <w:tc>
          <w:tcPr>
            <w:tcW w:w="1163" w:type="dxa"/>
            <w:vMerge w:val="restart"/>
            <w:vAlign w:val="center"/>
          </w:tcPr>
          <w:p w14:paraId="385CC7FF" w14:textId="2954E92C"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建筑面积</w:t>
            </w:r>
            <w:r w:rsidR="0013644A">
              <w:rPr>
                <w:rFonts w:hint="eastAsia"/>
                <w:b/>
                <w:bCs/>
                <w:color w:val="000000" w:themeColor="text1"/>
                <w:szCs w:val="21"/>
              </w:rPr>
              <w:t>118.78</w:t>
            </w:r>
            <w:r>
              <w:rPr>
                <w:rFonts w:eastAsia="仿宋"/>
                <w:b/>
                <w:bCs/>
                <w:color w:val="000000" w:themeColor="text1"/>
                <w:kern w:val="0"/>
                <w:szCs w:val="21"/>
              </w:rPr>
              <w:t>㎡</w:t>
            </w:r>
          </w:p>
        </w:tc>
        <w:tc>
          <w:tcPr>
            <w:tcW w:w="1650" w:type="dxa"/>
            <w:vAlign w:val="center"/>
          </w:tcPr>
          <w:p w14:paraId="5A71631E"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总价（万元）</w:t>
            </w:r>
          </w:p>
        </w:tc>
        <w:tc>
          <w:tcPr>
            <w:tcW w:w="1995" w:type="dxa"/>
            <w:vAlign w:val="center"/>
          </w:tcPr>
          <w:p w14:paraId="4AF45BCD" w14:textId="46488A64" w:rsidR="00EF6A0E" w:rsidRDefault="00CF4DAF">
            <w:pPr>
              <w:adjustRightInd w:val="0"/>
              <w:snapToGrid w:val="0"/>
              <w:spacing w:line="540" w:lineRule="exact"/>
              <w:jc w:val="center"/>
              <w:rPr>
                <w:rFonts w:eastAsia="仿宋_GB2312"/>
                <w:b/>
                <w:bCs/>
                <w:color w:val="000000" w:themeColor="text1"/>
                <w:szCs w:val="21"/>
              </w:rPr>
            </w:pPr>
            <w:r>
              <w:rPr>
                <w:rFonts w:eastAsia="仿宋_GB2312"/>
                <w:b/>
                <w:bCs/>
                <w:color w:val="000000" w:themeColor="text1"/>
                <w:szCs w:val="21"/>
              </w:rPr>
              <w:t>45.4</w:t>
            </w:r>
          </w:p>
        </w:tc>
        <w:tc>
          <w:tcPr>
            <w:tcW w:w="1828" w:type="dxa"/>
            <w:vAlign w:val="center"/>
          </w:tcPr>
          <w:p w14:paraId="1B72A283" w14:textId="5BFFFA0C" w:rsidR="00EF6A0E" w:rsidRDefault="00CF4DAF">
            <w:pPr>
              <w:adjustRightInd w:val="0"/>
              <w:snapToGrid w:val="0"/>
              <w:spacing w:line="540" w:lineRule="exact"/>
              <w:jc w:val="center"/>
              <w:rPr>
                <w:rFonts w:eastAsia="仿宋_GB2312"/>
                <w:b/>
                <w:bCs/>
                <w:color w:val="000000" w:themeColor="text1"/>
                <w:szCs w:val="21"/>
              </w:rPr>
            </w:pPr>
            <w:r>
              <w:rPr>
                <w:rFonts w:eastAsia="仿宋_GB2312"/>
                <w:b/>
                <w:bCs/>
                <w:color w:val="000000" w:themeColor="text1"/>
                <w:szCs w:val="21"/>
              </w:rPr>
              <w:t>45.4</w:t>
            </w:r>
          </w:p>
        </w:tc>
      </w:tr>
      <w:tr w:rsidR="00EF6A0E" w14:paraId="2319E7D1" w14:textId="77777777">
        <w:trPr>
          <w:trHeight w:val="480"/>
          <w:jc w:val="center"/>
        </w:trPr>
        <w:tc>
          <w:tcPr>
            <w:tcW w:w="2984" w:type="dxa"/>
            <w:vMerge/>
            <w:vAlign w:val="center"/>
          </w:tcPr>
          <w:p w14:paraId="5303E2F0" w14:textId="77777777" w:rsidR="00EF6A0E" w:rsidRDefault="00EF6A0E">
            <w:pPr>
              <w:widowControl/>
              <w:jc w:val="center"/>
              <w:rPr>
                <w:rFonts w:eastAsia="仿宋"/>
                <w:b/>
                <w:bCs/>
                <w:color w:val="000000" w:themeColor="text1"/>
                <w:kern w:val="0"/>
                <w:szCs w:val="21"/>
              </w:rPr>
            </w:pPr>
          </w:p>
        </w:tc>
        <w:tc>
          <w:tcPr>
            <w:tcW w:w="1163" w:type="dxa"/>
            <w:vMerge/>
            <w:vAlign w:val="center"/>
          </w:tcPr>
          <w:p w14:paraId="5725E568" w14:textId="77777777" w:rsidR="00EF6A0E" w:rsidRDefault="00EF6A0E">
            <w:pPr>
              <w:widowControl/>
              <w:jc w:val="center"/>
              <w:rPr>
                <w:rFonts w:eastAsia="仿宋"/>
                <w:b/>
                <w:bCs/>
                <w:color w:val="000000" w:themeColor="text1"/>
                <w:kern w:val="0"/>
                <w:szCs w:val="21"/>
              </w:rPr>
            </w:pPr>
          </w:p>
        </w:tc>
        <w:tc>
          <w:tcPr>
            <w:tcW w:w="1650" w:type="dxa"/>
            <w:vAlign w:val="center"/>
          </w:tcPr>
          <w:p w14:paraId="63DEA6EA"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单价（元</w:t>
            </w:r>
            <w:r>
              <w:rPr>
                <w:rFonts w:eastAsia="仿宋"/>
                <w:b/>
                <w:bCs/>
                <w:color w:val="000000" w:themeColor="text1"/>
                <w:kern w:val="0"/>
                <w:szCs w:val="21"/>
              </w:rPr>
              <w:t>/</w:t>
            </w:r>
            <w:r>
              <w:rPr>
                <w:rFonts w:eastAsia="仿宋"/>
                <w:b/>
                <w:bCs/>
                <w:color w:val="000000" w:themeColor="text1"/>
                <w:kern w:val="0"/>
                <w:szCs w:val="21"/>
              </w:rPr>
              <w:t>㎡）</w:t>
            </w:r>
          </w:p>
        </w:tc>
        <w:tc>
          <w:tcPr>
            <w:tcW w:w="1995" w:type="dxa"/>
            <w:vAlign w:val="center"/>
          </w:tcPr>
          <w:p w14:paraId="6FB63A91" w14:textId="2887282D" w:rsidR="00EF6A0E" w:rsidRPr="00D74C70" w:rsidRDefault="005E00CB">
            <w:pPr>
              <w:adjustRightInd w:val="0"/>
              <w:snapToGrid w:val="0"/>
              <w:spacing w:line="540" w:lineRule="exact"/>
              <w:jc w:val="center"/>
              <w:rPr>
                <w:rFonts w:eastAsia="仿宋_GB2312"/>
                <w:b/>
                <w:bCs/>
                <w:color w:val="000000" w:themeColor="text1"/>
                <w:szCs w:val="21"/>
              </w:rPr>
            </w:pPr>
            <w:r>
              <w:rPr>
                <w:rFonts w:hint="eastAsia"/>
                <w:b/>
                <w:bCs/>
                <w:color w:val="000000"/>
                <w:sz w:val="22"/>
                <w:szCs w:val="22"/>
              </w:rPr>
              <w:t>3822.27</w:t>
            </w:r>
          </w:p>
        </w:tc>
        <w:tc>
          <w:tcPr>
            <w:tcW w:w="1828" w:type="dxa"/>
            <w:vAlign w:val="center"/>
          </w:tcPr>
          <w:p w14:paraId="3CF1CB88" w14:textId="48F2D7F7" w:rsidR="00EF6A0E" w:rsidRPr="00D74C70" w:rsidRDefault="005E00CB">
            <w:pPr>
              <w:adjustRightInd w:val="0"/>
              <w:snapToGrid w:val="0"/>
              <w:spacing w:line="540" w:lineRule="exact"/>
              <w:jc w:val="center"/>
              <w:rPr>
                <w:rFonts w:eastAsia="仿宋_GB2312"/>
                <w:b/>
                <w:bCs/>
                <w:color w:val="000000" w:themeColor="text1"/>
                <w:szCs w:val="21"/>
              </w:rPr>
            </w:pPr>
            <w:r>
              <w:rPr>
                <w:rFonts w:hint="eastAsia"/>
                <w:b/>
                <w:bCs/>
                <w:color w:val="000000"/>
                <w:sz w:val="22"/>
                <w:szCs w:val="22"/>
              </w:rPr>
              <w:t>3822.27</w:t>
            </w:r>
          </w:p>
        </w:tc>
      </w:tr>
      <w:tr w:rsidR="00EF6A0E" w14:paraId="73BC9A57" w14:textId="77777777">
        <w:trPr>
          <w:trHeight w:val="452"/>
          <w:jc w:val="center"/>
        </w:trPr>
        <w:tc>
          <w:tcPr>
            <w:tcW w:w="2984" w:type="dxa"/>
            <w:vMerge w:val="restart"/>
            <w:vAlign w:val="center"/>
          </w:tcPr>
          <w:p w14:paraId="33DEF460"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汇总评估价值</w:t>
            </w:r>
          </w:p>
        </w:tc>
        <w:tc>
          <w:tcPr>
            <w:tcW w:w="1163" w:type="dxa"/>
            <w:vMerge w:val="restart"/>
            <w:vAlign w:val="center"/>
          </w:tcPr>
          <w:p w14:paraId="0B51CA3D" w14:textId="49DE65EF" w:rsidR="00EF6A0E" w:rsidRDefault="0013644A">
            <w:pPr>
              <w:widowControl/>
              <w:jc w:val="center"/>
              <w:rPr>
                <w:rFonts w:eastAsia="仿宋"/>
                <w:b/>
                <w:bCs/>
                <w:color w:val="000000" w:themeColor="text1"/>
                <w:kern w:val="0"/>
                <w:szCs w:val="21"/>
              </w:rPr>
            </w:pPr>
            <w:r>
              <w:rPr>
                <w:rFonts w:hint="eastAsia"/>
                <w:b/>
                <w:bCs/>
                <w:color w:val="000000" w:themeColor="text1"/>
                <w:szCs w:val="21"/>
              </w:rPr>
              <w:t>118.78</w:t>
            </w:r>
            <w:r>
              <w:rPr>
                <w:rFonts w:eastAsia="仿宋"/>
                <w:b/>
                <w:bCs/>
                <w:color w:val="000000" w:themeColor="text1"/>
                <w:kern w:val="0"/>
                <w:szCs w:val="21"/>
              </w:rPr>
              <w:t>㎡</w:t>
            </w:r>
          </w:p>
        </w:tc>
        <w:tc>
          <w:tcPr>
            <w:tcW w:w="1650" w:type="dxa"/>
            <w:vAlign w:val="center"/>
          </w:tcPr>
          <w:p w14:paraId="5BC844F3"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总值</w:t>
            </w:r>
            <w:r>
              <w:rPr>
                <w:rFonts w:eastAsia="仿宋"/>
                <w:b/>
                <w:bCs/>
                <w:color w:val="000000" w:themeColor="text1"/>
                <w:kern w:val="0"/>
                <w:szCs w:val="21"/>
              </w:rPr>
              <w:t>(</w:t>
            </w:r>
            <w:r>
              <w:rPr>
                <w:rFonts w:eastAsia="仿宋"/>
                <w:b/>
                <w:bCs/>
                <w:color w:val="000000" w:themeColor="text1"/>
                <w:kern w:val="0"/>
                <w:szCs w:val="21"/>
              </w:rPr>
              <w:t>万元）</w:t>
            </w:r>
          </w:p>
        </w:tc>
        <w:tc>
          <w:tcPr>
            <w:tcW w:w="3823" w:type="dxa"/>
            <w:gridSpan w:val="2"/>
            <w:vAlign w:val="center"/>
          </w:tcPr>
          <w:p w14:paraId="2D0A005C" w14:textId="4AF531CC" w:rsidR="00EF6A0E" w:rsidRPr="00D74C70" w:rsidRDefault="005E00CB">
            <w:pPr>
              <w:widowControl/>
              <w:jc w:val="center"/>
              <w:textAlignment w:val="center"/>
              <w:rPr>
                <w:rFonts w:eastAsia="仿宋"/>
                <w:b/>
                <w:bCs/>
                <w:color w:val="000000" w:themeColor="text1"/>
                <w:kern w:val="0"/>
                <w:szCs w:val="21"/>
              </w:rPr>
            </w:pPr>
            <w:r>
              <w:rPr>
                <w:rFonts w:hint="eastAsia"/>
                <w:b/>
                <w:bCs/>
                <w:color w:val="000000"/>
                <w:sz w:val="22"/>
                <w:szCs w:val="22"/>
              </w:rPr>
              <w:t>45</w:t>
            </w:r>
            <w:r>
              <w:rPr>
                <w:b/>
                <w:bCs/>
                <w:color w:val="000000"/>
                <w:sz w:val="22"/>
                <w:szCs w:val="22"/>
              </w:rPr>
              <w:t>.</w:t>
            </w:r>
            <w:r>
              <w:rPr>
                <w:rFonts w:hint="eastAsia"/>
                <w:b/>
                <w:bCs/>
                <w:color w:val="000000"/>
                <w:sz w:val="22"/>
                <w:szCs w:val="22"/>
              </w:rPr>
              <w:t>4</w:t>
            </w:r>
          </w:p>
        </w:tc>
      </w:tr>
      <w:tr w:rsidR="00EF6A0E" w14:paraId="6131845E" w14:textId="77777777">
        <w:trPr>
          <w:trHeight w:val="412"/>
          <w:jc w:val="center"/>
        </w:trPr>
        <w:tc>
          <w:tcPr>
            <w:tcW w:w="2984" w:type="dxa"/>
            <w:vMerge/>
          </w:tcPr>
          <w:p w14:paraId="257A0267" w14:textId="77777777" w:rsidR="00EF6A0E" w:rsidRDefault="00EF6A0E">
            <w:pPr>
              <w:widowControl/>
              <w:jc w:val="center"/>
              <w:rPr>
                <w:rFonts w:eastAsia="仿宋"/>
                <w:b/>
                <w:bCs/>
                <w:color w:val="000000" w:themeColor="text1"/>
                <w:kern w:val="0"/>
                <w:szCs w:val="21"/>
              </w:rPr>
            </w:pPr>
          </w:p>
        </w:tc>
        <w:tc>
          <w:tcPr>
            <w:tcW w:w="1163" w:type="dxa"/>
            <w:vMerge/>
          </w:tcPr>
          <w:p w14:paraId="54BAFA90" w14:textId="77777777" w:rsidR="00EF6A0E" w:rsidRDefault="00EF6A0E">
            <w:pPr>
              <w:widowControl/>
              <w:jc w:val="center"/>
              <w:rPr>
                <w:rFonts w:eastAsia="仿宋"/>
                <w:b/>
                <w:bCs/>
                <w:color w:val="000000" w:themeColor="text1"/>
                <w:kern w:val="0"/>
                <w:szCs w:val="21"/>
              </w:rPr>
            </w:pPr>
          </w:p>
        </w:tc>
        <w:tc>
          <w:tcPr>
            <w:tcW w:w="1650" w:type="dxa"/>
            <w:vAlign w:val="center"/>
          </w:tcPr>
          <w:p w14:paraId="242B5BA7"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大写金额</w:t>
            </w:r>
          </w:p>
        </w:tc>
        <w:tc>
          <w:tcPr>
            <w:tcW w:w="3823" w:type="dxa"/>
            <w:gridSpan w:val="2"/>
            <w:vAlign w:val="center"/>
          </w:tcPr>
          <w:p w14:paraId="2E67DA61" w14:textId="0C521A2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人民币</w:t>
            </w:r>
            <w:r>
              <w:rPr>
                <w:rFonts w:eastAsia="仿宋" w:hint="eastAsia"/>
                <w:b/>
                <w:bCs/>
                <w:color w:val="000000" w:themeColor="text1"/>
                <w:kern w:val="0"/>
                <w:szCs w:val="21"/>
              </w:rPr>
              <w:fldChar w:fldCharType="begin"/>
            </w:r>
            <w:r>
              <w:rPr>
                <w:rFonts w:eastAsia="仿宋" w:hint="eastAsia"/>
                <w:b/>
                <w:bCs/>
                <w:color w:val="000000" w:themeColor="text1"/>
                <w:kern w:val="0"/>
                <w:szCs w:val="21"/>
              </w:rPr>
              <w:instrText xml:space="preserve"> = 543800 \* CHINESENUM2 \* MERGEFORMAT </w:instrText>
            </w:r>
            <w:r>
              <w:rPr>
                <w:rFonts w:eastAsia="仿宋" w:hint="eastAsia"/>
                <w:b/>
                <w:bCs/>
                <w:color w:val="000000" w:themeColor="text1"/>
                <w:kern w:val="0"/>
                <w:szCs w:val="21"/>
              </w:rPr>
              <w:fldChar w:fldCharType="separate"/>
            </w:r>
            <w:r w:rsidR="005E00CB">
              <w:rPr>
                <w:rFonts w:eastAsia="仿宋" w:hint="eastAsia"/>
                <w:b/>
                <w:bCs/>
                <w:color w:val="000000" w:themeColor="text1"/>
                <w:kern w:val="0"/>
                <w:szCs w:val="21"/>
              </w:rPr>
              <w:t>肆拾伍万</w:t>
            </w:r>
            <w:r w:rsidR="00DC5E98">
              <w:rPr>
                <w:rFonts w:eastAsia="仿宋" w:hint="eastAsia"/>
                <w:b/>
                <w:bCs/>
                <w:color w:val="000000" w:themeColor="text1"/>
                <w:kern w:val="0"/>
                <w:szCs w:val="21"/>
              </w:rPr>
              <w:t>零</w:t>
            </w:r>
            <w:r w:rsidR="005E00CB">
              <w:rPr>
                <w:rFonts w:eastAsia="仿宋" w:hint="eastAsia"/>
                <w:b/>
                <w:bCs/>
                <w:color w:val="000000" w:themeColor="text1"/>
                <w:kern w:val="0"/>
                <w:szCs w:val="21"/>
              </w:rPr>
              <w:t>肆仟</w:t>
            </w:r>
            <w:r>
              <w:rPr>
                <w:rFonts w:eastAsia="仿宋" w:hint="eastAsia"/>
                <w:b/>
                <w:bCs/>
                <w:color w:val="000000" w:themeColor="text1"/>
                <w:kern w:val="0"/>
                <w:szCs w:val="21"/>
              </w:rPr>
              <w:fldChar w:fldCharType="end"/>
            </w:r>
            <w:r>
              <w:rPr>
                <w:rFonts w:eastAsia="仿宋"/>
                <w:b/>
                <w:bCs/>
                <w:color w:val="000000" w:themeColor="text1"/>
                <w:kern w:val="0"/>
                <w:szCs w:val="21"/>
              </w:rPr>
              <w:t>元整</w:t>
            </w:r>
          </w:p>
        </w:tc>
      </w:tr>
    </w:tbl>
    <w:p w14:paraId="43AFEEC7" w14:textId="77777777" w:rsidR="00EF6A0E" w:rsidRDefault="00000000">
      <w:pPr>
        <w:spacing w:line="380" w:lineRule="exact"/>
        <w:ind w:firstLineChars="200" w:firstLine="482"/>
        <w:jc w:val="left"/>
        <w:rPr>
          <w:rFonts w:ascii="仿宋" w:eastAsia="仿宋" w:hAnsi="仿宋" w:cs="仿宋"/>
          <w:b/>
          <w:sz w:val="24"/>
        </w:rPr>
      </w:pPr>
      <w:r>
        <w:rPr>
          <w:rFonts w:ascii="仿宋" w:eastAsia="仿宋" w:hAnsi="仿宋" w:cs="仿宋" w:hint="eastAsia"/>
          <w:b/>
          <w:sz w:val="24"/>
        </w:rPr>
        <w:t>特别提示：</w:t>
      </w:r>
    </w:p>
    <w:p w14:paraId="4F681FF5"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hint="eastAsia"/>
          <w:b/>
          <w:sz w:val="24"/>
        </w:rPr>
        <w:t>1、因财产拍卖（或者变卖）日期与价值时点不一致，估价对象状况或者房地产市场状况的变化会对估价结果产生影响；</w:t>
      </w:r>
    </w:p>
    <w:p w14:paraId="689EE7C6"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b/>
          <w:sz w:val="24"/>
        </w:rPr>
        <w:t>2</w:t>
      </w:r>
      <w:r>
        <w:rPr>
          <w:rFonts w:ascii="仿宋" w:eastAsia="仿宋" w:hAnsi="仿宋" w:cs="仿宋" w:hint="eastAsia"/>
          <w:b/>
          <w:sz w:val="24"/>
        </w:rPr>
        <w:t>、在估价结果有效期内，估价对象状况或者房地产市场发生明显变化的，估价结果应当进行相应调整；</w:t>
      </w:r>
    </w:p>
    <w:p w14:paraId="332E74BE"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3、委托人或者估价报告使用人应当按照法律规定和估价报告载明的使用范围使用估价报告，违反该规定使用估价报告的，房地产估价机构和注册房地产估价师依法不承担责任；</w:t>
      </w:r>
    </w:p>
    <w:p w14:paraId="18416063"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hint="eastAsia"/>
          <w:b/>
          <w:sz w:val="24"/>
        </w:rPr>
        <w:t>4、估价结果不等于估价对象处置可实现的成交价，不应被认为是估价对象处置成交价的保证；</w:t>
      </w:r>
    </w:p>
    <w:p w14:paraId="1F1B74C2"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hint="eastAsia"/>
          <w:b/>
          <w:sz w:val="24"/>
        </w:rPr>
        <w:t>5、本次估价估价对象交易税费，按照法律法规规定，转让方和受让方各自负担；</w:t>
      </w:r>
    </w:p>
    <w:p w14:paraId="7B5AF231" w14:textId="77777777" w:rsidR="00EF6A0E" w:rsidRDefault="00000000">
      <w:pPr>
        <w:spacing w:line="480" w:lineRule="exact"/>
        <w:ind w:firstLineChars="200" w:firstLine="482"/>
        <w:jc w:val="left"/>
        <w:rPr>
          <w:rFonts w:ascii="仿宋" w:eastAsia="仿宋" w:hAnsi="仿宋" w:cs="仿宋"/>
          <w:b/>
          <w:sz w:val="24"/>
        </w:rPr>
      </w:pPr>
      <w:r>
        <w:rPr>
          <w:rFonts w:ascii="仿宋" w:eastAsia="仿宋" w:hAnsi="仿宋" w:cs="仿宋" w:hint="eastAsia"/>
          <w:b/>
          <w:sz w:val="24"/>
        </w:rPr>
        <w:t>6、本机构提醒报告使用方在使用本估价结论时，应认真阅读本报告书全文，提请关注本报告各种假设和限制条件等对该估价结果的影响。</w:t>
      </w:r>
    </w:p>
    <w:p w14:paraId="6B0A3916" w14:textId="77777777" w:rsidR="00EF6A0E" w:rsidRDefault="00EF6A0E">
      <w:pPr>
        <w:spacing w:line="380" w:lineRule="exact"/>
        <w:jc w:val="left"/>
        <w:rPr>
          <w:rFonts w:ascii="仿宋" w:eastAsia="仿宋" w:hAnsi="仿宋" w:cs="仿宋"/>
          <w:b/>
          <w:sz w:val="24"/>
        </w:rPr>
      </w:pPr>
    </w:p>
    <w:p w14:paraId="023CE16E" w14:textId="77777777" w:rsidR="00EF6A0E" w:rsidRDefault="00000000">
      <w:pPr>
        <w:spacing w:line="380" w:lineRule="exact"/>
        <w:ind w:firstLineChars="200" w:firstLine="562"/>
        <w:jc w:val="left"/>
        <w:rPr>
          <w:rFonts w:ascii="仿宋" w:eastAsia="仿宋" w:hAnsi="仿宋" w:cs="仿宋"/>
          <w:b/>
          <w:bCs/>
          <w:sz w:val="28"/>
          <w:szCs w:val="28"/>
        </w:rPr>
      </w:pPr>
      <w:r>
        <w:rPr>
          <w:rFonts w:ascii="仿宋" w:eastAsia="仿宋" w:hAnsi="仿宋" w:cs="仿宋" w:hint="eastAsia"/>
          <w:b/>
          <w:bCs/>
          <w:sz w:val="28"/>
          <w:szCs w:val="28"/>
        </w:rPr>
        <w:t xml:space="preserve">            </w:t>
      </w:r>
    </w:p>
    <w:p w14:paraId="74A0E3BE" w14:textId="77777777" w:rsidR="00EF6A0E" w:rsidRDefault="00000000">
      <w:pPr>
        <w:spacing w:line="360" w:lineRule="auto"/>
        <w:jc w:val="center"/>
        <w:rPr>
          <w:rFonts w:ascii="仿宋" w:eastAsia="仿宋" w:hAnsi="仿宋" w:cs="仿宋"/>
          <w:b/>
          <w:bCs/>
          <w:sz w:val="28"/>
          <w:szCs w:val="28"/>
        </w:rPr>
      </w:pPr>
      <w:r>
        <w:rPr>
          <w:rFonts w:ascii="仿宋" w:eastAsia="仿宋" w:hAnsi="仿宋" w:cs="仿宋" w:hint="eastAsia"/>
          <w:b/>
          <w:bCs/>
          <w:sz w:val="28"/>
          <w:szCs w:val="28"/>
        </w:rPr>
        <w:t xml:space="preserve">                  贵州昊远房地产土地评估有限公司</w:t>
      </w:r>
    </w:p>
    <w:p w14:paraId="5B4DE55D" w14:textId="77777777" w:rsidR="00EF6A0E" w:rsidRDefault="00000000">
      <w:pPr>
        <w:spacing w:line="360" w:lineRule="auto"/>
        <w:jc w:val="center"/>
        <w:rPr>
          <w:rFonts w:ascii="仿宋" w:eastAsia="仿宋" w:hAnsi="仿宋" w:cs="仿宋"/>
          <w:b/>
          <w:bCs/>
          <w:sz w:val="28"/>
          <w:szCs w:val="28"/>
        </w:rPr>
      </w:pPr>
      <w:r>
        <w:rPr>
          <w:rFonts w:ascii="仿宋" w:eastAsia="仿宋" w:hAnsi="仿宋" w:cs="仿宋" w:hint="eastAsia"/>
          <w:b/>
          <w:bCs/>
          <w:sz w:val="28"/>
          <w:szCs w:val="28"/>
        </w:rPr>
        <w:t xml:space="preserve">                法定代表人：      </w:t>
      </w:r>
    </w:p>
    <w:p w14:paraId="5664FC92" w14:textId="12F6CBEA" w:rsidR="00EF6A0E" w:rsidRDefault="00000000">
      <w:pPr>
        <w:spacing w:line="360" w:lineRule="auto"/>
        <w:jc w:val="center"/>
        <w:rPr>
          <w:rFonts w:ascii="仿宋" w:eastAsia="仿宋" w:hAnsi="仿宋" w:cs="仿宋"/>
          <w:b/>
          <w:sz w:val="24"/>
        </w:rPr>
      </w:pPr>
      <w:r>
        <w:rPr>
          <w:rFonts w:ascii="仿宋" w:eastAsia="仿宋" w:hAnsi="仿宋" w:cs="仿宋" w:hint="eastAsia"/>
          <w:b/>
          <w:bCs/>
          <w:sz w:val="28"/>
          <w:szCs w:val="28"/>
        </w:rPr>
        <w:t xml:space="preserve">                     </w:t>
      </w:r>
      <w:r w:rsidR="00597FD5">
        <w:rPr>
          <w:rFonts w:ascii="仿宋" w:eastAsia="仿宋" w:hAnsi="仿宋" w:cs="仿宋" w:hint="eastAsia"/>
          <w:b/>
          <w:bCs/>
          <w:sz w:val="28"/>
          <w:szCs w:val="28"/>
        </w:rPr>
        <w:t xml:space="preserve"> </w:t>
      </w:r>
      <w:bookmarkStart w:id="0" w:name="_Hlk108426552"/>
      <w:r w:rsidR="00597FD5">
        <w:rPr>
          <w:rFonts w:ascii="仿宋" w:eastAsia="仿宋" w:hAnsi="仿宋" w:cs="仿宋" w:hint="eastAsia"/>
          <w:b/>
          <w:bCs/>
          <w:sz w:val="28"/>
          <w:szCs w:val="28"/>
        </w:rPr>
        <w:t>二〇二二年七月十一日</w:t>
      </w:r>
    </w:p>
    <w:bookmarkEnd w:id="0"/>
    <w:p w14:paraId="7B3A5A6E" w14:textId="77777777" w:rsidR="00EF6A0E" w:rsidRDefault="00EF6A0E">
      <w:pPr>
        <w:jc w:val="center"/>
        <w:rPr>
          <w:rFonts w:ascii="仿宋" w:eastAsia="仿宋" w:hAnsi="仿宋" w:cs="仿宋"/>
          <w:b/>
          <w:sz w:val="28"/>
          <w:szCs w:val="28"/>
        </w:rPr>
        <w:sectPr w:rsidR="00EF6A0E">
          <w:endnotePr>
            <w:numFmt w:val="decimal"/>
          </w:endnotePr>
          <w:pgSz w:w="11906" w:h="16838"/>
          <w:pgMar w:top="1440" w:right="1080" w:bottom="1440" w:left="1080" w:header="851" w:footer="992" w:gutter="0"/>
          <w:pgNumType w:chapStyle="1"/>
          <w:cols w:space="720"/>
          <w:docGrid w:type="lines" w:linePitch="312"/>
        </w:sectPr>
      </w:pPr>
    </w:p>
    <w:p w14:paraId="08AC35A9" w14:textId="77777777" w:rsidR="00EF6A0E" w:rsidRDefault="00000000">
      <w:pPr>
        <w:spacing w:line="700" w:lineRule="exact"/>
        <w:jc w:val="center"/>
        <w:rPr>
          <w:rFonts w:ascii="仿宋" w:eastAsia="仿宋" w:hAnsi="仿宋" w:cs="仿宋"/>
          <w:b/>
          <w:bCs/>
          <w:kern w:val="0"/>
          <w:sz w:val="52"/>
          <w:szCs w:val="52"/>
        </w:rPr>
      </w:pPr>
      <w:r>
        <w:rPr>
          <w:rFonts w:ascii="仿宋" w:eastAsia="仿宋" w:hAnsi="仿宋" w:cs="仿宋" w:hint="eastAsia"/>
          <w:b/>
          <w:bCs/>
          <w:kern w:val="0"/>
          <w:sz w:val="52"/>
          <w:szCs w:val="52"/>
        </w:rPr>
        <w:lastRenderedPageBreak/>
        <w:t>目   录</w:t>
      </w:r>
    </w:p>
    <w:bookmarkStart w:id="1" w:name="_Toc286074107"/>
    <w:p w14:paraId="51934612" w14:textId="1DD7C80C" w:rsidR="00EF6A0E" w:rsidRDefault="00000000">
      <w:pPr>
        <w:pStyle w:val="TOC1"/>
        <w:tabs>
          <w:tab w:val="right" w:leader="dot" w:pos="9746"/>
        </w:tabs>
        <w:spacing w:line="380" w:lineRule="exact"/>
        <w:rPr>
          <w:noProof/>
        </w:rPr>
      </w:pPr>
      <w:r>
        <w:rPr>
          <w:rFonts w:ascii="仿宋" w:eastAsia="仿宋" w:hAnsi="仿宋" w:cs="仿宋" w:hint="eastAsia"/>
          <w:sz w:val="24"/>
        </w:rPr>
        <w:fldChar w:fldCharType="begin"/>
      </w:r>
      <w:r>
        <w:rPr>
          <w:rFonts w:ascii="仿宋" w:eastAsia="仿宋" w:hAnsi="仿宋" w:cs="仿宋" w:hint="eastAsia"/>
          <w:sz w:val="24"/>
        </w:rPr>
        <w:instrText xml:space="preserve">TOC \o "1-2" \h \u </w:instrText>
      </w:r>
      <w:r>
        <w:rPr>
          <w:rFonts w:ascii="仿宋" w:eastAsia="仿宋" w:hAnsi="仿宋" w:cs="仿宋" w:hint="eastAsia"/>
          <w:sz w:val="24"/>
        </w:rPr>
        <w:fldChar w:fldCharType="separate"/>
      </w:r>
      <w:hyperlink w:anchor="_Toc8398" w:history="1">
        <w:r>
          <w:rPr>
            <w:rFonts w:ascii="仿宋" w:eastAsia="仿宋" w:hAnsi="仿宋" w:cs="仿宋" w:hint="eastAsia"/>
            <w:bCs/>
            <w:noProof/>
            <w:kern w:val="0"/>
            <w:szCs w:val="52"/>
          </w:rPr>
          <w:t>估价师声明</w:t>
        </w:r>
        <w:r>
          <w:rPr>
            <w:noProof/>
          </w:rPr>
          <w:tab/>
        </w:r>
        <w:r>
          <w:rPr>
            <w:noProof/>
          </w:rPr>
          <w:fldChar w:fldCharType="begin"/>
        </w:r>
        <w:r>
          <w:rPr>
            <w:noProof/>
          </w:rPr>
          <w:instrText xml:space="preserve"> PAGEREF _Toc8398 \h </w:instrText>
        </w:r>
        <w:r>
          <w:rPr>
            <w:noProof/>
          </w:rPr>
        </w:r>
        <w:r>
          <w:rPr>
            <w:noProof/>
          </w:rPr>
          <w:fldChar w:fldCharType="separate"/>
        </w:r>
        <w:r w:rsidR="00F44229">
          <w:rPr>
            <w:noProof/>
          </w:rPr>
          <w:t>2</w:t>
        </w:r>
        <w:r>
          <w:rPr>
            <w:noProof/>
          </w:rPr>
          <w:fldChar w:fldCharType="end"/>
        </w:r>
      </w:hyperlink>
    </w:p>
    <w:p w14:paraId="19F40ACA" w14:textId="0D7FC5E9" w:rsidR="00EF6A0E" w:rsidRDefault="00000000">
      <w:pPr>
        <w:pStyle w:val="TOC1"/>
        <w:tabs>
          <w:tab w:val="right" w:leader="dot" w:pos="9746"/>
        </w:tabs>
        <w:spacing w:line="380" w:lineRule="exact"/>
        <w:rPr>
          <w:noProof/>
        </w:rPr>
      </w:pPr>
      <w:hyperlink w:anchor="_Toc31113" w:history="1">
        <w:r>
          <w:rPr>
            <w:rFonts w:ascii="仿宋" w:eastAsia="仿宋" w:hAnsi="仿宋" w:cs="仿宋" w:hint="eastAsia"/>
            <w:bCs/>
            <w:noProof/>
            <w:kern w:val="0"/>
            <w:szCs w:val="52"/>
          </w:rPr>
          <w:t>估价的假设和限制条件</w:t>
        </w:r>
        <w:r>
          <w:rPr>
            <w:noProof/>
          </w:rPr>
          <w:tab/>
        </w:r>
        <w:r>
          <w:rPr>
            <w:noProof/>
          </w:rPr>
          <w:fldChar w:fldCharType="begin"/>
        </w:r>
        <w:r>
          <w:rPr>
            <w:noProof/>
          </w:rPr>
          <w:instrText xml:space="preserve"> PAGEREF _Toc31113 \h </w:instrText>
        </w:r>
        <w:r>
          <w:rPr>
            <w:noProof/>
          </w:rPr>
        </w:r>
        <w:r>
          <w:rPr>
            <w:noProof/>
          </w:rPr>
          <w:fldChar w:fldCharType="separate"/>
        </w:r>
        <w:r w:rsidR="00F44229">
          <w:rPr>
            <w:noProof/>
          </w:rPr>
          <w:t>3</w:t>
        </w:r>
        <w:r>
          <w:rPr>
            <w:noProof/>
          </w:rPr>
          <w:fldChar w:fldCharType="end"/>
        </w:r>
      </w:hyperlink>
    </w:p>
    <w:p w14:paraId="424EB097" w14:textId="76580123" w:rsidR="00EF6A0E" w:rsidRDefault="00000000">
      <w:pPr>
        <w:pStyle w:val="TOC1"/>
        <w:tabs>
          <w:tab w:val="right" w:leader="dot" w:pos="9746"/>
        </w:tabs>
        <w:spacing w:line="380" w:lineRule="exact"/>
        <w:rPr>
          <w:noProof/>
        </w:rPr>
      </w:pPr>
      <w:hyperlink w:anchor="_Toc31523" w:history="1">
        <w:r>
          <w:rPr>
            <w:rFonts w:ascii="仿宋" w:eastAsia="仿宋" w:hAnsi="仿宋" w:cs="仿宋" w:hint="eastAsia"/>
            <w:bCs/>
            <w:noProof/>
            <w:kern w:val="0"/>
            <w:szCs w:val="52"/>
          </w:rPr>
          <w:t>估价结果报告</w:t>
        </w:r>
        <w:r>
          <w:rPr>
            <w:noProof/>
          </w:rPr>
          <w:tab/>
        </w:r>
        <w:r>
          <w:rPr>
            <w:noProof/>
          </w:rPr>
          <w:fldChar w:fldCharType="begin"/>
        </w:r>
        <w:r>
          <w:rPr>
            <w:noProof/>
          </w:rPr>
          <w:instrText xml:space="preserve"> PAGEREF _Toc31523 \h </w:instrText>
        </w:r>
        <w:r>
          <w:rPr>
            <w:noProof/>
          </w:rPr>
        </w:r>
        <w:r>
          <w:rPr>
            <w:noProof/>
          </w:rPr>
          <w:fldChar w:fldCharType="separate"/>
        </w:r>
        <w:r w:rsidR="00F44229">
          <w:rPr>
            <w:noProof/>
          </w:rPr>
          <w:t>7</w:t>
        </w:r>
        <w:r>
          <w:rPr>
            <w:noProof/>
          </w:rPr>
          <w:fldChar w:fldCharType="end"/>
        </w:r>
      </w:hyperlink>
    </w:p>
    <w:p w14:paraId="5FD95616" w14:textId="470E6CCF" w:rsidR="00EF6A0E" w:rsidRDefault="00000000">
      <w:pPr>
        <w:pStyle w:val="TOC2"/>
        <w:tabs>
          <w:tab w:val="clear" w:pos="9890"/>
          <w:tab w:val="right" w:leader="dot" w:pos="9746"/>
        </w:tabs>
        <w:spacing w:line="380" w:lineRule="exact"/>
        <w:rPr>
          <w:noProof/>
        </w:rPr>
      </w:pPr>
      <w:hyperlink w:anchor="_Toc2782" w:history="1">
        <w:r>
          <w:rPr>
            <w:rFonts w:ascii="仿宋" w:eastAsia="仿宋" w:hAnsi="仿宋" w:cs="仿宋" w:hint="eastAsia"/>
            <w:noProof/>
            <w:kern w:val="0"/>
            <w:szCs w:val="32"/>
          </w:rPr>
          <w:t>一、估价委托方</w:t>
        </w:r>
        <w:r>
          <w:rPr>
            <w:noProof/>
          </w:rPr>
          <w:tab/>
        </w:r>
        <w:r>
          <w:rPr>
            <w:noProof/>
          </w:rPr>
          <w:fldChar w:fldCharType="begin"/>
        </w:r>
        <w:r>
          <w:rPr>
            <w:noProof/>
          </w:rPr>
          <w:instrText xml:space="preserve"> PAGEREF _Toc2782 \h </w:instrText>
        </w:r>
        <w:r>
          <w:rPr>
            <w:noProof/>
          </w:rPr>
        </w:r>
        <w:r>
          <w:rPr>
            <w:noProof/>
          </w:rPr>
          <w:fldChar w:fldCharType="separate"/>
        </w:r>
        <w:r w:rsidR="00F44229">
          <w:rPr>
            <w:noProof/>
          </w:rPr>
          <w:t>7</w:t>
        </w:r>
        <w:r>
          <w:rPr>
            <w:noProof/>
          </w:rPr>
          <w:fldChar w:fldCharType="end"/>
        </w:r>
      </w:hyperlink>
    </w:p>
    <w:p w14:paraId="2FC883E7" w14:textId="033528A4" w:rsidR="00EF6A0E" w:rsidRDefault="00000000">
      <w:pPr>
        <w:pStyle w:val="TOC2"/>
        <w:tabs>
          <w:tab w:val="clear" w:pos="9890"/>
          <w:tab w:val="right" w:leader="dot" w:pos="9746"/>
        </w:tabs>
        <w:spacing w:line="380" w:lineRule="exact"/>
        <w:rPr>
          <w:noProof/>
        </w:rPr>
      </w:pPr>
      <w:hyperlink w:anchor="_Toc13894" w:history="1">
        <w:r>
          <w:rPr>
            <w:rFonts w:ascii="仿宋" w:eastAsia="仿宋" w:hAnsi="仿宋" w:cs="仿宋" w:hint="eastAsia"/>
            <w:bCs/>
            <w:noProof/>
            <w:kern w:val="0"/>
            <w:szCs w:val="32"/>
          </w:rPr>
          <w:t>二、房地产估价机构</w:t>
        </w:r>
        <w:r>
          <w:rPr>
            <w:noProof/>
          </w:rPr>
          <w:tab/>
        </w:r>
        <w:r>
          <w:rPr>
            <w:noProof/>
          </w:rPr>
          <w:fldChar w:fldCharType="begin"/>
        </w:r>
        <w:r>
          <w:rPr>
            <w:noProof/>
          </w:rPr>
          <w:instrText xml:space="preserve"> PAGEREF _Toc13894 \h </w:instrText>
        </w:r>
        <w:r>
          <w:rPr>
            <w:noProof/>
          </w:rPr>
        </w:r>
        <w:r>
          <w:rPr>
            <w:noProof/>
          </w:rPr>
          <w:fldChar w:fldCharType="separate"/>
        </w:r>
        <w:r w:rsidR="00F44229">
          <w:rPr>
            <w:noProof/>
          </w:rPr>
          <w:t>7</w:t>
        </w:r>
        <w:r>
          <w:rPr>
            <w:noProof/>
          </w:rPr>
          <w:fldChar w:fldCharType="end"/>
        </w:r>
      </w:hyperlink>
    </w:p>
    <w:p w14:paraId="3A78FCB3" w14:textId="1D4DE7E8" w:rsidR="00EF6A0E" w:rsidRDefault="00000000">
      <w:pPr>
        <w:pStyle w:val="TOC2"/>
        <w:tabs>
          <w:tab w:val="clear" w:pos="9890"/>
          <w:tab w:val="right" w:leader="dot" w:pos="9746"/>
        </w:tabs>
        <w:spacing w:line="380" w:lineRule="exact"/>
        <w:rPr>
          <w:noProof/>
        </w:rPr>
      </w:pPr>
      <w:hyperlink w:anchor="_Toc7095" w:history="1">
        <w:r>
          <w:rPr>
            <w:rFonts w:ascii="仿宋" w:eastAsia="仿宋" w:hAnsi="仿宋" w:cs="仿宋" w:hint="eastAsia"/>
            <w:bCs/>
            <w:noProof/>
            <w:kern w:val="0"/>
            <w:szCs w:val="32"/>
          </w:rPr>
          <w:t>三、估价目的</w:t>
        </w:r>
        <w:r>
          <w:rPr>
            <w:noProof/>
          </w:rPr>
          <w:tab/>
        </w:r>
        <w:r>
          <w:rPr>
            <w:noProof/>
          </w:rPr>
          <w:fldChar w:fldCharType="begin"/>
        </w:r>
        <w:r>
          <w:rPr>
            <w:noProof/>
          </w:rPr>
          <w:instrText xml:space="preserve"> PAGEREF _Toc7095 \h </w:instrText>
        </w:r>
        <w:r>
          <w:rPr>
            <w:noProof/>
          </w:rPr>
        </w:r>
        <w:r>
          <w:rPr>
            <w:noProof/>
          </w:rPr>
          <w:fldChar w:fldCharType="separate"/>
        </w:r>
        <w:r w:rsidR="00F44229">
          <w:rPr>
            <w:noProof/>
          </w:rPr>
          <w:t>7</w:t>
        </w:r>
        <w:r>
          <w:rPr>
            <w:noProof/>
          </w:rPr>
          <w:fldChar w:fldCharType="end"/>
        </w:r>
      </w:hyperlink>
    </w:p>
    <w:p w14:paraId="4E833951" w14:textId="6845A170" w:rsidR="00EF6A0E" w:rsidRDefault="00000000">
      <w:pPr>
        <w:pStyle w:val="TOC2"/>
        <w:tabs>
          <w:tab w:val="clear" w:pos="9890"/>
          <w:tab w:val="right" w:leader="dot" w:pos="9746"/>
        </w:tabs>
        <w:spacing w:line="380" w:lineRule="exact"/>
        <w:rPr>
          <w:noProof/>
        </w:rPr>
      </w:pPr>
      <w:hyperlink w:anchor="_Toc3605" w:history="1">
        <w:r>
          <w:rPr>
            <w:rFonts w:ascii="仿宋" w:eastAsia="仿宋" w:hAnsi="仿宋" w:cs="仿宋" w:hint="eastAsia"/>
            <w:bCs/>
            <w:noProof/>
            <w:kern w:val="0"/>
            <w:szCs w:val="32"/>
          </w:rPr>
          <w:t>四、估价对象</w:t>
        </w:r>
        <w:r>
          <w:rPr>
            <w:noProof/>
          </w:rPr>
          <w:tab/>
        </w:r>
        <w:r>
          <w:rPr>
            <w:noProof/>
          </w:rPr>
          <w:fldChar w:fldCharType="begin"/>
        </w:r>
        <w:r>
          <w:rPr>
            <w:noProof/>
          </w:rPr>
          <w:instrText xml:space="preserve"> PAGEREF _Toc3605 \h </w:instrText>
        </w:r>
        <w:r>
          <w:rPr>
            <w:noProof/>
          </w:rPr>
        </w:r>
        <w:r>
          <w:rPr>
            <w:noProof/>
          </w:rPr>
          <w:fldChar w:fldCharType="separate"/>
        </w:r>
        <w:r w:rsidR="00F44229">
          <w:rPr>
            <w:noProof/>
          </w:rPr>
          <w:t>7</w:t>
        </w:r>
        <w:r>
          <w:rPr>
            <w:noProof/>
          </w:rPr>
          <w:fldChar w:fldCharType="end"/>
        </w:r>
      </w:hyperlink>
    </w:p>
    <w:p w14:paraId="1B3AAD8C" w14:textId="41484667" w:rsidR="00EF6A0E" w:rsidRDefault="00000000">
      <w:pPr>
        <w:pStyle w:val="TOC2"/>
        <w:tabs>
          <w:tab w:val="clear" w:pos="9890"/>
          <w:tab w:val="right" w:leader="dot" w:pos="9746"/>
        </w:tabs>
        <w:spacing w:line="380" w:lineRule="exact"/>
        <w:rPr>
          <w:noProof/>
        </w:rPr>
      </w:pPr>
      <w:hyperlink w:anchor="_Toc474" w:history="1">
        <w:r>
          <w:rPr>
            <w:rFonts w:ascii="仿宋" w:eastAsia="仿宋" w:hAnsi="仿宋" w:cs="仿宋" w:hint="eastAsia"/>
            <w:bCs/>
            <w:noProof/>
            <w:kern w:val="0"/>
            <w:szCs w:val="32"/>
          </w:rPr>
          <w:t>五、 价值时点</w:t>
        </w:r>
        <w:r>
          <w:rPr>
            <w:noProof/>
          </w:rPr>
          <w:tab/>
        </w:r>
        <w:r>
          <w:rPr>
            <w:noProof/>
          </w:rPr>
          <w:fldChar w:fldCharType="begin"/>
        </w:r>
        <w:r>
          <w:rPr>
            <w:noProof/>
          </w:rPr>
          <w:instrText xml:space="preserve"> PAGEREF _Toc474 \h </w:instrText>
        </w:r>
        <w:r>
          <w:rPr>
            <w:noProof/>
          </w:rPr>
        </w:r>
        <w:r>
          <w:rPr>
            <w:noProof/>
          </w:rPr>
          <w:fldChar w:fldCharType="separate"/>
        </w:r>
        <w:r w:rsidR="00F44229">
          <w:rPr>
            <w:noProof/>
          </w:rPr>
          <w:t>1</w:t>
        </w:r>
        <w:r w:rsidR="00F44229">
          <w:rPr>
            <w:noProof/>
          </w:rPr>
          <w:t>1</w:t>
        </w:r>
        <w:r>
          <w:rPr>
            <w:noProof/>
          </w:rPr>
          <w:fldChar w:fldCharType="end"/>
        </w:r>
      </w:hyperlink>
    </w:p>
    <w:p w14:paraId="3451B09A" w14:textId="3CF0C775" w:rsidR="00F44229" w:rsidRPr="00F44229" w:rsidRDefault="00000000" w:rsidP="00F44229">
      <w:pPr>
        <w:pStyle w:val="TOC2"/>
        <w:tabs>
          <w:tab w:val="clear" w:pos="9890"/>
          <w:tab w:val="right" w:leader="dot" w:pos="9746"/>
        </w:tabs>
        <w:spacing w:line="380" w:lineRule="exact"/>
        <w:rPr>
          <w:rFonts w:hint="eastAsia"/>
          <w:noProof/>
        </w:rPr>
      </w:pPr>
      <w:hyperlink w:anchor="_Toc27930" w:history="1">
        <w:r>
          <w:rPr>
            <w:rFonts w:ascii="仿宋" w:eastAsia="仿宋" w:hAnsi="仿宋" w:cs="仿宋" w:hint="eastAsia"/>
            <w:bCs/>
            <w:noProof/>
            <w:kern w:val="0"/>
            <w:szCs w:val="32"/>
          </w:rPr>
          <w:t>六、价值类型</w:t>
        </w:r>
        <w:r>
          <w:rPr>
            <w:noProof/>
          </w:rPr>
          <w:tab/>
        </w:r>
        <w:r w:rsidR="00AC62C4">
          <w:rPr>
            <w:noProof/>
          </w:rPr>
          <w:t>8</w:t>
        </w:r>
      </w:hyperlink>
    </w:p>
    <w:p w14:paraId="2ABB75C1" w14:textId="74A13544" w:rsidR="00F44229" w:rsidRPr="00F44229" w:rsidRDefault="00000000" w:rsidP="00F44229">
      <w:pPr>
        <w:pStyle w:val="TOC2"/>
        <w:tabs>
          <w:tab w:val="clear" w:pos="9890"/>
          <w:tab w:val="right" w:leader="dot" w:pos="9746"/>
        </w:tabs>
        <w:spacing w:line="380" w:lineRule="exact"/>
        <w:rPr>
          <w:rFonts w:hint="eastAsia"/>
          <w:noProof/>
        </w:rPr>
      </w:pPr>
      <w:hyperlink w:anchor="_Toc8731" w:history="1">
        <w:r>
          <w:rPr>
            <w:rFonts w:ascii="仿宋" w:eastAsia="仿宋" w:hAnsi="仿宋" w:cs="仿宋" w:hint="eastAsia"/>
            <w:bCs/>
            <w:noProof/>
            <w:kern w:val="0"/>
            <w:szCs w:val="32"/>
          </w:rPr>
          <w:t>七、估价原则</w:t>
        </w:r>
        <w:r>
          <w:rPr>
            <w:noProof/>
          </w:rPr>
          <w:tab/>
        </w:r>
        <w:r w:rsidR="00AC62C4">
          <w:rPr>
            <w:noProof/>
          </w:rPr>
          <w:t>8</w:t>
        </w:r>
      </w:hyperlink>
    </w:p>
    <w:p w14:paraId="07DC1A28" w14:textId="0015DFD7" w:rsidR="00EF6A0E" w:rsidRDefault="00000000">
      <w:pPr>
        <w:pStyle w:val="TOC2"/>
        <w:tabs>
          <w:tab w:val="clear" w:pos="9890"/>
          <w:tab w:val="right" w:leader="dot" w:pos="9746"/>
        </w:tabs>
        <w:spacing w:line="380" w:lineRule="exact"/>
        <w:rPr>
          <w:noProof/>
        </w:rPr>
      </w:pPr>
      <w:hyperlink w:anchor="_Toc32648" w:history="1">
        <w:r>
          <w:rPr>
            <w:rFonts w:ascii="仿宋" w:eastAsia="仿宋" w:hAnsi="仿宋" w:cs="仿宋" w:hint="eastAsia"/>
            <w:bCs/>
            <w:noProof/>
            <w:kern w:val="0"/>
            <w:szCs w:val="32"/>
          </w:rPr>
          <w:t>八、估价依据</w:t>
        </w:r>
        <w:r>
          <w:rPr>
            <w:noProof/>
          </w:rPr>
          <w:tab/>
        </w:r>
        <w:r>
          <w:rPr>
            <w:noProof/>
          </w:rPr>
          <w:fldChar w:fldCharType="begin"/>
        </w:r>
        <w:r>
          <w:rPr>
            <w:noProof/>
          </w:rPr>
          <w:instrText xml:space="preserve"> PAGEREF _Toc32648 \h </w:instrText>
        </w:r>
        <w:r>
          <w:rPr>
            <w:noProof/>
          </w:rPr>
        </w:r>
        <w:r>
          <w:rPr>
            <w:noProof/>
          </w:rPr>
          <w:fldChar w:fldCharType="separate"/>
        </w:r>
        <w:r w:rsidR="00F44229">
          <w:rPr>
            <w:noProof/>
          </w:rPr>
          <w:t>11</w:t>
        </w:r>
        <w:r>
          <w:rPr>
            <w:noProof/>
          </w:rPr>
          <w:fldChar w:fldCharType="end"/>
        </w:r>
      </w:hyperlink>
    </w:p>
    <w:p w14:paraId="21E433F8" w14:textId="73A78DB2" w:rsidR="00EF6A0E" w:rsidRDefault="00000000">
      <w:pPr>
        <w:pStyle w:val="TOC2"/>
        <w:tabs>
          <w:tab w:val="clear" w:pos="9890"/>
          <w:tab w:val="right" w:leader="dot" w:pos="9746"/>
        </w:tabs>
        <w:spacing w:line="380" w:lineRule="exact"/>
        <w:rPr>
          <w:noProof/>
        </w:rPr>
      </w:pPr>
      <w:hyperlink w:anchor="_Toc4068" w:history="1">
        <w:r>
          <w:rPr>
            <w:rFonts w:ascii="仿宋" w:eastAsia="仿宋" w:hAnsi="仿宋" w:cs="仿宋" w:hint="eastAsia"/>
            <w:bCs/>
            <w:noProof/>
            <w:kern w:val="0"/>
            <w:szCs w:val="32"/>
          </w:rPr>
          <w:t>九、估价方法</w:t>
        </w:r>
        <w:r>
          <w:rPr>
            <w:noProof/>
          </w:rPr>
          <w:tab/>
        </w:r>
        <w:r w:rsidR="00AC62C4">
          <w:rPr>
            <w:noProof/>
          </w:rPr>
          <w:t>10</w:t>
        </w:r>
      </w:hyperlink>
    </w:p>
    <w:p w14:paraId="4AAA76DA" w14:textId="3D481A40" w:rsidR="00EF6A0E" w:rsidRDefault="00000000">
      <w:pPr>
        <w:pStyle w:val="TOC2"/>
        <w:tabs>
          <w:tab w:val="clear" w:pos="9890"/>
          <w:tab w:val="right" w:leader="dot" w:pos="9746"/>
        </w:tabs>
        <w:spacing w:line="380" w:lineRule="exact"/>
        <w:rPr>
          <w:noProof/>
        </w:rPr>
      </w:pPr>
      <w:hyperlink w:anchor="_Toc19221" w:history="1">
        <w:r>
          <w:rPr>
            <w:rFonts w:ascii="仿宋" w:eastAsia="仿宋" w:hAnsi="仿宋" w:cs="仿宋" w:hint="eastAsia"/>
            <w:bCs/>
            <w:noProof/>
            <w:kern w:val="0"/>
            <w:szCs w:val="32"/>
          </w:rPr>
          <w:t>十、估价结果</w:t>
        </w:r>
        <w:r>
          <w:rPr>
            <w:noProof/>
          </w:rPr>
          <w:tab/>
        </w:r>
        <w:r>
          <w:rPr>
            <w:noProof/>
          </w:rPr>
          <w:fldChar w:fldCharType="begin"/>
        </w:r>
        <w:r>
          <w:rPr>
            <w:noProof/>
          </w:rPr>
          <w:instrText xml:space="preserve"> PAGEREF _Toc19221 \h </w:instrText>
        </w:r>
        <w:r>
          <w:rPr>
            <w:noProof/>
          </w:rPr>
        </w:r>
        <w:r>
          <w:rPr>
            <w:noProof/>
          </w:rPr>
          <w:fldChar w:fldCharType="separate"/>
        </w:r>
        <w:r w:rsidR="00F44229">
          <w:rPr>
            <w:noProof/>
          </w:rPr>
          <w:t>14</w:t>
        </w:r>
        <w:r>
          <w:rPr>
            <w:noProof/>
          </w:rPr>
          <w:fldChar w:fldCharType="end"/>
        </w:r>
      </w:hyperlink>
    </w:p>
    <w:p w14:paraId="089E6729" w14:textId="061C3769" w:rsidR="00EF6A0E" w:rsidRDefault="00000000">
      <w:pPr>
        <w:pStyle w:val="TOC2"/>
        <w:tabs>
          <w:tab w:val="clear" w:pos="9890"/>
          <w:tab w:val="right" w:leader="dot" w:pos="9746"/>
        </w:tabs>
        <w:spacing w:line="380" w:lineRule="exact"/>
        <w:rPr>
          <w:noProof/>
        </w:rPr>
      </w:pPr>
      <w:hyperlink w:anchor="_Toc25123" w:history="1">
        <w:r>
          <w:rPr>
            <w:rFonts w:ascii="仿宋" w:eastAsia="仿宋" w:hAnsi="仿宋" w:cs="仿宋" w:hint="eastAsia"/>
            <w:bCs/>
            <w:noProof/>
            <w:kern w:val="0"/>
            <w:szCs w:val="32"/>
          </w:rPr>
          <w:t>十一、</w:t>
        </w:r>
        <w:r>
          <w:rPr>
            <w:rFonts w:ascii="仿宋" w:eastAsia="仿宋" w:hAnsi="仿宋" w:cs="仿宋" w:hint="eastAsia"/>
            <w:noProof/>
            <w:kern w:val="0"/>
          </w:rPr>
          <w:t>注册房地产估价师</w:t>
        </w:r>
        <w:r>
          <w:rPr>
            <w:noProof/>
          </w:rPr>
          <w:tab/>
        </w:r>
        <w:r>
          <w:rPr>
            <w:noProof/>
          </w:rPr>
          <w:fldChar w:fldCharType="begin"/>
        </w:r>
        <w:r>
          <w:rPr>
            <w:noProof/>
          </w:rPr>
          <w:instrText xml:space="preserve"> PAGEREF _Toc25123 \h </w:instrText>
        </w:r>
        <w:r>
          <w:rPr>
            <w:noProof/>
          </w:rPr>
        </w:r>
        <w:r>
          <w:rPr>
            <w:noProof/>
          </w:rPr>
          <w:fldChar w:fldCharType="separate"/>
        </w:r>
        <w:r w:rsidR="00F44229">
          <w:rPr>
            <w:noProof/>
          </w:rPr>
          <w:t>14</w:t>
        </w:r>
        <w:r>
          <w:rPr>
            <w:noProof/>
          </w:rPr>
          <w:fldChar w:fldCharType="end"/>
        </w:r>
      </w:hyperlink>
    </w:p>
    <w:p w14:paraId="3FE83AD4" w14:textId="569868BA" w:rsidR="00EF6A0E" w:rsidRDefault="00000000">
      <w:pPr>
        <w:pStyle w:val="TOC2"/>
        <w:tabs>
          <w:tab w:val="clear" w:pos="9890"/>
          <w:tab w:val="right" w:leader="dot" w:pos="9746"/>
        </w:tabs>
        <w:spacing w:line="380" w:lineRule="exact"/>
        <w:rPr>
          <w:noProof/>
        </w:rPr>
      </w:pPr>
      <w:hyperlink w:anchor="_Toc23236" w:history="1">
        <w:r>
          <w:rPr>
            <w:rFonts w:ascii="仿宋" w:eastAsia="仿宋" w:hAnsi="仿宋" w:cs="仿宋" w:hint="eastAsia"/>
            <w:bCs/>
            <w:noProof/>
            <w:kern w:val="0"/>
          </w:rPr>
          <w:t>十二、实地查勘期</w:t>
        </w:r>
        <w:r>
          <w:rPr>
            <w:noProof/>
          </w:rPr>
          <w:tab/>
        </w:r>
        <w:r>
          <w:rPr>
            <w:noProof/>
          </w:rPr>
          <w:fldChar w:fldCharType="begin"/>
        </w:r>
        <w:r>
          <w:rPr>
            <w:noProof/>
          </w:rPr>
          <w:instrText xml:space="preserve"> PAGEREF _Toc23236 \h </w:instrText>
        </w:r>
        <w:r>
          <w:rPr>
            <w:noProof/>
          </w:rPr>
        </w:r>
        <w:r>
          <w:rPr>
            <w:noProof/>
          </w:rPr>
          <w:fldChar w:fldCharType="separate"/>
        </w:r>
        <w:r w:rsidR="00F44229">
          <w:rPr>
            <w:noProof/>
          </w:rPr>
          <w:t>14</w:t>
        </w:r>
        <w:r>
          <w:rPr>
            <w:noProof/>
          </w:rPr>
          <w:fldChar w:fldCharType="end"/>
        </w:r>
      </w:hyperlink>
    </w:p>
    <w:p w14:paraId="4B25B3ED" w14:textId="1F2B66AE" w:rsidR="00EF6A0E" w:rsidRDefault="00000000">
      <w:pPr>
        <w:pStyle w:val="TOC2"/>
        <w:tabs>
          <w:tab w:val="clear" w:pos="9890"/>
          <w:tab w:val="right" w:leader="dot" w:pos="9746"/>
        </w:tabs>
        <w:spacing w:line="380" w:lineRule="exact"/>
        <w:rPr>
          <w:noProof/>
        </w:rPr>
      </w:pPr>
      <w:hyperlink w:anchor="_Toc12405" w:history="1">
        <w:r>
          <w:rPr>
            <w:rFonts w:ascii="仿宋" w:eastAsia="仿宋" w:hAnsi="仿宋" w:cs="仿宋" w:hint="eastAsia"/>
            <w:bCs/>
            <w:noProof/>
            <w:kern w:val="0"/>
          </w:rPr>
          <w:t>十三、估价作业日期</w:t>
        </w:r>
        <w:r>
          <w:rPr>
            <w:noProof/>
          </w:rPr>
          <w:tab/>
        </w:r>
        <w:r>
          <w:rPr>
            <w:noProof/>
          </w:rPr>
          <w:fldChar w:fldCharType="begin"/>
        </w:r>
        <w:r>
          <w:rPr>
            <w:noProof/>
          </w:rPr>
          <w:instrText xml:space="preserve"> PAGEREF _Toc12405 \h </w:instrText>
        </w:r>
        <w:r>
          <w:rPr>
            <w:noProof/>
          </w:rPr>
        </w:r>
        <w:r>
          <w:rPr>
            <w:noProof/>
          </w:rPr>
          <w:fldChar w:fldCharType="separate"/>
        </w:r>
        <w:r w:rsidR="00F44229">
          <w:rPr>
            <w:noProof/>
          </w:rPr>
          <w:t>15</w:t>
        </w:r>
        <w:r>
          <w:rPr>
            <w:noProof/>
          </w:rPr>
          <w:fldChar w:fldCharType="end"/>
        </w:r>
      </w:hyperlink>
    </w:p>
    <w:p w14:paraId="00746DEF" w14:textId="5A2CD123" w:rsidR="00EF6A0E" w:rsidRDefault="00000000">
      <w:pPr>
        <w:pStyle w:val="TOC2"/>
        <w:tabs>
          <w:tab w:val="clear" w:pos="9890"/>
          <w:tab w:val="right" w:leader="dot" w:pos="9746"/>
        </w:tabs>
        <w:spacing w:line="380" w:lineRule="exact"/>
        <w:rPr>
          <w:noProof/>
        </w:rPr>
      </w:pPr>
      <w:hyperlink w:anchor="_Toc17879" w:history="1">
        <w:r>
          <w:rPr>
            <w:rFonts w:ascii="仿宋" w:eastAsia="仿宋" w:hAnsi="仿宋" w:cs="仿宋" w:hint="eastAsia"/>
            <w:bCs/>
            <w:noProof/>
            <w:kern w:val="0"/>
          </w:rPr>
          <w:t>十四、估价报告应用的有效期</w:t>
        </w:r>
        <w:r>
          <w:rPr>
            <w:noProof/>
          </w:rPr>
          <w:tab/>
        </w:r>
        <w:r>
          <w:rPr>
            <w:noProof/>
          </w:rPr>
          <w:fldChar w:fldCharType="begin"/>
        </w:r>
        <w:r>
          <w:rPr>
            <w:noProof/>
          </w:rPr>
          <w:instrText xml:space="preserve"> PAGEREF _Toc17879 \h </w:instrText>
        </w:r>
        <w:r>
          <w:rPr>
            <w:noProof/>
          </w:rPr>
        </w:r>
        <w:r>
          <w:rPr>
            <w:noProof/>
          </w:rPr>
          <w:fldChar w:fldCharType="separate"/>
        </w:r>
        <w:r w:rsidR="00F44229">
          <w:rPr>
            <w:noProof/>
          </w:rPr>
          <w:t>15</w:t>
        </w:r>
        <w:r>
          <w:rPr>
            <w:noProof/>
          </w:rPr>
          <w:fldChar w:fldCharType="end"/>
        </w:r>
      </w:hyperlink>
    </w:p>
    <w:p w14:paraId="0DAA0D58" w14:textId="76C13C37" w:rsidR="00EF6A0E" w:rsidRDefault="00000000">
      <w:pPr>
        <w:pStyle w:val="TOC2"/>
        <w:tabs>
          <w:tab w:val="clear" w:pos="9890"/>
          <w:tab w:val="right" w:leader="dot" w:pos="9746"/>
        </w:tabs>
        <w:spacing w:line="380" w:lineRule="exact"/>
        <w:rPr>
          <w:noProof/>
        </w:rPr>
      </w:pPr>
      <w:hyperlink w:anchor="_Toc704" w:history="1">
        <w:r>
          <w:rPr>
            <w:rFonts w:ascii="仿宋" w:eastAsia="仿宋" w:hAnsi="仿宋" w:cs="仿宋" w:hint="eastAsia"/>
            <w:bCs/>
            <w:noProof/>
            <w:kern w:val="0"/>
          </w:rPr>
          <w:t>十五、其它需要特别说明的事项</w:t>
        </w:r>
        <w:r>
          <w:rPr>
            <w:noProof/>
          </w:rPr>
          <w:tab/>
        </w:r>
        <w:r>
          <w:rPr>
            <w:noProof/>
          </w:rPr>
          <w:fldChar w:fldCharType="begin"/>
        </w:r>
        <w:r>
          <w:rPr>
            <w:noProof/>
          </w:rPr>
          <w:instrText xml:space="preserve"> PAGEREF _Toc704 \h </w:instrText>
        </w:r>
        <w:r>
          <w:rPr>
            <w:noProof/>
          </w:rPr>
        </w:r>
        <w:r>
          <w:rPr>
            <w:noProof/>
          </w:rPr>
          <w:fldChar w:fldCharType="separate"/>
        </w:r>
        <w:r w:rsidR="00F44229">
          <w:rPr>
            <w:noProof/>
          </w:rPr>
          <w:t>15</w:t>
        </w:r>
        <w:r>
          <w:rPr>
            <w:noProof/>
          </w:rPr>
          <w:fldChar w:fldCharType="end"/>
        </w:r>
      </w:hyperlink>
    </w:p>
    <w:p w14:paraId="4FCEA031" w14:textId="428DCFA2" w:rsidR="00EF6A0E" w:rsidRDefault="00000000">
      <w:pPr>
        <w:pStyle w:val="TOC2"/>
        <w:tabs>
          <w:tab w:val="clear" w:pos="9890"/>
          <w:tab w:val="right" w:leader="dot" w:pos="9746"/>
        </w:tabs>
        <w:spacing w:line="380" w:lineRule="exact"/>
        <w:rPr>
          <w:noProof/>
        </w:rPr>
      </w:pPr>
      <w:hyperlink w:anchor="_Toc21381" w:history="1">
        <w:r>
          <w:rPr>
            <w:rFonts w:ascii="仿宋" w:eastAsia="仿宋" w:hAnsi="仿宋" w:cs="仿宋" w:hint="eastAsia"/>
            <w:bCs/>
            <w:noProof/>
            <w:kern w:val="0"/>
            <w:szCs w:val="44"/>
          </w:rPr>
          <w:t>附     件</w:t>
        </w:r>
        <w:r>
          <w:rPr>
            <w:noProof/>
          </w:rPr>
          <w:tab/>
        </w:r>
        <w:r>
          <w:rPr>
            <w:noProof/>
          </w:rPr>
          <w:fldChar w:fldCharType="begin"/>
        </w:r>
        <w:r>
          <w:rPr>
            <w:noProof/>
          </w:rPr>
          <w:instrText xml:space="preserve"> PAGEREF _Toc21381 \h </w:instrText>
        </w:r>
        <w:r>
          <w:rPr>
            <w:noProof/>
          </w:rPr>
        </w:r>
        <w:r>
          <w:rPr>
            <w:noProof/>
          </w:rPr>
          <w:fldChar w:fldCharType="separate"/>
        </w:r>
        <w:r w:rsidR="00F44229">
          <w:rPr>
            <w:noProof/>
          </w:rPr>
          <w:t>16</w:t>
        </w:r>
        <w:r>
          <w:rPr>
            <w:noProof/>
          </w:rPr>
          <w:fldChar w:fldCharType="end"/>
        </w:r>
      </w:hyperlink>
    </w:p>
    <w:p w14:paraId="44E4581F" w14:textId="5F57B5EB" w:rsidR="00EF6A0E" w:rsidRDefault="00000000">
      <w:pPr>
        <w:pStyle w:val="TOC1"/>
        <w:tabs>
          <w:tab w:val="right" w:leader="dot" w:pos="9746"/>
        </w:tabs>
        <w:spacing w:line="380" w:lineRule="exact"/>
        <w:rPr>
          <w:noProof/>
        </w:rPr>
      </w:pPr>
      <w:hyperlink w:anchor="_Toc3749" w:history="1">
        <w:r>
          <w:rPr>
            <w:rFonts w:eastAsia="仿宋_GB2312"/>
            <w:noProof/>
            <w:szCs w:val="48"/>
          </w:rPr>
          <w:t>房地产估价技术报告</w:t>
        </w:r>
        <w:r>
          <w:rPr>
            <w:noProof/>
          </w:rPr>
          <w:tab/>
        </w:r>
        <w:r>
          <w:rPr>
            <w:noProof/>
          </w:rPr>
          <w:fldChar w:fldCharType="begin"/>
        </w:r>
        <w:r>
          <w:rPr>
            <w:noProof/>
          </w:rPr>
          <w:instrText xml:space="preserve"> PAGEREF _Toc3749 \h </w:instrText>
        </w:r>
        <w:r>
          <w:rPr>
            <w:noProof/>
          </w:rPr>
        </w:r>
        <w:r>
          <w:rPr>
            <w:noProof/>
          </w:rPr>
          <w:fldChar w:fldCharType="separate"/>
        </w:r>
        <w:r w:rsidR="00F44229">
          <w:rPr>
            <w:noProof/>
          </w:rPr>
          <w:t>21</w:t>
        </w:r>
        <w:r>
          <w:rPr>
            <w:noProof/>
          </w:rPr>
          <w:fldChar w:fldCharType="end"/>
        </w:r>
      </w:hyperlink>
    </w:p>
    <w:p w14:paraId="07157708" w14:textId="48411440" w:rsidR="00EF6A0E" w:rsidRDefault="00000000">
      <w:pPr>
        <w:pStyle w:val="TOC2"/>
        <w:tabs>
          <w:tab w:val="clear" w:pos="9890"/>
          <w:tab w:val="right" w:leader="dot" w:pos="9746"/>
        </w:tabs>
        <w:spacing w:line="380" w:lineRule="exact"/>
        <w:rPr>
          <w:noProof/>
        </w:rPr>
      </w:pPr>
      <w:hyperlink w:anchor="_Toc18727" w:history="1">
        <w:r>
          <w:rPr>
            <w:rFonts w:eastAsia="仿宋_GB2312" w:hint="eastAsia"/>
            <w:noProof/>
            <w:szCs w:val="30"/>
          </w:rPr>
          <w:t>一、</w:t>
        </w:r>
        <w:r>
          <w:rPr>
            <w:rFonts w:eastAsia="仿宋_GB2312" w:hint="eastAsia"/>
            <w:noProof/>
            <w:szCs w:val="30"/>
          </w:rPr>
          <w:t xml:space="preserve"> </w:t>
        </w:r>
        <w:r>
          <w:rPr>
            <w:rFonts w:eastAsia="仿宋_GB2312"/>
            <w:noProof/>
            <w:szCs w:val="30"/>
          </w:rPr>
          <w:t>实物状况描述与分析状况</w:t>
        </w:r>
        <w:r>
          <w:rPr>
            <w:noProof/>
          </w:rPr>
          <w:tab/>
        </w:r>
        <w:r>
          <w:rPr>
            <w:noProof/>
          </w:rPr>
          <w:fldChar w:fldCharType="begin"/>
        </w:r>
        <w:r>
          <w:rPr>
            <w:noProof/>
          </w:rPr>
          <w:instrText xml:space="preserve"> PAGEREF _Toc18727 \h </w:instrText>
        </w:r>
        <w:r>
          <w:rPr>
            <w:noProof/>
          </w:rPr>
        </w:r>
        <w:r>
          <w:rPr>
            <w:noProof/>
          </w:rPr>
          <w:fldChar w:fldCharType="separate"/>
        </w:r>
        <w:r w:rsidR="00F44229">
          <w:rPr>
            <w:noProof/>
          </w:rPr>
          <w:t>21</w:t>
        </w:r>
        <w:r>
          <w:rPr>
            <w:noProof/>
          </w:rPr>
          <w:fldChar w:fldCharType="end"/>
        </w:r>
      </w:hyperlink>
    </w:p>
    <w:p w14:paraId="5D84123F" w14:textId="7B0AB751" w:rsidR="00EF6A0E" w:rsidRDefault="00000000">
      <w:pPr>
        <w:pStyle w:val="TOC2"/>
        <w:tabs>
          <w:tab w:val="clear" w:pos="9890"/>
          <w:tab w:val="right" w:leader="dot" w:pos="9746"/>
        </w:tabs>
        <w:spacing w:line="380" w:lineRule="exact"/>
        <w:rPr>
          <w:noProof/>
        </w:rPr>
      </w:pPr>
      <w:hyperlink w:anchor="_Toc14699" w:history="1">
        <w:r>
          <w:rPr>
            <w:rFonts w:eastAsia="仿宋_GB2312" w:hint="eastAsia"/>
            <w:noProof/>
            <w:szCs w:val="30"/>
          </w:rPr>
          <w:t>二、</w:t>
        </w:r>
        <w:r>
          <w:rPr>
            <w:rFonts w:eastAsia="仿宋_GB2312"/>
            <w:noProof/>
            <w:szCs w:val="30"/>
          </w:rPr>
          <w:t>权益状况描述与分析</w:t>
        </w:r>
        <w:r>
          <w:rPr>
            <w:noProof/>
          </w:rPr>
          <w:tab/>
        </w:r>
        <w:r>
          <w:rPr>
            <w:noProof/>
          </w:rPr>
          <w:fldChar w:fldCharType="begin"/>
        </w:r>
        <w:r>
          <w:rPr>
            <w:noProof/>
          </w:rPr>
          <w:instrText xml:space="preserve"> PAGEREF _Toc14699 \h </w:instrText>
        </w:r>
        <w:r>
          <w:rPr>
            <w:noProof/>
          </w:rPr>
        </w:r>
        <w:r>
          <w:rPr>
            <w:noProof/>
          </w:rPr>
          <w:fldChar w:fldCharType="separate"/>
        </w:r>
        <w:r w:rsidR="00F44229">
          <w:rPr>
            <w:noProof/>
          </w:rPr>
          <w:t>22</w:t>
        </w:r>
        <w:r>
          <w:rPr>
            <w:noProof/>
          </w:rPr>
          <w:fldChar w:fldCharType="end"/>
        </w:r>
      </w:hyperlink>
    </w:p>
    <w:p w14:paraId="2EBCD866" w14:textId="39B2F29E" w:rsidR="00EF6A0E" w:rsidRDefault="00000000">
      <w:pPr>
        <w:pStyle w:val="TOC2"/>
        <w:tabs>
          <w:tab w:val="clear" w:pos="9890"/>
          <w:tab w:val="right" w:leader="dot" w:pos="9746"/>
        </w:tabs>
        <w:spacing w:line="380" w:lineRule="exact"/>
        <w:rPr>
          <w:noProof/>
        </w:rPr>
      </w:pPr>
      <w:hyperlink w:anchor="_Toc7924" w:history="1">
        <w:r>
          <w:rPr>
            <w:rFonts w:eastAsia="仿宋_GB2312" w:hint="eastAsia"/>
            <w:noProof/>
            <w:szCs w:val="30"/>
          </w:rPr>
          <w:t>三</w:t>
        </w:r>
        <w:r>
          <w:rPr>
            <w:rFonts w:eastAsia="仿宋_GB2312"/>
            <w:noProof/>
            <w:szCs w:val="30"/>
          </w:rPr>
          <w:t>、区</w:t>
        </w:r>
        <w:r>
          <w:rPr>
            <w:rFonts w:eastAsia="仿宋_GB2312" w:hint="eastAsia"/>
            <w:noProof/>
            <w:szCs w:val="30"/>
          </w:rPr>
          <w:t>位</w:t>
        </w:r>
        <w:r>
          <w:rPr>
            <w:rFonts w:eastAsia="仿宋_GB2312"/>
            <w:noProof/>
            <w:szCs w:val="30"/>
          </w:rPr>
          <w:t>状况描述与分析</w:t>
        </w:r>
        <w:r>
          <w:rPr>
            <w:noProof/>
          </w:rPr>
          <w:tab/>
        </w:r>
        <w:r>
          <w:rPr>
            <w:noProof/>
          </w:rPr>
          <w:fldChar w:fldCharType="begin"/>
        </w:r>
        <w:r>
          <w:rPr>
            <w:noProof/>
          </w:rPr>
          <w:instrText xml:space="preserve"> PAGEREF _Toc7924 \h </w:instrText>
        </w:r>
        <w:r>
          <w:rPr>
            <w:noProof/>
          </w:rPr>
        </w:r>
        <w:r>
          <w:rPr>
            <w:noProof/>
          </w:rPr>
          <w:fldChar w:fldCharType="separate"/>
        </w:r>
        <w:r w:rsidR="00F44229">
          <w:rPr>
            <w:noProof/>
          </w:rPr>
          <w:t>23</w:t>
        </w:r>
        <w:r>
          <w:rPr>
            <w:noProof/>
          </w:rPr>
          <w:fldChar w:fldCharType="end"/>
        </w:r>
      </w:hyperlink>
    </w:p>
    <w:p w14:paraId="1DC68EE8" w14:textId="5C0A9D45" w:rsidR="00EF6A0E" w:rsidRDefault="00000000">
      <w:pPr>
        <w:pStyle w:val="TOC2"/>
        <w:tabs>
          <w:tab w:val="clear" w:pos="9890"/>
          <w:tab w:val="right" w:leader="dot" w:pos="9746"/>
        </w:tabs>
        <w:spacing w:line="380" w:lineRule="exact"/>
        <w:rPr>
          <w:noProof/>
        </w:rPr>
      </w:pPr>
      <w:hyperlink w:anchor="_Toc19022" w:history="1">
        <w:r>
          <w:rPr>
            <w:rFonts w:eastAsia="仿宋_GB2312" w:hint="eastAsia"/>
            <w:noProof/>
            <w:szCs w:val="30"/>
          </w:rPr>
          <w:t>四</w:t>
        </w:r>
        <w:r>
          <w:rPr>
            <w:rFonts w:eastAsia="仿宋_GB2312"/>
            <w:noProof/>
            <w:szCs w:val="30"/>
          </w:rPr>
          <w:t>、市场背景</w:t>
        </w:r>
        <w:r>
          <w:rPr>
            <w:rFonts w:eastAsia="仿宋_GB2312" w:hint="eastAsia"/>
            <w:noProof/>
            <w:szCs w:val="30"/>
          </w:rPr>
          <w:t>描述与</w:t>
        </w:r>
        <w:r>
          <w:rPr>
            <w:rFonts w:eastAsia="仿宋_GB2312"/>
            <w:noProof/>
            <w:szCs w:val="30"/>
          </w:rPr>
          <w:t>分析</w:t>
        </w:r>
        <w:r>
          <w:rPr>
            <w:noProof/>
          </w:rPr>
          <w:tab/>
        </w:r>
        <w:r>
          <w:rPr>
            <w:noProof/>
          </w:rPr>
          <w:fldChar w:fldCharType="begin"/>
        </w:r>
        <w:r>
          <w:rPr>
            <w:noProof/>
          </w:rPr>
          <w:instrText xml:space="preserve"> PAGEREF _Toc19022 \h </w:instrText>
        </w:r>
        <w:r>
          <w:rPr>
            <w:noProof/>
          </w:rPr>
        </w:r>
        <w:r>
          <w:rPr>
            <w:noProof/>
          </w:rPr>
          <w:fldChar w:fldCharType="separate"/>
        </w:r>
        <w:r w:rsidR="00F44229">
          <w:rPr>
            <w:noProof/>
          </w:rPr>
          <w:t>24</w:t>
        </w:r>
        <w:r>
          <w:rPr>
            <w:noProof/>
          </w:rPr>
          <w:fldChar w:fldCharType="end"/>
        </w:r>
      </w:hyperlink>
    </w:p>
    <w:p w14:paraId="6565298E" w14:textId="23199283" w:rsidR="00EF6A0E" w:rsidRDefault="00000000">
      <w:pPr>
        <w:pStyle w:val="TOC2"/>
        <w:tabs>
          <w:tab w:val="clear" w:pos="9890"/>
          <w:tab w:val="right" w:leader="dot" w:pos="9746"/>
        </w:tabs>
        <w:spacing w:line="380" w:lineRule="exact"/>
        <w:rPr>
          <w:noProof/>
        </w:rPr>
      </w:pPr>
      <w:hyperlink w:anchor="_Toc30603" w:history="1">
        <w:r>
          <w:rPr>
            <w:rFonts w:eastAsia="仿宋_GB2312" w:hint="eastAsia"/>
            <w:noProof/>
            <w:szCs w:val="30"/>
          </w:rPr>
          <w:t>五</w:t>
        </w:r>
        <w:r>
          <w:rPr>
            <w:rFonts w:eastAsia="仿宋_GB2312"/>
            <w:noProof/>
            <w:szCs w:val="30"/>
          </w:rPr>
          <w:t>、最高最佳</w:t>
        </w:r>
        <w:r>
          <w:rPr>
            <w:rFonts w:eastAsia="仿宋_GB2312" w:hint="eastAsia"/>
            <w:noProof/>
            <w:szCs w:val="30"/>
          </w:rPr>
          <w:t>利用</w:t>
        </w:r>
        <w:r>
          <w:rPr>
            <w:rFonts w:eastAsia="仿宋_GB2312"/>
            <w:noProof/>
            <w:szCs w:val="30"/>
          </w:rPr>
          <w:t>分析</w:t>
        </w:r>
        <w:r>
          <w:rPr>
            <w:noProof/>
          </w:rPr>
          <w:tab/>
        </w:r>
        <w:r>
          <w:rPr>
            <w:noProof/>
          </w:rPr>
          <w:fldChar w:fldCharType="begin"/>
        </w:r>
        <w:r>
          <w:rPr>
            <w:noProof/>
          </w:rPr>
          <w:instrText xml:space="preserve"> PAGEREF _Toc30603 \h </w:instrText>
        </w:r>
        <w:r>
          <w:rPr>
            <w:noProof/>
          </w:rPr>
        </w:r>
        <w:r>
          <w:rPr>
            <w:noProof/>
          </w:rPr>
          <w:fldChar w:fldCharType="separate"/>
        </w:r>
        <w:r w:rsidR="00F44229">
          <w:rPr>
            <w:noProof/>
          </w:rPr>
          <w:t>26</w:t>
        </w:r>
        <w:r>
          <w:rPr>
            <w:noProof/>
          </w:rPr>
          <w:fldChar w:fldCharType="end"/>
        </w:r>
      </w:hyperlink>
    </w:p>
    <w:p w14:paraId="74F80D2A" w14:textId="243AD375" w:rsidR="00EF6A0E" w:rsidRDefault="00000000">
      <w:pPr>
        <w:pStyle w:val="TOC2"/>
        <w:tabs>
          <w:tab w:val="clear" w:pos="9890"/>
          <w:tab w:val="right" w:leader="dot" w:pos="9746"/>
        </w:tabs>
        <w:spacing w:line="380" w:lineRule="exact"/>
        <w:rPr>
          <w:noProof/>
        </w:rPr>
      </w:pPr>
      <w:hyperlink w:anchor="_Toc22630" w:history="1">
        <w:r>
          <w:rPr>
            <w:rFonts w:eastAsia="仿宋_GB2312" w:hint="eastAsia"/>
            <w:noProof/>
            <w:szCs w:val="30"/>
          </w:rPr>
          <w:t>六</w:t>
        </w:r>
        <w:r>
          <w:rPr>
            <w:rFonts w:eastAsia="仿宋_GB2312"/>
            <w:noProof/>
            <w:szCs w:val="30"/>
          </w:rPr>
          <w:t>、估价方法</w:t>
        </w:r>
        <w:r>
          <w:rPr>
            <w:rFonts w:eastAsia="仿宋_GB2312" w:hint="eastAsia"/>
            <w:noProof/>
            <w:szCs w:val="30"/>
          </w:rPr>
          <w:t>适用性分析</w:t>
        </w:r>
        <w:r>
          <w:rPr>
            <w:noProof/>
          </w:rPr>
          <w:tab/>
        </w:r>
        <w:r>
          <w:rPr>
            <w:noProof/>
          </w:rPr>
          <w:fldChar w:fldCharType="begin"/>
        </w:r>
        <w:r>
          <w:rPr>
            <w:noProof/>
          </w:rPr>
          <w:instrText xml:space="preserve"> PAGEREF _Toc22630 \h </w:instrText>
        </w:r>
        <w:r>
          <w:rPr>
            <w:noProof/>
          </w:rPr>
        </w:r>
        <w:r>
          <w:rPr>
            <w:noProof/>
          </w:rPr>
          <w:fldChar w:fldCharType="separate"/>
        </w:r>
        <w:r w:rsidR="00F44229">
          <w:rPr>
            <w:noProof/>
          </w:rPr>
          <w:t>28</w:t>
        </w:r>
        <w:r>
          <w:rPr>
            <w:noProof/>
          </w:rPr>
          <w:fldChar w:fldCharType="end"/>
        </w:r>
      </w:hyperlink>
    </w:p>
    <w:p w14:paraId="6B1E09A1" w14:textId="4087561A" w:rsidR="00EF6A0E" w:rsidRDefault="00000000">
      <w:pPr>
        <w:pStyle w:val="TOC2"/>
        <w:tabs>
          <w:tab w:val="clear" w:pos="9890"/>
          <w:tab w:val="right" w:leader="dot" w:pos="9746"/>
        </w:tabs>
        <w:spacing w:line="380" w:lineRule="exact"/>
        <w:rPr>
          <w:noProof/>
        </w:rPr>
      </w:pPr>
      <w:hyperlink w:anchor="_Toc22742" w:history="1">
        <w:r>
          <w:rPr>
            <w:rFonts w:eastAsia="仿宋_GB2312" w:hint="eastAsia"/>
            <w:noProof/>
            <w:szCs w:val="30"/>
          </w:rPr>
          <w:t>七</w:t>
        </w:r>
        <w:r>
          <w:rPr>
            <w:rFonts w:eastAsia="仿宋_GB2312"/>
            <w:noProof/>
            <w:szCs w:val="30"/>
          </w:rPr>
          <w:t>、估价测算过程</w:t>
        </w:r>
        <w:r>
          <w:rPr>
            <w:noProof/>
          </w:rPr>
          <w:tab/>
        </w:r>
        <w:r>
          <w:rPr>
            <w:noProof/>
          </w:rPr>
          <w:fldChar w:fldCharType="begin"/>
        </w:r>
        <w:r>
          <w:rPr>
            <w:noProof/>
          </w:rPr>
          <w:instrText xml:space="preserve"> PAGEREF _Toc22742 \h </w:instrText>
        </w:r>
        <w:r>
          <w:rPr>
            <w:noProof/>
          </w:rPr>
        </w:r>
        <w:r>
          <w:rPr>
            <w:noProof/>
          </w:rPr>
          <w:fldChar w:fldCharType="separate"/>
        </w:r>
        <w:r w:rsidR="00F44229">
          <w:rPr>
            <w:noProof/>
          </w:rPr>
          <w:t>29</w:t>
        </w:r>
        <w:r>
          <w:rPr>
            <w:noProof/>
          </w:rPr>
          <w:fldChar w:fldCharType="end"/>
        </w:r>
      </w:hyperlink>
    </w:p>
    <w:p w14:paraId="7A644B9D" w14:textId="2DA90FC7" w:rsidR="00EF6A0E" w:rsidRDefault="00000000">
      <w:pPr>
        <w:pStyle w:val="TOC2"/>
        <w:tabs>
          <w:tab w:val="clear" w:pos="9890"/>
          <w:tab w:val="right" w:leader="dot" w:pos="9746"/>
        </w:tabs>
        <w:spacing w:line="380" w:lineRule="exact"/>
        <w:rPr>
          <w:noProof/>
        </w:rPr>
      </w:pPr>
      <w:hyperlink w:anchor="_Toc6255" w:history="1">
        <w:r>
          <w:rPr>
            <w:rFonts w:eastAsia="仿宋_GB2312" w:hint="eastAsia"/>
            <w:noProof/>
            <w:szCs w:val="30"/>
          </w:rPr>
          <w:t>八、</w:t>
        </w:r>
        <w:r>
          <w:rPr>
            <w:rFonts w:eastAsia="仿宋_GB2312"/>
            <w:noProof/>
            <w:szCs w:val="30"/>
          </w:rPr>
          <w:t>估价结果确定</w:t>
        </w:r>
        <w:r>
          <w:rPr>
            <w:noProof/>
          </w:rPr>
          <w:tab/>
        </w:r>
        <w:r>
          <w:rPr>
            <w:noProof/>
          </w:rPr>
          <w:fldChar w:fldCharType="begin"/>
        </w:r>
        <w:r>
          <w:rPr>
            <w:noProof/>
          </w:rPr>
          <w:instrText xml:space="preserve"> PAGEREF _Toc6255 \h </w:instrText>
        </w:r>
        <w:r>
          <w:rPr>
            <w:noProof/>
          </w:rPr>
        </w:r>
        <w:r>
          <w:rPr>
            <w:noProof/>
          </w:rPr>
          <w:fldChar w:fldCharType="separate"/>
        </w:r>
        <w:r w:rsidR="00F44229">
          <w:rPr>
            <w:noProof/>
          </w:rPr>
          <w:t>34</w:t>
        </w:r>
        <w:r>
          <w:rPr>
            <w:noProof/>
          </w:rPr>
          <w:fldChar w:fldCharType="end"/>
        </w:r>
      </w:hyperlink>
    </w:p>
    <w:p w14:paraId="74B5B60D" w14:textId="2566A104" w:rsidR="00EF6A0E" w:rsidRDefault="00000000">
      <w:pPr>
        <w:pStyle w:val="TOC2"/>
        <w:tabs>
          <w:tab w:val="clear" w:pos="9890"/>
          <w:tab w:val="right" w:leader="dot" w:pos="9746"/>
        </w:tabs>
        <w:spacing w:line="380" w:lineRule="exact"/>
        <w:rPr>
          <w:noProof/>
        </w:rPr>
      </w:pPr>
      <w:hyperlink w:anchor="_Toc22805" w:history="1">
        <w:r>
          <w:rPr>
            <w:rFonts w:ascii="仿宋" w:eastAsia="仿宋" w:hAnsi="仿宋" w:cs="仿宋" w:hint="eastAsia"/>
            <w:bCs/>
            <w:noProof/>
            <w:kern w:val="0"/>
            <w:szCs w:val="44"/>
          </w:rPr>
          <w:t>附     件</w:t>
        </w:r>
        <w:r>
          <w:rPr>
            <w:noProof/>
          </w:rPr>
          <w:tab/>
        </w:r>
        <w:r>
          <w:rPr>
            <w:noProof/>
          </w:rPr>
          <w:fldChar w:fldCharType="begin"/>
        </w:r>
        <w:r>
          <w:rPr>
            <w:noProof/>
          </w:rPr>
          <w:instrText xml:space="preserve"> PAGEREF _Toc22805 \h </w:instrText>
        </w:r>
        <w:r>
          <w:rPr>
            <w:noProof/>
          </w:rPr>
        </w:r>
        <w:r>
          <w:rPr>
            <w:noProof/>
          </w:rPr>
          <w:fldChar w:fldCharType="separate"/>
        </w:r>
        <w:r w:rsidR="00F44229">
          <w:rPr>
            <w:noProof/>
          </w:rPr>
          <w:t>35</w:t>
        </w:r>
        <w:r>
          <w:rPr>
            <w:noProof/>
          </w:rPr>
          <w:fldChar w:fldCharType="end"/>
        </w:r>
      </w:hyperlink>
    </w:p>
    <w:p w14:paraId="7A15FFD7" w14:textId="77777777" w:rsidR="00EF6A0E" w:rsidRDefault="00000000">
      <w:pPr>
        <w:spacing w:line="380" w:lineRule="exact"/>
        <w:rPr>
          <w:rFonts w:ascii="仿宋" w:eastAsia="仿宋" w:hAnsi="仿宋" w:cs="仿宋"/>
        </w:rPr>
      </w:pPr>
      <w:r>
        <w:rPr>
          <w:rFonts w:ascii="仿宋" w:eastAsia="仿宋" w:hAnsi="仿宋" w:cs="仿宋" w:hint="eastAsia"/>
        </w:rPr>
        <w:fldChar w:fldCharType="end"/>
      </w:r>
    </w:p>
    <w:p w14:paraId="3904C355" w14:textId="77777777" w:rsidR="00EF6A0E" w:rsidRDefault="00EF6A0E">
      <w:pPr>
        <w:spacing w:line="440" w:lineRule="exact"/>
        <w:rPr>
          <w:rFonts w:ascii="仿宋" w:eastAsia="仿宋" w:hAnsi="仿宋" w:cs="仿宋"/>
        </w:rPr>
      </w:pPr>
    </w:p>
    <w:p w14:paraId="06C660D6" w14:textId="77777777" w:rsidR="00EF6A0E" w:rsidRDefault="00EF6A0E">
      <w:pPr>
        <w:spacing w:line="440" w:lineRule="exact"/>
        <w:rPr>
          <w:rFonts w:ascii="仿宋" w:eastAsia="仿宋" w:hAnsi="仿宋" w:cs="仿宋"/>
        </w:rPr>
      </w:pPr>
    </w:p>
    <w:p w14:paraId="037D93C3" w14:textId="77777777" w:rsidR="00EF6A0E" w:rsidRDefault="00EF6A0E">
      <w:pPr>
        <w:spacing w:line="440" w:lineRule="exact"/>
        <w:rPr>
          <w:rFonts w:ascii="仿宋" w:eastAsia="仿宋" w:hAnsi="仿宋" w:cs="仿宋"/>
        </w:rPr>
      </w:pPr>
    </w:p>
    <w:p w14:paraId="039A6527" w14:textId="77777777" w:rsidR="00EF6A0E" w:rsidRDefault="00000000">
      <w:pPr>
        <w:pStyle w:val="1"/>
        <w:spacing w:before="0" w:after="0"/>
        <w:jc w:val="center"/>
        <w:rPr>
          <w:rFonts w:ascii="仿宋" w:eastAsia="仿宋" w:hAnsi="仿宋" w:cs="仿宋"/>
          <w:kern w:val="0"/>
          <w:sz w:val="52"/>
          <w:szCs w:val="52"/>
        </w:rPr>
      </w:pPr>
      <w:bookmarkStart w:id="2" w:name="_Toc8398"/>
      <w:r>
        <w:rPr>
          <w:rFonts w:ascii="仿宋" w:eastAsia="仿宋" w:hAnsi="仿宋" w:cs="仿宋" w:hint="eastAsia"/>
          <w:kern w:val="0"/>
          <w:sz w:val="52"/>
          <w:szCs w:val="52"/>
        </w:rPr>
        <w:lastRenderedPageBreak/>
        <w:t>估价师声明</w:t>
      </w:r>
      <w:bookmarkEnd w:id="1"/>
      <w:bookmarkEnd w:id="2"/>
    </w:p>
    <w:p w14:paraId="55273D51"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所有参加估价的注册房地产估价师郑重申明：</w:t>
      </w:r>
    </w:p>
    <w:p w14:paraId="5D683673"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一、注册房地产估价师在执行估价业务中，严格遵循相关法律法规和估价规范对注册房地产估价师的估价职业道德要求。</w:t>
      </w:r>
    </w:p>
    <w:p w14:paraId="01FDB472"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二、注册房地产估价师具备估价业务所需的专业胜任能力。</w:t>
      </w:r>
      <w:r>
        <w:rPr>
          <w:rFonts w:eastAsia="仿宋_GB2312" w:hint="eastAsia"/>
          <w:color w:val="000000"/>
          <w:sz w:val="26"/>
          <w:szCs w:val="26"/>
        </w:rPr>
        <w:t xml:space="preserve"> </w:t>
      </w:r>
    </w:p>
    <w:p w14:paraId="7D0024A5"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三、注册房地产估价师估价业务中勤勉尽责，搜集合法、真实、准确、完整的估价所需资料，对搜集的估价所需资料进行检查，并对估价对象进行实地查勘。</w:t>
      </w:r>
    </w:p>
    <w:p w14:paraId="098AC6BB"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四、注册房地产估价师在估价报告中对事实的说明是真实和准确的，没有虚假记载、误导性陈述和重大遗漏。</w:t>
      </w:r>
    </w:p>
    <w:p w14:paraId="2BF6B6F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五、估价报告中的分析、意见和结论是注册房地产估价师独立、客观、公正的专业分析、意见和结论，但受到估价报告中已说明的估价假设和限制条件的限制。</w:t>
      </w:r>
    </w:p>
    <w:p w14:paraId="32D71DEB"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六、注册房地产估价师与估价报告中的估价对象没有现实或潜在的利益，与估价委托方及估价利害关系人没有利害关系，也对估价对象、估价委托方及估价利害关系人没有偏见。</w:t>
      </w:r>
    </w:p>
    <w:p w14:paraId="01A38C94"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七、注册房地产估价师是按照《房地产估价规范》</w:t>
      </w:r>
      <w:r>
        <w:rPr>
          <w:rFonts w:eastAsia="仿宋_GB2312" w:hint="eastAsia"/>
          <w:color w:val="000000"/>
          <w:sz w:val="26"/>
          <w:szCs w:val="26"/>
        </w:rPr>
        <w:t>GB/T50291-2015</w:t>
      </w:r>
      <w:r>
        <w:rPr>
          <w:rFonts w:eastAsia="仿宋_GB2312" w:hint="eastAsia"/>
          <w:color w:val="000000"/>
          <w:sz w:val="26"/>
          <w:szCs w:val="26"/>
        </w:rPr>
        <w:t>、《房地产估价基本术语标准》</w:t>
      </w:r>
      <w:r>
        <w:rPr>
          <w:rFonts w:eastAsia="仿宋_GB2312" w:hint="eastAsia"/>
          <w:color w:val="000000"/>
          <w:sz w:val="26"/>
          <w:szCs w:val="26"/>
        </w:rPr>
        <w:t>GB/T50899</w:t>
      </w:r>
      <w:r>
        <w:rPr>
          <w:rFonts w:eastAsia="仿宋_GB2312" w:hint="eastAsia"/>
          <w:color w:val="000000"/>
          <w:sz w:val="26"/>
          <w:szCs w:val="26"/>
        </w:rPr>
        <w:t>—</w:t>
      </w:r>
      <w:r>
        <w:rPr>
          <w:rFonts w:eastAsia="仿宋_GB2312" w:hint="eastAsia"/>
          <w:color w:val="000000"/>
          <w:sz w:val="26"/>
          <w:szCs w:val="26"/>
        </w:rPr>
        <w:t>2013</w:t>
      </w:r>
      <w:r>
        <w:rPr>
          <w:rFonts w:eastAsia="仿宋_GB2312" w:hint="eastAsia"/>
          <w:color w:val="000000"/>
          <w:sz w:val="26"/>
          <w:szCs w:val="26"/>
        </w:rPr>
        <w:t>、等房地产估价标准的规定进行估价工作，撰写估价报告。</w:t>
      </w:r>
    </w:p>
    <w:p w14:paraId="7A54B2D3"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八、本估价报告没有专业帮助、未依据相关专业意见。</w:t>
      </w:r>
    </w:p>
    <w:p w14:paraId="1E5D372D" w14:textId="77777777" w:rsidR="00EF6A0E" w:rsidRDefault="00EF6A0E">
      <w:pPr>
        <w:adjustRightInd w:val="0"/>
        <w:snapToGrid w:val="0"/>
        <w:spacing w:line="440" w:lineRule="exact"/>
        <w:ind w:firstLineChars="200" w:firstLine="520"/>
        <w:rPr>
          <w:rFonts w:eastAsia="仿宋_GB2312"/>
          <w:color w:val="000000"/>
          <w:sz w:val="26"/>
          <w:szCs w:val="26"/>
        </w:rPr>
      </w:pPr>
    </w:p>
    <w:tbl>
      <w:tblPr>
        <w:tblW w:w="0" w:type="auto"/>
        <w:jc w:val="center"/>
        <w:tblLayout w:type="fixed"/>
        <w:tblLook w:val="04A0" w:firstRow="1" w:lastRow="0" w:firstColumn="1" w:lastColumn="0" w:noHBand="0" w:noVBand="1"/>
      </w:tblPr>
      <w:tblGrid>
        <w:gridCol w:w="3033"/>
        <w:gridCol w:w="3405"/>
        <w:gridCol w:w="3482"/>
      </w:tblGrid>
      <w:tr w:rsidR="00EF6A0E" w14:paraId="669AEAD6" w14:textId="77777777">
        <w:trPr>
          <w:trHeight w:val="768"/>
          <w:jc w:val="center"/>
        </w:trPr>
        <w:tc>
          <w:tcPr>
            <w:tcW w:w="3033" w:type="dxa"/>
            <w:tcBorders>
              <w:top w:val="single" w:sz="4" w:space="0" w:color="auto"/>
              <w:left w:val="single" w:sz="4" w:space="0" w:color="auto"/>
              <w:bottom w:val="single" w:sz="4" w:space="0" w:color="auto"/>
              <w:right w:val="single" w:sz="4" w:space="0" w:color="auto"/>
            </w:tcBorders>
            <w:vAlign w:val="center"/>
          </w:tcPr>
          <w:p w14:paraId="791A755D"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姓   名</w:t>
            </w:r>
          </w:p>
        </w:tc>
        <w:tc>
          <w:tcPr>
            <w:tcW w:w="3405" w:type="dxa"/>
            <w:tcBorders>
              <w:top w:val="single" w:sz="4" w:space="0" w:color="auto"/>
              <w:left w:val="nil"/>
              <w:bottom w:val="single" w:sz="4" w:space="0" w:color="auto"/>
              <w:right w:val="single" w:sz="4" w:space="0" w:color="auto"/>
            </w:tcBorders>
            <w:vAlign w:val="center"/>
          </w:tcPr>
          <w:p w14:paraId="07155D96"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注册号</w:t>
            </w:r>
          </w:p>
        </w:tc>
        <w:tc>
          <w:tcPr>
            <w:tcW w:w="3482" w:type="dxa"/>
            <w:tcBorders>
              <w:top w:val="single" w:sz="4" w:space="0" w:color="auto"/>
              <w:left w:val="nil"/>
              <w:bottom w:val="single" w:sz="4" w:space="0" w:color="auto"/>
              <w:right w:val="single" w:sz="4" w:space="0" w:color="auto"/>
            </w:tcBorders>
            <w:vAlign w:val="center"/>
          </w:tcPr>
          <w:p w14:paraId="59B3ED13"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签名</w:t>
            </w:r>
          </w:p>
        </w:tc>
      </w:tr>
      <w:tr w:rsidR="00EF6A0E" w14:paraId="122B38F4" w14:textId="77777777">
        <w:trPr>
          <w:trHeight w:val="768"/>
          <w:jc w:val="center"/>
        </w:trPr>
        <w:tc>
          <w:tcPr>
            <w:tcW w:w="3033" w:type="dxa"/>
            <w:tcBorders>
              <w:top w:val="nil"/>
              <w:left w:val="single" w:sz="4" w:space="0" w:color="auto"/>
              <w:bottom w:val="single" w:sz="4" w:space="0" w:color="auto"/>
              <w:right w:val="single" w:sz="4" w:space="0" w:color="auto"/>
            </w:tcBorders>
            <w:vAlign w:val="center"/>
          </w:tcPr>
          <w:p w14:paraId="602FF406"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覃  剑</w:t>
            </w:r>
          </w:p>
        </w:tc>
        <w:tc>
          <w:tcPr>
            <w:tcW w:w="3405" w:type="dxa"/>
            <w:tcBorders>
              <w:top w:val="nil"/>
              <w:left w:val="nil"/>
              <w:bottom w:val="single" w:sz="4" w:space="0" w:color="auto"/>
              <w:right w:val="single" w:sz="4" w:space="0" w:color="auto"/>
            </w:tcBorders>
            <w:vAlign w:val="center"/>
          </w:tcPr>
          <w:p w14:paraId="2AB173AE"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5220040052</w:t>
            </w:r>
          </w:p>
        </w:tc>
        <w:tc>
          <w:tcPr>
            <w:tcW w:w="3482" w:type="dxa"/>
            <w:tcBorders>
              <w:top w:val="nil"/>
              <w:left w:val="nil"/>
              <w:bottom w:val="single" w:sz="4" w:space="0" w:color="auto"/>
              <w:right w:val="single" w:sz="4" w:space="0" w:color="auto"/>
            </w:tcBorders>
            <w:vAlign w:val="center"/>
          </w:tcPr>
          <w:p w14:paraId="74AFAA75" w14:textId="77777777" w:rsidR="00EF6A0E" w:rsidRDefault="00000000">
            <w:pPr>
              <w:widowControl/>
              <w:jc w:val="center"/>
              <w:rPr>
                <w:rFonts w:ascii="仿宋" w:eastAsia="仿宋" w:hAnsi="仿宋" w:cs="仿宋"/>
                <w:kern w:val="0"/>
                <w:sz w:val="28"/>
                <w:szCs w:val="28"/>
              </w:rPr>
            </w:pPr>
            <w:r>
              <w:rPr>
                <w:rFonts w:ascii="仿宋" w:eastAsia="仿宋" w:hAnsi="仿宋" w:cs="仿宋" w:hint="eastAsia"/>
                <w:kern w:val="0"/>
                <w:sz w:val="28"/>
                <w:szCs w:val="28"/>
              </w:rPr>
              <w:t xml:space="preserve">　</w:t>
            </w:r>
          </w:p>
        </w:tc>
      </w:tr>
      <w:tr w:rsidR="00EF6A0E" w14:paraId="6D8C5D6B" w14:textId="77777777">
        <w:trPr>
          <w:trHeight w:val="814"/>
          <w:jc w:val="center"/>
        </w:trPr>
        <w:tc>
          <w:tcPr>
            <w:tcW w:w="3033" w:type="dxa"/>
            <w:tcBorders>
              <w:top w:val="nil"/>
              <w:left w:val="single" w:sz="4" w:space="0" w:color="auto"/>
              <w:bottom w:val="single" w:sz="4" w:space="0" w:color="auto"/>
              <w:right w:val="single" w:sz="4" w:space="0" w:color="auto"/>
            </w:tcBorders>
            <w:vAlign w:val="center"/>
          </w:tcPr>
          <w:p w14:paraId="1F34923A"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杨青钢</w:t>
            </w:r>
          </w:p>
        </w:tc>
        <w:tc>
          <w:tcPr>
            <w:tcW w:w="3405" w:type="dxa"/>
            <w:tcBorders>
              <w:top w:val="nil"/>
              <w:left w:val="nil"/>
              <w:bottom w:val="single" w:sz="4" w:space="0" w:color="auto"/>
              <w:right w:val="single" w:sz="4" w:space="0" w:color="auto"/>
            </w:tcBorders>
            <w:vAlign w:val="center"/>
          </w:tcPr>
          <w:p w14:paraId="3EDA8DA4"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5220200026</w:t>
            </w:r>
          </w:p>
        </w:tc>
        <w:tc>
          <w:tcPr>
            <w:tcW w:w="3482" w:type="dxa"/>
            <w:tcBorders>
              <w:top w:val="nil"/>
              <w:left w:val="nil"/>
              <w:bottom w:val="single" w:sz="4" w:space="0" w:color="auto"/>
              <w:right w:val="single" w:sz="4" w:space="0" w:color="auto"/>
            </w:tcBorders>
            <w:vAlign w:val="center"/>
          </w:tcPr>
          <w:p w14:paraId="6178ACDC" w14:textId="77777777" w:rsidR="00EF6A0E" w:rsidRDefault="00000000">
            <w:pPr>
              <w:widowControl/>
              <w:jc w:val="center"/>
              <w:rPr>
                <w:rFonts w:ascii="仿宋" w:eastAsia="仿宋" w:hAnsi="仿宋" w:cs="仿宋"/>
                <w:kern w:val="0"/>
                <w:sz w:val="28"/>
                <w:szCs w:val="28"/>
              </w:rPr>
            </w:pPr>
            <w:r>
              <w:rPr>
                <w:rFonts w:ascii="仿宋" w:eastAsia="仿宋" w:hAnsi="仿宋" w:cs="仿宋" w:hint="eastAsia"/>
                <w:kern w:val="0"/>
                <w:sz w:val="28"/>
                <w:szCs w:val="28"/>
              </w:rPr>
              <w:t xml:space="preserve">　</w:t>
            </w:r>
          </w:p>
        </w:tc>
      </w:tr>
    </w:tbl>
    <w:p w14:paraId="3CE8C87C" w14:textId="77777777" w:rsidR="00EF6A0E" w:rsidRDefault="00000000">
      <w:pPr>
        <w:overflowPunct w:val="0"/>
        <w:topLinePunct/>
        <w:adjustRightInd w:val="0"/>
        <w:snapToGrid w:val="0"/>
        <w:spacing w:line="300" w:lineRule="auto"/>
        <w:ind w:firstLineChars="200" w:firstLine="560"/>
        <w:jc w:val="left"/>
        <w:rPr>
          <w:rFonts w:ascii="仿宋" w:eastAsia="仿宋" w:hAnsi="仿宋" w:cs="仿宋"/>
          <w:bCs/>
          <w:sz w:val="28"/>
        </w:rPr>
      </w:pPr>
      <w:r>
        <w:rPr>
          <w:rFonts w:ascii="仿宋" w:eastAsia="仿宋" w:hAnsi="仿宋" w:cs="仿宋" w:hint="eastAsia"/>
          <w:bCs/>
          <w:sz w:val="28"/>
        </w:rPr>
        <w:t xml:space="preserve">    </w:t>
      </w:r>
    </w:p>
    <w:p w14:paraId="49600534" w14:textId="4650C407" w:rsidR="00EF6A0E" w:rsidRDefault="00000000">
      <w:pPr>
        <w:overflowPunct w:val="0"/>
        <w:topLinePunct/>
        <w:adjustRightInd w:val="0"/>
        <w:snapToGrid w:val="0"/>
        <w:spacing w:line="300" w:lineRule="auto"/>
        <w:ind w:firstLineChars="2800" w:firstLine="6746"/>
        <w:rPr>
          <w:rFonts w:ascii="仿宋" w:eastAsia="仿宋" w:hAnsi="仿宋" w:cs="仿宋"/>
          <w:color w:val="000000"/>
          <w:kern w:val="0"/>
          <w:sz w:val="28"/>
          <w:szCs w:val="28"/>
        </w:rPr>
      </w:pPr>
      <w:r>
        <w:rPr>
          <w:rFonts w:ascii="仿宋" w:eastAsia="仿宋" w:hAnsi="仿宋" w:cs="仿宋" w:hint="eastAsia"/>
          <w:b/>
          <w:bCs/>
          <w:sz w:val="24"/>
        </w:rPr>
        <w:t>二〇二二年</w:t>
      </w:r>
      <w:r w:rsidR="00597FD5">
        <w:rPr>
          <w:rFonts w:ascii="仿宋" w:eastAsia="仿宋" w:hAnsi="仿宋" w:cs="仿宋" w:hint="eastAsia"/>
          <w:b/>
          <w:bCs/>
          <w:sz w:val="24"/>
        </w:rPr>
        <w:t>七</w:t>
      </w:r>
      <w:r>
        <w:rPr>
          <w:rFonts w:ascii="仿宋" w:eastAsia="仿宋" w:hAnsi="仿宋" w:cs="仿宋" w:hint="eastAsia"/>
          <w:b/>
          <w:bCs/>
          <w:sz w:val="24"/>
        </w:rPr>
        <w:t>月十一日</w:t>
      </w:r>
    </w:p>
    <w:p w14:paraId="03B472A9" w14:textId="77777777" w:rsidR="00EF6A0E" w:rsidRDefault="00EF6A0E">
      <w:pPr>
        <w:overflowPunct w:val="0"/>
        <w:topLinePunct/>
        <w:adjustRightInd w:val="0"/>
        <w:snapToGrid w:val="0"/>
        <w:spacing w:line="300" w:lineRule="auto"/>
        <w:rPr>
          <w:rFonts w:ascii="仿宋" w:eastAsia="仿宋" w:hAnsi="仿宋" w:cs="仿宋"/>
          <w:color w:val="000000"/>
          <w:kern w:val="0"/>
          <w:sz w:val="28"/>
          <w:szCs w:val="28"/>
        </w:rPr>
      </w:pPr>
    </w:p>
    <w:p w14:paraId="3C9F7DE9" w14:textId="77777777" w:rsidR="00EF6A0E" w:rsidRDefault="00EF6A0E">
      <w:pPr>
        <w:overflowPunct w:val="0"/>
        <w:topLinePunct/>
        <w:adjustRightInd w:val="0"/>
        <w:snapToGrid w:val="0"/>
        <w:spacing w:line="300" w:lineRule="auto"/>
        <w:rPr>
          <w:rFonts w:ascii="仿宋" w:eastAsia="仿宋" w:hAnsi="仿宋" w:cs="仿宋"/>
          <w:color w:val="000000"/>
          <w:kern w:val="0"/>
          <w:sz w:val="28"/>
          <w:szCs w:val="28"/>
        </w:rPr>
      </w:pPr>
    </w:p>
    <w:p w14:paraId="4DAE162E" w14:textId="77777777" w:rsidR="00EF6A0E" w:rsidRDefault="00EF6A0E">
      <w:pPr>
        <w:overflowPunct w:val="0"/>
        <w:topLinePunct/>
        <w:adjustRightInd w:val="0"/>
        <w:snapToGrid w:val="0"/>
        <w:spacing w:line="300" w:lineRule="auto"/>
        <w:rPr>
          <w:rFonts w:ascii="仿宋" w:eastAsia="仿宋" w:hAnsi="仿宋" w:cs="仿宋"/>
          <w:color w:val="000000"/>
          <w:kern w:val="0"/>
          <w:sz w:val="28"/>
          <w:szCs w:val="28"/>
        </w:rPr>
      </w:pPr>
    </w:p>
    <w:p w14:paraId="2A95C7F1" w14:textId="77777777" w:rsidR="00EF6A0E" w:rsidRDefault="00000000">
      <w:pPr>
        <w:pStyle w:val="1"/>
        <w:spacing w:before="0" w:after="0"/>
        <w:jc w:val="center"/>
        <w:rPr>
          <w:rFonts w:ascii="仿宋" w:eastAsia="仿宋" w:hAnsi="仿宋" w:cs="仿宋"/>
          <w:kern w:val="0"/>
          <w:sz w:val="52"/>
          <w:szCs w:val="52"/>
        </w:rPr>
      </w:pPr>
      <w:bookmarkStart w:id="3" w:name="_Toc461005127"/>
      <w:bookmarkStart w:id="4" w:name="_Toc31113"/>
      <w:bookmarkStart w:id="5" w:name="_Toc522795031"/>
      <w:r>
        <w:rPr>
          <w:rFonts w:ascii="仿宋" w:eastAsia="仿宋" w:hAnsi="仿宋" w:cs="仿宋" w:hint="eastAsia"/>
          <w:kern w:val="0"/>
          <w:sz w:val="52"/>
          <w:szCs w:val="52"/>
        </w:rPr>
        <w:lastRenderedPageBreak/>
        <w:t>估价的假设和限制条件</w:t>
      </w:r>
      <w:bookmarkEnd w:id="3"/>
      <w:bookmarkEnd w:id="4"/>
    </w:p>
    <w:p w14:paraId="4F242B3D" w14:textId="77777777" w:rsidR="00EF6A0E" w:rsidRDefault="00000000">
      <w:pPr>
        <w:spacing w:line="42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一、一般性假设</w:t>
      </w:r>
      <w:bookmarkEnd w:id="5"/>
    </w:p>
    <w:p w14:paraId="399B8FF6"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（一）假设估价对象能够持续正常使用；</w:t>
      </w:r>
    </w:p>
    <w:p w14:paraId="1FEEB12D"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二）注册房地产估价师对估价所依据的估价对象的权属、面积、用途等资料进行了检查，无理由怀疑其合法性、真实性、准确性和完整性且未予以核实，假定估价对象的权属、面积、用途等资料是合法、真实、准确和完整的；</w:t>
      </w:r>
    </w:p>
    <w:p w14:paraId="230FD8E7"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（三）注册房地产估价师对房屋安全、环境污染等影响估价对象价值或价格的重大因素给予了关注，无理由怀疑估价对象存在安全隐患且无相应的专业机构进行鉴定、检测，假定估价对象不存在房屋安全隐患。</w:t>
      </w:r>
    </w:p>
    <w:p w14:paraId="3200C952"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（四）公开市场假设。公开市场是形成市场价格的市场，市场价格是在价值时点预期能够成交的正常价格。它们依据了如下假设：</w:t>
      </w:r>
    </w:p>
    <w:p w14:paraId="6338197E"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1</w:t>
      </w:r>
      <w:r>
        <w:rPr>
          <w:rFonts w:eastAsia="仿宋_GB2312" w:hint="eastAsia"/>
          <w:color w:val="000000"/>
          <w:sz w:val="26"/>
          <w:szCs w:val="26"/>
        </w:rPr>
        <w:t>、交易双方是自愿地进行交易的；</w:t>
      </w:r>
    </w:p>
    <w:p w14:paraId="7A36D448"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2</w:t>
      </w:r>
      <w:r>
        <w:rPr>
          <w:rFonts w:eastAsia="仿宋_GB2312" w:hint="eastAsia"/>
          <w:color w:val="000000"/>
          <w:sz w:val="26"/>
          <w:szCs w:val="26"/>
        </w:rPr>
        <w:t>、交易双方是出于利己动机进行交易的；</w:t>
      </w:r>
    </w:p>
    <w:p w14:paraId="247AC25F"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3</w:t>
      </w:r>
      <w:r>
        <w:rPr>
          <w:rFonts w:eastAsia="仿宋_GB2312" w:hint="eastAsia"/>
          <w:color w:val="000000"/>
          <w:sz w:val="26"/>
          <w:szCs w:val="26"/>
        </w:rPr>
        <w:t>、买卖双方的交易行为都是精明和谨慎的；</w:t>
      </w:r>
    </w:p>
    <w:p w14:paraId="147F85DD"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4</w:t>
      </w:r>
      <w:r>
        <w:rPr>
          <w:rFonts w:eastAsia="仿宋_GB2312" w:hint="eastAsia"/>
          <w:color w:val="000000"/>
          <w:sz w:val="26"/>
          <w:szCs w:val="26"/>
        </w:rPr>
        <w:t>、交易双方有较充裕的时间进行交易；</w:t>
      </w:r>
    </w:p>
    <w:p w14:paraId="7B3F3078"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5</w:t>
      </w:r>
      <w:r>
        <w:rPr>
          <w:rFonts w:eastAsia="仿宋_GB2312" w:hint="eastAsia"/>
          <w:color w:val="000000"/>
          <w:sz w:val="26"/>
          <w:szCs w:val="26"/>
        </w:rPr>
        <w:t>、在此周期内，市场状况和价格水平是静止不动的；</w:t>
      </w:r>
    </w:p>
    <w:p w14:paraId="42336CD8"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6</w:t>
      </w:r>
      <w:r>
        <w:rPr>
          <w:rFonts w:eastAsia="仿宋_GB2312" w:hint="eastAsia"/>
          <w:color w:val="000000"/>
          <w:sz w:val="26"/>
          <w:szCs w:val="26"/>
        </w:rPr>
        <w:t>、不考虑特殊买家的附加出价，也未考虑国家宏观经济政策发生变化以及遇有自然力和其他不可抗力对资产价格的影响。</w:t>
      </w:r>
    </w:p>
    <w:p w14:paraId="49E3810C"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7</w:t>
      </w:r>
      <w:r>
        <w:rPr>
          <w:rFonts w:eastAsia="仿宋_GB2312" w:hint="eastAsia"/>
          <w:color w:val="000000"/>
          <w:sz w:val="26"/>
          <w:szCs w:val="26"/>
        </w:rPr>
        <w:t>、当前述条件情况发生变动时，估价结果一般会失效。</w:t>
      </w:r>
    </w:p>
    <w:p w14:paraId="37DA7663"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五）委托人未能提供估价对象的《房屋所有权证》或《不动产权证》，估价对象的权属、建筑面积、用途等，是根据委托方提供的《贵州省不动产登记查询结果》所得，若估价对象的实际面积、用途等与相关产权管理部门最终核定的不一致，应以相关产权部门核定的为准，并相应的调整评估价值。</w:t>
      </w:r>
    </w:p>
    <w:p w14:paraId="52FC8350" w14:textId="77777777" w:rsidR="00EF6A0E" w:rsidRDefault="00000000">
      <w:pPr>
        <w:spacing w:line="420" w:lineRule="exact"/>
        <w:ind w:firstLineChars="200" w:firstLine="562"/>
        <w:rPr>
          <w:rFonts w:ascii="仿宋" w:eastAsia="仿宋" w:hAnsi="仿宋" w:cs="仿宋"/>
          <w:b/>
          <w:bCs/>
          <w:color w:val="000000"/>
          <w:sz w:val="28"/>
          <w:szCs w:val="28"/>
        </w:rPr>
      </w:pPr>
      <w:bookmarkStart w:id="6" w:name="_Toc522795032"/>
      <w:r>
        <w:rPr>
          <w:rFonts w:ascii="仿宋" w:eastAsia="仿宋" w:hAnsi="仿宋" w:cs="仿宋" w:hint="eastAsia"/>
          <w:b/>
          <w:bCs/>
          <w:color w:val="000000"/>
          <w:sz w:val="28"/>
          <w:szCs w:val="28"/>
        </w:rPr>
        <w:t>二、未定事项假设</w:t>
      </w:r>
      <w:bookmarkEnd w:id="6"/>
    </w:p>
    <w:p w14:paraId="3C467B9D"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无未定事项假。</w:t>
      </w:r>
    </w:p>
    <w:p w14:paraId="770110EC" w14:textId="77777777" w:rsidR="00EF6A0E" w:rsidRDefault="00000000">
      <w:pPr>
        <w:spacing w:line="420" w:lineRule="exact"/>
        <w:ind w:firstLineChars="200" w:firstLine="562"/>
        <w:rPr>
          <w:rFonts w:ascii="仿宋" w:eastAsia="仿宋" w:hAnsi="仿宋" w:cs="仿宋"/>
          <w:b/>
          <w:bCs/>
          <w:color w:val="000000"/>
          <w:sz w:val="28"/>
          <w:szCs w:val="28"/>
        </w:rPr>
      </w:pPr>
      <w:bookmarkStart w:id="7" w:name="_Toc522795033"/>
      <w:r>
        <w:rPr>
          <w:rFonts w:ascii="仿宋" w:eastAsia="仿宋" w:hAnsi="仿宋" w:cs="仿宋" w:hint="eastAsia"/>
          <w:b/>
          <w:bCs/>
          <w:color w:val="000000"/>
          <w:sz w:val="28"/>
          <w:szCs w:val="28"/>
        </w:rPr>
        <w:t>三、背离事实假设</w:t>
      </w:r>
      <w:bookmarkEnd w:id="7"/>
    </w:p>
    <w:p w14:paraId="7EF3143C"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根据《房地产估价规范》</w:t>
      </w:r>
      <w:r>
        <w:rPr>
          <w:rFonts w:eastAsia="仿宋_GB2312" w:hint="eastAsia"/>
          <w:color w:val="000000"/>
          <w:sz w:val="26"/>
          <w:szCs w:val="26"/>
        </w:rPr>
        <w:t>(GB/T50291-2015)5.4.2.2</w:t>
      </w:r>
      <w:r>
        <w:rPr>
          <w:rFonts w:eastAsia="仿宋_GB2312" w:hint="eastAsia"/>
          <w:color w:val="000000"/>
          <w:sz w:val="26"/>
          <w:szCs w:val="26"/>
        </w:rPr>
        <w:t>条规定，结合本次估价目的是为人民法院确定财产处置参考价提供参考依据而评估房地产市场价值，故不考虑估价对象可能存在的抵押、查封、欠款等事项的影响。</w:t>
      </w:r>
    </w:p>
    <w:p w14:paraId="4E5C2E38" w14:textId="77777777" w:rsidR="00EF6A0E" w:rsidRDefault="00000000">
      <w:pPr>
        <w:spacing w:line="420" w:lineRule="exact"/>
        <w:ind w:firstLineChars="200" w:firstLine="562"/>
        <w:rPr>
          <w:rFonts w:ascii="仿宋" w:eastAsia="仿宋" w:hAnsi="仿宋" w:cs="仿宋"/>
          <w:b/>
          <w:bCs/>
          <w:color w:val="000000"/>
          <w:sz w:val="28"/>
          <w:szCs w:val="28"/>
        </w:rPr>
      </w:pPr>
      <w:bookmarkStart w:id="8" w:name="_Toc522795034"/>
      <w:r>
        <w:rPr>
          <w:rFonts w:ascii="仿宋" w:eastAsia="仿宋" w:hAnsi="仿宋" w:cs="仿宋" w:hint="eastAsia"/>
          <w:b/>
          <w:bCs/>
          <w:color w:val="000000"/>
          <w:sz w:val="28"/>
          <w:szCs w:val="28"/>
        </w:rPr>
        <w:t>四、不相一致假设</w:t>
      </w:r>
      <w:bookmarkEnd w:id="8"/>
    </w:p>
    <w:p w14:paraId="4165EDE4"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无不相一致假设。</w:t>
      </w:r>
    </w:p>
    <w:p w14:paraId="7E640B9B" w14:textId="6EA33576" w:rsidR="00EF6A0E" w:rsidRDefault="00000000">
      <w:pPr>
        <w:spacing w:line="420" w:lineRule="exact"/>
        <w:ind w:firstLineChars="200" w:firstLine="562"/>
        <w:rPr>
          <w:rFonts w:ascii="仿宋" w:eastAsia="仿宋" w:hAnsi="仿宋" w:cs="仿宋"/>
          <w:b/>
          <w:bCs/>
          <w:color w:val="000000"/>
          <w:sz w:val="28"/>
          <w:szCs w:val="28"/>
        </w:rPr>
      </w:pPr>
      <w:bookmarkStart w:id="9" w:name="_Toc522795035"/>
      <w:r>
        <w:rPr>
          <w:rFonts w:ascii="仿宋" w:eastAsia="仿宋" w:hAnsi="仿宋" w:cs="仿宋" w:hint="eastAsia"/>
          <w:b/>
          <w:bCs/>
          <w:color w:val="000000"/>
          <w:sz w:val="28"/>
          <w:szCs w:val="28"/>
        </w:rPr>
        <w:lastRenderedPageBreak/>
        <w:t>五、依据不足假设</w:t>
      </w:r>
      <w:bookmarkEnd w:id="9"/>
    </w:p>
    <w:p w14:paraId="1D29742E" w14:textId="3526E4ED" w:rsidR="00D00421" w:rsidRDefault="00D00421" w:rsidP="00D00421">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委托人未能提供估价对象的《房屋所有权证》或《不动产权证》，估价对象的权属、建筑面积、用途等，是根据委托方提供的《贵州省不动产登记查询结果》所得，若估价对象的实际面积、用途等与相关产权管理部门最终核定的不一致，应以相关产权部门核定的为准，并相应的调整评估价值。</w:t>
      </w:r>
    </w:p>
    <w:p w14:paraId="0646EFD9" w14:textId="77777777" w:rsidR="00BE2EA1" w:rsidRPr="00D00421" w:rsidRDefault="00BE2EA1">
      <w:pPr>
        <w:spacing w:line="420" w:lineRule="exact"/>
        <w:ind w:firstLineChars="200" w:firstLine="562"/>
        <w:rPr>
          <w:rFonts w:ascii="仿宋" w:eastAsia="仿宋" w:hAnsi="仿宋" w:cs="仿宋"/>
          <w:b/>
          <w:bCs/>
          <w:color w:val="000000"/>
          <w:sz w:val="28"/>
          <w:szCs w:val="28"/>
        </w:rPr>
      </w:pPr>
    </w:p>
    <w:p w14:paraId="25A26790" w14:textId="77777777" w:rsidR="00EF6A0E" w:rsidRDefault="00000000">
      <w:pPr>
        <w:spacing w:line="440" w:lineRule="exact"/>
        <w:ind w:firstLineChars="200" w:firstLine="562"/>
        <w:rPr>
          <w:rFonts w:ascii="仿宋" w:eastAsia="仿宋" w:hAnsi="仿宋" w:cs="仿宋"/>
          <w:b/>
          <w:bCs/>
          <w:sz w:val="28"/>
          <w:szCs w:val="28"/>
        </w:rPr>
      </w:pPr>
      <w:bookmarkStart w:id="10" w:name="_Toc522795036"/>
      <w:r>
        <w:rPr>
          <w:rFonts w:ascii="仿宋" w:eastAsia="仿宋" w:hAnsi="仿宋" w:cs="仿宋" w:hint="eastAsia"/>
          <w:b/>
          <w:bCs/>
          <w:sz w:val="28"/>
          <w:szCs w:val="28"/>
        </w:rPr>
        <w:t>六、估价报告使用限制</w:t>
      </w:r>
      <w:bookmarkEnd w:id="10"/>
    </w:p>
    <w:p w14:paraId="626BC6F1"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（一）本估价报告及估价结果仅用于报告载明之估价目的使用，不得用于报告载明估价目的之外的用途使用。</w:t>
      </w:r>
    </w:p>
    <w:p w14:paraId="5BBBFE44"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非为法律、行政法规的需要，报告及附件的全部或部分内容不得向委托方和评估审查部门以外的单位和个人提供，未经委托单位许可，不得见诸于公开媒体、复制或引证。</w:t>
      </w:r>
    </w:p>
    <w:p w14:paraId="56165410"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因使用不当产生的后果，与本估价机构及注册房地产估价师无关。</w:t>
      </w:r>
    </w:p>
    <w:p w14:paraId="31A3D017"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（二）本估价报告有效期限为一年，从估价报告出具日期之日起计算，估价目的在报告有效期内实现的，可以本估价报告及估价结果作参考。</w:t>
      </w:r>
    </w:p>
    <w:p w14:paraId="7472D9DE"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估价目的在报告有限期之后实现的，不能以本估价报告及估价结果作参考，应重新进行估价。</w:t>
      </w:r>
    </w:p>
    <w:p w14:paraId="751D1FD8"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价值时点后估价报告有效期以内若估价对象数量或价格水平发生重大变化，对估价结果产生明显影响时，委托方或相关当事方应及时聘请估价机构重新确定估价结果。</w:t>
      </w:r>
    </w:p>
    <w:p w14:paraId="795B8798"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估价报告使用者包括委托方、估价目的涉及的估价报告使用者以及国家法律法规明确的估价报告使用者。除国家法律、法规另有规定外，任何未经估价机构和委托方确认的机构或个人不能由于得到估价报告成为估价报告使用者。</w:t>
      </w:r>
    </w:p>
    <w:p w14:paraId="476DC23D" w14:textId="77777777" w:rsidR="00EF6A0E" w:rsidRDefault="00000000">
      <w:pPr>
        <w:spacing w:line="440" w:lineRule="exact"/>
        <w:ind w:firstLineChars="200" w:firstLine="562"/>
        <w:rPr>
          <w:rFonts w:ascii="仿宋" w:eastAsia="仿宋" w:hAnsi="仿宋" w:cs="仿宋"/>
          <w:b/>
          <w:bCs/>
          <w:sz w:val="28"/>
          <w:szCs w:val="28"/>
        </w:rPr>
      </w:pPr>
      <w:bookmarkStart w:id="11" w:name="_Toc522795037"/>
      <w:r>
        <w:rPr>
          <w:rFonts w:ascii="仿宋" w:eastAsia="仿宋" w:hAnsi="仿宋" w:cs="仿宋" w:hint="eastAsia"/>
          <w:b/>
          <w:bCs/>
          <w:sz w:val="28"/>
          <w:szCs w:val="28"/>
        </w:rPr>
        <w:t>七、使用估价报告和估价结果时需要注意的其他事项</w:t>
      </w:r>
      <w:bookmarkEnd w:id="11"/>
    </w:p>
    <w:p w14:paraId="58C166EA"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（一）本估价报告提供的估价结果是在假设和限制条件及特殊说明事项下于价值时点的公开市场价格（包含建筑物应分摊的土地使用权价值）。</w:t>
      </w:r>
    </w:p>
    <w:p w14:paraId="0E960729"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（二）本估价报告的估价目的为委托方案件执行提供价值参考依据，报告形成的估价结果，仅供相关方参考。相关数额由相关双方根据市场风险、兑现难易和政府有关税费缴纳规定等情况确定。</w:t>
      </w:r>
    </w:p>
    <w:p w14:paraId="2C9D75CE"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（三）本报告的估价结果是估价对象在价值时点现状利用状况下的价值，并不是房地产开发完成后的价值或售价，在此提请估价报告使用方注意。</w:t>
      </w:r>
    </w:p>
    <w:p w14:paraId="2FBD255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（四）本公司注册房地产估价师已对本估价报告中的估价对象进行了实地查勘，</w:t>
      </w:r>
      <w:r>
        <w:rPr>
          <w:rFonts w:eastAsia="仿宋_GB2312" w:hint="eastAsia"/>
          <w:color w:val="000000"/>
          <w:sz w:val="26"/>
          <w:szCs w:val="26"/>
        </w:rPr>
        <w:lastRenderedPageBreak/>
        <w:t>但仅限于对估价对象建筑外观及目前使用状况。我们不承担对估价对象建筑结构、质量进行调查、核实的责任，也不承担对被遮盖、未暴露及难以接触到的部分进行检视的责任。</w:t>
      </w:r>
    </w:p>
    <w:p w14:paraId="064F7692" w14:textId="77777777" w:rsidR="00EF6A0E" w:rsidRDefault="00EF6A0E">
      <w:bookmarkStart w:id="12" w:name="_Toc522795038"/>
      <w:bookmarkStart w:id="13" w:name="_Toc286074109"/>
    </w:p>
    <w:p w14:paraId="31847656" w14:textId="77777777" w:rsidR="00EF6A0E" w:rsidRDefault="00EF6A0E"/>
    <w:p w14:paraId="41BC9D08" w14:textId="77777777" w:rsidR="00EF6A0E" w:rsidRDefault="00EF6A0E"/>
    <w:p w14:paraId="7BE102EF" w14:textId="77777777" w:rsidR="00EF6A0E" w:rsidRDefault="00EF6A0E"/>
    <w:p w14:paraId="305CBEBD" w14:textId="77777777" w:rsidR="00D10E7E" w:rsidRDefault="00D10E7E">
      <w:pPr>
        <w:pStyle w:val="1"/>
        <w:spacing w:before="0" w:after="0" w:line="500" w:lineRule="exact"/>
        <w:jc w:val="center"/>
        <w:rPr>
          <w:rFonts w:ascii="仿宋" w:eastAsia="仿宋" w:hAnsi="仿宋" w:cs="仿宋"/>
          <w:kern w:val="0"/>
          <w:sz w:val="52"/>
          <w:szCs w:val="52"/>
        </w:rPr>
      </w:pPr>
      <w:bookmarkStart w:id="14" w:name="_Toc31523"/>
    </w:p>
    <w:p w14:paraId="48668DAA" w14:textId="77777777" w:rsidR="00D10E7E" w:rsidRDefault="00D10E7E">
      <w:pPr>
        <w:pStyle w:val="1"/>
        <w:spacing w:before="0" w:after="0" w:line="500" w:lineRule="exact"/>
        <w:jc w:val="center"/>
        <w:rPr>
          <w:rFonts w:ascii="仿宋" w:eastAsia="仿宋" w:hAnsi="仿宋" w:cs="仿宋"/>
          <w:kern w:val="0"/>
          <w:sz w:val="52"/>
          <w:szCs w:val="52"/>
        </w:rPr>
      </w:pPr>
    </w:p>
    <w:p w14:paraId="695EA27E" w14:textId="77777777" w:rsidR="00D10E7E" w:rsidRDefault="00D10E7E">
      <w:pPr>
        <w:pStyle w:val="1"/>
        <w:spacing w:before="0" w:after="0" w:line="500" w:lineRule="exact"/>
        <w:jc w:val="center"/>
        <w:rPr>
          <w:rFonts w:ascii="仿宋" w:eastAsia="仿宋" w:hAnsi="仿宋" w:cs="仿宋"/>
          <w:kern w:val="0"/>
          <w:sz w:val="52"/>
          <w:szCs w:val="52"/>
        </w:rPr>
      </w:pPr>
    </w:p>
    <w:p w14:paraId="2819F73C" w14:textId="77777777" w:rsidR="00D10E7E" w:rsidRDefault="00D10E7E">
      <w:pPr>
        <w:pStyle w:val="1"/>
        <w:spacing w:before="0" w:after="0" w:line="500" w:lineRule="exact"/>
        <w:jc w:val="center"/>
        <w:rPr>
          <w:rFonts w:ascii="仿宋" w:eastAsia="仿宋" w:hAnsi="仿宋" w:cs="仿宋"/>
          <w:kern w:val="0"/>
          <w:sz w:val="52"/>
          <w:szCs w:val="52"/>
        </w:rPr>
      </w:pPr>
    </w:p>
    <w:p w14:paraId="1F6ED7E4" w14:textId="77777777" w:rsidR="00D10E7E" w:rsidRDefault="00D10E7E">
      <w:pPr>
        <w:pStyle w:val="1"/>
        <w:spacing w:before="0" w:after="0" w:line="500" w:lineRule="exact"/>
        <w:jc w:val="center"/>
        <w:rPr>
          <w:rFonts w:ascii="仿宋" w:eastAsia="仿宋" w:hAnsi="仿宋" w:cs="仿宋"/>
          <w:kern w:val="0"/>
          <w:sz w:val="52"/>
          <w:szCs w:val="52"/>
        </w:rPr>
      </w:pPr>
    </w:p>
    <w:p w14:paraId="5E6A1943" w14:textId="77777777" w:rsidR="00D10E7E" w:rsidRDefault="00D10E7E">
      <w:pPr>
        <w:pStyle w:val="1"/>
        <w:spacing w:before="0" w:after="0" w:line="500" w:lineRule="exact"/>
        <w:jc w:val="center"/>
        <w:rPr>
          <w:rFonts w:ascii="仿宋" w:eastAsia="仿宋" w:hAnsi="仿宋" w:cs="仿宋"/>
          <w:kern w:val="0"/>
          <w:sz w:val="52"/>
          <w:szCs w:val="52"/>
        </w:rPr>
      </w:pPr>
    </w:p>
    <w:p w14:paraId="769D18C2" w14:textId="77777777" w:rsidR="00D10E7E" w:rsidRDefault="00D10E7E">
      <w:pPr>
        <w:pStyle w:val="1"/>
        <w:spacing w:before="0" w:after="0" w:line="500" w:lineRule="exact"/>
        <w:jc w:val="center"/>
        <w:rPr>
          <w:rFonts w:ascii="仿宋" w:eastAsia="仿宋" w:hAnsi="仿宋" w:cs="仿宋"/>
          <w:kern w:val="0"/>
          <w:sz w:val="52"/>
          <w:szCs w:val="52"/>
        </w:rPr>
      </w:pPr>
    </w:p>
    <w:p w14:paraId="396826C6" w14:textId="77777777" w:rsidR="00D10E7E" w:rsidRDefault="00D10E7E">
      <w:pPr>
        <w:pStyle w:val="1"/>
        <w:spacing w:before="0" w:after="0" w:line="500" w:lineRule="exact"/>
        <w:jc w:val="center"/>
        <w:rPr>
          <w:rFonts w:ascii="仿宋" w:eastAsia="仿宋" w:hAnsi="仿宋" w:cs="仿宋"/>
          <w:kern w:val="0"/>
          <w:sz w:val="52"/>
          <w:szCs w:val="52"/>
        </w:rPr>
      </w:pPr>
    </w:p>
    <w:p w14:paraId="17DB7903" w14:textId="77777777" w:rsidR="00D10E7E" w:rsidRDefault="00D10E7E">
      <w:pPr>
        <w:pStyle w:val="1"/>
        <w:spacing w:before="0" w:after="0" w:line="500" w:lineRule="exact"/>
        <w:jc w:val="center"/>
        <w:rPr>
          <w:rFonts w:ascii="仿宋" w:eastAsia="仿宋" w:hAnsi="仿宋" w:cs="仿宋"/>
          <w:kern w:val="0"/>
          <w:sz w:val="52"/>
          <w:szCs w:val="52"/>
        </w:rPr>
      </w:pPr>
    </w:p>
    <w:p w14:paraId="6E81CC58" w14:textId="77777777" w:rsidR="00D10E7E" w:rsidRDefault="00D10E7E">
      <w:pPr>
        <w:pStyle w:val="1"/>
        <w:spacing w:before="0" w:after="0" w:line="500" w:lineRule="exact"/>
        <w:jc w:val="center"/>
        <w:rPr>
          <w:rFonts w:ascii="仿宋" w:eastAsia="仿宋" w:hAnsi="仿宋" w:cs="仿宋"/>
          <w:kern w:val="0"/>
          <w:sz w:val="52"/>
          <w:szCs w:val="52"/>
        </w:rPr>
      </w:pPr>
    </w:p>
    <w:p w14:paraId="1F846508" w14:textId="77777777" w:rsidR="00D10E7E" w:rsidRDefault="00D10E7E">
      <w:pPr>
        <w:pStyle w:val="1"/>
        <w:spacing w:before="0" w:after="0" w:line="500" w:lineRule="exact"/>
        <w:jc w:val="center"/>
        <w:rPr>
          <w:rFonts w:ascii="仿宋" w:eastAsia="仿宋" w:hAnsi="仿宋" w:cs="仿宋"/>
          <w:kern w:val="0"/>
          <w:sz w:val="52"/>
          <w:szCs w:val="52"/>
        </w:rPr>
      </w:pPr>
    </w:p>
    <w:p w14:paraId="58C4B148" w14:textId="77777777" w:rsidR="00D10E7E" w:rsidRDefault="00D10E7E">
      <w:pPr>
        <w:pStyle w:val="1"/>
        <w:spacing w:before="0" w:after="0" w:line="500" w:lineRule="exact"/>
        <w:jc w:val="center"/>
        <w:rPr>
          <w:rFonts w:ascii="仿宋" w:eastAsia="仿宋" w:hAnsi="仿宋" w:cs="仿宋"/>
          <w:kern w:val="0"/>
          <w:sz w:val="52"/>
          <w:szCs w:val="52"/>
        </w:rPr>
      </w:pPr>
    </w:p>
    <w:p w14:paraId="6C4561BF" w14:textId="77777777" w:rsidR="00D10E7E" w:rsidRDefault="00D10E7E">
      <w:pPr>
        <w:pStyle w:val="1"/>
        <w:spacing w:before="0" w:after="0" w:line="500" w:lineRule="exact"/>
        <w:jc w:val="center"/>
        <w:rPr>
          <w:rFonts w:ascii="仿宋" w:eastAsia="仿宋" w:hAnsi="仿宋" w:cs="仿宋"/>
          <w:kern w:val="0"/>
          <w:sz w:val="52"/>
          <w:szCs w:val="52"/>
        </w:rPr>
      </w:pPr>
    </w:p>
    <w:p w14:paraId="3FF849C7" w14:textId="77777777" w:rsidR="00D10E7E" w:rsidRDefault="00D10E7E">
      <w:pPr>
        <w:pStyle w:val="1"/>
        <w:spacing w:before="0" w:after="0" w:line="500" w:lineRule="exact"/>
        <w:jc w:val="center"/>
        <w:rPr>
          <w:rFonts w:ascii="仿宋" w:eastAsia="仿宋" w:hAnsi="仿宋" w:cs="仿宋"/>
          <w:kern w:val="0"/>
          <w:sz w:val="52"/>
          <w:szCs w:val="52"/>
        </w:rPr>
      </w:pPr>
    </w:p>
    <w:p w14:paraId="4FDC40E8" w14:textId="77777777" w:rsidR="00D10E7E" w:rsidRDefault="00D10E7E">
      <w:pPr>
        <w:pStyle w:val="1"/>
        <w:spacing w:before="0" w:after="0" w:line="500" w:lineRule="exact"/>
        <w:jc w:val="center"/>
        <w:rPr>
          <w:rFonts w:ascii="仿宋" w:eastAsia="仿宋" w:hAnsi="仿宋" w:cs="仿宋"/>
          <w:kern w:val="0"/>
          <w:sz w:val="52"/>
          <w:szCs w:val="52"/>
        </w:rPr>
      </w:pPr>
    </w:p>
    <w:p w14:paraId="1F8F53F1" w14:textId="77777777" w:rsidR="00D10E7E" w:rsidRDefault="00D10E7E">
      <w:pPr>
        <w:pStyle w:val="1"/>
        <w:spacing w:before="0" w:after="0" w:line="500" w:lineRule="exact"/>
        <w:jc w:val="center"/>
        <w:rPr>
          <w:rFonts w:ascii="仿宋" w:eastAsia="仿宋" w:hAnsi="仿宋" w:cs="仿宋"/>
          <w:kern w:val="0"/>
          <w:sz w:val="52"/>
          <w:szCs w:val="52"/>
        </w:rPr>
      </w:pPr>
    </w:p>
    <w:p w14:paraId="3F401A7C" w14:textId="77777777" w:rsidR="00D10E7E" w:rsidRDefault="00D10E7E">
      <w:pPr>
        <w:pStyle w:val="1"/>
        <w:spacing w:before="0" w:after="0" w:line="500" w:lineRule="exact"/>
        <w:jc w:val="center"/>
        <w:rPr>
          <w:rFonts w:ascii="仿宋" w:eastAsia="仿宋" w:hAnsi="仿宋" w:cs="仿宋"/>
          <w:kern w:val="0"/>
          <w:sz w:val="52"/>
          <w:szCs w:val="52"/>
        </w:rPr>
      </w:pPr>
    </w:p>
    <w:p w14:paraId="7FC5350B" w14:textId="77777777" w:rsidR="00D10E7E" w:rsidRDefault="00D10E7E">
      <w:pPr>
        <w:pStyle w:val="1"/>
        <w:spacing w:before="0" w:after="0" w:line="500" w:lineRule="exact"/>
        <w:jc w:val="center"/>
        <w:rPr>
          <w:rFonts w:ascii="仿宋" w:eastAsia="仿宋" w:hAnsi="仿宋" w:cs="仿宋"/>
          <w:kern w:val="0"/>
          <w:sz w:val="52"/>
          <w:szCs w:val="52"/>
        </w:rPr>
      </w:pPr>
    </w:p>
    <w:p w14:paraId="0F1117BA" w14:textId="77777777" w:rsidR="00D10E7E" w:rsidRDefault="00D10E7E">
      <w:pPr>
        <w:pStyle w:val="1"/>
        <w:spacing w:before="0" w:after="0" w:line="500" w:lineRule="exact"/>
        <w:jc w:val="center"/>
        <w:rPr>
          <w:rFonts w:ascii="仿宋" w:eastAsia="仿宋" w:hAnsi="仿宋" w:cs="仿宋"/>
          <w:kern w:val="0"/>
          <w:sz w:val="52"/>
          <w:szCs w:val="52"/>
        </w:rPr>
      </w:pPr>
    </w:p>
    <w:p w14:paraId="19A5384D" w14:textId="77777777" w:rsidR="00D10E7E" w:rsidRDefault="00D10E7E">
      <w:pPr>
        <w:pStyle w:val="1"/>
        <w:spacing w:before="0" w:after="0" w:line="500" w:lineRule="exact"/>
        <w:jc w:val="center"/>
        <w:rPr>
          <w:rFonts w:ascii="仿宋" w:eastAsia="仿宋" w:hAnsi="仿宋" w:cs="仿宋"/>
          <w:kern w:val="0"/>
          <w:sz w:val="52"/>
          <w:szCs w:val="52"/>
        </w:rPr>
      </w:pPr>
    </w:p>
    <w:p w14:paraId="741BEB24" w14:textId="77777777" w:rsidR="00D10E7E" w:rsidRDefault="00D10E7E">
      <w:pPr>
        <w:pStyle w:val="1"/>
        <w:spacing w:before="0" w:after="0" w:line="500" w:lineRule="exact"/>
        <w:jc w:val="center"/>
        <w:rPr>
          <w:rFonts w:ascii="仿宋" w:eastAsia="仿宋" w:hAnsi="仿宋" w:cs="仿宋"/>
          <w:kern w:val="0"/>
          <w:sz w:val="52"/>
          <w:szCs w:val="52"/>
        </w:rPr>
      </w:pPr>
    </w:p>
    <w:p w14:paraId="45406626" w14:textId="77777777" w:rsidR="00D10E7E" w:rsidRDefault="00D10E7E">
      <w:pPr>
        <w:pStyle w:val="1"/>
        <w:spacing w:before="0" w:after="0" w:line="500" w:lineRule="exact"/>
        <w:jc w:val="center"/>
        <w:rPr>
          <w:rFonts w:ascii="仿宋" w:eastAsia="仿宋" w:hAnsi="仿宋" w:cs="仿宋"/>
          <w:kern w:val="0"/>
          <w:sz w:val="52"/>
          <w:szCs w:val="52"/>
        </w:rPr>
      </w:pPr>
    </w:p>
    <w:p w14:paraId="345CB7E5" w14:textId="77777777" w:rsidR="00D10E7E" w:rsidRDefault="00D10E7E">
      <w:pPr>
        <w:pStyle w:val="1"/>
        <w:spacing w:before="0" w:after="0" w:line="500" w:lineRule="exact"/>
        <w:jc w:val="center"/>
        <w:rPr>
          <w:rFonts w:ascii="仿宋" w:eastAsia="仿宋" w:hAnsi="仿宋" w:cs="仿宋"/>
          <w:kern w:val="0"/>
          <w:sz w:val="52"/>
          <w:szCs w:val="52"/>
        </w:rPr>
      </w:pPr>
    </w:p>
    <w:p w14:paraId="1096BF54" w14:textId="77777777" w:rsidR="00D10E7E" w:rsidRDefault="00D10E7E">
      <w:pPr>
        <w:pStyle w:val="1"/>
        <w:spacing w:before="0" w:after="0" w:line="500" w:lineRule="exact"/>
        <w:jc w:val="center"/>
        <w:rPr>
          <w:rFonts w:ascii="仿宋" w:eastAsia="仿宋" w:hAnsi="仿宋" w:cs="仿宋"/>
          <w:kern w:val="0"/>
          <w:sz w:val="52"/>
          <w:szCs w:val="52"/>
        </w:rPr>
      </w:pPr>
    </w:p>
    <w:p w14:paraId="077D539A" w14:textId="77777777" w:rsidR="00D10E7E" w:rsidRDefault="00D10E7E">
      <w:pPr>
        <w:pStyle w:val="1"/>
        <w:spacing w:before="0" w:after="0" w:line="500" w:lineRule="exact"/>
        <w:jc w:val="center"/>
        <w:rPr>
          <w:rFonts w:ascii="仿宋" w:eastAsia="仿宋" w:hAnsi="仿宋" w:cs="仿宋"/>
          <w:kern w:val="0"/>
          <w:sz w:val="52"/>
          <w:szCs w:val="52"/>
        </w:rPr>
      </w:pPr>
    </w:p>
    <w:p w14:paraId="1D9833C7" w14:textId="77777777" w:rsidR="00D10E7E" w:rsidRDefault="00D10E7E">
      <w:pPr>
        <w:pStyle w:val="1"/>
        <w:spacing w:before="0" w:after="0" w:line="500" w:lineRule="exact"/>
        <w:jc w:val="center"/>
        <w:rPr>
          <w:rFonts w:ascii="仿宋" w:eastAsia="仿宋" w:hAnsi="仿宋" w:cs="仿宋"/>
          <w:kern w:val="0"/>
          <w:sz w:val="52"/>
          <w:szCs w:val="52"/>
        </w:rPr>
      </w:pPr>
    </w:p>
    <w:p w14:paraId="744787C8" w14:textId="77777777" w:rsidR="00D10E7E" w:rsidRDefault="00D10E7E">
      <w:pPr>
        <w:pStyle w:val="1"/>
        <w:spacing w:before="0" w:after="0" w:line="500" w:lineRule="exact"/>
        <w:jc w:val="center"/>
        <w:rPr>
          <w:rFonts w:ascii="仿宋" w:eastAsia="仿宋" w:hAnsi="仿宋" w:cs="仿宋"/>
          <w:kern w:val="0"/>
          <w:sz w:val="52"/>
          <w:szCs w:val="52"/>
        </w:rPr>
      </w:pPr>
    </w:p>
    <w:p w14:paraId="2DD86765" w14:textId="77777777" w:rsidR="00D10E7E" w:rsidRDefault="00D10E7E">
      <w:pPr>
        <w:pStyle w:val="1"/>
        <w:spacing w:before="0" w:after="0" w:line="500" w:lineRule="exact"/>
        <w:jc w:val="center"/>
        <w:rPr>
          <w:rFonts w:ascii="仿宋" w:eastAsia="仿宋" w:hAnsi="仿宋" w:cs="仿宋"/>
          <w:kern w:val="0"/>
          <w:sz w:val="52"/>
          <w:szCs w:val="52"/>
        </w:rPr>
      </w:pPr>
    </w:p>
    <w:p w14:paraId="023A9286" w14:textId="7730FFF6" w:rsidR="00EF6A0E" w:rsidRDefault="00000000">
      <w:pPr>
        <w:pStyle w:val="1"/>
        <w:spacing w:before="0" w:after="0" w:line="500" w:lineRule="exact"/>
        <w:jc w:val="center"/>
        <w:rPr>
          <w:rFonts w:ascii="仿宋" w:eastAsia="仿宋" w:hAnsi="仿宋" w:cs="仿宋"/>
          <w:kern w:val="0"/>
          <w:sz w:val="52"/>
          <w:szCs w:val="52"/>
        </w:rPr>
      </w:pPr>
      <w:r>
        <w:rPr>
          <w:rFonts w:ascii="仿宋" w:eastAsia="仿宋" w:hAnsi="仿宋" w:cs="仿宋" w:hint="eastAsia"/>
          <w:kern w:val="0"/>
          <w:sz w:val="52"/>
          <w:szCs w:val="52"/>
        </w:rPr>
        <w:t>估价结果报告</w:t>
      </w:r>
      <w:bookmarkEnd w:id="12"/>
      <w:bookmarkEnd w:id="13"/>
      <w:bookmarkEnd w:id="14"/>
    </w:p>
    <w:p w14:paraId="1C13D05C" w14:textId="621D9CB3" w:rsidR="00EF6A0E" w:rsidRDefault="00000000">
      <w:pPr>
        <w:spacing w:line="500" w:lineRule="exact"/>
        <w:jc w:val="center"/>
        <w:rPr>
          <w:rFonts w:ascii="仿宋" w:eastAsia="仿宋" w:hAnsi="仿宋" w:cs="仿宋"/>
          <w:b/>
          <w:bCs/>
          <w:szCs w:val="21"/>
        </w:rPr>
      </w:pPr>
      <w:r>
        <w:rPr>
          <w:rFonts w:ascii="仿宋" w:eastAsia="仿宋" w:hAnsi="仿宋" w:cs="仿宋" w:hint="eastAsia"/>
          <w:b/>
          <w:bCs/>
          <w:szCs w:val="21"/>
        </w:rPr>
        <w:t>黔昊远房估字（2022）</w:t>
      </w:r>
      <w:r w:rsidR="00597FD5">
        <w:rPr>
          <w:rFonts w:ascii="仿宋" w:eastAsia="仿宋" w:hAnsi="仿宋" w:cs="仿宋" w:hint="eastAsia"/>
          <w:b/>
          <w:bCs/>
          <w:szCs w:val="21"/>
        </w:rPr>
        <w:t>07013</w:t>
      </w:r>
      <w:r>
        <w:rPr>
          <w:rFonts w:ascii="仿宋" w:eastAsia="仿宋" w:hAnsi="仿宋" w:cs="仿宋" w:hint="eastAsia"/>
          <w:b/>
          <w:bCs/>
          <w:szCs w:val="21"/>
        </w:rPr>
        <w:t>号</w:t>
      </w:r>
    </w:p>
    <w:p w14:paraId="3F2D1D4F" w14:textId="77777777" w:rsidR="00EF6A0E" w:rsidRDefault="00EF6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rPr>
          <w:rFonts w:ascii="仿宋" w:eastAsia="仿宋" w:hAnsi="仿宋" w:cs="仿宋"/>
          <w:color w:val="464646"/>
          <w:kern w:val="0"/>
          <w:sz w:val="28"/>
          <w:szCs w:val="28"/>
        </w:rPr>
      </w:pPr>
    </w:p>
    <w:p w14:paraId="40CA3FE8" w14:textId="77777777" w:rsidR="00EF6A0E" w:rsidRDefault="00000000">
      <w:pPr>
        <w:pStyle w:val="2"/>
        <w:spacing w:beforeLines="50" w:before="156" w:afterLines="50" w:after="156" w:line="440" w:lineRule="exact"/>
        <w:ind w:firstLineChars="200" w:firstLine="643"/>
        <w:rPr>
          <w:rFonts w:ascii="仿宋" w:eastAsia="仿宋" w:hAnsi="仿宋" w:cs="仿宋"/>
          <w:kern w:val="0"/>
        </w:rPr>
      </w:pPr>
      <w:bookmarkStart w:id="15" w:name="_Toc286074110"/>
      <w:bookmarkStart w:id="16" w:name="_Toc522795039"/>
      <w:bookmarkStart w:id="17" w:name="_Toc2782"/>
      <w:r>
        <w:rPr>
          <w:rFonts w:ascii="仿宋" w:eastAsia="仿宋" w:hAnsi="仿宋" w:cs="仿宋" w:hint="eastAsia"/>
          <w:kern w:val="0"/>
        </w:rPr>
        <w:t>一、估价委托</w:t>
      </w:r>
      <w:bookmarkEnd w:id="15"/>
      <w:r>
        <w:rPr>
          <w:rFonts w:ascii="仿宋" w:eastAsia="仿宋" w:hAnsi="仿宋" w:cs="仿宋" w:hint="eastAsia"/>
          <w:kern w:val="0"/>
        </w:rPr>
        <w:t>方</w:t>
      </w:r>
      <w:bookmarkEnd w:id="16"/>
      <w:bookmarkEnd w:id="17"/>
    </w:p>
    <w:p w14:paraId="2A0289D0" w14:textId="0E39BC0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单位名称：</w:t>
      </w:r>
      <w:r w:rsidR="00A10557">
        <w:rPr>
          <w:rFonts w:eastAsia="仿宋_GB2312" w:hint="eastAsia"/>
          <w:color w:val="000000"/>
          <w:sz w:val="26"/>
          <w:szCs w:val="26"/>
        </w:rPr>
        <w:t>兴仁市人民法院</w:t>
      </w:r>
    </w:p>
    <w:p w14:paraId="3E6DC4EF" w14:textId="73F4C7FA"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联系人：</w:t>
      </w:r>
      <w:r w:rsidR="00571C34">
        <w:rPr>
          <w:rFonts w:eastAsia="仿宋_GB2312" w:hint="eastAsia"/>
          <w:color w:val="000000"/>
          <w:sz w:val="26"/>
          <w:szCs w:val="26"/>
        </w:rPr>
        <w:t>李英</w:t>
      </w:r>
      <w:r>
        <w:rPr>
          <w:rFonts w:eastAsia="仿宋_GB2312" w:hint="eastAsia"/>
          <w:color w:val="000000"/>
          <w:sz w:val="26"/>
          <w:szCs w:val="26"/>
        </w:rPr>
        <w:t xml:space="preserve">  </w:t>
      </w:r>
      <w:r>
        <w:rPr>
          <w:rFonts w:eastAsia="仿宋_GB2312" w:hint="eastAsia"/>
          <w:color w:val="000000"/>
          <w:sz w:val="26"/>
          <w:szCs w:val="26"/>
        </w:rPr>
        <w:t>联系电话：</w:t>
      </w:r>
      <w:r w:rsidR="00571C34">
        <w:rPr>
          <w:rFonts w:eastAsia="仿宋_GB2312" w:hint="eastAsia"/>
          <w:color w:val="000000"/>
          <w:sz w:val="26"/>
          <w:szCs w:val="26"/>
        </w:rPr>
        <w:t>18085974945</w:t>
      </w:r>
    </w:p>
    <w:p w14:paraId="1428CC89" w14:textId="17EC2FC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地址：贵州省</w:t>
      </w:r>
      <w:r w:rsidR="00A10557">
        <w:rPr>
          <w:rFonts w:eastAsia="仿宋_GB2312" w:hint="eastAsia"/>
          <w:color w:val="000000"/>
          <w:sz w:val="26"/>
          <w:szCs w:val="26"/>
        </w:rPr>
        <w:t>兴仁市人民法院</w:t>
      </w:r>
      <w:r>
        <w:rPr>
          <w:rFonts w:eastAsia="仿宋_GB2312" w:hint="eastAsia"/>
          <w:color w:val="000000"/>
          <w:sz w:val="26"/>
          <w:szCs w:val="26"/>
        </w:rPr>
        <w:t xml:space="preserve">  </w:t>
      </w:r>
      <w:r>
        <w:rPr>
          <w:rFonts w:eastAsia="仿宋_GB2312" w:hint="eastAsia"/>
          <w:color w:val="000000"/>
          <w:sz w:val="26"/>
          <w:szCs w:val="26"/>
        </w:rPr>
        <w:t>邮编：</w:t>
      </w:r>
      <w:r w:rsidR="00571C34">
        <w:rPr>
          <w:rFonts w:eastAsia="仿宋_GB2312" w:hint="eastAsia"/>
          <w:color w:val="000000"/>
          <w:sz w:val="26"/>
          <w:szCs w:val="26"/>
        </w:rPr>
        <w:t>562300</w:t>
      </w:r>
    </w:p>
    <w:p w14:paraId="7C3B50B9" w14:textId="77777777" w:rsidR="00EF6A0E" w:rsidRDefault="00000000">
      <w:pPr>
        <w:pStyle w:val="2"/>
        <w:spacing w:beforeLines="50" w:before="156" w:afterLines="50" w:after="156" w:line="440" w:lineRule="exact"/>
        <w:ind w:firstLineChars="200" w:firstLine="643"/>
        <w:rPr>
          <w:rFonts w:ascii="仿宋" w:eastAsia="仿宋" w:hAnsi="仿宋" w:cs="仿宋"/>
          <w:kern w:val="0"/>
        </w:rPr>
      </w:pPr>
      <w:bookmarkStart w:id="18" w:name="_Toc13894"/>
      <w:bookmarkStart w:id="19" w:name="_Toc522795040"/>
      <w:r>
        <w:rPr>
          <w:rFonts w:ascii="仿宋" w:eastAsia="仿宋" w:hAnsi="仿宋" w:cs="仿宋" w:hint="eastAsia"/>
          <w:kern w:val="0"/>
        </w:rPr>
        <w:t>二、房地产估价机构</w:t>
      </w:r>
      <w:bookmarkEnd w:id="18"/>
      <w:bookmarkEnd w:id="19"/>
    </w:p>
    <w:p w14:paraId="0A94C8D0"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名</w:t>
      </w:r>
      <w:r>
        <w:rPr>
          <w:rFonts w:eastAsia="仿宋_GB2312" w:hint="eastAsia"/>
          <w:color w:val="000000"/>
          <w:sz w:val="26"/>
          <w:szCs w:val="26"/>
        </w:rPr>
        <w:t xml:space="preserve">      </w:t>
      </w:r>
      <w:r>
        <w:rPr>
          <w:rFonts w:eastAsia="仿宋_GB2312" w:hint="eastAsia"/>
          <w:color w:val="000000"/>
          <w:sz w:val="26"/>
          <w:szCs w:val="26"/>
        </w:rPr>
        <w:t>称：贵州昊远房地产土地评估有限公司</w:t>
      </w:r>
    </w:p>
    <w:p w14:paraId="08E893EE"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住</w:t>
      </w:r>
      <w:r>
        <w:rPr>
          <w:rFonts w:eastAsia="仿宋_GB2312" w:hint="eastAsia"/>
          <w:color w:val="000000"/>
          <w:sz w:val="26"/>
          <w:szCs w:val="26"/>
        </w:rPr>
        <w:t xml:space="preserve">      </w:t>
      </w:r>
      <w:r>
        <w:rPr>
          <w:rFonts w:eastAsia="仿宋_GB2312" w:hint="eastAsia"/>
          <w:color w:val="000000"/>
          <w:sz w:val="26"/>
          <w:szCs w:val="26"/>
        </w:rPr>
        <w:t>所：贵阳市云岩区新添大道南段金耀华庭商住楼</w:t>
      </w:r>
      <w:r>
        <w:rPr>
          <w:rFonts w:eastAsia="仿宋_GB2312" w:hint="eastAsia"/>
          <w:color w:val="000000"/>
          <w:sz w:val="26"/>
          <w:szCs w:val="26"/>
        </w:rPr>
        <w:t>1</w:t>
      </w:r>
      <w:r>
        <w:rPr>
          <w:rFonts w:eastAsia="仿宋_GB2312" w:hint="eastAsia"/>
          <w:color w:val="000000"/>
          <w:sz w:val="26"/>
          <w:szCs w:val="26"/>
        </w:rPr>
        <w:t>单元</w:t>
      </w:r>
      <w:r>
        <w:rPr>
          <w:rFonts w:eastAsia="仿宋_GB2312" w:hint="eastAsia"/>
          <w:color w:val="000000"/>
          <w:sz w:val="26"/>
          <w:szCs w:val="26"/>
        </w:rPr>
        <w:t>7</w:t>
      </w:r>
      <w:r>
        <w:rPr>
          <w:rFonts w:eastAsia="仿宋_GB2312" w:hint="eastAsia"/>
          <w:color w:val="000000"/>
          <w:sz w:val="26"/>
          <w:szCs w:val="26"/>
        </w:rPr>
        <w:t>层</w:t>
      </w:r>
      <w:r>
        <w:rPr>
          <w:rFonts w:eastAsia="仿宋_GB2312" w:hint="eastAsia"/>
          <w:color w:val="000000"/>
          <w:sz w:val="26"/>
          <w:szCs w:val="26"/>
        </w:rPr>
        <w:t>6</w:t>
      </w:r>
      <w:r>
        <w:rPr>
          <w:rFonts w:eastAsia="仿宋_GB2312" w:hint="eastAsia"/>
          <w:color w:val="000000"/>
          <w:sz w:val="26"/>
          <w:szCs w:val="26"/>
        </w:rPr>
        <w:t>号</w:t>
      </w:r>
    </w:p>
    <w:p w14:paraId="5D7FC60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法定代表人：覃剑</w:t>
      </w:r>
    </w:p>
    <w:p w14:paraId="09DE1AEC"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统一社会信用代码：</w:t>
      </w:r>
      <w:r>
        <w:rPr>
          <w:rFonts w:eastAsia="仿宋_GB2312" w:hint="eastAsia"/>
          <w:color w:val="000000"/>
          <w:sz w:val="26"/>
          <w:szCs w:val="26"/>
        </w:rPr>
        <w:t>915201030590702657</w:t>
      </w:r>
    </w:p>
    <w:p w14:paraId="28BB91AC"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经</w:t>
      </w:r>
      <w:r>
        <w:rPr>
          <w:rFonts w:eastAsia="仿宋_GB2312" w:hint="eastAsia"/>
          <w:color w:val="000000"/>
          <w:sz w:val="26"/>
          <w:szCs w:val="26"/>
        </w:rPr>
        <w:t xml:space="preserve"> </w:t>
      </w:r>
      <w:r>
        <w:rPr>
          <w:rFonts w:eastAsia="仿宋_GB2312" w:hint="eastAsia"/>
          <w:color w:val="000000"/>
          <w:sz w:val="26"/>
          <w:szCs w:val="26"/>
        </w:rPr>
        <w:t>营</w:t>
      </w:r>
      <w:r>
        <w:rPr>
          <w:rFonts w:eastAsia="仿宋_GB2312" w:hint="eastAsia"/>
          <w:color w:val="000000"/>
          <w:sz w:val="26"/>
          <w:szCs w:val="26"/>
        </w:rPr>
        <w:t xml:space="preserve"> </w:t>
      </w:r>
      <w:r>
        <w:rPr>
          <w:rFonts w:eastAsia="仿宋_GB2312" w:hint="eastAsia"/>
          <w:color w:val="000000"/>
          <w:sz w:val="26"/>
          <w:szCs w:val="26"/>
        </w:rPr>
        <w:t>范</w:t>
      </w:r>
      <w:r>
        <w:rPr>
          <w:rFonts w:eastAsia="仿宋_GB2312" w:hint="eastAsia"/>
          <w:color w:val="000000"/>
          <w:sz w:val="26"/>
          <w:szCs w:val="26"/>
        </w:rPr>
        <w:t xml:space="preserve"> </w:t>
      </w:r>
      <w:r>
        <w:rPr>
          <w:rFonts w:eastAsia="仿宋_GB2312" w:hint="eastAsia"/>
          <w:color w:val="000000"/>
          <w:sz w:val="26"/>
          <w:szCs w:val="26"/>
        </w:rPr>
        <w:t>围：房地产评估，宗地地价评估，地价咨询</w:t>
      </w:r>
      <w:r>
        <w:rPr>
          <w:rFonts w:eastAsia="仿宋_GB2312" w:hint="eastAsia"/>
          <w:color w:val="000000"/>
          <w:sz w:val="26"/>
          <w:szCs w:val="26"/>
        </w:rPr>
        <w:t>(</w:t>
      </w:r>
      <w:r>
        <w:rPr>
          <w:rFonts w:eastAsia="仿宋_GB2312" w:hint="eastAsia"/>
          <w:color w:val="000000"/>
          <w:sz w:val="26"/>
          <w:szCs w:val="26"/>
        </w:rPr>
        <w:t>涉及许可证的凭证经营</w:t>
      </w:r>
      <w:r>
        <w:rPr>
          <w:rFonts w:eastAsia="仿宋_GB2312" w:hint="eastAsia"/>
          <w:color w:val="000000"/>
          <w:sz w:val="26"/>
          <w:szCs w:val="26"/>
        </w:rPr>
        <w:t>)</w:t>
      </w:r>
    </w:p>
    <w:p w14:paraId="3ED04754"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房地产估价机构备案等级：贰级</w:t>
      </w:r>
    </w:p>
    <w:p w14:paraId="574D452B"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房地产估价机构备案证书编号：筑房评估字：</w:t>
      </w:r>
      <w:r>
        <w:rPr>
          <w:rFonts w:eastAsia="仿宋_GB2312" w:hint="eastAsia"/>
          <w:color w:val="000000"/>
          <w:sz w:val="26"/>
          <w:szCs w:val="26"/>
        </w:rPr>
        <w:t>A2013013</w:t>
      </w:r>
    </w:p>
    <w:p w14:paraId="4A6372CA" w14:textId="77777777" w:rsidR="00EF6A0E" w:rsidRDefault="00000000">
      <w:pPr>
        <w:pStyle w:val="2"/>
        <w:spacing w:beforeLines="50" w:before="156" w:afterLines="50" w:after="156" w:line="440" w:lineRule="exact"/>
        <w:ind w:firstLineChars="200" w:firstLine="643"/>
        <w:rPr>
          <w:rFonts w:ascii="仿宋" w:eastAsia="仿宋" w:hAnsi="仿宋" w:cs="仿宋"/>
          <w:kern w:val="0"/>
        </w:rPr>
      </w:pPr>
      <w:bookmarkStart w:id="20" w:name="_Toc7095"/>
      <w:bookmarkStart w:id="21" w:name="_Toc522795041"/>
      <w:r>
        <w:rPr>
          <w:rFonts w:ascii="仿宋" w:eastAsia="仿宋" w:hAnsi="仿宋" w:cs="仿宋" w:hint="eastAsia"/>
          <w:kern w:val="0"/>
        </w:rPr>
        <w:t>三、估价目的</w:t>
      </w:r>
      <w:bookmarkEnd w:id="20"/>
      <w:bookmarkEnd w:id="21"/>
    </w:p>
    <w:p w14:paraId="643785F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本次估价目的是为人民法院确定财产处置参考价提供参考依据而评估房地产市场价值。</w:t>
      </w:r>
    </w:p>
    <w:p w14:paraId="411C86F1" w14:textId="77777777" w:rsidR="00EF6A0E" w:rsidRDefault="00000000">
      <w:pPr>
        <w:pStyle w:val="2"/>
        <w:spacing w:beforeLines="50" w:before="156" w:afterLines="50" w:after="156" w:line="440" w:lineRule="exact"/>
        <w:ind w:firstLineChars="200" w:firstLine="643"/>
        <w:rPr>
          <w:rFonts w:ascii="仿宋" w:eastAsia="仿宋" w:hAnsi="仿宋" w:cs="仿宋"/>
          <w:kern w:val="0"/>
        </w:rPr>
      </w:pPr>
      <w:bookmarkStart w:id="22" w:name="_Toc286074112"/>
      <w:bookmarkStart w:id="23" w:name="_Toc3605"/>
      <w:bookmarkStart w:id="24" w:name="_Toc522795042"/>
      <w:r>
        <w:rPr>
          <w:rFonts w:ascii="仿宋" w:eastAsia="仿宋" w:hAnsi="仿宋" w:cs="仿宋" w:hint="eastAsia"/>
          <w:kern w:val="0"/>
        </w:rPr>
        <w:t>四、</w:t>
      </w:r>
      <w:bookmarkEnd w:id="22"/>
      <w:r>
        <w:rPr>
          <w:rFonts w:ascii="仿宋" w:eastAsia="仿宋" w:hAnsi="仿宋" w:cs="仿宋" w:hint="eastAsia"/>
          <w:kern w:val="0"/>
        </w:rPr>
        <w:t>估价对象</w:t>
      </w:r>
      <w:bookmarkEnd w:id="23"/>
      <w:bookmarkEnd w:id="24"/>
    </w:p>
    <w:p w14:paraId="7E719653" w14:textId="77777777" w:rsidR="00EF6A0E" w:rsidRDefault="00000000">
      <w:pPr>
        <w:pStyle w:val="3"/>
        <w:spacing w:beforeLines="50" w:before="156" w:afterLines="50" w:after="156" w:line="440" w:lineRule="exact"/>
        <w:ind w:firstLineChars="200" w:firstLine="562"/>
        <w:rPr>
          <w:rFonts w:ascii="仿宋" w:eastAsia="仿宋" w:hAnsi="仿宋" w:cs="仿宋"/>
          <w:sz w:val="28"/>
          <w:szCs w:val="28"/>
        </w:rPr>
      </w:pPr>
      <w:bookmarkStart w:id="25" w:name="_Toc286074113"/>
      <w:r>
        <w:rPr>
          <w:rFonts w:ascii="仿宋" w:eastAsia="仿宋" w:hAnsi="仿宋" w:cs="仿宋" w:hint="eastAsia"/>
          <w:sz w:val="28"/>
          <w:szCs w:val="28"/>
        </w:rPr>
        <w:t>（一）估价对象范围及用途</w:t>
      </w:r>
    </w:p>
    <w:p w14:paraId="66A0F8FE" w14:textId="7A49B4D4" w:rsidR="00EF6A0E" w:rsidRPr="005D044C" w:rsidRDefault="00000000">
      <w:pPr>
        <w:adjustRightInd w:val="0"/>
        <w:snapToGrid w:val="0"/>
        <w:spacing w:line="440" w:lineRule="exact"/>
        <w:ind w:firstLineChars="200" w:firstLine="520"/>
        <w:rPr>
          <w:rFonts w:eastAsia="仿宋_GB2312"/>
          <w:color w:val="000000"/>
          <w:sz w:val="32"/>
          <w:szCs w:val="32"/>
        </w:rPr>
      </w:pPr>
      <w:r>
        <w:rPr>
          <w:rFonts w:eastAsia="仿宋_GB2312" w:hint="eastAsia"/>
          <w:color w:val="000000"/>
          <w:sz w:val="26"/>
          <w:szCs w:val="26"/>
        </w:rPr>
        <w:t>估价对象：位于</w:t>
      </w:r>
      <w:r w:rsidR="00DB1CE0">
        <w:rPr>
          <w:rFonts w:eastAsia="仿宋" w:hint="eastAsia"/>
          <w:bCs/>
          <w:sz w:val="28"/>
          <w:szCs w:val="28"/>
        </w:rPr>
        <w:t>贵州省兴仁市东湖街道办事处长兴路西南侧玉清苑小区</w:t>
      </w:r>
      <w:r w:rsidR="00DB1CE0">
        <w:rPr>
          <w:rFonts w:eastAsia="仿宋" w:hint="eastAsia"/>
          <w:bCs/>
          <w:sz w:val="28"/>
          <w:szCs w:val="28"/>
        </w:rPr>
        <w:t>4</w:t>
      </w:r>
      <w:r w:rsidR="00DB1CE0">
        <w:rPr>
          <w:rFonts w:eastAsia="仿宋" w:hint="eastAsia"/>
          <w:bCs/>
          <w:sz w:val="28"/>
          <w:szCs w:val="28"/>
        </w:rPr>
        <w:t>栋</w:t>
      </w:r>
      <w:r w:rsidR="00DB1CE0">
        <w:rPr>
          <w:rFonts w:eastAsia="仿宋" w:hint="eastAsia"/>
          <w:bCs/>
          <w:sz w:val="28"/>
          <w:szCs w:val="28"/>
        </w:rPr>
        <w:t>1</w:t>
      </w:r>
      <w:r w:rsidR="00DB1CE0">
        <w:rPr>
          <w:rFonts w:eastAsia="仿宋" w:hint="eastAsia"/>
          <w:bCs/>
          <w:sz w:val="28"/>
          <w:szCs w:val="28"/>
        </w:rPr>
        <w:t>单元</w:t>
      </w:r>
      <w:r w:rsidR="00DB1CE0">
        <w:rPr>
          <w:rFonts w:eastAsia="仿宋" w:hint="eastAsia"/>
          <w:bCs/>
          <w:sz w:val="28"/>
          <w:szCs w:val="28"/>
        </w:rPr>
        <w:t>1</w:t>
      </w:r>
      <w:r w:rsidR="00DB1CE0">
        <w:rPr>
          <w:rFonts w:eastAsia="仿宋"/>
          <w:bCs/>
          <w:sz w:val="28"/>
          <w:szCs w:val="28"/>
        </w:rPr>
        <w:t>-4-</w:t>
      </w:r>
      <w:r w:rsidR="00DB1CE0">
        <w:rPr>
          <w:rFonts w:eastAsia="仿宋" w:hint="eastAsia"/>
          <w:bCs/>
          <w:sz w:val="28"/>
          <w:szCs w:val="28"/>
        </w:rPr>
        <w:t>B</w:t>
      </w:r>
      <w:r>
        <w:rPr>
          <w:rFonts w:eastAsia="仿宋_GB2312" w:hint="eastAsia"/>
          <w:color w:val="000000"/>
          <w:sz w:val="26"/>
          <w:szCs w:val="26"/>
        </w:rPr>
        <w:t>，建筑面积为</w:t>
      </w:r>
      <w:r w:rsidR="0013644A">
        <w:rPr>
          <w:rFonts w:eastAsia="仿宋_GB2312" w:hint="eastAsia"/>
          <w:color w:val="000000"/>
          <w:sz w:val="26"/>
          <w:szCs w:val="26"/>
        </w:rPr>
        <w:t>118.78</w:t>
      </w:r>
      <w:r>
        <w:rPr>
          <w:rFonts w:eastAsia="仿宋_GB2312" w:hint="eastAsia"/>
          <w:color w:val="000000"/>
          <w:sz w:val="26"/>
          <w:szCs w:val="26"/>
        </w:rPr>
        <w:t>平方米，用途为：成套住宅，产权人为：</w:t>
      </w:r>
      <w:r w:rsidR="0013644A">
        <w:rPr>
          <w:rFonts w:eastAsia="仿宋_GB2312" w:hint="eastAsia"/>
          <w:color w:val="000000"/>
          <w:sz w:val="26"/>
          <w:szCs w:val="26"/>
        </w:rPr>
        <w:t>马尤林</w:t>
      </w:r>
      <w:r>
        <w:rPr>
          <w:rFonts w:eastAsia="仿宋_GB2312" w:hint="eastAsia"/>
          <w:color w:val="000000"/>
          <w:sz w:val="26"/>
          <w:szCs w:val="26"/>
        </w:rPr>
        <w:t>；</w:t>
      </w:r>
    </w:p>
    <w:p w14:paraId="487D1871"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sz w:val="26"/>
          <w:szCs w:val="26"/>
        </w:rPr>
        <w:t>本次估价包含房屋价值、相应分摊的土地使用权价值、不可分离的设施设备及装修价值</w:t>
      </w:r>
      <w:r>
        <w:rPr>
          <w:rFonts w:eastAsia="仿宋_GB2312" w:hint="eastAsia"/>
          <w:color w:val="000000"/>
          <w:sz w:val="26"/>
          <w:szCs w:val="26"/>
        </w:rPr>
        <w:t>，</w:t>
      </w:r>
      <w:r>
        <w:rPr>
          <w:rFonts w:eastAsia="仿宋_GB2312" w:hint="eastAsia"/>
          <w:sz w:val="26"/>
          <w:szCs w:val="26"/>
        </w:rPr>
        <w:t>但不包括室内可移动物品、设备等动产以及估价对象所涉及的债权债务等其他财产或权益</w:t>
      </w:r>
      <w:r>
        <w:rPr>
          <w:rFonts w:eastAsia="仿宋_GB2312" w:hint="eastAsia"/>
          <w:color w:val="000000"/>
          <w:sz w:val="26"/>
          <w:szCs w:val="26"/>
        </w:rPr>
        <w:t>。</w:t>
      </w:r>
    </w:p>
    <w:p w14:paraId="021F7DAC" w14:textId="77777777" w:rsidR="00EF6A0E" w:rsidRDefault="00000000">
      <w:pPr>
        <w:pStyle w:val="3"/>
        <w:spacing w:beforeLines="50" w:before="156" w:afterLines="50" w:after="156" w:line="440" w:lineRule="exact"/>
        <w:ind w:firstLineChars="200" w:firstLine="562"/>
        <w:rPr>
          <w:rFonts w:ascii="仿宋" w:eastAsia="仿宋" w:hAnsi="仿宋" w:cs="仿宋"/>
          <w:sz w:val="28"/>
          <w:szCs w:val="28"/>
        </w:rPr>
      </w:pPr>
      <w:r>
        <w:rPr>
          <w:rFonts w:ascii="仿宋" w:eastAsia="仿宋" w:hAnsi="仿宋" w:cs="仿宋" w:hint="eastAsia"/>
          <w:sz w:val="28"/>
          <w:szCs w:val="28"/>
        </w:rPr>
        <w:lastRenderedPageBreak/>
        <w:t>（二）估价对象权益状况</w:t>
      </w:r>
    </w:p>
    <w:p w14:paraId="0D24E210" w14:textId="77777777" w:rsidR="00EF6A0E" w:rsidRDefault="00000000">
      <w:pPr>
        <w:pStyle w:val="4"/>
        <w:spacing w:line="300" w:lineRule="exact"/>
        <w:rPr>
          <w:rFonts w:ascii="仿宋" w:eastAsia="仿宋" w:hAnsi="仿宋" w:cs="仿宋"/>
        </w:rPr>
      </w:pPr>
      <w:r>
        <w:rPr>
          <w:rFonts w:ascii="仿宋" w:eastAsia="仿宋" w:hAnsi="仿宋" w:cs="仿宋" w:hint="eastAsia"/>
        </w:rPr>
        <w:t>1、估价对象建筑物权益状况</w:t>
      </w:r>
    </w:p>
    <w:p w14:paraId="5B014A98" w14:textId="77777777" w:rsidR="00EF6A0E" w:rsidRDefault="00000000">
      <w:pPr>
        <w:overflowPunct w:val="0"/>
        <w:topLinePunct/>
        <w:adjustRightInd w:val="0"/>
        <w:snapToGrid w:val="0"/>
        <w:spacing w:line="440" w:lineRule="exact"/>
        <w:ind w:firstLineChars="200" w:firstLine="520"/>
        <w:rPr>
          <w:rFonts w:eastAsia="仿宋_GB2312"/>
          <w:sz w:val="26"/>
          <w:szCs w:val="26"/>
        </w:rPr>
      </w:pPr>
      <w:r>
        <w:rPr>
          <w:rFonts w:eastAsia="仿宋_GB2312" w:hint="eastAsia"/>
          <w:sz w:val="26"/>
          <w:szCs w:val="26"/>
        </w:rPr>
        <w:t>根据委托人提供的《贵州省不动产登记查询结果》，估价对象的权益状况如下：</w:t>
      </w:r>
    </w:p>
    <w:p w14:paraId="5B977E54" w14:textId="2125210D"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sz w:val="26"/>
          <w:szCs w:val="26"/>
        </w:rPr>
        <w:t>1.1</w:t>
      </w:r>
      <w:r>
        <w:rPr>
          <w:rFonts w:eastAsia="仿宋_GB2312" w:hint="eastAsia"/>
          <w:sz w:val="26"/>
          <w:szCs w:val="26"/>
        </w:rPr>
        <w:t>权利人：</w:t>
      </w:r>
      <w:r w:rsidR="0013644A">
        <w:rPr>
          <w:rFonts w:eastAsia="仿宋_GB2312" w:hint="eastAsia"/>
          <w:color w:val="000000"/>
          <w:sz w:val="26"/>
          <w:szCs w:val="26"/>
        </w:rPr>
        <w:t>马尤林</w:t>
      </w:r>
      <w:r>
        <w:rPr>
          <w:rFonts w:eastAsia="仿宋_GB2312" w:hint="eastAsia"/>
          <w:color w:val="000000"/>
          <w:sz w:val="26"/>
          <w:szCs w:val="26"/>
        </w:rPr>
        <w:t>；</w:t>
      </w:r>
    </w:p>
    <w:p w14:paraId="5DD63441" w14:textId="0355DF34"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1.2</w:t>
      </w:r>
      <w:r>
        <w:rPr>
          <w:rFonts w:eastAsia="仿宋_GB2312" w:hint="eastAsia"/>
          <w:color w:val="000000"/>
          <w:sz w:val="26"/>
          <w:szCs w:val="26"/>
        </w:rPr>
        <w:t>证件号：</w:t>
      </w:r>
      <w:r w:rsidR="00571C34">
        <w:rPr>
          <w:rFonts w:eastAsia="仿宋_GB2312" w:hint="eastAsia"/>
          <w:color w:val="000000"/>
          <w:sz w:val="26"/>
          <w:szCs w:val="26"/>
        </w:rPr>
        <w:t>522322197409191819</w:t>
      </w:r>
      <w:r>
        <w:rPr>
          <w:rFonts w:eastAsia="仿宋_GB2312" w:hint="eastAsia"/>
          <w:color w:val="000000"/>
          <w:sz w:val="26"/>
          <w:szCs w:val="26"/>
        </w:rPr>
        <w:t>；</w:t>
      </w:r>
    </w:p>
    <w:p w14:paraId="7D9F9659" w14:textId="2FAB2A3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1.3</w:t>
      </w:r>
      <w:r>
        <w:rPr>
          <w:rFonts w:eastAsia="仿宋_GB2312" w:hint="eastAsia"/>
          <w:color w:val="000000"/>
          <w:sz w:val="26"/>
          <w:szCs w:val="26"/>
        </w:rPr>
        <w:t>不动产权证号：</w:t>
      </w:r>
      <w:r w:rsidR="00A73238">
        <w:rPr>
          <w:rFonts w:eastAsia="仿宋_GB2312"/>
          <w:color w:val="000000"/>
          <w:sz w:val="26"/>
          <w:szCs w:val="26"/>
        </w:rPr>
        <w:t>00010193</w:t>
      </w:r>
      <w:r>
        <w:rPr>
          <w:rFonts w:eastAsia="仿宋_GB2312" w:hint="eastAsia"/>
          <w:color w:val="000000"/>
          <w:sz w:val="26"/>
          <w:szCs w:val="26"/>
        </w:rPr>
        <w:t>；</w:t>
      </w:r>
    </w:p>
    <w:p w14:paraId="6E57D462" w14:textId="20170095"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1.4</w:t>
      </w:r>
      <w:r>
        <w:rPr>
          <w:rFonts w:eastAsia="仿宋_GB2312" w:hint="eastAsia"/>
          <w:color w:val="000000"/>
          <w:sz w:val="26"/>
          <w:szCs w:val="26"/>
        </w:rPr>
        <w:t>不动产单元号：</w:t>
      </w:r>
      <w:r w:rsidR="00A73238">
        <w:rPr>
          <w:rFonts w:eastAsia="仿宋_GB2312"/>
          <w:color w:val="000000"/>
          <w:sz w:val="26"/>
          <w:szCs w:val="26"/>
        </w:rPr>
        <w:t>522322011020</w:t>
      </w:r>
      <w:r w:rsidR="00A73238">
        <w:rPr>
          <w:rFonts w:eastAsia="仿宋_GB2312" w:hint="eastAsia"/>
          <w:color w:val="000000"/>
          <w:sz w:val="26"/>
          <w:szCs w:val="26"/>
        </w:rPr>
        <w:t>GB</w:t>
      </w:r>
      <w:r w:rsidR="00A73238">
        <w:rPr>
          <w:rFonts w:eastAsia="仿宋_GB2312"/>
          <w:color w:val="000000"/>
          <w:sz w:val="26"/>
          <w:szCs w:val="26"/>
        </w:rPr>
        <w:t>00004</w:t>
      </w:r>
      <w:r w:rsidR="00A73238">
        <w:rPr>
          <w:rFonts w:eastAsia="仿宋_GB2312" w:hint="eastAsia"/>
          <w:color w:val="000000"/>
          <w:sz w:val="26"/>
          <w:szCs w:val="26"/>
        </w:rPr>
        <w:t>F</w:t>
      </w:r>
      <w:r w:rsidR="00A73238">
        <w:rPr>
          <w:rFonts w:eastAsia="仿宋_GB2312"/>
          <w:color w:val="000000"/>
          <w:sz w:val="26"/>
          <w:szCs w:val="26"/>
        </w:rPr>
        <w:t>00040001</w:t>
      </w:r>
      <w:r>
        <w:rPr>
          <w:rFonts w:eastAsia="仿宋_GB2312" w:hint="eastAsia"/>
          <w:color w:val="000000"/>
          <w:sz w:val="26"/>
          <w:szCs w:val="26"/>
        </w:rPr>
        <w:t>；</w:t>
      </w:r>
    </w:p>
    <w:p w14:paraId="3A7B9DC7" w14:textId="586D65B2"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1.5</w:t>
      </w:r>
      <w:r>
        <w:rPr>
          <w:rFonts w:eastAsia="仿宋_GB2312" w:hint="eastAsia"/>
          <w:color w:val="000000"/>
          <w:sz w:val="26"/>
          <w:szCs w:val="26"/>
        </w:rPr>
        <w:t>坐落：</w:t>
      </w:r>
      <w:r w:rsidR="00DB1CE0" w:rsidRPr="00DB1CE0">
        <w:rPr>
          <w:rFonts w:eastAsia="仿宋_GB2312" w:hint="eastAsia"/>
          <w:color w:val="000000"/>
          <w:sz w:val="26"/>
          <w:szCs w:val="26"/>
        </w:rPr>
        <w:t>贵州省兴仁市东湖街道办事处长兴路西南侧玉清苑小区</w:t>
      </w:r>
      <w:r w:rsidR="00DB1CE0" w:rsidRPr="00DB1CE0">
        <w:rPr>
          <w:rFonts w:eastAsia="仿宋_GB2312" w:hint="eastAsia"/>
          <w:color w:val="000000"/>
          <w:sz w:val="26"/>
          <w:szCs w:val="26"/>
        </w:rPr>
        <w:t>4</w:t>
      </w:r>
      <w:r w:rsidR="00DB1CE0" w:rsidRPr="00DB1CE0">
        <w:rPr>
          <w:rFonts w:eastAsia="仿宋_GB2312" w:hint="eastAsia"/>
          <w:color w:val="000000"/>
          <w:sz w:val="26"/>
          <w:szCs w:val="26"/>
        </w:rPr>
        <w:t>栋</w:t>
      </w:r>
      <w:r w:rsidR="00DB1CE0" w:rsidRPr="00DB1CE0">
        <w:rPr>
          <w:rFonts w:eastAsia="仿宋_GB2312" w:hint="eastAsia"/>
          <w:color w:val="000000"/>
          <w:sz w:val="26"/>
          <w:szCs w:val="26"/>
        </w:rPr>
        <w:t>1</w:t>
      </w:r>
      <w:r w:rsidR="00DB1CE0" w:rsidRPr="00DB1CE0">
        <w:rPr>
          <w:rFonts w:eastAsia="仿宋_GB2312" w:hint="eastAsia"/>
          <w:color w:val="000000"/>
          <w:sz w:val="26"/>
          <w:szCs w:val="26"/>
        </w:rPr>
        <w:t>单元</w:t>
      </w:r>
      <w:r w:rsidR="00DB1CE0" w:rsidRPr="00DB1CE0">
        <w:rPr>
          <w:rFonts w:eastAsia="仿宋_GB2312" w:hint="eastAsia"/>
          <w:color w:val="000000"/>
          <w:sz w:val="26"/>
          <w:szCs w:val="26"/>
        </w:rPr>
        <w:t>1</w:t>
      </w:r>
      <w:r w:rsidR="00DB1CE0" w:rsidRPr="00DB1CE0">
        <w:rPr>
          <w:rFonts w:eastAsia="仿宋_GB2312"/>
          <w:color w:val="000000"/>
          <w:sz w:val="26"/>
          <w:szCs w:val="26"/>
        </w:rPr>
        <w:t>-4-</w:t>
      </w:r>
      <w:r w:rsidR="00DB1CE0" w:rsidRPr="00DB1CE0">
        <w:rPr>
          <w:rFonts w:eastAsia="仿宋_GB2312" w:hint="eastAsia"/>
          <w:color w:val="000000"/>
          <w:sz w:val="26"/>
          <w:szCs w:val="26"/>
        </w:rPr>
        <w:t>B</w:t>
      </w:r>
      <w:r>
        <w:rPr>
          <w:rFonts w:eastAsia="仿宋_GB2312" w:hint="eastAsia"/>
          <w:color w:val="000000"/>
          <w:sz w:val="26"/>
          <w:szCs w:val="26"/>
        </w:rPr>
        <w:t>；</w:t>
      </w:r>
    </w:p>
    <w:p w14:paraId="33609D9B" w14:textId="7777777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1.6</w:t>
      </w:r>
      <w:r>
        <w:rPr>
          <w:rFonts w:eastAsia="仿宋_GB2312" w:hint="eastAsia"/>
          <w:color w:val="000000"/>
          <w:sz w:val="26"/>
          <w:szCs w:val="26"/>
        </w:rPr>
        <w:t>用途：成套住宅；</w:t>
      </w:r>
    </w:p>
    <w:p w14:paraId="1C8B13A2" w14:textId="1E396852"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1.7</w:t>
      </w:r>
      <w:r>
        <w:rPr>
          <w:rFonts w:eastAsia="仿宋_GB2312" w:hint="eastAsia"/>
          <w:color w:val="000000"/>
          <w:sz w:val="26"/>
          <w:szCs w:val="26"/>
        </w:rPr>
        <w:t>建筑面积：</w:t>
      </w:r>
      <w:r w:rsidR="0013644A">
        <w:rPr>
          <w:rFonts w:eastAsia="仿宋_GB2312" w:hint="eastAsia"/>
          <w:color w:val="000000"/>
          <w:sz w:val="26"/>
          <w:szCs w:val="26"/>
        </w:rPr>
        <w:t>118.78</w:t>
      </w:r>
      <w:r>
        <w:rPr>
          <w:rFonts w:eastAsia="仿宋_GB2312" w:hint="eastAsia"/>
          <w:color w:val="000000"/>
          <w:sz w:val="26"/>
          <w:szCs w:val="26"/>
        </w:rPr>
        <w:t>平方米；</w:t>
      </w:r>
    </w:p>
    <w:p w14:paraId="1E7CFCE7" w14:textId="1E066660"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1.8</w:t>
      </w:r>
      <w:r>
        <w:rPr>
          <w:rFonts w:eastAsia="仿宋_GB2312" w:hint="eastAsia"/>
          <w:color w:val="000000"/>
          <w:sz w:val="26"/>
          <w:szCs w:val="26"/>
        </w:rPr>
        <w:t>权属状态：现势；</w:t>
      </w:r>
    </w:p>
    <w:p w14:paraId="76924278" w14:textId="11FA01BE" w:rsidR="002D703A" w:rsidRDefault="002D703A">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w:t>
      </w:r>
      <w:r>
        <w:rPr>
          <w:rFonts w:eastAsia="仿宋_GB2312"/>
          <w:color w:val="000000"/>
          <w:sz w:val="26"/>
          <w:szCs w:val="26"/>
        </w:rPr>
        <w:t>.9</w:t>
      </w:r>
      <w:r>
        <w:rPr>
          <w:rFonts w:eastAsia="仿宋_GB2312" w:hint="eastAsia"/>
          <w:color w:val="000000"/>
          <w:sz w:val="26"/>
          <w:szCs w:val="26"/>
        </w:rPr>
        <w:t>购房时间：</w:t>
      </w:r>
      <w:r>
        <w:rPr>
          <w:rFonts w:eastAsia="仿宋_GB2312" w:hint="eastAsia"/>
          <w:color w:val="000000"/>
          <w:sz w:val="26"/>
          <w:szCs w:val="26"/>
        </w:rPr>
        <w:t>2</w:t>
      </w:r>
      <w:r>
        <w:rPr>
          <w:rFonts w:eastAsia="仿宋_GB2312"/>
          <w:color w:val="000000"/>
          <w:sz w:val="26"/>
          <w:szCs w:val="26"/>
        </w:rPr>
        <w:t>014-02-26</w:t>
      </w:r>
    </w:p>
    <w:p w14:paraId="3BFEF599" w14:textId="5EF97320"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w:t>
      </w:r>
      <w:r w:rsidR="002D703A">
        <w:rPr>
          <w:rFonts w:eastAsia="仿宋_GB2312"/>
          <w:color w:val="000000"/>
          <w:sz w:val="26"/>
          <w:szCs w:val="26"/>
        </w:rPr>
        <w:t>10</w:t>
      </w:r>
      <w:r>
        <w:rPr>
          <w:rFonts w:eastAsia="仿宋_GB2312" w:hint="eastAsia"/>
          <w:color w:val="000000"/>
          <w:sz w:val="26"/>
          <w:szCs w:val="26"/>
        </w:rPr>
        <w:t>登记状态：权属、抵押、预抵、查封；</w:t>
      </w:r>
    </w:p>
    <w:p w14:paraId="3F20B397" w14:textId="19CA6BC1"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1.1</w:t>
      </w:r>
      <w:r w:rsidR="002D703A">
        <w:rPr>
          <w:rFonts w:eastAsia="仿宋_GB2312"/>
          <w:color w:val="000000"/>
          <w:sz w:val="26"/>
          <w:szCs w:val="26"/>
        </w:rPr>
        <w:t>1</w:t>
      </w:r>
      <w:r>
        <w:rPr>
          <w:rFonts w:eastAsia="仿宋_GB2312" w:hint="eastAsia"/>
          <w:color w:val="000000"/>
          <w:sz w:val="26"/>
          <w:szCs w:val="26"/>
        </w:rPr>
        <w:t>登记时间：</w:t>
      </w:r>
      <w:r w:rsidR="00A73238">
        <w:rPr>
          <w:rFonts w:eastAsia="仿宋_GB2312" w:hint="eastAsia"/>
          <w:color w:val="000000"/>
          <w:sz w:val="26"/>
          <w:szCs w:val="26"/>
        </w:rPr>
        <w:t>无</w:t>
      </w:r>
      <w:r>
        <w:rPr>
          <w:rFonts w:eastAsia="仿宋_GB2312" w:hint="eastAsia"/>
          <w:color w:val="000000"/>
          <w:sz w:val="26"/>
          <w:szCs w:val="26"/>
        </w:rPr>
        <w:t>。</w:t>
      </w:r>
    </w:p>
    <w:p w14:paraId="64968CDB" w14:textId="77777777" w:rsidR="00EF6A0E" w:rsidRDefault="00000000">
      <w:pPr>
        <w:pStyle w:val="4"/>
        <w:spacing w:line="360" w:lineRule="exact"/>
        <w:rPr>
          <w:rFonts w:ascii="仿宋" w:eastAsia="仿宋" w:hAnsi="仿宋" w:cs="仿宋"/>
        </w:rPr>
      </w:pPr>
      <w:r>
        <w:rPr>
          <w:rFonts w:ascii="仿宋" w:eastAsia="仿宋" w:hAnsi="仿宋" w:cs="仿宋" w:hint="eastAsia"/>
        </w:rPr>
        <w:t xml:space="preserve">2、土地使用权权益状况 </w:t>
      </w:r>
    </w:p>
    <w:p w14:paraId="7EA6A810" w14:textId="77777777" w:rsidR="00EF6A0E" w:rsidRDefault="00000000">
      <w:pPr>
        <w:overflowPunct w:val="0"/>
        <w:topLinePunct/>
        <w:adjustRightInd w:val="0"/>
        <w:snapToGrid w:val="0"/>
        <w:spacing w:line="440" w:lineRule="exact"/>
        <w:ind w:firstLineChars="200" w:firstLine="520"/>
        <w:rPr>
          <w:rFonts w:eastAsia="仿宋_GB2312"/>
          <w:sz w:val="26"/>
          <w:szCs w:val="26"/>
        </w:rPr>
      </w:pPr>
      <w:r>
        <w:rPr>
          <w:rFonts w:eastAsia="仿宋_GB2312" w:hint="eastAsia"/>
          <w:sz w:val="26"/>
          <w:szCs w:val="26"/>
        </w:rPr>
        <w:t>估价委托人未能提供估价对象的《国有土地使用权证》或《不动产权证》；</w:t>
      </w:r>
    </w:p>
    <w:p w14:paraId="5A8A6D57" w14:textId="77777777" w:rsidR="00EF6A0E" w:rsidRDefault="00000000">
      <w:pPr>
        <w:pStyle w:val="4"/>
        <w:spacing w:line="300" w:lineRule="exact"/>
        <w:rPr>
          <w:rFonts w:eastAsia="宋体"/>
        </w:rPr>
      </w:pPr>
      <w:r>
        <w:rPr>
          <w:rFonts w:ascii="仿宋" w:eastAsia="仿宋" w:hAnsi="仿宋" w:cs="仿宋" w:hint="eastAsia"/>
        </w:rPr>
        <w:t>3、他项权利设立状况</w:t>
      </w:r>
    </w:p>
    <w:p w14:paraId="4DED50D9" w14:textId="77777777" w:rsidR="00FB5C99" w:rsidRDefault="00FB5C99" w:rsidP="00FB5C99">
      <w:pPr>
        <w:adjustRightInd w:val="0"/>
        <w:snapToGrid w:val="0"/>
        <w:spacing w:line="440" w:lineRule="exact"/>
        <w:rPr>
          <w:rFonts w:eastAsia="仿宋_GB2312"/>
          <w:b/>
          <w:bCs/>
          <w:color w:val="000000"/>
          <w:sz w:val="26"/>
          <w:szCs w:val="26"/>
        </w:rPr>
      </w:pPr>
      <w:r>
        <w:rPr>
          <w:rFonts w:eastAsia="仿宋_GB2312" w:hint="eastAsia"/>
          <w:b/>
          <w:bCs/>
          <w:color w:val="000000"/>
          <w:sz w:val="26"/>
          <w:szCs w:val="26"/>
        </w:rPr>
        <w:t>3</w:t>
      </w:r>
      <w:r>
        <w:rPr>
          <w:rFonts w:eastAsia="仿宋_GB2312"/>
          <w:b/>
          <w:bCs/>
          <w:color w:val="000000"/>
          <w:sz w:val="26"/>
          <w:szCs w:val="26"/>
        </w:rPr>
        <w:t>.1</w:t>
      </w:r>
      <w:r w:rsidRPr="00F0001C">
        <w:rPr>
          <w:rFonts w:eastAsia="仿宋_GB2312" w:hint="eastAsia"/>
          <w:b/>
          <w:bCs/>
          <w:color w:val="000000"/>
          <w:sz w:val="26"/>
          <w:szCs w:val="26"/>
        </w:rPr>
        <w:t>抵押信息</w:t>
      </w:r>
    </w:p>
    <w:p w14:paraId="6AD726DE" w14:textId="57C22409" w:rsidR="00FB5C99" w:rsidRPr="00FB5C99" w:rsidRDefault="00FB5C99" w:rsidP="00FB5C99">
      <w:pPr>
        <w:adjustRightInd w:val="0"/>
        <w:snapToGrid w:val="0"/>
        <w:spacing w:line="440" w:lineRule="exact"/>
        <w:rPr>
          <w:rFonts w:eastAsia="仿宋_GB2312"/>
          <w:b/>
          <w:bCs/>
          <w:color w:val="000000"/>
          <w:sz w:val="26"/>
          <w:szCs w:val="26"/>
        </w:rPr>
      </w:pPr>
      <w:r>
        <w:rPr>
          <w:rFonts w:eastAsia="仿宋_GB2312" w:hint="eastAsia"/>
          <w:color w:val="000000"/>
          <w:sz w:val="26"/>
          <w:szCs w:val="26"/>
        </w:rPr>
        <w:t>抵押权人：兴仁振兴村镇银行股份有限公司</w:t>
      </w:r>
    </w:p>
    <w:p w14:paraId="5AFAFFAB" w14:textId="77777777" w:rsidR="00FB5C99" w:rsidRDefault="00FB5C99" w:rsidP="00FB5C99">
      <w:pPr>
        <w:adjustRightInd w:val="0"/>
        <w:snapToGrid w:val="0"/>
        <w:spacing w:line="440" w:lineRule="exact"/>
        <w:rPr>
          <w:rFonts w:eastAsia="仿宋_GB2312"/>
          <w:color w:val="000000"/>
          <w:sz w:val="26"/>
          <w:szCs w:val="26"/>
        </w:rPr>
      </w:pPr>
      <w:r>
        <w:rPr>
          <w:rFonts w:eastAsia="仿宋_GB2312" w:hint="eastAsia"/>
          <w:color w:val="000000"/>
          <w:sz w:val="26"/>
          <w:szCs w:val="26"/>
        </w:rPr>
        <w:t>不动产登记证明号：黔（</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）兴仁市不动产证明第</w:t>
      </w:r>
      <w:r>
        <w:rPr>
          <w:rFonts w:eastAsia="仿宋_GB2312" w:hint="eastAsia"/>
          <w:color w:val="000000"/>
          <w:sz w:val="26"/>
          <w:szCs w:val="26"/>
        </w:rPr>
        <w:t>0</w:t>
      </w:r>
      <w:r>
        <w:rPr>
          <w:rFonts w:eastAsia="仿宋_GB2312"/>
          <w:color w:val="000000"/>
          <w:sz w:val="26"/>
          <w:szCs w:val="26"/>
        </w:rPr>
        <w:t>000384</w:t>
      </w:r>
      <w:r>
        <w:rPr>
          <w:rFonts w:eastAsia="仿宋_GB2312" w:hint="eastAsia"/>
          <w:color w:val="000000"/>
          <w:sz w:val="26"/>
          <w:szCs w:val="26"/>
        </w:rPr>
        <w:t>号</w:t>
      </w:r>
    </w:p>
    <w:p w14:paraId="6A2F280C" w14:textId="77777777" w:rsidR="00FB5C99" w:rsidRDefault="00FB5C99" w:rsidP="00FB5C99">
      <w:pPr>
        <w:adjustRightInd w:val="0"/>
        <w:snapToGrid w:val="0"/>
        <w:spacing w:line="440" w:lineRule="exact"/>
        <w:rPr>
          <w:rFonts w:eastAsia="仿宋_GB2312"/>
          <w:color w:val="000000"/>
          <w:sz w:val="26"/>
          <w:szCs w:val="26"/>
        </w:rPr>
      </w:pPr>
      <w:r>
        <w:rPr>
          <w:rFonts w:eastAsia="仿宋_GB2312" w:hint="eastAsia"/>
          <w:color w:val="000000"/>
          <w:sz w:val="26"/>
          <w:szCs w:val="26"/>
        </w:rPr>
        <w:t>抵押金额：</w:t>
      </w:r>
      <w:r>
        <w:rPr>
          <w:rFonts w:eastAsia="仿宋_GB2312" w:hint="eastAsia"/>
          <w:color w:val="000000"/>
          <w:sz w:val="26"/>
          <w:szCs w:val="26"/>
        </w:rPr>
        <w:t>2</w:t>
      </w:r>
      <w:r>
        <w:rPr>
          <w:rFonts w:eastAsia="仿宋_GB2312"/>
          <w:color w:val="000000"/>
          <w:sz w:val="26"/>
          <w:szCs w:val="26"/>
        </w:rPr>
        <w:t>0</w:t>
      </w:r>
      <w:r>
        <w:rPr>
          <w:rFonts w:eastAsia="仿宋_GB2312" w:hint="eastAsia"/>
          <w:color w:val="000000"/>
          <w:sz w:val="26"/>
          <w:szCs w:val="26"/>
        </w:rPr>
        <w:t>万元</w:t>
      </w:r>
    </w:p>
    <w:p w14:paraId="2E2047E6" w14:textId="77777777" w:rsidR="00FB5C99" w:rsidRDefault="00FB5C99" w:rsidP="00FB5C99">
      <w:pPr>
        <w:adjustRightInd w:val="0"/>
        <w:snapToGrid w:val="0"/>
        <w:spacing w:line="440" w:lineRule="exact"/>
        <w:rPr>
          <w:rFonts w:eastAsia="仿宋_GB2312"/>
          <w:color w:val="000000"/>
          <w:sz w:val="26"/>
          <w:szCs w:val="26"/>
        </w:rPr>
      </w:pPr>
      <w:r>
        <w:rPr>
          <w:rFonts w:eastAsia="仿宋_GB2312" w:hint="eastAsia"/>
          <w:color w:val="000000"/>
          <w:sz w:val="26"/>
          <w:szCs w:val="26"/>
        </w:rPr>
        <w:t>抵押方式：最高额抵押</w:t>
      </w:r>
    </w:p>
    <w:p w14:paraId="27731FD8" w14:textId="77777777" w:rsidR="00FB5C99" w:rsidRDefault="00FB5C99" w:rsidP="00FB5C99">
      <w:pPr>
        <w:adjustRightInd w:val="0"/>
        <w:snapToGrid w:val="0"/>
        <w:spacing w:line="440" w:lineRule="exact"/>
        <w:rPr>
          <w:rFonts w:eastAsia="仿宋_GB2312"/>
          <w:color w:val="000000"/>
          <w:sz w:val="26"/>
          <w:szCs w:val="26"/>
        </w:rPr>
      </w:pPr>
      <w:r>
        <w:rPr>
          <w:rFonts w:eastAsia="仿宋_GB2312" w:hint="eastAsia"/>
          <w:color w:val="000000"/>
          <w:sz w:val="26"/>
          <w:szCs w:val="26"/>
        </w:rPr>
        <w:t>抵押期限：</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4</w:t>
      </w:r>
      <w:r>
        <w:rPr>
          <w:rFonts w:eastAsia="仿宋_GB2312" w:hint="eastAsia"/>
          <w:color w:val="000000"/>
          <w:sz w:val="26"/>
          <w:szCs w:val="26"/>
        </w:rPr>
        <w:t>号起</w:t>
      </w:r>
      <w:r>
        <w:rPr>
          <w:rFonts w:eastAsia="仿宋_GB2312" w:hint="eastAsia"/>
          <w:color w:val="000000"/>
          <w:sz w:val="26"/>
          <w:szCs w:val="26"/>
        </w:rPr>
        <w:t>2</w:t>
      </w:r>
      <w:r>
        <w:rPr>
          <w:rFonts w:eastAsia="仿宋_GB2312"/>
          <w:color w:val="000000"/>
          <w:sz w:val="26"/>
          <w:szCs w:val="26"/>
        </w:rPr>
        <w:t>026</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3</w:t>
      </w:r>
      <w:r>
        <w:rPr>
          <w:rFonts w:eastAsia="仿宋_GB2312" w:hint="eastAsia"/>
          <w:color w:val="000000"/>
          <w:sz w:val="26"/>
          <w:szCs w:val="26"/>
        </w:rPr>
        <w:t>号止</w:t>
      </w:r>
    </w:p>
    <w:p w14:paraId="6F724582" w14:textId="2192E12D" w:rsidR="00D10E7E" w:rsidRDefault="00FB5C99" w:rsidP="00FB5C99">
      <w:pPr>
        <w:adjustRightInd w:val="0"/>
        <w:snapToGrid w:val="0"/>
        <w:spacing w:line="440" w:lineRule="exact"/>
        <w:rPr>
          <w:rFonts w:eastAsia="仿宋_GB2312"/>
          <w:color w:val="000000"/>
          <w:sz w:val="26"/>
          <w:szCs w:val="26"/>
        </w:rPr>
      </w:pPr>
      <w:r>
        <w:rPr>
          <w:rFonts w:eastAsia="仿宋_GB2312" w:hint="eastAsia"/>
          <w:color w:val="000000"/>
          <w:sz w:val="26"/>
          <w:szCs w:val="26"/>
        </w:rPr>
        <w:t>登记时间：</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6</w:t>
      </w:r>
      <w:r>
        <w:rPr>
          <w:rFonts w:eastAsia="仿宋_GB2312" w:hint="eastAsia"/>
          <w:color w:val="000000"/>
          <w:sz w:val="26"/>
          <w:szCs w:val="26"/>
        </w:rPr>
        <w:t>号</w:t>
      </w:r>
    </w:p>
    <w:p w14:paraId="1AD531E6" w14:textId="7FE80105" w:rsidR="00D10E7E" w:rsidRDefault="00D10E7E" w:rsidP="00FB5C99">
      <w:pPr>
        <w:adjustRightInd w:val="0"/>
        <w:snapToGrid w:val="0"/>
        <w:spacing w:line="440" w:lineRule="exact"/>
        <w:rPr>
          <w:rFonts w:eastAsia="仿宋_GB2312"/>
          <w:color w:val="000000"/>
          <w:sz w:val="26"/>
          <w:szCs w:val="26"/>
        </w:rPr>
      </w:pPr>
    </w:p>
    <w:p w14:paraId="027C0D10" w14:textId="6C0DD62F" w:rsidR="00D10E7E" w:rsidRDefault="00D10E7E" w:rsidP="00FB5C99">
      <w:pPr>
        <w:adjustRightInd w:val="0"/>
        <w:snapToGrid w:val="0"/>
        <w:spacing w:line="440" w:lineRule="exact"/>
        <w:rPr>
          <w:rFonts w:eastAsia="仿宋_GB2312"/>
          <w:color w:val="000000"/>
          <w:sz w:val="26"/>
          <w:szCs w:val="26"/>
        </w:rPr>
      </w:pPr>
    </w:p>
    <w:p w14:paraId="69DEABD4" w14:textId="1E72E45F" w:rsidR="00D10E7E" w:rsidRDefault="00D10E7E" w:rsidP="00FB5C99">
      <w:pPr>
        <w:adjustRightInd w:val="0"/>
        <w:snapToGrid w:val="0"/>
        <w:spacing w:line="440" w:lineRule="exact"/>
        <w:rPr>
          <w:rFonts w:eastAsia="仿宋_GB2312"/>
          <w:color w:val="000000"/>
          <w:sz w:val="26"/>
          <w:szCs w:val="26"/>
        </w:rPr>
      </w:pPr>
    </w:p>
    <w:p w14:paraId="38AFC9C2" w14:textId="77777777" w:rsidR="00D10E7E" w:rsidRPr="00D10E7E" w:rsidRDefault="00D10E7E" w:rsidP="00FB5C99">
      <w:pPr>
        <w:adjustRightInd w:val="0"/>
        <w:snapToGrid w:val="0"/>
        <w:spacing w:line="440" w:lineRule="exact"/>
        <w:rPr>
          <w:rFonts w:eastAsia="仿宋_GB2312"/>
          <w:color w:val="000000"/>
          <w:sz w:val="26"/>
          <w:szCs w:val="26"/>
        </w:rPr>
      </w:pPr>
    </w:p>
    <w:p w14:paraId="442E7025" w14:textId="42DB3AF9" w:rsidR="00FB5C99" w:rsidRDefault="00FB5C99" w:rsidP="00FB5C99">
      <w:pPr>
        <w:adjustRightInd w:val="0"/>
        <w:snapToGrid w:val="0"/>
        <w:spacing w:line="440" w:lineRule="exact"/>
        <w:rPr>
          <w:rFonts w:eastAsia="仿宋_GB2312"/>
          <w:b/>
          <w:bCs/>
          <w:color w:val="000000"/>
          <w:sz w:val="26"/>
          <w:szCs w:val="26"/>
        </w:rPr>
      </w:pPr>
      <w:r>
        <w:rPr>
          <w:rFonts w:eastAsia="仿宋_GB2312" w:hint="eastAsia"/>
          <w:b/>
          <w:bCs/>
          <w:color w:val="000000"/>
          <w:sz w:val="26"/>
          <w:szCs w:val="26"/>
        </w:rPr>
        <w:lastRenderedPageBreak/>
        <w:t>3</w:t>
      </w:r>
      <w:r>
        <w:rPr>
          <w:rFonts w:eastAsia="仿宋_GB2312"/>
          <w:b/>
          <w:bCs/>
          <w:color w:val="000000"/>
          <w:sz w:val="26"/>
          <w:szCs w:val="26"/>
        </w:rPr>
        <w:t>.2</w:t>
      </w:r>
      <w:r w:rsidRPr="00F0001C">
        <w:rPr>
          <w:rFonts w:eastAsia="仿宋_GB2312" w:hint="eastAsia"/>
          <w:b/>
          <w:bCs/>
          <w:color w:val="000000"/>
          <w:sz w:val="26"/>
          <w:szCs w:val="26"/>
        </w:rPr>
        <w:t>查封信息</w:t>
      </w:r>
    </w:p>
    <w:tbl>
      <w:tblPr>
        <w:tblStyle w:val="af5"/>
        <w:tblW w:w="10361" w:type="dxa"/>
        <w:jc w:val="center"/>
        <w:tblLook w:val="04A0" w:firstRow="1" w:lastRow="0" w:firstColumn="1" w:lastColumn="0" w:noHBand="0" w:noVBand="1"/>
      </w:tblPr>
      <w:tblGrid>
        <w:gridCol w:w="1564"/>
        <w:gridCol w:w="2180"/>
        <w:gridCol w:w="2180"/>
        <w:gridCol w:w="2181"/>
        <w:gridCol w:w="2256"/>
      </w:tblGrid>
      <w:tr w:rsidR="00FB5C99" w14:paraId="583322A5" w14:textId="77777777" w:rsidTr="004E37FD">
        <w:trPr>
          <w:trHeight w:val="551"/>
          <w:jc w:val="center"/>
        </w:trPr>
        <w:tc>
          <w:tcPr>
            <w:tcW w:w="1564" w:type="dxa"/>
          </w:tcPr>
          <w:p w14:paraId="44911AE6"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登记序号</w:t>
            </w:r>
          </w:p>
        </w:tc>
        <w:tc>
          <w:tcPr>
            <w:tcW w:w="2180" w:type="dxa"/>
          </w:tcPr>
          <w:p w14:paraId="0DC1D322"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查封机构</w:t>
            </w:r>
          </w:p>
        </w:tc>
        <w:tc>
          <w:tcPr>
            <w:tcW w:w="2180" w:type="dxa"/>
          </w:tcPr>
          <w:p w14:paraId="5FCD7034"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查封文号</w:t>
            </w:r>
          </w:p>
        </w:tc>
        <w:tc>
          <w:tcPr>
            <w:tcW w:w="2181" w:type="dxa"/>
          </w:tcPr>
          <w:p w14:paraId="67566536"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查封期限</w:t>
            </w:r>
          </w:p>
        </w:tc>
        <w:tc>
          <w:tcPr>
            <w:tcW w:w="2256" w:type="dxa"/>
          </w:tcPr>
          <w:p w14:paraId="7875BF27"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登记时间</w:t>
            </w:r>
          </w:p>
        </w:tc>
      </w:tr>
      <w:tr w:rsidR="00FB5C99" w14:paraId="15129476" w14:textId="77777777" w:rsidTr="004E37FD">
        <w:trPr>
          <w:trHeight w:val="1092"/>
          <w:jc w:val="center"/>
        </w:trPr>
        <w:tc>
          <w:tcPr>
            <w:tcW w:w="1564" w:type="dxa"/>
          </w:tcPr>
          <w:p w14:paraId="3CC4E7F0"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1</w:t>
            </w:r>
          </w:p>
        </w:tc>
        <w:tc>
          <w:tcPr>
            <w:tcW w:w="2180" w:type="dxa"/>
          </w:tcPr>
          <w:p w14:paraId="6902AD6A"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贵州省兴仁市人民政府</w:t>
            </w:r>
          </w:p>
        </w:tc>
        <w:tc>
          <w:tcPr>
            <w:tcW w:w="2180" w:type="dxa"/>
          </w:tcPr>
          <w:p w14:paraId="26C3A36F"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w:t>
            </w: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）黔</w:t>
            </w:r>
            <w:r w:rsidRPr="004E37FD">
              <w:rPr>
                <w:rFonts w:eastAsia="仿宋_GB2312" w:hint="eastAsia"/>
                <w:color w:val="000000"/>
                <w:sz w:val="22"/>
                <w:szCs w:val="22"/>
              </w:rPr>
              <w:t>2</w:t>
            </w:r>
            <w:r w:rsidRPr="004E37FD">
              <w:rPr>
                <w:rFonts w:eastAsia="仿宋_GB2312"/>
                <w:color w:val="000000"/>
                <w:sz w:val="22"/>
                <w:szCs w:val="22"/>
              </w:rPr>
              <w:t>322</w:t>
            </w:r>
            <w:r w:rsidRPr="004E37FD">
              <w:rPr>
                <w:rFonts w:eastAsia="仿宋_GB2312" w:hint="eastAsia"/>
                <w:color w:val="000000"/>
                <w:sz w:val="22"/>
                <w:szCs w:val="22"/>
              </w:rPr>
              <w:t>执</w:t>
            </w:r>
            <w:r w:rsidRPr="004E37FD">
              <w:rPr>
                <w:rFonts w:eastAsia="仿宋_GB2312" w:hint="eastAsia"/>
                <w:color w:val="000000"/>
                <w:sz w:val="22"/>
                <w:szCs w:val="22"/>
              </w:rPr>
              <w:t>3</w:t>
            </w:r>
            <w:r w:rsidRPr="004E37FD">
              <w:rPr>
                <w:rFonts w:eastAsia="仿宋_GB2312"/>
                <w:color w:val="000000"/>
                <w:sz w:val="22"/>
                <w:szCs w:val="22"/>
              </w:rPr>
              <w:t>66</w:t>
            </w:r>
            <w:r w:rsidRPr="004E37FD">
              <w:rPr>
                <w:rFonts w:eastAsia="仿宋_GB2312" w:hint="eastAsia"/>
                <w:color w:val="000000"/>
                <w:sz w:val="22"/>
                <w:szCs w:val="22"/>
              </w:rPr>
              <w:t>号之一</w:t>
            </w:r>
          </w:p>
        </w:tc>
        <w:tc>
          <w:tcPr>
            <w:tcW w:w="2181" w:type="dxa"/>
          </w:tcPr>
          <w:p w14:paraId="3A61B0B1"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0</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2</w:t>
            </w:r>
            <w:r w:rsidRPr="004E37FD">
              <w:rPr>
                <w:rFonts w:eastAsia="仿宋_GB2312"/>
                <w:color w:val="000000"/>
                <w:sz w:val="22"/>
                <w:szCs w:val="22"/>
              </w:rPr>
              <w:t>0</w:t>
            </w:r>
            <w:r w:rsidRPr="004E37FD">
              <w:rPr>
                <w:rFonts w:eastAsia="仿宋_GB2312" w:hint="eastAsia"/>
                <w:color w:val="000000"/>
                <w:sz w:val="22"/>
                <w:szCs w:val="22"/>
              </w:rPr>
              <w:t>日起</w:t>
            </w:r>
            <w:r w:rsidRPr="004E37FD">
              <w:rPr>
                <w:rFonts w:eastAsia="仿宋_GB2312" w:hint="eastAsia"/>
                <w:color w:val="000000"/>
                <w:sz w:val="22"/>
                <w:szCs w:val="22"/>
              </w:rPr>
              <w:t>2</w:t>
            </w:r>
            <w:r w:rsidRPr="004E37FD">
              <w:rPr>
                <w:rFonts w:eastAsia="仿宋_GB2312"/>
                <w:color w:val="000000"/>
                <w:sz w:val="22"/>
                <w:szCs w:val="22"/>
              </w:rPr>
              <w:t>024</w:t>
            </w:r>
            <w:r w:rsidRPr="004E37FD">
              <w:rPr>
                <w:rFonts w:eastAsia="仿宋_GB2312" w:hint="eastAsia"/>
                <w:color w:val="000000"/>
                <w:sz w:val="22"/>
                <w:szCs w:val="22"/>
              </w:rPr>
              <w:t>年</w:t>
            </w:r>
            <w:r w:rsidRPr="004E37FD">
              <w:rPr>
                <w:rFonts w:eastAsia="仿宋_GB2312" w:hint="eastAsia"/>
                <w:color w:val="000000"/>
                <w:sz w:val="22"/>
                <w:szCs w:val="22"/>
              </w:rPr>
              <w:t>0</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1</w:t>
            </w:r>
            <w:r w:rsidRPr="004E37FD">
              <w:rPr>
                <w:rFonts w:eastAsia="仿宋_GB2312"/>
                <w:color w:val="000000"/>
                <w:sz w:val="22"/>
                <w:szCs w:val="22"/>
              </w:rPr>
              <w:t>9</w:t>
            </w:r>
            <w:r w:rsidRPr="004E37FD">
              <w:rPr>
                <w:rFonts w:eastAsia="仿宋_GB2312" w:hint="eastAsia"/>
                <w:color w:val="000000"/>
                <w:sz w:val="22"/>
                <w:szCs w:val="22"/>
              </w:rPr>
              <w:t>日止</w:t>
            </w:r>
          </w:p>
        </w:tc>
        <w:tc>
          <w:tcPr>
            <w:tcW w:w="2256" w:type="dxa"/>
          </w:tcPr>
          <w:p w14:paraId="50C44832" w14:textId="77777777" w:rsidR="00FB5C99" w:rsidRPr="004E37FD" w:rsidRDefault="00FB5C99" w:rsidP="008B4F71">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0</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2</w:t>
            </w:r>
            <w:r w:rsidRPr="004E37FD">
              <w:rPr>
                <w:rFonts w:eastAsia="仿宋_GB2312"/>
                <w:color w:val="000000"/>
                <w:sz w:val="22"/>
                <w:szCs w:val="22"/>
              </w:rPr>
              <w:t>2</w:t>
            </w:r>
            <w:r w:rsidRPr="004E37FD">
              <w:rPr>
                <w:rFonts w:eastAsia="仿宋_GB2312" w:hint="eastAsia"/>
                <w:color w:val="000000"/>
                <w:sz w:val="22"/>
                <w:szCs w:val="22"/>
              </w:rPr>
              <w:t>日</w:t>
            </w:r>
          </w:p>
        </w:tc>
      </w:tr>
      <w:tr w:rsidR="00FB5C99" w14:paraId="50484296" w14:textId="77777777" w:rsidTr="004E37FD">
        <w:trPr>
          <w:trHeight w:val="1103"/>
          <w:jc w:val="center"/>
        </w:trPr>
        <w:tc>
          <w:tcPr>
            <w:tcW w:w="1564" w:type="dxa"/>
          </w:tcPr>
          <w:p w14:paraId="04D634BC"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p>
        </w:tc>
        <w:tc>
          <w:tcPr>
            <w:tcW w:w="2180" w:type="dxa"/>
          </w:tcPr>
          <w:p w14:paraId="28B1B6D0"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贵州省兴仁市人民政府</w:t>
            </w:r>
          </w:p>
        </w:tc>
        <w:tc>
          <w:tcPr>
            <w:tcW w:w="2180" w:type="dxa"/>
          </w:tcPr>
          <w:p w14:paraId="44BF0AFA"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w:t>
            </w: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）黔</w:t>
            </w:r>
            <w:r w:rsidRPr="004E37FD">
              <w:rPr>
                <w:rFonts w:eastAsia="仿宋_GB2312" w:hint="eastAsia"/>
                <w:color w:val="000000"/>
                <w:sz w:val="22"/>
                <w:szCs w:val="22"/>
              </w:rPr>
              <w:t>2</w:t>
            </w:r>
            <w:r w:rsidRPr="004E37FD">
              <w:rPr>
                <w:rFonts w:eastAsia="仿宋_GB2312"/>
                <w:color w:val="000000"/>
                <w:sz w:val="22"/>
                <w:szCs w:val="22"/>
              </w:rPr>
              <w:t>322</w:t>
            </w:r>
            <w:r w:rsidRPr="004E37FD">
              <w:rPr>
                <w:rFonts w:eastAsia="仿宋_GB2312" w:hint="eastAsia"/>
                <w:color w:val="000000"/>
                <w:sz w:val="22"/>
                <w:szCs w:val="22"/>
              </w:rPr>
              <w:t>执</w:t>
            </w:r>
            <w:r w:rsidRPr="004E37FD">
              <w:rPr>
                <w:rFonts w:eastAsia="仿宋_GB2312" w:hint="eastAsia"/>
                <w:color w:val="000000"/>
                <w:sz w:val="22"/>
                <w:szCs w:val="22"/>
              </w:rPr>
              <w:t>3</w:t>
            </w:r>
            <w:r w:rsidRPr="004E37FD">
              <w:rPr>
                <w:rFonts w:eastAsia="仿宋_GB2312"/>
                <w:color w:val="000000"/>
                <w:sz w:val="22"/>
                <w:szCs w:val="22"/>
              </w:rPr>
              <w:t>923</w:t>
            </w:r>
            <w:r w:rsidRPr="004E37FD">
              <w:rPr>
                <w:rFonts w:eastAsia="仿宋_GB2312" w:hint="eastAsia"/>
                <w:color w:val="000000"/>
                <w:sz w:val="22"/>
                <w:szCs w:val="22"/>
              </w:rPr>
              <w:t>号之一</w:t>
            </w:r>
          </w:p>
        </w:tc>
        <w:tc>
          <w:tcPr>
            <w:tcW w:w="2181" w:type="dxa"/>
          </w:tcPr>
          <w:p w14:paraId="7014E23F"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2</w:t>
            </w:r>
            <w:r w:rsidRPr="004E37FD">
              <w:rPr>
                <w:rFonts w:eastAsia="仿宋_GB2312" w:hint="eastAsia"/>
                <w:color w:val="000000"/>
                <w:sz w:val="22"/>
                <w:szCs w:val="22"/>
              </w:rPr>
              <w:t>日起</w:t>
            </w:r>
            <w:r w:rsidRPr="004E37FD">
              <w:rPr>
                <w:rFonts w:eastAsia="仿宋_GB2312" w:hint="eastAsia"/>
                <w:color w:val="000000"/>
                <w:sz w:val="22"/>
                <w:szCs w:val="22"/>
              </w:rPr>
              <w:t>2</w:t>
            </w:r>
            <w:r w:rsidRPr="004E37FD">
              <w:rPr>
                <w:rFonts w:eastAsia="仿宋_GB2312"/>
                <w:color w:val="000000"/>
                <w:sz w:val="22"/>
                <w:szCs w:val="22"/>
              </w:rPr>
              <w:t>024</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1</w:t>
            </w:r>
            <w:r w:rsidRPr="004E37FD">
              <w:rPr>
                <w:rFonts w:eastAsia="仿宋_GB2312" w:hint="eastAsia"/>
                <w:color w:val="000000"/>
                <w:sz w:val="22"/>
                <w:szCs w:val="22"/>
              </w:rPr>
              <w:t>日止</w:t>
            </w:r>
          </w:p>
        </w:tc>
        <w:tc>
          <w:tcPr>
            <w:tcW w:w="2256" w:type="dxa"/>
          </w:tcPr>
          <w:p w14:paraId="6C388B63" w14:textId="77777777" w:rsidR="00FB5C99" w:rsidRPr="004E37FD" w:rsidRDefault="00FB5C99" w:rsidP="008B4F71">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4</w:t>
            </w:r>
            <w:r w:rsidRPr="004E37FD">
              <w:rPr>
                <w:rFonts w:eastAsia="仿宋_GB2312" w:hint="eastAsia"/>
                <w:color w:val="000000"/>
                <w:sz w:val="22"/>
                <w:szCs w:val="22"/>
              </w:rPr>
              <w:t>日</w:t>
            </w:r>
          </w:p>
        </w:tc>
      </w:tr>
      <w:tr w:rsidR="00FB5C99" w14:paraId="5E520673" w14:textId="77777777" w:rsidTr="004E37FD">
        <w:trPr>
          <w:trHeight w:val="1092"/>
          <w:jc w:val="center"/>
        </w:trPr>
        <w:tc>
          <w:tcPr>
            <w:tcW w:w="1564" w:type="dxa"/>
          </w:tcPr>
          <w:p w14:paraId="7F2F4470"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3</w:t>
            </w:r>
          </w:p>
        </w:tc>
        <w:tc>
          <w:tcPr>
            <w:tcW w:w="2180" w:type="dxa"/>
          </w:tcPr>
          <w:p w14:paraId="5361759F"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贵州省兴仁市人民政府</w:t>
            </w:r>
          </w:p>
        </w:tc>
        <w:tc>
          <w:tcPr>
            <w:tcW w:w="2180" w:type="dxa"/>
          </w:tcPr>
          <w:p w14:paraId="5CEA3531"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w:t>
            </w: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）黔</w:t>
            </w:r>
            <w:r w:rsidRPr="004E37FD">
              <w:rPr>
                <w:rFonts w:eastAsia="仿宋_GB2312" w:hint="eastAsia"/>
                <w:color w:val="000000"/>
                <w:sz w:val="22"/>
                <w:szCs w:val="22"/>
              </w:rPr>
              <w:t>2</w:t>
            </w:r>
            <w:r w:rsidRPr="004E37FD">
              <w:rPr>
                <w:rFonts w:eastAsia="仿宋_GB2312"/>
                <w:color w:val="000000"/>
                <w:sz w:val="22"/>
                <w:szCs w:val="22"/>
              </w:rPr>
              <w:t>322</w:t>
            </w:r>
            <w:r w:rsidRPr="004E37FD">
              <w:rPr>
                <w:rFonts w:eastAsia="仿宋_GB2312" w:hint="eastAsia"/>
                <w:color w:val="000000"/>
                <w:sz w:val="22"/>
                <w:szCs w:val="22"/>
              </w:rPr>
              <w:t>执</w:t>
            </w:r>
            <w:r w:rsidRPr="004E37FD">
              <w:rPr>
                <w:rFonts w:eastAsia="仿宋_GB2312"/>
                <w:color w:val="000000"/>
                <w:sz w:val="22"/>
                <w:szCs w:val="22"/>
              </w:rPr>
              <w:t>3944</w:t>
            </w:r>
            <w:r w:rsidRPr="004E37FD">
              <w:rPr>
                <w:rFonts w:eastAsia="仿宋_GB2312" w:hint="eastAsia"/>
                <w:color w:val="000000"/>
                <w:sz w:val="22"/>
                <w:szCs w:val="22"/>
              </w:rPr>
              <w:t>号之一</w:t>
            </w:r>
          </w:p>
        </w:tc>
        <w:tc>
          <w:tcPr>
            <w:tcW w:w="2181" w:type="dxa"/>
          </w:tcPr>
          <w:p w14:paraId="2007903D"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9</w:t>
            </w:r>
            <w:r w:rsidRPr="004E37FD">
              <w:rPr>
                <w:rFonts w:eastAsia="仿宋_GB2312" w:hint="eastAsia"/>
                <w:color w:val="000000"/>
                <w:sz w:val="22"/>
                <w:szCs w:val="22"/>
              </w:rPr>
              <w:t>日起</w:t>
            </w:r>
            <w:r w:rsidRPr="004E37FD">
              <w:rPr>
                <w:rFonts w:eastAsia="仿宋_GB2312" w:hint="eastAsia"/>
                <w:color w:val="000000"/>
                <w:sz w:val="22"/>
                <w:szCs w:val="22"/>
              </w:rPr>
              <w:t>2</w:t>
            </w:r>
            <w:r w:rsidRPr="004E37FD">
              <w:rPr>
                <w:rFonts w:eastAsia="仿宋_GB2312"/>
                <w:color w:val="000000"/>
                <w:sz w:val="22"/>
                <w:szCs w:val="22"/>
              </w:rPr>
              <w:t>024</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8</w:t>
            </w:r>
            <w:r w:rsidRPr="004E37FD">
              <w:rPr>
                <w:rFonts w:eastAsia="仿宋_GB2312" w:hint="eastAsia"/>
                <w:color w:val="000000"/>
                <w:sz w:val="22"/>
                <w:szCs w:val="22"/>
              </w:rPr>
              <w:t>日止</w:t>
            </w:r>
          </w:p>
        </w:tc>
        <w:tc>
          <w:tcPr>
            <w:tcW w:w="2256" w:type="dxa"/>
          </w:tcPr>
          <w:p w14:paraId="5D353C2A" w14:textId="77777777" w:rsidR="00FB5C99" w:rsidRPr="004E37FD" w:rsidRDefault="00FB5C99" w:rsidP="008B4F71">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1</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9</w:t>
            </w:r>
            <w:r w:rsidRPr="004E37FD">
              <w:rPr>
                <w:rFonts w:eastAsia="仿宋_GB2312" w:hint="eastAsia"/>
                <w:color w:val="000000"/>
                <w:sz w:val="22"/>
                <w:szCs w:val="22"/>
              </w:rPr>
              <w:t>日</w:t>
            </w:r>
          </w:p>
        </w:tc>
      </w:tr>
      <w:tr w:rsidR="00FB5C99" w14:paraId="29CECFB6" w14:textId="77777777" w:rsidTr="004E37FD">
        <w:trPr>
          <w:trHeight w:val="998"/>
          <w:jc w:val="center"/>
        </w:trPr>
        <w:tc>
          <w:tcPr>
            <w:tcW w:w="1564" w:type="dxa"/>
          </w:tcPr>
          <w:p w14:paraId="0BCE58E6"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4</w:t>
            </w:r>
          </w:p>
        </w:tc>
        <w:tc>
          <w:tcPr>
            <w:tcW w:w="2180" w:type="dxa"/>
          </w:tcPr>
          <w:p w14:paraId="06353158"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贵州省兴仁市人民政府</w:t>
            </w:r>
          </w:p>
        </w:tc>
        <w:tc>
          <w:tcPr>
            <w:tcW w:w="2180" w:type="dxa"/>
          </w:tcPr>
          <w:p w14:paraId="41B2C2E1"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w:t>
            </w: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）黔</w:t>
            </w:r>
            <w:r w:rsidRPr="004E37FD">
              <w:rPr>
                <w:rFonts w:eastAsia="仿宋_GB2312" w:hint="eastAsia"/>
                <w:color w:val="000000"/>
                <w:sz w:val="22"/>
                <w:szCs w:val="22"/>
              </w:rPr>
              <w:t>2</w:t>
            </w:r>
            <w:r w:rsidRPr="004E37FD">
              <w:rPr>
                <w:rFonts w:eastAsia="仿宋_GB2312"/>
                <w:color w:val="000000"/>
                <w:sz w:val="22"/>
                <w:szCs w:val="22"/>
              </w:rPr>
              <w:t>322</w:t>
            </w:r>
            <w:r w:rsidRPr="004E37FD">
              <w:rPr>
                <w:rFonts w:eastAsia="仿宋_GB2312" w:hint="eastAsia"/>
                <w:color w:val="000000"/>
                <w:sz w:val="22"/>
                <w:szCs w:val="22"/>
              </w:rPr>
              <w:t>执</w:t>
            </w:r>
            <w:r w:rsidRPr="004E37FD">
              <w:rPr>
                <w:rFonts w:eastAsia="仿宋_GB2312"/>
                <w:color w:val="000000"/>
                <w:sz w:val="22"/>
                <w:szCs w:val="22"/>
              </w:rPr>
              <w:t>4214</w:t>
            </w:r>
            <w:r w:rsidRPr="004E37FD">
              <w:rPr>
                <w:rFonts w:eastAsia="仿宋_GB2312" w:hint="eastAsia"/>
                <w:color w:val="000000"/>
                <w:sz w:val="22"/>
                <w:szCs w:val="22"/>
              </w:rPr>
              <w:t>号之一</w:t>
            </w:r>
          </w:p>
        </w:tc>
        <w:tc>
          <w:tcPr>
            <w:tcW w:w="2181" w:type="dxa"/>
          </w:tcPr>
          <w:p w14:paraId="01EAF747" w14:textId="77777777" w:rsidR="00FB5C99" w:rsidRPr="004E37FD" w:rsidRDefault="00FB5C99" w:rsidP="00DF34A0">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2</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7</w:t>
            </w:r>
            <w:r w:rsidRPr="004E37FD">
              <w:rPr>
                <w:rFonts w:eastAsia="仿宋_GB2312" w:hint="eastAsia"/>
                <w:color w:val="000000"/>
                <w:sz w:val="22"/>
                <w:szCs w:val="22"/>
              </w:rPr>
              <w:t>日起</w:t>
            </w:r>
            <w:r w:rsidRPr="004E37FD">
              <w:rPr>
                <w:rFonts w:eastAsia="仿宋_GB2312" w:hint="eastAsia"/>
                <w:color w:val="000000"/>
                <w:sz w:val="22"/>
                <w:szCs w:val="22"/>
              </w:rPr>
              <w:t>2</w:t>
            </w:r>
            <w:r w:rsidRPr="004E37FD">
              <w:rPr>
                <w:rFonts w:eastAsia="仿宋_GB2312"/>
                <w:color w:val="000000"/>
                <w:sz w:val="22"/>
                <w:szCs w:val="22"/>
              </w:rPr>
              <w:t>024</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2</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6</w:t>
            </w:r>
            <w:r w:rsidRPr="004E37FD">
              <w:rPr>
                <w:rFonts w:eastAsia="仿宋_GB2312" w:hint="eastAsia"/>
                <w:color w:val="000000"/>
                <w:sz w:val="22"/>
                <w:szCs w:val="22"/>
              </w:rPr>
              <w:t>日止</w:t>
            </w:r>
          </w:p>
        </w:tc>
        <w:tc>
          <w:tcPr>
            <w:tcW w:w="2256" w:type="dxa"/>
          </w:tcPr>
          <w:p w14:paraId="2E1D017C" w14:textId="77777777" w:rsidR="00FB5C99" w:rsidRPr="004E37FD" w:rsidRDefault="00FB5C99" w:rsidP="008B4F71">
            <w:pPr>
              <w:adjustRightInd w:val="0"/>
              <w:snapToGrid w:val="0"/>
              <w:spacing w:line="440" w:lineRule="exact"/>
              <w:jc w:val="center"/>
              <w:rPr>
                <w:rFonts w:eastAsia="仿宋_GB2312"/>
                <w:color w:val="000000"/>
                <w:sz w:val="22"/>
                <w:szCs w:val="22"/>
              </w:rPr>
            </w:pPr>
            <w:r w:rsidRPr="004E37FD">
              <w:rPr>
                <w:rFonts w:eastAsia="仿宋_GB2312" w:hint="eastAsia"/>
                <w:color w:val="000000"/>
                <w:sz w:val="22"/>
                <w:szCs w:val="22"/>
              </w:rPr>
              <w:t>2</w:t>
            </w:r>
            <w:r w:rsidRPr="004E37FD">
              <w:rPr>
                <w:rFonts w:eastAsia="仿宋_GB2312"/>
                <w:color w:val="000000"/>
                <w:sz w:val="22"/>
                <w:szCs w:val="22"/>
              </w:rPr>
              <w:t>021</w:t>
            </w:r>
            <w:r w:rsidRPr="004E37FD">
              <w:rPr>
                <w:rFonts w:eastAsia="仿宋_GB2312" w:hint="eastAsia"/>
                <w:color w:val="000000"/>
                <w:sz w:val="22"/>
                <w:szCs w:val="22"/>
              </w:rPr>
              <w:t>年</w:t>
            </w:r>
            <w:r w:rsidRPr="004E37FD">
              <w:rPr>
                <w:rFonts w:eastAsia="仿宋_GB2312" w:hint="eastAsia"/>
                <w:color w:val="000000"/>
                <w:sz w:val="22"/>
                <w:szCs w:val="22"/>
              </w:rPr>
              <w:t>1</w:t>
            </w:r>
            <w:r w:rsidRPr="004E37FD">
              <w:rPr>
                <w:rFonts w:eastAsia="仿宋_GB2312"/>
                <w:color w:val="000000"/>
                <w:sz w:val="22"/>
                <w:szCs w:val="22"/>
              </w:rPr>
              <w:t>2</w:t>
            </w:r>
            <w:r w:rsidRPr="004E37FD">
              <w:rPr>
                <w:rFonts w:eastAsia="仿宋_GB2312" w:hint="eastAsia"/>
                <w:color w:val="000000"/>
                <w:sz w:val="22"/>
                <w:szCs w:val="22"/>
              </w:rPr>
              <w:t>月</w:t>
            </w:r>
            <w:r w:rsidRPr="004E37FD">
              <w:rPr>
                <w:rFonts w:eastAsia="仿宋_GB2312" w:hint="eastAsia"/>
                <w:color w:val="000000"/>
                <w:sz w:val="22"/>
                <w:szCs w:val="22"/>
              </w:rPr>
              <w:t>0</w:t>
            </w:r>
            <w:r w:rsidRPr="004E37FD">
              <w:rPr>
                <w:rFonts w:eastAsia="仿宋_GB2312"/>
                <w:color w:val="000000"/>
                <w:sz w:val="22"/>
                <w:szCs w:val="22"/>
              </w:rPr>
              <w:t>7</w:t>
            </w:r>
            <w:r w:rsidRPr="004E37FD">
              <w:rPr>
                <w:rFonts w:eastAsia="仿宋_GB2312" w:hint="eastAsia"/>
                <w:color w:val="000000"/>
                <w:sz w:val="22"/>
                <w:szCs w:val="22"/>
              </w:rPr>
              <w:t>日</w:t>
            </w:r>
          </w:p>
        </w:tc>
      </w:tr>
    </w:tbl>
    <w:p w14:paraId="0B918271"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p>
    <w:p w14:paraId="6845E8BD" w14:textId="77777777" w:rsidR="00EF6A0E" w:rsidRDefault="00000000">
      <w:pPr>
        <w:pStyle w:val="3"/>
        <w:spacing w:beforeLines="50" w:before="156" w:afterLines="50" w:after="156" w:line="440" w:lineRule="exact"/>
        <w:ind w:firstLineChars="200" w:firstLine="562"/>
        <w:rPr>
          <w:rFonts w:ascii="仿宋" w:eastAsia="仿宋" w:hAnsi="仿宋" w:cs="仿宋"/>
          <w:sz w:val="28"/>
          <w:szCs w:val="28"/>
        </w:rPr>
      </w:pPr>
      <w:r>
        <w:rPr>
          <w:rFonts w:ascii="仿宋" w:eastAsia="仿宋" w:hAnsi="仿宋" w:cs="仿宋" w:hint="eastAsia"/>
          <w:sz w:val="28"/>
          <w:szCs w:val="28"/>
        </w:rPr>
        <w:t>（三）估价对象实物状况</w:t>
      </w:r>
    </w:p>
    <w:p w14:paraId="5CFE83A2" w14:textId="7CCC9059"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color w:val="000000"/>
          <w:sz w:val="26"/>
          <w:szCs w:val="26"/>
        </w:rPr>
        <w:t>估价对象基本情况：估价对象</w:t>
      </w:r>
      <w:r>
        <w:rPr>
          <w:rFonts w:eastAsia="仿宋_GB2312" w:hint="eastAsia"/>
          <w:color w:val="000000"/>
          <w:sz w:val="26"/>
          <w:szCs w:val="26"/>
        </w:rPr>
        <w:t>位于</w:t>
      </w:r>
      <w:r w:rsidR="00A10557">
        <w:rPr>
          <w:rFonts w:eastAsia="仿宋_GB2312" w:hint="eastAsia"/>
          <w:color w:val="000000"/>
          <w:sz w:val="26"/>
          <w:szCs w:val="26"/>
        </w:rPr>
        <w:t>贵州省兴仁市东湖街道办事处长兴路西南侧</w:t>
      </w:r>
      <w:r>
        <w:rPr>
          <w:rFonts w:eastAsia="仿宋_GB2312"/>
          <w:color w:val="000000"/>
          <w:sz w:val="26"/>
          <w:szCs w:val="26"/>
        </w:rPr>
        <w:t>，</w:t>
      </w:r>
      <w:r>
        <w:rPr>
          <w:rFonts w:eastAsia="仿宋_GB2312" w:hint="eastAsia"/>
          <w:color w:val="000000"/>
          <w:sz w:val="26"/>
          <w:szCs w:val="26"/>
        </w:rPr>
        <w:t>估价对象位于</w:t>
      </w:r>
      <w:r w:rsidR="00D55416">
        <w:rPr>
          <w:rFonts w:eastAsia="仿宋_GB2312" w:hint="eastAsia"/>
          <w:color w:val="000000"/>
          <w:sz w:val="26"/>
          <w:szCs w:val="26"/>
        </w:rPr>
        <w:t>楼栋</w:t>
      </w:r>
      <w:r>
        <w:rPr>
          <w:rFonts w:eastAsia="仿宋_GB2312" w:hint="eastAsia"/>
          <w:color w:val="000000"/>
          <w:sz w:val="26"/>
          <w:szCs w:val="26"/>
        </w:rPr>
        <w:t>第</w:t>
      </w:r>
      <w:r w:rsidR="00A73238">
        <w:rPr>
          <w:rFonts w:eastAsia="仿宋_GB2312"/>
          <w:color w:val="000000"/>
          <w:sz w:val="26"/>
          <w:szCs w:val="26"/>
        </w:rPr>
        <w:t>2</w:t>
      </w:r>
      <w:r>
        <w:rPr>
          <w:rFonts w:eastAsia="仿宋_GB2312" w:hint="eastAsia"/>
          <w:color w:val="000000"/>
          <w:sz w:val="26"/>
          <w:szCs w:val="26"/>
        </w:rPr>
        <w:t>层；约建于</w:t>
      </w:r>
      <w:r>
        <w:rPr>
          <w:rFonts w:eastAsia="仿宋_GB2312" w:hint="eastAsia"/>
          <w:color w:val="000000"/>
          <w:sz w:val="26"/>
          <w:szCs w:val="26"/>
        </w:rPr>
        <w:t>20</w:t>
      </w:r>
      <w:r w:rsidR="00C7788C">
        <w:rPr>
          <w:rFonts w:eastAsia="仿宋_GB2312"/>
          <w:color w:val="000000"/>
          <w:sz w:val="26"/>
          <w:szCs w:val="26"/>
        </w:rPr>
        <w:t>09</w:t>
      </w:r>
      <w:r>
        <w:rPr>
          <w:rFonts w:eastAsia="仿宋_GB2312" w:hint="eastAsia"/>
          <w:color w:val="000000"/>
          <w:sz w:val="26"/>
          <w:szCs w:val="26"/>
        </w:rPr>
        <w:t>年，外观形象新颖；</w:t>
      </w:r>
      <w:r>
        <w:rPr>
          <w:rFonts w:eastAsia="仿宋_GB2312"/>
          <w:color w:val="000000"/>
          <w:sz w:val="26"/>
          <w:szCs w:val="26"/>
        </w:rPr>
        <w:t>水、电</w:t>
      </w:r>
      <w:r>
        <w:rPr>
          <w:rFonts w:eastAsia="仿宋_GB2312" w:hint="eastAsia"/>
          <w:color w:val="000000"/>
          <w:sz w:val="26"/>
          <w:szCs w:val="26"/>
        </w:rPr>
        <w:t>、消防；</w:t>
      </w:r>
      <w:r>
        <w:rPr>
          <w:rFonts w:eastAsia="仿宋_GB2312"/>
          <w:color w:val="000000"/>
          <w:sz w:val="26"/>
          <w:szCs w:val="26"/>
        </w:rPr>
        <w:t>周围道路硬化及绿化</w:t>
      </w:r>
      <w:r>
        <w:rPr>
          <w:rFonts w:eastAsia="仿宋_GB2312" w:hint="eastAsia"/>
          <w:color w:val="000000"/>
          <w:sz w:val="26"/>
          <w:szCs w:val="26"/>
        </w:rPr>
        <w:t>环境一般</w:t>
      </w:r>
      <w:r>
        <w:rPr>
          <w:rFonts w:eastAsia="仿宋_GB2312"/>
          <w:color w:val="000000"/>
          <w:sz w:val="26"/>
          <w:szCs w:val="26"/>
        </w:rPr>
        <w:t>；</w:t>
      </w:r>
      <w:r>
        <w:rPr>
          <w:rFonts w:eastAsia="仿宋_GB2312" w:hint="eastAsia"/>
          <w:color w:val="000000"/>
          <w:sz w:val="26"/>
          <w:szCs w:val="26"/>
        </w:rPr>
        <w:t>周围基础设施以及物业管理水平一般</w:t>
      </w:r>
      <w:r>
        <w:rPr>
          <w:rFonts w:eastAsia="仿宋_GB2312"/>
          <w:color w:val="000000"/>
          <w:sz w:val="26"/>
          <w:szCs w:val="26"/>
        </w:rPr>
        <w:t>。</w:t>
      </w:r>
    </w:p>
    <w:p w14:paraId="2B0CCA0D" w14:textId="77777777" w:rsidR="00EF6A0E" w:rsidRDefault="00000000">
      <w:pPr>
        <w:adjustRightInd w:val="0"/>
        <w:snapToGrid w:val="0"/>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1估价对象土地使用权实体状况</w:t>
      </w:r>
    </w:p>
    <w:p w14:paraId="24B0134A" w14:textId="7DC9EB36"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1.1</w:t>
      </w:r>
      <w:r>
        <w:rPr>
          <w:rFonts w:eastAsia="仿宋_GB2312" w:hint="eastAsia"/>
          <w:color w:val="000000"/>
          <w:sz w:val="26"/>
          <w:szCs w:val="26"/>
        </w:rPr>
        <w:t>名称：</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成套住宅楼。</w:t>
      </w:r>
    </w:p>
    <w:p w14:paraId="27859714" w14:textId="26DE5DC0" w:rsidR="00585C1E" w:rsidRDefault="00000000" w:rsidP="00585C1E">
      <w:pPr>
        <w:adjustRightInd w:val="0"/>
        <w:snapToGrid w:val="0"/>
        <w:spacing w:line="440" w:lineRule="exact"/>
        <w:ind w:firstLineChars="200" w:firstLine="520"/>
        <w:rPr>
          <w:rFonts w:eastAsia="仿宋_GB2312"/>
          <w:color w:val="000000"/>
          <w:sz w:val="26"/>
          <w:szCs w:val="26"/>
        </w:rPr>
      </w:pPr>
      <w:r w:rsidRPr="00931CC6">
        <w:rPr>
          <w:rFonts w:eastAsia="仿宋_GB2312" w:hint="eastAsia"/>
          <w:sz w:val="26"/>
          <w:szCs w:val="26"/>
        </w:rPr>
        <w:t>1.2</w:t>
      </w:r>
      <w:r>
        <w:rPr>
          <w:rFonts w:eastAsia="仿宋_GB2312" w:hint="eastAsia"/>
          <w:color w:val="000000"/>
          <w:sz w:val="26"/>
          <w:szCs w:val="26"/>
        </w:rPr>
        <w:t>四至及临街状况</w:t>
      </w:r>
      <w:r w:rsidR="00585C1E">
        <w:rPr>
          <w:rFonts w:eastAsia="仿宋_GB2312" w:hint="eastAsia"/>
          <w:color w:val="000000"/>
          <w:sz w:val="26"/>
          <w:szCs w:val="26"/>
        </w:rPr>
        <w:t>：贵州省兴仁市东湖街道办事处长兴路西南侧成套住宅楼项目，估价对象玉清苑北临长兴路、东临人民南路，西临文化路，南临黄金路；估价对象项目一面临街，临迎新路。</w:t>
      </w:r>
    </w:p>
    <w:p w14:paraId="11E0CB10" w14:textId="4B01A472" w:rsidR="00EF6A0E" w:rsidRPr="00585C1E" w:rsidRDefault="00EF6A0E">
      <w:pPr>
        <w:adjustRightInd w:val="0"/>
        <w:snapToGrid w:val="0"/>
        <w:spacing w:line="440" w:lineRule="exact"/>
        <w:ind w:firstLineChars="200" w:firstLine="520"/>
        <w:rPr>
          <w:rFonts w:eastAsia="仿宋_GB2312"/>
          <w:color w:val="000000"/>
          <w:sz w:val="26"/>
          <w:szCs w:val="26"/>
        </w:rPr>
      </w:pPr>
    </w:p>
    <w:p w14:paraId="77DADBBB"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1.3</w:t>
      </w:r>
      <w:r>
        <w:rPr>
          <w:rFonts w:eastAsia="仿宋_GB2312" w:hint="eastAsia"/>
          <w:color w:val="000000"/>
          <w:sz w:val="26"/>
          <w:szCs w:val="26"/>
        </w:rPr>
        <w:t>用途：成套住宅</w:t>
      </w:r>
    </w:p>
    <w:p w14:paraId="222C9A9C"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1.4</w:t>
      </w:r>
      <w:r>
        <w:rPr>
          <w:rFonts w:eastAsia="仿宋_GB2312" w:hint="eastAsia"/>
          <w:color w:val="000000"/>
          <w:sz w:val="26"/>
          <w:szCs w:val="26"/>
        </w:rPr>
        <w:t>形状：较规则</w:t>
      </w:r>
    </w:p>
    <w:p w14:paraId="243407F3"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1.5</w:t>
      </w:r>
      <w:r>
        <w:rPr>
          <w:rFonts w:eastAsia="仿宋_GB2312" w:hint="eastAsia"/>
          <w:color w:val="000000"/>
          <w:sz w:val="26"/>
          <w:szCs w:val="26"/>
        </w:rPr>
        <w:t>地形地势：地势较平坦</w:t>
      </w:r>
    </w:p>
    <w:p w14:paraId="7B21AE5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1.6</w:t>
      </w:r>
      <w:r>
        <w:rPr>
          <w:rFonts w:eastAsia="仿宋_GB2312" w:hint="eastAsia"/>
          <w:color w:val="000000"/>
          <w:sz w:val="26"/>
          <w:szCs w:val="26"/>
        </w:rPr>
        <w:t>地质：地基承载力一般，地质条件一般</w:t>
      </w:r>
    </w:p>
    <w:p w14:paraId="562B5C16"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lastRenderedPageBreak/>
        <w:t>1.7</w:t>
      </w:r>
      <w:r>
        <w:rPr>
          <w:rFonts w:eastAsia="仿宋_GB2312" w:hint="eastAsia"/>
          <w:color w:val="000000"/>
          <w:sz w:val="26"/>
          <w:szCs w:val="26"/>
        </w:rPr>
        <w:t>土壤：无污染</w:t>
      </w:r>
    </w:p>
    <w:p w14:paraId="58788F48" w14:textId="77777777" w:rsidR="00EF6A0E" w:rsidRDefault="00000000">
      <w:pPr>
        <w:adjustRightInd w:val="0"/>
        <w:snapToGrid w:val="0"/>
        <w:spacing w:line="440" w:lineRule="exact"/>
        <w:ind w:firstLineChars="200" w:firstLine="520"/>
        <w:rPr>
          <w:rFonts w:eastAsia="仿宋_GB2312"/>
          <w:color w:val="000000"/>
          <w:sz w:val="26"/>
          <w:szCs w:val="26"/>
        </w:rPr>
      </w:pPr>
      <w:r w:rsidRPr="00931CC6">
        <w:rPr>
          <w:rFonts w:eastAsia="仿宋_GB2312" w:hint="eastAsia"/>
          <w:sz w:val="26"/>
          <w:szCs w:val="26"/>
        </w:rPr>
        <w:t>1.8</w:t>
      </w:r>
      <w:r>
        <w:rPr>
          <w:rFonts w:eastAsia="仿宋_GB2312" w:hint="eastAsia"/>
          <w:color w:val="000000"/>
          <w:sz w:val="26"/>
          <w:szCs w:val="26"/>
        </w:rPr>
        <w:t>土地开发程度：土地开发程度为“五通一平”（通路、通上水、通下水、通电、通讯、土地平整）</w:t>
      </w:r>
    </w:p>
    <w:p w14:paraId="241DAE73" w14:textId="77777777" w:rsidR="00EF6A0E" w:rsidRDefault="00000000">
      <w:pPr>
        <w:adjustRightInd w:val="0"/>
        <w:snapToGrid w:val="0"/>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2估价对象建筑物实物状况</w:t>
      </w:r>
    </w:p>
    <w:p w14:paraId="21BA3DD5" w14:textId="12CC588E" w:rsidR="00EF6A0E" w:rsidRDefault="00000000">
      <w:pPr>
        <w:adjustRightInd w:val="0"/>
        <w:snapToGrid w:val="0"/>
        <w:spacing w:line="440" w:lineRule="exact"/>
        <w:ind w:firstLineChars="200" w:firstLine="520"/>
        <w:rPr>
          <w:rFonts w:eastAsia="仿宋_GB2312"/>
          <w:color w:val="0000FF"/>
          <w:sz w:val="26"/>
          <w:szCs w:val="26"/>
        </w:rPr>
      </w:pPr>
      <w:r>
        <w:rPr>
          <w:rFonts w:eastAsia="仿宋_GB2312" w:hint="eastAsia"/>
          <w:color w:val="000000"/>
          <w:sz w:val="26"/>
          <w:szCs w:val="26"/>
        </w:rPr>
        <w:t>2.1</w:t>
      </w:r>
      <w:r>
        <w:rPr>
          <w:rFonts w:eastAsia="仿宋_GB2312" w:hint="eastAsia"/>
          <w:color w:val="000000"/>
          <w:sz w:val="26"/>
          <w:szCs w:val="26"/>
        </w:rPr>
        <w:t>名称：</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成套住宅楼；</w:t>
      </w:r>
    </w:p>
    <w:p w14:paraId="00E2D5DF" w14:textId="5D6B552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2.2</w:t>
      </w:r>
      <w:r>
        <w:rPr>
          <w:rFonts w:eastAsia="仿宋_GB2312" w:hint="eastAsia"/>
          <w:color w:val="000000"/>
          <w:sz w:val="26"/>
          <w:szCs w:val="26"/>
        </w:rPr>
        <w:t>建筑规模：建筑面积</w:t>
      </w:r>
      <w:r w:rsidR="0013644A">
        <w:rPr>
          <w:rFonts w:eastAsia="仿宋_GB2312" w:hint="eastAsia"/>
          <w:color w:val="000000"/>
          <w:sz w:val="26"/>
          <w:szCs w:val="26"/>
        </w:rPr>
        <w:t>118.78</w:t>
      </w:r>
      <w:r>
        <w:rPr>
          <w:rFonts w:eastAsia="仿宋_GB2312" w:hint="eastAsia"/>
          <w:color w:val="000000"/>
          <w:sz w:val="26"/>
          <w:szCs w:val="26"/>
        </w:rPr>
        <w:t>平方米；</w:t>
      </w:r>
    </w:p>
    <w:p w14:paraId="1933760D" w14:textId="4ECA91EE"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2.3</w:t>
      </w:r>
      <w:r>
        <w:rPr>
          <w:rFonts w:eastAsia="仿宋_GB2312" w:hint="eastAsia"/>
          <w:color w:val="000000"/>
          <w:sz w:val="26"/>
          <w:szCs w:val="26"/>
        </w:rPr>
        <w:t>层数：估价对象位于第</w:t>
      </w:r>
      <w:r w:rsidR="005549FC">
        <w:rPr>
          <w:rFonts w:eastAsia="仿宋_GB2312"/>
          <w:color w:val="000000"/>
          <w:sz w:val="26"/>
          <w:szCs w:val="26"/>
        </w:rPr>
        <w:t>2</w:t>
      </w:r>
      <w:r>
        <w:rPr>
          <w:rFonts w:eastAsia="仿宋_GB2312" w:hint="eastAsia"/>
          <w:color w:val="000000"/>
          <w:sz w:val="26"/>
          <w:szCs w:val="26"/>
        </w:rPr>
        <w:t>层。</w:t>
      </w:r>
    </w:p>
    <w:p w14:paraId="66448060" w14:textId="4777B38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2.4</w:t>
      </w:r>
      <w:r>
        <w:rPr>
          <w:rFonts w:eastAsia="仿宋_GB2312" w:hint="eastAsia"/>
          <w:color w:val="000000"/>
          <w:sz w:val="26"/>
          <w:szCs w:val="26"/>
        </w:rPr>
        <w:t>建筑结构：</w:t>
      </w:r>
      <w:r w:rsidR="00D55416">
        <w:rPr>
          <w:rFonts w:eastAsia="仿宋_GB2312" w:hint="eastAsia"/>
          <w:color w:val="000000"/>
          <w:sz w:val="26"/>
          <w:szCs w:val="26"/>
        </w:rPr>
        <w:t>砖</w:t>
      </w:r>
      <w:r>
        <w:rPr>
          <w:rFonts w:eastAsia="仿宋_GB2312" w:hint="eastAsia"/>
          <w:color w:val="000000"/>
          <w:sz w:val="26"/>
          <w:szCs w:val="26"/>
        </w:rPr>
        <w:t>混结构。</w:t>
      </w:r>
    </w:p>
    <w:p w14:paraId="6CFDDC4B"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2.5</w:t>
      </w:r>
      <w:r>
        <w:rPr>
          <w:rFonts w:eastAsia="仿宋_GB2312" w:hint="eastAsia"/>
          <w:color w:val="000000"/>
          <w:sz w:val="26"/>
          <w:szCs w:val="26"/>
        </w:rPr>
        <w:t>层高：室内层高约</w:t>
      </w:r>
      <w:r>
        <w:rPr>
          <w:rFonts w:eastAsia="仿宋_GB2312" w:hint="eastAsia"/>
          <w:color w:val="000000"/>
          <w:sz w:val="26"/>
          <w:szCs w:val="26"/>
        </w:rPr>
        <w:t>3</w:t>
      </w:r>
      <w:r>
        <w:rPr>
          <w:rFonts w:eastAsia="仿宋_GB2312" w:hint="eastAsia"/>
          <w:color w:val="000000"/>
          <w:sz w:val="26"/>
          <w:szCs w:val="26"/>
        </w:rPr>
        <w:t>米。</w:t>
      </w:r>
    </w:p>
    <w:p w14:paraId="61F923AD"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2.6</w:t>
      </w:r>
      <w:r>
        <w:rPr>
          <w:rFonts w:eastAsia="仿宋_GB2312" w:hint="eastAsia"/>
          <w:color w:val="000000"/>
          <w:sz w:val="26"/>
          <w:szCs w:val="26"/>
        </w:rPr>
        <w:t>空间布局：平面布局，整体使用。</w:t>
      </w:r>
    </w:p>
    <w:p w14:paraId="2DDA9C8F" w14:textId="3D36E73E" w:rsidR="00EF6A0E" w:rsidRPr="00931CC6" w:rsidRDefault="00000000">
      <w:pPr>
        <w:adjustRightInd w:val="0"/>
        <w:snapToGrid w:val="0"/>
        <w:spacing w:line="440" w:lineRule="exact"/>
        <w:ind w:firstLineChars="200" w:firstLine="520"/>
        <w:rPr>
          <w:rFonts w:eastAsia="仿宋_GB2312"/>
          <w:sz w:val="26"/>
          <w:szCs w:val="26"/>
        </w:rPr>
      </w:pPr>
      <w:r w:rsidRPr="00931CC6">
        <w:rPr>
          <w:rFonts w:eastAsia="仿宋_GB2312" w:hint="eastAsia"/>
          <w:sz w:val="26"/>
          <w:szCs w:val="26"/>
        </w:rPr>
        <w:t>2.7</w:t>
      </w:r>
      <w:r w:rsidRPr="00931CC6">
        <w:rPr>
          <w:rFonts w:eastAsia="仿宋_GB2312" w:hint="eastAsia"/>
          <w:sz w:val="26"/>
          <w:szCs w:val="26"/>
        </w:rPr>
        <w:t>装饰装修：估价对象外墙涂料抹灰及墙砖；室内户型：</w:t>
      </w:r>
      <w:r w:rsidR="00164F8B" w:rsidRPr="00931CC6">
        <w:rPr>
          <w:rFonts w:eastAsia="仿宋_GB2312"/>
          <w:sz w:val="26"/>
          <w:szCs w:val="26"/>
        </w:rPr>
        <w:t>3</w:t>
      </w:r>
      <w:r w:rsidRPr="00931CC6">
        <w:rPr>
          <w:rFonts w:eastAsia="仿宋_GB2312" w:hint="eastAsia"/>
          <w:sz w:val="26"/>
          <w:szCs w:val="26"/>
        </w:rPr>
        <w:t>室</w:t>
      </w:r>
      <w:r w:rsidR="00164F8B" w:rsidRPr="00931CC6">
        <w:rPr>
          <w:rFonts w:eastAsia="仿宋_GB2312"/>
          <w:sz w:val="26"/>
          <w:szCs w:val="26"/>
        </w:rPr>
        <w:t>1</w:t>
      </w:r>
      <w:r w:rsidRPr="00931CC6">
        <w:rPr>
          <w:rFonts w:eastAsia="仿宋_GB2312" w:hint="eastAsia"/>
          <w:sz w:val="26"/>
          <w:szCs w:val="26"/>
        </w:rPr>
        <w:t>厅</w:t>
      </w:r>
      <w:r w:rsidRPr="00931CC6">
        <w:rPr>
          <w:rFonts w:eastAsia="仿宋_GB2312" w:hint="eastAsia"/>
          <w:sz w:val="26"/>
          <w:szCs w:val="26"/>
        </w:rPr>
        <w:t>1</w:t>
      </w:r>
      <w:r w:rsidRPr="00931CC6">
        <w:rPr>
          <w:rFonts w:eastAsia="仿宋_GB2312" w:hint="eastAsia"/>
          <w:sz w:val="26"/>
          <w:szCs w:val="26"/>
        </w:rPr>
        <w:t>厨</w:t>
      </w:r>
      <w:r w:rsidRPr="00931CC6">
        <w:rPr>
          <w:rFonts w:eastAsia="仿宋_GB2312" w:hint="eastAsia"/>
          <w:sz w:val="26"/>
          <w:szCs w:val="26"/>
        </w:rPr>
        <w:t>2</w:t>
      </w:r>
      <w:r w:rsidRPr="00931CC6">
        <w:rPr>
          <w:rFonts w:eastAsia="仿宋_GB2312" w:hint="eastAsia"/>
          <w:sz w:val="26"/>
          <w:szCs w:val="26"/>
        </w:rPr>
        <w:t>卫</w:t>
      </w:r>
      <w:r w:rsidRPr="00931CC6">
        <w:rPr>
          <w:rFonts w:eastAsia="仿宋_GB2312" w:hint="eastAsia"/>
          <w:sz w:val="26"/>
          <w:szCs w:val="26"/>
        </w:rPr>
        <w:t>1</w:t>
      </w:r>
      <w:r w:rsidRPr="00931CC6">
        <w:rPr>
          <w:rFonts w:eastAsia="仿宋_GB2312" w:hint="eastAsia"/>
          <w:sz w:val="26"/>
          <w:szCs w:val="26"/>
        </w:rPr>
        <w:t>阳台；入户门为防盗门，客厅地面</w:t>
      </w:r>
      <w:r w:rsidR="00164F8B" w:rsidRPr="00931CC6">
        <w:rPr>
          <w:rFonts w:eastAsia="仿宋_GB2312" w:hint="eastAsia"/>
          <w:sz w:val="26"/>
          <w:szCs w:val="26"/>
        </w:rPr>
        <w:t>瓷砖</w:t>
      </w:r>
      <w:r w:rsidRPr="00931CC6">
        <w:rPr>
          <w:rFonts w:eastAsia="仿宋_GB2312" w:hint="eastAsia"/>
          <w:sz w:val="26"/>
          <w:szCs w:val="26"/>
        </w:rPr>
        <w:t>地板，</w:t>
      </w:r>
      <w:r w:rsidR="00A3148F">
        <w:rPr>
          <w:rFonts w:eastAsia="仿宋_GB2312" w:hint="eastAsia"/>
          <w:sz w:val="26"/>
          <w:szCs w:val="26"/>
        </w:rPr>
        <w:t>墙面刮瓷粉、贴墙纸有</w:t>
      </w:r>
      <w:r w:rsidRPr="00931CC6">
        <w:rPr>
          <w:rFonts w:eastAsia="仿宋_GB2312" w:hint="eastAsia"/>
          <w:sz w:val="26"/>
          <w:szCs w:val="26"/>
        </w:rPr>
        <w:t>电视背景墙，顶棚为石膏层板灯光吊顶；卧室地面</w:t>
      </w:r>
      <w:r w:rsidR="00692E45" w:rsidRPr="00931CC6">
        <w:rPr>
          <w:rFonts w:eastAsia="仿宋_GB2312" w:hint="eastAsia"/>
          <w:sz w:val="26"/>
          <w:szCs w:val="26"/>
        </w:rPr>
        <w:t>瓷砖</w:t>
      </w:r>
      <w:r w:rsidRPr="00931CC6">
        <w:rPr>
          <w:rFonts w:eastAsia="仿宋_GB2312" w:hint="eastAsia"/>
          <w:sz w:val="26"/>
          <w:szCs w:val="26"/>
        </w:rPr>
        <w:t>地板，墙面</w:t>
      </w:r>
      <w:r w:rsidR="00A3148F">
        <w:rPr>
          <w:rFonts w:eastAsia="仿宋_GB2312" w:hint="eastAsia"/>
          <w:sz w:val="26"/>
          <w:szCs w:val="26"/>
        </w:rPr>
        <w:t>刮瓷粉贴有墙纸</w:t>
      </w:r>
      <w:r w:rsidRPr="00931CC6">
        <w:rPr>
          <w:rFonts w:eastAsia="仿宋_GB2312" w:hint="eastAsia"/>
          <w:sz w:val="26"/>
          <w:szCs w:val="26"/>
        </w:rPr>
        <w:t>，顶棚石膏吊顶；厨房、卫生间地面及墙面贴砖至顶，铝扣板吊顶；阳台地面铺地砖。</w:t>
      </w:r>
    </w:p>
    <w:p w14:paraId="36B4E554" w14:textId="77777777" w:rsidR="00EF6A0E" w:rsidRPr="00931CC6" w:rsidRDefault="00000000">
      <w:pPr>
        <w:adjustRightInd w:val="0"/>
        <w:snapToGrid w:val="0"/>
        <w:spacing w:line="440" w:lineRule="exact"/>
        <w:ind w:firstLineChars="200" w:firstLine="520"/>
        <w:rPr>
          <w:rFonts w:eastAsia="仿宋_GB2312"/>
          <w:sz w:val="26"/>
          <w:szCs w:val="26"/>
        </w:rPr>
      </w:pPr>
      <w:r w:rsidRPr="00931CC6">
        <w:rPr>
          <w:rFonts w:eastAsia="仿宋_GB2312" w:hint="eastAsia"/>
          <w:sz w:val="26"/>
          <w:szCs w:val="26"/>
        </w:rPr>
        <w:t>2.8</w:t>
      </w:r>
      <w:r w:rsidRPr="00931CC6">
        <w:rPr>
          <w:rFonts w:eastAsia="仿宋_GB2312" w:hint="eastAsia"/>
          <w:sz w:val="26"/>
          <w:szCs w:val="26"/>
        </w:rPr>
        <w:t>设施设备；估价对象水、电、消防。</w:t>
      </w:r>
    </w:p>
    <w:p w14:paraId="54CE9703" w14:textId="77777777" w:rsidR="00EF6A0E" w:rsidRPr="00931CC6" w:rsidRDefault="00000000">
      <w:pPr>
        <w:adjustRightInd w:val="0"/>
        <w:snapToGrid w:val="0"/>
        <w:spacing w:line="440" w:lineRule="exact"/>
        <w:ind w:firstLineChars="200" w:firstLine="520"/>
        <w:rPr>
          <w:rFonts w:eastAsia="仿宋_GB2312"/>
          <w:sz w:val="26"/>
          <w:szCs w:val="26"/>
        </w:rPr>
      </w:pPr>
      <w:r w:rsidRPr="00931CC6">
        <w:rPr>
          <w:rFonts w:eastAsia="仿宋_GB2312" w:hint="eastAsia"/>
          <w:sz w:val="26"/>
          <w:szCs w:val="26"/>
        </w:rPr>
        <w:t>2.9</w:t>
      </w:r>
      <w:r w:rsidRPr="00931CC6">
        <w:rPr>
          <w:rFonts w:eastAsia="仿宋_GB2312" w:hint="eastAsia"/>
          <w:sz w:val="26"/>
          <w:szCs w:val="26"/>
        </w:rPr>
        <w:t>物业管理：物业管理一般。</w:t>
      </w:r>
    </w:p>
    <w:p w14:paraId="14844395" w14:textId="77777777" w:rsidR="00EF6A0E" w:rsidRDefault="00000000">
      <w:pPr>
        <w:adjustRightInd w:val="0"/>
        <w:snapToGrid w:val="0"/>
        <w:spacing w:line="440" w:lineRule="exact"/>
        <w:ind w:firstLineChars="200" w:firstLine="520"/>
        <w:rPr>
          <w:rFonts w:eastAsia="仿宋_GB2312"/>
          <w:color w:val="000000"/>
          <w:sz w:val="26"/>
          <w:szCs w:val="26"/>
        </w:rPr>
      </w:pPr>
      <w:r w:rsidRPr="00931CC6">
        <w:rPr>
          <w:rFonts w:eastAsia="仿宋_GB2312" w:hint="eastAsia"/>
          <w:sz w:val="26"/>
          <w:szCs w:val="26"/>
        </w:rPr>
        <w:t>3.0</w:t>
      </w:r>
      <w:r>
        <w:rPr>
          <w:rFonts w:eastAsia="仿宋_GB2312" w:hint="eastAsia"/>
          <w:color w:val="000000"/>
          <w:sz w:val="26"/>
          <w:szCs w:val="26"/>
        </w:rPr>
        <w:t>维护及完损状况：房屋地基稳固，基础完好；无墙体开裂，地面凸起、凹陷，门窗破损等现象；外观成新状况较优，维护情况较优，现场勘查为九成新。</w:t>
      </w:r>
    </w:p>
    <w:p w14:paraId="3121576A" w14:textId="77777777" w:rsidR="00EF6A0E" w:rsidRDefault="00000000">
      <w:pPr>
        <w:pStyle w:val="3"/>
        <w:spacing w:beforeLines="50" w:before="156" w:afterLines="50" w:after="156" w:line="440" w:lineRule="exact"/>
        <w:ind w:firstLineChars="200" w:firstLine="562"/>
        <w:rPr>
          <w:rFonts w:ascii="仿宋" w:eastAsia="仿宋" w:hAnsi="仿宋" w:cs="仿宋"/>
          <w:color w:val="000000"/>
          <w:sz w:val="28"/>
          <w:szCs w:val="28"/>
        </w:rPr>
      </w:pPr>
      <w:r>
        <w:rPr>
          <w:rFonts w:ascii="仿宋" w:eastAsia="仿宋" w:hAnsi="仿宋" w:cs="仿宋" w:hint="eastAsia"/>
          <w:color w:val="000000"/>
          <w:sz w:val="28"/>
          <w:szCs w:val="28"/>
        </w:rPr>
        <w:t>（四）估价对象区位状况</w:t>
      </w:r>
    </w:p>
    <w:p w14:paraId="67233E65" w14:textId="48B96DF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4.1</w:t>
      </w:r>
      <w:r>
        <w:rPr>
          <w:rFonts w:eastAsia="仿宋_GB2312" w:hint="eastAsia"/>
          <w:color w:val="000000"/>
          <w:sz w:val="26"/>
          <w:szCs w:val="26"/>
        </w:rPr>
        <w:t>位置状况：估价对象位于</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，与所在区域内商场、医院、学校、银行等重要设施服务半径短；</w:t>
      </w:r>
    </w:p>
    <w:p w14:paraId="4E1D8E12"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4.2</w:t>
      </w:r>
      <w:r>
        <w:rPr>
          <w:rFonts w:eastAsia="仿宋_GB2312" w:hint="eastAsia"/>
          <w:color w:val="000000"/>
          <w:sz w:val="26"/>
          <w:szCs w:val="26"/>
        </w:rPr>
        <w:t>交通状况：估价对象所在位置外联道路有白云路一街、机场大道、民航大道，道路状况较优，通达度较优；</w:t>
      </w:r>
    </w:p>
    <w:p w14:paraId="5EE01929" w14:textId="1FA67F63"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4.3</w:t>
      </w:r>
      <w:r>
        <w:rPr>
          <w:rFonts w:eastAsia="仿宋_GB2312" w:hint="eastAsia"/>
          <w:color w:val="000000"/>
          <w:sz w:val="26"/>
          <w:szCs w:val="26"/>
        </w:rPr>
        <w:t>出行可利用交通工具：附近有</w:t>
      </w:r>
      <w:r w:rsidR="009E3EED">
        <w:rPr>
          <w:rFonts w:eastAsia="仿宋_GB2312"/>
          <w:color w:val="000000"/>
          <w:sz w:val="26"/>
          <w:szCs w:val="26"/>
        </w:rPr>
        <w:t>2</w:t>
      </w:r>
      <w:r>
        <w:rPr>
          <w:rFonts w:eastAsia="仿宋_GB2312" w:hint="eastAsia"/>
          <w:color w:val="000000"/>
          <w:sz w:val="26"/>
          <w:szCs w:val="26"/>
        </w:rPr>
        <w:t>条及以上公交线路，</w:t>
      </w:r>
      <w:r w:rsidR="009E3EED">
        <w:rPr>
          <w:rFonts w:eastAsia="仿宋_GB2312" w:hint="eastAsia"/>
          <w:color w:val="000000"/>
          <w:sz w:val="26"/>
          <w:szCs w:val="26"/>
        </w:rPr>
        <w:t>兴仁</w:t>
      </w:r>
      <w:r w:rsidR="009E3EED">
        <w:rPr>
          <w:rFonts w:eastAsia="仿宋_GB2312" w:hint="eastAsia"/>
          <w:color w:val="000000"/>
          <w:sz w:val="26"/>
          <w:szCs w:val="26"/>
        </w:rPr>
        <w:t>4</w:t>
      </w:r>
      <w:r>
        <w:rPr>
          <w:rFonts w:eastAsia="仿宋_GB2312" w:hint="eastAsia"/>
          <w:color w:val="000000"/>
          <w:sz w:val="26"/>
          <w:szCs w:val="26"/>
        </w:rPr>
        <w:t>路、</w:t>
      </w:r>
      <w:r w:rsidR="009E3EED">
        <w:rPr>
          <w:rFonts w:eastAsia="仿宋_GB2312" w:hint="eastAsia"/>
          <w:color w:val="000000"/>
          <w:sz w:val="26"/>
          <w:szCs w:val="26"/>
        </w:rPr>
        <w:t>兴仁</w:t>
      </w:r>
      <w:r w:rsidR="009E3EED">
        <w:rPr>
          <w:rFonts w:eastAsia="仿宋_GB2312" w:hint="eastAsia"/>
          <w:color w:val="000000"/>
          <w:sz w:val="26"/>
          <w:szCs w:val="26"/>
        </w:rPr>
        <w:t>6</w:t>
      </w:r>
      <w:r>
        <w:rPr>
          <w:rFonts w:eastAsia="仿宋_GB2312" w:hint="eastAsia"/>
          <w:color w:val="000000"/>
          <w:sz w:val="26"/>
          <w:szCs w:val="26"/>
        </w:rPr>
        <w:t>路、有城市出租车、大巴途径周边区域；</w:t>
      </w:r>
    </w:p>
    <w:p w14:paraId="563224D1"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4.4</w:t>
      </w:r>
      <w:r>
        <w:rPr>
          <w:rFonts w:eastAsia="仿宋_GB2312" w:hint="eastAsia"/>
          <w:color w:val="000000"/>
          <w:sz w:val="26"/>
          <w:szCs w:val="26"/>
        </w:rPr>
        <w:t>环境状况：周边自然环境一般，空气噪声污染一般，治安状况一般，人文环境一般，区域内有公园、休闲广场、购物场所等；</w:t>
      </w:r>
    </w:p>
    <w:p w14:paraId="5CBB477B" w14:textId="6257B61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4.5</w:t>
      </w:r>
      <w:r>
        <w:rPr>
          <w:rFonts w:eastAsia="仿宋_GB2312" w:hint="eastAsia"/>
          <w:color w:val="000000"/>
          <w:sz w:val="26"/>
          <w:szCs w:val="26"/>
        </w:rPr>
        <w:t>外部配套设施状况：估价对象所在区域道路、给排水、电力、电讯等基础设施较完备，周边金融机构：</w:t>
      </w:r>
      <w:r w:rsidR="00E57CD2">
        <w:rPr>
          <w:rFonts w:eastAsia="仿宋_GB2312" w:hint="eastAsia"/>
          <w:color w:val="000000"/>
          <w:sz w:val="26"/>
          <w:szCs w:val="26"/>
        </w:rPr>
        <w:t>兴仁振新村镇银行、中国建设银行</w:t>
      </w:r>
      <w:r>
        <w:rPr>
          <w:rFonts w:eastAsia="仿宋_GB2312" w:hint="eastAsia"/>
          <w:color w:val="000000"/>
          <w:sz w:val="26"/>
          <w:szCs w:val="26"/>
        </w:rPr>
        <w:t>；教育机构：</w:t>
      </w:r>
      <w:r w:rsidR="00817FAA">
        <w:rPr>
          <w:rFonts w:eastAsia="仿宋_GB2312" w:hint="eastAsia"/>
          <w:color w:val="000000"/>
          <w:sz w:val="26"/>
          <w:szCs w:val="26"/>
        </w:rPr>
        <w:t>兴仁市第五小学</w:t>
      </w:r>
      <w:r>
        <w:rPr>
          <w:rFonts w:eastAsia="仿宋_GB2312" w:hint="eastAsia"/>
          <w:color w:val="000000"/>
          <w:sz w:val="26"/>
          <w:szCs w:val="26"/>
        </w:rPr>
        <w:t>、</w:t>
      </w:r>
      <w:r w:rsidR="00817FAA">
        <w:rPr>
          <w:rFonts w:eastAsia="仿宋_GB2312" w:hint="eastAsia"/>
          <w:color w:val="000000"/>
          <w:sz w:val="26"/>
          <w:szCs w:val="26"/>
        </w:rPr>
        <w:t>兴仁树德学校</w:t>
      </w:r>
      <w:r>
        <w:rPr>
          <w:rFonts w:eastAsia="仿宋_GB2312" w:hint="eastAsia"/>
          <w:color w:val="000000"/>
          <w:sz w:val="26"/>
          <w:szCs w:val="26"/>
        </w:rPr>
        <w:t>；医疗机构：</w:t>
      </w:r>
      <w:r w:rsidR="00817FAA">
        <w:rPr>
          <w:rFonts w:eastAsia="仿宋_GB2312" w:hint="eastAsia"/>
          <w:color w:val="000000"/>
          <w:sz w:val="26"/>
          <w:szCs w:val="26"/>
        </w:rPr>
        <w:t>兴仁市人民医院、</w:t>
      </w:r>
      <w:r>
        <w:rPr>
          <w:rFonts w:eastAsia="仿宋_GB2312" w:hint="eastAsia"/>
          <w:color w:val="000000"/>
          <w:sz w:val="26"/>
          <w:szCs w:val="26"/>
        </w:rPr>
        <w:t>兴</w:t>
      </w:r>
      <w:r w:rsidR="00817FAA">
        <w:rPr>
          <w:rFonts w:eastAsia="仿宋_GB2312" w:hint="eastAsia"/>
          <w:color w:val="000000"/>
          <w:sz w:val="26"/>
          <w:szCs w:val="26"/>
        </w:rPr>
        <w:t>仁华新</w:t>
      </w:r>
      <w:r>
        <w:rPr>
          <w:rFonts w:eastAsia="仿宋_GB2312" w:hint="eastAsia"/>
          <w:color w:val="000000"/>
          <w:sz w:val="26"/>
          <w:szCs w:val="26"/>
        </w:rPr>
        <w:t>医院、</w:t>
      </w:r>
      <w:r w:rsidR="009E3EED">
        <w:rPr>
          <w:rFonts w:eastAsia="仿宋_GB2312" w:hint="eastAsia"/>
          <w:color w:val="000000"/>
          <w:sz w:val="26"/>
          <w:szCs w:val="26"/>
        </w:rPr>
        <w:t>兴仁市妇幼保健</w:t>
      </w:r>
      <w:r w:rsidR="009E3EED">
        <w:rPr>
          <w:rFonts w:eastAsia="仿宋_GB2312" w:hint="eastAsia"/>
          <w:color w:val="000000"/>
          <w:sz w:val="26"/>
          <w:szCs w:val="26"/>
        </w:rPr>
        <w:lastRenderedPageBreak/>
        <w:t>院</w:t>
      </w:r>
      <w:r>
        <w:rPr>
          <w:rFonts w:eastAsia="仿宋_GB2312" w:hint="eastAsia"/>
          <w:color w:val="000000"/>
          <w:sz w:val="26"/>
          <w:szCs w:val="26"/>
        </w:rPr>
        <w:t>；区域内金融机构、教育机构、医疗机构、行政事业机构较完善；</w:t>
      </w:r>
    </w:p>
    <w:p w14:paraId="17B2268F"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4.6</w:t>
      </w:r>
      <w:r>
        <w:rPr>
          <w:rFonts w:eastAsia="仿宋_GB2312" w:hint="eastAsia"/>
          <w:color w:val="000000"/>
          <w:sz w:val="26"/>
          <w:szCs w:val="26"/>
        </w:rPr>
        <w:t>区位状况优劣度分析：估价对象所在区域基础设施及公共设施较完善，繁华度一般，人流量一般，交通便捷，区位状况稍好。</w:t>
      </w:r>
    </w:p>
    <w:p w14:paraId="287DEC81" w14:textId="77777777" w:rsidR="00EF6A0E" w:rsidRDefault="00000000">
      <w:pPr>
        <w:pStyle w:val="2"/>
        <w:numPr>
          <w:ilvl w:val="0"/>
          <w:numId w:val="1"/>
        </w:numPr>
        <w:spacing w:beforeLines="50" w:before="156" w:afterLines="50" w:after="156" w:line="440" w:lineRule="exact"/>
        <w:ind w:firstLineChars="200" w:firstLine="643"/>
        <w:rPr>
          <w:rFonts w:ascii="仿宋" w:eastAsia="仿宋" w:hAnsi="仿宋" w:cs="仿宋"/>
          <w:kern w:val="0"/>
        </w:rPr>
      </w:pPr>
      <w:bookmarkStart w:id="26" w:name="_Toc474"/>
      <w:bookmarkStart w:id="27" w:name="_Toc522795047"/>
      <w:r>
        <w:rPr>
          <w:rFonts w:ascii="仿宋" w:eastAsia="仿宋" w:hAnsi="仿宋" w:cs="仿宋" w:hint="eastAsia"/>
          <w:kern w:val="0"/>
        </w:rPr>
        <w:t>价值时点</w:t>
      </w:r>
      <w:bookmarkEnd w:id="26"/>
      <w:bookmarkEnd w:id="27"/>
    </w:p>
    <w:p w14:paraId="01E6DF51" w14:textId="0DF812A8"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本次价值时点为</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w:t>
      </w:r>
      <w:r>
        <w:rPr>
          <w:rFonts w:eastAsia="仿宋_GB2312" w:hint="eastAsia"/>
          <w:sz w:val="26"/>
          <w:szCs w:val="26"/>
        </w:rPr>
        <w:t>为完成估价对象实地查勘之日</w:t>
      </w:r>
      <w:r>
        <w:rPr>
          <w:rFonts w:eastAsia="仿宋_GB2312" w:hint="eastAsia"/>
          <w:color w:val="000000"/>
          <w:sz w:val="26"/>
          <w:szCs w:val="26"/>
        </w:rPr>
        <w:t>。</w:t>
      </w:r>
    </w:p>
    <w:p w14:paraId="1111E0B9" w14:textId="2A91AEAA" w:rsidR="00EF6A0E" w:rsidRDefault="00000000">
      <w:pPr>
        <w:pStyle w:val="2"/>
        <w:spacing w:beforeLines="50" w:before="156" w:afterLines="50" w:after="156" w:line="440" w:lineRule="exact"/>
        <w:ind w:firstLineChars="200" w:firstLine="643"/>
        <w:rPr>
          <w:rFonts w:ascii="仿宋" w:eastAsia="仿宋" w:hAnsi="仿宋" w:cs="仿宋"/>
          <w:kern w:val="0"/>
        </w:rPr>
      </w:pPr>
      <w:bookmarkStart w:id="28" w:name="_Toc522795048"/>
      <w:bookmarkStart w:id="29" w:name="_Toc27930"/>
      <w:r>
        <w:rPr>
          <w:rFonts w:ascii="仿宋" w:eastAsia="仿宋" w:hAnsi="仿宋" w:cs="仿宋" w:hint="eastAsia"/>
          <w:kern w:val="0"/>
        </w:rPr>
        <w:t>六、价值类型</w:t>
      </w:r>
      <w:bookmarkEnd w:id="25"/>
      <w:bookmarkEnd w:id="28"/>
      <w:bookmarkEnd w:id="29"/>
    </w:p>
    <w:p w14:paraId="75E6D8D2"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本报告估价结果是反映估价对象在价值时点的公开</w:t>
      </w:r>
      <w:bookmarkStart w:id="30" w:name="OLE_LINK6"/>
      <w:r>
        <w:rPr>
          <w:rFonts w:eastAsia="仿宋_GB2312" w:hint="eastAsia"/>
          <w:color w:val="000000"/>
          <w:sz w:val="26"/>
          <w:szCs w:val="26"/>
        </w:rPr>
        <w:t>市场价值</w:t>
      </w:r>
      <w:bookmarkEnd w:id="30"/>
      <w:r>
        <w:rPr>
          <w:rFonts w:eastAsia="仿宋_GB2312" w:hint="eastAsia"/>
          <w:color w:val="000000"/>
          <w:sz w:val="26"/>
          <w:szCs w:val="26"/>
        </w:rPr>
        <w:t>（包含应分摊的土地使用权价格）。</w:t>
      </w:r>
    </w:p>
    <w:p w14:paraId="3418E94D"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14:paraId="3ABAEFF0" w14:textId="77777777" w:rsidR="00EF6A0E" w:rsidRDefault="00000000">
      <w:pPr>
        <w:pStyle w:val="2"/>
        <w:spacing w:beforeLines="50" w:before="156" w:afterLines="50" w:after="156" w:line="360" w:lineRule="auto"/>
        <w:ind w:firstLineChars="200" w:firstLine="643"/>
        <w:rPr>
          <w:rFonts w:ascii="仿宋" w:eastAsia="仿宋" w:hAnsi="仿宋" w:cs="仿宋"/>
          <w:kern w:val="0"/>
        </w:rPr>
      </w:pPr>
      <w:bookmarkStart w:id="31" w:name="_Toc8731"/>
      <w:bookmarkStart w:id="32" w:name="_Toc522795049"/>
      <w:r>
        <w:rPr>
          <w:rFonts w:ascii="仿宋" w:eastAsia="仿宋" w:hAnsi="仿宋" w:cs="仿宋" w:hint="eastAsia"/>
          <w:kern w:val="0"/>
        </w:rPr>
        <w:t>七、估价原则</w:t>
      </w:r>
      <w:bookmarkEnd w:id="31"/>
      <w:bookmarkEnd w:id="32"/>
    </w:p>
    <w:p w14:paraId="3093902C" w14:textId="77777777" w:rsidR="00EF6A0E" w:rsidRDefault="00000000">
      <w:pPr>
        <w:spacing w:line="400" w:lineRule="exact"/>
        <w:ind w:firstLineChars="200" w:firstLine="520"/>
        <w:rPr>
          <w:rFonts w:eastAsia="仿宋_GB2312"/>
          <w:sz w:val="26"/>
          <w:szCs w:val="26"/>
        </w:rPr>
      </w:pPr>
      <w:bookmarkStart w:id="33" w:name="_Toc286074115"/>
      <w:r>
        <w:rPr>
          <w:rFonts w:eastAsia="仿宋_GB2312"/>
          <w:sz w:val="26"/>
          <w:szCs w:val="26"/>
        </w:rPr>
        <w:t>本次估价遵循了独立、客观、公正原则、合法原则、最高最佳使用原则、替代原则、价值时点原则。</w:t>
      </w:r>
    </w:p>
    <w:p w14:paraId="280EB47D" w14:textId="77777777" w:rsidR="00EF6A0E" w:rsidRDefault="00000000">
      <w:pPr>
        <w:spacing w:line="400" w:lineRule="exact"/>
        <w:ind w:firstLineChars="200" w:firstLine="520"/>
        <w:rPr>
          <w:rFonts w:eastAsia="仿宋_GB2312"/>
          <w:kern w:val="0"/>
          <w:sz w:val="26"/>
          <w:szCs w:val="26"/>
        </w:rPr>
      </w:pPr>
      <w:r>
        <w:rPr>
          <w:rFonts w:eastAsia="仿宋_GB2312" w:hint="eastAsia"/>
          <w:kern w:val="0"/>
          <w:sz w:val="26"/>
          <w:szCs w:val="26"/>
        </w:rPr>
        <w:t>1</w:t>
      </w:r>
      <w:r>
        <w:rPr>
          <w:rFonts w:eastAsia="仿宋_GB2312" w:hint="eastAsia"/>
          <w:kern w:val="0"/>
          <w:sz w:val="26"/>
          <w:szCs w:val="26"/>
        </w:rPr>
        <w:t>、</w:t>
      </w:r>
      <w:r>
        <w:rPr>
          <w:rFonts w:eastAsia="仿宋_GB2312"/>
          <w:sz w:val="26"/>
          <w:szCs w:val="26"/>
        </w:rPr>
        <w:t>独立、客观、公正原则：</w:t>
      </w:r>
      <w:r>
        <w:rPr>
          <w:rFonts w:eastAsia="仿宋_GB2312" w:hint="eastAsia"/>
          <w:sz w:val="26"/>
          <w:szCs w:val="26"/>
        </w:rPr>
        <w:t>要求站在中立的立场上，实事求是、公平正直地评估出对各方估价利害关系人均是公平合理的价值或价格的原则</w:t>
      </w:r>
      <w:r>
        <w:rPr>
          <w:rFonts w:eastAsia="仿宋_GB2312"/>
          <w:sz w:val="26"/>
          <w:szCs w:val="26"/>
        </w:rPr>
        <w:t>。</w:t>
      </w:r>
    </w:p>
    <w:p w14:paraId="572EE458" w14:textId="77777777" w:rsidR="00EF6A0E" w:rsidRDefault="00000000">
      <w:pPr>
        <w:spacing w:line="400" w:lineRule="exact"/>
        <w:ind w:firstLineChars="200" w:firstLine="520"/>
        <w:rPr>
          <w:rFonts w:eastAsia="仿宋_GB2312"/>
          <w:sz w:val="26"/>
          <w:szCs w:val="26"/>
        </w:rPr>
      </w:pPr>
      <w:r>
        <w:rPr>
          <w:rFonts w:eastAsia="仿宋_GB2312" w:hint="eastAsia"/>
          <w:kern w:val="0"/>
          <w:sz w:val="26"/>
          <w:szCs w:val="26"/>
        </w:rPr>
        <w:t>2</w:t>
      </w:r>
      <w:r>
        <w:rPr>
          <w:rFonts w:eastAsia="仿宋_GB2312" w:hint="eastAsia"/>
          <w:kern w:val="0"/>
          <w:sz w:val="26"/>
          <w:szCs w:val="26"/>
        </w:rPr>
        <w:t>、</w:t>
      </w:r>
      <w:r>
        <w:rPr>
          <w:rFonts w:eastAsia="仿宋_GB2312"/>
          <w:sz w:val="26"/>
          <w:szCs w:val="26"/>
        </w:rPr>
        <w:t>合法原则：</w:t>
      </w:r>
      <w:r>
        <w:rPr>
          <w:rFonts w:eastAsia="仿宋_GB2312" w:hint="eastAsia"/>
          <w:sz w:val="26"/>
          <w:szCs w:val="26"/>
        </w:rPr>
        <w:t>要求估价结果是在依法判定的估价对象状况下的价值或价格的原则</w:t>
      </w:r>
      <w:r>
        <w:rPr>
          <w:rFonts w:eastAsia="仿宋_GB2312"/>
          <w:sz w:val="26"/>
          <w:szCs w:val="26"/>
        </w:rPr>
        <w:t>。</w:t>
      </w:r>
    </w:p>
    <w:p w14:paraId="3CFAE201" w14:textId="77777777" w:rsidR="00EF6A0E" w:rsidRDefault="00000000">
      <w:pPr>
        <w:spacing w:line="400" w:lineRule="exact"/>
        <w:ind w:firstLineChars="200" w:firstLine="520"/>
        <w:rPr>
          <w:rFonts w:eastAsia="仿宋_GB2312"/>
          <w:sz w:val="26"/>
          <w:szCs w:val="26"/>
        </w:rPr>
      </w:pPr>
      <w:r>
        <w:rPr>
          <w:rFonts w:eastAsia="仿宋_GB2312" w:hint="eastAsia"/>
          <w:kern w:val="0"/>
          <w:sz w:val="26"/>
          <w:szCs w:val="26"/>
        </w:rPr>
        <w:t>3</w:t>
      </w:r>
      <w:r>
        <w:rPr>
          <w:rFonts w:eastAsia="仿宋_GB2312" w:hint="eastAsia"/>
          <w:kern w:val="0"/>
          <w:sz w:val="26"/>
          <w:szCs w:val="26"/>
        </w:rPr>
        <w:t>、</w:t>
      </w:r>
      <w:r>
        <w:rPr>
          <w:rFonts w:eastAsia="仿宋_GB2312" w:hint="eastAsia"/>
          <w:sz w:val="26"/>
          <w:szCs w:val="26"/>
        </w:rPr>
        <w:t>价值时点原则</w:t>
      </w:r>
      <w:r>
        <w:rPr>
          <w:rFonts w:eastAsia="仿宋_GB2312"/>
          <w:sz w:val="26"/>
          <w:szCs w:val="26"/>
        </w:rPr>
        <w:t>：</w:t>
      </w:r>
      <w:r>
        <w:rPr>
          <w:rFonts w:eastAsia="仿宋_GB2312" w:hint="eastAsia"/>
          <w:sz w:val="26"/>
          <w:szCs w:val="26"/>
        </w:rPr>
        <w:t>要求估价结果是在根据估价目的确定的某一特定时间的价值或价格的原则</w:t>
      </w:r>
      <w:r>
        <w:rPr>
          <w:rFonts w:eastAsia="仿宋_GB2312"/>
          <w:sz w:val="26"/>
          <w:szCs w:val="26"/>
        </w:rPr>
        <w:t>。</w:t>
      </w:r>
    </w:p>
    <w:p w14:paraId="7FBD18A0"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4</w:t>
      </w:r>
      <w:r>
        <w:rPr>
          <w:rFonts w:eastAsia="仿宋_GB2312" w:hint="eastAsia"/>
          <w:sz w:val="26"/>
          <w:szCs w:val="26"/>
        </w:rPr>
        <w:t>、</w:t>
      </w:r>
      <w:r>
        <w:rPr>
          <w:rFonts w:eastAsia="仿宋_GB2312"/>
          <w:sz w:val="26"/>
          <w:szCs w:val="26"/>
        </w:rPr>
        <w:t>替代原则：</w:t>
      </w:r>
      <w:r>
        <w:rPr>
          <w:rFonts w:eastAsia="仿宋_GB2312" w:hint="eastAsia"/>
          <w:sz w:val="26"/>
          <w:szCs w:val="26"/>
        </w:rPr>
        <w:t>要求估价结果与估价对象的类似房地产在同等条件下的价值或价格偏差在合理范围内的原则。</w:t>
      </w:r>
    </w:p>
    <w:p w14:paraId="1466B148" w14:textId="77777777" w:rsidR="00EF6A0E" w:rsidRDefault="00000000">
      <w:pPr>
        <w:spacing w:line="440" w:lineRule="exact"/>
        <w:ind w:firstLineChars="200" w:firstLine="520"/>
        <w:rPr>
          <w:rFonts w:eastAsia="仿宋_GB2312"/>
          <w:color w:val="000000"/>
          <w:sz w:val="26"/>
          <w:szCs w:val="26"/>
        </w:rPr>
      </w:pPr>
      <w:r>
        <w:rPr>
          <w:rFonts w:eastAsia="仿宋_GB2312" w:hint="eastAsia"/>
          <w:sz w:val="26"/>
          <w:szCs w:val="26"/>
        </w:rPr>
        <w:t>5</w:t>
      </w:r>
      <w:r>
        <w:rPr>
          <w:rFonts w:eastAsia="仿宋_GB2312" w:hint="eastAsia"/>
          <w:sz w:val="26"/>
          <w:szCs w:val="26"/>
        </w:rPr>
        <w:t>、</w:t>
      </w:r>
      <w:r>
        <w:rPr>
          <w:rFonts w:eastAsia="仿宋_GB2312"/>
          <w:sz w:val="26"/>
          <w:szCs w:val="26"/>
        </w:rPr>
        <w:t>最高最佳使用原则：</w:t>
      </w:r>
      <w:r>
        <w:rPr>
          <w:rFonts w:eastAsia="仿宋_GB2312" w:hint="eastAsia"/>
          <w:sz w:val="26"/>
          <w:szCs w:val="26"/>
        </w:rPr>
        <w:t>要求估价结果是在估价对象最高最佳利用状况下的价值或价格的原则；最高最佳利用：房地产在法律上允许、技术上可能、财务上可行并使价值最大的合理、可能的利用，包括最佳的用途、规模、档次等</w:t>
      </w:r>
      <w:r>
        <w:rPr>
          <w:rFonts w:eastAsia="仿宋_GB2312"/>
          <w:sz w:val="26"/>
          <w:szCs w:val="26"/>
        </w:rPr>
        <w:t>。</w:t>
      </w:r>
    </w:p>
    <w:p w14:paraId="42ABD413" w14:textId="77777777" w:rsidR="00EF6A0E" w:rsidRDefault="00000000">
      <w:pPr>
        <w:pStyle w:val="2"/>
        <w:spacing w:beforeLines="50" w:before="156" w:afterLines="50" w:after="156" w:line="560" w:lineRule="exact"/>
        <w:ind w:firstLineChars="200" w:firstLine="643"/>
        <w:rPr>
          <w:rFonts w:ascii="仿宋" w:eastAsia="仿宋" w:hAnsi="仿宋" w:cs="仿宋"/>
          <w:kern w:val="0"/>
        </w:rPr>
      </w:pPr>
      <w:bookmarkStart w:id="34" w:name="_Toc522795050"/>
      <w:bookmarkStart w:id="35" w:name="_Toc32648"/>
      <w:r>
        <w:rPr>
          <w:rFonts w:ascii="仿宋" w:eastAsia="仿宋" w:hAnsi="仿宋" w:cs="仿宋" w:hint="eastAsia"/>
          <w:kern w:val="0"/>
        </w:rPr>
        <w:t>八、估价依据</w:t>
      </w:r>
      <w:bookmarkEnd w:id="33"/>
      <w:bookmarkEnd w:id="34"/>
      <w:bookmarkEnd w:id="35"/>
    </w:p>
    <w:p w14:paraId="54F3AA3A" w14:textId="77777777" w:rsidR="00EF6A0E" w:rsidRDefault="00000000">
      <w:pPr>
        <w:pStyle w:val="a9"/>
        <w:spacing w:line="440" w:lineRule="exact"/>
        <w:ind w:left="0" w:firstLineChars="200" w:firstLine="520"/>
        <w:rPr>
          <w:rFonts w:eastAsia="仿宋_GB2312"/>
          <w:sz w:val="26"/>
          <w:szCs w:val="26"/>
        </w:rPr>
      </w:pPr>
      <w:bookmarkStart w:id="36" w:name="_Toc286074116"/>
      <w:r>
        <w:rPr>
          <w:rFonts w:eastAsia="仿宋_GB2312" w:hint="eastAsia"/>
          <w:sz w:val="26"/>
          <w:szCs w:val="26"/>
        </w:rPr>
        <w:t>（一）本次估价所依据的有关法律、法规和部门规章</w:t>
      </w:r>
    </w:p>
    <w:p w14:paraId="22D65E4B"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1</w:t>
      </w:r>
      <w:r>
        <w:rPr>
          <w:rFonts w:eastAsia="仿宋_GB2312" w:hint="eastAsia"/>
          <w:sz w:val="26"/>
          <w:szCs w:val="26"/>
        </w:rPr>
        <w:t>、《中华人民共和国资产评估法》【主席令第</w:t>
      </w:r>
      <w:r>
        <w:rPr>
          <w:rFonts w:eastAsia="仿宋_GB2312" w:hint="eastAsia"/>
          <w:sz w:val="26"/>
          <w:szCs w:val="26"/>
        </w:rPr>
        <w:t>46</w:t>
      </w:r>
      <w:r>
        <w:rPr>
          <w:rFonts w:eastAsia="仿宋_GB2312" w:hint="eastAsia"/>
          <w:sz w:val="26"/>
          <w:szCs w:val="26"/>
        </w:rPr>
        <w:t>号】（</w:t>
      </w:r>
      <w:r>
        <w:rPr>
          <w:rFonts w:eastAsia="仿宋_GB2312" w:hint="eastAsia"/>
          <w:sz w:val="26"/>
          <w:szCs w:val="26"/>
        </w:rPr>
        <w:t>2016</w:t>
      </w:r>
      <w:r>
        <w:rPr>
          <w:rFonts w:eastAsia="仿宋_GB2312" w:hint="eastAsia"/>
          <w:sz w:val="26"/>
          <w:szCs w:val="26"/>
        </w:rPr>
        <w:t>年</w:t>
      </w:r>
      <w:r>
        <w:rPr>
          <w:rFonts w:eastAsia="仿宋_GB2312" w:hint="eastAsia"/>
          <w:sz w:val="26"/>
          <w:szCs w:val="26"/>
        </w:rPr>
        <w:t>7</w:t>
      </w:r>
      <w:r>
        <w:rPr>
          <w:rFonts w:eastAsia="仿宋_GB2312" w:hint="eastAsia"/>
          <w:sz w:val="26"/>
          <w:szCs w:val="26"/>
        </w:rPr>
        <w:t>月</w:t>
      </w:r>
      <w:r>
        <w:rPr>
          <w:rFonts w:eastAsia="仿宋_GB2312" w:hint="eastAsia"/>
          <w:sz w:val="26"/>
          <w:szCs w:val="26"/>
        </w:rPr>
        <w:t>2</w:t>
      </w:r>
      <w:r>
        <w:rPr>
          <w:rFonts w:eastAsia="仿宋_GB2312" w:hint="eastAsia"/>
          <w:sz w:val="26"/>
          <w:szCs w:val="26"/>
        </w:rPr>
        <w:t>日第十二届全国人民代表大会第二十一次会议通过，自</w:t>
      </w:r>
      <w:r>
        <w:rPr>
          <w:rFonts w:eastAsia="仿宋_GB2312" w:hint="eastAsia"/>
          <w:sz w:val="26"/>
          <w:szCs w:val="26"/>
        </w:rPr>
        <w:t>2016</w:t>
      </w:r>
      <w:r>
        <w:rPr>
          <w:rFonts w:eastAsia="仿宋_GB2312" w:hint="eastAsia"/>
          <w:sz w:val="26"/>
          <w:szCs w:val="26"/>
        </w:rPr>
        <w:t>年</w:t>
      </w:r>
      <w:r>
        <w:rPr>
          <w:rFonts w:eastAsia="仿宋_GB2312" w:hint="eastAsia"/>
          <w:sz w:val="26"/>
          <w:szCs w:val="26"/>
        </w:rPr>
        <w:t>12</w:t>
      </w:r>
      <w:r>
        <w:rPr>
          <w:rFonts w:eastAsia="仿宋_GB2312" w:hint="eastAsia"/>
          <w:sz w:val="26"/>
          <w:szCs w:val="26"/>
        </w:rPr>
        <w:t>月</w:t>
      </w:r>
      <w:r>
        <w:rPr>
          <w:rFonts w:eastAsia="仿宋_GB2312" w:hint="eastAsia"/>
          <w:sz w:val="26"/>
          <w:szCs w:val="26"/>
        </w:rPr>
        <w:t>1</w:t>
      </w:r>
      <w:r>
        <w:rPr>
          <w:rFonts w:eastAsia="仿宋_GB2312" w:hint="eastAsia"/>
          <w:sz w:val="26"/>
          <w:szCs w:val="26"/>
        </w:rPr>
        <w:t>日起实施）；</w:t>
      </w:r>
    </w:p>
    <w:p w14:paraId="14EC3A51"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lastRenderedPageBreak/>
        <w:t>2</w:t>
      </w:r>
      <w:r>
        <w:rPr>
          <w:rFonts w:eastAsia="仿宋_GB2312" w:hint="eastAsia"/>
          <w:sz w:val="26"/>
          <w:szCs w:val="26"/>
        </w:rPr>
        <w:t>、</w:t>
      </w:r>
      <w:r>
        <w:rPr>
          <w:rFonts w:eastAsia="仿宋_GB2312" w:hint="eastAsia"/>
          <w:color w:val="000000"/>
          <w:sz w:val="26"/>
          <w:szCs w:val="26"/>
        </w:rPr>
        <w:t>《中华</w:t>
      </w:r>
      <w:r>
        <w:rPr>
          <w:rFonts w:eastAsia="仿宋_GB2312" w:hint="eastAsia"/>
          <w:sz w:val="26"/>
          <w:szCs w:val="26"/>
        </w:rPr>
        <w:t>人民共和国民法典》（</w:t>
      </w:r>
      <w:r>
        <w:rPr>
          <w:rFonts w:eastAsia="仿宋_GB2312" w:hint="eastAsia"/>
          <w:sz w:val="26"/>
          <w:szCs w:val="26"/>
        </w:rPr>
        <w:t>2020</w:t>
      </w:r>
      <w:r>
        <w:rPr>
          <w:rFonts w:eastAsia="仿宋_GB2312" w:hint="eastAsia"/>
          <w:sz w:val="26"/>
          <w:szCs w:val="26"/>
        </w:rPr>
        <w:t>年</w:t>
      </w:r>
      <w:r>
        <w:rPr>
          <w:rFonts w:eastAsia="仿宋_GB2312" w:hint="eastAsia"/>
          <w:sz w:val="26"/>
          <w:szCs w:val="26"/>
        </w:rPr>
        <w:t>5</w:t>
      </w:r>
      <w:r>
        <w:rPr>
          <w:rFonts w:eastAsia="仿宋_GB2312" w:hint="eastAsia"/>
          <w:sz w:val="26"/>
          <w:szCs w:val="26"/>
        </w:rPr>
        <w:t>月</w:t>
      </w:r>
      <w:r>
        <w:rPr>
          <w:rFonts w:eastAsia="仿宋_GB2312" w:hint="eastAsia"/>
          <w:sz w:val="26"/>
          <w:szCs w:val="26"/>
        </w:rPr>
        <w:t>28</w:t>
      </w:r>
      <w:r>
        <w:rPr>
          <w:rFonts w:eastAsia="仿宋_GB2312" w:hint="eastAsia"/>
          <w:sz w:val="26"/>
          <w:szCs w:val="26"/>
        </w:rPr>
        <w:t>日第十三届全国人民代表大会第三次会议通过，自</w:t>
      </w:r>
      <w:r>
        <w:rPr>
          <w:rFonts w:eastAsia="仿宋_GB2312" w:hint="eastAsia"/>
          <w:sz w:val="26"/>
          <w:szCs w:val="26"/>
        </w:rPr>
        <w:t>2021</w:t>
      </w:r>
      <w:r>
        <w:rPr>
          <w:rFonts w:eastAsia="仿宋_GB2312" w:hint="eastAsia"/>
          <w:sz w:val="26"/>
          <w:szCs w:val="26"/>
        </w:rPr>
        <w:t>年</w:t>
      </w:r>
      <w:r>
        <w:rPr>
          <w:rFonts w:eastAsia="仿宋_GB2312" w:hint="eastAsia"/>
          <w:sz w:val="26"/>
          <w:szCs w:val="26"/>
        </w:rPr>
        <w:t>1</w:t>
      </w:r>
      <w:r>
        <w:rPr>
          <w:rFonts w:eastAsia="仿宋_GB2312" w:hint="eastAsia"/>
          <w:sz w:val="26"/>
          <w:szCs w:val="26"/>
        </w:rPr>
        <w:t>月</w:t>
      </w:r>
      <w:r>
        <w:rPr>
          <w:rFonts w:eastAsia="仿宋_GB2312" w:hint="eastAsia"/>
          <w:sz w:val="26"/>
          <w:szCs w:val="26"/>
        </w:rPr>
        <w:t>1</w:t>
      </w:r>
      <w:r>
        <w:rPr>
          <w:rFonts w:eastAsia="仿宋_GB2312" w:hint="eastAsia"/>
          <w:sz w:val="26"/>
          <w:szCs w:val="26"/>
        </w:rPr>
        <w:t>日起实施）；</w:t>
      </w:r>
    </w:p>
    <w:p w14:paraId="4585EB73"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3</w:t>
      </w:r>
      <w:r>
        <w:rPr>
          <w:rFonts w:eastAsia="仿宋_GB2312" w:hint="eastAsia"/>
          <w:sz w:val="26"/>
          <w:szCs w:val="26"/>
        </w:rPr>
        <w:t>、全国人民代表大会常务委员会关于修改《中华人民共和国城市房地产管理法》的决定【主席令第</w:t>
      </w:r>
      <w:r>
        <w:rPr>
          <w:rFonts w:eastAsia="仿宋_GB2312" w:hint="eastAsia"/>
          <w:sz w:val="26"/>
          <w:szCs w:val="26"/>
        </w:rPr>
        <w:t>72</w:t>
      </w:r>
      <w:r>
        <w:rPr>
          <w:rFonts w:eastAsia="仿宋_GB2312" w:hint="eastAsia"/>
          <w:sz w:val="26"/>
          <w:szCs w:val="26"/>
        </w:rPr>
        <w:t>号】（中华人民共和国第十届全国人民代表大会常务委员会第二十九次会议于</w:t>
      </w:r>
      <w:r>
        <w:rPr>
          <w:rFonts w:eastAsia="仿宋_GB2312" w:hint="eastAsia"/>
          <w:sz w:val="26"/>
          <w:szCs w:val="26"/>
        </w:rPr>
        <w:t>2007</w:t>
      </w:r>
      <w:r>
        <w:rPr>
          <w:rFonts w:eastAsia="仿宋_GB2312" w:hint="eastAsia"/>
          <w:sz w:val="26"/>
          <w:szCs w:val="26"/>
        </w:rPr>
        <w:t>年</w:t>
      </w:r>
      <w:r>
        <w:rPr>
          <w:rFonts w:eastAsia="仿宋_GB2312" w:hint="eastAsia"/>
          <w:sz w:val="26"/>
          <w:szCs w:val="26"/>
        </w:rPr>
        <w:t>8</w:t>
      </w:r>
      <w:r>
        <w:rPr>
          <w:rFonts w:eastAsia="仿宋_GB2312" w:hint="eastAsia"/>
          <w:sz w:val="26"/>
          <w:szCs w:val="26"/>
        </w:rPr>
        <w:t>月</w:t>
      </w:r>
      <w:r>
        <w:rPr>
          <w:rFonts w:eastAsia="仿宋_GB2312" w:hint="eastAsia"/>
          <w:sz w:val="26"/>
          <w:szCs w:val="26"/>
        </w:rPr>
        <w:t>30</w:t>
      </w:r>
      <w:r>
        <w:rPr>
          <w:rFonts w:eastAsia="仿宋_GB2312" w:hint="eastAsia"/>
          <w:sz w:val="26"/>
          <w:szCs w:val="26"/>
        </w:rPr>
        <w:t>日通过并发布）；</w:t>
      </w:r>
    </w:p>
    <w:p w14:paraId="3DA67331"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4</w:t>
      </w:r>
      <w:r>
        <w:rPr>
          <w:rFonts w:eastAsia="仿宋_GB2312" w:hint="eastAsia"/>
          <w:sz w:val="26"/>
          <w:szCs w:val="26"/>
        </w:rPr>
        <w:t>、《中华人民共和国土地管理法》（根据</w:t>
      </w:r>
      <w:r>
        <w:rPr>
          <w:rFonts w:eastAsia="仿宋_GB2312" w:hint="eastAsia"/>
          <w:sz w:val="26"/>
          <w:szCs w:val="26"/>
        </w:rPr>
        <w:t>2004</w:t>
      </w:r>
      <w:r>
        <w:rPr>
          <w:rFonts w:eastAsia="仿宋_GB2312" w:hint="eastAsia"/>
          <w:sz w:val="26"/>
          <w:szCs w:val="26"/>
        </w:rPr>
        <w:t>年</w:t>
      </w:r>
      <w:r>
        <w:rPr>
          <w:rFonts w:eastAsia="仿宋_GB2312" w:hint="eastAsia"/>
          <w:sz w:val="26"/>
          <w:szCs w:val="26"/>
        </w:rPr>
        <w:t>8</w:t>
      </w:r>
      <w:r>
        <w:rPr>
          <w:rFonts w:eastAsia="仿宋_GB2312" w:hint="eastAsia"/>
          <w:sz w:val="26"/>
          <w:szCs w:val="26"/>
        </w:rPr>
        <w:t>月</w:t>
      </w:r>
      <w:r>
        <w:rPr>
          <w:rFonts w:eastAsia="仿宋_GB2312" w:hint="eastAsia"/>
          <w:sz w:val="26"/>
          <w:szCs w:val="26"/>
        </w:rPr>
        <w:t>28</w:t>
      </w:r>
      <w:r>
        <w:rPr>
          <w:rFonts w:eastAsia="仿宋_GB2312" w:hint="eastAsia"/>
          <w:sz w:val="26"/>
          <w:szCs w:val="26"/>
        </w:rPr>
        <w:t>日第十届全国人民代表大会常务委员会第十一次会议《关于修改‹中华人民共和国土地管理法›的决定第二次修正》）；</w:t>
      </w:r>
    </w:p>
    <w:p w14:paraId="359E0587"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5</w:t>
      </w:r>
      <w:r>
        <w:rPr>
          <w:rFonts w:eastAsia="仿宋_GB2312" w:hint="eastAsia"/>
          <w:sz w:val="26"/>
          <w:szCs w:val="26"/>
        </w:rPr>
        <w:t>、《最高人民法院关于人民法院确定财产处置参考价若干问题的规定</w:t>
      </w:r>
      <w:r>
        <w:rPr>
          <w:rFonts w:eastAsia="仿宋_GB2312" w:hint="eastAsia"/>
          <w:sz w:val="26"/>
          <w:szCs w:val="26"/>
        </w:rPr>
        <w:t xml:space="preserve"> </w:t>
      </w:r>
      <w:r>
        <w:rPr>
          <w:rFonts w:eastAsia="仿宋_GB2312" w:hint="eastAsia"/>
          <w:sz w:val="26"/>
          <w:szCs w:val="26"/>
        </w:rPr>
        <w:t>》（法释〔</w:t>
      </w:r>
      <w:r>
        <w:rPr>
          <w:rFonts w:eastAsia="仿宋_GB2312" w:hint="eastAsia"/>
          <w:sz w:val="26"/>
          <w:szCs w:val="26"/>
        </w:rPr>
        <w:t>2018</w:t>
      </w:r>
      <w:r>
        <w:rPr>
          <w:rFonts w:eastAsia="仿宋_GB2312" w:hint="eastAsia"/>
          <w:sz w:val="26"/>
          <w:szCs w:val="26"/>
        </w:rPr>
        <w:t>〕</w:t>
      </w:r>
      <w:r>
        <w:rPr>
          <w:rFonts w:eastAsia="仿宋_GB2312" w:hint="eastAsia"/>
          <w:sz w:val="26"/>
          <w:szCs w:val="26"/>
        </w:rPr>
        <w:t>15</w:t>
      </w:r>
      <w:r>
        <w:rPr>
          <w:rFonts w:eastAsia="仿宋_GB2312" w:hint="eastAsia"/>
          <w:sz w:val="26"/>
          <w:szCs w:val="26"/>
        </w:rPr>
        <w:t>号）；</w:t>
      </w:r>
    </w:p>
    <w:p w14:paraId="0A46E702"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6</w:t>
      </w:r>
      <w:r>
        <w:rPr>
          <w:rFonts w:eastAsia="仿宋_GB2312" w:hint="eastAsia"/>
          <w:sz w:val="26"/>
          <w:szCs w:val="26"/>
        </w:rPr>
        <w:t>、《人民法院委托评估工作规范》（法办</w:t>
      </w:r>
      <w:r>
        <w:rPr>
          <w:rFonts w:eastAsia="仿宋_GB2312" w:hint="eastAsia"/>
          <w:sz w:val="26"/>
          <w:szCs w:val="26"/>
        </w:rPr>
        <w:t>[</w:t>
      </w:r>
      <w:r>
        <w:rPr>
          <w:rFonts w:eastAsia="仿宋_GB2312"/>
          <w:sz w:val="26"/>
          <w:szCs w:val="26"/>
        </w:rPr>
        <w:t>2018]273</w:t>
      </w:r>
      <w:r>
        <w:rPr>
          <w:rFonts w:eastAsia="仿宋_GB2312" w:hint="eastAsia"/>
          <w:sz w:val="26"/>
          <w:szCs w:val="26"/>
        </w:rPr>
        <w:t>号）；</w:t>
      </w:r>
    </w:p>
    <w:p w14:paraId="5D18FED5" w14:textId="77777777" w:rsidR="00EF6A0E" w:rsidRDefault="00000000">
      <w:pPr>
        <w:spacing w:line="420" w:lineRule="exact"/>
        <w:ind w:firstLineChars="200" w:firstLine="520"/>
        <w:rPr>
          <w:rFonts w:eastAsia="仿宋_GB2312"/>
          <w:sz w:val="26"/>
          <w:szCs w:val="26"/>
        </w:rPr>
      </w:pPr>
      <w:r>
        <w:rPr>
          <w:rFonts w:eastAsia="仿宋_GB2312" w:hint="eastAsia"/>
          <w:sz w:val="26"/>
          <w:szCs w:val="26"/>
        </w:rPr>
        <w:t>7</w:t>
      </w:r>
      <w:r>
        <w:rPr>
          <w:rFonts w:eastAsia="仿宋_GB2312" w:hint="eastAsia"/>
          <w:sz w:val="26"/>
          <w:szCs w:val="26"/>
        </w:rPr>
        <w:t>、法释〔</w:t>
      </w:r>
      <w:r>
        <w:rPr>
          <w:rFonts w:eastAsia="仿宋_GB2312" w:hint="eastAsia"/>
          <w:sz w:val="26"/>
          <w:szCs w:val="26"/>
        </w:rPr>
        <w:t>2004</w:t>
      </w:r>
      <w:r>
        <w:rPr>
          <w:rFonts w:eastAsia="仿宋_GB2312" w:hint="eastAsia"/>
          <w:sz w:val="26"/>
          <w:szCs w:val="26"/>
        </w:rPr>
        <w:t>〕</w:t>
      </w:r>
      <w:r>
        <w:rPr>
          <w:rFonts w:eastAsia="仿宋_GB2312" w:hint="eastAsia"/>
          <w:sz w:val="26"/>
          <w:szCs w:val="26"/>
        </w:rPr>
        <w:t>16</w:t>
      </w:r>
      <w:r>
        <w:rPr>
          <w:rFonts w:eastAsia="仿宋_GB2312" w:hint="eastAsia"/>
          <w:sz w:val="26"/>
          <w:szCs w:val="26"/>
        </w:rPr>
        <w:t>号《最高人民法院关于人民法院民事执行中拍卖、变卖财产的规定》（于</w:t>
      </w:r>
      <w:r>
        <w:rPr>
          <w:rFonts w:eastAsia="仿宋_GB2312" w:hint="eastAsia"/>
          <w:sz w:val="26"/>
          <w:szCs w:val="26"/>
        </w:rPr>
        <w:t>2004</w:t>
      </w:r>
      <w:r>
        <w:rPr>
          <w:rFonts w:eastAsia="仿宋_GB2312" w:hint="eastAsia"/>
          <w:sz w:val="26"/>
          <w:szCs w:val="26"/>
        </w:rPr>
        <w:t>年</w:t>
      </w:r>
      <w:r>
        <w:rPr>
          <w:rFonts w:eastAsia="仿宋_GB2312" w:hint="eastAsia"/>
          <w:sz w:val="26"/>
          <w:szCs w:val="26"/>
        </w:rPr>
        <w:t>10</w:t>
      </w:r>
      <w:r>
        <w:rPr>
          <w:rFonts w:eastAsia="仿宋_GB2312" w:hint="eastAsia"/>
          <w:sz w:val="26"/>
          <w:szCs w:val="26"/>
        </w:rPr>
        <w:t>月</w:t>
      </w:r>
      <w:r>
        <w:rPr>
          <w:rFonts w:eastAsia="仿宋_GB2312" w:hint="eastAsia"/>
          <w:sz w:val="26"/>
          <w:szCs w:val="26"/>
        </w:rPr>
        <w:t>26</w:t>
      </w:r>
      <w:r>
        <w:rPr>
          <w:rFonts w:eastAsia="仿宋_GB2312" w:hint="eastAsia"/>
          <w:sz w:val="26"/>
          <w:szCs w:val="26"/>
        </w:rPr>
        <w:t>日由最高人民法院审判委员会第</w:t>
      </w:r>
      <w:r>
        <w:rPr>
          <w:rFonts w:eastAsia="仿宋_GB2312" w:hint="eastAsia"/>
          <w:sz w:val="26"/>
          <w:szCs w:val="26"/>
        </w:rPr>
        <w:t>1330</w:t>
      </w:r>
      <w:r>
        <w:rPr>
          <w:rFonts w:eastAsia="仿宋_GB2312" w:hint="eastAsia"/>
          <w:sz w:val="26"/>
          <w:szCs w:val="26"/>
        </w:rPr>
        <w:t>次会议通过，自</w:t>
      </w:r>
      <w:r>
        <w:rPr>
          <w:rFonts w:eastAsia="仿宋_GB2312" w:hint="eastAsia"/>
          <w:sz w:val="26"/>
          <w:szCs w:val="26"/>
        </w:rPr>
        <w:t>2005</w:t>
      </w:r>
      <w:r>
        <w:rPr>
          <w:rFonts w:eastAsia="仿宋_GB2312" w:hint="eastAsia"/>
          <w:sz w:val="26"/>
          <w:szCs w:val="26"/>
        </w:rPr>
        <w:t>年</w:t>
      </w:r>
      <w:r>
        <w:rPr>
          <w:rFonts w:eastAsia="仿宋_GB2312" w:hint="eastAsia"/>
          <w:sz w:val="26"/>
          <w:szCs w:val="26"/>
        </w:rPr>
        <w:t>1</w:t>
      </w:r>
      <w:r>
        <w:rPr>
          <w:rFonts w:eastAsia="仿宋_GB2312" w:hint="eastAsia"/>
          <w:sz w:val="26"/>
          <w:szCs w:val="26"/>
        </w:rPr>
        <w:t>月</w:t>
      </w:r>
      <w:r>
        <w:rPr>
          <w:rFonts w:eastAsia="仿宋_GB2312" w:hint="eastAsia"/>
          <w:sz w:val="26"/>
          <w:szCs w:val="26"/>
        </w:rPr>
        <w:t>1</w:t>
      </w:r>
      <w:r>
        <w:rPr>
          <w:rFonts w:eastAsia="仿宋_GB2312" w:hint="eastAsia"/>
          <w:sz w:val="26"/>
          <w:szCs w:val="26"/>
        </w:rPr>
        <w:t>日起施行）；</w:t>
      </w:r>
    </w:p>
    <w:p w14:paraId="22F519AE" w14:textId="77777777" w:rsidR="00EF6A0E" w:rsidRDefault="00000000">
      <w:pPr>
        <w:spacing w:line="420" w:lineRule="exact"/>
        <w:ind w:firstLineChars="200" w:firstLine="520"/>
        <w:rPr>
          <w:rFonts w:eastAsia="仿宋_GB2312"/>
          <w:sz w:val="26"/>
          <w:szCs w:val="26"/>
        </w:rPr>
      </w:pPr>
      <w:r>
        <w:rPr>
          <w:rFonts w:eastAsia="仿宋_GB2312" w:hint="eastAsia"/>
          <w:sz w:val="26"/>
          <w:szCs w:val="26"/>
        </w:rPr>
        <w:t>8</w:t>
      </w:r>
      <w:r>
        <w:rPr>
          <w:rFonts w:eastAsia="仿宋_GB2312" w:hint="eastAsia"/>
          <w:sz w:val="26"/>
          <w:szCs w:val="26"/>
        </w:rPr>
        <w:t>、法办发〔</w:t>
      </w:r>
      <w:r>
        <w:rPr>
          <w:rFonts w:eastAsia="仿宋_GB2312" w:hint="eastAsia"/>
          <w:sz w:val="26"/>
          <w:szCs w:val="26"/>
        </w:rPr>
        <w:t>2007</w:t>
      </w:r>
      <w:r>
        <w:rPr>
          <w:rFonts w:eastAsia="仿宋_GB2312" w:hint="eastAsia"/>
          <w:sz w:val="26"/>
          <w:szCs w:val="26"/>
        </w:rPr>
        <w:t>〕</w:t>
      </w:r>
      <w:r>
        <w:rPr>
          <w:rFonts w:eastAsia="仿宋_GB2312" w:hint="eastAsia"/>
          <w:sz w:val="26"/>
          <w:szCs w:val="26"/>
        </w:rPr>
        <w:t>5</w:t>
      </w:r>
      <w:r>
        <w:rPr>
          <w:rFonts w:eastAsia="仿宋_GB2312" w:hint="eastAsia"/>
          <w:sz w:val="26"/>
          <w:szCs w:val="26"/>
        </w:rPr>
        <w:t>号《最高人民法院对外委托鉴定、评估、拍卖等工作管理规定》（</w:t>
      </w:r>
      <w:r>
        <w:rPr>
          <w:rFonts w:eastAsia="仿宋_GB2312" w:hint="eastAsia"/>
          <w:sz w:val="26"/>
          <w:szCs w:val="26"/>
        </w:rPr>
        <w:t>2007</w:t>
      </w:r>
      <w:r>
        <w:rPr>
          <w:rFonts w:eastAsia="仿宋_GB2312" w:hint="eastAsia"/>
          <w:sz w:val="26"/>
          <w:szCs w:val="26"/>
        </w:rPr>
        <w:t>年</w:t>
      </w:r>
      <w:r>
        <w:rPr>
          <w:rFonts w:eastAsia="仿宋_GB2312" w:hint="eastAsia"/>
          <w:sz w:val="26"/>
          <w:szCs w:val="26"/>
        </w:rPr>
        <w:t>8</w:t>
      </w:r>
      <w:r>
        <w:rPr>
          <w:rFonts w:eastAsia="仿宋_GB2312" w:hint="eastAsia"/>
          <w:sz w:val="26"/>
          <w:szCs w:val="26"/>
        </w:rPr>
        <w:t>月</w:t>
      </w:r>
      <w:r>
        <w:rPr>
          <w:rFonts w:eastAsia="仿宋_GB2312" w:hint="eastAsia"/>
          <w:sz w:val="26"/>
          <w:szCs w:val="26"/>
        </w:rPr>
        <w:t>23</w:t>
      </w:r>
      <w:r>
        <w:rPr>
          <w:rFonts w:eastAsia="仿宋_GB2312" w:hint="eastAsia"/>
          <w:sz w:val="26"/>
          <w:szCs w:val="26"/>
        </w:rPr>
        <w:t>日公布，自</w:t>
      </w:r>
      <w:r>
        <w:rPr>
          <w:rFonts w:eastAsia="仿宋_GB2312" w:hint="eastAsia"/>
          <w:sz w:val="26"/>
          <w:szCs w:val="26"/>
        </w:rPr>
        <w:t>2007</w:t>
      </w:r>
      <w:r>
        <w:rPr>
          <w:rFonts w:eastAsia="仿宋_GB2312" w:hint="eastAsia"/>
          <w:sz w:val="26"/>
          <w:szCs w:val="26"/>
        </w:rPr>
        <w:t>年</w:t>
      </w:r>
      <w:r>
        <w:rPr>
          <w:rFonts w:eastAsia="仿宋_GB2312" w:hint="eastAsia"/>
          <w:sz w:val="26"/>
          <w:szCs w:val="26"/>
        </w:rPr>
        <w:t>9</w:t>
      </w:r>
      <w:r>
        <w:rPr>
          <w:rFonts w:eastAsia="仿宋_GB2312" w:hint="eastAsia"/>
          <w:sz w:val="26"/>
          <w:szCs w:val="26"/>
        </w:rPr>
        <w:t>月</w:t>
      </w:r>
      <w:r>
        <w:rPr>
          <w:rFonts w:eastAsia="仿宋_GB2312" w:hint="eastAsia"/>
          <w:sz w:val="26"/>
          <w:szCs w:val="26"/>
        </w:rPr>
        <w:t>1</w:t>
      </w:r>
      <w:r>
        <w:rPr>
          <w:rFonts w:eastAsia="仿宋_GB2312" w:hint="eastAsia"/>
          <w:sz w:val="26"/>
          <w:szCs w:val="26"/>
        </w:rPr>
        <w:t>日起施行）；</w:t>
      </w:r>
    </w:p>
    <w:p w14:paraId="2FE6FC0F"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9</w:t>
      </w:r>
      <w:r>
        <w:rPr>
          <w:rFonts w:eastAsia="仿宋_GB2312" w:hint="eastAsia"/>
          <w:sz w:val="26"/>
          <w:szCs w:val="26"/>
        </w:rPr>
        <w:t>、法释〔</w:t>
      </w:r>
      <w:r>
        <w:rPr>
          <w:rFonts w:eastAsia="仿宋_GB2312" w:hint="eastAsia"/>
          <w:sz w:val="26"/>
          <w:szCs w:val="26"/>
        </w:rPr>
        <w:t>2009</w:t>
      </w:r>
      <w:r>
        <w:rPr>
          <w:rFonts w:eastAsia="仿宋_GB2312" w:hint="eastAsia"/>
          <w:sz w:val="26"/>
          <w:szCs w:val="26"/>
        </w:rPr>
        <w:t>〕</w:t>
      </w:r>
      <w:r>
        <w:rPr>
          <w:rFonts w:eastAsia="仿宋_GB2312" w:hint="eastAsia"/>
          <w:sz w:val="26"/>
          <w:szCs w:val="26"/>
        </w:rPr>
        <w:t>16</w:t>
      </w:r>
      <w:r>
        <w:rPr>
          <w:rFonts w:eastAsia="仿宋_GB2312" w:hint="eastAsia"/>
          <w:sz w:val="26"/>
          <w:szCs w:val="26"/>
        </w:rPr>
        <w:t>号《最高人民法院关于人民法院委托评估、拍卖和变卖工作的若干规定》（于</w:t>
      </w:r>
      <w:r>
        <w:rPr>
          <w:rFonts w:eastAsia="仿宋_GB2312" w:hint="eastAsia"/>
          <w:sz w:val="26"/>
          <w:szCs w:val="26"/>
        </w:rPr>
        <w:t>2009</w:t>
      </w:r>
      <w:r>
        <w:rPr>
          <w:rFonts w:eastAsia="仿宋_GB2312" w:hint="eastAsia"/>
          <w:sz w:val="26"/>
          <w:szCs w:val="26"/>
        </w:rPr>
        <w:t>年</w:t>
      </w:r>
      <w:r>
        <w:rPr>
          <w:rFonts w:eastAsia="仿宋_GB2312" w:hint="eastAsia"/>
          <w:sz w:val="26"/>
          <w:szCs w:val="26"/>
        </w:rPr>
        <w:t>8</w:t>
      </w:r>
      <w:r>
        <w:rPr>
          <w:rFonts w:eastAsia="仿宋_GB2312" w:hint="eastAsia"/>
          <w:sz w:val="26"/>
          <w:szCs w:val="26"/>
        </w:rPr>
        <w:t>月</w:t>
      </w:r>
      <w:r>
        <w:rPr>
          <w:rFonts w:eastAsia="仿宋_GB2312" w:hint="eastAsia"/>
          <w:sz w:val="26"/>
          <w:szCs w:val="26"/>
        </w:rPr>
        <w:t>24</w:t>
      </w:r>
      <w:r>
        <w:rPr>
          <w:rFonts w:eastAsia="仿宋_GB2312" w:hint="eastAsia"/>
          <w:sz w:val="26"/>
          <w:szCs w:val="26"/>
        </w:rPr>
        <w:t>日由最高人民法院审判委员会第</w:t>
      </w:r>
      <w:r>
        <w:rPr>
          <w:rFonts w:eastAsia="仿宋_GB2312" w:hint="eastAsia"/>
          <w:sz w:val="26"/>
          <w:szCs w:val="26"/>
        </w:rPr>
        <w:t>1472</w:t>
      </w:r>
      <w:r>
        <w:rPr>
          <w:rFonts w:eastAsia="仿宋_GB2312" w:hint="eastAsia"/>
          <w:sz w:val="26"/>
          <w:szCs w:val="26"/>
        </w:rPr>
        <w:t>次会议通过，自</w:t>
      </w:r>
      <w:r>
        <w:rPr>
          <w:rFonts w:eastAsia="仿宋_GB2312" w:hint="eastAsia"/>
          <w:sz w:val="26"/>
          <w:szCs w:val="26"/>
        </w:rPr>
        <w:t>2009</w:t>
      </w:r>
      <w:r>
        <w:rPr>
          <w:rFonts w:eastAsia="仿宋_GB2312" w:hint="eastAsia"/>
          <w:sz w:val="26"/>
          <w:szCs w:val="26"/>
        </w:rPr>
        <w:t>年</w:t>
      </w:r>
      <w:r>
        <w:rPr>
          <w:rFonts w:eastAsia="仿宋_GB2312" w:hint="eastAsia"/>
          <w:sz w:val="26"/>
          <w:szCs w:val="26"/>
        </w:rPr>
        <w:t>11</w:t>
      </w:r>
      <w:r>
        <w:rPr>
          <w:rFonts w:eastAsia="仿宋_GB2312" w:hint="eastAsia"/>
          <w:sz w:val="26"/>
          <w:szCs w:val="26"/>
        </w:rPr>
        <w:t>月</w:t>
      </w:r>
      <w:r>
        <w:rPr>
          <w:rFonts w:eastAsia="仿宋_GB2312" w:hint="eastAsia"/>
          <w:sz w:val="26"/>
          <w:szCs w:val="26"/>
        </w:rPr>
        <w:t>20</w:t>
      </w:r>
      <w:r>
        <w:rPr>
          <w:rFonts w:eastAsia="仿宋_GB2312" w:hint="eastAsia"/>
          <w:sz w:val="26"/>
          <w:szCs w:val="26"/>
        </w:rPr>
        <w:t>日起施行）；</w:t>
      </w:r>
    </w:p>
    <w:p w14:paraId="4B6088BD"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10</w:t>
      </w:r>
      <w:r>
        <w:rPr>
          <w:rFonts w:eastAsia="仿宋_GB2312" w:hint="eastAsia"/>
          <w:sz w:val="26"/>
          <w:szCs w:val="26"/>
        </w:rPr>
        <w:t>、《中华人民共和国增值税暂行条例》（</w:t>
      </w:r>
      <w:r>
        <w:rPr>
          <w:rFonts w:eastAsia="仿宋_GB2312" w:hint="eastAsia"/>
          <w:sz w:val="26"/>
          <w:szCs w:val="26"/>
        </w:rPr>
        <w:t>2017</w:t>
      </w:r>
      <w:r>
        <w:rPr>
          <w:rFonts w:eastAsia="仿宋_GB2312" w:hint="eastAsia"/>
          <w:sz w:val="26"/>
          <w:szCs w:val="26"/>
        </w:rPr>
        <w:t>年</w:t>
      </w:r>
      <w:r>
        <w:rPr>
          <w:rFonts w:eastAsia="仿宋_GB2312" w:hint="eastAsia"/>
          <w:sz w:val="26"/>
          <w:szCs w:val="26"/>
        </w:rPr>
        <w:t>11</w:t>
      </w:r>
      <w:r>
        <w:rPr>
          <w:rFonts w:eastAsia="仿宋_GB2312" w:hint="eastAsia"/>
          <w:sz w:val="26"/>
          <w:szCs w:val="26"/>
        </w:rPr>
        <w:t>月</w:t>
      </w:r>
      <w:r>
        <w:rPr>
          <w:rFonts w:eastAsia="仿宋_GB2312" w:hint="eastAsia"/>
          <w:sz w:val="26"/>
          <w:szCs w:val="26"/>
        </w:rPr>
        <w:t>19</w:t>
      </w:r>
      <w:r>
        <w:rPr>
          <w:rFonts w:eastAsia="仿宋_GB2312" w:hint="eastAsia"/>
          <w:sz w:val="26"/>
          <w:szCs w:val="26"/>
        </w:rPr>
        <w:t>日公布）；</w:t>
      </w:r>
    </w:p>
    <w:p w14:paraId="516AAAD4" w14:textId="77777777" w:rsidR="00EF6A0E" w:rsidRDefault="00000000">
      <w:pPr>
        <w:pStyle w:val="a9"/>
        <w:spacing w:line="440" w:lineRule="exact"/>
        <w:ind w:left="0" w:firstLineChars="200" w:firstLine="520"/>
        <w:rPr>
          <w:rFonts w:eastAsia="仿宋_GB2312"/>
          <w:sz w:val="26"/>
          <w:szCs w:val="26"/>
        </w:rPr>
      </w:pPr>
      <w:r>
        <w:rPr>
          <w:rFonts w:eastAsia="仿宋_GB2312" w:hint="eastAsia"/>
          <w:sz w:val="26"/>
          <w:szCs w:val="26"/>
        </w:rPr>
        <w:t>11</w:t>
      </w:r>
      <w:r>
        <w:rPr>
          <w:rFonts w:eastAsia="仿宋_GB2312" w:hint="eastAsia"/>
          <w:sz w:val="26"/>
          <w:szCs w:val="26"/>
        </w:rPr>
        <w:t>、国务院、建设部、贵州省人民政府及有关部门颁布的有关政策、法规文件。</w:t>
      </w:r>
    </w:p>
    <w:p w14:paraId="04285DA3" w14:textId="77777777" w:rsidR="00EF6A0E" w:rsidRDefault="00000000">
      <w:pPr>
        <w:pStyle w:val="a9"/>
        <w:spacing w:line="440" w:lineRule="exact"/>
        <w:ind w:left="0" w:firstLineChars="200" w:firstLine="520"/>
        <w:rPr>
          <w:rFonts w:eastAsia="仿宋_GB2312"/>
          <w:sz w:val="26"/>
          <w:szCs w:val="26"/>
        </w:rPr>
      </w:pPr>
      <w:r>
        <w:rPr>
          <w:rFonts w:eastAsia="仿宋_GB2312" w:hint="eastAsia"/>
          <w:sz w:val="26"/>
          <w:szCs w:val="26"/>
        </w:rPr>
        <w:t>（二）本次估价采用的技术规程</w:t>
      </w:r>
    </w:p>
    <w:p w14:paraId="1B9CE8CB" w14:textId="77777777" w:rsidR="00EF6A0E" w:rsidRDefault="00000000">
      <w:pPr>
        <w:pStyle w:val="a9"/>
        <w:spacing w:line="440" w:lineRule="exact"/>
        <w:ind w:left="0" w:firstLineChars="200" w:firstLine="520"/>
        <w:rPr>
          <w:rFonts w:eastAsia="仿宋_GB2312"/>
          <w:sz w:val="26"/>
          <w:szCs w:val="26"/>
        </w:rPr>
      </w:pPr>
      <w:r>
        <w:rPr>
          <w:rFonts w:eastAsia="仿宋_GB2312" w:hint="eastAsia"/>
          <w:sz w:val="26"/>
          <w:szCs w:val="26"/>
        </w:rPr>
        <w:t>1</w:t>
      </w:r>
      <w:r>
        <w:rPr>
          <w:rFonts w:eastAsia="仿宋_GB2312" w:hint="eastAsia"/>
          <w:sz w:val="26"/>
          <w:szCs w:val="26"/>
        </w:rPr>
        <w:t>、中华人民共和国国家标准《房地产估价规范》（</w:t>
      </w:r>
      <w:r>
        <w:rPr>
          <w:rFonts w:eastAsia="仿宋_GB2312" w:hint="eastAsia"/>
          <w:sz w:val="26"/>
          <w:szCs w:val="26"/>
        </w:rPr>
        <w:t>GB/T50291-2015</w:t>
      </w:r>
      <w:r>
        <w:rPr>
          <w:rFonts w:eastAsia="仿宋_GB2312" w:hint="eastAsia"/>
          <w:sz w:val="26"/>
          <w:szCs w:val="26"/>
        </w:rPr>
        <w:t>）；</w:t>
      </w:r>
    </w:p>
    <w:p w14:paraId="6D9B7E86" w14:textId="77777777" w:rsidR="00EF6A0E" w:rsidRDefault="00000000">
      <w:pPr>
        <w:pStyle w:val="a9"/>
        <w:spacing w:line="440" w:lineRule="exact"/>
        <w:ind w:left="0" w:firstLineChars="200" w:firstLine="520"/>
        <w:rPr>
          <w:rFonts w:eastAsia="仿宋_GB2312"/>
          <w:sz w:val="26"/>
          <w:szCs w:val="26"/>
        </w:rPr>
      </w:pPr>
      <w:r>
        <w:rPr>
          <w:rFonts w:eastAsia="仿宋_GB2312" w:hint="eastAsia"/>
          <w:sz w:val="26"/>
          <w:szCs w:val="26"/>
        </w:rPr>
        <w:t>2</w:t>
      </w:r>
      <w:r>
        <w:rPr>
          <w:rFonts w:eastAsia="仿宋_GB2312" w:hint="eastAsia"/>
          <w:sz w:val="26"/>
          <w:szCs w:val="26"/>
        </w:rPr>
        <w:t>、《房地产估价基本术语标准》</w:t>
      </w:r>
      <w:r>
        <w:rPr>
          <w:rFonts w:eastAsia="仿宋_GB2312" w:hint="eastAsia"/>
          <w:sz w:val="26"/>
          <w:szCs w:val="26"/>
        </w:rPr>
        <w:t>(GB/T50899-2013)</w:t>
      </w:r>
      <w:r>
        <w:rPr>
          <w:rFonts w:eastAsia="仿宋_GB2312" w:hint="eastAsia"/>
          <w:sz w:val="26"/>
          <w:szCs w:val="26"/>
        </w:rPr>
        <w:t>；</w:t>
      </w:r>
    </w:p>
    <w:p w14:paraId="0151BF2A"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（三）估价委托人提供的有关资料</w:t>
      </w:r>
    </w:p>
    <w:p w14:paraId="381F51B3" w14:textId="66B639BB"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1</w:t>
      </w:r>
      <w:r>
        <w:rPr>
          <w:rFonts w:eastAsia="仿宋_GB2312" w:hint="eastAsia"/>
          <w:sz w:val="26"/>
          <w:szCs w:val="26"/>
        </w:rPr>
        <w:t>、《</w:t>
      </w:r>
      <w:r w:rsidR="00A10557">
        <w:rPr>
          <w:rFonts w:eastAsia="仿宋_GB2312" w:hint="eastAsia"/>
          <w:sz w:val="26"/>
          <w:szCs w:val="26"/>
        </w:rPr>
        <w:t>兴仁市人民法院</w:t>
      </w:r>
      <w:r>
        <w:rPr>
          <w:rFonts w:eastAsia="仿宋_GB2312" w:hint="eastAsia"/>
          <w:sz w:val="26"/>
          <w:szCs w:val="26"/>
        </w:rPr>
        <w:t>委托书》；</w:t>
      </w:r>
    </w:p>
    <w:p w14:paraId="248E16A6"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2</w:t>
      </w:r>
      <w:r>
        <w:rPr>
          <w:rFonts w:eastAsia="仿宋_GB2312" w:hint="eastAsia"/>
          <w:sz w:val="26"/>
          <w:szCs w:val="26"/>
        </w:rPr>
        <w:t>、《贵州省不动产登记查询结果》（复印件）；</w:t>
      </w:r>
    </w:p>
    <w:p w14:paraId="7A079C58"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（四）估价机构和估价人员所搜集掌握的有关资料</w:t>
      </w:r>
    </w:p>
    <w:p w14:paraId="1105C519" w14:textId="77777777" w:rsidR="00EF6A0E" w:rsidRDefault="00000000">
      <w:pPr>
        <w:pStyle w:val="a9"/>
        <w:spacing w:line="420" w:lineRule="exact"/>
        <w:ind w:left="0" w:firstLineChars="200" w:firstLine="520"/>
        <w:rPr>
          <w:rFonts w:eastAsia="仿宋_GB2312"/>
          <w:sz w:val="26"/>
          <w:szCs w:val="26"/>
        </w:rPr>
      </w:pPr>
      <w:r>
        <w:rPr>
          <w:rFonts w:eastAsia="仿宋_GB2312" w:hint="eastAsia"/>
          <w:sz w:val="26"/>
          <w:szCs w:val="26"/>
        </w:rPr>
        <w:t>1</w:t>
      </w:r>
      <w:r>
        <w:rPr>
          <w:rFonts w:eastAsia="仿宋_GB2312" w:hint="eastAsia"/>
          <w:sz w:val="26"/>
          <w:szCs w:val="26"/>
        </w:rPr>
        <w:t>、现场调查资料；</w:t>
      </w:r>
    </w:p>
    <w:p w14:paraId="2566FD91"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sz w:val="26"/>
          <w:szCs w:val="26"/>
        </w:rPr>
        <w:t>2</w:t>
      </w:r>
      <w:r>
        <w:rPr>
          <w:rFonts w:eastAsia="仿宋_GB2312" w:hint="eastAsia"/>
          <w:sz w:val="26"/>
          <w:szCs w:val="26"/>
        </w:rPr>
        <w:t>、当地房地产市场行情；</w:t>
      </w:r>
    </w:p>
    <w:p w14:paraId="7B1A60F7" w14:textId="77777777" w:rsidR="00EF6A0E" w:rsidRDefault="00000000">
      <w:pPr>
        <w:pStyle w:val="2"/>
        <w:spacing w:beforeLines="50" w:before="156" w:afterLines="50" w:after="156" w:line="420" w:lineRule="exact"/>
        <w:ind w:firstLineChars="200" w:firstLine="643"/>
        <w:rPr>
          <w:rFonts w:ascii="仿宋" w:eastAsia="仿宋" w:hAnsi="仿宋" w:cs="仿宋"/>
          <w:kern w:val="0"/>
        </w:rPr>
      </w:pPr>
      <w:bookmarkStart w:id="37" w:name="_Toc522795051"/>
      <w:bookmarkStart w:id="38" w:name="_Toc4068"/>
      <w:r>
        <w:rPr>
          <w:rFonts w:ascii="仿宋" w:eastAsia="仿宋" w:hAnsi="仿宋" w:cs="仿宋" w:hint="eastAsia"/>
          <w:kern w:val="0"/>
        </w:rPr>
        <w:t>九、估价方法</w:t>
      </w:r>
      <w:bookmarkEnd w:id="36"/>
      <w:bookmarkEnd w:id="37"/>
      <w:bookmarkEnd w:id="38"/>
    </w:p>
    <w:p w14:paraId="3E06D3E6" w14:textId="77777777" w:rsidR="00EF6A0E" w:rsidRDefault="00000000">
      <w:pPr>
        <w:adjustRightInd w:val="0"/>
        <w:snapToGrid w:val="0"/>
        <w:spacing w:line="420" w:lineRule="exact"/>
        <w:ind w:firstLineChars="200" w:firstLine="520"/>
        <w:rPr>
          <w:rFonts w:eastAsia="仿宋_GB2312"/>
          <w:sz w:val="26"/>
          <w:szCs w:val="26"/>
        </w:rPr>
      </w:pPr>
      <w:bookmarkStart w:id="39" w:name="_Toc522795052"/>
      <w:r>
        <w:rPr>
          <w:rFonts w:eastAsia="仿宋_GB2312" w:hint="eastAsia"/>
          <w:sz w:val="26"/>
          <w:szCs w:val="26"/>
        </w:rPr>
        <w:t>(</w:t>
      </w:r>
      <w:r>
        <w:rPr>
          <w:rFonts w:eastAsia="仿宋_GB2312" w:hint="eastAsia"/>
          <w:sz w:val="26"/>
          <w:szCs w:val="26"/>
        </w:rPr>
        <w:t>一</w:t>
      </w:r>
      <w:r>
        <w:rPr>
          <w:rFonts w:eastAsia="仿宋_GB2312" w:hint="eastAsia"/>
          <w:sz w:val="26"/>
          <w:szCs w:val="26"/>
        </w:rPr>
        <w:t>)</w:t>
      </w:r>
      <w:r>
        <w:rPr>
          <w:rFonts w:eastAsia="仿宋_GB2312" w:hint="eastAsia"/>
          <w:sz w:val="26"/>
          <w:szCs w:val="26"/>
        </w:rPr>
        <w:t>估价方法适用性分析</w:t>
      </w:r>
    </w:p>
    <w:p w14:paraId="26FBF540"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lastRenderedPageBreak/>
        <w:t>根据《房地产估价规范》，选用估价方法时，应根据估价对象及其所在的房地产市场状况等客观条件，对比较法、收益法、成本法、假设开发法等估价方法进行适用性分析。</w:t>
      </w:r>
    </w:p>
    <w:p w14:paraId="2AFC51CC"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比较法适用于房地产市场成熟，近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p w14:paraId="2CDAC5C5"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（二）估价方法的选择</w:t>
      </w:r>
    </w:p>
    <w:p w14:paraId="5FE1D50E"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14:paraId="75B766A7"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1</w:t>
      </w:r>
      <w:r>
        <w:rPr>
          <w:rFonts w:eastAsia="仿宋_GB2312" w:hint="eastAsia"/>
          <w:sz w:val="26"/>
          <w:szCs w:val="26"/>
        </w:rPr>
        <w:t>、理论上不适用的估价方法：估价对象为住宅用途房地产，根据房地产估价规范理论上不适合采用假设开发法，因为现状为正在使用且短期内重新开发或改扩建增加价值的可能性不大，故不适合采用假设开发法进行评估；</w:t>
      </w:r>
    </w:p>
    <w:p w14:paraId="17EA1C71"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2</w:t>
      </w:r>
      <w:r>
        <w:rPr>
          <w:rFonts w:eastAsia="仿宋_GB2312" w:hint="eastAsia"/>
          <w:sz w:val="26"/>
          <w:szCs w:val="26"/>
        </w:rPr>
        <w:t>、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14:paraId="0B51D3A0" w14:textId="5A2AC07F" w:rsidR="00EF6A0E" w:rsidRDefault="00000000">
      <w:pPr>
        <w:adjustRightInd w:val="0"/>
        <w:snapToGrid w:val="0"/>
        <w:spacing w:line="420" w:lineRule="exact"/>
        <w:ind w:firstLineChars="200" w:firstLine="520"/>
        <w:rPr>
          <w:rFonts w:eastAsia="仿宋_GB2312"/>
          <w:color w:val="0000FF"/>
          <w:sz w:val="26"/>
          <w:szCs w:val="26"/>
        </w:rPr>
      </w:pPr>
      <w:bookmarkStart w:id="40" w:name="_Hlk108529024"/>
      <w:r>
        <w:rPr>
          <w:rFonts w:eastAsia="仿宋_GB2312" w:hint="eastAsia"/>
          <w:color w:val="000000"/>
          <w:sz w:val="26"/>
          <w:szCs w:val="26"/>
        </w:rPr>
        <w:t>3</w:t>
      </w:r>
      <w:r>
        <w:rPr>
          <w:rFonts w:eastAsia="仿宋_GB2312" w:hint="eastAsia"/>
          <w:color w:val="000000"/>
          <w:sz w:val="26"/>
          <w:szCs w:val="26"/>
        </w:rPr>
        <w:t>、理论上适用，但客观条件不具备的估价方法：估价对象为住宅用途房地产，虽然可以出租取得收益，但周边类似物业租金案例较少，住宅租金交易不活</w:t>
      </w:r>
      <w:r w:rsidR="00D7263D">
        <w:rPr>
          <w:rFonts w:eastAsia="仿宋_GB2312" w:hint="eastAsia"/>
          <w:color w:val="000000"/>
          <w:sz w:val="26"/>
          <w:szCs w:val="26"/>
        </w:rPr>
        <w:t>跃</w:t>
      </w:r>
      <w:r>
        <w:rPr>
          <w:rFonts w:eastAsia="仿宋_GB2312" w:hint="eastAsia"/>
          <w:color w:val="000000"/>
          <w:sz w:val="26"/>
          <w:szCs w:val="26"/>
        </w:rPr>
        <w:t>，因此未能选用收益法进行评估；</w:t>
      </w:r>
    </w:p>
    <w:bookmarkEnd w:id="40"/>
    <w:p w14:paraId="5D3059EB"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4</w:t>
      </w:r>
      <w:r>
        <w:rPr>
          <w:rFonts w:eastAsia="仿宋_GB2312" w:hint="eastAsia"/>
          <w:color w:val="000000"/>
          <w:sz w:val="26"/>
          <w:szCs w:val="26"/>
        </w:rPr>
        <w:t>、适用的估价方法：市场比较法适用于区域内同类房地产市场交易案例较多，交易较为频繁的估价方法，近期与估价对象同区域、同类的房地产市场交易案例较多、且容易收集，交易市场活跃，比较法是比较合适的方法。</w:t>
      </w:r>
    </w:p>
    <w:p w14:paraId="22F68070"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color w:val="000000"/>
          <w:sz w:val="26"/>
          <w:szCs w:val="26"/>
        </w:rPr>
        <w:t>综上所述，估价人员在认真分析所掌握的资料并对邻近类似房地产进行实地查看调查后，根据估价对象的特点及本次估价目的，遵照国家有关法律、法规、估价技术标准，对估价对象采用比较法进行评估。</w:t>
      </w:r>
    </w:p>
    <w:p w14:paraId="65AA0A06" w14:textId="77777777" w:rsidR="00EF6A0E" w:rsidRDefault="00000000">
      <w:pPr>
        <w:adjustRightInd w:val="0"/>
        <w:snapToGrid w:val="0"/>
        <w:spacing w:line="420" w:lineRule="exact"/>
        <w:ind w:firstLineChars="200" w:firstLine="520"/>
        <w:rPr>
          <w:rFonts w:eastAsia="仿宋_GB2312"/>
          <w:sz w:val="26"/>
          <w:szCs w:val="26"/>
        </w:rPr>
      </w:pPr>
      <w:r>
        <w:rPr>
          <w:rFonts w:eastAsia="仿宋_GB2312" w:hint="eastAsia"/>
          <w:sz w:val="26"/>
          <w:szCs w:val="26"/>
        </w:rPr>
        <w:t>（三）估价方法简介</w:t>
      </w:r>
    </w:p>
    <w:p w14:paraId="474F7101"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比较法，是指将估价对象与在价值时点近期有过交易的类似房地产进行比较，对这些类似房地产的已知价格作适当的修正，以此估算估价对象的客观合理价格或价值</w:t>
      </w:r>
      <w:r>
        <w:rPr>
          <w:rFonts w:eastAsia="仿宋_GB2312" w:hint="eastAsia"/>
          <w:color w:val="000000"/>
          <w:sz w:val="26"/>
          <w:szCs w:val="26"/>
        </w:rPr>
        <w:lastRenderedPageBreak/>
        <w:t>的方法。</w:t>
      </w:r>
    </w:p>
    <w:p w14:paraId="4DAF119F" w14:textId="77777777" w:rsidR="00EF6A0E" w:rsidRDefault="00000000">
      <w:pPr>
        <w:adjustRightInd w:val="0"/>
        <w:snapToGrid w:val="0"/>
        <w:spacing w:line="400" w:lineRule="exact"/>
        <w:ind w:firstLineChars="200" w:firstLine="520"/>
        <w:rPr>
          <w:rFonts w:eastAsia="仿宋_GB2312"/>
          <w:sz w:val="26"/>
          <w:szCs w:val="26"/>
        </w:rPr>
      </w:pPr>
      <w:r>
        <w:rPr>
          <w:rFonts w:eastAsia="仿宋_GB2312" w:hint="eastAsia"/>
          <w:color w:val="000000"/>
          <w:sz w:val="26"/>
          <w:szCs w:val="26"/>
        </w:rPr>
        <w:t>房地产价值＝可比实例成交价格×交易情况修正系数×市场状况调整系数×房地产状况调整系数</w:t>
      </w:r>
      <w:r>
        <w:rPr>
          <w:rFonts w:eastAsia="仿宋_GB2312" w:hint="eastAsia"/>
          <w:color w:val="000000"/>
          <w:sz w:val="26"/>
          <w:szCs w:val="26"/>
          <w:lang w:val="zh-CN"/>
        </w:rPr>
        <w:t>。</w:t>
      </w:r>
    </w:p>
    <w:p w14:paraId="5043EDEE" w14:textId="77777777" w:rsidR="00EF6A0E" w:rsidRDefault="00000000">
      <w:pPr>
        <w:pStyle w:val="2"/>
        <w:spacing w:beforeLines="50" w:before="156" w:afterLines="50" w:after="156" w:line="400" w:lineRule="exact"/>
        <w:ind w:firstLineChars="200" w:firstLine="643"/>
        <w:rPr>
          <w:rFonts w:ascii="仿宋" w:eastAsia="仿宋" w:hAnsi="仿宋" w:cs="仿宋"/>
          <w:kern w:val="0"/>
        </w:rPr>
      </w:pPr>
      <w:bookmarkStart w:id="41" w:name="_Toc19221"/>
      <w:r>
        <w:rPr>
          <w:rFonts w:ascii="仿宋" w:eastAsia="仿宋" w:hAnsi="仿宋" w:cs="仿宋" w:hint="eastAsia"/>
          <w:kern w:val="0"/>
        </w:rPr>
        <w:t>十、估价结果</w:t>
      </w:r>
      <w:bookmarkEnd w:id="39"/>
      <w:bookmarkEnd w:id="41"/>
    </w:p>
    <w:p w14:paraId="590BB640" w14:textId="3B6EFE3C" w:rsidR="00EF6A0E" w:rsidRDefault="00000000">
      <w:pPr>
        <w:spacing w:line="400" w:lineRule="exact"/>
        <w:ind w:firstLineChars="200" w:firstLine="520"/>
        <w:jc w:val="left"/>
        <w:rPr>
          <w:rFonts w:eastAsia="仿宋_GB2312"/>
          <w:color w:val="000000" w:themeColor="text1"/>
          <w:sz w:val="26"/>
          <w:szCs w:val="26"/>
        </w:rPr>
      </w:pPr>
      <w:bookmarkStart w:id="42" w:name="_Toc286074118"/>
      <w:r>
        <w:rPr>
          <w:rFonts w:eastAsia="仿宋_GB2312"/>
          <w:sz w:val="26"/>
          <w:szCs w:val="26"/>
        </w:rPr>
        <w:t>估价人员根据估价目的，经过市场调查和实地查勘，依据《房地产估价规范》</w:t>
      </w:r>
      <w:r>
        <w:rPr>
          <w:rFonts w:eastAsia="仿宋_GB2312" w:hint="eastAsia"/>
          <w:sz w:val="26"/>
          <w:szCs w:val="26"/>
        </w:rPr>
        <w:t>（</w:t>
      </w:r>
      <w:r>
        <w:rPr>
          <w:rFonts w:eastAsia="仿宋_GB2312" w:hint="eastAsia"/>
          <w:sz w:val="26"/>
          <w:szCs w:val="26"/>
        </w:rPr>
        <w:t>GB/T 50291</w:t>
      </w:r>
      <w:r>
        <w:rPr>
          <w:rFonts w:eastAsia="仿宋_GB2312" w:hint="eastAsia"/>
          <w:sz w:val="26"/>
          <w:szCs w:val="26"/>
        </w:rPr>
        <w:t>—</w:t>
      </w:r>
      <w:r>
        <w:rPr>
          <w:rFonts w:eastAsia="仿宋_GB2312" w:hint="eastAsia"/>
          <w:sz w:val="26"/>
          <w:szCs w:val="26"/>
        </w:rPr>
        <w:t>2015</w:t>
      </w:r>
      <w:r>
        <w:rPr>
          <w:rFonts w:eastAsia="仿宋_GB2312" w:hint="eastAsia"/>
          <w:sz w:val="26"/>
          <w:szCs w:val="26"/>
        </w:rPr>
        <w:t>）</w:t>
      </w:r>
      <w:r>
        <w:rPr>
          <w:rFonts w:eastAsia="仿宋_GB2312"/>
          <w:sz w:val="26"/>
          <w:szCs w:val="26"/>
        </w:rPr>
        <w:t>、</w:t>
      </w:r>
      <w:r>
        <w:rPr>
          <w:rFonts w:eastAsia="仿宋_GB2312" w:hint="eastAsia"/>
          <w:sz w:val="26"/>
          <w:szCs w:val="26"/>
        </w:rPr>
        <w:t>《房地产估价基本术语标准》（</w:t>
      </w:r>
      <w:r>
        <w:rPr>
          <w:rFonts w:eastAsia="仿宋_GB2312" w:hint="eastAsia"/>
          <w:sz w:val="26"/>
          <w:szCs w:val="26"/>
        </w:rPr>
        <w:t>GB/T 50899</w:t>
      </w:r>
      <w:r>
        <w:rPr>
          <w:rFonts w:eastAsia="仿宋_GB2312" w:hint="eastAsia"/>
          <w:sz w:val="26"/>
          <w:szCs w:val="26"/>
        </w:rPr>
        <w:t>—</w:t>
      </w:r>
      <w:r>
        <w:rPr>
          <w:rFonts w:eastAsia="仿宋_GB2312" w:hint="eastAsia"/>
          <w:sz w:val="26"/>
          <w:szCs w:val="26"/>
        </w:rPr>
        <w:t>2013</w:t>
      </w:r>
      <w:r>
        <w:rPr>
          <w:rFonts w:eastAsia="仿宋_GB2312" w:hint="eastAsia"/>
          <w:sz w:val="26"/>
          <w:szCs w:val="26"/>
        </w:rPr>
        <w:t>）、</w:t>
      </w:r>
      <w:r>
        <w:rPr>
          <w:rFonts w:eastAsia="仿宋_GB2312"/>
          <w:sz w:val="26"/>
          <w:szCs w:val="26"/>
        </w:rPr>
        <w:t>《最高人民法院关于人民法院确定财产处置参考价若干问题的规定</w:t>
      </w:r>
      <w:r>
        <w:rPr>
          <w:rFonts w:eastAsia="仿宋_GB2312"/>
          <w:sz w:val="26"/>
          <w:szCs w:val="26"/>
        </w:rPr>
        <w:t xml:space="preserve"> </w:t>
      </w:r>
      <w:r>
        <w:rPr>
          <w:rFonts w:eastAsia="仿宋_GB2312"/>
          <w:sz w:val="26"/>
          <w:szCs w:val="26"/>
        </w:rPr>
        <w:t>》（法释〔</w:t>
      </w:r>
      <w:r>
        <w:rPr>
          <w:rFonts w:eastAsia="仿宋_GB2312"/>
          <w:sz w:val="26"/>
          <w:szCs w:val="26"/>
        </w:rPr>
        <w:t>2018</w:t>
      </w:r>
      <w:r>
        <w:rPr>
          <w:rFonts w:eastAsia="仿宋_GB2312"/>
          <w:sz w:val="26"/>
          <w:szCs w:val="26"/>
        </w:rPr>
        <w:t>〕</w:t>
      </w:r>
      <w:r>
        <w:rPr>
          <w:rFonts w:eastAsia="仿宋_GB2312"/>
          <w:sz w:val="26"/>
          <w:szCs w:val="26"/>
        </w:rPr>
        <w:t>15</w:t>
      </w:r>
      <w:r>
        <w:rPr>
          <w:rFonts w:eastAsia="仿宋_GB2312"/>
          <w:sz w:val="26"/>
          <w:szCs w:val="26"/>
        </w:rPr>
        <w:t>号）及其他相关法律法规</w:t>
      </w:r>
      <w:r>
        <w:rPr>
          <w:rFonts w:eastAsia="仿宋_GB2312" w:hint="eastAsia"/>
          <w:sz w:val="26"/>
          <w:szCs w:val="26"/>
        </w:rPr>
        <w:t>，</w:t>
      </w:r>
      <w:r>
        <w:rPr>
          <w:rFonts w:eastAsia="仿宋_GB2312" w:hint="eastAsia"/>
          <w:color w:val="000000"/>
          <w:sz w:val="26"/>
          <w:szCs w:val="26"/>
        </w:rPr>
        <w:t>遵循估价原则，履行必要的估价程序，</w:t>
      </w:r>
      <w:r>
        <w:rPr>
          <w:rFonts w:eastAsia="仿宋_GB2312"/>
          <w:sz w:val="26"/>
          <w:szCs w:val="26"/>
        </w:rPr>
        <w:t>运</w:t>
      </w:r>
      <w:r>
        <w:rPr>
          <w:rFonts w:eastAsia="仿宋_GB2312" w:hint="eastAsia"/>
          <w:color w:val="000000"/>
          <w:sz w:val="26"/>
          <w:szCs w:val="26"/>
        </w:rPr>
        <w:t>用比较法</w:t>
      </w:r>
      <w:r>
        <w:rPr>
          <w:rFonts w:eastAsia="仿宋_GB2312"/>
          <w:sz w:val="26"/>
          <w:szCs w:val="26"/>
        </w:rPr>
        <w:t>对估价对象的市场价值进行测算</w:t>
      </w:r>
      <w:r>
        <w:rPr>
          <w:rFonts w:eastAsia="仿宋_GB2312" w:hint="eastAsia"/>
          <w:sz w:val="26"/>
          <w:szCs w:val="26"/>
        </w:rPr>
        <w:t>，</w:t>
      </w:r>
      <w:r>
        <w:rPr>
          <w:rFonts w:eastAsia="仿宋_GB2312" w:hint="eastAsia"/>
          <w:color w:val="000000"/>
          <w:sz w:val="26"/>
          <w:szCs w:val="26"/>
        </w:rPr>
        <w:t>并结合估价经验和对影响价值因素的分析，在满足本次估价的假设和限制条件下，确定估价对象于价值时点</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的市场价值合计为</w:t>
      </w:r>
      <w:r>
        <w:rPr>
          <w:rFonts w:eastAsia="仿宋_GB2312"/>
          <w:b/>
          <w:bCs/>
          <w:color w:val="000000" w:themeColor="text1"/>
          <w:sz w:val="26"/>
          <w:szCs w:val="26"/>
        </w:rPr>
        <w:t>人民币</w:t>
      </w:r>
      <w:r>
        <w:rPr>
          <w:rFonts w:eastAsia="仿宋_GB2312" w:hint="eastAsia"/>
          <w:b/>
          <w:bCs/>
          <w:color w:val="000000" w:themeColor="text1"/>
          <w:sz w:val="26"/>
          <w:szCs w:val="26"/>
        </w:rPr>
        <w:fldChar w:fldCharType="begin"/>
      </w:r>
      <w:r>
        <w:rPr>
          <w:rFonts w:eastAsia="仿宋_GB2312" w:hint="eastAsia"/>
          <w:b/>
          <w:bCs/>
          <w:color w:val="000000" w:themeColor="text1"/>
          <w:sz w:val="26"/>
          <w:szCs w:val="26"/>
        </w:rPr>
        <w:instrText xml:space="preserve"> = 543800 \* CHINESENUM2 \* MERGEFORMAT </w:instrText>
      </w:r>
      <w:r>
        <w:rPr>
          <w:rFonts w:eastAsia="仿宋_GB2312" w:hint="eastAsia"/>
          <w:b/>
          <w:bCs/>
          <w:color w:val="000000" w:themeColor="text1"/>
          <w:sz w:val="26"/>
          <w:szCs w:val="26"/>
        </w:rPr>
        <w:fldChar w:fldCharType="separate"/>
      </w:r>
      <w:r w:rsidR="005E00CB">
        <w:rPr>
          <w:rFonts w:eastAsia="仿宋_GB2312" w:hint="eastAsia"/>
          <w:b/>
          <w:bCs/>
          <w:color w:val="000000" w:themeColor="text1"/>
          <w:sz w:val="26"/>
          <w:szCs w:val="26"/>
        </w:rPr>
        <w:t>肆拾伍万肆仟</w:t>
      </w:r>
      <w:r>
        <w:rPr>
          <w:rFonts w:eastAsia="仿宋_GB2312" w:hint="eastAsia"/>
          <w:b/>
          <w:bCs/>
          <w:color w:val="000000" w:themeColor="text1"/>
          <w:sz w:val="26"/>
          <w:szCs w:val="26"/>
        </w:rPr>
        <w:fldChar w:fldCharType="end"/>
      </w:r>
      <w:r>
        <w:rPr>
          <w:rFonts w:eastAsia="仿宋_GB2312"/>
          <w:b/>
          <w:bCs/>
          <w:color w:val="000000" w:themeColor="text1"/>
          <w:sz w:val="26"/>
          <w:szCs w:val="26"/>
        </w:rPr>
        <w:t>元整</w:t>
      </w:r>
      <w:r>
        <w:rPr>
          <w:rFonts w:eastAsia="仿宋_GB2312" w:hint="eastAsia"/>
          <w:b/>
          <w:bCs/>
          <w:color w:val="000000" w:themeColor="text1"/>
          <w:sz w:val="26"/>
          <w:szCs w:val="26"/>
        </w:rPr>
        <w:t>（</w:t>
      </w:r>
      <w:r>
        <w:rPr>
          <w:rFonts w:eastAsia="仿宋_GB2312" w:hint="eastAsia"/>
          <w:b/>
          <w:bCs/>
          <w:color w:val="000000" w:themeColor="text1"/>
          <w:sz w:val="26"/>
          <w:szCs w:val="26"/>
        </w:rPr>
        <w:t>¥</w:t>
      </w:r>
      <w:r w:rsidR="00CF4DAF">
        <w:rPr>
          <w:rFonts w:eastAsia="仿宋_GB2312"/>
          <w:b/>
          <w:bCs/>
          <w:color w:val="000000" w:themeColor="text1"/>
          <w:sz w:val="26"/>
          <w:szCs w:val="26"/>
        </w:rPr>
        <w:t>45.4</w:t>
      </w:r>
      <w:r>
        <w:rPr>
          <w:rFonts w:eastAsia="仿宋_GB2312" w:hint="eastAsia"/>
          <w:b/>
          <w:bCs/>
          <w:color w:val="000000" w:themeColor="text1"/>
          <w:sz w:val="26"/>
          <w:szCs w:val="26"/>
        </w:rPr>
        <w:t>万元）</w:t>
      </w:r>
      <w:r>
        <w:rPr>
          <w:rFonts w:eastAsia="仿宋_GB2312" w:hint="eastAsia"/>
          <w:color w:val="000000" w:themeColor="text1"/>
          <w:sz w:val="26"/>
          <w:szCs w:val="26"/>
        </w:rPr>
        <w:t>。详见下表：</w:t>
      </w:r>
    </w:p>
    <w:tbl>
      <w:tblPr>
        <w:tblStyle w:val="af5"/>
        <w:tblW w:w="9620" w:type="dxa"/>
        <w:jc w:val="center"/>
        <w:tblLook w:val="04A0" w:firstRow="1" w:lastRow="0" w:firstColumn="1" w:lastColumn="0" w:noHBand="0" w:noVBand="1"/>
      </w:tblPr>
      <w:tblGrid>
        <w:gridCol w:w="2984"/>
        <w:gridCol w:w="1163"/>
        <w:gridCol w:w="1650"/>
        <w:gridCol w:w="1995"/>
        <w:gridCol w:w="1828"/>
      </w:tblGrid>
      <w:tr w:rsidR="00EF6A0E" w14:paraId="221FA4ED" w14:textId="77777777">
        <w:trPr>
          <w:trHeight w:val="500"/>
          <w:jc w:val="center"/>
        </w:trPr>
        <w:tc>
          <w:tcPr>
            <w:tcW w:w="9620" w:type="dxa"/>
            <w:gridSpan w:val="5"/>
            <w:tcBorders>
              <w:top w:val="nil"/>
              <w:left w:val="nil"/>
              <w:bottom w:val="nil"/>
              <w:right w:val="nil"/>
            </w:tcBorders>
          </w:tcPr>
          <w:p w14:paraId="315B9995" w14:textId="77777777" w:rsidR="00EF6A0E" w:rsidRDefault="00000000">
            <w:pPr>
              <w:spacing w:line="680" w:lineRule="exact"/>
              <w:jc w:val="center"/>
              <w:rPr>
                <w:rFonts w:ascii="仿宋" w:eastAsia="仿宋" w:hAnsi="仿宋" w:cs="仿宋"/>
                <w:color w:val="000000" w:themeColor="text1"/>
                <w:sz w:val="28"/>
                <w:szCs w:val="28"/>
              </w:rPr>
            </w:pPr>
            <w:r>
              <w:rPr>
                <w:rFonts w:ascii="仿宋" w:eastAsia="仿宋" w:hAnsi="仿宋" w:cs="仿宋" w:hint="eastAsia"/>
                <w:b/>
                <w:color w:val="000000" w:themeColor="text1"/>
                <w:kern w:val="0"/>
                <w:sz w:val="28"/>
                <w:szCs w:val="28"/>
                <w:lang w:bidi="ar"/>
              </w:rPr>
              <w:t>房地产估价结果汇总表</w:t>
            </w:r>
          </w:p>
        </w:tc>
      </w:tr>
      <w:tr w:rsidR="00EF6A0E" w14:paraId="2671DB70" w14:textId="77777777">
        <w:trPr>
          <w:trHeight w:val="505"/>
          <w:jc w:val="center"/>
        </w:trPr>
        <w:tc>
          <w:tcPr>
            <w:tcW w:w="9620" w:type="dxa"/>
            <w:gridSpan w:val="5"/>
            <w:tcBorders>
              <w:top w:val="nil"/>
              <w:left w:val="nil"/>
              <w:bottom w:val="single" w:sz="4" w:space="0" w:color="auto"/>
              <w:right w:val="nil"/>
            </w:tcBorders>
          </w:tcPr>
          <w:p w14:paraId="3306C9A0" w14:textId="4DF98800" w:rsidR="00EF6A0E" w:rsidRDefault="00000000">
            <w:pPr>
              <w:spacing w:line="680" w:lineRule="exact"/>
              <w:jc w:val="center"/>
              <w:rPr>
                <w:rFonts w:ascii="仿宋" w:eastAsia="仿宋" w:hAnsi="仿宋" w:cs="仿宋"/>
                <w:color w:val="000000" w:themeColor="text1"/>
                <w:sz w:val="28"/>
                <w:szCs w:val="28"/>
              </w:rPr>
            </w:pPr>
            <w:r>
              <w:rPr>
                <w:rFonts w:ascii="仿宋" w:eastAsia="仿宋" w:hAnsi="仿宋" w:cs="仿宋" w:hint="eastAsia"/>
                <w:b/>
                <w:bCs/>
                <w:color w:val="000000" w:themeColor="text1"/>
                <w:kern w:val="0"/>
                <w:sz w:val="24"/>
              </w:rPr>
              <w:t xml:space="preserve">                                                         币种：人民币</w:t>
            </w:r>
            <w:r w:rsidR="00457A32">
              <w:rPr>
                <w:rFonts w:ascii="仿宋" w:eastAsia="仿宋" w:hAnsi="仿宋" w:cs="仿宋" w:hint="eastAsia"/>
                <w:b/>
                <w:bCs/>
                <w:color w:val="000000" w:themeColor="text1"/>
                <w:kern w:val="0"/>
                <w:sz w:val="24"/>
              </w:rPr>
              <w:t>元</w:t>
            </w:r>
            <w:r>
              <w:rPr>
                <w:rFonts w:ascii="仿宋" w:eastAsia="仿宋" w:hAnsi="仿宋" w:cs="仿宋" w:hint="eastAsia"/>
                <w:b/>
                <w:bCs/>
                <w:color w:val="000000" w:themeColor="text1"/>
                <w:kern w:val="0"/>
                <w:sz w:val="24"/>
              </w:rPr>
              <w:t xml:space="preserve">                                                                                                     </w:t>
            </w:r>
          </w:p>
        </w:tc>
      </w:tr>
      <w:tr w:rsidR="00EF6A0E" w14:paraId="198A4FEE" w14:textId="77777777">
        <w:trPr>
          <w:trHeight w:val="612"/>
          <w:jc w:val="center"/>
        </w:trPr>
        <w:tc>
          <w:tcPr>
            <w:tcW w:w="5797" w:type="dxa"/>
            <w:gridSpan w:val="3"/>
            <w:tcBorders>
              <w:top w:val="single" w:sz="4" w:space="0" w:color="auto"/>
            </w:tcBorders>
          </w:tcPr>
          <w:p w14:paraId="78FC2922" w14:textId="77777777" w:rsidR="00EF6A0E" w:rsidRDefault="00EF6A0E">
            <w:pPr>
              <w:widowControl/>
              <w:jc w:val="center"/>
              <w:rPr>
                <w:rFonts w:ascii="仿宋" w:eastAsia="仿宋" w:hAnsi="仿宋" w:cs="仿宋"/>
                <w:b/>
                <w:bCs/>
                <w:color w:val="000000" w:themeColor="text1"/>
                <w:kern w:val="0"/>
                <w:szCs w:val="21"/>
              </w:rPr>
            </w:pPr>
          </w:p>
          <w:p w14:paraId="7CC2E832" w14:textId="77777777" w:rsidR="00EF6A0E" w:rsidRDefault="00000000">
            <w:pPr>
              <w:widowControl/>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估价对象及结果</w:t>
            </w:r>
          </w:p>
          <w:p w14:paraId="5C52C744" w14:textId="77777777" w:rsidR="00EF6A0E" w:rsidRDefault="00000000">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 xml:space="preserve">         估价方法及结果</w:t>
            </w:r>
          </w:p>
          <w:p w14:paraId="6EB35457" w14:textId="77777777" w:rsidR="00EF6A0E" w:rsidRDefault="00EF6A0E">
            <w:pPr>
              <w:widowControl/>
              <w:jc w:val="center"/>
              <w:rPr>
                <w:rFonts w:ascii="仿宋" w:eastAsia="仿宋" w:hAnsi="仿宋" w:cs="仿宋"/>
                <w:b/>
                <w:bCs/>
                <w:color w:val="000000" w:themeColor="text1"/>
                <w:kern w:val="0"/>
                <w:szCs w:val="21"/>
              </w:rPr>
            </w:pPr>
          </w:p>
          <w:p w14:paraId="70B7893C" w14:textId="77777777" w:rsidR="00EF6A0E" w:rsidRDefault="00EF6A0E">
            <w:pPr>
              <w:widowControl/>
              <w:jc w:val="center"/>
              <w:rPr>
                <w:rFonts w:ascii="仿宋" w:eastAsia="仿宋" w:hAnsi="仿宋" w:cs="仿宋"/>
                <w:b/>
                <w:bCs/>
                <w:color w:val="000000" w:themeColor="text1"/>
                <w:kern w:val="0"/>
                <w:szCs w:val="21"/>
              </w:rPr>
            </w:pPr>
          </w:p>
        </w:tc>
        <w:tc>
          <w:tcPr>
            <w:tcW w:w="1995" w:type="dxa"/>
            <w:tcBorders>
              <w:top w:val="single" w:sz="4" w:space="0" w:color="auto"/>
            </w:tcBorders>
            <w:vAlign w:val="center"/>
          </w:tcPr>
          <w:p w14:paraId="4C18B7E9" w14:textId="77777777" w:rsidR="00EF6A0E" w:rsidRDefault="00000000">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比较法</w:t>
            </w:r>
          </w:p>
        </w:tc>
        <w:tc>
          <w:tcPr>
            <w:tcW w:w="1828" w:type="dxa"/>
            <w:tcBorders>
              <w:top w:val="single" w:sz="4" w:space="0" w:color="auto"/>
            </w:tcBorders>
            <w:vAlign w:val="center"/>
          </w:tcPr>
          <w:p w14:paraId="6B543BE2" w14:textId="77777777" w:rsidR="00EF6A0E" w:rsidRDefault="00000000">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估价结果</w:t>
            </w:r>
          </w:p>
        </w:tc>
      </w:tr>
      <w:tr w:rsidR="00EF6A0E" w14:paraId="3F4CC015" w14:textId="77777777">
        <w:trPr>
          <w:trHeight w:val="455"/>
          <w:jc w:val="center"/>
        </w:trPr>
        <w:tc>
          <w:tcPr>
            <w:tcW w:w="2984" w:type="dxa"/>
            <w:vMerge w:val="restart"/>
            <w:vAlign w:val="center"/>
          </w:tcPr>
          <w:p w14:paraId="6A2916A1" w14:textId="58827284" w:rsidR="00EF6A0E" w:rsidRDefault="00A10557">
            <w:pPr>
              <w:widowControl/>
              <w:jc w:val="center"/>
              <w:rPr>
                <w:rFonts w:eastAsia="仿宋"/>
                <w:b/>
                <w:bCs/>
                <w:color w:val="000000" w:themeColor="text1"/>
                <w:kern w:val="0"/>
                <w:szCs w:val="21"/>
              </w:rPr>
            </w:pPr>
            <w:r>
              <w:rPr>
                <w:rFonts w:eastAsia="仿宋" w:hint="eastAsia"/>
                <w:b/>
                <w:bCs/>
                <w:color w:val="000000" w:themeColor="text1"/>
                <w:kern w:val="0"/>
                <w:szCs w:val="21"/>
              </w:rPr>
              <w:t>贵州省兴仁市</w:t>
            </w:r>
            <w:r w:rsidR="0023165C">
              <w:rPr>
                <w:rFonts w:eastAsia="仿宋" w:hint="eastAsia"/>
                <w:b/>
                <w:bCs/>
                <w:color w:val="000000" w:themeColor="text1"/>
                <w:kern w:val="0"/>
                <w:szCs w:val="21"/>
              </w:rPr>
              <w:t>玉清苑</w:t>
            </w:r>
          </w:p>
        </w:tc>
        <w:tc>
          <w:tcPr>
            <w:tcW w:w="1163" w:type="dxa"/>
            <w:vMerge w:val="restart"/>
            <w:vAlign w:val="center"/>
          </w:tcPr>
          <w:p w14:paraId="45560F08" w14:textId="3B99258A"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建筑面积</w:t>
            </w:r>
            <w:r w:rsidR="0013644A">
              <w:rPr>
                <w:rFonts w:hint="eastAsia"/>
                <w:b/>
                <w:bCs/>
                <w:color w:val="000000" w:themeColor="text1"/>
                <w:szCs w:val="21"/>
              </w:rPr>
              <w:t>118.78</w:t>
            </w:r>
            <w:r>
              <w:rPr>
                <w:rFonts w:eastAsia="仿宋"/>
                <w:b/>
                <w:bCs/>
                <w:color w:val="000000" w:themeColor="text1"/>
                <w:kern w:val="0"/>
                <w:szCs w:val="21"/>
              </w:rPr>
              <w:t>㎡</w:t>
            </w:r>
          </w:p>
        </w:tc>
        <w:tc>
          <w:tcPr>
            <w:tcW w:w="1650" w:type="dxa"/>
            <w:vAlign w:val="center"/>
          </w:tcPr>
          <w:p w14:paraId="118B7901"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总价（万元）</w:t>
            </w:r>
          </w:p>
        </w:tc>
        <w:tc>
          <w:tcPr>
            <w:tcW w:w="1995" w:type="dxa"/>
            <w:vAlign w:val="center"/>
          </w:tcPr>
          <w:p w14:paraId="2EADDFB3" w14:textId="5847CDF1" w:rsidR="00EF6A0E" w:rsidRPr="00457A32" w:rsidRDefault="005E00CB">
            <w:pPr>
              <w:adjustRightInd w:val="0"/>
              <w:snapToGrid w:val="0"/>
              <w:spacing w:line="540" w:lineRule="exact"/>
              <w:jc w:val="center"/>
              <w:rPr>
                <w:rFonts w:eastAsia="仿宋_GB2312"/>
                <w:b/>
                <w:bCs/>
                <w:color w:val="000000"/>
                <w:szCs w:val="21"/>
              </w:rPr>
            </w:pPr>
            <w:r>
              <w:rPr>
                <w:rFonts w:eastAsia="仿宋_GB2312"/>
                <w:b/>
                <w:bCs/>
                <w:color w:val="000000"/>
                <w:szCs w:val="21"/>
              </w:rPr>
              <w:t>45.4</w:t>
            </w:r>
          </w:p>
        </w:tc>
        <w:tc>
          <w:tcPr>
            <w:tcW w:w="1828" w:type="dxa"/>
            <w:vAlign w:val="center"/>
          </w:tcPr>
          <w:p w14:paraId="5F6BA2AD" w14:textId="15C778EB" w:rsidR="00EF6A0E" w:rsidRPr="00457A32" w:rsidRDefault="005E00CB">
            <w:pPr>
              <w:adjustRightInd w:val="0"/>
              <w:snapToGrid w:val="0"/>
              <w:spacing w:line="540" w:lineRule="exact"/>
              <w:jc w:val="center"/>
              <w:rPr>
                <w:rFonts w:eastAsia="仿宋_GB2312"/>
                <w:b/>
                <w:bCs/>
                <w:color w:val="000000"/>
                <w:szCs w:val="21"/>
              </w:rPr>
            </w:pPr>
            <w:r>
              <w:rPr>
                <w:rFonts w:eastAsia="仿宋_GB2312"/>
                <w:b/>
                <w:bCs/>
                <w:color w:val="000000"/>
                <w:szCs w:val="21"/>
              </w:rPr>
              <w:t>45.4</w:t>
            </w:r>
          </w:p>
        </w:tc>
      </w:tr>
      <w:tr w:rsidR="00EF6A0E" w14:paraId="398AA40B" w14:textId="77777777">
        <w:trPr>
          <w:trHeight w:val="480"/>
          <w:jc w:val="center"/>
        </w:trPr>
        <w:tc>
          <w:tcPr>
            <w:tcW w:w="2984" w:type="dxa"/>
            <w:vMerge/>
            <w:vAlign w:val="center"/>
          </w:tcPr>
          <w:p w14:paraId="7E71BB6B" w14:textId="77777777" w:rsidR="00EF6A0E" w:rsidRDefault="00EF6A0E">
            <w:pPr>
              <w:widowControl/>
              <w:jc w:val="center"/>
              <w:rPr>
                <w:rFonts w:eastAsia="仿宋"/>
                <w:b/>
                <w:bCs/>
                <w:color w:val="000000" w:themeColor="text1"/>
                <w:kern w:val="0"/>
                <w:szCs w:val="21"/>
              </w:rPr>
            </w:pPr>
          </w:p>
        </w:tc>
        <w:tc>
          <w:tcPr>
            <w:tcW w:w="1163" w:type="dxa"/>
            <w:vMerge/>
            <w:vAlign w:val="center"/>
          </w:tcPr>
          <w:p w14:paraId="6C2FF73F" w14:textId="77777777" w:rsidR="00EF6A0E" w:rsidRDefault="00EF6A0E">
            <w:pPr>
              <w:widowControl/>
              <w:jc w:val="center"/>
              <w:rPr>
                <w:rFonts w:eastAsia="仿宋"/>
                <w:b/>
                <w:bCs/>
                <w:color w:val="000000" w:themeColor="text1"/>
                <w:kern w:val="0"/>
                <w:szCs w:val="21"/>
              </w:rPr>
            </w:pPr>
          </w:p>
        </w:tc>
        <w:tc>
          <w:tcPr>
            <w:tcW w:w="1650" w:type="dxa"/>
            <w:vAlign w:val="center"/>
          </w:tcPr>
          <w:p w14:paraId="072D2400"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单价（元</w:t>
            </w:r>
            <w:r>
              <w:rPr>
                <w:rFonts w:eastAsia="仿宋"/>
                <w:b/>
                <w:bCs/>
                <w:color w:val="000000" w:themeColor="text1"/>
                <w:kern w:val="0"/>
                <w:szCs w:val="21"/>
              </w:rPr>
              <w:t>/</w:t>
            </w:r>
            <w:r>
              <w:rPr>
                <w:rFonts w:eastAsia="仿宋"/>
                <w:b/>
                <w:bCs/>
                <w:color w:val="000000" w:themeColor="text1"/>
                <w:kern w:val="0"/>
                <w:szCs w:val="21"/>
              </w:rPr>
              <w:t>㎡）</w:t>
            </w:r>
          </w:p>
        </w:tc>
        <w:tc>
          <w:tcPr>
            <w:tcW w:w="1995" w:type="dxa"/>
            <w:vAlign w:val="center"/>
          </w:tcPr>
          <w:p w14:paraId="69CACE11" w14:textId="5A90B4ED" w:rsidR="00EF6A0E" w:rsidRDefault="005E00CB">
            <w:pPr>
              <w:adjustRightInd w:val="0"/>
              <w:snapToGrid w:val="0"/>
              <w:spacing w:line="540" w:lineRule="exact"/>
              <w:jc w:val="center"/>
              <w:rPr>
                <w:rFonts w:eastAsia="仿宋_GB2312"/>
                <w:b/>
                <w:bCs/>
                <w:color w:val="000000" w:themeColor="text1"/>
                <w:szCs w:val="21"/>
              </w:rPr>
            </w:pPr>
            <w:r>
              <w:rPr>
                <w:rFonts w:eastAsia="仿宋_GB2312"/>
                <w:b/>
                <w:bCs/>
                <w:color w:val="000000"/>
                <w:szCs w:val="21"/>
              </w:rPr>
              <w:t>3822.27</w:t>
            </w:r>
          </w:p>
        </w:tc>
        <w:tc>
          <w:tcPr>
            <w:tcW w:w="1828" w:type="dxa"/>
            <w:vAlign w:val="center"/>
          </w:tcPr>
          <w:p w14:paraId="2450599D" w14:textId="68CC666E" w:rsidR="00EF6A0E" w:rsidRDefault="005E00CB">
            <w:pPr>
              <w:adjustRightInd w:val="0"/>
              <w:snapToGrid w:val="0"/>
              <w:spacing w:line="540" w:lineRule="exact"/>
              <w:jc w:val="center"/>
              <w:rPr>
                <w:rFonts w:eastAsia="仿宋_GB2312"/>
                <w:b/>
                <w:bCs/>
                <w:color w:val="000000" w:themeColor="text1"/>
                <w:szCs w:val="21"/>
              </w:rPr>
            </w:pPr>
            <w:r>
              <w:rPr>
                <w:rFonts w:eastAsia="仿宋_GB2312"/>
                <w:b/>
                <w:bCs/>
                <w:color w:val="000000"/>
                <w:szCs w:val="21"/>
              </w:rPr>
              <w:t>3822.27</w:t>
            </w:r>
          </w:p>
        </w:tc>
      </w:tr>
      <w:tr w:rsidR="00EF6A0E" w14:paraId="2F8A6164" w14:textId="77777777">
        <w:trPr>
          <w:trHeight w:val="452"/>
          <w:jc w:val="center"/>
        </w:trPr>
        <w:tc>
          <w:tcPr>
            <w:tcW w:w="2984" w:type="dxa"/>
            <w:vMerge w:val="restart"/>
            <w:vAlign w:val="center"/>
          </w:tcPr>
          <w:p w14:paraId="16C402D4"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汇总评估价值</w:t>
            </w:r>
          </w:p>
        </w:tc>
        <w:tc>
          <w:tcPr>
            <w:tcW w:w="1163" w:type="dxa"/>
            <w:vMerge w:val="restart"/>
            <w:vAlign w:val="center"/>
          </w:tcPr>
          <w:p w14:paraId="78AD47C5" w14:textId="67CB10B0" w:rsidR="00EF6A0E" w:rsidRDefault="0013644A">
            <w:pPr>
              <w:widowControl/>
              <w:jc w:val="center"/>
              <w:rPr>
                <w:rFonts w:eastAsia="仿宋"/>
                <w:b/>
                <w:bCs/>
                <w:color w:val="000000" w:themeColor="text1"/>
                <w:kern w:val="0"/>
                <w:szCs w:val="21"/>
              </w:rPr>
            </w:pPr>
            <w:r>
              <w:rPr>
                <w:rFonts w:hint="eastAsia"/>
                <w:b/>
                <w:bCs/>
                <w:color w:val="000000" w:themeColor="text1"/>
                <w:szCs w:val="21"/>
              </w:rPr>
              <w:t>118.78</w:t>
            </w:r>
            <w:r>
              <w:rPr>
                <w:rFonts w:eastAsia="仿宋"/>
                <w:b/>
                <w:bCs/>
                <w:color w:val="000000" w:themeColor="text1"/>
                <w:kern w:val="0"/>
                <w:szCs w:val="21"/>
              </w:rPr>
              <w:t>㎡</w:t>
            </w:r>
          </w:p>
        </w:tc>
        <w:tc>
          <w:tcPr>
            <w:tcW w:w="1650" w:type="dxa"/>
            <w:vAlign w:val="center"/>
          </w:tcPr>
          <w:p w14:paraId="2AA738B8"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总值</w:t>
            </w:r>
            <w:r>
              <w:rPr>
                <w:rFonts w:eastAsia="仿宋"/>
                <w:b/>
                <w:bCs/>
                <w:color w:val="000000" w:themeColor="text1"/>
                <w:kern w:val="0"/>
                <w:szCs w:val="21"/>
              </w:rPr>
              <w:t>(</w:t>
            </w:r>
            <w:r>
              <w:rPr>
                <w:rFonts w:eastAsia="仿宋"/>
                <w:b/>
                <w:bCs/>
                <w:color w:val="000000" w:themeColor="text1"/>
                <w:kern w:val="0"/>
                <w:szCs w:val="21"/>
              </w:rPr>
              <w:t>万元）</w:t>
            </w:r>
          </w:p>
        </w:tc>
        <w:tc>
          <w:tcPr>
            <w:tcW w:w="3823" w:type="dxa"/>
            <w:gridSpan w:val="2"/>
            <w:vAlign w:val="center"/>
          </w:tcPr>
          <w:p w14:paraId="6C37B0E6" w14:textId="79A0C0FB" w:rsidR="00EF6A0E" w:rsidRDefault="00CF4DAF">
            <w:pPr>
              <w:widowControl/>
              <w:jc w:val="center"/>
              <w:textAlignment w:val="center"/>
              <w:rPr>
                <w:rFonts w:eastAsia="仿宋"/>
                <w:b/>
                <w:bCs/>
                <w:color w:val="000000" w:themeColor="text1"/>
                <w:kern w:val="0"/>
                <w:szCs w:val="21"/>
              </w:rPr>
            </w:pPr>
            <w:r>
              <w:rPr>
                <w:rFonts w:eastAsia="仿宋_GB2312"/>
                <w:b/>
                <w:bCs/>
                <w:color w:val="000000" w:themeColor="text1"/>
                <w:szCs w:val="21"/>
              </w:rPr>
              <w:t>45.4</w:t>
            </w:r>
          </w:p>
        </w:tc>
      </w:tr>
      <w:tr w:rsidR="00EF6A0E" w14:paraId="2C69A6F3" w14:textId="77777777">
        <w:trPr>
          <w:trHeight w:val="412"/>
          <w:jc w:val="center"/>
        </w:trPr>
        <w:tc>
          <w:tcPr>
            <w:tcW w:w="2984" w:type="dxa"/>
            <w:vMerge/>
          </w:tcPr>
          <w:p w14:paraId="6AC6FA4A" w14:textId="77777777" w:rsidR="00EF6A0E" w:rsidRDefault="00EF6A0E">
            <w:pPr>
              <w:widowControl/>
              <w:jc w:val="center"/>
              <w:rPr>
                <w:rFonts w:eastAsia="仿宋"/>
                <w:b/>
                <w:bCs/>
                <w:color w:val="000000" w:themeColor="text1"/>
                <w:kern w:val="0"/>
                <w:szCs w:val="21"/>
              </w:rPr>
            </w:pPr>
          </w:p>
        </w:tc>
        <w:tc>
          <w:tcPr>
            <w:tcW w:w="1163" w:type="dxa"/>
            <w:vMerge/>
          </w:tcPr>
          <w:p w14:paraId="6E7CD53A" w14:textId="77777777" w:rsidR="00EF6A0E" w:rsidRDefault="00EF6A0E">
            <w:pPr>
              <w:widowControl/>
              <w:jc w:val="center"/>
              <w:rPr>
                <w:rFonts w:eastAsia="仿宋"/>
                <w:b/>
                <w:bCs/>
                <w:color w:val="000000" w:themeColor="text1"/>
                <w:kern w:val="0"/>
                <w:szCs w:val="21"/>
              </w:rPr>
            </w:pPr>
          </w:p>
        </w:tc>
        <w:tc>
          <w:tcPr>
            <w:tcW w:w="1650" w:type="dxa"/>
            <w:vAlign w:val="center"/>
          </w:tcPr>
          <w:p w14:paraId="460D0516" w14:textId="77777777"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大写金额</w:t>
            </w:r>
          </w:p>
        </w:tc>
        <w:tc>
          <w:tcPr>
            <w:tcW w:w="3823" w:type="dxa"/>
            <w:gridSpan w:val="2"/>
            <w:vAlign w:val="center"/>
          </w:tcPr>
          <w:p w14:paraId="7C88EFEF" w14:textId="782ED1E6" w:rsidR="00EF6A0E" w:rsidRDefault="00000000">
            <w:pPr>
              <w:widowControl/>
              <w:jc w:val="center"/>
              <w:rPr>
                <w:rFonts w:eastAsia="仿宋"/>
                <w:b/>
                <w:bCs/>
                <w:color w:val="000000" w:themeColor="text1"/>
                <w:kern w:val="0"/>
                <w:szCs w:val="21"/>
              </w:rPr>
            </w:pPr>
            <w:r>
              <w:rPr>
                <w:rFonts w:eastAsia="仿宋"/>
                <w:b/>
                <w:bCs/>
                <w:color w:val="000000" w:themeColor="text1"/>
                <w:kern w:val="0"/>
                <w:szCs w:val="21"/>
              </w:rPr>
              <w:t>人民币</w:t>
            </w:r>
            <w:r>
              <w:rPr>
                <w:rFonts w:eastAsia="仿宋" w:hint="eastAsia"/>
                <w:b/>
                <w:bCs/>
                <w:color w:val="000000" w:themeColor="text1"/>
                <w:kern w:val="0"/>
                <w:szCs w:val="21"/>
              </w:rPr>
              <w:fldChar w:fldCharType="begin"/>
            </w:r>
            <w:r>
              <w:rPr>
                <w:rFonts w:eastAsia="仿宋" w:hint="eastAsia"/>
                <w:b/>
                <w:bCs/>
                <w:color w:val="000000" w:themeColor="text1"/>
                <w:kern w:val="0"/>
                <w:szCs w:val="21"/>
              </w:rPr>
              <w:instrText xml:space="preserve"> = 543800 \* CHINESENUM2 \* MERGEFORMAT </w:instrText>
            </w:r>
            <w:r>
              <w:rPr>
                <w:rFonts w:eastAsia="仿宋" w:hint="eastAsia"/>
                <w:b/>
                <w:bCs/>
                <w:color w:val="000000" w:themeColor="text1"/>
                <w:kern w:val="0"/>
                <w:szCs w:val="21"/>
              </w:rPr>
              <w:fldChar w:fldCharType="separate"/>
            </w:r>
            <w:r w:rsidR="005E00CB">
              <w:rPr>
                <w:rFonts w:eastAsia="仿宋" w:hint="eastAsia"/>
                <w:b/>
                <w:bCs/>
                <w:color w:val="000000" w:themeColor="text1"/>
                <w:kern w:val="0"/>
                <w:szCs w:val="21"/>
              </w:rPr>
              <w:t>肆拾伍</w:t>
            </w:r>
            <w:r>
              <w:rPr>
                <w:rFonts w:eastAsia="仿宋"/>
                <w:b/>
                <w:bCs/>
                <w:color w:val="000000" w:themeColor="text1"/>
                <w:kern w:val="0"/>
                <w:szCs w:val="21"/>
              </w:rPr>
              <w:t>万</w:t>
            </w:r>
            <w:r w:rsidR="005E00CB">
              <w:rPr>
                <w:rFonts w:eastAsia="仿宋" w:hint="eastAsia"/>
                <w:b/>
                <w:bCs/>
                <w:color w:val="000000" w:themeColor="text1"/>
                <w:kern w:val="0"/>
                <w:szCs w:val="21"/>
              </w:rPr>
              <w:t>零肆</w:t>
            </w:r>
            <w:r>
              <w:rPr>
                <w:rFonts w:eastAsia="仿宋"/>
                <w:b/>
                <w:bCs/>
                <w:color w:val="000000" w:themeColor="text1"/>
                <w:kern w:val="0"/>
                <w:szCs w:val="21"/>
              </w:rPr>
              <w:t>仟</w:t>
            </w:r>
            <w:r>
              <w:rPr>
                <w:rFonts w:eastAsia="仿宋" w:hint="eastAsia"/>
                <w:b/>
                <w:bCs/>
                <w:color w:val="000000" w:themeColor="text1"/>
                <w:kern w:val="0"/>
                <w:szCs w:val="21"/>
              </w:rPr>
              <w:fldChar w:fldCharType="end"/>
            </w:r>
            <w:r>
              <w:rPr>
                <w:rFonts w:eastAsia="仿宋"/>
                <w:b/>
                <w:bCs/>
                <w:color w:val="000000" w:themeColor="text1"/>
                <w:kern w:val="0"/>
                <w:szCs w:val="21"/>
              </w:rPr>
              <w:t>元整</w:t>
            </w:r>
          </w:p>
        </w:tc>
      </w:tr>
    </w:tbl>
    <w:p w14:paraId="6C368D52" w14:textId="13B240AE" w:rsidR="00EF6A0E" w:rsidRDefault="00000000">
      <w:pPr>
        <w:pStyle w:val="2"/>
        <w:spacing w:beforeLines="50" w:before="156" w:afterLines="50" w:after="156" w:line="360" w:lineRule="auto"/>
        <w:ind w:firstLineChars="100" w:firstLine="321"/>
        <w:rPr>
          <w:rFonts w:ascii="仿宋" w:eastAsia="仿宋" w:hAnsi="仿宋" w:cs="仿宋"/>
          <w:kern w:val="0"/>
        </w:rPr>
      </w:pPr>
      <w:bookmarkStart w:id="43" w:name="_Toc25123"/>
      <w:r>
        <w:rPr>
          <w:rFonts w:ascii="仿宋" w:eastAsia="仿宋" w:hAnsi="仿宋" w:cs="仿宋" w:hint="eastAsia"/>
          <w:kern w:val="0"/>
        </w:rPr>
        <w:t>十一、注册房地产估价师</w:t>
      </w:r>
      <w:bookmarkEnd w:id="42"/>
      <w:bookmarkEnd w:id="43"/>
    </w:p>
    <w:tbl>
      <w:tblPr>
        <w:tblW w:w="0" w:type="auto"/>
        <w:jc w:val="center"/>
        <w:tblLayout w:type="fixed"/>
        <w:tblLook w:val="04A0" w:firstRow="1" w:lastRow="0" w:firstColumn="1" w:lastColumn="0" w:noHBand="0" w:noVBand="1"/>
      </w:tblPr>
      <w:tblGrid>
        <w:gridCol w:w="2568"/>
        <w:gridCol w:w="3285"/>
        <w:gridCol w:w="3795"/>
      </w:tblGrid>
      <w:tr w:rsidR="00EF6A0E" w14:paraId="44C2A75B" w14:textId="77777777">
        <w:trPr>
          <w:trHeight w:val="768"/>
          <w:jc w:val="center"/>
        </w:trPr>
        <w:tc>
          <w:tcPr>
            <w:tcW w:w="2568" w:type="dxa"/>
            <w:tcBorders>
              <w:top w:val="single" w:sz="4" w:space="0" w:color="auto"/>
              <w:left w:val="single" w:sz="4" w:space="0" w:color="auto"/>
              <w:bottom w:val="single" w:sz="4" w:space="0" w:color="auto"/>
              <w:right w:val="single" w:sz="4" w:space="0" w:color="auto"/>
            </w:tcBorders>
            <w:vAlign w:val="center"/>
          </w:tcPr>
          <w:p w14:paraId="03D862DA" w14:textId="77777777" w:rsidR="00EF6A0E" w:rsidRDefault="00000000">
            <w:pPr>
              <w:widowControl/>
              <w:jc w:val="center"/>
              <w:rPr>
                <w:rFonts w:ascii="仿宋" w:eastAsia="仿宋" w:hAnsi="仿宋" w:cs="仿宋"/>
                <w:color w:val="000000"/>
                <w:kern w:val="0"/>
                <w:sz w:val="28"/>
                <w:szCs w:val="28"/>
              </w:rPr>
            </w:pPr>
            <w:bookmarkStart w:id="44" w:name="_Toc23236"/>
            <w:bookmarkStart w:id="45" w:name="_Toc461005140"/>
            <w:bookmarkStart w:id="46" w:name="_Toc286074121"/>
            <w:bookmarkStart w:id="47" w:name="_Toc522795056"/>
            <w:r>
              <w:rPr>
                <w:rFonts w:ascii="仿宋" w:eastAsia="仿宋" w:hAnsi="仿宋" w:cs="仿宋" w:hint="eastAsia"/>
                <w:color w:val="000000"/>
                <w:kern w:val="0"/>
                <w:sz w:val="28"/>
                <w:szCs w:val="28"/>
              </w:rPr>
              <w:t>姓   名</w:t>
            </w:r>
          </w:p>
        </w:tc>
        <w:tc>
          <w:tcPr>
            <w:tcW w:w="3285" w:type="dxa"/>
            <w:tcBorders>
              <w:top w:val="single" w:sz="4" w:space="0" w:color="auto"/>
              <w:left w:val="nil"/>
              <w:bottom w:val="single" w:sz="4" w:space="0" w:color="auto"/>
              <w:right w:val="single" w:sz="4" w:space="0" w:color="auto"/>
            </w:tcBorders>
            <w:vAlign w:val="center"/>
          </w:tcPr>
          <w:p w14:paraId="1F54F394"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注册号</w:t>
            </w:r>
          </w:p>
        </w:tc>
        <w:tc>
          <w:tcPr>
            <w:tcW w:w="3795" w:type="dxa"/>
            <w:tcBorders>
              <w:top w:val="single" w:sz="4" w:space="0" w:color="auto"/>
              <w:left w:val="nil"/>
              <w:bottom w:val="single" w:sz="4" w:space="0" w:color="auto"/>
              <w:right w:val="single" w:sz="4" w:space="0" w:color="auto"/>
            </w:tcBorders>
            <w:vAlign w:val="center"/>
          </w:tcPr>
          <w:p w14:paraId="191138F4"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签名</w:t>
            </w:r>
          </w:p>
        </w:tc>
      </w:tr>
      <w:tr w:rsidR="00EF6A0E" w14:paraId="5506E669" w14:textId="77777777">
        <w:trPr>
          <w:trHeight w:val="768"/>
          <w:jc w:val="center"/>
        </w:trPr>
        <w:tc>
          <w:tcPr>
            <w:tcW w:w="2568" w:type="dxa"/>
            <w:tcBorders>
              <w:top w:val="nil"/>
              <w:left w:val="single" w:sz="4" w:space="0" w:color="auto"/>
              <w:bottom w:val="single" w:sz="4" w:space="0" w:color="auto"/>
              <w:right w:val="single" w:sz="4" w:space="0" w:color="auto"/>
            </w:tcBorders>
            <w:vAlign w:val="center"/>
          </w:tcPr>
          <w:p w14:paraId="7A9B292B"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覃  剑</w:t>
            </w:r>
          </w:p>
        </w:tc>
        <w:tc>
          <w:tcPr>
            <w:tcW w:w="3285" w:type="dxa"/>
            <w:tcBorders>
              <w:top w:val="nil"/>
              <w:left w:val="nil"/>
              <w:bottom w:val="single" w:sz="4" w:space="0" w:color="auto"/>
              <w:right w:val="single" w:sz="4" w:space="0" w:color="auto"/>
            </w:tcBorders>
            <w:vAlign w:val="center"/>
          </w:tcPr>
          <w:p w14:paraId="2D875208"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5220040052</w:t>
            </w:r>
          </w:p>
        </w:tc>
        <w:tc>
          <w:tcPr>
            <w:tcW w:w="3795" w:type="dxa"/>
            <w:tcBorders>
              <w:top w:val="nil"/>
              <w:left w:val="nil"/>
              <w:bottom w:val="single" w:sz="4" w:space="0" w:color="auto"/>
              <w:right w:val="single" w:sz="4" w:space="0" w:color="auto"/>
            </w:tcBorders>
          </w:tcPr>
          <w:p w14:paraId="3B62B6AD" w14:textId="77777777" w:rsidR="00EF6A0E" w:rsidRDefault="00000000">
            <w:pPr>
              <w:widowControl/>
              <w:jc w:val="left"/>
              <w:rPr>
                <w:rFonts w:ascii="仿宋" w:eastAsia="仿宋" w:hAnsi="仿宋" w:cs="仿宋"/>
                <w:kern w:val="0"/>
                <w:sz w:val="28"/>
                <w:szCs w:val="28"/>
              </w:rPr>
            </w:pPr>
            <w:r>
              <w:rPr>
                <w:rFonts w:ascii="仿宋" w:eastAsia="仿宋" w:hAnsi="仿宋" w:cs="仿宋" w:hint="eastAsia"/>
                <w:kern w:val="0"/>
                <w:sz w:val="28"/>
                <w:szCs w:val="28"/>
              </w:rPr>
              <w:t xml:space="preserve">　</w:t>
            </w:r>
          </w:p>
        </w:tc>
      </w:tr>
      <w:tr w:rsidR="00EF6A0E" w14:paraId="576B2BDF" w14:textId="77777777">
        <w:trPr>
          <w:trHeight w:val="814"/>
          <w:jc w:val="center"/>
        </w:trPr>
        <w:tc>
          <w:tcPr>
            <w:tcW w:w="2568" w:type="dxa"/>
            <w:tcBorders>
              <w:top w:val="nil"/>
              <w:left w:val="single" w:sz="4" w:space="0" w:color="auto"/>
              <w:bottom w:val="single" w:sz="4" w:space="0" w:color="auto"/>
              <w:right w:val="single" w:sz="4" w:space="0" w:color="auto"/>
            </w:tcBorders>
            <w:vAlign w:val="center"/>
          </w:tcPr>
          <w:p w14:paraId="04C222A4"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杨青钢</w:t>
            </w:r>
          </w:p>
        </w:tc>
        <w:tc>
          <w:tcPr>
            <w:tcW w:w="3285" w:type="dxa"/>
            <w:tcBorders>
              <w:top w:val="nil"/>
              <w:left w:val="nil"/>
              <w:bottom w:val="single" w:sz="4" w:space="0" w:color="auto"/>
              <w:right w:val="single" w:sz="4" w:space="0" w:color="auto"/>
            </w:tcBorders>
            <w:vAlign w:val="center"/>
          </w:tcPr>
          <w:p w14:paraId="26B78E8C" w14:textId="77777777" w:rsidR="00EF6A0E" w:rsidRDefault="00000000">
            <w:pPr>
              <w:widowControl/>
              <w:jc w:val="center"/>
              <w:rPr>
                <w:rFonts w:ascii="仿宋" w:eastAsia="仿宋" w:hAnsi="仿宋" w:cs="仿宋"/>
                <w:color w:val="000000"/>
                <w:kern w:val="0"/>
                <w:sz w:val="28"/>
                <w:szCs w:val="28"/>
              </w:rPr>
            </w:pPr>
            <w:r>
              <w:rPr>
                <w:rFonts w:ascii="仿宋" w:eastAsia="仿宋" w:hAnsi="仿宋" w:cs="仿宋" w:hint="eastAsia"/>
                <w:bCs/>
                <w:sz w:val="28"/>
              </w:rPr>
              <w:t>5220200026</w:t>
            </w:r>
          </w:p>
        </w:tc>
        <w:tc>
          <w:tcPr>
            <w:tcW w:w="3795" w:type="dxa"/>
            <w:tcBorders>
              <w:top w:val="nil"/>
              <w:left w:val="nil"/>
              <w:bottom w:val="single" w:sz="4" w:space="0" w:color="auto"/>
              <w:right w:val="single" w:sz="4" w:space="0" w:color="auto"/>
            </w:tcBorders>
            <w:vAlign w:val="center"/>
          </w:tcPr>
          <w:p w14:paraId="6AE467B3" w14:textId="77777777" w:rsidR="00EF6A0E" w:rsidRDefault="00000000">
            <w:pPr>
              <w:widowControl/>
              <w:jc w:val="center"/>
              <w:rPr>
                <w:rFonts w:ascii="仿宋" w:eastAsia="仿宋" w:hAnsi="仿宋" w:cs="仿宋"/>
                <w:kern w:val="0"/>
                <w:sz w:val="28"/>
                <w:szCs w:val="28"/>
              </w:rPr>
            </w:pPr>
            <w:r>
              <w:rPr>
                <w:rFonts w:ascii="仿宋" w:eastAsia="仿宋" w:hAnsi="仿宋" w:cs="仿宋" w:hint="eastAsia"/>
                <w:kern w:val="0"/>
                <w:sz w:val="28"/>
                <w:szCs w:val="28"/>
              </w:rPr>
              <w:t xml:space="preserve">　</w:t>
            </w:r>
          </w:p>
        </w:tc>
      </w:tr>
    </w:tbl>
    <w:p w14:paraId="457EEEF1" w14:textId="77777777" w:rsidR="00EF6A0E" w:rsidRDefault="00000000">
      <w:pPr>
        <w:pStyle w:val="2"/>
        <w:spacing w:beforeLines="50" w:before="156" w:afterLines="50" w:after="156" w:line="420" w:lineRule="exact"/>
        <w:ind w:firstLineChars="200" w:firstLine="643"/>
        <w:rPr>
          <w:rFonts w:ascii="仿宋" w:eastAsia="仿宋" w:hAnsi="仿宋" w:cs="仿宋"/>
          <w:kern w:val="0"/>
        </w:rPr>
      </w:pPr>
      <w:r>
        <w:rPr>
          <w:rFonts w:ascii="仿宋" w:eastAsia="仿宋" w:hAnsi="仿宋" w:cs="仿宋" w:hint="eastAsia"/>
          <w:kern w:val="0"/>
        </w:rPr>
        <w:lastRenderedPageBreak/>
        <w:t>十二、实地查勘期</w:t>
      </w:r>
      <w:bookmarkEnd w:id="44"/>
      <w:bookmarkEnd w:id="45"/>
    </w:p>
    <w:p w14:paraId="31A160BA" w14:textId="1DCD9433"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本次实地勘查日期是</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w:t>
      </w:r>
    </w:p>
    <w:p w14:paraId="17089CDC" w14:textId="77777777" w:rsidR="00EF6A0E" w:rsidRDefault="00000000">
      <w:pPr>
        <w:pStyle w:val="2"/>
        <w:spacing w:beforeLines="50" w:before="156" w:afterLines="50" w:after="156" w:line="420" w:lineRule="exact"/>
        <w:ind w:firstLineChars="200" w:firstLine="643"/>
        <w:rPr>
          <w:rFonts w:ascii="仿宋" w:eastAsia="仿宋" w:hAnsi="仿宋" w:cs="仿宋"/>
          <w:kern w:val="0"/>
        </w:rPr>
      </w:pPr>
      <w:bookmarkStart w:id="48" w:name="_Toc461005141"/>
      <w:bookmarkStart w:id="49" w:name="_Toc12405"/>
      <w:r>
        <w:rPr>
          <w:rFonts w:ascii="仿宋" w:eastAsia="仿宋" w:hAnsi="仿宋" w:cs="仿宋" w:hint="eastAsia"/>
          <w:kern w:val="0"/>
        </w:rPr>
        <w:t>十三、估价作业日期</w:t>
      </w:r>
      <w:bookmarkEnd w:id="48"/>
      <w:bookmarkEnd w:id="49"/>
    </w:p>
    <w:p w14:paraId="40765CDE" w14:textId="2A5EA4F3" w:rsidR="00EF6A0E" w:rsidRDefault="00000000">
      <w:pPr>
        <w:spacing w:line="420" w:lineRule="exact"/>
        <w:ind w:firstLineChars="200" w:firstLine="520"/>
        <w:rPr>
          <w:rFonts w:ascii="仿宋" w:eastAsia="仿宋" w:hAnsi="仿宋" w:cs="仿宋"/>
          <w:sz w:val="28"/>
          <w:szCs w:val="28"/>
        </w:rPr>
      </w:pPr>
      <w:r>
        <w:rPr>
          <w:rFonts w:eastAsia="仿宋_GB2312" w:hint="eastAsia"/>
          <w:color w:val="000000"/>
          <w:sz w:val="26"/>
          <w:szCs w:val="26"/>
        </w:rPr>
        <w:t>本次估价的作业日期是</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至</w:t>
      </w:r>
      <w:r>
        <w:rPr>
          <w:rFonts w:eastAsia="仿宋_GB2312" w:hint="eastAsia"/>
          <w:color w:val="000000"/>
          <w:sz w:val="26"/>
          <w:szCs w:val="26"/>
        </w:rPr>
        <w:t>2022</w:t>
      </w:r>
      <w:r>
        <w:rPr>
          <w:rFonts w:eastAsia="仿宋_GB2312" w:hint="eastAsia"/>
          <w:color w:val="000000"/>
          <w:sz w:val="26"/>
          <w:szCs w:val="26"/>
        </w:rPr>
        <w:t>年</w:t>
      </w:r>
      <w:r>
        <w:rPr>
          <w:rFonts w:eastAsia="仿宋_GB2312" w:hint="eastAsia"/>
          <w:color w:val="000000"/>
          <w:sz w:val="26"/>
          <w:szCs w:val="26"/>
        </w:rPr>
        <w:t>0</w:t>
      </w:r>
      <w:r w:rsidR="00BE2EA1">
        <w:rPr>
          <w:rFonts w:eastAsia="仿宋_GB2312"/>
          <w:color w:val="000000"/>
          <w:sz w:val="26"/>
          <w:szCs w:val="26"/>
        </w:rPr>
        <w:t>7</w:t>
      </w:r>
      <w:r>
        <w:rPr>
          <w:rFonts w:eastAsia="仿宋_GB2312" w:hint="eastAsia"/>
          <w:color w:val="000000"/>
          <w:sz w:val="26"/>
          <w:szCs w:val="26"/>
        </w:rPr>
        <w:t>月</w:t>
      </w:r>
      <w:r w:rsidR="00BE2EA1">
        <w:rPr>
          <w:rFonts w:eastAsia="仿宋_GB2312"/>
          <w:color w:val="000000"/>
          <w:sz w:val="26"/>
          <w:szCs w:val="26"/>
        </w:rPr>
        <w:t>11</w:t>
      </w:r>
      <w:r>
        <w:rPr>
          <w:rFonts w:eastAsia="仿宋_GB2312" w:hint="eastAsia"/>
          <w:color w:val="000000"/>
          <w:sz w:val="26"/>
          <w:szCs w:val="26"/>
        </w:rPr>
        <w:t>日。</w:t>
      </w:r>
    </w:p>
    <w:p w14:paraId="17D58C4A" w14:textId="77777777" w:rsidR="00EF6A0E" w:rsidRDefault="00000000">
      <w:pPr>
        <w:pStyle w:val="2"/>
        <w:spacing w:beforeLines="50" w:before="156" w:afterLines="50" w:after="156" w:line="420" w:lineRule="exact"/>
        <w:ind w:firstLineChars="200" w:firstLine="643"/>
        <w:rPr>
          <w:rFonts w:ascii="仿宋" w:eastAsia="仿宋" w:hAnsi="仿宋" w:cs="仿宋"/>
          <w:kern w:val="0"/>
        </w:rPr>
      </w:pPr>
      <w:bookmarkStart w:id="50" w:name="_Toc17879"/>
      <w:r>
        <w:rPr>
          <w:rFonts w:ascii="仿宋" w:eastAsia="仿宋" w:hAnsi="仿宋" w:cs="仿宋" w:hint="eastAsia"/>
          <w:kern w:val="0"/>
        </w:rPr>
        <w:t>十四、估价报告</w:t>
      </w:r>
      <w:bookmarkEnd w:id="46"/>
      <w:r>
        <w:rPr>
          <w:rFonts w:ascii="仿宋" w:eastAsia="仿宋" w:hAnsi="仿宋" w:cs="仿宋" w:hint="eastAsia"/>
          <w:kern w:val="0"/>
        </w:rPr>
        <w:t>应用的有效期</w:t>
      </w:r>
      <w:bookmarkEnd w:id="47"/>
      <w:bookmarkEnd w:id="50"/>
    </w:p>
    <w:p w14:paraId="7673ABFA" w14:textId="3C8534B0"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本估价报告有效期限为一年，从估价报告出具日期之日起计算，即：</w:t>
      </w:r>
      <w:r>
        <w:rPr>
          <w:rFonts w:eastAsia="仿宋_GB2312" w:hint="eastAsia"/>
          <w:color w:val="000000"/>
          <w:sz w:val="26"/>
          <w:szCs w:val="26"/>
        </w:rPr>
        <w:t>2022</w:t>
      </w:r>
      <w:r>
        <w:rPr>
          <w:rFonts w:eastAsia="仿宋_GB2312" w:hint="eastAsia"/>
          <w:color w:val="000000"/>
          <w:sz w:val="26"/>
          <w:szCs w:val="26"/>
        </w:rPr>
        <w:t>年</w:t>
      </w:r>
      <w:r>
        <w:rPr>
          <w:rFonts w:eastAsia="仿宋_GB2312" w:hint="eastAsia"/>
          <w:color w:val="000000"/>
          <w:sz w:val="26"/>
          <w:szCs w:val="26"/>
        </w:rPr>
        <w:t>0</w:t>
      </w:r>
      <w:r w:rsidR="00BE2EA1">
        <w:rPr>
          <w:rFonts w:eastAsia="仿宋_GB2312"/>
          <w:color w:val="000000"/>
          <w:sz w:val="26"/>
          <w:szCs w:val="26"/>
        </w:rPr>
        <w:t>7</w:t>
      </w:r>
      <w:r>
        <w:rPr>
          <w:rFonts w:eastAsia="仿宋_GB2312" w:hint="eastAsia"/>
          <w:color w:val="000000"/>
          <w:sz w:val="26"/>
          <w:szCs w:val="26"/>
        </w:rPr>
        <w:t>月</w:t>
      </w:r>
      <w:r w:rsidR="00BE2EA1">
        <w:rPr>
          <w:rFonts w:eastAsia="仿宋_GB2312"/>
          <w:color w:val="000000"/>
          <w:sz w:val="26"/>
          <w:szCs w:val="26"/>
        </w:rPr>
        <w:t>11</w:t>
      </w:r>
      <w:r>
        <w:rPr>
          <w:rFonts w:eastAsia="仿宋_GB2312" w:hint="eastAsia"/>
          <w:color w:val="000000"/>
          <w:sz w:val="26"/>
          <w:szCs w:val="26"/>
        </w:rPr>
        <w:t>日至</w:t>
      </w:r>
      <w:r>
        <w:rPr>
          <w:rFonts w:eastAsia="仿宋_GB2312" w:hint="eastAsia"/>
          <w:color w:val="000000"/>
          <w:sz w:val="26"/>
          <w:szCs w:val="26"/>
        </w:rPr>
        <w:t>2023</w:t>
      </w:r>
      <w:r>
        <w:rPr>
          <w:rFonts w:eastAsia="仿宋_GB2312" w:hint="eastAsia"/>
          <w:color w:val="000000"/>
          <w:sz w:val="26"/>
          <w:szCs w:val="26"/>
        </w:rPr>
        <w:t>年</w:t>
      </w:r>
      <w:r w:rsidR="00BE2EA1">
        <w:rPr>
          <w:rFonts w:eastAsia="仿宋_GB2312"/>
          <w:color w:val="000000"/>
          <w:sz w:val="26"/>
          <w:szCs w:val="26"/>
        </w:rPr>
        <w:t>07</w:t>
      </w:r>
      <w:r>
        <w:rPr>
          <w:rFonts w:eastAsia="仿宋_GB2312" w:hint="eastAsia"/>
          <w:color w:val="000000"/>
          <w:sz w:val="26"/>
          <w:szCs w:val="26"/>
        </w:rPr>
        <w:t>月</w:t>
      </w:r>
      <w:r w:rsidR="00BE2EA1">
        <w:rPr>
          <w:rFonts w:eastAsia="仿宋_GB2312"/>
          <w:color w:val="000000"/>
          <w:sz w:val="26"/>
          <w:szCs w:val="26"/>
        </w:rPr>
        <w:t>10</w:t>
      </w:r>
      <w:r>
        <w:rPr>
          <w:rFonts w:eastAsia="仿宋_GB2312" w:hint="eastAsia"/>
          <w:color w:val="000000"/>
          <w:sz w:val="26"/>
          <w:szCs w:val="26"/>
        </w:rPr>
        <w:t>日。</w:t>
      </w:r>
    </w:p>
    <w:p w14:paraId="4E997F65" w14:textId="77777777" w:rsidR="00EF6A0E" w:rsidRDefault="00000000">
      <w:pPr>
        <w:pStyle w:val="2"/>
        <w:spacing w:beforeLines="50" w:before="156" w:afterLines="50" w:after="156" w:line="420" w:lineRule="exact"/>
        <w:ind w:firstLineChars="200" w:firstLine="643"/>
        <w:rPr>
          <w:rFonts w:ascii="仿宋" w:eastAsia="仿宋" w:hAnsi="仿宋" w:cs="仿宋"/>
          <w:kern w:val="0"/>
        </w:rPr>
      </w:pPr>
      <w:bookmarkStart w:id="51" w:name="_Toc704"/>
      <w:bookmarkStart w:id="52" w:name="_Toc451421812"/>
      <w:r>
        <w:rPr>
          <w:rFonts w:ascii="仿宋" w:eastAsia="仿宋" w:hAnsi="仿宋" w:cs="仿宋" w:hint="eastAsia"/>
          <w:kern w:val="0"/>
        </w:rPr>
        <w:t>十五、其它需要特别说明的事项</w:t>
      </w:r>
      <w:bookmarkEnd w:id="51"/>
      <w:bookmarkEnd w:id="52"/>
    </w:p>
    <w:p w14:paraId="71B91CFB"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1</w:t>
      </w:r>
      <w:r>
        <w:rPr>
          <w:rFonts w:eastAsia="仿宋_GB2312" w:hint="eastAsia"/>
          <w:color w:val="000000"/>
          <w:sz w:val="26"/>
          <w:szCs w:val="26"/>
        </w:rPr>
        <w:t>、本报告结果及附件仅供委托方用于估价目的所载明的用途，不对其它用途负责，不能作为估价对象权属界定的依据。</w:t>
      </w:r>
    </w:p>
    <w:p w14:paraId="6599BA79" w14:textId="77777777" w:rsidR="00EF6A0E" w:rsidRDefault="00000000">
      <w:pPr>
        <w:adjustRightInd w:val="0"/>
        <w:snapToGrid w:val="0"/>
        <w:spacing w:line="420" w:lineRule="exact"/>
        <w:ind w:firstLineChars="200" w:firstLine="520"/>
        <w:rPr>
          <w:rFonts w:eastAsia="仿宋_GB2312"/>
          <w:color w:val="000000"/>
          <w:sz w:val="26"/>
          <w:szCs w:val="26"/>
        </w:rPr>
      </w:pPr>
      <w:r>
        <w:rPr>
          <w:rFonts w:eastAsia="仿宋_GB2312" w:hint="eastAsia"/>
          <w:color w:val="000000"/>
          <w:sz w:val="26"/>
          <w:szCs w:val="26"/>
        </w:rPr>
        <w:t>2</w:t>
      </w:r>
      <w:r>
        <w:rPr>
          <w:rFonts w:eastAsia="仿宋_GB2312" w:hint="eastAsia"/>
          <w:color w:val="000000"/>
          <w:sz w:val="26"/>
          <w:szCs w:val="26"/>
        </w:rPr>
        <w:t>、报告中提示的估价对象的市场价值是专业人员在一系列假设条件下模拟市场交易得出的价值结果，而交易价格往往受到交易时种种条件的限制，实际交易的情形也极难于与价值时点的假设条件保持一致，因此，估价结果仅供估价委托人参考，而不是对价格实现的一种保证。</w:t>
      </w:r>
    </w:p>
    <w:p w14:paraId="5593A65F" w14:textId="77777777" w:rsidR="00EF6A0E" w:rsidRDefault="00EF6A0E">
      <w:pPr>
        <w:spacing w:line="420" w:lineRule="exact"/>
        <w:jc w:val="right"/>
        <w:rPr>
          <w:rFonts w:ascii="仿宋" w:eastAsia="仿宋" w:hAnsi="仿宋" w:cs="仿宋"/>
          <w:b/>
          <w:bCs/>
          <w:color w:val="000000"/>
          <w:kern w:val="0"/>
          <w:sz w:val="28"/>
          <w:szCs w:val="28"/>
        </w:rPr>
      </w:pPr>
    </w:p>
    <w:p w14:paraId="1C62725D" w14:textId="77777777" w:rsidR="00EF6A0E" w:rsidRDefault="00000000">
      <w:pPr>
        <w:spacing w:line="420" w:lineRule="exact"/>
        <w:jc w:val="right"/>
        <w:rPr>
          <w:rFonts w:ascii="仿宋" w:eastAsia="仿宋" w:hAnsi="仿宋" w:cs="仿宋"/>
          <w:b/>
          <w:bCs/>
          <w:color w:val="000000"/>
          <w:kern w:val="0"/>
          <w:sz w:val="28"/>
          <w:szCs w:val="28"/>
        </w:rPr>
      </w:pPr>
      <w:r>
        <w:rPr>
          <w:rFonts w:ascii="仿宋" w:eastAsia="仿宋" w:hAnsi="仿宋" w:cs="仿宋" w:hint="eastAsia"/>
          <w:b/>
          <w:bCs/>
          <w:color w:val="000000"/>
          <w:kern w:val="0"/>
          <w:sz w:val="28"/>
          <w:szCs w:val="28"/>
        </w:rPr>
        <w:t>贵州昊远房地产土地评估有限公司</w:t>
      </w:r>
    </w:p>
    <w:p w14:paraId="07CA2A30" w14:textId="084FC6B7" w:rsidR="00EF6A0E" w:rsidRDefault="00000000">
      <w:pPr>
        <w:spacing w:line="420" w:lineRule="exact"/>
        <w:jc w:val="right"/>
        <w:rPr>
          <w:rFonts w:ascii="仿宋" w:eastAsia="仿宋" w:hAnsi="仿宋" w:cs="仿宋"/>
          <w:b/>
          <w:bCs/>
          <w:kern w:val="0"/>
          <w:sz w:val="44"/>
          <w:szCs w:val="44"/>
        </w:rPr>
      </w:pPr>
      <w:bookmarkStart w:id="53" w:name="_Toc491439231"/>
      <w:bookmarkStart w:id="54" w:name="_Toc457813611"/>
      <w:r>
        <w:rPr>
          <w:rFonts w:ascii="仿宋" w:eastAsia="仿宋" w:hAnsi="仿宋" w:cs="仿宋" w:hint="eastAsia"/>
          <w:b/>
          <w:bCs/>
          <w:sz w:val="28"/>
          <w:szCs w:val="28"/>
        </w:rPr>
        <w:t>二〇二二年</w:t>
      </w:r>
      <w:r w:rsidR="000E7103">
        <w:rPr>
          <w:rFonts w:ascii="仿宋" w:eastAsia="仿宋" w:hAnsi="仿宋" w:cs="仿宋" w:hint="eastAsia"/>
          <w:b/>
          <w:bCs/>
          <w:sz w:val="28"/>
          <w:szCs w:val="28"/>
        </w:rPr>
        <w:t>七</w:t>
      </w:r>
      <w:r>
        <w:rPr>
          <w:rFonts w:ascii="仿宋" w:eastAsia="仿宋" w:hAnsi="仿宋" w:cs="仿宋" w:hint="eastAsia"/>
          <w:b/>
          <w:bCs/>
          <w:sz w:val="28"/>
          <w:szCs w:val="28"/>
        </w:rPr>
        <w:t>月十一日</w:t>
      </w:r>
    </w:p>
    <w:p w14:paraId="196C1747" w14:textId="77777777" w:rsidR="00EF6A0E" w:rsidRDefault="00000000">
      <w:pPr>
        <w:rPr>
          <w:rFonts w:ascii="仿宋" w:eastAsia="仿宋" w:hAnsi="仿宋" w:cs="仿宋"/>
          <w:b/>
          <w:bCs/>
          <w:kern w:val="0"/>
          <w:sz w:val="44"/>
          <w:szCs w:val="44"/>
        </w:rPr>
      </w:pPr>
      <w:r>
        <w:rPr>
          <w:rFonts w:ascii="仿宋" w:eastAsia="仿宋" w:hAnsi="仿宋" w:cs="仿宋" w:hint="eastAsia"/>
          <w:b/>
          <w:bCs/>
          <w:kern w:val="0"/>
          <w:sz w:val="44"/>
          <w:szCs w:val="44"/>
        </w:rPr>
        <w:br w:type="page"/>
      </w:r>
    </w:p>
    <w:p w14:paraId="62C5C440" w14:textId="77777777" w:rsidR="00EF6A0E" w:rsidRDefault="00000000">
      <w:pPr>
        <w:pStyle w:val="2"/>
        <w:spacing w:beforeLines="50" w:before="156" w:afterLines="50" w:after="156"/>
        <w:jc w:val="center"/>
        <w:rPr>
          <w:rFonts w:ascii="仿宋" w:eastAsia="仿宋" w:hAnsi="仿宋" w:cs="仿宋"/>
          <w:kern w:val="0"/>
          <w:sz w:val="44"/>
          <w:szCs w:val="44"/>
        </w:rPr>
      </w:pPr>
      <w:bookmarkStart w:id="55" w:name="_Toc21381"/>
      <w:r>
        <w:rPr>
          <w:rFonts w:ascii="仿宋" w:eastAsia="仿宋" w:hAnsi="仿宋" w:cs="仿宋" w:hint="eastAsia"/>
          <w:kern w:val="0"/>
          <w:sz w:val="44"/>
          <w:szCs w:val="44"/>
        </w:rPr>
        <w:lastRenderedPageBreak/>
        <w:t>附     件</w:t>
      </w:r>
      <w:bookmarkEnd w:id="53"/>
      <w:bookmarkEnd w:id="54"/>
      <w:bookmarkEnd w:id="55"/>
    </w:p>
    <w:p w14:paraId="5806B3B3" w14:textId="77777777" w:rsidR="00EF6A0E" w:rsidRDefault="00EF6A0E">
      <w:pPr>
        <w:ind w:firstLineChars="200" w:firstLine="560"/>
        <w:rPr>
          <w:rFonts w:ascii="仿宋" w:eastAsia="仿宋" w:hAnsi="仿宋" w:cs="仿宋"/>
          <w:sz w:val="28"/>
          <w:szCs w:val="28"/>
        </w:rPr>
      </w:pPr>
    </w:p>
    <w:p w14:paraId="1428BBD0" w14:textId="77777777" w:rsidR="00EF6A0E" w:rsidRDefault="00000000">
      <w:pPr>
        <w:numPr>
          <w:ilvl w:val="0"/>
          <w:numId w:val="2"/>
        </w:numPr>
        <w:spacing w:line="680" w:lineRule="exact"/>
        <w:ind w:leftChars="266" w:left="1119" w:hangingChars="200" w:hanging="560"/>
        <w:rPr>
          <w:rFonts w:ascii="仿宋" w:eastAsia="仿宋" w:hAnsi="仿宋" w:cs="仿宋"/>
          <w:sz w:val="28"/>
          <w:szCs w:val="28"/>
        </w:rPr>
      </w:pPr>
      <w:r>
        <w:rPr>
          <w:rFonts w:ascii="仿宋" w:eastAsia="仿宋" w:hAnsi="仿宋" w:cs="仿宋" w:hint="eastAsia"/>
          <w:sz w:val="28"/>
          <w:szCs w:val="28"/>
        </w:rPr>
        <w:t>估价对象现状照片及位置图</w:t>
      </w:r>
    </w:p>
    <w:p w14:paraId="79B9CF9C" w14:textId="1B53FE76"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二、《</w:t>
      </w:r>
      <w:r w:rsidR="00A10557">
        <w:rPr>
          <w:rFonts w:ascii="仿宋" w:eastAsia="仿宋" w:hAnsi="仿宋" w:cs="仿宋" w:hint="eastAsia"/>
          <w:sz w:val="28"/>
          <w:szCs w:val="28"/>
        </w:rPr>
        <w:t>兴仁市人民法院</w:t>
      </w:r>
      <w:r>
        <w:rPr>
          <w:rFonts w:ascii="仿宋" w:eastAsia="仿宋" w:hAnsi="仿宋" w:cs="仿宋" w:hint="eastAsia"/>
          <w:sz w:val="28"/>
          <w:szCs w:val="28"/>
        </w:rPr>
        <w:t>委托书》复印件</w:t>
      </w:r>
    </w:p>
    <w:p w14:paraId="685E8496" w14:textId="77777777"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三、《贵州省不动产登记查询结果》复印件</w:t>
      </w:r>
    </w:p>
    <w:p w14:paraId="0D116482" w14:textId="1F4CB561" w:rsidR="00EF6A0E" w:rsidRDefault="00F667CB">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四、估价机构营业执照复印件</w:t>
      </w:r>
    </w:p>
    <w:p w14:paraId="6F4985EC" w14:textId="424B3F10" w:rsidR="00EF6A0E" w:rsidRDefault="00F667CB">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五、估价机构房地产估价备案证书复印件</w:t>
      </w:r>
    </w:p>
    <w:p w14:paraId="72A39F80" w14:textId="4CD54708" w:rsidR="00EF6A0E" w:rsidRDefault="00F667CB">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六、房地产估价师注册证书复印件</w:t>
      </w:r>
    </w:p>
    <w:p w14:paraId="0A2AD994" w14:textId="77777777" w:rsidR="00EF6A0E" w:rsidRDefault="00EF6A0E">
      <w:pPr>
        <w:spacing w:line="680" w:lineRule="exact"/>
        <w:ind w:firstLineChars="200" w:firstLine="560"/>
        <w:rPr>
          <w:rFonts w:ascii="仿宋" w:eastAsia="仿宋" w:hAnsi="仿宋" w:cs="仿宋"/>
          <w:sz w:val="28"/>
          <w:szCs w:val="28"/>
        </w:rPr>
      </w:pPr>
    </w:p>
    <w:p w14:paraId="28E9C1C8" w14:textId="77777777" w:rsidR="00EF6A0E" w:rsidRDefault="00EF6A0E">
      <w:pPr>
        <w:spacing w:line="680" w:lineRule="exact"/>
        <w:ind w:firstLineChars="200" w:firstLine="560"/>
        <w:rPr>
          <w:rFonts w:ascii="楷体" w:eastAsia="楷体" w:hAnsi="楷体" w:cs="楷体"/>
          <w:sz w:val="28"/>
          <w:szCs w:val="28"/>
        </w:rPr>
      </w:pPr>
    </w:p>
    <w:p w14:paraId="2ABBE648" w14:textId="77777777" w:rsidR="00EF6A0E" w:rsidRDefault="00EF6A0E">
      <w:pPr>
        <w:spacing w:line="680" w:lineRule="exact"/>
        <w:ind w:firstLineChars="200" w:firstLine="560"/>
        <w:rPr>
          <w:rFonts w:ascii="楷体" w:eastAsia="楷体" w:hAnsi="楷体" w:cs="楷体"/>
          <w:sz w:val="28"/>
          <w:szCs w:val="28"/>
        </w:rPr>
      </w:pPr>
    </w:p>
    <w:p w14:paraId="057E1CB8" w14:textId="77777777" w:rsidR="00EF6A0E" w:rsidRDefault="00EF6A0E">
      <w:pPr>
        <w:spacing w:line="680" w:lineRule="exact"/>
        <w:ind w:firstLineChars="200" w:firstLine="560"/>
        <w:rPr>
          <w:rFonts w:ascii="楷体" w:eastAsia="楷体" w:hAnsi="楷体" w:cs="楷体"/>
          <w:sz w:val="28"/>
          <w:szCs w:val="28"/>
        </w:rPr>
      </w:pPr>
    </w:p>
    <w:p w14:paraId="52207A09" w14:textId="77777777" w:rsidR="00EF6A0E" w:rsidRDefault="00EF6A0E">
      <w:pPr>
        <w:spacing w:line="680" w:lineRule="exact"/>
        <w:ind w:firstLineChars="200" w:firstLine="560"/>
        <w:rPr>
          <w:rFonts w:ascii="楷体" w:eastAsia="楷体" w:hAnsi="楷体" w:cs="楷体"/>
          <w:sz w:val="28"/>
          <w:szCs w:val="28"/>
        </w:rPr>
      </w:pPr>
    </w:p>
    <w:p w14:paraId="42F69824" w14:textId="77777777" w:rsidR="00EF6A0E" w:rsidRDefault="00EF6A0E">
      <w:pPr>
        <w:spacing w:line="680" w:lineRule="exact"/>
        <w:ind w:firstLineChars="200" w:firstLine="560"/>
        <w:rPr>
          <w:rFonts w:ascii="楷体" w:eastAsia="楷体" w:hAnsi="楷体" w:cs="楷体"/>
          <w:sz w:val="28"/>
          <w:szCs w:val="28"/>
        </w:rPr>
      </w:pPr>
    </w:p>
    <w:p w14:paraId="09377400" w14:textId="77777777" w:rsidR="00EF6A0E" w:rsidRDefault="00EF6A0E">
      <w:pPr>
        <w:spacing w:line="680" w:lineRule="exact"/>
        <w:ind w:firstLineChars="200" w:firstLine="560"/>
        <w:rPr>
          <w:rFonts w:ascii="楷体" w:eastAsia="楷体" w:hAnsi="楷体" w:cs="楷体"/>
          <w:sz w:val="28"/>
          <w:szCs w:val="28"/>
        </w:rPr>
      </w:pPr>
    </w:p>
    <w:p w14:paraId="2F69CC17" w14:textId="77777777" w:rsidR="00EF6A0E" w:rsidRDefault="00EF6A0E">
      <w:pPr>
        <w:spacing w:line="680" w:lineRule="exact"/>
        <w:ind w:firstLineChars="200" w:firstLine="560"/>
        <w:rPr>
          <w:rFonts w:ascii="楷体" w:eastAsia="楷体" w:hAnsi="楷体" w:cs="楷体"/>
          <w:sz w:val="28"/>
          <w:szCs w:val="28"/>
        </w:rPr>
      </w:pPr>
    </w:p>
    <w:p w14:paraId="08C748A7" w14:textId="77777777" w:rsidR="00EF6A0E" w:rsidRDefault="00EF6A0E">
      <w:pPr>
        <w:spacing w:line="680" w:lineRule="exact"/>
        <w:ind w:firstLineChars="200" w:firstLine="560"/>
        <w:rPr>
          <w:rFonts w:ascii="楷体" w:eastAsia="楷体" w:hAnsi="楷体" w:cs="楷体"/>
          <w:sz w:val="28"/>
          <w:szCs w:val="28"/>
        </w:rPr>
      </w:pPr>
    </w:p>
    <w:p w14:paraId="603AEE48" w14:textId="77777777" w:rsidR="00EF6A0E" w:rsidRDefault="00EF6A0E">
      <w:pPr>
        <w:spacing w:line="680" w:lineRule="exact"/>
        <w:ind w:firstLineChars="200" w:firstLine="560"/>
        <w:rPr>
          <w:rFonts w:ascii="楷体" w:eastAsia="楷体" w:hAnsi="楷体" w:cs="楷体"/>
          <w:sz w:val="28"/>
          <w:szCs w:val="28"/>
        </w:rPr>
      </w:pPr>
    </w:p>
    <w:p w14:paraId="4FD42229" w14:textId="77777777" w:rsidR="00EF6A0E" w:rsidRDefault="00EF6A0E">
      <w:pPr>
        <w:spacing w:line="680" w:lineRule="exact"/>
        <w:ind w:firstLineChars="200" w:firstLine="560"/>
        <w:rPr>
          <w:rFonts w:ascii="楷体" w:eastAsia="楷体" w:hAnsi="楷体" w:cs="楷体"/>
          <w:sz w:val="28"/>
          <w:szCs w:val="28"/>
        </w:rPr>
      </w:pPr>
    </w:p>
    <w:p w14:paraId="182F6F37" w14:textId="77777777" w:rsidR="00EF6A0E" w:rsidRDefault="00EF6A0E">
      <w:pPr>
        <w:spacing w:line="680" w:lineRule="exact"/>
        <w:rPr>
          <w:rFonts w:ascii="楷体" w:eastAsia="楷体" w:hAnsi="楷体" w:cs="楷体"/>
          <w:sz w:val="28"/>
          <w:szCs w:val="28"/>
        </w:rPr>
      </w:pPr>
    </w:p>
    <w:p w14:paraId="6ECA4F2B" w14:textId="77777777" w:rsidR="00EF6A0E" w:rsidRDefault="00000000">
      <w:pPr>
        <w:spacing w:line="680" w:lineRule="exact"/>
        <w:ind w:firstLineChars="200" w:firstLine="562"/>
        <w:jc w:val="center"/>
        <w:rPr>
          <w:rFonts w:ascii="仿宋" w:eastAsia="仿宋" w:hAnsi="仿宋" w:cs="仿宋"/>
          <w:b/>
          <w:bCs/>
          <w:sz w:val="28"/>
          <w:szCs w:val="28"/>
        </w:rPr>
      </w:pPr>
      <w:r>
        <w:rPr>
          <w:rFonts w:ascii="仿宋" w:eastAsia="仿宋" w:hAnsi="仿宋" w:cs="仿宋" w:hint="eastAsia"/>
          <w:b/>
          <w:bCs/>
          <w:sz w:val="28"/>
          <w:szCs w:val="28"/>
        </w:rPr>
        <w:lastRenderedPageBreak/>
        <w:t>估价对象现状照片</w:t>
      </w: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4976"/>
      </w:tblGrid>
      <w:tr w:rsidR="00EF6A0E" w14:paraId="45AEA6C0" w14:textId="77777777">
        <w:trPr>
          <w:trHeight w:val="5654"/>
        </w:trPr>
        <w:tc>
          <w:tcPr>
            <w:tcW w:w="4683" w:type="dxa"/>
            <w:vAlign w:val="center"/>
          </w:tcPr>
          <w:p w14:paraId="624C1BAE" w14:textId="6ACCC0F3" w:rsidR="00EF6A0E" w:rsidRDefault="00155EAD">
            <w:pPr>
              <w:jc w:val="center"/>
              <w:rPr>
                <w:rFonts w:ascii="楷体" w:eastAsia="楷体" w:hAnsi="楷体"/>
              </w:rPr>
            </w:pPr>
            <w:r>
              <w:rPr>
                <w:rFonts w:ascii="楷体" w:eastAsia="楷体" w:hAnsi="楷体" w:hint="eastAsia"/>
                <w:noProof/>
              </w:rPr>
              <w:drawing>
                <wp:inline distT="0" distB="0" distL="114300" distR="114300" wp14:anchorId="1F93BB7C" wp14:editId="70AAAF6C">
                  <wp:extent cx="2713794" cy="29040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505" cy="2917626"/>
                          </a:xfrm>
                          <a:prstGeom prst="rect">
                            <a:avLst/>
                          </a:prstGeom>
                        </pic:spPr>
                      </pic:pic>
                    </a:graphicData>
                  </a:graphic>
                </wp:inline>
              </w:drawing>
            </w:r>
          </w:p>
        </w:tc>
        <w:tc>
          <w:tcPr>
            <w:tcW w:w="4976" w:type="dxa"/>
            <w:vAlign w:val="center"/>
          </w:tcPr>
          <w:p w14:paraId="1CCED42E" w14:textId="1E6E6692" w:rsidR="00EF6A0E" w:rsidRDefault="00000000">
            <w:pPr>
              <w:jc w:val="center"/>
              <w:rPr>
                <w:rFonts w:ascii="楷体" w:eastAsia="楷体" w:hAnsi="楷体"/>
                <w:b/>
              </w:rPr>
            </w:pPr>
            <w:r>
              <w:rPr>
                <w:rFonts w:ascii="楷体" w:eastAsia="楷体" w:hAnsi="楷体" w:hint="eastAsia"/>
                <w:b/>
                <w:noProof/>
              </w:rPr>
              <w:drawing>
                <wp:inline distT="0" distB="0" distL="114300" distR="114300" wp14:anchorId="4F60F475" wp14:editId="1ACF7C1C">
                  <wp:extent cx="2742757" cy="3280682"/>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759" cy="3286665"/>
                          </a:xfrm>
                          <a:prstGeom prst="rect">
                            <a:avLst/>
                          </a:prstGeom>
                        </pic:spPr>
                      </pic:pic>
                    </a:graphicData>
                  </a:graphic>
                </wp:inline>
              </w:drawing>
            </w:r>
          </w:p>
        </w:tc>
      </w:tr>
      <w:tr w:rsidR="00EF6A0E" w14:paraId="6933F520" w14:textId="77777777">
        <w:trPr>
          <w:trHeight w:val="696"/>
        </w:trPr>
        <w:tc>
          <w:tcPr>
            <w:tcW w:w="4683" w:type="dxa"/>
            <w:tcBorders>
              <w:top w:val="nil"/>
            </w:tcBorders>
            <w:vAlign w:val="center"/>
          </w:tcPr>
          <w:p w14:paraId="583FFCE0"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nil"/>
            </w:tcBorders>
            <w:vAlign w:val="center"/>
          </w:tcPr>
          <w:p w14:paraId="29D4F126" w14:textId="77777777" w:rsidR="00EF6A0E" w:rsidRDefault="00000000">
            <w:pPr>
              <w:jc w:val="center"/>
              <w:rPr>
                <w:rFonts w:ascii="楷体" w:eastAsia="楷体" w:hAnsi="楷体"/>
              </w:rPr>
            </w:pPr>
            <w:r>
              <w:rPr>
                <w:rFonts w:ascii="楷体" w:eastAsia="楷体" w:hAnsi="楷体" w:hint="eastAsia"/>
              </w:rPr>
              <w:t>估价对象照片</w:t>
            </w:r>
          </w:p>
        </w:tc>
      </w:tr>
      <w:tr w:rsidR="00EF6A0E" w14:paraId="08251EB7" w14:textId="77777777">
        <w:trPr>
          <w:trHeight w:val="5092"/>
        </w:trPr>
        <w:tc>
          <w:tcPr>
            <w:tcW w:w="4683" w:type="dxa"/>
            <w:tcBorders>
              <w:top w:val="nil"/>
            </w:tcBorders>
            <w:vAlign w:val="center"/>
          </w:tcPr>
          <w:p w14:paraId="094FC0EB" w14:textId="543B7C26" w:rsidR="00EF6A0E" w:rsidRDefault="00155EAD">
            <w:pPr>
              <w:jc w:val="center"/>
              <w:rPr>
                <w:rFonts w:ascii="楷体" w:eastAsia="楷体" w:hAnsi="楷体"/>
              </w:rPr>
            </w:pPr>
            <w:r>
              <w:rPr>
                <w:rFonts w:ascii="楷体" w:eastAsia="楷体" w:hAnsi="楷体"/>
                <w:noProof/>
              </w:rPr>
              <w:drawing>
                <wp:inline distT="0" distB="0" distL="0" distR="0" wp14:anchorId="091691BA" wp14:editId="135FC457">
                  <wp:extent cx="2836545" cy="2638151"/>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2816" cy="2643984"/>
                          </a:xfrm>
                          <a:prstGeom prst="rect">
                            <a:avLst/>
                          </a:prstGeom>
                        </pic:spPr>
                      </pic:pic>
                    </a:graphicData>
                  </a:graphic>
                </wp:inline>
              </w:drawing>
            </w:r>
          </w:p>
        </w:tc>
        <w:tc>
          <w:tcPr>
            <w:tcW w:w="4976" w:type="dxa"/>
            <w:tcBorders>
              <w:top w:val="nil"/>
            </w:tcBorders>
            <w:vAlign w:val="center"/>
          </w:tcPr>
          <w:p w14:paraId="53A8A740" w14:textId="77777777" w:rsidR="00EF6A0E" w:rsidRDefault="00000000">
            <w:pPr>
              <w:jc w:val="center"/>
              <w:rPr>
                <w:rFonts w:ascii="楷体" w:eastAsia="楷体" w:hAnsi="楷体"/>
                <w:b/>
              </w:rPr>
            </w:pPr>
            <w:r>
              <w:rPr>
                <w:rFonts w:ascii="楷体" w:eastAsia="楷体" w:hAnsi="楷体" w:hint="eastAsia"/>
                <w:b/>
                <w:noProof/>
              </w:rPr>
              <w:drawing>
                <wp:inline distT="0" distB="0" distL="114300" distR="114300" wp14:anchorId="1C9632DC" wp14:editId="2E396347">
                  <wp:extent cx="2371248" cy="31616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248" cy="3161665"/>
                          </a:xfrm>
                          <a:prstGeom prst="rect">
                            <a:avLst/>
                          </a:prstGeom>
                        </pic:spPr>
                      </pic:pic>
                    </a:graphicData>
                  </a:graphic>
                </wp:inline>
              </w:drawing>
            </w:r>
          </w:p>
        </w:tc>
      </w:tr>
      <w:tr w:rsidR="00EF6A0E" w14:paraId="2B3CB726" w14:textId="77777777">
        <w:trPr>
          <w:trHeight w:val="717"/>
        </w:trPr>
        <w:tc>
          <w:tcPr>
            <w:tcW w:w="4683" w:type="dxa"/>
            <w:tcBorders>
              <w:top w:val="single" w:sz="4" w:space="0" w:color="auto"/>
            </w:tcBorders>
            <w:vAlign w:val="center"/>
          </w:tcPr>
          <w:p w14:paraId="13180B81"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single" w:sz="4" w:space="0" w:color="auto"/>
            </w:tcBorders>
            <w:vAlign w:val="center"/>
          </w:tcPr>
          <w:p w14:paraId="1C7E101C" w14:textId="77777777" w:rsidR="00EF6A0E" w:rsidRDefault="00000000">
            <w:pPr>
              <w:jc w:val="center"/>
              <w:rPr>
                <w:rFonts w:ascii="楷体" w:eastAsia="楷体" w:hAnsi="楷体"/>
              </w:rPr>
            </w:pPr>
            <w:r>
              <w:rPr>
                <w:rFonts w:ascii="楷体" w:eastAsia="楷体" w:hAnsi="楷体" w:hint="eastAsia"/>
              </w:rPr>
              <w:t>估价对象照片</w:t>
            </w:r>
          </w:p>
        </w:tc>
      </w:tr>
    </w:tbl>
    <w:p w14:paraId="534AF064" w14:textId="77777777" w:rsidR="00EF6A0E" w:rsidRDefault="00EF6A0E">
      <w:pPr>
        <w:spacing w:line="680" w:lineRule="exact"/>
        <w:ind w:firstLineChars="200" w:firstLine="560"/>
        <w:rPr>
          <w:rFonts w:ascii="楷体" w:eastAsia="楷体" w:hAnsi="楷体" w:cs="楷体"/>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4976"/>
      </w:tblGrid>
      <w:tr w:rsidR="00EF6A0E" w14:paraId="764B3899" w14:textId="77777777">
        <w:trPr>
          <w:trHeight w:val="5654"/>
        </w:trPr>
        <w:tc>
          <w:tcPr>
            <w:tcW w:w="4683" w:type="dxa"/>
            <w:vAlign w:val="center"/>
          </w:tcPr>
          <w:p w14:paraId="7CF50005" w14:textId="7584067F" w:rsidR="00EF6A0E" w:rsidRDefault="00C72760">
            <w:pPr>
              <w:jc w:val="center"/>
              <w:rPr>
                <w:rFonts w:ascii="楷体" w:eastAsia="楷体" w:hAnsi="楷体"/>
              </w:rPr>
            </w:pPr>
            <w:r>
              <w:rPr>
                <w:rFonts w:ascii="楷体" w:eastAsia="楷体" w:hAnsi="楷体" w:hint="eastAsia"/>
                <w:b/>
                <w:noProof/>
              </w:rPr>
              <w:lastRenderedPageBreak/>
              <w:drawing>
                <wp:inline distT="0" distB="0" distL="114300" distR="114300" wp14:anchorId="77C76398" wp14:editId="2CE4320C">
                  <wp:extent cx="2390727" cy="349200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5660" cy="3513813"/>
                          </a:xfrm>
                          <a:prstGeom prst="rect">
                            <a:avLst/>
                          </a:prstGeom>
                        </pic:spPr>
                      </pic:pic>
                    </a:graphicData>
                  </a:graphic>
                </wp:inline>
              </w:drawing>
            </w:r>
          </w:p>
        </w:tc>
        <w:tc>
          <w:tcPr>
            <w:tcW w:w="4976" w:type="dxa"/>
            <w:vAlign w:val="center"/>
          </w:tcPr>
          <w:p w14:paraId="5E0EBBE5" w14:textId="743D1B2E" w:rsidR="00EF6A0E" w:rsidRDefault="00C72760">
            <w:pPr>
              <w:jc w:val="center"/>
              <w:rPr>
                <w:rFonts w:ascii="楷体" w:eastAsia="楷体" w:hAnsi="楷体"/>
                <w:b/>
              </w:rPr>
            </w:pPr>
            <w:r>
              <w:rPr>
                <w:rFonts w:ascii="楷体" w:eastAsia="楷体" w:hAnsi="楷体"/>
                <w:b/>
                <w:noProof/>
              </w:rPr>
              <w:drawing>
                <wp:inline distT="0" distB="0" distL="0" distR="0" wp14:anchorId="6748AD8B" wp14:editId="6A7F787D">
                  <wp:extent cx="3022145" cy="3216288"/>
                  <wp:effectExtent l="0" t="0" r="698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818" cy="3223390"/>
                          </a:xfrm>
                          <a:prstGeom prst="rect">
                            <a:avLst/>
                          </a:prstGeom>
                        </pic:spPr>
                      </pic:pic>
                    </a:graphicData>
                  </a:graphic>
                </wp:inline>
              </w:drawing>
            </w:r>
          </w:p>
        </w:tc>
      </w:tr>
      <w:tr w:rsidR="00EF6A0E" w14:paraId="68389039" w14:textId="77777777">
        <w:trPr>
          <w:trHeight w:val="696"/>
        </w:trPr>
        <w:tc>
          <w:tcPr>
            <w:tcW w:w="4683" w:type="dxa"/>
            <w:tcBorders>
              <w:top w:val="nil"/>
            </w:tcBorders>
            <w:vAlign w:val="center"/>
          </w:tcPr>
          <w:p w14:paraId="3EC741D0"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nil"/>
            </w:tcBorders>
            <w:vAlign w:val="center"/>
          </w:tcPr>
          <w:p w14:paraId="7D34A8B1" w14:textId="77777777" w:rsidR="00EF6A0E" w:rsidRDefault="00000000">
            <w:pPr>
              <w:jc w:val="center"/>
              <w:rPr>
                <w:rFonts w:ascii="楷体" w:eastAsia="楷体" w:hAnsi="楷体"/>
              </w:rPr>
            </w:pPr>
            <w:r>
              <w:rPr>
                <w:rFonts w:ascii="楷体" w:eastAsia="楷体" w:hAnsi="楷体" w:hint="eastAsia"/>
              </w:rPr>
              <w:t>估价对象照片</w:t>
            </w:r>
          </w:p>
        </w:tc>
      </w:tr>
      <w:tr w:rsidR="00EF6A0E" w14:paraId="3757D491" w14:textId="77777777">
        <w:trPr>
          <w:trHeight w:val="5092"/>
        </w:trPr>
        <w:tc>
          <w:tcPr>
            <w:tcW w:w="4683" w:type="dxa"/>
            <w:tcBorders>
              <w:top w:val="nil"/>
            </w:tcBorders>
            <w:vAlign w:val="center"/>
          </w:tcPr>
          <w:p w14:paraId="5D01D9B6" w14:textId="290F3F4D" w:rsidR="00EF6A0E" w:rsidRDefault="00C72760">
            <w:pPr>
              <w:jc w:val="center"/>
              <w:rPr>
                <w:rFonts w:ascii="楷体" w:eastAsia="楷体" w:hAnsi="楷体"/>
              </w:rPr>
            </w:pPr>
            <w:r>
              <w:rPr>
                <w:rFonts w:ascii="楷体" w:eastAsia="楷体" w:hAnsi="楷体"/>
                <w:noProof/>
              </w:rPr>
              <w:drawing>
                <wp:inline distT="0" distB="0" distL="0" distR="0" wp14:anchorId="48FC3C8C" wp14:editId="64F44B4F">
                  <wp:extent cx="2836545" cy="3965607"/>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568" cy="3965639"/>
                          </a:xfrm>
                          <a:prstGeom prst="rect">
                            <a:avLst/>
                          </a:prstGeom>
                        </pic:spPr>
                      </pic:pic>
                    </a:graphicData>
                  </a:graphic>
                </wp:inline>
              </w:drawing>
            </w:r>
          </w:p>
        </w:tc>
        <w:tc>
          <w:tcPr>
            <w:tcW w:w="4976" w:type="dxa"/>
            <w:tcBorders>
              <w:top w:val="nil"/>
            </w:tcBorders>
            <w:vAlign w:val="center"/>
          </w:tcPr>
          <w:p w14:paraId="2B09F063" w14:textId="381216CA" w:rsidR="00EF6A0E" w:rsidRDefault="00C72760">
            <w:pPr>
              <w:jc w:val="center"/>
              <w:rPr>
                <w:rFonts w:ascii="楷体" w:eastAsia="楷体" w:hAnsi="楷体"/>
                <w:b/>
              </w:rPr>
            </w:pPr>
            <w:r>
              <w:rPr>
                <w:rFonts w:ascii="楷体" w:eastAsia="楷体" w:hAnsi="楷体"/>
                <w:noProof/>
              </w:rPr>
              <w:drawing>
                <wp:inline distT="0" distB="0" distL="0" distR="0" wp14:anchorId="29010C4A" wp14:editId="1F1A4577">
                  <wp:extent cx="2836545" cy="3834039"/>
                  <wp:effectExtent l="0" t="0" r="190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7589" cy="3835450"/>
                          </a:xfrm>
                          <a:prstGeom prst="rect">
                            <a:avLst/>
                          </a:prstGeom>
                        </pic:spPr>
                      </pic:pic>
                    </a:graphicData>
                  </a:graphic>
                </wp:inline>
              </w:drawing>
            </w:r>
          </w:p>
        </w:tc>
      </w:tr>
      <w:tr w:rsidR="00EF6A0E" w14:paraId="41D08C35" w14:textId="77777777">
        <w:trPr>
          <w:trHeight w:val="717"/>
        </w:trPr>
        <w:tc>
          <w:tcPr>
            <w:tcW w:w="4683" w:type="dxa"/>
            <w:tcBorders>
              <w:top w:val="single" w:sz="4" w:space="0" w:color="auto"/>
            </w:tcBorders>
            <w:vAlign w:val="center"/>
          </w:tcPr>
          <w:p w14:paraId="3F8286E8"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single" w:sz="4" w:space="0" w:color="auto"/>
            </w:tcBorders>
            <w:vAlign w:val="center"/>
          </w:tcPr>
          <w:p w14:paraId="0D7E5005" w14:textId="77777777" w:rsidR="00EF6A0E" w:rsidRDefault="00000000">
            <w:pPr>
              <w:jc w:val="center"/>
              <w:rPr>
                <w:rFonts w:ascii="楷体" w:eastAsia="楷体" w:hAnsi="楷体"/>
              </w:rPr>
            </w:pPr>
            <w:r>
              <w:rPr>
                <w:rFonts w:ascii="楷体" w:eastAsia="楷体" w:hAnsi="楷体" w:hint="eastAsia"/>
              </w:rPr>
              <w:t>估价对象照片</w:t>
            </w:r>
          </w:p>
        </w:tc>
      </w:tr>
    </w:tbl>
    <w:p w14:paraId="789FB686" w14:textId="77777777" w:rsidR="00EF6A0E" w:rsidRDefault="00EF6A0E">
      <w:pPr>
        <w:spacing w:line="680" w:lineRule="exact"/>
        <w:ind w:firstLineChars="200" w:firstLine="560"/>
        <w:rPr>
          <w:rFonts w:ascii="楷体" w:eastAsia="楷体" w:hAnsi="楷体" w:cs="楷体"/>
          <w:sz w:val="28"/>
          <w:szCs w:val="28"/>
        </w:rPr>
      </w:pPr>
    </w:p>
    <w:tbl>
      <w:tblPr>
        <w:tblpPr w:leftFromText="180" w:rightFromText="180" w:vertAnchor="text" w:horzAnchor="page" w:tblpX="1294" w:tblpY="252"/>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3"/>
        <w:gridCol w:w="4976"/>
      </w:tblGrid>
      <w:tr w:rsidR="00EF6A0E" w14:paraId="6C06C8D6" w14:textId="77777777">
        <w:trPr>
          <w:trHeight w:val="5654"/>
        </w:trPr>
        <w:tc>
          <w:tcPr>
            <w:tcW w:w="4683" w:type="dxa"/>
            <w:vAlign w:val="center"/>
          </w:tcPr>
          <w:p w14:paraId="222A3AC0" w14:textId="16B38C1A" w:rsidR="00EF6A0E" w:rsidRDefault="00C72760">
            <w:pPr>
              <w:jc w:val="center"/>
              <w:rPr>
                <w:rFonts w:ascii="楷体" w:eastAsia="楷体" w:hAnsi="楷体"/>
              </w:rPr>
            </w:pPr>
            <w:r>
              <w:rPr>
                <w:rFonts w:ascii="楷体" w:eastAsia="楷体" w:hAnsi="楷体"/>
                <w:noProof/>
              </w:rPr>
              <w:drawing>
                <wp:inline distT="0" distB="0" distL="0" distR="0" wp14:anchorId="01126DCF" wp14:editId="355C135A">
                  <wp:extent cx="2836545" cy="3795747"/>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9904" cy="3800241"/>
                          </a:xfrm>
                          <a:prstGeom prst="rect">
                            <a:avLst/>
                          </a:prstGeom>
                        </pic:spPr>
                      </pic:pic>
                    </a:graphicData>
                  </a:graphic>
                </wp:inline>
              </w:drawing>
            </w:r>
          </w:p>
        </w:tc>
        <w:tc>
          <w:tcPr>
            <w:tcW w:w="4976" w:type="dxa"/>
            <w:vAlign w:val="center"/>
          </w:tcPr>
          <w:p w14:paraId="491CAC32" w14:textId="0E079BCC" w:rsidR="00EF6A0E" w:rsidRDefault="00C72760">
            <w:pPr>
              <w:jc w:val="center"/>
              <w:rPr>
                <w:rFonts w:ascii="楷体" w:eastAsia="楷体" w:hAnsi="楷体"/>
                <w:b/>
              </w:rPr>
            </w:pPr>
            <w:r>
              <w:rPr>
                <w:rFonts w:ascii="楷体" w:eastAsia="楷体" w:hAnsi="楷体"/>
                <w:noProof/>
              </w:rPr>
              <w:drawing>
                <wp:inline distT="0" distB="0" distL="0" distR="0" wp14:anchorId="54F0A3F2" wp14:editId="379FDE34">
                  <wp:extent cx="2994030" cy="37820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9456" cy="3788914"/>
                          </a:xfrm>
                          <a:prstGeom prst="rect">
                            <a:avLst/>
                          </a:prstGeom>
                        </pic:spPr>
                      </pic:pic>
                    </a:graphicData>
                  </a:graphic>
                </wp:inline>
              </w:drawing>
            </w:r>
          </w:p>
        </w:tc>
      </w:tr>
      <w:tr w:rsidR="00EF6A0E" w14:paraId="255B5948" w14:textId="77777777">
        <w:trPr>
          <w:trHeight w:val="696"/>
        </w:trPr>
        <w:tc>
          <w:tcPr>
            <w:tcW w:w="4683" w:type="dxa"/>
            <w:tcBorders>
              <w:top w:val="nil"/>
            </w:tcBorders>
            <w:vAlign w:val="center"/>
          </w:tcPr>
          <w:p w14:paraId="5B53AF4E"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nil"/>
            </w:tcBorders>
            <w:vAlign w:val="center"/>
          </w:tcPr>
          <w:p w14:paraId="34791D07" w14:textId="77777777" w:rsidR="00EF6A0E" w:rsidRDefault="00000000">
            <w:pPr>
              <w:jc w:val="center"/>
              <w:rPr>
                <w:rFonts w:ascii="楷体" w:eastAsia="楷体" w:hAnsi="楷体"/>
              </w:rPr>
            </w:pPr>
            <w:r>
              <w:rPr>
                <w:rFonts w:ascii="楷体" w:eastAsia="楷体" w:hAnsi="楷体" w:hint="eastAsia"/>
              </w:rPr>
              <w:t>估价对象照片</w:t>
            </w:r>
          </w:p>
        </w:tc>
      </w:tr>
      <w:tr w:rsidR="00EF6A0E" w14:paraId="18D08CB3" w14:textId="77777777">
        <w:trPr>
          <w:trHeight w:val="5092"/>
        </w:trPr>
        <w:tc>
          <w:tcPr>
            <w:tcW w:w="4683" w:type="dxa"/>
            <w:tcBorders>
              <w:top w:val="nil"/>
            </w:tcBorders>
            <w:vAlign w:val="center"/>
          </w:tcPr>
          <w:p w14:paraId="3C7CDA6D" w14:textId="77777777" w:rsidR="00EF6A0E" w:rsidRDefault="00000000">
            <w:pPr>
              <w:jc w:val="center"/>
              <w:rPr>
                <w:rFonts w:ascii="楷体" w:eastAsia="楷体" w:hAnsi="楷体"/>
              </w:rPr>
            </w:pPr>
            <w:r>
              <w:rPr>
                <w:rFonts w:ascii="楷体" w:eastAsia="楷体" w:hAnsi="楷体" w:hint="eastAsia"/>
                <w:noProof/>
              </w:rPr>
              <w:drawing>
                <wp:inline distT="0" distB="0" distL="114300" distR="114300" wp14:anchorId="2499E45C" wp14:editId="4FFF20E5">
                  <wp:extent cx="2703195" cy="3058964"/>
                  <wp:effectExtent l="0" t="0" r="190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7773" cy="3075461"/>
                          </a:xfrm>
                          <a:prstGeom prst="rect">
                            <a:avLst/>
                          </a:prstGeom>
                        </pic:spPr>
                      </pic:pic>
                    </a:graphicData>
                  </a:graphic>
                </wp:inline>
              </w:drawing>
            </w:r>
          </w:p>
        </w:tc>
        <w:tc>
          <w:tcPr>
            <w:tcW w:w="4976" w:type="dxa"/>
            <w:tcBorders>
              <w:top w:val="nil"/>
            </w:tcBorders>
            <w:vAlign w:val="center"/>
          </w:tcPr>
          <w:p w14:paraId="1CD45513" w14:textId="77777777" w:rsidR="00EF6A0E" w:rsidRDefault="00000000">
            <w:pPr>
              <w:jc w:val="center"/>
              <w:rPr>
                <w:rFonts w:ascii="楷体" w:eastAsia="楷体" w:hAnsi="楷体"/>
                <w:b/>
              </w:rPr>
            </w:pPr>
            <w:r>
              <w:rPr>
                <w:rFonts w:ascii="楷体" w:eastAsia="楷体" w:hAnsi="楷体" w:hint="eastAsia"/>
                <w:b/>
                <w:noProof/>
              </w:rPr>
              <w:drawing>
                <wp:inline distT="0" distB="0" distL="114300" distR="114300" wp14:anchorId="5D38215B" wp14:editId="6C02E8F6">
                  <wp:extent cx="2879246" cy="3066816"/>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8890" cy="3077088"/>
                          </a:xfrm>
                          <a:prstGeom prst="rect">
                            <a:avLst/>
                          </a:prstGeom>
                        </pic:spPr>
                      </pic:pic>
                    </a:graphicData>
                  </a:graphic>
                </wp:inline>
              </w:drawing>
            </w:r>
          </w:p>
        </w:tc>
      </w:tr>
      <w:tr w:rsidR="00EF6A0E" w14:paraId="3D411B40" w14:textId="77777777">
        <w:trPr>
          <w:trHeight w:val="717"/>
        </w:trPr>
        <w:tc>
          <w:tcPr>
            <w:tcW w:w="4683" w:type="dxa"/>
            <w:tcBorders>
              <w:top w:val="single" w:sz="4" w:space="0" w:color="auto"/>
            </w:tcBorders>
            <w:vAlign w:val="center"/>
          </w:tcPr>
          <w:p w14:paraId="13B27DDB" w14:textId="77777777" w:rsidR="00EF6A0E" w:rsidRDefault="00000000">
            <w:pPr>
              <w:jc w:val="center"/>
              <w:rPr>
                <w:rFonts w:ascii="楷体" w:eastAsia="楷体" w:hAnsi="楷体"/>
              </w:rPr>
            </w:pPr>
            <w:r>
              <w:rPr>
                <w:rFonts w:ascii="楷体" w:eastAsia="楷体" w:hAnsi="楷体" w:hint="eastAsia"/>
              </w:rPr>
              <w:t>估价对象照片</w:t>
            </w:r>
          </w:p>
        </w:tc>
        <w:tc>
          <w:tcPr>
            <w:tcW w:w="4976" w:type="dxa"/>
            <w:tcBorders>
              <w:top w:val="single" w:sz="4" w:space="0" w:color="auto"/>
            </w:tcBorders>
            <w:vAlign w:val="center"/>
          </w:tcPr>
          <w:p w14:paraId="4192F155" w14:textId="77777777" w:rsidR="00EF6A0E" w:rsidRDefault="00000000">
            <w:pPr>
              <w:jc w:val="center"/>
              <w:rPr>
                <w:rFonts w:ascii="楷体" w:eastAsia="楷体" w:hAnsi="楷体"/>
              </w:rPr>
            </w:pPr>
            <w:r>
              <w:rPr>
                <w:rFonts w:ascii="楷体" w:eastAsia="楷体" w:hAnsi="楷体" w:hint="eastAsia"/>
              </w:rPr>
              <w:t>估价对象照片</w:t>
            </w:r>
          </w:p>
        </w:tc>
      </w:tr>
    </w:tbl>
    <w:p w14:paraId="47B4E782" w14:textId="3662DDC9" w:rsidR="00EF6A0E" w:rsidRPr="003A3A6D" w:rsidRDefault="00000000" w:rsidP="003A3A6D">
      <w:pPr>
        <w:jc w:val="center"/>
        <w:rPr>
          <w:rFonts w:ascii="仿宋" w:hAnsi="仿宋" w:cs="仿宋"/>
          <w:b/>
          <w:bCs/>
          <w:noProof/>
          <w:color w:val="000000"/>
          <w:kern w:val="0"/>
          <w:sz w:val="28"/>
          <w:szCs w:val="28"/>
        </w:rPr>
      </w:pPr>
      <w:r w:rsidRPr="003A3A6D">
        <w:rPr>
          <w:rFonts w:ascii="仿宋" w:eastAsia="仿宋" w:hAnsi="仿宋" w:cs="仿宋" w:hint="eastAsia"/>
          <w:b/>
          <w:bCs/>
          <w:color w:val="000000"/>
          <w:kern w:val="0"/>
          <w:sz w:val="32"/>
          <w:szCs w:val="32"/>
        </w:rPr>
        <w:lastRenderedPageBreak/>
        <w:t>价对象位置图</w:t>
      </w:r>
      <w:r w:rsidRPr="003A3A6D">
        <w:rPr>
          <w:rFonts w:ascii="仿宋" w:hAnsi="仿宋" w:cs="仿宋"/>
          <w:b/>
          <w:bCs/>
          <w:noProof/>
          <w:color w:val="000000"/>
          <w:kern w:val="0"/>
          <w:sz w:val="28"/>
          <w:szCs w:val="28"/>
        </w:rPr>
        <mc:AlternateContent>
          <mc:Choice Requires="wps">
            <w:drawing>
              <wp:anchor distT="0" distB="0" distL="114300" distR="114300" simplePos="0" relativeHeight="251657216" behindDoc="0" locked="0" layoutInCell="1" allowOverlap="1" wp14:anchorId="575CEC2A" wp14:editId="5F8A048E">
                <wp:simplePos x="0" y="0"/>
                <wp:positionH relativeFrom="column">
                  <wp:posOffset>2889250</wp:posOffset>
                </wp:positionH>
                <wp:positionV relativeFrom="paragraph">
                  <wp:posOffset>3095625</wp:posOffset>
                </wp:positionV>
                <wp:extent cx="153670" cy="177165"/>
                <wp:effectExtent l="7620" t="7620" r="10160" b="24765"/>
                <wp:wrapNone/>
                <wp:docPr id="1" name="椭圆 36"/>
                <wp:cNvGraphicFramePr/>
                <a:graphic xmlns:a="http://schemas.openxmlformats.org/drawingml/2006/main">
                  <a:graphicData uri="http://schemas.microsoft.com/office/word/2010/wordprocessingShape">
                    <wps:wsp>
                      <wps:cNvSpPr/>
                      <wps:spPr>
                        <a:xfrm>
                          <a:off x="0" y="0"/>
                          <a:ext cx="153670" cy="177165"/>
                        </a:xfrm>
                        <a:prstGeom prst="ellipse">
                          <a:avLst/>
                        </a:prstGeom>
                        <a:solidFill>
                          <a:srgbClr val="000000"/>
                        </a:solidFill>
                        <a:ln w="15875" cap="flat" cmpd="sng">
                          <a:solidFill>
                            <a:srgbClr val="000000"/>
                          </a:solidFill>
                          <a:prstDash val="solid"/>
                          <a:headEnd type="none" w="med" len="med"/>
                          <a:tailEnd type="none" w="med" len="med"/>
                        </a:ln>
                      </wps:spPr>
                      <wps:txbx>
                        <w:txbxContent>
                          <w:p w14:paraId="2172AF8D" w14:textId="77777777" w:rsidR="00EF6A0E" w:rsidRDefault="00EF6A0E"/>
                        </w:txbxContent>
                      </wps:txbx>
                      <wps:bodyPr wrap="square" upright="1"/>
                    </wps:wsp>
                  </a:graphicData>
                </a:graphic>
              </wp:anchor>
            </w:drawing>
          </mc:Choice>
          <mc:Fallback>
            <w:pict>
              <v:oval w14:anchorId="575CEC2A" id="椭圆 36" o:spid="_x0000_s1026" style="position:absolute;left:0;text-align:left;margin-left:227.5pt;margin-top:243.75pt;width:12.1pt;height:13.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" fillcolor="black" strokeweight="1.25pt">
                <v:textbox>
                  <w:txbxContent>
                    <w:p w14:paraId="2172AF8D" w14:textId="77777777" w:rsidR="00EF6A0E" w:rsidRDefault="00EF6A0E"/>
                  </w:txbxContent>
                </v:textbox>
              </v:oval>
            </w:pict>
          </mc:Fallback>
        </mc:AlternateContent>
      </w:r>
    </w:p>
    <w:p w14:paraId="022246E3" w14:textId="09E33D5E" w:rsidR="00EF6A0E" w:rsidRDefault="00DD3C4C">
      <w:pPr>
        <w:jc w:val="center"/>
        <w:rPr>
          <w:rFonts w:ascii="仿宋" w:eastAsia="仿宋" w:hAnsi="仿宋" w:cs="仿宋"/>
          <w:b/>
          <w:bCs/>
          <w:color w:val="000000"/>
          <w:kern w:val="0"/>
          <w:sz w:val="28"/>
          <w:szCs w:val="28"/>
        </w:rPr>
      </w:pPr>
      <w:r w:rsidRPr="003A3A6D">
        <w:rPr>
          <w:rFonts w:ascii="仿宋" w:hAnsi="仿宋" w:cs="仿宋"/>
          <w:b/>
          <w:bCs/>
          <w:noProof/>
          <w:color w:val="000000"/>
          <w:kern w:val="0"/>
          <w:sz w:val="28"/>
          <w:szCs w:val="28"/>
        </w:rPr>
        <mc:AlternateContent>
          <mc:Choice Requires="wps">
            <w:drawing>
              <wp:anchor distT="0" distB="0" distL="114300" distR="114300" simplePos="0" relativeHeight="251659264" behindDoc="0" locked="0" layoutInCell="1" allowOverlap="1" wp14:anchorId="446D4706" wp14:editId="2A18EA57">
                <wp:simplePos x="0" y="0"/>
                <wp:positionH relativeFrom="column">
                  <wp:posOffset>2960370</wp:posOffset>
                </wp:positionH>
                <wp:positionV relativeFrom="paragraph">
                  <wp:posOffset>2891790</wp:posOffset>
                </wp:positionV>
                <wp:extent cx="72390" cy="4305300"/>
                <wp:effectExtent l="95250" t="38100" r="41910" b="19050"/>
                <wp:wrapNone/>
                <wp:docPr id="2" name="直线 35"/>
                <wp:cNvGraphicFramePr/>
                <a:graphic xmlns:a="http://schemas.openxmlformats.org/drawingml/2006/main">
                  <a:graphicData uri="http://schemas.microsoft.com/office/word/2010/wordprocessingShape">
                    <wps:wsp>
                      <wps:cNvCnPr/>
                      <wps:spPr>
                        <a:xfrm flipH="1" flipV="1">
                          <a:off x="0" y="0"/>
                          <a:ext cx="72390" cy="4305300"/>
                        </a:xfrm>
                        <a:prstGeom prst="line">
                          <a:avLst/>
                        </a:prstGeom>
                        <a:ln w="1587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17EEDF09" id="直线 35"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pt,227.7pt" to="238.8pt,5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" strokeweight="1.25pt">
                <v:stroke endarrow="open"/>
              </v:line>
            </w:pict>
          </mc:Fallback>
        </mc:AlternateContent>
      </w:r>
      <w:r w:rsidR="003A3A6D">
        <w:rPr>
          <w:rFonts w:ascii="仿宋" w:hAnsi="仿宋" w:cs="仿宋" w:hint="eastAsia"/>
          <w:b/>
          <w:bCs/>
          <w:noProof/>
          <w:color w:val="000000"/>
          <w:kern w:val="0"/>
          <w:sz w:val="28"/>
          <w:szCs w:val="28"/>
        </w:rPr>
        <w:drawing>
          <wp:inline distT="0" distB="0" distL="114300" distR="114300" wp14:anchorId="10BE0647" wp14:editId="423288D1">
            <wp:extent cx="3718560" cy="6730365"/>
            <wp:effectExtent l="190500" t="171450" r="186690" b="1847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9269" cy="67497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8063213" w14:textId="77777777" w:rsidR="00EF6A0E" w:rsidRDefault="00000000">
      <w:pPr>
        <w:jc w:val="center"/>
        <w:rPr>
          <w:rFonts w:ascii="仿宋_GB2312" w:eastAsia="仿宋_GB2312"/>
          <w:sz w:val="28"/>
          <w:szCs w:val="28"/>
        </w:rPr>
      </w:pPr>
      <w:r>
        <w:rPr>
          <w:rFonts w:ascii="仿宋_GB2312" w:eastAsia="仿宋_GB2312" w:hint="eastAsia"/>
          <w:sz w:val="28"/>
          <w:szCs w:val="28"/>
        </w:rPr>
        <w:t>估价对象所在位置</w:t>
      </w:r>
    </w:p>
    <w:p w14:paraId="69095D76" w14:textId="77777777" w:rsidR="00EF6A0E" w:rsidRDefault="00EF6A0E" w:rsidP="00DD3C4C">
      <w:pPr>
        <w:rPr>
          <w:rFonts w:ascii="仿宋_GB2312" w:eastAsia="仿宋_GB2312"/>
          <w:sz w:val="28"/>
          <w:szCs w:val="28"/>
        </w:rPr>
      </w:pPr>
    </w:p>
    <w:p w14:paraId="27535A53" w14:textId="77777777" w:rsidR="00EF6A0E" w:rsidRDefault="00000000">
      <w:pPr>
        <w:pStyle w:val="1"/>
        <w:spacing w:line="240" w:lineRule="auto"/>
        <w:jc w:val="center"/>
        <w:rPr>
          <w:rFonts w:eastAsia="仿宋_GB2312"/>
          <w:sz w:val="48"/>
          <w:szCs w:val="48"/>
        </w:rPr>
      </w:pPr>
      <w:bookmarkStart w:id="56" w:name="_Toc4218"/>
      <w:bookmarkStart w:id="57" w:name="_Toc20547"/>
      <w:bookmarkStart w:id="58" w:name="_Toc28875"/>
      <w:bookmarkStart w:id="59" w:name="_Toc5224"/>
      <w:bookmarkStart w:id="60" w:name="_Toc24615"/>
      <w:bookmarkStart w:id="61" w:name="_Toc457460265"/>
      <w:bookmarkStart w:id="62" w:name="_Toc386011000"/>
      <w:bookmarkStart w:id="63" w:name="_Toc5884"/>
      <w:bookmarkStart w:id="64" w:name="_Toc3749"/>
      <w:bookmarkStart w:id="65" w:name="_Toc8725"/>
      <w:r>
        <w:rPr>
          <w:rFonts w:eastAsia="仿宋_GB2312"/>
          <w:sz w:val="48"/>
          <w:szCs w:val="48"/>
        </w:rPr>
        <w:lastRenderedPageBreak/>
        <w:t>房地产估价技术报告</w:t>
      </w:r>
      <w:bookmarkEnd w:id="56"/>
      <w:bookmarkEnd w:id="57"/>
      <w:bookmarkEnd w:id="58"/>
      <w:bookmarkEnd w:id="59"/>
      <w:bookmarkEnd w:id="60"/>
      <w:bookmarkEnd w:id="61"/>
      <w:bookmarkEnd w:id="62"/>
      <w:bookmarkEnd w:id="63"/>
      <w:bookmarkEnd w:id="64"/>
      <w:bookmarkEnd w:id="65"/>
    </w:p>
    <w:p w14:paraId="43BCEF8E" w14:textId="77777777" w:rsidR="00EF6A0E" w:rsidRDefault="00000000">
      <w:pPr>
        <w:pStyle w:val="2"/>
        <w:numPr>
          <w:ilvl w:val="0"/>
          <w:numId w:val="3"/>
        </w:numPr>
        <w:spacing w:line="440" w:lineRule="exact"/>
        <w:rPr>
          <w:rFonts w:ascii="Times New Roman" w:eastAsia="仿宋_GB2312" w:hAnsi="Times New Roman"/>
          <w:sz w:val="30"/>
          <w:szCs w:val="30"/>
        </w:rPr>
      </w:pPr>
      <w:bookmarkStart w:id="66" w:name="_Toc498"/>
      <w:bookmarkStart w:id="67" w:name="_Toc16929"/>
      <w:bookmarkStart w:id="68" w:name="_Toc18727"/>
      <w:bookmarkStart w:id="69" w:name="_Toc886"/>
      <w:bookmarkStart w:id="70" w:name="_Toc15900"/>
      <w:bookmarkStart w:id="71" w:name="_Toc457460266"/>
      <w:bookmarkStart w:id="72" w:name="_Toc3141"/>
      <w:bookmarkStart w:id="73" w:name="_Toc12192"/>
      <w:bookmarkStart w:id="74" w:name="_Toc27355"/>
      <w:r>
        <w:rPr>
          <w:rFonts w:ascii="Times New Roman" w:eastAsia="仿宋_GB2312" w:hAnsi="Times New Roman"/>
          <w:sz w:val="30"/>
          <w:szCs w:val="30"/>
        </w:rPr>
        <w:t>实物状况描述与分析状况</w:t>
      </w:r>
      <w:bookmarkEnd w:id="66"/>
      <w:bookmarkEnd w:id="67"/>
      <w:bookmarkEnd w:id="68"/>
      <w:bookmarkEnd w:id="69"/>
      <w:bookmarkEnd w:id="70"/>
      <w:bookmarkEnd w:id="71"/>
      <w:bookmarkEnd w:id="72"/>
      <w:bookmarkEnd w:id="73"/>
      <w:bookmarkEnd w:id="74"/>
    </w:p>
    <w:p w14:paraId="423EE66A" w14:textId="4BA0091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color w:val="000000"/>
          <w:sz w:val="26"/>
          <w:szCs w:val="26"/>
        </w:rPr>
        <w:t>估价对象基本情况：估价对象</w:t>
      </w:r>
      <w:r>
        <w:rPr>
          <w:rFonts w:eastAsia="仿宋_GB2312" w:hint="eastAsia"/>
          <w:color w:val="000000"/>
          <w:sz w:val="26"/>
          <w:szCs w:val="26"/>
        </w:rPr>
        <w:t>位于</w:t>
      </w:r>
      <w:r w:rsidR="00A10557">
        <w:rPr>
          <w:rFonts w:eastAsia="仿宋_GB2312" w:hint="eastAsia"/>
          <w:color w:val="000000"/>
          <w:sz w:val="26"/>
          <w:szCs w:val="26"/>
        </w:rPr>
        <w:t>贵州省兴仁市东湖街道办事处长兴路西南侧</w:t>
      </w:r>
      <w:r>
        <w:rPr>
          <w:rFonts w:eastAsia="仿宋_GB2312"/>
          <w:color w:val="000000"/>
          <w:sz w:val="26"/>
          <w:szCs w:val="26"/>
        </w:rPr>
        <w:t>，</w:t>
      </w:r>
      <w:r>
        <w:rPr>
          <w:rFonts w:eastAsia="仿宋_GB2312" w:hint="eastAsia"/>
          <w:color w:val="000000"/>
          <w:sz w:val="26"/>
          <w:szCs w:val="26"/>
        </w:rPr>
        <w:t>估价对象位于</w:t>
      </w:r>
      <w:r w:rsidR="00D55416">
        <w:rPr>
          <w:rFonts w:eastAsia="仿宋_GB2312" w:hint="eastAsia"/>
          <w:color w:val="000000"/>
          <w:sz w:val="26"/>
          <w:szCs w:val="26"/>
        </w:rPr>
        <w:t>楼栋</w:t>
      </w:r>
      <w:r>
        <w:rPr>
          <w:rFonts w:eastAsia="仿宋_GB2312" w:hint="eastAsia"/>
          <w:color w:val="000000"/>
          <w:sz w:val="26"/>
          <w:szCs w:val="26"/>
        </w:rPr>
        <w:t>第</w:t>
      </w:r>
      <w:r w:rsidR="009433A0">
        <w:rPr>
          <w:rFonts w:eastAsia="仿宋_GB2312" w:hint="eastAsia"/>
          <w:color w:val="000000"/>
          <w:sz w:val="26"/>
          <w:szCs w:val="26"/>
        </w:rPr>
        <w:t>2</w:t>
      </w:r>
      <w:r>
        <w:rPr>
          <w:rFonts w:eastAsia="仿宋_GB2312" w:hint="eastAsia"/>
          <w:color w:val="000000"/>
          <w:sz w:val="26"/>
          <w:szCs w:val="26"/>
        </w:rPr>
        <w:t>层；约建于</w:t>
      </w:r>
      <w:r>
        <w:rPr>
          <w:rFonts w:eastAsia="仿宋_GB2312" w:hint="eastAsia"/>
          <w:color w:val="000000"/>
          <w:sz w:val="26"/>
          <w:szCs w:val="26"/>
        </w:rPr>
        <w:t>2009</w:t>
      </w:r>
      <w:r>
        <w:rPr>
          <w:rFonts w:eastAsia="仿宋_GB2312" w:hint="eastAsia"/>
          <w:color w:val="000000"/>
          <w:sz w:val="26"/>
          <w:szCs w:val="26"/>
        </w:rPr>
        <w:t>年，外观形象新颖；</w:t>
      </w:r>
      <w:r>
        <w:rPr>
          <w:rFonts w:eastAsia="仿宋_GB2312"/>
          <w:color w:val="000000"/>
          <w:sz w:val="26"/>
          <w:szCs w:val="26"/>
        </w:rPr>
        <w:t>水、电</w:t>
      </w:r>
      <w:r>
        <w:rPr>
          <w:rFonts w:eastAsia="仿宋_GB2312" w:hint="eastAsia"/>
          <w:color w:val="000000"/>
          <w:sz w:val="26"/>
          <w:szCs w:val="26"/>
        </w:rPr>
        <w:t>、消防；</w:t>
      </w:r>
      <w:r>
        <w:rPr>
          <w:rFonts w:eastAsia="仿宋_GB2312"/>
          <w:color w:val="000000"/>
          <w:sz w:val="26"/>
          <w:szCs w:val="26"/>
        </w:rPr>
        <w:t>周围道路硬化及绿化</w:t>
      </w:r>
      <w:r>
        <w:rPr>
          <w:rFonts w:eastAsia="仿宋_GB2312" w:hint="eastAsia"/>
          <w:color w:val="000000"/>
          <w:sz w:val="26"/>
          <w:szCs w:val="26"/>
        </w:rPr>
        <w:t>环境一般</w:t>
      </w:r>
      <w:r>
        <w:rPr>
          <w:rFonts w:eastAsia="仿宋_GB2312"/>
          <w:color w:val="000000"/>
          <w:sz w:val="26"/>
          <w:szCs w:val="26"/>
        </w:rPr>
        <w:t>；</w:t>
      </w:r>
      <w:r>
        <w:rPr>
          <w:rFonts w:eastAsia="仿宋_GB2312" w:hint="eastAsia"/>
          <w:color w:val="000000"/>
          <w:sz w:val="26"/>
          <w:szCs w:val="26"/>
        </w:rPr>
        <w:t>周围基础设施以及物业管理水平一般</w:t>
      </w:r>
      <w:r>
        <w:rPr>
          <w:rFonts w:eastAsia="仿宋_GB2312"/>
          <w:color w:val="000000"/>
          <w:sz w:val="26"/>
          <w:szCs w:val="26"/>
        </w:rPr>
        <w:t>。</w:t>
      </w:r>
    </w:p>
    <w:p w14:paraId="021A4375" w14:textId="77777777" w:rsidR="00EF6A0E" w:rsidRDefault="00000000">
      <w:pPr>
        <w:adjustRightInd w:val="0"/>
        <w:snapToGrid w:val="0"/>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1估价对象土地使用权实体状况</w:t>
      </w:r>
    </w:p>
    <w:p w14:paraId="449A95E7" w14:textId="5ED9C93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1.1</w:t>
      </w:r>
      <w:r>
        <w:rPr>
          <w:rFonts w:eastAsia="仿宋_GB2312" w:hint="eastAsia"/>
          <w:color w:val="000000"/>
          <w:sz w:val="26"/>
          <w:szCs w:val="26"/>
        </w:rPr>
        <w:t>名称：</w:t>
      </w:r>
      <w:r w:rsidR="00DB1CE0" w:rsidRPr="00DB1CE0">
        <w:rPr>
          <w:rFonts w:eastAsia="仿宋_GB2312" w:hint="eastAsia"/>
          <w:color w:val="000000"/>
          <w:sz w:val="26"/>
          <w:szCs w:val="26"/>
        </w:rPr>
        <w:t>贵州省兴仁市东湖街道办事处长兴路西南侧玉清苑小区</w:t>
      </w:r>
      <w:r w:rsidR="00DB1CE0" w:rsidRPr="00DB1CE0">
        <w:rPr>
          <w:rFonts w:eastAsia="仿宋_GB2312" w:hint="eastAsia"/>
          <w:color w:val="000000"/>
          <w:sz w:val="26"/>
          <w:szCs w:val="26"/>
        </w:rPr>
        <w:t>4</w:t>
      </w:r>
      <w:r w:rsidR="00DB1CE0" w:rsidRPr="00DB1CE0">
        <w:rPr>
          <w:rFonts w:eastAsia="仿宋_GB2312" w:hint="eastAsia"/>
          <w:color w:val="000000"/>
          <w:sz w:val="26"/>
          <w:szCs w:val="26"/>
        </w:rPr>
        <w:t>栋</w:t>
      </w:r>
      <w:r w:rsidR="00DB1CE0" w:rsidRPr="00DB1CE0">
        <w:rPr>
          <w:rFonts w:eastAsia="仿宋_GB2312" w:hint="eastAsia"/>
          <w:color w:val="000000"/>
          <w:sz w:val="26"/>
          <w:szCs w:val="26"/>
        </w:rPr>
        <w:t>1</w:t>
      </w:r>
      <w:r w:rsidR="00DB1CE0" w:rsidRPr="00DB1CE0">
        <w:rPr>
          <w:rFonts w:eastAsia="仿宋_GB2312" w:hint="eastAsia"/>
          <w:color w:val="000000"/>
          <w:sz w:val="26"/>
          <w:szCs w:val="26"/>
        </w:rPr>
        <w:t>单元</w:t>
      </w:r>
      <w:r w:rsidR="00DB1CE0" w:rsidRPr="00DB1CE0">
        <w:rPr>
          <w:rFonts w:eastAsia="仿宋_GB2312" w:hint="eastAsia"/>
          <w:color w:val="000000"/>
          <w:sz w:val="26"/>
          <w:szCs w:val="26"/>
        </w:rPr>
        <w:t>1</w:t>
      </w:r>
      <w:r w:rsidR="00DB1CE0" w:rsidRPr="00DB1CE0">
        <w:rPr>
          <w:rFonts w:eastAsia="仿宋_GB2312"/>
          <w:color w:val="000000"/>
          <w:sz w:val="26"/>
          <w:szCs w:val="26"/>
        </w:rPr>
        <w:t>-4-</w:t>
      </w:r>
      <w:r w:rsidR="00DB1CE0" w:rsidRPr="00DB1CE0">
        <w:rPr>
          <w:rFonts w:eastAsia="仿宋_GB2312" w:hint="eastAsia"/>
          <w:color w:val="000000"/>
          <w:sz w:val="26"/>
          <w:szCs w:val="26"/>
        </w:rPr>
        <w:t>B</w:t>
      </w:r>
      <w:r w:rsidR="00DB1CE0">
        <w:rPr>
          <w:rFonts w:eastAsia="仿宋_GB2312" w:hint="eastAsia"/>
          <w:color w:val="000000"/>
          <w:sz w:val="26"/>
          <w:szCs w:val="26"/>
        </w:rPr>
        <w:t>；</w:t>
      </w:r>
    </w:p>
    <w:p w14:paraId="073BF620" w14:textId="3C380FC6" w:rsidR="00585C1E" w:rsidRDefault="00000000" w:rsidP="00585C1E">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1.2</w:t>
      </w:r>
      <w:r>
        <w:rPr>
          <w:rFonts w:eastAsia="仿宋_GB2312" w:hint="eastAsia"/>
          <w:color w:val="000000"/>
          <w:sz w:val="26"/>
          <w:szCs w:val="26"/>
        </w:rPr>
        <w:t>四至及临街状况：</w:t>
      </w:r>
      <w:r w:rsidR="00585C1E">
        <w:rPr>
          <w:rFonts w:eastAsia="仿宋_GB2312" w:hint="eastAsia"/>
          <w:color w:val="000000"/>
          <w:sz w:val="26"/>
          <w:szCs w:val="26"/>
        </w:rPr>
        <w:t>贵州省兴仁市东湖街道办事处长兴路西南侧成套住宅楼项目，估价对象玉清苑北临长兴路、东临人民南路，西临文化路，南临黄金路；估价对象项目一面临街，临迎新路</w:t>
      </w:r>
      <w:r w:rsidR="00DB1CE0">
        <w:rPr>
          <w:rFonts w:eastAsia="仿宋_GB2312" w:hint="eastAsia"/>
          <w:color w:val="000000"/>
          <w:sz w:val="26"/>
          <w:szCs w:val="26"/>
        </w:rPr>
        <w:t>；</w:t>
      </w:r>
    </w:p>
    <w:p w14:paraId="2EB47BB0" w14:textId="4B2F35D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1.3</w:t>
      </w:r>
      <w:r>
        <w:rPr>
          <w:rFonts w:eastAsia="仿宋_GB2312" w:hint="eastAsia"/>
          <w:color w:val="000000"/>
          <w:sz w:val="26"/>
          <w:szCs w:val="26"/>
        </w:rPr>
        <w:t>用途：成套住宅</w:t>
      </w:r>
      <w:r w:rsidR="00DB1CE0">
        <w:rPr>
          <w:rFonts w:eastAsia="仿宋_GB2312" w:hint="eastAsia"/>
          <w:color w:val="000000"/>
          <w:sz w:val="26"/>
          <w:szCs w:val="26"/>
        </w:rPr>
        <w:t>；</w:t>
      </w:r>
    </w:p>
    <w:p w14:paraId="5CF9E2C8" w14:textId="2A7044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1.4</w:t>
      </w:r>
      <w:r>
        <w:rPr>
          <w:rFonts w:eastAsia="仿宋_GB2312" w:hint="eastAsia"/>
          <w:color w:val="000000"/>
          <w:sz w:val="26"/>
          <w:szCs w:val="26"/>
        </w:rPr>
        <w:t>形状：较规则</w:t>
      </w:r>
      <w:r w:rsidR="00DB1CE0">
        <w:rPr>
          <w:rFonts w:eastAsia="仿宋_GB2312" w:hint="eastAsia"/>
          <w:color w:val="000000"/>
          <w:sz w:val="26"/>
          <w:szCs w:val="26"/>
        </w:rPr>
        <w:t>；</w:t>
      </w:r>
    </w:p>
    <w:p w14:paraId="797DF64F" w14:textId="17B8DDCA"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1.5</w:t>
      </w:r>
      <w:r>
        <w:rPr>
          <w:rFonts w:eastAsia="仿宋_GB2312" w:hint="eastAsia"/>
          <w:color w:val="000000"/>
          <w:sz w:val="26"/>
          <w:szCs w:val="26"/>
        </w:rPr>
        <w:t>地形地势：地势较平坦</w:t>
      </w:r>
      <w:r w:rsidR="00DB1CE0">
        <w:rPr>
          <w:rFonts w:eastAsia="仿宋_GB2312" w:hint="eastAsia"/>
          <w:color w:val="000000"/>
          <w:sz w:val="26"/>
          <w:szCs w:val="26"/>
        </w:rPr>
        <w:t>；</w:t>
      </w:r>
    </w:p>
    <w:p w14:paraId="705F24DD" w14:textId="2B37AE8E"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1.6</w:t>
      </w:r>
      <w:r>
        <w:rPr>
          <w:rFonts w:eastAsia="仿宋_GB2312" w:hint="eastAsia"/>
          <w:color w:val="000000"/>
          <w:sz w:val="26"/>
          <w:szCs w:val="26"/>
        </w:rPr>
        <w:t>地质：地基承载力一般，地质条件一般</w:t>
      </w:r>
      <w:r w:rsidR="00DB1CE0">
        <w:rPr>
          <w:rFonts w:eastAsia="仿宋_GB2312" w:hint="eastAsia"/>
          <w:color w:val="000000"/>
          <w:sz w:val="26"/>
          <w:szCs w:val="26"/>
        </w:rPr>
        <w:t>；</w:t>
      </w:r>
    </w:p>
    <w:p w14:paraId="0D162F58" w14:textId="21ECFD18"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1.7</w:t>
      </w:r>
      <w:r>
        <w:rPr>
          <w:rFonts w:eastAsia="仿宋_GB2312" w:hint="eastAsia"/>
          <w:color w:val="000000"/>
          <w:sz w:val="26"/>
          <w:szCs w:val="26"/>
        </w:rPr>
        <w:t>土壤：无污染</w:t>
      </w:r>
      <w:r w:rsidR="00DB1CE0">
        <w:rPr>
          <w:rFonts w:eastAsia="仿宋_GB2312" w:hint="eastAsia"/>
          <w:color w:val="000000"/>
          <w:sz w:val="26"/>
          <w:szCs w:val="26"/>
        </w:rPr>
        <w:t>；</w:t>
      </w:r>
    </w:p>
    <w:p w14:paraId="2722FC97" w14:textId="27C97720"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1.8</w:t>
      </w:r>
      <w:r>
        <w:rPr>
          <w:rFonts w:eastAsia="仿宋_GB2312" w:hint="eastAsia"/>
          <w:color w:val="000000"/>
          <w:sz w:val="26"/>
          <w:szCs w:val="26"/>
        </w:rPr>
        <w:t>土地开发程度：土地开发程度为“五通一平”（通路、通上水、通下水、通电、通讯、土地平整）</w:t>
      </w:r>
      <w:r w:rsidR="00DB1CE0">
        <w:rPr>
          <w:rFonts w:eastAsia="仿宋_GB2312" w:hint="eastAsia"/>
          <w:color w:val="000000"/>
          <w:sz w:val="26"/>
          <w:szCs w:val="26"/>
        </w:rPr>
        <w:t>。</w:t>
      </w:r>
    </w:p>
    <w:p w14:paraId="0440FA7C" w14:textId="77777777" w:rsidR="00EF6A0E" w:rsidRDefault="00000000">
      <w:pPr>
        <w:adjustRightInd w:val="0"/>
        <w:snapToGrid w:val="0"/>
        <w:spacing w:line="440" w:lineRule="exact"/>
        <w:ind w:firstLineChars="200" w:firstLine="562"/>
        <w:rPr>
          <w:rFonts w:ascii="仿宋" w:eastAsia="仿宋" w:hAnsi="仿宋" w:cs="仿宋"/>
          <w:b/>
          <w:bCs/>
          <w:sz w:val="28"/>
          <w:szCs w:val="28"/>
        </w:rPr>
      </w:pPr>
      <w:r>
        <w:rPr>
          <w:rFonts w:ascii="仿宋" w:eastAsia="仿宋" w:hAnsi="仿宋" w:cs="仿宋" w:hint="eastAsia"/>
          <w:b/>
          <w:bCs/>
          <w:sz w:val="28"/>
          <w:szCs w:val="28"/>
        </w:rPr>
        <w:t>2估价对象建筑物实物状况</w:t>
      </w:r>
    </w:p>
    <w:p w14:paraId="4BD6216A" w14:textId="3BABEAA1" w:rsidR="00EF6A0E" w:rsidRDefault="00000000">
      <w:pPr>
        <w:adjustRightInd w:val="0"/>
        <w:snapToGrid w:val="0"/>
        <w:spacing w:line="440" w:lineRule="exact"/>
        <w:ind w:firstLineChars="200" w:firstLine="520"/>
        <w:rPr>
          <w:rFonts w:eastAsia="仿宋_GB2312"/>
          <w:color w:val="0000FF"/>
          <w:sz w:val="26"/>
          <w:szCs w:val="26"/>
        </w:rPr>
      </w:pPr>
      <w:r>
        <w:rPr>
          <w:rFonts w:eastAsia="仿宋_GB2312" w:hint="eastAsia"/>
          <w:color w:val="000000"/>
          <w:sz w:val="26"/>
          <w:szCs w:val="26"/>
        </w:rPr>
        <w:t>2.1</w:t>
      </w:r>
      <w:r>
        <w:rPr>
          <w:rFonts w:eastAsia="仿宋_GB2312" w:hint="eastAsia"/>
          <w:color w:val="000000"/>
          <w:sz w:val="26"/>
          <w:szCs w:val="26"/>
        </w:rPr>
        <w:t>名称：</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成套住宅楼；</w:t>
      </w:r>
    </w:p>
    <w:p w14:paraId="70CCCC73" w14:textId="77253FB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2.2</w:t>
      </w:r>
      <w:r>
        <w:rPr>
          <w:rFonts w:eastAsia="仿宋_GB2312" w:hint="eastAsia"/>
          <w:color w:val="000000"/>
          <w:sz w:val="26"/>
          <w:szCs w:val="26"/>
        </w:rPr>
        <w:t>建筑规模：建筑面积</w:t>
      </w:r>
      <w:r w:rsidR="0013644A">
        <w:rPr>
          <w:rFonts w:eastAsia="仿宋_GB2312" w:hint="eastAsia"/>
          <w:color w:val="000000"/>
          <w:sz w:val="26"/>
          <w:szCs w:val="26"/>
        </w:rPr>
        <w:t>118.78</w:t>
      </w:r>
      <w:r>
        <w:rPr>
          <w:rFonts w:eastAsia="仿宋_GB2312" w:hint="eastAsia"/>
          <w:color w:val="000000"/>
          <w:sz w:val="26"/>
          <w:szCs w:val="26"/>
        </w:rPr>
        <w:t>平方米；</w:t>
      </w:r>
    </w:p>
    <w:p w14:paraId="7BCC5C06" w14:textId="28C213D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2.3</w:t>
      </w:r>
      <w:r>
        <w:rPr>
          <w:rFonts w:eastAsia="仿宋_GB2312" w:hint="eastAsia"/>
          <w:color w:val="000000"/>
          <w:sz w:val="26"/>
          <w:szCs w:val="26"/>
        </w:rPr>
        <w:t>层数：估价对象位于第</w:t>
      </w:r>
      <w:r w:rsidR="000677A1">
        <w:rPr>
          <w:rFonts w:eastAsia="仿宋_GB2312"/>
          <w:color w:val="000000"/>
          <w:sz w:val="26"/>
          <w:szCs w:val="26"/>
        </w:rPr>
        <w:t>2</w:t>
      </w:r>
      <w:r>
        <w:rPr>
          <w:rFonts w:eastAsia="仿宋_GB2312" w:hint="eastAsia"/>
          <w:color w:val="000000"/>
          <w:sz w:val="26"/>
          <w:szCs w:val="26"/>
        </w:rPr>
        <w:t>层</w:t>
      </w:r>
      <w:r w:rsidR="00DB1CE0">
        <w:rPr>
          <w:rFonts w:eastAsia="仿宋_GB2312" w:hint="eastAsia"/>
          <w:color w:val="000000"/>
          <w:sz w:val="26"/>
          <w:szCs w:val="26"/>
        </w:rPr>
        <w:t>；</w:t>
      </w:r>
    </w:p>
    <w:p w14:paraId="69F342F2" w14:textId="295CEEE5"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2.4</w:t>
      </w:r>
      <w:r>
        <w:rPr>
          <w:rFonts w:eastAsia="仿宋_GB2312" w:hint="eastAsia"/>
          <w:color w:val="000000"/>
          <w:sz w:val="26"/>
          <w:szCs w:val="26"/>
        </w:rPr>
        <w:t>建筑结构：混合结构</w:t>
      </w:r>
      <w:r w:rsidR="00DB1CE0">
        <w:rPr>
          <w:rFonts w:eastAsia="仿宋_GB2312" w:hint="eastAsia"/>
          <w:color w:val="000000"/>
          <w:sz w:val="26"/>
          <w:szCs w:val="26"/>
        </w:rPr>
        <w:t>；</w:t>
      </w:r>
    </w:p>
    <w:p w14:paraId="345C25FE" w14:textId="43305D41"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2.5</w:t>
      </w:r>
      <w:r>
        <w:rPr>
          <w:rFonts w:eastAsia="仿宋_GB2312" w:hint="eastAsia"/>
          <w:color w:val="000000"/>
          <w:sz w:val="26"/>
          <w:szCs w:val="26"/>
        </w:rPr>
        <w:t>层高：室内层高约</w:t>
      </w:r>
      <w:r>
        <w:rPr>
          <w:rFonts w:eastAsia="仿宋_GB2312" w:hint="eastAsia"/>
          <w:color w:val="000000"/>
          <w:sz w:val="26"/>
          <w:szCs w:val="26"/>
        </w:rPr>
        <w:t>3</w:t>
      </w:r>
      <w:r>
        <w:rPr>
          <w:rFonts w:eastAsia="仿宋_GB2312" w:hint="eastAsia"/>
          <w:color w:val="000000"/>
          <w:sz w:val="26"/>
          <w:szCs w:val="26"/>
        </w:rPr>
        <w:t>米</w:t>
      </w:r>
      <w:r w:rsidR="00DB1CE0">
        <w:rPr>
          <w:rFonts w:eastAsia="仿宋_GB2312" w:hint="eastAsia"/>
          <w:color w:val="000000"/>
          <w:sz w:val="26"/>
          <w:szCs w:val="26"/>
        </w:rPr>
        <w:t>；</w:t>
      </w:r>
    </w:p>
    <w:p w14:paraId="4E2A4036" w14:textId="7FC23282"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2.6</w:t>
      </w:r>
      <w:r>
        <w:rPr>
          <w:rFonts w:eastAsia="仿宋_GB2312" w:hint="eastAsia"/>
          <w:color w:val="000000"/>
          <w:sz w:val="26"/>
          <w:szCs w:val="26"/>
        </w:rPr>
        <w:t>空间布局：平面布局，整体使用</w:t>
      </w:r>
      <w:r w:rsidR="00DB1CE0">
        <w:rPr>
          <w:rFonts w:eastAsia="仿宋_GB2312" w:hint="eastAsia"/>
          <w:color w:val="000000"/>
          <w:sz w:val="26"/>
          <w:szCs w:val="26"/>
        </w:rPr>
        <w:t>；</w:t>
      </w:r>
    </w:p>
    <w:p w14:paraId="0FB451D9" w14:textId="4142791E" w:rsidR="00DB1CE0" w:rsidRDefault="00000000" w:rsidP="00DB1CE0">
      <w:pPr>
        <w:adjustRightInd w:val="0"/>
        <w:snapToGrid w:val="0"/>
        <w:spacing w:line="440" w:lineRule="exact"/>
        <w:ind w:firstLineChars="200" w:firstLine="520"/>
        <w:rPr>
          <w:rFonts w:eastAsia="仿宋_GB2312"/>
          <w:sz w:val="26"/>
          <w:szCs w:val="26"/>
        </w:rPr>
      </w:pPr>
      <w:r>
        <w:rPr>
          <w:rFonts w:eastAsia="仿宋_GB2312" w:hint="eastAsia"/>
          <w:color w:val="000000"/>
          <w:sz w:val="26"/>
          <w:szCs w:val="26"/>
        </w:rPr>
        <w:t>2.7</w:t>
      </w:r>
      <w:r>
        <w:rPr>
          <w:rFonts w:eastAsia="仿宋_GB2312" w:hint="eastAsia"/>
          <w:color w:val="000000"/>
          <w:sz w:val="26"/>
          <w:szCs w:val="26"/>
        </w:rPr>
        <w:t>装饰装修：</w:t>
      </w:r>
      <w:r w:rsidR="00DB1CE0" w:rsidRPr="00931CC6">
        <w:rPr>
          <w:rFonts w:eastAsia="仿宋_GB2312" w:hint="eastAsia"/>
          <w:sz w:val="26"/>
          <w:szCs w:val="26"/>
        </w:rPr>
        <w:t>估价对象外墙涂料抹灰及墙砖；室内户型：</w:t>
      </w:r>
      <w:r w:rsidR="00DB1CE0" w:rsidRPr="00931CC6">
        <w:rPr>
          <w:rFonts w:eastAsia="仿宋_GB2312"/>
          <w:sz w:val="26"/>
          <w:szCs w:val="26"/>
        </w:rPr>
        <w:t>3</w:t>
      </w:r>
      <w:r w:rsidR="00DB1CE0" w:rsidRPr="00931CC6">
        <w:rPr>
          <w:rFonts w:eastAsia="仿宋_GB2312" w:hint="eastAsia"/>
          <w:sz w:val="26"/>
          <w:szCs w:val="26"/>
        </w:rPr>
        <w:t>室</w:t>
      </w:r>
      <w:r w:rsidR="00DB1CE0" w:rsidRPr="00931CC6">
        <w:rPr>
          <w:rFonts w:eastAsia="仿宋_GB2312"/>
          <w:sz w:val="26"/>
          <w:szCs w:val="26"/>
        </w:rPr>
        <w:t>1</w:t>
      </w:r>
      <w:r w:rsidR="00DB1CE0" w:rsidRPr="00931CC6">
        <w:rPr>
          <w:rFonts w:eastAsia="仿宋_GB2312" w:hint="eastAsia"/>
          <w:sz w:val="26"/>
          <w:szCs w:val="26"/>
        </w:rPr>
        <w:t>厅</w:t>
      </w:r>
      <w:r w:rsidR="00DB1CE0" w:rsidRPr="00931CC6">
        <w:rPr>
          <w:rFonts w:eastAsia="仿宋_GB2312" w:hint="eastAsia"/>
          <w:sz w:val="26"/>
          <w:szCs w:val="26"/>
        </w:rPr>
        <w:t>1</w:t>
      </w:r>
      <w:r w:rsidR="00DB1CE0" w:rsidRPr="00931CC6">
        <w:rPr>
          <w:rFonts w:eastAsia="仿宋_GB2312" w:hint="eastAsia"/>
          <w:sz w:val="26"/>
          <w:szCs w:val="26"/>
        </w:rPr>
        <w:t>厨</w:t>
      </w:r>
      <w:r w:rsidR="00DB1CE0" w:rsidRPr="00931CC6">
        <w:rPr>
          <w:rFonts w:eastAsia="仿宋_GB2312" w:hint="eastAsia"/>
          <w:sz w:val="26"/>
          <w:szCs w:val="26"/>
        </w:rPr>
        <w:t>2</w:t>
      </w:r>
      <w:r w:rsidR="00DB1CE0" w:rsidRPr="00931CC6">
        <w:rPr>
          <w:rFonts w:eastAsia="仿宋_GB2312" w:hint="eastAsia"/>
          <w:sz w:val="26"/>
          <w:szCs w:val="26"/>
        </w:rPr>
        <w:t>卫</w:t>
      </w:r>
      <w:r w:rsidR="00DB1CE0" w:rsidRPr="00931CC6">
        <w:rPr>
          <w:rFonts w:eastAsia="仿宋_GB2312" w:hint="eastAsia"/>
          <w:sz w:val="26"/>
          <w:szCs w:val="26"/>
        </w:rPr>
        <w:t>1</w:t>
      </w:r>
      <w:r w:rsidR="00DB1CE0" w:rsidRPr="00931CC6">
        <w:rPr>
          <w:rFonts w:eastAsia="仿宋_GB2312" w:hint="eastAsia"/>
          <w:sz w:val="26"/>
          <w:szCs w:val="26"/>
        </w:rPr>
        <w:t>阳台；入户门为防盗门，客厅地面瓷砖地板，</w:t>
      </w:r>
      <w:r w:rsidR="00DB1CE0">
        <w:rPr>
          <w:rFonts w:eastAsia="仿宋_GB2312" w:hint="eastAsia"/>
          <w:sz w:val="26"/>
          <w:szCs w:val="26"/>
        </w:rPr>
        <w:t>墙面刮瓷粉、贴墙纸有</w:t>
      </w:r>
      <w:r w:rsidR="00DB1CE0" w:rsidRPr="00931CC6">
        <w:rPr>
          <w:rFonts w:eastAsia="仿宋_GB2312" w:hint="eastAsia"/>
          <w:sz w:val="26"/>
          <w:szCs w:val="26"/>
        </w:rPr>
        <w:t>电视背景墙，顶棚为石膏层板灯光吊顶；卧室地面瓷砖地板，墙面</w:t>
      </w:r>
      <w:r w:rsidR="00DB1CE0">
        <w:rPr>
          <w:rFonts w:eastAsia="仿宋_GB2312" w:hint="eastAsia"/>
          <w:sz w:val="26"/>
          <w:szCs w:val="26"/>
        </w:rPr>
        <w:t>刮瓷粉贴有墙纸</w:t>
      </w:r>
      <w:r w:rsidR="00DB1CE0" w:rsidRPr="00931CC6">
        <w:rPr>
          <w:rFonts w:eastAsia="仿宋_GB2312" w:hint="eastAsia"/>
          <w:sz w:val="26"/>
          <w:szCs w:val="26"/>
        </w:rPr>
        <w:t>，顶棚石膏吊顶；厨房、卫生间地面及墙面贴砖至顶，铝扣板吊顶；阳台地面铺地砖</w:t>
      </w:r>
      <w:r w:rsidR="00DB1CE0">
        <w:rPr>
          <w:rFonts w:eastAsia="仿宋_GB2312" w:hint="eastAsia"/>
          <w:sz w:val="26"/>
          <w:szCs w:val="26"/>
        </w:rPr>
        <w:t>；</w:t>
      </w:r>
    </w:p>
    <w:p w14:paraId="613F00E5" w14:textId="7BFD1680" w:rsidR="00EF6A0E" w:rsidRDefault="00000000">
      <w:pPr>
        <w:adjustRightInd w:val="0"/>
        <w:snapToGrid w:val="0"/>
        <w:spacing w:line="440" w:lineRule="exact"/>
        <w:ind w:firstLineChars="200" w:firstLine="520"/>
        <w:rPr>
          <w:rFonts w:eastAsia="仿宋_GB2312"/>
          <w:color w:val="0000FF"/>
          <w:sz w:val="26"/>
          <w:szCs w:val="26"/>
        </w:rPr>
      </w:pPr>
      <w:r>
        <w:rPr>
          <w:rFonts w:eastAsia="仿宋_GB2312" w:hint="eastAsia"/>
          <w:color w:val="000000"/>
          <w:sz w:val="26"/>
          <w:szCs w:val="26"/>
        </w:rPr>
        <w:t>2.8</w:t>
      </w:r>
      <w:r>
        <w:rPr>
          <w:rFonts w:eastAsia="仿宋_GB2312" w:hint="eastAsia"/>
          <w:color w:val="000000"/>
          <w:sz w:val="26"/>
          <w:szCs w:val="26"/>
        </w:rPr>
        <w:t>设施设备；估价对象水、电、消防</w:t>
      </w:r>
      <w:r w:rsidR="00DB1CE0">
        <w:rPr>
          <w:rFonts w:eastAsia="仿宋_GB2312" w:hint="eastAsia"/>
          <w:color w:val="000000"/>
          <w:sz w:val="26"/>
          <w:szCs w:val="26"/>
        </w:rPr>
        <w:t>；</w:t>
      </w:r>
    </w:p>
    <w:p w14:paraId="49123260" w14:textId="72448673"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lastRenderedPageBreak/>
        <w:t>2.9</w:t>
      </w:r>
      <w:r>
        <w:rPr>
          <w:rFonts w:eastAsia="仿宋_GB2312" w:hint="eastAsia"/>
          <w:color w:val="000000"/>
          <w:sz w:val="26"/>
          <w:szCs w:val="26"/>
        </w:rPr>
        <w:t>物业管理：物业管理一般</w:t>
      </w:r>
      <w:r w:rsidR="00DB1CE0">
        <w:rPr>
          <w:rFonts w:eastAsia="仿宋_GB2312" w:hint="eastAsia"/>
          <w:color w:val="000000"/>
          <w:sz w:val="26"/>
          <w:szCs w:val="26"/>
        </w:rPr>
        <w:t>；</w:t>
      </w:r>
    </w:p>
    <w:p w14:paraId="5A2356E7"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3.0</w:t>
      </w:r>
      <w:r>
        <w:rPr>
          <w:rFonts w:eastAsia="仿宋_GB2312" w:hint="eastAsia"/>
          <w:color w:val="000000"/>
          <w:sz w:val="26"/>
          <w:szCs w:val="26"/>
        </w:rPr>
        <w:t>维护及完损状况：房屋地基稳固，基础完好；无墙体开裂，地面凸起、凹陷，门窗破损等现象；外观成新状况较优，维护情况较优，现场勘查为九成新。</w:t>
      </w:r>
    </w:p>
    <w:p w14:paraId="18C9C771" w14:textId="77777777" w:rsidR="00EF6A0E" w:rsidRDefault="00000000">
      <w:pPr>
        <w:pStyle w:val="2"/>
        <w:spacing w:line="440" w:lineRule="exact"/>
        <w:rPr>
          <w:rFonts w:ascii="Times New Roman" w:eastAsia="仿宋_GB2312" w:hAnsi="Times New Roman"/>
          <w:sz w:val="30"/>
          <w:szCs w:val="30"/>
        </w:rPr>
      </w:pPr>
      <w:bookmarkStart w:id="75" w:name="_Toc457460267"/>
      <w:bookmarkStart w:id="76" w:name="_Toc3435"/>
      <w:bookmarkStart w:id="77" w:name="_Toc11884"/>
      <w:bookmarkStart w:id="78" w:name="_Toc14699"/>
      <w:bookmarkStart w:id="79" w:name="_Toc18806"/>
      <w:bookmarkStart w:id="80" w:name="_Toc4487"/>
      <w:bookmarkStart w:id="81" w:name="_Toc30944"/>
      <w:bookmarkStart w:id="82" w:name="_Toc30920"/>
      <w:bookmarkStart w:id="83" w:name="_Toc23877"/>
      <w:r>
        <w:rPr>
          <w:rFonts w:ascii="Times New Roman" w:eastAsia="仿宋_GB2312" w:hAnsi="Times New Roman" w:hint="eastAsia"/>
          <w:sz w:val="30"/>
          <w:szCs w:val="30"/>
        </w:rPr>
        <w:t>二、</w:t>
      </w:r>
      <w:r>
        <w:rPr>
          <w:rFonts w:ascii="Times New Roman" w:eastAsia="仿宋_GB2312" w:hAnsi="Times New Roman"/>
          <w:sz w:val="30"/>
          <w:szCs w:val="30"/>
        </w:rPr>
        <w:t>权益状况描述与分析</w:t>
      </w:r>
      <w:bookmarkEnd w:id="75"/>
      <w:bookmarkEnd w:id="76"/>
      <w:bookmarkEnd w:id="77"/>
      <w:bookmarkEnd w:id="78"/>
      <w:bookmarkEnd w:id="79"/>
      <w:bookmarkEnd w:id="80"/>
      <w:bookmarkEnd w:id="81"/>
      <w:bookmarkEnd w:id="82"/>
      <w:bookmarkEnd w:id="83"/>
    </w:p>
    <w:p w14:paraId="0FF506A1" w14:textId="77777777" w:rsidR="00EF6A0E" w:rsidRDefault="00000000">
      <w:pPr>
        <w:pStyle w:val="4"/>
        <w:spacing w:line="300" w:lineRule="exact"/>
        <w:rPr>
          <w:rFonts w:ascii="仿宋" w:eastAsia="仿宋" w:hAnsi="仿宋" w:cs="仿宋"/>
        </w:rPr>
      </w:pPr>
      <w:bookmarkStart w:id="84" w:name="_Toc386011002"/>
      <w:r>
        <w:rPr>
          <w:rFonts w:ascii="仿宋" w:eastAsia="仿宋" w:hAnsi="仿宋" w:cs="仿宋" w:hint="eastAsia"/>
        </w:rPr>
        <w:t>1、估价对象建筑物权益状况</w:t>
      </w:r>
    </w:p>
    <w:p w14:paraId="460C1A64" w14:textId="77777777" w:rsidR="00EF6A0E" w:rsidRDefault="00000000">
      <w:pPr>
        <w:overflowPunct w:val="0"/>
        <w:topLinePunct/>
        <w:adjustRightInd w:val="0"/>
        <w:snapToGrid w:val="0"/>
        <w:spacing w:line="440" w:lineRule="exact"/>
        <w:ind w:firstLineChars="200" w:firstLine="520"/>
        <w:rPr>
          <w:rFonts w:eastAsia="仿宋_GB2312"/>
          <w:sz w:val="26"/>
          <w:szCs w:val="26"/>
        </w:rPr>
      </w:pPr>
      <w:r>
        <w:rPr>
          <w:rFonts w:eastAsia="仿宋_GB2312" w:hint="eastAsia"/>
          <w:sz w:val="26"/>
          <w:szCs w:val="26"/>
        </w:rPr>
        <w:t>根据委托人提供的《贵州省不动产登记查询结果》，估价对象的权益状况如下：</w:t>
      </w:r>
    </w:p>
    <w:p w14:paraId="595D483E" w14:textId="0D88B9EA"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sz w:val="26"/>
          <w:szCs w:val="26"/>
        </w:rPr>
        <w:t>1.1</w:t>
      </w:r>
      <w:r>
        <w:rPr>
          <w:rFonts w:eastAsia="仿宋_GB2312" w:hint="eastAsia"/>
          <w:sz w:val="26"/>
          <w:szCs w:val="26"/>
        </w:rPr>
        <w:t>权利人：</w:t>
      </w:r>
      <w:r w:rsidR="0013644A">
        <w:rPr>
          <w:rFonts w:eastAsia="仿宋_GB2312" w:hint="eastAsia"/>
          <w:color w:val="000000"/>
          <w:sz w:val="26"/>
          <w:szCs w:val="26"/>
        </w:rPr>
        <w:t>马尤林</w:t>
      </w:r>
      <w:r>
        <w:rPr>
          <w:rFonts w:eastAsia="仿宋_GB2312" w:hint="eastAsia"/>
          <w:color w:val="000000"/>
          <w:sz w:val="26"/>
          <w:szCs w:val="26"/>
        </w:rPr>
        <w:t>；</w:t>
      </w:r>
    </w:p>
    <w:p w14:paraId="6AA94B29" w14:textId="70F25AE6"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1.2</w:t>
      </w:r>
      <w:r>
        <w:rPr>
          <w:rFonts w:eastAsia="仿宋_GB2312" w:hint="eastAsia"/>
          <w:color w:val="000000"/>
          <w:sz w:val="26"/>
          <w:szCs w:val="26"/>
        </w:rPr>
        <w:t>证件号：</w:t>
      </w:r>
      <w:r>
        <w:rPr>
          <w:rFonts w:eastAsia="仿宋_GB2312" w:hint="eastAsia"/>
          <w:color w:val="000000"/>
          <w:sz w:val="26"/>
          <w:szCs w:val="26"/>
        </w:rPr>
        <w:t>5223</w:t>
      </w:r>
      <w:r w:rsidR="000677A1">
        <w:rPr>
          <w:rFonts w:eastAsia="仿宋_GB2312"/>
          <w:color w:val="000000"/>
          <w:sz w:val="26"/>
          <w:szCs w:val="26"/>
        </w:rPr>
        <w:t>22197409191819</w:t>
      </w:r>
      <w:r>
        <w:rPr>
          <w:rFonts w:eastAsia="仿宋_GB2312" w:hint="eastAsia"/>
          <w:color w:val="000000"/>
          <w:sz w:val="26"/>
          <w:szCs w:val="26"/>
        </w:rPr>
        <w:t>；</w:t>
      </w:r>
    </w:p>
    <w:p w14:paraId="7BB55F86" w14:textId="72E8374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1.3</w:t>
      </w:r>
      <w:r>
        <w:rPr>
          <w:rFonts w:eastAsia="仿宋_GB2312" w:hint="eastAsia"/>
          <w:color w:val="000000"/>
          <w:sz w:val="26"/>
          <w:szCs w:val="26"/>
        </w:rPr>
        <w:t>不动产权证号：</w:t>
      </w:r>
      <w:r w:rsidR="000677A1">
        <w:rPr>
          <w:rFonts w:eastAsia="仿宋_GB2312" w:hint="eastAsia"/>
          <w:color w:val="000000"/>
          <w:sz w:val="26"/>
          <w:szCs w:val="26"/>
        </w:rPr>
        <w:t>0</w:t>
      </w:r>
      <w:r w:rsidR="000677A1">
        <w:rPr>
          <w:rFonts w:eastAsia="仿宋_GB2312"/>
          <w:color w:val="000000"/>
          <w:sz w:val="26"/>
          <w:szCs w:val="26"/>
        </w:rPr>
        <w:t>0010193</w:t>
      </w:r>
      <w:r>
        <w:rPr>
          <w:rFonts w:eastAsia="仿宋_GB2312" w:hint="eastAsia"/>
          <w:color w:val="000000"/>
          <w:sz w:val="26"/>
          <w:szCs w:val="26"/>
        </w:rPr>
        <w:t>；</w:t>
      </w:r>
    </w:p>
    <w:p w14:paraId="781E8CA4" w14:textId="6C3150BD"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1.4</w:t>
      </w:r>
      <w:r>
        <w:rPr>
          <w:rFonts w:eastAsia="仿宋_GB2312" w:hint="eastAsia"/>
          <w:color w:val="000000"/>
          <w:sz w:val="26"/>
          <w:szCs w:val="26"/>
        </w:rPr>
        <w:t>不动产单元号：</w:t>
      </w:r>
      <w:r w:rsidR="000677A1">
        <w:rPr>
          <w:rFonts w:eastAsia="仿宋_GB2312"/>
          <w:color w:val="000000"/>
          <w:sz w:val="26"/>
          <w:szCs w:val="26"/>
        </w:rPr>
        <w:t>522322011020</w:t>
      </w:r>
      <w:r w:rsidR="000677A1">
        <w:rPr>
          <w:rFonts w:eastAsia="仿宋_GB2312" w:hint="eastAsia"/>
          <w:color w:val="000000"/>
          <w:sz w:val="26"/>
          <w:szCs w:val="26"/>
        </w:rPr>
        <w:t>GB</w:t>
      </w:r>
      <w:r w:rsidR="000677A1">
        <w:rPr>
          <w:rFonts w:eastAsia="仿宋_GB2312"/>
          <w:color w:val="000000"/>
          <w:sz w:val="26"/>
          <w:szCs w:val="26"/>
        </w:rPr>
        <w:t>00004</w:t>
      </w:r>
      <w:r w:rsidR="000677A1">
        <w:rPr>
          <w:rFonts w:eastAsia="仿宋_GB2312" w:hint="eastAsia"/>
          <w:color w:val="000000"/>
          <w:sz w:val="26"/>
          <w:szCs w:val="26"/>
        </w:rPr>
        <w:t>F</w:t>
      </w:r>
      <w:r w:rsidR="000677A1">
        <w:rPr>
          <w:rFonts w:eastAsia="仿宋_GB2312"/>
          <w:color w:val="000000"/>
          <w:sz w:val="26"/>
          <w:szCs w:val="26"/>
        </w:rPr>
        <w:t>00040001</w:t>
      </w:r>
      <w:r>
        <w:rPr>
          <w:rFonts w:eastAsia="仿宋_GB2312" w:hint="eastAsia"/>
          <w:color w:val="000000"/>
          <w:sz w:val="26"/>
          <w:szCs w:val="26"/>
        </w:rPr>
        <w:t>；</w:t>
      </w:r>
    </w:p>
    <w:p w14:paraId="47065E3F" w14:textId="53107501"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1.5</w:t>
      </w:r>
      <w:r>
        <w:rPr>
          <w:rFonts w:eastAsia="仿宋_GB2312" w:hint="eastAsia"/>
          <w:color w:val="000000"/>
          <w:sz w:val="26"/>
          <w:szCs w:val="26"/>
        </w:rPr>
        <w:t>坐落：</w:t>
      </w:r>
      <w:r w:rsidR="00897CAA" w:rsidRPr="00897CAA">
        <w:rPr>
          <w:rFonts w:eastAsia="仿宋_GB2312" w:hint="eastAsia"/>
          <w:color w:val="000000"/>
          <w:sz w:val="26"/>
          <w:szCs w:val="26"/>
        </w:rPr>
        <w:t>贵州省兴仁市东湖街道办事处长兴路西南侧玉清苑小区</w:t>
      </w:r>
      <w:r w:rsidR="00897CAA" w:rsidRPr="00897CAA">
        <w:rPr>
          <w:rFonts w:eastAsia="仿宋_GB2312" w:hint="eastAsia"/>
          <w:color w:val="000000"/>
          <w:sz w:val="26"/>
          <w:szCs w:val="26"/>
        </w:rPr>
        <w:t>4</w:t>
      </w:r>
      <w:r w:rsidR="00897CAA" w:rsidRPr="00897CAA">
        <w:rPr>
          <w:rFonts w:eastAsia="仿宋_GB2312" w:hint="eastAsia"/>
          <w:color w:val="000000"/>
          <w:sz w:val="26"/>
          <w:szCs w:val="26"/>
        </w:rPr>
        <w:t>栋</w:t>
      </w:r>
      <w:r w:rsidR="00897CAA" w:rsidRPr="00897CAA">
        <w:rPr>
          <w:rFonts w:eastAsia="仿宋_GB2312" w:hint="eastAsia"/>
          <w:color w:val="000000"/>
          <w:sz w:val="26"/>
          <w:szCs w:val="26"/>
        </w:rPr>
        <w:t>1</w:t>
      </w:r>
      <w:r w:rsidR="00897CAA" w:rsidRPr="00897CAA">
        <w:rPr>
          <w:rFonts w:eastAsia="仿宋_GB2312" w:hint="eastAsia"/>
          <w:color w:val="000000"/>
          <w:sz w:val="26"/>
          <w:szCs w:val="26"/>
        </w:rPr>
        <w:t>单元</w:t>
      </w:r>
      <w:r w:rsidR="00897CAA" w:rsidRPr="00897CAA">
        <w:rPr>
          <w:rFonts w:eastAsia="仿宋_GB2312" w:hint="eastAsia"/>
          <w:color w:val="000000"/>
          <w:sz w:val="26"/>
          <w:szCs w:val="26"/>
        </w:rPr>
        <w:t>1</w:t>
      </w:r>
      <w:r w:rsidR="00897CAA" w:rsidRPr="00897CAA">
        <w:rPr>
          <w:rFonts w:eastAsia="仿宋_GB2312"/>
          <w:color w:val="000000"/>
          <w:sz w:val="26"/>
          <w:szCs w:val="26"/>
        </w:rPr>
        <w:t>-4-</w:t>
      </w:r>
      <w:r w:rsidR="00897CAA" w:rsidRPr="00897CAA">
        <w:rPr>
          <w:rFonts w:eastAsia="仿宋_GB2312" w:hint="eastAsia"/>
          <w:color w:val="000000"/>
          <w:sz w:val="26"/>
          <w:szCs w:val="26"/>
        </w:rPr>
        <w:t>B</w:t>
      </w:r>
      <w:r>
        <w:rPr>
          <w:rFonts w:eastAsia="仿宋_GB2312" w:hint="eastAsia"/>
          <w:color w:val="000000"/>
          <w:sz w:val="26"/>
          <w:szCs w:val="26"/>
        </w:rPr>
        <w:t>；</w:t>
      </w:r>
    </w:p>
    <w:p w14:paraId="5A5A7BAA" w14:textId="7777777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1.6</w:t>
      </w:r>
      <w:r>
        <w:rPr>
          <w:rFonts w:eastAsia="仿宋_GB2312" w:hint="eastAsia"/>
          <w:color w:val="000000"/>
          <w:sz w:val="26"/>
          <w:szCs w:val="26"/>
        </w:rPr>
        <w:t>用途：成套住宅；</w:t>
      </w:r>
    </w:p>
    <w:p w14:paraId="5C470E5C" w14:textId="683A50E5"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1.7</w:t>
      </w:r>
      <w:r>
        <w:rPr>
          <w:rFonts w:eastAsia="仿宋_GB2312" w:hint="eastAsia"/>
          <w:color w:val="000000"/>
          <w:sz w:val="26"/>
          <w:szCs w:val="26"/>
        </w:rPr>
        <w:t>建筑面积：</w:t>
      </w:r>
      <w:r w:rsidR="0013644A">
        <w:rPr>
          <w:rFonts w:eastAsia="仿宋_GB2312" w:hint="eastAsia"/>
          <w:color w:val="000000"/>
          <w:sz w:val="26"/>
          <w:szCs w:val="26"/>
        </w:rPr>
        <w:t>118.78</w:t>
      </w:r>
      <w:r>
        <w:rPr>
          <w:rFonts w:eastAsia="仿宋_GB2312" w:hint="eastAsia"/>
          <w:color w:val="000000"/>
          <w:sz w:val="26"/>
          <w:szCs w:val="26"/>
        </w:rPr>
        <w:t>平方米；</w:t>
      </w:r>
    </w:p>
    <w:p w14:paraId="2CFEC4F4" w14:textId="7777777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1.8</w:t>
      </w:r>
      <w:r>
        <w:rPr>
          <w:rFonts w:eastAsia="仿宋_GB2312" w:hint="eastAsia"/>
          <w:color w:val="000000"/>
          <w:sz w:val="26"/>
          <w:szCs w:val="26"/>
        </w:rPr>
        <w:t>权属状态：现势；</w:t>
      </w:r>
    </w:p>
    <w:p w14:paraId="44D67CD6" w14:textId="7777777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1.9</w:t>
      </w:r>
      <w:r>
        <w:rPr>
          <w:rFonts w:eastAsia="仿宋_GB2312" w:hint="eastAsia"/>
          <w:color w:val="000000"/>
          <w:sz w:val="26"/>
          <w:szCs w:val="26"/>
        </w:rPr>
        <w:t>登记状态：权属、抵押；</w:t>
      </w:r>
    </w:p>
    <w:p w14:paraId="7380006C" w14:textId="4A166097" w:rsidR="00EF6A0E" w:rsidRDefault="00000000">
      <w:pPr>
        <w:overflowPunct w:val="0"/>
        <w:topLinePunct/>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1.10</w:t>
      </w:r>
      <w:r>
        <w:rPr>
          <w:rFonts w:eastAsia="仿宋_GB2312" w:hint="eastAsia"/>
          <w:color w:val="000000"/>
          <w:sz w:val="26"/>
          <w:szCs w:val="26"/>
        </w:rPr>
        <w:t>登记时间：</w:t>
      </w:r>
      <w:r w:rsidR="00AC1632">
        <w:rPr>
          <w:rFonts w:eastAsia="仿宋_GB2312" w:hint="eastAsia"/>
          <w:color w:val="000000"/>
          <w:sz w:val="26"/>
          <w:szCs w:val="26"/>
        </w:rPr>
        <w:t>无</w:t>
      </w:r>
      <w:r w:rsidR="00AC1632">
        <w:rPr>
          <w:rFonts w:eastAsia="仿宋_GB2312"/>
          <w:color w:val="000000"/>
          <w:sz w:val="26"/>
          <w:szCs w:val="26"/>
        </w:rPr>
        <w:t xml:space="preserve"> </w:t>
      </w:r>
      <w:r w:rsidR="00897CAA">
        <w:rPr>
          <w:rFonts w:eastAsia="仿宋_GB2312" w:hint="eastAsia"/>
          <w:color w:val="000000"/>
          <w:sz w:val="26"/>
          <w:szCs w:val="26"/>
        </w:rPr>
        <w:t>。</w:t>
      </w:r>
    </w:p>
    <w:p w14:paraId="109D118B" w14:textId="77777777" w:rsidR="00EF6A0E" w:rsidRDefault="00000000">
      <w:pPr>
        <w:pStyle w:val="4"/>
        <w:spacing w:line="360" w:lineRule="exact"/>
        <w:rPr>
          <w:rFonts w:ascii="仿宋" w:eastAsia="仿宋" w:hAnsi="仿宋" w:cs="仿宋"/>
        </w:rPr>
      </w:pPr>
      <w:r>
        <w:rPr>
          <w:rFonts w:ascii="仿宋" w:eastAsia="仿宋" w:hAnsi="仿宋" w:cs="仿宋" w:hint="eastAsia"/>
        </w:rPr>
        <w:t xml:space="preserve">2、土地使用权权益状况 </w:t>
      </w:r>
    </w:p>
    <w:p w14:paraId="74B6C0F5" w14:textId="1A3BD322" w:rsidR="00EF6A0E" w:rsidRDefault="00000000">
      <w:pPr>
        <w:overflowPunct w:val="0"/>
        <w:topLinePunct/>
        <w:adjustRightInd w:val="0"/>
        <w:snapToGrid w:val="0"/>
        <w:spacing w:line="440" w:lineRule="exact"/>
        <w:ind w:firstLineChars="200" w:firstLine="520"/>
        <w:rPr>
          <w:rFonts w:eastAsia="仿宋_GB2312"/>
          <w:sz w:val="26"/>
          <w:szCs w:val="26"/>
        </w:rPr>
      </w:pPr>
      <w:r>
        <w:rPr>
          <w:rFonts w:eastAsia="仿宋_GB2312" w:hint="eastAsia"/>
          <w:sz w:val="26"/>
          <w:szCs w:val="26"/>
        </w:rPr>
        <w:t>委托人未提供估价对象的《国有土地使用权证》或《不动产权证》</w:t>
      </w:r>
    </w:p>
    <w:p w14:paraId="22157170" w14:textId="77777777" w:rsidR="00EF6A0E" w:rsidRDefault="00000000">
      <w:pPr>
        <w:pStyle w:val="4"/>
        <w:spacing w:line="300" w:lineRule="exact"/>
        <w:rPr>
          <w:rFonts w:eastAsia="宋体"/>
        </w:rPr>
      </w:pPr>
      <w:r>
        <w:rPr>
          <w:rFonts w:ascii="仿宋" w:eastAsia="仿宋" w:hAnsi="仿宋" w:cs="仿宋" w:hint="eastAsia"/>
        </w:rPr>
        <w:t>3、他项权利设立状况</w:t>
      </w:r>
    </w:p>
    <w:p w14:paraId="061C44FA" w14:textId="77777777" w:rsidR="00F0001C" w:rsidRPr="00F0001C" w:rsidRDefault="00F0001C">
      <w:pPr>
        <w:adjustRightInd w:val="0"/>
        <w:snapToGrid w:val="0"/>
        <w:spacing w:line="440" w:lineRule="exact"/>
        <w:ind w:firstLineChars="200" w:firstLine="522"/>
        <w:rPr>
          <w:rFonts w:eastAsia="仿宋_GB2312"/>
          <w:b/>
          <w:bCs/>
          <w:color w:val="000000"/>
          <w:sz w:val="26"/>
          <w:szCs w:val="26"/>
        </w:rPr>
      </w:pPr>
      <w:r w:rsidRPr="00F0001C">
        <w:rPr>
          <w:rFonts w:eastAsia="仿宋_GB2312" w:hint="eastAsia"/>
          <w:b/>
          <w:bCs/>
          <w:color w:val="000000"/>
          <w:sz w:val="26"/>
          <w:szCs w:val="26"/>
        </w:rPr>
        <w:t>抵押信息</w:t>
      </w:r>
    </w:p>
    <w:p w14:paraId="615FBB8D" w14:textId="77777777" w:rsidR="00F0001C" w:rsidRDefault="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抵押权人：兴仁振兴村镇银行股份有限公司</w:t>
      </w:r>
    </w:p>
    <w:p w14:paraId="0ADA0CE9" w14:textId="77777777" w:rsidR="00F0001C" w:rsidRDefault="00F0001C"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不动产登记证明号：黔（</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）兴仁市不动产证明第</w:t>
      </w:r>
      <w:r>
        <w:rPr>
          <w:rFonts w:eastAsia="仿宋_GB2312" w:hint="eastAsia"/>
          <w:color w:val="000000"/>
          <w:sz w:val="26"/>
          <w:szCs w:val="26"/>
        </w:rPr>
        <w:t>0</w:t>
      </w:r>
      <w:r>
        <w:rPr>
          <w:rFonts w:eastAsia="仿宋_GB2312"/>
          <w:color w:val="000000"/>
          <w:sz w:val="26"/>
          <w:szCs w:val="26"/>
        </w:rPr>
        <w:t>000384</w:t>
      </w:r>
      <w:r>
        <w:rPr>
          <w:rFonts w:eastAsia="仿宋_GB2312" w:hint="eastAsia"/>
          <w:color w:val="000000"/>
          <w:sz w:val="26"/>
          <w:szCs w:val="26"/>
        </w:rPr>
        <w:t>号</w:t>
      </w:r>
    </w:p>
    <w:p w14:paraId="6691A107" w14:textId="77777777" w:rsidR="00F0001C" w:rsidRDefault="00F0001C"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抵押金额：</w:t>
      </w:r>
      <w:r>
        <w:rPr>
          <w:rFonts w:eastAsia="仿宋_GB2312" w:hint="eastAsia"/>
          <w:color w:val="000000"/>
          <w:sz w:val="26"/>
          <w:szCs w:val="26"/>
        </w:rPr>
        <w:t>2</w:t>
      </w:r>
      <w:r>
        <w:rPr>
          <w:rFonts w:eastAsia="仿宋_GB2312"/>
          <w:color w:val="000000"/>
          <w:sz w:val="26"/>
          <w:szCs w:val="26"/>
        </w:rPr>
        <w:t>0</w:t>
      </w:r>
      <w:r>
        <w:rPr>
          <w:rFonts w:eastAsia="仿宋_GB2312" w:hint="eastAsia"/>
          <w:color w:val="000000"/>
          <w:sz w:val="26"/>
          <w:szCs w:val="26"/>
        </w:rPr>
        <w:t>万元</w:t>
      </w:r>
    </w:p>
    <w:p w14:paraId="17CCBC6A" w14:textId="77777777" w:rsidR="00F0001C" w:rsidRDefault="00F0001C"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抵押方式：最高额抵押</w:t>
      </w:r>
    </w:p>
    <w:p w14:paraId="19CFDC54" w14:textId="77777777" w:rsidR="00F0001C" w:rsidRDefault="00F0001C"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抵押期限：</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4</w:t>
      </w:r>
      <w:r>
        <w:rPr>
          <w:rFonts w:eastAsia="仿宋_GB2312" w:hint="eastAsia"/>
          <w:color w:val="000000"/>
          <w:sz w:val="26"/>
          <w:szCs w:val="26"/>
        </w:rPr>
        <w:t>号起</w:t>
      </w:r>
      <w:r>
        <w:rPr>
          <w:rFonts w:eastAsia="仿宋_GB2312" w:hint="eastAsia"/>
          <w:color w:val="000000"/>
          <w:sz w:val="26"/>
          <w:szCs w:val="26"/>
        </w:rPr>
        <w:t>2</w:t>
      </w:r>
      <w:r>
        <w:rPr>
          <w:rFonts w:eastAsia="仿宋_GB2312"/>
          <w:color w:val="000000"/>
          <w:sz w:val="26"/>
          <w:szCs w:val="26"/>
        </w:rPr>
        <w:t>026</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3</w:t>
      </w:r>
      <w:r>
        <w:rPr>
          <w:rFonts w:eastAsia="仿宋_GB2312" w:hint="eastAsia"/>
          <w:color w:val="000000"/>
          <w:sz w:val="26"/>
          <w:szCs w:val="26"/>
        </w:rPr>
        <w:t>号止</w:t>
      </w:r>
    </w:p>
    <w:p w14:paraId="2E62443B" w14:textId="7C9D9050" w:rsidR="00F0001C" w:rsidRDefault="00F0001C"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登记时间：</w:t>
      </w:r>
      <w:r>
        <w:rPr>
          <w:rFonts w:eastAsia="仿宋_GB2312" w:hint="eastAsia"/>
          <w:color w:val="000000"/>
          <w:sz w:val="26"/>
          <w:szCs w:val="26"/>
        </w:rPr>
        <w:t>2</w:t>
      </w:r>
      <w:r>
        <w:rPr>
          <w:rFonts w:eastAsia="仿宋_GB2312"/>
          <w:color w:val="000000"/>
          <w:sz w:val="26"/>
          <w:szCs w:val="26"/>
        </w:rPr>
        <w:t>020</w:t>
      </w:r>
      <w:r>
        <w:rPr>
          <w:rFonts w:eastAsia="仿宋_GB2312" w:hint="eastAsia"/>
          <w:color w:val="000000"/>
          <w:sz w:val="26"/>
          <w:szCs w:val="26"/>
        </w:rPr>
        <w:t>年</w:t>
      </w:r>
      <w:r>
        <w:rPr>
          <w:rFonts w:eastAsia="仿宋_GB2312" w:hint="eastAsia"/>
          <w:color w:val="000000"/>
          <w:sz w:val="26"/>
          <w:szCs w:val="26"/>
        </w:rPr>
        <w:t>3</w:t>
      </w:r>
      <w:r>
        <w:rPr>
          <w:rFonts w:eastAsia="仿宋_GB2312" w:hint="eastAsia"/>
          <w:color w:val="000000"/>
          <w:sz w:val="26"/>
          <w:szCs w:val="26"/>
        </w:rPr>
        <w:t>月</w:t>
      </w:r>
      <w:r>
        <w:rPr>
          <w:rFonts w:eastAsia="仿宋_GB2312" w:hint="eastAsia"/>
          <w:color w:val="000000"/>
          <w:sz w:val="26"/>
          <w:szCs w:val="26"/>
        </w:rPr>
        <w:t>0</w:t>
      </w:r>
      <w:r>
        <w:rPr>
          <w:rFonts w:eastAsia="仿宋_GB2312"/>
          <w:color w:val="000000"/>
          <w:sz w:val="26"/>
          <w:szCs w:val="26"/>
        </w:rPr>
        <w:t>6</w:t>
      </w:r>
      <w:r>
        <w:rPr>
          <w:rFonts w:eastAsia="仿宋_GB2312" w:hint="eastAsia"/>
          <w:color w:val="000000"/>
          <w:sz w:val="26"/>
          <w:szCs w:val="26"/>
        </w:rPr>
        <w:t>号</w:t>
      </w:r>
    </w:p>
    <w:p w14:paraId="43B63EBB" w14:textId="5F3C7059" w:rsidR="00F0001C" w:rsidRDefault="00F0001C" w:rsidP="00F0001C">
      <w:pPr>
        <w:adjustRightInd w:val="0"/>
        <w:snapToGrid w:val="0"/>
        <w:spacing w:line="440" w:lineRule="exact"/>
        <w:ind w:firstLineChars="200" w:firstLine="522"/>
        <w:rPr>
          <w:rFonts w:eastAsia="仿宋_GB2312"/>
          <w:b/>
          <w:bCs/>
          <w:color w:val="000000"/>
          <w:sz w:val="26"/>
          <w:szCs w:val="26"/>
        </w:rPr>
      </w:pPr>
      <w:r w:rsidRPr="00F0001C">
        <w:rPr>
          <w:rFonts w:eastAsia="仿宋_GB2312" w:hint="eastAsia"/>
          <w:b/>
          <w:bCs/>
          <w:color w:val="000000"/>
          <w:sz w:val="26"/>
          <w:szCs w:val="26"/>
        </w:rPr>
        <w:t>查封信息</w:t>
      </w:r>
    </w:p>
    <w:tbl>
      <w:tblPr>
        <w:tblStyle w:val="af5"/>
        <w:tblW w:w="10983" w:type="dxa"/>
        <w:jc w:val="center"/>
        <w:tblLook w:val="04A0" w:firstRow="1" w:lastRow="0" w:firstColumn="1" w:lastColumn="0" w:noHBand="0" w:noVBand="1"/>
      </w:tblPr>
      <w:tblGrid>
        <w:gridCol w:w="2181"/>
        <w:gridCol w:w="2181"/>
        <w:gridCol w:w="2181"/>
        <w:gridCol w:w="2182"/>
        <w:gridCol w:w="2258"/>
      </w:tblGrid>
      <w:tr w:rsidR="00014EC6" w14:paraId="49ADF576" w14:textId="77777777" w:rsidTr="00CF4DAF">
        <w:trPr>
          <w:trHeight w:val="503"/>
          <w:jc w:val="center"/>
        </w:trPr>
        <w:tc>
          <w:tcPr>
            <w:tcW w:w="2181" w:type="dxa"/>
          </w:tcPr>
          <w:p w14:paraId="06A4BB4E" w14:textId="545C3773"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lastRenderedPageBreak/>
              <w:t>登记序号</w:t>
            </w:r>
          </w:p>
        </w:tc>
        <w:tc>
          <w:tcPr>
            <w:tcW w:w="2181" w:type="dxa"/>
          </w:tcPr>
          <w:p w14:paraId="78B264B7" w14:textId="48997365"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查封机构</w:t>
            </w:r>
          </w:p>
        </w:tc>
        <w:tc>
          <w:tcPr>
            <w:tcW w:w="2181" w:type="dxa"/>
          </w:tcPr>
          <w:p w14:paraId="6ECEC853" w14:textId="2A4BA8BB"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查封文号</w:t>
            </w:r>
          </w:p>
        </w:tc>
        <w:tc>
          <w:tcPr>
            <w:tcW w:w="2182" w:type="dxa"/>
          </w:tcPr>
          <w:p w14:paraId="0DE7FE22" w14:textId="7078A086"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查封期限</w:t>
            </w:r>
          </w:p>
        </w:tc>
        <w:tc>
          <w:tcPr>
            <w:tcW w:w="2258" w:type="dxa"/>
          </w:tcPr>
          <w:p w14:paraId="180D1A12" w14:textId="1B347CF5"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登记时间</w:t>
            </w:r>
          </w:p>
        </w:tc>
      </w:tr>
      <w:tr w:rsidR="00014EC6" w14:paraId="7A3F5D56" w14:textId="77777777" w:rsidTr="00CF4DAF">
        <w:trPr>
          <w:trHeight w:val="994"/>
          <w:jc w:val="center"/>
        </w:trPr>
        <w:tc>
          <w:tcPr>
            <w:tcW w:w="2181" w:type="dxa"/>
          </w:tcPr>
          <w:p w14:paraId="31AE904D" w14:textId="47AA8E15"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1</w:t>
            </w:r>
          </w:p>
        </w:tc>
        <w:tc>
          <w:tcPr>
            <w:tcW w:w="2181" w:type="dxa"/>
          </w:tcPr>
          <w:p w14:paraId="10E2AB0C" w14:textId="2597B138"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贵州省兴仁市人民政府</w:t>
            </w:r>
          </w:p>
        </w:tc>
        <w:tc>
          <w:tcPr>
            <w:tcW w:w="2181" w:type="dxa"/>
          </w:tcPr>
          <w:p w14:paraId="62C8B35D" w14:textId="67A59BAC"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w:t>
            </w: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）黔</w:t>
            </w:r>
            <w:r w:rsidRPr="00CF4DAF">
              <w:rPr>
                <w:rFonts w:eastAsia="仿宋_GB2312" w:hint="eastAsia"/>
                <w:color w:val="000000"/>
                <w:sz w:val="22"/>
                <w:szCs w:val="22"/>
              </w:rPr>
              <w:t>2</w:t>
            </w:r>
            <w:r w:rsidRPr="00CF4DAF">
              <w:rPr>
                <w:rFonts w:eastAsia="仿宋_GB2312"/>
                <w:color w:val="000000"/>
                <w:sz w:val="22"/>
                <w:szCs w:val="22"/>
              </w:rPr>
              <w:t>322</w:t>
            </w:r>
            <w:r w:rsidRPr="00CF4DAF">
              <w:rPr>
                <w:rFonts w:eastAsia="仿宋_GB2312" w:hint="eastAsia"/>
                <w:color w:val="000000"/>
                <w:sz w:val="22"/>
                <w:szCs w:val="22"/>
              </w:rPr>
              <w:t>执</w:t>
            </w:r>
            <w:r w:rsidRPr="00CF4DAF">
              <w:rPr>
                <w:rFonts w:eastAsia="仿宋_GB2312" w:hint="eastAsia"/>
                <w:color w:val="000000"/>
                <w:sz w:val="22"/>
                <w:szCs w:val="22"/>
              </w:rPr>
              <w:t>3</w:t>
            </w:r>
            <w:r w:rsidRPr="00CF4DAF">
              <w:rPr>
                <w:rFonts w:eastAsia="仿宋_GB2312"/>
                <w:color w:val="000000"/>
                <w:sz w:val="22"/>
                <w:szCs w:val="22"/>
              </w:rPr>
              <w:t>66</w:t>
            </w:r>
            <w:r w:rsidRPr="00CF4DAF">
              <w:rPr>
                <w:rFonts w:eastAsia="仿宋_GB2312" w:hint="eastAsia"/>
                <w:color w:val="000000"/>
                <w:sz w:val="22"/>
                <w:szCs w:val="22"/>
              </w:rPr>
              <w:t>号之一</w:t>
            </w:r>
          </w:p>
        </w:tc>
        <w:tc>
          <w:tcPr>
            <w:tcW w:w="2182" w:type="dxa"/>
          </w:tcPr>
          <w:p w14:paraId="4895E5FB" w14:textId="1729AE53"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0</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2</w:t>
            </w:r>
            <w:r w:rsidRPr="00CF4DAF">
              <w:rPr>
                <w:rFonts w:eastAsia="仿宋_GB2312"/>
                <w:color w:val="000000"/>
                <w:sz w:val="22"/>
                <w:szCs w:val="22"/>
              </w:rPr>
              <w:t>0</w:t>
            </w:r>
            <w:r w:rsidRPr="00CF4DAF">
              <w:rPr>
                <w:rFonts w:eastAsia="仿宋_GB2312" w:hint="eastAsia"/>
                <w:color w:val="000000"/>
                <w:sz w:val="22"/>
                <w:szCs w:val="22"/>
              </w:rPr>
              <w:t>日起</w:t>
            </w:r>
            <w:r w:rsidRPr="00CF4DAF">
              <w:rPr>
                <w:rFonts w:eastAsia="仿宋_GB2312" w:hint="eastAsia"/>
                <w:color w:val="000000"/>
                <w:sz w:val="22"/>
                <w:szCs w:val="22"/>
              </w:rPr>
              <w:t>2</w:t>
            </w:r>
            <w:r w:rsidRPr="00CF4DAF">
              <w:rPr>
                <w:rFonts w:eastAsia="仿宋_GB2312"/>
                <w:color w:val="000000"/>
                <w:sz w:val="22"/>
                <w:szCs w:val="22"/>
              </w:rPr>
              <w:t>024</w:t>
            </w:r>
            <w:r w:rsidRPr="00CF4DAF">
              <w:rPr>
                <w:rFonts w:eastAsia="仿宋_GB2312" w:hint="eastAsia"/>
                <w:color w:val="000000"/>
                <w:sz w:val="22"/>
                <w:szCs w:val="22"/>
              </w:rPr>
              <w:t>年</w:t>
            </w:r>
            <w:r w:rsidRPr="00CF4DAF">
              <w:rPr>
                <w:rFonts w:eastAsia="仿宋_GB2312" w:hint="eastAsia"/>
                <w:color w:val="000000"/>
                <w:sz w:val="22"/>
                <w:szCs w:val="22"/>
              </w:rPr>
              <w:t>0</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1</w:t>
            </w:r>
            <w:r w:rsidRPr="00CF4DAF">
              <w:rPr>
                <w:rFonts w:eastAsia="仿宋_GB2312"/>
                <w:color w:val="000000"/>
                <w:sz w:val="22"/>
                <w:szCs w:val="22"/>
              </w:rPr>
              <w:t>9</w:t>
            </w:r>
            <w:r w:rsidRPr="00CF4DAF">
              <w:rPr>
                <w:rFonts w:eastAsia="仿宋_GB2312" w:hint="eastAsia"/>
                <w:color w:val="000000"/>
                <w:sz w:val="22"/>
                <w:szCs w:val="22"/>
              </w:rPr>
              <w:t>日止</w:t>
            </w:r>
          </w:p>
        </w:tc>
        <w:tc>
          <w:tcPr>
            <w:tcW w:w="2258" w:type="dxa"/>
          </w:tcPr>
          <w:p w14:paraId="39A496F1" w14:textId="2E797581"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0</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2</w:t>
            </w:r>
            <w:r w:rsidRPr="00CF4DAF">
              <w:rPr>
                <w:rFonts w:eastAsia="仿宋_GB2312"/>
                <w:color w:val="000000"/>
                <w:sz w:val="22"/>
                <w:szCs w:val="22"/>
              </w:rPr>
              <w:t>2</w:t>
            </w:r>
            <w:r w:rsidRPr="00CF4DAF">
              <w:rPr>
                <w:rFonts w:eastAsia="仿宋_GB2312" w:hint="eastAsia"/>
                <w:color w:val="000000"/>
                <w:sz w:val="22"/>
                <w:szCs w:val="22"/>
              </w:rPr>
              <w:t>日</w:t>
            </w:r>
          </w:p>
        </w:tc>
      </w:tr>
      <w:tr w:rsidR="00014EC6" w14:paraId="7B895EE4" w14:textId="77777777" w:rsidTr="00CF4DAF">
        <w:trPr>
          <w:trHeight w:val="1008"/>
          <w:jc w:val="center"/>
        </w:trPr>
        <w:tc>
          <w:tcPr>
            <w:tcW w:w="2181" w:type="dxa"/>
          </w:tcPr>
          <w:p w14:paraId="6BEC9883" w14:textId="7519959D"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p>
        </w:tc>
        <w:tc>
          <w:tcPr>
            <w:tcW w:w="2181" w:type="dxa"/>
          </w:tcPr>
          <w:p w14:paraId="6EA3C58F" w14:textId="4C61C2EB"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贵州省兴仁市人民政府</w:t>
            </w:r>
          </w:p>
        </w:tc>
        <w:tc>
          <w:tcPr>
            <w:tcW w:w="2181" w:type="dxa"/>
          </w:tcPr>
          <w:p w14:paraId="1BDEF56A" w14:textId="36F7FF1F"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w:t>
            </w: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）黔</w:t>
            </w:r>
            <w:r w:rsidRPr="00CF4DAF">
              <w:rPr>
                <w:rFonts w:eastAsia="仿宋_GB2312" w:hint="eastAsia"/>
                <w:color w:val="000000"/>
                <w:sz w:val="22"/>
                <w:szCs w:val="22"/>
              </w:rPr>
              <w:t>2</w:t>
            </w:r>
            <w:r w:rsidRPr="00CF4DAF">
              <w:rPr>
                <w:rFonts w:eastAsia="仿宋_GB2312"/>
                <w:color w:val="000000"/>
                <w:sz w:val="22"/>
                <w:szCs w:val="22"/>
              </w:rPr>
              <w:t>322</w:t>
            </w:r>
            <w:r w:rsidRPr="00CF4DAF">
              <w:rPr>
                <w:rFonts w:eastAsia="仿宋_GB2312" w:hint="eastAsia"/>
                <w:color w:val="000000"/>
                <w:sz w:val="22"/>
                <w:szCs w:val="22"/>
              </w:rPr>
              <w:t>执</w:t>
            </w:r>
            <w:r w:rsidRPr="00CF4DAF">
              <w:rPr>
                <w:rFonts w:eastAsia="仿宋_GB2312" w:hint="eastAsia"/>
                <w:color w:val="000000"/>
                <w:sz w:val="22"/>
                <w:szCs w:val="22"/>
              </w:rPr>
              <w:t>3</w:t>
            </w:r>
            <w:r w:rsidRPr="00CF4DAF">
              <w:rPr>
                <w:rFonts w:eastAsia="仿宋_GB2312"/>
                <w:color w:val="000000"/>
                <w:sz w:val="22"/>
                <w:szCs w:val="22"/>
              </w:rPr>
              <w:t>923</w:t>
            </w:r>
            <w:r w:rsidRPr="00CF4DAF">
              <w:rPr>
                <w:rFonts w:eastAsia="仿宋_GB2312" w:hint="eastAsia"/>
                <w:color w:val="000000"/>
                <w:sz w:val="22"/>
                <w:szCs w:val="22"/>
              </w:rPr>
              <w:t>号之一</w:t>
            </w:r>
          </w:p>
        </w:tc>
        <w:tc>
          <w:tcPr>
            <w:tcW w:w="2182" w:type="dxa"/>
          </w:tcPr>
          <w:p w14:paraId="53799DBA" w14:textId="183E7592"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2</w:t>
            </w:r>
            <w:r w:rsidRPr="00CF4DAF">
              <w:rPr>
                <w:rFonts w:eastAsia="仿宋_GB2312" w:hint="eastAsia"/>
                <w:color w:val="000000"/>
                <w:sz w:val="22"/>
                <w:szCs w:val="22"/>
              </w:rPr>
              <w:t>日起</w:t>
            </w:r>
            <w:r w:rsidRPr="00CF4DAF">
              <w:rPr>
                <w:rFonts w:eastAsia="仿宋_GB2312" w:hint="eastAsia"/>
                <w:color w:val="000000"/>
                <w:sz w:val="22"/>
                <w:szCs w:val="22"/>
              </w:rPr>
              <w:t>2</w:t>
            </w:r>
            <w:r w:rsidRPr="00CF4DAF">
              <w:rPr>
                <w:rFonts w:eastAsia="仿宋_GB2312"/>
                <w:color w:val="000000"/>
                <w:sz w:val="22"/>
                <w:szCs w:val="22"/>
              </w:rPr>
              <w:t>024</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1</w:t>
            </w:r>
            <w:r w:rsidRPr="00CF4DAF">
              <w:rPr>
                <w:rFonts w:eastAsia="仿宋_GB2312" w:hint="eastAsia"/>
                <w:color w:val="000000"/>
                <w:sz w:val="22"/>
                <w:szCs w:val="22"/>
              </w:rPr>
              <w:t>日止</w:t>
            </w:r>
          </w:p>
        </w:tc>
        <w:tc>
          <w:tcPr>
            <w:tcW w:w="2258" w:type="dxa"/>
          </w:tcPr>
          <w:p w14:paraId="7BA4C793" w14:textId="0368E8F8"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4</w:t>
            </w:r>
            <w:r w:rsidRPr="00CF4DAF">
              <w:rPr>
                <w:rFonts w:eastAsia="仿宋_GB2312" w:hint="eastAsia"/>
                <w:color w:val="000000"/>
                <w:sz w:val="22"/>
                <w:szCs w:val="22"/>
              </w:rPr>
              <w:t>日</w:t>
            </w:r>
          </w:p>
        </w:tc>
      </w:tr>
      <w:tr w:rsidR="00014EC6" w14:paraId="66361CDB" w14:textId="77777777" w:rsidTr="00CF4DAF">
        <w:trPr>
          <w:trHeight w:val="1008"/>
          <w:jc w:val="center"/>
        </w:trPr>
        <w:tc>
          <w:tcPr>
            <w:tcW w:w="2181" w:type="dxa"/>
          </w:tcPr>
          <w:p w14:paraId="600A40D8" w14:textId="718DAE01"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3</w:t>
            </w:r>
          </w:p>
        </w:tc>
        <w:tc>
          <w:tcPr>
            <w:tcW w:w="2181" w:type="dxa"/>
          </w:tcPr>
          <w:p w14:paraId="04668D97" w14:textId="5D7F8058"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贵州省兴仁市人民政府</w:t>
            </w:r>
          </w:p>
        </w:tc>
        <w:tc>
          <w:tcPr>
            <w:tcW w:w="2181" w:type="dxa"/>
          </w:tcPr>
          <w:p w14:paraId="6D529BA4" w14:textId="14D98DFD"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w:t>
            </w: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）黔</w:t>
            </w:r>
            <w:r w:rsidRPr="00CF4DAF">
              <w:rPr>
                <w:rFonts w:eastAsia="仿宋_GB2312" w:hint="eastAsia"/>
                <w:color w:val="000000"/>
                <w:sz w:val="22"/>
                <w:szCs w:val="22"/>
              </w:rPr>
              <w:t>2</w:t>
            </w:r>
            <w:r w:rsidRPr="00CF4DAF">
              <w:rPr>
                <w:rFonts w:eastAsia="仿宋_GB2312"/>
                <w:color w:val="000000"/>
                <w:sz w:val="22"/>
                <w:szCs w:val="22"/>
              </w:rPr>
              <w:t>322</w:t>
            </w:r>
            <w:r w:rsidRPr="00CF4DAF">
              <w:rPr>
                <w:rFonts w:eastAsia="仿宋_GB2312" w:hint="eastAsia"/>
                <w:color w:val="000000"/>
                <w:sz w:val="22"/>
                <w:szCs w:val="22"/>
              </w:rPr>
              <w:t>执</w:t>
            </w:r>
            <w:r w:rsidRPr="00CF4DAF">
              <w:rPr>
                <w:rFonts w:eastAsia="仿宋_GB2312"/>
                <w:color w:val="000000"/>
                <w:sz w:val="22"/>
                <w:szCs w:val="22"/>
              </w:rPr>
              <w:t>3944</w:t>
            </w:r>
            <w:r w:rsidRPr="00CF4DAF">
              <w:rPr>
                <w:rFonts w:eastAsia="仿宋_GB2312" w:hint="eastAsia"/>
                <w:color w:val="000000"/>
                <w:sz w:val="22"/>
                <w:szCs w:val="22"/>
              </w:rPr>
              <w:t>号之一</w:t>
            </w:r>
          </w:p>
        </w:tc>
        <w:tc>
          <w:tcPr>
            <w:tcW w:w="2182" w:type="dxa"/>
          </w:tcPr>
          <w:p w14:paraId="1529CEDA" w14:textId="147CAC50"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9</w:t>
            </w:r>
            <w:r w:rsidRPr="00CF4DAF">
              <w:rPr>
                <w:rFonts w:eastAsia="仿宋_GB2312" w:hint="eastAsia"/>
                <w:color w:val="000000"/>
                <w:sz w:val="22"/>
                <w:szCs w:val="22"/>
              </w:rPr>
              <w:t>日起</w:t>
            </w:r>
            <w:r w:rsidRPr="00CF4DAF">
              <w:rPr>
                <w:rFonts w:eastAsia="仿宋_GB2312" w:hint="eastAsia"/>
                <w:color w:val="000000"/>
                <w:sz w:val="22"/>
                <w:szCs w:val="22"/>
              </w:rPr>
              <w:t>2</w:t>
            </w:r>
            <w:r w:rsidRPr="00CF4DAF">
              <w:rPr>
                <w:rFonts w:eastAsia="仿宋_GB2312"/>
                <w:color w:val="000000"/>
                <w:sz w:val="22"/>
                <w:szCs w:val="22"/>
              </w:rPr>
              <w:t>024</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8</w:t>
            </w:r>
            <w:r w:rsidRPr="00CF4DAF">
              <w:rPr>
                <w:rFonts w:eastAsia="仿宋_GB2312" w:hint="eastAsia"/>
                <w:color w:val="000000"/>
                <w:sz w:val="22"/>
                <w:szCs w:val="22"/>
              </w:rPr>
              <w:t>日止</w:t>
            </w:r>
          </w:p>
        </w:tc>
        <w:tc>
          <w:tcPr>
            <w:tcW w:w="2258" w:type="dxa"/>
          </w:tcPr>
          <w:p w14:paraId="7FF146CD" w14:textId="58DCD340"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1</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9</w:t>
            </w:r>
            <w:r w:rsidRPr="00CF4DAF">
              <w:rPr>
                <w:rFonts w:eastAsia="仿宋_GB2312" w:hint="eastAsia"/>
                <w:color w:val="000000"/>
                <w:sz w:val="22"/>
                <w:szCs w:val="22"/>
              </w:rPr>
              <w:t>日</w:t>
            </w:r>
          </w:p>
        </w:tc>
      </w:tr>
      <w:tr w:rsidR="00014EC6" w14:paraId="1ECC0AE9" w14:textId="77777777" w:rsidTr="00CF4DAF">
        <w:trPr>
          <w:trHeight w:val="914"/>
          <w:jc w:val="center"/>
        </w:trPr>
        <w:tc>
          <w:tcPr>
            <w:tcW w:w="2181" w:type="dxa"/>
          </w:tcPr>
          <w:p w14:paraId="44FDFD76" w14:textId="635953DF"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4</w:t>
            </w:r>
          </w:p>
        </w:tc>
        <w:tc>
          <w:tcPr>
            <w:tcW w:w="2181" w:type="dxa"/>
          </w:tcPr>
          <w:p w14:paraId="5EF17407" w14:textId="7F6B9B0A"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贵州省兴仁市人民政府</w:t>
            </w:r>
          </w:p>
        </w:tc>
        <w:tc>
          <w:tcPr>
            <w:tcW w:w="2181" w:type="dxa"/>
          </w:tcPr>
          <w:p w14:paraId="6FFD1A6A" w14:textId="619159BB"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w:t>
            </w: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）黔</w:t>
            </w:r>
            <w:r w:rsidRPr="00CF4DAF">
              <w:rPr>
                <w:rFonts w:eastAsia="仿宋_GB2312" w:hint="eastAsia"/>
                <w:color w:val="000000"/>
                <w:sz w:val="22"/>
                <w:szCs w:val="22"/>
              </w:rPr>
              <w:t>2</w:t>
            </w:r>
            <w:r w:rsidRPr="00CF4DAF">
              <w:rPr>
                <w:rFonts w:eastAsia="仿宋_GB2312"/>
                <w:color w:val="000000"/>
                <w:sz w:val="22"/>
                <w:szCs w:val="22"/>
              </w:rPr>
              <w:t>322</w:t>
            </w:r>
            <w:r w:rsidRPr="00CF4DAF">
              <w:rPr>
                <w:rFonts w:eastAsia="仿宋_GB2312" w:hint="eastAsia"/>
                <w:color w:val="000000"/>
                <w:sz w:val="22"/>
                <w:szCs w:val="22"/>
              </w:rPr>
              <w:t>执</w:t>
            </w:r>
            <w:r w:rsidRPr="00CF4DAF">
              <w:rPr>
                <w:rFonts w:eastAsia="仿宋_GB2312"/>
                <w:color w:val="000000"/>
                <w:sz w:val="22"/>
                <w:szCs w:val="22"/>
              </w:rPr>
              <w:t>4214</w:t>
            </w:r>
            <w:r w:rsidRPr="00CF4DAF">
              <w:rPr>
                <w:rFonts w:eastAsia="仿宋_GB2312" w:hint="eastAsia"/>
                <w:color w:val="000000"/>
                <w:sz w:val="22"/>
                <w:szCs w:val="22"/>
              </w:rPr>
              <w:t>号之一</w:t>
            </w:r>
          </w:p>
        </w:tc>
        <w:tc>
          <w:tcPr>
            <w:tcW w:w="2182" w:type="dxa"/>
          </w:tcPr>
          <w:p w14:paraId="5BEB4799" w14:textId="64057C40"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2</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7</w:t>
            </w:r>
            <w:r w:rsidRPr="00CF4DAF">
              <w:rPr>
                <w:rFonts w:eastAsia="仿宋_GB2312" w:hint="eastAsia"/>
                <w:color w:val="000000"/>
                <w:sz w:val="22"/>
                <w:szCs w:val="22"/>
              </w:rPr>
              <w:t>日起</w:t>
            </w:r>
            <w:r w:rsidRPr="00CF4DAF">
              <w:rPr>
                <w:rFonts w:eastAsia="仿宋_GB2312" w:hint="eastAsia"/>
                <w:color w:val="000000"/>
                <w:sz w:val="22"/>
                <w:szCs w:val="22"/>
              </w:rPr>
              <w:t>2</w:t>
            </w:r>
            <w:r w:rsidRPr="00CF4DAF">
              <w:rPr>
                <w:rFonts w:eastAsia="仿宋_GB2312"/>
                <w:color w:val="000000"/>
                <w:sz w:val="22"/>
                <w:szCs w:val="22"/>
              </w:rPr>
              <w:t>024</w:t>
            </w:r>
            <w:r w:rsidRPr="00CF4DAF">
              <w:rPr>
                <w:rFonts w:eastAsia="仿宋_GB2312" w:hint="eastAsia"/>
                <w:color w:val="000000"/>
                <w:sz w:val="22"/>
                <w:szCs w:val="22"/>
              </w:rPr>
              <w:t>年</w:t>
            </w:r>
            <w:r w:rsidRPr="00CF4DAF">
              <w:rPr>
                <w:rFonts w:eastAsia="仿宋_GB2312" w:hint="eastAsia"/>
                <w:color w:val="000000"/>
                <w:sz w:val="22"/>
                <w:szCs w:val="22"/>
              </w:rPr>
              <w:t>1</w:t>
            </w:r>
            <w:r w:rsidRPr="00CF4DAF">
              <w:rPr>
                <w:rFonts w:eastAsia="仿宋_GB2312"/>
                <w:color w:val="000000"/>
                <w:sz w:val="22"/>
                <w:szCs w:val="22"/>
              </w:rPr>
              <w:t>2</w:t>
            </w:r>
            <w:r w:rsidRPr="00CF4DAF">
              <w:rPr>
                <w:rFonts w:eastAsia="仿宋_GB2312" w:hint="eastAsia"/>
                <w:color w:val="000000"/>
                <w:sz w:val="22"/>
                <w:szCs w:val="22"/>
              </w:rPr>
              <w:t>月</w:t>
            </w:r>
            <w:r w:rsidRPr="00CF4DAF">
              <w:rPr>
                <w:rFonts w:eastAsia="仿宋_GB2312" w:hint="eastAsia"/>
                <w:color w:val="000000"/>
                <w:sz w:val="22"/>
                <w:szCs w:val="22"/>
              </w:rPr>
              <w:t>0</w:t>
            </w:r>
            <w:r w:rsidRPr="00CF4DAF">
              <w:rPr>
                <w:rFonts w:eastAsia="仿宋_GB2312"/>
                <w:color w:val="000000"/>
                <w:sz w:val="22"/>
                <w:szCs w:val="22"/>
              </w:rPr>
              <w:t>6</w:t>
            </w:r>
            <w:r w:rsidRPr="00CF4DAF">
              <w:rPr>
                <w:rFonts w:eastAsia="仿宋_GB2312" w:hint="eastAsia"/>
                <w:color w:val="000000"/>
                <w:sz w:val="22"/>
                <w:szCs w:val="22"/>
              </w:rPr>
              <w:t>日止</w:t>
            </w:r>
          </w:p>
        </w:tc>
        <w:tc>
          <w:tcPr>
            <w:tcW w:w="2258" w:type="dxa"/>
          </w:tcPr>
          <w:p w14:paraId="6C26926B" w14:textId="6BA0DE2D" w:rsidR="00014EC6" w:rsidRPr="00CF4DAF" w:rsidRDefault="00014EC6" w:rsidP="00014EC6">
            <w:pPr>
              <w:adjustRightInd w:val="0"/>
              <w:snapToGrid w:val="0"/>
              <w:spacing w:line="440" w:lineRule="exact"/>
              <w:jc w:val="center"/>
              <w:rPr>
                <w:rFonts w:eastAsia="仿宋_GB2312"/>
                <w:color w:val="000000"/>
                <w:sz w:val="22"/>
                <w:szCs w:val="22"/>
              </w:rPr>
            </w:pPr>
            <w:r w:rsidRPr="00CF4DAF">
              <w:rPr>
                <w:rFonts w:eastAsia="仿宋_GB2312" w:hint="eastAsia"/>
                <w:color w:val="000000"/>
                <w:sz w:val="22"/>
                <w:szCs w:val="22"/>
              </w:rPr>
              <w:t>2</w:t>
            </w:r>
            <w:r w:rsidRPr="00CF4DAF">
              <w:rPr>
                <w:rFonts w:eastAsia="仿宋_GB2312"/>
                <w:color w:val="000000"/>
                <w:sz w:val="22"/>
                <w:szCs w:val="22"/>
              </w:rPr>
              <w:t>021</w:t>
            </w:r>
            <w:r w:rsidRPr="00CF4DAF">
              <w:rPr>
                <w:rFonts w:eastAsia="仿宋_GB2312" w:hint="eastAsia"/>
                <w:color w:val="000000"/>
                <w:sz w:val="22"/>
                <w:szCs w:val="22"/>
              </w:rPr>
              <w:t>年</w:t>
            </w:r>
            <w:r w:rsidR="00125A3F" w:rsidRPr="00CF4DAF">
              <w:rPr>
                <w:rFonts w:eastAsia="仿宋_GB2312" w:hint="eastAsia"/>
                <w:color w:val="000000"/>
                <w:sz w:val="22"/>
                <w:szCs w:val="22"/>
              </w:rPr>
              <w:t>1</w:t>
            </w:r>
            <w:r w:rsidR="00125A3F" w:rsidRPr="00CF4DAF">
              <w:rPr>
                <w:rFonts w:eastAsia="仿宋_GB2312"/>
                <w:color w:val="000000"/>
                <w:sz w:val="22"/>
                <w:szCs w:val="22"/>
              </w:rPr>
              <w:t>2</w:t>
            </w:r>
            <w:r w:rsidRPr="00CF4DAF">
              <w:rPr>
                <w:rFonts w:eastAsia="仿宋_GB2312" w:hint="eastAsia"/>
                <w:color w:val="000000"/>
                <w:sz w:val="22"/>
                <w:szCs w:val="22"/>
              </w:rPr>
              <w:t>月</w:t>
            </w:r>
            <w:r w:rsidR="00125A3F" w:rsidRPr="00CF4DAF">
              <w:rPr>
                <w:rFonts w:eastAsia="仿宋_GB2312" w:hint="eastAsia"/>
                <w:color w:val="000000"/>
                <w:sz w:val="22"/>
                <w:szCs w:val="22"/>
              </w:rPr>
              <w:t>0</w:t>
            </w:r>
            <w:r w:rsidR="00125A3F" w:rsidRPr="00CF4DAF">
              <w:rPr>
                <w:rFonts w:eastAsia="仿宋_GB2312"/>
                <w:color w:val="000000"/>
                <w:sz w:val="22"/>
                <w:szCs w:val="22"/>
              </w:rPr>
              <w:t>7</w:t>
            </w:r>
            <w:r w:rsidRPr="00CF4DAF">
              <w:rPr>
                <w:rFonts w:eastAsia="仿宋_GB2312" w:hint="eastAsia"/>
                <w:color w:val="000000"/>
                <w:sz w:val="22"/>
                <w:szCs w:val="22"/>
              </w:rPr>
              <w:t>日</w:t>
            </w:r>
          </w:p>
        </w:tc>
      </w:tr>
    </w:tbl>
    <w:p w14:paraId="2CAEE2B8" w14:textId="77777777" w:rsidR="00F0001C" w:rsidRPr="00F0001C" w:rsidRDefault="00F0001C" w:rsidP="00F0001C">
      <w:pPr>
        <w:adjustRightInd w:val="0"/>
        <w:snapToGrid w:val="0"/>
        <w:spacing w:line="440" w:lineRule="exact"/>
        <w:ind w:firstLineChars="200" w:firstLine="522"/>
        <w:rPr>
          <w:rFonts w:eastAsia="仿宋_GB2312"/>
          <w:b/>
          <w:bCs/>
          <w:color w:val="000000"/>
          <w:sz w:val="26"/>
          <w:szCs w:val="26"/>
        </w:rPr>
      </w:pPr>
    </w:p>
    <w:p w14:paraId="2BADA809" w14:textId="7341623A" w:rsidR="00EF6A0E" w:rsidRPr="00F0001C" w:rsidRDefault="00000000" w:rsidP="00F0001C">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根据估价目的，本次估价仅是为人民法院确定财产处置参考价提供参考依据而评估房地产市场价值。因此本次评估未考虑估价对象存在的法定优先受偿款情况，但是在处置该房地产时，会涉及到法定优先受偿款，会影响到房产受让方收益价值；在此提请估价报告使用方注意</w:t>
      </w:r>
      <w:r>
        <w:rPr>
          <w:rFonts w:eastAsia="仿宋_GB2312" w:hint="eastAsia"/>
          <w:sz w:val="26"/>
          <w:szCs w:val="26"/>
        </w:rPr>
        <w:t>。</w:t>
      </w:r>
    </w:p>
    <w:p w14:paraId="40142CA6" w14:textId="31C9434D" w:rsidR="00EF6A0E" w:rsidRDefault="00000000">
      <w:pPr>
        <w:pStyle w:val="2"/>
        <w:spacing w:line="240" w:lineRule="auto"/>
        <w:rPr>
          <w:rFonts w:ascii="Times New Roman" w:eastAsia="仿宋_GB2312" w:hAnsi="Times New Roman"/>
          <w:sz w:val="30"/>
          <w:szCs w:val="30"/>
        </w:rPr>
      </w:pPr>
      <w:bookmarkStart w:id="85" w:name="_Toc7924"/>
      <w:bookmarkStart w:id="86" w:name="_Toc6878"/>
      <w:bookmarkStart w:id="87" w:name="_Toc18315"/>
      <w:bookmarkStart w:id="88" w:name="_Toc3731"/>
      <w:bookmarkStart w:id="89" w:name="_Toc21006"/>
      <w:bookmarkStart w:id="90" w:name="_Toc27453"/>
      <w:bookmarkStart w:id="91" w:name="_Toc4929"/>
      <w:bookmarkStart w:id="92" w:name="_Toc457460268"/>
      <w:bookmarkStart w:id="93" w:name="_Toc7930"/>
      <w:r>
        <w:rPr>
          <w:rFonts w:ascii="Times New Roman" w:eastAsia="仿宋_GB2312" w:hAnsi="Times New Roman" w:hint="eastAsia"/>
          <w:sz w:val="30"/>
          <w:szCs w:val="30"/>
        </w:rPr>
        <w:t>三</w:t>
      </w:r>
      <w:r>
        <w:rPr>
          <w:rFonts w:ascii="Times New Roman" w:eastAsia="仿宋_GB2312" w:hAnsi="Times New Roman"/>
          <w:sz w:val="30"/>
          <w:szCs w:val="30"/>
        </w:rPr>
        <w:t>、区</w:t>
      </w:r>
      <w:r>
        <w:rPr>
          <w:rFonts w:ascii="Times New Roman" w:eastAsia="仿宋_GB2312" w:hAnsi="Times New Roman" w:hint="eastAsia"/>
          <w:sz w:val="30"/>
          <w:szCs w:val="30"/>
        </w:rPr>
        <w:t>位</w:t>
      </w:r>
      <w:r>
        <w:rPr>
          <w:rFonts w:ascii="Times New Roman" w:eastAsia="仿宋_GB2312" w:hAnsi="Times New Roman"/>
          <w:sz w:val="30"/>
          <w:szCs w:val="30"/>
        </w:rPr>
        <w:t>状况描述与分析</w:t>
      </w:r>
      <w:bookmarkEnd w:id="84"/>
      <w:bookmarkEnd w:id="85"/>
      <w:bookmarkEnd w:id="86"/>
      <w:bookmarkEnd w:id="87"/>
      <w:bookmarkEnd w:id="88"/>
      <w:bookmarkEnd w:id="89"/>
      <w:bookmarkEnd w:id="90"/>
      <w:bookmarkEnd w:id="91"/>
      <w:bookmarkEnd w:id="92"/>
      <w:bookmarkEnd w:id="93"/>
    </w:p>
    <w:p w14:paraId="6101ABCD" w14:textId="77777777" w:rsidR="00EF6A0E" w:rsidRDefault="00000000">
      <w:pPr>
        <w:tabs>
          <w:tab w:val="left" w:pos="1260"/>
          <w:tab w:val="left" w:pos="1440"/>
          <w:tab w:val="left" w:pos="4180"/>
        </w:tabs>
        <w:spacing w:line="440" w:lineRule="exact"/>
        <w:ind w:firstLineChars="200" w:firstLine="520"/>
        <w:rPr>
          <w:rFonts w:eastAsia="仿宋_GB2312"/>
          <w:sz w:val="26"/>
          <w:szCs w:val="26"/>
        </w:rPr>
      </w:pPr>
      <w:bookmarkStart w:id="94" w:name="_Toc386011003"/>
      <w:r>
        <w:rPr>
          <w:rFonts w:eastAsia="仿宋_GB2312"/>
          <w:kern w:val="0"/>
          <w:sz w:val="26"/>
          <w:szCs w:val="26"/>
        </w:rPr>
        <w:t>1</w:t>
      </w:r>
      <w:r>
        <w:rPr>
          <w:rFonts w:eastAsia="仿宋_GB2312"/>
          <w:kern w:val="0"/>
          <w:sz w:val="26"/>
          <w:szCs w:val="26"/>
        </w:rPr>
        <w:t>、区域概况</w:t>
      </w:r>
      <w:r>
        <w:rPr>
          <w:rFonts w:eastAsia="仿宋_GB2312" w:hint="eastAsia"/>
          <w:kern w:val="0"/>
          <w:sz w:val="26"/>
          <w:szCs w:val="26"/>
        </w:rPr>
        <w:tab/>
      </w:r>
    </w:p>
    <w:p w14:paraId="704BCC03" w14:textId="63479335" w:rsidR="00EF6A0E" w:rsidRDefault="005549FC">
      <w:pPr>
        <w:spacing w:line="440" w:lineRule="exact"/>
        <w:ind w:firstLineChars="200" w:firstLine="520"/>
        <w:rPr>
          <w:rFonts w:eastAsia="仿宋_GB2312"/>
          <w:color w:val="000000"/>
          <w:sz w:val="26"/>
          <w:szCs w:val="26"/>
        </w:rPr>
      </w:pPr>
      <w:r w:rsidRPr="005549FC">
        <w:rPr>
          <w:rFonts w:eastAsia="仿宋_GB2312" w:hint="eastAsia"/>
          <w:color w:val="000000"/>
          <w:sz w:val="26"/>
          <w:szCs w:val="26"/>
        </w:rPr>
        <w:t>兴仁市地处贵州省西南部，黔西南州中部，是滇、桂、黔三省结合部的中心市。东邻贞丰、南接安龙、兴义，西抵普安，北界晴隆，东北与关岭隔江相望。全市国土面积</w:t>
      </w:r>
      <w:r w:rsidRPr="005549FC">
        <w:rPr>
          <w:rFonts w:eastAsia="仿宋_GB2312" w:hint="eastAsia"/>
          <w:color w:val="000000"/>
          <w:sz w:val="26"/>
          <w:szCs w:val="26"/>
        </w:rPr>
        <w:t>1785</w:t>
      </w:r>
      <w:r w:rsidRPr="005549FC">
        <w:rPr>
          <w:rFonts w:eastAsia="仿宋_GB2312" w:hint="eastAsia"/>
          <w:color w:val="000000"/>
          <w:sz w:val="26"/>
          <w:szCs w:val="26"/>
        </w:rPr>
        <w:t>平方公里，辖</w:t>
      </w:r>
      <w:r w:rsidRPr="005549FC">
        <w:rPr>
          <w:rFonts w:eastAsia="仿宋_GB2312" w:hint="eastAsia"/>
          <w:color w:val="000000"/>
          <w:sz w:val="26"/>
          <w:szCs w:val="26"/>
        </w:rPr>
        <w:t>11</w:t>
      </w:r>
      <w:r w:rsidRPr="005549FC">
        <w:rPr>
          <w:rFonts w:eastAsia="仿宋_GB2312" w:hint="eastAsia"/>
          <w:color w:val="000000"/>
          <w:sz w:val="26"/>
          <w:szCs w:val="26"/>
        </w:rPr>
        <w:t>个镇、</w:t>
      </w:r>
      <w:r w:rsidRPr="005549FC">
        <w:rPr>
          <w:rFonts w:eastAsia="仿宋_GB2312" w:hint="eastAsia"/>
          <w:color w:val="000000"/>
          <w:sz w:val="26"/>
          <w:szCs w:val="26"/>
        </w:rPr>
        <w:t>1</w:t>
      </w:r>
      <w:r w:rsidRPr="005549FC">
        <w:rPr>
          <w:rFonts w:eastAsia="仿宋_GB2312" w:hint="eastAsia"/>
          <w:color w:val="000000"/>
          <w:sz w:val="26"/>
          <w:szCs w:val="26"/>
        </w:rPr>
        <w:t>个民族乡、</w:t>
      </w:r>
      <w:r w:rsidRPr="005549FC">
        <w:rPr>
          <w:rFonts w:eastAsia="仿宋_GB2312" w:hint="eastAsia"/>
          <w:color w:val="000000"/>
          <w:sz w:val="26"/>
          <w:szCs w:val="26"/>
        </w:rPr>
        <w:t>4</w:t>
      </w:r>
      <w:r w:rsidRPr="005549FC">
        <w:rPr>
          <w:rFonts w:eastAsia="仿宋_GB2312" w:hint="eastAsia"/>
          <w:color w:val="000000"/>
          <w:sz w:val="26"/>
          <w:szCs w:val="26"/>
        </w:rPr>
        <w:t>个街道，总人口</w:t>
      </w:r>
      <w:r w:rsidRPr="005549FC">
        <w:rPr>
          <w:rFonts w:eastAsia="仿宋_GB2312" w:hint="eastAsia"/>
          <w:color w:val="000000"/>
          <w:sz w:val="26"/>
          <w:szCs w:val="26"/>
        </w:rPr>
        <w:t>57.8</w:t>
      </w:r>
      <w:r w:rsidRPr="005549FC">
        <w:rPr>
          <w:rFonts w:eastAsia="仿宋_GB2312" w:hint="eastAsia"/>
          <w:color w:val="000000"/>
          <w:sz w:val="26"/>
          <w:szCs w:val="26"/>
        </w:rPr>
        <w:t>万，有汉、布依、苗、彝、回、仡佬、瑶等</w:t>
      </w:r>
      <w:r w:rsidRPr="005549FC">
        <w:rPr>
          <w:rFonts w:eastAsia="仿宋_GB2312" w:hint="eastAsia"/>
          <w:color w:val="000000"/>
          <w:sz w:val="26"/>
          <w:szCs w:val="26"/>
        </w:rPr>
        <w:t>16</w:t>
      </w:r>
      <w:r w:rsidRPr="005549FC">
        <w:rPr>
          <w:rFonts w:eastAsia="仿宋_GB2312" w:hint="eastAsia"/>
          <w:color w:val="000000"/>
          <w:sz w:val="26"/>
          <w:szCs w:val="26"/>
        </w:rPr>
        <w:t>个民族，占全市总人口的</w:t>
      </w:r>
      <w:r w:rsidRPr="005549FC">
        <w:rPr>
          <w:rFonts w:eastAsia="仿宋_GB2312" w:hint="eastAsia"/>
          <w:color w:val="000000"/>
          <w:sz w:val="26"/>
          <w:szCs w:val="26"/>
        </w:rPr>
        <w:t>23.3</w:t>
      </w:r>
      <w:r w:rsidRPr="005549FC">
        <w:rPr>
          <w:rFonts w:eastAsia="仿宋_GB2312" w:hint="eastAsia"/>
          <w:color w:val="000000"/>
          <w:sz w:val="26"/>
          <w:szCs w:val="26"/>
        </w:rPr>
        <w:t>％。近年来先后获得“中国薏仁米之乡”“中国长寿之乡”“中华诗词之乡”“中国牛肉粉之乡”“全国粮食生产先进市”“全国科技进步先进市”“全国文化先进市”等殊荣。</w:t>
      </w:r>
      <w:r w:rsidRPr="005549FC">
        <w:rPr>
          <w:rFonts w:eastAsia="仿宋_GB2312" w:hint="eastAsia"/>
          <w:color w:val="000000"/>
          <w:sz w:val="26"/>
          <w:szCs w:val="26"/>
        </w:rPr>
        <w:t>2017</w:t>
      </w:r>
      <w:r w:rsidRPr="005549FC">
        <w:rPr>
          <w:rFonts w:eastAsia="仿宋_GB2312" w:hint="eastAsia"/>
          <w:color w:val="000000"/>
          <w:sz w:val="26"/>
          <w:szCs w:val="26"/>
        </w:rPr>
        <w:t>年，全市所有乡镇实现减贫摘帽，贫困村出列</w:t>
      </w:r>
      <w:r w:rsidRPr="005549FC">
        <w:rPr>
          <w:rFonts w:eastAsia="仿宋_GB2312" w:hint="eastAsia"/>
          <w:color w:val="000000"/>
          <w:sz w:val="26"/>
          <w:szCs w:val="26"/>
        </w:rPr>
        <w:t>71</w:t>
      </w:r>
      <w:r w:rsidRPr="005549FC">
        <w:rPr>
          <w:rFonts w:eastAsia="仿宋_GB2312" w:hint="eastAsia"/>
          <w:color w:val="000000"/>
          <w:sz w:val="26"/>
          <w:szCs w:val="26"/>
        </w:rPr>
        <w:t>个，累计减少贫困人口</w:t>
      </w:r>
      <w:r w:rsidRPr="005549FC">
        <w:rPr>
          <w:rFonts w:eastAsia="仿宋_GB2312" w:hint="eastAsia"/>
          <w:color w:val="000000"/>
          <w:sz w:val="26"/>
          <w:szCs w:val="26"/>
        </w:rPr>
        <w:t>85685</w:t>
      </w:r>
      <w:r w:rsidRPr="005549FC">
        <w:rPr>
          <w:rFonts w:eastAsia="仿宋_GB2312" w:hint="eastAsia"/>
          <w:color w:val="000000"/>
          <w:sz w:val="26"/>
          <w:szCs w:val="26"/>
        </w:rPr>
        <w:t>人，贫困发生率下降至</w:t>
      </w:r>
      <w:r w:rsidRPr="005549FC">
        <w:rPr>
          <w:rFonts w:eastAsia="仿宋_GB2312" w:hint="eastAsia"/>
          <w:color w:val="000000"/>
          <w:sz w:val="26"/>
          <w:szCs w:val="26"/>
        </w:rPr>
        <w:t>1.82</w:t>
      </w:r>
      <w:r w:rsidRPr="005549FC">
        <w:rPr>
          <w:rFonts w:eastAsia="仿宋_GB2312" w:hint="eastAsia"/>
          <w:color w:val="000000"/>
          <w:sz w:val="26"/>
          <w:szCs w:val="26"/>
        </w:rPr>
        <w:t>％。</w:t>
      </w:r>
      <w:r w:rsidRPr="005549FC">
        <w:rPr>
          <w:rFonts w:eastAsia="仿宋_GB2312" w:hint="eastAsia"/>
          <w:color w:val="000000"/>
          <w:sz w:val="26"/>
          <w:szCs w:val="26"/>
        </w:rPr>
        <w:t>2018</w:t>
      </w:r>
      <w:r w:rsidRPr="005549FC">
        <w:rPr>
          <w:rFonts w:eastAsia="仿宋_GB2312" w:hint="eastAsia"/>
          <w:color w:val="000000"/>
          <w:sz w:val="26"/>
          <w:szCs w:val="26"/>
        </w:rPr>
        <w:t>年</w:t>
      </w:r>
      <w:r w:rsidRPr="005549FC">
        <w:rPr>
          <w:rFonts w:eastAsia="仿宋_GB2312" w:hint="eastAsia"/>
          <w:color w:val="000000"/>
          <w:sz w:val="26"/>
          <w:szCs w:val="26"/>
        </w:rPr>
        <w:t>7</w:t>
      </w:r>
      <w:r w:rsidRPr="005549FC">
        <w:rPr>
          <w:rFonts w:eastAsia="仿宋_GB2312" w:hint="eastAsia"/>
          <w:color w:val="000000"/>
          <w:sz w:val="26"/>
          <w:szCs w:val="26"/>
        </w:rPr>
        <w:t>月，顺利接受国家贫困市退出评估检查验收。</w:t>
      </w:r>
    </w:p>
    <w:p w14:paraId="26DE7658" w14:textId="77777777" w:rsidR="00EF6A0E" w:rsidRDefault="00000000">
      <w:pPr>
        <w:tabs>
          <w:tab w:val="left" w:pos="1620"/>
        </w:tabs>
        <w:spacing w:line="440" w:lineRule="exact"/>
        <w:ind w:firstLineChars="200" w:firstLine="520"/>
        <w:rPr>
          <w:rFonts w:eastAsia="仿宋_GB2312"/>
          <w:color w:val="000000"/>
          <w:kern w:val="0"/>
          <w:sz w:val="26"/>
          <w:szCs w:val="26"/>
        </w:rPr>
      </w:pPr>
      <w:r>
        <w:rPr>
          <w:rFonts w:eastAsia="仿宋_GB2312"/>
          <w:color w:val="000000"/>
          <w:kern w:val="0"/>
          <w:sz w:val="26"/>
          <w:szCs w:val="26"/>
        </w:rPr>
        <w:t>2</w:t>
      </w:r>
      <w:r>
        <w:rPr>
          <w:rFonts w:eastAsia="仿宋_GB2312"/>
          <w:color w:val="000000"/>
          <w:kern w:val="0"/>
          <w:sz w:val="26"/>
          <w:szCs w:val="26"/>
        </w:rPr>
        <w:t>、</w:t>
      </w:r>
      <w:r>
        <w:rPr>
          <w:rFonts w:eastAsia="仿宋_GB2312" w:hint="eastAsia"/>
          <w:color w:val="000000"/>
          <w:kern w:val="0"/>
          <w:sz w:val="26"/>
          <w:szCs w:val="26"/>
        </w:rPr>
        <w:t>位置状况</w:t>
      </w:r>
      <w:r>
        <w:rPr>
          <w:rFonts w:eastAsia="仿宋_GB2312"/>
          <w:color w:val="000000"/>
          <w:kern w:val="0"/>
          <w:sz w:val="26"/>
          <w:szCs w:val="26"/>
        </w:rPr>
        <w:t>：</w:t>
      </w:r>
    </w:p>
    <w:p w14:paraId="3F6ECD22" w14:textId="7DA12D3F"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4.1</w:t>
      </w:r>
      <w:r>
        <w:rPr>
          <w:rFonts w:eastAsia="仿宋_GB2312" w:hint="eastAsia"/>
          <w:color w:val="000000"/>
          <w:sz w:val="26"/>
          <w:szCs w:val="26"/>
        </w:rPr>
        <w:t>位置状况：估价对象位于</w:t>
      </w:r>
      <w:r w:rsidR="00A10557">
        <w:rPr>
          <w:rFonts w:eastAsia="仿宋_GB2312" w:hint="eastAsia"/>
          <w:color w:val="000000"/>
          <w:sz w:val="26"/>
          <w:szCs w:val="26"/>
        </w:rPr>
        <w:t>贵州省兴仁市东湖街道办事处长兴路西南侧</w:t>
      </w:r>
      <w:r>
        <w:rPr>
          <w:rFonts w:eastAsia="仿宋_GB2312" w:hint="eastAsia"/>
          <w:color w:val="000000"/>
          <w:sz w:val="26"/>
          <w:szCs w:val="26"/>
        </w:rPr>
        <w:t>，与所在区域内商场、医院、学校、银行等重要设施服务半径短；</w:t>
      </w:r>
    </w:p>
    <w:p w14:paraId="18C06FEA" w14:textId="7E213A33"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4.2</w:t>
      </w:r>
      <w:r>
        <w:rPr>
          <w:rFonts w:eastAsia="仿宋_GB2312" w:hint="eastAsia"/>
          <w:color w:val="000000"/>
          <w:sz w:val="26"/>
          <w:szCs w:val="26"/>
        </w:rPr>
        <w:t>交通状况：估价对象所在位置外联道路有</w:t>
      </w:r>
      <w:r w:rsidR="00F725AA">
        <w:rPr>
          <w:rFonts w:eastAsia="仿宋_GB2312" w:hint="eastAsia"/>
          <w:color w:val="000000"/>
          <w:sz w:val="26"/>
          <w:szCs w:val="26"/>
        </w:rPr>
        <w:t>人民</w:t>
      </w:r>
      <w:r>
        <w:rPr>
          <w:rFonts w:eastAsia="仿宋_GB2312" w:hint="eastAsia"/>
          <w:color w:val="000000"/>
          <w:sz w:val="26"/>
          <w:szCs w:val="26"/>
        </w:rPr>
        <w:t>路、</w:t>
      </w:r>
      <w:r w:rsidR="00F725AA">
        <w:rPr>
          <w:rFonts w:eastAsia="仿宋_GB2312" w:hint="eastAsia"/>
          <w:color w:val="000000"/>
          <w:sz w:val="26"/>
          <w:szCs w:val="26"/>
        </w:rPr>
        <w:t>永兴南</w:t>
      </w:r>
      <w:r>
        <w:rPr>
          <w:rFonts w:eastAsia="仿宋_GB2312" w:hint="eastAsia"/>
          <w:color w:val="000000"/>
          <w:sz w:val="26"/>
          <w:szCs w:val="26"/>
        </w:rPr>
        <w:t>路，道路状况较优，</w:t>
      </w:r>
      <w:r>
        <w:rPr>
          <w:rFonts w:eastAsia="仿宋_GB2312" w:hint="eastAsia"/>
          <w:color w:val="000000"/>
          <w:sz w:val="26"/>
          <w:szCs w:val="26"/>
        </w:rPr>
        <w:lastRenderedPageBreak/>
        <w:t>通达度较优；</w:t>
      </w:r>
    </w:p>
    <w:p w14:paraId="29922054" w14:textId="5CE826A1"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4.3</w:t>
      </w:r>
      <w:r>
        <w:rPr>
          <w:rFonts w:eastAsia="仿宋_GB2312" w:hint="eastAsia"/>
          <w:color w:val="000000"/>
          <w:sz w:val="26"/>
          <w:szCs w:val="26"/>
        </w:rPr>
        <w:t>出行可利用交通工具：附近有</w:t>
      </w:r>
      <w:r w:rsidR="00F725AA">
        <w:rPr>
          <w:rFonts w:eastAsia="仿宋_GB2312"/>
          <w:color w:val="000000"/>
          <w:sz w:val="26"/>
          <w:szCs w:val="26"/>
        </w:rPr>
        <w:t>2</w:t>
      </w:r>
      <w:r>
        <w:rPr>
          <w:rFonts w:eastAsia="仿宋_GB2312" w:hint="eastAsia"/>
          <w:color w:val="000000"/>
          <w:sz w:val="26"/>
          <w:szCs w:val="26"/>
        </w:rPr>
        <w:t>条及以上公交线路，</w:t>
      </w:r>
      <w:r w:rsidR="00F725AA">
        <w:rPr>
          <w:rFonts w:eastAsia="仿宋_GB2312" w:hint="eastAsia"/>
          <w:color w:val="000000"/>
          <w:sz w:val="26"/>
          <w:szCs w:val="26"/>
        </w:rPr>
        <w:t>兴仁</w:t>
      </w:r>
      <w:r w:rsidR="00F725AA">
        <w:rPr>
          <w:rFonts w:eastAsia="仿宋_GB2312" w:hint="eastAsia"/>
          <w:color w:val="000000"/>
          <w:sz w:val="26"/>
          <w:szCs w:val="26"/>
        </w:rPr>
        <w:t>6</w:t>
      </w:r>
      <w:r w:rsidR="00F725AA">
        <w:rPr>
          <w:rFonts w:eastAsia="仿宋_GB2312" w:hint="eastAsia"/>
          <w:color w:val="000000"/>
          <w:sz w:val="26"/>
          <w:szCs w:val="26"/>
        </w:rPr>
        <w:t>路，兴仁</w:t>
      </w:r>
      <w:r w:rsidR="00F725AA">
        <w:rPr>
          <w:rFonts w:eastAsia="仿宋_GB2312" w:hint="eastAsia"/>
          <w:color w:val="000000"/>
          <w:sz w:val="26"/>
          <w:szCs w:val="26"/>
        </w:rPr>
        <w:t>4</w:t>
      </w:r>
      <w:r w:rsidR="00F725AA">
        <w:rPr>
          <w:rFonts w:eastAsia="仿宋_GB2312" w:hint="eastAsia"/>
          <w:color w:val="000000"/>
          <w:sz w:val="26"/>
          <w:szCs w:val="26"/>
        </w:rPr>
        <w:t>路</w:t>
      </w:r>
      <w:r>
        <w:rPr>
          <w:rFonts w:eastAsia="仿宋_GB2312" w:hint="eastAsia"/>
          <w:color w:val="000000"/>
          <w:sz w:val="26"/>
          <w:szCs w:val="26"/>
        </w:rPr>
        <w:t>，有城市出租车、大巴途径周边区域；</w:t>
      </w:r>
    </w:p>
    <w:p w14:paraId="65EEF275"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4.4</w:t>
      </w:r>
      <w:r>
        <w:rPr>
          <w:rFonts w:eastAsia="仿宋_GB2312" w:hint="eastAsia"/>
          <w:color w:val="000000"/>
          <w:sz w:val="26"/>
          <w:szCs w:val="26"/>
        </w:rPr>
        <w:t>环境状况：周边自然环境一般，空气噪声污染一般，治安状况一般，人文环境一般，区域内有公园、休闲广场、购物场所等；</w:t>
      </w:r>
    </w:p>
    <w:p w14:paraId="2C26A997" w14:textId="2D79426C" w:rsidR="002E02DA" w:rsidRDefault="00000000" w:rsidP="002E02DA">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4.5</w:t>
      </w:r>
      <w:r>
        <w:rPr>
          <w:rFonts w:eastAsia="仿宋_GB2312" w:hint="eastAsia"/>
          <w:color w:val="000000"/>
          <w:sz w:val="26"/>
          <w:szCs w:val="26"/>
        </w:rPr>
        <w:t>外部配套设施状况：</w:t>
      </w:r>
      <w:r w:rsidR="002E02DA">
        <w:rPr>
          <w:rFonts w:eastAsia="仿宋_GB2312" w:hint="eastAsia"/>
          <w:color w:val="000000"/>
          <w:sz w:val="26"/>
          <w:szCs w:val="26"/>
        </w:rPr>
        <w:t>估价对象所在区域道路、给排水、电力、电讯等基础设施较完备，周边金融机构：兴仁振新村镇银行、中国建设银行；教育机构：兴仁市第五小学、兴仁树德学校；医疗机构：兴仁市人民医院、兴仁华新医院、兴仁市妇幼保健院；区域内金融机构、教育机构、医疗机构、行政事业机构较完善；</w:t>
      </w:r>
    </w:p>
    <w:p w14:paraId="6244CD56" w14:textId="77777777" w:rsidR="002E02DA" w:rsidRDefault="002E02DA" w:rsidP="002E02DA">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4.6</w:t>
      </w:r>
      <w:r>
        <w:rPr>
          <w:rFonts w:eastAsia="仿宋_GB2312" w:hint="eastAsia"/>
          <w:color w:val="000000"/>
          <w:sz w:val="26"/>
          <w:szCs w:val="26"/>
        </w:rPr>
        <w:t>区位状况优劣度分析：估价对象所在区域基础设施及公共设施较完善，繁华度一般，人流量一般，交通便捷，区位状况稍好。</w:t>
      </w:r>
    </w:p>
    <w:p w14:paraId="1AD85856" w14:textId="04864106" w:rsidR="00EF6A0E" w:rsidRPr="002E02DA" w:rsidRDefault="00EF6A0E">
      <w:pPr>
        <w:adjustRightInd w:val="0"/>
        <w:snapToGrid w:val="0"/>
        <w:spacing w:line="440" w:lineRule="exact"/>
        <w:ind w:firstLineChars="200" w:firstLine="520"/>
        <w:rPr>
          <w:rFonts w:eastAsia="仿宋_GB2312"/>
          <w:color w:val="000000"/>
          <w:sz w:val="26"/>
          <w:szCs w:val="26"/>
        </w:rPr>
      </w:pPr>
    </w:p>
    <w:p w14:paraId="78C188F2" w14:textId="77777777" w:rsidR="00EF6A0E" w:rsidRDefault="00000000">
      <w:pPr>
        <w:tabs>
          <w:tab w:val="left" w:pos="1260"/>
          <w:tab w:val="left" w:pos="1440"/>
        </w:tabs>
        <w:spacing w:line="440" w:lineRule="exact"/>
        <w:ind w:firstLineChars="200" w:firstLine="520"/>
        <w:rPr>
          <w:rFonts w:ascii="楷体" w:eastAsia="楷体" w:hAnsi="楷体" w:cs="楷体"/>
          <w:color w:val="000000"/>
          <w:kern w:val="0"/>
          <w:sz w:val="28"/>
          <w:szCs w:val="28"/>
        </w:rPr>
      </w:pPr>
      <w:r>
        <w:rPr>
          <w:rFonts w:eastAsia="仿宋_GB2312" w:hint="eastAsia"/>
          <w:color w:val="000000"/>
          <w:sz w:val="26"/>
          <w:szCs w:val="26"/>
        </w:rPr>
        <w:t>4.6</w:t>
      </w:r>
      <w:r>
        <w:rPr>
          <w:rFonts w:eastAsia="仿宋_GB2312" w:hint="eastAsia"/>
          <w:color w:val="000000"/>
          <w:sz w:val="26"/>
          <w:szCs w:val="26"/>
        </w:rPr>
        <w:t>区位状况优劣度分析：估价对象所在区域基础设施及公共设施较完善，繁华度一般，人流量一般，交通便捷，区位状况稍好。</w:t>
      </w:r>
    </w:p>
    <w:p w14:paraId="33AFA47A" w14:textId="6140EE00" w:rsidR="00EF6A0E" w:rsidRDefault="00000000">
      <w:pPr>
        <w:pStyle w:val="2"/>
        <w:spacing w:line="240" w:lineRule="auto"/>
        <w:rPr>
          <w:rFonts w:ascii="Times New Roman" w:eastAsia="仿宋_GB2312" w:hAnsi="Times New Roman"/>
          <w:color w:val="000000"/>
          <w:sz w:val="30"/>
          <w:szCs w:val="30"/>
        </w:rPr>
      </w:pPr>
      <w:bookmarkStart w:id="95" w:name="_Toc29003"/>
      <w:bookmarkStart w:id="96" w:name="_Toc17115"/>
      <w:bookmarkStart w:id="97" w:name="_Toc20805"/>
      <w:bookmarkStart w:id="98" w:name="_Toc17622"/>
      <w:bookmarkStart w:id="99" w:name="_Toc22662"/>
      <w:bookmarkStart w:id="100" w:name="_Toc457460269"/>
      <w:bookmarkStart w:id="101" w:name="_Toc29055"/>
      <w:bookmarkStart w:id="102" w:name="_Toc26948"/>
      <w:bookmarkStart w:id="103" w:name="_Toc19022"/>
      <w:r>
        <w:rPr>
          <w:rFonts w:ascii="Times New Roman" w:eastAsia="仿宋_GB2312" w:hAnsi="Times New Roman" w:hint="eastAsia"/>
          <w:color w:val="000000"/>
          <w:sz w:val="30"/>
          <w:szCs w:val="30"/>
        </w:rPr>
        <w:t>四</w:t>
      </w:r>
      <w:r>
        <w:rPr>
          <w:rFonts w:ascii="Times New Roman" w:eastAsia="仿宋_GB2312" w:hAnsi="Times New Roman"/>
          <w:color w:val="000000"/>
          <w:sz w:val="30"/>
          <w:szCs w:val="30"/>
        </w:rPr>
        <w:t>、市场背景</w:t>
      </w:r>
      <w:r>
        <w:rPr>
          <w:rFonts w:ascii="Times New Roman" w:eastAsia="仿宋_GB2312" w:hAnsi="Times New Roman" w:hint="eastAsia"/>
          <w:color w:val="000000"/>
          <w:sz w:val="30"/>
          <w:szCs w:val="30"/>
        </w:rPr>
        <w:t>描述与</w:t>
      </w:r>
      <w:r>
        <w:rPr>
          <w:rFonts w:ascii="Times New Roman" w:eastAsia="仿宋_GB2312" w:hAnsi="Times New Roman"/>
          <w:color w:val="000000"/>
          <w:sz w:val="30"/>
          <w:szCs w:val="30"/>
        </w:rPr>
        <w:t>分析</w:t>
      </w:r>
      <w:bookmarkEnd w:id="94"/>
      <w:bookmarkEnd w:id="95"/>
      <w:bookmarkEnd w:id="96"/>
      <w:bookmarkEnd w:id="97"/>
      <w:bookmarkEnd w:id="98"/>
      <w:bookmarkEnd w:id="99"/>
      <w:bookmarkEnd w:id="100"/>
      <w:bookmarkEnd w:id="101"/>
      <w:bookmarkEnd w:id="102"/>
      <w:bookmarkEnd w:id="103"/>
    </w:p>
    <w:p w14:paraId="7FA7F67A" w14:textId="77777777" w:rsidR="0023165C" w:rsidRDefault="00000000" w:rsidP="0023165C">
      <w:pPr>
        <w:pStyle w:val="af2"/>
        <w:ind w:firstLine="480"/>
        <w:jc w:val="both"/>
        <w:textAlignment w:val="baseline"/>
        <w:rPr>
          <w:rFonts w:eastAsia="仿宋_GB2312"/>
          <w:color w:val="000000"/>
          <w:kern w:val="2"/>
          <w:sz w:val="26"/>
          <w:szCs w:val="26"/>
        </w:rPr>
      </w:pPr>
      <w:bookmarkStart w:id="104" w:name="_Toc386011004"/>
      <w:r w:rsidRPr="00061F83">
        <w:rPr>
          <w:rFonts w:eastAsia="仿宋_GB2312"/>
          <w:sz w:val="26"/>
          <w:szCs w:val="26"/>
        </w:rPr>
        <w:t>1</w:t>
      </w:r>
      <w:r w:rsidRPr="00061F83">
        <w:rPr>
          <w:rFonts w:eastAsia="仿宋_GB2312" w:hint="eastAsia"/>
          <w:color w:val="000000"/>
          <w:kern w:val="2"/>
          <w:sz w:val="26"/>
          <w:szCs w:val="26"/>
        </w:rPr>
        <w:t>、宏观区位分析：</w:t>
      </w:r>
    </w:p>
    <w:p w14:paraId="746F5B12" w14:textId="4A6429E4" w:rsidR="0023165C" w:rsidRPr="00596BC7" w:rsidRDefault="0023165C" w:rsidP="00D50B3D">
      <w:pPr>
        <w:pStyle w:val="af2"/>
        <w:ind w:firstLine="480"/>
        <w:jc w:val="both"/>
        <w:textAlignment w:val="baseline"/>
        <w:rPr>
          <w:rFonts w:eastAsia="仿宋_GB2312"/>
          <w:kern w:val="2"/>
          <w:sz w:val="26"/>
          <w:szCs w:val="26"/>
        </w:rPr>
      </w:pPr>
      <w:r w:rsidRPr="00596BC7">
        <w:rPr>
          <w:rFonts w:eastAsia="仿宋_GB2312" w:hint="eastAsia"/>
          <w:kern w:val="2"/>
          <w:sz w:val="26"/>
          <w:szCs w:val="26"/>
        </w:rPr>
        <w:t>兴仁市地处贵州省西南部，黔西南州中部，是滇、桂、黔三省结合部的中心市。东邻贞丰、南接安龙、兴义，西抵普安，北界晴隆，东北与关岭隔江相望。全市国土面积</w:t>
      </w:r>
      <w:r w:rsidRPr="00596BC7">
        <w:rPr>
          <w:rFonts w:eastAsia="仿宋_GB2312" w:hint="eastAsia"/>
          <w:kern w:val="2"/>
          <w:sz w:val="26"/>
          <w:szCs w:val="26"/>
        </w:rPr>
        <w:t>1785</w:t>
      </w:r>
      <w:r w:rsidRPr="00596BC7">
        <w:rPr>
          <w:rFonts w:eastAsia="仿宋_GB2312" w:hint="eastAsia"/>
          <w:kern w:val="2"/>
          <w:sz w:val="26"/>
          <w:szCs w:val="26"/>
        </w:rPr>
        <w:t>平方公里，辖</w:t>
      </w:r>
      <w:r w:rsidRPr="00596BC7">
        <w:rPr>
          <w:rFonts w:eastAsia="仿宋_GB2312" w:hint="eastAsia"/>
          <w:kern w:val="2"/>
          <w:sz w:val="26"/>
          <w:szCs w:val="26"/>
        </w:rPr>
        <w:t>11</w:t>
      </w:r>
      <w:r w:rsidRPr="00596BC7">
        <w:rPr>
          <w:rFonts w:eastAsia="仿宋_GB2312" w:hint="eastAsia"/>
          <w:kern w:val="2"/>
          <w:sz w:val="26"/>
          <w:szCs w:val="26"/>
        </w:rPr>
        <w:t>个镇、</w:t>
      </w:r>
      <w:r w:rsidRPr="00596BC7">
        <w:rPr>
          <w:rFonts w:eastAsia="仿宋_GB2312" w:hint="eastAsia"/>
          <w:kern w:val="2"/>
          <w:sz w:val="26"/>
          <w:szCs w:val="26"/>
        </w:rPr>
        <w:t>1</w:t>
      </w:r>
      <w:r w:rsidRPr="00596BC7">
        <w:rPr>
          <w:rFonts w:eastAsia="仿宋_GB2312" w:hint="eastAsia"/>
          <w:kern w:val="2"/>
          <w:sz w:val="26"/>
          <w:szCs w:val="26"/>
        </w:rPr>
        <w:t>个民族乡、</w:t>
      </w:r>
      <w:r w:rsidRPr="00596BC7">
        <w:rPr>
          <w:rFonts w:eastAsia="仿宋_GB2312" w:hint="eastAsia"/>
          <w:kern w:val="2"/>
          <w:sz w:val="26"/>
          <w:szCs w:val="26"/>
        </w:rPr>
        <w:t>4</w:t>
      </w:r>
      <w:r w:rsidRPr="00596BC7">
        <w:rPr>
          <w:rFonts w:eastAsia="仿宋_GB2312" w:hint="eastAsia"/>
          <w:kern w:val="2"/>
          <w:sz w:val="26"/>
          <w:szCs w:val="26"/>
        </w:rPr>
        <w:t>个街道，总人口</w:t>
      </w:r>
      <w:r w:rsidRPr="00596BC7">
        <w:rPr>
          <w:rFonts w:eastAsia="仿宋_GB2312" w:hint="eastAsia"/>
          <w:kern w:val="2"/>
          <w:sz w:val="26"/>
          <w:szCs w:val="26"/>
        </w:rPr>
        <w:t>57.8</w:t>
      </w:r>
      <w:r w:rsidRPr="00596BC7">
        <w:rPr>
          <w:rFonts w:eastAsia="仿宋_GB2312" w:hint="eastAsia"/>
          <w:kern w:val="2"/>
          <w:sz w:val="26"/>
          <w:szCs w:val="26"/>
        </w:rPr>
        <w:t>万，有汉、布依、苗、彝、回、仡佬、瑶等</w:t>
      </w:r>
      <w:r w:rsidRPr="00596BC7">
        <w:rPr>
          <w:rFonts w:eastAsia="仿宋_GB2312" w:hint="eastAsia"/>
          <w:kern w:val="2"/>
          <w:sz w:val="26"/>
          <w:szCs w:val="26"/>
        </w:rPr>
        <w:t>16</w:t>
      </w:r>
      <w:r w:rsidRPr="00596BC7">
        <w:rPr>
          <w:rFonts w:eastAsia="仿宋_GB2312" w:hint="eastAsia"/>
          <w:kern w:val="2"/>
          <w:sz w:val="26"/>
          <w:szCs w:val="26"/>
        </w:rPr>
        <w:t>个民族，占全市总人口的</w:t>
      </w:r>
      <w:r w:rsidRPr="00596BC7">
        <w:rPr>
          <w:rFonts w:eastAsia="仿宋_GB2312" w:hint="eastAsia"/>
          <w:kern w:val="2"/>
          <w:sz w:val="26"/>
          <w:szCs w:val="26"/>
        </w:rPr>
        <w:t>23.3</w:t>
      </w:r>
      <w:r w:rsidRPr="00596BC7">
        <w:rPr>
          <w:rFonts w:eastAsia="仿宋_GB2312" w:hint="eastAsia"/>
          <w:kern w:val="2"/>
          <w:sz w:val="26"/>
          <w:szCs w:val="26"/>
        </w:rPr>
        <w:t>％。近年来先后获得“中国薏仁米之乡”“中国长寿之乡”“中华诗词之乡”“中国牛肉粉之乡”“全国粮食生产先进市”“全国科技进步先进市”“全国文化先进市”等殊荣。</w:t>
      </w:r>
      <w:r w:rsidRPr="00596BC7">
        <w:rPr>
          <w:rFonts w:eastAsia="仿宋_GB2312" w:hint="eastAsia"/>
          <w:kern w:val="2"/>
          <w:sz w:val="26"/>
          <w:szCs w:val="26"/>
        </w:rPr>
        <w:t>2017</w:t>
      </w:r>
      <w:r w:rsidRPr="00596BC7">
        <w:rPr>
          <w:rFonts w:eastAsia="仿宋_GB2312" w:hint="eastAsia"/>
          <w:kern w:val="2"/>
          <w:sz w:val="26"/>
          <w:szCs w:val="26"/>
        </w:rPr>
        <w:t>年，全市所有乡镇实现减贫摘帽，贫困村出列</w:t>
      </w:r>
      <w:r w:rsidRPr="00596BC7">
        <w:rPr>
          <w:rFonts w:eastAsia="仿宋_GB2312" w:hint="eastAsia"/>
          <w:kern w:val="2"/>
          <w:sz w:val="26"/>
          <w:szCs w:val="26"/>
        </w:rPr>
        <w:t>71</w:t>
      </w:r>
      <w:r w:rsidRPr="00596BC7">
        <w:rPr>
          <w:rFonts w:eastAsia="仿宋_GB2312" w:hint="eastAsia"/>
          <w:kern w:val="2"/>
          <w:sz w:val="26"/>
          <w:szCs w:val="26"/>
        </w:rPr>
        <w:t>个，累计减少贫困人口</w:t>
      </w:r>
      <w:r w:rsidRPr="00596BC7">
        <w:rPr>
          <w:rFonts w:eastAsia="仿宋_GB2312" w:hint="eastAsia"/>
          <w:kern w:val="2"/>
          <w:sz w:val="26"/>
          <w:szCs w:val="26"/>
        </w:rPr>
        <w:t>85685</w:t>
      </w:r>
      <w:r w:rsidRPr="00596BC7">
        <w:rPr>
          <w:rFonts w:eastAsia="仿宋_GB2312" w:hint="eastAsia"/>
          <w:kern w:val="2"/>
          <w:sz w:val="26"/>
          <w:szCs w:val="26"/>
        </w:rPr>
        <w:t>人，贫困发生率下降至</w:t>
      </w:r>
      <w:r w:rsidRPr="00596BC7">
        <w:rPr>
          <w:rFonts w:eastAsia="仿宋_GB2312" w:hint="eastAsia"/>
          <w:kern w:val="2"/>
          <w:sz w:val="26"/>
          <w:szCs w:val="26"/>
        </w:rPr>
        <w:t>1.82</w:t>
      </w:r>
      <w:r w:rsidRPr="00596BC7">
        <w:rPr>
          <w:rFonts w:eastAsia="仿宋_GB2312" w:hint="eastAsia"/>
          <w:kern w:val="2"/>
          <w:sz w:val="26"/>
          <w:szCs w:val="26"/>
        </w:rPr>
        <w:t>％。</w:t>
      </w:r>
      <w:r w:rsidRPr="00596BC7">
        <w:rPr>
          <w:rFonts w:eastAsia="仿宋_GB2312" w:hint="eastAsia"/>
          <w:kern w:val="2"/>
          <w:sz w:val="26"/>
          <w:szCs w:val="26"/>
        </w:rPr>
        <w:t>2018</w:t>
      </w:r>
      <w:r w:rsidRPr="00596BC7">
        <w:rPr>
          <w:rFonts w:eastAsia="仿宋_GB2312" w:hint="eastAsia"/>
          <w:kern w:val="2"/>
          <w:sz w:val="26"/>
          <w:szCs w:val="26"/>
        </w:rPr>
        <w:t>年</w:t>
      </w:r>
      <w:r w:rsidRPr="00596BC7">
        <w:rPr>
          <w:rFonts w:eastAsia="仿宋_GB2312" w:hint="eastAsia"/>
          <w:kern w:val="2"/>
          <w:sz w:val="26"/>
          <w:szCs w:val="26"/>
        </w:rPr>
        <w:t>7</w:t>
      </w:r>
      <w:r w:rsidRPr="00596BC7">
        <w:rPr>
          <w:rFonts w:eastAsia="仿宋_GB2312" w:hint="eastAsia"/>
          <w:kern w:val="2"/>
          <w:sz w:val="26"/>
          <w:szCs w:val="26"/>
        </w:rPr>
        <w:t>月，顺利接受国家贫困市退出评估检查验收。</w:t>
      </w:r>
    </w:p>
    <w:p w14:paraId="6F05ACC2" w14:textId="77777777" w:rsidR="0023165C" w:rsidRPr="0023165C" w:rsidRDefault="0023165C" w:rsidP="00D50B3D">
      <w:pPr>
        <w:widowControl/>
        <w:ind w:firstLine="480"/>
        <w:textAlignment w:val="baseline"/>
        <w:rPr>
          <w:rFonts w:eastAsia="仿宋_GB2312"/>
          <w:sz w:val="26"/>
          <w:szCs w:val="26"/>
        </w:rPr>
      </w:pPr>
      <w:r w:rsidRPr="0023165C">
        <w:rPr>
          <w:rFonts w:eastAsia="仿宋_GB2312" w:hint="eastAsia"/>
          <w:sz w:val="26"/>
          <w:szCs w:val="26"/>
        </w:rPr>
        <w:lastRenderedPageBreak/>
        <w:t>历史文化悠久。清乾隆</w:t>
      </w:r>
      <w:r w:rsidRPr="0023165C">
        <w:rPr>
          <w:rFonts w:eastAsia="仿宋_GB2312" w:hint="eastAsia"/>
          <w:sz w:val="26"/>
          <w:szCs w:val="26"/>
        </w:rPr>
        <w:t>19</w:t>
      </w:r>
      <w:r w:rsidRPr="0023165C">
        <w:rPr>
          <w:rFonts w:eastAsia="仿宋_GB2312" w:hint="eastAsia"/>
          <w:sz w:val="26"/>
          <w:szCs w:val="26"/>
        </w:rPr>
        <w:t>年（公元</w:t>
      </w:r>
      <w:r w:rsidRPr="0023165C">
        <w:rPr>
          <w:rFonts w:eastAsia="仿宋_GB2312" w:hint="eastAsia"/>
          <w:sz w:val="26"/>
          <w:szCs w:val="26"/>
        </w:rPr>
        <w:t>1754</w:t>
      </w:r>
      <w:r w:rsidRPr="0023165C">
        <w:rPr>
          <w:rFonts w:eastAsia="仿宋_GB2312" w:hint="eastAsia"/>
          <w:sz w:val="26"/>
          <w:szCs w:val="26"/>
        </w:rPr>
        <w:t>年）设新城巡检司，宣统</w:t>
      </w:r>
      <w:r w:rsidRPr="0023165C">
        <w:rPr>
          <w:rFonts w:eastAsia="仿宋_GB2312" w:hint="eastAsia"/>
          <w:sz w:val="26"/>
          <w:szCs w:val="26"/>
        </w:rPr>
        <w:t>2</w:t>
      </w:r>
      <w:r w:rsidRPr="0023165C">
        <w:rPr>
          <w:rFonts w:eastAsia="仿宋_GB2312" w:hint="eastAsia"/>
          <w:sz w:val="26"/>
          <w:szCs w:val="26"/>
        </w:rPr>
        <w:t>年（公元</w:t>
      </w:r>
      <w:r w:rsidRPr="0023165C">
        <w:rPr>
          <w:rFonts w:eastAsia="仿宋_GB2312" w:hint="eastAsia"/>
          <w:sz w:val="26"/>
          <w:szCs w:val="26"/>
        </w:rPr>
        <w:t>1910</w:t>
      </w:r>
      <w:r w:rsidRPr="0023165C">
        <w:rPr>
          <w:rFonts w:eastAsia="仿宋_GB2312" w:hint="eastAsia"/>
          <w:sz w:val="26"/>
          <w:szCs w:val="26"/>
        </w:rPr>
        <w:t>年）设新城自治公所，</w:t>
      </w:r>
      <w:r w:rsidRPr="0023165C">
        <w:rPr>
          <w:rFonts w:eastAsia="仿宋_GB2312" w:hint="eastAsia"/>
          <w:sz w:val="26"/>
          <w:szCs w:val="26"/>
        </w:rPr>
        <w:t>1912</w:t>
      </w:r>
      <w:r w:rsidRPr="0023165C">
        <w:rPr>
          <w:rFonts w:eastAsia="仿宋_GB2312" w:hint="eastAsia"/>
          <w:sz w:val="26"/>
          <w:szCs w:val="26"/>
        </w:rPr>
        <w:t>年置新城市，</w:t>
      </w:r>
      <w:r w:rsidRPr="0023165C">
        <w:rPr>
          <w:rFonts w:eastAsia="仿宋_GB2312" w:hint="eastAsia"/>
          <w:sz w:val="26"/>
          <w:szCs w:val="26"/>
        </w:rPr>
        <w:t>1914</w:t>
      </w:r>
      <w:r w:rsidRPr="0023165C">
        <w:rPr>
          <w:rFonts w:eastAsia="仿宋_GB2312" w:hint="eastAsia"/>
          <w:sz w:val="26"/>
          <w:szCs w:val="26"/>
        </w:rPr>
        <w:t>年北洋政府取《大学》“一家仁、一国兴仁”之语定名兴仁县，</w:t>
      </w:r>
      <w:r w:rsidRPr="0023165C">
        <w:rPr>
          <w:rFonts w:eastAsia="仿宋_GB2312" w:hint="eastAsia"/>
          <w:sz w:val="26"/>
          <w:szCs w:val="26"/>
        </w:rPr>
        <w:t>2018</w:t>
      </w:r>
      <w:r w:rsidRPr="0023165C">
        <w:rPr>
          <w:rFonts w:eastAsia="仿宋_GB2312" w:hint="eastAsia"/>
          <w:sz w:val="26"/>
          <w:szCs w:val="26"/>
        </w:rPr>
        <w:t>年</w:t>
      </w:r>
      <w:r w:rsidRPr="0023165C">
        <w:rPr>
          <w:rFonts w:eastAsia="仿宋_GB2312" w:hint="eastAsia"/>
          <w:sz w:val="26"/>
          <w:szCs w:val="26"/>
        </w:rPr>
        <w:t>8</w:t>
      </w:r>
      <w:r w:rsidRPr="0023165C">
        <w:rPr>
          <w:rFonts w:eastAsia="仿宋_GB2312" w:hint="eastAsia"/>
          <w:sz w:val="26"/>
          <w:szCs w:val="26"/>
        </w:rPr>
        <w:t>月设为县级兴仁市。历史上的兴仁，由于商贸发达，被誉为“商城”。</w:t>
      </w:r>
    </w:p>
    <w:p w14:paraId="47C18BFB" w14:textId="77777777" w:rsidR="0023165C" w:rsidRPr="0023165C" w:rsidRDefault="0023165C" w:rsidP="00D50B3D">
      <w:pPr>
        <w:widowControl/>
        <w:ind w:firstLine="480"/>
        <w:textAlignment w:val="baseline"/>
        <w:rPr>
          <w:rFonts w:eastAsia="仿宋_GB2312"/>
          <w:sz w:val="26"/>
          <w:szCs w:val="26"/>
        </w:rPr>
      </w:pPr>
      <w:r w:rsidRPr="0023165C">
        <w:rPr>
          <w:rFonts w:eastAsia="仿宋_GB2312" w:hint="eastAsia"/>
          <w:sz w:val="26"/>
          <w:szCs w:val="26"/>
        </w:rPr>
        <w:t>环境气候宜人。属亚热带温和湿润季风气候，雨量充沛、空气湿润、冬无严寒、夏无酷暑、气候温和、四季如春，年平均气温</w:t>
      </w:r>
      <w:r w:rsidRPr="0023165C">
        <w:rPr>
          <w:rFonts w:eastAsia="仿宋_GB2312" w:hint="eastAsia"/>
          <w:sz w:val="26"/>
          <w:szCs w:val="26"/>
        </w:rPr>
        <w:t>15.2</w:t>
      </w:r>
      <w:r w:rsidRPr="0023165C">
        <w:rPr>
          <w:rFonts w:eastAsia="仿宋_GB2312" w:hint="eastAsia"/>
          <w:sz w:val="26"/>
          <w:szCs w:val="26"/>
        </w:rPr>
        <w:t>℃，年降水量</w:t>
      </w:r>
      <w:r w:rsidRPr="0023165C">
        <w:rPr>
          <w:rFonts w:eastAsia="仿宋_GB2312" w:hint="eastAsia"/>
          <w:sz w:val="26"/>
          <w:szCs w:val="26"/>
        </w:rPr>
        <w:t>1300</w:t>
      </w:r>
      <w:r w:rsidRPr="0023165C">
        <w:rPr>
          <w:rFonts w:eastAsia="仿宋_GB2312" w:hint="eastAsia"/>
          <w:sz w:val="26"/>
          <w:szCs w:val="26"/>
        </w:rPr>
        <w:t>－</w:t>
      </w:r>
      <w:r w:rsidRPr="0023165C">
        <w:rPr>
          <w:rFonts w:eastAsia="仿宋_GB2312" w:hint="eastAsia"/>
          <w:sz w:val="26"/>
          <w:szCs w:val="26"/>
        </w:rPr>
        <w:t>1450mm</w:t>
      </w:r>
      <w:r w:rsidRPr="0023165C">
        <w:rPr>
          <w:rFonts w:eastAsia="仿宋_GB2312" w:hint="eastAsia"/>
          <w:sz w:val="26"/>
          <w:szCs w:val="26"/>
        </w:rPr>
        <w:t>，雨热同季，生态良好，环境宜人。</w:t>
      </w:r>
    </w:p>
    <w:p w14:paraId="6723FF9D" w14:textId="77777777" w:rsidR="0023165C" w:rsidRPr="0023165C" w:rsidRDefault="0023165C" w:rsidP="00D50B3D">
      <w:pPr>
        <w:widowControl/>
        <w:ind w:firstLine="480"/>
        <w:textAlignment w:val="baseline"/>
        <w:rPr>
          <w:rFonts w:eastAsia="仿宋_GB2312"/>
          <w:sz w:val="26"/>
          <w:szCs w:val="26"/>
        </w:rPr>
      </w:pPr>
      <w:r w:rsidRPr="0023165C">
        <w:rPr>
          <w:rFonts w:eastAsia="仿宋_GB2312" w:hint="eastAsia"/>
          <w:sz w:val="26"/>
          <w:szCs w:val="26"/>
        </w:rPr>
        <w:t>矿产资源丰富。全市共有矿种</w:t>
      </w:r>
      <w:r w:rsidRPr="0023165C">
        <w:rPr>
          <w:rFonts w:eastAsia="仿宋_GB2312" w:hint="eastAsia"/>
          <w:sz w:val="26"/>
          <w:szCs w:val="26"/>
        </w:rPr>
        <w:t>21</w:t>
      </w:r>
      <w:r w:rsidRPr="0023165C">
        <w:rPr>
          <w:rFonts w:eastAsia="仿宋_GB2312" w:hint="eastAsia"/>
          <w:sz w:val="26"/>
          <w:szCs w:val="26"/>
        </w:rPr>
        <w:t>个，探明资源储量矿种</w:t>
      </w:r>
      <w:r w:rsidRPr="0023165C">
        <w:rPr>
          <w:rFonts w:eastAsia="仿宋_GB2312" w:hint="eastAsia"/>
          <w:sz w:val="26"/>
          <w:szCs w:val="26"/>
        </w:rPr>
        <w:t>9</w:t>
      </w:r>
      <w:r w:rsidRPr="0023165C">
        <w:rPr>
          <w:rFonts w:eastAsia="仿宋_GB2312" w:hint="eastAsia"/>
          <w:sz w:val="26"/>
          <w:szCs w:val="26"/>
        </w:rPr>
        <w:t>个，煤炭资源已探明储量</w:t>
      </w:r>
      <w:r w:rsidRPr="0023165C">
        <w:rPr>
          <w:rFonts w:eastAsia="仿宋_GB2312" w:hint="eastAsia"/>
          <w:sz w:val="26"/>
          <w:szCs w:val="26"/>
        </w:rPr>
        <w:t>21.5</w:t>
      </w:r>
      <w:r w:rsidRPr="0023165C">
        <w:rPr>
          <w:rFonts w:eastAsia="仿宋_GB2312" w:hint="eastAsia"/>
          <w:sz w:val="26"/>
          <w:szCs w:val="26"/>
        </w:rPr>
        <w:t>亿吨，远景储量超过</w:t>
      </w:r>
      <w:r w:rsidRPr="0023165C">
        <w:rPr>
          <w:rFonts w:eastAsia="仿宋_GB2312" w:hint="eastAsia"/>
          <w:sz w:val="26"/>
          <w:szCs w:val="26"/>
        </w:rPr>
        <w:t>45</w:t>
      </w:r>
      <w:r w:rsidRPr="0023165C">
        <w:rPr>
          <w:rFonts w:eastAsia="仿宋_GB2312" w:hint="eastAsia"/>
          <w:sz w:val="26"/>
          <w:szCs w:val="26"/>
        </w:rPr>
        <w:t>亿吨，是国家地质矿产储量认定的“兴仁煤田”，是全国</w:t>
      </w:r>
      <w:r w:rsidRPr="0023165C">
        <w:rPr>
          <w:rFonts w:eastAsia="仿宋_GB2312" w:hint="eastAsia"/>
          <w:sz w:val="26"/>
          <w:szCs w:val="26"/>
        </w:rPr>
        <w:t>200</w:t>
      </w:r>
      <w:r w:rsidRPr="0023165C">
        <w:rPr>
          <w:rFonts w:eastAsia="仿宋_GB2312" w:hint="eastAsia"/>
          <w:sz w:val="26"/>
          <w:szCs w:val="26"/>
        </w:rPr>
        <w:t>个重点产煤市之一。黄金远景储量超过</w:t>
      </w:r>
      <w:r w:rsidRPr="0023165C">
        <w:rPr>
          <w:rFonts w:eastAsia="仿宋_GB2312" w:hint="eastAsia"/>
          <w:sz w:val="26"/>
          <w:szCs w:val="26"/>
        </w:rPr>
        <w:t>100</w:t>
      </w:r>
      <w:r w:rsidRPr="0023165C">
        <w:rPr>
          <w:rFonts w:eastAsia="仿宋_GB2312" w:hint="eastAsia"/>
          <w:sz w:val="26"/>
          <w:szCs w:val="26"/>
        </w:rPr>
        <w:t>吨，是贵州省首个工业产金市。</w:t>
      </w:r>
    </w:p>
    <w:p w14:paraId="744599D5" w14:textId="7F2107AC" w:rsidR="00EF6A0E" w:rsidRDefault="0023165C" w:rsidP="00D50B3D">
      <w:pPr>
        <w:widowControl/>
        <w:ind w:firstLine="480"/>
        <w:textAlignment w:val="baseline"/>
        <w:rPr>
          <w:rFonts w:eastAsia="仿宋_GB2312"/>
          <w:sz w:val="26"/>
          <w:szCs w:val="26"/>
        </w:rPr>
      </w:pPr>
      <w:r w:rsidRPr="0023165C">
        <w:rPr>
          <w:rFonts w:eastAsia="仿宋_GB2312" w:hint="eastAsia"/>
          <w:sz w:val="26"/>
          <w:szCs w:val="26"/>
        </w:rPr>
        <w:t>区位优势突出。市区距贵阳</w:t>
      </w:r>
      <w:r w:rsidRPr="0023165C">
        <w:rPr>
          <w:rFonts w:eastAsia="仿宋_GB2312" w:hint="eastAsia"/>
          <w:sz w:val="26"/>
          <w:szCs w:val="26"/>
        </w:rPr>
        <w:t>288</w:t>
      </w:r>
      <w:r w:rsidRPr="0023165C">
        <w:rPr>
          <w:rFonts w:eastAsia="仿宋_GB2312" w:hint="eastAsia"/>
          <w:sz w:val="26"/>
          <w:szCs w:val="26"/>
        </w:rPr>
        <w:t>公里，兴义机场</w:t>
      </w:r>
      <w:r w:rsidRPr="0023165C">
        <w:rPr>
          <w:rFonts w:eastAsia="仿宋_GB2312" w:hint="eastAsia"/>
          <w:sz w:val="26"/>
          <w:szCs w:val="26"/>
        </w:rPr>
        <w:t>50</w:t>
      </w:r>
      <w:r w:rsidRPr="0023165C">
        <w:rPr>
          <w:rFonts w:eastAsia="仿宋_GB2312" w:hint="eastAsia"/>
          <w:sz w:val="26"/>
          <w:szCs w:val="26"/>
        </w:rPr>
        <w:t>公里，南昆铁路顶效火车站</w:t>
      </w:r>
      <w:r w:rsidRPr="0023165C">
        <w:rPr>
          <w:rFonts w:eastAsia="仿宋_GB2312" w:hint="eastAsia"/>
          <w:sz w:val="26"/>
          <w:szCs w:val="26"/>
        </w:rPr>
        <w:t>42</w:t>
      </w:r>
      <w:r w:rsidRPr="0023165C">
        <w:rPr>
          <w:rFonts w:eastAsia="仿宋_GB2312" w:hint="eastAsia"/>
          <w:sz w:val="26"/>
          <w:szCs w:val="26"/>
        </w:rPr>
        <w:t>公里，沪昆高铁普安火车站</w:t>
      </w:r>
      <w:r w:rsidRPr="0023165C">
        <w:rPr>
          <w:rFonts w:eastAsia="仿宋_GB2312" w:hint="eastAsia"/>
          <w:sz w:val="26"/>
          <w:szCs w:val="26"/>
        </w:rPr>
        <w:t>55</w:t>
      </w:r>
      <w:r w:rsidRPr="0023165C">
        <w:rPr>
          <w:rFonts w:eastAsia="仿宋_GB2312" w:hint="eastAsia"/>
          <w:sz w:val="26"/>
          <w:szCs w:val="26"/>
        </w:rPr>
        <w:t>公里，贞丰白层港</w:t>
      </w:r>
      <w:r w:rsidRPr="0023165C">
        <w:rPr>
          <w:rFonts w:eastAsia="仿宋_GB2312" w:hint="eastAsia"/>
          <w:sz w:val="26"/>
          <w:szCs w:val="26"/>
        </w:rPr>
        <w:t>56</w:t>
      </w:r>
      <w:r w:rsidRPr="0023165C">
        <w:rPr>
          <w:rFonts w:eastAsia="仿宋_GB2312" w:hint="eastAsia"/>
          <w:sz w:val="26"/>
          <w:szCs w:val="26"/>
        </w:rPr>
        <w:t>公里，南北盘江水运码头</w:t>
      </w:r>
      <w:r w:rsidRPr="0023165C">
        <w:rPr>
          <w:rFonts w:eastAsia="仿宋_GB2312" w:hint="eastAsia"/>
          <w:sz w:val="26"/>
          <w:szCs w:val="26"/>
        </w:rPr>
        <w:t>70</w:t>
      </w:r>
      <w:r w:rsidRPr="0023165C">
        <w:rPr>
          <w:rFonts w:eastAsia="仿宋_GB2312" w:hint="eastAsia"/>
          <w:sz w:val="26"/>
          <w:szCs w:val="26"/>
        </w:rPr>
        <w:t>余公里，是黔西南州重要的的交通枢纽；晴隆至兴义、惠水至兴仁高速公路，关岭至兴仁、兴仁至安龙高等级公路，</w:t>
      </w:r>
      <w:r w:rsidRPr="0023165C">
        <w:rPr>
          <w:rFonts w:eastAsia="仿宋_GB2312" w:hint="eastAsia"/>
          <w:sz w:val="26"/>
          <w:szCs w:val="26"/>
        </w:rPr>
        <w:t>213</w:t>
      </w:r>
      <w:r w:rsidRPr="0023165C">
        <w:rPr>
          <w:rFonts w:eastAsia="仿宋_GB2312" w:hint="eastAsia"/>
          <w:sz w:val="26"/>
          <w:szCs w:val="26"/>
        </w:rPr>
        <w:t>、</w:t>
      </w:r>
      <w:r w:rsidRPr="0023165C">
        <w:rPr>
          <w:rFonts w:eastAsia="仿宋_GB2312" w:hint="eastAsia"/>
          <w:sz w:val="26"/>
          <w:szCs w:val="26"/>
        </w:rPr>
        <w:t>309</w:t>
      </w:r>
      <w:r w:rsidRPr="0023165C">
        <w:rPr>
          <w:rFonts w:eastAsia="仿宋_GB2312" w:hint="eastAsia"/>
          <w:sz w:val="26"/>
          <w:szCs w:val="26"/>
        </w:rPr>
        <w:t>、</w:t>
      </w:r>
      <w:r w:rsidRPr="0023165C">
        <w:rPr>
          <w:rFonts w:eastAsia="仿宋_GB2312" w:hint="eastAsia"/>
          <w:sz w:val="26"/>
          <w:szCs w:val="26"/>
        </w:rPr>
        <w:t>313</w:t>
      </w:r>
      <w:r w:rsidRPr="0023165C">
        <w:rPr>
          <w:rFonts w:eastAsia="仿宋_GB2312" w:hint="eastAsia"/>
          <w:sz w:val="26"/>
          <w:szCs w:val="26"/>
        </w:rPr>
        <w:t>省道以及正在规划的贵阳至兴义铁路贯穿全境，是对接东南亚地区的桥头堡，是西江上游经济区的重要物资集散地。</w:t>
      </w:r>
    </w:p>
    <w:p w14:paraId="31303D28" w14:textId="1F59CA8D" w:rsidR="00D50B3D" w:rsidRDefault="00D50B3D" w:rsidP="00D50B3D">
      <w:pPr>
        <w:widowControl/>
        <w:ind w:firstLine="480"/>
        <w:textAlignment w:val="baseline"/>
        <w:rPr>
          <w:rFonts w:eastAsia="仿宋_GB2312"/>
          <w:sz w:val="26"/>
          <w:szCs w:val="26"/>
        </w:rPr>
      </w:pPr>
      <w:r>
        <w:rPr>
          <w:rFonts w:eastAsia="仿宋_GB2312" w:hint="eastAsia"/>
          <w:sz w:val="26"/>
          <w:szCs w:val="26"/>
        </w:rPr>
        <w:t>2</w:t>
      </w:r>
      <w:r>
        <w:rPr>
          <w:rFonts w:eastAsia="仿宋_GB2312" w:hint="eastAsia"/>
          <w:sz w:val="26"/>
          <w:szCs w:val="26"/>
        </w:rPr>
        <w:t>、经济数据分析</w:t>
      </w:r>
    </w:p>
    <w:p w14:paraId="1ECF03C7" w14:textId="77777777" w:rsidR="00D50B3D" w:rsidRPr="00D50B3D" w:rsidRDefault="00D50B3D" w:rsidP="00D50B3D">
      <w:pPr>
        <w:rPr>
          <w:rFonts w:eastAsia="仿宋_GB2312"/>
          <w:sz w:val="26"/>
          <w:szCs w:val="26"/>
        </w:rPr>
      </w:pPr>
      <w:r w:rsidRPr="00D50B3D">
        <w:rPr>
          <w:rFonts w:eastAsia="仿宋_GB2312" w:hint="eastAsia"/>
          <w:sz w:val="26"/>
          <w:szCs w:val="26"/>
        </w:rPr>
        <w:t>工业方面。</w:t>
      </w:r>
      <w:r w:rsidRPr="00D50B3D">
        <w:rPr>
          <w:rFonts w:eastAsia="仿宋_GB2312" w:hint="eastAsia"/>
          <w:sz w:val="26"/>
          <w:szCs w:val="26"/>
        </w:rPr>
        <w:t>1-4</w:t>
      </w:r>
      <w:r w:rsidRPr="00D50B3D">
        <w:rPr>
          <w:rFonts w:eastAsia="仿宋_GB2312" w:hint="eastAsia"/>
          <w:sz w:val="26"/>
          <w:szCs w:val="26"/>
        </w:rPr>
        <w:t>月，全市规模以上工业增加值同比增长</w:t>
      </w:r>
      <w:r w:rsidRPr="00D50B3D">
        <w:rPr>
          <w:rFonts w:eastAsia="仿宋_GB2312" w:hint="eastAsia"/>
          <w:sz w:val="26"/>
          <w:szCs w:val="26"/>
        </w:rPr>
        <w:t>1.6%</w:t>
      </w:r>
      <w:r w:rsidRPr="00D50B3D">
        <w:rPr>
          <w:rFonts w:eastAsia="仿宋_GB2312" w:hint="eastAsia"/>
          <w:sz w:val="26"/>
          <w:szCs w:val="26"/>
        </w:rPr>
        <w:t>。从三大门类看，采矿业增长</w:t>
      </w:r>
      <w:r w:rsidRPr="00D50B3D">
        <w:rPr>
          <w:rFonts w:eastAsia="仿宋_GB2312" w:hint="eastAsia"/>
          <w:sz w:val="26"/>
          <w:szCs w:val="26"/>
        </w:rPr>
        <w:t>17.0%</w:t>
      </w:r>
      <w:r w:rsidRPr="00D50B3D">
        <w:rPr>
          <w:rFonts w:eastAsia="仿宋_GB2312" w:hint="eastAsia"/>
          <w:sz w:val="26"/>
          <w:szCs w:val="26"/>
        </w:rPr>
        <w:t>；制造业下降</w:t>
      </w:r>
      <w:r w:rsidRPr="00D50B3D">
        <w:rPr>
          <w:rFonts w:eastAsia="仿宋_GB2312" w:hint="eastAsia"/>
          <w:sz w:val="26"/>
          <w:szCs w:val="26"/>
        </w:rPr>
        <w:t>20.7%</w:t>
      </w:r>
      <w:r w:rsidRPr="00D50B3D">
        <w:rPr>
          <w:rFonts w:eastAsia="仿宋_GB2312" w:hint="eastAsia"/>
          <w:sz w:val="26"/>
          <w:szCs w:val="26"/>
        </w:rPr>
        <w:t>；电力、热力、燃气及水生产和供应业增长</w:t>
      </w:r>
      <w:r w:rsidRPr="00D50B3D">
        <w:rPr>
          <w:rFonts w:eastAsia="仿宋_GB2312" w:hint="eastAsia"/>
          <w:sz w:val="26"/>
          <w:szCs w:val="26"/>
        </w:rPr>
        <w:t>384.8%</w:t>
      </w:r>
      <w:r w:rsidRPr="00D50B3D">
        <w:rPr>
          <w:rFonts w:eastAsia="仿宋_GB2312" w:hint="eastAsia"/>
          <w:sz w:val="26"/>
          <w:szCs w:val="26"/>
        </w:rPr>
        <w:t>。</w:t>
      </w:r>
    </w:p>
    <w:p w14:paraId="246294D1" w14:textId="77777777" w:rsidR="00D50B3D" w:rsidRDefault="00D50B3D" w:rsidP="00D50B3D">
      <w:pPr>
        <w:widowControl/>
        <w:ind w:firstLine="480"/>
        <w:textAlignment w:val="baseline"/>
        <w:rPr>
          <w:rFonts w:eastAsia="仿宋_GB2312"/>
          <w:sz w:val="26"/>
          <w:szCs w:val="26"/>
        </w:rPr>
      </w:pPr>
      <w:r w:rsidRPr="00D50B3D">
        <w:rPr>
          <w:rFonts w:eastAsia="仿宋_GB2312" w:hint="eastAsia"/>
          <w:sz w:val="26"/>
          <w:szCs w:val="26"/>
        </w:rPr>
        <w:t>投资方面。</w:t>
      </w:r>
      <w:r w:rsidRPr="00D50B3D">
        <w:rPr>
          <w:rFonts w:eastAsia="仿宋_GB2312" w:hint="eastAsia"/>
          <w:sz w:val="26"/>
          <w:szCs w:val="26"/>
        </w:rPr>
        <w:t>1-4</w:t>
      </w:r>
      <w:r w:rsidRPr="00D50B3D">
        <w:rPr>
          <w:rFonts w:eastAsia="仿宋_GB2312" w:hint="eastAsia"/>
          <w:sz w:val="26"/>
          <w:szCs w:val="26"/>
        </w:rPr>
        <w:t>月，全市</w:t>
      </w:r>
      <w:r w:rsidRPr="00D50B3D">
        <w:rPr>
          <w:rFonts w:eastAsia="仿宋_GB2312" w:hint="eastAsia"/>
          <w:sz w:val="26"/>
          <w:szCs w:val="26"/>
        </w:rPr>
        <w:t>500</w:t>
      </w:r>
      <w:r w:rsidRPr="00D50B3D">
        <w:rPr>
          <w:rFonts w:eastAsia="仿宋_GB2312" w:hint="eastAsia"/>
          <w:sz w:val="26"/>
          <w:szCs w:val="26"/>
        </w:rPr>
        <w:t>万元以上固定资产投资同比增长</w:t>
      </w:r>
      <w:r w:rsidRPr="00D50B3D">
        <w:rPr>
          <w:rFonts w:eastAsia="仿宋_GB2312" w:hint="eastAsia"/>
          <w:sz w:val="26"/>
          <w:szCs w:val="26"/>
        </w:rPr>
        <w:t>6.6%</w:t>
      </w:r>
      <w:r w:rsidRPr="00D50B3D">
        <w:rPr>
          <w:rFonts w:eastAsia="仿宋_GB2312" w:hint="eastAsia"/>
          <w:sz w:val="26"/>
          <w:szCs w:val="26"/>
        </w:rPr>
        <w:t>。其中，产业投资占比</w:t>
      </w:r>
      <w:r w:rsidRPr="00D50B3D">
        <w:rPr>
          <w:rFonts w:eastAsia="仿宋_GB2312" w:hint="eastAsia"/>
          <w:sz w:val="26"/>
          <w:szCs w:val="26"/>
        </w:rPr>
        <w:t>56.4%</w:t>
      </w:r>
      <w:r w:rsidRPr="00D50B3D">
        <w:rPr>
          <w:rFonts w:eastAsia="仿宋_GB2312" w:hint="eastAsia"/>
          <w:sz w:val="26"/>
          <w:szCs w:val="26"/>
        </w:rPr>
        <w:t>，民间投资占比</w:t>
      </w:r>
      <w:r w:rsidRPr="00D50B3D">
        <w:rPr>
          <w:rFonts w:eastAsia="仿宋_GB2312" w:hint="eastAsia"/>
          <w:sz w:val="26"/>
          <w:szCs w:val="26"/>
        </w:rPr>
        <w:t>35.1%</w:t>
      </w:r>
      <w:r w:rsidRPr="00D50B3D">
        <w:rPr>
          <w:rFonts w:eastAsia="仿宋_GB2312" w:hint="eastAsia"/>
          <w:sz w:val="26"/>
          <w:szCs w:val="26"/>
        </w:rPr>
        <w:t>。按主要行业分：工业投资增长</w:t>
      </w:r>
      <w:r w:rsidRPr="00D50B3D">
        <w:rPr>
          <w:rFonts w:eastAsia="仿宋_GB2312" w:hint="eastAsia"/>
          <w:sz w:val="26"/>
          <w:szCs w:val="26"/>
        </w:rPr>
        <w:t>10.9%</w:t>
      </w:r>
      <w:r w:rsidRPr="00D50B3D">
        <w:rPr>
          <w:rFonts w:eastAsia="仿宋_GB2312" w:hint="eastAsia"/>
          <w:sz w:val="26"/>
          <w:szCs w:val="26"/>
        </w:rPr>
        <w:t>；基础设施投资下降</w:t>
      </w:r>
      <w:r w:rsidRPr="00D50B3D">
        <w:rPr>
          <w:rFonts w:eastAsia="仿宋_GB2312" w:hint="eastAsia"/>
          <w:sz w:val="26"/>
          <w:szCs w:val="26"/>
        </w:rPr>
        <w:t>3.5%</w:t>
      </w:r>
      <w:r w:rsidRPr="00D50B3D">
        <w:rPr>
          <w:rFonts w:eastAsia="仿宋_GB2312" w:hint="eastAsia"/>
          <w:sz w:val="26"/>
          <w:szCs w:val="26"/>
        </w:rPr>
        <w:t>；建筑安装投资下降</w:t>
      </w:r>
      <w:r w:rsidRPr="00D50B3D">
        <w:rPr>
          <w:rFonts w:eastAsia="仿宋_GB2312" w:hint="eastAsia"/>
          <w:sz w:val="26"/>
          <w:szCs w:val="26"/>
        </w:rPr>
        <w:t>0.8%</w:t>
      </w:r>
      <w:r w:rsidRPr="00D50B3D">
        <w:rPr>
          <w:rFonts w:eastAsia="仿宋_GB2312" w:hint="eastAsia"/>
          <w:sz w:val="26"/>
          <w:szCs w:val="26"/>
        </w:rPr>
        <w:t>。</w:t>
      </w:r>
    </w:p>
    <w:p w14:paraId="5CC839E1" w14:textId="6EAE00D3" w:rsidR="00D50B3D" w:rsidRPr="00D50B3D" w:rsidRDefault="00D50B3D" w:rsidP="00D50B3D">
      <w:pPr>
        <w:widowControl/>
        <w:ind w:firstLine="480"/>
        <w:textAlignment w:val="baseline"/>
        <w:rPr>
          <w:rFonts w:eastAsia="仿宋_GB2312"/>
          <w:sz w:val="26"/>
          <w:szCs w:val="26"/>
        </w:rPr>
      </w:pPr>
      <w:r w:rsidRPr="00D50B3D">
        <w:rPr>
          <w:rFonts w:eastAsia="仿宋_GB2312" w:hint="eastAsia"/>
          <w:sz w:val="26"/>
          <w:szCs w:val="26"/>
        </w:rPr>
        <w:lastRenderedPageBreak/>
        <w:t>消费方面。</w:t>
      </w:r>
      <w:r w:rsidRPr="00D50B3D">
        <w:rPr>
          <w:rFonts w:eastAsia="仿宋_GB2312" w:hint="eastAsia"/>
          <w:sz w:val="26"/>
          <w:szCs w:val="26"/>
        </w:rPr>
        <w:t>1-4</w:t>
      </w:r>
      <w:r w:rsidRPr="00D50B3D">
        <w:rPr>
          <w:rFonts w:eastAsia="仿宋_GB2312" w:hint="eastAsia"/>
          <w:sz w:val="26"/>
          <w:szCs w:val="26"/>
        </w:rPr>
        <w:t>月，全市限上消费品零售总额同比下降</w:t>
      </w:r>
      <w:r w:rsidRPr="00D50B3D">
        <w:rPr>
          <w:rFonts w:eastAsia="仿宋_GB2312" w:hint="eastAsia"/>
          <w:sz w:val="26"/>
          <w:szCs w:val="26"/>
        </w:rPr>
        <w:t>9.5%</w:t>
      </w:r>
      <w:r w:rsidRPr="00D50B3D">
        <w:rPr>
          <w:rFonts w:eastAsia="仿宋_GB2312" w:hint="eastAsia"/>
          <w:sz w:val="26"/>
          <w:szCs w:val="26"/>
        </w:rPr>
        <w:t>。限上批发业商品销售额同比增长</w:t>
      </w:r>
      <w:r w:rsidRPr="00D50B3D">
        <w:rPr>
          <w:rFonts w:eastAsia="仿宋_GB2312" w:hint="eastAsia"/>
          <w:sz w:val="26"/>
          <w:szCs w:val="26"/>
        </w:rPr>
        <w:t>3.8%</w:t>
      </w:r>
      <w:r w:rsidRPr="00D50B3D">
        <w:rPr>
          <w:rFonts w:eastAsia="仿宋_GB2312" w:hint="eastAsia"/>
          <w:sz w:val="26"/>
          <w:szCs w:val="26"/>
        </w:rPr>
        <w:t>，限上零售业销售额同比增长</w:t>
      </w:r>
      <w:r w:rsidRPr="00D50B3D">
        <w:rPr>
          <w:rFonts w:eastAsia="仿宋_GB2312" w:hint="eastAsia"/>
          <w:sz w:val="26"/>
          <w:szCs w:val="26"/>
        </w:rPr>
        <w:t>5.2%</w:t>
      </w:r>
      <w:r w:rsidRPr="00D50B3D">
        <w:rPr>
          <w:rFonts w:eastAsia="仿宋_GB2312" w:hint="eastAsia"/>
          <w:sz w:val="26"/>
          <w:szCs w:val="26"/>
        </w:rPr>
        <w:t>，限上住宿业营业额同比增长</w:t>
      </w:r>
      <w:r w:rsidRPr="00D50B3D">
        <w:rPr>
          <w:rFonts w:eastAsia="仿宋_GB2312" w:hint="eastAsia"/>
          <w:sz w:val="26"/>
          <w:szCs w:val="26"/>
        </w:rPr>
        <w:t>3.7%</w:t>
      </w:r>
      <w:r w:rsidRPr="00D50B3D">
        <w:rPr>
          <w:rFonts w:eastAsia="仿宋_GB2312" w:hint="eastAsia"/>
          <w:sz w:val="26"/>
          <w:szCs w:val="26"/>
        </w:rPr>
        <w:t>，限上餐饮业营业额同比增长</w:t>
      </w:r>
      <w:r w:rsidRPr="00D50B3D">
        <w:rPr>
          <w:rFonts w:eastAsia="仿宋_GB2312" w:hint="eastAsia"/>
          <w:sz w:val="26"/>
          <w:szCs w:val="26"/>
        </w:rPr>
        <w:t>30.6%</w:t>
      </w:r>
      <w:r w:rsidRPr="00D50B3D">
        <w:rPr>
          <w:rFonts w:eastAsia="仿宋_GB2312" w:hint="eastAsia"/>
          <w:sz w:val="26"/>
          <w:szCs w:val="26"/>
        </w:rPr>
        <w:t>。</w:t>
      </w:r>
    </w:p>
    <w:p w14:paraId="086148FB" w14:textId="77777777" w:rsidR="00D50B3D" w:rsidRPr="00D50B3D" w:rsidRDefault="00D50B3D" w:rsidP="00D50B3D">
      <w:pPr>
        <w:widowControl/>
        <w:ind w:firstLine="480"/>
        <w:textAlignment w:val="baseline"/>
        <w:rPr>
          <w:rFonts w:eastAsia="仿宋_GB2312"/>
          <w:sz w:val="26"/>
          <w:szCs w:val="26"/>
        </w:rPr>
      </w:pPr>
    </w:p>
    <w:p w14:paraId="41DCE995" w14:textId="77777777" w:rsidR="00D50B3D" w:rsidRDefault="00D50B3D" w:rsidP="00D50B3D">
      <w:pPr>
        <w:widowControl/>
        <w:ind w:firstLine="480"/>
        <w:textAlignment w:val="baseline"/>
        <w:rPr>
          <w:rFonts w:eastAsia="仿宋_GB2312"/>
          <w:sz w:val="26"/>
          <w:szCs w:val="26"/>
        </w:rPr>
      </w:pPr>
      <w:r w:rsidRPr="00D50B3D">
        <w:rPr>
          <w:rFonts w:eastAsia="仿宋_GB2312" w:hint="eastAsia"/>
          <w:sz w:val="26"/>
          <w:szCs w:val="26"/>
        </w:rPr>
        <w:t>财税方面。</w:t>
      </w:r>
      <w:r w:rsidRPr="00D50B3D">
        <w:rPr>
          <w:rFonts w:eastAsia="仿宋_GB2312" w:hint="eastAsia"/>
          <w:sz w:val="26"/>
          <w:szCs w:val="26"/>
        </w:rPr>
        <w:t>1-4</w:t>
      </w:r>
      <w:r w:rsidRPr="00D50B3D">
        <w:rPr>
          <w:rFonts w:eastAsia="仿宋_GB2312" w:hint="eastAsia"/>
          <w:sz w:val="26"/>
          <w:szCs w:val="26"/>
        </w:rPr>
        <w:t>月，全市财政总收入完成</w:t>
      </w:r>
      <w:r w:rsidRPr="00D50B3D">
        <w:rPr>
          <w:rFonts w:eastAsia="仿宋_GB2312" w:hint="eastAsia"/>
          <w:sz w:val="26"/>
          <w:szCs w:val="26"/>
        </w:rPr>
        <w:t>6.14</w:t>
      </w:r>
      <w:r w:rsidRPr="00D50B3D">
        <w:rPr>
          <w:rFonts w:eastAsia="仿宋_GB2312" w:hint="eastAsia"/>
          <w:sz w:val="26"/>
          <w:szCs w:val="26"/>
        </w:rPr>
        <w:t>亿元，同比下降</w:t>
      </w:r>
      <w:r w:rsidRPr="00D50B3D">
        <w:rPr>
          <w:rFonts w:eastAsia="仿宋_GB2312" w:hint="eastAsia"/>
          <w:sz w:val="26"/>
          <w:szCs w:val="26"/>
        </w:rPr>
        <w:t>4.8%</w:t>
      </w:r>
      <w:r w:rsidRPr="00D50B3D">
        <w:rPr>
          <w:rFonts w:eastAsia="仿宋_GB2312" w:hint="eastAsia"/>
          <w:sz w:val="26"/>
          <w:szCs w:val="26"/>
        </w:rPr>
        <w:t>。其中，一般公共预算收入完成</w:t>
      </w:r>
      <w:r w:rsidRPr="00D50B3D">
        <w:rPr>
          <w:rFonts w:eastAsia="仿宋_GB2312" w:hint="eastAsia"/>
          <w:sz w:val="26"/>
          <w:szCs w:val="26"/>
        </w:rPr>
        <w:t>3.58</w:t>
      </w:r>
      <w:r w:rsidRPr="00D50B3D">
        <w:rPr>
          <w:rFonts w:eastAsia="仿宋_GB2312" w:hint="eastAsia"/>
          <w:sz w:val="26"/>
          <w:szCs w:val="26"/>
        </w:rPr>
        <w:t>亿元，同比增长</w:t>
      </w:r>
      <w:r w:rsidRPr="00D50B3D">
        <w:rPr>
          <w:rFonts w:eastAsia="仿宋_GB2312" w:hint="eastAsia"/>
          <w:sz w:val="26"/>
          <w:szCs w:val="26"/>
        </w:rPr>
        <w:t>10.8%</w:t>
      </w:r>
      <w:r w:rsidRPr="00D50B3D">
        <w:rPr>
          <w:rFonts w:eastAsia="仿宋_GB2312" w:hint="eastAsia"/>
          <w:sz w:val="26"/>
          <w:szCs w:val="26"/>
        </w:rPr>
        <w:t>；一般公共财政预算支出完成</w:t>
      </w:r>
      <w:r w:rsidRPr="00D50B3D">
        <w:rPr>
          <w:rFonts w:eastAsia="仿宋_GB2312" w:hint="eastAsia"/>
          <w:sz w:val="26"/>
          <w:szCs w:val="26"/>
        </w:rPr>
        <w:t>10.24</w:t>
      </w:r>
      <w:r w:rsidRPr="00D50B3D">
        <w:rPr>
          <w:rFonts w:eastAsia="仿宋_GB2312" w:hint="eastAsia"/>
          <w:sz w:val="26"/>
          <w:szCs w:val="26"/>
        </w:rPr>
        <w:t>亿元，同比增长</w:t>
      </w:r>
      <w:r w:rsidRPr="00D50B3D">
        <w:rPr>
          <w:rFonts w:eastAsia="仿宋_GB2312" w:hint="eastAsia"/>
          <w:sz w:val="26"/>
          <w:szCs w:val="26"/>
        </w:rPr>
        <w:t>4.3%</w:t>
      </w:r>
      <w:r w:rsidRPr="00D50B3D">
        <w:rPr>
          <w:rFonts w:eastAsia="仿宋_GB2312" w:hint="eastAsia"/>
          <w:sz w:val="26"/>
          <w:szCs w:val="26"/>
        </w:rPr>
        <w:t>。</w:t>
      </w:r>
    </w:p>
    <w:p w14:paraId="52BC3C05" w14:textId="2E45ABCF" w:rsidR="00D50B3D" w:rsidRPr="00D50B3D" w:rsidRDefault="00D50B3D" w:rsidP="00D50B3D">
      <w:pPr>
        <w:widowControl/>
        <w:ind w:firstLine="480"/>
        <w:textAlignment w:val="baseline"/>
        <w:rPr>
          <w:rFonts w:eastAsia="仿宋_GB2312"/>
          <w:sz w:val="26"/>
          <w:szCs w:val="26"/>
        </w:rPr>
      </w:pPr>
      <w:r w:rsidRPr="00D50B3D">
        <w:rPr>
          <w:rFonts w:eastAsia="仿宋_GB2312" w:hint="eastAsia"/>
          <w:sz w:val="26"/>
          <w:szCs w:val="26"/>
        </w:rPr>
        <w:t>金融方面。</w:t>
      </w:r>
      <w:r w:rsidRPr="00D50B3D">
        <w:rPr>
          <w:rFonts w:eastAsia="仿宋_GB2312" w:hint="eastAsia"/>
          <w:sz w:val="26"/>
          <w:szCs w:val="26"/>
        </w:rPr>
        <w:t>4</w:t>
      </w:r>
      <w:r w:rsidRPr="00D50B3D">
        <w:rPr>
          <w:rFonts w:eastAsia="仿宋_GB2312" w:hint="eastAsia"/>
          <w:sz w:val="26"/>
          <w:szCs w:val="26"/>
        </w:rPr>
        <w:t>月末，金融机构存款余额</w:t>
      </w:r>
      <w:r w:rsidRPr="00D50B3D">
        <w:rPr>
          <w:rFonts w:eastAsia="仿宋_GB2312" w:hint="eastAsia"/>
          <w:sz w:val="26"/>
          <w:szCs w:val="26"/>
        </w:rPr>
        <w:t>166.04</w:t>
      </w:r>
      <w:r w:rsidRPr="00D50B3D">
        <w:rPr>
          <w:rFonts w:eastAsia="仿宋_GB2312" w:hint="eastAsia"/>
          <w:sz w:val="26"/>
          <w:szCs w:val="26"/>
        </w:rPr>
        <w:t>亿元，同比增长</w:t>
      </w:r>
      <w:r w:rsidRPr="00D50B3D">
        <w:rPr>
          <w:rFonts w:eastAsia="仿宋_GB2312" w:hint="eastAsia"/>
          <w:sz w:val="26"/>
          <w:szCs w:val="26"/>
        </w:rPr>
        <w:t>8.7%;</w:t>
      </w:r>
      <w:r w:rsidRPr="00D50B3D">
        <w:rPr>
          <w:rFonts w:eastAsia="仿宋_GB2312" w:hint="eastAsia"/>
          <w:sz w:val="26"/>
          <w:szCs w:val="26"/>
        </w:rPr>
        <w:t>金融机构贷款余额</w:t>
      </w:r>
      <w:r w:rsidRPr="00D50B3D">
        <w:rPr>
          <w:rFonts w:eastAsia="仿宋_GB2312" w:hint="eastAsia"/>
          <w:sz w:val="26"/>
          <w:szCs w:val="26"/>
        </w:rPr>
        <w:t>221.05</w:t>
      </w:r>
      <w:r w:rsidRPr="00D50B3D">
        <w:rPr>
          <w:rFonts w:eastAsia="仿宋_GB2312" w:hint="eastAsia"/>
          <w:sz w:val="26"/>
          <w:szCs w:val="26"/>
        </w:rPr>
        <w:t>亿元，同比增长</w:t>
      </w:r>
      <w:r w:rsidRPr="00D50B3D">
        <w:rPr>
          <w:rFonts w:eastAsia="仿宋_GB2312" w:hint="eastAsia"/>
          <w:sz w:val="26"/>
          <w:szCs w:val="26"/>
        </w:rPr>
        <w:t>13.9%</w:t>
      </w:r>
      <w:r w:rsidRPr="00D50B3D">
        <w:rPr>
          <w:rFonts w:eastAsia="仿宋_GB2312" w:hint="eastAsia"/>
          <w:sz w:val="26"/>
          <w:szCs w:val="26"/>
        </w:rPr>
        <w:t>。</w:t>
      </w:r>
    </w:p>
    <w:p w14:paraId="76905645" w14:textId="77777777" w:rsidR="00EF6A0E" w:rsidRDefault="00000000">
      <w:pPr>
        <w:pStyle w:val="2"/>
        <w:spacing w:line="240" w:lineRule="auto"/>
        <w:rPr>
          <w:rFonts w:ascii="Times New Roman" w:eastAsia="仿宋_GB2312" w:hAnsi="Times New Roman"/>
          <w:sz w:val="30"/>
          <w:szCs w:val="30"/>
        </w:rPr>
      </w:pPr>
      <w:bookmarkStart w:id="105" w:name="_Toc25151"/>
      <w:bookmarkStart w:id="106" w:name="_Toc26519"/>
      <w:bookmarkStart w:id="107" w:name="_Toc14458"/>
      <w:bookmarkStart w:id="108" w:name="_Toc14070"/>
      <w:bookmarkStart w:id="109" w:name="_Toc24368"/>
      <w:bookmarkStart w:id="110" w:name="_Toc15538"/>
      <w:bookmarkStart w:id="111" w:name="_Toc30603"/>
      <w:bookmarkStart w:id="112" w:name="_Toc457460270"/>
      <w:bookmarkStart w:id="113" w:name="_Toc25584"/>
      <w:r>
        <w:rPr>
          <w:rFonts w:ascii="Times New Roman" w:eastAsia="仿宋_GB2312" w:hAnsi="Times New Roman" w:hint="eastAsia"/>
          <w:sz w:val="30"/>
          <w:szCs w:val="30"/>
        </w:rPr>
        <w:t>五</w:t>
      </w:r>
      <w:r>
        <w:rPr>
          <w:rFonts w:ascii="Times New Roman" w:eastAsia="仿宋_GB2312" w:hAnsi="Times New Roman"/>
          <w:sz w:val="30"/>
          <w:szCs w:val="30"/>
        </w:rPr>
        <w:t>、最高最佳</w:t>
      </w:r>
      <w:r>
        <w:rPr>
          <w:rFonts w:ascii="Times New Roman" w:eastAsia="仿宋_GB2312" w:hAnsi="Times New Roman" w:hint="eastAsia"/>
          <w:sz w:val="30"/>
          <w:szCs w:val="30"/>
        </w:rPr>
        <w:t>利用</w:t>
      </w:r>
      <w:r>
        <w:rPr>
          <w:rFonts w:ascii="Times New Roman" w:eastAsia="仿宋_GB2312" w:hAnsi="Times New Roman"/>
          <w:sz w:val="30"/>
          <w:szCs w:val="30"/>
        </w:rPr>
        <w:t>分析</w:t>
      </w:r>
      <w:bookmarkEnd w:id="104"/>
      <w:bookmarkEnd w:id="105"/>
      <w:bookmarkEnd w:id="106"/>
      <w:bookmarkEnd w:id="107"/>
      <w:bookmarkEnd w:id="108"/>
      <w:bookmarkEnd w:id="109"/>
      <w:bookmarkEnd w:id="110"/>
      <w:bookmarkEnd w:id="111"/>
      <w:bookmarkEnd w:id="112"/>
      <w:bookmarkEnd w:id="113"/>
    </w:p>
    <w:p w14:paraId="1A4A8EFA" w14:textId="77777777" w:rsidR="00EF6A0E" w:rsidRDefault="00000000">
      <w:pPr>
        <w:spacing w:line="440" w:lineRule="exact"/>
        <w:ind w:firstLineChars="200" w:firstLine="520"/>
        <w:rPr>
          <w:rFonts w:eastAsia="仿宋_GB2312"/>
          <w:sz w:val="26"/>
          <w:szCs w:val="26"/>
        </w:rPr>
      </w:pPr>
      <w:r>
        <w:rPr>
          <w:rFonts w:eastAsia="仿宋_GB2312"/>
          <w:sz w:val="26"/>
          <w:szCs w:val="26"/>
        </w:rPr>
        <w:t>估价对象应以最高最佳使用为前提估价，最高最佳使用，是指法律上允许、技术上可能、经济上可行，经过充分合理的论证，能够使估价对象的价值达到最大化的一种最可能的使用。最高最佳使用分析真正体现了估价的客观性。衡量、判断的标准如下：</w:t>
      </w:r>
    </w:p>
    <w:p w14:paraId="395BD4AD"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1</w:t>
      </w:r>
      <w:r>
        <w:rPr>
          <w:rFonts w:eastAsia="仿宋_GB2312" w:hint="eastAsia"/>
          <w:sz w:val="26"/>
          <w:szCs w:val="26"/>
        </w:rPr>
        <w:t>、合法性分析</w:t>
      </w:r>
    </w:p>
    <w:p w14:paraId="12FAD21C" w14:textId="77777777" w:rsidR="00EF6A0E" w:rsidRDefault="00000000">
      <w:pPr>
        <w:spacing w:line="440" w:lineRule="exact"/>
        <w:ind w:firstLineChars="200" w:firstLine="520"/>
        <w:rPr>
          <w:rFonts w:eastAsia="仿宋_GB2312"/>
          <w:sz w:val="26"/>
          <w:szCs w:val="26"/>
        </w:rPr>
      </w:pPr>
      <w:r w:rsidRPr="004C737F">
        <w:rPr>
          <w:rFonts w:eastAsia="仿宋_GB2312" w:hint="eastAsia"/>
          <w:sz w:val="26"/>
          <w:szCs w:val="26"/>
        </w:rPr>
        <w:t>估价委托人通过购买的方式取得估价对象的房屋所有权及土地使用权，并已依法取得《房屋所有权证》、《国有土地使用证》，估</w:t>
      </w:r>
      <w:r>
        <w:rPr>
          <w:rFonts w:eastAsia="仿宋_GB2312" w:hint="eastAsia"/>
          <w:sz w:val="26"/>
          <w:szCs w:val="26"/>
        </w:rPr>
        <w:t>价对象实际用途和土地利用方式符合城市规划的要求。估价对象为估价委托人私有房地产，在价值时点无抵押等他项权利限制，估价委托人有权对估价对象出售、租赁、抵押、抵债、赠与等处分。</w:t>
      </w:r>
    </w:p>
    <w:p w14:paraId="3B5B26CF"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w:t>
      </w:r>
      <w:r>
        <w:rPr>
          <w:rFonts w:eastAsia="仿宋_GB2312" w:hint="eastAsia"/>
          <w:sz w:val="26"/>
          <w:szCs w:val="26"/>
        </w:rPr>
        <w:t>、技术可能性分析</w:t>
      </w:r>
    </w:p>
    <w:p w14:paraId="32EC943D"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《房地产估价规范》规定，当估价对象已做了某种使用，估价时应根据最高最佳利用原则对估价前提作出下列之一的判断和选择，并应在估价报告中予以说明：</w:t>
      </w:r>
    </w:p>
    <w:p w14:paraId="38FFB51D"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2.1</w:t>
      </w:r>
      <w:r>
        <w:rPr>
          <w:rFonts w:eastAsia="仿宋_GB2312" w:hint="eastAsia"/>
          <w:sz w:val="26"/>
          <w:szCs w:val="26"/>
        </w:rPr>
        <w:t>保持现状前提：认为保持现状继续利用最为有利时，应以保持现状继续利用为前提估价；</w:t>
      </w:r>
    </w:p>
    <w:p w14:paraId="44D3E1EA"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2.2</w:t>
      </w:r>
      <w:r>
        <w:rPr>
          <w:rFonts w:eastAsia="仿宋_GB2312" w:hint="eastAsia"/>
          <w:sz w:val="26"/>
          <w:szCs w:val="26"/>
        </w:rPr>
        <w:t>转换用途前提：认为转换用途再予以利用最为有利时，应以转换用途后再予以利用为前提估价；</w:t>
      </w:r>
    </w:p>
    <w:p w14:paraId="0F8EB9AF"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lastRenderedPageBreak/>
        <w:t>2.3</w:t>
      </w:r>
      <w:r>
        <w:rPr>
          <w:rFonts w:eastAsia="仿宋_GB2312" w:hint="eastAsia"/>
          <w:sz w:val="26"/>
          <w:szCs w:val="26"/>
        </w:rPr>
        <w:t>装修改造前提：认为装修改造但不转换用途再予以利用最为有利时，应以装修改造但不转换用途再予以利用为前提估价；</w:t>
      </w:r>
    </w:p>
    <w:p w14:paraId="717622B9"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2.4</w:t>
      </w:r>
      <w:r>
        <w:rPr>
          <w:rFonts w:eastAsia="仿宋_GB2312" w:hint="eastAsia"/>
          <w:sz w:val="26"/>
          <w:szCs w:val="26"/>
        </w:rPr>
        <w:t>重新利用前提：认为拆除现有建筑物再予以利用最为有利时，应以拆除建筑物后再予以利用为前提估价；</w:t>
      </w:r>
    </w:p>
    <w:p w14:paraId="5C1EFD3B"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2.5</w:t>
      </w:r>
      <w:r>
        <w:rPr>
          <w:rFonts w:eastAsia="仿宋_GB2312" w:hint="eastAsia"/>
          <w:sz w:val="26"/>
          <w:szCs w:val="26"/>
        </w:rPr>
        <w:t>上述情形的某种组合。</w:t>
      </w:r>
    </w:p>
    <w:p w14:paraId="2BE59B2C" w14:textId="041CEB08" w:rsidR="00EF6A0E" w:rsidRDefault="00000000">
      <w:pPr>
        <w:spacing w:line="440" w:lineRule="exact"/>
        <w:ind w:firstLineChars="200" w:firstLine="520"/>
        <w:rPr>
          <w:rFonts w:eastAsia="仿宋_GB2312"/>
          <w:sz w:val="26"/>
          <w:szCs w:val="26"/>
        </w:rPr>
      </w:pPr>
      <w:r>
        <w:rPr>
          <w:rFonts w:eastAsia="仿宋_GB2312" w:hint="eastAsia"/>
          <w:sz w:val="26"/>
          <w:szCs w:val="26"/>
        </w:rPr>
        <w:t>在价值时点，估价对象房屋</w:t>
      </w:r>
      <w:r w:rsidR="006A79A0">
        <w:rPr>
          <w:rFonts w:eastAsia="仿宋_GB2312" w:hint="eastAsia"/>
          <w:sz w:val="26"/>
          <w:szCs w:val="26"/>
        </w:rPr>
        <w:t>九</w:t>
      </w:r>
      <w:r>
        <w:rPr>
          <w:rFonts w:eastAsia="仿宋_GB2312" w:hint="eastAsia"/>
          <w:sz w:val="26"/>
          <w:szCs w:val="26"/>
        </w:rPr>
        <w:t>成新，室内为普通装修，估价对象所在区域的房地产市场发育稳定，现有房地产价值大于重新开发的房地产价值减去将现有房地产改变为新房地产所必要的费用，所以，我们认为保持现状继续利用最为有利，应以保持现状继续利用作为前提估价。</w:t>
      </w:r>
    </w:p>
    <w:p w14:paraId="227EBF8D"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w:t>
      </w:r>
      <w:r>
        <w:rPr>
          <w:rFonts w:eastAsia="仿宋_GB2312" w:hint="eastAsia"/>
          <w:sz w:val="26"/>
          <w:szCs w:val="26"/>
        </w:rPr>
        <w:t>、经济可行性分析</w:t>
      </w:r>
    </w:p>
    <w:p w14:paraId="73875285"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3.1</w:t>
      </w:r>
      <w:r>
        <w:rPr>
          <w:rFonts w:eastAsia="仿宋_GB2312" w:hint="eastAsia"/>
          <w:sz w:val="26"/>
          <w:szCs w:val="26"/>
        </w:rPr>
        <w:t>收益递增递减原理：揭示的是两种投入产出关系（投入产出关系是指投入量的变动与相应产出量的变动之间的关系）：一种是在一种投入量变动而其他投入量固定的情况下的投入产出关系；另一种是在所有的投入量都变动的情况下的投入产出关系。</w:t>
      </w:r>
    </w:p>
    <w:p w14:paraId="2975B167"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3.2</w:t>
      </w:r>
      <w:r>
        <w:rPr>
          <w:rFonts w:eastAsia="仿宋_GB2312" w:hint="eastAsia"/>
          <w:sz w:val="26"/>
          <w:szCs w:val="26"/>
        </w:rPr>
        <w:t>均衡原理：以估价对象的内部各构成要素的组合是否均衡，来判定估价对象是否为最高最佳利用。它可以帮助我们确定估价对象的最佳集约度和最佳规模。</w:t>
      </w:r>
    </w:p>
    <w:p w14:paraId="23238447"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3.3</w:t>
      </w:r>
      <w:r>
        <w:rPr>
          <w:rFonts w:eastAsia="仿宋_GB2312" w:hint="eastAsia"/>
          <w:sz w:val="26"/>
          <w:szCs w:val="26"/>
        </w:rPr>
        <w:t>适合原理：以估价对象与其外部环境是否协调，来判定估价对象是否为最高最佳利用。它可以帮助我们确定估价对象的最佳用途。</w:t>
      </w:r>
    </w:p>
    <w:p w14:paraId="249652B0"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适合原理加上均衡原理以及收益递增递减原理，即当估价对象与其外部环境最为协调，同时其内部各构成要素的组合最为均衡时，便为最高最佳利用。</w:t>
      </w:r>
    </w:p>
    <w:p w14:paraId="35EEFAF0"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4</w:t>
      </w:r>
      <w:r>
        <w:rPr>
          <w:rFonts w:eastAsia="仿宋_GB2312" w:hint="eastAsia"/>
          <w:sz w:val="26"/>
          <w:szCs w:val="26"/>
        </w:rPr>
        <w:t>、最高最佳利用方式分析</w:t>
      </w:r>
    </w:p>
    <w:p w14:paraId="2C1D8A3A"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最高最佳利用必须同时满足以下</w:t>
      </w:r>
      <w:r>
        <w:rPr>
          <w:rFonts w:eastAsia="仿宋_GB2312" w:hint="eastAsia"/>
          <w:sz w:val="26"/>
          <w:szCs w:val="26"/>
        </w:rPr>
        <w:t>4</w:t>
      </w:r>
      <w:r>
        <w:rPr>
          <w:rFonts w:eastAsia="仿宋_GB2312" w:hint="eastAsia"/>
          <w:sz w:val="26"/>
          <w:szCs w:val="26"/>
        </w:rPr>
        <w:t>个条件：法律上允许、技术上可能、财务上可行、价值最大化。</w:t>
      </w:r>
    </w:p>
    <w:p w14:paraId="044CA007" w14:textId="1FD920B5" w:rsidR="00EF6A0E" w:rsidRPr="004C737F" w:rsidRDefault="00000000">
      <w:pPr>
        <w:spacing w:line="440" w:lineRule="exact"/>
        <w:ind w:firstLineChars="200" w:firstLine="520"/>
        <w:rPr>
          <w:rFonts w:eastAsia="仿宋_GB2312"/>
          <w:sz w:val="26"/>
          <w:szCs w:val="26"/>
        </w:rPr>
      </w:pPr>
      <w:r w:rsidRPr="004C737F">
        <w:rPr>
          <w:rFonts w:eastAsia="仿宋_GB2312" w:hint="eastAsia"/>
          <w:sz w:val="26"/>
          <w:szCs w:val="26"/>
        </w:rPr>
        <w:t>4.1</w:t>
      </w:r>
      <w:r w:rsidRPr="004C737F">
        <w:rPr>
          <w:rFonts w:eastAsia="仿宋_GB2312" w:hint="eastAsia"/>
          <w:sz w:val="26"/>
          <w:szCs w:val="26"/>
        </w:rPr>
        <w:t>法律上的允许：估价对象已依法取得《房屋所有权证》，登记用途为</w:t>
      </w:r>
      <w:r w:rsidR="006D5AA2" w:rsidRPr="004C737F">
        <w:rPr>
          <w:rFonts w:eastAsia="仿宋_GB2312" w:hint="eastAsia"/>
          <w:sz w:val="26"/>
          <w:szCs w:val="26"/>
        </w:rPr>
        <w:t>住宅</w:t>
      </w:r>
      <w:r w:rsidRPr="004C737F">
        <w:rPr>
          <w:rFonts w:eastAsia="仿宋_GB2312" w:hint="eastAsia"/>
          <w:sz w:val="26"/>
          <w:szCs w:val="26"/>
        </w:rPr>
        <w:t>，估价对象作为商业用房在法律上是允许的。</w:t>
      </w:r>
    </w:p>
    <w:p w14:paraId="0AA3CE90" w14:textId="0AAFD147" w:rsidR="00EF6A0E" w:rsidRDefault="00000000">
      <w:pPr>
        <w:spacing w:line="440" w:lineRule="exact"/>
        <w:ind w:firstLineChars="200" w:firstLine="520"/>
        <w:rPr>
          <w:rFonts w:eastAsia="仿宋_GB2312"/>
          <w:sz w:val="26"/>
          <w:szCs w:val="26"/>
        </w:rPr>
      </w:pPr>
      <w:r>
        <w:rPr>
          <w:rFonts w:eastAsia="仿宋_GB2312" w:hint="eastAsia"/>
          <w:sz w:val="26"/>
          <w:szCs w:val="26"/>
        </w:rPr>
        <w:t>4.2</w:t>
      </w:r>
      <w:r>
        <w:rPr>
          <w:rFonts w:eastAsia="仿宋_GB2312" w:hint="eastAsia"/>
          <w:sz w:val="26"/>
          <w:szCs w:val="26"/>
        </w:rPr>
        <w:t>技术上的可能：估价对象建筑物设计用途为</w:t>
      </w:r>
      <w:r w:rsidR="00F44229">
        <w:rPr>
          <w:rFonts w:eastAsia="仿宋_GB2312" w:hint="eastAsia"/>
          <w:sz w:val="26"/>
          <w:szCs w:val="26"/>
        </w:rPr>
        <w:t>住宅</w:t>
      </w:r>
      <w:r>
        <w:rPr>
          <w:rFonts w:eastAsia="仿宋_GB2312" w:hint="eastAsia"/>
          <w:sz w:val="26"/>
          <w:szCs w:val="26"/>
        </w:rPr>
        <w:t>，在价值时点已建成并正常投入使用，该房地产的建设符合房地产物理属性、区位属性和环境属性，在技术上已经实现。</w:t>
      </w:r>
    </w:p>
    <w:p w14:paraId="49382F9F"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4.3</w:t>
      </w:r>
      <w:r>
        <w:rPr>
          <w:rFonts w:eastAsia="仿宋_GB2312" w:hint="eastAsia"/>
          <w:sz w:val="26"/>
          <w:szCs w:val="26"/>
        </w:rPr>
        <w:t>财务上的可行：估价对象建成后由房屋所有权人通过正常的市场交易购入，且已投入使用，说明该房地产建设在财务上是可行的。</w:t>
      </w:r>
    </w:p>
    <w:p w14:paraId="0B87C147"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4.4</w:t>
      </w:r>
      <w:r>
        <w:rPr>
          <w:rFonts w:eastAsia="仿宋_GB2312" w:hint="eastAsia"/>
          <w:sz w:val="26"/>
          <w:szCs w:val="26"/>
        </w:rPr>
        <w:t>价值最大化</w:t>
      </w:r>
    </w:p>
    <w:p w14:paraId="720E8473" w14:textId="095441DE" w:rsidR="00EF6A0E" w:rsidRDefault="00000000">
      <w:pPr>
        <w:spacing w:line="440" w:lineRule="exact"/>
        <w:ind w:firstLineChars="200" w:firstLine="520"/>
        <w:rPr>
          <w:rFonts w:eastAsia="仿宋_GB2312"/>
          <w:sz w:val="26"/>
          <w:szCs w:val="26"/>
        </w:rPr>
      </w:pPr>
      <w:r>
        <w:rPr>
          <w:rFonts w:eastAsia="仿宋_GB2312" w:hint="eastAsia"/>
          <w:sz w:val="26"/>
          <w:szCs w:val="26"/>
        </w:rPr>
        <w:t>在所有具有经济可行性的利用方式中，能使估价对象的价值达到最大化的利用方</w:t>
      </w:r>
      <w:r>
        <w:rPr>
          <w:rFonts w:eastAsia="仿宋_GB2312" w:hint="eastAsia"/>
          <w:sz w:val="26"/>
          <w:szCs w:val="26"/>
        </w:rPr>
        <w:lastRenderedPageBreak/>
        <w:t>式，才是最高最佳的利用方式。估价对象所在区域的土地利用类型以商业、住宅为主，估价对象作为</w:t>
      </w:r>
      <w:r w:rsidR="00DB305F">
        <w:rPr>
          <w:rFonts w:eastAsia="仿宋_GB2312" w:hint="eastAsia"/>
          <w:sz w:val="26"/>
          <w:szCs w:val="26"/>
        </w:rPr>
        <w:t>住宅</w:t>
      </w:r>
      <w:r>
        <w:rPr>
          <w:rFonts w:eastAsia="仿宋_GB2312" w:hint="eastAsia"/>
          <w:sz w:val="26"/>
          <w:szCs w:val="26"/>
        </w:rPr>
        <w:t>，与周围外部环境最为协调，同时所在建筑内部各构成要素的组合最为均衡，故受其楼层、设计布局与外部环境等限制，不宜改为</w:t>
      </w:r>
      <w:r w:rsidR="00DB305F">
        <w:rPr>
          <w:rFonts w:eastAsia="仿宋_GB2312" w:hint="eastAsia"/>
          <w:sz w:val="26"/>
          <w:szCs w:val="26"/>
        </w:rPr>
        <w:t>商业</w:t>
      </w:r>
      <w:r>
        <w:rPr>
          <w:rFonts w:eastAsia="仿宋_GB2312" w:hint="eastAsia"/>
          <w:sz w:val="26"/>
          <w:szCs w:val="26"/>
        </w:rPr>
        <w:t>及工业用途使用，所以估价对象作为住宅使用，是其价值最大化的利用。</w:t>
      </w:r>
    </w:p>
    <w:p w14:paraId="31FC30CE" w14:textId="77777777" w:rsidR="00EF6A0E" w:rsidRDefault="00000000">
      <w:pPr>
        <w:pStyle w:val="2"/>
        <w:spacing w:line="240" w:lineRule="auto"/>
        <w:rPr>
          <w:rFonts w:ascii="Times New Roman" w:eastAsia="仿宋_GB2312" w:hAnsi="Times New Roman"/>
          <w:sz w:val="30"/>
          <w:szCs w:val="30"/>
        </w:rPr>
      </w:pPr>
      <w:bookmarkStart w:id="114" w:name="_Toc386011005"/>
      <w:bookmarkStart w:id="115" w:name="_Toc26109"/>
      <w:bookmarkStart w:id="116" w:name="_Toc457460271"/>
      <w:bookmarkStart w:id="117" w:name="_Toc28467"/>
      <w:bookmarkStart w:id="118" w:name="_Toc18000"/>
      <w:bookmarkStart w:id="119" w:name="_Toc23573"/>
      <w:bookmarkStart w:id="120" w:name="_Toc28709"/>
      <w:bookmarkStart w:id="121" w:name="_Toc28840"/>
      <w:bookmarkStart w:id="122" w:name="_Toc22630"/>
      <w:bookmarkStart w:id="123" w:name="_Toc1638"/>
      <w:r>
        <w:rPr>
          <w:rFonts w:ascii="Times New Roman" w:eastAsia="仿宋_GB2312" w:hAnsi="Times New Roman" w:hint="eastAsia"/>
          <w:sz w:val="30"/>
          <w:szCs w:val="30"/>
        </w:rPr>
        <w:t>六</w:t>
      </w:r>
      <w:r>
        <w:rPr>
          <w:rFonts w:ascii="Times New Roman" w:eastAsia="仿宋_GB2312" w:hAnsi="Times New Roman"/>
          <w:sz w:val="30"/>
          <w:szCs w:val="30"/>
        </w:rPr>
        <w:t>、估价方法</w:t>
      </w:r>
      <w:r>
        <w:rPr>
          <w:rFonts w:ascii="Times New Roman" w:eastAsia="仿宋_GB2312" w:hAnsi="Times New Roman" w:hint="eastAsia"/>
          <w:sz w:val="30"/>
          <w:szCs w:val="30"/>
        </w:rPr>
        <w:t>适用性分析</w:t>
      </w:r>
      <w:bookmarkEnd w:id="114"/>
      <w:bookmarkEnd w:id="115"/>
      <w:bookmarkEnd w:id="116"/>
      <w:bookmarkEnd w:id="117"/>
      <w:bookmarkEnd w:id="118"/>
      <w:bookmarkEnd w:id="119"/>
      <w:bookmarkEnd w:id="120"/>
      <w:bookmarkEnd w:id="121"/>
      <w:bookmarkEnd w:id="122"/>
      <w:bookmarkEnd w:id="123"/>
    </w:p>
    <w:p w14:paraId="32E92095" w14:textId="77777777" w:rsidR="00EF6A0E" w:rsidRDefault="00000000">
      <w:pPr>
        <w:adjustRightInd w:val="0"/>
        <w:snapToGrid w:val="0"/>
        <w:spacing w:line="440" w:lineRule="exact"/>
        <w:ind w:firstLineChars="200" w:firstLine="520"/>
        <w:rPr>
          <w:rFonts w:eastAsia="仿宋_GB2312"/>
          <w:color w:val="000000"/>
          <w:sz w:val="26"/>
          <w:szCs w:val="26"/>
        </w:rPr>
      </w:pPr>
      <w:bookmarkStart w:id="124" w:name="_Toc386011006"/>
      <w:r>
        <w:rPr>
          <w:rFonts w:eastAsia="仿宋_GB2312" w:hint="eastAsia"/>
          <w:color w:val="000000"/>
          <w:sz w:val="26"/>
          <w:szCs w:val="26"/>
        </w:rPr>
        <w:t>求取房地产市场价值时，主要的估价方法有比较法、成本法、收益法、假设开发法等，比较法适用于市场发达、交易活跃、有充足的具有替代性房地产的评估，成本法适用于无市场依据或市场依据不充分而不易采用比较法、收益法、假设开发法进行评估情况下的房地产评估，收益法适用于有现实收益或潜在收益的房地产评估，假设开发法适用于具有投资开发或有开发潜力的房地产评估。需根据特定的估价目的、估价对象状况、交易市场情况等选择适宜的估价方法。方法选择思路：</w:t>
      </w:r>
    </w:p>
    <w:p w14:paraId="3493D47D"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1</w:t>
      </w:r>
      <w:r>
        <w:rPr>
          <w:rFonts w:eastAsia="仿宋_GB2312" w:hint="eastAsia"/>
          <w:color w:val="000000"/>
          <w:sz w:val="26"/>
          <w:szCs w:val="26"/>
        </w:rPr>
        <w:t>、理论上不适用的估价方法：估价对象为住宅用途房地产，根据房地产估价规范理论上不适合采用假设开发法，因为现状为正在投入使用且短期内重新开发或改扩建增加价值的可能性不大，故不适合采用假设开发法进行评估；</w:t>
      </w:r>
    </w:p>
    <w:p w14:paraId="264B8984" w14:textId="77777777" w:rsidR="00EF6A0E" w:rsidRDefault="00000000">
      <w:pPr>
        <w:adjustRightInd w:val="0"/>
        <w:snapToGrid w:val="0"/>
        <w:spacing w:line="440" w:lineRule="exact"/>
        <w:ind w:firstLineChars="200" w:firstLine="520"/>
        <w:rPr>
          <w:rFonts w:eastAsia="仿宋_GB2312"/>
          <w:color w:val="000000"/>
          <w:sz w:val="26"/>
          <w:szCs w:val="26"/>
        </w:rPr>
      </w:pPr>
      <w:r>
        <w:rPr>
          <w:rFonts w:eastAsia="仿宋_GB2312" w:hint="eastAsia"/>
          <w:color w:val="000000"/>
          <w:sz w:val="26"/>
          <w:szCs w:val="26"/>
        </w:rPr>
        <w:t>2</w:t>
      </w:r>
      <w:r>
        <w:rPr>
          <w:rFonts w:eastAsia="仿宋_GB2312" w:hint="eastAsia"/>
          <w:color w:val="000000"/>
          <w:sz w:val="26"/>
          <w:szCs w:val="26"/>
        </w:rPr>
        <w:t>、理论上适用，但客观条件不具备的估价方法：估价对象位于较繁华区域，周边基础设施、公共配套设施较齐备，交通条件较好；其区位状况较好，而选用成本法测算时无法考虑区位效应、城市附加值等影响，测算结果不能客观、合理反映估价对象的市场价值；因此不适合使用成本法进行评估；</w:t>
      </w:r>
    </w:p>
    <w:p w14:paraId="65A524D4" w14:textId="77777777" w:rsidR="004C737F" w:rsidRDefault="00000000">
      <w:pPr>
        <w:adjustRightInd w:val="0"/>
        <w:snapToGrid w:val="0"/>
        <w:spacing w:line="440" w:lineRule="exact"/>
        <w:ind w:firstLineChars="200" w:firstLine="520"/>
        <w:rPr>
          <w:rFonts w:eastAsia="仿宋_GB2312"/>
          <w:sz w:val="26"/>
          <w:szCs w:val="26"/>
        </w:rPr>
      </w:pPr>
      <w:r w:rsidRPr="004C737F">
        <w:rPr>
          <w:rFonts w:eastAsia="仿宋_GB2312" w:hint="eastAsia"/>
          <w:sz w:val="26"/>
          <w:szCs w:val="26"/>
        </w:rPr>
        <w:t>3</w:t>
      </w:r>
      <w:r w:rsidRPr="004C737F">
        <w:rPr>
          <w:rFonts w:eastAsia="仿宋_GB2312" w:hint="eastAsia"/>
          <w:sz w:val="26"/>
          <w:szCs w:val="26"/>
        </w:rPr>
        <w:t>、适用的估价方法：估价对象所在区域房地产交易比较活跃，交易案例资料较多且容易收集，比较法是比较合适的方法。</w:t>
      </w:r>
    </w:p>
    <w:p w14:paraId="3AE75915" w14:textId="3253335E" w:rsidR="00EF6A0E" w:rsidRPr="004C737F" w:rsidRDefault="004C737F">
      <w:pPr>
        <w:adjustRightInd w:val="0"/>
        <w:snapToGrid w:val="0"/>
        <w:spacing w:line="440" w:lineRule="exact"/>
        <w:ind w:firstLineChars="200" w:firstLine="520"/>
        <w:rPr>
          <w:rFonts w:eastAsia="仿宋_GB2312"/>
          <w:sz w:val="26"/>
          <w:szCs w:val="26"/>
        </w:rPr>
      </w:pPr>
      <w:r>
        <w:rPr>
          <w:rFonts w:eastAsia="仿宋_GB2312"/>
          <w:sz w:val="26"/>
          <w:szCs w:val="26"/>
        </w:rPr>
        <w:t>4</w:t>
      </w:r>
      <w:r w:rsidRPr="004C737F">
        <w:rPr>
          <w:rFonts w:eastAsia="仿宋_GB2312" w:hint="eastAsia"/>
          <w:sz w:val="26"/>
          <w:szCs w:val="26"/>
        </w:rPr>
        <w:t>、理论上适用，但客观条件不具备的估价方法：估价对象为住宅用途房地产，虽然可以出租取得收益，但周边类似物业租金案例较少，住宅租金交易不活跃，因此未能选用收益法进行评估；</w:t>
      </w:r>
    </w:p>
    <w:p w14:paraId="40876F45" w14:textId="0ED33B3C" w:rsidR="00EF6A0E" w:rsidRDefault="00000000">
      <w:pPr>
        <w:spacing w:line="440" w:lineRule="exact"/>
        <w:ind w:firstLineChars="200" w:firstLine="520"/>
        <w:rPr>
          <w:rFonts w:eastAsia="仿宋_GB2312"/>
          <w:sz w:val="26"/>
          <w:szCs w:val="26"/>
        </w:rPr>
      </w:pPr>
      <w:r>
        <w:rPr>
          <w:rFonts w:eastAsia="仿宋_GB2312" w:hint="eastAsia"/>
          <w:color w:val="000000"/>
          <w:sz w:val="26"/>
          <w:szCs w:val="26"/>
        </w:rPr>
        <w:t>综上所述，估价人员在认真分析所掌握的资料并对邻近类似房地产进行实地查看调查后，根据估价对象的特点及本次估价目的，遵照国家有关法律、法规、估价技术标准，对估价对象采用比较法进行评估</w:t>
      </w:r>
      <w:r>
        <w:rPr>
          <w:rFonts w:eastAsia="仿宋_GB2312"/>
          <w:sz w:val="26"/>
          <w:szCs w:val="26"/>
        </w:rPr>
        <w:t>。</w:t>
      </w:r>
    </w:p>
    <w:p w14:paraId="26C48076" w14:textId="77777777" w:rsidR="00EF6A0E" w:rsidRDefault="00000000">
      <w:pPr>
        <w:spacing w:line="440" w:lineRule="exact"/>
        <w:ind w:firstLineChars="200" w:firstLine="522"/>
        <w:rPr>
          <w:rFonts w:eastAsia="仿宋_GB2312"/>
          <w:sz w:val="26"/>
          <w:szCs w:val="26"/>
        </w:rPr>
      </w:pPr>
      <w:r>
        <w:rPr>
          <w:rFonts w:eastAsia="仿宋_GB2312" w:hint="eastAsia"/>
          <w:b/>
          <w:sz w:val="26"/>
          <w:szCs w:val="26"/>
        </w:rPr>
        <w:t>比较</w:t>
      </w:r>
      <w:r>
        <w:rPr>
          <w:rFonts w:eastAsia="仿宋_GB2312"/>
          <w:b/>
          <w:sz w:val="26"/>
          <w:szCs w:val="26"/>
        </w:rPr>
        <w:t>法：</w:t>
      </w:r>
      <w:r>
        <w:rPr>
          <w:rFonts w:eastAsia="仿宋_GB2312"/>
          <w:sz w:val="26"/>
          <w:szCs w:val="26"/>
        </w:rPr>
        <w:t>1</w:t>
      </w:r>
      <w:r>
        <w:rPr>
          <w:rFonts w:eastAsia="仿宋_GB2312"/>
          <w:sz w:val="26"/>
          <w:szCs w:val="26"/>
        </w:rPr>
        <w:t>、在同一供需圈内搜集房地产交易实例</w:t>
      </w:r>
      <w:r>
        <w:rPr>
          <w:rFonts w:eastAsia="仿宋_GB2312" w:hint="eastAsia"/>
          <w:sz w:val="26"/>
          <w:szCs w:val="26"/>
        </w:rPr>
        <w:t>，即从现实的房地产市场中搜集大量的实际成交的房地产及其成交日期、成交价格、付款方式等情况</w:t>
      </w:r>
    </w:p>
    <w:p w14:paraId="5B80F2E7" w14:textId="77777777" w:rsidR="00EF6A0E" w:rsidRDefault="00000000">
      <w:pPr>
        <w:spacing w:line="440" w:lineRule="exact"/>
        <w:ind w:firstLineChars="200" w:firstLine="520"/>
        <w:rPr>
          <w:rFonts w:eastAsia="仿宋_GB2312"/>
          <w:sz w:val="26"/>
          <w:szCs w:val="26"/>
        </w:rPr>
      </w:pPr>
      <w:r>
        <w:rPr>
          <w:rFonts w:eastAsia="仿宋_GB2312"/>
          <w:sz w:val="26"/>
          <w:szCs w:val="26"/>
        </w:rPr>
        <w:t>2</w:t>
      </w:r>
      <w:r>
        <w:rPr>
          <w:rFonts w:eastAsia="仿宋_GB2312"/>
          <w:sz w:val="26"/>
          <w:szCs w:val="26"/>
        </w:rPr>
        <w:t>、选取可比实例，具体条件如下：</w:t>
      </w:r>
    </w:p>
    <w:p w14:paraId="7CF35F0E" w14:textId="77777777" w:rsidR="00EF6A0E" w:rsidRDefault="00000000">
      <w:pPr>
        <w:spacing w:line="440" w:lineRule="exact"/>
        <w:ind w:firstLineChars="200" w:firstLine="520"/>
        <w:rPr>
          <w:rFonts w:eastAsia="仿宋_GB2312"/>
          <w:sz w:val="26"/>
          <w:szCs w:val="26"/>
        </w:rPr>
      </w:pPr>
      <w:r>
        <w:rPr>
          <w:rFonts w:ascii="宋体" w:hAnsi="宋体" w:cs="宋体" w:hint="eastAsia"/>
          <w:kern w:val="0"/>
          <w:sz w:val="26"/>
          <w:szCs w:val="26"/>
        </w:rPr>
        <w:t>◆</w:t>
      </w:r>
      <w:r>
        <w:rPr>
          <w:rFonts w:eastAsia="仿宋_GB2312"/>
          <w:sz w:val="26"/>
          <w:szCs w:val="26"/>
        </w:rPr>
        <w:t>与待估房地产用途相同的交易案例</w:t>
      </w:r>
    </w:p>
    <w:p w14:paraId="1F92A5CE" w14:textId="77777777" w:rsidR="00EF6A0E" w:rsidRDefault="00000000">
      <w:pPr>
        <w:spacing w:line="440" w:lineRule="exact"/>
        <w:ind w:firstLineChars="200" w:firstLine="520"/>
        <w:rPr>
          <w:rFonts w:eastAsia="仿宋_GB2312"/>
          <w:sz w:val="26"/>
          <w:szCs w:val="26"/>
        </w:rPr>
      </w:pPr>
      <w:r>
        <w:rPr>
          <w:rFonts w:ascii="宋体" w:hAnsi="宋体" w:cs="宋体" w:hint="eastAsia"/>
          <w:sz w:val="26"/>
          <w:szCs w:val="26"/>
        </w:rPr>
        <w:lastRenderedPageBreak/>
        <w:t>◆</w:t>
      </w:r>
      <w:r>
        <w:rPr>
          <w:rFonts w:eastAsia="仿宋_GB2312"/>
          <w:sz w:val="26"/>
          <w:szCs w:val="26"/>
        </w:rPr>
        <w:t>交易案例价格类型与待估房地产的估价目相匹配</w:t>
      </w:r>
    </w:p>
    <w:p w14:paraId="57EFA447" w14:textId="77777777" w:rsidR="00EF6A0E" w:rsidRDefault="00000000">
      <w:pPr>
        <w:spacing w:line="440" w:lineRule="exact"/>
        <w:ind w:firstLineChars="200" w:firstLine="520"/>
        <w:rPr>
          <w:rFonts w:eastAsia="仿宋_GB2312"/>
          <w:sz w:val="26"/>
          <w:szCs w:val="26"/>
        </w:rPr>
      </w:pPr>
      <w:r>
        <w:rPr>
          <w:rFonts w:ascii="宋体" w:hAnsi="宋体" w:cs="宋体" w:hint="eastAsia"/>
          <w:sz w:val="26"/>
          <w:szCs w:val="26"/>
        </w:rPr>
        <w:t>◆</w:t>
      </w:r>
      <w:r>
        <w:rPr>
          <w:rFonts w:eastAsia="仿宋_GB2312"/>
          <w:sz w:val="26"/>
          <w:szCs w:val="26"/>
        </w:rPr>
        <w:t>交易案例是正常交易，或可修正为正常交易</w:t>
      </w:r>
    </w:p>
    <w:p w14:paraId="1F7E2CD5" w14:textId="77777777" w:rsidR="00EF6A0E" w:rsidRDefault="00000000">
      <w:pPr>
        <w:spacing w:line="440" w:lineRule="exact"/>
        <w:ind w:firstLineChars="200" w:firstLine="520"/>
        <w:rPr>
          <w:rFonts w:eastAsia="仿宋_GB2312"/>
          <w:sz w:val="26"/>
          <w:szCs w:val="26"/>
        </w:rPr>
      </w:pPr>
      <w:r>
        <w:rPr>
          <w:rFonts w:ascii="宋体" w:hAnsi="宋体" w:cs="宋体" w:hint="eastAsia"/>
          <w:sz w:val="26"/>
          <w:szCs w:val="26"/>
        </w:rPr>
        <w:t>◆</w:t>
      </w:r>
      <w:r>
        <w:rPr>
          <w:rFonts w:eastAsia="仿宋_GB2312"/>
          <w:sz w:val="26"/>
          <w:szCs w:val="26"/>
        </w:rPr>
        <w:t>交易案例与待估房地产的建筑结构相同，或可修正</w:t>
      </w:r>
    </w:p>
    <w:p w14:paraId="468AB694" w14:textId="77777777" w:rsidR="00EF6A0E" w:rsidRDefault="00000000">
      <w:pPr>
        <w:spacing w:line="440" w:lineRule="exact"/>
        <w:ind w:firstLineChars="200" w:firstLine="520"/>
        <w:rPr>
          <w:rFonts w:eastAsia="仿宋_GB2312"/>
          <w:sz w:val="26"/>
          <w:szCs w:val="26"/>
        </w:rPr>
      </w:pPr>
      <w:r>
        <w:rPr>
          <w:rFonts w:ascii="宋体" w:hAnsi="宋体" w:cs="宋体" w:hint="eastAsia"/>
          <w:sz w:val="26"/>
          <w:szCs w:val="26"/>
        </w:rPr>
        <w:t>◆</w:t>
      </w:r>
      <w:r>
        <w:rPr>
          <w:rFonts w:eastAsia="仿宋_GB2312"/>
          <w:sz w:val="26"/>
          <w:szCs w:val="26"/>
        </w:rPr>
        <w:t>交易案例的交易日期与待估房地产的价格时点较接近</w:t>
      </w:r>
    </w:p>
    <w:p w14:paraId="528B2561" w14:textId="77777777" w:rsidR="00EF6A0E" w:rsidRDefault="00000000">
      <w:pPr>
        <w:spacing w:line="440" w:lineRule="exact"/>
        <w:ind w:firstLineChars="200" w:firstLine="520"/>
        <w:rPr>
          <w:rFonts w:eastAsia="仿宋_GB2312"/>
          <w:sz w:val="26"/>
          <w:szCs w:val="26"/>
        </w:rPr>
      </w:pPr>
      <w:r>
        <w:rPr>
          <w:rFonts w:eastAsia="仿宋_GB2312"/>
          <w:sz w:val="26"/>
          <w:szCs w:val="26"/>
        </w:rPr>
        <w:t>3</w:t>
      </w:r>
      <w:r>
        <w:rPr>
          <w:rFonts w:eastAsia="仿宋_GB2312"/>
          <w:sz w:val="26"/>
          <w:szCs w:val="26"/>
        </w:rPr>
        <w:t>、建立价格可比基础</w:t>
      </w:r>
    </w:p>
    <w:p w14:paraId="3F25DD5E" w14:textId="77777777" w:rsidR="00EF6A0E" w:rsidRDefault="00000000">
      <w:pPr>
        <w:spacing w:line="440" w:lineRule="exact"/>
        <w:ind w:firstLineChars="200" w:firstLine="520"/>
        <w:rPr>
          <w:rFonts w:eastAsia="仿宋_GB2312"/>
          <w:sz w:val="26"/>
          <w:szCs w:val="26"/>
        </w:rPr>
      </w:pPr>
      <w:r>
        <w:rPr>
          <w:rFonts w:eastAsia="仿宋_GB2312"/>
          <w:sz w:val="26"/>
          <w:szCs w:val="26"/>
        </w:rPr>
        <w:t>4</w:t>
      </w:r>
      <w:r>
        <w:rPr>
          <w:rFonts w:eastAsia="仿宋_GB2312"/>
          <w:sz w:val="26"/>
          <w:szCs w:val="26"/>
        </w:rPr>
        <w:t>、进行交易情况</w:t>
      </w:r>
      <w:r>
        <w:rPr>
          <w:rFonts w:eastAsia="仿宋_GB2312" w:hint="eastAsia"/>
          <w:sz w:val="26"/>
          <w:szCs w:val="26"/>
        </w:rPr>
        <w:t>修正</w:t>
      </w:r>
      <w:r>
        <w:rPr>
          <w:rFonts w:eastAsia="仿宋_GB2312"/>
          <w:sz w:val="26"/>
          <w:szCs w:val="26"/>
        </w:rPr>
        <w:t>、</w:t>
      </w:r>
      <w:r>
        <w:rPr>
          <w:rFonts w:eastAsia="仿宋_GB2312" w:hint="eastAsia"/>
          <w:sz w:val="26"/>
          <w:szCs w:val="26"/>
        </w:rPr>
        <w:t>市场状况调整</w:t>
      </w:r>
      <w:r>
        <w:rPr>
          <w:rFonts w:eastAsia="仿宋_GB2312"/>
          <w:sz w:val="26"/>
          <w:szCs w:val="26"/>
        </w:rPr>
        <w:t>、</w:t>
      </w:r>
      <w:r>
        <w:rPr>
          <w:rFonts w:eastAsia="仿宋_GB2312" w:hint="eastAsia"/>
          <w:sz w:val="26"/>
          <w:szCs w:val="26"/>
        </w:rPr>
        <w:t>房地产状况调整</w:t>
      </w:r>
    </w:p>
    <w:p w14:paraId="2AAA44E7" w14:textId="77777777" w:rsidR="00EF6A0E" w:rsidRDefault="00000000">
      <w:pPr>
        <w:spacing w:line="440" w:lineRule="exact"/>
        <w:ind w:firstLineChars="200" w:firstLine="520"/>
        <w:rPr>
          <w:rFonts w:eastAsia="仿宋_GB2312"/>
          <w:sz w:val="26"/>
          <w:szCs w:val="26"/>
        </w:rPr>
      </w:pPr>
      <w:r>
        <w:rPr>
          <w:rFonts w:eastAsia="仿宋_GB2312"/>
          <w:sz w:val="26"/>
          <w:szCs w:val="26"/>
        </w:rPr>
        <w:t>5</w:t>
      </w:r>
      <w:r>
        <w:rPr>
          <w:rFonts w:eastAsia="仿宋_GB2312"/>
          <w:sz w:val="26"/>
          <w:szCs w:val="26"/>
        </w:rPr>
        <w:t>、计算得出比较</w:t>
      </w:r>
      <w:r>
        <w:rPr>
          <w:rFonts w:eastAsia="仿宋_GB2312" w:hint="eastAsia"/>
          <w:sz w:val="26"/>
          <w:szCs w:val="26"/>
        </w:rPr>
        <w:t>价值，即把对多个可比实例的成交价格进行处理所得到的多个价格综合成一个价格。</w:t>
      </w:r>
    </w:p>
    <w:p w14:paraId="61221F04" w14:textId="77777777" w:rsidR="00EF6A0E" w:rsidRDefault="00000000">
      <w:pPr>
        <w:spacing w:line="440" w:lineRule="exact"/>
        <w:ind w:firstLineChars="200" w:firstLine="520"/>
        <w:rPr>
          <w:rFonts w:eastAsia="仿宋_GB2312"/>
          <w:b/>
          <w:sz w:val="26"/>
          <w:szCs w:val="26"/>
        </w:rPr>
      </w:pPr>
      <w:r>
        <w:rPr>
          <w:rFonts w:eastAsia="仿宋_GB2312"/>
          <w:sz w:val="26"/>
          <w:szCs w:val="26"/>
        </w:rPr>
        <w:t>比较价格＝可比实例</w:t>
      </w:r>
      <w:r>
        <w:rPr>
          <w:rFonts w:eastAsia="仿宋_GB2312" w:hint="eastAsia"/>
          <w:sz w:val="26"/>
          <w:szCs w:val="26"/>
        </w:rPr>
        <w:t>成交</w:t>
      </w:r>
      <w:r>
        <w:rPr>
          <w:rFonts w:eastAsia="仿宋_GB2312"/>
          <w:sz w:val="26"/>
          <w:szCs w:val="26"/>
        </w:rPr>
        <w:t>价格</w:t>
      </w:r>
      <w:r>
        <w:rPr>
          <w:rFonts w:eastAsia="仿宋_GB2312"/>
          <w:sz w:val="26"/>
          <w:szCs w:val="26"/>
        </w:rPr>
        <w:t>×</w:t>
      </w:r>
      <w:r>
        <w:rPr>
          <w:rFonts w:eastAsia="仿宋_GB2312"/>
          <w:sz w:val="26"/>
          <w:szCs w:val="26"/>
        </w:rPr>
        <w:t>交易情况修正系数</w:t>
      </w:r>
      <w:r>
        <w:rPr>
          <w:rFonts w:eastAsia="仿宋_GB2312"/>
          <w:sz w:val="26"/>
          <w:szCs w:val="26"/>
        </w:rPr>
        <w:t>×</w:t>
      </w:r>
      <w:r>
        <w:rPr>
          <w:rFonts w:eastAsia="仿宋_GB2312" w:hint="eastAsia"/>
          <w:sz w:val="26"/>
          <w:szCs w:val="26"/>
        </w:rPr>
        <w:t>市场状况调整</w:t>
      </w:r>
      <w:r>
        <w:rPr>
          <w:rFonts w:eastAsia="仿宋_GB2312"/>
          <w:sz w:val="26"/>
          <w:szCs w:val="26"/>
        </w:rPr>
        <w:t>系数</w:t>
      </w:r>
      <w:r>
        <w:rPr>
          <w:rFonts w:eastAsia="仿宋_GB2312"/>
          <w:sz w:val="26"/>
          <w:szCs w:val="26"/>
        </w:rPr>
        <w:t>×</w:t>
      </w:r>
      <w:r>
        <w:rPr>
          <w:rFonts w:eastAsia="仿宋_GB2312" w:hint="eastAsia"/>
          <w:sz w:val="26"/>
          <w:szCs w:val="26"/>
        </w:rPr>
        <w:t>房地产状况调整</w:t>
      </w:r>
      <w:r>
        <w:rPr>
          <w:rFonts w:eastAsia="仿宋_GB2312"/>
          <w:sz w:val="26"/>
          <w:szCs w:val="26"/>
        </w:rPr>
        <w:t>系数</w:t>
      </w:r>
    </w:p>
    <w:p w14:paraId="750CD922" w14:textId="77777777" w:rsidR="00EF6A0E" w:rsidRDefault="00000000">
      <w:pPr>
        <w:pStyle w:val="2"/>
        <w:spacing w:line="240" w:lineRule="auto"/>
        <w:rPr>
          <w:rFonts w:ascii="Times New Roman" w:eastAsia="仿宋_GB2312" w:hAnsi="Times New Roman"/>
          <w:sz w:val="30"/>
          <w:szCs w:val="30"/>
        </w:rPr>
      </w:pPr>
      <w:bookmarkStart w:id="125" w:name="_Toc13336"/>
      <w:bookmarkStart w:id="126" w:name="_Toc22742"/>
      <w:bookmarkStart w:id="127" w:name="_Toc22021"/>
      <w:bookmarkStart w:id="128" w:name="_Toc457460272"/>
      <w:bookmarkStart w:id="129" w:name="_Toc21929"/>
      <w:bookmarkStart w:id="130" w:name="_Toc28625"/>
      <w:bookmarkStart w:id="131" w:name="_Toc8807"/>
      <w:bookmarkStart w:id="132" w:name="_Toc8656"/>
      <w:bookmarkStart w:id="133" w:name="_Toc24562"/>
      <w:r>
        <w:rPr>
          <w:rFonts w:ascii="Times New Roman" w:eastAsia="仿宋_GB2312" w:hAnsi="Times New Roman" w:hint="eastAsia"/>
          <w:sz w:val="30"/>
          <w:szCs w:val="30"/>
        </w:rPr>
        <w:t>七</w:t>
      </w:r>
      <w:r>
        <w:rPr>
          <w:rFonts w:ascii="Times New Roman" w:eastAsia="仿宋_GB2312" w:hAnsi="Times New Roman"/>
          <w:color w:val="000000"/>
          <w:sz w:val="30"/>
          <w:szCs w:val="30"/>
        </w:rPr>
        <w:t>、估价测算过程</w:t>
      </w:r>
      <w:bookmarkEnd w:id="124"/>
      <w:bookmarkEnd w:id="125"/>
      <w:bookmarkEnd w:id="126"/>
      <w:bookmarkEnd w:id="127"/>
      <w:bookmarkEnd w:id="128"/>
      <w:bookmarkEnd w:id="129"/>
      <w:bookmarkEnd w:id="130"/>
      <w:bookmarkEnd w:id="131"/>
      <w:bookmarkEnd w:id="132"/>
      <w:bookmarkEnd w:id="133"/>
    </w:p>
    <w:p w14:paraId="08F2D0C9" w14:textId="77777777" w:rsidR="00EF6A0E" w:rsidRDefault="00000000">
      <w:pPr>
        <w:spacing w:line="440" w:lineRule="exact"/>
        <w:rPr>
          <w:rFonts w:eastAsia="仿宋_GB2312"/>
          <w:sz w:val="26"/>
          <w:szCs w:val="26"/>
        </w:rPr>
      </w:pPr>
      <w:r>
        <w:rPr>
          <w:rFonts w:eastAsia="仿宋_GB2312"/>
          <w:sz w:val="26"/>
          <w:szCs w:val="26"/>
        </w:rPr>
        <w:fldChar w:fldCharType="begin"/>
      </w:r>
      <w:r>
        <w:rPr>
          <w:rFonts w:eastAsia="仿宋_GB2312"/>
          <w:sz w:val="26"/>
          <w:szCs w:val="26"/>
        </w:rPr>
        <w:instrText xml:space="preserve"> </w:instrText>
      </w:r>
      <w:r>
        <w:rPr>
          <w:rFonts w:eastAsia="仿宋_GB2312" w:hint="eastAsia"/>
          <w:sz w:val="26"/>
          <w:szCs w:val="26"/>
        </w:rPr>
        <w:instrText>= 1 \* ROMAN</w:instrText>
      </w:r>
      <w:r>
        <w:rPr>
          <w:rFonts w:eastAsia="仿宋_GB2312"/>
          <w:sz w:val="26"/>
          <w:szCs w:val="26"/>
        </w:rPr>
        <w:instrText xml:space="preserve"> </w:instrText>
      </w:r>
      <w:r>
        <w:rPr>
          <w:rFonts w:eastAsia="仿宋_GB2312"/>
          <w:sz w:val="26"/>
          <w:szCs w:val="26"/>
        </w:rPr>
        <w:fldChar w:fldCharType="separate"/>
      </w:r>
      <w:r>
        <w:rPr>
          <w:rFonts w:eastAsia="仿宋_GB2312"/>
          <w:sz w:val="26"/>
          <w:szCs w:val="26"/>
        </w:rPr>
        <w:t>I</w:t>
      </w:r>
      <w:r>
        <w:rPr>
          <w:rFonts w:eastAsia="仿宋_GB2312"/>
          <w:sz w:val="26"/>
          <w:szCs w:val="26"/>
        </w:rPr>
        <w:fldChar w:fldCharType="end"/>
      </w:r>
      <w:r>
        <w:rPr>
          <w:rFonts w:eastAsia="仿宋_GB2312"/>
          <w:sz w:val="26"/>
          <w:szCs w:val="26"/>
        </w:rPr>
        <w:t>、</w:t>
      </w:r>
      <w:r>
        <w:rPr>
          <w:rFonts w:eastAsia="仿宋_GB2312" w:hint="eastAsia"/>
          <w:sz w:val="26"/>
          <w:szCs w:val="26"/>
        </w:rPr>
        <w:t>比较法</w:t>
      </w:r>
    </w:p>
    <w:p w14:paraId="664063FE" w14:textId="77777777" w:rsidR="00EF6A0E" w:rsidRDefault="00000000">
      <w:pPr>
        <w:spacing w:line="440" w:lineRule="exact"/>
        <w:rPr>
          <w:rFonts w:eastAsia="仿宋_GB2312"/>
          <w:sz w:val="26"/>
          <w:szCs w:val="26"/>
        </w:rPr>
      </w:pPr>
      <w:r>
        <w:rPr>
          <w:rFonts w:eastAsia="仿宋_GB2312" w:hint="eastAsia"/>
          <w:sz w:val="26"/>
          <w:szCs w:val="26"/>
        </w:rPr>
        <w:t>1</w:t>
      </w:r>
      <w:r>
        <w:rPr>
          <w:rFonts w:eastAsia="仿宋_GB2312" w:hint="eastAsia"/>
          <w:sz w:val="26"/>
          <w:szCs w:val="26"/>
        </w:rPr>
        <w:t>、</w:t>
      </w:r>
      <w:r>
        <w:rPr>
          <w:rFonts w:eastAsia="仿宋_GB2312"/>
          <w:sz w:val="26"/>
          <w:szCs w:val="26"/>
        </w:rPr>
        <w:t>选取可比实例</w:t>
      </w:r>
    </w:p>
    <w:p w14:paraId="4F48F139" w14:textId="77777777" w:rsidR="00EF6A0E" w:rsidRDefault="00000000">
      <w:pPr>
        <w:spacing w:line="440" w:lineRule="exact"/>
        <w:ind w:firstLineChars="200" w:firstLine="520"/>
        <w:rPr>
          <w:rFonts w:eastAsia="仿宋_GB2312"/>
          <w:sz w:val="26"/>
          <w:szCs w:val="26"/>
        </w:rPr>
      </w:pPr>
      <w:r>
        <w:rPr>
          <w:rFonts w:eastAsia="仿宋_GB2312"/>
          <w:sz w:val="26"/>
          <w:szCs w:val="26"/>
        </w:rPr>
        <w:t>根据评估人员进行的市场调查和公司所掌握的市场信息，通过对周边地区近期发生过交易的物业进行收集整理分析，挑选出三个交易案例作为</w:t>
      </w:r>
      <w:r>
        <w:rPr>
          <w:rFonts w:eastAsia="仿宋_GB2312" w:hint="eastAsia"/>
          <w:sz w:val="26"/>
          <w:szCs w:val="26"/>
        </w:rPr>
        <w:t>可比实例</w:t>
      </w:r>
      <w:r>
        <w:rPr>
          <w:rFonts w:eastAsia="仿宋_GB2312"/>
          <w:sz w:val="26"/>
          <w:szCs w:val="26"/>
        </w:rPr>
        <w:t>。</w:t>
      </w:r>
    </w:p>
    <w:p w14:paraId="3C5AEB67"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2</w:t>
      </w:r>
      <w:r>
        <w:rPr>
          <w:rFonts w:eastAsia="仿宋_GB2312" w:hint="eastAsia"/>
          <w:sz w:val="26"/>
          <w:szCs w:val="26"/>
        </w:rPr>
        <w:t>、建立价格比较基础</w:t>
      </w:r>
    </w:p>
    <w:p w14:paraId="0705A424"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选取了可比实例之后，需要先对这些可比实例的成交价格进行换算处理，使他们之间的内涵一致、形式相同、相互可比，并统一到需要求取的估价对象的价格单位上来，为后续的有关比较、修正和调整建立一个共同的基础。</w:t>
      </w:r>
    </w:p>
    <w:p w14:paraId="7E76A4C2"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建立价格比较基础一般包括</w:t>
      </w:r>
      <w:r>
        <w:rPr>
          <w:rFonts w:eastAsia="仿宋_GB2312" w:hint="eastAsia"/>
          <w:sz w:val="26"/>
          <w:szCs w:val="26"/>
        </w:rPr>
        <w:t>5</w:t>
      </w:r>
      <w:r>
        <w:rPr>
          <w:rFonts w:eastAsia="仿宋_GB2312" w:hint="eastAsia"/>
          <w:sz w:val="26"/>
          <w:szCs w:val="26"/>
        </w:rPr>
        <w:t>个方面：</w:t>
      </w:r>
      <w:r>
        <w:rPr>
          <w:rFonts w:eastAsia="仿宋_GB2312" w:hint="eastAsia"/>
          <w:sz w:val="26"/>
          <w:szCs w:val="26"/>
        </w:rPr>
        <w:t>1</w:t>
      </w:r>
      <w:r>
        <w:rPr>
          <w:rFonts w:eastAsia="仿宋_GB2312" w:hint="eastAsia"/>
          <w:sz w:val="26"/>
          <w:szCs w:val="26"/>
        </w:rPr>
        <w:t>）统一付款方式；</w:t>
      </w:r>
      <w:r>
        <w:rPr>
          <w:rFonts w:eastAsia="仿宋_GB2312" w:hint="eastAsia"/>
          <w:sz w:val="26"/>
          <w:szCs w:val="26"/>
        </w:rPr>
        <w:t>2</w:t>
      </w:r>
      <w:r>
        <w:rPr>
          <w:rFonts w:eastAsia="仿宋_GB2312" w:hint="eastAsia"/>
          <w:sz w:val="26"/>
          <w:szCs w:val="26"/>
        </w:rPr>
        <w:t>）统一采用单价；</w:t>
      </w:r>
      <w:r>
        <w:rPr>
          <w:rFonts w:eastAsia="仿宋_GB2312" w:hint="eastAsia"/>
          <w:sz w:val="26"/>
          <w:szCs w:val="26"/>
        </w:rPr>
        <w:t>3</w:t>
      </w:r>
      <w:r>
        <w:rPr>
          <w:rFonts w:eastAsia="仿宋_GB2312" w:hint="eastAsia"/>
          <w:sz w:val="26"/>
          <w:szCs w:val="26"/>
        </w:rPr>
        <w:t>）统一币种和货币单位；</w:t>
      </w:r>
      <w:r>
        <w:rPr>
          <w:rFonts w:eastAsia="仿宋_GB2312" w:hint="eastAsia"/>
          <w:sz w:val="26"/>
          <w:szCs w:val="26"/>
        </w:rPr>
        <w:t>4</w:t>
      </w:r>
      <w:r>
        <w:rPr>
          <w:rFonts w:eastAsia="仿宋_GB2312" w:hint="eastAsia"/>
          <w:sz w:val="26"/>
          <w:szCs w:val="26"/>
        </w:rPr>
        <w:t>）统一面积内涵；</w:t>
      </w:r>
      <w:r>
        <w:rPr>
          <w:rFonts w:eastAsia="仿宋_GB2312" w:hint="eastAsia"/>
          <w:sz w:val="26"/>
          <w:szCs w:val="26"/>
        </w:rPr>
        <w:t>5</w:t>
      </w:r>
      <w:r>
        <w:rPr>
          <w:rFonts w:eastAsia="仿宋_GB2312" w:hint="eastAsia"/>
          <w:sz w:val="26"/>
          <w:szCs w:val="26"/>
        </w:rPr>
        <w:t>）统一面积单位；</w:t>
      </w:r>
      <w:r>
        <w:rPr>
          <w:rFonts w:eastAsia="仿宋_GB2312" w:hint="eastAsia"/>
          <w:sz w:val="26"/>
          <w:szCs w:val="26"/>
        </w:rPr>
        <w:t>6</w:t>
      </w:r>
      <w:r>
        <w:rPr>
          <w:rFonts w:eastAsia="仿宋_GB2312" w:hint="eastAsia"/>
          <w:sz w:val="26"/>
          <w:szCs w:val="26"/>
        </w:rPr>
        <w:t>）统一税费承担。</w:t>
      </w:r>
    </w:p>
    <w:p w14:paraId="289BA2B6"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建立价格比较基础后的各可比实例见可比实例价格表：</w:t>
      </w:r>
    </w:p>
    <w:tbl>
      <w:tblPr>
        <w:tblW w:w="7376" w:type="dxa"/>
        <w:jc w:val="center"/>
        <w:tblLook w:val="04A0" w:firstRow="1" w:lastRow="0" w:firstColumn="1" w:lastColumn="0" w:noHBand="0" w:noVBand="1"/>
      </w:tblPr>
      <w:tblGrid>
        <w:gridCol w:w="2286"/>
        <w:gridCol w:w="1962"/>
        <w:gridCol w:w="1564"/>
        <w:gridCol w:w="1564"/>
      </w:tblGrid>
      <w:tr w:rsidR="00EF6A0E" w14:paraId="0F5CB508" w14:textId="77777777">
        <w:trPr>
          <w:trHeight w:val="420"/>
          <w:jc w:val="center"/>
        </w:trPr>
        <w:tc>
          <w:tcPr>
            <w:tcW w:w="7376" w:type="dxa"/>
            <w:gridSpan w:val="4"/>
            <w:tcBorders>
              <w:top w:val="nil"/>
              <w:left w:val="nil"/>
              <w:bottom w:val="single" w:sz="12" w:space="0" w:color="auto"/>
              <w:right w:val="nil"/>
            </w:tcBorders>
            <w:noWrap/>
            <w:vAlign w:val="center"/>
          </w:tcPr>
          <w:p w14:paraId="75BDD9E2" w14:textId="77777777" w:rsidR="00EF6A0E" w:rsidRDefault="00000000">
            <w:pPr>
              <w:widowControl/>
              <w:jc w:val="center"/>
              <w:rPr>
                <w:rFonts w:ascii="仿宋_GB2312" w:eastAsia="仿宋_GB2312" w:hAnsi="宋体" w:cs="宋体"/>
                <w:b/>
                <w:bCs/>
                <w:color w:val="000000"/>
                <w:kern w:val="0"/>
                <w:sz w:val="23"/>
                <w:szCs w:val="23"/>
              </w:rPr>
            </w:pPr>
            <w:r>
              <w:rPr>
                <w:rFonts w:ascii="仿宋_GB2312" w:eastAsia="仿宋_GB2312" w:hAnsi="宋体" w:cs="宋体" w:hint="eastAsia"/>
                <w:b/>
                <w:bCs/>
                <w:color w:val="000000"/>
                <w:kern w:val="0"/>
                <w:sz w:val="23"/>
                <w:szCs w:val="23"/>
              </w:rPr>
              <w:t>可比实例调查表</w:t>
            </w:r>
          </w:p>
        </w:tc>
      </w:tr>
      <w:tr w:rsidR="00EF6A0E" w14:paraId="41DDC195" w14:textId="77777777">
        <w:trPr>
          <w:trHeight w:val="360"/>
          <w:jc w:val="center"/>
        </w:trPr>
        <w:tc>
          <w:tcPr>
            <w:tcW w:w="2286" w:type="dxa"/>
            <w:tcBorders>
              <w:top w:val="single" w:sz="12" w:space="0" w:color="auto"/>
              <w:left w:val="single" w:sz="12" w:space="0" w:color="auto"/>
              <w:bottom w:val="single" w:sz="4" w:space="0" w:color="auto"/>
              <w:right w:val="single" w:sz="4" w:space="0" w:color="auto"/>
            </w:tcBorders>
            <w:noWrap/>
            <w:vAlign w:val="center"/>
          </w:tcPr>
          <w:p w14:paraId="7299A62E" w14:textId="77777777" w:rsidR="00EF6A0E" w:rsidRDefault="00000000">
            <w:pPr>
              <w:widowControl/>
              <w:jc w:val="center"/>
              <w:rPr>
                <w:rFonts w:ascii="仿宋_GB2312" w:eastAsia="仿宋_GB2312" w:hAnsi="宋体" w:cs="宋体"/>
                <w:b/>
                <w:bCs/>
                <w:color w:val="000000"/>
                <w:kern w:val="0"/>
                <w:sz w:val="20"/>
                <w:szCs w:val="20"/>
              </w:rPr>
            </w:pPr>
            <w:r>
              <w:rPr>
                <w:rFonts w:eastAsia="仿宋_GB2312" w:hint="eastAsia"/>
                <w:b/>
                <w:bCs/>
                <w:color w:val="000000"/>
                <w:kern w:val="0"/>
                <w:sz w:val="20"/>
                <w:szCs w:val="20"/>
              </w:rPr>
              <w:t>项目</w:t>
            </w:r>
          </w:p>
        </w:tc>
        <w:tc>
          <w:tcPr>
            <w:tcW w:w="1962" w:type="dxa"/>
            <w:tcBorders>
              <w:top w:val="single" w:sz="12" w:space="0" w:color="auto"/>
              <w:left w:val="nil"/>
              <w:bottom w:val="single" w:sz="4" w:space="0" w:color="auto"/>
              <w:right w:val="single" w:sz="4" w:space="0" w:color="auto"/>
            </w:tcBorders>
            <w:noWrap/>
            <w:vAlign w:val="center"/>
          </w:tcPr>
          <w:p w14:paraId="0B892E59" w14:textId="77777777" w:rsidR="00EF6A0E" w:rsidRDefault="00000000">
            <w:pPr>
              <w:widowControl/>
              <w:jc w:val="center"/>
              <w:rPr>
                <w:rFonts w:ascii="仿宋_GB2312" w:eastAsia="仿宋_GB2312" w:hAnsi="宋体" w:cs="宋体"/>
                <w:b/>
                <w:bCs/>
                <w:color w:val="000000"/>
                <w:kern w:val="0"/>
                <w:sz w:val="20"/>
                <w:szCs w:val="20"/>
              </w:rPr>
            </w:pPr>
            <w:r>
              <w:rPr>
                <w:rFonts w:ascii="仿宋_GB2312" w:eastAsia="仿宋_GB2312" w:hAnsi="宋体" w:cs="宋体" w:hint="eastAsia"/>
                <w:b/>
                <w:bCs/>
                <w:color w:val="000000"/>
                <w:kern w:val="0"/>
                <w:sz w:val="20"/>
                <w:szCs w:val="20"/>
              </w:rPr>
              <w:t>可比实例A</w:t>
            </w:r>
          </w:p>
        </w:tc>
        <w:tc>
          <w:tcPr>
            <w:tcW w:w="1564" w:type="dxa"/>
            <w:tcBorders>
              <w:top w:val="single" w:sz="12" w:space="0" w:color="auto"/>
              <w:left w:val="nil"/>
              <w:bottom w:val="single" w:sz="4" w:space="0" w:color="auto"/>
              <w:right w:val="single" w:sz="4" w:space="0" w:color="auto"/>
            </w:tcBorders>
            <w:noWrap/>
            <w:vAlign w:val="center"/>
          </w:tcPr>
          <w:p w14:paraId="28C3B4B8" w14:textId="77777777" w:rsidR="00EF6A0E" w:rsidRDefault="00000000">
            <w:pPr>
              <w:widowControl/>
              <w:jc w:val="center"/>
              <w:rPr>
                <w:rFonts w:ascii="仿宋_GB2312" w:eastAsia="仿宋_GB2312" w:hAnsi="宋体" w:cs="宋体"/>
                <w:b/>
                <w:bCs/>
                <w:color w:val="000000"/>
                <w:kern w:val="0"/>
                <w:sz w:val="20"/>
                <w:szCs w:val="20"/>
              </w:rPr>
            </w:pPr>
            <w:r>
              <w:rPr>
                <w:rFonts w:ascii="仿宋_GB2312" w:eastAsia="仿宋_GB2312" w:hAnsi="宋体" w:cs="宋体" w:hint="eastAsia"/>
                <w:b/>
                <w:bCs/>
                <w:color w:val="000000"/>
                <w:kern w:val="0"/>
                <w:sz w:val="20"/>
                <w:szCs w:val="20"/>
              </w:rPr>
              <w:t>可比实例B</w:t>
            </w:r>
          </w:p>
        </w:tc>
        <w:tc>
          <w:tcPr>
            <w:tcW w:w="1564" w:type="dxa"/>
            <w:tcBorders>
              <w:top w:val="single" w:sz="12" w:space="0" w:color="auto"/>
              <w:left w:val="nil"/>
              <w:bottom w:val="single" w:sz="4" w:space="0" w:color="auto"/>
              <w:right w:val="single" w:sz="12" w:space="0" w:color="auto"/>
            </w:tcBorders>
            <w:noWrap/>
            <w:vAlign w:val="center"/>
          </w:tcPr>
          <w:p w14:paraId="76F8CD02" w14:textId="77777777" w:rsidR="00EF6A0E" w:rsidRDefault="00000000">
            <w:pPr>
              <w:widowControl/>
              <w:jc w:val="center"/>
              <w:rPr>
                <w:rFonts w:ascii="仿宋_GB2312" w:eastAsia="仿宋_GB2312" w:hAnsi="宋体" w:cs="宋体"/>
                <w:b/>
                <w:bCs/>
                <w:color w:val="000000"/>
                <w:kern w:val="0"/>
                <w:sz w:val="20"/>
                <w:szCs w:val="20"/>
              </w:rPr>
            </w:pPr>
            <w:r>
              <w:rPr>
                <w:rFonts w:ascii="仿宋_GB2312" w:eastAsia="仿宋_GB2312" w:hAnsi="宋体" w:cs="宋体" w:hint="eastAsia"/>
                <w:b/>
                <w:bCs/>
                <w:color w:val="000000"/>
                <w:kern w:val="0"/>
                <w:sz w:val="20"/>
                <w:szCs w:val="20"/>
              </w:rPr>
              <w:t>可比实例C</w:t>
            </w:r>
          </w:p>
        </w:tc>
      </w:tr>
      <w:tr w:rsidR="00EF6A0E" w14:paraId="4A40A923" w14:textId="77777777">
        <w:trPr>
          <w:trHeight w:val="360"/>
          <w:jc w:val="center"/>
        </w:trPr>
        <w:tc>
          <w:tcPr>
            <w:tcW w:w="2286" w:type="dxa"/>
            <w:tcBorders>
              <w:top w:val="nil"/>
              <w:left w:val="single" w:sz="12" w:space="0" w:color="auto"/>
              <w:bottom w:val="single" w:sz="4" w:space="0" w:color="auto"/>
              <w:right w:val="single" w:sz="4" w:space="0" w:color="auto"/>
            </w:tcBorders>
            <w:noWrap/>
            <w:vAlign w:val="center"/>
          </w:tcPr>
          <w:p w14:paraId="735854B5"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付款方式</w:t>
            </w:r>
          </w:p>
        </w:tc>
        <w:tc>
          <w:tcPr>
            <w:tcW w:w="1962" w:type="dxa"/>
            <w:tcBorders>
              <w:top w:val="nil"/>
              <w:left w:val="nil"/>
              <w:bottom w:val="single" w:sz="4" w:space="0" w:color="auto"/>
              <w:right w:val="single" w:sz="4" w:space="0" w:color="auto"/>
            </w:tcBorders>
            <w:noWrap/>
            <w:vAlign w:val="center"/>
          </w:tcPr>
          <w:p w14:paraId="1EB68CF5"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一次性付清</w:t>
            </w:r>
          </w:p>
        </w:tc>
        <w:tc>
          <w:tcPr>
            <w:tcW w:w="1564" w:type="dxa"/>
            <w:tcBorders>
              <w:top w:val="nil"/>
              <w:left w:val="nil"/>
              <w:bottom w:val="single" w:sz="4" w:space="0" w:color="auto"/>
              <w:right w:val="single" w:sz="4" w:space="0" w:color="auto"/>
            </w:tcBorders>
            <w:noWrap/>
            <w:vAlign w:val="center"/>
          </w:tcPr>
          <w:p w14:paraId="5C4A4761"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一次性付清</w:t>
            </w:r>
          </w:p>
        </w:tc>
        <w:tc>
          <w:tcPr>
            <w:tcW w:w="1564" w:type="dxa"/>
            <w:tcBorders>
              <w:top w:val="nil"/>
              <w:left w:val="nil"/>
              <w:bottom w:val="single" w:sz="4" w:space="0" w:color="auto"/>
              <w:right w:val="single" w:sz="12" w:space="0" w:color="auto"/>
            </w:tcBorders>
            <w:noWrap/>
            <w:vAlign w:val="center"/>
          </w:tcPr>
          <w:p w14:paraId="28A12CCE"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一次性付清</w:t>
            </w:r>
          </w:p>
        </w:tc>
      </w:tr>
      <w:tr w:rsidR="00EF6A0E" w14:paraId="4D040593" w14:textId="77777777">
        <w:trPr>
          <w:trHeight w:val="360"/>
          <w:jc w:val="center"/>
        </w:trPr>
        <w:tc>
          <w:tcPr>
            <w:tcW w:w="2286" w:type="dxa"/>
            <w:tcBorders>
              <w:top w:val="nil"/>
              <w:left w:val="single" w:sz="12" w:space="0" w:color="auto"/>
              <w:bottom w:val="single" w:sz="4" w:space="0" w:color="auto"/>
              <w:right w:val="single" w:sz="4" w:space="0" w:color="auto"/>
            </w:tcBorders>
            <w:noWrap/>
            <w:vAlign w:val="center"/>
          </w:tcPr>
          <w:p w14:paraId="2DA57670"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w:t>
            </w:r>
          </w:p>
        </w:tc>
        <w:tc>
          <w:tcPr>
            <w:tcW w:w="1962" w:type="dxa"/>
            <w:tcBorders>
              <w:top w:val="nil"/>
              <w:left w:val="nil"/>
              <w:bottom w:val="single" w:sz="4" w:space="0" w:color="auto"/>
              <w:right w:val="single" w:sz="4" w:space="0" w:color="auto"/>
            </w:tcBorders>
            <w:noWrap/>
            <w:vAlign w:val="center"/>
          </w:tcPr>
          <w:p w14:paraId="3FBD6E8B" w14:textId="5599274B" w:rsidR="00EF6A0E" w:rsidRDefault="00DA1179">
            <w:pPr>
              <w:widowControl/>
              <w:jc w:val="center"/>
              <w:textAlignment w:val="center"/>
              <w:rPr>
                <w:rFonts w:ascii="宋体" w:hAnsi="宋体" w:cs="宋体"/>
                <w:color w:val="000000"/>
                <w:kern w:val="0"/>
                <w:sz w:val="22"/>
                <w:szCs w:val="22"/>
              </w:rPr>
            </w:pPr>
            <w:r>
              <w:rPr>
                <w:color w:val="000000"/>
                <w:kern w:val="0"/>
                <w:sz w:val="22"/>
                <w:szCs w:val="22"/>
                <w:lang w:bidi="ar"/>
              </w:rPr>
              <w:t>3730</w:t>
            </w:r>
          </w:p>
        </w:tc>
        <w:tc>
          <w:tcPr>
            <w:tcW w:w="1564" w:type="dxa"/>
            <w:tcBorders>
              <w:top w:val="nil"/>
              <w:left w:val="nil"/>
              <w:bottom w:val="single" w:sz="4" w:space="0" w:color="auto"/>
              <w:right w:val="single" w:sz="4" w:space="0" w:color="auto"/>
            </w:tcBorders>
            <w:noWrap/>
            <w:vAlign w:val="center"/>
          </w:tcPr>
          <w:p w14:paraId="6146ABC0" w14:textId="585CCFA2" w:rsidR="00EF6A0E" w:rsidRDefault="00DA1179">
            <w:pPr>
              <w:widowControl/>
              <w:jc w:val="center"/>
              <w:textAlignment w:val="center"/>
              <w:rPr>
                <w:rFonts w:ascii="宋体" w:hAnsi="宋体" w:cs="宋体"/>
                <w:color w:val="000000"/>
                <w:kern w:val="0"/>
                <w:sz w:val="22"/>
                <w:szCs w:val="22"/>
              </w:rPr>
            </w:pPr>
            <w:r>
              <w:rPr>
                <w:color w:val="000000"/>
                <w:kern w:val="0"/>
                <w:sz w:val="22"/>
                <w:szCs w:val="22"/>
                <w:lang w:bidi="ar"/>
              </w:rPr>
              <w:t>3284</w:t>
            </w:r>
          </w:p>
        </w:tc>
        <w:tc>
          <w:tcPr>
            <w:tcW w:w="1564" w:type="dxa"/>
            <w:tcBorders>
              <w:top w:val="nil"/>
              <w:left w:val="nil"/>
              <w:bottom w:val="single" w:sz="4" w:space="0" w:color="auto"/>
              <w:right w:val="single" w:sz="12" w:space="0" w:color="auto"/>
            </w:tcBorders>
            <w:noWrap/>
            <w:vAlign w:val="center"/>
          </w:tcPr>
          <w:p w14:paraId="6F37DC1C" w14:textId="37EBA01D" w:rsidR="00EF6A0E" w:rsidRDefault="00623FF0">
            <w:pPr>
              <w:widowControl/>
              <w:jc w:val="center"/>
              <w:textAlignment w:val="center"/>
              <w:rPr>
                <w:rFonts w:ascii="宋体" w:hAnsi="宋体" w:cs="宋体"/>
                <w:color w:val="000000"/>
                <w:kern w:val="0"/>
                <w:sz w:val="22"/>
                <w:szCs w:val="22"/>
              </w:rPr>
            </w:pPr>
            <w:r>
              <w:rPr>
                <w:color w:val="000000"/>
                <w:kern w:val="0"/>
                <w:sz w:val="22"/>
                <w:szCs w:val="22"/>
                <w:lang w:bidi="ar"/>
              </w:rPr>
              <w:t>4404</w:t>
            </w:r>
          </w:p>
        </w:tc>
      </w:tr>
      <w:tr w:rsidR="00EF6A0E" w14:paraId="198211DA" w14:textId="77777777">
        <w:trPr>
          <w:trHeight w:val="360"/>
          <w:jc w:val="center"/>
        </w:trPr>
        <w:tc>
          <w:tcPr>
            <w:tcW w:w="2286" w:type="dxa"/>
            <w:tcBorders>
              <w:top w:val="nil"/>
              <w:left w:val="single" w:sz="12" w:space="0" w:color="auto"/>
              <w:bottom w:val="single" w:sz="4" w:space="0" w:color="auto"/>
              <w:right w:val="single" w:sz="4" w:space="0" w:color="auto"/>
            </w:tcBorders>
            <w:noWrap/>
            <w:vAlign w:val="center"/>
          </w:tcPr>
          <w:p w14:paraId="2E56A55B"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币种/单位</w:t>
            </w:r>
          </w:p>
        </w:tc>
        <w:tc>
          <w:tcPr>
            <w:tcW w:w="1962" w:type="dxa"/>
            <w:tcBorders>
              <w:top w:val="nil"/>
              <w:left w:val="nil"/>
              <w:bottom w:val="single" w:sz="4" w:space="0" w:color="auto"/>
              <w:right w:val="single" w:sz="4" w:space="0" w:color="auto"/>
            </w:tcBorders>
            <w:noWrap/>
            <w:vAlign w:val="center"/>
          </w:tcPr>
          <w:p w14:paraId="4D125C70"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人民币/元</w:t>
            </w:r>
          </w:p>
        </w:tc>
        <w:tc>
          <w:tcPr>
            <w:tcW w:w="1564" w:type="dxa"/>
            <w:tcBorders>
              <w:top w:val="nil"/>
              <w:left w:val="nil"/>
              <w:bottom w:val="single" w:sz="4" w:space="0" w:color="auto"/>
              <w:right w:val="single" w:sz="4" w:space="0" w:color="auto"/>
            </w:tcBorders>
            <w:noWrap/>
            <w:vAlign w:val="center"/>
          </w:tcPr>
          <w:p w14:paraId="5471205C"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人民币/元</w:t>
            </w:r>
          </w:p>
        </w:tc>
        <w:tc>
          <w:tcPr>
            <w:tcW w:w="1564" w:type="dxa"/>
            <w:tcBorders>
              <w:top w:val="nil"/>
              <w:left w:val="nil"/>
              <w:bottom w:val="single" w:sz="4" w:space="0" w:color="auto"/>
              <w:right w:val="single" w:sz="12" w:space="0" w:color="auto"/>
            </w:tcBorders>
            <w:noWrap/>
            <w:vAlign w:val="center"/>
          </w:tcPr>
          <w:p w14:paraId="12F343F0"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人民币/元</w:t>
            </w:r>
          </w:p>
        </w:tc>
      </w:tr>
      <w:tr w:rsidR="00EF6A0E" w14:paraId="55C4CB2D" w14:textId="77777777">
        <w:trPr>
          <w:trHeight w:val="360"/>
          <w:jc w:val="center"/>
        </w:trPr>
        <w:tc>
          <w:tcPr>
            <w:tcW w:w="2286" w:type="dxa"/>
            <w:tcBorders>
              <w:top w:val="nil"/>
              <w:left w:val="single" w:sz="12" w:space="0" w:color="auto"/>
              <w:bottom w:val="single" w:sz="4" w:space="0" w:color="auto"/>
              <w:right w:val="single" w:sz="4" w:space="0" w:color="auto"/>
            </w:tcBorders>
            <w:noWrap/>
            <w:vAlign w:val="center"/>
          </w:tcPr>
          <w:p w14:paraId="2DF38C7F"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面积内涵</w:t>
            </w:r>
          </w:p>
        </w:tc>
        <w:tc>
          <w:tcPr>
            <w:tcW w:w="1962" w:type="dxa"/>
            <w:tcBorders>
              <w:top w:val="nil"/>
              <w:left w:val="nil"/>
              <w:bottom w:val="single" w:sz="4" w:space="0" w:color="auto"/>
              <w:right w:val="single" w:sz="4" w:space="0" w:color="auto"/>
            </w:tcBorders>
            <w:noWrap/>
            <w:vAlign w:val="center"/>
          </w:tcPr>
          <w:p w14:paraId="7361B5BB"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建筑面积</w:t>
            </w:r>
          </w:p>
        </w:tc>
        <w:tc>
          <w:tcPr>
            <w:tcW w:w="1564" w:type="dxa"/>
            <w:tcBorders>
              <w:top w:val="nil"/>
              <w:left w:val="nil"/>
              <w:bottom w:val="single" w:sz="4" w:space="0" w:color="auto"/>
              <w:right w:val="single" w:sz="4" w:space="0" w:color="auto"/>
            </w:tcBorders>
            <w:noWrap/>
            <w:vAlign w:val="center"/>
          </w:tcPr>
          <w:p w14:paraId="0685BFB9"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建筑面积</w:t>
            </w:r>
          </w:p>
        </w:tc>
        <w:tc>
          <w:tcPr>
            <w:tcW w:w="1564" w:type="dxa"/>
            <w:tcBorders>
              <w:top w:val="nil"/>
              <w:left w:val="nil"/>
              <w:bottom w:val="single" w:sz="4" w:space="0" w:color="auto"/>
              <w:right w:val="single" w:sz="12" w:space="0" w:color="auto"/>
            </w:tcBorders>
            <w:noWrap/>
            <w:vAlign w:val="center"/>
          </w:tcPr>
          <w:p w14:paraId="5418C830"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建筑面积</w:t>
            </w:r>
          </w:p>
        </w:tc>
      </w:tr>
      <w:tr w:rsidR="00EF6A0E" w14:paraId="50D050C2" w14:textId="77777777">
        <w:trPr>
          <w:trHeight w:val="360"/>
          <w:jc w:val="center"/>
        </w:trPr>
        <w:tc>
          <w:tcPr>
            <w:tcW w:w="2286" w:type="dxa"/>
            <w:tcBorders>
              <w:top w:val="nil"/>
              <w:left w:val="single" w:sz="12" w:space="0" w:color="auto"/>
              <w:bottom w:val="single" w:sz="4" w:space="0" w:color="auto"/>
              <w:right w:val="single" w:sz="4" w:space="0" w:color="auto"/>
            </w:tcBorders>
            <w:noWrap/>
            <w:vAlign w:val="center"/>
          </w:tcPr>
          <w:p w14:paraId="79B37335"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面积单位</w:t>
            </w:r>
          </w:p>
        </w:tc>
        <w:tc>
          <w:tcPr>
            <w:tcW w:w="1962" w:type="dxa"/>
            <w:tcBorders>
              <w:top w:val="nil"/>
              <w:left w:val="nil"/>
              <w:bottom w:val="single" w:sz="4" w:space="0" w:color="auto"/>
              <w:right w:val="single" w:sz="4" w:space="0" w:color="auto"/>
            </w:tcBorders>
            <w:noWrap/>
            <w:vAlign w:val="center"/>
          </w:tcPr>
          <w:p w14:paraId="7457ADBD"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p>
        </w:tc>
        <w:tc>
          <w:tcPr>
            <w:tcW w:w="1564" w:type="dxa"/>
            <w:tcBorders>
              <w:top w:val="nil"/>
              <w:left w:val="nil"/>
              <w:bottom w:val="single" w:sz="4" w:space="0" w:color="auto"/>
              <w:right w:val="single" w:sz="4" w:space="0" w:color="auto"/>
            </w:tcBorders>
            <w:noWrap/>
            <w:vAlign w:val="center"/>
          </w:tcPr>
          <w:p w14:paraId="62B124AB"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p>
        </w:tc>
        <w:tc>
          <w:tcPr>
            <w:tcW w:w="1564" w:type="dxa"/>
            <w:tcBorders>
              <w:top w:val="nil"/>
              <w:left w:val="nil"/>
              <w:bottom w:val="single" w:sz="4" w:space="0" w:color="auto"/>
              <w:right w:val="single" w:sz="12" w:space="0" w:color="auto"/>
            </w:tcBorders>
            <w:noWrap/>
            <w:vAlign w:val="center"/>
          </w:tcPr>
          <w:p w14:paraId="40D89B73"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平方米</w:t>
            </w:r>
          </w:p>
        </w:tc>
      </w:tr>
      <w:tr w:rsidR="00EF6A0E" w14:paraId="47B5E112" w14:textId="77777777">
        <w:trPr>
          <w:trHeight w:val="360"/>
          <w:jc w:val="center"/>
        </w:trPr>
        <w:tc>
          <w:tcPr>
            <w:tcW w:w="2286" w:type="dxa"/>
            <w:tcBorders>
              <w:top w:val="nil"/>
              <w:left w:val="single" w:sz="12" w:space="0" w:color="auto"/>
              <w:bottom w:val="single" w:sz="12" w:space="0" w:color="auto"/>
              <w:right w:val="single" w:sz="4" w:space="0" w:color="auto"/>
            </w:tcBorders>
            <w:noWrap/>
            <w:vAlign w:val="center"/>
          </w:tcPr>
          <w:p w14:paraId="62B71557"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税费承担</w:t>
            </w:r>
          </w:p>
        </w:tc>
        <w:tc>
          <w:tcPr>
            <w:tcW w:w="1962" w:type="dxa"/>
            <w:tcBorders>
              <w:top w:val="nil"/>
              <w:left w:val="nil"/>
              <w:bottom w:val="single" w:sz="12" w:space="0" w:color="auto"/>
              <w:right w:val="single" w:sz="4" w:space="0" w:color="auto"/>
            </w:tcBorders>
            <w:noWrap/>
            <w:vAlign w:val="center"/>
          </w:tcPr>
          <w:p w14:paraId="24BA95E8"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买方承担</w:t>
            </w:r>
          </w:p>
        </w:tc>
        <w:tc>
          <w:tcPr>
            <w:tcW w:w="1564" w:type="dxa"/>
            <w:tcBorders>
              <w:top w:val="nil"/>
              <w:left w:val="nil"/>
              <w:bottom w:val="single" w:sz="12" w:space="0" w:color="auto"/>
              <w:right w:val="single" w:sz="4" w:space="0" w:color="auto"/>
            </w:tcBorders>
            <w:noWrap/>
            <w:vAlign w:val="center"/>
          </w:tcPr>
          <w:p w14:paraId="25159CF4"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买方承担</w:t>
            </w:r>
          </w:p>
        </w:tc>
        <w:tc>
          <w:tcPr>
            <w:tcW w:w="1564" w:type="dxa"/>
            <w:tcBorders>
              <w:top w:val="nil"/>
              <w:left w:val="nil"/>
              <w:bottom w:val="single" w:sz="12" w:space="0" w:color="auto"/>
              <w:right w:val="single" w:sz="12" w:space="0" w:color="auto"/>
            </w:tcBorders>
            <w:noWrap/>
            <w:vAlign w:val="center"/>
          </w:tcPr>
          <w:p w14:paraId="493314E8" w14:textId="77777777" w:rsidR="00EF6A0E" w:rsidRDefault="00000000">
            <w:pPr>
              <w:widowControl/>
              <w:jc w:val="center"/>
              <w:rPr>
                <w:rFonts w:ascii="宋体" w:hAnsi="宋体" w:cs="宋体"/>
                <w:color w:val="000000"/>
                <w:kern w:val="0"/>
                <w:sz w:val="22"/>
                <w:szCs w:val="22"/>
              </w:rPr>
            </w:pPr>
            <w:r>
              <w:rPr>
                <w:rFonts w:ascii="宋体" w:hAnsi="宋体" w:cs="宋体" w:hint="eastAsia"/>
                <w:color w:val="000000"/>
                <w:kern w:val="0"/>
                <w:sz w:val="22"/>
                <w:szCs w:val="22"/>
              </w:rPr>
              <w:t>买方承担</w:t>
            </w:r>
          </w:p>
        </w:tc>
      </w:tr>
    </w:tbl>
    <w:p w14:paraId="278852BF" w14:textId="77777777" w:rsidR="00EF6A0E" w:rsidRDefault="00000000">
      <w:pPr>
        <w:spacing w:line="440" w:lineRule="exact"/>
        <w:ind w:firstLineChars="200" w:firstLine="520"/>
        <w:rPr>
          <w:rFonts w:eastAsia="仿宋_GB2312"/>
          <w:sz w:val="26"/>
          <w:szCs w:val="26"/>
        </w:rPr>
      </w:pPr>
      <w:r>
        <w:rPr>
          <w:rFonts w:eastAsia="仿宋_GB2312"/>
          <w:sz w:val="26"/>
          <w:szCs w:val="26"/>
        </w:rPr>
        <w:t>3</w:t>
      </w:r>
      <w:r>
        <w:rPr>
          <w:rFonts w:eastAsia="仿宋_GB2312"/>
          <w:sz w:val="26"/>
          <w:szCs w:val="26"/>
        </w:rPr>
        <w:t>、比较因素条件说明</w:t>
      </w:r>
    </w:p>
    <w:p w14:paraId="33DB2FBF"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lastRenderedPageBreak/>
        <w:t>通过对房地产市场的分析，根据住宅用房的主要影响因素确定比较因素。结合估价师收集的资料，参照交易实例的交易情况、市场状况、区域、实物及权益状况等差异，本次评估选择下列因素作为比较因素。</w:t>
      </w:r>
    </w:p>
    <w:p w14:paraId="7AC37B5D"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3.1</w:t>
      </w:r>
      <w:r>
        <w:rPr>
          <w:rFonts w:eastAsia="仿宋_GB2312" w:hint="eastAsia"/>
          <w:sz w:val="26"/>
          <w:szCs w:val="26"/>
        </w:rPr>
        <w:t>交易情况修正：使可比实例的非正常成交价格成为正常价格的处理。</w:t>
      </w:r>
    </w:p>
    <w:p w14:paraId="38609BD7"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3.2</w:t>
      </w:r>
      <w:r>
        <w:rPr>
          <w:rFonts w:eastAsia="仿宋_GB2312" w:hint="eastAsia"/>
          <w:sz w:val="26"/>
          <w:szCs w:val="26"/>
        </w:rPr>
        <w:t>市场状况调整：使可比实例在其成交日期的价格成为在价值时点的价格的处理。</w:t>
      </w:r>
    </w:p>
    <w:p w14:paraId="6D476716"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3.3</w:t>
      </w:r>
      <w:r>
        <w:rPr>
          <w:rFonts w:eastAsia="仿宋_GB2312" w:hint="eastAsia"/>
          <w:sz w:val="26"/>
          <w:szCs w:val="26"/>
        </w:rPr>
        <w:t>房地产状况调整：使可比实例在自身状况下的价格成为在估价对象状况下的价格的处理。包括区位状况调整，实物状况调整和权益状况调整。</w:t>
      </w:r>
    </w:p>
    <w:p w14:paraId="674AAAFB" w14:textId="77777777" w:rsidR="00EF6A0E" w:rsidRDefault="00000000">
      <w:pPr>
        <w:spacing w:line="440" w:lineRule="exact"/>
        <w:ind w:firstLineChars="200" w:firstLine="520"/>
        <w:rPr>
          <w:rFonts w:eastAsia="仿宋_GB2312"/>
          <w:sz w:val="26"/>
          <w:szCs w:val="26"/>
        </w:rPr>
      </w:pPr>
      <w:r>
        <w:rPr>
          <w:rFonts w:eastAsia="仿宋_GB2312"/>
          <w:sz w:val="26"/>
          <w:szCs w:val="26"/>
        </w:rPr>
        <w:t>根据选取的可比实例，重点分析影响房地产价格的主要因素，编制比较因素条件说明表：</w:t>
      </w:r>
    </w:p>
    <w:tbl>
      <w:tblPr>
        <w:tblW w:w="9300" w:type="dxa"/>
        <w:jc w:val="center"/>
        <w:tblLook w:val="04A0" w:firstRow="1" w:lastRow="0" w:firstColumn="1" w:lastColumn="0" w:noHBand="0" w:noVBand="1"/>
      </w:tblPr>
      <w:tblGrid>
        <w:gridCol w:w="1080"/>
        <w:gridCol w:w="1080"/>
        <w:gridCol w:w="1080"/>
        <w:gridCol w:w="1515"/>
        <w:gridCol w:w="1515"/>
        <w:gridCol w:w="1515"/>
        <w:gridCol w:w="1515"/>
      </w:tblGrid>
      <w:tr w:rsidR="00EF6A0E" w14:paraId="0A36E0F5" w14:textId="77777777">
        <w:trPr>
          <w:trHeight w:val="285"/>
          <w:jc w:val="center"/>
        </w:trPr>
        <w:tc>
          <w:tcPr>
            <w:tcW w:w="9300" w:type="dxa"/>
            <w:gridSpan w:val="7"/>
            <w:tcBorders>
              <w:top w:val="nil"/>
              <w:left w:val="nil"/>
              <w:bottom w:val="single" w:sz="12" w:space="0" w:color="000000"/>
              <w:right w:val="nil"/>
            </w:tcBorders>
            <w:shd w:val="clear" w:color="auto" w:fill="auto"/>
            <w:noWrap/>
            <w:vAlign w:val="center"/>
          </w:tcPr>
          <w:p w14:paraId="368E3FEB" w14:textId="77777777" w:rsidR="00EF6A0E" w:rsidRDefault="00000000">
            <w:pPr>
              <w:widowControl/>
              <w:jc w:val="center"/>
              <w:textAlignment w:val="center"/>
              <w:rPr>
                <w:rFonts w:ascii="仿宋_GB2312" w:eastAsia="仿宋_GB2312" w:hAnsi="宋体" w:cs="仿宋_GB2312"/>
                <w:b/>
                <w:bCs/>
                <w:color w:val="000000"/>
                <w:sz w:val="23"/>
                <w:szCs w:val="23"/>
              </w:rPr>
            </w:pPr>
            <w:r>
              <w:rPr>
                <w:rFonts w:ascii="仿宋_GB2312" w:eastAsia="仿宋_GB2312" w:hAnsi="宋体" w:cs="仿宋_GB2312"/>
                <w:b/>
                <w:bCs/>
                <w:color w:val="000000"/>
                <w:kern w:val="0"/>
                <w:sz w:val="23"/>
                <w:szCs w:val="23"/>
                <w:lang w:bidi="ar"/>
              </w:rPr>
              <w:t>比较因素条件说明表</w:t>
            </w:r>
          </w:p>
        </w:tc>
      </w:tr>
      <w:tr w:rsidR="00EF6A0E" w14:paraId="181F2396" w14:textId="77777777">
        <w:trPr>
          <w:trHeight w:val="315"/>
          <w:jc w:val="center"/>
        </w:trPr>
        <w:tc>
          <w:tcPr>
            <w:tcW w:w="3240" w:type="dxa"/>
            <w:gridSpan w:val="3"/>
            <w:tcBorders>
              <w:top w:val="single" w:sz="12" w:space="0" w:color="000000"/>
              <w:left w:val="single" w:sz="12" w:space="0" w:color="000000"/>
              <w:bottom w:val="single" w:sz="8" w:space="0" w:color="000000"/>
              <w:right w:val="single" w:sz="8" w:space="0" w:color="000000"/>
            </w:tcBorders>
            <w:shd w:val="clear" w:color="auto" w:fill="auto"/>
            <w:vAlign w:val="center"/>
          </w:tcPr>
          <w:p w14:paraId="7660CE86"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比较因素</w:t>
            </w:r>
          </w:p>
        </w:tc>
        <w:tc>
          <w:tcPr>
            <w:tcW w:w="1515" w:type="dxa"/>
            <w:tcBorders>
              <w:top w:val="single" w:sz="12" w:space="0" w:color="000000"/>
              <w:left w:val="nil"/>
              <w:bottom w:val="single" w:sz="8" w:space="0" w:color="000000"/>
              <w:right w:val="single" w:sz="8" w:space="0" w:color="000000"/>
            </w:tcBorders>
            <w:shd w:val="clear" w:color="auto" w:fill="auto"/>
            <w:vAlign w:val="center"/>
          </w:tcPr>
          <w:p w14:paraId="7ADFDB5E"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估价对象</w:t>
            </w:r>
          </w:p>
        </w:tc>
        <w:tc>
          <w:tcPr>
            <w:tcW w:w="1515" w:type="dxa"/>
            <w:tcBorders>
              <w:top w:val="single" w:sz="12" w:space="0" w:color="000000"/>
              <w:left w:val="nil"/>
              <w:bottom w:val="single" w:sz="8" w:space="0" w:color="000000"/>
              <w:right w:val="single" w:sz="8" w:space="0" w:color="000000"/>
            </w:tcBorders>
            <w:shd w:val="clear" w:color="auto" w:fill="auto"/>
            <w:vAlign w:val="center"/>
          </w:tcPr>
          <w:p w14:paraId="78EFAC8A"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A</w:t>
            </w:r>
          </w:p>
        </w:tc>
        <w:tc>
          <w:tcPr>
            <w:tcW w:w="1515" w:type="dxa"/>
            <w:tcBorders>
              <w:top w:val="single" w:sz="12" w:space="0" w:color="000000"/>
              <w:left w:val="nil"/>
              <w:bottom w:val="single" w:sz="8" w:space="0" w:color="000000"/>
              <w:right w:val="single" w:sz="8" w:space="0" w:color="000000"/>
            </w:tcBorders>
            <w:shd w:val="clear" w:color="auto" w:fill="auto"/>
            <w:vAlign w:val="center"/>
          </w:tcPr>
          <w:p w14:paraId="1DBB3307"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B</w:t>
            </w:r>
          </w:p>
        </w:tc>
        <w:tc>
          <w:tcPr>
            <w:tcW w:w="1515" w:type="dxa"/>
            <w:tcBorders>
              <w:top w:val="single" w:sz="12" w:space="0" w:color="000000"/>
              <w:left w:val="nil"/>
              <w:bottom w:val="single" w:sz="8" w:space="0" w:color="000000"/>
              <w:right w:val="single" w:sz="12" w:space="0" w:color="000000"/>
            </w:tcBorders>
            <w:shd w:val="clear" w:color="auto" w:fill="auto"/>
            <w:vAlign w:val="center"/>
          </w:tcPr>
          <w:p w14:paraId="31A167FD"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C</w:t>
            </w:r>
          </w:p>
        </w:tc>
      </w:tr>
      <w:tr w:rsidR="00EF6A0E" w14:paraId="0386C1FC" w14:textId="77777777">
        <w:trPr>
          <w:trHeight w:val="285"/>
          <w:jc w:val="center"/>
        </w:trPr>
        <w:tc>
          <w:tcPr>
            <w:tcW w:w="3240" w:type="dxa"/>
            <w:gridSpan w:val="3"/>
            <w:tcBorders>
              <w:top w:val="single" w:sz="8" w:space="0" w:color="000000"/>
              <w:left w:val="single" w:sz="12" w:space="0" w:color="000000"/>
              <w:bottom w:val="single" w:sz="8" w:space="0" w:color="000000"/>
              <w:right w:val="single" w:sz="8" w:space="0" w:color="000000"/>
            </w:tcBorders>
            <w:shd w:val="clear" w:color="auto" w:fill="auto"/>
            <w:vAlign w:val="center"/>
          </w:tcPr>
          <w:p w14:paraId="7DA500B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房地产名称</w:t>
            </w:r>
          </w:p>
        </w:tc>
        <w:tc>
          <w:tcPr>
            <w:tcW w:w="1515" w:type="dxa"/>
            <w:tcBorders>
              <w:top w:val="nil"/>
              <w:left w:val="nil"/>
              <w:bottom w:val="single" w:sz="8" w:space="0" w:color="000000"/>
              <w:right w:val="single" w:sz="8" w:space="0" w:color="000000"/>
            </w:tcBorders>
            <w:shd w:val="clear" w:color="auto" w:fill="auto"/>
            <w:vAlign w:val="center"/>
          </w:tcPr>
          <w:p w14:paraId="3E185FEA" w14:textId="4343814D" w:rsidR="00EF6A0E" w:rsidRDefault="00907E5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玉清苑</w:t>
            </w:r>
          </w:p>
        </w:tc>
        <w:tc>
          <w:tcPr>
            <w:tcW w:w="1515" w:type="dxa"/>
            <w:tcBorders>
              <w:top w:val="nil"/>
              <w:left w:val="nil"/>
              <w:bottom w:val="single" w:sz="8" w:space="0" w:color="000000"/>
              <w:right w:val="single" w:sz="8" w:space="0" w:color="000000"/>
            </w:tcBorders>
            <w:shd w:val="clear" w:color="auto" w:fill="auto"/>
            <w:vAlign w:val="center"/>
          </w:tcPr>
          <w:p w14:paraId="48247723" w14:textId="2C1D13F9" w:rsidR="00EF6A0E" w:rsidRDefault="00DA1179">
            <w:pPr>
              <w:widowControl/>
              <w:jc w:val="center"/>
              <w:textAlignment w:val="center"/>
              <w:rPr>
                <w:rFonts w:ascii="宋体" w:hAnsi="宋体" w:cs="宋体"/>
                <w:color w:val="000000"/>
                <w:sz w:val="22"/>
                <w:szCs w:val="22"/>
              </w:rPr>
            </w:pPr>
            <w:r>
              <w:rPr>
                <w:rFonts w:ascii="宋体" w:hAnsi="宋体" w:cs="宋体" w:hint="eastAsia"/>
                <w:color w:val="000000"/>
                <w:sz w:val="22"/>
                <w:szCs w:val="22"/>
              </w:rPr>
              <w:t>长兴花园</w:t>
            </w:r>
          </w:p>
        </w:tc>
        <w:tc>
          <w:tcPr>
            <w:tcW w:w="1515" w:type="dxa"/>
            <w:tcBorders>
              <w:top w:val="nil"/>
              <w:left w:val="nil"/>
              <w:bottom w:val="single" w:sz="8" w:space="0" w:color="000000"/>
              <w:right w:val="single" w:sz="8" w:space="0" w:color="000000"/>
            </w:tcBorders>
            <w:shd w:val="clear" w:color="auto" w:fill="auto"/>
            <w:vAlign w:val="center"/>
          </w:tcPr>
          <w:p w14:paraId="39FB5F78" w14:textId="7DB31E5B" w:rsidR="00EF6A0E" w:rsidRDefault="00DA117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长兴花园</w:t>
            </w:r>
          </w:p>
        </w:tc>
        <w:tc>
          <w:tcPr>
            <w:tcW w:w="1515" w:type="dxa"/>
            <w:tcBorders>
              <w:top w:val="nil"/>
              <w:left w:val="nil"/>
              <w:bottom w:val="single" w:sz="8" w:space="0" w:color="000000"/>
              <w:right w:val="single" w:sz="8" w:space="0" w:color="000000"/>
            </w:tcBorders>
            <w:shd w:val="clear" w:color="auto" w:fill="auto"/>
            <w:vAlign w:val="center"/>
          </w:tcPr>
          <w:p w14:paraId="7B8A4BB1" w14:textId="76A8A278" w:rsidR="00EF6A0E" w:rsidRDefault="00623FF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锦绣都会</w:t>
            </w:r>
          </w:p>
        </w:tc>
      </w:tr>
      <w:tr w:rsidR="00EF6A0E" w14:paraId="53AADA95" w14:textId="77777777">
        <w:trPr>
          <w:trHeight w:val="285"/>
          <w:jc w:val="center"/>
        </w:trPr>
        <w:tc>
          <w:tcPr>
            <w:tcW w:w="3240" w:type="dxa"/>
            <w:gridSpan w:val="3"/>
            <w:tcBorders>
              <w:top w:val="single" w:sz="8" w:space="0" w:color="000000"/>
              <w:left w:val="single" w:sz="12" w:space="0" w:color="000000"/>
              <w:bottom w:val="single" w:sz="8" w:space="0" w:color="000000"/>
              <w:right w:val="single" w:sz="8" w:space="0" w:color="000000"/>
            </w:tcBorders>
            <w:shd w:val="clear" w:color="auto" w:fill="auto"/>
            <w:vAlign w:val="center"/>
          </w:tcPr>
          <w:p w14:paraId="63CC9D9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用途</w:t>
            </w:r>
          </w:p>
        </w:tc>
        <w:tc>
          <w:tcPr>
            <w:tcW w:w="1515" w:type="dxa"/>
            <w:tcBorders>
              <w:top w:val="nil"/>
              <w:left w:val="nil"/>
              <w:bottom w:val="single" w:sz="8" w:space="0" w:color="000000"/>
              <w:right w:val="single" w:sz="8" w:space="0" w:color="000000"/>
            </w:tcBorders>
            <w:shd w:val="clear" w:color="auto" w:fill="auto"/>
            <w:vAlign w:val="center"/>
          </w:tcPr>
          <w:p w14:paraId="3BC76B4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住宅</w:t>
            </w:r>
          </w:p>
        </w:tc>
        <w:tc>
          <w:tcPr>
            <w:tcW w:w="1515" w:type="dxa"/>
            <w:tcBorders>
              <w:top w:val="nil"/>
              <w:left w:val="nil"/>
              <w:bottom w:val="single" w:sz="8" w:space="0" w:color="000000"/>
              <w:right w:val="single" w:sz="8" w:space="0" w:color="000000"/>
            </w:tcBorders>
            <w:shd w:val="clear" w:color="auto" w:fill="auto"/>
            <w:vAlign w:val="center"/>
          </w:tcPr>
          <w:p w14:paraId="6C6C259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住宅</w:t>
            </w:r>
          </w:p>
        </w:tc>
        <w:tc>
          <w:tcPr>
            <w:tcW w:w="1515" w:type="dxa"/>
            <w:tcBorders>
              <w:top w:val="nil"/>
              <w:left w:val="nil"/>
              <w:bottom w:val="single" w:sz="8" w:space="0" w:color="000000"/>
              <w:right w:val="single" w:sz="8" w:space="0" w:color="000000"/>
            </w:tcBorders>
            <w:shd w:val="clear" w:color="auto" w:fill="auto"/>
            <w:vAlign w:val="center"/>
          </w:tcPr>
          <w:p w14:paraId="0BEAE9A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住宅</w:t>
            </w:r>
          </w:p>
        </w:tc>
        <w:tc>
          <w:tcPr>
            <w:tcW w:w="1515" w:type="dxa"/>
            <w:tcBorders>
              <w:top w:val="nil"/>
              <w:left w:val="nil"/>
              <w:bottom w:val="single" w:sz="8" w:space="0" w:color="000000"/>
              <w:right w:val="single" w:sz="12" w:space="0" w:color="000000"/>
            </w:tcBorders>
            <w:shd w:val="clear" w:color="auto" w:fill="auto"/>
            <w:vAlign w:val="center"/>
          </w:tcPr>
          <w:p w14:paraId="4E1340D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住宅</w:t>
            </w:r>
          </w:p>
        </w:tc>
      </w:tr>
      <w:tr w:rsidR="00EF6A0E" w14:paraId="10BCF2D5" w14:textId="77777777" w:rsidTr="00E5354B">
        <w:trPr>
          <w:trHeight w:val="265"/>
          <w:jc w:val="center"/>
        </w:trPr>
        <w:tc>
          <w:tcPr>
            <w:tcW w:w="3240" w:type="dxa"/>
            <w:gridSpan w:val="3"/>
            <w:tcBorders>
              <w:top w:val="single" w:sz="8" w:space="0" w:color="000000"/>
              <w:left w:val="single" w:sz="12" w:space="0" w:color="000000"/>
              <w:bottom w:val="single" w:sz="8" w:space="0" w:color="000000"/>
              <w:right w:val="single" w:sz="8" w:space="0" w:color="000000"/>
            </w:tcBorders>
            <w:shd w:val="clear" w:color="auto" w:fill="auto"/>
            <w:vAlign w:val="center"/>
          </w:tcPr>
          <w:p w14:paraId="5C90709A" w14:textId="77777777" w:rsidR="00EF6A0E" w:rsidRDefault="00000000">
            <w:pPr>
              <w:widowControl/>
              <w:jc w:val="center"/>
              <w:textAlignment w:val="center"/>
              <w:rPr>
                <w:rFonts w:ascii="宋体" w:hAnsi="宋体" w:cs="宋体"/>
                <w:color w:val="000000"/>
                <w:sz w:val="22"/>
                <w:szCs w:val="22"/>
              </w:rPr>
            </w:pPr>
            <w:r w:rsidRPr="00481089">
              <w:rPr>
                <w:rFonts w:ascii="宋体" w:hAnsi="宋体" w:cs="宋体" w:hint="eastAsia"/>
                <w:kern w:val="0"/>
                <w:sz w:val="22"/>
                <w:szCs w:val="22"/>
                <w:lang w:bidi="ar"/>
              </w:rPr>
              <w:t>单价（元）</w:t>
            </w:r>
          </w:p>
        </w:tc>
        <w:tc>
          <w:tcPr>
            <w:tcW w:w="1515" w:type="dxa"/>
            <w:tcBorders>
              <w:top w:val="nil"/>
              <w:left w:val="nil"/>
              <w:bottom w:val="single" w:sz="8" w:space="0" w:color="000000"/>
              <w:right w:val="single" w:sz="8" w:space="0" w:color="000000"/>
            </w:tcBorders>
            <w:shd w:val="clear" w:color="auto" w:fill="auto"/>
            <w:vAlign w:val="center"/>
          </w:tcPr>
          <w:p w14:paraId="2C3CA20F" w14:textId="77777777" w:rsidR="00EF6A0E" w:rsidRDefault="00000000">
            <w:pPr>
              <w:widowControl/>
              <w:jc w:val="center"/>
              <w:textAlignment w:val="center"/>
              <w:rPr>
                <w:color w:val="000000"/>
                <w:sz w:val="22"/>
                <w:szCs w:val="22"/>
              </w:rPr>
            </w:pPr>
            <w:r>
              <w:rPr>
                <w:color w:val="000000"/>
                <w:kern w:val="0"/>
                <w:sz w:val="22"/>
                <w:szCs w:val="22"/>
                <w:lang w:bidi="ar"/>
              </w:rPr>
              <w:t>----</w:t>
            </w:r>
          </w:p>
        </w:tc>
        <w:tc>
          <w:tcPr>
            <w:tcW w:w="1515" w:type="dxa"/>
            <w:tcBorders>
              <w:top w:val="nil"/>
              <w:left w:val="nil"/>
              <w:bottom w:val="single" w:sz="8" w:space="0" w:color="000000"/>
              <w:right w:val="single" w:sz="8" w:space="0" w:color="000000"/>
            </w:tcBorders>
            <w:shd w:val="clear" w:color="auto" w:fill="auto"/>
            <w:vAlign w:val="center"/>
          </w:tcPr>
          <w:p w14:paraId="2D21D252" w14:textId="74EB0134" w:rsidR="00EF6A0E" w:rsidRDefault="00DA1179">
            <w:pPr>
              <w:widowControl/>
              <w:jc w:val="center"/>
              <w:textAlignment w:val="center"/>
              <w:rPr>
                <w:color w:val="000000"/>
                <w:sz w:val="22"/>
                <w:szCs w:val="22"/>
              </w:rPr>
            </w:pPr>
            <w:r>
              <w:rPr>
                <w:color w:val="000000"/>
                <w:kern w:val="0"/>
                <w:sz w:val="22"/>
                <w:szCs w:val="22"/>
                <w:lang w:bidi="ar"/>
              </w:rPr>
              <w:t>3730</w:t>
            </w:r>
          </w:p>
        </w:tc>
        <w:tc>
          <w:tcPr>
            <w:tcW w:w="1515" w:type="dxa"/>
            <w:tcBorders>
              <w:top w:val="nil"/>
              <w:left w:val="nil"/>
              <w:bottom w:val="single" w:sz="8" w:space="0" w:color="000000"/>
              <w:right w:val="single" w:sz="8" w:space="0" w:color="000000"/>
            </w:tcBorders>
            <w:shd w:val="clear" w:color="auto" w:fill="auto"/>
            <w:vAlign w:val="center"/>
          </w:tcPr>
          <w:p w14:paraId="058E6876" w14:textId="7F3E8971" w:rsidR="00EF6A0E" w:rsidRDefault="00DA1179">
            <w:pPr>
              <w:widowControl/>
              <w:jc w:val="center"/>
              <w:textAlignment w:val="center"/>
              <w:rPr>
                <w:color w:val="000000"/>
                <w:sz w:val="22"/>
                <w:szCs w:val="22"/>
              </w:rPr>
            </w:pPr>
            <w:r>
              <w:rPr>
                <w:color w:val="000000"/>
                <w:kern w:val="0"/>
                <w:sz w:val="22"/>
                <w:szCs w:val="22"/>
                <w:lang w:bidi="ar"/>
              </w:rPr>
              <w:t>3284</w:t>
            </w:r>
          </w:p>
        </w:tc>
        <w:tc>
          <w:tcPr>
            <w:tcW w:w="1515" w:type="dxa"/>
            <w:tcBorders>
              <w:top w:val="nil"/>
              <w:left w:val="nil"/>
              <w:bottom w:val="single" w:sz="8" w:space="0" w:color="000000"/>
              <w:right w:val="single" w:sz="12" w:space="0" w:color="000000"/>
            </w:tcBorders>
            <w:shd w:val="clear" w:color="auto" w:fill="auto"/>
            <w:vAlign w:val="center"/>
          </w:tcPr>
          <w:p w14:paraId="434A3415" w14:textId="1652D835" w:rsidR="00EF6A0E" w:rsidRDefault="00623FF0">
            <w:pPr>
              <w:widowControl/>
              <w:jc w:val="center"/>
              <w:textAlignment w:val="center"/>
              <w:rPr>
                <w:color w:val="000000"/>
                <w:sz w:val="22"/>
                <w:szCs w:val="22"/>
              </w:rPr>
            </w:pPr>
            <w:r>
              <w:rPr>
                <w:color w:val="000000"/>
                <w:kern w:val="0"/>
                <w:sz w:val="22"/>
                <w:szCs w:val="22"/>
                <w:lang w:bidi="ar"/>
              </w:rPr>
              <w:t>4404</w:t>
            </w:r>
          </w:p>
        </w:tc>
      </w:tr>
      <w:tr w:rsidR="00EF6A0E" w14:paraId="240C9EA1" w14:textId="77777777">
        <w:trPr>
          <w:trHeight w:val="285"/>
          <w:jc w:val="center"/>
        </w:trPr>
        <w:tc>
          <w:tcPr>
            <w:tcW w:w="3240" w:type="dxa"/>
            <w:gridSpan w:val="3"/>
            <w:tcBorders>
              <w:top w:val="single" w:sz="8" w:space="0" w:color="000000"/>
              <w:left w:val="single" w:sz="12" w:space="0" w:color="000000"/>
              <w:bottom w:val="single" w:sz="8" w:space="0" w:color="000000"/>
              <w:right w:val="single" w:sz="8" w:space="0" w:color="000000"/>
            </w:tcBorders>
            <w:shd w:val="clear" w:color="auto" w:fill="auto"/>
            <w:vAlign w:val="center"/>
          </w:tcPr>
          <w:p w14:paraId="3BBC89C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交易情况</w:t>
            </w:r>
          </w:p>
        </w:tc>
        <w:tc>
          <w:tcPr>
            <w:tcW w:w="1515" w:type="dxa"/>
            <w:tcBorders>
              <w:top w:val="nil"/>
              <w:left w:val="nil"/>
              <w:bottom w:val="single" w:sz="8" w:space="0" w:color="000000"/>
              <w:right w:val="single" w:sz="8" w:space="0" w:color="000000"/>
            </w:tcBorders>
            <w:shd w:val="clear" w:color="auto" w:fill="auto"/>
            <w:vAlign w:val="center"/>
          </w:tcPr>
          <w:p w14:paraId="4AFD89A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正常</w:t>
            </w:r>
          </w:p>
        </w:tc>
        <w:tc>
          <w:tcPr>
            <w:tcW w:w="1515" w:type="dxa"/>
            <w:tcBorders>
              <w:top w:val="nil"/>
              <w:left w:val="nil"/>
              <w:bottom w:val="single" w:sz="8" w:space="0" w:color="000000"/>
              <w:right w:val="single" w:sz="8" w:space="0" w:color="000000"/>
            </w:tcBorders>
            <w:shd w:val="clear" w:color="auto" w:fill="auto"/>
            <w:vAlign w:val="center"/>
          </w:tcPr>
          <w:p w14:paraId="7B97A68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正常</w:t>
            </w:r>
          </w:p>
        </w:tc>
        <w:tc>
          <w:tcPr>
            <w:tcW w:w="1515" w:type="dxa"/>
            <w:tcBorders>
              <w:top w:val="nil"/>
              <w:left w:val="nil"/>
              <w:bottom w:val="single" w:sz="8" w:space="0" w:color="000000"/>
              <w:right w:val="single" w:sz="8" w:space="0" w:color="000000"/>
            </w:tcBorders>
            <w:shd w:val="clear" w:color="auto" w:fill="auto"/>
            <w:vAlign w:val="center"/>
          </w:tcPr>
          <w:p w14:paraId="03DBC25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正常</w:t>
            </w:r>
          </w:p>
        </w:tc>
        <w:tc>
          <w:tcPr>
            <w:tcW w:w="1515" w:type="dxa"/>
            <w:tcBorders>
              <w:top w:val="nil"/>
              <w:left w:val="nil"/>
              <w:bottom w:val="single" w:sz="8" w:space="0" w:color="000000"/>
              <w:right w:val="single" w:sz="12" w:space="0" w:color="000000"/>
            </w:tcBorders>
            <w:shd w:val="clear" w:color="auto" w:fill="auto"/>
            <w:vAlign w:val="center"/>
          </w:tcPr>
          <w:p w14:paraId="20BA3EE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正常</w:t>
            </w:r>
          </w:p>
        </w:tc>
      </w:tr>
      <w:tr w:rsidR="00EF6A0E" w14:paraId="0A4465B4" w14:textId="77777777">
        <w:trPr>
          <w:trHeight w:val="315"/>
          <w:jc w:val="center"/>
        </w:trPr>
        <w:tc>
          <w:tcPr>
            <w:tcW w:w="3240" w:type="dxa"/>
            <w:gridSpan w:val="3"/>
            <w:tcBorders>
              <w:top w:val="single" w:sz="8" w:space="0" w:color="000000"/>
              <w:left w:val="single" w:sz="12" w:space="0" w:color="000000"/>
              <w:bottom w:val="single" w:sz="8" w:space="0" w:color="000000"/>
              <w:right w:val="single" w:sz="8" w:space="0" w:color="000000"/>
            </w:tcBorders>
            <w:shd w:val="clear" w:color="auto" w:fill="auto"/>
            <w:vAlign w:val="center"/>
          </w:tcPr>
          <w:p w14:paraId="132E577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市场状况</w:t>
            </w:r>
          </w:p>
        </w:tc>
        <w:tc>
          <w:tcPr>
            <w:tcW w:w="1515" w:type="dxa"/>
            <w:tcBorders>
              <w:top w:val="nil"/>
              <w:left w:val="nil"/>
              <w:bottom w:val="single" w:sz="8" w:space="0" w:color="000000"/>
              <w:right w:val="single" w:sz="8" w:space="0" w:color="000000"/>
            </w:tcBorders>
            <w:shd w:val="clear" w:color="auto" w:fill="auto"/>
            <w:vAlign w:val="center"/>
          </w:tcPr>
          <w:p w14:paraId="73DF1772" w14:textId="77777777" w:rsidR="00EF6A0E" w:rsidRDefault="00000000">
            <w:pPr>
              <w:widowControl/>
              <w:jc w:val="center"/>
              <w:textAlignment w:val="center"/>
              <w:rPr>
                <w:color w:val="000000"/>
                <w:sz w:val="22"/>
                <w:szCs w:val="22"/>
              </w:rPr>
            </w:pPr>
            <w:r>
              <w:rPr>
                <w:color w:val="000000"/>
                <w:kern w:val="0"/>
                <w:sz w:val="22"/>
                <w:szCs w:val="22"/>
                <w:lang w:bidi="ar"/>
              </w:rPr>
              <w:t>----</w:t>
            </w:r>
          </w:p>
        </w:tc>
        <w:tc>
          <w:tcPr>
            <w:tcW w:w="1515" w:type="dxa"/>
            <w:tcBorders>
              <w:top w:val="nil"/>
              <w:left w:val="nil"/>
              <w:bottom w:val="single" w:sz="8" w:space="0" w:color="000000"/>
              <w:right w:val="single" w:sz="8" w:space="0" w:color="000000"/>
            </w:tcBorders>
            <w:shd w:val="clear" w:color="auto" w:fill="auto"/>
            <w:vAlign w:val="center"/>
          </w:tcPr>
          <w:p w14:paraId="509363BA" w14:textId="77777777" w:rsidR="00EF6A0E" w:rsidRDefault="00000000">
            <w:pPr>
              <w:widowControl/>
              <w:jc w:val="center"/>
              <w:textAlignment w:val="center"/>
              <w:rPr>
                <w:color w:val="000000"/>
                <w:sz w:val="22"/>
                <w:szCs w:val="22"/>
              </w:rPr>
            </w:pPr>
            <w:r>
              <w:rPr>
                <w:color w:val="000000"/>
                <w:kern w:val="0"/>
                <w:sz w:val="22"/>
                <w:szCs w:val="22"/>
                <w:lang w:bidi="ar"/>
              </w:rPr>
              <w:t>2022.1</w:t>
            </w:r>
          </w:p>
        </w:tc>
        <w:tc>
          <w:tcPr>
            <w:tcW w:w="1515" w:type="dxa"/>
            <w:tcBorders>
              <w:top w:val="nil"/>
              <w:left w:val="nil"/>
              <w:bottom w:val="single" w:sz="8" w:space="0" w:color="000000"/>
              <w:right w:val="single" w:sz="8" w:space="0" w:color="000000"/>
            </w:tcBorders>
            <w:shd w:val="clear" w:color="auto" w:fill="auto"/>
            <w:vAlign w:val="center"/>
          </w:tcPr>
          <w:p w14:paraId="4165C564" w14:textId="77777777" w:rsidR="00EF6A0E" w:rsidRDefault="00000000">
            <w:pPr>
              <w:widowControl/>
              <w:jc w:val="center"/>
              <w:textAlignment w:val="center"/>
              <w:rPr>
                <w:color w:val="000000"/>
                <w:sz w:val="22"/>
                <w:szCs w:val="22"/>
              </w:rPr>
            </w:pPr>
            <w:r>
              <w:rPr>
                <w:color w:val="000000"/>
                <w:kern w:val="0"/>
                <w:sz w:val="22"/>
                <w:szCs w:val="22"/>
                <w:lang w:bidi="ar"/>
              </w:rPr>
              <w:t>2022.1</w:t>
            </w:r>
          </w:p>
        </w:tc>
        <w:tc>
          <w:tcPr>
            <w:tcW w:w="1515" w:type="dxa"/>
            <w:tcBorders>
              <w:top w:val="nil"/>
              <w:left w:val="nil"/>
              <w:bottom w:val="single" w:sz="8" w:space="0" w:color="000000"/>
              <w:right w:val="single" w:sz="8" w:space="0" w:color="000000"/>
            </w:tcBorders>
            <w:shd w:val="clear" w:color="auto" w:fill="auto"/>
            <w:vAlign w:val="center"/>
          </w:tcPr>
          <w:p w14:paraId="7852599A" w14:textId="77777777" w:rsidR="00EF6A0E" w:rsidRDefault="00000000">
            <w:pPr>
              <w:widowControl/>
              <w:jc w:val="center"/>
              <w:textAlignment w:val="center"/>
              <w:rPr>
                <w:color w:val="000000"/>
                <w:sz w:val="22"/>
                <w:szCs w:val="22"/>
              </w:rPr>
            </w:pPr>
            <w:r>
              <w:rPr>
                <w:color w:val="000000"/>
                <w:kern w:val="0"/>
                <w:sz w:val="22"/>
                <w:szCs w:val="22"/>
                <w:lang w:bidi="ar"/>
              </w:rPr>
              <w:t>2022.1</w:t>
            </w:r>
          </w:p>
        </w:tc>
      </w:tr>
      <w:tr w:rsidR="00EF6A0E" w14:paraId="2E5D578C" w14:textId="77777777">
        <w:trPr>
          <w:trHeight w:val="555"/>
          <w:jc w:val="center"/>
        </w:trPr>
        <w:tc>
          <w:tcPr>
            <w:tcW w:w="1080"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14:paraId="7CFE6E7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区域状况</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E2029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位置状况</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8AF9E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方位及距离</w:t>
            </w:r>
          </w:p>
        </w:tc>
        <w:tc>
          <w:tcPr>
            <w:tcW w:w="1515" w:type="dxa"/>
            <w:tcBorders>
              <w:top w:val="nil"/>
              <w:left w:val="nil"/>
              <w:bottom w:val="single" w:sz="8" w:space="0" w:color="000000"/>
              <w:right w:val="single" w:sz="8" w:space="0" w:color="000000"/>
            </w:tcBorders>
            <w:shd w:val="clear" w:color="auto" w:fill="auto"/>
            <w:vAlign w:val="center"/>
          </w:tcPr>
          <w:p w14:paraId="22A20DF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兴义市北部城区</w:t>
            </w:r>
          </w:p>
        </w:tc>
        <w:tc>
          <w:tcPr>
            <w:tcW w:w="1515" w:type="dxa"/>
            <w:tcBorders>
              <w:top w:val="nil"/>
              <w:left w:val="nil"/>
              <w:bottom w:val="single" w:sz="8" w:space="0" w:color="000000"/>
              <w:right w:val="single" w:sz="8" w:space="0" w:color="000000"/>
            </w:tcBorders>
            <w:shd w:val="clear" w:color="auto" w:fill="auto"/>
            <w:vAlign w:val="center"/>
          </w:tcPr>
          <w:p w14:paraId="3DFE06D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兴义市北部城区</w:t>
            </w:r>
          </w:p>
        </w:tc>
        <w:tc>
          <w:tcPr>
            <w:tcW w:w="1515" w:type="dxa"/>
            <w:tcBorders>
              <w:top w:val="nil"/>
              <w:left w:val="nil"/>
              <w:bottom w:val="single" w:sz="8" w:space="0" w:color="000000"/>
              <w:right w:val="single" w:sz="8" w:space="0" w:color="000000"/>
            </w:tcBorders>
            <w:shd w:val="clear" w:color="auto" w:fill="auto"/>
            <w:vAlign w:val="center"/>
          </w:tcPr>
          <w:p w14:paraId="5559E8C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兴义市北部城区</w:t>
            </w:r>
          </w:p>
        </w:tc>
        <w:tc>
          <w:tcPr>
            <w:tcW w:w="1515" w:type="dxa"/>
            <w:tcBorders>
              <w:top w:val="nil"/>
              <w:left w:val="nil"/>
              <w:bottom w:val="single" w:sz="8" w:space="0" w:color="000000"/>
              <w:right w:val="single" w:sz="12" w:space="0" w:color="000000"/>
            </w:tcBorders>
            <w:shd w:val="clear" w:color="auto" w:fill="auto"/>
            <w:vAlign w:val="center"/>
          </w:tcPr>
          <w:p w14:paraId="7543353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兴义市北部城区</w:t>
            </w:r>
          </w:p>
        </w:tc>
      </w:tr>
      <w:tr w:rsidR="00EF6A0E" w14:paraId="20A6E7DB" w14:textId="77777777">
        <w:trPr>
          <w:trHeight w:val="11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DF4644F"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B90B5C"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F58809" w14:textId="77777777" w:rsidR="00EF6A0E" w:rsidRDefault="00EF6A0E">
            <w:pPr>
              <w:jc w:val="center"/>
              <w:rPr>
                <w:rFonts w:ascii="宋体" w:hAnsi="宋体" w:cs="宋体"/>
                <w:color w:val="000000"/>
                <w:sz w:val="22"/>
                <w:szCs w:val="22"/>
              </w:rPr>
            </w:pPr>
          </w:p>
        </w:tc>
        <w:tc>
          <w:tcPr>
            <w:tcW w:w="1515" w:type="dxa"/>
            <w:tcBorders>
              <w:top w:val="nil"/>
              <w:left w:val="nil"/>
              <w:bottom w:val="single" w:sz="8" w:space="0" w:color="000000"/>
              <w:right w:val="single" w:sz="8" w:space="0" w:color="000000"/>
            </w:tcBorders>
            <w:shd w:val="clear" w:color="auto" w:fill="auto"/>
            <w:vAlign w:val="center"/>
          </w:tcPr>
          <w:p w14:paraId="5270A34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距兴义市北部城区商服中心交通距离约为0.8</w:t>
            </w:r>
            <w:r>
              <w:rPr>
                <w:color w:val="000000"/>
                <w:kern w:val="0"/>
                <w:sz w:val="22"/>
                <w:szCs w:val="22"/>
                <w:lang w:bidi="ar"/>
              </w:rPr>
              <w:t>km</w:t>
            </w:r>
          </w:p>
        </w:tc>
        <w:tc>
          <w:tcPr>
            <w:tcW w:w="1515" w:type="dxa"/>
            <w:tcBorders>
              <w:top w:val="nil"/>
              <w:left w:val="nil"/>
              <w:bottom w:val="single" w:sz="8" w:space="0" w:color="000000"/>
              <w:right w:val="single" w:sz="8" w:space="0" w:color="000000"/>
            </w:tcBorders>
            <w:shd w:val="clear" w:color="auto" w:fill="auto"/>
            <w:vAlign w:val="center"/>
          </w:tcPr>
          <w:p w14:paraId="4634A4B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距兴义市北部城区商服中心交通距离约为0.8km</w:t>
            </w:r>
          </w:p>
        </w:tc>
        <w:tc>
          <w:tcPr>
            <w:tcW w:w="1515" w:type="dxa"/>
            <w:tcBorders>
              <w:top w:val="nil"/>
              <w:left w:val="nil"/>
              <w:bottom w:val="single" w:sz="8" w:space="0" w:color="000000"/>
              <w:right w:val="single" w:sz="8" w:space="0" w:color="000000"/>
            </w:tcBorders>
            <w:shd w:val="clear" w:color="auto" w:fill="auto"/>
            <w:vAlign w:val="center"/>
          </w:tcPr>
          <w:p w14:paraId="6CA117F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距兴义市北部城区商服中心交通距离约为0.8km</w:t>
            </w:r>
          </w:p>
        </w:tc>
        <w:tc>
          <w:tcPr>
            <w:tcW w:w="1515" w:type="dxa"/>
            <w:tcBorders>
              <w:top w:val="nil"/>
              <w:left w:val="nil"/>
              <w:bottom w:val="single" w:sz="8" w:space="0" w:color="000000"/>
              <w:right w:val="single" w:sz="12" w:space="0" w:color="000000"/>
            </w:tcBorders>
            <w:shd w:val="clear" w:color="auto" w:fill="auto"/>
            <w:vAlign w:val="center"/>
          </w:tcPr>
          <w:p w14:paraId="7B20493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距兴义市北部城区商服中心交通距离约为0.8km</w:t>
            </w:r>
          </w:p>
        </w:tc>
      </w:tr>
      <w:tr w:rsidR="00EF6A0E" w14:paraId="6A6BE797"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3E197AAD"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840893"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4E49E56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朝向</w:t>
            </w:r>
          </w:p>
        </w:tc>
        <w:tc>
          <w:tcPr>
            <w:tcW w:w="1515" w:type="dxa"/>
            <w:tcBorders>
              <w:top w:val="nil"/>
              <w:left w:val="nil"/>
              <w:bottom w:val="single" w:sz="8" w:space="0" w:color="000000"/>
              <w:right w:val="single" w:sz="8" w:space="0" w:color="000000"/>
            </w:tcBorders>
            <w:shd w:val="clear" w:color="auto" w:fill="auto"/>
            <w:vAlign w:val="center"/>
          </w:tcPr>
          <w:p w14:paraId="03F2F0A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朝南</w:t>
            </w:r>
          </w:p>
        </w:tc>
        <w:tc>
          <w:tcPr>
            <w:tcW w:w="1515" w:type="dxa"/>
            <w:tcBorders>
              <w:top w:val="nil"/>
              <w:left w:val="nil"/>
              <w:bottom w:val="single" w:sz="8" w:space="0" w:color="000000"/>
              <w:right w:val="single" w:sz="8" w:space="0" w:color="000000"/>
            </w:tcBorders>
            <w:shd w:val="clear" w:color="auto" w:fill="auto"/>
            <w:vAlign w:val="center"/>
          </w:tcPr>
          <w:p w14:paraId="1A06BB5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朝南</w:t>
            </w:r>
          </w:p>
        </w:tc>
        <w:tc>
          <w:tcPr>
            <w:tcW w:w="1515" w:type="dxa"/>
            <w:tcBorders>
              <w:top w:val="nil"/>
              <w:left w:val="nil"/>
              <w:bottom w:val="single" w:sz="8" w:space="0" w:color="000000"/>
              <w:right w:val="single" w:sz="8" w:space="0" w:color="000000"/>
            </w:tcBorders>
            <w:shd w:val="clear" w:color="auto" w:fill="auto"/>
            <w:vAlign w:val="center"/>
          </w:tcPr>
          <w:p w14:paraId="0F4CCFF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朝南</w:t>
            </w:r>
          </w:p>
        </w:tc>
        <w:tc>
          <w:tcPr>
            <w:tcW w:w="1515" w:type="dxa"/>
            <w:tcBorders>
              <w:top w:val="nil"/>
              <w:left w:val="nil"/>
              <w:bottom w:val="single" w:sz="8" w:space="0" w:color="000000"/>
              <w:right w:val="single" w:sz="12" w:space="0" w:color="000000"/>
            </w:tcBorders>
            <w:shd w:val="clear" w:color="auto" w:fill="auto"/>
            <w:vAlign w:val="center"/>
          </w:tcPr>
          <w:p w14:paraId="10D22F4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朝南</w:t>
            </w:r>
          </w:p>
        </w:tc>
      </w:tr>
      <w:tr w:rsidR="00EF6A0E" w14:paraId="2D4FA29C" w14:textId="77777777">
        <w:trPr>
          <w:trHeight w:val="31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8A08C48"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328CBB"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784DD552" w14:textId="77777777" w:rsidR="00EF6A0E" w:rsidRDefault="00000000">
            <w:pPr>
              <w:widowControl/>
              <w:jc w:val="center"/>
              <w:textAlignment w:val="center"/>
              <w:rPr>
                <w:rFonts w:ascii="宋体" w:hAnsi="宋体" w:cs="宋体"/>
                <w:color w:val="000000"/>
                <w:sz w:val="22"/>
                <w:szCs w:val="22"/>
              </w:rPr>
            </w:pPr>
            <w:r w:rsidRPr="00030C94">
              <w:rPr>
                <w:rFonts w:ascii="宋体" w:hAnsi="宋体" w:cs="宋体" w:hint="eastAsia"/>
                <w:color w:val="FF0000"/>
                <w:kern w:val="0"/>
                <w:sz w:val="22"/>
                <w:szCs w:val="22"/>
                <w:lang w:bidi="ar"/>
              </w:rPr>
              <w:t>楼层</w:t>
            </w:r>
          </w:p>
        </w:tc>
        <w:tc>
          <w:tcPr>
            <w:tcW w:w="1515" w:type="dxa"/>
            <w:tcBorders>
              <w:top w:val="nil"/>
              <w:left w:val="nil"/>
              <w:bottom w:val="single" w:sz="8" w:space="0" w:color="000000"/>
              <w:right w:val="single" w:sz="8" w:space="0" w:color="000000"/>
            </w:tcBorders>
            <w:shd w:val="clear" w:color="auto" w:fill="auto"/>
            <w:vAlign w:val="center"/>
          </w:tcPr>
          <w:p w14:paraId="5CFDA080" w14:textId="26829D1E" w:rsidR="00EF6A0E" w:rsidRDefault="00752DCA">
            <w:pPr>
              <w:widowControl/>
              <w:jc w:val="center"/>
              <w:textAlignment w:val="center"/>
              <w:rPr>
                <w:color w:val="000000"/>
                <w:sz w:val="22"/>
                <w:szCs w:val="22"/>
              </w:rPr>
            </w:pPr>
            <w:r>
              <w:rPr>
                <w:rFonts w:hint="eastAsia"/>
                <w:color w:val="000000"/>
                <w:kern w:val="0"/>
                <w:sz w:val="22"/>
                <w:szCs w:val="22"/>
                <w:lang w:bidi="ar"/>
              </w:rPr>
              <w:t>低层</w:t>
            </w:r>
            <w:r w:rsidR="00907E5E">
              <w:rPr>
                <w:color w:val="000000"/>
                <w:kern w:val="0"/>
                <w:sz w:val="22"/>
                <w:szCs w:val="22"/>
                <w:lang w:bidi="ar"/>
              </w:rPr>
              <w:t>/6</w:t>
            </w:r>
          </w:p>
        </w:tc>
        <w:tc>
          <w:tcPr>
            <w:tcW w:w="1515" w:type="dxa"/>
            <w:tcBorders>
              <w:top w:val="nil"/>
              <w:left w:val="nil"/>
              <w:bottom w:val="single" w:sz="8" w:space="0" w:color="000000"/>
              <w:right w:val="single" w:sz="8" w:space="0" w:color="000000"/>
            </w:tcBorders>
            <w:shd w:val="clear" w:color="auto" w:fill="auto"/>
            <w:vAlign w:val="center"/>
          </w:tcPr>
          <w:p w14:paraId="09033621" w14:textId="1C210008" w:rsidR="00EF6A0E" w:rsidRDefault="008E1078">
            <w:pPr>
              <w:widowControl/>
              <w:jc w:val="center"/>
              <w:textAlignment w:val="center"/>
              <w:rPr>
                <w:rFonts w:ascii="宋体" w:hAnsi="宋体" w:cs="宋体"/>
                <w:color w:val="000000"/>
                <w:sz w:val="22"/>
                <w:szCs w:val="22"/>
              </w:rPr>
            </w:pPr>
            <w:r>
              <w:rPr>
                <w:rFonts w:hint="eastAsia"/>
                <w:color w:val="000000"/>
                <w:kern w:val="0"/>
                <w:sz w:val="22"/>
                <w:szCs w:val="22"/>
                <w:lang w:bidi="ar"/>
              </w:rPr>
              <w:t>低层</w:t>
            </w:r>
            <w:r w:rsidR="00623FF0">
              <w:rPr>
                <w:color w:val="000000"/>
                <w:kern w:val="0"/>
                <w:sz w:val="22"/>
                <w:szCs w:val="22"/>
                <w:lang w:bidi="ar"/>
              </w:rPr>
              <w:t>/</w:t>
            </w:r>
            <w:r w:rsidR="00D20997">
              <w:rPr>
                <w:color w:val="000000"/>
                <w:kern w:val="0"/>
                <w:sz w:val="22"/>
                <w:szCs w:val="22"/>
                <w:lang w:bidi="ar"/>
              </w:rPr>
              <w:t>6</w:t>
            </w:r>
          </w:p>
        </w:tc>
        <w:tc>
          <w:tcPr>
            <w:tcW w:w="1515" w:type="dxa"/>
            <w:tcBorders>
              <w:top w:val="nil"/>
              <w:left w:val="nil"/>
              <w:bottom w:val="single" w:sz="8" w:space="0" w:color="000000"/>
              <w:right w:val="single" w:sz="8" w:space="0" w:color="000000"/>
            </w:tcBorders>
            <w:shd w:val="clear" w:color="auto" w:fill="auto"/>
            <w:vAlign w:val="center"/>
          </w:tcPr>
          <w:p w14:paraId="5B404B7B" w14:textId="74C471C9" w:rsidR="00EF6A0E" w:rsidRDefault="008E1078">
            <w:pPr>
              <w:widowControl/>
              <w:jc w:val="center"/>
              <w:textAlignment w:val="center"/>
              <w:rPr>
                <w:rFonts w:ascii="宋体" w:hAnsi="宋体" w:cs="宋体"/>
                <w:color w:val="000000"/>
                <w:sz w:val="22"/>
                <w:szCs w:val="22"/>
              </w:rPr>
            </w:pPr>
            <w:r>
              <w:rPr>
                <w:rFonts w:hint="eastAsia"/>
                <w:color w:val="000000"/>
                <w:kern w:val="0"/>
                <w:sz w:val="22"/>
                <w:szCs w:val="22"/>
                <w:lang w:bidi="ar"/>
              </w:rPr>
              <w:t>低层</w:t>
            </w:r>
            <w:r w:rsidR="00D20997">
              <w:rPr>
                <w:color w:val="000000"/>
                <w:kern w:val="0"/>
                <w:sz w:val="22"/>
                <w:szCs w:val="22"/>
                <w:lang w:bidi="ar"/>
              </w:rPr>
              <w:t>6</w:t>
            </w:r>
          </w:p>
        </w:tc>
        <w:tc>
          <w:tcPr>
            <w:tcW w:w="1515" w:type="dxa"/>
            <w:tcBorders>
              <w:top w:val="nil"/>
              <w:left w:val="nil"/>
              <w:bottom w:val="single" w:sz="8" w:space="0" w:color="000000"/>
              <w:right w:val="single" w:sz="8" w:space="0" w:color="000000"/>
            </w:tcBorders>
            <w:shd w:val="clear" w:color="auto" w:fill="auto"/>
            <w:vAlign w:val="center"/>
          </w:tcPr>
          <w:p w14:paraId="4C9C9010" w14:textId="621DB9D1"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中层</w:t>
            </w:r>
            <w:r>
              <w:rPr>
                <w:color w:val="000000"/>
                <w:kern w:val="0"/>
                <w:sz w:val="22"/>
                <w:szCs w:val="22"/>
                <w:lang w:bidi="ar"/>
              </w:rPr>
              <w:t>/</w:t>
            </w:r>
            <w:r w:rsidR="00D20997">
              <w:rPr>
                <w:color w:val="000000"/>
                <w:kern w:val="0"/>
                <w:sz w:val="22"/>
                <w:szCs w:val="22"/>
                <w:lang w:bidi="ar"/>
              </w:rPr>
              <w:t>6</w:t>
            </w:r>
          </w:p>
        </w:tc>
      </w:tr>
      <w:tr w:rsidR="00EF6A0E" w14:paraId="5FC964A6" w14:textId="77777777">
        <w:trPr>
          <w:trHeight w:val="55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31E0A9E"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28A485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w:t>
            </w:r>
          </w:p>
        </w:tc>
        <w:tc>
          <w:tcPr>
            <w:tcW w:w="1515" w:type="dxa"/>
            <w:tcBorders>
              <w:top w:val="nil"/>
              <w:left w:val="nil"/>
              <w:bottom w:val="single" w:sz="8" w:space="0" w:color="000000"/>
              <w:right w:val="single" w:sz="8" w:space="0" w:color="000000"/>
            </w:tcBorders>
            <w:shd w:val="clear" w:color="auto" w:fill="auto"/>
            <w:vAlign w:val="center"/>
          </w:tcPr>
          <w:p w14:paraId="5E05C52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居住聚集程度较高</w:t>
            </w:r>
          </w:p>
        </w:tc>
        <w:tc>
          <w:tcPr>
            <w:tcW w:w="1515" w:type="dxa"/>
            <w:tcBorders>
              <w:top w:val="nil"/>
              <w:left w:val="nil"/>
              <w:bottom w:val="single" w:sz="8" w:space="0" w:color="000000"/>
              <w:right w:val="single" w:sz="8" w:space="0" w:color="000000"/>
            </w:tcBorders>
            <w:shd w:val="clear" w:color="auto" w:fill="auto"/>
            <w:vAlign w:val="center"/>
          </w:tcPr>
          <w:p w14:paraId="1E699F6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居住聚集程度较高</w:t>
            </w:r>
          </w:p>
        </w:tc>
        <w:tc>
          <w:tcPr>
            <w:tcW w:w="1515" w:type="dxa"/>
            <w:tcBorders>
              <w:top w:val="nil"/>
              <w:left w:val="nil"/>
              <w:bottom w:val="single" w:sz="8" w:space="0" w:color="000000"/>
              <w:right w:val="single" w:sz="8" w:space="0" w:color="000000"/>
            </w:tcBorders>
            <w:shd w:val="clear" w:color="auto" w:fill="auto"/>
            <w:vAlign w:val="center"/>
          </w:tcPr>
          <w:p w14:paraId="5514B5F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居住聚集程度较高</w:t>
            </w:r>
          </w:p>
        </w:tc>
        <w:tc>
          <w:tcPr>
            <w:tcW w:w="1515" w:type="dxa"/>
            <w:tcBorders>
              <w:top w:val="nil"/>
              <w:left w:val="nil"/>
              <w:bottom w:val="single" w:sz="8" w:space="0" w:color="000000"/>
              <w:right w:val="single" w:sz="12" w:space="0" w:color="000000"/>
            </w:tcBorders>
            <w:shd w:val="clear" w:color="auto" w:fill="auto"/>
            <w:vAlign w:val="center"/>
          </w:tcPr>
          <w:p w14:paraId="1694A6A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居住聚集程度较高</w:t>
            </w:r>
          </w:p>
        </w:tc>
      </w:tr>
      <w:tr w:rsidR="00EF6A0E" w14:paraId="4B0770D5" w14:textId="77777777">
        <w:trPr>
          <w:trHeight w:val="8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C271F4D" w14:textId="77777777" w:rsidR="00EF6A0E" w:rsidRDefault="00EF6A0E">
            <w:pPr>
              <w:jc w:val="center"/>
              <w:rPr>
                <w:rFonts w:ascii="宋体" w:hAnsi="宋体" w:cs="宋体"/>
                <w:color w:val="000000"/>
                <w:sz w:val="22"/>
                <w:szCs w:val="22"/>
              </w:rPr>
            </w:pP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3E8B58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交通情况</w:t>
            </w:r>
          </w:p>
        </w:tc>
        <w:tc>
          <w:tcPr>
            <w:tcW w:w="1080" w:type="dxa"/>
            <w:tcBorders>
              <w:top w:val="nil"/>
              <w:left w:val="nil"/>
              <w:bottom w:val="single" w:sz="8" w:space="0" w:color="000000"/>
              <w:right w:val="single" w:sz="8" w:space="0" w:color="000000"/>
            </w:tcBorders>
            <w:shd w:val="clear" w:color="auto" w:fill="auto"/>
            <w:vAlign w:val="center"/>
          </w:tcPr>
          <w:p w14:paraId="6187B1E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道路状况</w:t>
            </w:r>
          </w:p>
        </w:tc>
        <w:tc>
          <w:tcPr>
            <w:tcW w:w="1515" w:type="dxa"/>
            <w:tcBorders>
              <w:top w:val="nil"/>
              <w:left w:val="nil"/>
              <w:bottom w:val="single" w:sz="8" w:space="0" w:color="000000"/>
              <w:right w:val="single" w:sz="8" w:space="0" w:color="000000"/>
            </w:tcBorders>
            <w:shd w:val="clear" w:color="auto" w:fill="auto"/>
            <w:vAlign w:val="center"/>
          </w:tcPr>
          <w:p w14:paraId="2DC028C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主干道为主，次干道为辅，道路状况较优</w:t>
            </w:r>
          </w:p>
        </w:tc>
        <w:tc>
          <w:tcPr>
            <w:tcW w:w="1515" w:type="dxa"/>
            <w:tcBorders>
              <w:top w:val="nil"/>
              <w:left w:val="nil"/>
              <w:bottom w:val="single" w:sz="8" w:space="0" w:color="000000"/>
              <w:right w:val="single" w:sz="8" w:space="0" w:color="000000"/>
            </w:tcBorders>
            <w:shd w:val="clear" w:color="auto" w:fill="auto"/>
            <w:vAlign w:val="center"/>
          </w:tcPr>
          <w:p w14:paraId="3FE8656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主干道为主，次干道为辅，道路状况较优</w:t>
            </w:r>
          </w:p>
        </w:tc>
        <w:tc>
          <w:tcPr>
            <w:tcW w:w="1515" w:type="dxa"/>
            <w:tcBorders>
              <w:top w:val="nil"/>
              <w:left w:val="nil"/>
              <w:bottom w:val="single" w:sz="8" w:space="0" w:color="000000"/>
              <w:right w:val="single" w:sz="8" w:space="0" w:color="000000"/>
            </w:tcBorders>
            <w:shd w:val="clear" w:color="auto" w:fill="auto"/>
            <w:vAlign w:val="center"/>
          </w:tcPr>
          <w:p w14:paraId="518712D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主干道为主，次干道为辅，道路状况较优</w:t>
            </w:r>
          </w:p>
        </w:tc>
        <w:tc>
          <w:tcPr>
            <w:tcW w:w="1515" w:type="dxa"/>
            <w:tcBorders>
              <w:top w:val="nil"/>
              <w:left w:val="nil"/>
              <w:bottom w:val="single" w:sz="8" w:space="0" w:color="000000"/>
              <w:right w:val="single" w:sz="12" w:space="0" w:color="000000"/>
            </w:tcBorders>
            <w:shd w:val="clear" w:color="auto" w:fill="auto"/>
            <w:vAlign w:val="center"/>
          </w:tcPr>
          <w:p w14:paraId="45EA5D3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主干道为主，次干道为辅，道路状况较优</w:t>
            </w:r>
          </w:p>
        </w:tc>
      </w:tr>
      <w:tr w:rsidR="00EF6A0E" w14:paraId="33ECE2D4" w14:textId="77777777">
        <w:trPr>
          <w:trHeight w:val="8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77807165"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8B1D9D"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14FBD57F" w14:textId="77777777" w:rsidR="00EF6A0E" w:rsidRPr="00A47B88" w:rsidRDefault="00000000">
            <w:pPr>
              <w:widowControl/>
              <w:jc w:val="center"/>
              <w:textAlignment w:val="center"/>
              <w:rPr>
                <w:rFonts w:ascii="宋体" w:hAnsi="宋体" w:cs="宋体"/>
                <w:color w:val="FF0000"/>
                <w:sz w:val="22"/>
                <w:szCs w:val="22"/>
              </w:rPr>
            </w:pPr>
            <w:r w:rsidRPr="00220C55">
              <w:rPr>
                <w:rFonts w:ascii="宋体" w:hAnsi="宋体" w:cs="宋体" w:hint="eastAsia"/>
                <w:color w:val="000000" w:themeColor="text1"/>
                <w:kern w:val="0"/>
                <w:sz w:val="22"/>
                <w:szCs w:val="22"/>
                <w:lang w:bidi="ar"/>
              </w:rPr>
              <w:t>出入可利用交通工具</w:t>
            </w:r>
          </w:p>
        </w:tc>
        <w:tc>
          <w:tcPr>
            <w:tcW w:w="1515" w:type="dxa"/>
            <w:tcBorders>
              <w:top w:val="nil"/>
              <w:left w:val="nil"/>
              <w:bottom w:val="single" w:sz="8" w:space="0" w:color="000000"/>
              <w:right w:val="single" w:sz="8" w:space="0" w:color="000000"/>
            </w:tcBorders>
            <w:shd w:val="clear" w:color="auto" w:fill="auto"/>
            <w:vAlign w:val="center"/>
          </w:tcPr>
          <w:p w14:paraId="1C3A2B3A" w14:textId="1EE4060E"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w:t>
            </w:r>
            <w:r w:rsidR="00262BA9">
              <w:rPr>
                <w:rFonts w:ascii="宋体" w:hAnsi="宋体" w:cs="宋体" w:hint="eastAsia"/>
                <w:color w:val="000000"/>
                <w:kern w:val="0"/>
                <w:sz w:val="22"/>
                <w:szCs w:val="22"/>
                <w:lang w:bidi="ar"/>
              </w:rPr>
              <w:t>2</w:t>
            </w:r>
            <w:r>
              <w:rPr>
                <w:rFonts w:ascii="宋体" w:hAnsi="宋体" w:cs="宋体" w:hint="eastAsia"/>
                <w:color w:val="000000"/>
                <w:kern w:val="0"/>
                <w:sz w:val="22"/>
                <w:szCs w:val="22"/>
                <w:lang w:bidi="ar"/>
              </w:rPr>
              <w:t>条以上公交线路</w:t>
            </w:r>
          </w:p>
        </w:tc>
        <w:tc>
          <w:tcPr>
            <w:tcW w:w="1515" w:type="dxa"/>
            <w:tcBorders>
              <w:top w:val="nil"/>
              <w:left w:val="nil"/>
              <w:bottom w:val="single" w:sz="8" w:space="0" w:color="000000"/>
              <w:right w:val="single" w:sz="8" w:space="0" w:color="000000"/>
            </w:tcBorders>
            <w:shd w:val="clear" w:color="auto" w:fill="auto"/>
            <w:vAlign w:val="center"/>
          </w:tcPr>
          <w:p w14:paraId="7E990B7C" w14:textId="39128C04"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w:t>
            </w:r>
            <w:r w:rsidR="00262BA9">
              <w:rPr>
                <w:rFonts w:ascii="宋体" w:hAnsi="宋体" w:cs="宋体" w:hint="eastAsia"/>
                <w:color w:val="000000"/>
                <w:kern w:val="0"/>
                <w:sz w:val="22"/>
                <w:szCs w:val="22"/>
                <w:lang w:bidi="ar"/>
              </w:rPr>
              <w:t>2</w:t>
            </w:r>
            <w:r>
              <w:rPr>
                <w:rFonts w:ascii="宋体" w:hAnsi="宋体" w:cs="宋体" w:hint="eastAsia"/>
                <w:color w:val="000000"/>
                <w:kern w:val="0"/>
                <w:sz w:val="22"/>
                <w:szCs w:val="22"/>
                <w:lang w:bidi="ar"/>
              </w:rPr>
              <w:t>条以上公交线路</w:t>
            </w:r>
          </w:p>
        </w:tc>
        <w:tc>
          <w:tcPr>
            <w:tcW w:w="1515" w:type="dxa"/>
            <w:tcBorders>
              <w:top w:val="nil"/>
              <w:left w:val="nil"/>
              <w:bottom w:val="single" w:sz="8" w:space="0" w:color="000000"/>
              <w:right w:val="single" w:sz="8" w:space="0" w:color="000000"/>
            </w:tcBorders>
            <w:shd w:val="clear" w:color="auto" w:fill="auto"/>
            <w:vAlign w:val="center"/>
          </w:tcPr>
          <w:p w14:paraId="505A95D2" w14:textId="0919152B"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w:t>
            </w:r>
            <w:r w:rsidR="008C34B6">
              <w:rPr>
                <w:rFonts w:ascii="宋体" w:hAnsi="宋体" w:cs="宋体" w:hint="eastAsia"/>
                <w:color w:val="000000"/>
                <w:kern w:val="0"/>
                <w:sz w:val="22"/>
                <w:szCs w:val="22"/>
                <w:lang w:bidi="ar"/>
              </w:rPr>
              <w:t>2</w:t>
            </w:r>
            <w:r>
              <w:rPr>
                <w:rFonts w:ascii="宋体" w:hAnsi="宋体" w:cs="宋体" w:hint="eastAsia"/>
                <w:color w:val="000000"/>
                <w:kern w:val="0"/>
                <w:sz w:val="22"/>
                <w:szCs w:val="22"/>
                <w:lang w:bidi="ar"/>
              </w:rPr>
              <w:t>条以上公交线路</w:t>
            </w:r>
          </w:p>
        </w:tc>
        <w:tc>
          <w:tcPr>
            <w:tcW w:w="1515" w:type="dxa"/>
            <w:tcBorders>
              <w:top w:val="nil"/>
              <w:left w:val="nil"/>
              <w:bottom w:val="single" w:sz="8" w:space="0" w:color="000000"/>
              <w:right w:val="single" w:sz="8" w:space="0" w:color="000000"/>
            </w:tcBorders>
            <w:shd w:val="clear" w:color="auto" w:fill="auto"/>
            <w:vAlign w:val="center"/>
          </w:tcPr>
          <w:p w14:paraId="3E328A35" w14:textId="568A7E1A"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w:t>
            </w:r>
            <w:r w:rsidR="00220C55">
              <w:rPr>
                <w:rFonts w:ascii="宋体" w:hAnsi="宋体" w:cs="宋体"/>
                <w:color w:val="000000"/>
                <w:kern w:val="0"/>
                <w:sz w:val="22"/>
                <w:szCs w:val="22"/>
                <w:lang w:bidi="ar"/>
              </w:rPr>
              <w:t>2</w:t>
            </w:r>
            <w:r>
              <w:rPr>
                <w:rFonts w:ascii="宋体" w:hAnsi="宋体" w:cs="宋体" w:hint="eastAsia"/>
                <w:color w:val="000000"/>
                <w:kern w:val="0"/>
                <w:sz w:val="22"/>
                <w:szCs w:val="22"/>
                <w:lang w:bidi="ar"/>
              </w:rPr>
              <w:t>条以上公交线路</w:t>
            </w:r>
          </w:p>
        </w:tc>
      </w:tr>
      <w:tr w:rsidR="00EF6A0E" w14:paraId="49B92637" w14:textId="77777777">
        <w:trPr>
          <w:trHeight w:val="55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21C6B51C"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F1EC1B2"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39F9B14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交通管制情况</w:t>
            </w:r>
          </w:p>
        </w:tc>
        <w:tc>
          <w:tcPr>
            <w:tcW w:w="1515" w:type="dxa"/>
            <w:tcBorders>
              <w:top w:val="nil"/>
              <w:left w:val="nil"/>
              <w:bottom w:val="single" w:sz="8" w:space="0" w:color="000000"/>
              <w:right w:val="single" w:sz="8" w:space="0" w:color="000000"/>
            </w:tcBorders>
            <w:shd w:val="clear" w:color="auto" w:fill="auto"/>
            <w:vAlign w:val="center"/>
          </w:tcPr>
          <w:p w14:paraId="3B1345B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w:t>
            </w:r>
          </w:p>
        </w:tc>
        <w:tc>
          <w:tcPr>
            <w:tcW w:w="1515" w:type="dxa"/>
            <w:tcBorders>
              <w:top w:val="nil"/>
              <w:left w:val="nil"/>
              <w:bottom w:val="single" w:sz="8" w:space="0" w:color="000000"/>
              <w:right w:val="single" w:sz="8" w:space="0" w:color="000000"/>
            </w:tcBorders>
            <w:shd w:val="clear" w:color="auto" w:fill="auto"/>
            <w:vAlign w:val="center"/>
          </w:tcPr>
          <w:p w14:paraId="6D67460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w:t>
            </w:r>
          </w:p>
        </w:tc>
        <w:tc>
          <w:tcPr>
            <w:tcW w:w="1515" w:type="dxa"/>
            <w:tcBorders>
              <w:top w:val="nil"/>
              <w:left w:val="nil"/>
              <w:bottom w:val="single" w:sz="8" w:space="0" w:color="000000"/>
              <w:right w:val="single" w:sz="8" w:space="0" w:color="000000"/>
            </w:tcBorders>
            <w:shd w:val="clear" w:color="auto" w:fill="auto"/>
            <w:vAlign w:val="center"/>
          </w:tcPr>
          <w:p w14:paraId="2DF6DA6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w:t>
            </w:r>
          </w:p>
        </w:tc>
        <w:tc>
          <w:tcPr>
            <w:tcW w:w="1515" w:type="dxa"/>
            <w:tcBorders>
              <w:top w:val="nil"/>
              <w:left w:val="nil"/>
              <w:bottom w:val="single" w:sz="8" w:space="0" w:color="000000"/>
              <w:right w:val="single" w:sz="12" w:space="0" w:color="000000"/>
            </w:tcBorders>
            <w:shd w:val="clear" w:color="auto" w:fill="auto"/>
            <w:vAlign w:val="center"/>
          </w:tcPr>
          <w:p w14:paraId="72267DE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w:t>
            </w:r>
          </w:p>
        </w:tc>
      </w:tr>
      <w:tr w:rsidR="00EF6A0E" w14:paraId="318535E4" w14:textId="77777777">
        <w:trPr>
          <w:trHeight w:val="8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EFBEC69"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A96F96"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5C2A6F2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停车方便程度</w:t>
            </w:r>
          </w:p>
        </w:tc>
        <w:tc>
          <w:tcPr>
            <w:tcW w:w="1515" w:type="dxa"/>
            <w:tcBorders>
              <w:top w:val="nil"/>
              <w:left w:val="nil"/>
              <w:bottom w:val="single" w:sz="8" w:space="0" w:color="000000"/>
              <w:right w:val="single" w:sz="8" w:space="0" w:color="000000"/>
            </w:tcBorders>
            <w:shd w:val="clear" w:color="auto" w:fill="auto"/>
            <w:vAlign w:val="center"/>
          </w:tcPr>
          <w:p w14:paraId="62F65A8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有地上停车位，停车方便程度较优</w:t>
            </w:r>
          </w:p>
        </w:tc>
        <w:tc>
          <w:tcPr>
            <w:tcW w:w="1515" w:type="dxa"/>
            <w:tcBorders>
              <w:top w:val="nil"/>
              <w:left w:val="nil"/>
              <w:bottom w:val="single" w:sz="8" w:space="0" w:color="000000"/>
              <w:right w:val="single" w:sz="8" w:space="0" w:color="000000"/>
            </w:tcBorders>
            <w:shd w:val="clear" w:color="auto" w:fill="auto"/>
            <w:vAlign w:val="center"/>
          </w:tcPr>
          <w:p w14:paraId="1FFC811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有地上停车位，停车方便程度较优</w:t>
            </w:r>
          </w:p>
        </w:tc>
        <w:tc>
          <w:tcPr>
            <w:tcW w:w="1515" w:type="dxa"/>
            <w:tcBorders>
              <w:top w:val="nil"/>
              <w:left w:val="nil"/>
              <w:bottom w:val="single" w:sz="8" w:space="0" w:color="000000"/>
              <w:right w:val="single" w:sz="8" w:space="0" w:color="000000"/>
            </w:tcBorders>
            <w:shd w:val="clear" w:color="auto" w:fill="auto"/>
            <w:vAlign w:val="center"/>
          </w:tcPr>
          <w:p w14:paraId="34F0BC6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有地上停车位，停车方便程度较优</w:t>
            </w:r>
          </w:p>
        </w:tc>
        <w:tc>
          <w:tcPr>
            <w:tcW w:w="1515" w:type="dxa"/>
            <w:tcBorders>
              <w:top w:val="nil"/>
              <w:left w:val="nil"/>
              <w:bottom w:val="single" w:sz="8" w:space="0" w:color="000000"/>
              <w:right w:val="single" w:sz="8" w:space="0" w:color="000000"/>
            </w:tcBorders>
            <w:shd w:val="clear" w:color="auto" w:fill="auto"/>
            <w:vAlign w:val="center"/>
          </w:tcPr>
          <w:p w14:paraId="1278709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有地上停车位，停车方便程度较优</w:t>
            </w:r>
          </w:p>
        </w:tc>
      </w:tr>
      <w:tr w:rsidR="00EF6A0E" w14:paraId="5A1DB14C" w14:textId="77777777">
        <w:trPr>
          <w:trHeight w:val="8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E713329" w14:textId="77777777" w:rsidR="00EF6A0E" w:rsidRDefault="00EF6A0E">
            <w:pPr>
              <w:jc w:val="center"/>
              <w:rPr>
                <w:rFonts w:ascii="宋体" w:hAnsi="宋体" w:cs="宋体"/>
                <w:color w:val="000000"/>
                <w:sz w:val="22"/>
                <w:szCs w:val="22"/>
              </w:rPr>
            </w:pP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7C482B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环境状况</w:t>
            </w:r>
          </w:p>
        </w:tc>
        <w:tc>
          <w:tcPr>
            <w:tcW w:w="1080" w:type="dxa"/>
            <w:tcBorders>
              <w:top w:val="nil"/>
              <w:left w:val="nil"/>
              <w:bottom w:val="single" w:sz="8" w:space="0" w:color="000000"/>
              <w:right w:val="single" w:sz="8" w:space="0" w:color="000000"/>
            </w:tcBorders>
            <w:shd w:val="clear" w:color="auto" w:fill="auto"/>
            <w:vAlign w:val="center"/>
          </w:tcPr>
          <w:p w14:paraId="08D8542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自然环境</w:t>
            </w:r>
          </w:p>
        </w:tc>
        <w:tc>
          <w:tcPr>
            <w:tcW w:w="1515" w:type="dxa"/>
            <w:tcBorders>
              <w:top w:val="nil"/>
              <w:left w:val="nil"/>
              <w:bottom w:val="single" w:sz="8" w:space="0" w:color="000000"/>
              <w:right w:val="single" w:sz="8" w:space="0" w:color="000000"/>
            </w:tcBorders>
            <w:shd w:val="clear" w:color="auto" w:fill="auto"/>
            <w:vAlign w:val="center"/>
          </w:tcPr>
          <w:p w14:paraId="6E20CDD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基本无污染，自然环境质量较优</w:t>
            </w:r>
          </w:p>
        </w:tc>
        <w:tc>
          <w:tcPr>
            <w:tcW w:w="1515" w:type="dxa"/>
            <w:tcBorders>
              <w:top w:val="nil"/>
              <w:left w:val="nil"/>
              <w:bottom w:val="single" w:sz="8" w:space="0" w:color="000000"/>
              <w:right w:val="single" w:sz="8" w:space="0" w:color="000000"/>
            </w:tcBorders>
            <w:shd w:val="clear" w:color="auto" w:fill="auto"/>
            <w:vAlign w:val="center"/>
          </w:tcPr>
          <w:p w14:paraId="7B86302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基本无污染，自然环境质量较优</w:t>
            </w:r>
          </w:p>
        </w:tc>
        <w:tc>
          <w:tcPr>
            <w:tcW w:w="1515" w:type="dxa"/>
            <w:tcBorders>
              <w:top w:val="nil"/>
              <w:left w:val="nil"/>
              <w:bottom w:val="single" w:sz="8" w:space="0" w:color="000000"/>
              <w:right w:val="single" w:sz="8" w:space="0" w:color="000000"/>
            </w:tcBorders>
            <w:shd w:val="clear" w:color="auto" w:fill="auto"/>
            <w:vAlign w:val="center"/>
          </w:tcPr>
          <w:p w14:paraId="65F27A6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基本无污染，自然环境质量较优</w:t>
            </w:r>
          </w:p>
        </w:tc>
        <w:tc>
          <w:tcPr>
            <w:tcW w:w="1515" w:type="dxa"/>
            <w:tcBorders>
              <w:top w:val="nil"/>
              <w:left w:val="nil"/>
              <w:bottom w:val="single" w:sz="8" w:space="0" w:color="000000"/>
              <w:right w:val="single" w:sz="12" w:space="0" w:color="000000"/>
            </w:tcBorders>
            <w:shd w:val="clear" w:color="auto" w:fill="auto"/>
            <w:vAlign w:val="center"/>
          </w:tcPr>
          <w:p w14:paraId="224F5FD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基本无污染，自然环境质量较优</w:t>
            </w:r>
          </w:p>
        </w:tc>
      </w:tr>
      <w:tr w:rsidR="00EF6A0E" w14:paraId="7D8DD3DB" w14:textId="77777777">
        <w:trPr>
          <w:trHeight w:val="109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0278ECB"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9DE7F3"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6CD825D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人文环境</w:t>
            </w:r>
          </w:p>
        </w:tc>
        <w:tc>
          <w:tcPr>
            <w:tcW w:w="1515" w:type="dxa"/>
            <w:tcBorders>
              <w:top w:val="nil"/>
              <w:left w:val="nil"/>
              <w:bottom w:val="single" w:sz="8" w:space="0" w:color="000000"/>
              <w:right w:val="single" w:sz="8" w:space="0" w:color="000000"/>
            </w:tcBorders>
            <w:shd w:val="clear" w:color="auto" w:fill="auto"/>
            <w:vAlign w:val="center"/>
          </w:tcPr>
          <w:p w14:paraId="3B2FF39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居住集中区，治安状况良好，人文环境较优</w:t>
            </w:r>
          </w:p>
        </w:tc>
        <w:tc>
          <w:tcPr>
            <w:tcW w:w="1515" w:type="dxa"/>
            <w:tcBorders>
              <w:top w:val="nil"/>
              <w:left w:val="nil"/>
              <w:bottom w:val="single" w:sz="8" w:space="0" w:color="000000"/>
              <w:right w:val="single" w:sz="8" w:space="0" w:color="000000"/>
            </w:tcBorders>
            <w:shd w:val="clear" w:color="auto" w:fill="auto"/>
            <w:vAlign w:val="center"/>
          </w:tcPr>
          <w:p w14:paraId="39A1672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居住集中区，治安状况良好，人文环境较优</w:t>
            </w:r>
          </w:p>
        </w:tc>
        <w:tc>
          <w:tcPr>
            <w:tcW w:w="1515" w:type="dxa"/>
            <w:tcBorders>
              <w:top w:val="nil"/>
              <w:left w:val="nil"/>
              <w:bottom w:val="single" w:sz="8" w:space="0" w:color="000000"/>
              <w:right w:val="single" w:sz="8" w:space="0" w:color="000000"/>
            </w:tcBorders>
            <w:shd w:val="clear" w:color="auto" w:fill="auto"/>
            <w:vAlign w:val="center"/>
          </w:tcPr>
          <w:p w14:paraId="7FFE7DC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居住集中区，治安状况良好，人文环境较优</w:t>
            </w:r>
          </w:p>
        </w:tc>
        <w:tc>
          <w:tcPr>
            <w:tcW w:w="1515" w:type="dxa"/>
            <w:tcBorders>
              <w:top w:val="nil"/>
              <w:left w:val="nil"/>
              <w:bottom w:val="single" w:sz="8" w:space="0" w:color="000000"/>
              <w:right w:val="single" w:sz="12" w:space="0" w:color="000000"/>
            </w:tcBorders>
            <w:shd w:val="clear" w:color="auto" w:fill="auto"/>
            <w:vAlign w:val="center"/>
          </w:tcPr>
          <w:p w14:paraId="612C5A3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居住集中区，治安状况良好，人文环境较优</w:t>
            </w:r>
          </w:p>
        </w:tc>
      </w:tr>
      <w:tr w:rsidR="00EF6A0E" w14:paraId="5DF6933C" w14:textId="77777777">
        <w:trPr>
          <w:trHeight w:val="109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5057DA2"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B17A1A"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79A637D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景观</w:t>
            </w:r>
          </w:p>
        </w:tc>
        <w:tc>
          <w:tcPr>
            <w:tcW w:w="1515" w:type="dxa"/>
            <w:tcBorders>
              <w:top w:val="nil"/>
              <w:left w:val="nil"/>
              <w:bottom w:val="single" w:sz="8" w:space="0" w:color="000000"/>
              <w:right w:val="single" w:sz="8" w:space="0" w:color="000000"/>
            </w:tcBorders>
            <w:shd w:val="clear" w:color="auto" w:fill="auto"/>
            <w:vAlign w:val="center"/>
          </w:tcPr>
          <w:p w14:paraId="78BA4CB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附近有闲广场、小区景观绿化等，景观较优</w:t>
            </w:r>
          </w:p>
        </w:tc>
        <w:tc>
          <w:tcPr>
            <w:tcW w:w="1515" w:type="dxa"/>
            <w:tcBorders>
              <w:top w:val="nil"/>
              <w:left w:val="nil"/>
              <w:bottom w:val="single" w:sz="8" w:space="0" w:color="000000"/>
              <w:right w:val="single" w:sz="8" w:space="0" w:color="000000"/>
            </w:tcBorders>
            <w:shd w:val="clear" w:color="auto" w:fill="auto"/>
            <w:vAlign w:val="center"/>
          </w:tcPr>
          <w:p w14:paraId="1E1EC9B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附近有闲广场、小区景观绿化等，景观较优</w:t>
            </w:r>
          </w:p>
        </w:tc>
        <w:tc>
          <w:tcPr>
            <w:tcW w:w="1515" w:type="dxa"/>
            <w:tcBorders>
              <w:top w:val="nil"/>
              <w:left w:val="nil"/>
              <w:bottom w:val="single" w:sz="8" w:space="0" w:color="000000"/>
              <w:right w:val="single" w:sz="8" w:space="0" w:color="000000"/>
            </w:tcBorders>
            <w:shd w:val="clear" w:color="auto" w:fill="auto"/>
            <w:vAlign w:val="center"/>
          </w:tcPr>
          <w:p w14:paraId="1E2CA62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附近有闲广场、小区景观绿化等，景观较优</w:t>
            </w:r>
          </w:p>
        </w:tc>
        <w:tc>
          <w:tcPr>
            <w:tcW w:w="1515" w:type="dxa"/>
            <w:tcBorders>
              <w:top w:val="nil"/>
              <w:left w:val="nil"/>
              <w:bottom w:val="single" w:sz="8" w:space="0" w:color="000000"/>
              <w:right w:val="single" w:sz="12" w:space="0" w:color="000000"/>
            </w:tcBorders>
            <w:shd w:val="clear" w:color="auto" w:fill="auto"/>
            <w:vAlign w:val="center"/>
          </w:tcPr>
          <w:p w14:paraId="31EFF77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附近有闲广场、小区景观绿化等，景观较优</w:t>
            </w:r>
          </w:p>
        </w:tc>
      </w:tr>
      <w:tr w:rsidR="00EF6A0E" w14:paraId="1453BC16"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77B454E" w14:textId="77777777" w:rsidR="00EF6A0E" w:rsidRDefault="00EF6A0E">
            <w:pPr>
              <w:jc w:val="center"/>
              <w:rPr>
                <w:rFonts w:ascii="宋体" w:hAnsi="宋体" w:cs="宋体"/>
                <w:color w:val="000000"/>
                <w:sz w:val="22"/>
                <w:szCs w:val="22"/>
              </w:rPr>
            </w:pP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F1E996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外部配套设施</w:t>
            </w:r>
          </w:p>
        </w:tc>
        <w:tc>
          <w:tcPr>
            <w:tcW w:w="1080" w:type="dxa"/>
            <w:tcBorders>
              <w:top w:val="nil"/>
              <w:left w:val="nil"/>
              <w:bottom w:val="single" w:sz="8" w:space="0" w:color="000000"/>
              <w:right w:val="single" w:sz="8" w:space="0" w:color="000000"/>
            </w:tcBorders>
            <w:shd w:val="clear" w:color="auto" w:fill="auto"/>
            <w:vAlign w:val="center"/>
          </w:tcPr>
          <w:p w14:paraId="43EEE22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基础设施</w:t>
            </w:r>
          </w:p>
        </w:tc>
        <w:tc>
          <w:tcPr>
            <w:tcW w:w="1515" w:type="dxa"/>
            <w:tcBorders>
              <w:top w:val="nil"/>
              <w:left w:val="nil"/>
              <w:bottom w:val="single" w:sz="8" w:space="0" w:color="000000"/>
              <w:right w:val="single" w:sz="8" w:space="0" w:color="000000"/>
            </w:tcBorders>
            <w:shd w:val="clear" w:color="auto" w:fill="auto"/>
            <w:vAlign w:val="center"/>
          </w:tcPr>
          <w:p w14:paraId="3E65AED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五通</w:t>
            </w:r>
          </w:p>
        </w:tc>
        <w:tc>
          <w:tcPr>
            <w:tcW w:w="1515" w:type="dxa"/>
            <w:tcBorders>
              <w:top w:val="nil"/>
              <w:left w:val="nil"/>
              <w:bottom w:val="single" w:sz="8" w:space="0" w:color="000000"/>
              <w:right w:val="single" w:sz="8" w:space="0" w:color="000000"/>
            </w:tcBorders>
            <w:shd w:val="clear" w:color="auto" w:fill="auto"/>
            <w:vAlign w:val="center"/>
          </w:tcPr>
          <w:p w14:paraId="5DF0E69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五通</w:t>
            </w:r>
          </w:p>
        </w:tc>
        <w:tc>
          <w:tcPr>
            <w:tcW w:w="1515" w:type="dxa"/>
            <w:tcBorders>
              <w:top w:val="nil"/>
              <w:left w:val="nil"/>
              <w:bottom w:val="single" w:sz="8" w:space="0" w:color="000000"/>
              <w:right w:val="single" w:sz="8" w:space="0" w:color="000000"/>
            </w:tcBorders>
            <w:shd w:val="clear" w:color="auto" w:fill="auto"/>
            <w:vAlign w:val="center"/>
          </w:tcPr>
          <w:p w14:paraId="7DCBE89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五通</w:t>
            </w:r>
          </w:p>
        </w:tc>
        <w:tc>
          <w:tcPr>
            <w:tcW w:w="1515" w:type="dxa"/>
            <w:tcBorders>
              <w:top w:val="nil"/>
              <w:left w:val="nil"/>
              <w:bottom w:val="single" w:sz="8" w:space="0" w:color="000000"/>
              <w:right w:val="single" w:sz="12" w:space="0" w:color="000000"/>
            </w:tcBorders>
            <w:shd w:val="clear" w:color="auto" w:fill="auto"/>
            <w:vAlign w:val="center"/>
          </w:tcPr>
          <w:p w14:paraId="12A663E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五通</w:t>
            </w:r>
          </w:p>
        </w:tc>
      </w:tr>
      <w:tr w:rsidR="00EF6A0E" w14:paraId="08942898" w14:textId="77777777">
        <w:trPr>
          <w:trHeight w:val="136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B6354AF" w14:textId="77777777" w:rsidR="00EF6A0E" w:rsidRDefault="00EF6A0E">
            <w:pPr>
              <w:jc w:val="center"/>
              <w:rPr>
                <w:rFonts w:ascii="宋体" w:hAnsi="宋体" w:cs="宋体"/>
                <w:color w:val="000000"/>
                <w:sz w:val="22"/>
                <w:szCs w:val="22"/>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B49C5B" w14:textId="77777777" w:rsidR="00EF6A0E" w:rsidRDefault="00EF6A0E">
            <w:pPr>
              <w:jc w:val="center"/>
              <w:rPr>
                <w:rFonts w:ascii="宋体" w:hAnsi="宋体" w:cs="宋体"/>
                <w:color w:val="000000"/>
                <w:sz w:val="22"/>
                <w:szCs w:val="22"/>
              </w:rPr>
            </w:pPr>
          </w:p>
        </w:tc>
        <w:tc>
          <w:tcPr>
            <w:tcW w:w="1080" w:type="dxa"/>
            <w:tcBorders>
              <w:top w:val="nil"/>
              <w:left w:val="nil"/>
              <w:bottom w:val="single" w:sz="8" w:space="0" w:color="000000"/>
              <w:right w:val="single" w:sz="8" w:space="0" w:color="000000"/>
            </w:tcBorders>
            <w:shd w:val="clear" w:color="auto" w:fill="auto"/>
            <w:vAlign w:val="center"/>
          </w:tcPr>
          <w:p w14:paraId="17DF46B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公共服务设施</w:t>
            </w:r>
          </w:p>
        </w:tc>
        <w:tc>
          <w:tcPr>
            <w:tcW w:w="1515" w:type="dxa"/>
            <w:tcBorders>
              <w:top w:val="nil"/>
              <w:left w:val="nil"/>
              <w:bottom w:val="single" w:sz="8" w:space="0" w:color="000000"/>
              <w:right w:val="single" w:sz="8" w:space="0" w:color="000000"/>
            </w:tcBorders>
            <w:shd w:val="clear" w:color="auto" w:fill="auto"/>
            <w:vAlign w:val="center"/>
          </w:tcPr>
          <w:p w14:paraId="6BA8DDC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周边学校、商场、超市、菜场、医院等公共配套设施较齐全</w:t>
            </w:r>
          </w:p>
        </w:tc>
        <w:tc>
          <w:tcPr>
            <w:tcW w:w="1515" w:type="dxa"/>
            <w:tcBorders>
              <w:top w:val="nil"/>
              <w:left w:val="nil"/>
              <w:bottom w:val="single" w:sz="8" w:space="0" w:color="000000"/>
              <w:right w:val="single" w:sz="8" w:space="0" w:color="000000"/>
            </w:tcBorders>
            <w:shd w:val="clear" w:color="auto" w:fill="auto"/>
            <w:vAlign w:val="center"/>
          </w:tcPr>
          <w:p w14:paraId="485017F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周边学校、商场、超市、菜场、医院等公共配套设施较齐全</w:t>
            </w:r>
          </w:p>
        </w:tc>
        <w:tc>
          <w:tcPr>
            <w:tcW w:w="1515" w:type="dxa"/>
            <w:tcBorders>
              <w:top w:val="nil"/>
              <w:left w:val="nil"/>
              <w:bottom w:val="single" w:sz="8" w:space="0" w:color="000000"/>
              <w:right w:val="single" w:sz="8" w:space="0" w:color="000000"/>
            </w:tcBorders>
            <w:shd w:val="clear" w:color="auto" w:fill="auto"/>
            <w:vAlign w:val="center"/>
          </w:tcPr>
          <w:p w14:paraId="43B368D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周边学校、商场、超市、菜场、医院等公共配套设施较齐全</w:t>
            </w:r>
          </w:p>
        </w:tc>
        <w:tc>
          <w:tcPr>
            <w:tcW w:w="1515" w:type="dxa"/>
            <w:tcBorders>
              <w:top w:val="nil"/>
              <w:left w:val="nil"/>
              <w:bottom w:val="single" w:sz="8" w:space="0" w:color="000000"/>
              <w:right w:val="single" w:sz="12" w:space="0" w:color="000000"/>
            </w:tcBorders>
            <w:shd w:val="clear" w:color="auto" w:fill="auto"/>
            <w:vAlign w:val="center"/>
          </w:tcPr>
          <w:p w14:paraId="54CAF13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周边学校、商场、超市、菜场、医院等公共配套设施较齐全</w:t>
            </w:r>
          </w:p>
        </w:tc>
      </w:tr>
      <w:tr w:rsidR="00EF6A0E" w14:paraId="42BEF805" w14:textId="77777777">
        <w:trPr>
          <w:trHeight w:val="285"/>
          <w:jc w:val="center"/>
        </w:trPr>
        <w:tc>
          <w:tcPr>
            <w:tcW w:w="1080" w:type="dxa"/>
            <w:vMerge w:val="restart"/>
            <w:tcBorders>
              <w:top w:val="single" w:sz="8" w:space="0" w:color="000000"/>
              <w:left w:val="single" w:sz="12" w:space="0" w:color="000000"/>
              <w:bottom w:val="single" w:sz="8" w:space="0" w:color="000000"/>
              <w:right w:val="single" w:sz="8" w:space="0" w:color="000000"/>
            </w:tcBorders>
            <w:shd w:val="clear" w:color="auto" w:fill="auto"/>
            <w:vAlign w:val="center"/>
          </w:tcPr>
          <w:p w14:paraId="36E5F46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实物状况</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EDD310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建筑结构</w:t>
            </w:r>
          </w:p>
        </w:tc>
        <w:tc>
          <w:tcPr>
            <w:tcW w:w="1515" w:type="dxa"/>
            <w:tcBorders>
              <w:top w:val="nil"/>
              <w:left w:val="nil"/>
              <w:bottom w:val="single" w:sz="8" w:space="0" w:color="000000"/>
              <w:right w:val="single" w:sz="8" w:space="0" w:color="000000"/>
            </w:tcBorders>
            <w:shd w:val="clear" w:color="auto" w:fill="auto"/>
            <w:vAlign w:val="center"/>
          </w:tcPr>
          <w:p w14:paraId="76AF138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混合</w:t>
            </w:r>
          </w:p>
        </w:tc>
        <w:tc>
          <w:tcPr>
            <w:tcW w:w="1515" w:type="dxa"/>
            <w:tcBorders>
              <w:top w:val="nil"/>
              <w:left w:val="nil"/>
              <w:bottom w:val="single" w:sz="8" w:space="0" w:color="000000"/>
              <w:right w:val="single" w:sz="8" w:space="0" w:color="000000"/>
            </w:tcBorders>
            <w:shd w:val="clear" w:color="auto" w:fill="auto"/>
            <w:vAlign w:val="center"/>
          </w:tcPr>
          <w:p w14:paraId="358C825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混合</w:t>
            </w:r>
          </w:p>
        </w:tc>
        <w:tc>
          <w:tcPr>
            <w:tcW w:w="1515" w:type="dxa"/>
            <w:tcBorders>
              <w:top w:val="nil"/>
              <w:left w:val="nil"/>
              <w:bottom w:val="single" w:sz="8" w:space="0" w:color="000000"/>
              <w:right w:val="single" w:sz="8" w:space="0" w:color="000000"/>
            </w:tcBorders>
            <w:shd w:val="clear" w:color="auto" w:fill="auto"/>
            <w:vAlign w:val="center"/>
          </w:tcPr>
          <w:p w14:paraId="6A71709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混合</w:t>
            </w:r>
          </w:p>
        </w:tc>
        <w:tc>
          <w:tcPr>
            <w:tcW w:w="1515" w:type="dxa"/>
            <w:tcBorders>
              <w:top w:val="nil"/>
              <w:left w:val="nil"/>
              <w:bottom w:val="single" w:sz="8" w:space="0" w:color="000000"/>
              <w:right w:val="single" w:sz="12" w:space="0" w:color="000000"/>
            </w:tcBorders>
            <w:shd w:val="clear" w:color="auto" w:fill="auto"/>
            <w:vAlign w:val="center"/>
          </w:tcPr>
          <w:p w14:paraId="1CFA208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混合</w:t>
            </w:r>
          </w:p>
        </w:tc>
      </w:tr>
      <w:tr w:rsidR="00EF6A0E" w14:paraId="0743FD20" w14:textId="77777777">
        <w:trPr>
          <w:trHeight w:val="5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333D9FE6"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E2C0A5A" w14:textId="77777777" w:rsidR="00EF6A0E" w:rsidRDefault="00000000">
            <w:pPr>
              <w:widowControl/>
              <w:jc w:val="center"/>
              <w:textAlignment w:val="center"/>
              <w:rPr>
                <w:rFonts w:ascii="宋体" w:hAnsi="宋体" w:cs="宋体"/>
                <w:color w:val="000000"/>
                <w:sz w:val="22"/>
                <w:szCs w:val="22"/>
              </w:rPr>
            </w:pPr>
            <w:r w:rsidRPr="00AA2BDD">
              <w:rPr>
                <w:rFonts w:ascii="宋体" w:hAnsi="宋体" w:cs="宋体" w:hint="eastAsia"/>
                <w:color w:val="FF0000"/>
                <w:kern w:val="0"/>
                <w:sz w:val="22"/>
                <w:szCs w:val="22"/>
                <w:lang w:bidi="ar"/>
              </w:rPr>
              <w:t>建成年代</w:t>
            </w:r>
          </w:p>
        </w:tc>
        <w:tc>
          <w:tcPr>
            <w:tcW w:w="1515" w:type="dxa"/>
            <w:tcBorders>
              <w:top w:val="nil"/>
              <w:left w:val="nil"/>
              <w:bottom w:val="single" w:sz="8" w:space="0" w:color="000000"/>
              <w:right w:val="single" w:sz="8" w:space="0" w:color="000000"/>
            </w:tcBorders>
            <w:shd w:val="clear" w:color="auto" w:fill="auto"/>
            <w:vAlign w:val="center"/>
          </w:tcPr>
          <w:p w14:paraId="5A9609B1" w14:textId="77777777" w:rsidR="00EF6A0E" w:rsidRDefault="00000000">
            <w:pPr>
              <w:widowControl/>
              <w:jc w:val="center"/>
              <w:textAlignment w:val="center"/>
              <w:rPr>
                <w:color w:val="000000"/>
                <w:sz w:val="22"/>
                <w:szCs w:val="22"/>
              </w:rPr>
            </w:pPr>
            <w:r>
              <w:rPr>
                <w:color w:val="000000"/>
                <w:kern w:val="0"/>
                <w:sz w:val="22"/>
                <w:szCs w:val="22"/>
                <w:lang w:bidi="ar"/>
              </w:rPr>
              <w:t>2009</w:t>
            </w:r>
            <w:r>
              <w:rPr>
                <w:rStyle w:val="font101"/>
                <w:rFonts w:hint="default"/>
                <w:lang w:bidi="ar"/>
              </w:rPr>
              <w:t>年，九成新</w:t>
            </w:r>
          </w:p>
        </w:tc>
        <w:tc>
          <w:tcPr>
            <w:tcW w:w="1515" w:type="dxa"/>
            <w:tcBorders>
              <w:top w:val="nil"/>
              <w:left w:val="nil"/>
              <w:bottom w:val="single" w:sz="8" w:space="0" w:color="000000"/>
              <w:right w:val="single" w:sz="8" w:space="0" w:color="000000"/>
            </w:tcBorders>
            <w:shd w:val="clear" w:color="auto" w:fill="auto"/>
            <w:vAlign w:val="center"/>
          </w:tcPr>
          <w:p w14:paraId="48FEB3D3" w14:textId="77777777" w:rsidR="00EF6A0E" w:rsidRDefault="00000000">
            <w:pPr>
              <w:widowControl/>
              <w:jc w:val="center"/>
              <w:textAlignment w:val="center"/>
              <w:rPr>
                <w:color w:val="000000"/>
                <w:sz w:val="22"/>
                <w:szCs w:val="22"/>
              </w:rPr>
            </w:pPr>
            <w:r>
              <w:rPr>
                <w:color w:val="000000"/>
                <w:kern w:val="0"/>
                <w:sz w:val="22"/>
                <w:szCs w:val="22"/>
                <w:lang w:bidi="ar"/>
              </w:rPr>
              <w:t>2009</w:t>
            </w:r>
            <w:r>
              <w:rPr>
                <w:rFonts w:ascii="宋体" w:hAnsi="宋体" w:cs="宋体" w:hint="eastAsia"/>
                <w:color w:val="000000"/>
                <w:kern w:val="0"/>
                <w:sz w:val="22"/>
                <w:szCs w:val="22"/>
                <w:lang w:bidi="ar"/>
              </w:rPr>
              <w:t>年，九成新</w:t>
            </w:r>
          </w:p>
        </w:tc>
        <w:tc>
          <w:tcPr>
            <w:tcW w:w="1515" w:type="dxa"/>
            <w:tcBorders>
              <w:top w:val="nil"/>
              <w:left w:val="nil"/>
              <w:bottom w:val="single" w:sz="8" w:space="0" w:color="000000"/>
              <w:right w:val="single" w:sz="8" w:space="0" w:color="000000"/>
            </w:tcBorders>
            <w:shd w:val="clear" w:color="auto" w:fill="auto"/>
            <w:vAlign w:val="center"/>
          </w:tcPr>
          <w:p w14:paraId="6E458E66" w14:textId="5FE5255A" w:rsidR="00EF6A0E" w:rsidRDefault="00000000">
            <w:pPr>
              <w:widowControl/>
              <w:jc w:val="center"/>
              <w:textAlignment w:val="center"/>
              <w:rPr>
                <w:color w:val="000000"/>
                <w:sz w:val="22"/>
                <w:szCs w:val="22"/>
              </w:rPr>
            </w:pPr>
            <w:r>
              <w:rPr>
                <w:color w:val="000000"/>
                <w:kern w:val="0"/>
                <w:sz w:val="22"/>
                <w:szCs w:val="22"/>
                <w:lang w:bidi="ar"/>
              </w:rPr>
              <w:t>200</w:t>
            </w:r>
            <w:r w:rsidR="00262BA9">
              <w:rPr>
                <w:color w:val="000000"/>
                <w:kern w:val="0"/>
                <w:sz w:val="22"/>
                <w:szCs w:val="22"/>
                <w:lang w:bidi="ar"/>
              </w:rPr>
              <w:t>8</w:t>
            </w:r>
            <w:r>
              <w:rPr>
                <w:rFonts w:ascii="宋体" w:hAnsi="宋体" w:cs="宋体" w:hint="eastAsia"/>
                <w:color w:val="000000"/>
                <w:kern w:val="0"/>
                <w:sz w:val="22"/>
                <w:szCs w:val="22"/>
                <w:lang w:bidi="ar"/>
              </w:rPr>
              <w:t>年，九成新</w:t>
            </w:r>
          </w:p>
        </w:tc>
        <w:tc>
          <w:tcPr>
            <w:tcW w:w="1515" w:type="dxa"/>
            <w:tcBorders>
              <w:top w:val="nil"/>
              <w:left w:val="nil"/>
              <w:bottom w:val="single" w:sz="8" w:space="0" w:color="000000"/>
              <w:right w:val="single" w:sz="12" w:space="0" w:color="000000"/>
            </w:tcBorders>
            <w:shd w:val="clear" w:color="auto" w:fill="auto"/>
            <w:vAlign w:val="center"/>
          </w:tcPr>
          <w:p w14:paraId="7D74DCB5" w14:textId="77777777" w:rsidR="00EF6A0E" w:rsidRDefault="00000000">
            <w:pPr>
              <w:widowControl/>
              <w:jc w:val="center"/>
              <w:textAlignment w:val="center"/>
              <w:rPr>
                <w:color w:val="000000"/>
                <w:sz w:val="22"/>
                <w:szCs w:val="22"/>
              </w:rPr>
            </w:pPr>
            <w:r>
              <w:rPr>
                <w:color w:val="000000"/>
                <w:kern w:val="0"/>
                <w:sz w:val="22"/>
                <w:szCs w:val="22"/>
                <w:lang w:bidi="ar"/>
              </w:rPr>
              <w:t>2009</w:t>
            </w:r>
            <w:r>
              <w:rPr>
                <w:rFonts w:ascii="宋体" w:hAnsi="宋体" w:cs="宋体" w:hint="eastAsia"/>
                <w:color w:val="000000"/>
                <w:kern w:val="0"/>
                <w:sz w:val="22"/>
                <w:szCs w:val="22"/>
                <w:lang w:bidi="ar"/>
              </w:rPr>
              <w:t>年，九成新</w:t>
            </w:r>
          </w:p>
        </w:tc>
      </w:tr>
      <w:tr w:rsidR="00EF6A0E" w14:paraId="16AAC4E3" w14:textId="77777777">
        <w:trPr>
          <w:trHeight w:val="31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5652615B"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16DCAC2" w14:textId="77777777" w:rsidR="00EF6A0E" w:rsidRPr="00AA2BDD" w:rsidRDefault="00000000">
            <w:pPr>
              <w:widowControl/>
              <w:jc w:val="center"/>
              <w:textAlignment w:val="center"/>
              <w:rPr>
                <w:rFonts w:ascii="宋体" w:hAnsi="宋体" w:cs="宋体"/>
                <w:color w:val="FF0000"/>
                <w:sz w:val="22"/>
                <w:szCs w:val="22"/>
              </w:rPr>
            </w:pPr>
            <w:r w:rsidRPr="00AA2BDD">
              <w:rPr>
                <w:rFonts w:ascii="宋体" w:hAnsi="宋体" w:cs="宋体" w:hint="eastAsia"/>
                <w:color w:val="FF0000"/>
                <w:kern w:val="0"/>
                <w:sz w:val="22"/>
                <w:szCs w:val="22"/>
                <w:lang w:bidi="ar"/>
              </w:rPr>
              <w:t>建筑面积（㎡）</w:t>
            </w:r>
          </w:p>
        </w:tc>
        <w:tc>
          <w:tcPr>
            <w:tcW w:w="1515" w:type="dxa"/>
            <w:tcBorders>
              <w:top w:val="nil"/>
              <w:left w:val="nil"/>
              <w:bottom w:val="single" w:sz="8" w:space="0" w:color="000000"/>
              <w:right w:val="single" w:sz="8" w:space="0" w:color="000000"/>
            </w:tcBorders>
            <w:shd w:val="clear" w:color="auto" w:fill="auto"/>
            <w:vAlign w:val="center"/>
          </w:tcPr>
          <w:p w14:paraId="5C084120" w14:textId="65DFA338" w:rsidR="00EF6A0E" w:rsidRDefault="0013644A">
            <w:pPr>
              <w:widowControl/>
              <w:jc w:val="center"/>
              <w:textAlignment w:val="center"/>
              <w:rPr>
                <w:color w:val="000000"/>
                <w:sz w:val="22"/>
                <w:szCs w:val="22"/>
              </w:rPr>
            </w:pPr>
            <w:r>
              <w:rPr>
                <w:rFonts w:hint="eastAsia"/>
                <w:color w:val="000000"/>
                <w:kern w:val="0"/>
                <w:sz w:val="22"/>
                <w:szCs w:val="22"/>
                <w:lang w:bidi="ar"/>
              </w:rPr>
              <w:t>118.78</w:t>
            </w:r>
          </w:p>
        </w:tc>
        <w:tc>
          <w:tcPr>
            <w:tcW w:w="1515" w:type="dxa"/>
            <w:tcBorders>
              <w:top w:val="nil"/>
              <w:left w:val="nil"/>
              <w:bottom w:val="single" w:sz="8" w:space="0" w:color="000000"/>
              <w:right w:val="single" w:sz="8" w:space="0" w:color="000000"/>
            </w:tcBorders>
            <w:shd w:val="clear" w:color="auto" w:fill="auto"/>
            <w:vAlign w:val="center"/>
          </w:tcPr>
          <w:p w14:paraId="43B761DC" w14:textId="5728F500" w:rsidR="00EF6A0E" w:rsidRDefault="00262BA9">
            <w:pPr>
              <w:widowControl/>
              <w:jc w:val="center"/>
              <w:textAlignment w:val="center"/>
              <w:rPr>
                <w:color w:val="000000"/>
                <w:sz w:val="22"/>
                <w:szCs w:val="22"/>
              </w:rPr>
            </w:pPr>
            <w:r>
              <w:rPr>
                <w:color w:val="000000"/>
                <w:kern w:val="0"/>
                <w:sz w:val="22"/>
                <w:szCs w:val="22"/>
                <w:lang w:bidi="ar"/>
              </w:rPr>
              <w:t>104.06</w:t>
            </w:r>
          </w:p>
        </w:tc>
        <w:tc>
          <w:tcPr>
            <w:tcW w:w="1515" w:type="dxa"/>
            <w:tcBorders>
              <w:top w:val="nil"/>
              <w:left w:val="nil"/>
              <w:bottom w:val="single" w:sz="8" w:space="0" w:color="000000"/>
              <w:right w:val="single" w:sz="8" w:space="0" w:color="000000"/>
            </w:tcBorders>
            <w:shd w:val="clear" w:color="auto" w:fill="auto"/>
            <w:vAlign w:val="center"/>
          </w:tcPr>
          <w:p w14:paraId="6D320AB6" w14:textId="64AC6055" w:rsidR="00EF6A0E" w:rsidRDefault="00262BA9">
            <w:pPr>
              <w:widowControl/>
              <w:jc w:val="center"/>
              <w:textAlignment w:val="center"/>
              <w:rPr>
                <w:color w:val="000000"/>
                <w:sz w:val="22"/>
                <w:szCs w:val="22"/>
              </w:rPr>
            </w:pPr>
            <w:r>
              <w:rPr>
                <w:rFonts w:hint="eastAsia"/>
                <w:color w:val="000000"/>
                <w:sz w:val="22"/>
                <w:szCs w:val="22"/>
              </w:rPr>
              <w:t>1</w:t>
            </w:r>
            <w:r>
              <w:rPr>
                <w:color w:val="000000"/>
                <w:sz w:val="22"/>
                <w:szCs w:val="22"/>
              </w:rPr>
              <w:t>06</w:t>
            </w:r>
          </w:p>
        </w:tc>
        <w:tc>
          <w:tcPr>
            <w:tcW w:w="1515" w:type="dxa"/>
            <w:tcBorders>
              <w:top w:val="nil"/>
              <w:left w:val="nil"/>
              <w:bottom w:val="single" w:sz="8" w:space="0" w:color="000000"/>
              <w:right w:val="single" w:sz="12" w:space="0" w:color="000000"/>
            </w:tcBorders>
            <w:shd w:val="clear" w:color="auto" w:fill="auto"/>
            <w:vAlign w:val="center"/>
          </w:tcPr>
          <w:p w14:paraId="33D1E77F" w14:textId="7674C040" w:rsidR="00EF6A0E" w:rsidRDefault="00262BA9">
            <w:pPr>
              <w:widowControl/>
              <w:jc w:val="center"/>
              <w:textAlignment w:val="center"/>
              <w:rPr>
                <w:color w:val="000000"/>
                <w:sz w:val="22"/>
                <w:szCs w:val="22"/>
              </w:rPr>
            </w:pPr>
            <w:r>
              <w:rPr>
                <w:color w:val="000000"/>
                <w:kern w:val="0"/>
                <w:sz w:val="22"/>
                <w:szCs w:val="22"/>
                <w:lang w:bidi="ar"/>
              </w:rPr>
              <w:t>109</w:t>
            </w:r>
          </w:p>
        </w:tc>
      </w:tr>
      <w:tr w:rsidR="00EF6A0E" w14:paraId="35DD9A1C" w14:textId="77777777">
        <w:trPr>
          <w:trHeight w:val="31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304FF276"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61562F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层高（</w:t>
            </w:r>
            <w:r>
              <w:rPr>
                <w:color w:val="000000"/>
                <w:kern w:val="0"/>
                <w:sz w:val="22"/>
                <w:szCs w:val="22"/>
                <w:lang w:bidi="ar"/>
              </w:rPr>
              <w:t>m</w:t>
            </w:r>
            <w:r>
              <w:rPr>
                <w:rFonts w:ascii="宋体" w:hAnsi="宋体" w:cs="宋体" w:hint="eastAsia"/>
                <w:color w:val="000000"/>
                <w:kern w:val="0"/>
                <w:sz w:val="22"/>
                <w:szCs w:val="22"/>
                <w:lang w:bidi="ar"/>
              </w:rPr>
              <w:t>）</w:t>
            </w:r>
          </w:p>
        </w:tc>
        <w:tc>
          <w:tcPr>
            <w:tcW w:w="1515" w:type="dxa"/>
            <w:tcBorders>
              <w:top w:val="nil"/>
              <w:left w:val="nil"/>
              <w:bottom w:val="single" w:sz="8" w:space="0" w:color="000000"/>
              <w:right w:val="single" w:sz="8" w:space="0" w:color="000000"/>
            </w:tcBorders>
            <w:shd w:val="clear" w:color="auto" w:fill="auto"/>
            <w:vAlign w:val="center"/>
          </w:tcPr>
          <w:p w14:paraId="7D82B695" w14:textId="7411CCAE" w:rsidR="00EF6A0E" w:rsidRDefault="0055244C">
            <w:pPr>
              <w:widowControl/>
              <w:jc w:val="center"/>
              <w:textAlignment w:val="center"/>
              <w:rPr>
                <w:color w:val="000000"/>
                <w:sz w:val="22"/>
                <w:szCs w:val="22"/>
              </w:rPr>
            </w:pPr>
            <w:r>
              <w:rPr>
                <w:color w:val="000000"/>
                <w:kern w:val="0"/>
                <w:sz w:val="22"/>
                <w:szCs w:val="22"/>
                <w:lang w:bidi="ar"/>
              </w:rPr>
              <w:t>3</w:t>
            </w:r>
          </w:p>
        </w:tc>
        <w:tc>
          <w:tcPr>
            <w:tcW w:w="1515" w:type="dxa"/>
            <w:tcBorders>
              <w:top w:val="nil"/>
              <w:left w:val="nil"/>
              <w:bottom w:val="single" w:sz="8" w:space="0" w:color="000000"/>
              <w:right w:val="single" w:sz="8" w:space="0" w:color="000000"/>
            </w:tcBorders>
            <w:shd w:val="clear" w:color="auto" w:fill="auto"/>
            <w:vAlign w:val="center"/>
          </w:tcPr>
          <w:p w14:paraId="1AA360F3" w14:textId="5252EB05" w:rsidR="00EF6A0E" w:rsidRDefault="00262BA9">
            <w:pPr>
              <w:widowControl/>
              <w:jc w:val="center"/>
              <w:textAlignment w:val="center"/>
              <w:rPr>
                <w:color w:val="000000"/>
                <w:sz w:val="22"/>
                <w:szCs w:val="22"/>
              </w:rPr>
            </w:pPr>
            <w:r>
              <w:rPr>
                <w:color w:val="000000"/>
                <w:kern w:val="0"/>
                <w:sz w:val="22"/>
                <w:szCs w:val="22"/>
                <w:lang w:bidi="ar"/>
              </w:rPr>
              <w:t>3</w:t>
            </w:r>
          </w:p>
        </w:tc>
        <w:tc>
          <w:tcPr>
            <w:tcW w:w="1515" w:type="dxa"/>
            <w:tcBorders>
              <w:top w:val="nil"/>
              <w:left w:val="nil"/>
              <w:bottom w:val="single" w:sz="8" w:space="0" w:color="000000"/>
              <w:right w:val="single" w:sz="8" w:space="0" w:color="000000"/>
            </w:tcBorders>
            <w:shd w:val="clear" w:color="auto" w:fill="auto"/>
            <w:vAlign w:val="center"/>
          </w:tcPr>
          <w:p w14:paraId="08CB16A2" w14:textId="2637963F" w:rsidR="00EF6A0E" w:rsidRDefault="00262BA9">
            <w:pPr>
              <w:widowControl/>
              <w:jc w:val="center"/>
              <w:textAlignment w:val="center"/>
              <w:rPr>
                <w:color w:val="000000"/>
                <w:sz w:val="22"/>
                <w:szCs w:val="22"/>
              </w:rPr>
            </w:pPr>
            <w:r>
              <w:rPr>
                <w:color w:val="000000"/>
                <w:kern w:val="0"/>
                <w:sz w:val="22"/>
                <w:szCs w:val="22"/>
                <w:lang w:bidi="ar"/>
              </w:rPr>
              <w:t>3</w:t>
            </w:r>
          </w:p>
        </w:tc>
        <w:tc>
          <w:tcPr>
            <w:tcW w:w="1515" w:type="dxa"/>
            <w:tcBorders>
              <w:top w:val="nil"/>
              <w:left w:val="nil"/>
              <w:bottom w:val="single" w:sz="8" w:space="0" w:color="000000"/>
              <w:right w:val="single" w:sz="12" w:space="0" w:color="000000"/>
            </w:tcBorders>
            <w:shd w:val="clear" w:color="auto" w:fill="auto"/>
            <w:vAlign w:val="center"/>
          </w:tcPr>
          <w:p w14:paraId="722FFBD9" w14:textId="3105F9C7" w:rsidR="00EF6A0E" w:rsidRDefault="00262BA9">
            <w:pPr>
              <w:widowControl/>
              <w:jc w:val="center"/>
              <w:textAlignment w:val="center"/>
              <w:rPr>
                <w:color w:val="000000"/>
                <w:sz w:val="22"/>
                <w:szCs w:val="22"/>
              </w:rPr>
            </w:pPr>
            <w:r>
              <w:rPr>
                <w:color w:val="000000"/>
                <w:kern w:val="0"/>
                <w:sz w:val="22"/>
                <w:szCs w:val="22"/>
                <w:lang w:bidi="ar"/>
              </w:rPr>
              <w:t>3</w:t>
            </w:r>
          </w:p>
        </w:tc>
      </w:tr>
      <w:tr w:rsidR="00EF6A0E" w14:paraId="2D13C1E8" w14:textId="77777777">
        <w:trPr>
          <w:trHeight w:val="82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116DFBC4"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3604EA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外观形象</w:t>
            </w:r>
          </w:p>
        </w:tc>
        <w:tc>
          <w:tcPr>
            <w:tcW w:w="1515" w:type="dxa"/>
            <w:tcBorders>
              <w:top w:val="nil"/>
              <w:left w:val="nil"/>
              <w:bottom w:val="single" w:sz="8" w:space="0" w:color="000000"/>
              <w:right w:val="single" w:sz="8" w:space="0" w:color="000000"/>
            </w:tcBorders>
            <w:shd w:val="clear" w:color="auto" w:fill="auto"/>
            <w:vAlign w:val="center"/>
          </w:tcPr>
          <w:p w14:paraId="60B5CB8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整体建筑式样较新颖美观，亮化程度较高</w:t>
            </w:r>
          </w:p>
        </w:tc>
        <w:tc>
          <w:tcPr>
            <w:tcW w:w="1515" w:type="dxa"/>
            <w:tcBorders>
              <w:top w:val="nil"/>
              <w:left w:val="nil"/>
              <w:bottom w:val="single" w:sz="8" w:space="0" w:color="000000"/>
              <w:right w:val="single" w:sz="8" w:space="0" w:color="000000"/>
            </w:tcBorders>
            <w:shd w:val="clear" w:color="auto" w:fill="auto"/>
            <w:vAlign w:val="center"/>
          </w:tcPr>
          <w:p w14:paraId="394D239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整体建筑式样较新颖美观，亮化程度较高</w:t>
            </w:r>
          </w:p>
        </w:tc>
        <w:tc>
          <w:tcPr>
            <w:tcW w:w="1515" w:type="dxa"/>
            <w:tcBorders>
              <w:top w:val="nil"/>
              <w:left w:val="nil"/>
              <w:bottom w:val="single" w:sz="8" w:space="0" w:color="000000"/>
              <w:right w:val="single" w:sz="8" w:space="0" w:color="000000"/>
            </w:tcBorders>
            <w:shd w:val="clear" w:color="auto" w:fill="auto"/>
            <w:vAlign w:val="center"/>
          </w:tcPr>
          <w:p w14:paraId="5F5AA71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整体建筑式样较新颖美观，亮化程度较高</w:t>
            </w:r>
          </w:p>
        </w:tc>
        <w:tc>
          <w:tcPr>
            <w:tcW w:w="1515" w:type="dxa"/>
            <w:tcBorders>
              <w:top w:val="nil"/>
              <w:left w:val="nil"/>
              <w:bottom w:val="single" w:sz="8" w:space="0" w:color="000000"/>
              <w:right w:val="single" w:sz="12" w:space="0" w:color="000000"/>
            </w:tcBorders>
            <w:shd w:val="clear" w:color="auto" w:fill="auto"/>
            <w:vAlign w:val="center"/>
          </w:tcPr>
          <w:p w14:paraId="33C87A9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整体建筑式样较新颖美观，亮化程度较高</w:t>
            </w:r>
          </w:p>
        </w:tc>
      </w:tr>
      <w:tr w:rsidR="00EF6A0E" w14:paraId="4AE9A115" w14:textId="77777777" w:rsidTr="00F619EC">
        <w:trPr>
          <w:trHeight w:val="354"/>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6A02ACF5"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3B21E61" w14:textId="77777777" w:rsidR="00EF6A0E" w:rsidRDefault="00000000">
            <w:pPr>
              <w:widowControl/>
              <w:jc w:val="center"/>
              <w:textAlignment w:val="center"/>
              <w:rPr>
                <w:rFonts w:ascii="宋体" w:hAnsi="宋体" w:cs="宋体"/>
                <w:color w:val="000000"/>
                <w:sz w:val="22"/>
                <w:szCs w:val="22"/>
              </w:rPr>
            </w:pPr>
            <w:r w:rsidRPr="00481089">
              <w:rPr>
                <w:rFonts w:ascii="宋体" w:hAnsi="宋体" w:cs="宋体" w:hint="eastAsia"/>
                <w:color w:val="FF0000"/>
                <w:kern w:val="0"/>
                <w:sz w:val="22"/>
                <w:szCs w:val="22"/>
                <w:lang w:bidi="ar"/>
              </w:rPr>
              <w:t>装修</w:t>
            </w:r>
          </w:p>
        </w:tc>
        <w:tc>
          <w:tcPr>
            <w:tcW w:w="1515" w:type="dxa"/>
            <w:tcBorders>
              <w:top w:val="nil"/>
              <w:left w:val="nil"/>
              <w:bottom w:val="single" w:sz="8" w:space="0" w:color="000000"/>
              <w:right w:val="single" w:sz="8" w:space="0" w:color="000000"/>
            </w:tcBorders>
            <w:shd w:val="clear" w:color="auto" w:fill="auto"/>
            <w:vAlign w:val="center"/>
          </w:tcPr>
          <w:p w14:paraId="63442DE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精装修</w:t>
            </w:r>
          </w:p>
        </w:tc>
        <w:tc>
          <w:tcPr>
            <w:tcW w:w="1515" w:type="dxa"/>
            <w:tcBorders>
              <w:top w:val="nil"/>
              <w:left w:val="nil"/>
              <w:bottom w:val="single" w:sz="8" w:space="0" w:color="000000"/>
              <w:right w:val="single" w:sz="8" w:space="0" w:color="000000"/>
            </w:tcBorders>
            <w:shd w:val="clear" w:color="auto" w:fill="auto"/>
            <w:vAlign w:val="center"/>
          </w:tcPr>
          <w:p w14:paraId="49A0E4E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简单装修</w:t>
            </w:r>
          </w:p>
        </w:tc>
        <w:tc>
          <w:tcPr>
            <w:tcW w:w="1515" w:type="dxa"/>
            <w:tcBorders>
              <w:top w:val="nil"/>
              <w:left w:val="nil"/>
              <w:bottom w:val="single" w:sz="8" w:space="0" w:color="000000"/>
              <w:right w:val="single" w:sz="8" w:space="0" w:color="000000"/>
            </w:tcBorders>
            <w:shd w:val="clear" w:color="auto" w:fill="auto"/>
            <w:vAlign w:val="center"/>
          </w:tcPr>
          <w:p w14:paraId="3C798B4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简单装修</w:t>
            </w:r>
          </w:p>
        </w:tc>
        <w:tc>
          <w:tcPr>
            <w:tcW w:w="1515" w:type="dxa"/>
            <w:tcBorders>
              <w:top w:val="nil"/>
              <w:left w:val="nil"/>
              <w:bottom w:val="single" w:sz="8" w:space="0" w:color="000000"/>
              <w:right w:val="single" w:sz="12" w:space="0" w:color="000000"/>
            </w:tcBorders>
            <w:shd w:val="clear" w:color="auto" w:fill="auto"/>
            <w:vAlign w:val="center"/>
          </w:tcPr>
          <w:p w14:paraId="1DE08F64" w14:textId="495F0BD5" w:rsidR="00EF6A0E" w:rsidRDefault="0048108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精装修</w:t>
            </w:r>
          </w:p>
        </w:tc>
      </w:tr>
      <w:tr w:rsidR="00EF6A0E" w14:paraId="4C313FCF"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7FD56D7B"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9D5F32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设施设备</w:t>
            </w:r>
          </w:p>
        </w:tc>
        <w:tc>
          <w:tcPr>
            <w:tcW w:w="1515" w:type="dxa"/>
            <w:tcBorders>
              <w:top w:val="nil"/>
              <w:left w:val="nil"/>
              <w:bottom w:val="single" w:sz="8" w:space="0" w:color="000000"/>
              <w:right w:val="single" w:sz="8" w:space="0" w:color="000000"/>
            </w:tcBorders>
            <w:shd w:val="clear" w:color="auto" w:fill="auto"/>
            <w:vAlign w:val="center"/>
          </w:tcPr>
          <w:p w14:paraId="5FDD251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较齐全</w:t>
            </w:r>
          </w:p>
        </w:tc>
        <w:tc>
          <w:tcPr>
            <w:tcW w:w="1515" w:type="dxa"/>
            <w:tcBorders>
              <w:top w:val="nil"/>
              <w:left w:val="nil"/>
              <w:bottom w:val="single" w:sz="8" w:space="0" w:color="000000"/>
              <w:right w:val="single" w:sz="8" w:space="0" w:color="000000"/>
            </w:tcBorders>
            <w:shd w:val="clear" w:color="auto" w:fill="auto"/>
            <w:vAlign w:val="center"/>
          </w:tcPr>
          <w:p w14:paraId="41E5812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较齐全</w:t>
            </w:r>
          </w:p>
        </w:tc>
        <w:tc>
          <w:tcPr>
            <w:tcW w:w="1515" w:type="dxa"/>
            <w:tcBorders>
              <w:top w:val="nil"/>
              <w:left w:val="nil"/>
              <w:bottom w:val="single" w:sz="8" w:space="0" w:color="000000"/>
              <w:right w:val="single" w:sz="8" w:space="0" w:color="000000"/>
            </w:tcBorders>
            <w:shd w:val="clear" w:color="auto" w:fill="auto"/>
            <w:vAlign w:val="center"/>
          </w:tcPr>
          <w:p w14:paraId="1C97C6A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较齐全</w:t>
            </w:r>
          </w:p>
        </w:tc>
        <w:tc>
          <w:tcPr>
            <w:tcW w:w="1515" w:type="dxa"/>
            <w:tcBorders>
              <w:top w:val="nil"/>
              <w:left w:val="nil"/>
              <w:bottom w:val="single" w:sz="8" w:space="0" w:color="000000"/>
              <w:right w:val="single" w:sz="12" w:space="0" w:color="000000"/>
            </w:tcBorders>
            <w:shd w:val="clear" w:color="auto" w:fill="auto"/>
            <w:vAlign w:val="center"/>
          </w:tcPr>
          <w:p w14:paraId="05ACAB3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较齐全</w:t>
            </w:r>
          </w:p>
        </w:tc>
      </w:tr>
      <w:tr w:rsidR="00EF6A0E" w14:paraId="043D8969"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1869D872"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FA144A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空间布局及建筑功能</w:t>
            </w:r>
          </w:p>
        </w:tc>
        <w:tc>
          <w:tcPr>
            <w:tcW w:w="1515" w:type="dxa"/>
            <w:tcBorders>
              <w:top w:val="nil"/>
              <w:left w:val="nil"/>
              <w:bottom w:val="single" w:sz="8" w:space="0" w:color="000000"/>
              <w:right w:val="single" w:sz="8" w:space="0" w:color="000000"/>
            </w:tcBorders>
            <w:shd w:val="clear" w:color="auto" w:fill="auto"/>
            <w:vAlign w:val="center"/>
          </w:tcPr>
          <w:p w14:paraId="58D2F60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较优</w:t>
            </w:r>
          </w:p>
        </w:tc>
        <w:tc>
          <w:tcPr>
            <w:tcW w:w="1515" w:type="dxa"/>
            <w:tcBorders>
              <w:top w:val="nil"/>
              <w:left w:val="nil"/>
              <w:bottom w:val="single" w:sz="8" w:space="0" w:color="000000"/>
              <w:right w:val="single" w:sz="8" w:space="0" w:color="000000"/>
            </w:tcBorders>
            <w:shd w:val="clear" w:color="auto" w:fill="auto"/>
            <w:vAlign w:val="center"/>
          </w:tcPr>
          <w:p w14:paraId="3035826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较优</w:t>
            </w:r>
          </w:p>
        </w:tc>
        <w:tc>
          <w:tcPr>
            <w:tcW w:w="1515" w:type="dxa"/>
            <w:tcBorders>
              <w:top w:val="nil"/>
              <w:left w:val="nil"/>
              <w:bottom w:val="single" w:sz="8" w:space="0" w:color="000000"/>
              <w:right w:val="single" w:sz="8" w:space="0" w:color="000000"/>
            </w:tcBorders>
            <w:shd w:val="clear" w:color="auto" w:fill="auto"/>
            <w:vAlign w:val="center"/>
          </w:tcPr>
          <w:p w14:paraId="0FD94A3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较优</w:t>
            </w:r>
          </w:p>
        </w:tc>
        <w:tc>
          <w:tcPr>
            <w:tcW w:w="1515" w:type="dxa"/>
            <w:tcBorders>
              <w:top w:val="nil"/>
              <w:left w:val="nil"/>
              <w:bottom w:val="single" w:sz="8" w:space="0" w:color="000000"/>
              <w:right w:val="single" w:sz="12" w:space="0" w:color="000000"/>
            </w:tcBorders>
            <w:shd w:val="clear" w:color="auto" w:fill="auto"/>
            <w:vAlign w:val="center"/>
          </w:tcPr>
          <w:p w14:paraId="1E00154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较优</w:t>
            </w:r>
          </w:p>
        </w:tc>
      </w:tr>
      <w:tr w:rsidR="00EF6A0E" w14:paraId="24A93E1E"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47CD263C"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440A24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维护、保养</w:t>
            </w:r>
          </w:p>
        </w:tc>
        <w:tc>
          <w:tcPr>
            <w:tcW w:w="1515" w:type="dxa"/>
            <w:tcBorders>
              <w:top w:val="nil"/>
              <w:left w:val="nil"/>
              <w:bottom w:val="single" w:sz="8" w:space="0" w:color="000000"/>
              <w:right w:val="single" w:sz="8" w:space="0" w:color="000000"/>
            </w:tcBorders>
            <w:shd w:val="clear" w:color="auto" w:fill="auto"/>
            <w:vAlign w:val="center"/>
          </w:tcPr>
          <w:p w14:paraId="5E9DD5B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较好</w:t>
            </w:r>
          </w:p>
        </w:tc>
        <w:tc>
          <w:tcPr>
            <w:tcW w:w="1515" w:type="dxa"/>
            <w:tcBorders>
              <w:top w:val="nil"/>
              <w:left w:val="nil"/>
              <w:bottom w:val="single" w:sz="8" w:space="0" w:color="000000"/>
              <w:right w:val="single" w:sz="8" w:space="0" w:color="000000"/>
            </w:tcBorders>
            <w:shd w:val="clear" w:color="auto" w:fill="auto"/>
            <w:vAlign w:val="center"/>
          </w:tcPr>
          <w:p w14:paraId="681C53C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较好</w:t>
            </w:r>
          </w:p>
        </w:tc>
        <w:tc>
          <w:tcPr>
            <w:tcW w:w="1515" w:type="dxa"/>
            <w:tcBorders>
              <w:top w:val="nil"/>
              <w:left w:val="nil"/>
              <w:bottom w:val="single" w:sz="8" w:space="0" w:color="000000"/>
              <w:right w:val="single" w:sz="8" w:space="0" w:color="000000"/>
            </w:tcBorders>
            <w:shd w:val="clear" w:color="auto" w:fill="auto"/>
            <w:vAlign w:val="center"/>
          </w:tcPr>
          <w:p w14:paraId="21C6B6A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较好</w:t>
            </w:r>
          </w:p>
        </w:tc>
        <w:tc>
          <w:tcPr>
            <w:tcW w:w="1515" w:type="dxa"/>
            <w:tcBorders>
              <w:top w:val="nil"/>
              <w:left w:val="nil"/>
              <w:bottom w:val="single" w:sz="8" w:space="0" w:color="000000"/>
              <w:right w:val="single" w:sz="12" w:space="0" w:color="000000"/>
            </w:tcBorders>
            <w:shd w:val="clear" w:color="auto" w:fill="auto"/>
            <w:vAlign w:val="center"/>
          </w:tcPr>
          <w:p w14:paraId="5F5A422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较好</w:t>
            </w:r>
          </w:p>
        </w:tc>
      </w:tr>
      <w:tr w:rsidR="00EF6A0E" w14:paraId="655760E4" w14:textId="77777777">
        <w:trPr>
          <w:trHeight w:val="285"/>
          <w:jc w:val="center"/>
        </w:trPr>
        <w:tc>
          <w:tcPr>
            <w:tcW w:w="1080" w:type="dxa"/>
            <w:vMerge/>
            <w:tcBorders>
              <w:top w:val="single" w:sz="8" w:space="0" w:color="000000"/>
              <w:left w:val="single" w:sz="12" w:space="0" w:color="000000"/>
              <w:bottom w:val="single" w:sz="8" w:space="0" w:color="000000"/>
              <w:right w:val="single" w:sz="8" w:space="0" w:color="000000"/>
            </w:tcBorders>
            <w:shd w:val="clear" w:color="auto" w:fill="auto"/>
            <w:vAlign w:val="center"/>
          </w:tcPr>
          <w:p w14:paraId="0BC0DE37"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119AB3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物业管理</w:t>
            </w:r>
          </w:p>
        </w:tc>
        <w:tc>
          <w:tcPr>
            <w:tcW w:w="1515" w:type="dxa"/>
            <w:tcBorders>
              <w:top w:val="nil"/>
              <w:left w:val="nil"/>
              <w:bottom w:val="single" w:sz="8" w:space="0" w:color="000000"/>
              <w:right w:val="single" w:sz="8" w:space="0" w:color="000000"/>
            </w:tcBorders>
            <w:shd w:val="clear" w:color="auto" w:fill="auto"/>
            <w:vAlign w:val="center"/>
          </w:tcPr>
          <w:p w14:paraId="50CB130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好</w:t>
            </w:r>
          </w:p>
        </w:tc>
        <w:tc>
          <w:tcPr>
            <w:tcW w:w="1515" w:type="dxa"/>
            <w:tcBorders>
              <w:top w:val="nil"/>
              <w:left w:val="nil"/>
              <w:bottom w:val="single" w:sz="8" w:space="0" w:color="000000"/>
              <w:right w:val="single" w:sz="8" w:space="0" w:color="000000"/>
            </w:tcBorders>
            <w:shd w:val="clear" w:color="auto" w:fill="auto"/>
            <w:vAlign w:val="center"/>
          </w:tcPr>
          <w:p w14:paraId="19A60BE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好</w:t>
            </w:r>
          </w:p>
        </w:tc>
        <w:tc>
          <w:tcPr>
            <w:tcW w:w="1515" w:type="dxa"/>
            <w:tcBorders>
              <w:top w:val="nil"/>
              <w:left w:val="nil"/>
              <w:bottom w:val="single" w:sz="8" w:space="0" w:color="000000"/>
              <w:right w:val="single" w:sz="8" w:space="0" w:color="000000"/>
            </w:tcBorders>
            <w:shd w:val="clear" w:color="auto" w:fill="auto"/>
            <w:vAlign w:val="center"/>
          </w:tcPr>
          <w:p w14:paraId="122259E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好</w:t>
            </w:r>
          </w:p>
        </w:tc>
        <w:tc>
          <w:tcPr>
            <w:tcW w:w="1515" w:type="dxa"/>
            <w:tcBorders>
              <w:top w:val="nil"/>
              <w:left w:val="nil"/>
              <w:bottom w:val="single" w:sz="8" w:space="0" w:color="000000"/>
              <w:right w:val="single" w:sz="12" w:space="0" w:color="000000"/>
            </w:tcBorders>
            <w:shd w:val="clear" w:color="auto" w:fill="auto"/>
            <w:vAlign w:val="center"/>
          </w:tcPr>
          <w:p w14:paraId="4ADEEDD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好</w:t>
            </w:r>
          </w:p>
        </w:tc>
      </w:tr>
      <w:tr w:rsidR="00EF6A0E" w14:paraId="55B423EE" w14:textId="77777777">
        <w:trPr>
          <w:trHeight w:val="285"/>
          <w:jc w:val="center"/>
        </w:trPr>
        <w:tc>
          <w:tcPr>
            <w:tcW w:w="1080" w:type="dxa"/>
            <w:vMerge w:val="restart"/>
            <w:tcBorders>
              <w:top w:val="single" w:sz="8" w:space="0" w:color="000000"/>
              <w:left w:val="single" w:sz="12" w:space="0" w:color="000000"/>
              <w:bottom w:val="single" w:sz="12" w:space="0" w:color="000000"/>
              <w:right w:val="single" w:sz="8" w:space="0" w:color="000000"/>
            </w:tcBorders>
            <w:shd w:val="clear" w:color="auto" w:fill="auto"/>
            <w:vAlign w:val="center"/>
          </w:tcPr>
          <w:p w14:paraId="642CFA7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权益状况</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C91C02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土地使用权性质</w:t>
            </w:r>
          </w:p>
        </w:tc>
        <w:tc>
          <w:tcPr>
            <w:tcW w:w="1515" w:type="dxa"/>
            <w:tcBorders>
              <w:top w:val="nil"/>
              <w:left w:val="nil"/>
              <w:bottom w:val="single" w:sz="8" w:space="0" w:color="000000"/>
              <w:right w:val="single" w:sz="8" w:space="0" w:color="000000"/>
            </w:tcBorders>
            <w:shd w:val="clear" w:color="auto" w:fill="auto"/>
            <w:vAlign w:val="center"/>
          </w:tcPr>
          <w:p w14:paraId="6E85B45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国有出让</w:t>
            </w:r>
          </w:p>
        </w:tc>
        <w:tc>
          <w:tcPr>
            <w:tcW w:w="1515" w:type="dxa"/>
            <w:tcBorders>
              <w:top w:val="nil"/>
              <w:left w:val="nil"/>
              <w:bottom w:val="single" w:sz="8" w:space="0" w:color="000000"/>
              <w:right w:val="single" w:sz="8" w:space="0" w:color="000000"/>
            </w:tcBorders>
            <w:shd w:val="clear" w:color="auto" w:fill="auto"/>
            <w:vAlign w:val="center"/>
          </w:tcPr>
          <w:p w14:paraId="1A6375F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国有出让</w:t>
            </w:r>
          </w:p>
        </w:tc>
        <w:tc>
          <w:tcPr>
            <w:tcW w:w="1515" w:type="dxa"/>
            <w:tcBorders>
              <w:top w:val="nil"/>
              <w:left w:val="nil"/>
              <w:bottom w:val="single" w:sz="8" w:space="0" w:color="000000"/>
              <w:right w:val="single" w:sz="8" w:space="0" w:color="000000"/>
            </w:tcBorders>
            <w:shd w:val="clear" w:color="auto" w:fill="auto"/>
            <w:vAlign w:val="center"/>
          </w:tcPr>
          <w:p w14:paraId="74B09BC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国有出让</w:t>
            </w:r>
          </w:p>
        </w:tc>
        <w:tc>
          <w:tcPr>
            <w:tcW w:w="1515" w:type="dxa"/>
            <w:tcBorders>
              <w:top w:val="nil"/>
              <w:left w:val="nil"/>
              <w:bottom w:val="single" w:sz="8" w:space="0" w:color="000000"/>
              <w:right w:val="single" w:sz="12" w:space="0" w:color="000000"/>
            </w:tcBorders>
            <w:shd w:val="clear" w:color="auto" w:fill="auto"/>
            <w:vAlign w:val="center"/>
          </w:tcPr>
          <w:p w14:paraId="365428F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国有出让</w:t>
            </w:r>
          </w:p>
        </w:tc>
      </w:tr>
      <w:tr w:rsidR="00EF6A0E" w14:paraId="2A5AE186" w14:textId="77777777">
        <w:trPr>
          <w:trHeight w:val="570"/>
          <w:jc w:val="center"/>
        </w:trPr>
        <w:tc>
          <w:tcPr>
            <w:tcW w:w="1080" w:type="dxa"/>
            <w:vMerge/>
            <w:tcBorders>
              <w:top w:val="single" w:sz="8" w:space="0" w:color="000000"/>
              <w:left w:val="single" w:sz="12" w:space="0" w:color="000000"/>
              <w:bottom w:val="single" w:sz="12" w:space="0" w:color="000000"/>
              <w:right w:val="single" w:sz="8" w:space="0" w:color="000000"/>
            </w:tcBorders>
            <w:shd w:val="clear" w:color="auto" w:fill="auto"/>
            <w:vAlign w:val="center"/>
          </w:tcPr>
          <w:p w14:paraId="7AD354FF"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870BE4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土地使用年限</w:t>
            </w:r>
          </w:p>
        </w:tc>
        <w:tc>
          <w:tcPr>
            <w:tcW w:w="6060" w:type="dxa"/>
            <w:gridSpan w:val="4"/>
            <w:tcBorders>
              <w:top w:val="single" w:sz="8" w:space="0" w:color="000000"/>
              <w:left w:val="single" w:sz="8" w:space="0" w:color="000000"/>
              <w:bottom w:val="single" w:sz="8" w:space="0" w:color="000000"/>
              <w:right w:val="single" w:sz="12" w:space="0" w:color="000000"/>
            </w:tcBorders>
            <w:shd w:val="clear" w:color="auto" w:fill="auto"/>
            <w:vAlign w:val="center"/>
          </w:tcPr>
          <w:p w14:paraId="3840D5E7" w14:textId="6B534B6B" w:rsidR="00EF6A0E" w:rsidRDefault="00262BA9">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住宅土地使用年限均为7</w:t>
            </w:r>
            <w:r>
              <w:rPr>
                <w:rFonts w:ascii="宋体" w:hAnsi="宋体" w:cs="宋体"/>
                <w:color w:val="000000"/>
                <w:kern w:val="0"/>
                <w:sz w:val="22"/>
                <w:szCs w:val="22"/>
                <w:lang w:bidi="ar"/>
              </w:rPr>
              <w:t>0</w:t>
            </w:r>
            <w:r>
              <w:rPr>
                <w:rFonts w:ascii="宋体" w:hAnsi="宋体" w:cs="宋体" w:hint="eastAsia"/>
                <w:color w:val="000000"/>
                <w:kern w:val="0"/>
                <w:sz w:val="22"/>
                <w:szCs w:val="22"/>
                <w:lang w:bidi="ar"/>
              </w:rPr>
              <w:t>年，到期可延展。故设定土地使用年限一致</w:t>
            </w:r>
          </w:p>
        </w:tc>
      </w:tr>
      <w:tr w:rsidR="00EF6A0E" w14:paraId="727D80FE" w14:textId="77777777">
        <w:trPr>
          <w:trHeight w:val="570"/>
          <w:jc w:val="center"/>
        </w:trPr>
        <w:tc>
          <w:tcPr>
            <w:tcW w:w="1080" w:type="dxa"/>
            <w:vMerge/>
            <w:tcBorders>
              <w:top w:val="single" w:sz="8" w:space="0" w:color="000000"/>
              <w:left w:val="single" w:sz="12" w:space="0" w:color="000000"/>
              <w:bottom w:val="single" w:sz="12" w:space="0" w:color="000000"/>
              <w:right w:val="single" w:sz="8" w:space="0" w:color="000000"/>
            </w:tcBorders>
            <w:shd w:val="clear" w:color="auto" w:fill="auto"/>
            <w:vAlign w:val="center"/>
          </w:tcPr>
          <w:p w14:paraId="7B8AAD04"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21C5C6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规划条件</w:t>
            </w:r>
          </w:p>
        </w:tc>
        <w:tc>
          <w:tcPr>
            <w:tcW w:w="6060" w:type="dxa"/>
            <w:gridSpan w:val="4"/>
            <w:tcBorders>
              <w:top w:val="single" w:sz="8" w:space="0" w:color="000000"/>
              <w:left w:val="single" w:sz="8" w:space="0" w:color="000000"/>
              <w:bottom w:val="single" w:sz="8" w:space="0" w:color="000000"/>
              <w:right w:val="single" w:sz="12" w:space="0" w:color="000000"/>
            </w:tcBorders>
            <w:shd w:val="clear" w:color="auto" w:fill="auto"/>
            <w:vAlign w:val="center"/>
          </w:tcPr>
          <w:p w14:paraId="6511AF43" w14:textId="300C8043" w:rsidR="00EF6A0E" w:rsidRDefault="00EF6A0E">
            <w:pPr>
              <w:widowControl/>
              <w:jc w:val="center"/>
              <w:textAlignment w:val="center"/>
              <w:rPr>
                <w:rFonts w:ascii="宋体" w:hAnsi="宋体" w:cs="宋体"/>
                <w:color w:val="000000"/>
                <w:sz w:val="22"/>
                <w:szCs w:val="22"/>
              </w:rPr>
            </w:pPr>
          </w:p>
        </w:tc>
      </w:tr>
      <w:tr w:rsidR="00EF6A0E" w14:paraId="1C6DE604" w14:textId="77777777">
        <w:trPr>
          <w:trHeight w:val="285"/>
          <w:jc w:val="center"/>
        </w:trPr>
        <w:tc>
          <w:tcPr>
            <w:tcW w:w="1080" w:type="dxa"/>
            <w:vMerge/>
            <w:tcBorders>
              <w:top w:val="single" w:sz="8" w:space="0" w:color="000000"/>
              <w:left w:val="single" w:sz="12" w:space="0" w:color="000000"/>
              <w:bottom w:val="single" w:sz="12" w:space="0" w:color="000000"/>
              <w:right w:val="single" w:sz="8" w:space="0" w:color="000000"/>
            </w:tcBorders>
            <w:shd w:val="clear" w:color="auto" w:fill="auto"/>
            <w:vAlign w:val="center"/>
          </w:tcPr>
          <w:p w14:paraId="53CA8071" w14:textId="77777777" w:rsidR="00EF6A0E" w:rsidRDefault="00EF6A0E">
            <w:pPr>
              <w:jc w:val="center"/>
              <w:rPr>
                <w:rFonts w:ascii="宋体" w:hAnsi="宋体" w:cs="宋体"/>
                <w:color w:val="000000"/>
                <w:sz w:val="22"/>
                <w:szCs w:val="22"/>
              </w:rPr>
            </w:pPr>
          </w:p>
        </w:tc>
        <w:tc>
          <w:tcPr>
            <w:tcW w:w="2160" w:type="dxa"/>
            <w:gridSpan w:val="2"/>
            <w:tcBorders>
              <w:top w:val="single" w:sz="8" w:space="0" w:color="000000"/>
              <w:left w:val="single" w:sz="8" w:space="0" w:color="000000"/>
              <w:bottom w:val="single" w:sz="12" w:space="0" w:color="000000"/>
              <w:right w:val="single" w:sz="8" w:space="0" w:color="000000"/>
            </w:tcBorders>
            <w:shd w:val="clear" w:color="auto" w:fill="auto"/>
            <w:vAlign w:val="center"/>
          </w:tcPr>
          <w:p w14:paraId="1AAE45BF" w14:textId="77777777" w:rsidR="00EF6A0E" w:rsidRDefault="00000000">
            <w:pPr>
              <w:widowControl/>
              <w:jc w:val="center"/>
              <w:textAlignment w:val="center"/>
              <w:rPr>
                <w:rFonts w:ascii="宋体" w:hAnsi="宋体" w:cs="宋体"/>
                <w:color w:val="000000"/>
                <w:sz w:val="22"/>
                <w:szCs w:val="22"/>
              </w:rPr>
            </w:pPr>
            <w:r w:rsidRPr="00030C94">
              <w:rPr>
                <w:rFonts w:ascii="宋体" w:hAnsi="宋体" w:cs="宋体" w:hint="eastAsia"/>
                <w:kern w:val="0"/>
                <w:sz w:val="22"/>
                <w:szCs w:val="22"/>
                <w:lang w:bidi="ar"/>
              </w:rPr>
              <w:t>他项权利</w:t>
            </w:r>
          </w:p>
        </w:tc>
        <w:tc>
          <w:tcPr>
            <w:tcW w:w="1515" w:type="dxa"/>
            <w:tcBorders>
              <w:top w:val="nil"/>
              <w:left w:val="nil"/>
              <w:bottom w:val="single" w:sz="12" w:space="0" w:color="000000"/>
              <w:right w:val="single" w:sz="8" w:space="0" w:color="000000"/>
            </w:tcBorders>
            <w:shd w:val="clear" w:color="auto" w:fill="auto"/>
            <w:vAlign w:val="center"/>
          </w:tcPr>
          <w:p w14:paraId="2AB669EF" w14:textId="4FA489E4" w:rsidR="00EF6A0E" w:rsidRDefault="00262BA9">
            <w:pPr>
              <w:widowControl/>
              <w:jc w:val="center"/>
              <w:textAlignment w:val="center"/>
              <w:rPr>
                <w:rFonts w:ascii="宋体" w:hAnsi="宋体" w:cs="宋体"/>
                <w:color w:val="000000"/>
                <w:sz w:val="22"/>
                <w:szCs w:val="22"/>
              </w:rPr>
            </w:pPr>
            <w:r>
              <w:rPr>
                <w:rFonts w:ascii="宋体" w:hAnsi="宋体" w:cs="宋体" w:hint="eastAsia"/>
                <w:color w:val="000000"/>
                <w:sz w:val="22"/>
                <w:szCs w:val="22"/>
              </w:rPr>
              <w:t>抵押</w:t>
            </w:r>
          </w:p>
        </w:tc>
        <w:tc>
          <w:tcPr>
            <w:tcW w:w="1515" w:type="dxa"/>
            <w:tcBorders>
              <w:top w:val="nil"/>
              <w:left w:val="nil"/>
              <w:bottom w:val="single" w:sz="12" w:space="0" w:color="000000"/>
              <w:right w:val="single" w:sz="8" w:space="0" w:color="000000"/>
            </w:tcBorders>
            <w:shd w:val="clear" w:color="auto" w:fill="auto"/>
            <w:vAlign w:val="center"/>
          </w:tcPr>
          <w:p w14:paraId="330ABC7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未设定</w:t>
            </w:r>
          </w:p>
        </w:tc>
        <w:tc>
          <w:tcPr>
            <w:tcW w:w="1515" w:type="dxa"/>
            <w:tcBorders>
              <w:top w:val="nil"/>
              <w:left w:val="nil"/>
              <w:bottom w:val="single" w:sz="12" w:space="0" w:color="000000"/>
              <w:right w:val="single" w:sz="8" w:space="0" w:color="000000"/>
            </w:tcBorders>
            <w:shd w:val="clear" w:color="auto" w:fill="auto"/>
            <w:vAlign w:val="center"/>
          </w:tcPr>
          <w:p w14:paraId="3DED9F8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未设定</w:t>
            </w:r>
          </w:p>
        </w:tc>
        <w:tc>
          <w:tcPr>
            <w:tcW w:w="1515" w:type="dxa"/>
            <w:tcBorders>
              <w:top w:val="nil"/>
              <w:left w:val="nil"/>
              <w:bottom w:val="single" w:sz="12" w:space="0" w:color="000000"/>
              <w:right w:val="single" w:sz="12" w:space="0" w:color="000000"/>
            </w:tcBorders>
            <w:shd w:val="clear" w:color="auto" w:fill="auto"/>
            <w:vAlign w:val="center"/>
          </w:tcPr>
          <w:p w14:paraId="600E375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未设定</w:t>
            </w:r>
          </w:p>
        </w:tc>
      </w:tr>
    </w:tbl>
    <w:p w14:paraId="3F1DE006" w14:textId="77777777" w:rsidR="00EF6A0E" w:rsidRDefault="00000000">
      <w:pPr>
        <w:spacing w:line="440" w:lineRule="exact"/>
        <w:ind w:firstLineChars="200" w:firstLine="520"/>
        <w:rPr>
          <w:rFonts w:eastAsia="仿宋_GB2312"/>
          <w:sz w:val="26"/>
          <w:szCs w:val="26"/>
        </w:rPr>
      </w:pPr>
      <w:r>
        <w:rPr>
          <w:rFonts w:eastAsia="仿宋_GB2312"/>
          <w:sz w:val="26"/>
          <w:szCs w:val="26"/>
        </w:rPr>
        <w:t>4</w:t>
      </w:r>
      <w:r>
        <w:rPr>
          <w:rFonts w:eastAsia="仿宋_GB2312"/>
          <w:sz w:val="26"/>
          <w:szCs w:val="26"/>
        </w:rPr>
        <w:t>、确定比较因素条件指数</w:t>
      </w:r>
    </w:p>
    <w:tbl>
      <w:tblPr>
        <w:tblW w:w="9071" w:type="dxa"/>
        <w:jc w:val="center"/>
        <w:tblLook w:val="04A0" w:firstRow="1" w:lastRow="0" w:firstColumn="1" w:lastColumn="0" w:noHBand="0" w:noVBand="1"/>
      </w:tblPr>
      <w:tblGrid>
        <w:gridCol w:w="772"/>
        <w:gridCol w:w="1008"/>
        <w:gridCol w:w="1188"/>
        <w:gridCol w:w="1391"/>
        <w:gridCol w:w="1661"/>
        <w:gridCol w:w="1646"/>
        <w:gridCol w:w="1661"/>
      </w:tblGrid>
      <w:tr w:rsidR="00EF6A0E" w14:paraId="372D484F" w14:textId="77777777" w:rsidTr="00085327">
        <w:trPr>
          <w:trHeight w:val="285"/>
          <w:jc w:val="center"/>
        </w:trPr>
        <w:tc>
          <w:tcPr>
            <w:tcW w:w="9071" w:type="dxa"/>
            <w:gridSpan w:val="7"/>
            <w:tcBorders>
              <w:top w:val="nil"/>
              <w:left w:val="nil"/>
              <w:bottom w:val="single" w:sz="12" w:space="0" w:color="000000"/>
              <w:right w:val="nil"/>
            </w:tcBorders>
            <w:shd w:val="clear" w:color="auto" w:fill="auto"/>
            <w:noWrap/>
            <w:vAlign w:val="center"/>
          </w:tcPr>
          <w:p w14:paraId="78282556" w14:textId="77777777" w:rsidR="00EF6A0E" w:rsidRDefault="00000000">
            <w:pPr>
              <w:widowControl/>
              <w:jc w:val="center"/>
              <w:textAlignment w:val="center"/>
              <w:rPr>
                <w:rFonts w:ascii="仿宋_GB2312" w:eastAsia="仿宋_GB2312" w:hAnsi="宋体" w:cs="仿宋_GB2312"/>
                <w:b/>
                <w:bCs/>
                <w:color w:val="000000"/>
                <w:sz w:val="23"/>
                <w:szCs w:val="23"/>
              </w:rPr>
            </w:pPr>
            <w:r>
              <w:rPr>
                <w:rFonts w:ascii="仿宋_GB2312" w:eastAsia="仿宋_GB2312" w:hAnsi="宋体" w:cs="仿宋_GB2312"/>
                <w:b/>
                <w:bCs/>
                <w:color w:val="000000"/>
                <w:kern w:val="0"/>
                <w:sz w:val="23"/>
                <w:szCs w:val="23"/>
                <w:lang w:bidi="ar"/>
              </w:rPr>
              <w:t>比较因素条件指数表</w:t>
            </w:r>
          </w:p>
        </w:tc>
      </w:tr>
      <w:tr w:rsidR="00EF6A0E" w14:paraId="005B9144" w14:textId="77777777" w:rsidTr="00085327">
        <w:trPr>
          <w:trHeight w:val="315"/>
          <w:jc w:val="center"/>
        </w:trPr>
        <w:tc>
          <w:tcPr>
            <w:tcW w:w="0" w:type="auto"/>
            <w:gridSpan w:val="3"/>
            <w:tcBorders>
              <w:top w:val="single" w:sz="12" w:space="0" w:color="000000"/>
              <w:left w:val="single" w:sz="12" w:space="0" w:color="000000"/>
              <w:bottom w:val="single" w:sz="8" w:space="0" w:color="000000"/>
              <w:right w:val="single" w:sz="8" w:space="0" w:color="000000"/>
            </w:tcBorders>
            <w:shd w:val="clear" w:color="auto" w:fill="auto"/>
            <w:noWrap/>
            <w:vAlign w:val="center"/>
          </w:tcPr>
          <w:p w14:paraId="5F3BC01C"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比较因素</w:t>
            </w:r>
          </w:p>
        </w:tc>
        <w:tc>
          <w:tcPr>
            <w:tcW w:w="0" w:type="auto"/>
            <w:tcBorders>
              <w:top w:val="single" w:sz="12" w:space="0" w:color="000000"/>
              <w:left w:val="nil"/>
              <w:bottom w:val="single" w:sz="8" w:space="0" w:color="000000"/>
              <w:right w:val="single" w:sz="8" w:space="0" w:color="000000"/>
            </w:tcBorders>
            <w:shd w:val="clear" w:color="auto" w:fill="auto"/>
            <w:noWrap/>
            <w:vAlign w:val="center"/>
          </w:tcPr>
          <w:p w14:paraId="1245E1F8"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估价对象</w:t>
            </w:r>
          </w:p>
        </w:tc>
        <w:tc>
          <w:tcPr>
            <w:tcW w:w="0" w:type="auto"/>
            <w:tcBorders>
              <w:top w:val="single" w:sz="12" w:space="0" w:color="000000"/>
              <w:left w:val="nil"/>
              <w:bottom w:val="single" w:sz="8" w:space="0" w:color="000000"/>
              <w:right w:val="single" w:sz="8" w:space="0" w:color="000000"/>
            </w:tcBorders>
            <w:shd w:val="clear" w:color="auto" w:fill="auto"/>
            <w:noWrap/>
            <w:vAlign w:val="center"/>
          </w:tcPr>
          <w:p w14:paraId="1DFA9ADF"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A</w:t>
            </w:r>
          </w:p>
        </w:tc>
        <w:tc>
          <w:tcPr>
            <w:tcW w:w="0" w:type="auto"/>
            <w:tcBorders>
              <w:top w:val="single" w:sz="12" w:space="0" w:color="000000"/>
              <w:left w:val="nil"/>
              <w:bottom w:val="single" w:sz="8" w:space="0" w:color="000000"/>
              <w:right w:val="single" w:sz="8" w:space="0" w:color="000000"/>
            </w:tcBorders>
            <w:shd w:val="clear" w:color="auto" w:fill="auto"/>
            <w:noWrap/>
            <w:vAlign w:val="center"/>
          </w:tcPr>
          <w:p w14:paraId="32142432"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B</w:t>
            </w:r>
          </w:p>
        </w:tc>
        <w:tc>
          <w:tcPr>
            <w:tcW w:w="0" w:type="auto"/>
            <w:tcBorders>
              <w:top w:val="single" w:sz="12" w:space="0" w:color="000000"/>
              <w:left w:val="nil"/>
              <w:bottom w:val="single" w:sz="8" w:space="0" w:color="000000"/>
              <w:right w:val="single" w:sz="12" w:space="0" w:color="000000"/>
            </w:tcBorders>
            <w:shd w:val="clear" w:color="auto" w:fill="auto"/>
            <w:noWrap/>
            <w:vAlign w:val="center"/>
          </w:tcPr>
          <w:p w14:paraId="49BD5B12"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C</w:t>
            </w:r>
          </w:p>
        </w:tc>
      </w:tr>
      <w:tr w:rsidR="00AA2BDD" w14:paraId="39B3D6E0" w14:textId="77777777" w:rsidTr="00085327">
        <w:trPr>
          <w:trHeight w:val="315"/>
          <w:jc w:val="center"/>
        </w:trPr>
        <w:tc>
          <w:tcPr>
            <w:tcW w:w="0" w:type="auto"/>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53E09B5E" w14:textId="77777777" w:rsidR="00AA2BDD" w:rsidRDefault="00AA2BDD" w:rsidP="00AA2BD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可比实例价格（元）</w:t>
            </w:r>
          </w:p>
        </w:tc>
        <w:tc>
          <w:tcPr>
            <w:tcW w:w="0" w:type="auto"/>
            <w:tcBorders>
              <w:top w:val="nil"/>
              <w:left w:val="nil"/>
              <w:bottom w:val="single" w:sz="8" w:space="0" w:color="000000"/>
              <w:right w:val="single" w:sz="8" w:space="0" w:color="000000"/>
            </w:tcBorders>
            <w:shd w:val="clear" w:color="auto" w:fill="auto"/>
            <w:noWrap/>
            <w:vAlign w:val="center"/>
          </w:tcPr>
          <w:p w14:paraId="6AB551CB" w14:textId="77777777" w:rsidR="00AA2BDD" w:rsidRDefault="00AA2BDD" w:rsidP="00AA2BDD">
            <w:pPr>
              <w:widowControl/>
              <w:jc w:val="center"/>
              <w:textAlignment w:val="center"/>
              <w:rPr>
                <w:color w:val="000000"/>
                <w:sz w:val="22"/>
                <w:szCs w:val="22"/>
              </w:rPr>
            </w:pPr>
            <w:r>
              <w:rPr>
                <w:color w:val="000000"/>
                <w:kern w:val="0"/>
                <w:sz w:val="22"/>
                <w:szCs w:val="22"/>
                <w:lang w:bidi="ar"/>
              </w:rPr>
              <w:t>----</w:t>
            </w:r>
          </w:p>
        </w:tc>
        <w:tc>
          <w:tcPr>
            <w:tcW w:w="0" w:type="auto"/>
            <w:tcBorders>
              <w:top w:val="nil"/>
              <w:left w:val="nil"/>
              <w:bottom w:val="single" w:sz="8" w:space="0" w:color="000000"/>
              <w:right w:val="single" w:sz="8" w:space="0" w:color="000000"/>
            </w:tcBorders>
            <w:shd w:val="clear" w:color="auto" w:fill="auto"/>
            <w:noWrap/>
            <w:vAlign w:val="center"/>
          </w:tcPr>
          <w:p w14:paraId="490FCF82" w14:textId="05FAAF47" w:rsidR="00AA2BDD" w:rsidRDefault="00AA2BDD" w:rsidP="00AA2BDD">
            <w:pPr>
              <w:widowControl/>
              <w:jc w:val="center"/>
              <w:textAlignment w:val="center"/>
              <w:rPr>
                <w:color w:val="000000"/>
                <w:sz w:val="22"/>
                <w:szCs w:val="22"/>
              </w:rPr>
            </w:pPr>
            <w:r>
              <w:rPr>
                <w:color w:val="000000"/>
                <w:kern w:val="0"/>
                <w:sz w:val="22"/>
                <w:szCs w:val="22"/>
                <w:lang w:bidi="ar"/>
              </w:rPr>
              <w:t>3730</w:t>
            </w:r>
          </w:p>
        </w:tc>
        <w:tc>
          <w:tcPr>
            <w:tcW w:w="0" w:type="auto"/>
            <w:tcBorders>
              <w:top w:val="nil"/>
              <w:left w:val="nil"/>
              <w:bottom w:val="single" w:sz="8" w:space="0" w:color="000000"/>
              <w:right w:val="single" w:sz="8" w:space="0" w:color="000000"/>
            </w:tcBorders>
            <w:shd w:val="clear" w:color="auto" w:fill="auto"/>
            <w:noWrap/>
            <w:vAlign w:val="center"/>
          </w:tcPr>
          <w:p w14:paraId="7E98843E" w14:textId="3E2C1A21" w:rsidR="00AA2BDD" w:rsidRDefault="00AA2BDD" w:rsidP="00AA2BDD">
            <w:pPr>
              <w:widowControl/>
              <w:jc w:val="center"/>
              <w:textAlignment w:val="center"/>
              <w:rPr>
                <w:color w:val="000000"/>
                <w:sz w:val="22"/>
                <w:szCs w:val="22"/>
              </w:rPr>
            </w:pPr>
            <w:r>
              <w:rPr>
                <w:color w:val="000000"/>
                <w:kern w:val="0"/>
                <w:sz w:val="22"/>
                <w:szCs w:val="22"/>
                <w:lang w:bidi="ar"/>
              </w:rPr>
              <w:t>3284</w:t>
            </w:r>
          </w:p>
        </w:tc>
        <w:tc>
          <w:tcPr>
            <w:tcW w:w="0" w:type="auto"/>
            <w:tcBorders>
              <w:top w:val="nil"/>
              <w:left w:val="nil"/>
              <w:bottom w:val="single" w:sz="8" w:space="0" w:color="000000"/>
              <w:right w:val="single" w:sz="8" w:space="0" w:color="000000"/>
            </w:tcBorders>
            <w:shd w:val="clear" w:color="auto" w:fill="auto"/>
            <w:noWrap/>
            <w:vAlign w:val="center"/>
          </w:tcPr>
          <w:p w14:paraId="3C162C72" w14:textId="594A4EB0" w:rsidR="00AA2BDD" w:rsidRDefault="00AA2BDD" w:rsidP="00AA2BDD">
            <w:pPr>
              <w:widowControl/>
              <w:jc w:val="center"/>
              <w:textAlignment w:val="center"/>
              <w:rPr>
                <w:color w:val="000000"/>
                <w:sz w:val="22"/>
                <w:szCs w:val="22"/>
              </w:rPr>
            </w:pPr>
            <w:r>
              <w:rPr>
                <w:color w:val="000000"/>
                <w:kern w:val="0"/>
                <w:sz w:val="22"/>
                <w:szCs w:val="22"/>
                <w:lang w:bidi="ar"/>
              </w:rPr>
              <w:t>4404</w:t>
            </w:r>
          </w:p>
        </w:tc>
      </w:tr>
      <w:tr w:rsidR="00EF6A0E" w14:paraId="3C458774" w14:textId="77777777" w:rsidTr="00085327">
        <w:trPr>
          <w:trHeight w:val="315"/>
          <w:jc w:val="center"/>
        </w:trPr>
        <w:tc>
          <w:tcPr>
            <w:tcW w:w="0" w:type="auto"/>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4347117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交易情况修正</w:t>
            </w:r>
          </w:p>
        </w:tc>
        <w:tc>
          <w:tcPr>
            <w:tcW w:w="0" w:type="auto"/>
            <w:tcBorders>
              <w:top w:val="nil"/>
              <w:left w:val="nil"/>
              <w:bottom w:val="single" w:sz="8" w:space="0" w:color="000000"/>
              <w:right w:val="single" w:sz="8" w:space="0" w:color="000000"/>
            </w:tcBorders>
            <w:shd w:val="clear" w:color="auto" w:fill="auto"/>
            <w:noWrap/>
            <w:vAlign w:val="center"/>
          </w:tcPr>
          <w:p w14:paraId="1875BDA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7F964B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599B166"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643765B4"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6D3028A6" w14:textId="77777777" w:rsidTr="00085327">
        <w:trPr>
          <w:trHeight w:val="315"/>
          <w:jc w:val="center"/>
        </w:trPr>
        <w:tc>
          <w:tcPr>
            <w:tcW w:w="0" w:type="auto"/>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526A378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市场状况调整</w:t>
            </w:r>
          </w:p>
        </w:tc>
        <w:tc>
          <w:tcPr>
            <w:tcW w:w="0" w:type="auto"/>
            <w:tcBorders>
              <w:top w:val="nil"/>
              <w:left w:val="nil"/>
              <w:bottom w:val="single" w:sz="8" w:space="0" w:color="000000"/>
              <w:right w:val="single" w:sz="8" w:space="0" w:color="000000"/>
            </w:tcBorders>
            <w:shd w:val="clear" w:color="auto" w:fill="auto"/>
            <w:noWrap/>
            <w:vAlign w:val="center"/>
          </w:tcPr>
          <w:p w14:paraId="4FE1B77F"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2149617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172D2CBC"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3B19F09A"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74694394" w14:textId="77777777" w:rsidTr="00085327">
        <w:trPr>
          <w:trHeight w:val="555"/>
          <w:jc w:val="center"/>
        </w:trPr>
        <w:tc>
          <w:tcPr>
            <w:tcW w:w="784" w:type="dxa"/>
            <w:vMerge w:val="restart"/>
            <w:tcBorders>
              <w:top w:val="nil"/>
              <w:left w:val="single" w:sz="12" w:space="0" w:color="000000"/>
              <w:bottom w:val="single" w:sz="8" w:space="0" w:color="000000"/>
              <w:right w:val="single" w:sz="8" w:space="0" w:color="000000"/>
            </w:tcBorders>
            <w:shd w:val="clear" w:color="auto" w:fill="auto"/>
            <w:vAlign w:val="center"/>
          </w:tcPr>
          <w:p w14:paraId="6B9446F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区域状况调整</w:t>
            </w:r>
          </w:p>
        </w:tc>
        <w:tc>
          <w:tcPr>
            <w:tcW w:w="10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2724EE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位置状况</w:t>
            </w:r>
          </w:p>
        </w:tc>
        <w:tc>
          <w:tcPr>
            <w:tcW w:w="1188" w:type="dxa"/>
            <w:tcBorders>
              <w:top w:val="nil"/>
              <w:left w:val="nil"/>
              <w:bottom w:val="single" w:sz="8" w:space="0" w:color="000000"/>
              <w:right w:val="single" w:sz="8" w:space="0" w:color="000000"/>
            </w:tcBorders>
            <w:shd w:val="clear" w:color="auto" w:fill="auto"/>
            <w:vAlign w:val="center"/>
          </w:tcPr>
          <w:p w14:paraId="664A25D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方位及距离</w:t>
            </w:r>
          </w:p>
        </w:tc>
        <w:tc>
          <w:tcPr>
            <w:tcW w:w="0" w:type="auto"/>
            <w:tcBorders>
              <w:top w:val="nil"/>
              <w:left w:val="nil"/>
              <w:bottom w:val="single" w:sz="8" w:space="0" w:color="000000"/>
              <w:right w:val="single" w:sz="8" w:space="0" w:color="000000"/>
            </w:tcBorders>
            <w:shd w:val="clear" w:color="auto" w:fill="auto"/>
            <w:noWrap/>
            <w:vAlign w:val="center"/>
          </w:tcPr>
          <w:p w14:paraId="459BC510"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3E3C39E"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3D43ED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107BB206"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2706A588"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055275D6"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7F49F7"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79455D8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朝向</w:t>
            </w:r>
          </w:p>
        </w:tc>
        <w:tc>
          <w:tcPr>
            <w:tcW w:w="0" w:type="auto"/>
            <w:tcBorders>
              <w:top w:val="nil"/>
              <w:left w:val="nil"/>
              <w:bottom w:val="single" w:sz="8" w:space="0" w:color="000000"/>
              <w:right w:val="single" w:sz="8" w:space="0" w:color="000000"/>
            </w:tcBorders>
            <w:shd w:val="clear" w:color="auto" w:fill="auto"/>
            <w:noWrap/>
            <w:vAlign w:val="center"/>
          </w:tcPr>
          <w:p w14:paraId="7522B55F"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4F9504E8"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22EA1AD0"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A1371EF"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0C875B36"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450925BA"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F929D0"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13C5D0DB" w14:textId="77777777" w:rsidR="00EF6A0E" w:rsidRDefault="00000000">
            <w:pPr>
              <w:widowControl/>
              <w:jc w:val="center"/>
              <w:textAlignment w:val="center"/>
              <w:rPr>
                <w:rFonts w:ascii="宋体" w:hAnsi="宋体" w:cs="宋体"/>
                <w:color w:val="000000"/>
                <w:sz w:val="22"/>
                <w:szCs w:val="22"/>
              </w:rPr>
            </w:pPr>
            <w:r w:rsidRPr="00030C94">
              <w:rPr>
                <w:rFonts w:ascii="宋体" w:hAnsi="宋体" w:cs="宋体" w:hint="eastAsia"/>
                <w:color w:val="FF0000"/>
                <w:kern w:val="0"/>
                <w:sz w:val="22"/>
                <w:szCs w:val="22"/>
                <w:lang w:bidi="ar"/>
              </w:rPr>
              <w:t>楼层</w:t>
            </w:r>
          </w:p>
        </w:tc>
        <w:tc>
          <w:tcPr>
            <w:tcW w:w="0" w:type="auto"/>
            <w:tcBorders>
              <w:top w:val="nil"/>
              <w:left w:val="nil"/>
              <w:bottom w:val="single" w:sz="8" w:space="0" w:color="000000"/>
              <w:right w:val="single" w:sz="8" w:space="0" w:color="000000"/>
            </w:tcBorders>
            <w:shd w:val="clear" w:color="auto" w:fill="auto"/>
            <w:noWrap/>
            <w:vAlign w:val="center"/>
          </w:tcPr>
          <w:p w14:paraId="26EA0F3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C55960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A69727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A593D09" w14:textId="5982128C" w:rsidR="00EF6A0E" w:rsidRDefault="00030C94">
            <w:pPr>
              <w:widowControl/>
              <w:jc w:val="center"/>
              <w:textAlignment w:val="center"/>
              <w:rPr>
                <w:color w:val="000000"/>
                <w:sz w:val="22"/>
                <w:szCs w:val="22"/>
              </w:rPr>
            </w:pPr>
            <w:r>
              <w:rPr>
                <w:color w:val="000000"/>
                <w:kern w:val="0"/>
                <w:sz w:val="22"/>
                <w:szCs w:val="22"/>
                <w:lang w:bidi="ar"/>
              </w:rPr>
              <w:t>102</w:t>
            </w:r>
          </w:p>
        </w:tc>
      </w:tr>
      <w:tr w:rsidR="00EF6A0E" w14:paraId="2BBB44A1"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3FC2F165"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B3942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w:t>
            </w:r>
          </w:p>
        </w:tc>
        <w:tc>
          <w:tcPr>
            <w:tcW w:w="0" w:type="auto"/>
            <w:tcBorders>
              <w:top w:val="nil"/>
              <w:left w:val="nil"/>
              <w:bottom w:val="single" w:sz="8" w:space="0" w:color="000000"/>
              <w:right w:val="single" w:sz="8" w:space="0" w:color="000000"/>
            </w:tcBorders>
            <w:shd w:val="clear" w:color="auto" w:fill="auto"/>
            <w:noWrap/>
            <w:vAlign w:val="center"/>
          </w:tcPr>
          <w:p w14:paraId="684825B6"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2DBAD2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08DA80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4574C520"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39B1150E"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4A448C76" w14:textId="77777777" w:rsidR="00EF6A0E" w:rsidRDefault="00EF6A0E">
            <w:pPr>
              <w:jc w:val="center"/>
              <w:rPr>
                <w:rFonts w:ascii="宋体" w:hAnsi="宋体" w:cs="宋体"/>
                <w:color w:val="000000"/>
                <w:sz w:val="22"/>
                <w:szCs w:val="22"/>
              </w:rPr>
            </w:pPr>
          </w:p>
        </w:tc>
        <w:tc>
          <w:tcPr>
            <w:tcW w:w="10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2CD58A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交通情况</w:t>
            </w:r>
          </w:p>
        </w:tc>
        <w:tc>
          <w:tcPr>
            <w:tcW w:w="1188" w:type="dxa"/>
            <w:tcBorders>
              <w:top w:val="nil"/>
              <w:left w:val="nil"/>
              <w:bottom w:val="single" w:sz="8" w:space="0" w:color="000000"/>
              <w:right w:val="single" w:sz="8" w:space="0" w:color="000000"/>
            </w:tcBorders>
            <w:shd w:val="clear" w:color="auto" w:fill="auto"/>
            <w:vAlign w:val="center"/>
          </w:tcPr>
          <w:p w14:paraId="5ACE7A3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道路状况</w:t>
            </w:r>
          </w:p>
        </w:tc>
        <w:tc>
          <w:tcPr>
            <w:tcW w:w="0" w:type="auto"/>
            <w:tcBorders>
              <w:top w:val="nil"/>
              <w:left w:val="nil"/>
              <w:bottom w:val="single" w:sz="8" w:space="0" w:color="000000"/>
              <w:right w:val="single" w:sz="8" w:space="0" w:color="000000"/>
            </w:tcBorders>
            <w:shd w:val="clear" w:color="auto" w:fill="auto"/>
            <w:noWrap/>
            <w:vAlign w:val="center"/>
          </w:tcPr>
          <w:p w14:paraId="3E34A79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50E2A7E"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B80E710"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6B2D08A2"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3E1FB062" w14:textId="77777777" w:rsidTr="00085327">
        <w:trPr>
          <w:trHeight w:val="82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59818AA2"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B04CCE"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5B7F6083" w14:textId="77777777" w:rsidR="00EF6A0E" w:rsidRPr="00D70CE9" w:rsidRDefault="00000000">
            <w:pPr>
              <w:widowControl/>
              <w:jc w:val="center"/>
              <w:textAlignment w:val="center"/>
              <w:rPr>
                <w:rFonts w:ascii="宋体" w:hAnsi="宋体" w:cs="宋体"/>
                <w:color w:val="FF0000"/>
                <w:sz w:val="22"/>
                <w:szCs w:val="22"/>
              </w:rPr>
            </w:pPr>
            <w:r w:rsidRPr="00220C55">
              <w:rPr>
                <w:rFonts w:ascii="宋体" w:hAnsi="宋体" w:cs="宋体" w:hint="eastAsia"/>
                <w:color w:val="000000" w:themeColor="text1"/>
                <w:kern w:val="0"/>
                <w:sz w:val="22"/>
                <w:szCs w:val="22"/>
                <w:lang w:bidi="ar"/>
              </w:rPr>
              <w:t>出入可利用交通工具</w:t>
            </w:r>
          </w:p>
        </w:tc>
        <w:tc>
          <w:tcPr>
            <w:tcW w:w="0" w:type="auto"/>
            <w:tcBorders>
              <w:top w:val="nil"/>
              <w:left w:val="nil"/>
              <w:bottom w:val="single" w:sz="8" w:space="0" w:color="000000"/>
              <w:right w:val="single" w:sz="8" w:space="0" w:color="000000"/>
            </w:tcBorders>
            <w:shd w:val="clear" w:color="auto" w:fill="auto"/>
            <w:noWrap/>
            <w:vAlign w:val="center"/>
          </w:tcPr>
          <w:p w14:paraId="40A66E16"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4BDA1C6E"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9818B05"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49BEF73D" w14:textId="7BF93253" w:rsidR="00EF6A0E" w:rsidRDefault="00927F4C">
            <w:pPr>
              <w:widowControl/>
              <w:jc w:val="center"/>
              <w:textAlignment w:val="center"/>
              <w:rPr>
                <w:color w:val="000000"/>
                <w:sz w:val="22"/>
                <w:szCs w:val="22"/>
              </w:rPr>
            </w:pPr>
            <w:r>
              <w:rPr>
                <w:color w:val="000000"/>
                <w:kern w:val="0"/>
                <w:sz w:val="22"/>
                <w:szCs w:val="22"/>
                <w:lang w:bidi="ar"/>
              </w:rPr>
              <w:t>10</w:t>
            </w:r>
            <w:r w:rsidR="00220C55">
              <w:rPr>
                <w:color w:val="000000"/>
                <w:kern w:val="0"/>
                <w:sz w:val="22"/>
                <w:szCs w:val="22"/>
                <w:lang w:bidi="ar"/>
              </w:rPr>
              <w:t>0</w:t>
            </w:r>
          </w:p>
        </w:tc>
      </w:tr>
      <w:tr w:rsidR="00EF6A0E" w14:paraId="235AE2AD" w14:textId="77777777" w:rsidTr="00085327">
        <w:trPr>
          <w:trHeight w:val="55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60BE758B"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B03C74"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550BD148"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交通管制情况</w:t>
            </w:r>
          </w:p>
        </w:tc>
        <w:tc>
          <w:tcPr>
            <w:tcW w:w="0" w:type="auto"/>
            <w:tcBorders>
              <w:top w:val="nil"/>
              <w:left w:val="nil"/>
              <w:bottom w:val="single" w:sz="8" w:space="0" w:color="000000"/>
              <w:right w:val="single" w:sz="8" w:space="0" w:color="000000"/>
            </w:tcBorders>
            <w:shd w:val="clear" w:color="auto" w:fill="auto"/>
            <w:noWrap/>
            <w:vAlign w:val="center"/>
          </w:tcPr>
          <w:p w14:paraId="41689843"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4A62BC3"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5E9C77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496AC41"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6EA007CD" w14:textId="77777777" w:rsidTr="00085327">
        <w:trPr>
          <w:trHeight w:val="55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70B6CF00"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303022"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43B3490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停车方便程度</w:t>
            </w:r>
          </w:p>
        </w:tc>
        <w:tc>
          <w:tcPr>
            <w:tcW w:w="0" w:type="auto"/>
            <w:tcBorders>
              <w:top w:val="nil"/>
              <w:left w:val="nil"/>
              <w:bottom w:val="single" w:sz="8" w:space="0" w:color="000000"/>
              <w:right w:val="single" w:sz="8" w:space="0" w:color="000000"/>
            </w:tcBorders>
            <w:shd w:val="clear" w:color="auto" w:fill="auto"/>
            <w:noWrap/>
            <w:vAlign w:val="center"/>
          </w:tcPr>
          <w:p w14:paraId="5004EEE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84ED715"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39E2A6E"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55CE83B8"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36F62CB9"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0C583B23" w14:textId="77777777" w:rsidR="00EF6A0E" w:rsidRDefault="00EF6A0E">
            <w:pPr>
              <w:jc w:val="center"/>
              <w:rPr>
                <w:rFonts w:ascii="宋体" w:hAnsi="宋体" w:cs="宋体"/>
                <w:color w:val="000000"/>
                <w:sz w:val="22"/>
                <w:szCs w:val="22"/>
              </w:rPr>
            </w:pPr>
          </w:p>
        </w:tc>
        <w:tc>
          <w:tcPr>
            <w:tcW w:w="10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FE1645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环境状况</w:t>
            </w:r>
          </w:p>
        </w:tc>
        <w:tc>
          <w:tcPr>
            <w:tcW w:w="1188" w:type="dxa"/>
            <w:tcBorders>
              <w:top w:val="nil"/>
              <w:left w:val="nil"/>
              <w:bottom w:val="single" w:sz="8" w:space="0" w:color="000000"/>
              <w:right w:val="single" w:sz="8" w:space="0" w:color="000000"/>
            </w:tcBorders>
            <w:shd w:val="clear" w:color="auto" w:fill="auto"/>
            <w:vAlign w:val="center"/>
          </w:tcPr>
          <w:p w14:paraId="74D3210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自然环境</w:t>
            </w:r>
          </w:p>
        </w:tc>
        <w:tc>
          <w:tcPr>
            <w:tcW w:w="0" w:type="auto"/>
            <w:tcBorders>
              <w:top w:val="nil"/>
              <w:left w:val="nil"/>
              <w:bottom w:val="single" w:sz="8" w:space="0" w:color="000000"/>
              <w:right w:val="single" w:sz="8" w:space="0" w:color="000000"/>
            </w:tcBorders>
            <w:shd w:val="clear" w:color="auto" w:fill="auto"/>
            <w:noWrap/>
            <w:vAlign w:val="center"/>
          </w:tcPr>
          <w:p w14:paraId="62A768C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4B6A9226"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275941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3BE4F55"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61B0BD20"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1D1E7B91"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7732A8"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38DF2DB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人文环境</w:t>
            </w:r>
          </w:p>
        </w:tc>
        <w:tc>
          <w:tcPr>
            <w:tcW w:w="0" w:type="auto"/>
            <w:tcBorders>
              <w:top w:val="nil"/>
              <w:left w:val="nil"/>
              <w:bottom w:val="single" w:sz="8" w:space="0" w:color="000000"/>
              <w:right w:val="single" w:sz="8" w:space="0" w:color="000000"/>
            </w:tcBorders>
            <w:shd w:val="clear" w:color="auto" w:fill="auto"/>
            <w:noWrap/>
            <w:vAlign w:val="center"/>
          </w:tcPr>
          <w:p w14:paraId="64E9F21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DFA2F8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1FF3F7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38319869"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4A3DCF16"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54546252"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4CBAA2"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4EA0A05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景观</w:t>
            </w:r>
          </w:p>
        </w:tc>
        <w:tc>
          <w:tcPr>
            <w:tcW w:w="0" w:type="auto"/>
            <w:tcBorders>
              <w:top w:val="nil"/>
              <w:left w:val="nil"/>
              <w:bottom w:val="single" w:sz="8" w:space="0" w:color="000000"/>
              <w:right w:val="single" w:sz="8" w:space="0" w:color="000000"/>
            </w:tcBorders>
            <w:shd w:val="clear" w:color="auto" w:fill="auto"/>
            <w:noWrap/>
            <w:vAlign w:val="center"/>
          </w:tcPr>
          <w:p w14:paraId="0333C1A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3992FA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6C53F6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681D61CC"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3F8EF458"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403E621F" w14:textId="77777777" w:rsidR="00EF6A0E" w:rsidRDefault="00EF6A0E">
            <w:pPr>
              <w:jc w:val="center"/>
              <w:rPr>
                <w:rFonts w:ascii="宋体" w:hAnsi="宋体" w:cs="宋体"/>
                <w:color w:val="000000"/>
                <w:sz w:val="22"/>
                <w:szCs w:val="22"/>
              </w:rPr>
            </w:pPr>
          </w:p>
        </w:tc>
        <w:tc>
          <w:tcPr>
            <w:tcW w:w="10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47250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外部配套设施</w:t>
            </w:r>
          </w:p>
        </w:tc>
        <w:tc>
          <w:tcPr>
            <w:tcW w:w="1188" w:type="dxa"/>
            <w:tcBorders>
              <w:top w:val="nil"/>
              <w:left w:val="nil"/>
              <w:bottom w:val="single" w:sz="8" w:space="0" w:color="000000"/>
              <w:right w:val="single" w:sz="8" w:space="0" w:color="000000"/>
            </w:tcBorders>
            <w:shd w:val="clear" w:color="auto" w:fill="auto"/>
            <w:vAlign w:val="center"/>
          </w:tcPr>
          <w:p w14:paraId="2863D78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基础设施</w:t>
            </w:r>
          </w:p>
        </w:tc>
        <w:tc>
          <w:tcPr>
            <w:tcW w:w="0" w:type="auto"/>
            <w:tcBorders>
              <w:top w:val="nil"/>
              <w:left w:val="nil"/>
              <w:bottom w:val="single" w:sz="8" w:space="0" w:color="000000"/>
              <w:right w:val="single" w:sz="8" w:space="0" w:color="000000"/>
            </w:tcBorders>
            <w:shd w:val="clear" w:color="auto" w:fill="auto"/>
            <w:noWrap/>
            <w:vAlign w:val="center"/>
          </w:tcPr>
          <w:p w14:paraId="195138E8"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C00D95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279F069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1ACCD834"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7DB4C912" w14:textId="77777777" w:rsidTr="00085327">
        <w:trPr>
          <w:trHeight w:val="55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6A40A94F" w14:textId="77777777" w:rsidR="00EF6A0E" w:rsidRDefault="00EF6A0E">
            <w:pPr>
              <w:jc w:val="center"/>
              <w:rPr>
                <w:rFonts w:ascii="宋体" w:hAnsi="宋体" w:cs="宋体"/>
                <w:color w:val="000000"/>
                <w:sz w:val="22"/>
                <w:szCs w:val="22"/>
              </w:rPr>
            </w:pPr>
          </w:p>
        </w:tc>
        <w:tc>
          <w:tcPr>
            <w:tcW w:w="10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AC37A1" w14:textId="77777777" w:rsidR="00EF6A0E" w:rsidRDefault="00EF6A0E">
            <w:pPr>
              <w:jc w:val="center"/>
              <w:rPr>
                <w:rFonts w:ascii="宋体" w:hAnsi="宋体" w:cs="宋体"/>
                <w:color w:val="000000"/>
                <w:sz w:val="22"/>
                <w:szCs w:val="22"/>
              </w:rPr>
            </w:pPr>
          </w:p>
        </w:tc>
        <w:tc>
          <w:tcPr>
            <w:tcW w:w="1188" w:type="dxa"/>
            <w:tcBorders>
              <w:top w:val="nil"/>
              <w:left w:val="nil"/>
              <w:bottom w:val="single" w:sz="8" w:space="0" w:color="000000"/>
              <w:right w:val="single" w:sz="8" w:space="0" w:color="000000"/>
            </w:tcBorders>
            <w:shd w:val="clear" w:color="auto" w:fill="auto"/>
            <w:vAlign w:val="center"/>
          </w:tcPr>
          <w:p w14:paraId="62DF05F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公共服务设施</w:t>
            </w:r>
          </w:p>
        </w:tc>
        <w:tc>
          <w:tcPr>
            <w:tcW w:w="0" w:type="auto"/>
            <w:tcBorders>
              <w:top w:val="nil"/>
              <w:left w:val="nil"/>
              <w:bottom w:val="single" w:sz="8" w:space="0" w:color="000000"/>
              <w:right w:val="single" w:sz="8" w:space="0" w:color="000000"/>
            </w:tcBorders>
            <w:shd w:val="clear" w:color="auto" w:fill="auto"/>
            <w:noWrap/>
            <w:vAlign w:val="center"/>
          </w:tcPr>
          <w:p w14:paraId="20F48C7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0BE038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749B334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10A2832"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792E699B" w14:textId="77777777" w:rsidTr="00085327">
        <w:trPr>
          <w:trHeight w:val="315"/>
          <w:jc w:val="center"/>
        </w:trPr>
        <w:tc>
          <w:tcPr>
            <w:tcW w:w="784" w:type="dxa"/>
            <w:vMerge w:val="restart"/>
            <w:tcBorders>
              <w:top w:val="nil"/>
              <w:left w:val="single" w:sz="12" w:space="0" w:color="000000"/>
              <w:bottom w:val="single" w:sz="8" w:space="0" w:color="000000"/>
              <w:right w:val="single" w:sz="8" w:space="0" w:color="000000"/>
            </w:tcBorders>
            <w:shd w:val="clear" w:color="auto" w:fill="auto"/>
            <w:vAlign w:val="center"/>
          </w:tcPr>
          <w:p w14:paraId="1B92BF9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实物状况调整</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67CDA3A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建筑结构</w:t>
            </w:r>
          </w:p>
        </w:tc>
        <w:tc>
          <w:tcPr>
            <w:tcW w:w="0" w:type="auto"/>
            <w:tcBorders>
              <w:top w:val="nil"/>
              <w:left w:val="nil"/>
              <w:bottom w:val="single" w:sz="8" w:space="0" w:color="000000"/>
              <w:right w:val="single" w:sz="8" w:space="0" w:color="000000"/>
            </w:tcBorders>
            <w:shd w:val="clear" w:color="auto" w:fill="auto"/>
            <w:noWrap/>
            <w:vAlign w:val="center"/>
          </w:tcPr>
          <w:p w14:paraId="570C31A8"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9D9DAC4"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5AA57CA"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72F697E7"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3F5A1DC6"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049666B5"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18EEE9ED" w14:textId="77777777" w:rsidR="00EF6A0E" w:rsidRPr="00D70CE9" w:rsidRDefault="00000000">
            <w:pPr>
              <w:widowControl/>
              <w:jc w:val="center"/>
              <w:textAlignment w:val="center"/>
              <w:rPr>
                <w:rFonts w:ascii="宋体" w:hAnsi="宋体" w:cs="宋体"/>
                <w:color w:val="FF0000"/>
                <w:sz w:val="22"/>
                <w:szCs w:val="22"/>
              </w:rPr>
            </w:pPr>
            <w:r w:rsidRPr="00D70CE9">
              <w:rPr>
                <w:rFonts w:ascii="宋体" w:hAnsi="宋体" w:cs="宋体" w:hint="eastAsia"/>
                <w:color w:val="FF0000"/>
                <w:kern w:val="0"/>
                <w:sz w:val="22"/>
                <w:szCs w:val="22"/>
                <w:lang w:bidi="ar"/>
              </w:rPr>
              <w:t>建成年代</w:t>
            </w:r>
          </w:p>
        </w:tc>
        <w:tc>
          <w:tcPr>
            <w:tcW w:w="0" w:type="auto"/>
            <w:tcBorders>
              <w:top w:val="nil"/>
              <w:left w:val="nil"/>
              <w:bottom w:val="single" w:sz="8" w:space="0" w:color="000000"/>
              <w:right w:val="single" w:sz="8" w:space="0" w:color="000000"/>
            </w:tcBorders>
            <w:shd w:val="clear" w:color="auto" w:fill="auto"/>
            <w:noWrap/>
            <w:vAlign w:val="center"/>
          </w:tcPr>
          <w:p w14:paraId="2090D71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F98EE83"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9031146" w14:textId="0CA1C90D" w:rsidR="00EF6A0E" w:rsidRDefault="00927F4C">
            <w:pPr>
              <w:widowControl/>
              <w:jc w:val="center"/>
              <w:textAlignment w:val="center"/>
              <w:rPr>
                <w:color w:val="000000"/>
                <w:sz w:val="22"/>
                <w:szCs w:val="22"/>
              </w:rPr>
            </w:pPr>
            <w:r>
              <w:rPr>
                <w:color w:val="000000"/>
                <w:kern w:val="0"/>
                <w:sz w:val="22"/>
                <w:szCs w:val="22"/>
                <w:lang w:bidi="ar"/>
              </w:rPr>
              <w:t>99</w:t>
            </w:r>
          </w:p>
        </w:tc>
        <w:tc>
          <w:tcPr>
            <w:tcW w:w="0" w:type="auto"/>
            <w:tcBorders>
              <w:top w:val="nil"/>
              <w:left w:val="nil"/>
              <w:bottom w:val="single" w:sz="8" w:space="0" w:color="000000"/>
              <w:right w:val="single" w:sz="12" w:space="0" w:color="000000"/>
            </w:tcBorders>
            <w:shd w:val="clear" w:color="auto" w:fill="auto"/>
            <w:noWrap/>
            <w:vAlign w:val="center"/>
          </w:tcPr>
          <w:p w14:paraId="65BA83AB"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5C07FD70"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7F3508EC"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0A43754" w14:textId="77777777" w:rsidR="00EF6A0E" w:rsidRPr="00D70CE9" w:rsidRDefault="00000000">
            <w:pPr>
              <w:widowControl/>
              <w:jc w:val="center"/>
              <w:textAlignment w:val="center"/>
              <w:rPr>
                <w:rFonts w:ascii="宋体" w:hAnsi="宋体" w:cs="宋体"/>
                <w:color w:val="FF0000"/>
                <w:sz w:val="22"/>
                <w:szCs w:val="22"/>
              </w:rPr>
            </w:pPr>
            <w:r w:rsidRPr="00D70CE9">
              <w:rPr>
                <w:rFonts w:ascii="宋体" w:hAnsi="宋体" w:cs="宋体" w:hint="eastAsia"/>
                <w:color w:val="FF0000"/>
                <w:kern w:val="0"/>
                <w:sz w:val="22"/>
                <w:szCs w:val="22"/>
                <w:lang w:bidi="ar"/>
              </w:rPr>
              <w:t>建筑面积（㎡）</w:t>
            </w:r>
          </w:p>
        </w:tc>
        <w:tc>
          <w:tcPr>
            <w:tcW w:w="0" w:type="auto"/>
            <w:tcBorders>
              <w:top w:val="nil"/>
              <w:left w:val="nil"/>
              <w:bottom w:val="single" w:sz="8" w:space="0" w:color="000000"/>
              <w:right w:val="single" w:sz="8" w:space="0" w:color="000000"/>
            </w:tcBorders>
            <w:shd w:val="clear" w:color="auto" w:fill="auto"/>
            <w:noWrap/>
            <w:vAlign w:val="center"/>
          </w:tcPr>
          <w:p w14:paraId="26EB5314"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2CDEFDA2" w14:textId="35E20F08" w:rsidR="00EF6A0E" w:rsidRDefault="001E1072">
            <w:pPr>
              <w:widowControl/>
              <w:jc w:val="center"/>
              <w:textAlignment w:val="center"/>
              <w:rPr>
                <w:color w:val="000000"/>
                <w:sz w:val="22"/>
                <w:szCs w:val="22"/>
              </w:rPr>
            </w:pPr>
            <w:r>
              <w:rPr>
                <w:color w:val="000000"/>
                <w:kern w:val="0"/>
                <w:sz w:val="22"/>
                <w:szCs w:val="22"/>
                <w:lang w:bidi="ar"/>
              </w:rPr>
              <w:t>101</w:t>
            </w:r>
          </w:p>
        </w:tc>
        <w:tc>
          <w:tcPr>
            <w:tcW w:w="0" w:type="auto"/>
            <w:tcBorders>
              <w:top w:val="nil"/>
              <w:left w:val="nil"/>
              <w:bottom w:val="single" w:sz="8" w:space="0" w:color="000000"/>
              <w:right w:val="single" w:sz="8" w:space="0" w:color="000000"/>
            </w:tcBorders>
            <w:shd w:val="clear" w:color="auto" w:fill="auto"/>
            <w:noWrap/>
            <w:vAlign w:val="center"/>
          </w:tcPr>
          <w:p w14:paraId="01B501C1" w14:textId="3F68145C" w:rsidR="00EF6A0E" w:rsidRDefault="001E1072">
            <w:pPr>
              <w:widowControl/>
              <w:jc w:val="center"/>
              <w:textAlignment w:val="center"/>
              <w:rPr>
                <w:color w:val="000000"/>
                <w:sz w:val="22"/>
                <w:szCs w:val="22"/>
              </w:rPr>
            </w:pPr>
            <w:r>
              <w:rPr>
                <w:color w:val="000000"/>
                <w:sz w:val="22"/>
                <w:szCs w:val="22"/>
              </w:rPr>
              <w:t>101</w:t>
            </w:r>
          </w:p>
        </w:tc>
        <w:tc>
          <w:tcPr>
            <w:tcW w:w="0" w:type="auto"/>
            <w:tcBorders>
              <w:top w:val="nil"/>
              <w:left w:val="nil"/>
              <w:bottom w:val="single" w:sz="8" w:space="0" w:color="000000"/>
              <w:right w:val="single" w:sz="12" w:space="0" w:color="000000"/>
            </w:tcBorders>
            <w:shd w:val="clear" w:color="auto" w:fill="auto"/>
            <w:noWrap/>
            <w:vAlign w:val="center"/>
          </w:tcPr>
          <w:p w14:paraId="1810EAAF" w14:textId="23F65A62" w:rsidR="00EF6A0E" w:rsidRDefault="001E1072">
            <w:pPr>
              <w:widowControl/>
              <w:jc w:val="center"/>
              <w:textAlignment w:val="center"/>
              <w:rPr>
                <w:color w:val="000000"/>
                <w:sz w:val="22"/>
                <w:szCs w:val="22"/>
              </w:rPr>
            </w:pPr>
            <w:r>
              <w:rPr>
                <w:color w:val="000000"/>
                <w:kern w:val="0"/>
                <w:sz w:val="22"/>
                <w:szCs w:val="22"/>
                <w:lang w:bidi="ar"/>
              </w:rPr>
              <w:t>101</w:t>
            </w:r>
          </w:p>
        </w:tc>
      </w:tr>
      <w:tr w:rsidR="00EF6A0E" w14:paraId="5A7FF8AA"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39929591"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4780BA63"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层高（</w:t>
            </w:r>
            <w:r>
              <w:rPr>
                <w:color w:val="000000"/>
                <w:kern w:val="0"/>
                <w:sz w:val="22"/>
                <w:szCs w:val="22"/>
                <w:lang w:bidi="ar"/>
              </w:rPr>
              <w:t>m</w:t>
            </w:r>
            <w:r>
              <w:rPr>
                <w:rFonts w:ascii="宋体" w:hAnsi="宋体" w:cs="宋体" w:hint="eastAsia"/>
                <w:color w:val="000000"/>
                <w:kern w:val="0"/>
                <w:sz w:val="22"/>
                <w:szCs w:val="22"/>
                <w:lang w:bidi="ar"/>
              </w:rPr>
              <w:t>）</w:t>
            </w:r>
          </w:p>
        </w:tc>
        <w:tc>
          <w:tcPr>
            <w:tcW w:w="0" w:type="auto"/>
            <w:tcBorders>
              <w:top w:val="nil"/>
              <w:left w:val="nil"/>
              <w:bottom w:val="single" w:sz="8" w:space="0" w:color="000000"/>
              <w:right w:val="single" w:sz="8" w:space="0" w:color="000000"/>
            </w:tcBorders>
            <w:shd w:val="clear" w:color="auto" w:fill="auto"/>
            <w:noWrap/>
            <w:vAlign w:val="center"/>
          </w:tcPr>
          <w:p w14:paraId="307B3238"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142686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BAC445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4AC74A73"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02586B9C"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7A737842"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AD9686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外观形象</w:t>
            </w:r>
          </w:p>
        </w:tc>
        <w:tc>
          <w:tcPr>
            <w:tcW w:w="0" w:type="auto"/>
            <w:tcBorders>
              <w:top w:val="nil"/>
              <w:left w:val="nil"/>
              <w:bottom w:val="single" w:sz="8" w:space="0" w:color="000000"/>
              <w:right w:val="single" w:sz="8" w:space="0" w:color="000000"/>
            </w:tcBorders>
            <w:shd w:val="clear" w:color="auto" w:fill="auto"/>
            <w:noWrap/>
            <w:vAlign w:val="center"/>
          </w:tcPr>
          <w:p w14:paraId="4186E49A"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EFCAFB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EEE4CD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4707691E"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7B909FCC"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1524ECA2"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4496B5BB" w14:textId="77777777" w:rsidR="00EF6A0E" w:rsidRDefault="00000000">
            <w:pPr>
              <w:widowControl/>
              <w:jc w:val="center"/>
              <w:textAlignment w:val="center"/>
              <w:rPr>
                <w:rFonts w:ascii="宋体" w:hAnsi="宋体" w:cs="宋体"/>
                <w:color w:val="000000"/>
                <w:sz w:val="22"/>
                <w:szCs w:val="22"/>
              </w:rPr>
            </w:pPr>
            <w:r w:rsidRPr="00D70CE9">
              <w:rPr>
                <w:rFonts w:ascii="宋体" w:hAnsi="宋体" w:cs="宋体" w:hint="eastAsia"/>
                <w:color w:val="FF0000"/>
                <w:kern w:val="0"/>
                <w:sz w:val="22"/>
                <w:szCs w:val="22"/>
                <w:lang w:bidi="ar"/>
              </w:rPr>
              <w:t>装修</w:t>
            </w:r>
          </w:p>
        </w:tc>
        <w:tc>
          <w:tcPr>
            <w:tcW w:w="0" w:type="auto"/>
            <w:tcBorders>
              <w:top w:val="nil"/>
              <w:left w:val="nil"/>
              <w:bottom w:val="single" w:sz="8" w:space="0" w:color="000000"/>
              <w:right w:val="single" w:sz="8" w:space="0" w:color="000000"/>
            </w:tcBorders>
            <w:shd w:val="clear" w:color="auto" w:fill="auto"/>
            <w:noWrap/>
            <w:vAlign w:val="center"/>
          </w:tcPr>
          <w:p w14:paraId="64C69E39"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2B0E200" w14:textId="22C4A099" w:rsidR="00EF6A0E" w:rsidRDefault="00085327">
            <w:pPr>
              <w:widowControl/>
              <w:jc w:val="center"/>
              <w:textAlignment w:val="center"/>
              <w:rPr>
                <w:color w:val="000000"/>
                <w:sz w:val="22"/>
                <w:szCs w:val="22"/>
              </w:rPr>
            </w:pPr>
            <w:r>
              <w:rPr>
                <w:color w:val="000000"/>
                <w:kern w:val="0"/>
                <w:sz w:val="22"/>
                <w:szCs w:val="22"/>
                <w:lang w:bidi="ar"/>
              </w:rPr>
              <w:t>97</w:t>
            </w:r>
          </w:p>
        </w:tc>
        <w:tc>
          <w:tcPr>
            <w:tcW w:w="0" w:type="auto"/>
            <w:tcBorders>
              <w:top w:val="nil"/>
              <w:left w:val="nil"/>
              <w:bottom w:val="single" w:sz="8" w:space="0" w:color="000000"/>
              <w:right w:val="single" w:sz="8" w:space="0" w:color="000000"/>
            </w:tcBorders>
            <w:shd w:val="clear" w:color="auto" w:fill="auto"/>
            <w:noWrap/>
            <w:vAlign w:val="center"/>
          </w:tcPr>
          <w:p w14:paraId="46DAE60D" w14:textId="72F9B387" w:rsidR="00EF6A0E" w:rsidRDefault="00085327">
            <w:pPr>
              <w:widowControl/>
              <w:jc w:val="center"/>
              <w:textAlignment w:val="center"/>
              <w:rPr>
                <w:color w:val="000000"/>
                <w:sz w:val="22"/>
                <w:szCs w:val="22"/>
              </w:rPr>
            </w:pPr>
            <w:r>
              <w:rPr>
                <w:color w:val="000000"/>
                <w:kern w:val="0"/>
                <w:sz w:val="22"/>
                <w:szCs w:val="22"/>
                <w:lang w:bidi="ar"/>
              </w:rPr>
              <w:t>97</w:t>
            </w:r>
          </w:p>
        </w:tc>
        <w:tc>
          <w:tcPr>
            <w:tcW w:w="0" w:type="auto"/>
            <w:tcBorders>
              <w:top w:val="nil"/>
              <w:left w:val="nil"/>
              <w:bottom w:val="single" w:sz="8" w:space="0" w:color="000000"/>
              <w:right w:val="single" w:sz="12" w:space="0" w:color="000000"/>
            </w:tcBorders>
            <w:shd w:val="clear" w:color="auto" w:fill="auto"/>
            <w:noWrap/>
            <w:vAlign w:val="center"/>
          </w:tcPr>
          <w:p w14:paraId="56B86892" w14:textId="3370D1D6" w:rsidR="00EF6A0E" w:rsidRDefault="00F619EC">
            <w:pPr>
              <w:widowControl/>
              <w:jc w:val="center"/>
              <w:textAlignment w:val="center"/>
              <w:rPr>
                <w:color w:val="000000"/>
                <w:sz w:val="22"/>
                <w:szCs w:val="22"/>
              </w:rPr>
            </w:pPr>
            <w:r>
              <w:rPr>
                <w:color w:val="000000"/>
                <w:kern w:val="0"/>
                <w:sz w:val="22"/>
                <w:szCs w:val="22"/>
                <w:lang w:bidi="ar"/>
              </w:rPr>
              <w:t>1</w:t>
            </w:r>
            <w:r w:rsidR="001B1FD9">
              <w:rPr>
                <w:color w:val="000000"/>
                <w:kern w:val="0"/>
                <w:sz w:val="22"/>
                <w:szCs w:val="22"/>
                <w:lang w:bidi="ar"/>
              </w:rPr>
              <w:t>00</w:t>
            </w:r>
          </w:p>
        </w:tc>
      </w:tr>
      <w:tr w:rsidR="00EF6A0E" w14:paraId="42F1EC8D"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764F517D"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BF6165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设施设备</w:t>
            </w:r>
          </w:p>
        </w:tc>
        <w:tc>
          <w:tcPr>
            <w:tcW w:w="0" w:type="auto"/>
            <w:tcBorders>
              <w:top w:val="nil"/>
              <w:left w:val="nil"/>
              <w:bottom w:val="single" w:sz="8" w:space="0" w:color="000000"/>
              <w:right w:val="single" w:sz="8" w:space="0" w:color="000000"/>
            </w:tcBorders>
            <w:shd w:val="clear" w:color="auto" w:fill="auto"/>
            <w:noWrap/>
            <w:vAlign w:val="center"/>
          </w:tcPr>
          <w:p w14:paraId="0AC3805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91F4BB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10A7A716"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AC1AC0C"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650313A5"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560CACCC"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F4DE43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空间布局及建筑功能</w:t>
            </w:r>
          </w:p>
        </w:tc>
        <w:tc>
          <w:tcPr>
            <w:tcW w:w="0" w:type="auto"/>
            <w:tcBorders>
              <w:top w:val="nil"/>
              <w:left w:val="nil"/>
              <w:bottom w:val="single" w:sz="8" w:space="0" w:color="000000"/>
              <w:right w:val="single" w:sz="8" w:space="0" w:color="000000"/>
            </w:tcBorders>
            <w:shd w:val="clear" w:color="auto" w:fill="auto"/>
            <w:noWrap/>
            <w:vAlign w:val="center"/>
          </w:tcPr>
          <w:p w14:paraId="2A386D6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1CA632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C49F135"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1BB760A3"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7063C078"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42159741"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1586B2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维护、保养</w:t>
            </w:r>
          </w:p>
        </w:tc>
        <w:tc>
          <w:tcPr>
            <w:tcW w:w="0" w:type="auto"/>
            <w:tcBorders>
              <w:top w:val="nil"/>
              <w:left w:val="nil"/>
              <w:bottom w:val="single" w:sz="8" w:space="0" w:color="000000"/>
              <w:right w:val="single" w:sz="8" w:space="0" w:color="000000"/>
            </w:tcBorders>
            <w:shd w:val="clear" w:color="auto" w:fill="auto"/>
            <w:noWrap/>
            <w:vAlign w:val="center"/>
          </w:tcPr>
          <w:p w14:paraId="4814CA5B"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0A3EE8E"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0C03B433"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524D09D"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4FE9B375" w14:textId="77777777" w:rsidTr="00085327">
        <w:trPr>
          <w:trHeight w:val="315"/>
          <w:jc w:val="center"/>
        </w:trPr>
        <w:tc>
          <w:tcPr>
            <w:tcW w:w="784" w:type="dxa"/>
            <w:vMerge/>
            <w:tcBorders>
              <w:top w:val="nil"/>
              <w:left w:val="single" w:sz="12" w:space="0" w:color="000000"/>
              <w:bottom w:val="single" w:sz="8" w:space="0" w:color="000000"/>
              <w:right w:val="single" w:sz="8" w:space="0" w:color="000000"/>
            </w:tcBorders>
            <w:shd w:val="clear" w:color="auto" w:fill="auto"/>
            <w:vAlign w:val="center"/>
          </w:tcPr>
          <w:p w14:paraId="3DDBA698"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2E92D76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物业管理</w:t>
            </w:r>
          </w:p>
        </w:tc>
        <w:tc>
          <w:tcPr>
            <w:tcW w:w="0" w:type="auto"/>
            <w:tcBorders>
              <w:top w:val="nil"/>
              <w:left w:val="nil"/>
              <w:bottom w:val="single" w:sz="8" w:space="0" w:color="000000"/>
              <w:right w:val="single" w:sz="8" w:space="0" w:color="000000"/>
            </w:tcBorders>
            <w:shd w:val="clear" w:color="auto" w:fill="auto"/>
            <w:noWrap/>
            <w:vAlign w:val="center"/>
          </w:tcPr>
          <w:p w14:paraId="525D8CF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9F69D33"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4F99ED2"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674EAA57"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519C3E61" w14:textId="77777777" w:rsidTr="00085327">
        <w:trPr>
          <w:trHeight w:val="315"/>
          <w:jc w:val="center"/>
        </w:trPr>
        <w:tc>
          <w:tcPr>
            <w:tcW w:w="784" w:type="dxa"/>
            <w:vMerge w:val="restart"/>
            <w:tcBorders>
              <w:top w:val="nil"/>
              <w:left w:val="single" w:sz="12" w:space="0" w:color="000000"/>
              <w:bottom w:val="single" w:sz="12" w:space="0" w:color="000000"/>
              <w:right w:val="single" w:sz="8" w:space="0" w:color="000000"/>
            </w:tcBorders>
            <w:shd w:val="clear" w:color="auto" w:fill="auto"/>
            <w:vAlign w:val="center"/>
          </w:tcPr>
          <w:p w14:paraId="53965FE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权益状况调整</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E9F6EF"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土地使用权性质</w:t>
            </w:r>
          </w:p>
        </w:tc>
        <w:tc>
          <w:tcPr>
            <w:tcW w:w="0" w:type="auto"/>
            <w:tcBorders>
              <w:top w:val="nil"/>
              <w:left w:val="nil"/>
              <w:bottom w:val="single" w:sz="8" w:space="0" w:color="000000"/>
              <w:right w:val="single" w:sz="8" w:space="0" w:color="000000"/>
            </w:tcBorders>
            <w:shd w:val="clear" w:color="auto" w:fill="auto"/>
            <w:noWrap/>
            <w:vAlign w:val="center"/>
          </w:tcPr>
          <w:p w14:paraId="0CB31CBF"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4E6290C5"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3658B70D"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04732D44"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6F3E0A51" w14:textId="77777777" w:rsidTr="00085327">
        <w:trPr>
          <w:trHeight w:val="315"/>
          <w:jc w:val="center"/>
        </w:trPr>
        <w:tc>
          <w:tcPr>
            <w:tcW w:w="784" w:type="dxa"/>
            <w:vMerge/>
            <w:tcBorders>
              <w:top w:val="nil"/>
              <w:left w:val="single" w:sz="12" w:space="0" w:color="000000"/>
              <w:bottom w:val="single" w:sz="12" w:space="0" w:color="000000"/>
              <w:right w:val="single" w:sz="8" w:space="0" w:color="000000"/>
            </w:tcBorders>
            <w:shd w:val="clear" w:color="auto" w:fill="auto"/>
            <w:vAlign w:val="center"/>
          </w:tcPr>
          <w:p w14:paraId="7211DD50"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2642A3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土地使用年限</w:t>
            </w:r>
          </w:p>
        </w:tc>
        <w:tc>
          <w:tcPr>
            <w:tcW w:w="0" w:type="auto"/>
            <w:tcBorders>
              <w:top w:val="nil"/>
              <w:left w:val="nil"/>
              <w:bottom w:val="single" w:sz="8" w:space="0" w:color="000000"/>
              <w:right w:val="single" w:sz="8" w:space="0" w:color="000000"/>
            </w:tcBorders>
            <w:shd w:val="clear" w:color="auto" w:fill="auto"/>
            <w:noWrap/>
            <w:vAlign w:val="center"/>
          </w:tcPr>
          <w:p w14:paraId="47B560D1"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14501908"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5FDCF8FC"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3B48B46A"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EF6A0E" w14:paraId="5F83B450" w14:textId="77777777" w:rsidTr="00085327">
        <w:trPr>
          <w:trHeight w:val="315"/>
          <w:jc w:val="center"/>
        </w:trPr>
        <w:tc>
          <w:tcPr>
            <w:tcW w:w="784" w:type="dxa"/>
            <w:vMerge/>
            <w:tcBorders>
              <w:top w:val="nil"/>
              <w:left w:val="single" w:sz="12" w:space="0" w:color="000000"/>
              <w:bottom w:val="single" w:sz="12" w:space="0" w:color="000000"/>
              <w:right w:val="single" w:sz="8" w:space="0" w:color="000000"/>
            </w:tcBorders>
            <w:shd w:val="clear" w:color="auto" w:fill="auto"/>
            <w:vAlign w:val="center"/>
          </w:tcPr>
          <w:p w14:paraId="3A1EAE07" w14:textId="77777777" w:rsidR="00EF6A0E" w:rsidRDefault="00EF6A0E">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46070BE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规划条件</w:t>
            </w:r>
          </w:p>
        </w:tc>
        <w:tc>
          <w:tcPr>
            <w:tcW w:w="0" w:type="auto"/>
            <w:tcBorders>
              <w:top w:val="nil"/>
              <w:left w:val="nil"/>
              <w:bottom w:val="single" w:sz="8" w:space="0" w:color="000000"/>
              <w:right w:val="single" w:sz="8" w:space="0" w:color="000000"/>
            </w:tcBorders>
            <w:shd w:val="clear" w:color="auto" w:fill="auto"/>
            <w:noWrap/>
            <w:vAlign w:val="center"/>
          </w:tcPr>
          <w:p w14:paraId="176049BA"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3F92FDF"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8" w:space="0" w:color="000000"/>
            </w:tcBorders>
            <w:shd w:val="clear" w:color="auto" w:fill="auto"/>
            <w:noWrap/>
            <w:vAlign w:val="center"/>
          </w:tcPr>
          <w:p w14:paraId="69AE6CE7" w14:textId="77777777" w:rsidR="00EF6A0E" w:rsidRDefault="00000000">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8" w:space="0" w:color="000000"/>
              <w:right w:val="single" w:sz="12" w:space="0" w:color="000000"/>
            </w:tcBorders>
            <w:shd w:val="clear" w:color="auto" w:fill="auto"/>
            <w:noWrap/>
            <w:vAlign w:val="center"/>
          </w:tcPr>
          <w:p w14:paraId="6394D386" w14:textId="77777777" w:rsidR="00EF6A0E" w:rsidRDefault="00000000">
            <w:pPr>
              <w:widowControl/>
              <w:jc w:val="center"/>
              <w:textAlignment w:val="center"/>
              <w:rPr>
                <w:color w:val="000000"/>
                <w:sz w:val="22"/>
                <w:szCs w:val="22"/>
              </w:rPr>
            </w:pPr>
            <w:r>
              <w:rPr>
                <w:color w:val="000000"/>
                <w:kern w:val="0"/>
                <w:sz w:val="22"/>
                <w:szCs w:val="22"/>
                <w:lang w:bidi="ar"/>
              </w:rPr>
              <w:t>100</w:t>
            </w:r>
          </w:p>
        </w:tc>
      </w:tr>
      <w:tr w:rsidR="00085327" w14:paraId="5C8A1BB6" w14:textId="77777777" w:rsidTr="00085327">
        <w:trPr>
          <w:trHeight w:val="315"/>
          <w:jc w:val="center"/>
        </w:trPr>
        <w:tc>
          <w:tcPr>
            <w:tcW w:w="784" w:type="dxa"/>
            <w:vMerge/>
            <w:tcBorders>
              <w:top w:val="nil"/>
              <w:left w:val="single" w:sz="12" w:space="0" w:color="000000"/>
              <w:bottom w:val="single" w:sz="12" w:space="0" w:color="000000"/>
              <w:right w:val="single" w:sz="8" w:space="0" w:color="000000"/>
            </w:tcBorders>
            <w:shd w:val="clear" w:color="auto" w:fill="auto"/>
            <w:vAlign w:val="center"/>
          </w:tcPr>
          <w:p w14:paraId="5AA94BD6" w14:textId="77777777" w:rsidR="00085327" w:rsidRDefault="00085327" w:rsidP="00085327">
            <w:pPr>
              <w:jc w:val="center"/>
              <w:rPr>
                <w:rFonts w:ascii="宋体" w:hAnsi="宋体" w:cs="宋体"/>
                <w:color w:val="000000"/>
                <w:sz w:val="22"/>
                <w:szCs w:val="22"/>
              </w:rPr>
            </w:pPr>
          </w:p>
        </w:tc>
        <w:tc>
          <w:tcPr>
            <w:tcW w:w="0" w:type="auto"/>
            <w:gridSpan w:val="2"/>
            <w:tcBorders>
              <w:top w:val="single" w:sz="8" w:space="0" w:color="000000"/>
              <w:left w:val="single" w:sz="8" w:space="0" w:color="000000"/>
              <w:bottom w:val="single" w:sz="12" w:space="0" w:color="000000"/>
              <w:right w:val="single" w:sz="8" w:space="0" w:color="000000"/>
            </w:tcBorders>
            <w:shd w:val="clear" w:color="auto" w:fill="auto"/>
            <w:noWrap/>
            <w:vAlign w:val="center"/>
          </w:tcPr>
          <w:p w14:paraId="2BCF245D" w14:textId="77777777" w:rsidR="00085327" w:rsidRDefault="00085327" w:rsidP="00085327">
            <w:pPr>
              <w:widowControl/>
              <w:jc w:val="center"/>
              <w:textAlignment w:val="center"/>
              <w:rPr>
                <w:rFonts w:ascii="宋体" w:hAnsi="宋体" w:cs="宋体"/>
                <w:color w:val="000000"/>
                <w:sz w:val="22"/>
                <w:szCs w:val="22"/>
              </w:rPr>
            </w:pPr>
            <w:r w:rsidRPr="00030C94">
              <w:rPr>
                <w:rFonts w:ascii="宋体" w:hAnsi="宋体" w:cs="宋体" w:hint="eastAsia"/>
                <w:kern w:val="0"/>
                <w:sz w:val="22"/>
                <w:szCs w:val="22"/>
                <w:lang w:bidi="ar"/>
              </w:rPr>
              <w:t>他项权利</w:t>
            </w:r>
          </w:p>
        </w:tc>
        <w:tc>
          <w:tcPr>
            <w:tcW w:w="0" w:type="auto"/>
            <w:tcBorders>
              <w:top w:val="nil"/>
              <w:left w:val="nil"/>
              <w:bottom w:val="single" w:sz="12" w:space="0" w:color="000000"/>
              <w:right w:val="single" w:sz="8" w:space="0" w:color="000000"/>
            </w:tcBorders>
            <w:shd w:val="clear" w:color="auto" w:fill="auto"/>
            <w:noWrap/>
            <w:vAlign w:val="center"/>
          </w:tcPr>
          <w:p w14:paraId="44B2D289" w14:textId="7F17DB1F" w:rsidR="00085327" w:rsidRDefault="00085327" w:rsidP="00085327">
            <w:pPr>
              <w:widowControl/>
              <w:jc w:val="center"/>
              <w:textAlignment w:val="center"/>
              <w:rPr>
                <w:color w:val="000000"/>
                <w:sz w:val="22"/>
                <w:szCs w:val="22"/>
              </w:rPr>
            </w:pPr>
            <w:r>
              <w:rPr>
                <w:rFonts w:hint="eastAsia"/>
                <w:color w:val="000000"/>
                <w:sz w:val="22"/>
                <w:szCs w:val="22"/>
              </w:rPr>
              <w:t>1</w:t>
            </w:r>
            <w:r>
              <w:rPr>
                <w:color w:val="000000"/>
                <w:sz w:val="22"/>
                <w:szCs w:val="22"/>
              </w:rPr>
              <w:t>00</w:t>
            </w:r>
          </w:p>
        </w:tc>
        <w:tc>
          <w:tcPr>
            <w:tcW w:w="0" w:type="auto"/>
            <w:tcBorders>
              <w:top w:val="nil"/>
              <w:left w:val="nil"/>
              <w:bottom w:val="single" w:sz="12" w:space="0" w:color="000000"/>
              <w:right w:val="single" w:sz="8" w:space="0" w:color="000000"/>
            </w:tcBorders>
            <w:shd w:val="clear" w:color="auto" w:fill="auto"/>
            <w:noWrap/>
            <w:vAlign w:val="center"/>
          </w:tcPr>
          <w:p w14:paraId="1B43A7F1" w14:textId="4B2FDB6D" w:rsidR="00085327" w:rsidRDefault="00085327" w:rsidP="00085327">
            <w:pPr>
              <w:widowControl/>
              <w:jc w:val="center"/>
              <w:textAlignment w:val="center"/>
              <w:rPr>
                <w:color w:val="000000"/>
                <w:sz w:val="22"/>
                <w:szCs w:val="22"/>
              </w:rPr>
            </w:pPr>
            <w:r>
              <w:rPr>
                <w:color w:val="000000"/>
                <w:kern w:val="0"/>
                <w:sz w:val="22"/>
                <w:szCs w:val="22"/>
                <w:lang w:bidi="ar"/>
              </w:rPr>
              <w:t>100</w:t>
            </w:r>
          </w:p>
        </w:tc>
        <w:tc>
          <w:tcPr>
            <w:tcW w:w="0" w:type="auto"/>
            <w:tcBorders>
              <w:top w:val="nil"/>
              <w:left w:val="nil"/>
              <w:bottom w:val="single" w:sz="12" w:space="0" w:color="000000"/>
              <w:right w:val="single" w:sz="8" w:space="0" w:color="000000"/>
            </w:tcBorders>
            <w:shd w:val="clear" w:color="auto" w:fill="auto"/>
            <w:noWrap/>
          </w:tcPr>
          <w:p w14:paraId="0D8E77AF" w14:textId="2C0DF6A7" w:rsidR="00085327" w:rsidRDefault="00085327" w:rsidP="00085327">
            <w:pPr>
              <w:widowControl/>
              <w:jc w:val="center"/>
              <w:textAlignment w:val="center"/>
              <w:rPr>
                <w:color w:val="000000"/>
                <w:sz w:val="22"/>
                <w:szCs w:val="22"/>
              </w:rPr>
            </w:pPr>
            <w:r w:rsidRPr="00A02173">
              <w:rPr>
                <w:color w:val="000000"/>
                <w:kern w:val="0"/>
                <w:sz w:val="22"/>
                <w:szCs w:val="22"/>
                <w:lang w:bidi="ar"/>
              </w:rPr>
              <w:t>100</w:t>
            </w:r>
          </w:p>
        </w:tc>
        <w:tc>
          <w:tcPr>
            <w:tcW w:w="0" w:type="auto"/>
            <w:tcBorders>
              <w:top w:val="nil"/>
              <w:left w:val="nil"/>
              <w:bottom w:val="single" w:sz="12" w:space="0" w:color="000000"/>
              <w:right w:val="single" w:sz="12" w:space="0" w:color="000000"/>
            </w:tcBorders>
            <w:shd w:val="clear" w:color="auto" w:fill="auto"/>
            <w:noWrap/>
          </w:tcPr>
          <w:p w14:paraId="2D9231B8" w14:textId="06385898" w:rsidR="00085327" w:rsidRDefault="00085327" w:rsidP="00085327">
            <w:pPr>
              <w:widowControl/>
              <w:jc w:val="center"/>
              <w:textAlignment w:val="center"/>
              <w:rPr>
                <w:color w:val="000000"/>
                <w:sz w:val="22"/>
                <w:szCs w:val="22"/>
              </w:rPr>
            </w:pPr>
            <w:r w:rsidRPr="00A02173">
              <w:rPr>
                <w:color w:val="000000"/>
                <w:kern w:val="0"/>
                <w:sz w:val="22"/>
                <w:szCs w:val="22"/>
                <w:lang w:bidi="ar"/>
              </w:rPr>
              <w:t>100</w:t>
            </w:r>
          </w:p>
        </w:tc>
      </w:tr>
    </w:tbl>
    <w:p w14:paraId="3955F3FA" w14:textId="77777777" w:rsidR="00EF6A0E" w:rsidRDefault="00000000">
      <w:pPr>
        <w:spacing w:line="440" w:lineRule="exact"/>
        <w:ind w:firstLineChars="200" w:firstLine="520"/>
        <w:rPr>
          <w:rFonts w:eastAsia="仿宋_GB2312"/>
          <w:color w:val="000000"/>
          <w:sz w:val="26"/>
          <w:szCs w:val="26"/>
        </w:rPr>
      </w:pPr>
      <w:r>
        <w:rPr>
          <w:rFonts w:eastAsia="仿宋_GB2312"/>
          <w:color w:val="000000"/>
          <w:sz w:val="26"/>
          <w:szCs w:val="26"/>
        </w:rPr>
        <w:t>5</w:t>
      </w:r>
      <w:r>
        <w:rPr>
          <w:rFonts w:eastAsia="仿宋_GB2312"/>
          <w:color w:val="000000"/>
          <w:sz w:val="26"/>
          <w:szCs w:val="26"/>
        </w:rPr>
        <w:t>、</w:t>
      </w:r>
      <w:r>
        <w:rPr>
          <w:rFonts w:eastAsia="仿宋_GB2312" w:hint="eastAsia"/>
          <w:color w:val="000000"/>
          <w:sz w:val="26"/>
          <w:szCs w:val="26"/>
        </w:rPr>
        <w:t>因素修正</w:t>
      </w:r>
    </w:p>
    <w:p w14:paraId="317D9603" w14:textId="77777777" w:rsidR="00EF6A0E" w:rsidRDefault="00000000">
      <w:pPr>
        <w:spacing w:line="440" w:lineRule="exact"/>
        <w:ind w:firstLineChars="200" w:firstLine="520"/>
        <w:rPr>
          <w:rFonts w:eastAsia="仿宋_GB2312"/>
          <w:sz w:val="26"/>
          <w:szCs w:val="26"/>
        </w:rPr>
      </w:pPr>
      <w:r>
        <w:rPr>
          <w:rFonts w:eastAsia="仿宋_GB2312" w:hint="eastAsia"/>
          <w:color w:val="000000"/>
          <w:sz w:val="26"/>
          <w:szCs w:val="26"/>
        </w:rPr>
        <w:t>在因素条件指数表的基础上，将估价对象的因素条件指数与可比实例的因素条件进行比较，得到各比较因素修正系数：</w:t>
      </w:r>
    </w:p>
    <w:tbl>
      <w:tblPr>
        <w:tblW w:w="8161" w:type="dxa"/>
        <w:jc w:val="center"/>
        <w:tblLayout w:type="fixed"/>
        <w:tblLook w:val="04A0" w:firstRow="1" w:lastRow="0" w:firstColumn="1" w:lastColumn="0" w:noHBand="0" w:noVBand="1"/>
      </w:tblPr>
      <w:tblGrid>
        <w:gridCol w:w="1286"/>
        <w:gridCol w:w="873"/>
        <w:gridCol w:w="1869"/>
        <w:gridCol w:w="725"/>
        <w:gridCol w:w="652"/>
        <w:gridCol w:w="725"/>
        <w:gridCol w:w="652"/>
        <w:gridCol w:w="725"/>
        <w:gridCol w:w="654"/>
      </w:tblGrid>
      <w:tr w:rsidR="00EF6A0E" w14:paraId="64724BF8" w14:textId="77777777" w:rsidTr="00220C55">
        <w:trPr>
          <w:trHeight w:val="285"/>
          <w:jc w:val="center"/>
        </w:trPr>
        <w:tc>
          <w:tcPr>
            <w:tcW w:w="8161" w:type="dxa"/>
            <w:gridSpan w:val="9"/>
            <w:tcBorders>
              <w:top w:val="nil"/>
              <w:left w:val="nil"/>
              <w:bottom w:val="single" w:sz="12" w:space="0" w:color="000000"/>
              <w:right w:val="nil"/>
            </w:tcBorders>
            <w:shd w:val="clear" w:color="auto" w:fill="auto"/>
            <w:noWrap/>
            <w:vAlign w:val="center"/>
          </w:tcPr>
          <w:p w14:paraId="39F0C2EA" w14:textId="77777777" w:rsidR="00EF6A0E" w:rsidRDefault="00000000">
            <w:pPr>
              <w:widowControl/>
              <w:jc w:val="center"/>
              <w:textAlignment w:val="center"/>
              <w:rPr>
                <w:rFonts w:ascii="仿宋_GB2312" w:eastAsia="仿宋_GB2312" w:hAnsi="宋体" w:cs="仿宋_GB2312"/>
                <w:b/>
                <w:bCs/>
                <w:color w:val="000000"/>
                <w:sz w:val="23"/>
                <w:szCs w:val="23"/>
              </w:rPr>
            </w:pPr>
            <w:r>
              <w:rPr>
                <w:rFonts w:ascii="仿宋_GB2312" w:eastAsia="仿宋_GB2312" w:hAnsi="宋体" w:cs="仿宋_GB2312"/>
                <w:b/>
                <w:bCs/>
                <w:color w:val="000000"/>
                <w:kern w:val="0"/>
                <w:sz w:val="23"/>
                <w:szCs w:val="23"/>
                <w:lang w:bidi="ar"/>
              </w:rPr>
              <w:t>比较因素修正计算表</w:t>
            </w:r>
          </w:p>
        </w:tc>
      </w:tr>
      <w:tr w:rsidR="00EF6A0E" w14:paraId="1D31E8F7" w14:textId="77777777" w:rsidTr="00220C55">
        <w:trPr>
          <w:trHeight w:val="315"/>
          <w:jc w:val="center"/>
        </w:trPr>
        <w:tc>
          <w:tcPr>
            <w:tcW w:w="4028" w:type="dxa"/>
            <w:gridSpan w:val="3"/>
            <w:tcBorders>
              <w:top w:val="single" w:sz="12" w:space="0" w:color="000000"/>
              <w:left w:val="single" w:sz="12" w:space="0" w:color="000000"/>
              <w:bottom w:val="single" w:sz="8" w:space="0" w:color="000000"/>
              <w:right w:val="single" w:sz="8" w:space="0" w:color="000000"/>
            </w:tcBorders>
            <w:shd w:val="clear" w:color="auto" w:fill="auto"/>
            <w:noWrap/>
            <w:vAlign w:val="center"/>
          </w:tcPr>
          <w:p w14:paraId="0FD95571"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lastRenderedPageBreak/>
              <w:t>比较因素</w:t>
            </w:r>
          </w:p>
        </w:tc>
        <w:tc>
          <w:tcPr>
            <w:tcW w:w="1377" w:type="dxa"/>
            <w:gridSpan w:val="2"/>
            <w:tcBorders>
              <w:top w:val="single" w:sz="12" w:space="0" w:color="000000"/>
              <w:left w:val="single" w:sz="8" w:space="0" w:color="000000"/>
              <w:bottom w:val="single" w:sz="8" w:space="0" w:color="000000"/>
              <w:right w:val="single" w:sz="8" w:space="0" w:color="000000"/>
            </w:tcBorders>
            <w:shd w:val="clear" w:color="auto" w:fill="auto"/>
            <w:noWrap/>
            <w:vAlign w:val="center"/>
          </w:tcPr>
          <w:p w14:paraId="1FAF9C8E"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A</w:t>
            </w:r>
          </w:p>
        </w:tc>
        <w:tc>
          <w:tcPr>
            <w:tcW w:w="1377" w:type="dxa"/>
            <w:gridSpan w:val="2"/>
            <w:tcBorders>
              <w:top w:val="single" w:sz="12" w:space="0" w:color="000000"/>
              <w:left w:val="single" w:sz="8" w:space="0" w:color="000000"/>
              <w:bottom w:val="single" w:sz="8" w:space="0" w:color="000000"/>
              <w:right w:val="single" w:sz="8" w:space="0" w:color="000000"/>
            </w:tcBorders>
            <w:shd w:val="clear" w:color="auto" w:fill="auto"/>
            <w:noWrap/>
            <w:vAlign w:val="center"/>
          </w:tcPr>
          <w:p w14:paraId="2F15B885"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B</w:t>
            </w:r>
          </w:p>
        </w:tc>
        <w:tc>
          <w:tcPr>
            <w:tcW w:w="1379" w:type="dxa"/>
            <w:gridSpan w:val="2"/>
            <w:tcBorders>
              <w:top w:val="single" w:sz="12" w:space="0" w:color="000000"/>
              <w:left w:val="single" w:sz="8" w:space="0" w:color="000000"/>
              <w:bottom w:val="single" w:sz="8" w:space="0" w:color="000000"/>
              <w:right w:val="single" w:sz="12" w:space="0" w:color="000000"/>
            </w:tcBorders>
            <w:shd w:val="clear" w:color="auto" w:fill="auto"/>
            <w:noWrap/>
            <w:vAlign w:val="center"/>
          </w:tcPr>
          <w:p w14:paraId="6F54A459"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C</w:t>
            </w:r>
          </w:p>
        </w:tc>
      </w:tr>
      <w:tr w:rsidR="006D33EC" w14:paraId="5BCAE38A" w14:textId="77777777" w:rsidTr="00220C55">
        <w:trPr>
          <w:trHeight w:val="315"/>
          <w:jc w:val="center"/>
        </w:trPr>
        <w:tc>
          <w:tcPr>
            <w:tcW w:w="4028" w:type="dxa"/>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1EC2FE4F" w14:textId="77777777" w:rsidR="006D33EC" w:rsidRDefault="006D33EC" w:rsidP="006D33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可比实例价格（元）</w:t>
            </w:r>
          </w:p>
        </w:tc>
        <w:tc>
          <w:tcPr>
            <w:tcW w:w="1377"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9A2E77A" w14:textId="0D9080A2" w:rsidR="006D33EC" w:rsidRDefault="006D33EC" w:rsidP="006D33EC">
            <w:pPr>
              <w:widowControl/>
              <w:jc w:val="center"/>
              <w:textAlignment w:val="center"/>
              <w:rPr>
                <w:color w:val="000000"/>
                <w:sz w:val="22"/>
                <w:szCs w:val="22"/>
              </w:rPr>
            </w:pPr>
            <w:r>
              <w:rPr>
                <w:color w:val="000000"/>
                <w:kern w:val="0"/>
                <w:sz w:val="22"/>
                <w:szCs w:val="22"/>
                <w:lang w:bidi="ar"/>
              </w:rPr>
              <w:t>3730</w:t>
            </w:r>
          </w:p>
        </w:tc>
        <w:tc>
          <w:tcPr>
            <w:tcW w:w="1377"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99717CD" w14:textId="491A3FE1" w:rsidR="006D33EC" w:rsidRDefault="006D33EC" w:rsidP="006D33EC">
            <w:pPr>
              <w:widowControl/>
              <w:jc w:val="center"/>
              <w:textAlignment w:val="center"/>
              <w:rPr>
                <w:color w:val="000000"/>
                <w:sz w:val="22"/>
                <w:szCs w:val="22"/>
              </w:rPr>
            </w:pPr>
            <w:r>
              <w:rPr>
                <w:color w:val="000000"/>
                <w:kern w:val="0"/>
                <w:sz w:val="22"/>
                <w:szCs w:val="22"/>
                <w:lang w:bidi="ar"/>
              </w:rPr>
              <w:t>3284</w:t>
            </w:r>
          </w:p>
        </w:tc>
        <w:tc>
          <w:tcPr>
            <w:tcW w:w="137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7478DD33" w14:textId="2A143610" w:rsidR="006D33EC" w:rsidRDefault="006D33EC" w:rsidP="006D33EC">
            <w:pPr>
              <w:widowControl/>
              <w:jc w:val="center"/>
              <w:textAlignment w:val="center"/>
              <w:rPr>
                <w:color w:val="000000"/>
                <w:sz w:val="22"/>
                <w:szCs w:val="22"/>
              </w:rPr>
            </w:pPr>
            <w:r>
              <w:rPr>
                <w:color w:val="000000"/>
                <w:kern w:val="0"/>
                <w:sz w:val="22"/>
                <w:szCs w:val="22"/>
                <w:lang w:bidi="ar"/>
              </w:rPr>
              <w:t>4404</w:t>
            </w:r>
          </w:p>
        </w:tc>
      </w:tr>
      <w:tr w:rsidR="00EF6A0E" w14:paraId="05FE6745" w14:textId="77777777" w:rsidTr="00220C55">
        <w:trPr>
          <w:trHeight w:val="315"/>
          <w:jc w:val="center"/>
        </w:trPr>
        <w:tc>
          <w:tcPr>
            <w:tcW w:w="4028" w:type="dxa"/>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11880246"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交易情况修正</w:t>
            </w:r>
          </w:p>
        </w:tc>
        <w:tc>
          <w:tcPr>
            <w:tcW w:w="725" w:type="dxa"/>
            <w:tcBorders>
              <w:top w:val="single" w:sz="8" w:space="0" w:color="000000"/>
              <w:left w:val="single" w:sz="8" w:space="0" w:color="000000"/>
              <w:bottom w:val="single" w:sz="8" w:space="0" w:color="000000"/>
              <w:right w:val="nil"/>
            </w:tcBorders>
            <w:shd w:val="clear" w:color="auto" w:fill="auto"/>
            <w:noWrap/>
            <w:vAlign w:val="center"/>
          </w:tcPr>
          <w:p w14:paraId="29CBE271"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DBAC692"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single" w:sz="8" w:space="0" w:color="000000"/>
              <w:left w:val="single" w:sz="8" w:space="0" w:color="000000"/>
              <w:bottom w:val="single" w:sz="8" w:space="0" w:color="000000"/>
              <w:right w:val="nil"/>
            </w:tcBorders>
            <w:shd w:val="clear" w:color="auto" w:fill="auto"/>
            <w:noWrap/>
            <w:vAlign w:val="center"/>
          </w:tcPr>
          <w:p w14:paraId="5160876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F36AB37"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single" w:sz="8" w:space="0" w:color="000000"/>
              <w:left w:val="single" w:sz="8" w:space="0" w:color="000000"/>
              <w:bottom w:val="single" w:sz="8" w:space="0" w:color="000000"/>
              <w:right w:val="nil"/>
            </w:tcBorders>
            <w:shd w:val="clear" w:color="auto" w:fill="auto"/>
            <w:noWrap/>
            <w:vAlign w:val="center"/>
          </w:tcPr>
          <w:p w14:paraId="6F535D6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C334581"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4F4168C" w14:textId="77777777" w:rsidTr="00220C55">
        <w:trPr>
          <w:trHeight w:val="315"/>
          <w:jc w:val="center"/>
        </w:trPr>
        <w:tc>
          <w:tcPr>
            <w:tcW w:w="4028" w:type="dxa"/>
            <w:gridSpan w:val="3"/>
            <w:tcBorders>
              <w:top w:val="single" w:sz="8" w:space="0" w:color="000000"/>
              <w:left w:val="single" w:sz="12" w:space="0" w:color="000000"/>
              <w:bottom w:val="single" w:sz="8" w:space="0" w:color="000000"/>
              <w:right w:val="single" w:sz="8" w:space="0" w:color="000000"/>
            </w:tcBorders>
            <w:shd w:val="clear" w:color="auto" w:fill="auto"/>
            <w:noWrap/>
            <w:vAlign w:val="center"/>
          </w:tcPr>
          <w:p w14:paraId="0BCC69D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市场状况调整</w:t>
            </w:r>
          </w:p>
        </w:tc>
        <w:tc>
          <w:tcPr>
            <w:tcW w:w="725" w:type="dxa"/>
            <w:tcBorders>
              <w:top w:val="nil"/>
              <w:left w:val="single" w:sz="8" w:space="0" w:color="000000"/>
              <w:bottom w:val="single" w:sz="8" w:space="0" w:color="000000"/>
              <w:right w:val="nil"/>
            </w:tcBorders>
            <w:shd w:val="clear" w:color="auto" w:fill="auto"/>
            <w:noWrap/>
            <w:vAlign w:val="center"/>
          </w:tcPr>
          <w:p w14:paraId="3C05BB5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2F0EF11"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30103FA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A67F49D"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120154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6DD5AE0"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7EC109D3" w14:textId="77777777" w:rsidTr="00220C55">
        <w:trPr>
          <w:trHeight w:val="315"/>
          <w:jc w:val="center"/>
        </w:trPr>
        <w:tc>
          <w:tcPr>
            <w:tcW w:w="1286" w:type="dxa"/>
            <w:vMerge w:val="restart"/>
            <w:tcBorders>
              <w:top w:val="nil"/>
              <w:left w:val="single" w:sz="12" w:space="0" w:color="000000"/>
              <w:bottom w:val="single" w:sz="8" w:space="0" w:color="000000"/>
              <w:right w:val="single" w:sz="8" w:space="0" w:color="000000"/>
            </w:tcBorders>
            <w:shd w:val="clear" w:color="auto" w:fill="auto"/>
            <w:vAlign w:val="center"/>
          </w:tcPr>
          <w:p w14:paraId="1311CFA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区域状况调整</w:t>
            </w: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D571401"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位置状况</w:t>
            </w:r>
          </w:p>
        </w:tc>
        <w:tc>
          <w:tcPr>
            <w:tcW w:w="1869" w:type="dxa"/>
            <w:tcBorders>
              <w:top w:val="nil"/>
              <w:left w:val="nil"/>
              <w:bottom w:val="single" w:sz="8" w:space="0" w:color="000000"/>
              <w:right w:val="single" w:sz="8" w:space="0" w:color="000000"/>
            </w:tcBorders>
            <w:shd w:val="clear" w:color="auto" w:fill="auto"/>
            <w:vAlign w:val="center"/>
          </w:tcPr>
          <w:p w14:paraId="00A72CE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方位及距离</w:t>
            </w:r>
          </w:p>
        </w:tc>
        <w:tc>
          <w:tcPr>
            <w:tcW w:w="725" w:type="dxa"/>
            <w:tcBorders>
              <w:top w:val="nil"/>
              <w:left w:val="single" w:sz="8" w:space="0" w:color="000000"/>
              <w:bottom w:val="single" w:sz="8" w:space="0" w:color="000000"/>
              <w:right w:val="nil"/>
            </w:tcBorders>
            <w:shd w:val="clear" w:color="auto" w:fill="auto"/>
            <w:noWrap/>
            <w:vAlign w:val="center"/>
          </w:tcPr>
          <w:p w14:paraId="287258C9"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5C4D9B5"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BE0CD0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A278194"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8A2EF6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DC6CD5B"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6554A614"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4EA2E7E6"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5AA75352"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603458C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朝向</w:t>
            </w:r>
          </w:p>
        </w:tc>
        <w:tc>
          <w:tcPr>
            <w:tcW w:w="725" w:type="dxa"/>
            <w:tcBorders>
              <w:top w:val="nil"/>
              <w:left w:val="single" w:sz="8" w:space="0" w:color="000000"/>
              <w:bottom w:val="single" w:sz="8" w:space="0" w:color="000000"/>
              <w:right w:val="nil"/>
            </w:tcBorders>
            <w:shd w:val="clear" w:color="auto" w:fill="auto"/>
            <w:noWrap/>
            <w:vAlign w:val="center"/>
          </w:tcPr>
          <w:p w14:paraId="533F1BB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7172F9F"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F8AAF1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566B03E1"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280AD5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7D87FF28"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2FD0BC7"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7B74338A"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33EA3303"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3AB3D9EC" w14:textId="77777777" w:rsidR="00EF6A0E" w:rsidRDefault="00000000">
            <w:pPr>
              <w:widowControl/>
              <w:jc w:val="center"/>
              <w:textAlignment w:val="center"/>
              <w:rPr>
                <w:rFonts w:ascii="宋体" w:hAnsi="宋体" w:cs="宋体"/>
                <w:color w:val="000000"/>
                <w:sz w:val="22"/>
                <w:szCs w:val="22"/>
              </w:rPr>
            </w:pPr>
            <w:r w:rsidRPr="00030C94">
              <w:rPr>
                <w:rFonts w:ascii="宋体" w:hAnsi="宋体" w:cs="宋体" w:hint="eastAsia"/>
                <w:color w:val="FF0000"/>
                <w:kern w:val="0"/>
                <w:sz w:val="22"/>
                <w:szCs w:val="22"/>
                <w:lang w:bidi="ar"/>
              </w:rPr>
              <w:t>楼层</w:t>
            </w:r>
          </w:p>
        </w:tc>
        <w:tc>
          <w:tcPr>
            <w:tcW w:w="725" w:type="dxa"/>
            <w:tcBorders>
              <w:top w:val="nil"/>
              <w:left w:val="single" w:sz="8" w:space="0" w:color="000000"/>
              <w:bottom w:val="single" w:sz="8" w:space="0" w:color="000000"/>
              <w:right w:val="nil"/>
            </w:tcBorders>
            <w:shd w:val="clear" w:color="auto" w:fill="auto"/>
            <w:noWrap/>
            <w:vAlign w:val="center"/>
          </w:tcPr>
          <w:p w14:paraId="20BC18C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B0FBFFE"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6455F7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E6C6386"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F32D8D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3CB626D8" w14:textId="6431C16B" w:rsidR="00EF6A0E" w:rsidRDefault="005202CC">
            <w:pPr>
              <w:widowControl/>
              <w:jc w:val="left"/>
              <w:textAlignment w:val="center"/>
              <w:rPr>
                <w:color w:val="000000"/>
                <w:sz w:val="22"/>
                <w:szCs w:val="22"/>
              </w:rPr>
            </w:pPr>
            <w:r>
              <w:rPr>
                <w:color w:val="000000"/>
                <w:kern w:val="0"/>
                <w:sz w:val="22"/>
                <w:szCs w:val="22"/>
                <w:lang w:bidi="ar"/>
              </w:rPr>
              <w:t>10</w:t>
            </w:r>
            <w:r w:rsidR="00030C94">
              <w:rPr>
                <w:color w:val="000000"/>
                <w:kern w:val="0"/>
                <w:sz w:val="22"/>
                <w:szCs w:val="22"/>
                <w:lang w:bidi="ar"/>
              </w:rPr>
              <w:t>2</w:t>
            </w:r>
          </w:p>
        </w:tc>
      </w:tr>
      <w:tr w:rsidR="00EF6A0E" w14:paraId="20BB9FF5"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30B9ACEE"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E2C05E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居住聚集程度</w:t>
            </w:r>
          </w:p>
        </w:tc>
        <w:tc>
          <w:tcPr>
            <w:tcW w:w="725" w:type="dxa"/>
            <w:tcBorders>
              <w:top w:val="nil"/>
              <w:left w:val="single" w:sz="8" w:space="0" w:color="000000"/>
              <w:bottom w:val="single" w:sz="8" w:space="0" w:color="000000"/>
              <w:right w:val="nil"/>
            </w:tcBorders>
            <w:shd w:val="clear" w:color="auto" w:fill="auto"/>
            <w:noWrap/>
            <w:vAlign w:val="center"/>
          </w:tcPr>
          <w:p w14:paraId="59EBF1F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BADA821"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017E44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F9EA13D"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39C624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3172EB5A"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5DEBEC2A"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58F43FB0" w14:textId="77777777" w:rsidR="00EF6A0E" w:rsidRDefault="00EF6A0E">
            <w:pPr>
              <w:jc w:val="center"/>
              <w:rPr>
                <w:rFonts w:ascii="宋体" w:hAnsi="宋体" w:cs="宋体"/>
                <w:color w:val="000000"/>
                <w:sz w:val="22"/>
                <w:szCs w:val="22"/>
              </w:rPr>
            </w:pP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D3C19E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交通情况</w:t>
            </w:r>
          </w:p>
        </w:tc>
        <w:tc>
          <w:tcPr>
            <w:tcW w:w="1869" w:type="dxa"/>
            <w:tcBorders>
              <w:top w:val="nil"/>
              <w:left w:val="nil"/>
              <w:bottom w:val="single" w:sz="8" w:space="0" w:color="000000"/>
              <w:right w:val="single" w:sz="8" w:space="0" w:color="000000"/>
            </w:tcBorders>
            <w:shd w:val="clear" w:color="auto" w:fill="auto"/>
            <w:vAlign w:val="center"/>
          </w:tcPr>
          <w:p w14:paraId="75BB94E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道路状况</w:t>
            </w:r>
          </w:p>
        </w:tc>
        <w:tc>
          <w:tcPr>
            <w:tcW w:w="725" w:type="dxa"/>
            <w:tcBorders>
              <w:top w:val="nil"/>
              <w:left w:val="single" w:sz="8" w:space="0" w:color="000000"/>
              <w:bottom w:val="single" w:sz="8" w:space="0" w:color="000000"/>
              <w:right w:val="nil"/>
            </w:tcBorders>
            <w:shd w:val="clear" w:color="auto" w:fill="auto"/>
            <w:noWrap/>
            <w:vAlign w:val="center"/>
          </w:tcPr>
          <w:p w14:paraId="384B584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D865BDB"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67EC60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287F38AF"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33AE520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18D1F05"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13193C04" w14:textId="77777777" w:rsidTr="00220C55">
        <w:trPr>
          <w:trHeight w:val="55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3ECFEFEF"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4A347426"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5958A4DA" w14:textId="77777777" w:rsidR="00EF6A0E" w:rsidRPr="002E2DED" w:rsidRDefault="00000000">
            <w:pPr>
              <w:widowControl/>
              <w:jc w:val="center"/>
              <w:textAlignment w:val="center"/>
              <w:rPr>
                <w:rFonts w:ascii="宋体" w:hAnsi="宋体" w:cs="宋体"/>
                <w:color w:val="FF0000"/>
                <w:sz w:val="22"/>
                <w:szCs w:val="22"/>
              </w:rPr>
            </w:pPr>
            <w:r w:rsidRPr="00C7759A">
              <w:rPr>
                <w:rFonts w:ascii="宋体" w:hAnsi="宋体" w:cs="宋体" w:hint="eastAsia"/>
                <w:color w:val="000000" w:themeColor="text1"/>
                <w:kern w:val="0"/>
                <w:sz w:val="22"/>
                <w:szCs w:val="22"/>
                <w:lang w:bidi="ar"/>
              </w:rPr>
              <w:t>出入可利用交通工具</w:t>
            </w:r>
          </w:p>
        </w:tc>
        <w:tc>
          <w:tcPr>
            <w:tcW w:w="725" w:type="dxa"/>
            <w:tcBorders>
              <w:top w:val="nil"/>
              <w:left w:val="single" w:sz="8" w:space="0" w:color="000000"/>
              <w:bottom w:val="single" w:sz="8" w:space="0" w:color="000000"/>
              <w:right w:val="nil"/>
            </w:tcBorders>
            <w:shd w:val="clear" w:color="auto" w:fill="auto"/>
            <w:noWrap/>
            <w:vAlign w:val="center"/>
          </w:tcPr>
          <w:p w14:paraId="38B9313D"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3A2B62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43374A1"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50DF245"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43141A3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753F291D" w14:textId="4EB84D57" w:rsidR="00EF6A0E" w:rsidRDefault="00C7759A">
            <w:pPr>
              <w:widowControl/>
              <w:jc w:val="left"/>
              <w:textAlignment w:val="center"/>
              <w:rPr>
                <w:color w:val="000000"/>
                <w:sz w:val="22"/>
                <w:szCs w:val="22"/>
              </w:rPr>
            </w:pPr>
            <w:r>
              <w:rPr>
                <w:color w:val="000000"/>
                <w:kern w:val="0"/>
                <w:sz w:val="22"/>
                <w:szCs w:val="22"/>
                <w:lang w:bidi="ar"/>
              </w:rPr>
              <w:t>100</w:t>
            </w:r>
          </w:p>
        </w:tc>
      </w:tr>
      <w:tr w:rsidR="00EF6A0E" w14:paraId="65330536"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4A20304E"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4FEA0BC8"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60D2E3A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交通管制情况</w:t>
            </w:r>
          </w:p>
        </w:tc>
        <w:tc>
          <w:tcPr>
            <w:tcW w:w="725" w:type="dxa"/>
            <w:tcBorders>
              <w:top w:val="nil"/>
              <w:left w:val="single" w:sz="8" w:space="0" w:color="000000"/>
              <w:bottom w:val="single" w:sz="8" w:space="0" w:color="000000"/>
              <w:right w:val="nil"/>
            </w:tcBorders>
            <w:shd w:val="clear" w:color="auto" w:fill="auto"/>
            <w:noWrap/>
            <w:vAlign w:val="center"/>
          </w:tcPr>
          <w:p w14:paraId="15736784"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756E622"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BC75C2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A2707AE"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65E6AE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F395307"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6715EB6C"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715BE85E"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6DEE52BC"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6AE8E86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停车方便程度</w:t>
            </w:r>
          </w:p>
        </w:tc>
        <w:tc>
          <w:tcPr>
            <w:tcW w:w="725" w:type="dxa"/>
            <w:tcBorders>
              <w:top w:val="nil"/>
              <w:left w:val="single" w:sz="8" w:space="0" w:color="000000"/>
              <w:bottom w:val="single" w:sz="8" w:space="0" w:color="000000"/>
              <w:right w:val="nil"/>
            </w:tcBorders>
            <w:shd w:val="clear" w:color="auto" w:fill="auto"/>
            <w:noWrap/>
            <w:vAlign w:val="center"/>
          </w:tcPr>
          <w:p w14:paraId="0428F69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287B3E0"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1B0C6FBE"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7279DE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5E22EA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12517FB"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4180FE61"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4EF57602" w14:textId="77777777" w:rsidR="00EF6A0E" w:rsidRDefault="00EF6A0E">
            <w:pPr>
              <w:jc w:val="center"/>
              <w:rPr>
                <w:rFonts w:ascii="宋体" w:hAnsi="宋体" w:cs="宋体"/>
                <w:color w:val="000000"/>
                <w:sz w:val="22"/>
                <w:szCs w:val="22"/>
              </w:rPr>
            </w:pP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39BD1A8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环境状况</w:t>
            </w:r>
          </w:p>
        </w:tc>
        <w:tc>
          <w:tcPr>
            <w:tcW w:w="1869" w:type="dxa"/>
            <w:tcBorders>
              <w:top w:val="nil"/>
              <w:left w:val="nil"/>
              <w:bottom w:val="single" w:sz="8" w:space="0" w:color="000000"/>
              <w:right w:val="single" w:sz="8" w:space="0" w:color="000000"/>
            </w:tcBorders>
            <w:shd w:val="clear" w:color="auto" w:fill="auto"/>
            <w:vAlign w:val="center"/>
          </w:tcPr>
          <w:p w14:paraId="26AF3A7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自然环境</w:t>
            </w:r>
          </w:p>
        </w:tc>
        <w:tc>
          <w:tcPr>
            <w:tcW w:w="725" w:type="dxa"/>
            <w:tcBorders>
              <w:top w:val="nil"/>
              <w:left w:val="single" w:sz="8" w:space="0" w:color="000000"/>
              <w:bottom w:val="single" w:sz="8" w:space="0" w:color="000000"/>
              <w:right w:val="nil"/>
            </w:tcBorders>
            <w:shd w:val="clear" w:color="auto" w:fill="auto"/>
            <w:noWrap/>
            <w:vAlign w:val="center"/>
          </w:tcPr>
          <w:p w14:paraId="2B6261B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84A65D7"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931DF31"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94C3ED4"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D1337A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554B36C5"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7D114EF0"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0CABAEC6"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315CAC1C"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4B438144"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人文环境</w:t>
            </w:r>
          </w:p>
        </w:tc>
        <w:tc>
          <w:tcPr>
            <w:tcW w:w="725" w:type="dxa"/>
            <w:tcBorders>
              <w:top w:val="nil"/>
              <w:left w:val="single" w:sz="8" w:space="0" w:color="000000"/>
              <w:bottom w:val="single" w:sz="8" w:space="0" w:color="000000"/>
              <w:right w:val="nil"/>
            </w:tcBorders>
            <w:shd w:val="clear" w:color="auto" w:fill="auto"/>
            <w:noWrap/>
            <w:vAlign w:val="center"/>
          </w:tcPr>
          <w:p w14:paraId="77C2F86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DC05413"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666097D"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386B6CF"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21FF81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2F7D82D7"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706E3B1D"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1C0E4F6A"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6C0963A8"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3F410F2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景观</w:t>
            </w:r>
          </w:p>
        </w:tc>
        <w:tc>
          <w:tcPr>
            <w:tcW w:w="725" w:type="dxa"/>
            <w:tcBorders>
              <w:top w:val="nil"/>
              <w:left w:val="single" w:sz="8" w:space="0" w:color="000000"/>
              <w:bottom w:val="single" w:sz="8" w:space="0" w:color="000000"/>
              <w:right w:val="nil"/>
            </w:tcBorders>
            <w:shd w:val="clear" w:color="auto" w:fill="auto"/>
            <w:noWrap/>
            <w:vAlign w:val="center"/>
          </w:tcPr>
          <w:p w14:paraId="3DF027F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139D073"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1FE9B9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FA34165"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3510CE95"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0D1EC97"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73F16934"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4FDEB4B4" w14:textId="77777777" w:rsidR="00EF6A0E" w:rsidRDefault="00EF6A0E">
            <w:pPr>
              <w:jc w:val="center"/>
              <w:rPr>
                <w:rFonts w:ascii="宋体" w:hAnsi="宋体" w:cs="宋体"/>
                <w:color w:val="000000"/>
                <w:sz w:val="22"/>
                <w:szCs w:val="22"/>
              </w:rPr>
            </w:pPr>
          </w:p>
        </w:tc>
        <w:tc>
          <w:tcPr>
            <w:tcW w:w="873"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2DC7504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外部配套设施</w:t>
            </w:r>
          </w:p>
        </w:tc>
        <w:tc>
          <w:tcPr>
            <w:tcW w:w="1869" w:type="dxa"/>
            <w:tcBorders>
              <w:top w:val="nil"/>
              <w:left w:val="nil"/>
              <w:bottom w:val="single" w:sz="8" w:space="0" w:color="000000"/>
              <w:right w:val="single" w:sz="8" w:space="0" w:color="000000"/>
            </w:tcBorders>
            <w:shd w:val="clear" w:color="auto" w:fill="auto"/>
            <w:vAlign w:val="center"/>
          </w:tcPr>
          <w:p w14:paraId="525EB8E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基础设施</w:t>
            </w:r>
          </w:p>
        </w:tc>
        <w:tc>
          <w:tcPr>
            <w:tcW w:w="725" w:type="dxa"/>
            <w:tcBorders>
              <w:top w:val="nil"/>
              <w:left w:val="single" w:sz="8" w:space="0" w:color="000000"/>
              <w:bottom w:val="single" w:sz="8" w:space="0" w:color="000000"/>
              <w:right w:val="nil"/>
            </w:tcBorders>
            <w:shd w:val="clear" w:color="auto" w:fill="auto"/>
            <w:noWrap/>
            <w:vAlign w:val="center"/>
          </w:tcPr>
          <w:p w14:paraId="16E8A0A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5690B79"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9EA201C"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5DEB575"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4BE3F07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028CF075"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07B86047"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0F5DF2A5" w14:textId="77777777" w:rsidR="00EF6A0E" w:rsidRDefault="00EF6A0E">
            <w:pPr>
              <w:jc w:val="center"/>
              <w:rPr>
                <w:rFonts w:ascii="宋体" w:hAnsi="宋体" w:cs="宋体"/>
                <w:color w:val="000000"/>
                <w:sz w:val="22"/>
                <w:szCs w:val="22"/>
              </w:rPr>
            </w:pPr>
          </w:p>
        </w:tc>
        <w:tc>
          <w:tcPr>
            <w:tcW w:w="873"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22326D00" w14:textId="77777777" w:rsidR="00EF6A0E" w:rsidRDefault="00EF6A0E">
            <w:pPr>
              <w:jc w:val="center"/>
              <w:rPr>
                <w:rFonts w:ascii="宋体" w:hAnsi="宋体" w:cs="宋体"/>
                <w:color w:val="000000"/>
                <w:sz w:val="22"/>
                <w:szCs w:val="22"/>
              </w:rPr>
            </w:pPr>
          </w:p>
        </w:tc>
        <w:tc>
          <w:tcPr>
            <w:tcW w:w="1869" w:type="dxa"/>
            <w:tcBorders>
              <w:top w:val="nil"/>
              <w:left w:val="nil"/>
              <w:bottom w:val="single" w:sz="8" w:space="0" w:color="000000"/>
              <w:right w:val="single" w:sz="8" w:space="0" w:color="000000"/>
            </w:tcBorders>
            <w:shd w:val="clear" w:color="auto" w:fill="auto"/>
            <w:vAlign w:val="center"/>
          </w:tcPr>
          <w:p w14:paraId="038C504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公共服务设施</w:t>
            </w:r>
          </w:p>
        </w:tc>
        <w:tc>
          <w:tcPr>
            <w:tcW w:w="725" w:type="dxa"/>
            <w:tcBorders>
              <w:top w:val="nil"/>
              <w:left w:val="single" w:sz="8" w:space="0" w:color="000000"/>
              <w:bottom w:val="single" w:sz="8" w:space="0" w:color="000000"/>
              <w:right w:val="nil"/>
            </w:tcBorders>
            <w:shd w:val="clear" w:color="auto" w:fill="auto"/>
            <w:noWrap/>
            <w:vAlign w:val="center"/>
          </w:tcPr>
          <w:p w14:paraId="38F14F6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C7FC317"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C6C045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6EEBC1F"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FB3AE55"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7B33A7C6"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FEF7394" w14:textId="77777777" w:rsidTr="00220C55">
        <w:trPr>
          <w:trHeight w:val="315"/>
          <w:jc w:val="center"/>
        </w:trPr>
        <w:tc>
          <w:tcPr>
            <w:tcW w:w="1286" w:type="dxa"/>
            <w:vMerge w:val="restart"/>
            <w:tcBorders>
              <w:top w:val="nil"/>
              <w:left w:val="single" w:sz="12" w:space="0" w:color="000000"/>
              <w:bottom w:val="single" w:sz="8" w:space="0" w:color="000000"/>
              <w:right w:val="single" w:sz="8" w:space="0" w:color="000000"/>
            </w:tcBorders>
            <w:shd w:val="clear" w:color="auto" w:fill="auto"/>
            <w:vAlign w:val="center"/>
          </w:tcPr>
          <w:p w14:paraId="47523552"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实物状况调整</w:t>
            </w: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37D4671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建筑结构</w:t>
            </w:r>
          </w:p>
        </w:tc>
        <w:tc>
          <w:tcPr>
            <w:tcW w:w="725" w:type="dxa"/>
            <w:tcBorders>
              <w:top w:val="nil"/>
              <w:left w:val="single" w:sz="8" w:space="0" w:color="000000"/>
              <w:bottom w:val="single" w:sz="8" w:space="0" w:color="000000"/>
              <w:right w:val="nil"/>
            </w:tcBorders>
            <w:shd w:val="clear" w:color="auto" w:fill="auto"/>
            <w:noWrap/>
            <w:vAlign w:val="center"/>
          </w:tcPr>
          <w:p w14:paraId="6A8421E4"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A1512A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457A517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0930052"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27FF9F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22A57112"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D7F52A9"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6031C127"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6FCBE928" w14:textId="77777777" w:rsidR="00EF6A0E" w:rsidRPr="002E2DED" w:rsidRDefault="00000000">
            <w:pPr>
              <w:widowControl/>
              <w:jc w:val="center"/>
              <w:textAlignment w:val="center"/>
              <w:rPr>
                <w:rFonts w:ascii="宋体" w:hAnsi="宋体" w:cs="宋体"/>
                <w:color w:val="FF0000"/>
                <w:sz w:val="22"/>
                <w:szCs w:val="22"/>
              </w:rPr>
            </w:pPr>
            <w:r w:rsidRPr="002E2DED">
              <w:rPr>
                <w:rFonts w:ascii="宋体" w:hAnsi="宋体" w:cs="宋体" w:hint="eastAsia"/>
                <w:color w:val="FF0000"/>
                <w:kern w:val="0"/>
                <w:sz w:val="22"/>
                <w:szCs w:val="22"/>
                <w:lang w:bidi="ar"/>
              </w:rPr>
              <w:t>建成年代</w:t>
            </w:r>
          </w:p>
        </w:tc>
        <w:tc>
          <w:tcPr>
            <w:tcW w:w="725" w:type="dxa"/>
            <w:tcBorders>
              <w:top w:val="nil"/>
              <w:left w:val="single" w:sz="8" w:space="0" w:color="000000"/>
              <w:bottom w:val="single" w:sz="8" w:space="0" w:color="000000"/>
              <w:right w:val="nil"/>
            </w:tcBorders>
            <w:shd w:val="clear" w:color="auto" w:fill="auto"/>
            <w:noWrap/>
            <w:vAlign w:val="center"/>
          </w:tcPr>
          <w:p w14:paraId="7CBC844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72AEB5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74940D59"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ED102DE" w14:textId="1CFB8CC2" w:rsidR="00EF6A0E" w:rsidRDefault="002E2DED">
            <w:pPr>
              <w:widowControl/>
              <w:jc w:val="left"/>
              <w:textAlignment w:val="center"/>
              <w:rPr>
                <w:color w:val="000000"/>
                <w:sz w:val="22"/>
                <w:szCs w:val="22"/>
              </w:rPr>
            </w:pPr>
            <w:r>
              <w:rPr>
                <w:color w:val="000000"/>
                <w:kern w:val="0"/>
                <w:sz w:val="22"/>
                <w:szCs w:val="22"/>
                <w:lang w:bidi="ar"/>
              </w:rPr>
              <w:t>99</w:t>
            </w:r>
          </w:p>
        </w:tc>
        <w:tc>
          <w:tcPr>
            <w:tcW w:w="725" w:type="dxa"/>
            <w:tcBorders>
              <w:top w:val="nil"/>
              <w:left w:val="single" w:sz="8" w:space="0" w:color="000000"/>
              <w:bottom w:val="single" w:sz="8" w:space="0" w:color="000000"/>
              <w:right w:val="nil"/>
            </w:tcBorders>
            <w:shd w:val="clear" w:color="auto" w:fill="auto"/>
            <w:noWrap/>
            <w:vAlign w:val="center"/>
          </w:tcPr>
          <w:p w14:paraId="6368027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2832BCBC"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1FA0519D"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5892F97B"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1979C697" w14:textId="77777777" w:rsidR="00EF6A0E" w:rsidRPr="002E2DED" w:rsidRDefault="00000000">
            <w:pPr>
              <w:widowControl/>
              <w:jc w:val="center"/>
              <w:textAlignment w:val="center"/>
              <w:rPr>
                <w:rFonts w:ascii="宋体" w:hAnsi="宋体" w:cs="宋体"/>
                <w:color w:val="FF0000"/>
                <w:sz w:val="22"/>
                <w:szCs w:val="22"/>
              </w:rPr>
            </w:pPr>
            <w:r w:rsidRPr="002E2DED">
              <w:rPr>
                <w:rFonts w:ascii="宋体" w:hAnsi="宋体" w:cs="宋体" w:hint="eastAsia"/>
                <w:color w:val="FF0000"/>
                <w:kern w:val="0"/>
                <w:sz w:val="22"/>
                <w:szCs w:val="22"/>
                <w:lang w:bidi="ar"/>
              </w:rPr>
              <w:t>建筑面积（㎡）</w:t>
            </w:r>
          </w:p>
        </w:tc>
        <w:tc>
          <w:tcPr>
            <w:tcW w:w="725" w:type="dxa"/>
            <w:tcBorders>
              <w:top w:val="nil"/>
              <w:left w:val="single" w:sz="8" w:space="0" w:color="000000"/>
              <w:bottom w:val="single" w:sz="8" w:space="0" w:color="000000"/>
              <w:right w:val="nil"/>
            </w:tcBorders>
            <w:shd w:val="clear" w:color="auto" w:fill="auto"/>
            <w:noWrap/>
            <w:vAlign w:val="center"/>
          </w:tcPr>
          <w:p w14:paraId="6FC45FB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5B9855DB" w14:textId="142A2DF6" w:rsidR="00EF6A0E" w:rsidRDefault="002E2DED">
            <w:pPr>
              <w:widowControl/>
              <w:jc w:val="left"/>
              <w:textAlignment w:val="center"/>
              <w:rPr>
                <w:color w:val="000000"/>
                <w:sz w:val="22"/>
                <w:szCs w:val="22"/>
              </w:rPr>
            </w:pPr>
            <w:r>
              <w:rPr>
                <w:color w:val="000000"/>
                <w:kern w:val="0"/>
                <w:sz w:val="22"/>
                <w:szCs w:val="22"/>
                <w:lang w:bidi="ar"/>
              </w:rPr>
              <w:t>101</w:t>
            </w:r>
          </w:p>
        </w:tc>
        <w:tc>
          <w:tcPr>
            <w:tcW w:w="725" w:type="dxa"/>
            <w:tcBorders>
              <w:top w:val="nil"/>
              <w:left w:val="single" w:sz="8" w:space="0" w:color="000000"/>
              <w:bottom w:val="single" w:sz="8" w:space="0" w:color="000000"/>
              <w:right w:val="nil"/>
            </w:tcBorders>
            <w:shd w:val="clear" w:color="auto" w:fill="auto"/>
            <w:noWrap/>
            <w:vAlign w:val="center"/>
          </w:tcPr>
          <w:p w14:paraId="7E2287E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DC47E7D" w14:textId="22B294E5" w:rsidR="00EF6A0E" w:rsidRDefault="002E2DED">
            <w:pPr>
              <w:widowControl/>
              <w:jc w:val="left"/>
              <w:textAlignment w:val="center"/>
              <w:rPr>
                <w:color w:val="000000"/>
                <w:sz w:val="22"/>
                <w:szCs w:val="22"/>
              </w:rPr>
            </w:pPr>
            <w:r>
              <w:rPr>
                <w:color w:val="000000"/>
                <w:kern w:val="0"/>
                <w:sz w:val="22"/>
                <w:szCs w:val="22"/>
                <w:lang w:bidi="ar"/>
              </w:rPr>
              <w:t>101</w:t>
            </w:r>
          </w:p>
        </w:tc>
        <w:tc>
          <w:tcPr>
            <w:tcW w:w="725" w:type="dxa"/>
            <w:tcBorders>
              <w:top w:val="nil"/>
              <w:left w:val="single" w:sz="8" w:space="0" w:color="000000"/>
              <w:bottom w:val="single" w:sz="8" w:space="0" w:color="000000"/>
              <w:right w:val="nil"/>
            </w:tcBorders>
            <w:shd w:val="clear" w:color="auto" w:fill="auto"/>
            <w:noWrap/>
            <w:vAlign w:val="center"/>
          </w:tcPr>
          <w:p w14:paraId="463545A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04BE9D2C" w14:textId="34F84F46" w:rsidR="00EF6A0E" w:rsidRDefault="002E2DED">
            <w:pPr>
              <w:widowControl/>
              <w:jc w:val="left"/>
              <w:textAlignment w:val="center"/>
              <w:rPr>
                <w:color w:val="000000"/>
                <w:sz w:val="22"/>
                <w:szCs w:val="22"/>
              </w:rPr>
            </w:pPr>
            <w:r>
              <w:rPr>
                <w:color w:val="000000"/>
                <w:kern w:val="0"/>
                <w:sz w:val="22"/>
                <w:szCs w:val="22"/>
                <w:lang w:bidi="ar"/>
              </w:rPr>
              <w:t>101</w:t>
            </w:r>
          </w:p>
        </w:tc>
      </w:tr>
      <w:tr w:rsidR="00EF6A0E" w14:paraId="52BDEA79"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6467C974"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7CA843A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层高（</w:t>
            </w:r>
            <w:r>
              <w:rPr>
                <w:color w:val="000000"/>
                <w:kern w:val="0"/>
                <w:sz w:val="22"/>
                <w:szCs w:val="22"/>
                <w:lang w:bidi="ar"/>
              </w:rPr>
              <w:t>m</w:t>
            </w:r>
            <w:r>
              <w:rPr>
                <w:rFonts w:ascii="宋体" w:hAnsi="宋体" w:cs="宋体" w:hint="eastAsia"/>
                <w:color w:val="000000"/>
                <w:kern w:val="0"/>
                <w:sz w:val="22"/>
                <w:szCs w:val="22"/>
                <w:lang w:bidi="ar"/>
              </w:rPr>
              <w:t>）</w:t>
            </w:r>
          </w:p>
        </w:tc>
        <w:tc>
          <w:tcPr>
            <w:tcW w:w="725" w:type="dxa"/>
            <w:tcBorders>
              <w:top w:val="nil"/>
              <w:left w:val="single" w:sz="8" w:space="0" w:color="000000"/>
              <w:bottom w:val="single" w:sz="8" w:space="0" w:color="000000"/>
              <w:right w:val="nil"/>
            </w:tcBorders>
            <w:shd w:val="clear" w:color="auto" w:fill="auto"/>
            <w:noWrap/>
            <w:vAlign w:val="center"/>
          </w:tcPr>
          <w:p w14:paraId="5E392A3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5214C529"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1DC9F8C"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7E175AF"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F6C7A6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2FA11C0D"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53C09B0"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5AD9164C"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539427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外观形象</w:t>
            </w:r>
          </w:p>
        </w:tc>
        <w:tc>
          <w:tcPr>
            <w:tcW w:w="725" w:type="dxa"/>
            <w:tcBorders>
              <w:top w:val="nil"/>
              <w:left w:val="single" w:sz="8" w:space="0" w:color="000000"/>
              <w:bottom w:val="single" w:sz="8" w:space="0" w:color="000000"/>
              <w:right w:val="nil"/>
            </w:tcBorders>
            <w:shd w:val="clear" w:color="auto" w:fill="auto"/>
            <w:noWrap/>
            <w:vAlign w:val="center"/>
          </w:tcPr>
          <w:p w14:paraId="10B8B04C"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85002E4"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508BAFE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9E83146"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7BB703AC"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3714D4FF"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01FE29AF"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5B4C709D"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1E892269" w14:textId="77777777" w:rsidR="00EF6A0E" w:rsidRDefault="00000000">
            <w:pPr>
              <w:widowControl/>
              <w:jc w:val="center"/>
              <w:textAlignment w:val="center"/>
              <w:rPr>
                <w:rFonts w:ascii="宋体" w:hAnsi="宋体" w:cs="宋体"/>
                <w:color w:val="000000"/>
                <w:sz w:val="22"/>
                <w:szCs w:val="22"/>
              </w:rPr>
            </w:pPr>
            <w:r w:rsidRPr="002E2DED">
              <w:rPr>
                <w:rFonts w:ascii="宋体" w:hAnsi="宋体" w:cs="宋体" w:hint="eastAsia"/>
                <w:color w:val="FF0000"/>
                <w:kern w:val="0"/>
                <w:sz w:val="22"/>
                <w:szCs w:val="22"/>
                <w:lang w:bidi="ar"/>
              </w:rPr>
              <w:t>装修</w:t>
            </w:r>
          </w:p>
        </w:tc>
        <w:tc>
          <w:tcPr>
            <w:tcW w:w="725" w:type="dxa"/>
            <w:tcBorders>
              <w:top w:val="nil"/>
              <w:left w:val="single" w:sz="8" w:space="0" w:color="000000"/>
              <w:bottom w:val="single" w:sz="8" w:space="0" w:color="000000"/>
              <w:right w:val="nil"/>
            </w:tcBorders>
            <w:shd w:val="clear" w:color="auto" w:fill="auto"/>
            <w:noWrap/>
            <w:vAlign w:val="center"/>
          </w:tcPr>
          <w:p w14:paraId="0DF9D4C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464F72A" w14:textId="08D7582B" w:rsidR="00EF6A0E" w:rsidRDefault="00085327">
            <w:pPr>
              <w:widowControl/>
              <w:jc w:val="left"/>
              <w:textAlignment w:val="center"/>
              <w:rPr>
                <w:color w:val="000000"/>
                <w:sz w:val="22"/>
                <w:szCs w:val="22"/>
              </w:rPr>
            </w:pPr>
            <w:r>
              <w:rPr>
                <w:color w:val="000000"/>
                <w:kern w:val="0"/>
                <w:sz w:val="22"/>
                <w:szCs w:val="22"/>
                <w:lang w:bidi="ar"/>
              </w:rPr>
              <w:t>97</w:t>
            </w:r>
          </w:p>
        </w:tc>
        <w:tc>
          <w:tcPr>
            <w:tcW w:w="725" w:type="dxa"/>
            <w:tcBorders>
              <w:top w:val="nil"/>
              <w:left w:val="single" w:sz="8" w:space="0" w:color="000000"/>
              <w:bottom w:val="single" w:sz="8" w:space="0" w:color="000000"/>
              <w:right w:val="nil"/>
            </w:tcBorders>
            <w:shd w:val="clear" w:color="auto" w:fill="auto"/>
            <w:noWrap/>
            <w:vAlign w:val="center"/>
          </w:tcPr>
          <w:p w14:paraId="706ADF6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F0A11EB" w14:textId="3062AD1D" w:rsidR="00EF6A0E" w:rsidRDefault="00085327">
            <w:pPr>
              <w:widowControl/>
              <w:jc w:val="left"/>
              <w:textAlignment w:val="center"/>
              <w:rPr>
                <w:color w:val="000000"/>
                <w:sz w:val="22"/>
                <w:szCs w:val="22"/>
              </w:rPr>
            </w:pPr>
            <w:r>
              <w:rPr>
                <w:color w:val="000000"/>
                <w:kern w:val="0"/>
                <w:sz w:val="22"/>
                <w:szCs w:val="22"/>
                <w:lang w:bidi="ar"/>
              </w:rPr>
              <w:t>97</w:t>
            </w:r>
          </w:p>
        </w:tc>
        <w:tc>
          <w:tcPr>
            <w:tcW w:w="725" w:type="dxa"/>
            <w:tcBorders>
              <w:top w:val="nil"/>
              <w:left w:val="single" w:sz="8" w:space="0" w:color="000000"/>
              <w:bottom w:val="single" w:sz="8" w:space="0" w:color="000000"/>
              <w:right w:val="nil"/>
            </w:tcBorders>
            <w:shd w:val="clear" w:color="auto" w:fill="auto"/>
            <w:noWrap/>
            <w:vAlign w:val="center"/>
          </w:tcPr>
          <w:p w14:paraId="505E3C9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A463222" w14:textId="4848BC49" w:rsidR="00EF6A0E" w:rsidRDefault="002E2DED">
            <w:pPr>
              <w:widowControl/>
              <w:jc w:val="left"/>
              <w:textAlignment w:val="center"/>
              <w:rPr>
                <w:color w:val="000000"/>
                <w:sz w:val="22"/>
                <w:szCs w:val="22"/>
              </w:rPr>
            </w:pPr>
            <w:r>
              <w:rPr>
                <w:color w:val="000000"/>
                <w:kern w:val="0"/>
                <w:sz w:val="22"/>
                <w:szCs w:val="22"/>
                <w:lang w:bidi="ar"/>
              </w:rPr>
              <w:t>100</w:t>
            </w:r>
          </w:p>
        </w:tc>
      </w:tr>
      <w:tr w:rsidR="00EF6A0E" w14:paraId="1C386599"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0E91BE33"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083A50A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设施设备</w:t>
            </w:r>
          </w:p>
        </w:tc>
        <w:tc>
          <w:tcPr>
            <w:tcW w:w="725" w:type="dxa"/>
            <w:tcBorders>
              <w:top w:val="nil"/>
              <w:left w:val="single" w:sz="8" w:space="0" w:color="000000"/>
              <w:bottom w:val="single" w:sz="8" w:space="0" w:color="000000"/>
              <w:right w:val="nil"/>
            </w:tcBorders>
            <w:shd w:val="clear" w:color="auto" w:fill="auto"/>
            <w:noWrap/>
            <w:vAlign w:val="center"/>
          </w:tcPr>
          <w:p w14:paraId="40358C0F"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14AF06B"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12F611F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51BE316"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19E378DE"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6A0A721"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4985110"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3A9E526F"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66CD3A7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空间布局及建筑功能</w:t>
            </w:r>
          </w:p>
        </w:tc>
        <w:tc>
          <w:tcPr>
            <w:tcW w:w="725" w:type="dxa"/>
            <w:tcBorders>
              <w:top w:val="nil"/>
              <w:left w:val="single" w:sz="8" w:space="0" w:color="000000"/>
              <w:bottom w:val="single" w:sz="8" w:space="0" w:color="000000"/>
              <w:right w:val="nil"/>
            </w:tcBorders>
            <w:shd w:val="clear" w:color="auto" w:fill="auto"/>
            <w:noWrap/>
            <w:vAlign w:val="center"/>
          </w:tcPr>
          <w:p w14:paraId="6A491F1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23B1EE9"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11D8AC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5623F6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527FC7D"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A0DF5B7"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ABEF748"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526A95A6"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DFBDC0B"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维护、保养</w:t>
            </w:r>
          </w:p>
        </w:tc>
        <w:tc>
          <w:tcPr>
            <w:tcW w:w="725" w:type="dxa"/>
            <w:tcBorders>
              <w:top w:val="nil"/>
              <w:left w:val="single" w:sz="8" w:space="0" w:color="000000"/>
              <w:bottom w:val="single" w:sz="8" w:space="0" w:color="000000"/>
              <w:right w:val="nil"/>
            </w:tcBorders>
            <w:shd w:val="clear" w:color="auto" w:fill="auto"/>
            <w:noWrap/>
            <w:vAlign w:val="center"/>
          </w:tcPr>
          <w:p w14:paraId="22356A9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645E49C"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72602DC1"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6EC83355"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11662537"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16AE60A9"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1D4943A0" w14:textId="77777777" w:rsidTr="00220C55">
        <w:trPr>
          <w:trHeight w:val="315"/>
          <w:jc w:val="center"/>
        </w:trPr>
        <w:tc>
          <w:tcPr>
            <w:tcW w:w="1286" w:type="dxa"/>
            <w:vMerge/>
            <w:tcBorders>
              <w:top w:val="nil"/>
              <w:left w:val="single" w:sz="12" w:space="0" w:color="000000"/>
              <w:bottom w:val="single" w:sz="8" w:space="0" w:color="000000"/>
              <w:right w:val="single" w:sz="8" w:space="0" w:color="000000"/>
            </w:tcBorders>
            <w:shd w:val="clear" w:color="auto" w:fill="auto"/>
            <w:vAlign w:val="center"/>
          </w:tcPr>
          <w:p w14:paraId="4B214E5C"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57C80B0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物业管理</w:t>
            </w:r>
          </w:p>
        </w:tc>
        <w:tc>
          <w:tcPr>
            <w:tcW w:w="725" w:type="dxa"/>
            <w:tcBorders>
              <w:top w:val="nil"/>
              <w:left w:val="single" w:sz="8" w:space="0" w:color="000000"/>
              <w:bottom w:val="single" w:sz="8" w:space="0" w:color="000000"/>
              <w:right w:val="nil"/>
            </w:tcBorders>
            <w:shd w:val="clear" w:color="auto" w:fill="auto"/>
            <w:noWrap/>
            <w:vAlign w:val="center"/>
          </w:tcPr>
          <w:p w14:paraId="305B925D"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40AC191"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BB0B1F6"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74A825D9"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71C0DCDB"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0EE5B479"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3209526C" w14:textId="77777777" w:rsidTr="00220C55">
        <w:trPr>
          <w:trHeight w:val="315"/>
          <w:jc w:val="center"/>
        </w:trPr>
        <w:tc>
          <w:tcPr>
            <w:tcW w:w="1286" w:type="dxa"/>
            <w:vMerge w:val="restart"/>
            <w:tcBorders>
              <w:top w:val="nil"/>
              <w:left w:val="single" w:sz="12" w:space="0" w:color="000000"/>
              <w:bottom w:val="single" w:sz="12" w:space="0" w:color="000000"/>
              <w:right w:val="single" w:sz="8" w:space="0" w:color="000000"/>
            </w:tcBorders>
            <w:shd w:val="clear" w:color="auto" w:fill="auto"/>
            <w:vAlign w:val="center"/>
          </w:tcPr>
          <w:p w14:paraId="1EB4176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权益状况调整</w:t>
            </w: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F2D92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土地使用权性质</w:t>
            </w:r>
          </w:p>
        </w:tc>
        <w:tc>
          <w:tcPr>
            <w:tcW w:w="725" w:type="dxa"/>
            <w:tcBorders>
              <w:top w:val="nil"/>
              <w:left w:val="single" w:sz="8" w:space="0" w:color="000000"/>
              <w:bottom w:val="single" w:sz="8" w:space="0" w:color="000000"/>
              <w:right w:val="nil"/>
            </w:tcBorders>
            <w:shd w:val="clear" w:color="auto" w:fill="auto"/>
            <w:noWrap/>
            <w:vAlign w:val="center"/>
          </w:tcPr>
          <w:p w14:paraId="6881AE58"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520A4580"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F19300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454E918"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387F0221"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7B817F9B"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5B627514" w14:textId="77777777" w:rsidTr="00220C55">
        <w:trPr>
          <w:trHeight w:val="315"/>
          <w:jc w:val="center"/>
        </w:trPr>
        <w:tc>
          <w:tcPr>
            <w:tcW w:w="1286" w:type="dxa"/>
            <w:vMerge/>
            <w:tcBorders>
              <w:top w:val="nil"/>
              <w:left w:val="single" w:sz="12" w:space="0" w:color="000000"/>
              <w:bottom w:val="single" w:sz="12" w:space="0" w:color="000000"/>
              <w:right w:val="single" w:sz="8" w:space="0" w:color="000000"/>
            </w:tcBorders>
            <w:shd w:val="clear" w:color="auto" w:fill="auto"/>
            <w:vAlign w:val="center"/>
          </w:tcPr>
          <w:p w14:paraId="2AABCF7A"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1C4357C9"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土地使用年限</w:t>
            </w:r>
          </w:p>
        </w:tc>
        <w:tc>
          <w:tcPr>
            <w:tcW w:w="725" w:type="dxa"/>
            <w:tcBorders>
              <w:top w:val="nil"/>
              <w:left w:val="single" w:sz="8" w:space="0" w:color="000000"/>
              <w:bottom w:val="single" w:sz="8" w:space="0" w:color="000000"/>
              <w:right w:val="nil"/>
            </w:tcBorders>
            <w:shd w:val="clear" w:color="auto" w:fill="auto"/>
            <w:noWrap/>
            <w:vAlign w:val="center"/>
          </w:tcPr>
          <w:p w14:paraId="5E8B730A"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26C9293E"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0E3FE48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442DC616"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2B150DB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61BAEEA7"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5CF86446" w14:textId="77777777" w:rsidTr="00220C55">
        <w:trPr>
          <w:trHeight w:val="315"/>
          <w:jc w:val="center"/>
        </w:trPr>
        <w:tc>
          <w:tcPr>
            <w:tcW w:w="1286" w:type="dxa"/>
            <w:vMerge/>
            <w:tcBorders>
              <w:top w:val="nil"/>
              <w:left w:val="single" w:sz="12" w:space="0" w:color="000000"/>
              <w:bottom w:val="single" w:sz="12" w:space="0" w:color="000000"/>
              <w:right w:val="single" w:sz="8" w:space="0" w:color="000000"/>
            </w:tcBorders>
            <w:shd w:val="clear" w:color="auto" w:fill="auto"/>
            <w:vAlign w:val="center"/>
          </w:tcPr>
          <w:p w14:paraId="6B325622"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051F365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规划条件</w:t>
            </w:r>
          </w:p>
        </w:tc>
        <w:tc>
          <w:tcPr>
            <w:tcW w:w="725" w:type="dxa"/>
            <w:tcBorders>
              <w:top w:val="nil"/>
              <w:left w:val="single" w:sz="8" w:space="0" w:color="000000"/>
              <w:bottom w:val="single" w:sz="8" w:space="0" w:color="000000"/>
              <w:right w:val="nil"/>
            </w:tcBorders>
            <w:shd w:val="clear" w:color="auto" w:fill="auto"/>
            <w:noWrap/>
            <w:vAlign w:val="center"/>
          </w:tcPr>
          <w:p w14:paraId="19744EF2"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1E055B41"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4E8A8F13"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349FAA2A" w14:textId="77777777" w:rsidR="00EF6A0E" w:rsidRDefault="00000000">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6C4FD410"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4D875C9A" w14:textId="77777777" w:rsidR="00EF6A0E" w:rsidRDefault="00000000">
            <w:pPr>
              <w:widowControl/>
              <w:jc w:val="left"/>
              <w:textAlignment w:val="center"/>
              <w:rPr>
                <w:color w:val="000000"/>
                <w:sz w:val="22"/>
                <w:szCs w:val="22"/>
              </w:rPr>
            </w:pPr>
            <w:r>
              <w:rPr>
                <w:color w:val="000000"/>
                <w:kern w:val="0"/>
                <w:sz w:val="22"/>
                <w:szCs w:val="22"/>
                <w:lang w:bidi="ar"/>
              </w:rPr>
              <w:t>100</w:t>
            </w:r>
          </w:p>
        </w:tc>
      </w:tr>
      <w:tr w:rsidR="00EF6A0E" w14:paraId="068EC046" w14:textId="77777777" w:rsidTr="00220C55">
        <w:trPr>
          <w:trHeight w:val="315"/>
          <w:jc w:val="center"/>
        </w:trPr>
        <w:tc>
          <w:tcPr>
            <w:tcW w:w="1286" w:type="dxa"/>
            <w:vMerge/>
            <w:tcBorders>
              <w:top w:val="nil"/>
              <w:left w:val="single" w:sz="12" w:space="0" w:color="000000"/>
              <w:bottom w:val="single" w:sz="12" w:space="0" w:color="000000"/>
              <w:right w:val="single" w:sz="8" w:space="0" w:color="000000"/>
            </w:tcBorders>
            <w:shd w:val="clear" w:color="auto" w:fill="auto"/>
            <w:vAlign w:val="center"/>
          </w:tcPr>
          <w:p w14:paraId="402BB396" w14:textId="77777777" w:rsidR="00EF6A0E" w:rsidRDefault="00EF6A0E">
            <w:pPr>
              <w:jc w:val="center"/>
              <w:rPr>
                <w:rFonts w:ascii="宋体" w:hAnsi="宋体" w:cs="宋体"/>
                <w:color w:val="000000"/>
                <w:sz w:val="22"/>
                <w:szCs w:val="22"/>
              </w:rPr>
            </w:pPr>
          </w:p>
        </w:tc>
        <w:tc>
          <w:tcPr>
            <w:tcW w:w="2742" w:type="dxa"/>
            <w:gridSpan w:val="2"/>
            <w:tcBorders>
              <w:top w:val="single" w:sz="8" w:space="0" w:color="000000"/>
              <w:left w:val="single" w:sz="8" w:space="0" w:color="000000"/>
              <w:bottom w:val="single" w:sz="12" w:space="0" w:color="000000"/>
              <w:right w:val="single" w:sz="8" w:space="0" w:color="000000"/>
            </w:tcBorders>
            <w:shd w:val="clear" w:color="auto" w:fill="auto"/>
            <w:noWrap/>
            <w:vAlign w:val="center"/>
          </w:tcPr>
          <w:p w14:paraId="67955962" w14:textId="77777777" w:rsidR="00EF6A0E" w:rsidRPr="00030C94" w:rsidRDefault="00000000">
            <w:pPr>
              <w:widowControl/>
              <w:jc w:val="center"/>
              <w:textAlignment w:val="center"/>
              <w:rPr>
                <w:rFonts w:ascii="宋体" w:hAnsi="宋体" w:cs="宋体"/>
                <w:sz w:val="22"/>
                <w:szCs w:val="22"/>
              </w:rPr>
            </w:pPr>
            <w:r w:rsidRPr="00030C94">
              <w:rPr>
                <w:rFonts w:ascii="宋体" w:hAnsi="宋体" w:cs="宋体" w:hint="eastAsia"/>
                <w:kern w:val="0"/>
                <w:sz w:val="22"/>
                <w:szCs w:val="22"/>
                <w:lang w:bidi="ar"/>
              </w:rPr>
              <w:t>他项权利</w:t>
            </w:r>
          </w:p>
        </w:tc>
        <w:tc>
          <w:tcPr>
            <w:tcW w:w="725" w:type="dxa"/>
            <w:tcBorders>
              <w:top w:val="nil"/>
              <w:left w:val="single" w:sz="8" w:space="0" w:color="000000"/>
              <w:bottom w:val="single" w:sz="8" w:space="0" w:color="000000"/>
              <w:right w:val="nil"/>
            </w:tcBorders>
            <w:shd w:val="clear" w:color="auto" w:fill="auto"/>
            <w:noWrap/>
            <w:vAlign w:val="center"/>
          </w:tcPr>
          <w:p w14:paraId="6792E0E9"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08CB4275" w14:textId="136C727D" w:rsidR="00EF6A0E" w:rsidRDefault="00030C94">
            <w:pPr>
              <w:widowControl/>
              <w:jc w:val="left"/>
              <w:textAlignment w:val="center"/>
              <w:rPr>
                <w:color w:val="000000"/>
                <w:sz w:val="22"/>
                <w:szCs w:val="22"/>
              </w:rPr>
            </w:pPr>
            <w:r>
              <w:rPr>
                <w:color w:val="000000"/>
                <w:kern w:val="0"/>
                <w:sz w:val="22"/>
                <w:szCs w:val="22"/>
                <w:lang w:bidi="ar"/>
              </w:rPr>
              <w:t>100</w:t>
            </w:r>
          </w:p>
        </w:tc>
        <w:tc>
          <w:tcPr>
            <w:tcW w:w="725" w:type="dxa"/>
            <w:tcBorders>
              <w:top w:val="nil"/>
              <w:left w:val="single" w:sz="8" w:space="0" w:color="000000"/>
              <w:bottom w:val="single" w:sz="8" w:space="0" w:color="000000"/>
              <w:right w:val="nil"/>
            </w:tcBorders>
            <w:shd w:val="clear" w:color="auto" w:fill="auto"/>
            <w:noWrap/>
            <w:vAlign w:val="center"/>
          </w:tcPr>
          <w:p w14:paraId="78C146FC"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2" w:type="dxa"/>
            <w:tcBorders>
              <w:top w:val="nil"/>
              <w:left w:val="nil"/>
              <w:bottom w:val="single" w:sz="8" w:space="0" w:color="000000"/>
              <w:right w:val="single" w:sz="8" w:space="0" w:color="000000"/>
            </w:tcBorders>
            <w:shd w:val="clear" w:color="auto" w:fill="auto"/>
            <w:noWrap/>
            <w:vAlign w:val="center"/>
          </w:tcPr>
          <w:p w14:paraId="29CD3280" w14:textId="7D5198BD" w:rsidR="00EF6A0E" w:rsidRDefault="00000000">
            <w:pPr>
              <w:widowControl/>
              <w:jc w:val="left"/>
              <w:textAlignment w:val="center"/>
              <w:rPr>
                <w:color w:val="000000"/>
                <w:sz w:val="22"/>
                <w:szCs w:val="22"/>
              </w:rPr>
            </w:pPr>
            <w:r>
              <w:rPr>
                <w:color w:val="000000"/>
                <w:kern w:val="0"/>
                <w:sz w:val="22"/>
                <w:szCs w:val="22"/>
                <w:lang w:bidi="ar"/>
              </w:rPr>
              <w:t>1</w:t>
            </w:r>
            <w:r w:rsidR="00030C94">
              <w:rPr>
                <w:color w:val="000000"/>
                <w:kern w:val="0"/>
                <w:sz w:val="22"/>
                <w:szCs w:val="22"/>
                <w:lang w:bidi="ar"/>
              </w:rPr>
              <w:t>0</w:t>
            </w:r>
            <w:r w:rsidR="005202CC">
              <w:rPr>
                <w:color w:val="000000"/>
                <w:kern w:val="0"/>
                <w:sz w:val="22"/>
                <w:szCs w:val="22"/>
                <w:lang w:bidi="ar"/>
              </w:rPr>
              <w:t>0</w:t>
            </w:r>
          </w:p>
        </w:tc>
        <w:tc>
          <w:tcPr>
            <w:tcW w:w="725" w:type="dxa"/>
            <w:tcBorders>
              <w:top w:val="nil"/>
              <w:left w:val="single" w:sz="8" w:space="0" w:color="000000"/>
              <w:bottom w:val="single" w:sz="8" w:space="0" w:color="000000"/>
              <w:right w:val="nil"/>
            </w:tcBorders>
            <w:shd w:val="clear" w:color="auto" w:fill="auto"/>
            <w:noWrap/>
            <w:vAlign w:val="center"/>
          </w:tcPr>
          <w:p w14:paraId="40172334" w14:textId="77777777" w:rsidR="00EF6A0E" w:rsidRDefault="00000000">
            <w:pPr>
              <w:widowControl/>
              <w:jc w:val="right"/>
              <w:textAlignment w:val="center"/>
              <w:rPr>
                <w:color w:val="000000"/>
                <w:sz w:val="22"/>
                <w:szCs w:val="22"/>
              </w:rPr>
            </w:pPr>
            <w:r>
              <w:rPr>
                <w:color w:val="000000"/>
                <w:kern w:val="0"/>
                <w:sz w:val="22"/>
                <w:szCs w:val="22"/>
                <w:lang w:bidi="ar"/>
              </w:rPr>
              <w:t>100/</w:t>
            </w:r>
          </w:p>
        </w:tc>
        <w:tc>
          <w:tcPr>
            <w:tcW w:w="654" w:type="dxa"/>
            <w:tcBorders>
              <w:top w:val="nil"/>
              <w:left w:val="nil"/>
              <w:bottom w:val="single" w:sz="8" w:space="0" w:color="000000"/>
              <w:right w:val="single" w:sz="12" w:space="0" w:color="000000"/>
            </w:tcBorders>
            <w:shd w:val="clear" w:color="auto" w:fill="auto"/>
            <w:noWrap/>
            <w:vAlign w:val="center"/>
          </w:tcPr>
          <w:p w14:paraId="52AE5F66" w14:textId="7C1698A2" w:rsidR="00EF6A0E" w:rsidRDefault="00000000">
            <w:pPr>
              <w:widowControl/>
              <w:jc w:val="left"/>
              <w:textAlignment w:val="center"/>
              <w:rPr>
                <w:color w:val="000000"/>
                <w:sz w:val="22"/>
                <w:szCs w:val="22"/>
              </w:rPr>
            </w:pPr>
            <w:r>
              <w:rPr>
                <w:color w:val="000000"/>
                <w:kern w:val="0"/>
                <w:sz w:val="22"/>
                <w:szCs w:val="22"/>
                <w:lang w:bidi="ar"/>
              </w:rPr>
              <w:t>1</w:t>
            </w:r>
            <w:r w:rsidR="00030C94">
              <w:rPr>
                <w:color w:val="000000"/>
                <w:kern w:val="0"/>
                <w:sz w:val="22"/>
                <w:szCs w:val="22"/>
                <w:lang w:bidi="ar"/>
              </w:rPr>
              <w:t>00</w:t>
            </w:r>
          </w:p>
        </w:tc>
      </w:tr>
    </w:tbl>
    <w:p w14:paraId="2D72E658" w14:textId="77777777" w:rsidR="00EF6A0E" w:rsidRDefault="00000000">
      <w:pPr>
        <w:spacing w:line="440" w:lineRule="exact"/>
        <w:ind w:firstLineChars="200" w:firstLine="520"/>
        <w:rPr>
          <w:rFonts w:eastAsia="仿宋_GB2312"/>
          <w:sz w:val="26"/>
          <w:szCs w:val="26"/>
        </w:rPr>
      </w:pPr>
      <w:r>
        <w:rPr>
          <w:rFonts w:eastAsia="仿宋_GB2312" w:hint="eastAsia"/>
          <w:sz w:val="26"/>
          <w:szCs w:val="26"/>
        </w:rPr>
        <w:t>6</w:t>
      </w:r>
      <w:r>
        <w:rPr>
          <w:rFonts w:eastAsia="仿宋_GB2312" w:hint="eastAsia"/>
          <w:sz w:val="26"/>
          <w:szCs w:val="26"/>
        </w:rPr>
        <w:t>、确定估价对象比准价格</w:t>
      </w:r>
    </w:p>
    <w:tbl>
      <w:tblPr>
        <w:tblW w:w="8505" w:type="dxa"/>
        <w:jc w:val="center"/>
        <w:tblLook w:val="04A0" w:firstRow="1" w:lastRow="0" w:firstColumn="1" w:lastColumn="0" w:noHBand="0" w:noVBand="1"/>
      </w:tblPr>
      <w:tblGrid>
        <w:gridCol w:w="3049"/>
        <w:gridCol w:w="1824"/>
        <w:gridCol w:w="1808"/>
        <w:gridCol w:w="1824"/>
      </w:tblGrid>
      <w:tr w:rsidR="00EF6A0E" w14:paraId="693EA872" w14:textId="77777777">
        <w:trPr>
          <w:trHeight w:val="285"/>
          <w:jc w:val="center"/>
        </w:trPr>
        <w:tc>
          <w:tcPr>
            <w:tcW w:w="8505" w:type="dxa"/>
            <w:gridSpan w:val="4"/>
            <w:tcBorders>
              <w:top w:val="nil"/>
              <w:left w:val="nil"/>
              <w:bottom w:val="single" w:sz="12" w:space="0" w:color="000000"/>
              <w:right w:val="nil"/>
            </w:tcBorders>
            <w:shd w:val="clear" w:color="auto" w:fill="auto"/>
            <w:noWrap/>
            <w:vAlign w:val="center"/>
          </w:tcPr>
          <w:p w14:paraId="2BFB7831" w14:textId="77777777" w:rsidR="00EF6A0E" w:rsidRDefault="00000000">
            <w:pPr>
              <w:widowControl/>
              <w:jc w:val="center"/>
              <w:textAlignment w:val="center"/>
              <w:rPr>
                <w:rFonts w:ascii="仿宋_GB2312" w:eastAsia="仿宋_GB2312" w:hAnsi="宋体" w:cs="仿宋_GB2312"/>
                <w:b/>
                <w:bCs/>
                <w:color w:val="000000"/>
                <w:sz w:val="23"/>
                <w:szCs w:val="23"/>
              </w:rPr>
            </w:pPr>
            <w:r>
              <w:rPr>
                <w:rFonts w:ascii="仿宋_GB2312" w:eastAsia="仿宋_GB2312" w:hAnsi="宋体" w:cs="仿宋_GB2312"/>
                <w:b/>
                <w:bCs/>
                <w:color w:val="000000"/>
                <w:kern w:val="0"/>
                <w:sz w:val="23"/>
                <w:szCs w:val="23"/>
                <w:lang w:bidi="ar"/>
              </w:rPr>
              <w:t>比较因素修正系数表</w:t>
            </w:r>
          </w:p>
        </w:tc>
      </w:tr>
      <w:tr w:rsidR="00EF6A0E" w14:paraId="51134A47" w14:textId="77777777">
        <w:trPr>
          <w:trHeight w:val="315"/>
          <w:jc w:val="center"/>
        </w:trPr>
        <w:tc>
          <w:tcPr>
            <w:tcW w:w="0" w:type="auto"/>
            <w:tcBorders>
              <w:top w:val="single" w:sz="12" w:space="0" w:color="000000"/>
              <w:left w:val="single" w:sz="12" w:space="0" w:color="000000"/>
              <w:bottom w:val="single" w:sz="8" w:space="0" w:color="000000"/>
              <w:right w:val="single" w:sz="8" w:space="0" w:color="000000"/>
            </w:tcBorders>
            <w:shd w:val="clear" w:color="auto" w:fill="auto"/>
            <w:noWrap/>
            <w:vAlign w:val="center"/>
          </w:tcPr>
          <w:p w14:paraId="23D1038B"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项目</w:t>
            </w:r>
          </w:p>
        </w:tc>
        <w:tc>
          <w:tcPr>
            <w:tcW w:w="0" w:type="auto"/>
            <w:tcBorders>
              <w:top w:val="single" w:sz="12" w:space="0" w:color="000000"/>
              <w:left w:val="nil"/>
              <w:bottom w:val="single" w:sz="8" w:space="0" w:color="000000"/>
              <w:right w:val="single" w:sz="8" w:space="0" w:color="000000"/>
            </w:tcBorders>
            <w:shd w:val="clear" w:color="auto" w:fill="auto"/>
            <w:noWrap/>
            <w:vAlign w:val="center"/>
          </w:tcPr>
          <w:p w14:paraId="2481B514"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A</w:t>
            </w:r>
          </w:p>
        </w:tc>
        <w:tc>
          <w:tcPr>
            <w:tcW w:w="0" w:type="auto"/>
            <w:tcBorders>
              <w:top w:val="single" w:sz="12" w:space="0" w:color="000000"/>
              <w:left w:val="nil"/>
              <w:bottom w:val="single" w:sz="8" w:space="0" w:color="000000"/>
              <w:right w:val="single" w:sz="8" w:space="0" w:color="000000"/>
            </w:tcBorders>
            <w:shd w:val="clear" w:color="auto" w:fill="auto"/>
            <w:noWrap/>
            <w:vAlign w:val="center"/>
          </w:tcPr>
          <w:p w14:paraId="1F0C81FB"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B</w:t>
            </w:r>
          </w:p>
        </w:tc>
        <w:tc>
          <w:tcPr>
            <w:tcW w:w="0" w:type="auto"/>
            <w:tcBorders>
              <w:top w:val="single" w:sz="12" w:space="0" w:color="000000"/>
              <w:left w:val="nil"/>
              <w:bottom w:val="single" w:sz="8" w:space="0" w:color="000000"/>
              <w:right w:val="single" w:sz="12" w:space="0" w:color="000000"/>
            </w:tcBorders>
            <w:shd w:val="clear" w:color="auto" w:fill="auto"/>
            <w:noWrap/>
            <w:vAlign w:val="center"/>
          </w:tcPr>
          <w:p w14:paraId="3DE33920" w14:textId="77777777" w:rsidR="00EF6A0E" w:rsidRDefault="0000000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可比实例</w:t>
            </w:r>
            <w:r>
              <w:rPr>
                <w:b/>
                <w:bCs/>
                <w:color w:val="000000"/>
                <w:kern w:val="0"/>
                <w:sz w:val="22"/>
                <w:szCs w:val="22"/>
                <w:lang w:bidi="ar"/>
              </w:rPr>
              <w:t>C</w:t>
            </w:r>
          </w:p>
        </w:tc>
      </w:tr>
      <w:tr w:rsidR="00342D95" w14:paraId="2E960F46"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6C1574D6" w14:textId="77777777" w:rsidR="00342D95" w:rsidRDefault="00342D95" w:rsidP="00342D9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可比实例价格（元）</w:t>
            </w:r>
          </w:p>
        </w:tc>
        <w:tc>
          <w:tcPr>
            <w:tcW w:w="0" w:type="auto"/>
            <w:tcBorders>
              <w:top w:val="nil"/>
              <w:left w:val="nil"/>
              <w:bottom w:val="single" w:sz="8" w:space="0" w:color="000000"/>
              <w:right w:val="single" w:sz="8" w:space="0" w:color="000000"/>
            </w:tcBorders>
            <w:shd w:val="clear" w:color="auto" w:fill="auto"/>
            <w:noWrap/>
            <w:vAlign w:val="center"/>
          </w:tcPr>
          <w:p w14:paraId="0E3016ED" w14:textId="79DAAC9F" w:rsidR="00342D95" w:rsidRDefault="00342D95" w:rsidP="00342D95">
            <w:pPr>
              <w:widowControl/>
              <w:jc w:val="center"/>
              <w:textAlignment w:val="center"/>
              <w:rPr>
                <w:color w:val="000000"/>
                <w:sz w:val="22"/>
                <w:szCs w:val="22"/>
              </w:rPr>
            </w:pPr>
            <w:r>
              <w:rPr>
                <w:color w:val="000000"/>
                <w:kern w:val="0"/>
                <w:sz w:val="22"/>
                <w:szCs w:val="22"/>
                <w:lang w:bidi="ar"/>
              </w:rPr>
              <w:t>3730</w:t>
            </w:r>
          </w:p>
        </w:tc>
        <w:tc>
          <w:tcPr>
            <w:tcW w:w="0" w:type="auto"/>
            <w:tcBorders>
              <w:top w:val="nil"/>
              <w:left w:val="nil"/>
              <w:bottom w:val="single" w:sz="8" w:space="0" w:color="000000"/>
              <w:right w:val="single" w:sz="8" w:space="0" w:color="000000"/>
            </w:tcBorders>
            <w:shd w:val="clear" w:color="auto" w:fill="auto"/>
            <w:noWrap/>
            <w:vAlign w:val="center"/>
          </w:tcPr>
          <w:p w14:paraId="65EC4C33" w14:textId="5F4F96F6" w:rsidR="00342D95" w:rsidRDefault="00342D95" w:rsidP="00342D95">
            <w:pPr>
              <w:widowControl/>
              <w:jc w:val="center"/>
              <w:textAlignment w:val="center"/>
              <w:rPr>
                <w:color w:val="000000"/>
                <w:sz w:val="22"/>
                <w:szCs w:val="22"/>
              </w:rPr>
            </w:pPr>
            <w:r>
              <w:rPr>
                <w:color w:val="000000"/>
                <w:kern w:val="0"/>
                <w:sz w:val="22"/>
                <w:szCs w:val="22"/>
                <w:lang w:bidi="ar"/>
              </w:rPr>
              <w:t>3284</w:t>
            </w:r>
          </w:p>
        </w:tc>
        <w:tc>
          <w:tcPr>
            <w:tcW w:w="0" w:type="auto"/>
            <w:tcBorders>
              <w:top w:val="nil"/>
              <w:left w:val="nil"/>
              <w:bottom w:val="single" w:sz="8" w:space="0" w:color="000000"/>
              <w:right w:val="single" w:sz="12" w:space="0" w:color="000000"/>
            </w:tcBorders>
            <w:shd w:val="clear" w:color="auto" w:fill="auto"/>
            <w:noWrap/>
            <w:vAlign w:val="center"/>
          </w:tcPr>
          <w:p w14:paraId="35343305" w14:textId="5FB1169B" w:rsidR="00342D95" w:rsidRDefault="00342D95" w:rsidP="00342D95">
            <w:pPr>
              <w:widowControl/>
              <w:jc w:val="center"/>
              <w:textAlignment w:val="center"/>
              <w:rPr>
                <w:color w:val="000000"/>
                <w:sz w:val="22"/>
                <w:szCs w:val="22"/>
              </w:rPr>
            </w:pPr>
            <w:r>
              <w:rPr>
                <w:color w:val="000000"/>
                <w:kern w:val="0"/>
                <w:sz w:val="22"/>
                <w:szCs w:val="22"/>
                <w:lang w:bidi="ar"/>
              </w:rPr>
              <w:t>4404</w:t>
            </w:r>
          </w:p>
        </w:tc>
      </w:tr>
      <w:tr w:rsidR="00EF6A0E" w14:paraId="7BD6EE3D"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4DD4BCB5"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交易情况修正系数</w:t>
            </w:r>
          </w:p>
        </w:tc>
        <w:tc>
          <w:tcPr>
            <w:tcW w:w="0" w:type="auto"/>
            <w:tcBorders>
              <w:top w:val="nil"/>
              <w:left w:val="nil"/>
              <w:bottom w:val="single" w:sz="8" w:space="0" w:color="000000"/>
              <w:right w:val="single" w:sz="8" w:space="0" w:color="000000"/>
            </w:tcBorders>
            <w:shd w:val="clear" w:color="auto" w:fill="auto"/>
            <w:noWrap/>
            <w:vAlign w:val="center"/>
          </w:tcPr>
          <w:p w14:paraId="75584225" w14:textId="77777777" w:rsidR="00EF6A0E" w:rsidRDefault="00000000">
            <w:pPr>
              <w:widowControl/>
              <w:jc w:val="center"/>
              <w:textAlignment w:val="center"/>
              <w:rPr>
                <w:color w:val="000000"/>
                <w:sz w:val="22"/>
                <w:szCs w:val="22"/>
              </w:rPr>
            </w:pPr>
            <w:r>
              <w:rPr>
                <w:color w:val="000000"/>
                <w:kern w:val="0"/>
                <w:sz w:val="22"/>
                <w:szCs w:val="22"/>
                <w:lang w:bidi="ar"/>
              </w:rPr>
              <w:t xml:space="preserve">1.00 </w:t>
            </w:r>
          </w:p>
        </w:tc>
        <w:tc>
          <w:tcPr>
            <w:tcW w:w="0" w:type="auto"/>
            <w:tcBorders>
              <w:top w:val="nil"/>
              <w:left w:val="nil"/>
              <w:bottom w:val="single" w:sz="8" w:space="0" w:color="000000"/>
              <w:right w:val="single" w:sz="8" w:space="0" w:color="000000"/>
            </w:tcBorders>
            <w:shd w:val="clear" w:color="auto" w:fill="auto"/>
            <w:noWrap/>
            <w:vAlign w:val="center"/>
          </w:tcPr>
          <w:p w14:paraId="55EE6FD7" w14:textId="77777777" w:rsidR="00EF6A0E" w:rsidRDefault="00000000">
            <w:pPr>
              <w:widowControl/>
              <w:jc w:val="center"/>
              <w:textAlignment w:val="center"/>
              <w:rPr>
                <w:color w:val="000000"/>
                <w:sz w:val="22"/>
                <w:szCs w:val="22"/>
              </w:rPr>
            </w:pPr>
            <w:r>
              <w:rPr>
                <w:color w:val="000000"/>
                <w:kern w:val="0"/>
                <w:sz w:val="22"/>
                <w:szCs w:val="22"/>
                <w:lang w:bidi="ar"/>
              </w:rPr>
              <w:t xml:space="preserve">1.00 </w:t>
            </w:r>
          </w:p>
        </w:tc>
        <w:tc>
          <w:tcPr>
            <w:tcW w:w="0" w:type="auto"/>
            <w:tcBorders>
              <w:top w:val="nil"/>
              <w:left w:val="nil"/>
              <w:bottom w:val="single" w:sz="8" w:space="0" w:color="000000"/>
              <w:right w:val="single" w:sz="12" w:space="0" w:color="000000"/>
            </w:tcBorders>
            <w:shd w:val="clear" w:color="auto" w:fill="auto"/>
            <w:noWrap/>
            <w:vAlign w:val="center"/>
          </w:tcPr>
          <w:p w14:paraId="3745623F" w14:textId="16394D4F" w:rsidR="00EF6A0E" w:rsidRDefault="00071145">
            <w:pPr>
              <w:widowControl/>
              <w:jc w:val="center"/>
              <w:textAlignment w:val="center"/>
              <w:rPr>
                <w:color w:val="000000"/>
                <w:sz w:val="22"/>
                <w:szCs w:val="22"/>
              </w:rPr>
            </w:pPr>
            <w:r>
              <w:rPr>
                <w:color w:val="000000"/>
                <w:kern w:val="0"/>
                <w:sz w:val="22"/>
                <w:szCs w:val="22"/>
                <w:lang w:bidi="ar"/>
              </w:rPr>
              <w:t>1.00</w:t>
            </w:r>
          </w:p>
        </w:tc>
      </w:tr>
      <w:tr w:rsidR="00EF6A0E" w14:paraId="60003869"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7F7E94D0"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市场状况调整系数</w:t>
            </w:r>
          </w:p>
        </w:tc>
        <w:tc>
          <w:tcPr>
            <w:tcW w:w="0" w:type="auto"/>
            <w:tcBorders>
              <w:top w:val="nil"/>
              <w:left w:val="nil"/>
              <w:bottom w:val="single" w:sz="8" w:space="0" w:color="000000"/>
              <w:right w:val="single" w:sz="8" w:space="0" w:color="000000"/>
            </w:tcBorders>
            <w:shd w:val="clear" w:color="auto" w:fill="auto"/>
            <w:noWrap/>
            <w:vAlign w:val="center"/>
          </w:tcPr>
          <w:p w14:paraId="361FFD1A" w14:textId="77777777" w:rsidR="00EF6A0E" w:rsidRDefault="00000000">
            <w:pPr>
              <w:widowControl/>
              <w:jc w:val="center"/>
              <w:textAlignment w:val="center"/>
              <w:rPr>
                <w:color w:val="000000"/>
                <w:sz w:val="22"/>
                <w:szCs w:val="22"/>
              </w:rPr>
            </w:pPr>
            <w:r>
              <w:rPr>
                <w:color w:val="000000"/>
                <w:kern w:val="0"/>
                <w:sz w:val="22"/>
                <w:szCs w:val="22"/>
                <w:lang w:bidi="ar"/>
              </w:rPr>
              <w:t xml:space="preserve">1.00 </w:t>
            </w:r>
          </w:p>
        </w:tc>
        <w:tc>
          <w:tcPr>
            <w:tcW w:w="0" w:type="auto"/>
            <w:tcBorders>
              <w:top w:val="nil"/>
              <w:left w:val="nil"/>
              <w:bottom w:val="single" w:sz="8" w:space="0" w:color="000000"/>
              <w:right w:val="single" w:sz="8" w:space="0" w:color="000000"/>
            </w:tcBorders>
            <w:shd w:val="clear" w:color="auto" w:fill="auto"/>
            <w:noWrap/>
            <w:vAlign w:val="center"/>
          </w:tcPr>
          <w:p w14:paraId="043DACEF" w14:textId="77777777" w:rsidR="00EF6A0E" w:rsidRDefault="00000000">
            <w:pPr>
              <w:widowControl/>
              <w:jc w:val="center"/>
              <w:textAlignment w:val="center"/>
              <w:rPr>
                <w:color w:val="000000"/>
                <w:sz w:val="22"/>
                <w:szCs w:val="22"/>
              </w:rPr>
            </w:pPr>
            <w:r>
              <w:rPr>
                <w:color w:val="000000"/>
                <w:kern w:val="0"/>
                <w:sz w:val="22"/>
                <w:szCs w:val="22"/>
                <w:lang w:bidi="ar"/>
              </w:rPr>
              <w:t xml:space="preserve">1.00 </w:t>
            </w:r>
          </w:p>
        </w:tc>
        <w:tc>
          <w:tcPr>
            <w:tcW w:w="0" w:type="auto"/>
            <w:tcBorders>
              <w:top w:val="nil"/>
              <w:left w:val="nil"/>
              <w:bottom w:val="single" w:sz="8" w:space="0" w:color="000000"/>
              <w:right w:val="single" w:sz="12" w:space="0" w:color="000000"/>
            </w:tcBorders>
            <w:shd w:val="clear" w:color="auto" w:fill="auto"/>
            <w:noWrap/>
            <w:vAlign w:val="center"/>
          </w:tcPr>
          <w:p w14:paraId="4D20022C" w14:textId="77777777" w:rsidR="00EF6A0E" w:rsidRDefault="00000000">
            <w:pPr>
              <w:widowControl/>
              <w:jc w:val="center"/>
              <w:textAlignment w:val="center"/>
              <w:rPr>
                <w:color w:val="000000"/>
                <w:sz w:val="22"/>
                <w:szCs w:val="22"/>
              </w:rPr>
            </w:pPr>
            <w:r>
              <w:rPr>
                <w:color w:val="000000"/>
                <w:kern w:val="0"/>
                <w:sz w:val="22"/>
                <w:szCs w:val="22"/>
                <w:lang w:bidi="ar"/>
              </w:rPr>
              <w:t xml:space="preserve">1.00 </w:t>
            </w:r>
          </w:p>
        </w:tc>
      </w:tr>
      <w:tr w:rsidR="00EF6A0E" w14:paraId="3D3963A1"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0380F99A"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区域状况调整系数</w:t>
            </w:r>
          </w:p>
        </w:tc>
        <w:tc>
          <w:tcPr>
            <w:tcW w:w="0" w:type="auto"/>
            <w:tcBorders>
              <w:top w:val="nil"/>
              <w:left w:val="nil"/>
              <w:bottom w:val="single" w:sz="8" w:space="0" w:color="000000"/>
              <w:right w:val="single" w:sz="8" w:space="0" w:color="000000"/>
            </w:tcBorders>
            <w:shd w:val="clear" w:color="auto" w:fill="auto"/>
            <w:noWrap/>
            <w:vAlign w:val="center"/>
          </w:tcPr>
          <w:p w14:paraId="05F43A2D" w14:textId="0E402A07" w:rsidR="00EF6A0E" w:rsidRDefault="00000000">
            <w:pPr>
              <w:widowControl/>
              <w:jc w:val="center"/>
              <w:textAlignment w:val="center"/>
              <w:rPr>
                <w:color w:val="000000"/>
                <w:sz w:val="22"/>
                <w:szCs w:val="22"/>
              </w:rPr>
            </w:pPr>
            <w:r>
              <w:rPr>
                <w:color w:val="000000"/>
                <w:kern w:val="0"/>
                <w:sz w:val="22"/>
                <w:szCs w:val="22"/>
                <w:lang w:bidi="ar"/>
              </w:rPr>
              <w:t>1</w:t>
            </w:r>
            <w:r w:rsidR="00375756">
              <w:rPr>
                <w:color w:val="000000"/>
                <w:kern w:val="0"/>
                <w:sz w:val="22"/>
                <w:szCs w:val="22"/>
                <w:lang w:bidi="ar"/>
              </w:rPr>
              <w:t>.00</w:t>
            </w:r>
          </w:p>
        </w:tc>
        <w:tc>
          <w:tcPr>
            <w:tcW w:w="0" w:type="auto"/>
            <w:tcBorders>
              <w:top w:val="nil"/>
              <w:left w:val="nil"/>
              <w:bottom w:val="single" w:sz="8" w:space="0" w:color="000000"/>
              <w:right w:val="single" w:sz="8" w:space="0" w:color="000000"/>
            </w:tcBorders>
            <w:shd w:val="clear" w:color="auto" w:fill="auto"/>
            <w:noWrap/>
            <w:vAlign w:val="center"/>
          </w:tcPr>
          <w:p w14:paraId="056890CA" w14:textId="23039D1A" w:rsidR="00EF6A0E" w:rsidRDefault="00000000">
            <w:pPr>
              <w:widowControl/>
              <w:jc w:val="center"/>
              <w:textAlignment w:val="center"/>
              <w:rPr>
                <w:color w:val="000000"/>
                <w:sz w:val="22"/>
                <w:szCs w:val="22"/>
              </w:rPr>
            </w:pPr>
            <w:r>
              <w:rPr>
                <w:color w:val="000000"/>
                <w:kern w:val="0"/>
                <w:sz w:val="22"/>
                <w:szCs w:val="22"/>
                <w:lang w:bidi="ar"/>
              </w:rPr>
              <w:t>1</w:t>
            </w:r>
            <w:r w:rsidR="00375756">
              <w:rPr>
                <w:color w:val="000000"/>
                <w:kern w:val="0"/>
                <w:sz w:val="22"/>
                <w:szCs w:val="22"/>
                <w:lang w:bidi="ar"/>
              </w:rPr>
              <w:t>.00</w:t>
            </w:r>
          </w:p>
        </w:tc>
        <w:tc>
          <w:tcPr>
            <w:tcW w:w="0" w:type="auto"/>
            <w:tcBorders>
              <w:top w:val="nil"/>
              <w:left w:val="nil"/>
              <w:bottom w:val="single" w:sz="8" w:space="0" w:color="000000"/>
              <w:right w:val="single" w:sz="12" w:space="0" w:color="000000"/>
            </w:tcBorders>
            <w:shd w:val="clear" w:color="auto" w:fill="auto"/>
            <w:noWrap/>
            <w:vAlign w:val="center"/>
          </w:tcPr>
          <w:p w14:paraId="178750F4" w14:textId="29C1AD29" w:rsidR="00EF6A0E" w:rsidRDefault="00497692">
            <w:pPr>
              <w:widowControl/>
              <w:jc w:val="center"/>
              <w:textAlignment w:val="center"/>
              <w:rPr>
                <w:color w:val="000000"/>
                <w:sz w:val="22"/>
                <w:szCs w:val="22"/>
              </w:rPr>
            </w:pPr>
            <w:r>
              <w:rPr>
                <w:color w:val="000000"/>
                <w:kern w:val="0"/>
                <w:sz w:val="22"/>
                <w:szCs w:val="22"/>
                <w:lang w:bidi="ar"/>
              </w:rPr>
              <w:t>0.9804</w:t>
            </w:r>
          </w:p>
        </w:tc>
      </w:tr>
      <w:tr w:rsidR="00EF6A0E" w14:paraId="7A48F668"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5DAFD9C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实物状况调整系数</w:t>
            </w:r>
          </w:p>
        </w:tc>
        <w:tc>
          <w:tcPr>
            <w:tcW w:w="0" w:type="auto"/>
            <w:tcBorders>
              <w:top w:val="nil"/>
              <w:left w:val="nil"/>
              <w:bottom w:val="single" w:sz="8" w:space="0" w:color="000000"/>
              <w:right w:val="single" w:sz="8" w:space="0" w:color="000000"/>
            </w:tcBorders>
            <w:shd w:val="clear" w:color="auto" w:fill="auto"/>
            <w:noWrap/>
            <w:vAlign w:val="center"/>
          </w:tcPr>
          <w:p w14:paraId="3E435DCC" w14:textId="28BA8FC9" w:rsidR="00EF6A0E" w:rsidRDefault="00497692">
            <w:pPr>
              <w:widowControl/>
              <w:jc w:val="center"/>
              <w:textAlignment w:val="center"/>
              <w:rPr>
                <w:color w:val="000000"/>
                <w:sz w:val="22"/>
                <w:szCs w:val="22"/>
              </w:rPr>
            </w:pPr>
            <w:r>
              <w:rPr>
                <w:rFonts w:hint="eastAsia"/>
                <w:color w:val="000000"/>
                <w:sz w:val="22"/>
                <w:szCs w:val="22"/>
              </w:rPr>
              <w:t>1</w:t>
            </w:r>
            <w:r>
              <w:rPr>
                <w:color w:val="000000"/>
                <w:sz w:val="22"/>
                <w:szCs w:val="22"/>
              </w:rPr>
              <w:t>.0206</w:t>
            </w:r>
          </w:p>
        </w:tc>
        <w:tc>
          <w:tcPr>
            <w:tcW w:w="0" w:type="auto"/>
            <w:tcBorders>
              <w:top w:val="nil"/>
              <w:left w:val="nil"/>
              <w:bottom w:val="single" w:sz="8" w:space="0" w:color="000000"/>
              <w:right w:val="single" w:sz="8" w:space="0" w:color="000000"/>
            </w:tcBorders>
            <w:shd w:val="clear" w:color="auto" w:fill="auto"/>
            <w:noWrap/>
            <w:vAlign w:val="center"/>
          </w:tcPr>
          <w:p w14:paraId="39722A29" w14:textId="77AEB256" w:rsidR="00EF6A0E" w:rsidRDefault="00497692">
            <w:pPr>
              <w:widowControl/>
              <w:jc w:val="center"/>
              <w:textAlignment w:val="center"/>
              <w:rPr>
                <w:color w:val="000000"/>
                <w:sz w:val="22"/>
                <w:szCs w:val="22"/>
              </w:rPr>
            </w:pPr>
            <w:r>
              <w:rPr>
                <w:rFonts w:hint="eastAsia"/>
                <w:color w:val="000000"/>
                <w:sz w:val="22"/>
                <w:szCs w:val="22"/>
              </w:rPr>
              <w:t>1</w:t>
            </w:r>
            <w:r>
              <w:rPr>
                <w:color w:val="000000"/>
                <w:sz w:val="22"/>
                <w:szCs w:val="22"/>
              </w:rPr>
              <w:t>.0309</w:t>
            </w:r>
          </w:p>
        </w:tc>
        <w:tc>
          <w:tcPr>
            <w:tcW w:w="0" w:type="auto"/>
            <w:tcBorders>
              <w:top w:val="nil"/>
              <w:left w:val="nil"/>
              <w:bottom w:val="single" w:sz="8" w:space="0" w:color="000000"/>
              <w:right w:val="single" w:sz="12" w:space="0" w:color="000000"/>
            </w:tcBorders>
            <w:shd w:val="clear" w:color="auto" w:fill="auto"/>
            <w:noWrap/>
            <w:vAlign w:val="center"/>
          </w:tcPr>
          <w:p w14:paraId="6BC83292" w14:textId="41607CD8" w:rsidR="00EF6A0E" w:rsidRDefault="00497692">
            <w:pPr>
              <w:widowControl/>
              <w:jc w:val="center"/>
              <w:textAlignment w:val="center"/>
              <w:rPr>
                <w:color w:val="000000"/>
                <w:sz w:val="22"/>
                <w:szCs w:val="22"/>
              </w:rPr>
            </w:pPr>
            <w:r>
              <w:rPr>
                <w:rFonts w:hint="eastAsia"/>
                <w:color w:val="000000"/>
                <w:sz w:val="22"/>
                <w:szCs w:val="22"/>
              </w:rPr>
              <w:t>0</w:t>
            </w:r>
            <w:r>
              <w:rPr>
                <w:color w:val="000000"/>
                <w:sz w:val="22"/>
                <w:szCs w:val="22"/>
              </w:rPr>
              <w:t>.9900</w:t>
            </w:r>
          </w:p>
        </w:tc>
      </w:tr>
      <w:tr w:rsidR="00085327" w14:paraId="044164FD" w14:textId="77777777" w:rsidTr="003424CD">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5C21FF39" w14:textId="77777777" w:rsidR="00085327" w:rsidRDefault="00085327" w:rsidP="00085327">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权益状况调整系数</w:t>
            </w:r>
          </w:p>
        </w:tc>
        <w:tc>
          <w:tcPr>
            <w:tcW w:w="0" w:type="auto"/>
            <w:tcBorders>
              <w:top w:val="nil"/>
              <w:left w:val="nil"/>
              <w:bottom w:val="single" w:sz="8" w:space="0" w:color="000000"/>
              <w:right w:val="single" w:sz="8" w:space="0" w:color="000000"/>
            </w:tcBorders>
            <w:shd w:val="clear" w:color="auto" w:fill="auto"/>
            <w:noWrap/>
            <w:vAlign w:val="center"/>
          </w:tcPr>
          <w:p w14:paraId="1F4908E6" w14:textId="1D1BECD9" w:rsidR="00085327" w:rsidRDefault="00085327" w:rsidP="00085327">
            <w:pPr>
              <w:widowControl/>
              <w:jc w:val="center"/>
              <w:textAlignment w:val="center"/>
              <w:rPr>
                <w:color w:val="000000"/>
                <w:sz w:val="22"/>
                <w:szCs w:val="22"/>
              </w:rPr>
            </w:pPr>
            <w:r>
              <w:rPr>
                <w:rFonts w:hint="eastAsia"/>
                <w:color w:val="000000"/>
                <w:sz w:val="22"/>
                <w:szCs w:val="22"/>
              </w:rPr>
              <w:t>1</w:t>
            </w:r>
            <w:r>
              <w:rPr>
                <w:color w:val="000000"/>
                <w:sz w:val="22"/>
                <w:szCs w:val="22"/>
              </w:rPr>
              <w:t>.00</w:t>
            </w:r>
          </w:p>
        </w:tc>
        <w:tc>
          <w:tcPr>
            <w:tcW w:w="0" w:type="auto"/>
            <w:tcBorders>
              <w:top w:val="nil"/>
              <w:left w:val="nil"/>
              <w:bottom w:val="single" w:sz="8" w:space="0" w:color="000000"/>
              <w:right w:val="single" w:sz="8" w:space="0" w:color="000000"/>
            </w:tcBorders>
            <w:shd w:val="clear" w:color="auto" w:fill="auto"/>
            <w:noWrap/>
          </w:tcPr>
          <w:p w14:paraId="4FE71534" w14:textId="52B6E5CA" w:rsidR="00085327" w:rsidRDefault="00085327" w:rsidP="00085327">
            <w:pPr>
              <w:widowControl/>
              <w:jc w:val="center"/>
              <w:textAlignment w:val="center"/>
              <w:rPr>
                <w:color w:val="000000"/>
                <w:sz w:val="22"/>
                <w:szCs w:val="22"/>
              </w:rPr>
            </w:pPr>
            <w:r w:rsidRPr="00756583">
              <w:rPr>
                <w:rFonts w:hint="eastAsia"/>
                <w:color w:val="000000"/>
                <w:sz w:val="22"/>
                <w:szCs w:val="22"/>
              </w:rPr>
              <w:t>1</w:t>
            </w:r>
            <w:r w:rsidRPr="00756583">
              <w:rPr>
                <w:color w:val="000000"/>
                <w:sz w:val="22"/>
                <w:szCs w:val="22"/>
              </w:rPr>
              <w:t>.00</w:t>
            </w:r>
          </w:p>
        </w:tc>
        <w:tc>
          <w:tcPr>
            <w:tcW w:w="0" w:type="auto"/>
            <w:tcBorders>
              <w:top w:val="nil"/>
              <w:left w:val="nil"/>
              <w:bottom w:val="single" w:sz="8" w:space="0" w:color="000000"/>
              <w:right w:val="single" w:sz="12" w:space="0" w:color="000000"/>
            </w:tcBorders>
            <w:shd w:val="clear" w:color="auto" w:fill="auto"/>
            <w:noWrap/>
          </w:tcPr>
          <w:p w14:paraId="6F2547D3" w14:textId="4D9A62BB" w:rsidR="00085327" w:rsidRDefault="00085327" w:rsidP="00085327">
            <w:pPr>
              <w:widowControl/>
              <w:jc w:val="center"/>
              <w:textAlignment w:val="center"/>
              <w:rPr>
                <w:color w:val="000000"/>
                <w:sz w:val="22"/>
                <w:szCs w:val="22"/>
              </w:rPr>
            </w:pPr>
            <w:r w:rsidRPr="00756583">
              <w:rPr>
                <w:rFonts w:hint="eastAsia"/>
                <w:color w:val="000000"/>
                <w:sz w:val="22"/>
                <w:szCs w:val="22"/>
              </w:rPr>
              <w:t>1</w:t>
            </w:r>
            <w:r w:rsidRPr="00756583">
              <w:rPr>
                <w:color w:val="000000"/>
                <w:sz w:val="22"/>
                <w:szCs w:val="22"/>
              </w:rPr>
              <w:t>.00</w:t>
            </w:r>
          </w:p>
        </w:tc>
      </w:tr>
      <w:tr w:rsidR="00071145" w14:paraId="10CC7A93"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5BCBF0C9" w14:textId="77777777" w:rsidR="00071145" w:rsidRDefault="00071145" w:rsidP="00071145">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比较价格</w:t>
            </w:r>
          </w:p>
        </w:tc>
        <w:tc>
          <w:tcPr>
            <w:tcW w:w="0" w:type="auto"/>
            <w:tcBorders>
              <w:top w:val="nil"/>
              <w:left w:val="nil"/>
              <w:bottom w:val="single" w:sz="8" w:space="0" w:color="000000"/>
              <w:right w:val="single" w:sz="8" w:space="0" w:color="000000"/>
            </w:tcBorders>
            <w:shd w:val="clear" w:color="auto" w:fill="auto"/>
            <w:noWrap/>
            <w:vAlign w:val="center"/>
          </w:tcPr>
          <w:p w14:paraId="39E135AC" w14:textId="3611C044" w:rsidR="00071145" w:rsidRDefault="00497692" w:rsidP="00071145">
            <w:pPr>
              <w:widowControl/>
              <w:jc w:val="center"/>
              <w:textAlignment w:val="center"/>
              <w:rPr>
                <w:color w:val="000000"/>
                <w:sz w:val="22"/>
                <w:szCs w:val="22"/>
              </w:rPr>
            </w:pPr>
            <w:r>
              <w:rPr>
                <w:rFonts w:hint="eastAsia"/>
                <w:color w:val="000000"/>
                <w:sz w:val="22"/>
                <w:szCs w:val="22"/>
              </w:rPr>
              <w:t>3</w:t>
            </w:r>
            <w:r>
              <w:rPr>
                <w:color w:val="000000"/>
                <w:sz w:val="22"/>
                <w:szCs w:val="22"/>
              </w:rPr>
              <w:t>806.84</w:t>
            </w:r>
          </w:p>
        </w:tc>
        <w:tc>
          <w:tcPr>
            <w:tcW w:w="0" w:type="auto"/>
            <w:tcBorders>
              <w:top w:val="nil"/>
              <w:left w:val="nil"/>
              <w:bottom w:val="single" w:sz="8" w:space="0" w:color="000000"/>
              <w:right w:val="single" w:sz="8" w:space="0" w:color="000000"/>
            </w:tcBorders>
            <w:shd w:val="clear" w:color="auto" w:fill="auto"/>
            <w:noWrap/>
            <w:vAlign w:val="center"/>
          </w:tcPr>
          <w:p w14:paraId="0FD4DB7B" w14:textId="0ECE74DB" w:rsidR="00071145" w:rsidRDefault="00497692" w:rsidP="00071145">
            <w:pPr>
              <w:widowControl/>
              <w:jc w:val="center"/>
              <w:textAlignment w:val="center"/>
              <w:rPr>
                <w:color w:val="000000"/>
                <w:sz w:val="22"/>
                <w:szCs w:val="22"/>
              </w:rPr>
            </w:pPr>
            <w:r>
              <w:rPr>
                <w:rFonts w:hint="eastAsia"/>
                <w:color w:val="000000"/>
                <w:sz w:val="22"/>
                <w:szCs w:val="22"/>
              </w:rPr>
              <w:t>3</w:t>
            </w:r>
            <w:r>
              <w:rPr>
                <w:color w:val="000000"/>
                <w:sz w:val="22"/>
                <w:szCs w:val="22"/>
              </w:rPr>
              <w:t>385.48</w:t>
            </w:r>
          </w:p>
        </w:tc>
        <w:tc>
          <w:tcPr>
            <w:tcW w:w="0" w:type="auto"/>
            <w:tcBorders>
              <w:top w:val="nil"/>
              <w:left w:val="nil"/>
              <w:bottom w:val="single" w:sz="8" w:space="0" w:color="000000"/>
              <w:right w:val="single" w:sz="12" w:space="0" w:color="000000"/>
            </w:tcBorders>
            <w:shd w:val="clear" w:color="auto" w:fill="auto"/>
            <w:noWrap/>
            <w:vAlign w:val="center"/>
          </w:tcPr>
          <w:p w14:paraId="73F4C8E9" w14:textId="299FEA90" w:rsidR="00071145" w:rsidRDefault="00497692" w:rsidP="00071145">
            <w:pPr>
              <w:widowControl/>
              <w:jc w:val="center"/>
              <w:textAlignment w:val="center"/>
              <w:rPr>
                <w:color w:val="000000"/>
                <w:sz w:val="22"/>
                <w:szCs w:val="22"/>
              </w:rPr>
            </w:pPr>
            <w:r>
              <w:rPr>
                <w:rFonts w:hint="eastAsia"/>
                <w:color w:val="000000"/>
                <w:sz w:val="22"/>
                <w:szCs w:val="22"/>
              </w:rPr>
              <w:t>4</w:t>
            </w:r>
            <w:r>
              <w:rPr>
                <w:color w:val="000000"/>
                <w:sz w:val="22"/>
                <w:szCs w:val="22"/>
              </w:rPr>
              <w:t>274.5</w:t>
            </w:r>
          </w:p>
        </w:tc>
      </w:tr>
      <w:tr w:rsidR="00EF6A0E" w14:paraId="74496D94"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0F870A7C"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权重</w:t>
            </w:r>
          </w:p>
        </w:tc>
        <w:tc>
          <w:tcPr>
            <w:tcW w:w="0" w:type="auto"/>
            <w:tcBorders>
              <w:top w:val="nil"/>
              <w:left w:val="nil"/>
              <w:bottom w:val="single" w:sz="8" w:space="0" w:color="000000"/>
              <w:right w:val="single" w:sz="8" w:space="0" w:color="000000"/>
            </w:tcBorders>
            <w:shd w:val="clear" w:color="auto" w:fill="auto"/>
            <w:noWrap/>
            <w:vAlign w:val="center"/>
          </w:tcPr>
          <w:p w14:paraId="4AA9E98C" w14:textId="77777777" w:rsidR="00EF6A0E" w:rsidRDefault="00000000">
            <w:pPr>
              <w:widowControl/>
              <w:jc w:val="center"/>
              <w:textAlignment w:val="center"/>
              <w:rPr>
                <w:color w:val="000000"/>
                <w:sz w:val="22"/>
                <w:szCs w:val="22"/>
              </w:rPr>
            </w:pPr>
            <w:r>
              <w:rPr>
                <w:color w:val="000000"/>
                <w:kern w:val="0"/>
                <w:sz w:val="22"/>
                <w:szCs w:val="22"/>
                <w:lang w:bidi="ar"/>
              </w:rPr>
              <w:t xml:space="preserve"> 1/3</w:t>
            </w:r>
          </w:p>
        </w:tc>
        <w:tc>
          <w:tcPr>
            <w:tcW w:w="0" w:type="auto"/>
            <w:tcBorders>
              <w:top w:val="nil"/>
              <w:left w:val="nil"/>
              <w:bottom w:val="single" w:sz="8" w:space="0" w:color="000000"/>
              <w:right w:val="single" w:sz="8" w:space="0" w:color="000000"/>
            </w:tcBorders>
            <w:shd w:val="clear" w:color="auto" w:fill="auto"/>
            <w:noWrap/>
            <w:vAlign w:val="center"/>
          </w:tcPr>
          <w:p w14:paraId="73718A08" w14:textId="77777777" w:rsidR="00EF6A0E" w:rsidRDefault="00000000">
            <w:pPr>
              <w:widowControl/>
              <w:jc w:val="center"/>
              <w:textAlignment w:val="center"/>
              <w:rPr>
                <w:color w:val="000000"/>
                <w:sz w:val="22"/>
                <w:szCs w:val="22"/>
              </w:rPr>
            </w:pPr>
            <w:r>
              <w:rPr>
                <w:color w:val="000000"/>
                <w:kern w:val="0"/>
                <w:sz w:val="22"/>
                <w:szCs w:val="22"/>
                <w:lang w:bidi="ar"/>
              </w:rPr>
              <w:t xml:space="preserve"> 1/3</w:t>
            </w:r>
          </w:p>
        </w:tc>
        <w:tc>
          <w:tcPr>
            <w:tcW w:w="0" w:type="auto"/>
            <w:tcBorders>
              <w:top w:val="nil"/>
              <w:left w:val="nil"/>
              <w:bottom w:val="single" w:sz="8" w:space="0" w:color="000000"/>
              <w:right w:val="single" w:sz="12" w:space="0" w:color="000000"/>
            </w:tcBorders>
            <w:shd w:val="clear" w:color="auto" w:fill="auto"/>
            <w:noWrap/>
            <w:vAlign w:val="center"/>
          </w:tcPr>
          <w:p w14:paraId="65C93D81" w14:textId="77777777" w:rsidR="00EF6A0E" w:rsidRDefault="00000000">
            <w:pPr>
              <w:widowControl/>
              <w:jc w:val="center"/>
              <w:textAlignment w:val="center"/>
              <w:rPr>
                <w:color w:val="000000"/>
                <w:sz w:val="22"/>
                <w:szCs w:val="22"/>
              </w:rPr>
            </w:pPr>
            <w:r>
              <w:rPr>
                <w:color w:val="000000"/>
                <w:kern w:val="0"/>
                <w:sz w:val="22"/>
                <w:szCs w:val="22"/>
                <w:lang w:bidi="ar"/>
              </w:rPr>
              <w:t xml:space="preserve"> 1/3</w:t>
            </w:r>
          </w:p>
        </w:tc>
      </w:tr>
      <w:tr w:rsidR="00EF6A0E" w14:paraId="648DCD10"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3FFDC04D"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单价（元/平方米）</w:t>
            </w:r>
          </w:p>
        </w:tc>
        <w:tc>
          <w:tcPr>
            <w:tcW w:w="0" w:type="auto"/>
            <w:gridSpan w:val="3"/>
            <w:tcBorders>
              <w:top w:val="single" w:sz="8" w:space="0" w:color="000000"/>
              <w:left w:val="single" w:sz="8" w:space="0" w:color="000000"/>
              <w:bottom w:val="single" w:sz="8" w:space="0" w:color="000000"/>
              <w:right w:val="single" w:sz="12" w:space="0" w:color="000000"/>
            </w:tcBorders>
            <w:shd w:val="clear" w:color="auto" w:fill="auto"/>
            <w:noWrap/>
            <w:vAlign w:val="center"/>
          </w:tcPr>
          <w:p w14:paraId="04C7156E" w14:textId="3FC428E0" w:rsidR="00EF6A0E" w:rsidRDefault="00497692">
            <w:pPr>
              <w:widowControl/>
              <w:jc w:val="center"/>
              <w:textAlignment w:val="center"/>
              <w:rPr>
                <w:color w:val="000000"/>
                <w:sz w:val="22"/>
                <w:szCs w:val="22"/>
              </w:rPr>
            </w:pPr>
            <w:r>
              <w:rPr>
                <w:rFonts w:hint="eastAsia"/>
                <w:color w:val="000000"/>
                <w:sz w:val="22"/>
                <w:szCs w:val="22"/>
              </w:rPr>
              <w:t>3</w:t>
            </w:r>
            <w:r>
              <w:rPr>
                <w:color w:val="000000"/>
                <w:sz w:val="22"/>
                <w:szCs w:val="22"/>
              </w:rPr>
              <w:t>822.27</w:t>
            </w:r>
          </w:p>
        </w:tc>
      </w:tr>
      <w:tr w:rsidR="00EF6A0E" w14:paraId="0FAFB4AB"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2F00D02E"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建筑面积（平方米）</w:t>
            </w:r>
          </w:p>
        </w:tc>
        <w:tc>
          <w:tcPr>
            <w:tcW w:w="0" w:type="auto"/>
            <w:gridSpan w:val="3"/>
            <w:tcBorders>
              <w:top w:val="single" w:sz="8" w:space="0" w:color="000000"/>
              <w:left w:val="single" w:sz="8" w:space="0" w:color="000000"/>
              <w:bottom w:val="single" w:sz="8" w:space="0" w:color="000000"/>
              <w:right w:val="single" w:sz="12" w:space="0" w:color="000000"/>
            </w:tcBorders>
            <w:shd w:val="clear" w:color="auto" w:fill="auto"/>
            <w:noWrap/>
            <w:vAlign w:val="center"/>
          </w:tcPr>
          <w:p w14:paraId="4D3F47BB" w14:textId="51CA3142" w:rsidR="00EF6A0E" w:rsidRDefault="0013644A">
            <w:pPr>
              <w:widowControl/>
              <w:jc w:val="center"/>
              <w:textAlignment w:val="center"/>
              <w:rPr>
                <w:color w:val="000000"/>
                <w:sz w:val="22"/>
                <w:szCs w:val="22"/>
              </w:rPr>
            </w:pPr>
            <w:r>
              <w:rPr>
                <w:rFonts w:hint="eastAsia"/>
                <w:color w:val="000000"/>
                <w:kern w:val="0"/>
                <w:sz w:val="22"/>
                <w:szCs w:val="22"/>
                <w:lang w:bidi="ar"/>
              </w:rPr>
              <w:t>118.78</w:t>
            </w:r>
          </w:p>
        </w:tc>
      </w:tr>
      <w:tr w:rsidR="00EF6A0E" w14:paraId="1E919C3C" w14:textId="77777777">
        <w:trPr>
          <w:trHeight w:val="315"/>
          <w:jc w:val="center"/>
        </w:trPr>
        <w:tc>
          <w:tcPr>
            <w:tcW w:w="0" w:type="auto"/>
            <w:tcBorders>
              <w:top w:val="nil"/>
              <w:left w:val="single" w:sz="12" w:space="0" w:color="000000"/>
              <w:bottom w:val="single" w:sz="8" w:space="0" w:color="000000"/>
              <w:right w:val="single" w:sz="8" w:space="0" w:color="000000"/>
            </w:tcBorders>
            <w:shd w:val="clear" w:color="auto" w:fill="auto"/>
            <w:noWrap/>
            <w:vAlign w:val="center"/>
          </w:tcPr>
          <w:p w14:paraId="62B2AE87" w14:textId="77777777" w:rsidR="00EF6A0E"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总值（万元）</w:t>
            </w:r>
          </w:p>
        </w:tc>
        <w:tc>
          <w:tcPr>
            <w:tcW w:w="0" w:type="auto"/>
            <w:gridSpan w:val="3"/>
            <w:tcBorders>
              <w:top w:val="single" w:sz="8" w:space="0" w:color="000000"/>
              <w:left w:val="single" w:sz="8" w:space="0" w:color="000000"/>
              <w:bottom w:val="single" w:sz="8" w:space="0" w:color="000000"/>
              <w:right w:val="single" w:sz="12" w:space="0" w:color="000000"/>
            </w:tcBorders>
            <w:shd w:val="clear" w:color="auto" w:fill="auto"/>
            <w:noWrap/>
            <w:vAlign w:val="center"/>
          </w:tcPr>
          <w:p w14:paraId="7BDE69E6" w14:textId="2DE190FA" w:rsidR="00EF6A0E" w:rsidRDefault="009B03BB">
            <w:pPr>
              <w:widowControl/>
              <w:jc w:val="center"/>
              <w:textAlignment w:val="center"/>
              <w:rPr>
                <w:color w:val="000000"/>
                <w:sz w:val="22"/>
                <w:szCs w:val="22"/>
              </w:rPr>
            </w:pPr>
            <w:r>
              <w:rPr>
                <w:rFonts w:hint="eastAsia"/>
                <w:color w:val="000000"/>
                <w:sz w:val="22"/>
                <w:szCs w:val="22"/>
              </w:rPr>
              <w:t>4</w:t>
            </w:r>
            <w:r>
              <w:rPr>
                <w:color w:val="000000"/>
                <w:sz w:val="22"/>
                <w:szCs w:val="22"/>
              </w:rPr>
              <w:t>5.400923</w:t>
            </w:r>
          </w:p>
        </w:tc>
      </w:tr>
    </w:tbl>
    <w:p w14:paraId="5323710E" w14:textId="77777777" w:rsidR="00EF6A0E" w:rsidRDefault="00000000">
      <w:pPr>
        <w:pStyle w:val="CharCharChar"/>
        <w:tabs>
          <w:tab w:val="left" w:pos="1260"/>
          <w:tab w:val="left" w:pos="1620"/>
        </w:tabs>
        <w:spacing w:line="440" w:lineRule="exact"/>
        <w:ind w:left="0" w:firstLineChars="200" w:firstLine="520"/>
        <w:rPr>
          <w:rFonts w:ascii="Times New Roman" w:eastAsia="仿宋_GB2312" w:cs="Times New Roman"/>
          <w:sz w:val="26"/>
          <w:szCs w:val="26"/>
        </w:rPr>
      </w:pPr>
      <w:r>
        <w:rPr>
          <w:rFonts w:ascii="Times New Roman" w:eastAsia="仿宋_GB2312" w:cs="Times New Roman" w:hint="eastAsia"/>
          <w:sz w:val="26"/>
          <w:szCs w:val="26"/>
        </w:rPr>
        <w:t>7</w:t>
      </w:r>
      <w:r>
        <w:rPr>
          <w:rFonts w:ascii="Times New Roman" w:eastAsia="仿宋_GB2312" w:cs="Times New Roman" w:hint="eastAsia"/>
          <w:sz w:val="26"/>
          <w:szCs w:val="26"/>
        </w:rPr>
        <w:t>、估价对象价值的确定</w:t>
      </w:r>
    </w:p>
    <w:p w14:paraId="11B4F5F6" w14:textId="77777777" w:rsidR="00EF6A0E" w:rsidRDefault="00000000">
      <w:pPr>
        <w:pStyle w:val="CharCharChar"/>
        <w:tabs>
          <w:tab w:val="left" w:pos="1260"/>
          <w:tab w:val="left" w:pos="1620"/>
        </w:tabs>
        <w:spacing w:line="440" w:lineRule="exact"/>
        <w:ind w:left="0" w:firstLineChars="200" w:firstLine="520"/>
        <w:rPr>
          <w:rFonts w:ascii="Times New Roman" w:eastAsia="仿宋_GB2312" w:cs="Times New Roman"/>
          <w:sz w:val="26"/>
          <w:szCs w:val="26"/>
        </w:rPr>
      </w:pPr>
      <w:r>
        <w:rPr>
          <w:rFonts w:ascii="Times New Roman" w:eastAsia="仿宋_GB2312" w:cs="Times New Roman" w:hint="eastAsia"/>
          <w:sz w:val="26"/>
          <w:szCs w:val="26"/>
        </w:rPr>
        <w:t>可比实例与估价对象类型基本相同，且上述三个案例经比较修正后价格相差不大，故取三者的平均值作为估价对象房屋的比较单价，即</w:t>
      </w:r>
      <w:r>
        <w:rPr>
          <w:rFonts w:ascii="Times New Roman" w:eastAsia="仿宋_GB2312" w:cs="Times New Roman"/>
          <w:sz w:val="26"/>
          <w:szCs w:val="26"/>
        </w:rPr>
        <w:t>：</w:t>
      </w:r>
    </w:p>
    <w:p w14:paraId="664CA9F8" w14:textId="57D00AFC" w:rsidR="00EF6A0E" w:rsidRDefault="00000000">
      <w:pPr>
        <w:pStyle w:val="CharCharChar"/>
        <w:tabs>
          <w:tab w:val="left" w:pos="1260"/>
          <w:tab w:val="left" w:pos="1620"/>
        </w:tabs>
        <w:spacing w:line="440" w:lineRule="exact"/>
        <w:ind w:left="0" w:firstLineChars="200" w:firstLine="520"/>
        <w:rPr>
          <w:rFonts w:ascii="Times New Roman" w:eastAsia="仿宋_GB2312" w:cs="Times New Roman"/>
          <w:sz w:val="26"/>
          <w:szCs w:val="26"/>
        </w:rPr>
      </w:pPr>
      <w:r>
        <w:rPr>
          <w:rFonts w:ascii="Times New Roman" w:eastAsia="仿宋_GB2312" w:cs="Times New Roman" w:hint="eastAsia"/>
          <w:sz w:val="26"/>
          <w:szCs w:val="26"/>
        </w:rPr>
        <w:t>比较</w:t>
      </w:r>
      <w:r>
        <w:rPr>
          <w:rFonts w:ascii="Times New Roman" w:eastAsia="仿宋_GB2312" w:cs="Times New Roman"/>
          <w:sz w:val="26"/>
          <w:szCs w:val="26"/>
        </w:rPr>
        <w:t>单价</w:t>
      </w:r>
      <w:r>
        <w:rPr>
          <w:rFonts w:ascii="Times New Roman" w:eastAsia="仿宋_GB2312" w:cs="Times New Roman"/>
          <w:sz w:val="26"/>
          <w:szCs w:val="26"/>
        </w:rPr>
        <w:t>=</w:t>
      </w:r>
      <w:r>
        <w:rPr>
          <w:rFonts w:ascii="Times New Roman" w:eastAsia="仿宋_GB2312" w:cs="Times New Roman"/>
          <w:sz w:val="26"/>
          <w:szCs w:val="26"/>
        </w:rPr>
        <w:t>（</w:t>
      </w:r>
      <w:r w:rsidR="00C145F1">
        <w:rPr>
          <w:rFonts w:ascii="Times New Roman" w:eastAsia="宋体" w:cs="Times New Roman"/>
          <w:color w:val="000000"/>
          <w:kern w:val="0"/>
          <w:szCs w:val="22"/>
          <w:lang w:bidi="ar"/>
        </w:rPr>
        <w:t>3806.84</w:t>
      </w:r>
      <w:r>
        <w:rPr>
          <w:rFonts w:ascii="Times New Roman" w:eastAsia="仿宋_GB2312" w:cs="Times New Roman"/>
          <w:sz w:val="26"/>
          <w:szCs w:val="26"/>
        </w:rPr>
        <w:t>+</w:t>
      </w:r>
      <w:r w:rsidR="00C145F1">
        <w:rPr>
          <w:rFonts w:ascii="Times New Roman" w:eastAsia="宋体" w:cs="Times New Roman"/>
          <w:color w:val="000000"/>
          <w:kern w:val="0"/>
          <w:szCs w:val="22"/>
          <w:lang w:bidi="ar"/>
        </w:rPr>
        <w:t>3385.48</w:t>
      </w:r>
      <w:r>
        <w:rPr>
          <w:rFonts w:ascii="Times New Roman" w:eastAsia="仿宋_GB2312" w:cs="Times New Roman"/>
          <w:sz w:val="26"/>
          <w:szCs w:val="26"/>
        </w:rPr>
        <w:t>+</w:t>
      </w:r>
      <w:r w:rsidR="00C145F1">
        <w:rPr>
          <w:rFonts w:ascii="Times New Roman" w:eastAsia="宋体" w:cs="Times New Roman"/>
          <w:color w:val="000000"/>
          <w:kern w:val="0"/>
          <w:szCs w:val="22"/>
          <w:lang w:bidi="ar"/>
        </w:rPr>
        <w:t>4274.5</w:t>
      </w:r>
      <w:r>
        <w:rPr>
          <w:rFonts w:ascii="Times New Roman" w:eastAsia="仿宋_GB2312" w:cs="Times New Roman"/>
          <w:sz w:val="26"/>
          <w:szCs w:val="26"/>
        </w:rPr>
        <w:t>）</w:t>
      </w:r>
      <w:r>
        <w:rPr>
          <w:rFonts w:ascii="Times New Roman" w:eastAsia="仿宋_GB2312" w:cs="Times New Roman"/>
          <w:sz w:val="26"/>
          <w:szCs w:val="26"/>
        </w:rPr>
        <w:t>÷3</w:t>
      </w:r>
    </w:p>
    <w:p w14:paraId="26217380" w14:textId="0F9AF02C" w:rsidR="00EF6A0E" w:rsidRDefault="00000000">
      <w:pPr>
        <w:pStyle w:val="CharCharChar"/>
        <w:tabs>
          <w:tab w:val="left" w:pos="1260"/>
          <w:tab w:val="left" w:pos="1620"/>
        </w:tabs>
        <w:spacing w:line="440" w:lineRule="exact"/>
        <w:ind w:left="0" w:firstLineChars="600" w:firstLine="1560"/>
        <w:rPr>
          <w:rFonts w:ascii="Times New Roman" w:eastAsia="仿宋_GB2312" w:cs="Times New Roman"/>
          <w:sz w:val="26"/>
          <w:szCs w:val="26"/>
        </w:rPr>
      </w:pPr>
      <w:r>
        <w:rPr>
          <w:rFonts w:ascii="Times New Roman" w:eastAsia="仿宋_GB2312" w:cs="Times New Roman"/>
          <w:sz w:val="26"/>
          <w:szCs w:val="26"/>
        </w:rPr>
        <w:t>=</w:t>
      </w:r>
      <w:r w:rsidR="00C145F1">
        <w:rPr>
          <w:rFonts w:ascii="Times New Roman" w:eastAsia="宋体" w:cs="Times New Roman"/>
          <w:color w:val="000000"/>
          <w:kern w:val="0"/>
          <w:szCs w:val="22"/>
          <w:lang w:bidi="ar"/>
        </w:rPr>
        <w:t>3822.27</w:t>
      </w:r>
      <w:r>
        <w:rPr>
          <w:rFonts w:ascii="Times New Roman" w:eastAsia="仿宋_GB2312" w:cs="Times New Roman"/>
          <w:sz w:val="26"/>
          <w:szCs w:val="26"/>
        </w:rPr>
        <w:t>元</w:t>
      </w:r>
      <w:r>
        <w:rPr>
          <w:rFonts w:ascii="Times New Roman" w:eastAsia="仿宋_GB2312" w:cs="Times New Roman"/>
          <w:sz w:val="26"/>
          <w:szCs w:val="26"/>
        </w:rPr>
        <w:t>/</w:t>
      </w:r>
      <w:r>
        <w:rPr>
          <w:rFonts w:ascii="Times New Roman" w:eastAsia="仿宋_GB2312" w:cs="Times New Roman"/>
          <w:sz w:val="26"/>
          <w:szCs w:val="26"/>
        </w:rPr>
        <w:t>平方米</w:t>
      </w:r>
    </w:p>
    <w:p w14:paraId="6C58B842" w14:textId="5AAF7AD6" w:rsidR="00EF6A0E" w:rsidRDefault="00000000">
      <w:pPr>
        <w:pStyle w:val="CharCharChar"/>
        <w:tabs>
          <w:tab w:val="left" w:pos="1260"/>
          <w:tab w:val="left" w:pos="1620"/>
        </w:tabs>
        <w:spacing w:line="440" w:lineRule="exact"/>
        <w:ind w:left="0" w:firstLineChars="200" w:firstLine="520"/>
        <w:rPr>
          <w:rFonts w:ascii="Times New Roman" w:eastAsia="仿宋_GB2312" w:cs="Times New Roman"/>
          <w:sz w:val="26"/>
          <w:szCs w:val="26"/>
        </w:rPr>
      </w:pPr>
      <w:r>
        <w:rPr>
          <w:rFonts w:ascii="Times New Roman" w:eastAsia="仿宋_GB2312" w:cs="Times New Roman" w:hint="eastAsia"/>
          <w:sz w:val="26"/>
          <w:szCs w:val="26"/>
        </w:rPr>
        <w:t>比较价格</w:t>
      </w:r>
      <w:r>
        <w:rPr>
          <w:rFonts w:ascii="Times New Roman" w:eastAsia="仿宋_GB2312" w:cs="Times New Roman"/>
          <w:sz w:val="26"/>
          <w:szCs w:val="26"/>
        </w:rPr>
        <w:t>=</w:t>
      </w:r>
      <w:r w:rsidR="0013644A">
        <w:rPr>
          <w:rFonts w:ascii="Times New Roman" w:eastAsia="宋体" w:cs="Times New Roman" w:hint="eastAsia"/>
          <w:color w:val="000000"/>
          <w:kern w:val="0"/>
          <w:szCs w:val="22"/>
          <w:lang w:bidi="ar"/>
        </w:rPr>
        <w:t>118.78</w:t>
      </w:r>
      <w:r>
        <w:rPr>
          <w:rFonts w:ascii="Times New Roman" w:eastAsia="仿宋_GB2312" w:cs="Times New Roman"/>
          <w:sz w:val="26"/>
          <w:szCs w:val="26"/>
        </w:rPr>
        <w:t>平方米</w:t>
      </w:r>
      <w:r>
        <w:rPr>
          <w:rFonts w:ascii="Times New Roman" w:eastAsia="仿宋_GB2312" w:cs="Times New Roman"/>
          <w:sz w:val="26"/>
          <w:szCs w:val="26"/>
        </w:rPr>
        <w:t>×</w:t>
      </w:r>
      <w:r w:rsidR="00C145F1">
        <w:rPr>
          <w:rFonts w:ascii="Times New Roman" w:eastAsia="宋体" w:cs="Times New Roman"/>
          <w:color w:val="000000"/>
          <w:kern w:val="0"/>
          <w:szCs w:val="22"/>
          <w:lang w:bidi="ar"/>
        </w:rPr>
        <w:t>3822.27</w:t>
      </w:r>
      <w:r>
        <w:rPr>
          <w:rFonts w:ascii="Times New Roman" w:eastAsia="仿宋_GB2312" w:cs="Times New Roman"/>
          <w:sz w:val="26"/>
          <w:szCs w:val="26"/>
        </w:rPr>
        <w:t>元</w:t>
      </w:r>
      <w:r>
        <w:rPr>
          <w:rFonts w:ascii="Times New Roman" w:eastAsia="仿宋_GB2312" w:cs="Times New Roman"/>
          <w:sz w:val="26"/>
          <w:szCs w:val="26"/>
        </w:rPr>
        <w:t>/</w:t>
      </w:r>
      <w:r>
        <w:rPr>
          <w:rFonts w:ascii="Times New Roman" w:eastAsia="仿宋_GB2312" w:cs="Times New Roman"/>
          <w:sz w:val="26"/>
          <w:szCs w:val="26"/>
        </w:rPr>
        <w:t>平方米</w:t>
      </w:r>
    </w:p>
    <w:p w14:paraId="22A1B61D" w14:textId="7384483C" w:rsidR="00EF6A0E" w:rsidRDefault="00000000">
      <w:pPr>
        <w:spacing w:line="440" w:lineRule="exact"/>
        <w:ind w:firstLineChars="600" w:firstLine="1560"/>
        <w:rPr>
          <w:rFonts w:eastAsia="仿宋_GB2312"/>
          <w:sz w:val="26"/>
          <w:szCs w:val="26"/>
        </w:rPr>
      </w:pPr>
      <w:r>
        <w:rPr>
          <w:rFonts w:eastAsia="仿宋_GB2312"/>
          <w:sz w:val="26"/>
          <w:szCs w:val="26"/>
        </w:rPr>
        <w:t>=</w:t>
      </w:r>
      <w:r w:rsidR="00C145F1">
        <w:rPr>
          <w:color w:val="000000"/>
          <w:kern w:val="0"/>
          <w:sz w:val="22"/>
          <w:szCs w:val="22"/>
          <w:lang w:bidi="ar"/>
        </w:rPr>
        <w:t>454000</w:t>
      </w:r>
      <w:r w:rsidR="00C145F1">
        <w:rPr>
          <w:rFonts w:hint="eastAsia"/>
          <w:color w:val="000000"/>
          <w:kern w:val="0"/>
          <w:sz w:val="22"/>
          <w:szCs w:val="22"/>
          <w:lang w:bidi="ar"/>
        </w:rPr>
        <w:t>元</w:t>
      </w:r>
      <w:r>
        <w:rPr>
          <w:rFonts w:eastAsia="仿宋_GB2312"/>
          <w:sz w:val="26"/>
          <w:szCs w:val="26"/>
        </w:rPr>
        <w:t>（取整）</w:t>
      </w:r>
    </w:p>
    <w:p w14:paraId="30D42D02" w14:textId="5B05F033" w:rsidR="00EF6A0E" w:rsidRDefault="00000000">
      <w:pPr>
        <w:spacing w:line="440" w:lineRule="exact"/>
        <w:rPr>
          <w:rFonts w:eastAsia="仿宋_GB2312"/>
          <w:sz w:val="26"/>
          <w:szCs w:val="26"/>
        </w:rPr>
      </w:pPr>
      <w:r>
        <w:rPr>
          <w:rFonts w:eastAsia="仿宋_GB2312" w:hint="eastAsia"/>
          <w:sz w:val="26"/>
          <w:szCs w:val="26"/>
        </w:rPr>
        <w:t>故估价对象市场价值即为比较价格，为</w:t>
      </w:r>
      <w:r w:rsidR="00C145F1">
        <w:rPr>
          <w:color w:val="000000"/>
          <w:kern w:val="0"/>
          <w:sz w:val="22"/>
          <w:szCs w:val="22"/>
          <w:lang w:bidi="ar"/>
        </w:rPr>
        <w:t>45.4</w:t>
      </w:r>
      <w:r>
        <w:rPr>
          <w:rFonts w:eastAsia="仿宋_GB2312" w:hint="eastAsia"/>
          <w:sz w:val="26"/>
          <w:szCs w:val="26"/>
        </w:rPr>
        <w:t>万元。</w:t>
      </w:r>
    </w:p>
    <w:p w14:paraId="56CF8196" w14:textId="77777777" w:rsidR="00EF6A0E" w:rsidRDefault="00000000">
      <w:pPr>
        <w:pStyle w:val="2"/>
        <w:spacing w:line="400" w:lineRule="exact"/>
        <w:rPr>
          <w:rFonts w:ascii="Times New Roman" w:eastAsia="仿宋_GB2312" w:hAnsi="Times New Roman"/>
          <w:sz w:val="30"/>
          <w:szCs w:val="30"/>
        </w:rPr>
      </w:pPr>
      <w:bookmarkStart w:id="134" w:name="_Toc19839"/>
      <w:bookmarkStart w:id="135" w:name="_Toc26843"/>
      <w:bookmarkStart w:id="136" w:name="_Toc25409"/>
      <w:bookmarkStart w:id="137" w:name="_Toc9905"/>
      <w:bookmarkStart w:id="138" w:name="_Toc11184"/>
      <w:bookmarkStart w:id="139" w:name="_Toc1457"/>
      <w:bookmarkStart w:id="140" w:name="_Toc457460274"/>
      <w:bookmarkStart w:id="141" w:name="_Toc386011007"/>
      <w:bookmarkStart w:id="142" w:name="_Toc6255"/>
      <w:bookmarkStart w:id="143" w:name="_Toc3670"/>
      <w:r>
        <w:rPr>
          <w:rFonts w:ascii="Times New Roman" w:eastAsia="仿宋_GB2312" w:hAnsi="Times New Roman" w:hint="eastAsia"/>
          <w:sz w:val="30"/>
          <w:szCs w:val="30"/>
        </w:rPr>
        <w:t>八、</w:t>
      </w:r>
      <w:r>
        <w:rPr>
          <w:rFonts w:ascii="Times New Roman" w:eastAsia="仿宋_GB2312" w:hAnsi="Times New Roman"/>
          <w:sz w:val="30"/>
          <w:szCs w:val="30"/>
        </w:rPr>
        <w:t>估价结果确定</w:t>
      </w:r>
      <w:bookmarkEnd w:id="134"/>
      <w:bookmarkEnd w:id="135"/>
      <w:bookmarkEnd w:id="136"/>
      <w:bookmarkEnd w:id="137"/>
      <w:bookmarkEnd w:id="138"/>
      <w:bookmarkEnd w:id="139"/>
      <w:bookmarkEnd w:id="140"/>
      <w:bookmarkEnd w:id="141"/>
      <w:bookmarkEnd w:id="142"/>
      <w:bookmarkEnd w:id="143"/>
    </w:p>
    <w:p w14:paraId="71AB4BDA" w14:textId="2CD9AFE7" w:rsidR="00EF6A0E" w:rsidRDefault="00000000">
      <w:pPr>
        <w:spacing w:line="400" w:lineRule="exact"/>
        <w:ind w:firstLineChars="200" w:firstLine="520"/>
        <w:jc w:val="left"/>
        <w:rPr>
          <w:rFonts w:eastAsia="仿宋_GB2312"/>
          <w:color w:val="000000" w:themeColor="text1"/>
          <w:sz w:val="26"/>
          <w:szCs w:val="26"/>
        </w:rPr>
      </w:pPr>
      <w:r>
        <w:rPr>
          <w:rFonts w:eastAsia="仿宋_GB2312"/>
          <w:sz w:val="26"/>
          <w:szCs w:val="26"/>
        </w:rPr>
        <w:t>估价人员根据估价目的，经过市场调查和实地查勘，依据《房地产估价规范》</w:t>
      </w:r>
      <w:r>
        <w:rPr>
          <w:rFonts w:eastAsia="仿宋_GB2312" w:hint="eastAsia"/>
          <w:sz w:val="26"/>
          <w:szCs w:val="26"/>
        </w:rPr>
        <w:t>（</w:t>
      </w:r>
      <w:r>
        <w:rPr>
          <w:rFonts w:eastAsia="仿宋_GB2312" w:hint="eastAsia"/>
          <w:sz w:val="26"/>
          <w:szCs w:val="26"/>
        </w:rPr>
        <w:t>GB/T 50291</w:t>
      </w:r>
      <w:r>
        <w:rPr>
          <w:rFonts w:eastAsia="仿宋_GB2312" w:hint="eastAsia"/>
          <w:sz w:val="26"/>
          <w:szCs w:val="26"/>
        </w:rPr>
        <w:t>—</w:t>
      </w:r>
      <w:r>
        <w:rPr>
          <w:rFonts w:eastAsia="仿宋_GB2312" w:hint="eastAsia"/>
          <w:sz w:val="26"/>
          <w:szCs w:val="26"/>
        </w:rPr>
        <w:t>2015</w:t>
      </w:r>
      <w:r>
        <w:rPr>
          <w:rFonts w:eastAsia="仿宋_GB2312" w:hint="eastAsia"/>
          <w:sz w:val="26"/>
          <w:szCs w:val="26"/>
        </w:rPr>
        <w:t>）</w:t>
      </w:r>
      <w:r>
        <w:rPr>
          <w:rFonts w:eastAsia="仿宋_GB2312"/>
          <w:sz w:val="26"/>
          <w:szCs w:val="26"/>
        </w:rPr>
        <w:t>、</w:t>
      </w:r>
      <w:r>
        <w:rPr>
          <w:rFonts w:eastAsia="仿宋_GB2312" w:hint="eastAsia"/>
          <w:sz w:val="26"/>
          <w:szCs w:val="26"/>
        </w:rPr>
        <w:t>《房地产估价基本术语标准》（</w:t>
      </w:r>
      <w:r>
        <w:rPr>
          <w:rFonts w:eastAsia="仿宋_GB2312" w:hint="eastAsia"/>
          <w:sz w:val="26"/>
          <w:szCs w:val="26"/>
        </w:rPr>
        <w:t>GB/T 50899</w:t>
      </w:r>
      <w:r>
        <w:rPr>
          <w:rFonts w:eastAsia="仿宋_GB2312" w:hint="eastAsia"/>
          <w:sz w:val="26"/>
          <w:szCs w:val="26"/>
        </w:rPr>
        <w:t>—</w:t>
      </w:r>
      <w:r>
        <w:rPr>
          <w:rFonts w:eastAsia="仿宋_GB2312" w:hint="eastAsia"/>
          <w:sz w:val="26"/>
          <w:szCs w:val="26"/>
        </w:rPr>
        <w:t>2013</w:t>
      </w:r>
      <w:r>
        <w:rPr>
          <w:rFonts w:eastAsia="仿宋_GB2312" w:hint="eastAsia"/>
          <w:sz w:val="26"/>
          <w:szCs w:val="26"/>
        </w:rPr>
        <w:t>）、</w:t>
      </w:r>
      <w:r>
        <w:rPr>
          <w:rFonts w:eastAsia="仿宋_GB2312"/>
          <w:sz w:val="26"/>
          <w:szCs w:val="26"/>
        </w:rPr>
        <w:t>《最高人民法院关于人民法院确定财产处置参考价若干问题的规定</w:t>
      </w:r>
      <w:r>
        <w:rPr>
          <w:rFonts w:eastAsia="仿宋_GB2312"/>
          <w:sz w:val="26"/>
          <w:szCs w:val="26"/>
        </w:rPr>
        <w:t xml:space="preserve"> </w:t>
      </w:r>
      <w:r>
        <w:rPr>
          <w:rFonts w:eastAsia="仿宋_GB2312"/>
          <w:sz w:val="26"/>
          <w:szCs w:val="26"/>
        </w:rPr>
        <w:t>》（法释〔</w:t>
      </w:r>
      <w:r>
        <w:rPr>
          <w:rFonts w:eastAsia="仿宋_GB2312"/>
          <w:sz w:val="26"/>
          <w:szCs w:val="26"/>
        </w:rPr>
        <w:t>2018</w:t>
      </w:r>
      <w:r>
        <w:rPr>
          <w:rFonts w:eastAsia="仿宋_GB2312"/>
          <w:sz w:val="26"/>
          <w:szCs w:val="26"/>
        </w:rPr>
        <w:t>〕</w:t>
      </w:r>
      <w:r>
        <w:rPr>
          <w:rFonts w:eastAsia="仿宋_GB2312"/>
          <w:sz w:val="26"/>
          <w:szCs w:val="26"/>
        </w:rPr>
        <w:t>15</w:t>
      </w:r>
      <w:r>
        <w:rPr>
          <w:rFonts w:eastAsia="仿宋_GB2312"/>
          <w:sz w:val="26"/>
          <w:szCs w:val="26"/>
        </w:rPr>
        <w:t>号）及其他相关法律法规</w:t>
      </w:r>
      <w:r>
        <w:rPr>
          <w:rFonts w:eastAsia="仿宋_GB2312" w:hint="eastAsia"/>
          <w:sz w:val="26"/>
          <w:szCs w:val="26"/>
        </w:rPr>
        <w:t>，</w:t>
      </w:r>
      <w:r>
        <w:rPr>
          <w:rFonts w:eastAsia="仿宋_GB2312" w:hint="eastAsia"/>
          <w:color w:val="000000"/>
          <w:sz w:val="26"/>
          <w:szCs w:val="26"/>
        </w:rPr>
        <w:t>遵循估价原则，履行必要的估价程序，</w:t>
      </w:r>
      <w:r>
        <w:rPr>
          <w:rFonts w:eastAsia="仿宋_GB2312"/>
          <w:sz w:val="26"/>
          <w:szCs w:val="26"/>
        </w:rPr>
        <w:t>运</w:t>
      </w:r>
      <w:r>
        <w:rPr>
          <w:rFonts w:eastAsia="仿宋_GB2312" w:hint="eastAsia"/>
          <w:color w:val="000000"/>
          <w:sz w:val="26"/>
          <w:szCs w:val="26"/>
        </w:rPr>
        <w:t>用比较法</w:t>
      </w:r>
      <w:r>
        <w:rPr>
          <w:rFonts w:eastAsia="仿宋_GB2312"/>
          <w:sz w:val="26"/>
          <w:szCs w:val="26"/>
        </w:rPr>
        <w:t>对估价对象的市场价值进行测算</w:t>
      </w:r>
      <w:r>
        <w:rPr>
          <w:rFonts w:eastAsia="仿宋_GB2312" w:hint="eastAsia"/>
          <w:sz w:val="26"/>
          <w:szCs w:val="26"/>
        </w:rPr>
        <w:t>，</w:t>
      </w:r>
      <w:r>
        <w:rPr>
          <w:rFonts w:eastAsia="仿宋_GB2312" w:hint="eastAsia"/>
          <w:color w:val="000000"/>
          <w:sz w:val="26"/>
          <w:szCs w:val="26"/>
        </w:rPr>
        <w:t>并结合估价经验和对影响价值因素的分析，在满足本次估价的假设和限制条件下，确定估价对象于价值时点</w:t>
      </w:r>
      <w:r>
        <w:rPr>
          <w:rFonts w:eastAsia="仿宋_GB2312" w:hint="eastAsia"/>
          <w:color w:val="000000"/>
          <w:sz w:val="26"/>
          <w:szCs w:val="26"/>
        </w:rPr>
        <w:t>2022</w:t>
      </w:r>
      <w:r>
        <w:rPr>
          <w:rFonts w:eastAsia="仿宋_GB2312" w:hint="eastAsia"/>
          <w:color w:val="000000"/>
          <w:sz w:val="26"/>
          <w:szCs w:val="26"/>
        </w:rPr>
        <w:t>年</w:t>
      </w:r>
      <w:r w:rsidR="00597FD5">
        <w:rPr>
          <w:rFonts w:eastAsia="仿宋_GB2312" w:hint="eastAsia"/>
          <w:color w:val="000000"/>
          <w:sz w:val="26"/>
          <w:szCs w:val="26"/>
        </w:rPr>
        <w:t>06</w:t>
      </w:r>
      <w:r w:rsidR="00597FD5">
        <w:rPr>
          <w:rFonts w:eastAsia="仿宋_GB2312" w:hint="eastAsia"/>
          <w:color w:val="000000"/>
          <w:sz w:val="26"/>
          <w:szCs w:val="26"/>
        </w:rPr>
        <w:t>月</w:t>
      </w:r>
      <w:r w:rsidR="00597FD5">
        <w:rPr>
          <w:rFonts w:eastAsia="仿宋_GB2312" w:hint="eastAsia"/>
          <w:color w:val="000000"/>
          <w:sz w:val="26"/>
          <w:szCs w:val="26"/>
        </w:rPr>
        <w:t>27</w:t>
      </w:r>
      <w:r w:rsidR="00597FD5">
        <w:rPr>
          <w:rFonts w:eastAsia="仿宋_GB2312" w:hint="eastAsia"/>
          <w:color w:val="000000"/>
          <w:sz w:val="26"/>
          <w:szCs w:val="26"/>
        </w:rPr>
        <w:t>日</w:t>
      </w:r>
      <w:r>
        <w:rPr>
          <w:rFonts w:eastAsia="仿宋_GB2312" w:hint="eastAsia"/>
          <w:color w:val="000000"/>
          <w:sz w:val="26"/>
          <w:szCs w:val="26"/>
        </w:rPr>
        <w:t>的市场价值合计为</w:t>
      </w:r>
      <w:r>
        <w:rPr>
          <w:rFonts w:eastAsia="仿宋_GB2312"/>
          <w:b/>
          <w:bCs/>
          <w:color w:val="000000"/>
          <w:sz w:val="26"/>
          <w:szCs w:val="26"/>
        </w:rPr>
        <w:t>人民币</w:t>
      </w:r>
      <w:r>
        <w:rPr>
          <w:rFonts w:eastAsia="仿宋_GB2312" w:hint="eastAsia"/>
          <w:b/>
          <w:bCs/>
          <w:color w:val="000000"/>
          <w:sz w:val="26"/>
          <w:szCs w:val="26"/>
        </w:rPr>
        <w:fldChar w:fldCharType="begin"/>
      </w:r>
      <w:r>
        <w:rPr>
          <w:rFonts w:eastAsia="仿宋_GB2312" w:hint="eastAsia"/>
          <w:b/>
          <w:bCs/>
          <w:color w:val="000000"/>
          <w:sz w:val="26"/>
          <w:szCs w:val="26"/>
        </w:rPr>
        <w:instrText xml:space="preserve"> = 492500 \* CHINESENUM2 \* MERGEFORMAT </w:instrText>
      </w:r>
      <w:r>
        <w:rPr>
          <w:rFonts w:eastAsia="仿宋_GB2312" w:hint="eastAsia"/>
          <w:b/>
          <w:bCs/>
          <w:color w:val="000000"/>
          <w:sz w:val="26"/>
          <w:szCs w:val="26"/>
        </w:rPr>
        <w:fldChar w:fldCharType="separate"/>
      </w:r>
      <w:r w:rsidR="005E00CB">
        <w:rPr>
          <w:rFonts w:eastAsia="仿宋_GB2312"/>
          <w:b/>
          <w:bCs/>
          <w:color w:val="000000"/>
          <w:sz w:val="26"/>
          <w:szCs w:val="26"/>
        </w:rPr>
        <w:t>肆拾伍万肆仟</w:t>
      </w:r>
      <w:r>
        <w:rPr>
          <w:rFonts w:eastAsia="仿宋_GB2312" w:hint="eastAsia"/>
          <w:b/>
          <w:bCs/>
          <w:color w:val="000000"/>
          <w:sz w:val="26"/>
          <w:szCs w:val="26"/>
        </w:rPr>
        <w:fldChar w:fldCharType="end"/>
      </w:r>
      <w:r>
        <w:rPr>
          <w:rFonts w:eastAsia="仿宋_GB2312"/>
          <w:b/>
          <w:bCs/>
          <w:color w:val="000000"/>
          <w:sz w:val="26"/>
          <w:szCs w:val="26"/>
        </w:rPr>
        <w:t>元整</w:t>
      </w:r>
      <w:r>
        <w:rPr>
          <w:rFonts w:eastAsia="仿宋_GB2312" w:hint="eastAsia"/>
          <w:b/>
          <w:bCs/>
          <w:color w:val="000000"/>
          <w:sz w:val="26"/>
          <w:szCs w:val="26"/>
        </w:rPr>
        <w:t>（</w:t>
      </w:r>
      <w:r>
        <w:rPr>
          <w:rFonts w:eastAsia="仿宋_GB2312" w:hint="eastAsia"/>
          <w:b/>
          <w:bCs/>
          <w:color w:val="000000"/>
          <w:sz w:val="26"/>
          <w:szCs w:val="26"/>
        </w:rPr>
        <w:t>¥</w:t>
      </w:r>
      <w:r w:rsidR="00CF4DAF">
        <w:rPr>
          <w:rFonts w:eastAsia="仿宋_GB2312" w:hint="eastAsia"/>
          <w:b/>
          <w:bCs/>
          <w:color w:val="000000"/>
          <w:sz w:val="26"/>
          <w:szCs w:val="26"/>
        </w:rPr>
        <w:t>45.4</w:t>
      </w:r>
      <w:r>
        <w:rPr>
          <w:rFonts w:eastAsia="仿宋_GB2312" w:hint="eastAsia"/>
          <w:b/>
          <w:bCs/>
          <w:color w:val="000000"/>
          <w:sz w:val="26"/>
          <w:szCs w:val="26"/>
        </w:rPr>
        <w:t>万元）</w:t>
      </w:r>
      <w:r>
        <w:rPr>
          <w:rFonts w:eastAsia="仿宋_GB2312" w:hint="eastAsia"/>
          <w:color w:val="000000"/>
          <w:sz w:val="26"/>
          <w:szCs w:val="26"/>
        </w:rPr>
        <w:t>。</w:t>
      </w:r>
      <w:r>
        <w:rPr>
          <w:rFonts w:eastAsia="仿宋_GB2312" w:hint="eastAsia"/>
          <w:color w:val="000000" w:themeColor="text1"/>
          <w:sz w:val="26"/>
          <w:szCs w:val="26"/>
        </w:rPr>
        <w:t>详见下表：</w:t>
      </w:r>
    </w:p>
    <w:tbl>
      <w:tblPr>
        <w:tblStyle w:val="af5"/>
        <w:tblW w:w="9620" w:type="dxa"/>
        <w:jc w:val="center"/>
        <w:tblLook w:val="04A0" w:firstRow="1" w:lastRow="0" w:firstColumn="1" w:lastColumn="0" w:noHBand="0" w:noVBand="1"/>
      </w:tblPr>
      <w:tblGrid>
        <w:gridCol w:w="2984"/>
        <w:gridCol w:w="1163"/>
        <w:gridCol w:w="1650"/>
        <w:gridCol w:w="1995"/>
        <w:gridCol w:w="1828"/>
      </w:tblGrid>
      <w:tr w:rsidR="00EF6A0E" w14:paraId="6D7376E8" w14:textId="77777777">
        <w:trPr>
          <w:trHeight w:val="500"/>
          <w:jc w:val="center"/>
        </w:trPr>
        <w:tc>
          <w:tcPr>
            <w:tcW w:w="9620" w:type="dxa"/>
            <w:gridSpan w:val="5"/>
            <w:tcBorders>
              <w:top w:val="nil"/>
              <w:left w:val="nil"/>
              <w:bottom w:val="nil"/>
              <w:right w:val="nil"/>
            </w:tcBorders>
          </w:tcPr>
          <w:p w14:paraId="5389EDC5" w14:textId="77777777" w:rsidR="00EF6A0E" w:rsidRDefault="00000000">
            <w:pPr>
              <w:spacing w:line="680" w:lineRule="exact"/>
              <w:jc w:val="center"/>
              <w:rPr>
                <w:rFonts w:ascii="仿宋" w:eastAsia="仿宋" w:hAnsi="仿宋" w:cs="仿宋"/>
                <w:color w:val="000000"/>
                <w:sz w:val="28"/>
                <w:szCs w:val="28"/>
              </w:rPr>
            </w:pPr>
            <w:r>
              <w:rPr>
                <w:rFonts w:ascii="仿宋" w:eastAsia="仿宋" w:hAnsi="仿宋" w:cs="仿宋" w:hint="eastAsia"/>
                <w:b/>
                <w:color w:val="000000"/>
                <w:kern w:val="0"/>
                <w:sz w:val="28"/>
                <w:szCs w:val="28"/>
                <w:lang w:bidi="ar"/>
              </w:rPr>
              <w:t>房地产估价结果汇总表</w:t>
            </w:r>
          </w:p>
        </w:tc>
      </w:tr>
      <w:tr w:rsidR="00EF6A0E" w14:paraId="457A98DE" w14:textId="77777777">
        <w:trPr>
          <w:trHeight w:val="505"/>
          <w:jc w:val="center"/>
        </w:trPr>
        <w:tc>
          <w:tcPr>
            <w:tcW w:w="9620" w:type="dxa"/>
            <w:gridSpan w:val="5"/>
            <w:tcBorders>
              <w:top w:val="nil"/>
              <w:left w:val="nil"/>
              <w:bottom w:val="single" w:sz="4" w:space="0" w:color="auto"/>
              <w:right w:val="nil"/>
            </w:tcBorders>
          </w:tcPr>
          <w:p w14:paraId="01A5820B" w14:textId="6C5C396F" w:rsidR="00EF6A0E" w:rsidRDefault="00000000">
            <w:pPr>
              <w:spacing w:line="680" w:lineRule="exact"/>
              <w:jc w:val="center"/>
              <w:rPr>
                <w:rFonts w:ascii="仿宋" w:eastAsia="仿宋" w:hAnsi="仿宋" w:cs="仿宋"/>
                <w:color w:val="000000"/>
                <w:sz w:val="28"/>
                <w:szCs w:val="28"/>
              </w:rPr>
            </w:pPr>
            <w:r>
              <w:rPr>
                <w:rFonts w:ascii="仿宋" w:eastAsia="仿宋" w:hAnsi="仿宋" w:cs="仿宋" w:hint="eastAsia"/>
                <w:b/>
                <w:bCs/>
                <w:color w:val="000000"/>
                <w:kern w:val="0"/>
                <w:sz w:val="24"/>
              </w:rPr>
              <w:t xml:space="preserve">                                                         币种：人民币</w:t>
            </w:r>
            <w:r w:rsidR="00552869">
              <w:rPr>
                <w:rFonts w:ascii="仿宋" w:eastAsia="仿宋" w:hAnsi="仿宋" w:cs="仿宋" w:hint="eastAsia"/>
                <w:b/>
                <w:bCs/>
                <w:color w:val="000000"/>
                <w:kern w:val="0"/>
                <w:sz w:val="24"/>
              </w:rPr>
              <w:t>元</w:t>
            </w:r>
            <w:r>
              <w:rPr>
                <w:rFonts w:ascii="仿宋" w:eastAsia="仿宋" w:hAnsi="仿宋" w:cs="仿宋" w:hint="eastAsia"/>
                <w:b/>
                <w:bCs/>
                <w:color w:val="000000"/>
                <w:kern w:val="0"/>
                <w:sz w:val="24"/>
              </w:rPr>
              <w:t xml:space="preserve">                                                                                                     </w:t>
            </w:r>
          </w:p>
        </w:tc>
      </w:tr>
      <w:tr w:rsidR="00EF6A0E" w14:paraId="50715E5C" w14:textId="77777777">
        <w:trPr>
          <w:trHeight w:val="612"/>
          <w:jc w:val="center"/>
        </w:trPr>
        <w:tc>
          <w:tcPr>
            <w:tcW w:w="5797" w:type="dxa"/>
            <w:gridSpan w:val="3"/>
            <w:tcBorders>
              <w:top w:val="single" w:sz="4" w:space="0" w:color="auto"/>
            </w:tcBorders>
          </w:tcPr>
          <w:p w14:paraId="0B475152" w14:textId="77777777" w:rsidR="00EF6A0E" w:rsidRDefault="00EF6A0E">
            <w:pPr>
              <w:widowControl/>
              <w:jc w:val="center"/>
              <w:rPr>
                <w:rFonts w:ascii="仿宋" w:eastAsia="仿宋" w:hAnsi="仿宋" w:cs="仿宋"/>
                <w:b/>
                <w:bCs/>
                <w:color w:val="000000"/>
                <w:kern w:val="0"/>
                <w:szCs w:val="21"/>
              </w:rPr>
            </w:pPr>
          </w:p>
          <w:p w14:paraId="4A077F78" w14:textId="77777777" w:rsidR="00EF6A0E" w:rsidRDefault="00000000">
            <w:pPr>
              <w:widowControl/>
              <w:rPr>
                <w:rFonts w:ascii="仿宋" w:eastAsia="仿宋" w:hAnsi="仿宋" w:cs="仿宋"/>
                <w:b/>
                <w:bCs/>
                <w:color w:val="000000"/>
                <w:kern w:val="0"/>
                <w:szCs w:val="21"/>
              </w:rPr>
            </w:pPr>
            <w:r>
              <w:rPr>
                <w:rFonts w:ascii="仿宋" w:eastAsia="仿宋" w:hAnsi="仿宋" w:cs="仿宋" w:hint="eastAsia"/>
                <w:b/>
                <w:bCs/>
                <w:color w:val="000000"/>
                <w:kern w:val="0"/>
                <w:szCs w:val="21"/>
              </w:rPr>
              <w:t>估价对象及结果</w:t>
            </w:r>
          </w:p>
          <w:p w14:paraId="1CB1FFC7" w14:textId="77777777" w:rsidR="00EF6A0E" w:rsidRDefault="00000000">
            <w:pPr>
              <w:widowControl/>
              <w:jc w:val="center"/>
              <w:rPr>
                <w:rFonts w:ascii="仿宋" w:eastAsia="仿宋" w:hAnsi="仿宋" w:cs="仿宋"/>
                <w:b/>
                <w:bCs/>
                <w:color w:val="000000"/>
                <w:kern w:val="0"/>
                <w:szCs w:val="21"/>
              </w:rPr>
            </w:pPr>
            <w:r>
              <w:rPr>
                <w:rFonts w:ascii="仿宋" w:eastAsia="仿宋" w:hAnsi="仿宋" w:cs="仿宋" w:hint="eastAsia"/>
                <w:b/>
                <w:bCs/>
                <w:color w:val="000000"/>
                <w:kern w:val="0"/>
                <w:szCs w:val="21"/>
              </w:rPr>
              <w:t xml:space="preserve">         估价方法及结果</w:t>
            </w:r>
          </w:p>
          <w:p w14:paraId="73AE3F52" w14:textId="77777777" w:rsidR="00EF6A0E" w:rsidRDefault="00EF6A0E">
            <w:pPr>
              <w:widowControl/>
              <w:jc w:val="center"/>
              <w:rPr>
                <w:rFonts w:ascii="仿宋" w:eastAsia="仿宋" w:hAnsi="仿宋" w:cs="仿宋"/>
                <w:b/>
                <w:bCs/>
                <w:color w:val="000000"/>
                <w:kern w:val="0"/>
                <w:szCs w:val="21"/>
              </w:rPr>
            </w:pPr>
          </w:p>
          <w:p w14:paraId="7EC0184F" w14:textId="77777777" w:rsidR="00EF6A0E" w:rsidRDefault="00EF6A0E">
            <w:pPr>
              <w:widowControl/>
              <w:jc w:val="center"/>
              <w:rPr>
                <w:rFonts w:ascii="仿宋" w:eastAsia="仿宋" w:hAnsi="仿宋" w:cs="仿宋"/>
                <w:b/>
                <w:bCs/>
                <w:color w:val="000000"/>
                <w:kern w:val="0"/>
                <w:szCs w:val="21"/>
              </w:rPr>
            </w:pPr>
          </w:p>
        </w:tc>
        <w:tc>
          <w:tcPr>
            <w:tcW w:w="1995" w:type="dxa"/>
            <w:tcBorders>
              <w:top w:val="single" w:sz="4" w:space="0" w:color="auto"/>
            </w:tcBorders>
            <w:vAlign w:val="center"/>
          </w:tcPr>
          <w:p w14:paraId="2A7181B7" w14:textId="77777777" w:rsidR="00EF6A0E" w:rsidRDefault="00000000">
            <w:pPr>
              <w:widowControl/>
              <w:jc w:val="center"/>
              <w:rPr>
                <w:rFonts w:ascii="仿宋" w:eastAsia="仿宋" w:hAnsi="仿宋" w:cs="仿宋"/>
                <w:b/>
                <w:bCs/>
                <w:color w:val="000000"/>
                <w:kern w:val="0"/>
                <w:szCs w:val="21"/>
              </w:rPr>
            </w:pPr>
            <w:r>
              <w:rPr>
                <w:rFonts w:ascii="仿宋" w:eastAsia="仿宋" w:hAnsi="仿宋" w:cs="仿宋" w:hint="eastAsia"/>
                <w:b/>
                <w:bCs/>
                <w:color w:val="000000"/>
                <w:kern w:val="0"/>
                <w:szCs w:val="21"/>
              </w:rPr>
              <w:t>比较法</w:t>
            </w:r>
          </w:p>
        </w:tc>
        <w:tc>
          <w:tcPr>
            <w:tcW w:w="1828" w:type="dxa"/>
            <w:tcBorders>
              <w:top w:val="single" w:sz="4" w:space="0" w:color="auto"/>
            </w:tcBorders>
            <w:vAlign w:val="center"/>
          </w:tcPr>
          <w:p w14:paraId="5F8A1C6D" w14:textId="77777777" w:rsidR="00EF6A0E" w:rsidRDefault="00000000">
            <w:pPr>
              <w:widowControl/>
              <w:jc w:val="center"/>
              <w:rPr>
                <w:rFonts w:ascii="仿宋" w:eastAsia="仿宋" w:hAnsi="仿宋" w:cs="仿宋"/>
                <w:b/>
                <w:bCs/>
                <w:color w:val="000000"/>
                <w:kern w:val="0"/>
                <w:szCs w:val="21"/>
              </w:rPr>
            </w:pPr>
            <w:r>
              <w:rPr>
                <w:rFonts w:ascii="仿宋" w:eastAsia="仿宋" w:hAnsi="仿宋" w:cs="仿宋" w:hint="eastAsia"/>
                <w:b/>
                <w:bCs/>
                <w:color w:val="000000"/>
                <w:kern w:val="0"/>
                <w:szCs w:val="21"/>
              </w:rPr>
              <w:t>估价结果</w:t>
            </w:r>
          </w:p>
        </w:tc>
      </w:tr>
      <w:tr w:rsidR="00EF6A0E" w14:paraId="22893C36" w14:textId="77777777">
        <w:trPr>
          <w:trHeight w:val="455"/>
          <w:jc w:val="center"/>
        </w:trPr>
        <w:tc>
          <w:tcPr>
            <w:tcW w:w="2984" w:type="dxa"/>
            <w:vMerge w:val="restart"/>
            <w:vAlign w:val="center"/>
          </w:tcPr>
          <w:p w14:paraId="283DC451" w14:textId="54251689" w:rsidR="00EF6A0E" w:rsidRDefault="00A10557">
            <w:pPr>
              <w:widowControl/>
              <w:jc w:val="center"/>
              <w:rPr>
                <w:rFonts w:eastAsia="仿宋"/>
                <w:b/>
                <w:bCs/>
                <w:color w:val="000000"/>
                <w:kern w:val="0"/>
                <w:szCs w:val="21"/>
              </w:rPr>
            </w:pPr>
            <w:r>
              <w:rPr>
                <w:rFonts w:eastAsia="仿宋" w:hint="eastAsia"/>
                <w:b/>
                <w:bCs/>
                <w:color w:val="000000"/>
                <w:kern w:val="0"/>
                <w:szCs w:val="21"/>
              </w:rPr>
              <w:t>贵州省兴仁市东湖街道办事处长兴路西南侧</w:t>
            </w:r>
          </w:p>
        </w:tc>
        <w:tc>
          <w:tcPr>
            <w:tcW w:w="1163" w:type="dxa"/>
            <w:vMerge w:val="restart"/>
            <w:vAlign w:val="center"/>
          </w:tcPr>
          <w:p w14:paraId="64A1298C" w14:textId="5C53DD55" w:rsidR="00EF6A0E" w:rsidRDefault="00000000">
            <w:pPr>
              <w:widowControl/>
              <w:jc w:val="center"/>
              <w:rPr>
                <w:rFonts w:eastAsia="仿宋"/>
                <w:b/>
                <w:bCs/>
                <w:color w:val="000000"/>
                <w:kern w:val="0"/>
                <w:szCs w:val="21"/>
              </w:rPr>
            </w:pPr>
            <w:r>
              <w:rPr>
                <w:rFonts w:eastAsia="仿宋"/>
                <w:b/>
                <w:bCs/>
                <w:color w:val="000000"/>
                <w:kern w:val="0"/>
                <w:szCs w:val="21"/>
              </w:rPr>
              <w:t>建筑面积</w:t>
            </w:r>
            <w:r w:rsidR="0013644A">
              <w:rPr>
                <w:rFonts w:hint="eastAsia"/>
                <w:b/>
                <w:bCs/>
                <w:color w:val="000000"/>
                <w:szCs w:val="21"/>
              </w:rPr>
              <w:t>118.78</w:t>
            </w:r>
            <w:r>
              <w:rPr>
                <w:rFonts w:eastAsia="仿宋"/>
                <w:b/>
                <w:bCs/>
                <w:color w:val="000000"/>
                <w:kern w:val="0"/>
                <w:szCs w:val="21"/>
              </w:rPr>
              <w:t>㎡</w:t>
            </w:r>
          </w:p>
        </w:tc>
        <w:tc>
          <w:tcPr>
            <w:tcW w:w="1650" w:type="dxa"/>
            <w:vAlign w:val="center"/>
          </w:tcPr>
          <w:p w14:paraId="15C3BCB3" w14:textId="77777777" w:rsidR="00EF6A0E" w:rsidRDefault="00000000">
            <w:pPr>
              <w:widowControl/>
              <w:jc w:val="center"/>
              <w:rPr>
                <w:rFonts w:eastAsia="仿宋"/>
                <w:b/>
                <w:bCs/>
                <w:color w:val="000000"/>
                <w:kern w:val="0"/>
                <w:szCs w:val="21"/>
              </w:rPr>
            </w:pPr>
            <w:r>
              <w:rPr>
                <w:rFonts w:eastAsia="仿宋"/>
                <w:b/>
                <w:bCs/>
                <w:color w:val="000000"/>
                <w:kern w:val="0"/>
                <w:szCs w:val="21"/>
              </w:rPr>
              <w:t>总价（万元）</w:t>
            </w:r>
          </w:p>
        </w:tc>
        <w:tc>
          <w:tcPr>
            <w:tcW w:w="1995" w:type="dxa"/>
            <w:vAlign w:val="center"/>
          </w:tcPr>
          <w:p w14:paraId="112AD488" w14:textId="36CBB61C" w:rsidR="00EF6A0E" w:rsidRDefault="00CF4DAF">
            <w:pPr>
              <w:adjustRightInd w:val="0"/>
              <w:snapToGrid w:val="0"/>
              <w:spacing w:line="540" w:lineRule="exact"/>
              <w:jc w:val="center"/>
              <w:rPr>
                <w:rFonts w:eastAsia="仿宋_GB2312"/>
                <w:b/>
                <w:bCs/>
                <w:color w:val="000000"/>
                <w:szCs w:val="21"/>
              </w:rPr>
            </w:pPr>
            <w:r>
              <w:rPr>
                <w:rFonts w:eastAsia="仿宋_GB2312" w:hint="eastAsia"/>
                <w:b/>
                <w:bCs/>
                <w:color w:val="000000"/>
                <w:szCs w:val="21"/>
              </w:rPr>
              <w:t>45.4</w:t>
            </w:r>
          </w:p>
        </w:tc>
        <w:tc>
          <w:tcPr>
            <w:tcW w:w="1828" w:type="dxa"/>
            <w:vAlign w:val="center"/>
          </w:tcPr>
          <w:p w14:paraId="33280D0B" w14:textId="2EA3F7C3" w:rsidR="00EF6A0E" w:rsidRDefault="00CF4DAF">
            <w:pPr>
              <w:adjustRightInd w:val="0"/>
              <w:snapToGrid w:val="0"/>
              <w:spacing w:line="540" w:lineRule="exact"/>
              <w:jc w:val="center"/>
              <w:rPr>
                <w:rFonts w:eastAsia="仿宋_GB2312"/>
                <w:b/>
                <w:bCs/>
                <w:color w:val="000000"/>
                <w:szCs w:val="21"/>
              </w:rPr>
            </w:pPr>
            <w:r>
              <w:rPr>
                <w:rFonts w:eastAsia="仿宋_GB2312" w:hint="eastAsia"/>
                <w:b/>
                <w:bCs/>
                <w:color w:val="000000"/>
                <w:szCs w:val="21"/>
              </w:rPr>
              <w:t>45.4</w:t>
            </w:r>
          </w:p>
        </w:tc>
      </w:tr>
      <w:tr w:rsidR="00EF6A0E" w14:paraId="3B3B3C18" w14:textId="77777777">
        <w:trPr>
          <w:trHeight w:val="480"/>
          <w:jc w:val="center"/>
        </w:trPr>
        <w:tc>
          <w:tcPr>
            <w:tcW w:w="2984" w:type="dxa"/>
            <w:vMerge/>
            <w:vAlign w:val="center"/>
          </w:tcPr>
          <w:p w14:paraId="05D79599" w14:textId="77777777" w:rsidR="00EF6A0E" w:rsidRDefault="00EF6A0E">
            <w:pPr>
              <w:widowControl/>
              <w:jc w:val="center"/>
              <w:rPr>
                <w:rFonts w:eastAsia="仿宋"/>
                <w:b/>
                <w:bCs/>
                <w:color w:val="000000"/>
                <w:kern w:val="0"/>
                <w:szCs w:val="21"/>
              </w:rPr>
            </w:pPr>
          </w:p>
        </w:tc>
        <w:tc>
          <w:tcPr>
            <w:tcW w:w="1163" w:type="dxa"/>
            <w:vMerge/>
            <w:vAlign w:val="center"/>
          </w:tcPr>
          <w:p w14:paraId="3A92C7FA" w14:textId="77777777" w:rsidR="00EF6A0E" w:rsidRDefault="00EF6A0E">
            <w:pPr>
              <w:widowControl/>
              <w:jc w:val="center"/>
              <w:rPr>
                <w:rFonts w:eastAsia="仿宋"/>
                <w:b/>
                <w:bCs/>
                <w:color w:val="000000"/>
                <w:kern w:val="0"/>
                <w:szCs w:val="21"/>
              </w:rPr>
            </w:pPr>
          </w:p>
        </w:tc>
        <w:tc>
          <w:tcPr>
            <w:tcW w:w="1650" w:type="dxa"/>
            <w:vAlign w:val="center"/>
          </w:tcPr>
          <w:p w14:paraId="2C0EA0E8" w14:textId="77777777" w:rsidR="00EF6A0E" w:rsidRDefault="00000000">
            <w:pPr>
              <w:widowControl/>
              <w:jc w:val="center"/>
              <w:rPr>
                <w:rFonts w:eastAsia="仿宋"/>
                <w:b/>
                <w:bCs/>
                <w:color w:val="000000"/>
                <w:kern w:val="0"/>
                <w:szCs w:val="21"/>
              </w:rPr>
            </w:pPr>
            <w:r>
              <w:rPr>
                <w:rFonts w:eastAsia="仿宋"/>
                <w:b/>
                <w:bCs/>
                <w:color w:val="000000"/>
                <w:kern w:val="0"/>
                <w:szCs w:val="21"/>
              </w:rPr>
              <w:t>单价（元</w:t>
            </w:r>
            <w:r>
              <w:rPr>
                <w:rFonts w:eastAsia="仿宋"/>
                <w:b/>
                <w:bCs/>
                <w:color w:val="000000"/>
                <w:kern w:val="0"/>
                <w:szCs w:val="21"/>
              </w:rPr>
              <w:t>/</w:t>
            </w:r>
            <w:r>
              <w:rPr>
                <w:rFonts w:eastAsia="仿宋"/>
                <w:b/>
                <w:bCs/>
                <w:color w:val="000000"/>
                <w:kern w:val="0"/>
                <w:szCs w:val="21"/>
              </w:rPr>
              <w:t>㎡）</w:t>
            </w:r>
          </w:p>
        </w:tc>
        <w:tc>
          <w:tcPr>
            <w:tcW w:w="1995" w:type="dxa"/>
            <w:vAlign w:val="center"/>
          </w:tcPr>
          <w:p w14:paraId="483FAB03" w14:textId="522DC39B" w:rsidR="00EF6A0E" w:rsidRDefault="005E00CB">
            <w:pPr>
              <w:adjustRightInd w:val="0"/>
              <w:snapToGrid w:val="0"/>
              <w:spacing w:line="540" w:lineRule="exact"/>
              <w:jc w:val="center"/>
              <w:rPr>
                <w:rFonts w:eastAsia="仿宋_GB2312"/>
                <w:b/>
                <w:bCs/>
                <w:color w:val="000000"/>
                <w:szCs w:val="21"/>
              </w:rPr>
            </w:pPr>
            <w:r>
              <w:rPr>
                <w:rFonts w:eastAsia="仿宋_GB2312"/>
                <w:b/>
                <w:bCs/>
                <w:color w:val="000000"/>
                <w:szCs w:val="21"/>
              </w:rPr>
              <w:t>3822.27</w:t>
            </w:r>
          </w:p>
        </w:tc>
        <w:tc>
          <w:tcPr>
            <w:tcW w:w="1828" w:type="dxa"/>
            <w:vAlign w:val="center"/>
          </w:tcPr>
          <w:p w14:paraId="4D907DE9" w14:textId="21EA95DC" w:rsidR="00EF6A0E" w:rsidRDefault="005E00CB">
            <w:pPr>
              <w:adjustRightInd w:val="0"/>
              <w:snapToGrid w:val="0"/>
              <w:spacing w:line="540" w:lineRule="exact"/>
              <w:jc w:val="center"/>
              <w:rPr>
                <w:rFonts w:eastAsia="仿宋_GB2312"/>
                <w:b/>
                <w:bCs/>
                <w:color w:val="000000"/>
                <w:szCs w:val="21"/>
              </w:rPr>
            </w:pPr>
            <w:r>
              <w:rPr>
                <w:rFonts w:eastAsia="仿宋_GB2312"/>
                <w:b/>
                <w:bCs/>
                <w:color w:val="000000"/>
                <w:szCs w:val="21"/>
              </w:rPr>
              <w:t>3822.27</w:t>
            </w:r>
          </w:p>
        </w:tc>
      </w:tr>
      <w:tr w:rsidR="00EF6A0E" w14:paraId="34B9178F" w14:textId="77777777">
        <w:trPr>
          <w:trHeight w:val="452"/>
          <w:jc w:val="center"/>
        </w:trPr>
        <w:tc>
          <w:tcPr>
            <w:tcW w:w="2984" w:type="dxa"/>
            <w:vMerge w:val="restart"/>
            <w:vAlign w:val="center"/>
          </w:tcPr>
          <w:p w14:paraId="6A7D467F" w14:textId="77777777" w:rsidR="00EF6A0E" w:rsidRDefault="00000000">
            <w:pPr>
              <w:widowControl/>
              <w:jc w:val="center"/>
              <w:rPr>
                <w:rFonts w:eastAsia="仿宋"/>
                <w:b/>
                <w:bCs/>
                <w:color w:val="000000"/>
                <w:kern w:val="0"/>
                <w:szCs w:val="21"/>
              </w:rPr>
            </w:pPr>
            <w:r>
              <w:rPr>
                <w:rFonts w:eastAsia="仿宋"/>
                <w:b/>
                <w:bCs/>
                <w:color w:val="000000"/>
                <w:kern w:val="0"/>
                <w:szCs w:val="21"/>
              </w:rPr>
              <w:t>汇总评估价值</w:t>
            </w:r>
          </w:p>
        </w:tc>
        <w:tc>
          <w:tcPr>
            <w:tcW w:w="1163" w:type="dxa"/>
            <w:vMerge w:val="restart"/>
            <w:vAlign w:val="center"/>
          </w:tcPr>
          <w:p w14:paraId="630677E9" w14:textId="0A9CA8D0" w:rsidR="00EF6A0E" w:rsidRDefault="0013644A">
            <w:pPr>
              <w:widowControl/>
              <w:jc w:val="center"/>
              <w:rPr>
                <w:rFonts w:eastAsia="仿宋"/>
                <w:b/>
                <w:bCs/>
                <w:color w:val="000000"/>
                <w:kern w:val="0"/>
                <w:szCs w:val="21"/>
              </w:rPr>
            </w:pPr>
            <w:r>
              <w:rPr>
                <w:rFonts w:hint="eastAsia"/>
                <w:b/>
                <w:bCs/>
                <w:color w:val="000000"/>
                <w:szCs w:val="21"/>
              </w:rPr>
              <w:t>118.78</w:t>
            </w:r>
            <w:r>
              <w:rPr>
                <w:rFonts w:eastAsia="仿宋"/>
                <w:b/>
                <w:bCs/>
                <w:color w:val="000000"/>
                <w:kern w:val="0"/>
                <w:szCs w:val="21"/>
              </w:rPr>
              <w:t>㎡</w:t>
            </w:r>
          </w:p>
        </w:tc>
        <w:tc>
          <w:tcPr>
            <w:tcW w:w="1650" w:type="dxa"/>
            <w:vAlign w:val="center"/>
          </w:tcPr>
          <w:p w14:paraId="0A331691" w14:textId="77777777" w:rsidR="00EF6A0E" w:rsidRDefault="00000000">
            <w:pPr>
              <w:widowControl/>
              <w:jc w:val="center"/>
              <w:rPr>
                <w:rFonts w:eastAsia="仿宋"/>
                <w:b/>
                <w:bCs/>
                <w:color w:val="000000"/>
                <w:kern w:val="0"/>
                <w:szCs w:val="21"/>
              </w:rPr>
            </w:pPr>
            <w:r>
              <w:rPr>
                <w:rFonts w:eastAsia="仿宋"/>
                <w:b/>
                <w:bCs/>
                <w:color w:val="000000"/>
                <w:kern w:val="0"/>
                <w:szCs w:val="21"/>
              </w:rPr>
              <w:t>总值</w:t>
            </w:r>
            <w:r>
              <w:rPr>
                <w:rFonts w:eastAsia="仿宋"/>
                <w:b/>
                <w:bCs/>
                <w:color w:val="000000"/>
                <w:kern w:val="0"/>
                <w:szCs w:val="21"/>
              </w:rPr>
              <w:t>(</w:t>
            </w:r>
            <w:r>
              <w:rPr>
                <w:rFonts w:eastAsia="仿宋"/>
                <w:b/>
                <w:bCs/>
                <w:color w:val="000000"/>
                <w:kern w:val="0"/>
                <w:szCs w:val="21"/>
              </w:rPr>
              <w:t>万元）</w:t>
            </w:r>
          </w:p>
        </w:tc>
        <w:tc>
          <w:tcPr>
            <w:tcW w:w="3823" w:type="dxa"/>
            <w:gridSpan w:val="2"/>
            <w:vAlign w:val="center"/>
          </w:tcPr>
          <w:p w14:paraId="64F561E2" w14:textId="2A7BBD2E" w:rsidR="00EF6A0E" w:rsidRDefault="00CF4DAF">
            <w:pPr>
              <w:widowControl/>
              <w:jc w:val="center"/>
              <w:textAlignment w:val="center"/>
              <w:rPr>
                <w:rFonts w:eastAsia="仿宋"/>
                <w:b/>
                <w:bCs/>
                <w:color w:val="000000"/>
                <w:kern w:val="0"/>
                <w:szCs w:val="21"/>
              </w:rPr>
            </w:pPr>
            <w:r>
              <w:rPr>
                <w:rFonts w:eastAsia="仿宋_GB2312" w:hint="eastAsia"/>
                <w:b/>
                <w:bCs/>
                <w:color w:val="000000"/>
                <w:szCs w:val="21"/>
              </w:rPr>
              <w:t>45.4</w:t>
            </w:r>
          </w:p>
        </w:tc>
      </w:tr>
      <w:tr w:rsidR="00EF6A0E" w14:paraId="55D272F8" w14:textId="77777777">
        <w:trPr>
          <w:trHeight w:val="412"/>
          <w:jc w:val="center"/>
        </w:trPr>
        <w:tc>
          <w:tcPr>
            <w:tcW w:w="2984" w:type="dxa"/>
            <w:vMerge/>
          </w:tcPr>
          <w:p w14:paraId="3BC9977A" w14:textId="77777777" w:rsidR="00EF6A0E" w:rsidRDefault="00EF6A0E">
            <w:pPr>
              <w:widowControl/>
              <w:jc w:val="center"/>
              <w:rPr>
                <w:rFonts w:eastAsia="仿宋"/>
                <w:b/>
                <w:bCs/>
                <w:color w:val="000000"/>
                <w:kern w:val="0"/>
                <w:szCs w:val="21"/>
              </w:rPr>
            </w:pPr>
          </w:p>
        </w:tc>
        <w:tc>
          <w:tcPr>
            <w:tcW w:w="1163" w:type="dxa"/>
            <w:vMerge/>
          </w:tcPr>
          <w:p w14:paraId="3FC4E495" w14:textId="77777777" w:rsidR="00EF6A0E" w:rsidRDefault="00EF6A0E">
            <w:pPr>
              <w:widowControl/>
              <w:jc w:val="center"/>
              <w:rPr>
                <w:rFonts w:eastAsia="仿宋"/>
                <w:b/>
                <w:bCs/>
                <w:color w:val="000000"/>
                <w:kern w:val="0"/>
                <w:szCs w:val="21"/>
              </w:rPr>
            </w:pPr>
          </w:p>
        </w:tc>
        <w:tc>
          <w:tcPr>
            <w:tcW w:w="1650" w:type="dxa"/>
            <w:vAlign w:val="center"/>
          </w:tcPr>
          <w:p w14:paraId="7F8209FB" w14:textId="77777777" w:rsidR="00EF6A0E" w:rsidRDefault="00000000">
            <w:pPr>
              <w:widowControl/>
              <w:jc w:val="center"/>
              <w:rPr>
                <w:rFonts w:eastAsia="仿宋"/>
                <w:b/>
                <w:bCs/>
                <w:color w:val="000000"/>
                <w:kern w:val="0"/>
                <w:szCs w:val="21"/>
              </w:rPr>
            </w:pPr>
            <w:r>
              <w:rPr>
                <w:rFonts w:eastAsia="仿宋"/>
                <w:b/>
                <w:bCs/>
                <w:color w:val="000000"/>
                <w:kern w:val="0"/>
                <w:szCs w:val="21"/>
              </w:rPr>
              <w:t>大写金额</w:t>
            </w:r>
          </w:p>
        </w:tc>
        <w:tc>
          <w:tcPr>
            <w:tcW w:w="3823" w:type="dxa"/>
            <w:gridSpan w:val="2"/>
            <w:vAlign w:val="center"/>
          </w:tcPr>
          <w:p w14:paraId="3AC5EAEE" w14:textId="003EBF0E" w:rsidR="00EF6A0E" w:rsidRDefault="00000000">
            <w:pPr>
              <w:widowControl/>
              <w:jc w:val="center"/>
              <w:rPr>
                <w:rFonts w:eastAsia="仿宋"/>
                <w:b/>
                <w:bCs/>
                <w:color w:val="000000"/>
                <w:kern w:val="0"/>
                <w:szCs w:val="21"/>
              </w:rPr>
            </w:pPr>
            <w:r>
              <w:rPr>
                <w:rFonts w:eastAsia="仿宋"/>
                <w:b/>
                <w:bCs/>
                <w:color w:val="000000"/>
                <w:kern w:val="0"/>
                <w:szCs w:val="21"/>
              </w:rPr>
              <w:t>人民币</w:t>
            </w:r>
            <w:r>
              <w:rPr>
                <w:rFonts w:eastAsia="仿宋" w:hint="eastAsia"/>
                <w:b/>
                <w:bCs/>
                <w:color w:val="000000"/>
                <w:kern w:val="0"/>
                <w:szCs w:val="21"/>
              </w:rPr>
              <w:fldChar w:fldCharType="begin"/>
            </w:r>
            <w:r>
              <w:rPr>
                <w:rFonts w:eastAsia="仿宋" w:hint="eastAsia"/>
                <w:b/>
                <w:bCs/>
                <w:color w:val="000000"/>
                <w:kern w:val="0"/>
                <w:szCs w:val="21"/>
              </w:rPr>
              <w:instrText xml:space="preserve"> = 492500 \* CHINESENUM2 \* MERGEFORMAT </w:instrText>
            </w:r>
            <w:r>
              <w:rPr>
                <w:rFonts w:eastAsia="仿宋" w:hint="eastAsia"/>
                <w:b/>
                <w:bCs/>
                <w:color w:val="000000"/>
                <w:kern w:val="0"/>
                <w:szCs w:val="21"/>
              </w:rPr>
              <w:fldChar w:fldCharType="separate"/>
            </w:r>
            <w:r w:rsidR="005E00CB">
              <w:rPr>
                <w:rFonts w:eastAsia="仿宋"/>
                <w:b/>
                <w:bCs/>
                <w:color w:val="000000"/>
                <w:kern w:val="0"/>
                <w:szCs w:val="21"/>
              </w:rPr>
              <w:t>肆拾伍万肆仟</w:t>
            </w:r>
            <w:r>
              <w:rPr>
                <w:rFonts w:eastAsia="仿宋" w:hint="eastAsia"/>
                <w:b/>
                <w:bCs/>
                <w:color w:val="000000"/>
                <w:kern w:val="0"/>
                <w:szCs w:val="21"/>
              </w:rPr>
              <w:fldChar w:fldCharType="end"/>
            </w:r>
            <w:r>
              <w:rPr>
                <w:rFonts w:eastAsia="仿宋"/>
                <w:b/>
                <w:bCs/>
                <w:color w:val="000000"/>
                <w:kern w:val="0"/>
                <w:szCs w:val="21"/>
              </w:rPr>
              <w:t>元整</w:t>
            </w:r>
          </w:p>
        </w:tc>
      </w:tr>
    </w:tbl>
    <w:p w14:paraId="45F5507F" w14:textId="77777777" w:rsidR="00EF6A0E" w:rsidRDefault="00EF6A0E" w:rsidP="004119E0">
      <w:pPr>
        <w:spacing w:line="680" w:lineRule="exact"/>
        <w:rPr>
          <w:rFonts w:ascii="楷体" w:eastAsia="楷体" w:hAnsi="楷体" w:cs="楷体"/>
          <w:sz w:val="28"/>
          <w:szCs w:val="28"/>
        </w:rPr>
      </w:pPr>
    </w:p>
    <w:p w14:paraId="6F1DFBB7" w14:textId="29143F1A" w:rsidR="00EF6A0E" w:rsidRDefault="004119E0">
      <w:pPr>
        <w:pStyle w:val="2"/>
        <w:spacing w:beforeLines="50" w:before="156" w:afterLines="50" w:after="156"/>
        <w:jc w:val="center"/>
        <w:rPr>
          <w:rFonts w:ascii="仿宋" w:eastAsia="仿宋" w:hAnsi="仿宋" w:cs="仿宋"/>
          <w:kern w:val="0"/>
          <w:sz w:val="44"/>
          <w:szCs w:val="44"/>
        </w:rPr>
      </w:pPr>
      <w:bookmarkStart w:id="144" w:name="_Toc21953"/>
      <w:bookmarkStart w:id="145" w:name="_Toc9739"/>
      <w:bookmarkStart w:id="146" w:name="_Toc22805"/>
      <w:bookmarkStart w:id="147" w:name="_Toc1148"/>
      <w:r>
        <w:rPr>
          <w:rFonts w:ascii="仿宋" w:eastAsia="仿宋" w:hAnsi="仿宋" w:cs="仿宋" w:hint="eastAsia"/>
          <w:kern w:val="0"/>
          <w:sz w:val="44"/>
          <w:szCs w:val="44"/>
        </w:rPr>
        <w:t>附     件</w:t>
      </w:r>
      <w:bookmarkEnd w:id="144"/>
      <w:bookmarkEnd w:id="145"/>
      <w:bookmarkEnd w:id="146"/>
      <w:bookmarkEnd w:id="147"/>
    </w:p>
    <w:p w14:paraId="6C4E84AD" w14:textId="77777777" w:rsidR="00EF6A0E" w:rsidRDefault="00EF6A0E">
      <w:pPr>
        <w:ind w:firstLineChars="200" w:firstLine="560"/>
        <w:rPr>
          <w:rFonts w:ascii="仿宋" w:eastAsia="仿宋" w:hAnsi="仿宋" w:cs="仿宋"/>
          <w:sz w:val="28"/>
          <w:szCs w:val="28"/>
        </w:rPr>
      </w:pPr>
    </w:p>
    <w:p w14:paraId="1B44E1F4" w14:textId="77777777" w:rsidR="00EF6A0E" w:rsidRDefault="00000000">
      <w:pPr>
        <w:spacing w:line="680" w:lineRule="exact"/>
        <w:ind w:leftChars="266" w:left="1119" w:hangingChars="200" w:hanging="560"/>
        <w:rPr>
          <w:rFonts w:ascii="仿宋" w:eastAsia="仿宋" w:hAnsi="仿宋" w:cs="仿宋"/>
          <w:sz w:val="28"/>
          <w:szCs w:val="28"/>
        </w:rPr>
      </w:pPr>
      <w:r>
        <w:rPr>
          <w:rFonts w:ascii="仿宋" w:eastAsia="仿宋" w:hAnsi="仿宋" w:cs="仿宋" w:hint="eastAsia"/>
          <w:sz w:val="28"/>
          <w:szCs w:val="28"/>
        </w:rPr>
        <w:t>一、估价对象现状照片及位置图复印件</w:t>
      </w:r>
    </w:p>
    <w:p w14:paraId="3C9CFFEB" w14:textId="71A963D1"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二、《</w:t>
      </w:r>
      <w:r w:rsidR="00A10557">
        <w:rPr>
          <w:rFonts w:ascii="仿宋" w:eastAsia="仿宋" w:hAnsi="仿宋" w:cs="仿宋" w:hint="eastAsia"/>
          <w:sz w:val="28"/>
          <w:szCs w:val="28"/>
        </w:rPr>
        <w:t>兴仁市人民法院</w:t>
      </w:r>
      <w:r>
        <w:rPr>
          <w:rFonts w:ascii="仿宋" w:eastAsia="仿宋" w:hAnsi="仿宋" w:cs="仿宋" w:hint="eastAsia"/>
          <w:sz w:val="28"/>
          <w:szCs w:val="28"/>
        </w:rPr>
        <w:t>委托书》复印件</w:t>
      </w:r>
    </w:p>
    <w:p w14:paraId="6E12AFA3" w14:textId="77777777"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三、《贵州省不动产登记查询结果》复印件</w:t>
      </w:r>
    </w:p>
    <w:p w14:paraId="5DE8F52D" w14:textId="77777777"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五、估价机构营业执照复印件</w:t>
      </w:r>
    </w:p>
    <w:p w14:paraId="4D12AE04" w14:textId="77777777" w:rsidR="00EF6A0E" w:rsidRDefault="0000000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六、估价机构房地产估价备案证书复印件</w:t>
      </w:r>
    </w:p>
    <w:p w14:paraId="1A6D58A1" w14:textId="480628CE" w:rsidR="00EF6A0E" w:rsidRDefault="00000000" w:rsidP="004119E0">
      <w:pPr>
        <w:spacing w:line="680" w:lineRule="exact"/>
        <w:ind w:firstLineChars="200" w:firstLine="560"/>
        <w:rPr>
          <w:rFonts w:ascii="仿宋" w:eastAsia="仿宋" w:hAnsi="仿宋" w:cs="仿宋"/>
          <w:sz w:val="28"/>
          <w:szCs w:val="28"/>
        </w:rPr>
      </w:pPr>
      <w:r>
        <w:rPr>
          <w:rFonts w:ascii="仿宋" w:eastAsia="仿宋" w:hAnsi="仿宋" w:cs="仿宋" w:hint="eastAsia"/>
          <w:sz w:val="28"/>
          <w:szCs w:val="28"/>
        </w:rPr>
        <w:t>七、房地产估价师注册证书复印件</w:t>
      </w:r>
    </w:p>
    <w:p w14:paraId="2F583909" w14:textId="77777777" w:rsidR="004119E0" w:rsidRPr="004119E0" w:rsidRDefault="004119E0" w:rsidP="004119E0">
      <w:pPr>
        <w:spacing w:line="680" w:lineRule="exact"/>
        <w:ind w:firstLineChars="200" w:firstLine="560"/>
        <w:rPr>
          <w:rFonts w:ascii="仿宋" w:eastAsia="仿宋" w:hAnsi="仿宋" w:cs="仿宋"/>
          <w:sz w:val="28"/>
          <w:szCs w:val="28"/>
        </w:rPr>
      </w:pPr>
    </w:p>
    <w:sectPr w:rsidR="004119E0" w:rsidRPr="004119E0">
      <w:footerReference w:type="default" r:id="rId24"/>
      <w:endnotePr>
        <w:numFmt w:val="decimal"/>
      </w:endnotePr>
      <w:pgSz w:w="11906" w:h="16838"/>
      <w:pgMar w:top="1440" w:right="1080" w:bottom="1440" w:left="1080" w:header="851" w:footer="992" w:gutter="0"/>
      <w:pgNumType w:start="1"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414EA" w14:textId="77777777" w:rsidR="005E5B4C" w:rsidRDefault="005E5B4C">
      <w:r>
        <w:separator/>
      </w:r>
    </w:p>
  </w:endnote>
  <w:endnote w:type="continuationSeparator" w:id="0">
    <w:p w14:paraId="4B54B158" w14:textId="77777777" w:rsidR="005E5B4C" w:rsidRDefault="005E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63E8" w14:textId="77777777" w:rsidR="00EF6A0E" w:rsidRDefault="00EF6A0E">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1DBD" w14:textId="77777777" w:rsidR="00EF6A0E" w:rsidRDefault="00000000">
    <w:pPr>
      <w:pStyle w:val="ad"/>
      <w:jc w:val="center"/>
    </w:pPr>
    <w:r>
      <w:rPr>
        <w:noProof/>
      </w:rPr>
      <mc:AlternateContent>
        <mc:Choice Requires="wps">
          <w:drawing>
            <wp:anchor distT="0" distB="0" distL="114300" distR="114300" simplePos="0" relativeHeight="251661312" behindDoc="0" locked="0" layoutInCell="1" allowOverlap="1" wp14:anchorId="1F00A2A2" wp14:editId="766BD260">
              <wp:simplePos x="0" y="0"/>
              <wp:positionH relativeFrom="margin">
                <wp:align>center</wp:align>
              </wp:positionH>
              <wp:positionV relativeFrom="paragraph">
                <wp:posOffset>0</wp:posOffset>
              </wp:positionV>
              <wp:extent cx="457835" cy="147955"/>
              <wp:effectExtent l="0" t="0" r="0" b="0"/>
              <wp:wrapNone/>
              <wp:docPr id="20" name="文本框 7"/>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15875">
                        <a:noFill/>
                      </a:ln>
                    </wps:spPr>
                    <wps:txbx>
                      <w:txbxContent>
                        <w:p w14:paraId="18F493AF" w14:textId="77777777" w:rsidR="00EF6A0E" w:rsidRDefault="00000000">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w:t>
                          </w:r>
                          <w:r>
                            <w:rPr>
                              <w:rFonts w:hint="eastAsia"/>
                              <w:sz w:val="18"/>
                            </w:rPr>
                            <w:t>页</w:t>
                          </w:r>
                        </w:p>
                      </w:txbxContent>
                    </wps:txbx>
                    <wps:bodyPr wrap="none" lIns="0" tIns="0" rIns="0" bIns="0">
                      <a:spAutoFit/>
                    </wps:bodyPr>
                  </wps:wsp>
                </a:graphicData>
              </a:graphic>
            </wp:anchor>
          </w:drawing>
        </mc:Choice>
        <mc:Fallback>
          <w:pict>
            <v:shapetype w14:anchorId="1F00A2A2" id="_x0000_t202" coordsize="21600,21600" o:spt="202" path="m,l,21600r21600,l21600,xe">
              <v:stroke joinstyle="miter"/>
              <v:path gradientshapeok="t" o:connecttype="rect"/>
            </v:shapetype>
            <v:shape id="文本框 7" o:spid="_x0000_s1027" type="#_x0000_t202" style="position:absolute;left:0;text-align:left;margin-left:0;margin-top:0;width:36.0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" filled="f" stroked="f" strokeweight="1.25pt">
              <v:textbox style="mso-fit-shape-to-text:t" inset="0,0,0,0">
                <w:txbxContent>
                  <w:p w14:paraId="18F493AF" w14:textId="77777777" w:rsidR="00EF6A0E" w:rsidRDefault="00000000">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66AA" w14:textId="77777777" w:rsidR="005E5B4C" w:rsidRDefault="005E5B4C">
      <w:r>
        <w:separator/>
      </w:r>
    </w:p>
  </w:footnote>
  <w:footnote w:type="continuationSeparator" w:id="0">
    <w:p w14:paraId="4E85364E" w14:textId="77777777" w:rsidR="005E5B4C" w:rsidRDefault="005E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D728" w14:textId="77777777" w:rsidR="00EF6A0E" w:rsidRDefault="00000000">
    <w:pPr>
      <w:pStyle w:val="ae"/>
      <w:jc w:val="both"/>
    </w:pPr>
    <w:r>
      <w:pict w14:anchorId="1324E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31.55pt;margin-top:265.35pt;width:536.25pt;height:152.85pt;rotation:-45;z-index:-251657216;mso-position-horizontal-relative:margin;mso-position-vertical-relative:margin;mso-width-relative:page;mso-height-relative:page" fillcolor="silver" stroked="f">
          <v:fill opacity="32112f"/>
          <v:textpath style="font-family:&quot;楷体&quot;" trim="t" fitpath="t" string="昊远评估"/>
          <o:lock v:ext="edit" aspectratio="t"/>
          <w10:wrap anchorx="margin" anchory="margin"/>
        </v:shape>
      </w:pict>
    </w:r>
    <w:r>
      <w:pict w14:anchorId="09A2ABE1">
        <v:shape id="PowerPlusWaterMarkObject18075" o:spid="_x0000_s1035" type="#_x0000_t136" style="position:absolute;left:0;text-align:left;margin-left:0;margin-top:0;width:415.3pt;height:135.55pt;z-index:-251656192;mso-position-horizontal:center;mso-position-horizontal-relative:margin;mso-position-vertical:center;mso-position-vertical-relative:margin;mso-width-relative:page;mso-height-relative:page" fillcolor="silver" stroked="f">
          <v:fill opacity="0"/>
          <v:textpath style="font-family:&quot;微软雅黑&quot;" trim="t" fitpath="t" string="严禁复制"/>
          <o:lock v:ext="edit" aspectratio="t"/>
          <w10:wrap anchorx="margin" anchory="margin"/>
        </v:shape>
      </w:pict>
    </w:r>
    <w:r>
      <w:rPr>
        <w:rFonts w:ascii="楷体" w:eastAsia="楷体" w:hAnsi="楷体" w:cs="楷体" w:hint="eastAsia"/>
        <w:noProof/>
      </w:rPr>
      <w:drawing>
        <wp:inline distT="0" distB="0" distL="114300" distR="114300" wp14:anchorId="40A87CCD" wp14:editId="1AC8A8CE">
          <wp:extent cx="287020" cy="287020"/>
          <wp:effectExtent l="0" t="0" r="17780" b="17780"/>
          <wp:docPr id="8" name="图片 2" descr="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图标"/>
                  <pic:cNvPicPr>
                    <a:picLocks noChangeAspect="1"/>
                  </pic:cNvPicPr>
                </pic:nvPicPr>
                <pic:blipFill>
                  <a:blip r:embed="rId1"/>
                  <a:stretch>
                    <a:fillRect/>
                  </a:stretch>
                </pic:blipFill>
                <pic:spPr>
                  <a:xfrm>
                    <a:off x="0" y="0"/>
                    <a:ext cx="287020" cy="287020"/>
                  </a:xfrm>
                  <a:prstGeom prst="rect">
                    <a:avLst/>
                  </a:prstGeom>
                  <a:noFill/>
                  <a:ln>
                    <a:noFill/>
                  </a:ln>
                </pic:spPr>
              </pic:pic>
            </a:graphicData>
          </a:graphic>
        </wp:inline>
      </w:drawing>
    </w:r>
    <w:r>
      <w:rPr>
        <w:rFonts w:ascii="宋体" w:hAnsi="宋体" w:cs="宋体" w:hint="eastAsia"/>
        <w:b/>
        <w:bCs/>
        <w:sz w:val="36"/>
        <w:szCs w:val="36"/>
      </w:rPr>
      <w:t>贵州昊远房地产土地评估有限公司房地产估价报告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C1826"/>
    <w:multiLevelType w:val="singleLevel"/>
    <w:tmpl w:val="A62C1826"/>
    <w:lvl w:ilvl="0">
      <w:start w:val="1"/>
      <w:numFmt w:val="chineseCounting"/>
      <w:suff w:val="nothing"/>
      <w:lvlText w:val="%1、"/>
      <w:lvlJc w:val="left"/>
      <w:rPr>
        <w:rFonts w:hint="eastAsia"/>
      </w:rPr>
    </w:lvl>
  </w:abstractNum>
  <w:abstractNum w:abstractNumId="1" w15:restartNumberingAfterBreak="0">
    <w:nsid w:val="AF306EC4"/>
    <w:multiLevelType w:val="singleLevel"/>
    <w:tmpl w:val="AF306EC4"/>
    <w:lvl w:ilvl="0">
      <w:start w:val="1"/>
      <w:numFmt w:val="chineseCounting"/>
      <w:suff w:val="nothing"/>
      <w:lvlText w:val="%1、"/>
      <w:lvlJc w:val="left"/>
      <w:rPr>
        <w:rFonts w:hint="eastAsia"/>
      </w:rPr>
    </w:lvl>
  </w:abstractNum>
  <w:abstractNum w:abstractNumId="2" w15:restartNumberingAfterBreak="0">
    <w:nsid w:val="CDCC788E"/>
    <w:multiLevelType w:val="singleLevel"/>
    <w:tmpl w:val="CDCC788E"/>
    <w:lvl w:ilvl="0">
      <w:start w:val="5"/>
      <w:numFmt w:val="chineseCounting"/>
      <w:suff w:val="nothing"/>
      <w:lvlText w:val="%1、"/>
      <w:lvlJc w:val="left"/>
      <w:rPr>
        <w:rFonts w:hint="eastAsia"/>
      </w:rPr>
    </w:lvl>
  </w:abstractNum>
  <w:num w:numId="1" w16cid:durableId="1846091681">
    <w:abstractNumId w:val="2"/>
  </w:num>
  <w:num w:numId="2" w16cid:durableId="416708233">
    <w:abstractNumId w:val="1"/>
  </w:num>
  <w:num w:numId="3" w16cid:durableId="117141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o:shapelayout v:ext="edit">
      <o:idmap v:ext="edit" data="1"/>
    </o:shapelayout>
  </w:hdrShapeDefaults>
  <w:footnotePr>
    <w:footnote w:id="-1"/>
    <w:footnote w:id="0"/>
  </w:footnotePr>
  <w:endnotePr>
    <w:numFmt w:val="decimal"/>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785"/>
    <w:rsid w:val="00001314"/>
    <w:rsid w:val="000054AC"/>
    <w:rsid w:val="00011D71"/>
    <w:rsid w:val="000133BC"/>
    <w:rsid w:val="00014EC6"/>
    <w:rsid w:val="0002501F"/>
    <w:rsid w:val="00027245"/>
    <w:rsid w:val="00030C94"/>
    <w:rsid w:val="00032B13"/>
    <w:rsid w:val="00037C47"/>
    <w:rsid w:val="000405B0"/>
    <w:rsid w:val="000477AB"/>
    <w:rsid w:val="00054007"/>
    <w:rsid w:val="0005680F"/>
    <w:rsid w:val="00056F13"/>
    <w:rsid w:val="00057532"/>
    <w:rsid w:val="00061F83"/>
    <w:rsid w:val="000625EE"/>
    <w:rsid w:val="0006407F"/>
    <w:rsid w:val="000677A1"/>
    <w:rsid w:val="00070C6F"/>
    <w:rsid w:val="00071145"/>
    <w:rsid w:val="00072E7E"/>
    <w:rsid w:val="00077FA2"/>
    <w:rsid w:val="00080F9A"/>
    <w:rsid w:val="000812F8"/>
    <w:rsid w:val="000818E1"/>
    <w:rsid w:val="00085327"/>
    <w:rsid w:val="00086367"/>
    <w:rsid w:val="000937A5"/>
    <w:rsid w:val="000A561B"/>
    <w:rsid w:val="000A7259"/>
    <w:rsid w:val="000B4494"/>
    <w:rsid w:val="000C4ABC"/>
    <w:rsid w:val="000D0309"/>
    <w:rsid w:val="000D104B"/>
    <w:rsid w:val="000E27AD"/>
    <w:rsid w:val="000E4B62"/>
    <w:rsid w:val="000E547C"/>
    <w:rsid w:val="000E7103"/>
    <w:rsid w:val="000E7CBA"/>
    <w:rsid w:val="000F118D"/>
    <w:rsid w:val="000F154F"/>
    <w:rsid w:val="000F276D"/>
    <w:rsid w:val="000F2B44"/>
    <w:rsid w:val="000F4C8A"/>
    <w:rsid w:val="00101D24"/>
    <w:rsid w:val="00110750"/>
    <w:rsid w:val="00110B93"/>
    <w:rsid w:val="00117143"/>
    <w:rsid w:val="0011719F"/>
    <w:rsid w:val="00117E23"/>
    <w:rsid w:val="001235FA"/>
    <w:rsid w:val="001251AF"/>
    <w:rsid w:val="00125A3F"/>
    <w:rsid w:val="001261CA"/>
    <w:rsid w:val="00127090"/>
    <w:rsid w:val="00127643"/>
    <w:rsid w:val="0013305A"/>
    <w:rsid w:val="0013644A"/>
    <w:rsid w:val="0013768A"/>
    <w:rsid w:val="00141C6A"/>
    <w:rsid w:val="00150639"/>
    <w:rsid w:val="001510D4"/>
    <w:rsid w:val="001545E0"/>
    <w:rsid w:val="00155998"/>
    <w:rsid w:val="00155EAD"/>
    <w:rsid w:val="00157448"/>
    <w:rsid w:val="00162158"/>
    <w:rsid w:val="0016497E"/>
    <w:rsid w:val="00164F8B"/>
    <w:rsid w:val="00172A51"/>
    <w:rsid w:val="001746ED"/>
    <w:rsid w:val="00174DCD"/>
    <w:rsid w:val="001752F5"/>
    <w:rsid w:val="001760D3"/>
    <w:rsid w:val="0017690A"/>
    <w:rsid w:val="00181633"/>
    <w:rsid w:val="00182FB0"/>
    <w:rsid w:val="00184906"/>
    <w:rsid w:val="0018638F"/>
    <w:rsid w:val="00186D90"/>
    <w:rsid w:val="0019158A"/>
    <w:rsid w:val="001932E1"/>
    <w:rsid w:val="001A05D7"/>
    <w:rsid w:val="001A0603"/>
    <w:rsid w:val="001A4C5D"/>
    <w:rsid w:val="001A6146"/>
    <w:rsid w:val="001A66F4"/>
    <w:rsid w:val="001A6E8F"/>
    <w:rsid w:val="001B02C3"/>
    <w:rsid w:val="001B1FD9"/>
    <w:rsid w:val="001B7D68"/>
    <w:rsid w:val="001C27ED"/>
    <w:rsid w:val="001C2950"/>
    <w:rsid w:val="001C2CAB"/>
    <w:rsid w:val="001C3DF5"/>
    <w:rsid w:val="001C4459"/>
    <w:rsid w:val="001C54D5"/>
    <w:rsid w:val="001C6F9E"/>
    <w:rsid w:val="001D0E59"/>
    <w:rsid w:val="001D4993"/>
    <w:rsid w:val="001D52EB"/>
    <w:rsid w:val="001E1072"/>
    <w:rsid w:val="001F18F7"/>
    <w:rsid w:val="002010ED"/>
    <w:rsid w:val="00205644"/>
    <w:rsid w:val="0020600C"/>
    <w:rsid w:val="00212CE0"/>
    <w:rsid w:val="00216511"/>
    <w:rsid w:val="00220C55"/>
    <w:rsid w:val="0022408B"/>
    <w:rsid w:val="00224439"/>
    <w:rsid w:val="0023095D"/>
    <w:rsid w:val="0023165C"/>
    <w:rsid w:val="00235B9E"/>
    <w:rsid w:val="00242DBB"/>
    <w:rsid w:val="0024491F"/>
    <w:rsid w:val="0025255F"/>
    <w:rsid w:val="00254C01"/>
    <w:rsid w:val="0026049A"/>
    <w:rsid w:val="00262BA9"/>
    <w:rsid w:val="00273598"/>
    <w:rsid w:val="00277123"/>
    <w:rsid w:val="00277556"/>
    <w:rsid w:val="00282BE3"/>
    <w:rsid w:val="0028357B"/>
    <w:rsid w:val="00284589"/>
    <w:rsid w:val="00286DA8"/>
    <w:rsid w:val="00293653"/>
    <w:rsid w:val="002A0859"/>
    <w:rsid w:val="002B5ABB"/>
    <w:rsid w:val="002C0551"/>
    <w:rsid w:val="002C3093"/>
    <w:rsid w:val="002D05FB"/>
    <w:rsid w:val="002D2198"/>
    <w:rsid w:val="002D3ECD"/>
    <w:rsid w:val="002D3EE9"/>
    <w:rsid w:val="002D5E16"/>
    <w:rsid w:val="002D6883"/>
    <w:rsid w:val="002D703A"/>
    <w:rsid w:val="002E02DA"/>
    <w:rsid w:val="002E2DED"/>
    <w:rsid w:val="002E4381"/>
    <w:rsid w:val="002E479C"/>
    <w:rsid w:val="002E6F62"/>
    <w:rsid w:val="002E71EF"/>
    <w:rsid w:val="002E7FC1"/>
    <w:rsid w:val="002F1EAE"/>
    <w:rsid w:val="00306298"/>
    <w:rsid w:val="00311B2F"/>
    <w:rsid w:val="00331F97"/>
    <w:rsid w:val="00342D95"/>
    <w:rsid w:val="00350509"/>
    <w:rsid w:val="003562A0"/>
    <w:rsid w:val="003569E4"/>
    <w:rsid w:val="00361CA9"/>
    <w:rsid w:val="003729B9"/>
    <w:rsid w:val="00372A5F"/>
    <w:rsid w:val="00373AE8"/>
    <w:rsid w:val="00375756"/>
    <w:rsid w:val="0037795B"/>
    <w:rsid w:val="0038039F"/>
    <w:rsid w:val="003832B8"/>
    <w:rsid w:val="003864E8"/>
    <w:rsid w:val="00387B77"/>
    <w:rsid w:val="00391AF0"/>
    <w:rsid w:val="00395E12"/>
    <w:rsid w:val="003A3A6D"/>
    <w:rsid w:val="003A4F70"/>
    <w:rsid w:val="003A629F"/>
    <w:rsid w:val="003A796F"/>
    <w:rsid w:val="003B1853"/>
    <w:rsid w:val="003B2DFB"/>
    <w:rsid w:val="003B4FE6"/>
    <w:rsid w:val="003B6DCE"/>
    <w:rsid w:val="003C0713"/>
    <w:rsid w:val="003C5064"/>
    <w:rsid w:val="003D57AF"/>
    <w:rsid w:val="003D637B"/>
    <w:rsid w:val="003D7B2B"/>
    <w:rsid w:val="003E0379"/>
    <w:rsid w:val="003E03A4"/>
    <w:rsid w:val="003E03FA"/>
    <w:rsid w:val="003E0AC3"/>
    <w:rsid w:val="003E13C5"/>
    <w:rsid w:val="003E24DE"/>
    <w:rsid w:val="003F5181"/>
    <w:rsid w:val="00410697"/>
    <w:rsid w:val="004119E0"/>
    <w:rsid w:val="00412092"/>
    <w:rsid w:val="00426631"/>
    <w:rsid w:val="004339DB"/>
    <w:rsid w:val="00434B99"/>
    <w:rsid w:val="0043639B"/>
    <w:rsid w:val="004371DC"/>
    <w:rsid w:val="00437302"/>
    <w:rsid w:val="00437475"/>
    <w:rsid w:val="004409D5"/>
    <w:rsid w:val="0044199E"/>
    <w:rsid w:val="004439BF"/>
    <w:rsid w:val="004439D7"/>
    <w:rsid w:val="0045022E"/>
    <w:rsid w:val="00457A32"/>
    <w:rsid w:val="00460AF9"/>
    <w:rsid w:val="00461B4A"/>
    <w:rsid w:val="00463BA0"/>
    <w:rsid w:val="00464BE7"/>
    <w:rsid w:val="00466FD9"/>
    <w:rsid w:val="00467327"/>
    <w:rsid w:val="00475BEE"/>
    <w:rsid w:val="0047619B"/>
    <w:rsid w:val="00476BA2"/>
    <w:rsid w:val="00481089"/>
    <w:rsid w:val="0048149C"/>
    <w:rsid w:val="004875CE"/>
    <w:rsid w:val="00497692"/>
    <w:rsid w:val="00497E18"/>
    <w:rsid w:val="004A1012"/>
    <w:rsid w:val="004A25A1"/>
    <w:rsid w:val="004A3A18"/>
    <w:rsid w:val="004A4241"/>
    <w:rsid w:val="004A445E"/>
    <w:rsid w:val="004B6781"/>
    <w:rsid w:val="004B6838"/>
    <w:rsid w:val="004B6C13"/>
    <w:rsid w:val="004C0B70"/>
    <w:rsid w:val="004C703C"/>
    <w:rsid w:val="004C737F"/>
    <w:rsid w:val="004C78E6"/>
    <w:rsid w:val="004D7090"/>
    <w:rsid w:val="004E18BE"/>
    <w:rsid w:val="004E37FD"/>
    <w:rsid w:val="004E3A3C"/>
    <w:rsid w:val="004F22E6"/>
    <w:rsid w:val="004F3531"/>
    <w:rsid w:val="004F3F58"/>
    <w:rsid w:val="004F438B"/>
    <w:rsid w:val="004F529C"/>
    <w:rsid w:val="004F5AB6"/>
    <w:rsid w:val="00502781"/>
    <w:rsid w:val="00505EFC"/>
    <w:rsid w:val="00512545"/>
    <w:rsid w:val="00512F7A"/>
    <w:rsid w:val="00517E18"/>
    <w:rsid w:val="005202CC"/>
    <w:rsid w:val="0052380E"/>
    <w:rsid w:val="0052698D"/>
    <w:rsid w:val="00526D19"/>
    <w:rsid w:val="00531AC3"/>
    <w:rsid w:val="00531ACB"/>
    <w:rsid w:val="0053419C"/>
    <w:rsid w:val="00541E05"/>
    <w:rsid w:val="00543327"/>
    <w:rsid w:val="00543396"/>
    <w:rsid w:val="0055059D"/>
    <w:rsid w:val="0055244C"/>
    <w:rsid w:val="00552869"/>
    <w:rsid w:val="005549FC"/>
    <w:rsid w:val="0055627E"/>
    <w:rsid w:val="005577FD"/>
    <w:rsid w:val="00562F85"/>
    <w:rsid w:val="00565B34"/>
    <w:rsid w:val="00570555"/>
    <w:rsid w:val="00571C34"/>
    <w:rsid w:val="00574319"/>
    <w:rsid w:val="00583081"/>
    <w:rsid w:val="00585C1E"/>
    <w:rsid w:val="00593F44"/>
    <w:rsid w:val="0059666E"/>
    <w:rsid w:val="00596BC7"/>
    <w:rsid w:val="00597FD5"/>
    <w:rsid w:val="005A003B"/>
    <w:rsid w:val="005A0C71"/>
    <w:rsid w:val="005A1D4B"/>
    <w:rsid w:val="005A68AB"/>
    <w:rsid w:val="005B0F20"/>
    <w:rsid w:val="005B17C4"/>
    <w:rsid w:val="005B5048"/>
    <w:rsid w:val="005B69B2"/>
    <w:rsid w:val="005B7B10"/>
    <w:rsid w:val="005C267C"/>
    <w:rsid w:val="005D044C"/>
    <w:rsid w:val="005D0E34"/>
    <w:rsid w:val="005D5268"/>
    <w:rsid w:val="005D5BF9"/>
    <w:rsid w:val="005E00CB"/>
    <w:rsid w:val="005E0677"/>
    <w:rsid w:val="005E2964"/>
    <w:rsid w:val="005E379F"/>
    <w:rsid w:val="005E5B4C"/>
    <w:rsid w:val="005E7947"/>
    <w:rsid w:val="005F14ED"/>
    <w:rsid w:val="005F3CB9"/>
    <w:rsid w:val="005F56B5"/>
    <w:rsid w:val="005F694E"/>
    <w:rsid w:val="00600C34"/>
    <w:rsid w:val="00603A6E"/>
    <w:rsid w:val="00605E94"/>
    <w:rsid w:val="00606209"/>
    <w:rsid w:val="00607FEB"/>
    <w:rsid w:val="00610F05"/>
    <w:rsid w:val="00614FD5"/>
    <w:rsid w:val="00620B5B"/>
    <w:rsid w:val="0062312A"/>
    <w:rsid w:val="00623B5A"/>
    <w:rsid w:val="00623FF0"/>
    <w:rsid w:val="006240AC"/>
    <w:rsid w:val="0062444F"/>
    <w:rsid w:val="006253C9"/>
    <w:rsid w:val="0062702C"/>
    <w:rsid w:val="00627B48"/>
    <w:rsid w:val="0063184C"/>
    <w:rsid w:val="0064316D"/>
    <w:rsid w:val="00644347"/>
    <w:rsid w:val="0064663D"/>
    <w:rsid w:val="00650720"/>
    <w:rsid w:val="00651778"/>
    <w:rsid w:val="00653162"/>
    <w:rsid w:val="00657BCA"/>
    <w:rsid w:val="006616DE"/>
    <w:rsid w:val="00662466"/>
    <w:rsid w:val="00662CD7"/>
    <w:rsid w:val="00664DB0"/>
    <w:rsid w:val="00666437"/>
    <w:rsid w:val="006671B9"/>
    <w:rsid w:val="00671791"/>
    <w:rsid w:val="00671BA5"/>
    <w:rsid w:val="006738A3"/>
    <w:rsid w:val="00680E2C"/>
    <w:rsid w:val="006810F9"/>
    <w:rsid w:val="0068621D"/>
    <w:rsid w:val="00692E45"/>
    <w:rsid w:val="006943AC"/>
    <w:rsid w:val="00694E04"/>
    <w:rsid w:val="006A3184"/>
    <w:rsid w:val="006A3A42"/>
    <w:rsid w:val="006A5B79"/>
    <w:rsid w:val="006A5D9D"/>
    <w:rsid w:val="006A630B"/>
    <w:rsid w:val="006A715D"/>
    <w:rsid w:val="006A79A0"/>
    <w:rsid w:val="006B2957"/>
    <w:rsid w:val="006B3292"/>
    <w:rsid w:val="006B4356"/>
    <w:rsid w:val="006B4F60"/>
    <w:rsid w:val="006B617F"/>
    <w:rsid w:val="006B7F87"/>
    <w:rsid w:val="006C0D75"/>
    <w:rsid w:val="006C150E"/>
    <w:rsid w:val="006C4A14"/>
    <w:rsid w:val="006C6EA5"/>
    <w:rsid w:val="006C7E53"/>
    <w:rsid w:val="006D32EC"/>
    <w:rsid w:val="006D33EC"/>
    <w:rsid w:val="006D4539"/>
    <w:rsid w:val="006D5AA2"/>
    <w:rsid w:val="006D776E"/>
    <w:rsid w:val="006E7C19"/>
    <w:rsid w:val="006F24FB"/>
    <w:rsid w:val="006F2B18"/>
    <w:rsid w:val="006F505E"/>
    <w:rsid w:val="006F5720"/>
    <w:rsid w:val="006F6076"/>
    <w:rsid w:val="006F659A"/>
    <w:rsid w:val="006F6D22"/>
    <w:rsid w:val="006F745F"/>
    <w:rsid w:val="006F772C"/>
    <w:rsid w:val="00701DA4"/>
    <w:rsid w:val="00715129"/>
    <w:rsid w:val="00724088"/>
    <w:rsid w:val="00724322"/>
    <w:rsid w:val="007244B6"/>
    <w:rsid w:val="00726DC8"/>
    <w:rsid w:val="007318D7"/>
    <w:rsid w:val="00732584"/>
    <w:rsid w:val="00732CD0"/>
    <w:rsid w:val="00733BF1"/>
    <w:rsid w:val="00735B55"/>
    <w:rsid w:val="007377B7"/>
    <w:rsid w:val="007433E3"/>
    <w:rsid w:val="00746F63"/>
    <w:rsid w:val="007470CC"/>
    <w:rsid w:val="007522C8"/>
    <w:rsid w:val="0075262A"/>
    <w:rsid w:val="00752DCA"/>
    <w:rsid w:val="0075326F"/>
    <w:rsid w:val="00757B3C"/>
    <w:rsid w:val="00760517"/>
    <w:rsid w:val="00762A88"/>
    <w:rsid w:val="0076659B"/>
    <w:rsid w:val="007666DD"/>
    <w:rsid w:val="007747FE"/>
    <w:rsid w:val="0077631C"/>
    <w:rsid w:val="007838D5"/>
    <w:rsid w:val="00784EB9"/>
    <w:rsid w:val="00790159"/>
    <w:rsid w:val="00790AFB"/>
    <w:rsid w:val="007942ED"/>
    <w:rsid w:val="00797189"/>
    <w:rsid w:val="007A57D1"/>
    <w:rsid w:val="007B0873"/>
    <w:rsid w:val="007B0D2A"/>
    <w:rsid w:val="007B1EB6"/>
    <w:rsid w:val="007B4929"/>
    <w:rsid w:val="007B70D5"/>
    <w:rsid w:val="007C2891"/>
    <w:rsid w:val="007C3AB5"/>
    <w:rsid w:val="007C46B3"/>
    <w:rsid w:val="007C74B9"/>
    <w:rsid w:val="007D257F"/>
    <w:rsid w:val="007D282A"/>
    <w:rsid w:val="007D73CC"/>
    <w:rsid w:val="007E21BC"/>
    <w:rsid w:val="007F081A"/>
    <w:rsid w:val="007F0B5F"/>
    <w:rsid w:val="007F1807"/>
    <w:rsid w:val="008003A8"/>
    <w:rsid w:val="0080367F"/>
    <w:rsid w:val="00803BBC"/>
    <w:rsid w:val="00805043"/>
    <w:rsid w:val="00810056"/>
    <w:rsid w:val="0081056B"/>
    <w:rsid w:val="008110B7"/>
    <w:rsid w:val="00812712"/>
    <w:rsid w:val="0081562D"/>
    <w:rsid w:val="0081601F"/>
    <w:rsid w:val="00817FAA"/>
    <w:rsid w:val="00822525"/>
    <w:rsid w:val="00822CF6"/>
    <w:rsid w:val="008230E3"/>
    <w:rsid w:val="008249CA"/>
    <w:rsid w:val="008254CF"/>
    <w:rsid w:val="008274AB"/>
    <w:rsid w:val="008333DE"/>
    <w:rsid w:val="00840268"/>
    <w:rsid w:val="00840CFF"/>
    <w:rsid w:val="00845EE4"/>
    <w:rsid w:val="00847384"/>
    <w:rsid w:val="00856AFB"/>
    <w:rsid w:val="00856B42"/>
    <w:rsid w:val="00861785"/>
    <w:rsid w:val="00862566"/>
    <w:rsid w:val="00864CE7"/>
    <w:rsid w:val="00871EB2"/>
    <w:rsid w:val="00872EC0"/>
    <w:rsid w:val="00873937"/>
    <w:rsid w:val="00873DA5"/>
    <w:rsid w:val="00875B3B"/>
    <w:rsid w:val="00881008"/>
    <w:rsid w:val="00886289"/>
    <w:rsid w:val="00886C70"/>
    <w:rsid w:val="0089170A"/>
    <w:rsid w:val="008921BE"/>
    <w:rsid w:val="00893B47"/>
    <w:rsid w:val="00893EE0"/>
    <w:rsid w:val="008943C6"/>
    <w:rsid w:val="00897CAA"/>
    <w:rsid w:val="008A08E1"/>
    <w:rsid w:val="008A1F91"/>
    <w:rsid w:val="008A2F07"/>
    <w:rsid w:val="008A3B7F"/>
    <w:rsid w:val="008A4DE2"/>
    <w:rsid w:val="008A5B79"/>
    <w:rsid w:val="008A67DC"/>
    <w:rsid w:val="008A710A"/>
    <w:rsid w:val="008B4F71"/>
    <w:rsid w:val="008B6401"/>
    <w:rsid w:val="008C34B6"/>
    <w:rsid w:val="008C5A67"/>
    <w:rsid w:val="008D33E3"/>
    <w:rsid w:val="008D7063"/>
    <w:rsid w:val="008D7F2C"/>
    <w:rsid w:val="008E1078"/>
    <w:rsid w:val="008E1490"/>
    <w:rsid w:val="008E2988"/>
    <w:rsid w:val="008E5035"/>
    <w:rsid w:val="008F1609"/>
    <w:rsid w:val="008F179A"/>
    <w:rsid w:val="008F254A"/>
    <w:rsid w:val="008F3E6C"/>
    <w:rsid w:val="008F40B1"/>
    <w:rsid w:val="0090093C"/>
    <w:rsid w:val="00907E5E"/>
    <w:rsid w:val="009100A6"/>
    <w:rsid w:val="00911EF7"/>
    <w:rsid w:val="00916171"/>
    <w:rsid w:val="0091728F"/>
    <w:rsid w:val="009242DE"/>
    <w:rsid w:val="00924A6A"/>
    <w:rsid w:val="00927F4C"/>
    <w:rsid w:val="00931CC6"/>
    <w:rsid w:val="0093208E"/>
    <w:rsid w:val="00935C50"/>
    <w:rsid w:val="009367A3"/>
    <w:rsid w:val="00936899"/>
    <w:rsid w:val="00936A89"/>
    <w:rsid w:val="009409CB"/>
    <w:rsid w:val="00942028"/>
    <w:rsid w:val="009427BD"/>
    <w:rsid w:val="00942BEC"/>
    <w:rsid w:val="009433A0"/>
    <w:rsid w:val="009444BE"/>
    <w:rsid w:val="009449F2"/>
    <w:rsid w:val="00950BBB"/>
    <w:rsid w:val="00954FD6"/>
    <w:rsid w:val="009557FA"/>
    <w:rsid w:val="0095763B"/>
    <w:rsid w:val="00957C61"/>
    <w:rsid w:val="00961411"/>
    <w:rsid w:val="009639D5"/>
    <w:rsid w:val="009746F1"/>
    <w:rsid w:val="0097623E"/>
    <w:rsid w:val="00983384"/>
    <w:rsid w:val="00986E96"/>
    <w:rsid w:val="0099170E"/>
    <w:rsid w:val="0099397D"/>
    <w:rsid w:val="009A0D2F"/>
    <w:rsid w:val="009A3D28"/>
    <w:rsid w:val="009A58A5"/>
    <w:rsid w:val="009A594C"/>
    <w:rsid w:val="009B03BB"/>
    <w:rsid w:val="009B03F0"/>
    <w:rsid w:val="009B3394"/>
    <w:rsid w:val="009C4C01"/>
    <w:rsid w:val="009C7529"/>
    <w:rsid w:val="009D286C"/>
    <w:rsid w:val="009E0263"/>
    <w:rsid w:val="009E3EED"/>
    <w:rsid w:val="009F4684"/>
    <w:rsid w:val="009F6CA3"/>
    <w:rsid w:val="00A01AB8"/>
    <w:rsid w:val="00A023F2"/>
    <w:rsid w:val="00A04E62"/>
    <w:rsid w:val="00A1006E"/>
    <w:rsid w:val="00A10557"/>
    <w:rsid w:val="00A11B85"/>
    <w:rsid w:val="00A1445C"/>
    <w:rsid w:val="00A17B76"/>
    <w:rsid w:val="00A21B39"/>
    <w:rsid w:val="00A258DB"/>
    <w:rsid w:val="00A27F38"/>
    <w:rsid w:val="00A3148F"/>
    <w:rsid w:val="00A31ECD"/>
    <w:rsid w:val="00A321AD"/>
    <w:rsid w:val="00A34836"/>
    <w:rsid w:val="00A4049C"/>
    <w:rsid w:val="00A46F92"/>
    <w:rsid w:val="00A47B88"/>
    <w:rsid w:val="00A47FE6"/>
    <w:rsid w:val="00A519A1"/>
    <w:rsid w:val="00A61795"/>
    <w:rsid w:val="00A62CDF"/>
    <w:rsid w:val="00A63BD1"/>
    <w:rsid w:val="00A70971"/>
    <w:rsid w:val="00A73238"/>
    <w:rsid w:val="00A752F4"/>
    <w:rsid w:val="00A76DE1"/>
    <w:rsid w:val="00A81F1A"/>
    <w:rsid w:val="00A82595"/>
    <w:rsid w:val="00A828CD"/>
    <w:rsid w:val="00A95732"/>
    <w:rsid w:val="00A978FB"/>
    <w:rsid w:val="00AA2BDD"/>
    <w:rsid w:val="00AA3208"/>
    <w:rsid w:val="00AA45F9"/>
    <w:rsid w:val="00AA5502"/>
    <w:rsid w:val="00AB0F1F"/>
    <w:rsid w:val="00AB32F8"/>
    <w:rsid w:val="00AB3C38"/>
    <w:rsid w:val="00AB5E10"/>
    <w:rsid w:val="00AB6882"/>
    <w:rsid w:val="00AC1632"/>
    <w:rsid w:val="00AC3A8E"/>
    <w:rsid w:val="00AC62C4"/>
    <w:rsid w:val="00AD2047"/>
    <w:rsid w:val="00AD5DB4"/>
    <w:rsid w:val="00AD6DB9"/>
    <w:rsid w:val="00AE0D78"/>
    <w:rsid w:val="00AE77BE"/>
    <w:rsid w:val="00AF0112"/>
    <w:rsid w:val="00AF1B95"/>
    <w:rsid w:val="00AF285E"/>
    <w:rsid w:val="00AF3F96"/>
    <w:rsid w:val="00AF4DEB"/>
    <w:rsid w:val="00B05FE4"/>
    <w:rsid w:val="00B06056"/>
    <w:rsid w:val="00B0658E"/>
    <w:rsid w:val="00B1070B"/>
    <w:rsid w:val="00B11A49"/>
    <w:rsid w:val="00B1449C"/>
    <w:rsid w:val="00B146D5"/>
    <w:rsid w:val="00B15FF8"/>
    <w:rsid w:val="00B163B8"/>
    <w:rsid w:val="00B24404"/>
    <w:rsid w:val="00B25C3B"/>
    <w:rsid w:val="00B277CF"/>
    <w:rsid w:val="00B33FB9"/>
    <w:rsid w:val="00B36A5D"/>
    <w:rsid w:val="00B401D3"/>
    <w:rsid w:val="00B40C7D"/>
    <w:rsid w:val="00B46F22"/>
    <w:rsid w:val="00B4771C"/>
    <w:rsid w:val="00B51EE2"/>
    <w:rsid w:val="00B537CD"/>
    <w:rsid w:val="00B5612B"/>
    <w:rsid w:val="00B57DA9"/>
    <w:rsid w:val="00B617B4"/>
    <w:rsid w:val="00B61958"/>
    <w:rsid w:val="00B62EE8"/>
    <w:rsid w:val="00B6306D"/>
    <w:rsid w:val="00B679F2"/>
    <w:rsid w:val="00B72B0D"/>
    <w:rsid w:val="00B82834"/>
    <w:rsid w:val="00B90155"/>
    <w:rsid w:val="00B92FB1"/>
    <w:rsid w:val="00B954A2"/>
    <w:rsid w:val="00BA2F86"/>
    <w:rsid w:val="00BA32E8"/>
    <w:rsid w:val="00BA57A4"/>
    <w:rsid w:val="00BB1109"/>
    <w:rsid w:val="00BB1F4E"/>
    <w:rsid w:val="00BC252E"/>
    <w:rsid w:val="00BC3171"/>
    <w:rsid w:val="00BC3F70"/>
    <w:rsid w:val="00BD001A"/>
    <w:rsid w:val="00BD0CF2"/>
    <w:rsid w:val="00BD1173"/>
    <w:rsid w:val="00BD153C"/>
    <w:rsid w:val="00BD1F0A"/>
    <w:rsid w:val="00BD2847"/>
    <w:rsid w:val="00BD4582"/>
    <w:rsid w:val="00BD6BAD"/>
    <w:rsid w:val="00BD7571"/>
    <w:rsid w:val="00BE0712"/>
    <w:rsid w:val="00BE2EA1"/>
    <w:rsid w:val="00BE4F5B"/>
    <w:rsid w:val="00BE4FE3"/>
    <w:rsid w:val="00BE59B1"/>
    <w:rsid w:val="00BE5DB5"/>
    <w:rsid w:val="00BE60C1"/>
    <w:rsid w:val="00BE6FAB"/>
    <w:rsid w:val="00BF0901"/>
    <w:rsid w:val="00BF59E6"/>
    <w:rsid w:val="00BF6546"/>
    <w:rsid w:val="00C017EE"/>
    <w:rsid w:val="00C039CA"/>
    <w:rsid w:val="00C03E46"/>
    <w:rsid w:val="00C044B6"/>
    <w:rsid w:val="00C0455B"/>
    <w:rsid w:val="00C05563"/>
    <w:rsid w:val="00C07CC4"/>
    <w:rsid w:val="00C145F1"/>
    <w:rsid w:val="00C14E7C"/>
    <w:rsid w:val="00C333E8"/>
    <w:rsid w:val="00C345C7"/>
    <w:rsid w:val="00C35A0E"/>
    <w:rsid w:val="00C37355"/>
    <w:rsid w:val="00C41DB4"/>
    <w:rsid w:val="00C46135"/>
    <w:rsid w:val="00C50590"/>
    <w:rsid w:val="00C510AE"/>
    <w:rsid w:val="00C5498C"/>
    <w:rsid w:val="00C54C9A"/>
    <w:rsid w:val="00C55683"/>
    <w:rsid w:val="00C564FB"/>
    <w:rsid w:val="00C56A06"/>
    <w:rsid w:val="00C61963"/>
    <w:rsid w:val="00C64F7D"/>
    <w:rsid w:val="00C66FA8"/>
    <w:rsid w:val="00C70190"/>
    <w:rsid w:val="00C70CBB"/>
    <w:rsid w:val="00C72760"/>
    <w:rsid w:val="00C7362A"/>
    <w:rsid w:val="00C76623"/>
    <w:rsid w:val="00C7759A"/>
    <w:rsid w:val="00C7788C"/>
    <w:rsid w:val="00C81D06"/>
    <w:rsid w:val="00C81D3C"/>
    <w:rsid w:val="00C820DE"/>
    <w:rsid w:val="00C82ABE"/>
    <w:rsid w:val="00C84E77"/>
    <w:rsid w:val="00C86391"/>
    <w:rsid w:val="00C93FBD"/>
    <w:rsid w:val="00C944F0"/>
    <w:rsid w:val="00C9769D"/>
    <w:rsid w:val="00CA57C4"/>
    <w:rsid w:val="00CA6424"/>
    <w:rsid w:val="00CA6D4D"/>
    <w:rsid w:val="00CB1408"/>
    <w:rsid w:val="00CB1629"/>
    <w:rsid w:val="00CB1C4D"/>
    <w:rsid w:val="00CC2A8A"/>
    <w:rsid w:val="00CC7CD2"/>
    <w:rsid w:val="00CD1AF1"/>
    <w:rsid w:val="00CD27DA"/>
    <w:rsid w:val="00CD35DA"/>
    <w:rsid w:val="00CE1391"/>
    <w:rsid w:val="00CE2985"/>
    <w:rsid w:val="00CE68D9"/>
    <w:rsid w:val="00CF0EB8"/>
    <w:rsid w:val="00CF0F69"/>
    <w:rsid w:val="00CF1D8C"/>
    <w:rsid w:val="00CF4DAF"/>
    <w:rsid w:val="00CF659E"/>
    <w:rsid w:val="00CF7FA3"/>
    <w:rsid w:val="00D00421"/>
    <w:rsid w:val="00D02553"/>
    <w:rsid w:val="00D10E7E"/>
    <w:rsid w:val="00D12CBE"/>
    <w:rsid w:val="00D1410C"/>
    <w:rsid w:val="00D160DD"/>
    <w:rsid w:val="00D16785"/>
    <w:rsid w:val="00D20997"/>
    <w:rsid w:val="00D26124"/>
    <w:rsid w:val="00D327D9"/>
    <w:rsid w:val="00D32A8F"/>
    <w:rsid w:val="00D3413C"/>
    <w:rsid w:val="00D34C86"/>
    <w:rsid w:val="00D4016F"/>
    <w:rsid w:val="00D41546"/>
    <w:rsid w:val="00D43731"/>
    <w:rsid w:val="00D438BF"/>
    <w:rsid w:val="00D449DF"/>
    <w:rsid w:val="00D47842"/>
    <w:rsid w:val="00D50B3D"/>
    <w:rsid w:val="00D55416"/>
    <w:rsid w:val="00D60F43"/>
    <w:rsid w:val="00D61011"/>
    <w:rsid w:val="00D708EF"/>
    <w:rsid w:val="00D70CE9"/>
    <w:rsid w:val="00D71CCE"/>
    <w:rsid w:val="00D71FC1"/>
    <w:rsid w:val="00D72448"/>
    <w:rsid w:val="00D7263D"/>
    <w:rsid w:val="00D74C70"/>
    <w:rsid w:val="00D8156B"/>
    <w:rsid w:val="00D8381B"/>
    <w:rsid w:val="00D85843"/>
    <w:rsid w:val="00D86420"/>
    <w:rsid w:val="00DA08AD"/>
    <w:rsid w:val="00DA0EFF"/>
    <w:rsid w:val="00DA1179"/>
    <w:rsid w:val="00DB1CE0"/>
    <w:rsid w:val="00DB2441"/>
    <w:rsid w:val="00DB305F"/>
    <w:rsid w:val="00DB640B"/>
    <w:rsid w:val="00DB7E71"/>
    <w:rsid w:val="00DC00C6"/>
    <w:rsid w:val="00DC3584"/>
    <w:rsid w:val="00DC5E98"/>
    <w:rsid w:val="00DD3C4C"/>
    <w:rsid w:val="00DE1BD3"/>
    <w:rsid w:val="00DE1FF1"/>
    <w:rsid w:val="00DE2AC7"/>
    <w:rsid w:val="00DE7705"/>
    <w:rsid w:val="00DF369B"/>
    <w:rsid w:val="00DF71C0"/>
    <w:rsid w:val="00E07FE4"/>
    <w:rsid w:val="00E10D0A"/>
    <w:rsid w:val="00E12BD9"/>
    <w:rsid w:val="00E1749F"/>
    <w:rsid w:val="00E21602"/>
    <w:rsid w:val="00E21A3E"/>
    <w:rsid w:val="00E24F7F"/>
    <w:rsid w:val="00E25AB7"/>
    <w:rsid w:val="00E3037E"/>
    <w:rsid w:val="00E31B6F"/>
    <w:rsid w:val="00E36992"/>
    <w:rsid w:val="00E410A0"/>
    <w:rsid w:val="00E41819"/>
    <w:rsid w:val="00E45C57"/>
    <w:rsid w:val="00E47F9D"/>
    <w:rsid w:val="00E5354B"/>
    <w:rsid w:val="00E5648E"/>
    <w:rsid w:val="00E57CD2"/>
    <w:rsid w:val="00E603A5"/>
    <w:rsid w:val="00E624EB"/>
    <w:rsid w:val="00E64A3A"/>
    <w:rsid w:val="00E6598F"/>
    <w:rsid w:val="00E86BF7"/>
    <w:rsid w:val="00E86F96"/>
    <w:rsid w:val="00E87A7C"/>
    <w:rsid w:val="00E90DB2"/>
    <w:rsid w:val="00E92020"/>
    <w:rsid w:val="00E94434"/>
    <w:rsid w:val="00EA091D"/>
    <w:rsid w:val="00EA19B4"/>
    <w:rsid w:val="00EA777F"/>
    <w:rsid w:val="00EB2C6F"/>
    <w:rsid w:val="00EB3AE5"/>
    <w:rsid w:val="00EB3C46"/>
    <w:rsid w:val="00EB72D8"/>
    <w:rsid w:val="00EB73DB"/>
    <w:rsid w:val="00EC534D"/>
    <w:rsid w:val="00EC65DD"/>
    <w:rsid w:val="00ED1F4E"/>
    <w:rsid w:val="00ED2150"/>
    <w:rsid w:val="00ED30DF"/>
    <w:rsid w:val="00ED6372"/>
    <w:rsid w:val="00EE4BC6"/>
    <w:rsid w:val="00EE56BD"/>
    <w:rsid w:val="00EE69C0"/>
    <w:rsid w:val="00EE75D7"/>
    <w:rsid w:val="00EF3C9D"/>
    <w:rsid w:val="00EF6A0E"/>
    <w:rsid w:val="00F0001C"/>
    <w:rsid w:val="00F013F6"/>
    <w:rsid w:val="00F05B42"/>
    <w:rsid w:val="00F06334"/>
    <w:rsid w:val="00F24AF9"/>
    <w:rsid w:val="00F27D0E"/>
    <w:rsid w:val="00F317BF"/>
    <w:rsid w:val="00F31A9F"/>
    <w:rsid w:val="00F33756"/>
    <w:rsid w:val="00F34C6B"/>
    <w:rsid w:val="00F36F51"/>
    <w:rsid w:val="00F4120C"/>
    <w:rsid w:val="00F42C94"/>
    <w:rsid w:val="00F43627"/>
    <w:rsid w:val="00F44229"/>
    <w:rsid w:val="00F50362"/>
    <w:rsid w:val="00F5175A"/>
    <w:rsid w:val="00F54B71"/>
    <w:rsid w:val="00F54D86"/>
    <w:rsid w:val="00F5645A"/>
    <w:rsid w:val="00F56DA4"/>
    <w:rsid w:val="00F619A3"/>
    <w:rsid w:val="00F619EC"/>
    <w:rsid w:val="00F63969"/>
    <w:rsid w:val="00F667CB"/>
    <w:rsid w:val="00F700B1"/>
    <w:rsid w:val="00F7028A"/>
    <w:rsid w:val="00F70E89"/>
    <w:rsid w:val="00F725AA"/>
    <w:rsid w:val="00F74854"/>
    <w:rsid w:val="00F75A1C"/>
    <w:rsid w:val="00F769D4"/>
    <w:rsid w:val="00F82929"/>
    <w:rsid w:val="00F84821"/>
    <w:rsid w:val="00F91D2D"/>
    <w:rsid w:val="00F92844"/>
    <w:rsid w:val="00F96F76"/>
    <w:rsid w:val="00FA0E2D"/>
    <w:rsid w:val="00FA4F63"/>
    <w:rsid w:val="00FA617A"/>
    <w:rsid w:val="00FA637D"/>
    <w:rsid w:val="00FA6717"/>
    <w:rsid w:val="00FB4AB1"/>
    <w:rsid w:val="00FB58FF"/>
    <w:rsid w:val="00FB5C99"/>
    <w:rsid w:val="00FB6D72"/>
    <w:rsid w:val="00FC1C50"/>
    <w:rsid w:val="00FD7A82"/>
    <w:rsid w:val="00FE0066"/>
    <w:rsid w:val="00FE1553"/>
    <w:rsid w:val="00FE2F66"/>
    <w:rsid w:val="00FE474F"/>
    <w:rsid w:val="00FE4BDD"/>
    <w:rsid w:val="00FF3BD7"/>
    <w:rsid w:val="00FF566F"/>
    <w:rsid w:val="00FF60FA"/>
    <w:rsid w:val="00FF6E0B"/>
    <w:rsid w:val="0115131B"/>
    <w:rsid w:val="01451970"/>
    <w:rsid w:val="014D58C2"/>
    <w:rsid w:val="0159332C"/>
    <w:rsid w:val="01813AAA"/>
    <w:rsid w:val="019649D3"/>
    <w:rsid w:val="01B81F98"/>
    <w:rsid w:val="023B604C"/>
    <w:rsid w:val="024B59EF"/>
    <w:rsid w:val="025B0F77"/>
    <w:rsid w:val="026B583F"/>
    <w:rsid w:val="02770B3C"/>
    <w:rsid w:val="028739E5"/>
    <w:rsid w:val="028C3ABD"/>
    <w:rsid w:val="02D95F45"/>
    <w:rsid w:val="034172A0"/>
    <w:rsid w:val="034B31FD"/>
    <w:rsid w:val="038E36B4"/>
    <w:rsid w:val="03B1218E"/>
    <w:rsid w:val="03D60F2F"/>
    <w:rsid w:val="04144EF7"/>
    <w:rsid w:val="041B7772"/>
    <w:rsid w:val="044B17E7"/>
    <w:rsid w:val="048B7513"/>
    <w:rsid w:val="04952CB3"/>
    <w:rsid w:val="04F2372E"/>
    <w:rsid w:val="052C7305"/>
    <w:rsid w:val="053C2829"/>
    <w:rsid w:val="05740722"/>
    <w:rsid w:val="05B568E2"/>
    <w:rsid w:val="060A449F"/>
    <w:rsid w:val="064C5F5A"/>
    <w:rsid w:val="065A1F87"/>
    <w:rsid w:val="06A13635"/>
    <w:rsid w:val="06BA346B"/>
    <w:rsid w:val="070C60B7"/>
    <w:rsid w:val="07244646"/>
    <w:rsid w:val="07362BEF"/>
    <w:rsid w:val="07601CD7"/>
    <w:rsid w:val="076C0FA8"/>
    <w:rsid w:val="078F26D1"/>
    <w:rsid w:val="07904AA3"/>
    <w:rsid w:val="079F4160"/>
    <w:rsid w:val="07AD68D1"/>
    <w:rsid w:val="07CC7DE6"/>
    <w:rsid w:val="07E0237B"/>
    <w:rsid w:val="0848689E"/>
    <w:rsid w:val="08870650"/>
    <w:rsid w:val="088965EF"/>
    <w:rsid w:val="088C503A"/>
    <w:rsid w:val="08B4188C"/>
    <w:rsid w:val="08CB2ADD"/>
    <w:rsid w:val="08CE008F"/>
    <w:rsid w:val="092A33AA"/>
    <w:rsid w:val="092D4C97"/>
    <w:rsid w:val="09346B93"/>
    <w:rsid w:val="09CD4512"/>
    <w:rsid w:val="0A017571"/>
    <w:rsid w:val="0A14374B"/>
    <w:rsid w:val="0A661610"/>
    <w:rsid w:val="0A826D5D"/>
    <w:rsid w:val="0A875395"/>
    <w:rsid w:val="0A9009E6"/>
    <w:rsid w:val="0AFB0037"/>
    <w:rsid w:val="0B1157F3"/>
    <w:rsid w:val="0B50064E"/>
    <w:rsid w:val="0B5E759C"/>
    <w:rsid w:val="0BED1444"/>
    <w:rsid w:val="0C4F5947"/>
    <w:rsid w:val="0C99313E"/>
    <w:rsid w:val="0CA91733"/>
    <w:rsid w:val="0CCD4B8E"/>
    <w:rsid w:val="0CD701B8"/>
    <w:rsid w:val="0D452C96"/>
    <w:rsid w:val="0D626BAE"/>
    <w:rsid w:val="0D6860CB"/>
    <w:rsid w:val="0DA82032"/>
    <w:rsid w:val="0E01162D"/>
    <w:rsid w:val="0E3A4ED3"/>
    <w:rsid w:val="0E623A90"/>
    <w:rsid w:val="0E72755E"/>
    <w:rsid w:val="0E8B05DA"/>
    <w:rsid w:val="0EB119A7"/>
    <w:rsid w:val="0ECA2587"/>
    <w:rsid w:val="0EF82DCB"/>
    <w:rsid w:val="0F1512DF"/>
    <w:rsid w:val="0F226E34"/>
    <w:rsid w:val="0F256317"/>
    <w:rsid w:val="0F31706E"/>
    <w:rsid w:val="0F352D45"/>
    <w:rsid w:val="0FC0315E"/>
    <w:rsid w:val="0FDB7B77"/>
    <w:rsid w:val="0FE05625"/>
    <w:rsid w:val="0FFE1AF1"/>
    <w:rsid w:val="10997802"/>
    <w:rsid w:val="10CF2E2E"/>
    <w:rsid w:val="10E80264"/>
    <w:rsid w:val="10EA0DF2"/>
    <w:rsid w:val="10FC45FF"/>
    <w:rsid w:val="11542028"/>
    <w:rsid w:val="11E070B4"/>
    <w:rsid w:val="11EE45FC"/>
    <w:rsid w:val="11F13A77"/>
    <w:rsid w:val="120E38D2"/>
    <w:rsid w:val="123840C9"/>
    <w:rsid w:val="124C5059"/>
    <w:rsid w:val="1294187C"/>
    <w:rsid w:val="12B66128"/>
    <w:rsid w:val="12B83F1E"/>
    <w:rsid w:val="12D27BEC"/>
    <w:rsid w:val="13514766"/>
    <w:rsid w:val="136D599B"/>
    <w:rsid w:val="139F1C36"/>
    <w:rsid w:val="13C847C3"/>
    <w:rsid w:val="13CB6984"/>
    <w:rsid w:val="143F51D0"/>
    <w:rsid w:val="144633BC"/>
    <w:rsid w:val="14613B33"/>
    <w:rsid w:val="148C5809"/>
    <w:rsid w:val="149E4757"/>
    <w:rsid w:val="14BD37FB"/>
    <w:rsid w:val="155B190B"/>
    <w:rsid w:val="15BF7D50"/>
    <w:rsid w:val="15DA1D43"/>
    <w:rsid w:val="15F916EF"/>
    <w:rsid w:val="160B4677"/>
    <w:rsid w:val="162829A0"/>
    <w:rsid w:val="163D21EC"/>
    <w:rsid w:val="16832508"/>
    <w:rsid w:val="16D50A48"/>
    <w:rsid w:val="1704143E"/>
    <w:rsid w:val="17A72E68"/>
    <w:rsid w:val="17ED2531"/>
    <w:rsid w:val="18104A18"/>
    <w:rsid w:val="18185F71"/>
    <w:rsid w:val="188F546D"/>
    <w:rsid w:val="18C7151D"/>
    <w:rsid w:val="19175CFE"/>
    <w:rsid w:val="191C4A58"/>
    <w:rsid w:val="19352BBA"/>
    <w:rsid w:val="1943210F"/>
    <w:rsid w:val="196D25FA"/>
    <w:rsid w:val="198F2FD2"/>
    <w:rsid w:val="19A2603D"/>
    <w:rsid w:val="19B57547"/>
    <w:rsid w:val="19DE2470"/>
    <w:rsid w:val="19E27E66"/>
    <w:rsid w:val="19ED6B46"/>
    <w:rsid w:val="1A6B762A"/>
    <w:rsid w:val="1A766500"/>
    <w:rsid w:val="1A917D47"/>
    <w:rsid w:val="1ABC3C5A"/>
    <w:rsid w:val="1B154000"/>
    <w:rsid w:val="1B245A93"/>
    <w:rsid w:val="1B2653EF"/>
    <w:rsid w:val="1B385B8A"/>
    <w:rsid w:val="1B642683"/>
    <w:rsid w:val="1B9E1DD0"/>
    <w:rsid w:val="1BE45BB3"/>
    <w:rsid w:val="1C311E08"/>
    <w:rsid w:val="1C321825"/>
    <w:rsid w:val="1C4A069C"/>
    <w:rsid w:val="1C7B6309"/>
    <w:rsid w:val="1C887521"/>
    <w:rsid w:val="1C9261C5"/>
    <w:rsid w:val="1CDF5A48"/>
    <w:rsid w:val="1CE9117E"/>
    <w:rsid w:val="1CF139D8"/>
    <w:rsid w:val="1CFA2A91"/>
    <w:rsid w:val="1CFD0A7C"/>
    <w:rsid w:val="1CFE51AF"/>
    <w:rsid w:val="1D132CA0"/>
    <w:rsid w:val="1D39162D"/>
    <w:rsid w:val="1D6E3522"/>
    <w:rsid w:val="1DC64F19"/>
    <w:rsid w:val="1DFF7DDB"/>
    <w:rsid w:val="1E037A41"/>
    <w:rsid w:val="1E1E082B"/>
    <w:rsid w:val="1E526437"/>
    <w:rsid w:val="1E6860FF"/>
    <w:rsid w:val="1E766728"/>
    <w:rsid w:val="1E8D40EC"/>
    <w:rsid w:val="1E9909AA"/>
    <w:rsid w:val="1EB03B3B"/>
    <w:rsid w:val="1ECC5E73"/>
    <w:rsid w:val="1F56289E"/>
    <w:rsid w:val="1F606764"/>
    <w:rsid w:val="1F884B54"/>
    <w:rsid w:val="1F8C78AB"/>
    <w:rsid w:val="1FBE4D2D"/>
    <w:rsid w:val="1FD10D03"/>
    <w:rsid w:val="1FE01D12"/>
    <w:rsid w:val="1FE55B40"/>
    <w:rsid w:val="1FEB2C88"/>
    <w:rsid w:val="200333AE"/>
    <w:rsid w:val="20381819"/>
    <w:rsid w:val="20411FCE"/>
    <w:rsid w:val="20414CA1"/>
    <w:rsid w:val="20475D93"/>
    <w:rsid w:val="20AB3983"/>
    <w:rsid w:val="20AE74C2"/>
    <w:rsid w:val="20CD7A3D"/>
    <w:rsid w:val="20D85CA1"/>
    <w:rsid w:val="212539AB"/>
    <w:rsid w:val="214D5C56"/>
    <w:rsid w:val="217E7D47"/>
    <w:rsid w:val="218F5BBA"/>
    <w:rsid w:val="21CE6BFC"/>
    <w:rsid w:val="22243595"/>
    <w:rsid w:val="22BF5778"/>
    <w:rsid w:val="22F95C5D"/>
    <w:rsid w:val="23145A01"/>
    <w:rsid w:val="234A19DF"/>
    <w:rsid w:val="23C7793E"/>
    <w:rsid w:val="23C90742"/>
    <w:rsid w:val="23E302FC"/>
    <w:rsid w:val="24405175"/>
    <w:rsid w:val="24476679"/>
    <w:rsid w:val="24607BD2"/>
    <w:rsid w:val="247D1A44"/>
    <w:rsid w:val="248A6F0B"/>
    <w:rsid w:val="24A21070"/>
    <w:rsid w:val="24D1264B"/>
    <w:rsid w:val="24D50BFC"/>
    <w:rsid w:val="24FA1742"/>
    <w:rsid w:val="25175258"/>
    <w:rsid w:val="255652B4"/>
    <w:rsid w:val="257D3351"/>
    <w:rsid w:val="25974067"/>
    <w:rsid w:val="25F03271"/>
    <w:rsid w:val="25F84015"/>
    <w:rsid w:val="262F3A3E"/>
    <w:rsid w:val="26526135"/>
    <w:rsid w:val="26723EA0"/>
    <w:rsid w:val="26C848AF"/>
    <w:rsid w:val="26D31172"/>
    <w:rsid w:val="27062977"/>
    <w:rsid w:val="27571C87"/>
    <w:rsid w:val="276B1E8B"/>
    <w:rsid w:val="277108CB"/>
    <w:rsid w:val="27844867"/>
    <w:rsid w:val="27892169"/>
    <w:rsid w:val="27920855"/>
    <w:rsid w:val="27B4132B"/>
    <w:rsid w:val="28157C40"/>
    <w:rsid w:val="281B5375"/>
    <w:rsid w:val="2824542C"/>
    <w:rsid w:val="28372084"/>
    <w:rsid w:val="28622E06"/>
    <w:rsid w:val="286B2565"/>
    <w:rsid w:val="287C6C3A"/>
    <w:rsid w:val="28886D57"/>
    <w:rsid w:val="28A705B3"/>
    <w:rsid w:val="28CA5658"/>
    <w:rsid w:val="29130A27"/>
    <w:rsid w:val="29210099"/>
    <w:rsid w:val="29220923"/>
    <w:rsid w:val="29485363"/>
    <w:rsid w:val="294D0D20"/>
    <w:rsid w:val="295C5ABC"/>
    <w:rsid w:val="29DD674E"/>
    <w:rsid w:val="29EB6CDD"/>
    <w:rsid w:val="29EE7698"/>
    <w:rsid w:val="29EF250D"/>
    <w:rsid w:val="29F42CFB"/>
    <w:rsid w:val="2A470FAA"/>
    <w:rsid w:val="2A874242"/>
    <w:rsid w:val="2A901110"/>
    <w:rsid w:val="2AF25235"/>
    <w:rsid w:val="2AF376AF"/>
    <w:rsid w:val="2B21574D"/>
    <w:rsid w:val="2B330C07"/>
    <w:rsid w:val="2B4443B7"/>
    <w:rsid w:val="2B946EED"/>
    <w:rsid w:val="2BB136A6"/>
    <w:rsid w:val="2BC82084"/>
    <w:rsid w:val="2BD86057"/>
    <w:rsid w:val="2C073947"/>
    <w:rsid w:val="2C67792A"/>
    <w:rsid w:val="2CB32213"/>
    <w:rsid w:val="2CB54ADF"/>
    <w:rsid w:val="2CB80CCC"/>
    <w:rsid w:val="2CD51023"/>
    <w:rsid w:val="2CF310AD"/>
    <w:rsid w:val="2D040DC1"/>
    <w:rsid w:val="2D281A9A"/>
    <w:rsid w:val="2D5013D0"/>
    <w:rsid w:val="2D6512CA"/>
    <w:rsid w:val="2E1D72D7"/>
    <w:rsid w:val="2E2C3D01"/>
    <w:rsid w:val="2E525A73"/>
    <w:rsid w:val="2ECF58EF"/>
    <w:rsid w:val="2ED607E7"/>
    <w:rsid w:val="2EF11441"/>
    <w:rsid w:val="2EF44867"/>
    <w:rsid w:val="2EF6166D"/>
    <w:rsid w:val="2F7C4D40"/>
    <w:rsid w:val="2F9C6A30"/>
    <w:rsid w:val="2FC82575"/>
    <w:rsid w:val="300D47EE"/>
    <w:rsid w:val="302B173A"/>
    <w:rsid w:val="302E220D"/>
    <w:rsid w:val="306B7794"/>
    <w:rsid w:val="30BA5AC0"/>
    <w:rsid w:val="30E60283"/>
    <w:rsid w:val="30EA0F4A"/>
    <w:rsid w:val="310D3CC2"/>
    <w:rsid w:val="313913A9"/>
    <w:rsid w:val="31746C95"/>
    <w:rsid w:val="3176757A"/>
    <w:rsid w:val="318F5DEE"/>
    <w:rsid w:val="31E15046"/>
    <w:rsid w:val="31E1598D"/>
    <w:rsid w:val="32100829"/>
    <w:rsid w:val="32196698"/>
    <w:rsid w:val="32405F03"/>
    <w:rsid w:val="32716071"/>
    <w:rsid w:val="32C33527"/>
    <w:rsid w:val="32C67A65"/>
    <w:rsid w:val="32CD2A23"/>
    <w:rsid w:val="33484ECB"/>
    <w:rsid w:val="336269FF"/>
    <w:rsid w:val="33780FB5"/>
    <w:rsid w:val="33A65DCF"/>
    <w:rsid w:val="33AE2461"/>
    <w:rsid w:val="33E763F3"/>
    <w:rsid w:val="343B0FD4"/>
    <w:rsid w:val="346678A3"/>
    <w:rsid w:val="348C1FF6"/>
    <w:rsid w:val="34AF1930"/>
    <w:rsid w:val="34CC6012"/>
    <w:rsid w:val="34E168DE"/>
    <w:rsid w:val="352E7146"/>
    <w:rsid w:val="35306661"/>
    <w:rsid w:val="35E05AAE"/>
    <w:rsid w:val="360959BC"/>
    <w:rsid w:val="36634751"/>
    <w:rsid w:val="36A43530"/>
    <w:rsid w:val="36C66276"/>
    <w:rsid w:val="36D63D7C"/>
    <w:rsid w:val="36DC31ED"/>
    <w:rsid w:val="36E36896"/>
    <w:rsid w:val="36E972ED"/>
    <w:rsid w:val="37442F41"/>
    <w:rsid w:val="376E5092"/>
    <w:rsid w:val="3791079A"/>
    <w:rsid w:val="37D748F2"/>
    <w:rsid w:val="382F54A4"/>
    <w:rsid w:val="383E027C"/>
    <w:rsid w:val="384B5EED"/>
    <w:rsid w:val="38621CD0"/>
    <w:rsid w:val="387A1725"/>
    <w:rsid w:val="388C4040"/>
    <w:rsid w:val="388F36C6"/>
    <w:rsid w:val="389C44C3"/>
    <w:rsid w:val="38A1711E"/>
    <w:rsid w:val="38B274D8"/>
    <w:rsid w:val="38B54060"/>
    <w:rsid w:val="38BB74A5"/>
    <w:rsid w:val="38C57299"/>
    <w:rsid w:val="38E35F75"/>
    <w:rsid w:val="38ED6BC0"/>
    <w:rsid w:val="38EE1C14"/>
    <w:rsid w:val="39B70744"/>
    <w:rsid w:val="39F23E80"/>
    <w:rsid w:val="39F30C61"/>
    <w:rsid w:val="3A041B49"/>
    <w:rsid w:val="3A0F55A5"/>
    <w:rsid w:val="3A7B1CFB"/>
    <w:rsid w:val="3A8459F7"/>
    <w:rsid w:val="3A873175"/>
    <w:rsid w:val="3A8C65F2"/>
    <w:rsid w:val="3A9A338F"/>
    <w:rsid w:val="3AF23B2F"/>
    <w:rsid w:val="3B037B06"/>
    <w:rsid w:val="3B144472"/>
    <w:rsid w:val="3B517BFC"/>
    <w:rsid w:val="3B5B6AE1"/>
    <w:rsid w:val="3B622A0E"/>
    <w:rsid w:val="3B6A7FB0"/>
    <w:rsid w:val="3B8C7056"/>
    <w:rsid w:val="3B922130"/>
    <w:rsid w:val="3C10747F"/>
    <w:rsid w:val="3C3405AE"/>
    <w:rsid w:val="3C744FEC"/>
    <w:rsid w:val="3C9B0CF0"/>
    <w:rsid w:val="3C9B6998"/>
    <w:rsid w:val="3D3217C4"/>
    <w:rsid w:val="3D565E19"/>
    <w:rsid w:val="3D634E6F"/>
    <w:rsid w:val="3D78440A"/>
    <w:rsid w:val="3D8E4EAA"/>
    <w:rsid w:val="3D912FAC"/>
    <w:rsid w:val="3E3B7740"/>
    <w:rsid w:val="3E766BEA"/>
    <w:rsid w:val="3E8E17EB"/>
    <w:rsid w:val="3E9952A1"/>
    <w:rsid w:val="3EAE620B"/>
    <w:rsid w:val="3EB17EDC"/>
    <w:rsid w:val="3F007DB2"/>
    <w:rsid w:val="3F384209"/>
    <w:rsid w:val="3F4970F3"/>
    <w:rsid w:val="3F4F67B1"/>
    <w:rsid w:val="3F6C7B7F"/>
    <w:rsid w:val="3FB64604"/>
    <w:rsid w:val="3FBF609A"/>
    <w:rsid w:val="3FC10F40"/>
    <w:rsid w:val="3FD85092"/>
    <w:rsid w:val="3FE57A00"/>
    <w:rsid w:val="40072154"/>
    <w:rsid w:val="400B27A9"/>
    <w:rsid w:val="40130898"/>
    <w:rsid w:val="40622D52"/>
    <w:rsid w:val="40735A5A"/>
    <w:rsid w:val="407B4DD5"/>
    <w:rsid w:val="40EB749F"/>
    <w:rsid w:val="40F433E9"/>
    <w:rsid w:val="4120496E"/>
    <w:rsid w:val="4125590F"/>
    <w:rsid w:val="414C4489"/>
    <w:rsid w:val="419F64A4"/>
    <w:rsid w:val="41E03B8B"/>
    <w:rsid w:val="41EF444F"/>
    <w:rsid w:val="420B4BF7"/>
    <w:rsid w:val="426440FD"/>
    <w:rsid w:val="42894D66"/>
    <w:rsid w:val="42A927C0"/>
    <w:rsid w:val="42C63105"/>
    <w:rsid w:val="42D6387C"/>
    <w:rsid w:val="42EE75EE"/>
    <w:rsid w:val="43AD6043"/>
    <w:rsid w:val="4413116C"/>
    <w:rsid w:val="44451492"/>
    <w:rsid w:val="44762741"/>
    <w:rsid w:val="44E93695"/>
    <w:rsid w:val="450B1B80"/>
    <w:rsid w:val="453E5D70"/>
    <w:rsid w:val="4541013D"/>
    <w:rsid w:val="458D615F"/>
    <w:rsid w:val="459F3A4A"/>
    <w:rsid w:val="45E05A77"/>
    <w:rsid w:val="461131A2"/>
    <w:rsid w:val="46611407"/>
    <w:rsid w:val="473501ED"/>
    <w:rsid w:val="473B28B7"/>
    <w:rsid w:val="47537742"/>
    <w:rsid w:val="47623F9D"/>
    <w:rsid w:val="476C5FC3"/>
    <w:rsid w:val="477F61B7"/>
    <w:rsid w:val="478A61EF"/>
    <w:rsid w:val="47970092"/>
    <w:rsid w:val="47D241C3"/>
    <w:rsid w:val="4824501D"/>
    <w:rsid w:val="48653CF8"/>
    <w:rsid w:val="488B2F1F"/>
    <w:rsid w:val="48A2108A"/>
    <w:rsid w:val="48CC5108"/>
    <w:rsid w:val="48CF5A98"/>
    <w:rsid w:val="48FD337D"/>
    <w:rsid w:val="49354868"/>
    <w:rsid w:val="496D66DC"/>
    <w:rsid w:val="499C7FD1"/>
    <w:rsid w:val="4A655AF5"/>
    <w:rsid w:val="4A692455"/>
    <w:rsid w:val="4AD928D8"/>
    <w:rsid w:val="4ADD3489"/>
    <w:rsid w:val="4B5235B5"/>
    <w:rsid w:val="4B84043E"/>
    <w:rsid w:val="4BA10349"/>
    <w:rsid w:val="4BA24089"/>
    <w:rsid w:val="4C037D97"/>
    <w:rsid w:val="4CA94164"/>
    <w:rsid w:val="4CAE1D99"/>
    <w:rsid w:val="4CC343EB"/>
    <w:rsid w:val="4D587760"/>
    <w:rsid w:val="4D7953E7"/>
    <w:rsid w:val="4D903C41"/>
    <w:rsid w:val="4DA46DA9"/>
    <w:rsid w:val="4DC76A97"/>
    <w:rsid w:val="4E3276B5"/>
    <w:rsid w:val="4E990870"/>
    <w:rsid w:val="4E9A2DF5"/>
    <w:rsid w:val="4EA12DFD"/>
    <w:rsid w:val="4EA166BA"/>
    <w:rsid w:val="4EC35483"/>
    <w:rsid w:val="4ED6006A"/>
    <w:rsid w:val="4F16188A"/>
    <w:rsid w:val="4F184C3D"/>
    <w:rsid w:val="4F452E1D"/>
    <w:rsid w:val="4F4A3053"/>
    <w:rsid w:val="4F576C2C"/>
    <w:rsid w:val="4F5F0EA0"/>
    <w:rsid w:val="4F83658D"/>
    <w:rsid w:val="4F907069"/>
    <w:rsid w:val="4FCD241A"/>
    <w:rsid w:val="4FE97E3B"/>
    <w:rsid w:val="501F3220"/>
    <w:rsid w:val="50206A85"/>
    <w:rsid w:val="502A7555"/>
    <w:rsid w:val="50866A4B"/>
    <w:rsid w:val="50BB4459"/>
    <w:rsid w:val="50FD3C07"/>
    <w:rsid w:val="511740CA"/>
    <w:rsid w:val="51B27D4A"/>
    <w:rsid w:val="51F35963"/>
    <w:rsid w:val="52193066"/>
    <w:rsid w:val="522254E6"/>
    <w:rsid w:val="52382EED"/>
    <w:rsid w:val="526A2E49"/>
    <w:rsid w:val="526C44E0"/>
    <w:rsid w:val="52725003"/>
    <w:rsid w:val="52766651"/>
    <w:rsid w:val="529334A7"/>
    <w:rsid w:val="52D07A71"/>
    <w:rsid w:val="52E30664"/>
    <w:rsid w:val="533943B2"/>
    <w:rsid w:val="53811452"/>
    <w:rsid w:val="539A08F8"/>
    <w:rsid w:val="53E41FF1"/>
    <w:rsid w:val="53F779B6"/>
    <w:rsid w:val="54192FA1"/>
    <w:rsid w:val="546F7693"/>
    <w:rsid w:val="54721C30"/>
    <w:rsid w:val="547649B7"/>
    <w:rsid w:val="548C13AB"/>
    <w:rsid w:val="54D166AD"/>
    <w:rsid w:val="551A1F2C"/>
    <w:rsid w:val="551F3ADD"/>
    <w:rsid w:val="55751470"/>
    <w:rsid w:val="55AF464C"/>
    <w:rsid w:val="55C26DB0"/>
    <w:rsid w:val="55E07638"/>
    <w:rsid w:val="55E66DDB"/>
    <w:rsid w:val="560C2A07"/>
    <w:rsid w:val="563077C6"/>
    <w:rsid w:val="56334195"/>
    <w:rsid w:val="563A251E"/>
    <w:rsid w:val="5651378C"/>
    <w:rsid w:val="565C1F74"/>
    <w:rsid w:val="567B6358"/>
    <w:rsid w:val="56CD0356"/>
    <w:rsid w:val="573E2C8E"/>
    <w:rsid w:val="57464959"/>
    <w:rsid w:val="57966590"/>
    <w:rsid w:val="57A80F1F"/>
    <w:rsid w:val="57C250CD"/>
    <w:rsid w:val="57D17353"/>
    <w:rsid w:val="57EB47D7"/>
    <w:rsid w:val="58940EA6"/>
    <w:rsid w:val="58A745BD"/>
    <w:rsid w:val="58B57C0B"/>
    <w:rsid w:val="58FC17D8"/>
    <w:rsid w:val="59390453"/>
    <w:rsid w:val="59412F93"/>
    <w:rsid w:val="596A753E"/>
    <w:rsid w:val="59836980"/>
    <w:rsid w:val="598D717D"/>
    <w:rsid w:val="59DB34A5"/>
    <w:rsid w:val="5A1A62BA"/>
    <w:rsid w:val="5A202D14"/>
    <w:rsid w:val="5A5E6FEE"/>
    <w:rsid w:val="5A780E60"/>
    <w:rsid w:val="5AB67BC0"/>
    <w:rsid w:val="5ABD25F5"/>
    <w:rsid w:val="5AC47F38"/>
    <w:rsid w:val="5AE3482C"/>
    <w:rsid w:val="5B110410"/>
    <w:rsid w:val="5B8D6933"/>
    <w:rsid w:val="5BAD5DB5"/>
    <w:rsid w:val="5BB44C0B"/>
    <w:rsid w:val="5C33638D"/>
    <w:rsid w:val="5C4464A4"/>
    <w:rsid w:val="5C666FAF"/>
    <w:rsid w:val="5C713B9F"/>
    <w:rsid w:val="5C945C92"/>
    <w:rsid w:val="5CA8352B"/>
    <w:rsid w:val="5CAA121A"/>
    <w:rsid w:val="5CC16747"/>
    <w:rsid w:val="5CD17B32"/>
    <w:rsid w:val="5CED7F03"/>
    <w:rsid w:val="5D180161"/>
    <w:rsid w:val="5D4E0D63"/>
    <w:rsid w:val="5D9064E3"/>
    <w:rsid w:val="5DA1314A"/>
    <w:rsid w:val="5DCC18DD"/>
    <w:rsid w:val="5E3B0298"/>
    <w:rsid w:val="5E547B2C"/>
    <w:rsid w:val="5F006B77"/>
    <w:rsid w:val="5F3673C4"/>
    <w:rsid w:val="5F4D5752"/>
    <w:rsid w:val="5F711E6C"/>
    <w:rsid w:val="5F9E2966"/>
    <w:rsid w:val="5FC75223"/>
    <w:rsid w:val="5FCC0E64"/>
    <w:rsid w:val="5FCC2EBA"/>
    <w:rsid w:val="5FDF588C"/>
    <w:rsid w:val="5FE404A3"/>
    <w:rsid w:val="601A2EBA"/>
    <w:rsid w:val="603D58F4"/>
    <w:rsid w:val="60644EBB"/>
    <w:rsid w:val="60893661"/>
    <w:rsid w:val="609453AD"/>
    <w:rsid w:val="60CB4552"/>
    <w:rsid w:val="60E52D9E"/>
    <w:rsid w:val="60EE376F"/>
    <w:rsid w:val="6118431B"/>
    <w:rsid w:val="611C3B9A"/>
    <w:rsid w:val="613B6DE6"/>
    <w:rsid w:val="61473EE7"/>
    <w:rsid w:val="6176003A"/>
    <w:rsid w:val="617C7665"/>
    <w:rsid w:val="61A2606A"/>
    <w:rsid w:val="61EA3517"/>
    <w:rsid w:val="61F34E34"/>
    <w:rsid w:val="61FB0E28"/>
    <w:rsid w:val="623065F6"/>
    <w:rsid w:val="625859ED"/>
    <w:rsid w:val="63091660"/>
    <w:rsid w:val="630D6C77"/>
    <w:rsid w:val="637F0CC9"/>
    <w:rsid w:val="639D432A"/>
    <w:rsid w:val="63AA00CE"/>
    <w:rsid w:val="63AC1A31"/>
    <w:rsid w:val="64637862"/>
    <w:rsid w:val="647743EC"/>
    <w:rsid w:val="64931174"/>
    <w:rsid w:val="64D0514B"/>
    <w:rsid w:val="64D61CC2"/>
    <w:rsid w:val="65090347"/>
    <w:rsid w:val="65116D11"/>
    <w:rsid w:val="65143E54"/>
    <w:rsid w:val="651B0FA8"/>
    <w:rsid w:val="651B7001"/>
    <w:rsid w:val="651E0213"/>
    <w:rsid w:val="6538132E"/>
    <w:rsid w:val="654229A8"/>
    <w:rsid w:val="65577B31"/>
    <w:rsid w:val="65B464B7"/>
    <w:rsid w:val="661F281A"/>
    <w:rsid w:val="665F0915"/>
    <w:rsid w:val="669811DF"/>
    <w:rsid w:val="669B03C2"/>
    <w:rsid w:val="669E20D0"/>
    <w:rsid w:val="66AB21A4"/>
    <w:rsid w:val="66D478D1"/>
    <w:rsid w:val="670A7CEA"/>
    <w:rsid w:val="672B33F4"/>
    <w:rsid w:val="672F7A3B"/>
    <w:rsid w:val="6765510A"/>
    <w:rsid w:val="676807F4"/>
    <w:rsid w:val="67900CA7"/>
    <w:rsid w:val="679166C8"/>
    <w:rsid w:val="67B92AF5"/>
    <w:rsid w:val="67F764AE"/>
    <w:rsid w:val="6808075C"/>
    <w:rsid w:val="685D6012"/>
    <w:rsid w:val="68881C78"/>
    <w:rsid w:val="68BF7818"/>
    <w:rsid w:val="68E43F16"/>
    <w:rsid w:val="69192C19"/>
    <w:rsid w:val="69224D70"/>
    <w:rsid w:val="69763FA3"/>
    <w:rsid w:val="697C3AD9"/>
    <w:rsid w:val="69DB133C"/>
    <w:rsid w:val="6A396658"/>
    <w:rsid w:val="6A7E5DCC"/>
    <w:rsid w:val="6AA449A0"/>
    <w:rsid w:val="6ADC5EB8"/>
    <w:rsid w:val="6B1D7AAE"/>
    <w:rsid w:val="6BEC234B"/>
    <w:rsid w:val="6BF24D4D"/>
    <w:rsid w:val="6C0A4383"/>
    <w:rsid w:val="6D0903F9"/>
    <w:rsid w:val="6D970019"/>
    <w:rsid w:val="6DDC138F"/>
    <w:rsid w:val="6DDD105B"/>
    <w:rsid w:val="6DE547A4"/>
    <w:rsid w:val="6DED2DB3"/>
    <w:rsid w:val="6E116410"/>
    <w:rsid w:val="6E272B41"/>
    <w:rsid w:val="6E540848"/>
    <w:rsid w:val="6E743A34"/>
    <w:rsid w:val="6E762F66"/>
    <w:rsid w:val="6EB86F81"/>
    <w:rsid w:val="6EDA75F6"/>
    <w:rsid w:val="6F345300"/>
    <w:rsid w:val="6F376CB0"/>
    <w:rsid w:val="6F3B13A9"/>
    <w:rsid w:val="6F58017B"/>
    <w:rsid w:val="6F8C55C2"/>
    <w:rsid w:val="70133765"/>
    <w:rsid w:val="707C4C46"/>
    <w:rsid w:val="70AB511A"/>
    <w:rsid w:val="70B5611C"/>
    <w:rsid w:val="71382996"/>
    <w:rsid w:val="717D50F2"/>
    <w:rsid w:val="71F010C5"/>
    <w:rsid w:val="71F80774"/>
    <w:rsid w:val="72346B14"/>
    <w:rsid w:val="723B732C"/>
    <w:rsid w:val="72456A8C"/>
    <w:rsid w:val="724645D5"/>
    <w:rsid w:val="726222EF"/>
    <w:rsid w:val="72645038"/>
    <w:rsid w:val="727F150A"/>
    <w:rsid w:val="72AA268A"/>
    <w:rsid w:val="72BB2028"/>
    <w:rsid w:val="72E24FC8"/>
    <w:rsid w:val="72E43286"/>
    <w:rsid w:val="734C2308"/>
    <w:rsid w:val="736035B8"/>
    <w:rsid w:val="73A86BFD"/>
    <w:rsid w:val="73CC2843"/>
    <w:rsid w:val="73E30337"/>
    <w:rsid w:val="74253AE1"/>
    <w:rsid w:val="74465535"/>
    <w:rsid w:val="74C13C71"/>
    <w:rsid w:val="750003AD"/>
    <w:rsid w:val="75051E92"/>
    <w:rsid w:val="751F6CE6"/>
    <w:rsid w:val="754360E2"/>
    <w:rsid w:val="75455030"/>
    <w:rsid w:val="757B0BF0"/>
    <w:rsid w:val="7585471D"/>
    <w:rsid w:val="75B67DE5"/>
    <w:rsid w:val="75EE293E"/>
    <w:rsid w:val="75F20FBA"/>
    <w:rsid w:val="76546942"/>
    <w:rsid w:val="765D5115"/>
    <w:rsid w:val="76906275"/>
    <w:rsid w:val="76C10112"/>
    <w:rsid w:val="76EB40B7"/>
    <w:rsid w:val="76FF7967"/>
    <w:rsid w:val="776C0423"/>
    <w:rsid w:val="776C7498"/>
    <w:rsid w:val="77814A0A"/>
    <w:rsid w:val="77F175D1"/>
    <w:rsid w:val="780249E8"/>
    <w:rsid w:val="78104FA2"/>
    <w:rsid w:val="78256105"/>
    <w:rsid w:val="78542E38"/>
    <w:rsid w:val="787142DD"/>
    <w:rsid w:val="78985F3D"/>
    <w:rsid w:val="79004A91"/>
    <w:rsid w:val="79325F08"/>
    <w:rsid w:val="79EA549E"/>
    <w:rsid w:val="79EC31CA"/>
    <w:rsid w:val="79F35BE7"/>
    <w:rsid w:val="79F605B8"/>
    <w:rsid w:val="79F61EB2"/>
    <w:rsid w:val="7A0E76C4"/>
    <w:rsid w:val="7A115B00"/>
    <w:rsid w:val="7A350B7E"/>
    <w:rsid w:val="7A5A4D3B"/>
    <w:rsid w:val="7A737AD4"/>
    <w:rsid w:val="7A7C2D1A"/>
    <w:rsid w:val="7A964349"/>
    <w:rsid w:val="7AC450B7"/>
    <w:rsid w:val="7ADB720F"/>
    <w:rsid w:val="7B141557"/>
    <w:rsid w:val="7B5C27F8"/>
    <w:rsid w:val="7B790DE1"/>
    <w:rsid w:val="7BB35E60"/>
    <w:rsid w:val="7C2C2D2D"/>
    <w:rsid w:val="7C816BF4"/>
    <w:rsid w:val="7CCC1ED0"/>
    <w:rsid w:val="7D276F00"/>
    <w:rsid w:val="7D7C58C3"/>
    <w:rsid w:val="7D894643"/>
    <w:rsid w:val="7DB976CA"/>
    <w:rsid w:val="7DE94AE5"/>
    <w:rsid w:val="7DF44DB3"/>
    <w:rsid w:val="7E080A34"/>
    <w:rsid w:val="7E271FAB"/>
    <w:rsid w:val="7E3B567F"/>
    <w:rsid w:val="7EC17485"/>
    <w:rsid w:val="7EFF4A83"/>
    <w:rsid w:val="7F210833"/>
    <w:rsid w:val="7F4027DF"/>
    <w:rsid w:val="7F9775B9"/>
    <w:rsid w:val="7FA94856"/>
    <w:rsid w:val="7FB12A57"/>
    <w:rsid w:val="7FC4122B"/>
    <w:rsid w:val="7FCD5D98"/>
    <w:rsid w:val="7FD47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6A1326B6"/>
  <w15:docId w15:val="{AB4BF47E-7222-4B81-9F58-D38B1C040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Salutation" w:qFormat="1"/>
    <w:lsdException w:name="Dat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bCs/>
      <w:kern w:val="44"/>
      <w:sz w:val="44"/>
      <w:szCs w:val="44"/>
    </w:rPr>
  </w:style>
  <w:style w:type="paragraph" w:styleId="2">
    <w:name w:val="heading 2"/>
    <w:basedOn w:val="a"/>
    <w:next w:val="a"/>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napToGrid w:val="0"/>
      <w:spacing w:line="360" w:lineRule="auto"/>
      <w:ind w:firstLine="567"/>
    </w:pPr>
    <w:rPr>
      <w:sz w:val="28"/>
    </w:rPr>
  </w:style>
  <w:style w:type="paragraph" w:styleId="a4">
    <w:name w:val="annotation text"/>
    <w:basedOn w:val="a"/>
    <w:link w:val="a5"/>
    <w:qFormat/>
    <w:pPr>
      <w:jc w:val="left"/>
    </w:pPr>
  </w:style>
  <w:style w:type="paragraph" w:styleId="a6">
    <w:name w:val="Salutation"/>
    <w:basedOn w:val="a"/>
    <w:next w:val="a"/>
    <w:link w:val="a7"/>
    <w:qFormat/>
    <w:rPr>
      <w:rFonts w:ascii="仿宋_GB2312" w:eastAsia="仿宋_GB2312"/>
      <w:sz w:val="28"/>
      <w:szCs w:val="28"/>
    </w:rPr>
  </w:style>
  <w:style w:type="paragraph" w:styleId="a8">
    <w:name w:val="Body Text"/>
    <w:basedOn w:val="a"/>
    <w:qFormat/>
    <w:rPr>
      <w:rFonts w:ascii="仿宋_GB2312" w:eastAsia="仿宋_GB2312" w:hint="eastAsia"/>
      <w:sz w:val="28"/>
      <w:szCs w:val="20"/>
    </w:rPr>
  </w:style>
  <w:style w:type="paragraph" w:styleId="a9">
    <w:name w:val="Body Text Indent"/>
    <w:basedOn w:val="a"/>
    <w:qFormat/>
    <w:pPr>
      <w:ind w:left="1050"/>
    </w:pPr>
    <w:rPr>
      <w:szCs w:val="20"/>
    </w:rPr>
  </w:style>
  <w:style w:type="paragraph" w:styleId="aa">
    <w:name w:val="Plain Text"/>
    <w:basedOn w:val="a"/>
    <w:qFormat/>
    <w:rPr>
      <w:rFonts w:ascii="宋体" w:hAnsi="Courier New"/>
    </w:rPr>
  </w:style>
  <w:style w:type="paragraph" w:styleId="ab">
    <w:name w:val="Date"/>
    <w:basedOn w:val="a"/>
    <w:next w:val="a"/>
    <w:qFormat/>
    <w:pPr>
      <w:ind w:leftChars="2500" w:left="100"/>
    </w:pPr>
  </w:style>
  <w:style w:type="paragraph" w:styleId="ac">
    <w:name w:val="Balloon Text"/>
    <w:basedOn w:val="a"/>
    <w:semiHidden/>
    <w:qFormat/>
    <w:rPr>
      <w:sz w:val="18"/>
      <w:szCs w:val="18"/>
    </w:rPr>
  </w:style>
  <w:style w:type="paragraph" w:styleId="ad">
    <w:name w:val="footer"/>
    <w:basedOn w:val="a"/>
    <w:qFormat/>
    <w:pPr>
      <w:tabs>
        <w:tab w:val="center" w:pos="4153"/>
        <w:tab w:val="right" w:pos="8306"/>
      </w:tabs>
      <w:snapToGrid w:val="0"/>
      <w:jc w:val="left"/>
    </w:pPr>
    <w:rPr>
      <w:sz w:val="18"/>
      <w:szCs w:val="18"/>
    </w:rPr>
  </w:style>
  <w:style w:type="paragraph" w:styleId="ae">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f">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f0">
    <w:name w:val="footnote text"/>
    <w:basedOn w:val="a"/>
    <w:link w:val="af1"/>
    <w:qFormat/>
    <w:pPr>
      <w:snapToGrid w:val="0"/>
      <w:jc w:val="left"/>
    </w:pPr>
    <w:rPr>
      <w:sz w:val="18"/>
      <w:szCs w:val="18"/>
    </w:rPr>
  </w:style>
  <w:style w:type="paragraph" w:styleId="TOC2">
    <w:name w:val="toc 2"/>
    <w:basedOn w:val="a"/>
    <w:next w:val="a"/>
    <w:uiPriority w:val="39"/>
    <w:qFormat/>
    <w:pPr>
      <w:tabs>
        <w:tab w:val="right" w:leader="dot" w:pos="9890"/>
      </w:tabs>
      <w:spacing w:line="360" w:lineRule="auto"/>
      <w:ind w:leftChars="200" w:left="420"/>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18"/>
      <w:szCs w:val="18"/>
    </w:rPr>
  </w:style>
  <w:style w:type="paragraph" w:styleId="af2">
    <w:name w:val="Normal (Web)"/>
    <w:basedOn w:val="a"/>
    <w:uiPriority w:val="99"/>
    <w:qFormat/>
    <w:pPr>
      <w:jc w:val="left"/>
    </w:pPr>
    <w:rPr>
      <w:kern w:val="0"/>
      <w:sz w:val="24"/>
    </w:rPr>
  </w:style>
  <w:style w:type="paragraph" w:styleId="af3">
    <w:name w:val="annotation subject"/>
    <w:basedOn w:val="a4"/>
    <w:next w:val="a4"/>
    <w:link w:val="af4"/>
    <w:qFormat/>
    <w:rPr>
      <w:b/>
      <w:bCs/>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qFormat/>
  </w:style>
  <w:style w:type="character" w:styleId="af7">
    <w:name w:val="Hyperlink"/>
    <w:basedOn w:val="a0"/>
    <w:uiPriority w:val="99"/>
    <w:qFormat/>
    <w:rPr>
      <w:color w:val="0000FF"/>
      <w:u w:val="single"/>
    </w:rPr>
  </w:style>
  <w:style w:type="character" w:styleId="af8">
    <w:name w:val="annotation reference"/>
    <w:qFormat/>
    <w:rPr>
      <w:sz w:val="21"/>
      <w:szCs w:val="21"/>
    </w:rPr>
  </w:style>
  <w:style w:type="character" w:styleId="af9">
    <w:name w:val="footnote reference"/>
    <w:qFormat/>
    <w:rPr>
      <w:vertAlign w:val="superscript"/>
    </w:rPr>
  </w:style>
  <w:style w:type="paragraph" w:customStyle="1" w:styleId="zw">
    <w:name w:val="zw"/>
    <w:basedOn w:val="a"/>
    <w:qFormat/>
    <w:pPr>
      <w:autoSpaceDE w:val="0"/>
      <w:autoSpaceDN w:val="0"/>
      <w:adjustRightInd w:val="0"/>
      <w:spacing w:line="360" w:lineRule="auto"/>
      <w:ind w:firstLine="482"/>
      <w:textAlignment w:val="bottom"/>
    </w:pPr>
    <w:rPr>
      <w:rFonts w:ascii="Arial Narrow" w:eastAsia="仿宋_GB2312" w:hAnsi="Arial Narrow"/>
      <w:kern w:val="0"/>
      <w:sz w:val="24"/>
      <w:szCs w:val="20"/>
    </w:rPr>
  </w:style>
  <w:style w:type="paragraph" w:customStyle="1" w:styleId="CharCharChar">
    <w:name w:val="报告正文 Char Char Char"/>
    <w:basedOn w:val="a"/>
    <w:qFormat/>
    <w:pPr>
      <w:adjustRightInd w:val="0"/>
      <w:snapToGrid w:val="0"/>
      <w:spacing w:line="336" w:lineRule="auto"/>
      <w:ind w:left="2603"/>
    </w:pPr>
    <w:rPr>
      <w:rFonts w:ascii="华文细黑" w:eastAsia="华文细黑" w:cs="宋体"/>
      <w:sz w:val="22"/>
      <w:szCs w:val="20"/>
    </w:rPr>
  </w:style>
  <w:style w:type="paragraph" w:customStyle="1" w:styleId="10">
    <w:name w:val="列出段落1"/>
    <w:basedOn w:val="a"/>
    <w:uiPriority w:val="34"/>
    <w:qFormat/>
    <w:pPr>
      <w:ind w:firstLineChars="200" w:firstLine="420"/>
    </w:pPr>
    <w:rPr>
      <w:rFonts w:ascii="Calibri" w:hAnsi="Calibri"/>
      <w:szCs w:val="22"/>
    </w:rPr>
  </w:style>
  <w:style w:type="paragraph" w:customStyle="1" w:styleId="afa">
    <w:name w:val="先河正文"/>
    <w:basedOn w:val="a"/>
    <w:qFormat/>
    <w:pPr>
      <w:ind w:firstLineChars="200" w:firstLine="550"/>
    </w:pPr>
    <w:rPr>
      <w:sz w:val="28"/>
      <w:lang w:bidi="he-IL"/>
    </w:rPr>
  </w:style>
  <w:style w:type="character" w:customStyle="1" w:styleId="af1">
    <w:name w:val="脚注文本 字符"/>
    <w:link w:val="af0"/>
    <w:qFormat/>
    <w:rPr>
      <w:kern w:val="2"/>
      <w:sz w:val="18"/>
      <w:szCs w:val="18"/>
    </w:rPr>
  </w:style>
  <w:style w:type="character" w:customStyle="1" w:styleId="font61">
    <w:name w:val="font61"/>
    <w:qFormat/>
    <w:rPr>
      <w:rFonts w:ascii="黑体" w:eastAsia="黑体" w:hAnsi="宋体" w:cs="黑体" w:hint="eastAsia"/>
      <w:color w:val="000000"/>
      <w:sz w:val="40"/>
      <w:szCs w:val="40"/>
      <w:u w:val="none"/>
    </w:rPr>
  </w:style>
  <w:style w:type="character" w:customStyle="1" w:styleId="font71">
    <w:name w:val="font71"/>
    <w:qFormat/>
    <w:rPr>
      <w:rFonts w:ascii="宋体" w:eastAsia="宋体" w:hAnsi="宋体" w:cs="宋体" w:hint="eastAsia"/>
      <w:color w:val="000000"/>
      <w:sz w:val="24"/>
      <w:szCs w:val="24"/>
      <w:u w:val="none"/>
    </w:rPr>
  </w:style>
  <w:style w:type="character" w:customStyle="1" w:styleId="a7">
    <w:name w:val="称呼 字符"/>
    <w:link w:val="a6"/>
    <w:qFormat/>
    <w:rPr>
      <w:rFonts w:ascii="仿宋_GB2312" w:eastAsia="仿宋_GB2312"/>
      <w:kern w:val="2"/>
      <w:sz w:val="28"/>
      <w:szCs w:val="28"/>
      <w:lang w:bidi="ar-SA"/>
    </w:rPr>
  </w:style>
  <w:style w:type="character" w:customStyle="1" w:styleId="font131">
    <w:name w:val="font131"/>
    <w:qFormat/>
    <w:rPr>
      <w:rFonts w:ascii="Times New Roman" w:hAnsi="Times New Roman" w:cs="Times New Roman" w:hint="default"/>
      <w:color w:val="000000"/>
      <w:sz w:val="22"/>
      <w:szCs w:val="22"/>
      <w:u w:val="none"/>
    </w:rPr>
  </w:style>
  <w:style w:type="character" w:customStyle="1" w:styleId="font51">
    <w:name w:val="font51"/>
    <w:basedOn w:val="a0"/>
    <w:qFormat/>
    <w:rPr>
      <w:rFonts w:ascii="仿宋" w:eastAsia="仿宋" w:hAnsi="仿宋" w:cs="仿宋" w:hint="eastAsia"/>
      <w:color w:val="000000"/>
      <w:sz w:val="24"/>
      <w:szCs w:val="24"/>
      <w:u w:val="none"/>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font31">
    <w:name w:val="font31"/>
    <w:qFormat/>
    <w:rPr>
      <w:rFonts w:ascii="Times New Roman" w:hAnsi="Times New Roman" w:cs="Times New Roman" w:hint="default"/>
      <w:color w:val="000000"/>
      <w:sz w:val="24"/>
      <w:szCs w:val="24"/>
      <w:u w:val="none"/>
    </w:rPr>
  </w:style>
  <w:style w:type="character" w:customStyle="1" w:styleId="af4">
    <w:name w:val="批注主题 字符"/>
    <w:link w:val="af3"/>
    <w:qFormat/>
    <w:rPr>
      <w:b/>
      <w:bCs/>
      <w:kern w:val="2"/>
      <w:sz w:val="21"/>
      <w:szCs w:val="24"/>
    </w:rPr>
  </w:style>
  <w:style w:type="character" w:customStyle="1" w:styleId="font81">
    <w:name w:val="font81"/>
    <w:qFormat/>
    <w:rPr>
      <w:rFonts w:ascii="Times New Roman" w:hAnsi="Times New Roman" w:cs="Times New Roman" w:hint="default"/>
      <w:color w:val="000000"/>
      <w:sz w:val="24"/>
      <w:szCs w:val="24"/>
      <w:u w:val="none"/>
    </w:rPr>
  </w:style>
  <w:style w:type="character" w:customStyle="1" w:styleId="font01">
    <w:name w:val="font01"/>
    <w:basedOn w:val="a0"/>
    <w:qFormat/>
    <w:rPr>
      <w:rFonts w:ascii="楷体" w:eastAsia="楷体" w:hAnsi="楷体" w:cs="楷体" w:hint="eastAsia"/>
      <w:color w:val="000000"/>
      <w:sz w:val="20"/>
      <w:szCs w:val="20"/>
      <w:u w:val="none"/>
      <w:vertAlign w:val="superscript"/>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11">
    <w:name w:val="font11"/>
    <w:basedOn w:val="a0"/>
    <w:qFormat/>
    <w:rPr>
      <w:rFonts w:ascii="仿宋" w:eastAsia="仿宋" w:hAnsi="仿宋" w:cs="仿宋" w:hint="eastAsia"/>
      <w:color w:val="000000"/>
      <w:sz w:val="24"/>
      <w:szCs w:val="24"/>
      <w:u w:val="none"/>
      <w:vertAlign w:val="superscript"/>
    </w:rPr>
  </w:style>
  <w:style w:type="character" w:customStyle="1" w:styleId="a5">
    <w:name w:val="批注文字 字符"/>
    <w:link w:val="a4"/>
    <w:qFormat/>
    <w:rPr>
      <w:kern w:val="2"/>
      <w:sz w:val="21"/>
      <w:szCs w:val="24"/>
    </w:rPr>
  </w:style>
  <w:style w:type="character" w:customStyle="1" w:styleId="font91">
    <w:name w:val="font91"/>
    <w:basedOn w:val="a0"/>
    <w:qFormat/>
    <w:rPr>
      <w:rFonts w:ascii="宋体" w:eastAsia="宋体" w:hAnsi="宋体" w:cs="宋体" w:hint="eastAsia"/>
      <w:color w:val="000000"/>
      <w:sz w:val="22"/>
      <w:szCs w:val="22"/>
      <w:u w:val="none"/>
    </w:rPr>
  </w:style>
  <w:style w:type="character" w:customStyle="1" w:styleId="font101">
    <w:name w:val="font101"/>
    <w:basedOn w:val="a0"/>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631165">
      <w:bodyDiv w:val="1"/>
      <w:marLeft w:val="0"/>
      <w:marRight w:val="0"/>
      <w:marTop w:val="0"/>
      <w:marBottom w:val="0"/>
      <w:divBdr>
        <w:top w:val="none" w:sz="0" w:space="0" w:color="auto"/>
        <w:left w:val="none" w:sz="0" w:space="0" w:color="auto"/>
        <w:bottom w:val="none" w:sz="0" w:space="0" w:color="auto"/>
        <w:right w:val="none" w:sz="0" w:space="0" w:color="auto"/>
      </w:divBdr>
    </w:div>
    <w:div w:id="1632907401">
      <w:bodyDiv w:val="1"/>
      <w:marLeft w:val="0"/>
      <w:marRight w:val="0"/>
      <w:marTop w:val="0"/>
      <w:marBottom w:val="0"/>
      <w:divBdr>
        <w:top w:val="none" w:sz="0" w:space="0" w:color="auto"/>
        <w:left w:val="none" w:sz="0" w:space="0" w:color="auto"/>
        <w:bottom w:val="none" w:sz="0" w:space="0" w:color="auto"/>
        <w:right w:val="none" w:sz="0" w:space="0" w:color="auto"/>
      </w:divBdr>
    </w:div>
    <w:div w:id="1850437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FB2987-D4C8-49DD-BE47-F8EB91370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38</Pages>
  <Words>3588</Words>
  <Characters>20457</Characters>
  <Application>Microsoft Office Word</Application>
  <DocSecurity>0</DocSecurity>
  <Lines>170</Lines>
  <Paragraphs>47</Paragraphs>
  <ScaleCrop>false</ScaleCrop>
  <Company>Microsoft</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中国注册资产评估师声明</dc:title>
  <dc:creator>雨林木风</dc:creator>
  <cp:lastModifiedBy>罗 方裕</cp:lastModifiedBy>
  <cp:revision>103</cp:revision>
  <cp:lastPrinted>2021-12-30T09:14:00Z</cp:lastPrinted>
  <dcterms:created xsi:type="dcterms:W3CDTF">2014-04-24T09:17:00Z</dcterms:created>
  <dcterms:modified xsi:type="dcterms:W3CDTF">2022-07-13T01:34:00Z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505B46DC30AF402DAD33591BA624F3CC</vt:lpwstr>
  </property>
</Properties>
</file>