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auto"/>
          <w:shd w:val="pct10" w:color="auto" w:fill="000000"/>
        </w:rPr>
      </w:pPr>
    </w:p>
    <w:p>
      <w:pPr>
        <w:rPr>
          <w:b/>
          <w:bCs/>
          <w:color w:val="auto"/>
          <w:shd w:val="pct10" w:color="auto" w:fill="000000"/>
        </w:rPr>
      </w:pPr>
    </w:p>
    <w:p>
      <w:pPr>
        <w:rPr>
          <w:b/>
          <w:bCs/>
          <w:color w:val="auto"/>
          <w:shd w:val="pct10" w:color="auto" w:fill="000000"/>
        </w:rPr>
      </w:pPr>
    </w:p>
    <w:p>
      <w:pPr>
        <w:rPr>
          <w:b/>
          <w:bCs/>
          <w:color w:val="auto"/>
          <w:shd w:val="pct10" w:color="auto" w:fill="000000"/>
        </w:rPr>
      </w:pPr>
    </w:p>
    <w:p>
      <w:pPr>
        <w:rPr>
          <w:b/>
          <w:bCs/>
          <w:color w:val="auto"/>
          <w:shd w:val="pct10" w:color="auto" w:fill="000000"/>
        </w:rPr>
      </w:pPr>
    </w:p>
    <w:p>
      <w:pPr>
        <w:rPr>
          <w:b/>
          <w:bCs/>
          <w:color w:val="auto"/>
          <w:shd w:val="pct10" w:color="auto" w:fill="000000"/>
        </w:rPr>
      </w:pPr>
    </w:p>
    <w:p>
      <w:pPr>
        <w:rPr>
          <w:b/>
          <w:bCs/>
          <w:color w:val="auto"/>
          <w:shd w:val="pct10" w:color="auto" w:fill="000000"/>
        </w:rPr>
      </w:pPr>
    </w:p>
    <w:p>
      <w:pPr>
        <w:jc w:val="center"/>
        <w:rPr>
          <w:b/>
          <w:color w:val="auto"/>
          <w:sz w:val="52"/>
          <w:szCs w:val="52"/>
        </w:rPr>
      </w:pPr>
      <w:r>
        <w:rPr>
          <w:rFonts w:hint="eastAsia"/>
          <w:b/>
          <w:color w:val="auto"/>
          <w:sz w:val="52"/>
          <w:szCs w:val="52"/>
        </w:rPr>
        <w:t>房 地 产 估 价 报 告</w:t>
      </w:r>
    </w:p>
    <w:p>
      <w:pPr>
        <w:jc w:val="center"/>
        <w:rPr>
          <w:color w:val="auto"/>
          <w:sz w:val="36"/>
          <w:szCs w:val="36"/>
          <w:bdr w:val="single" w:color="auto" w:sz="4" w:space="0"/>
        </w:rPr>
      </w:pPr>
    </w:p>
    <w:p>
      <w:pPr>
        <w:jc w:val="center"/>
        <w:rPr>
          <w:color w:val="auto"/>
          <w:sz w:val="36"/>
          <w:szCs w:val="36"/>
          <w:bdr w:val="single" w:color="auto" w:sz="4" w:space="0"/>
        </w:rPr>
      </w:pPr>
    </w:p>
    <w:p>
      <w:pPr>
        <w:spacing w:line="600" w:lineRule="exact"/>
        <w:ind w:left="2315" w:leftChars="179" w:hanging="1940" w:hangingChars="693"/>
        <w:rPr>
          <w:sz w:val="28"/>
        </w:rPr>
      </w:pPr>
      <w:r>
        <w:rPr>
          <w:rFonts w:hint="eastAsia" w:ascii="仿宋_GB2312"/>
          <w:color w:val="auto"/>
          <w:sz w:val="28"/>
          <w:shd w:val="pct10" w:color="auto" w:fill="FFFFFF"/>
        </w:rPr>
        <w:t>估价项目名称</w:t>
      </w:r>
      <w:r>
        <w:rPr>
          <w:rFonts w:hint="eastAsia"/>
          <w:color w:val="auto"/>
          <w:sz w:val="28"/>
        </w:rPr>
        <w:t>：</w:t>
      </w:r>
      <w:bookmarkStart w:id="50" w:name="_GoBack"/>
      <w:r>
        <w:rPr>
          <w:rFonts w:hint="eastAsia"/>
          <w:sz w:val="28"/>
          <w:lang w:eastAsia="zh-CN"/>
        </w:rPr>
        <w:t>吕梁恒信房地产开发有限公司</w:t>
      </w:r>
      <w:r>
        <w:rPr>
          <w:rFonts w:hint="eastAsia"/>
          <w:sz w:val="28"/>
        </w:rPr>
        <w:t>(</w:t>
      </w:r>
      <w:r>
        <w:rPr>
          <w:rFonts w:hint="eastAsia"/>
          <w:sz w:val="28"/>
          <w:lang w:eastAsia="zh-CN"/>
        </w:rPr>
        <w:t>汾阳市学院路西侧、中国银行北侧</w:t>
      </w:r>
      <w:r>
        <w:rPr>
          <w:rFonts w:hint="eastAsia"/>
          <w:sz w:val="28"/>
        </w:rPr>
        <w:t>)涉执房地产处置司法评估</w:t>
      </w:r>
    </w:p>
    <w:bookmarkEnd w:id="50"/>
    <w:p>
      <w:pPr>
        <w:spacing w:line="1000" w:lineRule="exact"/>
        <w:ind w:firstLine="358" w:firstLineChars="128"/>
        <w:rPr>
          <w:rFonts w:hint="default" w:eastAsia="宋体"/>
          <w:color w:val="auto"/>
          <w:sz w:val="28"/>
          <w:lang w:val="en-US" w:eastAsia="zh-CN"/>
        </w:rPr>
      </w:pPr>
      <w:r>
        <w:rPr>
          <w:rFonts w:hint="eastAsia" w:ascii="仿宋_GB2312"/>
          <w:color w:val="auto"/>
          <w:sz w:val="28"/>
          <w:shd w:val="pct10" w:color="auto" w:fill="FFFFFF"/>
        </w:rPr>
        <w:t>委   托   方</w:t>
      </w:r>
      <w:r>
        <w:rPr>
          <w:rFonts w:hint="eastAsia"/>
          <w:color w:val="auto"/>
          <w:sz w:val="28"/>
        </w:rPr>
        <w:t>：</w:t>
      </w:r>
      <w:r>
        <w:rPr>
          <w:rFonts w:hint="eastAsia"/>
          <w:sz w:val="28"/>
          <w:lang w:val="en-US" w:eastAsia="zh-CN"/>
        </w:rPr>
        <w:t>汾阳市人民法院</w:t>
      </w:r>
    </w:p>
    <w:p>
      <w:pPr>
        <w:spacing w:line="1000" w:lineRule="exact"/>
        <w:ind w:firstLine="353" w:firstLineChars="128"/>
        <w:rPr>
          <w:color w:val="auto"/>
          <w:sz w:val="28"/>
          <w:shd w:val="pct10" w:color="auto" w:fill="FFFFFF"/>
        </w:rPr>
      </w:pPr>
      <w:r>
        <w:rPr>
          <w:rFonts w:hint="eastAsia" w:ascii="仿宋_GB2312"/>
          <w:color w:val="auto"/>
          <w:spacing w:val="-2"/>
          <w:sz w:val="28"/>
          <w:shd w:val="pct10" w:color="auto" w:fill="FFFFFF"/>
        </w:rPr>
        <w:t>估   价   方</w:t>
      </w:r>
      <w:r>
        <w:rPr>
          <w:rFonts w:hint="eastAsia"/>
          <w:color w:val="auto"/>
          <w:sz w:val="28"/>
        </w:rPr>
        <w:t>：山西至源不动产房地产评估咨询有限公司</w:t>
      </w:r>
    </w:p>
    <w:p>
      <w:pPr>
        <w:spacing w:line="1000" w:lineRule="exact"/>
        <w:ind w:firstLine="358" w:firstLineChars="128"/>
        <w:rPr>
          <w:color w:val="auto"/>
          <w:sz w:val="28"/>
        </w:rPr>
      </w:pPr>
      <w:r>
        <w:rPr>
          <w:rFonts w:ascii="仿宋_GB2312"/>
          <w:color w:val="auto"/>
          <w:sz w:val="28"/>
          <w:shd w:val="pct10" w:color="auto" w:fill="FFFFFF"/>
        </w:rPr>
        <w:pict>
          <v:line id="直线 1037" o:spid="_x0000_s2061" o:spt="20" style="position:absolute;left:0pt;margin-left:157.5pt;margin-top:7.8pt;height:0pt;width:0.05pt;z-index:251659264;mso-width-relative:page;mso-height-relative:page;" coordsize="21600,21600">
            <v:path arrowok="t"/>
            <v:fill focussize="0,0"/>
            <v:stroke/>
            <v:imagedata o:title=""/>
            <o:lock v:ext="edit"/>
          </v:line>
        </w:pict>
      </w:r>
      <w:r>
        <w:rPr>
          <w:rFonts w:hint="eastAsia" w:ascii="仿宋_GB2312"/>
          <w:color w:val="auto"/>
          <w:sz w:val="28"/>
          <w:shd w:val="pct10" w:color="auto" w:fill="FFFFFF"/>
        </w:rPr>
        <w:t>注册房地产估价师</w:t>
      </w:r>
      <w:r>
        <w:rPr>
          <w:rFonts w:hint="eastAsia"/>
          <w:color w:val="auto"/>
          <w:sz w:val="28"/>
        </w:rPr>
        <w:t>： 王艳琴   1420020034</w:t>
      </w:r>
    </w:p>
    <w:p>
      <w:pPr>
        <w:spacing w:line="600" w:lineRule="exact"/>
        <w:ind w:firstLine="3080" w:firstLineChars="1100"/>
        <w:rPr>
          <w:color w:val="auto"/>
          <w:sz w:val="28"/>
        </w:rPr>
      </w:pPr>
      <w:r>
        <w:rPr>
          <w:rFonts w:hint="eastAsia"/>
          <w:color w:val="auto"/>
          <w:sz w:val="28"/>
        </w:rPr>
        <w:t>杨俊伟  1419960010</w:t>
      </w:r>
    </w:p>
    <w:p>
      <w:pPr>
        <w:spacing w:line="1000" w:lineRule="exact"/>
        <w:ind w:firstLine="350" w:firstLineChars="125"/>
        <w:rPr>
          <w:rFonts w:hAnsi="宋体"/>
          <w:color w:val="auto"/>
          <w:sz w:val="28"/>
        </w:rPr>
      </w:pPr>
      <w:r>
        <w:rPr>
          <w:rFonts w:hint="eastAsia" w:hAnsi="宋体"/>
          <w:color w:val="auto"/>
          <w:sz w:val="28"/>
          <w:shd w:val="pct10" w:color="auto" w:fill="FFFFFF"/>
        </w:rPr>
        <w:t>估价报告编号</w:t>
      </w:r>
      <w:r>
        <w:rPr>
          <w:rFonts w:hint="eastAsia" w:hAnsi="宋体"/>
          <w:color w:val="auto"/>
          <w:sz w:val="28"/>
        </w:rPr>
        <w:t>：晋至源（202</w:t>
      </w:r>
      <w:r>
        <w:rPr>
          <w:rFonts w:hint="eastAsia" w:hAnsi="宋体"/>
          <w:sz w:val="28"/>
        </w:rPr>
        <w:t>2）（房估）字第0</w:t>
      </w:r>
      <w:r>
        <w:rPr>
          <w:rFonts w:hint="eastAsia" w:hAnsi="宋体"/>
          <w:sz w:val="28"/>
          <w:lang w:val="en-US" w:eastAsia="zh-CN"/>
        </w:rPr>
        <w:t>17-1</w:t>
      </w:r>
      <w:r>
        <w:rPr>
          <w:rFonts w:hint="eastAsia" w:hAnsi="宋体"/>
          <w:sz w:val="28"/>
        </w:rPr>
        <w:t>号</w:t>
      </w:r>
    </w:p>
    <w:p>
      <w:pPr>
        <w:tabs>
          <w:tab w:val="left" w:pos="2730"/>
          <w:tab w:val="left" w:pos="3045"/>
        </w:tabs>
        <w:spacing w:line="1000" w:lineRule="exact"/>
        <w:ind w:firstLine="322" w:firstLineChars="115"/>
        <w:rPr>
          <w:color w:val="auto"/>
          <w:sz w:val="28"/>
        </w:rPr>
        <w:sectPr>
          <w:headerReference r:id="rId3" w:type="default"/>
          <w:pgSz w:w="11906" w:h="16838"/>
          <w:pgMar w:top="817" w:right="1418" w:bottom="1134" w:left="1418" w:header="624" w:footer="680" w:gutter="0"/>
          <w:cols w:space="720" w:num="1"/>
          <w:docGrid w:type="linesAndChars" w:linePitch="312" w:charSpace="0"/>
        </w:sectPr>
      </w:pPr>
      <w:r>
        <w:rPr>
          <w:rFonts w:hint="eastAsia" w:hAnsi="宋体"/>
          <w:color w:val="auto"/>
          <w:sz w:val="28"/>
          <w:shd w:val="pct10" w:color="auto" w:fill="FFFFFF"/>
        </w:rPr>
        <w:t>估价报告出具日期</w:t>
      </w:r>
      <w:r>
        <w:rPr>
          <w:rFonts w:hint="eastAsia"/>
          <w:color w:val="auto"/>
          <w:sz w:val="28"/>
        </w:rPr>
        <w:t>：二○二二年</w:t>
      </w:r>
      <w:r>
        <w:rPr>
          <w:rFonts w:hint="eastAsia"/>
          <w:color w:val="auto"/>
          <w:sz w:val="28"/>
          <w:lang w:eastAsia="zh-CN"/>
        </w:rPr>
        <w:t>十</w:t>
      </w:r>
      <w:r>
        <w:rPr>
          <w:rFonts w:hint="eastAsia"/>
          <w:color w:val="auto"/>
          <w:sz w:val="28"/>
        </w:rPr>
        <w:t>月</w:t>
      </w:r>
      <w:r>
        <w:rPr>
          <w:rFonts w:hint="eastAsia"/>
          <w:color w:val="auto"/>
          <w:sz w:val="28"/>
          <w:lang w:val="en-US" w:eastAsia="zh-CN"/>
        </w:rPr>
        <w:t>十</w:t>
      </w:r>
      <w:r>
        <w:rPr>
          <w:rFonts w:hint="eastAsia"/>
          <w:color w:val="auto"/>
          <w:sz w:val="28"/>
        </w:rPr>
        <w:t>日</w:t>
      </w:r>
    </w:p>
    <w:p>
      <w:pPr>
        <w:adjustRightInd w:val="0"/>
        <w:snapToGrid w:val="0"/>
        <w:spacing w:line="600" w:lineRule="exact"/>
        <w:jc w:val="center"/>
        <w:rPr>
          <w:rFonts w:hAnsi="宋体"/>
          <w:b/>
          <w:bCs/>
          <w:color w:val="auto"/>
          <w:sz w:val="32"/>
          <w:szCs w:val="32"/>
        </w:rPr>
      </w:pPr>
      <w:bookmarkStart w:id="0" w:name="_Toc149886726"/>
      <w:r>
        <w:rPr>
          <w:rFonts w:hint="eastAsia" w:hAnsi="宋体"/>
          <w:b/>
          <w:bCs/>
          <w:color w:val="auto"/>
          <w:sz w:val="32"/>
          <w:szCs w:val="32"/>
        </w:rPr>
        <w:t>致估价委托人函</w:t>
      </w:r>
      <w:bookmarkEnd w:id="0"/>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Ansi="宋体"/>
          <w:b/>
          <w:bCs/>
          <w:color w:val="auto"/>
          <w:sz w:val="28"/>
        </w:rPr>
      </w:pPr>
      <w:r>
        <w:rPr>
          <w:rFonts w:hint="eastAsia" w:hAnsi="宋体"/>
          <w:b/>
          <w:bCs/>
          <w:color w:val="auto"/>
          <w:sz w:val="28"/>
          <w:lang w:eastAsia="zh-CN"/>
        </w:rPr>
        <w:t>汾阳市人民法院</w:t>
      </w:r>
      <w:r>
        <w:rPr>
          <w:rFonts w:hint="eastAsia" w:hAnsi="宋体"/>
          <w:b/>
          <w:bCs/>
          <w:color w:val="auto"/>
          <w:sz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sz w:val="28"/>
        </w:rPr>
      </w:pPr>
      <w:r>
        <w:rPr>
          <w:rFonts w:hint="eastAsia" w:hAnsi="宋体"/>
          <w:sz w:val="28"/>
        </w:rPr>
        <w:t>受贵院委托，我公司秉着独立、客观、公正的原则，</w:t>
      </w:r>
      <w:r>
        <w:rPr>
          <w:rFonts w:hint="eastAsia" w:hAnsi="宋体"/>
          <w:color w:val="auto"/>
          <w:sz w:val="28"/>
        </w:rPr>
        <w:t>依据贵法院提供的有关资料以及国家对房地产估价的有关规定</w:t>
      </w:r>
      <w:r>
        <w:rPr>
          <w:rFonts w:hint="eastAsia" w:hAnsi="宋体"/>
          <w:sz w:val="28"/>
        </w:rPr>
        <w:t>，对被执行人</w:t>
      </w:r>
      <w:r>
        <w:rPr>
          <w:rFonts w:hint="eastAsia" w:hAnsi="宋体"/>
          <w:sz w:val="28"/>
          <w:lang w:eastAsia="zh-CN"/>
        </w:rPr>
        <w:t>吕梁恒信房地产开发有限公司</w:t>
      </w:r>
      <w:r>
        <w:rPr>
          <w:rFonts w:hint="eastAsia" w:hAnsi="宋体"/>
          <w:sz w:val="28"/>
        </w:rPr>
        <w:t>位于</w:t>
      </w:r>
      <w:r>
        <w:rPr>
          <w:rFonts w:hint="eastAsia" w:hAnsi="宋体"/>
          <w:sz w:val="28"/>
          <w:lang w:eastAsia="zh-CN"/>
        </w:rPr>
        <w:t>汾阳市学院路西侧、中国银行北侧</w:t>
      </w:r>
      <w:r>
        <w:rPr>
          <w:rFonts w:hint="eastAsia" w:hAnsi="宋体"/>
          <w:sz w:val="28"/>
        </w:rPr>
        <w:t>的</w:t>
      </w:r>
      <w:r>
        <w:rPr>
          <w:rFonts w:hint="eastAsia" w:hAnsi="宋体" w:cs="宋体"/>
          <w:sz w:val="28"/>
          <w:szCs w:val="28"/>
          <w:lang w:val="en-US" w:eastAsia="zh-CN"/>
        </w:rPr>
        <w:t>汾阳市</w:t>
      </w:r>
      <w:r>
        <w:rPr>
          <w:rFonts w:hint="eastAsia" w:hAnsi="宋体"/>
          <w:sz w:val="28"/>
          <w:lang w:val="en-US" w:eastAsia="zh-CN"/>
        </w:rPr>
        <w:t>豊足·汾阳壹号5号楼</w:t>
      </w:r>
      <w:r>
        <w:rPr>
          <w:rFonts w:hint="eastAsia" w:hAnsi="宋体"/>
          <w:sz w:val="28"/>
        </w:rPr>
        <w:t>在建工程房地产（规划及形成在建工程建筑面积</w:t>
      </w:r>
      <w:r>
        <w:rPr>
          <w:rFonts w:hint="eastAsia" w:hAnsi="宋体"/>
          <w:sz w:val="28"/>
          <w:lang w:val="en-US" w:eastAsia="zh-CN"/>
        </w:rPr>
        <w:t>5291.59</w:t>
      </w:r>
      <w:r>
        <w:rPr>
          <w:rFonts w:hint="eastAsia" w:hAnsi="宋体"/>
          <w:sz w:val="28"/>
          <w:lang w:eastAsia="zh-CN"/>
        </w:rPr>
        <w:t>平方米及</w:t>
      </w:r>
      <w:r>
        <w:rPr>
          <w:rFonts w:hint="eastAsia" w:hAnsi="宋体"/>
          <w:sz w:val="28"/>
          <w:lang w:val="en-US" w:eastAsia="zh-CN"/>
        </w:rPr>
        <w:t>所分摊</w:t>
      </w:r>
      <w:r>
        <w:rPr>
          <w:rFonts w:hint="eastAsia" w:hAnsi="宋体"/>
          <w:sz w:val="28"/>
          <w:lang w:eastAsia="zh-CN"/>
        </w:rPr>
        <w:t>国有土地使用权</w:t>
      </w:r>
      <w:r>
        <w:rPr>
          <w:rFonts w:hint="eastAsia" w:hAnsi="宋体"/>
          <w:sz w:val="28"/>
        </w:rPr>
        <w:t>）市场价值进行估价。估价目的是为贵院确定财产处置价提供参考依据。</w:t>
      </w:r>
    </w:p>
    <w:p>
      <w:pPr>
        <w:keepNext w:val="0"/>
        <w:keepLines w:val="0"/>
        <w:pageBreakBefore w:val="0"/>
        <w:widowControl w:val="0"/>
        <w:kinsoku/>
        <w:wordWrap/>
        <w:overflowPunct/>
        <w:topLinePunct w:val="0"/>
        <w:autoSpaceDE/>
        <w:autoSpaceDN/>
        <w:bidi w:val="0"/>
        <w:adjustRightInd w:val="0"/>
        <w:snapToGrid w:val="0"/>
        <w:spacing w:line="520" w:lineRule="exact"/>
        <w:ind w:firstLine="570"/>
        <w:textAlignment w:val="auto"/>
        <w:rPr>
          <w:rFonts w:hint="eastAsia"/>
          <w:color w:val="auto"/>
          <w:sz w:val="28"/>
        </w:rPr>
      </w:pPr>
      <w:r>
        <w:rPr>
          <w:rFonts w:hint="eastAsia"/>
          <w:color w:val="auto"/>
          <w:sz w:val="28"/>
        </w:rPr>
        <w:t>我们依据委托方提供的资料，根据估价目的，遵循估价原则，按照估价程序，采用科学合理的估价方法，在认真分析现有资料的基础上，经过测算，并结合估价经验对影响委估房地产价格因素的综合分析，取成本法和假设开发法的加权平均值为估价结果，最后确定估价对象在价值时点2022年</w:t>
      </w:r>
      <w:r>
        <w:rPr>
          <w:rFonts w:hint="eastAsia"/>
          <w:color w:val="auto"/>
          <w:sz w:val="28"/>
          <w:lang w:val="en-US" w:eastAsia="zh-CN"/>
        </w:rPr>
        <w:t>7</w:t>
      </w:r>
      <w:r>
        <w:rPr>
          <w:rFonts w:hint="eastAsia"/>
          <w:color w:val="auto"/>
          <w:sz w:val="28"/>
        </w:rPr>
        <w:t>月</w:t>
      </w:r>
      <w:r>
        <w:rPr>
          <w:rFonts w:hint="eastAsia"/>
          <w:color w:val="auto"/>
          <w:sz w:val="28"/>
          <w:lang w:val="en-US" w:eastAsia="zh-CN"/>
        </w:rPr>
        <w:t>27</w:t>
      </w:r>
      <w:r>
        <w:rPr>
          <w:rFonts w:hint="eastAsia"/>
          <w:color w:val="auto"/>
          <w:sz w:val="28"/>
        </w:rPr>
        <w:t>日的估价结果为：</w:t>
      </w:r>
    </w:p>
    <w:tbl>
      <w:tblPr>
        <w:tblStyle w:val="26"/>
        <w:tblpPr w:leftFromText="180" w:rightFromText="180" w:vertAnchor="text" w:horzAnchor="page" w:tblpX="1262" w:tblpY="1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2232"/>
        <w:gridCol w:w="2148"/>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45" w:type="dxa"/>
            <w:vAlign w:val="center"/>
          </w:tcPr>
          <w:p>
            <w:pPr>
              <w:pStyle w:val="14"/>
              <w:jc w:val="center"/>
              <w:rPr>
                <w:rFonts w:hint="eastAsia" w:eastAsia="宋体"/>
                <w:b/>
                <w:bCs/>
                <w:color w:val="auto"/>
                <w:sz w:val="24"/>
                <w:szCs w:val="24"/>
                <w:vertAlign w:val="baseline"/>
                <w:lang w:val="en-US" w:eastAsia="zh-CN"/>
              </w:rPr>
            </w:pPr>
            <w:r>
              <w:rPr>
                <w:rFonts w:hint="eastAsia"/>
                <w:b/>
                <w:bCs/>
                <w:color w:val="auto"/>
                <w:sz w:val="24"/>
                <w:szCs w:val="24"/>
                <w:vertAlign w:val="baseline"/>
                <w:lang w:val="en-US" w:eastAsia="zh-CN"/>
              </w:rPr>
              <w:t>名称</w:t>
            </w:r>
          </w:p>
        </w:tc>
        <w:tc>
          <w:tcPr>
            <w:tcW w:w="2232"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建筑面积（平方米）</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评估价值（万元）</w:t>
            </w:r>
          </w:p>
        </w:tc>
        <w:tc>
          <w:tcPr>
            <w:tcW w:w="2256" w:type="dxa"/>
            <w:vAlign w:val="center"/>
          </w:tcPr>
          <w:p>
            <w:pPr>
              <w:pStyle w:val="14"/>
              <w:jc w:val="center"/>
              <w:rPr>
                <w:rFonts w:hint="eastAsia"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945" w:type="dxa"/>
            <w:vAlign w:val="center"/>
          </w:tcPr>
          <w:p>
            <w:pPr>
              <w:pStyle w:val="14"/>
              <w:jc w:val="center"/>
              <w:rPr>
                <w:rFonts w:hint="default" w:ascii="宋体" w:hAnsi="宋体" w:eastAsia="宋体" w:cs="宋体"/>
                <w:b/>
                <w:bCs/>
                <w:color w:val="auto"/>
                <w:sz w:val="24"/>
                <w:szCs w:val="24"/>
                <w:vertAlign w:val="baseline"/>
                <w:lang w:val="en-US" w:eastAsia="zh-CN"/>
              </w:rPr>
            </w:pPr>
            <w:r>
              <w:rPr>
                <w:rFonts w:hint="eastAsia"/>
                <w:b/>
                <w:bCs/>
                <w:color w:val="auto"/>
                <w:sz w:val="24"/>
                <w:szCs w:val="24"/>
                <w:vertAlign w:val="baseline"/>
                <w:lang w:val="en-US" w:eastAsia="zh-CN"/>
              </w:rPr>
              <w:t>汾阳市豊足</w:t>
            </w:r>
            <w:r>
              <w:rPr>
                <w:rFonts w:hint="eastAsia" w:ascii="宋体" w:hAnsi="宋体" w:eastAsia="宋体" w:cs="宋体"/>
                <w:b/>
                <w:bCs/>
                <w:color w:val="auto"/>
                <w:sz w:val="24"/>
                <w:szCs w:val="24"/>
                <w:vertAlign w:val="baseline"/>
                <w:lang w:val="en-US" w:eastAsia="zh-CN"/>
              </w:rPr>
              <w:t>·</w:t>
            </w:r>
            <w:r>
              <w:rPr>
                <w:rFonts w:hint="eastAsia" w:hAnsi="宋体" w:cs="宋体"/>
                <w:b/>
                <w:bCs/>
                <w:color w:val="auto"/>
                <w:sz w:val="24"/>
                <w:szCs w:val="24"/>
                <w:vertAlign w:val="baseline"/>
                <w:lang w:val="en-US" w:eastAsia="zh-CN"/>
              </w:rPr>
              <w:t>汾阳壹号5号楼在建工程价值（被汾阳市人民法院执行财产）</w:t>
            </w:r>
          </w:p>
        </w:tc>
        <w:tc>
          <w:tcPr>
            <w:tcW w:w="2232" w:type="dxa"/>
            <w:vAlign w:val="center"/>
          </w:tcPr>
          <w:p>
            <w:pPr>
              <w:pStyle w:val="14"/>
              <w:jc w:val="center"/>
              <w:rPr>
                <w:rFonts w:hint="eastAsia"/>
                <w:b/>
                <w:bCs/>
                <w:color w:val="auto"/>
                <w:sz w:val="24"/>
                <w:szCs w:val="24"/>
                <w:vertAlign w:val="baseline"/>
              </w:rPr>
            </w:pPr>
            <w:r>
              <w:rPr>
                <w:rFonts w:hint="eastAsia"/>
                <w:b/>
                <w:bCs/>
                <w:color w:val="auto"/>
                <w:sz w:val="24"/>
                <w:szCs w:val="24"/>
                <w:vertAlign w:val="baseline"/>
                <w:lang w:val="en-US" w:eastAsia="zh-CN"/>
              </w:rPr>
              <w:t>5291.59</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488.46</w:t>
            </w:r>
          </w:p>
        </w:tc>
        <w:tc>
          <w:tcPr>
            <w:tcW w:w="2256" w:type="dxa"/>
            <w:vAlign w:val="center"/>
          </w:tcPr>
          <w:p>
            <w:pPr>
              <w:pStyle w:val="14"/>
              <w:jc w:val="center"/>
              <w:rPr>
                <w:rFonts w:hint="default"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人民币</w:t>
            </w:r>
            <w:r>
              <w:rPr>
                <w:rFonts w:hint="eastAsia" w:hAnsi="Times New Roman" w:cs="Times New Roman"/>
                <w:b/>
                <w:bCs/>
                <w:color w:val="auto"/>
                <w:sz w:val="24"/>
                <w:szCs w:val="24"/>
                <w:vertAlign w:val="baseline"/>
                <w:lang w:val="en-US" w:eastAsia="zh-CN"/>
              </w:rPr>
              <w:fldChar w:fldCharType="begin"/>
            </w:r>
            <w:r>
              <w:rPr>
                <w:rFonts w:hint="eastAsia" w:hAnsi="Times New Roman" w:cs="Times New Roman"/>
                <w:b/>
                <w:bCs/>
                <w:color w:val="auto"/>
                <w:sz w:val="24"/>
                <w:szCs w:val="24"/>
                <w:vertAlign w:val="baseline"/>
                <w:lang w:val="en-US" w:eastAsia="zh-CN"/>
              </w:rPr>
              <w:instrText xml:space="preserve"> = 4884600 \* CHINESENUM2 \* MERGEFORMAT </w:instrText>
            </w:r>
            <w:r>
              <w:rPr>
                <w:rFonts w:hint="eastAsia" w:hAnsi="Times New Roman" w:cs="Times New Roman"/>
                <w:b/>
                <w:bCs/>
                <w:color w:val="auto"/>
                <w:sz w:val="24"/>
                <w:szCs w:val="24"/>
                <w:vertAlign w:val="baseline"/>
                <w:lang w:val="en-US" w:eastAsia="zh-CN"/>
              </w:rPr>
              <w:fldChar w:fldCharType="separate"/>
            </w:r>
            <w:r>
              <w:rPr>
                <w:rFonts w:hint="eastAsia" w:hAnsi="Times New Roman" w:cs="Times New Roman"/>
                <w:b/>
                <w:bCs/>
                <w:color w:val="auto"/>
                <w:sz w:val="24"/>
                <w:szCs w:val="24"/>
                <w:vertAlign w:val="baseline"/>
                <w:lang w:val="en-US" w:eastAsia="zh-CN"/>
              </w:rPr>
              <w:t>肆佰捌拾捌万肆仟陆佰</w:t>
            </w:r>
            <w:r>
              <w:rPr>
                <w:rFonts w:hint="eastAsia" w:hAnsi="Times New Roman" w:cs="Times New Roman"/>
                <w:b/>
                <w:bCs/>
                <w:color w:val="auto"/>
                <w:sz w:val="24"/>
                <w:szCs w:val="24"/>
                <w:vertAlign w:val="baseline"/>
                <w:lang w:val="en-US" w:eastAsia="zh-CN"/>
              </w:rPr>
              <w:fldChar w:fldCharType="end"/>
            </w:r>
            <w:r>
              <w:rPr>
                <w:rFonts w:hint="eastAsia" w:hAnsi="Times New Roman" w:cs="Times New Roman"/>
                <w:b/>
                <w:bCs/>
                <w:color w:val="auto"/>
                <w:sz w:val="24"/>
                <w:szCs w:val="24"/>
                <w:vertAlign w:val="baseline"/>
                <w:lang w:val="en-US" w:eastAsia="zh-CN"/>
              </w:rPr>
              <w:t>元整</w:t>
            </w:r>
          </w:p>
        </w:tc>
      </w:tr>
    </w:tbl>
    <w:p>
      <w:pPr>
        <w:pStyle w:val="14"/>
        <w:rPr>
          <w:rFonts w:hint="eastAsia"/>
          <w:lang w:eastAsia="zh-CN"/>
        </w:rPr>
      </w:pPr>
    </w:p>
    <w:p>
      <w:pPr>
        <w:adjustRightInd w:val="0"/>
        <w:snapToGrid w:val="0"/>
        <w:spacing w:line="520" w:lineRule="exact"/>
        <w:ind w:firstLine="840" w:firstLineChars="300"/>
        <w:rPr>
          <w:color w:val="auto"/>
          <w:sz w:val="28"/>
          <w:szCs w:val="28"/>
        </w:rPr>
      </w:pPr>
      <w:r>
        <w:rPr>
          <w:rFonts w:hint="eastAsia"/>
          <w:color w:val="auto"/>
          <w:sz w:val="28"/>
          <w:szCs w:val="28"/>
        </w:rPr>
        <w:t>具体估价的详细结果、过程和有关说明，见</w:t>
      </w:r>
      <w:r>
        <w:rPr>
          <w:rFonts w:hint="eastAsia"/>
          <w:color w:val="auto"/>
          <w:sz w:val="28"/>
        </w:rPr>
        <w:t>后附的《估价结果报告》、《估价技术报告》</w:t>
      </w:r>
      <w:r>
        <w:rPr>
          <w:rFonts w:hint="eastAsia"/>
          <w:color w:val="auto"/>
          <w:sz w:val="28"/>
          <w:szCs w:val="28"/>
        </w:rPr>
        <w:t>。</w:t>
      </w:r>
    </w:p>
    <w:p>
      <w:pPr>
        <w:adjustRightInd w:val="0"/>
        <w:snapToGrid w:val="0"/>
        <w:spacing w:line="520" w:lineRule="exact"/>
        <w:ind w:firstLine="560" w:firstLineChars="200"/>
        <w:rPr>
          <w:rFonts w:hint="eastAsia" w:hAnsi="宋体"/>
          <w:color w:val="auto"/>
          <w:sz w:val="28"/>
        </w:rPr>
      </w:pPr>
    </w:p>
    <w:p>
      <w:pPr>
        <w:adjustRightInd w:val="0"/>
        <w:snapToGrid w:val="0"/>
        <w:spacing w:line="520" w:lineRule="exact"/>
        <w:ind w:firstLine="560" w:firstLineChars="200"/>
        <w:rPr>
          <w:rFonts w:hAnsi="宋体"/>
          <w:color w:val="auto"/>
          <w:sz w:val="28"/>
        </w:rPr>
      </w:pPr>
      <w:r>
        <w:rPr>
          <w:rFonts w:hint="eastAsia" w:hAnsi="宋体"/>
          <w:color w:val="auto"/>
          <w:sz w:val="28"/>
        </w:rPr>
        <w:t xml:space="preserve">法定代表人：                </w:t>
      </w:r>
    </w:p>
    <w:p>
      <w:pPr>
        <w:adjustRightInd w:val="0"/>
        <w:snapToGrid w:val="0"/>
        <w:spacing w:line="520" w:lineRule="exact"/>
        <w:rPr>
          <w:rFonts w:hAnsi="宋体"/>
          <w:color w:val="auto"/>
          <w:sz w:val="28"/>
        </w:rPr>
      </w:pPr>
    </w:p>
    <w:p>
      <w:pPr>
        <w:pStyle w:val="14"/>
      </w:pPr>
    </w:p>
    <w:p>
      <w:pPr>
        <w:adjustRightInd w:val="0"/>
        <w:snapToGrid w:val="0"/>
        <w:spacing w:line="520" w:lineRule="exact"/>
        <w:ind w:firstLine="3920" w:firstLineChars="1400"/>
        <w:rPr>
          <w:rFonts w:hint="eastAsia" w:hAnsi="宋体"/>
          <w:color w:val="auto"/>
          <w:sz w:val="28"/>
        </w:rPr>
      </w:pPr>
    </w:p>
    <w:p>
      <w:pPr>
        <w:adjustRightInd w:val="0"/>
        <w:snapToGrid w:val="0"/>
        <w:spacing w:line="520" w:lineRule="exact"/>
        <w:ind w:firstLine="3920" w:firstLineChars="1400"/>
        <w:rPr>
          <w:rFonts w:hint="eastAsia" w:hAnsi="宋体"/>
          <w:color w:val="auto"/>
          <w:sz w:val="28"/>
        </w:rPr>
      </w:pPr>
    </w:p>
    <w:p>
      <w:pPr>
        <w:adjustRightInd w:val="0"/>
        <w:snapToGrid w:val="0"/>
        <w:spacing w:line="520" w:lineRule="exact"/>
        <w:ind w:firstLine="3920" w:firstLineChars="1400"/>
        <w:rPr>
          <w:rFonts w:hAnsi="宋体"/>
          <w:color w:val="auto"/>
          <w:sz w:val="28"/>
        </w:rPr>
      </w:pPr>
      <w:r>
        <w:rPr>
          <w:rFonts w:hint="eastAsia" w:hAnsi="宋体"/>
          <w:color w:val="auto"/>
          <w:sz w:val="28"/>
        </w:rPr>
        <w:t>山西至源不动产房地产评估咨询有限公司</w:t>
      </w:r>
    </w:p>
    <w:p>
      <w:pPr>
        <w:adjustRightInd w:val="0"/>
        <w:snapToGrid w:val="0"/>
        <w:spacing w:line="520" w:lineRule="exact"/>
        <w:ind w:firstLine="5180" w:firstLineChars="1850"/>
        <w:rPr>
          <w:rFonts w:hint="eastAsia" w:hAnsi="宋体"/>
          <w:color w:val="auto"/>
          <w:sz w:val="28"/>
        </w:rPr>
      </w:pPr>
      <w:r>
        <w:rPr>
          <w:rFonts w:hint="eastAsia" w:hAnsi="宋体"/>
          <w:color w:val="auto"/>
          <w:sz w:val="28"/>
        </w:rPr>
        <w:t>二○二二年</w:t>
      </w:r>
      <w:r>
        <w:rPr>
          <w:rFonts w:hint="eastAsia" w:hAnsi="宋体"/>
          <w:color w:val="auto"/>
          <w:sz w:val="28"/>
          <w:lang w:val="en-US" w:eastAsia="zh-CN"/>
        </w:rPr>
        <w:t>十</w:t>
      </w:r>
      <w:r>
        <w:rPr>
          <w:rFonts w:hint="eastAsia" w:hAnsi="宋体"/>
          <w:color w:val="auto"/>
          <w:sz w:val="28"/>
        </w:rPr>
        <w:t>月</w:t>
      </w:r>
      <w:r>
        <w:rPr>
          <w:rFonts w:hint="eastAsia" w:hAnsi="宋体"/>
          <w:color w:val="auto"/>
          <w:sz w:val="28"/>
          <w:lang w:val="en-US" w:eastAsia="zh-CN"/>
        </w:rPr>
        <w:t>十</w:t>
      </w:r>
      <w:r>
        <w:rPr>
          <w:rFonts w:hint="eastAsia" w:hAnsi="宋体"/>
          <w:color w:val="auto"/>
          <w:sz w:val="28"/>
        </w:rPr>
        <w:t>日</w:t>
      </w:r>
    </w:p>
    <w:p>
      <w:pPr>
        <w:pStyle w:val="14"/>
        <w:rPr>
          <w:rFonts w:hint="eastAsia" w:hAnsi="宋体"/>
          <w:color w:val="auto"/>
          <w:sz w:val="28"/>
        </w:rPr>
      </w:pPr>
    </w:p>
    <w:p>
      <w:pPr>
        <w:tabs>
          <w:tab w:val="left" w:pos="2970"/>
        </w:tabs>
        <w:spacing w:line="600" w:lineRule="exact"/>
        <w:jc w:val="center"/>
        <w:rPr>
          <w:rFonts w:hAnsi="宋体"/>
          <w:b/>
          <w:color w:val="auto"/>
          <w:sz w:val="36"/>
          <w:szCs w:val="36"/>
          <w:shd w:val="pct10" w:color="auto" w:fill="FFFFFF"/>
        </w:rPr>
      </w:pPr>
      <w:r>
        <w:rPr>
          <w:rFonts w:hint="eastAsia" w:hAnsi="宋体"/>
          <w:b/>
          <w:color w:val="auto"/>
          <w:sz w:val="36"/>
          <w:szCs w:val="36"/>
          <w:shd w:val="pct10" w:color="auto" w:fill="FFFFFF"/>
        </w:rPr>
        <w:t>目 录</w:t>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560" w:lineRule="exact"/>
        <w:textAlignment w:val="auto"/>
        <w:rPr>
          <w:sz w:val="28"/>
          <w:szCs w:val="28"/>
        </w:rPr>
      </w:pPr>
      <w:r>
        <w:rPr>
          <w:rFonts w:hint="eastAsia" w:hAnsi="宋体" w:cs="宋体"/>
          <w:b/>
          <w:bCs/>
          <w:color w:val="auto"/>
          <w:sz w:val="28"/>
          <w:szCs w:val="28"/>
          <w:highlight w:val="yellow"/>
          <w:shd w:val="pct10" w:color="auto" w:fill="FFFFFF"/>
        </w:rPr>
        <w:fldChar w:fldCharType="begin"/>
      </w:r>
      <w:r>
        <w:rPr>
          <w:rFonts w:hint="eastAsia" w:hAnsi="宋体" w:cs="宋体"/>
          <w:b/>
          <w:bCs/>
          <w:color w:val="auto"/>
          <w:sz w:val="28"/>
          <w:szCs w:val="28"/>
          <w:highlight w:val="yellow"/>
          <w:shd w:val="pct10" w:color="auto" w:fill="FFFFFF"/>
        </w:rPr>
        <w:instrText xml:space="preserve"> TOC \o "1-3" \h \z \u </w:instrText>
      </w:r>
      <w:r>
        <w:rPr>
          <w:rFonts w:hint="eastAsia" w:hAnsi="宋体" w:cs="宋体"/>
          <w:b/>
          <w:bCs/>
          <w:color w:val="auto"/>
          <w:sz w:val="28"/>
          <w:szCs w:val="28"/>
          <w:highlight w:val="yellow"/>
          <w:shd w:val="pct10" w:color="auto" w:fill="FFFFFF"/>
        </w:rPr>
        <w:fldChar w:fldCharType="separate"/>
      </w: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_Toc2937 </w:instrText>
      </w:r>
      <w:r>
        <w:rPr>
          <w:rFonts w:hint="eastAsia" w:hAnsi="宋体" w:cs="宋体"/>
          <w:bCs/>
          <w:sz w:val="28"/>
          <w:szCs w:val="28"/>
          <w:highlight w:val="yellow"/>
          <w:shd w:val="pct10" w:color="auto" w:fill="FFFFFF"/>
        </w:rPr>
        <w:fldChar w:fldCharType="separate"/>
      </w:r>
      <w:r>
        <w:rPr>
          <w:rFonts w:hint="eastAsia" w:ascii="宋体" w:hAnsi="Times New Roman" w:eastAsia="宋体" w:cs="Times New Roman"/>
          <w:bCs/>
          <w:kern w:val="44"/>
          <w:sz w:val="28"/>
          <w:szCs w:val="28"/>
          <w:shd w:val="pct10" w:color="auto" w:fill="FFFFFF"/>
          <w:lang w:val="en-US" w:eastAsia="zh-CN" w:bidi="ar-SA"/>
        </w:rPr>
        <w:t>估价师声明</w:t>
      </w:r>
      <w:r>
        <w:rPr>
          <w:sz w:val="28"/>
          <w:szCs w:val="28"/>
        </w:rPr>
        <w:tab/>
      </w:r>
      <w:r>
        <w:rPr>
          <w:sz w:val="28"/>
          <w:szCs w:val="28"/>
        </w:rPr>
        <w:fldChar w:fldCharType="begin"/>
      </w:r>
      <w:r>
        <w:rPr>
          <w:sz w:val="28"/>
          <w:szCs w:val="28"/>
        </w:rPr>
        <w:instrText xml:space="preserve"> PAGEREF _Toc2937 \h </w:instrText>
      </w:r>
      <w:r>
        <w:rPr>
          <w:sz w:val="28"/>
          <w:szCs w:val="28"/>
        </w:rPr>
        <w:fldChar w:fldCharType="separate"/>
      </w:r>
      <w:r>
        <w:rPr>
          <w:sz w:val="28"/>
          <w:szCs w:val="28"/>
        </w:rPr>
        <w:t>4</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_Toc7355 </w:instrText>
      </w:r>
      <w:r>
        <w:rPr>
          <w:rFonts w:hint="eastAsia" w:hAnsi="宋体" w:cs="宋体"/>
          <w:bCs/>
          <w:sz w:val="28"/>
          <w:szCs w:val="28"/>
          <w:highlight w:val="yellow"/>
          <w:shd w:val="pct10" w:color="auto" w:fill="FFFFFF"/>
        </w:rPr>
        <w:fldChar w:fldCharType="separate"/>
      </w:r>
      <w:r>
        <w:rPr>
          <w:rFonts w:hint="eastAsia"/>
          <w:sz w:val="28"/>
          <w:szCs w:val="28"/>
          <w:shd w:val="pct10" w:color="auto" w:fill="FFFFFF"/>
        </w:rPr>
        <w:t>估价的假设和限制条件</w:t>
      </w:r>
      <w:r>
        <w:rPr>
          <w:sz w:val="28"/>
          <w:szCs w:val="28"/>
        </w:rPr>
        <w:tab/>
      </w:r>
      <w:r>
        <w:rPr>
          <w:sz w:val="28"/>
          <w:szCs w:val="28"/>
        </w:rPr>
        <w:fldChar w:fldCharType="begin"/>
      </w:r>
      <w:r>
        <w:rPr>
          <w:sz w:val="28"/>
          <w:szCs w:val="28"/>
        </w:rPr>
        <w:instrText xml:space="preserve"> PAGEREF _Toc7355 \h </w:instrText>
      </w:r>
      <w:r>
        <w:rPr>
          <w:sz w:val="28"/>
          <w:szCs w:val="28"/>
        </w:rPr>
        <w:fldChar w:fldCharType="separate"/>
      </w:r>
      <w:r>
        <w:rPr>
          <w:sz w:val="28"/>
          <w:szCs w:val="28"/>
        </w:rPr>
        <w:t>5</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_Toc2262 </w:instrText>
      </w:r>
      <w:r>
        <w:rPr>
          <w:rFonts w:hint="eastAsia" w:hAnsi="宋体" w:cs="宋体"/>
          <w:bCs/>
          <w:sz w:val="28"/>
          <w:szCs w:val="28"/>
          <w:highlight w:val="yellow"/>
          <w:shd w:val="pct10" w:color="auto" w:fill="FFFFFF"/>
        </w:rPr>
        <w:fldChar w:fldCharType="separate"/>
      </w:r>
      <w:r>
        <w:rPr>
          <w:rFonts w:hint="eastAsia"/>
          <w:sz w:val="28"/>
          <w:szCs w:val="28"/>
          <w:shd w:val="pct10" w:color="auto" w:fill="FFFFFF"/>
        </w:rPr>
        <w:t>估价结果报告</w:t>
      </w:r>
      <w:r>
        <w:rPr>
          <w:sz w:val="28"/>
          <w:szCs w:val="28"/>
        </w:rPr>
        <w:tab/>
      </w:r>
      <w:r>
        <w:rPr>
          <w:sz w:val="28"/>
          <w:szCs w:val="28"/>
        </w:rPr>
        <w:fldChar w:fldCharType="begin"/>
      </w:r>
      <w:r>
        <w:rPr>
          <w:sz w:val="28"/>
          <w:szCs w:val="28"/>
        </w:rPr>
        <w:instrText xml:space="preserve"> PAGEREF _Toc2262 \h </w:instrText>
      </w:r>
      <w:r>
        <w:rPr>
          <w:sz w:val="28"/>
          <w:szCs w:val="28"/>
        </w:rPr>
        <w:fldChar w:fldCharType="separate"/>
      </w:r>
      <w:r>
        <w:rPr>
          <w:sz w:val="28"/>
          <w:szCs w:val="28"/>
        </w:rPr>
        <w:t>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_Toc6478 </w:instrText>
      </w:r>
      <w:r>
        <w:rPr>
          <w:rFonts w:hint="eastAsia" w:hAnsi="宋体" w:cs="宋体"/>
          <w:bCs/>
          <w:sz w:val="28"/>
          <w:szCs w:val="28"/>
          <w:highlight w:val="yellow"/>
          <w:shd w:val="pct10" w:color="auto" w:fill="FFFFFF"/>
        </w:rPr>
        <w:fldChar w:fldCharType="separate"/>
      </w:r>
      <w:r>
        <w:rPr>
          <w:rFonts w:hint="eastAsia"/>
          <w:bCs/>
          <w:sz w:val="28"/>
          <w:szCs w:val="28"/>
        </w:rPr>
        <w:t>一、</w:t>
      </w:r>
      <w:r>
        <w:rPr>
          <w:rFonts w:hint="eastAsia" w:hAnsi="宋体" w:cs="宋体"/>
          <w:bCs/>
          <w:sz w:val="28"/>
          <w:szCs w:val="28"/>
        </w:rPr>
        <w:t>估价委托人</w:t>
      </w:r>
      <w:r>
        <w:rPr>
          <w:sz w:val="28"/>
          <w:szCs w:val="28"/>
        </w:rPr>
        <w:tab/>
      </w:r>
      <w:r>
        <w:rPr>
          <w:sz w:val="28"/>
          <w:szCs w:val="28"/>
        </w:rPr>
        <w:fldChar w:fldCharType="begin"/>
      </w:r>
      <w:r>
        <w:rPr>
          <w:sz w:val="28"/>
          <w:szCs w:val="28"/>
        </w:rPr>
        <w:instrText xml:space="preserve"> PAGEREF _Toc6478 \h </w:instrText>
      </w:r>
      <w:r>
        <w:rPr>
          <w:sz w:val="28"/>
          <w:szCs w:val="28"/>
        </w:rPr>
        <w:fldChar w:fldCharType="separate"/>
      </w:r>
      <w:r>
        <w:rPr>
          <w:sz w:val="28"/>
          <w:szCs w:val="28"/>
        </w:rPr>
        <w:t>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_Toc3131 </w:instrText>
      </w:r>
      <w:r>
        <w:rPr>
          <w:rFonts w:hint="eastAsia" w:hAnsi="宋体" w:cs="宋体"/>
          <w:bCs/>
          <w:sz w:val="28"/>
          <w:szCs w:val="28"/>
          <w:highlight w:val="yellow"/>
          <w:shd w:val="pct10" w:color="auto" w:fill="FFFFFF"/>
        </w:rPr>
        <w:fldChar w:fldCharType="separate"/>
      </w:r>
      <w:r>
        <w:rPr>
          <w:rFonts w:hint="eastAsia" w:hAnsi="宋体" w:cs="宋体"/>
          <w:bCs/>
          <w:sz w:val="28"/>
          <w:szCs w:val="28"/>
        </w:rPr>
        <w:t>二、房地产估价机构</w:t>
      </w:r>
      <w:r>
        <w:rPr>
          <w:sz w:val="28"/>
          <w:szCs w:val="28"/>
        </w:rPr>
        <w:tab/>
      </w:r>
      <w:r>
        <w:rPr>
          <w:sz w:val="28"/>
          <w:szCs w:val="28"/>
        </w:rPr>
        <w:fldChar w:fldCharType="begin"/>
      </w:r>
      <w:r>
        <w:rPr>
          <w:sz w:val="28"/>
          <w:szCs w:val="28"/>
        </w:rPr>
        <w:instrText xml:space="preserve"> PAGEREF _Toc3131 \h </w:instrText>
      </w:r>
      <w:r>
        <w:rPr>
          <w:sz w:val="28"/>
          <w:szCs w:val="28"/>
        </w:rPr>
        <w:fldChar w:fldCharType="separate"/>
      </w:r>
      <w:r>
        <w:rPr>
          <w:sz w:val="28"/>
          <w:szCs w:val="28"/>
        </w:rPr>
        <w:t>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_Toc7782 </w:instrText>
      </w:r>
      <w:r>
        <w:rPr>
          <w:rFonts w:hint="eastAsia" w:hAnsi="宋体" w:cs="宋体"/>
          <w:bCs/>
          <w:sz w:val="28"/>
          <w:szCs w:val="28"/>
          <w:highlight w:val="yellow"/>
          <w:shd w:val="pct10" w:color="auto" w:fill="FFFFFF"/>
        </w:rPr>
        <w:fldChar w:fldCharType="separate"/>
      </w:r>
      <w:r>
        <w:rPr>
          <w:rFonts w:hint="eastAsia" w:hAnsi="宋体" w:cs="宋体"/>
          <w:bCs/>
          <w:sz w:val="28"/>
          <w:szCs w:val="28"/>
        </w:rPr>
        <w:t>三、估价目的</w:t>
      </w:r>
      <w:r>
        <w:rPr>
          <w:sz w:val="28"/>
          <w:szCs w:val="28"/>
        </w:rPr>
        <w:tab/>
      </w:r>
      <w:r>
        <w:rPr>
          <w:sz w:val="28"/>
          <w:szCs w:val="28"/>
        </w:rPr>
        <w:fldChar w:fldCharType="begin"/>
      </w:r>
      <w:r>
        <w:rPr>
          <w:sz w:val="28"/>
          <w:szCs w:val="28"/>
        </w:rPr>
        <w:instrText xml:space="preserve"> PAGEREF _Toc7782 \h </w:instrText>
      </w:r>
      <w:r>
        <w:rPr>
          <w:sz w:val="28"/>
          <w:szCs w:val="28"/>
        </w:rPr>
        <w:fldChar w:fldCharType="separate"/>
      </w:r>
      <w:r>
        <w:rPr>
          <w:sz w:val="28"/>
          <w:szCs w:val="28"/>
        </w:rPr>
        <w:t>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_Toc24389 </w:instrText>
      </w:r>
      <w:r>
        <w:rPr>
          <w:rFonts w:hint="eastAsia" w:hAnsi="宋体" w:cs="宋体"/>
          <w:bCs/>
          <w:sz w:val="28"/>
          <w:szCs w:val="28"/>
          <w:highlight w:val="yellow"/>
          <w:shd w:val="pct10" w:color="auto" w:fill="FFFFFF"/>
        </w:rPr>
        <w:fldChar w:fldCharType="separate"/>
      </w:r>
      <w:r>
        <w:rPr>
          <w:rFonts w:hint="eastAsia" w:hAnsi="宋体" w:cs="宋体"/>
          <w:bCs/>
          <w:sz w:val="28"/>
          <w:szCs w:val="28"/>
        </w:rPr>
        <w:t>四、估价对象</w:t>
      </w:r>
      <w:r>
        <w:rPr>
          <w:sz w:val="28"/>
          <w:szCs w:val="28"/>
        </w:rPr>
        <w:tab/>
      </w:r>
      <w:r>
        <w:rPr>
          <w:sz w:val="28"/>
          <w:szCs w:val="28"/>
        </w:rPr>
        <w:fldChar w:fldCharType="begin"/>
      </w:r>
      <w:r>
        <w:rPr>
          <w:sz w:val="28"/>
          <w:szCs w:val="28"/>
        </w:rPr>
        <w:instrText xml:space="preserve"> PAGEREF _Toc24389 \h </w:instrText>
      </w:r>
      <w:r>
        <w:rPr>
          <w:sz w:val="28"/>
          <w:szCs w:val="28"/>
        </w:rPr>
        <w:fldChar w:fldCharType="separate"/>
      </w:r>
      <w:r>
        <w:rPr>
          <w:sz w:val="28"/>
          <w:szCs w:val="28"/>
        </w:rPr>
        <w:t>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_Toc19962 </w:instrText>
      </w:r>
      <w:r>
        <w:rPr>
          <w:rFonts w:hint="eastAsia" w:hAnsi="宋体" w:cs="宋体"/>
          <w:bCs/>
          <w:sz w:val="28"/>
          <w:szCs w:val="28"/>
          <w:highlight w:val="yellow"/>
          <w:shd w:val="pct10" w:color="auto" w:fill="FFFFFF"/>
        </w:rPr>
        <w:fldChar w:fldCharType="separate"/>
      </w:r>
      <w:r>
        <w:rPr>
          <w:rFonts w:hint="eastAsia"/>
          <w:bCs/>
          <w:sz w:val="28"/>
          <w:szCs w:val="28"/>
        </w:rPr>
        <w:t>五、价值时点</w:t>
      </w:r>
      <w:r>
        <w:rPr>
          <w:sz w:val="28"/>
          <w:szCs w:val="28"/>
        </w:rPr>
        <w:tab/>
      </w:r>
      <w:r>
        <w:rPr>
          <w:sz w:val="28"/>
          <w:szCs w:val="28"/>
        </w:rPr>
        <w:fldChar w:fldCharType="begin"/>
      </w:r>
      <w:r>
        <w:rPr>
          <w:sz w:val="28"/>
          <w:szCs w:val="28"/>
        </w:rPr>
        <w:instrText xml:space="preserve"> PAGEREF _Toc19962 \h </w:instrText>
      </w:r>
      <w:r>
        <w:rPr>
          <w:sz w:val="28"/>
          <w:szCs w:val="28"/>
        </w:rPr>
        <w:fldChar w:fldCharType="separate"/>
      </w:r>
      <w:r>
        <w:rPr>
          <w:sz w:val="28"/>
          <w:szCs w:val="28"/>
        </w:rPr>
        <w:t>11</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_Toc26513 </w:instrText>
      </w:r>
      <w:r>
        <w:rPr>
          <w:rFonts w:hint="eastAsia" w:hAnsi="宋体" w:cs="宋体"/>
          <w:bCs/>
          <w:sz w:val="28"/>
          <w:szCs w:val="28"/>
          <w:highlight w:val="yellow"/>
          <w:shd w:val="pct10" w:color="auto" w:fill="FFFFFF"/>
        </w:rPr>
        <w:fldChar w:fldCharType="separate"/>
      </w:r>
      <w:r>
        <w:rPr>
          <w:rFonts w:hint="eastAsia"/>
          <w:bCs/>
          <w:sz w:val="28"/>
          <w:szCs w:val="28"/>
        </w:rPr>
        <w:t>六、价值类型</w:t>
      </w:r>
      <w:r>
        <w:rPr>
          <w:sz w:val="28"/>
          <w:szCs w:val="28"/>
        </w:rPr>
        <w:tab/>
      </w:r>
      <w:r>
        <w:rPr>
          <w:sz w:val="28"/>
          <w:szCs w:val="28"/>
        </w:rPr>
        <w:fldChar w:fldCharType="begin"/>
      </w:r>
      <w:r>
        <w:rPr>
          <w:sz w:val="28"/>
          <w:szCs w:val="28"/>
        </w:rPr>
        <w:instrText xml:space="preserve"> PAGEREF _Toc26513 \h </w:instrText>
      </w:r>
      <w:r>
        <w:rPr>
          <w:sz w:val="28"/>
          <w:szCs w:val="28"/>
        </w:rPr>
        <w:fldChar w:fldCharType="separate"/>
      </w:r>
      <w:r>
        <w:rPr>
          <w:sz w:val="28"/>
          <w:szCs w:val="28"/>
        </w:rPr>
        <w:t>12</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_Toc15509 </w:instrText>
      </w:r>
      <w:r>
        <w:rPr>
          <w:rFonts w:hint="eastAsia" w:hAnsi="宋体" w:cs="宋体"/>
          <w:bCs/>
          <w:sz w:val="28"/>
          <w:szCs w:val="28"/>
          <w:highlight w:val="yellow"/>
          <w:shd w:val="pct10" w:color="auto" w:fill="FFFFFF"/>
        </w:rPr>
        <w:fldChar w:fldCharType="separate"/>
      </w:r>
      <w:r>
        <w:rPr>
          <w:rFonts w:hint="eastAsia"/>
          <w:bCs/>
          <w:sz w:val="28"/>
          <w:szCs w:val="28"/>
        </w:rPr>
        <w:t>七、估价原则</w:t>
      </w:r>
      <w:r>
        <w:rPr>
          <w:sz w:val="28"/>
          <w:szCs w:val="28"/>
        </w:rPr>
        <w:tab/>
      </w:r>
      <w:r>
        <w:rPr>
          <w:sz w:val="28"/>
          <w:szCs w:val="28"/>
        </w:rPr>
        <w:fldChar w:fldCharType="begin"/>
      </w:r>
      <w:r>
        <w:rPr>
          <w:sz w:val="28"/>
          <w:szCs w:val="28"/>
        </w:rPr>
        <w:instrText xml:space="preserve"> PAGEREF _Toc15509 \h </w:instrText>
      </w:r>
      <w:r>
        <w:rPr>
          <w:sz w:val="28"/>
          <w:szCs w:val="28"/>
        </w:rPr>
        <w:fldChar w:fldCharType="separate"/>
      </w:r>
      <w:r>
        <w:rPr>
          <w:sz w:val="28"/>
          <w:szCs w:val="28"/>
        </w:rPr>
        <w:t>12</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_Toc8034 </w:instrText>
      </w:r>
      <w:r>
        <w:rPr>
          <w:rFonts w:hint="eastAsia" w:hAnsi="宋体" w:cs="宋体"/>
          <w:bCs/>
          <w:sz w:val="28"/>
          <w:szCs w:val="28"/>
          <w:highlight w:val="yellow"/>
          <w:shd w:val="pct10" w:color="auto" w:fill="FFFFFF"/>
        </w:rPr>
        <w:fldChar w:fldCharType="separate"/>
      </w:r>
      <w:r>
        <w:rPr>
          <w:rFonts w:hint="eastAsia"/>
          <w:bCs/>
          <w:sz w:val="28"/>
          <w:szCs w:val="28"/>
        </w:rPr>
        <w:t>八、估价依据</w:t>
      </w:r>
      <w:r>
        <w:rPr>
          <w:sz w:val="28"/>
          <w:szCs w:val="28"/>
        </w:rPr>
        <w:tab/>
      </w:r>
      <w:r>
        <w:rPr>
          <w:sz w:val="28"/>
          <w:szCs w:val="28"/>
        </w:rPr>
        <w:fldChar w:fldCharType="begin"/>
      </w:r>
      <w:r>
        <w:rPr>
          <w:sz w:val="28"/>
          <w:szCs w:val="28"/>
        </w:rPr>
        <w:instrText xml:space="preserve"> PAGEREF _Toc8034 \h </w:instrText>
      </w:r>
      <w:r>
        <w:rPr>
          <w:sz w:val="28"/>
          <w:szCs w:val="28"/>
        </w:rPr>
        <w:fldChar w:fldCharType="separate"/>
      </w:r>
      <w:r>
        <w:rPr>
          <w:sz w:val="28"/>
          <w:szCs w:val="28"/>
        </w:rPr>
        <w:t>13</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_Toc15330 </w:instrText>
      </w:r>
      <w:r>
        <w:rPr>
          <w:rFonts w:hint="eastAsia" w:hAnsi="宋体" w:cs="宋体"/>
          <w:bCs/>
          <w:sz w:val="28"/>
          <w:szCs w:val="28"/>
          <w:highlight w:val="yellow"/>
          <w:shd w:val="pct10" w:color="auto" w:fill="FFFFFF"/>
        </w:rPr>
        <w:fldChar w:fldCharType="separate"/>
      </w:r>
      <w:r>
        <w:rPr>
          <w:rFonts w:hint="eastAsia"/>
          <w:bCs/>
          <w:sz w:val="28"/>
          <w:szCs w:val="28"/>
        </w:rPr>
        <w:t>九、估价方法</w:t>
      </w:r>
      <w:r>
        <w:rPr>
          <w:sz w:val="28"/>
          <w:szCs w:val="28"/>
        </w:rPr>
        <w:tab/>
      </w:r>
      <w:r>
        <w:rPr>
          <w:sz w:val="28"/>
          <w:szCs w:val="28"/>
        </w:rPr>
        <w:fldChar w:fldCharType="begin"/>
      </w:r>
      <w:r>
        <w:rPr>
          <w:sz w:val="28"/>
          <w:szCs w:val="28"/>
        </w:rPr>
        <w:instrText xml:space="preserve"> PAGEREF _Toc15330 \h </w:instrText>
      </w:r>
      <w:r>
        <w:rPr>
          <w:sz w:val="28"/>
          <w:szCs w:val="28"/>
        </w:rPr>
        <w:fldChar w:fldCharType="separate"/>
      </w:r>
      <w:r>
        <w:rPr>
          <w:sz w:val="28"/>
          <w:szCs w:val="28"/>
        </w:rPr>
        <w:t>15</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_Toc6232 </w:instrText>
      </w:r>
      <w:r>
        <w:rPr>
          <w:rFonts w:hint="eastAsia" w:hAnsi="宋体" w:cs="宋体"/>
          <w:bCs/>
          <w:sz w:val="28"/>
          <w:szCs w:val="28"/>
          <w:highlight w:val="yellow"/>
          <w:shd w:val="pct10" w:color="auto" w:fill="FFFFFF"/>
        </w:rPr>
        <w:fldChar w:fldCharType="separate"/>
      </w:r>
      <w:r>
        <w:rPr>
          <w:rFonts w:hint="eastAsia"/>
          <w:bCs/>
          <w:sz w:val="28"/>
          <w:szCs w:val="28"/>
          <w:lang w:val="en-US" w:eastAsia="zh-CN"/>
        </w:rPr>
        <w:t>十</w:t>
      </w:r>
      <w:r>
        <w:rPr>
          <w:rFonts w:hint="eastAsia"/>
          <w:bCs/>
          <w:sz w:val="28"/>
          <w:szCs w:val="28"/>
        </w:rPr>
        <w:t>、估价</w:t>
      </w:r>
      <w:r>
        <w:rPr>
          <w:rFonts w:hint="eastAsia"/>
          <w:bCs/>
          <w:sz w:val="28"/>
          <w:szCs w:val="28"/>
          <w:lang w:val="en-US" w:eastAsia="zh-CN"/>
        </w:rPr>
        <w:t>结果</w:t>
      </w:r>
      <w:r>
        <w:rPr>
          <w:sz w:val="28"/>
          <w:szCs w:val="28"/>
        </w:rPr>
        <w:tab/>
      </w:r>
      <w:r>
        <w:rPr>
          <w:sz w:val="28"/>
          <w:szCs w:val="28"/>
        </w:rPr>
        <w:fldChar w:fldCharType="begin"/>
      </w:r>
      <w:r>
        <w:rPr>
          <w:sz w:val="28"/>
          <w:szCs w:val="28"/>
        </w:rPr>
        <w:instrText xml:space="preserve"> PAGEREF _Toc6232 \h </w:instrText>
      </w:r>
      <w:r>
        <w:rPr>
          <w:sz w:val="28"/>
          <w:szCs w:val="28"/>
        </w:rPr>
        <w:fldChar w:fldCharType="separate"/>
      </w:r>
      <w:r>
        <w:rPr>
          <w:sz w:val="28"/>
          <w:szCs w:val="28"/>
        </w:rPr>
        <w:t>16</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_Toc11010 </w:instrText>
      </w:r>
      <w:r>
        <w:rPr>
          <w:rFonts w:hint="eastAsia" w:hAnsi="宋体" w:cs="宋体"/>
          <w:bCs/>
          <w:sz w:val="28"/>
          <w:szCs w:val="28"/>
          <w:highlight w:val="yellow"/>
          <w:shd w:val="pct10" w:color="auto" w:fill="FFFFFF"/>
        </w:rPr>
        <w:fldChar w:fldCharType="separate"/>
      </w:r>
      <w:r>
        <w:rPr>
          <w:rFonts w:hint="eastAsia"/>
          <w:bCs/>
          <w:sz w:val="28"/>
          <w:szCs w:val="28"/>
          <w:lang w:val="en-US" w:eastAsia="zh-CN"/>
        </w:rPr>
        <w:t>十一</w:t>
      </w:r>
      <w:r>
        <w:rPr>
          <w:rFonts w:hint="eastAsia"/>
          <w:bCs/>
          <w:sz w:val="28"/>
          <w:szCs w:val="28"/>
        </w:rPr>
        <w:t>、</w:t>
      </w:r>
      <w:r>
        <w:rPr>
          <w:rFonts w:hint="eastAsia"/>
          <w:bCs/>
          <w:sz w:val="28"/>
          <w:szCs w:val="28"/>
          <w:lang w:val="en-US" w:eastAsia="zh-CN"/>
        </w:rPr>
        <w:t>注册房地产估价师</w:t>
      </w:r>
      <w:r>
        <w:rPr>
          <w:sz w:val="28"/>
          <w:szCs w:val="28"/>
        </w:rPr>
        <w:tab/>
      </w:r>
      <w:r>
        <w:rPr>
          <w:sz w:val="28"/>
          <w:szCs w:val="28"/>
        </w:rPr>
        <w:fldChar w:fldCharType="begin"/>
      </w:r>
      <w:r>
        <w:rPr>
          <w:sz w:val="28"/>
          <w:szCs w:val="28"/>
        </w:rPr>
        <w:instrText xml:space="preserve"> PAGEREF _Toc11010 \h </w:instrText>
      </w:r>
      <w:r>
        <w:rPr>
          <w:sz w:val="28"/>
          <w:szCs w:val="28"/>
        </w:rPr>
        <w:fldChar w:fldCharType="separate"/>
      </w:r>
      <w:r>
        <w:rPr>
          <w:sz w:val="28"/>
          <w:szCs w:val="28"/>
        </w:rPr>
        <w:t>17</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_Toc274 </w:instrText>
      </w:r>
      <w:r>
        <w:rPr>
          <w:rFonts w:hint="eastAsia" w:hAnsi="宋体" w:cs="宋体"/>
          <w:bCs/>
          <w:sz w:val="28"/>
          <w:szCs w:val="28"/>
          <w:highlight w:val="yellow"/>
          <w:shd w:val="pct10" w:color="auto" w:fill="FFFFFF"/>
        </w:rPr>
        <w:fldChar w:fldCharType="separate"/>
      </w:r>
      <w:r>
        <w:rPr>
          <w:rFonts w:hint="eastAsia"/>
          <w:bCs/>
          <w:sz w:val="28"/>
          <w:szCs w:val="28"/>
        </w:rPr>
        <w:t>十二、实地查勘期</w:t>
      </w:r>
      <w:r>
        <w:rPr>
          <w:sz w:val="28"/>
          <w:szCs w:val="28"/>
        </w:rPr>
        <w:tab/>
      </w:r>
      <w:r>
        <w:rPr>
          <w:sz w:val="28"/>
          <w:szCs w:val="28"/>
        </w:rPr>
        <w:fldChar w:fldCharType="begin"/>
      </w:r>
      <w:r>
        <w:rPr>
          <w:sz w:val="28"/>
          <w:szCs w:val="28"/>
        </w:rPr>
        <w:instrText xml:space="preserve"> PAGEREF _Toc274 \h </w:instrText>
      </w:r>
      <w:r>
        <w:rPr>
          <w:sz w:val="28"/>
          <w:szCs w:val="28"/>
        </w:rPr>
        <w:fldChar w:fldCharType="separate"/>
      </w:r>
      <w:r>
        <w:rPr>
          <w:sz w:val="28"/>
          <w:szCs w:val="28"/>
        </w:rPr>
        <w:t>17</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_Toc556 </w:instrText>
      </w:r>
      <w:r>
        <w:rPr>
          <w:rFonts w:hint="eastAsia" w:hAnsi="宋体" w:cs="宋体"/>
          <w:bCs/>
          <w:sz w:val="28"/>
          <w:szCs w:val="28"/>
          <w:highlight w:val="yellow"/>
          <w:shd w:val="pct10" w:color="auto" w:fill="FFFFFF"/>
        </w:rPr>
        <w:fldChar w:fldCharType="separate"/>
      </w:r>
      <w:r>
        <w:rPr>
          <w:rFonts w:hint="eastAsia"/>
          <w:bCs/>
          <w:sz w:val="28"/>
          <w:szCs w:val="28"/>
        </w:rPr>
        <w:t>十三、估价作业期</w:t>
      </w:r>
      <w:r>
        <w:rPr>
          <w:sz w:val="28"/>
          <w:szCs w:val="28"/>
        </w:rPr>
        <w:tab/>
      </w:r>
      <w:r>
        <w:rPr>
          <w:sz w:val="28"/>
          <w:szCs w:val="28"/>
        </w:rPr>
        <w:fldChar w:fldCharType="begin"/>
      </w:r>
      <w:r>
        <w:rPr>
          <w:sz w:val="28"/>
          <w:szCs w:val="28"/>
        </w:rPr>
        <w:instrText xml:space="preserve"> PAGEREF _Toc556 \h </w:instrText>
      </w:r>
      <w:r>
        <w:rPr>
          <w:sz w:val="28"/>
          <w:szCs w:val="28"/>
        </w:rPr>
        <w:fldChar w:fldCharType="separate"/>
      </w:r>
      <w:r>
        <w:rPr>
          <w:sz w:val="28"/>
          <w:szCs w:val="28"/>
        </w:rPr>
        <w:t>17</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_Toc11440 </w:instrText>
      </w:r>
      <w:r>
        <w:rPr>
          <w:rFonts w:hint="eastAsia" w:hAnsi="宋体" w:cs="宋体"/>
          <w:bCs/>
          <w:sz w:val="28"/>
          <w:szCs w:val="28"/>
          <w:highlight w:val="yellow"/>
          <w:shd w:val="pct10" w:color="auto" w:fill="FFFFFF"/>
        </w:rPr>
        <w:fldChar w:fldCharType="separate"/>
      </w:r>
      <w:r>
        <w:rPr>
          <w:rFonts w:hint="eastAsia"/>
          <w:sz w:val="28"/>
          <w:szCs w:val="28"/>
          <w:shd w:val="pct10" w:color="auto" w:fill="FFFFFF"/>
        </w:rPr>
        <w:t>估价技术报告</w:t>
      </w:r>
      <w:r>
        <w:rPr>
          <w:sz w:val="28"/>
          <w:szCs w:val="28"/>
        </w:rPr>
        <w:tab/>
      </w:r>
      <w:r>
        <w:rPr>
          <w:sz w:val="28"/>
          <w:szCs w:val="28"/>
        </w:rPr>
        <w:fldChar w:fldCharType="begin"/>
      </w:r>
      <w:r>
        <w:rPr>
          <w:sz w:val="28"/>
          <w:szCs w:val="28"/>
        </w:rPr>
        <w:instrText xml:space="preserve"> PAGEREF _Toc11440 \h </w:instrText>
      </w:r>
      <w:r>
        <w:rPr>
          <w:sz w:val="28"/>
          <w:szCs w:val="28"/>
        </w:rPr>
        <w:fldChar w:fldCharType="separate"/>
      </w:r>
      <w:r>
        <w:rPr>
          <w:sz w:val="28"/>
          <w:szCs w:val="28"/>
        </w:rPr>
        <w:t>18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_Toc15520 </w:instrText>
      </w:r>
      <w:r>
        <w:rPr>
          <w:rFonts w:hint="eastAsia" w:hAnsi="宋体" w:cs="宋体"/>
          <w:bCs/>
          <w:sz w:val="28"/>
          <w:szCs w:val="28"/>
          <w:highlight w:val="yellow"/>
          <w:shd w:val="pct10" w:color="auto" w:fill="FFFFFF"/>
        </w:rPr>
        <w:fldChar w:fldCharType="separate"/>
      </w:r>
      <w:r>
        <w:rPr>
          <w:rFonts w:hint="eastAsia"/>
          <w:bCs/>
          <w:sz w:val="28"/>
          <w:szCs w:val="28"/>
        </w:rPr>
        <w:t>一、估价对象描述与分析</w:t>
      </w:r>
      <w:r>
        <w:rPr>
          <w:sz w:val="28"/>
          <w:szCs w:val="28"/>
        </w:rPr>
        <w:tab/>
      </w:r>
      <w:r>
        <w:rPr>
          <w:sz w:val="28"/>
          <w:szCs w:val="28"/>
        </w:rPr>
        <w:fldChar w:fldCharType="begin"/>
      </w:r>
      <w:r>
        <w:rPr>
          <w:sz w:val="28"/>
          <w:szCs w:val="28"/>
        </w:rPr>
        <w:instrText xml:space="preserve"> PAGEREF _Toc15520 \h </w:instrText>
      </w:r>
      <w:r>
        <w:rPr>
          <w:sz w:val="28"/>
          <w:szCs w:val="28"/>
        </w:rPr>
        <w:fldChar w:fldCharType="separate"/>
      </w:r>
      <w:r>
        <w:rPr>
          <w:sz w:val="28"/>
          <w:szCs w:val="28"/>
        </w:rPr>
        <w:t>18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_Toc21388 </w:instrText>
      </w:r>
      <w:r>
        <w:rPr>
          <w:rFonts w:hint="eastAsia" w:hAnsi="宋体" w:cs="宋体"/>
          <w:bCs/>
          <w:sz w:val="28"/>
          <w:szCs w:val="28"/>
          <w:highlight w:val="yellow"/>
          <w:shd w:val="pct10" w:color="auto" w:fill="FFFFFF"/>
        </w:rPr>
        <w:fldChar w:fldCharType="separate"/>
      </w:r>
      <w:r>
        <w:rPr>
          <w:rFonts w:hint="eastAsia"/>
          <w:bCs/>
          <w:sz w:val="28"/>
          <w:szCs w:val="28"/>
        </w:rPr>
        <w:t>二、市场背景描述与分析</w:t>
      </w:r>
      <w:r>
        <w:rPr>
          <w:sz w:val="28"/>
          <w:szCs w:val="28"/>
        </w:rPr>
        <w:tab/>
      </w:r>
      <w:r>
        <w:rPr>
          <w:sz w:val="28"/>
          <w:szCs w:val="28"/>
        </w:rPr>
        <w:fldChar w:fldCharType="begin"/>
      </w:r>
      <w:r>
        <w:rPr>
          <w:sz w:val="28"/>
          <w:szCs w:val="28"/>
        </w:rPr>
        <w:instrText xml:space="preserve"> PAGEREF _Toc21388 \h </w:instrText>
      </w:r>
      <w:r>
        <w:rPr>
          <w:sz w:val="28"/>
          <w:szCs w:val="28"/>
        </w:rPr>
        <w:fldChar w:fldCharType="separate"/>
      </w:r>
      <w:r>
        <w:rPr>
          <w:sz w:val="28"/>
          <w:szCs w:val="28"/>
        </w:rPr>
        <w:t>24</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_Toc6912 </w:instrText>
      </w:r>
      <w:r>
        <w:rPr>
          <w:rFonts w:hint="eastAsia" w:hAnsi="宋体" w:cs="宋体"/>
          <w:bCs/>
          <w:sz w:val="28"/>
          <w:szCs w:val="28"/>
          <w:highlight w:val="yellow"/>
          <w:shd w:val="pct10" w:color="auto" w:fill="FFFFFF"/>
        </w:rPr>
        <w:fldChar w:fldCharType="separate"/>
      </w:r>
      <w:r>
        <w:rPr>
          <w:rFonts w:hint="eastAsia"/>
          <w:bCs/>
          <w:sz w:val="28"/>
          <w:szCs w:val="28"/>
        </w:rPr>
        <w:t>三、最高最佳利用分析</w:t>
      </w:r>
      <w:r>
        <w:rPr>
          <w:sz w:val="28"/>
          <w:szCs w:val="28"/>
        </w:rPr>
        <w:tab/>
      </w:r>
      <w:r>
        <w:rPr>
          <w:sz w:val="28"/>
          <w:szCs w:val="28"/>
        </w:rPr>
        <w:fldChar w:fldCharType="begin"/>
      </w:r>
      <w:r>
        <w:rPr>
          <w:sz w:val="28"/>
          <w:szCs w:val="28"/>
        </w:rPr>
        <w:instrText xml:space="preserve"> PAGEREF _Toc6912 \h </w:instrText>
      </w:r>
      <w:r>
        <w:rPr>
          <w:sz w:val="28"/>
          <w:szCs w:val="28"/>
        </w:rPr>
        <w:fldChar w:fldCharType="separate"/>
      </w:r>
      <w:r>
        <w:rPr>
          <w:sz w:val="28"/>
          <w:szCs w:val="28"/>
        </w:rPr>
        <w:t>26</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_Toc16044 </w:instrText>
      </w:r>
      <w:r>
        <w:rPr>
          <w:rFonts w:hint="eastAsia" w:hAnsi="宋体" w:cs="宋体"/>
          <w:bCs/>
          <w:sz w:val="28"/>
          <w:szCs w:val="28"/>
          <w:highlight w:val="yellow"/>
          <w:shd w:val="pct10" w:color="auto" w:fill="FFFFFF"/>
        </w:rPr>
        <w:fldChar w:fldCharType="separate"/>
      </w:r>
      <w:r>
        <w:rPr>
          <w:rFonts w:hint="eastAsia"/>
          <w:bCs/>
          <w:sz w:val="28"/>
          <w:szCs w:val="28"/>
        </w:rPr>
        <w:t>四、估价方法选用</w:t>
      </w:r>
      <w:r>
        <w:rPr>
          <w:sz w:val="28"/>
          <w:szCs w:val="28"/>
        </w:rPr>
        <w:tab/>
      </w:r>
      <w:r>
        <w:rPr>
          <w:sz w:val="28"/>
          <w:szCs w:val="28"/>
        </w:rPr>
        <w:fldChar w:fldCharType="begin"/>
      </w:r>
      <w:r>
        <w:rPr>
          <w:sz w:val="28"/>
          <w:szCs w:val="28"/>
        </w:rPr>
        <w:instrText xml:space="preserve"> PAGEREF _Toc16044 \h </w:instrText>
      </w:r>
      <w:r>
        <w:rPr>
          <w:sz w:val="28"/>
          <w:szCs w:val="28"/>
        </w:rPr>
        <w:fldChar w:fldCharType="separate"/>
      </w:r>
      <w:r>
        <w:rPr>
          <w:sz w:val="28"/>
          <w:szCs w:val="28"/>
        </w:rPr>
        <w:t>27</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_Toc18815 </w:instrText>
      </w:r>
      <w:r>
        <w:rPr>
          <w:rFonts w:hint="eastAsia" w:hAnsi="宋体" w:cs="宋体"/>
          <w:bCs/>
          <w:sz w:val="28"/>
          <w:szCs w:val="28"/>
          <w:highlight w:val="yellow"/>
          <w:shd w:val="pct10" w:color="auto" w:fill="FFFFFF"/>
        </w:rPr>
        <w:fldChar w:fldCharType="separate"/>
      </w:r>
      <w:r>
        <w:rPr>
          <w:rFonts w:hint="eastAsia"/>
          <w:bCs/>
          <w:sz w:val="28"/>
          <w:szCs w:val="28"/>
        </w:rPr>
        <w:t>五、估价测算过程</w:t>
      </w:r>
      <w:r>
        <w:rPr>
          <w:sz w:val="28"/>
          <w:szCs w:val="28"/>
        </w:rPr>
        <w:tab/>
      </w:r>
      <w:r>
        <w:rPr>
          <w:sz w:val="28"/>
          <w:szCs w:val="28"/>
        </w:rPr>
        <w:fldChar w:fldCharType="begin"/>
      </w:r>
      <w:r>
        <w:rPr>
          <w:sz w:val="28"/>
          <w:szCs w:val="28"/>
        </w:rPr>
        <w:instrText xml:space="preserve"> PAGEREF _Toc18815 \h </w:instrText>
      </w:r>
      <w:r>
        <w:rPr>
          <w:sz w:val="28"/>
          <w:szCs w:val="28"/>
        </w:rPr>
        <w:fldChar w:fldCharType="separate"/>
      </w:r>
      <w:r>
        <w:rPr>
          <w:sz w:val="28"/>
          <w:szCs w:val="28"/>
        </w:rPr>
        <w:t>28</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20"/>
        <w:keepNext w:val="0"/>
        <w:keepLines w:val="0"/>
        <w:pageBreakBefore w:val="0"/>
        <w:widowControl w:val="0"/>
        <w:tabs>
          <w:tab w:val="right" w:leader="dot" w:pos="9298"/>
          <w:tab w:val="clear" w:pos="9060"/>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_Toc23472 </w:instrText>
      </w:r>
      <w:r>
        <w:rPr>
          <w:rFonts w:hint="eastAsia" w:hAnsi="宋体" w:cs="宋体"/>
          <w:bCs/>
          <w:sz w:val="28"/>
          <w:szCs w:val="28"/>
          <w:highlight w:val="yellow"/>
          <w:shd w:val="pct10" w:color="auto" w:fill="FFFFFF"/>
        </w:rPr>
        <w:fldChar w:fldCharType="separate"/>
      </w:r>
      <w:r>
        <w:rPr>
          <w:rFonts w:hint="eastAsia"/>
          <w:bCs/>
          <w:sz w:val="28"/>
          <w:szCs w:val="28"/>
        </w:rPr>
        <w:t>六、估价结果确定</w:t>
      </w:r>
      <w:r>
        <w:rPr>
          <w:sz w:val="28"/>
          <w:szCs w:val="28"/>
        </w:rPr>
        <w:tab/>
      </w:r>
      <w:r>
        <w:rPr>
          <w:sz w:val="28"/>
          <w:szCs w:val="28"/>
        </w:rPr>
        <w:fldChar w:fldCharType="begin"/>
      </w:r>
      <w:r>
        <w:rPr>
          <w:sz w:val="28"/>
          <w:szCs w:val="28"/>
        </w:rPr>
        <w:instrText xml:space="preserve"> PAGEREF _Toc23472 \h </w:instrText>
      </w:r>
      <w:r>
        <w:rPr>
          <w:sz w:val="28"/>
          <w:szCs w:val="28"/>
        </w:rPr>
        <w:fldChar w:fldCharType="separate"/>
      </w:r>
      <w:r>
        <w:rPr>
          <w:sz w:val="28"/>
          <w:szCs w:val="28"/>
        </w:rPr>
        <w:t>44</w:t>
      </w:r>
      <w:r>
        <w:rPr>
          <w:sz w:val="28"/>
          <w:szCs w:val="28"/>
        </w:rPr>
        <w:fldChar w:fldCharType="end"/>
      </w:r>
      <w:r>
        <w:rPr>
          <w:rFonts w:hint="eastAsia" w:hAnsi="宋体" w:cs="宋体"/>
          <w:bCs/>
          <w:color w:val="auto"/>
          <w:sz w:val="28"/>
          <w:szCs w:val="28"/>
          <w:highlight w:val="yellow"/>
          <w:shd w:val="pct10" w:color="auto" w:fill="FFFFFF"/>
        </w:rPr>
        <w:fldChar w:fldCharType="end"/>
      </w:r>
    </w:p>
    <w:p>
      <w:pPr>
        <w:pStyle w:val="16"/>
        <w:keepNext w:val="0"/>
        <w:keepLines w:val="0"/>
        <w:pageBreakBefore w:val="0"/>
        <w:widowControl w:val="0"/>
        <w:tabs>
          <w:tab w:val="right" w:leader="dot" w:pos="9298"/>
        </w:tabs>
        <w:kinsoku/>
        <w:wordWrap/>
        <w:overflowPunct/>
        <w:topLinePunct w:val="0"/>
        <w:autoSpaceDE/>
        <w:autoSpaceDN/>
        <w:bidi w:val="0"/>
        <w:adjustRightInd/>
        <w:snapToGrid/>
        <w:spacing w:line="560" w:lineRule="exact"/>
        <w:textAlignment w:val="auto"/>
        <w:rPr>
          <w:sz w:val="28"/>
          <w:szCs w:val="28"/>
        </w:rPr>
      </w:pPr>
      <w:r>
        <w:rPr>
          <w:rFonts w:hint="eastAsia" w:hAnsi="宋体" w:cs="宋体"/>
          <w:bCs/>
          <w:color w:val="auto"/>
          <w:sz w:val="28"/>
          <w:szCs w:val="28"/>
          <w:highlight w:val="yellow"/>
          <w:shd w:val="pct10" w:color="auto" w:fill="FFFFFF"/>
        </w:rPr>
        <w:fldChar w:fldCharType="begin"/>
      </w:r>
      <w:r>
        <w:rPr>
          <w:rFonts w:hint="eastAsia" w:hAnsi="宋体" w:cs="宋体"/>
          <w:bCs/>
          <w:sz w:val="28"/>
          <w:szCs w:val="28"/>
          <w:highlight w:val="yellow"/>
          <w:shd w:val="pct10" w:color="auto" w:fill="FFFFFF"/>
        </w:rPr>
        <w:instrText xml:space="preserve"> HYPERLINK \l _Toc4239 </w:instrText>
      </w:r>
      <w:r>
        <w:rPr>
          <w:rFonts w:hint="eastAsia" w:hAnsi="宋体" w:cs="宋体"/>
          <w:bCs/>
          <w:sz w:val="28"/>
          <w:szCs w:val="28"/>
          <w:highlight w:val="yellow"/>
          <w:shd w:val="pct10" w:color="auto" w:fill="FFFFFF"/>
        </w:rPr>
        <w:fldChar w:fldCharType="separate"/>
      </w:r>
      <w:r>
        <w:rPr>
          <w:rFonts w:hint="eastAsia"/>
          <w:sz w:val="28"/>
          <w:szCs w:val="28"/>
          <w:shd w:val="pct10" w:color="auto" w:fill="FFFFFF"/>
        </w:rPr>
        <w:t>附 件</w:t>
      </w:r>
      <w:r>
        <w:rPr>
          <w:sz w:val="28"/>
          <w:szCs w:val="28"/>
        </w:rPr>
        <w:tab/>
      </w:r>
      <w:r>
        <w:rPr>
          <w:sz w:val="28"/>
          <w:szCs w:val="28"/>
        </w:rPr>
        <w:fldChar w:fldCharType="begin"/>
      </w:r>
      <w:r>
        <w:rPr>
          <w:sz w:val="28"/>
          <w:szCs w:val="28"/>
        </w:rPr>
        <w:instrText xml:space="preserve"> PAGEREF _Toc4239 \h </w:instrText>
      </w:r>
      <w:r>
        <w:rPr>
          <w:sz w:val="28"/>
          <w:szCs w:val="28"/>
        </w:rPr>
        <w:fldChar w:fldCharType="separate"/>
      </w:r>
      <w:r>
        <w:rPr>
          <w:sz w:val="28"/>
          <w:szCs w:val="28"/>
        </w:rPr>
        <w:t>45</w:t>
      </w:r>
      <w:r>
        <w:rPr>
          <w:sz w:val="28"/>
          <w:szCs w:val="28"/>
        </w:rPr>
        <w:fldChar w:fldCharType="end"/>
      </w:r>
      <w:r>
        <w:rPr>
          <w:rFonts w:hint="eastAsia" w:hAnsi="宋体" w:cs="宋体"/>
          <w:bCs/>
          <w:color w:val="auto"/>
          <w:sz w:val="28"/>
          <w:szCs w:val="28"/>
          <w:highlight w:val="yellow"/>
          <w:shd w:val="pct10" w:color="auto" w:fill="FFFFFF"/>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宋体" w:hAnsi="Times New Roman" w:eastAsia="宋体" w:cs="Times New Roman"/>
          <w:b/>
          <w:bCs/>
          <w:color w:val="auto"/>
          <w:kern w:val="44"/>
          <w:sz w:val="32"/>
          <w:szCs w:val="32"/>
          <w:shd w:val="pct10" w:color="auto" w:fill="FFFFFF"/>
          <w:lang w:val="en-US" w:eastAsia="zh-CN" w:bidi="ar-SA"/>
        </w:rPr>
      </w:pPr>
      <w:r>
        <w:rPr>
          <w:rFonts w:hint="eastAsia" w:hAnsi="宋体" w:cs="宋体"/>
          <w:bCs/>
          <w:color w:val="auto"/>
          <w:sz w:val="28"/>
          <w:szCs w:val="28"/>
          <w:highlight w:val="yellow"/>
          <w:shd w:val="pct10" w:color="auto" w:fill="FFFFFF"/>
        </w:rPr>
        <w:fldChar w:fldCharType="end"/>
      </w:r>
      <w:bookmarkStart w:id="1" w:name="_Toc2937"/>
      <w:r>
        <w:rPr>
          <w:rFonts w:hint="eastAsia" w:ascii="宋体" w:hAnsi="Times New Roman" w:eastAsia="宋体" w:cs="Times New Roman"/>
          <w:b/>
          <w:bCs/>
          <w:color w:val="auto"/>
          <w:kern w:val="44"/>
          <w:sz w:val="32"/>
          <w:szCs w:val="32"/>
          <w:shd w:val="pct10" w:color="auto" w:fill="FFFFFF"/>
          <w:lang w:val="en-US" w:eastAsia="zh-CN" w:bidi="ar-SA"/>
        </w:rPr>
        <w:t>估价师声明</w:t>
      </w:r>
      <w:bookmarkEnd w:id="1"/>
    </w:p>
    <w:p>
      <w:pPr>
        <w:adjustRightInd w:val="0"/>
        <w:snapToGrid w:val="0"/>
        <w:spacing w:line="520" w:lineRule="exact"/>
        <w:rPr>
          <w:b/>
          <w:bCs/>
          <w:color w:val="auto"/>
          <w:sz w:val="28"/>
        </w:rPr>
      </w:pPr>
      <w:r>
        <w:rPr>
          <w:rFonts w:hint="eastAsia"/>
          <w:b/>
          <w:bCs/>
          <w:color w:val="auto"/>
          <w:sz w:val="28"/>
        </w:rPr>
        <w:t>我们郑重声明：</w:t>
      </w:r>
    </w:p>
    <w:p>
      <w:pPr>
        <w:adjustRightInd w:val="0"/>
        <w:snapToGrid w:val="0"/>
        <w:spacing w:line="520" w:lineRule="exact"/>
        <w:ind w:firstLine="560" w:firstLineChars="200"/>
        <w:rPr>
          <w:color w:val="auto"/>
          <w:sz w:val="28"/>
        </w:rPr>
      </w:pPr>
      <w:r>
        <w:rPr>
          <w:rFonts w:hint="eastAsia"/>
          <w:color w:val="auto"/>
          <w:sz w:val="28"/>
        </w:rPr>
        <w:t>（一）注册房地产估价师在本估价报告中陈述的事实是真实和准确的，没有虚假记载、误导性陈述和重大遗漏。</w:t>
      </w:r>
    </w:p>
    <w:p>
      <w:pPr>
        <w:adjustRightInd w:val="0"/>
        <w:snapToGrid w:val="0"/>
        <w:spacing w:line="520" w:lineRule="exact"/>
        <w:ind w:firstLine="560" w:firstLineChars="200"/>
        <w:rPr>
          <w:color w:val="auto"/>
          <w:sz w:val="28"/>
        </w:rPr>
      </w:pPr>
      <w:r>
        <w:rPr>
          <w:rFonts w:hint="eastAsia"/>
          <w:color w:val="auto"/>
          <w:sz w:val="28"/>
        </w:rPr>
        <w:t>（二）本估价报告中的分析、意见和结论是注册房地产估价师独立、客观、公正的专业分析、意见和结论，但受到本估价报告中已说明的假设和限制条件的限制。</w:t>
      </w:r>
    </w:p>
    <w:p>
      <w:pPr>
        <w:adjustRightInd w:val="0"/>
        <w:snapToGrid w:val="0"/>
        <w:spacing w:line="520" w:lineRule="exact"/>
        <w:ind w:firstLine="560" w:firstLineChars="200"/>
        <w:rPr>
          <w:color w:val="auto"/>
          <w:sz w:val="28"/>
        </w:rPr>
      </w:pPr>
      <w:r>
        <w:rPr>
          <w:rFonts w:hint="eastAsia"/>
          <w:color w:val="auto"/>
          <w:sz w:val="28"/>
        </w:rPr>
        <w:t>（三）注册房地产估价师与本估价报告中的估价对象没有现实或潜在的利益，与估价委托人及估价利害关系人没有利害关系，也对估价对象、估价委托人及估价利害关系人没有偏见。</w:t>
      </w:r>
    </w:p>
    <w:p>
      <w:pPr>
        <w:adjustRightInd w:val="0"/>
        <w:snapToGrid w:val="0"/>
        <w:spacing w:line="520" w:lineRule="exact"/>
        <w:ind w:firstLine="560" w:firstLineChars="200"/>
        <w:rPr>
          <w:color w:val="auto"/>
          <w:sz w:val="28"/>
        </w:rPr>
      </w:pPr>
      <w:r>
        <w:rPr>
          <w:rFonts w:hint="eastAsia"/>
          <w:color w:val="auto"/>
          <w:sz w:val="28"/>
        </w:rPr>
        <w:t>（四）注册房地产估价师依照中华人民共和国国家标准GB/T 50291-2015《房地产估价规范》、</w:t>
      </w:r>
      <w:r>
        <w:rPr>
          <w:rFonts w:hint="eastAsia" w:hAnsi="宋体"/>
          <w:color w:val="auto"/>
          <w:sz w:val="28"/>
          <w:szCs w:val="28"/>
        </w:rPr>
        <w:t>《房地产估价基本术语标准》（</w:t>
      </w:r>
      <w:r>
        <w:rPr>
          <w:rFonts w:hAnsi="宋体"/>
          <w:color w:val="auto"/>
          <w:sz w:val="28"/>
          <w:szCs w:val="28"/>
        </w:rPr>
        <w:t>GB/T 50899-2013）</w:t>
      </w:r>
      <w:r>
        <w:rPr>
          <w:rFonts w:hint="eastAsia"/>
          <w:color w:val="auto"/>
          <w:sz w:val="28"/>
        </w:rPr>
        <w:t>的规定进行估价工作，撰写本估价报告。</w:t>
      </w:r>
    </w:p>
    <w:p>
      <w:pPr>
        <w:adjustRightInd w:val="0"/>
        <w:snapToGrid w:val="0"/>
        <w:spacing w:line="520" w:lineRule="exact"/>
        <w:ind w:firstLine="560" w:firstLineChars="200"/>
        <w:rPr>
          <w:color w:val="auto"/>
          <w:sz w:val="28"/>
        </w:rPr>
      </w:pPr>
      <w:r>
        <w:rPr>
          <w:rFonts w:hint="eastAsia"/>
          <w:color w:val="auto"/>
          <w:sz w:val="28"/>
        </w:rPr>
        <w:t>（五）</w:t>
      </w:r>
      <w:bookmarkStart w:id="2" w:name="_Toc362509716"/>
      <w:r>
        <w:rPr>
          <w:rFonts w:hint="eastAsia"/>
          <w:color w:val="auto"/>
          <w:sz w:val="28"/>
        </w:rPr>
        <w:t>注册房地产估价师对估价所需资料进行了搜集及检查，估价委托人及产权人对其真实性负责，因其失实造成的后果，房地产估价机构和注册房地产估价师不承担相应责任。</w:t>
      </w:r>
      <w:bookmarkEnd w:id="2"/>
    </w:p>
    <w:p>
      <w:pPr>
        <w:adjustRightInd w:val="0"/>
        <w:snapToGrid w:val="0"/>
        <w:spacing w:line="520" w:lineRule="exact"/>
        <w:ind w:firstLine="560" w:firstLineChars="200"/>
        <w:rPr>
          <w:rFonts w:hint="eastAsia"/>
          <w:color w:val="auto"/>
          <w:sz w:val="28"/>
        </w:rPr>
      </w:pPr>
      <w:bookmarkStart w:id="3" w:name="_Toc362509717"/>
      <w:r>
        <w:rPr>
          <w:rFonts w:hint="eastAsia"/>
          <w:color w:val="auto"/>
          <w:sz w:val="28"/>
        </w:rPr>
        <w:t>（六）</w:t>
      </w:r>
      <w:bookmarkEnd w:id="3"/>
      <w:r>
        <w:rPr>
          <w:rFonts w:hint="eastAsia"/>
          <w:color w:val="auto"/>
          <w:sz w:val="28"/>
        </w:rPr>
        <w:t>本次聘请了马</w:t>
      </w:r>
      <w:r>
        <w:rPr>
          <w:rFonts w:hint="eastAsia"/>
          <w:color w:val="auto"/>
          <w:sz w:val="28"/>
          <w:lang w:val="en-US" w:eastAsia="zh-CN"/>
        </w:rPr>
        <w:t>晓平</w:t>
      </w:r>
      <w:r>
        <w:rPr>
          <w:rFonts w:hint="eastAsia"/>
          <w:color w:val="auto"/>
          <w:sz w:val="28"/>
          <w:lang w:eastAsia="zh-CN"/>
        </w:rPr>
        <w:t>造价</w:t>
      </w:r>
      <w:r>
        <w:rPr>
          <w:rFonts w:hint="eastAsia"/>
          <w:color w:val="auto"/>
          <w:sz w:val="28"/>
        </w:rPr>
        <w:t>工程师</w:t>
      </w:r>
      <w:r>
        <w:rPr>
          <w:rFonts w:hint="eastAsia"/>
          <w:color w:val="auto"/>
          <w:sz w:val="28"/>
          <w:lang w:eastAsia="zh-CN"/>
        </w:rPr>
        <w:t>（</w:t>
      </w:r>
      <w:r>
        <w:rPr>
          <w:rFonts w:hint="eastAsia"/>
          <w:color w:val="auto"/>
          <w:sz w:val="28"/>
          <w:lang w:val="en-US" w:eastAsia="zh-CN"/>
        </w:rPr>
        <w:t>身份证号：140102197910205357</w:t>
      </w:r>
      <w:r>
        <w:rPr>
          <w:rFonts w:hint="eastAsia"/>
          <w:color w:val="auto"/>
          <w:sz w:val="28"/>
          <w:lang w:eastAsia="zh-CN"/>
        </w:rPr>
        <w:t>）</w:t>
      </w:r>
      <w:r>
        <w:rPr>
          <w:rFonts w:hint="eastAsia"/>
          <w:color w:val="auto"/>
          <w:sz w:val="28"/>
        </w:rPr>
        <w:t>对建筑物成本进行了专业测算，对本估价报告提供了重要专业帮助。</w:t>
      </w:r>
    </w:p>
    <w:p>
      <w:pPr>
        <w:adjustRightInd w:val="0"/>
        <w:snapToGrid w:val="0"/>
        <w:spacing w:line="520" w:lineRule="exact"/>
        <w:ind w:firstLine="560" w:firstLineChars="200"/>
        <w:rPr>
          <w:rFonts w:hint="eastAsia"/>
          <w:color w:val="auto"/>
          <w:sz w:val="28"/>
        </w:rPr>
      </w:pPr>
    </w:p>
    <w:p>
      <w:pPr>
        <w:adjustRightInd w:val="0"/>
        <w:snapToGrid w:val="0"/>
        <w:spacing w:line="500" w:lineRule="exact"/>
        <w:ind w:firstLine="800" w:firstLineChars="250"/>
        <w:rPr>
          <w:rFonts w:hAnsi="宋体"/>
          <w:color w:val="auto"/>
          <w:sz w:val="32"/>
        </w:rPr>
      </w:pPr>
    </w:p>
    <w:p>
      <w:pPr>
        <w:spacing w:line="460" w:lineRule="exact"/>
        <w:ind w:firstLine="640" w:firstLineChars="200"/>
        <w:rPr>
          <w:rFonts w:hAnsi="宋体"/>
          <w:color w:val="auto"/>
          <w:sz w:val="32"/>
        </w:rPr>
      </w:pPr>
    </w:p>
    <w:p>
      <w:pPr>
        <w:spacing w:line="460" w:lineRule="exact"/>
        <w:ind w:firstLine="640" w:firstLineChars="200"/>
        <w:rPr>
          <w:rFonts w:hAnsi="宋体"/>
          <w:color w:val="auto"/>
          <w:sz w:val="32"/>
        </w:rPr>
      </w:pPr>
    </w:p>
    <w:p>
      <w:pPr>
        <w:spacing w:line="460" w:lineRule="exact"/>
        <w:ind w:firstLine="640" w:firstLineChars="200"/>
        <w:rPr>
          <w:rFonts w:hAnsi="宋体"/>
          <w:color w:val="auto"/>
          <w:sz w:val="32"/>
        </w:rPr>
      </w:pPr>
    </w:p>
    <w:p>
      <w:pPr>
        <w:spacing w:line="460" w:lineRule="exact"/>
        <w:ind w:firstLine="640" w:firstLineChars="200"/>
        <w:rPr>
          <w:rFonts w:hAnsi="宋体"/>
          <w:color w:val="auto"/>
          <w:sz w:val="32"/>
        </w:rPr>
      </w:pPr>
    </w:p>
    <w:p>
      <w:pPr>
        <w:spacing w:line="460" w:lineRule="exact"/>
        <w:ind w:firstLine="640" w:firstLineChars="200"/>
        <w:rPr>
          <w:rFonts w:hAnsi="宋体"/>
          <w:color w:val="auto"/>
          <w:sz w:val="32"/>
        </w:rPr>
      </w:pPr>
    </w:p>
    <w:p>
      <w:pPr>
        <w:spacing w:line="460" w:lineRule="exact"/>
        <w:ind w:firstLine="640" w:firstLineChars="200"/>
        <w:rPr>
          <w:rFonts w:hAnsi="宋体"/>
          <w:color w:val="auto"/>
          <w:sz w:val="32"/>
        </w:rPr>
      </w:pPr>
    </w:p>
    <w:p>
      <w:pPr>
        <w:pStyle w:val="2"/>
        <w:ind w:firstLine="640"/>
        <w:rPr>
          <w:rFonts w:hAnsi="宋体"/>
          <w:sz w:val="32"/>
        </w:rPr>
      </w:pPr>
    </w:p>
    <w:p>
      <w:pPr>
        <w:pStyle w:val="4"/>
        <w:jc w:val="center"/>
        <w:rPr>
          <w:color w:val="auto"/>
          <w:sz w:val="32"/>
          <w:szCs w:val="32"/>
          <w:shd w:val="pct10" w:color="auto" w:fill="FFFFFF"/>
        </w:rPr>
      </w:pPr>
      <w:bookmarkStart w:id="4" w:name="_Toc7355"/>
      <w:r>
        <w:rPr>
          <w:rFonts w:hint="eastAsia"/>
          <w:color w:val="auto"/>
          <w:sz w:val="32"/>
          <w:szCs w:val="32"/>
          <w:shd w:val="pct10" w:color="auto" w:fill="FFFFFF"/>
        </w:rPr>
        <w:t>估价的假设和限制条件</w:t>
      </w:r>
      <w:bookmarkEnd w:id="4"/>
    </w:p>
    <w:p>
      <w:pPr>
        <w:numPr>
          <w:ilvl w:val="0"/>
          <w:numId w:val="1"/>
        </w:numPr>
        <w:adjustRightInd w:val="0"/>
        <w:snapToGrid w:val="0"/>
        <w:spacing w:beforeLines="50" w:line="520" w:lineRule="exact"/>
        <w:rPr>
          <w:rFonts w:hAnsi="宋体"/>
          <w:color w:val="auto"/>
          <w:sz w:val="28"/>
          <w:szCs w:val="28"/>
        </w:rPr>
      </w:pPr>
      <w:r>
        <w:rPr>
          <w:rFonts w:hint="eastAsia" w:hAnsi="宋体"/>
          <w:b/>
          <w:color w:val="auto"/>
          <w:sz w:val="28"/>
          <w:szCs w:val="28"/>
        </w:rPr>
        <w:t>一般假设</w:t>
      </w:r>
      <w:r>
        <w:rPr>
          <w:rFonts w:hint="eastAsia" w:hAnsi="宋体"/>
          <w:color w:val="auto"/>
          <w:sz w:val="28"/>
          <w:szCs w:val="28"/>
        </w:rPr>
        <w:t>：</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1、估价对象为合法取得，假设估价对象产权清晰、手续齐全，能够正常上市交易。</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2、</w:t>
      </w:r>
      <w:bookmarkStart w:id="5" w:name="_Toc382493608"/>
      <w:r>
        <w:rPr>
          <w:rFonts w:hint="eastAsia" w:hAnsi="宋体"/>
          <w:color w:val="auto"/>
          <w:sz w:val="28"/>
          <w:szCs w:val="28"/>
        </w:rPr>
        <w:t>价值时点的房地产市场为公开、平等、自愿的交易市场。</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3、</w:t>
      </w:r>
      <w:r>
        <w:rPr>
          <w:rFonts w:hint="eastAsia" w:hAnsi="宋体"/>
          <w:sz w:val="28"/>
          <w:szCs w:val="28"/>
        </w:rPr>
        <w:t>任何有关估价对象的运作方式、程序均符合国家、地方的有关法律、法规。</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4、本次估价结果未考虑国家宏观经济政策发生重大变化以及遇有自然力和其他不可抗力对估价结论的影响。</w:t>
      </w:r>
      <w:bookmarkEnd w:id="5"/>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5、本次评估设定委托方提供的资料真实、合法、准确、完整，并且提供了与本次估价有关的所有资料，没有保留及隐瞒。如因委托人提供资料有误而造成评估值失实，估价机构和估价人员不承担责任。</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6、本次估价以估价对象的合法使用为前提，以估价对象在价值时点时的状况为依据进行的，且该状况在估价报告使用期限内无重大变化。</w:t>
      </w:r>
    </w:p>
    <w:p>
      <w:pPr>
        <w:adjustRightInd w:val="0"/>
        <w:snapToGrid w:val="0"/>
        <w:spacing w:line="520" w:lineRule="exact"/>
        <w:ind w:firstLine="560" w:firstLineChars="200"/>
        <w:rPr>
          <w:rFonts w:hAnsi="宋体"/>
          <w:color w:val="auto"/>
          <w:sz w:val="28"/>
          <w:szCs w:val="28"/>
        </w:rPr>
      </w:pPr>
      <w:r>
        <w:rPr>
          <w:rFonts w:hint="eastAsia" w:hAnsi="宋体"/>
          <w:color w:val="auto"/>
          <w:sz w:val="28"/>
          <w:szCs w:val="28"/>
        </w:rPr>
        <w:t>7、本报告估价结果没有考虑快速变现、税费转嫁等特殊的交易方式，以及可能发生权利转移相关费用对估价对象房地产价值的影响，如上述条件发生变化，估价结果需做相应调整。</w:t>
      </w:r>
    </w:p>
    <w:p>
      <w:pPr>
        <w:adjustRightInd w:val="0"/>
        <w:snapToGrid w:val="0"/>
        <w:spacing w:line="520" w:lineRule="exact"/>
        <w:ind w:right="-142" w:rightChars="-68" w:firstLine="560" w:firstLineChars="200"/>
        <w:rPr>
          <w:rFonts w:hAnsi="宋体"/>
          <w:sz w:val="28"/>
          <w:szCs w:val="28"/>
        </w:rPr>
      </w:pPr>
      <w:r>
        <w:rPr>
          <w:rFonts w:hint="eastAsia" w:hAnsi="宋体"/>
          <w:color w:val="auto"/>
          <w:sz w:val="28"/>
          <w:szCs w:val="28"/>
          <w:lang w:val="en-US" w:eastAsia="zh-CN"/>
        </w:rPr>
        <w:t>8</w:t>
      </w:r>
      <w:r>
        <w:rPr>
          <w:rFonts w:hint="eastAsia" w:hAnsi="宋体"/>
          <w:color w:val="auto"/>
          <w:sz w:val="28"/>
          <w:szCs w:val="28"/>
        </w:rPr>
        <w:t>、估价对象权属、面</w:t>
      </w:r>
      <w:r>
        <w:rPr>
          <w:rFonts w:hint="eastAsia" w:hAnsi="宋体"/>
          <w:sz w:val="28"/>
          <w:szCs w:val="28"/>
        </w:rPr>
        <w:t>积、用途等信息以委托方提供的《</w:t>
      </w:r>
      <w:r>
        <w:rPr>
          <w:rFonts w:hint="eastAsia" w:hAnsi="宋体"/>
          <w:sz w:val="28"/>
          <w:szCs w:val="28"/>
          <w:lang w:val="en-US" w:eastAsia="zh-CN"/>
        </w:rPr>
        <w:t>汾阳市人民法院</w:t>
      </w:r>
      <w:r>
        <w:rPr>
          <w:rFonts w:hint="eastAsia" w:hAnsi="宋体"/>
          <w:sz w:val="28"/>
          <w:szCs w:val="28"/>
        </w:rPr>
        <w:t>委托书》、《国有土地使用证》、</w:t>
      </w:r>
      <w:r>
        <w:rPr>
          <w:rFonts w:hint="eastAsia" w:hAnsi="宋体"/>
          <w:sz w:val="28"/>
          <w:szCs w:val="28"/>
          <w:lang w:eastAsia="zh-CN"/>
        </w:rPr>
        <w:t>《</w:t>
      </w:r>
      <w:r>
        <w:rPr>
          <w:rFonts w:hint="eastAsia" w:hAnsi="宋体"/>
          <w:sz w:val="28"/>
          <w:szCs w:val="28"/>
          <w:lang w:val="en-US" w:eastAsia="zh-CN"/>
        </w:rPr>
        <w:t>国有建设用地使用权出让合同</w:t>
      </w:r>
      <w:r>
        <w:rPr>
          <w:rFonts w:hint="eastAsia" w:hAnsi="宋体"/>
          <w:sz w:val="28"/>
          <w:szCs w:val="28"/>
          <w:lang w:eastAsia="zh-CN"/>
        </w:rPr>
        <w:t>》、《</w:t>
      </w:r>
      <w:r>
        <w:rPr>
          <w:rFonts w:hint="eastAsia" w:hAnsi="宋体"/>
          <w:sz w:val="28"/>
          <w:szCs w:val="28"/>
          <w:lang w:val="en-US" w:eastAsia="zh-CN"/>
        </w:rPr>
        <w:t>建设用地规划许可证</w:t>
      </w:r>
      <w:r>
        <w:rPr>
          <w:rFonts w:hint="eastAsia" w:hAnsi="宋体"/>
          <w:sz w:val="28"/>
          <w:szCs w:val="28"/>
          <w:lang w:eastAsia="zh-CN"/>
        </w:rPr>
        <w:t>》、《</w:t>
      </w:r>
      <w:r>
        <w:rPr>
          <w:rFonts w:hint="eastAsia" w:hAnsi="宋体"/>
          <w:sz w:val="28"/>
          <w:szCs w:val="28"/>
          <w:lang w:val="en-US" w:eastAsia="zh-CN"/>
        </w:rPr>
        <w:t>建设工程规划许可证》、《吕梁恒信房地产开发有限公司豊足·汾阳壹号小区5#施工图》等</w:t>
      </w:r>
      <w:r>
        <w:rPr>
          <w:rFonts w:hint="eastAsia" w:hAnsi="宋体"/>
          <w:sz w:val="28"/>
          <w:szCs w:val="28"/>
        </w:rPr>
        <w:t>为依据。本次评估未考虑产权登记对估价结果的影响。</w:t>
      </w:r>
    </w:p>
    <w:p>
      <w:pPr>
        <w:adjustRightInd w:val="0"/>
        <w:snapToGrid w:val="0"/>
        <w:spacing w:line="520" w:lineRule="exact"/>
        <w:ind w:right="-142" w:rightChars="-68" w:firstLine="560" w:firstLineChars="200"/>
        <w:rPr>
          <w:rFonts w:hAnsi="宋体"/>
          <w:sz w:val="28"/>
          <w:szCs w:val="28"/>
        </w:rPr>
      </w:pPr>
      <w:r>
        <w:rPr>
          <w:rFonts w:hint="eastAsia" w:hAnsi="宋体"/>
          <w:sz w:val="28"/>
          <w:szCs w:val="28"/>
          <w:lang w:val="en-US" w:eastAsia="zh-CN"/>
        </w:rPr>
        <w:t>9</w:t>
      </w:r>
      <w:r>
        <w:rPr>
          <w:rFonts w:hint="eastAsia" w:hAnsi="宋体"/>
          <w:sz w:val="28"/>
          <w:szCs w:val="28"/>
        </w:rPr>
        <w:t>、本次估价未考虑处置财产费用（包括评估费、拍卖费、诉讼费、律师费等）对估价结果的影响。</w:t>
      </w:r>
    </w:p>
    <w:p>
      <w:pPr>
        <w:adjustRightInd w:val="0"/>
        <w:snapToGrid w:val="0"/>
        <w:spacing w:line="520" w:lineRule="exact"/>
        <w:ind w:right="-142" w:rightChars="-68" w:firstLine="560" w:firstLineChars="200"/>
        <w:rPr>
          <w:rFonts w:hint="eastAsia" w:ascii="宋体" w:hAnsi="宋体" w:eastAsia="宋体"/>
          <w:color w:val="000000" w:themeColor="text1"/>
          <w:sz w:val="28"/>
          <w:szCs w:val="28"/>
        </w:rPr>
      </w:pPr>
      <w:r>
        <w:rPr>
          <w:rFonts w:hint="eastAsia" w:hAnsi="宋体"/>
          <w:sz w:val="28"/>
          <w:szCs w:val="28"/>
          <w:lang w:val="en-US" w:eastAsia="zh-CN"/>
        </w:rPr>
        <w:t>10</w:t>
      </w:r>
      <w:r>
        <w:rPr>
          <w:rFonts w:hint="eastAsia" w:hAnsi="宋体"/>
          <w:sz w:val="28"/>
          <w:szCs w:val="28"/>
        </w:rPr>
        <w:t>、</w:t>
      </w:r>
      <w:r>
        <w:rPr>
          <w:rFonts w:hint="eastAsia" w:ascii="宋体" w:hAnsi="宋体" w:eastAsia="宋体" w:cs="Times New Roman"/>
          <w:color w:val="000000" w:themeColor="text1"/>
          <w:kern w:val="2"/>
          <w:sz w:val="28"/>
          <w:szCs w:val="28"/>
          <w:lang w:val="en-US" w:eastAsia="zh-CN" w:bidi="ar-SA"/>
        </w:rPr>
        <w:t>评估机构</w:t>
      </w:r>
      <w:r>
        <w:rPr>
          <w:rFonts w:hint="eastAsia" w:ascii="宋体" w:hAnsi="宋体" w:eastAsia="宋体"/>
          <w:color w:val="000000" w:themeColor="text1"/>
          <w:sz w:val="28"/>
          <w:szCs w:val="28"/>
          <w:lang w:eastAsia="zh-CN"/>
        </w:rPr>
        <w:t>尚未收到委托方或申请执行人方面提供的其他法定</w:t>
      </w:r>
      <w:r>
        <w:rPr>
          <w:rFonts w:hint="eastAsia" w:ascii="宋体" w:hAnsi="宋体" w:eastAsia="宋体"/>
          <w:color w:val="000000" w:themeColor="text1"/>
          <w:sz w:val="28"/>
          <w:szCs w:val="28"/>
        </w:rPr>
        <w:t>的债权、债务等</w:t>
      </w:r>
      <w:r>
        <w:rPr>
          <w:rFonts w:hint="eastAsia" w:ascii="宋体" w:hAnsi="宋体" w:eastAsia="宋体"/>
          <w:color w:val="000000" w:themeColor="text1"/>
          <w:sz w:val="28"/>
          <w:szCs w:val="28"/>
          <w:lang w:eastAsia="zh-CN"/>
        </w:rPr>
        <w:t>的裁定或判决，因此未考虑其他债权债务</w:t>
      </w:r>
      <w:r>
        <w:rPr>
          <w:rFonts w:hint="eastAsia" w:ascii="宋体" w:hAnsi="宋体" w:eastAsia="宋体"/>
          <w:color w:val="000000" w:themeColor="text1"/>
          <w:sz w:val="28"/>
          <w:szCs w:val="28"/>
        </w:rPr>
        <w:t>对估价结论的影响。</w:t>
      </w:r>
    </w:p>
    <w:p>
      <w:pPr>
        <w:adjustRightInd w:val="0"/>
        <w:snapToGrid w:val="0"/>
        <w:spacing w:line="520" w:lineRule="exact"/>
        <w:ind w:right="-142" w:rightChars="-68" w:firstLine="560" w:firstLineChars="200"/>
        <w:rPr>
          <w:rFonts w:hint="eastAsia" w:hAnsi="宋体"/>
          <w:sz w:val="28"/>
          <w:szCs w:val="28"/>
          <w:lang w:val="en-US" w:eastAsia="zh-CN"/>
        </w:rPr>
      </w:pPr>
      <w:r>
        <w:rPr>
          <w:rFonts w:hint="eastAsia" w:hAnsi="宋体"/>
          <w:sz w:val="28"/>
          <w:szCs w:val="28"/>
          <w:lang w:val="en-US" w:eastAsia="zh-CN"/>
        </w:rPr>
        <w:t>11、注册房地产估价师于2022年7月27日对估价对象进行了实地查勘，但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numPr>
          <w:ilvl w:val="0"/>
          <w:numId w:val="1"/>
        </w:numPr>
        <w:adjustRightInd w:val="0"/>
        <w:snapToGrid w:val="0"/>
        <w:spacing w:beforeLines="50" w:line="520" w:lineRule="exact"/>
        <w:rPr>
          <w:rFonts w:hAnsi="宋体"/>
          <w:b/>
          <w:color w:val="auto"/>
          <w:sz w:val="28"/>
          <w:szCs w:val="28"/>
        </w:rPr>
      </w:pPr>
      <w:r>
        <w:rPr>
          <w:rFonts w:hint="eastAsia" w:hAnsi="宋体"/>
          <w:b/>
          <w:color w:val="auto"/>
          <w:sz w:val="28"/>
          <w:szCs w:val="28"/>
        </w:rPr>
        <w:t>未定事项假设：</w:t>
      </w:r>
    </w:p>
    <w:p>
      <w:pPr>
        <w:pStyle w:val="2"/>
        <w:spacing w:line="520" w:lineRule="exact"/>
        <w:ind w:firstLine="560"/>
        <w:rPr>
          <w:rFonts w:ascii="宋体" w:hAnsi="宋体" w:eastAsia="宋体" w:cs="宋体"/>
          <w:color w:val="000000"/>
          <w:sz w:val="28"/>
          <w:szCs w:val="28"/>
        </w:rPr>
      </w:pPr>
      <w:r>
        <w:rPr>
          <w:rFonts w:hint="eastAsia" w:ascii="宋体" w:hAnsi="宋体" w:eastAsia="宋体" w:cs="宋体"/>
          <w:color w:val="000000"/>
          <w:sz w:val="28"/>
          <w:szCs w:val="28"/>
        </w:rPr>
        <w:t>本报告估价对象权属、面积、用途等信息以委托方提供的《</w:t>
      </w:r>
      <w:r>
        <w:rPr>
          <w:rFonts w:hint="eastAsia" w:ascii="宋体" w:hAnsi="宋体" w:eastAsia="宋体" w:cs="宋体"/>
          <w:color w:val="000000"/>
          <w:sz w:val="28"/>
          <w:szCs w:val="28"/>
          <w:lang w:val="en-US" w:eastAsia="zh-CN"/>
        </w:rPr>
        <w:t>汾阳市人民法院</w:t>
      </w:r>
      <w:r>
        <w:rPr>
          <w:rFonts w:hint="eastAsia" w:ascii="宋体" w:hAnsi="宋体" w:eastAsia="宋体" w:cs="宋体"/>
          <w:color w:val="000000"/>
          <w:sz w:val="28"/>
          <w:szCs w:val="28"/>
        </w:rPr>
        <w:t>委托书》、《国有土地使用证》、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国有建设用地使用权出让合同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建设用地规划许可证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建设工程规划许可证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《吕梁恒信房地产开发有限公司豊足·汾阳壹号小区5#施工图》</w:t>
      </w:r>
      <w:r>
        <w:rPr>
          <w:rFonts w:hint="eastAsia" w:ascii="宋体" w:hAnsi="宋体" w:eastAsia="宋体" w:cs="宋体"/>
          <w:color w:val="000000"/>
          <w:sz w:val="28"/>
          <w:szCs w:val="28"/>
        </w:rPr>
        <w:t>等中内容确定，假设其</w:t>
      </w:r>
      <w:r>
        <w:rPr>
          <w:rFonts w:hint="eastAsia" w:ascii="宋体" w:hAnsi="宋体" w:eastAsia="宋体" w:cs="宋体"/>
          <w:color w:val="000000"/>
          <w:sz w:val="28"/>
          <w:szCs w:val="28"/>
          <w:lang w:eastAsia="zh-CN"/>
        </w:rPr>
        <w:t>资料</w:t>
      </w:r>
      <w:r>
        <w:rPr>
          <w:rFonts w:hint="eastAsia" w:ascii="宋体" w:hAnsi="宋体" w:eastAsia="宋体" w:cs="宋体"/>
          <w:color w:val="000000"/>
          <w:sz w:val="28"/>
          <w:szCs w:val="28"/>
        </w:rPr>
        <w:t>合法、内容真实。如上述情况发生变化，估价结果需做相应调整。</w:t>
      </w:r>
    </w:p>
    <w:p>
      <w:pPr>
        <w:numPr>
          <w:ilvl w:val="0"/>
          <w:numId w:val="1"/>
        </w:numPr>
        <w:adjustRightInd w:val="0"/>
        <w:snapToGrid w:val="0"/>
        <w:spacing w:beforeLines="50" w:line="520" w:lineRule="exact"/>
        <w:rPr>
          <w:rFonts w:hAnsi="宋体"/>
          <w:b/>
          <w:sz w:val="28"/>
          <w:szCs w:val="28"/>
        </w:rPr>
      </w:pPr>
      <w:r>
        <w:rPr>
          <w:rFonts w:hint="eastAsia" w:hAnsi="宋体"/>
          <w:b/>
          <w:sz w:val="28"/>
          <w:szCs w:val="28"/>
        </w:rPr>
        <w:t>背离事项假设：</w:t>
      </w:r>
    </w:p>
    <w:p>
      <w:pPr>
        <w:pStyle w:val="2"/>
        <w:spacing w:line="520" w:lineRule="exact"/>
        <w:ind w:firstLine="560"/>
        <w:rPr>
          <w:rFonts w:ascii="宋体" w:hAnsi="宋体" w:eastAsia="宋体" w:cs="宋体"/>
          <w:color w:val="000000"/>
          <w:sz w:val="28"/>
          <w:szCs w:val="28"/>
        </w:rPr>
      </w:pPr>
      <w:r>
        <w:rPr>
          <w:rFonts w:hint="eastAsia" w:ascii="宋体" w:hAnsi="宋体" w:eastAsia="宋体" w:cs="宋体"/>
          <w:color w:val="000000"/>
          <w:sz w:val="28"/>
          <w:szCs w:val="28"/>
        </w:rPr>
        <w:t>估价对象为涉执房地产，本次评估假设估价对象为完整权利状态，估价结果未考虑估价被查封等因素的影响。</w:t>
      </w:r>
    </w:p>
    <w:p>
      <w:pPr>
        <w:numPr>
          <w:ilvl w:val="0"/>
          <w:numId w:val="1"/>
        </w:numPr>
        <w:adjustRightInd w:val="0"/>
        <w:snapToGrid w:val="0"/>
        <w:spacing w:beforeLines="50" w:line="520" w:lineRule="exact"/>
        <w:rPr>
          <w:rFonts w:hAnsi="宋体"/>
          <w:b/>
          <w:sz w:val="28"/>
          <w:szCs w:val="28"/>
        </w:rPr>
      </w:pPr>
      <w:r>
        <w:rPr>
          <w:rFonts w:hint="eastAsia" w:hAnsi="宋体"/>
          <w:b/>
          <w:sz w:val="28"/>
          <w:szCs w:val="28"/>
        </w:rPr>
        <w:t>不相一致假设：</w:t>
      </w:r>
    </w:p>
    <w:p>
      <w:pPr>
        <w:pStyle w:val="2"/>
        <w:spacing w:line="520" w:lineRule="exact"/>
        <w:ind w:firstLine="560"/>
        <w:rPr>
          <w:rFonts w:hint="eastAsia" w:ascii="宋体" w:hAnsi="宋体" w:eastAsia="宋体" w:cs="宋体"/>
          <w:sz w:val="28"/>
          <w:szCs w:val="28"/>
        </w:rPr>
      </w:pPr>
      <w:r>
        <w:rPr>
          <w:rFonts w:hint="eastAsia" w:ascii="宋体" w:hAnsi="宋体" w:eastAsia="宋体" w:cs="宋体"/>
          <w:sz w:val="28"/>
          <w:szCs w:val="28"/>
        </w:rPr>
        <w:t>无不相一致假设。</w:t>
      </w:r>
    </w:p>
    <w:p>
      <w:pPr>
        <w:numPr>
          <w:ilvl w:val="0"/>
          <w:numId w:val="2"/>
        </w:numPr>
        <w:adjustRightInd w:val="0"/>
        <w:snapToGrid w:val="0"/>
        <w:spacing w:beforeLines="50" w:line="520" w:lineRule="exact"/>
        <w:rPr>
          <w:rFonts w:hAnsi="宋体"/>
          <w:sz w:val="28"/>
          <w:szCs w:val="28"/>
        </w:rPr>
      </w:pPr>
      <w:r>
        <w:rPr>
          <w:rFonts w:hint="eastAsia" w:hAnsi="宋体"/>
          <w:b/>
          <w:sz w:val="28"/>
          <w:szCs w:val="28"/>
        </w:rPr>
        <w:t>依据不足假设：</w:t>
      </w:r>
    </w:p>
    <w:p>
      <w:pPr>
        <w:pStyle w:val="2"/>
        <w:spacing w:line="520" w:lineRule="exact"/>
        <w:ind w:firstLine="560"/>
        <w:rPr>
          <w:rFonts w:hint="default" w:ascii="宋体" w:hAnsi="宋体" w:eastAsia="宋体" w:cs="宋体"/>
          <w:sz w:val="28"/>
          <w:szCs w:val="28"/>
          <w:lang w:val="en-US"/>
        </w:rPr>
      </w:pPr>
      <w:r>
        <w:rPr>
          <w:rFonts w:hint="eastAsia" w:ascii="宋体" w:hAnsi="宋体" w:eastAsia="宋体" w:cs="宋体"/>
          <w:sz w:val="28"/>
          <w:szCs w:val="28"/>
        </w:rPr>
        <w:t>本报告</w:t>
      </w:r>
      <w:r>
        <w:rPr>
          <w:rFonts w:hint="eastAsia" w:ascii="宋体" w:hAnsi="宋体" w:eastAsia="宋体" w:cs="宋体"/>
          <w:sz w:val="28"/>
          <w:szCs w:val="28"/>
          <w:lang w:val="en-US" w:eastAsia="zh-CN"/>
        </w:rPr>
        <w:t>5号楼所占土地面积以</w:t>
      </w:r>
      <w:r>
        <w:rPr>
          <w:rFonts w:hint="eastAsia" w:ascii="宋体" w:hAnsi="宋体" w:eastAsia="宋体" w:cs="宋体"/>
          <w:sz w:val="28"/>
          <w:szCs w:val="28"/>
        </w:rPr>
        <w:t>委托方提供的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国有土地使用证</w:t>
      </w:r>
      <w:r>
        <w:rPr>
          <w:rFonts w:hint="eastAsia" w:ascii="宋体" w:hAnsi="宋体" w:eastAsia="宋体" w:cs="宋体"/>
          <w:sz w:val="28"/>
          <w:szCs w:val="28"/>
          <w:lang w:eastAsia="zh-CN"/>
        </w:rPr>
        <w:t>》、</w:t>
      </w:r>
      <w:r>
        <w:rPr>
          <w:rFonts w:hint="eastAsia" w:ascii="宋体" w:hAnsi="宋体" w:eastAsia="宋体" w:cs="宋体"/>
          <w:sz w:val="28"/>
          <w:szCs w:val="28"/>
        </w:rPr>
        <w:t>《国有</w:t>
      </w:r>
      <w:r>
        <w:rPr>
          <w:rFonts w:hint="eastAsia" w:ascii="宋体" w:hAnsi="宋体" w:eastAsia="宋体" w:cs="宋体"/>
          <w:sz w:val="28"/>
          <w:szCs w:val="28"/>
          <w:lang w:eastAsia="zh-CN"/>
        </w:rPr>
        <w:t>建设用地使用权出让合同</w:t>
      </w:r>
      <w:r>
        <w:rPr>
          <w:rFonts w:hint="eastAsia" w:ascii="宋体" w:hAnsi="宋体" w:eastAsia="宋体" w:cs="宋体"/>
          <w:sz w:val="28"/>
          <w:szCs w:val="28"/>
        </w:rPr>
        <w:t>》、</w:t>
      </w:r>
      <w:r>
        <w:rPr>
          <w:rFonts w:hint="eastAsia" w:ascii="宋体" w:hAnsi="宋体" w:eastAsia="宋体" w:cs="宋体"/>
          <w:sz w:val="28"/>
          <w:szCs w:val="28"/>
          <w:lang w:val="en-US" w:eastAsia="zh-CN"/>
        </w:rPr>
        <w:t>《吕梁恒信房地产开发有限公司豊足·汾阳壹号小区5#施工图》</w:t>
      </w:r>
      <w:r>
        <w:rPr>
          <w:rFonts w:hint="eastAsia" w:ascii="宋体" w:hAnsi="宋体" w:eastAsia="宋体" w:cs="宋体"/>
          <w:sz w:val="28"/>
          <w:szCs w:val="28"/>
        </w:rPr>
        <w:t>等证件中</w:t>
      </w:r>
      <w:r>
        <w:rPr>
          <w:rFonts w:hint="eastAsia" w:ascii="宋体" w:hAnsi="宋体" w:eastAsia="宋体" w:cs="宋体"/>
          <w:sz w:val="28"/>
          <w:szCs w:val="28"/>
          <w:lang w:eastAsia="zh-CN"/>
        </w:rPr>
        <w:t>所载数据合理推定。</w:t>
      </w:r>
      <w:r>
        <w:rPr>
          <w:rFonts w:hint="eastAsia" w:ascii="宋体" w:hAnsi="宋体" w:eastAsia="宋体" w:cs="宋体"/>
          <w:sz w:val="28"/>
          <w:szCs w:val="28"/>
        </w:rPr>
        <w:t>如上述情况发生变化，估价结果需做相应调整。</w:t>
      </w:r>
    </w:p>
    <w:p>
      <w:pPr>
        <w:numPr>
          <w:ilvl w:val="0"/>
          <w:numId w:val="2"/>
        </w:numPr>
        <w:adjustRightInd w:val="0"/>
        <w:snapToGrid w:val="0"/>
        <w:spacing w:beforeLines="50" w:line="520" w:lineRule="exact"/>
        <w:rPr>
          <w:rFonts w:hAnsi="宋体"/>
          <w:b/>
          <w:sz w:val="28"/>
          <w:szCs w:val="28"/>
        </w:rPr>
      </w:pPr>
      <w:r>
        <w:rPr>
          <w:rFonts w:hint="eastAsia" w:hAnsi="宋体"/>
          <w:b/>
          <w:sz w:val="28"/>
          <w:szCs w:val="28"/>
        </w:rPr>
        <w:t>估价报告使用限制</w:t>
      </w:r>
    </w:p>
    <w:p>
      <w:pPr>
        <w:adjustRightInd w:val="0"/>
        <w:snapToGrid w:val="0"/>
        <w:spacing w:line="520" w:lineRule="exact"/>
        <w:ind w:firstLine="560" w:firstLineChars="200"/>
        <w:rPr>
          <w:rFonts w:hAnsi="宋体"/>
          <w:sz w:val="28"/>
          <w:szCs w:val="28"/>
        </w:rPr>
      </w:pPr>
      <w:r>
        <w:rPr>
          <w:rFonts w:hint="eastAsia" w:hAnsi="宋体"/>
          <w:sz w:val="28"/>
          <w:szCs w:val="28"/>
        </w:rPr>
        <w:t>1、本报告及估价结果仅为委托方司法鉴定提供价值</w:t>
      </w:r>
      <w:r>
        <w:rPr>
          <w:rFonts w:hint="eastAsia" w:hAnsi="宋体"/>
          <w:sz w:val="28"/>
        </w:rPr>
        <w:t>参考依据，</w:t>
      </w:r>
      <w:r>
        <w:rPr>
          <w:rFonts w:hint="eastAsia" w:hAnsi="宋体"/>
          <w:sz w:val="28"/>
          <w:szCs w:val="28"/>
        </w:rPr>
        <w:t>对其他经济行为无效。</w:t>
      </w:r>
    </w:p>
    <w:p>
      <w:pPr>
        <w:adjustRightInd w:val="0"/>
        <w:snapToGrid w:val="0"/>
        <w:spacing w:line="520" w:lineRule="exact"/>
        <w:ind w:firstLine="560" w:firstLineChars="200"/>
        <w:rPr>
          <w:rFonts w:hAnsi="宋体"/>
          <w:color w:val="auto"/>
          <w:sz w:val="28"/>
          <w:szCs w:val="28"/>
        </w:rPr>
      </w:pPr>
      <w:r>
        <w:rPr>
          <w:rFonts w:hint="eastAsia" w:hAnsi="宋体"/>
          <w:sz w:val="28"/>
          <w:szCs w:val="28"/>
        </w:rPr>
        <w:t>2、本报告仅供委托方及相关利害关系人就上述目的使用，不得提</w:t>
      </w:r>
      <w:r>
        <w:rPr>
          <w:rFonts w:hint="eastAsia" w:hAnsi="宋体"/>
          <w:color w:val="auto"/>
          <w:sz w:val="28"/>
          <w:szCs w:val="28"/>
        </w:rPr>
        <w:t>供给其他无关单位及人员。</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3、本估价报告使用期自估价报告出具之日起壹年内有效。</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4、报告除正式估价报告外，其他复印件、影印件均无法律效力。</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5、未经评估机构书面同意，本估价报告书的全部或任一部分均不得使用于公开文件、通告或报告中，也不得以任何形式公开发表。</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6、本报告估价结论依据委托方提供的现有资料以及上述假设得出，如与后续提供的资料不一致，应重新估价。</w:t>
      </w:r>
    </w:p>
    <w:p>
      <w:pPr>
        <w:numPr>
          <w:ilvl w:val="0"/>
          <w:numId w:val="2"/>
        </w:numPr>
        <w:adjustRightInd w:val="0"/>
        <w:snapToGrid w:val="0"/>
        <w:spacing w:beforeLines="50" w:line="520" w:lineRule="exact"/>
        <w:rPr>
          <w:rFonts w:hAnsi="宋体"/>
          <w:b/>
          <w:color w:val="auto"/>
          <w:sz w:val="28"/>
          <w:szCs w:val="28"/>
        </w:rPr>
      </w:pPr>
      <w:r>
        <w:rPr>
          <w:rFonts w:hint="eastAsia" w:hAnsi="宋体"/>
          <w:b/>
          <w:color w:val="auto"/>
          <w:sz w:val="28"/>
          <w:szCs w:val="28"/>
        </w:rPr>
        <w:t>特殊说明事项</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1、本次估价结果是指在目前房地产市场状况下、估价对象在现状利用条件下的房地产价值，包括国有土地使用权价值和与</w:t>
      </w:r>
      <w:r>
        <w:rPr>
          <w:rFonts w:hint="eastAsia" w:hAnsi="宋体"/>
          <w:color w:val="auto"/>
          <w:sz w:val="28"/>
          <w:szCs w:val="28"/>
          <w:lang w:eastAsia="zh-CN"/>
        </w:rPr>
        <w:t>建筑物</w:t>
      </w:r>
      <w:r>
        <w:rPr>
          <w:rFonts w:hint="eastAsia" w:hAnsi="宋体"/>
          <w:color w:val="auto"/>
          <w:sz w:val="28"/>
          <w:szCs w:val="28"/>
        </w:rPr>
        <w:t>有关的土建、安装价值。</w:t>
      </w:r>
    </w:p>
    <w:p>
      <w:pPr>
        <w:tabs>
          <w:tab w:val="right" w:pos="-2160"/>
          <w:tab w:val="left" w:pos="-1560"/>
          <w:tab w:val="left" w:pos="8785"/>
        </w:tabs>
        <w:adjustRightInd w:val="0"/>
        <w:snapToGrid w:val="0"/>
        <w:spacing w:line="520" w:lineRule="exact"/>
        <w:ind w:right="-107" w:firstLine="540"/>
        <w:rPr>
          <w:rFonts w:hAnsi="宋体"/>
          <w:color w:val="auto"/>
          <w:sz w:val="28"/>
          <w:szCs w:val="28"/>
        </w:rPr>
      </w:pPr>
      <w:r>
        <w:rPr>
          <w:rFonts w:hint="eastAsia" w:hAnsi="宋体"/>
          <w:color w:val="auto"/>
          <w:sz w:val="28"/>
          <w:szCs w:val="28"/>
        </w:rPr>
        <w:t>2、现场勘察时</w:t>
      </w:r>
      <w:r>
        <w:rPr>
          <w:rFonts w:hint="eastAsia" w:hAnsi="宋体"/>
          <w:color w:val="auto"/>
          <w:sz w:val="28"/>
          <w:szCs w:val="28"/>
          <w:lang w:eastAsia="zh-CN"/>
        </w:rPr>
        <w:t>申请执行人王海丽、被执行方吕梁恒信房地产开发有限公司</w:t>
      </w:r>
      <w:r>
        <w:rPr>
          <w:rFonts w:hint="eastAsia" w:hAnsi="宋体"/>
          <w:color w:val="auto"/>
          <w:sz w:val="28"/>
          <w:szCs w:val="28"/>
        </w:rPr>
        <w:t>代表到达现场。</w:t>
      </w:r>
    </w:p>
    <w:p>
      <w:pPr>
        <w:tabs>
          <w:tab w:val="right" w:pos="-2160"/>
          <w:tab w:val="left" w:pos="-1560"/>
          <w:tab w:val="left" w:pos="8785"/>
        </w:tabs>
        <w:adjustRightInd w:val="0"/>
        <w:snapToGrid w:val="0"/>
        <w:spacing w:line="520" w:lineRule="exact"/>
        <w:ind w:right="-107" w:firstLine="540"/>
        <w:rPr>
          <w:rFonts w:hint="eastAsia" w:hAnsi="宋体"/>
          <w:color w:val="auto"/>
          <w:sz w:val="28"/>
          <w:szCs w:val="28"/>
          <w:lang w:val="en-US" w:eastAsia="zh-CN"/>
        </w:rPr>
      </w:pPr>
      <w:r>
        <w:rPr>
          <w:rFonts w:hint="eastAsia" w:hAnsi="宋体"/>
          <w:color w:val="auto"/>
          <w:sz w:val="28"/>
          <w:szCs w:val="28"/>
        </w:rPr>
        <w:t>3、</w:t>
      </w:r>
      <w:r>
        <w:rPr>
          <w:rFonts w:hint="eastAsia" w:hAnsi="宋体"/>
          <w:color w:val="auto"/>
          <w:sz w:val="28"/>
          <w:szCs w:val="28"/>
          <w:lang w:eastAsia="zh-CN"/>
        </w:rPr>
        <w:t>目测</w:t>
      </w:r>
      <w:r>
        <w:rPr>
          <w:rFonts w:hint="eastAsia" w:hAnsi="宋体"/>
          <w:color w:val="auto"/>
          <w:sz w:val="28"/>
          <w:szCs w:val="28"/>
        </w:rPr>
        <w:t>估价对象现</w:t>
      </w:r>
      <w:r>
        <w:rPr>
          <w:rFonts w:hint="eastAsia" w:hAnsi="宋体"/>
          <w:color w:val="auto"/>
          <w:sz w:val="28"/>
          <w:szCs w:val="28"/>
          <w:lang w:val="en-US" w:eastAsia="zh-CN"/>
        </w:rPr>
        <w:t>完成地下土建工程，地面工程仅有外露的钢筋，目前处于停工状态。</w:t>
      </w:r>
    </w:p>
    <w:p>
      <w:pPr>
        <w:tabs>
          <w:tab w:val="right" w:pos="-2160"/>
          <w:tab w:val="left" w:pos="-1560"/>
          <w:tab w:val="left" w:pos="8785"/>
        </w:tabs>
        <w:adjustRightInd w:val="0"/>
        <w:snapToGrid w:val="0"/>
        <w:spacing w:line="520" w:lineRule="exact"/>
        <w:ind w:right="-107" w:firstLine="540"/>
        <w:rPr>
          <w:rFonts w:hint="default" w:hAnsi="宋体"/>
          <w:color w:val="auto"/>
          <w:sz w:val="28"/>
          <w:szCs w:val="28"/>
          <w:lang w:val="en-US"/>
        </w:rPr>
      </w:pPr>
    </w:p>
    <w:p>
      <w:pPr>
        <w:tabs>
          <w:tab w:val="right" w:pos="-2160"/>
          <w:tab w:val="left" w:pos="-1560"/>
          <w:tab w:val="left" w:pos="8785"/>
        </w:tabs>
        <w:adjustRightInd w:val="0"/>
        <w:snapToGrid w:val="0"/>
        <w:spacing w:line="520" w:lineRule="exact"/>
        <w:ind w:right="-107" w:firstLine="540"/>
        <w:rPr>
          <w:rFonts w:hAnsi="宋体"/>
          <w:color w:val="auto"/>
          <w:sz w:val="28"/>
          <w:szCs w:val="28"/>
        </w:rPr>
      </w:pPr>
    </w:p>
    <w:p>
      <w:pPr>
        <w:pStyle w:val="2"/>
        <w:rPr>
          <w:rFonts w:hAnsi="宋体"/>
          <w:color w:val="auto"/>
          <w:sz w:val="28"/>
          <w:szCs w:val="28"/>
        </w:rPr>
      </w:pPr>
    </w:p>
    <w:p>
      <w:pPr>
        <w:rPr>
          <w:rFonts w:hAnsi="宋体"/>
          <w:color w:val="auto"/>
          <w:sz w:val="28"/>
          <w:szCs w:val="28"/>
        </w:rPr>
      </w:pPr>
    </w:p>
    <w:p>
      <w:pPr>
        <w:pStyle w:val="2"/>
        <w:rPr>
          <w:rFonts w:hAnsi="宋体"/>
          <w:color w:val="auto"/>
          <w:sz w:val="28"/>
          <w:szCs w:val="28"/>
        </w:rPr>
      </w:pPr>
    </w:p>
    <w:p>
      <w:pPr>
        <w:rPr>
          <w:rFonts w:hAnsi="宋体"/>
          <w:color w:val="auto"/>
          <w:sz w:val="28"/>
          <w:szCs w:val="28"/>
        </w:rPr>
      </w:pPr>
    </w:p>
    <w:p>
      <w:pPr>
        <w:pStyle w:val="4"/>
        <w:adjustRightInd w:val="0"/>
        <w:snapToGrid w:val="0"/>
        <w:spacing w:after="240" w:line="500" w:lineRule="exact"/>
        <w:jc w:val="center"/>
        <w:rPr>
          <w:rFonts w:hint="eastAsia"/>
          <w:color w:val="auto"/>
          <w:sz w:val="32"/>
          <w:szCs w:val="32"/>
          <w:shd w:val="pct10" w:color="auto" w:fill="FFFFFF"/>
        </w:rPr>
      </w:pPr>
    </w:p>
    <w:p>
      <w:pPr>
        <w:pStyle w:val="4"/>
        <w:adjustRightInd w:val="0"/>
        <w:snapToGrid w:val="0"/>
        <w:spacing w:after="240" w:line="500" w:lineRule="exact"/>
        <w:ind w:firstLine="2880" w:firstLineChars="900"/>
        <w:jc w:val="both"/>
        <w:rPr>
          <w:color w:val="auto"/>
          <w:sz w:val="32"/>
          <w:szCs w:val="32"/>
          <w:shd w:val="pct10" w:color="auto" w:fill="FFFFFF"/>
        </w:rPr>
      </w:pPr>
    </w:p>
    <w:p>
      <w:pPr>
        <w:adjustRightInd w:val="0"/>
        <w:snapToGrid w:val="0"/>
        <w:spacing w:line="520" w:lineRule="exact"/>
        <w:outlineLvl w:val="1"/>
        <w:rPr>
          <w:rFonts w:hAnsi="宋体" w:cs="宋体"/>
          <w:b/>
          <w:bCs/>
          <w:color w:val="auto"/>
          <w:sz w:val="28"/>
          <w:szCs w:val="28"/>
        </w:rPr>
      </w:pPr>
    </w:p>
    <w:p>
      <w:pPr>
        <w:pStyle w:val="4"/>
        <w:adjustRightInd w:val="0"/>
        <w:snapToGrid w:val="0"/>
        <w:spacing w:after="240" w:line="500" w:lineRule="exact"/>
        <w:ind w:firstLine="2880" w:firstLineChars="900"/>
        <w:jc w:val="both"/>
        <w:rPr>
          <w:color w:val="auto"/>
          <w:sz w:val="32"/>
          <w:szCs w:val="32"/>
          <w:shd w:val="pct10" w:color="auto" w:fill="FFFFFF"/>
        </w:rPr>
      </w:pPr>
      <w:bookmarkStart w:id="6" w:name="_Toc2262"/>
      <w:r>
        <w:rPr>
          <w:rFonts w:hint="eastAsia"/>
          <w:color w:val="auto"/>
          <w:sz w:val="32"/>
          <w:szCs w:val="32"/>
          <w:shd w:val="pct10" w:color="auto" w:fill="FFFFFF"/>
        </w:rPr>
        <w:t>估价结果报告</w:t>
      </w:r>
      <w:bookmarkEnd w:id="6"/>
    </w:p>
    <w:p>
      <w:pPr>
        <w:adjustRightInd w:val="0"/>
        <w:snapToGrid w:val="0"/>
        <w:spacing w:line="520" w:lineRule="exact"/>
        <w:outlineLvl w:val="1"/>
        <w:rPr>
          <w:rFonts w:hAnsi="宋体" w:cs="宋体"/>
          <w:b/>
          <w:bCs/>
          <w:color w:val="auto"/>
          <w:sz w:val="28"/>
          <w:szCs w:val="28"/>
        </w:rPr>
      </w:pPr>
      <w:bookmarkStart w:id="7" w:name="_Toc6478"/>
      <w:r>
        <w:rPr>
          <w:rFonts w:hint="eastAsia"/>
          <w:b/>
          <w:bCs/>
          <w:color w:val="auto"/>
          <w:sz w:val="28"/>
        </w:rPr>
        <w:t>一、</w:t>
      </w:r>
      <w:r>
        <w:rPr>
          <w:rFonts w:hint="eastAsia" w:hAnsi="宋体" w:cs="宋体"/>
          <w:b/>
          <w:bCs/>
          <w:color w:val="auto"/>
          <w:sz w:val="28"/>
          <w:szCs w:val="28"/>
        </w:rPr>
        <w:t>估价委托人</w:t>
      </w:r>
      <w:bookmarkEnd w:id="7"/>
    </w:p>
    <w:p>
      <w:pPr>
        <w:adjustRightInd w:val="0"/>
        <w:snapToGrid w:val="0"/>
        <w:spacing w:line="520" w:lineRule="exact"/>
        <w:ind w:firstLine="560" w:firstLineChars="200"/>
        <w:rPr>
          <w:rFonts w:hint="eastAsia" w:hAnsi="宋体" w:eastAsia="宋体" w:cs="宋体"/>
          <w:color w:val="auto"/>
          <w:sz w:val="28"/>
          <w:szCs w:val="28"/>
          <w:lang w:eastAsia="zh-CN"/>
        </w:rPr>
      </w:pPr>
      <w:r>
        <w:rPr>
          <w:rFonts w:hint="eastAsia" w:hAnsi="宋体" w:cs="宋体"/>
          <w:color w:val="auto"/>
          <w:sz w:val="28"/>
          <w:szCs w:val="28"/>
          <w:lang w:eastAsia="zh-CN"/>
        </w:rPr>
        <w:t>汾阳市人民法院</w:t>
      </w:r>
    </w:p>
    <w:p>
      <w:pPr>
        <w:adjustRightInd w:val="0"/>
        <w:snapToGrid w:val="0"/>
        <w:spacing w:line="520" w:lineRule="exact"/>
        <w:outlineLvl w:val="1"/>
        <w:rPr>
          <w:rFonts w:hAnsi="宋体" w:cs="宋体"/>
          <w:b/>
          <w:bCs/>
          <w:color w:val="auto"/>
          <w:sz w:val="28"/>
          <w:szCs w:val="28"/>
        </w:rPr>
      </w:pPr>
      <w:bookmarkStart w:id="8" w:name="_Toc3131"/>
      <w:r>
        <w:rPr>
          <w:rFonts w:hint="eastAsia" w:hAnsi="宋体" w:cs="宋体"/>
          <w:b/>
          <w:bCs/>
          <w:color w:val="auto"/>
          <w:sz w:val="28"/>
          <w:szCs w:val="28"/>
        </w:rPr>
        <w:t>二、房地产估价机构</w:t>
      </w:r>
      <w:bookmarkEnd w:id="8"/>
    </w:p>
    <w:p>
      <w:pPr>
        <w:adjustRightInd w:val="0"/>
        <w:snapToGrid w:val="0"/>
        <w:spacing w:line="520" w:lineRule="exact"/>
        <w:ind w:firstLine="601"/>
        <w:rPr>
          <w:rFonts w:hAnsi="宋体" w:cs="宋体"/>
          <w:color w:val="auto"/>
          <w:sz w:val="28"/>
          <w:szCs w:val="28"/>
        </w:rPr>
      </w:pPr>
      <w:r>
        <w:rPr>
          <w:rFonts w:hint="eastAsia" w:hAnsi="宋体" w:cs="宋体"/>
          <w:color w:val="auto"/>
          <w:sz w:val="28"/>
          <w:szCs w:val="28"/>
        </w:rPr>
        <w:t>名称：山西至源不动产房地产评估咨询有限公司</w:t>
      </w:r>
    </w:p>
    <w:p>
      <w:pPr>
        <w:adjustRightInd w:val="0"/>
        <w:snapToGrid w:val="0"/>
        <w:spacing w:line="520" w:lineRule="exact"/>
        <w:ind w:firstLine="601"/>
        <w:rPr>
          <w:rFonts w:hAnsi="宋体" w:cs="宋体"/>
          <w:color w:val="auto"/>
          <w:spacing w:val="-6"/>
          <w:sz w:val="28"/>
          <w:szCs w:val="28"/>
        </w:rPr>
      </w:pPr>
      <w:r>
        <w:rPr>
          <w:rFonts w:hint="eastAsia" w:hAnsi="宋体" w:cs="宋体"/>
          <w:color w:val="auto"/>
          <w:spacing w:val="-6"/>
          <w:sz w:val="28"/>
          <w:szCs w:val="28"/>
        </w:rPr>
        <w:t>机构地址：太原市杏花岭区新建路152号万达公馆3幢1单元0201号北区</w:t>
      </w:r>
    </w:p>
    <w:p>
      <w:pPr>
        <w:adjustRightInd w:val="0"/>
        <w:snapToGrid w:val="0"/>
        <w:spacing w:line="520" w:lineRule="exact"/>
        <w:ind w:firstLine="601"/>
        <w:rPr>
          <w:rFonts w:hAnsi="宋体" w:cs="宋体"/>
          <w:color w:val="auto"/>
          <w:sz w:val="28"/>
          <w:szCs w:val="28"/>
        </w:rPr>
      </w:pPr>
      <w:r>
        <w:rPr>
          <w:rFonts w:hint="eastAsia" w:hAnsi="宋体" w:cs="宋体"/>
          <w:color w:val="auto"/>
          <w:sz w:val="28"/>
          <w:szCs w:val="28"/>
        </w:rPr>
        <w:t>资质等级：贰级</w:t>
      </w:r>
    </w:p>
    <w:p>
      <w:pPr>
        <w:adjustRightInd w:val="0"/>
        <w:snapToGrid w:val="0"/>
        <w:spacing w:line="520" w:lineRule="exact"/>
        <w:ind w:firstLine="601"/>
        <w:rPr>
          <w:rFonts w:hAnsi="宋体" w:cs="宋体"/>
          <w:color w:val="auto"/>
          <w:sz w:val="28"/>
          <w:szCs w:val="28"/>
        </w:rPr>
      </w:pPr>
      <w:r>
        <w:rPr>
          <w:rFonts w:hint="eastAsia" w:hAnsi="宋体" w:cs="宋体"/>
          <w:color w:val="auto"/>
          <w:sz w:val="28"/>
          <w:szCs w:val="28"/>
        </w:rPr>
        <w:t>资格证书编号：[晋]房估01281267</w:t>
      </w:r>
    </w:p>
    <w:p>
      <w:pPr>
        <w:adjustRightInd w:val="0"/>
        <w:snapToGrid w:val="0"/>
        <w:spacing w:line="520" w:lineRule="exact"/>
        <w:ind w:firstLine="601"/>
        <w:rPr>
          <w:rFonts w:hAnsi="宋体" w:cs="宋体"/>
          <w:color w:val="auto"/>
          <w:sz w:val="28"/>
          <w:szCs w:val="28"/>
        </w:rPr>
      </w:pPr>
      <w:r>
        <w:rPr>
          <w:rFonts w:hint="eastAsia" w:hAnsi="宋体" w:cs="宋体"/>
          <w:color w:val="auto"/>
          <w:sz w:val="28"/>
          <w:szCs w:val="28"/>
        </w:rPr>
        <w:t>法定代表人：李俊山</w:t>
      </w:r>
    </w:p>
    <w:p>
      <w:pPr>
        <w:adjustRightInd w:val="0"/>
        <w:snapToGrid w:val="0"/>
        <w:spacing w:line="520" w:lineRule="exact"/>
        <w:ind w:firstLine="601"/>
        <w:rPr>
          <w:rFonts w:hAnsi="宋体" w:cs="宋体"/>
          <w:color w:val="auto"/>
          <w:sz w:val="28"/>
          <w:szCs w:val="28"/>
        </w:rPr>
      </w:pPr>
      <w:r>
        <w:rPr>
          <w:rFonts w:hint="eastAsia" w:hAnsi="宋体" w:cs="宋体"/>
          <w:color w:val="auto"/>
          <w:sz w:val="28"/>
          <w:szCs w:val="28"/>
        </w:rPr>
        <w:t>联系电话：0351-3586776，3586544</w:t>
      </w:r>
    </w:p>
    <w:p>
      <w:pPr>
        <w:adjustRightInd w:val="0"/>
        <w:snapToGrid w:val="0"/>
        <w:spacing w:line="520" w:lineRule="exact"/>
        <w:outlineLvl w:val="1"/>
        <w:rPr>
          <w:rFonts w:hAnsi="宋体" w:cs="宋体"/>
          <w:b/>
          <w:bCs/>
          <w:color w:val="auto"/>
          <w:sz w:val="28"/>
          <w:szCs w:val="28"/>
        </w:rPr>
      </w:pPr>
      <w:bookmarkStart w:id="9" w:name="_Toc7782"/>
      <w:r>
        <w:rPr>
          <w:rFonts w:hint="eastAsia" w:hAnsi="宋体" w:cs="宋体"/>
          <w:b/>
          <w:bCs/>
          <w:color w:val="auto"/>
          <w:sz w:val="28"/>
          <w:szCs w:val="28"/>
        </w:rPr>
        <w:t>三、估价目的</w:t>
      </w:r>
      <w:bookmarkEnd w:id="9"/>
    </w:p>
    <w:p>
      <w:pPr>
        <w:adjustRightInd w:val="0"/>
        <w:snapToGrid w:val="0"/>
        <w:spacing w:line="520" w:lineRule="exact"/>
        <w:ind w:firstLine="601"/>
        <w:rPr>
          <w:rFonts w:hAnsi="宋体" w:cs="宋体"/>
          <w:sz w:val="28"/>
          <w:szCs w:val="28"/>
        </w:rPr>
      </w:pPr>
      <w:r>
        <w:rPr>
          <w:rFonts w:hint="eastAsia" w:hAnsi="宋体" w:cs="宋体"/>
          <w:sz w:val="28"/>
          <w:szCs w:val="28"/>
        </w:rPr>
        <w:t>根据委托方提供的（202</w:t>
      </w:r>
      <w:r>
        <w:rPr>
          <w:rFonts w:hint="eastAsia" w:hAnsi="宋体" w:cs="宋体"/>
          <w:sz w:val="28"/>
          <w:szCs w:val="28"/>
          <w:lang w:val="en-US" w:eastAsia="zh-CN"/>
        </w:rPr>
        <w:t>2</w:t>
      </w:r>
      <w:r>
        <w:rPr>
          <w:rFonts w:hint="eastAsia" w:hAnsi="宋体" w:cs="宋体"/>
          <w:sz w:val="28"/>
          <w:szCs w:val="28"/>
        </w:rPr>
        <w:t>）晋</w:t>
      </w:r>
      <w:r>
        <w:rPr>
          <w:rFonts w:hint="eastAsia" w:hAnsi="宋体" w:cs="宋体"/>
          <w:sz w:val="28"/>
          <w:szCs w:val="28"/>
          <w:lang w:val="en-US" w:eastAsia="zh-CN"/>
        </w:rPr>
        <w:t>1182</w:t>
      </w:r>
      <w:r>
        <w:rPr>
          <w:rFonts w:hint="eastAsia" w:hAnsi="宋体" w:cs="宋体"/>
          <w:sz w:val="28"/>
          <w:szCs w:val="28"/>
        </w:rPr>
        <w:t>执</w:t>
      </w:r>
      <w:r>
        <w:rPr>
          <w:rFonts w:hint="eastAsia" w:hAnsi="宋体" w:cs="宋体"/>
          <w:sz w:val="28"/>
          <w:szCs w:val="28"/>
          <w:lang w:val="en-US" w:eastAsia="zh-CN"/>
        </w:rPr>
        <w:t>恢1</w:t>
      </w:r>
      <w:r>
        <w:rPr>
          <w:rFonts w:hint="eastAsia" w:hAnsi="宋体" w:cs="宋体"/>
          <w:sz w:val="28"/>
          <w:szCs w:val="28"/>
        </w:rPr>
        <w:t>16号《</w:t>
      </w:r>
      <w:r>
        <w:rPr>
          <w:rFonts w:hint="eastAsia" w:hAnsi="宋体" w:cs="宋体"/>
          <w:sz w:val="28"/>
          <w:szCs w:val="28"/>
          <w:lang w:eastAsia="zh-CN"/>
        </w:rPr>
        <w:t>汾阳市人民法院</w:t>
      </w:r>
      <w:r>
        <w:rPr>
          <w:rFonts w:hint="eastAsia" w:hAnsi="宋体" w:cs="宋体"/>
          <w:sz w:val="28"/>
          <w:szCs w:val="28"/>
        </w:rPr>
        <w:t>委托书》，对</w:t>
      </w:r>
      <w:r>
        <w:rPr>
          <w:rFonts w:hint="eastAsia" w:hAnsi="宋体" w:cs="宋体"/>
          <w:sz w:val="28"/>
          <w:szCs w:val="28"/>
          <w:lang w:eastAsia="zh-CN"/>
        </w:rPr>
        <w:t>吕梁恒信房地产开发有限公司</w:t>
      </w:r>
      <w:r>
        <w:rPr>
          <w:rFonts w:hint="eastAsia" w:hAnsi="宋体" w:cs="宋体"/>
          <w:sz w:val="28"/>
          <w:szCs w:val="28"/>
        </w:rPr>
        <w:t>名下位于</w:t>
      </w:r>
      <w:r>
        <w:rPr>
          <w:rFonts w:hint="eastAsia" w:hAnsi="宋体" w:cs="宋体"/>
          <w:sz w:val="28"/>
          <w:szCs w:val="28"/>
          <w:lang w:eastAsia="zh-CN"/>
        </w:rPr>
        <w:t>汾阳市学院路西侧、中国银行北侧</w:t>
      </w:r>
      <w:r>
        <w:rPr>
          <w:rFonts w:hint="eastAsia" w:hAnsi="宋体" w:cs="宋体"/>
          <w:sz w:val="28"/>
          <w:szCs w:val="28"/>
        </w:rPr>
        <w:t>的</w:t>
      </w:r>
      <w:r>
        <w:rPr>
          <w:rFonts w:hint="eastAsia" w:hAnsi="宋体" w:cs="宋体"/>
          <w:sz w:val="28"/>
          <w:szCs w:val="28"/>
          <w:lang w:val="en-US" w:eastAsia="zh-CN"/>
        </w:rPr>
        <w:t>汾阳市</w:t>
      </w:r>
      <w:r>
        <w:rPr>
          <w:rFonts w:hint="eastAsia" w:hAnsi="宋体"/>
          <w:sz w:val="28"/>
          <w:lang w:val="en-US" w:eastAsia="zh-CN"/>
        </w:rPr>
        <w:t>豊足·汾阳壹号5号楼</w:t>
      </w:r>
      <w:r>
        <w:rPr>
          <w:rFonts w:hint="eastAsia" w:hAnsi="宋体"/>
          <w:sz w:val="28"/>
        </w:rPr>
        <w:t>在建工程房地产</w:t>
      </w:r>
      <w:r>
        <w:rPr>
          <w:rFonts w:hint="eastAsia" w:hAnsi="宋体" w:cs="宋体"/>
          <w:sz w:val="28"/>
          <w:szCs w:val="28"/>
        </w:rPr>
        <w:t>进行评估，评估目的是为人民法院确定财产处置提供参考依据。</w:t>
      </w:r>
    </w:p>
    <w:p>
      <w:pPr>
        <w:adjustRightInd w:val="0"/>
        <w:snapToGrid w:val="0"/>
        <w:spacing w:line="520" w:lineRule="exact"/>
        <w:outlineLvl w:val="1"/>
        <w:rPr>
          <w:rFonts w:hAnsi="宋体" w:cs="宋体"/>
          <w:b/>
          <w:bCs/>
          <w:color w:val="auto"/>
          <w:sz w:val="28"/>
          <w:szCs w:val="28"/>
        </w:rPr>
      </w:pPr>
      <w:bookmarkStart w:id="10" w:name="_Toc24389"/>
      <w:r>
        <w:rPr>
          <w:rFonts w:hint="eastAsia" w:hAnsi="宋体" w:cs="宋体"/>
          <w:b/>
          <w:bCs/>
          <w:color w:val="auto"/>
          <w:sz w:val="28"/>
          <w:szCs w:val="28"/>
        </w:rPr>
        <w:t>四、估价对象</w:t>
      </w:r>
      <w:bookmarkEnd w:id="10"/>
    </w:p>
    <w:p>
      <w:pPr>
        <w:snapToGrid w:val="0"/>
        <w:spacing w:line="520" w:lineRule="exact"/>
        <w:ind w:firstLine="560" w:firstLineChars="200"/>
        <w:rPr>
          <w:rFonts w:hAnsi="宋体" w:cs="宋体"/>
          <w:sz w:val="28"/>
          <w:szCs w:val="28"/>
        </w:rPr>
      </w:pPr>
      <w:r>
        <w:rPr>
          <w:rFonts w:hint="eastAsia" w:hAnsi="宋体" w:cs="宋体"/>
          <w:sz w:val="28"/>
          <w:szCs w:val="28"/>
        </w:rPr>
        <w:t>1</w:t>
      </w:r>
      <w:r>
        <w:rPr>
          <w:rFonts w:hint="eastAsia" w:hAnsi="宋体" w:cs="宋体"/>
          <w:sz w:val="28"/>
          <w:szCs w:val="28"/>
          <w:lang w:eastAsia="zh-CN"/>
        </w:rPr>
        <w:t>、</w:t>
      </w:r>
      <w:r>
        <w:rPr>
          <w:rFonts w:hint="eastAsia" w:hAnsi="宋体" w:cs="宋体"/>
          <w:sz w:val="28"/>
          <w:szCs w:val="28"/>
        </w:rPr>
        <w:t>估价对象范围</w:t>
      </w:r>
    </w:p>
    <w:p>
      <w:pPr>
        <w:snapToGrid w:val="0"/>
        <w:spacing w:line="520" w:lineRule="exact"/>
        <w:ind w:firstLine="560" w:firstLineChars="200"/>
        <w:rPr>
          <w:rFonts w:hint="default" w:ascii="宋体" w:hAnsi="宋体" w:eastAsia="宋体" w:cs="宋体"/>
          <w:sz w:val="28"/>
          <w:szCs w:val="28"/>
          <w:lang w:val="en-US" w:eastAsia="zh-CN"/>
        </w:rPr>
      </w:pPr>
      <w:r>
        <w:rPr>
          <w:rFonts w:hint="eastAsia" w:hAnsi="宋体" w:cs="宋体"/>
          <w:sz w:val="28"/>
          <w:szCs w:val="28"/>
          <w:lang w:val="en-US" w:eastAsia="zh-CN"/>
        </w:rPr>
        <w:t>根据委托方提供的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国有土地使用证</w:t>
      </w:r>
      <w:r>
        <w:rPr>
          <w:rFonts w:hint="eastAsia" w:ascii="宋体" w:hAnsi="宋体" w:eastAsia="宋体" w:cs="宋体"/>
          <w:sz w:val="28"/>
          <w:szCs w:val="28"/>
          <w:lang w:eastAsia="zh-CN"/>
        </w:rPr>
        <w:t>》、</w:t>
      </w:r>
      <w:r>
        <w:rPr>
          <w:rFonts w:hint="eastAsia" w:ascii="宋体" w:hAnsi="宋体" w:eastAsia="宋体" w:cs="宋体"/>
          <w:sz w:val="28"/>
          <w:szCs w:val="28"/>
        </w:rPr>
        <w:t>《国有</w:t>
      </w:r>
      <w:r>
        <w:rPr>
          <w:rFonts w:hint="eastAsia" w:ascii="宋体" w:hAnsi="宋体" w:eastAsia="宋体" w:cs="宋体"/>
          <w:sz w:val="28"/>
          <w:szCs w:val="28"/>
          <w:lang w:eastAsia="zh-CN"/>
        </w:rPr>
        <w:t>建设用地使用权出让合同</w:t>
      </w:r>
      <w:r>
        <w:rPr>
          <w:rFonts w:hint="eastAsia" w:ascii="宋体" w:hAnsi="宋体" w:eastAsia="宋体" w:cs="宋体"/>
          <w:sz w:val="28"/>
          <w:szCs w:val="28"/>
        </w:rPr>
        <w:t>》、</w:t>
      </w:r>
      <w:r>
        <w:rPr>
          <w:rFonts w:hint="eastAsia" w:ascii="宋体" w:hAnsi="宋体" w:eastAsia="宋体" w:cs="宋体"/>
          <w:sz w:val="28"/>
          <w:szCs w:val="28"/>
          <w:lang w:val="en-US" w:eastAsia="zh-CN"/>
        </w:rPr>
        <w:t>《吕梁恒信房地产开发有限公司豊足·汾阳壹号小区5#施工图》</w:t>
      </w:r>
      <w:r>
        <w:rPr>
          <w:rFonts w:hint="eastAsia" w:hAnsi="宋体" w:cs="宋体"/>
          <w:sz w:val="28"/>
          <w:szCs w:val="28"/>
          <w:lang w:val="en-US" w:eastAsia="zh-CN"/>
        </w:rPr>
        <w:t>，汾阳市</w:t>
      </w:r>
      <w:r>
        <w:rPr>
          <w:rFonts w:hint="eastAsia" w:ascii="宋体" w:hAnsi="宋体" w:eastAsia="宋体" w:cs="宋体"/>
          <w:sz w:val="28"/>
          <w:szCs w:val="28"/>
          <w:lang w:val="en-US" w:eastAsia="zh-CN"/>
        </w:rPr>
        <w:t>豊足·汾阳壹号小区</w:t>
      </w:r>
      <w:r>
        <w:rPr>
          <w:rFonts w:hint="eastAsia" w:hAnsi="宋体" w:cs="宋体"/>
          <w:sz w:val="28"/>
          <w:szCs w:val="28"/>
          <w:lang w:val="en-US" w:eastAsia="zh-CN"/>
        </w:rPr>
        <w:t>占地面积为33911.70平方米，规划容积率为3.45，其中本次被执行的5号楼总建筑面积为5291.59平方米，地上建筑面积为3319.60平方米，地下建筑面积为1971.99平方米。则5号楼分摊土地面积=3319.60平方米/3.45=962.20平方米。</w:t>
      </w:r>
    </w:p>
    <w:p>
      <w:pPr>
        <w:snapToGrid w:val="0"/>
        <w:spacing w:line="520" w:lineRule="exact"/>
        <w:ind w:firstLine="560" w:firstLineChars="200"/>
        <w:rPr>
          <w:rFonts w:hAnsi="宋体" w:cs="宋体"/>
          <w:sz w:val="28"/>
          <w:szCs w:val="28"/>
        </w:rPr>
      </w:pPr>
      <w:r>
        <w:rPr>
          <w:rFonts w:hint="eastAsia" w:hAnsi="宋体" w:cs="宋体"/>
          <w:sz w:val="28"/>
          <w:szCs w:val="28"/>
        </w:rPr>
        <w:t>估价对象范围包括在建工程及所</w:t>
      </w:r>
      <w:r>
        <w:rPr>
          <w:rFonts w:hint="eastAsia" w:hAnsi="宋体" w:cs="宋体"/>
          <w:sz w:val="28"/>
          <w:szCs w:val="28"/>
          <w:lang w:eastAsia="zh-CN"/>
        </w:rPr>
        <w:t>分摊的</w:t>
      </w:r>
      <w:r>
        <w:rPr>
          <w:rFonts w:hint="eastAsia" w:hAnsi="宋体" w:cs="宋体"/>
          <w:sz w:val="28"/>
          <w:szCs w:val="28"/>
        </w:rPr>
        <w:t>土地面积。</w:t>
      </w:r>
    </w:p>
    <w:p>
      <w:pPr>
        <w:snapToGrid w:val="0"/>
        <w:spacing w:line="520" w:lineRule="exact"/>
        <w:ind w:firstLine="560" w:firstLineChars="200"/>
        <w:rPr>
          <w:rFonts w:hAnsi="宋体" w:cs="宋体"/>
          <w:sz w:val="28"/>
          <w:szCs w:val="28"/>
        </w:rPr>
      </w:pPr>
      <w:r>
        <w:rPr>
          <w:rFonts w:hint="eastAsia" w:hAnsi="宋体" w:cs="宋体"/>
          <w:sz w:val="28"/>
          <w:szCs w:val="28"/>
        </w:rPr>
        <w:t>2</w:t>
      </w:r>
      <w:r>
        <w:rPr>
          <w:rFonts w:hint="eastAsia" w:hAnsi="宋体" w:cs="宋体"/>
          <w:sz w:val="28"/>
          <w:szCs w:val="28"/>
          <w:lang w:eastAsia="zh-CN"/>
        </w:rPr>
        <w:t>、</w:t>
      </w:r>
      <w:r>
        <w:rPr>
          <w:rFonts w:hint="eastAsia" w:hAnsi="宋体" w:cs="宋体"/>
          <w:sz w:val="28"/>
          <w:szCs w:val="28"/>
        </w:rPr>
        <w:t>土地基本状况</w:t>
      </w:r>
    </w:p>
    <w:p>
      <w:pPr>
        <w:snapToGrid w:val="0"/>
        <w:spacing w:line="520" w:lineRule="exact"/>
        <w:ind w:firstLine="560" w:firstLineChars="200"/>
        <w:rPr>
          <w:rFonts w:hAnsi="宋体" w:cs="宋体"/>
          <w:sz w:val="28"/>
          <w:szCs w:val="28"/>
        </w:rPr>
      </w:pPr>
      <w:bookmarkStart w:id="11" w:name="估价对象用地四至"/>
      <w:r>
        <w:rPr>
          <w:rFonts w:hint="eastAsia" w:hAnsi="宋体" w:cs="宋体"/>
          <w:sz w:val="28"/>
          <w:szCs w:val="28"/>
        </w:rPr>
        <w:t>估价对象位于</w:t>
      </w:r>
      <w:r>
        <w:rPr>
          <w:rFonts w:hint="eastAsia" w:hAnsi="宋体" w:cs="宋体"/>
          <w:sz w:val="28"/>
          <w:szCs w:val="28"/>
          <w:lang w:eastAsia="zh-CN"/>
        </w:rPr>
        <w:t>汾阳市学院路西侧、中国银行北侧</w:t>
      </w:r>
      <w:r>
        <w:rPr>
          <w:rFonts w:hint="eastAsia" w:hAnsi="宋体" w:cs="宋体"/>
          <w:sz w:val="28"/>
          <w:szCs w:val="28"/>
        </w:rPr>
        <w:t>，其所在项目对外推广名为“</w:t>
      </w:r>
      <w:r>
        <w:rPr>
          <w:rFonts w:hint="eastAsia" w:hAnsi="宋体" w:cs="宋体"/>
          <w:sz w:val="28"/>
          <w:szCs w:val="28"/>
          <w:lang w:val="en-US" w:eastAsia="zh-CN"/>
        </w:rPr>
        <w:t>汾阳市豊足·汾阳壹号</w:t>
      </w:r>
      <w:r>
        <w:rPr>
          <w:rFonts w:hint="eastAsia" w:hAnsi="宋体" w:cs="宋体"/>
          <w:sz w:val="28"/>
          <w:szCs w:val="28"/>
        </w:rPr>
        <w:t>”</w:t>
      </w:r>
      <w:bookmarkEnd w:id="11"/>
      <w:r>
        <w:rPr>
          <w:rFonts w:hint="eastAsia" w:hAnsi="宋体" w:cs="宋体"/>
          <w:sz w:val="28"/>
          <w:szCs w:val="28"/>
          <w:lang w:eastAsia="zh-CN"/>
        </w:rPr>
        <w:t>，</w:t>
      </w:r>
      <w:r>
        <w:rPr>
          <w:rFonts w:hint="eastAsia" w:hAnsi="宋体" w:cs="宋体"/>
          <w:sz w:val="28"/>
          <w:szCs w:val="28"/>
          <w:lang w:val="en-US" w:eastAsia="zh-CN"/>
        </w:rPr>
        <w:t>估价对象为其中的5号楼</w:t>
      </w:r>
      <w:r>
        <w:rPr>
          <w:rFonts w:hint="eastAsia" w:hAnsi="宋体" w:cs="宋体"/>
          <w:sz w:val="28"/>
          <w:szCs w:val="28"/>
        </w:rPr>
        <w:t>。</w:t>
      </w:r>
    </w:p>
    <w:p>
      <w:pPr>
        <w:pStyle w:val="2"/>
        <w:spacing w:line="520" w:lineRule="exact"/>
        <w:ind w:firstLine="560"/>
        <w:rPr>
          <w:rFonts w:hint="eastAsia" w:ascii="宋体" w:hAnsi="宋体" w:eastAsia="宋体" w:cs="宋体"/>
          <w:color w:val="000000"/>
          <w:sz w:val="28"/>
          <w:szCs w:val="28"/>
          <w:lang w:val="en-US" w:eastAsia="zh-CN"/>
        </w:rPr>
      </w:pPr>
      <w:r>
        <w:rPr>
          <w:rFonts w:hint="eastAsia" w:ascii="宋体" w:hAnsi="宋体" w:eastAsia="宋体" w:cs="宋体"/>
          <w:sz w:val="28"/>
          <w:szCs w:val="28"/>
          <w:lang w:eastAsia="zh-CN"/>
        </w:rPr>
        <w:t>小区土地</w:t>
      </w:r>
      <w:r>
        <w:rPr>
          <w:rFonts w:hint="eastAsia" w:ascii="宋体" w:hAnsi="宋体" w:eastAsia="宋体" w:cs="宋体"/>
          <w:sz w:val="28"/>
          <w:szCs w:val="28"/>
        </w:rPr>
        <w:t>所有权属于国家，</w:t>
      </w:r>
      <w:r>
        <w:rPr>
          <w:rFonts w:hint="eastAsia" w:ascii="宋体" w:hAnsi="宋体" w:eastAsia="宋体" w:cs="宋体"/>
          <w:color w:val="000000"/>
          <w:sz w:val="28"/>
          <w:szCs w:val="28"/>
          <w:lang w:eastAsia="zh-CN"/>
        </w:rPr>
        <w:t>吕梁恒信房地产开发有限公司</w:t>
      </w:r>
      <w:r>
        <w:rPr>
          <w:rFonts w:hint="eastAsia" w:ascii="宋体" w:hAnsi="宋体" w:eastAsia="宋体" w:cs="宋体"/>
          <w:color w:val="000000"/>
          <w:sz w:val="28"/>
          <w:szCs w:val="28"/>
        </w:rPr>
        <w:t>20</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日与</w:t>
      </w:r>
      <w:r>
        <w:rPr>
          <w:rFonts w:hint="eastAsia" w:ascii="宋体" w:hAnsi="宋体" w:eastAsia="宋体" w:cs="宋体"/>
          <w:color w:val="000000"/>
          <w:sz w:val="28"/>
          <w:szCs w:val="28"/>
          <w:lang w:val="en-US" w:eastAsia="zh-CN"/>
        </w:rPr>
        <w:t>汾阳市国土资源局</w:t>
      </w:r>
      <w:r>
        <w:rPr>
          <w:rFonts w:hint="eastAsia" w:ascii="宋体" w:hAnsi="宋体" w:eastAsia="宋体" w:cs="宋体"/>
          <w:color w:val="000000"/>
          <w:sz w:val="28"/>
          <w:szCs w:val="28"/>
        </w:rPr>
        <w:t>签订了合同编号</w:t>
      </w:r>
      <w:r>
        <w:rPr>
          <w:rFonts w:hint="eastAsia" w:ascii="宋体" w:hAnsi="宋体" w:eastAsia="宋体" w:cs="宋体"/>
          <w:color w:val="000000"/>
          <w:sz w:val="28"/>
          <w:szCs w:val="28"/>
          <w:lang w:val="en-US" w:eastAsia="zh-CN"/>
        </w:rPr>
        <w:t>--142303[2015]1015</w:t>
      </w:r>
      <w:r>
        <w:rPr>
          <w:rFonts w:hint="eastAsia" w:ascii="宋体" w:hAnsi="宋体" w:eastAsia="宋体" w:cs="宋体"/>
          <w:color w:val="000000"/>
          <w:sz w:val="28"/>
          <w:szCs w:val="28"/>
        </w:rPr>
        <w:t>的《国有建设用地使用权出让合同》，以出让方式取得位于</w:t>
      </w:r>
      <w:r>
        <w:rPr>
          <w:rFonts w:hint="eastAsia" w:ascii="宋体" w:hAnsi="宋体" w:eastAsia="宋体" w:cs="宋体"/>
          <w:color w:val="000000"/>
          <w:sz w:val="28"/>
          <w:szCs w:val="28"/>
          <w:lang w:val="en-US" w:eastAsia="zh-CN"/>
        </w:rPr>
        <w:t>汾阳市学院路西侧、中国银行北侧的</w:t>
      </w:r>
      <w:r>
        <w:rPr>
          <w:rFonts w:hint="eastAsia" w:ascii="宋体" w:hAnsi="宋体" w:eastAsia="宋体" w:cs="宋体"/>
          <w:color w:val="000000"/>
          <w:sz w:val="28"/>
          <w:szCs w:val="28"/>
        </w:rPr>
        <w:t>面积</w:t>
      </w:r>
      <w:r>
        <w:rPr>
          <w:rFonts w:hint="eastAsia" w:ascii="宋体" w:hAnsi="宋体" w:eastAsia="宋体" w:cs="宋体"/>
          <w:color w:val="000000"/>
          <w:sz w:val="28"/>
          <w:szCs w:val="28"/>
          <w:lang w:val="en-US" w:eastAsia="zh-CN"/>
        </w:rPr>
        <w:t>34474.53</w:t>
      </w:r>
      <w:r>
        <w:rPr>
          <w:rFonts w:hint="eastAsia" w:ascii="宋体" w:hAnsi="宋体" w:eastAsia="宋体" w:cs="宋体"/>
          <w:color w:val="000000"/>
          <w:sz w:val="28"/>
          <w:szCs w:val="28"/>
        </w:rPr>
        <w:t>平方米的土地使用权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A地块为33911.70平方米，B地块为562.83平方</w:t>
      </w:r>
      <w:r>
        <w:rPr>
          <w:rFonts w:hint="eastAsia" w:hAnsi="宋体" w:cs="宋体"/>
          <w:sz w:val="28"/>
          <w:szCs w:val="28"/>
          <w:lang w:val="en-US" w:eastAsia="zh-CN"/>
        </w:rPr>
        <w:t>米</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，用途为</w:t>
      </w:r>
      <w:r>
        <w:rPr>
          <w:rFonts w:hint="eastAsia" w:ascii="宋体" w:hAnsi="宋体" w:eastAsia="宋体" w:cs="宋体"/>
          <w:color w:val="000000"/>
          <w:sz w:val="28"/>
          <w:szCs w:val="28"/>
          <w:lang w:val="en-US" w:eastAsia="zh-CN"/>
        </w:rPr>
        <w:t>住宅和商业，其中其他普通商品住房用地面积28824.95平方米，其他商服用地面积5086.75平方米。</w:t>
      </w:r>
      <w:r>
        <w:rPr>
          <w:rFonts w:hint="eastAsia" w:ascii="宋体" w:hAnsi="宋体" w:eastAsia="宋体" w:cs="宋体"/>
          <w:color w:val="000000"/>
          <w:sz w:val="28"/>
          <w:szCs w:val="28"/>
        </w:rPr>
        <w:t>容积率不高于</w:t>
      </w:r>
      <w:r>
        <w:rPr>
          <w:rFonts w:hint="eastAsia" w:ascii="宋体" w:hAnsi="宋体" w:eastAsia="宋体" w:cs="宋体"/>
          <w:color w:val="000000"/>
          <w:sz w:val="28"/>
          <w:szCs w:val="28"/>
          <w:lang w:val="en-US" w:eastAsia="zh-CN"/>
        </w:rPr>
        <w:t>3.45</w:t>
      </w:r>
      <w:r>
        <w:rPr>
          <w:rFonts w:hint="eastAsia" w:ascii="宋体" w:hAnsi="宋体" w:eastAsia="宋体" w:cs="宋体"/>
          <w:color w:val="000000"/>
          <w:sz w:val="28"/>
          <w:szCs w:val="28"/>
        </w:rPr>
        <w:t>，不低于</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成交总价款为</w:t>
      </w:r>
      <w:r>
        <w:rPr>
          <w:rFonts w:hint="eastAsia" w:ascii="宋体" w:hAnsi="宋体" w:eastAsia="宋体" w:cs="宋体"/>
          <w:color w:val="000000"/>
          <w:sz w:val="28"/>
          <w:szCs w:val="28"/>
          <w:lang w:val="en-US" w:eastAsia="zh-CN"/>
        </w:rPr>
        <w:t>5896万元。</w:t>
      </w:r>
    </w:p>
    <w:p>
      <w:pPr>
        <w:pStyle w:val="2"/>
        <w:spacing w:line="520" w:lineRule="exact"/>
        <w:ind w:firstLine="56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吕梁恒信房地产开发有限公司</w:t>
      </w:r>
      <w:r>
        <w:rPr>
          <w:rFonts w:hint="eastAsia" w:ascii="宋体" w:hAnsi="宋体" w:eastAsia="宋体" w:cs="宋体"/>
          <w:color w:val="000000"/>
          <w:sz w:val="28"/>
          <w:szCs w:val="28"/>
        </w:rPr>
        <w:t>于201</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年领取了《国有土地使用证》，</w:t>
      </w:r>
      <w:r>
        <w:rPr>
          <w:rFonts w:hint="eastAsia" w:ascii="宋体" w:hAnsi="宋体" w:eastAsia="宋体" w:cs="宋体"/>
          <w:color w:val="000000"/>
          <w:sz w:val="28"/>
          <w:szCs w:val="28"/>
          <w:lang w:eastAsia="zh-CN"/>
        </w:rPr>
        <w:t>估价对象所在的</w:t>
      </w:r>
      <w:r>
        <w:rPr>
          <w:rFonts w:hint="eastAsia" w:ascii="宋体" w:hAnsi="宋体" w:eastAsia="宋体" w:cs="宋体"/>
          <w:color w:val="000000"/>
          <w:sz w:val="28"/>
          <w:szCs w:val="28"/>
          <w:lang w:val="en-US" w:eastAsia="zh-CN"/>
        </w:rPr>
        <w:t>5号楼位于该土地证范围，</w:t>
      </w:r>
      <w:r>
        <w:rPr>
          <w:rFonts w:hint="eastAsia" w:ascii="宋体" w:hAnsi="宋体" w:eastAsia="宋体" w:cs="宋体"/>
          <w:color w:val="000000"/>
          <w:sz w:val="28"/>
          <w:szCs w:val="28"/>
        </w:rPr>
        <w:t>具体登记状况如下：</w:t>
      </w:r>
    </w:p>
    <w:p>
      <w:pPr>
        <w:adjustRightInd w:val="0"/>
        <w:snapToGrid w:val="0"/>
        <w:spacing w:line="500" w:lineRule="exact"/>
        <w:ind w:firstLine="560" w:firstLineChars="200"/>
        <w:rPr>
          <w:rFonts w:hint="eastAsia" w:hAnsi="宋体" w:cs="宋体"/>
          <w:sz w:val="28"/>
          <w:szCs w:val="28"/>
          <w:lang w:val="en-US" w:eastAsia="zh-CN"/>
        </w:rPr>
      </w:pPr>
      <w:r>
        <w:rPr>
          <w:rFonts w:hint="eastAsia" w:hAnsi="宋体" w:cs="宋体"/>
          <w:sz w:val="28"/>
          <w:szCs w:val="28"/>
        </w:rPr>
        <w:t>编号：</w:t>
      </w:r>
      <w:r>
        <w:rPr>
          <w:rFonts w:hint="eastAsia" w:hAnsi="宋体" w:cs="宋体"/>
          <w:sz w:val="28"/>
          <w:szCs w:val="28"/>
          <w:lang w:val="en-US" w:eastAsia="zh-CN"/>
        </w:rPr>
        <w:t>汾国用（2016）第4号</w:t>
      </w:r>
    </w:p>
    <w:p>
      <w:pPr>
        <w:adjustRightInd w:val="0"/>
        <w:snapToGrid w:val="0"/>
        <w:spacing w:line="500" w:lineRule="exact"/>
        <w:ind w:firstLine="560" w:firstLineChars="200"/>
        <w:rPr>
          <w:rFonts w:hint="eastAsia" w:hAnsi="宋体" w:eastAsia="宋体" w:cs="宋体"/>
          <w:sz w:val="28"/>
          <w:szCs w:val="28"/>
          <w:lang w:eastAsia="zh-CN"/>
        </w:rPr>
      </w:pPr>
      <w:r>
        <w:rPr>
          <w:rFonts w:hint="eastAsia" w:hAnsi="宋体" w:cs="宋体"/>
          <w:sz w:val="28"/>
          <w:szCs w:val="28"/>
        </w:rPr>
        <w:t>土地使用权人：</w:t>
      </w:r>
      <w:r>
        <w:rPr>
          <w:rFonts w:hint="eastAsia" w:hAnsi="宋体" w:cs="宋体"/>
          <w:sz w:val="28"/>
          <w:szCs w:val="28"/>
          <w:lang w:eastAsia="zh-CN"/>
        </w:rPr>
        <w:t>吕梁恒信房地产开发有限公司</w:t>
      </w:r>
    </w:p>
    <w:p>
      <w:pPr>
        <w:adjustRightInd w:val="0"/>
        <w:snapToGrid w:val="0"/>
        <w:spacing w:line="500" w:lineRule="exact"/>
        <w:ind w:firstLine="560" w:firstLineChars="200"/>
        <w:rPr>
          <w:rFonts w:hint="eastAsia" w:hAnsi="宋体" w:eastAsia="宋体" w:cs="宋体"/>
          <w:sz w:val="28"/>
          <w:szCs w:val="28"/>
          <w:lang w:eastAsia="zh-CN"/>
        </w:rPr>
      </w:pPr>
      <w:r>
        <w:rPr>
          <w:rFonts w:hint="eastAsia" w:hAnsi="宋体" w:cs="宋体"/>
          <w:sz w:val="28"/>
          <w:szCs w:val="28"/>
        </w:rPr>
        <w:t>座落：</w:t>
      </w:r>
      <w:r>
        <w:rPr>
          <w:rFonts w:hint="eastAsia" w:hAnsi="宋体" w:cs="宋体"/>
          <w:sz w:val="28"/>
          <w:szCs w:val="28"/>
          <w:lang w:eastAsia="zh-CN"/>
        </w:rPr>
        <w:t>汾阳市学院路西侧、中国银行北侧</w:t>
      </w:r>
    </w:p>
    <w:p>
      <w:pPr>
        <w:adjustRightInd w:val="0"/>
        <w:snapToGrid w:val="0"/>
        <w:spacing w:line="500" w:lineRule="exact"/>
        <w:ind w:firstLine="560" w:firstLineChars="200"/>
        <w:rPr>
          <w:rFonts w:hint="eastAsia" w:hAnsi="宋体" w:cs="宋体"/>
          <w:sz w:val="28"/>
          <w:szCs w:val="28"/>
          <w:lang w:val="en-US" w:eastAsia="zh-CN"/>
        </w:rPr>
      </w:pPr>
      <w:r>
        <w:rPr>
          <w:rFonts w:hint="eastAsia" w:hAnsi="宋体" w:cs="宋体"/>
          <w:sz w:val="28"/>
          <w:szCs w:val="28"/>
        </w:rPr>
        <w:t>地类（用途）：</w:t>
      </w:r>
      <w:r>
        <w:rPr>
          <w:rFonts w:hint="eastAsia" w:hAnsi="宋体" w:cs="宋体"/>
          <w:sz w:val="28"/>
          <w:szCs w:val="28"/>
          <w:lang w:val="en-US" w:eastAsia="zh-CN"/>
        </w:rPr>
        <w:t>商住、商服</w:t>
      </w:r>
    </w:p>
    <w:p>
      <w:pPr>
        <w:adjustRightInd w:val="0"/>
        <w:snapToGrid w:val="0"/>
        <w:spacing w:line="500" w:lineRule="exact"/>
        <w:ind w:firstLine="560" w:firstLineChars="200"/>
        <w:rPr>
          <w:rFonts w:hint="default" w:hAnsi="宋体" w:eastAsia="宋体" w:cs="宋体"/>
          <w:sz w:val="28"/>
          <w:szCs w:val="28"/>
          <w:lang w:val="en-US" w:eastAsia="zh-CN"/>
        </w:rPr>
      </w:pPr>
      <w:r>
        <w:rPr>
          <w:rFonts w:hint="eastAsia" w:hAnsi="宋体" w:cs="宋体"/>
          <w:sz w:val="28"/>
          <w:szCs w:val="28"/>
          <w:lang w:val="en-US" w:eastAsia="zh-CN"/>
        </w:rPr>
        <w:t>取得价格：5896万元</w:t>
      </w:r>
    </w:p>
    <w:p>
      <w:pPr>
        <w:adjustRightInd w:val="0"/>
        <w:snapToGrid w:val="0"/>
        <w:spacing w:line="500" w:lineRule="exact"/>
        <w:ind w:firstLine="560" w:firstLineChars="200"/>
        <w:rPr>
          <w:rFonts w:hint="eastAsia" w:eastAsia="仿宋_GB2312"/>
          <w:lang w:val="en-US" w:eastAsia="zh-CN"/>
        </w:rPr>
      </w:pPr>
      <w:r>
        <w:rPr>
          <w:rFonts w:hint="eastAsia" w:hAnsi="宋体" w:cs="宋体"/>
          <w:sz w:val="28"/>
          <w:szCs w:val="28"/>
        </w:rPr>
        <w:t>使用权类型：出让</w:t>
      </w:r>
    </w:p>
    <w:p>
      <w:pPr>
        <w:adjustRightInd w:val="0"/>
        <w:snapToGrid w:val="0"/>
        <w:spacing w:line="500" w:lineRule="exact"/>
        <w:ind w:firstLine="560" w:firstLineChars="200"/>
        <w:rPr>
          <w:rFonts w:hint="default" w:hAnsi="宋体" w:eastAsia="宋体" w:cs="宋体"/>
          <w:sz w:val="28"/>
          <w:szCs w:val="28"/>
          <w:lang w:val="en-US" w:eastAsia="zh-CN"/>
        </w:rPr>
      </w:pPr>
      <w:r>
        <w:rPr>
          <w:rFonts w:hint="eastAsia" w:hAnsi="宋体" w:cs="宋体"/>
          <w:sz w:val="28"/>
          <w:szCs w:val="28"/>
        </w:rPr>
        <w:t>终止日期：</w:t>
      </w:r>
      <w:r>
        <w:rPr>
          <w:rFonts w:hint="eastAsia" w:hAnsi="宋体" w:cs="宋体"/>
          <w:sz w:val="28"/>
          <w:szCs w:val="28"/>
          <w:lang w:val="en-US" w:eastAsia="zh-CN"/>
        </w:rPr>
        <w:t>商住</w:t>
      </w:r>
      <w:r>
        <w:rPr>
          <w:rFonts w:hint="eastAsia" w:hAnsi="宋体" w:cs="宋体"/>
          <w:sz w:val="28"/>
          <w:szCs w:val="28"/>
        </w:rPr>
        <w:t>20</w:t>
      </w:r>
      <w:r>
        <w:rPr>
          <w:rFonts w:hint="eastAsia" w:hAnsi="宋体" w:cs="宋体"/>
          <w:sz w:val="28"/>
          <w:szCs w:val="28"/>
          <w:lang w:val="en-US" w:eastAsia="zh-CN"/>
        </w:rPr>
        <w:t>85</w:t>
      </w:r>
      <w:r>
        <w:rPr>
          <w:rFonts w:hint="eastAsia" w:hAnsi="宋体" w:cs="宋体"/>
          <w:sz w:val="28"/>
          <w:szCs w:val="28"/>
        </w:rPr>
        <w:t>.</w:t>
      </w:r>
      <w:r>
        <w:rPr>
          <w:rFonts w:hint="eastAsia" w:hAnsi="宋体" w:cs="宋体"/>
          <w:sz w:val="28"/>
          <w:szCs w:val="28"/>
          <w:lang w:val="en-US" w:eastAsia="zh-CN"/>
        </w:rPr>
        <w:t>11</w:t>
      </w:r>
      <w:r>
        <w:rPr>
          <w:rFonts w:hint="eastAsia" w:hAnsi="宋体" w:cs="宋体"/>
          <w:sz w:val="28"/>
          <w:szCs w:val="28"/>
        </w:rPr>
        <w:t>.</w:t>
      </w:r>
      <w:r>
        <w:rPr>
          <w:rFonts w:hint="eastAsia" w:hAnsi="宋体" w:cs="宋体"/>
          <w:sz w:val="28"/>
          <w:szCs w:val="28"/>
          <w:lang w:val="en-US" w:eastAsia="zh-CN"/>
        </w:rPr>
        <w:t>29；商服</w:t>
      </w:r>
      <w:r>
        <w:rPr>
          <w:rFonts w:hint="eastAsia" w:hAnsi="宋体" w:cs="宋体"/>
          <w:sz w:val="28"/>
          <w:szCs w:val="28"/>
        </w:rPr>
        <w:t>20</w:t>
      </w:r>
      <w:r>
        <w:rPr>
          <w:rFonts w:hint="eastAsia" w:hAnsi="宋体" w:cs="宋体"/>
          <w:sz w:val="28"/>
          <w:szCs w:val="28"/>
          <w:lang w:val="en-US" w:eastAsia="zh-CN"/>
        </w:rPr>
        <w:t>55</w:t>
      </w:r>
      <w:r>
        <w:rPr>
          <w:rFonts w:hint="eastAsia" w:hAnsi="宋体" w:cs="宋体"/>
          <w:sz w:val="28"/>
          <w:szCs w:val="28"/>
        </w:rPr>
        <w:t>.</w:t>
      </w:r>
      <w:r>
        <w:rPr>
          <w:rFonts w:hint="eastAsia" w:hAnsi="宋体" w:cs="宋体"/>
          <w:sz w:val="28"/>
          <w:szCs w:val="28"/>
          <w:lang w:val="en-US" w:eastAsia="zh-CN"/>
        </w:rPr>
        <w:t>11</w:t>
      </w:r>
      <w:r>
        <w:rPr>
          <w:rFonts w:hint="eastAsia" w:hAnsi="宋体" w:cs="宋体"/>
          <w:sz w:val="28"/>
          <w:szCs w:val="28"/>
        </w:rPr>
        <w:t>.</w:t>
      </w:r>
      <w:r>
        <w:rPr>
          <w:rFonts w:hint="eastAsia" w:hAnsi="宋体" w:cs="宋体"/>
          <w:sz w:val="28"/>
          <w:szCs w:val="28"/>
          <w:lang w:val="en-US" w:eastAsia="zh-CN"/>
        </w:rPr>
        <w:t>29</w:t>
      </w:r>
    </w:p>
    <w:p>
      <w:pPr>
        <w:adjustRightInd w:val="0"/>
        <w:snapToGrid w:val="0"/>
        <w:spacing w:line="500" w:lineRule="exact"/>
        <w:ind w:firstLine="560" w:firstLineChars="200"/>
        <w:rPr>
          <w:rFonts w:hAnsi="宋体" w:cs="宋体"/>
          <w:sz w:val="28"/>
          <w:szCs w:val="28"/>
        </w:rPr>
      </w:pPr>
      <w:r>
        <w:rPr>
          <w:rFonts w:hint="eastAsia" w:hAnsi="宋体" w:cs="宋体"/>
          <w:sz w:val="28"/>
          <w:szCs w:val="28"/>
        </w:rPr>
        <w:t>使用权面积：</w:t>
      </w:r>
      <w:r>
        <w:rPr>
          <w:rFonts w:hint="eastAsia" w:hAnsi="宋体" w:cs="宋体"/>
          <w:sz w:val="28"/>
          <w:szCs w:val="28"/>
          <w:lang w:val="en-US" w:eastAsia="zh-CN"/>
        </w:rPr>
        <w:t>33911.70</w:t>
      </w:r>
      <w:r>
        <w:rPr>
          <w:rFonts w:hint="eastAsia" w:hAnsi="宋体" w:cs="宋体"/>
          <w:sz w:val="28"/>
          <w:szCs w:val="28"/>
        </w:rPr>
        <w:t>平方米</w:t>
      </w:r>
    </w:p>
    <w:p>
      <w:pPr>
        <w:adjustRightInd w:val="0"/>
        <w:snapToGrid w:val="0"/>
        <w:spacing w:line="520" w:lineRule="atLeast"/>
        <w:ind w:firstLine="560" w:firstLineChars="200"/>
        <w:rPr>
          <w:rFonts w:hAnsi="宋体" w:cs="宋体"/>
          <w:sz w:val="28"/>
        </w:rPr>
      </w:pPr>
      <w:r>
        <w:rPr>
          <w:rFonts w:hint="eastAsia" w:hAnsi="宋体" w:cs="宋体"/>
          <w:sz w:val="28"/>
        </w:rPr>
        <w:t>根据估价委托人介绍及估价人员实地查勘，估价对象所在宗地形状规则，地势平坦，地质条件良好，土地承载力较好。</w:t>
      </w:r>
    </w:p>
    <w:p>
      <w:pPr>
        <w:adjustRightInd w:val="0"/>
        <w:snapToGrid w:val="0"/>
        <w:spacing w:line="520" w:lineRule="atLeast"/>
        <w:ind w:firstLine="280" w:firstLineChars="100"/>
        <w:rPr>
          <w:rFonts w:hint="eastAsia" w:hAnsi="宋体" w:eastAsia="宋体" w:cs="宋体"/>
          <w:sz w:val="28"/>
          <w:lang w:val="en-US" w:eastAsia="zh-CN"/>
        </w:rPr>
      </w:pPr>
      <w:r>
        <w:rPr>
          <w:rFonts w:hint="eastAsia" w:hAnsi="宋体" w:cs="宋体"/>
          <w:sz w:val="28"/>
        </w:rPr>
        <w:t>估价对象所在区域市政基础设施达到“</w:t>
      </w:r>
      <w:r>
        <w:rPr>
          <w:rFonts w:hint="eastAsia" w:hAnsi="宋体" w:cs="宋体"/>
          <w:sz w:val="28"/>
          <w:lang w:val="en-US" w:eastAsia="zh-CN"/>
        </w:rPr>
        <w:t>七</w:t>
      </w:r>
      <w:r>
        <w:rPr>
          <w:rFonts w:hint="eastAsia" w:hAnsi="宋体" w:cs="宋体"/>
          <w:sz w:val="28"/>
        </w:rPr>
        <w:t>通”（即供水、排水、通路、通电、通讯、供暖</w:t>
      </w:r>
      <w:r>
        <w:rPr>
          <w:rFonts w:hint="eastAsia" w:hAnsi="宋体" w:cs="宋体"/>
          <w:sz w:val="28"/>
          <w:lang w:eastAsia="zh-CN"/>
        </w:rPr>
        <w:t>、</w:t>
      </w:r>
      <w:r>
        <w:rPr>
          <w:rFonts w:hint="eastAsia" w:hAnsi="宋体" w:cs="宋体"/>
          <w:sz w:val="28"/>
          <w:lang w:val="en-US" w:eastAsia="zh-CN"/>
        </w:rPr>
        <w:t>通气</w:t>
      </w:r>
      <w:r>
        <w:rPr>
          <w:rFonts w:hint="eastAsia" w:hAnsi="宋体" w:cs="宋体"/>
          <w:sz w:val="28"/>
        </w:rPr>
        <w:t>）</w:t>
      </w:r>
      <w:r>
        <w:rPr>
          <w:rFonts w:hint="eastAsia" w:hAnsi="宋体" w:cs="宋体"/>
          <w:sz w:val="28"/>
          <w:lang w:eastAsia="zh-CN"/>
        </w:rPr>
        <w:t>。</w:t>
      </w:r>
    </w:p>
    <w:p>
      <w:pPr>
        <w:adjustRightInd w:val="0"/>
        <w:snapToGrid w:val="0"/>
        <w:spacing w:line="520" w:lineRule="exact"/>
        <w:ind w:firstLine="560" w:firstLineChars="200"/>
        <w:rPr>
          <w:rFonts w:hAnsi="宋体"/>
          <w:sz w:val="28"/>
          <w:szCs w:val="28"/>
        </w:rPr>
      </w:pPr>
      <w:r>
        <w:rPr>
          <w:rFonts w:hint="eastAsia" w:hAnsi="宋体"/>
          <w:sz w:val="28"/>
          <w:szCs w:val="28"/>
        </w:rPr>
        <w:t>3</w:t>
      </w:r>
      <w:r>
        <w:rPr>
          <w:rFonts w:hint="eastAsia" w:hAnsi="宋体"/>
          <w:sz w:val="28"/>
          <w:szCs w:val="28"/>
          <w:lang w:eastAsia="zh-CN"/>
        </w:rPr>
        <w:t>、</w:t>
      </w:r>
      <w:r>
        <w:rPr>
          <w:rFonts w:hint="eastAsia" w:hAnsi="宋体"/>
          <w:sz w:val="28"/>
          <w:szCs w:val="28"/>
        </w:rPr>
        <w:t>在建工程基本情况</w:t>
      </w:r>
    </w:p>
    <w:p>
      <w:pPr>
        <w:snapToGrid w:val="0"/>
        <w:spacing w:line="520" w:lineRule="exact"/>
        <w:ind w:firstLine="560" w:firstLineChars="200"/>
        <w:rPr>
          <w:rFonts w:hAnsi="宋体" w:cs="宋体"/>
          <w:sz w:val="28"/>
          <w:szCs w:val="28"/>
        </w:rPr>
      </w:pPr>
      <w:r>
        <w:rPr>
          <w:rFonts w:hint="eastAsia" w:hAnsi="宋体"/>
          <w:sz w:val="28"/>
          <w:szCs w:val="28"/>
        </w:rPr>
        <w:t>估价对象</w:t>
      </w:r>
      <w:r>
        <w:rPr>
          <w:rFonts w:hint="eastAsia" w:hAnsi="宋体"/>
          <w:sz w:val="28"/>
          <w:szCs w:val="28"/>
          <w:lang w:eastAsia="zh-CN"/>
        </w:rPr>
        <w:t>位于</w:t>
      </w:r>
      <w:r>
        <w:rPr>
          <w:rFonts w:hint="eastAsia" w:hAnsi="宋体"/>
          <w:sz w:val="28"/>
          <w:szCs w:val="28"/>
        </w:rPr>
        <w:t>山西省</w:t>
      </w:r>
      <w:r>
        <w:rPr>
          <w:rFonts w:hint="eastAsia" w:hAnsi="宋体"/>
          <w:sz w:val="28"/>
          <w:szCs w:val="28"/>
          <w:lang w:eastAsia="zh-CN"/>
        </w:rPr>
        <w:t>汾阳市学院路西侧、中国银行北侧</w:t>
      </w:r>
      <w:r>
        <w:rPr>
          <w:rFonts w:hint="eastAsia" w:ascii="宋体" w:hAnsi="宋体" w:eastAsia="宋体" w:cs="宋体"/>
          <w:sz w:val="28"/>
          <w:szCs w:val="28"/>
          <w:lang w:val="en-US" w:eastAsia="zh-CN"/>
        </w:rPr>
        <w:t>豊足·汾阳壹号小区</w:t>
      </w:r>
      <w:r>
        <w:rPr>
          <w:rFonts w:hint="eastAsia" w:hAnsi="宋体" w:cs="宋体"/>
          <w:sz w:val="28"/>
          <w:szCs w:val="28"/>
          <w:lang w:val="en-US" w:eastAsia="zh-CN"/>
        </w:rPr>
        <w:t>，该小区</w:t>
      </w:r>
      <w:r>
        <w:rPr>
          <w:rFonts w:hint="eastAsia" w:hAnsi="宋体"/>
          <w:color w:val="auto"/>
          <w:sz w:val="28"/>
          <w:lang w:val="en-US" w:eastAsia="zh-CN"/>
        </w:rPr>
        <w:t>已建成4栋住宅楼及1栋商业楼，以及</w:t>
      </w:r>
      <w:r>
        <w:rPr>
          <w:rFonts w:hint="eastAsia" w:ascii="宋体" w:hAnsi="宋体" w:eastAsia="宋体" w:cs="宋体"/>
          <w:sz w:val="28"/>
          <w:szCs w:val="28"/>
          <w:lang w:val="en-US" w:eastAsia="zh-CN"/>
        </w:rPr>
        <w:t>5</w:t>
      </w:r>
      <w:r>
        <w:rPr>
          <w:rFonts w:hint="eastAsia" w:hAnsi="宋体" w:cs="宋体"/>
          <w:sz w:val="28"/>
          <w:szCs w:val="28"/>
          <w:lang w:val="en-US" w:eastAsia="zh-CN"/>
        </w:rPr>
        <w:t>号楼、6号楼</w:t>
      </w:r>
      <w:r>
        <w:rPr>
          <w:rFonts w:hAnsi="宋体"/>
          <w:sz w:val="28"/>
          <w:szCs w:val="28"/>
        </w:rPr>
        <w:t>在建工程</w:t>
      </w:r>
      <w:r>
        <w:rPr>
          <w:rFonts w:hint="eastAsia" w:hAnsi="宋体"/>
          <w:sz w:val="28"/>
          <w:szCs w:val="28"/>
          <w:lang w:eastAsia="zh-CN"/>
        </w:rPr>
        <w:t>。</w:t>
      </w:r>
      <w:r>
        <w:rPr>
          <w:rFonts w:hint="eastAsia" w:hAnsi="宋体"/>
          <w:sz w:val="28"/>
          <w:szCs w:val="28"/>
        </w:rPr>
        <w:t>根据</w:t>
      </w:r>
      <w:r>
        <w:rPr>
          <w:rFonts w:hint="eastAsia" w:hAnsi="宋体"/>
          <w:sz w:val="28"/>
          <w:szCs w:val="28"/>
          <w:lang w:eastAsia="zh-CN"/>
        </w:rPr>
        <w:t>原被告双方</w:t>
      </w:r>
      <w:r>
        <w:rPr>
          <w:rFonts w:hint="eastAsia" w:hAnsi="宋体"/>
          <w:sz w:val="28"/>
          <w:szCs w:val="28"/>
        </w:rPr>
        <w:t>介绍及估价人员实地查勘，</w:t>
      </w:r>
      <w:r>
        <w:rPr>
          <w:rFonts w:hint="eastAsia" w:ascii="宋体" w:hAnsi="宋体" w:eastAsia="宋体" w:cs="宋体"/>
          <w:sz w:val="28"/>
          <w:szCs w:val="28"/>
          <w:lang w:val="en-US" w:eastAsia="zh-CN"/>
        </w:rPr>
        <w:t>5</w:t>
      </w:r>
      <w:r>
        <w:rPr>
          <w:rFonts w:hint="eastAsia" w:hAnsi="宋体" w:cs="宋体"/>
          <w:sz w:val="28"/>
          <w:szCs w:val="28"/>
          <w:lang w:val="en-US" w:eastAsia="zh-CN"/>
        </w:rPr>
        <w:t>号楼</w:t>
      </w:r>
      <w:r>
        <w:rPr>
          <w:rFonts w:hint="eastAsia" w:hAnsi="宋体" w:cs="宋体"/>
          <w:sz w:val="28"/>
          <w:szCs w:val="28"/>
          <w:lang w:eastAsia="zh-CN"/>
        </w:rPr>
        <w:t>地下工程土建完成，地面工程仅有露出地平面的钢筋</w:t>
      </w:r>
      <w:r>
        <w:rPr>
          <w:rFonts w:hint="eastAsia" w:hAnsi="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rPr>
      </w:pPr>
      <w:r>
        <w:rPr>
          <w:rFonts w:hint="eastAsia" w:hAnsi="宋体"/>
          <w:color w:val="auto"/>
          <w:sz w:val="28"/>
          <w:szCs w:val="28"/>
        </w:rPr>
        <w:t>（1）</w:t>
      </w:r>
      <w:r>
        <w:rPr>
          <w:rFonts w:hint="eastAsia" w:hAnsi="宋体"/>
          <w:color w:val="auto"/>
          <w:sz w:val="28"/>
          <w:szCs w:val="28"/>
          <w:lang w:eastAsia="zh-CN"/>
        </w:rPr>
        <w:t>建设用地</w:t>
      </w:r>
      <w:r>
        <w:rPr>
          <w:rFonts w:hint="eastAsia" w:hAnsi="宋体"/>
          <w:color w:val="auto"/>
          <w:sz w:val="28"/>
          <w:szCs w:val="28"/>
          <w:lang w:val="en-US" w:eastAsia="zh-CN"/>
        </w:rPr>
        <w:t>/</w:t>
      </w:r>
      <w:r>
        <w:rPr>
          <w:rFonts w:hint="eastAsia" w:hAnsi="宋体"/>
          <w:color w:val="auto"/>
          <w:sz w:val="28"/>
          <w:szCs w:val="28"/>
          <w:lang w:eastAsia="zh-CN"/>
        </w:rPr>
        <w:t>建设工程规划许可证</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吕梁恒信房地产开发有限公司于2016年1月14领取了建设用地规划许可证-地字第14230320160114002号，具体内容见下表：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用地单位</w:t>
            </w:r>
          </w:p>
        </w:tc>
        <w:tc>
          <w:tcPr>
            <w:tcW w:w="6392" w:type="dxa"/>
            <w:vAlign w:val="center"/>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lang w:val="en-US" w:eastAsia="zh-CN"/>
              </w:rPr>
              <w:t>吕梁恒信房地产开发有限公司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用地项目名称</w:t>
            </w:r>
          </w:p>
        </w:tc>
        <w:tc>
          <w:tcPr>
            <w:tcW w:w="6392" w:type="dxa"/>
            <w:vAlign w:val="center"/>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汾阳市省汾运二宿舍棚户区改造工程（汾阳市豊足·汾阳壹号）小区建设项目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用地位置</w:t>
            </w:r>
          </w:p>
        </w:tc>
        <w:tc>
          <w:tcPr>
            <w:tcW w:w="6392" w:type="dxa"/>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汾阳市学院路西侧、中国银行北侧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用地性质</w:t>
            </w:r>
          </w:p>
        </w:tc>
        <w:tc>
          <w:tcPr>
            <w:tcW w:w="6392" w:type="dxa"/>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居住用地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用地面积</w:t>
            </w:r>
          </w:p>
        </w:tc>
        <w:tc>
          <w:tcPr>
            <w:tcW w:w="6392"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33911.7平方米</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吕梁恒信房地产开发有限公司于2016年4月20领取了建设工程规划许可证-建字第142303201600420002号，具体内容见下表：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建设单位</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lang w:val="en-US" w:eastAsia="zh-CN"/>
              </w:rPr>
              <w:t>吕梁恒信房地产开发有限公司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建设项目名称</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汾阳市省汾运二宿舍棚户区改造工程（汾阳市豊足·汾阳壹号）小区2＃楼、4＃楼、5＃楼、6＃楼、地下车库及游泳池建设项目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建设位置</w:t>
            </w:r>
          </w:p>
        </w:tc>
        <w:tc>
          <w:tcPr>
            <w:tcW w:w="6392" w:type="dxa"/>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汾阳市学院路西侧、中国银行北侧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建设规模</w:t>
            </w:r>
          </w:p>
        </w:tc>
        <w:tc>
          <w:tcPr>
            <w:tcW w:w="6392" w:type="dxa"/>
          </w:tcPr>
          <w:p>
            <w:pPr>
              <w:pStyle w:val="2"/>
              <w:ind w:left="0" w:leftChars="0" w:firstLine="0" w:firstLineChars="0"/>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总建筑面积：69892平方米，地上总建筑面积：52092平方米，地下总建筑面积：17800平方米，限高100米</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2</w:t>
      </w:r>
      <w:r>
        <w:rPr>
          <w:rFonts w:hint="eastAsia" w:hAnsi="宋体"/>
          <w:color w:val="auto"/>
          <w:sz w:val="28"/>
          <w:szCs w:val="28"/>
          <w:lang w:eastAsia="zh-CN"/>
        </w:rPr>
        <w:t>）</w:t>
      </w:r>
      <w:r>
        <w:rPr>
          <w:rFonts w:hint="eastAsia" w:hAnsi="宋体"/>
          <w:color w:val="auto"/>
          <w:sz w:val="28"/>
          <w:szCs w:val="28"/>
        </w:rPr>
        <w:t>在建工程权益状况及规划条件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rPr>
        <w:t>根据估价委托人提供的《</w:t>
      </w:r>
      <w:r>
        <w:rPr>
          <w:rFonts w:hint="eastAsia" w:ascii="宋体" w:hAnsi="宋体" w:eastAsia="宋体" w:cs="宋体"/>
          <w:sz w:val="28"/>
          <w:szCs w:val="28"/>
          <w:lang w:val="en-US" w:eastAsia="zh-CN"/>
        </w:rPr>
        <w:t>吕梁恒信房地产开发有限公司豊足·汾阳壹号小区5#施工图</w:t>
      </w:r>
      <w:r>
        <w:rPr>
          <w:rFonts w:hint="eastAsia" w:hAnsi="宋体"/>
          <w:color w:val="auto"/>
          <w:sz w:val="28"/>
          <w:szCs w:val="28"/>
        </w:rPr>
        <w:t>》，</w:t>
      </w:r>
      <w:r>
        <w:rPr>
          <w:rFonts w:hint="eastAsia" w:hAnsi="宋体"/>
          <w:color w:val="auto"/>
          <w:sz w:val="28"/>
          <w:szCs w:val="28"/>
          <w:lang w:val="en-US" w:eastAsia="zh-CN"/>
        </w:rPr>
        <w:t>项目编号：2019-113-1，设计证书编号：A2014006127，设计单位：山西省轻工设计院有限公司，设计时间2019年8月。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工程概况具体如下：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1）建设单位及工程名称：吕梁恒信房地产开发有限公司；豊足·汾阳壹号小区5#楼；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2）建设地点：本工程位于汾阳学院路西北侧，规划二巷东南侧；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hAnsi="宋体"/>
          <w:color w:val="auto"/>
          <w:sz w:val="28"/>
          <w:szCs w:val="28"/>
          <w:lang w:val="en-US" w:eastAsia="zh-CN"/>
        </w:rPr>
      </w:pPr>
      <w:r>
        <w:rPr>
          <w:rFonts w:hint="eastAsia" w:hAnsi="宋体"/>
          <w:color w:val="auto"/>
          <w:sz w:val="28"/>
          <w:szCs w:val="28"/>
          <w:lang w:val="en-US" w:eastAsia="zh-CN"/>
        </w:rPr>
        <w:t>3）建筑功能：地下二层为车库及设备用房，地下一层为储藏室，1-5层为公寓，共70套；</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4）基地面积：1292.73平方米，首层建筑面积626.82平方米，总建筑面积5291.59平方米，地上建筑面积3319.60平方米，地上建筑面积1971.99平方米；</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5）建筑层数：地上5层，一层-五层层高均为4.6米，地下一层，层高3米，地下2层，层高3.6米，建筑高度23.90米（室外地坪至屋面面层），建筑高度25.40米（室外地坪至女儿墙高度）；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6）设计使用年限：3类（50年），属多层；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hAnsi="宋体"/>
          <w:color w:val="auto"/>
          <w:sz w:val="28"/>
          <w:szCs w:val="28"/>
          <w:lang w:val="en-US" w:eastAsia="zh-CN"/>
        </w:rPr>
      </w:pPr>
      <w:r>
        <w:rPr>
          <w:rFonts w:hint="eastAsia" w:hAnsi="宋体"/>
          <w:color w:val="auto"/>
          <w:sz w:val="28"/>
          <w:szCs w:val="28"/>
          <w:lang w:val="en-US" w:eastAsia="zh-CN"/>
        </w:rPr>
        <w:t>7）结构类型：框架结构</w:t>
      </w:r>
    </w:p>
    <w:p>
      <w:pPr>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textAlignment w:val="auto"/>
        <w:rPr>
          <w:color w:val="auto"/>
          <w:sz w:val="28"/>
        </w:rPr>
      </w:pPr>
      <w:r>
        <w:rPr>
          <w:rFonts w:hint="eastAsia"/>
          <w:color w:val="auto"/>
          <w:sz w:val="28"/>
        </w:rPr>
        <w:t>（2）估价对象实体状况</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default" w:hAnsi="宋体"/>
          <w:color w:val="auto"/>
          <w:sz w:val="28"/>
          <w:lang w:val="en-US" w:eastAsia="zh-CN"/>
        </w:rPr>
      </w:pPr>
      <w:r>
        <w:rPr>
          <w:rFonts w:hint="eastAsia"/>
          <w:color w:val="auto"/>
          <w:sz w:val="28"/>
        </w:rPr>
        <w:t>估价对象位于</w:t>
      </w:r>
      <w:r>
        <w:rPr>
          <w:rFonts w:hint="eastAsia"/>
          <w:color w:val="auto"/>
          <w:sz w:val="28"/>
          <w:lang w:eastAsia="zh-CN"/>
        </w:rPr>
        <w:t>汾阳市学院路西侧、中国银行北侧</w:t>
      </w:r>
      <w:r>
        <w:rPr>
          <w:rFonts w:hint="eastAsia" w:hAnsi="宋体"/>
          <w:color w:val="auto"/>
          <w:sz w:val="28"/>
        </w:rPr>
        <w:t>，</w:t>
      </w:r>
      <w:r>
        <w:rPr>
          <w:rFonts w:hint="eastAsia" w:hAnsi="宋体"/>
          <w:color w:val="auto"/>
          <w:sz w:val="28"/>
          <w:lang w:val="en-US" w:eastAsia="zh-CN"/>
        </w:rPr>
        <w:t>其所在小区共建成4栋住宅楼及1栋商业楼，以及</w:t>
      </w:r>
      <w:r>
        <w:rPr>
          <w:rFonts w:hint="eastAsia" w:ascii="宋体" w:hAnsi="宋体" w:eastAsia="宋体" w:cs="宋体"/>
          <w:sz w:val="28"/>
          <w:szCs w:val="28"/>
          <w:lang w:val="en-US" w:eastAsia="zh-CN"/>
        </w:rPr>
        <w:t>5</w:t>
      </w:r>
      <w:r>
        <w:rPr>
          <w:rFonts w:hint="eastAsia" w:hAnsi="宋体" w:cs="宋体"/>
          <w:sz w:val="28"/>
          <w:szCs w:val="28"/>
          <w:lang w:val="en-US" w:eastAsia="zh-CN"/>
        </w:rPr>
        <w:t>号楼、6号楼</w:t>
      </w:r>
      <w:r>
        <w:rPr>
          <w:rFonts w:hAnsi="宋体"/>
          <w:sz w:val="28"/>
          <w:szCs w:val="28"/>
        </w:rPr>
        <w:t>在建工程</w:t>
      </w:r>
      <w:r>
        <w:rPr>
          <w:rFonts w:hint="eastAsia" w:hAnsi="宋体"/>
          <w:sz w:val="28"/>
          <w:szCs w:val="28"/>
          <w:lang w:eastAsia="zh-CN"/>
        </w:rPr>
        <w:t>。</w:t>
      </w:r>
      <w:r>
        <w:rPr>
          <w:rFonts w:hint="eastAsia" w:hAnsi="宋体"/>
          <w:color w:val="auto"/>
          <w:sz w:val="28"/>
          <w:lang w:val="en-US" w:eastAsia="zh-CN"/>
        </w:rPr>
        <w:t>估价对象为5号楼，目前已完成地下土建工程，地上仅有外露的钢筋，且处于停工状态。</w:t>
      </w:r>
    </w:p>
    <w:p>
      <w:pPr>
        <w:jc w:val="center"/>
        <w:rPr>
          <w:rFonts w:hint="eastAsia"/>
          <w:sz w:val="28"/>
          <w:szCs w:val="28"/>
        </w:rPr>
      </w:pPr>
      <w:r>
        <w:rPr>
          <w:rFonts w:hint="eastAsia" w:eastAsia="宋体"/>
          <w:sz w:val="28"/>
          <w:szCs w:val="28"/>
          <w:lang w:eastAsia="zh-CN"/>
        </w:rPr>
        <w:drawing>
          <wp:anchor distT="0" distB="0" distL="114300" distR="114300" simplePos="0" relativeHeight="251661312" behindDoc="0" locked="0" layoutInCell="1" allowOverlap="1">
            <wp:simplePos x="0" y="0"/>
            <wp:positionH relativeFrom="column">
              <wp:posOffset>2773045</wp:posOffset>
            </wp:positionH>
            <wp:positionV relativeFrom="paragraph">
              <wp:posOffset>90170</wp:posOffset>
            </wp:positionV>
            <wp:extent cx="2919730" cy="2474595"/>
            <wp:effectExtent l="0" t="0" r="6350" b="9525"/>
            <wp:wrapNone/>
            <wp:docPr id="19" name="图片 19" descr="微信图片_202207280916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22072809163915"/>
                    <pic:cNvPicPr>
                      <a:picLocks noChangeAspect="1"/>
                    </pic:cNvPicPr>
                  </pic:nvPicPr>
                  <pic:blipFill>
                    <a:blip r:embed="rId7"/>
                    <a:stretch>
                      <a:fillRect/>
                    </a:stretch>
                  </pic:blipFill>
                  <pic:spPr>
                    <a:xfrm>
                      <a:off x="0" y="0"/>
                      <a:ext cx="2919730" cy="2474595"/>
                    </a:xfrm>
                    <a:prstGeom prst="rect">
                      <a:avLst/>
                    </a:prstGeom>
                  </pic:spPr>
                </pic:pic>
              </a:graphicData>
            </a:graphic>
          </wp:anchor>
        </w:drawing>
      </w:r>
      <w:r>
        <w:rPr>
          <w:rFonts w:hint="eastAsia" w:eastAsia="宋体"/>
          <w:sz w:val="28"/>
          <w:szCs w:val="28"/>
          <w:lang w:eastAsia="zh-CN"/>
        </w:rPr>
        <w:drawing>
          <wp:anchor distT="0" distB="0" distL="114300" distR="114300" simplePos="0" relativeHeight="251660288" behindDoc="0" locked="0" layoutInCell="1" allowOverlap="1">
            <wp:simplePos x="0" y="0"/>
            <wp:positionH relativeFrom="column">
              <wp:posOffset>-124460</wp:posOffset>
            </wp:positionH>
            <wp:positionV relativeFrom="paragraph">
              <wp:posOffset>80645</wp:posOffset>
            </wp:positionV>
            <wp:extent cx="2821305" cy="2496820"/>
            <wp:effectExtent l="0" t="0" r="13335" b="2540"/>
            <wp:wrapNone/>
            <wp:docPr id="17" name="图片 17" descr="4dde3a2a296eb0d321a1405542f63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4dde3a2a296eb0d321a1405542f63d0a"/>
                    <pic:cNvPicPr>
                      <a:picLocks noChangeAspect="1"/>
                    </pic:cNvPicPr>
                  </pic:nvPicPr>
                  <pic:blipFill>
                    <a:blip r:embed="rId8"/>
                    <a:srcRect l="10567" b="876"/>
                    <a:stretch>
                      <a:fillRect/>
                    </a:stretch>
                  </pic:blipFill>
                  <pic:spPr>
                    <a:xfrm>
                      <a:off x="0" y="0"/>
                      <a:ext cx="2821305" cy="2496820"/>
                    </a:xfrm>
                    <a:prstGeom prst="rect">
                      <a:avLst/>
                    </a:prstGeom>
                  </pic:spPr>
                </pic:pic>
              </a:graphicData>
            </a:graphic>
          </wp:anchor>
        </w:drawing>
      </w:r>
    </w:p>
    <w:p>
      <w:pPr>
        <w:jc w:val="center"/>
        <w:rPr>
          <w:rFonts w:hint="eastAsia" w:eastAsia="宋体"/>
          <w:sz w:val="28"/>
          <w:szCs w:val="28"/>
          <w:lang w:eastAsia="zh-CN"/>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eastAsia="宋体"/>
          <w:sz w:val="28"/>
          <w:szCs w:val="28"/>
          <w:lang w:eastAsia="zh-CN"/>
        </w:rPr>
      </w:pPr>
    </w:p>
    <w:p>
      <w:pPr>
        <w:pStyle w:val="14"/>
        <w:keepNext w:val="0"/>
        <w:keepLines w:val="0"/>
        <w:pageBreakBefore w:val="0"/>
        <w:widowControl w:val="0"/>
        <w:kinsoku/>
        <w:wordWrap/>
        <w:overflowPunct/>
        <w:topLinePunct w:val="0"/>
        <w:autoSpaceDE/>
        <w:autoSpaceDN/>
        <w:bidi w:val="0"/>
        <w:adjustRightIn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4"/>
          <w:szCs w:val="24"/>
          <w:lang w:eastAsia="zh-CN"/>
        </w:rPr>
      </w:pPr>
      <w:r>
        <w:rPr>
          <w:rFonts w:hint="eastAsia"/>
          <w:sz w:val="24"/>
          <w:szCs w:val="24"/>
        </w:rPr>
        <w:drawing>
          <wp:anchor distT="0" distB="0" distL="114300" distR="114300" simplePos="0" relativeHeight="251662336" behindDoc="0" locked="0" layoutInCell="1" allowOverlap="1">
            <wp:simplePos x="0" y="0"/>
            <wp:positionH relativeFrom="column">
              <wp:posOffset>-175895</wp:posOffset>
            </wp:positionH>
            <wp:positionV relativeFrom="paragraph">
              <wp:posOffset>348615</wp:posOffset>
            </wp:positionV>
            <wp:extent cx="2865120" cy="2390775"/>
            <wp:effectExtent l="0" t="0" r="11430" b="9525"/>
            <wp:wrapNone/>
            <wp:docPr id="20" name="图片 20" descr="微信图片_20220728091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22072809163931"/>
                    <pic:cNvPicPr>
                      <a:picLocks noChangeAspect="1"/>
                    </pic:cNvPicPr>
                  </pic:nvPicPr>
                  <pic:blipFill>
                    <a:blip r:embed="rId9"/>
                    <a:stretch>
                      <a:fillRect/>
                    </a:stretch>
                  </pic:blipFill>
                  <pic:spPr>
                    <a:xfrm>
                      <a:off x="0" y="0"/>
                      <a:ext cx="2865120" cy="2390775"/>
                    </a:xfrm>
                    <a:prstGeom prst="rect">
                      <a:avLst/>
                    </a:prstGeom>
                  </pic:spPr>
                </pic:pic>
              </a:graphicData>
            </a:graphic>
          </wp:anchor>
        </w:drawing>
      </w:r>
      <w:r>
        <w:rPr>
          <w:rFonts w:hint="eastAsia"/>
          <w:sz w:val="24"/>
          <w:szCs w:val="24"/>
        </w:rPr>
        <w:t>现场照片</w:t>
      </w:r>
      <w:r>
        <w:rPr>
          <w:rFonts w:hint="eastAsia"/>
          <w:sz w:val="24"/>
          <w:szCs w:val="24"/>
          <w:lang w:eastAsia="zh-CN"/>
        </w:rPr>
        <w:t>（见上下图片）</w:t>
      </w:r>
    </w:p>
    <w:p>
      <w:pPr>
        <w:jc w:val="center"/>
        <w:rPr>
          <w:rFonts w:hint="eastAsia"/>
          <w:sz w:val="28"/>
          <w:szCs w:val="28"/>
        </w:rPr>
      </w:pPr>
      <w:r>
        <w:rPr>
          <w:rFonts w:hint="eastAsia" w:eastAsia="宋体"/>
          <w:lang w:eastAsia="zh-CN"/>
        </w:rPr>
        <w:drawing>
          <wp:anchor distT="0" distB="0" distL="114300" distR="114300" simplePos="0" relativeHeight="251663360" behindDoc="0" locked="0" layoutInCell="1" allowOverlap="1">
            <wp:simplePos x="0" y="0"/>
            <wp:positionH relativeFrom="column">
              <wp:posOffset>2794000</wp:posOffset>
            </wp:positionH>
            <wp:positionV relativeFrom="paragraph">
              <wp:posOffset>88900</wp:posOffset>
            </wp:positionV>
            <wp:extent cx="2880360" cy="2384425"/>
            <wp:effectExtent l="0" t="0" r="15240" b="15875"/>
            <wp:wrapNone/>
            <wp:docPr id="21" name="图片 21" descr="微信图片_202207280916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2072809163938"/>
                    <pic:cNvPicPr>
                      <a:picLocks noChangeAspect="1"/>
                    </pic:cNvPicPr>
                  </pic:nvPicPr>
                  <pic:blipFill>
                    <a:blip r:embed="rId10"/>
                    <a:stretch>
                      <a:fillRect/>
                    </a:stretch>
                  </pic:blipFill>
                  <pic:spPr>
                    <a:xfrm>
                      <a:off x="0" y="0"/>
                      <a:ext cx="2880360" cy="2384425"/>
                    </a:xfrm>
                    <a:prstGeom prst="rect">
                      <a:avLst/>
                    </a:prstGeom>
                  </pic:spPr>
                </pic:pic>
              </a:graphicData>
            </a:graphic>
          </wp:anchor>
        </w:drawing>
      </w:r>
    </w:p>
    <w:p>
      <w:pPr>
        <w:rPr>
          <w:rFonts w:hint="eastAsia"/>
        </w:rPr>
      </w:pPr>
      <w:r>
        <w:rPr>
          <w:rFonts w:hint="eastAsia"/>
          <w:lang w:val="en-US" w:eastAsia="zh-CN"/>
        </w:rPr>
        <w:t xml:space="preserve">   </w:t>
      </w:r>
    </w:p>
    <w:p>
      <w:pPr>
        <w:pStyle w:val="14"/>
        <w:rPr>
          <w:rFonts w:hint="eastAsia"/>
        </w:rPr>
      </w:pPr>
    </w:p>
    <w:p>
      <w:pPr>
        <w:rPr>
          <w:rFonts w:hint="eastAsia"/>
        </w:rPr>
      </w:pPr>
    </w:p>
    <w:p>
      <w:pPr>
        <w:pStyle w:val="14"/>
        <w:rPr>
          <w:rFonts w:hint="eastAsia" w:eastAsia="宋体"/>
          <w:lang w:eastAsia="zh-CN"/>
        </w:rPr>
      </w:pPr>
    </w:p>
    <w:p>
      <w:pPr>
        <w:rPr>
          <w:rFonts w:hint="eastAsia"/>
        </w:rPr>
      </w:pPr>
    </w:p>
    <w:p>
      <w:pPr>
        <w:pStyle w:val="14"/>
        <w:rPr>
          <w:rFonts w:hint="eastAsia"/>
        </w:rPr>
      </w:pPr>
    </w:p>
    <w:p>
      <w:pPr>
        <w:rPr>
          <w:rFonts w:hint="eastAsia"/>
        </w:rPr>
      </w:pPr>
    </w:p>
    <w:p>
      <w:pPr>
        <w:pStyle w:val="14"/>
      </w:pPr>
    </w:p>
    <w:p>
      <w:pPr>
        <w:adjustRightInd w:val="0"/>
        <w:snapToGrid w:val="0"/>
        <w:spacing w:line="520" w:lineRule="atLeast"/>
        <w:ind w:firstLine="548" w:firstLineChars="196"/>
        <w:rPr>
          <w:rFonts w:hint="eastAsia" w:hAnsi="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48" w:firstLineChars="196"/>
        <w:textAlignment w:val="auto"/>
        <w:rPr>
          <w:rFonts w:hAnsi="宋体"/>
          <w:color w:val="auto"/>
          <w:sz w:val="28"/>
          <w:szCs w:val="28"/>
        </w:rPr>
      </w:pPr>
      <w:r>
        <w:rPr>
          <w:rFonts w:hint="eastAsia" w:hAnsi="宋体"/>
          <w:color w:val="auto"/>
          <w:sz w:val="28"/>
          <w:szCs w:val="28"/>
        </w:rPr>
        <w:t>4、他项权利设立情况</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据估价委托方介绍及现场勘察，价值时点时估价对象存在查封</w:t>
      </w:r>
      <w:r>
        <w:rPr>
          <w:rFonts w:hint="eastAsia" w:hAnsi="宋体"/>
          <w:color w:val="auto"/>
          <w:sz w:val="28"/>
          <w:szCs w:val="28"/>
          <w:lang w:eastAsia="zh-CN"/>
        </w:rPr>
        <w:t>情况</w:t>
      </w:r>
      <w:r>
        <w:rPr>
          <w:rFonts w:hint="eastAsia"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1"/>
        <w:rPr>
          <w:b/>
          <w:bCs/>
          <w:color w:val="auto"/>
          <w:sz w:val="28"/>
        </w:rPr>
      </w:pPr>
      <w:bookmarkStart w:id="12" w:name="_Toc19962"/>
      <w:r>
        <w:rPr>
          <w:rFonts w:hint="eastAsia"/>
          <w:b/>
          <w:bCs/>
          <w:color w:val="auto"/>
          <w:sz w:val="28"/>
        </w:rPr>
        <w:t>五、价值时点</w:t>
      </w:r>
      <w:bookmarkEnd w:id="12"/>
    </w:p>
    <w:p>
      <w:pPr>
        <w:keepNext w:val="0"/>
        <w:keepLines w:val="0"/>
        <w:pageBreakBefore w:val="0"/>
        <w:widowControl w:val="0"/>
        <w:kinsoku/>
        <w:wordWrap/>
        <w:overflowPunct/>
        <w:topLinePunct w:val="0"/>
        <w:autoSpaceDE/>
        <w:autoSpaceDN/>
        <w:bidi w:val="0"/>
        <w:adjustRightInd w:val="0"/>
        <w:snapToGrid w:val="0"/>
        <w:spacing w:line="500" w:lineRule="exact"/>
        <w:ind w:firstLine="600"/>
        <w:textAlignment w:val="auto"/>
        <w:rPr>
          <w:rFonts w:hint="eastAsia" w:hAnsi="宋体" w:eastAsia="宋体"/>
          <w:color w:val="auto"/>
          <w:sz w:val="28"/>
          <w:lang w:eastAsia="zh-CN"/>
        </w:rPr>
      </w:pPr>
      <w:r>
        <w:rPr>
          <w:rFonts w:hint="eastAsia" w:hAnsi="宋体"/>
          <w:color w:val="auto"/>
          <w:sz w:val="28"/>
        </w:rPr>
        <w:t>二○二二年</w:t>
      </w:r>
      <w:r>
        <w:rPr>
          <w:rFonts w:hint="eastAsia" w:hAnsi="宋体"/>
          <w:color w:val="auto"/>
          <w:sz w:val="28"/>
          <w:lang w:val="en-US" w:eastAsia="zh-CN"/>
        </w:rPr>
        <w:t>七</w:t>
      </w:r>
      <w:r>
        <w:rPr>
          <w:rFonts w:hint="eastAsia" w:hAnsi="宋体"/>
          <w:color w:val="auto"/>
          <w:sz w:val="28"/>
        </w:rPr>
        <w:t>月</w:t>
      </w:r>
      <w:r>
        <w:rPr>
          <w:rFonts w:hint="eastAsia" w:hAnsi="宋体"/>
          <w:color w:val="auto"/>
          <w:sz w:val="28"/>
          <w:lang w:val="en-US" w:eastAsia="zh-CN"/>
        </w:rPr>
        <w:t>二十七</w:t>
      </w:r>
      <w:r>
        <w:rPr>
          <w:rFonts w:hint="eastAsia" w:hAnsi="宋体"/>
          <w:color w:val="auto"/>
          <w:sz w:val="28"/>
        </w:rPr>
        <w:t>日</w:t>
      </w:r>
      <w:r>
        <w:rPr>
          <w:rFonts w:hint="eastAsia" w:hAnsi="宋体"/>
          <w:color w:val="auto"/>
          <w:sz w:val="28"/>
          <w:lang w:eastAsia="zh-CN"/>
        </w:rPr>
        <w:t>，为现场勘查日。</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1"/>
        <w:rPr>
          <w:b/>
          <w:bCs/>
          <w:color w:val="auto"/>
          <w:sz w:val="28"/>
        </w:rPr>
      </w:pPr>
      <w:bookmarkStart w:id="13" w:name="_Toc26513"/>
      <w:r>
        <w:rPr>
          <w:rFonts w:hint="eastAsia"/>
          <w:b/>
          <w:bCs/>
          <w:color w:val="auto"/>
          <w:sz w:val="28"/>
        </w:rPr>
        <w:t>六、价值类型</w:t>
      </w:r>
      <w:bookmarkEnd w:id="13"/>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color w:val="auto"/>
          <w:sz w:val="28"/>
        </w:rPr>
      </w:pPr>
      <w:r>
        <w:rPr>
          <w:rFonts w:hint="eastAsia"/>
          <w:color w:val="auto"/>
          <w:sz w:val="28"/>
        </w:rPr>
        <w:t>依据《中华人民共和国城市房地产管理法》、GB/T 50291-2015《房地产估价规范》及本省、市房地产评估的有关规定采用公开市场价值标准进行估价。</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ascii="宋体" w:hAnsi="Times New Roman" w:eastAsia="宋体"/>
          <w:sz w:val="28"/>
          <w:szCs w:val="20"/>
        </w:rPr>
      </w:pPr>
      <w:r>
        <w:rPr>
          <w:rFonts w:ascii="宋体" w:hAnsi="Times New Roman" w:eastAsia="宋体"/>
          <w:sz w:val="28"/>
          <w:szCs w:val="20"/>
        </w:rPr>
        <w:t>市场价值，是估价对象经适当营销后，由熟悉情况、谨慎行事且不受强迫的交易双方，以公平交易方式在价值时点自愿进行交易的金额。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1"/>
        <w:rPr>
          <w:b/>
          <w:bCs/>
          <w:color w:val="auto"/>
          <w:sz w:val="28"/>
        </w:rPr>
      </w:pPr>
      <w:bookmarkStart w:id="14" w:name="_Toc15509"/>
      <w:r>
        <w:rPr>
          <w:rFonts w:hint="eastAsia"/>
          <w:b/>
          <w:bCs/>
          <w:color w:val="auto"/>
          <w:sz w:val="28"/>
        </w:rPr>
        <w:t>七、估价原则</w:t>
      </w:r>
      <w:bookmarkEnd w:id="14"/>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225"/>
        <w:textAlignment w:val="auto"/>
        <w:rPr>
          <w:color w:val="auto"/>
          <w:sz w:val="28"/>
        </w:rPr>
      </w:pPr>
      <w:r>
        <w:rPr>
          <w:rFonts w:hint="eastAsia"/>
          <w:color w:val="auto"/>
          <w:sz w:val="28"/>
        </w:rPr>
        <w:t>本次估价遵守独立、客观、公正、合法、谨慎的原则及最高最佳使用原则、价值时点原则等技术性原则。</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50"/>
        <w:textAlignment w:val="auto"/>
        <w:rPr>
          <w:color w:val="auto"/>
          <w:sz w:val="28"/>
        </w:rPr>
      </w:pPr>
      <w:r>
        <w:rPr>
          <w:rFonts w:hint="eastAsia"/>
          <w:color w:val="auto"/>
          <w:sz w:val="28"/>
        </w:rPr>
        <w:t>（一）独立、客观、公正原则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color w:val="auto"/>
          <w:sz w:val="28"/>
        </w:rPr>
        <w:t>要求估价机构和估价人员站在中立的立场上</w:t>
      </w:r>
      <w:r>
        <w:rPr>
          <w:rFonts w:hint="eastAsia" w:hAnsi="宋体"/>
          <w:color w:val="auto"/>
          <w:sz w:val="28"/>
          <w:szCs w:val="28"/>
        </w:rPr>
        <w:t>，实事求是、公平正直地评估出对各方估价利害关系人均是公平合理的价值或价格的原则。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hAnsi="宋体"/>
          <w:color w:val="auto"/>
          <w:sz w:val="28"/>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val="0"/>
        <w:snapToGrid w:val="0"/>
        <w:spacing w:line="500" w:lineRule="exact"/>
        <w:ind w:firstLine="358" w:firstLineChars="128"/>
        <w:textAlignment w:val="auto"/>
        <w:rPr>
          <w:rFonts w:hAnsi="宋体"/>
          <w:color w:val="auto"/>
          <w:sz w:val="28"/>
          <w:szCs w:val="28"/>
        </w:rPr>
      </w:pPr>
      <w:r>
        <w:rPr>
          <w:rFonts w:hint="eastAsia" w:hAnsi="宋体"/>
          <w:color w:val="auto"/>
          <w:sz w:val="28"/>
          <w:szCs w:val="28"/>
        </w:rPr>
        <w:t>（二）合法原则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hAnsi="宋体"/>
          <w:color w:val="auto"/>
          <w:sz w:val="28"/>
          <w:szCs w:val="28"/>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hAnsi="宋体"/>
          <w:color w:val="auto"/>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hAnsi="宋体"/>
          <w:color w:val="auto"/>
          <w:sz w:val="28"/>
          <w:szCs w:val="28"/>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val="0"/>
        <w:snapToGrid w:val="0"/>
        <w:spacing w:line="500" w:lineRule="exact"/>
        <w:ind w:firstLine="358" w:firstLineChars="128"/>
        <w:textAlignment w:val="auto"/>
        <w:rPr>
          <w:color w:val="auto"/>
          <w:sz w:val="28"/>
        </w:rPr>
      </w:pPr>
      <w:r>
        <w:rPr>
          <w:rFonts w:hint="eastAsia"/>
          <w:color w:val="auto"/>
          <w:sz w:val="28"/>
        </w:rPr>
        <w:t>（三）价值时点原则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要求估价结果是在根据估价目的确定的某一特定时间的价值或价格。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hAnsi="宋体"/>
          <w:color w:val="auto"/>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w:t>
      </w:r>
      <w:r>
        <w:rPr>
          <w:rFonts w:hint="eastAsia" w:hAnsi="宋体"/>
          <w:color w:val="auto"/>
          <w:sz w:val="28"/>
          <w:szCs w:val="28"/>
          <w:lang w:val="en-US" w:eastAsia="zh-CN"/>
        </w:rPr>
        <w:t>有</w:t>
      </w:r>
      <w:r>
        <w:rPr>
          <w:rFonts w:hint="eastAsia" w:hAnsi="宋体"/>
          <w:color w:val="auto"/>
          <w:sz w:val="28"/>
          <w:szCs w:val="28"/>
        </w:rPr>
        <w:t>不同的市场价格。</w:t>
      </w:r>
    </w:p>
    <w:p>
      <w:pPr>
        <w:keepNext w:val="0"/>
        <w:keepLines w:val="0"/>
        <w:pageBreakBefore w:val="0"/>
        <w:widowControl w:val="0"/>
        <w:kinsoku/>
        <w:wordWrap/>
        <w:overflowPunct/>
        <w:topLinePunct w:val="0"/>
        <w:autoSpaceDE/>
        <w:autoSpaceDN/>
        <w:bidi w:val="0"/>
        <w:adjustRightInd w:val="0"/>
        <w:snapToGrid w:val="0"/>
        <w:spacing w:line="500" w:lineRule="exact"/>
        <w:ind w:firstLine="280" w:firstLineChars="100"/>
        <w:textAlignment w:val="auto"/>
        <w:rPr>
          <w:color w:val="auto"/>
          <w:sz w:val="28"/>
        </w:rPr>
      </w:pPr>
      <w:r>
        <w:rPr>
          <w:rFonts w:hint="eastAsia"/>
          <w:color w:val="auto"/>
          <w:sz w:val="28"/>
        </w:rPr>
        <w:t>（四）最高最佳利用原则</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color w:val="auto"/>
          <w:sz w:val="28"/>
        </w:rPr>
        <w:t>要求估价结果是在估价对象最高最佳利用状况下的价值或价格的原则。</w:t>
      </w:r>
      <w:r>
        <w:rPr>
          <w:rFonts w:hint="eastAsia" w:hAnsi="宋体"/>
          <w:color w:val="auto"/>
          <w:sz w:val="28"/>
          <w:szCs w:val="28"/>
        </w:rPr>
        <w:t>估价对象的最高最佳利用状况，应包括最佳的用途、规模和档次，并应按法律上允许、技术上可能、财务上可行、价值最大化的次序进行分析、筛选和判断确定。</w:t>
      </w:r>
    </w:p>
    <w:p>
      <w:pPr>
        <w:keepNext w:val="0"/>
        <w:keepLines w:val="0"/>
        <w:pageBreakBefore w:val="0"/>
        <w:widowControl w:val="0"/>
        <w:kinsoku/>
        <w:wordWrap/>
        <w:overflowPunct/>
        <w:topLinePunct w:val="0"/>
        <w:autoSpaceDE/>
        <w:autoSpaceDN/>
        <w:bidi w:val="0"/>
        <w:adjustRightInd w:val="0"/>
        <w:snapToGrid w:val="0"/>
        <w:spacing w:line="500" w:lineRule="exact"/>
        <w:ind w:firstLine="527"/>
        <w:textAlignment w:val="auto"/>
        <w:rPr>
          <w:rFonts w:hAnsi="宋体"/>
          <w:color w:val="auto"/>
          <w:sz w:val="28"/>
          <w:szCs w:val="28"/>
        </w:rPr>
      </w:pPr>
      <w:r>
        <w:rPr>
          <w:rFonts w:hint="eastAsia" w:hAnsi="宋体"/>
          <w:color w:val="auto"/>
          <w:sz w:val="28"/>
          <w:szCs w:val="28"/>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50"/>
        <w:textAlignment w:val="auto"/>
        <w:rPr>
          <w:rFonts w:hAnsi="宋体"/>
          <w:color w:val="auto"/>
          <w:sz w:val="28"/>
          <w:szCs w:val="28"/>
        </w:rPr>
      </w:pPr>
      <w:r>
        <w:rPr>
          <w:rFonts w:hint="eastAsia" w:hAnsi="宋体"/>
          <w:color w:val="auto"/>
          <w:sz w:val="28"/>
          <w:szCs w:val="28"/>
        </w:rPr>
        <w:t>（1）以维持现状、继续利用最为合理的，应选择该前提进行估价；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0"/>
        <w:textAlignment w:val="auto"/>
        <w:rPr>
          <w:rFonts w:hAnsi="宋体"/>
          <w:color w:val="auto"/>
          <w:sz w:val="28"/>
          <w:szCs w:val="28"/>
        </w:rPr>
      </w:pPr>
      <w:r>
        <w:rPr>
          <w:rFonts w:hint="eastAsia" w:hAnsi="宋体"/>
          <w:color w:val="auto"/>
          <w:sz w:val="28"/>
          <w:szCs w:val="28"/>
        </w:rPr>
        <w:t>（2）以更新改造再予以利用最为合理的，应选择该前提进行估价；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50"/>
        <w:textAlignment w:val="auto"/>
        <w:rPr>
          <w:rFonts w:hAnsi="宋体"/>
          <w:color w:val="auto"/>
          <w:sz w:val="28"/>
          <w:szCs w:val="28"/>
        </w:rPr>
      </w:pPr>
      <w:r>
        <w:rPr>
          <w:rFonts w:hint="eastAsia" w:hAnsi="宋体"/>
          <w:color w:val="auto"/>
          <w:sz w:val="28"/>
          <w:szCs w:val="28"/>
        </w:rPr>
        <w:t>（3）以改变用途再予以利用最为合理的，应选择该前提进行估价；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0"/>
        <w:textAlignment w:val="auto"/>
        <w:rPr>
          <w:rFonts w:hAnsi="宋体"/>
          <w:color w:val="auto"/>
          <w:sz w:val="28"/>
          <w:szCs w:val="28"/>
        </w:rPr>
      </w:pPr>
      <w:r>
        <w:rPr>
          <w:rFonts w:hint="eastAsia" w:hAnsi="宋体"/>
          <w:color w:val="auto"/>
          <w:sz w:val="28"/>
          <w:szCs w:val="28"/>
        </w:rPr>
        <w:t>（4）以改变规模再予以利用最为合理的，应选择该前提进行估价；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0"/>
        <w:textAlignment w:val="auto"/>
        <w:rPr>
          <w:rFonts w:hAnsi="宋体"/>
          <w:color w:val="auto"/>
          <w:sz w:val="28"/>
          <w:szCs w:val="28"/>
        </w:rPr>
      </w:pPr>
      <w:r>
        <w:rPr>
          <w:rFonts w:hint="eastAsia" w:hAnsi="宋体"/>
          <w:color w:val="auto"/>
          <w:sz w:val="28"/>
          <w:szCs w:val="28"/>
        </w:rPr>
        <w:t>（5）以重新开发再予以利用最为合理的，应选择该前提进行估价；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0"/>
        <w:textAlignment w:val="auto"/>
        <w:rPr>
          <w:rFonts w:hAnsi="宋体"/>
          <w:color w:val="auto"/>
          <w:sz w:val="28"/>
          <w:szCs w:val="28"/>
        </w:rPr>
      </w:pPr>
      <w:r>
        <w:rPr>
          <w:rFonts w:hint="eastAsia" w:hAnsi="宋体"/>
          <w:color w:val="auto"/>
          <w:sz w:val="28"/>
          <w:szCs w:val="28"/>
        </w:rPr>
        <w:t>（6）其他情况，应采用上述前提的组合或其他特殊利用前提进行估价。</w:t>
      </w:r>
    </w:p>
    <w:p>
      <w:pPr>
        <w:keepNext w:val="0"/>
        <w:keepLines w:val="0"/>
        <w:pageBreakBefore w:val="0"/>
        <w:widowControl w:val="0"/>
        <w:kinsoku/>
        <w:wordWrap/>
        <w:overflowPunct/>
        <w:topLinePunct w:val="0"/>
        <w:autoSpaceDE/>
        <w:autoSpaceDN/>
        <w:bidi w:val="0"/>
        <w:adjustRightInd w:val="0"/>
        <w:snapToGrid w:val="0"/>
        <w:spacing w:line="500" w:lineRule="exact"/>
        <w:ind w:right="-170" w:rightChars="-81" w:firstLine="527"/>
        <w:textAlignment w:val="auto"/>
        <w:rPr>
          <w:rFonts w:hAnsi="宋体"/>
          <w:color w:val="auto"/>
          <w:spacing w:val="-20"/>
          <w:sz w:val="28"/>
          <w:szCs w:val="28"/>
        </w:rPr>
      </w:pPr>
      <w:r>
        <w:rPr>
          <w:rFonts w:hint="eastAsia" w:hAnsi="宋体"/>
          <w:color w:val="auto"/>
          <w:sz w:val="28"/>
          <w:szCs w:val="28"/>
        </w:rPr>
        <w:t>本次估价对象以维持现状、</w:t>
      </w:r>
      <w:r>
        <w:rPr>
          <w:rFonts w:hint="eastAsia" w:hAnsi="宋体"/>
          <w:color w:val="auto"/>
          <w:spacing w:val="-20"/>
          <w:sz w:val="28"/>
          <w:szCs w:val="28"/>
        </w:rPr>
        <w:t>继续</w:t>
      </w:r>
      <w:r>
        <w:rPr>
          <w:rFonts w:hint="eastAsia" w:hAnsi="宋体"/>
          <w:color w:val="auto"/>
          <w:spacing w:val="-20"/>
          <w:sz w:val="28"/>
          <w:szCs w:val="28"/>
          <w:lang w:eastAsia="zh-CN"/>
        </w:rPr>
        <w:t>开发</w:t>
      </w:r>
      <w:r>
        <w:rPr>
          <w:rFonts w:hint="eastAsia" w:hAnsi="宋体"/>
          <w:color w:val="auto"/>
          <w:spacing w:val="-20"/>
          <w:sz w:val="28"/>
          <w:szCs w:val="28"/>
        </w:rPr>
        <w:t>利用最为合理</w:t>
      </w:r>
      <w:r>
        <w:rPr>
          <w:rFonts w:hint="eastAsia" w:hAnsi="宋体"/>
          <w:color w:val="auto"/>
          <w:sz w:val="28"/>
          <w:szCs w:val="28"/>
        </w:rPr>
        <w:t>的，应选择该</w:t>
      </w:r>
      <w:r>
        <w:rPr>
          <w:rFonts w:hint="eastAsia" w:hAnsi="宋体"/>
          <w:color w:val="auto"/>
          <w:spacing w:val="-20"/>
          <w:sz w:val="28"/>
          <w:szCs w:val="28"/>
        </w:rPr>
        <w:t>前提进行估价。</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1"/>
        <w:rPr>
          <w:b/>
          <w:bCs/>
          <w:color w:val="auto"/>
          <w:sz w:val="28"/>
        </w:rPr>
      </w:pPr>
      <w:bookmarkStart w:id="15" w:name="_Toc8034"/>
      <w:r>
        <w:rPr>
          <w:rFonts w:hint="eastAsia"/>
          <w:b/>
          <w:bCs/>
          <w:color w:val="auto"/>
          <w:sz w:val="28"/>
        </w:rPr>
        <w:t>八、估价依据</w:t>
      </w:r>
      <w:bookmarkEnd w:id="15"/>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（一）本此估价所依据的有关法律、法规和部门规章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szCs w:val="22"/>
        </w:rPr>
      </w:pPr>
      <w:r>
        <w:rPr>
          <w:rFonts w:hint="eastAsia"/>
          <w:color w:val="auto"/>
          <w:sz w:val="28"/>
        </w:rPr>
        <w:t>1、</w:t>
      </w:r>
      <w:r>
        <w:rPr>
          <w:rFonts w:hint="eastAsia"/>
          <w:color w:val="auto"/>
          <w:sz w:val="28"/>
          <w:szCs w:val="22"/>
        </w:rPr>
        <w:t>《中华人民共和国民法典》（中华人民共和国主席令第45号，2021年1月1日起施行）</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2、《中华人民共和国资产评估法》（中华人民共和国主席令第46号）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3、《中华人民共和国土地管理法》（中华人民共和国主席令第32号,2020年1月1日起实施）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4、《中华人民共和国城市房地产管理法》（中华人民共和国主席令第32号,2020年1月1日起实施）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5、《人民法院委托评估专业技术评审工作规范》（法办[2019]364号）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szCs w:val="22"/>
        </w:rPr>
      </w:pPr>
      <w:r>
        <w:rPr>
          <w:rFonts w:hint="eastAsia"/>
          <w:color w:val="auto"/>
          <w:sz w:val="28"/>
          <w:szCs w:val="22"/>
        </w:rPr>
        <w:t>6、《最高人民法院关于人民法院委托评估、拍卖工作的若干规定》（法释</w:t>
      </w:r>
      <w:r>
        <w:rPr>
          <w:color w:val="auto"/>
          <w:sz w:val="28"/>
          <w:szCs w:val="22"/>
        </w:rPr>
        <w:t>[20</w:t>
      </w:r>
      <w:r>
        <w:rPr>
          <w:rFonts w:hint="eastAsia"/>
          <w:color w:val="auto"/>
          <w:sz w:val="28"/>
          <w:szCs w:val="22"/>
        </w:rPr>
        <w:t>11</w:t>
      </w:r>
      <w:r>
        <w:rPr>
          <w:color w:val="auto"/>
          <w:sz w:val="28"/>
          <w:szCs w:val="22"/>
        </w:rPr>
        <w:t>]</w:t>
      </w:r>
      <w:r>
        <w:rPr>
          <w:rFonts w:hint="eastAsia"/>
          <w:color w:val="auto"/>
          <w:sz w:val="28"/>
          <w:szCs w:val="22"/>
        </w:rPr>
        <w:t>21号</w:t>
      </w:r>
      <w:r>
        <w:rPr>
          <w:color w:val="auto"/>
          <w:sz w:val="28"/>
          <w:szCs w:val="2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color w:val="auto"/>
          <w:sz w:val="28"/>
        </w:rPr>
      </w:pPr>
      <w:r>
        <w:rPr>
          <w:rFonts w:hint="eastAsia"/>
          <w:color w:val="auto"/>
          <w:sz w:val="28"/>
        </w:rPr>
        <w:t>7、山西省高级人民法院关于《对外委托司法鉴定工作管理暂行规定（试行）》（晋高法[2006]4号）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8、山西省高级人民法院关于《人民法院委托评估、拍卖工作的若干规定》的实施细则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9、《人民法院委托评估工作规范》（</w:t>
      </w:r>
      <w:r>
        <w:rPr>
          <w:rFonts w:hAnsi="宋体"/>
          <w:color w:val="auto"/>
          <w:sz w:val="28"/>
          <w:szCs w:val="28"/>
        </w:rPr>
        <w:t>法办[20</w:t>
      </w:r>
      <w:r>
        <w:rPr>
          <w:rFonts w:hint="eastAsia" w:hAnsi="宋体"/>
          <w:color w:val="auto"/>
          <w:sz w:val="28"/>
          <w:szCs w:val="28"/>
        </w:rPr>
        <w:t>18</w:t>
      </w:r>
      <w:r>
        <w:rPr>
          <w:rFonts w:hAnsi="宋体"/>
          <w:color w:val="auto"/>
          <w:sz w:val="28"/>
          <w:szCs w:val="28"/>
        </w:rPr>
        <w:t>]273号</w:t>
      </w:r>
      <w:r>
        <w:rPr>
          <w:rFonts w:hint="eastAsia"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10、《最高人民法院关于人民法院民事诉讼中委托鉴定审查工作若干问题的规定》（法</w:t>
      </w:r>
      <w:r>
        <w:rPr>
          <w:rFonts w:hAnsi="宋体"/>
          <w:color w:val="auto"/>
          <w:sz w:val="28"/>
          <w:szCs w:val="28"/>
        </w:rPr>
        <w:t>[</w:t>
      </w:r>
      <w:r>
        <w:rPr>
          <w:rFonts w:hint="eastAsia" w:hAnsi="宋体"/>
          <w:color w:val="auto"/>
          <w:sz w:val="28"/>
          <w:szCs w:val="28"/>
        </w:rPr>
        <w:t>2020</w:t>
      </w:r>
      <w:r>
        <w:rPr>
          <w:rFonts w:hAnsi="宋体"/>
          <w:color w:val="auto"/>
          <w:sz w:val="28"/>
          <w:szCs w:val="28"/>
        </w:rPr>
        <w:t>]</w:t>
      </w:r>
      <w:r>
        <w:rPr>
          <w:rFonts w:hint="eastAsia" w:hAnsi="宋体"/>
          <w:color w:val="auto"/>
          <w:sz w:val="28"/>
          <w:szCs w:val="28"/>
        </w:rPr>
        <w:t>202号）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11、《最高人民法院关于人民法院确定财产处置参考价若干问题的规定》（法释</w:t>
      </w:r>
      <w:r>
        <w:rPr>
          <w:rFonts w:hAnsi="宋体"/>
          <w:color w:val="auto"/>
          <w:sz w:val="28"/>
          <w:szCs w:val="28"/>
        </w:rPr>
        <w:t>[20</w:t>
      </w:r>
      <w:r>
        <w:rPr>
          <w:rFonts w:hint="eastAsia" w:hAnsi="宋体"/>
          <w:color w:val="auto"/>
          <w:sz w:val="28"/>
          <w:szCs w:val="28"/>
        </w:rPr>
        <w:t>18</w:t>
      </w:r>
      <w:r>
        <w:rPr>
          <w:rFonts w:hAnsi="宋体"/>
          <w:color w:val="auto"/>
          <w:sz w:val="28"/>
          <w:szCs w:val="28"/>
        </w:rPr>
        <w:t>]1</w:t>
      </w:r>
      <w:r>
        <w:rPr>
          <w:rFonts w:hint="eastAsia" w:hAnsi="宋体"/>
          <w:color w:val="auto"/>
          <w:sz w:val="28"/>
          <w:szCs w:val="28"/>
        </w:rPr>
        <w:t>5号）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12、《关于印发〈涉执房地产处置司法评估指导意见（试行）〉的通知》（中房学[2021]37号）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13、国家和省、市有关房地产评估的法律、法规</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（二）本此估价采用的技术规程</w:t>
      </w:r>
    </w:p>
    <w:p>
      <w:pPr>
        <w:keepNext w:val="0"/>
        <w:keepLines w:val="0"/>
        <w:pageBreakBefore w:val="0"/>
        <w:widowControl w:val="0"/>
        <w:kinsoku/>
        <w:wordWrap/>
        <w:overflowPunct/>
        <w:topLinePunct w:val="0"/>
        <w:autoSpaceDE/>
        <w:autoSpaceDN/>
        <w:bidi w:val="0"/>
        <w:adjustRightInd w:val="0"/>
        <w:snapToGrid w:val="0"/>
        <w:spacing w:line="500" w:lineRule="exact"/>
        <w:ind w:firstLine="601"/>
        <w:textAlignment w:val="auto"/>
        <w:rPr>
          <w:rFonts w:hAnsi="宋体"/>
          <w:color w:val="auto"/>
          <w:sz w:val="28"/>
        </w:rPr>
      </w:pPr>
      <w:r>
        <w:rPr>
          <w:rFonts w:hint="eastAsia" w:hAnsi="宋体"/>
          <w:color w:val="auto"/>
          <w:sz w:val="28"/>
        </w:rPr>
        <w:t>1、中华人民共和国国家标准GB/T 50291—2015《房地产估价规范》（中华人民共和国住房和城乡建设部公告第797号）（2015年12月1日实施）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rPr>
      </w:pPr>
      <w:r>
        <w:rPr>
          <w:rFonts w:hint="eastAsia" w:hAnsi="宋体"/>
          <w:color w:val="auto"/>
          <w:sz w:val="28"/>
        </w:rPr>
        <w:t>2、中华人民共和国国家标准GB/T 50899-2013《房地产估价基本术语标准》（中华人民共和国住房和城乡建设部公告第84号）（2014年2月1日起实施）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Ansi="宋体"/>
          <w:color w:val="auto"/>
          <w:sz w:val="28"/>
          <w:szCs w:val="28"/>
        </w:rPr>
      </w:pPr>
      <w:r>
        <w:rPr>
          <w:rFonts w:hint="eastAsia" w:hAnsi="宋体"/>
          <w:color w:val="auto"/>
          <w:sz w:val="28"/>
          <w:szCs w:val="28"/>
        </w:rPr>
        <w:t>（三）委托方提供的有关资料</w:t>
      </w: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225"/>
        <w:textAlignment w:val="auto"/>
        <w:rPr>
          <w:rFonts w:hint="default" w:eastAsia="宋体"/>
          <w:color w:val="000000" w:themeColor="text1"/>
          <w:sz w:val="28"/>
          <w:szCs w:val="22"/>
          <w:lang w:val="en-US" w:eastAsia="zh-CN"/>
        </w:rPr>
      </w:pPr>
      <w:r>
        <w:rPr>
          <w:rFonts w:hint="eastAsia"/>
          <w:color w:val="auto"/>
          <w:sz w:val="28"/>
          <w:szCs w:val="22"/>
        </w:rPr>
        <w:t>1、</w:t>
      </w:r>
      <w:r>
        <w:rPr>
          <w:rFonts w:hint="eastAsia"/>
          <w:color w:val="000000" w:themeColor="text1"/>
          <w:sz w:val="28"/>
          <w:szCs w:val="22"/>
        </w:rPr>
        <w:t>山西省</w:t>
      </w:r>
      <w:r>
        <w:rPr>
          <w:rFonts w:hint="eastAsia"/>
          <w:color w:val="000000" w:themeColor="text1"/>
          <w:sz w:val="28"/>
          <w:szCs w:val="22"/>
          <w:lang w:val="en-US" w:eastAsia="zh-CN"/>
        </w:rPr>
        <w:t>汾阳市人民法院</w:t>
      </w:r>
      <w:r>
        <w:rPr>
          <w:rFonts w:hint="eastAsia"/>
          <w:color w:val="000000" w:themeColor="text1"/>
          <w:sz w:val="28"/>
          <w:szCs w:val="22"/>
        </w:rPr>
        <w:t>执行裁定书（20</w:t>
      </w:r>
      <w:r>
        <w:rPr>
          <w:rFonts w:hint="eastAsia"/>
          <w:color w:val="000000" w:themeColor="text1"/>
          <w:sz w:val="28"/>
          <w:szCs w:val="22"/>
          <w:lang w:val="en-US" w:eastAsia="zh-CN"/>
        </w:rPr>
        <w:t>20</w:t>
      </w:r>
      <w:r>
        <w:rPr>
          <w:rFonts w:hint="eastAsia"/>
          <w:color w:val="000000" w:themeColor="text1"/>
          <w:sz w:val="28"/>
          <w:szCs w:val="22"/>
        </w:rPr>
        <w:t>）</w:t>
      </w:r>
      <w:r>
        <w:rPr>
          <w:rFonts w:hint="eastAsia"/>
          <w:color w:val="000000" w:themeColor="text1"/>
          <w:sz w:val="28"/>
          <w:szCs w:val="22"/>
          <w:lang w:val="en-US" w:eastAsia="zh-CN"/>
        </w:rPr>
        <w:t>晋1182</w:t>
      </w:r>
      <w:r>
        <w:rPr>
          <w:rFonts w:hint="eastAsia"/>
          <w:color w:val="000000" w:themeColor="text1"/>
          <w:sz w:val="28"/>
          <w:szCs w:val="22"/>
        </w:rPr>
        <w:t>执</w:t>
      </w:r>
      <w:r>
        <w:rPr>
          <w:rFonts w:hint="eastAsia"/>
          <w:color w:val="000000" w:themeColor="text1"/>
          <w:sz w:val="28"/>
          <w:szCs w:val="22"/>
          <w:lang w:val="en-US" w:eastAsia="zh-CN"/>
        </w:rPr>
        <w:t>756</w:t>
      </w:r>
      <w:r>
        <w:rPr>
          <w:rFonts w:hint="eastAsia"/>
          <w:color w:val="000000" w:themeColor="text1"/>
          <w:sz w:val="28"/>
          <w:szCs w:val="22"/>
        </w:rPr>
        <w:t>号</w:t>
      </w:r>
      <w:r>
        <w:rPr>
          <w:rFonts w:hint="eastAsia"/>
          <w:color w:val="000000" w:themeColor="text1"/>
          <w:sz w:val="28"/>
          <w:szCs w:val="22"/>
          <w:lang w:val="en-US" w:eastAsia="zh-CN"/>
        </w:rPr>
        <w:t>之四</w:t>
      </w:r>
    </w:p>
    <w:p>
      <w:pPr>
        <w:keepNext w:val="0"/>
        <w:keepLines w:val="0"/>
        <w:pageBreakBefore w:val="0"/>
        <w:widowControl w:val="0"/>
        <w:kinsoku/>
        <w:wordWrap/>
        <w:overflowPunct/>
        <w:topLinePunct w:val="0"/>
        <w:autoSpaceDE/>
        <w:autoSpaceDN/>
        <w:bidi w:val="0"/>
        <w:adjustRightInd w:val="0"/>
        <w:snapToGrid w:val="0"/>
        <w:spacing w:line="540" w:lineRule="exact"/>
        <w:ind w:firstLine="630" w:firstLineChars="225"/>
        <w:textAlignment w:val="auto"/>
        <w:rPr>
          <w:rFonts w:hint="default" w:eastAsia="宋体"/>
          <w:color w:val="auto"/>
          <w:sz w:val="28"/>
          <w:szCs w:val="22"/>
          <w:lang w:val="en-US" w:eastAsia="zh-CN"/>
        </w:rPr>
      </w:pPr>
      <w:r>
        <w:rPr>
          <w:rFonts w:hint="eastAsia"/>
          <w:color w:val="000000" w:themeColor="text1"/>
          <w:sz w:val="28"/>
          <w:szCs w:val="22"/>
        </w:rPr>
        <w:t>2、</w:t>
      </w:r>
      <w:r>
        <w:rPr>
          <w:rFonts w:hint="eastAsia"/>
          <w:color w:val="auto"/>
          <w:sz w:val="28"/>
          <w:szCs w:val="22"/>
          <w:lang w:eastAsia="zh-CN"/>
        </w:rPr>
        <w:t>汾阳市人民法院</w:t>
      </w:r>
      <w:r>
        <w:rPr>
          <w:rFonts w:hint="eastAsia"/>
          <w:color w:val="auto"/>
          <w:sz w:val="28"/>
          <w:szCs w:val="22"/>
        </w:rPr>
        <w:t>委托书</w:t>
      </w:r>
      <w:r>
        <w:rPr>
          <w:rFonts w:hint="eastAsia"/>
          <w:color w:val="auto"/>
          <w:sz w:val="28"/>
          <w:szCs w:val="22"/>
          <w:lang w:eastAsia="zh-CN"/>
        </w:rPr>
        <w:t>（</w:t>
      </w:r>
      <w:r>
        <w:rPr>
          <w:rFonts w:hint="eastAsia"/>
          <w:color w:val="auto"/>
          <w:sz w:val="28"/>
          <w:szCs w:val="22"/>
          <w:lang w:val="en-US" w:eastAsia="zh-CN"/>
        </w:rPr>
        <w:t>2022</w:t>
      </w:r>
      <w:r>
        <w:rPr>
          <w:rFonts w:hint="eastAsia"/>
          <w:color w:val="auto"/>
          <w:sz w:val="28"/>
          <w:szCs w:val="22"/>
          <w:lang w:eastAsia="zh-CN"/>
        </w:rPr>
        <w:t>）晋</w:t>
      </w:r>
      <w:r>
        <w:rPr>
          <w:rFonts w:hint="eastAsia"/>
          <w:color w:val="auto"/>
          <w:sz w:val="28"/>
          <w:szCs w:val="22"/>
          <w:lang w:val="en-US" w:eastAsia="zh-CN"/>
        </w:rPr>
        <w:t>1182执恢116号</w:t>
      </w:r>
    </w:p>
    <w:p>
      <w:pPr>
        <w:keepNext w:val="0"/>
        <w:keepLines w:val="0"/>
        <w:pageBreakBefore w:val="0"/>
        <w:widowControl w:val="0"/>
        <w:kinsoku/>
        <w:wordWrap/>
        <w:overflowPunct/>
        <w:topLinePunct w:val="0"/>
        <w:autoSpaceDE/>
        <w:autoSpaceDN/>
        <w:bidi w:val="0"/>
        <w:adjustRightInd w:val="0"/>
        <w:snapToGrid w:val="0"/>
        <w:spacing w:line="540" w:lineRule="exact"/>
        <w:ind w:firstLine="630" w:firstLineChars="225"/>
        <w:textAlignment w:val="auto"/>
        <w:rPr>
          <w:rFonts w:hint="eastAsia"/>
          <w:color w:val="auto"/>
          <w:sz w:val="28"/>
          <w:szCs w:val="22"/>
          <w:lang w:val="en-US" w:eastAsia="zh-CN"/>
        </w:rPr>
      </w:pPr>
      <w:r>
        <w:rPr>
          <w:rFonts w:hint="eastAsia"/>
          <w:color w:val="auto"/>
          <w:sz w:val="28"/>
          <w:szCs w:val="22"/>
          <w:lang w:val="en-US" w:eastAsia="zh-CN"/>
        </w:rPr>
        <w:t>3、《国有土地使用证》</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color w:val="auto"/>
          <w:sz w:val="28"/>
          <w:szCs w:val="22"/>
        </w:rPr>
      </w:pPr>
      <w:r>
        <w:rPr>
          <w:rFonts w:hint="eastAsia"/>
          <w:color w:val="auto"/>
          <w:sz w:val="28"/>
          <w:szCs w:val="22"/>
          <w:lang w:val="en-US" w:eastAsia="zh-CN"/>
        </w:rPr>
        <w:t>4</w:t>
      </w:r>
      <w:r>
        <w:rPr>
          <w:rFonts w:hint="eastAsia"/>
          <w:color w:val="auto"/>
          <w:sz w:val="28"/>
          <w:szCs w:val="22"/>
        </w:rPr>
        <w:t>、《国有建设用地使用权</w:t>
      </w:r>
      <w:r>
        <w:rPr>
          <w:rFonts w:hint="eastAsia"/>
          <w:color w:val="auto"/>
          <w:sz w:val="28"/>
          <w:szCs w:val="22"/>
          <w:lang w:val="en-US" w:eastAsia="zh-CN"/>
        </w:rPr>
        <w:t>出让合同</w:t>
      </w:r>
      <w:r>
        <w:rPr>
          <w:rFonts w:hint="eastAsia"/>
          <w:color w:val="auto"/>
          <w:sz w:val="28"/>
          <w:szCs w:val="2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sz w:val="28"/>
          <w:szCs w:val="22"/>
        </w:rPr>
      </w:pPr>
      <w:r>
        <w:rPr>
          <w:rFonts w:hint="eastAsia"/>
          <w:color w:val="auto"/>
          <w:sz w:val="28"/>
          <w:szCs w:val="22"/>
          <w:lang w:val="en-US" w:eastAsia="zh-CN"/>
        </w:rPr>
        <w:t>5</w:t>
      </w:r>
      <w:r>
        <w:rPr>
          <w:rFonts w:hint="eastAsia"/>
          <w:color w:val="auto"/>
          <w:sz w:val="28"/>
          <w:szCs w:val="22"/>
        </w:rPr>
        <w:t>、</w:t>
      </w:r>
      <w:r>
        <w:rPr>
          <w:rFonts w:hint="eastAsia"/>
          <w:sz w:val="28"/>
          <w:szCs w:val="22"/>
        </w:rPr>
        <w:t>《</w:t>
      </w:r>
      <w:r>
        <w:rPr>
          <w:rFonts w:hint="eastAsia"/>
          <w:sz w:val="28"/>
          <w:szCs w:val="22"/>
          <w:lang w:val="en-US" w:eastAsia="zh-CN"/>
        </w:rPr>
        <w:t>建设</w:t>
      </w:r>
      <w:r>
        <w:rPr>
          <w:rFonts w:hint="eastAsia"/>
          <w:sz w:val="28"/>
          <w:szCs w:val="22"/>
        </w:rPr>
        <w:t>用地规划许可证》</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rFonts w:hint="eastAsia"/>
          <w:sz w:val="28"/>
          <w:szCs w:val="22"/>
        </w:rPr>
      </w:pPr>
      <w:r>
        <w:rPr>
          <w:rFonts w:hint="eastAsia"/>
          <w:sz w:val="28"/>
          <w:szCs w:val="22"/>
          <w:lang w:val="en-US" w:eastAsia="zh-CN"/>
        </w:rPr>
        <w:t>6、</w:t>
      </w:r>
      <w:r>
        <w:rPr>
          <w:rFonts w:hint="eastAsia"/>
          <w:sz w:val="28"/>
          <w:szCs w:val="22"/>
        </w:rPr>
        <w:t>《建设工程规划许可证》</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sz w:val="28"/>
          <w:szCs w:val="22"/>
        </w:rPr>
      </w:pPr>
      <w:r>
        <w:rPr>
          <w:rFonts w:hint="eastAsia"/>
          <w:sz w:val="28"/>
          <w:szCs w:val="22"/>
          <w:lang w:val="en-US" w:eastAsia="zh-CN"/>
        </w:rPr>
        <w:t>7</w:t>
      </w:r>
      <w:r>
        <w:rPr>
          <w:rFonts w:hint="eastAsia"/>
          <w:sz w:val="28"/>
          <w:szCs w:val="22"/>
        </w:rPr>
        <w:t>、</w:t>
      </w:r>
      <w:r>
        <w:rPr>
          <w:rFonts w:hint="eastAsia" w:hAnsi="宋体" w:cs="Times New Roman"/>
          <w:sz w:val="28"/>
          <w:szCs w:val="28"/>
          <w:lang w:val="en-US" w:eastAsia="zh-CN"/>
        </w:rPr>
        <w:t>《吕梁恒信房地产开发有限公司豊足·汾阳壹号小区5#施工图》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olor w:val="auto"/>
          <w:sz w:val="28"/>
          <w:szCs w:val="28"/>
        </w:rPr>
      </w:pPr>
      <w:r>
        <w:rPr>
          <w:rFonts w:hint="eastAsia" w:hAnsi="宋体"/>
          <w:sz w:val="28"/>
          <w:szCs w:val="28"/>
        </w:rPr>
        <w:t>（四）估价机构和估价人员所搜集掌</w:t>
      </w:r>
      <w:r>
        <w:rPr>
          <w:rFonts w:hint="eastAsia" w:hAnsi="宋体"/>
          <w:color w:val="auto"/>
          <w:sz w:val="28"/>
          <w:szCs w:val="28"/>
        </w:rPr>
        <w:t>握的有关资料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color w:val="auto"/>
          <w:sz w:val="28"/>
        </w:rPr>
      </w:pPr>
      <w:r>
        <w:rPr>
          <w:rFonts w:hint="eastAsia"/>
          <w:color w:val="auto"/>
          <w:sz w:val="28"/>
        </w:rPr>
        <w:t>1、评估人员现场查勘所获得资料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color w:val="auto"/>
          <w:sz w:val="28"/>
        </w:rPr>
      </w:pPr>
      <w:r>
        <w:rPr>
          <w:rFonts w:hint="eastAsia"/>
          <w:color w:val="auto"/>
          <w:sz w:val="28"/>
        </w:rPr>
        <w:t>2、估价方掌握的有关评估资料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1"/>
        <w:rPr>
          <w:b/>
          <w:bCs/>
          <w:color w:val="auto"/>
          <w:sz w:val="28"/>
        </w:rPr>
      </w:pPr>
      <w:bookmarkStart w:id="16" w:name="_Toc15330"/>
      <w:r>
        <w:rPr>
          <w:rFonts w:hint="eastAsia"/>
          <w:b/>
          <w:bCs/>
          <w:color w:val="auto"/>
          <w:sz w:val="28"/>
        </w:rPr>
        <w:t>九、估价方法</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225"/>
        <w:textAlignment w:val="auto"/>
        <w:rPr>
          <w:color w:val="auto"/>
          <w:sz w:val="28"/>
        </w:rPr>
      </w:pPr>
      <w:r>
        <w:rPr>
          <w:rFonts w:hint="eastAsia"/>
          <w:color w:val="auto"/>
          <w:sz w:val="28"/>
        </w:rPr>
        <w:t>根据《房地产估价规范》，房地产估价的主要方法有比较法、收益法、成本法、假设开发法等。估价方法的选择应按照《房地产估价规范》，根据当地房地产市场发育情况并结果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color w:val="auto"/>
          <w:sz w:val="28"/>
        </w:rPr>
      </w:pPr>
      <w:r>
        <w:rPr>
          <w:rFonts w:hint="eastAsia"/>
          <w:color w:val="auto"/>
          <w:sz w:val="28"/>
        </w:rPr>
        <w:t>1、估价技术路线</w:t>
      </w:r>
    </w:p>
    <w:p>
      <w:pPr>
        <w:keepNext w:val="0"/>
        <w:keepLines w:val="0"/>
        <w:pageBreakBefore w:val="0"/>
        <w:widowControl w:val="0"/>
        <w:kinsoku/>
        <w:wordWrap/>
        <w:overflowPunct/>
        <w:topLinePunct w:val="0"/>
        <w:autoSpaceDE/>
        <w:autoSpaceDN/>
        <w:bidi w:val="0"/>
        <w:adjustRightInd w:val="0"/>
        <w:snapToGrid w:val="0"/>
        <w:spacing w:line="560" w:lineRule="exact"/>
        <w:ind w:firstLine="280" w:firstLineChars="100"/>
        <w:textAlignment w:val="auto"/>
        <w:rPr>
          <w:rFonts w:hAnsi="宋体"/>
          <w:snapToGrid w:val="0"/>
          <w:color w:val="auto"/>
          <w:kern w:val="0"/>
          <w:sz w:val="28"/>
          <w:szCs w:val="28"/>
        </w:rPr>
      </w:pPr>
      <w:r>
        <w:rPr>
          <w:rFonts w:hint="eastAsia" w:hAnsi="宋体"/>
          <w:snapToGrid w:val="0"/>
          <w:color w:val="auto"/>
          <w:kern w:val="0"/>
          <w:sz w:val="28"/>
          <w:szCs w:val="28"/>
        </w:rPr>
        <w:t>（1）运用成本法求取估价对象在建工程成本价值。</w:t>
      </w:r>
    </w:p>
    <w:p>
      <w:pPr>
        <w:keepNext w:val="0"/>
        <w:keepLines w:val="0"/>
        <w:pageBreakBefore w:val="0"/>
        <w:widowControl w:val="0"/>
        <w:kinsoku/>
        <w:wordWrap/>
        <w:overflowPunct/>
        <w:topLinePunct w:val="0"/>
        <w:autoSpaceDE/>
        <w:autoSpaceDN/>
        <w:bidi w:val="0"/>
        <w:adjustRightInd w:val="0"/>
        <w:snapToGrid w:val="0"/>
        <w:spacing w:line="560" w:lineRule="exact"/>
        <w:ind w:firstLine="280" w:firstLineChars="100"/>
        <w:textAlignment w:val="auto"/>
        <w:rPr>
          <w:rFonts w:hAnsi="宋体"/>
          <w:snapToGrid w:val="0"/>
          <w:color w:val="auto"/>
          <w:kern w:val="0"/>
          <w:sz w:val="28"/>
          <w:szCs w:val="28"/>
        </w:rPr>
      </w:pPr>
      <w:r>
        <w:rPr>
          <w:rFonts w:hint="eastAsia" w:hAnsi="宋体"/>
          <w:snapToGrid w:val="0"/>
          <w:color w:val="auto"/>
          <w:kern w:val="0"/>
          <w:sz w:val="28"/>
          <w:szCs w:val="28"/>
        </w:rPr>
        <w:t>（2）运用假设开发法求取估价对象在建工程开发价值。</w:t>
      </w:r>
    </w:p>
    <w:p>
      <w:pPr>
        <w:keepNext w:val="0"/>
        <w:keepLines w:val="0"/>
        <w:pageBreakBefore w:val="0"/>
        <w:widowControl w:val="0"/>
        <w:kinsoku/>
        <w:wordWrap/>
        <w:overflowPunct/>
        <w:topLinePunct w:val="0"/>
        <w:autoSpaceDE/>
        <w:autoSpaceDN/>
        <w:bidi w:val="0"/>
        <w:adjustRightInd w:val="0"/>
        <w:snapToGrid w:val="0"/>
        <w:spacing w:line="560" w:lineRule="exact"/>
        <w:ind w:firstLine="280" w:firstLineChars="100"/>
        <w:textAlignment w:val="auto"/>
        <w:rPr>
          <w:rFonts w:hAnsi="宋体"/>
          <w:snapToGrid w:val="0"/>
          <w:color w:val="auto"/>
          <w:kern w:val="0"/>
          <w:sz w:val="28"/>
          <w:szCs w:val="28"/>
        </w:rPr>
      </w:pPr>
      <w:r>
        <w:rPr>
          <w:rFonts w:hint="eastAsia" w:hAnsi="宋体"/>
          <w:snapToGrid w:val="0"/>
          <w:color w:val="auto"/>
          <w:kern w:val="0"/>
          <w:sz w:val="28"/>
          <w:szCs w:val="28"/>
        </w:rPr>
        <w:t>（3）将上述两种方法求取价值结果进行加权平均，确定估价对象在建工程总价。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color w:val="auto"/>
          <w:sz w:val="28"/>
        </w:rPr>
      </w:pPr>
      <w:r>
        <w:rPr>
          <w:rFonts w:hint="eastAsia"/>
          <w:color w:val="auto"/>
          <w:sz w:val="28"/>
        </w:rPr>
        <w:t>2、估价方法的选择</w:t>
      </w:r>
    </w:p>
    <w:p>
      <w:pPr>
        <w:keepNext w:val="0"/>
        <w:keepLines w:val="0"/>
        <w:pageBreakBefore w:val="0"/>
        <w:widowControl w:val="0"/>
        <w:kinsoku/>
        <w:wordWrap/>
        <w:overflowPunct/>
        <w:topLinePunct w:val="0"/>
        <w:autoSpaceDE/>
        <w:autoSpaceDN/>
        <w:bidi w:val="0"/>
        <w:adjustRightInd w:val="0"/>
        <w:snapToGrid w:val="0"/>
        <w:spacing w:line="560" w:lineRule="exact"/>
        <w:ind w:firstLine="570"/>
        <w:textAlignment w:val="auto"/>
        <w:rPr>
          <w:color w:val="auto"/>
          <w:sz w:val="28"/>
        </w:rPr>
      </w:pPr>
      <w:r>
        <w:rPr>
          <w:rFonts w:hint="eastAsia"/>
          <w:color w:val="auto"/>
          <w:sz w:val="28"/>
        </w:rPr>
        <w:t>根据《房地产估价规范》（</w:t>
      </w:r>
      <w:r>
        <w:rPr>
          <w:color w:val="auto"/>
          <w:sz w:val="28"/>
        </w:rPr>
        <w:t>GB/T50291-</w:t>
      </w:r>
      <w:r>
        <w:rPr>
          <w:rFonts w:hint="eastAsia"/>
          <w:color w:val="auto"/>
          <w:sz w:val="28"/>
        </w:rPr>
        <w:t>2015），通行的估价方法有比较法、收益法、成本法、假设开发法、基准地价修正法等。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成本法、假设开发法对估价对象房地产进行估价，具体分析如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textAlignment w:val="auto"/>
        <w:rPr>
          <w:color w:val="auto"/>
          <w:sz w:val="28"/>
        </w:rPr>
      </w:pPr>
      <w:r>
        <w:rPr>
          <w:rFonts w:hint="eastAsia"/>
          <w:color w:val="auto"/>
          <w:sz w:val="28"/>
        </w:rPr>
        <w:t>本次估价所选取方法的理由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color w:val="auto"/>
          <w:sz w:val="28"/>
        </w:rPr>
      </w:pPr>
      <w:r>
        <w:rPr>
          <w:rFonts w:hint="eastAsia"/>
          <w:color w:val="auto"/>
          <w:sz w:val="28"/>
        </w:rPr>
        <w:t>1</w:t>
      </w:r>
      <w:r>
        <w:rPr>
          <w:rFonts w:hint="eastAsia"/>
          <w:color w:val="auto"/>
          <w:sz w:val="28"/>
          <w:lang w:eastAsia="zh-CN"/>
        </w:rPr>
        <w:t>、</w:t>
      </w:r>
      <w:r>
        <w:rPr>
          <w:rFonts w:hint="eastAsia"/>
          <w:color w:val="auto"/>
          <w:sz w:val="28"/>
        </w:rPr>
        <w:t>选取成本法理由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估价对象为在建工程项目，项目开发过程中所发生的土地费用及建设费用可作较精确的测算，</w:t>
      </w:r>
      <w:r>
        <w:rPr>
          <w:rFonts w:hint="eastAsia" w:hAnsi="宋体"/>
          <w:snapToGrid w:val="0"/>
          <w:color w:val="auto"/>
          <w:kern w:val="0"/>
          <w:sz w:val="28"/>
          <w:szCs w:val="28"/>
          <w:lang w:eastAsia="zh-CN"/>
        </w:rPr>
        <w:t>该项目</w:t>
      </w:r>
      <w:r>
        <w:rPr>
          <w:rFonts w:hint="eastAsia" w:hAnsi="宋体"/>
          <w:snapToGrid w:val="0"/>
          <w:color w:val="auto"/>
          <w:kern w:val="0"/>
          <w:sz w:val="28"/>
          <w:szCs w:val="28"/>
        </w:rPr>
        <w:t>符合成本法的应用条件及适用范围，故选取成本法。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2</w:t>
      </w:r>
      <w:r>
        <w:rPr>
          <w:rFonts w:hint="eastAsia" w:hAnsi="宋体"/>
          <w:snapToGrid w:val="0"/>
          <w:color w:val="auto"/>
          <w:kern w:val="0"/>
          <w:sz w:val="28"/>
          <w:szCs w:val="28"/>
          <w:lang w:eastAsia="zh-CN"/>
        </w:rPr>
        <w:t>、</w:t>
      </w:r>
      <w:r>
        <w:rPr>
          <w:rFonts w:hint="eastAsia" w:hAnsi="宋体"/>
          <w:snapToGrid w:val="0"/>
          <w:color w:val="auto"/>
          <w:kern w:val="0"/>
          <w:sz w:val="28"/>
          <w:szCs w:val="28"/>
        </w:rPr>
        <w:t>选取假设开发法理由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估价对象为在</w:t>
      </w:r>
      <w:r>
        <w:rPr>
          <w:rFonts w:hint="eastAsia" w:hAnsi="宋体"/>
          <w:snapToGrid w:val="0"/>
          <w:color w:val="auto"/>
          <w:kern w:val="0"/>
          <w:sz w:val="28"/>
          <w:szCs w:val="28"/>
          <w:lang w:eastAsia="zh-CN"/>
        </w:rPr>
        <w:t>建</w:t>
      </w:r>
      <w:r>
        <w:rPr>
          <w:rFonts w:hint="eastAsia" w:hAnsi="宋体"/>
          <w:snapToGrid w:val="0"/>
          <w:color w:val="auto"/>
          <w:kern w:val="0"/>
          <w:sz w:val="28"/>
          <w:szCs w:val="28"/>
        </w:rPr>
        <w:t>开发项目，且估价对象及其所在项目已取得相关规划</w:t>
      </w:r>
      <w:r>
        <w:rPr>
          <w:rFonts w:hint="eastAsia" w:hAnsi="宋体"/>
          <w:snapToGrid w:val="0"/>
          <w:color w:val="auto"/>
          <w:kern w:val="0"/>
          <w:sz w:val="28"/>
          <w:szCs w:val="28"/>
          <w:lang w:eastAsia="zh-CN"/>
        </w:rPr>
        <w:t>许可证</w:t>
      </w:r>
      <w:r>
        <w:rPr>
          <w:rFonts w:hint="eastAsia" w:hAnsi="宋体"/>
          <w:snapToGrid w:val="0"/>
          <w:color w:val="auto"/>
          <w:kern w:val="0"/>
          <w:sz w:val="28"/>
          <w:szCs w:val="28"/>
        </w:rPr>
        <w:t>，项目建成后可出售取得收益，符合假设开发法的应用条件及适用范围，故选用假设开发法。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textAlignment w:val="auto"/>
        <w:rPr>
          <w:rFonts w:hAnsi="宋体"/>
          <w:snapToGrid w:val="0"/>
          <w:color w:val="auto"/>
          <w:kern w:val="0"/>
          <w:sz w:val="28"/>
          <w:szCs w:val="28"/>
        </w:rPr>
      </w:pPr>
      <w:r>
        <w:rPr>
          <w:rFonts w:hint="eastAsia" w:hAnsi="宋体"/>
          <w:snapToGrid w:val="0"/>
          <w:color w:val="auto"/>
          <w:kern w:val="0"/>
          <w:sz w:val="28"/>
          <w:szCs w:val="28"/>
        </w:rPr>
        <w:t>未选用其他方法的原因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1</w:t>
      </w:r>
      <w:r>
        <w:rPr>
          <w:rFonts w:hint="eastAsia" w:hAnsi="宋体"/>
          <w:snapToGrid w:val="0"/>
          <w:color w:val="auto"/>
          <w:kern w:val="0"/>
          <w:sz w:val="28"/>
          <w:szCs w:val="28"/>
          <w:lang w:eastAsia="zh-CN"/>
        </w:rPr>
        <w:t>、</w:t>
      </w:r>
      <w:r>
        <w:rPr>
          <w:rFonts w:hint="eastAsia" w:hAnsi="宋体"/>
          <w:snapToGrid w:val="0"/>
          <w:color w:val="auto"/>
          <w:kern w:val="0"/>
          <w:sz w:val="28"/>
          <w:szCs w:val="28"/>
        </w:rPr>
        <w:t>未选取比较法理由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估价对象为在建工程项目，周边缺少同类项目交易案例，故未选取比较法。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lang w:val="en-US" w:eastAsia="zh-CN"/>
        </w:rPr>
        <w:t>2</w:t>
      </w:r>
      <w:r>
        <w:rPr>
          <w:rFonts w:hint="eastAsia" w:hAnsi="宋体"/>
          <w:snapToGrid w:val="0"/>
          <w:color w:val="auto"/>
          <w:kern w:val="0"/>
          <w:sz w:val="28"/>
          <w:szCs w:val="28"/>
          <w:lang w:eastAsia="zh-CN"/>
        </w:rPr>
        <w:t>、</w:t>
      </w:r>
      <w:r>
        <w:rPr>
          <w:rFonts w:hint="eastAsia" w:hAnsi="宋体"/>
          <w:snapToGrid w:val="0"/>
          <w:color w:val="auto"/>
          <w:kern w:val="0"/>
          <w:sz w:val="28"/>
          <w:szCs w:val="28"/>
        </w:rPr>
        <w:t>未选取收益法理由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估价对象为在建工程房地产，目前</w:t>
      </w:r>
      <w:r>
        <w:rPr>
          <w:rFonts w:hint="eastAsia" w:hAnsi="宋体"/>
          <w:snapToGrid w:val="0"/>
          <w:color w:val="auto"/>
          <w:kern w:val="0"/>
          <w:sz w:val="28"/>
          <w:szCs w:val="28"/>
          <w:lang w:eastAsia="zh-CN"/>
        </w:rPr>
        <w:t>处于停</w:t>
      </w:r>
      <w:r>
        <w:rPr>
          <w:rFonts w:hint="eastAsia" w:hAnsi="宋体"/>
          <w:snapToGrid w:val="0"/>
          <w:color w:val="auto"/>
          <w:kern w:val="0"/>
          <w:sz w:val="28"/>
          <w:szCs w:val="28"/>
        </w:rPr>
        <w:t>工</w:t>
      </w:r>
      <w:r>
        <w:rPr>
          <w:rFonts w:hint="eastAsia" w:hAnsi="宋体"/>
          <w:snapToGrid w:val="0"/>
          <w:color w:val="auto"/>
          <w:kern w:val="0"/>
          <w:sz w:val="28"/>
          <w:szCs w:val="28"/>
          <w:lang w:eastAsia="zh-CN"/>
        </w:rPr>
        <w:t>状态</w:t>
      </w:r>
      <w:r>
        <w:rPr>
          <w:rFonts w:hint="eastAsia" w:hAnsi="宋体"/>
          <w:snapToGrid w:val="0"/>
          <w:color w:val="auto"/>
          <w:kern w:val="0"/>
          <w:sz w:val="28"/>
          <w:szCs w:val="28"/>
        </w:rPr>
        <w:t>，尚未达到对外出租使用状态，故未选取收益法。</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textAlignment w:val="auto"/>
        <w:rPr>
          <w:rFonts w:hAnsi="宋体"/>
          <w:snapToGrid w:val="0"/>
          <w:color w:val="auto"/>
          <w:kern w:val="0"/>
          <w:sz w:val="28"/>
          <w:szCs w:val="28"/>
        </w:rPr>
      </w:pPr>
      <w:r>
        <w:rPr>
          <w:rFonts w:hint="eastAsia" w:hAnsi="宋体"/>
          <w:snapToGrid w:val="0"/>
          <w:color w:val="auto"/>
          <w:kern w:val="0"/>
          <w:sz w:val="28"/>
          <w:szCs w:val="28"/>
        </w:rPr>
        <w:t>本次运用估价方法定义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1</w:t>
      </w:r>
      <w:r>
        <w:rPr>
          <w:rFonts w:hint="eastAsia" w:hAnsi="宋体"/>
          <w:snapToGrid w:val="0"/>
          <w:color w:val="auto"/>
          <w:kern w:val="0"/>
          <w:sz w:val="28"/>
          <w:szCs w:val="28"/>
          <w:lang w:eastAsia="zh-CN"/>
        </w:rPr>
        <w:t>、</w:t>
      </w:r>
      <w:r>
        <w:rPr>
          <w:rFonts w:hint="eastAsia" w:hAnsi="宋体"/>
          <w:snapToGrid w:val="0"/>
          <w:color w:val="auto"/>
          <w:kern w:val="0"/>
          <w:sz w:val="28"/>
          <w:szCs w:val="28"/>
        </w:rPr>
        <w:t>成本法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成本法是以建造估价对象房产或类似房产所需的各项必须费用之和为基础，再加上正常的利润、利息和税费，得出估价对象的重置价值并扣除折旧，以此估算估价对象的价值。</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2</w:t>
      </w:r>
      <w:r>
        <w:rPr>
          <w:rFonts w:hint="eastAsia" w:hAnsi="宋体"/>
          <w:snapToGrid w:val="0"/>
          <w:color w:val="auto"/>
          <w:kern w:val="0"/>
          <w:sz w:val="28"/>
          <w:szCs w:val="28"/>
          <w:lang w:eastAsia="zh-CN"/>
        </w:rPr>
        <w:t>、</w:t>
      </w:r>
      <w:r>
        <w:rPr>
          <w:rFonts w:hint="eastAsia" w:hAnsi="宋体"/>
          <w:snapToGrid w:val="0"/>
          <w:color w:val="auto"/>
          <w:kern w:val="0"/>
          <w:sz w:val="28"/>
          <w:szCs w:val="28"/>
        </w:rPr>
        <w:t>假设开发法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snapToGrid w:val="0"/>
          <w:color w:val="auto"/>
          <w:kern w:val="0"/>
          <w:sz w:val="28"/>
          <w:szCs w:val="28"/>
        </w:rPr>
      </w:pPr>
      <w:r>
        <w:rPr>
          <w:rFonts w:hint="eastAsia" w:hAnsi="宋体"/>
          <w:snapToGrid w:val="0"/>
          <w:color w:val="auto"/>
          <w:kern w:val="0"/>
          <w:sz w:val="28"/>
          <w:szCs w:val="28"/>
        </w:rPr>
        <w:t>假设开发法是求得估价对象后续开发的必要支出及应得利润和开发完成后的价值，将开发完成后的价值减去后续开发的必要支出及应得利润得到估价对象价值或价格的方法。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1"/>
        <w:rPr>
          <w:b/>
          <w:bCs/>
          <w:color w:val="auto"/>
          <w:sz w:val="28"/>
        </w:rPr>
      </w:pPr>
      <w:bookmarkStart w:id="17" w:name="_Toc6232"/>
      <w:r>
        <w:rPr>
          <w:rFonts w:hint="eastAsia"/>
          <w:b/>
          <w:bCs/>
          <w:color w:val="auto"/>
          <w:sz w:val="28"/>
          <w:lang w:val="en-US" w:eastAsia="zh-CN"/>
        </w:rPr>
        <w:t>十</w:t>
      </w:r>
      <w:r>
        <w:rPr>
          <w:rFonts w:hint="eastAsia"/>
          <w:b/>
          <w:bCs/>
          <w:color w:val="auto"/>
          <w:sz w:val="28"/>
        </w:rPr>
        <w:t>、估价</w:t>
      </w:r>
      <w:r>
        <w:rPr>
          <w:rFonts w:hint="eastAsia"/>
          <w:b/>
          <w:bCs/>
          <w:color w:val="auto"/>
          <w:sz w:val="28"/>
          <w:lang w:val="en-US" w:eastAsia="zh-CN"/>
        </w:rPr>
        <w:t>结果</w:t>
      </w:r>
      <w:bookmarkEnd w:id="17"/>
    </w:p>
    <w:p>
      <w:pPr>
        <w:keepNext w:val="0"/>
        <w:keepLines w:val="0"/>
        <w:pageBreakBefore w:val="0"/>
        <w:widowControl w:val="0"/>
        <w:kinsoku/>
        <w:wordWrap/>
        <w:overflowPunct/>
        <w:topLinePunct w:val="0"/>
        <w:autoSpaceDE/>
        <w:autoSpaceDN/>
        <w:bidi w:val="0"/>
        <w:adjustRightInd w:val="0"/>
        <w:snapToGrid w:val="0"/>
        <w:spacing w:line="560" w:lineRule="exact"/>
        <w:ind w:firstLine="573"/>
        <w:textAlignment w:val="auto"/>
        <w:rPr>
          <w:rFonts w:hint="eastAsia"/>
          <w:color w:val="auto"/>
          <w:sz w:val="28"/>
        </w:rPr>
      </w:pPr>
      <w:r>
        <w:rPr>
          <w:rFonts w:hint="eastAsia"/>
          <w:color w:val="auto"/>
          <w:sz w:val="28"/>
        </w:rPr>
        <w:t>我们依据委托方提供的资料，根据估价目的，遵循估价原则，按照估价程序，采用科学合理的估价方法，在认真分析现有资料的基础上，经过测算，并结合估价经验对影响委估房地产价格因素的综合分析，取成本法和假设开发法的加权平均值为估价结果，最后确定估价对象在价值时点2022年</w:t>
      </w:r>
      <w:r>
        <w:rPr>
          <w:rFonts w:hint="eastAsia"/>
          <w:color w:val="auto"/>
          <w:sz w:val="28"/>
          <w:lang w:val="en-US" w:eastAsia="zh-CN"/>
        </w:rPr>
        <w:t>7</w:t>
      </w:r>
      <w:r>
        <w:rPr>
          <w:rFonts w:hint="eastAsia"/>
          <w:color w:val="auto"/>
          <w:sz w:val="28"/>
        </w:rPr>
        <w:t>月</w:t>
      </w:r>
      <w:r>
        <w:rPr>
          <w:rFonts w:hint="eastAsia"/>
          <w:color w:val="auto"/>
          <w:sz w:val="28"/>
          <w:lang w:val="en-US" w:eastAsia="zh-CN"/>
        </w:rPr>
        <w:t>27</w:t>
      </w:r>
      <w:r>
        <w:rPr>
          <w:rFonts w:hint="eastAsia"/>
          <w:color w:val="auto"/>
          <w:sz w:val="28"/>
        </w:rPr>
        <w:t>日的估价结果为：</w:t>
      </w:r>
    </w:p>
    <w:tbl>
      <w:tblPr>
        <w:tblStyle w:val="26"/>
        <w:tblpPr w:leftFromText="180" w:rightFromText="180" w:vertAnchor="text" w:horzAnchor="page" w:tblpX="1262" w:tblpY="1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2232"/>
        <w:gridCol w:w="2148"/>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45" w:type="dxa"/>
            <w:vAlign w:val="center"/>
          </w:tcPr>
          <w:p>
            <w:pPr>
              <w:pStyle w:val="14"/>
              <w:jc w:val="center"/>
              <w:rPr>
                <w:rFonts w:hint="eastAsia" w:eastAsia="宋体"/>
                <w:b/>
                <w:bCs/>
                <w:color w:val="auto"/>
                <w:sz w:val="24"/>
                <w:szCs w:val="24"/>
                <w:vertAlign w:val="baseline"/>
                <w:lang w:val="en-US" w:eastAsia="zh-CN"/>
              </w:rPr>
            </w:pPr>
            <w:bookmarkStart w:id="18" w:name="_Toc11010"/>
            <w:r>
              <w:rPr>
                <w:rFonts w:hint="eastAsia"/>
                <w:b/>
                <w:bCs/>
                <w:color w:val="auto"/>
                <w:sz w:val="24"/>
                <w:szCs w:val="24"/>
                <w:vertAlign w:val="baseline"/>
                <w:lang w:val="en-US" w:eastAsia="zh-CN"/>
              </w:rPr>
              <w:t>名称</w:t>
            </w:r>
          </w:p>
        </w:tc>
        <w:tc>
          <w:tcPr>
            <w:tcW w:w="2232"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建筑面积（平方米）</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评估价值（万元）</w:t>
            </w:r>
          </w:p>
        </w:tc>
        <w:tc>
          <w:tcPr>
            <w:tcW w:w="2256" w:type="dxa"/>
            <w:vAlign w:val="center"/>
          </w:tcPr>
          <w:p>
            <w:pPr>
              <w:pStyle w:val="14"/>
              <w:jc w:val="center"/>
              <w:rPr>
                <w:rFonts w:hint="eastAsia"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945" w:type="dxa"/>
            <w:vAlign w:val="center"/>
          </w:tcPr>
          <w:p>
            <w:pPr>
              <w:pStyle w:val="14"/>
              <w:jc w:val="center"/>
              <w:rPr>
                <w:rFonts w:hint="default" w:ascii="宋体" w:hAnsi="宋体" w:eastAsia="宋体" w:cs="宋体"/>
                <w:b/>
                <w:bCs/>
                <w:color w:val="auto"/>
                <w:sz w:val="24"/>
                <w:szCs w:val="24"/>
                <w:vertAlign w:val="baseline"/>
                <w:lang w:val="en-US" w:eastAsia="zh-CN"/>
              </w:rPr>
            </w:pPr>
            <w:r>
              <w:rPr>
                <w:rFonts w:hint="eastAsia"/>
                <w:b/>
                <w:bCs/>
                <w:color w:val="auto"/>
                <w:sz w:val="24"/>
                <w:szCs w:val="24"/>
                <w:vertAlign w:val="baseline"/>
                <w:lang w:val="en-US" w:eastAsia="zh-CN"/>
              </w:rPr>
              <w:t>汾阳市豊足</w:t>
            </w:r>
            <w:r>
              <w:rPr>
                <w:rFonts w:hint="eastAsia" w:ascii="宋体" w:hAnsi="宋体" w:eastAsia="宋体" w:cs="宋体"/>
                <w:b/>
                <w:bCs/>
                <w:color w:val="auto"/>
                <w:sz w:val="24"/>
                <w:szCs w:val="24"/>
                <w:vertAlign w:val="baseline"/>
                <w:lang w:val="en-US" w:eastAsia="zh-CN"/>
              </w:rPr>
              <w:t>·</w:t>
            </w:r>
            <w:r>
              <w:rPr>
                <w:rFonts w:hint="eastAsia" w:hAnsi="宋体" w:cs="宋体"/>
                <w:b/>
                <w:bCs/>
                <w:color w:val="auto"/>
                <w:sz w:val="24"/>
                <w:szCs w:val="24"/>
                <w:vertAlign w:val="baseline"/>
                <w:lang w:val="en-US" w:eastAsia="zh-CN"/>
              </w:rPr>
              <w:t>汾阳壹号5号楼在建工程价值（被汾阳市人民法院执行财产）</w:t>
            </w:r>
          </w:p>
        </w:tc>
        <w:tc>
          <w:tcPr>
            <w:tcW w:w="2232" w:type="dxa"/>
            <w:vAlign w:val="center"/>
          </w:tcPr>
          <w:p>
            <w:pPr>
              <w:pStyle w:val="14"/>
              <w:jc w:val="center"/>
              <w:rPr>
                <w:rFonts w:hint="eastAsia"/>
                <w:b/>
                <w:bCs/>
                <w:color w:val="auto"/>
                <w:sz w:val="24"/>
                <w:szCs w:val="24"/>
                <w:vertAlign w:val="baseline"/>
              </w:rPr>
            </w:pPr>
            <w:r>
              <w:rPr>
                <w:rFonts w:hint="eastAsia"/>
                <w:b/>
                <w:bCs/>
                <w:color w:val="auto"/>
                <w:sz w:val="24"/>
                <w:szCs w:val="24"/>
                <w:vertAlign w:val="baseline"/>
                <w:lang w:val="en-US" w:eastAsia="zh-CN"/>
              </w:rPr>
              <w:t>5291.59</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488.46</w:t>
            </w:r>
          </w:p>
        </w:tc>
        <w:tc>
          <w:tcPr>
            <w:tcW w:w="2256" w:type="dxa"/>
            <w:vAlign w:val="center"/>
          </w:tcPr>
          <w:p>
            <w:pPr>
              <w:pStyle w:val="14"/>
              <w:jc w:val="center"/>
              <w:rPr>
                <w:rFonts w:hint="default"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人民币</w:t>
            </w:r>
            <w:r>
              <w:rPr>
                <w:rFonts w:hint="eastAsia" w:hAnsi="Times New Roman" w:cs="Times New Roman"/>
                <w:b/>
                <w:bCs/>
                <w:color w:val="auto"/>
                <w:sz w:val="24"/>
                <w:szCs w:val="24"/>
                <w:vertAlign w:val="baseline"/>
                <w:lang w:val="en-US" w:eastAsia="zh-CN"/>
              </w:rPr>
              <w:fldChar w:fldCharType="begin"/>
            </w:r>
            <w:r>
              <w:rPr>
                <w:rFonts w:hint="eastAsia" w:hAnsi="Times New Roman" w:cs="Times New Roman"/>
                <w:b/>
                <w:bCs/>
                <w:color w:val="auto"/>
                <w:sz w:val="24"/>
                <w:szCs w:val="24"/>
                <w:vertAlign w:val="baseline"/>
                <w:lang w:val="en-US" w:eastAsia="zh-CN"/>
              </w:rPr>
              <w:instrText xml:space="preserve"> = 4884600 \* CHINESENUM2 \* MERGEFORMAT </w:instrText>
            </w:r>
            <w:r>
              <w:rPr>
                <w:rFonts w:hint="eastAsia" w:hAnsi="Times New Roman" w:cs="Times New Roman"/>
                <w:b/>
                <w:bCs/>
                <w:color w:val="auto"/>
                <w:sz w:val="24"/>
                <w:szCs w:val="24"/>
                <w:vertAlign w:val="baseline"/>
                <w:lang w:val="en-US" w:eastAsia="zh-CN"/>
              </w:rPr>
              <w:fldChar w:fldCharType="separate"/>
            </w:r>
            <w:r>
              <w:rPr>
                <w:rFonts w:hint="eastAsia" w:hAnsi="Times New Roman" w:cs="Times New Roman"/>
                <w:b/>
                <w:bCs/>
                <w:color w:val="auto"/>
                <w:sz w:val="24"/>
                <w:szCs w:val="24"/>
                <w:vertAlign w:val="baseline"/>
                <w:lang w:val="en-US" w:eastAsia="zh-CN"/>
              </w:rPr>
              <w:t>肆佰捌拾捌万肆仟陆佰</w:t>
            </w:r>
            <w:r>
              <w:rPr>
                <w:rFonts w:hint="eastAsia" w:hAnsi="Times New Roman" w:cs="Times New Roman"/>
                <w:b/>
                <w:bCs/>
                <w:color w:val="auto"/>
                <w:sz w:val="24"/>
                <w:szCs w:val="24"/>
                <w:vertAlign w:val="baseline"/>
                <w:lang w:val="en-US" w:eastAsia="zh-CN"/>
              </w:rPr>
              <w:fldChar w:fldCharType="end"/>
            </w:r>
            <w:r>
              <w:rPr>
                <w:rFonts w:hint="eastAsia" w:hAnsi="Times New Roman" w:cs="Times New Roman"/>
                <w:b/>
                <w:bCs/>
                <w:color w:val="auto"/>
                <w:sz w:val="24"/>
                <w:szCs w:val="24"/>
                <w:vertAlign w:val="baseline"/>
                <w:lang w:val="en-US" w:eastAsia="zh-CN"/>
              </w:rPr>
              <w:t>元整</w:t>
            </w:r>
          </w:p>
        </w:tc>
      </w:tr>
    </w:tbl>
    <w:p>
      <w:pPr>
        <w:adjustRightInd w:val="0"/>
        <w:snapToGrid w:val="0"/>
        <w:spacing w:line="520" w:lineRule="exact"/>
        <w:outlineLvl w:val="1"/>
        <w:rPr>
          <w:b/>
          <w:bCs/>
          <w:color w:val="auto"/>
          <w:sz w:val="28"/>
        </w:rPr>
      </w:pPr>
      <w:r>
        <w:rPr>
          <w:rFonts w:hint="eastAsia"/>
          <w:b/>
          <w:bCs/>
          <w:color w:val="auto"/>
          <w:sz w:val="28"/>
          <w:lang w:val="en-US" w:eastAsia="zh-CN"/>
        </w:rPr>
        <w:t>十一</w:t>
      </w:r>
      <w:r>
        <w:rPr>
          <w:rFonts w:hint="eastAsia"/>
          <w:b/>
          <w:bCs/>
          <w:color w:val="auto"/>
          <w:sz w:val="28"/>
        </w:rPr>
        <w:t>、</w:t>
      </w:r>
      <w:r>
        <w:rPr>
          <w:rFonts w:hint="eastAsia"/>
          <w:b/>
          <w:bCs/>
          <w:color w:val="auto"/>
          <w:sz w:val="28"/>
          <w:lang w:val="en-US" w:eastAsia="zh-CN"/>
        </w:rPr>
        <w:t>注册房地产估价师</w:t>
      </w:r>
      <w:bookmarkEnd w:id="18"/>
    </w:p>
    <w:tbl>
      <w:tblPr>
        <w:tblStyle w:val="25"/>
        <w:tblW w:w="9085"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2268"/>
        <w:gridCol w:w="2126"/>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90"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姓名</w:t>
            </w:r>
          </w:p>
        </w:tc>
        <w:tc>
          <w:tcPr>
            <w:tcW w:w="2268"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注册号</w:t>
            </w:r>
          </w:p>
        </w:tc>
        <w:tc>
          <w:tcPr>
            <w:tcW w:w="2126"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签名</w:t>
            </w:r>
          </w:p>
        </w:tc>
        <w:tc>
          <w:tcPr>
            <w:tcW w:w="3201"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90"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王艳琴</w:t>
            </w:r>
          </w:p>
        </w:tc>
        <w:tc>
          <w:tcPr>
            <w:tcW w:w="2268"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1420020034</w:t>
            </w:r>
          </w:p>
        </w:tc>
        <w:tc>
          <w:tcPr>
            <w:tcW w:w="2126" w:type="dxa"/>
            <w:vAlign w:val="center"/>
          </w:tcPr>
          <w:p>
            <w:pPr>
              <w:pStyle w:val="2"/>
              <w:spacing w:line="320" w:lineRule="exact"/>
              <w:ind w:firstLine="0" w:firstLineChars="0"/>
              <w:jc w:val="center"/>
              <w:rPr>
                <w:rFonts w:ascii="宋体" w:hAnsi="宋体" w:eastAsia="宋体"/>
                <w:sz w:val="28"/>
                <w:szCs w:val="28"/>
              </w:rPr>
            </w:pPr>
          </w:p>
        </w:tc>
        <w:tc>
          <w:tcPr>
            <w:tcW w:w="3201"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90" w:type="dxa"/>
            <w:vAlign w:val="center"/>
          </w:tcPr>
          <w:p>
            <w:pPr>
              <w:pStyle w:val="2"/>
              <w:spacing w:line="320" w:lineRule="exact"/>
              <w:ind w:firstLine="0" w:firstLineChars="0"/>
              <w:jc w:val="center"/>
              <w:rPr>
                <w:rFonts w:hint="eastAsia" w:ascii="宋体" w:hAnsi="宋体" w:eastAsia="宋体"/>
                <w:sz w:val="28"/>
                <w:szCs w:val="28"/>
              </w:rPr>
            </w:pPr>
            <w:r>
              <w:rPr>
                <w:rFonts w:hint="eastAsia" w:ascii="宋体" w:hAnsi="宋体" w:eastAsia="宋体"/>
                <w:sz w:val="28"/>
                <w:szCs w:val="28"/>
              </w:rPr>
              <w:t xml:space="preserve"> 杨俊伟</w:t>
            </w:r>
          </w:p>
        </w:tc>
        <w:tc>
          <w:tcPr>
            <w:tcW w:w="2268" w:type="dxa"/>
            <w:vAlign w:val="center"/>
          </w:tcPr>
          <w:p>
            <w:pPr>
              <w:pStyle w:val="2"/>
              <w:spacing w:line="320" w:lineRule="exact"/>
              <w:ind w:firstLine="0" w:firstLineChars="0"/>
              <w:jc w:val="center"/>
              <w:rPr>
                <w:rFonts w:hint="eastAsia" w:ascii="宋体" w:hAnsi="宋体" w:eastAsia="宋体"/>
                <w:sz w:val="28"/>
                <w:szCs w:val="28"/>
              </w:rPr>
            </w:pPr>
            <w:r>
              <w:rPr>
                <w:rFonts w:hint="eastAsia" w:ascii="宋体" w:hAnsi="宋体" w:eastAsia="宋体"/>
                <w:sz w:val="28"/>
                <w:szCs w:val="28"/>
              </w:rPr>
              <w:t>1419960010</w:t>
            </w:r>
          </w:p>
        </w:tc>
        <w:tc>
          <w:tcPr>
            <w:tcW w:w="2126" w:type="dxa"/>
            <w:vAlign w:val="center"/>
          </w:tcPr>
          <w:p>
            <w:pPr>
              <w:pStyle w:val="2"/>
              <w:spacing w:line="320" w:lineRule="exact"/>
              <w:ind w:firstLine="0" w:firstLineChars="0"/>
              <w:jc w:val="center"/>
              <w:rPr>
                <w:rFonts w:ascii="宋体" w:hAnsi="宋体" w:eastAsia="宋体"/>
                <w:sz w:val="28"/>
                <w:szCs w:val="28"/>
              </w:rPr>
            </w:pPr>
          </w:p>
        </w:tc>
        <w:tc>
          <w:tcPr>
            <w:tcW w:w="3201" w:type="dxa"/>
            <w:vAlign w:val="center"/>
          </w:tcPr>
          <w:p>
            <w:pPr>
              <w:pStyle w:val="2"/>
              <w:spacing w:line="320" w:lineRule="exact"/>
              <w:ind w:firstLine="0" w:firstLineChars="0"/>
              <w:jc w:val="center"/>
              <w:rPr>
                <w:rFonts w:ascii="宋体" w:hAnsi="宋体" w:eastAsia="宋体"/>
                <w:sz w:val="28"/>
                <w:szCs w:val="28"/>
              </w:rPr>
            </w:pPr>
            <w:r>
              <w:rPr>
                <w:rFonts w:hint="eastAsia" w:ascii="宋体" w:hAnsi="宋体" w:eastAsia="宋体"/>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b/>
          <w:bCs/>
          <w:color w:val="auto"/>
          <w:sz w:val="28"/>
        </w:rPr>
      </w:pPr>
      <w:bookmarkStart w:id="19" w:name="_Toc274"/>
      <w:r>
        <w:rPr>
          <w:rFonts w:hint="eastAsia"/>
          <w:b/>
          <w:bCs/>
          <w:color w:val="auto"/>
          <w:sz w:val="28"/>
        </w:rPr>
        <w:t>十二、实地查勘期</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color w:val="auto"/>
          <w:sz w:val="28"/>
        </w:rPr>
      </w:pPr>
      <w:r>
        <w:rPr>
          <w:rFonts w:hint="eastAsia" w:hAnsi="宋体"/>
          <w:color w:val="auto"/>
          <w:sz w:val="28"/>
        </w:rPr>
        <w:t>二○二二年</w:t>
      </w:r>
      <w:r>
        <w:rPr>
          <w:rFonts w:hint="eastAsia" w:hAnsi="宋体"/>
          <w:color w:val="auto"/>
          <w:sz w:val="28"/>
          <w:lang w:val="en-US" w:eastAsia="zh-CN"/>
        </w:rPr>
        <w:t>七</w:t>
      </w:r>
      <w:r>
        <w:rPr>
          <w:rFonts w:hint="eastAsia" w:hAnsi="宋体"/>
          <w:color w:val="auto"/>
          <w:sz w:val="28"/>
        </w:rPr>
        <w:t>月</w:t>
      </w:r>
      <w:r>
        <w:rPr>
          <w:rFonts w:hint="eastAsia" w:hAnsi="宋体"/>
          <w:color w:val="auto"/>
          <w:sz w:val="28"/>
          <w:lang w:val="en-US" w:eastAsia="zh-CN"/>
        </w:rPr>
        <w:t>二十七</w:t>
      </w:r>
      <w:r>
        <w:rPr>
          <w:rFonts w:hint="eastAsia" w:hAnsi="宋体"/>
          <w:color w:val="auto"/>
          <w:sz w:val="28"/>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b/>
          <w:bCs/>
          <w:color w:val="auto"/>
          <w:sz w:val="28"/>
        </w:rPr>
      </w:pPr>
      <w:bookmarkStart w:id="20" w:name="_Toc556"/>
      <w:r>
        <w:rPr>
          <w:rFonts w:hint="eastAsia"/>
          <w:b/>
          <w:bCs/>
          <w:color w:val="auto"/>
          <w:sz w:val="28"/>
        </w:rPr>
        <w:t>十三、估价作业期</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Ansi="宋体"/>
          <w:color w:val="auto"/>
          <w:sz w:val="28"/>
        </w:rPr>
      </w:pPr>
      <w:r>
        <w:rPr>
          <w:rFonts w:hint="eastAsia" w:hAnsi="宋体"/>
          <w:color w:val="auto"/>
          <w:sz w:val="28"/>
        </w:rPr>
        <w:t>二○二二年</w:t>
      </w:r>
      <w:r>
        <w:rPr>
          <w:rFonts w:hint="eastAsia" w:hAnsi="宋体"/>
          <w:color w:val="auto"/>
          <w:sz w:val="28"/>
          <w:lang w:val="en-US" w:eastAsia="zh-CN"/>
        </w:rPr>
        <w:t>七</w:t>
      </w:r>
      <w:r>
        <w:rPr>
          <w:rFonts w:hint="eastAsia" w:hAnsi="宋体"/>
          <w:color w:val="auto"/>
          <w:sz w:val="28"/>
        </w:rPr>
        <w:t>月</w:t>
      </w:r>
      <w:r>
        <w:rPr>
          <w:rFonts w:hint="eastAsia" w:hAnsi="宋体"/>
          <w:color w:val="auto"/>
          <w:sz w:val="28"/>
          <w:lang w:val="en-US" w:eastAsia="zh-CN"/>
        </w:rPr>
        <w:t>二十七</w:t>
      </w:r>
      <w:r>
        <w:rPr>
          <w:rFonts w:hint="eastAsia" w:hAnsi="宋体"/>
          <w:color w:val="auto"/>
          <w:sz w:val="28"/>
        </w:rPr>
        <w:t>日</w:t>
      </w:r>
      <w:r>
        <w:rPr>
          <w:rFonts w:hint="eastAsia"/>
          <w:color w:val="auto"/>
          <w:sz w:val="28"/>
        </w:rPr>
        <w:t>至</w:t>
      </w:r>
      <w:r>
        <w:rPr>
          <w:rFonts w:hint="eastAsia" w:hAnsi="宋体"/>
          <w:color w:val="auto"/>
          <w:sz w:val="28"/>
        </w:rPr>
        <w:t>二○二二年</w:t>
      </w:r>
      <w:r>
        <w:rPr>
          <w:rFonts w:hint="eastAsia" w:hAnsi="宋体"/>
          <w:color w:val="auto"/>
          <w:sz w:val="28"/>
          <w:lang w:val="en-US" w:eastAsia="zh-CN"/>
        </w:rPr>
        <w:t>十</w:t>
      </w:r>
      <w:r>
        <w:rPr>
          <w:rFonts w:hint="eastAsia" w:hAnsi="宋体"/>
          <w:color w:val="auto"/>
          <w:sz w:val="28"/>
        </w:rPr>
        <w:t>月</w:t>
      </w:r>
      <w:r>
        <w:rPr>
          <w:rFonts w:hint="eastAsia" w:hAnsi="宋体"/>
          <w:color w:val="auto"/>
          <w:sz w:val="28"/>
          <w:lang w:val="en-US" w:eastAsia="zh-CN"/>
        </w:rPr>
        <w:t>十</w:t>
      </w:r>
      <w:r>
        <w:rPr>
          <w:rFonts w:hint="eastAsia" w:hAnsi="宋体"/>
          <w:color w:val="auto"/>
          <w:sz w:val="28"/>
        </w:rPr>
        <w:t>日</w:t>
      </w:r>
    </w:p>
    <w:p>
      <w:pPr>
        <w:pStyle w:val="2"/>
        <w:ind w:firstLine="600"/>
      </w:pPr>
    </w:p>
    <w:p/>
    <w:p>
      <w:pPr>
        <w:pStyle w:val="14"/>
      </w:pPr>
    </w:p>
    <w:p>
      <w:pPr>
        <w:pStyle w:val="14"/>
        <w:rPr>
          <w:rFonts w:hint="eastAsia"/>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bookmarkStart w:id="21" w:name="_Toc11440"/>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p>
    <w:p>
      <w:pPr>
        <w:adjustRightInd w:val="0"/>
        <w:snapToGrid w:val="0"/>
        <w:spacing w:line="520" w:lineRule="exact"/>
        <w:ind w:firstLine="3840" w:firstLineChars="1200"/>
        <w:outlineLvl w:val="1"/>
        <w:rPr>
          <w:rFonts w:hint="eastAsia"/>
          <w:color w:val="auto"/>
          <w:sz w:val="32"/>
          <w:szCs w:val="32"/>
          <w:shd w:val="pct10" w:color="auto" w:fill="FFFFFF"/>
        </w:rPr>
      </w:pPr>
      <w:r>
        <w:rPr>
          <w:rFonts w:hint="eastAsia"/>
          <w:color w:val="auto"/>
          <w:sz w:val="32"/>
          <w:szCs w:val="32"/>
          <w:shd w:val="pct10" w:color="auto" w:fill="FFFFFF"/>
        </w:rPr>
        <w:t>估价技术报告</w:t>
      </w:r>
      <w:bookmarkEnd w:id="21"/>
    </w:p>
    <w:p>
      <w:pPr>
        <w:keepNext w:val="0"/>
        <w:keepLines w:val="0"/>
        <w:pageBreakBefore w:val="0"/>
        <w:widowControl w:val="0"/>
        <w:kinsoku w:val="0"/>
        <w:wordWrap/>
        <w:overflowPunct w:val="0"/>
        <w:topLinePunct w:val="0"/>
        <w:autoSpaceDE w:val="0"/>
        <w:autoSpaceDN w:val="0"/>
        <w:bidi w:val="0"/>
        <w:adjustRightInd w:val="0"/>
        <w:snapToGrid w:val="0"/>
        <w:spacing w:line="520" w:lineRule="exact"/>
        <w:textAlignment w:val="auto"/>
        <w:outlineLvl w:val="1"/>
        <w:rPr>
          <w:rFonts w:hint="eastAsia"/>
          <w:b/>
          <w:bCs/>
          <w:color w:val="auto"/>
          <w:sz w:val="28"/>
        </w:rPr>
      </w:pPr>
      <w:bookmarkStart w:id="22" w:name="_Toc15520"/>
      <w:r>
        <w:rPr>
          <w:rFonts w:hint="eastAsia"/>
          <w:b/>
          <w:bCs/>
          <w:color w:val="auto"/>
          <w:sz w:val="28"/>
        </w:rPr>
        <w:t>一、估价对象描述与分析</w:t>
      </w:r>
      <w:bookmarkEnd w:id="22"/>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cs="宋体"/>
          <w:color w:val="auto"/>
          <w:sz w:val="28"/>
          <w:szCs w:val="28"/>
        </w:rPr>
      </w:pPr>
      <w:r>
        <w:rPr>
          <w:rFonts w:hint="eastAsia" w:hAnsi="宋体" w:cs="宋体"/>
          <w:color w:val="auto"/>
          <w:sz w:val="28"/>
          <w:szCs w:val="28"/>
        </w:rPr>
        <w:t>（一）区位状况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auto"/>
          <w:sz w:val="28"/>
        </w:rPr>
      </w:pPr>
      <w:r>
        <w:rPr>
          <w:rFonts w:hint="eastAsia"/>
          <w:color w:val="auto"/>
          <w:sz w:val="28"/>
        </w:rPr>
        <w:t>1、待估宗地区域概况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auto"/>
          <w:sz w:val="28"/>
        </w:rPr>
      </w:pPr>
      <w:r>
        <w:rPr>
          <w:rFonts w:hint="eastAsia"/>
          <w:color w:val="auto"/>
          <w:sz w:val="28"/>
        </w:rPr>
        <w:t>估价对象位于</w:t>
      </w:r>
      <w:r>
        <w:rPr>
          <w:rFonts w:hint="eastAsia"/>
          <w:color w:val="auto"/>
          <w:sz w:val="28"/>
          <w:lang w:eastAsia="zh-CN"/>
        </w:rPr>
        <w:t>汾阳市学院路西侧、中国银行北侧</w:t>
      </w:r>
      <w:r>
        <w:rPr>
          <w:rFonts w:hint="eastAsia"/>
          <w:color w:val="auto"/>
          <w:sz w:val="28"/>
        </w:rPr>
        <w:t>。</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rPr>
      </w:pPr>
      <w:r>
        <w:rPr>
          <w:rFonts w:hint="eastAsia"/>
          <w:kern w:val="2"/>
          <w:sz w:val="28"/>
          <w:szCs w:val="28"/>
        </w:rPr>
        <w:t>汾阳市是</w:t>
      </w:r>
      <w:r>
        <w:rPr>
          <w:rFonts w:hint="eastAsia"/>
          <w:kern w:val="2"/>
          <w:sz w:val="28"/>
          <w:szCs w:val="28"/>
        </w:rPr>
        <w:fldChar w:fldCharType="begin"/>
      </w:r>
      <w:r>
        <w:rPr>
          <w:rFonts w:hint="eastAsia"/>
          <w:kern w:val="2"/>
          <w:sz w:val="28"/>
          <w:szCs w:val="28"/>
        </w:rPr>
        <w:instrText xml:space="preserve"> HYPERLINK "https://baike.baidu.com/item/%E5%B1%B1%E8%A5%BF%E7%9C%81/365266" \t "https://baike.baidu.com/item/%E6%B1%BE%E9%98%B3/_blank" </w:instrText>
      </w:r>
      <w:r>
        <w:rPr>
          <w:rFonts w:hint="eastAsia"/>
          <w:kern w:val="2"/>
          <w:sz w:val="28"/>
          <w:szCs w:val="28"/>
        </w:rPr>
        <w:fldChar w:fldCharType="separate"/>
      </w:r>
      <w:r>
        <w:rPr>
          <w:rFonts w:hint="eastAsia"/>
          <w:kern w:val="2"/>
          <w:sz w:val="28"/>
          <w:szCs w:val="28"/>
        </w:rPr>
        <w:t>山西省</w:t>
      </w:r>
      <w:r>
        <w:rPr>
          <w:rFonts w:hint="eastAsia"/>
          <w:kern w:val="2"/>
          <w:sz w:val="28"/>
          <w:szCs w:val="28"/>
        </w:rPr>
        <w:fldChar w:fldCharType="end"/>
      </w:r>
      <w:r>
        <w:rPr>
          <w:rFonts w:hint="eastAsia"/>
          <w:kern w:val="2"/>
          <w:sz w:val="28"/>
          <w:szCs w:val="28"/>
        </w:rPr>
        <w:t>辖县级市，由</w:t>
      </w:r>
      <w:r>
        <w:rPr>
          <w:rFonts w:hint="eastAsia"/>
          <w:kern w:val="2"/>
          <w:sz w:val="28"/>
          <w:szCs w:val="28"/>
        </w:rPr>
        <w:fldChar w:fldCharType="begin"/>
      </w:r>
      <w:r>
        <w:rPr>
          <w:rFonts w:hint="eastAsia"/>
          <w:kern w:val="2"/>
          <w:sz w:val="28"/>
          <w:szCs w:val="28"/>
        </w:rPr>
        <w:instrText xml:space="preserve"> HYPERLINK "https://baike.baidu.com/item/%E5%90%95%E6%A2%81%E5%B8%82/528596" \t "https://baike.baidu.com/item/%E6%B1%BE%E9%98%B3/_blank" </w:instrText>
      </w:r>
      <w:r>
        <w:rPr>
          <w:rFonts w:hint="eastAsia"/>
          <w:kern w:val="2"/>
          <w:sz w:val="28"/>
          <w:szCs w:val="28"/>
        </w:rPr>
        <w:fldChar w:fldCharType="separate"/>
      </w:r>
      <w:r>
        <w:rPr>
          <w:rFonts w:hint="eastAsia"/>
          <w:kern w:val="2"/>
          <w:sz w:val="28"/>
          <w:szCs w:val="28"/>
        </w:rPr>
        <w:t>吕梁市</w:t>
      </w:r>
      <w:r>
        <w:rPr>
          <w:rFonts w:hint="eastAsia"/>
          <w:kern w:val="2"/>
          <w:sz w:val="28"/>
          <w:szCs w:val="28"/>
        </w:rPr>
        <w:fldChar w:fldCharType="end"/>
      </w:r>
      <w:r>
        <w:rPr>
          <w:rFonts w:hint="eastAsia"/>
          <w:kern w:val="2"/>
          <w:sz w:val="28"/>
          <w:szCs w:val="28"/>
        </w:rPr>
        <w:t>代管，位于山西省腹地，地跨东经111°26'~112°00'22"、北纬37°08'44"~37°29'10"，距山西省会</w:t>
      </w:r>
      <w:r>
        <w:rPr>
          <w:rFonts w:hint="eastAsia"/>
          <w:kern w:val="2"/>
          <w:sz w:val="28"/>
          <w:szCs w:val="28"/>
        </w:rPr>
        <w:fldChar w:fldCharType="begin"/>
      </w:r>
      <w:r>
        <w:rPr>
          <w:rFonts w:hint="eastAsia"/>
          <w:kern w:val="2"/>
          <w:sz w:val="28"/>
          <w:szCs w:val="28"/>
        </w:rPr>
        <w:instrText xml:space="preserve"> HYPERLINK "https://baike.baidu.com/item/%E5%A4%AA%E5%8E%9F%E5%B8%82/29705" \t "https://baike.baidu.com/item/%E6%B1%BE%E9%98%B3/_blank" </w:instrText>
      </w:r>
      <w:r>
        <w:rPr>
          <w:rFonts w:hint="eastAsia"/>
          <w:kern w:val="2"/>
          <w:sz w:val="28"/>
          <w:szCs w:val="28"/>
        </w:rPr>
        <w:fldChar w:fldCharType="separate"/>
      </w:r>
      <w:r>
        <w:rPr>
          <w:rFonts w:hint="eastAsia"/>
          <w:kern w:val="2"/>
          <w:sz w:val="28"/>
          <w:szCs w:val="28"/>
        </w:rPr>
        <w:t>太原市</w:t>
      </w:r>
      <w:r>
        <w:rPr>
          <w:rFonts w:hint="eastAsia"/>
          <w:kern w:val="2"/>
          <w:sz w:val="28"/>
          <w:szCs w:val="28"/>
        </w:rPr>
        <w:fldChar w:fldCharType="end"/>
      </w:r>
      <w:r>
        <w:rPr>
          <w:rFonts w:hint="eastAsia"/>
          <w:kern w:val="2"/>
          <w:sz w:val="28"/>
          <w:szCs w:val="28"/>
        </w:rPr>
        <w:t>108千米，东南与</w:t>
      </w:r>
      <w:r>
        <w:rPr>
          <w:rFonts w:hint="eastAsia"/>
          <w:kern w:val="2"/>
          <w:sz w:val="28"/>
          <w:szCs w:val="28"/>
        </w:rPr>
        <w:fldChar w:fldCharType="begin"/>
      </w:r>
      <w:r>
        <w:rPr>
          <w:rFonts w:hint="eastAsia"/>
          <w:kern w:val="2"/>
          <w:sz w:val="28"/>
          <w:szCs w:val="28"/>
        </w:rPr>
        <w:instrText xml:space="preserve"> HYPERLINK "https://baike.baidu.com/item/%E5%B9%B3%E9%81%A5%E5%8E%BF/5501070" \t "https://baike.baidu.com/item/%E6%B1%BE%E9%98%B3/_blank" </w:instrText>
      </w:r>
      <w:r>
        <w:rPr>
          <w:rFonts w:hint="eastAsia"/>
          <w:kern w:val="2"/>
          <w:sz w:val="28"/>
          <w:szCs w:val="28"/>
        </w:rPr>
        <w:fldChar w:fldCharType="separate"/>
      </w:r>
      <w:r>
        <w:rPr>
          <w:rFonts w:hint="eastAsia"/>
          <w:kern w:val="2"/>
          <w:sz w:val="28"/>
          <w:szCs w:val="28"/>
        </w:rPr>
        <w:t>平遥县</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"https://baike.baidu.com/item/%E4%BB%8B%E4%BC%91%E5%B8%82/2282081" \t "https://baike.baidu.com/item/%E6%B1%BE%E9%98%B3/_blank" </w:instrText>
      </w:r>
      <w:r>
        <w:rPr>
          <w:rFonts w:hint="eastAsia"/>
          <w:kern w:val="2"/>
          <w:sz w:val="28"/>
          <w:szCs w:val="28"/>
        </w:rPr>
        <w:fldChar w:fldCharType="separate"/>
      </w:r>
      <w:r>
        <w:rPr>
          <w:rFonts w:hint="eastAsia"/>
          <w:kern w:val="2"/>
          <w:sz w:val="28"/>
          <w:szCs w:val="28"/>
        </w:rPr>
        <w:t>介休市</w:t>
      </w:r>
      <w:r>
        <w:rPr>
          <w:rFonts w:hint="eastAsia"/>
          <w:kern w:val="2"/>
          <w:sz w:val="28"/>
          <w:szCs w:val="28"/>
        </w:rPr>
        <w:fldChar w:fldCharType="end"/>
      </w:r>
      <w:r>
        <w:rPr>
          <w:rFonts w:hint="eastAsia"/>
          <w:kern w:val="2"/>
          <w:sz w:val="28"/>
          <w:szCs w:val="28"/>
        </w:rPr>
        <w:t>相交，南以</w:t>
      </w:r>
      <w:r>
        <w:rPr>
          <w:rFonts w:hint="eastAsia"/>
          <w:kern w:val="2"/>
          <w:sz w:val="28"/>
          <w:szCs w:val="28"/>
        </w:rPr>
        <w:fldChar w:fldCharType="begin"/>
      </w:r>
      <w:r>
        <w:rPr>
          <w:rFonts w:hint="eastAsia"/>
          <w:kern w:val="2"/>
          <w:sz w:val="28"/>
          <w:szCs w:val="28"/>
        </w:rPr>
        <w:instrText xml:space="preserve"> HYPERLINK "https://baike.baidu.com/item/%E8%99%A2%E4%B9%89%E6%B2%B3/7954430" \t "https://baike.baidu.com/item/%E6%B1%BE%E9%98%B3/_blank" </w:instrText>
      </w:r>
      <w:r>
        <w:rPr>
          <w:rFonts w:hint="eastAsia"/>
          <w:kern w:val="2"/>
          <w:sz w:val="28"/>
          <w:szCs w:val="28"/>
        </w:rPr>
        <w:fldChar w:fldCharType="separate"/>
      </w:r>
      <w:r>
        <w:rPr>
          <w:rFonts w:hint="eastAsia"/>
          <w:kern w:val="2"/>
          <w:sz w:val="28"/>
          <w:szCs w:val="28"/>
        </w:rPr>
        <w:t>虢义河</w:t>
      </w:r>
      <w:r>
        <w:rPr>
          <w:rFonts w:hint="eastAsia"/>
          <w:kern w:val="2"/>
          <w:sz w:val="28"/>
          <w:szCs w:val="28"/>
        </w:rPr>
        <w:fldChar w:fldCharType="end"/>
      </w:r>
      <w:r>
        <w:rPr>
          <w:rFonts w:hint="eastAsia"/>
          <w:kern w:val="2"/>
          <w:sz w:val="28"/>
          <w:szCs w:val="28"/>
        </w:rPr>
        <w:t>与</w:t>
      </w:r>
      <w:r>
        <w:rPr>
          <w:rFonts w:hint="eastAsia"/>
          <w:kern w:val="2"/>
          <w:sz w:val="28"/>
          <w:szCs w:val="28"/>
        </w:rPr>
        <w:fldChar w:fldCharType="begin"/>
      </w:r>
      <w:r>
        <w:rPr>
          <w:rFonts w:hint="eastAsia"/>
          <w:kern w:val="2"/>
          <w:sz w:val="28"/>
          <w:szCs w:val="28"/>
        </w:rPr>
        <w:instrText xml:space="preserve"> HYPERLINK "https://baike.baidu.com/item/%E5%AD%9D%E4%B9%89%E5%B8%82/5116429" \t "https://baike.baidu.com/item/%E6%B1%BE%E9%98%B3/_blank" </w:instrText>
      </w:r>
      <w:r>
        <w:rPr>
          <w:rFonts w:hint="eastAsia"/>
          <w:kern w:val="2"/>
          <w:sz w:val="28"/>
          <w:szCs w:val="28"/>
        </w:rPr>
        <w:fldChar w:fldCharType="separate"/>
      </w:r>
      <w:r>
        <w:rPr>
          <w:rFonts w:hint="eastAsia"/>
          <w:kern w:val="2"/>
          <w:sz w:val="28"/>
          <w:szCs w:val="28"/>
        </w:rPr>
        <w:t>孝义市</w:t>
      </w:r>
      <w:r>
        <w:rPr>
          <w:rFonts w:hint="eastAsia"/>
          <w:kern w:val="2"/>
          <w:sz w:val="28"/>
          <w:szCs w:val="28"/>
        </w:rPr>
        <w:fldChar w:fldCharType="end"/>
      </w:r>
      <w:r>
        <w:rPr>
          <w:rFonts w:hint="eastAsia"/>
          <w:kern w:val="2"/>
          <w:sz w:val="28"/>
          <w:szCs w:val="28"/>
        </w:rPr>
        <w:t>交界，西依薛公岭与</w:t>
      </w:r>
      <w:r>
        <w:rPr>
          <w:rFonts w:hint="eastAsia"/>
          <w:kern w:val="2"/>
          <w:sz w:val="28"/>
          <w:szCs w:val="28"/>
        </w:rPr>
        <w:fldChar w:fldCharType="begin"/>
      </w:r>
      <w:r>
        <w:rPr>
          <w:rFonts w:hint="eastAsia"/>
          <w:kern w:val="2"/>
          <w:sz w:val="28"/>
          <w:szCs w:val="28"/>
        </w:rPr>
        <w:instrText xml:space="preserve"> HYPERLINK "https://baike.baidu.com/item/%E4%B8%AD%E9%98%B3%E5%8E%BF/3189636" \t "https://baike.baidu.com/item/%E6%B1%BE%E9%98%B3/_blank" </w:instrText>
      </w:r>
      <w:r>
        <w:rPr>
          <w:rFonts w:hint="eastAsia"/>
          <w:kern w:val="2"/>
          <w:sz w:val="28"/>
          <w:szCs w:val="28"/>
        </w:rPr>
        <w:fldChar w:fldCharType="separate"/>
      </w:r>
      <w:r>
        <w:rPr>
          <w:rFonts w:hint="eastAsia"/>
          <w:kern w:val="2"/>
          <w:sz w:val="28"/>
          <w:szCs w:val="28"/>
        </w:rPr>
        <w:t>中阳县</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"https://baike.baidu.com/item/%E7%A6%BB%E7%9F%B3%E5%8C%BA/243650" \t "https://baike.baidu.com/item/%E6%B1%BE%E9%98%B3/_blank" </w:instrText>
      </w:r>
      <w:r>
        <w:rPr>
          <w:rFonts w:hint="eastAsia"/>
          <w:kern w:val="2"/>
          <w:sz w:val="28"/>
          <w:szCs w:val="28"/>
        </w:rPr>
        <w:fldChar w:fldCharType="separate"/>
      </w:r>
      <w:r>
        <w:rPr>
          <w:rFonts w:hint="eastAsia"/>
          <w:kern w:val="2"/>
          <w:sz w:val="28"/>
          <w:szCs w:val="28"/>
        </w:rPr>
        <w:t>离石区</w:t>
      </w:r>
      <w:r>
        <w:rPr>
          <w:rFonts w:hint="eastAsia"/>
          <w:kern w:val="2"/>
          <w:sz w:val="28"/>
          <w:szCs w:val="28"/>
        </w:rPr>
        <w:fldChar w:fldCharType="end"/>
      </w:r>
      <w:r>
        <w:rPr>
          <w:rFonts w:hint="eastAsia"/>
          <w:kern w:val="2"/>
          <w:sz w:val="28"/>
          <w:szCs w:val="28"/>
        </w:rPr>
        <w:t>为邻，北沿墙板山与</w:t>
      </w:r>
      <w:r>
        <w:rPr>
          <w:rFonts w:hint="eastAsia"/>
          <w:kern w:val="2"/>
          <w:sz w:val="28"/>
          <w:szCs w:val="28"/>
        </w:rPr>
        <w:fldChar w:fldCharType="begin"/>
      </w:r>
      <w:r>
        <w:rPr>
          <w:rFonts w:hint="eastAsia"/>
          <w:kern w:val="2"/>
          <w:sz w:val="28"/>
          <w:szCs w:val="28"/>
        </w:rPr>
        <w:instrText xml:space="preserve"> HYPERLINK "https://baike.baidu.com/item/%E6%96%87%E6%B0%B4%E5%8E%BF/3189384" \t "https://baike.baidu.com/item/%E6%B1%BE%E9%98%B3/_blank" </w:instrText>
      </w:r>
      <w:r>
        <w:rPr>
          <w:rFonts w:hint="eastAsia"/>
          <w:kern w:val="2"/>
          <w:sz w:val="28"/>
          <w:szCs w:val="28"/>
        </w:rPr>
        <w:fldChar w:fldCharType="separate"/>
      </w:r>
      <w:r>
        <w:rPr>
          <w:rFonts w:hint="eastAsia"/>
          <w:kern w:val="2"/>
          <w:sz w:val="28"/>
          <w:szCs w:val="28"/>
        </w:rPr>
        <w:t>文水县</w:t>
      </w:r>
      <w:r>
        <w:rPr>
          <w:rFonts w:hint="eastAsia"/>
          <w:kern w:val="2"/>
          <w:sz w:val="28"/>
          <w:szCs w:val="28"/>
        </w:rPr>
        <w:fldChar w:fldCharType="end"/>
      </w:r>
      <w:r>
        <w:rPr>
          <w:rFonts w:hint="eastAsia"/>
          <w:kern w:val="2"/>
          <w:sz w:val="28"/>
          <w:szCs w:val="28"/>
        </w:rPr>
        <w:t>毗邻。全境东西长52千米，南北宽37千米，行政区域总面积1179平方千米。</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eastAsia="zh-CN"/>
        </w:rPr>
      </w:pPr>
      <w:r>
        <w:rPr>
          <w:rFonts w:hint="eastAsia"/>
          <w:kern w:val="2"/>
          <w:sz w:val="28"/>
          <w:szCs w:val="28"/>
        </w:rPr>
        <w:t>截至2021年2月，汾阳市辖3个街道、11个镇，共计39个社区、166个行政村</w:t>
      </w:r>
      <w:r>
        <w:rPr>
          <w:rFonts w:hint="eastAsia"/>
          <w:kern w:val="2"/>
          <w:sz w:val="28"/>
          <w:szCs w:val="28"/>
          <w:lang w:eastAsia="zh-CN"/>
        </w:rPr>
        <w:t>；第七次人口普查，</w:t>
      </w:r>
      <w:r>
        <w:rPr>
          <w:rFonts w:hint="eastAsia"/>
          <w:kern w:val="2"/>
          <w:sz w:val="28"/>
          <w:szCs w:val="28"/>
          <w:lang w:val="en-US" w:eastAsia="zh-CN"/>
        </w:rPr>
        <w:t>汾阳市</w:t>
      </w:r>
      <w:r>
        <w:rPr>
          <w:rFonts w:hint="eastAsia"/>
          <w:kern w:val="2"/>
          <w:sz w:val="28"/>
          <w:szCs w:val="28"/>
          <w:lang w:eastAsia="zh-CN"/>
        </w:rPr>
        <w:t>常住总人口407647人。</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rPr>
      </w:pPr>
      <w:r>
        <w:rPr>
          <w:rFonts w:hint="eastAsia"/>
          <w:kern w:val="2"/>
          <w:sz w:val="28"/>
          <w:szCs w:val="28"/>
        </w:rPr>
        <w:t>汾阳市地势西北高、东南低，由西北向东南逐渐倾斜，平均海拔1414米，自然地形可分为山地、丘陵、平原三部分，各占1/3左右。西北部为山区，系</w:t>
      </w:r>
      <w:r>
        <w:rPr>
          <w:rFonts w:hint="eastAsia"/>
          <w:kern w:val="2"/>
          <w:sz w:val="28"/>
          <w:szCs w:val="28"/>
        </w:rPr>
        <w:fldChar w:fldCharType="begin"/>
      </w:r>
      <w:r>
        <w:rPr>
          <w:rFonts w:hint="eastAsia"/>
          <w:kern w:val="2"/>
          <w:sz w:val="28"/>
          <w:szCs w:val="28"/>
        </w:rPr>
        <w:instrText xml:space="preserve"> HYPERLINK "https://baike.baidu.com/item/%E5%90%95%E6%A2%81%E5%B1%B1/1686774" \t "https://baike.baidu.com/item/%E6%B1%BE%E9%98%B3/_blank" </w:instrText>
      </w:r>
      <w:r>
        <w:rPr>
          <w:rFonts w:hint="eastAsia"/>
          <w:kern w:val="2"/>
          <w:sz w:val="28"/>
          <w:szCs w:val="28"/>
        </w:rPr>
        <w:fldChar w:fldCharType="separate"/>
      </w:r>
      <w:r>
        <w:rPr>
          <w:rFonts w:hint="eastAsia"/>
          <w:kern w:val="2"/>
          <w:sz w:val="28"/>
          <w:szCs w:val="28"/>
        </w:rPr>
        <w:t>吕梁山</w:t>
      </w:r>
      <w:r>
        <w:rPr>
          <w:rFonts w:hint="eastAsia"/>
          <w:kern w:val="2"/>
          <w:sz w:val="28"/>
          <w:szCs w:val="28"/>
        </w:rPr>
        <w:fldChar w:fldCharType="end"/>
      </w:r>
      <w:r>
        <w:rPr>
          <w:rFonts w:hint="eastAsia"/>
          <w:kern w:val="2"/>
          <w:sz w:val="28"/>
          <w:szCs w:val="28"/>
        </w:rPr>
        <w:t>支脉，峰峦重迭，灌木丛生，并有部分森林，主要山峰有石华崖、董家梁、墙板山、元宝山、薛公岭等，海拔均在1700米以上，其中石华崖2043米，是境内最高峰。中部和西南部为黄土丘陵区，沟壑纵横，水土流失较为严重，海拔在1300米左右。东南部为平原，是</w:t>
      </w:r>
      <w:r>
        <w:rPr>
          <w:rFonts w:hint="eastAsia"/>
          <w:kern w:val="2"/>
          <w:sz w:val="28"/>
          <w:szCs w:val="28"/>
        </w:rPr>
        <w:fldChar w:fldCharType="begin"/>
      </w:r>
      <w:r>
        <w:rPr>
          <w:rFonts w:hint="eastAsia"/>
          <w:kern w:val="2"/>
          <w:sz w:val="28"/>
          <w:szCs w:val="28"/>
        </w:rPr>
        <w:instrText xml:space="preserve"> HYPERLINK "https://baike.baidu.com/item/%E5%A4%AA%E5%8E%9F%E7%9B%86%E5%9C%B0/5103242" \t "https://baike.baidu.com/item/%E6%B1%BE%E9%98%B3/_blank" </w:instrText>
      </w:r>
      <w:r>
        <w:rPr>
          <w:rFonts w:hint="eastAsia"/>
          <w:kern w:val="2"/>
          <w:sz w:val="28"/>
          <w:szCs w:val="28"/>
        </w:rPr>
        <w:fldChar w:fldCharType="separate"/>
      </w:r>
      <w:r>
        <w:rPr>
          <w:rFonts w:hint="eastAsia"/>
          <w:kern w:val="2"/>
          <w:sz w:val="28"/>
          <w:szCs w:val="28"/>
        </w:rPr>
        <w:t>太原盆地</w:t>
      </w:r>
      <w:r>
        <w:rPr>
          <w:rFonts w:hint="eastAsia"/>
          <w:kern w:val="2"/>
          <w:sz w:val="28"/>
          <w:szCs w:val="28"/>
        </w:rPr>
        <w:fldChar w:fldCharType="end"/>
      </w:r>
      <w:r>
        <w:rPr>
          <w:rFonts w:hint="eastAsia"/>
          <w:kern w:val="2"/>
          <w:sz w:val="28"/>
          <w:szCs w:val="28"/>
        </w:rPr>
        <w:t>的组成部分，海拔最低处724米。</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rPr>
      </w:pPr>
      <w:r>
        <w:rPr>
          <w:rFonts w:hint="eastAsia"/>
          <w:kern w:val="2"/>
          <w:sz w:val="28"/>
          <w:szCs w:val="28"/>
        </w:rPr>
        <w:t>汾阳市地处</w:t>
      </w:r>
      <w:r>
        <w:rPr>
          <w:rFonts w:hint="eastAsia"/>
          <w:kern w:val="2"/>
          <w:sz w:val="28"/>
          <w:szCs w:val="28"/>
        </w:rPr>
        <w:fldChar w:fldCharType="begin"/>
      </w:r>
      <w:r>
        <w:rPr>
          <w:rFonts w:hint="eastAsia"/>
          <w:kern w:val="2"/>
          <w:sz w:val="28"/>
          <w:szCs w:val="28"/>
        </w:rPr>
        <w:instrText xml:space="preserve"> HYPERLINK "https://baike.baidu.com/item/%E9%BB%84%E5%9C%9F%E9%AB%98%E5%8E%9F/198310" \t "https://baike.baidu.com/item/%E6%B1%BE%E9%98%B3/_blank" </w:instrText>
      </w:r>
      <w:r>
        <w:rPr>
          <w:rFonts w:hint="eastAsia"/>
          <w:kern w:val="2"/>
          <w:sz w:val="28"/>
          <w:szCs w:val="28"/>
        </w:rPr>
        <w:fldChar w:fldCharType="separate"/>
      </w:r>
      <w:r>
        <w:rPr>
          <w:rFonts w:hint="eastAsia"/>
          <w:kern w:val="2"/>
          <w:sz w:val="28"/>
          <w:szCs w:val="28"/>
        </w:rPr>
        <w:t>黄土高原</w:t>
      </w:r>
      <w:r>
        <w:rPr>
          <w:rFonts w:hint="eastAsia"/>
          <w:kern w:val="2"/>
          <w:sz w:val="28"/>
          <w:szCs w:val="28"/>
        </w:rPr>
        <w:fldChar w:fldCharType="end"/>
      </w:r>
      <w:r>
        <w:rPr>
          <w:rFonts w:hint="eastAsia"/>
          <w:kern w:val="2"/>
          <w:sz w:val="28"/>
          <w:szCs w:val="28"/>
        </w:rPr>
        <w:t>，属</w:t>
      </w:r>
      <w:r>
        <w:rPr>
          <w:rFonts w:hint="eastAsia"/>
          <w:kern w:val="2"/>
          <w:sz w:val="28"/>
          <w:szCs w:val="28"/>
        </w:rPr>
        <w:fldChar w:fldCharType="begin"/>
      </w:r>
      <w:r>
        <w:rPr>
          <w:rFonts w:hint="eastAsia"/>
          <w:kern w:val="2"/>
          <w:sz w:val="28"/>
          <w:szCs w:val="28"/>
        </w:rPr>
        <w:instrText xml:space="preserve"> HYPERLINK "https://baike.baidu.com/item/%E6%B8%A9%E5%B8%A6%E5%AD%A3%E9%A3%8E%E6%B0%94%E5%80%99/1130873" \t "https://baike.baidu.com/item/%E6%B1%BE%E9%98%B3/_blank" </w:instrText>
      </w:r>
      <w:r>
        <w:rPr>
          <w:rFonts w:hint="eastAsia"/>
          <w:kern w:val="2"/>
          <w:sz w:val="28"/>
          <w:szCs w:val="28"/>
        </w:rPr>
        <w:fldChar w:fldCharType="separate"/>
      </w:r>
      <w:r>
        <w:rPr>
          <w:rFonts w:hint="eastAsia"/>
          <w:kern w:val="2"/>
          <w:sz w:val="28"/>
          <w:szCs w:val="28"/>
        </w:rPr>
        <w:t>温带季风气候</w:t>
      </w:r>
      <w:r>
        <w:rPr>
          <w:rFonts w:hint="eastAsia"/>
          <w:kern w:val="2"/>
          <w:sz w:val="28"/>
          <w:szCs w:val="28"/>
        </w:rPr>
        <w:fldChar w:fldCharType="end"/>
      </w:r>
      <w:r>
        <w:rPr>
          <w:rFonts w:hint="eastAsia"/>
          <w:kern w:val="2"/>
          <w:sz w:val="28"/>
          <w:szCs w:val="28"/>
        </w:rPr>
        <w:t>，冬夏风向更替明显，冬季寒冷干燥，夏季炎热多雨，春秋短暂凉爽。</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rPr>
      </w:pPr>
      <w:r>
        <w:rPr>
          <w:rFonts w:hint="eastAsia"/>
          <w:kern w:val="2"/>
          <w:sz w:val="28"/>
          <w:szCs w:val="28"/>
        </w:rPr>
        <w:t>汾阳市境内成矿地质条件好，矿产资源较丰富，主要矿种有</w:t>
      </w:r>
      <w:r>
        <w:rPr>
          <w:rFonts w:hint="eastAsia"/>
          <w:kern w:val="2"/>
          <w:sz w:val="28"/>
          <w:szCs w:val="28"/>
        </w:rPr>
        <w:fldChar w:fldCharType="begin"/>
      </w:r>
      <w:r>
        <w:rPr>
          <w:rFonts w:hint="eastAsia"/>
          <w:kern w:val="2"/>
          <w:sz w:val="28"/>
          <w:szCs w:val="28"/>
        </w:rPr>
        <w:instrText xml:space="preserve"> HYPERLINK "https://baike.baidu.com/item/%E7%85%A4/15884029" \t "https://baike.baidu.com/item/%E6%B1%BE%E9%98%B3/_blank" </w:instrText>
      </w:r>
      <w:r>
        <w:rPr>
          <w:rFonts w:hint="eastAsia"/>
          <w:kern w:val="2"/>
          <w:sz w:val="28"/>
          <w:szCs w:val="28"/>
        </w:rPr>
        <w:fldChar w:fldCharType="separate"/>
      </w:r>
      <w:r>
        <w:rPr>
          <w:rFonts w:hint="eastAsia"/>
          <w:kern w:val="2"/>
          <w:sz w:val="28"/>
          <w:szCs w:val="28"/>
        </w:rPr>
        <w:t>煤</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"https://baike.baidu.com/item/%E7%99%BD%E4%BA%91%E5%B2%A9/883219" \t "https://baike.baidu.com/item/%E6%B1%BE%E9%98%B3/_blank" </w:instrText>
      </w:r>
      <w:r>
        <w:rPr>
          <w:rFonts w:hint="eastAsia"/>
          <w:kern w:val="2"/>
          <w:sz w:val="28"/>
          <w:szCs w:val="28"/>
        </w:rPr>
        <w:fldChar w:fldCharType="separate"/>
      </w:r>
      <w:r>
        <w:rPr>
          <w:rFonts w:hint="eastAsia"/>
          <w:kern w:val="2"/>
          <w:sz w:val="28"/>
          <w:szCs w:val="28"/>
        </w:rPr>
        <w:t>白云岩</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"https://baike.baidu.com/item/%E7%9F%B3%E8%8B%B1%E7%A0%82%E5%B2%A9/1032717" \t "https://baike.baidu.com/item/%E6%B1%BE%E9%98%B3/_blank" </w:instrText>
      </w:r>
      <w:r>
        <w:rPr>
          <w:rFonts w:hint="eastAsia"/>
          <w:kern w:val="2"/>
          <w:sz w:val="28"/>
          <w:szCs w:val="28"/>
        </w:rPr>
        <w:fldChar w:fldCharType="separate"/>
      </w:r>
      <w:r>
        <w:rPr>
          <w:rFonts w:hint="eastAsia"/>
          <w:kern w:val="2"/>
          <w:sz w:val="28"/>
          <w:szCs w:val="28"/>
        </w:rPr>
        <w:t>石英砂岩</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"https://baike.baidu.com/item/%E7%9F%B3%E7%81%B0%E5%B2%A9/882714" \t "https://baike.baidu.com/item/%E6%B1%BE%E9%98%B3/_blank" </w:instrText>
      </w:r>
      <w:r>
        <w:rPr>
          <w:rFonts w:hint="eastAsia"/>
          <w:kern w:val="2"/>
          <w:sz w:val="28"/>
          <w:szCs w:val="28"/>
        </w:rPr>
        <w:fldChar w:fldCharType="separate"/>
      </w:r>
      <w:r>
        <w:rPr>
          <w:rFonts w:hint="eastAsia"/>
          <w:kern w:val="2"/>
          <w:sz w:val="28"/>
          <w:szCs w:val="28"/>
        </w:rPr>
        <w:t>石灰岩</w:t>
      </w:r>
      <w:r>
        <w:rPr>
          <w:rFonts w:hint="eastAsia"/>
          <w:kern w:val="2"/>
          <w:sz w:val="28"/>
          <w:szCs w:val="28"/>
        </w:rPr>
        <w:fldChar w:fldCharType="end"/>
      </w:r>
      <w:r>
        <w:rPr>
          <w:rFonts w:hint="eastAsia"/>
          <w:kern w:val="2"/>
          <w:sz w:val="28"/>
          <w:szCs w:val="28"/>
        </w:rPr>
        <w:t>等十余种。</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60" w:lineRule="exact"/>
        <w:ind w:firstLine="560" w:firstLineChars="200"/>
        <w:textAlignment w:val="auto"/>
        <w:rPr>
          <w:rFonts w:hint="eastAsia"/>
          <w:kern w:val="2"/>
          <w:sz w:val="28"/>
          <w:szCs w:val="28"/>
        </w:rPr>
      </w:pPr>
      <w:r>
        <w:rPr>
          <w:rFonts w:hint="eastAsia"/>
          <w:kern w:val="2"/>
          <w:sz w:val="28"/>
          <w:szCs w:val="28"/>
        </w:rPr>
        <w:t>汾阳市素有“秦晋旱码头”之称，处于</w:t>
      </w:r>
      <w:r>
        <w:rPr>
          <w:rFonts w:hint="eastAsia"/>
          <w:kern w:val="2"/>
          <w:sz w:val="28"/>
          <w:szCs w:val="28"/>
        </w:rPr>
        <w:fldChar w:fldCharType="begin"/>
      </w:r>
      <w:r>
        <w:rPr>
          <w:rFonts w:hint="eastAsia"/>
          <w:kern w:val="2"/>
          <w:sz w:val="28"/>
          <w:szCs w:val="28"/>
        </w:rPr>
        <w:instrText xml:space="preserve"> HYPERLINK "https://baike.baidu.com/item/%E5%A4%AA%E5%8E%9F%E7%BB%8F%E6%B5%8E%E5%9C%88/3728352" \t "https://baike.baidu.com/item/%E6%B1%BE%E9%98%B3/_blank" </w:instrText>
      </w:r>
      <w:r>
        <w:rPr>
          <w:rFonts w:hint="eastAsia"/>
          <w:kern w:val="2"/>
          <w:sz w:val="28"/>
          <w:szCs w:val="28"/>
        </w:rPr>
        <w:fldChar w:fldCharType="separate"/>
      </w:r>
      <w:r>
        <w:rPr>
          <w:rFonts w:hint="eastAsia"/>
          <w:kern w:val="2"/>
          <w:sz w:val="28"/>
          <w:szCs w:val="28"/>
        </w:rPr>
        <w:t>太原经济圈</w:t>
      </w:r>
      <w:r>
        <w:rPr>
          <w:rFonts w:hint="eastAsia"/>
          <w:kern w:val="2"/>
          <w:sz w:val="28"/>
          <w:szCs w:val="28"/>
        </w:rPr>
        <w:fldChar w:fldCharType="end"/>
      </w:r>
      <w:r>
        <w:rPr>
          <w:rFonts w:hint="eastAsia"/>
          <w:kern w:val="2"/>
          <w:sz w:val="28"/>
          <w:szCs w:val="28"/>
        </w:rPr>
        <w:t>节点，与</w:t>
      </w:r>
      <w:r>
        <w:rPr>
          <w:rFonts w:hint="eastAsia"/>
          <w:kern w:val="2"/>
          <w:sz w:val="28"/>
          <w:szCs w:val="28"/>
        </w:rPr>
        <w:fldChar w:fldCharType="begin"/>
      </w:r>
      <w:r>
        <w:rPr>
          <w:rFonts w:hint="eastAsia"/>
          <w:kern w:val="2"/>
          <w:sz w:val="28"/>
          <w:szCs w:val="28"/>
        </w:rPr>
        <w:instrText xml:space="preserve"> HYPERLINK "https://baike.baidu.com/item/%E5%AD%9D%E4%B9%89/4200247" \t "https://baike.baidu.com/item/%E6%B1%BE%E9%98%B3/_blank" </w:instrText>
      </w:r>
      <w:r>
        <w:rPr>
          <w:rFonts w:hint="eastAsia"/>
          <w:kern w:val="2"/>
          <w:sz w:val="28"/>
          <w:szCs w:val="28"/>
        </w:rPr>
        <w:fldChar w:fldCharType="separate"/>
      </w:r>
      <w:r>
        <w:rPr>
          <w:rFonts w:hint="eastAsia"/>
          <w:kern w:val="2"/>
          <w:sz w:val="28"/>
          <w:szCs w:val="28"/>
        </w:rPr>
        <w:t>孝义</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"https://baike.baidu.com/item/%E4%BB%8B%E4%BC%91/2905914" \t "https://baike.baidu.com/item/%E6%B1%BE%E9%98%B3/_blank" </w:instrText>
      </w:r>
      <w:r>
        <w:rPr>
          <w:rFonts w:hint="eastAsia"/>
          <w:kern w:val="2"/>
          <w:sz w:val="28"/>
          <w:szCs w:val="28"/>
        </w:rPr>
        <w:fldChar w:fldCharType="separate"/>
      </w:r>
      <w:r>
        <w:rPr>
          <w:rFonts w:hint="eastAsia"/>
          <w:kern w:val="2"/>
          <w:sz w:val="28"/>
          <w:szCs w:val="28"/>
        </w:rPr>
        <w:t>介休</w:t>
      </w:r>
      <w:r>
        <w:rPr>
          <w:rFonts w:hint="eastAsia"/>
          <w:kern w:val="2"/>
          <w:sz w:val="28"/>
          <w:szCs w:val="28"/>
        </w:rPr>
        <w:fldChar w:fldCharType="end"/>
      </w:r>
      <w:r>
        <w:rPr>
          <w:rFonts w:hint="eastAsia"/>
          <w:kern w:val="2"/>
          <w:sz w:val="28"/>
          <w:szCs w:val="28"/>
        </w:rPr>
        <w:t>共同构成太原经济圈次中心。汾阳是著名的</w:t>
      </w:r>
      <w:r>
        <w:rPr>
          <w:rFonts w:hint="eastAsia"/>
          <w:kern w:val="2"/>
          <w:sz w:val="28"/>
          <w:szCs w:val="28"/>
        </w:rPr>
        <w:fldChar w:fldCharType="begin"/>
      </w:r>
      <w:r>
        <w:rPr>
          <w:rFonts w:hint="eastAsia"/>
          <w:kern w:val="2"/>
          <w:sz w:val="28"/>
          <w:szCs w:val="28"/>
        </w:rPr>
        <w:instrText xml:space="preserve"> HYPERLINK "https://baike.baidu.com/item/%E9%85%92%E9%83%BD/1380319" \t "https://baike.baidu.com/item/%E6%B1%BE%E9%98%B3/_blank" </w:instrText>
      </w:r>
      <w:r>
        <w:rPr>
          <w:rFonts w:hint="eastAsia"/>
          <w:kern w:val="2"/>
          <w:sz w:val="28"/>
          <w:szCs w:val="28"/>
        </w:rPr>
        <w:fldChar w:fldCharType="separate"/>
      </w:r>
      <w:r>
        <w:rPr>
          <w:rFonts w:hint="eastAsia"/>
          <w:kern w:val="2"/>
          <w:sz w:val="28"/>
          <w:szCs w:val="28"/>
        </w:rPr>
        <w:t>酒都</w:t>
      </w:r>
      <w:r>
        <w:rPr>
          <w:rFonts w:hint="eastAsia"/>
          <w:kern w:val="2"/>
          <w:sz w:val="28"/>
          <w:szCs w:val="28"/>
        </w:rPr>
        <w:fldChar w:fldCharType="end"/>
      </w:r>
      <w:r>
        <w:rPr>
          <w:rFonts w:hint="eastAsia"/>
          <w:kern w:val="2"/>
          <w:sz w:val="28"/>
          <w:szCs w:val="28"/>
        </w:rPr>
        <w:t>，是中国最大的</w:t>
      </w:r>
      <w:r>
        <w:rPr>
          <w:rFonts w:hint="eastAsia"/>
          <w:kern w:val="2"/>
          <w:sz w:val="28"/>
          <w:szCs w:val="28"/>
        </w:rPr>
        <w:fldChar w:fldCharType="begin"/>
      </w:r>
      <w:r>
        <w:rPr>
          <w:rFonts w:hint="eastAsia"/>
          <w:kern w:val="2"/>
          <w:sz w:val="28"/>
          <w:szCs w:val="28"/>
        </w:rPr>
        <w:instrText xml:space="preserve"> HYPERLINK "https://baike.baidu.com/item/%E6%B8%85%E9%A6%99%E5%9E%8B%E7%99%BD%E9%85%92/2086401" \t "https://baike.baidu.com/item/%E6%B1%BE%E9%98%B3/_blank" </w:instrText>
      </w:r>
      <w:r>
        <w:rPr>
          <w:rFonts w:hint="eastAsia"/>
          <w:kern w:val="2"/>
          <w:sz w:val="28"/>
          <w:szCs w:val="28"/>
        </w:rPr>
        <w:fldChar w:fldCharType="separate"/>
      </w:r>
      <w:r>
        <w:rPr>
          <w:rFonts w:hint="eastAsia"/>
          <w:kern w:val="2"/>
          <w:sz w:val="28"/>
          <w:szCs w:val="28"/>
        </w:rPr>
        <w:t>清香型白酒</w:t>
      </w:r>
      <w:r>
        <w:rPr>
          <w:rFonts w:hint="eastAsia"/>
          <w:kern w:val="2"/>
          <w:sz w:val="28"/>
          <w:szCs w:val="28"/>
        </w:rPr>
        <w:fldChar w:fldCharType="end"/>
      </w:r>
      <w:r>
        <w:rPr>
          <w:rFonts w:hint="eastAsia"/>
          <w:kern w:val="2"/>
          <w:sz w:val="28"/>
          <w:szCs w:val="28"/>
        </w:rPr>
        <w:t>生产基地，</w:t>
      </w:r>
      <w:r>
        <w:rPr>
          <w:rFonts w:hint="eastAsia"/>
          <w:kern w:val="2"/>
          <w:sz w:val="28"/>
          <w:szCs w:val="28"/>
        </w:rPr>
        <w:fldChar w:fldCharType="begin"/>
      </w:r>
      <w:r>
        <w:rPr>
          <w:rFonts w:hint="eastAsia"/>
          <w:kern w:val="2"/>
          <w:sz w:val="28"/>
          <w:szCs w:val="28"/>
        </w:rPr>
        <w:instrText xml:space="preserve"> HYPERLINK "https://baike.baidu.com/item/%E6%B1%BE%E9%85%92/281857" \t "https://baike.baidu.com/item/%E6%B1%BE%E9%98%B3/_blank" </w:instrText>
      </w:r>
      <w:r>
        <w:rPr>
          <w:rFonts w:hint="eastAsia"/>
          <w:kern w:val="2"/>
          <w:sz w:val="28"/>
          <w:szCs w:val="28"/>
        </w:rPr>
        <w:fldChar w:fldCharType="separate"/>
      </w:r>
      <w:r>
        <w:rPr>
          <w:rFonts w:hint="eastAsia"/>
          <w:kern w:val="2"/>
          <w:sz w:val="28"/>
          <w:szCs w:val="28"/>
        </w:rPr>
        <w:t>汾酒</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"https://baike.baidu.com/item/%E7%AB%B9%E5%8F%B6%E9%9D%92%E9%85%92/281963" \t "https://baike.baidu.com/item/%E6%B1%BE%E9%98%B3/_blank" </w:instrText>
      </w:r>
      <w:r>
        <w:rPr>
          <w:rFonts w:hint="eastAsia"/>
          <w:kern w:val="2"/>
          <w:sz w:val="28"/>
          <w:szCs w:val="28"/>
        </w:rPr>
        <w:fldChar w:fldCharType="separate"/>
      </w:r>
      <w:r>
        <w:rPr>
          <w:rFonts w:hint="eastAsia"/>
          <w:kern w:val="2"/>
          <w:sz w:val="28"/>
          <w:szCs w:val="28"/>
        </w:rPr>
        <w:t>竹叶青酒</w:t>
      </w:r>
      <w:r>
        <w:rPr>
          <w:rFonts w:hint="eastAsia"/>
          <w:kern w:val="2"/>
          <w:sz w:val="28"/>
          <w:szCs w:val="28"/>
        </w:rPr>
        <w:fldChar w:fldCharType="end"/>
      </w:r>
      <w:r>
        <w:rPr>
          <w:rFonts w:hint="eastAsia"/>
          <w:kern w:val="2"/>
          <w:sz w:val="28"/>
          <w:szCs w:val="28"/>
        </w:rPr>
        <w:t>产地、中华名酒第一村——</w:t>
      </w:r>
      <w:r>
        <w:rPr>
          <w:rFonts w:hint="eastAsia"/>
          <w:kern w:val="2"/>
          <w:sz w:val="28"/>
          <w:szCs w:val="28"/>
        </w:rPr>
        <w:fldChar w:fldCharType="begin"/>
      </w:r>
      <w:r>
        <w:rPr>
          <w:rFonts w:hint="eastAsia"/>
          <w:kern w:val="2"/>
          <w:sz w:val="28"/>
          <w:szCs w:val="28"/>
        </w:rPr>
        <w:instrText xml:space="preserve"> HYPERLINK "https://baike.baidu.com/item/%E6%9D%8F%E8%8A%B1%E6%9D%91/3679372" \t "https://baike.baidu.com/item/%E6%B1%BE%E9%98%B3/_blank" </w:instrText>
      </w:r>
      <w:r>
        <w:rPr>
          <w:rFonts w:hint="eastAsia"/>
          <w:kern w:val="2"/>
          <w:sz w:val="28"/>
          <w:szCs w:val="28"/>
        </w:rPr>
        <w:fldChar w:fldCharType="separate"/>
      </w:r>
      <w:r>
        <w:rPr>
          <w:rFonts w:hint="eastAsia"/>
          <w:kern w:val="2"/>
          <w:sz w:val="28"/>
          <w:szCs w:val="28"/>
        </w:rPr>
        <w:t>杏花村</w:t>
      </w:r>
      <w:r>
        <w:rPr>
          <w:rFonts w:hint="eastAsia"/>
          <w:kern w:val="2"/>
          <w:sz w:val="28"/>
          <w:szCs w:val="28"/>
        </w:rPr>
        <w:fldChar w:fldCharType="end"/>
      </w:r>
      <w:r>
        <w:rPr>
          <w:rFonts w:hint="eastAsia"/>
          <w:kern w:val="2"/>
          <w:sz w:val="28"/>
          <w:szCs w:val="28"/>
        </w:rPr>
        <w:t>就在汾阳。汾阳还是中国县域经济主体功能重点开发区，汾酒之乡、核桃之乡、小米之乡、</w:t>
      </w:r>
      <w:r>
        <w:rPr>
          <w:rFonts w:hint="eastAsia"/>
          <w:kern w:val="2"/>
          <w:sz w:val="28"/>
          <w:szCs w:val="28"/>
        </w:rPr>
        <w:fldChar w:fldCharType="begin"/>
      </w:r>
      <w:r>
        <w:rPr>
          <w:rFonts w:hint="eastAsia"/>
          <w:kern w:val="2"/>
          <w:sz w:val="28"/>
          <w:szCs w:val="28"/>
        </w:rPr>
        <w:instrText xml:space="preserve"> HYPERLINK "https://baike.baidu.com/item/%E5%8E%A8%E5%B8%88%E4%B9%8B%E4%B9%A1/8186841" \t "https://baike.baidu.com/item/%E6%B1%BE%E9%98%B3/_blank" </w:instrText>
      </w:r>
      <w:r>
        <w:rPr>
          <w:rFonts w:hint="eastAsia"/>
          <w:kern w:val="2"/>
          <w:sz w:val="28"/>
          <w:szCs w:val="28"/>
        </w:rPr>
        <w:fldChar w:fldCharType="separate"/>
      </w:r>
      <w:r>
        <w:rPr>
          <w:rFonts w:hint="eastAsia"/>
          <w:kern w:val="2"/>
          <w:sz w:val="28"/>
          <w:szCs w:val="28"/>
        </w:rPr>
        <w:t>厨师之乡</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"https://baike.baidu.com/item/%E4%B8%AD%E5%9B%BD%E6%B0%91%E9%97%B4%E6%96%87%E5%8C%96%E8%89%BA%E6%9C%AF%E4%B9%8B%E4%B9%A1/8235732" \t "https://baike.baidu.com/item/%E6%B1%BE%E9%98%B3/_blank" </w:instrText>
      </w:r>
      <w:r>
        <w:rPr>
          <w:rFonts w:hint="eastAsia"/>
          <w:kern w:val="2"/>
          <w:sz w:val="28"/>
          <w:szCs w:val="28"/>
        </w:rPr>
        <w:fldChar w:fldCharType="separate"/>
      </w:r>
      <w:r>
        <w:rPr>
          <w:rFonts w:hint="eastAsia"/>
          <w:kern w:val="2"/>
          <w:sz w:val="28"/>
          <w:szCs w:val="28"/>
        </w:rPr>
        <w:t>中国民间文化艺术之乡</w:t>
      </w:r>
      <w:r>
        <w:rPr>
          <w:rFonts w:hint="eastAsia"/>
          <w:kern w:val="2"/>
          <w:sz w:val="28"/>
          <w:szCs w:val="28"/>
        </w:rPr>
        <w:fldChar w:fldCharType="end"/>
      </w:r>
      <w:r>
        <w:rPr>
          <w:rFonts w:hint="eastAsia"/>
          <w:kern w:val="2"/>
          <w:sz w:val="28"/>
          <w:szCs w:val="28"/>
        </w:rPr>
        <w:t>、全国文化先进市、全国平原绿化先进市、全国质量兴市先进市、全国食品工业强市、</w:t>
      </w:r>
      <w:r>
        <w:rPr>
          <w:rFonts w:hint="eastAsia"/>
          <w:kern w:val="2"/>
          <w:sz w:val="28"/>
          <w:szCs w:val="28"/>
        </w:rPr>
        <w:fldChar w:fldCharType="begin"/>
      </w:r>
      <w:r>
        <w:rPr>
          <w:rFonts w:hint="eastAsia"/>
          <w:kern w:val="2"/>
          <w:sz w:val="28"/>
          <w:szCs w:val="28"/>
        </w:rPr>
        <w:instrText xml:space="preserve"> HYPERLINK "https://baike.baidu.com/item/%E5%B1%B1%E8%A5%BF%E7%9C%81%E5%8D%AB%E7%94%9F%E5%9F%8E%E5%B8%82/22053279" \t "https://baike.baidu.com/item/%E6%B1%BE%E9%98%B3/_blank" </w:instrText>
      </w:r>
      <w:r>
        <w:rPr>
          <w:rFonts w:hint="eastAsia"/>
          <w:kern w:val="2"/>
          <w:sz w:val="28"/>
          <w:szCs w:val="28"/>
        </w:rPr>
        <w:fldChar w:fldCharType="separate"/>
      </w:r>
      <w:r>
        <w:rPr>
          <w:rFonts w:hint="eastAsia"/>
          <w:kern w:val="2"/>
          <w:sz w:val="28"/>
          <w:szCs w:val="28"/>
        </w:rPr>
        <w:t>山西省卫生城市</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"https://baike.baidu.com/item/%E5%B1%B1%E8%A5%BF%E7%9C%81%E5%9B%AD%E6%9E%97%E5%9F%8E%E5%B8%82/22055017" \t "https://baike.baidu.com/item/%E6%B1%BE%E9%98%B3/_blank" </w:instrText>
      </w:r>
      <w:r>
        <w:rPr>
          <w:rFonts w:hint="eastAsia"/>
          <w:kern w:val="2"/>
          <w:sz w:val="28"/>
          <w:szCs w:val="28"/>
        </w:rPr>
        <w:fldChar w:fldCharType="separate"/>
      </w:r>
      <w:r>
        <w:rPr>
          <w:rFonts w:hint="eastAsia"/>
          <w:kern w:val="2"/>
          <w:sz w:val="28"/>
          <w:szCs w:val="28"/>
        </w:rPr>
        <w:t>山西省园林城市</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"https://baike.baidu.com/item/%E5%B1%B1%E8%A5%BF%E7%9C%81%E6%96%87%E6%98%8E%E5%9F%8E%E5%B8%82/22054997" \t "https://baike.baidu.com/item/%E6%B1%BE%E9%98%B3/_blank" </w:instrText>
      </w:r>
      <w:r>
        <w:rPr>
          <w:rFonts w:hint="eastAsia"/>
          <w:kern w:val="2"/>
          <w:sz w:val="28"/>
          <w:szCs w:val="28"/>
        </w:rPr>
        <w:fldChar w:fldCharType="separate"/>
      </w:r>
      <w:r>
        <w:rPr>
          <w:rFonts w:hint="eastAsia"/>
          <w:kern w:val="2"/>
          <w:sz w:val="28"/>
          <w:szCs w:val="28"/>
        </w:rPr>
        <w:t>山西省文明城市</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"https://baike.baidu.com/item/%E5%B1%B1%E8%A5%BF%E7%9C%81%E5%8E%86%E5%8F%B2%E6%96%87%E5%8C%96%E5%90%8D%E5%9F%8E/22047719" \t "https://baike.baidu.com/item/%E6%B1%BE%E9%98%B3/_blank" </w:instrText>
      </w:r>
      <w:r>
        <w:rPr>
          <w:rFonts w:hint="eastAsia"/>
          <w:kern w:val="2"/>
          <w:sz w:val="28"/>
          <w:szCs w:val="28"/>
        </w:rPr>
        <w:fldChar w:fldCharType="separate"/>
      </w:r>
      <w:r>
        <w:rPr>
          <w:rFonts w:hint="eastAsia"/>
          <w:kern w:val="2"/>
          <w:sz w:val="28"/>
          <w:szCs w:val="28"/>
        </w:rPr>
        <w:t>山西省历史文化名城</w:t>
      </w:r>
      <w:r>
        <w:rPr>
          <w:rFonts w:hint="eastAsia"/>
          <w:kern w:val="2"/>
          <w:sz w:val="28"/>
          <w:szCs w:val="28"/>
        </w:rPr>
        <w:fldChar w:fldCharType="end"/>
      </w:r>
      <w:r>
        <w:rPr>
          <w:rFonts w:hint="eastAsia"/>
          <w:kern w:val="2"/>
          <w:sz w:val="28"/>
          <w:szCs w:val="28"/>
        </w:rPr>
        <w:t>、</w:t>
      </w:r>
      <w:r>
        <w:rPr>
          <w:rFonts w:hint="eastAsia"/>
          <w:kern w:val="2"/>
          <w:sz w:val="28"/>
          <w:szCs w:val="28"/>
        </w:rPr>
        <w:fldChar w:fldCharType="begin"/>
      </w:r>
      <w:r>
        <w:rPr>
          <w:rFonts w:hint="eastAsia"/>
          <w:kern w:val="2"/>
          <w:sz w:val="28"/>
          <w:szCs w:val="28"/>
        </w:rPr>
        <w:instrText xml:space="preserve"> HYPERLINK "https://baike.baidu.com/item/%E5%B1%B1%E8%A5%BF%EF%BC%88%E6%B1%BE%E9%98%B3%C2%B7%E6%9D%8F%E8%8A%B1%E6%9D%91%EF%BC%89%E4%B8%96%E7%95%8C%E9%85%92%E6%96%87%E5%8C%96%E5%8D%9A%E8%A7%88%E4%BC%9A/22665674" \t "https://baike.baidu.com/item/%E6%B1%BE%E9%98%B3/_blank" </w:instrText>
      </w:r>
      <w:r>
        <w:rPr>
          <w:rFonts w:hint="eastAsia"/>
          <w:kern w:val="2"/>
          <w:sz w:val="28"/>
          <w:szCs w:val="28"/>
        </w:rPr>
        <w:fldChar w:fldCharType="separate"/>
      </w:r>
      <w:r>
        <w:rPr>
          <w:rFonts w:hint="eastAsia"/>
          <w:kern w:val="2"/>
          <w:sz w:val="28"/>
          <w:szCs w:val="28"/>
        </w:rPr>
        <w:t>山西（汾阳·杏花村）世界酒文化博览会</w:t>
      </w:r>
      <w:r>
        <w:rPr>
          <w:rFonts w:hint="eastAsia"/>
          <w:kern w:val="2"/>
          <w:sz w:val="28"/>
          <w:szCs w:val="28"/>
        </w:rPr>
        <w:fldChar w:fldCharType="end"/>
      </w:r>
      <w:r>
        <w:rPr>
          <w:rFonts w:hint="eastAsia"/>
          <w:kern w:val="2"/>
          <w:sz w:val="28"/>
          <w:szCs w:val="28"/>
        </w:rPr>
        <w:t>举办地。</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60" w:lineRule="exact"/>
        <w:ind w:firstLine="560" w:firstLineChars="200"/>
        <w:textAlignment w:val="auto"/>
        <w:rPr>
          <w:rFonts w:hint="eastAsia"/>
          <w:kern w:val="2"/>
          <w:sz w:val="28"/>
          <w:szCs w:val="28"/>
        </w:rPr>
      </w:pPr>
      <w:r>
        <w:rPr>
          <w:rFonts w:hint="eastAsia"/>
          <w:kern w:val="2"/>
          <w:sz w:val="28"/>
          <w:szCs w:val="28"/>
        </w:rPr>
        <w:t>汾阳有2600年的历史底蕴。公元前594年置县，有1700年的州府史。境内有800余年的杏花村汾酒老作坊和太符观、近500年的亚洲最高砖塔“文峰塔”等百余处文化古迹。从85米高的文峰塔下，走出了原联合国副秘书长冀朝铸、世界级导演贾樟柯等当代著名人物。孕育出地秧歌、彩跷、高跷、旱船等民间艺术，有“无汾不成戏”的晋剧文化，是“中国民间文化艺术之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color w:val="auto"/>
          <w:sz w:val="28"/>
        </w:rPr>
      </w:pPr>
      <w:r>
        <w:rPr>
          <w:rFonts w:hint="eastAsia"/>
          <w:color w:val="auto"/>
          <w:sz w:val="28"/>
        </w:rPr>
        <w:t>估价对象</w:t>
      </w:r>
      <w:r>
        <w:rPr>
          <w:rFonts w:hint="eastAsia"/>
          <w:color w:val="auto"/>
          <w:sz w:val="28"/>
          <w:lang w:eastAsia="zh-CN"/>
        </w:rPr>
        <w:t>位于汾阳市学院路西侧、中国银行北侧，</w:t>
      </w:r>
      <w:r>
        <w:rPr>
          <w:rFonts w:hint="eastAsia"/>
          <w:color w:val="auto"/>
          <w:sz w:val="28"/>
          <w:lang w:val="en-US" w:eastAsia="zh-CN"/>
        </w:rPr>
        <w:t>属于汾阳市城区北部。估价对象1公里范围内有盘龙书香苑、德运小区、瑞锦南区、瑞锦华庭、税苑小区、润嘉小区等</w:t>
      </w:r>
      <w:r>
        <w:rPr>
          <w:rFonts w:hint="eastAsia"/>
          <w:sz w:val="28"/>
        </w:rPr>
        <w:t>住宅小区；有中国银行(汾阳市支行)、中国农业银行(汾阳市支行)、中国人民银行(汾阳市支行)、中国建设银行(汾阳支行)等国有大型银行的金融网点，办理银行业务十分便捷；有汾阳健民门诊、省运医院、汾阳市妇幼保健院</w:t>
      </w:r>
      <w:r>
        <w:rPr>
          <w:rFonts w:hint="eastAsia"/>
          <w:sz w:val="28"/>
          <w:lang w:eastAsia="zh-CN"/>
        </w:rPr>
        <w:t>、、山西省汾阳医院、诚德堂大药房(学院路店)、泉盛昌大药房(文明街店)、泉盛昌大药房(英雄北路店)</w:t>
      </w:r>
      <w:r>
        <w:rPr>
          <w:rFonts w:hint="eastAsia"/>
          <w:color w:val="auto"/>
          <w:sz w:val="28"/>
        </w:rPr>
        <w:t>等医疗医药资源，方便附近居民就医；有汾阳市北门小学、山西省汾阳中学</w:t>
      </w:r>
      <w:r>
        <w:rPr>
          <w:rFonts w:hint="eastAsia"/>
          <w:color w:val="auto"/>
          <w:sz w:val="28"/>
          <w:lang w:eastAsia="zh-CN"/>
        </w:rPr>
        <w:t>、汾阳市高级职业中学、</w:t>
      </w:r>
      <w:r>
        <w:rPr>
          <w:rFonts w:hint="eastAsia"/>
          <w:color w:val="auto"/>
          <w:sz w:val="28"/>
        </w:rPr>
        <w:t>汾阳市技工学校、英雄街中学、</w:t>
      </w:r>
      <w:r>
        <w:rPr>
          <w:rFonts w:hint="eastAsia"/>
          <w:color w:val="auto"/>
          <w:sz w:val="28"/>
          <w:lang w:eastAsia="zh-CN"/>
        </w:rPr>
        <w:t>山西医科大学汾阳学院</w:t>
      </w:r>
      <w:r>
        <w:rPr>
          <w:rFonts w:hint="eastAsia"/>
          <w:color w:val="auto"/>
          <w:sz w:val="28"/>
        </w:rPr>
        <w:t>等教育资源，解决了周围居民的教育升学问题；</w:t>
      </w:r>
      <w:r>
        <w:rPr>
          <w:rFonts w:hint="eastAsia"/>
          <w:color w:val="auto"/>
          <w:sz w:val="28"/>
          <w:lang w:val="en-US" w:eastAsia="zh-CN"/>
        </w:rPr>
        <w:t>沿学院路两侧分布有便利店及饭店，给周围居民日常生活带来了便利。</w:t>
      </w:r>
      <w:r>
        <w:rPr>
          <w:rFonts w:hint="eastAsia"/>
          <w:color w:val="auto"/>
          <w:sz w:val="28"/>
        </w:rPr>
        <w:t>该区域</w:t>
      </w:r>
      <w:r>
        <w:rPr>
          <w:rFonts w:hint="eastAsia"/>
          <w:color w:val="auto"/>
          <w:sz w:val="28"/>
          <w:lang w:eastAsia="zh-CN"/>
        </w:rPr>
        <w:t>商业</w:t>
      </w:r>
      <w:r>
        <w:rPr>
          <w:rFonts w:hint="eastAsia"/>
          <w:color w:val="auto"/>
          <w:sz w:val="28"/>
          <w:lang w:val="en-US" w:eastAsia="zh-CN"/>
        </w:rPr>
        <w:t>较</w:t>
      </w:r>
      <w:r>
        <w:rPr>
          <w:rFonts w:hint="eastAsia"/>
          <w:color w:val="auto"/>
          <w:sz w:val="28"/>
          <w:lang w:eastAsia="zh-CN"/>
        </w:rPr>
        <w:t>繁华</w:t>
      </w:r>
      <w:r>
        <w:rPr>
          <w:rFonts w:hint="eastAsia"/>
          <w:color w:val="auto"/>
          <w:sz w:val="28"/>
        </w:rPr>
        <w:t>、人口密度</w:t>
      </w:r>
      <w:r>
        <w:rPr>
          <w:rFonts w:hint="eastAsia"/>
          <w:color w:val="auto"/>
          <w:sz w:val="28"/>
          <w:lang w:val="en-US" w:eastAsia="zh-CN"/>
        </w:rPr>
        <w:t>较</w:t>
      </w:r>
      <w:r>
        <w:rPr>
          <w:rFonts w:hint="eastAsia"/>
          <w:color w:val="auto"/>
          <w:sz w:val="28"/>
        </w:rPr>
        <w:t>高，公共设施配套</w:t>
      </w:r>
      <w:r>
        <w:rPr>
          <w:rFonts w:hint="eastAsia"/>
          <w:color w:val="auto"/>
          <w:sz w:val="28"/>
          <w:lang w:val="en-US" w:eastAsia="zh-CN"/>
        </w:rPr>
        <w:t>较</w:t>
      </w:r>
      <w:r>
        <w:rPr>
          <w:rFonts w:hint="eastAsia"/>
          <w:color w:val="auto"/>
          <w:sz w:val="28"/>
        </w:rPr>
        <w:t>完善，环境条件较好。</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firstLine="560" w:firstLineChars="200"/>
        <w:textAlignment w:val="auto"/>
        <w:rPr>
          <w:color w:val="auto"/>
          <w:sz w:val="28"/>
        </w:rPr>
      </w:pPr>
      <w:r>
        <w:rPr>
          <w:rFonts w:hint="eastAsia"/>
          <w:color w:val="auto"/>
          <w:sz w:val="28"/>
        </w:rPr>
        <w:t>交通条件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r>
        <w:rPr>
          <w:rFonts w:hint="eastAsia"/>
          <w:color w:val="auto"/>
          <w:sz w:val="28"/>
        </w:rPr>
        <w:t>汾阳是</w:t>
      </w:r>
      <w:r>
        <w:rPr>
          <w:rFonts w:hint="eastAsia"/>
          <w:color w:val="auto"/>
          <w:sz w:val="28"/>
        </w:rPr>
        <w:fldChar w:fldCharType="begin"/>
      </w:r>
      <w:r>
        <w:rPr>
          <w:rFonts w:hint="eastAsia"/>
          <w:color w:val="auto"/>
          <w:sz w:val="28"/>
        </w:rPr>
        <w:instrText xml:space="preserve"> HYPERLINK "https://baike.baidu.com/item/%E5%90%95%E6%A2%81%E5%B8%82/528596" \t "https://baike.baidu.com/item/%E6%B1%BE%E9%98%B3/_blank" </w:instrText>
      </w:r>
      <w:r>
        <w:rPr>
          <w:rFonts w:hint="eastAsia"/>
          <w:color w:val="auto"/>
          <w:sz w:val="28"/>
        </w:rPr>
        <w:fldChar w:fldCharType="separate"/>
      </w:r>
      <w:r>
        <w:rPr>
          <w:rFonts w:hint="eastAsia"/>
          <w:color w:val="auto"/>
          <w:sz w:val="28"/>
        </w:rPr>
        <w:t>吕梁市</w:t>
      </w:r>
      <w:r>
        <w:rPr>
          <w:rFonts w:hint="eastAsia"/>
          <w:color w:val="auto"/>
          <w:sz w:val="28"/>
        </w:rPr>
        <w:fldChar w:fldCharType="end"/>
      </w:r>
      <w:r>
        <w:rPr>
          <w:rFonts w:hint="eastAsia"/>
          <w:color w:val="auto"/>
          <w:sz w:val="28"/>
        </w:rPr>
        <w:t>及山西中部地区交通运输的重要枢纽，境内国家高速G20（</w:t>
      </w:r>
      <w:r>
        <w:rPr>
          <w:rFonts w:hint="eastAsia"/>
          <w:color w:val="auto"/>
          <w:sz w:val="28"/>
        </w:rPr>
        <w:fldChar w:fldCharType="begin"/>
      </w:r>
      <w:r>
        <w:rPr>
          <w:rFonts w:hint="eastAsia"/>
          <w:color w:val="auto"/>
          <w:sz w:val="28"/>
        </w:rPr>
        <w:instrText xml:space="preserve"> HYPERLINK "https://baike.baidu.com/item/%E9%9D%92%E9%93%B6%E9%AB%98%E9%80%9F%E5%85%AC%E8%B7%AF/4976489" \t "https://baike.baidu.com/item/%E6%B1%BE%E9%98%B3/_blank" </w:instrText>
      </w:r>
      <w:r>
        <w:rPr>
          <w:rFonts w:hint="eastAsia"/>
          <w:color w:val="auto"/>
          <w:sz w:val="28"/>
        </w:rPr>
        <w:fldChar w:fldCharType="separate"/>
      </w:r>
      <w:r>
        <w:rPr>
          <w:rFonts w:hint="eastAsia"/>
          <w:color w:val="auto"/>
          <w:sz w:val="28"/>
        </w:rPr>
        <w:t>青银高速公路</w:t>
      </w:r>
      <w:r>
        <w:rPr>
          <w:rFonts w:hint="eastAsia"/>
          <w:color w:val="auto"/>
          <w:sz w:val="28"/>
        </w:rPr>
        <w:fldChar w:fldCharType="end"/>
      </w:r>
      <w:r>
        <w:rPr>
          <w:rFonts w:hint="eastAsia"/>
          <w:color w:val="auto"/>
          <w:sz w:val="28"/>
        </w:rPr>
        <w:t>）、国家高速联络线G25</w:t>
      </w:r>
      <w:r>
        <w:rPr>
          <w:rFonts w:hint="eastAsia"/>
          <w:color w:val="auto"/>
          <w:sz w:val="28"/>
          <w:vertAlign w:val="subscript"/>
        </w:rPr>
        <w:t>16</w:t>
      </w:r>
      <w:r>
        <w:rPr>
          <w:rFonts w:hint="eastAsia"/>
          <w:color w:val="auto"/>
          <w:sz w:val="28"/>
        </w:rPr>
        <w:t>（</w:t>
      </w:r>
      <w:r>
        <w:rPr>
          <w:rFonts w:hint="eastAsia"/>
          <w:color w:val="auto"/>
          <w:sz w:val="28"/>
        </w:rPr>
        <w:fldChar w:fldCharType="begin"/>
      </w:r>
      <w:r>
        <w:rPr>
          <w:rFonts w:hint="eastAsia"/>
          <w:color w:val="auto"/>
          <w:sz w:val="28"/>
        </w:rPr>
        <w:instrText xml:space="preserve"> HYPERLINK "https://baike.baidu.com/item/%E4%B8%9C%E5%90%95%E9%AB%98%E9%80%9F%E5%85%AC%E8%B7%AF/13841945" \t "https://baike.baidu.com/item/%E6%B1%BE%E9%98%B3/_blank" </w:instrText>
      </w:r>
      <w:r>
        <w:rPr>
          <w:rFonts w:hint="eastAsia"/>
          <w:color w:val="auto"/>
          <w:sz w:val="28"/>
        </w:rPr>
        <w:fldChar w:fldCharType="separate"/>
      </w:r>
      <w:r>
        <w:rPr>
          <w:rFonts w:hint="eastAsia"/>
          <w:color w:val="auto"/>
          <w:sz w:val="28"/>
        </w:rPr>
        <w:t>东吕高速公路</w:t>
      </w:r>
      <w:r>
        <w:rPr>
          <w:rFonts w:hint="eastAsia"/>
          <w:color w:val="auto"/>
          <w:sz w:val="28"/>
        </w:rPr>
        <w:fldChar w:fldCharType="end"/>
      </w:r>
      <w:r>
        <w:rPr>
          <w:rFonts w:hint="eastAsia"/>
          <w:color w:val="auto"/>
          <w:sz w:val="28"/>
        </w:rPr>
        <w:t>）、</w:t>
      </w:r>
      <w:r>
        <w:rPr>
          <w:rFonts w:hint="eastAsia"/>
          <w:color w:val="auto"/>
          <w:sz w:val="28"/>
        </w:rPr>
        <w:fldChar w:fldCharType="begin"/>
      </w:r>
      <w:r>
        <w:rPr>
          <w:rFonts w:hint="eastAsia"/>
          <w:color w:val="auto"/>
          <w:sz w:val="28"/>
        </w:rPr>
        <w:instrText xml:space="preserve"> HYPERLINK "https://baike.baidu.com/item/%E5%9B%BD%E9%81%93307%E7%BA%BF/9905815" \t "https://baike.baidu.com/item/%E6%B1%BE%E9%98%B3/_blank" </w:instrText>
      </w:r>
      <w:r>
        <w:rPr>
          <w:rFonts w:hint="eastAsia"/>
          <w:color w:val="auto"/>
          <w:sz w:val="28"/>
        </w:rPr>
        <w:fldChar w:fldCharType="separate"/>
      </w:r>
      <w:r>
        <w:rPr>
          <w:rFonts w:hint="eastAsia"/>
          <w:color w:val="auto"/>
          <w:sz w:val="28"/>
        </w:rPr>
        <w:t>国道307线</w:t>
      </w:r>
      <w:r>
        <w:rPr>
          <w:rFonts w:hint="eastAsia"/>
          <w:color w:val="auto"/>
          <w:sz w:val="28"/>
        </w:rPr>
        <w:fldChar w:fldCharType="end"/>
      </w:r>
      <w:r>
        <w:rPr>
          <w:rFonts w:hint="eastAsia"/>
          <w:color w:val="auto"/>
          <w:sz w:val="28"/>
        </w:rPr>
        <w:t>（黄山线）、省道222线（汾屯线）、223线（汾张线）、243线（汾介线）、340线（汾柳线）纵横交错，设有杏花、汾阳、汾阳西、汾孝、汾孝东等5个高速出入口。</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r>
        <w:rPr>
          <w:rFonts w:hint="eastAsia"/>
          <w:color w:val="auto"/>
          <w:sz w:val="28"/>
        </w:rPr>
        <w:fldChar w:fldCharType="begin"/>
      </w:r>
      <w:r>
        <w:rPr>
          <w:rFonts w:hint="eastAsia"/>
          <w:color w:val="auto"/>
          <w:sz w:val="28"/>
        </w:rPr>
        <w:instrText xml:space="preserve"> HYPERLINK "https://baike.baidu.com/item/%E5%AD%9D%E6%9F%B3%E9%93%81%E8%B7%AF/409714" \t "https://baike.baidu.com/item/%E6%B1%BE%E9%98%B3/_blank" </w:instrText>
      </w:r>
      <w:r>
        <w:rPr>
          <w:rFonts w:hint="eastAsia"/>
          <w:color w:val="auto"/>
          <w:sz w:val="28"/>
        </w:rPr>
        <w:fldChar w:fldCharType="separate"/>
      </w:r>
      <w:r>
        <w:rPr>
          <w:rFonts w:hint="eastAsia"/>
          <w:color w:val="auto"/>
          <w:sz w:val="28"/>
        </w:rPr>
        <w:t>孝柳铁路</w:t>
      </w:r>
      <w:r>
        <w:rPr>
          <w:rFonts w:hint="eastAsia"/>
          <w:color w:val="auto"/>
          <w:sz w:val="28"/>
        </w:rPr>
        <w:fldChar w:fldCharType="end"/>
      </w:r>
      <w:r>
        <w:rPr>
          <w:rFonts w:hint="eastAsia"/>
          <w:color w:val="auto"/>
          <w:sz w:val="28"/>
        </w:rPr>
        <w:t>过境，并在石庄镇建有50万吨发煤站。</w:t>
      </w:r>
      <w:r>
        <w:rPr>
          <w:rFonts w:hint="eastAsia"/>
          <w:color w:val="auto"/>
          <w:sz w:val="28"/>
        </w:rPr>
        <w:fldChar w:fldCharType="begin"/>
      </w:r>
      <w:r>
        <w:rPr>
          <w:rFonts w:hint="eastAsia"/>
          <w:color w:val="auto"/>
          <w:sz w:val="28"/>
        </w:rPr>
        <w:instrText xml:space="preserve"> HYPERLINK "https://baike.baidu.com/item/%E5%A4%AA%E4%B8%AD%E9%93%B6%E9%93%81%E8%B7%AF/5352395" \t "https://baike.baidu.com/item/%E6%B1%BE%E9%98%B3/_blank" </w:instrText>
      </w:r>
      <w:r>
        <w:rPr>
          <w:rFonts w:hint="eastAsia"/>
          <w:color w:val="auto"/>
          <w:sz w:val="28"/>
        </w:rPr>
        <w:fldChar w:fldCharType="separate"/>
      </w:r>
      <w:r>
        <w:rPr>
          <w:rFonts w:hint="eastAsia"/>
          <w:color w:val="auto"/>
          <w:sz w:val="28"/>
        </w:rPr>
        <w:t>太中银铁路</w:t>
      </w:r>
      <w:r>
        <w:rPr>
          <w:rFonts w:hint="eastAsia"/>
          <w:color w:val="auto"/>
          <w:sz w:val="28"/>
        </w:rPr>
        <w:fldChar w:fldCharType="end"/>
      </w:r>
      <w:r>
        <w:rPr>
          <w:rFonts w:hint="eastAsia"/>
          <w:color w:val="auto"/>
          <w:sz w:val="28"/>
        </w:rPr>
        <w:t>在汾阳市建有</w:t>
      </w:r>
      <w:r>
        <w:rPr>
          <w:rFonts w:hint="eastAsia"/>
          <w:color w:val="auto"/>
          <w:sz w:val="28"/>
        </w:rPr>
        <w:fldChar w:fldCharType="begin"/>
      </w:r>
      <w:r>
        <w:rPr>
          <w:rFonts w:hint="eastAsia"/>
          <w:color w:val="auto"/>
          <w:sz w:val="28"/>
        </w:rPr>
        <w:instrText xml:space="preserve"> HYPERLINK "https://baike.baidu.com/item/%E6%B1%BE%E9%98%B3%E7%AB%99/5954887" \t "https://baike.baidu.com/item/%E6%B1%BE%E9%98%B3/_blank" </w:instrText>
      </w:r>
      <w:r>
        <w:rPr>
          <w:rFonts w:hint="eastAsia"/>
          <w:color w:val="auto"/>
          <w:sz w:val="28"/>
        </w:rPr>
        <w:fldChar w:fldCharType="separate"/>
      </w:r>
      <w:r>
        <w:rPr>
          <w:rFonts w:hint="eastAsia"/>
          <w:color w:val="auto"/>
          <w:sz w:val="28"/>
        </w:rPr>
        <w:t>汾阳站</w:t>
      </w:r>
      <w:r>
        <w:rPr>
          <w:rFonts w:hint="eastAsia"/>
          <w:color w:val="auto"/>
          <w:sz w:val="28"/>
        </w:rPr>
        <w:fldChar w:fldCharType="end"/>
      </w:r>
      <w:r>
        <w:rPr>
          <w:rFonts w:hint="eastAsia"/>
          <w:color w:val="auto"/>
          <w:sz w:val="28"/>
        </w:rPr>
        <w:t>和</w:t>
      </w:r>
      <w:r>
        <w:rPr>
          <w:rFonts w:hint="eastAsia"/>
          <w:color w:val="auto"/>
          <w:sz w:val="28"/>
        </w:rPr>
        <w:fldChar w:fldCharType="begin"/>
      </w:r>
      <w:r>
        <w:rPr>
          <w:rFonts w:hint="eastAsia"/>
          <w:color w:val="auto"/>
          <w:sz w:val="28"/>
        </w:rPr>
        <w:instrText xml:space="preserve"> HYPERLINK "https://baike.baidu.com/item/%E8%A4%9A%E5%AE%B6%E6%B2%9F%E7%AB%99/17700203" \t "https://baike.baidu.com/item/%E6%B1%BE%E9%98%B3/_blank" </w:instrText>
      </w:r>
      <w:r>
        <w:rPr>
          <w:rFonts w:hint="eastAsia"/>
          <w:color w:val="auto"/>
          <w:sz w:val="28"/>
        </w:rPr>
        <w:fldChar w:fldCharType="separate"/>
      </w:r>
      <w:r>
        <w:rPr>
          <w:rFonts w:hint="eastAsia"/>
          <w:color w:val="auto"/>
          <w:sz w:val="28"/>
        </w:rPr>
        <w:t>褚家沟站</w:t>
      </w:r>
      <w:r>
        <w:rPr>
          <w:rFonts w:hint="eastAsia"/>
          <w:color w:val="auto"/>
          <w:sz w:val="28"/>
        </w:rPr>
        <w:fldChar w:fldCharType="end"/>
      </w:r>
      <w:r>
        <w:rPr>
          <w:rFonts w:hint="eastAsia"/>
          <w:color w:val="auto"/>
          <w:sz w:val="28"/>
        </w:rPr>
        <w:t>（越行站），其中汾阳站为大型客货两用站，也是山西省铁路规划中重要的集装箱运输站之一。</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r>
        <w:rPr>
          <w:rFonts w:hint="eastAsia"/>
          <w:color w:val="auto"/>
          <w:sz w:val="28"/>
        </w:rPr>
        <w:t>汾阳市区主要街道纵向由西到东依次为西北环路、西河路、狄青路、汾酒大道—学院路—英雄路、辰北路—鼓楼北路—鼓楼南路—南薰路—汾州大道、富民路、东湖路，横向由北到南依次为滨河街、庆成大街、胜利街、金鼎大街—鼓楼西街—鼓楼东街、文峰街、永和大街。</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color w:val="00B0F0"/>
          <w:sz w:val="28"/>
          <w:highlight w:val="yellow"/>
        </w:rPr>
      </w:pPr>
      <w:r>
        <w:rPr>
          <w:rFonts w:hint="eastAsia"/>
          <w:color w:val="auto"/>
          <w:sz w:val="28"/>
          <w:lang w:val="en-US" w:eastAsia="zh-CN"/>
        </w:rPr>
        <w:t>估价对象区域范围内主要利用道路有学院路，学院路为南北向道路，学院路上有汾阳10路、1路、2路、3路、7路、8路</w:t>
      </w:r>
      <w:r>
        <w:rPr>
          <w:rFonts w:hint="eastAsia"/>
          <w:color w:val="auto"/>
          <w:sz w:val="28"/>
        </w:rPr>
        <w:t>等</w:t>
      </w:r>
      <w:r>
        <w:rPr>
          <w:rFonts w:hint="eastAsia"/>
          <w:color w:val="auto"/>
          <w:sz w:val="28"/>
          <w:lang w:eastAsia="zh-CN"/>
        </w:rPr>
        <w:t>多条</w:t>
      </w:r>
      <w:r>
        <w:rPr>
          <w:rFonts w:hint="eastAsia"/>
          <w:color w:val="auto"/>
          <w:sz w:val="28"/>
        </w:rPr>
        <w:t>公交线路，距离最近的公交站点有农行汾阳支行约</w:t>
      </w:r>
      <w:r>
        <w:rPr>
          <w:rFonts w:hint="eastAsia"/>
          <w:color w:val="auto"/>
          <w:sz w:val="28"/>
          <w:lang w:val="en-US" w:eastAsia="zh-CN"/>
        </w:rPr>
        <w:t>50</w:t>
      </w:r>
      <w:r>
        <w:rPr>
          <w:rFonts w:hint="eastAsia"/>
          <w:color w:val="auto"/>
          <w:sz w:val="28"/>
        </w:rPr>
        <w:t>米。估价对象距离汾阳汽车客运站约</w:t>
      </w:r>
      <w:r>
        <w:rPr>
          <w:rFonts w:hint="eastAsia"/>
          <w:color w:val="auto"/>
          <w:sz w:val="28"/>
          <w:lang w:val="en-US" w:eastAsia="zh-CN"/>
        </w:rPr>
        <w:t>3.1公里</w:t>
      </w:r>
      <w:r>
        <w:rPr>
          <w:rFonts w:hint="eastAsia"/>
          <w:color w:val="auto"/>
          <w:sz w:val="28"/>
        </w:rPr>
        <w:t>，距离汾阳站约</w:t>
      </w:r>
      <w:r>
        <w:rPr>
          <w:rFonts w:hint="eastAsia"/>
          <w:color w:val="auto"/>
          <w:sz w:val="28"/>
          <w:lang w:val="en-US" w:eastAsia="zh-CN"/>
        </w:rPr>
        <w:t>19.4公里</w:t>
      </w:r>
      <w:r>
        <w:rPr>
          <w:rFonts w:hint="eastAsia"/>
          <w:color w:val="auto"/>
          <w:sz w:val="28"/>
        </w:rPr>
        <w:t>，距离汾阳收费站约</w:t>
      </w:r>
      <w:r>
        <w:rPr>
          <w:rFonts w:hint="eastAsia"/>
          <w:color w:val="auto"/>
          <w:sz w:val="28"/>
          <w:lang w:val="en-US" w:eastAsia="zh-CN"/>
        </w:rPr>
        <w:t>3.5</w:t>
      </w:r>
      <w:r>
        <w:rPr>
          <w:rFonts w:hint="eastAsia"/>
          <w:color w:val="auto"/>
          <w:sz w:val="28"/>
        </w:rPr>
        <w:t>公里。对外对内交通状况较为便捷。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3、基础设施状况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估价对象所处区域内，上下水、电力、通暖、</w:t>
      </w:r>
      <w:r>
        <w:rPr>
          <w:rFonts w:hint="eastAsia" w:hAnsi="宋体" w:cs="宋体"/>
          <w:color w:val="auto"/>
          <w:sz w:val="28"/>
          <w:szCs w:val="28"/>
          <w:lang w:val="en-US" w:eastAsia="zh-CN"/>
        </w:rPr>
        <w:t>通气</w:t>
      </w:r>
      <w:r>
        <w:rPr>
          <w:rFonts w:hint="eastAsia" w:hAnsi="宋体" w:cs="宋体"/>
          <w:color w:val="auto"/>
          <w:sz w:val="28"/>
          <w:szCs w:val="28"/>
        </w:rPr>
        <w:t>电讯等各种设施已配套，配套完备度较高。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(1)供水：区域内由永济市供水公司市政供水；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(2)排水：区域内铺设排水管网，雨污分流；</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(3)通电：区域内为市政供电网供电；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(4)通暖：区域内为市政集中供暖；</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w:t>
      </w:r>
      <w:r>
        <w:rPr>
          <w:rFonts w:hint="eastAsia" w:hAnsi="宋体" w:cs="宋体"/>
          <w:color w:val="auto"/>
          <w:sz w:val="28"/>
          <w:szCs w:val="28"/>
          <w:lang w:val="en-US" w:eastAsia="zh-CN"/>
        </w:rPr>
        <w:t>5</w:t>
      </w:r>
      <w:r>
        <w:rPr>
          <w:rFonts w:hint="eastAsia" w:hAnsi="宋体" w:cs="宋体"/>
          <w:color w:val="auto"/>
          <w:sz w:val="28"/>
          <w:szCs w:val="28"/>
        </w:rPr>
        <w:t>)通</w:t>
      </w:r>
      <w:r>
        <w:rPr>
          <w:rFonts w:hint="eastAsia" w:hAnsi="宋体" w:cs="宋体"/>
          <w:color w:val="auto"/>
          <w:sz w:val="28"/>
          <w:szCs w:val="28"/>
          <w:lang w:val="en-US" w:eastAsia="zh-CN"/>
        </w:rPr>
        <w:t>气</w:t>
      </w:r>
      <w:r>
        <w:rPr>
          <w:rFonts w:hint="eastAsia" w:hAnsi="宋体" w:cs="宋体"/>
          <w:color w:val="auto"/>
          <w:sz w:val="28"/>
          <w:szCs w:val="28"/>
        </w:rPr>
        <w:t>：区域内为市政</w:t>
      </w:r>
      <w:r>
        <w:rPr>
          <w:rFonts w:hint="eastAsia" w:hAnsi="宋体" w:cs="宋体"/>
          <w:color w:val="auto"/>
          <w:sz w:val="28"/>
          <w:szCs w:val="28"/>
          <w:lang w:val="en-US" w:eastAsia="zh-CN"/>
        </w:rPr>
        <w:t>供气管网</w:t>
      </w:r>
      <w:r>
        <w:rPr>
          <w:rFonts w:hint="eastAsia" w:hAnsi="宋体" w:cs="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sz w:val="28"/>
        </w:rPr>
      </w:pPr>
      <w:r>
        <w:rPr>
          <w:rFonts w:hint="eastAsia" w:hAnsi="宋体" w:cs="宋体"/>
          <w:color w:val="auto"/>
          <w:sz w:val="28"/>
          <w:szCs w:val="28"/>
        </w:rPr>
        <w:t>(</w:t>
      </w:r>
      <w:r>
        <w:rPr>
          <w:rFonts w:hint="eastAsia" w:hAnsi="宋体" w:cs="宋体"/>
          <w:color w:val="auto"/>
          <w:sz w:val="28"/>
          <w:szCs w:val="28"/>
          <w:lang w:val="en-US" w:eastAsia="zh-CN"/>
        </w:rPr>
        <w:t>6</w:t>
      </w:r>
      <w:r>
        <w:rPr>
          <w:rFonts w:hint="eastAsia" w:hAnsi="宋体" w:cs="宋体"/>
          <w:color w:val="auto"/>
          <w:sz w:val="28"/>
          <w:szCs w:val="28"/>
        </w:rPr>
        <w:t>)</w:t>
      </w:r>
      <w:r>
        <w:rPr>
          <w:rFonts w:hint="eastAsia" w:hAnsi="宋体" w:cs="宋体"/>
          <w:sz w:val="28"/>
        </w:rPr>
        <w:t>通讯：该区域内</w:t>
      </w:r>
      <w:r>
        <w:rPr>
          <w:rFonts w:hint="eastAsia" w:hAnsi="宋体" w:cs="宋体"/>
          <w:sz w:val="28"/>
          <w:lang w:val="en-US" w:eastAsia="zh-CN"/>
        </w:rPr>
        <w:t>为</w:t>
      </w:r>
      <w:r>
        <w:rPr>
          <w:rFonts w:hint="eastAsia" w:hAnsi="宋体" w:cs="宋体"/>
          <w:sz w:val="28"/>
        </w:rPr>
        <w:t>市政通讯网络覆盖地区；</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w:t>
      </w:r>
      <w:r>
        <w:rPr>
          <w:rFonts w:hint="eastAsia" w:hAnsi="宋体" w:cs="宋体"/>
          <w:color w:val="auto"/>
          <w:sz w:val="28"/>
          <w:szCs w:val="28"/>
          <w:lang w:val="en-US" w:eastAsia="zh-CN"/>
        </w:rPr>
        <w:t>7</w:t>
      </w:r>
      <w:r>
        <w:rPr>
          <w:rFonts w:hint="eastAsia" w:hAnsi="宋体" w:cs="宋体"/>
          <w:color w:val="auto"/>
          <w:sz w:val="28"/>
          <w:szCs w:val="28"/>
        </w:rPr>
        <w:t>)通路：主要利用道路为</w:t>
      </w:r>
      <w:r>
        <w:rPr>
          <w:rFonts w:hint="eastAsia" w:hAnsi="宋体" w:cs="宋体"/>
          <w:color w:val="auto"/>
          <w:sz w:val="28"/>
          <w:szCs w:val="28"/>
          <w:lang w:val="en-US" w:eastAsia="zh-CN"/>
        </w:rPr>
        <w:t>学院路</w:t>
      </w:r>
      <w:r>
        <w:rPr>
          <w:rFonts w:hint="eastAsia" w:hAnsi="宋体" w:cs="宋体"/>
          <w:color w:val="auto"/>
          <w:sz w:val="28"/>
          <w:szCs w:val="28"/>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highlight w:val="none"/>
        </w:rPr>
      </w:pPr>
      <w:r>
        <w:rPr>
          <w:rFonts w:hint="eastAsia" w:hAnsi="宋体" w:cs="宋体"/>
          <w:color w:val="auto"/>
          <w:sz w:val="28"/>
          <w:szCs w:val="28"/>
          <w:highlight w:val="none"/>
        </w:rPr>
        <w:t>综上所述估价对象区域位置较为有利。</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（二）估价对象基本情况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1、估价对象实体状况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hAnsi="宋体"/>
          <w:color w:val="auto"/>
          <w:sz w:val="28"/>
          <w:lang w:val="en-US" w:eastAsia="zh-CN"/>
        </w:rPr>
      </w:pPr>
      <w:r>
        <w:rPr>
          <w:rFonts w:hint="eastAsia"/>
          <w:color w:val="auto"/>
          <w:sz w:val="28"/>
        </w:rPr>
        <w:t>估价对象位于</w:t>
      </w:r>
      <w:r>
        <w:rPr>
          <w:rFonts w:hint="eastAsia"/>
          <w:color w:val="auto"/>
          <w:sz w:val="28"/>
          <w:lang w:eastAsia="zh-CN"/>
        </w:rPr>
        <w:t>汾阳市学院路西侧、中国银行北侧</w:t>
      </w:r>
      <w:r>
        <w:rPr>
          <w:rFonts w:hint="eastAsia" w:hAnsi="宋体"/>
          <w:color w:val="auto"/>
          <w:sz w:val="28"/>
        </w:rPr>
        <w:t>，</w:t>
      </w:r>
      <w:r>
        <w:rPr>
          <w:rFonts w:hint="eastAsia" w:hAnsi="宋体"/>
          <w:color w:val="auto"/>
          <w:sz w:val="28"/>
          <w:lang w:val="en-US" w:eastAsia="zh-CN"/>
        </w:rPr>
        <w:t>估价对象所在小区已建成4栋住宅楼及1栋商业楼，估价对象5号楼及6号楼为在建工程，目前5号楼已完成地下土建工程，地面以上仅有外露的钢筋，且处于停工状态。</w:t>
      </w:r>
    </w:p>
    <w:p>
      <w:pPr>
        <w:pStyle w:val="14"/>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r>
        <w:rPr>
          <w:rFonts w:hint="eastAsia" w:eastAsia="宋体"/>
          <w:sz w:val="28"/>
          <w:szCs w:val="28"/>
          <w:lang w:eastAsia="zh-CN"/>
        </w:rPr>
        <w:drawing>
          <wp:anchor distT="0" distB="0" distL="114300" distR="114300" simplePos="0" relativeHeight="251664384" behindDoc="0" locked="0" layoutInCell="1" allowOverlap="1">
            <wp:simplePos x="0" y="0"/>
            <wp:positionH relativeFrom="column">
              <wp:posOffset>-100965</wp:posOffset>
            </wp:positionH>
            <wp:positionV relativeFrom="paragraph">
              <wp:posOffset>36195</wp:posOffset>
            </wp:positionV>
            <wp:extent cx="2948305" cy="2561590"/>
            <wp:effectExtent l="0" t="0" r="4445" b="10160"/>
            <wp:wrapNone/>
            <wp:docPr id="1" name="图片 1" descr="4dde3a2a296eb0d321a1405542f63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de3a2a296eb0d321a1405542f63d0a"/>
                    <pic:cNvPicPr>
                      <a:picLocks noChangeAspect="1"/>
                    </pic:cNvPicPr>
                  </pic:nvPicPr>
                  <pic:blipFill>
                    <a:blip r:embed="rId8"/>
                    <a:srcRect l="10567" b="876"/>
                    <a:stretch>
                      <a:fillRect/>
                    </a:stretch>
                  </pic:blipFill>
                  <pic:spPr>
                    <a:xfrm>
                      <a:off x="0" y="0"/>
                      <a:ext cx="2948305" cy="2561590"/>
                    </a:xfrm>
                    <a:prstGeom prst="rect">
                      <a:avLst/>
                    </a:prstGeom>
                  </pic:spPr>
                </pic:pic>
              </a:graphicData>
            </a:graphic>
          </wp:anchor>
        </w:drawing>
      </w:r>
      <w:r>
        <w:rPr>
          <w:rFonts w:hint="eastAsia" w:eastAsia="宋体"/>
          <w:sz w:val="28"/>
          <w:szCs w:val="28"/>
          <w:lang w:eastAsia="zh-CN"/>
        </w:rPr>
        <w:drawing>
          <wp:anchor distT="0" distB="0" distL="114300" distR="114300" simplePos="0" relativeHeight="251665408" behindDoc="0" locked="0" layoutInCell="1" allowOverlap="1">
            <wp:simplePos x="0" y="0"/>
            <wp:positionH relativeFrom="column">
              <wp:posOffset>2923540</wp:posOffset>
            </wp:positionH>
            <wp:positionV relativeFrom="paragraph">
              <wp:posOffset>50800</wp:posOffset>
            </wp:positionV>
            <wp:extent cx="2919730" cy="2538095"/>
            <wp:effectExtent l="0" t="0" r="13970" b="14605"/>
            <wp:wrapNone/>
            <wp:docPr id="3" name="图片 3" descr="微信图片_202207280916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72809163915"/>
                    <pic:cNvPicPr>
                      <a:picLocks noChangeAspect="1"/>
                    </pic:cNvPicPr>
                  </pic:nvPicPr>
                  <pic:blipFill>
                    <a:blip r:embed="rId7"/>
                    <a:stretch>
                      <a:fillRect/>
                    </a:stretch>
                  </pic:blipFill>
                  <pic:spPr>
                    <a:xfrm>
                      <a:off x="0" y="0"/>
                      <a:ext cx="2919730" cy="25380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pStyle w:val="2"/>
        <w:rPr>
          <w:rFonts w:hint="eastAsia"/>
          <w:color w:val="auto"/>
          <w:sz w:val="28"/>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sz w:val="28"/>
          <w:szCs w:val="28"/>
          <w:lang w:eastAsia="zh-CN"/>
        </w:rPr>
      </w:pPr>
      <w:r>
        <w:rPr>
          <w:rFonts w:hint="eastAsia"/>
          <w:sz w:val="28"/>
          <w:szCs w:val="28"/>
        </w:rPr>
        <w:t>现场照片</w:t>
      </w:r>
      <w:r>
        <w:rPr>
          <w:rFonts w:hint="eastAsia"/>
          <w:sz w:val="28"/>
          <w:szCs w:val="28"/>
          <w:lang w:eastAsia="zh-CN"/>
        </w:rPr>
        <w:t>（见上下图片）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eastAsia"/>
          <w:color w:val="auto"/>
          <w:sz w:val="28"/>
        </w:rPr>
      </w:pPr>
      <w:r>
        <w:rPr>
          <w:rFonts w:hint="eastAsia" w:eastAsia="宋体"/>
          <w:lang w:eastAsia="zh-CN"/>
        </w:rPr>
        <w:drawing>
          <wp:anchor distT="0" distB="0" distL="114300" distR="114300" simplePos="0" relativeHeight="251667456" behindDoc="0" locked="0" layoutInCell="1" allowOverlap="1">
            <wp:simplePos x="0" y="0"/>
            <wp:positionH relativeFrom="column">
              <wp:posOffset>2945765</wp:posOffset>
            </wp:positionH>
            <wp:positionV relativeFrom="paragraph">
              <wp:posOffset>52705</wp:posOffset>
            </wp:positionV>
            <wp:extent cx="2880360" cy="2543175"/>
            <wp:effectExtent l="0" t="0" r="15240" b="9525"/>
            <wp:wrapNone/>
            <wp:docPr id="12" name="图片 12" descr="微信图片_202207280916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2072809163938"/>
                    <pic:cNvPicPr>
                      <a:picLocks noChangeAspect="1"/>
                    </pic:cNvPicPr>
                  </pic:nvPicPr>
                  <pic:blipFill>
                    <a:blip r:embed="rId10"/>
                    <a:stretch>
                      <a:fillRect/>
                    </a:stretch>
                  </pic:blipFill>
                  <pic:spPr>
                    <a:xfrm>
                      <a:off x="0" y="0"/>
                      <a:ext cx="2880360" cy="2543175"/>
                    </a:xfrm>
                    <a:prstGeom prst="rect">
                      <a:avLst/>
                    </a:prstGeom>
                  </pic:spPr>
                </pic:pic>
              </a:graphicData>
            </a:graphic>
          </wp:anchor>
        </w:drawing>
      </w:r>
      <w:r>
        <w:rPr>
          <w:rFonts w:hint="eastAsia"/>
        </w:rPr>
        <w:drawing>
          <wp:anchor distT="0" distB="0" distL="114300" distR="114300" simplePos="0" relativeHeight="251666432" behindDoc="0" locked="0" layoutInCell="1" allowOverlap="1">
            <wp:simplePos x="0" y="0"/>
            <wp:positionH relativeFrom="column">
              <wp:posOffset>-72390</wp:posOffset>
            </wp:positionH>
            <wp:positionV relativeFrom="paragraph">
              <wp:posOffset>58420</wp:posOffset>
            </wp:positionV>
            <wp:extent cx="2927985" cy="2525395"/>
            <wp:effectExtent l="0" t="0" r="5715" b="8255"/>
            <wp:wrapNone/>
            <wp:docPr id="13" name="图片 13" descr="微信图片_20220728091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2072809163931"/>
                    <pic:cNvPicPr>
                      <a:picLocks noChangeAspect="1"/>
                    </pic:cNvPicPr>
                  </pic:nvPicPr>
                  <pic:blipFill>
                    <a:blip r:embed="rId9"/>
                    <a:stretch>
                      <a:fillRect/>
                    </a:stretch>
                  </pic:blipFill>
                  <pic:spPr>
                    <a:xfrm>
                      <a:off x="0" y="0"/>
                      <a:ext cx="2927985" cy="25253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color w:val="auto"/>
          <w:sz w:val="28"/>
        </w:rPr>
      </w:pPr>
    </w:p>
    <w:p>
      <w:pPr>
        <w:pStyle w:val="14"/>
      </w:pPr>
    </w:p>
    <w:p>
      <w:pPr>
        <w:keepNext w:val="0"/>
        <w:keepLines w:val="0"/>
        <w:pageBreakBefore w:val="0"/>
        <w:widowControl w:val="0"/>
        <w:kinsoku/>
        <w:wordWrap/>
        <w:overflowPunct/>
        <w:topLinePunct w:val="0"/>
        <w:autoSpaceDE/>
        <w:autoSpaceDN/>
        <w:bidi w:val="0"/>
        <w:spacing w:line="580" w:lineRule="exact"/>
        <w:ind w:firstLine="560" w:firstLineChars="200"/>
        <w:textAlignment w:val="auto"/>
        <w:rPr>
          <w:rFonts w:hint="eastAsia" w:hAnsi="宋体"/>
          <w:sz w:val="28"/>
          <w:szCs w:val="28"/>
        </w:rPr>
      </w:pPr>
      <w:r>
        <w:rPr>
          <w:rFonts w:hint="eastAsia" w:hAnsi="宋体"/>
          <w:sz w:val="28"/>
          <w:szCs w:val="28"/>
          <w:lang w:val="en-US" w:eastAsia="zh-CN"/>
        </w:rPr>
        <w:t xml:space="preserve"> 2、</w:t>
      </w:r>
      <w:r>
        <w:rPr>
          <w:rFonts w:hint="eastAsia" w:hAnsi="宋体"/>
          <w:sz w:val="28"/>
          <w:szCs w:val="28"/>
        </w:rPr>
        <w:t>在建工程基本情况</w:t>
      </w:r>
    </w:p>
    <w:p>
      <w:pPr>
        <w:keepNext w:val="0"/>
        <w:keepLines w:val="0"/>
        <w:pageBreakBefore w:val="0"/>
        <w:widowControl w:val="0"/>
        <w:kinsoku/>
        <w:wordWrap/>
        <w:overflowPunct/>
        <w:topLinePunct w:val="0"/>
        <w:autoSpaceDE/>
        <w:autoSpaceDN/>
        <w:bidi w:val="0"/>
        <w:snapToGrid w:val="0"/>
        <w:spacing w:line="580" w:lineRule="exact"/>
        <w:ind w:firstLine="560" w:firstLineChars="200"/>
        <w:textAlignment w:val="auto"/>
        <w:rPr>
          <w:rFonts w:hAnsi="宋体" w:cs="宋体"/>
          <w:sz w:val="28"/>
          <w:szCs w:val="28"/>
        </w:rPr>
      </w:pPr>
      <w:r>
        <w:rPr>
          <w:rFonts w:hint="eastAsia" w:hAnsi="宋体"/>
          <w:sz w:val="28"/>
          <w:szCs w:val="28"/>
        </w:rPr>
        <w:t>估价对象</w:t>
      </w:r>
      <w:r>
        <w:rPr>
          <w:rFonts w:hint="eastAsia" w:hAnsi="宋体"/>
          <w:sz w:val="28"/>
          <w:szCs w:val="28"/>
          <w:lang w:eastAsia="zh-CN"/>
        </w:rPr>
        <w:t>位于</w:t>
      </w:r>
      <w:r>
        <w:rPr>
          <w:rFonts w:hint="eastAsia" w:hAnsi="宋体"/>
          <w:sz w:val="28"/>
          <w:szCs w:val="28"/>
        </w:rPr>
        <w:t>山西省</w:t>
      </w:r>
      <w:r>
        <w:rPr>
          <w:rFonts w:hint="eastAsia" w:hAnsi="宋体"/>
          <w:sz w:val="28"/>
          <w:szCs w:val="28"/>
          <w:lang w:eastAsia="zh-CN"/>
        </w:rPr>
        <w:t>汾阳市学院路西侧、中国银行北侧</w:t>
      </w:r>
      <w:r>
        <w:rPr>
          <w:rFonts w:hint="eastAsia" w:ascii="宋体" w:hAnsi="宋体" w:eastAsia="宋体" w:cs="宋体"/>
          <w:sz w:val="28"/>
          <w:szCs w:val="28"/>
          <w:lang w:val="en-US" w:eastAsia="zh-CN"/>
        </w:rPr>
        <w:t>豊足·汾阳壹号小区</w:t>
      </w:r>
      <w:r>
        <w:rPr>
          <w:rFonts w:hint="eastAsia" w:hAnsi="宋体" w:cs="宋体"/>
          <w:sz w:val="28"/>
          <w:szCs w:val="28"/>
          <w:lang w:val="en-US" w:eastAsia="zh-CN"/>
        </w:rPr>
        <w:t>，该小区</w:t>
      </w:r>
      <w:r>
        <w:rPr>
          <w:rFonts w:hint="eastAsia" w:hAnsi="宋体"/>
          <w:color w:val="auto"/>
          <w:sz w:val="28"/>
          <w:lang w:val="en-US" w:eastAsia="zh-CN"/>
        </w:rPr>
        <w:t>已建成4栋住宅楼及1栋商业楼，</w:t>
      </w:r>
      <w:r>
        <w:rPr>
          <w:rFonts w:hint="eastAsia" w:ascii="宋体" w:hAnsi="宋体" w:eastAsia="宋体" w:cs="宋体"/>
          <w:sz w:val="28"/>
          <w:szCs w:val="28"/>
          <w:lang w:val="en-US" w:eastAsia="zh-CN"/>
        </w:rPr>
        <w:t>5</w:t>
      </w:r>
      <w:r>
        <w:rPr>
          <w:rFonts w:hint="eastAsia" w:hAnsi="宋体" w:cs="宋体"/>
          <w:sz w:val="28"/>
          <w:szCs w:val="28"/>
          <w:lang w:val="en-US" w:eastAsia="zh-CN"/>
        </w:rPr>
        <w:t>号楼及6号楼属于</w:t>
      </w:r>
      <w:r>
        <w:rPr>
          <w:rFonts w:hAnsi="宋体"/>
          <w:sz w:val="28"/>
          <w:szCs w:val="28"/>
        </w:rPr>
        <w:t>在建工程</w:t>
      </w:r>
      <w:r>
        <w:rPr>
          <w:rFonts w:hint="eastAsia" w:hAnsi="宋体"/>
          <w:sz w:val="28"/>
          <w:szCs w:val="28"/>
          <w:lang w:eastAsia="zh-CN"/>
        </w:rPr>
        <w:t>。</w:t>
      </w:r>
      <w:r>
        <w:rPr>
          <w:rFonts w:hint="eastAsia" w:hAnsi="宋体"/>
          <w:sz w:val="28"/>
          <w:szCs w:val="28"/>
        </w:rPr>
        <w:t>根据</w:t>
      </w:r>
      <w:r>
        <w:rPr>
          <w:rFonts w:hint="eastAsia" w:hAnsi="宋体"/>
          <w:sz w:val="28"/>
          <w:szCs w:val="28"/>
          <w:lang w:eastAsia="zh-CN"/>
        </w:rPr>
        <w:t>原被告双方</w:t>
      </w:r>
      <w:r>
        <w:rPr>
          <w:rFonts w:hint="eastAsia" w:hAnsi="宋体"/>
          <w:sz w:val="28"/>
          <w:szCs w:val="28"/>
        </w:rPr>
        <w:t>介绍及估价人员实地查勘，</w:t>
      </w:r>
      <w:r>
        <w:rPr>
          <w:rFonts w:hint="eastAsia" w:ascii="宋体" w:hAnsi="宋体" w:eastAsia="宋体" w:cs="宋体"/>
          <w:sz w:val="28"/>
          <w:szCs w:val="28"/>
          <w:lang w:val="en-US" w:eastAsia="zh-CN"/>
        </w:rPr>
        <w:t>5</w:t>
      </w:r>
      <w:r>
        <w:rPr>
          <w:rFonts w:hint="eastAsia" w:hAnsi="宋体" w:cs="宋体"/>
          <w:sz w:val="28"/>
          <w:szCs w:val="28"/>
          <w:lang w:val="en-US" w:eastAsia="zh-CN"/>
        </w:rPr>
        <w:t>号楼</w:t>
      </w:r>
      <w:r>
        <w:rPr>
          <w:rFonts w:hint="eastAsia" w:hAnsi="宋体" w:cs="宋体"/>
          <w:sz w:val="28"/>
          <w:szCs w:val="28"/>
          <w:lang w:eastAsia="zh-CN"/>
        </w:rPr>
        <w:t>地下工程土建完成，地面工程仅有外露平面的钢筋</w:t>
      </w:r>
      <w:r>
        <w:rPr>
          <w:rFonts w:hint="eastAsia" w:hAnsi="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hAnsi="宋体"/>
          <w:color w:val="auto"/>
          <w:sz w:val="28"/>
          <w:szCs w:val="28"/>
        </w:rPr>
      </w:pPr>
      <w:r>
        <w:rPr>
          <w:rFonts w:hint="eastAsia" w:hAnsi="宋体"/>
          <w:color w:val="auto"/>
          <w:sz w:val="28"/>
          <w:szCs w:val="28"/>
        </w:rPr>
        <w:t>（1）</w:t>
      </w:r>
      <w:r>
        <w:rPr>
          <w:rFonts w:hint="eastAsia" w:hAnsi="宋体"/>
          <w:color w:val="auto"/>
          <w:sz w:val="28"/>
          <w:szCs w:val="28"/>
          <w:lang w:eastAsia="zh-CN"/>
        </w:rPr>
        <w:t>建设用地</w:t>
      </w:r>
      <w:r>
        <w:rPr>
          <w:rFonts w:hint="eastAsia" w:hAnsi="宋体"/>
          <w:color w:val="auto"/>
          <w:sz w:val="28"/>
          <w:szCs w:val="28"/>
          <w:lang w:val="en-US" w:eastAsia="zh-CN"/>
        </w:rPr>
        <w:t>/</w:t>
      </w:r>
      <w:r>
        <w:rPr>
          <w:rFonts w:hint="eastAsia" w:hAnsi="宋体"/>
          <w:color w:val="auto"/>
          <w:sz w:val="28"/>
          <w:szCs w:val="28"/>
          <w:lang w:eastAsia="zh-CN"/>
        </w:rPr>
        <w:t>建设工程规划许可证</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吕梁恒信房地产开发有限公司于2016年1月14领取了建设用地规划许可证-地字第14230320160114002号，具体内容见下表：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用地单位</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lang w:val="en-US" w:eastAsia="zh-CN"/>
              </w:rPr>
              <w:t>吕梁恒信房地产开发有限公司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用地项目名称</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汾阳市省汾运二宿舍棚户区改造工程（汾阳市豊足·汾阳壹号）小区建设项目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用地位置</w:t>
            </w:r>
          </w:p>
        </w:tc>
        <w:tc>
          <w:tcPr>
            <w:tcW w:w="6392" w:type="dxa"/>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汾阳市学院路西侧、中国银行北侧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用地性质</w:t>
            </w:r>
          </w:p>
        </w:tc>
        <w:tc>
          <w:tcPr>
            <w:tcW w:w="6392" w:type="dxa"/>
          </w:tcPr>
          <w:p>
            <w:pPr>
              <w:pStyle w:val="2"/>
              <w:ind w:left="0" w:leftChars="0" w:firstLine="0" w:firstLine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居住用地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用地面积</w:t>
            </w:r>
          </w:p>
        </w:tc>
        <w:tc>
          <w:tcPr>
            <w:tcW w:w="6392"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33911.7平方米</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吕梁恒信房地产开发有限公司于2016年4月20领取了建设工程规划许可证-建字第142303201600420002号，具体内容见下表：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建设单位</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lang w:val="en-US" w:eastAsia="zh-CN"/>
              </w:rPr>
              <w:t>吕梁恒信房地产开发有限公司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建设项目名称</w:t>
            </w:r>
          </w:p>
        </w:tc>
        <w:tc>
          <w:tcPr>
            <w:tcW w:w="6392" w:type="dxa"/>
            <w:vAlign w:val="center"/>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汾阳市省汾运二宿舍棚户区改造工程（汾阳市豊足·汾阳壹号）小区2＃楼、4＃楼、5＃楼、6＃楼、地下车库及游泳池建设项目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建设位置</w:t>
            </w:r>
          </w:p>
        </w:tc>
        <w:tc>
          <w:tcPr>
            <w:tcW w:w="6392" w:type="dxa"/>
          </w:tcPr>
          <w:p>
            <w:pPr>
              <w:pStyle w:val="2"/>
              <w:ind w:left="0" w:leftChars="0" w:firstLine="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汾阳市学院路西侧、中国银行北侧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建设规模</w:t>
            </w:r>
          </w:p>
        </w:tc>
        <w:tc>
          <w:tcPr>
            <w:tcW w:w="6392" w:type="dxa"/>
          </w:tcPr>
          <w:p>
            <w:pPr>
              <w:pStyle w:val="2"/>
              <w:ind w:left="0" w:leftChars="0" w:firstLine="0" w:firstLineChars="0"/>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总建筑面积：69892平方米，地上总建筑面积：52092平方米，地下总建筑面积：17800平方米，限高100米</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2</w:t>
      </w:r>
      <w:r>
        <w:rPr>
          <w:rFonts w:hint="eastAsia" w:hAnsi="宋体"/>
          <w:color w:val="auto"/>
          <w:sz w:val="28"/>
          <w:szCs w:val="28"/>
          <w:lang w:eastAsia="zh-CN"/>
        </w:rPr>
        <w:t>）</w:t>
      </w:r>
      <w:r>
        <w:rPr>
          <w:rFonts w:hint="eastAsia" w:hAnsi="宋体"/>
          <w:color w:val="auto"/>
          <w:sz w:val="28"/>
          <w:szCs w:val="28"/>
        </w:rPr>
        <w:t>在建工程权益状况及规划条件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rPr>
        <w:t>根据估价委托人提供的《</w:t>
      </w:r>
      <w:r>
        <w:rPr>
          <w:rFonts w:hint="eastAsia" w:ascii="宋体" w:hAnsi="宋体" w:eastAsia="宋体" w:cs="宋体"/>
          <w:sz w:val="28"/>
          <w:szCs w:val="28"/>
          <w:lang w:val="en-US" w:eastAsia="zh-CN"/>
        </w:rPr>
        <w:t>吕梁恒信房地产开发有限公司豊足·汾阳壹号小区5#施工图</w:t>
      </w:r>
      <w:r>
        <w:rPr>
          <w:rFonts w:hint="eastAsia" w:hAnsi="宋体"/>
          <w:color w:val="auto"/>
          <w:sz w:val="28"/>
          <w:szCs w:val="28"/>
        </w:rPr>
        <w:t>》，</w:t>
      </w:r>
      <w:r>
        <w:rPr>
          <w:rFonts w:hint="eastAsia" w:hAnsi="宋体"/>
          <w:color w:val="auto"/>
          <w:sz w:val="28"/>
          <w:szCs w:val="28"/>
          <w:lang w:val="en-US" w:eastAsia="zh-CN"/>
        </w:rPr>
        <w:t>项目编号：2019-113-1，设计证书编号：A2014006127，设计单位：山西省轻工设计院有限公司，设计时间2019年8月。</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工程概况具体如下：</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1）建设单位及工程名称：吕梁恒信房地产开发有限公司；豊足·汾阳壹号小区5#楼；</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2）建设地点：本工程位于汾阳学院路西北侧，规划二巷东南侧；</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hAnsi="宋体"/>
          <w:color w:val="auto"/>
          <w:sz w:val="28"/>
          <w:szCs w:val="28"/>
          <w:lang w:val="en-US" w:eastAsia="zh-CN"/>
        </w:rPr>
      </w:pPr>
      <w:r>
        <w:rPr>
          <w:rFonts w:hint="eastAsia" w:hAnsi="宋体"/>
          <w:color w:val="auto"/>
          <w:sz w:val="28"/>
          <w:szCs w:val="28"/>
          <w:lang w:val="en-US" w:eastAsia="zh-CN"/>
        </w:rPr>
        <w:t>3）建筑功能：地下二层为车库及设备用房，地下一层为储藏室，1-5层为公寓，共70套；</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4）基地面积：1292.73平方米，首层建筑面积626.82平方米，总建筑面积5291.59平方米，地上建筑面积3319.60平方米，地上建筑面积1971.99平方米；</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5）建筑层数：地上5层，一层-五层层高均为4.6米，地下一层，层高3米，地下2层，层高3.6米，建筑高度23.90米（室外地坪至屋面面层），建筑高度25.40米（室外地坪至女儿墙高度）；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lang w:val="en-US" w:eastAsia="zh-CN"/>
        </w:rPr>
      </w:pPr>
      <w:r>
        <w:rPr>
          <w:rFonts w:hint="eastAsia" w:hAnsi="宋体"/>
          <w:color w:val="auto"/>
          <w:sz w:val="28"/>
          <w:szCs w:val="28"/>
          <w:lang w:val="en-US" w:eastAsia="zh-CN"/>
        </w:rPr>
        <w:t>6）设计使用年限：3类（50年），属多层；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hAnsi="宋体"/>
          <w:color w:val="auto"/>
          <w:sz w:val="28"/>
          <w:szCs w:val="28"/>
          <w:lang w:val="en-US" w:eastAsia="zh-CN"/>
        </w:rPr>
      </w:pPr>
      <w:r>
        <w:rPr>
          <w:rFonts w:hint="eastAsia" w:hAnsi="宋体"/>
          <w:color w:val="auto"/>
          <w:sz w:val="28"/>
          <w:szCs w:val="28"/>
          <w:lang w:val="en-US" w:eastAsia="zh-CN"/>
        </w:rPr>
        <w:t>7）结构类型：框架结构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cs="宋体"/>
          <w:color w:val="auto"/>
          <w:sz w:val="28"/>
        </w:rPr>
      </w:pPr>
      <w:r>
        <w:rPr>
          <w:rFonts w:hint="eastAsia" w:hAnsi="宋体" w:cs="宋体"/>
          <w:color w:val="auto"/>
          <w:sz w:val="28"/>
        </w:rPr>
        <w:t>3、土地基本情况</w:t>
      </w:r>
    </w:p>
    <w:p>
      <w:pPr>
        <w:snapToGrid w:val="0"/>
        <w:spacing w:line="520" w:lineRule="exact"/>
        <w:ind w:firstLine="560" w:firstLineChars="200"/>
        <w:rPr>
          <w:rFonts w:hAnsi="宋体" w:cs="宋体"/>
          <w:sz w:val="28"/>
          <w:szCs w:val="28"/>
        </w:rPr>
      </w:pPr>
      <w:r>
        <w:rPr>
          <w:rFonts w:hint="eastAsia" w:hAnsi="宋体" w:cs="宋体"/>
          <w:sz w:val="28"/>
          <w:szCs w:val="28"/>
        </w:rPr>
        <w:t>估价对象位于</w:t>
      </w:r>
      <w:r>
        <w:rPr>
          <w:rFonts w:hint="eastAsia" w:hAnsi="宋体" w:cs="宋体"/>
          <w:sz w:val="28"/>
          <w:szCs w:val="28"/>
          <w:lang w:eastAsia="zh-CN"/>
        </w:rPr>
        <w:t>汾阳市学院路西侧、中国银行北侧</w:t>
      </w:r>
      <w:r>
        <w:rPr>
          <w:rFonts w:hint="eastAsia" w:hAnsi="宋体" w:cs="宋体"/>
          <w:sz w:val="28"/>
          <w:szCs w:val="28"/>
        </w:rPr>
        <w:t>，其所在项目对外推广名为“</w:t>
      </w:r>
      <w:r>
        <w:rPr>
          <w:rFonts w:hint="eastAsia" w:hAnsi="宋体" w:cs="宋体"/>
          <w:sz w:val="28"/>
          <w:szCs w:val="28"/>
          <w:lang w:val="en-US" w:eastAsia="zh-CN"/>
        </w:rPr>
        <w:t>汾阳市豊足·汾阳壹号</w:t>
      </w:r>
      <w:r>
        <w:rPr>
          <w:rFonts w:hint="eastAsia" w:hAnsi="宋体" w:cs="宋体"/>
          <w:sz w:val="28"/>
          <w:szCs w:val="28"/>
        </w:rPr>
        <w:t>”</w:t>
      </w:r>
      <w:r>
        <w:rPr>
          <w:rFonts w:hint="eastAsia" w:hAnsi="宋体" w:cs="宋体"/>
          <w:sz w:val="28"/>
          <w:szCs w:val="28"/>
          <w:lang w:eastAsia="zh-CN"/>
        </w:rPr>
        <w:t>，</w:t>
      </w:r>
      <w:r>
        <w:rPr>
          <w:rFonts w:hint="eastAsia" w:hAnsi="宋体" w:cs="宋体"/>
          <w:sz w:val="28"/>
          <w:szCs w:val="28"/>
          <w:lang w:val="en-US" w:eastAsia="zh-CN"/>
        </w:rPr>
        <w:t>估价对象为其中的5号楼</w:t>
      </w:r>
      <w:r>
        <w:rPr>
          <w:rFonts w:hint="eastAsia" w:hAnsi="宋体" w:cs="宋体"/>
          <w:sz w:val="28"/>
          <w:szCs w:val="28"/>
        </w:rPr>
        <w:t>。</w:t>
      </w:r>
    </w:p>
    <w:p>
      <w:pPr>
        <w:pStyle w:val="2"/>
        <w:spacing w:line="520" w:lineRule="exact"/>
        <w:ind w:firstLine="560"/>
        <w:rPr>
          <w:rFonts w:hint="eastAsia" w:ascii="宋体" w:hAnsi="宋体" w:eastAsia="宋体" w:cs="宋体"/>
          <w:color w:val="000000"/>
          <w:sz w:val="28"/>
          <w:szCs w:val="28"/>
          <w:lang w:val="en-US" w:eastAsia="zh-CN"/>
        </w:rPr>
      </w:pPr>
      <w:r>
        <w:rPr>
          <w:rFonts w:hint="eastAsia" w:ascii="宋体" w:hAnsi="宋体" w:eastAsia="宋体" w:cs="宋体"/>
          <w:sz w:val="28"/>
          <w:szCs w:val="28"/>
          <w:lang w:eastAsia="zh-CN"/>
        </w:rPr>
        <w:t>小区土地</w:t>
      </w:r>
      <w:r>
        <w:rPr>
          <w:rFonts w:hint="eastAsia" w:ascii="宋体" w:hAnsi="宋体" w:eastAsia="宋体" w:cs="宋体"/>
          <w:sz w:val="28"/>
          <w:szCs w:val="28"/>
        </w:rPr>
        <w:t>所有权属于国家，</w:t>
      </w:r>
      <w:r>
        <w:rPr>
          <w:rFonts w:hint="eastAsia" w:ascii="宋体" w:hAnsi="宋体" w:eastAsia="宋体" w:cs="宋体"/>
          <w:color w:val="000000"/>
          <w:sz w:val="28"/>
          <w:szCs w:val="28"/>
          <w:lang w:eastAsia="zh-CN"/>
        </w:rPr>
        <w:t>吕梁恒信房地产开发有限公司</w:t>
      </w:r>
      <w:r>
        <w:rPr>
          <w:rFonts w:hint="eastAsia" w:ascii="宋体" w:hAnsi="宋体" w:eastAsia="宋体" w:cs="宋体"/>
          <w:color w:val="000000"/>
          <w:sz w:val="28"/>
          <w:szCs w:val="28"/>
        </w:rPr>
        <w:t>20</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30</w:t>
      </w:r>
      <w:r>
        <w:rPr>
          <w:rFonts w:hint="eastAsia" w:ascii="宋体" w:hAnsi="宋体" w:eastAsia="宋体" w:cs="宋体"/>
          <w:color w:val="000000"/>
          <w:sz w:val="28"/>
          <w:szCs w:val="28"/>
        </w:rPr>
        <w:t>日与</w:t>
      </w:r>
      <w:r>
        <w:rPr>
          <w:rFonts w:hint="eastAsia" w:ascii="宋体" w:hAnsi="宋体" w:eastAsia="宋体" w:cs="宋体"/>
          <w:color w:val="000000"/>
          <w:sz w:val="28"/>
          <w:szCs w:val="28"/>
          <w:lang w:val="en-US" w:eastAsia="zh-CN"/>
        </w:rPr>
        <w:t>汾阳市国土资源局</w:t>
      </w:r>
      <w:r>
        <w:rPr>
          <w:rFonts w:hint="eastAsia" w:ascii="宋体" w:hAnsi="宋体" w:eastAsia="宋体" w:cs="宋体"/>
          <w:color w:val="000000"/>
          <w:sz w:val="28"/>
          <w:szCs w:val="28"/>
        </w:rPr>
        <w:t>签订了合同编号</w:t>
      </w:r>
      <w:r>
        <w:rPr>
          <w:rFonts w:hint="eastAsia" w:ascii="宋体" w:hAnsi="宋体" w:eastAsia="宋体" w:cs="宋体"/>
          <w:color w:val="000000"/>
          <w:sz w:val="28"/>
          <w:szCs w:val="28"/>
          <w:lang w:val="en-US" w:eastAsia="zh-CN"/>
        </w:rPr>
        <w:t>--142303[2015]1015</w:t>
      </w:r>
      <w:r>
        <w:rPr>
          <w:rFonts w:hint="eastAsia" w:ascii="宋体" w:hAnsi="宋体" w:eastAsia="宋体" w:cs="宋体"/>
          <w:color w:val="000000"/>
          <w:sz w:val="28"/>
          <w:szCs w:val="28"/>
        </w:rPr>
        <w:t>的《国有建设用地使用权出让合同》，以出让方式取得位于</w:t>
      </w:r>
      <w:r>
        <w:rPr>
          <w:rFonts w:hint="eastAsia" w:ascii="宋体" w:hAnsi="宋体" w:eastAsia="宋体" w:cs="宋体"/>
          <w:color w:val="000000"/>
          <w:sz w:val="28"/>
          <w:szCs w:val="28"/>
          <w:lang w:val="en-US" w:eastAsia="zh-CN"/>
        </w:rPr>
        <w:t>汾阳市学院路西侧、中国银行北侧，</w:t>
      </w:r>
      <w:r>
        <w:rPr>
          <w:rFonts w:hint="eastAsia" w:ascii="宋体" w:hAnsi="宋体" w:eastAsia="宋体" w:cs="宋体"/>
          <w:color w:val="000000"/>
          <w:sz w:val="28"/>
          <w:szCs w:val="28"/>
        </w:rPr>
        <w:t>面积</w:t>
      </w:r>
      <w:r>
        <w:rPr>
          <w:rFonts w:hint="eastAsia" w:ascii="宋体" w:hAnsi="宋体" w:eastAsia="宋体" w:cs="宋体"/>
          <w:color w:val="000000"/>
          <w:sz w:val="28"/>
          <w:szCs w:val="28"/>
          <w:lang w:val="en-US" w:eastAsia="zh-CN"/>
        </w:rPr>
        <w:t>34474.53</w:t>
      </w:r>
      <w:r>
        <w:rPr>
          <w:rFonts w:hint="eastAsia" w:ascii="宋体" w:hAnsi="宋体" w:eastAsia="宋体" w:cs="宋体"/>
          <w:color w:val="000000"/>
          <w:sz w:val="28"/>
          <w:szCs w:val="28"/>
        </w:rPr>
        <w:t>平方米的土地使用权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A地块为33911.70平方米，B地块为562.83平方</w:t>
      </w:r>
      <w:r>
        <w:rPr>
          <w:rFonts w:hint="eastAsia" w:hAnsi="宋体" w:cs="宋体"/>
          <w:sz w:val="28"/>
          <w:szCs w:val="28"/>
          <w:lang w:val="en-US" w:eastAsia="zh-CN"/>
        </w:rPr>
        <w:t>米</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，用途为</w:t>
      </w:r>
      <w:r>
        <w:rPr>
          <w:rFonts w:hint="eastAsia" w:ascii="宋体" w:hAnsi="宋体" w:eastAsia="宋体" w:cs="宋体"/>
          <w:color w:val="000000"/>
          <w:sz w:val="28"/>
          <w:szCs w:val="28"/>
          <w:lang w:val="en-US" w:eastAsia="zh-CN"/>
        </w:rPr>
        <w:t>住宅和商业，其中其他普通商品住房用地面积28824.95平方米，其他商服用地面积5086.75平方米。</w:t>
      </w:r>
      <w:r>
        <w:rPr>
          <w:rFonts w:hint="eastAsia" w:ascii="宋体" w:hAnsi="宋体" w:eastAsia="宋体" w:cs="宋体"/>
          <w:color w:val="000000"/>
          <w:sz w:val="28"/>
          <w:szCs w:val="28"/>
        </w:rPr>
        <w:t>容积率不高于</w:t>
      </w:r>
      <w:r>
        <w:rPr>
          <w:rFonts w:hint="eastAsia" w:ascii="宋体" w:hAnsi="宋体" w:eastAsia="宋体" w:cs="宋体"/>
          <w:color w:val="000000"/>
          <w:sz w:val="28"/>
          <w:szCs w:val="28"/>
          <w:lang w:val="en-US" w:eastAsia="zh-CN"/>
        </w:rPr>
        <w:t>3.45</w:t>
      </w:r>
      <w:r>
        <w:rPr>
          <w:rFonts w:hint="eastAsia" w:ascii="宋体" w:hAnsi="宋体" w:eastAsia="宋体" w:cs="宋体"/>
          <w:color w:val="000000"/>
          <w:sz w:val="28"/>
          <w:szCs w:val="28"/>
        </w:rPr>
        <w:t>，不低于</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成交总价款为</w:t>
      </w:r>
      <w:r>
        <w:rPr>
          <w:rFonts w:hint="eastAsia" w:ascii="宋体" w:hAnsi="宋体" w:eastAsia="宋体" w:cs="宋体"/>
          <w:color w:val="000000"/>
          <w:sz w:val="28"/>
          <w:szCs w:val="28"/>
          <w:lang w:val="en-US" w:eastAsia="zh-CN"/>
        </w:rPr>
        <w:t>5896万元。</w:t>
      </w:r>
    </w:p>
    <w:p>
      <w:pPr>
        <w:pStyle w:val="2"/>
        <w:spacing w:line="520" w:lineRule="exact"/>
        <w:ind w:firstLine="56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吕梁恒信房地产开发有限公司</w:t>
      </w:r>
      <w:r>
        <w:rPr>
          <w:rFonts w:hint="eastAsia" w:ascii="宋体" w:hAnsi="宋体" w:eastAsia="宋体" w:cs="宋体"/>
          <w:color w:val="000000"/>
          <w:sz w:val="28"/>
          <w:szCs w:val="28"/>
        </w:rPr>
        <w:t>于201</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年领取了《国有土地使用证》，</w:t>
      </w:r>
      <w:r>
        <w:rPr>
          <w:rFonts w:hint="eastAsia" w:ascii="宋体" w:hAnsi="宋体" w:eastAsia="宋体" w:cs="宋体"/>
          <w:color w:val="000000"/>
          <w:sz w:val="28"/>
          <w:szCs w:val="28"/>
          <w:lang w:eastAsia="zh-CN"/>
        </w:rPr>
        <w:t>估价对象位于该土地证范围，</w:t>
      </w:r>
      <w:r>
        <w:rPr>
          <w:rFonts w:hint="eastAsia" w:ascii="宋体" w:hAnsi="宋体" w:eastAsia="宋体" w:cs="宋体"/>
          <w:color w:val="000000"/>
          <w:sz w:val="28"/>
          <w:szCs w:val="28"/>
        </w:rPr>
        <w:t>具体登记状况如下：</w:t>
      </w:r>
    </w:p>
    <w:p>
      <w:pPr>
        <w:adjustRightInd w:val="0"/>
        <w:snapToGrid w:val="0"/>
        <w:spacing w:line="500" w:lineRule="exact"/>
        <w:ind w:firstLine="560" w:firstLineChars="200"/>
        <w:rPr>
          <w:rFonts w:hint="eastAsia" w:hAnsi="宋体" w:cs="宋体"/>
          <w:sz w:val="28"/>
          <w:szCs w:val="28"/>
          <w:lang w:val="en-US" w:eastAsia="zh-CN"/>
        </w:rPr>
      </w:pPr>
      <w:r>
        <w:rPr>
          <w:rFonts w:hint="eastAsia" w:hAnsi="宋体" w:cs="宋体"/>
          <w:sz w:val="28"/>
          <w:szCs w:val="28"/>
        </w:rPr>
        <w:t>编号：</w:t>
      </w:r>
      <w:r>
        <w:rPr>
          <w:rFonts w:hint="eastAsia" w:hAnsi="宋体" w:cs="宋体"/>
          <w:sz w:val="28"/>
          <w:szCs w:val="28"/>
          <w:lang w:val="en-US" w:eastAsia="zh-CN"/>
        </w:rPr>
        <w:t>汾国用（2016）第4号</w:t>
      </w:r>
    </w:p>
    <w:p>
      <w:pPr>
        <w:adjustRightInd w:val="0"/>
        <w:snapToGrid w:val="0"/>
        <w:spacing w:line="500" w:lineRule="exact"/>
        <w:ind w:firstLine="560" w:firstLineChars="200"/>
        <w:rPr>
          <w:rFonts w:hint="eastAsia" w:hAnsi="宋体" w:eastAsia="宋体" w:cs="宋体"/>
          <w:sz w:val="28"/>
          <w:szCs w:val="28"/>
          <w:lang w:eastAsia="zh-CN"/>
        </w:rPr>
      </w:pPr>
      <w:r>
        <w:rPr>
          <w:rFonts w:hint="eastAsia" w:hAnsi="宋体" w:cs="宋体"/>
          <w:sz w:val="28"/>
          <w:szCs w:val="28"/>
        </w:rPr>
        <w:t>土地使用权人：</w:t>
      </w:r>
      <w:r>
        <w:rPr>
          <w:rFonts w:hint="eastAsia" w:hAnsi="宋体" w:cs="宋体"/>
          <w:sz w:val="28"/>
          <w:szCs w:val="28"/>
          <w:lang w:eastAsia="zh-CN"/>
        </w:rPr>
        <w:t>吕梁恒信房地产开发有限公司</w:t>
      </w:r>
    </w:p>
    <w:p>
      <w:pPr>
        <w:adjustRightInd w:val="0"/>
        <w:snapToGrid w:val="0"/>
        <w:spacing w:line="500" w:lineRule="exact"/>
        <w:ind w:firstLine="560" w:firstLineChars="200"/>
        <w:rPr>
          <w:rFonts w:hint="eastAsia" w:hAnsi="宋体" w:eastAsia="宋体" w:cs="宋体"/>
          <w:sz w:val="28"/>
          <w:szCs w:val="28"/>
          <w:lang w:eastAsia="zh-CN"/>
        </w:rPr>
      </w:pPr>
      <w:r>
        <w:rPr>
          <w:rFonts w:hint="eastAsia" w:hAnsi="宋体" w:cs="宋体"/>
          <w:sz w:val="28"/>
          <w:szCs w:val="28"/>
        </w:rPr>
        <w:t>座落：</w:t>
      </w:r>
      <w:r>
        <w:rPr>
          <w:rFonts w:hint="eastAsia" w:hAnsi="宋体" w:cs="宋体"/>
          <w:sz w:val="28"/>
          <w:szCs w:val="28"/>
          <w:lang w:eastAsia="zh-CN"/>
        </w:rPr>
        <w:t>汾阳市学院路西侧、中国银行北侧</w:t>
      </w:r>
    </w:p>
    <w:p>
      <w:pPr>
        <w:adjustRightInd w:val="0"/>
        <w:snapToGrid w:val="0"/>
        <w:spacing w:line="500" w:lineRule="exact"/>
        <w:ind w:firstLine="560" w:firstLineChars="200"/>
        <w:rPr>
          <w:rFonts w:hint="eastAsia" w:hAnsi="宋体" w:cs="宋体"/>
          <w:sz w:val="28"/>
          <w:szCs w:val="28"/>
          <w:lang w:val="en-US" w:eastAsia="zh-CN"/>
        </w:rPr>
      </w:pPr>
      <w:r>
        <w:rPr>
          <w:rFonts w:hint="eastAsia" w:hAnsi="宋体" w:cs="宋体"/>
          <w:sz w:val="28"/>
          <w:szCs w:val="28"/>
        </w:rPr>
        <w:t>地类（用途）：</w:t>
      </w:r>
      <w:r>
        <w:rPr>
          <w:rFonts w:hint="eastAsia" w:hAnsi="宋体" w:cs="宋体"/>
          <w:sz w:val="28"/>
          <w:szCs w:val="28"/>
          <w:lang w:val="en-US" w:eastAsia="zh-CN"/>
        </w:rPr>
        <w:t>商住、商服</w:t>
      </w:r>
    </w:p>
    <w:p>
      <w:pPr>
        <w:adjustRightInd w:val="0"/>
        <w:snapToGrid w:val="0"/>
        <w:spacing w:line="500" w:lineRule="exact"/>
        <w:ind w:firstLine="560" w:firstLineChars="200"/>
        <w:rPr>
          <w:rFonts w:hint="default" w:hAnsi="宋体" w:eastAsia="宋体" w:cs="宋体"/>
          <w:sz w:val="28"/>
          <w:szCs w:val="28"/>
          <w:lang w:val="en-US" w:eastAsia="zh-CN"/>
        </w:rPr>
      </w:pPr>
      <w:r>
        <w:rPr>
          <w:rFonts w:hint="eastAsia" w:hAnsi="宋体" w:cs="宋体"/>
          <w:sz w:val="28"/>
          <w:szCs w:val="28"/>
          <w:lang w:val="en-US" w:eastAsia="zh-CN"/>
        </w:rPr>
        <w:t>取得价格：5896万元</w:t>
      </w:r>
    </w:p>
    <w:p>
      <w:pPr>
        <w:adjustRightInd w:val="0"/>
        <w:snapToGrid w:val="0"/>
        <w:spacing w:line="500" w:lineRule="exact"/>
        <w:ind w:firstLine="560" w:firstLineChars="200"/>
        <w:rPr>
          <w:rFonts w:hint="eastAsia" w:eastAsia="仿宋_GB2312"/>
          <w:lang w:val="en-US" w:eastAsia="zh-CN"/>
        </w:rPr>
      </w:pPr>
      <w:r>
        <w:rPr>
          <w:rFonts w:hint="eastAsia" w:hAnsi="宋体" w:cs="宋体"/>
          <w:sz w:val="28"/>
          <w:szCs w:val="28"/>
        </w:rPr>
        <w:t>使用权类型：出让</w:t>
      </w:r>
    </w:p>
    <w:p>
      <w:pPr>
        <w:adjustRightInd w:val="0"/>
        <w:snapToGrid w:val="0"/>
        <w:spacing w:line="500" w:lineRule="exact"/>
        <w:ind w:firstLine="560" w:firstLineChars="200"/>
        <w:rPr>
          <w:rFonts w:hint="default" w:hAnsi="宋体" w:eastAsia="宋体" w:cs="宋体"/>
          <w:sz w:val="28"/>
          <w:szCs w:val="28"/>
          <w:lang w:val="en-US" w:eastAsia="zh-CN"/>
        </w:rPr>
      </w:pPr>
      <w:r>
        <w:rPr>
          <w:rFonts w:hint="eastAsia" w:hAnsi="宋体" w:cs="宋体"/>
          <w:sz w:val="28"/>
          <w:szCs w:val="28"/>
        </w:rPr>
        <w:t>终止日期：</w:t>
      </w:r>
      <w:r>
        <w:rPr>
          <w:rFonts w:hint="eastAsia" w:hAnsi="宋体" w:cs="宋体"/>
          <w:sz w:val="28"/>
          <w:szCs w:val="28"/>
          <w:lang w:val="en-US" w:eastAsia="zh-CN"/>
        </w:rPr>
        <w:t>商住</w:t>
      </w:r>
      <w:r>
        <w:rPr>
          <w:rFonts w:hint="eastAsia" w:hAnsi="宋体" w:cs="宋体"/>
          <w:sz w:val="28"/>
          <w:szCs w:val="28"/>
        </w:rPr>
        <w:t>20</w:t>
      </w:r>
      <w:r>
        <w:rPr>
          <w:rFonts w:hint="eastAsia" w:hAnsi="宋体" w:cs="宋体"/>
          <w:sz w:val="28"/>
          <w:szCs w:val="28"/>
          <w:lang w:val="en-US" w:eastAsia="zh-CN"/>
        </w:rPr>
        <w:t>85</w:t>
      </w:r>
      <w:r>
        <w:rPr>
          <w:rFonts w:hint="eastAsia" w:hAnsi="宋体" w:cs="宋体"/>
          <w:sz w:val="28"/>
          <w:szCs w:val="28"/>
        </w:rPr>
        <w:t>.</w:t>
      </w:r>
      <w:r>
        <w:rPr>
          <w:rFonts w:hint="eastAsia" w:hAnsi="宋体" w:cs="宋体"/>
          <w:sz w:val="28"/>
          <w:szCs w:val="28"/>
          <w:lang w:val="en-US" w:eastAsia="zh-CN"/>
        </w:rPr>
        <w:t>11</w:t>
      </w:r>
      <w:r>
        <w:rPr>
          <w:rFonts w:hint="eastAsia" w:hAnsi="宋体" w:cs="宋体"/>
          <w:sz w:val="28"/>
          <w:szCs w:val="28"/>
        </w:rPr>
        <w:t>.</w:t>
      </w:r>
      <w:r>
        <w:rPr>
          <w:rFonts w:hint="eastAsia" w:hAnsi="宋体" w:cs="宋体"/>
          <w:sz w:val="28"/>
          <w:szCs w:val="28"/>
          <w:lang w:val="en-US" w:eastAsia="zh-CN"/>
        </w:rPr>
        <w:t>29；商服</w:t>
      </w:r>
      <w:r>
        <w:rPr>
          <w:rFonts w:hint="eastAsia" w:hAnsi="宋体" w:cs="宋体"/>
          <w:sz w:val="28"/>
          <w:szCs w:val="28"/>
        </w:rPr>
        <w:t>20</w:t>
      </w:r>
      <w:r>
        <w:rPr>
          <w:rFonts w:hint="eastAsia" w:hAnsi="宋体" w:cs="宋体"/>
          <w:sz w:val="28"/>
          <w:szCs w:val="28"/>
          <w:lang w:val="en-US" w:eastAsia="zh-CN"/>
        </w:rPr>
        <w:t>55</w:t>
      </w:r>
      <w:r>
        <w:rPr>
          <w:rFonts w:hint="eastAsia" w:hAnsi="宋体" w:cs="宋体"/>
          <w:sz w:val="28"/>
          <w:szCs w:val="28"/>
        </w:rPr>
        <w:t>.</w:t>
      </w:r>
      <w:r>
        <w:rPr>
          <w:rFonts w:hint="eastAsia" w:hAnsi="宋体" w:cs="宋体"/>
          <w:sz w:val="28"/>
          <w:szCs w:val="28"/>
          <w:lang w:val="en-US" w:eastAsia="zh-CN"/>
        </w:rPr>
        <w:t>11</w:t>
      </w:r>
      <w:r>
        <w:rPr>
          <w:rFonts w:hint="eastAsia" w:hAnsi="宋体" w:cs="宋体"/>
          <w:sz w:val="28"/>
          <w:szCs w:val="28"/>
        </w:rPr>
        <w:t>.</w:t>
      </w:r>
      <w:r>
        <w:rPr>
          <w:rFonts w:hint="eastAsia" w:hAnsi="宋体" w:cs="宋体"/>
          <w:sz w:val="28"/>
          <w:szCs w:val="28"/>
          <w:lang w:val="en-US" w:eastAsia="zh-CN"/>
        </w:rPr>
        <w:t>29</w:t>
      </w:r>
    </w:p>
    <w:p>
      <w:pPr>
        <w:adjustRightInd w:val="0"/>
        <w:snapToGrid w:val="0"/>
        <w:spacing w:line="500" w:lineRule="exact"/>
        <w:ind w:firstLine="560" w:firstLineChars="200"/>
        <w:rPr>
          <w:rFonts w:hAnsi="宋体" w:cs="宋体"/>
          <w:sz w:val="28"/>
          <w:szCs w:val="28"/>
        </w:rPr>
      </w:pPr>
      <w:r>
        <w:rPr>
          <w:rFonts w:hint="eastAsia" w:hAnsi="宋体" w:cs="宋体"/>
          <w:sz w:val="28"/>
          <w:szCs w:val="28"/>
        </w:rPr>
        <w:t>使用权面积：</w:t>
      </w:r>
      <w:r>
        <w:rPr>
          <w:rFonts w:hint="eastAsia" w:hAnsi="宋体" w:cs="宋体"/>
          <w:sz w:val="28"/>
          <w:szCs w:val="28"/>
          <w:lang w:val="en-US" w:eastAsia="zh-CN"/>
        </w:rPr>
        <w:t>33911.70</w:t>
      </w:r>
      <w:r>
        <w:rPr>
          <w:rFonts w:hint="eastAsia" w:hAnsi="宋体" w:cs="宋体"/>
          <w:sz w:val="28"/>
          <w:szCs w:val="28"/>
        </w:rPr>
        <w:t>平方米</w:t>
      </w:r>
    </w:p>
    <w:p>
      <w:pPr>
        <w:adjustRightInd w:val="0"/>
        <w:snapToGrid w:val="0"/>
        <w:spacing w:line="520" w:lineRule="atLeast"/>
        <w:ind w:firstLine="560" w:firstLineChars="200"/>
        <w:rPr>
          <w:rFonts w:hAnsi="宋体" w:cs="宋体"/>
          <w:sz w:val="28"/>
        </w:rPr>
      </w:pPr>
      <w:r>
        <w:rPr>
          <w:rFonts w:hint="eastAsia" w:hAnsi="宋体" w:cs="宋体"/>
          <w:sz w:val="28"/>
        </w:rPr>
        <w:t>根据估价委托人介绍及估价人员实地查勘，估价对象所在宗地形状规则，地势平坦，地质条件良好，土地承载力较好。</w:t>
      </w:r>
    </w:p>
    <w:p>
      <w:pPr>
        <w:adjustRightInd w:val="0"/>
        <w:snapToGrid w:val="0"/>
        <w:spacing w:line="520" w:lineRule="atLeast"/>
        <w:ind w:firstLine="280" w:firstLineChars="100"/>
        <w:rPr>
          <w:rFonts w:hint="default" w:hAnsi="宋体" w:cs="宋体"/>
          <w:sz w:val="28"/>
          <w:lang w:val="en-US"/>
        </w:rPr>
      </w:pPr>
      <w:r>
        <w:rPr>
          <w:rFonts w:hint="eastAsia" w:hAnsi="宋体" w:cs="宋体"/>
          <w:sz w:val="28"/>
        </w:rPr>
        <w:t>估价对象所在区域市政基础设施达到“</w:t>
      </w:r>
      <w:r>
        <w:rPr>
          <w:rFonts w:hint="eastAsia" w:hAnsi="宋体" w:cs="宋体"/>
          <w:sz w:val="28"/>
          <w:lang w:val="en-US" w:eastAsia="zh-CN"/>
        </w:rPr>
        <w:t>七</w:t>
      </w:r>
      <w:r>
        <w:rPr>
          <w:rFonts w:hint="eastAsia" w:hAnsi="宋体" w:cs="宋体"/>
          <w:sz w:val="28"/>
        </w:rPr>
        <w:t>通”（即供水、排水、通路、通电、通讯、供暖</w:t>
      </w:r>
      <w:r>
        <w:rPr>
          <w:rFonts w:hint="eastAsia" w:hAnsi="宋体" w:cs="宋体"/>
          <w:sz w:val="28"/>
          <w:lang w:eastAsia="zh-CN"/>
        </w:rPr>
        <w:t>、</w:t>
      </w:r>
      <w:r>
        <w:rPr>
          <w:rFonts w:hint="eastAsia" w:hAnsi="宋体" w:cs="宋体"/>
          <w:sz w:val="28"/>
          <w:lang w:val="en-US" w:eastAsia="zh-CN"/>
        </w:rPr>
        <w:t>通气</w:t>
      </w:r>
      <w:r>
        <w:rPr>
          <w:rFonts w:hint="eastAsia" w:hAnsi="宋体" w:cs="宋体"/>
          <w:sz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color w:val="auto"/>
          <w:sz w:val="28"/>
        </w:rPr>
      </w:pPr>
      <w:r>
        <w:rPr>
          <w:rFonts w:hint="eastAsia" w:hAnsi="宋体"/>
          <w:color w:val="auto"/>
          <w:sz w:val="28"/>
        </w:rPr>
        <w:t>4、他项权利设立情况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color w:val="auto"/>
          <w:sz w:val="28"/>
          <w:szCs w:val="28"/>
        </w:rPr>
      </w:pPr>
      <w:r>
        <w:rPr>
          <w:rFonts w:hint="eastAsia" w:hAnsi="宋体"/>
          <w:color w:val="auto"/>
          <w:sz w:val="28"/>
          <w:szCs w:val="28"/>
        </w:rPr>
        <w:t>据估价委托方介绍及现场勘察，价值时点时估价对象存在查封</w:t>
      </w:r>
      <w:r>
        <w:rPr>
          <w:rFonts w:hint="eastAsia" w:hAnsi="宋体"/>
          <w:color w:val="auto"/>
          <w:sz w:val="28"/>
          <w:szCs w:val="28"/>
          <w:lang w:eastAsia="zh-CN"/>
        </w:rPr>
        <w:t>情况</w:t>
      </w:r>
      <w:r>
        <w:rPr>
          <w:rFonts w:hint="eastAsia" w:hAnsi="宋体"/>
          <w:color w:val="auto"/>
          <w:sz w:val="28"/>
          <w:szCs w:val="28"/>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textAlignment w:val="auto"/>
        <w:outlineLvl w:val="1"/>
        <w:rPr>
          <w:b/>
          <w:bCs/>
          <w:color w:val="auto"/>
          <w:sz w:val="28"/>
        </w:rPr>
      </w:pPr>
      <w:bookmarkStart w:id="23" w:name="_Toc21388"/>
      <w:r>
        <w:rPr>
          <w:rFonts w:hint="eastAsia"/>
          <w:b/>
          <w:bCs/>
          <w:color w:val="auto"/>
          <w:sz w:val="28"/>
        </w:rPr>
        <w:t>二、市场背景描述与分析</w:t>
      </w:r>
      <w:bookmarkEnd w:id="23"/>
    </w:p>
    <w:p>
      <w:pPr>
        <w:keepNext w:val="0"/>
        <w:keepLines w:val="0"/>
        <w:pageBreakBefore w:val="0"/>
        <w:widowControl w:val="0"/>
        <w:wordWrap/>
        <w:topLinePunct w:val="0"/>
        <w:bidi w:val="0"/>
        <w:adjustRightInd w:val="0"/>
        <w:snapToGrid w:val="0"/>
        <w:spacing w:line="520" w:lineRule="exact"/>
        <w:ind w:firstLine="560" w:firstLineChars="200"/>
        <w:textAlignment w:val="auto"/>
        <w:rPr>
          <w:rFonts w:hint="eastAsia" w:eastAsia="宋体"/>
          <w:color w:val="000000" w:themeColor="text1"/>
          <w:sz w:val="28"/>
          <w:lang w:eastAsia="zh-CN"/>
        </w:rPr>
      </w:pPr>
      <w:r>
        <w:rPr>
          <w:rFonts w:hint="eastAsia"/>
          <w:color w:val="000000" w:themeColor="text1"/>
          <w:sz w:val="28"/>
          <w:lang w:val="en-US" w:eastAsia="zh-CN"/>
        </w:rPr>
        <w:t>2022年</w:t>
      </w:r>
      <w:r>
        <w:rPr>
          <w:rFonts w:hint="eastAsia"/>
          <w:color w:val="000000" w:themeColor="text1"/>
          <w:sz w:val="28"/>
        </w:rPr>
        <w:t>一季度，</w:t>
      </w:r>
      <w:r>
        <w:rPr>
          <w:rFonts w:hint="eastAsia"/>
          <w:color w:val="000000" w:themeColor="text1"/>
          <w:sz w:val="28"/>
          <w:lang w:val="en-US" w:eastAsia="zh-CN"/>
        </w:rPr>
        <w:t>汾阳</w:t>
      </w:r>
      <w:r>
        <w:rPr>
          <w:rFonts w:hint="eastAsia"/>
          <w:color w:val="000000" w:themeColor="text1"/>
          <w:sz w:val="28"/>
          <w:lang w:eastAsia="zh-CN"/>
        </w:rPr>
        <w:t>市</w:t>
      </w:r>
      <w:r>
        <w:rPr>
          <w:rFonts w:hint="eastAsia"/>
          <w:color w:val="000000" w:themeColor="text1"/>
          <w:sz w:val="28"/>
        </w:rPr>
        <w:t>经济总体保持平稳，但受疫情、原材料价格上涨和上年同期基数较高等多重因素影响，各项主要经济指标增速呈回落趋势，排名低于运城市平均水平，特别是限额以上社会消费品零售额和一般公共预算收入等指标处于负增长区间，与目标任务差距较大。</w:t>
      </w:r>
    </w:p>
    <w:p>
      <w:pPr>
        <w:pStyle w:val="22"/>
        <w:keepNext w:val="0"/>
        <w:keepLines w:val="0"/>
        <w:pageBreakBefore w:val="0"/>
        <w:widowControl w:val="0"/>
        <w:numPr>
          <w:ilvl w:val="0"/>
          <w:numId w:val="0"/>
        </w:numPr>
        <w:shd w:val="clear" w:color="auto"/>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1、汾阳市2021年主要经济指标完成情况</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（1）汾阳市2021年地区生产总值（GDP）243.21亿元，同比增长16.8%，在吕梁市总量排名第3，增速排名第1。</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（2）汾阳市2021年规模以上工业增加值同比增长31.5%，在吕梁市增速排名第1。</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（3）汾阳市2021年固定资产投资52.41亿元，同比增长5.5%，在吕梁市总量排名第2，增速排名第7。</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（4）汾阳市2021年社会消费品零售总额74.13亿元，同比增长15.3%，在吕梁市总量排名第 3，增速排名第7；其中限额以上社会消费品零售额10.03亿元，同比增长26.6%，在吕梁市总量排名第3，增速排名第4。</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95" w:firstLineChars="177"/>
        <w:textAlignment w:val="auto"/>
        <w:rPr>
          <w:rFonts w:hint="eastAsia"/>
          <w:kern w:val="2"/>
          <w:sz w:val="28"/>
          <w:szCs w:val="28"/>
          <w:lang w:val="en-US" w:eastAsia="zh-CN"/>
        </w:rPr>
      </w:pPr>
      <w:r>
        <w:rPr>
          <w:rFonts w:hint="eastAsia"/>
          <w:kern w:val="2"/>
          <w:sz w:val="28"/>
          <w:szCs w:val="28"/>
          <w:lang w:val="en-US" w:eastAsia="zh-CN"/>
        </w:rPr>
        <w:t>（5）汾阳市2021年一般预算收入28.17亿元，同比增长55.7%，在吕梁市总量排名第3，增速排名第3。</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（6）汾阳市2021年城镇居民人均可支配收入29338元，同比增长8.5%，在吕梁市总量排名第4，增速排名第1。</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（7）汾阳市2021年农村居民人均可支配收入17820元，同比增长9.5%，在吕梁市总量排名第2，增速排名第8。</w:t>
      </w:r>
    </w:p>
    <w:p>
      <w:pPr>
        <w:pStyle w:val="22"/>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2、经济运行特点</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left="0" w:leftChars="0" w:firstLine="420" w:firstLineChars="150"/>
        <w:textAlignment w:val="auto"/>
        <w:rPr>
          <w:rFonts w:hint="eastAsia"/>
          <w:kern w:val="2"/>
          <w:sz w:val="28"/>
          <w:szCs w:val="28"/>
          <w:lang w:val="en-US" w:eastAsia="zh-CN"/>
        </w:rPr>
      </w:pPr>
      <w:r>
        <w:rPr>
          <w:rFonts w:hint="eastAsia"/>
          <w:kern w:val="2"/>
          <w:sz w:val="28"/>
          <w:szCs w:val="28"/>
          <w:lang w:val="en-US" w:eastAsia="zh-CN"/>
        </w:rPr>
        <w:t>（1）全市经济持续恢复，GDP增量创历史新高 </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2021年全年GDP累计完成243.21亿元，比去年同期增加65.79亿元，同比增长16.8%，增量创历史新高，全市经济呈现出“量价齐增”的发展态势。 </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分产业看，第一产业增加值完成10.01亿元，同比增长4.8%；第二产业增加值完成141.87亿元，同比增长24.9%；第三产业增加值完成91.34亿元，同比增长9.2%，三次产业构成比例为4.1%:58.3%:37.6%，分别拉动经济增长 0.3、12.4、4.1个百分点。</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（2）固定资产投资平稳增长</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12月当月完成投资5.18亿元，同比增长72.7%。1-12月累计完成52.41亿元，同比增长5.5%，增速低于吕梁市4.6个百分点，其中：民间投资完成37.42亿元，占全市固定资产投资的比重为71.4%，同比增长21.8%。</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从产业结构看，三次产业投资协同发展，结构持续优化。1-12月，全市第一产业投资完成1.40亿元，同比增长235.0%，第二产业投资完成21.48亿元，同比增长1.9%，第三产业投资完成29.52亿元，同比增长4.8%，三次产业投资结构由上年同期的0.9%:42.4%:56.7%转变为今年的2.7%：41.0%：56.3%。</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280" w:firstLineChars="100"/>
        <w:textAlignment w:val="auto"/>
        <w:rPr>
          <w:rFonts w:hint="eastAsia"/>
          <w:kern w:val="2"/>
          <w:sz w:val="28"/>
          <w:szCs w:val="28"/>
          <w:lang w:val="en-US" w:eastAsia="zh-CN"/>
        </w:rPr>
      </w:pPr>
      <w:r>
        <w:rPr>
          <w:rFonts w:hint="eastAsia"/>
          <w:kern w:val="2"/>
          <w:sz w:val="28"/>
          <w:szCs w:val="28"/>
          <w:lang w:val="en-US" w:eastAsia="zh-CN"/>
        </w:rPr>
        <w:t>（3）消费市场增势强劲</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1）从消费形态看，零售餐饮业稳步增长。1-12月商品零售完成9.38亿元，同比增长25.2%；餐饮消费完成6467.5万元，同比增长31.0%。</w:t>
      </w:r>
    </w:p>
    <w:p>
      <w:pPr>
        <w:pStyle w:val="22"/>
        <w:keepNext w:val="0"/>
        <w:keepLines w:val="0"/>
        <w:pageBreakBefore w:val="0"/>
        <w:widowControl w:val="0"/>
        <w:shd w:val="clear" w:color="auto"/>
        <w:kinsoku/>
        <w:wordWrap/>
        <w:overflowPunct/>
        <w:topLinePunct w:val="0"/>
        <w:autoSpaceDE/>
        <w:autoSpaceDN/>
        <w:bidi w:val="0"/>
        <w:spacing w:before="0" w:beforeAutospacing="0" w:after="0" w:afterAutospacing="0" w:line="520" w:lineRule="exact"/>
        <w:ind w:firstLine="560" w:firstLineChars="200"/>
        <w:textAlignment w:val="auto"/>
        <w:rPr>
          <w:rFonts w:hint="eastAsia"/>
          <w:kern w:val="2"/>
          <w:sz w:val="28"/>
          <w:szCs w:val="28"/>
          <w:lang w:val="en-US" w:eastAsia="zh-CN"/>
        </w:rPr>
      </w:pPr>
      <w:r>
        <w:rPr>
          <w:rFonts w:hint="eastAsia"/>
          <w:kern w:val="2"/>
          <w:sz w:val="28"/>
          <w:szCs w:val="28"/>
          <w:lang w:val="en-US" w:eastAsia="zh-CN"/>
        </w:rPr>
        <w:t>2）从企业经营地看，城乡消费平稳增长。1-12月城镇消费完成8.63亿元，同比增长17.8%；乡村消费完成1.40亿元，同比增长110.6%。</w:t>
      </w:r>
    </w:p>
    <w:p>
      <w:pPr>
        <w:keepNext w:val="0"/>
        <w:keepLines w:val="0"/>
        <w:pageBreakBefore w:val="0"/>
        <w:widowControl w:val="0"/>
        <w:wordWrap/>
        <w:topLinePunct w:val="0"/>
        <w:bidi w:val="0"/>
        <w:adjustRightInd w:val="0"/>
        <w:snapToGrid w:val="0"/>
        <w:spacing w:line="520" w:lineRule="exact"/>
        <w:ind w:firstLine="560" w:firstLineChars="200"/>
        <w:textAlignment w:val="auto"/>
        <w:rPr>
          <w:rFonts w:hint="eastAsia"/>
          <w:color w:val="000000" w:themeColor="text1"/>
          <w:sz w:val="28"/>
          <w:lang w:val="en-US" w:eastAsia="zh-CN"/>
        </w:rPr>
      </w:pPr>
      <w:r>
        <w:rPr>
          <w:rFonts w:hint="eastAsia"/>
          <w:color w:val="000000" w:themeColor="text1"/>
          <w:sz w:val="28"/>
          <w:lang w:val="en-US" w:eastAsia="zh-CN"/>
        </w:rPr>
        <w:t>3、投资发展后劲不足</w:t>
      </w:r>
    </w:p>
    <w:p>
      <w:pPr>
        <w:keepNext w:val="0"/>
        <w:keepLines w:val="0"/>
        <w:pageBreakBefore w:val="0"/>
        <w:widowControl w:val="0"/>
        <w:wordWrap/>
        <w:topLinePunct w:val="0"/>
        <w:bidi w:val="0"/>
        <w:adjustRightInd w:val="0"/>
        <w:snapToGrid w:val="0"/>
        <w:spacing w:line="520" w:lineRule="exact"/>
        <w:ind w:left="0" w:leftChars="0" w:firstLine="420" w:firstLineChars="150"/>
        <w:textAlignment w:val="auto"/>
        <w:rPr>
          <w:rFonts w:hint="eastAsia"/>
          <w:color w:val="000000" w:themeColor="text1"/>
          <w:sz w:val="28"/>
          <w:lang w:val="en-US" w:eastAsia="zh-CN"/>
        </w:rPr>
      </w:pPr>
      <w:r>
        <w:rPr>
          <w:rFonts w:hint="eastAsia"/>
          <w:color w:val="000000" w:themeColor="text1"/>
          <w:sz w:val="28"/>
          <w:lang w:val="en-US" w:eastAsia="zh-CN"/>
        </w:rPr>
        <w:t>（1）实体产业投资恢复缓慢。一方面，房地产投资占比不断攀升。1-12月，房地产开发投资同比增长76.0%，占全市投资的比重为38.3%。房地产开发投资过快攀升可能会对实体产业投资产生挤压效应。另一方面，制造业投资占比下降明显。1-12月，制造业投资同比下降18.9%，占全市固定资产投资的比重19.2%。</w:t>
      </w:r>
    </w:p>
    <w:p>
      <w:pPr>
        <w:keepNext w:val="0"/>
        <w:keepLines w:val="0"/>
        <w:pageBreakBefore w:val="0"/>
        <w:widowControl w:val="0"/>
        <w:wordWrap/>
        <w:topLinePunct w:val="0"/>
        <w:bidi w:val="0"/>
        <w:adjustRightInd w:val="0"/>
        <w:snapToGrid w:val="0"/>
        <w:spacing w:line="520" w:lineRule="exact"/>
        <w:ind w:left="0" w:leftChars="0" w:firstLine="420" w:firstLineChars="150"/>
        <w:textAlignment w:val="auto"/>
        <w:rPr>
          <w:rFonts w:hint="eastAsia"/>
          <w:color w:val="000000" w:themeColor="text1"/>
          <w:sz w:val="28"/>
          <w:lang w:val="en-US" w:eastAsia="zh-CN"/>
        </w:rPr>
      </w:pPr>
      <w:r>
        <w:rPr>
          <w:rFonts w:hint="eastAsia"/>
          <w:color w:val="000000" w:themeColor="text1"/>
          <w:sz w:val="28"/>
          <w:lang w:val="en-US" w:eastAsia="zh-CN"/>
        </w:rPr>
        <w:t>（2）大项目缺乏，支撑力弱。截止12月底，计划总投资10亿元以上项目3个，占全部在库项目数的2.5%，完成投资额5.18亿元，仅占到全市固定资产投资额的9.9%，计划总投资5-10亿元以上项目8个，占全部在库项目数的6.7%，完成投资额 8.5亿元，仅占到全市固定资产投资额的16.0%，对投资整体发展支撑弱。</w:t>
      </w:r>
    </w:p>
    <w:p>
      <w:pPr>
        <w:keepNext w:val="0"/>
        <w:keepLines w:val="0"/>
        <w:pageBreakBefore w:val="0"/>
        <w:widowControl w:val="0"/>
        <w:wordWrap/>
        <w:topLinePunct w:val="0"/>
        <w:bidi w:val="0"/>
        <w:adjustRightInd w:val="0"/>
        <w:snapToGrid w:val="0"/>
        <w:spacing w:line="520" w:lineRule="exact"/>
        <w:ind w:firstLine="560" w:firstLineChars="200"/>
        <w:textAlignment w:val="auto"/>
        <w:rPr>
          <w:rFonts w:hint="eastAsia"/>
          <w:color w:val="000000" w:themeColor="text1"/>
          <w:sz w:val="28"/>
          <w:lang w:val="en-US" w:eastAsia="zh-CN"/>
        </w:rPr>
      </w:pPr>
      <w:r>
        <w:rPr>
          <w:rFonts w:hint="eastAsia"/>
          <w:color w:val="000000" w:themeColor="text1"/>
          <w:sz w:val="28"/>
          <w:lang w:val="en-US" w:eastAsia="zh-CN"/>
        </w:rPr>
        <w:t>（3）新入库项目支撑力度不够。1-12月，全市固定资产新入库项目有38个，较去年同期减少了4个项目，计划总投资为46.6亿元，较去年同期下降36.9%，呈现出“数量少、规模小”的特点。其中，有4个项目在本年度固定资产投资为0，项目处于停滞状态，剩余34个项目计划总投资为40.4亿元，但是本年完成投资仅为16.1亿元，同比增长13.4%。新入库项目投资乏力，未完成投资占比高，一定程度影响全市固定资产投资的平稳增长。</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1"/>
        <w:rPr>
          <w:b/>
          <w:bCs/>
          <w:color w:val="auto"/>
          <w:sz w:val="28"/>
        </w:rPr>
      </w:pPr>
      <w:bookmarkStart w:id="24" w:name="_Toc6912"/>
      <w:r>
        <w:rPr>
          <w:rFonts w:hint="eastAsia"/>
          <w:b/>
          <w:bCs/>
          <w:color w:val="auto"/>
          <w:sz w:val="28"/>
        </w:rPr>
        <w:t>三、最高最佳利用分析</w:t>
      </w:r>
      <w:bookmarkEnd w:id="24"/>
    </w:p>
    <w:p>
      <w:pPr>
        <w:keepNext w:val="0"/>
        <w:keepLines w:val="0"/>
        <w:pageBreakBefore w:val="0"/>
        <w:widowControl w:val="0"/>
        <w:kinsoku/>
        <w:wordWrap/>
        <w:overflowPunct/>
        <w:topLinePunct w:val="0"/>
        <w:autoSpaceDE/>
        <w:autoSpaceDN/>
        <w:bidi w:val="0"/>
        <w:adjustRightInd w:val="0"/>
        <w:snapToGrid w:val="0"/>
        <w:spacing w:line="520" w:lineRule="exact"/>
        <w:ind w:firstLine="527"/>
        <w:textAlignment w:val="auto"/>
        <w:rPr>
          <w:rFonts w:hAnsi="宋体"/>
          <w:color w:val="auto"/>
          <w:sz w:val="28"/>
          <w:szCs w:val="28"/>
        </w:rPr>
      </w:pPr>
      <w:r>
        <w:rPr>
          <w:rFonts w:hint="eastAsia"/>
          <w:color w:val="auto"/>
          <w:sz w:val="28"/>
        </w:rPr>
        <w:t>要求估价结果是在估价对象最高最佳利用状况下的价值或价格的原则。</w:t>
      </w:r>
      <w:r>
        <w:rPr>
          <w:rFonts w:hint="eastAsia" w:hAnsi="宋体"/>
          <w:color w:val="auto"/>
          <w:sz w:val="28"/>
          <w:szCs w:val="28"/>
        </w:rPr>
        <w:t>估价对象的最高最佳利用状况，应包括最佳的用途、规模和档次，并应按法律上允许、技术上可能、财务上可行、价值最大化的次序进行分析、筛选和判断确定。</w:t>
      </w:r>
    </w:p>
    <w:p>
      <w:pPr>
        <w:keepNext w:val="0"/>
        <w:keepLines w:val="0"/>
        <w:pageBreakBefore w:val="0"/>
        <w:widowControl w:val="0"/>
        <w:kinsoku/>
        <w:wordWrap/>
        <w:overflowPunct/>
        <w:topLinePunct w:val="0"/>
        <w:autoSpaceDE/>
        <w:autoSpaceDN/>
        <w:bidi w:val="0"/>
        <w:adjustRightInd w:val="0"/>
        <w:snapToGrid w:val="0"/>
        <w:spacing w:line="520" w:lineRule="exact"/>
        <w:ind w:firstLine="527"/>
        <w:textAlignment w:val="auto"/>
        <w:rPr>
          <w:rFonts w:hAnsi="宋体"/>
          <w:color w:val="auto"/>
          <w:sz w:val="28"/>
          <w:szCs w:val="28"/>
        </w:rPr>
      </w:pPr>
      <w:r>
        <w:rPr>
          <w:rFonts w:hint="eastAsia" w:hAnsi="宋体"/>
          <w:color w:val="auto"/>
          <w:sz w:val="28"/>
          <w:szCs w:val="28"/>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（1）以维持现状、继续利用最为合理的，应选择该前提进行估价；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（2）以更新改造再予以利用最为合理的，应选择该前提进行估价；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（3）以改变用途再予以利用最为合理的，应选择该前提进行估价；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（4）以改变规模再予以利用最为合理的，应选择该前提进行估价；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（5）以重新开发再予以利用最为合理的，应选择该前提进行估价；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color w:val="auto"/>
          <w:sz w:val="28"/>
          <w:szCs w:val="28"/>
        </w:rPr>
      </w:pPr>
      <w:r>
        <w:rPr>
          <w:rFonts w:hint="eastAsia" w:hAnsi="宋体"/>
          <w:color w:val="auto"/>
          <w:sz w:val="28"/>
          <w:szCs w:val="28"/>
        </w:rPr>
        <w:t>（6）其他情况，应采用上述前提的组合或其他特殊利用前提进行估价。</w:t>
      </w:r>
    </w:p>
    <w:p>
      <w:pPr>
        <w:keepNext w:val="0"/>
        <w:keepLines w:val="0"/>
        <w:pageBreakBefore w:val="0"/>
        <w:widowControl w:val="0"/>
        <w:kinsoku/>
        <w:wordWrap/>
        <w:overflowPunct/>
        <w:topLinePunct w:val="0"/>
        <w:autoSpaceDE/>
        <w:autoSpaceDN/>
        <w:bidi w:val="0"/>
        <w:adjustRightInd w:val="0"/>
        <w:snapToGrid w:val="0"/>
        <w:spacing w:line="520" w:lineRule="exact"/>
        <w:ind w:firstLine="527"/>
        <w:textAlignment w:val="auto"/>
        <w:rPr>
          <w:rFonts w:hAnsi="宋体"/>
          <w:color w:val="auto"/>
          <w:sz w:val="28"/>
          <w:szCs w:val="28"/>
        </w:rPr>
      </w:pPr>
      <w:r>
        <w:rPr>
          <w:rFonts w:hint="eastAsia" w:hAnsi="宋体"/>
          <w:color w:val="auto"/>
          <w:sz w:val="28"/>
          <w:szCs w:val="28"/>
        </w:rPr>
        <w:t>经研究分析，我们认为估价对象维持现状、继续</w:t>
      </w:r>
      <w:r>
        <w:rPr>
          <w:rFonts w:hint="eastAsia" w:hAnsi="宋体"/>
          <w:color w:val="auto"/>
          <w:sz w:val="28"/>
          <w:szCs w:val="28"/>
          <w:lang w:eastAsia="zh-CN"/>
        </w:rPr>
        <w:t>开发</w:t>
      </w:r>
      <w:r>
        <w:rPr>
          <w:rFonts w:hint="eastAsia" w:hAnsi="宋体"/>
          <w:color w:val="auto"/>
          <w:sz w:val="28"/>
          <w:szCs w:val="28"/>
        </w:rPr>
        <w:t>利用为其最高最佳利用方式。这是因为：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20" w:firstLineChars="150"/>
        <w:textAlignment w:val="auto"/>
        <w:rPr>
          <w:rFonts w:hAnsi="宋体"/>
          <w:color w:val="auto"/>
          <w:sz w:val="28"/>
          <w:szCs w:val="28"/>
        </w:rPr>
      </w:pPr>
      <w:r>
        <w:rPr>
          <w:rFonts w:hint="eastAsia" w:hAnsi="宋体"/>
          <w:color w:val="auto"/>
          <w:sz w:val="28"/>
          <w:szCs w:val="28"/>
        </w:rPr>
        <w:t>（1）法律上允许。本次估价目的是为司法鉴定提供参考依据，应以现状</w:t>
      </w:r>
      <w:r>
        <w:rPr>
          <w:rFonts w:hint="eastAsia" w:hAnsi="宋体"/>
          <w:color w:val="auto"/>
          <w:sz w:val="28"/>
          <w:szCs w:val="28"/>
          <w:lang w:eastAsia="zh-CN"/>
        </w:rPr>
        <w:t>开发</w:t>
      </w:r>
      <w:r>
        <w:rPr>
          <w:rFonts w:hint="eastAsia" w:hAnsi="宋体"/>
          <w:color w:val="auto"/>
          <w:sz w:val="28"/>
          <w:szCs w:val="28"/>
        </w:rPr>
        <w:t>利用为原则，从现有资料上看，估价对象从法律上暂时不具备改变用途、规模或者重新开发再利用的可能。故维持现状、</w:t>
      </w:r>
      <w:r>
        <w:rPr>
          <w:rFonts w:hint="eastAsia" w:hAnsi="宋体"/>
          <w:color w:val="auto"/>
          <w:sz w:val="28"/>
          <w:szCs w:val="28"/>
          <w:lang w:eastAsia="zh-CN"/>
        </w:rPr>
        <w:t>继续建设</w:t>
      </w:r>
      <w:r>
        <w:rPr>
          <w:rFonts w:hAnsi="宋体"/>
          <w:color w:val="auto"/>
          <w:sz w:val="28"/>
          <w:szCs w:val="28"/>
        </w:rPr>
        <w:t>在法律上是允许的</w:t>
      </w:r>
      <w:r>
        <w:rPr>
          <w:rFonts w:hint="eastAsia" w:hAnsi="宋体"/>
          <w:color w:val="auto"/>
          <w:sz w:val="28"/>
          <w:szCs w:val="28"/>
        </w:rPr>
        <w:t>，符合合法原则。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20" w:firstLineChars="150"/>
        <w:textAlignment w:val="auto"/>
        <w:rPr>
          <w:rFonts w:hAnsi="宋体"/>
          <w:color w:val="auto"/>
          <w:sz w:val="28"/>
          <w:szCs w:val="28"/>
        </w:rPr>
      </w:pPr>
      <w:r>
        <w:rPr>
          <w:rFonts w:hint="eastAsia" w:hAnsi="宋体"/>
          <w:color w:val="auto"/>
          <w:sz w:val="28"/>
          <w:szCs w:val="28"/>
        </w:rPr>
        <w:t>（2）</w:t>
      </w:r>
      <w:r>
        <w:rPr>
          <w:rFonts w:hAnsi="宋体"/>
          <w:color w:val="auto"/>
          <w:sz w:val="28"/>
          <w:szCs w:val="28"/>
        </w:rPr>
        <w:t>技术上可</w:t>
      </w:r>
      <w:r>
        <w:rPr>
          <w:rFonts w:hint="eastAsia" w:hAnsi="宋体"/>
          <w:color w:val="auto"/>
          <w:sz w:val="28"/>
          <w:szCs w:val="28"/>
        </w:rPr>
        <w:t>能。</w:t>
      </w:r>
      <w:r>
        <w:rPr>
          <w:rFonts w:hint="eastAsia" w:hAnsi="宋体"/>
          <w:sz w:val="28"/>
          <w:szCs w:val="28"/>
        </w:rPr>
        <w:t>估价对象土地用途为</w:t>
      </w:r>
      <w:r>
        <w:rPr>
          <w:rFonts w:hint="eastAsia" w:hAnsi="宋体"/>
          <w:sz w:val="28"/>
          <w:szCs w:val="28"/>
          <w:lang w:val="en-US" w:eastAsia="zh-CN"/>
        </w:rPr>
        <w:t>住宅兼容商业</w:t>
      </w:r>
      <w:r>
        <w:rPr>
          <w:rFonts w:hint="eastAsia" w:hAnsi="宋体"/>
          <w:sz w:val="28"/>
          <w:szCs w:val="28"/>
        </w:rPr>
        <w:t>用地，从实地查勘的情况来看，估价对象维持</w:t>
      </w:r>
      <w:r>
        <w:rPr>
          <w:rFonts w:hint="eastAsia" w:hAnsi="宋体"/>
          <w:sz w:val="28"/>
          <w:szCs w:val="28"/>
          <w:lang w:eastAsia="zh-CN"/>
        </w:rPr>
        <w:t>规划</w:t>
      </w:r>
      <w:r>
        <w:rPr>
          <w:rFonts w:hint="eastAsia" w:hAnsi="宋体"/>
          <w:sz w:val="28"/>
          <w:szCs w:val="28"/>
        </w:rPr>
        <w:t>利用</w:t>
      </w:r>
      <w:r>
        <w:rPr>
          <w:rFonts w:hAnsi="宋体"/>
          <w:sz w:val="28"/>
          <w:szCs w:val="28"/>
        </w:rPr>
        <w:t>在技术上是</w:t>
      </w:r>
      <w:r>
        <w:rPr>
          <w:rFonts w:hint="eastAsia" w:hAnsi="宋体"/>
          <w:sz w:val="28"/>
          <w:szCs w:val="28"/>
        </w:rPr>
        <w:t>非常适宜和可行</w:t>
      </w:r>
      <w:r>
        <w:rPr>
          <w:rFonts w:hAnsi="宋体"/>
          <w:sz w:val="28"/>
          <w:szCs w:val="28"/>
        </w:rPr>
        <w:t>的</w:t>
      </w:r>
      <w:r>
        <w:rPr>
          <w:rFonts w:hint="eastAsia" w:hAnsi="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20" w:firstLineChars="150"/>
        <w:textAlignment w:val="auto"/>
        <w:rPr>
          <w:rFonts w:hAnsi="宋体"/>
          <w:color w:val="auto"/>
          <w:sz w:val="28"/>
          <w:szCs w:val="28"/>
        </w:rPr>
      </w:pPr>
      <w:r>
        <w:rPr>
          <w:rFonts w:hint="eastAsia" w:hAnsi="宋体"/>
          <w:color w:val="auto"/>
          <w:sz w:val="28"/>
          <w:szCs w:val="28"/>
        </w:rPr>
        <w:t>（3）财务</w:t>
      </w:r>
      <w:r>
        <w:rPr>
          <w:rFonts w:hAnsi="宋体"/>
          <w:color w:val="auto"/>
          <w:sz w:val="28"/>
          <w:szCs w:val="28"/>
        </w:rPr>
        <w:t>上可行</w:t>
      </w:r>
      <w:r>
        <w:rPr>
          <w:rFonts w:hint="eastAsia" w:hAnsi="宋体"/>
          <w:color w:val="auto"/>
          <w:sz w:val="28"/>
          <w:szCs w:val="28"/>
        </w:rPr>
        <w:t>。估价对象</w:t>
      </w:r>
      <w:r>
        <w:rPr>
          <w:rFonts w:hint="eastAsia" w:hAnsi="宋体"/>
          <w:color w:val="auto"/>
          <w:sz w:val="28"/>
          <w:szCs w:val="28"/>
          <w:lang w:eastAsia="zh-CN"/>
        </w:rPr>
        <w:t>尚未</w:t>
      </w:r>
      <w:r>
        <w:rPr>
          <w:rFonts w:hint="eastAsia" w:hAnsi="宋体"/>
          <w:color w:val="auto"/>
          <w:sz w:val="28"/>
          <w:szCs w:val="28"/>
        </w:rPr>
        <w:t>建成，本次估价</w:t>
      </w:r>
      <w:r>
        <w:rPr>
          <w:rFonts w:hAnsi="宋体"/>
          <w:color w:val="auto"/>
          <w:sz w:val="28"/>
          <w:szCs w:val="28"/>
        </w:rPr>
        <w:t>采用维持现状</w:t>
      </w:r>
      <w:r>
        <w:rPr>
          <w:rFonts w:hint="eastAsia" w:hAnsi="宋体"/>
          <w:color w:val="auto"/>
          <w:sz w:val="28"/>
          <w:szCs w:val="28"/>
          <w:lang w:eastAsia="zh-CN"/>
        </w:rPr>
        <w:t>开发利用</w:t>
      </w:r>
      <w:r>
        <w:rPr>
          <w:rFonts w:hint="eastAsia" w:hAnsi="宋体"/>
          <w:color w:val="auto"/>
          <w:sz w:val="28"/>
          <w:szCs w:val="28"/>
        </w:rPr>
        <w:t>来实现估价对象最高最佳价值在</w:t>
      </w:r>
      <w:r>
        <w:rPr>
          <w:rFonts w:hAnsi="宋体"/>
          <w:color w:val="auto"/>
          <w:sz w:val="28"/>
          <w:szCs w:val="28"/>
        </w:rPr>
        <w:t>经济上是可行的</w:t>
      </w:r>
      <w:r>
        <w:rPr>
          <w:rFonts w:hint="eastAsia"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20" w:firstLineChars="150"/>
        <w:textAlignment w:val="auto"/>
        <w:rPr>
          <w:rFonts w:hAnsi="宋体"/>
          <w:color w:val="auto"/>
          <w:sz w:val="28"/>
          <w:szCs w:val="28"/>
        </w:rPr>
      </w:pPr>
      <w:r>
        <w:rPr>
          <w:rFonts w:hint="eastAsia" w:hAnsi="宋体"/>
          <w:color w:val="auto"/>
          <w:sz w:val="28"/>
          <w:szCs w:val="28"/>
        </w:rPr>
        <w:t>（4）价值最大化。估价对象用途、规模已经确定，故以现状</w:t>
      </w:r>
      <w:r>
        <w:rPr>
          <w:rFonts w:hint="eastAsia" w:hAnsi="宋体"/>
          <w:color w:val="auto"/>
          <w:sz w:val="28"/>
          <w:szCs w:val="28"/>
          <w:lang w:eastAsia="zh-CN"/>
        </w:rPr>
        <w:t>持续开发</w:t>
      </w:r>
      <w:r>
        <w:rPr>
          <w:rFonts w:hint="eastAsia" w:hAnsi="宋体"/>
          <w:color w:val="auto"/>
          <w:sz w:val="28"/>
          <w:szCs w:val="28"/>
        </w:rPr>
        <w:t>利用能在合法原则的前提下，使估价对象产生最高经济收益。</w:t>
      </w:r>
    </w:p>
    <w:p>
      <w:pPr>
        <w:keepNext w:val="0"/>
        <w:keepLines w:val="0"/>
        <w:pageBreakBefore w:val="0"/>
        <w:widowControl w:val="0"/>
        <w:kinsoku/>
        <w:wordWrap/>
        <w:overflowPunct/>
        <w:topLinePunct w:val="0"/>
        <w:autoSpaceDE/>
        <w:autoSpaceDN/>
        <w:bidi w:val="0"/>
        <w:adjustRightInd w:val="0"/>
        <w:snapToGrid w:val="0"/>
        <w:spacing w:line="520" w:lineRule="exact"/>
        <w:ind w:firstLine="527"/>
        <w:textAlignment w:val="auto"/>
        <w:rPr>
          <w:rFonts w:hAnsi="宋体"/>
          <w:color w:val="auto"/>
          <w:sz w:val="28"/>
          <w:szCs w:val="28"/>
        </w:rPr>
      </w:pPr>
      <w:r>
        <w:rPr>
          <w:rFonts w:hint="eastAsia" w:hAnsi="宋体"/>
          <w:color w:val="auto"/>
          <w:sz w:val="28"/>
          <w:szCs w:val="28"/>
        </w:rPr>
        <w:t>（5）根据估价对象地理位置、周边自然与人文经济环境及充分利用土地资源的情况，确定维持</w:t>
      </w:r>
      <w:r>
        <w:rPr>
          <w:rFonts w:hint="eastAsia" w:hAnsi="宋体"/>
          <w:color w:val="auto"/>
          <w:sz w:val="28"/>
          <w:szCs w:val="28"/>
          <w:lang w:eastAsia="zh-CN"/>
        </w:rPr>
        <w:t>规划</w:t>
      </w:r>
      <w:r>
        <w:rPr>
          <w:rFonts w:hint="eastAsia" w:hAnsi="宋体"/>
          <w:color w:val="auto"/>
          <w:sz w:val="28"/>
          <w:szCs w:val="28"/>
        </w:rPr>
        <w:t>用途为最高最佳利用途径。</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auto"/>
          <w:sz w:val="28"/>
        </w:rPr>
      </w:pPr>
      <w:r>
        <w:rPr>
          <w:rFonts w:hint="eastAsia" w:hAnsi="宋体"/>
          <w:color w:val="auto"/>
          <w:sz w:val="28"/>
          <w:szCs w:val="28"/>
        </w:rPr>
        <w:t>综合以上分析，</w:t>
      </w:r>
      <w:r>
        <w:rPr>
          <w:rFonts w:hAnsi="宋体"/>
          <w:color w:val="auto"/>
          <w:sz w:val="28"/>
          <w:szCs w:val="28"/>
        </w:rPr>
        <w:t>估价对象</w:t>
      </w:r>
      <w:r>
        <w:rPr>
          <w:rFonts w:hint="eastAsia" w:hAnsi="宋体"/>
          <w:color w:val="auto"/>
          <w:sz w:val="28"/>
          <w:szCs w:val="28"/>
        </w:rPr>
        <w:t>按其合法用途，维持现状</w:t>
      </w:r>
      <w:r>
        <w:rPr>
          <w:rFonts w:hint="eastAsia" w:hAnsi="宋体"/>
          <w:color w:val="auto"/>
          <w:sz w:val="28"/>
          <w:szCs w:val="28"/>
          <w:lang w:eastAsia="zh-CN"/>
        </w:rPr>
        <w:t>继续开发</w:t>
      </w:r>
      <w:r>
        <w:rPr>
          <w:rFonts w:hint="eastAsia" w:hAnsi="宋体"/>
          <w:color w:val="auto"/>
          <w:sz w:val="28"/>
          <w:szCs w:val="28"/>
        </w:rPr>
        <w:t>利用为</w:t>
      </w:r>
      <w:r>
        <w:rPr>
          <w:rFonts w:hAnsi="宋体"/>
          <w:color w:val="auto"/>
          <w:sz w:val="28"/>
          <w:szCs w:val="28"/>
        </w:rPr>
        <w:t>法律上允许、技术上可能、经济上可行</w:t>
      </w:r>
      <w:r>
        <w:rPr>
          <w:rFonts w:hint="eastAsia" w:hAnsi="宋体"/>
          <w:color w:val="auto"/>
          <w:sz w:val="28"/>
          <w:szCs w:val="28"/>
        </w:rPr>
        <w:t>、价值最大化的</w:t>
      </w:r>
      <w:r>
        <w:rPr>
          <w:rFonts w:hAnsi="宋体"/>
          <w:color w:val="auto"/>
          <w:sz w:val="28"/>
          <w:szCs w:val="28"/>
        </w:rPr>
        <w:t>最高最佳用途。</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1"/>
        <w:rPr>
          <w:b/>
          <w:bCs/>
          <w:color w:val="auto"/>
          <w:sz w:val="28"/>
        </w:rPr>
      </w:pPr>
      <w:bookmarkStart w:id="25" w:name="_Toc16044"/>
      <w:r>
        <w:rPr>
          <w:rFonts w:hint="eastAsia"/>
          <w:b/>
          <w:bCs/>
          <w:color w:val="auto"/>
          <w:sz w:val="28"/>
        </w:rPr>
        <w:t>四、估价方法选用</w:t>
      </w:r>
      <w:bookmarkEnd w:id="25"/>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hAnsi="宋体"/>
          <w:color w:val="auto"/>
          <w:sz w:val="28"/>
          <w:szCs w:val="28"/>
        </w:rPr>
      </w:pPr>
      <w:bookmarkStart w:id="26" w:name="_Toc362509756"/>
      <w:r>
        <w:rPr>
          <w:rFonts w:hint="eastAsia" w:hAnsi="宋体"/>
          <w:color w:val="auto"/>
          <w:sz w:val="28"/>
          <w:szCs w:val="28"/>
        </w:rPr>
        <w:t>根据《房地产估价规范》（GB/T50291-2015），通行的估价方法有比较法、收益法、成本法、假设开发法、基准地价修正法等。估价人员在认真分析所掌握的资料，并对估价对象进行了实地查勘以及对周边房地产市场进行调查后，根据《房地产估价规范》（GB/T50291-2015）、《房地产估价基本术语标准》（GB/T50899-2013），遵照国家有关法律、法规、估价技术标准，经过反复研究，最终选取成本法、假设开发法对估价对象房地产进行估价，具体分析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rFonts w:hAnsi="宋体"/>
          <w:color w:val="000000" w:themeColor="text1"/>
          <w:sz w:val="28"/>
          <w:szCs w:val="28"/>
        </w:rPr>
      </w:pPr>
      <w:bookmarkStart w:id="27" w:name="_Toc362509795"/>
      <w:r>
        <w:rPr>
          <w:rFonts w:hint="eastAsia" w:hAnsi="宋体"/>
          <w:color w:val="000000" w:themeColor="text1"/>
          <w:sz w:val="28"/>
          <w:szCs w:val="28"/>
        </w:rPr>
        <w:t>本次估价技术路线</w:t>
      </w:r>
      <w:bookmarkEnd w:id="27"/>
      <w:r>
        <w:rPr>
          <w:rFonts w:hint="eastAsia" w:hAnsi="宋体"/>
          <w:color w:val="000000" w:themeColor="text1"/>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000000" w:themeColor="text1"/>
          <w:sz w:val="28"/>
        </w:rPr>
      </w:pPr>
      <w:bookmarkStart w:id="28" w:name="_Toc362509796"/>
      <w:r>
        <w:rPr>
          <w:rFonts w:hint="eastAsia"/>
          <w:color w:val="000000" w:themeColor="text1"/>
          <w:sz w:val="28"/>
        </w:rPr>
        <w:t>（</w:t>
      </w:r>
      <w:r>
        <w:rPr>
          <w:rFonts w:hint="eastAsia"/>
          <w:color w:val="000000" w:themeColor="text1"/>
          <w:sz w:val="28"/>
          <w:lang w:eastAsia="zh-CN"/>
        </w:rPr>
        <w:t>一</w:t>
      </w:r>
      <w:r>
        <w:rPr>
          <w:rFonts w:hint="eastAsia"/>
          <w:color w:val="000000" w:themeColor="text1"/>
          <w:sz w:val="28"/>
        </w:rPr>
        <w:t>）采用成本法，分别求取土地价值和建筑物价值，</w:t>
      </w:r>
      <w:r>
        <w:rPr>
          <w:rFonts w:hint="eastAsia"/>
          <w:color w:val="000000" w:themeColor="text1"/>
          <w:sz w:val="28"/>
          <w:lang w:eastAsia="zh-CN"/>
        </w:rPr>
        <w:t>在二者基础上测算利润利息等相应费用，再将各部分之和相加</w:t>
      </w:r>
      <w:r>
        <w:rPr>
          <w:rFonts w:hint="eastAsia"/>
          <w:color w:val="000000" w:themeColor="text1"/>
          <w:sz w:val="28"/>
        </w:rPr>
        <w:t>得到在建工程价值。</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000000" w:themeColor="text1"/>
          <w:sz w:val="28"/>
        </w:rPr>
      </w:pPr>
      <w:r>
        <w:rPr>
          <w:rFonts w:hint="eastAsia"/>
          <w:color w:val="000000" w:themeColor="text1"/>
          <w:sz w:val="28"/>
        </w:rPr>
        <w:t>（</w:t>
      </w:r>
      <w:r>
        <w:rPr>
          <w:rFonts w:hint="eastAsia"/>
          <w:color w:val="000000" w:themeColor="text1"/>
          <w:sz w:val="28"/>
          <w:lang w:eastAsia="zh-CN"/>
        </w:rPr>
        <w:t>二</w:t>
      </w:r>
      <w:r>
        <w:rPr>
          <w:rFonts w:hint="eastAsia"/>
          <w:color w:val="000000" w:themeColor="text1"/>
          <w:sz w:val="28"/>
        </w:rPr>
        <w:t>）运用假设开发法求取估价对象在建工程价值</w:t>
      </w:r>
      <w:r>
        <w:rPr>
          <w:rFonts w:hint="eastAsia"/>
          <w:color w:val="000000" w:themeColor="text1"/>
          <w:sz w:val="28"/>
          <w:lang w:eastAsia="zh-CN"/>
        </w:rPr>
        <w:t>，就是假设在建工程达到交付状态的总价值，核减去后期应投入成本及相应的利润利息等相关费用，求取在建工程价值的方法</w:t>
      </w:r>
      <w:r>
        <w:rPr>
          <w:rFonts w:hint="eastAsia"/>
          <w:color w:val="000000" w:themeColor="text1"/>
          <w:sz w:val="28"/>
        </w:rPr>
        <w:t>。</w:t>
      </w:r>
    </w:p>
    <w:bookmarkEnd w:id="28"/>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color w:val="000000" w:themeColor="text1"/>
          <w:sz w:val="28"/>
        </w:rPr>
      </w:pPr>
      <w:bookmarkStart w:id="29" w:name="_Toc362509801"/>
      <w:r>
        <w:rPr>
          <w:rFonts w:hint="eastAsia"/>
          <w:color w:val="000000" w:themeColor="text1"/>
          <w:sz w:val="28"/>
        </w:rPr>
        <w:t>综合两种测算结果求取估价对象</w:t>
      </w:r>
      <w:r>
        <w:rPr>
          <w:rFonts w:hint="eastAsia"/>
          <w:color w:val="000000" w:themeColor="text1"/>
          <w:sz w:val="28"/>
          <w:lang w:eastAsia="zh-CN"/>
        </w:rPr>
        <w:t>最终</w:t>
      </w:r>
      <w:r>
        <w:rPr>
          <w:rFonts w:hint="eastAsia"/>
          <w:color w:val="000000" w:themeColor="text1"/>
          <w:sz w:val="28"/>
        </w:rPr>
        <w:t>价值。</w:t>
      </w:r>
      <w:bookmarkEnd w:id="29"/>
    </w:p>
    <w:p>
      <w:pPr>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color w:val="000000" w:themeColor="text1"/>
          <w:sz w:val="28"/>
        </w:rPr>
      </w:pPr>
      <w:r>
        <w:rPr>
          <w:rFonts w:hint="eastAsia"/>
          <w:color w:val="000000" w:themeColor="text1"/>
          <w:sz w:val="28"/>
        </w:rPr>
        <w:t>本次估价所选取方法的理由</w:t>
      </w:r>
      <w:bookmarkEnd w:id="26"/>
      <w:r>
        <w:rPr>
          <w:rFonts w:hint="eastAsia"/>
          <w:color w:val="000000" w:themeColor="text1"/>
          <w:sz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color w:val="000000" w:themeColor="text1"/>
          <w:sz w:val="28"/>
        </w:rPr>
      </w:pPr>
      <w:r>
        <w:rPr>
          <w:rFonts w:hint="eastAsia"/>
          <w:color w:val="000000" w:themeColor="text1"/>
          <w:sz w:val="28"/>
        </w:rPr>
        <w:t>1</w:t>
      </w:r>
      <w:r>
        <w:rPr>
          <w:rFonts w:hint="eastAsia"/>
          <w:color w:val="000000" w:themeColor="text1"/>
          <w:sz w:val="28"/>
          <w:lang w:eastAsia="zh-CN"/>
        </w:rPr>
        <w:t>、</w:t>
      </w:r>
      <w:r>
        <w:rPr>
          <w:rFonts w:hint="eastAsia"/>
          <w:color w:val="000000" w:themeColor="text1"/>
          <w:sz w:val="28"/>
        </w:rPr>
        <w:t>选取成本法理由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Ansi="宋体" w:cs="宋体"/>
          <w:color w:val="auto"/>
          <w:sz w:val="28"/>
          <w:szCs w:val="28"/>
        </w:rPr>
      </w:pPr>
      <w:r>
        <w:rPr>
          <w:rFonts w:hint="eastAsia"/>
          <w:color w:val="000000" w:themeColor="text1"/>
          <w:sz w:val="28"/>
        </w:rPr>
        <w:t>估价对象为正在开发项目，待估项目周边有足够数量的土地交易案例，</w:t>
      </w:r>
      <w:r>
        <w:rPr>
          <w:rFonts w:hint="eastAsia"/>
          <w:color w:val="000000" w:themeColor="text1"/>
          <w:sz w:val="28"/>
          <w:lang w:val="en-US" w:eastAsia="zh-CN"/>
        </w:rPr>
        <w:t>土地价值可以采用市场比较法进行评估</w:t>
      </w:r>
      <w:r>
        <w:rPr>
          <w:rFonts w:hint="eastAsia"/>
          <w:color w:val="000000" w:themeColor="text1"/>
          <w:sz w:val="28"/>
        </w:rPr>
        <w:t>；</w:t>
      </w:r>
      <w:bookmarkStart w:id="30" w:name="_Toc362509768"/>
      <w:r>
        <w:rPr>
          <w:rFonts w:hint="eastAsia"/>
          <w:color w:val="auto"/>
          <w:sz w:val="28"/>
        </w:rPr>
        <w:t>地上建筑物各项费用</w:t>
      </w:r>
      <w:r>
        <w:rPr>
          <w:rFonts w:hint="eastAsia"/>
          <w:color w:val="auto"/>
          <w:sz w:val="28"/>
          <w:lang w:eastAsia="zh-CN"/>
        </w:rPr>
        <w:t>依据我公司聘请的建造工程师测</w:t>
      </w:r>
      <w:r>
        <w:rPr>
          <w:rFonts w:hint="eastAsia"/>
          <w:color w:val="auto"/>
          <w:sz w:val="28"/>
        </w:rPr>
        <w:t>算</w:t>
      </w:r>
      <w:r>
        <w:rPr>
          <w:rFonts w:hint="eastAsia"/>
          <w:color w:val="auto"/>
          <w:sz w:val="28"/>
          <w:lang w:eastAsia="zh-CN"/>
        </w:rPr>
        <w:t>数值</w:t>
      </w:r>
      <w:r>
        <w:rPr>
          <w:rFonts w:hint="eastAsia"/>
          <w:color w:val="auto"/>
          <w:sz w:val="28"/>
        </w:rPr>
        <w:t>，即本次可分别求取土地价值及地上建筑物成本价值然后加总来求取待估在建工</w:t>
      </w:r>
      <w:r>
        <w:rPr>
          <w:rFonts w:hint="eastAsia" w:hAnsi="宋体" w:cs="宋体"/>
          <w:color w:val="auto"/>
          <w:sz w:val="28"/>
          <w:szCs w:val="28"/>
        </w:rPr>
        <w:t>程价值。</w:t>
      </w:r>
      <w:r>
        <w:rPr>
          <w:rFonts w:hint="eastAsia" w:hAnsi="宋体" w:cs="宋体"/>
          <w:color w:val="auto"/>
          <w:sz w:val="28"/>
          <w:szCs w:val="28"/>
          <w:lang w:eastAsia="zh-CN"/>
        </w:rPr>
        <w:t>估价对象</w:t>
      </w:r>
      <w:r>
        <w:rPr>
          <w:rFonts w:hint="eastAsia" w:hAnsi="宋体" w:cs="宋体"/>
          <w:color w:val="auto"/>
          <w:sz w:val="28"/>
          <w:szCs w:val="28"/>
        </w:rPr>
        <w:t>符合成本法的应用条件及适用范围，</w:t>
      </w:r>
      <w:r>
        <w:rPr>
          <w:rFonts w:hint="eastAsia" w:hAnsi="宋体" w:cs="宋体"/>
          <w:color w:val="auto"/>
          <w:sz w:val="28"/>
          <w:szCs w:val="28"/>
          <w:lang w:eastAsia="zh-CN"/>
        </w:rPr>
        <w:t>符合</w:t>
      </w:r>
      <w:r>
        <w:rPr>
          <w:rFonts w:hint="eastAsia" w:hAnsi="宋体" w:cs="宋体"/>
          <w:color w:val="auto"/>
          <w:sz w:val="28"/>
          <w:szCs w:val="28"/>
        </w:rPr>
        <w:t>故选取成本法。</w:t>
      </w:r>
    </w:p>
    <w:bookmarkEnd w:id="30"/>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Ansi="宋体" w:cs="宋体"/>
          <w:color w:val="auto"/>
          <w:sz w:val="28"/>
          <w:szCs w:val="28"/>
        </w:rPr>
      </w:pPr>
      <w:r>
        <w:rPr>
          <w:rFonts w:hint="eastAsia" w:hAnsi="宋体" w:cs="宋体"/>
          <w:color w:val="auto"/>
          <w:sz w:val="28"/>
          <w:szCs w:val="28"/>
        </w:rPr>
        <w:t>2</w:t>
      </w:r>
      <w:r>
        <w:rPr>
          <w:rFonts w:hint="eastAsia" w:hAnsi="宋体" w:cs="宋体"/>
          <w:color w:val="auto"/>
          <w:sz w:val="28"/>
          <w:szCs w:val="28"/>
          <w:lang w:eastAsia="zh-CN"/>
        </w:rPr>
        <w:t>、</w:t>
      </w:r>
      <w:r>
        <w:rPr>
          <w:rFonts w:hint="eastAsia" w:hAnsi="宋体" w:cs="宋体"/>
          <w:color w:val="auto"/>
          <w:sz w:val="28"/>
          <w:szCs w:val="28"/>
        </w:rPr>
        <w:t>选取假设开发法理由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hAnsi="宋体" w:cs="宋体"/>
          <w:color w:val="auto"/>
          <w:sz w:val="28"/>
          <w:szCs w:val="28"/>
        </w:rPr>
      </w:pPr>
      <w:bookmarkStart w:id="31" w:name="_Toc362509769"/>
      <w:r>
        <w:rPr>
          <w:rFonts w:hint="eastAsia" w:hAnsi="宋体" w:cs="宋体"/>
          <w:color w:val="auto"/>
          <w:sz w:val="28"/>
          <w:szCs w:val="28"/>
        </w:rPr>
        <w:t>估价对象为正在开发建设项目，且估价对象及其所在项目已取得相关规划条件，项目建成后可取得收益，符合假设开发法的应用条件及适用范围，故选用假设开发法。</w:t>
      </w:r>
      <w:bookmarkEnd w:id="31"/>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hAnsi="宋体" w:cs="宋体"/>
          <w:color w:val="auto"/>
          <w:sz w:val="28"/>
          <w:szCs w:val="28"/>
          <w:lang w:val="en-US" w:eastAsia="zh-CN"/>
        </w:rPr>
      </w:pPr>
      <w:r>
        <w:rPr>
          <w:rFonts w:hint="eastAsia" w:hAnsi="宋体" w:cs="宋体"/>
          <w:color w:val="auto"/>
          <w:sz w:val="28"/>
          <w:szCs w:val="28"/>
          <w:lang w:val="en-US" w:eastAsia="zh-CN"/>
        </w:rPr>
        <w:t>3、根据中国房地产估价师与房地产经纪人学会2021年8月18日《涉执房地产处置司法评估指导意见（试行）》中的</w:t>
      </w:r>
      <w:r>
        <w:rPr>
          <w:rFonts w:hint="eastAsia"/>
          <w:color w:val="auto"/>
          <w:sz w:val="28"/>
        </w:rPr>
        <w:t>第二十三条</w:t>
      </w:r>
      <w:r>
        <w:rPr>
          <w:rFonts w:hint="eastAsia" w:hAnsi="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color w:val="auto"/>
          <w:sz w:val="28"/>
        </w:rPr>
      </w:pPr>
      <w:r>
        <w:rPr>
          <w:rFonts w:hint="eastAsia"/>
          <w:color w:val="auto"/>
          <w:sz w:val="28"/>
        </w:rPr>
        <w:t>评估对象为在建工程中的部分房地产、且不能独立续建的，按照下列方式处理：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color w:val="auto"/>
          <w:sz w:val="28"/>
        </w:rPr>
      </w:pPr>
      <w:r>
        <w:rPr>
          <w:rFonts w:hint="eastAsia"/>
          <w:color w:val="auto"/>
          <w:sz w:val="28"/>
        </w:rPr>
        <w:t>人民法院要求评估该部分的现状价值的，应当根据在建工程整体的形象进度，采用假设开发法和成本法评估；采用假设开发法评估时，应当选择被迫转让开发前提，充分考虑转让税费、重复投入的成本费用、开发期限延长等因素的影响；采用成本法评估时，应当充分考虑被迫转让、各类折旧等因素所导致的价值减损；</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1"/>
        <w:rPr>
          <w:rFonts w:hint="eastAsia"/>
          <w:b/>
          <w:bCs/>
          <w:color w:val="auto"/>
          <w:sz w:val="28"/>
        </w:rPr>
      </w:pPr>
      <w:bookmarkStart w:id="32" w:name="_Toc18815"/>
      <w:r>
        <w:rPr>
          <w:rFonts w:hint="eastAsia"/>
          <w:b/>
          <w:bCs/>
          <w:color w:val="auto"/>
          <w:sz w:val="28"/>
        </w:rPr>
        <w:t>五、估价测算过程</w:t>
      </w:r>
      <w:bookmarkEnd w:id="32"/>
    </w:p>
    <w:p>
      <w:pPr>
        <w:keepNext w:val="0"/>
        <w:keepLines w:val="0"/>
        <w:pageBreakBefore w:val="0"/>
        <w:widowControl w:val="0"/>
        <w:kinsoku/>
        <w:wordWrap/>
        <w:overflowPunct/>
        <w:topLinePunct w:val="0"/>
        <w:autoSpaceDE/>
        <w:autoSpaceDN/>
        <w:bidi w:val="0"/>
        <w:snapToGrid w:val="0"/>
        <w:spacing w:line="520" w:lineRule="exact"/>
        <w:ind w:firstLine="560" w:firstLineChars="200"/>
        <w:textAlignment w:val="auto"/>
        <w:rPr>
          <w:rFonts w:hint="eastAsia" w:hAnsi="宋体" w:cs="宋体"/>
          <w:sz w:val="28"/>
          <w:szCs w:val="28"/>
          <w:lang w:val="en-US" w:eastAsia="zh-CN"/>
        </w:rPr>
      </w:pPr>
      <w:r>
        <w:rPr>
          <w:rFonts w:hint="eastAsia" w:hAnsi="宋体" w:cs="宋体"/>
          <w:sz w:val="28"/>
          <w:szCs w:val="28"/>
          <w:lang w:val="en-US" w:eastAsia="zh-CN"/>
        </w:rPr>
        <w:t>根据委托方提供的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国有土地使用证</w:t>
      </w:r>
      <w:r>
        <w:rPr>
          <w:rFonts w:hint="eastAsia" w:ascii="宋体" w:hAnsi="宋体" w:eastAsia="宋体" w:cs="宋体"/>
          <w:sz w:val="28"/>
          <w:szCs w:val="28"/>
          <w:lang w:eastAsia="zh-CN"/>
        </w:rPr>
        <w:t>》、</w:t>
      </w:r>
      <w:r>
        <w:rPr>
          <w:rFonts w:hint="eastAsia" w:ascii="宋体" w:hAnsi="宋体" w:eastAsia="宋体" w:cs="宋体"/>
          <w:sz w:val="28"/>
          <w:szCs w:val="28"/>
        </w:rPr>
        <w:t>《国有</w:t>
      </w:r>
      <w:r>
        <w:rPr>
          <w:rFonts w:hint="eastAsia" w:ascii="宋体" w:hAnsi="宋体" w:eastAsia="宋体" w:cs="宋体"/>
          <w:sz w:val="28"/>
          <w:szCs w:val="28"/>
          <w:lang w:eastAsia="zh-CN"/>
        </w:rPr>
        <w:t>建设用地使用权出让合同</w:t>
      </w:r>
      <w:r>
        <w:rPr>
          <w:rFonts w:hint="eastAsia" w:ascii="宋体" w:hAnsi="宋体" w:eastAsia="宋体" w:cs="宋体"/>
          <w:sz w:val="28"/>
          <w:szCs w:val="28"/>
        </w:rPr>
        <w:t>》、</w:t>
      </w:r>
      <w:r>
        <w:rPr>
          <w:rFonts w:hint="eastAsia" w:ascii="宋体" w:hAnsi="宋体" w:eastAsia="宋体" w:cs="宋体"/>
          <w:sz w:val="28"/>
          <w:szCs w:val="28"/>
          <w:lang w:val="en-US" w:eastAsia="zh-CN"/>
        </w:rPr>
        <w:t>《吕梁恒信房地产开发有限公司豊足·汾阳壹号小区5#施工图》</w:t>
      </w:r>
      <w:r>
        <w:rPr>
          <w:rFonts w:hint="eastAsia" w:hAnsi="宋体" w:cs="宋体"/>
          <w:sz w:val="28"/>
          <w:szCs w:val="28"/>
          <w:lang w:val="en-US" w:eastAsia="zh-CN"/>
        </w:rPr>
        <w:t>，</w:t>
      </w:r>
      <w:r>
        <w:rPr>
          <w:rFonts w:hint="eastAsia" w:ascii="宋体" w:hAnsi="宋体" w:eastAsia="宋体" w:cs="宋体"/>
          <w:sz w:val="28"/>
          <w:szCs w:val="28"/>
          <w:lang w:val="en-US" w:eastAsia="zh-CN"/>
        </w:rPr>
        <w:t>豊足·汾阳壹号小区</w:t>
      </w:r>
      <w:r>
        <w:rPr>
          <w:rFonts w:hint="eastAsia" w:hAnsi="宋体" w:cs="宋体"/>
          <w:sz w:val="28"/>
          <w:szCs w:val="28"/>
          <w:lang w:val="en-US" w:eastAsia="zh-CN"/>
        </w:rPr>
        <w:t>总占地面积33911.70平方米，规划容积率为3.45；5号楼总建筑面积为5291.59平方米，地上建筑面积为3319.60平方米，地下建筑面积为1971.99平方米。则5号楼分摊土地面积=3319.6/3.45=962.20平方米。</w:t>
      </w:r>
    </w:p>
    <w:p>
      <w:pPr>
        <w:keepNext w:val="0"/>
        <w:keepLines w:val="0"/>
        <w:pageBreakBefore w:val="0"/>
        <w:widowControl w:val="0"/>
        <w:kinsoku/>
        <w:wordWrap/>
        <w:overflowPunct/>
        <w:topLinePunct w:val="0"/>
        <w:autoSpaceDE/>
        <w:autoSpaceDN/>
        <w:bidi w:val="0"/>
        <w:spacing w:line="520" w:lineRule="exact"/>
        <w:ind w:firstLine="280" w:firstLineChars="100"/>
        <w:textAlignment w:val="auto"/>
        <w:rPr>
          <w:rFonts w:hint="eastAsia" w:eastAsia="宋体"/>
          <w:b/>
          <w:bCs/>
          <w:color w:val="000000" w:themeColor="text1"/>
          <w:lang w:eastAsia="zh-CN"/>
        </w:rPr>
      </w:pPr>
      <w:r>
        <w:rPr>
          <w:rFonts w:hint="eastAsia"/>
          <w:b/>
          <w:bCs/>
          <w:color w:val="000000" w:themeColor="text1"/>
          <w:sz w:val="28"/>
          <w:szCs w:val="28"/>
          <w:lang w:eastAsia="zh-CN"/>
        </w:rPr>
        <w:t>（一）成本法测算过程</w:t>
      </w:r>
    </w:p>
    <w:p>
      <w:pPr>
        <w:keepNext w:val="0"/>
        <w:keepLines w:val="0"/>
        <w:pageBreakBefore w:val="0"/>
        <w:widowControl w:val="0"/>
        <w:tabs>
          <w:tab w:val="left" w:pos="8520"/>
        </w:tabs>
        <w:kinsoku/>
        <w:wordWrap/>
        <w:overflowPunct/>
        <w:topLinePunct w:val="0"/>
        <w:autoSpaceDE/>
        <w:autoSpaceDN/>
        <w:bidi w:val="0"/>
        <w:adjustRightInd w:val="0"/>
        <w:snapToGrid w:val="0"/>
        <w:spacing w:line="520" w:lineRule="exact"/>
        <w:ind w:right="-425" w:firstLine="280" w:firstLineChars="100"/>
        <w:textAlignment w:val="auto"/>
        <w:rPr>
          <w:rFonts w:hAnsi="宋体"/>
          <w:b/>
          <w:bCs/>
          <w:color w:val="000000" w:themeColor="text1"/>
          <w:sz w:val="28"/>
          <w:szCs w:val="28"/>
          <w:u w:val="single"/>
        </w:rPr>
      </w:pPr>
      <w:r>
        <w:rPr>
          <w:rFonts w:hint="eastAsia"/>
          <w:b/>
          <w:bCs/>
          <w:color w:val="000000" w:themeColor="text1"/>
          <w:sz w:val="28"/>
          <w:u w:val="single"/>
        </w:rPr>
        <w:t>★</w:t>
      </w:r>
      <w:r>
        <w:rPr>
          <w:rFonts w:hint="eastAsia" w:hAnsi="宋体"/>
          <w:b/>
          <w:bCs/>
          <w:color w:val="000000" w:themeColor="text1"/>
          <w:sz w:val="28"/>
          <w:szCs w:val="28"/>
          <w:u w:val="single"/>
        </w:rPr>
        <w:t>土地价值测算过程：</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hAnsi="宋体" w:cs="Times New Roman"/>
          <w:color w:val="000000" w:themeColor="text1"/>
          <w:kern w:val="2"/>
          <w:sz w:val="28"/>
          <w:szCs w:val="28"/>
          <w:lang w:val="en-US" w:eastAsia="zh-CN" w:bidi="ar-SA"/>
        </w:rPr>
        <w:t>1、</w:t>
      </w:r>
      <w:r>
        <w:rPr>
          <w:rFonts w:hint="eastAsia" w:ascii="宋体" w:hAnsi="宋体" w:eastAsia="宋体" w:cs="Times New Roman"/>
          <w:color w:val="000000" w:themeColor="text1"/>
          <w:kern w:val="2"/>
          <w:sz w:val="28"/>
          <w:szCs w:val="28"/>
          <w:lang w:val="en-US" w:eastAsia="zh-CN" w:bidi="ar-SA"/>
        </w:rPr>
        <w:t>市场比较法测算过程</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hAnsi="宋体" w:cs="Times New Roman"/>
          <w:color w:val="000000" w:themeColor="text1"/>
          <w:kern w:val="2"/>
          <w:sz w:val="28"/>
          <w:szCs w:val="28"/>
          <w:lang w:val="en-US" w:eastAsia="zh-CN" w:bidi="ar-SA"/>
        </w:rPr>
        <w:t>（1）</w:t>
      </w:r>
      <w:r>
        <w:rPr>
          <w:rFonts w:hint="eastAsia" w:ascii="宋体" w:hAnsi="宋体" w:eastAsia="宋体" w:cs="Times New Roman"/>
          <w:color w:val="000000" w:themeColor="text1"/>
          <w:kern w:val="2"/>
          <w:sz w:val="28"/>
          <w:szCs w:val="28"/>
          <w:lang w:val="en-US" w:eastAsia="zh-CN" w:bidi="ar-SA"/>
        </w:rPr>
        <w:t>选择比较实例</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根据市场比较法的原理，并结合待估宗地的实际情况，选择比较案例时要符合以下条件:</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fldChar w:fldCharType="begin"/>
      </w:r>
      <w:r>
        <w:rPr>
          <w:rFonts w:hint="eastAsia" w:ascii="宋体" w:hAnsi="宋体" w:eastAsia="宋体" w:cs="Times New Roman"/>
          <w:color w:val="000000" w:themeColor="text1"/>
          <w:kern w:val="2"/>
          <w:sz w:val="28"/>
          <w:szCs w:val="28"/>
          <w:lang w:val="en-US" w:eastAsia="zh-CN" w:bidi="ar-SA"/>
        </w:rPr>
        <w:instrText xml:space="preserve"> = 1 \* GB3 \* MERGEFORMAT </w:instrText>
      </w:r>
      <w:r>
        <w:rPr>
          <w:rFonts w:hint="eastAsia" w:ascii="宋体" w:hAnsi="宋体" w:eastAsia="宋体" w:cs="Times New Roman"/>
          <w:color w:val="000000" w:themeColor="text1"/>
          <w:kern w:val="2"/>
          <w:sz w:val="28"/>
          <w:szCs w:val="28"/>
          <w:lang w:val="en-US" w:eastAsia="zh-CN" w:bidi="ar-SA"/>
        </w:rPr>
        <w:fldChar w:fldCharType="separate"/>
      </w:r>
      <w:r>
        <w:rPr>
          <w:sz w:val="28"/>
          <w:szCs w:val="28"/>
        </w:rPr>
        <w:t>①</w:t>
      </w:r>
      <w:r>
        <w:rPr>
          <w:rFonts w:hint="eastAsia" w:ascii="宋体" w:hAnsi="宋体" w:eastAsia="宋体" w:cs="Times New Roman"/>
          <w:color w:val="000000" w:themeColor="text1"/>
          <w:kern w:val="2"/>
          <w:sz w:val="28"/>
          <w:szCs w:val="28"/>
          <w:lang w:val="en-US" w:eastAsia="zh-CN" w:bidi="ar-SA"/>
        </w:rPr>
        <w:fldChar w:fldCharType="end"/>
      </w:r>
      <w:r>
        <w:rPr>
          <w:rFonts w:hint="eastAsia" w:ascii="宋体" w:hAnsi="宋体" w:eastAsia="宋体" w:cs="Times New Roman"/>
          <w:color w:val="000000" w:themeColor="text1"/>
          <w:kern w:val="2"/>
          <w:sz w:val="28"/>
          <w:szCs w:val="28"/>
          <w:lang w:val="en-US" w:eastAsia="zh-CN" w:bidi="ar-SA"/>
        </w:rPr>
        <w:t>与待估宗地土地用途相同。</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fldChar w:fldCharType="begin"/>
      </w:r>
      <w:r>
        <w:rPr>
          <w:rFonts w:hint="eastAsia" w:ascii="宋体" w:hAnsi="宋体" w:eastAsia="宋体" w:cs="Times New Roman"/>
          <w:color w:val="000000" w:themeColor="text1"/>
          <w:kern w:val="2"/>
          <w:sz w:val="28"/>
          <w:szCs w:val="28"/>
          <w:lang w:val="en-US" w:eastAsia="zh-CN" w:bidi="ar-SA"/>
        </w:rPr>
        <w:instrText xml:space="preserve"> = 2 \* GB3 \* MERGEFORMAT </w:instrText>
      </w:r>
      <w:r>
        <w:rPr>
          <w:rFonts w:hint="eastAsia" w:ascii="宋体" w:hAnsi="宋体" w:eastAsia="宋体" w:cs="Times New Roman"/>
          <w:color w:val="000000" w:themeColor="text1"/>
          <w:kern w:val="2"/>
          <w:sz w:val="28"/>
          <w:szCs w:val="28"/>
          <w:lang w:val="en-US" w:eastAsia="zh-CN" w:bidi="ar-SA"/>
        </w:rPr>
        <w:fldChar w:fldCharType="separate"/>
      </w:r>
      <w:r>
        <w:rPr>
          <w:sz w:val="28"/>
          <w:szCs w:val="28"/>
        </w:rPr>
        <w:t>②</w:t>
      </w:r>
      <w:r>
        <w:rPr>
          <w:rFonts w:hint="eastAsia" w:ascii="宋体" w:hAnsi="宋体" w:eastAsia="宋体" w:cs="Times New Roman"/>
          <w:color w:val="000000" w:themeColor="text1"/>
          <w:kern w:val="2"/>
          <w:sz w:val="28"/>
          <w:szCs w:val="28"/>
          <w:lang w:val="en-US" w:eastAsia="zh-CN" w:bidi="ar-SA"/>
        </w:rPr>
        <w:fldChar w:fldCharType="end"/>
      </w:r>
      <w:r>
        <w:rPr>
          <w:rFonts w:hint="eastAsia" w:ascii="宋体" w:hAnsi="宋体" w:eastAsia="宋体" w:cs="Times New Roman"/>
          <w:color w:val="000000" w:themeColor="text1"/>
          <w:kern w:val="2"/>
          <w:sz w:val="28"/>
          <w:szCs w:val="28"/>
          <w:lang w:val="en-US" w:eastAsia="zh-CN" w:bidi="ar-SA"/>
        </w:rPr>
        <w:t>与待估宗地土地的交易类型相同。</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fldChar w:fldCharType="begin"/>
      </w:r>
      <w:r>
        <w:rPr>
          <w:rFonts w:hint="eastAsia" w:ascii="宋体" w:hAnsi="宋体" w:eastAsia="宋体" w:cs="Times New Roman"/>
          <w:color w:val="000000" w:themeColor="text1"/>
          <w:kern w:val="2"/>
          <w:sz w:val="28"/>
          <w:szCs w:val="28"/>
          <w:lang w:val="en-US" w:eastAsia="zh-CN" w:bidi="ar-SA"/>
        </w:rPr>
        <w:instrText xml:space="preserve"> = 3 \* GB3 \* MERGEFORMAT </w:instrText>
      </w:r>
      <w:r>
        <w:rPr>
          <w:rFonts w:hint="eastAsia" w:ascii="宋体" w:hAnsi="宋体" w:eastAsia="宋体" w:cs="Times New Roman"/>
          <w:color w:val="000000" w:themeColor="text1"/>
          <w:kern w:val="2"/>
          <w:sz w:val="28"/>
          <w:szCs w:val="28"/>
          <w:lang w:val="en-US" w:eastAsia="zh-CN" w:bidi="ar-SA"/>
        </w:rPr>
        <w:fldChar w:fldCharType="separate"/>
      </w:r>
      <w:r>
        <w:rPr>
          <w:sz w:val="28"/>
          <w:szCs w:val="28"/>
        </w:rPr>
        <w:t>③</w:t>
      </w:r>
      <w:r>
        <w:rPr>
          <w:rFonts w:hint="eastAsia" w:ascii="宋体" w:hAnsi="宋体" w:eastAsia="宋体" w:cs="Times New Roman"/>
          <w:color w:val="000000" w:themeColor="text1"/>
          <w:kern w:val="2"/>
          <w:sz w:val="28"/>
          <w:szCs w:val="28"/>
          <w:lang w:val="en-US" w:eastAsia="zh-CN" w:bidi="ar-SA"/>
        </w:rPr>
        <w:fldChar w:fldCharType="end"/>
      </w:r>
      <w:r>
        <w:rPr>
          <w:rFonts w:hint="eastAsia" w:ascii="宋体" w:hAnsi="宋体" w:eastAsia="宋体" w:cs="Times New Roman"/>
          <w:color w:val="000000" w:themeColor="text1"/>
          <w:kern w:val="2"/>
          <w:sz w:val="28"/>
          <w:szCs w:val="28"/>
          <w:lang w:val="en-US" w:eastAsia="zh-CN" w:bidi="ar-SA"/>
        </w:rPr>
        <w:t>交易案例必须为正常交易，或可以修正为正常交易。</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fldChar w:fldCharType="begin"/>
      </w:r>
      <w:r>
        <w:rPr>
          <w:rFonts w:hint="eastAsia" w:ascii="宋体" w:hAnsi="宋体" w:eastAsia="宋体" w:cs="Times New Roman"/>
          <w:color w:val="000000" w:themeColor="text1"/>
          <w:kern w:val="2"/>
          <w:sz w:val="28"/>
          <w:szCs w:val="28"/>
          <w:lang w:val="en-US" w:eastAsia="zh-CN" w:bidi="ar-SA"/>
        </w:rPr>
        <w:instrText xml:space="preserve"> = 4 \* GB3 \* MERGEFORMAT </w:instrText>
      </w:r>
      <w:r>
        <w:rPr>
          <w:rFonts w:hint="eastAsia" w:ascii="宋体" w:hAnsi="宋体" w:eastAsia="宋体" w:cs="Times New Roman"/>
          <w:color w:val="000000" w:themeColor="text1"/>
          <w:kern w:val="2"/>
          <w:sz w:val="28"/>
          <w:szCs w:val="28"/>
          <w:lang w:val="en-US" w:eastAsia="zh-CN" w:bidi="ar-SA"/>
        </w:rPr>
        <w:fldChar w:fldCharType="separate"/>
      </w:r>
      <w:r>
        <w:rPr>
          <w:sz w:val="28"/>
          <w:szCs w:val="28"/>
        </w:rPr>
        <w:t>④</w:t>
      </w:r>
      <w:r>
        <w:rPr>
          <w:rFonts w:hint="eastAsia" w:ascii="宋体" w:hAnsi="宋体" w:eastAsia="宋体" w:cs="Times New Roman"/>
          <w:color w:val="000000" w:themeColor="text1"/>
          <w:kern w:val="2"/>
          <w:sz w:val="28"/>
          <w:szCs w:val="28"/>
          <w:lang w:val="en-US" w:eastAsia="zh-CN" w:bidi="ar-SA"/>
        </w:rPr>
        <w:fldChar w:fldCharType="end"/>
      </w:r>
      <w:r>
        <w:rPr>
          <w:rFonts w:hint="eastAsia" w:ascii="宋体" w:hAnsi="宋体" w:eastAsia="宋体" w:cs="Times New Roman"/>
          <w:color w:val="000000" w:themeColor="text1"/>
          <w:kern w:val="2"/>
          <w:sz w:val="28"/>
          <w:szCs w:val="28"/>
          <w:lang w:val="en-US" w:eastAsia="zh-CN" w:bidi="ar-SA"/>
        </w:rPr>
        <w:t>与待估宗地所处地区的区域特征及宗地的个别条件要接近。</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fldChar w:fldCharType="begin"/>
      </w:r>
      <w:r>
        <w:rPr>
          <w:rFonts w:hint="eastAsia" w:ascii="宋体" w:hAnsi="宋体" w:eastAsia="宋体" w:cs="Times New Roman"/>
          <w:color w:val="000000" w:themeColor="text1"/>
          <w:kern w:val="2"/>
          <w:sz w:val="28"/>
          <w:szCs w:val="28"/>
          <w:lang w:val="en-US" w:eastAsia="zh-CN" w:bidi="ar-SA"/>
        </w:rPr>
        <w:instrText xml:space="preserve"> = 5 \* GB3 \* MERGEFORMAT </w:instrText>
      </w:r>
      <w:r>
        <w:rPr>
          <w:rFonts w:hint="eastAsia" w:ascii="宋体" w:hAnsi="宋体" w:eastAsia="宋体" w:cs="Times New Roman"/>
          <w:color w:val="000000" w:themeColor="text1"/>
          <w:kern w:val="2"/>
          <w:sz w:val="28"/>
          <w:szCs w:val="28"/>
          <w:lang w:val="en-US" w:eastAsia="zh-CN" w:bidi="ar-SA"/>
        </w:rPr>
        <w:fldChar w:fldCharType="separate"/>
      </w:r>
      <w:r>
        <w:rPr>
          <w:sz w:val="28"/>
          <w:szCs w:val="28"/>
        </w:rPr>
        <w:t>⑤</w:t>
      </w:r>
      <w:r>
        <w:rPr>
          <w:rFonts w:hint="eastAsia" w:ascii="宋体" w:hAnsi="宋体" w:eastAsia="宋体" w:cs="Times New Roman"/>
          <w:color w:val="000000" w:themeColor="text1"/>
          <w:kern w:val="2"/>
          <w:sz w:val="28"/>
          <w:szCs w:val="28"/>
          <w:lang w:val="en-US" w:eastAsia="zh-CN" w:bidi="ar-SA"/>
        </w:rPr>
        <w:fldChar w:fldCharType="end"/>
      </w:r>
      <w:r>
        <w:rPr>
          <w:rFonts w:hint="eastAsia" w:ascii="宋体" w:hAnsi="宋体" w:eastAsia="宋体" w:cs="Times New Roman"/>
          <w:color w:val="000000" w:themeColor="text1"/>
          <w:kern w:val="2"/>
          <w:sz w:val="28"/>
          <w:szCs w:val="28"/>
          <w:lang w:val="en-US" w:eastAsia="zh-CN" w:bidi="ar-SA"/>
        </w:rPr>
        <w:t>交易时间与待估土地的估价期日应接近或可以进行比较修正。</w:t>
      </w:r>
    </w:p>
    <w:p>
      <w:pPr>
        <w:pStyle w:val="14"/>
        <w:keepNext w:val="0"/>
        <w:keepLines w:val="0"/>
        <w:pageBreakBefore w:val="0"/>
        <w:widowControl w:val="0"/>
        <w:kinsoku/>
        <w:wordWrap/>
        <w:overflowPunct/>
        <w:topLinePunct w:val="0"/>
        <w:autoSpaceDE/>
        <w:autoSpaceDN/>
        <w:bidi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本次评估，选择了三个已经发生的交易实例，用途与待估宗地相同，均位于估价对象周围，以它们的成交价格作为此次比较价格，并结合影响地价的因素，进行修正，求取待估宗地的价格。</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b/>
          <w:bCs/>
          <w:color w:val="000000" w:themeColor="text1"/>
          <w:kern w:val="2"/>
          <w:sz w:val="28"/>
          <w:szCs w:val="28"/>
          <w:lang w:val="en-US" w:eastAsia="zh-CN" w:bidi="ar-SA"/>
        </w:rPr>
      </w:pPr>
      <w:r>
        <w:rPr>
          <w:rFonts w:hint="eastAsia" w:ascii="宋体" w:hAnsi="宋体" w:eastAsia="宋体" w:cs="Times New Roman"/>
          <w:b/>
          <w:bCs/>
          <w:color w:val="000000" w:themeColor="text1"/>
          <w:kern w:val="2"/>
          <w:sz w:val="28"/>
          <w:szCs w:val="28"/>
          <w:lang w:val="en-US" w:eastAsia="zh-CN" w:bidi="ar-SA"/>
        </w:rPr>
        <w:t>实例1：山西甲城房地产开发有限公司以挂牌方式取得的公开出让土地使用权</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 xml:space="preserve">位置：汾阳市西河乡西门村 </w:t>
      </w:r>
    </w:p>
    <w:p>
      <w:pPr>
        <w:pStyle w:val="14"/>
        <w:keepNext w:val="0"/>
        <w:keepLines w:val="0"/>
        <w:pageBreakBefore w:val="0"/>
        <w:widowControl w:val="0"/>
        <w:kinsoku/>
        <w:wordWrap/>
        <w:overflowPunct/>
        <w:topLinePunct w:val="0"/>
        <w:autoSpaceDE/>
        <w:autoSpaceDN/>
        <w:bidi w:val="0"/>
        <w:adjustRightInd/>
        <w:snapToGrid w:val="0"/>
        <w:spacing w:line="520" w:lineRule="exact"/>
        <w:ind w:left="569" w:leftChars="266" w:hanging="11" w:hangingChars="4"/>
        <w:textAlignment w:val="auto"/>
        <w:rPr>
          <w:rFonts w:hint="default"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土地面积：22000.72平方米</w:t>
      </w:r>
      <w:r>
        <w:rPr>
          <w:rFonts w:hint="eastAsia" w:hAnsi="宋体" w:cs="Times New Roman"/>
          <w:color w:val="000000" w:themeColor="text1"/>
          <w:kern w:val="2"/>
          <w:sz w:val="28"/>
          <w:szCs w:val="28"/>
          <w:lang w:val="en-US" w:eastAsia="zh-CN" w:bidi="ar-SA"/>
        </w:rPr>
        <w:t>，</w:t>
      </w:r>
      <w:r>
        <w:rPr>
          <w:rFonts w:hint="eastAsia" w:ascii="宋体" w:hAnsi="宋体" w:eastAsia="宋体" w:cs="Times New Roman"/>
          <w:color w:val="000000" w:themeColor="text1"/>
          <w:kern w:val="2"/>
          <w:sz w:val="28"/>
          <w:szCs w:val="28"/>
          <w:lang w:val="en-US" w:eastAsia="zh-CN" w:bidi="ar-SA"/>
        </w:rPr>
        <w:t>商业建筑面积占总建筑的比例不超过10%用途：</w:t>
      </w:r>
      <w:r>
        <w:rPr>
          <w:rFonts w:hint="eastAsia" w:hAnsi="宋体" w:cs="Times New Roman"/>
          <w:color w:val="000000" w:themeColor="text1"/>
          <w:kern w:val="2"/>
          <w:sz w:val="28"/>
          <w:szCs w:val="28"/>
          <w:lang w:val="en-US" w:eastAsia="zh-CN" w:bidi="ar-SA"/>
        </w:rPr>
        <w:t>住宅兼容商业用地</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hAnsi="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容积率：1.0-</w:t>
      </w:r>
      <w:r>
        <w:rPr>
          <w:rFonts w:hint="eastAsia" w:hAnsi="宋体" w:cs="Times New Roman"/>
          <w:color w:val="000000" w:themeColor="text1"/>
          <w:kern w:val="2"/>
          <w:sz w:val="28"/>
          <w:szCs w:val="28"/>
          <w:lang w:val="en-US" w:eastAsia="zh-CN" w:bidi="ar-SA"/>
        </w:rPr>
        <w:t>3.5</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土地使用权年限：</w:t>
      </w:r>
      <w:r>
        <w:rPr>
          <w:rFonts w:hint="eastAsia" w:hAnsi="宋体" w:cs="Times New Roman"/>
          <w:color w:val="000000" w:themeColor="text1"/>
          <w:kern w:val="2"/>
          <w:sz w:val="28"/>
          <w:szCs w:val="28"/>
          <w:lang w:val="en-US" w:eastAsia="zh-CN" w:bidi="ar-SA"/>
        </w:rPr>
        <w:t>住宅</w:t>
      </w:r>
      <w:r>
        <w:rPr>
          <w:rFonts w:hint="eastAsia" w:ascii="宋体" w:hAnsi="宋体" w:eastAsia="宋体" w:cs="Times New Roman"/>
          <w:color w:val="000000" w:themeColor="text1"/>
          <w:kern w:val="2"/>
          <w:sz w:val="28"/>
          <w:szCs w:val="28"/>
          <w:lang w:val="en-US" w:eastAsia="zh-CN" w:bidi="ar-SA"/>
        </w:rPr>
        <w:t>70年，商业40年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开发程度：红线外“</w:t>
      </w:r>
      <w:r>
        <w:rPr>
          <w:rFonts w:hint="eastAsia" w:hAnsi="宋体" w:cs="Times New Roman"/>
          <w:color w:val="000000" w:themeColor="text1"/>
          <w:kern w:val="2"/>
          <w:sz w:val="28"/>
          <w:szCs w:val="28"/>
          <w:lang w:val="en-US" w:eastAsia="zh-CN" w:bidi="ar-SA"/>
        </w:rPr>
        <w:t>七</w:t>
      </w:r>
      <w:r>
        <w:rPr>
          <w:rFonts w:hint="eastAsia" w:ascii="宋体" w:hAnsi="宋体" w:eastAsia="宋体" w:cs="Times New Roman"/>
          <w:color w:val="000000" w:themeColor="text1"/>
          <w:kern w:val="2"/>
          <w:sz w:val="28"/>
          <w:szCs w:val="28"/>
          <w:lang w:val="en-US" w:eastAsia="zh-CN" w:bidi="ar-SA"/>
        </w:rPr>
        <w:t>通”、红线内“场地平整”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成交期日：20</w:t>
      </w:r>
      <w:r>
        <w:rPr>
          <w:rFonts w:hint="eastAsia" w:hAnsi="宋体" w:cs="Times New Roman"/>
          <w:color w:val="000000" w:themeColor="text1"/>
          <w:kern w:val="2"/>
          <w:sz w:val="28"/>
          <w:szCs w:val="28"/>
          <w:lang w:val="en-US" w:eastAsia="zh-CN" w:bidi="ar-SA"/>
        </w:rPr>
        <w:t>21</w:t>
      </w:r>
      <w:r>
        <w:rPr>
          <w:rFonts w:hint="eastAsia" w:ascii="宋体" w:hAnsi="宋体" w:eastAsia="宋体" w:cs="Times New Roman"/>
          <w:color w:val="000000" w:themeColor="text1"/>
          <w:kern w:val="2"/>
          <w:sz w:val="28"/>
          <w:szCs w:val="28"/>
          <w:lang w:val="en-US" w:eastAsia="zh-CN" w:bidi="ar-SA"/>
        </w:rPr>
        <w:t>年</w:t>
      </w:r>
      <w:r>
        <w:rPr>
          <w:rFonts w:hint="eastAsia" w:hAnsi="宋体" w:cs="Times New Roman"/>
          <w:color w:val="000000" w:themeColor="text1"/>
          <w:kern w:val="2"/>
          <w:sz w:val="28"/>
          <w:szCs w:val="28"/>
          <w:lang w:val="en-US" w:eastAsia="zh-CN" w:bidi="ar-SA"/>
        </w:rPr>
        <w:t>3</w:t>
      </w:r>
      <w:r>
        <w:rPr>
          <w:rFonts w:hint="eastAsia" w:ascii="宋体" w:hAnsi="宋体" w:eastAsia="宋体" w:cs="Times New Roman"/>
          <w:color w:val="000000" w:themeColor="text1"/>
          <w:kern w:val="2"/>
          <w:sz w:val="28"/>
          <w:szCs w:val="28"/>
          <w:lang w:val="en-US" w:eastAsia="zh-CN" w:bidi="ar-SA"/>
        </w:rPr>
        <w:t>月</w:t>
      </w:r>
      <w:r>
        <w:rPr>
          <w:rFonts w:hint="eastAsia" w:hAnsi="宋体" w:cs="Times New Roman"/>
          <w:color w:val="000000" w:themeColor="text1"/>
          <w:kern w:val="2"/>
          <w:sz w:val="28"/>
          <w:szCs w:val="28"/>
          <w:lang w:val="en-US" w:eastAsia="zh-CN" w:bidi="ar-SA"/>
        </w:rPr>
        <w:t>1</w:t>
      </w:r>
      <w:r>
        <w:rPr>
          <w:rFonts w:hint="eastAsia" w:ascii="宋体" w:hAnsi="宋体" w:eastAsia="宋体" w:cs="Times New Roman"/>
          <w:color w:val="000000" w:themeColor="text1"/>
          <w:kern w:val="2"/>
          <w:sz w:val="28"/>
          <w:szCs w:val="28"/>
          <w:lang w:val="en-US" w:eastAsia="zh-CN" w:bidi="ar-SA"/>
        </w:rPr>
        <w:t>日</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spacing w:val="-20"/>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成交价格：以</w:t>
      </w:r>
      <w:r>
        <w:rPr>
          <w:rFonts w:hint="eastAsia" w:hAnsi="宋体" w:cs="Times New Roman"/>
          <w:color w:val="000000" w:themeColor="text1"/>
          <w:kern w:val="2"/>
          <w:sz w:val="28"/>
          <w:szCs w:val="28"/>
          <w:lang w:val="en-US" w:eastAsia="zh-CN" w:bidi="ar-SA"/>
        </w:rPr>
        <w:t>3593</w:t>
      </w:r>
      <w:r>
        <w:rPr>
          <w:rFonts w:hint="eastAsia" w:ascii="宋体" w:hAnsi="宋体" w:eastAsia="宋体" w:cs="Times New Roman"/>
          <w:color w:val="000000" w:themeColor="text1"/>
          <w:kern w:val="2"/>
          <w:sz w:val="28"/>
          <w:szCs w:val="28"/>
          <w:lang w:val="en-US" w:eastAsia="zh-CN" w:bidi="ar-SA"/>
        </w:rPr>
        <w:t>万元取得，综合单价</w:t>
      </w:r>
      <w:r>
        <w:rPr>
          <w:rFonts w:hint="eastAsia" w:ascii="宋体" w:hAnsi="宋体" w:eastAsia="宋体" w:cs="Times New Roman"/>
          <w:color w:val="000000" w:themeColor="text1"/>
          <w:spacing w:val="-20"/>
          <w:kern w:val="2"/>
          <w:sz w:val="28"/>
          <w:szCs w:val="28"/>
          <w:lang w:val="en-US" w:eastAsia="zh-CN" w:bidi="ar-SA"/>
        </w:rPr>
        <w:t>1633元/平方米（合</w:t>
      </w:r>
      <w:r>
        <w:rPr>
          <w:rFonts w:hint="eastAsia" w:hAnsi="宋体" w:cs="Times New Roman"/>
          <w:color w:val="000000" w:themeColor="text1"/>
          <w:spacing w:val="-20"/>
          <w:kern w:val="2"/>
          <w:sz w:val="28"/>
          <w:szCs w:val="28"/>
          <w:lang w:val="en-US" w:eastAsia="zh-CN" w:bidi="ar-SA"/>
        </w:rPr>
        <w:t>108.87</w:t>
      </w:r>
      <w:r>
        <w:rPr>
          <w:rFonts w:hint="eastAsia" w:ascii="宋体" w:hAnsi="宋体" w:eastAsia="宋体" w:cs="Times New Roman"/>
          <w:color w:val="000000" w:themeColor="text1"/>
          <w:spacing w:val="-20"/>
          <w:kern w:val="2"/>
          <w:sz w:val="28"/>
          <w:szCs w:val="28"/>
          <w:lang w:val="en-US" w:eastAsia="zh-CN" w:bidi="ar-SA"/>
        </w:rPr>
        <w:t>万元/亩）</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b/>
          <w:bCs/>
          <w:color w:val="000000" w:themeColor="text1"/>
          <w:kern w:val="2"/>
          <w:sz w:val="28"/>
          <w:szCs w:val="28"/>
          <w:lang w:val="en-US" w:eastAsia="zh-CN" w:bidi="ar-SA"/>
        </w:rPr>
      </w:pPr>
      <w:r>
        <w:rPr>
          <w:rFonts w:hint="eastAsia" w:ascii="宋体" w:hAnsi="宋体" w:eastAsia="宋体" w:cs="Times New Roman"/>
          <w:b/>
          <w:bCs/>
          <w:color w:val="000000" w:themeColor="text1"/>
          <w:kern w:val="2"/>
          <w:sz w:val="28"/>
          <w:szCs w:val="28"/>
          <w:lang w:val="en-US" w:eastAsia="zh-CN" w:bidi="ar-SA"/>
        </w:rPr>
        <w:t>实例2：汾阳市天成置业有限责任公司以挂牌方式取得的公开出让土地使用权</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位置：汾阳市西河乡北门村</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土地面积：</w:t>
      </w:r>
      <w:r>
        <w:rPr>
          <w:rFonts w:hint="eastAsia" w:hAnsi="宋体" w:cs="Times New Roman"/>
          <w:color w:val="000000" w:themeColor="text1"/>
          <w:kern w:val="2"/>
          <w:sz w:val="28"/>
          <w:szCs w:val="28"/>
          <w:lang w:val="en-US" w:eastAsia="zh-CN" w:bidi="ar-SA"/>
        </w:rPr>
        <w:t>7830</w:t>
      </w:r>
      <w:r>
        <w:rPr>
          <w:rFonts w:hint="eastAsia" w:ascii="宋体" w:hAnsi="宋体" w:eastAsia="宋体" w:cs="Times New Roman"/>
          <w:color w:val="000000" w:themeColor="text1"/>
          <w:kern w:val="2"/>
          <w:sz w:val="28"/>
          <w:szCs w:val="28"/>
          <w:lang w:val="en-US" w:eastAsia="zh-CN" w:bidi="ar-SA"/>
        </w:rPr>
        <w:t>平方米</w:t>
      </w:r>
      <w:r>
        <w:rPr>
          <w:rFonts w:hint="eastAsia" w:hAnsi="宋体" w:cs="Times New Roman"/>
          <w:color w:val="000000" w:themeColor="text1"/>
          <w:kern w:val="2"/>
          <w:sz w:val="28"/>
          <w:szCs w:val="28"/>
          <w:lang w:val="en-US" w:eastAsia="zh-CN" w:bidi="ar-SA"/>
        </w:rPr>
        <w:t>，</w:t>
      </w:r>
      <w:r>
        <w:rPr>
          <w:rFonts w:hint="eastAsia" w:ascii="宋体" w:hAnsi="宋体" w:eastAsia="宋体" w:cs="Times New Roman"/>
          <w:color w:val="000000" w:themeColor="text1"/>
          <w:kern w:val="2"/>
          <w:sz w:val="28"/>
          <w:szCs w:val="28"/>
          <w:lang w:val="en-US" w:eastAsia="zh-CN" w:bidi="ar-SA"/>
        </w:rPr>
        <w:t>商业建筑面积占总建筑的比例不超过10%</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用途：</w:t>
      </w:r>
      <w:r>
        <w:rPr>
          <w:rFonts w:hint="eastAsia" w:hAnsi="宋体" w:cs="Times New Roman"/>
          <w:color w:val="000000" w:themeColor="text1"/>
          <w:kern w:val="2"/>
          <w:sz w:val="28"/>
          <w:szCs w:val="28"/>
          <w:lang w:val="en-US" w:eastAsia="zh-CN" w:bidi="ar-SA"/>
        </w:rPr>
        <w:t>住宅</w:t>
      </w:r>
      <w:r>
        <w:rPr>
          <w:rFonts w:hint="eastAsia" w:ascii="宋体" w:hAnsi="宋体" w:eastAsia="宋体" w:cs="Times New Roman"/>
          <w:color w:val="000000" w:themeColor="text1"/>
          <w:kern w:val="2"/>
          <w:sz w:val="28"/>
          <w:szCs w:val="28"/>
          <w:lang w:val="en-US" w:eastAsia="zh-CN" w:bidi="ar-SA"/>
        </w:rPr>
        <w:t>70年，商业40年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成交日期：202</w:t>
      </w:r>
      <w:r>
        <w:rPr>
          <w:rFonts w:hint="eastAsia" w:hAnsi="宋体" w:cs="Times New Roman"/>
          <w:color w:val="000000" w:themeColor="text1"/>
          <w:kern w:val="2"/>
          <w:sz w:val="28"/>
          <w:szCs w:val="28"/>
          <w:lang w:val="en-US" w:eastAsia="zh-CN" w:bidi="ar-SA"/>
        </w:rPr>
        <w:t>1</w:t>
      </w:r>
      <w:r>
        <w:rPr>
          <w:rFonts w:hint="eastAsia" w:ascii="宋体" w:hAnsi="宋体" w:eastAsia="宋体" w:cs="Times New Roman"/>
          <w:color w:val="000000" w:themeColor="text1"/>
          <w:kern w:val="2"/>
          <w:sz w:val="28"/>
          <w:szCs w:val="28"/>
          <w:lang w:val="en-US" w:eastAsia="zh-CN" w:bidi="ar-SA"/>
        </w:rPr>
        <w:t>年</w:t>
      </w:r>
      <w:r>
        <w:rPr>
          <w:rFonts w:hint="eastAsia" w:hAnsi="宋体" w:cs="Times New Roman"/>
          <w:color w:val="000000" w:themeColor="text1"/>
          <w:kern w:val="2"/>
          <w:sz w:val="28"/>
          <w:szCs w:val="28"/>
          <w:lang w:val="en-US" w:eastAsia="zh-CN" w:bidi="ar-SA"/>
        </w:rPr>
        <w:t>3</w:t>
      </w:r>
      <w:r>
        <w:rPr>
          <w:rFonts w:hint="eastAsia" w:ascii="宋体" w:hAnsi="宋体" w:eastAsia="宋体" w:cs="Times New Roman"/>
          <w:color w:val="000000" w:themeColor="text1"/>
          <w:kern w:val="2"/>
          <w:sz w:val="28"/>
          <w:szCs w:val="28"/>
          <w:lang w:val="en-US" w:eastAsia="zh-CN" w:bidi="ar-SA"/>
        </w:rPr>
        <w:t>月</w:t>
      </w:r>
      <w:r>
        <w:rPr>
          <w:rFonts w:hint="eastAsia" w:hAnsi="宋体" w:cs="Times New Roman"/>
          <w:color w:val="000000" w:themeColor="text1"/>
          <w:kern w:val="2"/>
          <w:sz w:val="28"/>
          <w:szCs w:val="28"/>
          <w:lang w:val="en-US" w:eastAsia="zh-CN" w:bidi="ar-SA"/>
        </w:rPr>
        <w:t>9</w:t>
      </w:r>
      <w:r>
        <w:rPr>
          <w:rFonts w:hint="eastAsia" w:ascii="宋体" w:hAnsi="宋体" w:eastAsia="宋体" w:cs="Times New Roman"/>
          <w:color w:val="000000" w:themeColor="text1"/>
          <w:kern w:val="2"/>
          <w:sz w:val="28"/>
          <w:szCs w:val="28"/>
          <w:lang w:val="en-US" w:eastAsia="zh-CN" w:bidi="ar-SA"/>
        </w:rPr>
        <w:t>日</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容积率：1.0-2.</w:t>
      </w:r>
      <w:r>
        <w:rPr>
          <w:rFonts w:hint="eastAsia" w:hAnsi="宋体" w:cs="Times New Roman"/>
          <w:color w:val="000000" w:themeColor="text1"/>
          <w:kern w:val="2"/>
          <w:sz w:val="28"/>
          <w:szCs w:val="28"/>
          <w:lang w:val="en-US" w:eastAsia="zh-CN" w:bidi="ar-SA"/>
        </w:rPr>
        <w:t>9</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开发程度：红线外“</w:t>
      </w:r>
      <w:r>
        <w:rPr>
          <w:rFonts w:hint="eastAsia" w:hAnsi="宋体" w:cs="Times New Roman"/>
          <w:color w:val="000000" w:themeColor="text1"/>
          <w:kern w:val="2"/>
          <w:sz w:val="28"/>
          <w:szCs w:val="28"/>
          <w:lang w:val="en-US" w:eastAsia="zh-CN" w:bidi="ar-SA"/>
        </w:rPr>
        <w:t>七</w:t>
      </w:r>
      <w:r>
        <w:rPr>
          <w:rFonts w:hint="eastAsia" w:ascii="宋体" w:hAnsi="宋体" w:eastAsia="宋体" w:cs="Times New Roman"/>
          <w:color w:val="000000" w:themeColor="text1"/>
          <w:kern w:val="2"/>
          <w:sz w:val="28"/>
          <w:szCs w:val="28"/>
          <w:lang w:val="en-US" w:eastAsia="zh-CN" w:bidi="ar-SA"/>
        </w:rPr>
        <w:t>通”，红线内“场地平整”；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土地使用权年限：</w:t>
      </w:r>
      <w:r>
        <w:rPr>
          <w:rFonts w:hint="eastAsia" w:hAnsi="宋体" w:cs="Times New Roman"/>
          <w:color w:val="000000" w:themeColor="text1"/>
          <w:kern w:val="2"/>
          <w:sz w:val="28"/>
          <w:szCs w:val="28"/>
          <w:lang w:val="en-US" w:eastAsia="zh-CN" w:bidi="ar-SA"/>
        </w:rPr>
        <w:t>住宅</w:t>
      </w:r>
      <w:r>
        <w:rPr>
          <w:rFonts w:hint="eastAsia" w:ascii="宋体" w:hAnsi="宋体" w:eastAsia="宋体" w:cs="Times New Roman"/>
          <w:color w:val="000000" w:themeColor="text1"/>
          <w:kern w:val="2"/>
          <w:sz w:val="28"/>
          <w:szCs w:val="28"/>
          <w:lang w:val="en-US" w:eastAsia="zh-CN" w:bidi="ar-SA"/>
        </w:rPr>
        <w:t>70年，商业40年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成交价格：</w:t>
      </w:r>
      <w:r>
        <w:rPr>
          <w:rFonts w:hint="eastAsia" w:hAnsi="宋体" w:cs="Times New Roman"/>
          <w:color w:val="000000" w:themeColor="text1"/>
          <w:kern w:val="2"/>
          <w:sz w:val="28"/>
          <w:szCs w:val="28"/>
          <w:lang w:val="en-US" w:eastAsia="zh-CN" w:bidi="ar-SA"/>
        </w:rPr>
        <w:t>1292</w:t>
      </w:r>
      <w:r>
        <w:rPr>
          <w:rFonts w:hint="eastAsia" w:ascii="宋体" w:hAnsi="宋体" w:eastAsia="宋体" w:cs="Times New Roman"/>
          <w:color w:val="000000" w:themeColor="text1"/>
          <w:kern w:val="2"/>
          <w:sz w:val="28"/>
          <w:szCs w:val="28"/>
          <w:lang w:val="en-US" w:eastAsia="zh-CN" w:bidi="ar-SA"/>
        </w:rPr>
        <w:t>万元,综合单价</w:t>
      </w:r>
      <w:r>
        <w:rPr>
          <w:rFonts w:hint="eastAsia" w:hAnsi="宋体" w:cs="Times New Roman"/>
          <w:color w:val="000000" w:themeColor="text1"/>
          <w:kern w:val="2"/>
          <w:sz w:val="28"/>
          <w:szCs w:val="28"/>
          <w:lang w:val="en-US" w:eastAsia="zh-CN" w:bidi="ar-SA"/>
        </w:rPr>
        <w:t>1650</w:t>
      </w:r>
      <w:r>
        <w:rPr>
          <w:rFonts w:hint="eastAsia" w:ascii="宋体" w:hAnsi="宋体" w:eastAsia="宋体" w:cs="Times New Roman"/>
          <w:color w:val="000000" w:themeColor="text1"/>
          <w:kern w:val="2"/>
          <w:sz w:val="28"/>
          <w:szCs w:val="28"/>
          <w:lang w:val="en-US" w:eastAsia="zh-CN" w:bidi="ar-SA"/>
        </w:rPr>
        <w:t>元/</w:t>
      </w:r>
      <w:r>
        <w:rPr>
          <w:rFonts w:hint="eastAsia" w:hAnsi="宋体" w:cs="Times New Roman"/>
          <w:color w:val="000000" w:themeColor="text1"/>
          <w:kern w:val="2"/>
          <w:sz w:val="28"/>
          <w:szCs w:val="28"/>
          <w:lang w:val="en-US" w:eastAsia="zh-CN" w:bidi="ar-SA"/>
        </w:rPr>
        <w:t>平方米</w:t>
      </w:r>
      <w:r>
        <w:rPr>
          <w:rFonts w:hint="eastAsia" w:ascii="宋体" w:hAnsi="宋体" w:eastAsia="宋体" w:cs="Times New Roman"/>
          <w:color w:val="000000" w:themeColor="text1"/>
          <w:kern w:val="2"/>
          <w:sz w:val="28"/>
          <w:szCs w:val="28"/>
          <w:lang w:val="en-US" w:eastAsia="zh-CN" w:bidi="ar-SA"/>
        </w:rPr>
        <w:t>（合</w:t>
      </w:r>
      <w:r>
        <w:rPr>
          <w:rFonts w:hint="eastAsia" w:hAnsi="宋体" w:cs="Times New Roman"/>
          <w:color w:val="000000" w:themeColor="text1"/>
          <w:kern w:val="2"/>
          <w:sz w:val="28"/>
          <w:szCs w:val="28"/>
          <w:lang w:val="en-US" w:eastAsia="zh-CN" w:bidi="ar-SA"/>
        </w:rPr>
        <w:t>110.0</w:t>
      </w:r>
      <w:r>
        <w:rPr>
          <w:rFonts w:hint="eastAsia" w:ascii="宋体" w:hAnsi="宋体" w:eastAsia="宋体" w:cs="Times New Roman"/>
          <w:color w:val="000000" w:themeColor="text1"/>
          <w:kern w:val="2"/>
          <w:sz w:val="28"/>
          <w:szCs w:val="28"/>
          <w:lang w:val="en-US" w:eastAsia="zh-CN" w:bidi="ar-SA"/>
        </w:rPr>
        <w:t>万元/亩）</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实例3：汾阳市文丰置业有限公司以挂牌方式取得的公开出让土地使用权</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位置：汾阳市文峰街道办事处南关社区</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土地面积：24049平方米</w:t>
      </w:r>
      <w:r>
        <w:rPr>
          <w:rFonts w:hint="eastAsia" w:hAnsi="宋体" w:cs="Times New Roman"/>
          <w:color w:val="000000" w:themeColor="text1"/>
          <w:kern w:val="2"/>
          <w:sz w:val="28"/>
          <w:szCs w:val="28"/>
          <w:lang w:val="en-US" w:eastAsia="zh-CN" w:bidi="ar-SA"/>
        </w:rPr>
        <w:t>，</w:t>
      </w:r>
      <w:r>
        <w:rPr>
          <w:rFonts w:hint="eastAsia" w:ascii="宋体" w:hAnsi="宋体" w:eastAsia="宋体" w:cs="Times New Roman"/>
          <w:color w:val="000000" w:themeColor="text1"/>
          <w:kern w:val="2"/>
          <w:sz w:val="28"/>
          <w:szCs w:val="28"/>
          <w:lang w:val="en-US" w:eastAsia="zh-CN" w:bidi="ar-SA"/>
        </w:rPr>
        <w:t>商业建筑面积占总建筑的比例不超过10%</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用途：住宅兼容商业</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容积率：1.0-2.</w:t>
      </w:r>
      <w:r>
        <w:rPr>
          <w:rFonts w:hint="eastAsia" w:hAnsi="宋体" w:cs="Times New Roman"/>
          <w:color w:val="000000" w:themeColor="text1"/>
          <w:kern w:val="2"/>
          <w:sz w:val="28"/>
          <w:szCs w:val="28"/>
          <w:lang w:val="en-US" w:eastAsia="zh-CN" w:bidi="ar-SA"/>
        </w:rPr>
        <w:t>9</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土地使用权年限：住宅70年，商业40年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开发程度：红线外“</w:t>
      </w:r>
      <w:r>
        <w:rPr>
          <w:rFonts w:hint="eastAsia" w:hAnsi="宋体" w:cs="Times New Roman"/>
          <w:color w:val="000000" w:themeColor="text1"/>
          <w:kern w:val="2"/>
          <w:sz w:val="28"/>
          <w:szCs w:val="28"/>
          <w:lang w:val="en-US" w:eastAsia="zh-CN" w:bidi="ar-SA"/>
        </w:rPr>
        <w:t>七</w:t>
      </w:r>
      <w:r>
        <w:rPr>
          <w:rFonts w:hint="eastAsia" w:ascii="宋体" w:hAnsi="宋体" w:eastAsia="宋体" w:cs="Times New Roman"/>
          <w:color w:val="000000" w:themeColor="text1"/>
          <w:kern w:val="2"/>
          <w:sz w:val="28"/>
          <w:szCs w:val="28"/>
          <w:lang w:val="en-US" w:eastAsia="zh-CN" w:bidi="ar-SA"/>
        </w:rPr>
        <w:t>通”、红线内“场地平整”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成交日期：20</w:t>
      </w:r>
      <w:r>
        <w:rPr>
          <w:rFonts w:hint="eastAsia" w:hAnsi="宋体" w:cs="Times New Roman"/>
          <w:color w:val="000000" w:themeColor="text1"/>
          <w:kern w:val="2"/>
          <w:sz w:val="28"/>
          <w:szCs w:val="28"/>
          <w:lang w:val="en-US" w:eastAsia="zh-CN" w:bidi="ar-SA"/>
        </w:rPr>
        <w:t>21</w:t>
      </w:r>
      <w:r>
        <w:rPr>
          <w:rFonts w:hint="eastAsia" w:ascii="宋体" w:hAnsi="宋体" w:eastAsia="宋体" w:cs="Times New Roman"/>
          <w:color w:val="000000" w:themeColor="text1"/>
          <w:kern w:val="2"/>
          <w:sz w:val="28"/>
          <w:szCs w:val="28"/>
          <w:lang w:val="en-US" w:eastAsia="zh-CN" w:bidi="ar-SA"/>
        </w:rPr>
        <w:t>年</w:t>
      </w:r>
      <w:r>
        <w:rPr>
          <w:rFonts w:hint="eastAsia" w:hAnsi="宋体" w:cs="Times New Roman"/>
          <w:color w:val="000000" w:themeColor="text1"/>
          <w:kern w:val="2"/>
          <w:sz w:val="28"/>
          <w:szCs w:val="28"/>
          <w:lang w:val="en-US" w:eastAsia="zh-CN" w:bidi="ar-SA"/>
        </w:rPr>
        <w:t>12</w:t>
      </w:r>
      <w:r>
        <w:rPr>
          <w:rFonts w:hint="eastAsia" w:ascii="宋体" w:hAnsi="宋体" w:eastAsia="宋体" w:cs="Times New Roman"/>
          <w:color w:val="000000" w:themeColor="text1"/>
          <w:kern w:val="2"/>
          <w:sz w:val="28"/>
          <w:szCs w:val="28"/>
          <w:lang w:val="en-US" w:eastAsia="zh-CN" w:bidi="ar-SA"/>
        </w:rPr>
        <w:t>月</w:t>
      </w:r>
      <w:r>
        <w:rPr>
          <w:rFonts w:hint="eastAsia" w:hAnsi="宋体" w:cs="Times New Roman"/>
          <w:color w:val="000000" w:themeColor="text1"/>
          <w:kern w:val="2"/>
          <w:sz w:val="28"/>
          <w:szCs w:val="28"/>
          <w:lang w:val="en-US" w:eastAsia="zh-CN" w:bidi="ar-SA"/>
        </w:rPr>
        <w:t>21</w:t>
      </w:r>
      <w:r>
        <w:rPr>
          <w:rFonts w:hint="eastAsia" w:ascii="宋体" w:hAnsi="宋体" w:eastAsia="宋体" w:cs="Times New Roman"/>
          <w:color w:val="000000" w:themeColor="text1"/>
          <w:kern w:val="2"/>
          <w:sz w:val="28"/>
          <w:szCs w:val="28"/>
          <w:lang w:val="en-US" w:eastAsia="zh-CN" w:bidi="ar-SA"/>
        </w:rPr>
        <w:t>日</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成交价格：以</w:t>
      </w:r>
      <w:r>
        <w:rPr>
          <w:rFonts w:hint="eastAsia" w:hAnsi="宋体" w:cs="Times New Roman"/>
          <w:color w:val="000000" w:themeColor="text1"/>
          <w:kern w:val="2"/>
          <w:sz w:val="28"/>
          <w:szCs w:val="28"/>
          <w:lang w:val="en-US" w:eastAsia="zh-CN" w:bidi="ar-SA"/>
        </w:rPr>
        <w:t>4725</w:t>
      </w:r>
      <w:r>
        <w:rPr>
          <w:rFonts w:hint="eastAsia" w:ascii="宋体" w:hAnsi="宋体" w:eastAsia="宋体" w:cs="Times New Roman"/>
          <w:color w:val="000000" w:themeColor="text1"/>
          <w:kern w:val="2"/>
          <w:sz w:val="28"/>
          <w:szCs w:val="28"/>
          <w:lang w:val="en-US" w:eastAsia="zh-CN" w:bidi="ar-SA"/>
        </w:rPr>
        <w:t>万元取得，综合单价</w:t>
      </w:r>
      <w:r>
        <w:rPr>
          <w:rFonts w:hint="eastAsia" w:hAnsi="宋体" w:cs="Times New Roman"/>
          <w:color w:val="000000" w:themeColor="text1"/>
          <w:kern w:val="2"/>
          <w:sz w:val="28"/>
          <w:szCs w:val="28"/>
          <w:lang w:val="en-US" w:eastAsia="zh-CN" w:bidi="ar-SA"/>
        </w:rPr>
        <w:t>1965</w:t>
      </w:r>
      <w:r>
        <w:rPr>
          <w:rFonts w:hint="eastAsia" w:ascii="宋体" w:hAnsi="宋体" w:eastAsia="宋体" w:cs="Times New Roman"/>
          <w:color w:val="000000" w:themeColor="text1"/>
          <w:kern w:val="2"/>
          <w:sz w:val="28"/>
          <w:szCs w:val="28"/>
          <w:lang w:val="en-US" w:eastAsia="zh-CN" w:bidi="ar-SA"/>
        </w:rPr>
        <w:t>元/平方米（合</w:t>
      </w:r>
      <w:r>
        <w:rPr>
          <w:rFonts w:hint="eastAsia" w:hAnsi="宋体" w:cs="Times New Roman"/>
          <w:color w:val="000000" w:themeColor="text1"/>
          <w:kern w:val="2"/>
          <w:sz w:val="28"/>
          <w:szCs w:val="28"/>
          <w:lang w:val="en-US" w:eastAsia="zh-CN" w:bidi="ar-SA"/>
        </w:rPr>
        <w:t>131.0</w:t>
      </w:r>
      <w:r>
        <w:rPr>
          <w:rFonts w:hint="eastAsia" w:ascii="宋体" w:hAnsi="宋体" w:eastAsia="宋体" w:cs="Times New Roman"/>
          <w:color w:val="000000" w:themeColor="text1"/>
          <w:kern w:val="2"/>
          <w:sz w:val="28"/>
          <w:szCs w:val="28"/>
          <w:lang w:val="en-US" w:eastAsia="zh-CN" w:bidi="ar-SA"/>
        </w:rPr>
        <w:t>万元/亩）</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2、比较因素选择</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根据估价对象的宗地条件，影响估价对象价格的主要因素有</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A、交易时间</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B、交易情况</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C、交易方式</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D、土地使用年期</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E、区域因素：主要有交通条件[道路通达度、距火车站距离]、基础设施状况、基础设施完善度、商业繁华度、环境优劣度等。</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F、个别因素：主要指宗地内开发程度、宗地形状、临路状况、宗地地形、容积率、宗地面积等。</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3、编制比较因素条件说明表</w:t>
      </w:r>
    </w:p>
    <w:p>
      <w:pPr>
        <w:pStyle w:val="14"/>
        <w:keepNext w:val="0"/>
        <w:keepLines w:val="0"/>
        <w:pageBreakBefore w:val="0"/>
        <w:widowControl w:val="0"/>
        <w:kinsoku/>
        <w:wordWrap/>
        <w:overflowPunct/>
        <w:topLinePunct w:val="0"/>
        <w:autoSpaceDE/>
        <w:autoSpaceDN/>
        <w:bidi w:val="0"/>
        <w:adjustRightInd/>
        <w:snapToGrid w:val="0"/>
        <w:spacing w:line="520" w:lineRule="exact"/>
        <w:ind w:firstLine="548" w:firstLineChars="196"/>
        <w:textAlignment w:val="auto"/>
        <w:rPr>
          <w:rFonts w:hint="eastAsia" w:ascii="宋体" w:hAnsi="宋体" w:eastAsia="宋体" w:cs="Times New Roman"/>
          <w:color w:val="000000" w:themeColor="text1"/>
          <w:kern w:val="2"/>
          <w:sz w:val="28"/>
          <w:szCs w:val="28"/>
          <w:lang w:val="en-US" w:eastAsia="zh-CN" w:bidi="ar-SA"/>
        </w:rPr>
      </w:pPr>
      <w:r>
        <w:rPr>
          <w:rFonts w:hint="eastAsia" w:ascii="宋体" w:hAnsi="宋体" w:eastAsia="宋体" w:cs="Times New Roman"/>
          <w:color w:val="000000" w:themeColor="text1"/>
          <w:kern w:val="2"/>
          <w:sz w:val="28"/>
          <w:szCs w:val="28"/>
          <w:lang w:val="en-US" w:eastAsia="zh-CN" w:bidi="ar-SA"/>
        </w:rPr>
        <w:t>估价对象与比较实例的比较因素条件详述见下表。</w:t>
      </w:r>
    </w:p>
    <w:p>
      <w:pPr>
        <w:ind w:firstLine="560"/>
        <w:jc w:val="center"/>
        <w:textAlignment w:val="bottom"/>
        <w:rPr>
          <w:rFonts w:hint="eastAsia" w:hAnsi="宋体" w:cs="宋体"/>
          <w:b/>
          <w:snapToGrid w:val="0"/>
          <w:kern w:val="0"/>
          <w:sz w:val="28"/>
          <w:szCs w:val="28"/>
        </w:rPr>
      </w:pPr>
    </w:p>
    <w:p>
      <w:pPr>
        <w:ind w:firstLine="560"/>
        <w:jc w:val="center"/>
        <w:textAlignment w:val="bottom"/>
        <w:rPr>
          <w:rFonts w:hint="eastAsia" w:hAnsi="宋体" w:cs="宋体"/>
          <w:b/>
          <w:snapToGrid w:val="0"/>
          <w:kern w:val="0"/>
          <w:sz w:val="28"/>
          <w:szCs w:val="28"/>
        </w:rPr>
      </w:pPr>
    </w:p>
    <w:p>
      <w:pPr>
        <w:ind w:firstLine="560"/>
        <w:jc w:val="center"/>
        <w:textAlignment w:val="bottom"/>
        <w:rPr>
          <w:rFonts w:hAnsi="宋体" w:cs="宋体"/>
          <w:b/>
          <w:snapToGrid w:val="0"/>
          <w:kern w:val="0"/>
          <w:sz w:val="28"/>
          <w:szCs w:val="28"/>
        </w:rPr>
      </w:pPr>
      <w:r>
        <w:rPr>
          <w:rFonts w:hint="eastAsia" w:hAnsi="宋体" w:cs="宋体"/>
          <w:b/>
          <w:snapToGrid w:val="0"/>
          <w:kern w:val="0"/>
          <w:sz w:val="28"/>
          <w:szCs w:val="28"/>
        </w:rPr>
        <w:t>比较因素条件说明表</w:t>
      </w:r>
    </w:p>
    <w:tbl>
      <w:tblPr>
        <w:tblStyle w:val="25"/>
        <w:tblW w:w="9757" w:type="dxa"/>
        <w:jc w:val="center"/>
        <w:tblLayout w:type="fixed"/>
        <w:tblCellMar>
          <w:top w:w="0" w:type="dxa"/>
          <w:left w:w="0" w:type="dxa"/>
          <w:bottom w:w="0" w:type="dxa"/>
          <w:right w:w="0" w:type="dxa"/>
        </w:tblCellMar>
      </w:tblPr>
      <w:tblGrid>
        <w:gridCol w:w="390"/>
        <w:gridCol w:w="485"/>
        <w:gridCol w:w="1675"/>
        <w:gridCol w:w="1753"/>
        <w:gridCol w:w="1838"/>
        <w:gridCol w:w="1825"/>
        <w:gridCol w:w="1791"/>
      </w:tblGrid>
      <w:tr>
        <w:tblPrEx>
          <w:tblCellMar>
            <w:top w:w="0" w:type="dxa"/>
            <w:left w:w="0" w:type="dxa"/>
            <w:bottom w:w="0" w:type="dxa"/>
            <w:right w:w="0" w:type="dxa"/>
          </w:tblCellMar>
        </w:tblPrEx>
        <w:trPr>
          <w:trHeight w:val="482" w:hRule="atLeast"/>
          <w:jc w:val="center"/>
        </w:trPr>
        <w:tc>
          <w:tcPr>
            <w:tcW w:w="2550" w:type="dxa"/>
            <w:gridSpan w:val="3"/>
            <w:tcBorders>
              <w:top w:val="single" w:color="000000" w:sz="4" w:space="0"/>
              <w:left w:val="single" w:color="000000" w:sz="4" w:space="0"/>
              <w:bottom w:val="single" w:color="000000" w:sz="4" w:space="0"/>
              <w:right w:val="single" w:color="000000" w:sz="4" w:space="0"/>
              <w:tl2br w:val="single" w:color="auto" w:sz="4" w:space="0"/>
            </w:tcBorders>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14" w:right="-125" w:hanging="14"/>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待估宗地与比较案例</w:t>
            </w:r>
          </w:p>
          <w:p>
            <w:pPr>
              <w:keepNext w:val="0"/>
              <w:keepLines w:val="0"/>
              <w:pageBreakBefore w:val="0"/>
              <w:widowControl w:val="0"/>
              <w:kinsoku/>
              <w:wordWrap/>
              <w:overflowPunct/>
              <w:topLinePunct w:val="0"/>
              <w:autoSpaceDE/>
              <w:autoSpaceDN/>
              <w:bidi w:val="0"/>
              <w:adjustRightInd/>
              <w:snapToGrid w:val="0"/>
              <w:spacing w:line="340" w:lineRule="exact"/>
              <w:ind w:left="14" w:right="-125" w:hanging="14"/>
              <w:textAlignment w:val="auto"/>
              <w:rPr>
                <w:rFonts w:hint="eastAsia" w:ascii="宋体" w:hAnsi="宋体" w:eastAsia="宋体" w:cs="宋体"/>
                <w:sz w:val="24"/>
                <w:szCs w:val="24"/>
              </w:rPr>
            </w:pPr>
            <w:r>
              <w:rPr>
                <w:rFonts w:hint="eastAsia" w:ascii="宋体" w:hAnsi="宋体" w:eastAsia="宋体" w:cs="宋体"/>
                <w:sz w:val="24"/>
                <w:szCs w:val="24"/>
              </w:rPr>
              <w:t>比较因素</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125"/>
              <w:jc w:val="center"/>
              <w:textAlignment w:val="auto"/>
              <w:rPr>
                <w:rFonts w:hint="eastAsia" w:ascii="宋体" w:hAnsi="宋体" w:eastAsia="宋体" w:cs="宋体"/>
                <w:sz w:val="24"/>
                <w:szCs w:val="24"/>
              </w:rPr>
            </w:pPr>
            <w:r>
              <w:rPr>
                <w:rFonts w:hint="eastAsia" w:ascii="宋体" w:hAnsi="宋体" w:eastAsia="宋体" w:cs="宋体"/>
                <w:sz w:val="24"/>
                <w:szCs w:val="24"/>
              </w:rPr>
              <w:t>待估宗地</w:t>
            </w:r>
          </w:p>
        </w:tc>
        <w:tc>
          <w:tcPr>
            <w:tcW w:w="18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125"/>
              <w:jc w:val="center"/>
              <w:textAlignment w:val="auto"/>
              <w:rPr>
                <w:rFonts w:hint="eastAsia" w:ascii="宋体" w:hAnsi="宋体" w:eastAsia="宋体" w:cs="宋体"/>
                <w:sz w:val="24"/>
                <w:szCs w:val="24"/>
              </w:rPr>
            </w:pPr>
            <w:r>
              <w:rPr>
                <w:rFonts w:hint="eastAsia" w:ascii="宋体" w:hAnsi="宋体" w:eastAsia="宋体" w:cs="宋体"/>
                <w:sz w:val="24"/>
                <w:szCs w:val="24"/>
              </w:rPr>
              <w:t>实例1</w:t>
            </w:r>
          </w:p>
        </w:tc>
        <w:tc>
          <w:tcPr>
            <w:tcW w:w="18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实例2</w:t>
            </w:r>
          </w:p>
        </w:tc>
        <w:tc>
          <w:tcPr>
            <w:tcW w:w="179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94" w:right="-125"/>
              <w:jc w:val="center"/>
              <w:textAlignment w:val="auto"/>
              <w:rPr>
                <w:rFonts w:hint="eastAsia" w:ascii="宋体" w:hAnsi="宋体" w:eastAsia="宋体" w:cs="宋体"/>
                <w:sz w:val="24"/>
                <w:szCs w:val="24"/>
              </w:rPr>
            </w:pPr>
            <w:r>
              <w:rPr>
                <w:rFonts w:hint="eastAsia" w:ascii="宋体" w:hAnsi="宋体" w:eastAsia="宋体" w:cs="宋体"/>
                <w:sz w:val="24"/>
                <w:szCs w:val="24"/>
              </w:rPr>
              <w:t>实例3</w:t>
            </w:r>
          </w:p>
        </w:tc>
      </w:tr>
      <w:tr>
        <w:tblPrEx>
          <w:tblCellMar>
            <w:top w:w="0" w:type="dxa"/>
            <w:left w:w="0" w:type="dxa"/>
            <w:bottom w:w="0" w:type="dxa"/>
            <w:right w:w="0" w:type="dxa"/>
          </w:tblCellMar>
        </w:tblPrEx>
        <w:trPr>
          <w:trHeight w:val="376" w:hRule="atLeas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宗地位置</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汾阳市学院路西侧，中国人民银行北侧</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汾阳市西河乡西门村 </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汾阳市西河乡北门村</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汾阳市文峰街道办事处南关社区</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交易价格(元/m</w:t>
            </w:r>
            <w:r>
              <w:rPr>
                <w:rFonts w:hint="eastAsia" w:ascii="宋体" w:hAnsi="宋体" w:eastAsia="宋体" w:cs="宋体"/>
                <w:sz w:val="24"/>
                <w:szCs w:val="24"/>
                <w:vertAlign w:val="superscript"/>
              </w:rPr>
              <w:t>2</w:t>
            </w:r>
            <w:r>
              <w:rPr>
                <w:rFonts w:hint="eastAsia" w:ascii="宋体" w:hAnsi="宋体" w:eastAsia="宋体" w:cs="宋体"/>
                <w:sz w:val="24"/>
                <w:szCs w:val="24"/>
              </w:rPr>
              <w:t>)</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待估</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default" w:ascii="宋体" w:hAnsi="宋体" w:eastAsia="宋体" w:cs="宋体"/>
                <w:sz w:val="24"/>
                <w:szCs w:val="24"/>
                <w:lang w:val="en-US"/>
              </w:rPr>
            </w:pPr>
            <w:r>
              <w:rPr>
                <w:rFonts w:hint="default" w:ascii="宋体" w:hAnsi="宋体" w:eastAsia="宋体" w:cs="宋体"/>
                <w:sz w:val="24"/>
                <w:szCs w:val="24"/>
                <w:lang w:val="en-US" w:eastAsia="zh-CN"/>
              </w:rPr>
              <w:t>1633</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default" w:ascii="宋体" w:hAnsi="宋体" w:eastAsia="宋体" w:cs="宋体"/>
                <w:sz w:val="24"/>
                <w:szCs w:val="24"/>
                <w:lang w:val="en-US"/>
              </w:rPr>
            </w:pPr>
            <w:r>
              <w:rPr>
                <w:rFonts w:hint="eastAsia" w:hAnsi="宋体" w:cs="宋体"/>
                <w:sz w:val="24"/>
                <w:szCs w:val="24"/>
                <w:lang w:val="en-US" w:eastAsia="zh-CN"/>
              </w:rPr>
              <w:t>1650</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1965</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交易日期</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2022.</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27</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rPr>
              <w:t>202</w:t>
            </w:r>
            <w:r>
              <w:rPr>
                <w:rFonts w:hint="eastAsia" w:hAnsi="宋体" w:cs="宋体"/>
                <w:sz w:val="24"/>
                <w:szCs w:val="24"/>
                <w:lang w:val="en-US" w:eastAsia="zh-CN"/>
              </w:rPr>
              <w:t>1</w:t>
            </w:r>
            <w:r>
              <w:rPr>
                <w:rFonts w:hint="eastAsia" w:ascii="宋体" w:hAnsi="宋体" w:eastAsia="宋体" w:cs="宋体"/>
                <w:sz w:val="24"/>
                <w:szCs w:val="24"/>
              </w:rPr>
              <w:t>.</w:t>
            </w:r>
            <w:r>
              <w:rPr>
                <w:rFonts w:hint="eastAsia"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1</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FF0000"/>
                <w:sz w:val="24"/>
                <w:szCs w:val="24"/>
                <w:lang w:val="en-US"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hAnsi="宋体" w:cs="宋体"/>
                <w:sz w:val="24"/>
                <w:szCs w:val="24"/>
                <w:lang w:val="en-US" w:eastAsia="zh-CN"/>
              </w:rPr>
              <w:t>3</w:t>
            </w:r>
            <w:r>
              <w:rPr>
                <w:rFonts w:hint="eastAsia" w:ascii="宋体" w:hAnsi="宋体" w:eastAsia="宋体" w:cs="宋体"/>
                <w:sz w:val="24"/>
                <w:szCs w:val="24"/>
              </w:rPr>
              <w:t>.</w:t>
            </w:r>
            <w:r>
              <w:rPr>
                <w:rFonts w:hint="eastAsia" w:hAnsi="宋体" w:cs="宋体"/>
                <w:sz w:val="24"/>
                <w:szCs w:val="24"/>
                <w:lang w:val="en-US" w:eastAsia="zh-CN"/>
              </w:rPr>
              <w:t>9</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default" w:ascii="宋体" w:hAnsi="宋体" w:eastAsia="宋体" w:cs="宋体"/>
                <w:color w:val="FF0000"/>
                <w:sz w:val="24"/>
                <w:szCs w:val="24"/>
                <w:lang w:val="en-US" w:eastAsia="zh-CN"/>
              </w:rPr>
            </w:pPr>
            <w:r>
              <w:rPr>
                <w:rFonts w:hint="eastAsia" w:ascii="宋体" w:hAnsi="宋体" w:eastAsia="宋体" w:cs="宋体"/>
                <w:snapToGrid w:val="0"/>
                <w:kern w:val="0"/>
                <w:sz w:val="24"/>
                <w:szCs w:val="24"/>
              </w:rPr>
              <w:t>202</w:t>
            </w:r>
            <w:r>
              <w:rPr>
                <w:rFonts w:hint="eastAsia" w:ascii="宋体" w:hAnsi="宋体" w:eastAsia="宋体" w:cs="宋体"/>
                <w:snapToGrid w:val="0"/>
                <w:kern w:val="0"/>
                <w:sz w:val="24"/>
                <w:szCs w:val="24"/>
                <w:lang w:val="en-US" w:eastAsia="zh-CN"/>
              </w:rPr>
              <w:t>1</w:t>
            </w:r>
            <w:r>
              <w:rPr>
                <w:rFonts w:hint="eastAsia" w:ascii="宋体" w:hAnsi="宋体" w:eastAsia="宋体" w:cs="宋体"/>
                <w:snapToGrid w:val="0"/>
                <w:kern w:val="0"/>
                <w:sz w:val="24"/>
                <w:szCs w:val="24"/>
              </w:rPr>
              <w:t>.</w:t>
            </w:r>
            <w:r>
              <w:rPr>
                <w:rFonts w:hint="eastAsia" w:hAnsi="宋体" w:cs="宋体"/>
                <w:snapToGrid w:val="0"/>
                <w:kern w:val="0"/>
                <w:sz w:val="24"/>
                <w:szCs w:val="24"/>
                <w:lang w:val="en-US" w:eastAsia="zh-CN"/>
              </w:rPr>
              <w:t>12</w:t>
            </w:r>
            <w:r>
              <w:rPr>
                <w:rFonts w:hint="eastAsia" w:ascii="宋体" w:hAnsi="宋体" w:eastAsia="宋体" w:cs="宋体"/>
                <w:snapToGrid w:val="0"/>
                <w:kern w:val="0"/>
                <w:sz w:val="24"/>
                <w:szCs w:val="24"/>
              </w:rPr>
              <w:t>.</w:t>
            </w:r>
            <w:r>
              <w:rPr>
                <w:rFonts w:hint="eastAsia" w:hAnsi="宋体" w:cs="宋体"/>
                <w:snapToGrid w:val="0"/>
                <w:kern w:val="0"/>
                <w:sz w:val="24"/>
                <w:szCs w:val="24"/>
                <w:lang w:val="en-US" w:eastAsia="zh-CN"/>
              </w:rPr>
              <w:t>21</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交易方式</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司法鉴定</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出让</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出让</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出让</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交易情况</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正常</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正常</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正常</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正常</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土地用途</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住宅</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住宅</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住宅</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住宅</w:t>
            </w:r>
          </w:p>
        </w:tc>
      </w:tr>
      <w:tr>
        <w:tblPrEx>
          <w:tblCellMar>
            <w:top w:w="0" w:type="dxa"/>
            <w:left w:w="0" w:type="dxa"/>
            <w:bottom w:w="0" w:type="dxa"/>
            <w:right w:w="0" w:type="dxa"/>
          </w:tblCellMar>
        </w:tblPrEx>
        <w:trPr>
          <w:trHeight w:val="420" w:hRule="exact"/>
          <w:jc w:val="center"/>
        </w:trPr>
        <w:tc>
          <w:tcPr>
            <w:tcW w:w="25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土地使用年期（年）</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63.34</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70</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70</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70</w:t>
            </w:r>
          </w:p>
        </w:tc>
      </w:tr>
      <w:tr>
        <w:tblPrEx>
          <w:tblCellMar>
            <w:top w:w="0" w:type="dxa"/>
            <w:left w:w="0" w:type="dxa"/>
            <w:bottom w:w="0" w:type="dxa"/>
            <w:right w:w="0" w:type="dxa"/>
          </w:tblCellMar>
        </w:tblPrEx>
        <w:trPr>
          <w:trHeight w:val="420" w:hRule="exac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right="-125"/>
              <w:jc w:val="center"/>
              <w:rPr>
                <w:rFonts w:hint="eastAsia" w:ascii="宋体" w:hAnsi="宋体" w:eastAsia="宋体" w:cs="宋体"/>
                <w:sz w:val="24"/>
                <w:szCs w:val="24"/>
              </w:rPr>
            </w:pPr>
          </w:p>
          <w:p>
            <w:pPr>
              <w:ind w:left="-94" w:right="-125"/>
              <w:jc w:val="center"/>
              <w:rPr>
                <w:rFonts w:hint="eastAsia" w:ascii="宋体" w:hAnsi="宋体" w:eastAsia="宋体" w:cs="宋体"/>
                <w:sz w:val="24"/>
                <w:szCs w:val="24"/>
              </w:rPr>
            </w:pPr>
            <w:r>
              <w:rPr>
                <w:rFonts w:hint="eastAsia" w:ascii="宋体" w:hAnsi="宋体" w:eastAsia="宋体" w:cs="宋体"/>
                <w:sz w:val="24"/>
                <w:szCs w:val="24"/>
              </w:rPr>
              <w:t>区</w:t>
            </w:r>
          </w:p>
          <w:p>
            <w:pPr>
              <w:ind w:left="-94" w:right="-125"/>
              <w:jc w:val="center"/>
              <w:rPr>
                <w:rFonts w:hint="eastAsia" w:ascii="宋体" w:hAnsi="宋体" w:eastAsia="宋体" w:cs="宋体"/>
                <w:sz w:val="24"/>
                <w:szCs w:val="24"/>
              </w:rPr>
            </w:pPr>
            <w:r>
              <w:rPr>
                <w:rFonts w:hint="eastAsia" w:ascii="宋体" w:hAnsi="宋体" w:eastAsia="宋体" w:cs="宋体"/>
                <w:sz w:val="24"/>
                <w:szCs w:val="24"/>
              </w:rPr>
              <w:t>域</w:t>
            </w:r>
          </w:p>
          <w:p>
            <w:pPr>
              <w:ind w:left="-94" w:right="-125"/>
              <w:jc w:val="center"/>
              <w:rPr>
                <w:rFonts w:hint="eastAsia" w:ascii="宋体" w:hAnsi="宋体" w:eastAsia="宋体" w:cs="宋体"/>
                <w:sz w:val="24"/>
                <w:szCs w:val="24"/>
              </w:rPr>
            </w:pPr>
            <w:r>
              <w:rPr>
                <w:rFonts w:hint="eastAsia" w:ascii="宋体" w:hAnsi="宋体" w:eastAsia="宋体" w:cs="宋体"/>
                <w:sz w:val="24"/>
                <w:szCs w:val="24"/>
              </w:rPr>
              <w:t>因素</w:t>
            </w:r>
          </w:p>
        </w:tc>
        <w:tc>
          <w:tcPr>
            <w:tcW w:w="48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62" w:right="-125"/>
              <w:jc w:val="center"/>
              <w:rPr>
                <w:rFonts w:hint="eastAsia" w:ascii="宋体" w:hAnsi="宋体" w:eastAsia="宋体" w:cs="宋体"/>
                <w:sz w:val="24"/>
                <w:szCs w:val="24"/>
              </w:rPr>
            </w:pPr>
            <w:r>
              <w:rPr>
                <w:rFonts w:hint="eastAsia" w:ascii="宋体" w:hAnsi="宋体" w:eastAsia="宋体" w:cs="宋体"/>
                <w:sz w:val="24"/>
                <w:szCs w:val="24"/>
              </w:rPr>
              <w:t>交</w:t>
            </w:r>
          </w:p>
          <w:p>
            <w:pPr>
              <w:ind w:left="-62" w:right="-125"/>
              <w:jc w:val="center"/>
              <w:rPr>
                <w:rFonts w:hint="eastAsia" w:ascii="宋体" w:hAnsi="宋体" w:eastAsia="宋体" w:cs="宋体"/>
                <w:sz w:val="24"/>
                <w:szCs w:val="24"/>
              </w:rPr>
            </w:pPr>
            <w:r>
              <w:rPr>
                <w:rFonts w:hint="eastAsia" w:ascii="宋体" w:hAnsi="宋体" w:eastAsia="宋体" w:cs="宋体"/>
                <w:sz w:val="24"/>
                <w:szCs w:val="24"/>
              </w:rPr>
              <w:t>通</w:t>
            </w:r>
          </w:p>
          <w:p>
            <w:pPr>
              <w:ind w:left="-62" w:right="-125"/>
              <w:jc w:val="center"/>
              <w:rPr>
                <w:rFonts w:hint="eastAsia" w:ascii="宋体" w:hAnsi="宋体" w:eastAsia="宋体" w:cs="宋体"/>
                <w:sz w:val="24"/>
                <w:szCs w:val="24"/>
              </w:rPr>
            </w:pPr>
            <w:r>
              <w:rPr>
                <w:rFonts w:hint="eastAsia" w:ascii="宋体" w:hAnsi="宋体" w:eastAsia="宋体" w:cs="宋体"/>
                <w:sz w:val="24"/>
                <w:szCs w:val="24"/>
              </w:rPr>
              <w:t>条</w:t>
            </w:r>
          </w:p>
          <w:p>
            <w:pPr>
              <w:ind w:left="-62" w:right="-125"/>
              <w:jc w:val="center"/>
              <w:rPr>
                <w:rFonts w:hint="eastAsia" w:ascii="宋体" w:hAnsi="宋体" w:eastAsia="宋体" w:cs="宋体"/>
                <w:sz w:val="24"/>
                <w:szCs w:val="24"/>
              </w:rPr>
            </w:pPr>
            <w:r>
              <w:rPr>
                <w:rFonts w:hint="eastAsia" w:ascii="宋体" w:hAnsi="宋体" w:eastAsia="宋体" w:cs="宋体"/>
                <w:sz w:val="24"/>
                <w:szCs w:val="24"/>
              </w:rPr>
              <w:t>件</w:t>
            </w:r>
          </w:p>
        </w:tc>
        <w:tc>
          <w:tcPr>
            <w:tcW w:w="1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78" w:right="-104"/>
              <w:jc w:val="center"/>
              <w:rPr>
                <w:rFonts w:hint="eastAsia" w:ascii="宋体" w:hAnsi="宋体" w:eastAsia="宋体" w:cs="宋体"/>
                <w:sz w:val="24"/>
                <w:szCs w:val="24"/>
              </w:rPr>
            </w:pPr>
            <w:r>
              <w:rPr>
                <w:rFonts w:hint="eastAsia" w:ascii="宋体" w:hAnsi="宋体" w:eastAsia="宋体" w:cs="宋体"/>
                <w:sz w:val="24"/>
                <w:szCs w:val="24"/>
              </w:rPr>
              <w:t>道路通达度</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highlight w:val="yellow"/>
              </w:rPr>
            </w:pPr>
            <w:r>
              <w:rPr>
                <w:rFonts w:hint="eastAsia" w:ascii="宋体" w:hAnsi="宋体" w:eastAsia="宋体" w:cs="宋体"/>
                <w:sz w:val="24"/>
                <w:szCs w:val="24"/>
              </w:rPr>
              <w:t>主干道</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rPr>
            </w:pPr>
            <w:r>
              <w:rPr>
                <w:rFonts w:hint="eastAsia" w:ascii="宋体" w:hAnsi="宋体" w:eastAsia="宋体" w:cs="宋体"/>
                <w:sz w:val="24"/>
                <w:szCs w:val="24"/>
              </w:rPr>
              <w:t>主干道</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rPr>
            </w:pPr>
            <w:r>
              <w:rPr>
                <w:rFonts w:hint="eastAsia" w:ascii="宋体" w:hAnsi="宋体" w:eastAsia="宋体" w:cs="宋体"/>
                <w:sz w:val="24"/>
                <w:szCs w:val="24"/>
              </w:rPr>
              <w:t>主干道</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rPr>
            </w:pPr>
            <w:r>
              <w:rPr>
                <w:rFonts w:hint="eastAsia" w:ascii="宋体" w:hAnsi="宋体" w:eastAsia="宋体" w:cs="宋体"/>
                <w:sz w:val="24"/>
                <w:szCs w:val="24"/>
              </w:rPr>
              <w:t>主干道</w:t>
            </w:r>
          </w:p>
        </w:tc>
      </w:tr>
      <w:tr>
        <w:tblPrEx>
          <w:tblCellMar>
            <w:top w:w="0" w:type="dxa"/>
            <w:left w:w="0" w:type="dxa"/>
            <w:bottom w:w="0" w:type="dxa"/>
            <w:right w:w="0" w:type="dxa"/>
          </w:tblCellMar>
        </w:tblPrEx>
        <w:trPr>
          <w:trHeight w:val="62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宋体" w:hAnsi="宋体" w:eastAsia="宋体" w:cs="宋体"/>
                <w:sz w:val="24"/>
                <w:szCs w:val="24"/>
              </w:rPr>
            </w:pPr>
          </w:p>
        </w:tc>
        <w:tc>
          <w:tcPr>
            <w:tcW w:w="48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宋体" w:hAnsi="宋体" w:eastAsia="宋体" w:cs="宋体"/>
                <w:sz w:val="24"/>
                <w:szCs w:val="24"/>
              </w:rPr>
            </w:pPr>
          </w:p>
        </w:tc>
        <w:tc>
          <w:tcPr>
            <w:tcW w:w="1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78" w:right="-104"/>
              <w:jc w:val="center"/>
              <w:rPr>
                <w:rFonts w:hint="eastAsia" w:ascii="宋体" w:hAnsi="宋体" w:eastAsia="宋体" w:cs="宋体"/>
                <w:sz w:val="24"/>
                <w:szCs w:val="24"/>
              </w:rPr>
            </w:pPr>
            <w:r>
              <w:rPr>
                <w:rFonts w:hint="eastAsia" w:ascii="宋体" w:hAnsi="宋体" w:eastAsia="宋体" w:cs="宋体"/>
                <w:sz w:val="24"/>
                <w:szCs w:val="24"/>
              </w:rPr>
              <w:t>距</w:t>
            </w:r>
            <w:r>
              <w:rPr>
                <w:rFonts w:hint="eastAsia" w:ascii="宋体" w:hAnsi="宋体" w:eastAsia="宋体" w:cs="宋体"/>
                <w:sz w:val="24"/>
                <w:szCs w:val="24"/>
                <w:lang w:val="en-US" w:eastAsia="zh-CN"/>
              </w:rPr>
              <w:t>汽车</w:t>
            </w:r>
            <w:r>
              <w:rPr>
                <w:rFonts w:hint="eastAsia" w:ascii="宋体" w:hAnsi="宋体" w:eastAsia="宋体" w:cs="宋体"/>
                <w:sz w:val="24"/>
                <w:szCs w:val="24"/>
              </w:rPr>
              <w:t>站距离</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距汾阳汽车客运站约</w:t>
            </w:r>
            <w:r>
              <w:rPr>
                <w:rFonts w:hint="eastAsia" w:ascii="宋体" w:hAnsi="宋体" w:eastAsia="宋体" w:cs="宋体"/>
                <w:sz w:val="24"/>
                <w:szCs w:val="24"/>
                <w:lang w:val="en-US" w:eastAsia="zh-CN"/>
              </w:rPr>
              <w:t>3.1</w:t>
            </w:r>
            <w:r>
              <w:rPr>
                <w:rFonts w:hint="eastAsia" w:ascii="宋体" w:hAnsi="宋体" w:eastAsia="宋体" w:cs="宋体"/>
                <w:sz w:val="24"/>
                <w:szCs w:val="24"/>
              </w:rPr>
              <w:t>公里</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190" w:rightChars="0"/>
              <w:jc w:val="center"/>
              <w:rPr>
                <w:rFonts w:hint="eastAsia" w:ascii="宋体" w:hAnsi="宋体" w:eastAsia="宋体" w:cs="宋体"/>
                <w:sz w:val="24"/>
                <w:szCs w:val="24"/>
              </w:rPr>
            </w:pPr>
            <w:r>
              <w:rPr>
                <w:rFonts w:hint="eastAsia" w:ascii="宋体" w:hAnsi="宋体" w:eastAsia="宋体" w:cs="宋体"/>
                <w:sz w:val="24"/>
                <w:szCs w:val="24"/>
              </w:rPr>
              <w:t>距汾阳汽车客运</w:t>
            </w:r>
          </w:p>
          <w:p>
            <w:pPr>
              <w:spacing w:line="300" w:lineRule="exact"/>
              <w:ind w:left="-123" w:leftChars="0" w:right="-190" w:rightChars="0"/>
              <w:jc w:val="center"/>
              <w:rPr>
                <w:rFonts w:hint="eastAsia" w:ascii="宋体" w:hAnsi="宋体" w:eastAsia="宋体" w:cs="宋体"/>
                <w:sz w:val="24"/>
                <w:szCs w:val="24"/>
              </w:rPr>
            </w:pPr>
            <w:r>
              <w:rPr>
                <w:rFonts w:hint="eastAsia" w:ascii="宋体" w:hAnsi="宋体" w:eastAsia="宋体" w:cs="宋体"/>
                <w:sz w:val="24"/>
                <w:szCs w:val="24"/>
              </w:rPr>
              <w:t>站约</w:t>
            </w:r>
            <w:r>
              <w:rPr>
                <w:rFonts w:hint="eastAsia" w:hAnsi="宋体" w:cs="宋体"/>
                <w:sz w:val="24"/>
                <w:szCs w:val="24"/>
                <w:lang w:val="en-US" w:eastAsia="zh-CN"/>
              </w:rPr>
              <w:t>3</w:t>
            </w:r>
            <w:r>
              <w:rPr>
                <w:rFonts w:hint="eastAsia" w:ascii="宋体" w:hAnsi="宋体" w:eastAsia="宋体" w:cs="宋体"/>
                <w:sz w:val="24"/>
                <w:szCs w:val="24"/>
                <w:lang w:val="en-US" w:eastAsia="zh-CN"/>
              </w:rPr>
              <w:t>.0</w:t>
            </w:r>
            <w:r>
              <w:rPr>
                <w:rFonts w:hint="eastAsia" w:ascii="宋体" w:hAnsi="宋体" w:eastAsia="宋体" w:cs="宋体"/>
                <w:sz w:val="24"/>
                <w:szCs w:val="24"/>
              </w:rPr>
              <w:t>公里</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190" w:rightChars="0"/>
              <w:jc w:val="center"/>
              <w:rPr>
                <w:rFonts w:hint="eastAsia" w:ascii="宋体" w:hAnsi="宋体" w:eastAsia="宋体" w:cs="宋体"/>
                <w:sz w:val="24"/>
                <w:szCs w:val="24"/>
              </w:rPr>
            </w:pPr>
            <w:r>
              <w:rPr>
                <w:rFonts w:hint="eastAsia" w:ascii="宋体" w:hAnsi="宋体" w:eastAsia="宋体" w:cs="宋体"/>
                <w:sz w:val="24"/>
                <w:szCs w:val="24"/>
              </w:rPr>
              <w:t>距汾阳汽车客运</w:t>
            </w:r>
          </w:p>
          <w:p>
            <w:pPr>
              <w:spacing w:line="300" w:lineRule="exact"/>
              <w:ind w:left="-123" w:leftChars="0" w:right="-190" w:rightChars="0"/>
              <w:jc w:val="center"/>
              <w:rPr>
                <w:rFonts w:hint="eastAsia" w:ascii="宋体" w:hAnsi="宋体" w:eastAsia="宋体" w:cs="宋体"/>
                <w:sz w:val="24"/>
                <w:szCs w:val="24"/>
              </w:rPr>
            </w:pPr>
            <w:r>
              <w:rPr>
                <w:rFonts w:hint="eastAsia" w:ascii="宋体" w:hAnsi="宋体" w:eastAsia="宋体" w:cs="宋体"/>
                <w:sz w:val="24"/>
                <w:szCs w:val="24"/>
              </w:rPr>
              <w:t>站约</w:t>
            </w:r>
            <w:r>
              <w:rPr>
                <w:rFonts w:hint="eastAsia" w:hAnsi="宋体" w:cs="宋体"/>
                <w:sz w:val="24"/>
                <w:szCs w:val="24"/>
                <w:lang w:val="en-US" w:eastAsia="zh-CN"/>
              </w:rPr>
              <w:t>3.4</w:t>
            </w:r>
            <w:r>
              <w:rPr>
                <w:rFonts w:hint="eastAsia" w:ascii="宋体" w:hAnsi="宋体" w:eastAsia="宋体" w:cs="宋体"/>
                <w:sz w:val="24"/>
                <w:szCs w:val="24"/>
              </w:rPr>
              <w:t>公里</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190" w:rightChars="0"/>
              <w:jc w:val="center"/>
              <w:rPr>
                <w:rFonts w:hint="eastAsia" w:ascii="宋体" w:hAnsi="宋体" w:eastAsia="宋体" w:cs="宋体"/>
                <w:sz w:val="24"/>
                <w:szCs w:val="24"/>
              </w:rPr>
            </w:pPr>
            <w:r>
              <w:rPr>
                <w:rFonts w:hint="eastAsia" w:ascii="宋体" w:hAnsi="宋体" w:eastAsia="宋体" w:cs="宋体"/>
                <w:sz w:val="24"/>
                <w:szCs w:val="24"/>
              </w:rPr>
              <w:t>距汾阳汽车客运站约</w:t>
            </w:r>
            <w:r>
              <w:rPr>
                <w:rFonts w:hint="eastAsia" w:hAnsi="宋体" w:cs="宋体"/>
                <w:sz w:val="24"/>
                <w:szCs w:val="24"/>
                <w:lang w:val="en-US" w:eastAsia="zh-CN"/>
              </w:rPr>
              <w:t>4.6</w:t>
            </w:r>
            <w:r>
              <w:rPr>
                <w:rFonts w:hint="eastAsia" w:ascii="宋体" w:hAnsi="宋体" w:eastAsia="宋体" w:cs="宋体"/>
                <w:sz w:val="24"/>
                <w:szCs w:val="24"/>
              </w:rPr>
              <w:t>公里</w:t>
            </w:r>
          </w:p>
        </w:tc>
      </w:tr>
      <w:tr>
        <w:tblPrEx>
          <w:tblCellMar>
            <w:top w:w="0" w:type="dxa"/>
            <w:left w:w="0" w:type="dxa"/>
            <w:bottom w:w="0" w:type="dxa"/>
            <w:right w:w="0" w:type="dxa"/>
          </w:tblCellMar>
        </w:tblPrEx>
        <w:trPr>
          <w:trHeight w:val="5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p>
        </w:tc>
        <w:tc>
          <w:tcPr>
            <w:tcW w:w="48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p>
        </w:tc>
        <w:tc>
          <w:tcPr>
            <w:tcW w:w="16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78" w:right="-104"/>
              <w:jc w:val="center"/>
              <w:rPr>
                <w:rFonts w:hint="eastAsia" w:ascii="宋体" w:hAnsi="宋体" w:eastAsia="宋体" w:cs="宋体"/>
                <w:sz w:val="24"/>
                <w:szCs w:val="24"/>
              </w:rPr>
            </w:pPr>
            <w:r>
              <w:rPr>
                <w:rFonts w:hint="eastAsia" w:ascii="宋体" w:hAnsi="宋体" w:eastAsia="宋体" w:cs="宋体"/>
                <w:sz w:val="24"/>
                <w:szCs w:val="24"/>
              </w:rPr>
              <w:t>公交便捷度</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附近有</w:t>
            </w:r>
            <w:r>
              <w:rPr>
                <w:rFonts w:hint="eastAsia" w:ascii="宋体" w:hAnsi="宋体" w:eastAsia="宋体" w:cs="宋体"/>
                <w:sz w:val="24"/>
                <w:szCs w:val="24"/>
                <w:lang w:val="en-US" w:eastAsia="zh-CN"/>
              </w:rPr>
              <w:t>8</w:t>
            </w:r>
            <w:r>
              <w:rPr>
                <w:rFonts w:hint="eastAsia" w:ascii="宋体" w:hAnsi="宋体" w:eastAsia="宋体" w:cs="宋体"/>
                <w:sz w:val="24"/>
                <w:szCs w:val="24"/>
              </w:rPr>
              <w:t>条</w:t>
            </w:r>
          </w:p>
          <w:p>
            <w:pPr>
              <w:spacing w:line="300" w:lineRule="exact"/>
              <w:ind w:left="-123" w:right="-74"/>
              <w:jc w:val="center"/>
              <w:rPr>
                <w:rFonts w:hint="eastAsia" w:ascii="宋体" w:hAnsi="宋体" w:eastAsia="宋体" w:cs="宋体"/>
                <w:sz w:val="24"/>
                <w:szCs w:val="24"/>
              </w:rPr>
            </w:pPr>
            <w:r>
              <w:rPr>
                <w:rFonts w:hint="eastAsia" w:ascii="宋体" w:hAnsi="宋体" w:eastAsia="宋体" w:cs="宋体"/>
                <w:sz w:val="24"/>
                <w:szCs w:val="24"/>
              </w:rPr>
              <w:t>公交线路</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附近有</w:t>
            </w:r>
            <w:r>
              <w:rPr>
                <w:rFonts w:hint="eastAsia" w:hAnsi="宋体" w:cs="宋体"/>
                <w:sz w:val="24"/>
                <w:szCs w:val="24"/>
                <w:lang w:val="en-US" w:eastAsia="zh-CN"/>
              </w:rPr>
              <w:t>8</w:t>
            </w:r>
            <w:r>
              <w:rPr>
                <w:rFonts w:hint="eastAsia" w:ascii="宋体" w:hAnsi="宋体" w:eastAsia="宋体" w:cs="宋体"/>
                <w:sz w:val="24"/>
                <w:szCs w:val="24"/>
              </w:rPr>
              <w:t>条</w:t>
            </w:r>
          </w:p>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公交线路</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附近有</w:t>
            </w:r>
            <w:r>
              <w:rPr>
                <w:rFonts w:hint="eastAsia" w:hAnsi="宋体" w:cs="宋体"/>
                <w:sz w:val="24"/>
                <w:szCs w:val="24"/>
                <w:lang w:val="en-US" w:eastAsia="zh-CN"/>
              </w:rPr>
              <w:t>7</w:t>
            </w:r>
            <w:r>
              <w:rPr>
                <w:rFonts w:hint="eastAsia" w:ascii="宋体" w:hAnsi="宋体" w:eastAsia="宋体" w:cs="宋体"/>
                <w:sz w:val="24"/>
                <w:szCs w:val="24"/>
              </w:rPr>
              <w:t>条</w:t>
            </w:r>
          </w:p>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公交线路</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附近有</w:t>
            </w:r>
            <w:r>
              <w:rPr>
                <w:rFonts w:hint="eastAsia" w:hAnsi="宋体" w:cs="宋体"/>
                <w:sz w:val="24"/>
                <w:szCs w:val="24"/>
                <w:lang w:val="en-US" w:eastAsia="zh-CN"/>
              </w:rPr>
              <w:t>3</w:t>
            </w:r>
            <w:r>
              <w:rPr>
                <w:rFonts w:hint="eastAsia" w:ascii="宋体" w:hAnsi="宋体" w:eastAsia="宋体" w:cs="宋体"/>
                <w:sz w:val="24"/>
                <w:szCs w:val="24"/>
              </w:rPr>
              <w:t>条</w:t>
            </w:r>
          </w:p>
          <w:p>
            <w:pPr>
              <w:spacing w:line="300" w:lineRule="exact"/>
              <w:ind w:left="-123" w:right="-190"/>
              <w:jc w:val="center"/>
              <w:rPr>
                <w:rFonts w:hint="eastAsia" w:ascii="宋体" w:hAnsi="宋体" w:eastAsia="宋体" w:cs="宋体"/>
                <w:color w:val="FF0000"/>
                <w:sz w:val="24"/>
                <w:szCs w:val="24"/>
              </w:rPr>
            </w:pPr>
            <w:r>
              <w:rPr>
                <w:rFonts w:hint="eastAsia" w:ascii="宋体" w:hAnsi="宋体" w:eastAsia="宋体" w:cs="宋体"/>
                <w:sz w:val="24"/>
                <w:szCs w:val="24"/>
              </w:rPr>
              <w:t>公交线路</w:t>
            </w:r>
          </w:p>
        </w:tc>
      </w:tr>
      <w:tr>
        <w:tblPrEx>
          <w:tblCellMar>
            <w:top w:w="0" w:type="dxa"/>
            <w:left w:w="0" w:type="dxa"/>
            <w:bottom w:w="0" w:type="dxa"/>
            <w:right w:w="0" w:type="dxa"/>
          </w:tblCellMar>
        </w:tblPrEx>
        <w:trPr>
          <w:trHeight w:val="433"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78" w:right="-104"/>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基础设施条件</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红线外七通</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红线外七通</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红线外七通</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红线外七通</w:t>
            </w:r>
          </w:p>
        </w:tc>
      </w:tr>
      <w:tr>
        <w:tblPrEx>
          <w:tblCellMar>
            <w:top w:w="0" w:type="dxa"/>
            <w:left w:w="0" w:type="dxa"/>
            <w:bottom w:w="0" w:type="dxa"/>
            <w:right w:w="0" w:type="dxa"/>
          </w:tblCellMar>
        </w:tblPrEx>
        <w:trPr>
          <w:trHeight w:val="458"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公共设施状况</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较完备</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较完备</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较完备</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较完备</w:t>
            </w:r>
          </w:p>
        </w:tc>
      </w:tr>
      <w:tr>
        <w:tblPrEx>
          <w:tblCellMar>
            <w:top w:w="0" w:type="dxa"/>
            <w:left w:w="0" w:type="dxa"/>
            <w:bottom w:w="0" w:type="dxa"/>
            <w:right w:w="0" w:type="dxa"/>
          </w:tblCellMar>
        </w:tblPrEx>
        <w:trPr>
          <w:trHeight w:val="6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9" w:right="-104"/>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z w:val="24"/>
                <w:szCs w:val="24"/>
              </w:rPr>
              <w:t>距商服中心距离</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sz w:val="24"/>
                <w:szCs w:val="24"/>
              </w:rPr>
            </w:pPr>
            <w:r>
              <w:rPr>
                <w:rFonts w:hint="eastAsia" w:ascii="宋体" w:hAnsi="宋体" w:eastAsia="宋体" w:cs="宋体"/>
                <w:snapToGrid w:val="0"/>
                <w:kern w:val="0"/>
                <w:sz w:val="24"/>
                <w:szCs w:val="24"/>
              </w:rPr>
              <w:t>距离恒利源购物广场约</w:t>
            </w:r>
            <w:r>
              <w:rPr>
                <w:rFonts w:hint="eastAsia" w:ascii="宋体" w:hAnsi="宋体" w:eastAsia="宋体" w:cs="宋体"/>
                <w:snapToGrid w:val="0"/>
                <w:kern w:val="0"/>
                <w:sz w:val="24"/>
                <w:szCs w:val="24"/>
                <w:lang w:val="en-US" w:eastAsia="zh-CN"/>
              </w:rPr>
              <w:t>3.2</w:t>
            </w:r>
            <w:r>
              <w:rPr>
                <w:rFonts w:hint="eastAsia" w:ascii="宋体" w:hAnsi="宋体" w:eastAsia="宋体" w:cs="宋体"/>
                <w:snapToGrid w:val="0"/>
                <w:kern w:val="0"/>
                <w:sz w:val="24"/>
                <w:szCs w:val="24"/>
              </w:rPr>
              <w:t>公里</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color w:val="FF0000"/>
                <w:sz w:val="24"/>
                <w:szCs w:val="24"/>
              </w:rPr>
            </w:pPr>
            <w:r>
              <w:rPr>
                <w:rFonts w:hint="eastAsia" w:ascii="宋体" w:hAnsi="宋体" w:eastAsia="宋体" w:cs="宋体"/>
                <w:snapToGrid w:val="0"/>
                <w:kern w:val="0"/>
                <w:sz w:val="24"/>
                <w:szCs w:val="24"/>
              </w:rPr>
              <w:t>距离恒利源购物广场约</w:t>
            </w:r>
            <w:r>
              <w:rPr>
                <w:rFonts w:hint="eastAsia" w:hAnsi="宋体" w:cs="宋体"/>
                <w:snapToGrid w:val="0"/>
                <w:kern w:val="0"/>
                <w:sz w:val="24"/>
                <w:szCs w:val="24"/>
                <w:lang w:val="en-US" w:eastAsia="zh-CN"/>
              </w:rPr>
              <w:t>1.0</w:t>
            </w:r>
            <w:r>
              <w:rPr>
                <w:rFonts w:hint="eastAsia" w:ascii="宋体" w:hAnsi="宋体" w:eastAsia="宋体" w:cs="宋体"/>
                <w:snapToGrid w:val="0"/>
                <w:kern w:val="0"/>
                <w:sz w:val="24"/>
                <w:szCs w:val="24"/>
              </w:rPr>
              <w:t>公里</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color w:val="FF0000"/>
                <w:sz w:val="24"/>
                <w:szCs w:val="24"/>
              </w:rPr>
            </w:pPr>
            <w:r>
              <w:rPr>
                <w:rFonts w:hint="eastAsia" w:ascii="宋体" w:hAnsi="宋体" w:eastAsia="宋体" w:cs="宋体"/>
                <w:snapToGrid w:val="0"/>
                <w:kern w:val="0"/>
                <w:sz w:val="24"/>
                <w:szCs w:val="24"/>
              </w:rPr>
              <w:t>距离恒利源购物广场约</w:t>
            </w:r>
            <w:r>
              <w:rPr>
                <w:rFonts w:hint="eastAsia" w:hAnsi="宋体" w:cs="宋体"/>
                <w:snapToGrid w:val="0"/>
                <w:kern w:val="0"/>
                <w:sz w:val="24"/>
                <w:szCs w:val="24"/>
                <w:lang w:val="en-US" w:eastAsia="zh-CN"/>
              </w:rPr>
              <w:t>3.7</w:t>
            </w:r>
            <w:r>
              <w:rPr>
                <w:rFonts w:hint="eastAsia" w:ascii="宋体" w:hAnsi="宋体" w:eastAsia="宋体" w:cs="宋体"/>
                <w:snapToGrid w:val="0"/>
                <w:kern w:val="0"/>
                <w:sz w:val="24"/>
                <w:szCs w:val="24"/>
              </w:rPr>
              <w:t>公里</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08" w:right="-112"/>
              <w:jc w:val="center"/>
              <w:rPr>
                <w:rFonts w:hint="eastAsia" w:ascii="宋体" w:hAnsi="宋体" w:eastAsia="宋体" w:cs="宋体"/>
                <w:color w:val="FF0000"/>
                <w:sz w:val="24"/>
                <w:szCs w:val="24"/>
              </w:rPr>
            </w:pPr>
            <w:r>
              <w:rPr>
                <w:rFonts w:hint="eastAsia" w:ascii="宋体" w:hAnsi="宋体" w:eastAsia="宋体" w:cs="宋体"/>
                <w:snapToGrid w:val="0"/>
                <w:kern w:val="0"/>
                <w:sz w:val="24"/>
                <w:szCs w:val="24"/>
              </w:rPr>
              <w:t>距离恒利源购物广场约</w:t>
            </w:r>
            <w:r>
              <w:rPr>
                <w:rFonts w:hint="eastAsia" w:hAnsi="宋体" w:cs="宋体"/>
                <w:snapToGrid w:val="0"/>
                <w:kern w:val="0"/>
                <w:sz w:val="24"/>
                <w:szCs w:val="24"/>
                <w:lang w:val="en-US" w:eastAsia="zh-CN"/>
              </w:rPr>
              <w:t>2.2</w:t>
            </w:r>
            <w:r>
              <w:rPr>
                <w:rFonts w:hint="eastAsia" w:ascii="宋体" w:hAnsi="宋体" w:eastAsia="宋体" w:cs="宋体"/>
                <w:snapToGrid w:val="0"/>
                <w:kern w:val="0"/>
                <w:sz w:val="24"/>
                <w:szCs w:val="24"/>
              </w:rPr>
              <w:t>公里</w:t>
            </w:r>
          </w:p>
        </w:tc>
      </w:tr>
      <w:tr>
        <w:tblPrEx>
          <w:tblCellMar>
            <w:top w:w="0" w:type="dxa"/>
            <w:left w:w="0" w:type="dxa"/>
            <w:bottom w:w="0" w:type="dxa"/>
            <w:right w:w="0" w:type="dxa"/>
          </w:tblCellMar>
        </w:tblPrEx>
        <w:trPr>
          <w:trHeight w:val="32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94" w:right="-125"/>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环境条件</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pacing w:val="-20"/>
                <w:sz w:val="24"/>
                <w:szCs w:val="24"/>
              </w:rPr>
            </w:pPr>
            <w:r>
              <w:rPr>
                <w:rFonts w:hint="eastAsia" w:ascii="宋体" w:hAnsi="宋体" w:eastAsia="宋体" w:cs="宋体"/>
                <w:sz w:val="24"/>
                <w:szCs w:val="24"/>
              </w:rPr>
              <w:t>污染较轻</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pacing w:val="-20"/>
                <w:sz w:val="24"/>
                <w:szCs w:val="24"/>
              </w:rPr>
            </w:pPr>
            <w:r>
              <w:rPr>
                <w:rFonts w:hint="eastAsia" w:ascii="宋体" w:hAnsi="宋体" w:eastAsia="宋体" w:cs="宋体"/>
                <w:sz w:val="24"/>
                <w:szCs w:val="24"/>
              </w:rPr>
              <w:t>污染较轻</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pacing w:val="-20"/>
                <w:sz w:val="24"/>
                <w:szCs w:val="24"/>
              </w:rPr>
            </w:pPr>
            <w:r>
              <w:rPr>
                <w:rFonts w:hint="eastAsia" w:ascii="宋体" w:hAnsi="宋体" w:eastAsia="宋体" w:cs="宋体"/>
                <w:sz w:val="24"/>
                <w:szCs w:val="24"/>
              </w:rPr>
              <w:t>污染较轻</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污染较轻</w:t>
            </w:r>
          </w:p>
        </w:tc>
      </w:tr>
      <w:tr>
        <w:tblPrEx>
          <w:tblCellMar>
            <w:top w:w="0" w:type="dxa"/>
            <w:left w:w="0" w:type="dxa"/>
            <w:bottom w:w="0" w:type="dxa"/>
            <w:right w:w="0" w:type="dxa"/>
          </w:tblCellMar>
        </w:tblPrEx>
        <w:trPr>
          <w:trHeight w:val="90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94" w:right="-125"/>
              <w:jc w:val="center"/>
              <w:rPr>
                <w:rFonts w:hint="eastAsia" w:ascii="宋体" w:hAnsi="宋体" w:eastAsia="宋体" w:cs="宋体"/>
                <w:sz w:val="24"/>
                <w:szCs w:val="24"/>
              </w:rPr>
            </w:pPr>
            <w:r>
              <w:rPr>
                <w:rFonts w:hint="eastAsia" w:ascii="宋体" w:hAnsi="宋体" w:eastAsia="宋体" w:cs="宋体"/>
                <w:sz w:val="24"/>
                <w:szCs w:val="24"/>
              </w:rPr>
              <w:t>个</w:t>
            </w:r>
          </w:p>
          <w:p>
            <w:pPr>
              <w:ind w:left="-94" w:right="-125"/>
              <w:jc w:val="center"/>
              <w:rPr>
                <w:rFonts w:hint="eastAsia" w:ascii="宋体" w:hAnsi="宋体" w:eastAsia="宋体" w:cs="宋体"/>
                <w:sz w:val="24"/>
                <w:szCs w:val="24"/>
              </w:rPr>
            </w:pPr>
            <w:r>
              <w:rPr>
                <w:rFonts w:hint="eastAsia" w:ascii="宋体" w:hAnsi="宋体" w:eastAsia="宋体" w:cs="宋体"/>
                <w:sz w:val="24"/>
                <w:szCs w:val="24"/>
              </w:rPr>
              <w:t>别</w:t>
            </w:r>
          </w:p>
          <w:p>
            <w:pPr>
              <w:ind w:left="-94" w:right="-125"/>
              <w:jc w:val="center"/>
              <w:rPr>
                <w:rFonts w:hint="eastAsia" w:ascii="宋体" w:hAnsi="宋体" w:eastAsia="宋体" w:cs="宋体"/>
                <w:sz w:val="24"/>
                <w:szCs w:val="24"/>
              </w:rPr>
            </w:pPr>
            <w:r>
              <w:rPr>
                <w:rFonts w:hint="eastAsia" w:ascii="宋体" w:hAnsi="宋体" w:eastAsia="宋体" w:cs="宋体"/>
                <w:sz w:val="24"/>
                <w:szCs w:val="24"/>
              </w:rPr>
              <w:t>因</w:t>
            </w:r>
          </w:p>
          <w:p>
            <w:pPr>
              <w:ind w:left="-94" w:right="-125"/>
              <w:jc w:val="center"/>
              <w:rPr>
                <w:rFonts w:hint="eastAsia" w:ascii="宋体" w:hAnsi="宋体" w:eastAsia="宋体" w:cs="宋体"/>
                <w:sz w:val="24"/>
                <w:szCs w:val="24"/>
              </w:rPr>
            </w:pPr>
            <w:r>
              <w:rPr>
                <w:rFonts w:hint="eastAsia" w:ascii="宋体" w:hAnsi="宋体" w:eastAsia="宋体" w:cs="宋体"/>
                <w:sz w:val="24"/>
                <w:szCs w:val="24"/>
              </w:rPr>
              <w:t>素</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面积</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default" w:ascii="宋体" w:hAnsi="宋体" w:eastAsia="宋体" w:cs="宋体"/>
                <w:color w:val="FF0000"/>
                <w:sz w:val="24"/>
                <w:szCs w:val="24"/>
                <w:lang w:val="en-US" w:eastAsia="zh-CN"/>
              </w:rPr>
            </w:pPr>
            <w:r>
              <w:rPr>
                <w:rFonts w:hint="eastAsia" w:hAnsi="宋体" w:cs="宋体"/>
                <w:snapToGrid w:val="0"/>
                <w:kern w:val="0"/>
                <w:sz w:val="24"/>
                <w:szCs w:val="24"/>
                <w:lang w:val="en-US" w:eastAsia="zh-CN"/>
              </w:rPr>
              <w:t>总用地</w:t>
            </w:r>
            <w:r>
              <w:rPr>
                <w:rFonts w:hint="eastAsia" w:ascii="宋体" w:hAnsi="宋体" w:eastAsia="宋体" w:cs="宋体"/>
                <w:snapToGrid w:val="0"/>
                <w:kern w:val="0"/>
                <w:sz w:val="24"/>
                <w:szCs w:val="24"/>
              </w:rPr>
              <w:t>面积</w:t>
            </w:r>
            <w:r>
              <w:rPr>
                <w:rFonts w:hint="eastAsia" w:hAnsi="宋体" w:cs="宋体"/>
                <w:sz w:val="24"/>
                <w:szCs w:val="24"/>
                <w:lang w:val="en-US" w:eastAsia="zh-CN"/>
              </w:rPr>
              <w:t>33911.70</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hAnsi="宋体" w:cs="宋体"/>
                <w:sz w:val="24"/>
                <w:szCs w:val="24"/>
                <w:vertAlign w:val="superscript"/>
                <w:lang w:eastAsia="zh-CN"/>
              </w:rPr>
              <w:t>，</w:t>
            </w:r>
            <w:r>
              <w:rPr>
                <w:rFonts w:hint="eastAsia" w:hAnsi="宋体" w:cs="宋体"/>
                <w:sz w:val="24"/>
                <w:szCs w:val="24"/>
                <w:vertAlign w:val="baseline"/>
                <w:lang w:val="en-US" w:eastAsia="zh-CN"/>
              </w:rPr>
              <w:t>住宅用地占比85%</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hAnsi="宋体" w:cs="宋体"/>
                <w:snapToGrid w:val="0"/>
                <w:kern w:val="0"/>
                <w:sz w:val="24"/>
                <w:szCs w:val="24"/>
                <w:lang w:val="en-US" w:eastAsia="zh-CN"/>
              </w:rPr>
              <w:t>总用地</w:t>
            </w:r>
            <w:r>
              <w:rPr>
                <w:rFonts w:hint="eastAsia" w:ascii="宋体" w:hAnsi="宋体" w:eastAsia="宋体" w:cs="宋体"/>
                <w:snapToGrid w:val="0"/>
                <w:kern w:val="0"/>
                <w:sz w:val="24"/>
                <w:szCs w:val="24"/>
              </w:rPr>
              <w:t>面积</w:t>
            </w:r>
            <w:r>
              <w:rPr>
                <w:rFonts w:hint="eastAsia" w:ascii="宋体" w:hAnsi="宋体" w:eastAsia="宋体" w:cs="宋体"/>
                <w:snapToGrid w:val="0"/>
                <w:kern w:val="0"/>
                <w:sz w:val="24"/>
                <w:szCs w:val="24"/>
                <w:lang w:val="en-US" w:eastAsia="zh-CN"/>
              </w:rPr>
              <w:t>22000.72</w:t>
            </w:r>
            <w:r>
              <w:rPr>
                <w:rFonts w:hint="eastAsia" w:ascii="宋体" w:hAnsi="宋体" w:eastAsia="宋体" w:cs="宋体"/>
                <w:snapToGrid w:val="0"/>
                <w:kern w:val="0"/>
                <w:sz w:val="24"/>
                <w:szCs w:val="24"/>
              </w:rPr>
              <w:t>m</w:t>
            </w:r>
            <w:r>
              <w:rPr>
                <w:rFonts w:hint="eastAsia" w:ascii="宋体" w:hAnsi="宋体" w:eastAsia="宋体" w:cs="宋体"/>
                <w:snapToGrid w:val="0"/>
                <w:kern w:val="0"/>
                <w:sz w:val="24"/>
                <w:szCs w:val="24"/>
                <w:vertAlign w:val="superscript"/>
              </w:rPr>
              <w:t>2</w:t>
            </w:r>
            <w:r>
              <w:rPr>
                <w:rFonts w:hint="eastAsia" w:hAnsi="宋体" w:cs="宋体"/>
                <w:snapToGrid w:val="0"/>
                <w:kern w:val="0"/>
                <w:sz w:val="24"/>
                <w:szCs w:val="24"/>
                <w:vertAlign w:val="baseline"/>
                <w:lang w:eastAsia="zh-CN"/>
              </w:rPr>
              <w:t>，</w:t>
            </w:r>
            <w:r>
              <w:rPr>
                <w:rFonts w:hint="eastAsia" w:hAnsi="宋体" w:cs="宋体"/>
                <w:sz w:val="24"/>
                <w:szCs w:val="24"/>
                <w:vertAlign w:val="baseline"/>
                <w:lang w:val="en-US" w:eastAsia="zh-CN"/>
              </w:rPr>
              <w:t>住宅用地占比90%</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hAnsi="宋体" w:cs="宋体"/>
                <w:snapToGrid w:val="0"/>
                <w:kern w:val="0"/>
                <w:sz w:val="24"/>
                <w:szCs w:val="24"/>
                <w:lang w:val="en-US" w:eastAsia="zh-CN"/>
              </w:rPr>
              <w:t>总用地</w:t>
            </w:r>
            <w:r>
              <w:rPr>
                <w:rFonts w:hint="eastAsia" w:ascii="宋体" w:hAnsi="宋体" w:eastAsia="宋体" w:cs="宋体"/>
                <w:snapToGrid w:val="0"/>
                <w:kern w:val="0"/>
                <w:sz w:val="24"/>
                <w:szCs w:val="24"/>
              </w:rPr>
              <w:t>面积</w:t>
            </w:r>
            <w:r>
              <w:rPr>
                <w:rFonts w:hint="eastAsia" w:ascii="宋体" w:hAnsi="宋体" w:eastAsia="宋体" w:cs="宋体"/>
                <w:snapToGrid w:val="0"/>
                <w:kern w:val="0"/>
                <w:sz w:val="24"/>
                <w:szCs w:val="24"/>
                <w:lang w:val="en-US" w:eastAsia="zh-CN"/>
              </w:rPr>
              <w:t>7830</w:t>
            </w:r>
            <w:r>
              <w:rPr>
                <w:rFonts w:hint="eastAsia" w:ascii="宋体" w:hAnsi="宋体" w:eastAsia="宋体" w:cs="宋体"/>
                <w:snapToGrid w:val="0"/>
                <w:kern w:val="0"/>
                <w:sz w:val="24"/>
                <w:szCs w:val="24"/>
              </w:rPr>
              <w:t>m</w:t>
            </w:r>
            <w:r>
              <w:rPr>
                <w:rFonts w:hint="eastAsia" w:ascii="宋体" w:hAnsi="宋体" w:eastAsia="宋体" w:cs="宋体"/>
                <w:snapToGrid w:val="0"/>
                <w:kern w:val="0"/>
                <w:sz w:val="24"/>
                <w:szCs w:val="24"/>
                <w:vertAlign w:val="superscript"/>
              </w:rPr>
              <w:t>2</w:t>
            </w:r>
            <w:r>
              <w:rPr>
                <w:rFonts w:hint="eastAsia" w:hAnsi="宋体" w:cs="宋体"/>
                <w:snapToGrid w:val="0"/>
                <w:kern w:val="0"/>
                <w:sz w:val="24"/>
                <w:szCs w:val="24"/>
                <w:vertAlign w:val="baseline"/>
                <w:lang w:eastAsia="zh-CN"/>
              </w:rPr>
              <w:t>，</w:t>
            </w:r>
            <w:r>
              <w:rPr>
                <w:rFonts w:hint="eastAsia" w:hAnsi="宋体" w:cs="宋体"/>
                <w:sz w:val="24"/>
                <w:szCs w:val="24"/>
                <w:vertAlign w:val="baseline"/>
                <w:lang w:val="en-US" w:eastAsia="zh-CN"/>
              </w:rPr>
              <w:t>住宅用地占比90%</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hAnsi="宋体" w:cs="宋体"/>
                <w:snapToGrid w:val="0"/>
                <w:kern w:val="0"/>
                <w:sz w:val="24"/>
                <w:szCs w:val="24"/>
                <w:lang w:val="en-US" w:eastAsia="zh-CN"/>
              </w:rPr>
              <w:t>总用地</w:t>
            </w:r>
            <w:r>
              <w:rPr>
                <w:rFonts w:hint="eastAsia" w:ascii="宋体" w:hAnsi="宋体" w:eastAsia="宋体" w:cs="宋体"/>
                <w:snapToGrid w:val="0"/>
                <w:kern w:val="0"/>
                <w:sz w:val="24"/>
                <w:szCs w:val="24"/>
              </w:rPr>
              <w:t>面积</w:t>
            </w:r>
            <w:r>
              <w:rPr>
                <w:rFonts w:hint="eastAsia" w:hAnsi="宋体" w:cs="宋体"/>
                <w:snapToGrid w:val="0"/>
                <w:kern w:val="0"/>
                <w:sz w:val="24"/>
                <w:szCs w:val="24"/>
                <w:lang w:val="en-US" w:eastAsia="zh-CN"/>
              </w:rPr>
              <w:t>24049</w:t>
            </w:r>
            <w:r>
              <w:rPr>
                <w:rFonts w:hint="eastAsia" w:ascii="宋体" w:hAnsi="宋体" w:eastAsia="宋体" w:cs="宋体"/>
                <w:snapToGrid w:val="0"/>
                <w:kern w:val="0"/>
                <w:sz w:val="24"/>
                <w:szCs w:val="24"/>
              </w:rPr>
              <w:t>m</w:t>
            </w:r>
            <w:r>
              <w:rPr>
                <w:rFonts w:hint="eastAsia" w:ascii="宋体" w:hAnsi="宋体" w:eastAsia="宋体" w:cs="宋体"/>
                <w:snapToGrid w:val="0"/>
                <w:kern w:val="0"/>
                <w:sz w:val="24"/>
                <w:szCs w:val="24"/>
                <w:vertAlign w:val="superscript"/>
              </w:rPr>
              <w:t>2</w:t>
            </w:r>
            <w:r>
              <w:rPr>
                <w:rFonts w:hint="eastAsia" w:hAnsi="宋体" w:cs="宋体"/>
                <w:snapToGrid w:val="0"/>
                <w:kern w:val="0"/>
                <w:sz w:val="24"/>
                <w:szCs w:val="24"/>
                <w:vertAlign w:val="baseline"/>
                <w:lang w:eastAsia="zh-CN"/>
              </w:rPr>
              <w:t>，</w:t>
            </w:r>
            <w:r>
              <w:rPr>
                <w:rFonts w:hint="eastAsia" w:hAnsi="宋体" w:cs="宋体"/>
                <w:sz w:val="24"/>
                <w:szCs w:val="24"/>
                <w:vertAlign w:val="baseline"/>
                <w:lang w:val="en-US" w:eastAsia="zh-CN"/>
              </w:rPr>
              <w:t>住宅用地占比90%</w:t>
            </w:r>
          </w:p>
        </w:tc>
      </w:tr>
      <w:tr>
        <w:tblPrEx>
          <w:tblCellMar>
            <w:top w:w="0" w:type="dxa"/>
            <w:left w:w="0" w:type="dxa"/>
            <w:bottom w:w="0" w:type="dxa"/>
            <w:right w:w="0" w:type="dxa"/>
          </w:tblCellMar>
        </w:tblPrEx>
        <w:trPr>
          <w:trHeight w:val="3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ind w:left="-109" w:right="-104"/>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临路状况</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color w:val="auto"/>
                <w:sz w:val="24"/>
                <w:szCs w:val="24"/>
                <w:lang w:val="en-US" w:eastAsia="zh-CN"/>
              </w:rPr>
            </w:pPr>
            <w:r>
              <w:rPr>
                <w:rFonts w:hint="eastAsia" w:hAnsi="宋体" w:cs="宋体"/>
                <w:color w:val="auto"/>
                <w:sz w:val="24"/>
                <w:szCs w:val="24"/>
                <w:lang w:val="en-US" w:eastAsia="zh-CN"/>
              </w:rPr>
              <w:t>一面临路</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一面临路</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一面临路</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color w:val="FF0000"/>
                <w:sz w:val="24"/>
                <w:szCs w:val="24"/>
              </w:rPr>
            </w:pPr>
            <w:r>
              <w:rPr>
                <w:rFonts w:hint="eastAsia" w:hAnsi="宋体" w:cs="宋体"/>
                <w:sz w:val="24"/>
                <w:szCs w:val="24"/>
                <w:lang w:val="en-US" w:eastAsia="zh-CN"/>
              </w:rPr>
              <w:t>两</w:t>
            </w:r>
            <w:r>
              <w:rPr>
                <w:rFonts w:hint="eastAsia" w:ascii="宋体" w:hAnsi="宋体" w:eastAsia="宋体" w:cs="宋体"/>
                <w:sz w:val="24"/>
                <w:szCs w:val="24"/>
              </w:rPr>
              <w:t>面临路</w:t>
            </w:r>
          </w:p>
        </w:tc>
      </w:tr>
      <w:tr>
        <w:tblPrEx>
          <w:tblCellMar>
            <w:top w:w="0" w:type="dxa"/>
            <w:left w:w="0" w:type="dxa"/>
            <w:bottom w:w="0" w:type="dxa"/>
            <w:right w:w="0" w:type="dxa"/>
          </w:tblCellMar>
        </w:tblPrEx>
        <w:trPr>
          <w:trHeight w:val="28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土地形状</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color w:val="auto"/>
                <w:sz w:val="24"/>
                <w:szCs w:val="24"/>
              </w:rPr>
            </w:pPr>
            <w:r>
              <w:rPr>
                <w:rFonts w:hint="eastAsia" w:ascii="宋体" w:hAnsi="宋体" w:eastAsia="宋体" w:cs="宋体"/>
                <w:sz w:val="24"/>
                <w:szCs w:val="24"/>
              </w:rPr>
              <w:t>较规则，利用较合理</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较规则，土地利用无不良影响</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较规则，土地利用无不良影响</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较规则，土地利用无不良影响</w:t>
            </w:r>
          </w:p>
        </w:tc>
      </w:tr>
      <w:tr>
        <w:tblPrEx>
          <w:tblCellMar>
            <w:top w:w="0" w:type="dxa"/>
            <w:left w:w="0" w:type="dxa"/>
            <w:bottom w:w="0" w:type="dxa"/>
            <w:right w:w="0" w:type="dxa"/>
          </w:tblCellMar>
        </w:tblPrEx>
        <w:trPr>
          <w:trHeight w:val="420"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98" w:right="-116"/>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地形地势</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color w:val="auto"/>
                <w:sz w:val="24"/>
                <w:szCs w:val="24"/>
              </w:rPr>
            </w:pPr>
            <w:r>
              <w:rPr>
                <w:rFonts w:hint="eastAsia" w:ascii="宋体" w:hAnsi="宋体" w:eastAsia="宋体" w:cs="宋体"/>
                <w:color w:val="auto"/>
                <w:sz w:val="24"/>
                <w:szCs w:val="24"/>
              </w:rPr>
              <w:t>平坦</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平坦</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平坦</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平坦</w:t>
            </w:r>
          </w:p>
        </w:tc>
      </w:tr>
      <w:tr>
        <w:tblPrEx>
          <w:tblCellMar>
            <w:top w:w="0" w:type="dxa"/>
            <w:left w:w="0" w:type="dxa"/>
            <w:bottom w:w="0" w:type="dxa"/>
            <w:right w:w="0" w:type="dxa"/>
          </w:tblCellMar>
        </w:tblPrEx>
        <w:trPr>
          <w:trHeight w:val="420"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容积率</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3.45</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default" w:ascii="宋体" w:hAnsi="宋体" w:eastAsia="宋体" w:cs="宋体"/>
                <w:sz w:val="24"/>
                <w:szCs w:val="24"/>
                <w:lang w:val="en-US" w:eastAsia="zh-CN"/>
              </w:rPr>
            </w:pPr>
            <w:r>
              <w:rPr>
                <w:rFonts w:hint="eastAsia" w:hAnsi="宋体" w:cs="宋体"/>
                <w:sz w:val="24"/>
                <w:szCs w:val="24"/>
                <w:lang w:val="en-US" w:eastAsia="zh-CN"/>
              </w:rPr>
              <w:t>3.5</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lang w:val="en-US" w:eastAsia="zh-CN"/>
              </w:rPr>
              <w:t>2.9</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lang w:val="en-US" w:eastAsia="zh-CN"/>
              </w:rPr>
              <w:t>2.9</w:t>
            </w:r>
          </w:p>
        </w:tc>
      </w:tr>
      <w:tr>
        <w:tblPrEx>
          <w:tblCellMar>
            <w:top w:w="0" w:type="dxa"/>
            <w:left w:w="0" w:type="dxa"/>
            <w:bottom w:w="0" w:type="dxa"/>
            <w:right w:w="0" w:type="dxa"/>
          </w:tblCellMar>
        </w:tblPrEx>
        <w:trPr>
          <w:trHeight w:val="420"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目前规划限制</w:t>
            </w:r>
          </w:p>
        </w:tc>
        <w:tc>
          <w:tcPr>
            <w:tcW w:w="17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有一定限制</w:t>
            </w:r>
          </w:p>
        </w:tc>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有一定限制</w:t>
            </w:r>
          </w:p>
        </w:tc>
        <w:tc>
          <w:tcPr>
            <w:tcW w:w="18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有一定限制</w:t>
            </w:r>
          </w:p>
        </w:tc>
        <w:tc>
          <w:tcPr>
            <w:tcW w:w="17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right="-120"/>
              <w:jc w:val="center"/>
              <w:rPr>
                <w:rFonts w:hint="eastAsia" w:ascii="宋体" w:hAnsi="宋体" w:eastAsia="宋体" w:cs="宋体"/>
                <w:sz w:val="24"/>
                <w:szCs w:val="24"/>
              </w:rPr>
            </w:pPr>
            <w:r>
              <w:rPr>
                <w:rFonts w:hint="eastAsia" w:ascii="宋体" w:hAnsi="宋体" w:eastAsia="宋体" w:cs="宋体"/>
                <w:sz w:val="24"/>
                <w:szCs w:val="24"/>
              </w:rPr>
              <w:t>有一定限制</w:t>
            </w:r>
          </w:p>
        </w:tc>
      </w:tr>
    </w:tbl>
    <w:p>
      <w:pPr>
        <w:keepNext w:val="0"/>
        <w:keepLines w:val="0"/>
        <w:pageBreakBefore w:val="0"/>
        <w:widowControl w:val="0"/>
        <w:kinsoku/>
        <w:wordWrap/>
        <w:overflowPunct/>
        <w:topLinePunct w:val="0"/>
        <w:autoSpaceDE/>
        <w:autoSpaceDN/>
        <w:bidi w:val="0"/>
        <w:spacing w:line="520" w:lineRule="exact"/>
        <w:ind w:firstLine="501" w:firstLineChars="179"/>
        <w:textAlignment w:val="bottom"/>
        <w:rPr>
          <w:rFonts w:hAnsi="宋体" w:cs="宋体"/>
          <w:snapToGrid w:val="0"/>
          <w:kern w:val="0"/>
          <w:sz w:val="28"/>
          <w:szCs w:val="28"/>
        </w:rPr>
      </w:pPr>
      <w:r>
        <w:rPr>
          <w:rFonts w:hint="eastAsia" w:hAnsi="宋体" w:cs="宋体"/>
          <w:snapToGrid w:val="0"/>
          <w:kern w:val="0"/>
          <w:sz w:val="28"/>
          <w:szCs w:val="28"/>
        </w:rPr>
        <w:t>4、编制比较因素条件指数表</w:t>
      </w:r>
    </w:p>
    <w:p>
      <w:pPr>
        <w:keepNext w:val="0"/>
        <w:keepLines w:val="0"/>
        <w:pageBreakBefore w:val="0"/>
        <w:widowControl w:val="0"/>
        <w:kinsoku/>
        <w:wordWrap/>
        <w:overflowPunct/>
        <w:topLinePunct w:val="0"/>
        <w:autoSpaceDE/>
        <w:autoSpaceDN/>
        <w:bidi w:val="0"/>
        <w:adjustRightInd w:val="0"/>
        <w:snapToGrid w:val="0"/>
        <w:spacing w:line="520" w:lineRule="exact"/>
        <w:textAlignment w:val="bottom"/>
        <w:rPr>
          <w:rFonts w:hAnsi="宋体" w:cs="宋体"/>
          <w:snapToGrid w:val="0"/>
          <w:kern w:val="0"/>
          <w:sz w:val="28"/>
          <w:szCs w:val="28"/>
        </w:rPr>
      </w:pPr>
      <w:r>
        <w:rPr>
          <w:rFonts w:hint="eastAsia" w:hAnsi="宋体" w:cs="宋体"/>
          <w:snapToGrid w:val="0"/>
          <w:kern w:val="0"/>
          <w:sz w:val="28"/>
          <w:szCs w:val="28"/>
        </w:rPr>
        <w:t xml:space="preserve">    根据待估宗地与比较实例各种因素具体情况，编制比较因素条件指数表。比较因素指数确定如下：</w:t>
      </w:r>
    </w:p>
    <w:p>
      <w:pPr>
        <w:keepNext w:val="0"/>
        <w:keepLines w:val="0"/>
        <w:pageBreakBefore w:val="0"/>
        <w:widowControl w:val="0"/>
        <w:numPr>
          <w:ilvl w:val="0"/>
          <w:numId w:val="5"/>
        </w:numPr>
        <w:kinsoku/>
        <w:wordWrap/>
        <w:overflowPunct/>
        <w:topLinePunct w:val="0"/>
        <w:autoSpaceDE/>
        <w:autoSpaceDN/>
        <w:bidi w:val="0"/>
        <w:adjustRightInd w:val="0"/>
        <w:snapToGrid w:val="0"/>
        <w:spacing w:line="520" w:lineRule="exact"/>
        <w:textAlignment w:val="bottom"/>
        <w:rPr>
          <w:rFonts w:hAnsi="宋体" w:cs="宋体"/>
          <w:snapToGrid w:val="0"/>
          <w:color w:val="auto"/>
          <w:kern w:val="0"/>
          <w:sz w:val="28"/>
          <w:szCs w:val="28"/>
          <w:highlight w:val="none"/>
        </w:rPr>
      </w:pPr>
      <w:r>
        <w:rPr>
          <w:rFonts w:hint="eastAsia" w:hAnsi="宋体" w:cs="宋体"/>
          <w:snapToGrid w:val="0"/>
          <w:color w:val="auto"/>
          <w:kern w:val="0"/>
          <w:sz w:val="28"/>
          <w:szCs w:val="28"/>
          <w:highlight w:val="none"/>
        </w:rPr>
        <w:t>地价指数</w:t>
      </w:r>
    </w:p>
    <w:p>
      <w:pPr>
        <w:keepNext w:val="0"/>
        <w:keepLines w:val="0"/>
        <w:pageBreakBefore w:val="0"/>
        <w:widowControl w:val="0"/>
        <w:kinsoku/>
        <w:wordWrap/>
        <w:overflowPunct/>
        <w:topLinePunct w:val="0"/>
        <w:autoSpaceDE/>
        <w:autoSpaceDN/>
        <w:bidi w:val="0"/>
        <w:adjustRightInd w:val="0"/>
        <w:snapToGrid w:val="0"/>
        <w:spacing w:line="520" w:lineRule="exact"/>
        <w:ind w:firstLine="498" w:firstLineChars="178"/>
        <w:textAlignment w:val="bottom"/>
        <w:rPr>
          <w:rFonts w:hint="eastAsia" w:hAnsi="宋体" w:cs="宋体"/>
          <w:snapToGrid w:val="0"/>
          <w:color w:val="auto"/>
          <w:kern w:val="0"/>
          <w:sz w:val="28"/>
          <w:szCs w:val="28"/>
          <w:highlight w:val="none"/>
          <w:lang w:val="en-US" w:eastAsia="zh-CN"/>
        </w:rPr>
      </w:pPr>
      <w:r>
        <w:rPr>
          <w:rFonts w:hint="eastAsia" w:hAnsi="宋体" w:cs="宋体"/>
          <w:snapToGrid w:val="0"/>
          <w:color w:val="auto"/>
          <w:kern w:val="0"/>
          <w:sz w:val="28"/>
          <w:szCs w:val="28"/>
          <w:highlight w:val="none"/>
        </w:rPr>
        <w:fldChar w:fldCharType="begin"/>
      </w:r>
      <w:r>
        <w:rPr>
          <w:rFonts w:hint="eastAsia" w:hAnsi="宋体" w:cs="宋体"/>
          <w:snapToGrid w:val="0"/>
          <w:color w:val="auto"/>
          <w:kern w:val="0"/>
          <w:sz w:val="28"/>
          <w:szCs w:val="28"/>
          <w:highlight w:val="none"/>
        </w:rPr>
        <w:instrText xml:space="preserve"> = 1 \* GB3 \* MERGEFORMAT </w:instrText>
      </w:r>
      <w:r>
        <w:rPr>
          <w:rFonts w:hint="eastAsia" w:hAnsi="宋体" w:cs="宋体"/>
          <w:snapToGrid w:val="0"/>
          <w:color w:val="auto"/>
          <w:kern w:val="0"/>
          <w:sz w:val="28"/>
          <w:szCs w:val="28"/>
          <w:highlight w:val="none"/>
        </w:rPr>
        <w:fldChar w:fldCharType="separate"/>
      </w:r>
      <w:r>
        <w:rPr>
          <w:color w:val="auto"/>
          <w:sz w:val="28"/>
          <w:szCs w:val="28"/>
          <w:highlight w:val="none"/>
        </w:rPr>
        <w:t>①</w:t>
      </w:r>
      <w:r>
        <w:rPr>
          <w:rFonts w:hint="eastAsia" w:hAnsi="宋体" w:cs="宋体"/>
          <w:snapToGrid w:val="0"/>
          <w:color w:val="auto"/>
          <w:kern w:val="0"/>
          <w:sz w:val="28"/>
          <w:szCs w:val="28"/>
          <w:highlight w:val="none"/>
        </w:rPr>
        <w:fldChar w:fldCharType="end"/>
      </w:r>
      <w:r>
        <w:rPr>
          <w:rFonts w:hint="eastAsia" w:hAnsi="宋体" w:cs="宋体"/>
          <w:snapToGrid w:val="0"/>
          <w:color w:val="auto"/>
          <w:kern w:val="0"/>
          <w:sz w:val="28"/>
          <w:szCs w:val="28"/>
          <w:highlight w:val="none"/>
        </w:rPr>
        <w:t>该地区未公布地价增长幅度或地价指数数据。估价人员通过对中国土地市场网</w:t>
      </w:r>
      <w:r>
        <w:rPr>
          <w:rFonts w:hint="eastAsia" w:hAnsi="宋体" w:cs="宋体"/>
          <w:snapToGrid w:val="0"/>
          <w:color w:val="auto"/>
          <w:kern w:val="0"/>
          <w:sz w:val="28"/>
          <w:szCs w:val="28"/>
          <w:highlight w:val="none"/>
          <w:lang w:val="en-US" w:eastAsia="zh-CN"/>
        </w:rPr>
        <w:t>吕梁市汾阳市2019年至估价期日住宅兼容商业用地</w:t>
      </w:r>
      <w:r>
        <w:rPr>
          <w:rFonts w:hint="eastAsia" w:hAnsi="宋体" w:cs="宋体"/>
          <w:snapToGrid w:val="0"/>
          <w:color w:val="auto"/>
          <w:kern w:val="0"/>
          <w:sz w:val="28"/>
          <w:szCs w:val="28"/>
          <w:highlight w:val="none"/>
        </w:rPr>
        <w:t>成交地价的调查，</w:t>
      </w:r>
      <w:r>
        <w:rPr>
          <w:rFonts w:hint="eastAsia" w:hAnsi="宋体" w:cs="宋体"/>
          <w:snapToGrid w:val="0"/>
          <w:color w:val="auto"/>
          <w:kern w:val="0"/>
          <w:sz w:val="28"/>
          <w:szCs w:val="28"/>
          <w:highlight w:val="none"/>
          <w:lang w:val="en-US" w:eastAsia="zh-CN"/>
        </w:rPr>
        <w:t>地价分别为1103元/平方米、1154元/平方米、1046元/平方米、1196元/平方米，平均年增长幅度为3.20%。</w:t>
      </w:r>
    </w:p>
    <w:p>
      <w:pPr>
        <w:pStyle w:val="2"/>
        <w:keepNext w:val="0"/>
        <w:keepLines w:val="0"/>
        <w:pageBreakBefore w:val="0"/>
        <w:widowControl w:val="0"/>
        <w:kinsoku/>
        <w:wordWrap/>
        <w:overflowPunct/>
        <w:topLinePunct w:val="0"/>
        <w:autoSpaceDE/>
        <w:autoSpaceDN/>
        <w:bidi w:val="0"/>
        <w:spacing w:line="520" w:lineRule="exact"/>
        <w:rPr>
          <w:rFonts w:hint="eastAsia"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fldChar w:fldCharType="begin"/>
      </w:r>
      <w:r>
        <w:rPr>
          <w:rFonts w:hint="eastAsia" w:ascii="宋体" w:hAnsi="宋体" w:eastAsia="宋体" w:cs="宋体"/>
          <w:snapToGrid w:val="0"/>
          <w:color w:val="000000"/>
          <w:kern w:val="0"/>
          <w:sz w:val="28"/>
          <w:szCs w:val="28"/>
          <w:lang w:val="en-US" w:eastAsia="zh-CN" w:bidi="ar-SA"/>
        </w:rPr>
        <w:instrText xml:space="preserve"> = 2 \* GB3 \* MERGEFORMAT </w:instrText>
      </w:r>
      <w:r>
        <w:rPr>
          <w:rFonts w:hint="eastAsia" w:ascii="宋体" w:hAnsi="宋体" w:eastAsia="宋体" w:cs="宋体"/>
          <w:snapToGrid w:val="0"/>
          <w:color w:val="000000"/>
          <w:kern w:val="0"/>
          <w:sz w:val="28"/>
          <w:szCs w:val="28"/>
          <w:lang w:val="en-US" w:eastAsia="zh-CN" w:bidi="ar-SA"/>
        </w:rPr>
        <w:fldChar w:fldCharType="separate"/>
      </w:r>
      <w:r>
        <w:rPr>
          <w:rFonts w:hint="eastAsia" w:ascii="宋体" w:hAnsi="宋体" w:eastAsia="宋体" w:cs="宋体"/>
          <w:snapToGrid w:val="0"/>
          <w:color w:val="000000"/>
          <w:kern w:val="0"/>
          <w:sz w:val="28"/>
          <w:szCs w:val="28"/>
          <w:lang w:val="en-US" w:eastAsia="zh-CN" w:bidi="ar-SA"/>
        </w:rPr>
        <w:t>②</w:t>
      </w:r>
      <w:r>
        <w:rPr>
          <w:rFonts w:hint="eastAsia" w:ascii="宋体" w:hAnsi="宋体" w:eastAsia="宋体" w:cs="宋体"/>
          <w:snapToGrid w:val="0"/>
          <w:color w:val="000000"/>
          <w:kern w:val="0"/>
          <w:sz w:val="28"/>
          <w:szCs w:val="28"/>
          <w:lang w:val="en-US" w:eastAsia="zh-CN" w:bidi="ar-SA"/>
        </w:rPr>
        <w:fldChar w:fldCharType="end"/>
      </w:r>
      <w:r>
        <w:rPr>
          <w:rFonts w:hint="eastAsia" w:ascii="宋体" w:hAnsi="宋体" w:eastAsia="宋体" w:cs="宋体"/>
          <w:snapToGrid w:val="0"/>
          <w:color w:val="000000"/>
          <w:kern w:val="0"/>
          <w:sz w:val="28"/>
          <w:szCs w:val="28"/>
          <w:lang w:val="en-US" w:eastAsia="zh-CN" w:bidi="ar-SA"/>
        </w:rPr>
        <w:t>根据山西省统计局查询的汾阳市居民消费价格指数，估价人员罗列了从2019年至2021年汾阳市居民消费价格指数，详细如下：</w:t>
      </w:r>
    </w:p>
    <w:p>
      <w:pPr>
        <w:pStyle w:val="2"/>
        <w:keepNext w:val="0"/>
        <w:keepLines w:val="0"/>
        <w:pageBreakBefore w:val="0"/>
        <w:widowControl w:val="0"/>
        <w:kinsoku/>
        <w:wordWrap/>
        <w:overflowPunct/>
        <w:topLinePunct w:val="0"/>
        <w:autoSpaceDE/>
        <w:autoSpaceDN/>
        <w:bidi w:val="0"/>
        <w:spacing w:line="520" w:lineRule="exact"/>
        <w:rPr>
          <w:rFonts w:hint="eastAsia"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t>2019年至2021年汾阳市居民消费价格指数</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3325"/>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2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序号</w:t>
            </w:r>
          </w:p>
        </w:tc>
        <w:tc>
          <w:tcPr>
            <w:tcW w:w="17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年份</w:t>
            </w:r>
          </w:p>
        </w:tc>
        <w:tc>
          <w:tcPr>
            <w:tcW w:w="206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居民消费价格总指数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2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w:t>
            </w:r>
          </w:p>
        </w:tc>
        <w:tc>
          <w:tcPr>
            <w:tcW w:w="17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2019年</w:t>
            </w:r>
          </w:p>
        </w:tc>
        <w:tc>
          <w:tcPr>
            <w:tcW w:w="206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2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w:t>
            </w:r>
          </w:p>
        </w:tc>
        <w:tc>
          <w:tcPr>
            <w:tcW w:w="17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2020年</w:t>
            </w:r>
          </w:p>
        </w:tc>
        <w:tc>
          <w:tcPr>
            <w:tcW w:w="206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2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w:t>
            </w:r>
          </w:p>
        </w:tc>
        <w:tc>
          <w:tcPr>
            <w:tcW w:w="17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2021年</w:t>
            </w:r>
          </w:p>
        </w:tc>
        <w:tc>
          <w:tcPr>
            <w:tcW w:w="206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2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平均增长</w:t>
            </w:r>
          </w:p>
        </w:tc>
        <w:tc>
          <w:tcPr>
            <w:tcW w:w="171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snapToGrid w:val="0"/>
                <w:color w:val="000000"/>
                <w:kern w:val="0"/>
                <w:sz w:val="24"/>
                <w:szCs w:val="24"/>
                <w:lang w:val="en-US" w:eastAsia="zh-CN" w:bidi="ar-SA"/>
              </w:rPr>
            </w:pPr>
          </w:p>
        </w:tc>
        <w:tc>
          <w:tcPr>
            <w:tcW w:w="206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2.47%</w:t>
            </w:r>
          </w:p>
        </w:tc>
      </w:tr>
    </w:tbl>
    <w:p>
      <w:pPr>
        <w:pStyle w:val="2"/>
        <w:keepNext w:val="0"/>
        <w:keepLines w:val="0"/>
        <w:pageBreakBefore w:val="0"/>
        <w:widowControl w:val="0"/>
        <w:kinsoku/>
        <w:wordWrap/>
        <w:overflowPunct/>
        <w:topLinePunct w:val="0"/>
        <w:autoSpaceDE/>
        <w:autoSpaceDN/>
        <w:bidi w:val="0"/>
        <w:spacing w:line="560" w:lineRule="exact"/>
        <w:rPr>
          <w:rFonts w:hint="default"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t>根据2019年至2021年汾阳市居民消费价格指数及2019至估价日期住宅兼容商业用地成交价格增长幅度，取两者加权算数平均值确定汾阳市商住用地地价增长，即：3.20%×0.6+2.47%×0.4=2.91%。</w:t>
      </w:r>
    </w:p>
    <w:p>
      <w:pPr>
        <w:pStyle w:val="2"/>
        <w:keepNext w:val="0"/>
        <w:keepLines w:val="0"/>
        <w:pageBreakBefore w:val="0"/>
        <w:widowControl w:val="0"/>
        <w:kinsoku/>
        <w:wordWrap/>
        <w:overflowPunct/>
        <w:topLinePunct w:val="0"/>
        <w:autoSpaceDE/>
        <w:autoSpaceDN/>
        <w:bidi w:val="0"/>
        <w:spacing w:line="560" w:lineRule="exact"/>
        <w:rPr>
          <w:rFonts w:hint="eastAsia"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t>为了便于计算，评估时以实例1和实例2成交期日2021年3月的地价指数为100，估价对象以及实例3在此基础上确定地价指数，</w:t>
      </w:r>
    </w:p>
    <w:p>
      <w:pPr>
        <w:pStyle w:val="2"/>
        <w:keepNext w:val="0"/>
        <w:keepLines w:val="0"/>
        <w:pageBreakBefore w:val="0"/>
        <w:widowControl w:val="0"/>
        <w:kinsoku/>
        <w:wordWrap/>
        <w:overflowPunct/>
        <w:topLinePunct w:val="0"/>
        <w:autoSpaceDE/>
        <w:autoSpaceDN/>
        <w:bidi w:val="0"/>
        <w:spacing w:line="560" w:lineRule="exact"/>
        <w:rPr>
          <w:rFonts w:hint="eastAsia"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t>则估价对象的地价指数=100×（1+2.91%/12×16）=103.88</w:t>
      </w:r>
    </w:p>
    <w:p>
      <w:pPr>
        <w:pStyle w:val="2"/>
        <w:keepNext w:val="0"/>
        <w:keepLines w:val="0"/>
        <w:pageBreakBefore w:val="0"/>
        <w:widowControl w:val="0"/>
        <w:kinsoku/>
        <w:wordWrap/>
        <w:overflowPunct/>
        <w:topLinePunct w:val="0"/>
        <w:autoSpaceDE/>
        <w:autoSpaceDN/>
        <w:bidi w:val="0"/>
        <w:spacing w:line="560" w:lineRule="exact"/>
        <w:rPr>
          <w:rFonts w:hint="default" w:ascii="宋体" w:hAnsi="宋体" w:eastAsia="宋体" w:cs="宋体"/>
          <w:snapToGrid w:val="0"/>
          <w:color w:val="000000"/>
          <w:kern w:val="0"/>
          <w:sz w:val="28"/>
          <w:szCs w:val="28"/>
          <w:lang w:val="en-US" w:eastAsia="zh-CN" w:bidi="ar-SA"/>
        </w:rPr>
      </w:pPr>
      <w:r>
        <w:rPr>
          <w:rFonts w:hint="eastAsia" w:ascii="宋体" w:hAnsi="宋体" w:eastAsia="宋体" w:cs="宋体"/>
          <w:snapToGrid w:val="0"/>
          <w:color w:val="000000"/>
          <w:kern w:val="0"/>
          <w:sz w:val="28"/>
          <w:szCs w:val="28"/>
          <w:lang w:val="en-US" w:eastAsia="zh-CN" w:bidi="ar-SA"/>
        </w:rPr>
        <w:t>实例3的地价指数=100×（1+2.91%/12×9）=102.18</w:t>
      </w:r>
    </w:p>
    <w:p>
      <w:pPr>
        <w:keepNext w:val="0"/>
        <w:keepLines w:val="0"/>
        <w:pageBreakBefore w:val="0"/>
        <w:widowControl w:val="0"/>
        <w:kinsoku/>
        <w:wordWrap/>
        <w:overflowPunct/>
        <w:topLinePunct w:val="0"/>
        <w:autoSpaceDE/>
        <w:autoSpaceDN/>
        <w:bidi w:val="0"/>
        <w:adjustRightInd w:val="0"/>
        <w:snapToGrid w:val="0"/>
        <w:spacing w:line="560" w:lineRule="exact"/>
        <w:ind w:firstLine="498" w:firstLineChars="178"/>
        <w:textAlignment w:val="bottom"/>
        <w:rPr>
          <w:rFonts w:hAnsi="宋体" w:cs="宋体"/>
          <w:snapToGrid w:val="0"/>
          <w:kern w:val="0"/>
          <w:sz w:val="28"/>
          <w:szCs w:val="28"/>
        </w:rPr>
      </w:pPr>
      <w:r>
        <w:rPr>
          <w:rFonts w:hint="eastAsia" w:hAnsi="宋体" w:cs="宋体"/>
          <w:snapToGrid w:val="0"/>
          <w:kern w:val="0"/>
          <w:sz w:val="28"/>
          <w:szCs w:val="28"/>
        </w:rPr>
        <w:t>（2）交易情况：是否为正常、公开、公平、自愿的交易。待估宗地与比较案例均为在正常、公开、公平、自愿的市场下进行的交易，故不需进行修正。</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360"/>
        <w:textAlignment w:val="bottom"/>
        <w:rPr>
          <w:rFonts w:hAnsi="宋体" w:cs="宋体"/>
          <w:snapToGrid w:val="0"/>
          <w:kern w:val="0"/>
          <w:sz w:val="28"/>
          <w:szCs w:val="28"/>
        </w:rPr>
      </w:pPr>
      <w:r>
        <w:rPr>
          <w:rFonts w:hint="eastAsia" w:hAnsi="宋体" w:cs="宋体"/>
          <w:snapToGrid w:val="0"/>
          <w:kern w:val="0"/>
          <w:sz w:val="28"/>
          <w:szCs w:val="28"/>
        </w:rPr>
        <w:t>（3）交易方式：待估宗地为司法鉴定用地，比较案例为公开市场上以挂牌方式出让的土地使用权，交易方式均为正常，故不进行交易方式修正。</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360"/>
        <w:textAlignment w:val="bottom"/>
        <w:rPr>
          <w:rFonts w:hAnsi="宋体" w:cs="宋体"/>
          <w:snapToGrid w:val="0"/>
          <w:kern w:val="0"/>
          <w:sz w:val="28"/>
          <w:szCs w:val="28"/>
        </w:rPr>
      </w:pPr>
      <w:r>
        <w:rPr>
          <w:rFonts w:hint="eastAsia" w:hAnsi="宋体" w:cs="宋体"/>
          <w:snapToGrid w:val="0"/>
          <w:kern w:val="0"/>
          <w:sz w:val="28"/>
          <w:szCs w:val="28"/>
        </w:rPr>
        <w:t>（4）土地使用权年限：</w:t>
      </w:r>
    </w:p>
    <w:p>
      <w:pPr>
        <w:keepNext w:val="0"/>
        <w:keepLines w:val="0"/>
        <w:pageBreakBefore w:val="0"/>
        <w:widowControl w:val="0"/>
        <w:kinsoku/>
        <w:wordWrap/>
        <w:overflowPunct/>
        <w:topLinePunct w:val="0"/>
        <w:autoSpaceDE/>
        <w:autoSpaceDN/>
        <w:bidi w:val="0"/>
        <w:adjustRightInd w:val="0"/>
        <w:snapToGrid w:val="0"/>
        <w:spacing w:line="560" w:lineRule="exact"/>
        <w:ind w:left="149" w:leftChars="71" w:firstLine="326"/>
        <w:textAlignment w:val="bottom"/>
        <w:rPr>
          <w:rFonts w:hAnsi="宋体" w:cs="宋体"/>
          <w:snapToGrid w:val="0"/>
          <w:kern w:val="0"/>
          <w:sz w:val="28"/>
          <w:szCs w:val="28"/>
        </w:rPr>
      </w:pPr>
      <w:r>
        <w:rPr>
          <w:rFonts w:hint="eastAsia" w:hAnsi="宋体" w:cs="宋体"/>
          <w:snapToGrid w:val="0"/>
          <w:kern w:val="0"/>
          <w:sz w:val="28"/>
          <w:szCs w:val="28"/>
        </w:rPr>
        <w:t>土地使用年限修正系数公式为：</w:t>
      </w:r>
    </w:p>
    <w:p>
      <w:pPr>
        <w:keepNext w:val="0"/>
        <w:keepLines w:val="0"/>
        <w:pageBreakBefore w:val="0"/>
        <w:widowControl w:val="0"/>
        <w:kinsoku/>
        <w:wordWrap/>
        <w:overflowPunct/>
        <w:topLinePunct w:val="0"/>
        <w:autoSpaceDE/>
        <w:autoSpaceDN/>
        <w:bidi w:val="0"/>
        <w:adjustRightInd w:val="0"/>
        <w:snapToGrid w:val="0"/>
        <w:spacing w:line="360" w:lineRule="exact"/>
        <w:ind w:left="142" w:firstLine="561"/>
        <w:textAlignment w:val="bottom"/>
        <w:rPr>
          <w:rFonts w:hAnsi="宋体" w:cs="宋体"/>
          <w:snapToGrid w:val="0"/>
          <w:kern w:val="0"/>
          <w:sz w:val="28"/>
          <w:szCs w:val="28"/>
          <w:vertAlign w:val="superscript"/>
        </w:rPr>
      </w:pPr>
      <w:r>
        <w:rPr>
          <w:rFonts w:hint="eastAsia" w:hAnsi="宋体" w:cs="宋体"/>
          <w:snapToGrid w:val="0"/>
          <w:kern w:val="0"/>
          <w:sz w:val="28"/>
          <w:szCs w:val="28"/>
        </w:rPr>
        <w:t xml:space="preserve">     1—1/（1+r）</w:t>
      </w:r>
      <w:r>
        <w:rPr>
          <w:rFonts w:hint="eastAsia" w:hAnsi="宋体" w:cs="宋体"/>
          <w:snapToGrid w:val="0"/>
          <w:kern w:val="0"/>
          <w:sz w:val="28"/>
          <w:szCs w:val="28"/>
          <w:vertAlign w:val="superscript"/>
        </w:rPr>
        <w:t>m</w:t>
      </w:r>
    </w:p>
    <w:p>
      <w:pPr>
        <w:keepNext w:val="0"/>
        <w:keepLines w:val="0"/>
        <w:pageBreakBefore w:val="0"/>
        <w:widowControl w:val="0"/>
        <w:kinsoku/>
        <w:wordWrap/>
        <w:overflowPunct/>
        <w:topLinePunct w:val="0"/>
        <w:autoSpaceDE/>
        <w:autoSpaceDN/>
        <w:bidi w:val="0"/>
        <w:adjustRightInd w:val="0"/>
        <w:snapToGrid w:val="0"/>
        <w:spacing w:line="360" w:lineRule="exact"/>
        <w:ind w:left="142" w:firstLine="561"/>
        <w:textAlignment w:val="bottom"/>
        <w:rPr>
          <w:rFonts w:hAnsi="宋体" w:cs="宋体"/>
          <w:snapToGrid w:val="0"/>
          <w:kern w:val="0"/>
          <w:sz w:val="28"/>
          <w:szCs w:val="28"/>
        </w:rPr>
      </w:pPr>
      <w:r>
        <w:rPr>
          <w:rFonts w:hint="eastAsia" w:hAnsi="宋体" w:cs="宋体"/>
          <w:snapToGrid w:val="0"/>
          <w:kern w:val="0"/>
          <w:sz w:val="28"/>
          <w:szCs w:val="28"/>
        </w:rPr>
        <w:t xml:space="preserve"> K=————————</w:t>
      </w:r>
    </w:p>
    <w:p>
      <w:pPr>
        <w:keepNext w:val="0"/>
        <w:keepLines w:val="0"/>
        <w:pageBreakBefore w:val="0"/>
        <w:widowControl w:val="0"/>
        <w:kinsoku/>
        <w:wordWrap/>
        <w:overflowPunct/>
        <w:topLinePunct w:val="0"/>
        <w:autoSpaceDE/>
        <w:autoSpaceDN/>
        <w:bidi w:val="0"/>
        <w:adjustRightInd w:val="0"/>
        <w:snapToGrid w:val="0"/>
        <w:spacing w:line="360" w:lineRule="exact"/>
        <w:ind w:left="142" w:firstLine="560"/>
        <w:textAlignment w:val="bottom"/>
        <w:rPr>
          <w:rFonts w:hAnsi="宋体" w:cs="宋体"/>
          <w:snapToGrid w:val="0"/>
          <w:kern w:val="0"/>
          <w:sz w:val="28"/>
          <w:szCs w:val="28"/>
        </w:rPr>
      </w:pPr>
      <w:r>
        <w:rPr>
          <w:rFonts w:hint="eastAsia" w:hAnsi="宋体" w:cs="宋体"/>
          <w:snapToGrid w:val="0"/>
          <w:kern w:val="0"/>
          <w:sz w:val="28"/>
          <w:szCs w:val="28"/>
        </w:rPr>
        <w:t xml:space="preserve">     1—1/（1+r）</w:t>
      </w:r>
      <w:r>
        <w:rPr>
          <w:rFonts w:hint="eastAsia" w:hAnsi="宋体" w:cs="宋体"/>
          <w:snapToGrid w:val="0"/>
          <w:kern w:val="0"/>
          <w:sz w:val="28"/>
          <w:szCs w:val="28"/>
          <w:vertAlign w:val="superscript"/>
        </w:rPr>
        <w:t>n</w:t>
      </w:r>
    </w:p>
    <w:p>
      <w:pPr>
        <w:keepNext w:val="0"/>
        <w:keepLines w:val="0"/>
        <w:pageBreakBefore w:val="0"/>
        <w:widowControl w:val="0"/>
        <w:kinsoku/>
        <w:wordWrap/>
        <w:overflowPunct/>
        <w:topLinePunct w:val="0"/>
        <w:autoSpaceDE/>
        <w:autoSpaceDN/>
        <w:bidi w:val="0"/>
        <w:adjustRightInd w:val="0"/>
        <w:snapToGrid w:val="0"/>
        <w:spacing w:line="560" w:lineRule="exact"/>
        <w:textAlignment w:val="bottom"/>
        <w:rPr>
          <w:rFonts w:hAnsi="宋体" w:cs="宋体"/>
          <w:snapToGrid w:val="0"/>
          <w:kern w:val="0"/>
          <w:sz w:val="28"/>
          <w:szCs w:val="28"/>
        </w:rPr>
      </w:pPr>
      <w:r>
        <w:rPr>
          <w:rFonts w:hint="eastAsia" w:hAnsi="宋体" w:cs="宋体"/>
          <w:snapToGrid w:val="0"/>
          <w:kern w:val="0"/>
          <w:sz w:val="28"/>
          <w:szCs w:val="28"/>
        </w:rPr>
        <w:t>式中：K—使用年限修正系数</w:t>
      </w: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343"/>
        <w:textAlignment w:val="bottom"/>
        <w:rPr>
          <w:rFonts w:hint="default" w:hAnsi="宋体" w:eastAsia="宋体" w:cs="宋体"/>
          <w:snapToGrid w:val="0"/>
          <w:kern w:val="0"/>
          <w:sz w:val="28"/>
          <w:szCs w:val="28"/>
          <w:lang w:val="en-US" w:eastAsia="zh-CN"/>
        </w:rPr>
      </w:pPr>
      <w:r>
        <w:rPr>
          <w:rFonts w:hint="eastAsia" w:hAnsi="宋体" w:cs="宋体"/>
          <w:snapToGrid w:val="0"/>
          <w:kern w:val="0"/>
          <w:sz w:val="28"/>
          <w:szCs w:val="28"/>
        </w:rPr>
        <w:t>m—待估宗地使用年限</w:t>
      </w:r>
      <w:r>
        <w:rPr>
          <w:rFonts w:hint="eastAsia" w:hAnsi="宋体" w:cs="宋体"/>
          <w:snapToGrid w:val="0"/>
          <w:kern w:val="0"/>
          <w:sz w:val="28"/>
          <w:szCs w:val="28"/>
          <w:lang w:eastAsia="zh-CN"/>
        </w:rPr>
        <w:t>，</w:t>
      </w:r>
      <w:r>
        <w:rPr>
          <w:rFonts w:hint="eastAsia" w:hAnsi="宋体" w:cs="宋体"/>
          <w:snapToGrid w:val="0"/>
          <w:kern w:val="0"/>
          <w:sz w:val="28"/>
          <w:szCs w:val="28"/>
          <w:lang w:val="en-US" w:eastAsia="zh-CN"/>
        </w:rPr>
        <w:t>63.34年</w:t>
      </w:r>
    </w:p>
    <w:p>
      <w:pPr>
        <w:keepNext w:val="0"/>
        <w:keepLines w:val="0"/>
        <w:pageBreakBefore w:val="0"/>
        <w:widowControl w:val="0"/>
        <w:kinsoku/>
        <w:wordWrap/>
        <w:overflowPunct/>
        <w:topLinePunct w:val="0"/>
        <w:autoSpaceDE/>
        <w:autoSpaceDN/>
        <w:bidi w:val="0"/>
        <w:adjustRightInd w:val="0"/>
        <w:snapToGrid w:val="0"/>
        <w:spacing w:line="560" w:lineRule="exact"/>
        <w:ind w:firstLine="974" w:firstLineChars="348"/>
        <w:textAlignment w:val="bottom"/>
        <w:rPr>
          <w:rFonts w:hint="default" w:hAnsi="宋体" w:eastAsia="宋体" w:cs="宋体"/>
          <w:snapToGrid w:val="0"/>
          <w:color w:val="auto"/>
          <w:kern w:val="0"/>
          <w:sz w:val="28"/>
          <w:szCs w:val="28"/>
          <w:lang w:val="en-US" w:eastAsia="zh-CN"/>
        </w:rPr>
      </w:pPr>
      <w:r>
        <w:rPr>
          <w:rFonts w:hint="eastAsia" w:hAnsi="宋体" w:cs="宋体"/>
          <w:snapToGrid w:val="0"/>
          <w:color w:val="auto"/>
          <w:kern w:val="0"/>
          <w:sz w:val="28"/>
          <w:szCs w:val="28"/>
        </w:rPr>
        <w:t>n—比较实例宗地使用年限</w:t>
      </w:r>
      <w:r>
        <w:rPr>
          <w:rFonts w:hint="eastAsia" w:hAnsi="宋体" w:cs="宋体"/>
          <w:snapToGrid w:val="0"/>
          <w:color w:val="auto"/>
          <w:kern w:val="0"/>
          <w:sz w:val="28"/>
          <w:szCs w:val="28"/>
          <w:lang w:eastAsia="zh-CN"/>
        </w:rPr>
        <w:t>，</w:t>
      </w:r>
      <w:r>
        <w:rPr>
          <w:rFonts w:hint="eastAsia" w:hAnsi="宋体" w:cs="宋体"/>
          <w:snapToGrid w:val="0"/>
          <w:color w:val="auto"/>
          <w:kern w:val="0"/>
          <w:sz w:val="28"/>
          <w:szCs w:val="28"/>
          <w:lang w:val="en-US" w:eastAsia="zh-CN"/>
        </w:rPr>
        <w:t>70年</w:t>
      </w:r>
    </w:p>
    <w:p>
      <w:pPr>
        <w:keepNext w:val="0"/>
        <w:keepLines w:val="0"/>
        <w:pageBreakBefore w:val="0"/>
        <w:widowControl w:val="0"/>
        <w:kinsoku/>
        <w:wordWrap/>
        <w:overflowPunct/>
        <w:topLinePunct w:val="0"/>
        <w:autoSpaceDE/>
        <w:autoSpaceDN/>
        <w:bidi w:val="0"/>
        <w:adjustRightInd w:val="0"/>
        <w:snapToGrid w:val="0"/>
        <w:spacing w:line="560" w:lineRule="exact"/>
        <w:ind w:firstLine="971" w:firstLineChars="347"/>
        <w:textAlignment w:val="bottom"/>
        <w:rPr>
          <w:rFonts w:hint="eastAsia" w:hAnsi="宋体" w:cs="宋体"/>
          <w:snapToGrid w:val="0"/>
          <w:color w:val="auto"/>
          <w:kern w:val="0"/>
          <w:sz w:val="28"/>
          <w:szCs w:val="28"/>
        </w:rPr>
      </w:pPr>
      <w:r>
        <w:rPr>
          <w:rFonts w:hint="eastAsia" w:hAnsi="宋体" w:cs="宋体"/>
          <w:snapToGrid w:val="0"/>
          <w:color w:val="auto"/>
          <w:kern w:val="0"/>
          <w:sz w:val="28"/>
          <w:szCs w:val="28"/>
        </w:rPr>
        <w:t>r—土地还原率(</w:t>
      </w:r>
      <w:r>
        <w:rPr>
          <w:rFonts w:hint="eastAsia" w:hAnsi="宋体" w:cs="宋体"/>
          <w:snapToGrid w:val="0"/>
          <w:color w:val="auto"/>
          <w:kern w:val="0"/>
          <w:sz w:val="28"/>
          <w:szCs w:val="28"/>
          <w:lang w:val="en-US" w:eastAsia="zh-CN"/>
        </w:rPr>
        <w:t>6</w:t>
      </w:r>
      <w:r>
        <w:rPr>
          <w:rFonts w:hint="eastAsia" w:hAnsi="宋体" w:cs="宋体"/>
          <w:snapToGrid w:val="0"/>
          <w:color w:val="auto"/>
          <w:kern w:val="0"/>
          <w:sz w:val="28"/>
          <w:szCs w:val="28"/>
        </w:rPr>
        <w:t>%，根据</w:t>
      </w:r>
      <w:r>
        <w:rPr>
          <w:rFonts w:hint="eastAsia" w:hAnsi="宋体" w:cs="宋体"/>
          <w:snapToGrid w:val="0"/>
          <w:color w:val="auto"/>
          <w:kern w:val="0"/>
          <w:sz w:val="28"/>
          <w:szCs w:val="28"/>
          <w:lang w:eastAsia="zh-CN"/>
        </w:rPr>
        <w:t>《</w:t>
      </w:r>
      <w:r>
        <w:rPr>
          <w:rFonts w:hint="eastAsia" w:hAnsi="宋体" w:cs="宋体"/>
          <w:snapToGrid w:val="0"/>
          <w:color w:val="auto"/>
          <w:kern w:val="0"/>
          <w:sz w:val="28"/>
          <w:szCs w:val="28"/>
          <w:lang w:val="en-US" w:eastAsia="zh-CN"/>
        </w:rPr>
        <w:t>汾阳市中心城区城镇土地定级及基准地价更新报告</w:t>
      </w:r>
      <w:r>
        <w:rPr>
          <w:rFonts w:hint="eastAsia" w:hAnsi="宋体" w:cs="宋体"/>
          <w:snapToGrid w:val="0"/>
          <w:color w:val="auto"/>
          <w:kern w:val="0"/>
          <w:sz w:val="28"/>
          <w:szCs w:val="28"/>
          <w:lang w:eastAsia="zh-CN"/>
        </w:rPr>
        <w:t>》</w:t>
      </w:r>
      <w:r>
        <w:rPr>
          <w:rFonts w:hint="eastAsia" w:hAnsi="宋体" w:cs="宋体"/>
          <w:snapToGrid w:val="0"/>
          <w:color w:val="auto"/>
          <w:kern w:val="0"/>
          <w:sz w:val="28"/>
          <w:szCs w:val="28"/>
        </w:rPr>
        <w:t>中还原率确定)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bottom"/>
        <w:rPr>
          <w:rFonts w:hint="eastAsia" w:hAnsi="宋体" w:cs="宋体"/>
          <w:snapToGrid w:val="0"/>
          <w:color w:val="auto"/>
          <w:kern w:val="0"/>
          <w:sz w:val="28"/>
          <w:szCs w:val="28"/>
        </w:rPr>
      </w:pPr>
      <w:r>
        <w:rPr>
          <w:rFonts w:hint="eastAsia" w:hAnsi="宋体" w:cs="宋体"/>
          <w:snapToGrid w:val="0"/>
          <w:color w:val="auto"/>
          <w:kern w:val="0"/>
          <w:sz w:val="28"/>
          <w:szCs w:val="28"/>
        </w:rPr>
        <w:t>经计算估价对象与各比较实例年期修正指数分别</w:t>
      </w:r>
      <w:r>
        <w:rPr>
          <w:rFonts w:hint="eastAsia" w:hAnsi="宋体" w:cs="宋体"/>
          <w:snapToGrid w:val="0"/>
          <w:color w:val="auto"/>
          <w:kern w:val="0"/>
          <w:sz w:val="28"/>
          <w:szCs w:val="28"/>
          <w:lang w:val="en-US" w:eastAsia="zh-CN"/>
        </w:rPr>
        <w:t>99.18和100。</w:t>
      </w:r>
    </w:p>
    <w:p>
      <w:pPr>
        <w:keepNext w:val="0"/>
        <w:keepLines w:val="0"/>
        <w:pageBreakBefore w:val="0"/>
        <w:widowControl w:val="0"/>
        <w:kinsoku/>
        <w:wordWrap/>
        <w:overflowPunct/>
        <w:topLinePunct w:val="0"/>
        <w:autoSpaceDE/>
        <w:autoSpaceDN/>
        <w:bidi w:val="0"/>
        <w:adjustRightInd w:val="0"/>
        <w:snapToGrid w:val="0"/>
        <w:spacing w:line="560" w:lineRule="exact"/>
        <w:ind w:left="142" w:firstLine="360"/>
        <w:textAlignment w:val="bottom"/>
        <w:rPr>
          <w:rFonts w:hAnsi="宋体" w:cs="宋体"/>
          <w:snapToGrid w:val="0"/>
          <w:color w:val="auto"/>
          <w:kern w:val="0"/>
          <w:sz w:val="28"/>
          <w:szCs w:val="28"/>
        </w:rPr>
      </w:pPr>
      <w:r>
        <w:rPr>
          <w:rFonts w:hint="eastAsia" w:hAnsi="宋体" w:cs="宋体"/>
          <w:snapToGrid w:val="0"/>
          <w:color w:val="auto"/>
          <w:kern w:val="0"/>
          <w:sz w:val="28"/>
          <w:szCs w:val="28"/>
        </w:rPr>
        <w:t>（5）区域及个别因素修正系数</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bottom"/>
        <w:rPr>
          <w:rFonts w:hAnsi="宋体" w:cs="宋体"/>
          <w:snapToGrid w:val="0"/>
          <w:kern w:val="0"/>
          <w:sz w:val="28"/>
          <w:szCs w:val="28"/>
        </w:rPr>
      </w:pPr>
      <w:r>
        <w:rPr>
          <w:rFonts w:hint="eastAsia" w:hAnsi="宋体" w:cs="宋体"/>
          <w:snapToGrid w:val="0"/>
          <w:kern w:val="0"/>
          <w:sz w:val="28"/>
          <w:szCs w:val="28"/>
        </w:rPr>
        <w:t>Ⅰ、区域因素：</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bottom"/>
        <w:rPr>
          <w:rFonts w:hAnsi="宋体" w:cs="宋体"/>
          <w:snapToGrid w:val="0"/>
          <w:kern w:val="0"/>
          <w:sz w:val="28"/>
          <w:szCs w:val="28"/>
        </w:rPr>
      </w:pPr>
      <w:r>
        <w:rPr>
          <w:rFonts w:hint="eastAsia" w:hAnsi="宋体" w:cs="宋体"/>
          <w:snapToGrid w:val="0"/>
          <w:kern w:val="0"/>
          <w:sz w:val="28"/>
          <w:szCs w:val="28"/>
        </w:rPr>
        <w:t>A、道路通达度,由于道路的通达程度对商业用地的对外联系影响较大,分为邻街巷、邻支路、邻次干道、邻主干道四个等级，以待估宗地的等级为100,每相差一个等级修正2；</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int="eastAsia" w:hAnsi="宋体" w:cs="宋体"/>
          <w:snapToGrid w:val="0"/>
          <w:kern w:val="0"/>
          <w:sz w:val="28"/>
          <w:szCs w:val="28"/>
        </w:rPr>
      </w:pPr>
      <w:r>
        <w:rPr>
          <w:rFonts w:hint="eastAsia" w:hAnsi="宋体" w:cs="宋体"/>
          <w:snapToGrid w:val="0"/>
          <w:kern w:val="0"/>
          <w:sz w:val="28"/>
          <w:szCs w:val="28"/>
        </w:rPr>
        <w:t>B、距</w:t>
      </w:r>
      <w:r>
        <w:rPr>
          <w:rFonts w:hint="eastAsia" w:hAnsi="宋体" w:cs="宋体"/>
          <w:snapToGrid w:val="0"/>
          <w:kern w:val="0"/>
          <w:sz w:val="28"/>
          <w:szCs w:val="28"/>
          <w:lang w:val="en-US" w:eastAsia="zh-CN"/>
        </w:rPr>
        <w:t>汽车</w:t>
      </w:r>
      <w:r>
        <w:rPr>
          <w:rFonts w:hint="eastAsia" w:hAnsi="宋体" w:cs="宋体"/>
          <w:snapToGrid w:val="0"/>
          <w:kern w:val="0"/>
          <w:sz w:val="28"/>
          <w:szCs w:val="28"/>
        </w:rPr>
        <w:t>站距离，以</w:t>
      </w:r>
      <w:r>
        <w:rPr>
          <w:rFonts w:hint="eastAsia" w:hAnsi="宋体" w:cs="宋体"/>
          <w:snapToGrid w:val="0"/>
          <w:kern w:val="0"/>
          <w:sz w:val="28"/>
          <w:szCs w:val="28"/>
          <w:lang w:val="en-US" w:eastAsia="zh-CN"/>
        </w:rPr>
        <w:t>汾阳市汽车客运</w:t>
      </w:r>
      <w:r>
        <w:rPr>
          <w:rFonts w:hint="eastAsia" w:hAnsi="宋体" w:cs="宋体"/>
          <w:snapToGrid w:val="0"/>
          <w:kern w:val="0"/>
          <w:sz w:val="28"/>
          <w:szCs w:val="28"/>
        </w:rPr>
        <w:t>站计算距离，以待估宗地为100，每增加或减少1公里，相应修正</w:t>
      </w:r>
      <w:r>
        <w:rPr>
          <w:rFonts w:hint="eastAsia" w:hAnsi="宋体" w:cs="宋体"/>
          <w:snapToGrid w:val="0"/>
          <w:kern w:val="0"/>
          <w:sz w:val="28"/>
          <w:szCs w:val="28"/>
          <w:lang w:val="en-US" w:eastAsia="zh-CN"/>
        </w:rPr>
        <w:t>1</w:t>
      </w:r>
      <w:r>
        <w:rPr>
          <w:rFonts w:hint="eastAsia" w:hAnsi="宋体" w:cs="宋体"/>
          <w:snapToGrid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Ansi="宋体" w:cs="宋体"/>
          <w:snapToGrid w:val="0"/>
          <w:kern w:val="0"/>
          <w:sz w:val="28"/>
          <w:szCs w:val="28"/>
        </w:rPr>
      </w:pPr>
      <w:r>
        <w:rPr>
          <w:rFonts w:hint="eastAsia" w:hAnsi="宋体" w:cs="宋体"/>
          <w:snapToGrid w:val="0"/>
          <w:kern w:val="0"/>
          <w:sz w:val="28"/>
          <w:szCs w:val="28"/>
        </w:rPr>
        <w:t>C、公交便捷度，以500米为半径，将公交线路划分为2条以内</w:t>
      </w:r>
      <w:r>
        <w:rPr>
          <w:rFonts w:hint="eastAsia" w:hAnsi="宋体" w:cs="宋体"/>
          <w:snapToGrid w:val="0"/>
          <w:kern w:val="0"/>
          <w:sz w:val="28"/>
          <w:szCs w:val="28"/>
          <w:lang w:eastAsia="zh-CN"/>
        </w:rPr>
        <w:t>（</w:t>
      </w:r>
      <w:r>
        <w:rPr>
          <w:rFonts w:hint="eastAsia" w:hAnsi="宋体" w:cs="宋体"/>
          <w:snapToGrid w:val="0"/>
          <w:kern w:val="0"/>
          <w:sz w:val="28"/>
          <w:szCs w:val="28"/>
          <w:lang w:val="en-US" w:eastAsia="zh-CN"/>
        </w:rPr>
        <w:t>含2条</w:t>
      </w:r>
      <w:r>
        <w:rPr>
          <w:rFonts w:hint="eastAsia" w:hAnsi="宋体" w:cs="宋体"/>
          <w:snapToGrid w:val="0"/>
          <w:kern w:val="0"/>
          <w:sz w:val="28"/>
          <w:szCs w:val="28"/>
          <w:lang w:eastAsia="zh-CN"/>
        </w:rPr>
        <w:t>）</w:t>
      </w:r>
      <w:r>
        <w:rPr>
          <w:rFonts w:hint="eastAsia" w:hAnsi="宋体" w:cs="宋体"/>
          <w:snapToGrid w:val="0"/>
          <w:kern w:val="0"/>
          <w:sz w:val="28"/>
          <w:szCs w:val="28"/>
        </w:rPr>
        <w:t>、3-8条</w:t>
      </w:r>
      <w:r>
        <w:rPr>
          <w:rFonts w:hint="eastAsia" w:hAnsi="宋体" w:cs="宋体"/>
          <w:snapToGrid w:val="0"/>
          <w:kern w:val="0"/>
          <w:sz w:val="28"/>
          <w:szCs w:val="28"/>
          <w:lang w:eastAsia="zh-CN"/>
        </w:rPr>
        <w:t>（</w:t>
      </w:r>
      <w:r>
        <w:rPr>
          <w:rFonts w:hint="eastAsia" w:hAnsi="宋体" w:cs="宋体"/>
          <w:snapToGrid w:val="0"/>
          <w:kern w:val="0"/>
          <w:sz w:val="28"/>
          <w:szCs w:val="28"/>
          <w:lang w:val="en-US" w:eastAsia="zh-CN"/>
        </w:rPr>
        <w:t>含8条</w:t>
      </w:r>
      <w:r>
        <w:rPr>
          <w:rFonts w:hint="eastAsia" w:hAnsi="宋体" w:cs="宋体"/>
          <w:snapToGrid w:val="0"/>
          <w:kern w:val="0"/>
          <w:sz w:val="28"/>
          <w:szCs w:val="28"/>
          <w:lang w:eastAsia="zh-CN"/>
        </w:rPr>
        <w:t>）</w:t>
      </w:r>
      <w:r>
        <w:rPr>
          <w:rFonts w:hint="eastAsia" w:hAnsi="宋体" w:cs="宋体"/>
          <w:snapToGrid w:val="0"/>
          <w:kern w:val="0"/>
          <w:sz w:val="28"/>
          <w:szCs w:val="28"/>
        </w:rPr>
        <w:t>、9-15条</w:t>
      </w:r>
      <w:r>
        <w:rPr>
          <w:rFonts w:hint="eastAsia" w:hAnsi="宋体" w:cs="宋体"/>
          <w:snapToGrid w:val="0"/>
          <w:kern w:val="0"/>
          <w:sz w:val="28"/>
          <w:szCs w:val="28"/>
          <w:lang w:eastAsia="zh-CN"/>
        </w:rPr>
        <w:t>（</w:t>
      </w:r>
      <w:r>
        <w:rPr>
          <w:rFonts w:hint="eastAsia" w:hAnsi="宋体" w:cs="宋体"/>
          <w:snapToGrid w:val="0"/>
          <w:kern w:val="0"/>
          <w:sz w:val="28"/>
          <w:szCs w:val="28"/>
          <w:lang w:val="en-US" w:eastAsia="zh-CN"/>
        </w:rPr>
        <w:t>含15条</w:t>
      </w:r>
      <w:r>
        <w:rPr>
          <w:rFonts w:hint="eastAsia" w:hAnsi="宋体" w:cs="宋体"/>
          <w:snapToGrid w:val="0"/>
          <w:kern w:val="0"/>
          <w:sz w:val="28"/>
          <w:szCs w:val="28"/>
          <w:lang w:eastAsia="zh-CN"/>
        </w:rPr>
        <w:t>）</w:t>
      </w:r>
      <w:r>
        <w:rPr>
          <w:rFonts w:hint="eastAsia" w:hAnsi="宋体" w:cs="宋体"/>
          <w:snapToGrid w:val="0"/>
          <w:kern w:val="0"/>
          <w:sz w:val="28"/>
          <w:szCs w:val="28"/>
        </w:rPr>
        <w:t>、15条及以上四个等级，以待估宗地为100，每相差一个等级，相应修正2；</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Ansi="宋体" w:cs="宋体"/>
          <w:snapToGrid w:val="0"/>
          <w:kern w:val="0"/>
          <w:sz w:val="28"/>
          <w:szCs w:val="28"/>
        </w:rPr>
      </w:pPr>
      <w:r>
        <w:rPr>
          <w:rFonts w:hint="eastAsia" w:hAnsi="宋体" w:cs="宋体"/>
          <w:snapToGrid w:val="0"/>
          <w:kern w:val="0"/>
          <w:sz w:val="28"/>
          <w:szCs w:val="28"/>
        </w:rPr>
        <w:t>D、基础设施状况，以待估宗地为100，每增加或减少一通，相应修正2；</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Ansi="宋体" w:cs="宋体"/>
          <w:snapToGrid w:val="0"/>
          <w:kern w:val="0"/>
          <w:sz w:val="28"/>
          <w:szCs w:val="28"/>
        </w:rPr>
      </w:pPr>
      <w:r>
        <w:rPr>
          <w:rFonts w:hint="eastAsia" w:hAnsi="宋体" w:cs="宋体"/>
          <w:snapToGrid w:val="0"/>
          <w:kern w:val="0"/>
          <w:sz w:val="28"/>
          <w:szCs w:val="28"/>
        </w:rPr>
        <w:t>E、公共设施状况（指区域学校、银行、医院等市政配套设施）：分为完备、较完备、一般、较不完备、不完备五个等级，以待估宗地为100，每增加或减少一个等级，相应修正2;</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int="eastAsia" w:hAnsi="宋体" w:cs="宋体"/>
          <w:snapToGrid w:val="0"/>
          <w:kern w:val="0"/>
          <w:sz w:val="28"/>
          <w:szCs w:val="28"/>
        </w:rPr>
      </w:pPr>
      <w:r>
        <w:rPr>
          <w:rFonts w:hint="eastAsia" w:hAnsi="宋体" w:cs="宋体"/>
          <w:snapToGrid w:val="0"/>
          <w:kern w:val="0"/>
          <w:sz w:val="28"/>
          <w:szCs w:val="28"/>
        </w:rPr>
        <w:t>F、距商服中心距离分为三个等级，以待估宗地为100，每增加或减少1公里，相应修正</w:t>
      </w:r>
      <w:r>
        <w:rPr>
          <w:rFonts w:hint="eastAsia" w:hAnsi="宋体" w:cs="宋体"/>
          <w:snapToGrid w:val="0"/>
          <w:kern w:val="0"/>
          <w:sz w:val="28"/>
          <w:szCs w:val="28"/>
          <w:lang w:val="en-US" w:eastAsia="zh-CN"/>
        </w:rPr>
        <w:t>2</w:t>
      </w:r>
      <w:r>
        <w:rPr>
          <w:rFonts w:hint="eastAsia" w:hAnsi="宋体" w:cs="宋体"/>
          <w:snapToGrid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Ansi="宋体" w:cs="宋体"/>
          <w:snapToGrid w:val="0"/>
          <w:kern w:val="0"/>
          <w:sz w:val="28"/>
          <w:szCs w:val="28"/>
        </w:rPr>
      </w:pPr>
      <w:r>
        <w:rPr>
          <w:rFonts w:hint="eastAsia" w:hAnsi="宋体" w:cs="宋体"/>
          <w:snapToGrid w:val="0"/>
          <w:kern w:val="0"/>
          <w:sz w:val="28"/>
          <w:szCs w:val="28"/>
        </w:rPr>
        <w:t>G、环境优劣度（指），分为无污染、污染较轻、有一定污染、污染较重、污染严重五个等级，以待估宗地为100，每相差一个等级，地价修正2；</w:t>
      </w:r>
    </w:p>
    <w:p>
      <w:pPr>
        <w:keepNext w:val="0"/>
        <w:keepLines w:val="0"/>
        <w:pageBreakBefore w:val="0"/>
        <w:widowControl w:val="0"/>
        <w:kinsoku/>
        <w:wordWrap/>
        <w:overflowPunct/>
        <w:topLinePunct w:val="0"/>
        <w:autoSpaceDE/>
        <w:autoSpaceDN/>
        <w:bidi w:val="0"/>
        <w:adjustRightInd w:val="0"/>
        <w:snapToGrid w:val="0"/>
        <w:spacing w:line="560" w:lineRule="exact"/>
        <w:ind w:firstLine="561"/>
        <w:textAlignment w:val="bottom"/>
        <w:rPr>
          <w:rFonts w:hAnsi="宋体" w:cs="宋体"/>
          <w:snapToGrid w:val="0"/>
          <w:kern w:val="0"/>
          <w:sz w:val="28"/>
          <w:szCs w:val="28"/>
        </w:rPr>
      </w:pPr>
      <w:r>
        <w:rPr>
          <w:rFonts w:hint="eastAsia" w:hAnsi="宋体" w:cs="宋体"/>
          <w:snapToGrid w:val="0"/>
          <w:kern w:val="0"/>
          <w:sz w:val="28"/>
          <w:szCs w:val="28"/>
        </w:rPr>
        <w:t>Ⅱ、个别因素:</w:t>
      </w:r>
      <w:r>
        <w:rPr>
          <w:rFonts w:hint="eastAsia" w:hAnsi="宋体" w:cs="宋体"/>
          <w:snapToGrid w:val="0"/>
          <w:kern w:val="0"/>
          <w:sz w:val="28"/>
          <w:szCs w:val="28"/>
        </w:rPr>
        <w:tab/>
      </w:r>
    </w:p>
    <w:p>
      <w:pPr>
        <w:keepNext w:val="0"/>
        <w:keepLines w:val="0"/>
        <w:pageBreakBefore w:val="0"/>
        <w:widowControl w:val="0"/>
        <w:kinsoku/>
        <w:wordWrap/>
        <w:overflowPunct/>
        <w:topLinePunct w:val="0"/>
        <w:autoSpaceDE/>
        <w:autoSpaceDN/>
        <w:bidi w:val="0"/>
        <w:snapToGrid w:val="0"/>
        <w:spacing w:line="560" w:lineRule="exact"/>
        <w:ind w:firstLine="539"/>
        <w:rPr>
          <w:rFonts w:hint="eastAsia" w:hAnsi="宋体" w:cs="宋体"/>
          <w:snapToGrid w:val="0"/>
          <w:sz w:val="28"/>
          <w:szCs w:val="28"/>
        </w:rPr>
      </w:pPr>
      <w:r>
        <w:rPr>
          <w:rFonts w:hint="eastAsia" w:hAnsi="宋体" w:cs="宋体"/>
          <w:snapToGrid w:val="0"/>
          <w:sz w:val="28"/>
          <w:szCs w:val="28"/>
        </w:rPr>
        <w:t>A、土地面积，土地面积过大或过小都不利于土地效益的发挥，一般评估时认为：小于1000平方米,大于50万平方米、0.1万-1万平方米、1万-10万平方米、大于10万平方米小于50万、以待估宗地的指标为100，每下降或上升一个等级，地价相应修正</w:t>
      </w:r>
      <w:r>
        <w:rPr>
          <w:rFonts w:hint="eastAsia" w:hAnsi="宋体" w:cs="宋体"/>
          <w:snapToGrid w:val="0"/>
          <w:sz w:val="28"/>
          <w:szCs w:val="28"/>
          <w:lang w:val="en-US" w:eastAsia="zh-CN"/>
        </w:rPr>
        <w:t>1</w:t>
      </w:r>
      <w:r>
        <w:rPr>
          <w:rFonts w:hint="eastAsia" w:hAnsi="宋体" w:cs="宋体"/>
          <w:snapToGrid w:val="0"/>
          <w:sz w:val="28"/>
          <w:szCs w:val="28"/>
        </w:rPr>
        <w:t>。</w:t>
      </w:r>
    </w:p>
    <w:p>
      <w:pPr>
        <w:keepNext w:val="0"/>
        <w:keepLines w:val="0"/>
        <w:pageBreakBefore w:val="0"/>
        <w:widowControl w:val="0"/>
        <w:kinsoku/>
        <w:wordWrap/>
        <w:overflowPunct/>
        <w:topLinePunct w:val="0"/>
        <w:autoSpaceDE/>
        <w:autoSpaceDN/>
        <w:bidi w:val="0"/>
        <w:snapToGrid w:val="0"/>
        <w:spacing w:line="560" w:lineRule="exact"/>
        <w:ind w:firstLine="539"/>
        <w:rPr>
          <w:rFonts w:hAnsi="宋体" w:cs="宋体"/>
          <w:snapToGrid w:val="0"/>
          <w:sz w:val="28"/>
          <w:szCs w:val="28"/>
        </w:rPr>
      </w:pPr>
      <w:r>
        <w:rPr>
          <w:rFonts w:hint="eastAsia" w:hAnsi="宋体" w:cs="宋体"/>
          <w:snapToGrid w:val="0"/>
          <w:sz w:val="28"/>
          <w:szCs w:val="28"/>
        </w:rPr>
        <w:t>B、临路状况，分为不临路、一面临路、二面临路、三面及三面以上临路，以待估宗地为100，每相差一个等级修正2；</w:t>
      </w:r>
    </w:p>
    <w:p>
      <w:pPr>
        <w:keepNext w:val="0"/>
        <w:keepLines w:val="0"/>
        <w:pageBreakBefore w:val="0"/>
        <w:widowControl w:val="0"/>
        <w:kinsoku/>
        <w:wordWrap/>
        <w:overflowPunct/>
        <w:topLinePunct w:val="0"/>
        <w:autoSpaceDE/>
        <w:autoSpaceDN/>
        <w:bidi w:val="0"/>
        <w:snapToGrid w:val="0"/>
        <w:spacing w:line="560" w:lineRule="exact"/>
        <w:ind w:firstLine="539"/>
        <w:rPr>
          <w:rFonts w:hAnsi="宋体" w:cs="宋体"/>
          <w:snapToGrid w:val="0"/>
          <w:sz w:val="28"/>
          <w:szCs w:val="28"/>
        </w:rPr>
      </w:pPr>
      <w:r>
        <w:rPr>
          <w:rFonts w:hint="eastAsia" w:hAnsi="宋体" w:cs="宋体"/>
          <w:snapToGrid w:val="0"/>
          <w:sz w:val="28"/>
          <w:szCs w:val="28"/>
        </w:rPr>
        <w:t>C、宗地形状，分为形状规则、对土地利用合理，土地利用较为合理，土地利用无不良影响，形状不规则、对土地利用不合理，形状不规则、对土地利用产生严重的影响五个等级，以待估宗地为100，每相差一个等级，地价修正</w:t>
      </w:r>
      <w:r>
        <w:rPr>
          <w:rFonts w:hint="eastAsia" w:hAnsi="宋体" w:cs="宋体"/>
          <w:snapToGrid w:val="0"/>
          <w:sz w:val="28"/>
          <w:szCs w:val="28"/>
          <w:lang w:val="en-US" w:eastAsia="zh-CN"/>
        </w:rPr>
        <w:t>2</w:t>
      </w:r>
      <w:r>
        <w:rPr>
          <w:rFonts w:hint="eastAsia" w:hAnsi="宋体" w:cs="宋体"/>
          <w:snapToGrid w:val="0"/>
          <w:sz w:val="28"/>
          <w:szCs w:val="28"/>
        </w:rPr>
        <w:t>；</w:t>
      </w:r>
    </w:p>
    <w:p>
      <w:pPr>
        <w:keepNext w:val="0"/>
        <w:keepLines w:val="0"/>
        <w:pageBreakBefore w:val="0"/>
        <w:widowControl w:val="0"/>
        <w:kinsoku/>
        <w:wordWrap/>
        <w:overflowPunct/>
        <w:topLinePunct w:val="0"/>
        <w:autoSpaceDE/>
        <w:autoSpaceDN/>
        <w:bidi w:val="0"/>
        <w:snapToGrid w:val="0"/>
        <w:spacing w:line="560" w:lineRule="exact"/>
        <w:ind w:firstLine="539"/>
        <w:rPr>
          <w:rFonts w:hAnsi="宋体" w:cs="宋体"/>
          <w:snapToGrid w:val="0"/>
          <w:sz w:val="28"/>
          <w:szCs w:val="28"/>
        </w:rPr>
      </w:pPr>
      <w:r>
        <w:rPr>
          <w:rFonts w:hint="eastAsia" w:hAnsi="宋体" w:cs="宋体"/>
          <w:snapToGrid w:val="0"/>
          <w:sz w:val="28"/>
          <w:szCs w:val="28"/>
        </w:rPr>
        <w:t>D、地形分为平坦、较平坦、有一定坡度（或山坡地），以待估宗地地形指数为100，每相差一个等级,地价修正1;</w:t>
      </w:r>
    </w:p>
    <w:p>
      <w:pPr>
        <w:keepNext w:val="0"/>
        <w:keepLines w:val="0"/>
        <w:pageBreakBefore w:val="0"/>
        <w:widowControl w:val="0"/>
        <w:kinsoku/>
        <w:wordWrap/>
        <w:overflowPunct/>
        <w:topLinePunct w:val="0"/>
        <w:autoSpaceDE/>
        <w:autoSpaceDN/>
        <w:bidi w:val="0"/>
        <w:snapToGrid w:val="0"/>
        <w:spacing w:line="560" w:lineRule="exact"/>
        <w:ind w:firstLine="539"/>
        <w:rPr>
          <w:rFonts w:hAnsi="宋体" w:cs="宋体"/>
          <w:snapToGrid w:val="0"/>
          <w:sz w:val="28"/>
          <w:szCs w:val="28"/>
        </w:rPr>
      </w:pPr>
      <w:r>
        <w:rPr>
          <w:rFonts w:hint="eastAsia" w:hAnsi="宋体" w:cs="宋体"/>
          <w:snapToGrid w:val="0"/>
          <w:sz w:val="28"/>
          <w:szCs w:val="28"/>
        </w:rPr>
        <w:t>E、目前的规划限制：分为有较大限制、有一定限制、无限制三个等级，以标准宗地目前的规划限制指数为100，每上升或下降一个等级，指数上升或下降1。</w:t>
      </w:r>
    </w:p>
    <w:p>
      <w:pPr>
        <w:keepNext w:val="0"/>
        <w:keepLines w:val="0"/>
        <w:pageBreakBefore w:val="0"/>
        <w:widowControl w:val="0"/>
        <w:kinsoku/>
        <w:wordWrap/>
        <w:overflowPunct/>
        <w:topLinePunct w:val="0"/>
        <w:autoSpaceDE/>
        <w:autoSpaceDN/>
        <w:bidi w:val="0"/>
        <w:snapToGrid w:val="0"/>
        <w:spacing w:line="560" w:lineRule="exact"/>
        <w:ind w:firstLine="539"/>
        <w:rPr>
          <w:rFonts w:hint="eastAsia" w:hAnsi="宋体" w:cs="宋体"/>
          <w:snapToGrid w:val="0"/>
          <w:sz w:val="28"/>
          <w:szCs w:val="28"/>
        </w:rPr>
      </w:pPr>
      <w:r>
        <w:rPr>
          <w:rFonts w:hint="eastAsia" w:hAnsi="宋体" w:cs="宋体"/>
          <w:snapToGrid w:val="0"/>
          <w:sz w:val="28"/>
          <w:szCs w:val="28"/>
        </w:rPr>
        <w:t>F、容积率修正，</w:t>
      </w:r>
      <w:r>
        <w:rPr>
          <w:rFonts w:hint="eastAsia" w:hAnsi="宋体" w:cs="宋体"/>
          <w:snapToGrid w:val="0"/>
          <w:color w:val="auto"/>
          <w:kern w:val="0"/>
          <w:sz w:val="28"/>
          <w:szCs w:val="28"/>
        </w:rPr>
        <w:t>根据</w:t>
      </w:r>
      <w:r>
        <w:rPr>
          <w:rFonts w:hint="eastAsia" w:hAnsi="宋体" w:cs="宋体"/>
          <w:snapToGrid w:val="0"/>
          <w:color w:val="auto"/>
          <w:kern w:val="0"/>
          <w:sz w:val="28"/>
          <w:szCs w:val="28"/>
          <w:lang w:eastAsia="zh-CN"/>
        </w:rPr>
        <w:t>《</w:t>
      </w:r>
      <w:r>
        <w:rPr>
          <w:rFonts w:hint="eastAsia" w:hAnsi="宋体" w:cs="宋体"/>
          <w:snapToGrid w:val="0"/>
          <w:color w:val="auto"/>
          <w:kern w:val="0"/>
          <w:sz w:val="28"/>
          <w:szCs w:val="28"/>
          <w:lang w:val="en-US" w:eastAsia="zh-CN"/>
        </w:rPr>
        <w:t>汾阳市中心城区城镇土地定级及基准地价更新报告</w:t>
      </w:r>
      <w:r>
        <w:rPr>
          <w:rFonts w:hint="eastAsia" w:hAnsi="宋体" w:cs="宋体"/>
          <w:snapToGrid w:val="0"/>
          <w:color w:val="auto"/>
          <w:kern w:val="0"/>
          <w:sz w:val="28"/>
          <w:szCs w:val="28"/>
          <w:lang w:eastAsia="zh-CN"/>
        </w:rPr>
        <w:t>》</w:t>
      </w:r>
      <w:r>
        <w:rPr>
          <w:rFonts w:hint="eastAsia" w:hAnsi="宋体" w:cs="宋体"/>
          <w:snapToGrid w:val="0"/>
          <w:color w:val="auto"/>
          <w:kern w:val="0"/>
          <w:sz w:val="28"/>
          <w:szCs w:val="28"/>
          <w:lang w:val="en-US" w:eastAsia="zh-CN"/>
        </w:rPr>
        <w:t>中</w:t>
      </w:r>
      <w:r>
        <w:rPr>
          <w:rFonts w:hint="eastAsia" w:hAnsi="宋体" w:cs="宋体"/>
          <w:snapToGrid w:val="0"/>
          <w:sz w:val="28"/>
          <w:szCs w:val="28"/>
        </w:rPr>
        <w:t>住宅容积率系数进行修正。</w:t>
      </w:r>
    </w:p>
    <w:p>
      <w:pPr>
        <w:pStyle w:val="14"/>
      </w:pPr>
    </w:p>
    <w:tbl>
      <w:tblPr>
        <w:tblStyle w:val="25"/>
        <w:tblW w:w="5000" w:type="pct"/>
        <w:tblInd w:w="0" w:type="dxa"/>
        <w:tblLayout w:type="autofit"/>
        <w:tblCellMar>
          <w:top w:w="0" w:type="dxa"/>
          <w:left w:w="0" w:type="dxa"/>
          <w:bottom w:w="0" w:type="dxa"/>
          <w:right w:w="0" w:type="dxa"/>
        </w:tblCellMar>
      </w:tblPr>
      <w:tblGrid>
        <w:gridCol w:w="1782"/>
        <w:gridCol w:w="2205"/>
        <w:gridCol w:w="1901"/>
        <w:gridCol w:w="1901"/>
        <w:gridCol w:w="1895"/>
      </w:tblGrid>
      <w:tr>
        <w:tblPrEx>
          <w:tblCellMar>
            <w:top w:w="0" w:type="dxa"/>
            <w:left w:w="0" w:type="dxa"/>
            <w:bottom w:w="0" w:type="dxa"/>
            <w:right w:w="0" w:type="dxa"/>
          </w:tblCellMar>
        </w:tblPrEx>
        <w:trPr>
          <w:trHeight w:val="476" w:hRule="exact"/>
        </w:trPr>
        <w:tc>
          <w:tcPr>
            <w:tcW w:w="92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w:t>
            </w:r>
          </w:p>
        </w:tc>
        <w:tc>
          <w:tcPr>
            <w:tcW w:w="113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待估宗地</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实例1</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实例2</w:t>
            </w:r>
          </w:p>
        </w:tc>
        <w:tc>
          <w:tcPr>
            <w:tcW w:w="97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sz w:val="24"/>
                <w:szCs w:val="24"/>
              </w:rPr>
            </w:pPr>
            <w:r>
              <w:rPr>
                <w:rFonts w:hint="eastAsia" w:ascii="宋体" w:hAnsi="宋体" w:eastAsia="宋体" w:cs="宋体"/>
                <w:sz w:val="24"/>
                <w:szCs w:val="24"/>
              </w:rPr>
              <w:t>实例3</w:t>
            </w:r>
          </w:p>
        </w:tc>
      </w:tr>
      <w:tr>
        <w:tblPrEx>
          <w:tblCellMar>
            <w:top w:w="0" w:type="dxa"/>
            <w:left w:w="0" w:type="dxa"/>
            <w:bottom w:w="0" w:type="dxa"/>
            <w:right w:w="0" w:type="dxa"/>
          </w:tblCellMar>
        </w:tblPrEx>
        <w:trPr>
          <w:trHeight w:val="476" w:hRule="exact"/>
        </w:trPr>
        <w:tc>
          <w:tcPr>
            <w:tcW w:w="92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容积率</w:t>
            </w:r>
          </w:p>
        </w:tc>
        <w:tc>
          <w:tcPr>
            <w:tcW w:w="113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leftChars="0" w:right="-120"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3.45</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leftChars="0" w:right="-120" w:rightChars="0"/>
              <w:jc w:val="center"/>
              <w:rPr>
                <w:rFonts w:hint="default" w:ascii="宋体" w:hAnsi="宋体" w:eastAsia="宋体" w:cs="宋体"/>
                <w:color w:val="auto"/>
                <w:sz w:val="24"/>
                <w:szCs w:val="24"/>
                <w:lang w:val="en-US"/>
              </w:rPr>
            </w:pPr>
            <w:r>
              <w:rPr>
                <w:rFonts w:hint="eastAsia" w:hAnsi="宋体" w:cs="宋体"/>
                <w:sz w:val="24"/>
                <w:szCs w:val="24"/>
                <w:lang w:val="en-US" w:eastAsia="zh-CN"/>
              </w:rPr>
              <w:t>3.5</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leftChars="0" w:right="-120"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2.9</w:t>
            </w:r>
          </w:p>
        </w:tc>
        <w:tc>
          <w:tcPr>
            <w:tcW w:w="97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18" w:leftChars="0" w:right="-120"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2.9</w:t>
            </w:r>
          </w:p>
        </w:tc>
      </w:tr>
      <w:tr>
        <w:tblPrEx>
          <w:tblCellMar>
            <w:top w:w="0" w:type="dxa"/>
            <w:left w:w="0" w:type="dxa"/>
            <w:bottom w:w="0" w:type="dxa"/>
            <w:right w:w="0" w:type="dxa"/>
          </w:tblCellMar>
        </w:tblPrEx>
        <w:trPr>
          <w:trHeight w:val="476" w:hRule="exact"/>
        </w:trPr>
        <w:tc>
          <w:tcPr>
            <w:tcW w:w="92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修正系数</w:t>
            </w:r>
          </w:p>
        </w:tc>
        <w:tc>
          <w:tcPr>
            <w:tcW w:w="113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1735</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default" w:ascii="宋体" w:hAnsi="宋体" w:eastAsia="宋体" w:cs="宋体"/>
                <w:color w:val="auto"/>
                <w:sz w:val="24"/>
                <w:szCs w:val="24"/>
                <w:lang w:val="en-US" w:eastAsia="zh-CN"/>
              </w:rPr>
            </w:pPr>
            <w:r>
              <w:rPr>
                <w:rFonts w:hint="eastAsia" w:hAnsi="宋体" w:cs="宋体"/>
                <w:color w:val="auto"/>
                <w:sz w:val="24"/>
                <w:szCs w:val="24"/>
                <w:lang w:val="en-US" w:eastAsia="zh-CN"/>
              </w:rPr>
              <w:t>1.18</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1.106</w:t>
            </w:r>
          </w:p>
        </w:tc>
        <w:tc>
          <w:tcPr>
            <w:tcW w:w="97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1.106</w:t>
            </w:r>
          </w:p>
        </w:tc>
      </w:tr>
      <w:tr>
        <w:tblPrEx>
          <w:tblCellMar>
            <w:top w:w="0" w:type="dxa"/>
            <w:left w:w="0" w:type="dxa"/>
            <w:bottom w:w="0" w:type="dxa"/>
            <w:right w:w="0" w:type="dxa"/>
          </w:tblCellMar>
        </w:tblPrEx>
        <w:trPr>
          <w:trHeight w:val="476" w:hRule="exact"/>
        </w:trPr>
        <w:tc>
          <w:tcPr>
            <w:tcW w:w="92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rPr>
            </w:pPr>
            <w:r>
              <w:rPr>
                <w:rFonts w:hint="eastAsia" w:ascii="宋体" w:hAnsi="宋体" w:eastAsia="宋体" w:cs="宋体"/>
                <w:color w:val="auto"/>
                <w:sz w:val="24"/>
                <w:szCs w:val="24"/>
              </w:rPr>
              <w:t>百分化</w:t>
            </w:r>
          </w:p>
        </w:tc>
        <w:tc>
          <w:tcPr>
            <w:tcW w:w="113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117.35</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default" w:ascii="宋体" w:hAnsi="宋体" w:eastAsia="宋体" w:cs="宋体"/>
                <w:color w:val="auto"/>
                <w:sz w:val="24"/>
                <w:szCs w:val="24"/>
                <w:lang w:val="en-US" w:eastAsia="zh-CN"/>
              </w:rPr>
            </w:pPr>
            <w:r>
              <w:rPr>
                <w:rFonts w:hint="eastAsia" w:hAnsi="宋体" w:cs="宋体"/>
                <w:color w:val="auto"/>
                <w:sz w:val="24"/>
                <w:szCs w:val="24"/>
                <w:lang w:val="en-US" w:eastAsia="zh-CN"/>
              </w:rPr>
              <w:t>118.0</w:t>
            </w:r>
          </w:p>
        </w:tc>
        <w:tc>
          <w:tcPr>
            <w:tcW w:w="98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110.6</w:t>
            </w:r>
          </w:p>
        </w:tc>
        <w:tc>
          <w:tcPr>
            <w:tcW w:w="97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19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110.6</w:t>
            </w:r>
          </w:p>
        </w:tc>
      </w:tr>
    </w:tbl>
    <w:p>
      <w:pPr>
        <w:spacing w:line="500" w:lineRule="exact"/>
        <w:ind w:left="149" w:leftChars="71" w:firstLine="420" w:firstLineChars="150"/>
        <w:textAlignment w:val="bottom"/>
        <w:rPr>
          <w:rFonts w:hAnsi="宋体" w:cs="宋体"/>
          <w:snapToGrid w:val="0"/>
          <w:color w:val="C0504D"/>
          <w:kern w:val="0"/>
          <w:sz w:val="28"/>
          <w:szCs w:val="28"/>
        </w:rPr>
      </w:pPr>
      <w:r>
        <w:rPr>
          <w:rFonts w:hint="eastAsia" w:hAnsi="宋体" w:cs="宋体"/>
          <w:snapToGrid w:val="0"/>
          <w:kern w:val="0"/>
          <w:sz w:val="28"/>
          <w:szCs w:val="28"/>
        </w:rPr>
        <w:t>根据以上比较因素指数的说明,编制比较因素条件指数表，详见下表。</w:t>
      </w: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p>
    <w:p>
      <w:pPr>
        <w:spacing w:line="360" w:lineRule="auto"/>
        <w:jc w:val="center"/>
        <w:textAlignment w:val="bottom"/>
        <w:rPr>
          <w:rFonts w:hint="eastAsia" w:ascii="仿宋_GB2312"/>
          <w:b/>
          <w:snapToGrid w:val="0"/>
          <w:color w:val="auto"/>
          <w:kern w:val="0"/>
          <w:sz w:val="28"/>
          <w:szCs w:val="28"/>
        </w:rPr>
      </w:pPr>
      <w:r>
        <w:rPr>
          <w:rFonts w:hint="eastAsia" w:ascii="仿宋_GB2312"/>
          <w:b/>
          <w:snapToGrid w:val="0"/>
          <w:color w:val="auto"/>
          <w:kern w:val="0"/>
          <w:sz w:val="28"/>
          <w:szCs w:val="28"/>
        </w:rPr>
        <w:t>比 较 因 素 条 件 指 数 表</w:t>
      </w:r>
    </w:p>
    <w:tbl>
      <w:tblPr>
        <w:tblStyle w:val="25"/>
        <w:tblW w:w="4925" w:type="pct"/>
        <w:tblInd w:w="5" w:type="dxa"/>
        <w:tblLayout w:type="autofit"/>
        <w:tblCellMar>
          <w:top w:w="0" w:type="dxa"/>
          <w:left w:w="0" w:type="dxa"/>
          <w:bottom w:w="0" w:type="dxa"/>
          <w:right w:w="0" w:type="dxa"/>
        </w:tblCellMar>
      </w:tblPr>
      <w:tblGrid>
        <w:gridCol w:w="572"/>
        <w:gridCol w:w="633"/>
        <w:gridCol w:w="1654"/>
        <w:gridCol w:w="1590"/>
        <w:gridCol w:w="1682"/>
        <w:gridCol w:w="1845"/>
        <w:gridCol w:w="1461"/>
      </w:tblGrid>
      <w:tr>
        <w:tblPrEx>
          <w:tblCellMar>
            <w:top w:w="0" w:type="dxa"/>
            <w:left w:w="0" w:type="dxa"/>
            <w:bottom w:w="0" w:type="dxa"/>
            <w:right w:w="0" w:type="dxa"/>
          </w:tblCellMar>
        </w:tblPrEx>
        <w:trPr>
          <w:trHeight w:val="432" w:hRule="atLeast"/>
        </w:trPr>
        <w:tc>
          <w:tcPr>
            <w:tcW w:w="1514" w:type="pct"/>
            <w:gridSpan w:val="3"/>
            <w:tcBorders>
              <w:top w:val="single" w:color="000000" w:sz="4" w:space="0"/>
              <w:left w:val="single" w:color="000000" w:sz="4" w:space="0"/>
              <w:bottom w:val="single" w:color="000000" w:sz="4" w:space="0"/>
              <w:right w:val="single" w:color="000000" w:sz="4" w:space="0"/>
              <w:tl2br w:val="single" w:color="auto" w:sz="4" w:space="0"/>
            </w:tcBorders>
            <w:tcMar>
              <w:top w:w="0" w:type="dxa"/>
              <w:left w:w="0" w:type="dxa"/>
              <w:bottom w:w="0" w:type="dxa"/>
              <w:right w:w="108" w:type="dxa"/>
            </w:tcMar>
            <w:vAlign w:val="center"/>
          </w:tcPr>
          <w:p>
            <w:pPr>
              <w:spacing w:line="400" w:lineRule="exact"/>
              <w:ind w:left="14" w:right="-125" w:hanging="14"/>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待估宗地与比较案例</w:t>
            </w:r>
          </w:p>
          <w:p>
            <w:pPr>
              <w:spacing w:line="400" w:lineRule="exact"/>
              <w:ind w:left="-94" w:right="-125"/>
              <w:rPr>
                <w:rFonts w:hint="eastAsia" w:ascii="宋体" w:hAnsi="宋体" w:eastAsia="宋体" w:cs="宋体"/>
                <w:color w:val="auto"/>
                <w:sz w:val="24"/>
                <w:szCs w:val="24"/>
              </w:rPr>
            </w:pPr>
            <w:r>
              <w:rPr>
                <w:rFonts w:hint="eastAsia" w:ascii="宋体" w:hAnsi="宋体" w:eastAsia="宋体" w:cs="宋体"/>
                <w:color w:val="auto"/>
                <w:sz w:val="24"/>
                <w:szCs w:val="24"/>
              </w:rPr>
              <w:t>比较因素</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ind w:left="-94"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待估宗地</w:t>
            </w:r>
          </w:p>
        </w:tc>
        <w:tc>
          <w:tcPr>
            <w:tcW w:w="891"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pacing w:line="400" w:lineRule="exact"/>
              <w:ind w:left="-94"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实例1</w:t>
            </w:r>
          </w:p>
        </w:tc>
        <w:tc>
          <w:tcPr>
            <w:tcW w:w="977"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pacing w:line="400" w:lineRule="exact"/>
              <w:ind w:left="-94"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实例2</w:t>
            </w:r>
          </w:p>
        </w:tc>
        <w:tc>
          <w:tcPr>
            <w:tcW w:w="774"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spacing w:line="400" w:lineRule="exact"/>
              <w:ind w:left="-94"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实例3</w:t>
            </w:r>
          </w:p>
        </w:tc>
      </w:tr>
      <w:tr>
        <w:tblPrEx>
          <w:tblCellMar>
            <w:top w:w="0" w:type="dxa"/>
            <w:left w:w="0" w:type="dxa"/>
            <w:bottom w:w="0" w:type="dxa"/>
            <w:right w:w="0" w:type="dxa"/>
          </w:tblCellMar>
        </w:tblPrEx>
        <w:trPr>
          <w:trHeight w:val="1011"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rPr>
            </w:pPr>
            <w:r>
              <w:rPr>
                <w:rFonts w:hint="eastAsia" w:ascii="宋体" w:hAnsi="宋体" w:eastAsia="宋体" w:cs="宋体"/>
                <w:sz w:val="24"/>
                <w:szCs w:val="24"/>
              </w:rPr>
              <w:t>宗地位置</w:t>
            </w:r>
          </w:p>
        </w:tc>
        <w:tc>
          <w:tcPr>
            <w:tcW w:w="15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汾阳市学院路西侧，中国人民银行北侧</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 xml:space="preserve">汾阳市西河乡西门村 </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FF0000"/>
                <w:sz w:val="24"/>
                <w:szCs w:val="24"/>
              </w:rPr>
            </w:pPr>
            <w:r>
              <w:rPr>
                <w:rFonts w:hint="eastAsia" w:ascii="宋体" w:hAnsi="宋体" w:eastAsia="宋体" w:cs="宋体"/>
                <w:sz w:val="24"/>
                <w:szCs w:val="24"/>
                <w:lang w:val="en-US" w:eastAsia="zh-CN"/>
              </w:rPr>
              <w:t>汾阳市西河乡北门村</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FF0000"/>
                <w:sz w:val="24"/>
                <w:szCs w:val="24"/>
              </w:rPr>
            </w:pPr>
            <w:r>
              <w:rPr>
                <w:rFonts w:hint="eastAsia" w:ascii="宋体" w:hAnsi="宋体" w:eastAsia="宋体" w:cs="宋体"/>
                <w:sz w:val="24"/>
                <w:szCs w:val="24"/>
                <w:lang w:val="en-US" w:eastAsia="zh-CN"/>
              </w:rPr>
              <w:t>汾阳市文峰街道办事处南关社区</w:t>
            </w:r>
          </w:p>
        </w:tc>
      </w:tr>
      <w:tr>
        <w:tblPrEx>
          <w:tblCellMar>
            <w:top w:w="0" w:type="dxa"/>
            <w:left w:w="0" w:type="dxa"/>
            <w:bottom w:w="0" w:type="dxa"/>
            <w:right w:w="0" w:type="dxa"/>
          </w:tblCellMar>
        </w:tblPrEx>
        <w:trPr>
          <w:trHeight w:val="393" w:hRule="atLeas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交易价格(元/m</w:t>
            </w:r>
            <w:r>
              <w:rPr>
                <w:rFonts w:hint="eastAsia" w:ascii="宋体" w:hAnsi="宋体" w:eastAsia="宋体" w:cs="宋体"/>
                <w:sz w:val="24"/>
                <w:szCs w:val="24"/>
                <w:vertAlign w:val="superscript"/>
              </w:rPr>
              <w:t>2</w:t>
            </w:r>
            <w:r>
              <w:rPr>
                <w:rFonts w:hint="eastAsia" w:ascii="宋体" w:hAnsi="宋体" w:eastAsia="宋体" w:cs="宋体"/>
                <w:sz w:val="24"/>
                <w:szCs w:val="24"/>
              </w:rPr>
              <w:t>)</w:t>
            </w:r>
          </w:p>
        </w:tc>
        <w:tc>
          <w:tcPr>
            <w:tcW w:w="15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sz w:val="24"/>
                <w:szCs w:val="24"/>
              </w:rPr>
              <w:t>待估</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1633</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1650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1965</w:t>
            </w:r>
          </w:p>
        </w:tc>
      </w:tr>
      <w:tr>
        <w:tblPrEx>
          <w:tblCellMar>
            <w:top w:w="0" w:type="dxa"/>
            <w:left w:w="0" w:type="dxa"/>
            <w:bottom w:w="0" w:type="dxa"/>
            <w:right w:w="0" w:type="dxa"/>
          </w:tblCellMar>
        </w:tblPrEx>
        <w:trPr>
          <w:trHeight w:val="454"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交易日期</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103.88</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102.18</w:t>
            </w:r>
          </w:p>
        </w:tc>
      </w:tr>
      <w:tr>
        <w:tblPrEx>
          <w:tblCellMar>
            <w:top w:w="0" w:type="dxa"/>
            <w:left w:w="0" w:type="dxa"/>
            <w:bottom w:w="0" w:type="dxa"/>
            <w:right w:w="0" w:type="dxa"/>
          </w:tblCellMar>
        </w:tblPrEx>
        <w:trPr>
          <w:trHeight w:val="454"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交易方式</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r>
      <w:tr>
        <w:tblPrEx>
          <w:tblCellMar>
            <w:top w:w="0" w:type="dxa"/>
            <w:left w:w="0" w:type="dxa"/>
            <w:bottom w:w="0" w:type="dxa"/>
            <w:right w:w="0" w:type="dxa"/>
          </w:tblCellMar>
        </w:tblPrEx>
        <w:trPr>
          <w:trHeight w:val="454"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交易情况</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54"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土地用途</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54" w:hRule="exact"/>
        </w:trPr>
        <w:tc>
          <w:tcPr>
            <w:tcW w:w="1514" w:type="pct"/>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土地使用年期</w:t>
            </w:r>
          </w:p>
        </w:tc>
        <w:tc>
          <w:tcPr>
            <w:tcW w:w="15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lang w:val="en-US"/>
              </w:rPr>
            </w:pPr>
            <w:r>
              <w:rPr>
                <w:rFonts w:hint="eastAsia" w:ascii="宋体" w:hAnsi="宋体" w:eastAsia="宋体" w:cs="宋体"/>
                <w:i w:val="0"/>
                <w:iCs w:val="0"/>
                <w:color w:val="000000"/>
                <w:kern w:val="0"/>
                <w:sz w:val="24"/>
                <w:szCs w:val="24"/>
                <w:u w:val="none"/>
                <w:lang w:val="en-US" w:eastAsia="zh-CN" w:bidi="ar"/>
              </w:rPr>
              <w:t>99.18</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rPr>
            </w:pPr>
            <w:r>
              <w:rPr>
                <w:rFonts w:hint="eastAsia" w:ascii="宋体" w:hAnsi="宋体" w:eastAsia="宋体" w:cs="宋体"/>
                <w:color w:val="000000" w:themeColor="text1"/>
                <w:sz w:val="24"/>
                <w:szCs w:val="24"/>
              </w:rPr>
              <w:t>100</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26" w:hRule="exact"/>
        </w:trPr>
        <w:tc>
          <w:tcPr>
            <w:tcW w:w="303"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区</w:t>
            </w:r>
          </w:p>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域</w:t>
            </w:r>
          </w:p>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因</w:t>
            </w:r>
          </w:p>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素</w:t>
            </w:r>
          </w:p>
        </w:tc>
        <w:tc>
          <w:tcPr>
            <w:tcW w:w="335"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交通</w:t>
            </w:r>
          </w:p>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条件</w:t>
            </w:r>
          </w:p>
        </w:tc>
        <w:tc>
          <w:tcPr>
            <w:tcW w:w="87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道路通达度</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379"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335"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87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81" w:leftChars="-39" w:right="-126" w:rightChars="-60"/>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距火车站距离</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100.1</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99.7</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98.5</w:t>
            </w:r>
          </w:p>
        </w:tc>
      </w:tr>
      <w:tr>
        <w:tblPrEx>
          <w:tblCellMar>
            <w:top w:w="0" w:type="dxa"/>
            <w:left w:w="0" w:type="dxa"/>
            <w:bottom w:w="0" w:type="dxa"/>
            <w:right w:w="0" w:type="dxa"/>
          </w:tblCellMar>
        </w:tblPrEx>
        <w:trPr>
          <w:trHeight w:val="400"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335"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875"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公交便捷度</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519"/>
              </w:tabs>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rPr>
            </w:pPr>
            <w:r>
              <w:rPr>
                <w:rFonts w:hint="eastAsia" w:ascii="宋体" w:hAnsi="宋体" w:eastAsia="宋体" w:cs="宋体"/>
                <w:color w:val="000000" w:themeColor="text1"/>
                <w:sz w:val="24"/>
                <w:szCs w:val="24"/>
                <w:lang w:val="en-US" w:eastAsia="zh-CN"/>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35"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基础设施条件</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45"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公共设施状况</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lang w:val="en-US" w:eastAsia="zh-CN"/>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100</w:t>
            </w:r>
          </w:p>
        </w:tc>
      </w:tr>
      <w:tr>
        <w:tblPrEx>
          <w:tblCellMar>
            <w:top w:w="0" w:type="dxa"/>
            <w:left w:w="0" w:type="dxa"/>
            <w:bottom w:w="0" w:type="dxa"/>
            <w:right w:w="0" w:type="dxa"/>
          </w:tblCellMar>
        </w:tblPrEx>
        <w:trPr>
          <w:trHeight w:val="422"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距商服中心距离</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rPr>
              <w:t>104.4</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rPr>
              <w:t>99</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环境条件</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r>
      <w:tr>
        <w:tblPrEx>
          <w:tblCellMar>
            <w:top w:w="0" w:type="dxa"/>
            <w:left w:w="0" w:type="dxa"/>
            <w:bottom w:w="0" w:type="dxa"/>
            <w:right w:w="0" w:type="dxa"/>
          </w:tblCellMar>
        </w:tblPrEx>
        <w:trPr>
          <w:trHeight w:val="454" w:hRule="exact"/>
        </w:trPr>
        <w:tc>
          <w:tcPr>
            <w:tcW w:w="303"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个别因素</w:t>
            </w: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面积/m</w:t>
            </w:r>
            <w:r>
              <w:rPr>
                <w:rFonts w:hint="eastAsia" w:ascii="宋体" w:hAnsi="宋体" w:eastAsia="宋体" w:cs="宋体"/>
                <w:sz w:val="24"/>
                <w:szCs w:val="24"/>
                <w:vertAlign w:val="superscript"/>
              </w:rPr>
              <w:t>2</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rPr>
            </w:pPr>
            <w:r>
              <w:rPr>
                <w:rFonts w:hint="eastAsia" w:ascii="宋体" w:hAnsi="宋体" w:eastAsia="宋体" w:cs="宋体"/>
                <w:i w:val="0"/>
                <w:iCs w:val="0"/>
                <w:color w:val="000000"/>
                <w:kern w:val="0"/>
                <w:sz w:val="24"/>
                <w:szCs w:val="24"/>
                <w:u w:val="none"/>
                <w:lang w:val="en-US" w:eastAsia="zh-CN" w:bidi="ar"/>
              </w:rPr>
              <w:t>100</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rPr>
            </w:pPr>
            <w:r>
              <w:rPr>
                <w:rFonts w:hint="eastAsia" w:ascii="宋体" w:hAnsi="宋体" w:eastAsia="宋体" w:cs="宋体"/>
                <w:i w:val="0"/>
                <w:iCs w:val="0"/>
                <w:color w:val="000000"/>
                <w:kern w:val="0"/>
                <w:sz w:val="24"/>
                <w:szCs w:val="24"/>
                <w:u w:val="none"/>
                <w:lang w:val="en-US" w:eastAsia="zh-CN" w:bidi="ar"/>
              </w:rPr>
              <w:t>99</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rPr>
            </w:pPr>
            <w:r>
              <w:rPr>
                <w:rFonts w:hint="eastAsia" w:ascii="宋体" w:hAnsi="宋体" w:eastAsia="宋体" w:cs="宋体"/>
                <w:i w:val="0"/>
                <w:iCs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临路状况</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102</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土地形状</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98</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98</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98</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地形地势</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容积率</w:t>
            </w:r>
          </w:p>
        </w:tc>
        <w:tc>
          <w:tcPr>
            <w:tcW w:w="15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117.35</w:t>
            </w: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rPr>
            </w:pPr>
            <w:r>
              <w:rPr>
                <w:rFonts w:hint="eastAsia" w:ascii="宋体" w:hAnsi="宋体" w:eastAsia="宋体" w:cs="宋体"/>
                <w:i w:val="0"/>
                <w:iCs w:val="0"/>
                <w:color w:val="000000"/>
                <w:kern w:val="0"/>
                <w:sz w:val="24"/>
                <w:szCs w:val="24"/>
                <w:u w:val="none"/>
                <w:lang w:val="en-US" w:eastAsia="zh-CN" w:bidi="ar"/>
              </w:rPr>
              <w:t>118.0</w:t>
            </w:r>
          </w:p>
        </w:tc>
        <w:tc>
          <w:tcPr>
            <w:tcW w:w="1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110.6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110.6</w:t>
            </w:r>
          </w:p>
        </w:tc>
      </w:tr>
      <w:tr>
        <w:tblPrEx>
          <w:tblCellMar>
            <w:top w:w="0" w:type="dxa"/>
            <w:left w:w="0" w:type="dxa"/>
            <w:bottom w:w="0" w:type="dxa"/>
            <w:right w:w="0" w:type="dxa"/>
          </w:tblCellMar>
        </w:tblPrEx>
        <w:trPr>
          <w:trHeight w:val="454" w:hRule="exact"/>
        </w:trPr>
        <w:tc>
          <w:tcPr>
            <w:tcW w:w="303"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p>
        </w:tc>
        <w:tc>
          <w:tcPr>
            <w:tcW w:w="1211"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目前规划限制</w:t>
            </w:r>
          </w:p>
        </w:tc>
        <w:tc>
          <w:tcPr>
            <w:tcW w:w="842"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891"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977"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c>
          <w:tcPr>
            <w:tcW w:w="7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100</w:t>
            </w:r>
          </w:p>
        </w:tc>
      </w:tr>
    </w:tbl>
    <w:p>
      <w:pPr>
        <w:spacing w:line="500" w:lineRule="exact"/>
        <w:ind w:right="-125"/>
        <w:rPr>
          <w:rFonts w:hAnsi="宋体" w:cs="宋体"/>
          <w:snapToGrid w:val="0"/>
          <w:color w:val="auto"/>
          <w:kern w:val="0"/>
          <w:sz w:val="28"/>
          <w:szCs w:val="28"/>
        </w:rPr>
      </w:pPr>
      <w:r>
        <w:rPr>
          <w:rFonts w:hint="eastAsia" w:ascii="仿宋_GB2312"/>
          <w:snapToGrid w:val="0"/>
          <w:color w:val="auto"/>
          <w:kern w:val="0"/>
        </w:rPr>
        <w:t xml:space="preserve"> </w:t>
      </w:r>
      <w:r>
        <w:rPr>
          <w:rFonts w:hint="eastAsia" w:hAnsi="宋体" w:cs="宋体"/>
          <w:snapToGrid w:val="0"/>
          <w:color w:val="auto"/>
          <w:kern w:val="0"/>
          <w:sz w:val="28"/>
          <w:szCs w:val="28"/>
        </w:rPr>
        <w:t>5、编制因素比较修正系数表</w:t>
      </w:r>
    </w:p>
    <w:p>
      <w:pPr>
        <w:spacing w:line="500" w:lineRule="exact"/>
        <w:ind w:left="142" w:firstLine="560"/>
        <w:rPr>
          <w:rFonts w:hAnsi="宋体" w:cs="宋体"/>
          <w:snapToGrid w:val="0"/>
          <w:color w:val="auto"/>
          <w:kern w:val="0"/>
          <w:sz w:val="28"/>
          <w:szCs w:val="28"/>
        </w:rPr>
      </w:pPr>
      <w:r>
        <w:rPr>
          <w:rFonts w:hint="eastAsia" w:hAnsi="宋体" w:cs="宋体"/>
          <w:snapToGrid w:val="0"/>
          <w:color w:val="auto"/>
          <w:kern w:val="0"/>
          <w:sz w:val="28"/>
          <w:szCs w:val="28"/>
        </w:rPr>
        <w:t>根据比较因素条件指数表，编制因素比较修正系数表。</w:t>
      </w:r>
    </w:p>
    <w:p>
      <w:pPr>
        <w:spacing w:line="500" w:lineRule="exact"/>
        <w:jc w:val="center"/>
        <w:textAlignment w:val="bottom"/>
        <w:rPr>
          <w:rFonts w:hint="eastAsia" w:ascii="仿宋_GB2312"/>
          <w:b/>
          <w:snapToGrid w:val="0"/>
          <w:color w:val="auto"/>
          <w:kern w:val="0"/>
          <w:sz w:val="28"/>
          <w:szCs w:val="28"/>
        </w:rPr>
      </w:pPr>
    </w:p>
    <w:p>
      <w:pPr>
        <w:spacing w:line="500" w:lineRule="exact"/>
        <w:jc w:val="center"/>
        <w:textAlignment w:val="bottom"/>
        <w:rPr>
          <w:rFonts w:hint="eastAsia" w:ascii="仿宋_GB2312"/>
          <w:b/>
          <w:snapToGrid w:val="0"/>
          <w:color w:val="auto"/>
          <w:kern w:val="0"/>
          <w:sz w:val="28"/>
          <w:szCs w:val="28"/>
        </w:rPr>
      </w:pPr>
    </w:p>
    <w:p>
      <w:pPr>
        <w:spacing w:line="500" w:lineRule="exact"/>
        <w:jc w:val="center"/>
        <w:textAlignment w:val="bottom"/>
        <w:rPr>
          <w:rFonts w:hint="eastAsia" w:ascii="仿宋_GB2312"/>
          <w:b/>
          <w:snapToGrid w:val="0"/>
          <w:color w:val="auto"/>
          <w:kern w:val="0"/>
          <w:sz w:val="28"/>
          <w:szCs w:val="28"/>
        </w:rPr>
      </w:pPr>
    </w:p>
    <w:p>
      <w:pPr>
        <w:spacing w:line="500" w:lineRule="exact"/>
        <w:jc w:val="center"/>
        <w:textAlignment w:val="bottom"/>
        <w:rPr>
          <w:rFonts w:hint="eastAsia" w:ascii="仿宋_GB2312"/>
          <w:b/>
          <w:snapToGrid w:val="0"/>
          <w:color w:val="auto"/>
          <w:kern w:val="0"/>
          <w:sz w:val="28"/>
          <w:szCs w:val="28"/>
        </w:rPr>
      </w:pPr>
    </w:p>
    <w:p>
      <w:pPr>
        <w:spacing w:line="500" w:lineRule="exact"/>
        <w:jc w:val="center"/>
        <w:textAlignment w:val="bottom"/>
        <w:rPr>
          <w:rFonts w:hint="eastAsia" w:ascii="仿宋_GB2312"/>
          <w:b/>
          <w:snapToGrid w:val="0"/>
          <w:color w:val="auto"/>
          <w:kern w:val="0"/>
          <w:sz w:val="28"/>
          <w:szCs w:val="28"/>
        </w:rPr>
      </w:pPr>
    </w:p>
    <w:p>
      <w:pPr>
        <w:spacing w:line="500" w:lineRule="exact"/>
        <w:jc w:val="center"/>
        <w:textAlignment w:val="bottom"/>
      </w:pPr>
      <w:r>
        <w:rPr>
          <w:rFonts w:hint="eastAsia" w:ascii="仿宋_GB2312"/>
          <w:b/>
          <w:snapToGrid w:val="0"/>
          <w:color w:val="auto"/>
          <w:kern w:val="0"/>
          <w:sz w:val="28"/>
          <w:szCs w:val="28"/>
        </w:rPr>
        <w:t>因素比较修正系数表</w:t>
      </w:r>
    </w:p>
    <w:tbl>
      <w:tblPr>
        <w:tblStyle w:val="25"/>
        <w:tblW w:w="4956" w:type="pct"/>
        <w:jc w:val="center"/>
        <w:tblLayout w:type="autofit"/>
        <w:tblCellMar>
          <w:top w:w="0" w:type="dxa"/>
          <w:left w:w="0" w:type="dxa"/>
          <w:bottom w:w="0" w:type="dxa"/>
          <w:right w:w="0" w:type="dxa"/>
        </w:tblCellMar>
      </w:tblPr>
      <w:tblGrid>
        <w:gridCol w:w="462"/>
        <w:gridCol w:w="477"/>
        <w:gridCol w:w="1670"/>
        <w:gridCol w:w="1699"/>
        <w:gridCol w:w="1625"/>
        <w:gridCol w:w="1858"/>
        <w:gridCol w:w="1706"/>
      </w:tblGrid>
      <w:tr>
        <w:tblPrEx>
          <w:tblCellMar>
            <w:top w:w="0" w:type="dxa"/>
            <w:left w:w="0" w:type="dxa"/>
            <w:bottom w:w="0" w:type="dxa"/>
            <w:right w:w="0" w:type="dxa"/>
          </w:tblCellMar>
        </w:tblPrEx>
        <w:trPr>
          <w:trHeight w:val="756" w:hRule="atLeast"/>
          <w:jc w:val="center"/>
        </w:trPr>
        <w:tc>
          <w:tcPr>
            <w:tcW w:w="1373" w:type="pct"/>
            <w:gridSpan w:val="3"/>
            <w:tcBorders>
              <w:top w:val="single" w:color="auto" w:sz="4" w:space="0"/>
              <w:left w:val="single" w:color="auto" w:sz="4" w:space="0"/>
              <w:bottom w:val="single" w:color="auto" w:sz="4" w:space="0"/>
              <w:right w:val="single" w:color="auto" w:sz="4" w:space="0"/>
              <w:tl2br w:val="single" w:color="auto" w:sz="4" w:space="0"/>
            </w:tcBorders>
            <w:tcMar>
              <w:top w:w="0" w:type="dxa"/>
              <w:left w:w="0" w:type="dxa"/>
              <w:bottom w:w="0" w:type="dxa"/>
              <w:right w:w="108" w:type="dxa"/>
            </w:tcMar>
            <w:vAlign w:val="center"/>
          </w:tcPr>
          <w:p>
            <w:pPr>
              <w:spacing w:line="320" w:lineRule="exact"/>
              <w:ind w:left="14" w:right="-125" w:hanging="14"/>
              <w:jc w:val="center"/>
              <w:rPr>
                <w:rFonts w:hint="eastAsia" w:ascii="宋体" w:hAnsi="宋体" w:eastAsia="宋体" w:cs="宋体"/>
                <w:spacing w:val="-20"/>
                <w:sz w:val="24"/>
                <w:szCs w:val="24"/>
              </w:rPr>
            </w:pPr>
            <w:r>
              <w:rPr>
                <w:rFonts w:hint="eastAsia" w:ascii="宋体" w:hAnsi="宋体" w:eastAsia="宋体" w:cs="宋体"/>
                <w:sz w:val="24"/>
                <w:szCs w:val="24"/>
              </w:rPr>
              <w:t xml:space="preserve"> </w:t>
            </w:r>
            <w:r>
              <w:rPr>
                <w:rFonts w:hint="eastAsia" w:ascii="宋体" w:hAnsi="宋体" w:eastAsia="宋体" w:cs="宋体"/>
                <w:spacing w:val="-20"/>
                <w:sz w:val="24"/>
                <w:szCs w:val="24"/>
              </w:rPr>
              <w:t>待估宗地与比较案例</w:t>
            </w:r>
          </w:p>
          <w:p>
            <w:pPr>
              <w:spacing w:line="320" w:lineRule="exact"/>
              <w:ind w:left="14" w:right="-125" w:hanging="14"/>
              <w:jc w:val="center"/>
              <w:rPr>
                <w:rFonts w:hint="eastAsia" w:ascii="宋体" w:hAnsi="宋体" w:eastAsia="宋体" w:cs="宋体"/>
                <w:sz w:val="24"/>
                <w:szCs w:val="24"/>
              </w:rPr>
            </w:pPr>
            <w:r>
              <w:rPr>
                <w:rFonts w:hint="eastAsia" w:ascii="宋体" w:hAnsi="宋体" w:eastAsia="宋体" w:cs="宋体"/>
                <w:sz w:val="24"/>
                <w:szCs w:val="24"/>
              </w:rPr>
              <w:t xml:space="preserve"> 比较因素</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4" w:right="-125"/>
              <w:jc w:val="center"/>
              <w:rPr>
                <w:rFonts w:hint="eastAsia" w:ascii="宋体" w:hAnsi="宋体" w:eastAsia="宋体" w:cs="宋体"/>
                <w:sz w:val="24"/>
                <w:szCs w:val="24"/>
              </w:rPr>
            </w:pPr>
            <w:r>
              <w:rPr>
                <w:rFonts w:hint="eastAsia" w:ascii="宋体" w:hAnsi="宋体" w:eastAsia="宋体" w:cs="宋体"/>
                <w:sz w:val="24"/>
                <w:szCs w:val="24"/>
              </w:rPr>
              <w:t>待估宗地</w:t>
            </w:r>
          </w:p>
        </w:tc>
        <w:tc>
          <w:tcPr>
            <w:tcW w:w="855" w:type="pct"/>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spacing w:line="30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实例1</w:t>
            </w:r>
          </w:p>
        </w:tc>
        <w:tc>
          <w:tcPr>
            <w:tcW w:w="978" w:type="pct"/>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ind w:left="-94" w:right="-125"/>
              <w:jc w:val="center"/>
              <w:rPr>
                <w:rFonts w:hint="eastAsia" w:ascii="宋体" w:hAnsi="宋体" w:eastAsia="宋体" w:cs="宋体"/>
                <w:sz w:val="24"/>
                <w:szCs w:val="24"/>
              </w:rPr>
            </w:pPr>
            <w:r>
              <w:rPr>
                <w:rFonts w:hint="eastAsia" w:ascii="宋体" w:hAnsi="宋体" w:eastAsia="宋体" w:cs="宋体"/>
                <w:sz w:val="24"/>
                <w:szCs w:val="24"/>
              </w:rPr>
              <w:t>实例2</w:t>
            </w:r>
          </w:p>
        </w:tc>
        <w:tc>
          <w:tcPr>
            <w:tcW w:w="898" w:type="pct"/>
            <w:tcBorders>
              <w:top w:val="single" w:color="auto" w:sz="4" w:space="0"/>
              <w:left w:val="single" w:color="auto" w:sz="4" w:space="0"/>
              <w:bottom w:val="single" w:color="auto" w:sz="4" w:space="0"/>
              <w:right w:val="single" w:color="auto" w:sz="4" w:space="0"/>
            </w:tcBorders>
            <w:tcMar>
              <w:top w:w="0" w:type="dxa"/>
              <w:left w:w="0" w:type="dxa"/>
              <w:bottom w:w="0" w:type="dxa"/>
              <w:right w:w="108" w:type="dxa"/>
            </w:tcMar>
            <w:vAlign w:val="center"/>
          </w:tcPr>
          <w:p>
            <w:pPr>
              <w:ind w:left="-94" w:right="-125"/>
              <w:jc w:val="center"/>
              <w:rPr>
                <w:rFonts w:hint="eastAsia" w:ascii="宋体" w:hAnsi="宋体" w:eastAsia="宋体" w:cs="宋体"/>
                <w:sz w:val="24"/>
                <w:szCs w:val="24"/>
              </w:rPr>
            </w:pPr>
            <w:r>
              <w:rPr>
                <w:rFonts w:hint="eastAsia" w:ascii="宋体" w:hAnsi="宋体" w:eastAsia="宋体" w:cs="宋体"/>
                <w:sz w:val="24"/>
                <w:szCs w:val="24"/>
              </w:rPr>
              <w:t>实例3</w:t>
            </w:r>
          </w:p>
        </w:tc>
      </w:tr>
      <w:tr>
        <w:tblPrEx>
          <w:tblCellMar>
            <w:top w:w="0" w:type="dxa"/>
            <w:left w:w="0" w:type="dxa"/>
            <w:bottom w:w="0" w:type="dxa"/>
            <w:right w:w="0" w:type="dxa"/>
          </w:tblCellMar>
        </w:tblPrEx>
        <w:trPr>
          <w:trHeight w:val="360"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right="-88"/>
              <w:jc w:val="center"/>
              <w:rPr>
                <w:rFonts w:hint="eastAsia" w:ascii="宋体" w:hAnsi="宋体" w:eastAsia="宋体" w:cs="宋体"/>
                <w:sz w:val="24"/>
                <w:szCs w:val="24"/>
              </w:rPr>
            </w:pPr>
            <w:r>
              <w:rPr>
                <w:rFonts w:hint="eastAsia" w:ascii="宋体" w:hAnsi="宋体" w:eastAsia="宋体" w:cs="宋体"/>
                <w:sz w:val="24"/>
                <w:szCs w:val="24"/>
              </w:rPr>
              <w:t>宗地位置</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auto"/>
                <w:sz w:val="24"/>
                <w:szCs w:val="24"/>
              </w:rPr>
            </w:pPr>
            <w:r>
              <w:rPr>
                <w:rFonts w:hint="eastAsia" w:ascii="宋体" w:hAnsi="宋体" w:eastAsia="宋体" w:cs="宋体"/>
                <w:sz w:val="24"/>
                <w:szCs w:val="24"/>
                <w:lang w:val="en-US" w:eastAsia="zh-CN"/>
              </w:rPr>
              <w:t>汾阳市学院路西侧，中国人民银行北侧</w:t>
            </w: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FF0000"/>
                <w:sz w:val="24"/>
                <w:szCs w:val="24"/>
              </w:rPr>
            </w:pPr>
            <w:r>
              <w:rPr>
                <w:rFonts w:hint="eastAsia" w:ascii="宋体" w:hAnsi="宋体" w:eastAsia="宋体" w:cs="宋体"/>
                <w:sz w:val="24"/>
                <w:szCs w:val="24"/>
                <w:lang w:val="en-US" w:eastAsia="zh-CN"/>
              </w:rPr>
              <w:t xml:space="preserve">汾阳市西河乡西门村 </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FF0000"/>
                <w:sz w:val="24"/>
                <w:szCs w:val="24"/>
              </w:rPr>
            </w:pPr>
            <w:r>
              <w:rPr>
                <w:rFonts w:hint="eastAsia" w:ascii="宋体" w:hAnsi="宋体" w:eastAsia="宋体" w:cs="宋体"/>
                <w:sz w:val="24"/>
                <w:szCs w:val="24"/>
                <w:lang w:val="en-US" w:eastAsia="zh-CN"/>
              </w:rPr>
              <w:t>汾阳市西河乡北门村</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color w:val="FF0000"/>
                <w:sz w:val="24"/>
                <w:szCs w:val="24"/>
              </w:rPr>
            </w:pPr>
            <w:r>
              <w:rPr>
                <w:rFonts w:hint="eastAsia" w:ascii="宋体" w:hAnsi="宋体" w:eastAsia="宋体" w:cs="宋体"/>
                <w:sz w:val="24"/>
                <w:szCs w:val="24"/>
                <w:lang w:val="en-US" w:eastAsia="zh-CN"/>
              </w:rPr>
              <w:t>汾阳市文峰街道办事处南关社区</w:t>
            </w:r>
          </w:p>
        </w:tc>
      </w:tr>
      <w:tr>
        <w:tblPrEx>
          <w:tblCellMar>
            <w:top w:w="0" w:type="dxa"/>
            <w:left w:w="0" w:type="dxa"/>
            <w:bottom w:w="0" w:type="dxa"/>
            <w:right w:w="0" w:type="dxa"/>
          </w:tblCellMar>
        </w:tblPrEx>
        <w:trPr>
          <w:trHeight w:val="368"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交易价格(元/m</w:t>
            </w:r>
            <w:r>
              <w:rPr>
                <w:rFonts w:hint="eastAsia" w:ascii="宋体" w:hAnsi="宋体" w:eastAsia="宋体" w:cs="宋体"/>
                <w:sz w:val="24"/>
                <w:szCs w:val="24"/>
                <w:vertAlign w:val="superscript"/>
              </w:rPr>
              <w:t>2</w:t>
            </w:r>
            <w:r>
              <w:rPr>
                <w:rFonts w:hint="eastAsia" w:ascii="宋体" w:hAnsi="宋体" w:eastAsia="宋体" w:cs="宋体"/>
                <w:sz w:val="24"/>
                <w:szCs w:val="24"/>
              </w:rPr>
              <w:t>)</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待估</w:t>
            </w: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hint="eastAsia" w:ascii="宋体" w:hAnsi="宋体" w:eastAsia="宋体" w:cs="宋体"/>
                <w:sz w:val="24"/>
                <w:szCs w:val="24"/>
              </w:rPr>
            </w:pPr>
            <w:r>
              <w:rPr>
                <w:rFonts w:hint="default" w:ascii="宋体" w:hAnsi="宋体" w:eastAsia="宋体" w:cs="宋体"/>
                <w:sz w:val="24"/>
                <w:szCs w:val="24"/>
                <w:lang w:val="en-US" w:eastAsia="zh-CN"/>
              </w:rPr>
              <w:t>1633</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sz w:val="24"/>
                <w:szCs w:val="24"/>
              </w:rPr>
            </w:pPr>
            <w:r>
              <w:rPr>
                <w:rFonts w:hint="eastAsia" w:hAnsi="宋体" w:cs="宋体"/>
                <w:sz w:val="24"/>
                <w:szCs w:val="24"/>
                <w:lang w:val="en-US" w:eastAsia="zh-CN"/>
              </w:rPr>
              <w:t>1650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ind w:left="-123" w:leftChars="0" w:right="-88"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1965</w:t>
            </w:r>
          </w:p>
        </w:tc>
      </w:tr>
      <w:tr>
        <w:tblPrEx>
          <w:tblCellMar>
            <w:top w:w="0" w:type="dxa"/>
            <w:left w:w="0" w:type="dxa"/>
            <w:bottom w:w="0" w:type="dxa"/>
            <w:right w:w="0" w:type="dxa"/>
          </w:tblCellMar>
        </w:tblPrEx>
        <w:trPr>
          <w:trHeight w:val="377"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交易日期</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hAnsi="宋体" w:cs="宋体"/>
                <w:color w:val="auto"/>
                <w:sz w:val="24"/>
                <w:szCs w:val="24"/>
                <w:lang w:val="en-US" w:eastAsia="zh-CN"/>
              </w:rPr>
              <w:t>103.88</w:t>
            </w:r>
            <w:r>
              <w:rPr>
                <w:rFonts w:hint="eastAsia" w:ascii="宋体" w:hAnsi="宋体" w:eastAsia="宋体" w:cs="宋体"/>
                <w:sz w:val="24"/>
                <w:szCs w:val="24"/>
              </w:rPr>
              <w:t>/100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hAnsi="宋体" w:cs="宋体"/>
                <w:color w:val="auto"/>
                <w:sz w:val="24"/>
                <w:szCs w:val="24"/>
                <w:lang w:val="en-US" w:eastAsia="zh-CN"/>
              </w:rPr>
              <w:t>103.88</w:t>
            </w:r>
            <w:r>
              <w:rPr>
                <w:rFonts w:hint="eastAsia" w:ascii="宋体" w:hAnsi="宋体" w:eastAsia="宋体" w:cs="宋体"/>
                <w:sz w:val="24"/>
                <w:szCs w:val="24"/>
              </w:rPr>
              <w:t>/100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default" w:ascii="宋体" w:hAnsi="宋体" w:eastAsia="宋体" w:cs="宋体"/>
                <w:sz w:val="24"/>
                <w:szCs w:val="24"/>
                <w:lang w:val="en-US" w:eastAsia="zh-CN"/>
              </w:rPr>
            </w:pPr>
            <w:r>
              <w:rPr>
                <w:rFonts w:hint="eastAsia" w:hAnsi="宋体" w:cs="宋体"/>
                <w:color w:val="auto"/>
                <w:sz w:val="24"/>
                <w:szCs w:val="24"/>
                <w:lang w:val="en-US" w:eastAsia="zh-CN"/>
              </w:rPr>
              <w:t>103.88</w:t>
            </w:r>
            <w:r>
              <w:rPr>
                <w:rFonts w:hint="eastAsia" w:ascii="宋体" w:hAnsi="宋体" w:eastAsia="宋体" w:cs="宋体"/>
                <w:sz w:val="24"/>
                <w:szCs w:val="24"/>
              </w:rPr>
              <w:t>/1</w:t>
            </w:r>
            <w:r>
              <w:rPr>
                <w:rFonts w:hint="eastAsia" w:hAnsi="宋体" w:cs="宋体"/>
                <w:sz w:val="24"/>
                <w:szCs w:val="24"/>
                <w:lang w:val="en-US" w:eastAsia="zh-CN"/>
              </w:rPr>
              <w:t>02.18</w:t>
            </w:r>
          </w:p>
        </w:tc>
      </w:tr>
      <w:tr>
        <w:tblPrEx>
          <w:tblCellMar>
            <w:top w:w="0" w:type="dxa"/>
            <w:left w:w="0" w:type="dxa"/>
            <w:bottom w:w="0" w:type="dxa"/>
            <w:right w:w="0" w:type="dxa"/>
          </w:tblCellMar>
        </w:tblPrEx>
        <w:trPr>
          <w:trHeight w:val="426" w:hRule="exac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交易方式</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32" w:hRule="exac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交易情况</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土地用途</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土地使用年期</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99.18</w:t>
            </w:r>
            <w:r>
              <w:rPr>
                <w:rFonts w:hint="eastAsia" w:ascii="宋体" w:hAnsi="宋体" w:eastAsia="宋体" w:cs="宋体"/>
                <w:sz w:val="24"/>
                <w:szCs w:val="24"/>
              </w:rPr>
              <w:t>/</w:t>
            </w:r>
            <w:r>
              <w:rPr>
                <w:rFonts w:hint="eastAsia" w:hAnsi="宋体" w:cs="宋体"/>
                <w:sz w:val="24"/>
                <w:szCs w:val="24"/>
                <w:lang w:val="en-US" w:eastAsia="zh-CN"/>
              </w:rPr>
              <w:t>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99.18</w:t>
            </w:r>
            <w:r>
              <w:rPr>
                <w:rFonts w:hint="eastAsia" w:ascii="宋体" w:hAnsi="宋体" w:eastAsia="宋体" w:cs="宋体"/>
                <w:sz w:val="24"/>
                <w:szCs w:val="24"/>
              </w:rPr>
              <w:t>/</w:t>
            </w:r>
            <w:r>
              <w:rPr>
                <w:rFonts w:hint="eastAsia" w:hAnsi="宋体" w:cs="宋体"/>
                <w:sz w:val="24"/>
                <w:szCs w:val="24"/>
                <w:lang w:val="en-US" w:eastAsia="zh-CN"/>
              </w:rPr>
              <w:t>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99.18</w:t>
            </w:r>
            <w:r>
              <w:rPr>
                <w:rFonts w:hint="eastAsia" w:ascii="宋体" w:hAnsi="宋体" w:eastAsia="宋体" w:cs="宋体"/>
                <w:sz w:val="24"/>
                <w:szCs w:val="24"/>
              </w:rPr>
              <w:t>/</w:t>
            </w:r>
            <w:r>
              <w:rPr>
                <w:rFonts w:hint="eastAsia" w:hAnsi="宋体" w:cs="宋体"/>
                <w:sz w:val="24"/>
                <w:szCs w:val="24"/>
                <w:lang w:val="en-US" w:eastAsia="zh-CN"/>
              </w:rPr>
              <w:t>100</w:t>
            </w:r>
          </w:p>
        </w:tc>
      </w:tr>
      <w:tr>
        <w:tblPrEx>
          <w:tblCellMar>
            <w:top w:w="0" w:type="dxa"/>
            <w:left w:w="0" w:type="dxa"/>
            <w:bottom w:w="0" w:type="dxa"/>
            <w:right w:w="0" w:type="dxa"/>
          </w:tblCellMar>
        </w:tblPrEx>
        <w:trPr>
          <w:trHeight w:val="454" w:hRule="atLeast"/>
          <w:jc w:val="center"/>
        </w:trPr>
        <w:tc>
          <w:tcPr>
            <w:tcW w:w="243"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区</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域</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因</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素</w:t>
            </w:r>
          </w:p>
        </w:tc>
        <w:tc>
          <w:tcPr>
            <w:tcW w:w="251"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交通</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条件</w:t>
            </w:r>
          </w:p>
        </w:tc>
        <w:tc>
          <w:tcPr>
            <w:tcW w:w="8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道路通达度</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32"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251"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距火车站距离</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default" w:ascii="宋体" w:hAnsi="宋体" w:eastAsia="宋体" w:cs="宋体"/>
                <w:sz w:val="24"/>
                <w:szCs w:val="24"/>
                <w:lang w:val="en-US" w:eastAsia="zh-CN"/>
              </w:rPr>
            </w:pPr>
            <w:r>
              <w:rPr>
                <w:rFonts w:hint="eastAsia" w:ascii="宋体" w:hAnsi="宋体" w:eastAsia="宋体" w:cs="宋体"/>
                <w:sz w:val="24"/>
                <w:szCs w:val="24"/>
              </w:rPr>
              <w:t>100/100</w:t>
            </w:r>
            <w:r>
              <w:rPr>
                <w:rFonts w:hint="eastAsia" w:hAnsi="宋体" w:cs="宋体"/>
                <w:sz w:val="24"/>
                <w:szCs w:val="24"/>
                <w:lang w:val="en-US" w:eastAsia="zh-CN"/>
              </w:rPr>
              <w:t>.1</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default" w:ascii="宋体" w:hAnsi="宋体" w:eastAsia="宋体" w:cs="宋体"/>
                <w:sz w:val="24"/>
                <w:szCs w:val="24"/>
                <w:lang w:val="en-US" w:eastAsia="zh-CN"/>
              </w:rPr>
            </w:pPr>
            <w:r>
              <w:rPr>
                <w:rFonts w:hint="eastAsia" w:ascii="宋体" w:hAnsi="宋体" w:eastAsia="宋体" w:cs="宋体"/>
                <w:sz w:val="24"/>
                <w:szCs w:val="24"/>
              </w:rPr>
              <w:t>100/</w:t>
            </w:r>
            <w:r>
              <w:rPr>
                <w:rFonts w:hint="eastAsia" w:hAnsi="宋体" w:cs="宋体"/>
                <w:sz w:val="24"/>
                <w:szCs w:val="24"/>
                <w:lang w:val="en-US" w:eastAsia="zh-CN"/>
              </w:rPr>
              <w:t>99.7</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default" w:ascii="宋体" w:hAnsi="宋体" w:eastAsia="宋体" w:cs="宋体"/>
                <w:sz w:val="24"/>
                <w:szCs w:val="24"/>
                <w:lang w:val="en-US" w:eastAsia="zh-CN"/>
              </w:rPr>
            </w:pPr>
            <w:r>
              <w:rPr>
                <w:rFonts w:hint="eastAsia" w:ascii="宋体" w:hAnsi="宋体" w:eastAsia="宋体" w:cs="宋体"/>
                <w:sz w:val="24"/>
                <w:szCs w:val="24"/>
              </w:rPr>
              <w:t>100/</w:t>
            </w:r>
            <w:r>
              <w:rPr>
                <w:rFonts w:hint="eastAsia" w:hAnsi="宋体" w:cs="宋体"/>
                <w:sz w:val="24"/>
                <w:szCs w:val="24"/>
                <w:lang w:val="en-US" w:eastAsia="zh-CN"/>
              </w:rPr>
              <w:t>98.5</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251"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8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公交便捷度</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default" w:ascii="宋体" w:hAnsi="宋体" w:eastAsia="宋体" w:cs="宋体"/>
                <w:sz w:val="24"/>
                <w:szCs w:val="24"/>
                <w:lang w:val="en-US" w:eastAsia="zh-CN"/>
              </w:rPr>
            </w:pPr>
            <w:r>
              <w:rPr>
                <w:rFonts w:hint="eastAsia" w:ascii="宋体" w:hAnsi="宋体" w:eastAsia="宋体" w:cs="宋体"/>
                <w:sz w:val="24"/>
                <w:szCs w:val="24"/>
              </w:rPr>
              <w:t>100/</w:t>
            </w:r>
            <w:r>
              <w:rPr>
                <w:rFonts w:hint="eastAsia" w:hAnsi="宋体" w:cs="宋体"/>
                <w:sz w:val="24"/>
                <w:szCs w:val="24"/>
                <w:lang w:val="en-US" w:eastAsia="zh-CN"/>
              </w:rPr>
              <w:t>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基础设施条件</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公共设施状况</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距商服中心距离</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default" w:ascii="宋体" w:hAnsi="宋体" w:eastAsia="宋体" w:cs="宋体"/>
                <w:sz w:val="24"/>
                <w:szCs w:val="24"/>
                <w:lang w:val="en-US" w:eastAsia="zh-CN"/>
              </w:rPr>
            </w:pPr>
            <w:r>
              <w:rPr>
                <w:rFonts w:hint="eastAsia" w:ascii="宋体" w:hAnsi="宋体" w:eastAsia="宋体" w:cs="宋体"/>
                <w:sz w:val="24"/>
                <w:szCs w:val="24"/>
              </w:rPr>
              <w:t>100/10</w:t>
            </w:r>
            <w:r>
              <w:rPr>
                <w:rFonts w:hint="eastAsia" w:hAnsi="宋体" w:cs="宋体"/>
                <w:sz w:val="24"/>
                <w:szCs w:val="24"/>
                <w:lang w:val="en-US" w:eastAsia="zh-CN"/>
              </w:rPr>
              <w:t>4.4</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default" w:ascii="宋体" w:hAnsi="宋体" w:eastAsia="宋体" w:cs="宋体"/>
                <w:sz w:val="24"/>
                <w:szCs w:val="24"/>
                <w:lang w:val="en-US" w:eastAsia="zh-CN"/>
              </w:rPr>
            </w:pPr>
            <w:r>
              <w:rPr>
                <w:rFonts w:hint="eastAsia" w:ascii="宋体" w:hAnsi="宋体" w:eastAsia="宋体" w:cs="宋体"/>
                <w:sz w:val="24"/>
                <w:szCs w:val="24"/>
              </w:rPr>
              <w:t>100/</w:t>
            </w:r>
            <w:r>
              <w:rPr>
                <w:rFonts w:hint="eastAsia" w:hAnsi="宋体" w:cs="宋体"/>
                <w:sz w:val="24"/>
                <w:szCs w:val="24"/>
                <w:lang w:val="en-US" w:eastAsia="zh-CN"/>
              </w:rPr>
              <w:t>99</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lang w:eastAsia="zh-CN"/>
              </w:rPr>
            </w:pPr>
            <w:r>
              <w:rPr>
                <w:rFonts w:hint="eastAsia" w:ascii="宋体" w:hAnsi="宋体" w:eastAsia="宋体" w:cs="宋体"/>
                <w:sz w:val="24"/>
                <w:szCs w:val="24"/>
              </w:rPr>
              <w:t>100/10</w:t>
            </w:r>
            <w:r>
              <w:rPr>
                <w:rFonts w:hint="eastAsia" w:hAnsi="宋体" w:cs="宋体"/>
                <w:sz w:val="24"/>
                <w:szCs w:val="24"/>
                <w:lang w:val="en-US" w:eastAsia="zh-CN"/>
              </w:rPr>
              <w:t>2</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环境条件</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243"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个</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别</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因</w:t>
            </w:r>
          </w:p>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素</w:t>
            </w: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面积/m</w:t>
            </w:r>
            <w:r>
              <w:rPr>
                <w:rFonts w:hint="eastAsia" w:ascii="宋体" w:hAnsi="宋体" w:eastAsia="宋体" w:cs="宋体"/>
                <w:sz w:val="24"/>
                <w:szCs w:val="24"/>
                <w:vertAlign w:val="superscript"/>
              </w:rPr>
              <w:t>2</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lang w:val="en-US" w:eastAsia="zh-CN"/>
              </w:rPr>
            </w:pPr>
            <w:r>
              <w:rPr>
                <w:rFonts w:hint="eastAsia" w:ascii="宋体" w:hAnsi="宋体" w:eastAsia="宋体" w:cs="宋体"/>
                <w:sz w:val="24"/>
                <w:szCs w:val="24"/>
              </w:rPr>
              <w:t>100/10</w:t>
            </w:r>
            <w:r>
              <w:rPr>
                <w:rFonts w:hint="eastAsia" w:hAnsi="宋体" w:cs="宋体"/>
                <w:sz w:val="24"/>
                <w:szCs w:val="24"/>
                <w:lang w:val="en-US" w:eastAsia="zh-CN"/>
              </w:rPr>
              <w:t>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default" w:ascii="宋体" w:hAnsi="宋体" w:eastAsia="宋体" w:cs="宋体"/>
                <w:sz w:val="24"/>
                <w:szCs w:val="24"/>
                <w:lang w:val="en-US" w:eastAsia="zh-CN"/>
              </w:rPr>
            </w:pPr>
            <w:r>
              <w:rPr>
                <w:rFonts w:hint="eastAsia" w:ascii="宋体" w:hAnsi="宋体" w:eastAsia="宋体" w:cs="宋体"/>
                <w:sz w:val="24"/>
                <w:szCs w:val="24"/>
              </w:rPr>
              <w:t>100/</w:t>
            </w:r>
            <w:r>
              <w:rPr>
                <w:rFonts w:hint="eastAsia" w:hAnsi="宋体" w:cs="宋体"/>
                <w:sz w:val="24"/>
                <w:szCs w:val="24"/>
                <w:lang w:val="en-US" w:eastAsia="zh-CN"/>
              </w:rPr>
              <w:t>99</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lang w:val="en-US" w:eastAsia="zh-CN"/>
              </w:rPr>
            </w:pPr>
            <w:r>
              <w:rPr>
                <w:rFonts w:hint="eastAsia" w:ascii="宋体" w:hAnsi="宋体" w:eastAsia="宋体" w:cs="宋体"/>
                <w:sz w:val="24"/>
                <w:szCs w:val="24"/>
              </w:rPr>
              <w:t>100/10</w:t>
            </w:r>
            <w:r>
              <w:rPr>
                <w:rFonts w:hint="eastAsia" w:hAnsi="宋体" w:cs="宋体"/>
                <w:sz w:val="24"/>
                <w:szCs w:val="24"/>
                <w:lang w:val="en-US" w:eastAsia="zh-CN"/>
              </w:rPr>
              <w:t>0</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临路状况</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lang w:eastAsia="zh-CN"/>
              </w:rPr>
            </w:pPr>
            <w:r>
              <w:rPr>
                <w:rFonts w:hint="eastAsia" w:ascii="宋体" w:hAnsi="宋体" w:eastAsia="宋体" w:cs="宋体"/>
                <w:sz w:val="24"/>
                <w:szCs w:val="24"/>
              </w:rPr>
              <w:t>100/10</w:t>
            </w:r>
            <w:r>
              <w:rPr>
                <w:rFonts w:hint="eastAsia" w:hAnsi="宋体" w:cs="宋体"/>
                <w:sz w:val="24"/>
                <w:szCs w:val="24"/>
                <w:lang w:val="en-US" w:eastAsia="zh-CN"/>
              </w:rPr>
              <w:t>2</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土地形状</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w:t>
            </w:r>
            <w:r>
              <w:rPr>
                <w:rFonts w:hint="eastAsia" w:hAnsi="宋体" w:cs="宋体"/>
                <w:sz w:val="24"/>
                <w:szCs w:val="24"/>
                <w:lang w:val="en-US" w:eastAsia="zh-CN"/>
              </w:rPr>
              <w:t>98</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w:t>
            </w:r>
            <w:r>
              <w:rPr>
                <w:rFonts w:hint="eastAsia" w:hAnsi="宋体" w:cs="宋体"/>
                <w:sz w:val="24"/>
                <w:szCs w:val="24"/>
                <w:lang w:val="en-US" w:eastAsia="zh-CN"/>
              </w:rPr>
              <w:t>98</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w:t>
            </w:r>
            <w:r>
              <w:rPr>
                <w:rFonts w:hint="eastAsia" w:hAnsi="宋体" w:cs="宋体"/>
                <w:sz w:val="24"/>
                <w:szCs w:val="24"/>
                <w:lang w:val="en-US" w:eastAsia="zh-CN"/>
              </w:rPr>
              <w:t>98</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地形地势</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容积率</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117.35</w:t>
            </w:r>
            <w:r>
              <w:rPr>
                <w:rFonts w:hint="eastAsia" w:ascii="宋体" w:hAnsi="宋体" w:eastAsia="宋体" w:cs="宋体"/>
                <w:sz w:val="24"/>
                <w:szCs w:val="24"/>
              </w:rPr>
              <w:t>/</w:t>
            </w:r>
            <w:r>
              <w:rPr>
                <w:rFonts w:hint="eastAsia" w:ascii="宋体" w:hAnsi="宋体" w:eastAsia="宋体" w:cs="宋体"/>
                <w:sz w:val="24"/>
                <w:szCs w:val="24"/>
                <w:lang w:val="en-US" w:eastAsia="zh-CN"/>
              </w:rPr>
              <w:t>118.0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117.35</w:t>
            </w:r>
            <w:r>
              <w:rPr>
                <w:rFonts w:hint="eastAsia" w:ascii="宋体" w:hAnsi="宋体" w:eastAsia="宋体" w:cs="宋体"/>
                <w:sz w:val="24"/>
                <w:szCs w:val="24"/>
              </w:rPr>
              <w:t>/</w:t>
            </w:r>
            <w:r>
              <w:rPr>
                <w:rFonts w:hint="eastAsia" w:ascii="宋体" w:hAnsi="宋体" w:eastAsia="宋体" w:cs="宋体"/>
                <w:i w:val="0"/>
                <w:iCs w:val="0"/>
                <w:color w:val="000000"/>
                <w:kern w:val="0"/>
                <w:sz w:val="24"/>
                <w:szCs w:val="24"/>
                <w:u w:val="none"/>
                <w:lang w:val="en-US" w:eastAsia="zh-CN" w:bidi="ar"/>
              </w:rPr>
              <w:t>110.6</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leftChars="0" w:right="-125" w:rightChars="0"/>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117.35</w:t>
            </w:r>
            <w:r>
              <w:rPr>
                <w:rFonts w:hint="eastAsia" w:ascii="宋体" w:hAnsi="宋体" w:eastAsia="宋体" w:cs="宋体"/>
                <w:sz w:val="24"/>
                <w:szCs w:val="24"/>
              </w:rPr>
              <w:t>/</w:t>
            </w:r>
            <w:r>
              <w:rPr>
                <w:rFonts w:hint="eastAsia" w:ascii="宋体" w:hAnsi="宋体" w:eastAsia="宋体" w:cs="宋体"/>
                <w:i w:val="0"/>
                <w:iCs w:val="0"/>
                <w:color w:val="000000"/>
                <w:kern w:val="0"/>
                <w:sz w:val="24"/>
                <w:szCs w:val="24"/>
                <w:u w:val="none"/>
                <w:lang w:val="en-US" w:eastAsia="zh-CN" w:bidi="ar"/>
              </w:rPr>
              <w:t>110.6</w:t>
            </w:r>
          </w:p>
        </w:tc>
      </w:tr>
      <w:tr>
        <w:tblPrEx>
          <w:tblCellMar>
            <w:top w:w="0" w:type="dxa"/>
            <w:left w:w="0" w:type="dxa"/>
            <w:bottom w:w="0" w:type="dxa"/>
            <w:right w:w="0" w:type="dxa"/>
          </w:tblCellMar>
        </w:tblPrEx>
        <w:trPr>
          <w:trHeight w:val="454" w:hRule="atLeast"/>
          <w:jc w:val="center"/>
        </w:trPr>
        <w:tc>
          <w:tcPr>
            <w:tcW w:w="243"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p>
        </w:tc>
        <w:tc>
          <w:tcPr>
            <w:tcW w:w="1129"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目前规划限制</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FF0000"/>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sz w:val="24"/>
                <w:szCs w:val="24"/>
              </w:rPr>
            </w:pPr>
            <w:r>
              <w:rPr>
                <w:rFonts w:hint="eastAsia" w:ascii="宋体" w:hAnsi="宋体" w:eastAsia="宋体" w:cs="宋体"/>
                <w:sz w:val="24"/>
                <w:szCs w:val="24"/>
              </w:rPr>
              <w:t>100/100</w:t>
            </w:r>
          </w:p>
        </w:tc>
      </w:tr>
      <w:tr>
        <w:tblPrEx>
          <w:tblCellMar>
            <w:top w:w="0" w:type="dxa"/>
            <w:left w:w="0" w:type="dxa"/>
            <w:bottom w:w="0" w:type="dxa"/>
            <w:right w:w="0" w:type="dxa"/>
          </w:tblCellMar>
        </w:tblPrEx>
        <w:trPr>
          <w:trHeight w:val="454"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综合修正系数</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color w:val="auto"/>
                <w:sz w:val="24"/>
                <w:szCs w:val="24"/>
              </w:rPr>
            </w:pP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1.0005</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1.1415</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1.0653</w:t>
            </w:r>
          </w:p>
        </w:tc>
      </w:tr>
      <w:tr>
        <w:tblPrEx>
          <w:tblCellMar>
            <w:top w:w="0" w:type="dxa"/>
            <w:left w:w="0" w:type="dxa"/>
            <w:bottom w:w="0" w:type="dxa"/>
            <w:right w:w="0" w:type="dxa"/>
          </w:tblCellMar>
        </w:tblPrEx>
        <w:trPr>
          <w:trHeight w:val="454"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比准价格</w:t>
            </w:r>
            <w:r>
              <w:rPr>
                <w:rFonts w:hint="eastAsia" w:hAnsi="宋体" w:cs="宋体"/>
                <w:color w:val="auto"/>
                <w:sz w:val="24"/>
                <w:szCs w:val="24"/>
                <w:vertAlign w:val="subscript"/>
                <w:lang w:val="en-US" w:eastAsia="zh-CN"/>
              </w:rPr>
              <w:t>取整</w:t>
            </w:r>
            <w:r>
              <w:rPr>
                <w:rFonts w:hint="eastAsia" w:ascii="宋体" w:hAnsi="宋体" w:eastAsia="宋体" w:cs="宋体"/>
                <w:color w:val="auto"/>
                <w:sz w:val="24"/>
                <w:szCs w:val="24"/>
              </w:rPr>
              <w:t>（元/平方米）</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1870</w:t>
            </w: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1633.82</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1883.48</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2"/>
                <w:szCs w:val="22"/>
                <w:u w:val="none"/>
                <w:lang w:val="en-US" w:eastAsia="zh-CN" w:bidi="ar"/>
              </w:rPr>
              <w:t>2093.31</w:t>
            </w:r>
          </w:p>
        </w:tc>
      </w:tr>
      <w:tr>
        <w:tblPrEx>
          <w:tblCellMar>
            <w:top w:w="0" w:type="dxa"/>
            <w:left w:w="0" w:type="dxa"/>
            <w:bottom w:w="0" w:type="dxa"/>
            <w:right w:w="0" w:type="dxa"/>
          </w:tblCellMar>
        </w:tblPrEx>
        <w:trPr>
          <w:trHeight w:val="454" w:hRule="atLeast"/>
          <w:jc w:val="center"/>
        </w:trPr>
        <w:tc>
          <w:tcPr>
            <w:tcW w:w="1373" w:type="pct"/>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894"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85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9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89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ind w:left="-96" w:right="-125"/>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r>
    </w:tbl>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pPr>
      <w:r>
        <w:rPr>
          <w:rFonts w:hint="eastAsia" w:hAnsi="宋体" w:cs="宋体"/>
          <w:snapToGrid w:val="0"/>
          <w:color w:val="auto"/>
          <w:kern w:val="0"/>
          <w:sz w:val="28"/>
          <w:szCs w:val="28"/>
        </w:rPr>
        <w:t>经过以上测算得到三个实例的比准价格，所选实例均能反映地价水平，故本次取</w:t>
      </w:r>
      <w:r>
        <w:rPr>
          <w:rFonts w:hint="eastAsia" w:hAnsi="宋体" w:cs="宋体"/>
          <w:snapToGrid w:val="0"/>
          <w:color w:val="auto"/>
          <w:kern w:val="0"/>
          <w:sz w:val="28"/>
          <w:szCs w:val="28"/>
          <w:lang w:eastAsia="zh-CN"/>
        </w:rPr>
        <w:t>三个比较实例比准价格</w:t>
      </w:r>
      <w:r>
        <w:rPr>
          <w:rFonts w:hint="eastAsia" w:hAnsi="宋体" w:cs="宋体"/>
          <w:snapToGrid w:val="0"/>
          <w:color w:val="auto"/>
          <w:kern w:val="0"/>
          <w:sz w:val="28"/>
          <w:szCs w:val="28"/>
        </w:rPr>
        <w:t>简单算术平均值</w:t>
      </w:r>
      <w:r>
        <w:rPr>
          <w:rFonts w:hint="eastAsia" w:hAnsi="宋体" w:cs="宋体"/>
          <w:snapToGrid w:val="0"/>
          <w:color w:val="auto"/>
          <w:kern w:val="0"/>
          <w:sz w:val="28"/>
          <w:szCs w:val="28"/>
          <w:lang w:eastAsia="zh-CN"/>
        </w:rPr>
        <w:t>作为估价对象的价格</w:t>
      </w:r>
      <w:r>
        <w:rPr>
          <w:rFonts w:hint="eastAsia" w:hAnsi="宋体" w:cs="宋体"/>
          <w:snapToGrid w:val="0"/>
          <w:color w:val="auto"/>
          <w:kern w:val="0"/>
          <w:sz w:val="28"/>
          <w:szCs w:val="28"/>
        </w:rPr>
        <w:t>，</w:t>
      </w:r>
      <w:r>
        <w:rPr>
          <w:rFonts w:hint="eastAsia" w:hAnsi="宋体" w:cs="宋体"/>
          <w:snapToGrid w:val="0"/>
          <w:color w:val="auto"/>
          <w:kern w:val="0"/>
          <w:sz w:val="28"/>
          <w:szCs w:val="28"/>
          <w:lang w:val="en-US" w:eastAsia="zh-CN"/>
        </w:rPr>
        <w:t>则</w:t>
      </w:r>
      <w:r>
        <w:rPr>
          <w:rFonts w:hint="eastAsia" w:hAnsi="宋体" w:cs="宋体"/>
          <w:snapToGrid w:val="0"/>
          <w:color w:val="auto"/>
          <w:kern w:val="0"/>
          <w:sz w:val="28"/>
          <w:szCs w:val="28"/>
        </w:rPr>
        <w:t>待估宗地</w:t>
      </w:r>
      <w:r>
        <w:rPr>
          <w:rFonts w:hint="eastAsia" w:hAnsi="宋体" w:cs="宋体"/>
          <w:snapToGrid w:val="0"/>
          <w:color w:val="auto"/>
          <w:kern w:val="0"/>
          <w:sz w:val="28"/>
          <w:szCs w:val="28"/>
          <w:lang w:val="en-US" w:eastAsia="zh-CN"/>
        </w:rPr>
        <w:t>63.34</w:t>
      </w:r>
      <w:r>
        <w:rPr>
          <w:rFonts w:hint="eastAsia" w:hAnsi="宋体" w:cs="宋体"/>
          <w:snapToGrid w:val="0"/>
          <w:color w:val="auto"/>
          <w:kern w:val="0"/>
          <w:sz w:val="28"/>
          <w:szCs w:val="28"/>
        </w:rPr>
        <w:t>年土地使用权价格</w:t>
      </w:r>
      <w:r>
        <w:rPr>
          <w:rFonts w:hint="eastAsia" w:hAnsi="宋体" w:cs="宋体"/>
          <w:snapToGrid w:val="0"/>
          <w:color w:val="auto"/>
          <w:kern w:val="0"/>
          <w:sz w:val="28"/>
          <w:szCs w:val="28"/>
          <w:lang w:val="en-US" w:eastAsia="zh-CN"/>
        </w:rPr>
        <w:t>为1870</w:t>
      </w:r>
      <w:r>
        <w:rPr>
          <w:rFonts w:hint="eastAsia" w:hAnsi="宋体" w:cs="宋体"/>
          <w:snapToGrid w:val="0"/>
          <w:color w:val="auto"/>
          <w:kern w:val="0"/>
          <w:sz w:val="28"/>
          <w:szCs w:val="28"/>
        </w:rPr>
        <w:t>元/平方米。</w:t>
      </w:r>
    </w:p>
    <w:p>
      <w:pPr>
        <w:pStyle w:val="14"/>
        <w:keepNext w:val="0"/>
        <w:keepLines w:val="0"/>
        <w:pageBreakBefore w:val="0"/>
        <w:widowControl w:val="0"/>
        <w:kinsoku/>
        <w:wordWrap/>
        <w:topLinePunct w:val="0"/>
        <w:autoSpaceDE/>
        <w:autoSpaceDN/>
        <w:bidi w:val="0"/>
        <w:spacing w:line="520" w:lineRule="exact"/>
        <w:ind w:firstLine="560" w:firstLineChars="200"/>
        <w:textAlignment w:val="auto"/>
        <w:rPr>
          <w:b/>
          <w:bCs/>
          <w:sz w:val="28"/>
          <w:szCs w:val="20"/>
        </w:rPr>
      </w:pPr>
      <w:r>
        <w:rPr>
          <w:rFonts w:hint="eastAsia"/>
          <w:b/>
          <w:bCs/>
          <w:sz w:val="28"/>
          <w:szCs w:val="20"/>
        </w:rPr>
        <w:t>土地总价测算：</w:t>
      </w:r>
    </w:p>
    <w:p>
      <w:pPr>
        <w:keepNext w:val="0"/>
        <w:keepLines w:val="0"/>
        <w:pageBreakBefore w:val="0"/>
        <w:widowControl w:val="0"/>
        <w:kinsoku/>
        <w:wordWrap/>
        <w:topLinePunct w:val="0"/>
        <w:autoSpaceDE/>
        <w:autoSpaceDN/>
        <w:bidi w:val="0"/>
        <w:adjustRightInd w:val="0"/>
        <w:snapToGrid w:val="0"/>
        <w:spacing w:line="520" w:lineRule="exact"/>
        <w:ind w:firstLine="560" w:firstLineChars="200"/>
        <w:textAlignment w:val="auto"/>
        <w:rPr>
          <w:rFonts w:hint="eastAsia" w:hAnsi="宋体" w:cs="宋体"/>
          <w:sz w:val="28"/>
          <w:szCs w:val="28"/>
          <w:lang w:val="en-US" w:eastAsia="zh-CN"/>
        </w:rPr>
      </w:pPr>
      <w:r>
        <w:rPr>
          <w:rFonts w:hint="eastAsia" w:ascii="宋体" w:hAnsi="宋体" w:eastAsia="宋体" w:cs="宋体"/>
          <w:sz w:val="28"/>
          <w:szCs w:val="28"/>
          <w:lang w:val="en-US" w:eastAsia="zh-CN"/>
        </w:rPr>
        <w:t>豊足·汾阳壹号小区</w:t>
      </w:r>
      <w:r>
        <w:rPr>
          <w:rFonts w:hint="eastAsia" w:hAnsi="宋体" w:cs="宋体"/>
          <w:sz w:val="28"/>
          <w:szCs w:val="28"/>
          <w:lang w:val="en-US" w:eastAsia="zh-CN"/>
        </w:rPr>
        <w:t>所占土地面积总为33911.70平方米，经测算土地单价为1870元/平方米，</w:t>
      </w:r>
      <w:r>
        <w:rPr>
          <w:rFonts w:hint="eastAsia"/>
          <w:bCs/>
          <w:sz w:val="28"/>
          <w:lang w:val="en-US" w:eastAsia="zh-CN"/>
        </w:rPr>
        <w:t>估价对象所在</w:t>
      </w:r>
      <w:r>
        <w:rPr>
          <w:rFonts w:hint="eastAsia" w:hAnsi="宋体" w:cs="宋体"/>
          <w:sz w:val="28"/>
          <w:szCs w:val="28"/>
          <w:lang w:val="en-US" w:eastAsia="zh-CN"/>
        </w:rPr>
        <w:t>5号楼分摊土地面积962.20平方米：</w:t>
      </w:r>
    </w:p>
    <w:p>
      <w:pPr>
        <w:keepNext w:val="0"/>
        <w:keepLines w:val="0"/>
        <w:pageBreakBefore w:val="0"/>
        <w:widowControl w:val="0"/>
        <w:kinsoku/>
        <w:wordWrap/>
        <w:topLinePunct w:val="0"/>
        <w:autoSpaceDE/>
        <w:autoSpaceDN/>
        <w:bidi w:val="0"/>
        <w:adjustRightInd w:val="0"/>
        <w:snapToGrid w:val="0"/>
        <w:spacing w:line="520" w:lineRule="exact"/>
        <w:ind w:firstLine="560" w:firstLineChars="200"/>
        <w:textAlignment w:val="auto"/>
        <w:rPr>
          <w:bCs/>
          <w:sz w:val="28"/>
        </w:rPr>
      </w:pPr>
      <w:r>
        <w:rPr>
          <w:rFonts w:hint="eastAsia" w:hAnsi="宋体" w:cs="宋体"/>
          <w:sz w:val="28"/>
          <w:szCs w:val="28"/>
          <w:lang w:val="en-US" w:eastAsia="zh-CN"/>
        </w:rPr>
        <w:t>则5号楼分摊土地总价值=962.20</w:t>
      </w:r>
      <w:r>
        <w:rPr>
          <w:rFonts w:hint="eastAsia"/>
          <w:bCs/>
          <w:sz w:val="28"/>
          <w:szCs w:val="20"/>
        </w:rPr>
        <w:t>×</w:t>
      </w:r>
      <w:r>
        <w:rPr>
          <w:rFonts w:hint="eastAsia"/>
          <w:bCs/>
          <w:sz w:val="28"/>
          <w:szCs w:val="20"/>
          <w:lang w:val="en-US" w:eastAsia="zh-CN"/>
        </w:rPr>
        <w:t>1870</w:t>
      </w:r>
      <w:r>
        <w:rPr>
          <w:rFonts w:hint="eastAsia"/>
          <w:bCs/>
          <w:sz w:val="28"/>
        </w:rPr>
        <w:t>=</w:t>
      </w:r>
      <w:r>
        <w:rPr>
          <w:rFonts w:hint="eastAsia"/>
          <w:bCs/>
          <w:sz w:val="28"/>
          <w:lang w:val="en-US" w:eastAsia="zh-CN"/>
        </w:rPr>
        <w:t>179.93</w:t>
      </w:r>
      <w:r>
        <w:rPr>
          <w:rFonts w:hint="eastAsia"/>
          <w:bCs/>
          <w:sz w:val="28"/>
        </w:rPr>
        <w:t>（万元）</w:t>
      </w:r>
    </w:p>
    <w:p>
      <w:pPr>
        <w:keepNext w:val="0"/>
        <w:keepLines w:val="0"/>
        <w:pageBreakBefore w:val="0"/>
        <w:widowControl w:val="0"/>
        <w:kinsoku/>
        <w:wordWrap/>
        <w:topLinePunct w:val="0"/>
        <w:autoSpaceDE/>
        <w:autoSpaceDN/>
        <w:bidi w:val="0"/>
        <w:adjustRightInd w:val="0"/>
        <w:snapToGrid w:val="0"/>
        <w:spacing w:line="520" w:lineRule="exact"/>
        <w:ind w:firstLine="280" w:firstLineChars="100"/>
        <w:textAlignment w:val="auto"/>
        <w:rPr>
          <w:b/>
          <w:bCs/>
          <w:sz w:val="28"/>
        </w:rPr>
      </w:pPr>
      <w:bookmarkStart w:id="33" w:name="_Toc6974"/>
      <w:r>
        <w:rPr>
          <w:rFonts w:hint="eastAsia"/>
          <w:b/>
          <w:bCs/>
          <w:sz w:val="28"/>
          <w:u w:val="single"/>
        </w:rPr>
        <w:t>★建筑成本测算过程</w:t>
      </w:r>
      <w:bookmarkEnd w:id="33"/>
    </w:p>
    <w:p>
      <w:pPr>
        <w:keepNext w:val="0"/>
        <w:keepLines w:val="0"/>
        <w:pageBreakBefore w:val="0"/>
        <w:widowControl w:val="0"/>
        <w:kinsoku/>
        <w:wordWrap/>
        <w:topLinePunct w:val="0"/>
        <w:autoSpaceDE/>
        <w:autoSpaceDN/>
        <w:bidi w:val="0"/>
        <w:adjustRightInd w:val="0"/>
        <w:spacing w:line="520" w:lineRule="exact"/>
        <w:ind w:firstLine="560" w:firstLineChars="200"/>
        <w:textAlignment w:val="auto"/>
        <w:rPr>
          <w:rFonts w:hAnsi="宋体"/>
          <w:color w:val="auto"/>
          <w:sz w:val="28"/>
          <w:szCs w:val="28"/>
          <w:highlight w:val="none"/>
        </w:rPr>
      </w:pPr>
      <w:bookmarkStart w:id="34" w:name="_Toc447116111"/>
      <w:r>
        <w:rPr>
          <w:rFonts w:hAnsi="宋体"/>
          <w:color w:val="auto"/>
          <w:sz w:val="28"/>
          <w:szCs w:val="28"/>
        </w:rPr>
        <w:t>本次建筑成本测算依据</w:t>
      </w:r>
      <w:r>
        <w:rPr>
          <w:rFonts w:hint="eastAsia" w:hAnsi="宋体"/>
          <w:color w:val="auto"/>
          <w:sz w:val="28"/>
          <w:szCs w:val="28"/>
        </w:rPr>
        <w:t>造价工程师提供的测算评估说明，按现状评估，在建工程重置成</w:t>
      </w:r>
      <w:r>
        <w:rPr>
          <w:rFonts w:hint="eastAsia" w:hAnsi="宋体"/>
          <w:color w:val="auto"/>
          <w:sz w:val="28"/>
          <w:szCs w:val="28"/>
          <w:highlight w:val="none"/>
        </w:rPr>
        <w:t>本为</w:t>
      </w:r>
      <w:r>
        <w:rPr>
          <w:rFonts w:hint="eastAsia" w:hAnsi="宋体"/>
          <w:color w:val="auto"/>
          <w:sz w:val="28"/>
          <w:szCs w:val="28"/>
          <w:highlight w:val="none"/>
          <w:lang w:val="en-US" w:eastAsia="zh-CN"/>
        </w:rPr>
        <w:t>288.56</w:t>
      </w:r>
      <w:r>
        <w:rPr>
          <w:rFonts w:hint="eastAsia" w:hAnsi="宋体"/>
          <w:color w:val="auto"/>
          <w:sz w:val="28"/>
          <w:szCs w:val="28"/>
          <w:highlight w:val="none"/>
        </w:rPr>
        <w:t>万元。</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Ansi="宋体"/>
          <w:color w:val="auto"/>
          <w:sz w:val="28"/>
          <w:szCs w:val="28"/>
        </w:rPr>
      </w:pPr>
      <w:r>
        <w:rPr>
          <w:rFonts w:hint="eastAsia" w:hAnsi="宋体"/>
          <w:color w:val="auto"/>
          <w:sz w:val="28"/>
          <w:szCs w:val="28"/>
        </w:rPr>
        <w:t>测算过程：</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sz w:val="28"/>
          <w:szCs w:val="28"/>
        </w:rPr>
      </w:pPr>
      <w:r>
        <w:rPr>
          <w:sz w:val="28"/>
          <w:szCs w:val="28"/>
        </w:rPr>
        <w:t>1</w:t>
      </w:r>
      <w:r>
        <w:rPr>
          <w:rFonts w:hint="eastAsia"/>
          <w:sz w:val="28"/>
          <w:szCs w:val="28"/>
          <w:lang w:eastAsia="zh-CN"/>
        </w:rPr>
        <w:t>、</w:t>
      </w:r>
      <w:r>
        <w:rPr>
          <w:sz w:val="28"/>
          <w:szCs w:val="28"/>
        </w:rPr>
        <w:t>概况</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rFonts w:hint="eastAsia" w:hAnsi="Times New Roman" w:eastAsia="宋体" w:cs="Times New Roman"/>
          <w:sz w:val="28"/>
          <w:szCs w:val="28"/>
          <w:lang w:val="en-US" w:eastAsia="zh-CN"/>
        </w:rPr>
      </w:pPr>
      <w:r>
        <w:rPr>
          <w:rFonts w:hint="eastAsia" w:hAnsi="Times New Roman" w:eastAsia="宋体" w:cs="Times New Roman"/>
          <w:sz w:val="28"/>
          <w:szCs w:val="28"/>
          <w:lang w:val="en-US" w:eastAsia="zh-CN"/>
        </w:rPr>
        <w:t>豐足</w:t>
      </w:r>
      <w:r>
        <w:rPr>
          <w:rFonts w:hint="eastAsia" w:ascii="宋体" w:hAnsi="宋体" w:eastAsia="宋体" w:cs="宋体"/>
          <w:sz w:val="28"/>
          <w:szCs w:val="28"/>
          <w:lang w:val="en-US" w:eastAsia="zh-CN"/>
        </w:rPr>
        <w:t>·</w:t>
      </w:r>
      <w:r>
        <w:rPr>
          <w:rFonts w:hint="eastAsia" w:hAnsi="Times New Roman" w:eastAsia="宋体" w:cs="Times New Roman"/>
          <w:sz w:val="28"/>
          <w:szCs w:val="28"/>
          <w:lang w:val="en-US" w:eastAsia="zh-CN"/>
        </w:rPr>
        <w:t>汾阳壹号项目5#楼位于山西省汾阳市，钢筋混凝土框架结构，总建筑面积5291.59平方米，地上建筑面积3319.60平方米，地下建筑面积1971.99平方米。地下2层，地上5层，建筑总高23.90米，结构设计使用年限50年，建筑抗震设防烈度为8度。</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rFonts w:hint="default" w:hAnsi="Times New Roman" w:eastAsia="宋体" w:cs="Times New Roman"/>
          <w:sz w:val="28"/>
          <w:szCs w:val="28"/>
          <w:lang w:val="en-US" w:eastAsia="zh-CN"/>
        </w:rPr>
      </w:pPr>
      <w:r>
        <w:rPr>
          <w:rFonts w:hint="eastAsia" w:hAnsi="Times New Roman" w:eastAsia="宋体" w:cs="Times New Roman"/>
          <w:sz w:val="28"/>
          <w:szCs w:val="28"/>
          <w:lang w:val="en-US" w:eastAsia="zh-CN"/>
        </w:rPr>
        <w:t>现状为主体工程建至±0.00，安装工程完成了配合预留管道。</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sz w:val="28"/>
          <w:szCs w:val="28"/>
        </w:rPr>
      </w:pPr>
      <w:r>
        <w:rPr>
          <w:sz w:val="28"/>
          <w:szCs w:val="28"/>
        </w:rPr>
        <w:t>2</w:t>
      </w:r>
      <w:r>
        <w:rPr>
          <w:rFonts w:hint="eastAsia"/>
          <w:sz w:val="28"/>
          <w:szCs w:val="28"/>
          <w:lang w:eastAsia="zh-CN"/>
        </w:rPr>
        <w:t>、</w:t>
      </w:r>
      <w:r>
        <w:rPr>
          <w:sz w:val="28"/>
          <w:szCs w:val="28"/>
        </w:rPr>
        <w:t>重置</w:t>
      </w:r>
      <w:r>
        <w:rPr>
          <w:rFonts w:hint="eastAsia"/>
          <w:sz w:val="28"/>
          <w:szCs w:val="28"/>
        </w:rPr>
        <w:t>成本</w:t>
      </w:r>
      <w:r>
        <w:rPr>
          <w:sz w:val="28"/>
          <w:szCs w:val="28"/>
        </w:rPr>
        <w:t>的确定</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sz w:val="28"/>
          <w:szCs w:val="28"/>
        </w:rPr>
      </w:pPr>
      <w:r>
        <w:rPr>
          <w:sz w:val="28"/>
          <w:szCs w:val="28"/>
        </w:rPr>
        <w:t>(1)建安综合造价</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建筑安装工程造价包括建筑工程、装饰工程、安装工程的总价，建安工程造价重编预算法进行计算。</w:t>
      </w:r>
    </w:p>
    <w:p>
      <w:pPr>
        <w:keepNext w:val="0"/>
        <w:keepLines w:val="0"/>
        <w:pageBreakBefore w:val="0"/>
        <w:widowControl w:val="0"/>
        <w:tabs>
          <w:tab w:val="left" w:pos="7350"/>
        </w:tabs>
        <w:kinsoku/>
        <w:wordWrap/>
        <w:overflowPunct/>
        <w:topLinePunct w:val="0"/>
        <w:autoSpaceDE/>
        <w:autoSpaceDN/>
        <w:bidi w:val="0"/>
        <w:snapToGrid/>
        <w:spacing w:line="520" w:lineRule="exact"/>
        <w:ind w:firstLine="560" w:firstLineChars="200"/>
        <w:textAlignment w:val="auto"/>
        <w:rPr>
          <w:rFonts w:hint="eastAsia"/>
          <w:sz w:val="28"/>
          <w:szCs w:val="28"/>
        </w:rPr>
      </w:pPr>
      <w:r>
        <w:rPr>
          <w:rFonts w:hint="eastAsia"/>
          <w:sz w:val="28"/>
          <w:szCs w:val="28"/>
          <w:lang w:val="en-US" w:eastAsia="zh-CN"/>
        </w:rPr>
        <w:t>评估时依据评估人员现场勘查，并向相关人员了解该工程的基础工程、主体工程、安装工程、装饰工程做法，依据施工图纸计算</w:t>
      </w:r>
      <w:r>
        <w:rPr>
          <w:rFonts w:hint="eastAsia"/>
          <w:sz w:val="28"/>
          <w:szCs w:val="28"/>
        </w:rPr>
        <w:t>工程量，根据</w:t>
      </w:r>
      <w:r>
        <w:rPr>
          <w:rFonts w:hint="eastAsia"/>
          <w:sz w:val="28"/>
          <w:szCs w:val="28"/>
          <w:lang w:val="en-US" w:eastAsia="zh-CN"/>
        </w:rPr>
        <w:t>山西省</w:t>
      </w:r>
      <w:r>
        <w:rPr>
          <w:rFonts w:hint="eastAsia"/>
          <w:sz w:val="28"/>
          <w:szCs w:val="28"/>
        </w:rPr>
        <w:t>现行建筑工程计价办法，套用《山西省建筑工程预算定额》（2018年）、《山西省安装工程预算定额》（2018年）、《山西省</w:t>
      </w:r>
      <w:r>
        <w:rPr>
          <w:rFonts w:hint="eastAsia"/>
          <w:sz w:val="28"/>
          <w:szCs w:val="28"/>
          <w:lang w:val="en-US" w:eastAsia="zh-CN"/>
        </w:rPr>
        <w:t>装饰</w:t>
      </w:r>
      <w:r>
        <w:rPr>
          <w:rFonts w:hint="eastAsia"/>
          <w:sz w:val="28"/>
          <w:szCs w:val="28"/>
        </w:rPr>
        <w:t>工程预算定额》（2018年）、《山西省建设工程费用定额》（2018年）、《山西工程建设标准定额信息》（20</w:t>
      </w:r>
      <w:r>
        <w:rPr>
          <w:rFonts w:hint="eastAsia"/>
          <w:sz w:val="28"/>
          <w:szCs w:val="28"/>
          <w:lang w:val="en-US" w:eastAsia="zh-CN"/>
        </w:rPr>
        <w:t>22</w:t>
      </w:r>
      <w:r>
        <w:rPr>
          <w:rFonts w:hint="eastAsia"/>
          <w:sz w:val="28"/>
          <w:szCs w:val="28"/>
        </w:rPr>
        <w:t>年第</w:t>
      </w:r>
      <w:r>
        <w:rPr>
          <w:rFonts w:hint="eastAsia"/>
          <w:sz w:val="28"/>
          <w:szCs w:val="28"/>
          <w:lang w:val="en-US" w:eastAsia="zh-CN"/>
        </w:rPr>
        <w:t>二</w:t>
      </w:r>
      <w:r>
        <w:rPr>
          <w:rFonts w:hint="eastAsia"/>
          <w:sz w:val="28"/>
          <w:szCs w:val="28"/>
        </w:rPr>
        <w:t>期）</w:t>
      </w:r>
      <w:r>
        <w:rPr>
          <w:rFonts w:hint="eastAsia"/>
          <w:sz w:val="28"/>
          <w:szCs w:val="28"/>
          <w:lang w:eastAsia="zh-CN"/>
        </w:rPr>
        <w:t>，</w:t>
      </w:r>
      <w:r>
        <w:rPr>
          <w:rFonts w:hint="eastAsia"/>
          <w:sz w:val="28"/>
          <w:szCs w:val="28"/>
          <w:lang w:val="en-US" w:eastAsia="zh-CN"/>
        </w:rPr>
        <w:t>使用广联达GCCP6.0计价软件</w:t>
      </w:r>
      <w:r>
        <w:rPr>
          <w:rFonts w:hint="eastAsia"/>
          <w:sz w:val="28"/>
          <w:szCs w:val="28"/>
        </w:rPr>
        <w:t>计算</w:t>
      </w:r>
      <w:r>
        <w:rPr>
          <w:rFonts w:hint="eastAsia"/>
          <w:sz w:val="28"/>
          <w:szCs w:val="28"/>
          <w:lang w:val="en-US" w:eastAsia="zh-CN"/>
        </w:rPr>
        <w:t>得出</w:t>
      </w:r>
      <w:r>
        <w:rPr>
          <w:rFonts w:hint="eastAsia"/>
          <w:sz w:val="28"/>
          <w:szCs w:val="28"/>
        </w:rPr>
        <w:t>案例</w:t>
      </w:r>
      <w:r>
        <w:rPr>
          <w:rFonts w:hint="eastAsia"/>
          <w:sz w:val="28"/>
          <w:szCs w:val="28"/>
          <w:lang w:val="en-US" w:eastAsia="zh-CN"/>
        </w:rPr>
        <w:t>工程</w:t>
      </w:r>
      <w:r>
        <w:rPr>
          <w:rFonts w:hint="eastAsia"/>
          <w:sz w:val="28"/>
          <w:szCs w:val="28"/>
        </w:rPr>
        <w:t>的建安工程造价，过程如下：</w:t>
      </w:r>
    </w:p>
    <w:p>
      <w:pPr>
        <w:tabs>
          <w:tab w:val="left" w:pos="7350"/>
        </w:tabs>
        <w:spacing w:line="500" w:lineRule="exact"/>
        <w:ind w:firstLine="560" w:firstLineChars="200"/>
        <w:jc w:val="center"/>
        <w:rPr>
          <w:rFonts w:hint="eastAsia" w:hAnsi="Times New Roman" w:cs="Times New Roman"/>
          <w:sz w:val="28"/>
          <w:szCs w:val="28"/>
          <w:lang w:val="en-US" w:eastAsia="zh-CN"/>
        </w:rPr>
      </w:pPr>
    </w:p>
    <w:p>
      <w:pPr>
        <w:tabs>
          <w:tab w:val="left" w:pos="7350"/>
        </w:tabs>
        <w:spacing w:line="500" w:lineRule="exact"/>
        <w:ind w:firstLine="560" w:firstLineChars="200"/>
        <w:jc w:val="center"/>
        <w:rPr>
          <w:rFonts w:hint="eastAsia" w:hAnsi="Times New Roman" w:cs="Times New Roman"/>
          <w:sz w:val="28"/>
          <w:szCs w:val="28"/>
          <w:lang w:val="en-US" w:eastAsia="zh-CN"/>
        </w:rPr>
      </w:pPr>
    </w:p>
    <w:p>
      <w:pPr>
        <w:tabs>
          <w:tab w:val="left" w:pos="7350"/>
        </w:tabs>
        <w:spacing w:line="500" w:lineRule="exact"/>
        <w:ind w:firstLine="560" w:firstLineChars="200"/>
        <w:jc w:val="center"/>
        <w:rPr>
          <w:rFonts w:hint="eastAsia" w:hAnsi="Times New Roman" w:cs="Times New Roman"/>
          <w:sz w:val="28"/>
          <w:szCs w:val="28"/>
          <w:lang w:val="en-US" w:eastAsia="zh-CN"/>
        </w:rPr>
      </w:pPr>
    </w:p>
    <w:p>
      <w:pPr>
        <w:tabs>
          <w:tab w:val="left" w:pos="7350"/>
        </w:tabs>
        <w:spacing w:line="500" w:lineRule="exact"/>
        <w:ind w:firstLine="560" w:firstLineChars="200"/>
        <w:jc w:val="center"/>
        <w:rPr>
          <w:rFonts w:hint="eastAsia" w:hAnsi="Times New Roman" w:cs="Times New Roman"/>
          <w:sz w:val="28"/>
          <w:szCs w:val="28"/>
          <w:lang w:val="en-US" w:eastAsia="zh-CN"/>
        </w:rPr>
      </w:pPr>
    </w:p>
    <w:p>
      <w:pPr>
        <w:adjustRightInd w:val="0"/>
        <w:spacing w:line="500" w:lineRule="exact"/>
        <w:ind w:firstLine="560" w:firstLineChars="200"/>
        <w:jc w:val="center"/>
        <w:rPr>
          <w:rFonts w:hint="eastAsia"/>
          <w:sz w:val="28"/>
          <w:szCs w:val="28"/>
        </w:rPr>
      </w:pPr>
      <w:r>
        <w:rPr>
          <w:rFonts w:hint="eastAsia"/>
          <w:sz w:val="28"/>
          <w:szCs w:val="28"/>
          <w:lang w:val="en-US" w:eastAsia="zh-CN"/>
        </w:rPr>
        <w:t>建筑</w:t>
      </w:r>
      <w:r>
        <w:rPr>
          <w:rFonts w:hint="eastAsia"/>
          <w:sz w:val="28"/>
          <w:szCs w:val="28"/>
        </w:rPr>
        <w:t>工程费用表</w:t>
      </w:r>
    </w:p>
    <w:p>
      <w:pPr>
        <w:jc w:val="right"/>
        <w:rPr>
          <w:sz w:val="20"/>
          <w:szCs w:val="18"/>
        </w:rPr>
      </w:pPr>
      <w:r>
        <w:rPr>
          <w:sz w:val="20"/>
          <w:szCs w:val="18"/>
        </w:rPr>
        <w:t>金额单位：人民币元</w:t>
      </w:r>
    </w:p>
    <w:tbl>
      <w:tblPr>
        <w:tblStyle w:val="25"/>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4"/>
        <w:gridCol w:w="1943"/>
        <w:gridCol w:w="4279"/>
        <w:gridCol w:w="1022"/>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6" w:type="pct"/>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04"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费用名称</w:t>
            </w:r>
          </w:p>
        </w:tc>
        <w:tc>
          <w:tcPr>
            <w:tcW w:w="2211"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取费说明</w:t>
            </w:r>
          </w:p>
        </w:tc>
        <w:tc>
          <w:tcPr>
            <w:tcW w:w="528"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p>
        </w:tc>
        <w:tc>
          <w:tcPr>
            <w:tcW w:w="829" w:type="pct"/>
            <w:tcBorders>
              <w:top w:val="single" w:color="000000" w:sz="8"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直接费+主材费+设备费+技术措施项目合计+技术措施项目主材费+技术措施项目设备费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iCs w:val="0"/>
                <w:color w:val="000000"/>
                <w:sz w:val="20"/>
                <w:szCs w:val="20"/>
                <w:u w:val="none"/>
              </w:rPr>
            </w:pP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1,873,390.50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施工组织措施费</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组织措施项目合计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iCs w:val="0"/>
                <w:color w:val="000000"/>
                <w:sz w:val="20"/>
                <w:szCs w:val="20"/>
                <w:u w:val="none"/>
              </w:rPr>
            </w:pP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86,175.96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企业管理费</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定额工料机（包括施工技术措施费）-只取税金项预算价合计-不取费项预算价合计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w:t>
            </w: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158,863.51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定额工料机（包括施工技术措施费）-只取税金项预算价合计-不取费项预算价合计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131,886.69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动态调整</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人材机价差+组织措施人工价差+降效人工价差+降效机上人工价差+降效电费价差</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149,871.45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定额工料机（包括施工技术措施费）+施工组织措施费+企业管理费+利润+动态调整-不取费项市场价直接费-不取费项市场价主材费-不取费项市场价设备费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216,016.93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6"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工程造价</w:t>
            </w:r>
          </w:p>
        </w:tc>
        <w:tc>
          <w:tcPr>
            <w:tcW w:w="221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定额工料机（包括施工技术措施费）+施工组织措施费+企业管理费+利润+动态调整+税金</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829"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2,616,205.04 </w:t>
            </w:r>
          </w:p>
        </w:tc>
      </w:tr>
    </w:tbl>
    <w:p>
      <w:pPr>
        <w:jc w:val="right"/>
        <w:rPr>
          <w:sz w:val="20"/>
          <w:szCs w:val="18"/>
        </w:rPr>
      </w:pPr>
    </w:p>
    <w:p>
      <w:pPr>
        <w:adjustRightInd w:val="0"/>
        <w:spacing w:line="500" w:lineRule="exact"/>
        <w:ind w:firstLine="560" w:firstLineChars="200"/>
        <w:jc w:val="center"/>
        <w:rPr>
          <w:rFonts w:hint="eastAsia"/>
          <w:sz w:val="28"/>
          <w:szCs w:val="28"/>
        </w:rPr>
      </w:pPr>
      <w:r>
        <w:rPr>
          <w:rFonts w:hint="eastAsia"/>
          <w:sz w:val="28"/>
          <w:szCs w:val="28"/>
          <w:lang w:val="en-US" w:eastAsia="zh-CN"/>
        </w:rPr>
        <w:t>安装</w:t>
      </w:r>
      <w:r>
        <w:rPr>
          <w:rFonts w:hint="eastAsia"/>
          <w:sz w:val="28"/>
          <w:szCs w:val="28"/>
        </w:rPr>
        <w:t>工程费用表</w:t>
      </w:r>
    </w:p>
    <w:p>
      <w:pPr>
        <w:jc w:val="right"/>
        <w:rPr>
          <w:szCs w:val="21"/>
        </w:rPr>
      </w:pPr>
      <w:r>
        <w:rPr>
          <w:szCs w:val="21"/>
        </w:rPr>
        <w:t>金额单位：人民币元</w:t>
      </w:r>
    </w:p>
    <w:tbl>
      <w:tblPr>
        <w:tblStyle w:val="25"/>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2"/>
        <w:gridCol w:w="1867"/>
        <w:gridCol w:w="4523"/>
        <w:gridCol w:w="1167"/>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5" w:type="pct"/>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65"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费用名称</w:t>
            </w:r>
          </w:p>
        </w:tc>
        <w:tc>
          <w:tcPr>
            <w:tcW w:w="2338"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取费说明</w:t>
            </w:r>
          </w:p>
        </w:tc>
        <w:tc>
          <w:tcPr>
            <w:tcW w:w="603" w:type="pct"/>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p>
        </w:tc>
        <w:tc>
          <w:tcPr>
            <w:tcW w:w="667" w:type="pct"/>
            <w:tcBorders>
              <w:top w:val="single" w:color="000000" w:sz="8"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直接费+技术措施项目合计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33,523.83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其中：人工费</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人工费+技术措施项目人工费</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11,733.34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施工组织措施费</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组织措施项目合计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right"/>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2,916.57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企业管理费</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其中：人工费-只取税金项预算价人工费-不取费项预算价人工费</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利润</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其中：人工费-只取税金项预算价人工费-不取费项预算价人工费</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动态调整</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人材机价差+组织措施人工价差+安装费用人工价差</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主材费</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主材费+设备费+技术措施项目主材费+技术措施项目设备费</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25" w:type="pct"/>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w:t>
            </w:r>
          </w:p>
        </w:tc>
        <w:tc>
          <w:tcPr>
            <w:tcW w:w="2338"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定额工料机（包括施工技术措施费）+施工组织措施费+企业管理费+利润+动态调整+主材费-不取费项市场价直接费-不取费项市场价主材费-不取费项市场价设备费</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67" w:type="pct"/>
            <w:tcBorders>
              <w:top w:val="single" w:color="000000" w:sz="4" w:space="0"/>
              <w:left w:val="single" w:color="000000" w:sz="4" w:space="0"/>
              <w:bottom w:val="single" w:color="000000" w:sz="4"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5" w:type="pct"/>
            <w:tcBorders>
              <w:top w:val="single" w:color="000000" w:sz="4" w:space="0"/>
              <w:left w:val="single" w:color="000000" w:sz="8" w:space="0"/>
              <w:bottom w:val="single" w:color="000000" w:sz="8"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65" w:type="pct"/>
            <w:tcBorders>
              <w:top w:val="single" w:color="000000" w:sz="4" w:space="0"/>
              <w:left w:val="single" w:color="000000" w:sz="4" w:space="0"/>
              <w:bottom w:val="single" w:color="000000" w:sz="8"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工程造价</w:t>
            </w:r>
          </w:p>
        </w:tc>
        <w:tc>
          <w:tcPr>
            <w:tcW w:w="2338" w:type="pct"/>
            <w:tcBorders>
              <w:top w:val="single" w:color="000000" w:sz="4" w:space="0"/>
              <w:left w:val="single" w:color="000000" w:sz="4" w:space="0"/>
              <w:bottom w:val="single" w:color="000000" w:sz="8"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定额工料机（包括施工技术措施费）+施工组织措施费+企业管理费+利润+动态调整+主材费+税金</w:t>
            </w:r>
          </w:p>
        </w:tc>
        <w:tc>
          <w:tcPr>
            <w:tcW w:w="603" w:type="pct"/>
            <w:tcBorders>
              <w:top w:val="single" w:color="000000" w:sz="4" w:space="0"/>
              <w:left w:val="single" w:color="000000" w:sz="4" w:space="0"/>
              <w:bottom w:val="single" w:color="000000" w:sz="8"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667" w:type="pct"/>
            <w:tcBorders>
              <w:top w:val="single" w:color="000000" w:sz="4" w:space="0"/>
              <w:left w:val="single" w:color="000000" w:sz="4" w:space="0"/>
              <w:bottom w:val="single" w:color="000000" w:sz="8" w:space="0"/>
              <w:right w:val="single" w:color="000000" w:sz="8"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50,830.32</w:t>
            </w:r>
          </w:p>
        </w:tc>
      </w:tr>
    </w:tbl>
    <w:p>
      <w:pPr>
        <w:jc w:val="right"/>
        <w:rPr>
          <w:szCs w:val="21"/>
        </w:rPr>
      </w:pPr>
    </w:p>
    <w:p>
      <w:pPr>
        <w:jc w:val="right"/>
        <w:rPr>
          <w:rFonts w:hint="eastAsia"/>
          <w:szCs w:val="21"/>
        </w:rPr>
      </w:pP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p>
      <w:pPr>
        <w:keepNext w:val="0"/>
        <w:keepLines w:val="0"/>
        <w:widowControl/>
        <w:suppressLineNumbers w:val="0"/>
        <w:jc w:val="center"/>
        <w:textAlignment w:val="center"/>
        <w:rPr>
          <w:rFonts w:hint="eastAsia"/>
          <w:sz w:val="20"/>
          <w:szCs w:val="18"/>
        </w:rPr>
      </w:pPr>
      <w:r>
        <w:rPr>
          <w:rFonts w:hint="eastAsia" w:ascii="宋体" w:hAnsi="宋体" w:eastAsia="宋体" w:cs="宋体"/>
          <w:i w:val="0"/>
          <w:color w:val="000000"/>
          <w:kern w:val="0"/>
          <w:sz w:val="28"/>
          <w:szCs w:val="28"/>
          <w:u w:val="none"/>
          <w:lang w:val="en-US" w:eastAsia="zh-CN" w:bidi="ar"/>
        </w:rPr>
        <w:t xml:space="preserve">        含税建安工程造价</w:t>
      </w:r>
      <w:r>
        <w:rPr>
          <w:rFonts w:hint="eastAsia"/>
          <w:sz w:val="20"/>
          <w:szCs w:val="18"/>
        </w:rPr>
        <w:t xml:space="preserve">                 </w:t>
      </w:r>
      <w:r>
        <w:rPr>
          <w:rFonts w:hint="eastAsia"/>
          <w:sz w:val="20"/>
          <w:szCs w:val="18"/>
          <w:lang w:val="en-US" w:eastAsia="zh-CN"/>
        </w:rPr>
        <w:t xml:space="preserve"> </w:t>
      </w:r>
      <w:r>
        <w:rPr>
          <w:rFonts w:hint="eastAsia"/>
          <w:sz w:val="20"/>
          <w:szCs w:val="18"/>
        </w:rPr>
        <w:t xml:space="preserve"> </w:t>
      </w:r>
      <w:r>
        <w:rPr>
          <w:sz w:val="20"/>
          <w:szCs w:val="18"/>
        </w:rPr>
        <w:t>金额单位：人民币元</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50"/>
        <w:gridCol w:w="4411"/>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exact"/>
        </w:trPr>
        <w:tc>
          <w:tcPr>
            <w:tcW w:w="697" w:type="pct"/>
            <w:shd w:val="clear" w:color="auto" w:fill="auto"/>
            <w:noWrap w:val="0"/>
            <w:vAlign w:val="center"/>
          </w:tcPr>
          <w:p>
            <w:pPr>
              <w:widowControl/>
              <w:jc w:val="center"/>
              <w:rPr>
                <w:rFonts w:cs="宋体"/>
                <w:sz w:val="20"/>
              </w:rPr>
            </w:pPr>
            <w:r>
              <w:rPr>
                <w:rFonts w:cs="宋体"/>
                <w:sz w:val="20"/>
              </w:rPr>
              <w:t>序号</w:t>
            </w:r>
          </w:p>
        </w:tc>
        <w:tc>
          <w:tcPr>
            <w:tcW w:w="2277" w:type="pct"/>
            <w:shd w:val="clear" w:color="auto" w:fill="auto"/>
            <w:noWrap w:val="0"/>
            <w:vAlign w:val="center"/>
          </w:tcPr>
          <w:p>
            <w:pPr>
              <w:widowControl/>
              <w:jc w:val="center"/>
              <w:rPr>
                <w:rFonts w:cs="宋体"/>
                <w:sz w:val="20"/>
              </w:rPr>
            </w:pPr>
            <w:r>
              <w:rPr>
                <w:rFonts w:cs="宋体"/>
                <w:sz w:val="20"/>
              </w:rPr>
              <w:t>费用名称</w:t>
            </w:r>
          </w:p>
        </w:tc>
        <w:tc>
          <w:tcPr>
            <w:tcW w:w="2025" w:type="pct"/>
            <w:shd w:val="clear" w:color="auto" w:fill="auto"/>
            <w:noWrap w:val="0"/>
            <w:vAlign w:val="center"/>
          </w:tcPr>
          <w:p>
            <w:pPr>
              <w:widowControl/>
              <w:jc w:val="center"/>
              <w:rPr>
                <w:rFonts w:cs="宋体"/>
                <w:sz w:val="20"/>
              </w:rPr>
            </w:pPr>
            <w:r>
              <w:rPr>
                <w:rFonts w:cs="宋体"/>
                <w:sz w:val="20"/>
              </w:rPr>
              <w:t>费用金额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97" w:type="pct"/>
            <w:shd w:val="clear" w:color="auto" w:fill="auto"/>
            <w:noWrap w:val="0"/>
            <w:vAlign w:val="center"/>
          </w:tcPr>
          <w:p>
            <w:pPr>
              <w:widowControl/>
              <w:jc w:val="center"/>
              <w:rPr>
                <w:rFonts w:cs="宋体"/>
                <w:sz w:val="20"/>
              </w:rPr>
            </w:pPr>
            <w:r>
              <w:rPr>
                <w:rFonts w:cs="宋体"/>
                <w:sz w:val="20"/>
              </w:rPr>
              <w:t>1</w:t>
            </w:r>
          </w:p>
        </w:tc>
        <w:tc>
          <w:tcPr>
            <w:tcW w:w="2277" w:type="pct"/>
            <w:shd w:val="clear" w:color="auto" w:fill="auto"/>
            <w:noWrap w:val="0"/>
            <w:vAlign w:val="center"/>
          </w:tcPr>
          <w:p>
            <w:pPr>
              <w:widowControl/>
              <w:jc w:val="center"/>
              <w:rPr>
                <w:rFonts w:cs="宋体"/>
                <w:sz w:val="20"/>
              </w:rPr>
            </w:pPr>
            <w:r>
              <w:rPr>
                <w:rFonts w:hint="eastAsia" w:cs="宋体"/>
                <w:sz w:val="20"/>
                <w:lang w:val="en-US" w:eastAsia="zh-CN"/>
              </w:rPr>
              <w:t>建筑</w:t>
            </w:r>
            <w:r>
              <w:rPr>
                <w:rFonts w:cs="宋体"/>
                <w:sz w:val="20"/>
              </w:rPr>
              <w:t>工程</w:t>
            </w:r>
          </w:p>
        </w:tc>
        <w:tc>
          <w:tcPr>
            <w:tcW w:w="2025" w:type="pct"/>
            <w:shd w:val="clear" w:color="auto" w:fill="auto"/>
            <w:noWrap/>
            <w:vAlign w:val="center"/>
          </w:tcPr>
          <w:p>
            <w:pPr>
              <w:jc w:val="center"/>
              <w:rPr>
                <w:sz w:val="20"/>
              </w:rPr>
            </w:pPr>
            <w:r>
              <w:rPr>
                <w:rFonts w:hint="eastAsia" w:ascii="宋体" w:hAnsi="宋体" w:eastAsia="宋体" w:cs="宋体"/>
                <w:i w:val="0"/>
                <w:iCs w:val="0"/>
                <w:color w:val="000000"/>
                <w:kern w:val="0"/>
                <w:sz w:val="20"/>
                <w:szCs w:val="20"/>
                <w:u w:val="none"/>
                <w:lang w:val="en-US" w:eastAsia="zh-CN" w:bidi="ar"/>
              </w:rPr>
              <w:t>2,616,205.04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97" w:type="pct"/>
            <w:shd w:val="clear" w:color="auto" w:fill="auto"/>
            <w:noWrap w:val="0"/>
            <w:vAlign w:val="center"/>
          </w:tcPr>
          <w:p>
            <w:pPr>
              <w:widowControl/>
              <w:jc w:val="center"/>
              <w:rPr>
                <w:rFonts w:hint="eastAsia" w:cs="宋体"/>
                <w:sz w:val="20"/>
              </w:rPr>
            </w:pPr>
            <w:r>
              <w:rPr>
                <w:rFonts w:hint="eastAsia" w:cs="宋体"/>
                <w:sz w:val="20"/>
              </w:rPr>
              <w:t>2</w:t>
            </w:r>
          </w:p>
        </w:tc>
        <w:tc>
          <w:tcPr>
            <w:tcW w:w="2277" w:type="pct"/>
            <w:shd w:val="clear" w:color="auto" w:fill="auto"/>
            <w:noWrap w:val="0"/>
            <w:vAlign w:val="center"/>
          </w:tcPr>
          <w:p>
            <w:pPr>
              <w:widowControl/>
              <w:jc w:val="center"/>
              <w:rPr>
                <w:rFonts w:cs="宋体"/>
                <w:sz w:val="20"/>
              </w:rPr>
            </w:pPr>
            <w:r>
              <w:rPr>
                <w:rFonts w:hint="eastAsia" w:cs="宋体"/>
                <w:sz w:val="20"/>
                <w:lang w:val="en-US" w:eastAsia="zh-CN"/>
              </w:rPr>
              <w:t>安装</w:t>
            </w:r>
            <w:r>
              <w:rPr>
                <w:rFonts w:cs="宋体"/>
                <w:sz w:val="20"/>
              </w:rPr>
              <w:t>工程</w:t>
            </w:r>
          </w:p>
        </w:tc>
        <w:tc>
          <w:tcPr>
            <w:tcW w:w="2025" w:type="pct"/>
            <w:shd w:val="clear" w:color="auto" w:fill="auto"/>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50,830.32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97" w:type="pct"/>
            <w:shd w:val="clear" w:color="auto" w:fill="auto"/>
            <w:noWrap w:val="0"/>
            <w:vAlign w:val="center"/>
          </w:tcPr>
          <w:p>
            <w:pPr>
              <w:widowControl/>
              <w:jc w:val="center"/>
              <w:rPr>
                <w:rFonts w:hint="eastAsia" w:eastAsia="宋体" w:cs="宋体"/>
                <w:sz w:val="20"/>
                <w:lang w:eastAsia="zh-CN"/>
              </w:rPr>
            </w:pPr>
            <w:r>
              <w:rPr>
                <w:rFonts w:hint="eastAsia" w:cs="宋体"/>
                <w:sz w:val="20"/>
                <w:lang w:val="en-US" w:eastAsia="zh-CN"/>
              </w:rPr>
              <w:t>3</w:t>
            </w:r>
          </w:p>
        </w:tc>
        <w:tc>
          <w:tcPr>
            <w:tcW w:w="2277" w:type="pct"/>
            <w:shd w:val="clear" w:color="auto" w:fill="auto"/>
            <w:noWrap w:val="0"/>
            <w:vAlign w:val="center"/>
          </w:tcPr>
          <w:p>
            <w:pPr>
              <w:widowControl/>
              <w:jc w:val="center"/>
              <w:rPr>
                <w:rFonts w:cs="宋体"/>
                <w:sz w:val="20"/>
              </w:rPr>
            </w:pPr>
            <w:r>
              <w:rPr>
                <w:rFonts w:hint="eastAsia" w:cs="宋体"/>
                <w:sz w:val="20"/>
              </w:rPr>
              <w:t>建安</w:t>
            </w:r>
            <w:r>
              <w:rPr>
                <w:rFonts w:cs="宋体"/>
                <w:sz w:val="20"/>
              </w:rPr>
              <w:t>工程造价</w:t>
            </w:r>
          </w:p>
        </w:tc>
        <w:tc>
          <w:tcPr>
            <w:tcW w:w="2025" w:type="pct"/>
            <w:shd w:val="clear" w:color="auto" w:fill="auto"/>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 xml:space="preserve">2,667,035.36 </w:t>
            </w:r>
          </w:p>
        </w:tc>
      </w:tr>
    </w:tbl>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 xml:space="preserve"> (2)前期及其他费用</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工程建设前期费用及其他费用</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w:t>
      </w:r>
      <w:r>
        <w:rPr>
          <w:rFonts w:hint="default" w:hAnsi="宋体"/>
          <w:sz w:val="28"/>
          <w:szCs w:val="28"/>
          <w:lang w:val="en-US" w:eastAsia="zh-CN"/>
        </w:rPr>
        <w:t>2,667,035.36</w:t>
      </w:r>
      <w:r>
        <w:rPr>
          <w:rFonts w:hint="eastAsia" w:hAnsi="宋体"/>
          <w:sz w:val="28"/>
          <w:szCs w:val="28"/>
          <w:lang w:val="en-US" w:eastAsia="zh-CN"/>
        </w:rPr>
        <w:t>×6.23%</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=166,156.30 元</w:t>
      </w:r>
    </w:p>
    <w:p>
      <w:pPr>
        <w:spacing w:line="500" w:lineRule="exact"/>
        <w:rPr>
          <w:rFonts w:hAnsi="宋体"/>
          <w:sz w:val="28"/>
          <w:szCs w:val="28"/>
        </w:rPr>
      </w:pPr>
      <w:r>
        <w:rPr>
          <w:rFonts w:hAnsi="宋体"/>
          <w:sz w:val="28"/>
          <w:szCs w:val="28"/>
        </w:rPr>
        <w:t xml:space="preserve"> </w:t>
      </w:r>
      <w:r>
        <w:rPr>
          <w:rFonts w:hint="eastAsia" w:hAnsi="宋体"/>
          <w:sz w:val="28"/>
          <w:szCs w:val="28"/>
        </w:rPr>
        <w:t xml:space="preserve">   </w:t>
      </w:r>
      <w:r>
        <w:rPr>
          <w:rFonts w:hAnsi="宋体"/>
          <w:sz w:val="28"/>
          <w:szCs w:val="28"/>
        </w:rPr>
        <w:t>(3)资金成本</w:t>
      </w:r>
    </w:p>
    <w:p>
      <w:pPr>
        <w:spacing w:line="500" w:lineRule="exact"/>
        <w:ind w:firstLine="560" w:firstLineChars="200"/>
        <w:rPr>
          <w:rFonts w:hAnsi="宋体"/>
          <w:sz w:val="28"/>
          <w:szCs w:val="28"/>
        </w:rPr>
      </w:pPr>
      <w:r>
        <w:rPr>
          <w:rFonts w:hAnsi="宋体"/>
          <w:sz w:val="28"/>
          <w:szCs w:val="28"/>
        </w:rPr>
        <w:t>该项目的整体工期按</w:t>
      </w:r>
      <w:r>
        <w:rPr>
          <w:rFonts w:hint="eastAsia" w:hAnsi="宋体"/>
          <w:sz w:val="28"/>
          <w:szCs w:val="28"/>
          <w:lang w:val="en-US" w:eastAsia="zh-CN"/>
        </w:rPr>
        <w:t>2</w:t>
      </w:r>
      <w:r>
        <w:rPr>
          <w:rFonts w:hAnsi="宋体"/>
          <w:sz w:val="28"/>
          <w:szCs w:val="28"/>
        </w:rPr>
        <w:t>年</w:t>
      </w:r>
      <w:r>
        <w:rPr>
          <w:rFonts w:hint="eastAsia" w:hAnsi="宋体"/>
          <w:sz w:val="28"/>
          <w:szCs w:val="28"/>
        </w:rPr>
        <w:t>考虑，</w:t>
      </w:r>
      <w:r>
        <w:rPr>
          <w:rFonts w:hint="eastAsia" w:hAnsi="宋体"/>
          <w:sz w:val="28"/>
          <w:szCs w:val="28"/>
          <w:lang w:eastAsia="zh-CN"/>
        </w:rPr>
        <w:t>建制目前状态按</w:t>
      </w:r>
      <w:r>
        <w:rPr>
          <w:rFonts w:hint="eastAsia" w:hAnsi="宋体"/>
          <w:sz w:val="28"/>
          <w:szCs w:val="28"/>
          <w:lang w:val="en-US" w:eastAsia="zh-CN"/>
        </w:rPr>
        <w:t>1年测算</w:t>
      </w:r>
      <w:r>
        <w:rPr>
          <w:rFonts w:hint="eastAsia" w:hAnsi="宋体"/>
          <w:color w:val="FF0000"/>
          <w:sz w:val="28"/>
          <w:szCs w:val="28"/>
          <w:lang w:val="en-US" w:eastAsia="zh-CN"/>
        </w:rPr>
        <w:t>。</w:t>
      </w:r>
      <w:r>
        <w:rPr>
          <w:rFonts w:hint="eastAsia" w:hAnsi="宋体"/>
          <w:sz w:val="28"/>
          <w:szCs w:val="28"/>
          <w:lang w:val="en-US" w:eastAsia="zh-CN"/>
        </w:rPr>
        <w:t>中国人民银行公布的1年期及以上</w:t>
      </w:r>
      <w:r>
        <w:rPr>
          <w:rFonts w:hint="eastAsia" w:hAnsi="宋体"/>
          <w:sz w:val="28"/>
          <w:szCs w:val="28"/>
        </w:rPr>
        <w:t>LPR</w:t>
      </w:r>
      <w:r>
        <w:rPr>
          <w:rFonts w:hint="eastAsia" w:hAnsi="宋体"/>
          <w:sz w:val="28"/>
          <w:szCs w:val="28"/>
          <w:lang w:val="en-US" w:eastAsia="zh-CN"/>
        </w:rPr>
        <w:t>为3.70</w:t>
      </w:r>
      <w:r>
        <w:rPr>
          <w:rFonts w:hAnsi="宋体"/>
          <w:sz w:val="28"/>
          <w:szCs w:val="28"/>
        </w:rPr>
        <w:t>%，并按照资金均匀投入计算。</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资金成本=（建安工程造价+工程建设前期费用及其他费用）×贷款利率×1.0×1/2</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w:t>
      </w:r>
      <w:bookmarkStart w:id="35" w:name="OLE_LINK25"/>
      <w:bookmarkStart w:id="36" w:name="OLE_LINK41"/>
      <w:r>
        <w:rPr>
          <w:rFonts w:hint="eastAsia" w:hAnsi="宋体"/>
          <w:sz w:val="28"/>
          <w:szCs w:val="28"/>
          <w:lang w:val="en-US" w:eastAsia="zh-CN"/>
        </w:rPr>
        <w:t>（</w:t>
      </w:r>
      <w:r>
        <w:rPr>
          <w:rFonts w:hint="default" w:hAnsi="宋体"/>
          <w:sz w:val="28"/>
          <w:szCs w:val="28"/>
          <w:lang w:val="en-US" w:eastAsia="zh-CN"/>
        </w:rPr>
        <w:t>2,667,035.36</w:t>
      </w:r>
      <w:r>
        <w:rPr>
          <w:rFonts w:hint="eastAsia" w:hAnsi="宋体"/>
          <w:sz w:val="28"/>
          <w:szCs w:val="28"/>
          <w:lang w:val="en-US" w:eastAsia="zh-CN"/>
        </w:rPr>
        <w:t>+166,156.30）×3.70%×1×1/2</w:t>
      </w:r>
      <w:bookmarkEnd w:id="35"/>
    </w:p>
    <w:bookmarkEnd w:id="36"/>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w:t>
      </w:r>
      <w:r>
        <w:rPr>
          <w:rFonts w:hint="eastAsia" w:ascii="宋体" w:hAnsi="宋体" w:eastAsia="宋体" w:cs="宋体"/>
          <w:i w:val="0"/>
          <w:iCs w:val="0"/>
          <w:color w:val="000000"/>
          <w:kern w:val="0"/>
          <w:sz w:val="28"/>
          <w:szCs w:val="28"/>
          <w:u w:val="none"/>
          <w:lang w:val="en-US" w:eastAsia="zh-CN" w:bidi="ar"/>
        </w:rPr>
        <w:t>52,414.05</w:t>
      </w:r>
      <w:r>
        <w:rPr>
          <w:rFonts w:hint="eastAsia" w:hAnsi="宋体"/>
          <w:sz w:val="28"/>
          <w:szCs w:val="28"/>
          <w:lang w:val="en-US" w:eastAsia="zh-CN"/>
        </w:rPr>
        <w:t>元</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（4）重置成本</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重置成本=建筑安装工程造价+工程建设前期费用及其他费用+资金成本</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=2,667,035.36+166,156.30+</w:t>
      </w:r>
      <w:r>
        <w:rPr>
          <w:rFonts w:hint="eastAsia" w:ascii="宋体" w:hAnsi="宋体" w:eastAsia="宋体" w:cs="宋体"/>
          <w:i w:val="0"/>
          <w:iCs w:val="0"/>
          <w:color w:val="000000"/>
          <w:kern w:val="0"/>
          <w:sz w:val="28"/>
          <w:szCs w:val="28"/>
          <w:u w:val="none"/>
          <w:lang w:val="en-US" w:eastAsia="zh-CN" w:bidi="ar"/>
        </w:rPr>
        <w:t>52,414.05</w:t>
      </w:r>
      <w:r>
        <w:rPr>
          <w:rFonts w:hint="eastAsia" w:hAnsi="宋体"/>
          <w:sz w:val="28"/>
          <w:szCs w:val="28"/>
          <w:lang w:val="en-US" w:eastAsia="zh-CN"/>
        </w:rPr>
        <w:t xml:space="preserve">  </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=2,885,605.705 元</w:t>
      </w:r>
    </w:p>
    <w:p>
      <w:pPr>
        <w:spacing w:line="500" w:lineRule="exact"/>
        <w:ind w:firstLine="560" w:firstLineChars="200"/>
        <w:rPr>
          <w:rFonts w:hint="eastAsia" w:hAnsi="宋体"/>
          <w:sz w:val="28"/>
          <w:szCs w:val="28"/>
          <w:lang w:val="en-US" w:eastAsia="zh-CN"/>
        </w:rPr>
      </w:pPr>
      <w:r>
        <w:rPr>
          <w:rFonts w:hint="eastAsia" w:hAnsi="宋体"/>
          <w:sz w:val="28"/>
          <w:szCs w:val="28"/>
          <w:lang w:val="en-US" w:eastAsia="zh-CN"/>
        </w:rPr>
        <w:t>取整为 2,885,605.00元</w:t>
      </w:r>
    </w:p>
    <w:p>
      <w:pPr>
        <w:numPr>
          <w:ilvl w:val="0"/>
          <w:numId w:val="0"/>
        </w:numPr>
        <w:spacing w:line="500" w:lineRule="exact"/>
        <w:rPr>
          <w:sz w:val="28"/>
          <w:szCs w:val="28"/>
        </w:rPr>
      </w:pPr>
      <w:r>
        <w:rPr>
          <w:rFonts w:hint="eastAsia"/>
          <w:sz w:val="28"/>
          <w:szCs w:val="28"/>
          <w:lang w:val="en-US" w:eastAsia="zh-CN"/>
        </w:rPr>
        <w:t xml:space="preserve">    3、</w:t>
      </w:r>
      <w:r>
        <w:rPr>
          <w:sz w:val="28"/>
          <w:szCs w:val="28"/>
        </w:rPr>
        <w:t>成新率的确定</w:t>
      </w:r>
    </w:p>
    <w:p>
      <w:pPr>
        <w:spacing w:line="500" w:lineRule="exact"/>
        <w:ind w:firstLine="560" w:firstLineChars="200"/>
        <w:rPr>
          <w:rFonts w:hint="default" w:hAnsi="宋体" w:eastAsia="宋体" w:cs="Times New Roman"/>
          <w:sz w:val="28"/>
          <w:szCs w:val="28"/>
          <w:lang w:val="en-US" w:eastAsia="zh-CN"/>
        </w:rPr>
      </w:pPr>
      <w:r>
        <w:rPr>
          <w:rFonts w:hint="eastAsia" w:hAnsi="宋体" w:eastAsia="宋体" w:cs="Times New Roman"/>
          <w:sz w:val="28"/>
          <w:szCs w:val="28"/>
          <w:lang w:val="en-US" w:eastAsia="zh-CN"/>
        </w:rPr>
        <w:t>本次评估项目为在建工程，所以成新率取100%。</w:t>
      </w:r>
    </w:p>
    <w:p>
      <w:pPr>
        <w:numPr>
          <w:ilvl w:val="0"/>
          <w:numId w:val="0"/>
        </w:numPr>
        <w:adjustRightInd w:val="0"/>
        <w:spacing w:line="500" w:lineRule="exact"/>
        <w:ind w:firstLine="560" w:firstLineChars="200"/>
        <w:rPr>
          <w:rFonts w:hint="eastAsia" w:hAnsi="宋体"/>
          <w:sz w:val="28"/>
          <w:szCs w:val="28"/>
        </w:rPr>
      </w:pPr>
      <w:r>
        <w:rPr>
          <w:rFonts w:hint="eastAsia" w:hAnsi="宋体"/>
          <w:sz w:val="28"/>
          <w:szCs w:val="28"/>
          <w:lang w:val="en-US" w:eastAsia="zh-CN"/>
        </w:rPr>
        <w:t>4、</w:t>
      </w:r>
      <w:r>
        <w:rPr>
          <w:rFonts w:hint="eastAsia" w:hAnsi="宋体"/>
          <w:sz w:val="28"/>
          <w:szCs w:val="28"/>
        </w:rPr>
        <w:t>评估值的确定</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560" w:firstLineChars="200"/>
        <w:textAlignment w:val="auto"/>
        <w:rPr>
          <w:rFonts w:hint="eastAsia" w:hAnsi="宋体"/>
          <w:sz w:val="28"/>
          <w:szCs w:val="28"/>
          <w:lang w:val="en-US" w:eastAsia="zh-CN"/>
        </w:rPr>
      </w:pPr>
      <w:r>
        <w:rPr>
          <w:rFonts w:hint="eastAsia" w:hAnsi="宋体"/>
          <w:sz w:val="28"/>
          <w:szCs w:val="28"/>
          <w:lang w:val="en-US" w:eastAsia="zh-CN"/>
        </w:rPr>
        <w:t>评估值=重置成本×综合成新率</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560" w:firstLineChars="200"/>
        <w:textAlignment w:val="auto"/>
        <w:rPr>
          <w:rFonts w:hint="eastAsia" w:hAnsi="宋体"/>
          <w:sz w:val="28"/>
          <w:szCs w:val="28"/>
          <w:lang w:val="en-US" w:eastAsia="zh-CN"/>
        </w:rPr>
      </w:pPr>
      <w:r>
        <w:rPr>
          <w:rFonts w:hint="eastAsia" w:hAnsi="宋体"/>
          <w:sz w:val="28"/>
          <w:szCs w:val="28"/>
          <w:lang w:val="en-US" w:eastAsia="zh-CN"/>
        </w:rPr>
        <w:t>= 2,885,605.00×100%</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560" w:firstLineChars="200"/>
        <w:textAlignment w:val="auto"/>
        <w:rPr>
          <w:rFonts w:hint="eastAsia" w:hAnsi="宋体"/>
          <w:sz w:val="28"/>
          <w:szCs w:val="28"/>
          <w:lang w:val="en-US" w:eastAsia="zh-CN"/>
        </w:rPr>
      </w:pPr>
      <w:r>
        <w:rPr>
          <w:rFonts w:hint="eastAsia" w:hAnsi="宋体"/>
          <w:sz w:val="28"/>
          <w:szCs w:val="28"/>
          <w:lang w:val="en-US" w:eastAsia="zh-CN"/>
        </w:rPr>
        <w:t>= 2,885,605.00元</w:t>
      </w:r>
    </w:p>
    <w:tbl>
      <w:tblPr>
        <w:tblStyle w:val="25"/>
        <w:tblW w:w="4662" w:type="pct"/>
        <w:jc w:val="center"/>
        <w:shd w:val="clear" w:color="auto" w:fill="auto"/>
        <w:tblLayout w:type="fixed"/>
        <w:tblCellMar>
          <w:top w:w="0" w:type="dxa"/>
          <w:left w:w="108" w:type="dxa"/>
          <w:bottom w:w="0" w:type="dxa"/>
          <w:right w:w="108" w:type="dxa"/>
        </w:tblCellMar>
      </w:tblPr>
      <w:tblGrid>
        <w:gridCol w:w="1979"/>
        <w:gridCol w:w="1583"/>
        <w:gridCol w:w="1214"/>
        <w:gridCol w:w="1546"/>
        <w:gridCol w:w="2707"/>
      </w:tblGrid>
      <w:tr>
        <w:tblPrEx>
          <w:shd w:val="clear" w:color="auto" w:fill="auto"/>
          <w:tblCellMar>
            <w:top w:w="0" w:type="dxa"/>
            <w:left w:w="108" w:type="dxa"/>
            <w:bottom w:w="0" w:type="dxa"/>
            <w:right w:w="108" w:type="dxa"/>
          </w:tblCellMar>
        </w:tblPrEx>
        <w:trPr>
          <w:trHeight w:val="691" w:hRule="atLeast"/>
          <w:jc w:val="center"/>
        </w:trPr>
        <w:tc>
          <w:tcPr>
            <w:tcW w:w="10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建筑物名称</w:t>
            </w:r>
          </w:p>
        </w:tc>
        <w:tc>
          <w:tcPr>
            <w:tcW w:w="8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结构</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计量单位</w:t>
            </w:r>
          </w:p>
        </w:tc>
        <w:tc>
          <w:tcPr>
            <w:tcW w:w="8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建筑面积</w:t>
            </w:r>
          </w:p>
        </w:tc>
        <w:tc>
          <w:tcPr>
            <w:tcW w:w="1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评估价值（元）</w:t>
            </w:r>
          </w:p>
        </w:tc>
      </w:tr>
      <w:tr>
        <w:tblPrEx>
          <w:shd w:val="clear" w:color="auto" w:fill="auto"/>
          <w:tblCellMar>
            <w:top w:w="0" w:type="dxa"/>
            <w:left w:w="108" w:type="dxa"/>
            <w:bottom w:w="0" w:type="dxa"/>
            <w:right w:w="108" w:type="dxa"/>
          </w:tblCellMar>
        </w:tblPrEx>
        <w:trPr>
          <w:trHeight w:val="685" w:hRule="atLeast"/>
          <w:jc w:val="center"/>
        </w:trPr>
        <w:tc>
          <w:tcPr>
            <w:tcW w:w="109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豊足·汾阳壹号小区5#</w:t>
            </w:r>
          </w:p>
        </w:tc>
        <w:tc>
          <w:tcPr>
            <w:tcW w:w="8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钢筋混凝土框架结构</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w:t>
            </w:r>
            <w:r>
              <w:rPr>
                <w:rFonts w:hint="eastAsia" w:ascii="宋体" w:hAnsi="宋体" w:eastAsia="宋体" w:cs="宋体"/>
                <w:color w:val="auto"/>
                <w:kern w:val="0"/>
                <w:sz w:val="24"/>
                <w:szCs w:val="24"/>
                <w:vertAlign w:val="superscript"/>
              </w:rPr>
              <w:t>2</w:t>
            </w:r>
          </w:p>
        </w:tc>
        <w:tc>
          <w:tcPr>
            <w:tcW w:w="8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5291.59</w:t>
            </w:r>
          </w:p>
        </w:tc>
        <w:tc>
          <w:tcPr>
            <w:tcW w:w="1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hAnsi="宋体" w:cs="宋体"/>
                <w:color w:val="auto"/>
                <w:kern w:val="0"/>
                <w:sz w:val="24"/>
                <w:szCs w:val="24"/>
                <w:lang w:val="en-US" w:eastAsia="zh-CN"/>
              </w:rPr>
            </w:pPr>
            <w:r>
              <w:rPr>
                <w:rFonts w:hint="eastAsia" w:hAnsi="宋体" w:cs="宋体"/>
                <w:color w:val="auto"/>
                <w:kern w:val="0"/>
                <w:sz w:val="24"/>
                <w:szCs w:val="24"/>
                <w:lang w:val="en-US" w:eastAsia="zh-CN"/>
              </w:rPr>
              <w:t>2885605</w:t>
            </w:r>
          </w:p>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（即</w:t>
            </w:r>
            <w:r>
              <w:rPr>
                <w:rFonts w:hint="eastAsia" w:hAnsi="宋体" w:cs="宋体"/>
                <w:color w:val="auto"/>
                <w:kern w:val="0"/>
                <w:sz w:val="24"/>
                <w:szCs w:val="24"/>
                <w:lang w:val="en-US" w:eastAsia="zh-CN"/>
              </w:rPr>
              <w:t>288.56</w:t>
            </w:r>
            <w:r>
              <w:rPr>
                <w:rFonts w:hint="eastAsia" w:ascii="宋体" w:hAnsi="宋体" w:eastAsia="宋体" w:cs="宋体"/>
                <w:color w:val="auto"/>
                <w:kern w:val="0"/>
                <w:sz w:val="24"/>
                <w:szCs w:val="24"/>
                <w:lang w:val="en-US" w:eastAsia="zh-CN"/>
              </w:rPr>
              <w:t xml:space="preserve">万元） </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Ansi="宋体"/>
          <w:b/>
          <w:bCs/>
          <w:color w:val="auto"/>
          <w:sz w:val="28"/>
          <w:szCs w:val="28"/>
          <w:u w:val="single"/>
        </w:rPr>
      </w:pPr>
      <w:bookmarkStart w:id="37" w:name="_Toc105434577"/>
      <w:r>
        <w:rPr>
          <w:rFonts w:hint="eastAsia"/>
          <w:b/>
          <w:bCs/>
          <w:color w:val="auto"/>
          <w:sz w:val="28"/>
          <w:u w:val="single"/>
        </w:rPr>
        <w:t>★</w:t>
      </w:r>
      <w:r>
        <w:rPr>
          <w:rFonts w:hint="eastAsia" w:hAnsi="宋体"/>
          <w:b/>
          <w:bCs/>
          <w:color w:val="auto"/>
          <w:sz w:val="28"/>
          <w:szCs w:val="28"/>
          <w:u w:val="single"/>
        </w:rPr>
        <w:t>运用成本法求取估价对象在建工程房地产开发价值</w:t>
      </w:r>
      <w:bookmarkEnd w:id="37"/>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Ansi="宋体"/>
          <w:color w:val="auto"/>
          <w:sz w:val="28"/>
          <w:szCs w:val="28"/>
        </w:rPr>
      </w:pPr>
      <w:r>
        <w:rPr>
          <w:rFonts w:hint="eastAsia" w:hAnsi="宋体"/>
          <w:color w:val="auto"/>
          <w:sz w:val="28"/>
          <w:szCs w:val="28"/>
        </w:rPr>
        <w:t>估价对象总建筑面积</w:t>
      </w:r>
      <w:r>
        <w:rPr>
          <w:rFonts w:hint="eastAsia" w:hAnsi="宋体"/>
          <w:color w:val="auto"/>
          <w:sz w:val="28"/>
          <w:szCs w:val="28"/>
          <w:lang w:val="en-US" w:eastAsia="zh-CN"/>
        </w:rPr>
        <w:t>1971.99</w:t>
      </w:r>
      <w:r>
        <w:rPr>
          <w:rFonts w:hint="eastAsia" w:hAnsi="宋体"/>
          <w:color w:val="auto"/>
          <w:sz w:val="28"/>
          <w:szCs w:val="28"/>
        </w:rPr>
        <w:t>平方米，土地面</w:t>
      </w:r>
      <w:r>
        <w:rPr>
          <w:rFonts w:hint="eastAsia" w:hAnsi="宋体"/>
          <w:color w:val="000000" w:themeColor="text1"/>
          <w:sz w:val="28"/>
          <w:szCs w:val="28"/>
        </w:rPr>
        <w:t>积为</w:t>
      </w:r>
      <w:r>
        <w:rPr>
          <w:rFonts w:hint="eastAsia" w:hAnsi="宋体" w:cs="宋体"/>
          <w:sz w:val="28"/>
          <w:szCs w:val="28"/>
          <w:lang w:val="en-US" w:eastAsia="zh-CN"/>
        </w:rPr>
        <w:t>962.20</w:t>
      </w:r>
      <w:r>
        <w:rPr>
          <w:rFonts w:hint="eastAsia" w:hAnsi="宋体"/>
          <w:color w:val="000000" w:themeColor="text1"/>
          <w:sz w:val="28"/>
          <w:szCs w:val="28"/>
        </w:rPr>
        <w:t>平方米，土地评估价值为</w:t>
      </w:r>
      <w:r>
        <w:rPr>
          <w:rFonts w:hint="eastAsia"/>
          <w:bCs/>
          <w:sz w:val="28"/>
          <w:lang w:val="en-US" w:eastAsia="zh-CN"/>
        </w:rPr>
        <w:t>179.93</w:t>
      </w:r>
      <w:r>
        <w:rPr>
          <w:rFonts w:hint="eastAsia" w:hAnsi="宋体"/>
          <w:color w:val="000000" w:themeColor="text1"/>
          <w:sz w:val="28"/>
          <w:szCs w:val="28"/>
        </w:rPr>
        <w:t>万元，现状条件下，在建工程重置成本为</w:t>
      </w:r>
      <w:r>
        <w:rPr>
          <w:rFonts w:hint="eastAsia" w:hAnsi="宋体"/>
          <w:color w:val="000000" w:themeColor="text1"/>
          <w:sz w:val="28"/>
          <w:szCs w:val="28"/>
          <w:lang w:val="en-US" w:eastAsia="zh-CN"/>
        </w:rPr>
        <w:t>288.56</w:t>
      </w:r>
      <w:r>
        <w:rPr>
          <w:rFonts w:hint="eastAsia" w:hAnsi="宋体"/>
          <w:color w:val="000000" w:themeColor="text1"/>
          <w:sz w:val="28"/>
          <w:szCs w:val="28"/>
        </w:rPr>
        <w:t>万元。</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Ansi="宋体"/>
          <w:color w:val="auto"/>
          <w:sz w:val="28"/>
          <w:szCs w:val="28"/>
        </w:rPr>
      </w:pPr>
      <w:r>
        <w:rPr>
          <w:rFonts w:hint="eastAsia" w:hAnsi="宋体"/>
          <w:color w:val="auto"/>
          <w:sz w:val="28"/>
          <w:szCs w:val="28"/>
        </w:rPr>
        <w:t>1、土地的利息</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hAnsi="宋体" w:eastAsia="宋体"/>
          <w:color w:val="000000" w:themeColor="text1"/>
          <w:sz w:val="28"/>
          <w:szCs w:val="28"/>
          <w:lang w:eastAsia="zh-CN"/>
        </w:rPr>
      </w:pPr>
      <w:r>
        <w:rPr>
          <w:rFonts w:hAnsi="宋体"/>
          <w:color w:val="auto"/>
          <w:sz w:val="28"/>
          <w:szCs w:val="28"/>
        </w:rPr>
        <w:t>该项目的</w:t>
      </w:r>
      <w:r>
        <w:rPr>
          <w:rFonts w:hint="eastAsia" w:hAnsi="宋体"/>
          <w:color w:val="auto"/>
          <w:sz w:val="28"/>
          <w:szCs w:val="28"/>
          <w:lang w:eastAsia="zh-CN"/>
        </w:rPr>
        <w:t>建设至目前状态</w:t>
      </w:r>
      <w:r>
        <w:rPr>
          <w:rFonts w:hAnsi="宋体"/>
          <w:color w:val="auto"/>
          <w:sz w:val="28"/>
          <w:szCs w:val="28"/>
        </w:rPr>
        <w:t>工期按</w:t>
      </w:r>
      <w:r>
        <w:rPr>
          <w:rFonts w:hint="eastAsia" w:hAnsi="宋体"/>
          <w:color w:val="auto"/>
          <w:sz w:val="28"/>
          <w:szCs w:val="28"/>
          <w:lang w:val="en-US" w:eastAsia="zh-CN"/>
        </w:rPr>
        <w:t>1.0</w:t>
      </w:r>
      <w:r>
        <w:rPr>
          <w:rFonts w:hAnsi="宋体"/>
          <w:color w:val="auto"/>
          <w:sz w:val="28"/>
          <w:szCs w:val="28"/>
        </w:rPr>
        <w:t>年</w:t>
      </w:r>
      <w:r>
        <w:rPr>
          <w:rFonts w:hint="eastAsia" w:hAnsi="宋体"/>
          <w:color w:val="auto"/>
          <w:sz w:val="28"/>
          <w:szCs w:val="28"/>
        </w:rPr>
        <w:t>考虑，以土地价值为基数，</w:t>
      </w:r>
      <w:r>
        <w:rPr>
          <w:rFonts w:hint="eastAsia" w:hAnsi="宋体"/>
          <w:sz w:val="28"/>
          <w:szCs w:val="28"/>
          <w:lang w:val="en-US" w:eastAsia="zh-CN"/>
        </w:rPr>
        <w:t>中国人民银行公布的1年期及以上</w:t>
      </w:r>
      <w:r>
        <w:rPr>
          <w:rFonts w:hint="eastAsia" w:hAnsi="宋体"/>
          <w:sz w:val="28"/>
          <w:szCs w:val="28"/>
        </w:rPr>
        <w:t>LPR</w:t>
      </w:r>
      <w:r>
        <w:rPr>
          <w:rFonts w:hint="eastAsia" w:hAnsi="宋体"/>
          <w:sz w:val="28"/>
          <w:szCs w:val="28"/>
          <w:lang w:val="en-US" w:eastAsia="zh-CN"/>
        </w:rPr>
        <w:t>为3.70</w:t>
      </w:r>
      <w:r>
        <w:rPr>
          <w:rFonts w:hAnsi="宋体"/>
          <w:sz w:val="28"/>
          <w:szCs w:val="28"/>
        </w:rPr>
        <w:t>%，并按照资金均匀投入计算。</w:t>
      </w:r>
      <w:r>
        <w:rPr>
          <w:rFonts w:hint="eastAsia" w:hAnsi="宋体"/>
          <w:color w:val="000000" w:themeColor="text1"/>
          <w:sz w:val="28"/>
          <w:szCs w:val="28"/>
          <w:lang w:eastAsia="zh-CN"/>
        </w:rPr>
        <w:t>因建筑物重置成本已含利息，因此本次仅测算土地利息。</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Ansi="宋体"/>
          <w:bCs/>
          <w:color w:val="000000" w:themeColor="text1"/>
          <w:sz w:val="28"/>
          <w:szCs w:val="28"/>
        </w:rPr>
      </w:pPr>
      <w:r>
        <w:rPr>
          <w:rFonts w:hint="eastAsia" w:hAnsi="宋体"/>
          <w:bCs/>
          <w:color w:val="000000" w:themeColor="text1"/>
          <w:sz w:val="28"/>
          <w:szCs w:val="28"/>
        </w:rPr>
        <w:t>利息=土地价值×[</w:t>
      </w:r>
      <w:r>
        <w:rPr>
          <w:rFonts w:hAnsi="宋体"/>
          <w:bCs/>
          <w:color w:val="000000" w:themeColor="text1"/>
          <w:sz w:val="28"/>
          <w:szCs w:val="28"/>
        </w:rPr>
        <w:t>(1+</w:t>
      </w:r>
      <w:r>
        <w:rPr>
          <w:rFonts w:hint="eastAsia" w:hAnsi="宋体"/>
          <w:bCs/>
          <w:color w:val="000000" w:themeColor="text1"/>
          <w:sz w:val="28"/>
          <w:szCs w:val="28"/>
        </w:rPr>
        <w:t>利率</w:t>
      </w:r>
      <w:r>
        <w:rPr>
          <w:rFonts w:hAnsi="宋体"/>
          <w:bCs/>
          <w:color w:val="000000" w:themeColor="text1"/>
          <w:sz w:val="28"/>
          <w:szCs w:val="28"/>
        </w:rPr>
        <w:t>)^</w:t>
      </w:r>
      <w:r>
        <w:rPr>
          <w:rFonts w:hint="eastAsia" w:hAnsi="宋体"/>
          <w:bCs/>
          <w:color w:val="000000" w:themeColor="text1"/>
          <w:sz w:val="28"/>
          <w:szCs w:val="28"/>
          <w:lang w:val="en-US" w:eastAsia="zh-CN"/>
        </w:rPr>
        <w:t>1</w:t>
      </w:r>
      <w:r>
        <w:rPr>
          <w:rFonts w:hAnsi="宋体"/>
          <w:bCs/>
          <w:color w:val="000000" w:themeColor="text1"/>
          <w:sz w:val="28"/>
          <w:szCs w:val="28"/>
        </w:rPr>
        <w:t>)-1</w:t>
      </w:r>
      <w:r>
        <w:rPr>
          <w:rFonts w:hint="eastAsia" w:hAnsi="宋体"/>
          <w:bCs/>
          <w:color w:val="000000" w:themeColor="text1"/>
          <w:sz w:val="28"/>
          <w:szCs w:val="28"/>
        </w:rPr>
        <w:t>]</w:t>
      </w:r>
    </w:p>
    <w:p>
      <w:pPr>
        <w:keepNext w:val="0"/>
        <w:keepLines w:val="0"/>
        <w:pageBreakBefore w:val="0"/>
        <w:widowControl w:val="0"/>
        <w:kinsoku/>
        <w:wordWrap/>
        <w:overflowPunct/>
        <w:topLinePunct w:val="0"/>
        <w:autoSpaceDE/>
        <w:autoSpaceDN/>
        <w:bidi w:val="0"/>
        <w:adjustRightInd w:val="0"/>
        <w:spacing w:line="520" w:lineRule="exact"/>
        <w:ind w:firstLine="1120" w:firstLineChars="400"/>
        <w:textAlignment w:val="auto"/>
        <w:rPr>
          <w:rFonts w:hAnsi="宋体"/>
          <w:bCs/>
          <w:color w:val="000000" w:themeColor="text1"/>
          <w:sz w:val="28"/>
          <w:szCs w:val="28"/>
        </w:rPr>
      </w:pPr>
      <w:r>
        <w:rPr>
          <w:rFonts w:hint="eastAsia" w:hAnsi="宋体"/>
          <w:color w:val="000000" w:themeColor="text1"/>
          <w:sz w:val="28"/>
          <w:szCs w:val="28"/>
        </w:rPr>
        <w:t>=</w:t>
      </w:r>
      <w:r>
        <w:rPr>
          <w:rFonts w:hint="eastAsia"/>
          <w:bCs/>
          <w:sz w:val="28"/>
          <w:lang w:val="en-US" w:eastAsia="zh-CN"/>
        </w:rPr>
        <w:t>179.93</w:t>
      </w:r>
      <w:r>
        <w:rPr>
          <w:rFonts w:hint="eastAsia" w:hAnsi="宋体"/>
          <w:bCs/>
          <w:color w:val="000000" w:themeColor="text1"/>
          <w:sz w:val="28"/>
          <w:szCs w:val="28"/>
        </w:rPr>
        <w:t>×[</w:t>
      </w:r>
      <w:r>
        <w:rPr>
          <w:rFonts w:hAnsi="宋体"/>
          <w:bCs/>
          <w:color w:val="000000" w:themeColor="text1"/>
          <w:sz w:val="28"/>
          <w:szCs w:val="28"/>
        </w:rPr>
        <w:t>(1+</w:t>
      </w:r>
      <w:r>
        <w:rPr>
          <w:rFonts w:hint="eastAsia" w:hAnsi="宋体"/>
          <w:bCs/>
          <w:color w:val="000000" w:themeColor="text1"/>
          <w:sz w:val="28"/>
          <w:szCs w:val="28"/>
          <w:lang w:val="en-US" w:eastAsia="zh-CN"/>
        </w:rPr>
        <w:t>3.7</w:t>
      </w:r>
      <w:r>
        <w:rPr>
          <w:rFonts w:hAnsi="宋体"/>
          <w:bCs/>
          <w:color w:val="000000" w:themeColor="text1"/>
          <w:sz w:val="28"/>
          <w:szCs w:val="28"/>
        </w:rPr>
        <w:t>%)^</w:t>
      </w:r>
      <w:r>
        <w:rPr>
          <w:rFonts w:hint="eastAsia" w:hAnsi="宋体"/>
          <w:bCs/>
          <w:color w:val="000000" w:themeColor="text1"/>
          <w:sz w:val="28"/>
          <w:szCs w:val="28"/>
          <w:lang w:val="en-US" w:eastAsia="zh-CN"/>
        </w:rPr>
        <w:t>1</w:t>
      </w:r>
      <w:r>
        <w:rPr>
          <w:rFonts w:hAnsi="宋体"/>
          <w:bCs/>
          <w:color w:val="000000" w:themeColor="text1"/>
          <w:sz w:val="28"/>
          <w:szCs w:val="28"/>
        </w:rPr>
        <w:t>)-1</w:t>
      </w:r>
      <w:r>
        <w:rPr>
          <w:rFonts w:hint="eastAsia" w:hAnsi="宋体"/>
          <w:bCs/>
          <w:color w:val="000000" w:themeColor="text1"/>
          <w:sz w:val="28"/>
          <w:szCs w:val="28"/>
        </w:rPr>
        <w:t>]</w:t>
      </w:r>
    </w:p>
    <w:p>
      <w:pPr>
        <w:keepNext w:val="0"/>
        <w:keepLines w:val="0"/>
        <w:pageBreakBefore w:val="0"/>
        <w:widowControl w:val="0"/>
        <w:kinsoku/>
        <w:wordWrap/>
        <w:overflowPunct/>
        <w:topLinePunct w:val="0"/>
        <w:autoSpaceDE/>
        <w:autoSpaceDN/>
        <w:bidi w:val="0"/>
        <w:adjustRightInd w:val="0"/>
        <w:spacing w:line="520" w:lineRule="exact"/>
        <w:ind w:firstLine="1120" w:firstLineChars="400"/>
        <w:textAlignment w:val="auto"/>
        <w:rPr>
          <w:rFonts w:hAnsi="宋体"/>
          <w:bCs/>
          <w:color w:val="000000" w:themeColor="text1"/>
          <w:sz w:val="28"/>
          <w:szCs w:val="28"/>
        </w:rPr>
      </w:pPr>
      <w:r>
        <w:rPr>
          <w:rFonts w:hint="eastAsia" w:hAnsi="宋体"/>
          <w:bCs/>
          <w:color w:val="000000" w:themeColor="text1"/>
          <w:sz w:val="28"/>
          <w:szCs w:val="28"/>
        </w:rPr>
        <w:t>=</w:t>
      </w:r>
      <w:r>
        <w:rPr>
          <w:rFonts w:hint="eastAsia" w:hAnsi="宋体"/>
          <w:bCs/>
          <w:color w:val="000000" w:themeColor="text1"/>
          <w:sz w:val="28"/>
          <w:szCs w:val="28"/>
          <w:lang w:val="en-US" w:eastAsia="zh-CN"/>
        </w:rPr>
        <w:t>6.66</w:t>
      </w:r>
      <w:r>
        <w:rPr>
          <w:rFonts w:hint="eastAsia" w:hAnsi="宋体"/>
          <w:bCs/>
          <w:color w:val="000000" w:themeColor="text1"/>
          <w:sz w:val="28"/>
          <w:szCs w:val="28"/>
        </w:rPr>
        <w:t>万元</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Ansi="宋体"/>
          <w:color w:val="000000" w:themeColor="text1"/>
          <w:sz w:val="28"/>
          <w:szCs w:val="28"/>
        </w:rPr>
      </w:pPr>
      <w:r>
        <w:rPr>
          <w:rFonts w:hint="eastAsia" w:hAnsi="宋体"/>
          <w:color w:val="000000" w:themeColor="text1"/>
          <w:sz w:val="28"/>
          <w:szCs w:val="28"/>
        </w:rPr>
        <w:t>2、开发利润</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int="eastAsia" w:hAnsi="宋体"/>
          <w:color w:val="000000" w:themeColor="text1"/>
          <w:sz w:val="28"/>
          <w:szCs w:val="28"/>
          <w:highlight w:val="red"/>
          <w:lang w:eastAsia="zh-CN"/>
        </w:rPr>
      </w:pPr>
      <w:r>
        <w:rPr>
          <w:rFonts w:hAnsi="宋体"/>
          <w:color w:val="000000" w:themeColor="text1"/>
          <w:sz w:val="28"/>
          <w:szCs w:val="28"/>
        </w:rPr>
        <w:t>该项目</w:t>
      </w:r>
      <w:r>
        <w:rPr>
          <w:rFonts w:hint="eastAsia" w:hAnsi="宋体"/>
          <w:color w:val="000000" w:themeColor="text1"/>
          <w:sz w:val="28"/>
          <w:szCs w:val="28"/>
          <w:lang w:eastAsia="zh-CN"/>
        </w:rPr>
        <w:t>建设至目前状态</w:t>
      </w:r>
      <w:r>
        <w:rPr>
          <w:rFonts w:hAnsi="宋体"/>
          <w:color w:val="000000" w:themeColor="text1"/>
          <w:sz w:val="28"/>
          <w:szCs w:val="28"/>
        </w:rPr>
        <w:t>工期按</w:t>
      </w:r>
      <w:r>
        <w:rPr>
          <w:rFonts w:hint="eastAsia" w:hAnsi="宋体"/>
          <w:color w:val="000000" w:themeColor="text1"/>
          <w:sz w:val="28"/>
          <w:szCs w:val="28"/>
          <w:lang w:val="en-US" w:eastAsia="zh-CN"/>
        </w:rPr>
        <w:t>1</w:t>
      </w:r>
      <w:r>
        <w:rPr>
          <w:rFonts w:hAnsi="宋体"/>
          <w:color w:val="000000" w:themeColor="text1"/>
          <w:sz w:val="28"/>
          <w:szCs w:val="28"/>
        </w:rPr>
        <w:t>年</w:t>
      </w:r>
      <w:r>
        <w:rPr>
          <w:rFonts w:hint="eastAsia" w:hAnsi="宋体"/>
          <w:color w:val="000000" w:themeColor="text1"/>
          <w:sz w:val="28"/>
          <w:szCs w:val="28"/>
        </w:rPr>
        <w:t>考虑，房地产投资为高风险行业，资金投入大，回收周期长，投资利润率也高于其它行业</w:t>
      </w:r>
      <w:r>
        <w:rPr>
          <w:rFonts w:hint="eastAsia" w:hAnsi="宋体"/>
          <w:color w:val="000000" w:themeColor="text1"/>
          <w:sz w:val="28"/>
          <w:szCs w:val="28"/>
          <w:lang w:eastAsia="zh-CN"/>
        </w:rPr>
        <w:t>，本次</w:t>
      </w:r>
      <w:r>
        <w:rPr>
          <w:rFonts w:hint="eastAsia" w:hAnsi="宋体"/>
          <w:color w:val="000000" w:themeColor="text1"/>
          <w:sz w:val="28"/>
          <w:szCs w:val="28"/>
        </w:rPr>
        <w:t>利率按1</w:t>
      </w:r>
      <w:r>
        <w:rPr>
          <w:rFonts w:hint="eastAsia" w:hAnsi="宋体"/>
          <w:color w:val="000000" w:themeColor="text1"/>
          <w:sz w:val="28"/>
          <w:szCs w:val="28"/>
          <w:lang w:val="en-US" w:eastAsia="zh-CN"/>
        </w:rPr>
        <w:t>2</w:t>
      </w:r>
      <w:r>
        <w:rPr>
          <w:rFonts w:hint="eastAsia" w:hAnsi="宋体"/>
          <w:color w:val="000000" w:themeColor="text1"/>
          <w:sz w:val="28"/>
          <w:szCs w:val="28"/>
        </w:rPr>
        <w:t>%进行计算。</w:t>
      </w:r>
      <w:r>
        <w:rPr>
          <w:rFonts w:hint="eastAsia" w:hAnsi="宋体"/>
          <w:color w:val="000000" w:themeColor="text1"/>
          <w:sz w:val="28"/>
          <w:szCs w:val="28"/>
          <w:lang w:eastAsia="zh-CN"/>
        </w:rPr>
        <w:t>土地利润率时间为整个工期，视在建工程在工期内均匀投入：</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Ansi="宋体"/>
          <w:bCs/>
          <w:color w:val="auto"/>
          <w:sz w:val="28"/>
          <w:szCs w:val="28"/>
        </w:rPr>
      </w:pPr>
      <w:r>
        <w:rPr>
          <w:rFonts w:hint="eastAsia" w:hAnsi="宋体"/>
          <w:bCs/>
          <w:color w:val="auto"/>
          <w:sz w:val="28"/>
          <w:szCs w:val="28"/>
        </w:rPr>
        <w:t>利润=土地的利润+建筑的利润</w:t>
      </w:r>
    </w:p>
    <w:p>
      <w:pPr>
        <w:keepNext w:val="0"/>
        <w:keepLines w:val="0"/>
        <w:pageBreakBefore w:val="0"/>
        <w:widowControl w:val="0"/>
        <w:kinsoku/>
        <w:wordWrap/>
        <w:overflowPunct/>
        <w:topLinePunct w:val="0"/>
        <w:autoSpaceDE/>
        <w:autoSpaceDN/>
        <w:bidi w:val="0"/>
        <w:adjustRightInd w:val="0"/>
        <w:spacing w:line="520" w:lineRule="exact"/>
        <w:ind w:left="1117" w:leftChars="532" w:firstLine="0" w:firstLineChars="0"/>
        <w:textAlignment w:val="auto"/>
        <w:rPr>
          <w:rFonts w:hint="eastAsia" w:hAnsi="宋体"/>
          <w:color w:val="000000" w:themeColor="text1"/>
          <w:sz w:val="28"/>
          <w:szCs w:val="28"/>
          <w:lang w:eastAsia="zh-CN"/>
        </w:rPr>
      </w:pPr>
      <w:r>
        <w:rPr>
          <w:rFonts w:hint="eastAsia" w:hAnsi="宋体"/>
          <w:bCs/>
          <w:color w:val="auto"/>
          <w:sz w:val="28"/>
          <w:szCs w:val="28"/>
        </w:rPr>
        <w:t>=土地</w:t>
      </w:r>
      <w:r>
        <w:rPr>
          <w:rFonts w:hint="eastAsia" w:hAnsi="宋体"/>
          <w:bCs/>
          <w:color w:val="auto"/>
          <w:sz w:val="28"/>
          <w:szCs w:val="28"/>
          <w:highlight w:val="none"/>
        </w:rPr>
        <w:t>价值×利润率%×</w:t>
      </w:r>
      <w:r>
        <w:rPr>
          <w:rFonts w:hint="eastAsia" w:hAnsi="宋体"/>
          <w:color w:val="000000" w:themeColor="text1"/>
          <w:sz w:val="28"/>
          <w:szCs w:val="28"/>
          <w:lang w:eastAsia="zh-CN"/>
        </w:rPr>
        <w:t>整个工期</w:t>
      </w:r>
      <w:r>
        <w:rPr>
          <w:rFonts w:hint="eastAsia" w:hAnsi="宋体"/>
          <w:bCs/>
          <w:color w:val="auto"/>
          <w:sz w:val="28"/>
          <w:szCs w:val="28"/>
          <w:highlight w:val="none"/>
        </w:rPr>
        <w:t>+在建工程重置成本×利润率%×</w:t>
      </w:r>
      <w:r>
        <w:rPr>
          <w:rFonts w:hint="eastAsia" w:hAnsi="宋体"/>
          <w:color w:val="000000" w:themeColor="text1"/>
          <w:sz w:val="28"/>
          <w:szCs w:val="28"/>
          <w:lang w:eastAsia="zh-CN"/>
        </w:rPr>
        <w:t>整</w:t>
      </w:r>
    </w:p>
    <w:p>
      <w:pPr>
        <w:keepNext w:val="0"/>
        <w:keepLines w:val="0"/>
        <w:pageBreakBefore w:val="0"/>
        <w:widowControl w:val="0"/>
        <w:kinsoku/>
        <w:wordWrap/>
        <w:overflowPunct/>
        <w:topLinePunct w:val="0"/>
        <w:autoSpaceDE/>
        <w:autoSpaceDN/>
        <w:bidi w:val="0"/>
        <w:adjustRightInd w:val="0"/>
        <w:spacing w:line="520" w:lineRule="exact"/>
        <w:textAlignment w:val="auto"/>
        <w:rPr>
          <w:rFonts w:hint="eastAsia" w:hAnsi="宋体"/>
          <w:bCs/>
          <w:color w:val="auto"/>
          <w:sz w:val="28"/>
          <w:szCs w:val="28"/>
          <w:highlight w:val="none"/>
          <w:lang w:val="en-US" w:eastAsia="zh-CN"/>
        </w:rPr>
      </w:pPr>
      <w:r>
        <w:rPr>
          <w:rFonts w:hint="eastAsia" w:hAnsi="宋体"/>
          <w:color w:val="000000" w:themeColor="text1"/>
          <w:sz w:val="28"/>
          <w:szCs w:val="28"/>
          <w:lang w:eastAsia="zh-CN"/>
        </w:rPr>
        <w:t>个工期</w:t>
      </w:r>
      <w:r>
        <w:rPr>
          <w:rFonts w:hint="eastAsia" w:hAnsi="宋体"/>
          <w:bCs/>
          <w:color w:val="auto"/>
          <w:sz w:val="28"/>
          <w:szCs w:val="28"/>
          <w:highlight w:val="none"/>
        </w:rPr>
        <w:t>×</w:t>
      </w:r>
      <w:r>
        <w:rPr>
          <w:rFonts w:hint="eastAsia" w:hAnsi="宋体"/>
          <w:bCs/>
          <w:color w:val="auto"/>
          <w:sz w:val="28"/>
          <w:szCs w:val="28"/>
          <w:highlight w:val="none"/>
          <w:lang w:val="en-US" w:eastAsia="zh-CN"/>
        </w:rPr>
        <w:t>1/2</w:t>
      </w:r>
    </w:p>
    <w:p>
      <w:pPr>
        <w:keepNext w:val="0"/>
        <w:keepLines w:val="0"/>
        <w:pageBreakBefore w:val="0"/>
        <w:widowControl w:val="0"/>
        <w:kinsoku/>
        <w:wordWrap/>
        <w:overflowPunct/>
        <w:topLinePunct w:val="0"/>
        <w:autoSpaceDE/>
        <w:autoSpaceDN/>
        <w:bidi w:val="0"/>
        <w:adjustRightInd w:val="0"/>
        <w:spacing w:line="520" w:lineRule="exact"/>
        <w:ind w:firstLine="1120" w:firstLineChars="400"/>
        <w:textAlignment w:val="auto"/>
        <w:rPr>
          <w:rFonts w:hint="eastAsia" w:hAnsi="宋体"/>
          <w:bCs/>
          <w:color w:val="auto"/>
          <w:sz w:val="28"/>
          <w:szCs w:val="28"/>
          <w:highlight w:val="none"/>
          <w:lang w:val="en-US" w:eastAsia="zh-CN"/>
        </w:rPr>
      </w:pPr>
      <w:r>
        <w:rPr>
          <w:rFonts w:hint="eastAsia" w:hAnsi="宋体"/>
          <w:color w:val="auto"/>
          <w:sz w:val="28"/>
          <w:szCs w:val="28"/>
          <w:highlight w:val="none"/>
        </w:rPr>
        <w:t>=</w:t>
      </w:r>
      <w:r>
        <w:rPr>
          <w:rFonts w:hint="eastAsia"/>
          <w:bCs/>
          <w:sz w:val="28"/>
          <w:lang w:val="en-US" w:eastAsia="zh-CN"/>
        </w:rPr>
        <w:t>179.93</w:t>
      </w:r>
      <w:r>
        <w:rPr>
          <w:rFonts w:hint="eastAsia" w:hAnsi="宋体"/>
          <w:bCs/>
          <w:color w:val="auto"/>
          <w:sz w:val="28"/>
          <w:szCs w:val="28"/>
          <w:highlight w:val="none"/>
        </w:rPr>
        <w:t>×</w:t>
      </w:r>
      <w:r>
        <w:rPr>
          <w:rFonts w:hint="eastAsia" w:hAnsi="宋体"/>
          <w:color w:val="000000" w:themeColor="text1"/>
          <w:sz w:val="28"/>
          <w:szCs w:val="28"/>
          <w:lang w:eastAsia="zh-CN"/>
        </w:rPr>
        <w:t>1</w:t>
      </w:r>
      <w:r>
        <w:rPr>
          <w:rFonts w:hint="eastAsia" w:hAnsi="宋体"/>
          <w:color w:val="000000" w:themeColor="text1"/>
          <w:sz w:val="28"/>
          <w:szCs w:val="28"/>
          <w:lang w:val="en-US" w:eastAsia="zh-CN"/>
        </w:rPr>
        <w:t>2</w:t>
      </w:r>
      <w:r>
        <w:rPr>
          <w:rFonts w:hint="eastAsia" w:hAnsi="宋体"/>
          <w:color w:val="000000" w:themeColor="text1"/>
          <w:sz w:val="28"/>
          <w:szCs w:val="28"/>
          <w:lang w:eastAsia="zh-CN"/>
        </w:rPr>
        <w:t>%×</w:t>
      </w:r>
      <w:r>
        <w:rPr>
          <w:rFonts w:hint="eastAsia" w:hAnsi="宋体"/>
          <w:color w:val="000000" w:themeColor="text1"/>
          <w:sz w:val="28"/>
          <w:szCs w:val="28"/>
          <w:lang w:val="en-US" w:eastAsia="zh-CN"/>
        </w:rPr>
        <w:t>1</w:t>
      </w:r>
      <w:r>
        <w:rPr>
          <w:rFonts w:hint="eastAsia" w:hAnsi="宋体"/>
          <w:color w:val="000000" w:themeColor="text1"/>
          <w:sz w:val="28"/>
          <w:szCs w:val="28"/>
          <w:lang w:eastAsia="zh-CN"/>
        </w:rPr>
        <w:t>+</w:t>
      </w:r>
      <w:r>
        <w:rPr>
          <w:rFonts w:hint="eastAsia" w:hAnsi="宋体"/>
          <w:color w:val="000000" w:themeColor="text1"/>
          <w:sz w:val="28"/>
          <w:szCs w:val="28"/>
          <w:lang w:val="en-US" w:eastAsia="zh-CN"/>
        </w:rPr>
        <w:t>288.56</w:t>
      </w:r>
      <w:r>
        <w:rPr>
          <w:rFonts w:hint="eastAsia" w:hAnsi="宋体"/>
          <w:color w:val="000000" w:themeColor="text1"/>
          <w:sz w:val="28"/>
          <w:szCs w:val="28"/>
          <w:lang w:eastAsia="zh-CN"/>
        </w:rPr>
        <w:t>×1</w:t>
      </w:r>
      <w:r>
        <w:rPr>
          <w:rFonts w:hint="eastAsia" w:hAnsi="宋体"/>
          <w:color w:val="000000" w:themeColor="text1"/>
          <w:sz w:val="28"/>
          <w:szCs w:val="28"/>
          <w:lang w:val="en-US" w:eastAsia="zh-CN"/>
        </w:rPr>
        <w:t>2</w:t>
      </w:r>
      <w:r>
        <w:rPr>
          <w:rFonts w:hint="eastAsia" w:hAnsi="宋体"/>
          <w:color w:val="000000" w:themeColor="text1"/>
          <w:sz w:val="28"/>
          <w:szCs w:val="28"/>
          <w:lang w:eastAsia="zh-CN"/>
        </w:rPr>
        <w:t>%×</w:t>
      </w:r>
      <w:r>
        <w:rPr>
          <w:rFonts w:hint="eastAsia" w:hAnsi="宋体"/>
          <w:bCs/>
          <w:color w:val="auto"/>
          <w:sz w:val="28"/>
          <w:szCs w:val="28"/>
          <w:highlight w:val="none"/>
          <w:lang w:val="en-US" w:eastAsia="zh-CN"/>
        </w:rPr>
        <w:t>1</w:t>
      </w:r>
      <w:r>
        <w:rPr>
          <w:rFonts w:hint="eastAsia" w:hAnsi="宋体"/>
          <w:bCs/>
          <w:color w:val="auto"/>
          <w:sz w:val="28"/>
          <w:szCs w:val="28"/>
          <w:highlight w:val="none"/>
        </w:rPr>
        <w:t>×</w:t>
      </w:r>
      <w:r>
        <w:rPr>
          <w:rFonts w:hint="eastAsia" w:hAnsi="宋体"/>
          <w:bCs/>
          <w:color w:val="auto"/>
          <w:sz w:val="28"/>
          <w:szCs w:val="28"/>
          <w:highlight w:val="none"/>
          <w:lang w:val="en-US" w:eastAsia="zh-CN"/>
        </w:rPr>
        <w:t>0.5</w:t>
      </w:r>
    </w:p>
    <w:p>
      <w:pPr>
        <w:keepNext w:val="0"/>
        <w:keepLines w:val="0"/>
        <w:pageBreakBefore w:val="0"/>
        <w:widowControl w:val="0"/>
        <w:kinsoku/>
        <w:wordWrap/>
        <w:overflowPunct/>
        <w:topLinePunct w:val="0"/>
        <w:autoSpaceDE/>
        <w:autoSpaceDN/>
        <w:bidi w:val="0"/>
        <w:adjustRightInd w:val="0"/>
        <w:spacing w:line="520" w:lineRule="exact"/>
        <w:ind w:firstLine="1120" w:firstLineChars="400"/>
        <w:textAlignment w:val="auto"/>
        <w:rPr>
          <w:rFonts w:hAnsi="宋体"/>
          <w:bCs/>
          <w:color w:val="auto"/>
          <w:sz w:val="28"/>
          <w:szCs w:val="28"/>
          <w:highlight w:val="none"/>
        </w:rPr>
      </w:pPr>
      <w:r>
        <w:rPr>
          <w:rFonts w:hint="eastAsia" w:hAnsi="宋体"/>
          <w:bCs/>
          <w:color w:val="auto"/>
          <w:sz w:val="28"/>
          <w:szCs w:val="28"/>
          <w:highlight w:val="none"/>
        </w:rPr>
        <w:t>=</w:t>
      </w:r>
      <w:r>
        <w:rPr>
          <w:rFonts w:hint="eastAsia" w:hAnsi="宋体"/>
          <w:bCs/>
          <w:color w:val="auto"/>
          <w:sz w:val="28"/>
          <w:szCs w:val="28"/>
          <w:highlight w:val="none"/>
          <w:lang w:val="en-US" w:eastAsia="zh-CN"/>
        </w:rPr>
        <w:t>38.91</w:t>
      </w:r>
      <w:r>
        <w:rPr>
          <w:rFonts w:hint="eastAsia" w:hAnsi="宋体"/>
          <w:bCs/>
          <w:color w:val="auto"/>
          <w:sz w:val="28"/>
          <w:szCs w:val="28"/>
          <w:highlight w:val="none"/>
        </w:rPr>
        <w:t>万元</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hint="eastAsia" w:hAnsi="宋体"/>
          <w:bCs/>
          <w:color w:val="auto"/>
          <w:sz w:val="28"/>
          <w:szCs w:val="28"/>
          <w:highlight w:val="none"/>
        </w:rPr>
      </w:pPr>
      <w:r>
        <w:rPr>
          <w:rFonts w:hint="eastAsia" w:hAnsi="宋体"/>
          <w:bCs/>
          <w:color w:val="auto"/>
          <w:sz w:val="28"/>
          <w:szCs w:val="28"/>
          <w:highlight w:val="none"/>
        </w:rPr>
        <w:t>3、基础设施配套费</w:t>
      </w:r>
    </w:p>
    <w:p>
      <w:pPr>
        <w:pStyle w:val="2"/>
        <w:rPr>
          <w:rFonts w:hint="eastAsia" w:ascii="宋体" w:hAnsi="宋体" w:eastAsia="宋体" w:cs="Times New Roman"/>
          <w:bCs/>
          <w:color w:val="auto"/>
          <w:kern w:val="2"/>
          <w:sz w:val="28"/>
          <w:szCs w:val="28"/>
          <w:highlight w:val="none"/>
          <w:lang w:val="en-US" w:eastAsia="zh-CN" w:bidi="ar-SA"/>
        </w:rPr>
      </w:pPr>
      <w:r>
        <w:rPr>
          <w:rFonts w:hint="eastAsia" w:ascii="宋体" w:hAnsi="宋体" w:eastAsia="宋体" w:cs="Times New Roman"/>
          <w:bCs/>
          <w:color w:val="auto"/>
          <w:kern w:val="2"/>
          <w:sz w:val="28"/>
          <w:szCs w:val="28"/>
          <w:highlight w:val="none"/>
          <w:lang w:val="en-US" w:eastAsia="zh-CN" w:bidi="ar-SA"/>
        </w:rPr>
        <w:t>因估价对象属于棚户区改造项目，不缴纳基础设施配套费，故本项为零。</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4、不可预见费</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不可预见费是建筑工程预算之外可能发生的一些其他特殊费用，一般按5-7%计取，根据实际情况本次估价取5%。</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bCs/>
          <w:color w:val="auto"/>
          <w:sz w:val="28"/>
          <w:szCs w:val="28"/>
        </w:rPr>
      </w:pPr>
      <w:r>
        <w:rPr>
          <w:rFonts w:hint="eastAsia" w:hAnsi="宋体"/>
          <w:color w:val="auto"/>
          <w:sz w:val="28"/>
          <w:szCs w:val="28"/>
        </w:rPr>
        <w:t>不可预见费=（土地价值+在建工程重置成本）</w:t>
      </w:r>
      <w:r>
        <w:rPr>
          <w:rFonts w:hint="eastAsia" w:hAnsi="宋体"/>
          <w:bCs/>
          <w:color w:val="auto"/>
          <w:sz w:val="28"/>
          <w:szCs w:val="28"/>
        </w:rPr>
        <w:t>×5%</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bCs/>
          <w:color w:val="auto"/>
          <w:sz w:val="28"/>
          <w:szCs w:val="28"/>
        </w:rPr>
        <w:t xml:space="preserve">          </w:t>
      </w:r>
      <w:r>
        <w:rPr>
          <w:rFonts w:hint="eastAsia" w:hAnsi="宋体"/>
          <w:color w:val="auto"/>
          <w:sz w:val="28"/>
          <w:szCs w:val="28"/>
        </w:rPr>
        <w:t>=（</w:t>
      </w:r>
      <w:r>
        <w:rPr>
          <w:rFonts w:hint="eastAsia" w:hAnsi="宋体"/>
          <w:color w:val="auto"/>
          <w:sz w:val="28"/>
          <w:szCs w:val="28"/>
          <w:lang w:val="en-US" w:eastAsia="zh-CN"/>
        </w:rPr>
        <w:t>179.93</w:t>
      </w:r>
      <w:r>
        <w:rPr>
          <w:rFonts w:hint="eastAsia" w:hAnsi="宋体"/>
          <w:color w:val="auto"/>
          <w:sz w:val="28"/>
          <w:szCs w:val="28"/>
        </w:rPr>
        <w:t>+</w:t>
      </w:r>
      <w:r>
        <w:rPr>
          <w:rFonts w:hint="eastAsia" w:hAnsi="宋体"/>
          <w:color w:val="000000" w:themeColor="text1"/>
          <w:sz w:val="28"/>
          <w:szCs w:val="28"/>
          <w:lang w:val="en-US" w:eastAsia="zh-CN"/>
        </w:rPr>
        <w:t>288.56</w:t>
      </w:r>
      <w:r>
        <w:rPr>
          <w:rFonts w:hint="eastAsia" w:hAnsi="宋体"/>
          <w:color w:val="auto"/>
          <w:sz w:val="28"/>
          <w:szCs w:val="28"/>
        </w:rPr>
        <w:t>）×5%</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hAnsi="宋体" w:eastAsia="宋体"/>
          <w:color w:val="auto"/>
          <w:sz w:val="28"/>
          <w:szCs w:val="28"/>
          <w:lang w:val="en-US" w:eastAsia="zh-CN"/>
        </w:rPr>
      </w:pPr>
      <w:r>
        <w:rPr>
          <w:rFonts w:hint="eastAsia" w:hAnsi="宋体"/>
          <w:color w:val="auto"/>
          <w:sz w:val="28"/>
          <w:szCs w:val="28"/>
        </w:rPr>
        <w:t xml:space="preserve">          =</w:t>
      </w:r>
      <w:r>
        <w:rPr>
          <w:rFonts w:hint="eastAsia" w:hAnsi="宋体"/>
          <w:color w:val="auto"/>
          <w:sz w:val="28"/>
          <w:szCs w:val="28"/>
          <w:lang w:val="en-US" w:eastAsia="zh-CN"/>
        </w:rPr>
        <w:t>23.42</w:t>
      </w:r>
      <w:r>
        <w:rPr>
          <w:rFonts w:hint="eastAsia" w:hAnsi="宋体"/>
          <w:color w:val="auto"/>
          <w:sz w:val="28"/>
          <w:szCs w:val="28"/>
        </w:rPr>
        <w:t>万元</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5、管理费</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Ansi="宋体"/>
          <w:color w:val="auto"/>
          <w:sz w:val="28"/>
          <w:szCs w:val="28"/>
        </w:rPr>
        <w:t>管理费用是指企业行政管理部门(公司总部)为组织和管理房地产开发经营活动而发生的各项费用（通常包括行政管理人员工资、职工福利费、办公费、差旅费等）</w:t>
      </w:r>
      <w:r>
        <w:rPr>
          <w:rFonts w:hint="eastAsia" w:hAnsi="宋体"/>
          <w:color w:val="auto"/>
          <w:sz w:val="28"/>
          <w:szCs w:val="28"/>
        </w:rPr>
        <w:t>，一般按2-5%计取，根据估价对象实际情况，本次评估取</w:t>
      </w:r>
      <w:r>
        <w:rPr>
          <w:rFonts w:hint="eastAsia" w:hAnsi="宋体"/>
          <w:color w:val="auto"/>
          <w:sz w:val="28"/>
          <w:szCs w:val="28"/>
          <w:lang w:val="en-US" w:eastAsia="zh-CN"/>
        </w:rPr>
        <w:t>3</w:t>
      </w:r>
      <w:r>
        <w:rPr>
          <w:rFonts w:hint="eastAsia" w:hAnsi="宋体"/>
          <w:color w:val="auto"/>
          <w:sz w:val="28"/>
          <w:szCs w:val="28"/>
        </w:rPr>
        <w:t>%。</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bCs/>
          <w:color w:val="auto"/>
          <w:sz w:val="28"/>
          <w:szCs w:val="28"/>
        </w:rPr>
      </w:pPr>
      <w:r>
        <w:rPr>
          <w:rFonts w:hint="eastAsia" w:hAnsi="宋体"/>
          <w:color w:val="auto"/>
          <w:sz w:val="28"/>
          <w:szCs w:val="28"/>
        </w:rPr>
        <w:t>管理费=（土地价值+在建工程重置成本）</w:t>
      </w:r>
      <w:r>
        <w:rPr>
          <w:rFonts w:hint="eastAsia" w:hAnsi="宋体"/>
          <w:bCs/>
          <w:color w:val="auto"/>
          <w:sz w:val="28"/>
          <w:szCs w:val="28"/>
        </w:rPr>
        <w:t>×</w:t>
      </w:r>
      <w:r>
        <w:rPr>
          <w:rFonts w:hint="eastAsia" w:hAnsi="宋体"/>
          <w:bCs/>
          <w:color w:val="auto"/>
          <w:sz w:val="28"/>
          <w:szCs w:val="28"/>
          <w:lang w:val="en-US" w:eastAsia="zh-CN"/>
        </w:rPr>
        <w:t>3</w:t>
      </w:r>
      <w:r>
        <w:rPr>
          <w:rFonts w:hint="eastAsia" w:hAnsi="宋体"/>
          <w:bCs/>
          <w:color w:val="auto"/>
          <w:sz w:val="28"/>
          <w:szCs w:val="28"/>
        </w:rPr>
        <w:t>%</w:t>
      </w:r>
    </w:p>
    <w:p>
      <w:pPr>
        <w:keepNext w:val="0"/>
        <w:keepLines w:val="0"/>
        <w:pageBreakBefore w:val="0"/>
        <w:widowControl w:val="0"/>
        <w:kinsoku/>
        <w:wordWrap/>
        <w:overflowPunct/>
        <w:topLinePunct w:val="0"/>
        <w:autoSpaceDE/>
        <w:autoSpaceDN/>
        <w:bidi w:val="0"/>
        <w:spacing w:line="520" w:lineRule="exact"/>
        <w:ind w:firstLine="1400" w:firstLineChars="500"/>
        <w:textAlignment w:val="auto"/>
        <w:rPr>
          <w:rFonts w:hint="eastAsia" w:hAnsi="宋体"/>
          <w:bCs/>
          <w:color w:val="auto"/>
          <w:sz w:val="28"/>
          <w:szCs w:val="28"/>
        </w:rPr>
      </w:pPr>
      <w:r>
        <w:rPr>
          <w:rFonts w:hint="eastAsia" w:hAnsi="宋体"/>
          <w:color w:val="auto"/>
          <w:sz w:val="28"/>
          <w:szCs w:val="28"/>
        </w:rPr>
        <w:t>=（</w:t>
      </w:r>
      <w:r>
        <w:rPr>
          <w:rFonts w:hint="eastAsia" w:hAnsi="宋体"/>
          <w:color w:val="auto"/>
          <w:sz w:val="28"/>
          <w:szCs w:val="28"/>
          <w:lang w:val="en-US" w:eastAsia="zh-CN"/>
        </w:rPr>
        <w:t>179.93</w:t>
      </w:r>
      <w:r>
        <w:rPr>
          <w:rFonts w:hint="eastAsia" w:hAnsi="宋体"/>
          <w:color w:val="auto"/>
          <w:sz w:val="28"/>
          <w:szCs w:val="28"/>
        </w:rPr>
        <w:t>+</w:t>
      </w:r>
      <w:r>
        <w:rPr>
          <w:rFonts w:hint="eastAsia" w:hAnsi="宋体"/>
          <w:color w:val="000000" w:themeColor="text1"/>
          <w:sz w:val="28"/>
          <w:szCs w:val="28"/>
          <w:lang w:val="en-US" w:eastAsia="zh-CN"/>
        </w:rPr>
        <w:t>288.56</w:t>
      </w:r>
      <w:r>
        <w:rPr>
          <w:rFonts w:hint="eastAsia" w:hAnsi="宋体"/>
          <w:color w:val="auto"/>
          <w:sz w:val="28"/>
          <w:szCs w:val="28"/>
        </w:rPr>
        <w:t>）</w:t>
      </w:r>
      <w:r>
        <w:rPr>
          <w:rFonts w:hint="eastAsia" w:hAnsi="宋体"/>
          <w:bCs/>
          <w:color w:val="auto"/>
          <w:sz w:val="28"/>
          <w:szCs w:val="28"/>
        </w:rPr>
        <w:t>×</w:t>
      </w:r>
      <w:r>
        <w:rPr>
          <w:rFonts w:hint="eastAsia" w:hAnsi="宋体"/>
          <w:bCs/>
          <w:color w:val="auto"/>
          <w:sz w:val="28"/>
          <w:szCs w:val="28"/>
          <w:lang w:val="en-US" w:eastAsia="zh-CN"/>
        </w:rPr>
        <w:t>3</w:t>
      </w:r>
      <w:r>
        <w:rPr>
          <w:rFonts w:hint="eastAsia" w:hAnsi="宋体"/>
          <w:bCs/>
          <w:color w:val="auto"/>
          <w:sz w:val="28"/>
          <w:szCs w:val="28"/>
        </w:rPr>
        <w:t>%</w:t>
      </w:r>
    </w:p>
    <w:p>
      <w:pPr>
        <w:keepNext w:val="0"/>
        <w:keepLines w:val="0"/>
        <w:pageBreakBefore w:val="0"/>
        <w:widowControl w:val="0"/>
        <w:kinsoku/>
        <w:wordWrap/>
        <w:overflowPunct/>
        <w:topLinePunct w:val="0"/>
        <w:autoSpaceDE/>
        <w:autoSpaceDN/>
        <w:bidi w:val="0"/>
        <w:spacing w:line="520" w:lineRule="exact"/>
        <w:ind w:firstLine="1400" w:firstLineChars="500"/>
        <w:textAlignment w:val="auto"/>
        <w:rPr>
          <w:rFonts w:hint="eastAsia" w:hAnsi="宋体"/>
          <w:color w:val="auto"/>
          <w:sz w:val="28"/>
          <w:szCs w:val="28"/>
        </w:rPr>
      </w:pPr>
      <w:r>
        <w:rPr>
          <w:rFonts w:hint="eastAsia" w:hAnsi="宋体"/>
          <w:color w:val="auto"/>
          <w:sz w:val="28"/>
          <w:szCs w:val="28"/>
        </w:rPr>
        <w:t>=</w:t>
      </w:r>
      <w:r>
        <w:rPr>
          <w:rFonts w:hint="eastAsia" w:hAnsi="宋体"/>
          <w:color w:val="auto"/>
          <w:sz w:val="28"/>
          <w:szCs w:val="28"/>
          <w:lang w:val="en-US" w:eastAsia="zh-CN"/>
        </w:rPr>
        <w:t>14.05</w:t>
      </w:r>
      <w:r>
        <w:rPr>
          <w:rFonts w:hint="eastAsia" w:hAnsi="宋体"/>
          <w:color w:val="auto"/>
          <w:sz w:val="28"/>
          <w:szCs w:val="28"/>
        </w:rPr>
        <w:t>万元</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6、房地产价值=土地价值+在建工程重置成本+土地利息+开发利润+基础设施配套费+不可预见费+管理费</w:t>
      </w:r>
    </w:p>
    <w:p>
      <w:pPr>
        <w:keepNext w:val="0"/>
        <w:keepLines w:val="0"/>
        <w:pageBreakBefore w:val="0"/>
        <w:widowControl w:val="0"/>
        <w:kinsoku/>
        <w:wordWrap/>
        <w:overflowPunct/>
        <w:topLinePunct w:val="0"/>
        <w:autoSpaceDE/>
        <w:autoSpaceDN/>
        <w:bidi w:val="0"/>
        <w:spacing w:line="520" w:lineRule="exact"/>
        <w:ind w:firstLine="1260" w:firstLineChars="450"/>
        <w:textAlignment w:val="auto"/>
        <w:rPr>
          <w:rFonts w:hint="default" w:hAnsi="宋体" w:eastAsia="宋体"/>
          <w:color w:val="auto"/>
          <w:sz w:val="28"/>
          <w:szCs w:val="28"/>
          <w:lang w:val="en-US" w:eastAsia="zh-CN"/>
        </w:rPr>
      </w:pPr>
      <w:r>
        <w:rPr>
          <w:rFonts w:hint="eastAsia" w:hAnsi="宋体"/>
          <w:color w:val="auto"/>
          <w:sz w:val="28"/>
          <w:szCs w:val="28"/>
        </w:rPr>
        <w:t>=</w:t>
      </w:r>
      <w:r>
        <w:rPr>
          <w:rFonts w:hint="eastAsia" w:hAnsi="宋体"/>
          <w:color w:val="auto"/>
          <w:sz w:val="28"/>
          <w:szCs w:val="28"/>
          <w:lang w:val="en-US" w:eastAsia="zh-CN"/>
        </w:rPr>
        <w:t>179.93</w:t>
      </w:r>
      <w:r>
        <w:rPr>
          <w:rFonts w:hint="eastAsia" w:hAnsi="宋体"/>
          <w:color w:val="auto"/>
          <w:sz w:val="28"/>
          <w:szCs w:val="28"/>
        </w:rPr>
        <w:t>+</w:t>
      </w:r>
      <w:r>
        <w:rPr>
          <w:rFonts w:hint="eastAsia" w:hAnsi="宋体"/>
          <w:color w:val="000000" w:themeColor="text1"/>
          <w:sz w:val="28"/>
          <w:szCs w:val="28"/>
          <w:lang w:val="en-US" w:eastAsia="zh-CN"/>
        </w:rPr>
        <w:t>288.56</w:t>
      </w:r>
      <w:r>
        <w:rPr>
          <w:rFonts w:hint="eastAsia" w:hAnsi="宋体"/>
          <w:color w:val="auto"/>
          <w:sz w:val="28"/>
          <w:szCs w:val="28"/>
        </w:rPr>
        <w:t>+</w:t>
      </w:r>
      <w:r>
        <w:rPr>
          <w:rFonts w:hint="eastAsia" w:hAnsi="宋体"/>
          <w:bCs/>
          <w:color w:val="auto"/>
          <w:sz w:val="28"/>
          <w:szCs w:val="28"/>
          <w:lang w:val="en-US" w:eastAsia="zh-CN"/>
        </w:rPr>
        <w:t>6.66</w:t>
      </w:r>
      <w:r>
        <w:rPr>
          <w:rFonts w:hint="eastAsia" w:hAnsi="宋体"/>
          <w:bCs/>
          <w:color w:val="auto"/>
          <w:sz w:val="28"/>
          <w:szCs w:val="28"/>
        </w:rPr>
        <w:t>+</w:t>
      </w:r>
      <w:r>
        <w:rPr>
          <w:rFonts w:hint="eastAsia" w:hAnsi="宋体"/>
          <w:bCs/>
          <w:color w:val="auto"/>
          <w:sz w:val="28"/>
          <w:szCs w:val="28"/>
          <w:lang w:val="en-US" w:eastAsia="zh-CN"/>
        </w:rPr>
        <w:t>38.91</w:t>
      </w:r>
      <w:r>
        <w:rPr>
          <w:rFonts w:hint="eastAsia" w:hAnsi="宋体"/>
          <w:bCs/>
          <w:color w:val="auto"/>
          <w:sz w:val="28"/>
          <w:szCs w:val="28"/>
        </w:rPr>
        <w:t>+</w:t>
      </w:r>
      <w:r>
        <w:rPr>
          <w:rFonts w:hint="eastAsia" w:hAnsi="宋体"/>
          <w:color w:val="auto"/>
          <w:sz w:val="28"/>
          <w:szCs w:val="28"/>
          <w:lang w:val="en-US" w:eastAsia="zh-CN"/>
        </w:rPr>
        <w:t>23.42</w:t>
      </w:r>
      <w:r>
        <w:rPr>
          <w:rFonts w:hint="eastAsia" w:hAnsi="宋体"/>
          <w:color w:val="auto"/>
          <w:sz w:val="28"/>
          <w:szCs w:val="28"/>
        </w:rPr>
        <w:t>+</w:t>
      </w:r>
      <w:r>
        <w:rPr>
          <w:rFonts w:hint="eastAsia" w:hAnsi="宋体"/>
          <w:color w:val="auto"/>
          <w:sz w:val="28"/>
          <w:szCs w:val="28"/>
          <w:lang w:val="en-US" w:eastAsia="zh-CN"/>
        </w:rPr>
        <w:t>14.05</w:t>
      </w:r>
    </w:p>
    <w:p>
      <w:pPr>
        <w:pStyle w:val="14"/>
        <w:keepNext w:val="0"/>
        <w:keepLines w:val="0"/>
        <w:pageBreakBefore w:val="0"/>
        <w:widowControl w:val="0"/>
        <w:kinsoku/>
        <w:wordWrap/>
        <w:overflowPunct/>
        <w:topLinePunct w:val="0"/>
        <w:autoSpaceDE/>
        <w:autoSpaceDN/>
        <w:bidi w:val="0"/>
        <w:spacing w:line="520" w:lineRule="exact"/>
        <w:ind w:firstLine="1260" w:firstLineChars="450"/>
        <w:textAlignment w:val="auto"/>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546.85</w:t>
      </w:r>
      <w:r>
        <w:rPr>
          <w:rFonts w:hint="eastAsia" w:hAnsi="宋体"/>
          <w:color w:val="auto"/>
          <w:sz w:val="28"/>
          <w:szCs w:val="28"/>
        </w:rPr>
        <w:t>万元</w:t>
      </w:r>
    </w:p>
    <w:bookmarkEnd w:id="34"/>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Ansi="宋体"/>
          <w:b/>
          <w:bCs/>
          <w:color w:val="auto"/>
          <w:sz w:val="28"/>
          <w:szCs w:val="28"/>
        </w:rPr>
      </w:pPr>
      <w:bookmarkStart w:id="38" w:name="_Toc105434578"/>
      <w:r>
        <w:rPr>
          <w:rFonts w:hint="eastAsia" w:hAnsi="宋体"/>
          <w:b/>
          <w:bCs/>
          <w:color w:val="auto"/>
          <w:sz w:val="28"/>
          <w:szCs w:val="28"/>
        </w:rPr>
        <w:t>（二）运用假设开发法求取估价对象在建工程房地产开发价值</w:t>
      </w:r>
      <w:bookmarkEnd w:id="38"/>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1、选择具体估价方法</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本次测算选用的具体方法为静态分析法，基本公式如下：</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在建工程房地产价值＝续建完成后价值-续建成本-管理费用-销售费用-续建利息-续建利润</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bCs/>
          <w:color w:val="auto"/>
          <w:sz w:val="28"/>
          <w:szCs w:val="28"/>
        </w:rPr>
      </w:pPr>
      <w:r>
        <w:rPr>
          <w:rFonts w:hint="eastAsia" w:hAnsi="宋体"/>
          <w:bCs/>
          <w:color w:val="auto"/>
          <w:sz w:val="28"/>
          <w:szCs w:val="28"/>
        </w:rPr>
        <w:t>2、选择估价前提</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由于本次估价目的是为确定房地产进行司法裁定提供参考依据而评估房地产抵押价值，故本次选用假设开发法的估价前提是被迫转让前提。</w:t>
      </w:r>
    </w:p>
    <w:p>
      <w:pPr>
        <w:keepNext w:val="0"/>
        <w:keepLines w:val="0"/>
        <w:pageBreakBefore w:val="0"/>
        <w:widowControl w:val="0"/>
        <w:numPr>
          <w:ilvl w:val="0"/>
          <w:numId w:val="4"/>
        </w:numPr>
        <w:kinsoku/>
        <w:wordWrap/>
        <w:overflowPunct/>
        <w:topLinePunct w:val="0"/>
        <w:autoSpaceDE/>
        <w:autoSpaceDN/>
        <w:bidi w:val="0"/>
        <w:spacing w:line="520" w:lineRule="exact"/>
        <w:ind w:firstLine="560"/>
        <w:textAlignment w:val="auto"/>
        <w:rPr>
          <w:rFonts w:hAnsi="宋体"/>
          <w:color w:val="auto"/>
          <w:sz w:val="28"/>
          <w:szCs w:val="28"/>
        </w:rPr>
      </w:pPr>
      <w:r>
        <w:rPr>
          <w:rFonts w:hint="eastAsia" w:hAnsi="宋体"/>
          <w:color w:val="auto"/>
          <w:sz w:val="28"/>
          <w:szCs w:val="28"/>
        </w:rPr>
        <w:t>开发完成后的价值的测算</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hAnsi="宋体"/>
          <w:color w:val="auto"/>
          <w:sz w:val="28"/>
          <w:lang w:val="en-US" w:eastAsia="zh-CN"/>
        </w:rPr>
      </w:pPr>
      <w:r>
        <w:rPr>
          <w:rFonts w:hint="eastAsia" w:hAnsi="宋体"/>
          <w:color w:val="auto"/>
          <w:sz w:val="28"/>
          <w:lang w:val="en-US" w:eastAsia="zh-CN"/>
        </w:rPr>
        <w:t>估价对象为5号楼，目前已完成地下土建工程，地面工程仅有露出的钢筋，目前处于停工状态。</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default" w:hAnsi="宋体" w:eastAsia="宋体"/>
          <w:color w:val="000000" w:themeColor="text1"/>
          <w:sz w:val="28"/>
          <w:szCs w:val="28"/>
          <w:lang w:val="en-US" w:eastAsia="zh-CN"/>
        </w:rPr>
      </w:pPr>
      <w:r>
        <w:rPr>
          <w:rFonts w:hint="eastAsia" w:hAnsi="宋体" w:cs="宋体"/>
          <w:sz w:val="28"/>
          <w:szCs w:val="28"/>
          <w:lang w:val="en-US" w:eastAsia="zh-CN"/>
        </w:rPr>
        <w:t>5号楼总建筑面积为5291.59平方米，地上建筑面积为3319.60平方米，地下建筑面积为1971.99平方米，分摊土地面积962.20平方米。</w:t>
      </w:r>
    </w:p>
    <w:p>
      <w:pPr>
        <w:keepNext w:val="0"/>
        <w:keepLines w:val="0"/>
        <w:pageBreakBefore w:val="0"/>
        <w:kinsoku/>
        <w:wordWrap/>
        <w:overflowPunct/>
        <w:topLinePunct w:val="0"/>
        <w:autoSpaceDE/>
        <w:autoSpaceDN/>
        <w:bidi w:val="0"/>
        <w:spacing w:line="520" w:lineRule="exact"/>
        <w:ind w:firstLine="420" w:firstLineChars="150"/>
        <w:textAlignment w:val="auto"/>
        <w:rPr>
          <w:rFonts w:hAnsi="宋体"/>
          <w:color w:val="auto"/>
          <w:sz w:val="28"/>
          <w:szCs w:val="28"/>
        </w:rPr>
      </w:pPr>
      <w:r>
        <w:rPr>
          <w:rFonts w:hint="eastAsia" w:hAnsi="宋体"/>
          <w:color w:val="auto"/>
          <w:sz w:val="28"/>
          <w:szCs w:val="28"/>
          <w:lang w:eastAsia="zh-CN"/>
        </w:rPr>
        <w:t>（</w:t>
      </w:r>
      <w:r>
        <w:rPr>
          <w:rFonts w:hint="eastAsia" w:hAnsi="宋体"/>
          <w:color w:val="auto"/>
          <w:sz w:val="28"/>
          <w:szCs w:val="28"/>
          <w:lang w:val="en-US" w:eastAsia="zh-CN"/>
        </w:rPr>
        <w:t>1</w:t>
      </w:r>
      <w:r>
        <w:rPr>
          <w:rFonts w:hint="eastAsia" w:hAnsi="宋体"/>
          <w:color w:val="auto"/>
          <w:sz w:val="28"/>
          <w:szCs w:val="28"/>
          <w:lang w:eastAsia="zh-CN"/>
        </w:rPr>
        <w:t>）</w:t>
      </w:r>
      <w:r>
        <w:rPr>
          <w:rFonts w:hint="eastAsia" w:hAnsi="宋体"/>
          <w:color w:val="auto"/>
          <w:sz w:val="28"/>
          <w:szCs w:val="28"/>
          <w:lang w:val="en-US" w:eastAsia="zh-CN"/>
        </w:rPr>
        <w:t>公寓</w:t>
      </w:r>
      <w:r>
        <w:rPr>
          <w:rFonts w:hint="eastAsia" w:hAnsi="宋体"/>
          <w:color w:val="auto"/>
          <w:sz w:val="28"/>
          <w:szCs w:val="28"/>
        </w:rPr>
        <w:t>售价的确定：</w:t>
      </w:r>
    </w:p>
    <w:p>
      <w:pPr>
        <w:keepNext w:val="0"/>
        <w:keepLines w:val="0"/>
        <w:pageBreakBefore w:val="0"/>
        <w:tabs>
          <w:tab w:val="left" w:pos="-502"/>
          <w:tab w:val="left" w:pos="8520"/>
        </w:tabs>
        <w:kinsoku/>
        <w:wordWrap/>
        <w:overflowPunct/>
        <w:topLinePunct w:val="0"/>
        <w:autoSpaceDE/>
        <w:autoSpaceDN/>
        <w:bidi w:val="0"/>
        <w:adjustRightInd w:val="0"/>
        <w:snapToGrid w:val="0"/>
        <w:spacing w:line="520" w:lineRule="exact"/>
        <w:ind w:firstLine="560" w:firstLineChars="200"/>
        <w:textAlignment w:val="auto"/>
        <w:rPr>
          <w:rFonts w:hint="eastAsia" w:hAnsi="宋体"/>
          <w:sz w:val="28"/>
          <w:szCs w:val="28"/>
          <w:lang w:val="en-US" w:eastAsia="zh-CN"/>
        </w:rPr>
      </w:pPr>
      <w:r>
        <w:rPr>
          <w:rFonts w:hint="eastAsia" w:hAnsi="宋体"/>
          <w:sz w:val="28"/>
          <w:szCs w:val="28"/>
          <w:lang w:eastAsia="zh-CN"/>
        </w:rPr>
        <w:t>估价人员通过对估价对象周边</w:t>
      </w:r>
      <w:r>
        <w:rPr>
          <w:rFonts w:hint="eastAsia" w:hAnsi="宋体"/>
          <w:sz w:val="28"/>
          <w:szCs w:val="28"/>
          <w:lang w:val="en-US" w:eastAsia="zh-CN"/>
        </w:rPr>
        <w:t>调查，周边多为住宅小区，公寓类住房较少</w:t>
      </w:r>
      <w:r>
        <w:rPr>
          <w:rFonts w:hint="eastAsia" w:hAnsi="宋体"/>
          <w:sz w:val="28"/>
          <w:szCs w:val="28"/>
          <w:lang w:eastAsia="zh-CN"/>
        </w:rPr>
        <w:t>，</w:t>
      </w:r>
      <w:r>
        <w:rPr>
          <w:rFonts w:hint="eastAsia" w:hAnsi="宋体"/>
          <w:sz w:val="28"/>
          <w:szCs w:val="28"/>
          <w:lang w:val="en-US" w:eastAsia="zh-CN"/>
        </w:rPr>
        <w:t>本次通过住宅类用房的价格，结合其他县市住宅用房与公寓住房的价格的关系，综合确定公寓住房的价格。经调查估价对象周边的住宅用房价格在4500元/平方米左右，本次评估的公寓住房层高为4.6米，可以设计为复式，则本次评估确定公寓住房的价格为5820元/平方米。</w:t>
      </w:r>
    </w:p>
    <w:p>
      <w:pPr>
        <w:keepNext w:val="0"/>
        <w:keepLines w:val="0"/>
        <w:pageBreakBefore w:val="0"/>
        <w:tabs>
          <w:tab w:val="left" w:pos="-502"/>
          <w:tab w:val="left" w:pos="8520"/>
        </w:tabs>
        <w:kinsoku/>
        <w:wordWrap/>
        <w:overflowPunct/>
        <w:topLinePunct w:val="0"/>
        <w:autoSpaceDE/>
        <w:autoSpaceDN/>
        <w:bidi w:val="0"/>
        <w:adjustRightInd w:val="0"/>
        <w:snapToGrid w:val="0"/>
        <w:spacing w:line="520" w:lineRule="exact"/>
        <w:ind w:firstLine="560" w:firstLineChars="200"/>
        <w:textAlignment w:val="auto"/>
        <w:rPr>
          <w:rFonts w:hint="default" w:hAnsi="宋体" w:cs="Times New Roman"/>
          <w:sz w:val="28"/>
          <w:szCs w:val="28"/>
          <w:lang w:val="en-US" w:eastAsia="zh-CN"/>
        </w:rPr>
      </w:pPr>
      <w:r>
        <w:rPr>
          <w:rFonts w:hint="eastAsia" w:hAnsi="宋体" w:cs="Times New Roman"/>
          <w:sz w:val="28"/>
          <w:szCs w:val="28"/>
          <w:lang w:val="en-US" w:eastAsia="zh-CN"/>
        </w:rPr>
        <w:t>（2）地下停车位售价的确定：</w:t>
      </w:r>
    </w:p>
    <w:p>
      <w:pPr>
        <w:keepNext w:val="0"/>
        <w:keepLines w:val="0"/>
        <w:pageBreakBefore w:val="0"/>
        <w:tabs>
          <w:tab w:val="left" w:pos="-502"/>
          <w:tab w:val="left" w:pos="8520"/>
        </w:tabs>
        <w:kinsoku/>
        <w:wordWrap/>
        <w:overflowPunct/>
        <w:topLinePunct w:val="0"/>
        <w:autoSpaceDE/>
        <w:autoSpaceDN/>
        <w:bidi w:val="0"/>
        <w:adjustRightInd w:val="0"/>
        <w:snapToGrid w:val="0"/>
        <w:spacing w:line="520" w:lineRule="exact"/>
        <w:ind w:firstLine="560" w:firstLineChars="200"/>
        <w:textAlignment w:val="auto"/>
        <w:rPr>
          <w:rFonts w:hint="eastAsia" w:hAnsi="宋体" w:cs="Times New Roman"/>
          <w:sz w:val="28"/>
          <w:szCs w:val="28"/>
          <w:lang w:val="en-US" w:eastAsia="zh-CN"/>
        </w:rPr>
      </w:pPr>
      <w:r>
        <w:rPr>
          <w:rFonts w:hint="eastAsia" w:hAnsi="宋体" w:cs="Times New Roman"/>
          <w:sz w:val="28"/>
          <w:szCs w:val="28"/>
          <w:lang w:val="en-US" w:eastAsia="zh-CN"/>
        </w:rPr>
        <w:t>根据委托方提供的《吕梁恒信房地产开发有限公司豊足·汾阳壹号小区5#施工图》，地下建筑面积为1971.99平方米，分为两层，共设计13个停车位以及储藏室及配套用房。经过调查了解到汾阳市同类区域地下车位一般为7-8万元/个左右，本次取7.5万元/个。</w:t>
      </w:r>
    </w:p>
    <w:p>
      <w:pPr>
        <w:keepNext w:val="0"/>
        <w:keepLines w:val="0"/>
        <w:pageBreakBefore w:val="0"/>
        <w:tabs>
          <w:tab w:val="left" w:pos="-502"/>
          <w:tab w:val="left" w:pos="8520"/>
        </w:tabs>
        <w:kinsoku/>
        <w:wordWrap/>
        <w:overflowPunct/>
        <w:topLinePunct w:val="0"/>
        <w:autoSpaceDE/>
        <w:autoSpaceDN/>
        <w:bidi w:val="0"/>
        <w:adjustRightInd w:val="0"/>
        <w:snapToGrid w:val="0"/>
        <w:spacing w:line="520" w:lineRule="exact"/>
        <w:ind w:firstLine="560" w:firstLineChars="200"/>
        <w:textAlignment w:val="auto"/>
        <w:rPr>
          <w:rFonts w:hint="eastAsia" w:hAnsi="宋体" w:cs="Times New Roman"/>
          <w:sz w:val="28"/>
          <w:szCs w:val="28"/>
          <w:lang w:val="en-US" w:eastAsia="zh-CN"/>
        </w:rPr>
      </w:pPr>
      <w:r>
        <w:rPr>
          <w:rFonts w:hint="eastAsia" w:hAnsi="宋体" w:cs="Times New Roman"/>
          <w:sz w:val="28"/>
          <w:szCs w:val="28"/>
          <w:lang w:val="en-US" w:eastAsia="zh-CN"/>
        </w:rPr>
        <w:t>则开发建设完成后的价值=（3319.60×5820+13×75000）/10000</w:t>
      </w:r>
    </w:p>
    <w:p>
      <w:pPr>
        <w:keepNext w:val="0"/>
        <w:keepLines w:val="0"/>
        <w:pageBreakBefore w:val="0"/>
        <w:tabs>
          <w:tab w:val="left" w:pos="-502"/>
          <w:tab w:val="left" w:pos="8520"/>
        </w:tabs>
        <w:kinsoku/>
        <w:wordWrap/>
        <w:overflowPunct/>
        <w:topLinePunct w:val="0"/>
        <w:autoSpaceDE/>
        <w:autoSpaceDN/>
        <w:bidi w:val="0"/>
        <w:adjustRightInd w:val="0"/>
        <w:snapToGrid w:val="0"/>
        <w:spacing w:line="520" w:lineRule="exact"/>
        <w:ind w:firstLine="560" w:firstLineChars="200"/>
        <w:textAlignment w:val="auto"/>
        <w:rPr>
          <w:rFonts w:hint="default" w:hAnsi="宋体" w:cs="Times New Roman"/>
          <w:sz w:val="28"/>
          <w:szCs w:val="28"/>
          <w:lang w:val="en-US" w:eastAsia="zh-CN"/>
        </w:rPr>
      </w:pPr>
      <w:r>
        <w:rPr>
          <w:rFonts w:hint="eastAsia" w:hAnsi="宋体" w:cs="Times New Roman"/>
          <w:sz w:val="28"/>
          <w:szCs w:val="28"/>
          <w:lang w:val="en-US" w:eastAsia="zh-CN"/>
        </w:rPr>
        <w:t xml:space="preserve">                      =2029.51（万元）</w:t>
      </w:r>
    </w:p>
    <w:p>
      <w:pPr>
        <w:keepNext w:val="0"/>
        <w:keepLines w:val="0"/>
        <w:pageBreakBefore w:val="0"/>
        <w:kinsoku/>
        <w:wordWrap/>
        <w:overflowPunct/>
        <w:topLinePunct w:val="0"/>
        <w:autoSpaceDE/>
        <w:autoSpaceDN/>
        <w:bidi w:val="0"/>
        <w:spacing w:line="520" w:lineRule="exact"/>
        <w:ind w:firstLine="560" w:firstLineChars="200"/>
        <w:textAlignment w:val="auto"/>
        <w:rPr>
          <w:rFonts w:hAnsi="宋体"/>
          <w:color w:val="auto"/>
          <w:sz w:val="28"/>
          <w:szCs w:val="28"/>
        </w:rPr>
      </w:pPr>
      <w:r>
        <w:rPr>
          <w:rFonts w:hint="eastAsia" w:hAnsi="宋体"/>
          <w:color w:val="auto"/>
          <w:sz w:val="28"/>
          <w:szCs w:val="28"/>
        </w:rPr>
        <w:t>4、取得在建工程的税费</w:t>
      </w:r>
    </w:p>
    <w:p>
      <w:pPr>
        <w:pStyle w:val="22"/>
        <w:keepNext w:val="0"/>
        <w:keepLines w:val="0"/>
        <w:pageBreakBefore w:val="0"/>
        <w:kinsoku/>
        <w:wordWrap/>
        <w:overflowPunct/>
        <w:topLinePunct w:val="0"/>
        <w:autoSpaceDE/>
        <w:autoSpaceDN/>
        <w:bidi w:val="0"/>
        <w:spacing w:before="0" w:beforeAutospacing="0" w:after="0" w:afterAutospacing="0" w:line="520" w:lineRule="exact"/>
        <w:ind w:firstLine="560"/>
        <w:textAlignment w:val="auto"/>
        <w:rPr>
          <w:sz w:val="28"/>
          <w:szCs w:val="28"/>
        </w:rPr>
      </w:pPr>
      <w:r>
        <w:rPr>
          <w:rFonts w:hint="eastAsia"/>
          <w:sz w:val="28"/>
          <w:szCs w:val="28"/>
        </w:rPr>
        <w:t>根据运城市房地产转让政策，取得在建工程的税费包括契税和印花税，分别按房地产成交价格的3%、0.5‰收取；另根据《关于营改增后契税、房产税、土地增值税、个人所得税计税依据问题的通知》(财税(2016)43号)的规定：计征契税的成交价格不含增值税。</w:t>
      </w:r>
    </w:p>
    <w:p>
      <w:pPr>
        <w:pStyle w:val="22"/>
        <w:keepNext w:val="0"/>
        <w:keepLines w:val="0"/>
        <w:pageBreakBefore w:val="0"/>
        <w:kinsoku/>
        <w:wordWrap/>
        <w:overflowPunct/>
        <w:topLinePunct w:val="0"/>
        <w:autoSpaceDE/>
        <w:autoSpaceDN/>
        <w:bidi w:val="0"/>
        <w:spacing w:before="0" w:beforeAutospacing="0" w:after="0" w:afterAutospacing="0" w:line="520" w:lineRule="exact"/>
        <w:ind w:firstLine="560"/>
        <w:textAlignment w:val="auto"/>
        <w:rPr>
          <w:sz w:val="28"/>
          <w:szCs w:val="28"/>
        </w:rPr>
      </w:pPr>
      <w:r>
        <w:rPr>
          <w:rFonts w:hint="eastAsia"/>
          <w:sz w:val="28"/>
          <w:szCs w:val="28"/>
        </w:rPr>
        <w:t>在建工程取得税费=[3%÷1.05+0.5‰]V=2.91%V(元/㎡)</w:t>
      </w:r>
    </w:p>
    <w:p>
      <w:pPr>
        <w:pStyle w:val="22"/>
        <w:keepNext w:val="0"/>
        <w:keepLines w:val="0"/>
        <w:pageBreakBefore w:val="0"/>
        <w:kinsoku/>
        <w:wordWrap/>
        <w:overflowPunct/>
        <w:topLinePunct w:val="0"/>
        <w:autoSpaceDE/>
        <w:autoSpaceDN/>
        <w:bidi w:val="0"/>
        <w:spacing w:before="0" w:beforeAutospacing="0" w:after="0" w:afterAutospacing="0" w:line="520" w:lineRule="exact"/>
        <w:ind w:firstLine="560"/>
        <w:textAlignment w:val="auto"/>
        <w:rPr>
          <w:sz w:val="28"/>
          <w:szCs w:val="28"/>
        </w:rPr>
      </w:pPr>
      <w:r>
        <w:rPr>
          <w:rFonts w:hint="eastAsia"/>
          <w:sz w:val="28"/>
          <w:szCs w:val="28"/>
        </w:rPr>
        <w:t>5、房屋续建成本</w:t>
      </w:r>
    </w:p>
    <w:p>
      <w:pPr>
        <w:keepNext w:val="0"/>
        <w:keepLines w:val="0"/>
        <w:pageBreakBefore w:val="0"/>
        <w:kinsoku/>
        <w:overflowPunct w:val="0"/>
        <w:topLinePunct/>
        <w:autoSpaceDE/>
        <w:autoSpaceDN/>
        <w:bidi w:val="0"/>
        <w:spacing w:line="520" w:lineRule="exact"/>
        <w:ind w:firstLine="560" w:firstLineChars="200"/>
        <w:jc w:val="left"/>
        <w:rPr>
          <w:rFonts w:hint="eastAsia" w:hAnsi="宋体"/>
          <w:color w:val="auto"/>
          <w:sz w:val="28"/>
          <w:szCs w:val="28"/>
          <w:lang w:eastAsia="zh-CN"/>
        </w:rPr>
      </w:pPr>
      <w:r>
        <w:rPr>
          <w:rFonts w:hAnsi="宋体"/>
          <w:color w:val="auto"/>
          <w:sz w:val="28"/>
          <w:szCs w:val="28"/>
        </w:rPr>
        <w:t>估价对象为在建工程，</w:t>
      </w:r>
      <w:r>
        <w:rPr>
          <w:rFonts w:hint="eastAsia" w:hAnsi="宋体"/>
          <w:color w:val="000000" w:themeColor="text1"/>
          <w:sz w:val="28"/>
          <w:szCs w:val="28"/>
        </w:rPr>
        <w:t>至价值时点</w:t>
      </w:r>
      <w:r>
        <w:rPr>
          <w:rFonts w:hint="eastAsia" w:hAnsi="宋体"/>
          <w:color w:val="000000" w:themeColor="text1"/>
          <w:sz w:val="28"/>
          <w:szCs w:val="28"/>
          <w:lang w:val="en-US" w:eastAsia="zh-CN"/>
        </w:rPr>
        <w:t>=</w:t>
      </w:r>
      <w:r>
        <w:rPr>
          <w:rFonts w:hint="eastAsia" w:hAnsi="宋体"/>
          <w:color w:val="000000" w:themeColor="text1"/>
          <w:sz w:val="28"/>
          <w:szCs w:val="28"/>
        </w:rPr>
        <w:t>按现状</w:t>
      </w:r>
      <w:r>
        <w:rPr>
          <w:rFonts w:hint="eastAsia" w:hAnsi="宋体"/>
          <w:color w:val="000000" w:themeColor="text1"/>
          <w:sz w:val="28"/>
          <w:szCs w:val="28"/>
          <w:lang w:eastAsia="zh-CN"/>
        </w:rPr>
        <w:t>测算</w:t>
      </w:r>
      <w:r>
        <w:rPr>
          <w:rFonts w:hint="eastAsia" w:hAnsi="宋体"/>
          <w:color w:val="000000" w:themeColor="text1"/>
          <w:sz w:val="28"/>
          <w:szCs w:val="28"/>
        </w:rPr>
        <w:t>重置成本为</w:t>
      </w:r>
      <w:r>
        <w:rPr>
          <w:rFonts w:hint="eastAsia" w:hAnsi="宋体"/>
          <w:color w:val="000000" w:themeColor="text1"/>
          <w:sz w:val="28"/>
          <w:szCs w:val="28"/>
          <w:lang w:val="en-US" w:eastAsia="zh-CN"/>
        </w:rPr>
        <w:t>337.79</w:t>
      </w:r>
      <w:r>
        <w:rPr>
          <w:rFonts w:hint="eastAsia" w:hAnsi="宋体"/>
          <w:color w:val="000000" w:themeColor="text1"/>
          <w:sz w:val="28"/>
          <w:szCs w:val="28"/>
        </w:rPr>
        <w:t>万元</w:t>
      </w:r>
      <w:r>
        <w:rPr>
          <w:rFonts w:hint="eastAsia" w:hAnsi="宋体"/>
          <w:color w:val="000000" w:themeColor="text1"/>
          <w:sz w:val="28"/>
          <w:szCs w:val="28"/>
          <w:lang w:eastAsia="zh-CN"/>
        </w:rPr>
        <w:t>（见前成本法测算在建工程重置成本）；</w:t>
      </w:r>
      <w:r>
        <w:rPr>
          <w:rFonts w:hint="eastAsia" w:hAnsi="宋体"/>
          <w:color w:val="000000" w:themeColor="text1"/>
          <w:sz w:val="28"/>
          <w:szCs w:val="28"/>
        </w:rPr>
        <w:t>建成后</w:t>
      </w:r>
      <w:r>
        <w:rPr>
          <w:rFonts w:hint="eastAsia" w:hAnsi="宋体"/>
          <w:color w:val="000000" w:themeColor="text1"/>
          <w:sz w:val="28"/>
          <w:szCs w:val="28"/>
          <w:lang w:eastAsia="zh-CN"/>
        </w:rPr>
        <w:t>（达到交房状态）测算的</w:t>
      </w:r>
      <w:r>
        <w:rPr>
          <w:rFonts w:hint="eastAsia" w:hAnsi="宋体"/>
          <w:color w:val="000000" w:themeColor="text1"/>
          <w:sz w:val="28"/>
          <w:szCs w:val="28"/>
        </w:rPr>
        <w:t>重置成本为</w:t>
      </w:r>
      <w:r>
        <w:rPr>
          <w:rFonts w:hint="eastAsia" w:hAnsi="宋体"/>
          <w:color w:val="000000" w:themeColor="text1"/>
          <w:sz w:val="28"/>
          <w:szCs w:val="28"/>
          <w:lang w:val="en-US" w:eastAsia="zh-CN"/>
        </w:rPr>
        <w:t>1446.92</w:t>
      </w:r>
      <w:r>
        <w:rPr>
          <w:rFonts w:hint="eastAsia" w:hAnsi="宋体"/>
          <w:color w:val="000000" w:themeColor="text1"/>
          <w:sz w:val="28"/>
          <w:szCs w:val="28"/>
        </w:rPr>
        <w:t>万元（引用</w:t>
      </w:r>
      <w:r>
        <w:rPr>
          <w:rFonts w:hint="eastAsia" w:hAnsi="宋体"/>
          <w:color w:val="000000" w:themeColor="text1"/>
          <w:sz w:val="28"/>
          <w:szCs w:val="28"/>
          <w:lang w:eastAsia="zh-CN"/>
        </w:rPr>
        <w:t>造价</w:t>
      </w:r>
      <w:r>
        <w:rPr>
          <w:rFonts w:hint="eastAsia" w:hAnsi="宋体"/>
          <w:color w:val="000000" w:themeColor="text1"/>
          <w:sz w:val="28"/>
          <w:szCs w:val="28"/>
        </w:rPr>
        <w:t>工</w:t>
      </w:r>
      <w:r>
        <w:rPr>
          <w:rFonts w:hint="eastAsia" w:hAnsi="宋体"/>
          <w:color w:val="auto"/>
          <w:sz w:val="28"/>
          <w:szCs w:val="28"/>
        </w:rPr>
        <w:t>程师测算数据</w:t>
      </w:r>
      <w:r>
        <w:rPr>
          <w:rFonts w:hint="eastAsia" w:hAnsi="宋体"/>
          <w:color w:val="auto"/>
          <w:sz w:val="28"/>
          <w:szCs w:val="28"/>
          <w:lang w:eastAsia="zh-CN"/>
        </w:rPr>
        <w:t>，见后附件</w:t>
      </w:r>
      <w:r>
        <w:rPr>
          <w:rFonts w:hint="eastAsia" w:hAnsi="宋体"/>
          <w:color w:val="auto"/>
          <w:sz w:val="28"/>
          <w:szCs w:val="28"/>
        </w:rPr>
        <w:t>），则</w:t>
      </w:r>
      <w:r>
        <w:rPr>
          <w:rFonts w:hint="eastAsia" w:hAnsi="宋体"/>
          <w:color w:val="auto"/>
          <w:sz w:val="28"/>
          <w:szCs w:val="28"/>
          <w:lang w:eastAsia="zh-CN"/>
        </w:rPr>
        <w:t>：</w:t>
      </w:r>
    </w:p>
    <w:p>
      <w:pPr>
        <w:keepNext w:val="0"/>
        <w:keepLines w:val="0"/>
        <w:pageBreakBefore w:val="0"/>
        <w:kinsoku/>
        <w:overflowPunct w:val="0"/>
        <w:topLinePunct/>
        <w:autoSpaceDE/>
        <w:autoSpaceDN/>
        <w:bidi w:val="0"/>
        <w:spacing w:line="520" w:lineRule="exact"/>
        <w:ind w:firstLine="560" w:firstLineChars="200"/>
        <w:jc w:val="left"/>
        <w:rPr>
          <w:rFonts w:hAnsi="宋体"/>
          <w:color w:val="auto"/>
          <w:sz w:val="28"/>
          <w:szCs w:val="28"/>
        </w:rPr>
      </w:pPr>
      <w:r>
        <w:rPr>
          <w:rFonts w:hint="eastAsia" w:hAnsi="宋体"/>
          <w:color w:val="auto"/>
          <w:sz w:val="28"/>
          <w:szCs w:val="28"/>
        </w:rPr>
        <w:t>续建成本=完工后在建工程重置成本-现状在建工程重置成本</w:t>
      </w:r>
    </w:p>
    <w:p>
      <w:pPr>
        <w:keepNext w:val="0"/>
        <w:keepLines w:val="0"/>
        <w:pageBreakBefore w:val="0"/>
        <w:kinsoku/>
        <w:overflowPunct w:val="0"/>
        <w:topLinePunct/>
        <w:autoSpaceDE/>
        <w:autoSpaceDN/>
        <w:bidi w:val="0"/>
        <w:spacing w:line="520" w:lineRule="exact"/>
        <w:ind w:firstLine="1680" w:firstLineChars="600"/>
        <w:jc w:val="left"/>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1446.92</w:t>
      </w:r>
      <w:r>
        <w:rPr>
          <w:rFonts w:hint="eastAsia" w:hAnsi="宋体"/>
          <w:color w:val="auto"/>
          <w:sz w:val="28"/>
          <w:szCs w:val="28"/>
        </w:rPr>
        <w:t>万元-</w:t>
      </w:r>
      <w:r>
        <w:rPr>
          <w:rFonts w:hint="eastAsia" w:hAnsi="宋体"/>
          <w:color w:val="auto"/>
          <w:sz w:val="28"/>
          <w:szCs w:val="28"/>
          <w:lang w:val="en-US" w:eastAsia="zh-CN"/>
        </w:rPr>
        <w:t>288.56</w:t>
      </w:r>
      <w:r>
        <w:rPr>
          <w:rFonts w:hint="eastAsia" w:hAnsi="宋体"/>
          <w:color w:val="auto"/>
          <w:sz w:val="28"/>
          <w:szCs w:val="28"/>
        </w:rPr>
        <w:t>万元</w:t>
      </w:r>
    </w:p>
    <w:p>
      <w:pPr>
        <w:keepNext w:val="0"/>
        <w:keepLines w:val="0"/>
        <w:pageBreakBefore w:val="0"/>
        <w:kinsoku/>
        <w:overflowPunct w:val="0"/>
        <w:topLinePunct/>
        <w:autoSpaceDE/>
        <w:autoSpaceDN/>
        <w:bidi w:val="0"/>
        <w:spacing w:line="520" w:lineRule="exact"/>
        <w:ind w:firstLine="1680" w:firstLineChars="600"/>
        <w:jc w:val="left"/>
        <w:rPr>
          <w:rFonts w:hAnsi="宋体"/>
          <w:color w:val="auto"/>
          <w:sz w:val="28"/>
          <w:szCs w:val="28"/>
        </w:rPr>
      </w:pPr>
      <w:r>
        <w:rPr>
          <w:rFonts w:hint="eastAsia" w:hAnsi="宋体"/>
          <w:color w:val="auto"/>
          <w:sz w:val="28"/>
          <w:szCs w:val="28"/>
        </w:rPr>
        <w:t>=</w:t>
      </w:r>
      <w:r>
        <w:rPr>
          <w:rFonts w:hint="eastAsia" w:hAnsi="宋体"/>
          <w:color w:val="auto"/>
          <w:sz w:val="28"/>
          <w:szCs w:val="28"/>
          <w:lang w:val="en-US" w:eastAsia="zh-CN"/>
        </w:rPr>
        <w:t>1158.36</w:t>
      </w:r>
      <w:r>
        <w:rPr>
          <w:rFonts w:hint="eastAsia" w:hAnsi="宋体"/>
          <w:color w:val="auto"/>
          <w:sz w:val="28"/>
          <w:szCs w:val="28"/>
        </w:rPr>
        <w:t>万元</w:t>
      </w:r>
    </w:p>
    <w:p>
      <w:pPr>
        <w:pStyle w:val="22"/>
        <w:keepNext w:val="0"/>
        <w:keepLines w:val="0"/>
        <w:pageBreakBefore w:val="0"/>
        <w:kinsoku/>
        <w:autoSpaceDE/>
        <w:autoSpaceDN/>
        <w:bidi w:val="0"/>
        <w:spacing w:before="0" w:beforeAutospacing="0" w:after="0" w:afterAutospacing="0" w:line="520" w:lineRule="exact"/>
        <w:ind w:firstLine="560" w:firstLineChars="200"/>
        <w:rPr>
          <w:color w:val="auto"/>
          <w:sz w:val="28"/>
          <w:szCs w:val="28"/>
        </w:rPr>
      </w:pPr>
      <w:r>
        <w:rPr>
          <w:rFonts w:hint="eastAsia"/>
          <w:color w:val="auto"/>
          <w:sz w:val="28"/>
          <w:szCs w:val="28"/>
        </w:rPr>
        <w:t>6、管理费用</w:t>
      </w:r>
    </w:p>
    <w:p>
      <w:pPr>
        <w:keepNext w:val="0"/>
        <w:keepLines w:val="0"/>
        <w:pageBreakBefore w:val="0"/>
        <w:kinsoku/>
        <w:overflowPunct w:val="0"/>
        <w:topLinePunct/>
        <w:autoSpaceDE/>
        <w:autoSpaceDN/>
        <w:bidi w:val="0"/>
        <w:spacing w:line="520" w:lineRule="exact"/>
        <w:ind w:firstLine="560" w:firstLineChars="200"/>
        <w:jc w:val="left"/>
        <w:rPr>
          <w:rFonts w:hAnsi="宋体"/>
          <w:color w:val="auto"/>
          <w:sz w:val="28"/>
          <w:szCs w:val="28"/>
        </w:rPr>
      </w:pPr>
      <w:r>
        <w:rPr>
          <w:rFonts w:hAnsi="宋体"/>
          <w:color w:val="auto"/>
          <w:sz w:val="28"/>
          <w:szCs w:val="28"/>
        </w:rPr>
        <w:t>理费用是指房地产开发商为组织和管理房地产开发经营活动所必要的费用，包括房地产开发商的人员工资及福利费、办公费、差旅费等，按续建成本的一定比例计取，本次取</w:t>
      </w:r>
      <w:r>
        <w:rPr>
          <w:rFonts w:hint="eastAsia" w:hAnsi="宋体"/>
          <w:color w:val="auto"/>
          <w:sz w:val="28"/>
          <w:szCs w:val="28"/>
          <w:lang w:val="en-US" w:eastAsia="zh-CN"/>
        </w:rPr>
        <w:t>3</w:t>
      </w:r>
      <w:r>
        <w:rPr>
          <w:rFonts w:hAnsi="宋体"/>
          <w:color w:val="auto"/>
          <w:sz w:val="28"/>
          <w:szCs w:val="28"/>
        </w:rPr>
        <w:t>%。</w:t>
      </w:r>
    </w:p>
    <w:p>
      <w:pPr>
        <w:pStyle w:val="22"/>
        <w:keepNext w:val="0"/>
        <w:keepLines w:val="0"/>
        <w:pageBreakBefore w:val="0"/>
        <w:kinsoku/>
        <w:autoSpaceDE/>
        <w:autoSpaceDN/>
        <w:bidi w:val="0"/>
        <w:spacing w:before="0" w:beforeAutospacing="0" w:after="0" w:afterAutospacing="0" w:line="520" w:lineRule="exact"/>
        <w:ind w:firstLine="560"/>
        <w:rPr>
          <w:sz w:val="28"/>
          <w:szCs w:val="28"/>
        </w:rPr>
      </w:pPr>
      <w:r>
        <w:rPr>
          <w:rFonts w:hint="eastAsia"/>
          <w:sz w:val="28"/>
          <w:szCs w:val="28"/>
        </w:rPr>
        <w:t>管理费用=</w:t>
      </w:r>
      <w:r>
        <w:rPr>
          <w:rFonts w:hint="eastAsia" w:hAnsi="宋体"/>
          <w:color w:val="auto"/>
          <w:sz w:val="28"/>
          <w:szCs w:val="28"/>
          <w:lang w:val="en-US" w:eastAsia="zh-CN"/>
        </w:rPr>
        <w:t>1158.36</w:t>
      </w:r>
      <w:r>
        <w:rPr>
          <w:sz w:val="28"/>
          <w:szCs w:val="28"/>
        </w:rPr>
        <w:t>×</w:t>
      </w:r>
      <w:r>
        <w:rPr>
          <w:rFonts w:hint="eastAsia"/>
          <w:sz w:val="28"/>
          <w:szCs w:val="28"/>
          <w:lang w:val="en-US" w:eastAsia="zh-CN"/>
        </w:rPr>
        <w:t>3</w:t>
      </w:r>
      <w:r>
        <w:rPr>
          <w:sz w:val="28"/>
          <w:szCs w:val="28"/>
        </w:rPr>
        <w:t>%</w:t>
      </w:r>
      <w:r>
        <w:rPr>
          <w:rFonts w:hint="eastAsia"/>
          <w:sz w:val="28"/>
          <w:szCs w:val="28"/>
        </w:rPr>
        <w:t>=</w:t>
      </w:r>
      <w:r>
        <w:rPr>
          <w:rFonts w:hint="eastAsia"/>
          <w:sz w:val="28"/>
          <w:szCs w:val="28"/>
          <w:lang w:val="en-US" w:eastAsia="zh-CN"/>
        </w:rPr>
        <w:t>34.75</w:t>
      </w:r>
      <w:r>
        <w:rPr>
          <w:rFonts w:hint="eastAsia"/>
          <w:sz w:val="28"/>
          <w:szCs w:val="28"/>
        </w:rPr>
        <w:t>万元</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1"/>
        <w:textAlignment w:val="auto"/>
        <w:rPr>
          <w:sz w:val="28"/>
          <w:szCs w:val="28"/>
        </w:rPr>
      </w:pPr>
      <w:r>
        <w:rPr>
          <w:rFonts w:hint="eastAsia"/>
          <w:color w:val="000000" w:themeColor="text1"/>
          <w:sz w:val="28"/>
          <w:szCs w:val="28"/>
          <w:lang w:val="en-US" w:eastAsia="zh-CN"/>
        </w:rPr>
        <w:t>7</w:t>
      </w:r>
      <w:r>
        <w:rPr>
          <w:rFonts w:hint="eastAsia"/>
          <w:color w:val="000000" w:themeColor="text1"/>
          <w:sz w:val="28"/>
          <w:szCs w:val="28"/>
        </w:rPr>
        <w:t>、</w:t>
      </w:r>
      <w:r>
        <w:rPr>
          <w:rFonts w:hint="eastAsia"/>
          <w:sz w:val="28"/>
          <w:szCs w:val="28"/>
        </w:rPr>
        <w:t>续建利润</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1"/>
        <w:textAlignment w:val="auto"/>
        <w:rPr>
          <w:sz w:val="28"/>
          <w:szCs w:val="28"/>
        </w:rPr>
      </w:pPr>
      <w:r>
        <w:rPr>
          <w:rFonts w:hint="eastAsia"/>
          <w:sz w:val="28"/>
          <w:szCs w:val="28"/>
        </w:rPr>
        <w:t>估价对象为在建工程，根据估价对象现</w:t>
      </w:r>
      <w:r>
        <w:rPr>
          <w:rFonts w:hint="eastAsia"/>
          <w:sz w:val="28"/>
          <w:szCs w:val="28"/>
          <w:lang w:eastAsia="zh-CN"/>
        </w:rPr>
        <w:t>有</w:t>
      </w:r>
      <w:r>
        <w:rPr>
          <w:rFonts w:hint="eastAsia"/>
          <w:sz w:val="28"/>
          <w:szCs w:val="28"/>
        </w:rPr>
        <w:t>状况，</w:t>
      </w:r>
      <w:r>
        <w:rPr>
          <w:rFonts w:hint="eastAsia"/>
          <w:sz w:val="28"/>
          <w:szCs w:val="28"/>
          <w:lang w:eastAsia="zh-CN"/>
        </w:rPr>
        <w:t>假设</w:t>
      </w:r>
      <w:r>
        <w:rPr>
          <w:rFonts w:hint="eastAsia"/>
          <w:sz w:val="28"/>
          <w:szCs w:val="28"/>
        </w:rPr>
        <w:t>续建期为</w:t>
      </w:r>
      <w:r>
        <w:rPr>
          <w:rFonts w:hint="eastAsia"/>
          <w:sz w:val="28"/>
          <w:szCs w:val="28"/>
          <w:lang w:val="en-US" w:eastAsia="zh-CN"/>
        </w:rPr>
        <w:t>1.5年</w:t>
      </w:r>
      <w:r>
        <w:rPr>
          <w:rFonts w:hint="eastAsia"/>
          <w:sz w:val="28"/>
          <w:szCs w:val="28"/>
        </w:rPr>
        <w:t>，以续建成本为基数，本次取1</w:t>
      </w:r>
      <w:r>
        <w:rPr>
          <w:rFonts w:hint="eastAsia"/>
          <w:sz w:val="28"/>
          <w:szCs w:val="28"/>
          <w:lang w:val="en-US" w:eastAsia="zh-CN"/>
        </w:rPr>
        <w:t>2</w:t>
      </w:r>
      <w:r>
        <w:rPr>
          <w:rFonts w:hint="eastAsia"/>
          <w:sz w:val="28"/>
          <w:szCs w:val="28"/>
        </w:rPr>
        <w:t>%，则</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1"/>
        <w:textAlignment w:val="auto"/>
        <w:rPr>
          <w:sz w:val="28"/>
          <w:szCs w:val="28"/>
          <w:highlight w:val="darkGray"/>
        </w:rPr>
      </w:pPr>
      <w:r>
        <w:rPr>
          <w:rFonts w:hint="eastAsia"/>
          <w:sz w:val="28"/>
          <w:szCs w:val="28"/>
        </w:rPr>
        <w:t>续建利润=续建成本</w:t>
      </w:r>
      <w:r>
        <w:rPr>
          <w:szCs w:val="28"/>
        </w:rPr>
        <w:t>×</w:t>
      </w:r>
      <w:r>
        <w:rPr>
          <w:rFonts w:hint="eastAsia"/>
          <w:sz w:val="28"/>
          <w:szCs w:val="28"/>
        </w:rPr>
        <w:t>1</w:t>
      </w:r>
      <w:r>
        <w:rPr>
          <w:rFonts w:hint="eastAsia"/>
          <w:sz w:val="28"/>
          <w:szCs w:val="28"/>
          <w:lang w:val="en-US" w:eastAsia="zh-CN"/>
        </w:rPr>
        <w:t>2</w:t>
      </w:r>
      <w:r>
        <w:rPr>
          <w:rFonts w:hint="eastAsia"/>
          <w:sz w:val="28"/>
          <w:szCs w:val="28"/>
        </w:rPr>
        <w:t>%=</w:t>
      </w:r>
      <w:r>
        <w:rPr>
          <w:rFonts w:hint="eastAsia" w:hAnsi="宋体"/>
          <w:color w:val="auto"/>
          <w:sz w:val="28"/>
          <w:szCs w:val="28"/>
          <w:lang w:val="en-US" w:eastAsia="zh-CN"/>
        </w:rPr>
        <w:t>1158.36</w:t>
      </w:r>
      <w:r>
        <w:rPr>
          <w:szCs w:val="28"/>
        </w:rPr>
        <w:t>×</w:t>
      </w:r>
      <w:r>
        <w:rPr>
          <w:rFonts w:hint="eastAsia"/>
          <w:sz w:val="28"/>
          <w:szCs w:val="28"/>
        </w:rPr>
        <w:t>1</w:t>
      </w:r>
      <w:r>
        <w:rPr>
          <w:rFonts w:hint="eastAsia"/>
          <w:sz w:val="28"/>
          <w:szCs w:val="28"/>
          <w:lang w:val="en-US" w:eastAsia="zh-CN"/>
        </w:rPr>
        <w:t>2</w:t>
      </w:r>
      <w:r>
        <w:rPr>
          <w:rFonts w:hint="eastAsia"/>
          <w:sz w:val="28"/>
          <w:szCs w:val="28"/>
        </w:rPr>
        <w:t>%</w:t>
      </w:r>
      <w:r>
        <w:rPr>
          <w:szCs w:val="28"/>
        </w:rPr>
        <w:t>×</w:t>
      </w:r>
      <w:r>
        <w:rPr>
          <w:rFonts w:hint="eastAsia"/>
          <w:sz w:val="28"/>
          <w:szCs w:val="28"/>
          <w:lang w:val="en-US" w:eastAsia="zh-CN"/>
        </w:rPr>
        <w:t>1.5</w:t>
      </w:r>
      <w:r>
        <w:rPr>
          <w:rFonts w:hint="eastAsia"/>
          <w:sz w:val="28"/>
          <w:szCs w:val="28"/>
        </w:rPr>
        <w:t>=</w:t>
      </w:r>
      <w:r>
        <w:rPr>
          <w:rFonts w:hint="eastAsia"/>
          <w:sz w:val="28"/>
          <w:szCs w:val="28"/>
          <w:lang w:val="en-US" w:eastAsia="zh-CN"/>
        </w:rPr>
        <w:t>208.50</w:t>
      </w:r>
      <w:r>
        <w:rPr>
          <w:rFonts w:hint="eastAsia"/>
          <w:sz w:val="28"/>
          <w:szCs w:val="28"/>
        </w:rPr>
        <w:t>万元</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color w:val="000000" w:themeColor="text1"/>
          <w:sz w:val="28"/>
          <w:szCs w:val="28"/>
        </w:rPr>
      </w:pPr>
      <w:r>
        <w:rPr>
          <w:rFonts w:hint="eastAsia"/>
          <w:color w:val="000000" w:themeColor="text1"/>
          <w:sz w:val="28"/>
          <w:szCs w:val="28"/>
          <w:lang w:val="en-US" w:eastAsia="zh-CN"/>
        </w:rPr>
        <w:t>8、</w:t>
      </w:r>
      <w:r>
        <w:rPr>
          <w:rFonts w:hint="eastAsia"/>
          <w:color w:val="000000" w:themeColor="text1"/>
          <w:sz w:val="28"/>
          <w:szCs w:val="28"/>
        </w:rPr>
        <w:t>投资利息</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560"/>
        <w:textAlignment w:val="auto"/>
        <w:rPr>
          <w:sz w:val="28"/>
          <w:szCs w:val="28"/>
        </w:rPr>
      </w:pPr>
      <w:r>
        <w:rPr>
          <w:rFonts w:hint="eastAsia"/>
          <w:sz w:val="28"/>
          <w:szCs w:val="28"/>
        </w:rPr>
        <w:t>投资利息，是在房地产开发完成或实现销售之前发生的所有必要费用应计算的利息，估价对象后续开发的建设成本、管理费用</w:t>
      </w:r>
      <w:r>
        <w:rPr>
          <w:rFonts w:hint="eastAsia"/>
          <w:sz w:val="28"/>
          <w:szCs w:val="28"/>
          <w:lang w:eastAsia="zh-CN"/>
        </w:rPr>
        <w:t>，</w:t>
      </w:r>
      <w:r>
        <w:rPr>
          <w:rFonts w:hint="eastAsia"/>
          <w:sz w:val="28"/>
          <w:szCs w:val="28"/>
        </w:rPr>
        <w:t>无论它们是借贷资金还是自由资金，都应计算利息。</w:t>
      </w:r>
    </w:p>
    <w:p>
      <w:pPr>
        <w:pStyle w:val="22"/>
        <w:keepNext w:val="0"/>
        <w:keepLines w:val="0"/>
        <w:pageBreakBefore w:val="0"/>
        <w:kinsoku/>
        <w:autoSpaceDE/>
        <w:autoSpaceDN/>
        <w:bidi w:val="0"/>
        <w:spacing w:before="0" w:beforeAutospacing="0" w:after="0" w:afterAutospacing="0" w:line="520" w:lineRule="exact"/>
        <w:ind w:firstLine="560"/>
        <w:rPr>
          <w:sz w:val="28"/>
          <w:szCs w:val="28"/>
        </w:rPr>
      </w:pPr>
      <w:r>
        <w:rPr>
          <w:rFonts w:hint="eastAsia"/>
          <w:sz w:val="28"/>
          <w:szCs w:val="28"/>
          <w:lang w:eastAsia="zh-CN"/>
        </w:rPr>
        <w:t>假设</w:t>
      </w:r>
      <w:r>
        <w:rPr>
          <w:rFonts w:hint="eastAsia"/>
          <w:sz w:val="28"/>
          <w:szCs w:val="28"/>
        </w:rPr>
        <w:t>续建期为</w:t>
      </w:r>
      <w:r>
        <w:rPr>
          <w:rFonts w:hint="eastAsia"/>
          <w:sz w:val="28"/>
          <w:szCs w:val="28"/>
          <w:lang w:val="en-US" w:eastAsia="zh-CN"/>
        </w:rPr>
        <w:t>1.5年</w:t>
      </w:r>
      <w:r>
        <w:rPr>
          <w:rFonts w:hint="eastAsia"/>
          <w:sz w:val="28"/>
          <w:szCs w:val="28"/>
        </w:rPr>
        <w:t>，根据银行同期一年期</w:t>
      </w:r>
      <w:r>
        <w:rPr>
          <w:sz w:val="28"/>
          <w:szCs w:val="28"/>
        </w:rPr>
        <w:t>贷款利率</w:t>
      </w:r>
      <w:r>
        <w:rPr>
          <w:rFonts w:hint="eastAsia"/>
          <w:sz w:val="28"/>
          <w:szCs w:val="28"/>
        </w:rPr>
        <w:t>3.7</w:t>
      </w:r>
      <w:r>
        <w:rPr>
          <w:sz w:val="28"/>
          <w:szCs w:val="28"/>
        </w:rPr>
        <w:t>%</w:t>
      </w:r>
      <w:r>
        <w:rPr>
          <w:rFonts w:hint="eastAsia"/>
          <w:sz w:val="28"/>
          <w:szCs w:val="28"/>
        </w:rPr>
        <w:t>。假设估价对象</w:t>
      </w:r>
      <w:r>
        <w:rPr>
          <w:rFonts w:hint="eastAsia"/>
          <w:sz w:val="28"/>
          <w:szCs w:val="28"/>
          <w:lang w:eastAsia="zh-CN"/>
        </w:rPr>
        <w:t>的</w:t>
      </w:r>
      <w:r>
        <w:rPr>
          <w:rFonts w:hint="eastAsia"/>
          <w:sz w:val="28"/>
          <w:szCs w:val="28"/>
        </w:rPr>
        <w:t>续建成本、管理费用在开发期间按均匀投入：</w:t>
      </w:r>
    </w:p>
    <w:p>
      <w:pPr>
        <w:pStyle w:val="7"/>
        <w:keepNext w:val="0"/>
        <w:keepLines w:val="0"/>
        <w:pageBreakBefore w:val="0"/>
        <w:kinsoku/>
        <w:wordWrap w:val="0"/>
        <w:autoSpaceDE/>
        <w:autoSpaceDN/>
        <w:bidi w:val="0"/>
        <w:snapToGrid w:val="0"/>
        <w:spacing w:line="520" w:lineRule="exact"/>
        <w:ind w:firstLine="560" w:firstLineChars="200"/>
        <w:rPr>
          <w:rFonts w:ascii="宋体" w:hAnsi="宋体"/>
          <w:color w:val="000000" w:themeColor="text1"/>
          <w:spacing w:val="0"/>
          <w:szCs w:val="28"/>
        </w:rPr>
      </w:pPr>
      <w:r>
        <w:rPr>
          <w:rFonts w:hint="eastAsia" w:ascii="宋体" w:hAnsi="宋体"/>
          <w:spacing w:val="0"/>
          <w:szCs w:val="28"/>
        </w:rPr>
        <w:t>投</w:t>
      </w:r>
      <w:r>
        <w:rPr>
          <w:rFonts w:hint="eastAsia" w:ascii="宋体" w:hAnsi="宋体"/>
          <w:color w:val="000000" w:themeColor="text1"/>
          <w:spacing w:val="0"/>
          <w:szCs w:val="28"/>
        </w:rPr>
        <w:t>资利息=</w:t>
      </w:r>
      <w:r>
        <w:rPr>
          <w:rFonts w:hint="eastAsia" w:ascii="宋体" w:hAnsi="宋体"/>
          <w:color w:val="000000" w:themeColor="text1"/>
          <w:spacing w:val="0"/>
          <w:szCs w:val="28"/>
          <w:lang w:eastAsia="zh-CN"/>
        </w:rPr>
        <w:t>（</w:t>
      </w:r>
      <w:r>
        <w:rPr>
          <w:rFonts w:hint="eastAsia" w:ascii="宋体" w:hAnsi="宋体"/>
          <w:color w:val="000000" w:themeColor="text1"/>
          <w:spacing w:val="0"/>
          <w:szCs w:val="28"/>
          <w:lang w:val="en-US" w:eastAsia="zh-CN"/>
        </w:rPr>
        <w:t>1158.36+3</w:t>
      </w:r>
      <w:r>
        <w:rPr>
          <w:rFonts w:hint="eastAsia" w:ascii="宋体" w:hAnsi="宋体"/>
          <w:color w:val="000000" w:themeColor="text1"/>
          <w:spacing w:val="0"/>
          <w:szCs w:val="28"/>
          <w:lang w:val="en-US" w:eastAsia="zh-CN"/>
        </w:rPr>
        <w:t>4.75）</w:t>
      </w:r>
      <w:r>
        <w:rPr>
          <w:rFonts w:hint="eastAsia" w:ascii="宋体" w:hAnsi="宋体"/>
          <w:color w:val="000000" w:themeColor="text1"/>
          <w:spacing w:val="0"/>
          <w:szCs w:val="28"/>
        </w:rPr>
        <w:t>×3.7%</w:t>
      </w:r>
      <w:r>
        <w:rPr>
          <w:rFonts w:ascii="宋体" w:hAnsi="宋体"/>
          <w:color w:val="000000" w:themeColor="text1"/>
          <w:spacing w:val="0"/>
          <w:szCs w:val="28"/>
        </w:rPr>
        <w:t>×</w:t>
      </w:r>
      <w:r>
        <w:rPr>
          <w:rFonts w:hint="eastAsia" w:ascii="宋体" w:hAnsi="宋体"/>
          <w:color w:val="000000" w:themeColor="text1"/>
          <w:spacing w:val="0"/>
          <w:szCs w:val="28"/>
          <w:lang w:val="en-US" w:eastAsia="zh-CN"/>
        </w:rPr>
        <w:t>1.5</w:t>
      </w:r>
      <w:r>
        <w:rPr>
          <w:rFonts w:ascii="宋体" w:hAnsi="宋体"/>
          <w:color w:val="000000" w:themeColor="text1"/>
          <w:spacing w:val="0"/>
          <w:szCs w:val="28"/>
        </w:rPr>
        <w:t>×</w:t>
      </w:r>
      <w:r>
        <w:rPr>
          <w:rFonts w:hint="eastAsia" w:ascii="宋体" w:hAnsi="宋体"/>
          <w:color w:val="000000" w:themeColor="text1"/>
          <w:spacing w:val="0"/>
          <w:szCs w:val="28"/>
        </w:rPr>
        <w:t>0.5</w:t>
      </w:r>
    </w:p>
    <w:p>
      <w:pPr>
        <w:pStyle w:val="7"/>
        <w:keepNext w:val="0"/>
        <w:keepLines w:val="0"/>
        <w:pageBreakBefore w:val="0"/>
        <w:kinsoku/>
        <w:wordWrap w:val="0"/>
        <w:autoSpaceDE/>
        <w:autoSpaceDN/>
        <w:bidi w:val="0"/>
        <w:snapToGrid w:val="0"/>
        <w:spacing w:line="520" w:lineRule="exact"/>
        <w:ind w:firstLine="560" w:firstLineChars="200"/>
        <w:rPr>
          <w:rFonts w:ascii="宋体" w:hAnsi="宋体"/>
          <w:color w:val="000000" w:themeColor="text1"/>
          <w:spacing w:val="0"/>
          <w:szCs w:val="28"/>
        </w:rPr>
      </w:pPr>
      <w:r>
        <w:rPr>
          <w:rFonts w:hint="eastAsia" w:ascii="宋体" w:hAnsi="宋体"/>
          <w:color w:val="000000" w:themeColor="text1"/>
          <w:spacing w:val="0"/>
          <w:szCs w:val="28"/>
        </w:rPr>
        <w:t xml:space="preserve">      </w:t>
      </w:r>
      <w:r>
        <w:rPr>
          <w:rFonts w:hint="eastAsia" w:ascii="宋体" w:hAnsi="宋体"/>
          <w:color w:val="000000" w:themeColor="text1"/>
          <w:spacing w:val="0"/>
          <w:szCs w:val="28"/>
          <w:lang w:val="en-US" w:eastAsia="zh-CN"/>
        </w:rPr>
        <w:t xml:space="preserve">  </w:t>
      </w:r>
      <w:r>
        <w:rPr>
          <w:rFonts w:hint="eastAsia" w:ascii="宋体" w:hAnsi="宋体"/>
          <w:color w:val="000000" w:themeColor="text1"/>
          <w:spacing w:val="0"/>
          <w:szCs w:val="28"/>
        </w:rPr>
        <w:t>=</w:t>
      </w:r>
      <w:r>
        <w:rPr>
          <w:rFonts w:hint="eastAsia" w:ascii="宋体" w:hAnsi="宋体"/>
          <w:color w:val="000000" w:themeColor="text1"/>
          <w:spacing w:val="0"/>
          <w:szCs w:val="28"/>
          <w:lang w:val="en-US" w:eastAsia="zh-CN"/>
        </w:rPr>
        <w:t>33.11</w:t>
      </w:r>
      <w:r>
        <w:rPr>
          <w:rFonts w:hint="eastAsia" w:ascii="宋体" w:hAnsi="宋体"/>
          <w:color w:val="000000" w:themeColor="text1"/>
          <w:spacing w:val="0"/>
          <w:szCs w:val="28"/>
        </w:rPr>
        <w:t>万元</w:t>
      </w:r>
    </w:p>
    <w:p>
      <w:pPr>
        <w:pStyle w:val="22"/>
        <w:keepNext w:val="0"/>
        <w:keepLines w:val="0"/>
        <w:pageBreakBefore w:val="0"/>
        <w:widowControl w:val="0"/>
        <w:kinsoku/>
        <w:autoSpaceDE/>
        <w:autoSpaceDN/>
        <w:bidi w:val="0"/>
        <w:spacing w:before="0" w:beforeAutospacing="0" w:after="0" w:afterAutospacing="0" w:line="520" w:lineRule="exact"/>
        <w:ind w:firstLine="561"/>
        <w:rPr>
          <w:sz w:val="28"/>
          <w:szCs w:val="28"/>
        </w:rPr>
      </w:pPr>
      <w:r>
        <w:rPr>
          <w:rFonts w:hint="eastAsia"/>
          <w:sz w:val="28"/>
          <w:szCs w:val="28"/>
          <w:lang w:val="en-US" w:eastAsia="zh-CN"/>
        </w:rPr>
        <w:t>9</w:t>
      </w:r>
      <w:r>
        <w:rPr>
          <w:rFonts w:hint="eastAsia"/>
          <w:sz w:val="28"/>
          <w:szCs w:val="28"/>
        </w:rPr>
        <w:t>、销售费用</w:t>
      </w:r>
    </w:p>
    <w:p>
      <w:pPr>
        <w:pStyle w:val="22"/>
        <w:keepNext w:val="0"/>
        <w:keepLines w:val="0"/>
        <w:pageBreakBefore w:val="0"/>
        <w:widowControl w:val="0"/>
        <w:kinsoku/>
        <w:wordWrap/>
        <w:overflowPunct/>
        <w:topLinePunct w:val="0"/>
        <w:autoSpaceDE/>
        <w:autoSpaceDN/>
        <w:bidi w:val="0"/>
        <w:spacing w:before="0" w:beforeAutospacing="0" w:after="0" w:afterAutospacing="0" w:line="520" w:lineRule="exact"/>
        <w:ind w:firstLine="561"/>
        <w:rPr>
          <w:color w:val="000000" w:themeColor="text1"/>
          <w:sz w:val="28"/>
          <w:szCs w:val="28"/>
        </w:rPr>
      </w:pPr>
      <w:r>
        <w:rPr>
          <w:sz w:val="28"/>
          <w:szCs w:val="28"/>
        </w:rPr>
        <w:t>销售费用也称销售成本，是指预售或销售开发完成后的房地产的必要支出，包括广告费、销售资料制作费、售楼处建设费、样板房或样板间建设费、销售人员费用或销售代理费等。一般为售价的1%</w:t>
      </w:r>
      <w:r>
        <w:rPr>
          <w:rFonts w:hint="eastAsia"/>
          <w:sz w:val="28"/>
          <w:szCs w:val="28"/>
        </w:rPr>
        <w:t>～</w:t>
      </w:r>
      <w:r>
        <w:rPr>
          <w:sz w:val="28"/>
          <w:szCs w:val="28"/>
        </w:rPr>
        <w:t>3%。</w:t>
      </w:r>
      <w:r>
        <w:rPr>
          <w:rFonts w:hint="eastAsia"/>
          <w:sz w:val="28"/>
          <w:szCs w:val="28"/>
        </w:rPr>
        <w:t>根据估价对象实际</w:t>
      </w:r>
      <w:r>
        <w:rPr>
          <w:rFonts w:hint="eastAsia"/>
          <w:color w:val="000000" w:themeColor="text1"/>
          <w:sz w:val="28"/>
          <w:szCs w:val="28"/>
        </w:rPr>
        <w:t>状况，</w:t>
      </w:r>
      <w:r>
        <w:rPr>
          <w:color w:val="000000" w:themeColor="text1"/>
          <w:sz w:val="28"/>
          <w:szCs w:val="28"/>
        </w:rPr>
        <w:t>本次评估</w:t>
      </w:r>
      <w:r>
        <w:rPr>
          <w:rFonts w:hint="eastAsia"/>
          <w:color w:val="000000" w:themeColor="text1"/>
          <w:sz w:val="28"/>
          <w:szCs w:val="28"/>
        </w:rPr>
        <w:t>此项费用按2.0%</w:t>
      </w:r>
      <w:r>
        <w:rPr>
          <w:color w:val="000000" w:themeColor="text1"/>
          <w:sz w:val="28"/>
          <w:szCs w:val="28"/>
        </w:rPr>
        <w:t>计取。</w:t>
      </w:r>
    </w:p>
    <w:p>
      <w:pPr>
        <w:pStyle w:val="22"/>
        <w:keepNext w:val="0"/>
        <w:keepLines w:val="0"/>
        <w:pageBreakBefore w:val="0"/>
        <w:wordWrap/>
        <w:overflowPunct/>
        <w:topLinePunct w:val="0"/>
        <w:autoSpaceDE/>
        <w:autoSpaceDN/>
        <w:bidi w:val="0"/>
        <w:spacing w:before="0" w:beforeAutospacing="0" w:after="0" w:afterAutospacing="0" w:line="520" w:lineRule="exact"/>
        <w:ind w:firstLine="560"/>
        <w:rPr>
          <w:color w:val="000000" w:themeColor="text1"/>
          <w:sz w:val="28"/>
          <w:szCs w:val="28"/>
        </w:rPr>
      </w:pPr>
      <w:r>
        <w:rPr>
          <w:rFonts w:hint="eastAsia"/>
          <w:color w:val="000000" w:themeColor="text1"/>
          <w:sz w:val="28"/>
          <w:szCs w:val="28"/>
        </w:rPr>
        <w:t>销售费用=</w:t>
      </w:r>
      <w:r>
        <w:rPr>
          <w:rFonts w:hint="eastAsia" w:hAnsi="宋体" w:cs="Times New Roman"/>
          <w:sz w:val="28"/>
          <w:szCs w:val="28"/>
          <w:lang w:val="en-US" w:eastAsia="zh-CN"/>
        </w:rPr>
        <w:t>2029.51</w:t>
      </w:r>
      <w:r>
        <w:rPr>
          <w:color w:val="000000" w:themeColor="text1"/>
          <w:sz w:val="28"/>
          <w:szCs w:val="28"/>
        </w:rPr>
        <w:t>×</w:t>
      </w:r>
      <w:r>
        <w:rPr>
          <w:rFonts w:hint="eastAsia"/>
          <w:color w:val="000000" w:themeColor="text1"/>
          <w:sz w:val="28"/>
          <w:szCs w:val="28"/>
        </w:rPr>
        <w:t>2.0</w:t>
      </w:r>
      <w:r>
        <w:rPr>
          <w:color w:val="000000" w:themeColor="text1"/>
          <w:sz w:val="28"/>
          <w:szCs w:val="28"/>
        </w:rPr>
        <w:t>%</w:t>
      </w:r>
      <w:r>
        <w:rPr>
          <w:rFonts w:hint="eastAsia"/>
          <w:color w:val="000000" w:themeColor="text1"/>
          <w:sz w:val="28"/>
          <w:szCs w:val="28"/>
        </w:rPr>
        <w:t>=</w:t>
      </w:r>
      <w:r>
        <w:rPr>
          <w:rFonts w:hint="eastAsia"/>
          <w:color w:val="000000" w:themeColor="text1"/>
          <w:sz w:val="28"/>
          <w:szCs w:val="28"/>
          <w:lang w:val="en-US" w:eastAsia="zh-CN"/>
        </w:rPr>
        <w:t>40.59</w:t>
      </w:r>
      <w:r>
        <w:rPr>
          <w:rFonts w:hint="eastAsia"/>
          <w:color w:val="000000" w:themeColor="text1"/>
          <w:sz w:val="28"/>
          <w:szCs w:val="28"/>
        </w:rPr>
        <w:t>万元</w:t>
      </w:r>
    </w:p>
    <w:p>
      <w:pPr>
        <w:pStyle w:val="22"/>
        <w:keepNext w:val="0"/>
        <w:keepLines w:val="0"/>
        <w:pageBreakBefore w:val="0"/>
        <w:widowControl w:val="0"/>
        <w:kinsoku w:val="0"/>
        <w:wordWrap/>
        <w:overflowPunct/>
        <w:topLinePunct w:val="0"/>
        <w:autoSpaceDE/>
        <w:autoSpaceDN/>
        <w:bidi w:val="0"/>
        <w:spacing w:before="0" w:beforeAutospacing="0" w:after="0" w:afterAutospacing="0" w:line="540" w:lineRule="exact"/>
        <w:ind w:firstLine="561"/>
        <w:rPr>
          <w:sz w:val="28"/>
          <w:szCs w:val="28"/>
        </w:rPr>
      </w:pPr>
      <w:r>
        <w:rPr>
          <w:rFonts w:hint="eastAsia"/>
          <w:sz w:val="28"/>
          <w:szCs w:val="28"/>
          <w:lang w:val="en-US" w:eastAsia="zh-CN"/>
        </w:rPr>
        <w:t>10</w:t>
      </w:r>
      <w:r>
        <w:rPr>
          <w:rFonts w:hint="eastAsia"/>
          <w:sz w:val="28"/>
          <w:szCs w:val="28"/>
        </w:rPr>
        <w:t>、销售税费</w:t>
      </w:r>
    </w:p>
    <w:p>
      <w:pPr>
        <w:pStyle w:val="22"/>
        <w:keepNext w:val="0"/>
        <w:keepLines w:val="0"/>
        <w:pageBreakBefore w:val="0"/>
        <w:widowControl w:val="0"/>
        <w:kinsoku w:val="0"/>
        <w:wordWrap/>
        <w:overflowPunct/>
        <w:topLinePunct w:val="0"/>
        <w:autoSpaceDE/>
        <w:autoSpaceDN/>
        <w:bidi w:val="0"/>
        <w:spacing w:before="0" w:beforeAutospacing="0" w:after="0" w:afterAutospacing="0" w:line="540" w:lineRule="exact"/>
        <w:ind w:firstLine="561"/>
        <w:rPr>
          <w:sz w:val="28"/>
          <w:szCs w:val="28"/>
        </w:rPr>
      </w:pPr>
      <w:r>
        <w:rPr>
          <w:sz w:val="28"/>
          <w:szCs w:val="28"/>
        </w:rPr>
        <w:t>销售税费，是指预售或销售开发完成后的房地产由卖方缴纳的税费。包括增值税、城市维护建设税和教育费附加、印花税等。销售税费一般按开发完成后的房地产价值的一定比例来测算</w:t>
      </w:r>
      <w:r>
        <w:rPr>
          <w:rFonts w:hint="eastAsia"/>
          <w:sz w:val="28"/>
          <w:szCs w:val="28"/>
          <w:lang w:eastAsia="zh-CN"/>
        </w:rPr>
        <w:t>，</w:t>
      </w:r>
      <w:r>
        <w:rPr>
          <w:sz w:val="28"/>
          <w:szCs w:val="28"/>
        </w:rPr>
        <w:t>本次取</w:t>
      </w:r>
      <w:r>
        <w:rPr>
          <w:rFonts w:hint="eastAsia"/>
          <w:sz w:val="28"/>
          <w:szCs w:val="28"/>
        </w:rPr>
        <w:t>5.5%，则，</w:t>
      </w:r>
    </w:p>
    <w:p>
      <w:pPr>
        <w:pStyle w:val="22"/>
        <w:keepNext w:val="0"/>
        <w:keepLines w:val="0"/>
        <w:pageBreakBefore w:val="0"/>
        <w:wordWrap/>
        <w:overflowPunct/>
        <w:topLinePunct w:val="0"/>
        <w:autoSpaceDE/>
        <w:autoSpaceDN/>
        <w:bidi w:val="0"/>
        <w:spacing w:before="0" w:beforeAutospacing="0" w:after="0" w:afterAutospacing="0" w:line="540" w:lineRule="exact"/>
        <w:ind w:firstLine="560"/>
        <w:rPr>
          <w:sz w:val="28"/>
          <w:szCs w:val="28"/>
        </w:rPr>
      </w:pPr>
      <w:r>
        <w:rPr>
          <w:rFonts w:hint="eastAsia"/>
          <w:sz w:val="28"/>
          <w:szCs w:val="28"/>
        </w:rPr>
        <w:t>销售税费=</w:t>
      </w:r>
      <w:r>
        <w:rPr>
          <w:rFonts w:hint="eastAsia" w:hAnsi="宋体" w:cs="Times New Roman"/>
          <w:sz w:val="28"/>
          <w:szCs w:val="28"/>
          <w:lang w:val="en-US" w:eastAsia="zh-CN"/>
        </w:rPr>
        <w:t>2029.51</w:t>
      </w:r>
      <w:r>
        <w:rPr>
          <w:sz w:val="28"/>
          <w:szCs w:val="28"/>
        </w:rPr>
        <w:t>×</w:t>
      </w:r>
      <w:r>
        <w:rPr>
          <w:rFonts w:hint="eastAsia"/>
          <w:sz w:val="28"/>
          <w:szCs w:val="28"/>
        </w:rPr>
        <w:t>5.5%=</w:t>
      </w:r>
      <w:r>
        <w:rPr>
          <w:rFonts w:hint="eastAsia" w:cs="Times New Roman"/>
          <w:sz w:val="28"/>
          <w:szCs w:val="28"/>
          <w:lang w:val="en-US" w:eastAsia="zh-CN"/>
        </w:rPr>
        <w:t>111.62</w:t>
      </w:r>
      <w:r>
        <w:rPr>
          <w:rFonts w:hint="eastAsia"/>
          <w:sz w:val="28"/>
          <w:szCs w:val="28"/>
        </w:rPr>
        <w:t>万元</w:t>
      </w:r>
    </w:p>
    <w:p>
      <w:pPr>
        <w:pStyle w:val="7"/>
        <w:keepNext w:val="0"/>
        <w:keepLines w:val="0"/>
        <w:pageBreakBefore w:val="0"/>
        <w:wordWrap/>
        <w:overflowPunct/>
        <w:topLinePunct w:val="0"/>
        <w:autoSpaceDE/>
        <w:autoSpaceDN/>
        <w:bidi w:val="0"/>
        <w:snapToGrid w:val="0"/>
        <w:spacing w:line="540" w:lineRule="exact"/>
        <w:ind w:firstLine="560" w:firstLineChars="200"/>
        <w:rPr>
          <w:rFonts w:ascii="宋体" w:hAnsi="宋体"/>
          <w:spacing w:val="0"/>
          <w:szCs w:val="28"/>
        </w:rPr>
      </w:pPr>
      <w:r>
        <w:rPr>
          <w:rFonts w:hint="eastAsia" w:ascii="宋体" w:hAnsi="宋体"/>
          <w:spacing w:val="0"/>
          <w:szCs w:val="28"/>
        </w:rPr>
        <w:t>11、在建工程房地产价值</w:t>
      </w:r>
    </w:p>
    <w:p>
      <w:pPr>
        <w:keepNext w:val="0"/>
        <w:keepLines w:val="0"/>
        <w:pageBreakBefore w:val="0"/>
        <w:tabs>
          <w:tab w:val="right" w:pos="-2160"/>
          <w:tab w:val="left" w:pos="8520"/>
        </w:tabs>
        <w:wordWrap/>
        <w:overflowPunct/>
        <w:topLinePunct w:val="0"/>
        <w:autoSpaceDE/>
        <w:autoSpaceDN/>
        <w:bidi w:val="0"/>
        <w:spacing w:line="540" w:lineRule="exact"/>
        <w:ind w:right="-264" w:firstLine="560" w:firstLineChars="200"/>
        <w:rPr>
          <w:rFonts w:hAnsi="宋体" w:cs="宋体"/>
          <w:color w:val="auto"/>
          <w:sz w:val="28"/>
        </w:rPr>
      </w:pPr>
      <w:r>
        <w:rPr>
          <w:rFonts w:hint="eastAsia" w:hAnsi="宋体" w:cs="宋体"/>
          <w:color w:val="auto"/>
          <w:sz w:val="28"/>
          <w:szCs w:val="28"/>
        </w:rPr>
        <w:t>在建工程房地产价值(V)=</w:t>
      </w:r>
      <w:r>
        <w:rPr>
          <w:rFonts w:hint="eastAsia" w:hAnsi="宋体" w:cs="Times New Roman"/>
          <w:sz w:val="28"/>
          <w:szCs w:val="28"/>
          <w:lang w:val="en-US" w:eastAsia="zh-CN"/>
        </w:rPr>
        <w:t>开发建设完成后的价值</w:t>
      </w:r>
      <w:r>
        <w:rPr>
          <w:rFonts w:hint="eastAsia" w:hAnsi="宋体" w:cs="宋体"/>
          <w:color w:val="auto"/>
          <w:sz w:val="28"/>
          <w:szCs w:val="28"/>
        </w:rPr>
        <w:t>-</w:t>
      </w:r>
      <w:r>
        <w:rPr>
          <w:rFonts w:hint="eastAsia" w:hAnsi="宋体" w:cs="宋体"/>
          <w:color w:val="auto"/>
          <w:sz w:val="28"/>
        </w:rPr>
        <w:t>在建工程取得税费-续建成本-管理费用-销售费用-投资利息-销售税费-续建利润</w:t>
      </w:r>
    </w:p>
    <w:p>
      <w:pPr>
        <w:pStyle w:val="7"/>
        <w:keepNext w:val="0"/>
        <w:keepLines w:val="0"/>
        <w:pageBreakBefore w:val="0"/>
        <w:wordWrap/>
        <w:overflowPunct/>
        <w:topLinePunct w:val="0"/>
        <w:autoSpaceDE/>
        <w:autoSpaceDN/>
        <w:bidi w:val="0"/>
        <w:snapToGrid w:val="0"/>
        <w:spacing w:line="540" w:lineRule="exact"/>
        <w:ind w:firstLine="560" w:firstLineChars="200"/>
        <w:rPr>
          <w:rFonts w:hint="default" w:ascii="宋体" w:hAnsi="宋体" w:eastAsia="宋体" w:cs="Times New Roman"/>
          <w:color w:val="auto"/>
          <w:spacing w:val="0"/>
          <w:kern w:val="28"/>
          <w:sz w:val="28"/>
          <w:szCs w:val="28"/>
          <w:lang w:val="en-US" w:eastAsia="zh-CN" w:bidi="ar-SA"/>
        </w:rPr>
      </w:pPr>
      <w:r>
        <w:rPr>
          <w:rFonts w:hint="eastAsia" w:ascii="宋体" w:hAnsi="宋体"/>
          <w:spacing w:val="0"/>
          <w:szCs w:val="28"/>
        </w:rPr>
        <w:t>V=</w:t>
      </w:r>
      <w:r>
        <w:rPr>
          <w:rFonts w:hint="eastAsia" w:ascii="宋体" w:hAnsi="宋体" w:eastAsia="宋体" w:cs="Times New Roman"/>
          <w:color w:val="auto"/>
          <w:spacing w:val="0"/>
          <w:kern w:val="28"/>
          <w:sz w:val="28"/>
          <w:szCs w:val="28"/>
          <w:lang w:val="en-US" w:eastAsia="zh-CN" w:bidi="ar-SA"/>
        </w:rPr>
        <w:t>2029.51-2.91%V-1158.36-34.</w:t>
      </w:r>
      <w:r>
        <w:rPr>
          <w:rFonts w:hint="eastAsia" w:ascii="宋体" w:hAnsi="宋体" w:cs="Times New Roman"/>
          <w:color w:val="auto"/>
          <w:spacing w:val="0"/>
          <w:kern w:val="28"/>
          <w:sz w:val="28"/>
          <w:szCs w:val="28"/>
          <w:lang w:val="en-US" w:eastAsia="zh-CN" w:bidi="ar-SA"/>
        </w:rPr>
        <w:t>75</w:t>
      </w:r>
      <w:r>
        <w:rPr>
          <w:rFonts w:hint="eastAsia" w:ascii="宋体" w:hAnsi="宋体" w:eastAsia="宋体" w:cs="Times New Roman"/>
          <w:color w:val="auto"/>
          <w:spacing w:val="0"/>
          <w:kern w:val="28"/>
          <w:sz w:val="28"/>
          <w:szCs w:val="28"/>
          <w:lang w:val="en-US" w:eastAsia="zh-CN" w:bidi="ar-SA"/>
        </w:rPr>
        <w:t>-208.50-3</w:t>
      </w:r>
      <w:r>
        <w:rPr>
          <w:rFonts w:hint="eastAsia" w:ascii="宋体" w:hAnsi="宋体" w:cs="Times New Roman"/>
          <w:color w:val="auto"/>
          <w:spacing w:val="0"/>
          <w:kern w:val="28"/>
          <w:sz w:val="28"/>
          <w:szCs w:val="28"/>
          <w:lang w:val="en-US" w:eastAsia="zh-CN" w:bidi="ar-SA"/>
        </w:rPr>
        <w:t>3.11</w:t>
      </w:r>
      <w:r>
        <w:rPr>
          <w:rFonts w:hint="eastAsia" w:ascii="宋体" w:hAnsi="宋体" w:eastAsia="宋体" w:cs="Times New Roman"/>
          <w:color w:val="auto"/>
          <w:spacing w:val="0"/>
          <w:kern w:val="28"/>
          <w:sz w:val="28"/>
          <w:szCs w:val="28"/>
          <w:lang w:val="en-US" w:eastAsia="zh-CN" w:bidi="ar-SA"/>
        </w:rPr>
        <w:t>-40.59-111.62</w:t>
      </w:r>
    </w:p>
    <w:p>
      <w:pPr>
        <w:pStyle w:val="22"/>
        <w:keepNext w:val="0"/>
        <w:keepLines w:val="0"/>
        <w:pageBreakBefore w:val="0"/>
        <w:wordWrap/>
        <w:overflowPunct/>
        <w:topLinePunct w:val="0"/>
        <w:autoSpaceDE/>
        <w:autoSpaceDN/>
        <w:bidi w:val="0"/>
        <w:spacing w:before="0" w:beforeAutospacing="0" w:after="0" w:afterAutospacing="0" w:line="540" w:lineRule="exact"/>
        <w:ind w:firstLine="560"/>
        <w:rPr>
          <w:rFonts w:cs="Times New Roman"/>
          <w:kern w:val="28"/>
          <w:sz w:val="28"/>
          <w:szCs w:val="28"/>
        </w:rPr>
      </w:pPr>
      <w:r>
        <w:rPr>
          <w:rFonts w:hint="eastAsia" w:cs="Times New Roman"/>
          <w:kern w:val="28"/>
          <w:sz w:val="28"/>
          <w:szCs w:val="28"/>
        </w:rPr>
        <w:t>V=</w:t>
      </w:r>
      <w:r>
        <w:rPr>
          <w:rFonts w:hint="eastAsia" w:cs="Times New Roman"/>
          <w:kern w:val="28"/>
          <w:sz w:val="28"/>
          <w:szCs w:val="28"/>
          <w:lang w:val="en-US" w:eastAsia="zh-CN"/>
        </w:rPr>
        <w:t>430.07</w:t>
      </w:r>
      <w:r>
        <w:rPr>
          <w:rFonts w:hint="eastAsia" w:cs="Times New Roman"/>
          <w:kern w:val="28"/>
          <w:sz w:val="28"/>
          <w:szCs w:val="28"/>
        </w:rPr>
        <w:t>万元</w:t>
      </w:r>
    </w:p>
    <w:p>
      <w:pPr>
        <w:keepNext w:val="0"/>
        <w:keepLines w:val="0"/>
        <w:pageBreakBefore w:val="0"/>
        <w:wordWrap/>
        <w:overflowPunct/>
        <w:topLinePunct w:val="0"/>
        <w:autoSpaceDE/>
        <w:autoSpaceDN/>
        <w:bidi w:val="0"/>
        <w:spacing w:line="540" w:lineRule="exact"/>
        <w:ind w:firstLine="560" w:firstLineChars="200"/>
        <w:rPr>
          <w:rFonts w:hAnsi="宋体"/>
          <w:color w:val="auto"/>
          <w:sz w:val="28"/>
          <w:szCs w:val="28"/>
        </w:rPr>
      </w:pPr>
      <w:r>
        <w:rPr>
          <w:rFonts w:hint="eastAsia" w:hAnsi="宋体"/>
          <w:color w:val="auto"/>
          <w:sz w:val="28"/>
          <w:szCs w:val="28"/>
        </w:rPr>
        <w:t>（三）在建工程房地产价值的确定</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1"/>
        <w:textAlignment w:val="auto"/>
        <w:rPr>
          <w:rFonts w:hint="eastAsia" w:cs="Times New Roman"/>
          <w:kern w:val="28"/>
          <w:sz w:val="28"/>
          <w:szCs w:val="28"/>
          <w:lang w:eastAsia="zh-CN"/>
        </w:rPr>
      </w:pPr>
      <w:r>
        <w:rPr>
          <w:rFonts w:hint="eastAsia" w:hAnsi="宋体"/>
          <w:color w:val="auto"/>
          <w:sz w:val="28"/>
          <w:szCs w:val="28"/>
        </w:rPr>
        <w:t>以上两种方法分别从不同角度</w:t>
      </w:r>
      <w:r>
        <w:rPr>
          <w:rFonts w:hint="eastAsia"/>
          <w:color w:val="auto"/>
          <w:sz w:val="28"/>
          <w:szCs w:val="28"/>
          <w:lang w:eastAsia="zh-CN"/>
        </w:rPr>
        <w:t>测算了</w:t>
      </w:r>
      <w:r>
        <w:rPr>
          <w:rFonts w:hint="eastAsia" w:hAnsi="宋体"/>
          <w:color w:val="auto"/>
          <w:sz w:val="28"/>
          <w:szCs w:val="28"/>
        </w:rPr>
        <w:t>在建工程房地产价值，</w:t>
      </w:r>
      <w:r>
        <w:rPr>
          <w:rFonts w:hint="eastAsia" w:hAnsi="宋体"/>
          <w:color w:val="auto"/>
          <w:sz w:val="28"/>
          <w:szCs w:val="28"/>
          <w:lang w:eastAsia="zh-CN"/>
        </w:rPr>
        <w:t>成本法测算结果为</w:t>
      </w:r>
      <w:r>
        <w:rPr>
          <w:rFonts w:hint="eastAsia"/>
          <w:color w:val="auto"/>
          <w:sz w:val="28"/>
          <w:szCs w:val="28"/>
          <w:lang w:val="en-US" w:eastAsia="zh-CN"/>
        </w:rPr>
        <w:t>546.85</w:t>
      </w:r>
      <w:r>
        <w:rPr>
          <w:rFonts w:hint="eastAsia" w:hAnsi="宋体"/>
          <w:color w:val="auto"/>
          <w:sz w:val="28"/>
          <w:szCs w:val="28"/>
        </w:rPr>
        <w:t>万元</w:t>
      </w:r>
      <w:r>
        <w:rPr>
          <w:rFonts w:hint="eastAsia" w:hAnsi="宋体"/>
          <w:color w:val="auto"/>
          <w:sz w:val="28"/>
          <w:szCs w:val="28"/>
          <w:lang w:eastAsia="zh-CN"/>
        </w:rPr>
        <w:t>，假设开发法测算结果</w:t>
      </w:r>
      <w:r>
        <w:rPr>
          <w:rFonts w:hint="eastAsia" w:cs="Times New Roman"/>
          <w:kern w:val="28"/>
          <w:sz w:val="28"/>
          <w:szCs w:val="28"/>
          <w:lang w:val="en-US" w:eastAsia="zh-CN"/>
        </w:rPr>
        <w:t>430.07</w:t>
      </w:r>
      <w:r>
        <w:rPr>
          <w:rFonts w:hint="eastAsia" w:cs="Times New Roman"/>
          <w:kern w:val="28"/>
          <w:sz w:val="28"/>
          <w:szCs w:val="28"/>
        </w:rPr>
        <w:t>万元</w:t>
      </w:r>
      <w:r>
        <w:rPr>
          <w:rFonts w:hint="eastAsia" w:cs="Times New Roman"/>
          <w:kern w:val="28"/>
          <w:sz w:val="28"/>
          <w:szCs w:val="28"/>
          <w:lang w:eastAsia="zh-CN"/>
        </w:rPr>
        <w:t>。</w:t>
      </w:r>
    </w:p>
    <w:p>
      <w:pPr>
        <w:pStyle w:val="2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1"/>
        <w:textAlignment w:val="auto"/>
        <w:rPr>
          <w:rFonts w:hint="eastAsia"/>
          <w:color w:val="auto"/>
          <w:sz w:val="28"/>
          <w:szCs w:val="28"/>
          <w:lang w:eastAsia="zh-CN"/>
        </w:rPr>
      </w:pPr>
      <w:r>
        <w:rPr>
          <w:rFonts w:hint="eastAsia"/>
          <w:color w:val="auto"/>
          <w:sz w:val="28"/>
          <w:szCs w:val="28"/>
          <w:lang w:eastAsia="zh-CN"/>
        </w:rPr>
        <w:t>成本法是从成本累加角度对估价对象价值的反应，是一种成本价格；假设开发法是从收益的角度对在建工程进行价值测算，包含了项目的开发利润和项目价值，本次两种方法测算的结果有差距不大，故以二者的简单算术平均值确定最后地价，则：</w:t>
      </w:r>
    </w:p>
    <w:p>
      <w:pPr>
        <w:pStyle w:val="22"/>
        <w:keepNext w:val="0"/>
        <w:keepLines w:val="0"/>
        <w:pageBreakBefore w:val="0"/>
        <w:wordWrap/>
        <w:overflowPunct/>
        <w:topLinePunct w:val="0"/>
        <w:autoSpaceDE/>
        <w:autoSpaceDN/>
        <w:bidi w:val="0"/>
        <w:spacing w:before="0" w:beforeAutospacing="0" w:after="0" w:afterAutospacing="0" w:line="540" w:lineRule="exact"/>
        <w:ind w:firstLine="560"/>
        <w:rPr>
          <w:rFonts w:hint="default" w:eastAsia="宋体"/>
          <w:color w:val="auto"/>
          <w:sz w:val="28"/>
          <w:szCs w:val="28"/>
          <w:lang w:val="en-US" w:eastAsia="zh-CN"/>
        </w:rPr>
      </w:pPr>
      <w:r>
        <w:rPr>
          <w:rFonts w:hint="eastAsia"/>
          <w:color w:val="auto"/>
          <w:sz w:val="28"/>
          <w:szCs w:val="28"/>
          <w:lang w:val="en-US" w:eastAsia="zh-CN"/>
        </w:rPr>
        <w:t>546.85</w:t>
      </w:r>
      <w:r>
        <w:rPr>
          <w:rFonts w:hint="eastAsia" w:hAnsi="宋体"/>
          <w:bCs/>
          <w:color w:val="auto"/>
          <w:sz w:val="28"/>
          <w:szCs w:val="28"/>
        </w:rPr>
        <w:t>×</w:t>
      </w:r>
      <w:r>
        <w:rPr>
          <w:rFonts w:hint="eastAsia"/>
          <w:bCs/>
          <w:color w:val="auto"/>
          <w:sz w:val="28"/>
          <w:szCs w:val="28"/>
          <w:lang w:val="en-US" w:eastAsia="zh-CN"/>
        </w:rPr>
        <w:t>0.5+</w:t>
      </w:r>
      <w:r>
        <w:rPr>
          <w:rFonts w:hint="eastAsia" w:cs="Times New Roman"/>
          <w:kern w:val="28"/>
          <w:sz w:val="28"/>
          <w:szCs w:val="28"/>
          <w:lang w:val="en-US" w:eastAsia="zh-CN"/>
        </w:rPr>
        <w:t>430.07</w:t>
      </w:r>
      <w:r>
        <w:rPr>
          <w:rFonts w:hint="eastAsia" w:hAnsi="宋体"/>
          <w:bCs/>
          <w:color w:val="auto"/>
          <w:sz w:val="28"/>
          <w:szCs w:val="28"/>
        </w:rPr>
        <w:t>×</w:t>
      </w:r>
      <w:r>
        <w:rPr>
          <w:rFonts w:hint="eastAsia"/>
          <w:bCs/>
          <w:color w:val="auto"/>
          <w:sz w:val="28"/>
          <w:szCs w:val="28"/>
          <w:lang w:val="en-US" w:eastAsia="zh-CN"/>
        </w:rPr>
        <w:t>0.5=488.46万元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1"/>
        <w:rPr>
          <w:rFonts w:hint="eastAsia"/>
          <w:b/>
          <w:bCs/>
          <w:color w:val="auto"/>
          <w:sz w:val="28"/>
        </w:rPr>
      </w:pPr>
      <w:bookmarkStart w:id="39" w:name="_Toc23472"/>
      <w:r>
        <w:rPr>
          <w:rFonts w:hint="eastAsia"/>
          <w:b/>
          <w:bCs/>
          <w:color w:val="auto"/>
          <w:sz w:val="28"/>
        </w:rPr>
        <w:t>六、估价结果确定</w:t>
      </w:r>
      <w:bookmarkEnd w:id="39"/>
    </w:p>
    <w:p>
      <w:pPr>
        <w:keepNext w:val="0"/>
        <w:keepLines w:val="0"/>
        <w:pageBreakBefore w:val="0"/>
        <w:widowControl w:val="0"/>
        <w:kinsoku/>
        <w:wordWrap/>
        <w:overflowPunct/>
        <w:topLinePunct w:val="0"/>
        <w:autoSpaceDE/>
        <w:autoSpaceDN/>
        <w:bidi w:val="0"/>
        <w:adjustRightInd w:val="0"/>
        <w:snapToGrid w:val="0"/>
        <w:spacing w:line="540" w:lineRule="exact"/>
        <w:ind w:firstLine="570"/>
        <w:textAlignment w:val="auto"/>
        <w:rPr>
          <w:rFonts w:hint="eastAsia"/>
          <w:color w:val="auto"/>
          <w:sz w:val="28"/>
        </w:rPr>
      </w:pPr>
      <w:r>
        <w:rPr>
          <w:rFonts w:hint="eastAsia"/>
          <w:color w:val="auto"/>
          <w:sz w:val="28"/>
        </w:rPr>
        <w:t>我们依据委托方提供的资料，根据估价目的，遵循估价原则，按照估价程序，采用科学合理的估价方法，在认真分析现有资料的基础上，经过测算，并结合估价经验对影响委估房地产价格因素的综合分析，取成本法和假设开发法的加权平均值为估价结果，最后确定估价对象在价值时点2022年</w:t>
      </w:r>
      <w:r>
        <w:rPr>
          <w:rFonts w:hint="eastAsia"/>
          <w:color w:val="auto"/>
          <w:sz w:val="28"/>
          <w:lang w:val="en-US" w:eastAsia="zh-CN"/>
        </w:rPr>
        <w:t>7</w:t>
      </w:r>
      <w:r>
        <w:rPr>
          <w:rFonts w:hint="eastAsia"/>
          <w:color w:val="auto"/>
          <w:sz w:val="28"/>
        </w:rPr>
        <w:t>月</w:t>
      </w:r>
      <w:r>
        <w:rPr>
          <w:rFonts w:hint="eastAsia"/>
          <w:color w:val="auto"/>
          <w:sz w:val="28"/>
          <w:lang w:val="en-US" w:eastAsia="zh-CN"/>
        </w:rPr>
        <w:t>27</w:t>
      </w:r>
      <w:r>
        <w:rPr>
          <w:rFonts w:hint="eastAsia"/>
          <w:color w:val="auto"/>
          <w:sz w:val="28"/>
        </w:rPr>
        <w:t>日的估价结果为：</w:t>
      </w:r>
    </w:p>
    <w:tbl>
      <w:tblPr>
        <w:tblStyle w:val="26"/>
        <w:tblpPr w:leftFromText="180" w:rightFromText="180" w:vertAnchor="text" w:horzAnchor="page" w:tblpX="1262" w:tblpY="1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2232"/>
        <w:gridCol w:w="2148"/>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45" w:type="dxa"/>
            <w:vAlign w:val="center"/>
          </w:tcPr>
          <w:p>
            <w:pPr>
              <w:pStyle w:val="14"/>
              <w:jc w:val="center"/>
              <w:rPr>
                <w:rFonts w:hint="eastAsia" w:eastAsia="宋体"/>
                <w:b/>
                <w:bCs/>
                <w:color w:val="auto"/>
                <w:sz w:val="24"/>
                <w:szCs w:val="24"/>
                <w:vertAlign w:val="baseline"/>
                <w:lang w:val="en-US" w:eastAsia="zh-CN"/>
              </w:rPr>
            </w:pPr>
            <w:r>
              <w:rPr>
                <w:rFonts w:hint="eastAsia"/>
                <w:b/>
                <w:bCs/>
                <w:color w:val="auto"/>
                <w:sz w:val="24"/>
                <w:szCs w:val="24"/>
                <w:vertAlign w:val="baseline"/>
                <w:lang w:val="en-US" w:eastAsia="zh-CN"/>
              </w:rPr>
              <w:t>名称</w:t>
            </w:r>
          </w:p>
        </w:tc>
        <w:tc>
          <w:tcPr>
            <w:tcW w:w="2232"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建筑面积（平方米）</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评估价值（万元）</w:t>
            </w:r>
          </w:p>
        </w:tc>
        <w:tc>
          <w:tcPr>
            <w:tcW w:w="2256" w:type="dxa"/>
            <w:vAlign w:val="center"/>
          </w:tcPr>
          <w:p>
            <w:pPr>
              <w:pStyle w:val="14"/>
              <w:jc w:val="center"/>
              <w:rPr>
                <w:rFonts w:hint="eastAsia"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945" w:type="dxa"/>
            <w:vAlign w:val="center"/>
          </w:tcPr>
          <w:p>
            <w:pPr>
              <w:pStyle w:val="14"/>
              <w:jc w:val="center"/>
              <w:rPr>
                <w:rFonts w:hint="default" w:ascii="宋体" w:hAnsi="宋体" w:eastAsia="宋体" w:cs="宋体"/>
                <w:b/>
                <w:bCs/>
                <w:color w:val="auto"/>
                <w:sz w:val="24"/>
                <w:szCs w:val="24"/>
                <w:vertAlign w:val="baseline"/>
                <w:lang w:val="en-US" w:eastAsia="zh-CN"/>
              </w:rPr>
            </w:pPr>
            <w:r>
              <w:rPr>
                <w:rFonts w:hint="eastAsia"/>
                <w:b/>
                <w:bCs/>
                <w:color w:val="auto"/>
                <w:sz w:val="24"/>
                <w:szCs w:val="24"/>
                <w:vertAlign w:val="baseline"/>
                <w:lang w:val="en-US" w:eastAsia="zh-CN"/>
              </w:rPr>
              <w:t>汾阳市豊足</w:t>
            </w:r>
            <w:r>
              <w:rPr>
                <w:rFonts w:hint="eastAsia" w:ascii="宋体" w:hAnsi="宋体" w:eastAsia="宋体" w:cs="宋体"/>
                <w:b/>
                <w:bCs/>
                <w:color w:val="auto"/>
                <w:sz w:val="24"/>
                <w:szCs w:val="24"/>
                <w:vertAlign w:val="baseline"/>
                <w:lang w:val="en-US" w:eastAsia="zh-CN"/>
              </w:rPr>
              <w:t>·</w:t>
            </w:r>
            <w:r>
              <w:rPr>
                <w:rFonts w:hint="eastAsia" w:hAnsi="宋体" w:cs="宋体"/>
                <w:b/>
                <w:bCs/>
                <w:color w:val="auto"/>
                <w:sz w:val="24"/>
                <w:szCs w:val="24"/>
                <w:vertAlign w:val="baseline"/>
                <w:lang w:val="en-US" w:eastAsia="zh-CN"/>
              </w:rPr>
              <w:t>汾阳壹号5号楼在建工程价值（被汾阳市人民法院执行财产）</w:t>
            </w:r>
          </w:p>
        </w:tc>
        <w:tc>
          <w:tcPr>
            <w:tcW w:w="2232" w:type="dxa"/>
            <w:vAlign w:val="center"/>
          </w:tcPr>
          <w:p>
            <w:pPr>
              <w:pStyle w:val="14"/>
              <w:jc w:val="center"/>
              <w:rPr>
                <w:rFonts w:hint="eastAsia"/>
                <w:b/>
                <w:bCs/>
                <w:color w:val="auto"/>
                <w:sz w:val="24"/>
                <w:szCs w:val="24"/>
                <w:vertAlign w:val="baseline"/>
              </w:rPr>
            </w:pPr>
            <w:r>
              <w:rPr>
                <w:rFonts w:hint="eastAsia"/>
                <w:b/>
                <w:bCs/>
                <w:color w:val="auto"/>
                <w:sz w:val="24"/>
                <w:szCs w:val="24"/>
                <w:vertAlign w:val="baseline"/>
                <w:lang w:val="en-US" w:eastAsia="zh-CN"/>
              </w:rPr>
              <w:t>5291.59</w:t>
            </w:r>
          </w:p>
        </w:tc>
        <w:tc>
          <w:tcPr>
            <w:tcW w:w="2148" w:type="dxa"/>
            <w:vAlign w:val="center"/>
          </w:tcPr>
          <w:p>
            <w:pPr>
              <w:pStyle w:val="14"/>
              <w:jc w:val="center"/>
              <w:rPr>
                <w:rFonts w:hint="default" w:eastAsia="宋体"/>
                <w:b/>
                <w:bCs/>
                <w:color w:val="auto"/>
                <w:sz w:val="24"/>
                <w:szCs w:val="24"/>
                <w:vertAlign w:val="baseline"/>
                <w:lang w:val="en-US" w:eastAsia="zh-CN"/>
              </w:rPr>
            </w:pPr>
            <w:r>
              <w:rPr>
                <w:rFonts w:hint="eastAsia"/>
                <w:b/>
                <w:bCs/>
                <w:color w:val="auto"/>
                <w:sz w:val="24"/>
                <w:szCs w:val="24"/>
                <w:vertAlign w:val="baseline"/>
                <w:lang w:val="en-US" w:eastAsia="zh-CN"/>
              </w:rPr>
              <w:t>488.46</w:t>
            </w:r>
          </w:p>
        </w:tc>
        <w:tc>
          <w:tcPr>
            <w:tcW w:w="2256" w:type="dxa"/>
            <w:vAlign w:val="center"/>
          </w:tcPr>
          <w:p>
            <w:pPr>
              <w:pStyle w:val="14"/>
              <w:jc w:val="center"/>
              <w:rPr>
                <w:rFonts w:hint="default" w:hAnsi="Times New Roman" w:cs="Times New Roman"/>
                <w:b/>
                <w:bCs/>
                <w:color w:val="auto"/>
                <w:sz w:val="24"/>
                <w:szCs w:val="24"/>
                <w:vertAlign w:val="baseline"/>
                <w:lang w:val="en-US" w:eastAsia="zh-CN"/>
              </w:rPr>
            </w:pPr>
            <w:r>
              <w:rPr>
                <w:rFonts w:hint="eastAsia" w:hAnsi="Times New Roman" w:cs="Times New Roman"/>
                <w:b/>
                <w:bCs/>
                <w:color w:val="auto"/>
                <w:sz w:val="24"/>
                <w:szCs w:val="24"/>
                <w:vertAlign w:val="baseline"/>
                <w:lang w:val="en-US" w:eastAsia="zh-CN"/>
              </w:rPr>
              <w:t>人民币</w:t>
            </w:r>
            <w:r>
              <w:rPr>
                <w:rFonts w:hint="eastAsia" w:hAnsi="Times New Roman" w:cs="Times New Roman"/>
                <w:b/>
                <w:bCs/>
                <w:color w:val="auto"/>
                <w:sz w:val="24"/>
                <w:szCs w:val="24"/>
                <w:vertAlign w:val="baseline"/>
                <w:lang w:val="en-US" w:eastAsia="zh-CN"/>
              </w:rPr>
              <w:fldChar w:fldCharType="begin"/>
            </w:r>
            <w:r>
              <w:rPr>
                <w:rFonts w:hint="eastAsia" w:hAnsi="Times New Roman" w:cs="Times New Roman"/>
                <w:b/>
                <w:bCs/>
                <w:color w:val="auto"/>
                <w:sz w:val="24"/>
                <w:szCs w:val="24"/>
                <w:vertAlign w:val="baseline"/>
                <w:lang w:val="en-US" w:eastAsia="zh-CN"/>
              </w:rPr>
              <w:instrText xml:space="preserve"> = 4884600 \* CHINESENUM2 \* MERGEFORMAT </w:instrText>
            </w:r>
            <w:r>
              <w:rPr>
                <w:rFonts w:hint="eastAsia" w:hAnsi="Times New Roman" w:cs="Times New Roman"/>
                <w:b/>
                <w:bCs/>
                <w:color w:val="auto"/>
                <w:sz w:val="24"/>
                <w:szCs w:val="24"/>
                <w:vertAlign w:val="baseline"/>
                <w:lang w:val="en-US" w:eastAsia="zh-CN"/>
              </w:rPr>
              <w:fldChar w:fldCharType="separate"/>
            </w:r>
            <w:r>
              <w:rPr>
                <w:rFonts w:hint="eastAsia" w:hAnsi="Times New Roman" w:cs="Times New Roman"/>
                <w:b/>
                <w:bCs/>
                <w:color w:val="auto"/>
                <w:sz w:val="24"/>
                <w:szCs w:val="24"/>
                <w:vertAlign w:val="baseline"/>
                <w:lang w:val="en-US" w:eastAsia="zh-CN"/>
              </w:rPr>
              <w:t>肆佰捌拾捌万肆仟陆佰</w:t>
            </w:r>
            <w:r>
              <w:rPr>
                <w:rFonts w:hint="eastAsia" w:hAnsi="Times New Roman" w:cs="Times New Roman"/>
                <w:b/>
                <w:bCs/>
                <w:color w:val="auto"/>
                <w:sz w:val="24"/>
                <w:szCs w:val="24"/>
                <w:vertAlign w:val="baseline"/>
                <w:lang w:val="en-US" w:eastAsia="zh-CN"/>
              </w:rPr>
              <w:fldChar w:fldCharType="end"/>
            </w:r>
            <w:r>
              <w:rPr>
                <w:rFonts w:hint="eastAsia" w:hAnsi="Times New Roman" w:cs="Times New Roman"/>
                <w:b/>
                <w:bCs/>
                <w:color w:val="auto"/>
                <w:sz w:val="24"/>
                <w:szCs w:val="24"/>
                <w:vertAlign w:val="baseline"/>
                <w:lang w:val="en-US" w:eastAsia="zh-CN"/>
              </w:rPr>
              <w:t>元整</w:t>
            </w:r>
          </w:p>
        </w:tc>
      </w:tr>
    </w:tbl>
    <w:p>
      <w:pPr>
        <w:pStyle w:val="14"/>
        <w:rPr>
          <w:rFonts w:hint="eastAsia"/>
          <w:color w:val="auto"/>
          <w:sz w:val="28"/>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adjustRightInd w:val="0"/>
        <w:snapToGrid w:val="0"/>
        <w:spacing w:line="520" w:lineRule="exact"/>
        <w:jc w:val="left"/>
        <w:outlineLvl w:val="1"/>
        <w:rPr>
          <w:rFonts w:hint="eastAsia"/>
          <w:color w:val="auto"/>
          <w:sz w:val="32"/>
          <w:szCs w:val="32"/>
          <w:shd w:val="pct10" w:color="auto" w:fill="FFFFFF"/>
        </w:rPr>
      </w:pPr>
      <w:r>
        <w:rPr>
          <w:rFonts w:hint="eastAsia"/>
          <w:color w:val="auto"/>
          <w:sz w:val="32"/>
          <w:szCs w:val="32"/>
          <w:shd w:val="pct10" w:color="auto" w:fill="FFFFFF"/>
          <w:lang w:val="en-US" w:eastAsia="zh-CN"/>
        </w:rPr>
        <w:t xml:space="preserve"> </w:t>
      </w:r>
      <w:bookmarkStart w:id="40" w:name="_Toc4239"/>
      <w:r>
        <w:rPr>
          <w:rFonts w:hint="eastAsia"/>
          <w:color w:val="auto"/>
          <w:sz w:val="32"/>
          <w:szCs w:val="32"/>
          <w:shd w:val="pct10" w:color="auto" w:fill="FFFFFF"/>
        </w:rPr>
        <w:t>附 件</w:t>
      </w:r>
      <w:bookmarkEnd w:id="40"/>
    </w:p>
    <w:p>
      <w:pPr>
        <w:adjustRightInd w:val="0"/>
        <w:snapToGrid w:val="0"/>
        <w:spacing w:line="520" w:lineRule="exact"/>
        <w:ind w:firstLine="630" w:firstLineChars="225"/>
        <w:rPr>
          <w:rFonts w:hAnsi="宋体"/>
          <w:sz w:val="28"/>
        </w:rPr>
      </w:pPr>
      <w:bookmarkStart w:id="41" w:name="_Toc53494179"/>
      <w:bookmarkStart w:id="42" w:name="_Toc520389374"/>
      <w:r>
        <w:rPr>
          <w:rFonts w:hint="eastAsia" w:hAnsi="宋体"/>
          <w:sz w:val="28"/>
        </w:rPr>
        <w:t>一、</w:t>
      </w:r>
      <w:r>
        <w:rPr>
          <w:rFonts w:hint="eastAsia"/>
          <w:color w:val="auto"/>
          <w:sz w:val="28"/>
          <w:szCs w:val="22"/>
          <w:lang w:eastAsia="zh-CN"/>
        </w:rPr>
        <w:t>汾阳市人民法院</w:t>
      </w:r>
      <w:r>
        <w:rPr>
          <w:rFonts w:hint="eastAsia"/>
          <w:color w:val="auto"/>
          <w:sz w:val="28"/>
          <w:szCs w:val="22"/>
        </w:rPr>
        <w:t>委托书</w:t>
      </w:r>
      <w:r>
        <w:rPr>
          <w:rFonts w:hint="eastAsia" w:hAnsi="宋体"/>
          <w:sz w:val="28"/>
        </w:rPr>
        <w:t>（复印件）</w:t>
      </w:r>
      <w:bookmarkEnd w:id="41"/>
      <w:bookmarkEnd w:id="42"/>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rPr>
        <w:t>二、</w:t>
      </w:r>
      <w:bookmarkStart w:id="43" w:name="_Toc520389375"/>
      <w:bookmarkStart w:id="44" w:name="_Toc53494180"/>
      <w:r>
        <w:rPr>
          <w:rFonts w:hint="eastAsia" w:hAnsi="宋体"/>
          <w:sz w:val="28"/>
        </w:rPr>
        <w:t>《国有土地使用证》（复印件）</w:t>
      </w:r>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rPr>
        <w:t>三、《国有建设用地使用权出让合同》（复印件）</w:t>
      </w:r>
    </w:p>
    <w:p>
      <w:pPr>
        <w:tabs>
          <w:tab w:val="right" w:pos="-2160"/>
          <w:tab w:val="left" w:pos="8520"/>
        </w:tabs>
        <w:adjustRightInd w:val="0"/>
        <w:snapToGrid w:val="0"/>
        <w:spacing w:line="520" w:lineRule="exact"/>
        <w:ind w:left="1398" w:leftChars="266" w:right="-264" w:hanging="840" w:hangingChars="300"/>
        <w:rPr>
          <w:rFonts w:hint="eastAsia" w:hAnsi="宋体" w:cs="Times New Roman"/>
          <w:sz w:val="28"/>
          <w:szCs w:val="28"/>
          <w:lang w:val="en-US" w:eastAsia="zh-CN"/>
        </w:rPr>
      </w:pPr>
      <w:r>
        <w:rPr>
          <w:rFonts w:hint="eastAsia" w:hAnsi="宋体"/>
          <w:sz w:val="28"/>
        </w:rPr>
        <w:t>四、</w:t>
      </w:r>
      <w:bookmarkEnd w:id="43"/>
      <w:bookmarkEnd w:id="44"/>
      <w:bookmarkStart w:id="45" w:name="_Toc520389376"/>
      <w:r>
        <w:rPr>
          <w:rFonts w:hint="eastAsia" w:hAnsi="宋体" w:cs="Times New Roman"/>
          <w:sz w:val="28"/>
          <w:szCs w:val="28"/>
          <w:lang w:val="en-US" w:eastAsia="zh-CN"/>
        </w:rPr>
        <w:t>《吕梁恒信房地产开发有限公司豊足·汾阳壹号小区5#施工图》</w:t>
      </w:r>
    </w:p>
    <w:p>
      <w:pPr>
        <w:tabs>
          <w:tab w:val="right" w:pos="-2160"/>
          <w:tab w:val="left" w:pos="8520"/>
        </w:tabs>
        <w:adjustRightInd w:val="0"/>
        <w:snapToGrid w:val="0"/>
        <w:spacing w:line="520" w:lineRule="exact"/>
        <w:ind w:right="-264" w:firstLine="1120" w:firstLineChars="400"/>
        <w:rPr>
          <w:rFonts w:hint="eastAsia" w:hAnsi="宋体"/>
          <w:sz w:val="28"/>
        </w:rPr>
      </w:pPr>
      <w:r>
        <w:rPr>
          <w:rFonts w:hint="eastAsia" w:hAnsi="宋体" w:cs="Times New Roman"/>
          <w:sz w:val="28"/>
          <w:szCs w:val="28"/>
          <w:lang w:val="en-US" w:eastAsia="zh-CN"/>
        </w:rPr>
        <w:t>（节选）</w:t>
      </w:r>
      <w:r>
        <w:rPr>
          <w:rFonts w:hint="eastAsia" w:hAnsi="宋体"/>
          <w:sz w:val="28"/>
        </w:rPr>
        <w:t>（复印件）</w:t>
      </w:r>
    </w:p>
    <w:p>
      <w:pPr>
        <w:tabs>
          <w:tab w:val="right" w:pos="-2160"/>
          <w:tab w:val="left" w:pos="8520"/>
        </w:tabs>
        <w:adjustRightInd w:val="0"/>
        <w:snapToGrid w:val="0"/>
        <w:spacing w:line="520" w:lineRule="exact"/>
        <w:ind w:right="-264" w:firstLine="560" w:firstLineChars="200"/>
        <w:rPr>
          <w:rFonts w:hint="eastAsia" w:hAnsi="宋体" w:eastAsia="宋体"/>
          <w:sz w:val="28"/>
          <w:lang w:eastAsia="zh-CN"/>
        </w:rPr>
      </w:pPr>
      <w:r>
        <w:rPr>
          <w:rFonts w:hint="eastAsia" w:hAnsi="宋体"/>
          <w:sz w:val="28"/>
        </w:rPr>
        <w:t>五、</w:t>
      </w:r>
      <w:r>
        <w:rPr>
          <w:rFonts w:hint="eastAsia" w:hAnsi="宋体"/>
          <w:sz w:val="28"/>
          <w:lang w:eastAsia="zh-CN"/>
        </w:rPr>
        <w:t>造价工程师对估价对象完工状态的重置价格测算过程</w:t>
      </w:r>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lang w:val="en-US" w:eastAsia="zh-CN"/>
        </w:rPr>
        <w:t>六</w:t>
      </w:r>
      <w:r>
        <w:rPr>
          <w:rFonts w:hint="eastAsia" w:hAnsi="宋体"/>
          <w:sz w:val="28"/>
        </w:rPr>
        <w:t>、其他与评估有关的资料（复印件）</w:t>
      </w:r>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lang w:val="en-US" w:eastAsia="zh-CN"/>
        </w:rPr>
        <w:t>七</w:t>
      </w:r>
      <w:r>
        <w:rPr>
          <w:rFonts w:hint="eastAsia" w:hAnsi="宋体"/>
          <w:sz w:val="28"/>
        </w:rPr>
        <w:t>、房地产区域位置图（复印件）</w:t>
      </w:r>
    </w:p>
    <w:p>
      <w:pPr>
        <w:tabs>
          <w:tab w:val="right" w:pos="-2160"/>
          <w:tab w:val="left" w:pos="8520"/>
        </w:tabs>
        <w:adjustRightInd w:val="0"/>
        <w:snapToGrid w:val="0"/>
        <w:spacing w:line="520" w:lineRule="exact"/>
        <w:ind w:right="-264" w:firstLine="560" w:firstLineChars="200"/>
        <w:rPr>
          <w:rFonts w:hAnsi="宋体"/>
          <w:sz w:val="28"/>
        </w:rPr>
      </w:pPr>
      <w:bookmarkStart w:id="46" w:name="_Toc53494181"/>
      <w:bookmarkStart w:id="47" w:name="_Toc520389377"/>
      <w:r>
        <w:rPr>
          <w:rFonts w:hint="eastAsia" w:hAnsi="宋体"/>
          <w:sz w:val="28"/>
          <w:lang w:val="en-US" w:eastAsia="zh-CN"/>
        </w:rPr>
        <w:t>八</w:t>
      </w:r>
      <w:r>
        <w:rPr>
          <w:rFonts w:hint="eastAsia" w:hAnsi="宋体"/>
          <w:sz w:val="28"/>
        </w:rPr>
        <w:t>、</w:t>
      </w:r>
      <w:bookmarkEnd w:id="46"/>
      <w:bookmarkEnd w:id="47"/>
      <w:r>
        <w:rPr>
          <w:rFonts w:hint="eastAsia" w:hAnsi="宋体"/>
          <w:sz w:val="28"/>
        </w:rPr>
        <w:t>房地产实物状况照片（复印件）</w:t>
      </w:r>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lang w:val="en-US" w:eastAsia="zh-CN"/>
        </w:rPr>
        <w:t>九</w:t>
      </w:r>
      <w:r>
        <w:rPr>
          <w:rFonts w:hint="eastAsia" w:hAnsi="宋体"/>
          <w:sz w:val="28"/>
        </w:rPr>
        <w:t>、估价机构企业法人营业执照（复印件）</w:t>
      </w:r>
    </w:p>
    <w:p>
      <w:pPr>
        <w:tabs>
          <w:tab w:val="right" w:pos="-2160"/>
          <w:tab w:val="left" w:pos="8520"/>
        </w:tabs>
        <w:adjustRightInd w:val="0"/>
        <w:snapToGrid w:val="0"/>
        <w:spacing w:line="520" w:lineRule="exact"/>
        <w:ind w:right="-264" w:firstLine="560" w:firstLineChars="200"/>
        <w:rPr>
          <w:rFonts w:hAnsi="宋体"/>
          <w:sz w:val="28"/>
        </w:rPr>
      </w:pPr>
      <w:r>
        <w:rPr>
          <w:rFonts w:hint="eastAsia" w:hAnsi="宋体"/>
          <w:sz w:val="28"/>
          <w:lang w:val="en-US" w:eastAsia="zh-CN"/>
        </w:rPr>
        <w:t>十</w:t>
      </w:r>
      <w:r>
        <w:rPr>
          <w:rFonts w:hint="eastAsia" w:hAnsi="宋体"/>
          <w:sz w:val="28"/>
        </w:rPr>
        <w:t>、房地产估价机构资质等级证书（复印件）</w:t>
      </w:r>
    </w:p>
    <w:bookmarkEnd w:id="45"/>
    <w:p>
      <w:pPr>
        <w:tabs>
          <w:tab w:val="right" w:pos="-2160"/>
          <w:tab w:val="left" w:pos="8520"/>
        </w:tabs>
        <w:adjustRightInd w:val="0"/>
        <w:snapToGrid w:val="0"/>
        <w:spacing w:line="520" w:lineRule="exact"/>
        <w:ind w:right="-264" w:firstLine="560" w:firstLineChars="200"/>
        <w:rPr>
          <w:rFonts w:hAnsi="宋体"/>
          <w:sz w:val="28"/>
        </w:rPr>
      </w:pPr>
      <w:bookmarkStart w:id="48" w:name="_Toc53494182"/>
      <w:bookmarkStart w:id="49" w:name="_Toc520389378"/>
      <w:r>
        <w:rPr>
          <w:rFonts w:hint="eastAsia" w:hAnsi="宋体"/>
          <w:sz w:val="28"/>
          <w:lang w:val="en-US" w:eastAsia="zh-CN"/>
        </w:rPr>
        <w:t>十一</w:t>
      </w:r>
      <w:r>
        <w:rPr>
          <w:rFonts w:hint="eastAsia" w:hAnsi="宋体"/>
          <w:sz w:val="28"/>
        </w:rPr>
        <w:t>、</w:t>
      </w:r>
      <w:bookmarkEnd w:id="48"/>
      <w:bookmarkEnd w:id="49"/>
      <w:r>
        <w:rPr>
          <w:rFonts w:hint="eastAsia" w:hAnsi="宋体"/>
          <w:sz w:val="28"/>
        </w:rPr>
        <w:t>估价人员资格证书（复印件）</w:t>
      </w:r>
    </w:p>
    <w:sectPr>
      <w:headerReference r:id="rId4" w:type="default"/>
      <w:footerReference r:id="rId5" w:type="default"/>
      <w:pgSz w:w="11906" w:h="16838"/>
      <w:pgMar w:top="794" w:right="1191" w:bottom="794" w:left="1247" w:header="624" w:footer="62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9"/>
        <w:rFonts w:hAnsi="宋体"/>
        <w:iCs/>
        <w:sz w:val="21"/>
        <w:szCs w:val="21"/>
      </w:rPr>
    </w:pPr>
    <w:r>
      <w:rPr>
        <w:rFonts w:hAnsi="宋体"/>
        <w:iCs/>
        <w:sz w:val="21"/>
        <w:szCs w:val="21"/>
      </w:rPr>
      <w:pict>
        <v:line id="直线 1" o:spid="_x0000_s1046" o:spt="20" style="position:absolute;left:0pt;margin-left:0pt;margin-top:0.05pt;height:0pt;width:474.25pt;z-index:251659264;mso-width-relative:page;mso-height-relative:page;" filled="f" stroked="t" coordsize="21600,21600">
          <v:path arrowok="t"/>
          <v:fill on="f" focussize="0,0"/>
          <v:stroke color="#000000"/>
          <v:imagedata o:title=""/>
          <o:lock v:ext="edit" aspectratio="f"/>
        </v:line>
      </w:pict>
    </w:r>
    <w:r>
      <w:rPr>
        <w:rFonts w:hint="eastAsia" w:hAnsi="宋体"/>
        <w:iCs/>
        <w:sz w:val="21"/>
        <w:szCs w:val="21"/>
      </w:rPr>
      <w:t xml:space="preserve">山西至源不动产房地产评估咨询有限公司                                </w:t>
    </w:r>
    <w:r>
      <w:rPr>
        <w:rStyle w:val="29"/>
        <w:rFonts w:hint="eastAsia" w:hAnsi="宋体"/>
        <w:iCs/>
        <w:sz w:val="21"/>
        <w:szCs w:val="21"/>
      </w:rPr>
      <w:t xml:space="preserve">第  </w:t>
    </w:r>
    <w:r>
      <w:rPr>
        <w:rFonts w:hAnsi="宋体"/>
        <w:iCs/>
        <w:sz w:val="21"/>
        <w:szCs w:val="21"/>
      </w:rPr>
      <w:fldChar w:fldCharType="begin"/>
    </w:r>
    <w:r>
      <w:rPr>
        <w:rStyle w:val="29"/>
        <w:rFonts w:hAnsi="宋体"/>
        <w:iCs/>
        <w:sz w:val="21"/>
        <w:szCs w:val="21"/>
      </w:rPr>
      <w:instrText xml:space="preserve"> PAGE </w:instrText>
    </w:r>
    <w:r>
      <w:rPr>
        <w:rFonts w:hAnsi="宋体"/>
        <w:iCs/>
        <w:sz w:val="21"/>
        <w:szCs w:val="21"/>
      </w:rPr>
      <w:fldChar w:fldCharType="separate"/>
    </w:r>
    <w:r>
      <w:rPr>
        <w:rStyle w:val="29"/>
        <w:rFonts w:hAnsi="宋体"/>
        <w:iCs/>
        <w:sz w:val="21"/>
        <w:szCs w:val="21"/>
      </w:rPr>
      <w:t>5</w:t>
    </w:r>
    <w:r>
      <w:rPr>
        <w:rFonts w:hAnsi="宋体"/>
        <w:iCs/>
        <w:sz w:val="21"/>
        <w:szCs w:val="21"/>
      </w:rPr>
      <w:fldChar w:fldCharType="end"/>
    </w:r>
    <w:r>
      <w:rPr>
        <w:rStyle w:val="29"/>
        <w:rFonts w:hint="eastAsia" w:hAnsi="宋体"/>
        <w:sz w:val="21"/>
        <w:szCs w:val="21"/>
      </w:rPr>
      <w:t xml:space="preserve"> </w:t>
    </w:r>
    <w:r>
      <w:rPr>
        <w:rStyle w:val="29"/>
        <w:rFonts w:hint="eastAsia" w:hAnsi="宋体"/>
        <w:iCs/>
        <w:sz w:val="21"/>
        <w:szCs w:val="21"/>
      </w:rPr>
      <w:t xml:space="preserve"> 页</w:t>
    </w:r>
  </w:p>
  <w:p>
    <w:pPr>
      <w:pStyle w:val="14"/>
    </w:pPr>
    <w:r>
      <w:rPr>
        <w:rFonts w:hint="eastAsia" w:hAnsi="宋体"/>
        <w:iCs/>
        <w:sz w:val="21"/>
        <w:szCs w:val="21"/>
      </w:rPr>
      <w:t>TEL:0351-3586544  0351-3586776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left"/>
      <w:rPr>
        <w:rFonts w:hAnsi="宋体"/>
        <w:sz w:val="21"/>
        <w:szCs w:val="21"/>
      </w:rPr>
    </w:pPr>
    <w:r>
      <w:object>
        <v:shape id="_x0000_i1025" o:spt="75" type="#_x0000_t75" style="height:18.6pt;width:21.6pt;" o:ole="t" filled="f" o:preferrelative="t" stroked="f" coordsize="21600,21600">
          <v:path/>
          <v:fill on="f" focussize="0,0"/>
          <v:stroke on="f" joinstyle="miter"/>
          <v:imagedata r:id="rId2" o:title=""/>
          <o:lock v:ext="edit" aspectratio="t"/>
          <w10:wrap type="none"/>
          <w10:anchorlock/>
        </v:shape>
        <o:OLEObject Type="Embed" ProgID="Imaging.Document" ShapeID="_x0000_i1025" DrawAspect="Content" ObjectID="_1468075725" r:id="rId1">
          <o:LockedField>false</o:LockedField>
        </o:OLEObject>
      </w:object>
    </w:r>
    <w:r>
      <w:rPr>
        <w:rFonts w:hint="eastAsia"/>
      </w:rPr>
      <w:t xml:space="preserve">                 </w:t>
    </w:r>
    <w:r>
      <w:rPr>
        <w:rFonts w:hint="eastAsia"/>
        <w:lang w:val="en-US" w:eastAsia="zh-CN"/>
      </w:rPr>
      <w:t xml:space="preserve">                  </w:t>
    </w:r>
    <w:r>
      <w:rPr>
        <w:rFonts w:hint="eastAsia" w:hAnsi="宋体"/>
        <w:sz w:val="21"/>
        <w:szCs w:val="21"/>
      </w:rPr>
      <w:t>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85B11"/>
    <w:multiLevelType w:val="multilevel"/>
    <w:tmpl w:val="20C85B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47C9524"/>
    <w:multiLevelType w:val="singleLevel"/>
    <w:tmpl w:val="247C9524"/>
    <w:lvl w:ilvl="0" w:tentative="0">
      <w:start w:val="2"/>
      <w:numFmt w:val="decimal"/>
      <w:suff w:val="nothing"/>
      <w:lvlText w:val="%1、"/>
      <w:lvlJc w:val="left"/>
    </w:lvl>
  </w:abstractNum>
  <w:abstractNum w:abstractNumId="2">
    <w:nsid w:val="31D74C2C"/>
    <w:multiLevelType w:val="multilevel"/>
    <w:tmpl w:val="31D74C2C"/>
    <w:lvl w:ilvl="0" w:tentative="0">
      <w:start w:val="1"/>
      <w:numFmt w:val="decimal"/>
      <w:lvlText w:val="（%1）"/>
      <w:lvlJc w:val="left"/>
      <w:pPr>
        <w:ind w:left="1244" w:hanging="720"/>
      </w:pPr>
      <w:rPr>
        <w:rFonts w:hint="default"/>
      </w:rPr>
    </w:lvl>
    <w:lvl w:ilvl="1" w:tentative="0">
      <w:start w:val="1"/>
      <w:numFmt w:val="lowerLetter"/>
      <w:lvlText w:val="%2)"/>
      <w:lvlJc w:val="left"/>
      <w:pPr>
        <w:ind w:left="1364" w:hanging="420"/>
      </w:pPr>
    </w:lvl>
    <w:lvl w:ilvl="2" w:tentative="0">
      <w:start w:val="1"/>
      <w:numFmt w:val="lowerRoman"/>
      <w:lvlText w:val="%3."/>
      <w:lvlJc w:val="right"/>
      <w:pPr>
        <w:ind w:left="1784" w:hanging="420"/>
      </w:pPr>
    </w:lvl>
    <w:lvl w:ilvl="3" w:tentative="0">
      <w:start w:val="1"/>
      <w:numFmt w:val="decimal"/>
      <w:lvlText w:val="%4."/>
      <w:lvlJc w:val="left"/>
      <w:pPr>
        <w:ind w:left="2204" w:hanging="420"/>
      </w:pPr>
    </w:lvl>
    <w:lvl w:ilvl="4" w:tentative="0">
      <w:start w:val="1"/>
      <w:numFmt w:val="lowerLetter"/>
      <w:lvlText w:val="%5)"/>
      <w:lvlJc w:val="left"/>
      <w:pPr>
        <w:ind w:left="2624" w:hanging="420"/>
      </w:pPr>
    </w:lvl>
    <w:lvl w:ilvl="5" w:tentative="0">
      <w:start w:val="1"/>
      <w:numFmt w:val="lowerRoman"/>
      <w:lvlText w:val="%6."/>
      <w:lvlJc w:val="right"/>
      <w:pPr>
        <w:ind w:left="3044" w:hanging="420"/>
      </w:pPr>
    </w:lvl>
    <w:lvl w:ilvl="6" w:tentative="0">
      <w:start w:val="1"/>
      <w:numFmt w:val="decimal"/>
      <w:lvlText w:val="%7."/>
      <w:lvlJc w:val="left"/>
      <w:pPr>
        <w:ind w:left="3464" w:hanging="420"/>
      </w:pPr>
    </w:lvl>
    <w:lvl w:ilvl="7" w:tentative="0">
      <w:start w:val="1"/>
      <w:numFmt w:val="lowerLetter"/>
      <w:lvlText w:val="%8)"/>
      <w:lvlJc w:val="left"/>
      <w:pPr>
        <w:ind w:left="3884" w:hanging="420"/>
      </w:pPr>
    </w:lvl>
    <w:lvl w:ilvl="8" w:tentative="0">
      <w:start w:val="1"/>
      <w:numFmt w:val="lowerRoman"/>
      <w:lvlText w:val="%9."/>
      <w:lvlJc w:val="right"/>
      <w:pPr>
        <w:ind w:left="4304" w:hanging="420"/>
      </w:pPr>
    </w:lvl>
  </w:abstractNum>
  <w:abstractNum w:abstractNumId="3">
    <w:nsid w:val="541F016C"/>
    <w:multiLevelType w:val="multilevel"/>
    <w:tmpl w:val="541F016C"/>
    <w:lvl w:ilvl="0" w:tentative="0">
      <w:start w:val="1"/>
      <w:numFmt w:val="bullet"/>
      <w:lvlText w:val=""/>
      <w:lvlJc w:val="left"/>
      <w:pPr>
        <w:ind w:left="940" w:hanging="420"/>
      </w:pPr>
      <w:rPr>
        <w:rFonts w:hint="default" w:ascii="Wingdings" w:hAnsi="Wingdings"/>
      </w:rPr>
    </w:lvl>
    <w:lvl w:ilvl="1" w:tentative="0">
      <w:start w:val="1"/>
      <w:numFmt w:val="bullet"/>
      <w:lvlText w:val=""/>
      <w:lvlJc w:val="left"/>
      <w:pPr>
        <w:ind w:left="1360" w:hanging="420"/>
      </w:pPr>
      <w:rPr>
        <w:rFonts w:hint="default" w:ascii="Wingdings" w:hAnsi="Wingdings"/>
      </w:rPr>
    </w:lvl>
    <w:lvl w:ilvl="2" w:tentative="0">
      <w:start w:val="1"/>
      <w:numFmt w:val="bullet"/>
      <w:lvlText w:val=""/>
      <w:lvlJc w:val="left"/>
      <w:pPr>
        <w:ind w:left="1780" w:hanging="420"/>
      </w:pPr>
      <w:rPr>
        <w:rFonts w:hint="default" w:ascii="Wingdings" w:hAnsi="Wingdings"/>
      </w:rPr>
    </w:lvl>
    <w:lvl w:ilvl="3" w:tentative="0">
      <w:start w:val="1"/>
      <w:numFmt w:val="bullet"/>
      <w:lvlText w:val=""/>
      <w:lvlJc w:val="left"/>
      <w:pPr>
        <w:ind w:left="2200" w:hanging="420"/>
      </w:pPr>
      <w:rPr>
        <w:rFonts w:hint="default" w:ascii="Wingdings" w:hAnsi="Wingdings"/>
      </w:rPr>
    </w:lvl>
    <w:lvl w:ilvl="4" w:tentative="0">
      <w:start w:val="1"/>
      <w:numFmt w:val="bullet"/>
      <w:lvlText w:val=""/>
      <w:lvlJc w:val="left"/>
      <w:pPr>
        <w:ind w:left="2620" w:hanging="420"/>
      </w:pPr>
      <w:rPr>
        <w:rFonts w:hint="default" w:ascii="Wingdings" w:hAnsi="Wingdings"/>
      </w:rPr>
    </w:lvl>
    <w:lvl w:ilvl="5" w:tentative="0">
      <w:start w:val="1"/>
      <w:numFmt w:val="bullet"/>
      <w:lvlText w:val=""/>
      <w:lvlJc w:val="left"/>
      <w:pPr>
        <w:ind w:left="3040" w:hanging="420"/>
      </w:pPr>
      <w:rPr>
        <w:rFonts w:hint="default" w:ascii="Wingdings" w:hAnsi="Wingdings"/>
      </w:rPr>
    </w:lvl>
    <w:lvl w:ilvl="6" w:tentative="0">
      <w:start w:val="1"/>
      <w:numFmt w:val="bullet"/>
      <w:lvlText w:val=""/>
      <w:lvlJc w:val="left"/>
      <w:pPr>
        <w:ind w:left="3460" w:hanging="420"/>
      </w:pPr>
      <w:rPr>
        <w:rFonts w:hint="default" w:ascii="Wingdings" w:hAnsi="Wingdings"/>
      </w:rPr>
    </w:lvl>
    <w:lvl w:ilvl="7" w:tentative="0">
      <w:start w:val="1"/>
      <w:numFmt w:val="bullet"/>
      <w:lvlText w:val=""/>
      <w:lvlJc w:val="left"/>
      <w:pPr>
        <w:ind w:left="3880" w:hanging="420"/>
      </w:pPr>
      <w:rPr>
        <w:rFonts w:hint="default" w:ascii="Wingdings" w:hAnsi="Wingdings"/>
      </w:rPr>
    </w:lvl>
    <w:lvl w:ilvl="8" w:tentative="0">
      <w:start w:val="1"/>
      <w:numFmt w:val="bullet"/>
      <w:lvlText w:val=""/>
      <w:lvlJc w:val="left"/>
      <w:pPr>
        <w:ind w:left="4300" w:hanging="420"/>
      </w:pPr>
      <w:rPr>
        <w:rFonts w:hint="default" w:ascii="Wingdings" w:hAnsi="Wingdings"/>
      </w:rPr>
    </w:lvl>
  </w:abstractNum>
  <w:abstractNum w:abstractNumId="4">
    <w:nsid w:val="60781C99"/>
    <w:multiLevelType w:val="multilevel"/>
    <w:tmpl w:val="60781C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Y3NzU4NDRlYjg2YmQ0OWExMzE2YTAzNGU4MzU1NWIifQ=="/>
  </w:docVars>
  <w:rsids>
    <w:rsidRoot w:val="00172A27"/>
    <w:rsid w:val="0000051A"/>
    <w:rsid w:val="00005027"/>
    <w:rsid w:val="000108DA"/>
    <w:rsid w:val="00011C65"/>
    <w:rsid w:val="000120E3"/>
    <w:rsid w:val="00012375"/>
    <w:rsid w:val="00014B99"/>
    <w:rsid w:val="00016270"/>
    <w:rsid w:val="000226BA"/>
    <w:rsid w:val="00022A68"/>
    <w:rsid w:val="00022D97"/>
    <w:rsid w:val="00025445"/>
    <w:rsid w:val="00026218"/>
    <w:rsid w:val="00026225"/>
    <w:rsid w:val="00026A42"/>
    <w:rsid w:val="00026D85"/>
    <w:rsid w:val="00027C97"/>
    <w:rsid w:val="00030E15"/>
    <w:rsid w:val="000316A0"/>
    <w:rsid w:val="00032114"/>
    <w:rsid w:val="000343A3"/>
    <w:rsid w:val="000356F6"/>
    <w:rsid w:val="000420AC"/>
    <w:rsid w:val="0004576C"/>
    <w:rsid w:val="00045FAC"/>
    <w:rsid w:val="00052D11"/>
    <w:rsid w:val="00053205"/>
    <w:rsid w:val="0005369E"/>
    <w:rsid w:val="000544EC"/>
    <w:rsid w:val="000545B7"/>
    <w:rsid w:val="00054C63"/>
    <w:rsid w:val="00054ECE"/>
    <w:rsid w:val="00055BEC"/>
    <w:rsid w:val="0005612D"/>
    <w:rsid w:val="00057655"/>
    <w:rsid w:val="00057D85"/>
    <w:rsid w:val="00060565"/>
    <w:rsid w:val="00061E79"/>
    <w:rsid w:val="00064363"/>
    <w:rsid w:val="00064E86"/>
    <w:rsid w:val="00065994"/>
    <w:rsid w:val="000670D3"/>
    <w:rsid w:val="0006733B"/>
    <w:rsid w:val="00067FC2"/>
    <w:rsid w:val="00070280"/>
    <w:rsid w:val="00072D3D"/>
    <w:rsid w:val="00075519"/>
    <w:rsid w:val="00075673"/>
    <w:rsid w:val="0007739E"/>
    <w:rsid w:val="0008023D"/>
    <w:rsid w:val="00082C55"/>
    <w:rsid w:val="00083E2F"/>
    <w:rsid w:val="0008455A"/>
    <w:rsid w:val="00084C9A"/>
    <w:rsid w:val="0008583A"/>
    <w:rsid w:val="00085FA8"/>
    <w:rsid w:val="00091161"/>
    <w:rsid w:val="00091980"/>
    <w:rsid w:val="00091D0D"/>
    <w:rsid w:val="000943A6"/>
    <w:rsid w:val="0009672A"/>
    <w:rsid w:val="00096CAD"/>
    <w:rsid w:val="00097EDF"/>
    <w:rsid w:val="000A32A3"/>
    <w:rsid w:val="000A6D24"/>
    <w:rsid w:val="000A72EE"/>
    <w:rsid w:val="000A744B"/>
    <w:rsid w:val="000B1B08"/>
    <w:rsid w:val="000B54B6"/>
    <w:rsid w:val="000B6A59"/>
    <w:rsid w:val="000C078C"/>
    <w:rsid w:val="000C0C23"/>
    <w:rsid w:val="000C0F03"/>
    <w:rsid w:val="000C21B2"/>
    <w:rsid w:val="000C2449"/>
    <w:rsid w:val="000C495E"/>
    <w:rsid w:val="000C4AFB"/>
    <w:rsid w:val="000C4BBE"/>
    <w:rsid w:val="000C5FF6"/>
    <w:rsid w:val="000C6B81"/>
    <w:rsid w:val="000D15A4"/>
    <w:rsid w:val="000D1F30"/>
    <w:rsid w:val="000D4036"/>
    <w:rsid w:val="000D4F4E"/>
    <w:rsid w:val="000D4FC0"/>
    <w:rsid w:val="000D531A"/>
    <w:rsid w:val="000D59D6"/>
    <w:rsid w:val="000D6CE1"/>
    <w:rsid w:val="000D6D3E"/>
    <w:rsid w:val="000D78FF"/>
    <w:rsid w:val="000E1417"/>
    <w:rsid w:val="000E176B"/>
    <w:rsid w:val="000E3B1D"/>
    <w:rsid w:val="000E6566"/>
    <w:rsid w:val="000E77B1"/>
    <w:rsid w:val="000E7AD0"/>
    <w:rsid w:val="000F03A0"/>
    <w:rsid w:val="000F32E9"/>
    <w:rsid w:val="000F5738"/>
    <w:rsid w:val="000F6253"/>
    <w:rsid w:val="00102413"/>
    <w:rsid w:val="0010396C"/>
    <w:rsid w:val="00103A9A"/>
    <w:rsid w:val="00106CCD"/>
    <w:rsid w:val="00107090"/>
    <w:rsid w:val="001073CB"/>
    <w:rsid w:val="0011023C"/>
    <w:rsid w:val="00111309"/>
    <w:rsid w:val="0011192A"/>
    <w:rsid w:val="0011290A"/>
    <w:rsid w:val="00112D20"/>
    <w:rsid w:val="0011333F"/>
    <w:rsid w:val="00113729"/>
    <w:rsid w:val="00117D6B"/>
    <w:rsid w:val="0012001F"/>
    <w:rsid w:val="001223D8"/>
    <w:rsid w:val="00124ED9"/>
    <w:rsid w:val="00126F29"/>
    <w:rsid w:val="00127770"/>
    <w:rsid w:val="0013025D"/>
    <w:rsid w:val="00131318"/>
    <w:rsid w:val="00133565"/>
    <w:rsid w:val="001341D6"/>
    <w:rsid w:val="00134A4B"/>
    <w:rsid w:val="00135C81"/>
    <w:rsid w:val="00136F9A"/>
    <w:rsid w:val="00137F89"/>
    <w:rsid w:val="001411F4"/>
    <w:rsid w:val="00141932"/>
    <w:rsid w:val="00141D72"/>
    <w:rsid w:val="001424D5"/>
    <w:rsid w:val="00143005"/>
    <w:rsid w:val="0014365C"/>
    <w:rsid w:val="00150794"/>
    <w:rsid w:val="00151343"/>
    <w:rsid w:val="00152446"/>
    <w:rsid w:val="0015261C"/>
    <w:rsid w:val="001539AD"/>
    <w:rsid w:val="00153EBB"/>
    <w:rsid w:val="00154722"/>
    <w:rsid w:val="00156610"/>
    <w:rsid w:val="001570E8"/>
    <w:rsid w:val="00160878"/>
    <w:rsid w:val="00160E95"/>
    <w:rsid w:val="00162FA4"/>
    <w:rsid w:val="00163018"/>
    <w:rsid w:val="00163CB8"/>
    <w:rsid w:val="0016646D"/>
    <w:rsid w:val="00170F71"/>
    <w:rsid w:val="0017155A"/>
    <w:rsid w:val="0017224F"/>
    <w:rsid w:val="00172A27"/>
    <w:rsid w:val="00172D57"/>
    <w:rsid w:val="00174909"/>
    <w:rsid w:val="001778BC"/>
    <w:rsid w:val="001834D5"/>
    <w:rsid w:val="00184944"/>
    <w:rsid w:val="0018674A"/>
    <w:rsid w:val="0019019A"/>
    <w:rsid w:val="00190F7E"/>
    <w:rsid w:val="00191995"/>
    <w:rsid w:val="00192780"/>
    <w:rsid w:val="00192BE2"/>
    <w:rsid w:val="001930E2"/>
    <w:rsid w:val="0019382B"/>
    <w:rsid w:val="0019661F"/>
    <w:rsid w:val="00196DEB"/>
    <w:rsid w:val="00197BC3"/>
    <w:rsid w:val="00197DFD"/>
    <w:rsid w:val="001A1A2E"/>
    <w:rsid w:val="001A4280"/>
    <w:rsid w:val="001A443A"/>
    <w:rsid w:val="001A5150"/>
    <w:rsid w:val="001B12BE"/>
    <w:rsid w:val="001B1FAD"/>
    <w:rsid w:val="001B27C1"/>
    <w:rsid w:val="001B4145"/>
    <w:rsid w:val="001B5006"/>
    <w:rsid w:val="001B5B49"/>
    <w:rsid w:val="001B732A"/>
    <w:rsid w:val="001C0A61"/>
    <w:rsid w:val="001C3D8C"/>
    <w:rsid w:val="001C4450"/>
    <w:rsid w:val="001C51EA"/>
    <w:rsid w:val="001C587C"/>
    <w:rsid w:val="001D1CA0"/>
    <w:rsid w:val="001D48FC"/>
    <w:rsid w:val="001D691F"/>
    <w:rsid w:val="001D7657"/>
    <w:rsid w:val="001D7BAE"/>
    <w:rsid w:val="001D7F77"/>
    <w:rsid w:val="001E1656"/>
    <w:rsid w:val="001E2318"/>
    <w:rsid w:val="001E62E1"/>
    <w:rsid w:val="001E6E46"/>
    <w:rsid w:val="001E72D1"/>
    <w:rsid w:val="001F0B62"/>
    <w:rsid w:val="001F0D20"/>
    <w:rsid w:val="001F1FB2"/>
    <w:rsid w:val="001F3E4A"/>
    <w:rsid w:val="001F5FC1"/>
    <w:rsid w:val="001F65AE"/>
    <w:rsid w:val="001F6EFC"/>
    <w:rsid w:val="00200D91"/>
    <w:rsid w:val="0020183B"/>
    <w:rsid w:val="00202DE4"/>
    <w:rsid w:val="00207600"/>
    <w:rsid w:val="00207F8D"/>
    <w:rsid w:val="002158C9"/>
    <w:rsid w:val="00215BD2"/>
    <w:rsid w:val="00215FDE"/>
    <w:rsid w:val="00216509"/>
    <w:rsid w:val="00216B0E"/>
    <w:rsid w:val="002211B3"/>
    <w:rsid w:val="0022227E"/>
    <w:rsid w:val="00223928"/>
    <w:rsid w:val="00223D42"/>
    <w:rsid w:val="0022411E"/>
    <w:rsid w:val="00224BEA"/>
    <w:rsid w:val="002255DD"/>
    <w:rsid w:val="00227D5A"/>
    <w:rsid w:val="00230ED4"/>
    <w:rsid w:val="0023119C"/>
    <w:rsid w:val="002316B8"/>
    <w:rsid w:val="002325C2"/>
    <w:rsid w:val="002372D6"/>
    <w:rsid w:val="00240311"/>
    <w:rsid w:val="00240699"/>
    <w:rsid w:val="00241ECD"/>
    <w:rsid w:val="002428B0"/>
    <w:rsid w:val="0024413E"/>
    <w:rsid w:val="002446C4"/>
    <w:rsid w:val="00244BBC"/>
    <w:rsid w:val="00245E02"/>
    <w:rsid w:val="002476EE"/>
    <w:rsid w:val="0025146F"/>
    <w:rsid w:val="00255AC9"/>
    <w:rsid w:val="00257E74"/>
    <w:rsid w:val="002629BF"/>
    <w:rsid w:val="0026397C"/>
    <w:rsid w:val="00264225"/>
    <w:rsid w:val="00265993"/>
    <w:rsid w:val="00266877"/>
    <w:rsid w:val="00270A77"/>
    <w:rsid w:val="00271270"/>
    <w:rsid w:val="002776D0"/>
    <w:rsid w:val="00282E47"/>
    <w:rsid w:val="00283372"/>
    <w:rsid w:val="00283AEF"/>
    <w:rsid w:val="00283E4F"/>
    <w:rsid w:val="00285BA3"/>
    <w:rsid w:val="002876CA"/>
    <w:rsid w:val="002953A2"/>
    <w:rsid w:val="00296159"/>
    <w:rsid w:val="00296D2C"/>
    <w:rsid w:val="00296F26"/>
    <w:rsid w:val="002A0471"/>
    <w:rsid w:val="002A08A6"/>
    <w:rsid w:val="002A1ADA"/>
    <w:rsid w:val="002A7102"/>
    <w:rsid w:val="002B141F"/>
    <w:rsid w:val="002B18C3"/>
    <w:rsid w:val="002B33A6"/>
    <w:rsid w:val="002B406C"/>
    <w:rsid w:val="002B4A19"/>
    <w:rsid w:val="002C19BF"/>
    <w:rsid w:val="002C19D8"/>
    <w:rsid w:val="002C1ACE"/>
    <w:rsid w:val="002C3809"/>
    <w:rsid w:val="002C4111"/>
    <w:rsid w:val="002C53EB"/>
    <w:rsid w:val="002C58AB"/>
    <w:rsid w:val="002C5BCC"/>
    <w:rsid w:val="002C5D7B"/>
    <w:rsid w:val="002C72E3"/>
    <w:rsid w:val="002C7A9C"/>
    <w:rsid w:val="002D0CE7"/>
    <w:rsid w:val="002D1FE3"/>
    <w:rsid w:val="002D2D55"/>
    <w:rsid w:val="002D583B"/>
    <w:rsid w:val="002D63D6"/>
    <w:rsid w:val="002E00D8"/>
    <w:rsid w:val="002E053F"/>
    <w:rsid w:val="002E222F"/>
    <w:rsid w:val="002E2D39"/>
    <w:rsid w:val="002E2F56"/>
    <w:rsid w:val="002E3F08"/>
    <w:rsid w:val="002E44D5"/>
    <w:rsid w:val="002E4BE0"/>
    <w:rsid w:val="002E5CF7"/>
    <w:rsid w:val="002E721D"/>
    <w:rsid w:val="002F0678"/>
    <w:rsid w:val="002F4ABD"/>
    <w:rsid w:val="002F4DEF"/>
    <w:rsid w:val="002F5134"/>
    <w:rsid w:val="002F62AC"/>
    <w:rsid w:val="002F705B"/>
    <w:rsid w:val="003001DA"/>
    <w:rsid w:val="00302079"/>
    <w:rsid w:val="00303393"/>
    <w:rsid w:val="00305BAC"/>
    <w:rsid w:val="0030711B"/>
    <w:rsid w:val="003106C6"/>
    <w:rsid w:val="0031135D"/>
    <w:rsid w:val="00311CCA"/>
    <w:rsid w:val="00312A25"/>
    <w:rsid w:val="00315A69"/>
    <w:rsid w:val="00315AE9"/>
    <w:rsid w:val="00316219"/>
    <w:rsid w:val="003165A5"/>
    <w:rsid w:val="00316C56"/>
    <w:rsid w:val="00316F14"/>
    <w:rsid w:val="00317E8F"/>
    <w:rsid w:val="00320F4F"/>
    <w:rsid w:val="0032140C"/>
    <w:rsid w:val="003216AE"/>
    <w:rsid w:val="00321723"/>
    <w:rsid w:val="00324CE5"/>
    <w:rsid w:val="00325545"/>
    <w:rsid w:val="003263B0"/>
    <w:rsid w:val="0032704E"/>
    <w:rsid w:val="00327C60"/>
    <w:rsid w:val="00331B02"/>
    <w:rsid w:val="0033775A"/>
    <w:rsid w:val="003425E9"/>
    <w:rsid w:val="003455C6"/>
    <w:rsid w:val="003473C7"/>
    <w:rsid w:val="003476FC"/>
    <w:rsid w:val="003514D6"/>
    <w:rsid w:val="003526CC"/>
    <w:rsid w:val="003527E9"/>
    <w:rsid w:val="003529C4"/>
    <w:rsid w:val="00352EC5"/>
    <w:rsid w:val="0035445B"/>
    <w:rsid w:val="00355E21"/>
    <w:rsid w:val="003601B3"/>
    <w:rsid w:val="0036436F"/>
    <w:rsid w:val="003643A5"/>
    <w:rsid w:val="00364A76"/>
    <w:rsid w:val="00365CBA"/>
    <w:rsid w:val="00370142"/>
    <w:rsid w:val="003705F0"/>
    <w:rsid w:val="00373783"/>
    <w:rsid w:val="00373A33"/>
    <w:rsid w:val="003773CB"/>
    <w:rsid w:val="00377669"/>
    <w:rsid w:val="00382D61"/>
    <w:rsid w:val="00383B13"/>
    <w:rsid w:val="0038671C"/>
    <w:rsid w:val="00386E39"/>
    <w:rsid w:val="00387163"/>
    <w:rsid w:val="003909D4"/>
    <w:rsid w:val="003929A8"/>
    <w:rsid w:val="00392EA2"/>
    <w:rsid w:val="00392ECD"/>
    <w:rsid w:val="003936EA"/>
    <w:rsid w:val="00394952"/>
    <w:rsid w:val="003956D5"/>
    <w:rsid w:val="003958A6"/>
    <w:rsid w:val="003974CB"/>
    <w:rsid w:val="003A083C"/>
    <w:rsid w:val="003A18E5"/>
    <w:rsid w:val="003A1B1E"/>
    <w:rsid w:val="003A2FFE"/>
    <w:rsid w:val="003A4C2F"/>
    <w:rsid w:val="003A4E71"/>
    <w:rsid w:val="003B3880"/>
    <w:rsid w:val="003B4934"/>
    <w:rsid w:val="003B70A9"/>
    <w:rsid w:val="003C2307"/>
    <w:rsid w:val="003C617F"/>
    <w:rsid w:val="003D0FAB"/>
    <w:rsid w:val="003D1EFC"/>
    <w:rsid w:val="003D444B"/>
    <w:rsid w:val="003E169A"/>
    <w:rsid w:val="003E1F93"/>
    <w:rsid w:val="003E1FA8"/>
    <w:rsid w:val="003F0783"/>
    <w:rsid w:val="003F111A"/>
    <w:rsid w:val="003F30B7"/>
    <w:rsid w:val="003F31DE"/>
    <w:rsid w:val="003F465D"/>
    <w:rsid w:val="00401491"/>
    <w:rsid w:val="00402EDA"/>
    <w:rsid w:val="00405D51"/>
    <w:rsid w:val="004063D5"/>
    <w:rsid w:val="004078BF"/>
    <w:rsid w:val="0041184D"/>
    <w:rsid w:val="00413751"/>
    <w:rsid w:val="00413F1D"/>
    <w:rsid w:val="00415702"/>
    <w:rsid w:val="00420F39"/>
    <w:rsid w:val="004219F3"/>
    <w:rsid w:val="00424A7A"/>
    <w:rsid w:val="004339F6"/>
    <w:rsid w:val="00435D13"/>
    <w:rsid w:val="0043625D"/>
    <w:rsid w:val="004366AA"/>
    <w:rsid w:val="0044155A"/>
    <w:rsid w:val="00441A14"/>
    <w:rsid w:val="0044417E"/>
    <w:rsid w:val="00444CCA"/>
    <w:rsid w:val="00445154"/>
    <w:rsid w:val="0044532D"/>
    <w:rsid w:val="0044586B"/>
    <w:rsid w:val="00445D2C"/>
    <w:rsid w:val="00445E15"/>
    <w:rsid w:val="00446278"/>
    <w:rsid w:val="0045015E"/>
    <w:rsid w:val="004503EC"/>
    <w:rsid w:val="0045184F"/>
    <w:rsid w:val="00456689"/>
    <w:rsid w:val="00460CA4"/>
    <w:rsid w:val="0046107D"/>
    <w:rsid w:val="00463602"/>
    <w:rsid w:val="00464009"/>
    <w:rsid w:val="004644F1"/>
    <w:rsid w:val="00464D37"/>
    <w:rsid w:val="00466470"/>
    <w:rsid w:val="00470D71"/>
    <w:rsid w:val="00470F89"/>
    <w:rsid w:val="00472AB5"/>
    <w:rsid w:val="004732CE"/>
    <w:rsid w:val="00474444"/>
    <w:rsid w:val="00475616"/>
    <w:rsid w:val="00477A00"/>
    <w:rsid w:val="004803F6"/>
    <w:rsid w:val="0048432A"/>
    <w:rsid w:val="0048472A"/>
    <w:rsid w:val="00485703"/>
    <w:rsid w:val="004876D5"/>
    <w:rsid w:val="0049029E"/>
    <w:rsid w:val="00494855"/>
    <w:rsid w:val="00495BE3"/>
    <w:rsid w:val="00497C10"/>
    <w:rsid w:val="004A0083"/>
    <w:rsid w:val="004A0379"/>
    <w:rsid w:val="004A2834"/>
    <w:rsid w:val="004A4568"/>
    <w:rsid w:val="004A49C2"/>
    <w:rsid w:val="004A4AC2"/>
    <w:rsid w:val="004A5A08"/>
    <w:rsid w:val="004B1DC0"/>
    <w:rsid w:val="004B2F0A"/>
    <w:rsid w:val="004B33CB"/>
    <w:rsid w:val="004B3D53"/>
    <w:rsid w:val="004B4B3D"/>
    <w:rsid w:val="004B609A"/>
    <w:rsid w:val="004B65E1"/>
    <w:rsid w:val="004B6F1B"/>
    <w:rsid w:val="004C106B"/>
    <w:rsid w:val="004C1A9F"/>
    <w:rsid w:val="004C1AEE"/>
    <w:rsid w:val="004D55AC"/>
    <w:rsid w:val="004D63E8"/>
    <w:rsid w:val="004D691C"/>
    <w:rsid w:val="004E28D1"/>
    <w:rsid w:val="004E2B90"/>
    <w:rsid w:val="004E3FB3"/>
    <w:rsid w:val="004E5DC7"/>
    <w:rsid w:val="004E649C"/>
    <w:rsid w:val="004E71AE"/>
    <w:rsid w:val="004F1816"/>
    <w:rsid w:val="004F3633"/>
    <w:rsid w:val="004F379D"/>
    <w:rsid w:val="004F562B"/>
    <w:rsid w:val="004F6C13"/>
    <w:rsid w:val="004F6D37"/>
    <w:rsid w:val="004F6D9E"/>
    <w:rsid w:val="00500BAB"/>
    <w:rsid w:val="00500BE6"/>
    <w:rsid w:val="00501BF5"/>
    <w:rsid w:val="0050265A"/>
    <w:rsid w:val="00502A39"/>
    <w:rsid w:val="00502F5C"/>
    <w:rsid w:val="00504264"/>
    <w:rsid w:val="005055D1"/>
    <w:rsid w:val="0050634D"/>
    <w:rsid w:val="0050653E"/>
    <w:rsid w:val="00506D93"/>
    <w:rsid w:val="005071F6"/>
    <w:rsid w:val="005077B8"/>
    <w:rsid w:val="00507990"/>
    <w:rsid w:val="005113B1"/>
    <w:rsid w:val="00511D8A"/>
    <w:rsid w:val="005129DD"/>
    <w:rsid w:val="00512B8A"/>
    <w:rsid w:val="00513A92"/>
    <w:rsid w:val="00516478"/>
    <w:rsid w:val="00517C6B"/>
    <w:rsid w:val="00520D34"/>
    <w:rsid w:val="00521124"/>
    <w:rsid w:val="00521F84"/>
    <w:rsid w:val="005235AE"/>
    <w:rsid w:val="005257A9"/>
    <w:rsid w:val="00525B14"/>
    <w:rsid w:val="00530B34"/>
    <w:rsid w:val="00531B58"/>
    <w:rsid w:val="005320BC"/>
    <w:rsid w:val="005341FB"/>
    <w:rsid w:val="00535720"/>
    <w:rsid w:val="00535E1F"/>
    <w:rsid w:val="00535F3B"/>
    <w:rsid w:val="00537507"/>
    <w:rsid w:val="0053785D"/>
    <w:rsid w:val="0054010D"/>
    <w:rsid w:val="0054217B"/>
    <w:rsid w:val="00552A51"/>
    <w:rsid w:val="00552D40"/>
    <w:rsid w:val="00552E92"/>
    <w:rsid w:val="00553002"/>
    <w:rsid w:val="00554F35"/>
    <w:rsid w:val="00557C35"/>
    <w:rsid w:val="0056045E"/>
    <w:rsid w:val="005631ED"/>
    <w:rsid w:val="00567765"/>
    <w:rsid w:val="00572083"/>
    <w:rsid w:val="00572AF0"/>
    <w:rsid w:val="005732BB"/>
    <w:rsid w:val="0057488D"/>
    <w:rsid w:val="00575B0C"/>
    <w:rsid w:val="00575C5E"/>
    <w:rsid w:val="0057711F"/>
    <w:rsid w:val="00580DEA"/>
    <w:rsid w:val="00581200"/>
    <w:rsid w:val="00581E43"/>
    <w:rsid w:val="00582165"/>
    <w:rsid w:val="00582E04"/>
    <w:rsid w:val="00584509"/>
    <w:rsid w:val="00584C55"/>
    <w:rsid w:val="005857B1"/>
    <w:rsid w:val="00585A27"/>
    <w:rsid w:val="00587A01"/>
    <w:rsid w:val="0059007F"/>
    <w:rsid w:val="00590B71"/>
    <w:rsid w:val="005912E7"/>
    <w:rsid w:val="00595337"/>
    <w:rsid w:val="00595B8C"/>
    <w:rsid w:val="005972AA"/>
    <w:rsid w:val="00597751"/>
    <w:rsid w:val="005A02F6"/>
    <w:rsid w:val="005A04C9"/>
    <w:rsid w:val="005A14C6"/>
    <w:rsid w:val="005A24A4"/>
    <w:rsid w:val="005A367E"/>
    <w:rsid w:val="005A3E50"/>
    <w:rsid w:val="005A40DD"/>
    <w:rsid w:val="005A46D0"/>
    <w:rsid w:val="005A47A7"/>
    <w:rsid w:val="005A7783"/>
    <w:rsid w:val="005B11DE"/>
    <w:rsid w:val="005B6FD0"/>
    <w:rsid w:val="005B708F"/>
    <w:rsid w:val="005B7FAA"/>
    <w:rsid w:val="005C0607"/>
    <w:rsid w:val="005C190D"/>
    <w:rsid w:val="005C1F4C"/>
    <w:rsid w:val="005C2B6E"/>
    <w:rsid w:val="005C2D44"/>
    <w:rsid w:val="005C3163"/>
    <w:rsid w:val="005C42BA"/>
    <w:rsid w:val="005D0525"/>
    <w:rsid w:val="005D057D"/>
    <w:rsid w:val="005D085F"/>
    <w:rsid w:val="005D596F"/>
    <w:rsid w:val="005E1DAE"/>
    <w:rsid w:val="005E49D5"/>
    <w:rsid w:val="005E4F07"/>
    <w:rsid w:val="005E5539"/>
    <w:rsid w:val="005E5A5C"/>
    <w:rsid w:val="005E5E7E"/>
    <w:rsid w:val="005E6DC4"/>
    <w:rsid w:val="005E76B8"/>
    <w:rsid w:val="005E7E78"/>
    <w:rsid w:val="005F1179"/>
    <w:rsid w:val="005F1213"/>
    <w:rsid w:val="005F4257"/>
    <w:rsid w:val="005F4F77"/>
    <w:rsid w:val="005F5BB9"/>
    <w:rsid w:val="0060186B"/>
    <w:rsid w:val="006020B5"/>
    <w:rsid w:val="00603AB9"/>
    <w:rsid w:val="00603D69"/>
    <w:rsid w:val="00606543"/>
    <w:rsid w:val="0061330E"/>
    <w:rsid w:val="0061583E"/>
    <w:rsid w:val="0061637E"/>
    <w:rsid w:val="00617068"/>
    <w:rsid w:val="00620DCF"/>
    <w:rsid w:val="00624F97"/>
    <w:rsid w:val="006250CD"/>
    <w:rsid w:val="00627C45"/>
    <w:rsid w:val="00627C69"/>
    <w:rsid w:val="00627E55"/>
    <w:rsid w:val="006301D0"/>
    <w:rsid w:val="00630EE7"/>
    <w:rsid w:val="00631270"/>
    <w:rsid w:val="006315C3"/>
    <w:rsid w:val="00633771"/>
    <w:rsid w:val="006341CB"/>
    <w:rsid w:val="00634D07"/>
    <w:rsid w:val="0064397A"/>
    <w:rsid w:val="0064583A"/>
    <w:rsid w:val="00645AF9"/>
    <w:rsid w:val="006462C4"/>
    <w:rsid w:val="00646A66"/>
    <w:rsid w:val="00650898"/>
    <w:rsid w:val="00652251"/>
    <w:rsid w:val="006556BF"/>
    <w:rsid w:val="00655E05"/>
    <w:rsid w:val="00655EFE"/>
    <w:rsid w:val="00655F53"/>
    <w:rsid w:val="0065772E"/>
    <w:rsid w:val="00657EFC"/>
    <w:rsid w:val="00660FC2"/>
    <w:rsid w:val="0066276E"/>
    <w:rsid w:val="006637C0"/>
    <w:rsid w:val="00663A06"/>
    <w:rsid w:val="00663B06"/>
    <w:rsid w:val="00671BB5"/>
    <w:rsid w:val="00671C45"/>
    <w:rsid w:val="006736AF"/>
    <w:rsid w:val="00674CA6"/>
    <w:rsid w:val="00677637"/>
    <w:rsid w:val="00680EAA"/>
    <w:rsid w:val="00681071"/>
    <w:rsid w:val="00681AD9"/>
    <w:rsid w:val="00682EE0"/>
    <w:rsid w:val="00684BB1"/>
    <w:rsid w:val="00686130"/>
    <w:rsid w:val="00687125"/>
    <w:rsid w:val="00691DB2"/>
    <w:rsid w:val="00693633"/>
    <w:rsid w:val="0069431F"/>
    <w:rsid w:val="0069632B"/>
    <w:rsid w:val="00697C75"/>
    <w:rsid w:val="006A17A6"/>
    <w:rsid w:val="006A2015"/>
    <w:rsid w:val="006A3F15"/>
    <w:rsid w:val="006A5017"/>
    <w:rsid w:val="006A71F6"/>
    <w:rsid w:val="006A7FA5"/>
    <w:rsid w:val="006B057E"/>
    <w:rsid w:val="006B1106"/>
    <w:rsid w:val="006B2F01"/>
    <w:rsid w:val="006B6D28"/>
    <w:rsid w:val="006B7284"/>
    <w:rsid w:val="006B77D2"/>
    <w:rsid w:val="006C2832"/>
    <w:rsid w:val="006C3E30"/>
    <w:rsid w:val="006C5D18"/>
    <w:rsid w:val="006C723A"/>
    <w:rsid w:val="006C7560"/>
    <w:rsid w:val="006C791A"/>
    <w:rsid w:val="006C7D37"/>
    <w:rsid w:val="006D0A91"/>
    <w:rsid w:val="006D452D"/>
    <w:rsid w:val="006D518D"/>
    <w:rsid w:val="006D5F46"/>
    <w:rsid w:val="006D6E5C"/>
    <w:rsid w:val="006D751E"/>
    <w:rsid w:val="006D7D79"/>
    <w:rsid w:val="006E3409"/>
    <w:rsid w:val="006E59FF"/>
    <w:rsid w:val="006F45C4"/>
    <w:rsid w:val="006F7F3B"/>
    <w:rsid w:val="00700B8F"/>
    <w:rsid w:val="00701A1D"/>
    <w:rsid w:val="0070351C"/>
    <w:rsid w:val="007058DC"/>
    <w:rsid w:val="00707A7B"/>
    <w:rsid w:val="00707E37"/>
    <w:rsid w:val="0071089C"/>
    <w:rsid w:val="0071101D"/>
    <w:rsid w:val="00713CC3"/>
    <w:rsid w:val="00713FC6"/>
    <w:rsid w:val="007140DA"/>
    <w:rsid w:val="007167B2"/>
    <w:rsid w:val="007204B6"/>
    <w:rsid w:val="00720895"/>
    <w:rsid w:val="00721065"/>
    <w:rsid w:val="00721585"/>
    <w:rsid w:val="00721C1A"/>
    <w:rsid w:val="00723864"/>
    <w:rsid w:val="00724230"/>
    <w:rsid w:val="00724F8E"/>
    <w:rsid w:val="00732326"/>
    <w:rsid w:val="00735287"/>
    <w:rsid w:val="00736A5A"/>
    <w:rsid w:val="00740698"/>
    <w:rsid w:val="00743605"/>
    <w:rsid w:val="0074463B"/>
    <w:rsid w:val="00744796"/>
    <w:rsid w:val="00744918"/>
    <w:rsid w:val="00744E29"/>
    <w:rsid w:val="00745BFF"/>
    <w:rsid w:val="00745E05"/>
    <w:rsid w:val="00745FAB"/>
    <w:rsid w:val="00750D73"/>
    <w:rsid w:val="0075528C"/>
    <w:rsid w:val="00755725"/>
    <w:rsid w:val="00755E02"/>
    <w:rsid w:val="00755FCF"/>
    <w:rsid w:val="00761A60"/>
    <w:rsid w:val="0076209A"/>
    <w:rsid w:val="00762811"/>
    <w:rsid w:val="0076355E"/>
    <w:rsid w:val="007638B6"/>
    <w:rsid w:val="007641FE"/>
    <w:rsid w:val="00772DED"/>
    <w:rsid w:val="00780097"/>
    <w:rsid w:val="00780A89"/>
    <w:rsid w:val="00781939"/>
    <w:rsid w:val="00784DB4"/>
    <w:rsid w:val="0078608D"/>
    <w:rsid w:val="00792155"/>
    <w:rsid w:val="00793042"/>
    <w:rsid w:val="00796ACC"/>
    <w:rsid w:val="00796E3D"/>
    <w:rsid w:val="007A1955"/>
    <w:rsid w:val="007A1DA9"/>
    <w:rsid w:val="007A2807"/>
    <w:rsid w:val="007A32C9"/>
    <w:rsid w:val="007A6161"/>
    <w:rsid w:val="007B1470"/>
    <w:rsid w:val="007B3CCE"/>
    <w:rsid w:val="007B4018"/>
    <w:rsid w:val="007B43C7"/>
    <w:rsid w:val="007B52CA"/>
    <w:rsid w:val="007B6864"/>
    <w:rsid w:val="007C08A6"/>
    <w:rsid w:val="007C187E"/>
    <w:rsid w:val="007C1B59"/>
    <w:rsid w:val="007C1E70"/>
    <w:rsid w:val="007C293A"/>
    <w:rsid w:val="007C3DF3"/>
    <w:rsid w:val="007C54CA"/>
    <w:rsid w:val="007C5A3B"/>
    <w:rsid w:val="007D2016"/>
    <w:rsid w:val="007D2F49"/>
    <w:rsid w:val="007D4576"/>
    <w:rsid w:val="007D4BFC"/>
    <w:rsid w:val="007D6DDC"/>
    <w:rsid w:val="007D750B"/>
    <w:rsid w:val="007D7D73"/>
    <w:rsid w:val="007E00F5"/>
    <w:rsid w:val="007E3DE5"/>
    <w:rsid w:val="007E5369"/>
    <w:rsid w:val="007E57D1"/>
    <w:rsid w:val="007E58E1"/>
    <w:rsid w:val="007E6098"/>
    <w:rsid w:val="007F054A"/>
    <w:rsid w:val="007F0741"/>
    <w:rsid w:val="007F1CF6"/>
    <w:rsid w:val="007F2360"/>
    <w:rsid w:val="007F3DF8"/>
    <w:rsid w:val="007F3F79"/>
    <w:rsid w:val="007F6470"/>
    <w:rsid w:val="007F7862"/>
    <w:rsid w:val="008043D9"/>
    <w:rsid w:val="00805DF5"/>
    <w:rsid w:val="00806AED"/>
    <w:rsid w:val="00807617"/>
    <w:rsid w:val="00810768"/>
    <w:rsid w:val="00810D0A"/>
    <w:rsid w:val="0081122C"/>
    <w:rsid w:val="00811822"/>
    <w:rsid w:val="0081382C"/>
    <w:rsid w:val="00813B43"/>
    <w:rsid w:val="0082100D"/>
    <w:rsid w:val="008217D4"/>
    <w:rsid w:val="00821E66"/>
    <w:rsid w:val="00822104"/>
    <w:rsid w:val="00825AC3"/>
    <w:rsid w:val="00825E78"/>
    <w:rsid w:val="00826DC0"/>
    <w:rsid w:val="008273E1"/>
    <w:rsid w:val="00827BE2"/>
    <w:rsid w:val="00827C47"/>
    <w:rsid w:val="00831FBD"/>
    <w:rsid w:val="00833779"/>
    <w:rsid w:val="00833FCB"/>
    <w:rsid w:val="00835B68"/>
    <w:rsid w:val="00835F33"/>
    <w:rsid w:val="008405D4"/>
    <w:rsid w:val="0084072B"/>
    <w:rsid w:val="00842C50"/>
    <w:rsid w:val="00842EFB"/>
    <w:rsid w:val="0085054B"/>
    <w:rsid w:val="00850BFC"/>
    <w:rsid w:val="00850BFE"/>
    <w:rsid w:val="0085257C"/>
    <w:rsid w:val="0085549A"/>
    <w:rsid w:val="00855FB1"/>
    <w:rsid w:val="0086129A"/>
    <w:rsid w:val="008625EE"/>
    <w:rsid w:val="008638C4"/>
    <w:rsid w:val="00863DD4"/>
    <w:rsid w:val="0086503C"/>
    <w:rsid w:val="0086556C"/>
    <w:rsid w:val="00866A8E"/>
    <w:rsid w:val="008712DD"/>
    <w:rsid w:val="00872946"/>
    <w:rsid w:val="0087700A"/>
    <w:rsid w:val="00877450"/>
    <w:rsid w:val="008832BB"/>
    <w:rsid w:val="008858F2"/>
    <w:rsid w:val="0089067C"/>
    <w:rsid w:val="00893524"/>
    <w:rsid w:val="008952E1"/>
    <w:rsid w:val="0089606B"/>
    <w:rsid w:val="00896E8D"/>
    <w:rsid w:val="008A0BC5"/>
    <w:rsid w:val="008A1469"/>
    <w:rsid w:val="008A30AC"/>
    <w:rsid w:val="008A476C"/>
    <w:rsid w:val="008A4B19"/>
    <w:rsid w:val="008A70EC"/>
    <w:rsid w:val="008A7730"/>
    <w:rsid w:val="008B114E"/>
    <w:rsid w:val="008B1CDD"/>
    <w:rsid w:val="008B3BE7"/>
    <w:rsid w:val="008B42AC"/>
    <w:rsid w:val="008B44F7"/>
    <w:rsid w:val="008B5680"/>
    <w:rsid w:val="008B62CE"/>
    <w:rsid w:val="008B6D6F"/>
    <w:rsid w:val="008C2E14"/>
    <w:rsid w:val="008C5F1D"/>
    <w:rsid w:val="008C761A"/>
    <w:rsid w:val="008C78C9"/>
    <w:rsid w:val="008C7E9C"/>
    <w:rsid w:val="008D0A02"/>
    <w:rsid w:val="008D0D05"/>
    <w:rsid w:val="008D0F18"/>
    <w:rsid w:val="008D43D6"/>
    <w:rsid w:val="008D56A1"/>
    <w:rsid w:val="008D6AEC"/>
    <w:rsid w:val="008D6D42"/>
    <w:rsid w:val="008D6F42"/>
    <w:rsid w:val="008D7B87"/>
    <w:rsid w:val="008E2A12"/>
    <w:rsid w:val="008E5BCB"/>
    <w:rsid w:val="008E6296"/>
    <w:rsid w:val="008E6A79"/>
    <w:rsid w:val="008F0A6D"/>
    <w:rsid w:val="008F0B9F"/>
    <w:rsid w:val="008F1366"/>
    <w:rsid w:val="008F2266"/>
    <w:rsid w:val="008F40A1"/>
    <w:rsid w:val="008F4C01"/>
    <w:rsid w:val="008F503E"/>
    <w:rsid w:val="008F5677"/>
    <w:rsid w:val="008F6ADE"/>
    <w:rsid w:val="008F7203"/>
    <w:rsid w:val="008F77A4"/>
    <w:rsid w:val="008F7814"/>
    <w:rsid w:val="009002B1"/>
    <w:rsid w:val="009002DF"/>
    <w:rsid w:val="00902100"/>
    <w:rsid w:val="009041B6"/>
    <w:rsid w:val="009069C4"/>
    <w:rsid w:val="00906AB9"/>
    <w:rsid w:val="009122D4"/>
    <w:rsid w:val="009166E2"/>
    <w:rsid w:val="00916A40"/>
    <w:rsid w:val="00920E57"/>
    <w:rsid w:val="009275EF"/>
    <w:rsid w:val="009312E9"/>
    <w:rsid w:val="00931D07"/>
    <w:rsid w:val="00931D7F"/>
    <w:rsid w:val="00933F7B"/>
    <w:rsid w:val="00934470"/>
    <w:rsid w:val="009363B9"/>
    <w:rsid w:val="009419A4"/>
    <w:rsid w:val="0094262F"/>
    <w:rsid w:val="00943F11"/>
    <w:rsid w:val="009450C9"/>
    <w:rsid w:val="00946E56"/>
    <w:rsid w:val="009474AC"/>
    <w:rsid w:val="009506FA"/>
    <w:rsid w:val="00951D2B"/>
    <w:rsid w:val="0095235F"/>
    <w:rsid w:val="00952CE0"/>
    <w:rsid w:val="00954DB0"/>
    <w:rsid w:val="00954DB8"/>
    <w:rsid w:val="00957F40"/>
    <w:rsid w:val="00963633"/>
    <w:rsid w:val="009647DA"/>
    <w:rsid w:val="009655EF"/>
    <w:rsid w:val="009659D3"/>
    <w:rsid w:val="00966343"/>
    <w:rsid w:val="00972C69"/>
    <w:rsid w:val="00972E14"/>
    <w:rsid w:val="00972F48"/>
    <w:rsid w:val="009745CB"/>
    <w:rsid w:val="00976918"/>
    <w:rsid w:val="00977598"/>
    <w:rsid w:val="0098375A"/>
    <w:rsid w:val="00983ABE"/>
    <w:rsid w:val="00983EB5"/>
    <w:rsid w:val="00985E8A"/>
    <w:rsid w:val="00985F72"/>
    <w:rsid w:val="009900AD"/>
    <w:rsid w:val="00990797"/>
    <w:rsid w:val="0099342C"/>
    <w:rsid w:val="00994D1B"/>
    <w:rsid w:val="00997EC5"/>
    <w:rsid w:val="009A746D"/>
    <w:rsid w:val="009B006E"/>
    <w:rsid w:val="009B0DF6"/>
    <w:rsid w:val="009B2B8E"/>
    <w:rsid w:val="009B385D"/>
    <w:rsid w:val="009B3F3F"/>
    <w:rsid w:val="009B5884"/>
    <w:rsid w:val="009B6B36"/>
    <w:rsid w:val="009C1687"/>
    <w:rsid w:val="009C2BEF"/>
    <w:rsid w:val="009C36FF"/>
    <w:rsid w:val="009C519C"/>
    <w:rsid w:val="009C6F94"/>
    <w:rsid w:val="009D4361"/>
    <w:rsid w:val="009D5217"/>
    <w:rsid w:val="009D62FB"/>
    <w:rsid w:val="009E2C78"/>
    <w:rsid w:val="009E4722"/>
    <w:rsid w:val="009E58F7"/>
    <w:rsid w:val="009E6C18"/>
    <w:rsid w:val="009F0436"/>
    <w:rsid w:val="009F2C8A"/>
    <w:rsid w:val="009F30CF"/>
    <w:rsid w:val="009F3EC0"/>
    <w:rsid w:val="00A00EF0"/>
    <w:rsid w:val="00A03DE6"/>
    <w:rsid w:val="00A04929"/>
    <w:rsid w:val="00A053AC"/>
    <w:rsid w:val="00A1205E"/>
    <w:rsid w:val="00A159DC"/>
    <w:rsid w:val="00A179D1"/>
    <w:rsid w:val="00A21341"/>
    <w:rsid w:val="00A21FAD"/>
    <w:rsid w:val="00A2364D"/>
    <w:rsid w:val="00A23F90"/>
    <w:rsid w:val="00A23FCC"/>
    <w:rsid w:val="00A272C9"/>
    <w:rsid w:val="00A31AF5"/>
    <w:rsid w:val="00A34B64"/>
    <w:rsid w:val="00A36A5B"/>
    <w:rsid w:val="00A3792A"/>
    <w:rsid w:val="00A37A42"/>
    <w:rsid w:val="00A40F13"/>
    <w:rsid w:val="00A41008"/>
    <w:rsid w:val="00A41FC3"/>
    <w:rsid w:val="00A430C3"/>
    <w:rsid w:val="00A434DB"/>
    <w:rsid w:val="00A46DD4"/>
    <w:rsid w:val="00A5032C"/>
    <w:rsid w:val="00A506DB"/>
    <w:rsid w:val="00A5210C"/>
    <w:rsid w:val="00A5285E"/>
    <w:rsid w:val="00A5287F"/>
    <w:rsid w:val="00A5297F"/>
    <w:rsid w:val="00A53FF7"/>
    <w:rsid w:val="00A57276"/>
    <w:rsid w:val="00A576E3"/>
    <w:rsid w:val="00A60B16"/>
    <w:rsid w:val="00A60B5E"/>
    <w:rsid w:val="00A62037"/>
    <w:rsid w:val="00A6275C"/>
    <w:rsid w:val="00A65282"/>
    <w:rsid w:val="00A7022C"/>
    <w:rsid w:val="00A725B0"/>
    <w:rsid w:val="00A7322C"/>
    <w:rsid w:val="00A7633F"/>
    <w:rsid w:val="00A765D4"/>
    <w:rsid w:val="00A80C1E"/>
    <w:rsid w:val="00A816FA"/>
    <w:rsid w:val="00A82A57"/>
    <w:rsid w:val="00A83CB7"/>
    <w:rsid w:val="00A86DCE"/>
    <w:rsid w:val="00A8725B"/>
    <w:rsid w:val="00A87B50"/>
    <w:rsid w:val="00A918DA"/>
    <w:rsid w:val="00A926D6"/>
    <w:rsid w:val="00A936DF"/>
    <w:rsid w:val="00A93746"/>
    <w:rsid w:val="00A93769"/>
    <w:rsid w:val="00A95BFE"/>
    <w:rsid w:val="00A960FE"/>
    <w:rsid w:val="00A96409"/>
    <w:rsid w:val="00AA070A"/>
    <w:rsid w:val="00AA0B30"/>
    <w:rsid w:val="00AA1C7D"/>
    <w:rsid w:val="00AA1E77"/>
    <w:rsid w:val="00AA2943"/>
    <w:rsid w:val="00AA3648"/>
    <w:rsid w:val="00AA3756"/>
    <w:rsid w:val="00AA5155"/>
    <w:rsid w:val="00AA6226"/>
    <w:rsid w:val="00AA7275"/>
    <w:rsid w:val="00AA7747"/>
    <w:rsid w:val="00AB1D1E"/>
    <w:rsid w:val="00AB239E"/>
    <w:rsid w:val="00AB5233"/>
    <w:rsid w:val="00AB5435"/>
    <w:rsid w:val="00AB6FCC"/>
    <w:rsid w:val="00AC07D2"/>
    <w:rsid w:val="00AC0AD6"/>
    <w:rsid w:val="00AC1CB6"/>
    <w:rsid w:val="00AC51A2"/>
    <w:rsid w:val="00AC650C"/>
    <w:rsid w:val="00AC6BAA"/>
    <w:rsid w:val="00AD0317"/>
    <w:rsid w:val="00AD0AF0"/>
    <w:rsid w:val="00AD12C4"/>
    <w:rsid w:val="00AD5C9E"/>
    <w:rsid w:val="00AD63EF"/>
    <w:rsid w:val="00AD74AE"/>
    <w:rsid w:val="00AE1FE4"/>
    <w:rsid w:val="00AE2058"/>
    <w:rsid w:val="00AE2CED"/>
    <w:rsid w:val="00AE45D7"/>
    <w:rsid w:val="00AE4C98"/>
    <w:rsid w:val="00AE4F8C"/>
    <w:rsid w:val="00AE6315"/>
    <w:rsid w:val="00AF2197"/>
    <w:rsid w:val="00AF2F93"/>
    <w:rsid w:val="00AF3102"/>
    <w:rsid w:val="00AF3CCE"/>
    <w:rsid w:val="00AF4529"/>
    <w:rsid w:val="00AF6F27"/>
    <w:rsid w:val="00AF7591"/>
    <w:rsid w:val="00B01A96"/>
    <w:rsid w:val="00B035C6"/>
    <w:rsid w:val="00B03933"/>
    <w:rsid w:val="00B049B1"/>
    <w:rsid w:val="00B1009C"/>
    <w:rsid w:val="00B102E2"/>
    <w:rsid w:val="00B10424"/>
    <w:rsid w:val="00B10C47"/>
    <w:rsid w:val="00B11E30"/>
    <w:rsid w:val="00B1266B"/>
    <w:rsid w:val="00B13797"/>
    <w:rsid w:val="00B1558F"/>
    <w:rsid w:val="00B157AE"/>
    <w:rsid w:val="00B1749E"/>
    <w:rsid w:val="00B17540"/>
    <w:rsid w:val="00B176D9"/>
    <w:rsid w:val="00B22475"/>
    <w:rsid w:val="00B2315D"/>
    <w:rsid w:val="00B2439C"/>
    <w:rsid w:val="00B2589B"/>
    <w:rsid w:val="00B26088"/>
    <w:rsid w:val="00B27533"/>
    <w:rsid w:val="00B3058F"/>
    <w:rsid w:val="00B30766"/>
    <w:rsid w:val="00B30FFB"/>
    <w:rsid w:val="00B31787"/>
    <w:rsid w:val="00B33776"/>
    <w:rsid w:val="00B34F29"/>
    <w:rsid w:val="00B35D96"/>
    <w:rsid w:val="00B41CAC"/>
    <w:rsid w:val="00B44AC1"/>
    <w:rsid w:val="00B45DC1"/>
    <w:rsid w:val="00B45F65"/>
    <w:rsid w:val="00B47E48"/>
    <w:rsid w:val="00B51330"/>
    <w:rsid w:val="00B53F59"/>
    <w:rsid w:val="00B549A7"/>
    <w:rsid w:val="00B56A43"/>
    <w:rsid w:val="00B579E3"/>
    <w:rsid w:val="00B639D2"/>
    <w:rsid w:val="00B64A83"/>
    <w:rsid w:val="00B70A40"/>
    <w:rsid w:val="00B71F42"/>
    <w:rsid w:val="00B72154"/>
    <w:rsid w:val="00B7360E"/>
    <w:rsid w:val="00B7444E"/>
    <w:rsid w:val="00B74A06"/>
    <w:rsid w:val="00B76890"/>
    <w:rsid w:val="00B76C68"/>
    <w:rsid w:val="00B8054C"/>
    <w:rsid w:val="00B80B7B"/>
    <w:rsid w:val="00B816C1"/>
    <w:rsid w:val="00B81768"/>
    <w:rsid w:val="00B82425"/>
    <w:rsid w:val="00B82833"/>
    <w:rsid w:val="00B8470C"/>
    <w:rsid w:val="00B87959"/>
    <w:rsid w:val="00B87978"/>
    <w:rsid w:val="00B90F2C"/>
    <w:rsid w:val="00B9211B"/>
    <w:rsid w:val="00B923C8"/>
    <w:rsid w:val="00B930D7"/>
    <w:rsid w:val="00B94097"/>
    <w:rsid w:val="00B95844"/>
    <w:rsid w:val="00B95C30"/>
    <w:rsid w:val="00BA0176"/>
    <w:rsid w:val="00BA0CF7"/>
    <w:rsid w:val="00BA15B7"/>
    <w:rsid w:val="00BA1B49"/>
    <w:rsid w:val="00BA2F84"/>
    <w:rsid w:val="00BA7E5E"/>
    <w:rsid w:val="00BB0DCE"/>
    <w:rsid w:val="00BB0EB3"/>
    <w:rsid w:val="00BB14FE"/>
    <w:rsid w:val="00BB2DA6"/>
    <w:rsid w:val="00BB41AD"/>
    <w:rsid w:val="00BB4348"/>
    <w:rsid w:val="00BC11BE"/>
    <w:rsid w:val="00BC274B"/>
    <w:rsid w:val="00BC7372"/>
    <w:rsid w:val="00BC7BF2"/>
    <w:rsid w:val="00BD171E"/>
    <w:rsid w:val="00BD3C45"/>
    <w:rsid w:val="00BD483E"/>
    <w:rsid w:val="00BD60DC"/>
    <w:rsid w:val="00BE424F"/>
    <w:rsid w:val="00BF0557"/>
    <w:rsid w:val="00BF188C"/>
    <w:rsid w:val="00BF19D2"/>
    <w:rsid w:val="00BF1AD2"/>
    <w:rsid w:val="00BF22E4"/>
    <w:rsid w:val="00BF2F6E"/>
    <w:rsid w:val="00BF331D"/>
    <w:rsid w:val="00C02976"/>
    <w:rsid w:val="00C03F32"/>
    <w:rsid w:val="00C0697A"/>
    <w:rsid w:val="00C06A3F"/>
    <w:rsid w:val="00C07B4E"/>
    <w:rsid w:val="00C07E45"/>
    <w:rsid w:val="00C1082A"/>
    <w:rsid w:val="00C10DBA"/>
    <w:rsid w:val="00C11F1A"/>
    <w:rsid w:val="00C14DC5"/>
    <w:rsid w:val="00C15BBB"/>
    <w:rsid w:val="00C20A72"/>
    <w:rsid w:val="00C219A3"/>
    <w:rsid w:val="00C23AFB"/>
    <w:rsid w:val="00C31084"/>
    <w:rsid w:val="00C33573"/>
    <w:rsid w:val="00C33E15"/>
    <w:rsid w:val="00C42FA0"/>
    <w:rsid w:val="00C45031"/>
    <w:rsid w:val="00C50353"/>
    <w:rsid w:val="00C505DE"/>
    <w:rsid w:val="00C50E51"/>
    <w:rsid w:val="00C51A27"/>
    <w:rsid w:val="00C52298"/>
    <w:rsid w:val="00C5256A"/>
    <w:rsid w:val="00C5331D"/>
    <w:rsid w:val="00C5755A"/>
    <w:rsid w:val="00C60C6D"/>
    <w:rsid w:val="00C62E25"/>
    <w:rsid w:val="00C6372F"/>
    <w:rsid w:val="00C637E7"/>
    <w:rsid w:val="00C65ABE"/>
    <w:rsid w:val="00C65BCA"/>
    <w:rsid w:val="00C71982"/>
    <w:rsid w:val="00C748C9"/>
    <w:rsid w:val="00C77120"/>
    <w:rsid w:val="00C77780"/>
    <w:rsid w:val="00C777B6"/>
    <w:rsid w:val="00C77FD4"/>
    <w:rsid w:val="00C810CE"/>
    <w:rsid w:val="00C82DB0"/>
    <w:rsid w:val="00C8352B"/>
    <w:rsid w:val="00C83ECE"/>
    <w:rsid w:val="00C84912"/>
    <w:rsid w:val="00C84CFF"/>
    <w:rsid w:val="00C85D27"/>
    <w:rsid w:val="00C85F7A"/>
    <w:rsid w:val="00C87BC4"/>
    <w:rsid w:val="00C87EF8"/>
    <w:rsid w:val="00C92585"/>
    <w:rsid w:val="00C95430"/>
    <w:rsid w:val="00C959CA"/>
    <w:rsid w:val="00C975A6"/>
    <w:rsid w:val="00C97C6D"/>
    <w:rsid w:val="00CA0BCD"/>
    <w:rsid w:val="00CA1469"/>
    <w:rsid w:val="00CA255B"/>
    <w:rsid w:val="00CA33CD"/>
    <w:rsid w:val="00CA5454"/>
    <w:rsid w:val="00CA646B"/>
    <w:rsid w:val="00CB0ABB"/>
    <w:rsid w:val="00CB0EA9"/>
    <w:rsid w:val="00CB15D6"/>
    <w:rsid w:val="00CB3680"/>
    <w:rsid w:val="00CB3869"/>
    <w:rsid w:val="00CB5814"/>
    <w:rsid w:val="00CB75A8"/>
    <w:rsid w:val="00CC0FFA"/>
    <w:rsid w:val="00CC25E7"/>
    <w:rsid w:val="00CC3726"/>
    <w:rsid w:val="00CC45F4"/>
    <w:rsid w:val="00CC4F21"/>
    <w:rsid w:val="00CC526A"/>
    <w:rsid w:val="00CC6C6F"/>
    <w:rsid w:val="00CD36B7"/>
    <w:rsid w:val="00CD40D7"/>
    <w:rsid w:val="00CD6DE0"/>
    <w:rsid w:val="00CE07AD"/>
    <w:rsid w:val="00CE0A0E"/>
    <w:rsid w:val="00CE3E41"/>
    <w:rsid w:val="00CE4480"/>
    <w:rsid w:val="00CE694B"/>
    <w:rsid w:val="00CE6CC7"/>
    <w:rsid w:val="00CE701D"/>
    <w:rsid w:val="00CE78B9"/>
    <w:rsid w:val="00CF139C"/>
    <w:rsid w:val="00CF18CC"/>
    <w:rsid w:val="00CF192B"/>
    <w:rsid w:val="00CF414E"/>
    <w:rsid w:val="00CF5C23"/>
    <w:rsid w:val="00D004C9"/>
    <w:rsid w:val="00D01B03"/>
    <w:rsid w:val="00D027A7"/>
    <w:rsid w:val="00D03659"/>
    <w:rsid w:val="00D03F0F"/>
    <w:rsid w:val="00D04233"/>
    <w:rsid w:val="00D06C68"/>
    <w:rsid w:val="00D07E01"/>
    <w:rsid w:val="00D10DF3"/>
    <w:rsid w:val="00D11C61"/>
    <w:rsid w:val="00D134A4"/>
    <w:rsid w:val="00D13780"/>
    <w:rsid w:val="00D13968"/>
    <w:rsid w:val="00D1562C"/>
    <w:rsid w:val="00D157A2"/>
    <w:rsid w:val="00D16423"/>
    <w:rsid w:val="00D16EB1"/>
    <w:rsid w:val="00D171CE"/>
    <w:rsid w:val="00D2683B"/>
    <w:rsid w:val="00D3026C"/>
    <w:rsid w:val="00D30481"/>
    <w:rsid w:val="00D30941"/>
    <w:rsid w:val="00D316F2"/>
    <w:rsid w:val="00D33742"/>
    <w:rsid w:val="00D338E2"/>
    <w:rsid w:val="00D345F2"/>
    <w:rsid w:val="00D3613B"/>
    <w:rsid w:val="00D40C3E"/>
    <w:rsid w:val="00D413E4"/>
    <w:rsid w:val="00D4227B"/>
    <w:rsid w:val="00D43E8C"/>
    <w:rsid w:val="00D45B43"/>
    <w:rsid w:val="00D479C8"/>
    <w:rsid w:val="00D5124D"/>
    <w:rsid w:val="00D544A7"/>
    <w:rsid w:val="00D56EB1"/>
    <w:rsid w:val="00D62659"/>
    <w:rsid w:val="00D62BDD"/>
    <w:rsid w:val="00D63FEF"/>
    <w:rsid w:val="00D64B87"/>
    <w:rsid w:val="00D67A22"/>
    <w:rsid w:val="00D77171"/>
    <w:rsid w:val="00D776D2"/>
    <w:rsid w:val="00D81F28"/>
    <w:rsid w:val="00D837AA"/>
    <w:rsid w:val="00D84368"/>
    <w:rsid w:val="00D84791"/>
    <w:rsid w:val="00D84CE8"/>
    <w:rsid w:val="00D95758"/>
    <w:rsid w:val="00D95E21"/>
    <w:rsid w:val="00D976CA"/>
    <w:rsid w:val="00D9786D"/>
    <w:rsid w:val="00DA25B9"/>
    <w:rsid w:val="00DA3026"/>
    <w:rsid w:val="00DA3036"/>
    <w:rsid w:val="00DA4455"/>
    <w:rsid w:val="00DA6F2E"/>
    <w:rsid w:val="00DB0812"/>
    <w:rsid w:val="00DB0F52"/>
    <w:rsid w:val="00DB1000"/>
    <w:rsid w:val="00DB2376"/>
    <w:rsid w:val="00DB5305"/>
    <w:rsid w:val="00DB57EB"/>
    <w:rsid w:val="00DC120C"/>
    <w:rsid w:val="00DC2DA7"/>
    <w:rsid w:val="00DC4365"/>
    <w:rsid w:val="00DC5DD4"/>
    <w:rsid w:val="00DD0676"/>
    <w:rsid w:val="00DD0F9B"/>
    <w:rsid w:val="00DD1619"/>
    <w:rsid w:val="00DD1847"/>
    <w:rsid w:val="00DD1A56"/>
    <w:rsid w:val="00DD1B73"/>
    <w:rsid w:val="00DD2EF6"/>
    <w:rsid w:val="00DD3E5C"/>
    <w:rsid w:val="00DD6079"/>
    <w:rsid w:val="00DD6AFE"/>
    <w:rsid w:val="00DD7842"/>
    <w:rsid w:val="00DD7C21"/>
    <w:rsid w:val="00DE00A3"/>
    <w:rsid w:val="00DE1E4D"/>
    <w:rsid w:val="00DE34E2"/>
    <w:rsid w:val="00DE4EAD"/>
    <w:rsid w:val="00DE7090"/>
    <w:rsid w:val="00DF0C6D"/>
    <w:rsid w:val="00DF18AD"/>
    <w:rsid w:val="00DF1F25"/>
    <w:rsid w:val="00DF2976"/>
    <w:rsid w:val="00DF3F05"/>
    <w:rsid w:val="00DF4F1B"/>
    <w:rsid w:val="00DF52D2"/>
    <w:rsid w:val="00DF63B2"/>
    <w:rsid w:val="00DF6E62"/>
    <w:rsid w:val="00DF7617"/>
    <w:rsid w:val="00E0055D"/>
    <w:rsid w:val="00E005BB"/>
    <w:rsid w:val="00E00663"/>
    <w:rsid w:val="00E0179D"/>
    <w:rsid w:val="00E0284A"/>
    <w:rsid w:val="00E02BDF"/>
    <w:rsid w:val="00E03E4B"/>
    <w:rsid w:val="00E04073"/>
    <w:rsid w:val="00E04C5B"/>
    <w:rsid w:val="00E10532"/>
    <w:rsid w:val="00E11585"/>
    <w:rsid w:val="00E11D8C"/>
    <w:rsid w:val="00E132F2"/>
    <w:rsid w:val="00E141EC"/>
    <w:rsid w:val="00E14BDF"/>
    <w:rsid w:val="00E16403"/>
    <w:rsid w:val="00E1674C"/>
    <w:rsid w:val="00E16AAD"/>
    <w:rsid w:val="00E17E0C"/>
    <w:rsid w:val="00E20489"/>
    <w:rsid w:val="00E246C4"/>
    <w:rsid w:val="00E24F29"/>
    <w:rsid w:val="00E30312"/>
    <w:rsid w:val="00E369CC"/>
    <w:rsid w:val="00E4149E"/>
    <w:rsid w:val="00E416E2"/>
    <w:rsid w:val="00E43F1E"/>
    <w:rsid w:val="00E4412C"/>
    <w:rsid w:val="00E47C80"/>
    <w:rsid w:val="00E47CA9"/>
    <w:rsid w:val="00E52752"/>
    <w:rsid w:val="00E5473C"/>
    <w:rsid w:val="00E553BD"/>
    <w:rsid w:val="00E55B8D"/>
    <w:rsid w:val="00E567A2"/>
    <w:rsid w:val="00E57825"/>
    <w:rsid w:val="00E608EC"/>
    <w:rsid w:val="00E61EA1"/>
    <w:rsid w:val="00E65005"/>
    <w:rsid w:val="00E650A7"/>
    <w:rsid w:val="00E65260"/>
    <w:rsid w:val="00E678FD"/>
    <w:rsid w:val="00E70AFC"/>
    <w:rsid w:val="00E73B16"/>
    <w:rsid w:val="00E741C2"/>
    <w:rsid w:val="00E75449"/>
    <w:rsid w:val="00E76A7D"/>
    <w:rsid w:val="00E7793E"/>
    <w:rsid w:val="00E803D1"/>
    <w:rsid w:val="00E8151A"/>
    <w:rsid w:val="00E838B8"/>
    <w:rsid w:val="00E84CA7"/>
    <w:rsid w:val="00E84F7B"/>
    <w:rsid w:val="00E948E5"/>
    <w:rsid w:val="00E94BED"/>
    <w:rsid w:val="00E94D46"/>
    <w:rsid w:val="00E95E69"/>
    <w:rsid w:val="00E97ACC"/>
    <w:rsid w:val="00EA16BF"/>
    <w:rsid w:val="00EA4603"/>
    <w:rsid w:val="00EA48BA"/>
    <w:rsid w:val="00EA49ED"/>
    <w:rsid w:val="00EA501B"/>
    <w:rsid w:val="00EA51DF"/>
    <w:rsid w:val="00EA5C81"/>
    <w:rsid w:val="00EA6247"/>
    <w:rsid w:val="00EA7DB4"/>
    <w:rsid w:val="00EB010F"/>
    <w:rsid w:val="00EB19A6"/>
    <w:rsid w:val="00EB2774"/>
    <w:rsid w:val="00EB3221"/>
    <w:rsid w:val="00EB3587"/>
    <w:rsid w:val="00EB687B"/>
    <w:rsid w:val="00EB6DAE"/>
    <w:rsid w:val="00EC055E"/>
    <w:rsid w:val="00EC1394"/>
    <w:rsid w:val="00EC681C"/>
    <w:rsid w:val="00EC7C4A"/>
    <w:rsid w:val="00ED16BF"/>
    <w:rsid w:val="00ED3289"/>
    <w:rsid w:val="00ED4954"/>
    <w:rsid w:val="00ED59DA"/>
    <w:rsid w:val="00EE08FA"/>
    <w:rsid w:val="00EE27AC"/>
    <w:rsid w:val="00EE567C"/>
    <w:rsid w:val="00EE69AA"/>
    <w:rsid w:val="00EE7B6B"/>
    <w:rsid w:val="00EF095E"/>
    <w:rsid w:val="00EF1AF2"/>
    <w:rsid w:val="00EF371F"/>
    <w:rsid w:val="00EF4583"/>
    <w:rsid w:val="00F01F9F"/>
    <w:rsid w:val="00F02B0D"/>
    <w:rsid w:val="00F055CC"/>
    <w:rsid w:val="00F07547"/>
    <w:rsid w:val="00F1062E"/>
    <w:rsid w:val="00F10709"/>
    <w:rsid w:val="00F10D0D"/>
    <w:rsid w:val="00F126DF"/>
    <w:rsid w:val="00F13F0B"/>
    <w:rsid w:val="00F16EC8"/>
    <w:rsid w:val="00F208B5"/>
    <w:rsid w:val="00F21213"/>
    <w:rsid w:val="00F222DE"/>
    <w:rsid w:val="00F22E24"/>
    <w:rsid w:val="00F236FD"/>
    <w:rsid w:val="00F240E4"/>
    <w:rsid w:val="00F2444F"/>
    <w:rsid w:val="00F25834"/>
    <w:rsid w:val="00F26253"/>
    <w:rsid w:val="00F355DD"/>
    <w:rsid w:val="00F35927"/>
    <w:rsid w:val="00F36026"/>
    <w:rsid w:val="00F408B4"/>
    <w:rsid w:val="00F40CE5"/>
    <w:rsid w:val="00F41DA6"/>
    <w:rsid w:val="00F4218D"/>
    <w:rsid w:val="00F43437"/>
    <w:rsid w:val="00F435DC"/>
    <w:rsid w:val="00F52C1B"/>
    <w:rsid w:val="00F5395E"/>
    <w:rsid w:val="00F570EC"/>
    <w:rsid w:val="00F615D8"/>
    <w:rsid w:val="00F64280"/>
    <w:rsid w:val="00F645FB"/>
    <w:rsid w:val="00F65981"/>
    <w:rsid w:val="00F6661C"/>
    <w:rsid w:val="00F66780"/>
    <w:rsid w:val="00F675E3"/>
    <w:rsid w:val="00F700B0"/>
    <w:rsid w:val="00F738FC"/>
    <w:rsid w:val="00F80A3E"/>
    <w:rsid w:val="00F82ADA"/>
    <w:rsid w:val="00F833AE"/>
    <w:rsid w:val="00F83F01"/>
    <w:rsid w:val="00F86DD1"/>
    <w:rsid w:val="00F901F8"/>
    <w:rsid w:val="00F90D32"/>
    <w:rsid w:val="00F91BE8"/>
    <w:rsid w:val="00F92532"/>
    <w:rsid w:val="00F93238"/>
    <w:rsid w:val="00F96AF4"/>
    <w:rsid w:val="00F96AFC"/>
    <w:rsid w:val="00F96ECA"/>
    <w:rsid w:val="00FA1075"/>
    <w:rsid w:val="00FA1E73"/>
    <w:rsid w:val="00FA21C0"/>
    <w:rsid w:val="00FA2376"/>
    <w:rsid w:val="00FA2B54"/>
    <w:rsid w:val="00FA5DF0"/>
    <w:rsid w:val="00FA5FEE"/>
    <w:rsid w:val="00FA6473"/>
    <w:rsid w:val="00FA653C"/>
    <w:rsid w:val="00FB112A"/>
    <w:rsid w:val="00FB47A3"/>
    <w:rsid w:val="00FB668B"/>
    <w:rsid w:val="00FC016E"/>
    <w:rsid w:val="00FC1BCA"/>
    <w:rsid w:val="00FC4072"/>
    <w:rsid w:val="00FC6F07"/>
    <w:rsid w:val="00FD3532"/>
    <w:rsid w:val="00FD4D32"/>
    <w:rsid w:val="00FD606F"/>
    <w:rsid w:val="00FE5511"/>
    <w:rsid w:val="00FE5780"/>
    <w:rsid w:val="00FE61C0"/>
    <w:rsid w:val="00FE740D"/>
    <w:rsid w:val="00FF7704"/>
    <w:rsid w:val="01493F74"/>
    <w:rsid w:val="01661FC3"/>
    <w:rsid w:val="01667061"/>
    <w:rsid w:val="01CA379F"/>
    <w:rsid w:val="01F929A6"/>
    <w:rsid w:val="02070CCA"/>
    <w:rsid w:val="022942EC"/>
    <w:rsid w:val="023434BB"/>
    <w:rsid w:val="0251542A"/>
    <w:rsid w:val="027916A2"/>
    <w:rsid w:val="02BC3A99"/>
    <w:rsid w:val="02C218F4"/>
    <w:rsid w:val="03614E4B"/>
    <w:rsid w:val="03762FFA"/>
    <w:rsid w:val="03BC6329"/>
    <w:rsid w:val="03D1718E"/>
    <w:rsid w:val="041B2ABE"/>
    <w:rsid w:val="042D023A"/>
    <w:rsid w:val="0432329F"/>
    <w:rsid w:val="04456555"/>
    <w:rsid w:val="04C04B70"/>
    <w:rsid w:val="04D20188"/>
    <w:rsid w:val="05AB1BC0"/>
    <w:rsid w:val="0618015E"/>
    <w:rsid w:val="063B142E"/>
    <w:rsid w:val="06773DC5"/>
    <w:rsid w:val="069E51D4"/>
    <w:rsid w:val="06C80AC6"/>
    <w:rsid w:val="06FC150A"/>
    <w:rsid w:val="06FF6982"/>
    <w:rsid w:val="072B268F"/>
    <w:rsid w:val="07390943"/>
    <w:rsid w:val="07737366"/>
    <w:rsid w:val="07AD5106"/>
    <w:rsid w:val="0812348C"/>
    <w:rsid w:val="08630EB6"/>
    <w:rsid w:val="087F677F"/>
    <w:rsid w:val="08E03E99"/>
    <w:rsid w:val="091876CA"/>
    <w:rsid w:val="0949583D"/>
    <w:rsid w:val="096D045A"/>
    <w:rsid w:val="099F7660"/>
    <w:rsid w:val="09A4414E"/>
    <w:rsid w:val="09D044F5"/>
    <w:rsid w:val="09E47CBC"/>
    <w:rsid w:val="0A396652"/>
    <w:rsid w:val="0B754242"/>
    <w:rsid w:val="0B776351"/>
    <w:rsid w:val="0BDF5552"/>
    <w:rsid w:val="0C165A57"/>
    <w:rsid w:val="0C2E0BB3"/>
    <w:rsid w:val="0C4938C4"/>
    <w:rsid w:val="0C664B88"/>
    <w:rsid w:val="0CED50AD"/>
    <w:rsid w:val="0D6B6107"/>
    <w:rsid w:val="0D6C4F89"/>
    <w:rsid w:val="0D6F0916"/>
    <w:rsid w:val="0D747332"/>
    <w:rsid w:val="0DAE0071"/>
    <w:rsid w:val="0E3C5842"/>
    <w:rsid w:val="0E5F7683"/>
    <w:rsid w:val="0F347BAE"/>
    <w:rsid w:val="0F630F4E"/>
    <w:rsid w:val="0FD219E4"/>
    <w:rsid w:val="1015764B"/>
    <w:rsid w:val="10236293"/>
    <w:rsid w:val="10307DB4"/>
    <w:rsid w:val="103C3031"/>
    <w:rsid w:val="105569B5"/>
    <w:rsid w:val="106F754E"/>
    <w:rsid w:val="107B46E0"/>
    <w:rsid w:val="10B66A76"/>
    <w:rsid w:val="10EF33E3"/>
    <w:rsid w:val="110D4428"/>
    <w:rsid w:val="1110035C"/>
    <w:rsid w:val="112F046A"/>
    <w:rsid w:val="11775F57"/>
    <w:rsid w:val="118B0497"/>
    <w:rsid w:val="11980A39"/>
    <w:rsid w:val="121540AA"/>
    <w:rsid w:val="131E7C21"/>
    <w:rsid w:val="134B4F53"/>
    <w:rsid w:val="136C7697"/>
    <w:rsid w:val="13857FE1"/>
    <w:rsid w:val="138F5494"/>
    <w:rsid w:val="13A37BE3"/>
    <w:rsid w:val="14767044"/>
    <w:rsid w:val="149D5FB6"/>
    <w:rsid w:val="14BB7D3C"/>
    <w:rsid w:val="155C0941"/>
    <w:rsid w:val="1602636F"/>
    <w:rsid w:val="16483ACB"/>
    <w:rsid w:val="168F45F7"/>
    <w:rsid w:val="169C053E"/>
    <w:rsid w:val="17134AA8"/>
    <w:rsid w:val="172C56CD"/>
    <w:rsid w:val="172F1B23"/>
    <w:rsid w:val="17376A87"/>
    <w:rsid w:val="173D3DF3"/>
    <w:rsid w:val="17476B8F"/>
    <w:rsid w:val="17835E3B"/>
    <w:rsid w:val="17CA5845"/>
    <w:rsid w:val="17DF3C63"/>
    <w:rsid w:val="18030489"/>
    <w:rsid w:val="18584A39"/>
    <w:rsid w:val="187A7FF0"/>
    <w:rsid w:val="188816BA"/>
    <w:rsid w:val="18967D86"/>
    <w:rsid w:val="1899016B"/>
    <w:rsid w:val="18B42B87"/>
    <w:rsid w:val="18E9673E"/>
    <w:rsid w:val="18F3611F"/>
    <w:rsid w:val="192C4F23"/>
    <w:rsid w:val="19440509"/>
    <w:rsid w:val="195B44EC"/>
    <w:rsid w:val="195D447C"/>
    <w:rsid w:val="1A362D0A"/>
    <w:rsid w:val="1A382C8F"/>
    <w:rsid w:val="1A602749"/>
    <w:rsid w:val="1A8B7559"/>
    <w:rsid w:val="1B022C2A"/>
    <w:rsid w:val="1B407B64"/>
    <w:rsid w:val="1BB74F98"/>
    <w:rsid w:val="1C356908"/>
    <w:rsid w:val="1CBC06B9"/>
    <w:rsid w:val="1CD9294D"/>
    <w:rsid w:val="1CFD2FA0"/>
    <w:rsid w:val="1CFE4FB5"/>
    <w:rsid w:val="1D3E6588"/>
    <w:rsid w:val="1D5C5F16"/>
    <w:rsid w:val="1E046125"/>
    <w:rsid w:val="1E6D5B86"/>
    <w:rsid w:val="1E8527B0"/>
    <w:rsid w:val="1F0A52A5"/>
    <w:rsid w:val="206044AA"/>
    <w:rsid w:val="207B0FBD"/>
    <w:rsid w:val="208E3B51"/>
    <w:rsid w:val="20EF2F6E"/>
    <w:rsid w:val="21094B70"/>
    <w:rsid w:val="215C0155"/>
    <w:rsid w:val="22065F5A"/>
    <w:rsid w:val="22754363"/>
    <w:rsid w:val="231A0405"/>
    <w:rsid w:val="23350BE2"/>
    <w:rsid w:val="234A7382"/>
    <w:rsid w:val="23737754"/>
    <w:rsid w:val="237A638E"/>
    <w:rsid w:val="23904998"/>
    <w:rsid w:val="23F83935"/>
    <w:rsid w:val="23FF04A7"/>
    <w:rsid w:val="245C4A4D"/>
    <w:rsid w:val="250C043C"/>
    <w:rsid w:val="25227D26"/>
    <w:rsid w:val="25247923"/>
    <w:rsid w:val="252C7720"/>
    <w:rsid w:val="25B14051"/>
    <w:rsid w:val="262330E0"/>
    <w:rsid w:val="267C7DA6"/>
    <w:rsid w:val="26D80289"/>
    <w:rsid w:val="26DA44CB"/>
    <w:rsid w:val="27030494"/>
    <w:rsid w:val="27153D52"/>
    <w:rsid w:val="27A84E4D"/>
    <w:rsid w:val="28244753"/>
    <w:rsid w:val="28256ACA"/>
    <w:rsid w:val="28AC5F09"/>
    <w:rsid w:val="293539D2"/>
    <w:rsid w:val="29A67FE8"/>
    <w:rsid w:val="29F00112"/>
    <w:rsid w:val="29F92791"/>
    <w:rsid w:val="29FD52D6"/>
    <w:rsid w:val="2AAA7A4D"/>
    <w:rsid w:val="2AF877D5"/>
    <w:rsid w:val="2BD92ADE"/>
    <w:rsid w:val="2C02186A"/>
    <w:rsid w:val="2C4E3E57"/>
    <w:rsid w:val="2C73189F"/>
    <w:rsid w:val="2C7E77FE"/>
    <w:rsid w:val="2DC26459"/>
    <w:rsid w:val="2DE5672F"/>
    <w:rsid w:val="2DE57FBB"/>
    <w:rsid w:val="2EC94C45"/>
    <w:rsid w:val="2F7578E5"/>
    <w:rsid w:val="2FA50980"/>
    <w:rsid w:val="3015502B"/>
    <w:rsid w:val="306F3F5A"/>
    <w:rsid w:val="309536E1"/>
    <w:rsid w:val="30973F38"/>
    <w:rsid w:val="319F1A3B"/>
    <w:rsid w:val="31D6107A"/>
    <w:rsid w:val="320A5FD3"/>
    <w:rsid w:val="32403276"/>
    <w:rsid w:val="32A40DFB"/>
    <w:rsid w:val="32F34D80"/>
    <w:rsid w:val="339871B7"/>
    <w:rsid w:val="33B958D7"/>
    <w:rsid w:val="33D6716F"/>
    <w:rsid w:val="33E46453"/>
    <w:rsid w:val="341B3605"/>
    <w:rsid w:val="34346846"/>
    <w:rsid w:val="34457E86"/>
    <w:rsid w:val="349B3417"/>
    <w:rsid w:val="34FA3160"/>
    <w:rsid w:val="351A49E4"/>
    <w:rsid w:val="35995740"/>
    <w:rsid w:val="35EE6050"/>
    <w:rsid w:val="364E2EE1"/>
    <w:rsid w:val="36784E41"/>
    <w:rsid w:val="36994B70"/>
    <w:rsid w:val="36D76A7C"/>
    <w:rsid w:val="3715412C"/>
    <w:rsid w:val="373C1E55"/>
    <w:rsid w:val="3762071D"/>
    <w:rsid w:val="37A668AB"/>
    <w:rsid w:val="37F3259F"/>
    <w:rsid w:val="38231830"/>
    <w:rsid w:val="38A86F9E"/>
    <w:rsid w:val="38C7718B"/>
    <w:rsid w:val="39461F58"/>
    <w:rsid w:val="396B62C3"/>
    <w:rsid w:val="397615E1"/>
    <w:rsid w:val="397E24F0"/>
    <w:rsid w:val="39915706"/>
    <w:rsid w:val="39A73688"/>
    <w:rsid w:val="3A157778"/>
    <w:rsid w:val="3A3C4A6E"/>
    <w:rsid w:val="3A9D3AC3"/>
    <w:rsid w:val="3AC0371E"/>
    <w:rsid w:val="3BC449A9"/>
    <w:rsid w:val="3BD52E51"/>
    <w:rsid w:val="3BD65FD0"/>
    <w:rsid w:val="3C4855E7"/>
    <w:rsid w:val="3C6713A7"/>
    <w:rsid w:val="3C7B185D"/>
    <w:rsid w:val="3C9C6780"/>
    <w:rsid w:val="3CA164F3"/>
    <w:rsid w:val="3CB03B1F"/>
    <w:rsid w:val="3D54725B"/>
    <w:rsid w:val="3D585A60"/>
    <w:rsid w:val="3D6522B0"/>
    <w:rsid w:val="3D6C71A9"/>
    <w:rsid w:val="3D901FBD"/>
    <w:rsid w:val="3DA4729C"/>
    <w:rsid w:val="3DF22485"/>
    <w:rsid w:val="3E190FCE"/>
    <w:rsid w:val="3EC74D08"/>
    <w:rsid w:val="3ED222CB"/>
    <w:rsid w:val="3EF92DEC"/>
    <w:rsid w:val="3F427709"/>
    <w:rsid w:val="3F8214DD"/>
    <w:rsid w:val="3FAC6431"/>
    <w:rsid w:val="3FD53264"/>
    <w:rsid w:val="404F11FC"/>
    <w:rsid w:val="40A65219"/>
    <w:rsid w:val="41D561C9"/>
    <w:rsid w:val="42250ADE"/>
    <w:rsid w:val="426F64F0"/>
    <w:rsid w:val="427971E5"/>
    <w:rsid w:val="43386F89"/>
    <w:rsid w:val="43433288"/>
    <w:rsid w:val="43651612"/>
    <w:rsid w:val="437879F3"/>
    <w:rsid w:val="437A23EF"/>
    <w:rsid w:val="439A2276"/>
    <w:rsid w:val="439A2EA9"/>
    <w:rsid w:val="43A055E6"/>
    <w:rsid w:val="441A1ED1"/>
    <w:rsid w:val="446D3922"/>
    <w:rsid w:val="45486511"/>
    <w:rsid w:val="454A2D2A"/>
    <w:rsid w:val="457C215B"/>
    <w:rsid w:val="45A34C1D"/>
    <w:rsid w:val="45F840A5"/>
    <w:rsid w:val="46B17FBE"/>
    <w:rsid w:val="46BF6A4A"/>
    <w:rsid w:val="46CE3695"/>
    <w:rsid w:val="46F04E55"/>
    <w:rsid w:val="470061CF"/>
    <w:rsid w:val="4752634F"/>
    <w:rsid w:val="481B0015"/>
    <w:rsid w:val="482D1B49"/>
    <w:rsid w:val="48501E32"/>
    <w:rsid w:val="48EF1993"/>
    <w:rsid w:val="494B6CBB"/>
    <w:rsid w:val="496B6664"/>
    <w:rsid w:val="4A16724D"/>
    <w:rsid w:val="4A1867B2"/>
    <w:rsid w:val="4A4C2CEB"/>
    <w:rsid w:val="4A4D7B06"/>
    <w:rsid w:val="4A705592"/>
    <w:rsid w:val="4ABB201D"/>
    <w:rsid w:val="4B396D6D"/>
    <w:rsid w:val="4B475A96"/>
    <w:rsid w:val="4B5D5D59"/>
    <w:rsid w:val="4C3F190C"/>
    <w:rsid w:val="4D4D2FC5"/>
    <w:rsid w:val="4DB96856"/>
    <w:rsid w:val="4E682AFB"/>
    <w:rsid w:val="4E6A5507"/>
    <w:rsid w:val="4E6C464E"/>
    <w:rsid w:val="4F4866BA"/>
    <w:rsid w:val="4F547E98"/>
    <w:rsid w:val="4F5F3F8B"/>
    <w:rsid w:val="4F6A301E"/>
    <w:rsid w:val="4FB468DC"/>
    <w:rsid w:val="4FD018F0"/>
    <w:rsid w:val="500249BC"/>
    <w:rsid w:val="50702F1C"/>
    <w:rsid w:val="50721B62"/>
    <w:rsid w:val="50B51913"/>
    <w:rsid w:val="51024DB7"/>
    <w:rsid w:val="51486D7B"/>
    <w:rsid w:val="51774F24"/>
    <w:rsid w:val="51981EE2"/>
    <w:rsid w:val="51A12496"/>
    <w:rsid w:val="51FD747C"/>
    <w:rsid w:val="525564B4"/>
    <w:rsid w:val="527B604B"/>
    <w:rsid w:val="529D28D9"/>
    <w:rsid w:val="52DC2732"/>
    <w:rsid w:val="53517FF9"/>
    <w:rsid w:val="538737A3"/>
    <w:rsid w:val="53936C82"/>
    <w:rsid w:val="53D74590"/>
    <w:rsid w:val="53DD0D0D"/>
    <w:rsid w:val="541661E3"/>
    <w:rsid w:val="54444957"/>
    <w:rsid w:val="544C6FB7"/>
    <w:rsid w:val="55065038"/>
    <w:rsid w:val="55386EF4"/>
    <w:rsid w:val="55E02419"/>
    <w:rsid w:val="56035CCC"/>
    <w:rsid w:val="56616829"/>
    <w:rsid w:val="568B0106"/>
    <w:rsid w:val="56A913F5"/>
    <w:rsid w:val="57080BB2"/>
    <w:rsid w:val="574167AE"/>
    <w:rsid w:val="57655781"/>
    <w:rsid w:val="57A82F1C"/>
    <w:rsid w:val="57D91808"/>
    <w:rsid w:val="584129EB"/>
    <w:rsid w:val="5854450D"/>
    <w:rsid w:val="588602EE"/>
    <w:rsid w:val="589A1497"/>
    <w:rsid w:val="58D501BB"/>
    <w:rsid w:val="5949380A"/>
    <w:rsid w:val="596B4277"/>
    <w:rsid w:val="597E4247"/>
    <w:rsid w:val="59B169AF"/>
    <w:rsid w:val="5A2F2E3A"/>
    <w:rsid w:val="5A5E7D02"/>
    <w:rsid w:val="5A6A3AB4"/>
    <w:rsid w:val="5A92609E"/>
    <w:rsid w:val="5B302CEA"/>
    <w:rsid w:val="5B3D5C4D"/>
    <w:rsid w:val="5B694B16"/>
    <w:rsid w:val="5B714D09"/>
    <w:rsid w:val="5B9138F3"/>
    <w:rsid w:val="5BD74F4F"/>
    <w:rsid w:val="5C4F4580"/>
    <w:rsid w:val="5C640EBC"/>
    <w:rsid w:val="5C6867B2"/>
    <w:rsid w:val="5C78436C"/>
    <w:rsid w:val="5C7E1C9C"/>
    <w:rsid w:val="5CBD5382"/>
    <w:rsid w:val="5CD75411"/>
    <w:rsid w:val="5D014C3F"/>
    <w:rsid w:val="5D020D97"/>
    <w:rsid w:val="5D481448"/>
    <w:rsid w:val="5D5403FF"/>
    <w:rsid w:val="5DA86D52"/>
    <w:rsid w:val="5DCE1FB5"/>
    <w:rsid w:val="5E0B3283"/>
    <w:rsid w:val="5E2A2E51"/>
    <w:rsid w:val="5E6A2DAE"/>
    <w:rsid w:val="5ED94344"/>
    <w:rsid w:val="5F223A54"/>
    <w:rsid w:val="5F881589"/>
    <w:rsid w:val="5F933191"/>
    <w:rsid w:val="60431173"/>
    <w:rsid w:val="60575E1F"/>
    <w:rsid w:val="60D979DD"/>
    <w:rsid w:val="61655376"/>
    <w:rsid w:val="616A08BA"/>
    <w:rsid w:val="617733BB"/>
    <w:rsid w:val="619F5095"/>
    <w:rsid w:val="61A76E3F"/>
    <w:rsid w:val="61AA56CB"/>
    <w:rsid w:val="625002F0"/>
    <w:rsid w:val="62973843"/>
    <w:rsid w:val="62A142BD"/>
    <w:rsid w:val="62AC017B"/>
    <w:rsid w:val="63A736F1"/>
    <w:rsid w:val="63F55ABD"/>
    <w:rsid w:val="64014F88"/>
    <w:rsid w:val="64405FB0"/>
    <w:rsid w:val="64505B90"/>
    <w:rsid w:val="647648A8"/>
    <w:rsid w:val="64A826A7"/>
    <w:rsid w:val="64AE51C8"/>
    <w:rsid w:val="652175C7"/>
    <w:rsid w:val="652D6B46"/>
    <w:rsid w:val="65772CEF"/>
    <w:rsid w:val="661A498D"/>
    <w:rsid w:val="66670317"/>
    <w:rsid w:val="66723681"/>
    <w:rsid w:val="667709B7"/>
    <w:rsid w:val="66AB0615"/>
    <w:rsid w:val="66B4157E"/>
    <w:rsid w:val="66C15DA4"/>
    <w:rsid w:val="67522F23"/>
    <w:rsid w:val="67A62749"/>
    <w:rsid w:val="67BF24B9"/>
    <w:rsid w:val="684B6A00"/>
    <w:rsid w:val="685E0124"/>
    <w:rsid w:val="68F67181"/>
    <w:rsid w:val="69C72B75"/>
    <w:rsid w:val="6A9D7947"/>
    <w:rsid w:val="6AA57B4B"/>
    <w:rsid w:val="6AAE77C3"/>
    <w:rsid w:val="6AE72DD1"/>
    <w:rsid w:val="6AF16A1F"/>
    <w:rsid w:val="6B1B5510"/>
    <w:rsid w:val="6BA63002"/>
    <w:rsid w:val="6C5B2B91"/>
    <w:rsid w:val="6C676336"/>
    <w:rsid w:val="6CAE0B7E"/>
    <w:rsid w:val="6D164D6C"/>
    <w:rsid w:val="6D3A3CA0"/>
    <w:rsid w:val="6D725D15"/>
    <w:rsid w:val="6DA83F43"/>
    <w:rsid w:val="6DCD3BA9"/>
    <w:rsid w:val="6E0E3C8F"/>
    <w:rsid w:val="6E4C2715"/>
    <w:rsid w:val="6EE8698B"/>
    <w:rsid w:val="6F4459FC"/>
    <w:rsid w:val="6F6661C5"/>
    <w:rsid w:val="6F6E7D35"/>
    <w:rsid w:val="6F752733"/>
    <w:rsid w:val="6FB15841"/>
    <w:rsid w:val="6FCB727C"/>
    <w:rsid w:val="70061B33"/>
    <w:rsid w:val="703202AC"/>
    <w:rsid w:val="70820B62"/>
    <w:rsid w:val="70D94E6E"/>
    <w:rsid w:val="71192453"/>
    <w:rsid w:val="7157184C"/>
    <w:rsid w:val="71E46F04"/>
    <w:rsid w:val="71F35E5F"/>
    <w:rsid w:val="722A2616"/>
    <w:rsid w:val="722D0727"/>
    <w:rsid w:val="72855569"/>
    <w:rsid w:val="729C0470"/>
    <w:rsid w:val="72A7257A"/>
    <w:rsid w:val="73210CF8"/>
    <w:rsid w:val="732E78EE"/>
    <w:rsid w:val="73574EDF"/>
    <w:rsid w:val="73635ADA"/>
    <w:rsid w:val="737A3B75"/>
    <w:rsid w:val="749141A8"/>
    <w:rsid w:val="74AE0392"/>
    <w:rsid w:val="75660822"/>
    <w:rsid w:val="75AD1AB1"/>
    <w:rsid w:val="75B577E2"/>
    <w:rsid w:val="75E232F2"/>
    <w:rsid w:val="764C7334"/>
    <w:rsid w:val="776E6A05"/>
    <w:rsid w:val="77992D90"/>
    <w:rsid w:val="77A5581B"/>
    <w:rsid w:val="77BD2282"/>
    <w:rsid w:val="77D82909"/>
    <w:rsid w:val="78510BA5"/>
    <w:rsid w:val="788E4D16"/>
    <w:rsid w:val="79472D56"/>
    <w:rsid w:val="795F102E"/>
    <w:rsid w:val="79637B3B"/>
    <w:rsid w:val="79667910"/>
    <w:rsid w:val="799B7D86"/>
    <w:rsid w:val="79DD56CE"/>
    <w:rsid w:val="79E134CE"/>
    <w:rsid w:val="7A0D74F1"/>
    <w:rsid w:val="7A756ADA"/>
    <w:rsid w:val="7A8714D2"/>
    <w:rsid w:val="7AC44CB6"/>
    <w:rsid w:val="7B0F7B4B"/>
    <w:rsid w:val="7B5C4967"/>
    <w:rsid w:val="7B673897"/>
    <w:rsid w:val="7B8315C1"/>
    <w:rsid w:val="7BC0178A"/>
    <w:rsid w:val="7BD34A8A"/>
    <w:rsid w:val="7BD71632"/>
    <w:rsid w:val="7C3C6963"/>
    <w:rsid w:val="7C60257A"/>
    <w:rsid w:val="7D10024D"/>
    <w:rsid w:val="7D13519C"/>
    <w:rsid w:val="7D1354AB"/>
    <w:rsid w:val="7D452A1A"/>
    <w:rsid w:val="7D6E7581"/>
    <w:rsid w:val="7D8142BF"/>
    <w:rsid w:val="7DE82542"/>
    <w:rsid w:val="7E573843"/>
    <w:rsid w:val="7E7C7F2A"/>
    <w:rsid w:val="7E9A633E"/>
    <w:rsid w:val="7EEA648A"/>
    <w:rsid w:val="7FEA663B"/>
    <w:rsid w:val="7FF4556A"/>
    <w:rsid w:val="7FF808DE"/>
    <w:rsid w:val="7FFE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color w:val="000000"/>
      <w:kern w:val="2"/>
      <w:sz w:val="21"/>
      <w:lang w:val="en-US" w:eastAsia="zh-CN" w:bidi="ar-SA"/>
    </w:rPr>
  </w:style>
  <w:style w:type="paragraph" w:styleId="4">
    <w:name w:val="heading 1"/>
    <w:basedOn w:val="1"/>
    <w:next w:val="1"/>
    <w:link w:val="35"/>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2"/>
    <w:qFormat/>
    <w:uiPriority w:val="0"/>
    <w:pPr>
      <w:keepNext/>
      <w:keepLines/>
      <w:spacing w:before="260" w:after="260" w:line="416" w:lineRule="auto"/>
      <w:outlineLvl w:val="1"/>
    </w:pPr>
    <w:rPr>
      <w:rFonts w:ascii="Arial" w:hAnsi="Arial" w:eastAsia="黑体"/>
      <w:b/>
      <w:bCs/>
      <w:color w:val="auto"/>
      <w:sz w:val="32"/>
      <w:szCs w:val="32"/>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500" w:lineRule="exact"/>
      <w:ind w:firstLine="480"/>
    </w:pPr>
    <w:rPr>
      <w:rFonts w:ascii="Calibri" w:hAnsi="Calibri"/>
    </w:rPr>
  </w:style>
  <w:style w:type="paragraph" w:styleId="3">
    <w:name w:val="Body Text Indent"/>
    <w:basedOn w:val="1"/>
    <w:qFormat/>
    <w:uiPriority w:val="0"/>
    <w:pPr>
      <w:ind w:firstLine="600" w:firstLineChars="200"/>
    </w:pPr>
    <w:rPr>
      <w:rFonts w:ascii="Times New Roman" w:hAnsi="宋体" w:eastAsia="仿宋_GB2312"/>
      <w:color w:val="auto"/>
      <w:sz w:val="30"/>
      <w:szCs w:val="24"/>
    </w:rPr>
  </w:style>
  <w:style w:type="paragraph" w:styleId="7">
    <w:name w:val="annotation text"/>
    <w:basedOn w:val="1"/>
    <w:link w:val="36"/>
    <w:qFormat/>
    <w:uiPriority w:val="0"/>
    <w:pPr>
      <w:adjustRightInd w:val="0"/>
      <w:spacing w:line="360" w:lineRule="atLeast"/>
      <w:jc w:val="left"/>
      <w:textAlignment w:val="baseline"/>
    </w:pPr>
    <w:rPr>
      <w:rFonts w:ascii="Times New Roman"/>
      <w:color w:val="auto"/>
      <w:spacing w:val="-30"/>
      <w:kern w:val="28"/>
      <w:sz w:val="28"/>
      <w:szCs w:val="21"/>
    </w:rPr>
  </w:style>
  <w:style w:type="paragraph" w:styleId="8">
    <w:name w:val="Body Text"/>
    <w:basedOn w:val="1"/>
    <w:qFormat/>
    <w:uiPriority w:val="0"/>
    <w:rPr>
      <w:rFonts w:hAnsi="宋体"/>
      <w:sz w:val="30"/>
    </w:rPr>
  </w:style>
  <w:style w:type="paragraph" w:styleId="9">
    <w:name w:val="Block Text"/>
    <w:basedOn w:val="1"/>
    <w:qFormat/>
    <w:uiPriority w:val="0"/>
    <w:pPr>
      <w:widowControl/>
      <w:spacing w:line="360" w:lineRule="auto"/>
      <w:ind w:left="739" w:right="18"/>
    </w:pPr>
    <w:rPr>
      <w:rFonts w:ascii="仿宋_GB2312" w:eastAsia="仿宋_GB2312"/>
      <w:color w:val="auto"/>
      <w:kern w:val="0"/>
      <w:sz w:val="28"/>
      <w:szCs w:val="28"/>
    </w:rPr>
  </w:style>
  <w:style w:type="paragraph" w:styleId="10">
    <w:name w:val="Plain Text"/>
    <w:basedOn w:val="1"/>
    <w:link w:val="37"/>
    <w:qFormat/>
    <w:uiPriority w:val="0"/>
    <w:rPr>
      <w:rFonts w:hAnsi="Courier New"/>
      <w:color w:val="auto"/>
      <w:szCs w:val="21"/>
    </w:rPr>
  </w:style>
  <w:style w:type="paragraph" w:styleId="11">
    <w:name w:val="Date"/>
    <w:basedOn w:val="1"/>
    <w:next w:val="1"/>
    <w:link w:val="38"/>
    <w:qFormat/>
    <w:uiPriority w:val="0"/>
    <w:pPr>
      <w:ind w:left="100" w:leftChars="2500"/>
    </w:pPr>
  </w:style>
  <w:style w:type="paragraph" w:styleId="12">
    <w:name w:val="Body Text Indent 2"/>
    <w:basedOn w:val="1"/>
    <w:link w:val="39"/>
    <w:qFormat/>
    <w:uiPriority w:val="0"/>
    <w:pPr>
      <w:spacing w:after="120" w:line="480" w:lineRule="auto"/>
      <w:ind w:left="420" w:leftChars="200"/>
    </w:pPr>
  </w:style>
  <w:style w:type="paragraph" w:styleId="13">
    <w:name w:val="Balloon Text"/>
    <w:basedOn w:val="1"/>
    <w:link w:val="40"/>
    <w:qFormat/>
    <w:uiPriority w:val="0"/>
    <w:rPr>
      <w:sz w:val="18"/>
      <w:szCs w:val="18"/>
    </w:rPr>
  </w:style>
  <w:style w:type="paragraph" w:styleId="14">
    <w:name w:val="footer"/>
    <w:basedOn w:val="1"/>
    <w:next w:val="1"/>
    <w:link w:val="34"/>
    <w:qFormat/>
    <w:uiPriority w:val="99"/>
    <w:pPr>
      <w:tabs>
        <w:tab w:val="center" w:pos="4153"/>
        <w:tab w:val="right" w:pos="8306"/>
      </w:tabs>
      <w:snapToGrid w:val="0"/>
      <w:jc w:val="left"/>
    </w:pPr>
    <w:rPr>
      <w:sz w:val="18"/>
      <w:szCs w:val="18"/>
    </w:rPr>
  </w:style>
  <w:style w:type="paragraph" w:styleId="15">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Subtitle"/>
    <w:next w:val="1"/>
    <w:link w:val="42"/>
    <w:qFormat/>
    <w:uiPriority w:val="0"/>
    <w:pPr>
      <w:wordWrap w:val="0"/>
      <w:spacing w:after="60"/>
      <w:jc w:val="center"/>
    </w:pPr>
    <w:rPr>
      <w:rFonts w:ascii="宋体" w:hAnsi="宋体" w:eastAsia="宋体" w:cs="宋体"/>
      <w:sz w:val="24"/>
      <w:lang w:val="en-US" w:eastAsia="zh-CN" w:bidi="ar-SA"/>
    </w:rPr>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spacing w:line="700" w:lineRule="exact"/>
      <w:ind w:firstLine="600"/>
    </w:pPr>
    <w:rPr>
      <w:sz w:val="30"/>
    </w:rPr>
  </w:style>
  <w:style w:type="paragraph" w:styleId="20">
    <w:name w:val="toc 2"/>
    <w:basedOn w:val="1"/>
    <w:next w:val="1"/>
    <w:qFormat/>
    <w:uiPriority w:val="39"/>
    <w:pPr>
      <w:tabs>
        <w:tab w:val="right" w:leader="dot" w:pos="9060"/>
      </w:tabs>
      <w:spacing w:line="600" w:lineRule="exact"/>
      <w:ind w:left="420" w:leftChars="200"/>
    </w:pPr>
  </w:style>
  <w:style w:type="paragraph" w:styleId="21">
    <w:name w:val="Body Text 2"/>
    <w:basedOn w:val="1"/>
    <w:qFormat/>
    <w:uiPriority w:val="0"/>
    <w:pPr>
      <w:spacing w:line="400" w:lineRule="exact"/>
    </w:pPr>
    <w:rPr>
      <w:sz w:val="28"/>
    </w:rPr>
  </w:style>
  <w:style w:type="paragraph" w:styleId="22">
    <w:name w:val="Normal (Web)"/>
    <w:basedOn w:val="1"/>
    <w:unhideWhenUsed/>
    <w:qFormat/>
    <w:uiPriority w:val="99"/>
    <w:pPr>
      <w:widowControl/>
      <w:spacing w:before="100" w:beforeAutospacing="1" w:after="100" w:afterAutospacing="1"/>
      <w:jc w:val="left"/>
    </w:pPr>
    <w:rPr>
      <w:rFonts w:hAnsi="宋体" w:cs="宋体"/>
      <w:color w:val="auto"/>
      <w:kern w:val="0"/>
      <w:sz w:val="24"/>
      <w:szCs w:val="24"/>
    </w:rPr>
  </w:style>
  <w:style w:type="paragraph" w:styleId="23">
    <w:name w:val="Title"/>
    <w:basedOn w:val="1"/>
    <w:next w:val="1"/>
    <w:link w:val="57"/>
    <w:qFormat/>
    <w:uiPriority w:val="0"/>
    <w:pPr>
      <w:spacing w:beforeLines="100" w:afterLines="100" w:line="360" w:lineRule="auto"/>
      <w:ind w:left="100" w:leftChars="100" w:right="100" w:rightChars="100"/>
      <w:jc w:val="center"/>
      <w:outlineLvl w:val="0"/>
    </w:pPr>
    <w:rPr>
      <w:rFonts w:ascii="Cambria" w:hAnsi="Cambria" w:eastAsia="仿宋_GB2312"/>
      <w:b/>
      <w:bCs/>
      <w:color w:val="auto"/>
      <w:sz w:val="32"/>
      <w:szCs w:val="44"/>
    </w:rPr>
  </w:style>
  <w:style w:type="paragraph" w:styleId="24">
    <w:name w:val="annotation subject"/>
    <w:basedOn w:val="7"/>
    <w:next w:val="7"/>
    <w:link w:val="56"/>
    <w:qFormat/>
    <w:uiPriority w:val="0"/>
    <w:pPr>
      <w:adjustRightInd/>
      <w:spacing w:line="240" w:lineRule="auto"/>
      <w:textAlignment w:val="auto"/>
    </w:pPr>
    <w:rPr>
      <w:rFonts w:ascii="宋体"/>
      <w:b/>
      <w:bCs/>
      <w:color w:val="000000"/>
      <w:spacing w:val="0"/>
      <w:kern w:val="2"/>
      <w:sz w:val="21"/>
      <w:szCs w:val="2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Emphasis"/>
    <w:basedOn w:val="27"/>
    <w:qFormat/>
    <w:uiPriority w:val="0"/>
    <w:rPr>
      <w:i/>
      <w:iCs/>
    </w:rPr>
  </w:style>
  <w:style w:type="character" w:styleId="31">
    <w:name w:val="Hyperlink"/>
    <w:basedOn w:val="27"/>
    <w:qFormat/>
    <w:uiPriority w:val="99"/>
    <w:rPr>
      <w:color w:val="0000FF"/>
      <w:u w:val="single"/>
    </w:rPr>
  </w:style>
  <w:style w:type="character" w:styleId="32">
    <w:name w:val="annotation reference"/>
    <w:basedOn w:val="27"/>
    <w:qFormat/>
    <w:uiPriority w:val="0"/>
    <w:rPr>
      <w:sz w:val="21"/>
      <w:szCs w:val="21"/>
    </w:rPr>
  </w:style>
  <w:style w:type="character" w:styleId="33">
    <w:name w:val="footnote reference"/>
    <w:basedOn w:val="27"/>
    <w:semiHidden/>
    <w:qFormat/>
    <w:uiPriority w:val="0"/>
    <w:rPr>
      <w:vertAlign w:val="superscript"/>
    </w:rPr>
  </w:style>
  <w:style w:type="character" w:customStyle="1" w:styleId="34">
    <w:name w:val="页脚 Char"/>
    <w:basedOn w:val="27"/>
    <w:link w:val="14"/>
    <w:qFormat/>
    <w:uiPriority w:val="99"/>
    <w:rPr>
      <w:rFonts w:ascii="宋体"/>
      <w:color w:val="000000"/>
      <w:kern w:val="2"/>
      <w:sz w:val="18"/>
      <w:szCs w:val="18"/>
    </w:rPr>
  </w:style>
  <w:style w:type="character" w:customStyle="1" w:styleId="35">
    <w:name w:val="标题 1 Char"/>
    <w:link w:val="4"/>
    <w:qFormat/>
    <w:uiPriority w:val="9"/>
    <w:rPr>
      <w:rFonts w:ascii="宋体"/>
      <w:b/>
      <w:bCs/>
      <w:color w:val="000000"/>
      <w:kern w:val="44"/>
      <w:sz w:val="44"/>
      <w:szCs w:val="44"/>
    </w:rPr>
  </w:style>
  <w:style w:type="character" w:customStyle="1" w:styleId="36">
    <w:name w:val="批注文字 Char"/>
    <w:basedOn w:val="27"/>
    <w:link w:val="7"/>
    <w:qFormat/>
    <w:uiPriority w:val="0"/>
    <w:rPr>
      <w:spacing w:val="-30"/>
      <w:kern w:val="28"/>
      <w:sz w:val="28"/>
      <w:szCs w:val="21"/>
    </w:rPr>
  </w:style>
  <w:style w:type="character" w:customStyle="1" w:styleId="37">
    <w:name w:val="纯文本 Char1"/>
    <w:basedOn w:val="27"/>
    <w:link w:val="10"/>
    <w:qFormat/>
    <w:uiPriority w:val="0"/>
    <w:rPr>
      <w:rFonts w:ascii="宋体" w:hAnsi="Courier New" w:cs="Courier New"/>
      <w:color w:val="000000"/>
      <w:kern w:val="2"/>
      <w:sz w:val="21"/>
      <w:szCs w:val="21"/>
    </w:rPr>
  </w:style>
  <w:style w:type="character" w:customStyle="1" w:styleId="38">
    <w:name w:val="日期 Char"/>
    <w:basedOn w:val="27"/>
    <w:link w:val="11"/>
    <w:qFormat/>
    <w:uiPriority w:val="0"/>
    <w:rPr>
      <w:rFonts w:ascii="宋体"/>
      <w:color w:val="000000"/>
      <w:kern w:val="2"/>
      <w:sz w:val="21"/>
    </w:rPr>
  </w:style>
  <w:style w:type="character" w:customStyle="1" w:styleId="39">
    <w:name w:val="正文文本缩进 2 Char"/>
    <w:basedOn w:val="27"/>
    <w:link w:val="12"/>
    <w:qFormat/>
    <w:uiPriority w:val="0"/>
    <w:rPr>
      <w:rFonts w:ascii="宋体"/>
      <w:color w:val="000000"/>
      <w:kern w:val="2"/>
      <w:sz w:val="21"/>
    </w:rPr>
  </w:style>
  <w:style w:type="character" w:customStyle="1" w:styleId="40">
    <w:name w:val="批注框文本 Char"/>
    <w:basedOn w:val="27"/>
    <w:link w:val="13"/>
    <w:qFormat/>
    <w:uiPriority w:val="0"/>
    <w:rPr>
      <w:rFonts w:ascii="宋体"/>
      <w:color w:val="000000"/>
      <w:kern w:val="2"/>
      <w:sz w:val="18"/>
      <w:szCs w:val="18"/>
    </w:rPr>
  </w:style>
  <w:style w:type="character" w:customStyle="1" w:styleId="41">
    <w:name w:val="页眉 Char"/>
    <w:basedOn w:val="27"/>
    <w:link w:val="15"/>
    <w:qFormat/>
    <w:uiPriority w:val="0"/>
    <w:rPr>
      <w:rFonts w:ascii="宋体"/>
      <w:color w:val="000000"/>
      <w:kern w:val="2"/>
      <w:sz w:val="18"/>
      <w:szCs w:val="18"/>
    </w:rPr>
  </w:style>
  <w:style w:type="character" w:customStyle="1" w:styleId="42">
    <w:name w:val="副标题 Char"/>
    <w:basedOn w:val="27"/>
    <w:link w:val="17"/>
    <w:qFormat/>
    <w:uiPriority w:val="0"/>
    <w:rPr>
      <w:rFonts w:ascii="宋体" w:hAnsi="宋体" w:cs="宋体"/>
      <w:sz w:val="24"/>
      <w:lang w:val="en-US" w:eastAsia="zh-CN" w:bidi="ar-SA"/>
    </w:rPr>
  </w:style>
  <w:style w:type="character" w:customStyle="1" w:styleId="43">
    <w:name w:val="font21"/>
    <w:basedOn w:val="27"/>
    <w:qFormat/>
    <w:uiPriority w:val="0"/>
    <w:rPr>
      <w:rFonts w:hint="eastAsia" w:ascii="宋体" w:hAnsi="宋体" w:eastAsia="宋体" w:cs="宋体"/>
      <w:color w:val="000000"/>
      <w:sz w:val="24"/>
      <w:szCs w:val="24"/>
      <w:u w:val="none"/>
    </w:rPr>
  </w:style>
  <w:style w:type="character" w:customStyle="1" w:styleId="44">
    <w:name w:val="apple-converted-space"/>
    <w:basedOn w:val="27"/>
    <w:qFormat/>
    <w:uiPriority w:val="0"/>
  </w:style>
  <w:style w:type="character" w:customStyle="1" w:styleId="45">
    <w:name w:val="description"/>
    <w:basedOn w:val="27"/>
    <w:qFormat/>
    <w:uiPriority w:val="0"/>
  </w:style>
  <w:style w:type="character" w:customStyle="1" w:styleId="46">
    <w:name w:val="font41"/>
    <w:basedOn w:val="27"/>
    <w:qFormat/>
    <w:uiPriority w:val="0"/>
    <w:rPr>
      <w:rFonts w:hint="eastAsia" w:ascii="宋体" w:hAnsi="宋体" w:eastAsia="宋体" w:cs="宋体"/>
      <w:b/>
      <w:color w:val="000000"/>
      <w:sz w:val="20"/>
      <w:szCs w:val="20"/>
      <w:u w:val="none"/>
    </w:rPr>
  </w:style>
  <w:style w:type="paragraph" w:customStyle="1" w:styleId="47">
    <w:name w:val="Char1"/>
    <w:basedOn w:val="1"/>
    <w:qFormat/>
    <w:uiPriority w:val="0"/>
    <w:rPr>
      <w:rFonts w:ascii="Tahoma" w:hAnsi="Tahoma"/>
      <w:color w:val="auto"/>
      <w:sz w:val="24"/>
    </w:rPr>
  </w:style>
  <w:style w:type="paragraph" w:customStyle="1" w:styleId="48">
    <w:name w:val="样式1"/>
    <w:basedOn w:val="1"/>
    <w:qFormat/>
    <w:uiPriority w:val="0"/>
    <w:pPr>
      <w:spacing w:line="520" w:lineRule="exact"/>
      <w:outlineLvl w:val="1"/>
    </w:pPr>
    <w:rPr>
      <w:bCs/>
      <w:color w:val="auto"/>
      <w:sz w:val="28"/>
    </w:rPr>
  </w:style>
  <w:style w:type="paragraph" w:customStyle="1" w:styleId="49">
    <w:name w:val="Char11"/>
    <w:basedOn w:val="1"/>
    <w:qFormat/>
    <w:uiPriority w:val="0"/>
    <w:rPr>
      <w:rFonts w:ascii="Tahoma" w:hAnsi="Tahoma"/>
      <w:color w:val="auto"/>
      <w:sz w:val="24"/>
    </w:rPr>
  </w:style>
  <w:style w:type="character" w:customStyle="1" w:styleId="50">
    <w:name w:val="纯文本 Char"/>
    <w:qFormat/>
    <w:uiPriority w:val="0"/>
    <w:rPr>
      <w:rFonts w:ascii="宋体" w:hAnsi="Courier New"/>
      <w:kern w:val="2"/>
      <w:sz w:val="21"/>
      <w:szCs w:val="21"/>
    </w:rPr>
  </w:style>
  <w:style w:type="paragraph" w:customStyle="1" w:styleId="51">
    <w:name w:val="one-p"/>
    <w:basedOn w:val="1"/>
    <w:qFormat/>
    <w:uiPriority w:val="0"/>
    <w:pPr>
      <w:widowControl/>
      <w:spacing w:before="100" w:beforeAutospacing="1" w:after="100" w:afterAutospacing="1"/>
      <w:jc w:val="left"/>
    </w:pPr>
    <w:rPr>
      <w:rFonts w:hAnsi="宋体" w:cs="宋体"/>
      <w:color w:val="auto"/>
      <w:kern w:val="0"/>
      <w:sz w:val="24"/>
      <w:szCs w:val="24"/>
    </w:rPr>
  </w:style>
  <w:style w:type="character" w:customStyle="1" w:styleId="52">
    <w:name w:val="标题 2 Char"/>
    <w:basedOn w:val="27"/>
    <w:link w:val="5"/>
    <w:qFormat/>
    <w:uiPriority w:val="0"/>
    <w:rPr>
      <w:rFonts w:ascii="Arial" w:hAnsi="Arial" w:eastAsia="黑体"/>
      <w:b/>
      <w:bCs/>
      <w:kern w:val="2"/>
      <w:sz w:val="32"/>
      <w:szCs w:val="32"/>
    </w:rPr>
  </w:style>
  <w:style w:type="character" w:customStyle="1" w:styleId="53">
    <w:name w:val="font01"/>
    <w:basedOn w:val="27"/>
    <w:qFormat/>
    <w:uiPriority w:val="0"/>
    <w:rPr>
      <w:rFonts w:hint="eastAsia" w:ascii="宋体" w:hAnsi="宋体" w:eastAsia="宋体" w:cs="宋体"/>
      <w:color w:val="000000"/>
      <w:sz w:val="22"/>
      <w:szCs w:val="22"/>
      <w:u w:val="none"/>
      <w:vertAlign w:val="superscript"/>
    </w:rPr>
  </w:style>
  <w:style w:type="character" w:customStyle="1" w:styleId="54">
    <w:name w:val="font11"/>
    <w:basedOn w:val="27"/>
    <w:qFormat/>
    <w:uiPriority w:val="0"/>
    <w:rPr>
      <w:rFonts w:ascii="Arial Unicode MS" w:hAnsi="Arial Unicode MS" w:eastAsia="Arial Unicode MS" w:cs="Arial Unicode MS"/>
      <w:color w:val="000000"/>
      <w:sz w:val="22"/>
      <w:szCs w:val="22"/>
      <w:u w:val="none"/>
      <w:vertAlign w:val="superscript"/>
    </w:rPr>
  </w:style>
  <w:style w:type="character" w:customStyle="1" w:styleId="55">
    <w:name w:val="批注主题 Char"/>
    <w:basedOn w:val="36"/>
    <w:link w:val="24"/>
    <w:qFormat/>
    <w:uiPriority w:val="0"/>
    <w:rPr>
      <w:rFonts w:ascii="宋体"/>
      <w:b/>
      <w:bCs/>
      <w:color w:val="000000"/>
      <w:kern w:val="2"/>
      <w:sz w:val="21"/>
    </w:rPr>
  </w:style>
  <w:style w:type="character" w:customStyle="1" w:styleId="56">
    <w:name w:val="批注主题 Char1"/>
    <w:basedOn w:val="36"/>
    <w:link w:val="24"/>
    <w:qFormat/>
    <w:uiPriority w:val="0"/>
    <w:rPr>
      <w:rFonts w:ascii="宋体"/>
      <w:b/>
      <w:bCs/>
      <w:color w:val="000000"/>
      <w:kern w:val="2"/>
      <w:sz w:val="21"/>
    </w:rPr>
  </w:style>
  <w:style w:type="character" w:customStyle="1" w:styleId="57">
    <w:name w:val="标题 Char"/>
    <w:basedOn w:val="27"/>
    <w:link w:val="23"/>
    <w:qFormat/>
    <w:uiPriority w:val="0"/>
    <w:rPr>
      <w:rFonts w:ascii="Cambria" w:hAnsi="Cambria" w:eastAsia="仿宋_GB2312"/>
      <w:b/>
      <w:bCs/>
      <w:kern w:val="2"/>
      <w:sz w:val="32"/>
      <w:szCs w:val="44"/>
    </w:rPr>
  </w:style>
  <w:style w:type="paragraph" w:customStyle="1" w:styleId="58">
    <w:name w:val="Char12"/>
    <w:basedOn w:val="1"/>
    <w:qFormat/>
    <w:uiPriority w:val="0"/>
    <w:rPr>
      <w:rFonts w:ascii="Tahoma" w:hAnsi="Tahoma"/>
      <w:color w:val="auto"/>
      <w:sz w:val="24"/>
    </w:rPr>
  </w:style>
  <w:style w:type="paragraph" w:customStyle="1" w:styleId="59">
    <w:name w:val="ZW"/>
    <w:basedOn w:val="1"/>
    <w:qFormat/>
    <w:uiPriority w:val="0"/>
    <w:pPr>
      <w:adjustRightInd w:val="0"/>
      <w:spacing w:line="440" w:lineRule="atLeast"/>
      <w:ind w:firstLine="601"/>
      <w:textAlignment w:val="baseline"/>
    </w:pPr>
    <w:rPr>
      <w:rFonts w:ascii="Arial Narrow" w:eastAsia="昆仑楷体"/>
      <w:kern w:val="0"/>
      <w:sz w:val="28"/>
    </w:rPr>
  </w:style>
  <w:style w:type="paragraph" w:customStyle="1" w:styleId="60">
    <w:name w:val="文本"/>
    <w:qFormat/>
    <w:uiPriority w:val="0"/>
    <w:pPr>
      <w:spacing w:line="360" w:lineRule="auto"/>
      <w:ind w:firstLine="200" w:firstLineChars="200"/>
      <w:jc w:val="both"/>
    </w:pPr>
    <w:rPr>
      <w:rFonts w:ascii="Times New Roman" w:hAnsi="Times New Roman" w:eastAsia="仿宋_GB2312" w:cstheme="minorBidi"/>
      <w:kern w:val="44"/>
      <w:sz w:val="24"/>
      <w:szCs w:val="44"/>
      <w:lang w:val="en-US" w:eastAsia="zh-CN" w:bidi="ar-SA"/>
    </w:rPr>
  </w:style>
  <w:style w:type="paragraph" w:customStyle="1" w:styleId="61">
    <w:name w:val="表标题"/>
    <w:basedOn w:val="62"/>
    <w:next w:val="60"/>
    <w:qFormat/>
    <w:uiPriority w:val="0"/>
    <w:rPr>
      <w:rFonts w:cs="Times New Roman"/>
    </w:rPr>
  </w:style>
  <w:style w:type="paragraph" w:styleId="62">
    <w:name w:val="No Spacing"/>
    <w:basedOn w:val="1"/>
    <w:next w:val="1"/>
    <w:qFormat/>
    <w:uiPriority w:val="1"/>
    <w:pPr>
      <w:spacing w:line="360" w:lineRule="auto"/>
      <w:jc w:val="center"/>
    </w:pPr>
    <w:rPr>
      <w:rFonts w:eastAsia="黑体"/>
      <w:sz w:val="21"/>
    </w:rPr>
  </w:style>
  <w:style w:type="paragraph" w:customStyle="1" w:styleId="63">
    <w:name w:val="表格"/>
    <w:basedOn w:val="64"/>
    <w:next w:val="60"/>
    <w:qFormat/>
    <w:uiPriority w:val="0"/>
    <w:pPr>
      <w:spacing w:line="240" w:lineRule="auto"/>
    </w:pPr>
    <w:rPr>
      <w:sz w:val="21"/>
      <w:szCs w:val="21"/>
    </w:rPr>
  </w:style>
  <w:style w:type="paragraph" w:customStyle="1" w:styleId="64">
    <w:name w:val="图片"/>
    <w:basedOn w:val="60"/>
    <w:qFormat/>
    <w:uiPriority w:val="0"/>
    <w:pPr>
      <w:ind w:firstLine="0" w:firstLineChars="0"/>
      <w:jc w:val="center"/>
    </w:pPr>
  </w:style>
  <w:style w:type="paragraph" w:customStyle="1" w:styleId="65">
    <w:name w:val="表格文本"/>
    <w:basedOn w:val="1"/>
    <w:qFormat/>
    <w:uiPriority w:val="0"/>
    <w:pPr>
      <w:widowControl/>
      <w:jc w:val="center"/>
    </w:pPr>
    <w:rPr>
      <w:rFonts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6"/>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23282</Words>
  <Characters>26687</Characters>
  <Lines>342</Lines>
  <Paragraphs>96</Paragraphs>
  <TotalTime>103</TotalTime>
  <ScaleCrop>false</ScaleCrop>
  <LinksUpToDate>false</LinksUpToDate>
  <CharactersWithSpaces>27370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2022-06-22T09:08:00Z</dcterms:created>
  <dc:creator>A宁宁</dc:creator>
  <cp:lastModifiedBy>Lenovo</cp:lastModifiedBy>
  <cp:lastPrinted>2022-10-17T03:45:36Z</cp:lastPrinted>
  <dcterms:modified xsi:type="dcterms:W3CDTF">2022-10-17T09:07:17Z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1B33D31F30A7407998E7CE50551AFCAC</vt:lpwstr>
  </property>
</Properties>
</file>