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Theme="minorEastAsia" w:hAnsiTheme="minorEastAsia"/>
          <w:b/>
          <w:sz w:val="20"/>
          <w:szCs w:val="20"/>
        </w:rPr>
      </w:pPr>
      <w:r>
        <w:rPr>
          <w:rFonts w:hint="eastAsia" w:asciiTheme="minorEastAsia" w:hAnsiTheme="minorEastAsia"/>
          <w:b/>
          <w:sz w:val="20"/>
          <w:szCs w:val="20"/>
        </w:rPr>
        <w:t>No:462415886775</w:t>
      </w:r>
    </w:p>
    <w:p>
      <w:pPr>
        <w:spacing w:line="360" w:lineRule="auto"/>
        <w:jc w:val="left"/>
        <w:rPr>
          <w:rFonts w:asciiTheme="minorEastAsia" w:hAnsiTheme="minorEastAsia"/>
          <w:b/>
        </w:rPr>
      </w:pPr>
    </w:p>
    <w:p>
      <w:pPr>
        <w:spacing w:line="360" w:lineRule="auto"/>
        <w:jc w:val="left"/>
        <w:rPr>
          <w:rFonts w:asciiTheme="minorEastAsia" w:hAnsiTheme="minorEastAsia"/>
          <w:b/>
        </w:rPr>
      </w:pPr>
    </w:p>
    <w:p>
      <w:pPr>
        <w:pStyle w:val="46"/>
      </w:pPr>
    </w:p>
    <w:p>
      <w:pPr>
        <w:pStyle w:val="46"/>
      </w:pPr>
    </w:p>
    <w:p>
      <w:pPr>
        <w:pStyle w:val="46"/>
      </w:pPr>
    </w:p>
    <w:p>
      <w:pPr>
        <w:pStyle w:val="46"/>
      </w:pPr>
    </w:p>
    <w:p>
      <w:pPr>
        <w:pStyle w:val="46"/>
      </w:pPr>
      <w:r>
        <w:rPr>
          <w:rFonts w:hint="eastAsia"/>
        </w:rPr>
        <w:t>涉执房地产处置司法</w:t>
      </w:r>
      <w:r>
        <w:t>估价报告</w:t>
      </w:r>
    </w:p>
    <w:p>
      <w:pPr>
        <w:pStyle w:val="46"/>
      </w:pPr>
    </w:p>
    <w:p>
      <w:pPr>
        <w:pStyle w:val="46"/>
      </w:pPr>
    </w:p>
    <w:p>
      <w:pPr>
        <w:pStyle w:val="46"/>
      </w:pPr>
    </w:p>
    <w:p>
      <w:pPr>
        <w:pStyle w:val="46"/>
      </w:pPr>
    </w:p>
    <w:p>
      <w:pPr>
        <w:pStyle w:val="46"/>
      </w:pPr>
    </w:p>
    <w:tbl>
      <w:tblPr>
        <w:tblStyle w:val="31"/>
        <w:tblW w:w="9356" w:type="dxa"/>
        <w:tblInd w:w="-459" w:type="dxa"/>
        <w:tblLayout w:type="autofit"/>
        <w:tblCellMar>
          <w:top w:w="0" w:type="dxa"/>
          <w:left w:w="108" w:type="dxa"/>
          <w:bottom w:w="0" w:type="dxa"/>
          <w:right w:w="108" w:type="dxa"/>
        </w:tblCellMar>
      </w:tblPr>
      <w:tblGrid>
        <w:gridCol w:w="2977"/>
        <w:gridCol w:w="6379"/>
      </w:tblGrid>
      <w:tr>
        <w:tblPrEx>
          <w:tblCellMar>
            <w:top w:w="0" w:type="dxa"/>
            <w:left w:w="108" w:type="dxa"/>
            <w:bottom w:w="0" w:type="dxa"/>
            <w:right w:w="108" w:type="dxa"/>
          </w:tblCellMar>
        </w:tblPrEx>
        <w:tc>
          <w:tcPr>
            <w:tcW w:w="2977" w:type="dxa"/>
          </w:tcPr>
          <w:p>
            <w:pPr>
              <w:pStyle w:val="47"/>
            </w:pPr>
            <w:r>
              <w:rPr>
                <w:rFonts w:hint="eastAsia"/>
              </w:rPr>
              <w:t>估价项目名称：</w:t>
            </w:r>
          </w:p>
        </w:tc>
        <w:tc>
          <w:tcPr>
            <w:tcW w:w="6379" w:type="dxa"/>
          </w:tcPr>
          <w:p>
            <w:pPr>
              <w:pStyle w:val="48"/>
            </w:pPr>
            <w:r>
              <w:rPr>
                <w:rFonts w:hint="eastAsia"/>
              </w:rPr>
              <w:t>湖北省武汉市江夏区藏龙岛办事处三和光谷道二期6栋1单元8层4室住宅房地产市场价值</w:t>
            </w:r>
            <w:r>
              <w:t>评估</w:t>
            </w:r>
          </w:p>
        </w:tc>
      </w:tr>
      <w:tr>
        <w:tblPrEx>
          <w:tblCellMar>
            <w:top w:w="0" w:type="dxa"/>
            <w:left w:w="108" w:type="dxa"/>
            <w:bottom w:w="0" w:type="dxa"/>
            <w:right w:w="108" w:type="dxa"/>
          </w:tblCellMar>
        </w:tblPrEx>
        <w:tc>
          <w:tcPr>
            <w:tcW w:w="2977" w:type="dxa"/>
          </w:tcPr>
          <w:p>
            <w:pPr>
              <w:pStyle w:val="47"/>
            </w:pPr>
            <w:r>
              <w:rPr>
                <w:rFonts w:hint="eastAsia"/>
              </w:rPr>
              <w:t>估价报告编号：</w:t>
            </w:r>
          </w:p>
        </w:tc>
        <w:tc>
          <w:tcPr>
            <w:tcW w:w="6379" w:type="dxa"/>
          </w:tcPr>
          <w:p>
            <w:pPr>
              <w:pStyle w:val="48"/>
            </w:pPr>
            <w:r>
              <w:t>仁达房估字【20</w:t>
            </w:r>
            <w:r>
              <w:rPr>
                <w:rFonts w:hint="eastAsia"/>
              </w:rPr>
              <w:t>22</w:t>
            </w:r>
            <w:r>
              <w:t>】第</w:t>
            </w:r>
            <w:r>
              <w:rPr>
                <w:rFonts w:hint="eastAsia"/>
              </w:rPr>
              <w:t>202213101002041</w:t>
            </w:r>
            <w:r>
              <w:t>号</w:t>
            </w:r>
          </w:p>
        </w:tc>
      </w:tr>
      <w:tr>
        <w:tblPrEx>
          <w:tblCellMar>
            <w:top w:w="0" w:type="dxa"/>
            <w:left w:w="108" w:type="dxa"/>
            <w:bottom w:w="0" w:type="dxa"/>
            <w:right w:w="108" w:type="dxa"/>
          </w:tblCellMar>
        </w:tblPrEx>
        <w:tc>
          <w:tcPr>
            <w:tcW w:w="2977" w:type="dxa"/>
          </w:tcPr>
          <w:p>
            <w:pPr>
              <w:pStyle w:val="47"/>
            </w:pPr>
            <w:r>
              <w:rPr>
                <w:rFonts w:hint="eastAsia"/>
              </w:rPr>
              <w:t>估价委托人：</w:t>
            </w:r>
          </w:p>
        </w:tc>
        <w:tc>
          <w:tcPr>
            <w:tcW w:w="6379" w:type="dxa"/>
          </w:tcPr>
          <w:p>
            <w:pPr>
              <w:pStyle w:val="48"/>
            </w:pPr>
            <w:r>
              <w:rPr>
                <w:rFonts w:hint="eastAsia"/>
              </w:rPr>
              <w:t>武汉市江夏区人民法院</w:t>
            </w:r>
          </w:p>
        </w:tc>
      </w:tr>
      <w:tr>
        <w:tblPrEx>
          <w:tblCellMar>
            <w:top w:w="0" w:type="dxa"/>
            <w:left w:w="108" w:type="dxa"/>
            <w:bottom w:w="0" w:type="dxa"/>
            <w:right w:w="108" w:type="dxa"/>
          </w:tblCellMar>
        </w:tblPrEx>
        <w:tc>
          <w:tcPr>
            <w:tcW w:w="2977" w:type="dxa"/>
          </w:tcPr>
          <w:p>
            <w:pPr>
              <w:pStyle w:val="47"/>
            </w:pPr>
            <w:r>
              <w:rPr>
                <w:rFonts w:hint="eastAsia"/>
              </w:rPr>
              <w:t>房地产估价机构：</w:t>
            </w:r>
          </w:p>
        </w:tc>
        <w:tc>
          <w:tcPr>
            <w:tcW w:w="6379" w:type="dxa"/>
          </w:tcPr>
          <w:p>
            <w:pPr>
              <w:pStyle w:val="48"/>
            </w:pPr>
            <w:r>
              <w:rPr>
                <w:rFonts w:hint="eastAsia"/>
              </w:rPr>
              <w:t>北京仁达房地产土地资产评估有限公司</w:t>
            </w:r>
          </w:p>
        </w:tc>
      </w:tr>
      <w:tr>
        <w:tblPrEx>
          <w:tblCellMar>
            <w:top w:w="0" w:type="dxa"/>
            <w:left w:w="108" w:type="dxa"/>
            <w:bottom w:w="0" w:type="dxa"/>
            <w:right w:w="108" w:type="dxa"/>
          </w:tblCellMar>
        </w:tblPrEx>
        <w:tc>
          <w:tcPr>
            <w:tcW w:w="2977" w:type="dxa"/>
          </w:tcPr>
          <w:p>
            <w:pPr>
              <w:pStyle w:val="47"/>
            </w:pPr>
            <w:r>
              <w:rPr>
                <w:rFonts w:hint="eastAsia"/>
              </w:rPr>
              <w:t>注册房地产估价师：</w:t>
            </w:r>
          </w:p>
        </w:tc>
        <w:tc>
          <w:tcPr>
            <w:tcW w:w="6379" w:type="dxa"/>
          </w:tcPr>
          <w:p>
            <w:pPr>
              <w:pStyle w:val="48"/>
              <w:rPr>
                <w:rFonts w:cs="Times New Roman"/>
                <w:bCs/>
                <w:snapToGrid w:val="0"/>
                <w:kern w:val="0"/>
                <w:szCs w:val="32"/>
              </w:rPr>
            </w:pPr>
            <w:r>
              <w:rPr>
                <w:rFonts w:hint="eastAsia" w:cs="Times New Roman"/>
                <w:bCs/>
                <w:snapToGrid w:val="0"/>
                <w:kern w:val="0"/>
                <w:szCs w:val="32"/>
              </w:rPr>
              <w:t>向存祥（注册号：4220210109）</w:t>
            </w:r>
          </w:p>
          <w:p>
            <w:pPr>
              <w:pStyle w:val="48"/>
            </w:pPr>
            <w:r>
              <w:rPr>
                <w:rFonts w:hint="eastAsia" w:cs="Times New Roman"/>
                <w:bCs/>
                <w:snapToGrid w:val="0"/>
                <w:kern w:val="0"/>
                <w:szCs w:val="32"/>
              </w:rPr>
              <w:t>王  强（注册号：4220210029）</w:t>
            </w:r>
          </w:p>
        </w:tc>
      </w:tr>
      <w:tr>
        <w:tblPrEx>
          <w:tblCellMar>
            <w:top w:w="0" w:type="dxa"/>
            <w:left w:w="108" w:type="dxa"/>
            <w:bottom w:w="0" w:type="dxa"/>
            <w:right w:w="108" w:type="dxa"/>
          </w:tblCellMar>
        </w:tblPrEx>
        <w:tc>
          <w:tcPr>
            <w:tcW w:w="2977" w:type="dxa"/>
          </w:tcPr>
          <w:p>
            <w:pPr>
              <w:pStyle w:val="47"/>
            </w:pPr>
            <w:r>
              <w:rPr>
                <w:rFonts w:hint="eastAsia"/>
              </w:rPr>
              <w:t>估价报告出具日期：</w:t>
            </w:r>
          </w:p>
        </w:tc>
        <w:tc>
          <w:tcPr>
            <w:tcW w:w="6379" w:type="dxa"/>
          </w:tcPr>
          <w:p>
            <w:pPr>
              <w:pStyle w:val="48"/>
            </w:pPr>
            <w:r>
              <w:rPr>
                <w:rFonts w:hint="eastAsia"/>
              </w:rPr>
              <w:t>二〇二二年八月三十一日</w:t>
            </w:r>
          </w:p>
        </w:tc>
      </w:tr>
    </w:tbl>
    <w:p>
      <w:r>
        <w:br w:type="page"/>
      </w:r>
    </w:p>
    <w:p>
      <w:pPr>
        <w:spacing w:beforeLines="50" w:afterLines="50" w:line="500" w:lineRule="exact"/>
        <w:jc w:val="center"/>
        <w:rPr>
          <w:rFonts w:ascii="楷体" w:hAnsi="楷体" w:eastAsia="楷体"/>
          <w:b/>
          <w:sz w:val="32"/>
          <w:szCs w:val="32"/>
        </w:rPr>
      </w:pPr>
      <w:bookmarkStart w:id="0" w:name="_Toc318818624"/>
      <w:r>
        <w:rPr>
          <w:rFonts w:hint="eastAsia" w:ascii="楷体" w:hAnsi="楷体" w:eastAsia="楷体"/>
          <w:b/>
          <w:sz w:val="32"/>
          <w:szCs w:val="32"/>
        </w:rPr>
        <w:t>致估价委托人函</w:t>
      </w:r>
      <w:bookmarkEnd w:id="0"/>
    </w:p>
    <w:p>
      <w:pPr>
        <w:spacing w:line="500" w:lineRule="exact"/>
        <w:rPr>
          <w:rFonts w:ascii="楷体" w:hAnsi="楷体" w:eastAsia="楷体"/>
          <w:sz w:val="28"/>
          <w:szCs w:val="28"/>
        </w:rPr>
      </w:pPr>
      <w:r>
        <w:rPr>
          <w:rFonts w:hint="eastAsia" w:ascii="楷体" w:hAnsi="楷体" w:eastAsia="楷体"/>
          <w:sz w:val="28"/>
          <w:szCs w:val="28"/>
        </w:rPr>
        <w:t>武汉市江夏区人民法院：</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承蒙委托，我公司对位于湖北省武汉市江夏区藏龙岛办事处三和光谷道二期6栋1单元8层4室住宅</w:t>
      </w:r>
      <w:r>
        <w:rPr>
          <w:rFonts w:ascii="楷体" w:hAnsi="楷体" w:eastAsia="楷体"/>
          <w:sz w:val="28"/>
          <w:szCs w:val="28"/>
        </w:rPr>
        <w:t>房地产市场价值进行了评估，为人民法院确定财产处置参考价提供参考依据。</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我们实施了评估所必须的各项程序，按照国家关于房地产评估的有关规定，运用比较法、收益法评估得到估价对象于价值时点2022年8月23日，在价值定义和估价假设限制条件下的估价结果如下：</w:t>
      </w:r>
    </w:p>
    <w:p>
      <w:pPr>
        <w:spacing w:line="500" w:lineRule="exact"/>
        <w:ind w:firstLine="562" w:firstLineChars="200"/>
        <w:rPr>
          <w:rFonts w:ascii="楷体" w:hAnsi="楷体" w:eastAsia="楷体"/>
          <w:b/>
          <w:bCs/>
          <w:sz w:val="28"/>
          <w:szCs w:val="28"/>
        </w:rPr>
      </w:pPr>
      <w:r>
        <w:rPr>
          <w:rFonts w:ascii="楷体" w:hAnsi="楷体" w:eastAsia="楷体"/>
          <w:b/>
          <w:bCs/>
          <w:sz w:val="28"/>
          <w:szCs w:val="28"/>
        </w:rPr>
        <w:t>建筑面积：</w:t>
      </w:r>
      <w:r>
        <w:rPr>
          <w:rFonts w:hint="eastAsia" w:ascii="楷体" w:hAnsi="楷体" w:eastAsia="楷体"/>
          <w:b/>
          <w:bCs/>
          <w:sz w:val="28"/>
          <w:szCs w:val="28"/>
        </w:rPr>
        <w:t>118.82</w:t>
      </w:r>
      <w:r>
        <w:rPr>
          <w:rFonts w:ascii="楷体" w:hAnsi="楷体" w:eastAsia="楷体"/>
          <w:b/>
          <w:bCs/>
          <w:sz w:val="28"/>
          <w:szCs w:val="28"/>
        </w:rPr>
        <w:t>平方米</w:t>
      </w:r>
    </w:p>
    <w:p>
      <w:pPr>
        <w:spacing w:line="500" w:lineRule="exact"/>
        <w:ind w:firstLine="562" w:firstLineChars="200"/>
        <w:rPr>
          <w:rFonts w:ascii="楷体" w:hAnsi="楷体" w:eastAsia="楷体"/>
          <w:b/>
          <w:sz w:val="28"/>
          <w:szCs w:val="28"/>
        </w:rPr>
      </w:pPr>
      <w:r>
        <w:rPr>
          <w:rFonts w:hint="eastAsia" w:ascii="楷体" w:hAnsi="楷体" w:eastAsia="楷体"/>
          <w:b/>
          <w:sz w:val="28"/>
          <w:szCs w:val="28"/>
        </w:rPr>
        <w:t xml:space="preserve">单位面积房地产价值：15621元/平方米 </w:t>
      </w:r>
    </w:p>
    <w:p>
      <w:pPr>
        <w:spacing w:line="500" w:lineRule="exact"/>
        <w:ind w:firstLine="562" w:firstLineChars="200"/>
        <w:rPr>
          <w:rFonts w:ascii="楷体" w:hAnsi="楷体" w:eastAsia="楷体"/>
          <w:b/>
          <w:sz w:val="28"/>
          <w:szCs w:val="28"/>
        </w:rPr>
      </w:pPr>
      <w:r>
        <w:rPr>
          <w:rFonts w:hint="eastAsia" w:ascii="楷体" w:hAnsi="楷体" w:eastAsia="楷体"/>
          <w:b/>
          <w:sz w:val="28"/>
          <w:szCs w:val="28"/>
        </w:rPr>
        <w:t>房地产价值总额：185.61万元</w:t>
      </w:r>
    </w:p>
    <w:p>
      <w:pPr>
        <w:spacing w:line="500" w:lineRule="exact"/>
        <w:ind w:firstLine="562" w:firstLineChars="200"/>
        <w:rPr>
          <w:rFonts w:ascii="楷体" w:hAnsi="楷体" w:eastAsia="楷体"/>
          <w:b/>
          <w:sz w:val="28"/>
          <w:szCs w:val="28"/>
        </w:rPr>
      </w:pPr>
      <w:r>
        <w:rPr>
          <w:rFonts w:hint="eastAsia" w:ascii="楷体" w:hAnsi="楷体" w:eastAsia="楷体"/>
          <w:b/>
          <w:sz w:val="28"/>
          <w:szCs w:val="28"/>
        </w:rPr>
        <w:t>大写：壹佰捌拾伍万陆仟壹佰元整</w:t>
      </w:r>
      <w:r>
        <w:rPr>
          <w:rFonts w:hint="eastAsia" w:ascii="楷体" w:hAnsi="楷体" w:eastAsia="楷体"/>
          <w:color w:val="FFFFFF" w:themeColor="background1"/>
          <w:sz w:val="16"/>
          <w:szCs w:val="16"/>
        </w:rPr>
        <w:t>公章盖章处</w:t>
      </w:r>
    </w:p>
    <w:p>
      <w:pPr>
        <w:spacing w:line="500" w:lineRule="exact"/>
        <w:ind w:firstLine="562" w:firstLineChars="200"/>
        <w:rPr>
          <w:rFonts w:ascii="楷体" w:hAnsi="楷体" w:eastAsia="楷体"/>
          <w:sz w:val="28"/>
          <w:szCs w:val="28"/>
        </w:rPr>
      </w:pPr>
      <w:r>
        <w:rPr>
          <w:rFonts w:ascii="楷体" w:hAnsi="楷体" w:eastAsia="楷体"/>
          <w:b/>
          <w:sz w:val="28"/>
          <w:szCs w:val="28"/>
        </w:rPr>
        <w:t>（货币种类：人民币）</w:t>
      </w:r>
    </w:p>
    <w:p>
      <w:pPr>
        <w:spacing w:line="500" w:lineRule="exact"/>
        <w:ind w:firstLine="560" w:firstLineChars="200"/>
        <w:rPr>
          <w:rFonts w:ascii="楷体" w:hAnsi="楷体" w:eastAsia="楷体"/>
          <w:sz w:val="28"/>
          <w:szCs w:val="28"/>
        </w:rPr>
      </w:pPr>
      <w:r>
        <w:rPr>
          <w:rFonts w:ascii="楷体" w:hAnsi="楷体" w:eastAsia="楷体"/>
          <w:sz w:val="28"/>
          <w:szCs w:val="28"/>
        </w:rPr>
        <w:t>提示说明:</w:t>
      </w:r>
    </w:p>
    <w:p>
      <w:pPr>
        <w:numPr>
          <w:ilvl w:val="0"/>
          <w:numId w:val="7"/>
        </w:numPr>
        <w:tabs>
          <w:tab w:val="clear" w:pos="879"/>
        </w:tabs>
        <w:spacing w:line="500" w:lineRule="exact"/>
        <w:ind w:firstLine="560" w:firstLineChars="200"/>
        <w:jc w:val="left"/>
        <w:rPr>
          <w:rFonts w:ascii="楷体" w:hAnsi="楷体" w:eastAsia="楷体"/>
          <w:sz w:val="28"/>
          <w:szCs w:val="28"/>
        </w:rPr>
      </w:pPr>
      <w:r>
        <w:rPr>
          <w:rFonts w:hint="eastAsia" w:ascii="楷体" w:hAnsi="楷体" w:eastAsia="楷体"/>
          <w:sz w:val="28"/>
          <w:szCs w:val="28"/>
        </w:rPr>
        <w:t>上述估价结果中不包含估价对象使用及处置时的税金及相关费用，包括买方应缴交易税费、物业费、供暖费、水电气费等及其滞纳金、司法诉讼费用、拍卖佣金等。</w:t>
      </w:r>
    </w:p>
    <w:p>
      <w:pPr>
        <w:numPr>
          <w:ilvl w:val="0"/>
          <w:numId w:val="7"/>
        </w:numPr>
        <w:tabs>
          <w:tab w:val="clear" w:pos="879"/>
        </w:tabs>
        <w:spacing w:line="500" w:lineRule="exact"/>
        <w:ind w:firstLine="560" w:firstLineChars="200"/>
        <w:jc w:val="left"/>
        <w:rPr>
          <w:rFonts w:ascii="楷体" w:hAnsi="楷体" w:eastAsia="楷体"/>
          <w:sz w:val="28"/>
          <w:szCs w:val="28"/>
        </w:rPr>
      </w:pPr>
      <w:r>
        <w:rPr>
          <w:rFonts w:hint="eastAsia" w:ascii="楷体" w:hAnsi="楷体" w:eastAsia="楷体"/>
          <w:sz w:val="28"/>
          <w:szCs w:val="28"/>
        </w:rPr>
        <w:t>根据执行法官确认，本次评估税费负担方式设定为买卖双方各付各税，财产处置费用的处理方式设定为财产处置价款中不扣除财产处置费用。</w:t>
      </w:r>
    </w:p>
    <w:p>
      <w:pPr>
        <w:numPr>
          <w:ilvl w:val="0"/>
          <w:numId w:val="7"/>
        </w:numPr>
        <w:tabs>
          <w:tab w:val="clear" w:pos="879"/>
        </w:tabs>
        <w:spacing w:line="500" w:lineRule="exact"/>
        <w:ind w:firstLine="560" w:firstLineChars="200"/>
        <w:jc w:val="left"/>
        <w:rPr>
          <w:rFonts w:ascii="楷体" w:hAnsi="楷体" w:eastAsia="楷体"/>
          <w:sz w:val="28"/>
          <w:szCs w:val="28"/>
        </w:rPr>
      </w:pPr>
      <w:r>
        <w:rPr>
          <w:rFonts w:ascii="楷体" w:hAnsi="楷体" w:eastAsia="楷体"/>
          <w:sz w:val="28"/>
          <w:szCs w:val="28"/>
        </w:rPr>
        <w:t>以上内容摘自本房地产估价报告书。欲了解本估价项目的全面情况，应认真阅读估价报告书全文。</w:t>
      </w:r>
    </w:p>
    <w:p>
      <w:pPr>
        <w:spacing w:line="540" w:lineRule="exact"/>
        <w:ind w:firstLine="1920" w:firstLineChars="1200"/>
        <w:jc w:val="center"/>
        <w:rPr>
          <w:rFonts w:ascii="楷体" w:hAnsi="楷体" w:eastAsia="楷体"/>
          <w:color w:val="FFFFFF" w:themeColor="background1"/>
          <w:sz w:val="28"/>
          <w:szCs w:val="28"/>
        </w:rPr>
      </w:pPr>
      <w:r>
        <w:rPr>
          <w:rFonts w:hint="eastAsia" w:ascii="楷体" w:hAnsi="楷体" w:eastAsia="楷体"/>
          <w:color w:val="FFFFFF" w:themeColor="background1"/>
          <w:sz w:val="16"/>
          <w:szCs w:val="16"/>
        </w:rPr>
        <w:t>公章盖章处</w:t>
      </w:r>
    </w:p>
    <w:p>
      <w:pPr>
        <w:ind w:firstLine="3360" w:firstLineChars="1200"/>
        <w:rPr>
          <w:rFonts w:ascii="楷体" w:hAnsi="楷体" w:eastAsia="楷体"/>
          <w:sz w:val="28"/>
          <w:szCs w:val="28"/>
        </w:rPr>
      </w:pPr>
      <w:r>
        <w:rPr>
          <w:rFonts w:hint="eastAsia" w:ascii="楷体" w:hAnsi="楷体" w:eastAsia="楷体"/>
          <w:sz w:val="28"/>
          <w:szCs w:val="28"/>
        </w:rPr>
        <w:t>北京仁达房地产土地资产评估有限公司</w:t>
      </w:r>
    </w:p>
    <w:p>
      <w:pPr>
        <w:ind w:firstLine="4760" w:firstLineChars="1700"/>
        <w:rPr>
          <w:rFonts w:ascii="楷体" w:hAnsi="楷体" w:eastAsia="楷体"/>
          <w:color w:val="FFFFFF" w:themeColor="background1"/>
          <w:sz w:val="28"/>
          <w:szCs w:val="28"/>
        </w:rPr>
      </w:pPr>
      <w:r>
        <w:rPr>
          <w:rFonts w:hint="eastAsia" w:ascii="楷体" w:hAnsi="楷体" w:eastAsia="楷体"/>
          <w:sz w:val="28"/>
          <w:szCs w:val="28"/>
        </w:rPr>
        <w:t>法定代表人：</w:t>
      </w:r>
      <w:r>
        <w:rPr>
          <w:rFonts w:hint="eastAsia" w:ascii="楷体" w:hAnsi="楷体" w:eastAsia="楷体"/>
          <w:color w:val="FFFFFF" w:themeColor="background1"/>
          <w:sz w:val="16"/>
          <w:szCs w:val="16"/>
        </w:rPr>
        <w:t>新法人章</w:t>
      </w:r>
    </w:p>
    <w:p>
      <w:pPr>
        <w:ind w:firstLine="4760" w:firstLineChars="1700"/>
        <w:rPr>
          <w:rFonts w:ascii="楷体" w:hAnsi="楷体" w:eastAsia="楷体"/>
          <w:sz w:val="28"/>
          <w:szCs w:val="28"/>
        </w:rPr>
      </w:pPr>
      <w:r>
        <w:rPr>
          <w:rFonts w:hint="eastAsia" w:ascii="楷体" w:hAnsi="楷体" w:eastAsia="楷体"/>
          <w:sz w:val="28"/>
          <w:szCs w:val="28"/>
        </w:rPr>
        <w:t>（签章）</w:t>
      </w:r>
    </w:p>
    <w:p>
      <w:pPr>
        <w:ind w:firstLine="5040" w:firstLineChars="1800"/>
        <w:rPr>
          <w:rFonts w:ascii="楷体" w:hAnsi="楷体" w:eastAsia="楷体"/>
          <w:sz w:val="28"/>
          <w:szCs w:val="28"/>
        </w:rPr>
        <w:sectPr>
          <w:headerReference r:id="rId3" w:type="default"/>
          <w:footerReference r:id="rId4" w:type="default"/>
          <w:pgSz w:w="11906" w:h="16838"/>
          <w:pgMar w:top="1388" w:right="1700" w:bottom="1134" w:left="1797" w:header="709" w:footer="574" w:gutter="0"/>
          <w:pgNumType w:start="0"/>
          <w:cols w:space="425" w:num="1"/>
          <w:titlePg/>
          <w:docGrid w:type="lines" w:linePitch="312" w:charSpace="0"/>
        </w:sectPr>
      </w:pPr>
      <w:r>
        <w:rPr>
          <w:rFonts w:hint="eastAsia" w:ascii="楷体" w:hAnsi="楷体" w:eastAsia="楷体"/>
          <w:sz w:val="28"/>
          <w:szCs w:val="28"/>
        </w:rPr>
        <w:t>二〇二二年八月三十一日</w:t>
      </w:r>
    </w:p>
    <w:p>
      <w:pPr>
        <w:pStyle w:val="54"/>
        <w:spacing w:before="156" w:line="500" w:lineRule="exact"/>
      </w:pPr>
      <w:r>
        <w:rPr>
          <w:rFonts w:hint="eastAsia"/>
        </w:rPr>
        <w:t>目  录</w:t>
      </w:r>
    </w:p>
    <w:p>
      <w:pPr>
        <w:pStyle w:val="22"/>
        <w:tabs>
          <w:tab w:val="right" w:leader="dot" w:pos="8399"/>
        </w:tabs>
        <w:rPr>
          <w:rFonts w:asciiTheme="minorHAnsi" w:hAnsiTheme="minorHAnsi" w:eastAsiaTheme="minorEastAsia"/>
          <w:b w:val="0"/>
          <w:sz w:val="21"/>
          <w:szCs w:val="22"/>
        </w:rPr>
      </w:pPr>
      <w:bookmarkStart w:id="1" w:name="_Toc318818625"/>
      <w:bookmarkStart w:id="2" w:name="_Toc436035294"/>
      <w:r>
        <w:rPr>
          <w:rFonts w:ascii="楷体" w:hAnsi="楷体" w:eastAsia="楷体"/>
          <w:b w:val="0"/>
          <w:sz w:val="32"/>
          <w:szCs w:val="32"/>
        </w:rPr>
        <w:fldChar w:fldCharType="begin"/>
      </w:r>
      <w:r>
        <w:rPr>
          <w:rFonts w:ascii="楷体" w:hAnsi="楷体" w:eastAsia="楷体"/>
          <w:b w:val="0"/>
          <w:sz w:val="32"/>
          <w:szCs w:val="32"/>
        </w:rPr>
        <w:instrText xml:space="preserve"> TOC \o "1-2" \h \z \u </w:instrText>
      </w:r>
      <w:r>
        <w:rPr>
          <w:rFonts w:ascii="楷体" w:hAnsi="楷体" w:eastAsia="楷体"/>
          <w:b w:val="0"/>
          <w:sz w:val="32"/>
          <w:szCs w:val="32"/>
        </w:rPr>
        <w:fldChar w:fldCharType="separate"/>
      </w:r>
      <w:r>
        <w:fldChar w:fldCharType="begin"/>
      </w:r>
      <w:r>
        <w:instrText xml:space="preserve"> HYPERLINK \l "_Toc439238886" </w:instrText>
      </w:r>
      <w:r>
        <w:fldChar w:fldCharType="separate"/>
      </w:r>
      <w:r>
        <w:rPr>
          <w:rStyle w:val="37"/>
          <w:rFonts w:hint="eastAsia" w:ascii="楷体" w:hAnsi="楷体" w:eastAsia="楷体"/>
        </w:rPr>
        <w:t>估价师声明</w:t>
      </w:r>
      <w:r>
        <w:tab/>
      </w:r>
      <w:r>
        <w:fldChar w:fldCharType="begin"/>
      </w:r>
      <w:r>
        <w:instrText xml:space="preserve"> PAGEREF _Toc439238886 \h </w:instrText>
      </w:r>
      <w:r>
        <w:fldChar w:fldCharType="separate"/>
      </w:r>
      <w:r>
        <w:t>1</w:t>
      </w:r>
      <w:r>
        <w:fldChar w:fldCharType="end"/>
      </w:r>
      <w:r>
        <w:fldChar w:fldCharType="end"/>
      </w:r>
    </w:p>
    <w:p>
      <w:pPr>
        <w:pStyle w:val="22"/>
        <w:tabs>
          <w:tab w:val="right" w:leader="dot" w:pos="8399"/>
        </w:tabs>
        <w:rPr>
          <w:rFonts w:asciiTheme="minorHAnsi" w:hAnsiTheme="minorHAnsi" w:eastAsiaTheme="minorEastAsia"/>
          <w:b w:val="0"/>
          <w:sz w:val="21"/>
          <w:szCs w:val="22"/>
        </w:rPr>
      </w:pPr>
      <w:r>
        <w:fldChar w:fldCharType="begin"/>
      </w:r>
      <w:r>
        <w:instrText xml:space="preserve"> HYPERLINK \l "_Toc439238887" </w:instrText>
      </w:r>
      <w:r>
        <w:fldChar w:fldCharType="separate"/>
      </w:r>
      <w:r>
        <w:rPr>
          <w:rStyle w:val="37"/>
          <w:rFonts w:hint="eastAsia" w:ascii="楷体" w:hAnsi="楷体" w:eastAsia="楷体"/>
        </w:rPr>
        <w:t>估价假设和限制条件</w:t>
      </w:r>
      <w:r>
        <w:tab/>
      </w:r>
      <w:r>
        <w:fldChar w:fldCharType="begin"/>
      </w:r>
      <w:r>
        <w:instrText xml:space="preserve"> PAGEREF _Toc439238887 \h </w:instrText>
      </w:r>
      <w:r>
        <w:fldChar w:fldCharType="separate"/>
      </w:r>
      <w:r>
        <w:t>2</w:t>
      </w:r>
      <w:r>
        <w:fldChar w:fldCharType="end"/>
      </w:r>
      <w:r>
        <w:fldChar w:fldCharType="end"/>
      </w:r>
    </w:p>
    <w:p>
      <w:pPr>
        <w:pStyle w:val="22"/>
        <w:tabs>
          <w:tab w:val="right" w:leader="dot" w:pos="8399"/>
        </w:tabs>
        <w:rPr>
          <w:rFonts w:asciiTheme="minorHAnsi" w:hAnsiTheme="minorHAnsi" w:eastAsiaTheme="minorEastAsia"/>
          <w:b w:val="0"/>
          <w:sz w:val="21"/>
          <w:szCs w:val="22"/>
        </w:rPr>
      </w:pPr>
      <w:r>
        <w:fldChar w:fldCharType="begin"/>
      </w:r>
      <w:r>
        <w:instrText xml:space="preserve"> HYPERLINK \l "_Toc439238888" </w:instrText>
      </w:r>
      <w:r>
        <w:fldChar w:fldCharType="separate"/>
      </w:r>
      <w:r>
        <w:rPr>
          <w:rStyle w:val="37"/>
          <w:rFonts w:hint="eastAsia" w:ascii="楷体" w:hAnsi="楷体" w:eastAsia="楷体"/>
        </w:rPr>
        <w:t>估价结果报告</w:t>
      </w:r>
      <w:r>
        <w:tab/>
      </w:r>
      <w:r>
        <w:fldChar w:fldCharType="begin"/>
      </w:r>
      <w:r>
        <w:instrText xml:space="preserve"> PAGEREF _Toc439238888 \h </w:instrText>
      </w:r>
      <w:r>
        <w:fldChar w:fldCharType="separate"/>
      </w:r>
      <w:r>
        <w:t>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"_Toc439238889" </w:instrText>
      </w:r>
      <w:r>
        <w:fldChar w:fldCharType="separate"/>
      </w:r>
      <w:r>
        <w:rPr>
          <w:rStyle w:val="37"/>
          <w:rFonts w:hint="eastAsia" w:ascii="楷体" w:hAnsi="楷体" w:eastAsia="楷体"/>
        </w:rPr>
        <w:t>一、估价委托人</w:t>
      </w:r>
      <w:r>
        <w:tab/>
      </w:r>
      <w:r>
        <w:fldChar w:fldCharType="begin"/>
      </w:r>
      <w:r>
        <w:instrText xml:space="preserve"> PAGEREF _Toc439238889 \h </w:instrText>
      </w:r>
      <w:r>
        <w:fldChar w:fldCharType="separate"/>
      </w:r>
      <w:r>
        <w:t>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"_Toc439238890" </w:instrText>
      </w:r>
      <w:r>
        <w:fldChar w:fldCharType="separate"/>
      </w:r>
      <w:r>
        <w:rPr>
          <w:rStyle w:val="37"/>
          <w:rFonts w:hint="eastAsia" w:ascii="楷体" w:hAnsi="楷体" w:eastAsia="楷体"/>
        </w:rPr>
        <w:t>二、房地产估价机构</w:t>
      </w:r>
      <w:r>
        <w:tab/>
      </w:r>
      <w:r>
        <w:fldChar w:fldCharType="begin"/>
      </w:r>
      <w:r>
        <w:instrText xml:space="preserve"> PAGEREF _Toc439238890 \h </w:instrText>
      </w:r>
      <w:r>
        <w:fldChar w:fldCharType="separate"/>
      </w:r>
      <w:r>
        <w:t>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"_Toc439238891" </w:instrText>
      </w:r>
      <w:r>
        <w:fldChar w:fldCharType="separate"/>
      </w:r>
      <w:r>
        <w:rPr>
          <w:rStyle w:val="37"/>
          <w:rFonts w:hint="eastAsia" w:ascii="楷体" w:hAnsi="楷体" w:eastAsia="楷体"/>
        </w:rPr>
        <w:t>三、估价目的</w:t>
      </w:r>
      <w:r>
        <w:tab/>
      </w:r>
      <w:r>
        <w:fldChar w:fldCharType="begin"/>
      </w:r>
      <w:r>
        <w:instrText xml:space="preserve"> PAGEREF _Toc439238891 \h </w:instrText>
      </w:r>
      <w:r>
        <w:fldChar w:fldCharType="separate"/>
      </w:r>
      <w:r>
        <w:t>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"_Toc439238892" </w:instrText>
      </w:r>
      <w:r>
        <w:fldChar w:fldCharType="separate"/>
      </w:r>
      <w:r>
        <w:rPr>
          <w:rStyle w:val="37"/>
          <w:rFonts w:hint="eastAsia" w:ascii="楷体" w:hAnsi="楷体" w:eastAsia="楷体"/>
        </w:rPr>
        <w:t>四、估价对象</w:t>
      </w:r>
      <w:r>
        <w:tab/>
      </w:r>
      <w:r>
        <w:fldChar w:fldCharType="begin"/>
      </w:r>
      <w:r>
        <w:instrText xml:space="preserve"> PAGEREF _Toc439238892 \h </w:instrText>
      </w:r>
      <w:r>
        <w:fldChar w:fldCharType="separate"/>
      </w:r>
      <w:r>
        <w:t>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"_Toc439238893" </w:instrText>
      </w:r>
      <w:r>
        <w:fldChar w:fldCharType="separate"/>
      </w:r>
      <w:r>
        <w:rPr>
          <w:rStyle w:val="37"/>
          <w:rFonts w:hint="eastAsia" w:ascii="楷体" w:hAnsi="楷体" w:eastAsia="楷体"/>
        </w:rPr>
        <w:t>五、价值时点</w:t>
      </w:r>
      <w:r>
        <w:tab/>
      </w:r>
      <w:r>
        <w:fldChar w:fldCharType="begin"/>
      </w:r>
      <w:r>
        <w:instrText xml:space="preserve"> PAGEREF _Toc439238893 \h </w:instrText>
      </w:r>
      <w:r>
        <w:fldChar w:fldCharType="separate"/>
      </w:r>
      <w:r>
        <w:t>9</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"_Toc439238894" </w:instrText>
      </w:r>
      <w:r>
        <w:fldChar w:fldCharType="separate"/>
      </w:r>
      <w:r>
        <w:rPr>
          <w:rStyle w:val="37"/>
          <w:rFonts w:hint="eastAsia" w:ascii="楷体" w:hAnsi="楷体" w:eastAsia="楷体"/>
        </w:rPr>
        <w:t>六、价值类型</w:t>
      </w:r>
      <w:r>
        <w:tab/>
      </w:r>
      <w:r>
        <w:fldChar w:fldCharType="begin"/>
      </w:r>
      <w:r>
        <w:instrText xml:space="preserve"> PAGEREF _Toc439238894 \h </w:instrText>
      </w:r>
      <w:r>
        <w:fldChar w:fldCharType="separate"/>
      </w:r>
      <w:r>
        <w:t>9</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"_Toc439238895" </w:instrText>
      </w:r>
      <w:r>
        <w:fldChar w:fldCharType="separate"/>
      </w:r>
      <w:r>
        <w:rPr>
          <w:rStyle w:val="37"/>
          <w:rFonts w:hint="eastAsia" w:ascii="楷体" w:hAnsi="楷体" w:eastAsia="楷体"/>
        </w:rPr>
        <w:t>七、估价原则</w:t>
      </w:r>
      <w:r>
        <w:tab/>
      </w:r>
      <w:r>
        <w:fldChar w:fldCharType="begin"/>
      </w:r>
      <w:r>
        <w:instrText xml:space="preserve"> PAGEREF _Toc439238895 \h </w:instrText>
      </w:r>
      <w:r>
        <w:fldChar w:fldCharType="separate"/>
      </w:r>
      <w:r>
        <w:t>9</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"_Toc439238896" </w:instrText>
      </w:r>
      <w:r>
        <w:fldChar w:fldCharType="separate"/>
      </w:r>
      <w:r>
        <w:rPr>
          <w:rStyle w:val="37"/>
          <w:rFonts w:hint="eastAsia" w:ascii="楷体" w:hAnsi="楷体" w:eastAsia="楷体"/>
        </w:rPr>
        <w:t>八、估价依据</w:t>
      </w:r>
      <w:r>
        <w:tab/>
      </w:r>
      <w:r>
        <w:fldChar w:fldCharType="begin"/>
      </w:r>
      <w:r>
        <w:instrText xml:space="preserve"> PAGEREF _Toc439238896 \h </w:instrText>
      </w:r>
      <w:r>
        <w:fldChar w:fldCharType="separate"/>
      </w:r>
      <w:r>
        <w:t>10</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"_Toc439238897" </w:instrText>
      </w:r>
      <w:r>
        <w:fldChar w:fldCharType="separate"/>
      </w:r>
      <w:r>
        <w:rPr>
          <w:rStyle w:val="37"/>
          <w:rFonts w:hint="eastAsia" w:ascii="楷体" w:hAnsi="楷体" w:eastAsia="楷体"/>
        </w:rPr>
        <w:t>九、估价方法</w:t>
      </w:r>
      <w:r>
        <w:tab/>
      </w:r>
      <w:r>
        <w:fldChar w:fldCharType="begin"/>
      </w:r>
      <w:r>
        <w:instrText xml:space="preserve"> PAGEREF _Toc439238897 \h </w:instrText>
      </w:r>
      <w:r>
        <w:fldChar w:fldCharType="separate"/>
      </w:r>
      <w:r>
        <w:t>13</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"_Toc439238898" </w:instrText>
      </w:r>
      <w:r>
        <w:fldChar w:fldCharType="separate"/>
      </w:r>
      <w:r>
        <w:rPr>
          <w:rStyle w:val="37"/>
          <w:rFonts w:hint="eastAsia" w:ascii="楷体" w:hAnsi="楷体" w:eastAsia="楷体"/>
        </w:rPr>
        <w:t>十、估价结果</w:t>
      </w:r>
      <w:r>
        <w:tab/>
      </w:r>
      <w:r>
        <w:fldChar w:fldCharType="begin"/>
      </w:r>
      <w:r>
        <w:instrText xml:space="preserve"> PAGEREF _Toc439238898 \h </w:instrText>
      </w:r>
      <w:r>
        <w:fldChar w:fldCharType="separate"/>
      </w:r>
      <w:r>
        <w:t>14</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"_Toc439238899" </w:instrText>
      </w:r>
      <w:r>
        <w:fldChar w:fldCharType="separate"/>
      </w:r>
      <w:r>
        <w:rPr>
          <w:rStyle w:val="37"/>
          <w:rFonts w:hint="eastAsia" w:ascii="楷体" w:hAnsi="楷体" w:eastAsia="楷体"/>
        </w:rPr>
        <w:t>十一、注册房地产估价师</w:t>
      </w:r>
      <w:r>
        <w:tab/>
      </w:r>
      <w:r>
        <w:fldChar w:fldCharType="begin"/>
      </w:r>
      <w:r>
        <w:instrText xml:space="preserve"> PAGEREF _Toc439238899 \h </w:instrText>
      </w:r>
      <w:r>
        <w:fldChar w:fldCharType="separate"/>
      </w:r>
      <w:r>
        <w:t>15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"_Toc439238900" </w:instrText>
      </w:r>
      <w:r>
        <w:fldChar w:fldCharType="separate"/>
      </w:r>
      <w:r>
        <w:rPr>
          <w:rStyle w:val="37"/>
          <w:rFonts w:hint="eastAsia" w:ascii="楷体" w:hAnsi="楷体" w:eastAsia="楷体"/>
        </w:rPr>
        <w:t>十二、实地查勘期</w:t>
      </w:r>
      <w:r>
        <w:tab/>
      </w:r>
      <w:r>
        <w:fldChar w:fldCharType="begin"/>
      </w:r>
      <w:r>
        <w:instrText xml:space="preserve"> PAGEREF _Toc439238900 \h </w:instrText>
      </w:r>
      <w:r>
        <w:fldChar w:fldCharType="separate"/>
      </w:r>
      <w:r>
        <w:t>15</w:t>
      </w:r>
      <w:r>
        <w:fldChar w:fldCharType="end"/>
      </w:r>
      <w:r>
        <w:fldChar w:fldCharType="end"/>
      </w:r>
    </w:p>
    <w:p>
      <w:pPr>
        <w:pStyle w:val="27"/>
        <w:tabs>
          <w:tab w:val="right" w:leader="dot" w:pos="8399"/>
        </w:tabs>
        <w:spacing w:line="500" w:lineRule="exact"/>
        <w:ind w:left="420"/>
        <w:rPr>
          <w:rFonts w:asciiTheme="minorHAnsi" w:hAnsiTheme="minorHAnsi" w:eastAsiaTheme="minorEastAsia"/>
          <w:sz w:val="21"/>
          <w:szCs w:val="22"/>
        </w:rPr>
      </w:pPr>
      <w:r>
        <w:fldChar w:fldCharType="begin"/>
      </w:r>
      <w:r>
        <w:instrText xml:space="preserve"> HYPERLINK \l "_Toc439238901" </w:instrText>
      </w:r>
      <w:r>
        <w:fldChar w:fldCharType="separate"/>
      </w:r>
      <w:r>
        <w:rPr>
          <w:rStyle w:val="37"/>
          <w:rFonts w:hint="eastAsia" w:ascii="楷体" w:hAnsi="楷体" w:eastAsia="楷体"/>
        </w:rPr>
        <w:t>十三、估价作业期</w:t>
      </w:r>
      <w:r>
        <w:tab/>
      </w:r>
      <w:r>
        <w:fldChar w:fldCharType="begin"/>
      </w:r>
      <w:r>
        <w:instrText xml:space="preserve"> PAGEREF _Toc439238901 \h </w:instrText>
      </w:r>
      <w:r>
        <w:fldChar w:fldCharType="separate"/>
      </w:r>
      <w:r>
        <w:t>15</w:t>
      </w:r>
      <w:r>
        <w:fldChar w:fldCharType="end"/>
      </w:r>
      <w:r>
        <w:fldChar w:fldCharType="end"/>
      </w:r>
    </w:p>
    <w:p>
      <w:pPr>
        <w:pStyle w:val="22"/>
        <w:tabs>
          <w:tab w:val="right" w:leader="dot" w:pos="8399"/>
        </w:tabs>
        <w:rPr>
          <w:rFonts w:asciiTheme="minorHAnsi" w:hAnsiTheme="minorHAnsi" w:eastAsiaTheme="minorEastAsia"/>
          <w:b w:val="0"/>
          <w:sz w:val="21"/>
          <w:szCs w:val="22"/>
        </w:rPr>
      </w:pPr>
      <w:r>
        <w:fldChar w:fldCharType="begin"/>
      </w:r>
      <w:r>
        <w:instrText xml:space="preserve"> HYPERLINK \l "_Toc439238902" </w:instrText>
      </w:r>
      <w:r>
        <w:fldChar w:fldCharType="separate"/>
      </w:r>
      <w:r>
        <w:rPr>
          <w:rStyle w:val="37"/>
          <w:rFonts w:hint="eastAsia" w:ascii="楷体" w:hAnsi="楷体" w:eastAsia="楷体"/>
        </w:rPr>
        <w:t>附</w:t>
      </w:r>
      <w:r>
        <w:rPr>
          <w:rStyle w:val="37"/>
          <w:rFonts w:ascii="楷体" w:hAnsi="楷体" w:eastAsia="楷体"/>
        </w:rPr>
        <w:t xml:space="preserve">   </w:t>
      </w:r>
      <w:r>
        <w:rPr>
          <w:rStyle w:val="37"/>
          <w:rFonts w:hint="eastAsia" w:ascii="楷体" w:hAnsi="楷体" w:eastAsia="楷体"/>
        </w:rPr>
        <w:t>件</w:t>
      </w:r>
      <w:r>
        <w:tab/>
      </w:r>
      <w:r>
        <w:fldChar w:fldCharType="begin"/>
      </w:r>
      <w:r>
        <w:instrText xml:space="preserve"> PAGEREF _Toc439238902 \h </w:instrText>
      </w:r>
      <w:r>
        <w:fldChar w:fldCharType="separate"/>
      </w:r>
      <w:r>
        <w:t>16</w:t>
      </w:r>
      <w:r>
        <w:fldChar w:fldCharType="end"/>
      </w:r>
      <w:r>
        <w:fldChar w:fldCharType="end"/>
      </w:r>
    </w:p>
    <w:p>
      <w:pPr>
        <w:spacing w:line="500" w:lineRule="exact"/>
        <w:jc w:val="center"/>
        <w:rPr>
          <w:rFonts w:ascii="楷体" w:hAnsi="楷体" w:eastAsia="楷体"/>
          <w:b/>
          <w:sz w:val="32"/>
          <w:szCs w:val="32"/>
        </w:rPr>
        <w:sectPr>
          <w:footerReference r:id="rId5" w:type="default"/>
          <w:pgSz w:w="11906" w:h="16838"/>
          <w:pgMar w:top="1388" w:right="1700" w:bottom="1134" w:left="1797" w:header="709" w:footer="574" w:gutter="0"/>
          <w:pgNumType w:start="1"/>
          <w:cols w:space="425" w:num="1"/>
          <w:docGrid w:type="lines" w:linePitch="312" w:charSpace="0"/>
        </w:sectPr>
      </w:pPr>
      <w:r>
        <w:rPr>
          <w:rFonts w:ascii="楷体" w:hAnsi="楷体" w:eastAsia="楷体"/>
          <w:b/>
          <w:sz w:val="32"/>
          <w:szCs w:val="32"/>
        </w:rPr>
        <w:fldChar w:fldCharType="end"/>
      </w:r>
    </w:p>
    <w:p>
      <w:pPr>
        <w:spacing w:beforeLines="50" w:afterLines="50" w:line="500" w:lineRule="exact"/>
        <w:jc w:val="center"/>
        <w:outlineLvl w:val="0"/>
        <w:rPr>
          <w:rFonts w:ascii="楷体" w:hAnsi="楷体" w:eastAsia="楷体"/>
          <w:b/>
          <w:sz w:val="32"/>
          <w:szCs w:val="32"/>
        </w:rPr>
      </w:pPr>
      <w:bookmarkStart w:id="3" w:name="_Toc81920477"/>
      <w:bookmarkStart w:id="4" w:name="_Toc437260239"/>
      <w:bookmarkStart w:id="5" w:name="_Toc439238886"/>
      <w:bookmarkStart w:id="6" w:name="_Toc437266026"/>
      <w:bookmarkStart w:id="7" w:name="_Toc439238861"/>
      <w:r>
        <w:rPr>
          <w:rFonts w:hint="eastAsia" w:ascii="楷体" w:hAnsi="楷体" w:eastAsia="楷体"/>
          <w:b/>
          <w:sz w:val="32"/>
          <w:szCs w:val="32"/>
        </w:rPr>
        <w:t>估价师声明</w:t>
      </w:r>
      <w:bookmarkEnd w:id="1"/>
      <w:bookmarkEnd w:id="2"/>
      <w:bookmarkEnd w:id="3"/>
      <w:bookmarkEnd w:id="4"/>
      <w:bookmarkEnd w:id="5"/>
      <w:bookmarkEnd w:id="6"/>
      <w:bookmarkEnd w:id="7"/>
    </w:p>
    <w:p>
      <w:pPr>
        <w:spacing w:line="500" w:lineRule="exact"/>
        <w:ind w:firstLine="504" w:firstLineChars="200"/>
        <w:rPr>
          <w:rFonts w:ascii="楷体" w:hAnsi="楷体" w:eastAsia="楷体"/>
          <w:w w:val="90"/>
          <w:sz w:val="28"/>
          <w:szCs w:val="28"/>
        </w:rPr>
      </w:pPr>
      <w:r>
        <w:rPr>
          <w:rFonts w:hint="eastAsia" w:ascii="楷体" w:hAnsi="楷体" w:eastAsia="楷体"/>
          <w:w w:val="90"/>
          <w:sz w:val="28"/>
          <w:szCs w:val="28"/>
        </w:rPr>
        <w:t>注册房地产估价师根据自己的专业知识和职业道德，在此郑重声明：</w:t>
      </w:r>
    </w:p>
    <w:p>
      <w:pPr>
        <w:numPr>
          <w:ilvl w:val="0"/>
          <w:numId w:val="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注册房地产估价师</w:t>
      </w:r>
      <w:r>
        <w:rPr>
          <w:rFonts w:ascii="楷体" w:hAnsi="楷体" w:eastAsia="楷体"/>
          <w:sz w:val="28"/>
          <w:szCs w:val="28"/>
        </w:rPr>
        <w:t>在估价报告中对事实的说明是真实和准确的，没有虚假记载、误导性陈述和重大遗漏。</w:t>
      </w:r>
    </w:p>
    <w:p>
      <w:pPr>
        <w:numPr>
          <w:ilvl w:val="0"/>
          <w:numId w:val="8"/>
        </w:numPr>
        <w:spacing w:line="500" w:lineRule="exact"/>
        <w:ind w:left="0" w:firstLine="560" w:firstLineChars="200"/>
        <w:rPr>
          <w:rFonts w:ascii="楷体" w:hAnsi="楷体" w:eastAsia="楷体"/>
          <w:sz w:val="28"/>
          <w:szCs w:val="28"/>
        </w:rPr>
      </w:pPr>
      <w:r>
        <w:rPr>
          <w:rFonts w:ascii="楷体" w:hAnsi="楷体" w:eastAsia="楷体"/>
          <w:sz w:val="28"/>
          <w:szCs w:val="28"/>
        </w:rPr>
        <w:t>本估价报告中的分析、意见和结论是</w:t>
      </w:r>
      <w:r>
        <w:rPr>
          <w:rFonts w:hint="eastAsia" w:ascii="楷体" w:hAnsi="楷体" w:eastAsia="楷体"/>
          <w:sz w:val="28"/>
          <w:szCs w:val="28"/>
        </w:rPr>
        <w:t>注册房地产估价师</w:t>
      </w:r>
      <w:r>
        <w:rPr>
          <w:rFonts w:ascii="楷体" w:hAnsi="楷体" w:eastAsia="楷体"/>
          <w:sz w:val="28"/>
          <w:szCs w:val="28"/>
        </w:rPr>
        <w:t>独立、客观、公正的专业分析、意见和结论，但受到本估价报告中已说明的假设和限制条件的限制。</w:t>
      </w:r>
    </w:p>
    <w:p>
      <w:pPr>
        <w:numPr>
          <w:ilvl w:val="0"/>
          <w:numId w:val="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注册房地产估价师</w:t>
      </w:r>
      <w:r>
        <w:rPr>
          <w:rFonts w:ascii="楷体" w:hAnsi="楷体" w:eastAsia="楷体"/>
          <w:sz w:val="28"/>
          <w:szCs w:val="28"/>
        </w:rPr>
        <w:t>与本估价报告中的估价对象没有现实或潜在的利益，与估价委托人及估价利害关系人没有偏利害关系，也对估价对象、估价委托人及估价利害关系人没有偏见。</w:t>
      </w:r>
    </w:p>
    <w:p>
      <w:pPr>
        <w:numPr>
          <w:ilvl w:val="0"/>
          <w:numId w:val="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注册房地产估价师</w:t>
      </w:r>
      <w:r>
        <w:rPr>
          <w:rFonts w:ascii="楷体" w:hAnsi="楷体" w:eastAsia="楷体"/>
          <w:sz w:val="28"/>
          <w:szCs w:val="28"/>
        </w:rPr>
        <w:t>是按照有关房地产估价标准的规定进行估价工作，撰写估价报告。</w:t>
      </w:r>
    </w:p>
    <w:p>
      <w:pPr>
        <w:numPr>
          <w:ilvl w:val="0"/>
          <w:numId w:val="8"/>
        </w:numPr>
        <w:spacing w:line="500" w:lineRule="exact"/>
        <w:ind w:left="0" w:firstLine="560" w:firstLineChars="200"/>
        <w:rPr>
          <w:rFonts w:ascii="楷体" w:hAnsi="楷体" w:eastAsia="楷体"/>
          <w:sz w:val="28"/>
          <w:szCs w:val="28"/>
        </w:rPr>
      </w:pPr>
      <w:r>
        <w:rPr>
          <w:rFonts w:ascii="楷体" w:hAnsi="楷体" w:eastAsia="楷体"/>
          <w:sz w:val="28"/>
          <w:szCs w:val="28"/>
        </w:rPr>
        <w:t>注册房地产估价师</w:t>
      </w:r>
      <w:r>
        <w:rPr>
          <w:rFonts w:hint="eastAsia" w:ascii="楷体" w:hAnsi="楷体" w:eastAsia="楷体"/>
          <w:sz w:val="28"/>
          <w:szCs w:val="28"/>
        </w:rPr>
        <w:t>向存祥、估价人员陈开胜于2022年8月23日</w:t>
      </w:r>
      <w:r>
        <w:rPr>
          <w:rFonts w:ascii="楷体" w:hAnsi="楷体" w:eastAsia="楷体"/>
          <w:sz w:val="28"/>
          <w:szCs w:val="28"/>
        </w:rPr>
        <w:t>对本估价报告中的估价对象进行了实地查勘，其他参与项目的估价人员没有对上述估价对象进行实地查勘。</w:t>
      </w:r>
    </w:p>
    <w:p>
      <w:pPr>
        <w:tabs>
          <w:tab w:val="left" w:pos="1134"/>
        </w:tabs>
        <w:spacing w:line="500" w:lineRule="exact"/>
        <w:ind w:left="709"/>
        <w:rPr>
          <w:rFonts w:ascii="楷体" w:hAnsi="楷体" w:eastAsia="楷体"/>
          <w:sz w:val="28"/>
          <w:szCs w:val="28"/>
        </w:rPr>
      </w:pPr>
    </w:p>
    <w:p>
      <w:r>
        <w:br w:type="page"/>
      </w:r>
    </w:p>
    <w:p>
      <w:pPr>
        <w:spacing w:beforeLines="50" w:afterLines="50" w:line="500" w:lineRule="exact"/>
        <w:jc w:val="center"/>
        <w:outlineLvl w:val="0"/>
        <w:rPr>
          <w:rFonts w:ascii="楷体" w:hAnsi="楷体" w:eastAsia="楷体"/>
          <w:b/>
          <w:sz w:val="32"/>
          <w:szCs w:val="32"/>
        </w:rPr>
      </w:pPr>
      <w:bookmarkStart w:id="8" w:name="_Toc318818626"/>
      <w:bookmarkStart w:id="9" w:name="_Toc439238862"/>
      <w:bookmarkStart w:id="10" w:name="_Toc81920478"/>
      <w:bookmarkStart w:id="11" w:name="_Toc437260240"/>
      <w:bookmarkStart w:id="12" w:name="_Toc439238887"/>
      <w:bookmarkStart w:id="13" w:name="_Toc437266027"/>
      <w:bookmarkStart w:id="14" w:name="_Toc436035295"/>
      <w:r>
        <w:rPr>
          <w:rFonts w:hint="eastAsia" w:ascii="楷体" w:hAnsi="楷体" w:eastAsia="楷体"/>
          <w:b/>
          <w:sz w:val="32"/>
          <w:szCs w:val="32"/>
        </w:rPr>
        <w:t>估价假设和限制条件</w:t>
      </w:r>
      <w:bookmarkEnd w:id="8"/>
      <w:bookmarkEnd w:id="9"/>
      <w:bookmarkEnd w:id="10"/>
      <w:bookmarkEnd w:id="11"/>
      <w:bookmarkEnd w:id="12"/>
      <w:bookmarkEnd w:id="13"/>
      <w:bookmarkEnd w:id="14"/>
    </w:p>
    <w:p>
      <w:pPr>
        <w:spacing w:line="500" w:lineRule="exact"/>
        <w:rPr>
          <w:rFonts w:ascii="楷体" w:hAnsi="楷体" w:eastAsia="楷体"/>
          <w:b/>
          <w:sz w:val="28"/>
          <w:szCs w:val="28"/>
        </w:rPr>
      </w:pPr>
      <w:r>
        <w:rPr>
          <w:rFonts w:ascii="楷体" w:hAnsi="楷体" w:eastAsia="楷体"/>
          <w:b/>
          <w:sz w:val="28"/>
          <w:szCs w:val="28"/>
        </w:rPr>
        <w:t>一、</w:t>
      </w:r>
      <w:r>
        <w:rPr>
          <w:rFonts w:hint="eastAsia" w:ascii="楷体" w:hAnsi="楷体" w:eastAsia="楷体"/>
          <w:b/>
          <w:sz w:val="28"/>
          <w:szCs w:val="28"/>
        </w:rPr>
        <w:t>一般假设：</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在价值时点的房地产市场为公开、平等、自愿的交易市场。</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估价对象产权明晰，手续齐全，可在公开市场上自由转让。</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任何有关估价对象的运作方式、程序均符合国家、地方的有关法律、法规。</w:t>
      </w:r>
    </w:p>
    <w:p>
      <w:pPr>
        <w:numPr>
          <w:ilvl w:val="0"/>
          <w:numId w:val="9"/>
        </w:numPr>
        <w:spacing w:line="500" w:lineRule="exact"/>
        <w:ind w:left="0" w:firstLine="560" w:firstLineChars="200"/>
        <w:rPr>
          <w:rFonts w:ascii="楷体" w:hAnsi="楷体" w:eastAsia="楷体"/>
          <w:sz w:val="28"/>
          <w:szCs w:val="28"/>
        </w:rPr>
      </w:pPr>
      <w:bookmarkStart w:id="15" w:name="_Toc382493608"/>
      <w:r>
        <w:rPr>
          <w:rFonts w:hint="eastAsia" w:ascii="楷体" w:hAnsi="楷体" w:eastAsia="楷体"/>
          <w:sz w:val="28"/>
          <w:szCs w:val="28"/>
        </w:rPr>
        <w:t>本次估价结果未考虑国家宏观经济政策发生重大变化以及遇有自然力和其他不可抗力对估价结论的影响。</w:t>
      </w:r>
      <w:bookmarkEnd w:id="15"/>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本报告以估价对象在价值时点的实物状况为依据，且以该状况在估价报告使用期限内无重大变化为前提。</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w:t>
      </w:r>
      <w:r>
        <w:rPr>
          <w:rFonts w:ascii="楷体" w:hAnsi="楷体" w:eastAsia="楷体"/>
          <w:sz w:val="28"/>
          <w:szCs w:val="28"/>
        </w:rPr>
        <w:t>次评估估价对象涉及</w:t>
      </w:r>
      <w:r>
        <w:rPr>
          <w:rFonts w:hint="eastAsia" w:ascii="楷体" w:hAnsi="楷体" w:eastAsia="楷体"/>
          <w:sz w:val="28"/>
          <w:szCs w:val="28"/>
        </w:rPr>
        <w:t>不动产权属登记</w:t>
      </w:r>
      <w:r>
        <w:rPr>
          <w:rFonts w:ascii="楷体" w:hAnsi="楷体" w:eastAsia="楷体"/>
          <w:sz w:val="28"/>
          <w:szCs w:val="28"/>
        </w:rPr>
        <w:t>等情况均以</w:t>
      </w:r>
      <w:r>
        <w:rPr>
          <w:rFonts w:hint="eastAsia" w:ascii="楷体" w:hAnsi="楷体" w:eastAsia="楷体"/>
          <w:sz w:val="28"/>
          <w:szCs w:val="28"/>
        </w:rPr>
        <w:t>估价委托人提供的《武汉市不动产权登记信息查询单》</w:t>
      </w:r>
      <w:r>
        <w:rPr>
          <w:rFonts w:ascii="楷体" w:hAnsi="楷体" w:eastAsia="楷体"/>
          <w:sz w:val="28"/>
          <w:szCs w:val="28"/>
        </w:rPr>
        <w:t>为依据</w:t>
      </w:r>
      <w:r>
        <w:rPr>
          <w:rFonts w:hint="eastAsia" w:ascii="楷体" w:hAnsi="楷体" w:eastAsia="楷体"/>
          <w:sz w:val="28"/>
          <w:szCs w:val="28"/>
        </w:rPr>
        <w:t>。如上述情况发生变化，估价结果需做相应调整。</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估价对象为执行项目，本次评估已考虑了其交易方式对估价结果的影响，在此提请报告使用者注意。</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根据估价委托人提供的</w:t>
      </w:r>
      <w:r>
        <w:rPr>
          <w:rFonts w:ascii="楷体" w:hAnsi="楷体" w:eastAsia="楷体"/>
          <w:sz w:val="28"/>
          <w:szCs w:val="28"/>
        </w:rPr>
        <w:t>《</w:t>
      </w:r>
      <w:r>
        <w:rPr>
          <w:rFonts w:hint="eastAsia" w:ascii="楷体" w:hAnsi="楷体" w:eastAsia="楷体"/>
          <w:sz w:val="28"/>
          <w:szCs w:val="28"/>
        </w:rPr>
        <w:t>武汉市不动产权登记信息查询单</w:t>
      </w:r>
      <w:r>
        <w:rPr>
          <w:rFonts w:ascii="楷体" w:hAnsi="楷体" w:eastAsia="楷体"/>
          <w:sz w:val="28"/>
          <w:szCs w:val="28"/>
        </w:rPr>
        <w:t>》</w:t>
      </w:r>
      <w:r>
        <w:rPr>
          <w:rFonts w:hint="eastAsia" w:ascii="楷体" w:hAnsi="楷体" w:eastAsia="楷体"/>
          <w:sz w:val="28"/>
          <w:szCs w:val="28"/>
        </w:rPr>
        <w:t>、《武汉市不动产抵押信息单》及向案件执行法官了解，估价对象至价值时点，估价对象于价值时点已设定抵押权，已查封，除此之外，未发现租赁权等其它</w:t>
      </w:r>
      <w:r>
        <w:rPr>
          <w:rFonts w:ascii="楷体" w:hAnsi="楷体" w:eastAsia="楷体"/>
          <w:color w:val="000000"/>
          <w:sz w:val="28"/>
          <w:szCs w:val="28"/>
        </w:rPr>
        <w:t>权利</w:t>
      </w:r>
      <w:r>
        <w:rPr>
          <w:rFonts w:hint="eastAsia" w:ascii="楷体" w:hAnsi="楷体" w:eastAsia="楷体"/>
          <w:color w:val="000000"/>
          <w:sz w:val="28"/>
          <w:szCs w:val="28"/>
        </w:rPr>
        <w:t>的存在。</w:t>
      </w:r>
    </w:p>
    <w:p>
      <w:pPr>
        <w:numPr>
          <w:ilvl w:val="0"/>
          <w:numId w:val="9"/>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次估价对象描述均依据估价委托人所提供的产权资料复印件，受房产、土地管理部门对档案查询资格的限制，注册房地产估价师无权到上述主管部门对权属证明材料及其记载的内容进行核实。本次评估除有特殊说明之外，所采用的信息、数据等内容均依据估价委托人提供的资料。</w:t>
      </w:r>
    </w:p>
    <w:p>
      <w:pPr>
        <w:numPr>
          <w:ilvl w:val="0"/>
          <w:numId w:val="9"/>
        </w:numPr>
        <w:spacing w:line="500" w:lineRule="exact"/>
        <w:ind w:left="0" w:firstLine="560" w:firstLineChars="200"/>
        <w:rPr>
          <w:rFonts w:ascii="楷体" w:hAnsi="楷体" w:eastAsia="楷体"/>
          <w:sz w:val="28"/>
          <w:szCs w:val="28"/>
        </w:rPr>
      </w:pPr>
      <w:r>
        <w:rPr>
          <w:rFonts w:ascii="楷体" w:hAnsi="楷体" w:eastAsia="楷体"/>
          <w:sz w:val="28"/>
          <w:szCs w:val="28"/>
        </w:rPr>
        <w:t>注册房地产估价师对估价对象的查勘限于估价对象的外观和使用状况，注册房地产估价师不承担对估价对象建筑结构质量进行调查的责任，也不承担对其它</w:t>
      </w:r>
      <w:r>
        <w:rPr>
          <w:rFonts w:hint="eastAsia" w:ascii="楷体" w:hAnsi="楷体" w:eastAsia="楷体"/>
          <w:sz w:val="28"/>
          <w:szCs w:val="28"/>
        </w:rPr>
        <w:t>如改造、</w:t>
      </w:r>
      <w:r>
        <w:rPr>
          <w:rFonts w:ascii="楷体" w:hAnsi="楷体" w:eastAsia="楷体"/>
          <w:sz w:val="28"/>
          <w:szCs w:val="28"/>
        </w:rPr>
        <w:t>被遮盖、未暴露及难于接触到的部分进行勘查的责任。因估价委托人未提供对房屋安全的专业机构鉴定报告，且经注册房地产估价师实地查勘，从房屋外观未发现估价对象结构有明显变形或损坏，我们无理由怀疑估价对象存在安全隐患，故本次估价设定估价对象不存在房屋安全隐患，可继续使用。</w:t>
      </w:r>
    </w:p>
    <w:p>
      <w:pPr>
        <w:spacing w:line="500" w:lineRule="exact"/>
        <w:rPr>
          <w:rFonts w:ascii="楷体" w:hAnsi="楷体" w:eastAsia="楷体"/>
          <w:sz w:val="28"/>
          <w:szCs w:val="28"/>
        </w:rPr>
      </w:pPr>
      <w:r>
        <w:rPr>
          <w:rFonts w:ascii="楷体" w:hAnsi="楷体" w:eastAsia="楷体"/>
          <w:b/>
          <w:sz w:val="28"/>
          <w:szCs w:val="28"/>
        </w:rPr>
        <w:t>二、</w:t>
      </w:r>
      <w:r>
        <w:rPr>
          <w:rFonts w:hint="eastAsia" w:ascii="楷体" w:hAnsi="楷体" w:eastAsia="楷体"/>
          <w:b/>
          <w:sz w:val="28"/>
          <w:szCs w:val="28"/>
        </w:rPr>
        <w:t>未定事项假设：</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无未定事项假设。</w:t>
      </w:r>
    </w:p>
    <w:p>
      <w:pPr>
        <w:spacing w:line="500" w:lineRule="exact"/>
        <w:rPr>
          <w:rFonts w:ascii="楷体" w:hAnsi="楷体" w:eastAsia="楷体"/>
          <w:b/>
          <w:sz w:val="28"/>
          <w:szCs w:val="28"/>
        </w:rPr>
      </w:pPr>
      <w:r>
        <w:rPr>
          <w:rFonts w:hint="eastAsia" w:ascii="楷体" w:hAnsi="楷体" w:eastAsia="楷体"/>
          <w:b/>
          <w:sz w:val="28"/>
          <w:szCs w:val="28"/>
        </w:rPr>
        <w:t>三、背离事实假设：</w:t>
      </w:r>
    </w:p>
    <w:p>
      <w:pPr>
        <w:pStyle w:val="44"/>
      </w:pPr>
      <w:r>
        <w:rPr>
          <w:rFonts w:hint="eastAsia"/>
        </w:rPr>
        <w:t>根据估价委托人提供的《武汉市不动产抵押信息单》及《武汉市不动产权登记信息查询单》，</w:t>
      </w:r>
      <w:r>
        <w:t>估价对象于价值时点存在</w:t>
      </w:r>
      <w:r>
        <w:rPr>
          <w:rFonts w:hint="eastAsia"/>
        </w:rPr>
        <w:t>尚未注销的</w:t>
      </w:r>
      <w:r>
        <w:t>抵押权，</w:t>
      </w:r>
      <w:r>
        <w:rPr>
          <w:rFonts w:hint="eastAsia"/>
        </w:rPr>
        <w:t>本次评估目的为为估价委托人解决法律纠纷，</w:t>
      </w:r>
      <w:r>
        <w:t>估价对象</w:t>
      </w:r>
      <w:r>
        <w:rPr>
          <w:rFonts w:hint="eastAsia"/>
        </w:rPr>
        <w:t>确定财产处置参考价</w:t>
      </w:r>
      <w:r>
        <w:t>提供参考依据</w:t>
      </w:r>
      <w:r>
        <w:rPr>
          <w:rFonts w:eastAsia="楷体_GB2312"/>
          <w:snapToGrid w:val="0"/>
          <w:kern w:val="0"/>
        </w:rPr>
        <w:t>而评估房地产市场价值</w:t>
      </w:r>
      <w:r>
        <w:rPr>
          <w:rFonts w:hint="eastAsia"/>
        </w:rPr>
        <w:t>，故未考虑上述抵押权和其他优先受偿权对估价结果的影响。</w:t>
      </w:r>
    </w:p>
    <w:p>
      <w:pPr>
        <w:spacing w:line="500" w:lineRule="exact"/>
        <w:rPr>
          <w:rFonts w:ascii="楷体" w:hAnsi="楷体" w:eastAsia="楷体"/>
          <w:b/>
          <w:sz w:val="28"/>
          <w:szCs w:val="28"/>
        </w:rPr>
      </w:pPr>
      <w:r>
        <w:rPr>
          <w:rFonts w:hint="eastAsia" w:ascii="楷体" w:hAnsi="楷体" w:eastAsia="楷体"/>
          <w:b/>
          <w:sz w:val="28"/>
          <w:szCs w:val="28"/>
        </w:rPr>
        <w:t>四、不相一致假设：</w:t>
      </w:r>
    </w:p>
    <w:p>
      <w:pPr>
        <w:pStyle w:val="44"/>
      </w:pPr>
      <w:r>
        <w:rPr>
          <w:rFonts w:hint="eastAsia"/>
        </w:rPr>
        <w:t>根据估价委托人提供的打印时间为2022年2月21日《武汉市不动产权登记信息查询单》记载，估价对象未查封，根据估价人员现场查勘及向案件执行法官了解，估价对象于价值时点已查封，本次评估设定估价对象已查封，请使用报告的各方注意</w:t>
      </w:r>
      <w:r>
        <w:rPr>
          <w:rFonts w:hint="eastAsia"/>
          <w:bCs/>
        </w:rPr>
        <w:t>。</w:t>
      </w:r>
    </w:p>
    <w:p>
      <w:pPr>
        <w:pStyle w:val="81"/>
        <w:numPr>
          <w:ilvl w:val="0"/>
          <w:numId w:val="10"/>
        </w:numPr>
        <w:spacing w:line="500" w:lineRule="exact"/>
        <w:ind w:firstLineChars="0"/>
      </w:pPr>
      <w:r>
        <w:rPr>
          <w:rFonts w:hint="eastAsia" w:ascii="楷体" w:hAnsi="楷体" w:eastAsia="楷体"/>
          <w:b/>
          <w:sz w:val="28"/>
          <w:szCs w:val="28"/>
        </w:rPr>
        <w:t>依据不足假设：</w:t>
      </w:r>
    </w:p>
    <w:p>
      <w:pPr>
        <w:spacing w:line="500" w:lineRule="exact"/>
        <w:ind w:firstLine="560" w:firstLineChars="200"/>
        <w:rPr>
          <w:rFonts w:ascii="楷体" w:hAnsi="楷体" w:eastAsia="楷体"/>
          <w:bCs/>
          <w:sz w:val="28"/>
          <w:szCs w:val="28"/>
        </w:rPr>
      </w:pPr>
      <w:r>
        <w:rPr>
          <w:rFonts w:hint="eastAsia" w:ascii="楷体" w:hAnsi="楷体" w:eastAsia="楷体"/>
          <w:sz w:val="28"/>
          <w:szCs w:val="28"/>
        </w:rPr>
        <w:t>无依据不足假设</w:t>
      </w:r>
      <w:r>
        <w:rPr>
          <w:rFonts w:hint="eastAsia" w:ascii="楷体" w:hAnsi="楷体" w:eastAsia="楷体"/>
          <w:bCs/>
          <w:sz w:val="28"/>
          <w:szCs w:val="28"/>
        </w:rPr>
        <w:t>。</w:t>
      </w:r>
    </w:p>
    <w:p>
      <w:pPr>
        <w:spacing w:line="500" w:lineRule="exact"/>
        <w:rPr>
          <w:rFonts w:ascii="楷体" w:hAnsi="楷体" w:eastAsia="楷体"/>
          <w:sz w:val="28"/>
          <w:szCs w:val="28"/>
        </w:rPr>
      </w:pPr>
      <w:r>
        <w:rPr>
          <w:rFonts w:hint="eastAsia" w:ascii="楷体" w:hAnsi="楷体" w:eastAsia="楷体"/>
          <w:b/>
          <w:sz w:val="28"/>
          <w:szCs w:val="28"/>
        </w:rPr>
        <w:t>六、估价报告使用限制：</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本估价报告应用于为估价委托人解决法律纠纷，估价对象</w:t>
      </w:r>
      <w:r>
        <w:rPr>
          <w:rFonts w:hint="eastAsia" w:ascii="楷体" w:hAnsi="楷体" w:eastAsia="楷体"/>
          <w:sz w:val="28"/>
          <w:szCs w:val="28"/>
        </w:rPr>
        <w:t>确定财产处置参考价</w:t>
      </w:r>
      <w:r>
        <w:rPr>
          <w:rFonts w:ascii="楷体" w:hAnsi="楷体" w:eastAsia="楷体"/>
          <w:sz w:val="28"/>
          <w:szCs w:val="28"/>
        </w:rPr>
        <w:t>提供参考依据，若改变估价目的及使用条件需向本估价机构咨询后作必要修正甚至重新估价。</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本估价报告</w:t>
      </w:r>
      <w:r>
        <w:rPr>
          <w:rFonts w:hint="eastAsia" w:ascii="楷体" w:hAnsi="楷体" w:eastAsia="楷体"/>
          <w:sz w:val="28"/>
          <w:szCs w:val="28"/>
        </w:rPr>
        <w:t>评估结果仅为</w:t>
      </w:r>
      <w:r>
        <w:rPr>
          <w:rFonts w:ascii="楷体" w:hAnsi="楷体" w:eastAsia="楷体"/>
          <w:sz w:val="28"/>
          <w:szCs w:val="28"/>
        </w:rPr>
        <w:t>估价委托人</w:t>
      </w:r>
      <w:r>
        <w:rPr>
          <w:rFonts w:hint="eastAsia" w:ascii="楷体" w:hAnsi="楷体" w:eastAsia="楷体"/>
          <w:sz w:val="28"/>
          <w:szCs w:val="28"/>
        </w:rPr>
        <w:t>确定财产处置参考价服务，不可作为</w:t>
      </w:r>
      <w:r>
        <w:rPr>
          <w:rFonts w:ascii="楷体" w:hAnsi="楷体" w:eastAsia="楷体"/>
          <w:sz w:val="28"/>
          <w:szCs w:val="28"/>
        </w:rPr>
        <w:t>估价对象</w:t>
      </w:r>
      <w:r>
        <w:rPr>
          <w:rFonts w:hint="eastAsia" w:ascii="楷体" w:hAnsi="楷体" w:eastAsia="楷体"/>
          <w:sz w:val="28"/>
          <w:szCs w:val="28"/>
        </w:rPr>
        <w:t>处置的成交价格，更不能被视为</w:t>
      </w:r>
      <w:r>
        <w:rPr>
          <w:rFonts w:ascii="楷体" w:hAnsi="楷体" w:eastAsia="楷体"/>
          <w:sz w:val="28"/>
          <w:szCs w:val="28"/>
        </w:rPr>
        <w:t>估价对象</w:t>
      </w:r>
      <w:r>
        <w:rPr>
          <w:rFonts w:hint="eastAsia" w:ascii="楷体" w:hAnsi="楷体" w:eastAsia="楷体"/>
          <w:sz w:val="28"/>
          <w:szCs w:val="28"/>
        </w:rPr>
        <w:t>处置成交价格的保证依据。</w:t>
      </w:r>
    </w:p>
    <w:p>
      <w:pPr>
        <w:numPr>
          <w:ilvl w:val="0"/>
          <w:numId w:val="11"/>
        </w:numPr>
        <w:spacing w:line="500" w:lineRule="exact"/>
        <w:ind w:left="0" w:firstLine="560" w:firstLineChars="200"/>
        <w:rPr>
          <w:rFonts w:ascii="楷体" w:hAnsi="楷体" w:eastAsia="楷体"/>
          <w:sz w:val="28"/>
          <w:szCs w:val="28"/>
        </w:rPr>
      </w:pPr>
      <w:r>
        <w:rPr>
          <w:rFonts w:hint="eastAsia" w:ascii="楷体" w:hAnsi="楷体" w:eastAsia="楷体"/>
          <w:sz w:val="28"/>
          <w:szCs w:val="28"/>
        </w:rPr>
        <w:t>财产拍卖或者变卖之日与价值时点不一致，可能导致估价结果对应的估价对象状况、房地产市场状况、欠缴税费状况等与财产拍卖或者变卖时的相应状况不一致，发生明显变化的，估价结果应当进行相应调整后报告使用者才可使用。</w:t>
      </w:r>
    </w:p>
    <w:p>
      <w:pPr>
        <w:numPr>
          <w:ilvl w:val="0"/>
          <w:numId w:val="11"/>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次报告估价结果中总价值为单位面积房地产价值乘以建筑面积并以“万元”为单位取两位小数后得出。若以上述总价再除以建筑面积返算单位面积房地产价值，由于取整位数不同，单位面积房地产价值会产生细微误差。本报告以估价结果中列示的单位面积房地产价值、总价值为准，返算的单位面积房地产价值不影响估价结果的客观准确性。</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本报告中的数据全部采用电算化连续计算得出，由于在报告中计算的数据均按四舍五入进行取整，因此，可能出现个别等式左右不完全相等的情况，但此种情况不影响计算结果及估价结论的准确性。</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本次估价报告包括“房地产估价结果报告”和“房地产估价技术报告”，本次仅提供“房地产估价结果报告”，“房地产估价技术报告”供估价机构存档和有关管理部门查阅等</w:t>
      </w:r>
      <w:r>
        <w:rPr>
          <w:rFonts w:hint="eastAsia" w:ascii="楷体" w:hAnsi="楷体" w:eastAsia="楷体"/>
          <w:sz w:val="28"/>
          <w:szCs w:val="28"/>
        </w:rPr>
        <w:t>。</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本房地产估价报告经估价机构加盖公章并由注册房地产估价师签字后方可使用。</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未经估价机构和估价委托人书面同意，本报告的全部或部分及任何参考资料均不允许在任何公开发表的文件、通告或声明中引用，亦不得以其他任何方式公开发表。</w:t>
      </w:r>
    </w:p>
    <w:p>
      <w:pPr>
        <w:numPr>
          <w:ilvl w:val="0"/>
          <w:numId w:val="11"/>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本估价报告一式七份，估价委托人六份，本机构存档一份。</w:t>
      </w:r>
    </w:p>
    <w:p>
      <w:pPr>
        <w:numPr>
          <w:ilvl w:val="0"/>
          <w:numId w:val="11"/>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本估价报告自估价报告出具之日2022年8月31日起一年内有效。如果使用本估价结果的时间超过了报告应用的有效期，估价机构对此结果造成的损失不承担责任。</w:t>
      </w:r>
    </w:p>
    <w:p>
      <w:pPr>
        <w:numPr>
          <w:ilvl w:val="0"/>
          <w:numId w:val="11"/>
        </w:numPr>
        <w:spacing w:line="500" w:lineRule="exact"/>
        <w:ind w:left="0" w:firstLine="560" w:firstLineChars="200"/>
        <w:rPr>
          <w:rFonts w:ascii="楷体" w:hAnsi="楷体" w:eastAsia="楷体"/>
          <w:sz w:val="28"/>
          <w:szCs w:val="28"/>
        </w:rPr>
      </w:pPr>
      <w:r>
        <w:rPr>
          <w:rFonts w:hint="eastAsia" w:ascii="楷体" w:hAnsi="楷体" w:eastAsia="楷体"/>
          <w:sz w:val="28"/>
          <w:szCs w:val="28"/>
        </w:rPr>
        <w:t>本估价报告在报告应用的有效期内，估价对象状况或者房地产市场状况发生明显变化的，估价结果应当进行相应调整后才可使用。</w:t>
      </w:r>
    </w:p>
    <w:p>
      <w:pPr>
        <w:numPr>
          <w:ilvl w:val="0"/>
          <w:numId w:val="11"/>
        </w:numPr>
        <w:spacing w:line="500" w:lineRule="exact"/>
        <w:ind w:left="0" w:firstLine="560" w:firstLineChars="200"/>
        <w:rPr>
          <w:rFonts w:ascii="楷体" w:hAnsi="楷体" w:eastAsia="楷体"/>
          <w:sz w:val="28"/>
          <w:szCs w:val="28"/>
        </w:rPr>
      </w:pPr>
      <w:r>
        <w:rPr>
          <w:rFonts w:ascii="楷体" w:hAnsi="楷体" w:eastAsia="楷体"/>
          <w:sz w:val="28"/>
          <w:szCs w:val="28"/>
        </w:rPr>
        <w:t>本报告由北京仁达房地产</w:t>
      </w:r>
      <w:r>
        <w:rPr>
          <w:rFonts w:hint="eastAsia" w:ascii="楷体" w:hAnsi="楷体" w:eastAsia="楷体"/>
          <w:sz w:val="28"/>
          <w:szCs w:val="28"/>
        </w:rPr>
        <w:t>土地资产</w:t>
      </w:r>
      <w:r>
        <w:rPr>
          <w:rFonts w:ascii="楷体" w:hAnsi="楷体" w:eastAsia="楷体"/>
          <w:sz w:val="28"/>
          <w:szCs w:val="28"/>
        </w:rPr>
        <w:t>评估有限公司负责解释</w:t>
      </w:r>
      <w:r>
        <w:rPr>
          <w:rFonts w:hint="eastAsia" w:ascii="楷体" w:hAnsi="楷体" w:eastAsia="楷体"/>
          <w:sz w:val="28"/>
          <w:szCs w:val="28"/>
        </w:rPr>
        <w:t>。</w:t>
      </w:r>
      <w:r>
        <w:rPr>
          <w:rFonts w:ascii="楷体" w:hAnsi="楷体" w:eastAsia="楷体"/>
          <w:sz w:val="28"/>
          <w:szCs w:val="28"/>
        </w:rPr>
        <w:br w:type="page"/>
      </w:r>
    </w:p>
    <w:p>
      <w:pPr>
        <w:spacing w:beforeLines="50" w:afterLines="50" w:line="500" w:lineRule="exact"/>
        <w:jc w:val="center"/>
        <w:outlineLvl w:val="0"/>
        <w:rPr>
          <w:rFonts w:ascii="楷体" w:hAnsi="楷体" w:eastAsia="楷体"/>
          <w:b/>
          <w:sz w:val="32"/>
          <w:szCs w:val="32"/>
        </w:rPr>
      </w:pPr>
      <w:bookmarkStart w:id="16" w:name="_Toc81920479"/>
      <w:bookmarkStart w:id="17" w:name="_Toc437260241"/>
      <w:bookmarkStart w:id="18" w:name="_Toc437266028"/>
      <w:bookmarkStart w:id="19" w:name="_Toc318818627"/>
      <w:bookmarkStart w:id="20" w:name="_Toc436035296"/>
      <w:bookmarkStart w:id="21" w:name="_Toc439238863"/>
      <w:bookmarkStart w:id="22" w:name="_Toc439238888"/>
      <w:r>
        <w:rPr>
          <w:rFonts w:hint="eastAsia" w:ascii="楷体" w:hAnsi="楷体" w:eastAsia="楷体"/>
          <w:b/>
          <w:sz w:val="32"/>
          <w:szCs w:val="32"/>
        </w:rPr>
        <w:t>估价结果报告</w:t>
      </w:r>
      <w:bookmarkEnd w:id="16"/>
      <w:bookmarkEnd w:id="17"/>
      <w:bookmarkEnd w:id="18"/>
      <w:bookmarkEnd w:id="19"/>
      <w:bookmarkEnd w:id="20"/>
      <w:bookmarkEnd w:id="21"/>
      <w:bookmarkEnd w:id="22"/>
    </w:p>
    <w:p>
      <w:pPr>
        <w:pStyle w:val="4"/>
        <w:spacing w:after="120" w:line="500" w:lineRule="exact"/>
        <w:rPr>
          <w:rFonts w:ascii="楷体" w:hAnsi="楷体" w:eastAsia="楷体"/>
          <w:sz w:val="30"/>
          <w:szCs w:val="30"/>
        </w:rPr>
      </w:pPr>
      <w:bookmarkStart w:id="23" w:name="_Toc318818628"/>
      <w:bookmarkStart w:id="24" w:name="_Toc81920480"/>
      <w:bookmarkStart w:id="25" w:name="_Toc439238864"/>
      <w:bookmarkStart w:id="26" w:name="_Toc439238889"/>
      <w:bookmarkStart w:id="27" w:name="_Toc437260242"/>
      <w:bookmarkStart w:id="28" w:name="_Toc436035297"/>
      <w:bookmarkStart w:id="29" w:name="_Toc437266029"/>
      <w:r>
        <w:rPr>
          <w:rFonts w:hint="eastAsia" w:ascii="楷体" w:hAnsi="楷体" w:eastAsia="楷体"/>
          <w:sz w:val="30"/>
          <w:szCs w:val="30"/>
        </w:rPr>
        <w:t>一、估价委托人</w:t>
      </w:r>
      <w:bookmarkEnd w:id="23"/>
      <w:bookmarkEnd w:id="24"/>
      <w:bookmarkEnd w:id="25"/>
      <w:bookmarkEnd w:id="26"/>
      <w:bookmarkEnd w:id="27"/>
      <w:bookmarkEnd w:id="28"/>
      <w:bookmarkEnd w:id="29"/>
    </w:p>
    <w:p>
      <w:pPr>
        <w:pStyle w:val="44"/>
      </w:pPr>
      <w:bookmarkStart w:id="30" w:name="_Toc436035298"/>
      <w:bookmarkStart w:id="31" w:name="_Toc318818629"/>
      <w:r>
        <w:rPr>
          <w:rFonts w:hint="eastAsia"/>
        </w:rPr>
        <w:t>武汉市江夏区人民法院</w:t>
      </w:r>
    </w:p>
    <w:p>
      <w:pPr>
        <w:pStyle w:val="4"/>
        <w:spacing w:after="120" w:line="500" w:lineRule="exact"/>
        <w:rPr>
          <w:rFonts w:ascii="楷体" w:hAnsi="楷体" w:eastAsia="楷体"/>
          <w:sz w:val="30"/>
          <w:szCs w:val="30"/>
        </w:rPr>
      </w:pPr>
      <w:bookmarkStart w:id="32" w:name="_Toc437260243"/>
      <w:bookmarkStart w:id="33" w:name="_Toc439238865"/>
      <w:bookmarkStart w:id="34" w:name="_Toc439238890"/>
      <w:bookmarkStart w:id="35" w:name="_Toc81920481"/>
      <w:bookmarkStart w:id="36" w:name="_Toc437266030"/>
      <w:r>
        <w:rPr>
          <w:rFonts w:hint="eastAsia" w:ascii="楷体" w:hAnsi="楷体" w:eastAsia="楷体"/>
          <w:sz w:val="30"/>
          <w:szCs w:val="30"/>
        </w:rPr>
        <w:t>二、房地产估价机构</w:t>
      </w:r>
      <w:bookmarkEnd w:id="30"/>
      <w:bookmarkEnd w:id="31"/>
      <w:bookmarkEnd w:id="32"/>
      <w:bookmarkEnd w:id="33"/>
      <w:bookmarkEnd w:id="34"/>
      <w:bookmarkEnd w:id="35"/>
      <w:bookmarkEnd w:id="36"/>
    </w:p>
    <w:p>
      <w:pPr>
        <w:spacing w:line="500" w:lineRule="exact"/>
        <w:ind w:firstLine="560" w:firstLineChars="200"/>
        <w:rPr>
          <w:rFonts w:ascii="楷体" w:hAnsi="楷体" w:eastAsia="楷体"/>
          <w:sz w:val="28"/>
          <w:szCs w:val="28"/>
        </w:rPr>
      </w:pPr>
      <w:r>
        <w:rPr>
          <w:rFonts w:hint="eastAsia" w:ascii="楷体" w:hAnsi="楷体" w:eastAsia="楷体"/>
          <w:sz w:val="28"/>
          <w:szCs w:val="28"/>
        </w:rPr>
        <w:t>北京仁达房地产土地资产评估有限公司</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土地估价机构备案函编号：京土估备字[2020]0085号</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房地产备案等级：一级</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证书编号：建房估备字[2013]069号</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法定代表人：于京博</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联 系 人：柯丽娟</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联系电话：（010）88395886</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地址：北京市西城区车公庄大街9号院五栋大楼B座1单元401室</w:t>
      </w:r>
    </w:p>
    <w:p>
      <w:pPr>
        <w:pStyle w:val="44"/>
      </w:pPr>
      <w:r>
        <w:rPr>
          <w:rFonts w:hint="eastAsia"/>
        </w:rPr>
        <w:t>北京仁达房地产土地资产评估有限公司湖北分公司</w:t>
      </w:r>
    </w:p>
    <w:p>
      <w:pPr>
        <w:pStyle w:val="44"/>
      </w:pPr>
      <w:r>
        <w:rPr>
          <w:rFonts w:hint="eastAsia"/>
        </w:rPr>
        <w:t>分支机构负责人：祝翠萍</w:t>
      </w:r>
    </w:p>
    <w:p>
      <w:pPr>
        <w:pStyle w:val="44"/>
      </w:pPr>
      <w:r>
        <w:rPr>
          <w:rFonts w:hint="eastAsia"/>
        </w:rPr>
        <w:t>联系人：陈荣</w:t>
      </w:r>
    </w:p>
    <w:p>
      <w:pPr>
        <w:pStyle w:val="44"/>
      </w:pPr>
      <w:r>
        <w:rPr>
          <w:rFonts w:hint="eastAsia"/>
        </w:rPr>
        <w:t>联系方式：13429807543</w:t>
      </w:r>
    </w:p>
    <w:p>
      <w:pPr>
        <w:pStyle w:val="44"/>
      </w:pPr>
      <w:r>
        <w:rPr>
          <w:rFonts w:hint="eastAsia"/>
        </w:rPr>
        <w:t>湖北分公司地址：武汉市江汉区新华路186号福星国际商会大厦1602-1603室</w:t>
      </w:r>
    </w:p>
    <w:p>
      <w:pPr>
        <w:pStyle w:val="4"/>
        <w:spacing w:after="120" w:line="500" w:lineRule="exact"/>
        <w:rPr>
          <w:rFonts w:ascii="楷体" w:hAnsi="楷体" w:eastAsia="楷体"/>
          <w:sz w:val="30"/>
          <w:szCs w:val="30"/>
        </w:rPr>
      </w:pPr>
      <w:bookmarkStart w:id="37" w:name="_Toc439238891"/>
      <w:bookmarkStart w:id="38" w:name="_Toc436035299"/>
      <w:bookmarkStart w:id="39" w:name="_Toc437266031"/>
      <w:bookmarkStart w:id="40" w:name="_Toc318818630"/>
      <w:bookmarkStart w:id="41" w:name="_Toc81920482"/>
      <w:bookmarkStart w:id="42" w:name="_Toc439238866"/>
      <w:bookmarkStart w:id="43" w:name="_Toc437260244"/>
      <w:r>
        <w:rPr>
          <w:rFonts w:hint="eastAsia" w:ascii="楷体" w:hAnsi="楷体" w:eastAsia="楷体"/>
          <w:sz w:val="30"/>
          <w:szCs w:val="30"/>
        </w:rPr>
        <w:t>三、估价目的</w:t>
      </w:r>
      <w:bookmarkEnd w:id="37"/>
      <w:bookmarkEnd w:id="38"/>
      <w:bookmarkEnd w:id="39"/>
      <w:bookmarkEnd w:id="40"/>
      <w:bookmarkEnd w:id="41"/>
      <w:bookmarkEnd w:id="42"/>
      <w:bookmarkEnd w:id="43"/>
    </w:p>
    <w:p>
      <w:pPr>
        <w:spacing w:line="500" w:lineRule="exact"/>
        <w:ind w:firstLine="560" w:firstLineChars="200"/>
        <w:rPr>
          <w:rFonts w:ascii="楷体" w:hAnsi="楷体" w:eastAsia="楷体"/>
          <w:sz w:val="28"/>
          <w:szCs w:val="28"/>
        </w:rPr>
      </w:pPr>
      <w:r>
        <w:rPr>
          <w:rFonts w:eastAsia="楷体_GB2312"/>
          <w:snapToGrid w:val="0"/>
          <w:kern w:val="0"/>
          <w:sz w:val="28"/>
          <w:szCs w:val="28"/>
        </w:rPr>
        <w:t>为估价委托人解决法律纠纷</w:t>
      </w:r>
      <w:r>
        <w:rPr>
          <w:rFonts w:hint="eastAsia" w:eastAsia="楷体_GB2312"/>
          <w:snapToGrid w:val="0"/>
          <w:kern w:val="0"/>
          <w:sz w:val="28"/>
          <w:szCs w:val="28"/>
        </w:rPr>
        <w:t>，</w:t>
      </w:r>
      <w:r>
        <w:rPr>
          <w:rFonts w:ascii="楷体" w:hAnsi="楷体" w:eastAsia="楷体"/>
          <w:sz w:val="28"/>
          <w:szCs w:val="28"/>
        </w:rPr>
        <w:t>估价对象</w:t>
      </w:r>
      <w:r>
        <w:rPr>
          <w:rFonts w:hint="eastAsia" w:ascii="楷体" w:hAnsi="楷体" w:eastAsia="楷体"/>
          <w:sz w:val="28"/>
          <w:szCs w:val="28"/>
        </w:rPr>
        <w:t>确定财产处置参考价</w:t>
      </w:r>
      <w:r>
        <w:rPr>
          <w:rFonts w:ascii="楷体" w:hAnsi="楷体" w:eastAsia="楷体"/>
          <w:sz w:val="28"/>
          <w:szCs w:val="28"/>
        </w:rPr>
        <w:t>提供参考依据</w:t>
      </w:r>
      <w:r>
        <w:rPr>
          <w:rFonts w:eastAsia="楷体_GB2312"/>
          <w:snapToGrid w:val="0"/>
          <w:kern w:val="0"/>
          <w:sz w:val="28"/>
          <w:szCs w:val="28"/>
        </w:rPr>
        <w:t>而评估房地产市场价值</w:t>
      </w:r>
      <w:r>
        <w:rPr>
          <w:rFonts w:hint="eastAsia" w:ascii="楷体" w:hAnsi="楷体" w:eastAsia="楷体"/>
          <w:sz w:val="28"/>
          <w:szCs w:val="28"/>
        </w:rPr>
        <w:t>。</w:t>
      </w:r>
    </w:p>
    <w:p>
      <w:pPr>
        <w:pStyle w:val="4"/>
        <w:spacing w:after="120" w:line="500" w:lineRule="exact"/>
        <w:rPr>
          <w:rFonts w:ascii="楷体" w:hAnsi="楷体" w:eastAsia="楷体"/>
          <w:sz w:val="30"/>
          <w:szCs w:val="30"/>
        </w:rPr>
      </w:pPr>
      <w:bookmarkStart w:id="44" w:name="_Toc439238892"/>
      <w:bookmarkStart w:id="45" w:name="_Toc437260245"/>
      <w:bookmarkStart w:id="46" w:name="_Toc439238867"/>
      <w:bookmarkStart w:id="47" w:name="_Toc437266032"/>
      <w:bookmarkStart w:id="48" w:name="_Toc318818631"/>
      <w:bookmarkStart w:id="49" w:name="_Toc436035300"/>
      <w:bookmarkStart w:id="50" w:name="_Toc81920483"/>
      <w:r>
        <w:rPr>
          <w:rFonts w:hint="eastAsia" w:ascii="楷体" w:hAnsi="楷体" w:eastAsia="楷体"/>
          <w:sz w:val="30"/>
          <w:szCs w:val="30"/>
        </w:rPr>
        <w:t>四、估价对象</w:t>
      </w:r>
      <w:bookmarkEnd w:id="44"/>
      <w:bookmarkEnd w:id="45"/>
      <w:bookmarkEnd w:id="46"/>
      <w:bookmarkEnd w:id="47"/>
      <w:bookmarkEnd w:id="48"/>
      <w:bookmarkEnd w:id="49"/>
      <w:bookmarkEnd w:id="50"/>
    </w:p>
    <w:p>
      <w:pPr>
        <w:spacing w:line="500" w:lineRule="exact"/>
        <w:ind w:firstLine="560" w:firstLineChars="200"/>
        <w:rPr>
          <w:rFonts w:ascii="楷体" w:hAnsi="楷体" w:eastAsia="楷体"/>
          <w:sz w:val="28"/>
          <w:szCs w:val="28"/>
        </w:rPr>
      </w:pPr>
      <w:r>
        <w:rPr>
          <w:rFonts w:hint="eastAsia" w:ascii="楷体" w:hAnsi="楷体" w:eastAsia="楷体"/>
          <w:sz w:val="28"/>
          <w:szCs w:val="28"/>
        </w:rPr>
        <w:t>（一）估价对象概况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估价对象位于湖北省武汉市江夏区藏龙岛办事处三和光谷道二期6栋1单元8层4室，包括房屋建筑物及其分摊的土地使用权，建筑面积为118.82平方米，房屋用途为住宅</w:t>
      </w:r>
      <w:r>
        <w:rPr>
          <w:rFonts w:ascii="楷体" w:hAnsi="楷体" w:eastAsia="楷体"/>
          <w:sz w:val="28"/>
          <w:szCs w:val="28"/>
        </w:rPr>
        <w:t>。</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（二）区位状况</w:t>
      </w:r>
    </w:p>
    <w:p>
      <w:pPr>
        <w:pStyle w:val="81"/>
        <w:numPr>
          <w:ilvl w:val="0"/>
          <w:numId w:val="12"/>
        </w:numPr>
        <w:spacing w:line="500" w:lineRule="exact"/>
        <w:ind w:left="0" w:firstLine="709" w:firstLineChars="0"/>
        <w:rPr>
          <w:rFonts w:ascii="楷体" w:hAnsi="楷体" w:eastAsia="楷体"/>
          <w:sz w:val="28"/>
          <w:szCs w:val="28"/>
        </w:rPr>
      </w:pPr>
      <w:r>
        <w:rPr>
          <w:rFonts w:ascii="楷体" w:hAnsi="楷体" w:eastAsia="楷体"/>
          <w:sz w:val="28"/>
          <w:szCs w:val="28"/>
        </w:rPr>
        <w:t>位置状况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估价对象</w:t>
      </w:r>
      <w:r>
        <w:rPr>
          <w:rFonts w:ascii="楷体" w:hAnsi="楷体" w:eastAsia="楷体"/>
          <w:sz w:val="28"/>
          <w:szCs w:val="28"/>
        </w:rPr>
        <w:t>位于</w:t>
      </w:r>
      <w:r>
        <w:rPr>
          <w:rFonts w:hint="eastAsia" w:ascii="楷体" w:hAnsi="楷体" w:eastAsia="楷体"/>
          <w:sz w:val="28"/>
          <w:szCs w:val="28"/>
        </w:rPr>
        <w:t>湖北省江夏区藏龙岛办事处三和光谷道二期6栋1单元8层4室，朝向为南北，所在小区东南至灵杰路、西南至光谷大道，西北至高新六路，东北至中冶创业苑，</w:t>
      </w:r>
      <w:r>
        <w:rPr>
          <w:rFonts w:ascii="楷体" w:hAnsi="楷体" w:eastAsia="楷体"/>
          <w:sz w:val="28"/>
          <w:szCs w:val="28"/>
        </w:rPr>
        <w:t>地理位置状况</w:t>
      </w:r>
      <w:r>
        <w:rPr>
          <w:rFonts w:hint="eastAsia" w:ascii="楷体" w:hAnsi="楷体" w:eastAsia="楷体"/>
          <w:sz w:val="28"/>
          <w:szCs w:val="28"/>
        </w:rPr>
        <w:t>较</w:t>
      </w:r>
      <w:r>
        <w:rPr>
          <w:rFonts w:ascii="楷体" w:hAnsi="楷体" w:eastAsia="楷体"/>
          <w:sz w:val="28"/>
          <w:szCs w:val="28"/>
        </w:rPr>
        <w:t>好</w:t>
      </w:r>
      <w:r>
        <w:rPr>
          <w:rFonts w:hint="eastAsia" w:ascii="楷体" w:hAnsi="楷体" w:eastAsia="楷体"/>
          <w:sz w:val="28"/>
          <w:szCs w:val="28"/>
        </w:rPr>
        <w:t>。</w:t>
      </w:r>
    </w:p>
    <w:p>
      <w:pPr>
        <w:pStyle w:val="81"/>
        <w:numPr>
          <w:ilvl w:val="0"/>
          <w:numId w:val="12"/>
        </w:numPr>
        <w:spacing w:line="500" w:lineRule="exact"/>
        <w:ind w:left="0" w:firstLine="709" w:firstLineChars="0"/>
        <w:rPr>
          <w:rFonts w:ascii="楷体" w:hAnsi="楷体" w:eastAsia="楷体"/>
          <w:sz w:val="28"/>
          <w:szCs w:val="28"/>
        </w:rPr>
      </w:pPr>
      <w:r>
        <w:rPr>
          <w:rFonts w:ascii="楷体" w:hAnsi="楷体" w:eastAsia="楷体"/>
          <w:sz w:val="28"/>
          <w:szCs w:val="28"/>
        </w:rPr>
        <w:t>交通状况</w:t>
      </w:r>
    </w:p>
    <w:p>
      <w:pPr>
        <w:spacing w:line="500" w:lineRule="exact"/>
        <w:ind w:firstLine="560" w:firstLineChars="200"/>
        <w:rPr>
          <w:rFonts w:ascii="楷体" w:hAnsi="楷体" w:eastAsia="楷体"/>
          <w:sz w:val="28"/>
          <w:szCs w:val="28"/>
        </w:rPr>
      </w:pPr>
      <w:r>
        <w:rPr>
          <w:rFonts w:ascii="楷体" w:hAnsi="楷体" w:eastAsia="楷体"/>
          <w:sz w:val="28"/>
          <w:szCs w:val="28"/>
        </w:rPr>
        <w:t>估价对象</w:t>
      </w:r>
      <w:r>
        <w:rPr>
          <w:rFonts w:hint="eastAsia" w:ascii="楷体" w:hAnsi="楷体" w:eastAsia="楷体"/>
          <w:sz w:val="28"/>
          <w:szCs w:val="28"/>
        </w:rPr>
        <w:t>所在小区西临光谷大道，道路通达度较好，周边公交线路有117路、380路、405路等5条公交线路,并在周边设高新六路光谷大道站，距轨道交通2号线换乘站藏龙东街站约460米，公共交通较便捷；</w:t>
      </w:r>
      <w:r>
        <w:rPr>
          <w:rFonts w:ascii="楷体" w:hAnsi="楷体" w:eastAsia="楷体"/>
          <w:sz w:val="28"/>
          <w:szCs w:val="28"/>
        </w:rPr>
        <w:t>周边无交通管制，小区内设有</w:t>
      </w:r>
      <w:r>
        <w:rPr>
          <w:rFonts w:hint="eastAsia" w:ascii="楷体" w:hAnsi="楷体" w:eastAsia="楷体"/>
          <w:sz w:val="28"/>
          <w:szCs w:val="28"/>
        </w:rPr>
        <w:t>地下</w:t>
      </w:r>
      <w:r>
        <w:rPr>
          <w:rFonts w:ascii="楷体" w:hAnsi="楷体" w:eastAsia="楷体"/>
          <w:sz w:val="28"/>
          <w:szCs w:val="28"/>
        </w:rPr>
        <w:t>停车位，</w:t>
      </w:r>
      <w:r>
        <w:rPr>
          <w:rFonts w:hint="eastAsia" w:ascii="楷体" w:hAnsi="楷体" w:eastAsia="楷体"/>
          <w:sz w:val="28"/>
          <w:szCs w:val="28"/>
        </w:rPr>
        <w:t>停车位充足，总体停车便捷度较好</w:t>
      </w:r>
      <w:r>
        <w:rPr>
          <w:rFonts w:ascii="楷体" w:hAnsi="楷体" w:eastAsia="楷体"/>
          <w:sz w:val="28"/>
          <w:szCs w:val="28"/>
        </w:rPr>
        <w:t>。</w:t>
      </w:r>
    </w:p>
    <w:p>
      <w:pPr>
        <w:pStyle w:val="81"/>
        <w:numPr>
          <w:ilvl w:val="0"/>
          <w:numId w:val="12"/>
        </w:numPr>
        <w:spacing w:line="500" w:lineRule="exact"/>
        <w:ind w:left="0" w:firstLine="709" w:firstLineChars="0"/>
        <w:rPr>
          <w:rFonts w:ascii="楷体" w:hAnsi="楷体" w:eastAsia="楷体"/>
          <w:sz w:val="28"/>
          <w:szCs w:val="28"/>
        </w:rPr>
      </w:pPr>
      <w:r>
        <w:rPr>
          <w:rFonts w:ascii="楷体" w:hAnsi="楷体" w:eastAsia="楷体"/>
          <w:sz w:val="28"/>
          <w:szCs w:val="28"/>
        </w:rPr>
        <w:t>外部配套设施状况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（1</w:t>
      </w:r>
      <w:r>
        <w:rPr>
          <w:rFonts w:ascii="楷体" w:hAnsi="楷体" w:eastAsia="楷体"/>
          <w:sz w:val="28"/>
          <w:szCs w:val="28"/>
        </w:rPr>
        <w:t>）</w:t>
      </w:r>
      <w:r>
        <w:rPr>
          <w:rFonts w:hint="eastAsia" w:ascii="楷体" w:hAnsi="楷体" w:eastAsia="楷体"/>
          <w:sz w:val="28"/>
          <w:szCs w:val="28"/>
        </w:rPr>
        <w:t>基础设施状况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估价对象所在地区市政基础设施条件达到“六通”（即通路、通电、通上水、通下水、通讯、通燃气），</w:t>
      </w:r>
      <w:r>
        <w:rPr>
          <w:rFonts w:ascii="楷体" w:hAnsi="楷体" w:eastAsia="楷体"/>
          <w:sz w:val="28"/>
          <w:szCs w:val="28"/>
        </w:rPr>
        <w:t>基础设施状况较完善。</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（2</w:t>
      </w:r>
      <w:r>
        <w:rPr>
          <w:rFonts w:ascii="楷体" w:hAnsi="楷体" w:eastAsia="楷体"/>
          <w:sz w:val="28"/>
          <w:szCs w:val="28"/>
        </w:rPr>
        <w:t>）</w:t>
      </w:r>
      <w:r>
        <w:rPr>
          <w:rFonts w:hint="eastAsia" w:ascii="楷体" w:hAnsi="楷体" w:eastAsia="楷体"/>
          <w:sz w:val="28"/>
          <w:szCs w:val="28"/>
        </w:rPr>
        <w:t>公共服务设施状况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周边有当代·国际城乐荟、中国银行(武汉藏龙岛支行)、武汉大学人民医院东院、雅思幼儿园、武汉市光谷第十五小学、武汉市光谷第二高级中学等，公共配套设施较好。</w:t>
      </w:r>
    </w:p>
    <w:p>
      <w:pPr>
        <w:pStyle w:val="81"/>
        <w:numPr>
          <w:ilvl w:val="0"/>
          <w:numId w:val="12"/>
        </w:numPr>
        <w:spacing w:line="500" w:lineRule="exact"/>
        <w:ind w:left="0" w:firstLine="709" w:firstLineChars="0"/>
        <w:rPr>
          <w:rFonts w:ascii="楷体" w:hAnsi="楷体" w:eastAsia="楷体"/>
          <w:sz w:val="28"/>
          <w:szCs w:val="28"/>
        </w:rPr>
      </w:pPr>
      <w:r>
        <w:rPr>
          <w:rFonts w:ascii="楷体" w:hAnsi="楷体" w:eastAsia="楷体"/>
          <w:sz w:val="28"/>
          <w:szCs w:val="28"/>
        </w:rPr>
        <w:t>环境状况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区域内绿化较高，街道整洁，估价对象临光谷大道高架，综合认为环境质量一般。</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（三）权益状况</w:t>
      </w:r>
    </w:p>
    <w:p>
      <w:pPr>
        <w:numPr>
          <w:ilvl w:val="0"/>
          <w:numId w:val="13"/>
        </w:numPr>
        <w:tabs>
          <w:tab w:val="left" w:pos="1134"/>
        </w:tabs>
        <w:spacing w:line="500" w:lineRule="exact"/>
        <w:ind w:left="0" w:firstLine="709"/>
        <w:rPr>
          <w:rFonts w:ascii="楷体" w:hAnsi="楷体" w:eastAsia="楷体"/>
          <w:sz w:val="28"/>
          <w:szCs w:val="28"/>
        </w:rPr>
      </w:pPr>
      <w:r>
        <w:rPr>
          <w:rFonts w:hint="eastAsia" w:ascii="楷体" w:hAnsi="楷体" w:eastAsia="楷体"/>
          <w:sz w:val="28"/>
          <w:szCs w:val="28"/>
        </w:rPr>
        <w:t>不动产权益状况</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估价对象土地所有权属于中华人民共和国。</w:t>
      </w:r>
      <w:r>
        <w:rPr>
          <w:rFonts w:ascii="楷体" w:hAnsi="楷体" w:eastAsia="楷体"/>
          <w:sz w:val="28"/>
          <w:szCs w:val="28"/>
        </w:rPr>
        <w:t>根据估价委托人提供的</w:t>
      </w:r>
      <w:r>
        <w:rPr>
          <w:rFonts w:hint="eastAsia" w:ascii="楷体" w:hAnsi="楷体" w:eastAsia="楷体"/>
          <w:sz w:val="28"/>
          <w:szCs w:val="28"/>
        </w:rPr>
        <w:t>《武汉市不动产权登记信息查询单》和《武汉市不动产抵押信息单》</w:t>
      </w:r>
      <w:r>
        <w:rPr>
          <w:rFonts w:ascii="楷体" w:hAnsi="楷体" w:eastAsia="楷体"/>
          <w:sz w:val="28"/>
          <w:szCs w:val="28"/>
        </w:rPr>
        <w:t>，</w:t>
      </w:r>
      <w:r>
        <w:rPr>
          <w:rFonts w:hint="eastAsia" w:ascii="楷体" w:hAnsi="楷体" w:eastAsia="楷体"/>
          <w:sz w:val="28"/>
          <w:szCs w:val="28"/>
        </w:rPr>
        <w:t>不动产权利人为钱文，不动产性质为市场化商品房，</w:t>
      </w:r>
      <w:r>
        <w:rPr>
          <w:rFonts w:ascii="楷体" w:hAnsi="楷体" w:eastAsia="楷体"/>
          <w:sz w:val="28"/>
          <w:szCs w:val="28"/>
        </w:rPr>
        <w:t>房屋用途为住宅，</w:t>
      </w:r>
      <w:r>
        <w:rPr>
          <w:rFonts w:hint="eastAsia" w:ascii="楷体" w:hAnsi="楷体" w:eastAsia="楷体"/>
          <w:sz w:val="28"/>
          <w:szCs w:val="28"/>
        </w:rPr>
        <w:t>坐落为湖北省武汉市江夏区藏龙岛办事处三和光谷道二期6栋1单元8层4室，房屋建筑面积为118.82平方米，</w:t>
      </w:r>
      <w:r>
        <w:rPr>
          <w:rFonts w:ascii="楷体" w:hAnsi="楷体" w:eastAsia="楷体"/>
          <w:sz w:val="28"/>
          <w:szCs w:val="28"/>
        </w:rPr>
        <w:t>土地使用期限至</w:t>
      </w:r>
      <w:r>
        <w:rPr>
          <w:rFonts w:hint="eastAsia" w:ascii="楷体" w:hAnsi="楷体" w:eastAsia="楷体"/>
          <w:sz w:val="28"/>
          <w:szCs w:val="28"/>
        </w:rPr>
        <w:t>2077年10月28日</w:t>
      </w:r>
      <w:r>
        <w:rPr>
          <w:rFonts w:ascii="楷体" w:hAnsi="楷体" w:eastAsia="楷体"/>
          <w:sz w:val="28"/>
          <w:szCs w:val="28"/>
        </w:rPr>
        <w:t>止，估价对象不动产状况详见下表</w:t>
      </w:r>
      <w:r>
        <w:rPr>
          <w:rFonts w:hint="eastAsia" w:ascii="楷体" w:hAnsi="楷体" w:eastAsia="楷体"/>
          <w:sz w:val="28"/>
          <w:szCs w:val="28"/>
        </w:rPr>
        <w:t>：</w:t>
      </w:r>
    </w:p>
    <w:p>
      <w:pPr>
        <w:pStyle w:val="15"/>
        <w:adjustRightInd w:val="0"/>
        <w:snapToGrid w:val="0"/>
        <w:spacing w:line="500" w:lineRule="exact"/>
        <w:ind w:firstLine="402" w:firstLineChars="200"/>
        <w:jc w:val="center"/>
        <w:rPr>
          <w:rFonts w:ascii="Times New Roman" w:hAnsi="宋体"/>
          <w:b/>
          <w:kern w:val="0"/>
          <w:sz w:val="20"/>
        </w:rPr>
      </w:pPr>
      <w:r>
        <w:rPr>
          <w:rFonts w:hint="eastAsia" w:ascii="Times New Roman" w:hAnsi="宋体"/>
          <w:b/>
          <w:kern w:val="0"/>
          <w:sz w:val="20"/>
        </w:rPr>
        <w:t>武汉市不动产权登记信息查询单</w:t>
      </w:r>
    </w:p>
    <w:tbl>
      <w:tblPr>
        <w:tblStyle w:val="3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307"/>
        <w:gridCol w:w="63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打印时间</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2022年2月21日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权利人</w:t>
            </w:r>
          </w:p>
        </w:tc>
        <w:tc>
          <w:tcPr>
            <w:tcW w:w="631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钱文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共有情况</w:t>
            </w:r>
          </w:p>
        </w:tc>
        <w:tc>
          <w:tcPr>
            <w:tcW w:w="631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单独所有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不动产坐落</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江夏区藏龙岛办事处三和光谷道二期6栋1单元8层4室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总层/所在楼层</w:t>
            </w:r>
          </w:p>
        </w:tc>
        <w:tc>
          <w:tcPr>
            <w:tcW w:w="631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不动产单元号</w:t>
            </w:r>
          </w:p>
        </w:tc>
        <w:tc>
          <w:tcPr>
            <w:tcW w:w="631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420115003007GB00051F00070056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建筑面积（平方米）</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118.82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土地使用权面积（平方米）</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35185.8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权利类型</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国有建设用地使用权/房屋（构筑物）所有权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登记类型</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转移登记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权利性质</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出让/市场化商品房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用途</w:t>
            </w:r>
          </w:p>
        </w:tc>
        <w:tc>
          <w:tcPr>
            <w:tcW w:w="631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城镇住宅用地/住宅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房屋结构</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钢筋混凝土结构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土地使用期限</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起至2077-10-28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不动产权证号</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鄂（2017）武汉市江夏不动产权第0047828号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证书编号</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D42001962775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登记簿时间</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2017/12/8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证书附记</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1、转移登记</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2、设立抵押预告登记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权证状态</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有效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抵押状态</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已抵押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查封限制</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未查封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挂失状态</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无限制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异议状态</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无异议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7" w:type="dxa"/>
            <w:tcBorders>
              <w:tl2br w:val="nil"/>
              <w:tr2bl w:val="nil"/>
            </w:tcBorders>
            <w:shd w:val="clear" w:color="auto" w:fill="auto"/>
            <w:noWrap/>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居住权状态</w:t>
            </w:r>
          </w:p>
        </w:tc>
        <w:tc>
          <w:tcPr>
            <w:tcW w:w="631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未设置</w:t>
            </w:r>
          </w:p>
        </w:tc>
      </w:tr>
    </w:tbl>
    <w:p>
      <w:pPr>
        <w:numPr>
          <w:ilvl w:val="0"/>
          <w:numId w:val="13"/>
        </w:numPr>
        <w:tabs>
          <w:tab w:val="left" w:pos="1134"/>
        </w:tabs>
        <w:spacing w:line="500" w:lineRule="exact"/>
        <w:ind w:left="0" w:firstLine="709"/>
        <w:rPr>
          <w:rFonts w:ascii="楷体" w:hAnsi="楷体" w:eastAsia="楷体"/>
          <w:sz w:val="28"/>
          <w:szCs w:val="28"/>
        </w:rPr>
      </w:pPr>
      <w:r>
        <w:rPr>
          <w:rFonts w:hint="eastAsia" w:ascii="楷体" w:hAnsi="楷体" w:eastAsia="楷体"/>
          <w:sz w:val="28"/>
          <w:szCs w:val="28"/>
        </w:rPr>
        <w:t>其他权利状况</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根据《武汉市不动产抵押信息单》和《武汉市不动产权登记信息查询单》，至价值时点，估价对象存在未注销的抵押权，</w:t>
      </w:r>
      <w:r>
        <w:rPr>
          <w:rFonts w:ascii="楷体" w:hAnsi="楷体" w:eastAsia="楷体"/>
          <w:sz w:val="28"/>
          <w:szCs w:val="28"/>
        </w:rPr>
        <w:t>情况详见下表</w:t>
      </w:r>
    </w:p>
    <w:p>
      <w:pPr>
        <w:pStyle w:val="2"/>
        <w:ind w:left="420"/>
        <w:jc w:val="center"/>
        <w:rPr>
          <w:rFonts w:hAnsi="宋体"/>
          <w:b/>
          <w:kern w:val="0"/>
          <w:sz w:val="20"/>
        </w:rPr>
      </w:pPr>
      <w:r>
        <w:rPr>
          <w:rFonts w:hint="eastAsia" w:hAnsi="宋体"/>
          <w:b/>
          <w:kern w:val="0"/>
          <w:sz w:val="20"/>
        </w:rPr>
        <w:t>武汉市不动产抵押信息单</w:t>
      </w:r>
    </w:p>
    <w:tbl>
      <w:tblPr>
        <w:tblStyle w:val="31"/>
        <w:tblW w:w="74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35"/>
        <w:gridCol w:w="53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打印时间</w:t>
            </w:r>
          </w:p>
        </w:tc>
        <w:tc>
          <w:tcPr>
            <w:tcW w:w="533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抵押人</w:t>
            </w:r>
          </w:p>
        </w:tc>
        <w:tc>
          <w:tcPr>
            <w:tcW w:w="53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钱文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抵押权人</w:t>
            </w:r>
          </w:p>
        </w:tc>
        <w:tc>
          <w:tcPr>
            <w:tcW w:w="53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重庆两江新区寰润小额贷款有限公司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抵押物坐落</w:t>
            </w:r>
          </w:p>
        </w:tc>
        <w:tc>
          <w:tcPr>
            <w:tcW w:w="533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江夏区藏龙岛办事处长咀村三和光谷道二期6栋1单元8层4室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权证号</w:t>
            </w:r>
          </w:p>
        </w:tc>
        <w:tc>
          <w:tcPr>
            <w:tcW w:w="533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鄂（2017）武汉市江夏不动产权第0047828号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抵押建筑面积（平方米）</w:t>
            </w:r>
          </w:p>
        </w:tc>
        <w:tc>
          <w:tcPr>
            <w:tcW w:w="533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118.82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被担保债权数额</w:t>
            </w:r>
          </w:p>
        </w:tc>
        <w:tc>
          <w:tcPr>
            <w:tcW w:w="53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128万元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履行债务期限</w:t>
            </w:r>
          </w:p>
        </w:tc>
        <w:tc>
          <w:tcPr>
            <w:tcW w:w="53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2019/5/24至2020/5/23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抵押类型</w:t>
            </w:r>
          </w:p>
        </w:tc>
        <w:tc>
          <w:tcPr>
            <w:tcW w:w="53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一般抵押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抵押设定日期</w:t>
            </w:r>
          </w:p>
        </w:tc>
        <w:tc>
          <w:tcPr>
            <w:tcW w:w="5335" w:type="dxa"/>
            <w:tcBorders>
              <w:tl2br w:val="nil"/>
              <w:tr2bl w:val="nil"/>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2019/5/27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1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打印时间</w:t>
            </w:r>
          </w:p>
        </w:tc>
        <w:tc>
          <w:tcPr>
            <w:tcW w:w="5335"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2022/2/21</w:t>
            </w:r>
          </w:p>
        </w:tc>
      </w:tr>
    </w:tbl>
    <w:p>
      <w:pPr>
        <w:spacing w:line="500" w:lineRule="exact"/>
        <w:ind w:firstLine="560" w:firstLineChars="200"/>
        <w:rPr>
          <w:rFonts w:ascii="楷体" w:hAnsi="楷体" w:eastAsia="楷体"/>
          <w:sz w:val="28"/>
          <w:szCs w:val="28"/>
        </w:rPr>
      </w:pPr>
      <w:r>
        <w:rPr>
          <w:rFonts w:hint="eastAsia" w:ascii="楷体" w:hAnsi="楷体" w:eastAsia="楷体"/>
          <w:sz w:val="28"/>
          <w:szCs w:val="28"/>
        </w:rPr>
        <w:t>根据估价委托人提供的打印时间为2022年2月21日《武汉市不动产权登记信息查询单》记载，估价对象未查封，根据估价人员现场查勘及向案件执行法官了解，估价对象于价值时点已查封。</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除此之外，价值时点，估价师了解知悉的估价对象未发现存在租赁权等其他权利状况。</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（四）实物状况</w:t>
      </w:r>
    </w:p>
    <w:p>
      <w:pPr>
        <w:numPr>
          <w:ilvl w:val="0"/>
          <w:numId w:val="14"/>
        </w:numPr>
        <w:tabs>
          <w:tab w:val="left" w:pos="1134"/>
        </w:tabs>
        <w:spacing w:line="500" w:lineRule="exact"/>
        <w:ind w:left="0" w:firstLine="709"/>
        <w:rPr>
          <w:rFonts w:ascii="楷体" w:hAnsi="楷体" w:eastAsia="楷体"/>
          <w:sz w:val="28"/>
          <w:szCs w:val="28"/>
        </w:rPr>
      </w:pPr>
      <w:r>
        <w:rPr>
          <w:rFonts w:hint="eastAsia" w:ascii="楷体" w:hAnsi="楷体" w:eastAsia="楷体"/>
          <w:sz w:val="28"/>
          <w:szCs w:val="28"/>
        </w:rPr>
        <w:t>土地实物状况</w:t>
      </w:r>
    </w:p>
    <w:p>
      <w:pPr>
        <w:spacing w:line="500" w:lineRule="exact"/>
        <w:ind w:firstLine="560" w:firstLineChars="200"/>
        <w:rPr>
          <w:rFonts w:ascii="楷体" w:hAnsi="楷体" w:eastAsia="楷体"/>
          <w:sz w:val="28"/>
          <w:szCs w:val="28"/>
        </w:rPr>
      </w:pPr>
      <w:r>
        <w:rPr>
          <w:rFonts w:ascii="楷体" w:hAnsi="楷体" w:eastAsia="楷体"/>
          <w:sz w:val="28"/>
          <w:szCs w:val="28"/>
        </w:rPr>
        <w:t>估价对象所在楼土地位于</w:t>
      </w:r>
      <w:r>
        <w:rPr>
          <w:rFonts w:hint="eastAsia" w:ascii="楷体" w:hAnsi="楷体" w:eastAsia="楷体"/>
          <w:sz w:val="28"/>
          <w:szCs w:val="28"/>
        </w:rPr>
        <w:t>湖北省武汉市江夏区藏龙岛办事处三和光谷道二期6栋1单元8层4室，所在小区</w:t>
      </w:r>
      <w:r>
        <w:rPr>
          <w:rFonts w:ascii="楷体" w:hAnsi="楷体" w:eastAsia="楷体"/>
          <w:sz w:val="28"/>
          <w:szCs w:val="28"/>
        </w:rPr>
        <w:t>土地四至为</w:t>
      </w:r>
      <w:r>
        <w:rPr>
          <w:rFonts w:hint="eastAsia" w:ascii="楷体" w:hAnsi="楷体" w:eastAsia="楷体"/>
          <w:sz w:val="28"/>
          <w:szCs w:val="28"/>
        </w:rPr>
        <w:t>东南至灵杰路、西南至光谷大道，西北至高新六路，东北至中冶创业苑</w:t>
      </w:r>
      <w:r>
        <w:rPr>
          <w:rFonts w:ascii="楷体" w:hAnsi="楷体" w:eastAsia="楷体"/>
          <w:sz w:val="28"/>
          <w:szCs w:val="28"/>
        </w:rPr>
        <w:t>，</w:t>
      </w:r>
      <w:r>
        <w:rPr>
          <w:rFonts w:hint="eastAsia" w:ascii="楷体" w:hAnsi="楷体" w:eastAsia="楷体"/>
          <w:sz w:val="28"/>
          <w:szCs w:val="28"/>
        </w:rPr>
        <w:t>宗地形状较规则，土地平坦，宗地地质、土壤条件良好，可以满足高层建筑对地基承载力的需求。</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宗地红线外基础设施达到“六通”（即通路、通电、通上水、通下水、通讯、通燃气），红线内“六通”（即通路、通电、通上水、通下水、通讯、通燃气）。</w:t>
      </w:r>
    </w:p>
    <w:p>
      <w:pPr>
        <w:numPr>
          <w:ilvl w:val="0"/>
          <w:numId w:val="14"/>
        </w:numPr>
        <w:tabs>
          <w:tab w:val="left" w:pos="1134"/>
        </w:tabs>
        <w:spacing w:line="500" w:lineRule="exact"/>
        <w:ind w:left="0" w:firstLine="709"/>
        <w:rPr>
          <w:rFonts w:ascii="楷体" w:hAnsi="楷体" w:eastAsia="楷体"/>
          <w:sz w:val="28"/>
          <w:szCs w:val="28"/>
        </w:rPr>
      </w:pPr>
      <w:r>
        <w:rPr>
          <w:rFonts w:hint="eastAsia" w:ascii="楷体" w:hAnsi="楷体" w:eastAsia="楷体"/>
          <w:sz w:val="28"/>
          <w:szCs w:val="28"/>
        </w:rPr>
        <w:t>建筑物实物状况</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根据估价委托人提供的《武汉市不动产权登记信息查询单》和《武汉市不动产抵押信息单》，估价对象房屋坐落为湖北省武汉市江夏区藏龙岛办事处三和光谷道二期6栋1单元8层4室，所在楼栋建筑形式为板楼，建成于2014年，结构为钢混，房屋总层数为26层，估价对象所在层数为8层，建筑面积118.82平方米，房屋用途为住宅。</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根据查勘人员现场查勘，估价对象为第8层，朝向为南北。估价对象建筑物装饰装修、设施设备状况如下：</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外立面：贴外墙砖；内墙面：部分刷乳胶漆，部分贴墙砖；地面：部分铺复合地板，部分铺地砖；天花：部分为铝扣板，部分刷乳胶漆；门窗：塑钢窗，木门；</w:t>
      </w:r>
    </w:p>
    <w:p>
      <w:pPr>
        <w:tabs>
          <w:tab w:val="left" w:pos="1134"/>
        </w:tabs>
        <w:spacing w:line="500" w:lineRule="exact"/>
        <w:ind w:firstLine="560" w:firstLineChars="200"/>
        <w:rPr>
          <w:rFonts w:ascii="楷体" w:hAnsi="楷体" w:eastAsia="楷体"/>
          <w:sz w:val="28"/>
          <w:szCs w:val="28"/>
        </w:rPr>
      </w:pPr>
      <w:r>
        <w:rPr>
          <w:rFonts w:hint="eastAsia" w:ascii="楷体" w:hAnsi="楷体" w:eastAsia="楷体"/>
          <w:sz w:val="28"/>
          <w:szCs w:val="28"/>
        </w:rPr>
        <w:t>设施设备状况：估价对象所在单元内配有2部垂直电梯、电话接口、有线电视、专用宽带、对讲系统、管道燃气等，设施设备齐全。</w:t>
      </w:r>
    </w:p>
    <w:p>
      <w:pPr>
        <w:pStyle w:val="4"/>
        <w:spacing w:after="120" w:line="500" w:lineRule="exact"/>
        <w:rPr>
          <w:rFonts w:ascii="楷体" w:hAnsi="楷体" w:eastAsia="楷体"/>
          <w:sz w:val="30"/>
          <w:szCs w:val="30"/>
        </w:rPr>
      </w:pPr>
      <w:bookmarkStart w:id="51" w:name="_Toc318818632"/>
      <w:bookmarkStart w:id="52" w:name="_Toc439238868"/>
      <w:bookmarkStart w:id="53" w:name="_Toc436035301"/>
      <w:bookmarkStart w:id="54" w:name="_Toc81920484"/>
      <w:bookmarkStart w:id="55" w:name="_Toc437260246"/>
      <w:bookmarkStart w:id="56" w:name="_Toc439238893"/>
      <w:bookmarkStart w:id="57" w:name="_Toc437266033"/>
      <w:r>
        <w:rPr>
          <w:rFonts w:hint="eastAsia" w:ascii="楷体" w:hAnsi="楷体" w:eastAsia="楷体"/>
          <w:sz w:val="30"/>
          <w:szCs w:val="30"/>
        </w:rPr>
        <w:t>五、价值时点</w:t>
      </w:r>
      <w:bookmarkEnd w:id="51"/>
      <w:bookmarkEnd w:id="52"/>
      <w:bookmarkEnd w:id="53"/>
      <w:bookmarkEnd w:id="54"/>
      <w:bookmarkEnd w:id="55"/>
      <w:bookmarkEnd w:id="56"/>
      <w:bookmarkEnd w:id="57"/>
    </w:p>
    <w:p>
      <w:pPr>
        <w:spacing w:line="500" w:lineRule="exact"/>
        <w:ind w:firstLine="560" w:firstLineChars="200"/>
      </w:pPr>
      <w:r>
        <w:rPr>
          <w:rFonts w:hint="eastAsia" w:ascii="楷体" w:hAnsi="楷体" w:eastAsia="楷体"/>
          <w:sz w:val="28"/>
          <w:szCs w:val="28"/>
        </w:rPr>
        <w:t>2022年8月23日</w:t>
      </w:r>
      <w:r>
        <w:rPr>
          <w:rFonts w:ascii="楷体" w:hAnsi="楷体" w:eastAsia="楷体"/>
          <w:sz w:val="28"/>
          <w:szCs w:val="28"/>
        </w:rPr>
        <w:t>（实地查勘之日）</w:t>
      </w:r>
    </w:p>
    <w:p>
      <w:pPr>
        <w:pStyle w:val="4"/>
        <w:spacing w:after="120" w:line="500" w:lineRule="exact"/>
        <w:rPr>
          <w:rFonts w:ascii="楷体" w:hAnsi="楷体" w:eastAsia="楷体"/>
          <w:sz w:val="30"/>
          <w:szCs w:val="30"/>
        </w:rPr>
      </w:pPr>
      <w:bookmarkStart w:id="58" w:name="_Toc436035302"/>
      <w:bookmarkStart w:id="59" w:name="_Toc318818633"/>
      <w:bookmarkStart w:id="60" w:name="_Toc437266034"/>
      <w:bookmarkStart w:id="61" w:name="_Toc439238894"/>
      <w:bookmarkStart w:id="62" w:name="_Toc81920485"/>
      <w:bookmarkStart w:id="63" w:name="_Toc439238869"/>
      <w:bookmarkStart w:id="64" w:name="_Toc437260247"/>
      <w:r>
        <w:rPr>
          <w:rFonts w:hint="eastAsia" w:ascii="楷体" w:hAnsi="楷体" w:eastAsia="楷体"/>
          <w:sz w:val="30"/>
          <w:szCs w:val="30"/>
        </w:rPr>
        <w:t>六、价值类型</w:t>
      </w:r>
      <w:bookmarkEnd w:id="58"/>
      <w:bookmarkEnd w:id="59"/>
      <w:bookmarkEnd w:id="60"/>
      <w:bookmarkEnd w:id="61"/>
      <w:bookmarkEnd w:id="62"/>
      <w:bookmarkEnd w:id="63"/>
      <w:bookmarkEnd w:id="64"/>
    </w:p>
    <w:p>
      <w:pPr>
        <w:spacing w:line="500" w:lineRule="exact"/>
        <w:ind w:firstLine="560" w:firstLineChars="200"/>
        <w:rPr>
          <w:rFonts w:ascii="楷体" w:hAnsi="楷体" w:eastAsia="楷体"/>
          <w:sz w:val="28"/>
          <w:szCs w:val="28"/>
        </w:rPr>
      </w:pPr>
      <w:r>
        <w:rPr>
          <w:rFonts w:ascii="楷体" w:hAnsi="楷体" w:eastAsia="楷体"/>
          <w:sz w:val="28"/>
          <w:szCs w:val="28"/>
        </w:rPr>
        <w:t>本次评估的价值是估价对象在价值时点</w:t>
      </w:r>
      <w:r>
        <w:rPr>
          <w:rFonts w:hint="eastAsia" w:ascii="楷体" w:hAnsi="楷体" w:eastAsia="楷体"/>
          <w:sz w:val="28"/>
          <w:szCs w:val="28"/>
        </w:rPr>
        <w:t>2022年8月23日</w:t>
      </w:r>
      <w:r>
        <w:rPr>
          <w:rFonts w:ascii="楷体" w:hAnsi="楷体" w:eastAsia="楷体"/>
          <w:sz w:val="28"/>
          <w:szCs w:val="28"/>
        </w:rPr>
        <w:t>在假设及限制条件下的房地产市场价值，</w:t>
      </w:r>
      <w:r>
        <w:rPr>
          <w:rFonts w:hint="eastAsia" w:ascii="楷体" w:hAnsi="楷体" w:eastAsia="楷体"/>
          <w:sz w:val="28"/>
          <w:szCs w:val="28"/>
        </w:rPr>
        <w:t>包括房屋建筑物及其分摊土地使用权价值。</w:t>
      </w:r>
    </w:p>
    <w:p>
      <w:pPr>
        <w:pStyle w:val="4"/>
        <w:spacing w:after="120" w:line="500" w:lineRule="exact"/>
        <w:rPr>
          <w:rFonts w:ascii="楷体" w:hAnsi="楷体" w:eastAsia="楷体"/>
          <w:sz w:val="30"/>
          <w:szCs w:val="30"/>
        </w:rPr>
      </w:pPr>
      <w:bookmarkStart w:id="65" w:name="_Toc437260248"/>
      <w:bookmarkStart w:id="66" w:name="_Toc439238895"/>
      <w:bookmarkStart w:id="67" w:name="_Toc437266035"/>
      <w:bookmarkStart w:id="68" w:name="_Toc439238870"/>
      <w:bookmarkStart w:id="69" w:name="_Toc436035303"/>
      <w:bookmarkStart w:id="70" w:name="_Toc81920486"/>
      <w:bookmarkStart w:id="71" w:name="_Toc318818634"/>
      <w:r>
        <w:rPr>
          <w:rFonts w:hint="eastAsia" w:ascii="楷体" w:hAnsi="楷体" w:eastAsia="楷体"/>
          <w:sz w:val="30"/>
          <w:szCs w:val="30"/>
        </w:rPr>
        <w:t>七、估价原则</w:t>
      </w:r>
      <w:bookmarkEnd w:id="65"/>
      <w:bookmarkEnd w:id="66"/>
      <w:bookmarkEnd w:id="67"/>
      <w:bookmarkEnd w:id="68"/>
      <w:bookmarkEnd w:id="69"/>
      <w:bookmarkEnd w:id="70"/>
    </w:p>
    <w:p>
      <w:pPr>
        <w:spacing w:line="500" w:lineRule="exact"/>
        <w:ind w:firstLine="560" w:firstLineChars="200"/>
        <w:rPr>
          <w:rFonts w:ascii="楷体" w:hAnsi="楷体" w:eastAsia="楷体"/>
          <w:sz w:val="28"/>
          <w:szCs w:val="28"/>
        </w:rPr>
      </w:pPr>
      <w:r>
        <w:rPr>
          <w:rFonts w:ascii="楷体" w:hAnsi="楷体" w:eastAsia="楷体"/>
          <w:sz w:val="28"/>
          <w:szCs w:val="28"/>
        </w:rPr>
        <w:t>在本次估价作业中，我们遵循的原则如下：</w:t>
      </w:r>
    </w:p>
    <w:p>
      <w:pPr>
        <w:numPr>
          <w:ilvl w:val="0"/>
          <w:numId w:val="15"/>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独立、客观、公正原则</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要求站在中立的立场上，实事求是、公平正直地评估出对各方估价利害关系人均是公平合理的价值或价格的原则。评估出的价值如果不够公平合理，必然会损害当事人中某一方的利益，也有损于房地产估价人员、估价机构以至于整个估价行业的社会公信力和声誉。</w:t>
      </w:r>
    </w:p>
    <w:p>
      <w:pPr>
        <w:numPr>
          <w:ilvl w:val="0"/>
          <w:numId w:val="15"/>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合法原则</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pPr>
        <w:numPr>
          <w:ilvl w:val="0"/>
          <w:numId w:val="15"/>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价值时点原则</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要求估价结果是在根据估价目的确定的某一特定时间的价值或价格的原则。</w:t>
      </w:r>
    </w:p>
    <w:p>
      <w:pPr>
        <w:numPr>
          <w:ilvl w:val="0"/>
          <w:numId w:val="15"/>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替代原则</w:t>
      </w:r>
    </w:p>
    <w:p>
      <w:pPr>
        <w:spacing w:line="500" w:lineRule="exact"/>
        <w:ind w:firstLine="560" w:firstLineChars="200"/>
        <w:rPr>
          <w:rFonts w:ascii="楷体" w:hAnsi="楷体" w:eastAsia="楷体"/>
          <w:sz w:val="28"/>
          <w:szCs w:val="28"/>
        </w:rPr>
      </w:pPr>
      <w:r>
        <w:rPr>
          <w:rFonts w:ascii="楷体" w:hAnsi="楷体" w:eastAsia="楷体"/>
          <w:sz w:val="28"/>
          <w:szCs w:val="28"/>
        </w:rPr>
        <w:t>替代原则要求估价结果与估价对象的类似房地产在同等条件下的价值或价格偏差在合理范围内。类似房地产是指与估价对象处在同一供求范围内，并在用途、规模、档次、建筑结构等方面与估价对象相同或相近的房地产。同一供求范围是指与估价对象相同或相近的房地产所处的区域范围。</w:t>
      </w:r>
    </w:p>
    <w:p>
      <w:pPr>
        <w:numPr>
          <w:ilvl w:val="0"/>
          <w:numId w:val="15"/>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最高最佳利用原则</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要求估价结果是在估价对象最高最佳利用状况下的价值或价格的原则。它是指法律上允许，技术上可能，财务上可行并使价值最大的合理、可能的利用，包括最佳的用途、规模、档次等。</w:t>
      </w:r>
    </w:p>
    <w:p>
      <w:pPr>
        <w:pStyle w:val="4"/>
        <w:spacing w:after="120" w:line="500" w:lineRule="exact"/>
        <w:rPr>
          <w:rFonts w:ascii="楷体" w:hAnsi="楷体" w:eastAsia="楷体"/>
          <w:sz w:val="30"/>
          <w:szCs w:val="30"/>
        </w:rPr>
      </w:pPr>
      <w:bookmarkStart w:id="72" w:name="_Toc437260249"/>
      <w:bookmarkStart w:id="73" w:name="_Toc437266036"/>
      <w:bookmarkStart w:id="74" w:name="_Toc439238896"/>
      <w:bookmarkStart w:id="75" w:name="_Toc439238871"/>
      <w:bookmarkStart w:id="76" w:name="_Toc436035304"/>
      <w:bookmarkStart w:id="77" w:name="_Toc81920487"/>
      <w:r>
        <w:rPr>
          <w:rFonts w:hint="eastAsia" w:ascii="楷体" w:hAnsi="楷体" w:eastAsia="楷体"/>
          <w:sz w:val="30"/>
          <w:szCs w:val="30"/>
        </w:rPr>
        <w:t>八、估价依据</w:t>
      </w:r>
      <w:bookmarkEnd w:id="71"/>
      <w:bookmarkEnd w:id="72"/>
      <w:bookmarkEnd w:id="73"/>
      <w:bookmarkEnd w:id="74"/>
      <w:bookmarkEnd w:id="75"/>
      <w:bookmarkEnd w:id="76"/>
      <w:bookmarkEnd w:id="77"/>
    </w:p>
    <w:p>
      <w:pPr>
        <w:spacing w:line="500" w:lineRule="exact"/>
        <w:ind w:firstLine="560" w:firstLineChars="200"/>
        <w:rPr>
          <w:rFonts w:ascii="楷体" w:hAnsi="楷体" w:eastAsia="楷体"/>
          <w:sz w:val="28"/>
          <w:szCs w:val="28"/>
        </w:rPr>
      </w:pPr>
      <w:r>
        <w:rPr>
          <w:rFonts w:ascii="楷体" w:hAnsi="楷体" w:eastAsia="楷体"/>
          <w:sz w:val="28"/>
          <w:szCs w:val="28"/>
        </w:rPr>
        <w:t>（一）本次估价所依据的有关法律、法规和政策文件</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《中华人民共和国民法典》（2020年5月28日十三届全国人大三次会议通过，2021年1月1日实施）</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《中华人民共和国土地管理法》（1986年6月25日第六届全国人民代表大会常务委员会第十六次会议通过，自1987年1月1日起施行， 2019年8月26日第十三届全国人民代表大会常务委员会第十二次会议《关于修改〈中华人民共和国土地管理法〉、〈中华人民共和国城市房地产管理法〉的决定》第三次修正）</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城市房地产管理法》（1998年12月27日中华人民共和国国务院令第256号发布，自1999年1月1日起施行，根据2011年1月8日《国务院关于废止和修改部分行政法规的决定》第一次修订，根据2014年7月29日《国务院关于修改部分行政法规的决定》第二次修订，2021年7月2日中华人民共和国国务院令第743号第三次修订，2021年9月1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城乡规划法》（2007年10月28日第十届全国人民代表大会常务委员会第三十次会议通过，自2008年1月1日起施行，根据2019年4月23日第十三届全国人民代表大会常务委员会第十次会议《关于修改《中华人民共和国建筑法》等八部法律的决定》第二次修正）</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《中华人民共和国资产评估法》（中华人民共和国主席令第四十六号，2016年7月2日第十二届全国人民代表大会常务委员会第二十一次会议通过，自2016年12月1日起施行）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土地管理法实施条例》（1998年12月27日中华人民共和国国务院令第256号发布，自1999年1月1日起施行，根据2011年1月8日《国务院关于废止和修改部分行政法规的决定》第一次修订，根据2014年7月29日《国务院关于修改部分行政法规的决定》第二次修订，2021年7月2日中华人民共和国国务院令第743号第三次修订，2021年9月1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《中华人民共和国城镇国有土地使用权出让和转让暂行条例》（（中华人民共和国国务院令第55号，1990年5月19日，自发布之日起施行，根据2020年11月29日《国务院关于修改和废止部分行政法规的决定》修订）</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《节约集约利用土地规定》（国土资源部令第61号，2014年3月27日国土资源部第1次部务会议通过，自2014年9月1日起实施）</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《国土资源部办公厅关于实施&lt;城镇土地分等定级规程&gt;和&lt;城镇土地估价规程&gt;有关问题的通知》（国土资厅发〔2015〕12号）</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《招标拍卖挂牌出让国有建设用地使用权规定》（国土资源部令第39号，2007年9月21日国土资源部第3次部务会议审议通过，自2007年11月1日起施行）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《不动产登记暂行条例》（中华人民共和国国务院令第656号，自2015年3月1日起施行）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《不动产登记暂行条例实施细则》（2016年1月1日 国土资源部令第63号公布，根据2019年7月16日自然资源部第2次部务会《自然资源部关于废止和修改的第一批部门规章的决定》修正，公布之日起施行）；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《国务院关于加强土地调控有关问题的通知》（国发〔2001〕15号，2001年4月30日）</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《国务院关于深化改革严格土地管理的决定》（国发〔2004〕28号，2004年10月21日）</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国土资源部办公厅关于印发《国有建设用地使用权出让地价评估技术规范》的通知（国土资厅发[2018]4号，2018年4月9日起施行）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ascii="楷体" w:hAnsi="楷体" w:eastAsia="楷体"/>
          <w:sz w:val="28"/>
          <w:szCs w:val="28"/>
        </w:rPr>
        <w:t>《国土资源部关于贯彻实施&lt;中华人民共和国资产评估法&gt;的通知》（国土资发[2016]181号，2016年11月15日公布）</w:t>
      </w:r>
    </w:p>
    <w:p>
      <w:pPr>
        <w:numPr>
          <w:ilvl w:val="0"/>
          <w:numId w:val="16"/>
        </w:numPr>
        <w:tabs>
          <w:tab w:val="left" w:pos="851"/>
        </w:tabs>
        <w:spacing w:line="500" w:lineRule="exact"/>
        <w:ind w:left="0" w:firstLine="560" w:firstLineChars="200"/>
        <w:rPr>
          <w:rFonts w:ascii="楷体" w:hAnsi="楷体" w:eastAsia="楷体"/>
          <w:sz w:val="28"/>
          <w:szCs w:val="28"/>
        </w:rPr>
      </w:pPr>
      <w:r>
        <w:rPr>
          <w:rFonts w:hint="eastAsia" w:ascii="楷体" w:hAnsi="楷体" w:eastAsia="楷体"/>
          <w:sz w:val="28"/>
          <w:szCs w:val="28"/>
        </w:rPr>
        <w:t>《最高人民法院关于人民法院执行工作中若干问题的规定（试行）》（2018年7月16日）</w:t>
      </w:r>
    </w:p>
    <w:p>
      <w:pPr>
        <w:numPr>
          <w:ilvl w:val="0"/>
          <w:numId w:val="16"/>
        </w:numPr>
        <w:tabs>
          <w:tab w:val="left" w:pos="851"/>
        </w:tabs>
        <w:spacing w:line="500" w:lineRule="exact"/>
        <w:ind w:left="0" w:firstLine="560" w:firstLineChars="200"/>
        <w:rPr>
          <w:rFonts w:ascii="楷体" w:hAnsi="楷体" w:eastAsia="楷体"/>
          <w:sz w:val="28"/>
          <w:szCs w:val="28"/>
        </w:rPr>
      </w:pPr>
      <w:r>
        <w:rPr>
          <w:rFonts w:hint="eastAsia" w:ascii="楷体" w:hAnsi="楷体" w:eastAsia="楷体"/>
          <w:sz w:val="28"/>
          <w:szCs w:val="28"/>
        </w:rPr>
        <w:t>《最高人民法院关于人民法院民事执行中拍卖、变卖财产的规定》（法释〔2004〕16号，2004年10月26日最高人民法院审判委员会第1330次会议通过，根据2020年12月23日最高人民法院审判委员会第1823次会议通过的《最高人民法院关于修改〈最高人民法院关于人民法院扣押铁路运输货物若干问题的规定〉等十八件执行类司法解释的决定》修正）</w:t>
      </w:r>
    </w:p>
    <w:p>
      <w:pPr>
        <w:numPr>
          <w:ilvl w:val="0"/>
          <w:numId w:val="16"/>
        </w:numPr>
        <w:tabs>
          <w:tab w:val="left" w:pos="851"/>
        </w:tabs>
        <w:spacing w:line="500" w:lineRule="exact"/>
        <w:ind w:left="0" w:firstLine="560" w:firstLineChars="200"/>
        <w:rPr>
          <w:rFonts w:ascii="楷体" w:hAnsi="楷体" w:eastAsia="楷体"/>
          <w:sz w:val="28"/>
          <w:szCs w:val="28"/>
        </w:rPr>
      </w:pPr>
      <w:r>
        <w:rPr>
          <w:rFonts w:hint="eastAsia" w:ascii="楷体" w:hAnsi="楷体" w:eastAsia="楷体"/>
          <w:sz w:val="28"/>
          <w:szCs w:val="28"/>
        </w:rPr>
        <w:t>《最高人民法院关于人民法院确定财产处置参考价若干问题的规定》（法释〔2018〕15号，2018年6月4日最高人民法院审判委员会第1741次会议通过，自2018年9月1日起施行）</w:t>
      </w:r>
    </w:p>
    <w:p>
      <w:pPr>
        <w:numPr>
          <w:ilvl w:val="0"/>
          <w:numId w:val="16"/>
        </w:numPr>
        <w:tabs>
          <w:tab w:val="left" w:pos="851"/>
        </w:tabs>
        <w:spacing w:line="500" w:lineRule="exact"/>
        <w:ind w:left="0" w:firstLine="560" w:firstLineChars="200"/>
        <w:rPr>
          <w:rFonts w:ascii="楷体" w:hAnsi="楷体" w:eastAsia="楷体"/>
          <w:sz w:val="28"/>
          <w:szCs w:val="28"/>
        </w:rPr>
      </w:pPr>
      <w:r>
        <w:rPr>
          <w:rFonts w:hint="eastAsia" w:ascii="楷体" w:hAnsi="楷体" w:eastAsia="楷体"/>
          <w:sz w:val="28"/>
          <w:szCs w:val="28"/>
        </w:rPr>
        <w:t>《人民法院委托评估工作规范》（法办[2018]273号）</w:t>
      </w:r>
    </w:p>
    <w:p>
      <w:pPr>
        <w:numPr>
          <w:ilvl w:val="0"/>
          <w:numId w:val="16"/>
        </w:numPr>
        <w:tabs>
          <w:tab w:val="left" w:pos="851"/>
        </w:tabs>
        <w:spacing w:line="500" w:lineRule="exact"/>
        <w:ind w:left="0" w:firstLine="560" w:firstLineChars="200"/>
        <w:rPr>
          <w:rFonts w:ascii="楷体" w:hAnsi="楷体" w:eastAsia="楷体"/>
          <w:sz w:val="28"/>
          <w:szCs w:val="28"/>
        </w:rPr>
      </w:pPr>
      <w:r>
        <w:rPr>
          <w:rFonts w:hint="eastAsia" w:ascii="楷体" w:hAnsi="楷体" w:eastAsia="楷体"/>
          <w:sz w:val="28"/>
          <w:szCs w:val="28"/>
        </w:rPr>
        <w:t>《涉执房地产处置司法评估指导意见（试行）》（中房学[2021]37号，自2021年9月1日起施行）</w:t>
      </w:r>
    </w:p>
    <w:p>
      <w:pPr>
        <w:spacing w:line="500" w:lineRule="exact"/>
        <w:ind w:firstLine="560" w:firstLineChars="200"/>
        <w:rPr>
          <w:rFonts w:ascii="楷体" w:hAnsi="楷体" w:eastAsia="楷体"/>
          <w:sz w:val="28"/>
          <w:szCs w:val="28"/>
        </w:rPr>
      </w:pPr>
      <w:r>
        <w:rPr>
          <w:rFonts w:ascii="楷体" w:hAnsi="楷体" w:eastAsia="楷体"/>
          <w:sz w:val="28"/>
          <w:szCs w:val="28"/>
        </w:rPr>
        <w:t>（二）技术标准</w:t>
      </w:r>
    </w:p>
    <w:p>
      <w:pPr>
        <w:numPr>
          <w:ilvl w:val="0"/>
          <w:numId w:val="17"/>
        </w:numPr>
        <w:spacing w:line="500" w:lineRule="exact"/>
        <w:ind w:left="0" w:firstLine="560" w:firstLineChars="200"/>
        <w:rPr>
          <w:rFonts w:ascii="楷体" w:hAnsi="楷体" w:eastAsia="楷体"/>
          <w:sz w:val="28"/>
          <w:szCs w:val="28"/>
        </w:rPr>
      </w:pPr>
      <w:r>
        <w:rPr>
          <w:rFonts w:ascii="楷体" w:hAnsi="楷体" w:eastAsia="楷体"/>
          <w:sz w:val="28"/>
          <w:szCs w:val="28"/>
        </w:rPr>
        <w:t>《房地产估价规范》【GB/T 50291-2015】</w:t>
      </w:r>
    </w:p>
    <w:p>
      <w:pPr>
        <w:numPr>
          <w:ilvl w:val="0"/>
          <w:numId w:val="17"/>
        </w:numPr>
        <w:spacing w:line="500" w:lineRule="exact"/>
        <w:ind w:left="0" w:firstLine="560" w:firstLineChars="200"/>
        <w:rPr>
          <w:rFonts w:ascii="楷体" w:hAnsi="楷体" w:eastAsia="楷体"/>
          <w:sz w:val="28"/>
          <w:szCs w:val="28"/>
        </w:rPr>
      </w:pPr>
      <w:r>
        <w:rPr>
          <w:rFonts w:hint="eastAsia" w:ascii="楷体" w:hAnsi="楷体" w:eastAsia="楷体"/>
          <w:sz w:val="28"/>
          <w:szCs w:val="28"/>
        </w:rPr>
        <w:t>《房地产估价基本术语标准》【GB/T 50899-2013】</w:t>
      </w:r>
    </w:p>
    <w:p>
      <w:pPr>
        <w:spacing w:line="500" w:lineRule="exact"/>
        <w:ind w:firstLine="560" w:firstLineChars="200"/>
        <w:rPr>
          <w:rFonts w:ascii="楷体" w:hAnsi="楷体" w:eastAsia="楷体"/>
          <w:sz w:val="28"/>
          <w:szCs w:val="28"/>
        </w:rPr>
      </w:pPr>
      <w:r>
        <w:rPr>
          <w:rFonts w:ascii="楷体" w:hAnsi="楷体" w:eastAsia="楷体"/>
          <w:sz w:val="28"/>
          <w:szCs w:val="28"/>
        </w:rPr>
        <w:t>（三）估价委托人提供的有关资料</w:t>
      </w:r>
    </w:p>
    <w:p>
      <w:pPr>
        <w:numPr>
          <w:ilvl w:val="0"/>
          <w:numId w:val="18"/>
        </w:numPr>
        <w:spacing w:line="500" w:lineRule="exact"/>
        <w:ind w:left="0" w:firstLine="560" w:firstLineChars="200"/>
        <w:rPr>
          <w:rFonts w:ascii="楷体" w:hAnsi="楷体" w:eastAsia="楷体"/>
          <w:sz w:val="28"/>
          <w:szCs w:val="28"/>
        </w:rPr>
      </w:pPr>
      <w:bookmarkStart w:id="78" w:name="_Toc318818636"/>
      <w:r>
        <w:rPr>
          <w:rFonts w:hint="eastAsia" w:ascii="楷体" w:hAnsi="楷体" w:eastAsia="楷体"/>
          <w:sz w:val="28"/>
          <w:szCs w:val="28"/>
        </w:rPr>
        <w:t>《武汉光谷联合产权交易所涉讼资产委托鉴定评估通知书》【[2022]第2040号】（原件）</w:t>
      </w:r>
    </w:p>
    <w:p>
      <w:pPr>
        <w:numPr>
          <w:ilvl w:val="0"/>
          <w:numId w:val="1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《武汉光谷联合产权交易所摇号选择中介机构确认书》【[2022]第2040号】（原件）</w:t>
      </w:r>
    </w:p>
    <w:p>
      <w:pPr>
        <w:numPr>
          <w:ilvl w:val="0"/>
          <w:numId w:val="1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《武汉市江夏区人民法院司法鉴定案件转办单》【（2022）第197号】（复印件）</w:t>
      </w:r>
    </w:p>
    <w:p>
      <w:pPr>
        <w:numPr>
          <w:ilvl w:val="0"/>
          <w:numId w:val="18"/>
        </w:numPr>
        <w:spacing w:line="500" w:lineRule="exact"/>
        <w:ind w:left="0" w:firstLine="560" w:firstLineChars="200"/>
        <w:rPr>
          <w:rFonts w:ascii="楷体" w:hAnsi="楷体" w:eastAsia="楷体"/>
          <w:sz w:val="28"/>
          <w:szCs w:val="28"/>
        </w:rPr>
      </w:pPr>
      <w:r>
        <w:rPr>
          <w:rFonts w:hint="eastAsia" w:ascii="楷体" w:hAnsi="楷体" w:eastAsia="楷体"/>
          <w:sz w:val="28"/>
          <w:szCs w:val="28"/>
        </w:rPr>
        <w:t>《司法鉴定督办函》【（2022）鄂0115鉴转197号】（原件）</w:t>
      </w:r>
    </w:p>
    <w:p>
      <w:pPr>
        <w:numPr>
          <w:ilvl w:val="0"/>
          <w:numId w:val="1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《武汉市不动产权登记信息查询单》（复印件）</w:t>
      </w:r>
    </w:p>
    <w:p>
      <w:pPr>
        <w:numPr>
          <w:ilvl w:val="0"/>
          <w:numId w:val="18"/>
        </w:numPr>
        <w:spacing w:line="500" w:lineRule="exact"/>
        <w:ind w:left="0" w:firstLine="560" w:firstLineChars="200"/>
        <w:rPr>
          <w:rFonts w:ascii="楷体" w:hAnsi="楷体" w:eastAsia="楷体"/>
          <w:sz w:val="28"/>
          <w:szCs w:val="28"/>
        </w:rPr>
      </w:pPr>
      <w:r>
        <w:rPr>
          <w:rFonts w:hint="eastAsia" w:ascii="楷体" w:hAnsi="楷体" w:eastAsia="楷体"/>
          <w:sz w:val="28"/>
          <w:szCs w:val="28"/>
        </w:rPr>
        <w:t>《武汉市不动产抵押信息单》（复印件）</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（四）估价机构掌握的有关资料和估价人员实地查勘、调查所获取的资料等</w:t>
      </w:r>
    </w:p>
    <w:p>
      <w:pPr>
        <w:pStyle w:val="4"/>
        <w:spacing w:after="120" w:line="500" w:lineRule="exact"/>
        <w:rPr>
          <w:rFonts w:ascii="楷体" w:hAnsi="楷体" w:eastAsia="楷体"/>
          <w:sz w:val="30"/>
          <w:szCs w:val="30"/>
        </w:rPr>
      </w:pPr>
      <w:bookmarkStart w:id="79" w:name="_Toc439238897"/>
      <w:bookmarkStart w:id="80" w:name="_Toc437260250"/>
      <w:bookmarkStart w:id="81" w:name="_Toc436035305"/>
      <w:bookmarkStart w:id="82" w:name="_Toc437266037"/>
      <w:bookmarkStart w:id="83" w:name="_Toc439238872"/>
      <w:bookmarkStart w:id="84" w:name="_Toc81920488"/>
      <w:r>
        <w:rPr>
          <w:rFonts w:hint="eastAsia" w:ascii="楷体" w:hAnsi="楷体" w:eastAsia="楷体"/>
          <w:sz w:val="30"/>
          <w:szCs w:val="30"/>
        </w:rPr>
        <w:t>九、估价方法</w:t>
      </w:r>
      <w:bookmarkEnd w:id="78"/>
      <w:bookmarkEnd w:id="79"/>
      <w:bookmarkEnd w:id="80"/>
      <w:bookmarkEnd w:id="81"/>
      <w:bookmarkEnd w:id="82"/>
      <w:bookmarkEnd w:id="83"/>
      <w:bookmarkEnd w:id="84"/>
    </w:p>
    <w:p>
      <w:pPr>
        <w:spacing w:line="500" w:lineRule="exact"/>
        <w:ind w:firstLine="560" w:firstLineChars="200"/>
        <w:rPr>
          <w:rFonts w:ascii="楷体" w:hAnsi="楷体" w:eastAsia="楷体"/>
          <w:sz w:val="28"/>
          <w:szCs w:val="28"/>
        </w:rPr>
      </w:pPr>
      <w:r>
        <w:rPr>
          <w:rFonts w:ascii="楷体" w:hAnsi="楷体" w:eastAsia="楷体"/>
          <w:sz w:val="28"/>
          <w:szCs w:val="28"/>
        </w:rPr>
        <w:t>根据《房地产估价规范》，常用的估价方法有</w:t>
      </w:r>
      <w:r>
        <w:rPr>
          <w:rFonts w:hint="eastAsia" w:ascii="楷体" w:hAnsi="楷体" w:eastAsia="楷体"/>
          <w:sz w:val="28"/>
          <w:szCs w:val="28"/>
        </w:rPr>
        <w:t>比较</w:t>
      </w:r>
      <w:r>
        <w:rPr>
          <w:rFonts w:ascii="楷体" w:hAnsi="楷体" w:eastAsia="楷体"/>
          <w:sz w:val="28"/>
          <w:szCs w:val="28"/>
        </w:rPr>
        <w:t>法、收益法、假设开发法、成本法等。</w:t>
      </w:r>
      <w:r>
        <w:rPr>
          <w:rFonts w:hint="eastAsia" w:ascii="楷体" w:hAnsi="楷体" w:eastAsia="楷体"/>
          <w:sz w:val="28"/>
          <w:szCs w:val="28"/>
        </w:rPr>
        <w:t>根据当地房地产市场情况并结合估价对象的具体特点及估价目的等，选用适当的评估方法。</w:t>
      </w:r>
      <w:r>
        <w:rPr>
          <w:rFonts w:ascii="楷体" w:hAnsi="楷体" w:eastAsia="楷体"/>
          <w:sz w:val="28"/>
          <w:szCs w:val="28"/>
        </w:rPr>
        <w:t>本次评估中，估价人员在认真分析所掌握的资料并进行了实地查勘后采用了比较法、收益法作为本次评估的基本方法。</w:t>
      </w:r>
    </w:p>
    <w:p>
      <w:pPr>
        <w:spacing w:line="500" w:lineRule="exact"/>
        <w:ind w:firstLine="560" w:firstLineChars="200"/>
        <w:rPr>
          <w:rFonts w:asciiTheme="minorEastAsia" w:hAnsiTheme="minorEastAsia"/>
        </w:rPr>
      </w:pPr>
      <w:bookmarkStart w:id="85" w:name="_Toc362509756"/>
      <w:r>
        <w:rPr>
          <w:rFonts w:hint="eastAsia" w:ascii="楷体" w:hAnsi="楷体" w:eastAsia="楷体"/>
          <w:sz w:val="28"/>
          <w:szCs w:val="28"/>
        </w:rPr>
        <w:t>（一）本次估价所选取方法的理由</w:t>
      </w:r>
      <w:bookmarkEnd w:id="85"/>
    </w:p>
    <w:p>
      <w:pPr>
        <w:numPr>
          <w:ilvl w:val="0"/>
          <w:numId w:val="19"/>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选取</w:t>
      </w:r>
      <w:r>
        <w:rPr>
          <w:rFonts w:hint="eastAsia" w:ascii="楷体" w:hAnsi="楷体" w:eastAsia="楷体"/>
          <w:sz w:val="28"/>
          <w:szCs w:val="28"/>
        </w:rPr>
        <w:t>比较</w:t>
      </w:r>
      <w:r>
        <w:rPr>
          <w:rFonts w:ascii="楷体" w:hAnsi="楷体" w:eastAsia="楷体"/>
          <w:sz w:val="28"/>
          <w:szCs w:val="28"/>
        </w:rPr>
        <w:t>法的理由</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估价对象是有交易性的房地产，而且在同一供需圈内存在着较多的类似房地产的交易，所以适合采用比较法。</w:t>
      </w:r>
    </w:p>
    <w:p>
      <w:pPr>
        <w:numPr>
          <w:ilvl w:val="0"/>
          <w:numId w:val="19"/>
        </w:numPr>
        <w:tabs>
          <w:tab w:val="left" w:pos="1134"/>
        </w:tabs>
        <w:spacing w:line="500" w:lineRule="exact"/>
        <w:ind w:left="0" w:firstLine="709"/>
        <w:rPr>
          <w:rFonts w:ascii="楷体" w:hAnsi="楷体" w:eastAsia="楷体"/>
          <w:sz w:val="28"/>
          <w:szCs w:val="28"/>
        </w:rPr>
      </w:pPr>
      <w:r>
        <w:rPr>
          <w:rFonts w:ascii="楷体" w:hAnsi="楷体" w:eastAsia="楷体"/>
          <w:sz w:val="28"/>
          <w:szCs w:val="28"/>
        </w:rPr>
        <w:t>选取</w:t>
      </w:r>
      <w:r>
        <w:rPr>
          <w:rFonts w:hint="eastAsia" w:ascii="楷体" w:hAnsi="楷体" w:eastAsia="楷体"/>
          <w:sz w:val="28"/>
          <w:szCs w:val="28"/>
        </w:rPr>
        <w:t>收益</w:t>
      </w:r>
      <w:r>
        <w:rPr>
          <w:rFonts w:ascii="楷体" w:hAnsi="楷体" w:eastAsia="楷体"/>
          <w:sz w:val="28"/>
          <w:szCs w:val="28"/>
        </w:rPr>
        <w:t>法的理由</w:t>
      </w:r>
    </w:p>
    <w:p>
      <w:pPr>
        <w:spacing w:line="500" w:lineRule="exact"/>
        <w:ind w:firstLine="560" w:firstLineChars="200"/>
        <w:rPr>
          <w:rFonts w:ascii="楷体" w:hAnsi="楷体" w:eastAsia="楷体"/>
          <w:sz w:val="28"/>
          <w:szCs w:val="28"/>
        </w:rPr>
      </w:pPr>
      <w:r>
        <w:rPr>
          <w:rFonts w:ascii="楷体" w:hAnsi="楷体" w:eastAsia="楷体"/>
          <w:sz w:val="28"/>
          <w:szCs w:val="28"/>
        </w:rPr>
        <w:t>估价对象及其同类房地产通常有租金等经济收入，所以适合采用收益法</w:t>
      </w:r>
      <w:r>
        <w:rPr>
          <w:rFonts w:hint="eastAsia" w:ascii="楷体" w:hAnsi="楷体" w:eastAsia="楷体"/>
          <w:sz w:val="28"/>
          <w:szCs w:val="28"/>
        </w:rPr>
        <w:t>。</w:t>
      </w:r>
    </w:p>
    <w:p>
      <w:pPr>
        <w:spacing w:line="500" w:lineRule="exact"/>
        <w:ind w:firstLine="560" w:firstLineChars="200"/>
        <w:rPr>
          <w:rFonts w:ascii="楷体" w:hAnsi="楷体" w:eastAsia="楷体"/>
          <w:sz w:val="28"/>
          <w:szCs w:val="28"/>
        </w:rPr>
      </w:pPr>
      <w:r>
        <w:rPr>
          <w:rFonts w:ascii="楷体" w:hAnsi="楷体" w:eastAsia="楷体"/>
          <w:sz w:val="28"/>
          <w:szCs w:val="28"/>
        </w:rPr>
        <w:t>（二）</w:t>
      </w:r>
      <w:r>
        <w:rPr>
          <w:rFonts w:hint="eastAsia" w:ascii="楷体" w:hAnsi="楷体" w:eastAsia="楷体"/>
          <w:sz w:val="28"/>
          <w:szCs w:val="28"/>
        </w:rPr>
        <w:t>本次估价未选取方法的理由</w:t>
      </w:r>
    </w:p>
    <w:p>
      <w:pPr>
        <w:pStyle w:val="81"/>
        <w:numPr>
          <w:ilvl w:val="0"/>
          <w:numId w:val="20"/>
        </w:numPr>
        <w:spacing w:line="500" w:lineRule="exact"/>
        <w:ind w:left="0" w:firstLine="560"/>
        <w:rPr>
          <w:rFonts w:ascii="楷体" w:hAnsi="楷体" w:eastAsia="楷体"/>
          <w:sz w:val="28"/>
          <w:szCs w:val="28"/>
        </w:rPr>
      </w:pPr>
      <w:bookmarkStart w:id="86" w:name="_Toc362509777"/>
      <w:r>
        <w:rPr>
          <w:rFonts w:ascii="楷体" w:hAnsi="楷体" w:eastAsia="楷体"/>
          <w:sz w:val="28"/>
          <w:szCs w:val="28"/>
        </w:rPr>
        <w:t>估价对象周边类似房地产交易和出租的可比实例较多，比较法和收益法比成本法能够更好的体现估价对象房地产市场价值，故未采用成本法</w:t>
      </w:r>
      <w:r>
        <w:rPr>
          <w:rFonts w:hint="eastAsia" w:ascii="楷体" w:hAnsi="楷体" w:eastAsia="楷体"/>
          <w:sz w:val="28"/>
          <w:szCs w:val="28"/>
        </w:rPr>
        <w:t>。</w:t>
      </w:r>
      <w:bookmarkEnd w:id="86"/>
    </w:p>
    <w:p>
      <w:pPr>
        <w:pStyle w:val="81"/>
        <w:numPr>
          <w:ilvl w:val="0"/>
          <w:numId w:val="20"/>
        </w:numPr>
        <w:spacing w:line="500" w:lineRule="exact"/>
        <w:ind w:left="0" w:firstLine="560"/>
        <w:rPr>
          <w:rFonts w:ascii="楷体" w:hAnsi="楷体" w:eastAsia="楷体"/>
          <w:sz w:val="28"/>
          <w:szCs w:val="28"/>
        </w:rPr>
      </w:pPr>
      <w:r>
        <w:rPr>
          <w:rFonts w:hint="eastAsia" w:ascii="楷体" w:hAnsi="楷体" w:eastAsia="楷体"/>
          <w:sz w:val="28"/>
          <w:szCs w:val="28"/>
        </w:rPr>
        <w:t>由于估价对象属于可正常继续使用的房地产，也无重建或改扩建的规划，故未采用假设开发法。</w:t>
      </w:r>
    </w:p>
    <w:p>
      <w:pPr>
        <w:spacing w:line="500" w:lineRule="exact"/>
        <w:ind w:firstLine="560" w:firstLineChars="200"/>
        <w:rPr>
          <w:rFonts w:ascii="楷体" w:hAnsi="楷体" w:eastAsia="楷体"/>
          <w:sz w:val="28"/>
          <w:szCs w:val="28"/>
        </w:rPr>
      </w:pPr>
      <w:r>
        <w:rPr>
          <w:rFonts w:ascii="楷体" w:hAnsi="楷体" w:eastAsia="楷体"/>
          <w:sz w:val="28"/>
          <w:szCs w:val="28"/>
        </w:rPr>
        <w:t>（三）估价方法定义</w:t>
      </w:r>
    </w:p>
    <w:p>
      <w:pPr>
        <w:numPr>
          <w:ilvl w:val="0"/>
          <w:numId w:val="21"/>
        </w:numPr>
        <w:spacing w:line="500" w:lineRule="exact"/>
        <w:ind w:left="0" w:firstLine="560" w:firstLineChars="200"/>
        <w:rPr>
          <w:rFonts w:ascii="楷体" w:hAnsi="楷体" w:eastAsia="楷体"/>
          <w:sz w:val="28"/>
          <w:szCs w:val="28"/>
        </w:rPr>
      </w:pPr>
      <w:r>
        <w:rPr>
          <w:rFonts w:ascii="楷体" w:hAnsi="楷体" w:eastAsia="楷体"/>
          <w:sz w:val="28"/>
          <w:szCs w:val="28"/>
        </w:rPr>
        <w:t>比较法</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比较法</w:t>
      </w:r>
      <w:r>
        <w:rPr>
          <w:rFonts w:ascii="楷体" w:hAnsi="楷体" w:eastAsia="楷体"/>
          <w:sz w:val="28"/>
          <w:szCs w:val="28"/>
        </w:rPr>
        <w:t>是选取一定数量的可比实例，将它们与估价对象进行比较，根据其间的差异对可比实例成交价格进行处理后得到估价对象价值或价格的方法。</w:t>
      </w:r>
      <w:bookmarkStart w:id="87" w:name="_Toc436035306"/>
      <w:bookmarkStart w:id="88" w:name="_Toc437266038"/>
      <w:bookmarkStart w:id="89" w:name="_Toc437260251"/>
      <w:bookmarkStart w:id="90" w:name="_Toc318818637"/>
    </w:p>
    <w:p>
      <w:pPr>
        <w:numPr>
          <w:ilvl w:val="0"/>
          <w:numId w:val="21"/>
        </w:numPr>
        <w:spacing w:line="500" w:lineRule="exact"/>
        <w:ind w:left="0" w:firstLine="560" w:firstLineChars="200"/>
        <w:rPr>
          <w:rFonts w:ascii="楷体" w:hAnsi="楷体" w:eastAsia="楷体"/>
          <w:sz w:val="28"/>
          <w:szCs w:val="28"/>
        </w:rPr>
      </w:pPr>
      <w:r>
        <w:rPr>
          <w:rFonts w:hint="eastAsia" w:ascii="楷体" w:hAnsi="楷体" w:eastAsia="楷体"/>
          <w:sz w:val="28"/>
          <w:szCs w:val="28"/>
        </w:rPr>
        <w:t>收益法</w:t>
      </w:r>
    </w:p>
    <w:p>
      <w:pPr>
        <w:spacing w:line="500" w:lineRule="exact"/>
        <w:ind w:firstLine="560" w:firstLineChars="200"/>
        <w:rPr>
          <w:rFonts w:ascii="楷体" w:hAnsi="楷体" w:eastAsia="楷体"/>
          <w:sz w:val="28"/>
          <w:szCs w:val="28"/>
        </w:rPr>
      </w:pPr>
      <w:r>
        <w:rPr>
          <w:rFonts w:hint="eastAsia" w:ascii="楷体" w:hAnsi="楷体" w:eastAsia="楷体"/>
          <w:sz w:val="28"/>
          <w:szCs w:val="28"/>
        </w:rPr>
        <w:t>收益法</w:t>
      </w:r>
      <w:r>
        <w:rPr>
          <w:rFonts w:ascii="楷体" w:hAnsi="楷体" w:eastAsia="楷体"/>
          <w:sz w:val="28"/>
          <w:szCs w:val="28"/>
        </w:rPr>
        <w:t>是预测估价对象的未来收益，利用报酬率或资本化率、收益乘数将未来收益转换为价值得到估价对象价值或价格的方法。</w:t>
      </w:r>
    </w:p>
    <w:p>
      <w:pPr>
        <w:pStyle w:val="4"/>
        <w:spacing w:after="120" w:line="500" w:lineRule="exact"/>
        <w:rPr>
          <w:rFonts w:ascii="楷体" w:hAnsi="楷体" w:eastAsia="楷体"/>
          <w:sz w:val="30"/>
          <w:szCs w:val="30"/>
        </w:rPr>
      </w:pPr>
      <w:bookmarkStart w:id="91" w:name="_Toc439238873"/>
      <w:bookmarkStart w:id="92" w:name="_Toc439238898"/>
      <w:bookmarkStart w:id="93" w:name="_Toc81920489"/>
      <w:r>
        <w:rPr>
          <w:rFonts w:hint="eastAsia" w:ascii="楷体" w:hAnsi="楷体" w:eastAsia="楷体"/>
          <w:sz w:val="30"/>
          <w:szCs w:val="30"/>
        </w:rPr>
        <w:t>十、估价结果</w:t>
      </w:r>
      <w:bookmarkEnd w:id="87"/>
      <w:bookmarkEnd w:id="88"/>
      <w:bookmarkEnd w:id="89"/>
      <w:bookmarkEnd w:id="90"/>
      <w:bookmarkEnd w:id="91"/>
      <w:bookmarkEnd w:id="92"/>
      <w:bookmarkEnd w:id="93"/>
    </w:p>
    <w:p>
      <w:pPr>
        <w:spacing w:line="500" w:lineRule="exact"/>
        <w:ind w:firstLine="560" w:firstLineChars="200"/>
        <w:rPr>
          <w:rFonts w:ascii="楷体" w:hAnsi="楷体" w:eastAsia="楷体"/>
          <w:sz w:val="28"/>
          <w:szCs w:val="28"/>
        </w:rPr>
      </w:pPr>
      <w:bookmarkStart w:id="94" w:name="_Toc318818638"/>
      <w:bookmarkStart w:id="95" w:name="_Toc436035307"/>
      <w:bookmarkStart w:id="96" w:name="_Toc437260252"/>
      <w:r>
        <w:rPr>
          <w:rFonts w:hint="eastAsia" w:ascii="楷体" w:hAnsi="楷体" w:eastAsia="楷体"/>
          <w:sz w:val="28"/>
          <w:szCs w:val="28"/>
        </w:rPr>
        <w:t>我们实施了评估所必须的各项程序，按照国家关于房地产评估的有关规定，运用比较法、收益法评估得到估价对象于价值时点2022年8月23日，在价值定义和估价假设限制条件下的估价结果如下：</w:t>
      </w:r>
      <w:r>
        <w:rPr>
          <w:rFonts w:ascii="楷体" w:hAnsi="楷体" w:eastAsia="楷体"/>
          <w:sz w:val="28"/>
          <w:szCs w:val="28"/>
        </w:rPr>
        <w:t xml:space="preserve"> </w:t>
      </w:r>
    </w:p>
    <w:p>
      <w:pPr>
        <w:spacing w:line="500" w:lineRule="exact"/>
        <w:ind w:firstLine="562" w:firstLineChars="200"/>
        <w:rPr>
          <w:rFonts w:ascii="楷体" w:hAnsi="楷体" w:eastAsia="楷体"/>
          <w:b/>
          <w:bCs/>
          <w:sz w:val="28"/>
          <w:szCs w:val="28"/>
        </w:rPr>
      </w:pPr>
      <w:r>
        <w:rPr>
          <w:rFonts w:ascii="楷体" w:hAnsi="楷体" w:eastAsia="楷体"/>
          <w:b/>
          <w:bCs/>
          <w:sz w:val="28"/>
          <w:szCs w:val="28"/>
        </w:rPr>
        <w:t>建筑面积：</w:t>
      </w:r>
      <w:r>
        <w:rPr>
          <w:rFonts w:hint="eastAsia" w:ascii="楷体" w:hAnsi="楷体" w:eastAsia="楷体"/>
          <w:b/>
          <w:bCs/>
          <w:sz w:val="28"/>
          <w:szCs w:val="28"/>
        </w:rPr>
        <w:t>118.82</w:t>
      </w:r>
      <w:r>
        <w:rPr>
          <w:rFonts w:ascii="楷体" w:hAnsi="楷体" w:eastAsia="楷体"/>
          <w:b/>
          <w:bCs/>
          <w:sz w:val="28"/>
          <w:szCs w:val="28"/>
        </w:rPr>
        <w:t>平方米</w:t>
      </w:r>
    </w:p>
    <w:p>
      <w:pPr>
        <w:spacing w:line="500" w:lineRule="exact"/>
        <w:ind w:firstLine="562" w:firstLineChars="200"/>
        <w:rPr>
          <w:rFonts w:ascii="楷体" w:hAnsi="楷体" w:eastAsia="楷体"/>
          <w:b/>
          <w:sz w:val="28"/>
          <w:szCs w:val="28"/>
        </w:rPr>
      </w:pPr>
      <w:r>
        <w:rPr>
          <w:rFonts w:hint="eastAsia" w:ascii="楷体" w:hAnsi="楷体" w:eastAsia="楷体"/>
          <w:b/>
          <w:sz w:val="28"/>
          <w:szCs w:val="28"/>
        </w:rPr>
        <w:t>单位面积房地产价值：15621元/平方米</w:t>
      </w:r>
    </w:p>
    <w:p>
      <w:pPr>
        <w:spacing w:line="500" w:lineRule="exact"/>
        <w:ind w:firstLine="562" w:firstLineChars="200"/>
        <w:rPr>
          <w:rFonts w:ascii="楷体" w:hAnsi="楷体" w:eastAsia="楷体"/>
          <w:b/>
          <w:sz w:val="28"/>
          <w:szCs w:val="28"/>
        </w:rPr>
      </w:pPr>
      <w:r>
        <w:rPr>
          <w:rFonts w:hint="eastAsia" w:ascii="楷体" w:hAnsi="楷体" w:eastAsia="楷体"/>
          <w:b/>
          <w:sz w:val="28"/>
          <w:szCs w:val="28"/>
        </w:rPr>
        <w:t>房地产价值总额：185.61万元</w:t>
      </w:r>
    </w:p>
    <w:p>
      <w:pPr>
        <w:spacing w:line="500" w:lineRule="exact"/>
        <w:ind w:firstLine="562" w:firstLineChars="200"/>
        <w:rPr>
          <w:rFonts w:ascii="楷体" w:hAnsi="楷体" w:eastAsia="楷体"/>
          <w:b/>
          <w:sz w:val="28"/>
          <w:szCs w:val="28"/>
        </w:rPr>
      </w:pPr>
      <w:r>
        <w:rPr>
          <w:rFonts w:hint="eastAsia" w:ascii="楷体" w:hAnsi="楷体" w:eastAsia="楷体"/>
          <w:b/>
          <w:sz w:val="28"/>
          <w:szCs w:val="28"/>
        </w:rPr>
        <w:t>大写：壹佰捌拾伍万陆仟壹佰元整</w:t>
      </w:r>
      <w:r>
        <w:rPr>
          <w:rFonts w:hint="eastAsia" w:ascii="楷体" w:hAnsi="楷体" w:eastAsia="楷体"/>
          <w:color w:val="FFFFFF" w:themeColor="background1"/>
          <w:sz w:val="16"/>
          <w:szCs w:val="16"/>
        </w:rPr>
        <w:t xml:space="preserve"> 公章盖章处</w:t>
      </w:r>
    </w:p>
    <w:p>
      <w:pPr>
        <w:spacing w:line="500" w:lineRule="exact"/>
        <w:ind w:firstLine="562" w:firstLineChars="200"/>
        <w:rPr>
          <w:rFonts w:ascii="楷体" w:hAnsi="楷体" w:eastAsia="楷体"/>
          <w:b/>
          <w:sz w:val="28"/>
          <w:szCs w:val="28"/>
        </w:rPr>
      </w:pPr>
      <w:r>
        <w:rPr>
          <w:rFonts w:ascii="楷体" w:hAnsi="楷体" w:eastAsia="楷体"/>
          <w:b/>
          <w:sz w:val="28"/>
          <w:szCs w:val="28"/>
        </w:rPr>
        <w:t>（货币种类：人民币）</w:t>
      </w:r>
    </w:p>
    <w:p>
      <w:pPr>
        <w:pStyle w:val="81"/>
        <w:tabs>
          <w:tab w:val="left" w:pos="993"/>
        </w:tabs>
        <w:spacing w:line="500" w:lineRule="exact"/>
        <w:ind w:firstLine="560"/>
        <w:rPr>
          <w:rFonts w:ascii="楷体" w:hAnsi="楷体" w:eastAsia="楷体"/>
          <w:sz w:val="28"/>
          <w:szCs w:val="28"/>
        </w:rPr>
      </w:pPr>
      <w:bookmarkStart w:id="97" w:name="_Toc81920490"/>
      <w:bookmarkStart w:id="98" w:name="_Toc439238874"/>
      <w:bookmarkStart w:id="99" w:name="_Toc437266039"/>
      <w:bookmarkStart w:id="100" w:name="_Toc439238899"/>
      <w:r>
        <w:rPr>
          <w:rFonts w:ascii="楷体" w:hAnsi="楷体" w:eastAsia="楷体"/>
          <w:sz w:val="28"/>
          <w:szCs w:val="28"/>
        </w:rPr>
        <w:t>提示说明:</w:t>
      </w:r>
      <w:r>
        <w:rPr>
          <w:rFonts w:hint="eastAsia" w:ascii="楷体" w:hAnsi="楷体" w:eastAsia="楷体"/>
          <w:sz w:val="28"/>
          <w:szCs w:val="28"/>
        </w:rPr>
        <w:t xml:space="preserve"> 上述估价结果中不包含估价对象使用及处置时的税金及相关费用，包括买方应缴交易税费、物业费、供暖费、水电气费等及其滞纳金、司法诉讼费用、拍卖佣金等。评估对象交易的税费负担方式为转让人和买受人各自负担。</w:t>
      </w:r>
    </w:p>
    <w:p>
      <w:pPr>
        <w:pStyle w:val="4"/>
        <w:spacing w:after="120" w:line="500" w:lineRule="exact"/>
        <w:rPr>
          <w:rFonts w:ascii="楷体" w:hAnsi="楷体" w:eastAsia="楷体"/>
          <w:sz w:val="30"/>
          <w:szCs w:val="30"/>
        </w:rPr>
      </w:pPr>
      <w:r>
        <w:rPr>
          <w:rFonts w:hint="eastAsia" w:ascii="楷体" w:hAnsi="楷体" w:eastAsia="楷体"/>
          <w:sz w:val="30"/>
          <w:szCs w:val="30"/>
        </w:rPr>
        <w:t>十一、</w:t>
      </w:r>
      <w:bookmarkEnd w:id="94"/>
      <w:r>
        <w:rPr>
          <w:rFonts w:hint="eastAsia" w:ascii="楷体" w:hAnsi="楷体" w:eastAsia="楷体"/>
          <w:sz w:val="30"/>
          <w:szCs w:val="30"/>
        </w:rPr>
        <w:t>注册房地产估价师</w:t>
      </w:r>
      <w:bookmarkEnd w:id="95"/>
      <w:bookmarkEnd w:id="96"/>
      <w:bookmarkEnd w:id="97"/>
      <w:bookmarkEnd w:id="98"/>
      <w:bookmarkEnd w:id="99"/>
      <w:bookmarkEnd w:id="100"/>
    </w:p>
    <w:p>
      <w:pPr>
        <w:spacing w:line="500" w:lineRule="exact"/>
        <w:ind w:firstLine="560" w:firstLineChars="200"/>
        <w:rPr>
          <w:rFonts w:ascii="楷体" w:hAnsi="楷体" w:eastAsia="楷体"/>
          <w:sz w:val="28"/>
          <w:szCs w:val="28"/>
        </w:rPr>
      </w:pPr>
      <w:r>
        <w:rPr>
          <w:rFonts w:hint="eastAsia" w:ascii="楷体" w:hAnsi="楷体" w:eastAsia="楷体"/>
          <w:sz w:val="28"/>
          <w:szCs w:val="28"/>
        </w:rPr>
        <w:t>参加估价的注册房地产估价师：</w:t>
      </w:r>
    </w:p>
    <w:tbl>
      <w:tblPr>
        <w:tblStyle w:val="31"/>
        <w:tblW w:w="8095"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2220"/>
        <w:gridCol w:w="2221"/>
        <w:gridCol w:w="2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3"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姓  名</w:t>
            </w:r>
          </w:p>
        </w:tc>
        <w:tc>
          <w:tcPr>
            <w:tcW w:w="2220"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注册号</w:t>
            </w:r>
          </w:p>
        </w:tc>
        <w:tc>
          <w:tcPr>
            <w:tcW w:w="2221"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签  名</w:t>
            </w:r>
          </w:p>
        </w:tc>
        <w:tc>
          <w:tcPr>
            <w:tcW w:w="2221"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签名日期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3"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向存祥</w:t>
            </w:r>
          </w:p>
        </w:tc>
        <w:tc>
          <w:tcPr>
            <w:tcW w:w="2220" w:type="dxa"/>
            <w:shd w:val="clear" w:color="auto" w:fill="auto"/>
            <w:vAlign w:val="center"/>
          </w:tcPr>
          <w:p>
            <w:pPr>
              <w:widowControl/>
              <w:jc w:val="center"/>
              <w:rPr>
                <w:rFonts w:ascii="楷体" w:hAnsi="楷体" w:eastAsia="楷体" w:cs="宋体"/>
                <w:kern w:val="0"/>
                <w:sz w:val="28"/>
                <w:szCs w:val="28"/>
              </w:rPr>
            </w:pPr>
            <w:r>
              <w:rPr>
                <w:rFonts w:ascii="楷体" w:hAnsi="楷体" w:eastAsia="楷体" w:cs="宋体"/>
                <w:kern w:val="0"/>
                <w:sz w:val="28"/>
                <w:szCs w:val="28"/>
              </w:rPr>
              <w:t>4220210109</w:t>
            </w:r>
          </w:p>
        </w:tc>
        <w:tc>
          <w:tcPr>
            <w:tcW w:w="2221" w:type="dxa"/>
            <w:shd w:val="clear" w:color="auto" w:fill="auto"/>
            <w:vAlign w:val="center"/>
          </w:tcPr>
          <w:p>
            <w:pPr>
              <w:widowControl/>
              <w:jc w:val="center"/>
              <w:rPr>
                <w:rFonts w:ascii="楷体" w:hAnsi="楷体" w:eastAsia="楷体" w:cs="宋体"/>
                <w:kern w:val="0"/>
                <w:sz w:val="28"/>
                <w:szCs w:val="28"/>
              </w:rPr>
            </w:pPr>
          </w:p>
        </w:tc>
        <w:tc>
          <w:tcPr>
            <w:tcW w:w="2221"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3"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王  强</w:t>
            </w:r>
          </w:p>
        </w:tc>
        <w:tc>
          <w:tcPr>
            <w:tcW w:w="2220" w:type="dxa"/>
            <w:shd w:val="clear" w:color="auto" w:fill="auto"/>
            <w:vAlign w:val="center"/>
          </w:tcPr>
          <w:p>
            <w:pPr>
              <w:widowControl/>
              <w:jc w:val="center"/>
              <w:rPr>
                <w:rFonts w:ascii="楷体" w:hAnsi="楷体" w:eastAsia="楷体" w:cs="宋体"/>
                <w:kern w:val="0"/>
                <w:sz w:val="28"/>
                <w:szCs w:val="28"/>
              </w:rPr>
            </w:pPr>
            <w:r>
              <w:rPr>
                <w:rFonts w:ascii="楷体" w:hAnsi="楷体" w:eastAsia="楷体" w:cs="宋体"/>
                <w:kern w:val="0"/>
                <w:sz w:val="28"/>
                <w:szCs w:val="28"/>
              </w:rPr>
              <w:t>4220210029</w:t>
            </w:r>
          </w:p>
        </w:tc>
        <w:tc>
          <w:tcPr>
            <w:tcW w:w="2221" w:type="dxa"/>
            <w:shd w:val="clear" w:color="auto" w:fill="auto"/>
            <w:vAlign w:val="center"/>
          </w:tcPr>
          <w:p>
            <w:pPr>
              <w:widowControl/>
              <w:jc w:val="center"/>
              <w:rPr>
                <w:rFonts w:ascii="楷体" w:hAnsi="楷体" w:eastAsia="楷体" w:cs="宋体"/>
                <w:kern w:val="0"/>
                <w:sz w:val="28"/>
                <w:szCs w:val="28"/>
              </w:rPr>
            </w:pPr>
          </w:p>
        </w:tc>
        <w:tc>
          <w:tcPr>
            <w:tcW w:w="2221" w:type="dxa"/>
            <w:shd w:val="clear" w:color="auto" w:fill="auto"/>
            <w:vAlign w:val="center"/>
          </w:tcPr>
          <w:p>
            <w:pPr>
              <w:widowControl/>
              <w:jc w:val="center"/>
              <w:rPr>
                <w:rFonts w:ascii="楷体" w:hAnsi="楷体" w:eastAsia="楷体" w:cs="宋体"/>
                <w:kern w:val="0"/>
                <w:sz w:val="28"/>
                <w:szCs w:val="28"/>
              </w:rPr>
            </w:pPr>
            <w:r>
              <w:rPr>
                <w:rFonts w:hint="eastAsia" w:ascii="楷体" w:hAnsi="楷体" w:eastAsia="楷体" w:cs="宋体"/>
                <w:kern w:val="0"/>
                <w:sz w:val="28"/>
                <w:szCs w:val="28"/>
              </w:rPr>
              <w:t xml:space="preserve">   年  月  日</w:t>
            </w:r>
          </w:p>
        </w:tc>
      </w:tr>
    </w:tbl>
    <w:p>
      <w:pPr>
        <w:spacing w:line="500" w:lineRule="exact"/>
        <w:ind w:firstLine="560" w:firstLineChars="200"/>
        <w:rPr>
          <w:rFonts w:ascii="楷体" w:hAnsi="楷体" w:eastAsia="楷体"/>
          <w:sz w:val="28"/>
          <w:szCs w:val="28"/>
        </w:rPr>
      </w:pPr>
      <w:r>
        <w:rPr>
          <w:rFonts w:hint="eastAsia" w:ascii="楷体" w:hAnsi="楷体" w:eastAsia="楷体"/>
          <w:sz w:val="28"/>
          <w:szCs w:val="28"/>
        </w:rPr>
        <w:t>参加估价人员：杨亮</w:t>
      </w:r>
    </w:p>
    <w:p>
      <w:pPr>
        <w:pStyle w:val="4"/>
        <w:spacing w:after="120" w:line="500" w:lineRule="exact"/>
        <w:rPr>
          <w:rFonts w:ascii="楷体" w:hAnsi="楷体" w:eastAsia="楷体"/>
          <w:sz w:val="30"/>
          <w:szCs w:val="30"/>
        </w:rPr>
      </w:pPr>
      <w:bookmarkStart w:id="101" w:name="_Toc439238900"/>
      <w:bookmarkStart w:id="102" w:name="_Toc436035308"/>
      <w:bookmarkStart w:id="103" w:name="_Toc81920491"/>
      <w:bookmarkStart w:id="104" w:name="_Toc437260253"/>
      <w:bookmarkStart w:id="105" w:name="_Toc437266040"/>
      <w:bookmarkStart w:id="106" w:name="_Toc439238875"/>
      <w:bookmarkStart w:id="107" w:name="_Toc318818639"/>
      <w:r>
        <w:rPr>
          <w:rFonts w:hint="eastAsia" w:ascii="楷体" w:hAnsi="楷体" w:eastAsia="楷体"/>
          <w:sz w:val="30"/>
          <w:szCs w:val="30"/>
        </w:rPr>
        <w:t>十二、实地查勘期</w:t>
      </w:r>
      <w:bookmarkEnd w:id="101"/>
      <w:bookmarkEnd w:id="102"/>
      <w:bookmarkEnd w:id="103"/>
      <w:bookmarkEnd w:id="104"/>
      <w:bookmarkEnd w:id="105"/>
      <w:bookmarkEnd w:id="106"/>
    </w:p>
    <w:p>
      <w:pPr>
        <w:spacing w:line="500" w:lineRule="exact"/>
        <w:ind w:firstLine="560" w:firstLineChars="200"/>
        <w:rPr>
          <w:rFonts w:ascii="楷体" w:hAnsi="楷体" w:eastAsia="楷体"/>
          <w:sz w:val="28"/>
          <w:szCs w:val="28"/>
        </w:rPr>
      </w:pPr>
      <w:r>
        <w:rPr>
          <w:rFonts w:hint="eastAsia" w:ascii="楷体" w:hAnsi="楷体" w:eastAsia="楷体"/>
          <w:sz w:val="28"/>
          <w:szCs w:val="28"/>
        </w:rPr>
        <w:t>2022年8月23日</w:t>
      </w:r>
    </w:p>
    <w:p>
      <w:pPr>
        <w:pStyle w:val="4"/>
        <w:spacing w:after="120" w:line="500" w:lineRule="exact"/>
        <w:rPr>
          <w:rFonts w:ascii="楷体" w:hAnsi="楷体" w:eastAsia="楷体"/>
          <w:sz w:val="30"/>
          <w:szCs w:val="30"/>
        </w:rPr>
      </w:pPr>
      <w:bookmarkStart w:id="108" w:name="_Toc436035309"/>
      <w:bookmarkStart w:id="109" w:name="_Toc81920492"/>
      <w:bookmarkStart w:id="110" w:name="_Toc439238901"/>
      <w:bookmarkStart w:id="111" w:name="_Toc437260254"/>
      <w:bookmarkStart w:id="112" w:name="_Toc437266041"/>
      <w:bookmarkStart w:id="113" w:name="_Toc439238876"/>
      <w:r>
        <w:rPr>
          <w:rFonts w:hint="eastAsia" w:ascii="楷体" w:hAnsi="楷体" w:eastAsia="楷体"/>
          <w:sz w:val="30"/>
          <w:szCs w:val="30"/>
        </w:rPr>
        <w:t>十三、估价作业期</w:t>
      </w:r>
      <w:bookmarkEnd w:id="107"/>
      <w:bookmarkEnd w:id="108"/>
      <w:bookmarkEnd w:id="109"/>
      <w:bookmarkEnd w:id="110"/>
      <w:bookmarkEnd w:id="111"/>
      <w:bookmarkEnd w:id="112"/>
      <w:bookmarkEnd w:id="113"/>
    </w:p>
    <w:p>
      <w:pPr>
        <w:spacing w:line="500" w:lineRule="exact"/>
        <w:ind w:firstLine="560" w:firstLineChars="200"/>
        <w:rPr>
          <w:rFonts w:ascii="楷体" w:hAnsi="楷体" w:eastAsia="楷体"/>
          <w:sz w:val="28"/>
          <w:szCs w:val="28"/>
        </w:rPr>
        <w:sectPr>
          <w:footerReference r:id="rId6" w:type="default"/>
          <w:pgSz w:w="11906" w:h="16838"/>
          <w:pgMar w:top="1388" w:right="1700" w:bottom="1134" w:left="1797" w:header="709" w:footer="574" w:gutter="0"/>
          <w:pgNumType w:start="1"/>
          <w:cols w:space="425" w:num="1"/>
          <w:docGrid w:type="lines" w:linePitch="312" w:charSpace="0"/>
        </w:sectPr>
      </w:pPr>
      <w:r>
        <w:rPr>
          <w:rFonts w:hint="eastAsia" w:ascii="楷体" w:hAnsi="楷体" w:eastAsia="楷体"/>
          <w:sz w:val="28"/>
          <w:szCs w:val="28"/>
        </w:rPr>
        <w:t>2022年8月23日至2022年8月31日</w:t>
      </w:r>
    </w:p>
    <w:p>
      <w:pPr>
        <w:spacing w:beforeLines="50" w:afterLines="50" w:line="500" w:lineRule="exact"/>
        <w:jc w:val="center"/>
        <w:outlineLvl w:val="0"/>
        <w:rPr>
          <w:rFonts w:ascii="楷体" w:hAnsi="楷体" w:eastAsia="楷体"/>
          <w:b/>
          <w:sz w:val="32"/>
          <w:szCs w:val="32"/>
        </w:rPr>
      </w:pPr>
      <w:bookmarkStart w:id="114" w:name="_Toc439238877"/>
      <w:bookmarkStart w:id="115" w:name="_Toc439238902"/>
      <w:bookmarkStart w:id="116" w:name="_Toc81920493"/>
      <w:r>
        <w:rPr>
          <w:rFonts w:hint="eastAsia" w:ascii="楷体" w:hAnsi="楷体" w:eastAsia="楷体"/>
          <w:b/>
          <w:sz w:val="32"/>
          <w:szCs w:val="32"/>
        </w:rPr>
        <w:t>附   件</w:t>
      </w:r>
      <w:bookmarkEnd w:id="114"/>
      <w:bookmarkEnd w:id="115"/>
      <w:bookmarkEnd w:id="116"/>
    </w:p>
    <w:p>
      <w:pPr>
        <w:numPr>
          <w:ilvl w:val="0"/>
          <w:numId w:val="22"/>
        </w:numPr>
        <w:spacing w:line="500" w:lineRule="exact"/>
        <w:ind w:left="0" w:firstLine="709"/>
        <w:rPr>
          <w:rFonts w:ascii="楷体" w:hAnsi="楷体" w:eastAsia="楷体"/>
          <w:sz w:val="28"/>
          <w:szCs w:val="28"/>
        </w:rPr>
      </w:pPr>
      <w:r>
        <w:rPr>
          <w:rFonts w:hint="eastAsia" w:ascii="楷体" w:hAnsi="楷体" w:eastAsia="楷体"/>
          <w:sz w:val="28"/>
          <w:szCs w:val="28"/>
        </w:rPr>
        <w:t>《武汉光谷联合产权交易所涉讼资产委托鉴定评估通知书》【[2022]第2040号】（复印件）</w:t>
      </w:r>
    </w:p>
    <w:p>
      <w:pPr>
        <w:numPr>
          <w:ilvl w:val="0"/>
          <w:numId w:val="22"/>
        </w:numPr>
        <w:spacing w:line="500" w:lineRule="exact"/>
        <w:ind w:left="0" w:firstLine="709"/>
        <w:rPr>
          <w:rFonts w:ascii="楷体" w:hAnsi="楷体" w:eastAsia="楷体"/>
          <w:sz w:val="28"/>
          <w:szCs w:val="28"/>
        </w:rPr>
      </w:pPr>
      <w:r>
        <w:rPr>
          <w:rFonts w:ascii="楷体" w:hAnsi="楷体" w:eastAsia="楷体"/>
          <w:sz w:val="28"/>
          <w:szCs w:val="28"/>
        </w:rPr>
        <w:t>估价对象位置示意图</w:t>
      </w:r>
    </w:p>
    <w:p>
      <w:pPr>
        <w:numPr>
          <w:ilvl w:val="0"/>
          <w:numId w:val="22"/>
        </w:numPr>
        <w:spacing w:beforeLines="50" w:afterLines="50" w:line="500" w:lineRule="exact"/>
        <w:ind w:left="0" w:firstLine="709"/>
        <w:rPr>
          <w:rFonts w:ascii="楷体" w:hAnsi="楷体" w:eastAsia="楷体"/>
          <w:sz w:val="28"/>
          <w:szCs w:val="28"/>
        </w:rPr>
      </w:pPr>
      <w:r>
        <w:rPr>
          <w:rFonts w:ascii="楷体" w:hAnsi="楷体" w:eastAsia="楷体"/>
          <w:sz w:val="28"/>
          <w:szCs w:val="28"/>
        </w:rPr>
        <w:t>估价对象实地查勘照片</w:t>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《武汉光谷联合产权交易所摇号选择中介机构确认书》【[2022]第2040号】（原件）</w:t>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《武汉市江夏区人民法院司法鉴定案件转办单》【（2022）第197号】（复印件）</w:t>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《司法鉴定督办函》【（2022）鄂0115鉴转197号】（原件）</w:t>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《武汉市不动产权登记信息查询单》（复印件）</w:t>
      </w:r>
      <w:r>
        <w:rPr>
          <w:rFonts w:hint="eastAsia" w:ascii="楷体" w:hAnsi="楷体" w:eastAsia="楷体"/>
          <w:sz w:val="28"/>
          <w:szCs w:val="28"/>
        </w:rPr>
        <w:tab/>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《武汉市不动产抵押信息单》（复印件）</w:t>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可比实例位置</w:t>
      </w:r>
      <w:r>
        <w:rPr>
          <w:rFonts w:ascii="楷体" w:hAnsi="楷体" w:eastAsia="楷体"/>
          <w:sz w:val="28"/>
          <w:szCs w:val="28"/>
        </w:rPr>
        <w:t>示意</w:t>
      </w:r>
      <w:r>
        <w:rPr>
          <w:rFonts w:hint="eastAsia" w:ascii="楷体" w:hAnsi="楷体" w:eastAsia="楷体"/>
          <w:sz w:val="28"/>
          <w:szCs w:val="28"/>
        </w:rPr>
        <w:t>图及外观照片</w:t>
      </w:r>
    </w:p>
    <w:p>
      <w:pPr>
        <w:numPr>
          <w:ilvl w:val="0"/>
          <w:numId w:val="22"/>
        </w:numPr>
        <w:spacing w:beforeLines="50" w:afterLines="50" w:line="500" w:lineRule="exact"/>
        <w:ind w:left="0" w:firstLine="709"/>
        <w:rPr>
          <w:rFonts w:ascii="楷体" w:hAnsi="楷体" w:eastAsia="楷体"/>
          <w:sz w:val="28"/>
          <w:szCs w:val="28"/>
        </w:rPr>
      </w:pPr>
      <w:r>
        <w:rPr>
          <w:rFonts w:hint="eastAsia" w:ascii="楷体" w:hAnsi="楷体" w:eastAsia="楷体"/>
          <w:sz w:val="28"/>
          <w:szCs w:val="28"/>
        </w:rPr>
        <w:t>专业帮助情况和相关专业意见</w:t>
      </w:r>
    </w:p>
    <w:p>
      <w:pPr>
        <w:spacing w:beforeLines="50" w:afterLines="50" w:line="500" w:lineRule="exact"/>
        <w:ind w:left="709" w:firstLine="560" w:firstLineChars="200"/>
        <w:rPr>
          <w:rFonts w:ascii="楷体" w:hAnsi="楷体" w:eastAsia="楷体"/>
          <w:sz w:val="28"/>
          <w:szCs w:val="28"/>
        </w:rPr>
      </w:pPr>
      <w:r>
        <w:rPr>
          <w:rFonts w:hint="eastAsia" w:ascii="楷体" w:hAnsi="楷体" w:eastAsia="楷体"/>
          <w:sz w:val="28"/>
          <w:szCs w:val="28"/>
        </w:rPr>
        <w:t>本次估价没有专业帮助，未依据相关专业意见。</w:t>
      </w:r>
    </w:p>
    <w:p>
      <w:pPr>
        <w:numPr>
          <w:ilvl w:val="0"/>
          <w:numId w:val="22"/>
        </w:numPr>
        <w:spacing w:beforeLines="50" w:afterLines="50" w:line="500" w:lineRule="exact"/>
        <w:ind w:left="0" w:firstLine="709"/>
        <w:rPr>
          <w:rFonts w:ascii="楷体" w:hAnsi="楷体" w:eastAsia="楷体"/>
          <w:sz w:val="28"/>
          <w:szCs w:val="28"/>
        </w:rPr>
      </w:pPr>
      <w:r>
        <w:rPr>
          <w:rFonts w:ascii="楷体" w:hAnsi="楷体" w:eastAsia="楷体"/>
          <w:sz w:val="28"/>
          <w:szCs w:val="28"/>
        </w:rPr>
        <w:t>房地产估价机构营业执照</w:t>
      </w:r>
      <w:r>
        <w:rPr>
          <w:rFonts w:hint="eastAsia" w:ascii="楷体" w:hAnsi="楷体" w:eastAsia="楷体"/>
          <w:sz w:val="28"/>
          <w:szCs w:val="28"/>
        </w:rPr>
        <w:t>（</w:t>
      </w:r>
      <w:r>
        <w:rPr>
          <w:rFonts w:ascii="楷体" w:hAnsi="楷体" w:eastAsia="楷体"/>
          <w:sz w:val="28"/>
          <w:szCs w:val="28"/>
        </w:rPr>
        <w:t>复印件</w:t>
      </w:r>
      <w:r>
        <w:rPr>
          <w:rFonts w:hint="eastAsia" w:ascii="楷体" w:hAnsi="楷体" w:eastAsia="楷体"/>
          <w:sz w:val="28"/>
          <w:szCs w:val="28"/>
        </w:rPr>
        <w:t>）</w:t>
      </w:r>
    </w:p>
    <w:p>
      <w:pPr>
        <w:numPr>
          <w:ilvl w:val="0"/>
          <w:numId w:val="22"/>
        </w:numPr>
        <w:spacing w:beforeLines="50" w:afterLines="50" w:line="500" w:lineRule="exact"/>
        <w:ind w:left="0" w:firstLine="709"/>
        <w:rPr>
          <w:rFonts w:ascii="楷体" w:hAnsi="楷体" w:eastAsia="楷体"/>
          <w:sz w:val="28"/>
          <w:szCs w:val="28"/>
        </w:rPr>
      </w:pPr>
      <w:r>
        <w:rPr>
          <w:rFonts w:ascii="楷体" w:hAnsi="楷体" w:eastAsia="楷体"/>
          <w:sz w:val="28"/>
          <w:szCs w:val="28"/>
        </w:rPr>
        <w:t>房地产估价机构</w:t>
      </w:r>
      <w:r>
        <w:rPr>
          <w:rFonts w:hint="eastAsia" w:ascii="楷体" w:hAnsi="楷体" w:eastAsia="楷体"/>
          <w:sz w:val="28"/>
          <w:szCs w:val="28"/>
        </w:rPr>
        <w:t>备</w:t>
      </w:r>
      <w:r>
        <w:rPr>
          <w:rFonts w:ascii="楷体" w:hAnsi="楷体" w:eastAsia="楷体"/>
          <w:sz w:val="28"/>
          <w:szCs w:val="28"/>
        </w:rPr>
        <w:t>案证书</w:t>
      </w:r>
      <w:r>
        <w:rPr>
          <w:rFonts w:hint="eastAsia" w:ascii="楷体" w:hAnsi="楷体" w:eastAsia="楷体"/>
          <w:sz w:val="28"/>
          <w:szCs w:val="28"/>
        </w:rPr>
        <w:t>（</w:t>
      </w:r>
      <w:r>
        <w:rPr>
          <w:rFonts w:ascii="楷体" w:hAnsi="楷体" w:eastAsia="楷体"/>
          <w:sz w:val="28"/>
          <w:szCs w:val="28"/>
        </w:rPr>
        <w:t>复印件</w:t>
      </w:r>
      <w:r>
        <w:rPr>
          <w:rFonts w:hint="eastAsia" w:ascii="楷体" w:hAnsi="楷体" w:eastAsia="楷体"/>
          <w:sz w:val="28"/>
          <w:szCs w:val="28"/>
        </w:rPr>
        <w:t>）</w:t>
      </w:r>
    </w:p>
    <w:p>
      <w:pPr>
        <w:numPr>
          <w:ilvl w:val="0"/>
          <w:numId w:val="22"/>
        </w:numPr>
        <w:spacing w:beforeLines="50" w:afterLines="50" w:line="500" w:lineRule="exact"/>
        <w:ind w:left="0" w:firstLine="709"/>
        <w:rPr>
          <w:rFonts w:ascii="楷体" w:hAnsi="楷体" w:eastAsia="楷体"/>
          <w:sz w:val="28"/>
          <w:szCs w:val="28"/>
        </w:rPr>
      </w:pPr>
      <w:r>
        <w:rPr>
          <w:rFonts w:ascii="楷体" w:hAnsi="楷体" w:eastAsia="楷体"/>
          <w:sz w:val="28"/>
          <w:szCs w:val="28"/>
        </w:rPr>
        <w:t>注册房地产估价师估价资格证书</w:t>
      </w:r>
      <w:r>
        <w:rPr>
          <w:rFonts w:hint="eastAsia" w:ascii="楷体" w:hAnsi="楷体" w:eastAsia="楷体"/>
          <w:sz w:val="28"/>
          <w:szCs w:val="28"/>
        </w:rPr>
        <w:t>（</w:t>
      </w:r>
      <w:r>
        <w:rPr>
          <w:rFonts w:ascii="楷体" w:hAnsi="楷体" w:eastAsia="楷体"/>
          <w:sz w:val="28"/>
          <w:szCs w:val="28"/>
        </w:rPr>
        <w:t>复印件</w:t>
      </w:r>
      <w:r>
        <w:rPr>
          <w:rFonts w:hint="eastAsia" w:ascii="楷体" w:hAnsi="楷体" w:eastAsia="楷体"/>
          <w:sz w:val="28"/>
          <w:szCs w:val="28"/>
        </w:rPr>
        <w:t>）</w:t>
      </w:r>
    </w:p>
    <w:p>
      <w:pPr>
        <w:widowControl/>
        <w:spacing w:line="500" w:lineRule="exact"/>
        <w:jc w:val="left"/>
        <w:rPr>
          <w:rFonts w:ascii="楷体" w:hAnsi="楷体" w:eastAsia="楷体"/>
          <w:snapToGrid w:val="0"/>
          <w:sz w:val="28"/>
          <w:szCs w:val="28"/>
        </w:rPr>
      </w:pPr>
      <w:r>
        <w:br w:type="page"/>
      </w:r>
    </w:p>
    <w:p>
      <w:pPr>
        <w:pStyle w:val="45"/>
        <w:spacing w:before="156" w:after="156"/>
        <w:sectPr>
          <w:pgSz w:w="11906" w:h="16838"/>
          <w:pgMar w:top="1388" w:right="1700" w:bottom="1134" w:left="1797" w:header="709" w:footer="574" w:gutter="0"/>
          <w:cols w:space="425" w:num="1"/>
          <w:docGrid w:type="lines" w:linePitch="312" w:charSpace="0"/>
        </w:sectPr>
      </w:pPr>
    </w:p>
    <w:p>
      <w:pPr>
        <w:spacing w:line="160" w:lineRule="exact"/>
        <w:jc w:val="center"/>
        <w:rPr>
          <w:rFonts w:ascii="楷体" w:hAnsi="楷体" w:eastAsia="楷体"/>
          <w:b/>
          <w:sz w:val="32"/>
          <w:szCs w:val="32"/>
        </w:rPr>
      </w:pPr>
    </w:p>
    <w:p>
      <w:pPr>
        <w:spacing w:beforeLines="50" w:afterLines="50"/>
        <w:jc w:val="center"/>
        <w:rPr>
          <w:rFonts w:ascii="Times New Roman" w:hAnsi="Times New Roman" w:eastAsia="楷体_GB2312" w:cs="Times New Roman"/>
          <w:b/>
          <w:sz w:val="32"/>
        </w:rPr>
      </w:pPr>
      <w:r>
        <w:rPr>
          <w:rFonts w:hint="eastAsia" w:ascii="Times New Roman" w:hAnsi="Times New Roman" w:eastAsia="楷体_GB2312" w:cs="Times New Roman"/>
          <w:b/>
          <w:sz w:val="32"/>
        </w:rPr>
        <w:t>附件2  估价对象位置示意图</w:t>
      </w:r>
    </w:p>
    <w:p>
      <w:pPr>
        <w:spacing w:beforeLines="50" w:afterLines="50"/>
        <w:jc w:val="center"/>
        <w:rPr>
          <w:rFonts w:ascii="Times New Roman" w:hAnsi="Times New Roman" w:eastAsia="楷体_GB2312" w:cs="Times New Roman"/>
          <w:b/>
          <w:sz w:val="32"/>
        </w:rPr>
      </w:pPr>
      <w:r>
        <mc:AlternateContent>
          <mc:Choice Requires="wps">
            <w:drawing>
              <wp:anchor distT="0" distB="0" distL="114300" distR="114300" simplePos="0" relativeHeight="251660288" behindDoc="0" locked="0" layoutInCell="1" allowOverlap="1">
                <wp:simplePos x="0" y="0"/>
                <wp:positionH relativeFrom="column">
                  <wp:posOffset>2015490</wp:posOffset>
                </wp:positionH>
                <wp:positionV relativeFrom="paragraph">
                  <wp:posOffset>2493645</wp:posOffset>
                </wp:positionV>
                <wp:extent cx="161925" cy="142875"/>
                <wp:effectExtent l="15875" t="14605" r="31750" b="13970"/>
                <wp:wrapNone/>
                <wp:docPr id="2" name="自选图形 4"/>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 o:spid="_x0000_s1026" style="position:absolute;left:0pt;margin-left:158.7pt;margin-top:196.35pt;height:11.25pt;width:12.75pt;z-index:251660288;mso-width-relative:page;mso-height-relative:page;" fillcolor="#FF0000" filled="t" stroked="t" coordsize="161925,142875" o:gfxdata="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7nUeTbAAAACwEAAA8AAAAAAAAAAQAgAAAA&#10;IgAAAGRycy9kb3ducmV2LnhtbFBLAQIUABQAAAAIAIdO4kAvC+ltCAIAACQEAAAOAAAAAAAAAAEA&#10;IAAAACoBAABkcnMvZTJvRG9jLnhtbFBLBQYAAAAABgAGAFkBAACkBQAAAAA=&#10;" path="m0,54573l61850,54573,80962,0,100074,54573,161924,54573,111886,88301,130999,142874,80962,109146,30925,142874,50038,88301xe">
                <v:path o:connectlocs="80962,0;0,54573;30925,142874;130999,142874;161924,54573" o:connectangles="247,164,82,82,0"/>
                <v:fill on="t" focussize="0,0"/>
                <v:stroke color="#000000"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2069465</wp:posOffset>
                </wp:positionH>
                <wp:positionV relativeFrom="paragraph">
                  <wp:posOffset>2085340</wp:posOffset>
                </wp:positionV>
                <wp:extent cx="774700" cy="273050"/>
                <wp:effectExtent l="5080" t="4445" r="20320" b="198755"/>
                <wp:wrapNone/>
                <wp:docPr id="1" name="自选图形 3"/>
                <wp:cNvGraphicFramePr/>
                <a:graphic xmlns:a="http://schemas.openxmlformats.org/drawingml/2006/main">
                  <a:graphicData uri="http://schemas.microsoft.com/office/word/2010/wordprocessingShape">
                    <wps:wsp>
                      <wps:cNvSpPr/>
                      <wps:spPr>
                        <a:xfrm>
                          <a:off x="0" y="0"/>
                          <a:ext cx="774700" cy="273050"/>
                        </a:xfrm>
                        <a:prstGeom prst="wedgeRoundRectCallout">
                          <a:avLst>
                            <a:gd name="adj1" fmla="val -43708"/>
                            <a:gd name="adj2" fmla="val 11468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估价对象</w:t>
                            </w:r>
                          </w:p>
                        </w:txbxContent>
                      </wps:txbx>
                      <wps:bodyPr upright="1"/>
                    </wps:wsp>
                  </a:graphicData>
                </a:graphic>
              </wp:anchor>
            </w:drawing>
          </mc:Choice>
          <mc:Fallback>
            <w:pict>
              <v:shape id="自选图形 3" o:spid="_x0000_s1026" o:spt="62" type="#_x0000_t62" style="position:absolute;left:0pt;margin-left:162.95pt;margin-top:164.2pt;height:21.5pt;width:61pt;z-index:251659264;mso-width-relative:page;mso-height-relative:page;" fillcolor="#FFFFFF" filled="t" stroked="t" coordsize="21600,21600" o:gfxdata="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2nNS9oAAAALAQAADwAAAAAAAAAB&#10;ACAAAAAiAAAAZHJzL2Rvd25yZXYueG1sUEsBAhQAFAAAAAgAh07iQCdw0c5HAgAAtgQAAA4AAAAA&#10;AAAAAQAgAAAAKQEAAGRycy9lMm9Eb2MueG1sUEsFBgAAAAAGAAYAWQEAAOIFAAAAAA==&#10;" adj="1359,35571,14400">
                <v:fill on="t" focussize="0,0"/>
                <v:stroke color="#000000" joinstyle="miter"/>
                <v:imagedata o:title=""/>
                <o:lock v:ext="edit" aspectratio="f"/>
                <v:textbox>
                  <w:txbxContent>
                    <w:p>
                      <w:pPr>
                        <w:rPr>
                          <w:color w:val="FF0000"/>
                        </w:rPr>
                      </w:pPr>
                      <w:r>
                        <w:rPr>
                          <w:rFonts w:hint="eastAsia"/>
                          <w:color w:val="FF0000"/>
                        </w:rPr>
                        <w:t>估价对象</w:t>
                      </w:r>
                    </w:p>
                  </w:txbxContent>
                </v:textbox>
              </v:shape>
            </w:pict>
          </mc:Fallback>
        </mc:AlternateContent>
      </w:r>
      <w:r>
        <w:drawing>
          <wp:inline distT="0" distB="0" distL="114300" distR="114300">
            <wp:extent cx="5334000" cy="4617085"/>
            <wp:effectExtent l="0" t="0" r="0"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cstate="print"/>
                    <a:stretch>
                      <a:fillRect/>
                    </a:stretch>
                  </pic:blipFill>
                  <pic:spPr>
                    <a:xfrm>
                      <a:off x="0" y="0"/>
                      <a:ext cx="5334000" cy="4617085"/>
                    </a:xfrm>
                    <a:prstGeom prst="rect">
                      <a:avLst/>
                    </a:prstGeom>
                    <a:noFill/>
                    <a:ln>
                      <a:noFill/>
                    </a:ln>
                  </pic:spPr>
                </pic:pic>
              </a:graphicData>
            </a:graphic>
          </wp:inline>
        </w:drawing>
      </w:r>
    </w:p>
    <w:p>
      <w:pPr>
        <w:spacing w:beforeLines="50" w:afterLines="50"/>
        <w:jc w:val="center"/>
        <w:rPr>
          <w:color w:val="FFFFFF" w:themeColor="background1"/>
        </w:rPr>
      </w:pPr>
      <w:r>
        <w:rPr>
          <w:rFonts w:hint="eastAsia"/>
          <w:color w:val="FFFFFF" w:themeColor="background1"/>
        </w:rPr>
        <w:t>公章盖章处</w:t>
      </w:r>
    </w:p>
    <w:p>
      <w:pPr>
        <w:spacing w:beforeLines="50" w:afterLines="50"/>
        <w:jc w:val="center"/>
      </w:pPr>
    </w:p>
    <w:p>
      <w:pPr>
        <w:spacing w:beforeLines="50" w:afterLines="50"/>
        <w:jc w:val="center"/>
      </w:pPr>
    </w:p>
    <w:p>
      <w:pPr>
        <w:spacing w:beforeLines="50" w:afterLines="50"/>
        <w:jc w:val="center"/>
      </w:pPr>
    </w:p>
    <w:p>
      <w:pPr>
        <w:spacing w:beforeLines="50" w:afterLines="50"/>
        <w:jc w:val="center"/>
      </w:pPr>
    </w:p>
    <w:p>
      <w:pPr>
        <w:spacing w:beforeLines="50" w:afterLines="50"/>
        <w:jc w:val="center"/>
      </w:pPr>
    </w:p>
    <w:p>
      <w:pPr>
        <w:spacing w:beforeLines="50" w:afterLines="50"/>
        <w:jc w:val="center"/>
      </w:pPr>
    </w:p>
    <w:p>
      <w:pPr>
        <w:spacing w:beforeLines="50" w:afterLines="50"/>
        <w:jc w:val="center"/>
      </w:pPr>
    </w:p>
    <w:p>
      <w:pPr>
        <w:widowControl/>
        <w:spacing w:beforeLines="50" w:line="360" w:lineRule="auto"/>
        <w:jc w:val="center"/>
        <w:rPr>
          <w:rFonts w:ascii="Times New Roman" w:hAnsi="Times New Roman" w:eastAsia="楷体_GB2312" w:cs="Times New Roman"/>
          <w:b/>
          <w:sz w:val="32"/>
        </w:rPr>
      </w:pPr>
    </w:p>
    <w:p>
      <w:pPr>
        <w:widowControl/>
        <w:spacing w:beforeLines="50" w:line="360" w:lineRule="auto"/>
        <w:jc w:val="center"/>
        <w:rPr>
          <w:rFonts w:ascii="Times New Roman" w:hAnsi="Times New Roman" w:eastAsia="楷体_GB2312" w:cs="Times New Roman"/>
          <w:b/>
          <w:sz w:val="32"/>
        </w:rPr>
      </w:pPr>
    </w:p>
    <w:p>
      <w:pPr>
        <w:spacing w:line="160" w:lineRule="exact"/>
        <w:jc w:val="center"/>
        <w:rPr>
          <w:rFonts w:ascii="楷体" w:hAnsi="楷体" w:eastAsia="楷体"/>
          <w:b/>
          <w:sz w:val="32"/>
          <w:szCs w:val="32"/>
        </w:rPr>
      </w:pPr>
    </w:p>
    <w:p>
      <w:pPr>
        <w:widowControl/>
        <w:spacing w:beforeLines="50" w:line="360" w:lineRule="auto"/>
        <w:jc w:val="center"/>
        <w:rPr>
          <w:rFonts w:ascii="Times New Roman" w:hAnsi="Times New Roman" w:eastAsia="楷体_GB2312" w:cs="Times New Roman"/>
          <w:b/>
          <w:sz w:val="32"/>
        </w:rPr>
      </w:pPr>
      <w:r>
        <w:rPr>
          <w:rFonts w:hint="eastAsia" w:ascii="Times New Roman" w:hAnsi="Times New Roman" w:eastAsia="楷体_GB2312" w:cs="Times New Roman"/>
          <w:b/>
          <w:sz w:val="32"/>
        </w:rPr>
        <w:t>附件3  估价对象实地查勘照片</w:t>
      </w:r>
    </w:p>
    <w:p>
      <w:pPr>
        <w:widowControl/>
        <w:spacing w:beforeLines="50" w:line="360" w:lineRule="auto"/>
        <w:jc w:val="center"/>
        <w:rPr>
          <w:rFonts w:ascii="Times New Roman" w:hAnsi="Times New Roman" w:eastAsia="楷体_GB2312" w:cs="Times New Roman"/>
          <w:b/>
          <w:color w:val="FFFFFF" w:themeColor="background1"/>
          <w:sz w:val="32"/>
        </w:rPr>
      </w:pPr>
      <w:r>
        <w:rPr>
          <w:rFonts w:hint="eastAsia" w:ascii="楷体" w:hAnsi="楷体" w:eastAsia="楷体"/>
          <w:color w:val="FFFFFF" w:themeColor="background1"/>
          <w:sz w:val="16"/>
          <w:szCs w:val="16"/>
        </w:rPr>
        <w:t>公章盖章处</w:t>
      </w:r>
    </w:p>
    <w:tbl>
      <w:tblPr>
        <w:tblStyle w:val="31"/>
        <w:tblW w:w="0" w:type="auto"/>
        <w:tblInd w:w="0" w:type="dxa"/>
        <w:tblBorders>
          <w:top w:val="none" w:color="auto" w:sz="2" w:space="0"/>
          <w:left w:val="none" w:color="auto" w:sz="2" w:space="0"/>
          <w:bottom w:val="none" w:color="auto" w:sz="2" w:space="0"/>
          <w:right w:val="none" w:color="auto" w:sz="2" w:space="0"/>
          <w:insideH w:val="none" w:color="auto" w:sz="2" w:space="0"/>
          <w:insideV w:val="none" w:color="auto" w:sz="2" w:space="0"/>
        </w:tblBorders>
        <w:tblLayout w:type="autofit"/>
        <w:tblCellMar>
          <w:top w:w="0" w:type="dxa"/>
          <w:left w:w="108" w:type="dxa"/>
          <w:bottom w:w="0" w:type="dxa"/>
          <w:right w:w="108" w:type="dxa"/>
        </w:tblCellMar>
      </w:tblPr>
      <w:tblGrid>
        <w:gridCol w:w="4037"/>
        <w:gridCol w:w="4037"/>
      </w:tblGrid>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drawing>
                <wp:inline distT="0" distB="0" distL="114300" distR="114300">
                  <wp:extent cx="2300605" cy="1724660"/>
                  <wp:effectExtent l="0" t="0" r="4445" b="8890"/>
                  <wp:docPr id="24" name="图片 24" descr="IMG_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823"/>
                          <pic:cNvPicPr>
                            <a:picLocks noChangeAspect="1"/>
                          </pic:cNvPicPr>
                        </pic:nvPicPr>
                        <pic:blipFill>
                          <a:blip r:embed="rId13"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小区入口</w:t>
            </w:r>
          </w:p>
        </w:tc>
        <w:tc>
          <w:tcPr>
            <w:tcW w:w="4037" w:type="dxa"/>
          </w:tcPr>
          <w:p>
            <w:r>
              <w:rPr>
                <w:rFonts w:hint="eastAsia"/>
              </w:rPr>
              <w:drawing>
                <wp:inline distT="0" distB="0" distL="114300" distR="114300">
                  <wp:extent cx="2300605" cy="1724660"/>
                  <wp:effectExtent l="0" t="0" r="4445" b="8890"/>
                  <wp:docPr id="25" name="图片 25" descr="IMG_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52"/>
                          <pic:cNvPicPr>
                            <a:picLocks noChangeAspect="1"/>
                          </pic:cNvPicPr>
                        </pic:nvPicPr>
                        <pic:blipFill>
                          <a:blip r:embed="rId14"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小区内环境</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PrEx>
        <w:tc>
          <w:tcPr>
            <w:tcW w:w="4037" w:type="dxa"/>
          </w:tcPr>
          <w:p>
            <w:r>
              <w:rPr>
                <w:rFonts w:hint="eastAsia"/>
              </w:rPr>
              <w:drawing>
                <wp:inline distT="0" distB="0" distL="114300" distR="114300">
                  <wp:extent cx="2300605" cy="1724660"/>
                  <wp:effectExtent l="0" t="0" r="4445" b="8890"/>
                  <wp:docPr id="30" name="图片 30" descr="IMG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28"/>
                          <pic:cNvPicPr>
                            <a:picLocks noChangeAspect="1"/>
                          </pic:cNvPicPr>
                        </pic:nvPicPr>
                        <pic:blipFill>
                          <a:blip r:embed="rId15" cstate="print"/>
                          <a:stretch>
                            <a:fillRect/>
                          </a:stretch>
                        </pic:blipFill>
                        <pic:spPr>
                          <a:xfrm>
                            <a:off x="0" y="0"/>
                            <a:ext cx="2300605" cy="1724660"/>
                          </a:xfrm>
                          <a:prstGeom prst="rect">
                            <a:avLst/>
                          </a:prstGeom>
                        </pic:spPr>
                      </pic:pic>
                    </a:graphicData>
                  </a:graphic>
                </wp:inline>
              </w:drawing>
            </w:r>
          </w:p>
          <w:p>
            <w:pPr>
              <w:jc w:val="left"/>
              <w:rPr>
                <w:rFonts w:ascii="楷体_GB2312" w:eastAsia="楷体_GB2312"/>
                <w:b/>
                <w:sz w:val="24"/>
                <w:szCs w:val="24"/>
              </w:rPr>
            </w:pPr>
            <w:r>
              <w:rPr>
                <w:rFonts w:hint="eastAsia" w:ascii="楷体_GB2312" w:eastAsia="楷体_GB2312"/>
                <w:b/>
                <w:sz w:val="24"/>
                <w:szCs w:val="24"/>
              </w:rPr>
              <w:t xml:space="preserve">        估价对象入户门</w:t>
            </w:r>
            <w:r>
              <w:rPr>
                <w:rFonts w:hint="eastAsia" w:ascii="楷体" w:hAnsi="楷体" w:eastAsia="楷体"/>
                <w:sz w:val="16"/>
                <w:szCs w:val="16"/>
              </w:rPr>
              <w:t xml:space="preserve">    </w:t>
            </w:r>
          </w:p>
        </w:tc>
        <w:tc>
          <w:tcPr>
            <w:tcW w:w="4037" w:type="dxa"/>
          </w:tcPr>
          <w:p>
            <w:r>
              <w:rPr>
                <w:rFonts w:hint="eastAsia"/>
              </w:rPr>
              <w:drawing>
                <wp:inline distT="0" distB="0" distL="114300" distR="114300">
                  <wp:extent cx="2300605" cy="1724660"/>
                  <wp:effectExtent l="0" t="0" r="4445" b="8890"/>
                  <wp:docPr id="27" name="图片 27" descr="IMG_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5"/>
                          <pic:cNvPicPr>
                            <a:picLocks noChangeAspect="1"/>
                          </pic:cNvPicPr>
                        </pic:nvPicPr>
                        <pic:blipFill>
                          <a:blip r:embed="rId16"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估价对象单元门</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drawing>
                <wp:inline distT="0" distB="0" distL="114300" distR="114300">
                  <wp:extent cx="2300605" cy="1724660"/>
                  <wp:effectExtent l="0" t="0" r="4445" b="8890"/>
                  <wp:docPr id="31" name="图片 31" descr="IMG_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29"/>
                          <pic:cNvPicPr>
                            <a:picLocks noChangeAspect="1"/>
                          </pic:cNvPicPr>
                        </pic:nvPicPr>
                        <pic:blipFill>
                          <a:blip r:embed="rId17"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c>
          <w:tcPr>
            <w:tcW w:w="4037" w:type="dxa"/>
          </w:tcPr>
          <w:p>
            <w:r>
              <w:rPr>
                <w:rFonts w:hint="eastAsia"/>
              </w:rPr>
              <w:drawing>
                <wp:inline distT="0" distB="0" distL="114300" distR="114300">
                  <wp:extent cx="2300605" cy="1724660"/>
                  <wp:effectExtent l="0" t="0" r="4445" b="8890"/>
                  <wp:docPr id="32" name="图片 32" descr="IMG_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30"/>
                          <pic:cNvPicPr>
                            <a:picLocks noChangeAspect="1"/>
                          </pic:cNvPicPr>
                        </pic:nvPicPr>
                        <pic:blipFill>
                          <a:blip r:embed="rId18"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drawing>
                <wp:inline distT="0" distB="0" distL="114300" distR="114300">
                  <wp:extent cx="2300605" cy="1724660"/>
                  <wp:effectExtent l="0" t="0" r="4445" b="8890"/>
                  <wp:docPr id="33" name="图片 33" descr="IMG_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31"/>
                          <pic:cNvPicPr>
                            <a:picLocks noChangeAspect="1"/>
                          </pic:cNvPicPr>
                        </pic:nvPicPr>
                        <pic:blipFill>
                          <a:blip r:embed="rId19"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c>
          <w:tcPr>
            <w:tcW w:w="4037" w:type="dxa"/>
          </w:tcPr>
          <w:p>
            <w:pPr>
              <w:jc w:val="center"/>
              <w:rPr>
                <w:rFonts w:ascii="楷体_GB2312" w:eastAsia="楷体_GB2312"/>
                <w:b/>
                <w:sz w:val="24"/>
                <w:szCs w:val="24"/>
              </w:rPr>
            </w:pPr>
            <w:r>
              <w:rPr>
                <w:rFonts w:hint="eastAsia" w:ascii="楷体_GB2312" w:eastAsia="楷体_GB2312"/>
                <w:b/>
                <w:sz w:val="24"/>
                <w:szCs w:val="24"/>
              </w:rPr>
              <w:drawing>
                <wp:inline distT="0" distB="0" distL="114300" distR="114300">
                  <wp:extent cx="2300605" cy="1724660"/>
                  <wp:effectExtent l="0" t="0" r="4445" b="8890"/>
                  <wp:docPr id="34" name="图片 34" descr="IMG_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32"/>
                          <pic:cNvPicPr>
                            <a:picLocks noChangeAspect="1"/>
                          </pic:cNvPicPr>
                        </pic:nvPicPr>
                        <pic:blipFill>
                          <a:blip r:embed="rId20"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drawing>
                <wp:inline distT="0" distB="0" distL="114300" distR="114300">
                  <wp:extent cx="2300605" cy="1724660"/>
                  <wp:effectExtent l="0" t="0" r="4445" b="8890"/>
                  <wp:docPr id="35" name="图片 35" descr="IMG_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834"/>
                          <pic:cNvPicPr>
                            <a:picLocks noChangeAspect="1"/>
                          </pic:cNvPicPr>
                        </pic:nvPicPr>
                        <pic:blipFill>
                          <a:blip r:embed="rId21"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c>
          <w:tcPr>
            <w:tcW w:w="4037" w:type="dxa"/>
          </w:tcPr>
          <w:p>
            <w:r>
              <w:rPr>
                <w:rFonts w:hint="eastAsia"/>
              </w:rPr>
              <w:drawing>
                <wp:inline distT="0" distB="0" distL="114300" distR="114300">
                  <wp:extent cx="2300605" cy="1724660"/>
                  <wp:effectExtent l="0" t="0" r="4445" b="8890"/>
                  <wp:docPr id="36" name="图片 36" descr="IMG_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835"/>
                          <pic:cNvPicPr>
                            <a:picLocks noChangeAspect="1"/>
                          </pic:cNvPicPr>
                        </pic:nvPicPr>
                        <pic:blipFill>
                          <a:blip r:embed="rId22"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drawing>
                <wp:inline distT="0" distB="0" distL="114300" distR="114300">
                  <wp:extent cx="2300605" cy="1724660"/>
                  <wp:effectExtent l="0" t="0" r="4445" b="8890"/>
                  <wp:docPr id="37" name="图片 37" descr="IMG_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836"/>
                          <pic:cNvPicPr>
                            <a:picLocks noChangeAspect="1"/>
                          </pic:cNvPicPr>
                        </pic:nvPicPr>
                        <pic:blipFill>
                          <a:blip r:embed="rId23"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 xml:space="preserve">         估价对象室内</w:t>
            </w:r>
            <w:r>
              <w:rPr>
                <w:rFonts w:hint="eastAsia" w:ascii="楷体" w:hAnsi="楷体" w:eastAsia="楷体"/>
                <w:sz w:val="16"/>
                <w:szCs w:val="16"/>
              </w:rPr>
              <w:t xml:space="preserve">   </w:t>
            </w:r>
            <w:r>
              <w:rPr>
                <w:rFonts w:hint="eastAsia" w:ascii="楷体" w:hAnsi="楷体" w:eastAsia="楷体"/>
                <w:color w:val="FFFFFF" w:themeColor="background1"/>
                <w:sz w:val="16"/>
                <w:szCs w:val="16"/>
              </w:rPr>
              <w:t>公章盖章处</w:t>
            </w:r>
          </w:p>
        </w:tc>
        <w:tc>
          <w:tcPr>
            <w:tcW w:w="4037" w:type="dxa"/>
          </w:tcPr>
          <w:p>
            <w:r>
              <w:rPr>
                <w:rFonts w:hint="eastAsia"/>
              </w:rPr>
              <w:drawing>
                <wp:inline distT="0" distB="0" distL="114300" distR="114300">
                  <wp:extent cx="2300605" cy="1724660"/>
                  <wp:effectExtent l="0" t="0" r="4445" b="8890"/>
                  <wp:docPr id="38" name="图片 38" descr="IMG_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844"/>
                          <pic:cNvPicPr>
                            <a:picLocks noChangeAspect="1"/>
                          </pic:cNvPicPr>
                        </pic:nvPicPr>
                        <pic:blipFill>
                          <a:blip r:embed="rId24"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t xml:space="preserve"> </w:t>
            </w:r>
            <w:r>
              <w:rPr>
                <w:rFonts w:hint="eastAsia"/>
              </w:rPr>
              <w:drawing>
                <wp:inline distT="0" distB="0" distL="114300" distR="114300">
                  <wp:extent cx="2300605" cy="1724660"/>
                  <wp:effectExtent l="0" t="0" r="4445" b="8890"/>
                  <wp:docPr id="39" name="图片 39" descr="IMG_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848"/>
                          <pic:cNvPicPr>
                            <a:picLocks noChangeAspect="1"/>
                          </pic:cNvPicPr>
                        </pic:nvPicPr>
                        <pic:blipFill>
                          <a:blip r:embed="rId25"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c>
          <w:tcPr>
            <w:tcW w:w="4037" w:type="dxa"/>
          </w:tcPr>
          <w:p>
            <w:r>
              <w:rPr>
                <w:rFonts w:hint="eastAsia"/>
              </w:rPr>
              <w:drawing>
                <wp:inline distT="0" distB="0" distL="114300" distR="114300">
                  <wp:extent cx="2300605" cy="1724660"/>
                  <wp:effectExtent l="0" t="0" r="4445" b="8890"/>
                  <wp:docPr id="43" name="图片 43" descr="IMG_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840"/>
                          <pic:cNvPicPr>
                            <a:picLocks noChangeAspect="1"/>
                          </pic:cNvPicPr>
                        </pic:nvPicPr>
                        <pic:blipFill>
                          <a:blip r:embed="rId26"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估价对象室内</w:t>
            </w:r>
          </w:p>
        </w:tc>
      </w:tr>
      <w:tr>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c>
          <w:tcPr>
            <w:tcW w:w="4037" w:type="dxa"/>
          </w:tcPr>
          <w:p>
            <w:r>
              <w:rPr>
                <w:rFonts w:hint="eastAsia"/>
              </w:rPr>
              <w:drawing>
                <wp:inline distT="0" distB="0" distL="114300" distR="114300">
                  <wp:extent cx="2300605" cy="1724660"/>
                  <wp:effectExtent l="0" t="0" r="4445" b="8890"/>
                  <wp:docPr id="42" name="图片 42" descr="IMG_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846"/>
                          <pic:cNvPicPr>
                            <a:picLocks noChangeAspect="1"/>
                          </pic:cNvPicPr>
                        </pic:nvPicPr>
                        <pic:blipFill>
                          <a:blip r:embed="rId27"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注册房地产估价师现场照片</w:t>
            </w:r>
          </w:p>
        </w:tc>
        <w:tc>
          <w:tcPr>
            <w:tcW w:w="4037" w:type="dxa"/>
          </w:tcPr>
          <w:p>
            <w:pPr>
              <w:jc w:val="center"/>
              <w:rPr>
                <w:rFonts w:ascii="楷体_GB2312" w:eastAsia="楷体_GB2312"/>
                <w:b/>
                <w:sz w:val="24"/>
                <w:szCs w:val="24"/>
              </w:rPr>
            </w:pPr>
            <w:r>
              <w:rPr>
                <w:rFonts w:hint="eastAsia" w:ascii="楷体_GB2312" w:eastAsia="楷体_GB2312"/>
                <w:b/>
                <w:sz w:val="24"/>
                <w:szCs w:val="24"/>
              </w:rPr>
              <w:drawing>
                <wp:inline distT="0" distB="0" distL="114300" distR="114300">
                  <wp:extent cx="2300605" cy="1724660"/>
                  <wp:effectExtent l="0" t="0" r="4445" b="8890"/>
                  <wp:docPr id="41" name="图片 41" descr="IMG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824"/>
                          <pic:cNvPicPr>
                            <a:picLocks noChangeAspect="1"/>
                          </pic:cNvPicPr>
                        </pic:nvPicPr>
                        <pic:blipFill>
                          <a:blip r:embed="rId28" cstate="print"/>
                          <a:stretch>
                            <a:fillRect/>
                          </a:stretch>
                        </pic:blipFill>
                        <pic:spPr>
                          <a:xfrm>
                            <a:off x="0" y="0"/>
                            <a:ext cx="2300605" cy="1724660"/>
                          </a:xfrm>
                          <a:prstGeom prst="rect">
                            <a:avLst/>
                          </a:prstGeom>
                        </pic:spPr>
                      </pic:pic>
                    </a:graphicData>
                  </a:graphic>
                </wp:inline>
              </w:drawing>
            </w:r>
          </w:p>
          <w:p>
            <w:pPr>
              <w:jc w:val="center"/>
              <w:rPr>
                <w:rFonts w:ascii="楷体_GB2312" w:eastAsia="楷体_GB2312"/>
                <w:b/>
                <w:sz w:val="24"/>
                <w:szCs w:val="24"/>
              </w:rPr>
            </w:pPr>
            <w:r>
              <w:rPr>
                <w:rFonts w:hint="eastAsia" w:ascii="楷体_GB2312" w:eastAsia="楷体_GB2312"/>
                <w:b/>
                <w:sz w:val="24"/>
                <w:szCs w:val="24"/>
              </w:rPr>
              <w:t>估价对象周边道路</w:t>
            </w:r>
          </w:p>
        </w:tc>
      </w:tr>
    </w:tbl>
    <w:p>
      <w:pPr>
        <w:ind w:firstLine="420" w:firstLineChars="200"/>
        <w:rPr>
          <w:rFonts w:ascii="Times New Roman" w:hAnsi="Times New Roman" w:eastAsia="宋体" w:cs="Times New Roman"/>
          <w:szCs w:val="24"/>
        </w:rPr>
        <w:sectPr>
          <w:headerReference r:id="rId7" w:type="default"/>
          <w:footerReference r:id="rId8" w:type="default"/>
          <w:pgSz w:w="11906" w:h="16838"/>
          <w:pgMar w:top="1388" w:right="1700" w:bottom="1134" w:left="1797" w:header="709" w:footer="574" w:gutter="0"/>
          <w:cols w:space="425" w:num="1"/>
          <w:docGrid w:type="lines" w:linePitch="312" w:charSpace="0"/>
        </w:sectPr>
      </w:pPr>
    </w:p>
    <w:p>
      <w:pPr>
        <w:widowControl/>
        <w:spacing w:beforeLines="50" w:line="360" w:lineRule="auto"/>
        <w:jc w:val="center"/>
        <w:rPr>
          <w:rFonts w:ascii="Times New Roman" w:hAnsi="Times New Roman" w:eastAsia="楷体_GB2312" w:cs="Times New Roman"/>
          <w:b/>
          <w:sz w:val="32"/>
        </w:rPr>
      </w:pPr>
      <w:r>
        <w:rPr>
          <w:rFonts w:hint="eastAsia" w:ascii="Times New Roman" w:hAnsi="Times New Roman" w:eastAsia="楷体_GB2312" w:cs="Times New Roman"/>
          <w:b/>
          <w:sz w:val="32"/>
        </w:rPr>
        <w:t>附件9  可比实例位置示意图和外观照片</w:t>
      </w:r>
    </w:p>
    <w:p>
      <w:pPr>
        <w:pStyle w:val="81"/>
        <w:numPr>
          <w:ilvl w:val="0"/>
          <w:numId w:val="23"/>
        </w:numPr>
        <w:ind w:firstLineChars="0"/>
        <w:rPr>
          <w:rFonts w:ascii="楷体" w:hAnsi="楷体" w:eastAsia="楷体" w:cs="Times New Roman"/>
          <w:sz w:val="28"/>
          <w:szCs w:val="28"/>
        </w:rPr>
      </w:pPr>
      <w:r>
        <w:rPr>
          <w:rFonts w:ascii="楷体" w:hAnsi="楷体" w:eastAsia="楷体" w:cs="Times New Roman"/>
          <w:sz w:val="28"/>
          <w:szCs w:val="28"/>
        </w:rPr>
        <w:t>可比实例位置示意图：</w:t>
      </w:r>
    </w:p>
    <w:p>
      <w:pPr>
        <w:widowControl/>
        <w:jc w:val="center"/>
        <w:rPr>
          <w:rFonts w:ascii="宋体" w:hAnsi="宋体" w:eastAsia="宋体" w:cs="宋体"/>
          <w:kern w:val="0"/>
          <w:sz w:val="24"/>
          <w:szCs w:val="24"/>
        </w:rPr>
      </w:pPr>
      <w:r>
        <w:drawing>
          <wp:inline distT="0" distB="0" distL="114300" distR="114300">
            <wp:extent cx="5336540" cy="4609465"/>
            <wp:effectExtent l="0" t="0" r="16510" b="63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9" cstate="print"/>
                    <a:stretch>
                      <a:fillRect/>
                    </a:stretch>
                  </pic:blipFill>
                  <pic:spPr>
                    <a:xfrm>
                      <a:off x="0" y="0"/>
                      <a:ext cx="5336540" cy="4609465"/>
                    </a:xfrm>
                    <a:prstGeom prst="rect">
                      <a:avLst/>
                    </a:prstGeom>
                    <a:noFill/>
                    <a:ln>
                      <a:noFill/>
                    </a:ln>
                  </pic:spPr>
                </pic:pic>
              </a:graphicData>
            </a:graphic>
          </wp:inline>
        </w:drawing>
      </w:r>
    </w:p>
    <w:p>
      <w:pPr>
        <w:rPr>
          <w:rFonts w:ascii="Calibri" w:hAnsi="Calibri" w:eastAsia="宋体" w:cs="Times New Roman"/>
        </w:rPr>
      </w:pPr>
    </w:p>
    <w:p>
      <w:pPr>
        <w:pStyle w:val="81"/>
        <w:numPr>
          <w:ilvl w:val="0"/>
          <w:numId w:val="23"/>
        </w:numPr>
        <w:ind w:firstLineChars="0"/>
        <w:rPr>
          <w:rFonts w:ascii="楷体" w:hAnsi="楷体" w:eastAsia="楷体" w:cs="Times New Roman"/>
          <w:sz w:val="28"/>
          <w:szCs w:val="28"/>
        </w:rPr>
      </w:pPr>
      <w:r>
        <w:rPr>
          <w:rFonts w:hint="eastAsia" w:ascii="楷体" w:hAnsi="楷体" w:eastAsia="楷体" w:cs="Times New Roman"/>
          <w:sz w:val="28"/>
          <w:szCs w:val="28"/>
        </w:rPr>
        <w:t>可比实例外观照片：（三和光谷道）</w:t>
      </w:r>
    </w:p>
    <w:p>
      <w:pPr>
        <w:ind w:firstLine="210" w:firstLineChars="100"/>
        <w:jc w:val="center"/>
        <w:rPr>
          <w:rFonts w:ascii="楷体" w:hAnsi="楷体" w:eastAsia="楷体" w:cs="Times New Roman"/>
          <w:sz w:val="28"/>
          <w:szCs w:val="28"/>
        </w:rPr>
      </w:pPr>
      <w:r>
        <w:drawing>
          <wp:inline distT="0" distB="0" distL="114300" distR="114300">
            <wp:extent cx="1703070" cy="1278255"/>
            <wp:effectExtent l="0" t="0" r="11430" b="17145"/>
            <wp:docPr id="45" name="图片 5"/>
            <wp:cNvGraphicFramePr/>
            <a:graphic xmlns:a="http://schemas.openxmlformats.org/drawingml/2006/main">
              <a:graphicData uri="http://schemas.openxmlformats.org/drawingml/2006/picture">
                <pic:pic xmlns:pic="http://schemas.openxmlformats.org/drawingml/2006/picture">
                  <pic:nvPicPr>
                    <pic:cNvPr id="45" name="图片 5"/>
                    <pic:cNvPicPr/>
                  </pic:nvPicPr>
                  <pic:blipFill>
                    <a:blip r:embed="rId30" cstate="print"/>
                    <a:stretch>
                      <a:fillRect/>
                    </a:stretch>
                  </pic:blipFill>
                  <pic:spPr>
                    <a:xfrm>
                      <a:off x="0" y="0"/>
                      <a:ext cx="1703070" cy="1278255"/>
                    </a:xfrm>
                    <a:prstGeom prst="rect">
                      <a:avLst/>
                    </a:prstGeom>
                    <a:noFill/>
                    <a:ln>
                      <a:noFill/>
                    </a:ln>
                  </pic:spPr>
                </pic:pic>
              </a:graphicData>
            </a:graphic>
          </wp:inline>
        </w:drawing>
      </w:r>
      <w:r>
        <w:drawing>
          <wp:inline distT="0" distB="0" distL="114300" distR="114300">
            <wp:extent cx="1703070" cy="1278255"/>
            <wp:effectExtent l="0" t="0" r="11430" b="17145"/>
            <wp:docPr id="46" name="图片 6"/>
            <wp:cNvGraphicFramePr/>
            <a:graphic xmlns:a="http://schemas.openxmlformats.org/drawingml/2006/main">
              <a:graphicData uri="http://schemas.openxmlformats.org/drawingml/2006/picture">
                <pic:pic xmlns:pic="http://schemas.openxmlformats.org/drawingml/2006/picture">
                  <pic:nvPicPr>
                    <pic:cNvPr id="46" name="图片 6"/>
                    <pic:cNvPicPr/>
                  </pic:nvPicPr>
                  <pic:blipFill>
                    <a:blip r:embed="rId31" cstate="print"/>
                    <a:stretch>
                      <a:fillRect/>
                    </a:stretch>
                  </pic:blipFill>
                  <pic:spPr>
                    <a:xfrm>
                      <a:off x="0" y="0"/>
                      <a:ext cx="1703070" cy="1278255"/>
                    </a:xfrm>
                    <a:prstGeom prst="rect">
                      <a:avLst/>
                    </a:prstGeom>
                    <a:noFill/>
                    <a:ln>
                      <a:noFill/>
                    </a:ln>
                  </pic:spPr>
                </pic:pic>
              </a:graphicData>
            </a:graphic>
          </wp:inline>
        </w:drawing>
      </w:r>
      <w:r>
        <w:drawing>
          <wp:inline distT="0" distB="0" distL="114300" distR="114300">
            <wp:extent cx="1703070" cy="1278255"/>
            <wp:effectExtent l="0" t="0" r="11430" b="17145"/>
            <wp:docPr id="47" name="图片 7"/>
            <wp:cNvGraphicFramePr/>
            <a:graphic xmlns:a="http://schemas.openxmlformats.org/drawingml/2006/main">
              <a:graphicData uri="http://schemas.openxmlformats.org/drawingml/2006/picture">
                <pic:pic xmlns:pic="http://schemas.openxmlformats.org/drawingml/2006/picture">
                  <pic:nvPicPr>
                    <pic:cNvPr id="47" name="图片 7"/>
                    <pic:cNvPicPr/>
                  </pic:nvPicPr>
                  <pic:blipFill>
                    <a:blip r:embed="rId32" cstate="print"/>
                    <a:stretch>
                      <a:fillRect/>
                    </a:stretch>
                  </pic:blipFill>
                  <pic:spPr>
                    <a:xfrm>
                      <a:off x="0" y="0"/>
                      <a:ext cx="1703070" cy="1278255"/>
                    </a:xfrm>
                    <a:prstGeom prst="rect">
                      <a:avLst/>
                    </a:prstGeom>
                    <a:noFill/>
                    <a:ln>
                      <a:noFill/>
                    </a:ln>
                  </pic:spPr>
                </pic:pic>
              </a:graphicData>
            </a:graphic>
          </wp:inline>
        </w:drawing>
      </w:r>
    </w:p>
    <w:p>
      <w:pPr>
        <w:jc w:val="center"/>
        <w:rPr>
          <w:rFonts w:ascii="楷体" w:hAnsi="楷体" w:eastAsia="楷体" w:cs="Times New Roman"/>
          <w:sz w:val="28"/>
          <w:szCs w:val="28"/>
        </w:rPr>
      </w:pPr>
      <w:r>
        <w:rPr>
          <w:rFonts w:hint="eastAsia" w:ascii="楷体" w:hAnsi="楷体" w:eastAsia="楷体" w:cs="Times New Roman"/>
          <w:sz w:val="28"/>
          <w:szCs w:val="28"/>
        </w:rPr>
        <w:t>可比案例1          可比案例2          可比案例3</w:t>
      </w:r>
    </w:p>
    <w:p>
      <w:pPr>
        <w:widowControl/>
        <w:jc w:val="left"/>
        <w:rPr>
          <w:rFonts w:ascii="Times New Roman" w:hAnsi="Times New Roman" w:eastAsia="微软雅黑"/>
          <w:b/>
          <w:sz w:val="44"/>
        </w:rPr>
      </w:pPr>
      <w:bookmarkStart w:id="117" w:name="_GoBack"/>
      <w:bookmarkEnd w:id="117"/>
    </w:p>
    <w:sectPr>
      <w:headerReference r:id="rId9" w:type="default"/>
      <w:footerReference r:id="rId10" w:type="default"/>
      <w:pgSz w:w="11906" w:h="16838"/>
      <w:pgMar w:top="1388" w:right="1700" w:bottom="1134" w:left="1797" w:header="709" w:footer="57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Algerian">
    <w:panose1 w:val="04020705040A02060702"/>
    <w:charset w:val="00"/>
    <w:family w:val="decorative"/>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微软雅黑" w:hAnsi="微软雅黑"/>
      </w:rPr>
      <w:t>一级</w:t>
    </w:r>
    <w:r>
      <w:rPr>
        <w:rFonts w:ascii="微软雅黑" w:hAnsi="微软雅黑"/>
      </w:rPr>
      <w:t>房地产估价机构</w:t>
    </w:r>
    <w:r>
      <w:rPr>
        <w:rFonts w:hint="eastAsia" w:ascii="微软雅黑" w:hAnsi="微软雅黑"/>
      </w:rPr>
      <w:t>、A级资信土地估价、（RICS）执业单位</w:t>
    </w:r>
    <w:r>
      <w:rPr>
        <w:rFonts w:hint="eastAsia"/>
      </w:rPr>
      <w:tab/>
    </w:r>
    <w:r>
      <w:rPr>
        <w:rFonts w:hint="eastAsia"/>
      </w:rPr>
      <w:t>致函第</w:t>
    </w:r>
    <w:r>
      <w:fldChar w:fldCharType="begin"/>
    </w:r>
    <w:r>
      <w:instrText xml:space="preserve">PAGE   \* MERGEFORMAT</w:instrText>
    </w:r>
    <w:r>
      <w:fldChar w:fldCharType="separate"/>
    </w:r>
    <w:r>
      <w:rPr>
        <w:lang w:val="zh-CN"/>
      </w:rPr>
      <w:t>1</w:t>
    </w:r>
    <w:r>
      <w:rPr>
        <w:lang w:val="zh-CN"/>
      </w:rP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微软雅黑" w:hAnsi="微软雅黑"/>
      </w:rPr>
      <w:t>一级</w:t>
    </w:r>
    <w:r>
      <w:rPr>
        <w:rFonts w:ascii="微软雅黑" w:hAnsi="微软雅黑"/>
      </w:rPr>
      <w:t>房地产估价机构</w:t>
    </w:r>
    <w:r>
      <w:rPr>
        <w:rFonts w:hint="eastAsia" w:ascii="微软雅黑" w:hAnsi="微软雅黑"/>
      </w:rPr>
      <w:t>、A级资信土地估价、（RICS）执业单位</w:t>
    </w:r>
    <w:r>
      <w:rPr>
        <w:rFonts w:hint="eastAsia"/>
      </w:rPr>
      <w:tab/>
    </w:r>
    <w:r>
      <w:rPr>
        <w:rFonts w:hint="eastAsia"/>
      </w:rPr>
      <w:t>目录</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微软雅黑" w:hAnsi="微软雅黑"/>
      </w:rPr>
      <w:t>一级</w:t>
    </w:r>
    <w:r>
      <w:rPr>
        <w:rFonts w:ascii="微软雅黑" w:hAnsi="微软雅黑"/>
      </w:rPr>
      <w:t>房地产估价机构</w:t>
    </w:r>
    <w:r>
      <w:rPr>
        <w:rFonts w:hint="eastAsia" w:ascii="微软雅黑" w:hAnsi="微软雅黑"/>
      </w:rPr>
      <w:t>、A级资信土地估价、（RICS）执业单位</w:t>
    </w:r>
    <w:r>
      <w:rPr>
        <w:rFonts w:hint="eastAsia"/>
      </w:rPr>
      <w:tab/>
    </w:r>
    <w:r>
      <w:rPr>
        <w:rFonts w:hint="eastAsia"/>
      </w:rPr>
      <w:t>第</w:t>
    </w:r>
    <w:r>
      <w:fldChar w:fldCharType="begin"/>
    </w:r>
    <w:r>
      <w:instrText xml:space="preserve">PAGE   \* MERGEFORMAT</w:instrText>
    </w:r>
    <w:r>
      <w:fldChar w:fldCharType="separate"/>
    </w:r>
    <w:r>
      <w:rPr>
        <w:lang w:val="zh-CN"/>
      </w:rPr>
      <w:t>7</w:t>
    </w:r>
    <w:r>
      <w:rPr>
        <w:lang w:val="zh-CN"/>
      </w:rP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0"/>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微软雅黑" w:hAnsi="微软雅黑"/>
      </w:rPr>
      <w:t>一级</w:t>
    </w:r>
    <w:r>
      <w:rPr>
        <w:rFonts w:ascii="微软雅黑" w:hAnsi="微软雅黑"/>
      </w:rPr>
      <w:t>房地产估价机构</w:t>
    </w:r>
    <w:r>
      <w:rPr>
        <w:rFonts w:hint="eastAsia" w:ascii="微软雅黑" w:hAnsi="微软雅黑"/>
      </w:rPr>
      <w:t>、A级资信土地估价、（RICS）执业单位</w:t>
    </w:r>
    <w:r>
      <w:rPr>
        <w:rFonts w:hint="eastAsia"/>
      </w:rPr>
      <w:t xml:space="preserve">                           </w:t>
    </w:r>
    <w:r>
      <w:t xml:space="preserve">   </w:t>
    </w:r>
    <w:r>
      <w:rPr>
        <w:rFonts w:hint="eastAsia"/>
      </w:rPr>
      <w:t>第</w:t>
    </w:r>
    <w:r>
      <w:fldChar w:fldCharType="begin"/>
    </w:r>
    <w:r>
      <w:instrText xml:space="preserve">PAGE   \* MERGEFORMAT</w:instrText>
    </w:r>
    <w:r>
      <w:fldChar w:fldCharType="separate"/>
    </w:r>
    <w:r>
      <w:rPr>
        <w:lang w:val="zh-CN"/>
      </w:rPr>
      <w:t>24</w:t>
    </w:r>
    <w:r>
      <w:rPr>
        <w:lang w:val="zh-CN"/>
      </w:rP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exact"/>
      <w:rPr>
        <w:rFonts w:ascii="微软雅黑" w:hAnsi="微软雅黑" w:eastAsia="微软雅黑"/>
        <w:b/>
        <w:spacing w:val="40"/>
        <w:sz w:val="20"/>
        <w:szCs w:val="20"/>
      </w:rPr>
    </w:pPr>
    <w:r>
      <w:rPr>
        <w:rFonts w:hint="eastAsia" w:ascii="微软雅黑" w:hAnsi="微软雅黑" w:eastAsia="微软雅黑"/>
        <w:b/>
        <w:spacing w:val="40"/>
        <w:sz w:val="20"/>
        <w:szCs w:val="20"/>
      </w:rPr>
      <w:t>北京仁达房地产土地资产评估有限公司</w:t>
    </w:r>
  </w:p>
  <w:p>
    <w:pPr>
      <w:spacing w:line="220" w:lineRule="atLeast"/>
      <w:rPr>
        <w:rFonts w:ascii="微软雅黑" w:hAnsi="微软雅黑" w:eastAsia="微软雅黑"/>
        <w:spacing w:val="24"/>
        <w:sz w:val="11"/>
        <w:szCs w:val="11"/>
      </w:rPr>
    </w:pPr>
    <w:r>
      <w:rPr>
        <w:rFonts w:ascii="微软雅黑" w:hAnsi="微软雅黑" w:eastAsia="微软雅黑"/>
        <w:spacing w:val="24"/>
        <w:sz w:val="11"/>
        <w:szCs w:val="11"/>
      </w:rPr>
      <w:t>BEIJING RENDA APPRAISAL CO., LTD.</w:t>
    </w:r>
    <w:r>
      <w:rPr>
        <w:rFonts w:hint="eastAsia" w:ascii="微软雅黑" w:hAnsi="微软雅黑" w:eastAsia="微软雅黑"/>
        <w:sz w:val="11"/>
        <w:szCs w:val="11"/>
      </w:rPr>
      <w:t xml:space="preserve">                                                                                           </w:t>
    </w:r>
  </w:p>
  <w:p>
    <w:pPr>
      <w:spacing w:line="100" w:lineRule="atLeast"/>
      <w:rPr>
        <w:rFonts w:ascii="微软雅黑" w:hAnsi="微软雅黑" w:eastAsia="微软雅黑"/>
        <w:sz w:val="11"/>
        <w:szCs w:val="11"/>
      </w:rPr>
    </w:pPr>
    <w:r>
      <w:rPr>
        <w:rFonts w:ascii="微软雅黑" w:hAnsi="微软雅黑" w:eastAsia="微软雅黑"/>
        <w:sz w:val="11"/>
        <w:szCs w:val="11"/>
      </w:rPr>
      <w:pict>
        <v:rect id="_x0000_i1025" o:spt="1" style="height:1.5pt;width:0pt;" fillcolor="#A0A0A0" filled="t" stroked="f" coordsize="21600,21600" o:hr="t" o:hrstd="t" o:hralign="center">
          <v:path/>
          <v:fill on="t" focussize="0,0"/>
          <v:stroke on="f"/>
          <v:imagedata o:title=""/>
          <o:lock v:ext="edit"/>
          <w10:wrap type="none"/>
          <w10:anchorlock/>
        </v:rect>
      </w:pict>
    </w:r>
  </w:p>
  <w:p>
    <w:pPr>
      <w:pStyle w:val="21"/>
      <w:pBdr>
        <w:bottom w:val="none" w:color="auto" w:sz="0" w:space="0"/>
      </w:pBdr>
      <w:jc w:val="both"/>
    </w:pPr>
    <w:r>
      <w:rPr>
        <w:rFonts w:hint="eastAsia" w:ascii="微软雅黑" w:hAnsi="微软雅黑"/>
        <w:sz w:val="11"/>
        <w:szCs w:val="11"/>
      </w:rPr>
      <w:t xml:space="preserve">Add：北京市西城区车公庄大街9号院五栋大楼B座1单元401室   Tel：010-88395886   Fax：010-88395756   </w:t>
    </w:r>
    <w:r>
      <w:rPr>
        <w:rFonts w:ascii="微软雅黑" w:hAnsi="微软雅黑"/>
        <w:sz w:val="11"/>
        <w:szCs w:val="11"/>
      </w:rPr>
      <w:t>Pc:</w:t>
    </w:r>
    <w:r>
      <w:rPr>
        <w:rFonts w:hint="eastAsia" w:ascii="微软雅黑" w:hAnsi="微软雅黑"/>
        <w:sz w:val="11"/>
        <w:szCs w:val="11"/>
      </w:rPr>
      <w:t xml:space="preserve"> </w:t>
    </w:r>
    <w:r>
      <w:rPr>
        <w:rFonts w:ascii="微软雅黑" w:hAnsi="微软雅黑"/>
        <w:sz w:val="11"/>
        <w:szCs w:val="11"/>
      </w:rPr>
      <w:t>100044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exact"/>
      <w:rPr>
        <w:rFonts w:ascii="微软雅黑" w:hAnsi="微软雅黑" w:eastAsia="微软雅黑"/>
        <w:b/>
        <w:spacing w:val="40"/>
        <w:sz w:val="20"/>
        <w:szCs w:val="20"/>
      </w:rPr>
    </w:pPr>
    <w:r>
      <w:rPr>
        <w:rFonts w:hint="eastAsia" w:ascii="微软雅黑" w:hAnsi="微软雅黑" w:eastAsia="微软雅黑"/>
        <w:b/>
        <w:spacing w:val="40"/>
        <w:sz w:val="20"/>
        <w:szCs w:val="20"/>
      </w:rPr>
      <w:t>北京仁达房地产土地资产评估有限公司</w:t>
    </w:r>
  </w:p>
  <w:p>
    <w:pPr>
      <w:spacing w:line="220" w:lineRule="atLeast"/>
      <w:rPr>
        <w:rFonts w:ascii="微软雅黑" w:hAnsi="微软雅黑" w:eastAsia="微软雅黑"/>
        <w:spacing w:val="24"/>
        <w:sz w:val="11"/>
        <w:szCs w:val="11"/>
      </w:rPr>
    </w:pPr>
    <w:r>
      <w:rPr>
        <w:rFonts w:ascii="微软雅黑" w:hAnsi="微软雅黑" w:eastAsia="微软雅黑"/>
        <w:spacing w:val="24"/>
        <w:sz w:val="11"/>
        <w:szCs w:val="11"/>
      </w:rPr>
      <w:t>BEIJING RENDA APPRAISAL CO., LTD.</w:t>
    </w:r>
    <w:r>
      <w:rPr>
        <w:rFonts w:hint="eastAsia" w:ascii="微软雅黑" w:hAnsi="微软雅黑" w:eastAsia="微软雅黑"/>
        <w:sz w:val="11"/>
        <w:szCs w:val="11"/>
      </w:rPr>
      <w:t xml:space="preserve">                                                                                </w:t>
    </w:r>
  </w:p>
  <w:p>
    <w:pPr>
      <w:spacing w:line="100" w:lineRule="atLeast"/>
      <w:rPr>
        <w:rFonts w:ascii="微软雅黑" w:hAnsi="微软雅黑" w:eastAsia="微软雅黑"/>
        <w:sz w:val="11"/>
        <w:szCs w:val="11"/>
      </w:rPr>
    </w:pPr>
    <w:r>
      <w:rPr>
        <w:rFonts w:ascii="微软雅黑" w:hAnsi="微软雅黑" w:eastAsia="微软雅黑"/>
        <w:sz w:val="11"/>
        <w:szCs w:val="11"/>
      </w:rPr>
      <w:pict>
        <v:rect id="_x0000_i1026" o:spt="1" style="height:1.5pt;width:0pt;" fillcolor="#A0A0A0" filled="t" stroked="f" coordsize="21600,21600" o:hr="t" o:hrstd="t" o:hralign="center">
          <v:path/>
          <v:fill on="t" focussize="0,0"/>
          <v:stroke on="f"/>
          <v:imagedata o:title=""/>
          <o:lock v:ext="edit"/>
          <w10:wrap type="none"/>
          <w10:anchorlock/>
        </v:rect>
      </w:pict>
    </w:r>
  </w:p>
  <w:p>
    <w:r>
      <w:rPr>
        <w:rFonts w:hint="eastAsia" w:ascii="微软雅黑" w:hAnsi="微软雅黑" w:eastAsia="微软雅黑"/>
        <w:sz w:val="11"/>
        <w:szCs w:val="11"/>
      </w:rPr>
      <w:t xml:space="preserve">Add：北京市西城区车公庄大街9号院五栋大楼B座1单元401室   Tel：010-88395886   Fax：010-88395756   </w:t>
    </w:r>
    <w:r>
      <w:rPr>
        <w:rFonts w:ascii="微软雅黑" w:hAnsi="微软雅黑" w:eastAsia="微软雅黑"/>
        <w:sz w:val="11"/>
        <w:szCs w:val="11"/>
      </w:rPr>
      <w:t>Pc:</w:t>
    </w:r>
    <w:r>
      <w:rPr>
        <w:rFonts w:hint="eastAsia" w:ascii="微软雅黑" w:hAnsi="微软雅黑" w:eastAsia="微软雅黑"/>
        <w:sz w:val="11"/>
        <w:szCs w:val="11"/>
      </w:rPr>
      <w:t xml:space="preserve"> </w:t>
    </w:r>
    <w:r>
      <w:rPr>
        <w:rFonts w:ascii="微软雅黑" w:hAnsi="微软雅黑" w:eastAsia="微软雅黑"/>
        <w:sz w:val="11"/>
        <w:szCs w:val="11"/>
      </w:rPr>
      <w:t>100044</w:t>
    </w:r>
    <w:r>
      <w:rPr>
        <w:rFonts w:hint="eastAsia" w:ascii="微软雅黑" w:hAnsi="微软雅黑" w:eastAsia="微软雅黑"/>
        <w:sz w:val="11"/>
        <w:szCs w:val="1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4A24E8"/>
    <w:multiLevelType w:val="multilevel"/>
    <w:tmpl w:val="D24A24E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8"/>
    <w:multiLevelType w:val="multilevel"/>
    <w:tmpl w:val="00000008"/>
    <w:lvl w:ilvl="0" w:tentative="0">
      <w:start w:val="1"/>
      <w:numFmt w:val="chineseCountingThousand"/>
      <w:pStyle w:val="141"/>
      <w:lvlText w:val="%1、"/>
      <w:lvlJc w:val="left"/>
      <w:pPr>
        <w:tabs>
          <w:tab w:val="left" w:pos="522"/>
        </w:tabs>
        <w:ind w:left="522" w:hanging="420"/>
      </w:pPr>
      <w:rPr>
        <w:rFonts w:hint="eastAsia"/>
        <w:b/>
        <w:i w:val="0"/>
        <w:sz w:val="3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89A3CF2"/>
    <w:multiLevelType w:val="multilevel"/>
    <w:tmpl w:val="089A3CF2"/>
    <w:lvl w:ilvl="0" w:tentative="0">
      <w:start w:val="1"/>
      <w:numFmt w:val="decimal"/>
      <w:lvlText w:val="%1."/>
      <w:lvlJc w:val="left"/>
      <w:pPr>
        <w:ind w:left="1686" w:hanging="420"/>
      </w:pPr>
      <w:rPr>
        <w:rFonts w:hint="default"/>
      </w:rPr>
    </w:lvl>
    <w:lvl w:ilvl="1" w:tentative="0">
      <w:start w:val="1"/>
      <w:numFmt w:val="bullet"/>
      <w:lvlText w:val=""/>
      <w:lvlJc w:val="left"/>
      <w:pPr>
        <w:ind w:left="1681" w:hanging="420"/>
      </w:pPr>
      <w:rPr>
        <w:rFonts w:hint="default" w:ascii="Wingdings" w:hAnsi="Wingdings"/>
      </w:rPr>
    </w:lvl>
    <w:lvl w:ilvl="2" w:tentative="0">
      <w:start w:val="1"/>
      <w:numFmt w:val="bullet"/>
      <w:lvlText w:val=""/>
      <w:lvlJc w:val="left"/>
      <w:pPr>
        <w:ind w:left="2101" w:hanging="420"/>
      </w:pPr>
      <w:rPr>
        <w:rFonts w:hint="default" w:ascii="Wingdings" w:hAnsi="Wingdings"/>
      </w:rPr>
    </w:lvl>
    <w:lvl w:ilvl="3" w:tentative="0">
      <w:start w:val="1"/>
      <w:numFmt w:val="bullet"/>
      <w:lvlText w:val=""/>
      <w:lvlJc w:val="left"/>
      <w:pPr>
        <w:ind w:left="2521" w:hanging="420"/>
      </w:pPr>
      <w:rPr>
        <w:rFonts w:hint="default" w:ascii="Wingdings" w:hAnsi="Wingdings"/>
      </w:rPr>
    </w:lvl>
    <w:lvl w:ilvl="4" w:tentative="0">
      <w:start w:val="1"/>
      <w:numFmt w:val="bullet"/>
      <w:lvlText w:val=""/>
      <w:lvlJc w:val="left"/>
      <w:pPr>
        <w:ind w:left="2941" w:hanging="420"/>
      </w:pPr>
      <w:rPr>
        <w:rFonts w:hint="default" w:ascii="Wingdings" w:hAnsi="Wingdings"/>
      </w:rPr>
    </w:lvl>
    <w:lvl w:ilvl="5" w:tentative="0">
      <w:start w:val="1"/>
      <w:numFmt w:val="bullet"/>
      <w:lvlText w:val=""/>
      <w:lvlJc w:val="left"/>
      <w:pPr>
        <w:ind w:left="3361" w:hanging="420"/>
      </w:pPr>
      <w:rPr>
        <w:rFonts w:hint="default" w:ascii="Wingdings" w:hAnsi="Wingdings"/>
      </w:rPr>
    </w:lvl>
    <w:lvl w:ilvl="6" w:tentative="0">
      <w:start w:val="1"/>
      <w:numFmt w:val="bullet"/>
      <w:lvlText w:val=""/>
      <w:lvlJc w:val="left"/>
      <w:pPr>
        <w:ind w:left="3781" w:hanging="420"/>
      </w:pPr>
      <w:rPr>
        <w:rFonts w:hint="default" w:ascii="Wingdings" w:hAnsi="Wingdings"/>
      </w:rPr>
    </w:lvl>
    <w:lvl w:ilvl="7" w:tentative="0">
      <w:start w:val="1"/>
      <w:numFmt w:val="bullet"/>
      <w:lvlText w:val=""/>
      <w:lvlJc w:val="left"/>
      <w:pPr>
        <w:ind w:left="4201" w:hanging="420"/>
      </w:pPr>
      <w:rPr>
        <w:rFonts w:hint="default" w:ascii="Wingdings" w:hAnsi="Wingdings"/>
      </w:rPr>
    </w:lvl>
    <w:lvl w:ilvl="8" w:tentative="0">
      <w:start w:val="1"/>
      <w:numFmt w:val="bullet"/>
      <w:lvlText w:val=""/>
      <w:lvlJc w:val="left"/>
      <w:pPr>
        <w:ind w:left="4621" w:hanging="420"/>
      </w:pPr>
      <w:rPr>
        <w:rFonts w:hint="default" w:ascii="Wingdings" w:hAnsi="Wingdings"/>
      </w:rPr>
    </w:lvl>
  </w:abstractNum>
  <w:abstractNum w:abstractNumId="3">
    <w:nsid w:val="0A8C55DB"/>
    <w:multiLevelType w:val="multilevel"/>
    <w:tmpl w:val="0A8C55D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DB460BA"/>
    <w:multiLevelType w:val="multilevel"/>
    <w:tmpl w:val="0DB460BA"/>
    <w:lvl w:ilvl="0" w:tentative="0">
      <w:start w:val="1"/>
      <w:numFmt w:val="chineseCountingThousand"/>
      <w:lvlText w:val="%1、"/>
      <w:lvlJc w:val="left"/>
      <w:pPr>
        <w:tabs>
          <w:tab w:val="left" w:pos="454"/>
        </w:tabs>
        <w:ind w:left="227" w:hanging="57"/>
      </w:pPr>
      <w:rPr>
        <w:rFonts w:hint="eastAsia"/>
        <w:b/>
      </w:rPr>
    </w:lvl>
    <w:lvl w:ilvl="1" w:tentative="0">
      <w:start w:val="1"/>
      <w:numFmt w:val="chineseCountingThousand"/>
      <w:pStyle w:val="122"/>
      <w:lvlText w:val="(%2)"/>
      <w:lvlJc w:val="left"/>
      <w:pPr>
        <w:tabs>
          <w:tab w:val="left" w:pos="284"/>
        </w:tabs>
        <w:ind w:left="0" w:firstLine="227"/>
      </w:pPr>
      <w:rPr>
        <w:rFonts w:hint="eastAsia"/>
        <w:color w:val="000000"/>
      </w:rPr>
    </w:lvl>
    <w:lvl w:ilvl="2" w:tentative="0">
      <w:start w:val="1"/>
      <w:numFmt w:val="japaneseCounting"/>
      <w:lvlText w:val="(%3)"/>
      <w:lvlJc w:val="left"/>
      <w:pPr>
        <w:tabs>
          <w:tab w:val="left" w:pos="1950"/>
        </w:tabs>
        <w:ind w:left="1950" w:hanging="1110"/>
      </w:pPr>
      <w:rPr>
        <w:rFonts w:hint="default"/>
        <w:color w:val="00000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17D1338"/>
    <w:multiLevelType w:val="multilevel"/>
    <w:tmpl w:val="117D133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30D0621"/>
    <w:multiLevelType w:val="multilevel"/>
    <w:tmpl w:val="130D0621"/>
    <w:lvl w:ilvl="0" w:tentative="0">
      <w:start w:val="1"/>
      <w:numFmt w:val="chineseCountingThousand"/>
      <w:pStyle w:val="124"/>
      <w:lvlText w:val="%1、"/>
      <w:lvlJc w:val="left"/>
      <w:pPr>
        <w:tabs>
          <w:tab w:val="left" w:pos="397"/>
        </w:tabs>
        <w:ind w:left="420" w:hanging="420"/>
      </w:pPr>
      <w:rPr>
        <w:rFonts w:hint="default" w:ascii="Times New Roman" w:hAnsi="Times New Roman" w:eastAsia="仿宋_GB2312"/>
        <w:b/>
        <w:i w:val="0"/>
        <w:sz w:val="3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94C33C7"/>
    <w:multiLevelType w:val="multilevel"/>
    <w:tmpl w:val="194C33C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A432A15"/>
    <w:multiLevelType w:val="multilevel"/>
    <w:tmpl w:val="1A432A15"/>
    <w:lvl w:ilvl="0" w:tentative="0">
      <w:start w:val="1"/>
      <w:numFmt w:val="decimal"/>
      <w:pStyle w:val="45"/>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340176B"/>
    <w:multiLevelType w:val="multilevel"/>
    <w:tmpl w:val="2340176B"/>
    <w:lvl w:ilvl="0" w:tentative="0">
      <w:start w:val="1"/>
      <w:numFmt w:val="bullet"/>
      <w:pStyle w:val="117"/>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0">
    <w:nsid w:val="262764F9"/>
    <w:multiLevelType w:val="multilevel"/>
    <w:tmpl w:val="262764F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6B823BA"/>
    <w:multiLevelType w:val="multilevel"/>
    <w:tmpl w:val="26B823B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8D1114B"/>
    <w:multiLevelType w:val="multilevel"/>
    <w:tmpl w:val="28D1114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6C79ED5"/>
    <w:multiLevelType w:val="multilevel"/>
    <w:tmpl w:val="36C79ED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EF39231"/>
    <w:multiLevelType w:val="multilevel"/>
    <w:tmpl w:val="3EF39231"/>
    <w:lvl w:ilvl="0" w:tentative="0">
      <w:start w:val="1"/>
      <w:numFmt w:val="decimal"/>
      <w:suff w:val="space"/>
      <w:lvlText w:val="%1."/>
      <w:lvlJc w:val="left"/>
      <w:pPr>
        <w:ind w:left="980" w:hanging="420"/>
      </w:pPr>
      <w:rPr>
        <w:rFonts w:hint="default"/>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5">
    <w:nsid w:val="438807C3"/>
    <w:multiLevelType w:val="multilevel"/>
    <w:tmpl w:val="438807C3"/>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468522E8"/>
    <w:multiLevelType w:val="multilevel"/>
    <w:tmpl w:val="468522E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F204DB6"/>
    <w:multiLevelType w:val="multilevel"/>
    <w:tmpl w:val="4F204DB6"/>
    <w:lvl w:ilvl="0" w:tentative="0">
      <w:start w:val="5"/>
      <w:numFmt w:val="japaneseCounting"/>
      <w:lvlText w:val="%1、"/>
      <w:lvlJc w:val="left"/>
      <w:pPr>
        <w:ind w:left="720" w:hanging="720"/>
      </w:pPr>
      <w:rPr>
        <w:rFonts w:hint="default" w:ascii="楷体" w:hAnsi="楷体" w:eastAsia="楷体"/>
        <w:b/>
        <w:sz w:val="28"/>
      </w:rPr>
    </w:lvl>
    <w:lvl w:ilvl="1" w:tentative="0">
      <w:start w:val="1"/>
      <w:numFmt w:val="decimal"/>
      <w:lvlText w:val="%2．"/>
      <w:lvlJc w:val="left"/>
      <w:pPr>
        <w:ind w:left="1335" w:hanging="91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2DC643F"/>
    <w:multiLevelType w:val="multilevel"/>
    <w:tmpl w:val="62DC643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2904ED2"/>
    <w:multiLevelType w:val="multilevel"/>
    <w:tmpl w:val="72904ED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5FE6491"/>
    <w:multiLevelType w:val="multilevel"/>
    <w:tmpl w:val="75FE649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735422F"/>
    <w:multiLevelType w:val="singleLevel"/>
    <w:tmpl w:val="7735422F"/>
    <w:lvl w:ilvl="0" w:tentative="0">
      <w:start w:val="1"/>
      <w:numFmt w:val="decimal"/>
      <w:lvlText w:val="%1."/>
      <w:lvlJc w:val="left"/>
      <w:pPr>
        <w:tabs>
          <w:tab w:val="left" w:pos="879"/>
        </w:tabs>
      </w:pPr>
    </w:lvl>
  </w:abstractNum>
  <w:abstractNum w:abstractNumId="22">
    <w:nsid w:val="7CE53F63"/>
    <w:multiLevelType w:val="multilevel"/>
    <w:tmpl w:val="7CE53F63"/>
    <w:lvl w:ilvl="0" w:tentative="0">
      <w:start w:val="1"/>
      <w:numFmt w:val="chineseCountingThousand"/>
      <w:pStyle w:val="121"/>
      <w:lvlText w:val="（%1）"/>
      <w:lvlJc w:val="left"/>
      <w:pPr>
        <w:tabs>
          <w:tab w:val="left" w:pos="620"/>
        </w:tabs>
        <w:ind w:left="620" w:hanging="420"/>
      </w:pPr>
      <w:rPr>
        <w:rFonts w:hint="eastAsia"/>
      </w:r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num w:numId="1">
    <w:abstractNumId w:val="8"/>
  </w:num>
  <w:num w:numId="2">
    <w:abstractNumId w:val="9"/>
  </w:num>
  <w:num w:numId="3">
    <w:abstractNumId w:val="22"/>
  </w:num>
  <w:num w:numId="4">
    <w:abstractNumId w:val="4"/>
  </w:num>
  <w:num w:numId="5">
    <w:abstractNumId w:val="6"/>
  </w:num>
  <w:num w:numId="6">
    <w:abstractNumId w:val="1"/>
  </w:num>
  <w:num w:numId="7">
    <w:abstractNumId w:val="21"/>
  </w:num>
  <w:num w:numId="8">
    <w:abstractNumId w:val="15"/>
  </w:num>
  <w:num w:numId="9">
    <w:abstractNumId w:val="2"/>
  </w:num>
  <w:num w:numId="10">
    <w:abstractNumId w:val="17"/>
  </w:num>
  <w:num w:numId="11">
    <w:abstractNumId w:val="11"/>
  </w:num>
  <w:num w:numId="12">
    <w:abstractNumId w:val="12"/>
  </w:num>
  <w:num w:numId="13">
    <w:abstractNumId w:val="10"/>
  </w:num>
  <w:num w:numId="14">
    <w:abstractNumId w:val="3"/>
  </w:num>
  <w:num w:numId="15">
    <w:abstractNumId w:val="19"/>
  </w:num>
  <w:num w:numId="16">
    <w:abstractNumId w:val="14"/>
  </w:num>
  <w:num w:numId="17">
    <w:abstractNumId w:val="13"/>
  </w:num>
  <w:num w:numId="18">
    <w:abstractNumId w:val="0"/>
  </w:num>
  <w:num w:numId="19">
    <w:abstractNumId w:val="20"/>
  </w:num>
  <w:num w:numId="20">
    <w:abstractNumId w:val="5"/>
  </w:num>
  <w:num w:numId="21">
    <w:abstractNumId w:val="16"/>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mY2E5NThjMmYxYTI4NDhhY2E4YWQ1MjMzMDc5MzcifQ=="/>
  </w:docVars>
  <w:rsids>
    <w:rsidRoot w:val="00DE5EC5"/>
    <w:rsid w:val="00000A26"/>
    <w:rsid w:val="0000128A"/>
    <w:rsid w:val="000022ED"/>
    <w:rsid w:val="000059D2"/>
    <w:rsid w:val="0000619D"/>
    <w:rsid w:val="0000662F"/>
    <w:rsid w:val="00007A1C"/>
    <w:rsid w:val="00007D5E"/>
    <w:rsid w:val="00011472"/>
    <w:rsid w:val="0001213D"/>
    <w:rsid w:val="000122C9"/>
    <w:rsid w:val="00012300"/>
    <w:rsid w:val="0001375D"/>
    <w:rsid w:val="00013FA7"/>
    <w:rsid w:val="000149CC"/>
    <w:rsid w:val="00015E4C"/>
    <w:rsid w:val="0001774B"/>
    <w:rsid w:val="00017768"/>
    <w:rsid w:val="00017C1E"/>
    <w:rsid w:val="00020164"/>
    <w:rsid w:val="00020251"/>
    <w:rsid w:val="000204C1"/>
    <w:rsid w:val="00021876"/>
    <w:rsid w:val="00022073"/>
    <w:rsid w:val="000225E9"/>
    <w:rsid w:val="00024FEF"/>
    <w:rsid w:val="00025155"/>
    <w:rsid w:val="000269D0"/>
    <w:rsid w:val="00026F5A"/>
    <w:rsid w:val="000320AC"/>
    <w:rsid w:val="00032E3A"/>
    <w:rsid w:val="000336B6"/>
    <w:rsid w:val="000336CA"/>
    <w:rsid w:val="00033AC8"/>
    <w:rsid w:val="00034100"/>
    <w:rsid w:val="00034405"/>
    <w:rsid w:val="000352B0"/>
    <w:rsid w:val="00036687"/>
    <w:rsid w:val="0004181C"/>
    <w:rsid w:val="0004353E"/>
    <w:rsid w:val="00044146"/>
    <w:rsid w:val="00044798"/>
    <w:rsid w:val="0004530C"/>
    <w:rsid w:val="000457ED"/>
    <w:rsid w:val="00047D14"/>
    <w:rsid w:val="00047D17"/>
    <w:rsid w:val="00050A30"/>
    <w:rsid w:val="00050E44"/>
    <w:rsid w:val="000516E4"/>
    <w:rsid w:val="00052768"/>
    <w:rsid w:val="00053303"/>
    <w:rsid w:val="0005368D"/>
    <w:rsid w:val="00054897"/>
    <w:rsid w:val="0005499A"/>
    <w:rsid w:val="00054D40"/>
    <w:rsid w:val="00055455"/>
    <w:rsid w:val="0005555E"/>
    <w:rsid w:val="00055EE7"/>
    <w:rsid w:val="00056D09"/>
    <w:rsid w:val="00057209"/>
    <w:rsid w:val="000572A2"/>
    <w:rsid w:val="00057AB2"/>
    <w:rsid w:val="00057EDE"/>
    <w:rsid w:val="00060A9E"/>
    <w:rsid w:val="000612ED"/>
    <w:rsid w:val="00062244"/>
    <w:rsid w:val="00062CA4"/>
    <w:rsid w:val="00065216"/>
    <w:rsid w:val="00065B62"/>
    <w:rsid w:val="00066E71"/>
    <w:rsid w:val="00072A0F"/>
    <w:rsid w:val="00073C08"/>
    <w:rsid w:val="00073FC3"/>
    <w:rsid w:val="000744EF"/>
    <w:rsid w:val="0007460A"/>
    <w:rsid w:val="00074A88"/>
    <w:rsid w:val="00075031"/>
    <w:rsid w:val="00075FE5"/>
    <w:rsid w:val="00076231"/>
    <w:rsid w:val="00076266"/>
    <w:rsid w:val="000778D4"/>
    <w:rsid w:val="00077A8A"/>
    <w:rsid w:val="00077D8D"/>
    <w:rsid w:val="000830F6"/>
    <w:rsid w:val="00083143"/>
    <w:rsid w:val="00083B2E"/>
    <w:rsid w:val="00084C40"/>
    <w:rsid w:val="000851E2"/>
    <w:rsid w:val="000879D9"/>
    <w:rsid w:val="00087AF6"/>
    <w:rsid w:val="00090475"/>
    <w:rsid w:val="00093816"/>
    <w:rsid w:val="00094BBC"/>
    <w:rsid w:val="00094C74"/>
    <w:rsid w:val="0009571A"/>
    <w:rsid w:val="000958A9"/>
    <w:rsid w:val="000959FA"/>
    <w:rsid w:val="00097681"/>
    <w:rsid w:val="000A017B"/>
    <w:rsid w:val="000A2AFA"/>
    <w:rsid w:val="000A3AA0"/>
    <w:rsid w:val="000A3D20"/>
    <w:rsid w:val="000A4A79"/>
    <w:rsid w:val="000A5776"/>
    <w:rsid w:val="000A7352"/>
    <w:rsid w:val="000B0A49"/>
    <w:rsid w:val="000B1216"/>
    <w:rsid w:val="000B2652"/>
    <w:rsid w:val="000B30EB"/>
    <w:rsid w:val="000B3127"/>
    <w:rsid w:val="000B4F5A"/>
    <w:rsid w:val="000B505E"/>
    <w:rsid w:val="000B6DD6"/>
    <w:rsid w:val="000B6E99"/>
    <w:rsid w:val="000B7E01"/>
    <w:rsid w:val="000C14D3"/>
    <w:rsid w:val="000C3C14"/>
    <w:rsid w:val="000C4B51"/>
    <w:rsid w:val="000C5162"/>
    <w:rsid w:val="000C6372"/>
    <w:rsid w:val="000C7F15"/>
    <w:rsid w:val="000D0D1A"/>
    <w:rsid w:val="000D0F9A"/>
    <w:rsid w:val="000D112D"/>
    <w:rsid w:val="000D1A06"/>
    <w:rsid w:val="000D1F8E"/>
    <w:rsid w:val="000D2B2A"/>
    <w:rsid w:val="000D3369"/>
    <w:rsid w:val="000D3950"/>
    <w:rsid w:val="000D44D9"/>
    <w:rsid w:val="000D4847"/>
    <w:rsid w:val="000D4DC8"/>
    <w:rsid w:val="000D4F0F"/>
    <w:rsid w:val="000D5AD2"/>
    <w:rsid w:val="000E1CD6"/>
    <w:rsid w:val="000E2267"/>
    <w:rsid w:val="000E35D3"/>
    <w:rsid w:val="000E36BD"/>
    <w:rsid w:val="000E4425"/>
    <w:rsid w:val="000E58BC"/>
    <w:rsid w:val="000E5B10"/>
    <w:rsid w:val="000E6BF4"/>
    <w:rsid w:val="000E7389"/>
    <w:rsid w:val="000E7931"/>
    <w:rsid w:val="000F1C4A"/>
    <w:rsid w:val="000F1FA0"/>
    <w:rsid w:val="000F50F8"/>
    <w:rsid w:val="000F59FA"/>
    <w:rsid w:val="000F5FD5"/>
    <w:rsid w:val="000F61F4"/>
    <w:rsid w:val="00100081"/>
    <w:rsid w:val="00100C52"/>
    <w:rsid w:val="00103098"/>
    <w:rsid w:val="001038DE"/>
    <w:rsid w:val="00104B24"/>
    <w:rsid w:val="001073F2"/>
    <w:rsid w:val="0010744B"/>
    <w:rsid w:val="00107C6F"/>
    <w:rsid w:val="001103C6"/>
    <w:rsid w:val="00110691"/>
    <w:rsid w:val="00112393"/>
    <w:rsid w:val="001126CB"/>
    <w:rsid w:val="00112709"/>
    <w:rsid w:val="0011557A"/>
    <w:rsid w:val="001155B2"/>
    <w:rsid w:val="00115E5F"/>
    <w:rsid w:val="00116233"/>
    <w:rsid w:val="00116652"/>
    <w:rsid w:val="00116C54"/>
    <w:rsid w:val="00117727"/>
    <w:rsid w:val="00120564"/>
    <w:rsid w:val="00122550"/>
    <w:rsid w:val="00124D95"/>
    <w:rsid w:val="0012586C"/>
    <w:rsid w:val="00125C87"/>
    <w:rsid w:val="00130198"/>
    <w:rsid w:val="001307E4"/>
    <w:rsid w:val="00130810"/>
    <w:rsid w:val="00130A6A"/>
    <w:rsid w:val="00130AA9"/>
    <w:rsid w:val="001329B4"/>
    <w:rsid w:val="00132D2D"/>
    <w:rsid w:val="001347AC"/>
    <w:rsid w:val="00134E68"/>
    <w:rsid w:val="00135240"/>
    <w:rsid w:val="001352BE"/>
    <w:rsid w:val="001360A1"/>
    <w:rsid w:val="00136291"/>
    <w:rsid w:val="001366A9"/>
    <w:rsid w:val="00137296"/>
    <w:rsid w:val="00141132"/>
    <w:rsid w:val="001413C5"/>
    <w:rsid w:val="00142919"/>
    <w:rsid w:val="0014353E"/>
    <w:rsid w:val="0014379D"/>
    <w:rsid w:val="0014411E"/>
    <w:rsid w:val="001450D1"/>
    <w:rsid w:val="0014590D"/>
    <w:rsid w:val="00147D6D"/>
    <w:rsid w:val="001514AF"/>
    <w:rsid w:val="0015186E"/>
    <w:rsid w:val="00153655"/>
    <w:rsid w:val="001543B1"/>
    <w:rsid w:val="001554D8"/>
    <w:rsid w:val="00157BD6"/>
    <w:rsid w:val="00157D64"/>
    <w:rsid w:val="001613EE"/>
    <w:rsid w:val="00161865"/>
    <w:rsid w:val="001626C7"/>
    <w:rsid w:val="00164BEB"/>
    <w:rsid w:val="00164C6C"/>
    <w:rsid w:val="0016511E"/>
    <w:rsid w:val="001660FF"/>
    <w:rsid w:val="00166678"/>
    <w:rsid w:val="001667A8"/>
    <w:rsid w:val="00166AB8"/>
    <w:rsid w:val="0016713F"/>
    <w:rsid w:val="0017119D"/>
    <w:rsid w:val="00171F3E"/>
    <w:rsid w:val="001727A6"/>
    <w:rsid w:val="0017300E"/>
    <w:rsid w:val="00173897"/>
    <w:rsid w:val="00173B8B"/>
    <w:rsid w:val="00173C23"/>
    <w:rsid w:val="00176F53"/>
    <w:rsid w:val="00177BB8"/>
    <w:rsid w:val="0018021E"/>
    <w:rsid w:val="00180D3D"/>
    <w:rsid w:val="001818BD"/>
    <w:rsid w:val="001819A3"/>
    <w:rsid w:val="00181FCE"/>
    <w:rsid w:val="00182FE2"/>
    <w:rsid w:val="00183222"/>
    <w:rsid w:val="001836BC"/>
    <w:rsid w:val="00183778"/>
    <w:rsid w:val="00183EDB"/>
    <w:rsid w:val="00184E78"/>
    <w:rsid w:val="00184FF6"/>
    <w:rsid w:val="00185650"/>
    <w:rsid w:val="00186791"/>
    <w:rsid w:val="00187C2A"/>
    <w:rsid w:val="00187D8D"/>
    <w:rsid w:val="0019054B"/>
    <w:rsid w:val="00190955"/>
    <w:rsid w:val="00190CC1"/>
    <w:rsid w:val="00190DFA"/>
    <w:rsid w:val="00191DDC"/>
    <w:rsid w:val="00193F52"/>
    <w:rsid w:val="00194F66"/>
    <w:rsid w:val="00195E1E"/>
    <w:rsid w:val="00196876"/>
    <w:rsid w:val="00196C29"/>
    <w:rsid w:val="00196E24"/>
    <w:rsid w:val="00196FE5"/>
    <w:rsid w:val="00197445"/>
    <w:rsid w:val="00197BAA"/>
    <w:rsid w:val="001A0035"/>
    <w:rsid w:val="001A0838"/>
    <w:rsid w:val="001A0C30"/>
    <w:rsid w:val="001A1332"/>
    <w:rsid w:val="001A2EED"/>
    <w:rsid w:val="001A3D33"/>
    <w:rsid w:val="001A4406"/>
    <w:rsid w:val="001A4D44"/>
    <w:rsid w:val="001A5E53"/>
    <w:rsid w:val="001A6224"/>
    <w:rsid w:val="001A776C"/>
    <w:rsid w:val="001B0F27"/>
    <w:rsid w:val="001B1908"/>
    <w:rsid w:val="001B2516"/>
    <w:rsid w:val="001B2A90"/>
    <w:rsid w:val="001B5256"/>
    <w:rsid w:val="001B6340"/>
    <w:rsid w:val="001C090C"/>
    <w:rsid w:val="001C0D02"/>
    <w:rsid w:val="001C11C6"/>
    <w:rsid w:val="001C17FA"/>
    <w:rsid w:val="001C2E9A"/>
    <w:rsid w:val="001C303B"/>
    <w:rsid w:val="001C43B0"/>
    <w:rsid w:val="001C4599"/>
    <w:rsid w:val="001C4638"/>
    <w:rsid w:val="001C49E0"/>
    <w:rsid w:val="001C6AD0"/>
    <w:rsid w:val="001C7338"/>
    <w:rsid w:val="001C7972"/>
    <w:rsid w:val="001D345C"/>
    <w:rsid w:val="001D3E6E"/>
    <w:rsid w:val="001D3FC1"/>
    <w:rsid w:val="001D52E8"/>
    <w:rsid w:val="001D5CDF"/>
    <w:rsid w:val="001D79A5"/>
    <w:rsid w:val="001E0937"/>
    <w:rsid w:val="001E0DBF"/>
    <w:rsid w:val="001E275F"/>
    <w:rsid w:val="001E5001"/>
    <w:rsid w:val="001E573D"/>
    <w:rsid w:val="001E5FD5"/>
    <w:rsid w:val="001E62B4"/>
    <w:rsid w:val="001E640D"/>
    <w:rsid w:val="001E6503"/>
    <w:rsid w:val="001E7210"/>
    <w:rsid w:val="001E7DAB"/>
    <w:rsid w:val="001E7F11"/>
    <w:rsid w:val="001F059A"/>
    <w:rsid w:val="001F0B3E"/>
    <w:rsid w:val="001F1A30"/>
    <w:rsid w:val="001F1AB4"/>
    <w:rsid w:val="001F3D19"/>
    <w:rsid w:val="001F43A2"/>
    <w:rsid w:val="001F4D90"/>
    <w:rsid w:val="001F5553"/>
    <w:rsid w:val="001F57FC"/>
    <w:rsid w:val="001F63F3"/>
    <w:rsid w:val="001F7514"/>
    <w:rsid w:val="001F7DC1"/>
    <w:rsid w:val="00200BC2"/>
    <w:rsid w:val="00201097"/>
    <w:rsid w:val="002013C3"/>
    <w:rsid w:val="002013CA"/>
    <w:rsid w:val="002017F3"/>
    <w:rsid w:val="00201B5B"/>
    <w:rsid w:val="00202D51"/>
    <w:rsid w:val="00203707"/>
    <w:rsid w:val="00203B99"/>
    <w:rsid w:val="002053BB"/>
    <w:rsid w:val="00207098"/>
    <w:rsid w:val="00207D07"/>
    <w:rsid w:val="00210376"/>
    <w:rsid w:val="002124E9"/>
    <w:rsid w:val="00212B09"/>
    <w:rsid w:val="00213052"/>
    <w:rsid w:val="002135FC"/>
    <w:rsid w:val="00213F6F"/>
    <w:rsid w:val="00214E88"/>
    <w:rsid w:val="0021670E"/>
    <w:rsid w:val="00216DF0"/>
    <w:rsid w:val="002170D6"/>
    <w:rsid w:val="0021759B"/>
    <w:rsid w:val="002219B7"/>
    <w:rsid w:val="00221CF2"/>
    <w:rsid w:val="00223DDB"/>
    <w:rsid w:val="00224160"/>
    <w:rsid w:val="00224407"/>
    <w:rsid w:val="00224693"/>
    <w:rsid w:val="00225218"/>
    <w:rsid w:val="002255BD"/>
    <w:rsid w:val="00225746"/>
    <w:rsid w:val="00225F26"/>
    <w:rsid w:val="002268AC"/>
    <w:rsid w:val="0022698E"/>
    <w:rsid w:val="00226AEA"/>
    <w:rsid w:val="00230AAD"/>
    <w:rsid w:val="002318D0"/>
    <w:rsid w:val="00236293"/>
    <w:rsid w:val="00236636"/>
    <w:rsid w:val="00236C08"/>
    <w:rsid w:val="00236E1E"/>
    <w:rsid w:val="00237454"/>
    <w:rsid w:val="00240587"/>
    <w:rsid w:val="00241147"/>
    <w:rsid w:val="0024143C"/>
    <w:rsid w:val="0024478D"/>
    <w:rsid w:val="00245AED"/>
    <w:rsid w:val="00251602"/>
    <w:rsid w:val="002528D0"/>
    <w:rsid w:val="00252A94"/>
    <w:rsid w:val="00254105"/>
    <w:rsid w:val="002541A5"/>
    <w:rsid w:val="002550FD"/>
    <w:rsid w:val="00255126"/>
    <w:rsid w:val="002562F7"/>
    <w:rsid w:val="002565AD"/>
    <w:rsid w:val="00256DA6"/>
    <w:rsid w:val="002579E8"/>
    <w:rsid w:val="002603B3"/>
    <w:rsid w:val="00260A2A"/>
    <w:rsid w:val="00260C51"/>
    <w:rsid w:val="00260D74"/>
    <w:rsid w:val="00262262"/>
    <w:rsid w:val="00262937"/>
    <w:rsid w:val="00262EA7"/>
    <w:rsid w:val="00262EB8"/>
    <w:rsid w:val="00263CA7"/>
    <w:rsid w:val="0026403E"/>
    <w:rsid w:val="0026433B"/>
    <w:rsid w:val="00264871"/>
    <w:rsid w:val="00265410"/>
    <w:rsid w:val="0026686A"/>
    <w:rsid w:val="00267E3B"/>
    <w:rsid w:val="00270C5E"/>
    <w:rsid w:val="00270D3B"/>
    <w:rsid w:val="00271176"/>
    <w:rsid w:val="002717C9"/>
    <w:rsid w:val="00271AAB"/>
    <w:rsid w:val="00272145"/>
    <w:rsid w:val="00272BC4"/>
    <w:rsid w:val="00273096"/>
    <w:rsid w:val="00274382"/>
    <w:rsid w:val="00275543"/>
    <w:rsid w:val="00275730"/>
    <w:rsid w:val="002759A5"/>
    <w:rsid w:val="00276C54"/>
    <w:rsid w:val="002776E1"/>
    <w:rsid w:val="002800D3"/>
    <w:rsid w:val="002804A8"/>
    <w:rsid w:val="002805F8"/>
    <w:rsid w:val="00280E8E"/>
    <w:rsid w:val="00280E90"/>
    <w:rsid w:val="00281F88"/>
    <w:rsid w:val="00283CFD"/>
    <w:rsid w:val="00284A35"/>
    <w:rsid w:val="00284B2A"/>
    <w:rsid w:val="00284B39"/>
    <w:rsid w:val="00285204"/>
    <w:rsid w:val="00286314"/>
    <w:rsid w:val="002863A4"/>
    <w:rsid w:val="00286739"/>
    <w:rsid w:val="00286AED"/>
    <w:rsid w:val="00286B6D"/>
    <w:rsid w:val="00286FD1"/>
    <w:rsid w:val="00291075"/>
    <w:rsid w:val="002921C7"/>
    <w:rsid w:val="002924EF"/>
    <w:rsid w:val="00292605"/>
    <w:rsid w:val="00294CF9"/>
    <w:rsid w:val="002952AB"/>
    <w:rsid w:val="002961A4"/>
    <w:rsid w:val="00297133"/>
    <w:rsid w:val="0029743B"/>
    <w:rsid w:val="002A017F"/>
    <w:rsid w:val="002A54D3"/>
    <w:rsid w:val="002A5E39"/>
    <w:rsid w:val="002A7E0E"/>
    <w:rsid w:val="002B07C1"/>
    <w:rsid w:val="002B17FE"/>
    <w:rsid w:val="002B19DB"/>
    <w:rsid w:val="002B1C43"/>
    <w:rsid w:val="002B1D4F"/>
    <w:rsid w:val="002B340F"/>
    <w:rsid w:val="002B3D63"/>
    <w:rsid w:val="002B3E49"/>
    <w:rsid w:val="002B48A7"/>
    <w:rsid w:val="002B4B8B"/>
    <w:rsid w:val="002B4DAD"/>
    <w:rsid w:val="002B5449"/>
    <w:rsid w:val="002B551C"/>
    <w:rsid w:val="002B6A6E"/>
    <w:rsid w:val="002B6B1A"/>
    <w:rsid w:val="002B6EE1"/>
    <w:rsid w:val="002B7E2A"/>
    <w:rsid w:val="002C4849"/>
    <w:rsid w:val="002C4A18"/>
    <w:rsid w:val="002C4AF6"/>
    <w:rsid w:val="002C4D91"/>
    <w:rsid w:val="002C7397"/>
    <w:rsid w:val="002C76E5"/>
    <w:rsid w:val="002D07A0"/>
    <w:rsid w:val="002D2BAB"/>
    <w:rsid w:val="002D33C1"/>
    <w:rsid w:val="002D35C5"/>
    <w:rsid w:val="002D4EFD"/>
    <w:rsid w:val="002D6AD2"/>
    <w:rsid w:val="002D6C60"/>
    <w:rsid w:val="002D77A3"/>
    <w:rsid w:val="002E02F6"/>
    <w:rsid w:val="002E1765"/>
    <w:rsid w:val="002E1D1F"/>
    <w:rsid w:val="002E1E6B"/>
    <w:rsid w:val="002E3B6D"/>
    <w:rsid w:val="002E60BB"/>
    <w:rsid w:val="002E6316"/>
    <w:rsid w:val="002E650A"/>
    <w:rsid w:val="002E6F51"/>
    <w:rsid w:val="002E73C0"/>
    <w:rsid w:val="002E7728"/>
    <w:rsid w:val="002E77E9"/>
    <w:rsid w:val="002E7863"/>
    <w:rsid w:val="002F11FC"/>
    <w:rsid w:val="002F1341"/>
    <w:rsid w:val="002F14E1"/>
    <w:rsid w:val="002F2066"/>
    <w:rsid w:val="002F3FD8"/>
    <w:rsid w:val="002F45BA"/>
    <w:rsid w:val="002F538E"/>
    <w:rsid w:val="002F6785"/>
    <w:rsid w:val="002F747D"/>
    <w:rsid w:val="002F7ABE"/>
    <w:rsid w:val="002F7E3E"/>
    <w:rsid w:val="00301B83"/>
    <w:rsid w:val="00301E81"/>
    <w:rsid w:val="00301F54"/>
    <w:rsid w:val="003023F4"/>
    <w:rsid w:val="003028A9"/>
    <w:rsid w:val="003037A0"/>
    <w:rsid w:val="003037BB"/>
    <w:rsid w:val="0030436E"/>
    <w:rsid w:val="00305680"/>
    <w:rsid w:val="00306131"/>
    <w:rsid w:val="003069C7"/>
    <w:rsid w:val="00310337"/>
    <w:rsid w:val="00310B70"/>
    <w:rsid w:val="00311528"/>
    <w:rsid w:val="00311A1D"/>
    <w:rsid w:val="00312D78"/>
    <w:rsid w:val="00312D9B"/>
    <w:rsid w:val="00313367"/>
    <w:rsid w:val="0031355F"/>
    <w:rsid w:val="00313854"/>
    <w:rsid w:val="00314B7E"/>
    <w:rsid w:val="00314CB5"/>
    <w:rsid w:val="0031618E"/>
    <w:rsid w:val="00316F87"/>
    <w:rsid w:val="00317C47"/>
    <w:rsid w:val="00320012"/>
    <w:rsid w:val="003213F3"/>
    <w:rsid w:val="00321729"/>
    <w:rsid w:val="0032348C"/>
    <w:rsid w:val="00324840"/>
    <w:rsid w:val="0032576D"/>
    <w:rsid w:val="003267D4"/>
    <w:rsid w:val="0033069E"/>
    <w:rsid w:val="00330708"/>
    <w:rsid w:val="00330E71"/>
    <w:rsid w:val="0033140E"/>
    <w:rsid w:val="003314BD"/>
    <w:rsid w:val="003318F7"/>
    <w:rsid w:val="003331A7"/>
    <w:rsid w:val="003363F6"/>
    <w:rsid w:val="00337303"/>
    <w:rsid w:val="0033773A"/>
    <w:rsid w:val="00337AAE"/>
    <w:rsid w:val="0034044C"/>
    <w:rsid w:val="0034125D"/>
    <w:rsid w:val="003413E2"/>
    <w:rsid w:val="00342E18"/>
    <w:rsid w:val="00342E6D"/>
    <w:rsid w:val="00342F46"/>
    <w:rsid w:val="00344BF3"/>
    <w:rsid w:val="00344C70"/>
    <w:rsid w:val="0034578F"/>
    <w:rsid w:val="003463D2"/>
    <w:rsid w:val="0034716A"/>
    <w:rsid w:val="00350634"/>
    <w:rsid w:val="0035152B"/>
    <w:rsid w:val="003519ED"/>
    <w:rsid w:val="00351A54"/>
    <w:rsid w:val="00353CF0"/>
    <w:rsid w:val="00355E5E"/>
    <w:rsid w:val="00356EC7"/>
    <w:rsid w:val="00357E3E"/>
    <w:rsid w:val="00360AAF"/>
    <w:rsid w:val="00361C29"/>
    <w:rsid w:val="00361EFD"/>
    <w:rsid w:val="00363147"/>
    <w:rsid w:val="003662B7"/>
    <w:rsid w:val="00367532"/>
    <w:rsid w:val="0037222A"/>
    <w:rsid w:val="00372912"/>
    <w:rsid w:val="00372B2F"/>
    <w:rsid w:val="00373EC0"/>
    <w:rsid w:val="003741E4"/>
    <w:rsid w:val="00374C48"/>
    <w:rsid w:val="00376727"/>
    <w:rsid w:val="00376863"/>
    <w:rsid w:val="00377BD1"/>
    <w:rsid w:val="00380C02"/>
    <w:rsid w:val="00380C79"/>
    <w:rsid w:val="0038131E"/>
    <w:rsid w:val="0038202E"/>
    <w:rsid w:val="003826EA"/>
    <w:rsid w:val="00385AA3"/>
    <w:rsid w:val="00385BD0"/>
    <w:rsid w:val="00385E35"/>
    <w:rsid w:val="0038664C"/>
    <w:rsid w:val="00386853"/>
    <w:rsid w:val="003869B9"/>
    <w:rsid w:val="00387495"/>
    <w:rsid w:val="00387B67"/>
    <w:rsid w:val="0039101D"/>
    <w:rsid w:val="003911CA"/>
    <w:rsid w:val="003924BE"/>
    <w:rsid w:val="00392F35"/>
    <w:rsid w:val="00393070"/>
    <w:rsid w:val="003938B7"/>
    <w:rsid w:val="0039391F"/>
    <w:rsid w:val="00393A7E"/>
    <w:rsid w:val="00393B92"/>
    <w:rsid w:val="003950C6"/>
    <w:rsid w:val="003A0D7E"/>
    <w:rsid w:val="003A14A0"/>
    <w:rsid w:val="003A2B99"/>
    <w:rsid w:val="003A372F"/>
    <w:rsid w:val="003A699A"/>
    <w:rsid w:val="003A71D0"/>
    <w:rsid w:val="003A79AC"/>
    <w:rsid w:val="003B122C"/>
    <w:rsid w:val="003B235F"/>
    <w:rsid w:val="003B248E"/>
    <w:rsid w:val="003B2904"/>
    <w:rsid w:val="003B41BD"/>
    <w:rsid w:val="003B4252"/>
    <w:rsid w:val="003B4C9E"/>
    <w:rsid w:val="003B61C9"/>
    <w:rsid w:val="003B62B9"/>
    <w:rsid w:val="003B71B3"/>
    <w:rsid w:val="003B746B"/>
    <w:rsid w:val="003B7878"/>
    <w:rsid w:val="003C1064"/>
    <w:rsid w:val="003C1447"/>
    <w:rsid w:val="003C168E"/>
    <w:rsid w:val="003C23BE"/>
    <w:rsid w:val="003C3239"/>
    <w:rsid w:val="003C3F5A"/>
    <w:rsid w:val="003C4773"/>
    <w:rsid w:val="003C4900"/>
    <w:rsid w:val="003C4D5D"/>
    <w:rsid w:val="003C4D6B"/>
    <w:rsid w:val="003C6AD8"/>
    <w:rsid w:val="003C70B9"/>
    <w:rsid w:val="003C7AC1"/>
    <w:rsid w:val="003D09D3"/>
    <w:rsid w:val="003D2C3C"/>
    <w:rsid w:val="003D392C"/>
    <w:rsid w:val="003D600C"/>
    <w:rsid w:val="003D6D9A"/>
    <w:rsid w:val="003E0DF9"/>
    <w:rsid w:val="003E118D"/>
    <w:rsid w:val="003E2111"/>
    <w:rsid w:val="003E3A1C"/>
    <w:rsid w:val="003E3F4D"/>
    <w:rsid w:val="003E3FB1"/>
    <w:rsid w:val="003E44B5"/>
    <w:rsid w:val="003E4D00"/>
    <w:rsid w:val="003E5D47"/>
    <w:rsid w:val="003E6E87"/>
    <w:rsid w:val="003E7810"/>
    <w:rsid w:val="003E7915"/>
    <w:rsid w:val="003F1745"/>
    <w:rsid w:val="003F2EB5"/>
    <w:rsid w:val="003F4991"/>
    <w:rsid w:val="003F526A"/>
    <w:rsid w:val="003F6586"/>
    <w:rsid w:val="003F6E9F"/>
    <w:rsid w:val="003F7AF4"/>
    <w:rsid w:val="00400FFB"/>
    <w:rsid w:val="00401259"/>
    <w:rsid w:val="00401454"/>
    <w:rsid w:val="004017F2"/>
    <w:rsid w:val="00402DC9"/>
    <w:rsid w:val="00405D5C"/>
    <w:rsid w:val="00405E3F"/>
    <w:rsid w:val="004119AA"/>
    <w:rsid w:val="004120AB"/>
    <w:rsid w:val="00413758"/>
    <w:rsid w:val="00415A2E"/>
    <w:rsid w:val="00416F11"/>
    <w:rsid w:val="004172B8"/>
    <w:rsid w:val="004176A9"/>
    <w:rsid w:val="0041771C"/>
    <w:rsid w:val="00417AD3"/>
    <w:rsid w:val="00417B8C"/>
    <w:rsid w:val="004201B8"/>
    <w:rsid w:val="00420C0E"/>
    <w:rsid w:val="00421A84"/>
    <w:rsid w:val="00421AD2"/>
    <w:rsid w:val="00423A40"/>
    <w:rsid w:val="00423D76"/>
    <w:rsid w:val="00424D7C"/>
    <w:rsid w:val="004255CC"/>
    <w:rsid w:val="0042597D"/>
    <w:rsid w:val="00426263"/>
    <w:rsid w:val="00430A99"/>
    <w:rsid w:val="0043159F"/>
    <w:rsid w:val="00432483"/>
    <w:rsid w:val="00434312"/>
    <w:rsid w:val="00434489"/>
    <w:rsid w:val="00436851"/>
    <w:rsid w:val="004372A6"/>
    <w:rsid w:val="00440825"/>
    <w:rsid w:val="00442524"/>
    <w:rsid w:val="00443814"/>
    <w:rsid w:val="00443C42"/>
    <w:rsid w:val="00443CCC"/>
    <w:rsid w:val="00444501"/>
    <w:rsid w:val="00444926"/>
    <w:rsid w:val="00444972"/>
    <w:rsid w:val="00445B43"/>
    <w:rsid w:val="0044620F"/>
    <w:rsid w:val="0044666E"/>
    <w:rsid w:val="00447AF7"/>
    <w:rsid w:val="00450053"/>
    <w:rsid w:val="004503C3"/>
    <w:rsid w:val="00450512"/>
    <w:rsid w:val="00451BB2"/>
    <w:rsid w:val="00454082"/>
    <w:rsid w:val="004540C9"/>
    <w:rsid w:val="00455A3C"/>
    <w:rsid w:val="00457B23"/>
    <w:rsid w:val="00457F21"/>
    <w:rsid w:val="0046132C"/>
    <w:rsid w:val="0046177A"/>
    <w:rsid w:val="00462346"/>
    <w:rsid w:val="0046241F"/>
    <w:rsid w:val="00463AA2"/>
    <w:rsid w:val="00463F5A"/>
    <w:rsid w:val="00464231"/>
    <w:rsid w:val="004642CD"/>
    <w:rsid w:val="00465E1E"/>
    <w:rsid w:val="004666F1"/>
    <w:rsid w:val="00467ABD"/>
    <w:rsid w:val="0047032F"/>
    <w:rsid w:val="0047097E"/>
    <w:rsid w:val="00470AA9"/>
    <w:rsid w:val="004720ED"/>
    <w:rsid w:val="00472179"/>
    <w:rsid w:val="0047294B"/>
    <w:rsid w:val="00472D77"/>
    <w:rsid w:val="0047398D"/>
    <w:rsid w:val="00475443"/>
    <w:rsid w:val="0047602B"/>
    <w:rsid w:val="00476E48"/>
    <w:rsid w:val="004770C3"/>
    <w:rsid w:val="00480BD7"/>
    <w:rsid w:val="0048123F"/>
    <w:rsid w:val="004817DA"/>
    <w:rsid w:val="00481C96"/>
    <w:rsid w:val="00482705"/>
    <w:rsid w:val="00483028"/>
    <w:rsid w:val="004838A7"/>
    <w:rsid w:val="00483BBB"/>
    <w:rsid w:val="004845A7"/>
    <w:rsid w:val="00484B8C"/>
    <w:rsid w:val="00485E24"/>
    <w:rsid w:val="00486B54"/>
    <w:rsid w:val="00486EB5"/>
    <w:rsid w:val="004878B1"/>
    <w:rsid w:val="00492CA8"/>
    <w:rsid w:val="00492E57"/>
    <w:rsid w:val="00493178"/>
    <w:rsid w:val="004939CD"/>
    <w:rsid w:val="00493B06"/>
    <w:rsid w:val="0049495C"/>
    <w:rsid w:val="00495A3E"/>
    <w:rsid w:val="0049711B"/>
    <w:rsid w:val="00497D14"/>
    <w:rsid w:val="004A0842"/>
    <w:rsid w:val="004A11C8"/>
    <w:rsid w:val="004A16FD"/>
    <w:rsid w:val="004A17C4"/>
    <w:rsid w:val="004A1AFD"/>
    <w:rsid w:val="004A3920"/>
    <w:rsid w:val="004A4299"/>
    <w:rsid w:val="004A58C2"/>
    <w:rsid w:val="004A6737"/>
    <w:rsid w:val="004A6A75"/>
    <w:rsid w:val="004A744F"/>
    <w:rsid w:val="004B0485"/>
    <w:rsid w:val="004B0D34"/>
    <w:rsid w:val="004B10F6"/>
    <w:rsid w:val="004B1131"/>
    <w:rsid w:val="004B22CD"/>
    <w:rsid w:val="004B264E"/>
    <w:rsid w:val="004B30C5"/>
    <w:rsid w:val="004B4522"/>
    <w:rsid w:val="004B4603"/>
    <w:rsid w:val="004B48FD"/>
    <w:rsid w:val="004B506F"/>
    <w:rsid w:val="004B64DB"/>
    <w:rsid w:val="004B7D4D"/>
    <w:rsid w:val="004C13E3"/>
    <w:rsid w:val="004C2B25"/>
    <w:rsid w:val="004C32F0"/>
    <w:rsid w:val="004C5FD2"/>
    <w:rsid w:val="004C6727"/>
    <w:rsid w:val="004C6E44"/>
    <w:rsid w:val="004C70CC"/>
    <w:rsid w:val="004C7196"/>
    <w:rsid w:val="004C7C64"/>
    <w:rsid w:val="004D0DF0"/>
    <w:rsid w:val="004D0EB3"/>
    <w:rsid w:val="004D13F7"/>
    <w:rsid w:val="004D18AD"/>
    <w:rsid w:val="004D22B1"/>
    <w:rsid w:val="004D2A3F"/>
    <w:rsid w:val="004D3773"/>
    <w:rsid w:val="004D38D0"/>
    <w:rsid w:val="004D4825"/>
    <w:rsid w:val="004D4959"/>
    <w:rsid w:val="004D703B"/>
    <w:rsid w:val="004D7668"/>
    <w:rsid w:val="004D7719"/>
    <w:rsid w:val="004E0772"/>
    <w:rsid w:val="004E2B03"/>
    <w:rsid w:val="004E2C76"/>
    <w:rsid w:val="004E2EE4"/>
    <w:rsid w:val="004E3262"/>
    <w:rsid w:val="004E4EE5"/>
    <w:rsid w:val="004E5D1E"/>
    <w:rsid w:val="004E68F0"/>
    <w:rsid w:val="004E6DC8"/>
    <w:rsid w:val="004E6F73"/>
    <w:rsid w:val="004E7559"/>
    <w:rsid w:val="004E7F60"/>
    <w:rsid w:val="004F0A2E"/>
    <w:rsid w:val="004F1028"/>
    <w:rsid w:val="004F11EB"/>
    <w:rsid w:val="004F20C2"/>
    <w:rsid w:val="004F2707"/>
    <w:rsid w:val="004F2C31"/>
    <w:rsid w:val="004F2D46"/>
    <w:rsid w:val="004F393C"/>
    <w:rsid w:val="004F47F1"/>
    <w:rsid w:val="004F48E5"/>
    <w:rsid w:val="004F4E25"/>
    <w:rsid w:val="004F4E53"/>
    <w:rsid w:val="004F5756"/>
    <w:rsid w:val="004F5765"/>
    <w:rsid w:val="004F666D"/>
    <w:rsid w:val="0050118D"/>
    <w:rsid w:val="005015BE"/>
    <w:rsid w:val="00502676"/>
    <w:rsid w:val="00503117"/>
    <w:rsid w:val="00504820"/>
    <w:rsid w:val="005050C7"/>
    <w:rsid w:val="005056ED"/>
    <w:rsid w:val="00506D02"/>
    <w:rsid w:val="005070E3"/>
    <w:rsid w:val="005079A6"/>
    <w:rsid w:val="00507E74"/>
    <w:rsid w:val="00510647"/>
    <w:rsid w:val="00511AE3"/>
    <w:rsid w:val="00511C19"/>
    <w:rsid w:val="00512758"/>
    <w:rsid w:val="00513CD8"/>
    <w:rsid w:val="00520585"/>
    <w:rsid w:val="005208FA"/>
    <w:rsid w:val="00520CC9"/>
    <w:rsid w:val="00520DC6"/>
    <w:rsid w:val="00522B3B"/>
    <w:rsid w:val="00522ECE"/>
    <w:rsid w:val="005232B0"/>
    <w:rsid w:val="00523EED"/>
    <w:rsid w:val="005245F4"/>
    <w:rsid w:val="00524E83"/>
    <w:rsid w:val="00525105"/>
    <w:rsid w:val="00525430"/>
    <w:rsid w:val="00527670"/>
    <w:rsid w:val="00527CBE"/>
    <w:rsid w:val="00527D7A"/>
    <w:rsid w:val="005301D4"/>
    <w:rsid w:val="00530BB9"/>
    <w:rsid w:val="0053113F"/>
    <w:rsid w:val="005318E0"/>
    <w:rsid w:val="00532669"/>
    <w:rsid w:val="0053310D"/>
    <w:rsid w:val="00534FFF"/>
    <w:rsid w:val="00535EBF"/>
    <w:rsid w:val="005371D9"/>
    <w:rsid w:val="00540894"/>
    <w:rsid w:val="0054108E"/>
    <w:rsid w:val="00541330"/>
    <w:rsid w:val="005424D2"/>
    <w:rsid w:val="00542D6B"/>
    <w:rsid w:val="00543856"/>
    <w:rsid w:val="00544052"/>
    <w:rsid w:val="00544E9A"/>
    <w:rsid w:val="005459D8"/>
    <w:rsid w:val="005466D6"/>
    <w:rsid w:val="00550E55"/>
    <w:rsid w:val="005513EE"/>
    <w:rsid w:val="005517DA"/>
    <w:rsid w:val="00552EAB"/>
    <w:rsid w:val="005530F0"/>
    <w:rsid w:val="005535AD"/>
    <w:rsid w:val="00553E2F"/>
    <w:rsid w:val="00554F07"/>
    <w:rsid w:val="00555FF6"/>
    <w:rsid w:val="00557119"/>
    <w:rsid w:val="00557BD5"/>
    <w:rsid w:val="00557DAC"/>
    <w:rsid w:val="00560C86"/>
    <w:rsid w:val="005612F0"/>
    <w:rsid w:val="0056138C"/>
    <w:rsid w:val="00563755"/>
    <w:rsid w:val="00564A66"/>
    <w:rsid w:val="00565A16"/>
    <w:rsid w:val="0056626D"/>
    <w:rsid w:val="00566F5C"/>
    <w:rsid w:val="00567322"/>
    <w:rsid w:val="005678F7"/>
    <w:rsid w:val="005706D8"/>
    <w:rsid w:val="00570A72"/>
    <w:rsid w:val="0057119F"/>
    <w:rsid w:val="00571E81"/>
    <w:rsid w:val="00572103"/>
    <w:rsid w:val="0057244E"/>
    <w:rsid w:val="00572463"/>
    <w:rsid w:val="00572E53"/>
    <w:rsid w:val="00573792"/>
    <w:rsid w:val="00573E7F"/>
    <w:rsid w:val="00573EE5"/>
    <w:rsid w:val="0057558F"/>
    <w:rsid w:val="00576414"/>
    <w:rsid w:val="00577A94"/>
    <w:rsid w:val="00580616"/>
    <w:rsid w:val="00580F9E"/>
    <w:rsid w:val="00581315"/>
    <w:rsid w:val="005823DA"/>
    <w:rsid w:val="00582F95"/>
    <w:rsid w:val="00583660"/>
    <w:rsid w:val="00583A60"/>
    <w:rsid w:val="00583D06"/>
    <w:rsid w:val="0058461A"/>
    <w:rsid w:val="00587CF6"/>
    <w:rsid w:val="00591463"/>
    <w:rsid w:val="00591B74"/>
    <w:rsid w:val="005922E6"/>
    <w:rsid w:val="00592514"/>
    <w:rsid w:val="00593972"/>
    <w:rsid w:val="005955B8"/>
    <w:rsid w:val="00596A39"/>
    <w:rsid w:val="00597743"/>
    <w:rsid w:val="005A14AB"/>
    <w:rsid w:val="005A1737"/>
    <w:rsid w:val="005A17AF"/>
    <w:rsid w:val="005A1FAC"/>
    <w:rsid w:val="005A29F9"/>
    <w:rsid w:val="005A30D8"/>
    <w:rsid w:val="005A3668"/>
    <w:rsid w:val="005A3FE6"/>
    <w:rsid w:val="005A4906"/>
    <w:rsid w:val="005A4A13"/>
    <w:rsid w:val="005A50EE"/>
    <w:rsid w:val="005A54D8"/>
    <w:rsid w:val="005A717B"/>
    <w:rsid w:val="005A797A"/>
    <w:rsid w:val="005B000B"/>
    <w:rsid w:val="005B0C5C"/>
    <w:rsid w:val="005B246E"/>
    <w:rsid w:val="005B3400"/>
    <w:rsid w:val="005B34E8"/>
    <w:rsid w:val="005B35D4"/>
    <w:rsid w:val="005B38B4"/>
    <w:rsid w:val="005B3D6D"/>
    <w:rsid w:val="005B4627"/>
    <w:rsid w:val="005B48A0"/>
    <w:rsid w:val="005B4F1D"/>
    <w:rsid w:val="005B5741"/>
    <w:rsid w:val="005B5EBB"/>
    <w:rsid w:val="005C0522"/>
    <w:rsid w:val="005C09DA"/>
    <w:rsid w:val="005C09EC"/>
    <w:rsid w:val="005C1B3F"/>
    <w:rsid w:val="005C236A"/>
    <w:rsid w:val="005C23C0"/>
    <w:rsid w:val="005C2BB5"/>
    <w:rsid w:val="005C2BC1"/>
    <w:rsid w:val="005C2FB8"/>
    <w:rsid w:val="005C3A9A"/>
    <w:rsid w:val="005C4361"/>
    <w:rsid w:val="005C5053"/>
    <w:rsid w:val="005C5756"/>
    <w:rsid w:val="005C7746"/>
    <w:rsid w:val="005D0C1B"/>
    <w:rsid w:val="005D11F2"/>
    <w:rsid w:val="005D2125"/>
    <w:rsid w:val="005D34E2"/>
    <w:rsid w:val="005D5E89"/>
    <w:rsid w:val="005D60EE"/>
    <w:rsid w:val="005D6BFB"/>
    <w:rsid w:val="005D6EAD"/>
    <w:rsid w:val="005D7950"/>
    <w:rsid w:val="005E056D"/>
    <w:rsid w:val="005E0905"/>
    <w:rsid w:val="005E1479"/>
    <w:rsid w:val="005E1A11"/>
    <w:rsid w:val="005E27BA"/>
    <w:rsid w:val="005E2F6C"/>
    <w:rsid w:val="005E3008"/>
    <w:rsid w:val="005E4E1C"/>
    <w:rsid w:val="005E565B"/>
    <w:rsid w:val="005E59E3"/>
    <w:rsid w:val="005E5E26"/>
    <w:rsid w:val="005E6240"/>
    <w:rsid w:val="005E68A5"/>
    <w:rsid w:val="005F00C0"/>
    <w:rsid w:val="005F1F13"/>
    <w:rsid w:val="005F2243"/>
    <w:rsid w:val="005F22BA"/>
    <w:rsid w:val="005F3CF7"/>
    <w:rsid w:val="005F3E86"/>
    <w:rsid w:val="005F5319"/>
    <w:rsid w:val="005F5AF1"/>
    <w:rsid w:val="00600277"/>
    <w:rsid w:val="006009AA"/>
    <w:rsid w:val="00601702"/>
    <w:rsid w:val="00601960"/>
    <w:rsid w:val="00602109"/>
    <w:rsid w:val="0060348B"/>
    <w:rsid w:val="00603596"/>
    <w:rsid w:val="0060372C"/>
    <w:rsid w:val="00603809"/>
    <w:rsid w:val="0060414D"/>
    <w:rsid w:val="0060426D"/>
    <w:rsid w:val="0060485E"/>
    <w:rsid w:val="00607209"/>
    <w:rsid w:val="006078E5"/>
    <w:rsid w:val="006079F1"/>
    <w:rsid w:val="00610BFD"/>
    <w:rsid w:val="00611013"/>
    <w:rsid w:val="0061128B"/>
    <w:rsid w:val="006117CC"/>
    <w:rsid w:val="0061199F"/>
    <w:rsid w:val="00612282"/>
    <w:rsid w:val="0061365B"/>
    <w:rsid w:val="0061494C"/>
    <w:rsid w:val="006157D6"/>
    <w:rsid w:val="00615A18"/>
    <w:rsid w:val="00616441"/>
    <w:rsid w:val="0061726C"/>
    <w:rsid w:val="00617349"/>
    <w:rsid w:val="00617A76"/>
    <w:rsid w:val="00617D55"/>
    <w:rsid w:val="00617F73"/>
    <w:rsid w:val="00620DAE"/>
    <w:rsid w:val="0062116D"/>
    <w:rsid w:val="00621793"/>
    <w:rsid w:val="00622A3F"/>
    <w:rsid w:val="00623399"/>
    <w:rsid w:val="00623401"/>
    <w:rsid w:val="00623A55"/>
    <w:rsid w:val="00624F19"/>
    <w:rsid w:val="00625344"/>
    <w:rsid w:val="0062538B"/>
    <w:rsid w:val="00625BA9"/>
    <w:rsid w:val="00625C9C"/>
    <w:rsid w:val="00626DB5"/>
    <w:rsid w:val="0062712D"/>
    <w:rsid w:val="0062777D"/>
    <w:rsid w:val="006301CE"/>
    <w:rsid w:val="00630272"/>
    <w:rsid w:val="00630A24"/>
    <w:rsid w:val="00631294"/>
    <w:rsid w:val="00631572"/>
    <w:rsid w:val="00632786"/>
    <w:rsid w:val="0063398F"/>
    <w:rsid w:val="0063555E"/>
    <w:rsid w:val="00635910"/>
    <w:rsid w:val="0063645F"/>
    <w:rsid w:val="0063659A"/>
    <w:rsid w:val="006413DF"/>
    <w:rsid w:val="00641A19"/>
    <w:rsid w:val="0064501C"/>
    <w:rsid w:val="00652333"/>
    <w:rsid w:val="00653310"/>
    <w:rsid w:val="006539DA"/>
    <w:rsid w:val="00653B64"/>
    <w:rsid w:val="0065415A"/>
    <w:rsid w:val="006542AC"/>
    <w:rsid w:val="00655963"/>
    <w:rsid w:val="00655BE7"/>
    <w:rsid w:val="0065610B"/>
    <w:rsid w:val="00657FF8"/>
    <w:rsid w:val="006605D7"/>
    <w:rsid w:val="0066135C"/>
    <w:rsid w:val="0066169C"/>
    <w:rsid w:val="00661C65"/>
    <w:rsid w:val="0066294A"/>
    <w:rsid w:val="0066396F"/>
    <w:rsid w:val="006644F8"/>
    <w:rsid w:val="00664600"/>
    <w:rsid w:val="0066615C"/>
    <w:rsid w:val="006664E3"/>
    <w:rsid w:val="00666B83"/>
    <w:rsid w:val="00667226"/>
    <w:rsid w:val="00667354"/>
    <w:rsid w:val="0066751A"/>
    <w:rsid w:val="006676F2"/>
    <w:rsid w:val="0067075A"/>
    <w:rsid w:val="00670A35"/>
    <w:rsid w:val="00670DB9"/>
    <w:rsid w:val="00670F29"/>
    <w:rsid w:val="00672657"/>
    <w:rsid w:val="00672D28"/>
    <w:rsid w:val="00673B02"/>
    <w:rsid w:val="006743D8"/>
    <w:rsid w:val="006745FA"/>
    <w:rsid w:val="00676CAA"/>
    <w:rsid w:val="006810EF"/>
    <w:rsid w:val="00681459"/>
    <w:rsid w:val="006829CA"/>
    <w:rsid w:val="0068364B"/>
    <w:rsid w:val="00683CF7"/>
    <w:rsid w:val="0068592A"/>
    <w:rsid w:val="00685AB3"/>
    <w:rsid w:val="00690068"/>
    <w:rsid w:val="00691307"/>
    <w:rsid w:val="006915B8"/>
    <w:rsid w:val="00691819"/>
    <w:rsid w:val="00691F3A"/>
    <w:rsid w:val="00692536"/>
    <w:rsid w:val="0069290B"/>
    <w:rsid w:val="00694F08"/>
    <w:rsid w:val="00695050"/>
    <w:rsid w:val="006966F5"/>
    <w:rsid w:val="006A094B"/>
    <w:rsid w:val="006A12E4"/>
    <w:rsid w:val="006A2AF0"/>
    <w:rsid w:val="006A3306"/>
    <w:rsid w:val="006A3439"/>
    <w:rsid w:val="006A6009"/>
    <w:rsid w:val="006A6304"/>
    <w:rsid w:val="006A6F60"/>
    <w:rsid w:val="006A7215"/>
    <w:rsid w:val="006B02A9"/>
    <w:rsid w:val="006B1C9E"/>
    <w:rsid w:val="006B274D"/>
    <w:rsid w:val="006B2920"/>
    <w:rsid w:val="006B2E4F"/>
    <w:rsid w:val="006B3066"/>
    <w:rsid w:val="006B3556"/>
    <w:rsid w:val="006B403B"/>
    <w:rsid w:val="006B4AFA"/>
    <w:rsid w:val="006B4C41"/>
    <w:rsid w:val="006B4E58"/>
    <w:rsid w:val="006B5839"/>
    <w:rsid w:val="006B59E9"/>
    <w:rsid w:val="006B5B9C"/>
    <w:rsid w:val="006B77D1"/>
    <w:rsid w:val="006B7894"/>
    <w:rsid w:val="006C02A0"/>
    <w:rsid w:val="006C0BCD"/>
    <w:rsid w:val="006C1975"/>
    <w:rsid w:val="006C2505"/>
    <w:rsid w:val="006C6389"/>
    <w:rsid w:val="006C6EF4"/>
    <w:rsid w:val="006D158D"/>
    <w:rsid w:val="006D243A"/>
    <w:rsid w:val="006D29E5"/>
    <w:rsid w:val="006D3E5B"/>
    <w:rsid w:val="006D42C5"/>
    <w:rsid w:val="006D4D3B"/>
    <w:rsid w:val="006D5F38"/>
    <w:rsid w:val="006D6277"/>
    <w:rsid w:val="006D7859"/>
    <w:rsid w:val="006E0BBB"/>
    <w:rsid w:val="006E1535"/>
    <w:rsid w:val="006E2C30"/>
    <w:rsid w:val="006E2CDE"/>
    <w:rsid w:val="006E2F4C"/>
    <w:rsid w:val="006E4868"/>
    <w:rsid w:val="006E51E0"/>
    <w:rsid w:val="006E597B"/>
    <w:rsid w:val="006E5C36"/>
    <w:rsid w:val="006E6F1D"/>
    <w:rsid w:val="006E732B"/>
    <w:rsid w:val="006E748B"/>
    <w:rsid w:val="006E789F"/>
    <w:rsid w:val="006F0D37"/>
    <w:rsid w:val="006F0E2B"/>
    <w:rsid w:val="006F2691"/>
    <w:rsid w:val="006F283F"/>
    <w:rsid w:val="006F2A34"/>
    <w:rsid w:val="006F76E5"/>
    <w:rsid w:val="006F7A0A"/>
    <w:rsid w:val="0070017F"/>
    <w:rsid w:val="0070041B"/>
    <w:rsid w:val="0070171A"/>
    <w:rsid w:val="0070185A"/>
    <w:rsid w:val="00701D4F"/>
    <w:rsid w:val="00701F71"/>
    <w:rsid w:val="007028C8"/>
    <w:rsid w:val="007058FD"/>
    <w:rsid w:val="0070730D"/>
    <w:rsid w:val="00710336"/>
    <w:rsid w:val="0071048A"/>
    <w:rsid w:val="00714B12"/>
    <w:rsid w:val="007163B0"/>
    <w:rsid w:val="007168E4"/>
    <w:rsid w:val="00717005"/>
    <w:rsid w:val="007175C2"/>
    <w:rsid w:val="007179D8"/>
    <w:rsid w:val="00720B86"/>
    <w:rsid w:val="00722ED5"/>
    <w:rsid w:val="00722FCA"/>
    <w:rsid w:val="00723452"/>
    <w:rsid w:val="0072486A"/>
    <w:rsid w:val="00724C6B"/>
    <w:rsid w:val="00725EF7"/>
    <w:rsid w:val="007275E3"/>
    <w:rsid w:val="00730E1F"/>
    <w:rsid w:val="0073254E"/>
    <w:rsid w:val="00733646"/>
    <w:rsid w:val="00734CDA"/>
    <w:rsid w:val="00734E00"/>
    <w:rsid w:val="007358C8"/>
    <w:rsid w:val="00740419"/>
    <w:rsid w:val="00740B68"/>
    <w:rsid w:val="00740D6A"/>
    <w:rsid w:val="00741741"/>
    <w:rsid w:val="00742273"/>
    <w:rsid w:val="007423E2"/>
    <w:rsid w:val="00742477"/>
    <w:rsid w:val="00743B42"/>
    <w:rsid w:val="00744368"/>
    <w:rsid w:val="007444D3"/>
    <w:rsid w:val="0074487A"/>
    <w:rsid w:val="007448A8"/>
    <w:rsid w:val="00746C50"/>
    <w:rsid w:val="00747701"/>
    <w:rsid w:val="00750CA8"/>
    <w:rsid w:val="00751A30"/>
    <w:rsid w:val="00751BCE"/>
    <w:rsid w:val="00751F3A"/>
    <w:rsid w:val="00751FB7"/>
    <w:rsid w:val="007539FE"/>
    <w:rsid w:val="00753EC3"/>
    <w:rsid w:val="00753FB0"/>
    <w:rsid w:val="00757397"/>
    <w:rsid w:val="0075741E"/>
    <w:rsid w:val="00760BD9"/>
    <w:rsid w:val="00760DD3"/>
    <w:rsid w:val="007637FD"/>
    <w:rsid w:val="0076432D"/>
    <w:rsid w:val="00764EC6"/>
    <w:rsid w:val="0076508B"/>
    <w:rsid w:val="007664AE"/>
    <w:rsid w:val="00766C3F"/>
    <w:rsid w:val="00770E29"/>
    <w:rsid w:val="007725D2"/>
    <w:rsid w:val="00772E98"/>
    <w:rsid w:val="00772FD8"/>
    <w:rsid w:val="00773A78"/>
    <w:rsid w:val="00773B33"/>
    <w:rsid w:val="00773C9A"/>
    <w:rsid w:val="00773EB1"/>
    <w:rsid w:val="00774A3E"/>
    <w:rsid w:val="00774BB6"/>
    <w:rsid w:val="00774E3D"/>
    <w:rsid w:val="00775894"/>
    <w:rsid w:val="0077628A"/>
    <w:rsid w:val="00777303"/>
    <w:rsid w:val="007801EF"/>
    <w:rsid w:val="007812BD"/>
    <w:rsid w:val="00782B78"/>
    <w:rsid w:val="007853A7"/>
    <w:rsid w:val="00785AA1"/>
    <w:rsid w:val="00785D40"/>
    <w:rsid w:val="007861A0"/>
    <w:rsid w:val="00787524"/>
    <w:rsid w:val="00787DCC"/>
    <w:rsid w:val="00787F99"/>
    <w:rsid w:val="0079107C"/>
    <w:rsid w:val="007937FF"/>
    <w:rsid w:val="00794355"/>
    <w:rsid w:val="007951CC"/>
    <w:rsid w:val="00796A06"/>
    <w:rsid w:val="00796D56"/>
    <w:rsid w:val="00796DB2"/>
    <w:rsid w:val="007A0020"/>
    <w:rsid w:val="007A175C"/>
    <w:rsid w:val="007A222C"/>
    <w:rsid w:val="007A26B3"/>
    <w:rsid w:val="007A2B18"/>
    <w:rsid w:val="007A2DB6"/>
    <w:rsid w:val="007A3140"/>
    <w:rsid w:val="007A3204"/>
    <w:rsid w:val="007A39DE"/>
    <w:rsid w:val="007A43C0"/>
    <w:rsid w:val="007A46C4"/>
    <w:rsid w:val="007A52E0"/>
    <w:rsid w:val="007A7850"/>
    <w:rsid w:val="007B016C"/>
    <w:rsid w:val="007B082F"/>
    <w:rsid w:val="007B126E"/>
    <w:rsid w:val="007B171A"/>
    <w:rsid w:val="007B1FD8"/>
    <w:rsid w:val="007B2849"/>
    <w:rsid w:val="007B46E2"/>
    <w:rsid w:val="007B63CA"/>
    <w:rsid w:val="007B68DB"/>
    <w:rsid w:val="007B6B61"/>
    <w:rsid w:val="007C0B06"/>
    <w:rsid w:val="007C0F35"/>
    <w:rsid w:val="007C13C7"/>
    <w:rsid w:val="007C32D5"/>
    <w:rsid w:val="007C3B18"/>
    <w:rsid w:val="007C50C6"/>
    <w:rsid w:val="007C627C"/>
    <w:rsid w:val="007C63D2"/>
    <w:rsid w:val="007C6F5A"/>
    <w:rsid w:val="007D0AE1"/>
    <w:rsid w:val="007D2288"/>
    <w:rsid w:val="007D24D7"/>
    <w:rsid w:val="007D279F"/>
    <w:rsid w:val="007D2923"/>
    <w:rsid w:val="007D3A72"/>
    <w:rsid w:val="007D3AC0"/>
    <w:rsid w:val="007D416D"/>
    <w:rsid w:val="007D484B"/>
    <w:rsid w:val="007D4F82"/>
    <w:rsid w:val="007D543D"/>
    <w:rsid w:val="007D59EA"/>
    <w:rsid w:val="007D5D50"/>
    <w:rsid w:val="007D659E"/>
    <w:rsid w:val="007E13EF"/>
    <w:rsid w:val="007E14D8"/>
    <w:rsid w:val="007E1613"/>
    <w:rsid w:val="007E2064"/>
    <w:rsid w:val="007E2169"/>
    <w:rsid w:val="007E2DC2"/>
    <w:rsid w:val="007E4E2C"/>
    <w:rsid w:val="007E6047"/>
    <w:rsid w:val="007E616E"/>
    <w:rsid w:val="007E6210"/>
    <w:rsid w:val="007E79CC"/>
    <w:rsid w:val="007F0273"/>
    <w:rsid w:val="007F19CB"/>
    <w:rsid w:val="007F2659"/>
    <w:rsid w:val="007F2BD4"/>
    <w:rsid w:val="007F2C5B"/>
    <w:rsid w:val="007F4DF3"/>
    <w:rsid w:val="007F500D"/>
    <w:rsid w:val="007F552C"/>
    <w:rsid w:val="007F57E6"/>
    <w:rsid w:val="007F5CB2"/>
    <w:rsid w:val="007F65E9"/>
    <w:rsid w:val="007F7740"/>
    <w:rsid w:val="007F7892"/>
    <w:rsid w:val="00810810"/>
    <w:rsid w:val="00811C9E"/>
    <w:rsid w:val="008136E3"/>
    <w:rsid w:val="00813A9D"/>
    <w:rsid w:val="00814B8D"/>
    <w:rsid w:val="00815549"/>
    <w:rsid w:val="008167A9"/>
    <w:rsid w:val="00816F20"/>
    <w:rsid w:val="00817D7A"/>
    <w:rsid w:val="00821054"/>
    <w:rsid w:val="008212B7"/>
    <w:rsid w:val="0082158B"/>
    <w:rsid w:val="00821662"/>
    <w:rsid w:val="00821A87"/>
    <w:rsid w:val="00821EBD"/>
    <w:rsid w:val="00822E60"/>
    <w:rsid w:val="0082344C"/>
    <w:rsid w:val="00823B36"/>
    <w:rsid w:val="0082487B"/>
    <w:rsid w:val="008267A5"/>
    <w:rsid w:val="00826DED"/>
    <w:rsid w:val="00827021"/>
    <w:rsid w:val="00830711"/>
    <w:rsid w:val="00831BBE"/>
    <w:rsid w:val="00835110"/>
    <w:rsid w:val="00835AAE"/>
    <w:rsid w:val="0083639C"/>
    <w:rsid w:val="008376C4"/>
    <w:rsid w:val="00837D5D"/>
    <w:rsid w:val="00837EE7"/>
    <w:rsid w:val="00840228"/>
    <w:rsid w:val="00842469"/>
    <w:rsid w:val="008427EA"/>
    <w:rsid w:val="00842BAA"/>
    <w:rsid w:val="00842D49"/>
    <w:rsid w:val="008435FC"/>
    <w:rsid w:val="00843C23"/>
    <w:rsid w:val="00845ABA"/>
    <w:rsid w:val="00845AC5"/>
    <w:rsid w:val="00845C17"/>
    <w:rsid w:val="00845DEF"/>
    <w:rsid w:val="0084712A"/>
    <w:rsid w:val="00847138"/>
    <w:rsid w:val="00847243"/>
    <w:rsid w:val="008473B5"/>
    <w:rsid w:val="00847DFC"/>
    <w:rsid w:val="00847F6E"/>
    <w:rsid w:val="00850881"/>
    <w:rsid w:val="00852D07"/>
    <w:rsid w:val="008534E8"/>
    <w:rsid w:val="00853861"/>
    <w:rsid w:val="00855D10"/>
    <w:rsid w:val="008562C1"/>
    <w:rsid w:val="0085778F"/>
    <w:rsid w:val="0085799B"/>
    <w:rsid w:val="00862E09"/>
    <w:rsid w:val="0086365D"/>
    <w:rsid w:val="008644F8"/>
    <w:rsid w:val="008646CD"/>
    <w:rsid w:val="008654FB"/>
    <w:rsid w:val="008661DF"/>
    <w:rsid w:val="00866AD2"/>
    <w:rsid w:val="008674CD"/>
    <w:rsid w:val="00867BD2"/>
    <w:rsid w:val="00867CE2"/>
    <w:rsid w:val="00867DF2"/>
    <w:rsid w:val="00871738"/>
    <w:rsid w:val="00871881"/>
    <w:rsid w:val="00871FE9"/>
    <w:rsid w:val="00874041"/>
    <w:rsid w:val="0087456A"/>
    <w:rsid w:val="00874A27"/>
    <w:rsid w:val="00874D06"/>
    <w:rsid w:val="00875589"/>
    <w:rsid w:val="008779C2"/>
    <w:rsid w:val="008803F9"/>
    <w:rsid w:val="00880CC8"/>
    <w:rsid w:val="00881B24"/>
    <w:rsid w:val="0088201C"/>
    <w:rsid w:val="00882030"/>
    <w:rsid w:val="0088292E"/>
    <w:rsid w:val="00882AE1"/>
    <w:rsid w:val="00885947"/>
    <w:rsid w:val="008875F0"/>
    <w:rsid w:val="0088773A"/>
    <w:rsid w:val="008879F0"/>
    <w:rsid w:val="00890465"/>
    <w:rsid w:val="0089119B"/>
    <w:rsid w:val="008918E1"/>
    <w:rsid w:val="00891CA2"/>
    <w:rsid w:val="0089200D"/>
    <w:rsid w:val="00892274"/>
    <w:rsid w:val="00893223"/>
    <w:rsid w:val="00893233"/>
    <w:rsid w:val="00894050"/>
    <w:rsid w:val="00894BC5"/>
    <w:rsid w:val="00895341"/>
    <w:rsid w:val="00895DDD"/>
    <w:rsid w:val="008A0265"/>
    <w:rsid w:val="008A2515"/>
    <w:rsid w:val="008A42AE"/>
    <w:rsid w:val="008A444C"/>
    <w:rsid w:val="008A45DE"/>
    <w:rsid w:val="008A5AC4"/>
    <w:rsid w:val="008A5E44"/>
    <w:rsid w:val="008A7134"/>
    <w:rsid w:val="008A730D"/>
    <w:rsid w:val="008A7554"/>
    <w:rsid w:val="008B159C"/>
    <w:rsid w:val="008B1E6F"/>
    <w:rsid w:val="008B1F02"/>
    <w:rsid w:val="008B2536"/>
    <w:rsid w:val="008B33C2"/>
    <w:rsid w:val="008B404F"/>
    <w:rsid w:val="008B4F33"/>
    <w:rsid w:val="008B53D8"/>
    <w:rsid w:val="008B5792"/>
    <w:rsid w:val="008B7917"/>
    <w:rsid w:val="008C0647"/>
    <w:rsid w:val="008C1AC7"/>
    <w:rsid w:val="008C3227"/>
    <w:rsid w:val="008C52E1"/>
    <w:rsid w:val="008C61EE"/>
    <w:rsid w:val="008C71C7"/>
    <w:rsid w:val="008C7436"/>
    <w:rsid w:val="008D14C3"/>
    <w:rsid w:val="008D33D6"/>
    <w:rsid w:val="008D454E"/>
    <w:rsid w:val="008D4BF5"/>
    <w:rsid w:val="008D5F4B"/>
    <w:rsid w:val="008D6192"/>
    <w:rsid w:val="008D7318"/>
    <w:rsid w:val="008E030A"/>
    <w:rsid w:val="008E0A2A"/>
    <w:rsid w:val="008E14E3"/>
    <w:rsid w:val="008E1BD9"/>
    <w:rsid w:val="008E2B74"/>
    <w:rsid w:val="008E4810"/>
    <w:rsid w:val="008E4C60"/>
    <w:rsid w:val="008E5A73"/>
    <w:rsid w:val="008E6D7E"/>
    <w:rsid w:val="008E7444"/>
    <w:rsid w:val="008E7F02"/>
    <w:rsid w:val="008F1BE4"/>
    <w:rsid w:val="008F34E3"/>
    <w:rsid w:val="008F3938"/>
    <w:rsid w:val="008F3A3B"/>
    <w:rsid w:val="008F43F0"/>
    <w:rsid w:val="008F4AB5"/>
    <w:rsid w:val="008F660A"/>
    <w:rsid w:val="008F6940"/>
    <w:rsid w:val="00900163"/>
    <w:rsid w:val="00900DC5"/>
    <w:rsid w:val="0090127D"/>
    <w:rsid w:val="00901FF9"/>
    <w:rsid w:val="009025C1"/>
    <w:rsid w:val="009035E9"/>
    <w:rsid w:val="009036CA"/>
    <w:rsid w:val="00903A2D"/>
    <w:rsid w:val="009047E5"/>
    <w:rsid w:val="00905980"/>
    <w:rsid w:val="00905C7B"/>
    <w:rsid w:val="00905D1B"/>
    <w:rsid w:val="00906320"/>
    <w:rsid w:val="009071A8"/>
    <w:rsid w:val="009075FA"/>
    <w:rsid w:val="00907950"/>
    <w:rsid w:val="00907998"/>
    <w:rsid w:val="00912E31"/>
    <w:rsid w:val="00913078"/>
    <w:rsid w:val="009136A0"/>
    <w:rsid w:val="00913C07"/>
    <w:rsid w:val="009141FB"/>
    <w:rsid w:val="00915BC0"/>
    <w:rsid w:val="00916E1D"/>
    <w:rsid w:val="00917942"/>
    <w:rsid w:val="00922AA2"/>
    <w:rsid w:val="0092366A"/>
    <w:rsid w:val="00923B97"/>
    <w:rsid w:val="009242D8"/>
    <w:rsid w:val="0092526B"/>
    <w:rsid w:val="00925995"/>
    <w:rsid w:val="00925BAB"/>
    <w:rsid w:val="00925D3D"/>
    <w:rsid w:val="00926296"/>
    <w:rsid w:val="009262E7"/>
    <w:rsid w:val="00926992"/>
    <w:rsid w:val="00931ACF"/>
    <w:rsid w:val="0093280C"/>
    <w:rsid w:val="0093329E"/>
    <w:rsid w:val="009343B5"/>
    <w:rsid w:val="009345C4"/>
    <w:rsid w:val="00935CEF"/>
    <w:rsid w:val="00937F59"/>
    <w:rsid w:val="00941786"/>
    <w:rsid w:val="0094219A"/>
    <w:rsid w:val="009431C1"/>
    <w:rsid w:val="009436B3"/>
    <w:rsid w:val="00943F35"/>
    <w:rsid w:val="009466B9"/>
    <w:rsid w:val="00946798"/>
    <w:rsid w:val="0094792C"/>
    <w:rsid w:val="0095085A"/>
    <w:rsid w:val="009578F1"/>
    <w:rsid w:val="00960607"/>
    <w:rsid w:val="0096211F"/>
    <w:rsid w:val="00962618"/>
    <w:rsid w:val="00962C1B"/>
    <w:rsid w:val="00963064"/>
    <w:rsid w:val="009640D1"/>
    <w:rsid w:val="00964AB3"/>
    <w:rsid w:val="00965D90"/>
    <w:rsid w:val="0097302F"/>
    <w:rsid w:val="009731C9"/>
    <w:rsid w:val="009734E1"/>
    <w:rsid w:val="00973687"/>
    <w:rsid w:val="009737E6"/>
    <w:rsid w:val="00973D8F"/>
    <w:rsid w:val="00973E1B"/>
    <w:rsid w:val="00976BBB"/>
    <w:rsid w:val="00977292"/>
    <w:rsid w:val="00977E95"/>
    <w:rsid w:val="00977FB3"/>
    <w:rsid w:val="00980605"/>
    <w:rsid w:val="009806DA"/>
    <w:rsid w:val="00981C95"/>
    <w:rsid w:val="009833B8"/>
    <w:rsid w:val="009846FC"/>
    <w:rsid w:val="00992D69"/>
    <w:rsid w:val="0099325A"/>
    <w:rsid w:val="009935C7"/>
    <w:rsid w:val="00993ABB"/>
    <w:rsid w:val="00993FC9"/>
    <w:rsid w:val="0099438E"/>
    <w:rsid w:val="0099487F"/>
    <w:rsid w:val="00995A8C"/>
    <w:rsid w:val="009A0939"/>
    <w:rsid w:val="009A1241"/>
    <w:rsid w:val="009A212E"/>
    <w:rsid w:val="009A2834"/>
    <w:rsid w:val="009A4374"/>
    <w:rsid w:val="009A45DB"/>
    <w:rsid w:val="009A488E"/>
    <w:rsid w:val="009A4E14"/>
    <w:rsid w:val="009A5D4A"/>
    <w:rsid w:val="009A62FA"/>
    <w:rsid w:val="009B1190"/>
    <w:rsid w:val="009B3662"/>
    <w:rsid w:val="009B4CDC"/>
    <w:rsid w:val="009B57C4"/>
    <w:rsid w:val="009B5A71"/>
    <w:rsid w:val="009B5F87"/>
    <w:rsid w:val="009B70B0"/>
    <w:rsid w:val="009C0883"/>
    <w:rsid w:val="009C0FF6"/>
    <w:rsid w:val="009C1A7D"/>
    <w:rsid w:val="009C1CA7"/>
    <w:rsid w:val="009C2944"/>
    <w:rsid w:val="009C39F8"/>
    <w:rsid w:val="009C3E86"/>
    <w:rsid w:val="009C4C83"/>
    <w:rsid w:val="009C56E1"/>
    <w:rsid w:val="009C7DFC"/>
    <w:rsid w:val="009D04B7"/>
    <w:rsid w:val="009D0CBA"/>
    <w:rsid w:val="009D10B5"/>
    <w:rsid w:val="009D10C1"/>
    <w:rsid w:val="009D18C0"/>
    <w:rsid w:val="009D43F1"/>
    <w:rsid w:val="009D4418"/>
    <w:rsid w:val="009D5BA2"/>
    <w:rsid w:val="009D5CBE"/>
    <w:rsid w:val="009D635A"/>
    <w:rsid w:val="009D723C"/>
    <w:rsid w:val="009E0C54"/>
    <w:rsid w:val="009E0DC0"/>
    <w:rsid w:val="009E0F67"/>
    <w:rsid w:val="009E2159"/>
    <w:rsid w:val="009E2271"/>
    <w:rsid w:val="009E375A"/>
    <w:rsid w:val="009E389D"/>
    <w:rsid w:val="009E3B9E"/>
    <w:rsid w:val="009E4AD9"/>
    <w:rsid w:val="009E4DB3"/>
    <w:rsid w:val="009E679D"/>
    <w:rsid w:val="009E6AD8"/>
    <w:rsid w:val="009E71DC"/>
    <w:rsid w:val="009F0BEC"/>
    <w:rsid w:val="009F102F"/>
    <w:rsid w:val="009F10BB"/>
    <w:rsid w:val="009F1A47"/>
    <w:rsid w:val="009F1B02"/>
    <w:rsid w:val="009F227E"/>
    <w:rsid w:val="009F3022"/>
    <w:rsid w:val="009F32CE"/>
    <w:rsid w:val="009F3849"/>
    <w:rsid w:val="009F4CEF"/>
    <w:rsid w:val="009F5E5E"/>
    <w:rsid w:val="009F607A"/>
    <w:rsid w:val="009F6093"/>
    <w:rsid w:val="009F6A15"/>
    <w:rsid w:val="009F7D08"/>
    <w:rsid w:val="00A0241D"/>
    <w:rsid w:val="00A024E1"/>
    <w:rsid w:val="00A03648"/>
    <w:rsid w:val="00A03C58"/>
    <w:rsid w:val="00A04054"/>
    <w:rsid w:val="00A04D7E"/>
    <w:rsid w:val="00A0672D"/>
    <w:rsid w:val="00A06F67"/>
    <w:rsid w:val="00A071D1"/>
    <w:rsid w:val="00A07265"/>
    <w:rsid w:val="00A1133A"/>
    <w:rsid w:val="00A1296C"/>
    <w:rsid w:val="00A12A3F"/>
    <w:rsid w:val="00A12D61"/>
    <w:rsid w:val="00A12E63"/>
    <w:rsid w:val="00A12F69"/>
    <w:rsid w:val="00A15361"/>
    <w:rsid w:val="00A16733"/>
    <w:rsid w:val="00A174B1"/>
    <w:rsid w:val="00A17616"/>
    <w:rsid w:val="00A20D32"/>
    <w:rsid w:val="00A211AB"/>
    <w:rsid w:val="00A21870"/>
    <w:rsid w:val="00A21B06"/>
    <w:rsid w:val="00A22C49"/>
    <w:rsid w:val="00A2370E"/>
    <w:rsid w:val="00A24E6F"/>
    <w:rsid w:val="00A250E0"/>
    <w:rsid w:val="00A25523"/>
    <w:rsid w:val="00A25541"/>
    <w:rsid w:val="00A269C6"/>
    <w:rsid w:val="00A27ED0"/>
    <w:rsid w:val="00A3012B"/>
    <w:rsid w:val="00A3088E"/>
    <w:rsid w:val="00A31434"/>
    <w:rsid w:val="00A35D8D"/>
    <w:rsid w:val="00A406F1"/>
    <w:rsid w:val="00A40BE7"/>
    <w:rsid w:val="00A4270E"/>
    <w:rsid w:val="00A44134"/>
    <w:rsid w:val="00A44550"/>
    <w:rsid w:val="00A4507C"/>
    <w:rsid w:val="00A45492"/>
    <w:rsid w:val="00A4625F"/>
    <w:rsid w:val="00A464B4"/>
    <w:rsid w:val="00A47122"/>
    <w:rsid w:val="00A50D7F"/>
    <w:rsid w:val="00A51E7A"/>
    <w:rsid w:val="00A5215F"/>
    <w:rsid w:val="00A52344"/>
    <w:rsid w:val="00A53A4B"/>
    <w:rsid w:val="00A544BA"/>
    <w:rsid w:val="00A572EB"/>
    <w:rsid w:val="00A602D6"/>
    <w:rsid w:val="00A60932"/>
    <w:rsid w:val="00A610B6"/>
    <w:rsid w:val="00A61359"/>
    <w:rsid w:val="00A63FAD"/>
    <w:rsid w:val="00A6615A"/>
    <w:rsid w:val="00A6677E"/>
    <w:rsid w:val="00A66B7B"/>
    <w:rsid w:val="00A70A7E"/>
    <w:rsid w:val="00A70CCF"/>
    <w:rsid w:val="00A71500"/>
    <w:rsid w:val="00A7160B"/>
    <w:rsid w:val="00A71B3A"/>
    <w:rsid w:val="00A71DD5"/>
    <w:rsid w:val="00A73B23"/>
    <w:rsid w:val="00A73F3C"/>
    <w:rsid w:val="00A743B5"/>
    <w:rsid w:val="00A74685"/>
    <w:rsid w:val="00A74B5A"/>
    <w:rsid w:val="00A75C09"/>
    <w:rsid w:val="00A765AD"/>
    <w:rsid w:val="00A768C8"/>
    <w:rsid w:val="00A76A48"/>
    <w:rsid w:val="00A76AAA"/>
    <w:rsid w:val="00A810B8"/>
    <w:rsid w:val="00A828F4"/>
    <w:rsid w:val="00A84801"/>
    <w:rsid w:val="00A868C0"/>
    <w:rsid w:val="00A86DCA"/>
    <w:rsid w:val="00A873F5"/>
    <w:rsid w:val="00A87FD5"/>
    <w:rsid w:val="00A906B9"/>
    <w:rsid w:val="00A9387C"/>
    <w:rsid w:val="00A93F5C"/>
    <w:rsid w:val="00A9482F"/>
    <w:rsid w:val="00A9507A"/>
    <w:rsid w:val="00A971A8"/>
    <w:rsid w:val="00A972BD"/>
    <w:rsid w:val="00A97D44"/>
    <w:rsid w:val="00AA02BC"/>
    <w:rsid w:val="00AA115D"/>
    <w:rsid w:val="00AA159C"/>
    <w:rsid w:val="00AA1621"/>
    <w:rsid w:val="00AA1904"/>
    <w:rsid w:val="00AA1CFE"/>
    <w:rsid w:val="00AA2293"/>
    <w:rsid w:val="00AA33D3"/>
    <w:rsid w:val="00AA3701"/>
    <w:rsid w:val="00AA39D2"/>
    <w:rsid w:val="00AA48CD"/>
    <w:rsid w:val="00AA4B62"/>
    <w:rsid w:val="00AA79CC"/>
    <w:rsid w:val="00AB1713"/>
    <w:rsid w:val="00AB199E"/>
    <w:rsid w:val="00AB26D6"/>
    <w:rsid w:val="00AB2A66"/>
    <w:rsid w:val="00AB31E4"/>
    <w:rsid w:val="00AB5819"/>
    <w:rsid w:val="00AB69B1"/>
    <w:rsid w:val="00AB70DE"/>
    <w:rsid w:val="00AB7EBF"/>
    <w:rsid w:val="00AC0B30"/>
    <w:rsid w:val="00AC0C5D"/>
    <w:rsid w:val="00AC2A41"/>
    <w:rsid w:val="00AC37CA"/>
    <w:rsid w:val="00AC4A7E"/>
    <w:rsid w:val="00AC6798"/>
    <w:rsid w:val="00AC6B1F"/>
    <w:rsid w:val="00AC71C9"/>
    <w:rsid w:val="00AC7C51"/>
    <w:rsid w:val="00AC7DE9"/>
    <w:rsid w:val="00AD2DD4"/>
    <w:rsid w:val="00AD410C"/>
    <w:rsid w:val="00AD4EF1"/>
    <w:rsid w:val="00AD528F"/>
    <w:rsid w:val="00AD5377"/>
    <w:rsid w:val="00AD6079"/>
    <w:rsid w:val="00AD6B09"/>
    <w:rsid w:val="00AD7A4E"/>
    <w:rsid w:val="00AE0B97"/>
    <w:rsid w:val="00AE1115"/>
    <w:rsid w:val="00AE12B8"/>
    <w:rsid w:val="00AE3BBC"/>
    <w:rsid w:val="00AE4196"/>
    <w:rsid w:val="00AE758D"/>
    <w:rsid w:val="00AE7A16"/>
    <w:rsid w:val="00AF021A"/>
    <w:rsid w:val="00AF1BFC"/>
    <w:rsid w:val="00AF1D27"/>
    <w:rsid w:val="00AF1D9C"/>
    <w:rsid w:val="00AF5006"/>
    <w:rsid w:val="00AF60F4"/>
    <w:rsid w:val="00AF640D"/>
    <w:rsid w:val="00AF7C90"/>
    <w:rsid w:val="00B02CAE"/>
    <w:rsid w:val="00B03159"/>
    <w:rsid w:val="00B0330D"/>
    <w:rsid w:val="00B0567A"/>
    <w:rsid w:val="00B05A26"/>
    <w:rsid w:val="00B05E97"/>
    <w:rsid w:val="00B05FAB"/>
    <w:rsid w:val="00B072A3"/>
    <w:rsid w:val="00B07A89"/>
    <w:rsid w:val="00B11448"/>
    <w:rsid w:val="00B11A54"/>
    <w:rsid w:val="00B11B9B"/>
    <w:rsid w:val="00B11D61"/>
    <w:rsid w:val="00B14240"/>
    <w:rsid w:val="00B2121D"/>
    <w:rsid w:val="00B21D66"/>
    <w:rsid w:val="00B2275F"/>
    <w:rsid w:val="00B22DEC"/>
    <w:rsid w:val="00B235D0"/>
    <w:rsid w:val="00B23780"/>
    <w:rsid w:val="00B240DD"/>
    <w:rsid w:val="00B24446"/>
    <w:rsid w:val="00B2452E"/>
    <w:rsid w:val="00B247A2"/>
    <w:rsid w:val="00B2570E"/>
    <w:rsid w:val="00B25A54"/>
    <w:rsid w:val="00B25BAF"/>
    <w:rsid w:val="00B26059"/>
    <w:rsid w:val="00B2607E"/>
    <w:rsid w:val="00B30F8D"/>
    <w:rsid w:val="00B31BFC"/>
    <w:rsid w:val="00B31F10"/>
    <w:rsid w:val="00B3465B"/>
    <w:rsid w:val="00B34BC6"/>
    <w:rsid w:val="00B351DF"/>
    <w:rsid w:val="00B35580"/>
    <w:rsid w:val="00B35866"/>
    <w:rsid w:val="00B366FF"/>
    <w:rsid w:val="00B37565"/>
    <w:rsid w:val="00B40B47"/>
    <w:rsid w:val="00B41181"/>
    <w:rsid w:val="00B4119A"/>
    <w:rsid w:val="00B414B0"/>
    <w:rsid w:val="00B41908"/>
    <w:rsid w:val="00B4207D"/>
    <w:rsid w:val="00B421FD"/>
    <w:rsid w:val="00B43C18"/>
    <w:rsid w:val="00B44571"/>
    <w:rsid w:val="00B445E8"/>
    <w:rsid w:val="00B4483E"/>
    <w:rsid w:val="00B46354"/>
    <w:rsid w:val="00B4706A"/>
    <w:rsid w:val="00B518A2"/>
    <w:rsid w:val="00B51E56"/>
    <w:rsid w:val="00B52227"/>
    <w:rsid w:val="00B5287F"/>
    <w:rsid w:val="00B52ADA"/>
    <w:rsid w:val="00B52D65"/>
    <w:rsid w:val="00B53035"/>
    <w:rsid w:val="00B53186"/>
    <w:rsid w:val="00B53492"/>
    <w:rsid w:val="00B53E1E"/>
    <w:rsid w:val="00B54DA9"/>
    <w:rsid w:val="00B55FC0"/>
    <w:rsid w:val="00B57184"/>
    <w:rsid w:val="00B57A58"/>
    <w:rsid w:val="00B6261D"/>
    <w:rsid w:val="00B62C46"/>
    <w:rsid w:val="00B630F2"/>
    <w:rsid w:val="00B64096"/>
    <w:rsid w:val="00B64273"/>
    <w:rsid w:val="00B6527F"/>
    <w:rsid w:val="00B65CFE"/>
    <w:rsid w:val="00B66A9F"/>
    <w:rsid w:val="00B67A4C"/>
    <w:rsid w:val="00B67B6E"/>
    <w:rsid w:val="00B67F64"/>
    <w:rsid w:val="00B70264"/>
    <w:rsid w:val="00B7059F"/>
    <w:rsid w:val="00B711B5"/>
    <w:rsid w:val="00B72674"/>
    <w:rsid w:val="00B72AD7"/>
    <w:rsid w:val="00B73237"/>
    <w:rsid w:val="00B75B69"/>
    <w:rsid w:val="00B75C0C"/>
    <w:rsid w:val="00B76AFE"/>
    <w:rsid w:val="00B8066E"/>
    <w:rsid w:val="00B80B74"/>
    <w:rsid w:val="00B8115E"/>
    <w:rsid w:val="00B8230A"/>
    <w:rsid w:val="00B83116"/>
    <w:rsid w:val="00B84A08"/>
    <w:rsid w:val="00B87829"/>
    <w:rsid w:val="00B91295"/>
    <w:rsid w:val="00B9198D"/>
    <w:rsid w:val="00B91D9A"/>
    <w:rsid w:val="00B9222B"/>
    <w:rsid w:val="00B92AB6"/>
    <w:rsid w:val="00B93124"/>
    <w:rsid w:val="00B93E70"/>
    <w:rsid w:val="00B946CC"/>
    <w:rsid w:val="00B94CAC"/>
    <w:rsid w:val="00B952E9"/>
    <w:rsid w:val="00B95C0A"/>
    <w:rsid w:val="00B95E8D"/>
    <w:rsid w:val="00B96C35"/>
    <w:rsid w:val="00B9702B"/>
    <w:rsid w:val="00B972A0"/>
    <w:rsid w:val="00B97439"/>
    <w:rsid w:val="00B975C4"/>
    <w:rsid w:val="00B97B1F"/>
    <w:rsid w:val="00BA23C3"/>
    <w:rsid w:val="00BA310E"/>
    <w:rsid w:val="00BA4521"/>
    <w:rsid w:val="00BA5C11"/>
    <w:rsid w:val="00BA6BA9"/>
    <w:rsid w:val="00BB02F3"/>
    <w:rsid w:val="00BB0B1B"/>
    <w:rsid w:val="00BB24CC"/>
    <w:rsid w:val="00BB428C"/>
    <w:rsid w:val="00BB4522"/>
    <w:rsid w:val="00BB57B3"/>
    <w:rsid w:val="00BB7176"/>
    <w:rsid w:val="00BB75A8"/>
    <w:rsid w:val="00BC0073"/>
    <w:rsid w:val="00BC045B"/>
    <w:rsid w:val="00BC0D62"/>
    <w:rsid w:val="00BC0D77"/>
    <w:rsid w:val="00BC11B7"/>
    <w:rsid w:val="00BC1394"/>
    <w:rsid w:val="00BC2977"/>
    <w:rsid w:val="00BC3CD7"/>
    <w:rsid w:val="00BC429B"/>
    <w:rsid w:val="00BC4951"/>
    <w:rsid w:val="00BC6BE5"/>
    <w:rsid w:val="00BD0550"/>
    <w:rsid w:val="00BD1E81"/>
    <w:rsid w:val="00BD2EDB"/>
    <w:rsid w:val="00BD33DF"/>
    <w:rsid w:val="00BD5582"/>
    <w:rsid w:val="00BD6504"/>
    <w:rsid w:val="00BD6643"/>
    <w:rsid w:val="00BD7FE0"/>
    <w:rsid w:val="00BE2757"/>
    <w:rsid w:val="00BE3990"/>
    <w:rsid w:val="00BE4CE6"/>
    <w:rsid w:val="00BE5453"/>
    <w:rsid w:val="00BE5F8A"/>
    <w:rsid w:val="00BE6F3A"/>
    <w:rsid w:val="00BE77FF"/>
    <w:rsid w:val="00BE78AB"/>
    <w:rsid w:val="00BF02EE"/>
    <w:rsid w:val="00BF081A"/>
    <w:rsid w:val="00BF15BD"/>
    <w:rsid w:val="00BF1E26"/>
    <w:rsid w:val="00BF2F5B"/>
    <w:rsid w:val="00BF356A"/>
    <w:rsid w:val="00BF6025"/>
    <w:rsid w:val="00BF6264"/>
    <w:rsid w:val="00BF79B6"/>
    <w:rsid w:val="00C0104A"/>
    <w:rsid w:val="00C015FB"/>
    <w:rsid w:val="00C01920"/>
    <w:rsid w:val="00C02A4A"/>
    <w:rsid w:val="00C03D14"/>
    <w:rsid w:val="00C042B4"/>
    <w:rsid w:val="00C04B34"/>
    <w:rsid w:val="00C050BC"/>
    <w:rsid w:val="00C064C8"/>
    <w:rsid w:val="00C071A8"/>
    <w:rsid w:val="00C071E7"/>
    <w:rsid w:val="00C1117A"/>
    <w:rsid w:val="00C11D3C"/>
    <w:rsid w:val="00C12395"/>
    <w:rsid w:val="00C12D15"/>
    <w:rsid w:val="00C151CB"/>
    <w:rsid w:val="00C16335"/>
    <w:rsid w:val="00C165D2"/>
    <w:rsid w:val="00C16D4B"/>
    <w:rsid w:val="00C17C56"/>
    <w:rsid w:val="00C2208A"/>
    <w:rsid w:val="00C23390"/>
    <w:rsid w:val="00C23CE7"/>
    <w:rsid w:val="00C24CDD"/>
    <w:rsid w:val="00C256CE"/>
    <w:rsid w:val="00C260CD"/>
    <w:rsid w:val="00C26301"/>
    <w:rsid w:val="00C267FC"/>
    <w:rsid w:val="00C26961"/>
    <w:rsid w:val="00C2740A"/>
    <w:rsid w:val="00C27803"/>
    <w:rsid w:val="00C2792E"/>
    <w:rsid w:val="00C31DAC"/>
    <w:rsid w:val="00C33105"/>
    <w:rsid w:val="00C342B3"/>
    <w:rsid w:val="00C34673"/>
    <w:rsid w:val="00C35351"/>
    <w:rsid w:val="00C356DA"/>
    <w:rsid w:val="00C36A16"/>
    <w:rsid w:val="00C373F7"/>
    <w:rsid w:val="00C376AB"/>
    <w:rsid w:val="00C4066D"/>
    <w:rsid w:val="00C43B2D"/>
    <w:rsid w:val="00C4418B"/>
    <w:rsid w:val="00C45731"/>
    <w:rsid w:val="00C46821"/>
    <w:rsid w:val="00C46CF8"/>
    <w:rsid w:val="00C46CFD"/>
    <w:rsid w:val="00C47602"/>
    <w:rsid w:val="00C50C41"/>
    <w:rsid w:val="00C50D9D"/>
    <w:rsid w:val="00C51635"/>
    <w:rsid w:val="00C53C1D"/>
    <w:rsid w:val="00C54AF8"/>
    <w:rsid w:val="00C56A0A"/>
    <w:rsid w:val="00C574E8"/>
    <w:rsid w:val="00C57A1C"/>
    <w:rsid w:val="00C60071"/>
    <w:rsid w:val="00C61FEE"/>
    <w:rsid w:val="00C65930"/>
    <w:rsid w:val="00C65AD0"/>
    <w:rsid w:val="00C66421"/>
    <w:rsid w:val="00C67D0E"/>
    <w:rsid w:val="00C710DF"/>
    <w:rsid w:val="00C713B1"/>
    <w:rsid w:val="00C7169D"/>
    <w:rsid w:val="00C71F08"/>
    <w:rsid w:val="00C724DF"/>
    <w:rsid w:val="00C72571"/>
    <w:rsid w:val="00C74A46"/>
    <w:rsid w:val="00C74B01"/>
    <w:rsid w:val="00C75A15"/>
    <w:rsid w:val="00C765C7"/>
    <w:rsid w:val="00C766DD"/>
    <w:rsid w:val="00C76871"/>
    <w:rsid w:val="00C76A0E"/>
    <w:rsid w:val="00C7761A"/>
    <w:rsid w:val="00C77728"/>
    <w:rsid w:val="00C778D2"/>
    <w:rsid w:val="00C826D0"/>
    <w:rsid w:val="00C82BAD"/>
    <w:rsid w:val="00C8311B"/>
    <w:rsid w:val="00C83B54"/>
    <w:rsid w:val="00C83D9E"/>
    <w:rsid w:val="00C84DA9"/>
    <w:rsid w:val="00C85F0D"/>
    <w:rsid w:val="00C87084"/>
    <w:rsid w:val="00C90359"/>
    <w:rsid w:val="00C90DF7"/>
    <w:rsid w:val="00C9179A"/>
    <w:rsid w:val="00C91AB3"/>
    <w:rsid w:val="00C92A69"/>
    <w:rsid w:val="00C92ED4"/>
    <w:rsid w:val="00C92FF8"/>
    <w:rsid w:val="00C93663"/>
    <w:rsid w:val="00C93A27"/>
    <w:rsid w:val="00C963B3"/>
    <w:rsid w:val="00C96C9C"/>
    <w:rsid w:val="00CA0060"/>
    <w:rsid w:val="00CA0F83"/>
    <w:rsid w:val="00CA12A2"/>
    <w:rsid w:val="00CA1EFC"/>
    <w:rsid w:val="00CA2FD0"/>
    <w:rsid w:val="00CA3D87"/>
    <w:rsid w:val="00CA419B"/>
    <w:rsid w:val="00CA50B5"/>
    <w:rsid w:val="00CA53A7"/>
    <w:rsid w:val="00CA5E15"/>
    <w:rsid w:val="00CA6464"/>
    <w:rsid w:val="00CA725F"/>
    <w:rsid w:val="00CB08D1"/>
    <w:rsid w:val="00CB0E3D"/>
    <w:rsid w:val="00CB1D6E"/>
    <w:rsid w:val="00CB1E5B"/>
    <w:rsid w:val="00CB1F7E"/>
    <w:rsid w:val="00CB2360"/>
    <w:rsid w:val="00CB334E"/>
    <w:rsid w:val="00CB37B4"/>
    <w:rsid w:val="00CB4E54"/>
    <w:rsid w:val="00CB5AAA"/>
    <w:rsid w:val="00CB5B52"/>
    <w:rsid w:val="00CB692F"/>
    <w:rsid w:val="00CB78F2"/>
    <w:rsid w:val="00CB7B55"/>
    <w:rsid w:val="00CB7E98"/>
    <w:rsid w:val="00CC0001"/>
    <w:rsid w:val="00CC011A"/>
    <w:rsid w:val="00CC0A4B"/>
    <w:rsid w:val="00CC0DAB"/>
    <w:rsid w:val="00CC1E49"/>
    <w:rsid w:val="00CC28CE"/>
    <w:rsid w:val="00CC37DA"/>
    <w:rsid w:val="00CC47D7"/>
    <w:rsid w:val="00CC5AE2"/>
    <w:rsid w:val="00CC6CB3"/>
    <w:rsid w:val="00CC77BB"/>
    <w:rsid w:val="00CC7CB2"/>
    <w:rsid w:val="00CC7D9F"/>
    <w:rsid w:val="00CD1745"/>
    <w:rsid w:val="00CD1C71"/>
    <w:rsid w:val="00CD1ED6"/>
    <w:rsid w:val="00CD3B73"/>
    <w:rsid w:val="00CD4A69"/>
    <w:rsid w:val="00CD6656"/>
    <w:rsid w:val="00CD6F9A"/>
    <w:rsid w:val="00CE2644"/>
    <w:rsid w:val="00CE2D51"/>
    <w:rsid w:val="00CE2DE6"/>
    <w:rsid w:val="00CE3FD1"/>
    <w:rsid w:val="00CE55B3"/>
    <w:rsid w:val="00CE6F7E"/>
    <w:rsid w:val="00CE7305"/>
    <w:rsid w:val="00CE76F0"/>
    <w:rsid w:val="00CF1A12"/>
    <w:rsid w:val="00CF1B46"/>
    <w:rsid w:val="00CF1E8A"/>
    <w:rsid w:val="00CF5777"/>
    <w:rsid w:val="00CF5D19"/>
    <w:rsid w:val="00CF5D66"/>
    <w:rsid w:val="00CF631E"/>
    <w:rsid w:val="00CF6A23"/>
    <w:rsid w:val="00CF6C0F"/>
    <w:rsid w:val="00CF6E76"/>
    <w:rsid w:val="00CF7BCF"/>
    <w:rsid w:val="00D002D9"/>
    <w:rsid w:val="00D01106"/>
    <w:rsid w:val="00D02484"/>
    <w:rsid w:val="00D027B6"/>
    <w:rsid w:val="00D04290"/>
    <w:rsid w:val="00D047D1"/>
    <w:rsid w:val="00D0560E"/>
    <w:rsid w:val="00D0561C"/>
    <w:rsid w:val="00D0602A"/>
    <w:rsid w:val="00D06064"/>
    <w:rsid w:val="00D065C9"/>
    <w:rsid w:val="00D066CF"/>
    <w:rsid w:val="00D070D7"/>
    <w:rsid w:val="00D07D18"/>
    <w:rsid w:val="00D1007D"/>
    <w:rsid w:val="00D1085D"/>
    <w:rsid w:val="00D10B4D"/>
    <w:rsid w:val="00D11E62"/>
    <w:rsid w:val="00D121E2"/>
    <w:rsid w:val="00D12926"/>
    <w:rsid w:val="00D139C7"/>
    <w:rsid w:val="00D14870"/>
    <w:rsid w:val="00D14D5D"/>
    <w:rsid w:val="00D17187"/>
    <w:rsid w:val="00D20600"/>
    <w:rsid w:val="00D20B14"/>
    <w:rsid w:val="00D23288"/>
    <w:rsid w:val="00D261A6"/>
    <w:rsid w:val="00D262AB"/>
    <w:rsid w:val="00D27700"/>
    <w:rsid w:val="00D3186B"/>
    <w:rsid w:val="00D318B3"/>
    <w:rsid w:val="00D32788"/>
    <w:rsid w:val="00D3368E"/>
    <w:rsid w:val="00D34642"/>
    <w:rsid w:val="00D352EF"/>
    <w:rsid w:val="00D35ED3"/>
    <w:rsid w:val="00D375B4"/>
    <w:rsid w:val="00D37F02"/>
    <w:rsid w:val="00D402D5"/>
    <w:rsid w:val="00D406FA"/>
    <w:rsid w:val="00D40995"/>
    <w:rsid w:val="00D41808"/>
    <w:rsid w:val="00D422C4"/>
    <w:rsid w:val="00D42399"/>
    <w:rsid w:val="00D4250C"/>
    <w:rsid w:val="00D4388E"/>
    <w:rsid w:val="00D45BF4"/>
    <w:rsid w:val="00D47BCF"/>
    <w:rsid w:val="00D50217"/>
    <w:rsid w:val="00D51743"/>
    <w:rsid w:val="00D52E6A"/>
    <w:rsid w:val="00D53E2F"/>
    <w:rsid w:val="00D54287"/>
    <w:rsid w:val="00D548B4"/>
    <w:rsid w:val="00D54E9E"/>
    <w:rsid w:val="00D56FB5"/>
    <w:rsid w:val="00D57525"/>
    <w:rsid w:val="00D603D9"/>
    <w:rsid w:val="00D60A1C"/>
    <w:rsid w:val="00D60AA7"/>
    <w:rsid w:val="00D61889"/>
    <w:rsid w:val="00D62F15"/>
    <w:rsid w:val="00D670C9"/>
    <w:rsid w:val="00D670D9"/>
    <w:rsid w:val="00D715C2"/>
    <w:rsid w:val="00D71E54"/>
    <w:rsid w:val="00D71F33"/>
    <w:rsid w:val="00D72296"/>
    <w:rsid w:val="00D72B21"/>
    <w:rsid w:val="00D7586F"/>
    <w:rsid w:val="00D75BFC"/>
    <w:rsid w:val="00D761F6"/>
    <w:rsid w:val="00D76F66"/>
    <w:rsid w:val="00D76FC2"/>
    <w:rsid w:val="00D77488"/>
    <w:rsid w:val="00D778F1"/>
    <w:rsid w:val="00D81123"/>
    <w:rsid w:val="00D814E6"/>
    <w:rsid w:val="00D83796"/>
    <w:rsid w:val="00D83A84"/>
    <w:rsid w:val="00D84993"/>
    <w:rsid w:val="00D86056"/>
    <w:rsid w:val="00D865AF"/>
    <w:rsid w:val="00D86994"/>
    <w:rsid w:val="00D86F7C"/>
    <w:rsid w:val="00D87F61"/>
    <w:rsid w:val="00D87FBA"/>
    <w:rsid w:val="00D90A12"/>
    <w:rsid w:val="00D90CEE"/>
    <w:rsid w:val="00D92905"/>
    <w:rsid w:val="00D92978"/>
    <w:rsid w:val="00D95C83"/>
    <w:rsid w:val="00D9713B"/>
    <w:rsid w:val="00D97AA8"/>
    <w:rsid w:val="00D97C5F"/>
    <w:rsid w:val="00D97E9D"/>
    <w:rsid w:val="00D97EC3"/>
    <w:rsid w:val="00DA089C"/>
    <w:rsid w:val="00DA161F"/>
    <w:rsid w:val="00DA2A73"/>
    <w:rsid w:val="00DA35BA"/>
    <w:rsid w:val="00DA4653"/>
    <w:rsid w:val="00DA4C45"/>
    <w:rsid w:val="00DA61C1"/>
    <w:rsid w:val="00DA630C"/>
    <w:rsid w:val="00DA7564"/>
    <w:rsid w:val="00DB18DF"/>
    <w:rsid w:val="00DB2340"/>
    <w:rsid w:val="00DB32FD"/>
    <w:rsid w:val="00DB3FC5"/>
    <w:rsid w:val="00DB5BA4"/>
    <w:rsid w:val="00DB7250"/>
    <w:rsid w:val="00DB72E1"/>
    <w:rsid w:val="00DB7404"/>
    <w:rsid w:val="00DB76EF"/>
    <w:rsid w:val="00DC0C2C"/>
    <w:rsid w:val="00DC14FC"/>
    <w:rsid w:val="00DC170B"/>
    <w:rsid w:val="00DC26C1"/>
    <w:rsid w:val="00DD034E"/>
    <w:rsid w:val="00DD0A48"/>
    <w:rsid w:val="00DD0B6B"/>
    <w:rsid w:val="00DD0C4C"/>
    <w:rsid w:val="00DD1344"/>
    <w:rsid w:val="00DD1371"/>
    <w:rsid w:val="00DD24D8"/>
    <w:rsid w:val="00DD523E"/>
    <w:rsid w:val="00DD541C"/>
    <w:rsid w:val="00DD6175"/>
    <w:rsid w:val="00DD70E2"/>
    <w:rsid w:val="00DE0572"/>
    <w:rsid w:val="00DE08FC"/>
    <w:rsid w:val="00DE0C3E"/>
    <w:rsid w:val="00DE1119"/>
    <w:rsid w:val="00DE20EB"/>
    <w:rsid w:val="00DE24A7"/>
    <w:rsid w:val="00DE3084"/>
    <w:rsid w:val="00DE4E8C"/>
    <w:rsid w:val="00DE5CBC"/>
    <w:rsid w:val="00DE5EC5"/>
    <w:rsid w:val="00DE6382"/>
    <w:rsid w:val="00DF2742"/>
    <w:rsid w:val="00DF2867"/>
    <w:rsid w:val="00DF313D"/>
    <w:rsid w:val="00DF706A"/>
    <w:rsid w:val="00DF74B7"/>
    <w:rsid w:val="00E00BF4"/>
    <w:rsid w:val="00E00C60"/>
    <w:rsid w:val="00E0132B"/>
    <w:rsid w:val="00E01A8D"/>
    <w:rsid w:val="00E01FE7"/>
    <w:rsid w:val="00E029E2"/>
    <w:rsid w:val="00E02ADC"/>
    <w:rsid w:val="00E03449"/>
    <w:rsid w:val="00E05069"/>
    <w:rsid w:val="00E05083"/>
    <w:rsid w:val="00E07145"/>
    <w:rsid w:val="00E10EB9"/>
    <w:rsid w:val="00E11104"/>
    <w:rsid w:val="00E1154B"/>
    <w:rsid w:val="00E116B6"/>
    <w:rsid w:val="00E1200A"/>
    <w:rsid w:val="00E15501"/>
    <w:rsid w:val="00E15A98"/>
    <w:rsid w:val="00E15E38"/>
    <w:rsid w:val="00E16B95"/>
    <w:rsid w:val="00E205D3"/>
    <w:rsid w:val="00E20B56"/>
    <w:rsid w:val="00E212E0"/>
    <w:rsid w:val="00E21321"/>
    <w:rsid w:val="00E22233"/>
    <w:rsid w:val="00E224C8"/>
    <w:rsid w:val="00E22975"/>
    <w:rsid w:val="00E22FA1"/>
    <w:rsid w:val="00E2333C"/>
    <w:rsid w:val="00E23C17"/>
    <w:rsid w:val="00E25968"/>
    <w:rsid w:val="00E2616C"/>
    <w:rsid w:val="00E267D1"/>
    <w:rsid w:val="00E26898"/>
    <w:rsid w:val="00E270F7"/>
    <w:rsid w:val="00E27D88"/>
    <w:rsid w:val="00E30D6B"/>
    <w:rsid w:val="00E31DAF"/>
    <w:rsid w:val="00E32487"/>
    <w:rsid w:val="00E32614"/>
    <w:rsid w:val="00E32E85"/>
    <w:rsid w:val="00E3770C"/>
    <w:rsid w:val="00E404FB"/>
    <w:rsid w:val="00E412CE"/>
    <w:rsid w:val="00E4182A"/>
    <w:rsid w:val="00E42079"/>
    <w:rsid w:val="00E42931"/>
    <w:rsid w:val="00E42C0F"/>
    <w:rsid w:val="00E44ADE"/>
    <w:rsid w:val="00E4509D"/>
    <w:rsid w:val="00E453FE"/>
    <w:rsid w:val="00E455BE"/>
    <w:rsid w:val="00E459F6"/>
    <w:rsid w:val="00E45C43"/>
    <w:rsid w:val="00E46647"/>
    <w:rsid w:val="00E46F4C"/>
    <w:rsid w:val="00E47670"/>
    <w:rsid w:val="00E503A4"/>
    <w:rsid w:val="00E518C3"/>
    <w:rsid w:val="00E521E2"/>
    <w:rsid w:val="00E5266C"/>
    <w:rsid w:val="00E53125"/>
    <w:rsid w:val="00E5314B"/>
    <w:rsid w:val="00E542C3"/>
    <w:rsid w:val="00E54C03"/>
    <w:rsid w:val="00E578D9"/>
    <w:rsid w:val="00E57B25"/>
    <w:rsid w:val="00E57FF8"/>
    <w:rsid w:val="00E612A4"/>
    <w:rsid w:val="00E6180C"/>
    <w:rsid w:val="00E62021"/>
    <w:rsid w:val="00E62069"/>
    <w:rsid w:val="00E62C29"/>
    <w:rsid w:val="00E635E4"/>
    <w:rsid w:val="00E63B30"/>
    <w:rsid w:val="00E6607E"/>
    <w:rsid w:val="00E66598"/>
    <w:rsid w:val="00E70851"/>
    <w:rsid w:val="00E71568"/>
    <w:rsid w:val="00E71729"/>
    <w:rsid w:val="00E728A8"/>
    <w:rsid w:val="00E72929"/>
    <w:rsid w:val="00E736AD"/>
    <w:rsid w:val="00E7405A"/>
    <w:rsid w:val="00E7462A"/>
    <w:rsid w:val="00E75290"/>
    <w:rsid w:val="00E761E4"/>
    <w:rsid w:val="00E7655A"/>
    <w:rsid w:val="00E76E9C"/>
    <w:rsid w:val="00E76F44"/>
    <w:rsid w:val="00E778DD"/>
    <w:rsid w:val="00E834FA"/>
    <w:rsid w:val="00E8414A"/>
    <w:rsid w:val="00E846E0"/>
    <w:rsid w:val="00E84A67"/>
    <w:rsid w:val="00E851CA"/>
    <w:rsid w:val="00E8591E"/>
    <w:rsid w:val="00E87963"/>
    <w:rsid w:val="00E90D9A"/>
    <w:rsid w:val="00E9153E"/>
    <w:rsid w:val="00E91C38"/>
    <w:rsid w:val="00E93271"/>
    <w:rsid w:val="00E934EB"/>
    <w:rsid w:val="00E93505"/>
    <w:rsid w:val="00E93561"/>
    <w:rsid w:val="00E93D26"/>
    <w:rsid w:val="00E955B8"/>
    <w:rsid w:val="00E95961"/>
    <w:rsid w:val="00E96E7E"/>
    <w:rsid w:val="00E975DF"/>
    <w:rsid w:val="00E9796B"/>
    <w:rsid w:val="00E97E51"/>
    <w:rsid w:val="00EA018A"/>
    <w:rsid w:val="00EA1011"/>
    <w:rsid w:val="00EA2854"/>
    <w:rsid w:val="00EA3BF6"/>
    <w:rsid w:val="00EA4707"/>
    <w:rsid w:val="00EA52B6"/>
    <w:rsid w:val="00EA580D"/>
    <w:rsid w:val="00EA5D64"/>
    <w:rsid w:val="00EA6E40"/>
    <w:rsid w:val="00EA6F61"/>
    <w:rsid w:val="00EA729F"/>
    <w:rsid w:val="00EA73E4"/>
    <w:rsid w:val="00EA752B"/>
    <w:rsid w:val="00EA7A4C"/>
    <w:rsid w:val="00EB2B82"/>
    <w:rsid w:val="00EB32E8"/>
    <w:rsid w:val="00EB42AC"/>
    <w:rsid w:val="00EB474E"/>
    <w:rsid w:val="00EB485B"/>
    <w:rsid w:val="00EB7375"/>
    <w:rsid w:val="00EB7A8C"/>
    <w:rsid w:val="00EC0436"/>
    <w:rsid w:val="00EC1AE9"/>
    <w:rsid w:val="00EC4926"/>
    <w:rsid w:val="00EC5F56"/>
    <w:rsid w:val="00EC6CC4"/>
    <w:rsid w:val="00ED0406"/>
    <w:rsid w:val="00ED257E"/>
    <w:rsid w:val="00ED2B75"/>
    <w:rsid w:val="00ED2C74"/>
    <w:rsid w:val="00ED2DCB"/>
    <w:rsid w:val="00ED31BA"/>
    <w:rsid w:val="00ED36CA"/>
    <w:rsid w:val="00ED4275"/>
    <w:rsid w:val="00ED6634"/>
    <w:rsid w:val="00ED7095"/>
    <w:rsid w:val="00ED7161"/>
    <w:rsid w:val="00ED735C"/>
    <w:rsid w:val="00EE1C7A"/>
    <w:rsid w:val="00EE215D"/>
    <w:rsid w:val="00EE2BBB"/>
    <w:rsid w:val="00EE35D3"/>
    <w:rsid w:val="00EE3AD0"/>
    <w:rsid w:val="00EE498F"/>
    <w:rsid w:val="00EE55A9"/>
    <w:rsid w:val="00EE655E"/>
    <w:rsid w:val="00EF084C"/>
    <w:rsid w:val="00EF0E36"/>
    <w:rsid w:val="00EF2B27"/>
    <w:rsid w:val="00EF2B74"/>
    <w:rsid w:val="00EF3A46"/>
    <w:rsid w:val="00EF414F"/>
    <w:rsid w:val="00EF42F0"/>
    <w:rsid w:val="00EF4413"/>
    <w:rsid w:val="00EF4587"/>
    <w:rsid w:val="00EF5885"/>
    <w:rsid w:val="00F004EB"/>
    <w:rsid w:val="00F033A8"/>
    <w:rsid w:val="00F03CFA"/>
    <w:rsid w:val="00F0406E"/>
    <w:rsid w:val="00F04C60"/>
    <w:rsid w:val="00F05D31"/>
    <w:rsid w:val="00F06708"/>
    <w:rsid w:val="00F06807"/>
    <w:rsid w:val="00F10594"/>
    <w:rsid w:val="00F108FC"/>
    <w:rsid w:val="00F111F9"/>
    <w:rsid w:val="00F116B0"/>
    <w:rsid w:val="00F11A6B"/>
    <w:rsid w:val="00F14A54"/>
    <w:rsid w:val="00F163EF"/>
    <w:rsid w:val="00F17538"/>
    <w:rsid w:val="00F2115C"/>
    <w:rsid w:val="00F212A5"/>
    <w:rsid w:val="00F213D1"/>
    <w:rsid w:val="00F21428"/>
    <w:rsid w:val="00F219A3"/>
    <w:rsid w:val="00F21B65"/>
    <w:rsid w:val="00F22C8D"/>
    <w:rsid w:val="00F235D6"/>
    <w:rsid w:val="00F242FB"/>
    <w:rsid w:val="00F2480F"/>
    <w:rsid w:val="00F25CC8"/>
    <w:rsid w:val="00F262E5"/>
    <w:rsid w:val="00F269F6"/>
    <w:rsid w:val="00F30B23"/>
    <w:rsid w:val="00F34E90"/>
    <w:rsid w:val="00F3522D"/>
    <w:rsid w:val="00F35D61"/>
    <w:rsid w:val="00F36237"/>
    <w:rsid w:val="00F36E22"/>
    <w:rsid w:val="00F37073"/>
    <w:rsid w:val="00F3760F"/>
    <w:rsid w:val="00F40694"/>
    <w:rsid w:val="00F426C4"/>
    <w:rsid w:val="00F43ADB"/>
    <w:rsid w:val="00F43B19"/>
    <w:rsid w:val="00F45A2C"/>
    <w:rsid w:val="00F45B51"/>
    <w:rsid w:val="00F46611"/>
    <w:rsid w:val="00F46C05"/>
    <w:rsid w:val="00F46D2F"/>
    <w:rsid w:val="00F50162"/>
    <w:rsid w:val="00F5053D"/>
    <w:rsid w:val="00F5116B"/>
    <w:rsid w:val="00F512A3"/>
    <w:rsid w:val="00F51358"/>
    <w:rsid w:val="00F5169B"/>
    <w:rsid w:val="00F51E7E"/>
    <w:rsid w:val="00F529C6"/>
    <w:rsid w:val="00F52DF5"/>
    <w:rsid w:val="00F53AE8"/>
    <w:rsid w:val="00F53F6E"/>
    <w:rsid w:val="00F549CB"/>
    <w:rsid w:val="00F56129"/>
    <w:rsid w:val="00F56346"/>
    <w:rsid w:val="00F57121"/>
    <w:rsid w:val="00F57D06"/>
    <w:rsid w:val="00F603FE"/>
    <w:rsid w:val="00F60E8C"/>
    <w:rsid w:val="00F61624"/>
    <w:rsid w:val="00F618E4"/>
    <w:rsid w:val="00F622AC"/>
    <w:rsid w:val="00F63467"/>
    <w:rsid w:val="00F63779"/>
    <w:rsid w:val="00F64141"/>
    <w:rsid w:val="00F6428B"/>
    <w:rsid w:val="00F6537E"/>
    <w:rsid w:val="00F65625"/>
    <w:rsid w:val="00F658CA"/>
    <w:rsid w:val="00F668C2"/>
    <w:rsid w:val="00F67CA3"/>
    <w:rsid w:val="00F706ED"/>
    <w:rsid w:val="00F72293"/>
    <w:rsid w:val="00F73339"/>
    <w:rsid w:val="00F7342E"/>
    <w:rsid w:val="00F73A1C"/>
    <w:rsid w:val="00F7773D"/>
    <w:rsid w:val="00F82B73"/>
    <w:rsid w:val="00F82E63"/>
    <w:rsid w:val="00F83E2B"/>
    <w:rsid w:val="00F85087"/>
    <w:rsid w:val="00F85CA4"/>
    <w:rsid w:val="00F8699F"/>
    <w:rsid w:val="00F87CB6"/>
    <w:rsid w:val="00F90360"/>
    <w:rsid w:val="00F90605"/>
    <w:rsid w:val="00F9073D"/>
    <w:rsid w:val="00F918F5"/>
    <w:rsid w:val="00F91C40"/>
    <w:rsid w:val="00F93619"/>
    <w:rsid w:val="00F938BE"/>
    <w:rsid w:val="00F93A38"/>
    <w:rsid w:val="00F94C80"/>
    <w:rsid w:val="00F96710"/>
    <w:rsid w:val="00F96BB8"/>
    <w:rsid w:val="00F97DDA"/>
    <w:rsid w:val="00FA014A"/>
    <w:rsid w:val="00FA0FBB"/>
    <w:rsid w:val="00FA2B90"/>
    <w:rsid w:val="00FA6043"/>
    <w:rsid w:val="00FA660D"/>
    <w:rsid w:val="00FA7706"/>
    <w:rsid w:val="00FA7DEA"/>
    <w:rsid w:val="00FB0BE7"/>
    <w:rsid w:val="00FB294D"/>
    <w:rsid w:val="00FB3160"/>
    <w:rsid w:val="00FB52A3"/>
    <w:rsid w:val="00FB5645"/>
    <w:rsid w:val="00FB623C"/>
    <w:rsid w:val="00FB68D4"/>
    <w:rsid w:val="00FB6AA3"/>
    <w:rsid w:val="00FB6AAE"/>
    <w:rsid w:val="00FB6D1D"/>
    <w:rsid w:val="00FB7ADA"/>
    <w:rsid w:val="00FC0668"/>
    <w:rsid w:val="00FC0A26"/>
    <w:rsid w:val="00FC363B"/>
    <w:rsid w:val="00FC3C63"/>
    <w:rsid w:val="00FC4AD0"/>
    <w:rsid w:val="00FC4CE3"/>
    <w:rsid w:val="00FC5518"/>
    <w:rsid w:val="00FC5E9E"/>
    <w:rsid w:val="00FC6272"/>
    <w:rsid w:val="00FC7600"/>
    <w:rsid w:val="00FD0A47"/>
    <w:rsid w:val="00FD0F75"/>
    <w:rsid w:val="00FD24C6"/>
    <w:rsid w:val="00FD2906"/>
    <w:rsid w:val="00FD3828"/>
    <w:rsid w:val="00FD3998"/>
    <w:rsid w:val="00FD3AC8"/>
    <w:rsid w:val="00FD4962"/>
    <w:rsid w:val="00FD4BB8"/>
    <w:rsid w:val="00FD4D97"/>
    <w:rsid w:val="00FD5FF4"/>
    <w:rsid w:val="00FD7722"/>
    <w:rsid w:val="00FD797C"/>
    <w:rsid w:val="00FD7F92"/>
    <w:rsid w:val="00FE0B43"/>
    <w:rsid w:val="00FE1258"/>
    <w:rsid w:val="00FE1539"/>
    <w:rsid w:val="00FE20C6"/>
    <w:rsid w:val="00FE4545"/>
    <w:rsid w:val="00FE4EF6"/>
    <w:rsid w:val="00FE55E1"/>
    <w:rsid w:val="00FE58BF"/>
    <w:rsid w:val="00FE5A83"/>
    <w:rsid w:val="00FE6DE3"/>
    <w:rsid w:val="00FE7FE6"/>
    <w:rsid w:val="00FF0753"/>
    <w:rsid w:val="00FF1542"/>
    <w:rsid w:val="00FF17D5"/>
    <w:rsid w:val="00FF2829"/>
    <w:rsid w:val="00FF3165"/>
    <w:rsid w:val="00FF4EBF"/>
    <w:rsid w:val="00FF520E"/>
    <w:rsid w:val="00FF7C00"/>
    <w:rsid w:val="00FF7E40"/>
    <w:rsid w:val="035C4EE5"/>
    <w:rsid w:val="06DC46BF"/>
    <w:rsid w:val="077D0EC8"/>
    <w:rsid w:val="078A7880"/>
    <w:rsid w:val="083F5DC5"/>
    <w:rsid w:val="09024FC9"/>
    <w:rsid w:val="09777A12"/>
    <w:rsid w:val="0C205E58"/>
    <w:rsid w:val="0C424064"/>
    <w:rsid w:val="0F5030C9"/>
    <w:rsid w:val="11433FAA"/>
    <w:rsid w:val="11AE0F0B"/>
    <w:rsid w:val="143162A5"/>
    <w:rsid w:val="144E231D"/>
    <w:rsid w:val="15A400B7"/>
    <w:rsid w:val="18F858C2"/>
    <w:rsid w:val="19006B96"/>
    <w:rsid w:val="19CF4441"/>
    <w:rsid w:val="1A18361C"/>
    <w:rsid w:val="1CC61A56"/>
    <w:rsid w:val="21232E55"/>
    <w:rsid w:val="2134316B"/>
    <w:rsid w:val="21705ABB"/>
    <w:rsid w:val="21B93937"/>
    <w:rsid w:val="222951C4"/>
    <w:rsid w:val="225A40B5"/>
    <w:rsid w:val="23EB1722"/>
    <w:rsid w:val="252A3904"/>
    <w:rsid w:val="263969FA"/>
    <w:rsid w:val="27600329"/>
    <w:rsid w:val="276E2835"/>
    <w:rsid w:val="2C7070BC"/>
    <w:rsid w:val="2CDA70DA"/>
    <w:rsid w:val="2D807496"/>
    <w:rsid w:val="2DD50A1B"/>
    <w:rsid w:val="2EC23AAA"/>
    <w:rsid w:val="2FC56211"/>
    <w:rsid w:val="2FC7434B"/>
    <w:rsid w:val="30EA4F59"/>
    <w:rsid w:val="339241B3"/>
    <w:rsid w:val="33990B21"/>
    <w:rsid w:val="366C4FC4"/>
    <w:rsid w:val="3A4741D0"/>
    <w:rsid w:val="3BD714AF"/>
    <w:rsid w:val="3C1F3B93"/>
    <w:rsid w:val="40892C8D"/>
    <w:rsid w:val="40980FC4"/>
    <w:rsid w:val="44D21410"/>
    <w:rsid w:val="46F60EA4"/>
    <w:rsid w:val="479E30A3"/>
    <w:rsid w:val="48A57EC2"/>
    <w:rsid w:val="4E046AA4"/>
    <w:rsid w:val="4E2D3F3F"/>
    <w:rsid w:val="55685A5A"/>
    <w:rsid w:val="5888349F"/>
    <w:rsid w:val="59310F06"/>
    <w:rsid w:val="5A912FF1"/>
    <w:rsid w:val="5D9D704A"/>
    <w:rsid w:val="5EC834A0"/>
    <w:rsid w:val="5F554D0E"/>
    <w:rsid w:val="614B0CBB"/>
    <w:rsid w:val="62230DCB"/>
    <w:rsid w:val="63B7330B"/>
    <w:rsid w:val="64350A2B"/>
    <w:rsid w:val="656558C2"/>
    <w:rsid w:val="658670DB"/>
    <w:rsid w:val="6A314F9C"/>
    <w:rsid w:val="6C395201"/>
    <w:rsid w:val="6CD940E9"/>
    <w:rsid w:val="6E374505"/>
    <w:rsid w:val="6F0C7BAD"/>
    <w:rsid w:val="767E27C6"/>
    <w:rsid w:val="77882AB6"/>
    <w:rsid w:val="783E42F3"/>
    <w:rsid w:val="795C1A74"/>
    <w:rsid w:val="7AB11C5C"/>
    <w:rsid w:val="7B084748"/>
    <w:rsid w:val="7BD46BD0"/>
    <w:rsid w:val="7CE447D0"/>
    <w:rsid w:val="7F515E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3">
    <w:name w:val="heading 1"/>
    <w:basedOn w:val="1"/>
    <w:next w:val="1"/>
    <w:link w:val="40"/>
    <w:qFormat/>
    <w:uiPriority w:val="0"/>
    <w:pPr>
      <w:keepNext/>
      <w:keepLines/>
      <w:spacing w:before="340" w:after="330" w:line="578" w:lineRule="auto"/>
      <w:outlineLvl w:val="0"/>
    </w:pPr>
    <w:rPr>
      <w:rFonts w:ascii="Times New Roman" w:hAnsi="Times New Roman" w:eastAsia="宋体" w:cs="Times New Roman"/>
      <w:b/>
      <w:kern w:val="44"/>
      <w:sz w:val="44"/>
      <w:szCs w:val="20"/>
    </w:rPr>
  </w:style>
  <w:style w:type="paragraph" w:styleId="4">
    <w:name w:val="heading 2"/>
    <w:basedOn w:val="1"/>
    <w:next w:val="1"/>
    <w:link w:val="41"/>
    <w:qFormat/>
    <w:uiPriority w:val="0"/>
    <w:pPr>
      <w:keepNext/>
      <w:keepLines/>
      <w:spacing w:before="260" w:after="260" w:line="415" w:lineRule="auto"/>
      <w:outlineLvl w:val="1"/>
    </w:pPr>
    <w:rPr>
      <w:rFonts w:ascii="Arial" w:hAnsi="Arial" w:eastAsia="黑体" w:cs="Times New Roman"/>
      <w:b/>
      <w:sz w:val="32"/>
      <w:szCs w:val="20"/>
    </w:rPr>
  </w:style>
  <w:style w:type="paragraph" w:styleId="5">
    <w:name w:val="heading 3"/>
    <w:basedOn w:val="1"/>
    <w:next w:val="1"/>
    <w:link w:val="42"/>
    <w:qFormat/>
    <w:uiPriority w:val="0"/>
    <w:pPr>
      <w:keepNext/>
      <w:keepLines/>
      <w:spacing w:before="260" w:after="260" w:line="415" w:lineRule="auto"/>
      <w:outlineLvl w:val="2"/>
    </w:pPr>
    <w:rPr>
      <w:rFonts w:ascii="Times New Roman" w:hAnsi="Times New Roman" w:eastAsia="宋体" w:cs="Times New Roman"/>
      <w:b/>
      <w:sz w:val="32"/>
      <w:szCs w:val="20"/>
    </w:rPr>
  </w:style>
  <w:style w:type="character" w:default="1" w:styleId="33">
    <w:name w:val="Default Paragraph Font"/>
    <w:semiHidden/>
    <w:unhideWhenUsed/>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9"/>
    <w:qFormat/>
    <w:uiPriority w:val="0"/>
    <w:pPr>
      <w:spacing w:after="120"/>
    </w:pPr>
    <w:rPr>
      <w:rFonts w:ascii="Times New Roman" w:hAnsi="Times New Roman" w:eastAsia="宋体" w:cs="Times New Roman"/>
      <w:szCs w:val="20"/>
      <w:lang w:val="zh-CN"/>
    </w:rPr>
  </w:style>
  <w:style w:type="paragraph" w:styleId="6">
    <w:name w:val="toc 7"/>
    <w:basedOn w:val="1"/>
    <w:next w:val="1"/>
    <w:unhideWhenUsed/>
    <w:qFormat/>
    <w:uiPriority w:val="39"/>
    <w:pPr>
      <w:ind w:left="2520" w:leftChars="1200"/>
    </w:pPr>
    <w:rPr>
      <w:szCs w:val="22"/>
    </w:rPr>
  </w:style>
  <w:style w:type="paragraph" w:styleId="7">
    <w:name w:val="Normal Indent"/>
    <w:basedOn w:val="1"/>
    <w:qFormat/>
    <w:uiPriority w:val="0"/>
    <w:pPr>
      <w:snapToGrid w:val="0"/>
      <w:spacing w:line="300" w:lineRule="auto"/>
      <w:ind w:firstLine="556"/>
    </w:pPr>
    <w:rPr>
      <w:rFonts w:ascii="仿宋_GB2312" w:hAnsi="Times New Roman" w:eastAsia="仿宋_GB2312" w:cs="Times New Roman"/>
      <w:sz w:val="28"/>
      <w:szCs w:val="20"/>
    </w:rPr>
  </w:style>
  <w:style w:type="paragraph" w:styleId="8">
    <w:name w:val="caption"/>
    <w:basedOn w:val="1"/>
    <w:next w:val="1"/>
    <w:qFormat/>
    <w:uiPriority w:val="0"/>
    <w:rPr>
      <w:rFonts w:ascii="Arial" w:hAnsi="Arial" w:eastAsia="黑体" w:cs="Arial"/>
      <w:sz w:val="20"/>
      <w:szCs w:val="20"/>
    </w:rPr>
  </w:style>
  <w:style w:type="paragraph" w:styleId="9">
    <w:name w:val="Document Map"/>
    <w:basedOn w:val="1"/>
    <w:link w:val="119"/>
    <w:semiHidden/>
    <w:qFormat/>
    <w:uiPriority w:val="0"/>
    <w:pPr>
      <w:shd w:val="clear" w:color="auto" w:fill="000080"/>
    </w:pPr>
    <w:rPr>
      <w:rFonts w:ascii="Times New Roman" w:hAnsi="Times New Roman" w:eastAsia="宋体" w:cs="Times New Roman"/>
      <w:szCs w:val="20"/>
      <w:lang w:val="zh-CN"/>
    </w:rPr>
  </w:style>
  <w:style w:type="paragraph" w:styleId="10">
    <w:name w:val="annotation text"/>
    <w:basedOn w:val="1"/>
    <w:link w:val="79"/>
    <w:semiHidden/>
    <w:qFormat/>
    <w:uiPriority w:val="0"/>
    <w:pPr>
      <w:jc w:val="left"/>
    </w:pPr>
    <w:rPr>
      <w:rFonts w:ascii="Times New Roman" w:hAnsi="Times New Roman" w:eastAsia="宋体" w:cs="Times New Roman"/>
      <w:szCs w:val="24"/>
    </w:rPr>
  </w:style>
  <w:style w:type="paragraph" w:styleId="11">
    <w:name w:val="Body Text 3"/>
    <w:basedOn w:val="1"/>
    <w:link w:val="110"/>
    <w:qFormat/>
    <w:uiPriority w:val="0"/>
    <w:pPr>
      <w:adjustRightInd w:val="0"/>
      <w:spacing w:line="312" w:lineRule="atLeast"/>
      <w:textAlignment w:val="baseline"/>
    </w:pPr>
    <w:rPr>
      <w:rFonts w:ascii="仿宋_GB2312" w:hAnsi="Times New Roman" w:eastAsia="仿宋_GB2312" w:cs="Times New Roman"/>
      <w:color w:val="FF6600"/>
      <w:spacing w:val="50"/>
      <w:kern w:val="0"/>
      <w:szCs w:val="20"/>
    </w:rPr>
  </w:style>
  <w:style w:type="paragraph" w:styleId="12">
    <w:name w:val="Body Text Indent"/>
    <w:basedOn w:val="1"/>
    <w:link w:val="70"/>
    <w:qFormat/>
    <w:uiPriority w:val="0"/>
    <w:pPr>
      <w:ind w:firstLine="555"/>
    </w:pPr>
    <w:rPr>
      <w:rFonts w:ascii="宋体" w:hAnsi="Times New Roman" w:eastAsia="宋体" w:cs="Times New Roman"/>
      <w:sz w:val="28"/>
      <w:szCs w:val="20"/>
    </w:rPr>
  </w:style>
  <w:style w:type="paragraph" w:styleId="13">
    <w:name w:val="toc 5"/>
    <w:basedOn w:val="1"/>
    <w:next w:val="1"/>
    <w:unhideWhenUsed/>
    <w:qFormat/>
    <w:uiPriority w:val="39"/>
    <w:pPr>
      <w:ind w:left="1680" w:leftChars="800"/>
    </w:pPr>
    <w:rPr>
      <w:szCs w:val="22"/>
    </w:rPr>
  </w:style>
  <w:style w:type="paragraph" w:styleId="14">
    <w:name w:val="toc 3"/>
    <w:basedOn w:val="1"/>
    <w:next w:val="1"/>
    <w:unhideWhenUsed/>
    <w:qFormat/>
    <w:uiPriority w:val="0"/>
    <w:pPr>
      <w:ind w:left="840" w:leftChars="400"/>
    </w:pPr>
    <w:rPr>
      <w:szCs w:val="22"/>
    </w:rPr>
  </w:style>
  <w:style w:type="paragraph" w:styleId="15">
    <w:name w:val="Plain Text"/>
    <w:basedOn w:val="1"/>
    <w:link w:val="72"/>
    <w:qFormat/>
    <w:uiPriority w:val="0"/>
    <w:rPr>
      <w:rFonts w:ascii="宋体" w:hAnsi="Courier New"/>
    </w:rPr>
  </w:style>
  <w:style w:type="paragraph" w:styleId="16">
    <w:name w:val="toc 8"/>
    <w:basedOn w:val="1"/>
    <w:next w:val="1"/>
    <w:unhideWhenUsed/>
    <w:qFormat/>
    <w:uiPriority w:val="39"/>
    <w:pPr>
      <w:ind w:left="2940" w:leftChars="1400"/>
    </w:pPr>
    <w:rPr>
      <w:szCs w:val="22"/>
    </w:rPr>
  </w:style>
  <w:style w:type="paragraph" w:styleId="17">
    <w:name w:val="Date"/>
    <w:basedOn w:val="1"/>
    <w:next w:val="1"/>
    <w:link w:val="82"/>
    <w:unhideWhenUsed/>
    <w:qFormat/>
    <w:uiPriority w:val="0"/>
    <w:pPr>
      <w:ind w:left="100" w:leftChars="2500"/>
    </w:pPr>
  </w:style>
  <w:style w:type="paragraph" w:styleId="18">
    <w:name w:val="Body Text Indent 2"/>
    <w:basedOn w:val="1"/>
    <w:link w:val="103"/>
    <w:qFormat/>
    <w:uiPriority w:val="0"/>
    <w:pPr>
      <w:spacing w:after="120" w:line="480" w:lineRule="auto"/>
      <w:ind w:left="420" w:leftChars="200"/>
    </w:pPr>
    <w:rPr>
      <w:rFonts w:ascii="Times New Roman" w:hAnsi="Times New Roman" w:eastAsia="宋体" w:cs="Times New Roman"/>
      <w:szCs w:val="20"/>
      <w:lang w:val="zh-CN"/>
    </w:rPr>
  </w:style>
  <w:style w:type="paragraph" w:styleId="19">
    <w:name w:val="Balloon Text"/>
    <w:basedOn w:val="1"/>
    <w:link w:val="60"/>
    <w:semiHidden/>
    <w:unhideWhenUsed/>
    <w:qFormat/>
    <w:uiPriority w:val="99"/>
    <w:rPr>
      <w:sz w:val="18"/>
      <w:szCs w:val="18"/>
    </w:rPr>
  </w:style>
  <w:style w:type="paragraph" w:styleId="20">
    <w:name w:val="footer"/>
    <w:link w:val="56"/>
    <w:unhideWhenUsed/>
    <w:qFormat/>
    <w:uiPriority w:val="99"/>
    <w:pPr>
      <w:widowControl w:val="0"/>
      <w:pBdr>
        <w:top w:val="single" w:color="auto" w:sz="6" w:space="0"/>
      </w:pBdr>
      <w:tabs>
        <w:tab w:val="center" w:pos="4153"/>
        <w:tab w:val="right" w:pos="8364"/>
      </w:tabs>
      <w:ind w:right="44" w:rightChars="21"/>
    </w:pPr>
    <w:rPr>
      <w:rFonts w:ascii="Times New Roman" w:hAnsi="Times New Roman" w:eastAsia="微软雅黑" w:cstheme="minorBidi"/>
      <w:kern w:val="2"/>
      <w:sz w:val="18"/>
      <w:szCs w:val="18"/>
      <w:lang w:val="en-US" w:eastAsia="zh-CN" w:bidi="ar-SA"/>
    </w:rPr>
  </w:style>
  <w:style w:type="paragraph" w:styleId="21">
    <w:name w:val="header"/>
    <w:link w:val="55"/>
    <w:unhideWhenUsed/>
    <w:qFormat/>
    <w:uiPriority w:val="99"/>
    <w:pPr>
      <w:pBdr>
        <w:bottom w:val="single" w:color="auto" w:sz="6" w:space="1"/>
      </w:pBdr>
      <w:jc w:val="center"/>
    </w:pPr>
    <w:rPr>
      <w:rFonts w:ascii="Times New Roman" w:hAnsi="Times New Roman" w:eastAsia="微软雅黑" w:cstheme="minorBidi"/>
      <w:kern w:val="2"/>
      <w:sz w:val="18"/>
      <w:szCs w:val="18"/>
      <w:lang w:val="en-US" w:eastAsia="zh-CN" w:bidi="ar-SA"/>
    </w:rPr>
  </w:style>
  <w:style w:type="paragraph" w:styleId="22">
    <w:name w:val="toc 1"/>
    <w:basedOn w:val="1"/>
    <w:next w:val="1"/>
    <w:unhideWhenUsed/>
    <w:qFormat/>
    <w:uiPriority w:val="39"/>
    <w:pPr>
      <w:spacing w:line="500" w:lineRule="exact"/>
    </w:pPr>
    <w:rPr>
      <w:rFonts w:ascii="Times New Roman" w:hAnsi="Times New Roman" w:eastAsia="楷体_GB2312"/>
      <w:b/>
      <w:sz w:val="30"/>
    </w:rPr>
  </w:style>
  <w:style w:type="paragraph" w:styleId="23">
    <w:name w:val="toc 4"/>
    <w:basedOn w:val="1"/>
    <w:next w:val="1"/>
    <w:unhideWhenUsed/>
    <w:qFormat/>
    <w:uiPriority w:val="39"/>
    <w:pPr>
      <w:ind w:left="1260" w:leftChars="600"/>
    </w:pPr>
    <w:rPr>
      <w:szCs w:val="22"/>
    </w:rPr>
  </w:style>
  <w:style w:type="paragraph" w:styleId="24">
    <w:name w:val="footnote text"/>
    <w:basedOn w:val="1"/>
    <w:link w:val="105"/>
    <w:semiHidden/>
    <w:qFormat/>
    <w:uiPriority w:val="0"/>
    <w:pPr>
      <w:snapToGrid w:val="0"/>
      <w:jc w:val="left"/>
    </w:pPr>
    <w:rPr>
      <w:rFonts w:ascii="Times New Roman" w:hAnsi="Times New Roman" w:eastAsia="宋体" w:cs="Times New Roman"/>
      <w:sz w:val="18"/>
      <w:szCs w:val="18"/>
      <w:lang w:val="zh-CN"/>
    </w:rPr>
  </w:style>
  <w:style w:type="paragraph" w:styleId="25">
    <w:name w:val="toc 6"/>
    <w:basedOn w:val="1"/>
    <w:next w:val="1"/>
    <w:unhideWhenUsed/>
    <w:qFormat/>
    <w:uiPriority w:val="39"/>
    <w:pPr>
      <w:ind w:left="2100" w:leftChars="1000"/>
    </w:pPr>
    <w:rPr>
      <w:szCs w:val="22"/>
    </w:rPr>
  </w:style>
  <w:style w:type="paragraph" w:styleId="26">
    <w:name w:val="Body Text Indent 3"/>
    <w:basedOn w:val="1"/>
    <w:link w:val="85"/>
    <w:qFormat/>
    <w:uiPriority w:val="0"/>
    <w:pPr>
      <w:autoSpaceDE w:val="0"/>
      <w:autoSpaceDN w:val="0"/>
      <w:adjustRightInd w:val="0"/>
      <w:snapToGrid w:val="0"/>
      <w:spacing w:line="500" w:lineRule="exact"/>
      <w:ind w:firstLine="720"/>
      <w:textAlignment w:val="bottom"/>
    </w:pPr>
    <w:rPr>
      <w:rFonts w:ascii="仿宋体" w:hAnsi="Times New Roman" w:eastAsia="仿宋体" w:cs="Times New Roman"/>
      <w:spacing w:val="36"/>
      <w:kern w:val="0"/>
      <w:sz w:val="28"/>
      <w:szCs w:val="20"/>
      <w:lang w:val="zh-CN"/>
    </w:rPr>
  </w:style>
  <w:style w:type="paragraph" w:styleId="27">
    <w:name w:val="toc 2"/>
    <w:basedOn w:val="1"/>
    <w:next w:val="1"/>
    <w:unhideWhenUsed/>
    <w:qFormat/>
    <w:uiPriority w:val="39"/>
    <w:pPr>
      <w:spacing w:line="400" w:lineRule="exact"/>
      <w:ind w:left="200" w:leftChars="200"/>
    </w:pPr>
    <w:rPr>
      <w:rFonts w:ascii="Times New Roman" w:hAnsi="Times New Roman" w:eastAsia="楷体_GB2312"/>
      <w:sz w:val="28"/>
    </w:rPr>
  </w:style>
  <w:style w:type="paragraph" w:styleId="28">
    <w:name w:val="toc 9"/>
    <w:basedOn w:val="1"/>
    <w:next w:val="1"/>
    <w:unhideWhenUsed/>
    <w:qFormat/>
    <w:uiPriority w:val="0"/>
    <w:pPr>
      <w:ind w:left="3360" w:leftChars="1600"/>
    </w:pPr>
    <w:rPr>
      <w:szCs w:val="22"/>
    </w:rPr>
  </w:style>
  <w:style w:type="paragraph" w:styleId="29">
    <w:name w:val="Normal (Web)"/>
    <w:basedOn w:val="1"/>
    <w:qFormat/>
    <w:uiPriority w:val="99"/>
    <w:pPr>
      <w:widowControl/>
      <w:spacing w:before="100" w:after="100"/>
      <w:jc w:val="left"/>
    </w:pPr>
    <w:rPr>
      <w:rFonts w:ascii="宋体" w:hAnsi="宋体" w:eastAsia="宋体" w:cs="Times New Roman"/>
      <w:kern w:val="0"/>
      <w:sz w:val="18"/>
      <w:szCs w:val="20"/>
    </w:rPr>
  </w:style>
  <w:style w:type="paragraph" w:styleId="30">
    <w:name w:val="annotation subject"/>
    <w:basedOn w:val="10"/>
    <w:next w:val="10"/>
    <w:link w:val="80"/>
    <w:semiHidden/>
    <w:unhideWhenUsed/>
    <w:qFormat/>
    <w:uiPriority w:val="0"/>
    <w:rPr>
      <w:rFonts w:asciiTheme="minorHAnsi" w:hAnsiTheme="minorHAnsi" w:eastAsiaTheme="minorEastAsia" w:cstheme="minorBidi"/>
      <w:b/>
      <w:bCs/>
      <w:szCs w:val="21"/>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
      <w:bCs/>
    </w:rPr>
  </w:style>
  <w:style w:type="character" w:styleId="35">
    <w:name w:val="page number"/>
    <w:basedOn w:val="33"/>
    <w:qFormat/>
    <w:uiPriority w:val="0"/>
  </w:style>
  <w:style w:type="character" w:styleId="36">
    <w:name w:val="FollowedHyperlink"/>
    <w:unhideWhenUsed/>
    <w:qFormat/>
    <w:uiPriority w:val="99"/>
    <w:rPr>
      <w:color w:val="800080"/>
      <w:u w:val="single"/>
    </w:rPr>
  </w:style>
  <w:style w:type="character" w:styleId="37">
    <w:name w:val="Hyperlink"/>
    <w:basedOn w:val="33"/>
    <w:unhideWhenUsed/>
    <w:qFormat/>
    <w:uiPriority w:val="99"/>
    <w:rPr>
      <w:color w:val="0000FF" w:themeColor="hyperlink"/>
      <w:u w:val="single"/>
    </w:rPr>
  </w:style>
  <w:style w:type="character" w:styleId="38">
    <w:name w:val="annotation reference"/>
    <w:semiHidden/>
    <w:qFormat/>
    <w:uiPriority w:val="0"/>
    <w:rPr>
      <w:sz w:val="21"/>
      <w:szCs w:val="21"/>
    </w:rPr>
  </w:style>
  <w:style w:type="character" w:styleId="39">
    <w:name w:val="footnote reference"/>
    <w:semiHidden/>
    <w:qFormat/>
    <w:uiPriority w:val="0"/>
    <w:rPr>
      <w:vertAlign w:val="superscript"/>
    </w:rPr>
  </w:style>
  <w:style w:type="character" w:customStyle="1" w:styleId="40">
    <w:name w:val="标题 1 Char"/>
    <w:basedOn w:val="33"/>
    <w:link w:val="3"/>
    <w:qFormat/>
    <w:uiPriority w:val="0"/>
    <w:rPr>
      <w:rFonts w:ascii="Times New Roman" w:hAnsi="Times New Roman" w:eastAsia="宋体" w:cs="Times New Roman"/>
      <w:b/>
      <w:kern w:val="44"/>
      <w:sz w:val="44"/>
      <w:szCs w:val="20"/>
    </w:rPr>
  </w:style>
  <w:style w:type="character" w:customStyle="1" w:styleId="41">
    <w:name w:val="标题 2 Char"/>
    <w:basedOn w:val="33"/>
    <w:link w:val="4"/>
    <w:qFormat/>
    <w:uiPriority w:val="0"/>
    <w:rPr>
      <w:rFonts w:ascii="Arial" w:hAnsi="Arial" w:eastAsia="黑体" w:cs="Times New Roman"/>
      <w:b/>
      <w:sz w:val="32"/>
      <w:szCs w:val="20"/>
    </w:rPr>
  </w:style>
  <w:style w:type="character" w:customStyle="1" w:styleId="42">
    <w:name w:val="标题 3 Char"/>
    <w:basedOn w:val="33"/>
    <w:link w:val="5"/>
    <w:qFormat/>
    <w:uiPriority w:val="0"/>
    <w:rPr>
      <w:rFonts w:ascii="Times New Roman" w:hAnsi="Times New Roman" w:eastAsia="宋体" w:cs="Times New Roman"/>
      <w:b/>
      <w:sz w:val="32"/>
      <w:szCs w:val="20"/>
    </w:rPr>
  </w:style>
  <w:style w:type="paragraph" w:customStyle="1" w:styleId="43">
    <w:name w:val="模板-估价机构2"/>
    <w:basedOn w:val="44"/>
    <w:qFormat/>
    <w:uiPriority w:val="0"/>
    <w:pPr>
      <w:ind w:firstLine="0" w:firstLineChars="0"/>
    </w:pPr>
    <w:rPr>
      <w:rFonts w:asciiTheme="minorEastAsia" w:hAnsiTheme="minorEastAsia" w:eastAsiaTheme="minorEastAsia"/>
      <w:color w:val="FF0000"/>
      <w:sz w:val="21"/>
    </w:rPr>
  </w:style>
  <w:style w:type="paragraph" w:customStyle="1" w:styleId="44">
    <w:name w:val="模板-估价机构"/>
    <w:qFormat/>
    <w:uiPriority w:val="0"/>
    <w:pPr>
      <w:spacing w:line="500" w:lineRule="exact"/>
      <w:ind w:firstLine="560" w:firstLineChars="200"/>
      <w:jc w:val="both"/>
    </w:pPr>
    <w:rPr>
      <w:rFonts w:ascii="楷体" w:hAnsi="楷体" w:eastAsia="楷体" w:cstheme="minorBidi"/>
      <w:kern w:val="2"/>
      <w:sz w:val="28"/>
      <w:szCs w:val="28"/>
      <w:lang w:val="en-US" w:eastAsia="zh-CN" w:bidi="ar-SA"/>
    </w:rPr>
  </w:style>
  <w:style w:type="paragraph" w:customStyle="1" w:styleId="45">
    <w:name w:val="模板-正文"/>
    <w:link w:val="69"/>
    <w:qFormat/>
    <w:uiPriority w:val="0"/>
    <w:pPr>
      <w:widowControl w:val="0"/>
      <w:numPr>
        <w:ilvl w:val="0"/>
        <w:numId w:val="1"/>
      </w:numPr>
      <w:tabs>
        <w:tab w:val="left" w:pos="1134"/>
      </w:tabs>
      <w:adjustRightInd w:val="0"/>
      <w:snapToGrid w:val="0"/>
      <w:spacing w:beforeLines="50" w:afterLines="50" w:line="360" w:lineRule="auto"/>
      <w:ind w:left="0" w:firstLine="420"/>
      <w:jc w:val="both"/>
    </w:pPr>
    <w:rPr>
      <w:rFonts w:ascii="楷体" w:hAnsi="楷体" w:eastAsia="楷体" w:cstheme="minorBidi"/>
      <w:snapToGrid w:val="0"/>
      <w:kern w:val="2"/>
      <w:sz w:val="28"/>
      <w:szCs w:val="28"/>
      <w:lang w:val="en-US" w:eastAsia="zh-CN" w:bidi="ar-SA"/>
    </w:rPr>
  </w:style>
  <w:style w:type="paragraph" w:customStyle="1" w:styleId="46">
    <w:name w:val="模板-眉首"/>
    <w:qFormat/>
    <w:uiPriority w:val="0"/>
    <w:pPr>
      <w:spacing w:line="360" w:lineRule="auto"/>
      <w:jc w:val="center"/>
    </w:pPr>
    <w:rPr>
      <w:rFonts w:ascii="Times New Roman" w:hAnsi="Times New Roman" w:eastAsia="微软雅黑" w:cstheme="minorBidi"/>
      <w:b/>
      <w:kern w:val="2"/>
      <w:sz w:val="44"/>
      <w:szCs w:val="21"/>
      <w:lang w:val="en-US" w:eastAsia="zh-CN" w:bidi="ar-SA"/>
    </w:rPr>
  </w:style>
  <w:style w:type="paragraph" w:customStyle="1" w:styleId="47">
    <w:name w:val="模板-眉首内容1"/>
    <w:qFormat/>
    <w:uiPriority w:val="0"/>
    <w:pPr>
      <w:spacing w:line="360" w:lineRule="auto"/>
      <w:jc w:val="distribute"/>
    </w:pPr>
    <w:rPr>
      <w:rFonts w:ascii="Times New Roman" w:hAnsi="Times New Roman" w:eastAsia="楷体_GB2312" w:cstheme="minorBidi"/>
      <w:b/>
      <w:kern w:val="2"/>
      <w:sz w:val="32"/>
      <w:szCs w:val="21"/>
      <w:lang w:val="en-US" w:eastAsia="zh-CN" w:bidi="ar-SA"/>
    </w:rPr>
  </w:style>
  <w:style w:type="paragraph" w:customStyle="1" w:styleId="48">
    <w:name w:val="模板-眉首内容2"/>
    <w:basedOn w:val="47"/>
    <w:qFormat/>
    <w:uiPriority w:val="0"/>
    <w:pPr>
      <w:jc w:val="both"/>
    </w:pPr>
  </w:style>
  <w:style w:type="paragraph" w:customStyle="1" w:styleId="49">
    <w:name w:val="模板-一级标题"/>
    <w:qFormat/>
    <w:uiPriority w:val="0"/>
    <w:pPr>
      <w:spacing w:beforeLines="50" w:line="360" w:lineRule="auto"/>
      <w:jc w:val="center"/>
      <w:outlineLvl w:val="0"/>
    </w:pPr>
    <w:rPr>
      <w:rFonts w:ascii="Times New Roman" w:hAnsi="Times New Roman" w:eastAsia="楷体_GB2312" w:cstheme="minorBidi"/>
      <w:b/>
      <w:kern w:val="2"/>
      <w:sz w:val="32"/>
      <w:szCs w:val="21"/>
      <w:lang w:val="en-US" w:eastAsia="zh-CN" w:bidi="ar-SA"/>
    </w:rPr>
  </w:style>
  <w:style w:type="paragraph" w:customStyle="1" w:styleId="50">
    <w:name w:val="模板-正文称谓"/>
    <w:basedOn w:val="45"/>
    <w:link w:val="78"/>
    <w:qFormat/>
    <w:uiPriority w:val="0"/>
    <w:pPr>
      <w:jc w:val="left"/>
    </w:pPr>
  </w:style>
  <w:style w:type="paragraph" w:customStyle="1" w:styleId="51">
    <w:name w:val="模板-正文落款"/>
    <w:basedOn w:val="45"/>
    <w:qFormat/>
    <w:uiPriority w:val="0"/>
    <w:pPr>
      <w:ind w:firstLine="4200" w:firstLineChars="1500"/>
    </w:pPr>
  </w:style>
  <w:style w:type="paragraph" w:customStyle="1" w:styleId="52">
    <w:name w:val="模板-正文估价师签字"/>
    <w:basedOn w:val="45"/>
    <w:qFormat/>
    <w:uiPriority w:val="0"/>
    <w:pPr>
      <w:jc w:val="center"/>
    </w:pPr>
  </w:style>
  <w:style w:type="paragraph" w:customStyle="1" w:styleId="53">
    <w:name w:val="模板-二级标题"/>
    <w:qFormat/>
    <w:uiPriority w:val="0"/>
    <w:pPr>
      <w:widowControl w:val="0"/>
      <w:spacing w:line="360" w:lineRule="auto"/>
      <w:outlineLvl w:val="1"/>
    </w:pPr>
    <w:rPr>
      <w:rFonts w:ascii="Times New Roman" w:hAnsi="Times New Roman" w:eastAsia="楷体_GB2312" w:cstheme="minorBidi"/>
      <w:b/>
      <w:kern w:val="2"/>
      <w:sz w:val="30"/>
      <w:szCs w:val="21"/>
      <w:lang w:val="en-US" w:eastAsia="zh-CN" w:bidi="ar-SA"/>
    </w:rPr>
  </w:style>
  <w:style w:type="paragraph" w:customStyle="1" w:styleId="54">
    <w:name w:val="模板-目录字体"/>
    <w:basedOn w:val="49"/>
    <w:qFormat/>
    <w:uiPriority w:val="0"/>
    <w:pPr>
      <w:spacing w:before="120"/>
      <w:outlineLvl w:val="9"/>
    </w:pPr>
    <w:rPr>
      <w:rFonts w:ascii="楷体" w:hAnsi="楷体" w:eastAsia="楷体"/>
    </w:rPr>
  </w:style>
  <w:style w:type="character" w:customStyle="1" w:styleId="55">
    <w:name w:val="页眉 Char"/>
    <w:basedOn w:val="33"/>
    <w:link w:val="21"/>
    <w:qFormat/>
    <w:uiPriority w:val="99"/>
    <w:rPr>
      <w:rFonts w:ascii="Times New Roman" w:hAnsi="Times New Roman" w:eastAsia="微软雅黑"/>
      <w:sz w:val="18"/>
      <w:szCs w:val="18"/>
    </w:rPr>
  </w:style>
  <w:style w:type="character" w:customStyle="1" w:styleId="56">
    <w:name w:val="页脚 Char"/>
    <w:basedOn w:val="33"/>
    <w:link w:val="20"/>
    <w:qFormat/>
    <w:uiPriority w:val="99"/>
    <w:rPr>
      <w:rFonts w:ascii="Times New Roman" w:hAnsi="Times New Roman" w:eastAsia="微软雅黑"/>
      <w:sz w:val="18"/>
      <w:szCs w:val="18"/>
    </w:rPr>
  </w:style>
  <w:style w:type="paragraph" w:customStyle="1" w:styleId="57">
    <w:name w:val="模板-估价结果"/>
    <w:basedOn w:val="45"/>
    <w:qFormat/>
    <w:uiPriority w:val="0"/>
    <w:pPr>
      <w:spacing w:beforeLines="0" w:line="480" w:lineRule="exact"/>
      <w:ind w:firstLine="440"/>
    </w:pPr>
    <w:rPr>
      <w:b/>
      <w:sz w:val="22"/>
      <w:szCs w:val="22"/>
    </w:rPr>
  </w:style>
  <w:style w:type="paragraph" w:customStyle="1" w:styleId="58">
    <w:name w:val="模板-税费表格内字体居中"/>
    <w:qFormat/>
    <w:uiPriority w:val="0"/>
    <w:pPr>
      <w:spacing w:line="240" w:lineRule="exact"/>
      <w:ind w:hanging="1147"/>
      <w:jc w:val="right"/>
    </w:pPr>
    <w:rPr>
      <w:rFonts w:ascii="Times New Roman" w:hAnsi="Times New Roman" w:eastAsia="微软雅黑" w:cstheme="minorBidi"/>
      <w:kern w:val="2"/>
      <w:sz w:val="18"/>
      <w:szCs w:val="21"/>
      <w:lang w:val="en-US" w:eastAsia="zh-CN" w:bidi="ar-SA"/>
    </w:rPr>
  </w:style>
  <w:style w:type="paragraph" w:customStyle="1" w:styleId="59">
    <w:name w:val="模板-表格下段落"/>
    <w:qFormat/>
    <w:uiPriority w:val="0"/>
    <w:pPr>
      <w:spacing w:line="40" w:lineRule="exact"/>
    </w:pPr>
    <w:rPr>
      <w:rFonts w:asciiTheme="minorHAnsi" w:hAnsiTheme="minorHAnsi" w:eastAsiaTheme="minorEastAsia" w:cstheme="minorBidi"/>
      <w:kern w:val="2"/>
      <w:sz w:val="21"/>
      <w:szCs w:val="21"/>
      <w:lang w:val="en-US" w:eastAsia="zh-CN" w:bidi="ar-SA"/>
    </w:rPr>
  </w:style>
  <w:style w:type="character" w:customStyle="1" w:styleId="60">
    <w:name w:val="批注框文本 Char"/>
    <w:basedOn w:val="33"/>
    <w:link w:val="19"/>
    <w:semiHidden/>
    <w:qFormat/>
    <w:uiPriority w:val="99"/>
    <w:rPr>
      <w:sz w:val="18"/>
      <w:szCs w:val="18"/>
    </w:rPr>
  </w:style>
  <w:style w:type="paragraph" w:customStyle="1" w:styleId="61">
    <w:name w:val="模板-表格内字体空两格"/>
    <w:basedOn w:val="58"/>
    <w:qFormat/>
    <w:uiPriority w:val="0"/>
    <w:pPr>
      <w:ind w:firstLine="360" w:firstLineChars="200"/>
      <w:jc w:val="both"/>
    </w:pPr>
  </w:style>
  <w:style w:type="paragraph" w:customStyle="1" w:styleId="62">
    <w:name w:val="模板-表格字体右对齐"/>
    <w:basedOn w:val="58"/>
    <w:qFormat/>
    <w:uiPriority w:val="0"/>
  </w:style>
  <w:style w:type="paragraph" w:customStyle="1" w:styleId="63">
    <w:name w:val="模板-称谓"/>
    <w:basedOn w:val="45"/>
    <w:qFormat/>
    <w:uiPriority w:val="0"/>
    <w:pPr>
      <w:tabs>
        <w:tab w:val="left" w:pos="5040"/>
      </w:tabs>
    </w:pPr>
    <w:rPr>
      <w:rFonts w:cs="Times New Roman"/>
      <w:kern w:val="0"/>
      <w:szCs w:val="20"/>
    </w:rPr>
  </w:style>
  <w:style w:type="paragraph" w:customStyle="1" w:styleId="64">
    <w:name w:val="模板-落款"/>
    <w:basedOn w:val="45"/>
    <w:qFormat/>
    <w:uiPriority w:val="0"/>
    <w:pPr>
      <w:tabs>
        <w:tab w:val="left" w:pos="5040"/>
      </w:tabs>
      <w:spacing w:line="500" w:lineRule="exact"/>
      <w:ind w:firstLine="4480" w:firstLineChars="1600"/>
    </w:pPr>
    <w:rPr>
      <w:rFonts w:cs="Times New Roman"/>
      <w:kern w:val="0"/>
      <w:szCs w:val="20"/>
    </w:rPr>
  </w:style>
  <w:style w:type="paragraph" w:customStyle="1" w:styleId="65">
    <w:name w:val="模板-估价师签字"/>
    <w:qFormat/>
    <w:uiPriority w:val="0"/>
    <w:pPr>
      <w:spacing w:line="500" w:lineRule="exact"/>
      <w:jc w:val="center"/>
    </w:pPr>
    <w:rPr>
      <w:rFonts w:ascii="Times New Roman" w:hAnsi="Times New Roman" w:eastAsia="楷体_GB2312" w:cs="Times New Roman"/>
      <w:sz w:val="28"/>
      <w:lang w:val="en-US" w:eastAsia="zh-CN" w:bidi="ar-SA"/>
    </w:rPr>
  </w:style>
  <w:style w:type="paragraph" w:customStyle="1" w:styleId="66">
    <w:name w:val="模板-估价对象"/>
    <w:basedOn w:val="57"/>
    <w:qFormat/>
    <w:uiPriority w:val="0"/>
    <w:pPr>
      <w:spacing w:line="520" w:lineRule="exact"/>
    </w:pPr>
  </w:style>
  <w:style w:type="paragraph" w:customStyle="1" w:styleId="67">
    <w:name w:val="模板-附件字体"/>
    <w:basedOn w:val="49"/>
    <w:qFormat/>
    <w:uiPriority w:val="0"/>
    <w:pPr>
      <w:outlineLvl w:val="9"/>
    </w:pPr>
  </w:style>
  <w:style w:type="character" w:customStyle="1" w:styleId="68">
    <w:name w:val="Char Char Char Char Char16"/>
    <w:qFormat/>
    <w:uiPriority w:val="0"/>
    <w:rPr>
      <w:rFonts w:ascii="宋体" w:eastAsia="宋体" w:cs="Courier New"/>
      <w:kern w:val="2"/>
      <w:sz w:val="32"/>
      <w:szCs w:val="32"/>
    </w:rPr>
  </w:style>
  <w:style w:type="character" w:customStyle="1" w:styleId="69">
    <w:name w:val="模板-正文 Char Char Char"/>
    <w:link w:val="45"/>
    <w:qFormat/>
    <w:uiPriority w:val="0"/>
    <w:rPr>
      <w:rFonts w:ascii="楷体" w:hAnsi="楷体" w:eastAsia="楷体"/>
      <w:snapToGrid w:val="0"/>
      <w:sz w:val="28"/>
      <w:szCs w:val="28"/>
    </w:rPr>
  </w:style>
  <w:style w:type="character" w:customStyle="1" w:styleId="70">
    <w:name w:val="正文文本缩进 Char"/>
    <w:basedOn w:val="33"/>
    <w:link w:val="12"/>
    <w:qFormat/>
    <w:uiPriority w:val="0"/>
    <w:rPr>
      <w:rFonts w:ascii="宋体" w:hAnsi="Times New Roman" w:eastAsia="宋体" w:cs="Times New Roman"/>
      <w:sz w:val="28"/>
      <w:szCs w:val="20"/>
    </w:rPr>
  </w:style>
  <w:style w:type="character" w:customStyle="1" w:styleId="71">
    <w:name w:val="模板-正文 Char"/>
    <w:qFormat/>
    <w:locked/>
    <w:uiPriority w:val="0"/>
    <w:rPr>
      <w:rFonts w:ascii="Times New Roman" w:hAnsi="Times New Roman" w:eastAsia="楷体_GB2312"/>
      <w:sz w:val="28"/>
    </w:rPr>
  </w:style>
  <w:style w:type="character" w:customStyle="1" w:styleId="72">
    <w:name w:val="纯文本 Char1"/>
    <w:link w:val="15"/>
    <w:qFormat/>
    <w:uiPriority w:val="0"/>
    <w:rPr>
      <w:rFonts w:ascii="宋体" w:hAnsi="Courier New"/>
    </w:rPr>
  </w:style>
  <w:style w:type="character" w:customStyle="1" w:styleId="73">
    <w:name w:val="纯文本 Char"/>
    <w:basedOn w:val="33"/>
    <w:qFormat/>
    <w:uiPriority w:val="99"/>
    <w:rPr>
      <w:rFonts w:ascii="宋体" w:hAnsi="Courier New" w:eastAsia="宋体" w:cs="Courier New"/>
    </w:rPr>
  </w:style>
  <w:style w:type="paragraph" w:customStyle="1" w:styleId="74">
    <w:name w:val="市场分析报告_正文"/>
    <w:basedOn w:val="1"/>
    <w:link w:val="75"/>
    <w:qFormat/>
    <w:uiPriority w:val="0"/>
    <w:pPr>
      <w:spacing w:line="360" w:lineRule="auto"/>
      <w:ind w:firstLine="200" w:firstLineChars="200"/>
    </w:pPr>
    <w:rPr>
      <w:rFonts w:ascii="Times New Roman" w:hAnsi="Times New Roman" w:eastAsia="仿宋_GB2312" w:cs="Times New Roman"/>
      <w:sz w:val="24"/>
      <w:szCs w:val="24"/>
    </w:rPr>
  </w:style>
  <w:style w:type="character" w:customStyle="1" w:styleId="75">
    <w:name w:val="市场分析报告_正文 Char Char"/>
    <w:link w:val="74"/>
    <w:qFormat/>
    <w:uiPriority w:val="0"/>
    <w:rPr>
      <w:rFonts w:ascii="Times New Roman" w:hAnsi="Times New Roman" w:eastAsia="仿宋_GB2312" w:cs="Times New Roman"/>
      <w:sz w:val="24"/>
      <w:szCs w:val="24"/>
    </w:rPr>
  </w:style>
  <w:style w:type="paragraph" w:customStyle="1" w:styleId="76">
    <w:name w:val="样式 仿宋_GB2312 四号 加粗"/>
    <w:link w:val="77"/>
    <w:qFormat/>
    <w:uiPriority w:val="0"/>
    <w:pPr>
      <w:autoSpaceDE w:val="0"/>
      <w:autoSpaceDN w:val="0"/>
      <w:adjustRightInd w:val="0"/>
      <w:jc w:val="center"/>
    </w:pPr>
    <w:rPr>
      <w:rFonts w:ascii="仿宋_GB2312" w:hAnsi="Times New Roman" w:eastAsia="仿宋_GB2312" w:cs="Times New Roman"/>
      <w:b/>
      <w:kern w:val="2"/>
      <w:sz w:val="28"/>
      <w:szCs w:val="28"/>
      <w:lang w:val="en-US" w:eastAsia="zh-CN" w:bidi="ar-SA"/>
    </w:rPr>
  </w:style>
  <w:style w:type="character" w:customStyle="1" w:styleId="77">
    <w:name w:val="样式 仿宋_GB2312 四号 加粗 Char"/>
    <w:link w:val="76"/>
    <w:qFormat/>
    <w:uiPriority w:val="0"/>
    <w:rPr>
      <w:rFonts w:ascii="仿宋_GB2312" w:hAnsi="Times New Roman" w:eastAsia="仿宋_GB2312" w:cs="Times New Roman"/>
      <w:b/>
      <w:sz w:val="28"/>
      <w:szCs w:val="28"/>
    </w:rPr>
  </w:style>
  <w:style w:type="character" w:customStyle="1" w:styleId="78">
    <w:name w:val="模板-正文称谓 Char"/>
    <w:basedOn w:val="71"/>
    <w:link w:val="50"/>
    <w:qFormat/>
    <w:uiPriority w:val="0"/>
    <w:rPr>
      <w:rFonts w:ascii="楷体" w:hAnsi="楷体" w:eastAsia="楷体"/>
      <w:snapToGrid w:val="0"/>
      <w:sz w:val="28"/>
      <w:szCs w:val="28"/>
    </w:rPr>
  </w:style>
  <w:style w:type="character" w:customStyle="1" w:styleId="79">
    <w:name w:val="批注文字 Char"/>
    <w:basedOn w:val="33"/>
    <w:link w:val="10"/>
    <w:semiHidden/>
    <w:qFormat/>
    <w:uiPriority w:val="0"/>
    <w:rPr>
      <w:rFonts w:ascii="Times New Roman" w:hAnsi="Times New Roman" w:eastAsia="宋体" w:cs="Times New Roman"/>
      <w:szCs w:val="24"/>
    </w:rPr>
  </w:style>
  <w:style w:type="character" w:customStyle="1" w:styleId="80">
    <w:name w:val="批注主题 Char"/>
    <w:basedOn w:val="79"/>
    <w:link w:val="30"/>
    <w:semiHidden/>
    <w:qFormat/>
    <w:uiPriority w:val="0"/>
    <w:rPr>
      <w:rFonts w:ascii="Times New Roman" w:hAnsi="Times New Roman" w:eastAsia="宋体" w:cs="Times New Roman"/>
      <w:b/>
      <w:bCs/>
      <w:szCs w:val="24"/>
    </w:rPr>
  </w:style>
  <w:style w:type="paragraph" w:styleId="81">
    <w:name w:val="List Paragraph"/>
    <w:basedOn w:val="1"/>
    <w:qFormat/>
    <w:uiPriority w:val="0"/>
    <w:pPr>
      <w:ind w:firstLine="420" w:firstLineChars="200"/>
    </w:pPr>
  </w:style>
  <w:style w:type="character" w:customStyle="1" w:styleId="82">
    <w:name w:val="日期 Char"/>
    <w:basedOn w:val="33"/>
    <w:link w:val="17"/>
    <w:qFormat/>
    <w:uiPriority w:val="0"/>
  </w:style>
  <w:style w:type="paragraph" w:customStyle="1" w:styleId="83">
    <w:name w:val="修订1"/>
    <w:hidden/>
    <w:semiHidden/>
    <w:qFormat/>
    <w:uiPriority w:val="99"/>
    <w:rPr>
      <w:rFonts w:asciiTheme="minorHAnsi" w:hAnsiTheme="minorHAnsi" w:eastAsiaTheme="minorEastAsia" w:cstheme="minorBidi"/>
      <w:kern w:val="2"/>
      <w:sz w:val="21"/>
      <w:szCs w:val="21"/>
      <w:lang w:val="en-US" w:eastAsia="zh-CN" w:bidi="ar-SA"/>
    </w:rPr>
  </w:style>
  <w:style w:type="paragraph" w:customStyle="1" w:styleId="84">
    <w:name w:val="xl30"/>
    <w:basedOn w:val="1"/>
    <w:qFormat/>
    <w:uiPriority w:val="0"/>
    <w:pPr>
      <w:widowControl/>
      <w:spacing w:before="100" w:beforeAutospacing="1" w:after="100" w:afterAutospacing="1"/>
      <w:jc w:val="center"/>
      <w:textAlignment w:val="center"/>
    </w:pPr>
    <w:rPr>
      <w:rFonts w:ascii="宋体" w:hAnsi="宋体" w:eastAsia="宋体" w:cs="Times New Roman"/>
      <w:kern w:val="0"/>
      <w:sz w:val="24"/>
      <w:szCs w:val="24"/>
    </w:rPr>
  </w:style>
  <w:style w:type="character" w:customStyle="1" w:styleId="85">
    <w:name w:val="正文文本缩进 3 Char"/>
    <w:basedOn w:val="33"/>
    <w:link w:val="26"/>
    <w:qFormat/>
    <w:uiPriority w:val="0"/>
    <w:rPr>
      <w:rFonts w:ascii="仿宋体" w:hAnsi="Times New Roman" w:eastAsia="仿宋体" w:cs="Times New Roman"/>
      <w:spacing w:val="36"/>
      <w:kern w:val="0"/>
      <w:sz w:val="28"/>
      <w:szCs w:val="20"/>
      <w:lang w:val="zh-CN" w:eastAsia="zh-CN"/>
    </w:rPr>
  </w:style>
  <w:style w:type="paragraph" w:customStyle="1" w:styleId="86">
    <w:name w:val="标准"/>
    <w:basedOn w:val="1"/>
    <w:qFormat/>
    <w:uiPriority w:val="0"/>
    <w:pPr>
      <w:autoSpaceDE w:val="0"/>
      <w:autoSpaceDN w:val="0"/>
      <w:adjustRightInd w:val="0"/>
      <w:spacing w:line="480" w:lineRule="atLeast"/>
      <w:textAlignment w:val="bottom"/>
    </w:pPr>
    <w:rPr>
      <w:rFonts w:ascii="昆仑仿宋" w:hAnsi="Times New Roman" w:eastAsia="昆仑仿宋" w:cs="Times New Roman"/>
      <w:spacing w:val="40"/>
      <w:kern w:val="0"/>
      <w:sz w:val="28"/>
      <w:szCs w:val="20"/>
    </w:rPr>
  </w:style>
  <w:style w:type="character" w:customStyle="1" w:styleId="87">
    <w:name w:val="正文文本 3 Char"/>
    <w:basedOn w:val="33"/>
    <w:qFormat/>
    <w:uiPriority w:val="0"/>
    <w:rPr>
      <w:sz w:val="16"/>
      <w:szCs w:val="16"/>
    </w:rPr>
  </w:style>
  <w:style w:type="paragraph" w:customStyle="1" w:styleId="88">
    <w:name w:val="样式4"/>
    <w:basedOn w:val="2"/>
    <w:qFormat/>
    <w:uiPriority w:val="0"/>
    <w:pPr>
      <w:jc w:val="center"/>
    </w:pPr>
    <w:rPr>
      <w:rFonts w:ascii="仿宋_GB2312" w:eastAsia="仿宋_GB2312"/>
      <w:sz w:val="44"/>
      <w:szCs w:val="44"/>
    </w:rPr>
  </w:style>
  <w:style w:type="character" w:customStyle="1" w:styleId="89">
    <w:name w:val="正文文本 Char"/>
    <w:basedOn w:val="33"/>
    <w:link w:val="2"/>
    <w:qFormat/>
    <w:uiPriority w:val="0"/>
    <w:rPr>
      <w:rFonts w:ascii="Times New Roman" w:hAnsi="Times New Roman" w:eastAsia="宋体" w:cs="Times New Roman"/>
      <w:szCs w:val="20"/>
      <w:lang w:val="zh-CN" w:eastAsia="zh-CN"/>
    </w:rPr>
  </w:style>
  <w:style w:type="paragraph" w:customStyle="1" w:styleId="90">
    <w:name w:val="Char Char Char1 Char Char Char Char"/>
    <w:basedOn w:val="1"/>
    <w:qFormat/>
    <w:uiPriority w:val="0"/>
    <w:rPr>
      <w:rFonts w:ascii="宋体" w:hAnsi="宋体" w:eastAsia="宋体" w:cs="Courier New"/>
      <w:sz w:val="32"/>
      <w:szCs w:val="32"/>
    </w:rPr>
  </w:style>
  <w:style w:type="paragraph" w:customStyle="1" w:styleId="91">
    <w:name w:val="样式 标题 1 + 宋体 四号 居中 段前: 12 磅 段后: 12 磅 行距: 1.5 倍行距"/>
    <w:basedOn w:val="3"/>
    <w:qFormat/>
    <w:uiPriority w:val="0"/>
    <w:pPr>
      <w:spacing w:before="120" w:after="240" w:line="360" w:lineRule="auto"/>
      <w:jc w:val="center"/>
    </w:pPr>
    <w:rPr>
      <w:rFonts w:ascii="宋体" w:hAnsi="宋体"/>
      <w:bCs/>
      <w:kern w:val="0"/>
      <w:sz w:val="28"/>
      <w:lang w:val="zh-CN"/>
    </w:rPr>
  </w:style>
  <w:style w:type="paragraph" w:customStyle="1" w:styleId="92">
    <w:name w:val="Char Char Char1 Char Char Char Char1"/>
    <w:basedOn w:val="1"/>
    <w:qFormat/>
    <w:uiPriority w:val="0"/>
    <w:rPr>
      <w:rFonts w:ascii="宋体" w:hAnsi="宋体" w:eastAsia="宋体" w:cs="Courier New"/>
      <w:sz w:val="32"/>
      <w:szCs w:val="32"/>
    </w:rPr>
  </w:style>
  <w:style w:type="character" w:customStyle="1" w:styleId="93">
    <w:name w:val="grame"/>
    <w:basedOn w:val="33"/>
    <w:qFormat/>
    <w:uiPriority w:val="0"/>
  </w:style>
  <w:style w:type="paragraph" w:customStyle="1" w:styleId="94">
    <w:name w:val="Char Char Char Char"/>
    <w:basedOn w:val="1"/>
    <w:qFormat/>
    <w:uiPriority w:val="0"/>
    <w:rPr>
      <w:rFonts w:ascii="宋体" w:hAnsi="宋体" w:eastAsia="宋体" w:cs="Courier New"/>
      <w:sz w:val="32"/>
      <w:szCs w:val="32"/>
    </w:rPr>
  </w:style>
  <w:style w:type="paragraph" w:customStyle="1" w:styleId="95">
    <w:name w:val="Char Char Char Char Char Char Char Char Char Char Char Char Char Char Char"/>
    <w:basedOn w:val="1"/>
    <w:qFormat/>
    <w:uiPriority w:val="0"/>
    <w:rPr>
      <w:rFonts w:ascii="宋体" w:hAnsi="宋体" w:eastAsia="宋体" w:cs="Courier New"/>
      <w:sz w:val="32"/>
      <w:szCs w:val="32"/>
    </w:rPr>
  </w:style>
  <w:style w:type="paragraph" w:customStyle="1" w:styleId="96">
    <w:name w:val="样式2"/>
    <w:basedOn w:val="1"/>
    <w:qFormat/>
    <w:uiPriority w:val="0"/>
    <w:pPr>
      <w:spacing w:line="360" w:lineRule="auto"/>
    </w:pPr>
    <w:rPr>
      <w:rFonts w:ascii="宋体" w:hAnsi="Times New Roman" w:eastAsia="宋体" w:cs="Times New Roman"/>
      <w:kern w:val="10"/>
      <w:sz w:val="24"/>
      <w:szCs w:val="24"/>
    </w:rPr>
  </w:style>
  <w:style w:type="paragraph" w:customStyle="1" w:styleId="97">
    <w:name w:val="银行报告_正文"/>
    <w:basedOn w:val="1"/>
    <w:qFormat/>
    <w:uiPriority w:val="0"/>
    <w:pPr>
      <w:ind w:firstLine="482" w:firstLineChars="200"/>
    </w:pPr>
    <w:rPr>
      <w:rFonts w:ascii="宋体" w:hAnsi="宋体" w:eastAsia="宋体" w:cs="Courier New"/>
      <w:sz w:val="32"/>
      <w:szCs w:val="32"/>
    </w:rPr>
  </w:style>
  <w:style w:type="paragraph" w:customStyle="1" w:styleId="98">
    <w:name w:val="样式 市场分析报告_正文 + 首行缩进:  2 字符"/>
    <w:basedOn w:val="1"/>
    <w:qFormat/>
    <w:uiPriority w:val="0"/>
    <w:pPr>
      <w:spacing w:line="276" w:lineRule="auto"/>
      <w:ind w:firstLine="200" w:firstLineChars="200"/>
      <w:jc w:val="left"/>
    </w:pPr>
    <w:rPr>
      <w:rFonts w:ascii="仿宋_GB2312" w:hAnsi="Times New Roman" w:eastAsia="仿宋_GB2312" w:cs="宋体"/>
      <w:sz w:val="24"/>
      <w:szCs w:val="20"/>
    </w:rPr>
  </w:style>
  <w:style w:type="paragraph" w:customStyle="1" w:styleId="99">
    <w:name w:val="市场分析报告_2级"/>
    <w:basedOn w:val="1"/>
    <w:link w:val="100"/>
    <w:qFormat/>
    <w:uiPriority w:val="0"/>
    <w:pPr>
      <w:spacing w:line="300" w:lineRule="auto"/>
      <w:jc w:val="left"/>
      <w:outlineLvl w:val="1"/>
    </w:pPr>
    <w:rPr>
      <w:rFonts w:ascii="仿宋_GB2312" w:hAnsi="Times New Roman" w:eastAsia="仿宋_GB2312" w:cs="宋体"/>
      <w:b/>
      <w:sz w:val="24"/>
      <w:szCs w:val="20"/>
    </w:rPr>
  </w:style>
  <w:style w:type="character" w:customStyle="1" w:styleId="100">
    <w:name w:val="市场分析报告_2级 Char"/>
    <w:link w:val="99"/>
    <w:qFormat/>
    <w:uiPriority w:val="0"/>
    <w:rPr>
      <w:rFonts w:ascii="仿宋_GB2312" w:hAnsi="Times New Roman" w:eastAsia="仿宋_GB2312" w:cs="宋体"/>
      <w:b/>
      <w:sz w:val="24"/>
      <w:szCs w:val="20"/>
    </w:rPr>
  </w:style>
  <w:style w:type="paragraph" w:customStyle="1" w:styleId="101">
    <w:name w:val="市场分析报告_题注"/>
    <w:basedOn w:val="1"/>
    <w:link w:val="102"/>
    <w:qFormat/>
    <w:uiPriority w:val="0"/>
    <w:pPr>
      <w:spacing w:line="360" w:lineRule="auto"/>
      <w:jc w:val="center"/>
    </w:pPr>
    <w:rPr>
      <w:rFonts w:ascii="仿宋_GB2312" w:hAnsi="Times New Roman" w:eastAsia="仿宋_GB2312" w:cs="宋体"/>
      <w:szCs w:val="20"/>
    </w:rPr>
  </w:style>
  <w:style w:type="character" w:customStyle="1" w:styleId="102">
    <w:name w:val="市场分析报告_题注 Char"/>
    <w:link w:val="101"/>
    <w:qFormat/>
    <w:uiPriority w:val="0"/>
    <w:rPr>
      <w:rFonts w:ascii="仿宋_GB2312" w:hAnsi="Times New Roman" w:eastAsia="仿宋_GB2312" w:cs="宋体"/>
      <w:szCs w:val="20"/>
    </w:rPr>
  </w:style>
  <w:style w:type="character" w:customStyle="1" w:styleId="103">
    <w:name w:val="正文文本缩进 2 Char"/>
    <w:basedOn w:val="33"/>
    <w:link w:val="18"/>
    <w:qFormat/>
    <w:uiPriority w:val="0"/>
    <w:rPr>
      <w:rFonts w:ascii="Times New Roman" w:hAnsi="Times New Roman" w:eastAsia="宋体" w:cs="Times New Roman"/>
      <w:szCs w:val="20"/>
      <w:lang w:val="zh-CN" w:eastAsia="zh-CN"/>
    </w:rPr>
  </w:style>
  <w:style w:type="paragraph" w:customStyle="1" w:styleId="104">
    <w:name w:val="Char Char Char Char1"/>
    <w:basedOn w:val="1"/>
    <w:link w:val="115"/>
    <w:qFormat/>
    <w:uiPriority w:val="0"/>
    <w:rPr>
      <w:rFonts w:ascii="宋体" w:hAnsi="宋体" w:eastAsia="宋体" w:cs="Courier New"/>
      <w:sz w:val="32"/>
      <w:szCs w:val="32"/>
    </w:rPr>
  </w:style>
  <w:style w:type="character" w:customStyle="1" w:styleId="105">
    <w:name w:val="脚注文本 Char"/>
    <w:basedOn w:val="33"/>
    <w:link w:val="24"/>
    <w:semiHidden/>
    <w:qFormat/>
    <w:uiPriority w:val="0"/>
    <w:rPr>
      <w:rFonts w:ascii="Times New Roman" w:hAnsi="Times New Roman" w:eastAsia="宋体" w:cs="Times New Roman"/>
      <w:sz w:val="18"/>
      <w:szCs w:val="18"/>
      <w:lang w:val="zh-CN" w:eastAsia="zh-CN"/>
    </w:rPr>
  </w:style>
  <w:style w:type="character" w:customStyle="1" w:styleId="106">
    <w:name w:val="市场分析报告_正文 Char"/>
    <w:qFormat/>
    <w:uiPriority w:val="0"/>
    <w:rPr>
      <w:rFonts w:ascii="仿宋_GB2312" w:eastAsia="仿宋_GB2312"/>
      <w:kern w:val="2"/>
      <w:sz w:val="24"/>
      <w:szCs w:val="24"/>
    </w:rPr>
  </w:style>
  <w:style w:type="paragraph" w:customStyle="1" w:styleId="107">
    <w:name w:val="市场分析报告_3级"/>
    <w:basedOn w:val="1"/>
    <w:qFormat/>
    <w:uiPriority w:val="0"/>
    <w:pPr>
      <w:spacing w:line="300" w:lineRule="auto"/>
      <w:jc w:val="left"/>
      <w:outlineLvl w:val="2"/>
    </w:pPr>
    <w:rPr>
      <w:rFonts w:ascii="仿宋_GB2312" w:hAnsi="Times New Roman" w:eastAsia="仿宋_GB2312" w:cs="宋体"/>
      <w:sz w:val="24"/>
      <w:szCs w:val="20"/>
    </w:rPr>
  </w:style>
  <w:style w:type="paragraph" w:customStyle="1" w:styleId="108">
    <w:name w:val="估价报告模板_深发展银行处置抵押物相关提示"/>
    <w:basedOn w:val="1"/>
    <w:link w:val="109"/>
    <w:qFormat/>
    <w:uiPriority w:val="0"/>
    <w:pPr>
      <w:spacing w:line="440" w:lineRule="exact"/>
      <w:ind w:firstLine="560" w:firstLineChars="200"/>
      <w:jc w:val="left"/>
    </w:pPr>
    <w:rPr>
      <w:rFonts w:ascii="仿宋_GB2312" w:hAnsi="Times New Roman" w:eastAsia="仿宋_GB2312" w:cs="宋体"/>
      <w:sz w:val="28"/>
      <w:szCs w:val="20"/>
    </w:rPr>
  </w:style>
  <w:style w:type="character" w:customStyle="1" w:styleId="109">
    <w:name w:val="估价报告模板_深发展银行处置抵押物相关提示 Char"/>
    <w:link w:val="108"/>
    <w:qFormat/>
    <w:uiPriority w:val="0"/>
    <w:rPr>
      <w:rFonts w:ascii="仿宋_GB2312" w:hAnsi="Times New Roman" w:eastAsia="仿宋_GB2312" w:cs="宋体"/>
      <w:sz w:val="28"/>
      <w:szCs w:val="20"/>
    </w:rPr>
  </w:style>
  <w:style w:type="character" w:customStyle="1" w:styleId="110">
    <w:name w:val="正文文本 3 Char1"/>
    <w:link w:val="11"/>
    <w:qFormat/>
    <w:uiPriority w:val="0"/>
    <w:rPr>
      <w:rFonts w:ascii="仿宋_GB2312" w:hAnsi="Times New Roman" w:eastAsia="仿宋_GB2312" w:cs="Times New Roman"/>
      <w:color w:val="FF6600"/>
      <w:spacing w:val="50"/>
      <w:kern w:val="0"/>
      <w:szCs w:val="20"/>
    </w:rPr>
  </w:style>
  <w:style w:type="character" w:customStyle="1" w:styleId="111">
    <w:name w:val="Char Char"/>
    <w:qFormat/>
    <w:uiPriority w:val="0"/>
    <w:rPr>
      <w:rFonts w:ascii="宋体" w:hAnsi="Courier New"/>
      <w:kern w:val="2"/>
      <w:sz w:val="21"/>
    </w:rPr>
  </w:style>
  <w:style w:type="paragraph" w:customStyle="1" w:styleId="112">
    <w:name w:val="公司正文"/>
    <w:basedOn w:val="1"/>
    <w:link w:val="113"/>
    <w:qFormat/>
    <w:uiPriority w:val="0"/>
    <w:pPr>
      <w:adjustRightInd w:val="0"/>
      <w:snapToGrid w:val="0"/>
      <w:spacing w:line="360" w:lineRule="auto"/>
      <w:ind w:firstLine="560" w:firstLineChars="200"/>
      <w:jc w:val="left"/>
    </w:pPr>
    <w:rPr>
      <w:rFonts w:ascii="仿宋_GB2312" w:hAnsi="Courier New" w:eastAsia="仿宋_GB2312" w:cs="Times New Roman"/>
      <w:snapToGrid w:val="0"/>
      <w:color w:val="000000"/>
      <w:kern w:val="0"/>
      <w:sz w:val="28"/>
      <w:szCs w:val="20"/>
    </w:rPr>
  </w:style>
  <w:style w:type="character" w:customStyle="1" w:styleId="113">
    <w:name w:val="公司正文 Char"/>
    <w:link w:val="112"/>
    <w:qFormat/>
    <w:uiPriority w:val="0"/>
    <w:rPr>
      <w:rFonts w:ascii="仿宋_GB2312" w:hAnsi="Courier New" w:eastAsia="仿宋_GB2312" w:cs="Times New Roman"/>
      <w:snapToGrid w:val="0"/>
      <w:color w:val="000000"/>
      <w:kern w:val="0"/>
      <w:sz w:val="28"/>
      <w:szCs w:val="20"/>
    </w:rPr>
  </w:style>
  <w:style w:type="paragraph" w:customStyle="1" w:styleId="114">
    <w:name w:val="样式3"/>
    <w:basedOn w:val="4"/>
    <w:qFormat/>
    <w:uiPriority w:val="0"/>
    <w:pPr>
      <w:keepLines w:val="0"/>
      <w:widowControl/>
      <w:adjustRightInd w:val="0"/>
      <w:snapToGrid w:val="0"/>
      <w:spacing w:before="0" w:after="0" w:line="360" w:lineRule="auto"/>
      <w:ind w:left="920" w:hanging="360"/>
      <w:textAlignment w:val="bottom"/>
    </w:pPr>
    <w:rPr>
      <w:rFonts w:ascii="仿宋_GB2312" w:hAnsi="Algerian" w:eastAsia="仿宋_GB2312"/>
      <w:b w:val="0"/>
      <w:snapToGrid w:val="0"/>
      <w:kern w:val="0"/>
      <w:sz w:val="28"/>
      <w:lang w:val="zh-CN"/>
    </w:rPr>
  </w:style>
  <w:style w:type="character" w:customStyle="1" w:styleId="115">
    <w:name w:val="Char Char Char Char Char1"/>
    <w:link w:val="104"/>
    <w:qFormat/>
    <w:uiPriority w:val="0"/>
    <w:rPr>
      <w:rFonts w:ascii="宋体" w:hAnsi="宋体" w:eastAsia="宋体" w:cs="Courier New"/>
      <w:sz w:val="32"/>
      <w:szCs w:val="32"/>
    </w:rPr>
  </w:style>
  <w:style w:type="paragraph" w:customStyle="1" w:styleId="116">
    <w:name w:val="市场分析报告_图"/>
    <w:basedOn w:val="1"/>
    <w:qFormat/>
    <w:uiPriority w:val="0"/>
    <w:pPr>
      <w:spacing w:afterLines="50" w:line="360" w:lineRule="auto"/>
      <w:jc w:val="center"/>
    </w:pPr>
    <w:rPr>
      <w:rFonts w:ascii="Times New Roman" w:hAnsi="Times New Roman" w:eastAsia="宋体" w:cs="Times New Roman"/>
      <w:szCs w:val="28"/>
    </w:rPr>
  </w:style>
  <w:style w:type="paragraph" w:customStyle="1" w:styleId="117">
    <w:name w:val="模板_正文"/>
    <w:basedOn w:val="1"/>
    <w:qFormat/>
    <w:uiPriority w:val="0"/>
    <w:pPr>
      <w:numPr>
        <w:ilvl w:val="0"/>
        <w:numId w:val="2"/>
      </w:numPr>
      <w:autoSpaceDE w:val="0"/>
      <w:autoSpaceDN w:val="0"/>
      <w:adjustRightInd w:val="0"/>
      <w:snapToGrid w:val="0"/>
      <w:spacing w:line="360" w:lineRule="auto"/>
      <w:ind w:right="-113"/>
      <w:textAlignment w:val="bottom"/>
    </w:pPr>
    <w:rPr>
      <w:rFonts w:ascii="仿宋_GB2312" w:hAnsi="仿宋_GB2312" w:eastAsia="仿宋_GB2312" w:cs="宋体"/>
      <w:color w:val="000000"/>
      <w:sz w:val="28"/>
      <w:szCs w:val="24"/>
    </w:rPr>
  </w:style>
  <w:style w:type="paragraph" w:customStyle="1" w:styleId="118">
    <w:name w:val="Char"/>
    <w:basedOn w:val="1"/>
    <w:qFormat/>
    <w:uiPriority w:val="0"/>
    <w:rPr>
      <w:rFonts w:ascii="Tahoma" w:hAnsi="Tahoma" w:eastAsia="宋体" w:cs="Times New Roman"/>
      <w:sz w:val="24"/>
      <w:szCs w:val="20"/>
    </w:rPr>
  </w:style>
  <w:style w:type="character" w:customStyle="1" w:styleId="119">
    <w:name w:val="文档结构图 Char"/>
    <w:basedOn w:val="33"/>
    <w:link w:val="9"/>
    <w:semiHidden/>
    <w:qFormat/>
    <w:uiPriority w:val="0"/>
    <w:rPr>
      <w:rFonts w:ascii="Times New Roman" w:hAnsi="Times New Roman" w:eastAsia="宋体" w:cs="Times New Roman"/>
      <w:szCs w:val="20"/>
      <w:shd w:val="clear" w:color="auto" w:fill="000080"/>
      <w:lang w:val="zh-CN" w:eastAsia="zh-CN"/>
    </w:rPr>
  </w:style>
  <w:style w:type="paragraph" w:customStyle="1" w:styleId="120">
    <w:name w:val="九城市题注"/>
    <w:basedOn w:val="8"/>
    <w:qFormat/>
    <w:uiPriority w:val="0"/>
    <w:pPr>
      <w:jc w:val="center"/>
    </w:pPr>
  </w:style>
  <w:style w:type="paragraph" w:customStyle="1" w:styleId="121">
    <w:name w:val="每周快报_正文"/>
    <w:basedOn w:val="1"/>
    <w:next w:val="1"/>
    <w:qFormat/>
    <w:uiPriority w:val="0"/>
    <w:pPr>
      <w:numPr>
        <w:ilvl w:val="0"/>
        <w:numId w:val="3"/>
      </w:numPr>
      <w:tabs>
        <w:tab w:val="clear" w:pos="620"/>
      </w:tabs>
      <w:spacing w:line="360" w:lineRule="auto"/>
      <w:ind w:left="0" w:firstLine="397"/>
    </w:pPr>
    <w:rPr>
      <w:rFonts w:ascii="Times New Roman" w:hAnsi="Times New Roman" w:eastAsia="仿宋_GB2312" w:cs="Times New Roman"/>
      <w:szCs w:val="24"/>
    </w:rPr>
  </w:style>
  <w:style w:type="paragraph" w:customStyle="1" w:styleId="122">
    <w:name w:val="公司报告正文-带项目编号"/>
    <w:basedOn w:val="15"/>
    <w:link w:val="123"/>
    <w:qFormat/>
    <w:uiPriority w:val="0"/>
    <w:pPr>
      <w:numPr>
        <w:ilvl w:val="1"/>
        <w:numId w:val="4"/>
      </w:numPr>
      <w:adjustRightInd w:val="0"/>
      <w:snapToGrid w:val="0"/>
      <w:spacing w:line="360" w:lineRule="auto"/>
      <w:ind w:firstLine="200" w:firstLineChars="200"/>
    </w:pPr>
    <w:rPr>
      <w:rFonts w:ascii="仿宋_GB2312" w:eastAsia="仿宋_GB2312" w:cs="Times New Roman"/>
      <w:color w:val="000000"/>
      <w:sz w:val="28"/>
      <w:szCs w:val="20"/>
    </w:rPr>
  </w:style>
  <w:style w:type="character" w:customStyle="1" w:styleId="123">
    <w:name w:val="公司报告正文-带项目编号 Char"/>
    <w:link w:val="122"/>
    <w:qFormat/>
    <w:uiPriority w:val="0"/>
    <w:rPr>
      <w:rFonts w:ascii="仿宋_GB2312" w:hAnsi="Courier New" w:eastAsia="仿宋_GB2312" w:cs="Times New Roman"/>
      <w:color w:val="000000"/>
      <w:sz w:val="28"/>
      <w:szCs w:val="20"/>
    </w:rPr>
  </w:style>
  <w:style w:type="paragraph" w:customStyle="1" w:styleId="124">
    <w:name w:val="每周快报_编号1"/>
    <w:basedOn w:val="1"/>
    <w:next w:val="1"/>
    <w:qFormat/>
    <w:uiPriority w:val="0"/>
    <w:pPr>
      <w:keepNext/>
      <w:keepLines/>
      <w:numPr>
        <w:ilvl w:val="0"/>
        <w:numId w:val="5"/>
      </w:numPr>
      <w:spacing w:line="360" w:lineRule="auto"/>
      <w:outlineLvl w:val="0"/>
    </w:pPr>
    <w:rPr>
      <w:rFonts w:ascii="Times New Roman" w:hAnsi="Times New Roman" w:eastAsia="仿宋_GB2312" w:cs="Times New Roman"/>
      <w:bCs/>
      <w:kern w:val="44"/>
      <w:sz w:val="30"/>
      <w:szCs w:val="44"/>
    </w:rPr>
  </w:style>
  <w:style w:type="paragraph" w:customStyle="1" w:styleId="125">
    <w:name w:val="九城市三级标题"/>
    <w:basedOn w:val="1"/>
    <w:link w:val="126"/>
    <w:qFormat/>
    <w:uiPriority w:val="0"/>
    <w:pPr>
      <w:spacing w:line="360" w:lineRule="auto"/>
      <w:outlineLvl w:val="2"/>
    </w:pPr>
    <w:rPr>
      <w:rFonts w:ascii="仿宋_GB2312" w:hAnsi="仿宋_GB2312" w:eastAsia="仿宋_GB2312" w:cs="Times New Roman"/>
      <w:b/>
      <w:bCs/>
      <w:sz w:val="24"/>
      <w:szCs w:val="24"/>
    </w:rPr>
  </w:style>
  <w:style w:type="character" w:customStyle="1" w:styleId="126">
    <w:name w:val="九城市三级标题 Char Char"/>
    <w:link w:val="125"/>
    <w:qFormat/>
    <w:uiPriority w:val="0"/>
    <w:rPr>
      <w:rFonts w:ascii="仿宋_GB2312" w:hAnsi="仿宋_GB2312" w:eastAsia="仿宋_GB2312" w:cs="Times New Roman"/>
      <w:b/>
      <w:bCs/>
      <w:sz w:val="24"/>
      <w:szCs w:val="24"/>
    </w:rPr>
  </w:style>
  <w:style w:type="paragraph" w:customStyle="1" w:styleId="127">
    <w:name w:val="九城市正文"/>
    <w:basedOn w:val="1"/>
    <w:link w:val="128"/>
    <w:qFormat/>
    <w:uiPriority w:val="0"/>
    <w:pPr>
      <w:spacing w:line="360" w:lineRule="auto"/>
      <w:ind w:firstLine="480" w:firstLineChars="200"/>
    </w:pPr>
    <w:rPr>
      <w:rFonts w:ascii="仿宋_GB2312" w:hAnsi="仿宋_GB2312" w:eastAsia="仿宋_GB2312" w:cs="宋体"/>
      <w:sz w:val="24"/>
      <w:szCs w:val="20"/>
    </w:rPr>
  </w:style>
  <w:style w:type="character" w:customStyle="1" w:styleId="128">
    <w:name w:val="九城市正文 Char"/>
    <w:link w:val="127"/>
    <w:qFormat/>
    <w:uiPriority w:val="0"/>
    <w:rPr>
      <w:rFonts w:ascii="仿宋_GB2312" w:hAnsi="仿宋_GB2312" w:eastAsia="仿宋_GB2312" w:cs="宋体"/>
      <w:sz w:val="24"/>
      <w:szCs w:val="20"/>
    </w:rPr>
  </w:style>
  <w:style w:type="paragraph" w:customStyle="1" w:styleId="129">
    <w:name w:val="模板-表字体（中）"/>
    <w:qFormat/>
    <w:uiPriority w:val="0"/>
    <w:pPr>
      <w:spacing w:line="240" w:lineRule="exact"/>
      <w:jc w:val="center"/>
    </w:pPr>
    <w:rPr>
      <w:rFonts w:ascii="Times New Roman" w:hAnsi="Times New Roman" w:eastAsia="宋体" w:cs="Times New Roman"/>
      <w:kern w:val="2"/>
      <w:sz w:val="18"/>
      <w:szCs w:val="18"/>
      <w:lang w:val="en-US" w:eastAsia="zh-CN" w:bidi="ar-SA"/>
    </w:rPr>
  </w:style>
  <w:style w:type="paragraph" w:customStyle="1" w:styleId="130">
    <w:name w:val="Char1"/>
    <w:basedOn w:val="1"/>
    <w:qFormat/>
    <w:uiPriority w:val="0"/>
    <w:rPr>
      <w:rFonts w:ascii="Tahoma" w:hAnsi="Tahoma" w:eastAsia="宋体" w:cs="Times New Roman"/>
      <w:sz w:val="32"/>
      <w:szCs w:val="24"/>
    </w:rPr>
  </w:style>
  <w:style w:type="character" w:customStyle="1" w:styleId="131">
    <w:name w:val="keylink1"/>
    <w:qFormat/>
    <w:uiPriority w:val="0"/>
    <w:rPr>
      <w:color w:val="0056A9"/>
    </w:rPr>
  </w:style>
  <w:style w:type="character" w:customStyle="1" w:styleId="132">
    <w:name w:val="menulist1"/>
    <w:qFormat/>
    <w:uiPriority w:val="0"/>
    <w:rPr>
      <w:vanish/>
      <w:bdr w:val="single" w:color="CCCCCC" w:sz="6" w:space="0"/>
      <w:shd w:val="clear" w:color="auto" w:fill="F6F6F6"/>
    </w:rPr>
  </w:style>
  <w:style w:type="character" w:customStyle="1" w:styleId="133">
    <w:name w:val="hei141"/>
    <w:basedOn w:val="33"/>
    <w:qFormat/>
    <w:uiPriority w:val="0"/>
  </w:style>
  <w:style w:type="paragraph" w:customStyle="1" w:styleId="134">
    <w:name w:val="5三菱报告_二级标题"/>
    <w:basedOn w:val="4"/>
    <w:next w:val="1"/>
    <w:qFormat/>
    <w:uiPriority w:val="0"/>
    <w:pPr>
      <w:spacing w:before="100" w:beforeAutospacing="1" w:after="100" w:afterAutospacing="1" w:line="360" w:lineRule="auto"/>
      <w:jc w:val="left"/>
    </w:pPr>
    <w:rPr>
      <w:rFonts w:eastAsia="仿宋_GB2312"/>
      <w:bCs/>
      <w:sz w:val="28"/>
      <w:szCs w:val="32"/>
      <w:lang w:val="zh-CN"/>
    </w:rPr>
  </w:style>
  <w:style w:type="paragraph" w:customStyle="1" w:styleId="135">
    <w:name w:val="8三菱报告_正文"/>
    <w:basedOn w:val="1"/>
    <w:link w:val="137"/>
    <w:qFormat/>
    <w:uiPriority w:val="0"/>
    <w:pPr>
      <w:spacing w:line="360" w:lineRule="auto"/>
      <w:ind w:firstLine="200" w:firstLineChars="200"/>
    </w:pPr>
    <w:rPr>
      <w:rFonts w:ascii="Times New Roman" w:hAnsi="Times New Roman" w:eastAsia="仿宋_GB2312" w:cs="Times New Roman"/>
      <w:sz w:val="24"/>
      <w:szCs w:val="24"/>
      <w:lang w:val="zh-CN"/>
    </w:rPr>
  </w:style>
  <w:style w:type="paragraph" w:customStyle="1" w:styleId="136">
    <w:name w:val="9三菱报告_题注"/>
    <w:basedOn w:val="135"/>
    <w:next w:val="135"/>
    <w:qFormat/>
    <w:uiPriority w:val="0"/>
    <w:pPr>
      <w:ind w:firstLine="0" w:firstLineChars="0"/>
      <w:jc w:val="center"/>
    </w:pPr>
    <w:rPr>
      <w:rFonts w:eastAsia="黑体"/>
      <w:sz w:val="20"/>
      <w:szCs w:val="20"/>
    </w:rPr>
  </w:style>
  <w:style w:type="character" w:customStyle="1" w:styleId="137">
    <w:name w:val="8三菱报告_正文 Char"/>
    <w:link w:val="135"/>
    <w:qFormat/>
    <w:uiPriority w:val="0"/>
    <w:rPr>
      <w:rFonts w:ascii="Times New Roman" w:hAnsi="Times New Roman" w:eastAsia="仿宋_GB2312" w:cs="Times New Roman"/>
      <w:sz w:val="24"/>
      <w:szCs w:val="24"/>
      <w:lang w:val="zh-CN" w:eastAsia="zh-CN"/>
    </w:rPr>
  </w:style>
  <w:style w:type="paragraph" w:customStyle="1" w:styleId="138">
    <w:name w:val="3三菱银行_一级标题"/>
    <w:basedOn w:val="3"/>
    <w:next w:val="134"/>
    <w:link w:val="139"/>
    <w:qFormat/>
    <w:uiPriority w:val="0"/>
    <w:pPr>
      <w:snapToGrid w:val="0"/>
      <w:spacing w:before="0" w:after="0" w:line="360" w:lineRule="auto"/>
      <w:jc w:val="center"/>
    </w:pPr>
    <w:rPr>
      <w:rFonts w:eastAsia="黑体"/>
      <w:bCs/>
      <w:sz w:val="32"/>
      <w:szCs w:val="44"/>
      <w:lang w:val="zh-CN"/>
    </w:rPr>
  </w:style>
  <w:style w:type="character" w:customStyle="1" w:styleId="139">
    <w:name w:val="3三菱银行_一级标题 Char Char"/>
    <w:link w:val="138"/>
    <w:qFormat/>
    <w:uiPriority w:val="0"/>
    <w:rPr>
      <w:rFonts w:ascii="Times New Roman" w:hAnsi="Times New Roman" w:eastAsia="黑体" w:cs="Times New Roman"/>
      <w:b/>
      <w:bCs/>
      <w:kern w:val="44"/>
      <w:sz w:val="32"/>
      <w:szCs w:val="44"/>
      <w:lang w:val="zh-CN" w:eastAsia="zh-CN"/>
    </w:rPr>
  </w:style>
  <w:style w:type="character" w:customStyle="1" w:styleId="140">
    <w:name w:val="apple-style-span"/>
    <w:basedOn w:val="33"/>
    <w:qFormat/>
    <w:uiPriority w:val="0"/>
  </w:style>
  <w:style w:type="paragraph" w:customStyle="1" w:styleId="141">
    <w:name w:val="2三菱银行_一级标题编码"/>
    <w:basedOn w:val="138"/>
    <w:next w:val="138"/>
    <w:qFormat/>
    <w:uiPriority w:val="0"/>
    <w:pPr>
      <w:numPr>
        <w:ilvl w:val="0"/>
        <w:numId w:val="6"/>
      </w:numPr>
      <w:tabs>
        <w:tab w:val="left" w:pos="360"/>
        <w:tab w:val="clear" w:pos="522"/>
      </w:tabs>
      <w:ind w:left="0" w:firstLine="0"/>
    </w:pPr>
    <w:rPr>
      <w:lang w:val="en-US"/>
    </w:rPr>
  </w:style>
  <w:style w:type="paragraph" w:customStyle="1" w:styleId="142">
    <w:name w:val="4三菱银行_二级标题编码"/>
    <w:basedOn w:val="134"/>
    <w:next w:val="134"/>
    <w:qFormat/>
    <w:uiPriority w:val="0"/>
    <w:pPr>
      <w:tabs>
        <w:tab w:val="left" w:pos="920"/>
        <w:tab w:val="left" w:pos="1320"/>
      </w:tabs>
      <w:spacing w:before="0" w:beforeAutospacing="0" w:after="0" w:afterAutospacing="0"/>
      <w:ind w:left="920" w:hanging="360"/>
    </w:pPr>
  </w:style>
  <w:style w:type="paragraph" w:customStyle="1" w:styleId="143">
    <w:name w:val="模板-表下空行"/>
    <w:basedOn w:val="1"/>
    <w:qFormat/>
    <w:uiPriority w:val="0"/>
    <w:pPr>
      <w:widowControl/>
      <w:spacing w:line="20" w:lineRule="exact"/>
      <w:jc w:val="left"/>
    </w:pPr>
    <w:rPr>
      <w:rFonts w:ascii="Times New Roman" w:hAnsi="Times New Roman" w:eastAsia="宋体" w:cs="Times New Roman"/>
      <w:sz w:val="10"/>
      <w:szCs w:val="10"/>
    </w:rPr>
  </w:style>
  <w:style w:type="paragraph" w:customStyle="1" w:styleId="144">
    <w:name w:val="国寿-正文"/>
    <w:qFormat/>
    <w:uiPriority w:val="0"/>
    <w:pPr>
      <w:widowControl w:val="0"/>
      <w:spacing w:line="500" w:lineRule="exact"/>
      <w:ind w:firstLine="560" w:firstLineChars="200"/>
      <w:jc w:val="both"/>
    </w:pPr>
    <w:rPr>
      <w:rFonts w:ascii="Times New Roman" w:hAnsi="Times New Roman" w:eastAsia="楷体_GB2312" w:cs="Times New Roman"/>
      <w:kern w:val="2"/>
      <w:sz w:val="28"/>
      <w:szCs w:val="24"/>
      <w:lang w:val="en-US" w:eastAsia="zh-CN" w:bidi="ar-SA"/>
    </w:rPr>
  </w:style>
  <w:style w:type="paragraph" w:customStyle="1" w:styleId="145">
    <w:name w:val="font5"/>
    <w:basedOn w:val="1"/>
    <w:qFormat/>
    <w:uiPriority w:val="0"/>
    <w:pPr>
      <w:widowControl/>
      <w:spacing w:before="100" w:beforeAutospacing="1" w:after="100" w:afterAutospacing="1"/>
      <w:jc w:val="left"/>
    </w:pPr>
    <w:rPr>
      <w:rFonts w:ascii="新宋体" w:hAnsi="新宋体" w:eastAsia="新宋体" w:cs="宋体"/>
      <w:kern w:val="0"/>
      <w:sz w:val="20"/>
      <w:szCs w:val="20"/>
    </w:rPr>
  </w:style>
  <w:style w:type="paragraph" w:customStyle="1" w:styleId="146">
    <w:name w:val="font6"/>
    <w:basedOn w:val="1"/>
    <w:qFormat/>
    <w:uiPriority w:val="0"/>
    <w:pPr>
      <w:widowControl/>
      <w:spacing w:before="100" w:beforeAutospacing="1" w:after="100" w:afterAutospacing="1"/>
      <w:jc w:val="left"/>
    </w:pPr>
    <w:rPr>
      <w:rFonts w:ascii="新宋体" w:hAnsi="新宋体" w:eastAsia="新宋体" w:cs="宋体"/>
      <w:b/>
      <w:bCs/>
      <w:kern w:val="0"/>
      <w:sz w:val="20"/>
      <w:szCs w:val="20"/>
    </w:rPr>
  </w:style>
  <w:style w:type="paragraph" w:customStyle="1" w:styleId="14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b/>
      <w:bCs/>
      <w:kern w:val="0"/>
      <w:sz w:val="20"/>
      <w:szCs w:val="20"/>
    </w:rPr>
  </w:style>
  <w:style w:type="paragraph" w:customStyle="1" w:styleId="148">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b/>
      <w:bCs/>
      <w:kern w:val="0"/>
      <w:sz w:val="20"/>
      <w:szCs w:val="20"/>
    </w:rPr>
  </w:style>
  <w:style w:type="paragraph" w:customStyle="1" w:styleId="14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b/>
      <w:bCs/>
      <w:kern w:val="0"/>
      <w:sz w:val="20"/>
      <w:szCs w:val="20"/>
    </w:rPr>
  </w:style>
  <w:style w:type="paragraph" w:customStyle="1" w:styleId="150">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51">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52">
    <w:name w:val="xl72"/>
    <w:basedOn w:val="1"/>
    <w:qFormat/>
    <w:uiPriority w:val="0"/>
    <w:pPr>
      <w:widowControl/>
      <w:shd w:val="clear" w:color="000000" w:fill="FFFFFF"/>
      <w:spacing w:before="100" w:beforeAutospacing="1" w:after="100" w:afterAutospacing="1"/>
      <w:jc w:val="center"/>
    </w:pPr>
    <w:rPr>
      <w:rFonts w:ascii="新宋体" w:hAnsi="新宋体" w:eastAsia="新宋体" w:cs="宋体"/>
      <w:b/>
      <w:bCs/>
      <w:kern w:val="0"/>
      <w:sz w:val="20"/>
      <w:szCs w:val="20"/>
    </w:rPr>
  </w:style>
  <w:style w:type="paragraph" w:customStyle="1" w:styleId="153">
    <w:name w:val="xl73"/>
    <w:basedOn w:val="1"/>
    <w:qFormat/>
    <w:uiPriority w:val="0"/>
    <w:pPr>
      <w:widowControl/>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54">
    <w:name w:val="xl74"/>
    <w:basedOn w:val="1"/>
    <w:qFormat/>
    <w:uiPriority w:val="0"/>
    <w:pPr>
      <w:widowControl/>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55">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新宋体" w:hAnsi="新宋体" w:eastAsia="新宋体" w:cs="宋体"/>
      <w:b/>
      <w:bCs/>
      <w:kern w:val="0"/>
      <w:sz w:val="20"/>
      <w:szCs w:val="20"/>
    </w:rPr>
  </w:style>
  <w:style w:type="paragraph" w:customStyle="1" w:styleId="1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b/>
      <w:bCs/>
      <w:kern w:val="0"/>
      <w:sz w:val="20"/>
      <w:szCs w:val="20"/>
    </w:rPr>
  </w:style>
  <w:style w:type="paragraph" w:customStyle="1" w:styleId="157">
    <w:name w:val="xl7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58">
    <w:name w:val="xl78"/>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59">
    <w:name w:val="xl7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60">
    <w:name w:val="xl80"/>
    <w:basedOn w:val="1"/>
    <w:qFormat/>
    <w:uiPriority w:val="0"/>
    <w:pPr>
      <w:widowControl/>
      <w:pBdr>
        <w:left w:val="single" w:color="auto" w:sz="4" w:space="0"/>
        <w:bottom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6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18"/>
      <w:szCs w:val="18"/>
    </w:rPr>
  </w:style>
  <w:style w:type="paragraph" w:customStyle="1" w:styleId="162">
    <w:name w:val="xl82"/>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63">
    <w:name w:val="xl8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64">
    <w:name w:val="xl8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65">
    <w:name w:val="xl8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新宋体" w:hAnsi="新宋体" w:eastAsia="新宋体" w:cs="宋体"/>
      <w:kern w:val="0"/>
      <w:sz w:val="20"/>
      <w:szCs w:val="20"/>
    </w:rPr>
  </w:style>
  <w:style w:type="paragraph" w:customStyle="1" w:styleId="166">
    <w:name w:val="xl8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b/>
      <w:bCs/>
      <w:kern w:val="0"/>
      <w:sz w:val="20"/>
      <w:szCs w:val="20"/>
    </w:rPr>
  </w:style>
  <w:style w:type="paragraph" w:customStyle="1" w:styleId="16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b/>
      <w:bCs/>
      <w:kern w:val="0"/>
      <w:sz w:val="20"/>
      <w:szCs w:val="20"/>
    </w:rPr>
  </w:style>
  <w:style w:type="paragraph" w:customStyle="1" w:styleId="168">
    <w:name w:val="xl8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18"/>
      <w:szCs w:val="18"/>
    </w:rPr>
  </w:style>
  <w:style w:type="paragraph" w:customStyle="1" w:styleId="16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8"/>
      <w:szCs w:val="18"/>
    </w:rPr>
  </w:style>
  <w:style w:type="paragraph" w:customStyle="1" w:styleId="170">
    <w:name w:val="xl9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b/>
      <w:bCs/>
      <w:kern w:val="0"/>
      <w:sz w:val="20"/>
      <w:szCs w:val="20"/>
    </w:rPr>
  </w:style>
  <w:style w:type="paragraph" w:customStyle="1" w:styleId="171">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2">
    <w:name w:val="font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3">
    <w:name w:val="xl537"/>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74">
    <w:name w:val="xl538"/>
    <w:basedOn w:val="1"/>
    <w:qFormat/>
    <w:uiPriority w:val="0"/>
    <w:pPr>
      <w:widowControl/>
      <w:shd w:val="clear" w:color="000000" w:fill="FFFF00"/>
      <w:spacing w:before="100" w:beforeAutospacing="1" w:after="100" w:afterAutospacing="1"/>
      <w:jc w:val="center"/>
      <w:textAlignment w:val="center"/>
    </w:pPr>
    <w:rPr>
      <w:rFonts w:ascii="宋体" w:hAnsi="宋体" w:eastAsia="宋体" w:cs="宋体"/>
      <w:b/>
      <w:bCs/>
      <w:color w:val="FF0000"/>
      <w:kern w:val="0"/>
      <w:sz w:val="24"/>
      <w:szCs w:val="24"/>
    </w:rPr>
  </w:style>
  <w:style w:type="paragraph" w:customStyle="1" w:styleId="175">
    <w:name w:val="xl539"/>
    <w:basedOn w:val="1"/>
    <w:qFormat/>
    <w:uiPriority w:val="0"/>
    <w:pPr>
      <w:widowControl/>
      <w:spacing w:before="100" w:beforeAutospacing="1" w:after="100" w:afterAutospacing="1"/>
      <w:jc w:val="center"/>
      <w:textAlignment w:val="center"/>
    </w:pPr>
    <w:rPr>
      <w:rFonts w:ascii="宋体" w:hAnsi="宋体" w:eastAsia="宋体" w:cs="宋体"/>
      <w:b/>
      <w:bCs/>
      <w:color w:val="FF0000"/>
      <w:kern w:val="0"/>
      <w:sz w:val="24"/>
      <w:szCs w:val="24"/>
    </w:rPr>
  </w:style>
  <w:style w:type="paragraph" w:customStyle="1" w:styleId="176">
    <w:name w:val="xl540"/>
    <w:basedOn w:val="1"/>
    <w:qFormat/>
    <w:uiPriority w:val="0"/>
    <w:pPr>
      <w:widowControl/>
      <w:spacing w:before="100" w:beforeAutospacing="1" w:after="100" w:afterAutospacing="1"/>
      <w:jc w:val="center"/>
      <w:textAlignment w:val="center"/>
    </w:pPr>
    <w:rPr>
      <w:rFonts w:ascii="宋体" w:hAnsi="宋体" w:eastAsia="宋体" w:cs="宋体"/>
      <w:b/>
      <w:bCs/>
      <w:color w:val="FF0000"/>
      <w:kern w:val="0"/>
      <w:sz w:val="24"/>
      <w:szCs w:val="24"/>
    </w:rPr>
  </w:style>
  <w:style w:type="paragraph" w:customStyle="1" w:styleId="177">
    <w:name w:val="xl541"/>
    <w:basedOn w:val="1"/>
    <w:qFormat/>
    <w:uiPriority w:val="0"/>
    <w:pPr>
      <w:widowControl/>
      <w:spacing w:before="100" w:beforeAutospacing="1" w:after="100" w:afterAutospacing="1"/>
      <w:jc w:val="center"/>
      <w:textAlignment w:val="center"/>
    </w:pPr>
    <w:rPr>
      <w:rFonts w:ascii="宋体" w:hAnsi="宋体" w:eastAsia="宋体" w:cs="宋体"/>
      <w:b/>
      <w:bCs/>
      <w:color w:val="FF0000"/>
      <w:kern w:val="0"/>
      <w:sz w:val="22"/>
      <w:szCs w:val="22"/>
    </w:rPr>
  </w:style>
  <w:style w:type="paragraph" w:customStyle="1" w:styleId="178">
    <w:name w:val="xl542"/>
    <w:basedOn w:val="1"/>
    <w:qFormat/>
    <w:uiPriority w:val="0"/>
    <w:pPr>
      <w:widowControl/>
      <w:shd w:val="clear" w:color="000000" w:fill="33CCCC"/>
      <w:spacing w:before="100" w:beforeAutospacing="1" w:after="100" w:afterAutospacing="1"/>
      <w:jc w:val="center"/>
      <w:textAlignment w:val="center"/>
    </w:pPr>
    <w:rPr>
      <w:rFonts w:ascii="宋体" w:hAnsi="宋体" w:eastAsia="宋体" w:cs="宋体"/>
      <w:b/>
      <w:bCs/>
      <w:color w:val="FF0000"/>
      <w:kern w:val="0"/>
      <w:sz w:val="24"/>
      <w:szCs w:val="24"/>
    </w:rPr>
  </w:style>
  <w:style w:type="paragraph" w:customStyle="1" w:styleId="179">
    <w:name w:val="xl543"/>
    <w:basedOn w:val="1"/>
    <w:qFormat/>
    <w:uiPriority w:val="0"/>
    <w:pPr>
      <w:widowControl/>
      <w:shd w:val="clear" w:color="000000" w:fill="99CC00"/>
      <w:spacing w:before="100" w:beforeAutospacing="1" w:after="100" w:afterAutospacing="1"/>
      <w:jc w:val="center"/>
      <w:textAlignment w:val="center"/>
    </w:pPr>
    <w:rPr>
      <w:rFonts w:ascii="宋体" w:hAnsi="宋体" w:eastAsia="宋体" w:cs="宋体"/>
      <w:b/>
      <w:bCs/>
      <w:color w:val="FF0000"/>
      <w:kern w:val="0"/>
      <w:sz w:val="24"/>
      <w:szCs w:val="24"/>
    </w:rPr>
  </w:style>
  <w:style w:type="paragraph" w:customStyle="1" w:styleId="180">
    <w:name w:val="xl544"/>
    <w:basedOn w:val="1"/>
    <w:qFormat/>
    <w:uiPriority w:val="0"/>
    <w:pPr>
      <w:widowControl/>
      <w:spacing w:before="100" w:beforeAutospacing="1" w:after="100" w:afterAutospacing="1"/>
      <w:jc w:val="center"/>
    </w:pPr>
    <w:rPr>
      <w:rFonts w:ascii="宋体" w:hAnsi="宋体" w:eastAsia="宋体" w:cs="宋体"/>
      <w:color w:val="000000"/>
      <w:kern w:val="0"/>
      <w:sz w:val="22"/>
      <w:szCs w:val="22"/>
    </w:rPr>
  </w:style>
  <w:style w:type="paragraph" w:customStyle="1" w:styleId="181">
    <w:name w:val="xl54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82">
    <w:name w:val="xl5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83">
    <w:name w:val="xl5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84">
    <w:name w:val="xl5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szCs w:val="22"/>
    </w:rPr>
  </w:style>
  <w:style w:type="paragraph" w:customStyle="1" w:styleId="185">
    <w:name w:val="xl549"/>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jc w:val="center"/>
    </w:pPr>
    <w:rPr>
      <w:rFonts w:ascii="宋体" w:hAnsi="宋体" w:eastAsia="宋体" w:cs="宋体"/>
      <w:color w:val="000000"/>
      <w:kern w:val="0"/>
      <w:sz w:val="22"/>
      <w:szCs w:val="22"/>
    </w:rPr>
  </w:style>
  <w:style w:type="paragraph" w:customStyle="1" w:styleId="186">
    <w:name w:val="xl5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87">
    <w:name w:val="xl5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88">
    <w:name w:val="xl5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89">
    <w:name w:val="xl5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90">
    <w:name w:val="xl554"/>
    <w:basedOn w:val="1"/>
    <w:qFormat/>
    <w:uiPriority w:val="0"/>
    <w:pPr>
      <w:widowControl/>
      <w:shd w:val="clear" w:color="000000" w:fill="FFFF00"/>
      <w:spacing w:before="100" w:beforeAutospacing="1" w:after="100" w:afterAutospacing="1"/>
      <w:jc w:val="left"/>
    </w:pPr>
    <w:rPr>
      <w:rFonts w:ascii="宋体" w:hAnsi="宋体" w:eastAsia="宋体" w:cs="宋体"/>
      <w:color w:val="000000"/>
      <w:kern w:val="0"/>
      <w:sz w:val="22"/>
      <w:szCs w:val="22"/>
    </w:rPr>
  </w:style>
  <w:style w:type="paragraph" w:customStyle="1" w:styleId="191">
    <w:name w:val="xl555"/>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92">
    <w:name w:val="xl556"/>
    <w:basedOn w:val="1"/>
    <w:qFormat/>
    <w:uiPriority w:val="0"/>
    <w:pPr>
      <w:widowControl/>
      <w:shd w:val="clear" w:color="000000" w:fill="33CCCC"/>
      <w:spacing w:before="100" w:beforeAutospacing="1" w:after="100" w:afterAutospacing="1"/>
      <w:jc w:val="center"/>
    </w:pPr>
    <w:rPr>
      <w:rFonts w:ascii="宋体" w:hAnsi="宋体" w:eastAsia="宋体" w:cs="宋体"/>
      <w:color w:val="000000"/>
      <w:kern w:val="0"/>
      <w:sz w:val="22"/>
      <w:szCs w:val="22"/>
    </w:rPr>
  </w:style>
  <w:style w:type="paragraph" w:customStyle="1" w:styleId="193">
    <w:name w:val="xl557"/>
    <w:basedOn w:val="1"/>
    <w:qFormat/>
    <w:uiPriority w:val="0"/>
    <w:pPr>
      <w:widowControl/>
      <w:shd w:val="clear" w:color="000000" w:fill="99CC00"/>
      <w:spacing w:before="100" w:beforeAutospacing="1" w:after="100" w:afterAutospacing="1"/>
      <w:jc w:val="center"/>
    </w:pPr>
    <w:rPr>
      <w:rFonts w:ascii="宋体" w:hAnsi="宋体" w:eastAsia="宋体" w:cs="宋体"/>
      <w:color w:val="000000"/>
      <w:kern w:val="0"/>
      <w:sz w:val="22"/>
      <w:szCs w:val="22"/>
    </w:rPr>
  </w:style>
  <w:style w:type="paragraph" w:customStyle="1" w:styleId="194">
    <w:name w:val="xl55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95">
    <w:name w:val="xl55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0000"/>
      <w:kern w:val="0"/>
      <w:sz w:val="22"/>
      <w:szCs w:val="22"/>
    </w:rPr>
  </w:style>
  <w:style w:type="paragraph" w:customStyle="1" w:styleId="196">
    <w:name w:val="xl560"/>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center"/>
    </w:pPr>
    <w:rPr>
      <w:rFonts w:ascii="宋体" w:hAnsi="宋体" w:eastAsia="宋体" w:cs="宋体"/>
      <w:color w:val="000000"/>
      <w:kern w:val="0"/>
      <w:sz w:val="22"/>
      <w:szCs w:val="22"/>
    </w:rPr>
  </w:style>
  <w:style w:type="paragraph" w:customStyle="1" w:styleId="197">
    <w:name w:val="xl561"/>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98">
    <w:name w:val="xl562"/>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99">
    <w:name w:val="xl563"/>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00">
    <w:name w:val="xl564"/>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201">
    <w:name w:val="xl565"/>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202">
    <w:name w:val="xl566"/>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203">
    <w:name w:val="xl567"/>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4">
    <w:name w:val="xl5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5">
    <w:name w:val="xl569"/>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06">
    <w:name w:val="xl570"/>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07">
    <w:name w:val="xl571"/>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center"/>
    </w:pPr>
    <w:rPr>
      <w:rFonts w:ascii="Calibri" w:hAnsi="Calibri" w:eastAsia="宋体" w:cs="Calibri"/>
      <w:kern w:val="0"/>
    </w:rPr>
  </w:style>
  <w:style w:type="paragraph" w:customStyle="1" w:styleId="208">
    <w:name w:val="报告正文 Char Char"/>
    <w:basedOn w:val="1"/>
    <w:link w:val="209"/>
    <w:qFormat/>
    <w:uiPriority w:val="0"/>
    <w:pPr>
      <w:adjustRightInd w:val="0"/>
      <w:snapToGrid w:val="0"/>
      <w:spacing w:line="336" w:lineRule="auto"/>
      <w:ind w:left="2603"/>
    </w:pPr>
    <w:rPr>
      <w:rFonts w:ascii="华文细黑" w:hAnsi="Times New Roman" w:eastAsia="华文细黑" w:cs="Times New Roman"/>
      <w:sz w:val="22"/>
      <w:szCs w:val="20"/>
      <w:lang w:val="zh-CN"/>
    </w:rPr>
  </w:style>
  <w:style w:type="character" w:customStyle="1" w:styleId="209">
    <w:name w:val="报告正文 Char Char Char"/>
    <w:link w:val="208"/>
    <w:qFormat/>
    <w:uiPriority w:val="0"/>
    <w:rPr>
      <w:rFonts w:ascii="华文细黑" w:hAnsi="Times New Roman" w:eastAsia="华文细黑" w:cs="Times New Roman"/>
      <w:sz w:val="22"/>
      <w:szCs w:val="20"/>
      <w:lang w:val="zh-CN" w:eastAsia="zh-CN"/>
    </w:rPr>
  </w:style>
  <w:style w:type="paragraph" w:customStyle="1" w:styleId="210">
    <w:name w:val="报告正文 Char"/>
    <w:basedOn w:val="1"/>
    <w:qFormat/>
    <w:uiPriority w:val="0"/>
    <w:pPr>
      <w:adjustRightInd w:val="0"/>
      <w:snapToGrid w:val="0"/>
      <w:spacing w:line="336" w:lineRule="auto"/>
      <w:ind w:left="2603"/>
    </w:pPr>
    <w:rPr>
      <w:rFonts w:ascii="华文细黑" w:hAnsi="Times New Roman" w:eastAsia="华文细黑" w:cs="宋体"/>
      <w:sz w:val="22"/>
      <w:szCs w:val="20"/>
    </w:rPr>
  </w:style>
  <w:style w:type="character" w:customStyle="1" w:styleId="211">
    <w:name w:val="8三菱报告_正文 Char Char"/>
    <w:qFormat/>
    <w:uiPriority w:val="0"/>
    <w:rPr>
      <w:rFonts w:eastAsia="仿宋_GB2312"/>
      <w:sz w:val="24"/>
      <w:szCs w:val="24"/>
    </w:rPr>
  </w:style>
  <w:style w:type="character" w:customStyle="1" w:styleId="212">
    <w:name w:val="九城市正文 Char Char"/>
    <w:qFormat/>
    <w:uiPriority w:val="0"/>
    <w:rPr>
      <w:rFonts w:ascii="仿宋_GB2312" w:hAnsi="仿宋_GB2312" w:eastAsia="仿宋_GB2312" w:cs="宋体"/>
      <w:sz w:val="24"/>
    </w:rPr>
  </w:style>
  <w:style w:type="paragraph" w:customStyle="1" w:styleId="213">
    <w:name w:val="每周快报_二级标题"/>
    <w:basedOn w:val="4"/>
    <w:next w:val="1"/>
    <w:qFormat/>
    <w:uiPriority w:val="0"/>
    <w:pPr>
      <w:spacing w:before="0" w:after="0" w:line="360" w:lineRule="auto"/>
      <w:ind w:firstLine="200" w:firstLineChars="200"/>
    </w:pPr>
    <w:rPr>
      <w:rFonts w:ascii="Times New Roman" w:hAnsi="Times New Roman" w:eastAsia="仿宋_GB2312"/>
      <w:bCs/>
      <w:sz w:val="24"/>
      <w:szCs w:val="32"/>
    </w:rPr>
  </w:style>
  <w:style w:type="character" w:customStyle="1" w:styleId="214">
    <w:name w:val="font11"/>
    <w:basedOn w:val="33"/>
    <w:qFormat/>
    <w:uiPriority w:val="0"/>
    <w:rPr>
      <w:rFonts w:hint="eastAsia" w:ascii="宋体" w:hAnsi="宋体" w:eastAsia="宋体" w:cs="宋体"/>
      <w:color w:val="000000"/>
      <w:sz w:val="20"/>
      <w:szCs w:val="20"/>
      <w:u w:val="none"/>
    </w:rPr>
  </w:style>
  <w:style w:type="character" w:customStyle="1" w:styleId="215">
    <w:name w:val="font01"/>
    <w:basedOn w:val="33"/>
    <w:qFormat/>
    <w:uiPriority w:val="0"/>
    <w:rPr>
      <w:rFonts w:hint="eastAsia" w:ascii="宋体" w:hAnsi="宋体" w:eastAsia="宋体"/>
      <w:color w:val="000000"/>
      <w:sz w:val="20"/>
      <w:szCs w:val="20"/>
      <w:u w:val="none"/>
    </w:rPr>
  </w:style>
  <w:style w:type="paragraph" w:customStyle="1" w:styleId="216">
    <w:name w:val="修订2"/>
    <w:hidden/>
    <w:semiHidden/>
    <w:qFormat/>
    <w:uiPriority w:val="99"/>
    <w:rPr>
      <w:rFonts w:asciiTheme="minorHAnsi" w:hAnsiTheme="minorHAnsi" w:eastAsiaTheme="minorEastAsia" w:cstheme="minorBidi"/>
      <w:kern w:val="2"/>
      <w:sz w:val="21"/>
      <w:szCs w:val="21"/>
      <w:lang w:val="en-US" w:eastAsia="zh-CN" w:bidi="ar-SA"/>
    </w:rPr>
  </w:style>
  <w:style w:type="character" w:customStyle="1" w:styleId="217">
    <w:name w:val="font31"/>
    <w:basedOn w:val="33"/>
    <w:qFormat/>
    <w:uiPriority w:val="0"/>
    <w:rPr>
      <w:rFonts w:hint="eastAsia" w:ascii="宋体" w:hAnsi="宋体" w:eastAsia="宋体" w:cs="宋体"/>
      <w:color w:val="000000"/>
      <w:sz w:val="20"/>
      <w:szCs w:val="20"/>
      <w:u w:val="none"/>
    </w:rPr>
  </w:style>
  <w:style w:type="character" w:customStyle="1" w:styleId="218">
    <w:name w:val="font21"/>
    <w:basedOn w:val="3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BC1853-9835-4472-BCB6-4E4481CE841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49</Pages>
  <Words>25038</Words>
  <Characters>27519</Characters>
  <Lines>218</Lines>
  <Paragraphs>61</Paragraphs>
  <TotalTime>20</TotalTime>
  <ScaleCrop>false</ScaleCrop>
  <LinksUpToDate>false</LinksUpToDate>
  <CharactersWithSpaces>27691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2022-04-29T09:04:00Z</dcterms:created>
  <dc:creator>zhengcong</dc:creator>
  <cp:lastModifiedBy>￠苏州河∮</cp:lastModifiedBy>
  <cp:lastPrinted>2016-01-04T06:47:00Z</cp:lastPrinted>
  <dcterms:modified xsi:type="dcterms:W3CDTF">2022-09-06T03:37:44Z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90EAF6000B4840BC9E7FED19FBFA1756</vt:lpwstr>
  </property>
</Properties>
</file>