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after="156"/>
        <w:jc w:val="center"/>
        <w:rPr>
          <w:rFonts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拟拍卖房地产询价报告书</w:t>
      </w:r>
    </w:p>
    <w:p>
      <w:pPr>
        <w:spacing w:before="156" w:after="156"/>
        <w:jc w:val="center"/>
        <w:rPr>
          <w:rFonts w:ascii="宋体" w:hAnsi="宋体"/>
          <w:b/>
          <w:bCs/>
          <w:sz w:val="28"/>
        </w:rPr>
      </w:pPr>
      <w:r>
        <w:rPr>
          <w:rFonts w:hint="eastAsia" w:ascii="宋体" w:hAnsi="宋体"/>
          <w:b/>
          <w:bCs/>
          <w:sz w:val="28"/>
        </w:rPr>
        <w:t>烟明昕咨评字（2022）第019号</w:t>
      </w:r>
    </w:p>
    <w:p>
      <w:pPr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一、询价委托人：</w:t>
      </w:r>
      <w:r>
        <w:rPr>
          <w:rFonts w:hint="eastAsia" w:ascii="宋体" w:hAnsi="宋体" w:cs="宋体"/>
          <w:sz w:val="28"/>
          <w:szCs w:val="28"/>
        </w:rPr>
        <w:t>山东海洋产权交易中心有限公司。</w:t>
      </w:r>
    </w:p>
    <w:p>
      <w:pPr>
        <w:ind w:firstLine="562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二、询价目的：</w:t>
      </w:r>
      <w:r>
        <w:rPr>
          <w:rFonts w:hint="eastAsia" w:ascii="宋体" w:hAnsi="宋体" w:cs="宋体"/>
          <w:sz w:val="28"/>
          <w:szCs w:val="28"/>
        </w:rPr>
        <w:t>为网络司法拍卖提供价值参考。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三、价值时点：</w:t>
      </w:r>
      <w:r>
        <w:rPr>
          <w:rFonts w:hint="eastAsia" w:ascii="宋体" w:hAnsi="宋体" w:cs="宋体"/>
          <w:sz w:val="28"/>
          <w:szCs w:val="28"/>
        </w:rPr>
        <w:t>2022年7月13日。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四、询价依据：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1、《中华人民共和国价格法》；</w:t>
      </w:r>
    </w:p>
    <w:p>
      <w:pPr>
        <w:spacing w:line="580" w:lineRule="exact"/>
        <w:ind w:firstLine="560" w:firstLineChars="200"/>
        <w:jc w:val="left"/>
        <w:rPr>
          <w:rFonts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</w:t>
      </w:r>
      <w:r>
        <w:rPr>
          <w:rFonts w:hint="eastAsia" w:hAnsi="宋体" w:cs="宋体"/>
          <w:sz w:val="28"/>
          <w:szCs w:val="28"/>
        </w:rPr>
        <w:t>《中华人民共和国资产评估法》；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3、《山东省价格鉴证评估操作规范》；</w:t>
      </w:r>
    </w:p>
    <w:p>
      <w:pPr>
        <w:spacing w:line="580" w:lineRule="exact"/>
        <w:ind w:firstLine="560" w:firstLineChars="200"/>
        <w:jc w:val="left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</w:t>
      </w:r>
      <w:r>
        <w:rPr>
          <w:rFonts w:hint="eastAsia" w:hAnsi="宋体" w:cs="宋体"/>
          <w:sz w:val="28"/>
          <w:szCs w:val="28"/>
        </w:rPr>
        <w:t>《中华人民共和国城市房地产管理法》；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5</w:t>
      </w:r>
      <w:r>
        <w:rPr>
          <w:rFonts w:hint="eastAsia" w:ascii="宋体" w:hAnsi="宋体" w:cs="宋体"/>
          <w:sz w:val="28"/>
          <w:szCs w:val="28"/>
        </w:rPr>
        <w:t>、《资产评估基本准则》；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6</w:t>
      </w:r>
      <w:r>
        <w:rPr>
          <w:rFonts w:hint="eastAsia" w:ascii="宋体" w:hAnsi="宋体" w:cs="宋体"/>
          <w:sz w:val="28"/>
          <w:szCs w:val="28"/>
        </w:rPr>
        <w:t>、委托人提供的有关资料；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7</w:t>
      </w:r>
      <w:r>
        <w:rPr>
          <w:rFonts w:hint="eastAsia" w:ascii="宋体" w:hAnsi="宋体" w:cs="宋体"/>
          <w:sz w:val="28"/>
          <w:szCs w:val="28"/>
        </w:rPr>
        <w:t>、估价人员现场勘查和市场调查所获得的有关资料；</w:t>
      </w:r>
    </w:p>
    <w:p>
      <w:pPr>
        <w:spacing w:line="58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8</w:t>
      </w:r>
      <w:r>
        <w:rPr>
          <w:rFonts w:hint="eastAsia" w:ascii="宋体" w:hAnsi="宋体" w:cs="宋体"/>
          <w:sz w:val="28"/>
          <w:szCs w:val="28"/>
        </w:rPr>
        <w:t>、其他与本次评估相关的法律、法规。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五、询价对象：</w:t>
      </w:r>
    </w:p>
    <w:p>
      <w:pPr>
        <w:ind w:firstLine="640" w:firstLineChars="200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pacing w:val="20"/>
          <w:sz w:val="28"/>
          <w:szCs w:val="28"/>
        </w:rPr>
        <w:t>询价对象为涉案的</w:t>
      </w:r>
      <w:r>
        <w:rPr>
          <w:rFonts w:hint="eastAsia" w:ascii="宋体" w:hAnsi="宋体" w:cs="宋体"/>
          <w:sz w:val="28"/>
          <w:szCs w:val="28"/>
        </w:rPr>
        <w:t>位于海阳市北京路东，凤凰山领秀墅院2号楼301号、303号、304号房产，4号楼1-401号阁楼、2-402号阁楼；位于海阳市北京路西，李家村海阳市凤凰新城11号楼501号阁楼、12号楼505号阁楼、12号楼506号阁楼、12号楼507号阁楼的市场价格。</w:t>
      </w: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ind w:firstLine="560" w:firstLineChars="200"/>
        <w:rPr>
          <w:rFonts w:ascii="宋体" w:hAnsi="宋体" w:cs="宋体"/>
          <w:sz w:val="28"/>
          <w:szCs w:val="28"/>
        </w:rPr>
      </w:pPr>
    </w:p>
    <w:p>
      <w:pPr>
        <w:numPr>
          <w:ilvl w:val="0"/>
          <w:numId w:val="1"/>
        </w:numPr>
        <w:snapToGrid w:val="0"/>
        <w:spacing w:line="500" w:lineRule="atLeas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询价对象状况</w:t>
      </w:r>
    </w:p>
    <w:tbl>
      <w:tblPr>
        <w:tblStyle w:val="5"/>
        <w:tblW w:w="885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9"/>
        <w:gridCol w:w="987"/>
        <w:gridCol w:w="1013"/>
        <w:gridCol w:w="1000"/>
        <w:gridCol w:w="800"/>
        <w:gridCol w:w="849"/>
        <w:gridCol w:w="1134"/>
        <w:gridCol w:w="16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标的名称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建筑面积（㎡）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分摊面积（㎡）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总层数（地上）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所在层数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用途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结构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装修情况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海阳市凤凰山领秀墅院2号楼301号房产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113.62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3-4层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毛坯，断桥铝门窗，室内毛坯楼梯，无扶手，4层的阳台29.53m²、东阳台10.23 m²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海阳市凤凰山领秀墅院2号楼303号房产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113.62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3-4层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毛坯，断桥铝门窗，室内楼梯毛坯无扶手，4层西阳台7.66m²、东阳台10.32m²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海阳市凤凰山领秀墅院2号楼304号房产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113.62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13.69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4层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3-4层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毛坯未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进室内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，西阳台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29.43 m²，室外楼梯理石踏步，黑色铁艺扶手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海阳市凤凰山领秀墅院4号楼1-401号阁楼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81.41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11.22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位于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6层东户，毛坯未装修，室外楼梯理石踏步，黑色铁艺扶手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海阳市凤凰山领秀墅院4号楼2-402号阁楼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79.53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10.96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位于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6层西户，毛坯未装修，西北阳台5.55m²，室外楼梯理石踏步，不锈钢扶手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海阳市凤凰新城11号楼501号阁楼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68.67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钢筋混凝土，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毛坯未装修，位于6层东户，室外楼梯理石踏，不锈钢扶手，防盗入户门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海阳市凤凰新城12号楼505号阁楼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59.66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毛坯未装修，位于6层，西户室外楼梯理石踏步，不锈钢扶手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海阳市凤凰新城12号楼506号阁楼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80.5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毛坯未装修，室外楼梯理石踏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步，不锈钢扶手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" w:hRule="exact"/>
        </w:trPr>
        <w:tc>
          <w:tcPr>
            <w:tcW w:w="14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海阳市凤凰新城12号楼507号阁楼</w:t>
            </w: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69.86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/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6层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阁楼层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住宅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钢筋混凝土</w:t>
            </w:r>
          </w:p>
        </w:tc>
        <w:tc>
          <w:tcPr>
            <w:tcW w:w="161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毛坯未装修，室外楼梯理石踏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步，不锈钢扶手</w:t>
            </w:r>
          </w:p>
        </w:tc>
      </w:tr>
    </w:tbl>
    <w:p>
      <w:pPr>
        <w:numPr>
          <w:ilvl w:val="0"/>
          <w:numId w:val="1"/>
        </w:numPr>
        <w:snapToGrid w:val="0"/>
        <w:spacing w:line="520" w:lineRule="exact"/>
        <w:rPr>
          <w:rFonts w:ascii="宋体" w:hAnsi="宋体" w:cs="宋体"/>
          <w:sz w:val="28"/>
          <w:szCs w:val="28"/>
        </w:rPr>
      </w:pPr>
      <w:bookmarkStart w:id="0" w:name="OLE_LINK16"/>
      <w:r>
        <w:rPr>
          <w:rFonts w:hint="eastAsia" w:ascii="宋体" w:hAnsi="宋体" w:cs="宋体"/>
          <w:sz w:val="28"/>
          <w:szCs w:val="28"/>
        </w:rPr>
        <w:t>估价对象权益状况</w:t>
      </w:r>
    </w:p>
    <w:p>
      <w:pPr>
        <w:snapToGrid w:val="0"/>
        <w:spacing w:line="520" w:lineRule="exact"/>
        <w:ind w:firstLine="56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根据商品房买卖合同记载：房地产买受人为</w:t>
      </w:r>
      <w:r>
        <w:rPr>
          <w:rFonts w:hint="eastAsia" w:ascii="宋体" w:hAnsi="宋体" w:cs="宋体"/>
          <w:spacing w:val="20"/>
          <w:sz w:val="28"/>
          <w:szCs w:val="28"/>
        </w:rPr>
        <w:t>杨小红</w:t>
      </w:r>
      <w:r>
        <w:rPr>
          <w:rFonts w:hint="eastAsia" w:ascii="宋体" w:hAnsi="宋体" w:cs="宋体"/>
          <w:sz w:val="28"/>
          <w:szCs w:val="28"/>
        </w:rPr>
        <w:t>。</w:t>
      </w:r>
    </w:p>
    <w:p>
      <w:pPr>
        <w:numPr>
          <w:ilvl w:val="0"/>
          <w:numId w:val="1"/>
        </w:numPr>
        <w:snapToGrid w:val="0"/>
        <w:spacing w:line="520" w:lineRule="exac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估价对象区位状况</w:t>
      </w:r>
    </w:p>
    <w:tbl>
      <w:tblPr>
        <w:tblStyle w:val="6"/>
        <w:tblW w:w="90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1"/>
        <w:gridCol w:w="863"/>
        <w:gridCol w:w="6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16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坐落</w:t>
            </w:r>
          </w:p>
        </w:tc>
        <w:tc>
          <w:tcPr>
            <w:tcW w:w="6875" w:type="dxa"/>
            <w:gridSpan w:val="2"/>
            <w:noWrap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海阳市北京路东.凤凰山领秀墅院2号楼301号、303号、304号房产，4号楼1-401号阁楼、2-402号阁楼，海阳市凤凰新城11号楼501号阁楼、12号楼505号阁楼、12号楼506号阁楼、12号楼507号阁楼。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vMerge w:val="restart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位置</w:t>
            </w:r>
          </w:p>
        </w:tc>
        <w:tc>
          <w:tcPr>
            <w:tcW w:w="863" w:type="dxa"/>
            <w:noWrap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西</w:t>
            </w:r>
          </w:p>
        </w:tc>
        <w:tc>
          <w:tcPr>
            <w:tcW w:w="6012" w:type="dxa"/>
            <w:noWrap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西临香江街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2161" w:type="dxa"/>
            <w:vMerge w:val="continue"/>
            <w:noWrap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863" w:type="dxa"/>
            <w:noWrap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东</w:t>
            </w:r>
          </w:p>
        </w:tc>
        <w:tc>
          <w:tcPr>
            <w:tcW w:w="6012" w:type="dxa"/>
            <w:noWrap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东临北京路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6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公共服务配套设施</w:t>
            </w:r>
          </w:p>
        </w:tc>
        <w:tc>
          <w:tcPr>
            <w:tcW w:w="6875" w:type="dxa"/>
            <w:gridSpan w:val="2"/>
            <w:noWrap/>
          </w:tcPr>
          <w:p>
            <w:pPr>
              <w:spacing w:line="360" w:lineRule="auto"/>
              <w:ind w:firstLine="48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周边有恒丰银行、烟台银行，超市，生产生活较为便利，附近有海阳市人民医院，育才中学，海阳市第四中学等公共服务配套较为设施齐全，自然环境良好。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2161" w:type="dxa"/>
            <w:noWrap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交通情况</w:t>
            </w:r>
          </w:p>
        </w:tc>
        <w:tc>
          <w:tcPr>
            <w:tcW w:w="6875" w:type="dxa"/>
            <w:gridSpan w:val="2"/>
            <w:noWrap/>
            <w:vAlign w:val="center"/>
          </w:tcPr>
          <w:p>
            <w:pPr>
              <w:spacing w:line="360" w:lineRule="auto"/>
              <w:ind w:firstLine="480"/>
              <w:jc w:val="left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附近有海阳5路、6路，区域路网较发达，交通较为便捷，无交通管制，停车方便。</w:t>
            </w:r>
          </w:p>
        </w:tc>
      </w:tr>
      <w:bookmarkEnd w:id="0"/>
    </w:tbl>
    <w:p>
      <w:pPr>
        <w:pStyle w:val="2"/>
        <w:numPr>
          <w:ilvl w:val="0"/>
          <w:numId w:val="2"/>
        </w:numPr>
        <w:spacing w:line="500" w:lineRule="exact"/>
        <w:ind w:firstLine="562" w:firstLineChars="200"/>
        <w:rPr>
          <w:rFonts w:hAnsi="宋体" w:cs="宋体"/>
          <w:b/>
          <w:bCs/>
          <w:sz w:val="28"/>
          <w:szCs w:val="28"/>
        </w:rPr>
      </w:pPr>
      <w:r>
        <w:rPr>
          <w:rFonts w:hint="eastAsia" w:hAnsi="宋体" w:cs="宋体"/>
          <w:b/>
          <w:bCs/>
          <w:sz w:val="28"/>
          <w:szCs w:val="28"/>
        </w:rPr>
        <w:t>价值类型：</w:t>
      </w:r>
    </w:p>
    <w:p>
      <w:pPr>
        <w:pStyle w:val="2"/>
        <w:spacing w:line="500" w:lineRule="exact"/>
        <w:ind w:firstLine="516" w:firstLineChars="200"/>
        <w:rPr>
          <w:rFonts w:hAnsi="宋体" w:cs="宋体"/>
          <w:spacing w:val="-11"/>
          <w:sz w:val="28"/>
          <w:szCs w:val="28"/>
        </w:rPr>
      </w:pPr>
      <w:r>
        <w:rPr>
          <w:rFonts w:hint="eastAsia" w:hAnsi="宋体" w:cs="宋体"/>
          <w:spacing w:val="-11"/>
          <w:sz w:val="28"/>
          <w:szCs w:val="28"/>
        </w:rPr>
        <w:t>本次询价采用市场价值，即询价对象在价值时点时公开的市场价值。</w:t>
      </w:r>
    </w:p>
    <w:p>
      <w:pPr>
        <w:pStyle w:val="2"/>
        <w:numPr>
          <w:ilvl w:val="0"/>
          <w:numId w:val="2"/>
        </w:numPr>
        <w:tabs>
          <w:tab w:val="left" w:pos="383"/>
        </w:tabs>
        <w:spacing w:line="500" w:lineRule="exact"/>
        <w:ind w:firstLine="562" w:firstLineChars="200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ab/>
      </w:r>
      <w:r>
        <w:rPr>
          <w:rFonts w:hint="eastAsia"/>
          <w:b/>
          <w:bCs/>
          <w:sz w:val="28"/>
          <w:szCs w:val="28"/>
        </w:rPr>
        <w:t>询价方法：市场法。</w:t>
      </w:r>
    </w:p>
    <w:p>
      <w:pPr>
        <w:snapToGrid w:val="0"/>
        <w:spacing w:line="500" w:lineRule="exact"/>
        <w:ind w:firstLine="561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市场法是基于替代原理，即在同一市场上，具有相同使用价值和质量的商品，应具有相同的价格。其技术路线为：根据替代原则，选取数个与估价对象在同一供需圈内的具有可比性的案例，比较它们在正常情况下的区域因素和个别因素等方面的差异，求得估价对象在正常市场情况下的价格。</w:t>
      </w:r>
    </w:p>
    <w:p>
      <w:pPr>
        <w:snapToGrid w:val="0"/>
        <w:spacing w:line="500" w:lineRule="exact"/>
        <w:ind w:firstLine="561"/>
        <w:rPr>
          <w:rFonts w:ascii="宋体" w:hAnsi="宋体" w:cs="宋体"/>
          <w:sz w:val="28"/>
          <w:szCs w:val="28"/>
        </w:rPr>
      </w:pPr>
      <w:bookmarkStart w:id="1" w:name="OLE_LINK20"/>
      <w:r>
        <w:rPr>
          <w:rFonts w:hint="eastAsia" w:ascii="宋体" w:hAnsi="宋体" w:cs="宋体"/>
          <w:sz w:val="28"/>
          <w:szCs w:val="28"/>
        </w:rPr>
        <w:t>估价对象是住宅，目前市场该类房地产交易实例较多，附近类似房屋有市场交易，用市场比较法足以反映询价对象市场价值，可以选用市场法进行评估。</w:t>
      </w:r>
      <w:bookmarkEnd w:id="1"/>
    </w:p>
    <w:p>
      <w:pPr>
        <w:numPr>
          <w:ilvl w:val="0"/>
          <w:numId w:val="2"/>
        </w:numPr>
        <w:spacing w:line="50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询价结果：</w:t>
      </w:r>
    </w:p>
    <w:p>
      <w:pPr>
        <w:spacing w:line="500" w:lineRule="exact"/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询价对象于询价时点评估的市场价值为人民币</w:t>
      </w:r>
      <w:r>
        <w:rPr>
          <w:rFonts w:hint="eastAsia" w:ascii="宋体" w:hAnsi="宋体" w:cs="宋体"/>
          <w:b/>
          <w:bCs/>
          <w:color w:val="000000"/>
          <w:sz w:val="28"/>
          <w:szCs w:val="28"/>
        </w:rPr>
        <w:t>195.6614万</w:t>
      </w:r>
      <w:r>
        <w:rPr>
          <w:rFonts w:hint="eastAsia" w:ascii="宋体" w:hAnsi="宋体" w:cs="宋体"/>
          <w:b/>
          <w:bCs/>
          <w:sz w:val="28"/>
          <w:szCs w:val="28"/>
        </w:rPr>
        <w:t>元（人民币大写：壹佰玖拾伍万陆仟陆佰壹拾肆元整）。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具体评估价值如下：</w:t>
      </w:r>
    </w:p>
    <w:tbl>
      <w:tblPr>
        <w:tblStyle w:val="5"/>
        <w:tblW w:w="806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32"/>
        <w:gridCol w:w="1481"/>
        <w:gridCol w:w="972"/>
        <w:gridCol w:w="1332"/>
        <w:gridCol w:w="11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房屋坐落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房号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建筑面积（㎡）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评估单价（元/㎡）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2"/>
                <w:szCs w:val="22"/>
              </w:rPr>
              <w:t>评估总价（元）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海阳市凤凰山领秀墅院2号楼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301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113.62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海阳市凤凰山领秀墅院2号楼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113.62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海阳市凤凰山领秀墅院2号楼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304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113.62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3140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356767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海阳市凤凰山领秀墅院4号楼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1-401号阁楼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81.41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214922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海阳市凤凰山领秀墅院4号楼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2-402号阁楼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79.53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2640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209959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海阳市凤凰新城11号楼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501号阁楼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68.67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113992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海阳市凤凰新城12号楼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505号阁楼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59.66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1640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97842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海阳市凤凰新城12号楼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506号阁楼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80.50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133630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海阳市凤凰新城12号楼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507号阁楼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69.86</w:t>
            </w: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1660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115968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</w:trPr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总计</w:t>
            </w:r>
          </w:p>
        </w:tc>
        <w:tc>
          <w:tcPr>
            <w:tcW w:w="1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1956614</w:t>
            </w:r>
          </w:p>
        </w:tc>
      </w:tr>
    </w:tbl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九、假设和限定条件：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1、询价对象权属无异议；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2、各方所提供的资料是客观、真实的。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3、询价对象建筑面积以委托方提供的商品房买卖合同为依据，最终面积应以房产测绘面积为准。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十、声明：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1、本次询价报告中所陈述的事实是真实的和准确的，所提供资料的真实性由提供方负责；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2、本询价结论是估价人员通过客观、公正的专业分析、计算所得的结论，但受本报告中的假设和限制条件的限制；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3、估价人员与本次委估标的没有利害关系，也与有关当事人没有利害关系或偏见；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4、本次询价结论仅对本次委托有效，不作他用；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5、本次询价结果受评估人员调查范围、专业技术能力和特殊交易方式的影响；</w:t>
      </w:r>
    </w:p>
    <w:p>
      <w:pPr>
        <w:spacing w:line="500" w:lineRule="exact"/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6、本次询价结果仅为网络司法拍卖提供价值参考，不具有法律强制性，也不代表估价对象最终能实现的成交价格。 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十一、报告有效期：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评估报告有效期为12个月，自报告出具之日起开始计算。</w:t>
      </w:r>
    </w:p>
    <w:p>
      <w:pPr>
        <w:ind w:firstLine="562" w:firstLineChars="2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十二、附件：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1、商品房买卖合同复印件；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2、评估标的</w:t>
      </w:r>
      <w:r>
        <w:rPr>
          <w:rFonts w:hint="eastAsia" w:ascii="宋体" w:hAnsi="宋体" w:cs="宋体"/>
          <w:sz w:val="28"/>
          <w:szCs w:val="28"/>
          <w:lang w:val="en-US" w:eastAsia="zh-CN"/>
        </w:rPr>
        <w:t>物</w:t>
      </w:r>
      <w:bookmarkStart w:id="2" w:name="_GoBack"/>
      <w:bookmarkEnd w:id="2"/>
      <w:r>
        <w:rPr>
          <w:rFonts w:hint="eastAsia" w:ascii="宋体" w:hAnsi="宋体" w:cs="宋体"/>
          <w:sz w:val="28"/>
          <w:szCs w:val="28"/>
        </w:rPr>
        <w:t>照片复印件；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3、评估机构营业执照、评估机构资质登记证书复印件；</w:t>
      </w:r>
    </w:p>
    <w:p>
      <w:pPr>
        <w:ind w:firstLine="560" w:firstLineChars="200"/>
        <w:jc w:val="left"/>
        <w:rPr>
          <w:rFonts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4、估价人员执业登记证书复印件。</w:t>
      </w:r>
    </w:p>
    <w:p>
      <w:pPr>
        <w:pStyle w:val="2"/>
        <w:ind w:firstLine="562" w:firstLineChars="200"/>
        <w:rPr>
          <w:rFonts w:hAnsi="宋体"/>
          <w:b/>
          <w:bCs/>
          <w:kern w:val="20"/>
          <w:sz w:val="28"/>
          <w:szCs w:val="28"/>
        </w:rPr>
      </w:pPr>
      <w:r>
        <w:rPr>
          <w:rFonts w:hint="eastAsia" w:hAnsi="宋体"/>
          <w:b/>
          <w:bCs/>
          <w:sz w:val="28"/>
          <w:szCs w:val="28"/>
        </w:rPr>
        <w:t>十三、价格评估人员：</w:t>
      </w:r>
    </w:p>
    <w:p>
      <w:pPr>
        <w:pStyle w:val="2"/>
        <w:ind w:firstLine="560" w:firstLineChars="200"/>
        <w:rPr>
          <w:rFonts w:hAnsi="宋体" w:eastAsiaTheme="minorEastAsia"/>
          <w:kern w:val="20"/>
          <w:sz w:val="28"/>
          <w:szCs w:val="28"/>
        </w:rPr>
      </w:pPr>
      <w:r>
        <w:rPr>
          <w:rFonts w:hint="eastAsia" w:hAnsi="宋体"/>
          <w:kern w:val="20"/>
          <w:sz w:val="28"/>
          <w:szCs w:val="28"/>
        </w:rPr>
        <w:t>姓名        执业资格名称    资格证号    签</w:t>
      </w:r>
      <w:r>
        <w:rPr>
          <w:rFonts w:hint="eastAsia"/>
          <w:kern w:val="20"/>
          <w:sz w:val="28"/>
          <w:szCs w:val="28"/>
        </w:rPr>
        <w:t>字</w:t>
      </w:r>
    </w:p>
    <w:p>
      <w:pPr>
        <w:pStyle w:val="2"/>
        <w:ind w:firstLine="562" w:firstLineChars="200"/>
        <w:rPr>
          <w:rFonts w:hAnsi="宋体"/>
          <w:b/>
          <w:bCs/>
          <w:sz w:val="28"/>
          <w:szCs w:val="28"/>
        </w:rPr>
      </w:pPr>
      <w:r>
        <w:rPr>
          <w:rFonts w:hint="eastAsia" w:hAnsi="宋体"/>
          <w:b/>
          <w:bCs/>
          <w:kern w:val="20"/>
          <w:sz w:val="28"/>
          <w:szCs w:val="28"/>
        </w:rPr>
        <w:t xml:space="preserve">孙明珠      价格鉴证师      </w:t>
      </w:r>
      <w:r>
        <w:rPr>
          <w:rFonts w:hint="eastAsia" w:hAnsi="宋体"/>
          <w:b/>
          <w:bCs/>
          <w:sz w:val="28"/>
          <w:szCs w:val="28"/>
        </w:rPr>
        <w:t>0014171</w:t>
      </w:r>
    </w:p>
    <w:p>
      <w:pPr>
        <w:pStyle w:val="2"/>
        <w:ind w:firstLine="562" w:firstLineChars="200"/>
        <w:rPr>
          <w:rFonts w:hAnsi="宋体"/>
          <w:b/>
          <w:bCs/>
          <w:sz w:val="28"/>
          <w:szCs w:val="28"/>
        </w:rPr>
      </w:pPr>
    </w:p>
    <w:p>
      <w:pPr>
        <w:pStyle w:val="2"/>
        <w:ind w:firstLine="562" w:firstLineChars="200"/>
        <w:rPr>
          <w:rFonts w:hAnsi="宋体"/>
          <w:b/>
          <w:bCs/>
          <w:sz w:val="28"/>
          <w:szCs w:val="28"/>
        </w:rPr>
      </w:pPr>
    </w:p>
    <w:p>
      <w:pPr>
        <w:pStyle w:val="2"/>
        <w:ind w:firstLine="562" w:firstLineChars="200"/>
        <w:rPr>
          <w:rFonts w:hAnsi="宋体"/>
          <w:b/>
          <w:sz w:val="28"/>
          <w:szCs w:val="28"/>
        </w:rPr>
      </w:pPr>
      <w:r>
        <w:rPr>
          <w:rFonts w:hint="eastAsia" w:hAnsi="宋体"/>
          <w:b/>
          <w:kern w:val="20"/>
          <w:sz w:val="28"/>
          <w:szCs w:val="28"/>
        </w:rPr>
        <w:t xml:space="preserve">于佳彤      价格鉴证师      </w:t>
      </w:r>
      <w:r>
        <w:rPr>
          <w:rFonts w:hint="eastAsia" w:hAnsi="宋体"/>
          <w:b/>
          <w:sz w:val="28"/>
          <w:szCs w:val="28"/>
        </w:rPr>
        <w:t>001</w:t>
      </w:r>
      <w:r>
        <w:rPr>
          <w:rFonts w:hAnsi="宋体"/>
          <w:b/>
          <w:sz w:val="28"/>
          <w:szCs w:val="28"/>
        </w:rPr>
        <w:t>845</w:t>
      </w:r>
      <w:r>
        <w:rPr>
          <w:rFonts w:hint="eastAsia" w:hAnsi="宋体"/>
          <w:b/>
          <w:sz w:val="28"/>
          <w:szCs w:val="28"/>
        </w:rPr>
        <w:t>5</w:t>
      </w:r>
    </w:p>
    <w:p>
      <w:pPr>
        <w:pStyle w:val="2"/>
        <w:ind w:firstLine="562" w:firstLineChars="200"/>
        <w:rPr>
          <w:rFonts w:hAnsi="宋体"/>
          <w:b/>
          <w:sz w:val="28"/>
          <w:szCs w:val="28"/>
        </w:rPr>
      </w:pPr>
    </w:p>
    <w:p>
      <w:pPr>
        <w:ind w:firstLine="4779" w:firstLineChars="1700"/>
        <w:jc w:val="left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烟台明昕价格评估有限公司</w:t>
      </w:r>
    </w:p>
    <w:p>
      <w:pPr>
        <w:ind w:firstLine="5341" w:firstLineChars="1900"/>
        <w:jc w:val="left"/>
      </w:pPr>
      <w:r>
        <w:rPr>
          <w:rFonts w:hint="eastAsia" w:ascii="宋体" w:hAnsi="宋体" w:cs="宋体"/>
          <w:b/>
          <w:bCs/>
          <w:sz w:val="28"/>
          <w:szCs w:val="28"/>
        </w:rPr>
        <w:t>二0二二年八月二日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E451506"/>
    <w:multiLevelType w:val="multilevel"/>
    <w:tmpl w:val="3E451506"/>
    <w:lvl w:ilvl="0" w:tentative="0">
      <w:start w:val="1"/>
      <w:numFmt w:val="japaneseCounting"/>
      <w:lvlText w:val="（%1）"/>
      <w:lvlJc w:val="left"/>
      <w:pPr>
        <w:tabs>
          <w:tab w:val="left" w:pos="1275"/>
        </w:tabs>
        <w:ind w:left="1275" w:hanging="85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260"/>
        </w:tabs>
        <w:ind w:left="12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680"/>
        </w:tabs>
        <w:ind w:left="16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100"/>
        </w:tabs>
        <w:ind w:left="21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520"/>
        </w:tabs>
        <w:ind w:left="25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940"/>
        </w:tabs>
        <w:ind w:left="29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360"/>
        </w:tabs>
        <w:ind w:left="33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780"/>
        </w:tabs>
        <w:ind w:left="37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200"/>
        </w:tabs>
        <w:ind w:left="4200" w:hanging="420"/>
      </w:pPr>
    </w:lvl>
  </w:abstractNum>
  <w:abstractNum w:abstractNumId="1">
    <w:nsid w:val="53CB89BD"/>
    <w:multiLevelType w:val="singleLevel"/>
    <w:tmpl w:val="53CB89BD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ZhODIyMjI5MDNmOWQ0ZTIzOWRhMTFjOGFjNDI3ZDMifQ=="/>
  </w:docVars>
  <w:rsids>
    <w:rsidRoot w:val="000056E6"/>
    <w:rsid w:val="000056E6"/>
    <w:rsid w:val="00287FF4"/>
    <w:rsid w:val="004F7BE0"/>
    <w:rsid w:val="00650942"/>
    <w:rsid w:val="00650BD1"/>
    <w:rsid w:val="006650D2"/>
    <w:rsid w:val="008B46E9"/>
    <w:rsid w:val="008E35B6"/>
    <w:rsid w:val="00C06F79"/>
    <w:rsid w:val="00F411D9"/>
    <w:rsid w:val="036129D5"/>
    <w:rsid w:val="03D15FDA"/>
    <w:rsid w:val="03E1727B"/>
    <w:rsid w:val="0ECC0FEA"/>
    <w:rsid w:val="14507177"/>
    <w:rsid w:val="200603BB"/>
    <w:rsid w:val="238503A9"/>
    <w:rsid w:val="2E9A3270"/>
    <w:rsid w:val="327A0A17"/>
    <w:rsid w:val="40D02147"/>
    <w:rsid w:val="44757A39"/>
    <w:rsid w:val="450B2CA4"/>
    <w:rsid w:val="471F573B"/>
    <w:rsid w:val="480835D6"/>
    <w:rsid w:val="4DD3107F"/>
    <w:rsid w:val="52D20739"/>
    <w:rsid w:val="53961388"/>
    <w:rsid w:val="5B600F79"/>
    <w:rsid w:val="5D123920"/>
    <w:rsid w:val="5EA37916"/>
    <w:rsid w:val="742658CA"/>
    <w:rsid w:val="7C297E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qFormat/>
    <w:uiPriority w:val="0"/>
    <w:rPr>
      <w:sz w:val="18"/>
      <w:szCs w:val="18"/>
    </w:rPr>
  </w:style>
  <w:style w:type="character" w:customStyle="1" w:styleId="9">
    <w:name w:val="页脚 字符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2140</Words>
  <Characters>2485</Characters>
  <Lines>19</Lines>
  <Paragraphs>5</Paragraphs>
  <TotalTime>7</TotalTime>
  <ScaleCrop>false</ScaleCrop>
  <LinksUpToDate>false</LinksUpToDate>
  <CharactersWithSpaces>2532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22230</dc:creator>
  <cp:lastModifiedBy>明珠</cp:lastModifiedBy>
  <dcterms:modified xsi:type="dcterms:W3CDTF">2022-08-02T01:55:09Z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08835C9600514E79B5274E16A83A35BC</vt:lpwstr>
  </property>
</Properties>
</file>