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937" w:beforeLines="300" w:after="100" w:line="360" w:lineRule="auto"/>
        <w:jc w:val="center"/>
        <w:textAlignment w:val="auto"/>
        <w:rPr>
          <w:rFonts w:ascii="Calibri" w:hAnsi="Calibri" w:eastAsia="华文楷体"/>
          <w:b/>
          <w:spacing w:val="6"/>
          <w:sz w:val="36"/>
          <w:szCs w:val="36"/>
          <w:lang w:eastAsia="zh-CN"/>
        </w:rPr>
      </w:pPr>
      <w:r>
        <w:rPr>
          <w:rFonts w:hint="eastAsia" w:ascii="Calibri" w:hAnsi="Calibri" w:eastAsia="华文楷体"/>
          <w:b/>
          <w:spacing w:val="6"/>
          <w:sz w:val="36"/>
          <w:szCs w:val="36"/>
          <w:lang w:eastAsia="zh-CN"/>
        </w:rPr>
        <w:t>衡南县人民法院拟处置资产所涉及的衡阳市永衡房地产开发有限公司位于衡南县云集镇小商品（一）-2号地（永衡云嶺A栋）108A室商服房地产</w:t>
      </w:r>
    </w:p>
    <w:p>
      <w:pPr>
        <w:adjustRightInd w:val="0"/>
        <w:snapToGrid w:val="0"/>
        <w:spacing w:before="312" w:beforeLines="100" w:after="120" w:line="360" w:lineRule="auto"/>
        <w:jc w:val="center"/>
        <w:rPr>
          <w:rFonts w:ascii="Calibri" w:hAnsi="Calibri" w:eastAsia="华文楷体"/>
          <w:b/>
          <w:sz w:val="84"/>
          <w:szCs w:val="84"/>
          <w:lang w:eastAsia="zh-CN"/>
        </w:rPr>
      </w:pPr>
      <w:r>
        <w:rPr>
          <w:rFonts w:hint="eastAsia" w:ascii="Calibri" w:hAnsi="Calibri" w:eastAsia="华文楷体"/>
          <w:b/>
          <w:sz w:val="84"/>
          <w:szCs w:val="84"/>
          <w:lang w:eastAsia="zh-CN"/>
        </w:rPr>
        <w:t>资产评估报告</w:t>
      </w:r>
    </w:p>
    <w:p>
      <w:pPr>
        <w:spacing w:after="0" w:line="240" w:lineRule="auto"/>
        <w:jc w:val="center"/>
        <w:rPr>
          <w:rFonts w:ascii="Calibri" w:hAnsi="Calibri" w:eastAsia="华文楷体"/>
          <w:b/>
          <w:bCs/>
          <w:sz w:val="21"/>
          <w:szCs w:val="21"/>
          <w:lang w:eastAsia="zh-CN"/>
        </w:rPr>
      </w:pPr>
      <w:r>
        <w:rPr>
          <w:rFonts w:hint="eastAsia" w:ascii="Calibri" w:hAnsi="Calibri" w:eastAsia="华文楷体"/>
          <w:b/>
          <w:bCs/>
          <w:sz w:val="21"/>
          <w:szCs w:val="21"/>
          <w:lang w:eastAsia="zh-CN"/>
        </w:rPr>
        <w:t>鹏信资估报字[2022]第XHY014号</w:t>
      </w:r>
    </w:p>
    <w:p>
      <w:pPr>
        <w:spacing w:after="0" w:line="240" w:lineRule="auto"/>
        <w:jc w:val="center"/>
        <w:rPr>
          <w:rFonts w:ascii="Calibri" w:hAnsi="Calibri" w:eastAsia="华文楷体"/>
          <w:b/>
          <w:bCs/>
          <w:sz w:val="21"/>
          <w:szCs w:val="21"/>
          <w:lang w:eastAsia="zh-CN"/>
        </w:rPr>
      </w:pPr>
      <w:r>
        <w:rPr>
          <w:rFonts w:hint="eastAsia" w:ascii="Calibri" w:hAnsi="Calibri" w:eastAsia="华文楷体"/>
          <w:b/>
          <w:bCs/>
          <w:sz w:val="21"/>
          <w:szCs w:val="21"/>
          <w:lang w:eastAsia="zh-CN"/>
        </w:rPr>
        <w:t>（共1册，第1册）</w:t>
      </w:r>
    </w:p>
    <w:p>
      <w:pPr>
        <w:spacing w:after="0" w:line="240" w:lineRule="auto"/>
        <w:jc w:val="center"/>
        <w:rPr>
          <w:rFonts w:hint="eastAsia" w:ascii="Calibri" w:hAnsi="Calibri" w:eastAsia="华文楷体"/>
          <w:b/>
          <w:bCs/>
          <w:sz w:val="21"/>
          <w:szCs w:val="21"/>
          <w:lang w:eastAsia="zh-CN"/>
        </w:rPr>
      </w:pPr>
      <w:r>
        <w:rPr>
          <w:rFonts w:hint="eastAsia" w:ascii="Calibri" w:hAnsi="Calibri" w:eastAsia="华文楷体"/>
          <w:b/>
          <w:bCs/>
          <w:sz w:val="21"/>
          <w:szCs w:val="21"/>
          <w:lang w:eastAsia="zh-CN"/>
        </w:rPr>
        <w:t>评估基准日：2022年8月30日</w:t>
      </w:r>
    </w:p>
    <w:p>
      <w:pPr>
        <w:jc w:val="center"/>
        <w:rPr>
          <w:rFonts w:hint="default" w:ascii="Calibri" w:hAnsi="Calibri" w:eastAsia="华文楷体"/>
          <w:b/>
          <w:bCs/>
          <w:sz w:val="21"/>
          <w:szCs w:val="21"/>
          <w:lang w:val="en-US" w:eastAsia="zh-CN"/>
        </w:rPr>
      </w:pPr>
      <w:r>
        <w:rPr>
          <w:rFonts w:hint="eastAsia" w:ascii="Calibri" w:hAnsi="Calibri" w:eastAsia="华文楷体"/>
          <w:b/>
          <w:bCs/>
          <w:sz w:val="21"/>
          <w:szCs w:val="21"/>
          <w:lang w:eastAsia="zh-CN"/>
        </w:rPr>
        <w:t>资产评估报告日：2022年9月16日</w:t>
      </w:r>
    </w:p>
    <w:p>
      <w:pPr>
        <w:rPr>
          <w:rFonts w:ascii="Calibri" w:hAnsi="Calibri" w:eastAsia="华文楷体"/>
          <w:b/>
          <w:bCs/>
          <w:sz w:val="21"/>
          <w:szCs w:val="21"/>
          <w:lang w:eastAsia="zh-CN"/>
        </w:rPr>
      </w:pPr>
    </w:p>
    <w:p>
      <w:pPr>
        <w:pStyle w:val="14"/>
        <w:spacing w:after="0" w:line="0" w:lineRule="atLeast"/>
        <w:ind w:firstLine="0"/>
        <w:jc w:val="center"/>
      </w:pPr>
      <w:r>
        <w:rPr>
          <w:lang w:eastAsia="zh-CN" w:bidi="ar-SA"/>
        </w:rPr>
        <w:drawing>
          <wp:inline distT="0" distB="0" distL="0" distR="0">
            <wp:extent cx="1585595" cy="1606550"/>
            <wp:effectExtent l="0" t="0" r="0" b="0"/>
            <wp:docPr id="2" name="图片 1" descr="鹏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鹏信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585595" cy="1606550"/>
                    </a:xfrm>
                    <a:prstGeom prst="rect">
                      <a:avLst/>
                    </a:prstGeom>
                    <a:noFill/>
                    <a:ln>
                      <a:noFill/>
                    </a:ln>
                  </pic:spPr>
                </pic:pic>
              </a:graphicData>
            </a:graphic>
          </wp:inline>
        </w:drawing>
      </w:r>
    </w:p>
    <w:p>
      <w:pPr>
        <w:spacing w:after="0" w:line="0" w:lineRule="atLeast"/>
        <w:jc w:val="center"/>
        <w:rPr>
          <w:rFonts w:ascii="华文楷体" w:hAnsi="华文楷体" w:eastAsia="华文楷体"/>
          <w:b/>
          <w:sz w:val="28"/>
          <w:szCs w:val="28"/>
          <w:lang w:eastAsia="zh-CN"/>
        </w:rPr>
      </w:pPr>
      <w:r>
        <w:rPr>
          <w:rFonts w:hint="eastAsia" w:ascii="华文楷体" w:hAnsi="华文楷体" w:eastAsia="华文楷体"/>
          <w:b/>
          <w:sz w:val="28"/>
          <w:szCs w:val="28"/>
          <w:lang w:eastAsia="zh-CN"/>
        </w:rPr>
        <w:t>深圳市鹏信资产评估土地房地产估价有限公司</w:t>
      </w:r>
    </w:p>
    <w:p>
      <w:pPr>
        <w:spacing w:after="0" w:line="0" w:lineRule="atLeast"/>
        <w:jc w:val="center"/>
        <w:rPr>
          <w:rFonts w:ascii="Times New Roman" w:hAnsi="Times New Roman" w:eastAsia="华文楷体"/>
          <w:b/>
          <w:sz w:val="24"/>
          <w:szCs w:val="24"/>
          <w:lang w:eastAsia="zh-CN"/>
        </w:rPr>
      </w:pPr>
      <w:r>
        <w:rPr>
          <w:rFonts w:ascii="Times New Roman" w:hAnsi="Times New Roman" w:eastAsia="华文楷体"/>
          <w:b/>
          <w:sz w:val="24"/>
          <w:szCs w:val="24"/>
          <w:lang w:eastAsia="zh-CN"/>
        </w:rPr>
        <w:t>SHENZHEN  PENGXIN  APPRAISAL  LIMITED</w:t>
      </w:r>
    </w:p>
    <w:p>
      <w:pPr>
        <w:spacing w:after="0" w:line="0" w:lineRule="atLeast"/>
        <w:jc w:val="center"/>
        <w:rPr>
          <w:rFonts w:ascii="Calibri" w:hAnsi="Calibri" w:eastAsia="华文楷体"/>
          <w:szCs w:val="21"/>
        </w:rPr>
      </w:pPr>
      <w:r>
        <w:rPr>
          <w:rFonts w:hint="eastAsia" w:ascii="Calibri" w:eastAsia="华文楷体"/>
          <w:szCs w:val="21"/>
        </w:rPr>
        <w:t>中国广东省深圳市福田区福中路</w:t>
      </w:r>
      <w:r>
        <w:rPr>
          <w:rFonts w:hint="eastAsia" w:ascii="Calibri" w:hAnsi="Calibri" w:eastAsia="华文楷体"/>
          <w:szCs w:val="21"/>
        </w:rPr>
        <w:t>29</w:t>
      </w:r>
      <w:r>
        <w:rPr>
          <w:rFonts w:hint="eastAsia" w:ascii="Calibri" w:eastAsia="华文楷体"/>
          <w:szCs w:val="21"/>
        </w:rPr>
        <w:t>号</w:t>
      </w:r>
      <w:r>
        <w:rPr>
          <w:rFonts w:hint="eastAsia" w:ascii="Calibri" w:hAnsi="Calibri" w:eastAsia="华文楷体"/>
          <w:szCs w:val="21"/>
        </w:rPr>
        <w:t>(</w:t>
      </w:r>
      <w:r>
        <w:rPr>
          <w:rFonts w:hint="eastAsia" w:ascii="Calibri" w:eastAsia="华文楷体"/>
          <w:szCs w:val="21"/>
        </w:rPr>
        <w:t>彩田路口</w:t>
      </w:r>
      <w:r>
        <w:rPr>
          <w:rFonts w:hint="eastAsia" w:ascii="Calibri" w:hAnsi="Calibri" w:eastAsia="华文楷体"/>
          <w:szCs w:val="21"/>
        </w:rPr>
        <w:t>)</w:t>
      </w:r>
      <w:r>
        <w:rPr>
          <w:rFonts w:hint="eastAsia" w:ascii="Calibri" w:eastAsia="华文楷体"/>
          <w:szCs w:val="21"/>
        </w:rPr>
        <w:t>福景大厦中座十四楼</w:t>
      </w:r>
    </w:p>
    <w:p>
      <w:pPr>
        <w:spacing w:after="0" w:line="0" w:lineRule="atLeast"/>
        <w:jc w:val="center"/>
        <w:rPr>
          <w:rFonts w:ascii="Calibri" w:hAnsi="Calibri" w:eastAsia="楷体"/>
          <w:sz w:val="21"/>
          <w:szCs w:val="21"/>
        </w:rPr>
      </w:pPr>
      <w:r>
        <w:rPr>
          <w:rFonts w:hint="eastAsia" w:ascii="Calibri" w:hAnsi="Calibri" w:eastAsia="楷体"/>
          <w:sz w:val="21"/>
          <w:szCs w:val="21"/>
        </w:rPr>
        <w:t>F</w:t>
      </w:r>
      <w:r>
        <w:rPr>
          <w:rFonts w:ascii="Calibri" w:hAnsi="Calibri" w:eastAsia="楷体"/>
          <w:sz w:val="21"/>
          <w:szCs w:val="21"/>
        </w:rPr>
        <w:t>loor</w:t>
      </w:r>
      <w:r>
        <w:rPr>
          <w:rFonts w:hint="eastAsia" w:ascii="Calibri" w:hAnsi="Calibri" w:eastAsia="楷体"/>
          <w:sz w:val="21"/>
          <w:szCs w:val="21"/>
        </w:rPr>
        <w:t xml:space="preserve"> 14, Middle Block,</w:t>
      </w:r>
      <w:r>
        <w:rPr>
          <w:rFonts w:ascii="Calibri" w:hAnsi="Calibri" w:eastAsia="楷体"/>
          <w:sz w:val="21"/>
          <w:szCs w:val="21"/>
        </w:rPr>
        <w:t xml:space="preserve"> Fujing Building</w:t>
      </w:r>
      <w:r>
        <w:rPr>
          <w:rFonts w:hint="eastAsia" w:ascii="Calibri" w:hAnsi="Calibri" w:eastAsia="楷体"/>
          <w:sz w:val="21"/>
          <w:szCs w:val="21"/>
        </w:rPr>
        <w:t>, 29 Fuzhong Road, Futian District,Shenzhen, China</w:t>
      </w:r>
    </w:p>
    <w:tbl>
      <w:tblPr>
        <w:tblStyle w:val="15"/>
        <w:tblW w:w="8522" w:type="dxa"/>
        <w:tblInd w:w="0" w:type="dxa"/>
        <w:tblLayout w:type="fixed"/>
        <w:tblCellMar>
          <w:top w:w="0" w:type="dxa"/>
          <w:left w:w="108" w:type="dxa"/>
          <w:bottom w:w="0" w:type="dxa"/>
          <w:right w:w="108" w:type="dxa"/>
        </w:tblCellMar>
      </w:tblPr>
      <w:tblGrid>
        <w:gridCol w:w="288"/>
        <w:gridCol w:w="3600"/>
        <w:gridCol w:w="360"/>
        <w:gridCol w:w="3960"/>
        <w:gridCol w:w="314"/>
      </w:tblGrid>
      <w:tr>
        <w:tblPrEx>
          <w:tblCellMar>
            <w:top w:w="0" w:type="dxa"/>
            <w:left w:w="108" w:type="dxa"/>
            <w:bottom w:w="0" w:type="dxa"/>
            <w:right w:w="108" w:type="dxa"/>
          </w:tblCellMar>
        </w:tblPrEx>
        <w:tc>
          <w:tcPr>
            <w:tcW w:w="288" w:type="dxa"/>
            <w:tcBorders>
              <w:top w:val="single" w:color="auto" w:sz="4" w:space="0"/>
              <w:left w:val="nil"/>
              <w:bottom w:val="nil"/>
              <w:right w:val="nil"/>
            </w:tcBorders>
          </w:tcPr>
          <w:p>
            <w:pPr>
              <w:adjustRightInd w:val="0"/>
              <w:snapToGrid w:val="0"/>
              <w:spacing w:after="0" w:line="0" w:lineRule="atLeast"/>
              <w:rPr>
                <w:rFonts w:ascii="Calibri" w:hAnsi="Calibri" w:eastAsia="楷体"/>
                <w:szCs w:val="21"/>
              </w:rPr>
            </w:pPr>
          </w:p>
        </w:tc>
        <w:tc>
          <w:tcPr>
            <w:tcW w:w="3600" w:type="dxa"/>
            <w:tcBorders>
              <w:top w:val="single" w:color="auto" w:sz="4" w:space="0"/>
              <w:left w:val="nil"/>
              <w:bottom w:val="nil"/>
              <w:right w:val="nil"/>
            </w:tcBorders>
          </w:tcPr>
          <w:p>
            <w:pPr>
              <w:adjustRightInd w:val="0"/>
              <w:snapToGrid w:val="0"/>
              <w:spacing w:after="0" w:line="0" w:lineRule="atLeast"/>
              <w:rPr>
                <w:rFonts w:ascii="Calibri" w:hAnsi="Calibri" w:eastAsia="楷体"/>
                <w:sz w:val="21"/>
                <w:szCs w:val="21"/>
              </w:rPr>
            </w:pPr>
            <w:r>
              <w:rPr>
                <w:rFonts w:hint="eastAsia" w:ascii="Calibri" w:hAnsi="Calibri" w:eastAsia="楷体"/>
                <w:sz w:val="21"/>
                <w:szCs w:val="21"/>
              </w:rPr>
              <w:t>电话(Tel):+86755-8240 6288</w:t>
            </w:r>
          </w:p>
        </w:tc>
        <w:tc>
          <w:tcPr>
            <w:tcW w:w="360" w:type="dxa"/>
            <w:tcBorders>
              <w:top w:val="single" w:color="auto" w:sz="4" w:space="0"/>
              <w:left w:val="nil"/>
              <w:bottom w:val="nil"/>
              <w:right w:val="nil"/>
            </w:tcBorders>
          </w:tcPr>
          <w:p>
            <w:pPr>
              <w:adjustRightInd w:val="0"/>
              <w:snapToGrid w:val="0"/>
              <w:spacing w:after="0" w:line="0" w:lineRule="atLeast"/>
              <w:rPr>
                <w:rFonts w:ascii="Calibri" w:hAnsi="Calibri" w:eastAsia="楷体"/>
                <w:sz w:val="21"/>
                <w:szCs w:val="21"/>
              </w:rPr>
            </w:pPr>
          </w:p>
        </w:tc>
        <w:tc>
          <w:tcPr>
            <w:tcW w:w="3960" w:type="dxa"/>
            <w:tcBorders>
              <w:top w:val="single" w:color="auto" w:sz="4" w:space="0"/>
              <w:left w:val="nil"/>
              <w:bottom w:val="nil"/>
              <w:right w:val="nil"/>
            </w:tcBorders>
          </w:tcPr>
          <w:p>
            <w:pPr>
              <w:adjustRightInd w:val="0"/>
              <w:snapToGrid w:val="0"/>
              <w:spacing w:after="0" w:line="0" w:lineRule="atLeast"/>
              <w:jc w:val="right"/>
              <w:rPr>
                <w:rFonts w:ascii="Calibri" w:hAnsi="Calibri" w:eastAsia="楷体"/>
                <w:sz w:val="21"/>
                <w:szCs w:val="21"/>
              </w:rPr>
            </w:pPr>
            <w:r>
              <w:rPr>
                <w:rFonts w:hint="eastAsia" w:ascii="Calibri" w:hAnsi="Calibri" w:eastAsia="楷体"/>
                <w:sz w:val="21"/>
                <w:szCs w:val="21"/>
              </w:rPr>
              <w:t>传真(Fax):+86755-8242 0222</w:t>
            </w:r>
          </w:p>
        </w:tc>
        <w:tc>
          <w:tcPr>
            <w:tcW w:w="314" w:type="dxa"/>
            <w:tcBorders>
              <w:top w:val="single" w:color="auto" w:sz="4" w:space="0"/>
              <w:left w:val="nil"/>
              <w:bottom w:val="nil"/>
              <w:right w:val="nil"/>
            </w:tcBorders>
          </w:tcPr>
          <w:p>
            <w:pPr>
              <w:adjustRightInd w:val="0"/>
              <w:snapToGrid w:val="0"/>
              <w:spacing w:after="0" w:line="0" w:lineRule="atLeast"/>
              <w:rPr>
                <w:rFonts w:ascii="Calibri" w:hAnsi="Calibri" w:eastAsia="楷体"/>
                <w:szCs w:val="21"/>
              </w:rPr>
            </w:pPr>
          </w:p>
        </w:tc>
      </w:tr>
      <w:tr>
        <w:tblPrEx>
          <w:tblCellMar>
            <w:top w:w="0" w:type="dxa"/>
            <w:left w:w="108" w:type="dxa"/>
            <w:bottom w:w="0" w:type="dxa"/>
            <w:right w:w="108" w:type="dxa"/>
          </w:tblCellMar>
        </w:tblPrEx>
        <w:tc>
          <w:tcPr>
            <w:tcW w:w="288" w:type="dxa"/>
          </w:tcPr>
          <w:p>
            <w:pPr>
              <w:adjustRightInd w:val="0"/>
              <w:snapToGrid w:val="0"/>
              <w:spacing w:after="0" w:line="0" w:lineRule="atLeast"/>
              <w:rPr>
                <w:rFonts w:ascii="Calibri" w:hAnsi="Calibri" w:eastAsia="楷体"/>
                <w:szCs w:val="21"/>
              </w:rPr>
            </w:pPr>
          </w:p>
        </w:tc>
        <w:tc>
          <w:tcPr>
            <w:tcW w:w="3600" w:type="dxa"/>
          </w:tcPr>
          <w:p>
            <w:pPr>
              <w:adjustRightInd w:val="0"/>
              <w:snapToGrid w:val="0"/>
              <w:spacing w:after="0" w:line="0" w:lineRule="atLeast"/>
              <w:rPr>
                <w:rFonts w:ascii="Calibri" w:hAnsi="Calibri" w:eastAsia="楷体"/>
                <w:sz w:val="21"/>
                <w:szCs w:val="21"/>
              </w:rPr>
            </w:pPr>
            <w:r>
              <w:rPr>
                <w:rFonts w:hint="eastAsia" w:ascii="Calibri" w:hAnsi="Calibri" w:eastAsia="楷体"/>
                <w:sz w:val="21"/>
                <w:szCs w:val="21"/>
              </w:rPr>
              <w:t>直线(Dir):+86755-8240 3555</w:t>
            </w:r>
          </w:p>
        </w:tc>
        <w:tc>
          <w:tcPr>
            <w:tcW w:w="360" w:type="dxa"/>
          </w:tcPr>
          <w:p>
            <w:pPr>
              <w:adjustRightInd w:val="0"/>
              <w:snapToGrid w:val="0"/>
              <w:spacing w:after="0" w:line="0" w:lineRule="atLeast"/>
              <w:rPr>
                <w:rFonts w:ascii="Calibri" w:hAnsi="Calibri" w:eastAsia="楷体"/>
                <w:sz w:val="21"/>
                <w:szCs w:val="21"/>
              </w:rPr>
            </w:pPr>
          </w:p>
        </w:tc>
        <w:tc>
          <w:tcPr>
            <w:tcW w:w="3960" w:type="dxa"/>
          </w:tcPr>
          <w:p>
            <w:pPr>
              <w:adjustRightInd w:val="0"/>
              <w:snapToGrid w:val="0"/>
              <w:spacing w:after="0" w:line="0" w:lineRule="atLeast"/>
              <w:jc w:val="right"/>
              <w:rPr>
                <w:rFonts w:ascii="Calibri" w:hAnsi="Calibri" w:eastAsia="楷体"/>
                <w:sz w:val="21"/>
                <w:szCs w:val="21"/>
              </w:rPr>
            </w:pPr>
            <w:r>
              <w:rPr>
                <w:rFonts w:hint="eastAsia" w:ascii="Calibri" w:hAnsi="Calibri" w:eastAsia="楷体"/>
                <w:sz w:val="21"/>
                <w:szCs w:val="21"/>
              </w:rPr>
              <w:t>邮政编码(Postcode):518026</w:t>
            </w:r>
          </w:p>
        </w:tc>
        <w:tc>
          <w:tcPr>
            <w:tcW w:w="314" w:type="dxa"/>
          </w:tcPr>
          <w:p>
            <w:pPr>
              <w:adjustRightInd w:val="0"/>
              <w:snapToGrid w:val="0"/>
              <w:spacing w:after="0" w:line="0" w:lineRule="atLeast"/>
              <w:rPr>
                <w:rFonts w:ascii="Calibri" w:hAnsi="Calibri" w:eastAsia="楷体"/>
                <w:szCs w:val="21"/>
              </w:rPr>
            </w:pPr>
          </w:p>
        </w:tc>
      </w:tr>
      <w:tr>
        <w:tblPrEx>
          <w:tblCellMar>
            <w:top w:w="0" w:type="dxa"/>
            <w:left w:w="108" w:type="dxa"/>
            <w:bottom w:w="0" w:type="dxa"/>
            <w:right w:w="108" w:type="dxa"/>
          </w:tblCellMar>
        </w:tblPrEx>
        <w:tc>
          <w:tcPr>
            <w:tcW w:w="288" w:type="dxa"/>
          </w:tcPr>
          <w:p>
            <w:pPr>
              <w:adjustRightInd w:val="0"/>
              <w:snapToGrid w:val="0"/>
              <w:spacing w:after="0" w:line="0" w:lineRule="atLeast"/>
              <w:rPr>
                <w:rFonts w:ascii="Calibri" w:hAnsi="Calibri" w:eastAsia="楷体"/>
                <w:szCs w:val="21"/>
              </w:rPr>
            </w:pPr>
          </w:p>
        </w:tc>
        <w:tc>
          <w:tcPr>
            <w:tcW w:w="3600" w:type="dxa"/>
          </w:tcPr>
          <w:p>
            <w:pPr>
              <w:adjustRightInd w:val="0"/>
              <w:snapToGrid w:val="0"/>
              <w:spacing w:after="0" w:line="0" w:lineRule="atLeast"/>
              <w:rPr>
                <w:rFonts w:ascii="Calibri" w:hAnsi="Calibri" w:eastAsia="楷体"/>
                <w:sz w:val="21"/>
                <w:szCs w:val="21"/>
              </w:rPr>
            </w:pPr>
            <w:r>
              <w:rPr>
                <w:rFonts w:hint="eastAsia" w:ascii="Calibri" w:hAnsi="Calibri" w:eastAsia="楷体"/>
                <w:sz w:val="21"/>
                <w:szCs w:val="21"/>
              </w:rPr>
              <w:t>http://www.pengxin.com</w:t>
            </w:r>
          </w:p>
        </w:tc>
        <w:tc>
          <w:tcPr>
            <w:tcW w:w="360" w:type="dxa"/>
          </w:tcPr>
          <w:p>
            <w:pPr>
              <w:adjustRightInd w:val="0"/>
              <w:snapToGrid w:val="0"/>
              <w:spacing w:after="0" w:line="0" w:lineRule="atLeast"/>
              <w:rPr>
                <w:rFonts w:ascii="Calibri" w:hAnsi="Calibri" w:eastAsia="楷体"/>
                <w:sz w:val="21"/>
                <w:szCs w:val="21"/>
              </w:rPr>
            </w:pPr>
          </w:p>
        </w:tc>
        <w:tc>
          <w:tcPr>
            <w:tcW w:w="3960" w:type="dxa"/>
          </w:tcPr>
          <w:p>
            <w:pPr>
              <w:adjustRightInd w:val="0"/>
              <w:snapToGrid w:val="0"/>
              <w:spacing w:after="0" w:line="0" w:lineRule="atLeast"/>
              <w:jc w:val="right"/>
              <w:rPr>
                <w:rFonts w:ascii="Calibri" w:hAnsi="Calibri" w:eastAsia="楷体"/>
                <w:sz w:val="21"/>
                <w:szCs w:val="21"/>
              </w:rPr>
            </w:pPr>
            <w:r>
              <w:rPr>
                <w:rFonts w:hint="eastAsia" w:ascii="Calibri" w:hAnsi="Calibri" w:eastAsia="楷体"/>
                <w:sz w:val="21"/>
                <w:szCs w:val="21"/>
              </w:rPr>
              <w:t>Email: px@pengxin.com</w:t>
            </w:r>
          </w:p>
        </w:tc>
        <w:tc>
          <w:tcPr>
            <w:tcW w:w="314" w:type="dxa"/>
          </w:tcPr>
          <w:p>
            <w:pPr>
              <w:adjustRightInd w:val="0"/>
              <w:snapToGrid w:val="0"/>
              <w:spacing w:after="0" w:line="0" w:lineRule="atLeast"/>
              <w:rPr>
                <w:rFonts w:ascii="Calibri" w:hAnsi="Calibri" w:eastAsia="楷体"/>
                <w:szCs w:val="21"/>
              </w:rPr>
            </w:pPr>
          </w:p>
        </w:tc>
      </w:tr>
    </w:tbl>
    <w:p>
      <w:pPr>
        <w:rPr>
          <w:lang w:eastAsia="zh-CN"/>
        </w:rPr>
        <w:sectPr>
          <w:headerReference r:id="rId5" w:type="default"/>
          <w:pgSz w:w="11906" w:h="16838"/>
          <w:pgMar w:top="1440" w:right="1800" w:bottom="1440" w:left="1800" w:header="851" w:footer="992" w:gutter="0"/>
          <w:cols w:space="425" w:num="1"/>
          <w:docGrid w:type="lines" w:linePitch="312" w:charSpace="0"/>
        </w:sectPr>
      </w:pPr>
    </w:p>
    <w:p>
      <w:pPr>
        <w:spacing w:before="156" w:beforeLines="50" w:after="0" w:line="240" w:lineRule="auto"/>
        <w:jc w:val="center"/>
        <w:rPr>
          <w:rFonts w:ascii="华文仿宋" w:hAnsi="华文仿宋" w:eastAsia="华文仿宋"/>
          <w:sz w:val="21"/>
          <w:lang w:eastAsia="zh-CN"/>
        </w:rPr>
      </w:pPr>
      <w:r>
        <w:rPr>
          <w:rFonts w:hint="eastAsia" w:ascii="华文仿宋" w:hAnsi="华文仿宋" w:eastAsia="华文仿宋"/>
          <w:b/>
          <w:sz w:val="28"/>
          <w:szCs w:val="28"/>
          <w:lang w:eastAsia="zh-CN"/>
        </w:rPr>
        <w:t xml:space="preserve">目 </w:t>
      </w:r>
      <w:r>
        <w:rPr>
          <w:rFonts w:ascii="华文仿宋" w:hAnsi="华文仿宋" w:eastAsia="华文仿宋"/>
          <w:b/>
          <w:sz w:val="28"/>
          <w:szCs w:val="28"/>
          <w:lang w:eastAsia="zh-CN"/>
        </w:rPr>
        <w:t xml:space="preserve">  </w:t>
      </w:r>
      <w:r>
        <w:rPr>
          <w:rFonts w:hint="eastAsia" w:ascii="华文仿宋" w:hAnsi="华文仿宋" w:eastAsia="华文仿宋"/>
          <w:b/>
          <w:sz w:val="28"/>
          <w:szCs w:val="28"/>
          <w:lang w:eastAsia="zh-CN"/>
        </w:rPr>
        <w:t>录</w:t>
      </w:r>
    </w:p>
    <w:sdt>
      <w:sdtPr>
        <w:rPr>
          <w:rFonts w:ascii="Cambria" w:hAnsi="Cambria" w:eastAsia="宋体" w:cs="Times New Roman"/>
          <w:b w:val="0"/>
          <w:bCs w:val="0"/>
          <w:color w:val="auto"/>
          <w:sz w:val="22"/>
          <w:szCs w:val="22"/>
          <w:lang w:val="zh-CN" w:eastAsia="en-US" w:bidi="en-US"/>
        </w:rPr>
        <w:id w:val="16985873"/>
        <w:docPartObj>
          <w:docPartGallery w:val="Table of Contents"/>
          <w:docPartUnique/>
        </w:docPartObj>
      </w:sdtPr>
      <w:sdtEndPr>
        <w:rPr>
          <w:rFonts w:ascii="Arial Narrow" w:hAnsi="Arial Narrow" w:eastAsia="华文中宋" w:cs="Times New Roman"/>
          <w:b w:val="0"/>
          <w:bCs w:val="0"/>
          <w:color w:val="auto"/>
          <w:sz w:val="21"/>
          <w:szCs w:val="22"/>
          <w:lang w:val="en-US" w:eastAsia="en-US" w:bidi="en-US"/>
        </w:rPr>
      </w:sdtEndPr>
      <w:sdtContent>
        <w:p>
          <w:pPr>
            <w:pStyle w:val="29"/>
            <w:spacing w:before="120"/>
          </w:pPr>
        </w:p>
        <w:p>
          <w:pPr>
            <w:pStyle w:val="10"/>
            <w:tabs>
              <w:tab w:val="right" w:leader="dot" w:pos="8296"/>
            </w:tabs>
            <w:rPr>
              <w:rFonts w:asciiTheme="minorHAnsi" w:hAnsiTheme="minorHAnsi" w:eastAsiaTheme="minorEastAsia" w:cstheme="minorBidi"/>
              <w:kern w:val="2"/>
              <w:sz w:val="21"/>
              <w:lang w:eastAsia="zh-CN" w:bidi="ar-SA"/>
            </w:rPr>
          </w:pPr>
          <w:r>
            <w:rPr>
              <w:rFonts w:ascii="Arial Narrow" w:hAnsi="Arial Narrow" w:eastAsia="华文中宋"/>
              <w:sz w:val="21"/>
              <w:lang w:eastAsia="zh-CN"/>
            </w:rPr>
            <w:fldChar w:fldCharType="begin"/>
          </w:r>
          <w:r>
            <w:rPr>
              <w:rFonts w:ascii="Arial Narrow" w:hAnsi="Arial Narrow" w:eastAsia="华文中宋"/>
              <w:sz w:val="21"/>
              <w:lang w:eastAsia="zh-CN"/>
            </w:rPr>
            <w:instrText xml:space="preserve"> TOC \o "1-3" \h \z \u </w:instrText>
          </w:r>
          <w:r>
            <w:rPr>
              <w:rFonts w:ascii="Arial Narrow" w:hAnsi="Arial Narrow" w:eastAsia="华文中宋"/>
              <w:sz w:val="21"/>
              <w:lang w:eastAsia="zh-CN"/>
            </w:rPr>
            <w:fldChar w:fldCharType="separate"/>
          </w:r>
          <w:r>
            <w:fldChar w:fldCharType="begin"/>
          </w:r>
          <w:r>
            <w:instrText xml:space="preserve"> HYPERLINK \l "_Toc502866366" </w:instrText>
          </w:r>
          <w:r>
            <w:fldChar w:fldCharType="separate"/>
          </w:r>
          <w:r>
            <w:rPr>
              <w:rStyle w:val="19"/>
              <w:rFonts w:eastAsia="仿宋"/>
              <w:b/>
              <w:bCs/>
              <w:lang w:eastAsia="zh-CN"/>
            </w:rPr>
            <w:t>声明</w:t>
          </w:r>
          <w:r>
            <w:tab/>
          </w:r>
          <w:r>
            <w:fldChar w:fldCharType="begin"/>
          </w:r>
          <w:r>
            <w:instrText xml:space="preserve"> PAGEREF _Toc502866366 \h </w:instrText>
          </w:r>
          <w:r>
            <w:fldChar w:fldCharType="separate"/>
          </w:r>
          <w:r>
            <w:t>1</w:t>
          </w:r>
          <w:r>
            <w:fldChar w:fldCharType="end"/>
          </w:r>
          <w:r>
            <w:fldChar w:fldCharType="end"/>
          </w:r>
        </w:p>
        <w:p>
          <w:pPr>
            <w:pStyle w:val="10"/>
            <w:tabs>
              <w:tab w:val="right" w:leader="dot" w:pos="8296"/>
            </w:tabs>
            <w:rPr>
              <w:rFonts w:asciiTheme="minorHAnsi" w:hAnsiTheme="minorHAnsi" w:eastAsiaTheme="minorEastAsia" w:cstheme="minorBidi"/>
              <w:kern w:val="2"/>
              <w:sz w:val="21"/>
              <w:lang w:eastAsia="zh-CN" w:bidi="ar-SA"/>
            </w:rPr>
          </w:pPr>
          <w:r>
            <w:fldChar w:fldCharType="begin"/>
          </w:r>
          <w:r>
            <w:instrText xml:space="preserve"> HYPERLINK \l "_Toc502866367" </w:instrText>
          </w:r>
          <w:r>
            <w:fldChar w:fldCharType="separate"/>
          </w:r>
          <w:r>
            <w:rPr>
              <w:rStyle w:val="19"/>
              <w:rFonts w:eastAsia="仿宋"/>
              <w:b/>
              <w:bCs/>
              <w:lang w:eastAsia="zh-CN"/>
            </w:rPr>
            <w:t>资产评估报告摘要</w:t>
          </w:r>
          <w:r>
            <w:tab/>
          </w:r>
          <w:r>
            <w:fldChar w:fldCharType="begin"/>
          </w:r>
          <w:r>
            <w:instrText xml:space="preserve"> PAGEREF _Toc502866367 \h </w:instrText>
          </w:r>
          <w:r>
            <w:fldChar w:fldCharType="separate"/>
          </w:r>
          <w:r>
            <w:t>1</w:t>
          </w:r>
          <w:r>
            <w:fldChar w:fldCharType="end"/>
          </w:r>
          <w:r>
            <w:fldChar w:fldCharType="end"/>
          </w:r>
        </w:p>
        <w:p>
          <w:pPr>
            <w:pStyle w:val="10"/>
            <w:tabs>
              <w:tab w:val="right" w:leader="dot" w:pos="8296"/>
            </w:tabs>
            <w:rPr>
              <w:rFonts w:asciiTheme="minorHAnsi" w:hAnsiTheme="minorHAnsi" w:eastAsiaTheme="minorEastAsia" w:cstheme="minorBidi"/>
              <w:kern w:val="2"/>
              <w:sz w:val="21"/>
              <w:lang w:eastAsia="zh-CN" w:bidi="ar-SA"/>
            </w:rPr>
          </w:pPr>
          <w:r>
            <w:fldChar w:fldCharType="begin"/>
          </w:r>
          <w:r>
            <w:instrText xml:space="preserve"> HYPERLINK \l "_Toc502866368" </w:instrText>
          </w:r>
          <w:r>
            <w:fldChar w:fldCharType="separate"/>
          </w:r>
          <w:r>
            <w:rPr>
              <w:rStyle w:val="19"/>
              <w:rFonts w:eastAsia="仿宋"/>
              <w:b/>
              <w:bCs/>
              <w:lang w:eastAsia="zh-CN"/>
            </w:rPr>
            <w:t>资产评估报告正文</w:t>
          </w:r>
          <w:r>
            <w:tab/>
          </w:r>
          <w:r>
            <w:fldChar w:fldCharType="begin"/>
          </w:r>
          <w:r>
            <w:instrText xml:space="preserve"> PAGEREF _Toc502866368 \h </w:instrText>
          </w:r>
          <w:r>
            <w:fldChar w:fldCharType="separate"/>
          </w:r>
          <w:r>
            <w:t>1</w:t>
          </w:r>
          <w:r>
            <w:fldChar w:fldCharType="end"/>
          </w:r>
          <w:r>
            <w:fldChar w:fldCharType="end"/>
          </w:r>
        </w:p>
        <w:p>
          <w:pPr>
            <w:pStyle w:val="11"/>
            <w:tabs>
              <w:tab w:val="right" w:leader="dot" w:pos="8296"/>
            </w:tabs>
            <w:ind w:left="440"/>
            <w:rPr>
              <w:rFonts w:asciiTheme="minorHAnsi" w:hAnsiTheme="minorHAnsi" w:eastAsiaTheme="minorEastAsia" w:cstheme="minorBidi"/>
              <w:kern w:val="2"/>
              <w:sz w:val="21"/>
              <w:lang w:eastAsia="zh-CN" w:bidi="ar-SA"/>
            </w:rPr>
          </w:pPr>
          <w:r>
            <w:fldChar w:fldCharType="begin"/>
          </w:r>
          <w:r>
            <w:instrText xml:space="preserve"> HYPERLINK \l "_Toc502866369" </w:instrText>
          </w:r>
          <w:r>
            <w:fldChar w:fldCharType="separate"/>
          </w:r>
          <w:r>
            <w:rPr>
              <w:rStyle w:val="19"/>
              <w:rFonts w:eastAsia="仿宋"/>
              <w:lang w:eastAsia="zh-CN"/>
            </w:rPr>
            <w:t>一、委托人及其他资产评估报告使用人</w:t>
          </w:r>
          <w:r>
            <w:tab/>
          </w:r>
          <w:r>
            <w:fldChar w:fldCharType="begin"/>
          </w:r>
          <w:r>
            <w:instrText xml:space="preserve"> PAGEREF _Toc502866369 \h </w:instrText>
          </w:r>
          <w:r>
            <w:fldChar w:fldCharType="separate"/>
          </w:r>
          <w:r>
            <w:t>1</w:t>
          </w:r>
          <w:r>
            <w:fldChar w:fldCharType="end"/>
          </w:r>
          <w:r>
            <w:fldChar w:fldCharType="end"/>
          </w:r>
        </w:p>
        <w:p>
          <w:pPr>
            <w:pStyle w:val="11"/>
            <w:tabs>
              <w:tab w:val="right" w:leader="dot" w:pos="8296"/>
            </w:tabs>
            <w:ind w:left="440"/>
            <w:rPr>
              <w:rFonts w:asciiTheme="minorHAnsi" w:hAnsiTheme="minorHAnsi" w:eastAsiaTheme="minorEastAsia" w:cstheme="minorBidi"/>
              <w:kern w:val="2"/>
              <w:sz w:val="21"/>
              <w:lang w:eastAsia="zh-CN" w:bidi="ar-SA"/>
            </w:rPr>
          </w:pPr>
          <w:r>
            <w:fldChar w:fldCharType="begin"/>
          </w:r>
          <w:r>
            <w:instrText xml:space="preserve"> HYPERLINK \l "_Toc502866370" </w:instrText>
          </w:r>
          <w:r>
            <w:fldChar w:fldCharType="separate"/>
          </w:r>
          <w:r>
            <w:rPr>
              <w:rStyle w:val="19"/>
              <w:rFonts w:eastAsia="仿宋"/>
              <w:lang w:eastAsia="zh-CN"/>
            </w:rPr>
            <w:t>二、评估目的</w:t>
          </w:r>
          <w:r>
            <w:tab/>
          </w:r>
          <w:r>
            <w:fldChar w:fldCharType="begin"/>
          </w:r>
          <w:r>
            <w:instrText xml:space="preserve"> PAGEREF _Toc502866370 \h </w:instrText>
          </w:r>
          <w:r>
            <w:fldChar w:fldCharType="separate"/>
          </w:r>
          <w:r>
            <w:t>1</w:t>
          </w:r>
          <w:r>
            <w:fldChar w:fldCharType="end"/>
          </w:r>
          <w:r>
            <w:fldChar w:fldCharType="end"/>
          </w:r>
        </w:p>
        <w:p>
          <w:pPr>
            <w:pStyle w:val="11"/>
            <w:tabs>
              <w:tab w:val="right" w:leader="dot" w:pos="8296"/>
            </w:tabs>
            <w:ind w:left="440"/>
            <w:rPr>
              <w:rFonts w:asciiTheme="minorHAnsi" w:hAnsiTheme="minorHAnsi" w:eastAsiaTheme="minorEastAsia" w:cstheme="minorBidi"/>
              <w:kern w:val="2"/>
              <w:sz w:val="21"/>
              <w:lang w:eastAsia="zh-CN" w:bidi="ar-SA"/>
            </w:rPr>
          </w:pPr>
          <w:r>
            <w:fldChar w:fldCharType="begin"/>
          </w:r>
          <w:r>
            <w:instrText xml:space="preserve"> HYPERLINK \l "_Toc502866371" </w:instrText>
          </w:r>
          <w:r>
            <w:fldChar w:fldCharType="separate"/>
          </w:r>
          <w:r>
            <w:rPr>
              <w:rStyle w:val="19"/>
              <w:rFonts w:eastAsia="仿宋"/>
              <w:lang w:eastAsia="zh-CN"/>
            </w:rPr>
            <w:t>三、评估对象和评估范围</w:t>
          </w:r>
          <w:r>
            <w:tab/>
          </w:r>
          <w:r>
            <w:fldChar w:fldCharType="begin"/>
          </w:r>
          <w:r>
            <w:instrText xml:space="preserve"> PAGEREF _Toc502866371 \h </w:instrText>
          </w:r>
          <w:r>
            <w:fldChar w:fldCharType="separate"/>
          </w:r>
          <w:r>
            <w:t>1</w:t>
          </w:r>
          <w:r>
            <w:fldChar w:fldCharType="end"/>
          </w:r>
          <w:r>
            <w:fldChar w:fldCharType="end"/>
          </w:r>
        </w:p>
        <w:p>
          <w:pPr>
            <w:pStyle w:val="11"/>
            <w:tabs>
              <w:tab w:val="right" w:leader="dot" w:pos="8296"/>
            </w:tabs>
            <w:ind w:left="440"/>
            <w:rPr>
              <w:rFonts w:asciiTheme="minorHAnsi" w:hAnsiTheme="minorHAnsi" w:eastAsiaTheme="minorEastAsia" w:cstheme="minorBidi"/>
              <w:kern w:val="2"/>
              <w:sz w:val="21"/>
              <w:lang w:eastAsia="zh-CN" w:bidi="ar-SA"/>
            </w:rPr>
          </w:pPr>
          <w:r>
            <w:fldChar w:fldCharType="begin"/>
          </w:r>
          <w:r>
            <w:instrText xml:space="preserve"> HYPERLINK \l "_Toc502866372" </w:instrText>
          </w:r>
          <w:r>
            <w:fldChar w:fldCharType="separate"/>
          </w:r>
          <w:r>
            <w:rPr>
              <w:rStyle w:val="19"/>
              <w:rFonts w:eastAsia="仿宋"/>
              <w:lang w:eastAsia="zh-CN"/>
            </w:rPr>
            <w:t>四、价值类型</w:t>
          </w:r>
          <w:r>
            <w:tab/>
          </w:r>
          <w:r>
            <w:fldChar w:fldCharType="begin"/>
          </w:r>
          <w:r>
            <w:instrText xml:space="preserve"> PAGEREF _Toc502866372 \h </w:instrText>
          </w:r>
          <w:r>
            <w:fldChar w:fldCharType="separate"/>
          </w:r>
          <w:r>
            <w:t>2</w:t>
          </w:r>
          <w:r>
            <w:fldChar w:fldCharType="end"/>
          </w:r>
          <w:r>
            <w:fldChar w:fldCharType="end"/>
          </w:r>
        </w:p>
        <w:p>
          <w:pPr>
            <w:pStyle w:val="11"/>
            <w:tabs>
              <w:tab w:val="right" w:leader="dot" w:pos="8296"/>
            </w:tabs>
            <w:ind w:left="440"/>
            <w:rPr>
              <w:rFonts w:asciiTheme="minorHAnsi" w:hAnsiTheme="minorHAnsi" w:eastAsiaTheme="minorEastAsia" w:cstheme="minorBidi"/>
              <w:kern w:val="2"/>
              <w:sz w:val="21"/>
              <w:lang w:eastAsia="zh-CN" w:bidi="ar-SA"/>
            </w:rPr>
          </w:pPr>
          <w:r>
            <w:fldChar w:fldCharType="begin"/>
          </w:r>
          <w:r>
            <w:instrText xml:space="preserve"> HYPERLINK \l "_Toc502866373" </w:instrText>
          </w:r>
          <w:r>
            <w:fldChar w:fldCharType="separate"/>
          </w:r>
          <w:r>
            <w:rPr>
              <w:rStyle w:val="19"/>
              <w:rFonts w:eastAsia="仿宋"/>
              <w:lang w:eastAsia="zh-CN"/>
            </w:rPr>
            <w:t>五、评估基准日</w:t>
          </w:r>
          <w:r>
            <w:tab/>
          </w:r>
          <w:r>
            <w:fldChar w:fldCharType="begin"/>
          </w:r>
          <w:r>
            <w:instrText xml:space="preserve"> PAGEREF _Toc502866373 \h </w:instrText>
          </w:r>
          <w:r>
            <w:fldChar w:fldCharType="separate"/>
          </w:r>
          <w:r>
            <w:t>2</w:t>
          </w:r>
          <w:r>
            <w:fldChar w:fldCharType="end"/>
          </w:r>
          <w:r>
            <w:fldChar w:fldCharType="end"/>
          </w:r>
        </w:p>
        <w:p>
          <w:pPr>
            <w:pStyle w:val="11"/>
            <w:tabs>
              <w:tab w:val="right" w:leader="dot" w:pos="8296"/>
            </w:tabs>
            <w:ind w:left="440"/>
            <w:rPr>
              <w:rFonts w:asciiTheme="minorHAnsi" w:hAnsiTheme="minorHAnsi" w:eastAsiaTheme="minorEastAsia" w:cstheme="minorBidi"/>
              <w:kern w:val="2"/>
              <w:sz w:val="21"/>
              <w:lang w:eastAsia="zh-CN" w:bidi="ar-SA"/>
            </w:rPr>
          </w:pPr>
          <w:r>
            <w:fldChar w:fldCharType="begin"/>
          </w:r>
          <w:r>
            <w:instrText xml:space="preserve"> HYPERLINK \l "_Toc502866374" </w:instrText>
          </w:r>
          <w:r>
            <w:fldChar w:fldCharType="separate"/>
          </w:r>
          <w:r>
            <w:rPr>
              <w:rStyle w:val="19"/>
              <w:rFonts w:eastAsia="仿宋"/>
              <w:lang w:eastAsia="zh-CN"/>
            </w:rPr>
            <w:t>六、评估依据</w:t>
          </w:r>
          <w:r>
            <w:tab/>
          </w:r>
          <w:r>
            <w:fldChar w:fldCharType="begin"/>
          </w:r>
          <w:r>
            <w:instrText xml:space="preserve"> PAGEREF _Toc502866374 \h </w:instrText>
          </w:r>
          <w:r>
            <w:fldChar w:fldCharType="separate"/>
          </w:r>
          <w:r>
            <w:t>3</w:t>
          </w:r>
          <w:r>
            <w:fldChar w:fldCharType="end"/>
          </w:r>
          <w:r>
            <w:fldChar w:fldCharType="end"/>
          </w:r>
        </w:p>
        <w:p>
          <w:pPr>
            <w:pStyle w:val="11"/>
            <w:tabs>
              <w:tab w:val="right" w:leader="dot" w:pos="8296"/>
            </w:tabs>
            <w:ind w:left="440"/>
            <w:rPr>
              <w:rFonts w:asciiTheme="minorHAnsi" w:hAnsiTheme="minorHAnsi" w:eastAsiaTheme="minorEastAsia" w:cstheme="minorBidi"/>
              <w:kern w:val="2"/>
              <w:sz w:val="21"/>
              <w:lang w:eastAsia="zh-CN" w:bidi="ar-SA"/>
            </w:rPr>
          </w:pPr>
          <w:r>
            <w:fldChar w:fldCharType="begin"/>
          </w:r>
          <w:r>
            <w:instrText xml:space="preserve"> HYPERLINK \l "_Toc502866375" </w:instrText>
          </w:r>
          <w:r>
            <w:fldChar w:fldCharType="separate"/>
          </w:r>
          <w:r>
            <w:rPr>
              <w:rStyle w:val="19"/>
              <w:rFonts w:eastAsia="仿宋"/>
              <w:lang w:eastAsia="zh-CN"/>
            </w:rPr>
            <w:t>七、评估方法</w:t>
          </w:r>
          <w:r>
            <w:tab/>
          </w:r>
          <w:r>
            <w:fldChar w:fldCharType="begin"/>
          </w:r>
          <w:r>
            <w:instrText xml:space="preserve"> PAGEREF _Toc502866375 \h </w:instrText>
          </w:r>
          <w:r>
            <w:fldChar w:fldCharType="separate"/>
          </w:r>
          <w:r>
            <w:t>5</w:t>
          </w:r>
          <w:r>
            <w:fldChar w:fldCharType="end"/>
          </w:r>
          <w:r>
            <w:fldChar w:fldCharType="end"/>
          </w:r>
        </w:p>
        <w:p>
          <w:pPr>
            <w:pStyle w:val="11"/>
            <w:tabs>
              <w:tab w:val="right" w:leader="dot" w:pos="8296"/>
            </w:tabs>
            <w:ind w:left="440"/>
            <w:rPr>
              <w:rFonts w:asciiTheme="minorHAnsi" w:hAnsiTheme="minorHAnsi" w:eastAsiaTheme="minorEastAsia" w:cstheme="minorBidi"/>
              <w:kern w:val="2"/>
              <w:sz w:val="21"/>
              <w:lang w:eastAsia="zh-CN" w:bidi="ar-SA"/>
            </w:rPr>
          </w:pPr>
          <w:r>
            <w:fldChar w:fldCharType="begin"/>
          </w:r>
          <w:r>
            <w:instrText xml:space="preserve"> HYPERLINK \l "_Toc502866376" </w:instrText>
          </w:r>
          <w:r>
            <w:fldChar w:fldCharType="separate"/>
          </w:r>
          <w:r>
            <w:rPr>
              <w:rStyle w:val="19"/>
              <w:rFonts w:eastAsia="仿宋"/>
              <w:lang w:eastAsia="zh-CN"/>
            </w:rPr>
            <w:t>八、评估程序实施过程和情况</w:t>
          </w:r>
          <w:r>
            <w:tab/>
          </w:r>
          <w:r>
            <w:fldChar w:fldCharType="begin"/>
          </w:r>
          <w:r>
            <w:instrText xml:space="preserve"> PAGEREF _Toc502866376 \h </w:instrText>
          </w:r>
          <w:r>
            <w:fldChar w:fldCharType="separate"/>
          </w:r>
          <w:r>
            <w:t>6</w:t>
          </w:r>
          <w:r>
            <w:fldChar w:fldCharType="end"/>
          </w:r>
          <w:r>
            <w:fldChar w:fldCharType="end"/>
          </w:r>
        </w:p>
        <w:p>
          <w:pPr>
            <w:pStyle w:val="11"/>
            <w:tabs>
              <w:tab w:val="right" w:leader="dot" w:pos="8296"/>
            </w:tabs>
            <w:ind w:left="440"/>
            <w:rPr>
              <w:rFonts w:asciiTheme="minorHAnsi" w:hAnsiTheme="minorHAnsi" w:eastAsiaTheme="minorEastAsia" w:cstheme="minorBidi"/>
              <w:kern w:val="2"/>
              <w:sz w:val="21"/>
              <w:lang w:eastAsia="zh-CN" w:bidi="ar-SA"/>
            </w:rPr>
          </w:pPr>
          <w:r>
            <w:fldChar w:fldCharType="begin"/>
          </w:r>
          <w:r>
            <w:instrText xml:space="preserve"> HYPERLINK \l "_Toc502866377" </w:instrText>
          </w:r>
          <w:r>
            <w:fldChar w:fldCharType="separate"/>
          </w:r>
          <w:r>
            <w:rPr>
              <w:rStyle w:val="19"/>
              <w:rFonts w:eastAsia="仿宋"/>
              <w:lang w:eastAsia="zh-CN"/>
            </w:rPr>
            <w:t>九、评估假设</w:t>
          </w:r>
          <w:r>
            <w:tab/>
          </w:r>
          <w:r>
            <w:fldChar w:fldCharType="begin"/>
          </w:r>
          <w:r>
            <w:instrText xml:space="preserve"> PAGEREF _Toc502866377 \h </w:instrText>
          </w:r>
          <w:r>
            <w:fldChar w:fldCharType="separate"/>
          </w:r>
          <w:r>
            <w:t>7</w:t>
          </w:r>
          <w:r>
            <w:fldChar w:fldCharType="end"/>
          </w:r>
          <w:r>
            <w:fldChar w:fldCharType="end"/>
          </w:r>
        </w:p>
        <w:p>
          <w:pPr>
            <w:pStyle w:val="11"/>
            <w:tabs>
              <w:tab w:val="right" w:leader="dot" w:pos="8296"/>
            </w:tabs>
            <w:ind w:left="440"/>
            <w:rPr>
              <w:rFonts w:asciiTheme="minorHAnsi" w:hAnsiTheme="minorHAnsi" w:eastAsiaTheme="minorEastAsia" w:cstheme="minorBidi"/>
              <w:kern w:val="2"/>
              <w:sz w:val="21"/>
              <w:lang w:eastAsia="zh-CN" w:bidi="ar-SA"/>
            </w:rPr>
          </w:pPr>
          <w:r>
            <w:fldChar w:fldCharType="begin"/>
          </w:r>
          <w:r>
            <w:instrText xml:space="preserve"> HYPERLINK \l "_Toc502866378" </w:instrText>
          </w:r>
          <w:r>
            <w:fldChar w:fldCharType="separate"/>
          </w:r>
          <w:r>
            <w:rPr>
              <w:rStyle w:val="19"/>
              <w:rFonts w:eastAsia="仿宋"/>
              <w:lang w:eastAsia="zh-CN"/>
            </w:rPr>
            <w:t>十、评估结论</w:t>
          </w:r>
          <w:r>
            <w:tab/>
          </w:r>
          <w:r>
            <w:fldChar w:fldCharType="begin"/>
          </w:r>
          <w:r>
            <w:instrText xml:space="preserve"> PAGEREF _Toc502866378 \h </w:instrText>
          </w:r>
          <w:r>
            <w:fldChar w:fldCharType="separate"/>
          </w:r>
          <w:r>
            <w:t>8</w:t>
          </w:r>
          <w:r>
            <w:fldChar w:fldCharType="end"/>
          </w:r>
          <w:r>
            <w:fldChar w:fldCharType="end"/>
          </w:r>
        </w:p>
        <w:p>
          <w:pPr>
            <w:pStyle w:val="11"/>
            <w:tabs>
              <w:tab w:val="right" w:leader="dot" w:pos="8296"/>
            </w:tabs>
            <w:ind w:left="440"/>
            <w:rPr>
              <w:rFonts w:asciiTheme="minorHAnsi" w:hAnsiTheme="minorHAnsi" w:eastAsiaTheme="minorEastAsia" w:cstheme="minorBidi"/>
              <w:kern w:val="2"/>
              <w:sz w:val="21"/>
              <w:lang w:eastAsia="zh-CN" w:bidi="ar-SA"/>
            </w:rPr>
          </w:pPr>
          <w:r>
            <w:fldChar w:fldCharType="begin"/>
          </w:r>
          <w:r>
            <w:instrText xml:space="preserve"> HYPERLINK \l "_Toc502866379" </w:instrText>
          </w:r>
          <w:r>
            <w:fldChar w:fldCharType="separate"/>
          </w:r>
          <w:r>
            <w:rPr>
              <w:rStyle w:val="19"/>
              <w:rFonts w:eastAsia="仿宋"/>
              <w:lang w:eastAsia="zh-CN"/>
            </w:rPr>
            <w:t>十一、特别事项说明</w:t>
          </w:r>
          <w:r>
            <w:tab/>
          </w:r>
          <w:r>
            <w:fldChar w:fldCharType="begin"/>
          </w:r>
          <w:r>
            <w:instrText xml:space="preserve"> PAGEREF _Toc502866379 \h </w:instrText>
          </w:r>
          <w:r>
            <w:fldChar w:fldCharType="separate"/>
          </w:r>
          <w:r>
            <w:t>9</w:t>
          </w:r>
          <w:r>
            <w:fldChar w:fldCharType="end"/>
          </w:r>
          <w:r>
            <w:fldChar w:fldCharType="end"/>
          </w:r>
        </w:p>
        <w:p>
          <w:pPr>
            <w:pStyle w:val="11"/>
            <w:tabs>
              <w:tab w:val="right" w:leader="dot" w:pos="8296"/>
            </w:tabs>
            <w:ind w:left="440"/>
            <w:rPr>
              <w:rFonts w:asciiTheme="minorHAnsi" w:hAnsiTheme="minorHAnsi" w:eastAsiaTheme="minorEastAsia" w:cstheme="minorBidi"/>
              <w:kern w:val="2"/>
              <w:sz w:val="21"/>
              <w:lang w:eastAsia="zh-CN" w:bidi="ar-SA"/>
            </w:rPr>
          </w:pPr>
          <w:r>
            <w:fldChar w:fldCharType="begin"/>
          </w:r>
          <w:r>
            <w:instrText xml:space="preserve"> HYPERLINK \l "_Toc502866380" </w:instrText>
          </w:r>
          <w:r>
            <w:fldChar w:fldCharType="separate"/>
          </w:r>
          <w:r>
            <w:rPr>
              <w:rStyle w:val="19"/>
              <w:rFonts w:eastAsia="仿宋"/>
              <w:lang w:eastAsia="zh-CN"/>
            </w:rPr>
            <w:t>十二、资产评估报告使用限制说明</w:t>
          </w:r>
          <w:r>
            <w:tab/>
          </w:r>
          <w:r>
            <w:fldChar w:fldCharType="begin"/>
          </w:r>
          <w:r>
            <w:instrText xml:space="preserve"> PAGEREF _Toc502866380 \h </w:instrText>
          </w:r>
          <w:r>
            <w:fldChar w:fldCharType="separate"/>
          </w:r>
          <w:r>
            <w:t>10</w:t>
          </w:r>
          <w:r>
            <w:fldChar w:fldCharType="end"/>
          </w:r>
          <w:r>
            <w:fldChar w:fldCharType="end"/>
          </w:r>
        </w:p>
        <w:p>
          <w:pPr>
            <w:pStyle w:val="11"/>
            <w:tabs>
              <w:tab w:val="right" w:leader="dot" w:pos="8296"/>
            </w:tabs>
            <w:ind w:left="440"/>
            <w:rPr>
              <w:rFonts w:asciiTheme="minorHAnsi" w:hAnsiTheme="minorHAnsi" w:eastAsiaTheme="minorEastAsia" w:cstheme="minorBidi"/>
              <w:kern w:val="2"/>
              <w:sz w:val="21"/>
              <w:lang w:eastAsia="zh-CN" w:bidi="ar-SA"/>
            </w:rPr>
          </w:pPr>
          <w:r>
            <w:fldChar w:fldCharType="begin"/>
          </w:r>
          <w:r>
            <w:instrText xml:space="preserve"> HYPERLINK \l "_Toc502866381" </w:instrText>
          </w:r>
          <w:r>
            <w:fldChar w:fldCharType="separate"/>
          </w:r>
          <w:r>
            <w:rPr>
              <w:rStyle w:val="19"/>
              <w:rFonts w:eastAsia="仿宋"/>
              <w:lang w:eastAsia="zh-CN"/>
            </w:rPr>
            <w:t>十三、资产评估报告日</w:t>
          </w:r>
          <w:r>
            <w:tab/>
          </w:r>
          <w:r>
            <w:fldChar w:fldCharType="begin"/>
          </w:r>
          <w:r>
            <w:instrText xml:space="preserve"> PAGEREF _Toc502866381 \h </w:instrText>
          </w:r>
          <w:r>
            <w:fldChar w:fldCharType="separate"/>
          </w:r>
          <w:r>
            <w:t>11</w:t>
          </w:r>
          <w:r>
            <w:fldChar w:fldCharType="end"/>
          </w:r>
          <w:r>
            <w:fldChar w:fldCharType="end"/>
          </w:r>
        </w:p>
        <w:p>
          <w:pPr>
            <w:pStyle w:val="10"/>
            <w:tabs>
              <w:tab w:val="right" w:leader="dot" w:pos="8296"/>
            </w:tabs>
            <w:rPr>
              <w:rFonts w:asciiTheme="minorHAnsi" w:hAnsiTheme="minorHAnsi" w:eastAsiaTheme="minorEastAsia" w:cstheme="minorBidi"/>
              <w:kern w:val="2"/>
              <w:sz w:val="21"/>
              <w:lang w:eastAsia="zh-CN" w:bidi="ar-SA"/>
            </w:rPr>
          </w:pPr>
          <w:r>
            <w:fldChar w:fldCharType="begin"/>
          </w:r>
          <w:r>
            <w:instrText xml:space="preserve"> HYPERLINK \l "_Toc502866382" </w:instrText>
          </w:r>
          <w:r>
            <w:fldChar w:fldCharType="separate"/>
          </w:r>
          <w:r>
            <w:rPr>
              <w:rStyle w:val="19"/>
              <w:rFonts w:eastAsia="仿宋"/>
              <w:b/>
              <w:bCs/>
              <w:lang w:eastAsia="zh-CN"/>
            </w:rPr>
            <w:t>资产评估报告附件</w:t>
          </w:r>
          <w:r>
            <w:tab/>
          </w:r>
          <w:r>
            <w:fldChar w:fldCharType="begin"/>
          </w:r>
          <w:r>
            <w:instrText xml:space="preserve"> PAGEREF _Toc502866382 \h </w:instrText>
          </w:r>
          <w:r>
            <w:fldChar w:fldCharType="separate"/>
          </w:r>
          <w:r>
            <w:t>13</w:t>
          </w:r>
          <w:r>
            <w:fldChar w:fldCharType="end"/>
          </w:r>
          <w:r>
            <w:fldChar w:fldCharType="end"/>
          </w:r>
        </w:p>
        <w:p>
          <w:pPr>
            <w:spacing w:after="0" w:line="240" w:lineRule="auto"/>
            <w:rPr>
              <w:rFonts w:ascii="Arial Narrow" w:hAnsi="Arial Narrow" w:eastAsia="华文中宋"/>
              <w:sz w:val="21"/>
              <w:lang w:eastAsia="zh-CN"/>
            </w:rPr>
          </w:pPr>
          <w:r>
            <w:rPr>
              <w:rFonts w:ascii="Arial Narrow" w:hAnsi="Arial Narrow" w:eastAsia="华文中宋"/>
              <w:sz w:val="21"/>
              <w:lang w:eastAsia="zh-CN"/>
            </w:rPr>
            <w:fldChar w:fldCharType="end"/>
          </w:r>
        </w:p>
      </w:sdtContent>
    </w:sdt>
    <w:p>
      <w:pPr>
        <w:spacing w:before="156" w:beforeLines="50" w:after="0" w:line="240" w:lineRule="auto"/>
        <w:rPr>
          <w:rFonts w:eastAsia="华文中宋"/>
          <w:sz w:val="21"/>
          <w:lang w:eastAsia="zh-CN"/>
        </w:rPr>
      </w:pPr>
    </w:p>
    <w:p>
      <w:pPr>
        <w:spacing w:before="156" w:beforeLines="50" w:after="0" w:line="240" w:lineRule="auto"/>
        <w:rPr>
          <w:rFonts w:eastAsia="华文中宋"/>
          <w:sz w:val="21"/>
          <w:lang w:eastAsia="zh-CN"/>
        </w:rPr>
        <w:sectPr>
          <w:headerReference r:id="rId6" w:type="default"/>
          <w:footerReference r:id="rId7" w:type="default"/>
          <w:pgSz w:w="11906" w:h="16838"/>
          <w:pgMar w:top="1560" w:right="1800" w:bottom="1276" w:left="1800" w:header="426" w:footer="340" w:gutter="0"/>
          <w:cols w:space="425" w:num="1"/>
          <w:docGrid w:type="lines" w:linePitch="312" w:charSpace="0"/>
        </w:sectPr>
      </w:pPr>
    </w:p>
    <w:p>
      <w:pPr>
        <w:pStyle w:val="2"/>
        <w:spacing w:before="156" w:beforeLines="50" w:line="360" w:lineRule="auto"/>
        <w:jc w:val="center"/>
        <w:rPr>
          <w:rFonts w:eastAsia="仿宋" w:asciiTheme="minorHAnsi" w:hAnsiTheme="minorHAnsi"/>
          <w:b/>
          <w:bCs/>
          <w:kern w:val="2"/>
          <w:sz w:val="28"/>
          <w:szCs w:val="28"/>
          <w:lang w:eastAsia="zh-CN"/>
        </w:rPr>
      </w:pPr>
      <w:bookmarkStart w:id="0" w:name="_Toc502866366"/>
      <w:bookmarkStart w:id="1" w:name="_Toc447125207"/>
      <w:bookmarkStart w:id="2" w:name="_Toc205618349"/>
      <w:r>
        <w:rPr>
          <w:rFonts w:eastAsia="仿宋" w:asciiTheme="minorHAnsi" w:hAnsiTheme="minorHAnsi"/>
          <w:b/>
          <w:bCs/>
          <w:kern w:val="2"/>
          <w:sz w:val="28"/>
          <w:szCs w:val="28"/>
          <w:lang w:eastAsia="zh-CN"/>
        </w:rPr>
        <w:t>声明</w:t>
      </w:r>
      <w:bookmarkEnd w:id="0"/>
      <w:bookmarkEnd w:id="1"/>
      <w:bookmarkEnd w:id="2"/>
    </w:p>
    <w:p>
      <w:pPr>
        <w:spacing w:before="156" w:beforeLines="50" w:after="0" w:line="240" w:lineRule="auto"/>
        <w:ind w:firstLine="480" w:firstLineChars="200"/>
        <w:jc w:val="both"/>
        <w:rPr>
          <w:rFonts w:eastAsia="仿宋"/>
          <w:sz w:val="24"/>
          <w:lang w:eastAsia="zh-CN"/>
        </w:rPr>
      </w:pPr>
      <w:r>
        <w:rPr>
          <w:rFonts w:hint="eastAsia" w:eastAsia="仿宋"/>
          <w:sz w:val="24"/>
          <w:lang w:eastAsia="zh-CN"/>
        </w:rPr>
        <w:t>一、本资产评估报告依据财政部发布的资产评估基本准则和中国资产评估协会发布的资产评估执业准则和职业道德准则编制。</w:t>
      </w:r>
    </w:p>
    <w:p>
      <w:pPr>
        <w:spacing w:before="156" w:beforeLines="50" w:after="0" w:line="240" w:lineRule="auto"/>
        <w:ind w:firstLine="480" w:firstLineChars="200"/>
        <w:jc w:val="both"/>
        <w:rPr>
          <w:rFonts w:eastAsia="仿宋"/>
          <w:sz w:val="24"/>
          <w:lang w:eastAsia="zh-CN"/>
        </w:rPr>
      </w:pPr>
      <w:r>
        <w:rPr>
          <w:rFonts w:hint="eastAsia" w:eastAsia="仿宋"/>
          <w:sz w:val="24"/>
          <w:lang w:eastAsia="zh-CN"/>
        </w:rPr>
        <w:t>二、本资产评估报告使用人应当按照法律、行政法规规定和本资产评估报告载明的使用范围使用本资产评估报告；本资产评估报告使用人违反前述规定使用本资产评估报告的，本公司及其签字资产评估师不承担责任。</w:t>
      </w:r>
    </w:p>
    <w:p>
      <w:pPr>
        <w:spacing w:before="156" w:beforeLines="50" w:after="0" w:line="240" w:lineRule="auto"/>
        <w:ind w:firstLine="480" w:firstLineChars="200"/>
        <w:jc w:val="both"/>
        <w:rPr>
          <w:rFonts w:eastAsia="仿宋"/>
          <w:sz w:val="24"/>
          <w:lang w:eastAsia="zh-CN"/>
        </w:rPr>
      </w:pPr>
      <w:r>
        <w:rPr>
          <w:rFonts w:hint="eastAsia" w:eastAsia="仿宋"/>
          <w:sz w:val="24"/>
          <w:lang w:eastAsia="zh-CN"/>
        </w:rPr>
        <w:t>三、本资产评估报告使用人限于且仅限于委托人、资产评估委托合同中约定的其他资产评估报告使用人和法律、行政法规规定的本资产评估报告使用人，即本资产评估报告仅供委托人、资产评估委托合同中约定的其他资产评估报告使用人和法律、行政法规规定的本资产评估报告使用人使用；除此之外，其他任何机构和个人均不得成为本资产评估报告的使用人。</w:t>
      </w:r>
    </w:p>
    <w:p>
      <w:pPr>
        <w:spacing w:before="156" w:beforeLines="50" w:after="0" w:line="240" w:lineRule="auto"/>
        <w:ind w:firstLine="480" w:firstLineChars="200"/>
        <w:jc w:val="both"/>
        <w:rPr>
          <w:rFonts w:eastAsia="仿宋"/>
          <w:sz w:val="24"/>
          <w:lang w:eastAsia="zh-CN"/>
        </w:rPr>
      </w:pPr>
      <w:r>
        <w:rPr>
          <w:rFonts w:hint="eastAsia" w:eastAsia="仿宋"/>
          <w:sz w:val="24"/>
          <w:lang w:eastAsia="zh-CN"/>
        </w:rPr>
        <w:t>四、本资产评估报告使用人应当正确理解评估结论，评估结论不等同于评估对象可实现价格，评估结论不应当被认为是对评估对象可实现价格的保证。</w:t>
      </w:r>
    </w:p>
    <w:p>
      <w:pPr>
        <w:spacing w:before="156" w:beforeLines="50" w:after="0" w:line="240" w:lineRule="auto"/>
        <w:ind w:firstLine="480" w:firstLineChars="200"/>
        <w:jc w:val="both"/>
        <w:rPr>
          <w:rFonts w:eastAsia="仿宋"/>
          <w:sz w:val="24"/>
          <w:lang w:eastAsia="zh-CN"/>
        </w:rPr>
      </w:pPr>
      <w:r>
        <w:rPr>
          <w:rFonts w:hint="eastAsia" w:eastAsia="仿宋"/>
          <w:sz w:val="24"/>
          <w:lang w:eastAsia="zh-CN"/>
        </w:rPr>
        <w:t>五、本公司及本资产评估报告的签字资产评估师遵守法律、行政法规和资产评估准则，坚持独立、客观、公正的原则，并对所出具的本资产评估报告依法承担责任。</w:t>
      </w:r>
    </w:p>
    <w:p>
      <w:pPr>
        <w:spacing w:before="156" w:beforeLines="50" w:after="0" w:line="240" w:lineRule="auto"/>
        <w:ind w:firstLine="480" w:firstLineChars="200"/>
        <w:jc w:val="both"/>
        <w:rPr>
          <w:rFonts w:eastAsia="仿宋"/>
          <w:sz w:val="24"/>
          <w:lang w:eastAsia="zh-CN"/>
        </w:rPr>
      </w:pPr>
      <w:r>
        <w:rPr>
          <w:rFonts w:hint="eastAsia" w:eastAsia="仿宋"/>
          <w:sz w:val="24"/>
          <w:lang w:eastAsia="zh-CN"/>
        </w:rPr>
        <w:t>六、评估对象及其对应评估范围所涉及资产评估明细表中的申报评估信息、经营数据和信息、财务报告和资料及其他重要资料等由委托人或相关当事人（包括评估对象的产权持有人或实际控制人、被评估企业、被评估企业的关联方等及其管理者或相关职员）申报或提供并经其采用签名、盖章或法律允许的其他方式确认；相关当事人依法对其提供资料的真实性、完整性、合法性和有效性负责。</w:t>
      </w:r>
    </w:p>
    <w:p>
      <w:pPr>
        <w:spacing w:before="156" w:beforeLines="50" w:after="0" w:line="240" w:lineRule="auto"/>
        <w:ind w:firstLine="480" w:firstLineChars="200"/>
        <w:jc w:val="both"/>
        <w:rPr>
          <w:rFonts w:eastAsia="仿宋"/>
          <w:sz w:val="24"/>
          <w:lang w:eastAsia="zh-CN"/>
        </w:rPr>
      </w:pPr>
      <w:r>
        <w:rPr>
          <w:rFonts w:hint="eastAsia" w:eastAsia="仿宋"/>
          <w:sz w:val="24"/>
          <w:lang w:eastAsia="zh-CN"/>
        </w:rPr>
        <w:t>七、本公司及本资产评估报告的签字资产评估师与本资产评估报告中的评估对象没有现存或者预期的利益关系，与相关当事人没有现存或者预期的利益关系，对相关当事人不存在偏见。</w:t>
      </w:r>
    </w:p>
    <w:p>
      <w:pPr>
        <w:spacing w:before="156" w:beforeLines="50" w:after="0" w:line="240" w:lineRule="auto"/>
        <w:ind w:firstLine="480" w:firstLineChars="200"/>
        <w:jc w:val="both"/>
        <w:rPr>
          <w:rFonts w:eastAsia="仿宋"/>
          <w:sz w:val="24"/>
          <w:lang w:eastAsia="zh-CN"/>
        </w:rPr>
      </w:pPr>
      <w:r>
        <w:rPr>
          <w:rFonts w:hint="eastAsia" w:eastAsia="仿宋"/>
          <w:sz w:val="24"/>
          <w:lang w:eastAsia="zh-CN"/>
        </w:rPr>
        <w:t>八、本资产评估报告的签字资产评估师（包括协助其工作的资产评估专业人员）已经对本资产评估报告中的评估对象及其所涉及资产进行了必要的现场调查；对评估对象及其所涉及资产的法律权属状况给予必要的关注，对评估对象及其所涉及资产的法律权属资料进行了抽查查验，对已经发现的问题进行了如实披露，并且已提请相关当事人完善产权以满足出具资产评估报告的要求。</w:t>
      </w:r>
    </w:p>
    <w:p>
      <w:pPr>
        <w:spacing w:before="156" w:beforeLines="50" w:after="0" w:line="240" w:lineRule="auto"/>
        <w:ind w:firstLine="480" w:firstLineChars="200"/>
        <w:jc w:val="both"/>
        <w:rPr>
          <w:rFonts w:eastAsia="仿宋"/>
          <w:sz w:val="24"/>
          <w:lang w:eastAsia="zh-CN"/>
        </w:rPr>
      </w:pPr>
      <w:r>
        <w:rPr>
          <w:rFonts w:hint="eastAsia" w:eastAsia="仿宋"/>
          <w:sz w:val="24"/>
          <w:lang w:eastAsia="zh-CN"/>
        </w:rPr>
        <w:t>九、本公司出具的资产评估报告中的分析、判断和结果受本资产评估报告中假设和限制条件的限制，本资产评估报告使用人应当充分考虑本资产评估报告中载明的假设、限制条件、特别事项说明及其对评估结论的影响。</w:t>
      </w:r>
    </w:p>
    <w:p>
      <w:pPr>
        <w:spacing w:before="156" w:beforeLines="50" w:after="0" w:line="240" w:lineRule="auto"/>
        <w:ind w:firstLine="480" w:firstLineChars="200"/>
        <w:jc w:val="both"/>
        <w:rPr>
          <w:rFonts w:eastAsia="仿宋"/>
          <w:sz w:val="24"/>
          <w:lang w:eastAsia="zh-CN"/>
        </w:rPr>
      </w:pPr>
      <w:r>
        <w:rPr>
          <w:rFonts w:hint="eastAsia" w:eastAsia="仿宋"/>
          <w:sz w:val="24"/>
          <w:lang w:eastAsia="zh-CN"/>
        </w:rPr>
        <w:t>十、未经本公司书面同意，本资产评估报告的内容不得被摘抄、引用或者披露于公开媒体，法律、行政法规规定和资产评估委托合同另有约定的除外。</w:t>
      </w:r>
    </w:p>
    <w:p>
      <w:pPr>
        <w:keepNext w:val="0"/>
        <w:keepLines w:val="0"/>
        <w:pageBreakBefore w:val="0"/>
        <w:widowControl w:val="0"/>
        <w:kinsoku/>
        <w:wordWrap/>
        <w:overflowPunct/>
        <w:topLinePunct w:val="0"/>
        <w:autoSpaceDE/>
        <w:autoSpaceDN/>
        <w:bidi w:val="0"/>
        <w:adjustRightInd/>
        <w:snapToGrid/>
        <w:spacing w:before="156" w:beforeLines="50" w:after="0" w:line="240" w:lineRule="auto"/>
        <w:ind w:firstLine="480" w:firstLineChars="200"/>
        <w:jc w:val="both"/>
        <w:textAlignment w:val="auto"/>
        <w:rPr>
          <w:rFonts w:hint="eastAsia" w:eastAsia="仿宋"/>
          <w:sz w:val="24"/>
          <w:lang w:eastAsia="zh-CN"/>
        </w:rPr>
        <w:sectPr>
          <w:headerReference r:id="rId8" w:type="default"/>
          <w:footerReference r:id="rId9" w:type="default"/>
          <w:pgSz w:w="11906" w:h="16838"/>
          <w:pgMar w:top="1560" w:right="1800" w:bottom="1276" w:left="1800" w:header="426" w:footer="340" w:gutter="0"/>
          <w:pgNumType w:start="1"/>
          <w:cols w:space="425" w:num="1"/>
          <w:docGrid w:type="lines" w:linePitch="312" w:charSpace="0"/>
        </w:sectPr>
      </w:pPr>
      <w:r>
        <w:rPr>
          <w:rFonts w:hint="eastAsia" w:eastAsia="仿宋"/>
          <w:sz w:val="24"/>
          <w:lang w:eastAsia="zh-CN"/>
        </w:rPr>
        <w:t>十一、本资产评估报告是根据人民法院及相关当事人提供的资料和信息出具，资料和信息的真实性、完整性、合法性对评估结论构成影响，依据同一标的资产的其他资料或者信息可能得出与本报告不一致的评估结论。</w:t>
      </w:r>
    </w:p>
    <w:p>
      <w:pPr>
        <w:adjustRightInd w:val="0"/>
        <w:snapToGrid w:val="0"/>
        <w:spacing w:before="156" w:beforeLines="50" w:after="0" w:line="240" w:lineRule="auto"/>
        <w:jc w:val="center"/>
        <w:rPr>
          <w:rFonts w:eastAsia="仿宋" w:asciiTheme="minorHAnsi" w:hAnsiTheme="minorHAnsi"/>
          <w:b/>
          <w:spacing w:val="18"/>
          <w:sz w:val="28"/>
          <w:szCs w:val="28"/>
          <w:lang w:eastAsia="zh-CN"/>
        </w:rPr>
      </w:pPr>
      <w:r>
        <w:rPr>
          <w:rFonts w:hint="eastAsia" w:eastAsia="仿宋" w:asciiTheme="minorHAnsi" w:hAnsiTheme="minorHAnsi"/>
          <w:b/>
          <w:spacing w:val="18"/>
          <w:sz w:val="28"/>
          <w:szCs w:val="28"/>
          <w:lang w:eastAsia="zh-CN"/>
        </w:rPr>
        <w:t>衡南县人民法院拟处置资产所涉及的</w:t>
      </w:r>
      <w:r>
        <w:rPr>
          <w:rFonts w:hint="eastAsia" w:eastAsia="仿宋" w:asciiTheme="minorHAnsi" w:hAnsiTheme="minorHAnsi"/>
          <w:b/>
          <w:spacing w:val="18"/>
          <w:sz w:val="28"/>
          <w:szCs w:val="28"/>
          <w:lang w:val="en-US" w:eastAsia="zh-CN"/>
        </w:rPr>
        <w:t xml:space="preserve">                 </w:t>
      </w:r>
      <w:r>
        <w:rPr>
          <w:rFonts w:hint="eastAsia" w:eastAsia="仿宋" w:asciiTheme="minorHAnsi" w:hAnsiTheme="minorHAnsi"/>
          <w:b/>
          <w:spacing w:val="11"/>
          <w:sz w:val="28"/>
          <w:szCs w:val="28"/>
          <w:lang w:eastAsia="zh-CN"/>
        </w:rPr>
        <w:t>衡阳市永衡房地产开发有限公司位于衡南县云集镇小商品（一）-2号地（永衡云嶺A栋）108A室商服房地产</w:t>
      </w:r>
    </w:p>
    <w:p>
      <w:pPr>
        <w:pStyle w:val="2"/>
        <w:spacing w:before="156" w:beforeLines="50" w:line="360" w:lineRule="auto"/>
        <w:jc w:val="center"/>
        <w:rPr>
          <w:rFonts w:eastAsia="仿宋" w:asciiTheme="minorHAnsi" w:hAnsiTheme="minorHAnsi"/>
          <w:b/>
          <w:bCs/>
          <w:kern w:val="2"/>
          <w:sz w:val="28"/>
          <w:szCs w:val="28"/>
          <w:lang w:eastAsia="zh-CN"/>
        </w:rPr>
      </w:pPr>
      <w:bookmarkStart w:id="3" w:name="_Toc447125208"/>
      <w:bookmarkStart w:id="4" w:name="_Toc502866367"/>
      <w:r>
        <w:rPr>
          <w:rFonts w:hint="eastAsia" w:eastAsia="仿宋" w:asciiTheme="minorHAnsi" w:hAnsiTheme="minorHAnsi"/>
          <w:b/>
          <w:bCs/>
          <w:kern w:val="2"/>
          <w:sz w:val="28"/>
          <w:szCs w:val="28"/>
          <w:lang w:eastAsia="zh-CN"/>
        </w:rPr>
        <w:t>资产评估报告摘要</w:t>
      </w:r>
      <w:bookmarkEnd w:id="3"/>
      <w:bookmarkEnd w:id="4"/>
    </w:p>
    <w:p>
      <w:pPr>
        <w:adjustRightInd w:val="0"/>
        <w:snapToGrid w:val="0"/>
        <w:spacing w:after="100" w:line="240" w:lineRule="auto"/>
        <w:jc w:val="center"/>
        <w:rPr>
          <w:rFonts w:eastAsia="仿宋" w:asciiTheme="minorHAnsi" w:hAnsiTheme="minorHAnsi"/>
          <w:spacing w:val="18"/>
          <w:sz w:val="21"/>
          <w:szCs w:val="21"/>
          <w:lang w:eastAsia="zh-CN"/>
        </w:rPr>
      </w:pPr>
      <w:r>
        <w:rPr>
          <w:rFonts w:hint="eastAsia" w:eastAsia="仿宋" w:asciiTheme="minorHAnsi" w:hAnsiTheme="minorHAnsi"/>
          <w:spacing w:val="18"/>
          <w:sz w:val="21"/>
          <w:szCs w:val="21"/>
          <w:lang w:eastAsia="zh-CN"/>
        </w:rPr>
        <w:t>鹏信资估报字[2022]第XHY014号</w:t>
      </w:r>
    </w:p>
    <w:tbl>
      <w:tblPr>
        <w:tblStyle w:val="15"/>
        <w:tblW w:w="8130" w:type="dxa"/>
        <w:tblInd w:w="39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2F2F2"/>
        <w:tblLayout w:type="fixed"/>
        <w:tblCellMar>
          <w:top w:w="0" w:type="dxa"/>
          <w:left w:w="108" w:type="dxa"/>
          <w:bottom w:w="0" w:type="dxa"/>
          <w:right w:w="108" w:type="dxa"/>
        </w:tblCellMar>
      </w:tblPr>
      <w:tblGrid>
        <w:gridCol w:w="81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2F2F2"/>
          <w:tblCellMar>
            <w:top w:w="0" w:type="dxa"/>
            <w:left w:w="108" w:type="dxa"/>
            <w:bottom w:w="0" w:type="dxa"/>
            <w:right w:w="108" w:type="dxa"/>
          </w:tblCellMar>
        </w:tblPrEx>
        <w:tc>
          <w:tcPr>
            <w:tcW w:w="8130" w:type="dxa"/>
            <w:shd w:val="clear" w:color="auto" w:fill="F2F2F2"/>
          </w:tcPr>
          <w:p>
            <w:pPr>
              <w:spacing w:after="0" w:line="0" w:lineRule="atLeast"/>
              <w:jc w:val="both"/>
              <w:rPr>
                <w:rFonts w:ascii="华文楷体" w:hAnsi="华文楷体" w:eastAsia="华文楷体" w:cs="Arial"/>
                <w:color w:val="000000"/>
                <w:szCs w:val="21"/>
                <w:lang w:eastAsia="zh-CN"/>
              </w:rPr>
            </w:pPr>
            <w:r>
              <w:rPr>
                <w:rFonts w:hint="eastAsia" w:eastAsia="仿宋" w:cs="Arial" w:asciiTheme="minorHAnsi" w:hAnsiTheme="minorHAnsi"/>
                <w:b/>
                <w:color w:val="000000"/>
                <w:sz w:val="21"/>
                <w:szCs w:val="21"/>
                <w:lang w:eastAsia="zh-CN"/>
              </w:rPr>
              <w:t>谨提请本资产评估报告摘要之使用者和阅读者注意</w:t>
            </w:r>
            <w:r>
              <w:rPr>
                <w:rFonts w:hint="eastAsia" w:eastAsia="仿宋" w:cs="Arial" w:asciiTheme="minorHAnsi" w:hAnsiTheme="minorHAnsi"/>
                <w:color w:val="000000"/>
                <w:sz w:val="21"/>
                <w:szCs w:val="21"/>
                <w:lang w:eastAsia="zh-CN"/>
              </w:rPr>
              <w:t>：本资产评估报告摘要之内容摘自资产评估报告正文，欲了解本评估项目的详细情况和合理理解评估结论，应当详细阅读资产评估报告全文。</w:t>
            </w:r>
          </w:p>
        </w:tc>
      </w:tr>
    </w:tbl>
    <w:p>
      <w:pPr>
        <w:widowControl w:val="0"/>
        <w:spacing w:before="156" w:beforeLines="50" w:after="0" w:line="240" w:lineRule="auto"/>
        <w:ind w:firstLine="480" w:firstLineChars="200"/>
        <w:jc w:val="both"/>
        <w:rPr>
          <w:rFonts w:ascii="Calibri" w:hAnsi="Calibri" w:eastAsia="仿宋"/>
          <w:sz w:val="24"/>
          <w:szCs w:val="24"/>
          <w:lang w:eastAsia="zh-CN"/>
        </w:rPr>
      </w:pPr>
      <w:r>
        <w:rPr>
          <w:rFonts w:hint="eastAsia" w:ascii="Calibri" w:hAnsi="Calibri" w:eastAsia="仿宋"/>
          <w:sz w:val="24"/>
          <w:szCs w:val="24"/>
          <w:lang w:eastAsia="zh-CN"/>
        </w:rPr>
        <w:t>深圳市鹏信资产评估土地房地产估价有限公司接受 衡南县人民法院的委托，就 衡南县人民法院拟处置资产之经济行为，所涉及的 衡阳市永衡房地产开发有限公司位于衡南县云集镇小商品（一）-2号地（永衡云嶺A栋）108A室商服房地产在评估基准日的市场价值进行了评估，现将资产评估报告正文的相关内容摘要如下：</w:t>
      </w:r>
    </w:p>
    <w:p>
      <w:pPr>
        <w:widowControl w:val="0"/>
        <w:spacing w:before="156" w:beforeLines="50" w:after="0" w:line="240" w:lineRule="auto"/>
        <w:ind w:firstLine="480" w:firstLineChars="200"/>
        <w:jc w:val="both"/>
        <w:rPr>
          <w:rFonts w:ascii="Calibri" w:hAnsi="Calibri" w:eastAsia="仿宋"/>
          <w:sz w:val="24"/>
          <w:szCs w:val="24"/>
          <w:lang w:eastAsia="zh-CN"/>
        </w:rPr>
      </w:pPr>
      <w:r>
        <w:rPr>
          <w:rFonts w:hint="eastAsia" w:ascii="Calibri" w:hAnsi="Calibri" w:eastAsia="仿宋"/>
          <w:sz w:val="24"/>
          <w:szCs w:val="24"/>
          <w:lang w:eastAsia="zh-CN"/>
        </w:rPr>
        <w:t>一、评估目的：为衡南县人民法院确定财产处置参考价提供服务。</w:t>
      </w:r>
    </w:p>
    <w:p>
      <w:pPr>
        <w:widowControl w:val="0"/>
        <w:spacing w:before="156" w:beforeLines="50" w:after="0" w:line="240" w:lineRule="auto"/>
        <w:ind w:firstLine="480" w:firstLineChars="200"/>
        <w:jc w:val="both"/>
        <w:rPr>
          <w:rFonts w:ascii="Calibri" w:hAnsi="Calibri" w:eastAsia="仿宋"/>
          <w:sz w:val="24"/>
          <w:szCs w:val="24"/>
          <w:highlight w:val="none"/>
          <w:lang w:eastAsia="zh-CN"/>
        </w:rPr>
      </w:pPr>
      <w:r>
        <w:rPr>
          <w:rFonts w:hint="eastAsia" w:ascii="Calibri" w:hAnsi="Calibri" w:eastAsia="仿宋"/>
          <w:sz w:val="24"/>
          <w:szCs w:val="24"/>
          <w:lang w:eastAsia="zh-CN"/>
        </w:rPr>
        <w:t>二、评估对象：衡阳市永衡房地产开发有限公司位于衡南县云集镇小商品（一）-2号地（永衡云嶺A栋）108A室商服房地产</w:t>
      </w:r>
      <w:r>
        <w:rPr>
          <w:rFonts w:hint="eastAsia" w:ascii="Calibri" w:hAnsi="Calibri" w:eastAsia="仿宋"/>
          <w:sz w:val="24"/>
          <w:szCs w:val="24"/>
          <w:highlight w:val="none"/>
          <w:lang w:eastAsia="zh-CN"/>
        </w:rPr>
        <w:t>的市场价值</w:t>
      </w:r>
      <w:r>
        <w:rPr>
          <w:rFonts w:ascii="Calibri" w:hAnsi="Calibri" w:eastAsia="仿宋"/>
          <w:sz w:val="24"/>
          <w:szCs w:val="24"/>
          <w:highlight w:val="none"/>
          <w:lang w:eastAsia="zh-CN"/>
        </w:rPr>
        <w:t>，</w:t>
      </w:r>
      <w:r>
        <w:rPr>
          <w:rFonts w:hint="eastAsia" w:ascii="Calibri" w:hAnsi="Calibri" w:eastAsia="仿宋"/>
          <w:sz w:val="24"/>
          <w:szCs w:val="24"/>
          <w:highlight w:val="none"/>
          <w:lang w:eastAsia="zh-CN"/>
        </w:rPr>
        <w:t>与评估对象相对应的评估范围为衡阳市永衡房地产开发有限公司位于衡南县云集镇小商品（一）-2号地（永衡云嶺A栋）108A室商服房地产。</w:t>
      </w:r>
    </w:p>
    <w:p>
      <w:pPr>
        <w:widowControl w:val="0"/>
        <w:spacing w:before="156" w:beforeLines="50" w:after="0" w:line="240" w:lineRule="auto"/>
        <w:ind w:firstLine="480" w:firstLineChars="200"/>
        <w:jc w:val="both"/>
        <w:rPr>
          <w:rFonts w:ascii="Calibri" w:hAnsi="Calibri" w:eastAsia="仿宋"/>
          <w:sz w:val="24"/>
          <w:szCs w:val="24"/>
          <w:highlight w:val="none"/>
          <w:lang w:eastAsia="zh-CN"/>
        </w:rPr>
      </w:pPr>
      <w:r>
        <w:rPr>
          <w:rFonts w:hint="eastAsia" w:ascii="Calibri" w:hAnsi="Calibri" w:eastAsia="仿宋"/>
          <w:sz w:val="24"/>
          <w:szCs w:val="24"/>
          <w:highlight w:val="none"/>
          <w:lang w:eastAsia="zh-CN"/>
        </w:rPr>
        <w:t>三、评估基准日：2022年8月30日。</w:t>
      </w:r>
    </w:p>
    <w:p>
      <w:pPr>
        <w:widowControl w:val="0"/>
        <w:spacing w:before="156" w:beforeLines="50" w:after="0" w:line="240" w:lineRule="auto"/>
        <w:ind w:firstLine="480" w:firstLineChars="200"/>
        <w:jc w:val="both"/>
        <w:rPr>
          <w:rFonts w:ascii="Calibri" w:hAnsi="Calibri" w:eastAsia="仿宋"/>
          <w:sz w:val="24"/>
          <w:szCs w:val="24"/>
          <w:highlight w:val="none"/>
          <w:lang w:eastAsia="zh-CN"/>
        </w:rPr>
      </w:pPr>
      <w:r>
        <w:rPr>
          <w:rFonts w:hint="eastAsia" w:ascii="Calibri" w:hAnsi="Calibri" w:eastAsia="仿宋"/>
          <w:sz w:val="24"/>
          <w:szCs w:val="24"/>
          <w:highlight w:val="none"/>
          <w:lang w:eastAsia="zh-CN"/>
        </w:rPr>
        <w:t>四、价值类型：市场价值。</w:t>
      </w:r>
    </w:p>
    <w:p>
      <w:pPr>
        <w:widowControl w:val="0"/>
        <w:spacing w:before="156" w:beforeLines="50" w:after="0" w:line="240" w:lineRule="auto"/>
        <w:ind w:firstLine="480" w:firstLineChars="200"/>
        <w:jc w:val="both"/>
        <w:rPr>
          <w:rFonts w:ascii="Calibri" w:hAnsi="Calibri" w:eastAsia="仿宋"/>
          <w:sz w:val="24"/>
          <w:szCs w:val="24"/>
          <w:highlight w:val="none"/>
          <w:lang w:eastAsia="zh-CN"/>
        </w:rPr>
      </w:pPr>
      <w:r>
        <w:rPr>
          <w:rFonts w:hint="eastAsia" w:ascii="Calibri" w:hAnsi="Calibri" w:eastAsia="仿宋"/>
          <w:sz w:val="24"/>
          <w:szCs w:val="24"/>
          <w:highlight w:val="none"/>
          <w:lang w:eastAsia="zh-CN"/>
        </w:rPr>
        <w:t>五、评估方法：市场法。</w:t>
      </w:r>
    </w:p>
    <w:p>
      <w:pPr>
        <w:widowControl w:val="0"/>
        <w:spacing w:before="156" w:beforeLines="50" w:after="0" w:line="240" w:lineRule="auto"/>
        <w:ind w:firstLine="480" w:firstLineChars="200"/>
        <w:jc w:val="both"/>
        <w:rPr>
          <w:rFonts w:ascii="Calibri" w:hAnsi="Calibri" w:eastAsia="仿宋"/>
          <w:sz w:val="24"/>
          <w:szCs w:val="24"/>
          <w:highlight w:val="none"/>
          <w:lang w:eastAsia="zh-CN"/>
        </w:rPr>
      </w:pPr>
      <w:r>
        <w:rPr>
          <w:rFonts w:hint="eastAsia" w:ascii="Calibri" w:hAnsi="Calibri" w:eastAsia="仿宋"/>
          <w:sz w:val="24"/>
          <w:szCs w:val="24"/>
          <w:highlight w:val="none"/>
          <w:lang w:eastAsia="zh-CN"/>
        </w:rPr>
        <w:t xml:space="preserve">六、评估结论： </w:t>
      </w:r>
    </w:p>
    <w:p>
      <w:pPr>
        <w:widowControl w:val="0"/>
        <w:spacing w:before="156" w:beforeLines="50" w:after="0" w:line="240" w:lineRule="auto"/>
        <w:ind w:firstLine="480" w:firstLineChars="200"/>
        <w:jc w:val="both"/>
        <w:rPr>
          <w:rFonts w:ascii="Calibri" w:hAnsi="Calibri" w:eastAsia="仿宋"/>
          <w:sz w:val="24"/>
          <w:szCs w:val="24"/>
          <w:highlight w:val="none"/>
          <w:lang w:eastAsia="zh-CN"/>
        </w:rPr>
      </w:pPr>
      <w:bookmarkStart w:id="48" w:name="_GoBack"/>
      <w:r>
        <w:rPr>
          <w:rFonts w:hint="eastAsia" w:ascii="Calibri" w:hAnsi="Calibri" w:eastAsia="仿宋"/>
          <w:sz w:val="24"/>
          <w:szCs w:val="24"/>
          <w:highlight w:val="none"/>
          <w:lang w:eastAsia="zh-CN"/>
        </w:rPr>
        <w:t>采用市场法评估的衡阳市永衡房地产开发有限公司位于衡南县云集镇小商品（一）-2号地（永衡云嶺A栋）108A室商服房地产于评估基准日的评估值为</w:t>
      </w:r>
      <w:r>
        <w:rPr>
          <w:rFonts w:hint="eastAsia" w:ascii="Calibri" w:hAnsi="Calibri" w:eastAsia="仿宋"/>
          <w:sz w:val="24"/>
          <w:szCs w:val="24"/>
          <w:highlight w:val="none"/>
          <w:lang w:val="en-US" w:eastAsia="zh-CN"/>
        </w:rPr>
        <w:t>人民币：</w:t>
      </w:r>
      <w:r>
        <w:rPr>
          <w:rFonts w:hint="eastAsia" w:ascii="Calibri" w:hAnsi="Calibri" w:eastAsia="仿宋" w:cs="Times New Roman"/>
          <w:b/>
          <w:bCs/>
          <w:sz w:val="24"/>
          <w:szCs w:val="24"/>
          <w:highlight w:val="none"/>
          <w:lang w:val="en-US" w:eastAsia="zh-CN"/>
        </w:rPr>
        <w:t>34.61万元（大写：人民币</w:t>
      </w:r>
      <w:r>
        <w:rPr>
          <w:rFonts w:hint="eastAsia" w:ascii="Calibri" w:hAnsi="Calibri" w:eastAsia="仿宋" w:cs="Times New Roman"/>
          <w:b/>
          <w:bCs/>
          <w:sz w:val="24"/>
          <w:szCs w:val="24"/>
          <w:highlight w:val="none"/>
          <w:lang w:val="en-US" w:eastAsia="zh-CN"/>
        </w:rPr>
        <w:fldChar w:fldCharType="begin"/>
      </w:r>
      <w:r>
        <w:rPr>
          <w:rFonts w:hint="eastAsia" w:ascii="Calibri" w:hAnsi="Calibri" w:eastAsia="仿宋" w:cs="Times New Roman"/>
          <w:b/>
          <w:bCs/>
          <w:sz w:val="24"/>
          <w:szCs w:val="24"/>
          <w:highlight w:val="none"/>
          <w:lang w:val="en-US" w:eastAsia="zh-CN"/>
        </w:rPr>
        <w:instrText xml:space="preserve"> = 285100 \* CHINESENUM4 \* MERGEFORMAT </w:instrText>
      </w:r>
      <w:r>
        <w:rPr>
          <w:rFonts w:hint="eastAsia" w:ascii="Calibri" w:hAnsi="Calibri" w:eastAsia="仿宋" w:cs="Times New Roman"/>
          <w:b/>
          <w:bCs/>
          <w:sz w:val="24"/>
          <w:szCs w:val="24"/>
          <w:highlight w:val="none"/>
          <w:lang w:val="en-US" w:eastAsia="zh-CN"/>
        </w:rPr>
        <w:fldChar w:fldCharType="separate"/>
      </w:r>
      <w:r>
        <w:rPr>
          <w:rFonts w:hint="eastAsia" w:ascii="Calibri" w:hAnsi="Calibri" w:eastAsia="仿宋" w:cs="Times New Roman"/>
          <w:b/>
          <w:bCs/>
          <w:sz w:val="24"/>
          <w:szCs w:val="24"/>
          <w:highlight w:val="none"/>
          <w:lang w:val="en-US" w:eastAsia="zh-CN"/>
        </w:rPr>
        <w:t>叁拾肆万陆仟壹佰</w:t>
      </w:r>
      <w:r>
        <w:rPr>
          <w:rFonts w:hint="eastAsia" w:ascii="Calibri" w:hAnsi="Calibri" w:eastAsia="仿宋" w:cs="Times New Roman"/>
          <w:b/>
          <w:bCs/>
          <w:sz w:val="24"/>
          <w:szCs w:val="24"/>
          <w:highlight w:val="none"/>
          <w:lang w:val="en-US" w:eastAsia="zh-CN"/>
        </w:rPr>
        <w:fldChar w:fldCharType="end"/>
      </w:r>
      <w:r>
        <w:rPr>
          <w:rFonts w:hint="eastAsia" w:ascii="Calibri" w:hAnsi="Calibri" w:eastAsia="仿宋" w:cs="Times New Roman"/>
          <w:b/>
          <w:bCs/>
          <w:sz w:val="24"/>
          <w:szCs w:val="24"/>
          <w:highlight w:val="none"/>
          <w:lang w:val="en-US" w:eastAsia="zh-CN"/>
        </w:rPr>
        <w:t>元整）</w:t>
      </w:r>
      <w:bookmarkEnd w:id="48"/>
      <w:r>
        <w:rPr>
          <w:rFonts w:hint="eastAsia" w:ascii="Calibri" w:hAnsi="Calibri" w:eastAsia="仿宋"/>
          <w:sz w:val="24"/>
          <w:szCs w:val="24"/>
          <w:highlight w:val="none"/>
          <w:lang w:eastAsia="zh-CN"/>
        </w:rPr>
        <w:t>。</w:t>
      </w:r>
    </w:p>
    <w:p>
      <w:pPr>
        <w:spacing w:before="156" w:beforeLines="50" w:after="0" w:line="240" w:lineRule="auto"/>
        <w:ind w:firstLine="480" w:firstLineChars="200"/>
        <w:jc w:val="both"/>
        <w:rPr>
          <w:rFonts w:hint="eastAsia" w:ascii="Calibri" w:hAnsi="Calibri" w:eastAsia="仿宋"/>
          <w:sz w:val="24"/>
          <w:szCs w:val="24"/>
          <w:highlight w:val="none"/>
          <w:lang w:eastAsia="zh-CN"/>
        </w:rPr>
      </w:pPr>
      <w:r>
        <w:rPr>
          <w:rFonts w:hint="eastAsia" w:ascii="Calibri" w:hAnsi="Calibri" w:eastAsia="仿宋"/>
          <w:sz w:val="24"/>
          <w:szCs w:val="24"/>
          <w:highlight w:val="none"/>
          <w:lang w:eastAsia="zh-CN"/>
        </w:rPr>
        <w:t>评估结论使用有效期：通常情况下，评估结论的使用有效期自评估基准日2022年8月30日至2023年8月29日。</w:t>
      </w:r>
    </w:p>
    <w:p>
      <w:pPr>
        <w:spacing w:before="156" w:beforeLines="50" w:after="0" w:line="240" w:lineRule="auto"/>
        <w:ind w:firstLine="480" w:firstLineChars="200"/>
        <w:jc w:val="both"/>
        <w:rPr>
          <w:rFonts w:hint="eastAsia" w:ascii="Calibri" w:hAnsi="Calibri" w:eastAsia="仿宋"/>
          <w:sz w:val="24"/>
          <w:szCs w:val="24"/>
          <w:lang w:eastAsia="zh-CN"/>
        </w:rPr>
      </w:pPr>
      <w:r>
        <w:rPr>
          <w:rFonts w:hint="eastAsia" w:eastAsia="仿宋" w:asciiTheme="minorHAnsi" w:hAnsiTheme="minorHAnsi"/>
          <w:sz w:val="24"/>
          <w:szCs w:val="24"/>
          <w:highlight w:val="none"/>
          <w:lang w:eastAsia="zh-CN"/>
        </w:rPr>
        <w:t>本评估报告经评估委托人送达双方当事人后，相关当事人对本评估报告有异议的，请在收到评估报告5日内以书面文件形式向人民</w:t>
      </w:r>
      <w:r>
        <w:rPr>
          <w:rFonts w:hint="eastAsia" w:eastAsia="仿宋" w:asciiTheme="minorHAnsi" w:hAnsiTheme="minorHAnsi"/>
          <w:sz w:val="24"/>
          <w:szCs w:val="24"/>
          <w:lang w:eastAsia="zh-CN"/>
        </w:rPr>
        <w:t>法院提出并附依据资料，逾期视为认可评估报告。</w:t>
      </w:r>
    </w:p>
    <w:p>
      <w:pPr>
        <w:widowControl w:val="0"/>
        <w:spacing w:before="156" w:beforeLines="50" w:after="0" w:line="240" w:lineRule="auto"/>
        <w:ind w:firstLine="480" w:firstLineChars="200"/>
        <w:jc w:val="both"/>
        <w:rPr>
          <w:rFonts w:ascii="Calibri" w:hAnsi="Calibri" w:eastAsia="仿宋"/>
          <w:sz w:val="24"/>
          <w:szCs w:val="24"/>
          <w:lang w:eastAsia="zh-CN"/>
        </w:rPr>
      </w:pPr>
      <w:r>
        <w:rPr>
          <w:rFonts w:hint="eastAsia" w:ascii="Calibri" w:hAnsi="Calibri" w:eastAsia="仿宋"/>
          <w:sz w:val="24"/>
          <w:szCs w:val="24"/>
          <w:lang w:eastAsia="zh-CN"/>
        </w:rPr>
        <w:t>资产评估报告使用人应当充分关注资产评估报告中载明的评估假设和特别事项说明以及资产评估报告使用限制说明。</w:t>
      </w:r>
    </w:p>
    <w:p>
      <w:pPr>
        <w:spacing w:before="156" w:beforeLines="50" w:after="0" w:line="240" w:lineRule="auto"/>
        <w:ind w:firstLine="420" w:firstLineChars="200"/>
        <w:jc w:val="both"/>
        <w:rPr>
          <w:rFonts w:eastAsia="华文中宋"/>
          <w:sz w:val="21"/>
          <w:lang w:eastAsia="zh-CN"/>
        </w:rPr>
        <w:sectPr>
          <w:headerReference r:id="rId10" w:type="default"/>
          <w:footerReference r:id="rId11" w:type="default"/>
          <w:pgSz w:w="11906" w:h="16838"/>
          <w:pgMar w:top="1560" w:right="1800" w:bottom="1276" w:left="1800" w:header="426" w:footer="340" w:gutter="0"/>
          <w:pgNumType w:start="1"/>
          <w:cols w:space="425" w:num="1"/>
          <w:docGrid w:type="lines" w:linePitch="312" w:charSpace="0"/>
        </w:sectPr>
      </w:pPr>
    </w:p>
    <w:p>
      <w:pPr>
        <w:adjustRightInd w:val="0"/>
        <w:snapToGrid w:val="0"/>
        <w:spacing w:before="156" w:beforeLines="50" w:after="0" w:line="240" w:lineRule="auto"/>
        <w:jc w:val="center"/>
        <w:rPr>
          <w:rFonts w:eastAsia="仿宋" w:asciiTheme="minorHAnsi" w:hAnsiTheme="minorHAnsi"/>
          <w:b/>
          <w:spacing w:val="18"/>
          <w:sz w:val="28"/>
          <w:szCs w:val="28"/>
          <w:lang w:eastAsia="zh-CN"/>
        </w:rPr>
      </w:pPr>
      <w:r>
        <w:rPr>
          <w:rFonts w:hint="eastAsia" w:eastAsia="仿宋" w:asciiTheme="minorHAnsi" w:hAnsiTheme="minorHAnsi"/>
          <w:b/>
          <w:spacing w:val="18"/>
          <w:sz w:val="28"/>
          <w:szCs w:val="28"/>
          <w:lang w:eastAsia="zh-CN"/>
        </w:rPr>
        <w:t>衡南县人民法院拟处置资产所涉及的</w:t>
      </w:r>
      <w:r>
        <w:rPr>
          <w:rFonts w:hint="eastAsia" w:eastAsia="仿宋" w:asciiTheme="minorHAnsi" w:hAnsiTheme="minorHAnsi"/>
          <w:b/>
          <w:spacing w:val="18"/>
          <w:sz w:val="28"/>
          <w:szCs w:val="28"/>
          <w:lang w:val="en-US" w:eastAsia="zh-CN"/>
        </w:rPr>
        <w:t xml:space="preserve">                              </w:t>
      </w:r>
      <w:r>
        <w:rPr>
          <w:rFonts w:hint="eastAsia" w:eastAsia="仿宋" w:asciiTheme="minorHAnsi" w:hAnsiTheme="minorHAnsi"/>
          <w:b/>
          <w:spacing w:val="18"/>
          <w:sz w:val="28"/>
          <w:szCs w:val="28"/>
          <w:lang w:eastAsia="zh-CN"/>
        </w:rPr>
        <w:t>衡阳市永衡房地产开发有限公司位于衡南县云集镇小商品（一）-2号地（永衡云嶺A栋）108A室商服房地产</w:t>
      </w:r>
    </w:p>
    <w:p>
      <w:pPr>
        <w:pStyle w:val="2"/>
        <w:spacing w:before="156" w:beforeLines="50" w:line="360" w:lineRule="auto"/>
        <w:jc w:val="center"/>
        <w:rPr>
          <w:rFonts w:eastAsia="仿宋" w:asciiTheme="minorHAnsi" w:hAnsiTheme="minorHAnsi"/>
          <w:b/>
          <w:bCs/>
          <w:kern w:val="2"/>
          <w:sz w:val="28"/>
          <w:szCs w:val="28"/>
          <w:lang w:eastAsia="zh-CN"/>
        </w:rPr>
      </w:pPr>
      <w:bookmarkStart w:id="5" w:name="_Toc447125209"/>
      <w:bookmarkStart w:id="6" w:name="_Toc502866368"/>
      <w:r>
        <w:rPr>
          <w:rFonts w:hint="eastAsia" w:eastAsia="仿宋" w:asciiTheme="minorHAnsi" w:hAnsiTheme="minorHAnsi"/>
          <w:b/>
          <w:bCs/>
          <w:kern w:val="2"/>
          <w:sz w:val="28"/>
          <w:szCs w:val="28"/>
          <w:lang w:eastAsia="zh-CN"/>
        </w:rPr>
        <w:t>资产评估报告正文</w:t>
      </w:r>
      <w:bookmarkEnd w:id="5"/>
      <w:bookmarkEnd w:id="6"/>
    </w:p>
    <w:p>
      <w:pPr>
        <w:pBdr>
          <w:bottom w:val="single" w:color="auto" w:sz="4" w:space="1"/>
        </w:pBdr>
        <w:spacing w:line="360" w:lineRule="auto"/>
        <w:jc w:val="center"/>
        <w:rPr>
          <w:rFonts w:eastAsia="仿宋" w:asciiTheme="minorHAnsi" w:hAnsiTheme="minorHAnsi"/>
          <w:sz w:val="21"/>
          <w:szCs w:val="21"/>
          <w:lang w:eastAsia="zh-CN"/>
        </w:rPr>
      </w:pPr>
      <w:r>
        <w:rPr>
          <w:rFonts w:hint="eastAsia" w:eastAsia="仿宋" w:asciiTheme="minorHAnsi" w:hAnsiTheme="minorHAnsi"/>
          <w:sz w:val="21"/>
          <w:szCs w:val="21"/>
          <w:lang w:eastAsia="zh-CN"/>
        </w:rPr>
        <w:t>鹏信资估报字[2022]第XHY014号</w:t>
      </w:r>
    </w:p>
    <w:p>
      <w:pPr>
        <w:spacing w:before="156" w:beforeLines="50" w:line="480" w:lineRule="exact"/>
        <w:rPr>
          <w:rFonts w:eastAsia="仿宋" w:asciiTheme="minorHAnsi" w:hAnsiTheme="minorHAnsi"/>
          <w:b/>
          <w:bCs/>
          <w:sz w:val="24"/>
          <w:lang w:eastAsia="zh-CN"/>
        </w:rPr>
      </w:pPr>
      <w:bookmarkStart w:id="7" w:name="_Toc49339794"/>
      <w:bookmarkStart w:id="8" w:name="_Toc48442636"/>
      <w:r>
        <w:rPr>
          <w:rFonts w:hint="eastAsia" w:eastAsia="仿宋" w:asciiTheme="minorHAnsi" w:hAnsiTheme="minorHAnsi"/>
          <w:b/>
          <w:bCs/>
          <w:sz w:val="24"/>
          <w:lang w:eastAsia="zh-CN"/>
        </w:rPr>
        <w:t>衡南县人民法院：</w:t>
      </w:r>
    </w:p>
    <w:bookmarkEnd w:id="7"/>
    <w:bookmarkEnd w:id="8"/>
    <w:p>
      <w:pPr>
        <w:widowControl w:val="0"/>
        <w:spacing w:before="156" w:beforeLines="50" w:after="0" w:line="240" w:lineRule="auto"/>
        <w:ind w:firstLine="480" w:firstLineChars="200"/>
        <w:jc w:val="both"/>
        <w:rPr>
          <w:rFonts w:ascii="Calibri" w:hAnsi="Calibri" w:eastAsia="仿宋"/>
          <w:sz w:val="24"/>
          <w:szCs w:val="24"/>
          <w:lang w:eastAsia="zh-CN"/>
        </w:rPr>
      </w:pPr>
      <w:r>
        <w:rPr>
          <w:rFonts w:hint="eastAsia" w:ascii="Calibri" w:hAnsi="Calibri" w:eastAsia="仿宋"/>
          <w:sz w:val="24"/>
          <w:szCs w:val="24"/>
          <w:lang w:eastAsia="zh-CN"/>
        </w:rPr>
        <w:t>本公司接受 贵单位的委托，根据有关法律法规和中国资产评估准则的有关规定，坚持独立、客观和公正的原则，采用市场法，实施必要的评估程序，对衡南县人民法院拟处置资产之行为所涉及的衡阳市永衡房地产开发有限公司位于衡南县云集镇小商品（一）-2号地（永衡云嶺A栋）108A室商服房地产于2022年8月30日的价值进行了评估。现将资产评估情况报告如下：</w:t>
      </w:r>
    </w:p>
    <w:p>
      <w:pPr>
        <w:pStyle w:val="3"/>
        <w:spacing w:before="156" w:beforeLines="50" w:line="480" w:lineRule="exact"/>
        <w:ind w:firstLine="482" w:firstLineChars="200"/>
        <w:jc w:val="both"/>
        <w:rPr>
          <w:rFonts w:eastAsia="仿宋" w:asciiTheme="minorHAnsi" w:hAnsiTheme="minorHAnsi"/>
          <w:sz w:val="24"/>
          <w:szCs w:val="24"/>
          <w:lang w:eastAsia="zh-CN"/>
        </w:rPr>
      </w:pPr>
      <w:bookmarkStart w:id="9" w:name="_Toc447125210"/>
      <w:bookmarkStart w:id="10" w:name="_Toc502866369"/>
      <w:r>
        <w:rPr>
          <w:rFonts w:hint="eastAsia" w:eastAsia="仿宋" w:asciiTheme="minorHAnsi" w:hAnsiTheme="minorHAnsi"/>
          <w:sz w:val="24"/>
          <w:szCs w:val="24"/>
          <w:lang w:eastAsia="zh-CN"/>
        </w:rPr>
        <w:t>一、委托人及其他资产评估报告使用</w:t>
      </w:r>
      <w:bookmarkEnd w:id="9"/>
      <w:r>
        <w:rPr>
          <w:rFonts w:hint="eastAsia" w:eastAsia="仿宋" w:asciiTheme="minorHAnsi" w:hAnsiTheme="minorHAnsi"/>
          <w:sz w:val="24"/>
          <w:szCs w:val="24"/>
          <w:lang w:eastAsia="zh-CN"/>
        </w:rPr>
        <w:t>人</w:t>
      </w:r>
      <w:bookmarkEnd w:id="10"/>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(一)委托人概况</w:t>
      </w:r>
    </w:p>
    <w:p>
      <w:pPr>
        <w:widowControl w:val="0"/>
        <w:spacing w:before="156" w:beforeLines="50" w:after="0" w:line="240" w:lineRule="auto"/>
        <w:ind w:firstLine="480" w:firstLineChars="200"/>
        <w:jc w:val="both"/>
        <w:rPr>
          <w:rFonts w:hint="eastAsia" w:eastAsia="仿宋" w:asciiTheme="minorHAnsi" w:hAnsiTheme="minorHAnsi"/>
          <w:sz w:val="24"/>
          <w:szCs w:val="24"/>
          <w:lang w:eastAsia="zh-CN"/>
        </w:rPr>
      </w:pPr>
      <w:r>
        <w:rPr>
          <w:rFonts w:hint="eastAsia" w:eastAsia="仿宋" w:asciiTheme="minorHAnsi" w:hAnsiTheme="minorHAnsi"/>
          <w:sz w:val="24"/>
          <w:szCs w:val="24"/>
          <w:lang w:eastAsia="zh-CN"/>
        </w:rPr>
        <w:t>委托人名称：衡南县人民法院</w:t>
      </w:r>
    </w:p>
    <w:p>
      <w:pPr>
        <w:widowControl w:val="0"/>
        <w:spacing w:before="156" w:beforeLines="50" w:after="0" w:line="240" w:lineRule="auto"/>
        <w:ind w:firstLine="480" w:firstLineChars="200"/>
        <w:jc w:val="both"/>
        <w:rPr>
          <w:rFonts w:hint="eastAsia" w:eastAsia="仿宋" w:asciiTheme="minorHAnsi" w:hAnsiTheme="minorHAnsi"/>
          <w:sz w:val="24"/>
          <w:szCs w:val="24"/>
          <w:lang w:eastAsia="zh-CN"/>
        </w:rPr>
      </w:pPr>
      <w:r>
        <w:rPr>
          <w:rFonts w:hint="eastAsia" w:eastAsia="仿宋" w:asciiTheme="minorHAnsi" w:hAnsiTheme="minorHAnsi"/>
          <w:sz w:val="24"/>
          <w:szCs w:val="24"/>
          <w:lang w:eastAsia="zh-CN"/>
        </w:rPr>
        <w:t>地址：衡南县云集镇黄金路与雅园路交汇处</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(二)资产评估委托合同中约定的其他资产评估报告使用人</w:t>
      </w:r>
    </w:p>
    <w:p>
      <w:pPr>
        <w:widowControl w:val="0"/>
        <w:spacing w:before="156" w:beforeLines="50" w:after="0" w:line="240" w:lineRule="auto"/>
        <w:ind w:firstLine="480" w:firstLineChars="200"/>
        <w:jc w:val="both"/>
        <w:rPr>
          <w:rFonts w:ascii="Calibri" w:hAnsi="Calibri" w:eastAsia="仿宋"/>
          <w:sz w:val="24"/>
          <w:szCs w:val="24"/>
          <w:lang w:eastAsia="zh-CN"/>
        </w:rPr>
      </w:pPr>
      <w:r>
        <w:rPr>
          <w:rFonts w:hint="eastAsia" w:eastAsia="仿宋" w:asciiTheme="minorHAnsi" w:hAnsiTheme="minorHAnsi"/>
          <w:sz w:val="24"/>
          <w:szCs w:val="24"/>
          <w:lang w:eastAsia="zh-CN"/>
        </w:rPr>
        <w:t>根据 贵单位提供的（2022）湘0422法鉴字第75号《湖南省衡南县人民法院司法鉴定委托书》，除 贵单位和法律、行政法规规定的资产评估报告使用人外，没有其他资产评估报告使用人。</w:t>
      </w:r>
    </w:p>
    <w:p>
      <w:pPr>
        <w:pStyle w:val="3"/>
        <w:spacing w:before="156" w:beforeLines="50" w:line="480" w:lineRule="exact"/>
        <w:ind w:firstLine="482" w:firstLineChars="200"/>
        <w:jc w:val="both"/>
        <w:rPr>
          <w:rFonts w:eastAsia="仿宋" w:asciiTheme="minorHAnsi" w:hAnsiTheme="minorHAnsi"/>
          <w:sz w:val="24"/>
          <w:szCs w:val="24"/>
          <w:lang w:eastAsia="zh-CN"/>
        </w:rPr>
      </w:pPr>
      <w:bookmarkStart w:id="11" w:name="_Toc447125211"/>
      <w:bookmarkStart w:id="12" w:name="_Toc502866370"/>
      <w:r>
        <w:rPr>
          <w:rFonts w:hint="eastAsia" w:eastAsia="仿宋" w:asciiTheme="minorHAnsi" w:hAnsiTheme="minorHAnsi"/>
          <w:sz w:val="24"/>
          <w:szCs w:val="24"/>
          <w:lang w:eastAsia="zh-CN"/>
        </w:rPr>
        <w:t>二、评估目的</w:t>
      </w:r>
      <w:bookmarkEnd w:id="11"/>
      <w:bookmarkEnd w:id="12"/>
    </w:p>
    <w:p>
      <w:pPr>
        <w:widowControl w:val="0"/>
        <w:spacing w:before="156" w:beforeLines="50" w:after="0" w:line="240" w:lineRule="auto"/>
        <w:ind w:firstLine="480" w:firstLineChars="200"/>
        <w:jc w:val="both"/>
        <w:rPr>
          <w:rFonts w:ascii="Calibri" w:hAnsi="Calibri" w:eastAsia="仿宋"/>
          <w:sz w:val="24"/>
          <w:szCs w:val="24"/>
          <w:lang w:eastAsia="zh-CN"/>
        </w:rPr>
      </w:pPr>
      <w:r>
        <w:rPr>
          <w:rFonts w:hint="eastAsia" w:ascii="Calibri" w:hAnsi="Calibri" w:eastAsia="仿宋"/>
          <w:sz w:val="24"/>
          <w:szCs w:val="24"/>
          <w:lang w:eastAsia="zh-CN"/>
        </w:rPr>
        <w:t>为衡南县人民法院确定财产处置参考价提供服务。</w:t>
      </w:r>
    </w:p>
    <w:p>
      <w:pPr>
        <w:pStyle w:val="3"/>
        <w:spacing w:before="156" w:beforeLines="50" w:line="480" w:lineRule="exact"/>
        <w:ind w:firstLine="482" w:firstLineChars="200"/>
        <w:jc w:val="both"/>
        <w:rPr>
          <w:rFonts w:eastAsia="仿宋" w:asciiTheme="minorHAnsi" w:hAnsiTheme="minorHAnsi"/>
          <w:sz w:val="24"/>
          <w:szCs w:val="24"/>
          <w:lang w:eastAsia="zh-CN"/>
        </w:rPr>
      </w:pPr>
      <w:bookmarkStart w:id="13" w:name="_Toc447125212"/>
      <w:bookmarkStart w:id="14" w:name="_Toc502866371"/>
      <w:r>
        <w:rPr>
          <w:rFonts w:hint="eastAsia" w:eastAsia="仿宋" w:asciiTheme="minorHAnsi" w:hAnsiTheme="minorHAnsi"/>
          <w:sz w:val="24"/>
          <w:szCs w:val="24"/>
          <w:lang w:eastAsia="zh-CN"/>
        </w:rPr>
        <w:t>三、评估对象和评估范围</w:t>
      </w:r>
      <w:bookmarkEnd w:id="13"/>
      <w:bookmarkEnd w:id="14"/>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(一)评估对象和评估范围</w:t>
      </w:r>
    </w:p>
    <w:p>
      <w:pPr>
        <w:widowControl w:val="0"/>
        <w:spacing w:before="156" w:beforeLines="50" w:after="0" w:line="240" w:lineRule="auto"/>
        <w:ind w:firstLine="480" w:firstLineChars="200"/>
        <w:jc w:val="both"/>
        <w:rPr>
          <w:rFonts w:ascii="Calibri" w:hAnsi="Calibri" w:eastAsia="仿宋"/>
          <w:sz w:val="24"/>
          <w:szCs w:val="24"/>
          <w:lang w:eastAsia="zh-CN"/>
        </w:rPr>
      </w:pPr>
      <w:r>
        <w:rPr>
          <w:rFonts w:hint="eastAsia" w:ascii="Calibri" w:hAnsi="Calibri" w:eastAsia="仿宋"/>
          <w:sz w:val="24"/>
          <w:szCs w:val="24"/>
          <w:lang w:eastAsia="zh-CN"/>
        </w:rPr>
        <w:t>根据本次评估目的，评估对象为衡阳市永衡房地产开发有限公司位于衡南县云集镇小商品（一）-2号地（永衡云嶺A栋）108A室商服房地产的市场价值。</w:t>
      </w:r>
    </w:p>
    <w:p>
      <w:pPr>
        <w:widowControl w:val="0"/>
        <w:spacing w:before="156" w:beforeLines="50" w:after="0" w:line="240" w:lineRule="auto"/>
        <w:ind w:firstLine="480" w:firstLineChars="200"/>
        <w:jc w:val="both"/>
        <w:rPr>
          <w:rFonts w:hint="eastAsia" w:ascii="Calibri" w:hAnsi="Calibri" w:eastAsia="仿宋"/>
          <w:sz w:val="24"/>
          <w:szCs w:val="24"/>
          <w:lang w:eastAsia="zh-CN"/>
        </w:rPr>
      </w:pPr>
      <w:r>
        <w:rPr>
          <w:rFonts w:hint="eastAsia" w:ascii="Calibri" w:hAnsi="Calibri" w:eastAsia="仿宋"/>
          <w:sz w:val="24"/>
          <w:szCs w:val="24"/>
          <w:lang w:eastAsia="zh-CN"/>
        </w:rPr>
        <w:t>与上述评估对象相对应的评估范围为衡阳市永衡房地产开发有限公司位于衡南县云集镇小商品（一）-2号地（永衡云嶺A栋）108A室商服房地产。</w:t>
      </w:r>
    </w:p>
    <w:p>
      <w:pPr>
        <w:widowControl w:val="0"/>
        <w:spacing w:before="156" w:beforeLines="50" w:after="0" w:line="240" w:lineRule="auto"/>
        <w:ind w:firstLine="480" w:firstLineChars="200"/>
        <w:jc w:val="both"/>
        <w:rPr>
          <w:rFonts w:hint="eastAsia" w:ascii="Calibri" w:hAnsi="Calibri" w:eastAsia="仿宋"/>
          <w:sz w:val="24"/>
          <w:szCs w:val="24"/>
          <w:lang w:eastAsia="zh-CN"/>
        </w:rPr>
      </w:pPr>
      <w:r>
        <w:rPr>
          <w:rFonts w:hint="eastAsia" w:ascii="Calibri" w:hAnsi="Calibri" w:eastAsia="仿宋"/>
          <w:sz w:val="24"/>
          <w:szCs w:val="24"/>
          <w:lang w:eastAsia="zh-CN"/>
        </w:rPr>
        <w:t>委托评估对象和评估范围与经济行为涉及的评估对象和评估范围一致。</w:t>
      </w:r>
    </w:p>
    <w:p>
      <w:pPr>
        <w:widowControl w:val="0"/>
        <w:spacing w:before="156" w:beforeLines="50" w:after="0" w:line="240" w:lineRule="auto"/>
        <w:ind w:firstLine="482" w:firstLineChars="200"/>
        <w:jc w:val="both"/>
        <w:rPr>
          <w:rFonts w:hint="eastAsia" w:eastAsia="仿宋" w:asciiTheme="minorHAnsi" w:hAnsiTheme="minorHAnsi"/>
          <w:b/>
          <w:sz w:val="24"/>
          <w:szCs w:val="24"/>
          <w:lang w:eastAsia="zh-CN"/>
        </w:rPr>
      </w:pPr>
      <w:r>
        <w:rPr>
          <w:rFonts w:hint="eastAsia" w:eastAsia="仿宋" w:asciiTheme="minorHAnsi" w:hAnsiTheme="minorHAnsi"/>
          <w:b/>
          <w:sz w:val="24"/>
          <w:szCs w:val="24"/>
          <w:lang w:eastAsia="zh-CN"/>
        </w:rPr>
        <w:t xml:space="preserve"> (二)评估范围的基本情况</w:t>
      </w:r>
    </w:p>
    <w:p>
      <w:pPr>
        <w:widowControl w:val="0"/>
        <w:spacing w:before="156" w:beforeLines="50" w:after="0" w:line="240" w:lineRule="auto"/>
        <w:ind w:firstLine="480" w:firstLineChars="200"/>
        <w:jc w:val="both"/>
        <w:rPr>
          <w:rFonts w:ascii="Calibri" w:hAnsi="Calibri" w:eastAsia="仿宋"/>
          <w:sz w:val="24"/>
          <w:szCs w:val="24"/>
          <w:lang w:eastAsia="zh-CN"/>
        </w:rPr>
      </w:pPr>
      <w:r>
        <w:rPr>
          <w:rFonts w:hint="eastAsia" w:ascii="Calibri" w:hAnsi="Calibri" w:eastAsia="仿宋"/>
          <w:sz w:val="24"/>
          <w:szCs w:val="24"/>
          <w:lang w:eastAsia="zh-CN"/>
        </w:rPr>
        <w:t>纳入评估范围的资产的现状如下：</w:t>
      </w:r>
    </w:p>
    <w:p>
      <w:pPr>
        <w:widowControl w:val="0"/>
        <w:spacing w:before="156" w:beforeLines="50" w:after="0" w:line="240" w:lineRule="auto"/>
        <w:ind w:firstLine="420" w:firstLineChars="200"/>
        <w:jc w:val="both"/>
        <w:rPr>
          <w:rFonts w:ascii="Calibri" w:hAnsi="Calibri" w:eastAsia="仿宋"/>
          <w:sz w:val="24"/>
          <w:szCs w:val="24"/>
          <w:lang w:eastAsia="zh-CN"/>
        </w:rPr>
      </w:pPr>
      <w:r>
        <w:rPr>
          <w:rFonts w:hint="eastAsia" w:ascii="Calibri" w:hAnsi="Calibri" w:eastAsia="华文中宋"/>
          <w:sz w:val="21"/>
          <w:szCs w:val="21"/>
          <w:lang w:eastAsia="zh-CN"/>
        </w:rPr>
        <w:t xml:space="preserve"> </w:t>
      </w:r>
      <w:r>
        <w:rPr>
          <w:rFonts w:hint="eastAsia" w:ascii="Calibri" w:hAnsi="Calibri" w:eastAsia="仿宋"/>
          <w:sz w:val="24"/>
          <w:szCs w:val="24"/>
          <w:lang w:eastAsia="zh-CN"/>
        </w:rPr>
        <w:t>⑴法律权属情况</w:t>
      </w:r>
    </w:p>
    <w:p>
      <w:pPr>
        <w:widowControl w:val="0"/>
        <w:spacing w:before="156" w:beforeLines="50" w:after="0" w:line="240" w:lineRule="auto"/>
        <w:ind w:firstLine="480" w:firstLineChars="200"/>
        <w:jc w:val="both"/>
        <w:rPr>
          <w:rFonts w:hint="eastAsia" w:eastAsia="仿宋" w:asciiTheme="minorHAnsi" w:hAnsiTheme="minorHAnsi"/>
          <w:sz w:val="24"/>
          <w:szCs w:val="24"/>
          <w:lang w:val="en-US" w:eastAsia="zh-CN"/>
        </w:rPr>
      </w:pPr>
      <w:r>
        <w:rPr>
          <w:rFonts w:hint="eastAsia" w:eastAsia="仿宋" w:asciiTheme="minorHAnsi" w:hAnsiTheme="minorHAnsi"/>
          <w:sz w:val="24"/>
          <w:szCs w:val="24"/>
          <w:lang w:eastAsia="zh-CN"/>
        </w:rPr>
        <w:t>根据委托人提供的《营业执照》、《房地产权登记信息》、《房屋分户图》等资料复印件显示：房屋所有权证号为湘（2021）衡南县不动产权第0001127号</w:t>
      </w:r>
      <w:r>
        <w:rPr>
          <w:rFonts w:hint="eastAsia" w:eastAsia="仿宋" w:asciiTheme="minorHAnsi" w:hAnsiTheme="minorHAnsi"/>
          <w:sz w:val="24"/>
          <w:szCs w:val="24"/>
          <w:lang w:val="en-US" w:eastAsia="zh-CN"/>
        </w:rPr>
        <w:t>，</w:t>
      </w:r>
      <w:r>
        <w:rPr>
          <w:rFonts w:hint="eastAsia" w:eastAsia="仿宋" w:asciiTheme="minorHAnsi" w:hAnsiTheme="minorHAnsi"/>
          <w:sz w:val="24"/>
          <w:szCs w:val="24"/>
          <w:lang w:eastAsia="zh-CN"/>
        </w:rPr>
        <w:t>房屋所有权人为衡阳市永衡房地产开发有限公司，坐落于衡南县云集镇小商品（一）-2号地（永衡云嶺A栋）108A室，房</w:t>
      </w:r>
      <w:r>
        <w:rPr>
          <w:rFonts w:hint="eastAsia" w:eastAsia="仿宋" w:asciiTheme="minorHAnsi" w:hAnsiTheme="minorHAnsi"/>
          <w:sz w:val="24"/>
          <w:szCs w:val="24"/>
          <w:u w:val="none"/>
          <w:lang w:eastAsia="zh-CN"/>
        </w:rPr>
        <w:t>屋共有情况为单独所有</w:t>
      </w:r>
      <w:r>
        <w:rPr>
          <w:rFonts w:hint="eastAsia" w:eastAsia="仿宋" w:asciiTheme="minorHAnsi" w:hAnsiTheme="minorHAnsi"/>
          <w:sz w:val="24"/>
          <w:szCs w:val="24"/>
          <w:lang w:eastAsia="zh-CN"/>
        </w:rPr>
        <w:t>，土地使用权人为衡阳市永衡房地产开发有限公司，分摊土地面积为</w:t>
      </w:r>
      <w:r>
        <w:rPr>
          <w:rFonts w:hint="eastAsia" w:eastAsia="仿宋" w:asciiTheme="minorHAnsi" w:hAnsiTheme="minorHAnsi"/>
          <w:sz w:val="24"/>
          <w:szCs w:val="24"/>
          <w:lang w:val="en-US" w:eastAsia="zh-CN"/>
        </w:rPr>
        <w:t>5.45㎡，土地使用期限为2011年1月18日起2061年1月17日止，规划用途为商业服务，房屋性质为商品房，房屋</w:t>
      </w:r>
      <w:r>
        <w:rPr>
          <w:rFonts w:hint="eastAsia" w:eastAsia="仿宋" w:asciiTheme="minorHAnsi" w:hAnsiTheme="minorHAnsi"/>
          <w:sz w:val="24"/>
          <w:szCs w:val="24"/>
          <w:lang w:eastAsia="zh-CN"/>
        </w:rPr>
        <w:t>结构为钢筋混凝土结构，所在层</w:t>
      </w:r>
      <w:r>
        <w:rPr>
          <w:rFonts w:hint="eastAsia" w:eastAsia="仿宋" w:asciiTheme="minorHAnsi" w:hAnsiTheme="minorHAnsi"/>
          <w:sz w:val="24"/>
          <w:szCs w:val="24"/>
          <w:lang w:val="en-US" w:eastAsia="zh-CN"/>
        </w:rPr>
        <w:t>/总层数</w:t>
      </w:r>
      <w:r>
        <w:rPr>
          <w:rFonts w:hint="eastAsia" w:eastAsia="仿宋" w:asciiTheme="minorHAnsi" w:hAnsiTheme="minorHAnsi"/>
          <w:sz w:val="24"/>
          <w:szCs w:val="24"/>
          <w:lang w:eastAsia="zh-CN"/>
        </w:rPr>
        <w:t>为</w:t>
      </w:r>
      <w:r>
        <w:rPr>
          <w:rFonts w:hint="eastAsia" w:eastAsia="仿宋" w:asciiTheme="minorHAnsi" w:hAnsiTheme="minorHAnsi"/>
          <w:sz w:val="24"/>
          <w:szCs w:val="24"/>
          <w:lang w:val="en-US" w:eastAsia="zh-CN"/>
        </w:rPr>
        <w:t>1/18，建筑面积为80.49㎡，专有建筑面积为77.04㎡，分摊建筑面积为3.45㎡，竣工时间为2015年8月25日。</w:t>
      </w:r>
    </w:p>
    <w:p>
      <w:pPr>
        <w:widowControl w:val="0"/>
        <w:spacing w:before="156" w:beforeLines="50" w:after="0" w:line="240" w:lineRule="auto"/>
        <w:ind w:firstLine="480" w:firstLineChars="200"/>
        <w:jc w:val="both"/>
        <w:rPr>
          <w:rFonts w:hint="eastAsia" w:ascii="Calibri" w:hAnsi="Calibri" w:eastAsia="仿宋"/>
          <w:sz w:val="24"/>
          <w:szCs w:val="24"/>
          <w:lang w:eastAsia="zh-CN"/>
        </w:rPr>
      </w:pPr>
      <w:r>
        <w:rPr>
          <w:rFonts w:hint="eastAsia" w:ascii="Calibri" w:hAnsi="Calibri" w:eastAsia="仿宋"/>
          <w:sz w:val="24"/>
          <w:szCs w:val="24"/>
          <w:lang w:eastAsia="zh-CN"/>
        </w:rPr>
        <w:t>本次评估不考虑评估对象已抵押及被查封等其他因素的影响。</w:t>
      </w:r>
    </w:p>
    <w:p>
      <w:pPr>
        <w:widowControl w:val="0"/>
        <w:spacing w:before="156" w:beforeLines="50" w:after="0" w:line="240" w:lineRule="auto"/>
        <w:ind w:firstLine="480" w:firstLineChars="200"/>
        <w:jc w:val="both"/>
        <w:rPr>
          <w:rFonts w:hint="eastAsia" w:ascii="Calibri" w:hAnsi="Calibri" w:eastAsia="仿宋"/>
          <w:sz w:val="24"/>
          <w:szCs w:val="24"/>
          <w:lang w:eastAsia="zh-CN"/>
        </w:rPr>
      </w:pPr>
      <w:r>
        <w:rPr>
          <w:rFonts w:hint="eastAsia" w:ascii="Calibri" w:hAnsi="Calibri" w:eastAsia="仿宋"/>
          <w:sz w:val="24"/>
          <w:szCs w:val="24"/>
          <w:lang w:eastAsia="zh-CN"/>
        </w:rPr>
        <w:t>⑵实物状况</w:t>
      </w:r>
    </w:p>
    <w:p>
      <w:pPr>
        <w:widowControl w:val="0"/>
        <w:spacing w:before="156" w:beforeLines="50" w:after="0" w:line="240" w:lineRule="auto"/>
        <w:ind w:firstLine="480" w:firstLineChars="200"/>
        <w:jc w:val="both"/>
        <w:rPr>
          <w:rFonts w:hint="eastAsia" w:ascii="Calibri" w:hAnsi="Calibri" w:eastAsia="仿宋"/>
          <w:sz w:val="24"/>
          <w:szCs w:val="24"/>
          <w:lang w:val="en-US" w:eastAsia="zh-CN"/>
        </w:rPr>
      </w:pPr>
      <w:r>
        <w:rPr>
          <w:rFonts w:hint="eastAsia" w:ascii="Calibri" w:hAnsi="Calibri" w:eastAsia="仿宋"/>
          <w:sz w:val="24"/>
          <w:szCs w:val="24"/>
          <w:lang w:eastAsia="zh-CN"/>
        </w:rPr>
        <w:t>评估人员在法院和相关当事人的配合下对评估对象进行现场查勘，经调查了解，评估对象坐落于衡南县云集</w:t>
      </w:r>
      <w:r>
        <w:rPr>
          <w:rFonts w:hint="eastAsia" w:ascii="Calibri" w:hAnsi="Calibri" w:eastAsia="仿宋"/>
          <w:sz w:val="24"/>
          <w:szCs w:val="24"/>
          <w:lang w:val="en-US" w:eastAsia="zh-CN"/>
        </w:rPr>
        <w:t>镇小商品（一）-2号地（永衡云嶺A栋）108A室。建筑物共18层，评估对象位于第1层，建筑物竣工于2015年8月25日。评估对象为钢混结构，外墙贴墙砖，外观完好无明显损伤。装饰装修情况：入户门为卷闸门、玻璃门，室内做有木门，地面铺地砖，天棚做吊顶，墙面刷墙漆。</w:t>
      </w:r>
    </w:p>
    <w:p>
      <w:pPr>
        <w:widowControl w:val="0"/>
        <w:spacing w:before="156" w:beforeLines="50" w:after="0" w:line="240" w:lineRule="auto"/>
        <w:ind w:firstLine="480" w:firstLineChars="200"/>
        <w:jc w:val="both"/>
        <w:rPr>
          <w:rFonts w:hint="eastAsia" w:ascii="Calibri" w:hAnsi="Calibri" w:eastAsia="仿宋"/>
          <w:sz w:val="24"/>
          <w:szCs w:val="24"/>
          <w:lang w:val="en-US" w:eastAsia="zh-CN"/>
        </w:rPr>
      </w:pPr>
      <w:r>
        <w:rPr>
          <w:rFonts w:hint="eastAsia" w:ascii="Calibri" w:hAnsi="Calibri" w:eastAsia="仿宋"/>
          <w:sz w:val="24"/>
          <w:szCs w:val="24"/>
          <w:lang w:val="en-US" w:eastAsia="zh-CN"/>
        </w:rPr>
        <w:t>评估对象周边有学校（衡南县第一中学教育集团大同学校、衡南一中云集校区）、幼儿园（明珠幼儿园、天使宝贝幼儿园、阳光幼儿园）、医疗（衡南云翔微创医院、衡南县中医医院云集院区等）、餐饮（彭府酒楼、天天饮食店云集大道店、友谊饭店迎宾路店、福客来饭店等）、银行（湖南衡南农村商业银行云市分社）等单位，相关配套、生活服务设施较齐全。评估对象东邻学府嘉园，南邻其他住宅，西邻明珠幼儿园北临云集大道，附近有143、202路、203路、衡南1路、衡南4路、衡云专线公交经过，摩的通达，交通较便利。</w:t>
      </w:r>
    </w:p>
    <w:p>
      <w:pPr>
        <w:pStyle w:val="3"/>
        <w:spacing w:before="156" w:beforeLines="50" w:line="480" w:lineRule="exact"/>
        <w:ind w:firstLine="482" w:firstLineChars="200"/>
        <w:jc w:val="both"/>
        <w:rPr>
          <w:rFonts w:eastAsia="仿宋" w:asciiTheme="minorHAnsi" w:hAnsiTheme="minorHAnsi"/>
          <w:sz w:val="24"/>
          <w:szCs w:val="24"/>
          <w:lang w:eastAsia="zh-CN"/>
        </w:rPr>
      </w:pPr>
      <w:bookmarkStart w:id="15" w:name="_Toc447125213"/>
      <w:bookmarkStart w:id="16" w:name="_Toc502866372"/>
      <w:r>
        <w:rPr>
          <w:rFonts w:hint="eastAsia" w:eastAsia="仿宋" w:asciiTheme="minorHAnsi" w:hAnsiTheme="minorHAnsi"/>
          <w:sz w:val="24"/>
          <w:szCs w:val="24"/>
          <w:lang w:eastAsia="zh-CN"/>
        </w:rPr>
        <w:t>四、价值类型</w:t>
      </w:r>
      <w:bookmarkEnd w:id="15"/>
      <w:bookmarkEnd w:id="16"/>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(一)本次评估的价值类型及其定义</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本次评估的价值类型为市场价值。</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市场价值是指自愿买方和自愿卖方在各自理性行事且未受任何强迫的情况下，评估对象在评估基准日进行正常公平交易的价值估计数额。</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(二)价值类型的选择说明</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本次评估目的所对应的经济行为是与评估对象有关的处置资产之交易，该交易的市场条件与市场价值所界定的条件基本类似，结合考虑评估对象自身条件等因素，本次评估选择的价值类型为在持续经营前提下的市场价值。</w:t>
      </w:r>
    </w:p>
    <w:p>
      <w:pPr>
        <w:pStyle w:val="3"/>
        <w:spacing w:before="156" w:beforeLines="50" w:line="480" w:lineRule="exact"/>
        <w:ind w:firstLine="482" w:firstLineChars="200"/>
        <w:jc w:val="both"/>
        <w:rPr>
          <w:rFonts w:eastAsia="仿宋" w:asciiTheme="minorHAnsi" w:hAnsiTheme="minorHAnsi"/>
          <w:sz w:val="24"/>
          <w:szCs w:val="24"/>
          <w:lang w:eastAsia="zh-CN"/>
        </w:rPr>
      </w:pPr>
      <w:bookmarkStart w:id="17" w:name="_Toc502866373"/>
      <w:bookmarkStart w:id="18" w:name="_Toc18131595"/>
      <w:bookmarkStart w:id="19" w:name="_Toc447125214"/>
      <w:r>
        <w:rPr>
          <w:rFonts w:hint="eastAsia" w:eastAsia="仿宋" w:asciiTheme="minorHAnsi" w:hAnsiTheme="minorHAnsi"/>
          <w:sz w:val="24"/>
          <w:szCs w:val="24"/>
          <w:lang w:eastAsia="zh-CN"/>
        </w:rPr>
        <w:t>五、评估基准日</w:t>
      </w:r>
      <w:bookmarkEnd w:id="17"/>
      <w:bookmarkEnd w:id="18"/>
      <w:bookmarkEnd w:id="19"/>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eastAsia="仿宋" w:asciiTheme="minorHAnsi" w:hAnsiTheme="minorHAnsi"/>
          <w:sz w:val="24"/>
          <w:szCs w:val="24"/>
          <w:lang w:eastAsia="zh-CN"/>
        </w:rPr>
        <w:t>本</w:t>
      </w:r>
      <w:r>
        <w:rPr>
          <w:rFonts w:hint="eastAsia" w:eastAsia="仿宋" w:asciiTheme="minorHAnsi" w:hAnsiTheme="minorHAnsi"/>
          <w:sz w:val="24"/>
          <w:szCs w:val="24"/>
          <w:lang w:eastAsia="zh-CN"/>
        </w:rPr>
        <w:t>次</w:t>
      </w:r>
      <w:r>
        <w:rPr>
          <w:rFonts w:eastAsia="仿宋" w:asciiTheme="minorHAnsi" w:hAnsiTheme="minorHAnsi"/>
          <w:sz w:val="24"/>
          <w:szCs w:val="24"/>
          <w:lang w:eastAsia="zh-CN"/>
        </w:rPr>
        <w:t>评估基准日是</w:t>
      </w:r>
      <w:r>
        <w:rPr>
          <w:rFonts w:hint="eastAsia" w:eastAsia="仿宋" w:asciiTheme="minorHAnsi" w:hAnsiTheme="minorHAnsi"/>
          <w:sz w:val="24"/>
          <w:szCs w:val="24"/>
          <w:lang w:eastAsia="zh-CN"/>
        </w:rPr>
        <w:t>2022年8月30日</w:t>
      </w:r>
      <w:r>
        <w:rPr>
          <w:rFonts w:eastAsia="仿宋" w:asciiTheme="minorHAnsi" w:hAnsiTheme="minorHAnsi"/>
          <w:sz w:val="24"/>
          <w:szCs w:val="24"/>
          <w:lang w:eastAsia="zh-CN"/>
        </w:rPr>
        <w:t>。</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上述评估基准日以 贵单位提供的</w:t>
      </w:r>
      <w:r>
        <w:rPr>
          <w:rFonts w:hint="eastAsia" w:eastAsia="仿宋" w:asciiTheme="minorHAnsi" w:hAnsiTheme="minorHAnsi"/>
          <w:sz w:val="24"/>
          <w:szCs w:val="24"/>
          <w:lang w:val="en-US" w:eastAsia="zh-CN"/>
        </w:rPr>
        <w:t>（2022）湘0422法鉴字</w:t>
      </w:r>
      <w:r>
        <w:rPr>
          <w:rFonts w:hint="eastAsia" w:eastAsia="仿宋" w:asciiTheme="minorHAnsi" w:hAnsiTheme="minorHAnsi"/>
          <w:sz w:val="24"/>
          <w:szCs w:val="24"/>
          <w:lang w:eastAsia="zh-CN"/>
        </w:rPr>
        <w:t>第75号《湖南省衡南县人民法院司法鉴定委托书》签发时间确定。</w:t>
      </w:r>
    </w:p>
    <w:p>
      <w:pPr>
        <w:pStyle w:val="3"/>
        <w:spacing w:before="156" w:beforeLines="50" w:line="480" w:lineRule="exact"/>
        <w:ind w:firstLine="482" w:firstLineChars="200"/>
        <w:jc w:val="both"/>
        <w:rPr>
          <w:rFonts w:eastAsia="仿宋" w:asciiTheme="minorHAnsi" w:hAnsiTheme="minorHAnsi"/>
          <w:sz w:val="24"/>
          <w:szCs w:val="24"/>
          <w:lang w:eastAsia="zh-CN"/>
        </w:rPr>
      </w:pPr>
      <w:bookmarkStart w:id="20" w:name="_Toc447125215"/>
      <w:bookmarkStart w:id="21" w:name="_Toc502866374"/>
      <w:r>
        <w:rPr>
          <w:rFonts w:hint="eastAsia" w:eastAsia="仿宋" w:asciiTheme="minorHAnsi" w:hAnsiTheme="minorHAnsi"/>
          <w:sz w:val="24"/>
          <w:szCs w:val="24"/>
          <w:lang w:eastAsia="zh-CN"/>
        </w:rPr>
        <w:t>六、评估依据</w:t>
      </w:r>
      <w:bookmarkEnd w:id="20"/>
      <w:bookmarkEnd w:id="21"/>
    </w:p>
    <w:p>
      <w:pPr>
        <w:widowControl w:val="0"/>
        <w:spacing w:before="156" w:beforeLines="50" w:after="0" w:line="240" w:lineRule="auto"/>
        <w:ind w:firstLine="480" w:firstLineChars="200"/>
        <w:jc w:val="both"/>
        <w:rPr>
          <w:rFonts w:eastAsia="仿宋" w:asciiTheme="minorHAnsi" w:hAnsiTheme="minorHAnsi"/>
          <w:sz w:val="24"/>
          <w:szCs w:val="24"/>
          <w:lang w:eastAsia="zh-CN"/>
        </w:rPr>
      </w:pPr>
      <w:bookmarkStart w:id="22" w:name="_Toc205892043"/>
      <w:bookmarkStart w:id="23" w:name="_Toc205892042"/>
      <w:r>
        <w:rPr>
          <w:rFonts w:hint="eastAsia" w:eastAsia="仿宋" w:asciiTheme="minorHAnsi" w:hAnsiTheme="minorHAnsi"/>
          <w:sz w:val="24"/>
          <w:szCs w:val="24"/>
          <w:lang w:eastAsia="zh-CN"/>
        </w:rPr>
        <w:t>本次资产评估遵循的评估依据主要包括法律法规依据、评估准则依据、资产权属依据，及评定估算时采用的取价依据和其他参考资料等，具体如下：</w:t>
      </w:r>
      <w:bookmarkEnd w:id="22"/>
      <w:bookmarkEnd w:id="23"/>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(一)法律法规依据</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1.《中华人民共和国资产评估法》(2016年7月2日第十二届全国人民代表大会常务委员会第二十一次会议通过，2016年12月1日起施行)。</w:t>
      </w:r>
    </w:p>
    <w:p>
      <w:pPr>
        <w:widowControl w:val="0"/>
        <w:spacing w:before="156" w:beforeLines="50" w:after="0" w:line="240" w:lineRule="auto"/>
        <w:ind w:firstLine="480" w:firstLineChars="200"/>
        <w:jc w:val="both"/>
        <w:rPr>
          <w:rFonts w:hint="eastAsia" w:eastAsia="仿宋" w:cs="Times New Roman" w:asciiTheme="minorHAnsi" w:hAnsiTheme="minorHAnsi"/>
          <w:sz w:val="24"/>
          <w:szCs w:val="24"/>
          <w:lang w:eastAsia="zh-CN"/>
        </w:rPr>
      </w:pPr>
      <w:r>
        <w:rPr>
          <w:rFonts w:hint="eastAsia" w:eastAsia="仿宋" w:asciiTheme="minorHAnsi" w:hAnsiTheme="minorHAnsi"/>
          <w:sz w:val="24"/>
          <w:szCs w:val="24"/>
          <w:lang w:val="en-US" w:eastAsia="zh-CN"/>
        </w:rPr>
        <w:t>2</w:t>
      </w:r>
      <w:r>
        <w:rPr>
          <w:rFonts w:hint="eastAsia" w:eastAsia="仿宋" w:asciiTheme="minorHAnsi" w:hAnsiTheme="minorHAnsi"/>
          <w:sz w:val="24"/>
          <w:szCs w:val="24"/>
          <w:lang w:eastAsia="zh-CN"/>
        </w:rPr>
        <w:t>.《最高人民法</w:t>
      </w:r>
      <w:r>
        <w:rPr>
          <w:rFonts w:hint="eastAsia" w:eastAsia="仿宋" w:cs="Times New Roman" w:asciiTheme="minorHAnsi" w:hAnsiTheme="minorHAnsi"/>
          <w:sz w:val="24"/>
          <w:szCs w:val="24"/>
          <w:lang w:eastAsia="zh-CN"/>
        </w:rPr>
        <w:t>院关于人民法院执行工作若干问题的规定(试行)》（于１９９８年６月１１日由最高人民法院审判委员会第９９２次会议通过，自１９９８年７月１８日起施行，根据2020年12月23日最高人民法院审判委员会第1823次会议通过的《最高人民法院关于修改 〈最高人民法院关于人民法院扣押铁路运输货物若干问题的规定〉等十八件执行类司法解释的决定》修正）。</w:t>
      </w:r>
    </w:p>
    <w:p>
      <w:pPr>
        <w:widowControl w:val="0"/>
        <w:spacing w:before="156" w:beforeLines="50" w:after="0" w:line="240" w:lineRule="auto"/>
        <w:ind w:firstLine="480" w:firstLineChars="200"/>
        <w:jc w:val="both"/>
        <w:rPr>
          <w:rFonts w:hint="eastAsia" w:eastAsia="仿宋" w:cs="Times New Roman" w:asciiTheme="minorHAnsi" w:hAnsiTheme="minorHAnsi"/>
          <w:sz w:val="24"/>
          <w:szCs w:val="24"/>
          <w:lang w:eastAsia="zh-CN"/>
        </w:rPr>
      </w:pPr>
      <w:r>
        <w:rPr>
          <w:rFonts w:hint="eastAsia" w:eastAsia="仿宋" w:cs="Times New Roman" w:asciiTheme="minorHAnsi" w:hAnsiTheme="minorHAnsi"/>
          <w:sz w:val="24"/>
          <w:szCs w:val="24"/>
          <w:lang w:val="en-US" w:eastAsia="zh-CN"/>
        </w:rPr>
        <w:t>3</w:t>
      </w:r>
      <w:r>
        <w:rPr>
          <w:rFonts w:hint="eastAsia" w:eastAsia="仿宋" w:cs="Times New Roman" w:asciiTheme="minorHAnsi" w:hAnsiTheme="minorHAnsi"/>
          <w:sz w:val="24"/>
          <w:szCs w:val="24"/>
          <w:lang w:eastAsia="zh-CN"/>
        </w:rPr>
        <w:t>.《中华人民共和国民法典》（由中华人民共和国第十三届全国人民代表大会第三次会议于2020年5月28日通过，现予公布，自2021年1月1日起施行）。</w:t>
      </w:r>
    </w:p>
    <w:p>
      <w:pPr>
        <w:widowControl w:val="0"/>
        <w:spacing w:before="156" w:beforeLines="50" w:after="0" w:line="240" w:lineRule="auto"/>
        <w:ind w:firstLine="480" w:firstLineChars="200"/>
        <w:jc w:val="both"/>
        <w:rPr>
          <w:rFonts w:hint="eastAsia" w:eastAsia="仿宋" w:cs="Times New Roman" w:asciiTheme="minorHAnsi" w:hAnsiTheme="minorHAnsi"/>
          <w:sz w:val="24"/>
          <w:szCs w:val="24"/>
          <w:lang w:eastAsia="zh-CN"/>
        </w:rPr>
      </w:pPr>
      <w:r>
        <w:rPr>
          <w:rFonts w:hint="eastAsia" w:eastAsia="仿宋" w:cs="Times New Roman" w:asciiTheme="minorHAnsi" w:hAnsiTheme="minorHAnsi"/>
          <w:sz w:val="24"/>
          <w:szCs w:val="24"/>
          <w:lang w:val="en-US" w:eastAsia="zh-CN"/>
        </w:rPr>
        <w:t>4.</w:t>
      </w:r>
      <w:r>
        <w:rPr>
          <w:rFonts w:hint="eastAsia" w:eastAsia="仿宋" w:cs="Times New Roman" w:asciiTheme="minorHAnsi" w:hAnsiTheme="minorHAnsi"/>
          <w:sz w:val="24"/>
          <w:szCs w:val="24"/>
          <w:lang w:eastAsia="zh-CN"/>
        </w:rPr>
        <w:t>《人民法院委托司法执行财产处置资产评估指导意见》（中评协〔2019〕14号）。</w:t>
      </w:r>
    </w:p>
    <w:p>
      <w:pPr>
        <w:widowControl w:val="0"/>
        <w:spacing w:before="156" w:beforeLines="50" w:after="0" w:line="240" w:lineRule="auto"/>
        <w:ind w:firstLine="480" w:firstLineChars="200"/>
        <w:jc w:val="both"/>
        <w:rPr>
          <w:rFonts w:hint="eastAsia" w:eastAsia="仿宋" w:cs="Times New Roman" w:asciiTheme="minorHAnsi" w:hAnsiTheme="minorHAnsi"/>
          <w:sz w:val="24"/>
          <w:szCs w:val="24"/>
          <w:lang w:eastAsia="zh-CN"/>
        </w:rPr>
      </w:pPr>
      <w:r>
        <w:rPr>
          <w:rFonts w:hint="eastAsia" w:eastAsia="仿宋" w:cs="Times New Roman" w:asciiTheme="minorHAnsi" w:hAnsiTheme="minorHAnsi"/>
          <w:sz w:val="24"/>
          <w:szCs w:val="24"/>
          <w:lang w:val="en-US" w:eastAsia="zh-CN"/>
        </w:rPr>
        <w:t>5.</w:t>
      </w:r>
      <w:r>
        <w:rPr>
          <w:rFonts w:hint="eastAsia" w:eastAsia="仿宋" w:cs="Times New Roman" w:asciiTheme="minorHAnsi" w:hAnsiTheme="minorHAnsi"/>
          <w:sz w:val="24"/>
          <w:szCs w:val="24"/>
          <w:lang w:eastAsia="zh-CN"/>
        </w:rPr>
        <w:t>《最高人民法院关于人民法院确定财产处置参考价若干问题的规定》（法释〔2018〕15号）。</w:t>
      </w:r>
    </w:p>
    <w:p>
      <w:pPr>
        <w:widowControl w:val="0"/>
        <w:spacing w:before="156" w:beforeLines="50" w:after="0" w:line="240" w:lineRule="auto"/>
        <w:ind w:firstLine="480" w:firstLineChars="200"/>
        <w:jc w:val="both"/>
        <w:rPr>
          <w:rFonts w:hint="eastAsia" w:eastAsia="仿宋" w:cs="Times New Roman" w:asciiTheme="minorHAnsi" w:hAnsiTheme="minorHAnsi"/>
          <w:sz w:val="24"/>
          <w:szCs w:val="24"/>
          <w:lang w:eastAsia="zh-CN"/>
        </w:rPr>
      </w:pPr>
      <w:r>
        <w:rPr>
          <w:rFonts w:hint="eastAsia" w:eastAsia="仿宋" w:cs="Times New Roman" w:asciiTheme="minorHAnsi" w:hAnsiTheme="minorHAnsi"/>
          <w:sz w:val="24"/>
          <w:szCs w:val="24"/>
          <w:lang w:val="en-US" w:eastAsia="zh-CN"/>
        </w:rPr>
        <w:t>6.</w:t>
      </w:r>
      <w:r>
        <w:rPr>
          <w:rFonts w:hint="eastAsia" w:eastAsia="仿宋" w:cs="Times New Roman" w:asciiTheme="minorHAnsi" w:hAnsiTheme="minorHAnsi"/>
          <w:sz w:val="24"/>
          <w:szCs w:val="24"/>
          <w:lang w:eastAsia="zh-CN"/>
        </w:rPr>
        <w:t>《人民法院委托评估工作规范》（法办〔2018〕273号）。</w:t>
      </w:r>
    </w:p>
    <w:p>
      <w:pPr>
        <w:widowControl w:val="0"/>
        <w:spacing w:before="156" w:beforeLines="50" w:after="0" w:line="240" w:lineRule="auto"/>
        <w:ind w:firstLine="480" w:firstLineChars="200"/>
        <w:jc w:val="both"/>
        <w:rPr>
          <w:rFonts w:hint="eastAsia" w:eastAsia="仿宋" w:cs="Times New Roman" w:asciiTheme="minorHAnsi" w:hAnsiTheme="minorHAnsi"/>
          <w:sz w:val="24"/>
          <w:szCs w:val="24"/>
          <w:lang w:eastAsia="zh-CN"/>
        </w:rPr>
      </w:pPr>
      <w:r>
        <w:rPr>
          <w:rFonts w:hint="eastAsia" w:eastAsia="仿宋" w:asciiTheme="minorHAnsi" w:hAnsiTheme="minorHAnsi"/>
          <w:sz w:val="24"/>
          <w:szCs w:val="24"/>
          <w:lang w:val="en-US" w:eastAsia="zh-CN"/>
        </w:rPr>
        <w:t>7</w:t>
      </w:r>
      <w:r>
        <w:rPr>
          <w:rFonts w:hint="eastAsia" w:eastAsia="仿宋" w:asciiTheme="minorHAnsi" w:hAnsiTheme="minorHAnsi"/>
          <w:sz w:val="24"/>
          <w:szCs w:val="24"/>
          <w:lang w:eastAsia="zh-CN"/>
        </w:rPr>
        <w:t>.《中华人民共和国城市房地产管理法》(1994年7月5日第八届全国人民代表大会常务委员会第八次会议通过；根据2007年8月30日第十届全国人民代表大会常务委员会第二十九次会议《关于修改〈中华人民共和国城市房地产管理法〉的决定》修正，2007年8月30日第十届全国人民代表大会常务委员会第二十九次会议修正；根据2009年8月27日第十一届全国人民代表大会常务委员会第十次会议《全国人民代表大会常务委员会关于修改部分法律的决定》第二次修正；根据2019</w:t>
      </w:r>
      <w:r>
        <w:rPr>
          <w:rFonts w:hint="eastAsia" w:eastAsia="仿宋" w:cs="Times New Roman" w:asciiTheme="minorHAnsi" w:hAnsiTheme="minorHAnsi"/>
          <w:sz w:val="24"/>
          <w:szCs w:val="24"/>
          <w:lang w:eastAsia="zh-CN"/>
        </w:rPr>
        <w:t>年8月26日第十三届全国人民代表大会常务委员会第十二次会议《关于修改〈中华人民共和国土地管理法〉、〈中华人民共和国城市房地产管理法〉的决定》第三次修正)。</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cs="Times New Roman" w:asciiTheme="minorHAnsi" w:hAnsiTheme="minorHAnsi"/>
          <w:sz w:val="24"/>
          <w:szCs w:val="24"/>
          <w:lang w:val="en-US" w:eastAsia="zh-CN"/>
        </w:rPr>
        <w:t>8.</w:t>
      </w:r>
      <w:r>
        <w:rPr>
          <w:rFonts w:hint="eastAsia" w:eastAsia="仿宋" w:cs="Times New Roman" w:asciiTheme="minorHAnsi" w:hAnsiTheme="minorHAnsi"/>
          <w:sz w:val="24"/>
          <w:szCs w:val="24"/>
          <w:lang w:eastAsia="zh-CN"/>
        </w:rPr>
        <w:t>《中华人民共和国增值税暂行条例》(1993年12月13日中华人民共和国国务院令第134号发布；2008年11月5日国务院第34次常务会议修订通过，2008年11月10日中</w:t>
      </w:r>
      <w:r>
        <w:rPr>
          <w:rFonts w:hint="eastAsia" w:eastAsia="仿宋" w:asciiTheme="minorHAnsi" w:hAnsiTheme="minorHAnsi"/>
          <w:sz w:val="24"/>
          <w:szCs w:val="24"/>
          <w:lang w:eastAsia="zh-CN"/>
        </w:rPr>
        <w:t>华人民共和国国务院令第538号发布；2016年1月13日国务院第119次常务会议通过，2016年2月6日中华人民共和国国务院令第666号发布，根据2016年2月6日《国务院关于修改部分行政法规的决定》第一次修订；根据2017年11月19日《国务院关于废止〈中华人民共和国营业税暂行条例〉和修改〈中华人民共和国增值税暂行条例〉的决定》第二次修订)。</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val="en-US" w:eastAsia="zh-CN"/>
        </w:rPr>
        <w:t>9</w:t>
      </w:r>
      <w:r>
        <w:rPr>
          <w:rFonts w:hint="eastAsia" w:eastAsia="仿宋" w:asciiTheme="minorHAnsi" w:hAnsiTheme="minorHAnsi"/>
          <w:sz w:val="24"/>
          <w:szCs w:val="24"/>
          <w:lang w:eastAsia="zh-CN"/>
        </w:rPr>
        <w:t>.《中华人民共和国增值税暂行条例实施细则》(2008年12月18日以财政部、国家税务总局令第50号公布；2011年10月28日财政部、国家税务总局令第65号修订和公布)。</w:t>
      </w:r>
    </w:p>
    <w:p>
      <w:pPr>
        <w:widowControl w:val="0"/>
        <w:spacing w:before="156" w:beforeLines="50" w:after="0" w:line="240" w:lineRule="auto"/>
        <w:ind w:firstLine="480" w:firstLineChars="200"/>
        <w:jc w:val="both"/>
        <w:rPr>
          <w:rFonts w:hint="eastAsia" w:eastAsia="仿宋" w:cs="Times New Roman" w:asciiTheme="minorHAnsi" w:hAnsiTheme="minorHAnsi"/>
          <w:sz w:val="24"/>
          <w:szCs w:val="24"/>
          <w:lang w:eastAsia="zh-CN"/>
        </w:rPr>
      </w:pPr>
      <w:r>
        <w:rPr>
          <w:rFonts w:hint="eastAsia" w:eastAsia="仿宋" w:asciiTheme="minorHAnsi" w:hAnsiTheme="minorHAnsi"/>
          <w:sz w:val="24"/>
          <w:szCs w:val="24"/>
          <w:lang w:val="en-US" w:eastAsia="zh-CN"/>
        </w:rPr>
        <w:t>10</w:t>
      </w:r>
      <w:r>
        <w:rPr>
          <w:rFonts w:hint="eastAsia" w:eastAsia="仿宋" w:asciiTheme="minorHAnsi" w:hAnsiTheme="minorHAnsi"/>
          <w:sz w:val="24"/>
          <w:szCs w:val="24"/>
          <w:lang w:eastAsia="zh-CN"/>
        </w:rPr>
        <w:t>.《中华人</w:t>
      </w:r>
      <w:r>
        <w:rPr>
          <w:rFonts w:hint="eastAsia" w:eastAsia="仿宋" w:cs="Times New Roman" w:asciiTheme="minorHAnsi" w:hAnsiTheme="minorHAnsi"/>
          <w:sz w:val="24"/>
          <w:szCs w:val="24"/>
          <w:lang w:eastAsia="zh-CN"/>
        </w:rPr>
        <w:t>民共和国土地增值税暂行条例》(1993年12月13日中华人民共和国国务院令第138号发布； 根据2011年1月8日《国务院关于废止和修改部分行政法规的决定》修订)。</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cs="Times New Roman" w:asciiTheme="minorHAnsi" w:hAnsiTheme="minorHAnsi"/>
          <w:sz w:val="24"/>
          <w:szCs w:val="24"/>
          <w:lang w:val="en-US" w:eastAsia="zh-CN"/>
        </w:rPr>
        <w:t>11</w:t>
      </w:r>
      <w:r>
        <w:rPr>
          <w:rFonts w:hint="eastAsia" w:eastAsia="仿宋" w:cs="Times New Roman" w:asciiTheme="minorHAnsi" w:hAnsiTheme="minorHAnsi"/>
          <w:sz w:val="24"/>
          <w:szCs w:val="24"/>
          <w:lang w:eastAsia="zh-CN"/>
        </w:rPr>
        <w:t>.《关于全面推开营业税改征增值税试点的通知》(财税[2016]36号，财政部、国家税务总局，2016年3月23日；根据《关于建筑服务等营改增试点政策的通知》（2017年7月11日</w:t>
      </w:r>
      <w:r>
        <w:rPr>
          <w:rFonts w:hint="eastAsia" w:eastAsia="仿宋" w:asciiTheme="minorHAnsi" w:hAnsiTheme="minorHAnsi"/>
          <w:sz w:val="24"/>
          <w:szCs w:val="24"/>
          <w:lang w:eastAsia="zh-CN"/>
        </w:rPr>
        <w:t>发布；2017年7月1日实施）修订；根据《关于深化增值税改革有关政策的公告》（2019年3月20日发布；2019年4月1日实施）修订)。</w:t>
      </w:r>
    </w:p>
    <w:p>
      <w:pPr>
        <w:widowControl w:val="0"/>
        <w:spacing w:before="156" w:beforeLines="50" w:after="0" w:line="240" w:lineRule="auto"/>
        <w:ind w:firstLine="480" w:firstLineChars="200"/>
        <w:jc w:val="both"/>
        <w:rPr>
          <w:rFonts w:hint="eastAsia" w:eastAsia="仿宋" w:asciiTheme="minorHAnsi" w:hAnsiTheme="minorHAnsi"/>
          <w:sz w:val="24"/>
          <w:szCs w:val="24"/>
          <w:lang w:eastAsia="zh-CN"/>
        </w:rPr>
      </w:pPr>
      <w:r>
        <w:rPr>
          <w:rFonts w:hint="eastAsia" w:eastAsia="仿宋" w:asciiTheme="minorHAnsi" w:hAnsiTheme="minorHAnsi"/>
          <w:sz w:val="24"/>
          <w:szCs w:val="24"/>
          <w:lang w:val="en-US" w:eastAsia="zh-CN"/>
        </w:rPr>
        <w:t>12</w:t>
      </w:r>
      <w:r>
        <w:rPr>
          <w:rFonts w:hint="eastAsia" w:eastAsia="仿宋" w:asciiTheme="minorHAnsi" w:hAnsiTheme="minorHAnsi"/>
          <w:sz w:val="24"/>
          <w:szCs w:val="24"/>
          <w:lang w:eastAsia="zh-CN"/>
        </w:rPr>
        <w:t>.《房地产开发企业销售自行开发的房地产项目增值税征收管理暂行办法》(国家税务总局公告2016年第18号；根据《国家税务总局关于修改部分税收规范性文件的公告》（2018年6月15日发布；2018年6月15日实施）修订)。</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val="en-US" w:eastAsia="zh-CN"/>
        </w:rPr>
        <w:t>13.</w:t>
      </w:r>
      <w:r>
        <w:rPr>
          <w:rFonts w:hint="eastAsia" w:eastAsia="仿宋" w:asciiTheme="minorHAnsi" w:hAnsiTheme="minorHAnsi"/>
          <w:sz w:val="24"/>
          <w:szCs w:val="24"/>
          <w:lang w:eastAsia="zh-CN"/>
        </w:rPr>
        <w:t>其他相关法律、法规和规范性文件。</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(二)评估</w:t>
      </w:r>
      <w:r>
        <w:rPr>
          <w:rFonts w:eastAsia="仿宋" w:asciiTheme="minorHAnsi" w:hAnsiTheme="minorHAnsi"/>
          <w:b/>
          <w:sz w:val="24"/>
          <w:szCs w:val="24"/>
          <w:lang w:eastAsia="zh-CN"/>
        </w:rPr>
        <w:t>准则依据</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1.《资产评估基本准则》(财资[2017]43号)。</w:t>
      </w:r>
    </w:p>
    <w:p>
      <w:pPr>
        <w:widowControl w:val="0"/>
        <w:spacing w:before="156" w:beforeLines="50" w:after="0" w:line="240" w:lineRule="auto"/>
        <w:ind w:firstLine="480" w:firstLineChars="200"/>
        <w:jc w:val="both"/>
        <w:rPr>
          <w:rFonts w:eastAsia="仿宋" w:asciiTheme="minorHAnsi" w:hAnsiTheme="minorHAnsi"/>
          <w:color w:val="auto"/>
          <w:sz w:val="24"/>
          <w:szCs w:val="24"/>
          <w:lang w:eastAsia="zh-CN"/>
        </w:rPr>
      </w:pPr>
      <w:r>
        <w:rPr>
          <w:rFonts w:hint="eastAsia" w:eastAsia="仿宋" w:asciiTheme="minorHAnsi" w:hAnsiTheme="minorHAnsi"/>
          <w:sz w:val="24"/>
          <w:szCs w:val="24"/>
          <w:lang w:eastAsia="zh-CN"/>
        </w:rPr>
        <w:t>2.《资产评估职业道德准则》(中评</w:t>
      </w:r>
      <w:r>
        <w:rPr>
          <w:rFonts w:hint="eastAsia" w:eastAsia="仿宋" w:asciiTheme="minorHAnsi" w:hAnsiTheme="minorHAnsi"/>
          <w:color w:val="auto"/>
          <w:sz w:val="24"/>
          <w:szCs w:val="24"/>
          <w:lang w:eastAsia="zh-CN"/>
        </w:rPr>
        <w:t>协[2017]30号)。</w:t>
      </w:r>
    </w:p>
    <w:p>
      <w:pPr>
        <w:widowControl w:val="0"/>
        <w:spacing w:before="156" w:beforeLines="50" w:after="0" w:line="240" w:lineRule="auto"/>
        <w:ind w:firstLine="480" w:firstLineChars="200"/>
        <w:jc w:val="both"/>
        <w:rPr>
          <w:rFonts w:eastAsia="仿宋" w:asciiTheme="minorHAnsi" w:hAnsiTheme="minorHAnsi"/>
          <w:color w:val="auto"/>
          <w:sz w:val="24"/>
          <w:szCs w:val="24"/>
          <w:lang w:eastAsia="zh-CN"/>
        </w:rPr>
      </w:pPr>
      <w:r>
        <w:rPr>
          <w:rFonts w:hint="eastAsia" w:eastAsia="仿宋" w:asciiTheme="minorHAnsi" w:hAnsiTheme="minorHAnsi"/>
          <w:color w:val="auto"/>
          <w:sz w:val="24"/>
          <w:szCs w:val="24"/>
          <w:lang w:eastAsia="zh-CN"/>
        </w:rPr>
        <w:t>3.《资产评估执业准则——资产评估程序》(中评协[2018]36号)。</w:t>
      </w:r>
    </w:p>
    <w:p>
      <w:pPr>
        <w:widowControl w:val="0"/>
        <w:spacing w:before="156" w:beforeLines="50" w:after="0" w:line="240" w:lineRule="auto"/>
        <w:ind w:firstLine="480" w:firstLineChars="200"/>
        <w:jc w:val="both"/>
        <w:rPr>
          <w:rFonts w:eastAsia="仿宋" w:asciiTheme="minorHAnsi" w:hAnsiTheme="minorHAnsi"/>
          <w:color w:val="auto"/>
          <w:sz w:val="24"/>
          <w:szCs w:val="24"/>
          <w:lang w:eastAsia="zh-CN"/>
        </w:rPr>
      </w:pPr>
      <w:r>
        <w:rPr>
          <w:rFonts w:hint="eastAsia" w:eastAsia="仿宋" w:asciiTheme="minorHAnsi" w:hAnsiTheme="minorHAnsi"/>
          <w:color w:val="auto"/>
          <w:sz w:val="24"/>
          <w:szCs w:val="24"/>
          <w:lang w:eastAsia="zh-CN"/>
        </w:rPr>
        <w:t>4.《资产评估执业准则——资产评估报告》(中评协[2018]35号)。</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5.《资产评估执业准则——资产评估委托合同》(中评协[2017]33号)。</w:t>
      </w:r>
    </w:p>
    <w:p>
      <w:pPr>
        <w:widowControl w:val="0"/>
        <w:spacing w:before="156" w:beforeLines="50" w:after="0" w:line="240" w:lineRule="auto"/>
        <w:ind w:firstLine="480" w:firstLineChars="200"/>
        <w:jc w:val="both"/>
        <w:rPr>
          <w:rFonts w:hint="eastAsia" w:eastAsia="仿宋" w:asciiTheme="minorHAnsi" w:hAnsiTheme="minorHAnsi"/>
          <w:sz w:val="24"/>
          <w:szCs w:val="24"/>
          <w:lang w:eastAsia="zh-CN"/>
        </w:rPr>
      </w:pPr>
      <w:r>
        <w:rPr>
          <w:rFonts w:hint="eastAsia" w:eastAsia="仿宋" w:asciiTheme="minorHAnsi" w:hAnsiTheme="minorHAnsi"/>
          <w:sz w:val="24"/>
          <w:szCs w:val="24"/>
          <w:lang w:eastAsia="zh-CN"/>
        </w:rPr>
        <w:t>6.《资产评估执业准则——不动产》(中评协[2017]38号)。</w:t>
      </w:r>
    </w:p>
    <w:p>
      <w:pPr>
        <w:widowControl w:val="0"/>
        <w:tabs>
          <w:tab w:val="right" w:pos="8080"/>
        </w:tabs>
        <w:spacing w:before="156" w:beforeLines="50" w:after="0" w:line="240" w:lineRule="auto"/>
        <w:ind w:firstLine="480" w:firstLineChars="200"/>
        <w:jc w:val="both"/>
        <w:rPr>
          <w:rFonts w:eastAsia="仿宋" w:asciiTheme="minorHAnsi" w:hAnsiTheme="minorHAnsi"/>
          <w:color w:val="auto"/>
          <w:sz w:val="24"/>
          <w:szCs w:val="24"/>
          <w:lang w:eastAsia="zh-CN"/>
        </w:rPr>
      </w:pPr>
      <w:r>
        <w:rPr>
          <w:rFonts w:hint="eastAsia" w:eastAsia="仿宋" w:asciiTheme="minorHAnsi" w:hAnsiTheme="minorHAnsi"/>
          <w:color w:val="auto"/>
          <w:sz w:val="24"/>
          <w:szCs w:val="24"/>
          <w:lang w:val="en-US" w:eastAsia="zh-CN"/>
        </w:rPr>
        <w:t>7</w:t>
      </w:r>
      <w:r>
        <w:rPr>
          <w:rFonts w:hint="eastAsia" w:eastAsia="仿宋" w:asciiTheme="minorHAnsi" w:hAnsiTheme="minorHAnsi"/>
          <w:color w:val="auto"/>
          <w:sz w:val="24"/>
          <w:szCs w:val="24"/>
          <w:lang w:eastAsia="zh-CN"/>
        </w:rPr>
        <w:t>.《资产评估执业准则——资产评估档案》（中评协〔2018〕37号）</w:t>
      </w:r>
    </w:p>
    <w:p>
      <w:pPr>
        <w:widowControl w:val="0"/>
        <w:tabs>
          <w:tab w:val="right" w:pos="8080"/>
        </w:tabs>
        <w:spacing w:before="156" w:beforeLines="50" w:after="0" w:line="240" w:lineRule="auto"/>
        <w:ind w:firstLine="480" w:firstLineChars="200"/>
        <w:jc w:val="both"/>
        <w:rPr>
          <w:rFonts w:eastAsia="仿宋" w:asciiTheme="minorHAnsi" w:hAnsiTheme="minorHAnsi"/>
          <w:color w:val="auto"/>
          <w:sz w:val="24"/>
          <w:szCs w:val="24"/>
          <w:lang w:eastAsia="zh-CN"/>
        </w:rPr>
      </w:pPr>
      <w:r>
        <w:rPr>
          <w:rFonts w:hint="eastAsia" w:eastAsia="仿宋" w:asciiTheme="minorHAnsi" w:hAnsiTheme="minorHAnsi"/>
          <w:color w:val="auto"/>
          <w:sz w:val="24"/>
          <w:szCs w:val="24"/>
          <w:lang w:val="en-US" w:eastAsia="zh-CN"/>
        </w:rPr>
        <w:t>8</w:t>
      </w:r>
      <w:r>
        <w:rPr>
          <w:rFonts w:hint="eastAsia" w:eastAsia="仿宋" w:asciiTheme="minorHAnsi" w:hAnsiTheme="minorHAnsi"/>
          <w:color w:val="auto"/>
          <w:sz w:val="24"/>
          <w:szCs w:val="24"/>
          <w:lang w:eastAsia="zh-CN"/>
        </w:rPr>
        <w:t>.《资产评估执业准则——资产评估方法》（中评协〔2019〕35号）</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val="en-US" w:eastAsia="zh-CN"/>
        </w:rPr>
        <w:t>9</w:t>
      </w:r>
      <w:r>
        <w:rPr>
          <w:rFonts w:hint="eastAsia" w:eastAsia="仿宋" w:asciiTheme="minorHAnsi" w:hAnsiTheme="minorHAnsi"/>
          <w:sz w:val="24"/>
          <w:szCs w:val="24"/>
          <w:lang w:eastAsia="zh-CN"/>
        </w:rPr>
        <w:t>.《资产评估机构业务质量控制指南》(中评协[2017]46号)。</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1</w:t>
      </w:r>
      <w:r>
        <w:rPr>
          <w:rFonts w:hint="eastAsia" w:eastAsia="仿宋" w:asciiTheme="minorHAnsi" w:hAnsiTheme="minorHAnsi"/>
          <w:sz w:val="24"/>
          <w:szCs w:val="24"/>
          <w:lang w:val="en-US" w:eastAsia="zh-CN"/>
        </w:rPr>
        <w:t>0</w:t>
      </w:r>
      <w:r>
        <w:rPr>
          <w:rFonts w:hint="eastAsia" w:eastAsia="仿宋" w:asciiTheme="minorHAnsi" w:hAnsiTheme="minorHAnsi"/>
          <w:sz w:val="24"/>
          <w:szCs w:val="24"/>
          <w:lang w:eastAsia="zh-CN"/>
        </w:rPr>
        <w:t>.《资产评估价值类型指导意见》(中评协[2017]47号)。</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1</w:t>
      </w:r>
      <w:r>
        <w:rPr>
          <w:rFonts w:hint="eastAsia" w:eastAsia="仿宋" w:asciiTheme="minorHAnsi" w:hAnsiTheme="minorHAnsi"/>
          <w:sz w:val="24"/>
          <w:szCs w:val="24"/>
          <w:lang w:val="en-US" w:eastAsia="zh-CN"/>
        </w:rPr>
        <w:t>1</w:t>
      </w:r>
      <w:r>
        <w:rPr>
          <w:rFonts w:hint="eastAsia" w:eastAsia="仿宋" w:asciiTheme="minorHAnsi" w:hAnsiTheme="minorHAnsi"/>
          <w:sz w:val="24"/>
          <w:szCs w:val="24"/>
          <w:lang w:eastAsia="zh-CN"/>
        </w:rPr>
        <w:t>.《资产评估对象法律权属指导意见》(中评协[2017]48号)。</w:t>
      </w:r>
    </w:p>
    <w:p>
      <w:pPr>
        <w:widowControl w:val="0"/>
        <w:spacing w:before="156" w:beforeLines="50" w:after="0" w:line="240" w:lineRule="auto"/>
        <w:ind w:firstLine="480" w:firstLineChars="200"/>
        <w:jc w:val="both"/>
        <w:rPr>
          <w:rFonts w:hint="eastAsia" w:eastAsia="仿宋" w:asciiTheme="minorHAnsi" w:hAnsiTheme="minorHAnsi"/>
          <w:sz w:val="24"/>
          <w:szCs w:val="24"/>
          <w:lang w:eastAsia="zh-CN"/>
        </w:rPr>
      </w:pPr>
      <w:r>
        <w:rPr>
          <w:rFonts w:hint="eastAsia" w:eastAsia="仿宋" w:asciiTheme="minorHAnsi" w:hAnsiTheme="minorHAnsi"/>
          <w:sz w:val="24"/>
          <w:szCs w:val="24"/>
          <w:lang w:eastAsia="zh-CN"/>
        </w:rPr>
        <w:t>1</w:t>
      </w:r>
      <w:r>
        <w:rPr>
          <w:rFonts w:hint="eastAsia" w:eastAsia="仿宋" w:asciiTheme="minorHAnsi" w:hAnsiTheme="minorHAnsi"/>
          <w:sz w:val="24"/>
          <w:szCs w:val="24"/>
          <w:lang w:val="en-US" w:eastAsia="zh-CN"/>
        </w:rPr>
        <w:t>2.</w:t>
      </w:r>
      <w:r>
        <w:rPr>
          <w:rFonts w:hint="eastAsia" w:eastAsia="仿宋" w:asciiTheme="minorHAnsi" w:hAnsiTheme="minorHAnsi"/>
          <w:sz w:val="24"/>
          <w:szCs w:val="24"/>
          <w:lang w:eastAsia="zh-CN"/>
        </w:rPr>
        <w:t>《投资性房地产评估指导意见》(中评协[2017]53号)。</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1</w:t>
      </w:r>
      <w:r>
        <w:rPr>
          <w:rFonts w:hint="eastAsia" w:eastAsia="仿宋" w:asciiTheme="minorHAnsi" w:hAnsiTheme="minorHAnsi"/>
          <w:sz w:val="24"/>
          <w:szCs w:val="24"/>
          <w:lang w:val="en-US" w:eastAsia="zh-CN"/>
        </w:rPr>
        <w:t>3</w:t>
      </w:r>
      <w:r>
        <w:rPr>
          <w:rFonts w:hint="eastAsia" w:eastAsia="仿宋" w:asciiTheme="minorHAnsi" w:hAnsiTheme="minorHAnsi"/>
          <w:sz w:val="24"/>
          <w:szCs w:val="24"/>
          <w:lang w:eastAsia="zh-CN"/>
        </w:rPr>
        <w:t>.《房地产估价规范》(GB-T50291-2015)。</w:t>
      </w:r>
    </w:p>
    <w:p>
      <w:pPr>
        <w:keepNext w:val="0"/>
        <w:keepLines w:val="0"/>
        <w:pageBreakBefore w:val="0"/>
        <w:widowControl w:val="0"/>
        <w:kinsoku/>
        <w:wordWrap/>
        <w:overflowPunct/>
        <w:topLinePunct w:val="0"/>
        <w:autoSpaceDE/>
        <w:autoSpaceDN/>
        <w:bidi w:val="0"/>
        <w:adjustRightInd/>
        <w:snapToGrid/>
        <w:spacing w:before="156" w:beforeLines="50" w:after="0" w:line="240" w:lineRule="auto"/>
        <w:ind w:firstLine="482" w:firstLineChars="200"/>
        <w:jc w:val="both"/>
        <w:textAlignment w:val="auto"/>
        <w:rPr>
          <w:rFonts w:eastAsia="仿宋" w:asciiTheme="minorHAnsi" w:hAnsiTheme="minorHAnsi"/>
          <w:b/>
          <w:sz w:val="24"/>
          <w:szCs w:val="24"/>
          <w:lang w:eastAsia="zh-CN"/>
        </w:rPr>
      </w:pPr>
      <w:r>
        <w:rPr>
          <w:rFonts w:hint="eastAsia" w:eastAsia="仿宋" w:asciiTheme="minorHAnsi" w:hAnsiTheme="minorHAnsi"/>
          <w:b/>
          <w:sz w:val="24"/>
          <w:szCs w:val="24"/>
          <w:lang w:eastAsia="zh-CN"/>
        </w:rPr>
        <w:t>(三)资产权属依据</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委托人提供的《营业执照》、《房地产权登记信息》、《房屋分户图》等资料复印件。</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bookmarkStart w:id="24" w:name="_Toc205892045"/>
      <w:bookmarkStart w:id="25" w:name="_Toc66605632"/>
      <w:r>
        <w:rPr>
          <w:rFonts w:hint="eastAsia" w:eastAsia="仿宋" w:asciiTheme="minorHAnsi" w:hAnsiTheme="minorHAnsi"/>
          <w:b/>
          <w:sz w:val="24"/>
          <w:szCs w:val="24"/>
          <w:lang w:eastAsia="zh-CN"/>
        </w:rPr>
        <w:t>(四)取价依据</w:t>
      </w:r>
      <w:bookmarkEnd w:id="24"/>
      <w:bookmarkEnd w:id="25"/>
    </w:p>
    <w:p>
      <w:pPr>
        <w:widowControl w:val="0"/>
        <w:spacing w:before="156" w:beforeLines="50" w:after="0" w:line="240" w:lineRule="auto"/>
        <w:ind w:firstLine="480" w:firstLineChars="200"/>
        <w:jc w:val="both"/>
        <w:rPr>
          <w:rFonts w:hint="eastAsia" w:eastAsia="仿宋" w:asciiTheme="minorHAnsi" w:hAnsiTheme="minorHAnsi"/>
          <w:sz w:val="24"/>
          <w:szCs w:val="24"/>
          <w:lang w:eastAsia="zh-CN"/>
        </w:rPr>
      </w:pPr>
      <w:bookmarkStart w:id="26" w:name="_Toc66605633"/>
      <w:bookmarkStart w:id="27" w:name="_Toc205892046"/>
      <w:r>
        <w:rPr>
          <w:rFonts w:hint="eastAsia" w:eastAsia="仿宋" w:asciiTheme="minorHAnsi" w:hAnsiTheme="minorHAnsi"/>
          <w:sz w:val="24"/>
          <w:szCs w:val="24"/>
          <w:lang w:eastAsia="zh-CN"/>
        </w:rPr>
        <w:t>1.评估人员现场调查记录及收集的其他相关价格信息资料。</w:t>
      </w:r>
    </w:p>
    <w:p>
      <w:pPr>
        <w:widowControl w:val="0"/>
        <w:spacing w:before="156" w:beforeLines="50" w:after="0" w:line="240" w:lineRule="auto"/>
        <w:ind w:firstLine="480" w:firstLineChars="200"/>
        <w:jc w:val="both"/>
        <w:rPr>
          <w:rFonts w:hint="eastAsia" w:eastAsia="仿宋" w:asciiTheme="minorHAnsi" w:hAnsiTheme="minorHAnsi"/>
          <w:sz w:val="24"/>
          <w:szCs w:val="24"/>
          <w:lang w:eastAsia="zh-CN"/>
        </w:rPr>
      </w:pPr>
      <w:r>
        <w:rPr>
          <w:rFonts w:hint="eastAsia" w:eastAsia="仿宋" w:asciiTheme="minorHAnsi" w:hAnsiTheme="minorHAnsi"/>
          <w:sz w:val="24"/>
          <w:szCs w:val="24"/>
          <w:lang w:val="en-US" w:eastAsia="zh-CN"/>
        </w:rPr>
        <w:t>2.</w:t>
      </w:r>
      <w:r>
        <w:rPr>
          <w:rFonts w:hint="eastAsia" w:eastAsia="仿宋" w:asciiTheme="minorHAnsi" w:hAnsiTheme="minorHAnsi"/>
          <w:sz w:val="24"/>
          <w:szCs w:val="24"/>
          <w:lang w:eastAsia="zh-CN"/>
        </w:rPr>
        <w:t>深圳市鹏信资产评估土地房地产估价有限公司执业政策和标准委员会发布的有关文件。</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val="en-US" w:eastAsia="zh-CN"/>
        </w:rPr>
        <w:t>3</w:t>
      </w:r>
      <w:r>
        <w:rPr>
          <w:rFonts w:hint="eastAsia" w:eastAsia="仿宋" w:asciiTheme="minorHAnsi" w:hAnsiTheme="minorHAnsi"/>
          <w:sz w:val="24"/>
          <w:szCs w:val="24"/>
          <w:lang w:eastAsia="zh-CN"/>
        </w:rPr>
        <w:t>.与本次评估有关的</w:t>
      </w:r>
      <w:r>
        <w:rPr>
          <w:rFonts w:eastAsia="仿宋" w:asciiTheme="minorHAnsi" w:hAnsiTheme="minorHAnsi"/>
          <w:sz w:val="24"/>
          <w:szCs w:val="24"/>
          <w:lang w:eastAsia="zh-CN"/>
        </w:rPr>
        <w:t>其他参考资料。</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(五)其它参考资料</w:t>
      </w:r>
      <w:bookmarkEnd w:id="26"/>
      <w:bookmarkEnd w:id="27"/>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eastAsia="仿宋" w:asciiTheme="minorHAnsi" w:hAnsiTheme="minorHAnsi"/>
          <w:sz w:val="24"/>
          <w:szCs w:val="24"/>
          <w:lang w:eastAsia="zh-CN"/>
        </w:rPr>
        <w:t>其他参考资料</w:t>
      </w:r>
      <w:r>
        <w:rPr>
          <w:rFonts w:hint="eastAsia" w:eastAsia="仿宋" w:asciiTheme="minorHAnsi" w:hAnsiTheme="minorHAnsi"/>
          <w:sz w:val="24"/>
          <w:szCs w:val="24"/>
          <w:lang w:eastAsia="zh-CN"/>
        </w:rPr>
        <w:t>。</w:t>
      </w:r>
    </w:p>
    <w:p>
      <w:pPr>
        <w:pStyle w:val="3"/>
        <w:spacing w:before="156" w:beforeLines="50" w:line="480" w:lineRule="exact"/>
        <w:ind w:firstLine="482" w:firstLineChars="200"/>
        <w:jc w:val="both"/>
        <w:rPr>
          <w:rFonts w:eastAsia="仿宋" w:asciiTheme="minorHAnsi" w:hAnsiTheme="minorHAnsi"/>
          <w:sz w:val="24"/>
          <w:szCs w:val="24"/>
          <w:lang w:eastAsia="zh-CN"/>
        </w:rPr>
      </w:pPr>
      <w:bookmarkStart w:id="28" w:name="_Toc502866375"/>
      <w:bookmarkStart w:id="29" w:name="_Toc447125216"/>
      <w:r>
        <w:rPr>
          <w:rFonts w:hint="eastAsia" w:eastAsia="仿宋" w:asciiTheme="minorHAnsi" w:hAnsiTheme="minorHAnsi"/>
          <w:sz w:val="24"/>
          <w:szCs w:val="24"/>
          <w:lang w:eastAsia="zh-CN"/>
        </w:rPr>
        <w:t>七、评估方法</w:t>
      </w:r>
      <w:bookmarkEnd w:id="28"/>
      <w:bookmarkEnd w:id="29"/>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(一)</w:t>
      </w:r>
      <w:r>
        <w:rPr>
          <w:rFonts w:eastAsia="仿宋" w:asciiTheme="minorHAnsi" w:hAnsiTheme="minorHAnsi"/>
          <w:b/>
          <w:sz w:val="24"/>
          <w:szCs w:val="24"/>
          <w:lang w:eastAsia="zh-CN"/>
        </w:rPr>
        <w:t>评估方法的选择</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本次评估选用的评估方法为市场法。</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(二)</w:t>
      </w:r>
      <w:r>
        <w:rPr>
          <w:rFonts w:eastAsia="仿宋" w:asciiTheme="minorHAnsi" w:hAnsiTheme="minorHAnsi"/>
          <w:b/>
          <w:sz w:val="24"/>
          <w:szCs w:val="24"/>
          <w:lang w:eastAsia="zh-CN"/>
        </w:rPr>
        <w:t>评估方法的选择</w:t>
      </w:r>
      <w:r>
        <w:rPr>
          <w:rFonts w:hint="eastAsia" w:eastAsia="仿宋" w:asciiTheme="minorHAnsi" w:hAnsiTheme="minorHAnsi"/>
          <w:b/>
          <w:sz w:val="24"/>
          <w:szCs w:val="24"/>
          <w:lang w:eastAsia="zh-CN"/>
        </w:rPr>
        <w:t>理由</w:t>
      </w:r>
    </w:p>
    <w:p>
      <w:pPr>
        <w:widowControl w:val="0"/>
        <w:spacing w:before="156" w:beforeLines="50" w:after="0" w:line="240" w:lineRule="auto"/>
        <w:ind w:firstLine="480" w:firstLineChars="200"/>
        <w:jc w:val="both"/>
        <w:rPr>
          <w:rFonts w:hint="eastAsia" w:ascii="Calibri" w:hAnsi="Calibri" w:eastAsia="仿宋"/>
          <w:sz w:val="24"/>
          <w:lang w:eastAsia="zh-CN"/>
        </w:rPr>
      </w:pPr>
      <w:r>
        <w:rPr>
          <w:rFonts w:hint="eastAsia" w:ascii="Calibri" w:hAnsi="Calibri" w:eastAsia="仿宋"/>
          <w:sz w:val="24"/>
          <w:lang w:eastAsia="zh-CN"/>
        </w:rPr>
        <w:t>根据《资产评估执业准则——不动产》(中评协[2017]38号)，有条件选用市场法进行评估的，应以市场法为主要的评估方法。资产评估师执行价值评估业务，应当根据评估对象、价值类型、资料收集情况等相关条件，分析收益法、市场法和成本法三种资产评估基本方法的适用性，恰当选择一种或多种资产评估基本方法。</w:t>
      </w:r>
    </w:p>
    <w:p>
      <w:pPr>
        <w:widowControl w:val="0"/>
        <w:spacing w:before="156" w:beforeLines="50" w:after="0" w:line="240" w:lineRule="auto"/>
        <w:ind w:firstLine="480" w:firstLineChars="200"/>
        <w:jc w:val="both"/>
        <w:rPr>
          <w:rFonts w:hint="eastAsia" w:ascii="Calibri" w:hAnsi="Calibri" w:eastAsia="仿宋"/>
          <w:sz w:val="24"/>
          <w:lang w:eastAsia="zh-CN"/>
        </w:rPr>
      </w:pPr>
      <w:r>
        <w:rPr>
          <w:rFonts w:hint="eastAsia" w:ascii="Calibri" w:hAnsi="Calibri" w:eastAsia="仿宋"/>
          <w:sz w:val="24"/>
          <w:lang w:eastAsia="zh-CN"/>
        </w:rPr>
        <w:t xml:space="preserve">1.关于采用市场法进行评估的说明 </w:t>
      </w:r>
    </w:p>
    <w:p>
      <w:pPr>
        <w:widowControl w:val="0"/>
        <w:spacing w:before="156" w:beforeLines="50" w:after="0" w:line="240" w:lineRule="auto"/>
        <w:ind w:firstLine="480" w:firstLineChars="200"/>
        <w:jc w:val="both"/>
        <w:rPr>
          <w:rFonts w:ascii="Calibri" w:hAnsi="Calibri" w:eastAsia="仿宋"/>
          <w:sz w:val="24"/>
          <w:lang w:eastAsia="zh-CN"/>
        </w:rPr>
      </w:pPr>
      <w:r>
        <w:rPr>
          <w:rFonts w:hint="eastAsia" w:ascii="Calibri" w:hAnsi="Calibri" w:eastAsia="仿宋"/>
          <w:sz w:val="24"/>
          <w:lang w:eastAsia="zh-CN"/>
        </w:rPr>
        <w:t>市场法是指是利用市场上同样或类似资产的近期交易价格，经过直接比较或类比分析以估测资产价值的各种评估技术方法的总称。利用市场法评估需满足两个最基本的前提条件：一是要有一个</w:t>
      </w:r>
      <w:r>
        <w:rPr>
          <w:rFonts w:hint="eastAsia" w:eastAsia="仿宋" w:asciiTheme="minorHAnsi" w:hAnsiTheme="minorHAnsi"/>
          <w:sz w:val="24"/>
          <w:szCs w:val="24"/>
          <w:lang w:eastAsia="zh-CN"/>
        </w:rPr>
        <w:t>活跃的公开市场；二是公开市场上要有可比的资产及交易活动。评估人员通过现场实地勘察，认真分析调查收集的有关资料，根据</w:t>
      </w:r>
      <w:r>
        <w:rPr>
          <w:rFonts w:hint="eastAsia" w:ascii="Calibri" w:hAnsi="Calibri" w:eastAsia="仿宋"/>
          <w:sz w:val="24"/>
          <w:lang w:eastAsia="zh-CN"/>
        </w:rPr>
        <w:t>评估对象的实际情况，认为目前近期同一供求圈内有较多类似房地产买卖案例，故委估房地产适合采用市场法进行评估。</w:t>
      </w:r>
    </w:p>
    <w:p>
      <w:pPr>
        <w:widowControl w:val="0"/>
        <w:spacing w:before="156" w:beforeLines="50" w:after="0" w:line="240" w:lineRule="auto"/>
        <w:ind w:firstLine="480" w:firstLineChars="200"/>
        <w:jc w:val="both"/>
        <w:rPr>
          <w:rFonts w:ascii="Calibri" w:hAnsi="Calibri" w:eastAsia="仿宋"/>
          <w:sz w:val="24"/>
          <w:lang w:eastAsia="zh-CN"/>
        </w:rPr>
      </w:pPr>
      <w:r>
        <w:rPr>
          <w:rFonts w:hint="eastAsia" w:ascii="Calibri" w:hAnsi="Calibri" w:eastAsia="仿宋"/>
          <w:sz w:val="24"/>
          <w:lang w:eastAsia="zh-CN"/>
        </w:rPr>
        <w:t>市场法应用概要</w:t>
      </w:r>
    </w:p>
    <w:p>
      <w:pPr>
        <w:widowControl w:val="0"/>
        <w:spacing w:before="156" w:beforeLines="50" w:after="0" w:line="240" w:lineRule="auto"/>
        <w:ind w:firstLine="480" w:firstLineChars="200"/>
        <w:jc w:val="both"/>
        <w:rPr>
          <w:rFonts w:ascii="Calibri" w:hAnsi="Calibri" w:eastAsia="仿宋"/>
          <w:sz w:val="24"/>
          <w:lang w:eastAsia="zh-CN"/>
        </w:rPr>
      </w:pPr>
      <w:r>
        <w:rPr>
          <w:rFonts w:hint="eastAsia" w:ascii="Calibri" w:hAnsi="Calibri" w:eastAsia="仿宋"/>
          <w:sz w:val="24"/>
          <w:lang w:eastAsia="zh-CN"/>
        </w:rPr>
        <w:t>市场法评估思路：首先搜集与评估对象类似的交易实例，再结合评估人员对评估对象的实地查勘资料，进行交易情况、市场状况、房地产状况等因素修正与调整，加权取值，求取评估对象的比较价格。</w:t>
      </w:r>
    </w:p>
    <w:p>
      <w:pPr>
        <w:widowControl w:val="0"/>
        <w:spacing w:before="156" w:beforeLines="50" w:after="0" w:line="240" w:lineRule="auto"/>
        <w:ind w:firstLine="480" w:firstLineChars="200"/>
        <w:jc w:val="both"/>
        <w:rPr>
          <w:rFonts w:ascii="Calibri" w:hAnsi="Calibri" w:eastAsia="仿宋"/>
          <w:sz w:val="24"/>
          <w:lang w:eastAsia="zh-CN"/>
        </w:rPr>
      </w:pPr>
      <w:r>
        <w:rPr>
          <w:rFonts w:hint="eastAsia" w:ascii="Calibri" w:hAnsi="Calibri" w:eastAsia="仿宋"/>
          <w:sz w:val="24"/>
          <w:lang w:eastAsia="zh-CN"/>
        </w:rPr>
        <w:t>市场法计算公式：</w:t>
      </w:r>
    </w:p>
    <w:p>
      <w:pPr>
        <w:widowControl w:val="0"/>
        <w:spacing w:before="156" w:beforeLines="50" w:after="0" w:line="240" w:lineRule="auto"/>
        <w:ind w:firstLine="480" w:firstLineChars="200"/>
        <w:jc w:val="both"/>
        <w:rPr>
          <w:rFonts w:ascii="Calibri" w:hAnsi="Calibri" w:eastAsia="仿宋"/>
          <w:sz w:val="24"/>
          <w:lang w:eastAsia="zh-CN"/>
        </w:rPr>
      </w:pPr>
      <w:r>
        <w:rPr>
          <w:rFonts w:hint="eastAsia" w:ascii="Calibri" w:hAnsi="Calibri" w:eastAsia="仿宋"/>
          <w:sz w:val="24"/>
          <w:lang w:eastAsia="zh-CN"/>
        </w:rPr>
        <w:t>评估对象比准价格（单价）＝可比实例交易价格×交易情况修正系数×市场状况修正系数×房地产状况（区位状况、权益状况、实物状况）调整系数</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 xml:space="preserve">2.关于不采用收益法进行评估的说明 </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收益法是指将预期收益资本化或者折现，确定评估对象价值的评估方法。此类房地产虽然也有经济收益，但此类房地产目前的市场是快速增长的市场，类似物业目前实际收益率较低且未来收益存在较大的不确定性，相比市场法而言，评估精度较差，故不适用收益法进行评估。</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 xml:space="preserve">3.关于不采用成本法进行评估的说明 </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成本法是指首先估测被评估资产的重置成本，然后估测被评估资产已存在的贬值因素，并将其从重置成本中予以扣除而得到被评估资产价值的各种评估方法。委估房地产所处市场由于交易案例依据较充分，因此委估房地产不采用成本法进行评估。</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根据以上分析，本次评估对象确定采用市场法进行评估。</w:t>
      </w:r>
    </w:p>
    <w:p>
      <w:pPr>
        <w:pStyle w:val="3"/>
        <w:spacing w:before="156" w:beforeLines="50" w:line="480" w:lineRule="exact"/>
        <w:ind w:firstLine="482" w:firstLineChars="200"/>
        <w:jc w:val="both"/>
        <w:rPr>
          <w:rFonts w:hint="eastAsia" w:eastAsia="仿宋" w:asciiTheme="minorHAnsi" w:hAnsiTheme="minorHAnsi"/>
          <w:sz w:val="24"/>
          <w:szCs w:val="24"/>
          <w:lang w:eastAsia="zh-CN"/>
        </w:rPr>
      </w:pPr>
      <w:bookmarkStart w:id="30" w:name="_Toc447125217"/>
      <w:bookmarkStart w:id="31" w:name="_Toc502866376"/>
      <w:r>
        <w:rPr>
          <w:rFonts w:hint="eastAsia" w:eastAsia="仿宋" w:asciiTheme="minorHAnsi" w:hAnsiTheme="minorHAnsi"/>
          <w:sz w:val="24"/>
          <w:szCs w:val="24"/>
          <w:lang w:eastAsia="zh-CN"/>
        </w:rPr>
        <w:t>八、评估程序实施过程和情况</w:t>
      </w:r>
      <w:bookmarkEnd w:id="30"/>
      <w:bookmarkEnd w:id="31"/>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(一)明确资产评估业务基本事项</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通过向委托人了解总体方案，明确委托人和其他资产评估报告使用人、被评估企业、评估目的、评估对象和评估范围、价值类型、评估基准日、资产评估报告使用范围、资产评估报告提交时间及方式等资产评估业务基本事项。</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(二)接受委托</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根据了解的评估业务基本情况，本公司对自身专业胜任能力、独立性和业务风险进行综合分析和评价，最终接受委托人的委托。</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(三)编制资产评估计划</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根据评估项目的具体情况，由项目负责人编制资产评估计划，对评估项目的具体实施程序、时间要求、人员分工做出安排，并将资产评估计划报经本公司相关人员审核批准。</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(四)现场调查</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根据批准的评估计划，评估人员在委托人和相关当事人的配合下进行现场调查工作，主要包括对被评估对象状况的了解、向相关委托人、当事人了解评估范围内实物资产的运行、维护、保养状况等。</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(五)收集整理评估资料</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在现场调查的基础上，根据评估工作的需要，评估人员收集与本次评估相关的各种资料与信息，包括被评估资产权属证明材料、相关资产的市场交易信息、行业信息、相关市场数据等。</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(六)评定估算形成评估结论</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根据现场调查情况和所收集的评估资料，结合评估对象的实际状况和特点，选择相应的评估方法，对评估对象的市场价值进行评定估算，在此基础上形成评估结论。</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(七)编制出具评估报告</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项目负责人（本报告的签字资产评估师）在以上工作的基础上编制资产评估报告，经本公司内部审核通过后，出具资产评估报告并提交给委托人。</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(八)整理归集评估档案</w:t>
      </w:r>
    </w:p>
    <w:p>
      <w:pPr>
        <w:widowControl w:val="0"/>
        <w:spacing w:before="156" w:beforeLines="50" w:after="0" w:line="240" w:lineRule="auto"/>
        <w:ind w:firstLine="480" w:firstLineChars="200"/>
        <w:jc w:val="both"/>
        <w:rPr>
          <w:lang w:eastAsia="zh-CN"/>
        </w:rPr>
      </w:pPr>
      <w:r>
        <w:rPr>
          <w:rFonts w:hint="eastAsia" w:eastAsia="仿宋" w:asciiTheme="minorHAnsi" w:hAnsiTheme="minorHAnsi"/>
          <w:sz w:val="24"/>
          <w:szCs w:val="24"/>
          <w:lang w:eastAsia="zh-CN"/>
        </w:rPr>
        <w:t>评估人员对工作底稿、资产评估报告及其他相关资料进行整理，形成资产评估档案。</w:t>
      </w:r>
    </w:p>
    <w:p>
      <w:pPr>
        <w:pStyle w:val="3"/>
        <w:spacing w:before="156" w:beforeLines="50" w:line="480" w:lineRule="exact"/>
        <w:ind w:firstLine="482" w:firstLineChars="200"/>
        <w:jc w:val="both"/>
        <w:rPr>
          <w:rFonts w:eastAsia="仿宋" w:asciiTheme="minorHAnsi" w:hAnsiTheme="minorHAnsi"/>
          <w:sz w:val="24"/>
          <w:szCs w:val="24"/>
          <w:lang w:eastAsia="zh-CN"/>
        </w:rPr>
      </w:pPr>
      <w:bookmarkStart w:id="32" w:name="_Toc447125218"/>
      <w:bookmarkStart w:id="33" w:name="_Toc502866377"/>
      <w:bookmarkStart w:id="34" w:name="_Toc144489314"/>
      <w:bookmarkStart w:id="35" w:name="_Toc146119326"/>
      <w:r>
        <w:rPr>
          <w:rFonts w:hint="eastAsia" w:eastAsia="仿宋" w:asciiTheme="minorHAnsi" w:hAnsiTheme="minorHAnsi"/>
          <w:sz w:val="24"/>
          <w:szCs w:val="24"/>
          <w:lang w:eastAsia="zh-CN"/>
        </w:rPr>
        <w:t>九、评估假设</w:t>
      </w:r>
      <w:bookmarkEnd w:id="32"/>
      <w:bookmarkEnd w:id="33"/>
      <w:bookmarkEnd w:id="34"/>
      <w:bookmarkEnd w:id="35"/>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本资产评估报告所载评估结论的成立，依赖于以下评估假设，包括评估基准假设和评估条件假设：</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(一)评估基准假设</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1.交易基准假设</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假设评估对象或所有被评估资产于评估基准日处在市场交易过程中，资产评估专业人员根据评估基准日的市场环境和评估对象或所有被评估资产的交易条件等模拟市场进行相应的价值估计或测算。</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2.公开市场基准假设</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假设评估对象或所有被评估资产于评估基准日处在的交易市场是公开市场。公开市场是指至少符合下列条件的交易市场：(</w:t>
      </w:r>
      <w:r>
        <w:rPr>
          <w:rFonts w:eastAsia="仿宋" w:asciiTheme="minorHAnsi" w:hAnsiTheme="minorHAnsi"/>
          <w:sz w:val="24"/>
          <w:szCs w:val="24"/>
          <w:lang w:eastAsia="zh-CN"/>
        </w:rPr>
        <w:t>1)</w:t>
      </w:r>
      <w:r>
        <w:rPr>
          <w:rFonts w:hint="eastAsia" w:eastAsia="仿宋" w:asciiTheme="minorHAnsi" w:hAnsiTheme="minorHAnsi"/>
          <w:sz w:val="24"/>
          <w:szCs w:val="24"/>
          <w:lang w:eastAsia="zh-CN"/>
        </w:rPr>
        <w:t>市场中有足够数量的买者且彼此地位是平等的，所有买者都是自愿的、理性的且均具有足够的专业知识；(</w:t>
      </w:r>
      <w:r>
        <w:rPr>
          <w:rFonts w:eastAsia="仿宋" w:asciiTheme="minorHAnsi" w:hAnsiTheme="minorHAnsi"/>
          <w:sz w:val="24"/>
          <w:szCs w:val="24"/>
          <w:lang w:eastAsia="zh-CN"/>
        </w:rPr>
        <w:t>2)</w:t>
      </w:r>
      <w:r>
        <w:rPr>
          <w:rFonts w:hint="eastAsia" w:eastAsia="仿宋" w:asciiTheme="minorHAnsi" w:hAnsiTheme="minorHAnsi"/>
          <w:sz w:val="24"/>
          <w:szCs w:val="24"/>
          <w:lang w:eastAsia="zh-CN"/>
        </w:rPr>
        <w:t>市场中有足够数量的卖者且彼此地位是平等的，所有卖者都是自愿的、理性的且均具有足够的专业知识；(</w:t>
      </w:r>
      <w:r>
        <w:rPr>
          <w:rFonts w:eastAsia="仿宋" w:asciiTheme="minorHAnsi" w:hAnsiTheme="minorHAnsi"/>
          <w:sz w:val="24"/>
          <w:szCs w:val="24"/>
          <w:lang w:eastAsia="zh-CN"/>
        </w:rPr>
        <w:t>3)</w:t>
      </w:r>
      <w:r>
        <w:rPr>
          <w:rFonts w:hint="eastAsia" w:eastAsia="仿宋" w:asciiTheme="minorHAnsi" w:hAnsiTheme="minorHAnsi"/>
          <w:sz w:val="24"/>
          <w:szCs w:val="24"/>
          <w:lang w:eastAsia="zh-CN"/>
        </w:rPr>
        <w:t>市场中所有买者和所有卖者之间的地位也是平等的；(</w:t>
      </w:r>
      <w:r>
        <w:rPr>
          <w:rFonts w:eastAsia="仿宋" w:asciiTheme="minorHAnsi" w:hAnsiTheme="minorHAnsi"/>
          <w:sz w:val="24"/>
          <w:szCs w:val="24"/>
          <w:lang w:eastAsia="zh-CN"/>
        </w:rPr>
        <w:t>4)</w:t>
      </w:r>
      <w:r>
        <w:rPr>
          <w:rFonts w:hint="eastAsia" w:eastAsia="仿宋" w:asciiTheme="minorHAnsi" w:hAnsiTheme="minorHAnsi"/>
          <w:sz w:val="24"/>
          <w:szCs w:val="24"/>
          <w:lang w:eastAsia="zh-CN"/>
        </w:rPr>
        <w:t>市场中的所有交易规则都是明确的且是公开的；(</w:t>
      </w:r>
      <w:r>
        <w:rPr>
          <w:rFonts w:eastAsia="仿宋" w:asciiTheme="minorHAnsi" w:hAnsiTheme="minorHAnsi"/>
          <w:sz w:val="24"/>
          <w:szCs w:val="24"/>
          <w:lang w:eastAsia="zh-CN"/>
        </w:rPr>
        <w:t>5)</w:t>
      </w:r>
      <w:r>
        <w:rPr>
          <w:rFonts w:hint="eastAsia" w:eastAsia="仿宋" w:asciiTheme="minorHAnsi" w:hAnsiTheme="minorHAnsi"/>
          <w:sz w:val="24"/>
          <w:szCs w:val="24"/>
          <w:lang w:eastAsia="zh-CN"/>
        </w:rPr>
        <w:t>市场中所有买者和所有卖者均充分知情，都能够获得相同且足够的交易信息；(</w:t>
      </w:r>
      <w:r>
        <w:rPr>
          <w:rFonts w:eastAsia="仿宋" w:asciiTheme="minorHAnsi" w:hAnsiTheme="minorHAnsi"/>
          <w:sz w:val="24"/>
          <w:szCs w:val="24"/>
          <w:lang w:eastAsia="zh-CN"/>
        </w:rPr>
        <w:t>6)</w:t>
      </w:r>
      <w:r>
        <w:rPr>
          <w:rFonts w:hint="eastAsia" w:eastAsia="仿宋" w:asciiTheme="minorHAnsi" w:hAnsiTheme="minorHAnsi"/>
          <w:sz w:val="24"/>
          <w:szCs w:val="24"/>
          <w:lang w:eastAsia="zh-CN"/>
        </w:rPr>
        <w:t>市场中所有交易行为都是在足够充分的时间内自由进行的，而非强制或不受限制的条件下进行的。</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3.资产持续使用假设</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持续使用假设是对资产拟进入市场的条件以及资产在这样的市场条件下的资产状态的一种假定。首先被评估资产正处于使用状态，其次假定处于使用状态的资产还将继续使用下去。在持续使用假设条件下，没有考虑资产用途转换或者最佳利用条件。</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(二)评估条件假设</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1</w:t>
      </w:r>
      <w:r>
        <w:rPr>
          <w:rFonts w:eastAsia="仿宋" w:asciiTheme="minorHAnsi" w:hAnsiTheme="minorHAnsi"/>
          <w:sz w:val="24"/>
          <w:szCs w:val="24"/>
          <w:lang w:eastAsia="zh-CN"/>
        </w:rPr>
        <w:t>.</w:t>
      </w:r>
      <w:r>
        <w:rPr>
          <w:rFonts w:hint="eastAsia" w:eastAsia="仿宋" w:asciiTheme="minorHAnsi" w:hAnsiTheme="minorHAnsi"/>
          <w:sz w:val="24"/>
          <w:szCs w:val="24"/>
          <w:lang w:eastAsia="zh-CN"/>
        </w:rPr>
        <w:t>评估外部条件假设</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假设国家现行的有关法律法规及政策、国家宏观经济形势无重大变化，本次交易各方所处地区的政治、经济和社会环境无重大变化；假设有关利率、汇率、赋税基准及税率、政策性征收费用、融资条件等不发生重大变化；假设无其他人力不可抗拒因素及不可预见因素造成重大不利影响。</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eastAsia="仿宋" w:asciiTheme="minorHAnsi" w:hAnsiTheme="minorHAnsi"/>
          <w:sz w:val="24"/>
          <w:szCs w:val="24"/>
          <w:lang w:eastAsia="zh-CN"/>
        </w:rPr>
        <w:t>2.</w:t>
      </w:r>
      <w:r>
        <w:rPr>
          <w:rFonts w:hint="eastAsia" w:eastAsia="仿宋" w:asciiTheme="minorHAnsi" w:hAnsiTheme="minorHAnsi"/>
          <w:sz w:val="24"/>
          <w:szCs w:val="24"/>
          <w:lang w:eastAsia="zh-CN"/>
        </w:rPr>
        <w:t>对委托人和相关当事人所提供的评估所必需资料的假设</w:t>
      </w:r>
    </w:p>
    <w:p>
      <w:pPr>
        <w:widowControl w:val="0"/>
        <w:spacing w:before="156" w:beforeLines="50" w:after="0" w:line="240" w:lineRule="auto"/>
        <w:ind w:firstLine="480" w:firstLineChars="200"/>
        <w:jc w:val="both"/>
        <w:rPr>
          <w:rFonts w:eastAsia="仿宋"/>
          <w:sz w:val="24"/>
          <w:lang w:eastAsia="zh-CN"/>
        </w:rPr>
      </w:pPr>
      <w:r>
        <w:rPr>
          <w:rFonts w:hint="eastAsia" w:eastAsia="仿宋" w:asciiTheme="minorHAnsi" w:hAnsiTheme="minorHAnsi"/>
          <w:sz w:val="24"/>
          <w:szCs w:val="24"/>
          <w:lang w:eastAsia="zh-CN"/>
        </w:rPr>
        <w:t>假设委托人和相关当事人（指依照国家有关法律法规、评估准则等之相关规定和评估目的所对应的经济行为的要求，负有提供评估所必需资料的责任和义务的单位及其工作职员，包括但不限于：评估对象的产权持有人或其实际控制人及其关联方，与评估对象及其对应的评估范围内的资产相关的实际占有者、使用人、控制者、管理者、债权人、债务人等）所提供的评估所必需资料（包括但不限于与评估对象及其对应评估范围所涵盖的有关资料）是</w:t>
      </w:r>
      <w:r>
        <w:rPr>
          <w:rFonts w:hint="eastAsia" w:eastAsia="仿宋"/>
          <w:sz w:val="24"/>
          <w:lang w:eastAsia="zh-CN"/>
        </w:rPr>
        <w:t>真实的、完整的、合法的和有效的。</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本次评估在很大程度上依赖委托人和相关当事人所提供的有关本次评估所必需的资料。尽管委托人和相关当事人已向本公司承诺其所提供的资料是</w:t>
      </w:r>
      <w:r>
        <w:rPr>
          <w:rFonts w:hint="eastAsia" w:eastAsia="仿宋"/>
          <w:sz w:val="24"/>
          <w:lang w:eastAsia="zh-CN"/>
        </w:rPr>
        <w:t>真实的、完整的、合法的和有效的，且本公司评估专业人员在现场调查过程中已采取包括观察、询问、实地调查等方式进行了我们认为适当的抽查验证并在本资产评估报告中对相关情况进行了说明，但并不代表我们</w:t>
      </w:r>
      <w:r>
        <w:rPr>
          <w:rFonts w:hint="eastAsia" w:eastAsia="仿宋" w:asciiTheme="minorHAnsi" w:hAnsiTheme="minorHAnsi"/>
          <w:sz w:val="24"/>
          <w:szCs w:val="24"/>
          <w:lang w:eastAsia="zh-CN"/>
        </w:rPr>
        <w:t>对其准确性作出任何保证。</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3</w:t>
      </w:r>
      <w:r>
        <w:rPr>
          <w:rFonts w:eastAsia="仿宋" w:asciiTheme="minorHAnsi" w:hAnsiTheme="minorHAnsi"/>
          <w:sz w:val="24"/>
          <w:szCs w:val="24"/>
          <w:lang w:eastAsia="zh-CN"/>
        </w:rPr>
        <w:t>.</w:t>
      </w:r>
      <w:r>
        <w:rPr>
          <w:rFonts w:hint="eastAsia" w:eastAsia="仿宋" w:asciiTheme="minorHAnsi" w:hAnsiTheme="minorHAnsi"/>
          <w:sz w:val="24"/>
          <w:szCs w:val="24"/>
          <w:lang w:eastAsia="zh-CN"/>
        </w:rPr>
        <w:t>对从与委托人和相关当事人以外的其他方面所获取的资料的假设</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假设本次评估从与委托人和相关当事人以外的其他方面所获取的资料能够合理反映相应的市场交易逻辑，或市场交易行情，或市场运行状况，或市场发展趋势等。对本次评估引用的与价格相关的标准、参数等，我们均在本资产评估报告中进行了如实披露。</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4</w:t>
      </w:r>
      <w:r>
        <w:rPr>
          <w:rFonts w:eastAsia="仿宋" w:asciiTheme="minorHAnsi" w:hAnsiTheme="minorHAnsi"/>
          <w:sz w:val="24"/>
          <w:szCs w:val="24"/>
          <w:lang w:eastAsia="zh-CN"/>
        </w:rPr>
        <w:t>.</w:t>
      </w:r>
      <w:r>
        <w:rPr>
          <w:rFonts w:hint="eastAsia" w:eastAsia="仿宋" w:asciiTheme="minorHAnsi" w:hAnsiTheme="minorHAnsi"/>
          <w:sz w:val="24"/>
          <w:szCs w:val="24"/>
          <w:lang w:eastAsia="zh-CN"/>
        </w:rPr>
        <w:t>有关评估对象及与其相关的重要资产的法律权属的假设</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除本资产评估报告中另有陈述、描述和考虑外，评估对象及所有被评估资产的取得、使用、持有等均被假设符合国家法律、法规和规范性文件的规定，即其法律权属是明确的。</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本次评估是对评估对象价值进行估算并发表专业意见，对评估对象及所有被评估资产的法律权属确认或者发表意见超出资产评估专业人员的执业范围。我们不对评估对象及所有被评估资产的法律权属提供任何保证。</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eastAsia="仿宋" w:asciiTheme="minorHAnsi" w:hAnsiTheme="minorHAnsi"/>
          <w:sz w:val="24"/>
          <w:szCs w:val="24"/>
          <w:lang w:eastAsia="zh-CN"/>
        </w:rPr>
        <w:t>5.</w:t>
      </w:r>
      <w:r>
        <w:rPr>
          <w:rFonts w:hint="eastAsia" w:eastAsia="仿宋" w:asciiTheme="minorHAnsi" w:hAnsiTheme="minorHAnsi"/>
          <w:sz w:val="24"/>
          <w:szCs w:val="24"/>
          <w:lang w:eastAsia="zh-CN"/>
        </w:rPr>
        <w:t>其他假设条件</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w:t>
      </w:r>
      <w:r>
        <w:rPr>
          <w:rFonts w:eastAsia="仿宋" w:asciiTheme="minorHAnsi" w:hAnsiTheme="minorHAnsi"/>
          <w:sz w:val="24"/>
          <w:szCs w:val="24"/>
          <w:lang w:eastAsia="zh-CN"/>
        </w:rPr>
        <w:t>1)</w:t>
      </w:r>
      <w:r>
        <w:rPr>
          <w:rFonts w:hint="eastAsia" w:eastAsia="仿宋" w:asciiTheme="minorHAnsi" w:hAnsiTheme="minorHAnsi"/>
          <w:sz w:val="24"/>
          <w:szCs w:val="24"/>
          <w:lang w:eastAsia="zh-CN"/>
        </w:rPr>
        <w:t>除在本资产评估报告中另有说明外，以下情况均被假设处在正常状态下：①所有不可见或不便观察的资产或资产的某一部分如埋藏在地下的建筑物基础和管网等资产均被认为是正常的；②所有实物资产的内部结构、性能、品质、性状、功能等均被假设是正常的；③所有被评估资产均被假设是符合法律或专业规范等要求而记录、保管、存放等，因而其是处在安全、经济、可靠的环境之下，其可能存在的危险因素均未列于本次评估的考虑范围。</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尽管我们实施的评估程序已经包括了对被评估资产的现场调查，这种调查工作仅限于对被评估资产可见部分的观察，以及相关管理、使用、维护记录之抽查和有限了解等。我们并不具备了解任何实体资产内部结构、物质性状、安全可靠等专业知识之能力，也没有资格对这些内容进行检测、检验或表达意见。</w:t>
      </w:r>
    </w:p>
    <w:p>
      <w:pPr>
        <w:widowControl w:val="0"/>
        <w:numPr>
          <w:ilvl w:val="0"/>
          <w:numId w:val="1"/>
        </w:numPr>
        <w:spacing w:before="156" w:beforeLines="50" w:after="0" w:line="240" w:lineRule="auto"/>
        <w:ind w:firstLine="480" w:firstLineChars="200"/>
        <w:jc w:val="both"/>
        <w:rPr>
          <w:rFonts w:hint="eastAsia" w:eastAsia="仿宋" w:asciiTheme="minorHAnsi" w:hAnsiTheme="minorHAnsi"/>
          <w:sz w:val="24"/>
          <w:szCs w:val="24"/>
          <w:lang w:eastAsia="zh-CN"/>
        </w:rPr>
      </w:pPr>
      <w:r>
        <w:rPr>
          <w:rFonts w:hint="eastAsia" w:eastAsia="仿宋" w:asciiTheme="minorHAnsi" w:hAnsiTheme="minorHAnsi"/>
          <w:sz w:val="24"/>
          <w:szCs w:val="24"/>
          <w:lang w:eastAsia="zh-CN"/>
        </w:rPr>
        <w:t>本次评估结果是假设委托人在处置资产时能正常办理评估对象的产权转移手续，且在办理产权转移手续时除正常缴费外，不会发生支付罚款、违约金等非正常支出。</w:t>
      </w:r>
    </w:p>
    <w:p>
      <w:pPr>
        <w:pStyle w:val="3"/>
        <w:keepNext/>
        <w:keepLines/>
        <w:pageBreakBefore w:val="0"/>
        <w:widowControl/>
        <w:kinsoku/>
        <w:wordWrap/>
        <w:overflowPunct/>
        <w:topLinePunct w:val="0"/>
        <w:autoSpaceDE/>
        <w:autoSpaceDN/>
        <w:bidi w:val="0"/>
        <w:adjustRightInd/>
        <w:snapToGrid/>
        <w:spacing w:before="156" w:beforeLines="50" w:line="480" w:lineRule="exact"/>
        <w:ind w:firstLine="482" w:firstLineChars="200"/>
        <w:jc w:val="both"/>
        <w:textAlignment w:val="auto"/>
        <w:rPr>
          <w:rFonts w:eastAsia="仿宋" w:asciiTheme="minorHAnsi" w:hAnsiTheme="minorHAnsi"/>
          <w:sz w:val="24"/>
          <w:szCs w:val="24"/>
          <w:lang w:eastAsia="zh-CN"/>
        </w:rPr>
      </w:pPr>
      <w:bookmarkStart w:id="36" w:name="_Toc447125219"/>
      <w:bookmarkStart w:id="37" w:name="_Toc502866378"/>
      <w:r>
        <w:rPr>
          <w:rFonts w:hint="eastAsia" w:eastAsia="仿宋" w:asciiTheme="minorHAnsi" w:hAnsiTheme="minorHAnsi"/>
          <w:sz w:val="24"/>
          <w:szCs w:val="24"/>
          <w:lang w:eastAsia="zh-CN"/>
        </w:rPr>
        <w:t>十、评估结论</w:t>
      </w:r>
      <w:bookmarkEnd w:id="36"/>
      <w:bookmarkEnd w:id="37"/>
    </w:p>
    <w:p>
      <w:pPr>
        <w:keepNext w:val="0"/>
        <w:keepLines/>
        <w:pageBreakBefore w:val="0"/>
        <w:widowControl w:val="0"/>
        <w:kinsoku/>
        <w:wordWrap/>
        <w:overflowPunct/>
        <w:topLinePunct w:val="0"/>
        <w:autoSpaceDE/>
        <w:autoSpaceDN/>
        <w:bidi w:val="0"/>
        <w:adjustRightInd/>
        <w:snapToGrid/>
        <w:spacing w:before="156" w:beforeLines="50" w:after="0" w:line="240" w:lineRule="auto"/>
        <w:ind w:firstLine="480" w:firstLineChars="200"/>
        <w:jc w:val="both"/>
        <w:textAlignment w:val="auto"/>
        <w:rPr>
          <w:rFonts w:eastAsia="仿宋" w:asciiTheme="minorHAnsi" w:hAnsiTheme="minorHAnsi"/>
          <w:sz w:val="24"/>
          <w:szCs w:val="24"/>
          <w:highlight w:val="none"/>
          <w:lang w:eastAsia="zh-CN"/>
        </w:rPr>
      </w:pPr>
      <w:r>
        <w:rPr>
          <w:rFonts w:hint="eastAsia" w:eastAsia="仿宋" w:asciiTheme="minorHAnsi" w:hAnsiTheme="minorHAnsi"/>
          <w:sz w:val="24"/>
          <w:szCs w:val="24"/>
          <w:lang w:eastAsia="zh-CN"/>
        </w:rPr>
        <w:t>我们认为，除评估报告所载明的特别事项说明外，在本报告载明的评估目的、价值类型和评估假设条件下，采用市场法评估</w:t>
      </w:r>
      <w:r>
        <w:rPr>
          <w:rFonts w:hint="eastAsia" w:eastAsia="仿宋" w:asciiTheme="minorHAnsi" w:hAnsiTheme="minorHAnsi"/>
          <w:sz w:val="24"/>
          <w:szCs w:val="24"/>
          <w:highlight w:val="none"/>
          <w:lang w:eastAsia="zh-CN"/>
        </w:rPr>
        <w:t>的衡阳市永衡房地产开发有限公司位于衡南县云集镇小商品（一）-2号地（永衡云嶺A栋）108A室商服房地产于评估基准日的市场价值为人民币：</w:t>
      </w:r>
      <w:r>
        <w:rPr>
          <w:rFonts w:hint="eastAsia" w:ascii="Calibri" w:hAnsi="Calibri" w:eastAsia="仿宋" w:cs="Times New Roman"/>
          <w:b/>
          <w:bCs/>
          <w:sz w:val="24"/>
          <w:szCs w:val="24"/>
          <w:highlight w:val="none"/>
          <w:lang w:val="en-US" w:eastAsia="zh-CN"/>
        </w:rPr>
        <w:t>34.61万元（大写：人民币</w:t>
      </w:r>
      <w:r>
        <w:rPr>
          <w:rFonts w:hint="eastAsia" w:ascii="Calibri" w:hAnsi="Calibri" w:eastAsia="仿宋" w:cs="Times New Roman"/>
          <w:b/>
          <w:bCs/>
          <w:sz w:val="24"/>
          <w:szCs w:val="24"/>
          <w:highlight w:val="none"/>
          <w:lang w:val="en-US" w:eastAsia="zh-CN"/>
        </w:rPr>
        <w:fldChar w:fldCharType="begin"/>
      </w:r>
      <w:r>
        <w:rPr>
          <w:rFonts w:hint="eastAsia" w:ascii="Calibri" w:hAnsi="Calibri" w:eastAsia="仿宋" w:cs="Times New Roman"/>
          <w:b/>
          <w:bCs/>
          <w:sz w:val="24"/>
          <w:szCs w:val="24"/>
          <w:highlight w:val="none"/>
          <w:lang w:val="en-US" w:eastAsia="zh-CN"/>
        </w:rPr>
        <w:instrText xml:space="preserve"> = 285100 \* CHINESENUM4 \* MERGEFORMAT </w:instrText>
      </w:r>
      <w:r>
        <w:rPr>
          <w:rFonts w:hint="eastAsia" w:ascii="Calibri" w:hAnsi="Calibri" w:eastAsia="仿宋" w:cs="Times New Roman"/>
          <w:b/>
          <w:bCs/>
          <w:sz w:val="24"/>
          <w:szCs w:val="24"/>
          <w:highlight w:val="none"/>
          <w:lang w:val="en-US" w:eastAsia="zh-CN"/>
        </w:rPr>
        <w:fldChar w:fldCharType="separate"/>
      </w:r>
      <w:r>
        <w:rPr>
          <w:rFonts w:hint="eastAsia" w:ascii="Calibri" w:hAnsi="Calibri" w:eastAsia="仿宋" w:cs="Times New Roman"/>
          <w:b/>
          <w:bCs/>
          <w:sz w:val="24"/>
          <w:szCs w:val="24"/>
          <w:highlight w:val="none"/>
          <w:lang w:val="en-US" w:eastAsia="zh-CN"/>
        </w:rPr>
        <w:t>叁拾肆万陆仟壹佰</w:t>
      </w:r>
      <w:r>
        <w:rPr>
          <w:rFonts w:hint="eastAsia" w:ascii="Calibri" w:hAnsi="Calibri" w:eastAsia="仿宋" w:cs="Times New Roman"/>
          <w:b/>
          <w:bCs/>
          <w:sz w:val="24"/>
          <w:szCs w:val="24"/>
          <w:highlight w:val="none"/>
          <w:lang w:val="en-US" w:eastAsia="zh-CN"/>
        </w:rPr>
        <w:fldChar w:fldCharType="end"/>
      </w:r>
      <w:r>
        <w:rPr>
          <w:rFonts w:hint="eastAsia" w:ascii="Calibri" w:hAnsi="Calibri" w:eastAsia="仿宋" w:cs="Times New Roman"/>
          <w:b/>
          <w:bCs/>
          <w:sz w:val="24"/>
          <w:szCs w:val="24"/>
          <w:highlight w:val="none"/>
          <w:lang w:val="en-US" w:eastAsia="zh-CN"/>
        </w:rPr>
        <w:t>元整）</w:t>
      </w:r>
      <w:r>
        <w:rPr>
          <w:rFonts w:hint="eastAsia" w:eastAsia="仿宋" w:asciiTheme="minorHAnsi" w:hAnsiTheme="minorHAnsi"/>
          <w:sz w:val="24"/>
          <w:szCs w:val="24"/>
          <w:highlight w:val="none"/>
          <w:lang w:eastAsia="zh-CN"/>
        </w:rPr>
        <w:t>。评估结果如表10.1所示。</w:t>
      </w:r>
    </w:p>
    <w:p>
      <w:pPr>
        <w:keepNext/>
        <w:widowControl w:val="0"/>
        <w:spacing w:before="156" w:beforeLines="50" w:after="0" w:line="240" w:lineRule="auto"/>
        <w:ind w:firstLine="440" w:firstLineChars="200"/>
        <w:jc w:val="center"/>
        <w:rPr>
          <w:rFonts w:ascii="Calibri" w:hAnsi="Calibri" w:eastAsia="仿宋"/>
          <w:highlight w:val="none"/>
          <w:lang w:eastAsia="zh-CN"/>
        </w:rPr>
      </w:pPr>
      <w:r>
        <w:rPr>
          <w:rFonts w:hint="eastAsia" w:ascii="Calibri" w:hAnsi="Calibri" w:eastAsia="仿宋"/>
          <w:highlight w:val="none"/>
          <w:lang w:eastAsia="zh-CN"/>
        </w:rPr>
        <w:t>表10.1 资产评估结果汇总表</w:t>
      </w:r>
    </w:p>
    <w:p>
      <w:pPr>
        <w:widowControl w:val="0"/>
        <w:spacing w:before="156" w:beforeLines="50" w:after="0" w:line="240" w:lineRule="auto"/>
        <w:jc w:val="both"/>
        <w:rPr>
          <w:rFonts w:ascii="Calibri" w:hAnsi="Calibri" w:eastAsia="仿宋"/>
          <w:sz w:val="24"/>
          <w:szCs w:val="24"/>
          <w:highlight w:val="none"/>
          <w:lang w:eastAsia="zh-CN"/>
        </w:rPr>
      </w:pPr>
      <w:r>
        <w:rPr>
          <w:rFonts w:hint="eastAsia" w:ascii="Calibri" w:hAnsi="Calibri" w:eastAsia="仿宋"/>
          <w:highlight w:val="none"/>
          <w:lang w:eastAsia="zh-CN"/>
        </w:rPr>
        <w:t>评估基准日：2022年8月30日</w:t>
      </w:r>
      <w:r>
        <w:rPr>
          <w:rFonts w:hint="eastAsia" w:ascii="Calibri" w:hAnsi="Calibri" w:eastAsia="仿宋"/>
          <w:highlight w:val="none"/>
          <w:lang w:eastAsia="zh-CN"/>
        </w:rPr>
        <w:tab/>
      </w:r>
      <w:r>
        <w:rPr>
          <w:rFonts w:hint="eastAsia" w:ascii="Calibri" w:hAnsi="Calibri" w:eastAsia="仿宋"/>
          <w:sz w:val="24"/>
          <w:szCs w:val="24"/>
          <w:highlight w:val="none"/>
          <w:lang w:eastAsia="zh-CN"/>
        </w:rPr>
        <w:tab/>
      </w:r>
      <w:r>
        <w:rPr>
          <w:rFonts w:hint="eastAsia" w:ascii="Calibri" w:hAnsi="Calibri" w:eastAsia="仿宋"/>
          <w:sz w:val="24"/>
          <w:szCs w:val="24"/>
          <w:highlight w:val="none"/>
          <w:lang w:eastAsia="zh-CN"/>
        </w:rPr>
        <w:tab/>
      </w:r>
      <w:r>
        <w:rPr>
          <w:rFonts w:hint="eastAsia" w:ascii="Calibri" w:hAnsi="Calibri" w:eastAsia="仿宋"/>
          <w:sz w:val="24"/>
          <w:szCs w:val="24"/>
          <w:highlight w:val="none"/>
          <w:lang w:eastAsia="zh-CN"/>
        </w:rPr>
        <w:tab/>
      </w:r>
      <w:r>
        <w:rPr>
          <w:rFonts w:hint="eastAsia" w:ascii="Calibri" w:hAnsi="Calibri" w:eastAsia="仿宋"/>
          <w:sz w:val="24"/>
          <w:szCs w:val="24"/>
          <w:highlight w:val="none"/>
          <w:lang w:eastAsia="zh-CN"/>
        </w:rPr>
        <w:tab/>
      </w:r>
      <w:r>
        <w:rPr>
          <w:rFonts w:hint="eastAsia" w:ascii="Calibri" w:hAnsi="Calibri" w:eastAsia="仿宋"/>
          <w:sz w:val="24"/>
          <w:szCs w:val="24"/>
          <w:highlight w:val="none"/>
          <w:lang w:eastAsia="zh-CN"/>
        </w:rPr>
        <w:tab/>
      </w:r>
      <w:r>
        <w:rPr>
          <w:rFonts w:hint="eastAsia" w:ascii="Calibri" w:hAnsi="Calibri" w:eastAsia="仿宋"/>
          <w:sz w:val="24"/>
          <w:szCs w:val="24"/>
          <w:highlight w:val="none"/>
          <w:lang w:eastAsia="zh-CN"/>
        </w:rPr>
        <w:t xml:space="preserve">         </w:t>
      </w:r>
      <w:r>
        <w:rPr>
          <w:rFonts w:hint="eastAsia" w:ascii="Calibri" w:hAnsi="Calibri" w:eastAsia="仿宋"/>
          <w:sz w:val="18"/>
          <w:szCs w:val="18"/>
          <w:highlight w:val="none"/>
          <w:lang w:eastAsia="zh-CN"/>
        </w:rPr>
        <w:t>金额单位：人民币万元</w:t>
      </w:r>
    </w:p>
    <w:tbl>
      <w:tblPr>
        <w:tblStyle w:val="15"/>
        <w:tblW w:w="8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965"/>
        <w:gridCol w:w="1199"/>
        <w:gridCol w:w="760"/>
        <w:gridCol w:w="776"/>
        <w:gridCol w:w="936"/>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vMerge w:val="restart"/>
            <w:tcBorders>
              <w:tl2br w:val="nil"/>
              <w:tr2bl w:val="nil"/>
            </w:tcBorders>
            <w:vAlign w:val="center"/>
          </w:tcPr>
          <w:p>
            <w:pPr>
              <w:spacing w:after="0" w:line="240" w:lineRule="auto"/>
              <w:jc w:val="center"/>
              <w:rPr>
                <w:rFonts w:ascii="Calibri" w:hAnsi="Calibri" w:eastAsia="仿宋" w:cs="Calibri"/>
                <w:sz w:val="18"/>
                <w:szCs w:val="18"/>
                <w:highlight w:val="none"/>
                <w:lang w:eastAsia="zh-CN"/>
              </w:rPr>
            </w:pPr>
            <w:r>
              <w:rPr>
                <w:rFonts w:hint="eastAsia" w:ascii="Calibri" w:hAnsi="Calibri" w:eastAsia="仿宋" w:cs="Calibri"/>
                <w:sz w:val="18"/>
                <w:szCs w:val="18"/>
                <w:highlight w:val="none"/>
                <w:lang w:eastAsia="zh-CN"/>
              </w:rPr>
              <w:t>序号</w:t>
            </w:r>
          </w:p>
        </w:tc>
        <w:tc>
          <w:tcPr>
            <w:tcW w:w="2965" w:type="dxa"/>
            <w:vMerge w:val="restart"/>
            <w:tcBorders>
              <w:tl2br w:val="nil"/>
              <w:tr2bl w:val="nil"/>
            </w:tcBorders>
            <w:vAlign w:val="center"/>
          </w:tcPr>
          <w:p>
            <w:pPr>
              <w:spacing w:after="0" w:line="240" w:lineRule="auto"/>
              <w:jc w:val="center"/>
              <w:rPr>
                <w:rFonts w:ascii="Calibri" w:hAnsi="Calibri" w:eastAsia="仿宋" w:cs="Calibri"/>
                <w:sz w:val="18"/>
                <w:szCs w:val="18"/>
                <w:highlight w:val="none"/>
                <w:lang w:eastAsia="zh-CN"/>
              </w:rPr>
            </w:pPr>
            <w:r>
              <w:rPr>
                <w:rFonts w:hint="eastAsia" w:ascii="Calibri" w:hAnsi="Calibri" w:eastAsia="仿宋" w:cs="Calibri"/>
                <w:sz w:val="18"/>
                <w:szCs w:val="18"/>
                <w:highlight w:val="none"/>
                <w:lang w:eastAsia="zh-CN"/>
              </w:rPr>
              <w:t>房地坐落位置</w:t>
            </w:r>
          </w:p>
        </w:tc>
        <w:tc>
          <w:tcPr>
            <w:tcW w:w="1199" w:type="dxa"/>
            <w:vMerge w:val="restart"/>
            <w:tcBorders>
              <w:tl2br w:val="nil"/>
              <w:tr2bl w:val="nil"/>
            </w:tcBorders>
            <w:vAlign w:val="center"/>
          </w:tcPr>
          <w:p>
            <w:pPr>
              <w:spacing w:after="0" w:line="240" w:lineRule="auto"/>
              <w:jc w:val="center"/>
              <w:rPr>
                <w:rFonts w:ascii="Calibri" w:hAnsi="Calibri" w:eastAsia="仿宋" w:cs="Calibri"/>
                <w:sz w:val="18"/>
                <w:szCs w:val="18"/>
                <w:highlight w:val="none"/>
                <w:lang w:eastAsia="zh-CN"/>
              </w:rPr>
            </w:pPr>
            <w:r>
              <w:rPr>
                <w:rFonts w:hint="eastAsia" w:ascii="Calibri" w:hAnsi="Calibri" w:eastAsia="仿宋" w:cs="Calibri"/>
                <w:sz w:val="18"/>
                <w:szCs w:val="18"/>
                <w:highlight w:val="none"/>
                <w:lang w:eastAsia="zh-CN"/>
              </w:rPr>
              <w:t>所在层</w:t>
            </w:r>
            <w:r>
              <w:rPr>
                <w:rFonts w:hint="eastAsia" w:ascii="Calibri" w:hAnsi="Calibri" w:eastAsia="仿宋" w:cs="Calibri"/>
                <w:sz w:val="18"/>
                <w:szCs w:val="18"/>
                <w:highlight w:val="none"/>
                <w:lang w:eastAsia="zh-CN"/>
              </w:rPr>
              <w:br w:type="textWrapping"/>
            </w:r>
            <w:r>
              <w:rPr>
                <w:rFonts w:hint="eastAsia" w:ascii="Calibri" w:hAnsi="Calibri" w:eastAsia="仿宋" w:cs="Calibri"/>
                <w:sz w:val="18"/>
                <w:szCs w:val="18"/>
                <w:highlight w:val="none"/>
                <w:lang w:eastAsia="zh-CN"/>
              </w:rPr>
              <w:t>/总层数</w:t>
            </w:r>
          </w:p>
        </w:tc>
        <w:tc>
          <w:tcPr>
            <w:tcW w:w="760" w:type="dxa"/>
            <w:vMerge w:val="restart"/>
            <w:tcBorders>
              <w:tl2br w:val="nil"/>
              <w:tr2bl w:val="nil"/>
            </w:tcBorders>
            <w:vAlign w:val="center"/>
          </w:tcPr>
          <w:p>
            <w:pPr>
              <w:spacing w:after="0" w:line="240" w:lineRule="auto"/>
              <w:jc w:val="center"/>
              <w:rPr>
                <w:rFonts w:hint="eastAsia" w:ascii="Calibri" w:hAnsi="Calibri" w:eastAsia="仿宋" w:cs="Calibri"/>
                <w:sz w:val="18"/>
                <w:szCs w:val="18"/>
                <w:highlight w:val="none"/>
                <w:lang w:eastAsia="zh-CN"/>
              </w:rPr>
            </w:pPr>
            <w:r>
              <w:rPr>
                <w:rFonts w:hint="eastAsia" w:ascii="Calibri" w:hAnsi="Calibri" w:eastAsia="仿宋" w:cs="Calibri"/>
                <w:sz w:val="18"/>
                <w:szCs w:val="18"/>
                <w:highlight w:val="none"/>
                <w:lang w:eastAsia="zh-CN"/>
              </w:rPr>
              <w:t>结构</w:t>
            </w:r>
          </w:p>
        </w:tc>
        <w:tc>
          <w:tcPr>
            <w:tcW w:w="776" w:type="dxa"/>
            <w:vMerge w:val="restart"/>
            <w:tcBorders>
              <w:tl2br w:val="nil"/>
              <w:tr2bl w:val="nil"/>
            </w:tcBorders>
            <w:vAlign w:val="center"/>
          </w:tcPr>
          <w:p>
            <w:pPr>
              <w:spacing w:after="0" w:line="240" w:lineRule="auto"/>
              <w:jc w:val="center"/>
              <w:rPr>
                <w:rFonts w:hint="eastAsia" w:ascii="Calibri" w:hAnsi="Calibri" w:eastAsia="仿宋" w:cs="Calibri"/>
                <w:sz w:val="18"/>
                <w:szCs w:val="18"/>
                <w:highlight w:val="none"/>
                <w:lang w:eastAsia="zh-CN"/>
              </w:rPr>
            </w:pPr>
            <w:r>
              <w:rPr>
                <w:rFonts w:hint="eastAsia" w:ascii="Calibri" w:hAnsi="Calibri" w:eastAsia="仿宋" w:cs="Calibri"/>
                <w:sz w:val="18"/>
                <w:szCs w:val="18"/>
                <w:highlight w:val="none"/>
                <w:lang w:eastAsia="zh-CN"/>
              </w:rPr>
              <w:t>用途</w:t>
            </w:r>
          </w:p>
        </w:tc>
        <w:tc>
          <w:tcPr>
            <w:tcW w:w="936" w:type="dxa"/>
            <w:tcBorders>
              <w:tl2br w:val="nil"/>
              <w:tr2bl w:val="nil"/>
            </w:tcBorders>
            <w:vAlign w:val="center"/>
          </w:tcPr>
          <w:p>
            <w:pPr>
              <w:spacing w:after="0" w:line="240" w:lineRule="auto"/>
              <w:jc w:val="center"/>
              <w:rPr>
                <w:rFonts w:ascii="Calibri" w:hAnsi="Calibri" w:eastAsia="仿宋" w:cs="Calibri"/>
                <w:sz w:val="18"/>
                <w:szCs w:val="18"/>
                <w:highlight w:val="none"/>
                <w:lang w:eastAsia="zh-CN"/>
              </w:rPr>
            </w:pPr>
            <w:r>
              <w:rPr>
                <w:rFonts w:hint="eastAsia" w:ascii="Calibri" w:hAnsi="Calibri" w:eastAsia="仿宋" w:cs="Calibri"/>
                <w:sz w:val="18"/>
                <w:szCs w:val="18"/>
                <w:highlight w:val="none"/>
                <w:lang w:eastAsia="zh-CN"/>
              </w:rPr>
              <w:t>建筑面积</w:t>
            </w:r>
          </w:p>
        </w:tc>
        <w:tc>
          <w:tcPr>
            <w:tcW w:w="951" w:type="dxa"/>
            <w:tcBorders>
              <w:tl2br w:val="nil"/>
              <w:tr2bl w:val="nil"/>
            </w:tcBorders>
            <w:vAlign w:val="center"/>
          </w:tcPr>
          <w:p>
            <w:pPr>
              <w:spacing w:after="0" w:line="240" w:lineRule="auto"/>
              <w:jc w:val="center"/>
              <w:rPr>
                <w:rFonts w:ascii="Calibri" w:hAnsi="Calibri" w:eastAsia="仿宋" w:cs="Calibri"/>
                <w:sz w:val="18"/>
                <w:szCs w:val="18"/>
                <w:highlight w:val="none"/>
                <w:lang w:eastAsia="zh-CN"/>
              </w:rPr>
            </w:pPr>
            <w:r>
              <w:rPr>
                <w:rFonts w:hint="eastAsia" w:ascii="Calibri" w:hAnsi="Calibri" w:eastAsia="仿宋" w:cs="Calibri"/>
                <w:sz w:val="18"/>
                <w:szCs w:val="18"/>
                <w:highlight w:val="none"/>
                <w:lang w:eastAsia="zh-CN"/>
              </w:rPr>
              <w:t>评估价值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vMerge w:val="continue"/>
            <w:tcBorders>
              <w:tl2br w:val="nil"/>
              <w:tr2bl w:val="nil"/>
            </w:tcBorders>
            <w:vAlign w:val="center"/>
          </w:tcPr>
          <w:p>
            <w:pPr>
              <w:spacing w:after="0" w:line="240" w:lineRule="auto"/>
              <w:jc w:val="center"/>
              <w:rPr>
                <w:rFonts w:ascii="Calibri" w:hAnsi="Calibri" w:eastAsia="仿宋" w:cs="Calibri"/>
                <w:sz w:val="18"/>
                <w:szCs w:val="18"/>
                <w:highlight w:val="none"/>
              </w:rPr>
            </w:pPr>
          </w:p>
        </w:tc>
        <w:tc>
          <w:tcPr>
            <w:tcW w:w="2965" w:type="dxa"/>
            <w:vMerge w:val="continue"/>
            <w:tcBorders>
              <w:tl2br w:val="nil"/>
              <w:tr2bl w:val="nil"/>
            </w:tcBorders>
            <w:vAlign w:val="center"/>
          </w:tcPr>
          <w:p>
            <w:pPr>
              <w:spacing w:after="0" w:line="240" w:lineRule="auto"/>
              <w:jc w:val="center"/>
              <w:rPr>
                <w:rFonts w:ascii="Calibri" w:hAnsi="Calibri" w:eastAsia="仿宋" w:cs="Calibri"/>
                <w:sz w:val="18"/>
                <w:szCs w:val="18"/>
                <w:highlight w:val="none"/>
                <w:lang w:eastAsia="zh-CN"/>
              </w:rPr>
            </w:pPr>
          </w:p>
        </w:tc>
        <w:tc>
          <w:tcPr>
            <w:tcW w:w="1199" w:type="dxa"/>
            <w:vMerge w:val="continue"/>
            <w:tcBorders>
              <w:tl2br w:val="nil"/>
              <w:tr2bl w:val="nil"/>
            </w:tcBorders>
            <w:vAlign w:val="center"/>
          </w:tcPr>
          <w:p>
            <w:pPr>
              <w:spacing w:after="0" w:line="240" w:lineRule="auto"/>
              <w:jc w:val="center"/>
              <w:rPr>
                <w:rFonts w:ascii="Calibri" w:hAnsi="Calibri" w:eastAsia="仿宋" w:cs="Calibri"/>
                <w:sz w:val="18"/>
                <w:szCs w:val="18"/>
                <w:highlight w:val="none"/>
                <w:lang w:eastAsia="zh-CN"/>
              </w:rPr>
            </w:pPr>
          </w:p>
        </w:tc>
        <w:tc>
          <w:tcPr>
            <w:tcW w:w="760" w:type="dxa"/>
            <w:vMerge w:val="continue"/>
            <w:tcBorders>
              <w:tl2br w:val="nil"/>
              <w:tr2bl w:val="nil"/>
            </w:tcBorders>
            <w:vAlign w:val="center"/>
          </w:tcPr>
          <w:p>
            <w:pPr>
              <w:spacing w:after="0" w:line="240" w:lineRule="auto"/>
              <w:jc w:val="center"/>
              <w:rPr>
                <w:rFonts w:hint="eastAsia" w:ascii="Calibri" w:hAnsi="Calibri" w:eastAsia="仿宋" w:cs="Calibri"/>
                <w:sz w:val="18"/>
                <w:szCs w:val="18"/>
                <w:highlight w:val="none"/>
                <w:lang w:eastAsia="zh-CN"/>
              </w:rPr>
            </w:pPr>
          </w:p>
        </w:tc>
        <w:tc>
          <w:tcPr>
            <w:tcW w:w="776" w:type="dxa"/>
            <w:vMerge w:val="continue"/>
            <w:tcBorders>
              <w:tl2br w:val="nil"/>
              <w:tr2bl w:val="nil"/>
            </w:tcBorders>
            <w:vAlign w:val="center"/>
          </w:tcPr>
          <w:p>
            <w:pPr>
              <w:spacing w:after="0" w:line="240" w:lineRule="auto"/>
              <w:jc w:val="center"/>
              <w:rPr>
                <w:rFonts w:hint="eastAsia" w:ascii="Calibri" w:hAnsi="Calibri" w:eastAsia="仿宋" w:cs="Calibri"/>
                <w:sz w:val="18"/>
                <w:szCs w:val="18"/>
                <w:highlight w:val="none"/>
                <w:lang w:eastAsia="zh-CN"/>
              </w:rPr>
            </w:pPr>
          </w:p>
        </w:tc>
        <w:tc>
          <w:tcPr>
            <w:tcW w:w="936" w:type="dxa"/>
            <w:tcBorders>
              <w:tl2br w:val="nil"/>
              <w:tr2bl w:val="nil"/>
            </w:tcBorders>
            <w:vAlign w:val="center"/>
          </w:tcPr>
          <w:p>
            <w:pPr>
              <w:spacing w:after="0" w:line="240" w:lineRule="auto"/>
              <w:jc w:val="center"/>
              <w:rPr>
                <w:rFonts w:ascii="Calibri" w:hAnsi="Calibri" w:eastAsia="仿宋" w:cs="Calibri"/>
                <w:sz w:val="18"/>
                <w:szCs w:val="18"/>
                <w:highlight w:val="none"/>
                <w:lang w:eastAsia="zh-CN"/>
              </w:rPr>
            </w:pPr>
            <w:r>
              <w:rPr>
                <w:rFonts w:hint="eastAsia" w:ascii="Calibri" w:hAnsi="Calibri" w:eastAsia="仿宋" w:cs="Calibri"/>
                <w:sz w:val="18"/>
                <w:szCs w:val="18"/>
                <w:highlight w:val="none"/>
                <w:lang w:eastAsia="zh-CN"/>
              </w:rPr>
              <w:t>平方米</w:t>
            </w:r>
          </w:p>
        </w:tc>
        <w:tc>
          <w:tcPr>
            <w:tcW w:w="951" w:type="dxa"/>
            <w:tcBorders>
              <w:tl2br w:val="nil"/>
              <w:tr2bl w:val="nil"/>
            </w:tcBorders>
            <w:vAlign w:val="center"/>
          </w:tcPr>
          <w:p>
            <w:pPr>
              <w:spacing w:after="0" w:line="240" w:lineRule="auto"/>
              <w:jc w:val="center"/>
              <w:rPr>
                <w:rFonts w:ascii="Calibri" w:hAnsi="Calibri" w:eastAsia="仿宋" w:cs="Calibri"/>
                <w:sz w:val="18"/>
                <w:szCs w:val="18"/>
                <w:highlight w:val="none"/>
                <w:lang w:eastAsia="zh-CN"/>
              </w:rPr>
            </w:pPr>
            <w:r>
              <w:rPr>
                <w:rFonts w:hint="eastAsia" w:ascii="Calibri" w:hAnsi="Calibri" w:eastAsia="仿宋" w:cs="Calibri"/>
                <w:sz w:val="18"/>
                <w:szCs w:val="18"/>
                <w:highlight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816" w:type="dxa"/>
            <w:tcBorders>
              <w:tl2br w:val="nil"/>
              <w:tr2bl w:val="nil"/>
            </w:tcBorders>
            <w:vAlign w:val="center"/>
          </w:tcPr>
          <w:p>
            <w:pPr>
              <w:spacing w:after="0" w:line="240" w:lineRule="auto"/>
              <w:jc w:val="center"/>
              <w:rPr>
                <w:rFonts w:hint="eastAsia" w:ascii="Calibri" w:hAnsi="Calibri" w:eastAsia="仿宋" w:cs="Calibri"/>
                <w:sz w:val="18"/>
                <w:szCs w:val="18"/>
                <w:highlight w:val="none"/>
                <w:lang w:eastAsia="zh-CN"/>
              </w:rPr>
            </w:pPr>
            <w:r>
              <w:rPr>
                <w:rFonts w:hint="eastAsia" w:ascii="Calibri" w:hAnsi="Calibri" w:eastAsia="仿宋" w:cs="Calibri"/>
                <w:sz w:val="18"/>
                <w:szCs w:val="18"/>
                <w:highlight w:val="none"/>
                <w:lang w:eastAsia="zh-CN"/>
              </w:rPr>
              <w:t>1</w:t>
            </w:r>
          </w:p>
        </w:tc>
        <w:tc>
          <w:tcPr>
            <w:tcW w:w="2965" w:type="dxa"/>
            <w:tcBorders>
              <w:tl2br w:val="nil"/>
              <w:tr2bl w:val="nil"/>
            </w:tcBorders>
            <w:vAlign w:val="center"/>
          </w:tcPr>
          <w:p>
            <w:pPr>
              <w:spacing w:after="0" w:line="240" w:lineRule="auto"/>
              <w:jc w:val="center"/>
              <w:rPr>
                <w:rFonts w:hint="eastAsia" w:ascii="Calibri" w:hAnsi="Calibri" w:eastAsia="仿宋" w:cs="Calibri"/>
                <w:sz w:val="18"/>
                <w:szCs w:val="18"/>
                <w:highlight w:val="none"/>
                <w:lang w:eastAsia="zh-CN"/>
              </w:rPr>
            </w:pPr>
            <w:r>
              <w:rPr>
                <w:rFonts w:hint="eastAsia" w:ascii="Calibri" w:hAnsi="Calibri" w:eastAsia="仿宋" w:cs="Calibri"/>
                <w:sz w:val="18"/>
                <w:szCs w:val="18"/>
                <w:highlight w:val="none"/>
                <w:lang w:eastAsia="zh-CN"/>
              </w:rPr>
              <w:t>衡南县云集镇小商品（一）-2号地（永衡云嶺A栋）108A室</w:t>
            </w:r>
          </w:p>
        </w:tc>
        <w:tc>
          <w:tcPr>
            <w:tcW w:w="1199" w:type="dxa"/>
            <w:tcBorders>
              <w:tl2br w:val="nil"/>
              <w:tr2bl w:val="nil"/>
            </w:tcBorders>
            <w:vAlign w:val="center"/>
          </w:tcPr>
          <w:p>
            <w:pPr>
              <w:spacing w:after="0" w:line="240" w:lineRule="auto"/>
              <w:jc w:val="center"/>
              <w:rPr>
                <w:rFonts w:hint="default" w:ascii="Calibri" w:hAnsi="Calibri" w:eastAsia="仿宋" w:cs="Calibri"/>
                <w:sz w:val="18"/>
                <w:szCs w:val="18"/>
                <w:highlight w:val="none"/>
                <w:lang w:val="en-US" w:eastAsia="zh-CN"/>
              </w:rPr>
            </w:pPr>
            <w:r>
              <w:rPr>
                <w:rFonts w:hint="eastAsia" w:ascii="Calibri" w:hAnsi="Calibri" w:eastAsia="仿宋" w:cs="Calibri"/>
                <w:sz w:val="18"/>
                <w:szCs w:val="18"/>
                <w:highlight w:val="none"/>
                <w:lang w:val="en-US" w:eastAsia="zh-CN"/>
              </w:rPr>
              <w:t>1/18</w:t>
            </w:r>
          </w:p>
        </w:tc>
        <w:tc>
          <w:tcPr>
            <w:tcW w:w="760" w:type="dxa"/>
            <w:tcBorders>
              <w:tl2br w:val="nil"/>
              <w:tr2bl w:val="nil"/>
            </w:tcBorders>
            <w:vAlign w:val="center"/>
          </w:tcPr>
          <w:p>
            <w:pPr>
              <w:spacing w:after="0" w:line="240" w:lineRule="auto"/>
              <w:jc w:val="center"/>
              <w:rPr>
                <w:rFonts w:hint="eastAsia" w:ascii="Calibri" w:hAnsi="Calibri" w:eastAsia="仿宋" w:cs="Calibri"/>
                <w:sz w:val="18"/>
                <w:szCs w:val="18"/>
                <w:highlight w:val="none"/>
                <w:lang w:val="en-US" w:eastAsia="zh-CN"/>
              </w:rPr>
            </w:pPr>
            <w:r>
              <w:rPr>
                <w:rFonts w:hint="eastAsia" w:ascii="Calibri" w:hAnsi="Calibri" w:eastAsia="仿宋" w:cs="Calibri"/>
                <w:sz w:val="18"/>
                <w:szCs w:val="18"/>
                <w:highlight w:val="none"/>
                <w:lang w:val="en-US" w:eastAsia="zh-CN"/>
              </w:rPr>
              <w:t>钢混</w:t>
            </w:r>
          </w:p>
        </w:tc>
        <w:tc>
          <w:tcPr>
            <w:tcW w:w="776" w:type="dxa"/>
            <w:tcBorders>
              <w:tl2br w:val="nil"/>
              <w:tr2bl w:val="nil"/>
            </w:tcBorders>
            <w:vAlign w:val="center"/>
          </w:tcPr>
          <w:p>
            <w:pPr>
              <w:spacing w:after="0" w:line="240" w:lineRule="auto"/>
              <w:jc w:val="center"/>
              <w:rPr>
                <w:rFonts w:hint="eastAsia" w:ascii="Calibri" w:hAnsi="Calibri" w:eastAsia="仿宋" w:cs="Calibri"/>
                <w:sz w:val="18"/>
                <w:szCs w:val="18"/>
                <w:highlight w:val="none"/>
                <w:lang w:val="en-US" w:eastAsia="zh-CN"/>
              </w:rPr>
            </w:pPr>
            <w:r>
              <w:rPr>
                <w:rFonts w:hint="eastAsia" w:ascii="Calibri" w:hAnsi="Calibri" w:eastAsia="仿宋" w:cs="Calibri"/>
                <w:sz w:val="18"/>
                <w:szCs w:val="18"/>
                <w:highlight w:val="none"/>
                <w:lang w:val="en-US" w:eastAsia="zh-CN"/>
              </w:rPr>
              <w:t>商服</w:t>
            </w:r>
          </w:p>
        </w:tc>
        <w:tc>
          <w:tcPr>
            <w:tcW w:w="936" w:type="dxa"/>
            <w:tcBorders>
              <w:tl2br w:val="nil"/>
              <w:tr2bl w:val="nil"/>
            </w:tcBorders>
            <w:vAlign w:val="center"/>
          </w:tcPr>
          <w:p>
            <w:pPr>
              <w:spacing w:after="0" w:line="240" w:lineRule="auto"/>
              <w:jc w:val="center"/>
              <w:rPr>
                <w:rFonts w:hint="default" w:ascii="Calibri" w:hAnsi="Calibri" w:eastAsia="仿宋" w:cs="Calibri"/>
                <w:sz w:val="18"/>
                <w:szCs w:val="18"/>
                <w:highlight w:val="none"/>
                <w:lang w:val="en-US" w:eastAsia="zh-CN"/>
              </w:rPr>
            </w:pPr>
            <w:r>
              <w:rPr>
                <w:rFonts w:hint="eastAsia" w:ascii="Calibri" w:hAnsi="Calibri" w:eastAsia="仿宋" w:cs="Calibri"/>
                <w:sz w:val="18"/>
                <w:szCs w:val="18"/>
                <w:highlight w:val="none"/>
                <w:lang w:val="en-US" w:eastAsia="zh-CN"/>
              </w:rPr>
              <w:t>80.49</w:t>
            </w:r>
          </w:p>
        </w:tc>
        <w:tc>
          <w:tcPr>
            <w:tcW w:w="951" w:type="dxa"/>
            <w:tcBorders>
              <w:tl2br w:val="nil"/>
              <w:tr2bl w:val="nil"/>
            </w:tcBorders>
            <w:vAlign w:val="center"/>
          </w:tcPr>
          <w:p>
            <w:pPr>
              <w:spacing w:after="0" w:line="240" w:lineRule="auto"/>
              <w:jc w:val="center"/>
              <w:rPr>
                <w:rFonts w:hint="default" w:ascii="Calibri" w:hAnsi="Calibri" w:eastAsia="仿宋" w:cs="Calibri"/>
                <w:sz w:val="18"/>
                <w:szCs w:val="18"/>
                <w:highlight w:val="none"/>
                <w:lang w:val="en-US" w:eastAsia="zh-CN"/>
              </w:rPr>
            </w:pPr>
            <w:r>
              <w:rPr>
                <w:rFonts w:hint="eastAsia" w:ascii="Calibri" w:hAnsi="Calibri" w:eastAsia="仿宋" w:cs="Calibri"/>
                <w:sz w:val="18"/>
                <w:szCs w:val="18"/>
                <w:highlight w:val="none"/>
                <w:lang w:val="en-US" w:eastAsia="zh-CN"/>
              </w:rPr>
              <w:t>34.61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16" w:type="dxa"/>
            <w:gridSpan w:val="5"/>
            <w:tcBorders>
              <w:tl2br w:val="nil"/>
              <w:tr2bl w:val="nil"/>
            </w:tcBorders>
            <w:vAlign w:val="center"/>
          </w:tcPr>
          <w:p>
            <w:pPr>
              <w:spacing w:after="0" w:line="240" w:lineRule="auto"/>
              <w:jc w:val="center"/>
              <w:rPr>
                <w:rFonts w:hint="eastAsia" w:ascii="Calibri" w:hAnsi="Calibri" w:eastAsia="仿宋" w:cs="Calibri"/>
                <w:sz w:val="18"/>
                <w:szCs w:val="18"/>
                <w:highlight w:val="none"/>
                <w:lang w:val="en-US" w:eastAsia="zh-CN"/>
              </w:rPr>
            </w:pPr>
            <w:r>
              <w:rPr>
                <w:rFonts w:hint="eastAsia" w:ascii="Calibri" w:hAnsi="Calibri" w:eastAsia="仿宋" w:cs="Calibri"/>
                <w:sz w:val="18"/>
                <w:szCs w:val="18"/>
                <w:highlight w:val="none"/>
                <w:lang w:eastAsia="zh-CN"/>
              </w:rPr>
              <w:t>合计</w:t>
            </w:r>
          </w:p>
        </w:tc>
        <w:tc>
          <w:tcPr>
            <w:tcW w:w="936" w:type="dxa"/>
            <w:tcBorders>
              <w:tl2br w:val="nil"/>
              <w:tr2bl w:val="nil"/>
            </w:tcBorders>
            <w:vAlign w:val="center"/>
          </w:tcPr>
          <w:p>
            <w:pPr>
              <w:spacing w:after="0" w:line="240" w:lineRule="auto"/>
              <w:jc w:val="center"/>
              <w:rPr>
                <w:rFonts w:ascii="Calibri" w:hAnsi="Calibri" w:eastAsia="仿宋" w:cs="Calibri"/>
                <w:sz w:val="18"/>
                <w:szCs w:val="18"/>
                <w:highlight w:val="none"/>
                <w:lang w:eastAsia="zh-CN"/>
              </w:rPr>
            </w:pPr>
            <w:r>
              <w:rPr>
                <w:rFonts w:hint="eastAsia" w:ascii="Calibri" w:hAnsi="Calibri" w:eastAsia="仿宋" w:cs="Calibri"/>
                <w:sz w:val="18"/>
                <w:szCs w:val="18"/>
                <w:highlight w:val="none"/>
                <w:lang w:val="en-US" w:eastAsia="zh-CN"/>
              </w:rPr>
              <w:t>80.49</w:t>
            </w:r>
          </w:p>
        </w:tc>
        <w:tc>
          <w:tcPr>
            <w:tcW w:w="951" w:type="dxa"/>
            <w:tcBorders>
              <w:tl2br w:val="nil"/>
              <w:tr2bl w:val="nil"/>
            </w:tcBorders>
            <w:vAlign w:val="center"/>
          </w:tcPr>
          <w:p>
            <w:pPr>
              <w:spacing w:after="0" w:line="240" w:lineRule="auto"/>
              <w:jc w:val="center"/>
              <w:rPr>
                <w:rFonts w:hint="default" w:ascii="Calibri" w:hAnsi="Calibri" w:eastAsia="仿宋" w:cs="Calibri"/>
                <w:sz w:val="18"/>
                <w:szCs w:val="18"/>
                <w:highlight w:val="none"/>
                <w:lang w:val="en-US" w:eastAsia="zh-CN"/>
              </w:rPr>
            </w:pPr>
            <w:r>
              <w:rPr>
                <w:rFonts w:hint="eastAsia" w:ascii="Calibri" w:hAnsi="Calibri" w:eastAsia="仿宋" w:cs="Calibri"/>
                <w:sz w:val="18"/>
                <w:szCs w:val="18"/>
                <w:highlight w:val="none"/>
                <w:lang w:val="en-US" w:eastAsia="zh-CN"/>
              </w:rPr>
              <w:t>34.61</w:t>
            </w:r>
          </w:p>
        </w:tc>
      </w:tr>
    </w:tbl>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ascii="仿宋" w:hAnsi="仿宋" w:eastAsia="仿宋" w:cs="仿宋"/>
          <w:sz w:val="24"/>
          <w:szCs w:val="24"/>
          <w:highlight w:val="none"/>
          <w:lang w:eastAsia="zh-CN"/>
        </w:rPr>
        <w:t>有关评估结果的详细内容参见资产评估明细表</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eastAsia="zh-CN"/>
        </w:rPr>
        <w:t>本报告评估价值仅包含房地本身的价值和室内不可拆卸的必要部分（如：水、电等）的装修价值，不包含评</w:t>
      </w:r>
      <w:r>
        <w:rPr>
          <w:rFonts w:hint="eastAsia" w:ascii="仿宋" w:hAnsi="仿宋" w:eastAsia="仿宋" w:cs="仿宋"/>
          <w:sz w:val="24"/>
          <w:szCs w:val="24"/>
          <w:lang w:eastAsia="zh-CN"/>
        </w:rPr>
        <w:t>估对象室内的可移动部分（如：家具、家电等）的价值和相关税费的价值</w:t>
      </w:r>
      <w:r>
        <w:rPr>
          <w:rFonts w:hint="eastAsia" w:eastAsia="仿宋" w:asciiTheme="minorHAnsi" w:hAnsiTheme="minorHAnsi"/>
          <w:sz w:val="24"/>
          <w:szCs w:val="24"/>
          <w:lang w:eastAsia="zh-CN"/>
        </w:rPr>
        <w:t>。</w:t>
      </w:r>
    </w:p>
    <w:p>
      <w:pPr>
        <w:pStyle w:val="3"/>
        <w:spacing w:before="156" w:beforeLines="50" w:line="480" w:lineRule="exact"/>
        <w:ind w:firstLine="482" w:firstLineChars="200"/>
        <w:jc w:val="both"/>
        <w:rPr>
          <w:rFonts w:eastAsia="仿宋" w:asciiTheme="minorHAnsi" w:hAnsiTheme="minorHAnsi"/>
          <w:sz w:val="24"/>
          <w:szCs w:val="24"/>
          <w:lang w:eastAsia="zh-CN"/>
        </w:rPr>
      </w:pPr>
      <w:bookmarkStart w:id="38" w:name="_Toc502866379"/>
      <w:bookmarkStart w:id="39" w:name="_Toc447125220"/>
      <w:r>
        <w:rPr>
          <w:rFonts w:hint="eastAsia" w:eastAsia="仿宋" w:asciiTheme="minorHAnsi" w:hAnsiTheme="minorHAnsi"/>
          <w:sz w:val="24"/>
          <w:szCs w:val="24"/>
          <w:lang w:eastAsia="zh-CN"/>
        </w:rPr>
        <w:t>十一、特别事项说明</w:t>
      </w:r>
      <w:bookmarkEnd w:id="38"/>
      <w:bookmarkEnd w:id="39"/>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本资产评估报告所载评估结论仅反映评估对象在本次评估目的、价值类型和评估假设条件下，根据有关经济原则确定的市场价值。我们认为：我们在评估过程中发现的以下事项可能会影响评估结论，但在目前情况下我们无法估计其对评估结果的影响程度。谨提请本资产评估报告使用人对该等特别事项予以关注。</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(一)权属等主要资料不完整或者存在瑕疵的情形</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无。</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(二)未决事项、法律纠纷等不确定因素</w:t>
      </w:r>
    </w:p>
    <w:p>
      <w:pPr>
        <w:widowControl w:val="0"/>
        <w:spacing w:before="156" w:beforeLines="50" w:after="0" w:line="240" w:lineRule="auto"/>
        <w:ind w:firstLine="480" w:firstLineChars="200"/>
        <w:jc w:val="both"/>
        <w:rPr>
          <w:rFonts w:eastAsia="仿宋" w:asciiTheme="minorHAnsi" w:hAnsiTheme="minorHAnsi"/>
          <w:color w:val="auto"/>
          <w:sz w:val="24"/>
          <w:szCs w:val="24"/>
          <w:highlight w:val="none"/>
          <w:lang w:eastAsia="zh-CN"/>
        </w:rPr>
      </w:pPr>
      <w:r>
        <w:rPr>
          <w:rFonts w:hint="eastAsia" w:eastAsia="仿宋" w:asciiTheme="minorHAnsi" w:hAnsiTheme="minorHAnsi"/>
          <w:color w:val="auto"/>
          <w:sz w:val="24"/>
          <w:szCs w:val="24"/>
          <w:highlight w:val="none"/>
          <w:lang w:eastAsia="zh-CN"/>
        </w:rPr>
        <w:t>根据委托人提供的（2022）湘0422法鉴字第75号《湖南省衡南县人民法院司法鉴定委托书》，此次评估对象涉及魏仕生与衡阳市永衡房地产开发有限公司建设工程合同纠纷一案。</w:t>
      </w:r>
    </w:p>
    <w:p>
      <w:pPr>
        <w:widowControl w:val="0"/>
        <w:spacing w:before="156" w:beforeLines="50" w:after="0" w:line="240" w:lineRule="auto"/>
        <w:ind w:firstLine="480" w:firstLineChars="200"/>
        <w:jc w:val="both"/>
        <w:rPr>
          <w:rFonts w:eastAsia="仿宋" w:asciiTheme="minorHAnsi" w:hAnsiTheme="minorHAnsi"/>
          <w:color w:val="auto"/>
          <w:sz w:val="24"/>
          <w:szCs w:val="24"/>
          <w:highlight w:val="none"/>
          <w:lang w:eastAsia="zh-CN"/>
        </w:rPr>
      </w:pPr>
      <w:r>
        <w:rPr>
          <w:rFonts w:hint="eastAsia" w:eastAsia="仿宋" w:asciiTheme="minorHAnsi" w:hAnsiTheme="minorHAnsi"/>
          <w:color w:val="auto"/>
          <w:sz w:val="24"/>
          <w:szCs w:val="24"/>
          <w:highlight w:val="none"/>
          <w:lang w:eastAsia="zh-CN"/>
        </w:rPr>
        <w:t>除上述事项外未发现纳入评估范围的未决事项、或有事项、法律纠纷等不确定因素。</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(三)重要的利用专家工作及相关报告情况</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本次评估未利用专家工作及相关报告。</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(四)重大期后事项</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本次评估未发现纳入评估范围资产的重大期后事项。</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(五)其他事项</w:t>
      </w:r>
    </w:p>
    <w:p>
      <w:pPr>
        <w:widowControl w:val="0"/>
        <w:spacing w:before="156" w:beforeLines="50" w:after="0" w:line="240" w:lineRule="auto"/>
        <w:ind w:firstLine="480" w:firstLineChars="200"/>
        <w:jc w:val="both"/>
        <w:rPr>
          <w:rFonts w:hint="eastAsia" w:eastAsia="仿宋" w:asciiTheme="minorHAnsi" w:hAnsiTheme="minorHAnsi"/>
          <w:sz w:val="24"/>
          <w:szCs w:val="24"/>
          <w:lang w:eastAsia="zh-CN"/>
        </w:rPr>
      </w:pPr>
      <w:r>
        <w:rPr>
          <w:rFonts w:hint="eastAsia" w:eastAsia="仿宋" w:asciiTheme="minorHAnsi" w:hAnsiTheme="minorHAnsi"/>
          <w:sz w:val="24"/>
          <w:szCs w:val="24"/>
          <w:lang w:val="en-US" w:eastAsia="zh-CN"/>
        </w:rPr>
        <w:t>1</w:t>
      </w:r>
      <w:r>
        <w:rPr>
          <w:rFonts w:hint="eastAsia" w:eastAsia="仿宋" w:asciiTheme="minorHAnsi" w:hAnsiTheme="minorHAnsi"/>
          <w:sz w:val="24"/>
          <w:szCs w:val="24"/>
          <w:lang w:eastAsia="zh-CN"/>
        </w:rPr>
        <w:t>本次评估是以产权权属明确不存在纠纷的前提进行的。</w:t>
      </w:r>
    </w:p>
    <w:p>
      <w:pPr>
        <w:widowControl w:val="0"/>
        <w:numPr>
          <w:ilvl w:val="0"/>
          <w:numId w:val="0"/>
        </w:numPr>
        <w:spacing w:before="156" w:beforeLines="50" w:after="0" w:line="240" w:lineRule="auto"/>
        <w:ind w:firstLine="480" w:firstLineChars="200"/>
        <w:jc w:val="both"/>
        <w:rPr>
          <w:rFonts w:hint="eastAsia" w:eastAsia="仿宋" w:asciiTheme="minorHAnsi" w:hAnsiTheme="minorHAnsi"/>
          <w:sz w:val="24"/>
          <w:szCs w:val="24"/>
          <w:lang w:val="en-US" w:eastAsia="zh-CN"/>
        </w:rPr>
      </w:pPr>
      <w:r>
        <w:rPr>
          <w:rFonts w:hint="eastAsia" w:eastAsia="仿宋" w:asciiTheme="minorHAnsi" w:hAnsiTheme="minorHAnsi"/>
          <w:sz w:val="24"/>
          <w:szCs w:val="24"/>
          <w:lang w:val="en-US" w:eastAsia="zh-CN"/>
        </w:rPr>
        <w:t>2.</w:t>
      </w:r>
      <w:r>
        <w:rPr>
          <w:rFonts w:hint="eastAsia" w:eastAsia="仿宋" w:asciiTheme="minorHAnsi" w:hAnsiTheme="minorHAnsi"/>
          <w:sz w:val="24"/>
          <w:szCs w:val="24"/>
          <w:lang w:eastAsia="zh-CN"/>
        </w:rPr>
        <w:t>本次评估我们以相关法律文书（如产权证等）所载数量进行评估。</w:t>
      </w:r>
      <w:r>
        <w:rPr>
          <w:rFonts w:hint="eastAsia" w:eastAsia="仿宋" w:asciiTheme="minorHAnsi" w:hAnsiTheme="minorHAnsi"/>
          <w:sz w:val="24"/>
          <w:szCs w:val="24"/>
          <w:lang w:val="en-US" w:eastAsia="zh-CN"/>
        </w:rPr>
        <w:t xml:space="preserve"> </w:t>
      </w:r>
    </w:p>
    <w:p>
      <w:pPr>
        <w:widowControl w:val="0"/>
        <w:spacing w:before="156" w:beforeLines="50" w:after="0" w:line="240" w:lineRule="auto"/>
        <w:ind w:firstLine="480" w:firstLineChars="200"/>
        <w:jc w:val="both"/>
        <w:rPr>
          <w:rFonts w:hint="eastAsia" w:eastAsia="仿宋" w:asciiTheme="minorHAnsi" w:hAnsiTheme="minorHAnsi"/>
          <w:sz w:val="24"/>
          <w:szCs w:val="24"/>
          <w:lang w:eastAsia="zh-CN"/>
        </w:rPr>
      </w:pPr>
      <w:r>
        <w:rPr>
          <w:rFonts w:hint="eastAsia" w:eastAsia="仿宋" w:asciiTheme="minorHAnsi" w:hAnsiTheme="minorHAnsi"/>
          <w:sz w:val="24"/>
          <w:szCs w:val="24"/>
          <w:lang w:val="en-US" w:eastAsia="zh-CN"/>
        </w:rPr>
        <w:t>3.</w:t>
      </w:r>
      <w:r>
        <w:rPr>
          <w:rFonts w:hint="eastAsia" w:eastAsia="仿宋" w:asciiTheme="minorHAnsi" w:hAnsiTheme="minorHAnsi"/>
          <w:sz w:val="24"/>
          <w:szCs w:val="24"/>
          <w:lang w:eastAsia="zh-CN"/>
        </w:rPr>
        <w:t>本次评估结果未考虑未来处置风险及未来处置所需承担的相关税费。</w:t>
      </w:r>
    </w:p>
    <w:p>
      <w:pPr>
        <w:widowControl w:val="0"/>
        <w:spacing w:before="156" w:beforeLines="50" w:after="0" w:line="240" w:lineRule="auto"/>
        <w:ind w:firstLine="480" w:firstLineChars="200"/>
        <w:jc w:val="both"/>
        <w:rPr>
          <w:rFonts w:hint="eastAsia" w:eastAsia="仿宋" w:asciiTheme="minorHAnsi" w:hAnsiTheme="minorHAnsi"/>
          <w:sz w:val="24"/>
          <w:szCs w:val="24"/>
          <w:lang w:eastAsia="zh-CN"/>
        </w:rPr>
      </w:pPr>
      <w:r>
        <w:rPr>
          <w:rFonts w:hint="eastAsia" w:eastAsia="仿宋" w:asciiTheme="minorHAnsi" w:hAnsiTheme="minorHAnsi"/>
          <w:sz w:val="24"/>
          <w:szCs w:val="24"/>
          <w:lang w:val="en-US" w:eastAsia="zh-CN"/>
        </w:rPr>
        <w:t>4.</w:t>
      </w:r>
      <w:r>
        <w:rPr>
          <w:rFonts w:hint="eastAsia" w:eastAsia="仿宋" w:asciiTheme="minorHAnsi" w:hAnsiTheme="minorHAnsi"/>
          <w:sz w:val="24"/>
          <w:szCs w:val="24"/>
          <w:lang w:eastAsia="zh-CN"/>
        </w:rPr>
        <w:t>本次评估结果是反映评估对象在本次评估目的下，根据公开市场的原则确定的评估对象的市场价值，未考虑已经办理的或正在办理的查封、抵押、担保、其他优先受偿权情况等可能造成的影响，未对资产评估增值做任何纳税准备，也未考虑特殊的交易方式可能追加付出的价格等对评估结果的影响。</w:t>
      </w:r>
    </w:p>
    <w:p>
      <w:pPr>
        <w:keepNext w:val="0"/>
        <w:keepLines/>
        <w:pageBreakBefore w:val="0"/>
        <w:widowControl w:val="0"/>
        <w:kinsoku/>
        <w:wordWrap/>
        <w:overflowPunct/>
        <w:topLinePunct w:val="0"/>
        <w:autoSpaceDE/>
        <w:autoSpaceDN/>
        <w:bidi w:val="0"/>
        <w:adjustRightInd/>
        <w:snapToGrid/>
        <w:spacing w:before="156" w:beforeLines="50" w:after="0" w:line="240" w:lineRule="auto"/>
        <w:ind w:firstLine="480" w:firstLineChars="200"/>
        <w:jc w:val="both"/>
        <w:textAlignment w:val="auto"/>
        <w:rPr>
          <w:rFonts w:hint="eastAsia" w:eastAsia="仿宋" w:asciiTheme="minorHAnsi" w:hAnsiTheme="minorHAnsi"/>
          <w:sz w:val="24"/>
          <w:szCs w:val="24"/>
          <w:lang w:eastAsia="zh-CN"/>
        </w:rPr>
      </w:pPr>
      <w:r>
        <w:rPr>
          <w:rFonts w:hint="eastAsia" w:eastAsia="仿宋" w:asciiTheme="minorHAnsi" w:hAnsiTheme="minorHAnsi"/>
          <w:sz w:val="24"/>
          <w:szCs w:val="24"/>
          <w:lang w:val="en-US" w:eastAsia="zh-CN"/>
        </w:rPr>
        <w:t>5</w:t>
      </w:r>
      <w:r>
        <w:rPr>
          <w:rFonts w:hint="eastAsia" w:eastAsia="仿宋" w:asciiTheme="minorHAnsi" w:hAnsiTheme="minorHAnsi"/>
          <w:sz w:val="24"/>
          <w:szCs w:val="24"/>
          <w:lang w:eastAsia="zh-CN"/>
        </w:rPr>
        <w:t>.本评估报告经评估委托人送达双方当事人后，相关当事人对本评估报告有异议的，请在收到评估报告5日内以书面文件形式向人民法院提出并附依据资料，逾期视为认可评估报告。</w:t>
      </w:r>
    </w:p>
    <w:p>
      <w:pPr>
        <w:widowControl w:val="0"/>
        <w:spacing w:before="156" w:beforeLines="50" w:after="0" w:line="240" w:lineRule="auto"/>
        <w:ind w:firstLine="480" w:firstLineChars="200"/>
        <w:jc w:val="both"/>
        <w:rPr>
          <w:rFonts w:hint="default" w:eastAsia="仿宋" w:asciiTheme="minorHAnsi" w:hAnsiTheme="minorHAnsi"/>
          <w:sz w:val="24"/>
          <w:szCs w:val="24"/>
          <w:lang w:val="en-US" w:eastAsia="zh-CN"/>
        </w:rPr>
      </w:pPr>
      <w:r>
        <w:rPr>
          <w:rFonts w:hint="eastAsia" w:eastAsia="仿宋" w:asciiTheme="minorHAnsi" w:hAnsiTheme="minorHAnsi"/>
          <w:sz w:val="24"/>
          <w:szCs w:val="24"/>
          <w:lang w:val="en-US" w:eastAsia="zh-CN"/>
        </w:rPr>
        <w:t>6.根据委托人提供的《湖南省衡南县人民法院司法鉴定委托书》、</w:t>
      </w:r>
      <w:r>
        <w:rPr>
          <w:rFonts w:hint="eastAsia" w:eastAsia="仿宋" w:asciiTheme="minorHAnsi" w:hAnsiTheme="minorHAnsi"/>
          <w:sz w:val="24"/>
          <w:szCs w:val="24"/>
          <w:lang w:eastAsia="zh-CN"/>
        </w:rPr>
        <w:t>《房地产权登记信息》复印件资料</w:t>
      </w:r>
      <w:r>
        <w:rPr>
          <w:rFonts w:hint="eastAsia" w:eastAsia="仿宋" w:asciiTheme="minorHAnsi" w:hAnsiTheme="minorHAnsi"/>
          <w:sz w:val="24"/>
          <w:szCs w:val="24"/>
          <w:lang w:val="en-US" w:eastAsia="zh-CN"/>
        </w:rPr>
        <w:t>，《湖南省衡南县人民法院司法鉴定委托书》中所述衡南县新县城小商品（一）-2号地永衡云顶A栋108A即《房地产权登记信息》中的衡南县云集镇小商品（一）-2号地（永衡云嶺A栋）108A室。</w:t>
      </w:r>
    </w:p>
    <w:p>
      <w:pPr>
        <w:pStyle w:val="3"/>
        <w:spacing w:before="156" w:beforeLines="50" w:line="480" w:lineRule="exact"/>
        <w:ind w:firstLine="482" w:firstLineChars="200"/>
        <w:jc w:val="both"/>
        <w:rPr>
          <w:rFonts w:eastAsia="仿宋" w:asciiTheme="minorHAnsi" w:hAnsiTheme="minorHAnsi"/>
          <w:sz w:val="24"/>
          <w:szCs w:val="24"/>
          <w:lang w:eastAsia="zh-CN"/>
        </w:rPr>
      </w:pPr>
      <w:bookmarkStart w:id="40" w:name="_Toc447125221"/>
      <w:bookmarkStart w:id="41" w:name="_Toc502866380"/>
      <w:r>
        <w:rPr>
          <w:rFonts w:hint="eastAsia" w:eastAsia="仿宋" w:asciiTheme="minorHAnsi" w:hAnsiTheme="minorHAnsi"/>
          <w:sz w:val="24"/>
          <w:szCs w:val="24"/>
          <w:lang w:eastAsia="zh-CN"/>
        </w:rPr>
        <w:t>十二、资产评估报告使用限制说明</w:t>
      </w:r>
      <w:bookmarkEnd w:id="40"/>
      <w:bookmarkEnd w:id="41"/>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bookmarkStart w:id="42" w:name="_Toc527655926"/>
      <w:bookmarkStart w:id="43" w:name="_Toc9908281"/>
      <w:r>
        <w:rPr>
          <w:rFonts w:hint="eastAsia" w:eastAsia="仿宋" w:asciiTheme="minorHAnsi" w:hAnsiTheme="minorHAnsi"/>
          <w:b/>
          <w:sz w:val="24"/>
          <w:szCs w:val="24"/>
          <w:lang w:eastAsia="zh-CN"/>
        </w:rPr>
        <w:t>(一)本资产评估报告的使用范围</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1</w:t>
      </w:r>
      <w:r>
        <w:rPr>
          <w:rFonts w:eastAsia="仿宋" w:asciiTheme="minorHAnsi" w:hAnsiTheme="minorHAnsi"/>
          <w:sz w:val="24"/>
          <w:szCs w:val="24"/>
          <w:lang w:eastAsia="zh-CN"/>
        </w:rPr>
        <w:t>.</w:t>
      </w:r>
      <w:r>
        <w:rPr>
          <w:rFonts w:hint="eastAsia" w:eastAsia="仿宋" w:asciiTheme="minorHAnsi" w:hAnsiTheme="minorHAnsi"/>
          <w:sz w:val="24"/>
          <w:szCs w:val="24"/>
          <w:lang w:eastAsia="zh-CN"/>
        </w:rPr>
        <w:t>本资产评估报告使用人的范围限制：本资产评估报告使用人限于且仅限于委托人、资产评估委托合同中约定的其他资产评估报告使用人和法律、行政法规规定的本资产评估报告使用人，即本资产评估报告仅供委托人、资产评估委托合同中约定的其他资产评估报告使用人和法律、行政法规规定的本资产评估报告使用人使用；除此之外，其他任何机构和个人均不得成为本资产评估报告的使用人。</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2</w:t>
      </w:r>
      <w:r>
        <w:rPr>
          <w:rFonts w:eastAsia="仿宋" w:asciiTheme="minorHAnsi" w:hAnsiTheme="minorHAnsi"/>
          <w:sz w:val="24"/>
          <w:szCs w:val="24"/>
          <w:lang w:eastAsia="zh-CN"/>
        </w:rPr>
        <w:t>.</w:t>
      </w:r>
      <w:r>
        <w:rPr>
          <w:rFonts w:hint="eastAsia" w:eastAsia="仿宋" w:asciiTheme="minorHAnsi" w:hAnsiTheme="minorHAnsi"/>
          <w:sz w:val="24"/>
          <w:szCs w:val="24"/>
          <w:lang w:eastAsia="zh-CN"/>
        </w:rPr>
        <w:t>本资产评估报告的用途或使用目的的范围限制：本资产评估报告使用人应当按照法律、行政法规规定和本资产评估报告载明的评估目的使用本资产评估报告，即本资产评估报告只能按照法律、行政法规规定用于本资产评估报告所载明的评估目的所对应的经济行为，除此之外，其他任何情形均不得使用本资产评估报告。</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3</w:t>
      </w:r>
      <w:r>
        <w:rPr>
          <w:rFonts w:eastAsia="仿宋" w:asciiTheme="minorHAnsi" w:hAnsiTheme="minorHAnsi"/>
          <w:sz w:val="24"/>
          <w:szCs w:val="24"/>
          <w:lang w:eastAsia="zh-CN"/>
        </w:rPr>
        <w:t>.</w:t>
      </w:r>
      <w:r>
        <w:rPr>
          <w:rFonts w:hint="eastAsia" w:eastAsia="仿宋" w:asciiTheme="minorHAnsi" w:hAnsiTheme="minorHAnsi"/>
          <w:sz w:val="24"/>
          <w:szCs w:val="24"/>
          <w:lang w:eastAsia="zh-CN"/>
        </w:rPr>
        <w:t>本资产评估报告所载评估结论的使用有效期的范围限制：本资产评估报告所载评估结论的使用有效期自评估基准日起不超过一年。</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4</w:t>
      </w:r>
      <w:r>
        <w:rPr>
          <w:rFonts w:eastAsia="仿宋" w:asciiTheme="minorHAnsi" w:hAnsiTheme="minorHAnsi"/>
          <w:sz w:val="24"/>
          <w:szCs w:val="24"/>
          <w:lang w:eastAsia="zh-CN"/>
        </w:rPr>
        <w:t>.</w:t>
      </w:r>
      <w:r>
        <w:rPr>
          <w:rFonts w:hint="eastAsia" w:eastAsia="仿宋" w:asciiTheme="minorHAnsi" w:hAnsiTheme="minorHAnsi"/>
          <w:sz w:val="24"/>
          <w:szCs w:val="24"/>
          <w:lang w:eastAsia="zh-CN"/>
        </w:rPr>
        <w:t>本资产评估报告的摘抄、引用或者披露的限制：未经本公司书面同意，本资产评估报告的内容不得被摘抄、引用或者披露于公开媒体，法律、行政法规规定和资产评估委托合同另有规定的除外。</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(二)超使用范围使用本资产评估报告的责任说明</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资产评估报告使用人未按照法律、行政法规规定和上述载明的使用范围使用本资产评估报告的，本公司及相关资产评估专业人员不承担责任。</w:t>
      </w:r>
    </w:p>
    <w:p>
      <w:pPr>
        <w:widowControl w:val="0"/>
        <w:spacing w:before="156" w:beforeLines="50" w:after="0" w:line="240" w:lineRule="auto"/>
        <w:ind w:firstLine="482" w:firstLineChars="200"/>
        <w:jc w:val="both"/>
        <w:rPr>
          <w:rFonts w:eastAsia="仿宋" w:asciiTheme="minorHAnsi" w:hAnsiTheme="minorHAnsi"/>
          <w:b/>
          <w:sz w:val="24"/>
          <w:szCs w:val="24"/>
          <w:lang w:eastAsia="zh-CN"/>
        </w:rPr>
      </w:pPr>
      <w:r>
        <w:rPr>
          <w:rFonts w:hint="eastAsia" w:eastAsia="仿宋" w:asciiTheme="minorHAnsi" w:hAnsiTheme="minorHAnsi"/>
          <w:b/>
          <w:sz w:val="24"/>
          <w:szCs w:val="24"/>
          <w:lang w:eastAsia="zh-CN"/>
        </w:rPr>
        <w:t>(三)本资产评估报告的其他使用限制说明</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eastAsia="仿宋" w:asciiTheme="minorHAnsi" w:hAnsiTheme="minorHAnsi"/>
          <w:sz w:val="24"/>
          <w:szCs w:val="24"/>
          <w:lang w:eastAsia="zh-CN"/>
        </w:rPr>
        <w:t>1.</w:t>
      </w:r>
      <w:r>
        <w:rPr>
          <w:rFonts w:hint="eastAsia" w:eastAsia="仿宋" w:asciiTheme="minorHAnsi" w:hAnsiTheme="minorHAnsi"/>
          <w:sz w:val="24"/>
          <w:szCs w:val="24"/>
          <w:lang w:eastAsia="zh-CN"/>
        </w:rPr>
        <w:t>本资产评估报告使用人应当正确理解评估结论。评估结论不等同于评估对象可实现价格，评估结论不应当被认为是对评估对象可实现价格的保证。</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eastAsia="仿宋" w:asciiTheme="minorHAnsi" w:hAnsiTheme="minorHAnsi"/>
          <w:sz w:val="24"/>
          <w:szCs w:val="24"/>
          <w:lang w:eastAsia="zh-CN"/>
        </w:rPr>
        <w:t>2.</w:t>
      </w:r>
      <w:r>
        <w:rPr>
          <w:rFonts w:hint="eastAsia" w:eastAsia="仿宋" w:asciiTheme="minorHAnsi" w:hAnsiTheme="minorHAnsi"/>
          <w:sz w:val="24"/>
          <w:szCs w:val="24"/>
          <w:lang w:eastAsia="zh-CN"/>
        </w:rPr>
        <w:t>本资产评估报告使用人应当关注评估结论成立的假设条件，当使用本资产评估报告所载评估结论时的实际情况与评估基准日的情况或者本资产评估报告所载评估假设条件不再相符时，通常情况下，评估结论也不会成立。</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eastAsia="仿宋" w:asciiTheme="minorHAnsi" w:hAnsiTheme="minorHAnsi"/>
          <w:sz w:val="24"/>
          <w:szCs w:val="24"/>
          <w:lang w:eastAsia="zh-CN"/>
        </w:rPr>
        <w:t>3.</w:t>
      </w:r>
      <w:r>
        <w:rPr>
          <w:rFonts w:hint="eastAsia" w:eastAsia="仿宋" w:asciiTheme="minorHAnsi" w:hAnsiTheme="minorHAnsi"/>
          <w:sz w:val="24"/>
          <w:szCs w:val="24"/>
          <w:lang w:eastAsia="zh-CN"/>
        </w:rPr>
        <w:t>本资产评估报告使用人应当关注特别事项说明，并在实施评估目的所对应的经济行为过程中采取相应的措施。</w:t>
      </w:r>
    </w:p>
    <w:bookmarkEnd w:id="42"/>
    <w:bookmarkEnd w:id="43"/>
    <w:p>
      <w:pPr>
        <w:pStyle w:val="3"/>
        <w:keepNext/>
        <w:keepLines/>
        <w:pageBreakBefore/>
        <w:widowControl/>
        <w:kinsoku/>
        <w:wordWrap/>
        <w:overflowPunct/>
        <w:topLinePunct w:val="0"/>
        <w:autoSpaceDE/>
        <w:autoSpaceDN/>
        <w:bidi w:val="0"/>
        <w:adjustRightInd/>
        <w:snapToGrid/>
        <w:spacing w:before="156" w:beforeLines="50" w:line="480" w:lineRule="exact"/>
        <w:ind w:firstLine="482" w:firstLineChars="200"/>
        <w:jc w:val="both"/>
        <w:textAlignment w:val="auto"/>
        <w:rPr>
          <w:rFonts w:eastAsia="仿宋" w:asciiTheme="minorHAnsi" w:hAnsiTheme="minorHAnsi"/>
          <w:sz w:val="24"/>
          <w:szCs w:val="24"/>
          <w:lang w:eastAsia="zh-CN"/>
        </w:rPr>
      </w:pPr>
      <w:bookmarkStart w:id="44" w:name="_Toc447125222"/>
      <w:bookmarkStart w:id="45" w:name="_Toc502866381"/>
      <w:r>
        <w:rPr>
          <w:rFonts w:hint="eastAsia" w:eastAsia="仿宋" w:asciiTheme="minorHAnsi" w:hAnsiTheme="minorHAnsi"/>
          <w:sz w:val="24"/>
          <w:szCs w:val="24"/>
          <w:lang w:eastAsia="zh-CN"/>
        </w:rPr>
        <w:t>十三、资产评估报告日</w:t>
      </w:r>
      <w:bookmarkEnd w:id="44"/>
      <w:bookmarkEnd w:id="45"/>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本公司资产评估师张继红、王益清</w:t>
      </w:r>
      <w:r>
        <w:rPr>
          <w:rFonts w:hint="eastAsia" w:eastAsia="仿宋" w:asciiTheme="minorHAnsi" w:hAnsiTheme="minorHAnsi"/>
          <w:sz w:val="24"/>
          <w:szCs w:val="24"/>
          <w:highlight w:val="none"/>
          <w:lang w:eastAsia="zh-CN"/>
        </w:rPr>
        <w:t>于2022年</w:t>
      </w:r>
      <w:r>
        <w:rPr>
          <w:rFonts w:hint="eastAsia" w:eastAsia="仿宋" w:asciiTheme="minorHAnsi" w:hAnsiTheme="minorHAnsi"/>
          <w:sz w:val="24"/>
          <w:szCs w:val="24"/>
          <w:highlight w:val="none"/>
          <w:lang w:val="en-US" w:eastAsia="zh-CN"/>
        </w:rPr>
        <w:t>9</w:t>
      </w:r>
      <w:r>
        <w:rPr>
          <w:rFonts w:hint="eastAsia" w:eastAsia="仿宋" w:asciiTheme="minorHAnsi" w:hAnsiTheme="minorHAnsi"/>
          <w:sz w:val="24"/>
          <w:szCs w:val="24"/>
          <w:highlight w:val="none"/>
          <w:lang w:eastAsia="zh-CN"/>
        </w:rPr>
        <w:t>月</w:t>
      </w:r>
      <w:r>
        <w:rPr>
          <w:rFonts w:hint="eastAsia" w:eastAsia="仿宋" w:asciiTheme="minorHAnsi" w:hAnsiTheme="minorHAnsi"/>
          <w:sz w:val="24"/>
          <w:szCs w:val="24"/>
          <w:highlight w:val="none"/>
          <w:lang w:val="en-US" w:eastAsia="zh-CN"/>
        </w:rPr>
        <w:t>16</w:t>
      </w:r>
      <w:r>
        <w:rPr>
          <w:rFonts w:hint="eastAsia" w:eastAsia="仿宋" w:asciiTheme="minorHAnsi" w:hAnsiTheme="minorHAnsi"/>
          <w:sz w:val="24"/>
          <w:szCs w:val="24"/>
          <w:highlight w:val="none"/>
          <w:lang w:eastAsia="zh-CN"/>
        </w:rPr>
        <w:t>日形成评估结论</w:t>
      </w:r>
      <w:r>
        <w:rPr>
          <w:rFonts w:hint="eastAsia" w:eastAsia="仿宋" w:asciiTheme="minorHAnsi" w:hAnsiTheme="minorHAnsi"/>
          <w:sz w:val="24"/>
          <w:szCs w:val="24"/>
          <w:lang w:eastAsia="zh-CN"/>
        </w:rPr>
        <w:t>，并签署本资产评估报告。</w:t>
      </w:r>
    </w:p>
    <w:p>
      <w:pPr>
        <w:widowControl w:val="0"/>
        <w:spacing w:before="156" w:beforeLines="50" w:after="0" w:line="240" w:lineRule="auto"/>
        <w:ind w:firstLine="480" w:firstLineChars="200"/>
        <w:jc w:val="both"/>
        <w:rPr>
          <w:rFonts w:hint="eastAsia" w:eastAsia="仿宋" w:asciiTheme="minorHAnsi" w:hAnsiTheme="minorHAnsi"/>
          <w:sz w:val="24"/>
          <w:szCs w:val="24"/>
          <w:lang w:eastAsia="zh-CN"/>
        </w:rPr>
      </w:pPr>
      <w:r>
        <w:rPr>
          <w:rFonts w:hint="eastAsia" w:eastAsia="仿宋" w:asciiTheme="minorHAnsi" w:hAnsiTheme="minorHAnsi"/>
          <w:sz w:val="24"/>
          <w:szCs w:val="24"/>
          <w:lang w:eastAsia="zh-CN"/>
        </w:rPr>
        <w:t>本资产评估报告所附若干附件，系本资产评估报告的组成部分。</w:t>
      </w:r>
    </w:p>
    <w:p>
      <w:pPr>
        <w:keepNext w:val="0"/>
        <w:keepLines w:val="0"/>
        <w:pageBreakBefore w:val="0"/>
        <w:widowControl w:val="0"/>
        <w:kinsoku/>
        <w:wordWrap/>
        <w:overflowPunct/>
        <w:topLinePunct w:val="0"/>
        <w:autoSpaceDE/>
        <w:autoSpaceDN/>
        <w:bidi w:val="0"/>
        <w:adjustRightInd/>
        <w:snapToGrid/>
        <w:spacing w:before="156" w:beforeLines="50" w:after="0" w:line="240" w:lineRule="auto"/>
        <w:ind w:firstLine="480" w:firstLineChars="200"/>
        <w:jc w:val="both"/>
        <w:textAlignment w:val="auto"/>
        <w:rPr>
          <w:rFonts w:eastAsia="仿宋" w:asciiTheme="minorHAnsi" w:hAnsiTheme="minorHAnsi"/>
          <w:sz w:val="24"/>
          <w:szCs w:val="24"/>
          <w:lang w:eastAsia="zh-CN"/>
        </w:rPr>
      </w:pPr>
      <w:r>
        <w:rPr>
          <w:rFonts w:hint="eastAsia" w:eastAsia="仿宋" w:asciiTheme="minorHAnsi" w:hAnsiTheme="minorHAnsi"/>
          <w:sz w:val="24"/>
          <w:szCs w:val="24"/>
          <w:lang w:eastAsia="zh-CN"/>
        </w:rPr>
        <w:t>（本页以下无正文）</w:t>
      </w:r>
    </w:p>
    <w:p>
      <w:pPr>
        <w:widowControl w:val="0"/>
        <w:spacing w:before="156" w:beforeLines="50" w:after="0" w:line="240" w:lineRule="auto"/>
        <w:ind w:firstLine="480" w:firstLineChars="200"/>
        <w:jc w:val="both"/>
        <w:rPr>
          <w:rFonts w:hint="eastAsia" w:eastAsia="仿宋" w:asciiTheme="minorHAnsi" w:hAnsiTheme="minorHAnsi"/>
          <w:sz w:val="24"/>
          <w:szCs w:val="24"/>
          <w:lang w:eastAsia="zh-CN"/>
        </w:rPr>
      </w:pPr>
    </w:p>
    <w:p>
      <w:pPr>
        <w:pageBreakBefore/>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eastAsia="仿宋" w:asciiTheme="minorHAnsi" w:hAnsiTheme="minorHAnsi"/>
          <w:sz w:val="24"/>
          <w:szCs w:val="24"/>
          <w:lang w:eastAsia="zh-CN"/>
        </w:rPr>
        <w:t>（本页无正文，为资产评估报告签署页）</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p>
    <w:p>
      <w:pPr>
        <w:widowControl w:val="0"/>
        <w:spacing w:before="156" w:beforeLines="50" w:after="0" w:line="240" w:lineRule="auto"/>
        <w:ind w:firstLine="480" w:firstLineChars="200"/>
        <w:jc w:val="both"/>
        <w:rPr>
          <w:rFonts w:eastAsia="仿宋" w:asciiTheme="minorHAnsi" w:hAnsiTheme="minorHAnsi"/>
          <w:sz w:val="24"/>
          <w:szCs w:val="24"/>
          <w:lang w:eastAsia="zh-CN"/>
        </w:rPr>
      </w:pPr>
    </w:p>
    <w:p>
      <w:pPr>
        <w:widowControl w:val="0"/>
        <w:spacing w:before="156" w:beforeLines="50" w:after="0" w:line="240" w:lineRule="auto"/>
        <w:ind w:firstLine="480" w:firstLineChars="200"/>
        <w:jc w:val="both"/>
        <w:rPr>
          <w:rFonts w:eastAsia="仿宋" w:asciiTheme="minorHAnsi" w:hAnsiTheme="minorHAnsi"/>
          <w:sz w:val="24"/>
          <w:szCs w:val="24"/>
          <w:lang w:eastAsia="zh-CN"/>
        </w:rPr>
      </w:pPr>
    </w:p>
    <w:tbl>
      <w:tblPr>
        <w:tblStyle w:val="15"/>
        <w:tblW w:w="9410" w:type="dxa"/>
        <w:tblInd w:w="0" w:type="dxa"/>
        <w:tblLayout w:type="fixed"/>
        <w:tblCellMar>
          <w:top w:w="0" w:type="dxa"/>
          <w:left w:w="108" w:type="dxa"/>
          <w:bottom w:w="0" w:type="dxa"/>
          <w:right w:w="108" w:type="dxa"/>
        </w:tblCellMar>
      </w:tblPr>
      <w:tblGrid>
        <w:gridCol w:w="4928"/>
        <w:gridCol w:w="584"/>
        <w:gridCol w:w="3898"/>
      </w:tblGrid>
      <w:tr>
        <w:tblPrEx>
          <w:tblCellMar>
            <w:top w:w="0" w:type="dxa"/>
            <w:left w:w="108" w:type="dxa"/>
            <w:bottom w:w="0" w:type="dxa"/>
            <w:right w:w="108" w:type="dxa"/>
          </w:tblCellMar>
        </w:tblPrEx>
        <w:tc>
          <w:tcPr>
            <w:tcW w:w="4928" w:type="dxa"/>
          </w:tcPr>
          <w:p>
            <w:pPr>
              <w:widowControl w:val="0"/>
              <w:spacing w:before="156" w:beforeLines="50" w:after="0" w:line="240" w:lineRule="auto"/>
              <w:ind w:right="-123" w:rightChars="-56"/>
              <w:jc w:val="center"/>
              <w:rPr>
                <w:rFonts w:ascii="Calibri" w:hAnsi="Calibri" w:eastAsia="华文仿宋"/>
                <w:sz w:val="24"/>
                <w:szCs w:val="24"/>
                <w:lang w:eastAsia="zh-CN"/>
              </w:rPr>
            </w:pPr>
            <w:r>
              <w:rPr>
                <w:rFonts w:hint="eastAsia" w:ascii="Calibri" w:hAnsi="Calibri" w:eastAsia="华文仿宋"/>
                <w:sz w:val="24"/>
                <w:szCs w:val="24"/>
                <w:lang w:eastAsia="zh-CN"/>
              </w:rPr>
              <w:t>深圳市鹏信资产评估土地房地产估价有限公司</w:t>
            </w:r>
          </w:p>
        </w:tc>
        <w:tc>
          <w:tcPr>
            <w:tcW w:w="584" w:type="dxa"/>
          </w:tcPr>
          <w:p>
            <w:pPr>
              <w:spacing w:before="156" w:beforeLines="50" w:after="0" w:line="240" w:lineRule="auto"/>
              <w:rPr>
                <w:rFonts w:ascii="Calibri" w:hAnsi="Calibri" w:eastAsia="华文仿宋"/>
                <w:sz w:val="24"/>
                <w:szCs w:val="24"/>
                <w:lang w:eastAsia="zh-CN"/>
              </w:rPr>
            </w:pPr>
          </w:p>
        </w:tc>
        <w:tc>
          <w:tcPr>
            <w:tcW w:w="3898" w:type="dxa"/>
          </w:tcPr>
          <w:p>
            <w:pPr>
              <w:spacing w:before="156" w:beforeLines="50" w:after="0" w:line="240" w:lineRule="auto"/>
              <w:rPr>
                <w:rFonts w:ascii="Calibri" w:hAnsi="Calibri" w:eastAsia="华文仿宋"/>
                <w:sz w:val="24"/>
                <w:szCs w:val="24"/>
              </w:rPr>
            </w:pPr>
            <w:r>
              <w:rPr>
                <w:rFonts w:hint="eastAsia" w:ascii="Calibri" w:hAnsi="Calibri" w:eastAsia="华文仿宋"/>
                <w:sz w:val="24"/>
                <w:szCs w:val="24"/>
                <w:lang w:eastAsia="zh-CN"/>
              </w:rPr>
              <w:t>资产评估师：</w:t>
            </w:r>
          </w:p>
        </w:tc>
      </w:tr>
      <w:tr>
        <w:tblPrEx>
          <w:tblCellMar>
            <w:top w:w="0" w:type="dxa"/>
            <w:left w:w="108" w:type="dxa"/>
            <w:bottom w:w="0" w:type="dxa"/>
            <w:right w:w="108" w:type="dxa"/>
          </w:tblCellMar>
        </w:tblPrEx>
        <w:tc>
          <w:tcPr>
            <w:tcW w:w="4928" w:type="dxa"/>
          </w:tcPr>
          <w:p>
            <w:pPr>
              <w:spacing w:before="156" w:beforeLines="50" w:after="156" w:afterLines="50" w:line="480" w:lineRule="exact"/>
              <w:jc w:val="center"/>
              <w:rPr>
                <w:rFonts w:ascii="Calibri" w:hAnsi="Calibri" w:eastAsia="华文仿宋"/>
                <w:sz w:val="24"/>
                <w:szCs w:val="24"/>
              </w:rPr>
            </w:pPr>
            <w:r>
              <w:rPr>
                <w:rFonts w:hint="eastAsia" w:ascii="Calibri" w:hAnsi="Calibri" w:eastAsia="华文仿宋"/>
                <w:sz w:val="24"/>
                <w:szCs w:val="24"/>
                <w:lang w:eastAsia="zh-CN"/>
              </w:rPr>
              <w:t>中国·深圳</w:t>
            </w:r>
          </w:p>
        </w:tc>
        <w:tc>
          <w:tcPr>
            <w:tcW w:w="584" w:type="dxa"/>
          </w:tcPr>
          <w:p>
            <w:pPr>
              <w:spacing w:before="156" w:beforeLines="50" w:after="156" w:afterLines="50" w:line="480" w:lineRule="exact"/>
              <w:rPr>
                <w:rFonts w:ascii="Calibri" w:hAnsi="Calibri" w:eastAsia="华文仿宋"/>
                <w:sz w:val="24"/>
                <w:szCs w:val="24"/>
              </w:rPr>
            </w:pPr>
          </w:p>
        </w:tc>
        <w:tc>
          <w:tcPr>
            <w:tcW w:w="3898" w:type="dxa"/>
          </w:tcPr>
          <w:p>
            <w:pPr>
              <w:spacing w:before="156" w:beforeLines="50" w:after="156" w:afterLines="50" w:line="480" w:lineRule="exact"/>
              <w:rPr>
                <w:rFonts w:ascii="Calibri" w:hAnsi="Calibri" w:eastAsia="华文仿宋"/>
                <w:sz w:val="24"/>
                <w:szCs w:val="24"/>
              </w:rPr>
            </w:pPr>
          </w:p>
        </w:tc>
      </w:tr>
      <w:tr>
        <w:tblPrEx>
          <w:tblCellMar>
            <w:top w:w="0" w:type="dxa"/>
            <w:left w:w="108" w:type="dxa"/>
            <w:bottom w:w="0" w:type="dxa"/>
            <w:right w:w="108" w:type="dxa"/>
          </w:tblCellMar>
        </w:tblPrEx>
        <w:tc>
          <w:tcPr>
            <w:tcW w:w="4928" w:type="dxa"/>
          </w:tcPr>
          <w:p>
            <w:pPr>
              <w:spacing w:before="156" w:beforeLines="50" w:after="156" w:afterLines="50" w:line="480" w:lineRule="exact"/>
              <w:jc w:val="center"/>
              <w:rPr>
                <w:rFonts w:ascii="Calibri" w:hAnsi="Calibri" w:eastAsia="华文仿宋"/>
                <w:sz w:val="24"/>
                <w:szCs w:val="24"/>
              </w:rPr>
            </w:pPr>
            <w:r>
              <w:rPr>
                <w:rFonts w:hint="eastAsia" w:ascii="Calibri" w:hAnsi="Calibri" w:eastAsia="华文仿宋"/>
                <w:sz w:val="24"/>
                <w:szCs w:val="24"/>
                <w:highlight w:val="none"/>
                <w:lang w:eastAsia="zh-CN"/>
              </w:rPr>
              <w:t>二〇二二年九月十六日</w:t>
            </w:r>
          </w:p>
        </w:tc>
        <w:tc>
          <w:tcPr>
            <w:tcW w:w="584" w:type="dxa"/>
          </w:tcPr>
          <w:p>
            <w:pPr>
              <w:spacing w:before="156" w:beforeLines="50" w:after="156" w:afterLines="50" w:line="480" w:lineRule="exact"/>
              <w:rPr>
                <w:rFonts w:ascii="Calibri" w:hAnsi="Calibri" w:eastAsia="华文仿宋"/>
                <w:sz w:val="24"/>
                <w:szCs w:val="24"/>
              </w:rPr>
            </w:pPr>
          </w:p>
        </w:tc>
        <w:tc>
          <w:tcPr>
            <w:tcW w:w="3898" w:type="dxa"/>
          </w:tcPr>
          <w:p>
            <w:pPr>
              <w:spacing w:before="156" w:beforeLines="50" w:after="156" w:afterLines="50" w:line="480" w:lineRule="exact"/>
              <w:rPr>
                <w:rFonts w:ascii="Calibri" w:hAnsi="Calibri" w:eastAsia="华文仿宋"/>
                <w:sz w:val="24"/>
                <w:szCs w:val="24"/>
              </w:rPr>
            </w:pPr>
            <w:r>
              <w:rPr>
                <w:rFonts w:hint="eastAsia" w:ascii="Calibri" w:hAnsi="Calibri" w:eastAsia="华文仿宋"/>
                <w:sz w:val="24"/>
                <w:szCs w:val="24"/>
                <w:lang w:eastAsia="zh-CN"/>
              </w:rPr>
              <w:t>资产评估师：</w:t>
            </w:r>
          </w:p>
        </w:tc>
      </w:tr>
    </w:tbl>
    <w:p>
      <w:pPr>
        <w:widowControl w:val="0"/>
        <w:spacing w:before="156" w:beforeLines="50" w:after="0" w:line="240" w:lineRule="auto"/>
        <w:ind w:firstLine="420" w:firstLineChars="200"/>
        <w:jc w:val="both"/>
        <w:rPr>
          <w:rFonts w:ascii="Calibri" w:hAnsi="Calibri" w:eastAsia="华文中宋"/>
          <w:sz w:val="21"/>
          <w:szCs w:val="21"/>
          <w:lang w:eastAsia="zh-CN"/>
        </w:rPr>
        <w:sectPr>
          <w:headerReference r:id="rId12" w:type="default"/>
          <w:footerReference r:id="rId13" w:type="default"/>
          <w:pgSz w:w="11906" w:h="16838"/>
          <w:pgMar w:top="1560" w:right="1800" w:bottom="1134" w:left="1800" w:header="426" w:footer="340" w:gutter="0"/>
          <w:pgNumType w:start="1"/>
          <w:cols w:space="425" w:num="1"/>
          <w:docGrid w:type="lines" w:linePitch="312" w:charSpace="0"/>
        </w:sectPr>
      </w:pPr>
    </w:p>
    <w:p>
      <w:pPr>
        <w:pStyle w:val="2"/>
        <w:spacing w:before="156" w:beforeLines="50" w:line="360" w:lineRule="auto"/>
        <w:jc w:val="center"/>
        <w:rPr>
          <w:rFonts w:eastAsia="仿宋" w:asciiTheme="minorHAnsi" w:hAnsiTheme="minorHAnsi"/>
          <w:b/>
          <w:bCs/>
          <w:kern w:val="2"/>
          <w:sz w:val="28"/>
          <w:szCs w:val="28"/>
          <w:lang w:eastAsia="zh-CN"/>
        </w:rPr>
      </w:pPr>
      <w:bookmarkStart w:id="46" w:name="_Toc447125223"/>
      <w:bookmarkStart w:id="47" w:name="_Toc502866382"/>
      <w:r>
        <w:rPr>
          <w:rFonts w:hint="eastAsia" w:eastAsia="仿宋" w:asciiTheme="minorHAnsi" w:hAnsiTheme="minorHAnsi"/>
          <w:b/>
          <w:bCs/>
          <w:kern w:val="2"/>
          <w:sz w:val="28"/>
          <w:szCs w:val="28"/>
          <w:lang w:eastAsia="zh-CN"/>
        </w:rPr>
        <w:t>资产评估报告附件</w:t>
      </w:r>
      <w:bookmarkEnd w:id="46"/>
      <w:bookmarkEnd w:id="47"/>
    </w:p>
    <w:p>
      <w:pPr>
        <w:widowControl w:val="0"/>
        <w:spacing w:before="156" w:beforeLines="50" w:after="0" w:line="240" w:lineRule="auto"/>
        <w:ind w:firstLine="480" w:firstLineChars="200"/>
        <w:jc w:val="both"/>
        <w:rPr>
          <w:rFonts w:ascii="Calibri" w:hAnsi="Calibri" w:eastAsia="仿宋"/>
          <w:sz w:val="24"/>
          <w:szCs w:val="21"/>
          <w:lang w:eastAsia="zh-CN"/>
        </w:rPr>
      </w:pPr>
      <w:r>
        <w:rPr>
          <w:rFonts w:hint="eastAsia" w:ascii="Calibri" w:hAnsi="Calibri" w:eastAsia="仿宋"/>
          <w:sz w:val="24"/>
          <w:szCs w:val="21"/>
          <w:lang w:eastAsia="zh-CN"/>
        </w:rPr>
        <w:t>附件一：资产评估明细表；</w:t>
      </w:r>
    </w:p>
    <w:p>
      <w:pPr>
        <w:widowControl w:val="0"/>
        <w:spacing w:before="156" w:beforeLines="50" w:after="0" w:line="240" w:lineRule="auto"/>
        <w:ind w:firstLine="480" w:firstLineChars="200"/>
        <w:jc w:val="both"/>
        <w:rPr>
          <w:rFonts w:ascii="Calibri" w:hAnsi="Calibri" w:eastAsia="仿宋"/>
          <w:sz w:val="24"/>
          <w:szCs w:val="21"/>
          <w:lang w:eastAsia="zh-CN"/>
        </w:rPr>
      </w:pPr>
      <w:r>
        <w:rPr>
          <w:rFonts w:hint="eastAsia" w:ascii="Calibri" w:hAnsi="Calibri" w:eastAsia="仿宋"/>
          <w:sz w:val="24"/>
          <w:szCs w:val="21"/>
          <w:lang w:eastAsia="zh-CN"/>
        </w:rPr>
        <w:t>附件二：评估对象位置图及照片(复印件)；</w:t>
      </w:r>
    </w:p>
    <w:p>
      <w:pPr>
        <w:widowControl w:val="0"/>
        <w:spacing w:before="156" w:beforeLines="50" w:after="0" w:line="240" w:lineRule="auto"/>
        <w:ind w:firstLine="480" w:firstLineChars="200"/>
        <w:jc w:val="both"/>
        <w:rPr>
          <w:rFonts w:ascii="Calibri" w:hAnsi="Calibri" w:eastAsia="仿宋"/>
          <w:sz w:val="24"/>
          <w:szCs w:val="21"/>
          <w:lang w:eastAsia="zh-CN"/>
        </w:rPr>
      </w:pPr>
      <w:r>
        <w:rPr>
          <w:rFonts w:hint="eastAsia" w:ascii="Calibri" w:hAnsi="Calibri" w:eastAsia="仿宋"/>
          <w:sz w:val="24"/>
          <w:szCs w:val="21"/>
          <w:lang w:eastAsia="zh-CN"/>
        </w:rPr>
        <w:t>附件三：《湖南省衡南县人民法院司法鉴定委托书》(复印件)；</w:t>
      </w:r>
    </w:p>
    <w:p>
      <w:pPr>
        <w:widowControl w:val="0"/>
        <w:spacing w:before="156" w:beforeLines="50" w:after="0" w:line="240" w:lineRule="auto"/>
        <w:ind w:firstLine="480" w:firstLineChars="200"/>
        <w:jc w:val="both"/>
        <w:rPr>
          <w:rFonts w:hint="eastAsia" w:ascii="Calibri" w:hAnsi="Calibri" w:eastAsia="仿宋"/>
          <w:sz w:val="24"/>
          <w:szCs w:val="21"/>
          <w:lang w:eastAsia="zh-CN"/>
        </w:rPr>
      </w:pPr>
      <w:r>
        <w:rPr>
          <w:rFonts w:hint="eastAsia" w:ascii="Calibri" w:hAnsi="Calibri" w:eastAsia="仿宋"/>
          <w:sz w:val="24"/>
          <w:szCs w:val="21"/>
          <w:lang w:eastAsia="zh-CN"/>
        </w:rPr>
        <w:t>附件四：评估对象产权资料等(复印件)；</w:t>
      </w:r>
    </w:p>
    <w:p>
      <w:pPr>
        <w:widowControl w:val="0"/>
        <w:spacing w:before="156" w:beforeLines="50" w:after="0" w:line="240" w:lineRule="auto"/>
        <w:ind w:firstLine="480" w:firstLineChars="200"/>
        <w:jc w:val="both"/>
        <w:rPr>
          <w:rFonts w:ascii="Calibri" w:hAnsi="Calibri" w:eastAsia="仿宋"/>
          <w:sz w:val="24"/>
          <w:szCs w:val="21"/>
          <w:lang w:eastAsia="zh-CN"/>
        </w:rPr>
      </w:pPr>
      <w:r>
        <w:rPr>
          <w:rFonts w:hint="eastAsia" w:ascii="Calibri" w:hAnsi="Calibri" w:eastAsia="仿宋"/>
          <w:sz w:val="24"/>
          <w:szCs w:val="21"/>
          <w:lang w:eastAsia="zh-CN"/>
        </w:rPr>
        <w:t>附件五：深圳市鹏信资产评估土地房地产估价有限公司营业执照(复印件)；</w:t>
      </w:r>
    </w:p>
    <w:p>
      <w:pPr>
        <w:widowControl w:val="0"/>
        <w:spacing w:before="156" w:beforeLines="50" w:after="0" w:line="240" w:lineRule="auto"/>
        <w:ind w:firstLine="480" w:firstLineChars="200"/>
        <w:jc w:val="both"/>
        <w:rPr>
          <w:rFonts w:ascii="Calibri" w:hAnsi="Calibri" w:eastAsia="仿宋"/>
          <w:sz w:val="24"/>
          <w:szCs w:val="21"/>
          <w:lang w:eastAsia="zh-CN"/>
        </w:rPr>
      </w:pPr>
      <w:r>
        <w:rPr>
          <w:rFonts w:hint="eastAsia" w:ascii="Calibri" w:hAnsi="Calibri" w:eastAsia="仿宋"/>
          <w:sz w:val="24"/>
          <w:szCs w:val="21"/>
          <w:lang w:eastAsia="zh-CN"/>
        </w:rPr>
        <w:t>附件六：深圳市财政委员会关于深圳市鹏信资产评估土地房地产估价有限公司登记备案公告(复印件)；</w:t>
      </w:r>
    </w:p>
    <w:p>
      <w:pPr>
        <w:widowControl w:val="0"/>
        <w:spacing w:before="156" w:beforeLines="50" w:after="0" w:line="240" w:lineRule="auto"/>
        <w:ind w:firstLine="480" w:firstLineChars="200"/>
        <w:jc w:val="both"/>
        <w:rPr>
          <w:rFonts w:eastAsia="仿宋" w:asciiTheme="minorHAnsi" w:hAnsiTheme="minorHAnsi"/>
          <w:sz w:val="24"/>
          <w:szCs w:val="24"/>
          <w:lang w:eastAsia="zh-CN"/>
        </w:rPr>
      </w:pPr>
      <w:r>
        <w:rPr>
          <w:rFonts w:hint="eastAsia" w:ascii="Calibri" w:hAnsi="Calibri" w:eastAsia="仿宋"/>
          <w:sz w:val="24"/>
          <w:szCs w:val="21"/>
          <w:lang w:eastAsia="zh-CN"/>
        </w:rPr>
        <w:t>附件七：签字资产评估师的职业资格证书登记卡(复印件)。</w:t>
      </w:r>
    </w:p>
    <w:p>
      <w:pPr>
        <w:spacing w:after="0" w:line="240" w:lineRule="auto"/>
        <w:rPr>
          <w:rFonts w:eastAsia="仿宋" w:asciiTheme="minorHAnsi" w:hAnsiTheme="minorHAnsi"/>
          <w:sz w:val="24"/>
          <w:szCs w:val="24"/>
          <w:lang w:eastAsia="zh-CN"/>
        </w:rPr>
      </w:pPr>
    </w:p>
    <w:sectPr>
      <w:headerReference r:id="rId14" w:type="default"/>
      <w:pgSz w:w="11906" w:h="16838"/>
      <w:pgMar w:top="1560" w:right="1800" w:bottom="1134" w:left="1800" w:header="426" w:footer="340"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swiss"/>
    <w:pitch w:val="default"/>
    <w:sig w:usb0="00000000" w:usb1="00000000" w:usb2="00000000" w:usb3="00000000" w:csb0="2000009F" w:csb1="DFD7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7"/>
      </w:pBdr>
      <w:jc w:val="both"/>
      <w:rPr>
        <w:rFonts w:eastAsia="华文仿宋" w:asciiTheme="minorHAnsi" w:hAnsiTheme="minorHAnsi"/>
        <w:lang w:eastAsia="zh-CN"/>
      </w:rPr>
    </w:pPr>
    <w:r>
      <w:rPr>
        <w:rFonts w:eastAsia="华文仿宋" w:asciiTheme="minorHAnsi" w:hAnsiTheme="minorHAnsi"/>
        <w:lang w:eastAsia="zh-CN"/>
      </w:rPr>
      <w:t>©</w:t>
    </w:r>
    <w:r>
      <w:rPr>
        <w:rFonts w:hint="eastAsia" w:eastAsia="华文仿宋" w:asciiTheme="minorHAnsi" w:hAnsiTheme="minorHAnsi"/>
        <w:lang w:eastAsia="zh-CN"/>
      </w:rPr>
      <w:t>深圳市鹏信资产评估土地房地产估价有限公司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7"/>
      </w:pBdr>
      <w:jc w:val="both"/>
      <w:rPr>
        <w:rFonts w:eastAsia="华文仿宋" w:asciiTheme="minorHAnsi" w:hAnsiTheme="minorHAnsi"/>
        <w:lang w:eastAsia="zh-CN"/>
      </w:rPr>
    </w:pPr>
    <w:r>
      <w:rPr>
        <w:rFonts w:eastAsia="华文仿宋" w:asciiTheme="minorHAnsi" w:hAnsiTheme="minorHAnsi"/>
        <w:lang w:eastAsia="zh-CN"/>
      </w:rPr>
      <w:t>©</w:t>
    </w:r>
    <w:r>
      <w:rPr>
        <w:rFonts w:hint="eastAsia" w:eastAsia="华文仿宋" w:asciiTheme="minorHAnsi" w:hAnsiTheme="minorHAnsi"/>
        <w:lang w:eastAsia="zh-CN"/>
      </w:rPr>
      <w:t>深圳市鹏信资产评估土地房地产估价有限公司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7"/>
      </w:pBdr>
      <w:jc w:val="both"/>
      <w:rPr>
        <w:rFonts w:eastAsia="华文仿宋" w:asciiTheme="minorHAnsi" w:hAnsiTheme="minorHAnsi"/>
        <w:lang w:eastAsia="zh-CN"/>
      </w:rPr>
    </w:pPr>
    <w:r>
      <w:rPr>
        <w:rFonts w:eastAsia="华文仿宋" w:asciiTheme="minorHAnsi" w:hAnsiTheme="minorHAnsi"/>
        <w:lang w:eastAsia="zh-CN"/>
      </w:rPr>
      <w:t>©</w:t>
    </w:r>
    <w:r>
      <w:rPr>
        <w:rFonts w:hint="eastAsia" w:eastAsia="华文仿宋" w:asciiTheme="minorHAnsi" w:hAnsiTheme="minorHAnsi"/>
        <w:lang w:eastAsia="zh-CN"/>
      </w:rPr>
      <w:t>深圳市鹏信资产评估土地房地产估价有限公司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7"/>
      </w:pBdr>
      <w:jc w:val="both"/>
      <w:rPr>
        <w:rFonts w:eastAsia="华文仿宋" w:asciiTheme="minorHAnsi" w:hAnsiTheme="minorHAnsi"/>
        <w:lang w:eastAsia="zh-CN"/>
      </w:rPr>
    </w:pPr>
    <w:r>
      <w:rPr>
        <w:rFonts w:eastAsia="华文仿宋" w:asciiTheme="minorHAnsi" w:hAnsiTheme="minorHAnsi"/>
        <w:lang w:eastAsia="zh-CN"/>
      </w:rPr>
      <w:t>©</w:t>
    </w:r>
    <w:r>
      <w:rPr>
        <w:rFonts w:hint="eastAsia" w:eastAsia="华文仿宋" w:asciiTheme="minorHAnsi" w:hAnsiTheme="minorHAnsi"/>
        <w:lang w:eastAsia="zh-CN"/>
      </w:rPr>
      <w:t xml:space="preserve">深圳市鹏信资产评估土地房地产估价有限公司                                              </w:t>
    </w:r>
    <w:r>
      <w:rPr>
        <w:rFonts w:eastAsia="华文仿宋" w:asciiTheme="minorHAnsi" w:hAnsiTheme="minorHAnsi"/>
        <w:lang w:eastAsia="zh-CN"/>
      </w:rPr>
      <w:fldChar w:fldCharType="begin"/>
    </w:r>
    <w:r>
      <w:rPr>
        <w:rFonts w:eastAsia="华文仿宋" w:asciiTheme="minorHAnsi" w:hAnsiTheme="minorHAnsi"/>
        <w:lang w:eastAsia="zh-CN"/>
      </w:rPr>
      <w:instrText xml:space="preserve"> PAGE   \* MERGEFORMAT </w:instrText>
    </w:r>
    <w:r>
      <w:rPr>
        <w:rFonts w:eastAsia="华文仿宋" w:asciiTheme="minorHAnsi" w:hAnsiTheme="minorHAnsi"/>
        <w:lang w:eastAsia="zh-CN"/>
      </w:rPr>
      <w:fldChar w:fldCharType="separate"/>
    </w:r>
    <w:r>
      <w:rPr>
        <w:rFonts w:eastAsia="华文仿宋" w:asciiTheme="minorHAnsi" w:hAnsiTheme="minorHAnsi"/>
        <w:lang w:val="zh-CN" w:eastAsia="zh-CN"/>
      </w:rPr>
      <w:t>12</w:t>
    </w:r>
    <w:r>
      <w:rPr>
        <w:rFonts w:eastAsia="华文仿宋" w:asciiTheme="minorHAnsi" w:hAnsiTheme="minorHAnsi"/>
        <w:lang w:eastAsia="zh-CN"/>
      </w:rPr>
      <w:fldChar w:fldCharType="end"/>
    </w:r>
    <w:r>
      <w:rPr>
        <w:rFonts w:hint="eastAsia" w:ascii="Calibri" w:hAnsi="Calibri" w:eastAsia="仿宋"/>
        <w:lang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0" w:leftChars="-193" w:hanging="425" w:hangingChars="152"/>
      <w:jc w:val="left"/>
      <w:rPr>
        <w:rFonts w:hint="eastAsia" w:ascii="楷体" w:hAnsi="楷体" w:eastAsia="楷体"/>
        <w:sz w:val="28"/>
        <w:szCs w:val="28"/>
        <w:lang w:eastAsia="zh-CN"/>
      </w:rPr>
    </w:pPr>
    <w:r>
      <w:rPr>
        <w:rFonts w:hint="eastAsia" w:ascii="楷体" w:hAnsi="楷体" w:eastAsia="楷体"/>
        <w:sz w:val="28"/>
        <w:szCs w:val="28"/>
        <w:lang w:eastAsia="zh-CN"/>
      </w:rPr>
      <w:t>本资产评估报告依据中国资产评估准则编制</w:t>
    </w:r>
  </w:p>
  <w:p>
    <w:pPr>
      <w:pStyle w:val="9"/>
      <w:pBdr>
        <w:bottom w:val="none" w:color="auto" w:sz="0" w:space="0"/>
      </w:pBdr>
      <w:ind w:left="0" w:leftChars="-193" w:hanging="425" w:hangingChars="152"/>
      <w:jc w:val="left"/>
      <w:rPr>
        <w:rFonts w:hint="eastAsia" w:ascii="楷体" w:hAnsi="楷体" w:eastAsia="楷体"/>
        <w:sz w:val="28"/>
        <w:szCs w:val="28"/>
        <w:lang w:eastAsia="zh-CN"/>
      </w:rPr>
    </w:pPr>
    <w:r>
      <w:rPr>
        <w:rFonts w:hint="eastAsia" w:ascii="楷体" w:hAnsi="楷体" w:eastAsia="楷体"/>
        <w:sz w:val="28"/>
        <w:szCs w:val="28"/>
        <w:lang w:eastAsia="zh-CN"/>
      </w:rPr>
      <w:t>人民法院委托司法执行财产处置参考价目的资产评估报告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8522" w:type="dxa"/>
      <w:tblInd w:w="0" w:type="dxa"/>
      <w:tblLayout w:type="fixed"/>
      <w:tblCellMar>
        <w:top w:w="0" w:type="dxa"/>
        <w:left w:w="108" w:type="dxa"/>
        <w:bottom w:w="0" w:type="dxa"/>
        <w:right w:w="108" w:type="dxa"/>
      </w:tblCellMar>
    </w:tblPr>
    <w:tblGrid>
      <w:gridCol w:w="948"/>
      <w:gridCol w:w="7574"/>
    </w:tblGrid>
    <w:tr>
      <w:tblPrEx>
        <w:tblCellMar>
          <w:top w:w="0" w:type="dxa"/>
          <w:left w:w="108" w:type="dxa"/>
          <w:bottom w:w="0" w:type="dxa"/>
          <w:right w:w="108" w:type="dxa"/>
        </w:tblCellMar>
      </w:tblPrEx>
      <w:tc>
        <w:tcPr>
          <w:tcW w:w="948" w:type="dxa"/>
          <w:vMerge w:val="restart"/>
          <w:vAlign w:val="center"/>
        </w:tcPr>
        <w:p>
          <w:pPr>
            <w:pStyle w:val="9"/>
            <w:pBdr>
              <w:bottom w:val="none" w:color="auto" w:sz="0" w:space="0"/>
            </w:pBdr>
            <w:spacing w:after="0" w:line="0" w:lineRule="atLeast"/>
            <w:jc w:val="left"/>
            <w:rPr>
              <w:rFonts w:ascii="Calibri" w:hAnsi="Calibri" w:eastAsia="华文中宋"/>
              <w:sz w:val="15"/>
            </w:rPr>
          </w:pPr>
          <w:r>
            <w:rPr>
              <w:lang w:eastAsia="zh-CN" w:bidi="ar-SA"/>
            </w:rPr>
            <w:drawing>
              <wp:inline distT="0" distB="0" distL="0" distR="0">
                <wp:extent cx="444500" cy="452755"/>
                <wp:effectExtent l="0" t="0" r="0" b="0"/>
                <wp:docPr id="99" name="图片 9" descr="鹏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 descr="鹏信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4500" cy="452755"/>
                        </a:xfrm>
                        <a:prstGeom prst="rect">
                          <a:avLst/>
                        </a:prstGeom>
                        <a:noFill/>
                        <a:ln>
                          <a:noFill/>
                        </a:ln>
                      </pic:spPr>
                    </pic:pic>
                  </a:graphicData>
                </a:graphic>
              </wp:inline>
            </w:drawing>
          </w:r>
        </w:p>
      </w:tc>
      <w:tc>
        <w:tcPr>
          <w:tcW w:w="7574" w:type="dxa"/>
        </w:tcPr>
        <w:p>
          <w:pPr>
            <w:pStyle w:val="9"/>
            <w:pBdr>
              <w:bottom w:val="none" w:color="auto" w:sz="0" w:space="0"/>
            </w:pBdr>
            <w:spacing w:after="0" w:line="0" w:lineRule="atLeast"/>
            <w:jc w:val="right"/>
            <w:rPr>
              <w:rFonts w:ascii="Calibri" w:hAnsi="Calibri" w:eastAsia="仿宋"/>
              <w:lang w:eastAsia="zh-CN"/>
            </w:rPr>
          </w:pPr>
          <w:r>
            <w:rPr>
              <w:rFonts w:hint="eastAsia" w:ascii="Calibri" w:hAnsi="Calibri" w:eastAsia="仿宋"/>
              <w:lang w:eastAsia="zh-CN"/>
            </w:rPr>
            <w:t>衡南县人民法院</w:t>
          </w:r>
        </w:p>
      </w:tc>
    </w:tr>
    <w:tr>
      <w:tblPrEx>
        <w:tblCellMar>
          <w:top w:w="0" w:type="dxa"/>
          <w:left w:w="108" w:type="dxa"/>
          <w:bottom w:w="0" w:type="dxa"/>
          <w:right w:w="108" w:type="dxa"/>
        </w:tblCellMar>
      </w:tblPrEx>
      <w:tc>
        <w:tcPr>
          <w:tcW w:w="948" w:type="dxa"/>
          <w:vMerge w:val="continue"/>
        </w:tcPr>
        <w:p>
          <w:pPr>
            <w:pStyle w:val="9"/>
            <w:pBdr>
              <w:bottom w:val="none" w:color="auto" w:sz="0" w:space="0"/>
            </w:pBdr>
            <w:spacing w:after="0" w:line="0" w:lineRule="atLeast"/>
            <w:jc w:val="both"/>
            <w:rPr>
              <w:rFonts w:ascii="Calibri" w:hAnsi="Calibri" w:eastAsia="华文中宋"/>
              <w:sz w:val="15"/>
            </w:rPr>
          </w:pPr>
        </w:p>
      </w:tc>
      <w:tc>
        <w:tcPr>
          <w:tcW w:w="7574" w:type="dxa"/>
        </w:tcPr>
        <w:p>
          <w:pPr>
            <w:pStyle w:val="9"/>
            <w:pBdr>
              <w:bottom w:val="none" w:color="auto" w:sz="0" w:space="0"/>
            </w:pBdr>
            <w:spacing w:after="0" w:line="0" w:lineRule="atLeast"/>
            <w:jc w:val="right"/>
            <w:rPr>
              <w:rFonts w:ascii="Calibri" w:hAnsi="Calibri" w:eastAsia="仿宋"/>
              <w:lang w:eastAsia="zh-CN"/>
            </w:rPr>
          </w:pPr>
          <w:r>
            <w:rPr>
              <w:rFonts w:hint="eastAsia" w:ascii="Calibri" w:hAnsi="Calibri" w:eastAsia="仿宋"/>
              <w:lang w:eastAsia="zh-CN"/>
            </w:rPr>
            <w:t>拟处置资产所涉及的</w:t>
          </w:r>
        </w:p>
      </w:tc>
    </w:tr>
    <w:tr>
      <w:tblPrEx>
        <w:tblCellMar>
          <w:top w:w="0" w:type="dxa"/>
          <w:left w:w="108" w:type="dxa"/>
          <w:bottom w:w="0" w:type="dxa"/>
          <w:right w:w="108" w:type="dxa"/>
        </w:tblCellMar>
      </w:tblPrEx>
      <w:tc>
        <w:tcPr>
          <w:tcW w:w="948" w:type="dxa"/>
          <w:vMerge w:val="continue"/>
        </w:tcPr>
        <w:p>
          <w:pPr>
            <w:pStyle w:val="9"/>
            <w:pBdr>
              <w:bottom w:val="none" w:color="auto" w:sz="0" w:space="0"/>
            </w:pBdr>
            <w:spacing w:after="0" w:line="0" w:lineRule="atLeast"/>
            <w:jc w:val="both"/>
            <w:rPr>
              <w:rFonts w:ascii="Calibri" w:hAnsi="Calibri" w:eastAsia="华文中宋"/>
              <w:sz w:val="15"/>
              <w:lang w:eastAsia="zh-CN"/>
            </w:rPr>
          </w:pPr>
        </w:p>
      </w:tc>
      <w:tc>
        <w:tcPr>
          <w:tcW w:w="7574" w:type="dxa"/>
        </w:tcPr>
        <w:p>
          <w:pPr>
            <w:pStyle w:val="9"/>
            <w:pBdr>
              <w:bottom w:val="none" w:color="auto" w:sz="0" w:space="0"/>
            </w:pBdr>
            <w:spacing w:after="0" w:line="0" w:lineRule="atLeast"/>
            <w:jc w:val="right"/>
            <w:rPr>
              <w:rFonts w:ascii="Calibri" w:hAnsi="Calibri" w:eastAsia="仿宋"/>
              <w:lang w:eastAsia="zh-CN"/>
            </w:rPr>
          </w:pPr>
          <w:r>
            <w:rPr>
              <w:rFonts w:hint="eastAsia" w:ascii="Calibri" w:hAnsi="Calibri" w:eastAsia="仿宋"/>
              <w:lang w:eastAsia="zh-CN"/>
            </w:rPr>
            <w:t>衡阳市永衡房地产开发有限公司位于衡南县云集镇小商品（一）-2号地（永衡云嶺A栋）108A室商服房地产资产评估报告·目录</w:t>
          </w:r>
        </w:p>
      </w:tc>
    </w:tr>
  </w:tbl>
  <w:p>
    <w:pPr>
      <w:pStyle w:val="9"/>
      <w:spacing w:after="0" w:line="0" w:lineRule="atLeast"/>
      <w:jc w:val="both"/>
      <w:rPr>
        <w:sz w:val="10"/>
        <w:szCs w:val="1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8522" w:type="dxa"/>
      <w:tblInd w:w="0" w:type="dxa"/>
      <w:tblLayout w:type="fixed"/>
      <w:tblCellMar>
        <w:top w:w="0" w:type="dxa"/>
        <w:left w:w="108" w:type="dxa"/>
        <w:bottom w:w="0" w:type="dxa"/>
        <w:right w:w="108" w:type="dxa"/>
      </w:tblCellMar>
    </w:tblPr>
    <w:tblGrid>
      <w:gridCol w:w="1008"/>
      <w:gridCol w:w="7514"/>
    </w:tblGrid>
    <w:tr>
      <w:tblPrEx>
        <w:tblCellMar>
          <w:top w:w="0" w:type="dxa"/>
          <w:left w:w="108" w:type="dxa"/>
          <w:bottom w:w="0" w:type="dxa"/>
          <w:right w:w="108" w:type="dxa"/>
        </w:tblCellMar>
      </w:tblPrEx>
      <w:tc>
        <w:tcPr>
          <w:tcW w:w="1008" w:type="dxa"/>
          <w:vMerge w:val="restart"/>
          <w:vAlign w:val="center"/>
        </w:tcPr>
        <w:p>
          <w:pPr>
            <w:pStyle w:val="9"/>
            <w:pBdr>
              <w:bottom w:val="none" w:color="auto" w:sz="0" w:space="0"/>
            </w:pBdr>
            <w:spacing w:after="0" w:line="0" w:lineRule="atLeast"/>
            <w:jc w:val="left"/>
            <w:rPr>
              <w:rFonts w:ascii="Calibri" w:hAnsi="Calibri" w:eastAsia="华文中宋"/>
              <w:sz w:val="15"/>
            </w:rPr>
          </w:pPr>
          <w:r>
            <w:rPr>
              <w:lang w:eastAsia="zh-CN" w:bidi="ar-SA"/>
            </w:rPr>
            <w:drawing>
              <wp:inline distT="0" distB="0" distL="0" distR="0">
                <wp:extent cx="444500" cy="452755"/>
                <wp:effectExtent l="0" t="0" r="0" b="0"/>
                <wp:docPr id="1" name="图片 9" descr="鹏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鹏信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4500" cy="452755"/>
                        </a:xfrm>
                        <a:prstGeom prst="rect">
                          <a:avLst/>
                        </a:prstGeom>
                        <a:noFill/>
                        <a:ln>
                          <a:noFill/>
                        </a:ln>
                      </pic:spPr>
                    </pic:pic>
                  </a:graphicData>
                </a:graphic>
              </wp:inline>
            </w:drawing>
          </w:r>
        </w:p>
      </w:tc>
      <w:tc>
        <w:tcPr>
          <w:tcW w:w="7514" w:type="dxa"/>
        </w:tcPr>
        <w:p>
          <w:pPr>
            <w:pStyle w:val="9"/>
            <w:pBdr>
              <w:bottom w:val="none" w:color="auto" w:sz="0" w:space="0"/>
            </w:pBdr>
            <w:spacing w:after="0" w:line="0" w:lineRule="atLeast"/>
            <w:jc w:val="right"/>
            <w:rPr>
              <w:rFonts w:ascii="Calibri" w:hAnsi="Calibri" w:eastAsia="仿宋"/>
              <w:lang w:eastAsia="zh-CN"/>
            </w:rPr>
          </w:pPr>
          <w:r>
            <w:rPr>
              <w:rFonts w:hint="eastAsia" w:ascii="Calibri" w:hAnsi="Calibri" w:eastAsia="仿宋"/>
              <w:lang w:eastAsia="zh-CN"/>
            </w:rPr>
            <w:t>衡南县人民法院</w:t>
          </w:r>
        </w:p>
      </w:tc>
    </w:tr>
    <w:tr>
      <w:tblPrEx>
        <w:tblCellMar>
          <w:top w:w="0" w:type="dxa"/>
          <w:left w:w="108" w:type="dxa"/>
          <w:bottom w:w="0" w:type="dxa"/>
          <w:right w:w="108" w:type="dxa"/>
        </w:tblCellMar>
      </w:tblPrEx>
      <w:tc>
        <w:tcPr>
          <w:tcW w:w="1008" w:type="dxa"/>
          <w:vMerge w:val="continue"/>
        </w:tcPr>
        <w:p>
          <w:pPr>
            <w:pStyle w:val="9"/>
            <w:pBdr>
              <w:bottom w:val="none" w:color="auto" w:sz="0" w:space="0"/>
            </w:pBdr>
            <w:spacing w:after="0" w:line="0" w:lineRule="atLeast"/>
            <w:jc w:val="both"/>
            <w:rPr>
              <w:rFonts w:ascii="Calibri" w:hAnsi="Calibri" w:eastAsia="华文中宋"/>
              <w:sz w:val="15"/>
            </w:rPr>
          </w:pPr>
        </w:p>
      </w:tc>
      <w:tc>
        <w:tcPr>
          <w:tcW w:w="7514" w:type="dxa"/>
        </w:tcPr>
        <w:p>
          <w:pPr>
            <w:pStyle w:val="9"/>
            <w:pBdr>
              <w:bottom w:val="none" w:color="auto" w:sz="0" w:space="0"/>
            </w:pBdr>
            <w:spacing w:after="0" w:line="0" w:lineRule="atLeast"/>
            <w:jc w:val="right"/>
            <w:rPr>
              <w:rFonts w:ascii="Calibri" w:hAnsi="Calibri" w:eastAsia="仿宋"/>
              <w:lang w:eastAsia="zh-CN"/>
            </w:rPr>
          </w:pPr>
          <w:r>
            <w:rPr>
              <w:rFonts w:hint="eastAsia" w:ascii="Calibri" w:hAnsi="Calibri" w:eastAsia="仿宋"/>
              <w:lang w:eastAsia="zh-CN"/>
            </w:rPr>
            <w:t>拟处置资产所涉及的</w:t>
          </w:r>
        </w:p>
      </w:tc>
    </w:tr>
    <w:tr>
      <w:tblPrEx>
        <w:tblCellMar>
          <w:top w:w="0" w:type="dxa"/>
          <w:left w:w="108" w:type="dxa"/>
          <w:bottom w:w="0" w:type="dxa"/>
          <w:right w:w="108" w:type="dxa"/>
        </w:tblCellMar>
      </w:tblPrEx>
      <w:tc>
        <w:tcPr>
          <w:tcW w:w="1008" w:type="dxa"/>
          <w:vMerge w:val="continue"/>
        </w:tcPr>
        <w:p>
          <w:pPr>
            <w:pStyle w:val="9"/>
            <w:pBdr>
              <w:bottom w:val="none" w:color="auto" w:sz="0" w:space="0"/>
            </w:pBdr>
            <w:spacing w:after="0" w:line="0" w:lineRule="atLeast"/>
            <w:jc w:val="both"/>
            <w:rPr>
              <w:rFonts w:ascii="Calibri" w:hAnsi="Calibri" w:eastAsia="华文中宋"/>
              <w:sz w:val="15"/>
              <w:lang w:eastAsia="zh-CN"/>
            </w:rPr>
          </w:pPr>
        </w:p>
      </w:tc>
      <w:tc>
        <w:tcPr>
          <w:tcW w:w="7514" w:type="dxa"/>
        </w:tcPr>
        <w:p>
          <w:pPr>
            <w:pStyle w:val="9"/>
            <w:pBdr>
              <w:bottom w:val="none" w:color="auto" w:sz="0" w:space="0"/>
            </w:pBdr>
            <w:spacing w:after="0" w:line="0" w:lineRule="atLeast"/>
            <w:jc w:val="right"/>
            <w:rPr>
              <w:rFonts w:ascii="Calibri" w:hAnsi="Calibri" w:eastAsia="仿宋"/>
              <w:lang w:eastAsia="zh-CN"/>
            </w:rPr>
          </w:pPr>
          <w:r>
            <w:rPr>
              <w:rFonts w:hint="eastAsia" w:ascii="Calibri" w:hAnsi="Calibri" w:eastAsia="仿宋"/>
              <w:lang w:eastAsia="zh-CN"/>
            </w:rPr>
            <w:t>衡阳市永衡房地产开发有限公司位于衡南县云集镇小商品（一）-2号地（永衡云嶺A栋）108A室商服房地产资产评估报告·声明</w:t>
          </w:r>
        </w:p>
      </w:tc>
    </w:tr>
  </w:tbl>
  <w:p>
    <w:pPr>
      <w:pStyle w:val="9"/>
      <w:spacing w:after="0" w:line="0" w:lineRule="atLeast"/>
      <w:jc w:val="both"/>
      <w:rPr>
        <w:sz w:val="10"/>
        <w:szCs w:val="10"/>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8522" w:type="dxa"/>
      <w:tblInd w:w="0" w:type="dxa"/>
      <w:tblLayout w:type="fixed"/>
      <w:tblCellMar>
        <w:top w:w="0" w:type="dxa"/>
        <w:left w:w="108" w:type="dxa"/>
        <w:bottom w:w="0" w:type="dxa"/>
        <w:right w:w="108" w:type="dxa"/>
      </w:tblCellMar>
    </w:tblPr>
    <w:tblGrid>
      <w:gridCol w:w="963"/>
      <w:gridCol w:w="7559"/>
    </w:tblGrid>
    <w:tr>
      <w:tblPrEx>
        <w:tblCellMar>
          <w:top w:w="0" w:type="dxa"/>
          <w:left w:w="108" w:type="dxa"/>
          <w:bottom w:w="0" w:type="dxa"/>
          <w:right w:w="108" w:type="dxa"/>
        </w:tblCellMar>
      </w:tblPrEx>
      <w:tc>
        <w:tcPr>
          <w:tcW w:w="963" w:type="dxa"/>
          <w:vMerge w:val="restart"/>
          <w:vAlign w:val="center"/>
        </w:tcPr>
        <w:p>
          <w:pPr>
            <w:pStyle w:val="9"/>
            <w:pBdr>
              <w:bottom w:val="none" w:color="auto" w:sz="0" w:space="0"/>
            </w:pBdr>
            <w:spacing w:after="0" w:line="0" w:lineRule="atLeast"/>
            <w:jc w:val="left"/>
            <w:rPr>
              <w:rFonts w:ascii="Calibri" w:hAnsi="Calibri" w:eastAsia="华文中宋"/>
              <w:sz w:val="15"/>
            </w:rPr>
          </w:pPr>
          <w:r>
            <w:rPr>
              <w:lang w:eastAsia="zh-CN" w:bidi="ar-SA"/>
            </w:rPr>
            <w:drawing>
              <wp:inline distT="0" distB="0" distL="0" distR="0">
                <wp:extent cx="444500" cy="452755"/>
                <wp:effectExtent l="0" t="0" r="0" b="0"/>
                <wp:docPr id="3" name="图片 9" descr="鹏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鹏信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4500" cy="452755"/>
                        </a:xfrm>
                        <a:prstGeom prst="rect">
                          <a:avLst/>
                        </a:prstGeom>
                        <a:noFill/>
                        <a:ln>
                          <a:noFill/>
                        </a:ln>
                      </pic:spPr>
                    </pic:pic>
                  </a:graphicData>
                </a:graphic>
              </wp:inline>
            </w:drawing>
          </w:r>
        </w:p>
      </w:tc>
      <w:tc>
        <w:tcPr>
          <w:tcW w:w="7559" w:type="dxa"/>
        </w:tcPr>
        <w:p>
          <w:pPr>
            <w:pStyle w:val="9"/>
            <w:pBdr>
              <w:bottom w:val="none" w:color="auto" w:sz="0" w:space="0"/>
            </w:pBdr>
            <w:spacing w:after="0" w:line="0" w:lineRule="atLeast"/>
            <w:jc w:val="right"/>
            <w:rPr>
              <w:rFonts w:ascii="Calibri" w:hAnsi="Calibri" w:eastAsia="仿宋"/>
              <w:lang w:eastAsia="zh-CN"/>
            </w:rPr>
          </w:pPr>
          <w:r>
            <w:rPr>
              <w:rFonts w:hint="eastAsia" w:ascii="Calibri" w:hAnsi="Calibri" w:eastAsia="仿宋"/>
              <w:lang w:eastAsia="zh-CN"/>
            </w:rPr>
            <w:t>衡南县人民法院</w:t>
          </w:r>
        </w:p>
      </w:tc>
    </w:tr>
    <w:tr>
      <w:tblPrEx>
        <w:tblCellMar>
          <w:top w:w="0" w:type="dxa"/>
          <w:left w:w="108" w:type="dxa"/>
          <w:bottom w:w="0" w:type="dxa"/>
          <w:right w:w="108" w:type="dxa"/>
        </w:tblCellMar>
      </w:tblPrEx>
      <w:tc>
        <w:tcPr>
          <w:tcW w:w="963" w:type="dxa"/>
          <w:vMerge w:val="continue"/>
        </w:tcPr>
        <w:p>
          <w:pPr>
            <w:pStyle w:val="9"/>
            <w:pBdr>
              <w:bottom w:val="none" w:color="auto" w:sz="0" w:space="0"/>
            </w:pBdr>
            <w:spacing w:after="0" w:line="0" w:lineRule="atLeast"/>
            <w:jc w:val="both"/>
            <w:rPr>
              <w:rFonts w:ascii="Calibri" w:hAnsi="Calibri" w:eastAsia="华文中宋"/>
              <w:sz w:val="15"/>
            </w:rPr>
          </w:pPr>
        </w:p>
      </w:tc>
      <w:tc>
        <w:tcPr>
          <w:tcW w:w="7559" w:type="dxa"/>
        </w:tcPr>
        <w:p>
          <w:pPr>
            <w:pStyle w:val="9"/>
            <w:pBdr>
              <w:bottom w:val="none" w:color="auto" w:sz="0" w:space="0"/>
            </w:pBdr>
            <w:spacing w:after="0" w:line="0" w:lineRule="atLeast"/>
            <w:jc w:val="right"/>
            <w:rPr>
              <w:rFonts w:ascii="Calibri" w:hAnsi="Calibri" w:eastAsia="仿宋"/>
              <w:lang w:eastAsia="zh-CN"/>
            </w:rPr>
          </w:pPr>
          <w:r>
            <w:rPr>
              <w:rFonts w:hint="eastAsia" w:ascii="Calibri" w:hAnsi="Calibri" w:eastAsia="仿宋"/>
              <w:lang w:eastAsia="zh-CN"/>
            </w:rPr>
            <w:t>拟处置资产所涉及的</w:t>
          </w:r>
        </w:p>
      </w:tc>
    </w:tr>
    <w:tr>
      <w:tblPrEx>
        <w:tblCellMar>
          <w:top w:w="0" w:type="dxa"/>
          <w:left w:w="108" w:type="dxa"/>
          <w:bottom w:w="0" w:type="dxa"/>
          <w:right w:w="108" w:type="dxa"/>
        </w:tblCellMar>
      </w:tblPrEx>
      <w:tc>
        <w:tcPr>
          <w:tcW w:w="963" w:type="dxa"/>
          <w:vMerge w:val="continue"/>
        </w:tcPr>
        <w:p>
          <w:pPr>
            <w:pStyle w:val="9"/>
            <w:pBdr>
              <w:bottom w:val="none" w:color="auto" w:sz="0" w:space="0"/>
            </w:pBdr>
            <w:spacing w:after="0" w:line="0" w:lineRule="atLeast"/>
            <w:jc w:val="both"/>
            <w:rPr>
              <w:rFonts w:ascii="Calibri" w:hAnsi="Calibri" w:eastAsia="华文中宋"/>
              <w:sz w:val="15"/>
              <w:lang w:eastAsia="zh-CN"/>
            </w:rPr>
          </w:pPr>
        </w:p>
      </w:tc>
      <w:tc>
        <w:tcPr>
          <w:tcW w:w="7559" w:type="dxa"/>
        </w:tcPr>
        <w:p>
          <w:pPr>
            <w:pStyle w:val="9"/>
            <w:pBdr>
              <w:bottom w:val="none" w:color="auto" w:sz="0" w:space="0"/>
            </w:pBdr>
            <w:spacing w:after="0" w:line="0" w:lineRule="atLeast"/>
            <w:jc w:val="right"/>
            <w:rPr>
              <w:rFonts w:ascii="Calibri" w:hAnsi="Calibri" w:eastAsia="仿宋"/>
              <w:lang w:eastAsia="zh-CN"/>
            </w:rPr>
          </w:pPr>
          <w:r>
            <w:rPr>
              <w:rFonts w:hint="eastAsia" w:ascii="Calibri" w:hAnsi="Calibri" w:eastAsia="仿宋"/>
              <w:lang w:eastAsia="zh-CN"/>
            </w:rPr>
            <w:t>衡阳市永衡房地产开发有限公司位于衡南县云集镇小商品（一）-2号地（永衡云嶺A栋）108A室商服房地产资产评估报告·摘要</w:t>
          </w:r>
        </w:p>
      </w:tc>
    </w:tr>
  </w:tbl>
  <w:p>
    <w:pPr>
      <w:pStyle w:val="9"/>
      <w:spacing w:after="0" w:line="0" w:lineRule="atLeast"/>
      <w:jc w:val="both"/>
      <w:rPr>
        <w:sz w:val="10"/>
        <w:szCs w:val="10"/>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8522" w:type="dxa"/>
      <w:tblInd w:w="0" w:type="dxa"/>
      <w:tblLayout w:type="fixed"/>
      <w:tblCellMar>
        <w:top w:w="0" w:type="dxa"/>
        <w:left w:w="108" w:type="dxa"/>
        <w:bottom w:w="0" w:type="dxa"/>
        <w:right w:w="108" w:type="dxa"/>
      </w:tblCellMar>
    </w:tblPr>
    <w:tblGrid>
      <w:gridCol w:w="1008"/>
      <w:gridCol w:w="7514"/>
    </w:tblGrid>
    <w:tr>
      <w:tblPrEx>
        <w:tblCellMar>
          <w:top w:w="0" w:type="dxa"/>
          <w:left w:w="108" w:type="dxa"/>
          <w:bottom w:w="0" w:type="dxa"/>
          <w:right w:w="108" w:type="dxa"/>
        </w:tblCellMar>
      </w:tblPrEx>
      <w:tc>
        <w:tcPr>
          <w:tcW w:w="1008" w:type="dxa"/>
          <w:vMerge w:val="restart"/>
          <w:vAlign w:val="center"/>
        </w:tcPr>
        <w:p>
          <w:pPr>
            <w:pStyle w:val="9"/>
            <w:pBdr>
              <w:bottom w:val="none" w:color="auto" w:sz="0" w:space="0"/>
            </w:pBdr>
            <w:spacing w:after="0" w:line="0" w:lineRule="atLeast"/>
            <w:jc w:val="left"/>
            <w:rPr>
              <w:rFonts w:ascii="Calibri" w:hAnsi="Calibri" w:eastAsia="华文中宋"/>
              <w:sz w:val="15"/>
            </w:rPr>
          </w:pPr>
          <w:r>
            <w:rPr>
              <w:lang w:eastAsia="zh-CN" w:bidi="ar-SA"/>
            </w:rPr>
            <w:drawing>
              <wp:inline distT="0" distB="0" distL="0" distR="0">
                <wp:extent cx="444500" cy="452755"/>
                <wp:effectExtent l="0" t="0" r="0" b="0"/>
                <wp:docPr id="4" name="图片 9" descr="鹏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鹏信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4500" cy="452755"/>
                        </a:xfrm>
                        <a:prstGeom prst="rect">
                          <a:avLst/>
                        </a:prstGeom>
                        <a:noFill/>
                        <a:ln>
                          <a:noFill/>
                        </a:ln>
                      </pic:spPr>
                    </pic:pic>
                  </a:graphicData>
                </a:graphic>
              </wp:inline>
            </w:drawing>
          </w:r>
        </w:p>
      </w:tc>
      <w:tc>
        <w:tcPr>
          <w:tcW w:w="7514" w:type="dxa"/>
        </w:tcPr>
        <w:p>
          <w:pPr>
            <w:pStyle w:val="9"/>
            <w:pBdr>
              <w:bottom w:val="none" w:color="auto" w:sz="0" w:space="0"/>
            </w:pBdr>
            <w:spacing w:after="0" w:line="0" w:lineRule="atLeast"/>
            <w:jc w:val="right"/>
            <w:rPr>
              <w:rFonts w:ascii="Calibri" w:hAnsi="Calibri" w:eastAsia="仿宋"/>
              <w:lang w:eastAsia="zh-CN"/>
            </w:rPr>
          </w:pPr>
          <w:r>
            <w:rPr>
              <w:rFonts w:hint="eastAsia" w:ascii="Calibri" w:hAnsi="Calibri" w:eastAsia="仿宋"/>
              <w:lang w:eastAsia="zh-CN"/>
            </w:rPr>
            <w:t>衡南县人民法院</w:t>
          </w:r>
        </w:p>
      </w:tc>
    </w:tr>
    <w:tr>
      <w:tblPrEx>
        <w:tblCellMar>
          <w:top w:w="0" w:type="dxa"/>
          <w:left w:w="108" w:type="dxa"/>
          <w:bottom w:w="0" w:type="dxa"/>
          <w:right w:w="108" w:type="dxa"/>
        </w:tblCellMar>
      </w:tblPrEx>
      <w:tc>
        <w:tcPr>
          <w:tcW w:w="1008" w:type="dxa"/>
          <w:vMerge w:val="continue"/>
        </w:tcPr>
        <w:p>
          <w:pPr>
            <w:pStyle w:val="9"/>
            <w:pBdr>
              <w:bottom w:val="none" w:color="auto" w:sz="0" w:space="0"/>
            </w:pBdr>
            <w:spacing w:after="0" w:line="0" w:lineRule="atLeast"/>
            <w:jc w:val="both"/>
            <w:rPr>
              <w:rFonts w:ascii="Calibri" w:hAnsi="Calibri" w:eastAsia="华文中宋"/>
              <w:sz w:val="15"/>
            </w:rPr>
          </w:pPr>
        </w:p>
      </w:tc>
      <w:tc>
        <w:tcPr>
          <w:tcW w:w="7514" w:type="dxa"/>
        </w:tcPr>
        <w:p>
          <w:pPr>
            <w:pStyle w:val="9"/>
            <w:pBdr>
              <w:bottom w:val="none" w:color="auto" w:sz="0" w:space="0"/>
            </w:pBdr>
            <w:spacing w:after="0" w:line="0" w:lineRule="atLeast"/>
            <w:jc w:val="right"/>
            <w:rPr>
              <w:rFonts w:ascii="Calibri" w:hAnsi="Calibri" w:eastAsia="仿宋"/>
              <w:lang w:eastAsia="zh-CN"/>
            </w:rPr>
          </w:pPr>
          <w:r>
            <w:rPr>
              <w:rFonts w:hint="eastAsia" w:ascii="Calibri" w:hAnsi="Calibri" w:eastAsia="仿宋"/>
              <w:lang w:eastAsia="zh-CN"/>
            </w:rPr>
            <w:t>拟处置资产所涉及的</w:t>
          </w:r>
        </w:p>
      </w:tc>
    </w:tr>
    <w:tr>
      <w:tblPrEx>
        <w:tblCellMar>
          <w:top w:w="0" w:type="dxa"/>
          <w:left w:w="108" w:type="dxa"/>
          <w:bottom w:w="0" w:type="dxa"/>
          <w:right w:w="108" w:type="dxa"/>
        </w:tblCellMar>
      </w:tblPrEx>
      <w:tc>
        <w:tcPr>
          <w:tcW w:w="1008" w:type="dxa"/>
          <w:vMerge w:val="continue"/>
        </w:tcPr>
        <w:p>
          <w:pPr>
            <w:pStyle w:val="9"/>
            <w:pBdr>
              <w:bottom w:val="none" w:color="auto" w:sz="0" w:space="0"/>
            </w:pBdr>
            <w:spacing w:after="0" w:line="0" w:lineRule="atLeast"/>
            <w:jc w:val="both"/>
            <w:rPr>
              <w:rFonts w:ascii="Calibri" w:hAnsi="Calibri" w:eastAsia="华文中宋"/>
              <w:sz w:val="15"/>
              <w:lang w:eastAsia="zh-CN"/>
            </w:rPr>
          </w:pPr>
        </w:p>
      </w:tc>
      <w:tc>
        <w:tcPr>
          <w:tcW w:w="7514" w:type="dxa"/>
        </w:tcPr>
        <w:p>
          <w:pPr>
            <w:pStyle w:val="9"/>
            <w:pBdr>
              <w:bottom w:val="none" w:color="auto" w:sz="0" w:space="0"/>
            </w:pBdr>
            <w:spacing w:after="0" w:line="0" w:lineRule="atLeast"/>
            <w:jc w:val="right"/>
            <w:rPr>
              <w:rFonts w:ascii="Calibri" w:hAnsi="Calibri" w:eastAsia="仿宋"/>
              <w:lang w:eastAsia="zh-CN"/>
            </w:rPr>
          </w:pPr>
          <w:r>
            <w:rPr>
              <w:rFonts w:hint="eastAsia" w:ascii="Calibri" w:hAnsi="Calibri" w:eastAsia="仿宋"/>
              <w:lang w:eastAsia="zh-CN"/>
            </w:rPr>
            <w:t>衡阳市永衡房地产开发有限公司位于衡南县云集镇小商品（一）-2号地（永衡云嶺A栋）108A室商服房地产资产评估报告·正文</w:t>
          </w:r>
        </w:p>
      </w:tc>
    </w:tr>
  </w:tbl>
  <w:p>
    <w:pPr>
      <w:pStyle w:val="9"/>
      <w:spacing w:after="0" w:line="0" w:lineRule="atLeast"/>
      <w:jc w:val="both"/>
      <w:rPr>
        <w:sz w:val="10"/>
        <w:szCs w:val="10"/>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8522" w:type="dxa"/>
      <w:tblInd w:w="0" w:type="dxa"/>
      <w:tblLayout w:type="fixed"/>
      <w:tblCellMar>
        <w:top w:w="0" w:type="dxa"/>
        <w:left w:w="108" w:type="dxa"/>
        <w:bottom w:w="0" w:type="dxa"/>
        <w:right w:w="108" w:type="dxa"/>
      </w:tblCellMar>
    </w:tblPr>
    <w:tblGrid>
      <w:gridCol w:w="1095"/>
      <w:gridCol w:w="7427"/>
    </w:tblGrid>
    <w:tr>
      <w:tblPrEx>
        <w:tblCellMar>
          <w:top w:w="0" w:type="dxa"/>
          <w:left w:w="108" w:type="dxa"/>
          <w:bottom w:w="0" w:type="dxa"/>
          <w:right w:w="108" w:type="dxa"/>
        </w:tblCellMar>
      </w:tblPrEx>
      <w:tc>
        <w:tcPr>
          <w:tcW w:w="1095" w:type="dxa"/>
          <w:vMerge w:val="restart"/>
          <w:vAlign w:val="center"/>
        </w:tcPr>
        <w:p>
          <w:pPr>
            <w:pStyle w:val="9"/>
            <w:pBdr>
              <w:bottom w:val="none" w:color="auto" w:sz="0" w:space="0"/>
            </w:pBdr>
            <w:spacing w:after="0" w:line="0" w:lineRule="atLeast"/>
            <w:jc w:val="left"/>
            <w:rPr>
              <w:rFonts w:ascii="Calibri" w:hAnsi="Calibri" w:eastAsia="华文中宋"/>
              <w:sz w:val="15"/>
            </w:rPr>
          </w:pPr>
          <w:r>
            <w:rPr>
              <w:lang w:eastAsia="zh-CN" w:bidi="ar-SA"/>
            </w:rPr>
            <w:drawing>
              <wp:inline distT="0" distB="0" distL="0" distR="0">
                <wp:extent cx="444500" cy="452755"/>
                <wp:effectExtent l="0" t="0" r="0" b="0"/>
                <wp:docPr id="6" name="图片 9" descr="鹏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鹏信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4500" cy="452755"/>
                        </a:xfrm>
                        <a:prstGeom prst="rect">
                          <a:avLst/>
                        </a:prstGeom>
                        <a:noFill/>
                        <a:ln>
                          <a:noFill/>
                        </a:ln>
                      </pic:spPr>
                    </pic:pic>
                  </a:graphicData>
                </a:graphic>
              </wp:inline>
            </w:drawing>
          </w:r>
        </w:p>
      </w:tc>
      <w:tc>
        <w:tcPr>
          <w:tcW w:w="7427" w:type="dxa"/>
        </w:tcPr>
        <w:p>
          <w:pPr>
            <w:pStyle w:val="9"/>
            <w:pBdr>
              <w:bottom w:val="none" w:color="auto" w:sz="0" w:space="0"/>
            </w:pBdr>
            <w:spacing w:after="0" w:line="0" w:lineRule="atLeast"/>
            <w:jc w:val="right"/>
            <w:rPr>
              <w:rFonts w:ascii="Calibri" w:hAnsi="Calibri" w:eastAsia="仿宋"/>
              <w:lang w:eastAsia="zh-CN"/>
            </w:rPr>
          </w:pPr>
          <w:r>
            <w:rPr>
              <w:rFonts w:hint="eastAsia" w:ascii="Calibri" w:hAnsi="Calibri" w:eastAsia="仿宋"/>
              <w:lang w:eastAsia="zh-CN"/>
            </w:rPr>
            <w:t>衡南县人民法院</w:t>
          </w:r>
        </w:p>
      </w:tc>
    </w:tr>
    <w:tr>
      <w:tblPrEx>
        <w:tblCellMar>
          <w:top w:w="0" w:type="dxa"/>
          <w:left w:w="108" w:type="dxa"/>
          <w:bottom w:w="0" w:type="dxa"/>
          <w:right w:w="108" w:type="dxa"/>
        </w:tblCellMar>
      </w:tblPrEx>
      <w:tc>
        <w:tcPr>
          <w:tcW w:w="1095" w:type="dxa"/>
          <w:vMerge w:val="continue"/>
        </w:tcPr>
        <w:p>
          <w:pPr>
            <w:pStyle w:val="9"/>
            <w:pBdr>
              <w:bottom w:val="none" w:color="auto" w:sz="0" w:space="0"/>
            </w:pBdr>
            <w:spacing w:after="0" w:line="0" w:lineRule="atLeast"/>
            <w:jc w:val="both"/>
            <w:rPr>
              <w:rFonts w:ascii="Calibri" w:hAnsi="Calibri" w:eastAsia="华文中宋"/>
              <w:sz w:val="15"/>
            </w:rPr>
          </w:pPr>
          <w:r>
            <w:rPr>
              <w:rFonts w:hint="eastAsia" w:ascii="Calibri" w:hAnsi="Calibri" w:eastAsia="华文中宋"/>
              <w:sz w:val="15"/>
              <w:lang w:eastAsia="zh-CN"/>
            </w:rPr>
            <w:t>资产</w:t>
          </w:r>
        </w:p>
      </w:tc>
      <w:tc>
        <w:tcPr>
          <w:tcW w:w="7427" w:type="dxa"/>
        </w:tcPr>
        <w:p>
          <w:pPr>
            <w:pStyle w:val="9"/>
            <w:pBdr>
              <w:bottom w:val="none" w:color="auto" w:sz="0" w:space="0"/>
            </w:pBdr>
            <w:spacing w:after="0" w:line="0" w:lineRule="atLeast"/>
            <w:jc w:val="right"/>
            <w:rPr>
              <w:rFonts w:ascii="Calibri" w:hAnsi="Calibri" w:eastAsia="仿宋"/>
              <w:lang w:eastAsia="zh-CN"/>
            </w:rPr>
          </w:pPr>
          <w:r>
            <w:rPr>
              <w:rFonts w:hint="eastAsia" w:ascii="Calibri" w:hAnsi="Calibri" w:eastAsia="仿宋"/>
              <w:lang w:eastAsia="zh-CN"/>
            </w:rPr>
            <w:t>拟处置资产所涉及的</w:t>
          </w:r>
        </w:p>
      </w:tc>
    </w:tr>
    <w:tr>
      <w:tblPrEx>
        <w:tblCellMar>
          <w:top w:w="0" w:type="dxa"/>
          <w:left w:w="108" w:type="dxa"/>
          <w:bottom w:w="0" w:type="dxa"/>
          <w:right w:w="108" w:type="dxa"/>
        </w:tblCellMar>
      </w:tblPrEx>
      <w:tc>
        <w:tcPr>
          <w:tcW w:w="1095" w:type="dxa"/>
          <w:vMerge w:val="continue"/>
        </w:tcPr>
        <w:p>
          <w:pPr>
            <w:pStyle w:val="9"/>
            <w:pBdr>
              <w:bottom w:val="none" w:color="auto" w:sz="0" w:space="0"/>
            </w:pBdr>
            <w:spacing w:after="0" w:line="0" w:lineRule="atLeast"/>
            <w:jc w:val="both"/>
            <w:rPr>
              <w:rFonts w:ascii="Calibri" w:hAnsi="Calibri" w:eastAsia="华文中宋"/>
              <w:sz w:val="15"/>
              <w:lang w:eastAsia="zh-CN"/>
            </w:rPr>
          </w:pPr>
        </w:p>
      </w:tc>
      <w:tc>
        <w:tcPr>
          <w:tcW w:w="7427" w:type="dxa"/>
        </w:tcPr>
        <w:p>
          <w:pPr>
            <w:pStyle w:val="9"/>
            <w:pBdr>
              <w:bottom w:val="none" w:color="auto" w:sz="0" w:space="0"/>
            </w:pBdr>
            <w:spacing w:after="0" w:line="0" w:lineRule="atLeast"/>
            <w:jc w:val="right"/>
            <w:rPr>
              <w:rFonts w:ascii="Calibri" w:hAnsi="Calibri" w:eastAsia="仿宋"/>
              <w:lang w:eastAsia="zh-CN"/>
            </w:rPr>
          </w:pPr>
          <w:r>
            <w:rPr>
              <w:rFonts w:hint="eastAsia" w:ascii="Calibri" w:hAnsi="Calibri" w:eastAsia="仿宋"/>
              <w:lang w:eastAsia="zh-CN"/>
            </w:rPr>
            <w:t>衡阳市永衡房地产开发有限公司位于衡南县云集镇小商品（一）-2号地（永衡云嶺A栋）108A室商服房地产资产评估报告·附件</w:t>
          </w:r>
        </w:p>
      </w:tc>
    </w:tr>
  </w:tbl>
  <w:p>
    <w:pPr>
      <w:pStyle w:val="9"/>
      <w:spacing w:after="0" w:line="0" w:lineRule="atLeast"/>
      <w:jc w:val="both"/>
      <w:rPr>
        <w:sz w:val="10"/>
        <w:szCs w:val="1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C0BA54"/>
    <w:multiLevelType w:val="singleLevel"/>
    <w:tmpl w:val="FEC0BA5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ZjgxMWZlZDgwZjQ4N2QyMWMyZDJkNTJkNjNkNzUifQ=="/>
  </w:docVars>
  <w:rsids>
    <w:rsidRoot w:val="004B684C"/>
    <w:rsid w:val="0000314D"/>
    <w:rsid w:val="00012F70"/>
    <w:rsid w:val="00026F12"/>
    <w:rsid w:val="00031E73"/>
    <w:rsid w:val="00033B2F"/>
    <w:rsid w:val="0004037A"/>
    <w:rsid w:val="000629FB"/>
    <w:rsid w:val="00071C07"/>
    <w:rsid w:val="00077AAF"/>
    <w:rsid w:val="000A1614"/>
    <w:rsid w:val="000A2C34"/>
    <w:rsid w:val="000A658E"/>
    <w:rsid w:val="000A7E65"/>
    <w:rsid w:val="000B53D7"/>
    <w:rsid w:val="000D45B2"/>
    <w:rsid w:val="001021DA"/>
    <w:rsid w:val="00112CE2"/>
    <w:rsid w:val="001239DC"/>
    <w:rsid w:val="00134939"/>
    <w:rsid w:val="001463F1"/>
    <w:rsid w:val="00147620"/>
    <w:rsid w:val="00154783"/>
    <w:rsid w:val="001833CE"/>
    <w:rsid w:val="001A54B0"/>
    <w:rsid w:val="001A5728"/>
    <w:rsid w:val="001B0531"/>
    <w:rsid w:val="001B5304"/>
    <w:rsid w:val="001C0DBE"/>
    <w:rsid w:val="001C42C3"/>
    <w:rsid w:val="001E0FA6"/>
    <w:rsid w:val="001F2E82"/>
    <w:rsid w:val="001F31F7"/>
    <w:rsid w:val="001F7390"/>
    <w:rsid w:val="00207566"/>
    <w:rsid w:val="00226022"/>
    <w:rsid w:val="00234294"/>
    <w:rsid w:val="0023640E"/>
    <w:rsid w:val="0023765D"/>
    <w:rsid w:val="00241B22"/>
    <w:rsid w:val="00242F20"/>
    <w:rsid w:val="002438B6"/>
    <w:rsid w:val="002802D2"/>
    <w:rsid w:val="00290C11"/>
    <w:rsid w:val="0029638B"/>
    <w:rsid w:val="002B1711"/>
    <w:rsid w:val="002B3E9A"/>
    <w:rsid w:val="002C1F02"/>
    <w:rsid w:val="002C5AC5"/>
    <w:rsid w:val="002D6E3A"/>
    <w:rsid w:val="002E37F4"/>
    <w:rsid w:val="00301D4F"/>
    <w:rsid w:val="00303160"/>
    <w:rsid w:val="00331AA3"/>
    <w:rsid w:val="00374C4C"/>
    <w:rsid w:val="00377E7F"/>
    <w:rsid w:val="003811AA"/>
    <w:rsid w:val="00393BBB"/>
    <w:rsid w:val="00394037"/>
    <w:rsid w:val="003A4B84"/>
    <w:rsid w:val="003B5F9A"/>
    <w:rsid w:val="003B7B01"/>
    <w:rsid w:val="003C0667"/>
    <w:rsid w:val="003C5FD3"/>
    <w:rsid w:val="003D70B8"/>
    <w:rsid w:val="003E2214"/>
    <w:rsid w:val="003F28BC"/>
    <w:rsid w:val="00412627"/>
    <w:rsid w:val="00417066"/>
    <w:rsid w:val="00417E9A"/>
    <w:rsid w:val="00430221"/>
    <w:rsid w:val="004340B6"/>
    <w:rsid w:val="004379E4"/>
    <w:rsid w:val="00450135"/>
    <w:rsid w:val="0045297D"/>
    <w:rsid w:val="00457338"/>
    <w:rsid w:val="00457893"/>
    <w:rsid w:val="0046290A"/>
    <w:rsid w:val="0046499B"/>
    <w:rsid w:val="00480E35"/>
    <w:rsid w:val="004A270F"/>
    <w:rsid w:val="004B0F52"/>
    <w:rsid w:val="004B684C"/>
    <w:rsid w:val="004C0FA6"/>
    <w:rsid w:val="004C2A55"/>
    <w:rsid w:val="004C46FA"/>
    <w:rsid w:val="004D1F51"/>
    <w:rsid w:val="004D684B"/>
    <w:rsid w:val="004F696C"/>
    <w:rsid w:val="00502ACB"/>
    <w:rsid w:val="00504696"/>
    <w:rsid w:val="00507266"/>
    <w:rsid w:val="005072F5"/>
    <w:rsid w:val="00512739"/>
    <w:rsid w:val="005138BD"/>
    <w:rsid w:val="005277B0"/>
    <w:rsid w:val="00530273"/>
    <w:rsid w:val="00531C9F"/>
    <w:rsid w:val="00532E18"/>
    <w:rsid w:val="00537449"/>
    <w:rsid w:val="00540726"/>
    <w:rsid w:val="00542B17"/>
    <w:rsid w:val="005438CF"/>
    <w:rsid w:val="00545151"/>
    <w:rsid w:val="005522DB"/>
    <w:rsid w:val="00554DCA"/>
    <w:rsid w:val="005748BB"/>
    <w:rsid w:val="00585A06"/>
    <w:rsid w:val="00590B33"/>
    <w:rsid w:val="005A19C2"/>
    <w:rsid w:val="005A6D16"/>
    <w:rsid w:val="005A76E6"/>
    <w:rsid w:val="005A78F1"/>
    <w:rsid w:val="005C040C"/>
    <w:rsid w:val="005D6351"/>
    <w:rsid w:val="00601586"/>
    <w:rsid w:val="00602C6E"/>
    <w:rsid w:val="00607500"/>
    <w:rsid w:val="00624FC4"/>
    <w:rsid w:val="00625B46"/>
    <w:rsid w:val="00627C67"/>
    <w:rsid w:val="00644390"/>
    <w:rsid w:val="006605BA"/>
    <w:rsid w:val="00675289"/>
    <w:rsid w:val="006848BF"/>
    <w:rsid w:val="0068613C"/>
    <w:rsid w:val="006911B6"/>
    <w:rsid w:val="0069400C"/>
    <w:rsid w:val="006A1ED6"/>
    <w:rsid w:val="006A52A0"/>
    <w:rsid w:val="006B4B86"/>
    <w:rsid w:val="006C6266"/>
    <w:rsid w:val="006D7EF2"/>
    <w:rsid w:val="006E3BD5"/>
    <w:rsid w:val="006E76D2"/>
    <w:rsid w:val="0071274B"/>
    <w:rsid w:val="00713DA3"/>
    <w:rsid w:val="007153AD"/>
    <w:rsid w:val="00732A70"/>
    <w:rsid w:val="00734267"/>
    <w:rsid w:val="0074030C"/>
    <w:rsid w:val="007438CC"/>
    <w:rsid w:val="00754559"/>
    <w:rsid w:val="0076094B"/>
    <w:rsid w:val="0076331B"/>
    <w:rsid w:val="007708A6"/>
    <w:rsid w:val="00794379"/>
    <w:rsid w:val="00795EC9"/>
    <w:rsid w:val="007A28BB"/>
    <w:rsid w:val="007A34AF"/>
    <w:rsid w:val="007B0B4D"/>
    <w:rsid w:val="007B5888"/>
    <w:rsid w:val="007B5BC4"/>
    <w:rsid w:val="007B6309"/>
    <w:rsid w:val="007C4CB5"/>
    <w:rsid w:val="007C6239"/>
    <w:rsid w:val="007D7A29"/>
    <w:rsid w:val="007E6612"/>
    <w:rsid w:val="007F20DD"/>
    <w:rsid w:val="00837BF3"/>
    <w:rsid w:val="008419F0"/>
    <w:rsid w:val="00864323"/>
    <w:rsid w:val="00872D0A"/>
    <w:rsid w:val="008822A6"/>
    <w:rsid w:val="00890BFC"/>
    <w:rsid w:val="0089324F"/>
    <w:rsid w:val="008A25B2"/>
    <w:rsid w:val="008A3450"/>
    <w:rsid w:val="008B6FDB"/>
    <w:rsid w:val="008D4291"/>
    <w:rsid w:val="008E0B69"/>
    <w:rsid w:val="008E47B2"/>
    <w:rsid w:val="008E6274"/>
    <w:rsid w:val="00905727"/>
    <w:rsid w:val="009108ED"/>
    <w:rsid w:val="009138AA"/>
    <w:rsid w:val="0092361A"/>
    <w:rsid w:val="00931768"/>
    <w:rsid w:val="00933B77"/>
    <w:rsid w:val="00942ED7"/>
    <w:rsid w:val="009511CE"/>
    <w:rsid w:val="00953443"/>
    <w:rsid w:val="0095660E"/>
    <w:rsid w:val="00956A4B"/>
    <w:rsid w:val="009712C1"/>
    <w:rsid w:val="00983D7C"/>
    <w:rsid w:val="0098407F"/>
    <w:rsid w:val="009B6752"/>
    <w:rsid w:val="009C004D"/>
    <w:rsid w:val="009C5BDE"/>
    <w:rsid w:val="009E0FAE"/>
    <w:rsid w:val="00A02B77"/>
    <w:rsid w:val="00A03A1F"/>
    <w:rsid w:val="00A068AF"/>
    <w:rsid w:val="00A07BF5"/>
    <w:rsid w:val="00A34C69"/>
    <w:rsid w:val="00A53D51"/>
    <w:rsid w:val="00A61146"/>
    <w:rsid w:val="00A714A0"/>
    <w:rsid w:val="00A7565A"/>
    <w:rsid w:val="00A765A3"/>
    <w:rsid w:val="00A82A0B"/>
    <w:rsid w:val="00A91227"/>
    <w:rsid w:val="00AA3476"/>
    <w:rsid w:val="00AA5186"/>
    <w:rsid w:val="00AA63F6"/>
    <w:rsid w:val="00AB1F0B"/>
    <w:rsid w:val="00AC31D2"/>
    <w:rsid w:val="00AC7132"/>
    <w:rsid w:val="00AD3C7C"/>
    <w:rsid w:val="00AE6A11"/>
    <w:rsid w:val="00AE7984"/>
    <w:rsid w:val="00AF51C1"/>
    <w:rsid w:val="00AF5A1E"/>
    <w:rsid w:val="00AF752F"/>
    <w:rsid w:val="00B022E6"/>
    <w:rsid w:val="00B173B2"/>
    <w:rsid w:val="00B2301D"/>
    <w:rsid w:val="00B27994"/>
    <w:rsid w:val="00B3107D"/>
    <w:rsid w:val="00B31F1D"/>
    <w:rsid w:val="00B34009"/>
    <w:rsid w:val="00B44C7B"/>
    <w:rsid w:val="00B6154B"/>
    <w:rsid w:val="00B8110C"/>
    <w:rsid w:val="00BA1313"/>
    <w:rsid w:val="00BB107E"/>
    <w:rsid w:val="00BC0369"/>
    <w:rsid w:val="00BC4DCD"/>
    <w:rsid w:val="00C01446"/>
    <w:rsid w:val="00C03E35"/>
    <w:rsid w:val="00C104AA"/>
    <w:rsid w:val="00C14A33"/>
    <w:rsid w:val="00C21407"/>
    <w:rsid w:val="00C25101"/>
    <w:rsid w:val="00C31691"/>
    <w:rsid w:val="00C33069"/>
    <w:rsid w:val="00C35357"/>
    <w:rsid w:val="00C37512"/>
    <w:rsid w:val="00C47027"/>
    <w:rsid w:val="00C66E1A"/>
    <w:rsid w:val="00C92F75"/>
    <w:rsid w:val="00CA0AC0"/>
    <w:rsid w:val="00CA5854"/>
    <w:rsid w:val="00CB02E5"/>
    <w:rsid w:val="00CC23D3"/>
    <w:rsid w:val="00CD0CF6"/>
    <w:rsid w:val="00CE52C0"/>
    <w:rsid w:val="00CF2181"/>
    <w:rsid w:val="00CF61D8"/>
    <w:rsid w:val="00D054B6"/>
    <w:rsid w:val="00D12FE3"/>
    <w:rsid w:val="00D37910"/>
    <w:rsid w:val="00D43D4D"/>
    <w:rsid w:val="00D46AE2"/>
    <w:rsid w:val="00D65873"/>
    <w:rsid w:val="00D715ED"/>
    <w:rsid w:val="00D75568"/>
    <w:rsid w:val="00D76C73"/>
    <w:rsid w:val="00D82A74"/>
    <w:rsid w:val="00D82CD8"/>
    <w:rsid w:val="00D85307"/>
    <w:rsid w:val="00D86F4F"/>
    <w:rsid w:val="00DA3EDD"/>
    <w:rsid w:val="00DB369B"/>
    <w:rsid w:val="00DE6684"/>
    <w:rsid w:val="00DF612C"/>
    <w:rsid w:val="00E00217"/>
    <w:rsid w:val="00E11FEE"/>
    <w:rsid w:val="00E14DA3"/>
    <w:rsid w:val="00E33660"/>
    <w:rsid w:val="00E51E92"/>
    <w:rsid w:val="00E57DD6"/>
    <w:rsid w:val="00E61202"/>
    <w:rsid w:val="00E62279"/>
    <w:rsid w:val="00E63062"/>
    <w:rsid w:val="00E66AF1"/>
    <w:rsid w:val="00E70276"/>
    <w:rsid w:val="00E70758"/>
    <w:rsid w:val="00E74318"/>
    <w:rsid w:val="00E75492"/>
    <w:rsid w:val="00E948E1"/>
    <w:rsid w:val="00E95098"/>
    <w:rsid w:val="00EA5F4F"/>
    <w:rsid w:val="00EA7EE6"/>
    <w:rsid w:val="00EC0985"/>
    <w:rsid w:val="00EC7E6C"/>
    <w:rsid w:val="00ED40A2"/>
    <w:rsid w:val="00EF5DC1"/>
    <w:rsid w:val="00F07001"/>
    <w:rsid w:val="00F12C89"/>
    <w:rsid w:val="00F12DC6"/>
    <w:rsid w:val="00F16B2E"/>
    <w:rsid w:val="00F21BAC"/>
    <w:rsid w:val="00F2616C"/>
    <w:rsid w:val="00F301FD"/>
    <w:rsid w:val="00F50147"/>
    <w:rsid w:val="00F5167E"/>
    <w:rsid w:val="00F65089"/>
    <w:rsid w:val="00F76A13"/>
    <w:rsid w:val="00F878F2"/>
    <w:rsid w:val="00FA6459"/>
    <w:rsid w:val="00FB3747"/>
    <w:rsid w:val="00FB3840"/>
    <w:rsid w:val="00FB6891"/>
    <w:rsid w:val="00FC3547"/>
    <w:rsid w:val="00FC3AA3"/>
    <w:rsid w:val="00FC743D"/>
    <w:rsid w:val="00FD354E"/>
    <w:rsid w:val="00FD4E9A"/>
    <w:rsid w:val="00FD556B"/>
    <w:rsid w:val="00FE78EC"/>
    <w:rsid w:val="00FF0A3D"/>
    <w:rsid w:val="012102BC"/>
    <w:rsid w:val="01E40855"/>
    <w:rsid w:val="02300EC6"/>
    <w:rsid w:val="0244571A"/>
    <w:rsid w:val="03012A6F"/>
    <w:rsid w:val="03A26C86"/>
    <w:rsid w:val="042C70C2"/>
    <w:rsid w:val="04F20C74"/>
    <w:rsid w:val="04F5107A"/>
    <w:rsid w:val="04FE7CFD"/>
    <w:rsid w:val="050D34DC"/>
    <w:rsid w:val="052535A2"/>
    <w:rsid w:val="0526744A"/>
    <w:rsid w:val="059174AE"/>
    <w:rsid w:val="059B1940"/>
    <w:rsid w:val="05CC5675"/>
    <w:rsid w:val="06703D88"/>
    <w:rsid w:val="06BB3ECC"/>
    <w:rsid w:val="07B11C72"/>
    <w:rsid w:val="07D70072"/>
    <w:rsid w:val="08A153DE"/>
    <w:rsid w:val="08B1086B"/>
    <w:rsid w:val="091579DB"/>
    <w:rsid w:val="091F19AD"/>
    <w:rsid w:val="094D37E9"/>
    <w:rsid w:val="099E0DEB"/>
    <w:rsid w:val="0A163E4B"/>
    <w:rsid w:val="0A5B4AB8"/>
    <w:rsid w:val="0ABA4B5F"/>
    <w:rsid w:val="0AE90F91"/>
    <w:rsid w:val="0B4A409C"/>
    <w:rsid w:val="0B693DF3"/>
    <w:rsid w:val="0BE12326"/>
    <w:rsid w:val="0C1A6D22"/>
    <w:rsid w:val="0C50324E"/>
    <w:rsid w:val="0C5314E2"/>
    <w:rsid w:val="0C9E5650"/>
    <w:rsid w:val="0CEA65E8"/>
    <w:rsid w:val="0CF56B2F"/>
    <w:rsid w:val="0D3D588E"/>
    <w:rsid w:val="0D637FE6"/>
    <w:rsid w:val="0DE847C5"/>
    <w:rsid w:val="0DFE46BB"/>
    <w:rsid w:val="0E367E97"/>
    <w:rsid w:val="0E5B232C"/>
    <w:rsid w:val="0EE45C45"/>
    <w:rsid w:val="0EEC1965"/>
    <w:rsid w:val="0F65796D"/>
    <w:rsid w:val="0F671B4B"/>
    <w:rsid w:val="0FA96FBA"/>
    <w:rsid w:val="0FCA7D47"/>
    <w:rsid w:val="0FE01187"/>
    <w:rsid w:val="0FE14F6C"/>
    <w:rsid w:val="102C0C4D"/>
    <w:rsid w:val="10BE712E"/>
    <w:rsid w:val="11FB1E3F"/>
    <w:rsid w:val="122E46A4"/>
    <w:rsid w:val="1236676F"/>
    <w:rsid w:val="12DA05F2"/>
    <w:rsid w:val="12E6177A"/>
    <w:rsid w:val="12EE7174"/>
    <w:rsid w:val="144C5CF2"/>
    <w:rsid w:val="15AF6C65"/>
    <w:rsid w:val="165A6412"/>
    <w:rsid w:val="17641FA5"/>
    <w:rsid w:val="17696EA4"/>
    <w:rsid w:val="176C6845"/>
    <w:rsid w:val="17AF4857"/>
    <w:rsid w:val="17BF6D6D"/>
    <w:rsid w:val="17E34164"/>
    <w:rsid w:val="17F859EE"/>
    <w:rsid w:val="17FF02BD"/>
    <w:rsid w:val="180F222F"/>
    <w:rsid w:val="1847713E"/>
    <w:rsid w:val="18BE2395"/>
    <w:rsid w:val="192D430C"/>
    <w:rsid w:val="194F5067"/>
    <w:rsid w:val="197C0419"/>
    <w:rsid w:val="19E143F8"/>
    <w:rsid w:val="1A01203A"/>
    <w:rsid w:val="1BEB401F"/>
    <w:rsid w:val="1C684702"/>
    <w:rsid w:val="1D835DE7"/>
    <w:rsid w:val="1D946BD4"/>
    <w:rsid w:val="1D9C4B8E"/>
    <w:rsid w:val="1D9F6746"/>
    <w:rsid w:val="1DA86CEF"/>
    <w:rsid w:val="1E0D1C19"/>
    <w:rsid w:val="1EBD4DD6"/>
    <w:rsid w:val="1F007E53"/>
    <w:rsid w:val="1F5E1F4D"/>
    <w:rsid w:val="1FF3384F"/>
    <w:rsid w:val="203E1E5F"/>
    <w:rsid w:val="20C2120D"/>
    <w:rsid w:val="212C0969"/>
    <w:rsid w:val="21C15E5D"/>
    <w:rsid w:val="226511C6"/>
    <w:rsid w:val="226637AD"/>
    <w:rsid w:val="22713D5D"/>
    <w:rsid w:val="22FC1656"/>
    <w:rsid w:val="23095159"/>
    <w:rsid w:val="241F4C4F"/>
    <w:rsid w:val="242A60B4"/>
    <w:rsid w:val="24800FAD"/>
    <w:rsid w:val="258675B1"/>
    <w:rsid w:val="2629044C"/>
    <w:rsid w:val="267E61E3"/>
    <w:rsid w:val="26E650E6"/>
    <w:rsid w:val="28FE7462"/>
    <w:rsid w:val="2A5A6536"/>
    <w:rsid w:val="2A7A1CB3"/>
    <w:rsid w:val="2AA61220"/>
    <w:rsid w:val="2AE57D07"/>
    <w:rsid w:val="2BFB73DA"/>
    <w:rsid w:val="2C2E7E98"/>
    <w:rsid w:val="2C545982"/>
    <w:rsid w:val="2D4F441E"/>
    <w:rsid w:val="2D5B11C9"/>
    <w:rsid w:val="2E066F3E"/>
    <w:rsid w:val="2E7D30EA"/>
    <w:rsid w:val="2F653494"/>
    <w:rsid w:val="2FE43FB0"/>
    <w:rsid w:val="305A7172"/>
    <w:rsid w:val="30724BF1"/>
    <w:rsid w:val="30DC6B89"/>
    <w:rsid w:val="31794BEF"/>
    <w:rsid w:val="318E21C8"/>
    <w:rsid w:val="323B52EB"/>
    <w:rsid w:val="3364548E"/>
    <w:rsid w:val="336C4136"/>
    <w:rsid w:val="34C54417"/>
    <w:rsid w:val="359D5A35"/>
    <w:rsid w:val="35C4598D"/>
    <w:rsid w:val="35D557E8"/>
    <w:rsid w:val="35F64222"/>
    <w:rsid w:val="366E33A2"/>
    <w:rsid w:val="36892678"/>
    <w:rsid w:val="380F28B7"/>
    <w:rsid w:val="384C74D3"/>
    <w:rsid w:val="38B8688E"/>
    <w:rsid w:val="390471BB"/>
    <w:rsid w:val="393F65CC"/>
    <w:rsid w:val="39564A7C"/>
    <w:rsid w:val="39822026"/>
    <w:rsid w:val="399E6089"/>
    <w:rsid w:val="39D14642"/>
    <w:rsid w:val="3A9345A5"/>
    <w:rsid w:val="3B296023"/>
    <w:rsid w:val="3BAF7DBE"/>
    <w:rsid w:val="3C5571B6"/>
    <w:rsid w:val="3C7110AD"/>
    <w:rsid w:val="3CE02834"/>
    <w:rsid w:val="3D093260"/>
    <w:rsid w:val="3D272D11"/>
    <w:rsid w:val="3D4C0727"/>
    <w:rsid w:val="3D9E7AC8"/>
    <w:rsid w:val="3E05069F"/>
    <w:rsid w:val="3F16066D"/>
    <w:rsid w:val="3F5D214E"/>
    <w:rsid w:val="3F607AF1"/>
    <w:rsid w:val="3F712ACA"/>
    <w:rsid w:val="3F8A791D"/>
    <w:rsid w:val="3F984734"/>
    <w:rsid w:val="3FBC050A"/>
    <w:rsid w:val="410B1BDB"/>
    <w:rsid w:val="425817A6"/>
    <w:rsid w:val="431C1A80"/>
    <w:rsid w:val="43D30430"/>
    <w:rsid w:val="4430633D"/>
    <w:rsid w:val="448B7241"/>
    <w:rsid w:val="453F5F5C"/>
    <w:rsid w:val="45B33027"/>
    <w:rsid w:val="45B5611F"/>
    <w:rsid w:val="46084360"/>
    <w:rsid w:val="46092550"/>
    <w:rsid w:val="470158CF"/>
    <w:rsid w:val="47B073AA"/>
    <w:rsid w:val="47B448E9"/>
    <w:rsid w:val="47E00248"/>
    <w:rsid w:val="48695B01"/>
    <w:rsid w:val="48772C4B"/>
    <w:rsid w:val="491C28DF"/>
    <w:rsid w:val="49604BA2"/>
    <w:rsid w:val="49940E8D"/>
    <w:rsid w:val="49AE4ECD"/>
    <w:rsid w:val="4A111BEA"/>
    <w:rsid w:val="4A4B3FDF"/>
    <w:rsid w:val="4A973BDC"/>
    <w:rsid w:val="4AA951C8"/>
    <w:rsid w:val="4B1C55F8"/>
    <w:rsid w:val="4BF44671"/>
    <w:rsid w:val="4C094D2B"/>
    <w:rsid w:val="4C22797E"/>
    <w:rsid w:val="4C5A3E9D"/>
    <w:rsid w:val="4DA90562"/>
    <w:rsid w:val="4E2C4AE0"/>
    <w:rsid w:val="4ED3475D"/>
    <w:rsid w:val="4F2B4A0F"/>
    <w:rsid w:val="4F87678E"/>
    <w:rsid w:val="4F955376"/>
    <w:rsid w:val="4FAF38A2"/>
    <w:rsid w:val="4FD57AA7"/>
    <w:rsid w:val="50255141"/>
    <w:rsid w:val="509D329F"/>
    <w:rsid w:val="50FF5E20"/>
    <w:rsid w:val="51796E64"/>
    <w:rsid w:val="51BB6224"/>
    <w:rsid w:val="51EA2A86"/>
    <w:rsid w:val="51F10B39"/>
    <w:rsid w:val="523B3400"/>
    <w:rsid w:val="5240575D"/>
    <w:rsid w:val="537D3161"/>
    <w:rsid w:val="54B2175E"/>
    <w:rsid w:val="55484A84"/>
    <w:rsid w:val="55876B4B"/>
    <w:rsid w:val="55C23FE5"/>
    <w:rsid w:val="560F7EAA"/>
    <w:rsid w:val="56384764"/>
    <w:rsid w:val="57427A5B"/>
    <w:rsid w:val="57CE29E1"/>
    <w:rsid w:val="57EB56DD"/>
    <w:rsid w:val="57EF7CB7"/>
    <w:rsid w:val="580165B4"/>
    <w:rsid w:val="583358C0"/>
    <w:rsid w:val="586F71D4"/>
    <w:rsid w:val="591E548A"/>
    <w:rsid w:val="5A195713"/>
    <w:rsid w:val="5B7020CB"/>
    <w:rsid w:val="5BB2027F"/>
    <w:rsid w:val="5BD77779"/>
    <w:rsid w:val="5C004327"/>
    <w:rsid w:val="5C45197E"/>
    <w:rsid w:val="5DD84D37"/>
    <w:rsid w:val="5E5D4AD5"/>
    <w:rsid w:val="5E602F3F"/>
    <w:rsid w:val="5E6F0703"/>
    <w:rsid w:val="5FF86BDC"/>
    <w:rsid w:val="604E285E"/>
    <w:rsid w:val="60732714"/>
    <w:rsid w:val="614952C4"/>
    <w:rsid w:val="61986C4F"/>
    <w:rsid w:val="627D4EE2"/>
    <w:rsid w:val="62871831"/>
    <w:rsid w:val="628B7CA9"/>
    <w:rsid w:val="62B30E3D"/>
    <w:rsid w:val="63180C3B"/>
    <w:rsid w:val="63247E78"/>
    <w:rsid w:val="63726457"/>
    <w:rsid w:val="63B05AA3"/>
    <w:rsid w:val="644438C2"/>
    <w:rsid w:val="646C2166"/>
    <w:rsid w:val="646C2FDC"/>
    <w:rsid w:val="65733E15"/>
    <w:rsid w:val="66A23D47"/>
    <w:rsid w:val="67417272"/>
    <w:rsid w:val="676929A9"/>
    <w:rsid w:val="679825E1"/>
    <w:rsid w:val="67A6373A"/>
    <w:rsid w:val="67DE3E04"/>
    <w:rsid w:val="67F47C27"/>
    <w:rsid w:val="68C21120"/>
    <w:rsid w:val="69420A12"/>
    <w:rsid w:val="69703ADE"/>
    <w:rsid w:val="69B158C3"/>
    <w:rsid w:val="6A31151E"/>
    <w:rsid w:val="6A9B3058"/>
    <w:rsid w:val="6AA1530F"/>
    <w:rsid w:val="6B446D33"/>
    <w:rsid w:val="6C051BAF"/>
    <w:rsid w:val="6C4C2CB4"/>
    <w:rsid w:val="6CB81FA3"/>
    <w:rsid w:val="6D876335"/>
    <w:rsid w:val="6E6C39AD"/>
    <w:rsid w:val="6F6B3458"/>
    <w:rsid w:val="701502D5"/>
    <w:rsid w:val="70C24B56"/>
    <w:rsid w:val="71AC6EA1"/>
    <w:rsid w:val="71F05807"/>
    <w:rsid w:val="7214167B"/>
    <w:rsid w:val="721D1DAC"/>
    <w:rsid w:val="725419EE"/>
    <w:rsid w:val="728F6CEB"/>
    <w:rsid w:val="732340EA"/>
    <w:rsid w:val="7339735B"/>
    <w:rsid w:val="73433736"/>
    <w:rsid w:val="73D64D37"/>
    <w:rsid w:val="74330C57"/>
    <w:rsid w:val="75171883"/>
    <w:rsid w:val="751969E7"/>
    <w:rsid w:val="75502BBB"/>
    <w:rsid w:val="767C6633"/>
    <w:rsid w:val="769000B3"/>
    <w:rsid w:val="76B56FBD"/>
    <w:rsid w:val="78452517"/>
    <w:rsid w:val="785C0DC1"/>
    <w:rsid w:val="786C64F5"/>
    <w:rsid w:val="7904204E"/>
    <w:rsid w:val="798806D9"/>
    <w:rsid w:val="7A303B41"/>
    <w:rsid w:val="7A3D0CBB"/>
    <w:rsid w:val="7A5D56E1"/>
    <w:rsid w:val="7AA0195F"/>
    <w:rsid w:val="7AB10DC4"/>
    <w:rsid w:val="7C862BE5"/>
    <w:rsid w:val="7CA06BFB"/>
    <w:rsid w:val="7D232A32"/>
    <w:rsid w:val="7D6A362C"/>
    <w:rsid w:val="7D86255D"/>
    <w:rsid w:val="7D9160EB"/>
    <w:rsid w:val="7DF11702"/>
    <w:rsid w:val="7E261E2A"/>
    <w:rsid w:val="7E4534C6"/>
    <w:rsid w:val="7EC63CEF"/>
    <w:rsid w:val="7EC87AA7"/>
    <w:rsid w:val="7ED5664E"/>
    <w:rsid w:val="7F7617C5"/>
    <w:rsid w:val="7F7A2967"/>
    <w:rsid w:val="7F84074F"/>
    <w:rsid w:val="7FD63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mbria" w:hAnsi="Cambria" w:eastAsia="宋体" w:cs="Times New Roman"/>
      <w:sz w:val="22"/>
      <w:szCs w:val="22"/>
      <w:lang w:val="en-US" w:eastAsia="en-US" w:bidi="en-US"/>
    </w:rPr>
  </w:style>
  <w:style w:type="paragraph" w:styleId="2">
    <w:name w:val="heading 1"/>
    <w:basedOn w:val="1"/>
    <w:next w:val="1"/>
    <w:link w:val="26"/>
    <w:qFormat/>
    <w:uiPriority w:val="9"/>
    <w:pPr>
      <w:spacing w:before="480" w:after="0"/>
      <w:contextualSpacing/>
      <w:outlineLvl w:val="0"/>
    </w:pPr>
    <w:rPr>
      <w:smallCaps/>
      <w:spacing w:val="5"/>
      <w:sz w:val="36"/>
      <w:szCs w:val="36"/>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unhideWhenUsed/>
    <w:qFormat/>
    <w:uiPriority w:val="99"/>
    <w:pPr>
      <w:adjustRightInd w:val="0"/>
      <w:spacing w:before="60" w:after="60" w:line="312" w:lineRule="atLeast"/>
      <w:ind w:firstLine="420"/>
      <w:textAlignment w:val="baseline"/>
    </w:pPr>
  </w:style>
  <w:style w:type="paragraph" w:styleId="5">
    <w:name w:val="annotation text"/>
    <w:basedOn w:val="1"/>
    <w:link w:val="30"/>
    <w:semiHidden/>
    <w:unhideWhenUsed/>
    <w:qFormat/>
    <w:uiPriority w:val="99"/>
  </w:style>
  <w:style w:type="paragraph" w:styleId="6">
    <w:name w:val="Body Text"/>
    <w:basedOn w:val="1"/>
    <w:link w:val="21"/>
    <w:semiHidden/>
    <w:unhideWhenUsed/>
    <w:qFormat/>
    <w:uiPriority w:val="99"/>
    <w:pPr>
      <w:spacing w:after="120"/>
    </w:pPr>
  </w:style>
  <w:style w:type="paragraph" w:styleId="7">
    <w:name w:val="Balloon Text"/>
    <w:basedOn w:val="1"/>
    <w:link w:val="23"/>
    <w:semiHidden/>
    <w:unhideWhenUsed/>
    <w:qFormat/>
    <w:uiPriority w:val="99"/>
    <w:pPr>
      <w:spacing w:after="0" w:line="240" w:lineRule="auto"/>
    </w:pPr>
    <w:rPr>
      <w:sz w:val="18"/>
      <w:szCs w:val="18"/>
    </w:rPr>
  </w:style>
  <w:style w:type="paragraph" w:styleId="8">
    <w:name w:val="footer"/>
    <w:basedOn w:val="1"/>
    <w:link w:val="25"/>
    <w:unhideWhenUsed/>
    <w:qFormat/>
    <w:uiPriority w:val="0"/>
    <w:pPr>
      <w:tabs>
        <w:tab w:val="center" w:pos="4153"/>
        <w:tab w:val="right" w:pos="8306"/>
      </w:tabs>
      <w:snapToGrid w:val="0"/>
      <w:spacing w:line="240" w:lineRule="auto"/>
    </w:pPr>
    <w:rPr>
      <w:sz w:val="18"/>
      <w:szCs w:val="18"/>
    </w:rPr>
  </w:style>
  <w:style w:type="paragraph" w:styleId="9">
    <w:name w:val="header"/>
    <w:basedOn w:val="1"/>
    <w:link w:val="24"/>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3">
    <w:name w:val="annotation subject"/>
    <w:basedOn w:val="5"/>
    <w:next w:val="5"/>
    <w:link w:val="31"/>
    <w:semiHidden/>
    <w:unhideWhenUsed/>
    <w:qFormat/>
    <w:uiPriority w:val="99"/>
    <w:rPr>
      <w:b/>
      <w:bCs/>
    </w:rPr>
  </w:style>
  <w:style w:type="paragraph" w:styleId="14">
    <w:name w:val="Body Text First Indent"/>
    <w:basedOn w:val="6"/>
    <w:link w:val="22"/>
    <w:qFormat/>
    <w:uiPriority w:val="0"/>
    <w:pPr>
      <w:ind w:firstLine="420"/>
    </w:pPr>
    <w:rPr>
      <w:szCs w:val="20"/>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basedOn w:val="17"/>
    <w:semiHidden/>
    <w:unhideWhenUsed/>
    <w:qFormat/>
    <w:uiPriority w:val="99"/>
    <w:rPr>
      <w:color w:val="000000"/>
      <w:u w:val="none"/>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styleId="20">
    <w:name w:val="annotation reference"/>
    <w:basedOn w:val="17"/>
    <w:semiHidden/>
    <w:unhideWhenUsed/>
    <w:qFormat/>
    <w:uiPriority w:val="99"/>
    <w:rPr>
      <w:sz w:val="21"/>
      <w:szCs w:val="21"/>
    </w:rPr>
  </w:style>
  <w:style w:type="character" w:customStyle="1" w:styleId="21">
    <w:name w:val="正文文本 Char"/>
    <w:basedOn w:val="17"/>
    <w:link w:val="6"/>
    <w:semiHidden/>
    <w:qFormat/>
    <w:uiPriority w:val="99"/>
    <w:rPr>
      <w:rFonts w:ascii="Cambria" w:hAnsi="Cambria" w:eastAsia="宋体" w:cs="Times New Roman"/>
      <w:kern w:val="0"/>
      <w:sz w:val="22"/>
      <w:lang w:eastAsia="en-US" w:bidi="en-US"/>
    </w:rPr>
  </w:style>
  <w:style w:type="character" w:customStyle="1" w:styleId="22">
    <w:name w:val="正文首行缩进 Char"/>
    <w:basedOn w:val="21"/>
    <w:link w:val="14"/>
    <w:qFormat/>
    <w:uiPriority w:val="0"/>
    <w:rPr>
      <w:rFonts w:ascii="Cambria" w:hAnsi="Cambria" w:eastAsia="宋体" w:cs="Times New Roman"/>
      <w:kern w:val="0"/>
      <w:sz w:val="22"/>
      <w:szCs w:val="20"/>
      <w:lang w:eastAsia="en-US" w:bidi="en-US"/>
    </w:rPr>
  </w:style>
  <w:style w:type="character" w:customStyle="1" w:styleId="23">
    <w:name w:val="批注框文本 Char"/>
    <w:basedOn w:val="17"/>
    <w:link w:val="7"/>
    <w:semiHidden/>
    <w:qFormat/>
    <w:uiPriority w:val="99"/>
    <w:rPr>
      <w:rFonts w:ascii="Cambria" w:hAnsi="Cambria" w:eastAsia="宋体" w:cs="Times New Roman"/>
      <w:kern w:val="0"/>
      <w:sz w:val="18"/>
      <w:szCs w:val="18"/>
      <w:lang w:eastAsia="en-US" w:bidi="en-US"/>
    </w:rPr>
  </w:style>
  <w:style w:type="character" w:customStyle="1" w:styleId="24">
    <w:name w:val="页眉 Char"/>
    <w:basedOn w:val="17"/>
    <w:link w:val="9"/>
    <w:semiHidden/>
    <w:qFormat/>
    <w:uiPriority w:val="99"/>
    <w:rPr>
      <w:rFonts w:ascii="Cambria" w:hAnsi="Cambria" w:eastAsia="宋体" w:cs="Times New Roman"/>
      <w:kern w:val="0"/>
      <w:sz w:val="18"/>
      <w:szCs w:val="18"/>
      <w:lang w:eastAsia="en-US" w:bidi="en-US"/>
    </w:rPr>
  </w:style>
  <w:style w:type="character" w:customStyle="1" w:styleId="25">
    <w:name w:val="页脚 Char"/>
    <w:basedOn w:val="17"/>
    <w:link w:val="8"/>
    <w:semiHidden/>
    <w:qFormat/>
    <w:uiPriority w:val="99"/>
    <w:rPr>
      <w:rFonts w:ascii="Cambria" w:hAnsi="Cambria" w:eastAsia="宋体" w:cs="Times New Roman"/>
      <w:kern w:val="0"/>
      <w:sz w:val="18"/>
      <w:szCs w:val="18"/>
      <w:lang w:eastAsia="en-US" w:bidi="en-US"/>
    </w:rPr>
  </w:style>
  <w:style w:type="character" w:customStyle="1" w:styleId="26">
    <w:name w:val="标题 1 Char"/>
    <w:basedOn w:val="17"/>
    <w:link w:val="2"/>
    <w:qFormat/>
    <w:uiPriority w:val="9"/>
    <w:rPr>
      <w:rFonts w:ascii="Cambria" w:hAnsi="Cambria" w:eastAsia="宋体" w:cs="Times New Roman"/>
      <w:smallCaps/>
      <w:spacing w:val="5"/>
      <w:kern w:val="0"/>
      <w:sz w:val="36"/>
      <w:szCs w:val="36"/>
      <w:lang w:eastAsia="en-US" w:bidi="en-US"/>
    </w:rPr>
  </w:style>
  <w:style w:type="character" w:customStyle="1" w:styleId="27">
    <w:name w:val="标题 2 Char"/>
    <w:basedOn w:val="17"/>
    <w:link w:val="3"/>
    <w:semiHidden/>
    <w:qFormat/>
    <w:uiPriority w:val="9"/>
    <w:rPr>
      <w:rFonts w:asciiTheme="majorHAnsi" w:hAnsiTheme="majorHAnsi" w:eastAsiaTheme="majorEastAsia" w:cstheme="majorBidi"/>
      <w:b/>
      <w:bCs/>
      <w:kern w:val="0"/>
      <w:sz w:val="32"/>
      <w:szCs w:val="32"/>
      <w:lang w:eastAsia="en-US" w:bidi="en-US"/>
    </w:rPr>
  </w:style>
  <w:style w:type="paragraph" w:styleId="28">
    <w:name w:val="List Paragraph"/>
    <w:basedOn w:val="1"/>
    <w:qFormat/>
    <w:uiPriority w:val="34"/>
    <w:pPr>
      <w:ind w:firstLine="420" w:firstLineChars="200"/>
    </w:pPr>
  </w:style>
  <w:style w:type="paragraph" w:customStyle="1" w:styleId="29">
    <w:name w:val="TOC 标题1"/>
    <w:basedOn w:val="2"/>
    <w:next w:val="1"/>
    <w:semiHidden/>
    <w:unhideWhenUsed/>
    <w:qFormat/>
    <w:uiPriority w:val="39"/>
    <w:pPr>
      <w:keepNext/>
      <w:keepLines/>
      <w:contextualSpacing w:val="0"/>
      <w:outlineLvl w:val="9"/>
    </w:pPr>
    <w:rPr>
      <w:rFonts w:asciiTheme="majorHAnsi" w:hAnsiTheme="majorHAnsi" w:eastAsiaTheme="majorEastAsia" w:cstheme="majorBidi"/>
      <w:b/>
      <w:bCs/>
      <w:smallCaps w:val="0"/>
      <w:color w:val="376092" w:themeColor="accent1" w:themeShade="BF"/>
      <w:spacing w:val="0"/>
      <w:sz w:val="28"/>
      <w:szCs w:val="28"/>
      <w:lang w:eastAsia="zh-CN" w:bidi="ar-SA"/>
    </w:rPr>
  </w:style>
  <w:style w:type="character" w:customStyle="1" w:styleId="30">
    <w:name w:val="批注文字 Char"/>
    <w:basedOn w:val="17"/>
    <w:link w:val="5"/>
    <w:semiHidden/>
    <w:qFormat/>
    <w:uiPriority w:val="99"/>
    <w:rPr>
      <w:rFonts w:ascii="Cambria" w:hAnsi="Cambria" w:eastAsia="宋体" w:cs="Times New Roman"/>
      <w:kern w:val="0"/>
      <w:sz w:val="22"/>
      <w:lang w:eastAsia="en-US" w:bidi="en-US"/>
    </w:rPr>
  </w:style>
  <w:style w:type="character" w:customStyle="1" w:styleId="31">
    <w:name w:val="批注主题 Char"/>
    <w:basedOn w:val="30"/>
    <w:link w:val="13"/>
    <w:semiHidden/>
    <w:qFormat/>
    <w:uiPriority w:val="99"/>
    <w:rPr>
      <w:rFonts w:ascii="Cambria" w:hAnsi="Cambria" w:eastAsia="宋体" w:cs="Times New Roman"/>
      <w:b/>
      <w:bCs/>
      <w:kern w:val="0"/>
      <w:sz w:val="22"/>
      <w:lang w:eastAsia="en-US" w:bidi="en-US"/>
    </w:rPr>
  </w:style>
  <w:style w:type="character" w:customStyle="1" w:styleId="32">
    <w:name w:val="icon21"/>
    <w:basedOn w:val="17"/>
    <w:qFormat/>
    <w:uiPriority w:val="0"/>
  </w:style>
  <w:style w:type="character" w:customStyle="1" w:styleId="33">
    <w:name w:val="hover19"/>
    <w:basedOn w:val="17"/>
    <w:qFormat/>
    <w:uiPriority w:val="0"/>
    <w:rPr>
      <w:bdr w:val="single" w:color="999999" w:sz="6" w:space="0"/>
    </w:rPr>
  </w:style>
  <w:style w:type="character" w:customStyle="1" w:styleId="34">
    <w:name w:val="active"/>
    <w:basedOn w:val="17"/>
    <w:qFormat/>
    <w:uiPriority w:val="0"/>
    <w:rPr>
      <w:shd w:val="clear" w:color="auto" w:fill="FFFFFF"/>
    </w:rPr>
  </w:style>
  <w:style w:type="character" w:customStyle="1" w:styleId="35">
    <w:name w:val="active1"/>
    <w:basedOn w:val="17"/>
    <w:qFormat/>
    <w:uiPriority w:val="0"/>
    <w:rPr>
      <w:shd w:val="clear" w:color="auto" w:fill="FFFFFF"/>
    </w:rPr>
  </w:style>
  <w:style w:type="character" w:customStyle="1" w:styleId="36">
    <w:name w:val="text8"/>
    <w:basedOn w:val="17"/>
    <w:qFormat/>
    <w:uiPriority w:val="0"/>
  </w:style>
  <w:style w:type="character" w:customStyle="1" w:styleId="37">
    <w:name w:val="curpage"/>
    <w:basedOn w:val="17"/>
    <w:qFormat/>
    <w:uiPriority w:val="0"/>
    <w:rPr>
      <w:b/>
    </w:rPr>
  </w:style>
  <w:style w:type="character" w:customStyle="1" w:styleId="38">
    <w:name w:val="text"/>
    <w:basedOn w:val="17"/>
    <w:qFormat/>
    <w:uiPriority w:val="0"/>
  </w:style>
  <w:style w:type="character" w:customStyle="1" w:styleId="39">
    <w:name w:val="icon"/>
    <w:basedOn w:val="17"/>
    <w:qFormat/>
    <w:uiPriority w:val="0"/>
  </w:style>
  <w:style w:type="character" w:customStyle="1" w:styleId="40">
    <w:name w:val="active2"/>
    <w:basedOn w:val="17"/>
    <w:qFormat/>
    <w:uiPriority w:val="0"/>
    <w:rPr>
      <w:shd w:val="clear" w:fill="FFFFFF"/>
    </w:rPr>
  </w:style>
  <w:style w:type="character" w:customStyle="1" w:styleId="41">
    <w:name w:val="active3"/>
    <w:basedOn w:val="17"/>
    <w:qFormat/>
    <w:uiPriority w:val="0"/>
    <w:rPr>
      <w:shd w:val="clear" w:fill="FFFFFF"/>
    </w:rPr>
  </w:style>
  <w:style w:type="character" w:customStyle="1" w:styleId="42">
    <w:name w:val="hover17"/>
    <w:basedOn w:val="17"/>
    <w:qFormat/>
    <w:uiPriority w:val="0"/>
    <w:rPr>
      <w:bdr w:val="single" w:color="999999" w:sz="6" w:space="0"/>
    </w:rPr>
  </w:style>
  <w:style w:type="character" w:customStyle="1" w:styleId="43">
    <w:name w:val="icon20"/>
    <w:basedOn w:val="17"/>
    <w:qFormat/>
    <w:uiPriority w:val="0"/>
  </w:style>
  <w:style w:type="character" w:customStyle="1" w:styleId="44">
    <w:name w:val="hover16"/>
    <w:basedOn w:val="17"/>
    <w:qFormat/>
    <w:uiPriority w:val="0"/>
    <w:rPr>
      <w:bdr w:val="single" w:color="999999" w:sz="6" w:space="0"/>
    </w:rPr>
  </w:style>
  <w:style w:type="character" w:customStyle="1" w:styleId="45">
    <w:name w:val="hover15"/>
    <w:basedOn w:val="17"/>
    <w:qFormat/>
    <w:uiPriority w:val="0"/>
    <w:rPr>
      <w:bdr w:val="single" w:color="999999" w:sz="6" w:space="0"/>
    </w:rPr>
  </w:style>
  <w:style w:type="character" w:customStyle="1" w:styleId="46">
    <w:name w:val="hover2"/>
    <w:basedOn w:val="17"/>
    <w:qFormat/>
    <w:uiPriority w:val="0"/>
    <w:rPr>
      <w:bdr w:val="single" w:color="999999" w:sz="6" w:space="0"/>
    </w:rPr>
  </w:style>
  <w:style w:type="character" w:customStyle="1" w:styleId="47">
    <w:name w:val="font21"/>
    <w:basedOn w:val="17"/>
    <w:qFormat/>
    <w:uiPriority w:val="0"/>
    <w:rPr>
      <w:rFonts w:ascii="Calibri" w:hAnsi="Calibri" w:cs="Calibri"/>
      <w:color w:val="000000"/>
      <w:sz w:val="18"/>
      <w:szCs w:val="18"/>
      <w:u w:val="none"/>
    </w:rPr>
  </w:style>
  <w:style w:type="character" w:customStyle="1" w:styleId="48">
    <w:name w:val="font11"/>
    <w:basedOn w:val="17"/>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image" Target="media/image2.jpeg"/><Relationship Id="rId15" Type="http://schemas.openxmlformats.org/officeDocument/2006/relationships/theme" Target="theme/theme1.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2018&#24180;&#20998;&#20844;&#21496;&#25253;&#21578;\&#21333;&#39033;&#36164;&#20135;&#25253;&#21578;&#27169;&#26495;\PXAL-AS0202-&#27169;&#26495;-&#35780;&#20272;&#25253;&#21578;-&#20225;&#19994;&#20215;&#20540;-&#38750;&#22269;&#36164;&#31867;-2018&#2925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52BC0-8EE1-4758-9CDC-E289EA0894CE}">
  <ds:schemaRefs/>
</ds:datastoreItem>
</file>

<file path=docProps/app.xml><?xml version="1.0" encoding="utf-8"?>
<Properties xmlns="http://schemas.openxmlformats.org/officeDocument/2006/extended-properties" xmlns:vt="http://schemas.openxmlformats.org/officeDocument/2006/docPropsVTypes">
  <Template>PXAL-AS0202-模板-评估报告-企业价值-非国资类-2018版</Template>
  <Company>微软中国</Company>
  <Pages>17</Pages>
  <Words>11400</Words>
  <Characters>12172</Characters>
  <Lines>95</Lines>
  <Paragraphs>26</Paragraphs>
  <TotalTime>24</TotalTime>
  <ScaleCrop>false</ScaleCrop>
  <LinksUpToDate>false</LinksUpToDate>
  <CharactersWithSpaces>12394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2018-01-12T02:43:00Z</dcterms:created>
  <dc:creator>My</dc:creator>
  <cp:lastModifiedBy>舅仔</cp:lastModifiedBy>
  <cp:lastPrinted>2022-09-22T04:04:00Z</cp:lastPrinted>
  <dcterms:modified xsi:type="dcterms:W3CDTF">2022-09-22T05:59:57Z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E9EF7D633FEE442598660A01F0224F4E</vt:lpwstr>
  </property>
</Properties>
</file>