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000000"/>
          <w:sz w:val="32"/>
          <w:szCs w:val="32"/>
        </w:rPr>
      </w:pPr>
    </w:p>
    <w:p>
      <w:pPr>
        <w:jc w:val="left"/>
        <w:rPr>
          <w:rFonts w:ascii="黑体" w:hAnsi="黑体" w:eastAsia="黑体" w:cs="黑体"/>
          <w:color w:val="000000"/>
          <w:sz w:val="32"/>
          <w:szCs w:val="32"/>
        </w:rPr>
      </w:pPr>
      <w:r>
        <w:rPr>
          <w:rFonts w:hint="eastAsia" w:ascii="黑体" w:hAnsi="黑体" w:eastAsia="黑体" w:cs="黑体"/>
          <w:color w:val="000000"/>
          <w:sz w:val="32"/>
          <w:szCs w:val="32"/>
        </w:rPr>
        <w:t xml:space="preserve">本报告依据中国资产评估准则编制 </w:t>
      </w:r>
    </w:p>
    <w:p>
      <w:pPr>
        <w:rPr>
          <w:rFonts w:ascii="黑体" w:hAnsi="黑体" w:eastAsia="黑体" w:cs="黑体"/>
          <w:sz w:val="32"/>
          <w:szCs w:val="32"/>
        </w:rPr>
      </w:pPr>
      <w:r>
        <w:rPr>
          <w:rFonts w:hint="eastAsia" w:ascii="黑体" w:hAnsi="黑体" w:eastAsia="黑体" w:cs="黑体"/>
          <w:color w:val="000000"/>
          <w:sz w:val="32"/>
          <w:szCs w:val="32"/>
        </w:rPr>
        <w:t xml:space="preserve">人民法院委托司法执行财产处置参考价目的资产评估报告 </w:t>
      </w:r>
    </w:p>
    <w:p/>
    <w:p/>
    <w:p/>
    <w:p/>
    <w:p/>
    <w:p>
      <w:pPr>
        <w:pStyle w:val="5"/>
        <w:jc w:val="center"/>
        <w:rPr>
          <w:rFonts w:ascii="黑体" w:eastAsia="黑体"/>
          <w:sz w:val="44"/>
          <w:szCs w:val="44"/>
        </w:rPr>
      </w:pPr>
      <w:bookmarkStart w:id="0" w:name="_Toc234649898"/>
      <w:bookmarkStart w:id="1" w:name="_Toc233370344"/>
      <w:bookmarkStart w:id="2" w:name="_Toc233370481"/>
      <w:r>
        <w:rPr>
          <w:rFonts w:hint="eastAsia" w:ascii="黑体" w:eastAsia="黑体"/>
          <w:sz w:val="44"/>
          <w:szCs w:val="44"/>
          <w:lang w:eastAsia="zh-CN"/>
        </w:rPr>
        <w:t>浙江省杭州市西湖区人民法院</w:t>
      </w:r>
      <w:r>
        <w:rPr>
          <w:rFonts w:hint="eastAsia" w:ascii="黑体" w:eastAsia="黑体"/>
          <w:sz w:val="44"/>
          <w:szCs w:val="44"/>
        </w:rPr>
        <w:t>在执行</w:t>
      </w:r>
      <w:r>
        <w:rPr>
          <w:rFonts w:hint="eastAsia" w:ascii="黑体" w:eastAsia="黑体"/>
          <w:sz w:val="44"/>
          <w:szCs w:val="44"/>
          <w:lang w:eastAsia="zh-CN"/>
        </w:rPr>
        <w:t>（2022）浙0106执5479号</w:t>
      </w:r>
      <w:r>
        <w:rPr>
          <w:rFonts w:hint="eastAsia" w:ascii="黑体" w:eastAsia="黑体"/>
          <w:sz w:val="44"/>
          <w:szCs w:val="44"/>
        </w:rPr>
        <w:t>案件中涉及的</w:t>
      </w:r>
      <w:r>
        <w:rPr>
          <w:rFonts w:hint="eastAsia" w:ascii="黑体" w:eastAsia="黑体"/>
          <w:sz w:val="44"/>
          <w:szCs w:val="44"/>
          <w:lang w:eastAsia="zh-CN"/>
        </w:rPr>
        <w:t>杭州市天荟未来之光城A-304</w:t>
      </w:r>
      <w:r>
        <w:rPr>
          <w:rFonts w:hint="eastAsia" w:ascii="黑体" w:eastAsia="黑体"/>
          <w:sz w:val="44"/>
          <w:szCs w:val="44"/>
        </w:rPr>
        <w:t>车位</w:t>
      </w:r>
      <w:r>
        <w:rPr>
          <w:rFonts w:hint="eastAsia" w:ascii="黑体" w:eastAsia="黑体"/>
          <w:sz w:val="44"/>
          <w:szCs w:val="44"/>
          <w:lang w:eastAsia="zh-CN"/>
        </w:rPr>
        <w:t>使用权</w:t>
      </w:r>
      <w:r>
        <w:rPr>
          <w:rFonts w:hint="eastAsia" w:ascii="黑体" w:eastAsia="黑体"/>
          <w:sz w:val="44"/>
          <w:szCs w:val="44"/>
        </w:rPr>
        <w:t>现有市场价值</w:t>
      </w:r>
    </w:p>
    <w:p>
      <w:pPr>
        <w:pStyle w:val="5"/>
        <w:jc w:val="center"/>
        <w:rPr>
          <w:rFonts w:ascii="黑体" w:eastAsia="黑体"/>
          <w:sz w:val="44"/>
          <w:szCs w:val="44"/>
        </w:rPr>
      </w:pPr>
      <w:r>
        <w:rPr>
          <w:rFonts w:hint="eastAsia" w:ascii="黑体" w:eastAsia="黑体"/>
          <w:sz w:val="44"/>
          <w:szCs w:val="44"/>
        </w:rPr>
        <w:t>司法鉴定项目评估报告</w:t>
      </w:r>
      <w:bookmarkEnd w:id="0"/>
      <w:bookmarkEnd w:id="1"/>
      <w:bookmarkEnd w:id="2"/>
    </w:p>
    <w:p>
      <w:pPr>
        <w:spacing w:before="156" w:beforeLines="50" w:after="156" w:afterLines="50" w:line="500" w:lineRule="exact"/>
        <w:jc w:val="center"/>
        <w:rPr>
          <w:rFonts w:ascii="黑体" w:eastAsia="黑体"/>
          <w:szCs w:val="21"/>
        </w:rPr>
      </w:pPr>
      <w:r>
        <w:rPr>
          <w:rFonts w:hint="eastAsia" w:ascii="黑体" w:eastAsia="黑体"/>
          <w:szCs w:val="21"/>
        </w:rPr>
        <w:t>杭金孚评字[20</w:t>
      </w:r>
      <w:r>
        <w:rPr>
          <w:rFonts w:hint="eastAsia" w:ascii="黑体" w:eastAsia="黑体"/>
          <w:szCs w:val="21"/>
          <w:lang w:val="en-US" w:eastAsia="zh-CN"/>
        </w:rPr>
        <w:t>22</w:t>
      </w:r>
      <w:r>
        <w:rPr>
          <w:rFonts w:hint="eastAsia" w:ascii="黑体" w:eastAsia="黑体"/>
          <w:szCs w:val="21"/>
        </w:rPr>
        <w:t>]第96号</w:t>
      </w:r>
    </w:p>
    <w:p>
      <w:pPr>
        <w:spacing w:before="156" w:beforeLines="50" w:after="156" w:afterLines="50" w:line="500" w:lineRule="exact"/>
        <w:rPr>
          <w:sz w:val="28"/>
          <w:szCs w:val="28"/>
        </w:rPr>
      </w:pPr>
    </w:p>
    <w:p>
      <w:pPr>
        <w:spacing w:line="460" w:lineRule="exact"/>
      </w:pPr>
    </w:p>
    <w:p>
      <w:pPr>
        <w:spacing w:line="460" w:lineRule="exact"/>
      </w:pPr>
    </w:p>
    <w:p>
      <w:pPr>
        <w:spacing w:line="460" w:lineRule="exact"/>
        <w:jc w:val="cente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rPr>
          <w:rFonts w:ascii="宋体" w:hAnsi="宋体"/>
          <w:b/>
          <w:sz w:val="32"/>
        </w:rPr>
      </w:pPr>
    </w:p>
    <w:p>
      <w:pPr>
        <w:spacing w:line="460" w:lineRule="exact"/>
        <w:jc w:val="center"/>
        <w:rPr>
          <w:rFonts w:ascii="宋体" w:hAnsi="宋体"/>
          <w:b/>
          <w:sz w:val="32"/>
        </w:rPr>
      </w:pPr>
    </w:p>
    <w:p>
      <w:pPr>
        <w:spacing w:line="288" w:lineRule="atLeast"/>
        <w:jc w:val="center"/>
        <w:rPr>
          <w:rFonts w:ascii="宋体" w:hAnsi="宋体"/>
          <w:b/>
          <w:sz w:val="32"/>
        </w:rPr>
      </w:pPr>
      <w:r>
        <w:rPr>
          <w:rFonts w:hint="eastAsia" w:ascii="宋体" w:hAnsi="宋体"/>
          <w:b/>
          <w:sz w:val="32"/>
        </w:rPr>
        <w:t>杭州金孚资产评估有限公司</w:t>
      </w:r>
    </w:p>
    <w:p>
      <w:pPr>
        <w:spacing w:line="288" w:lineRule="atLeast"/>
        <w:jc w:val="center"/>
        <w:rPr>
          <w:rFonts w:ascii="黑体" w:eastAsia="黑体"/>
          <w:sz w:val="36"/>
          <w:szCs w:val="36"/>
        </w:rPr>
      </w:pPr>
      <w:bookmarkStart w:id="3" w:name="_Toc222218680"/>
      <w:r>
        <w:rPr>
          <w:rFonts w:hint="eastAsia" w:ascii="宋体" w:hAnsi="宋体" w:eastAsia="黑体"/>
          <w:b/>
          <w:sz w:val="32"/>
        </w:rPr>
        <w:t>20</w:t>
      </w:r>
      <w:r>
        <w:rPr>
          <w:rFonts w:hint="eastAsia" w:ascii="宋体" w:hAnsi="宋体" w:eastAsia="黑体"/>
          <w:b/>
          <w:sz w:val="32"/>
          <w:lang w:val="en-US" w:eastAsia="zh-CN"/>
        </w:rPr>
        <w:t>22</w:t>
      </w:r>
      <w:r>
        <w:rPr>
          <w:rFonts w:hint="eastAsia" w:ascii="宋体" w:hAnsi="宋体" w:eastAsia="黑体"/>
          <w:b/>
          <w:sz w:val="32"/>
        </w:rPr>
        <w:t>年</w:t>
      </w:r>
      <w:r>
        <w:rPr>
          <w:rFonts w:hint="eastAsia" w:ascii="宋体" w:hAnsi="宋体" w:eastAsia="黑体"/>
          <w:b/>
          <w:sz w:val="32"/>
          <w:lang w:val="en-US" w:eastAsia="zh-CN"/>
        </w:rPr>
        <w:t>7</w:t>
      </w:r>
      <w:r>
        <w:rPr>
          <w:rFonts w:hint="eastAsia" w:ascii="宋体" w:hAnsi="宋体" w:eastAsia="黑体"/>
          <w:b/>
          <w:sz w:val="32"/>
        </w:rPr>
        <w:t>月</w:t>
      </w:r>
      <w:r>
        <w:rPr>
          <w:rFonts w:hint="eastAsia" w:ascii="宋体" w:hAnsi="宋体" w:eastAsia="黑体"/>
          <w:b/>
          <w:sz w:val="32"/>
          <w:lang w:val="en-US" w:eastAsia="zh-CN"/>
        </w:rPr>
        <w:t>5</w:t>
      </w:r>
      <w:r>
        <w:rPr>
          <w:rFonts w:hint="eastAsia" w:ascii="宋体" w:hAnsi="宋体" w:eastAsia="黑体"/>
          <w:b/>
          <w:sz w:val="32"/>
        </w:rPr>
        <w:t>日</w:t>
      </w:r>
    </w:p>
    <w:p>
      <w:pPr>
        <w:pStyle w:val="5"/>
        <w:jc w:val="center"/>
        <w:rPr>
          <w:rFonts w:ascii="黑体" w:eastAsia="黑体"/>
          <w:sz w:val="36"/>
          <w:szCs w:val="36"/>
        </w:rPr>
        <w:sectPr>
          <w:headerReference r:id="rId4" w:type="first"/>
          <w:footerReference r:id="rId6" w:type="first"/>
          <w:headerReference r:id="rId3" w:type="default"/>
          <w:footerReference r:id="rId5" w:type="default"/>
          <w:pgSz w:w="11906" w:h="16838"/>
          <w:pgMar w:top="1440" w:right="1588" w:bottom="1440" w:left="1797" w:header="851" w:footer="992" w:gutter="0"/>
          <w:pgNumType w:start="1"/>
          <w:cols w:space="425" w:num="1"/>
          <w:docGrid w:type="lines" w:linePitch="312" w:charSpace="0"/>
        </w:sectPr>
      </w:pPr>
    </w:p>
    <w:p>
      <w:pPr>
        <w:pStyle w:val="5"/>
        <w:jc w:val="center"/>
        <w:rPr>
          <w:rFonts w:ascii="黑体" w:eastAsia="黑体"/>
          <w:sz w:val="36"/>
          <w:szCs w:val="36"/>
        </w:rPr>
      </w:pPr>
    </w:p>
    <w:p>
      <w:pPr>
        <w:pStyle w:val="5"/>
        <w:jc w:val="center"/>
        <w:rPr>
          <w:rFonts w:ascii="黑体" w:eastAsia="黑体"/>
          <w:sz w:val="36"/>
          <w:szCs w:val="36"/>
        </w:rPr>
      </w:pPr>
    </w:p>
    <w:p>
      <w:pPr>
        <w:pStyle w:val="5"/>
        <w:jc w:val="center"/>
        <w:rPr>
          <w:rFonts w:ascii="黑体" w:eastAsia="黑体"/>
          <w:sz w:val="36"/>
          <w:szCs w:val="36"/>
        </w:rPr>
      </w:pPr>
      <w:r>
        <w:rPr>
          <w:rFonts w:hint="eastAsia" w:ascii="黑体" w:eastAsia="黑体"/>
          <w:sz w:val="36"/>
          <w:szCs w:val="36"/>
        </w:rPr>
        <w:t>目录</w:t>
      </w:r>
      <w:bookmarkEnd w:id="3"/>
    </w:p>
    <w:p>
      <w:pPr>
        <w:pStyle w:val="9"/>
        <w:rPr>
          <w:rFonts w:asciiTheme="minorHAnsi" w:hAnsiTheme="minorHAnsi" w:eastAsiaTheme="minorEastAsia" w:cstheme="minorBidi"/>
          <w:sz w:val="21"/>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"_Toc17200452" </w:instrText>
      </w:r>
      <w:r>
        <w:fldChar w:fldCharType="separate"/>
      </w:r>
      <w:r>
        <w:rPr>
          <w:rStyle w:val="15"/>
          <w:rFonts w:hint="eastAsia" w:ascii="黑体" w:hAnsi="宋体"/>
        </w:rPr>
        <w:t>声</w:t>
      </w:r>
      <w:r>
        <w:rPr>
          <w:rStyle w:val="15"/>
          <w:rFonts w:ascii="黑体" w:hAnsi="宋体"/>
        </w:rPr>
        <w:t xml:space="preserve">  </w:t>
      </w:r>
      <w:r>
        <w:rPr>
          <w:rStyle w:val="15"/>
          <w:rFonts w:hint="eastAsia" w:ascii="黑体" w:hAnsi="宋体"/>
        </w:rPr>
        <w:t>明</w:t>
      </w:r>
      <w:r>
        <w:tab/>
      </w:r>
      <w:r>
        <w:fldChar w:fldCharType="begin"/>
      </w:r>
      <w:r>
        <w:instrText xml:space="preserve"> PAGEREF _Toc17200452 \h </w:instrText>
      </w:r>
      <w:r>
        <w:fldChar w:fldCharType="separate"/>
      </w:r>
      <w:r>
        <w:t>3</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"_Toc17200453" </w:instrText>
      </w:r>
      <w:r>
        <w:fldChar w:fldCharType="separate"/>
      </w:r>
      <w:r>
        <w:rPr>
          <w:rStyle w:val="15"/>
          <w:rFonts w:hint="eastAsia" w:ascii="黑体" w:hAnsi="宋体"/>
        </w:rPr>
        <w:t>摘</w:t>
      </w:r>
      <w:r>
        <w:rPr>
          <w:rStyle w:val="15"/>
          <w:rFonts w:ascii="黑体" w:hAnsi="宋体"/>
        </w:rPr>
        <w:t xml:space="preserve">    </w:t>
      </w:r>
      <w:r>
        <w:rPr>
          <w:rStyle w:val="15"/>
          <w:rFonts w:hint="eastAsia" w:ascii="黑体" w:hAnsi="宋体"/>
        </w:rPr>
        <w:t>要</w:t>
      </w:r>
      <w:r>
        <w:tab/>
      </w:r>
      <w:r>
        <w:fldChar w:fldCharType="begin"/>
      </w:r>
      <w:r>
        <w:instrText xml:space="preserve"> PAGEREF _Toc17200453 \h </w:instrText>
      </w:r>
      <w:r>
        <w:fldChar w:fldCharType="separate"/>
      </w:r>
      <w:r>
        <w:t>4</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"_Toc17200454" </w:instrText>
      </w:r>
      <w:r>
        <w:fldChar w:fldCharType="separate"/>
      </w:r>
      <w:r>
        <w:rPr>
          <w:rStyle w:val="15"/>
          <w:rFonts w:hint="eastAsia" w:ascii="黑体" w:hAnsi="宋体"/>
        </w:rPr>
        <w:t>评</w:t>
      </w:r>
      <w:r>
        <w:rPr>
          <w:rStyle w:val="15"/>
          <w:rFonts w:ascii="黑体" w:hAnsi="宋体"/>
        </w:rPr>
        <w:t xml:space="preserve"> </w:t>
      </w:r>
      <w:r>
        <w:rPr>
          <w:rStyle w:val="15"/>
          <w:rFonts w:hint="eastAsia" w:ascii="黑体" w:hAnsi="宋体"/>
        </w:rPr>
        <w:t>估</w:t>
      </w:r>
      <w:r>
        <w:rPr>
          <w:rStyle w:val="15"/>
          <w:rFonts w:ascii="黑体" w:hAnsi="宋体"/>
        </w:rPr>
        <w:t xml:space="preserve"> </w:t>
      </w:r>
      <w:r>
        <w:rPr>
          <w:rStyle w:val="15"/>
          <w:rFonts w:hint="eastAsia" w:ascii="黑体" w:hAnsi="宋体"/>
        </w:rPr>
        <w:t>报</w:t>
      </w:r>
      <w:r>
        <w:rPr>
          <w:rStyle w:val="15"/>
          <w:rFonts w:ascii="黑体" w:hAnsi="宋体"/>
        </w:rPr>
        <w:t xml:space="preserve"> </w:t>
      </w:r>
      <w:r>
        <w:rPr>
          <w:rStyle w:val="15"/>
          <w:rFonts w:hint="eastAsia" w:ascii="黑体" w:hAnsi="宋体"/>
        </w:rPr>
        <w:t>告</w:t>
      </w:r>
      <w:r>
        <w:tab/>
      </w:r>
      <w:r>
        <w:fldChar w:fldCharType="begin"/>
      </w:r>
      <w:r>
        <w:instrText xml:space="preserve"> PAGEREF _Toc17200454 \h </w:instrText>
      </w:r>
      <w:r>
        <w:fldChar w:fldCharType="separate"/>
      </w:r>
      <w:r>
        <w:t>5</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"_Toc17200455" </w:instrText>
      </w:r>
      <w:r>
        <w:fldChar w:fldCharType="separate"/>
      </w:r>
      <w:r>
        <w:rPr>
          <w:rStyle w:val="15"/>
          <w:rFonts w:hint="eastAsia" w:ascii="黑体" w:hAnsi="宋体"/>
        </w:rPr>
        <w:t>一、委托方、申请人、被申请人和其他评估报告使用者</w:t>
      </w:r>
      <w:r>
        <w:tab/>
      </w:r>
      <w:r>
        <w:fldChar w:fldCharType="begin"/>
      </w:r>
      <w:r>
        <w:instrText xml:space="preserve"> PAGEREF _Toc17200455 \h </w:instrText>
      </w:r>
      <w:r>
        <w:fldChar w:fldCharType="separate"/>
      </w:r>
      <w:r>
        <w:t>5</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"_Toc17200456" </w:instrText>
      </w:r>
      <w:r>
        <w:fldChar w:fldCharType="separate"/>
      </w:r>
      <w:r>
        <w:rPr>
          <w:rStyle w:val="15"/>
          <w:rFonts w:hint="eastAsia" w:ascii="黑体" w:hAnsi="宋体"/>
        </w:rPr>
        <w:t>二、评估目的</w:t>
      </w:r>
      <w:r>
        <w:tab/>
      </w:r>
      <w:r>
        <w:fldChar w:fldCharType="begin"/>
      </w:r>
      <w:r>
        <w:instrText xml:space="preserve"> PAGEREF _Toc17200456 \h </w:instrText>
      </w:r>
      <w:r>
        <w:fldChar w:fldCharType="separate"/>
      </w:r>
      <w:r>
        <w:t>5</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"_Toc17200457" </w:instrText>
      </w:r>
      <w:r>
        <w:fldChar w:fldCharType="separate"/>
      </w:r>
      <w:r>
        <w:rPr>
          <w:rStyle w:val="15"/>
          <w:rFonts w:hint="eastAsia" w:ascii="黑体" w:hAnsi="宋体"/>
        </w:rPr>
        <w:t>三、评估对象及评估范围</w:t>
      </w:r>
      <w:r>
        <w:tab/>
      </w:r>
      <w:r>
        <w:fldChar w:fldCharType="begin"/>
      </w:r>
      <w:r>
        <w:instrText xml:space="preserve"> PAGEREF _Toc17200457 \h </w:instrText>
      </w:r>
      <w:r>
        <w:fldChar w:fldCharType="separate"/>
      </w:r>
      <w:r>
        <w:t>5</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"_Toc17200458" </w:instrText>
      </w:r>
      <w:r>
        <w:fldChar w:fldCharType="separate"/>
      </w:r>
      <w:r>
        <w:rPr>
          <w:rStyle w:val="15"/>
          <w:rFonts w:hint="eastAsia" w:ascii="黑体" w:hAnsi="宋体"/>
        </w:rPr>
        <w:t>四、价值类型及其定义</w:t>
      </w:r>
      <w:r>
        <w:tab/>
      </w:r>
      <w:r>
        <w:fldChar w:fldCharType="begin"/>
      </w:r>
      <w:r>
        <w:instrText xml:space="preserve"> PAGEREF _Toc17200458 \h </w:instrText>
      </w:r>
      <w:r>
        <w:fldChar w:fldCharType="separate"/>
      </w:r>
      <w:r>
        <w:t>5</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"_Toc17200459" </w:instrText>
      </w:r>
      <w:r>
        <w:fldChar w:fldCharType="separate"/>
      </w:r>
      <w:r>
        <w:rPr>
          <w:rStyle w:val="15"/>
          <w:rFonts w:hint="eastAsia" w:ascii="黑体" w:hAnsi="宋体"/>
        </w:rPr>
        <w:t>五、评估基准日</w:t>
      </w:r>
      <w:r>
        <w:tab/>
      </w:r>
      <w:r>
        <w:fldChar w:fldCharType="begin"/>
      </w:r>
      <w:r>
        <w:instrText xml:space="preserve"> PAGEREF _Toc17200459 \h </w:instrText>
      </w:r>
      <w:r>
        <w:fldChar w:fldCharType="separate"/>
      </w:r>
      <w:r>
        <w:t>5</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"_Toc17200460" </w:instrText>
      </w:r>
      <w:r>
        <w:fldChar w:fldCharType="separate"/>
      </w:r>
      <w:r>
        <w:rPr>
          <w:rStyle w:val="15"/>
          <w:rFonts w:hint="eastAsia" w:ascii="黑体" w:hAnsi="宋体"/>
        </w:rPr>
        <w:t>六、评估依据</w:t>
      </w:r>
      <w:r>
        <w:tab/>
      </w:r>
      <w:r>
        <w:fldChar w:fldCharType="begin"/>
      </w:r>
      <w:r>
        <w:instrText xml:space="preserve"> PAGEREF _Toc17200460 \h </w:instrText>
      </w:r>
      <w:r>
        <w:fldChar w:fldCharType="separate"/>
      </w:r>
      <w:r>
        <w:t>6</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"_Toc17200461" </w:instrText>
      </w:r>
      <w:r>
        <w:fldChar w:fldCharType="separate"/>
      </w:r>
      <w:r>
        <w:rPr>
          <w:rStyle w:val="15"/>
          <w:rFonts w:hint="eastAsia" w:ascii="黑体" w:hAnsi="宋体"/>
        </w:rPr>
        <w:t>七、评估方法</w:t>
      </w:r>
      <w:r>
        <w:tab/>
      </w:r>
      <w:r>
        <w:fldChar w:fldCharType="begin"/>
      </w:r>
      <w:r>
        <w:instrText xml:space="preserve"> PAGEREF _Toc17200461 \h </w:instrText>
      </w:r>
      <w:r>
        <w:fldChar w:fldCharType="separate"/>
      </w:r>
      <w:r>
        <w:t>7</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"_Toc17200462" </w:instrText>
      </w:r>
      <w:r>
        <w:fldChar w:fldCharType="separate"/>
      </w:r>
      <w:r>
        <w:rPr>
          <w:rStyle w:val="15"/>
          <w:rFonts w:hint="eastAsia" w:ascii="黑体" w:hAnsi="宋体"/>
        </w:rPr>
        <w:t>八、评估程序实施过程及情况</w:t>
      </w:r>
      <w:r>
        <w:tab/>
      </w:r>
      <w:r>
        <w:fldChar w:fldCharType="begin"/>
      </w:r>
      <w:r>
        <w:instrText xml:space="preserve"> PAGEREF _Toc17200462 \h </w:instrText>
      </w:r>
      <w:r>
        <w:fldChar w:fldCharType="separate"/>
      </w:r>
      <w:r>
        <w:t>7</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"_Toc17200463" </w:instrText>
      </w:r>
      <w:r>
        <w:fldChar w:fldCharType="separate"/>
      </w:r>
      <w:r>
        <w:rPr>
          <w:rStyle w:val="15"/>
          <w:rFonts w:hint="eastAsia" w:ascii="黑体" w:hAnsi="宋体"/>
        </w:rPr>
        <w:t>九、评估假设</w:t>
      </w:r>
      <w:r>
        <w:tab/>
      </w:r>
      <w:r>
        <w:fldChar w:fldCharType="begin"/>
      </w:r>
      <w:r>
        <w:instrText xml:space="preserve"> PAGEREF _Toc17200463 \h </w:instrText>
      </w:r>
      <w:r>
        <w:fldChar w:fldCharType="separate"/>
      </w:r>
      <w:r>
        <w:t>8</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"_Toc17200464" </w:instrText>
      </w:r>
      <w:r>
        <w:fldChar w:fldCharType="separate"/>
      </w:r>
      <w:r>
        <w:rPr>
          <w:rStyle w:val="15"/>
          <w:rFonts w:hint="eastAsia" w:ascii="黑体" w:hAnsi="宋体"/>
        </w:rPr>
        <w:t>十、基本情况及技术说明</w:t>
      </w:r>
      <w:r>
        <w:tab/>
      </w:r>
      <w:r>
        <w:fldChar w:fldCharType="begin"/>
      </w:r>
      <w:r>
        <w:instrText xml:space="preserve"> PAGEREF _Toc17200464 \h </w:instrText>
      </w:r>
      <w:r>
        <w:fldChar w:fldCharType="separate"/>
      </w:r>
      <w:r>
        <w:t>9</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"_Toc17200465" </w:instrText>
      </w:r>
      <w:r>
        <w:fldChar w:fldCharType="separate"/>
      </w:r>
      <w:r>
        <w:rPr>
          <w:rStyle w:val="15"/>
          <w:rFonts w:hint="eastAsia" w:ascii="黑体" w:hAnsi="宋体"/>
          <w:lang w:val="zh-CN"/>
        </w:rPr>
        <w:t>十</w:t>
      </w:r>
      <w:r>
        <w:rPr>
          <w:rStyle w:val="15"/>
          <w:rFonts w:hint="eastAsia" w:ascii="黑体" w:hAnsi="宋体"/>
        </w:rPr>
        <w:t>一</w:t>
      </w:r>
      <w:r>
        <w:rPr>
          <w:rStyle w:val="15"/>
          <w:rFonts w:hint="eastAsia" w:ascii="黑体" w:hAnsi="宋体"/>
          <w:lang w:val="zh-CN"/>
        </w:rPr>
        <w:t>、评估结论</w:t>
      </w:r>
      <w:r>
        <w:tab/>
      </w:r>
      <w:r>
        <w:fldChar w:fldCharType="begin"/>
      </w:r>
      <w:r>
        <w:instrText xml:space="preserve"> PAGEREF _Toc17200465 \h </w:instrText>
      </w:r>
      <w:r>
        <w:fldChar w:fldCharType="separate"/>
      </w:r>
      <w:r>
        <w:t>9</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"_Toc17200466" </w:instrText>
      </w:r>
      <w:r>
        <w:fldChar w:fldCharType="separate"/>
      </w:r>
      <w:r>
        <w:rPr>
          <w:rStyle w:val="15"/>
          <w:rFonts w:hint="eastAsia" w:ascii="黑体" w:hAnsi="宋体"/>
        </w:rPr>
        <w:t>十二、特别事项说明</w:t>
      </w:r>
      <w:r>
        <w:tab/>
      </w:r>
      <w:r>
        <w:fldChar w:fldCharType="begin"/>
      </w:r>
      <w:r>
        <w:instrText xml:space="preserve"> PAGEREF _Toc17200466 \h </w:instrText>
      </w:r>
      <w:r>
        <w:fldChar w:fldCharType="separate"/>
      </w:r>
      <w:r>
        <w:t>9</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"_Toc17200467" </w:instrText>
      </w:r>
      <w:r>
        <w:fldChar w:fldCharType="separate"/>
      </w:r>
      <w:r>
        <w:rPr>
          <w:rStyle w:val="15"/>
          <w:rFonts w:hint="eastAsia" w:ascii="黑体" w:hAnsi="宋体"/>
        </w:rPr>
        <w:t>十三、 评估报告使用限制说明</w:t>
      </w:r>
      <w:r>
        <w:tab/>
      </w:r>
      <w:r>
        <w:fldChar w:fldCharType="begin"/>
      </w:r>
      <w:r>
        <w:instrText xml:space="preserve"> PAGEREF _Toc17200467 \h </w:instrText>
      </w:r>
      <w:r>
        <w:fldChar w:fldCharType="separate"/>
      </w:r>
      <w:r>
        <w:t>10</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"_Toc17200468" </w:instrText>
      </w:r>
      <w:r>
        <w:fldChar w:fldCharType="separate"/>
      </w:r>
      <w:r>
        <w:rPr>
          <w:rStyle w:val="15"/>
          <w:rFonts w:hint="eastAsia" w:ascii="黑体" w:hAnsi="宋体"/>
        </w:rPr>
        <w:t>十四、评估报告日</w:t>
      </w:r>
      <w:r>
        <w:tab/>
      </w:r>
      <w:r>
        <w:fldChar w:fldCharType="begin"/>
      </w:r>
      <w:r>
        <w:instrText xml:space="preserve"> PAGEREF _Toc17200468 \h </w:instrText>
      </w:r>
      <w:r>
        <w:fldChar w:fldCharType="separate"/>
      </w:r>
      <w:r>
        <w:t>11</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"_Toc17200469" </w:instrText>
      </w:r>
      <w:r>
        <w:fldChar w:fldCharType="separate"/>
      </w:r>
      <w:r>
        <w:rPr>
          <w:rStyle w:val="15"/>
          <w:rFonts w:hint="eastAsia" w:ascii="黑体" w:hAnsi="宋体"/>
        </w:rPr>
        <w:t>附</w:t>
      </w:r>
      <w:r>
        <w:rPr>
          <w:rStyle w:val="15"/>
          <w:rFonts w:ascii="黑体" w:hAnsi="宋体"/>
        </w:rPr>
        <w:t xml:space="preserve">   </w:t>
      </w:r>
      <w:r>
        <w:rPr>
          <w:rStyle w:val="15"/>
          <w:rFonts w:hint="eastAsia" w:ascii="黑体" w:hAnsi="宋体"/>
        </w:rPr>
        <w:t>件</w:t>
      </w:r>
      <w:r>
        <w:tab/>
      </w:r>
      <w:r>
        <w:fldChar w:fldCharType="begin"/>
      </w:r>
      <w:r>
        <w:instrText xml:space="preserve"> PAGEREF _Toc17200469 \h </w:instrText>
      </w:r>
      <w:r>
        <w:fldChar w:fldCharType="separate"/>
      </w:r>
      <w:r>
        <w:t>12</w:t>
      </w:r>
      <w:r>
        <w:fldChar w:fldCharType="end"/>
      </w:r>
      <w:r>
        <w:fldChar w:fldCharType="end"/>
      </w:r>
    </w:p>
    <w:p>
      <w:pPr>
        <w:spacing w:line="440" w:lineRule="exact"/>
      </w:pPr>
      <w:r>
        <w:rPr>
          <w:rFonts w:ascii="宋体" w:hAnsi="宋体" w:eastAsia="黑体"/>
          <w:sz w:val="24"/>
        </w:rPr>
        <w:fldChar w:fldCharType="end"/>
      </w:r>
    </w:p>
    <w:p>
      <w:pPr>
        <w:pStyle w:val="2"/>
        <w:spacing w:line="240" w:lineRule="atLeast"/>
        <w:rPr>
          <w:rFonts w:ascii="黑体" w:eastAsia="黑体"/>
          <w:b w:val="0"/>
          <w:sz w:val="36"/>
          <w:szCs w:val="36"/>
        </w:rPr>
      </w:pPr>
      <w:bookmarkStart w:id="4" w:name="_Toc487341264"/>
      <w:bookmarkStart w:id="5" w:name="_Toc223322439"/>
      <w:bookmarkStart w:id="6" w:name="_Toc484924564"/>
    </w:p>
    <w:p>
      <w:pPr>
        <w:pStyle w:val="2"/>
        <w:spacing w:line="240" w:lineRule="atLeast"/>
        <w:rPr>
          <w:rFonts w:ascii="黑体" w:eastAsia="黑体"/>
          <w:b w:val="0"/>
          <w:sz w:val="36"/>
          <w:szCs w:val="36"/>
        </w:rPr>
      </w:pPr>
    </w:p>
    <w:p>
      <w:pPr>
        <w:rPr>
          <w:rFonts w:ascii="黑体" w:eastAsia="黑体"/>
          <w:sz w:val="36"/>
          <w:szCs w:val="36"/>
        </w:rPr>
      </w:pPr>
    </w:p>
    <w:p>
      <w:pPr>
        <w:rPr>
          <w:rFonts w:ascii="黑体" w:eastAsia="黑体"/>
          <w:sz w:val="36"/>
          <w:szCs w:val="36"/>
        </w:rPr>
      </w:pPr>
    </w:p>
    <w:p>
      <w:pPr>
        <w:pStyle w:val="2"/>
        <w:spacing w:before="100" w:beforeAutospacing="1" w:after="100" w:afterAutospacing="1" w:line="240" w:lineRule="auto"/>
        <w:jc w:val="center"/>
        <w:rPr>
          <w:rFonts w:ascii="黑体" w:hAnsi="宋体" w:eastAsia="黑体"/>
        </w:rPr>
      </w:pPr>
      <w:r>
        <w:rPr>
          <w:rFonts w:hint="eastAsia" w:ascii="黑体" w:eastAsia="黑体"/>
          <w:b w:val="0"/>
          <w:sz w:val="36"/>
          <w:szCs w:val="36"/>
        </w:rPr>
        <w:t xml:space="preserve">   </w:t>
      </w:r>
      <w:bookmarkEnd w:id="4"/>
      <w:bookmarkEnd w:id="5"/>
      <w:bookmarkEnd w:id="6"/>
      <w:bookmarkStart w:id="7" w:name="_Toc17200452"/>
      <w:bookmarkStart w:id="8" w:name="_Toc203531824"/>
      <w:r>
        <w:rPr>
          <w:rFonts w:hint="eastAsia" w:ascii="黑体" w:hAnsi="宋体" w:eastAsia="黑体"/>
        </w:rPr>
        <w:t>声  明</w:t>
      </w:r>
      <w:bookmarkEnd w:id="7"/>
      <w:bookmarkEnd w:id="8"/>
    </w:p>
    <w:p>
      <w:pPr>
        <w:snapToGrid w:val="0"/>
        <w:spacing w:line="520" w:lineRule="exact"/>
        <w:ind w:firstLine="480"/>
        <w:rPr>
          <w:rFonts w:ascii="黑体" w:hAnsi="宋体" w:eastAsia="黑体"/>
          <w:b/>
        </w:rPr>
      </w:pPr>
      <w:r>
        <w:rPr>
          <w:rFonts w:hint="eastAsia" w:ascii="黑体" w:hAnsi="宋体" w:eastAsia="黑体"/>
          <w:b/>
        </w:rPr>
        <w:t>一、本资产评估报告依据财政部发布的资产评估基本准则和中国资产评估协会发布的资产评估执业准则和职业道德准则编制。</w:t>
      </w:r>
    </w:p>
    <w:p>
      <w:pPr>
        <w:snapToGrid w:val="0"/>
        <w:spacing w:line="520" w:lineRule="exact"/>
        <w:ind w:firstLine="480"/>
        <w:rPr>
          <w:rFonts w:ascii="黑体" w:hAnsi="宋体" w:eastAsia="黑体"/>
          <w:b/>
        </w:rPr>
      </w:pPr>
      <w:r>
        <w:rPr>
          <w:rFonts w:hint="eastAsia" w:ascii="黑体" w:hAnsi="宋体" w:eastAsia="黑体"/>
          <w:b/>
        </w:rPr>
        <w:t xml:space="preserve">二、委托人或者其他资产评估报告使用人应当按照法律、行政法规规定和本资产评估报告载明的使用范围使用本资产评估报告；委托人或者其他资产评估报告使用人违反前述规定使用本资产评估报告的，本资产评估机构及资产评估师不承担责任。 </w:t>
      </w:r>
    </w:p>
    <w:p>
      <w:pPr>
        <w:snapToGrid w:val="0"/>
        <w:spacing w:line="520" w:lineRule="exact"/>
        <w:ind w:firstLine="480"/>
        <w:rPr>
          <w:rFonts w:ascii="黑体" w:hAnsi="宋体" w:eastAsia="黑体"/>
          <w:b/>
        </w:rPr>
      </w:pPr>
      <w:r>
        <w:rPr>
          <w:rFonts w:hint="eastAsia" w:ascii="黑体" w:hAnsi="宋体" w:eastAsia="黑体"/>
          <w:b/>
        </w:rPr>
        <w:t xml:space="preserve">三、本资产评估报告仅供委托人、资产评估委托合同中约定的其他资产评估报告使用人和法律、行政法规规定的资产评估报告使用人使用；除此之外，其他任何机构和个人不能成为本资产评估报告的使用人。 </w:t>
      </w:r>
    </w:p>
    <w:p>
      <w:pPr>
        <w:snapToGrid w:val="0"/>
        <w:spacing w:line="520" w:lineRule="exact"/>
        <w:ind w:firstLine="480"/>
        <w:rPr>
          <w:rFonts w:ascii="黑体" w:hAnsi="宋体" w:eastAsia="黑体"/>
          <w:b/>
        </w:rPr>
      </w:pPr>
      <w:r>
        <w:rPr>
          <w:rFonts w:hint="eastAsia" w:ascii="黑体" w:hAnsi="宋体" w:eastAsia="黑体"/>
          <w:b/>
        </w:rPr>
        <w:t>四、本资产评估机构及资产评估师提示资产评估报告使用人应当正确理解评估结论，评估结论不等同于评估对象可实现价格，评估结论不应当被认为是对评估对象可实现价格的保证。</w:t>
      </w:r>
    </w:p>
    <w:p>
      <w:pPr>
        <w:snapToGrid w:val="0"/>
        <w:spacing w:line="520" w:lineRule="exact"/>
        <w:ind w:firstLine="480"/>
        <w:rPr>
          <w:rFonts w:ascii="黑体" w:hAnsi="宋体" w:eastAsia="黑体"/>
          <w:b/>
        </w:rPr>
      </w:pPr>
      <w:r>
        <w:rPr>
          <w:rFonts w:hint="eastAsia" w:ascii="黑体" w:hAnsi="宋体" w:eastAsia="黑体"/>
          <w:b/>
        </w:rPr>
        <w:t>五、我们在执行本资产评估业务中，遵循相关法律法规和资产评估准则，恪守独立、客观和公正的原则；根据我们在执业过程中收集的资料，评估报告陈述的内容是客观的，并对评估结论合理性承担相应的法律责任。</w:t>
      </w:r>
    </w:p>
    <w:p>
      <w:pPr>
        <w:snapToGrid w:val="0"/>
        <w:spacing w:line="520" w:lineRule="exact"/>
        <w:ind w:firstLine="480"/>
        <w:rPr>
          <w:rFonts w:ascii="黑体" w:hAnsi="宋体" w:eastAsia="黑体"/>
          <w:b/>
        </w:rPr>
      </w:pPr>
      <w:r>
        <w:rPr>
          <w:rFonts w:hint="eastAsia" w:ascii="黑体" w:hAnsi="宋体" w:eastAsia="黑体"/>
          <w:b/>
        </w:rPr>
        <w:t>五、评估对象涉及的资产、负债清单由委托人、被评估单位申报并经其签章确认；委托人和其他相关当事人依法对其提供资料的真实性、完整性、合法性负责。</w:t>
      </w:r>
    </w:p>
    <w:p>
      <w:pPr>
        <w:snapToGrid w:val="0"/>
        <w:spacing w:line="520" w:lineRule="exact"/>
        <w:ind w:firstLine="480"/>
        <w:rPr>
          <w:rFonts w:ascii="黑体" w:hAnsi="宋体" w:eastAsia="黑体"/>
          <w:b/>
        </w:rPr>
      </w:pPr>
      <w:r>
        <w:rPr>
          <w:rFonts w:hint="eastAsia" w:ascii="黑体" w:hAnsi="宋体" w:eastAsia="黑体"/>
          <w:b/>
        </w:rPr>
        <w:t>六、我们与评估报告中的评估对象没有现存或者预期的利益关系；与相关当事人没有现存或者预期的利益关系，对相关当事人不存在偏见。</w:t>
      </w:r>
    </w:p>
    <w:p>
      <w:pPr>
        <w:snapToGrid w:val="0"/>
        <w:spacing w:line="520" w:lineRule="exact"/>
        <w:ind w:firstLine="480"/>
        <w:rPr>
          <w:rFonts w:ascii="黑体" w:hAnsi="宋体" w:eastAsia="黑体"/>
          <w:b/>
        </w:rPr>
      </w:pPr>
      <w:r>
        <w:rPr>
          <w:rFonts w:hint="eastAsia" w:ascii="黑体" w:hAnsi="宋体" w:eastAsia="黑体"/>
          <w:b/>
        </w:rPr>
        <w:t>七、我们已对评估报告中的评估对象及其所涉及资产进行现场调查；我们已对评估对象及其所涉及资产的法律权属状况给予必要的关注，对评估对象及其所涉及资产的法律权属资料进行了查验，并对已经发现的问题进行了如实披露，且已提请委托人及相关当事人完善产权以满足出具资产评估报告的要求。</w:t>
      </w:r>
    </w:p>
    <w:p>
      <w:pPr>
        <w:snapToGrid w:val="0"/>
        <w:spacing w:line="520" w:lineRule="exact"/>
        <w:ind w:firstLine="480"/>
        <w:rPr>
          <w:rFonts w:ascii="黑体" w:hAnsi="宋体" w:eastAsia="黑体"/>
          <w:sz w:val="36"/>
        </w:rPr>
      </w:pPr>
      <w:r>
        <w:rPr>
          <w:rFonts w:hint="eastAsia" w:ascii="黑体" w:hAnsi="宋体" w:eastAsia="黑体"/>
          <w:b/>
        </w:rPr>
        <w:t>八、我们出具的评估报告中的分析、判断和结论受评估报告中假设和限定条件的限制，评估报告使用人应当充分考虑评估报告中载明的假设、限定条件、特别事项说明及其对评估结论的影响。</w:t>
      </w:r>
      <w:r>
        <w:rPr>
          <w:rFonts w:hint="eastAsia" w:ascii="宋体" w:hAnsi="宋体" w:cs="宋体"/>
          <w:kern w:val="0"/>
          <w:sz w:val="24"/>
        </w:rPr>
        <w:t xml:space="preserve">     </w:t>
      </w:r>
      <w:r>
        <w:rPr>
          <w:rFonts w:hint="eastAsia" w:ascii="仿宋_GB2312" w:eastAsia="仿宋_GB2312"/>
          <w:kern w:val="0"/>
          <w:sz w:val="24"/>
        </w:rPr>
        <w:t xml:space="preserve">             </w:t>
      </w:r>
      <w:bookmarkStart w:id="9" w:name="_Toc223322440"/>
      <w:bookmarkStart w:id="10" w:name="_Toc487341265"/>
      <w:bookmarkStart w:id="11" w:name="_Toc484924565"/>
      <w:bookmarkStart w:id="12" w:name="资产评估报告书"/>
      <w:bookmarkStart w:id="13" w:name="_Toc222218683"/>
    </w:p>
    <w:p>
      <w:pPr>
        <w:pStyle w:val="2"/>
        <w:spacing w:line="240" w:lineRule="auto"/>
        <w:jc w:val="center"/>
        <w:rPr>
          <w:rFonts w:ascii="黑体" w:hAnsi="宋体" w:eastAsia="黑体"/>
          <w:b w:val="0"/>
          <w:sz w:val="36"/>
        </w:rPr>
      </w:pPr>
      <w:bookmarkStart w:id="14" w:name="_Toc17200453"/>
      <w:r>
        <w:rPr>
          <w:rFonts w:hint="eastAsia" w:ascii="黑体" w:hAnsi="宋体" w:eastAsia="黑体"/>
          <w:b w:val="0"/>
          <w:sz w:val="36"/>
        </w:rPr>
        <w:t>摘    要</w:t>
      </w:r>
      <w:bookmarkEnd w:id="9"/>
      <w:bookmarkEnd w:id="10"/>
      <w:bookmarkEnd w:id="11"/>
      <w:bookmarkEnd w:id="14"/>
    </w:p>
    <w:p>
      <w:pPr>
        <w:spacing w:line="460" w:lineRule="exact"/>
        <w:ind w:firstLine="480" w:firstLineChars="200"/>
        <w:rPr>
          <w:rFonts w:ascii="宋体" w:hAnsi="宋体"/>
          <w:sz w:val="24"/>
        </w:rPr>
      </w:pPr>
      <w:r>
        <w:rPr>
          <w:rFonts w:hint="eastAsia" w:ascii="宋体" w:hAnsi="宋体"/>
          <w:sz w:val="24"/>
        </w:rPr>
        <w:t>杭州金孚资产评估有限公司接受</w:t>
      </w:r>
      <w:r>
        <w:rPr>
          <w:rFonts w:hint="eastAsia" w:ascii="宋体" w:hAnsi="宋体"/>
          <w:sz w:val="24"/>
          <w:lang w:eastAsia="zh-CN"/>
        </w:rPr>
        <w:t>浙江省杭州市西湖区人民法院</w:t>
      </w:r>
      <w:r>
        <w:rPr>
          <w:rFonts w:hint="eastAsia" w:ascii="宋体" w:hAnsi="宋体"/>
          <w:sz w:val="24"/>
        </w:rPr>
        <w:t>的委托，根据有关法律法规和资产评估准则、资产评估原则，采用市场法，按照必要的评估程序，对</w:t>
      </w:r>
      <w:r>
        <w:rPr>
          <w:rFonts w:hint="eastAsia" w:ascii="宋体" w:hAnsi="宋体"/>
          <w:sz w:val="24"/>
          <w:lang w:eastAsia="zh-CN"/>
        </w:rPr>
        <w:t>浙江省杭州市西湖区人民法院</w:t>
      </w:r>
      <w:r>
        <w:rPr>
          <w:rFonts w:hint="eastAsia" w:ascii="宋体" w:hAnsi="宋体"/>
          <w:sz w:val="24"/>
        </w:rPr>
        <w:t>在执行</w:t>
      </w:r>
      <w:r>
        <w:rPr>
          <w:rFonts w:hint="eastAsia" w:ascii="宋体" w:hAnsi="宋体"/>
          <w:sz w:val="24"/>
          <w:lang w:eastAsia="zh-CN"/>
        </w:rPr>
        <w:t>（2022）浙0106执5479号</w:t>
      </w:r>
      <w:r>
        <w:rPr>
          <w:rFonts w:hint="eastAsia" w:ascii="宋体" w:hAnsi="宋体"/>
          <w:sz w:val="24"/>
        </w:rPr>
        <w:t>案件中涉及的</w:t>
      </w:r>
      <w:r>
        <w:rPr>
          <w:rFonts w:hint="eastAsia" w:ascii="宋体" w:hAnsi="宋体"/>
          <w:sz w:val="24"/>
          <w:lang w:eastAsia="zh-CN"/>
        </w:rPr>
        <w:t>杭州市天荟未来之光城A-304</w:t>
      </w:r>
      <w:r>
        <w:rPr>
          <w:rFonts w:hint="eastAsia" w:ascii="宋体" w:hAnsi="宋体"/>
          <w:sz w:val="24"/>
        </w:rPr>
        <w:t>车位</w:t>
      </w:r>
      <w:r>
        <w:rPr>
          <w:rFonts w:hint="eastAsia" w:ascii="宋体" w:hAnsi="宋体"/>
          <w:sz w:val="24"/>
          <w:lang w:eastAsia="zh-CN"/>
        </w:rPr>
        <w:t>使用权</w:t>
      </w:r>
      <w:r>
        <w:rPr>
          <w:rFonts w:hint="eastAsia" w:ascii="宋体" w:hAnsi="宋体"/>
          <w:sz w:val="24"/>
        </w:rPr>
        <w:t>在20</w:t>
      </w:r>
      <w:r>
        <w:rPr>
          <w:rFonts w:hint="eastAsia" w:ascii="宋体" w:hAnsi="宋体"/>
          <w:sz w:val="24"/>
          <w:lang w:val="en-US" w:eastAsia="zh-CN"/>
        </w:rPr>
        <w:t>22</w:t>
      </w:r>
      <w:r>
        <w:rPr>
          <w:rFonts w:hint="eastAsia" w:ascii="宋体" w:hAnsi="宋体"/>
          <w:sz w:val="24"/>
        </w:rPr>
        <w:t>年</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27</w:t>
      </w:r>
      <w:r>
        <w:rPr>
          <w:rFonts w:hint="eastAsia" w:ascii="宋体" w:hAnsi="宋体"/>
          <w:sz w:val="24"/>
        </w:rPr>
        <w:t>日的市场价值进行了评估。现将评估情况摘要如下：</w:t>
      </w:r>
    </w:p>
    <w:p>
      <w:pPr>
        <w:tabs>
          <w:tab w:val="left" w:pos="11988"/>
        </w:tabs>
        <w:spacing w:line="460" w:lineRule="exact"/>
        <w:ind w:firstLine="480" w:firstLineChars="200"/>
        <w:jc w:val="left"/>
        <w:rPr>
          <w:rFonts w:ascii="宋体" w:hAnsi="宋体"/>
          <w:sz w:val="24"/>
        </w:rPr>
      </w:pPr>
      <w:r>
        <w:rPr>
          <w:rFonts w:hint="eastAsia" w:ascii="宋体" w:hAnsi="宋体"/>
          <w:sz w:val="24"/>
        </w:rPr>
        <w:t>一、评估结论</w:t>
      </w:r>
    </w:p>
    <w:p>
      <w:pPr>
        <w:snapToGrid w:val="0"/>
        <w:spacing w:line="460" w:lineRule="exact"/>
        <w:ind w:firstLine="480" w:firstLineChars="200"/>
        <w:rPr>
          <w:rFonts w:ascii="宋体" w:hAnsi="宋体"/>
          <w:sz w:val="24"/>
        </w:rPr>
      </w:pPr>
      <w:r>
        <w:rPr>
          <w:rFonts w:hint="eastAsia" w:ascii="宋体" w:hAnsi="宋体"/>
          <w:sz w:val="24"/>
        </w:rPr>
        <w:t>本次评估对列入评估范围的</w:t>
      </w:r>
      <w:r>
        <w:rPr>
          <w:rFonts w:hint="eastAsia" w:ascii="宋体" w:hAnsi="宋体"/>
          <w:sz w:val="24"/>
          <w:lang w:eastAsia="zh-CN"/>
        </w:rPr>
        <w:t>杭州市天荟未来之光城A-304</w:t>
      </w:r>
      <w:r>
        <w:rPr>
          <w:rFonts w:hint="eastAsia" w:ascii="宋体" w:hAnsi="宋体"/>
          <w:sz w:val="24"/>
        </w:rPr>
        <w:t>车位</w:t>
      </w:r>
      <w:r>
        <w:rPr>
          <w:rFonts w:hint="eastAsia" w:ascii="宋体" w:hAnsi="宋体"/>
          <w:sz w:val="24"/>
          <w:lang w:eastAsia="zh-CN"/>
        </w:rPr>
        <w:t>使用权</w:t>
      </w:r>
      <w:r>
        <w:rPr>
          <w:rFonts w:hint="eastAsia" w:ascii="宋体" w:hAnsi="宋体"/>
          <w:sz w:val="24"/>
        </w:rPr>
        <w:t>进行了评估，在本报告揭示的假设前提下，</w:t>
      </w:r>
      <w:r>
        <w:rPr>
          <w:rFonts w:hint="eastAsia" w:ascii="宋体" w:hAnsi="宋体"/>
          <w:sz w:val="24"/>
          <w:lang w:eastAsia="zh-CN"/>
        </w:rPr>
        <w:t>杭州市天荟未来之光城A-304</w:t>
      </w:r>
      <w:r>
        <w:rPr>
          <w:rFonts w:hint="eastAsia" w:ascii="宋体" w:hAnsi="宋体"/>
          <w:sz w:val="24"/>
        </w:rPr>
        <w:t>车位</w:t>
      </w:r>
      <w:r>
        <w:rPr>
          <w:rFonts w:hint="eastAsia" w:ascii="宋体" w:hAnsi="宋体"/>
          <w:sz w:val="24"/>
          <w:lang w:eastAsia="zh-CN"/>
        </w:rPr>
        <w:t>使用权</w:t>
      </w:r>
      <w:r>
        <w:rPr>
          <w:rFonts w:hint="eastAsia" w:ascii="宋体" w:hAnsi="宋体"/>
          <w:sz w:val="24"/>
        </w:rPr>
        <w:t>在</w:t>
      </w:r>
      <w:r>
        <w:rPr>
          <w:rFonts w:hint="eastAsia" w:ascii="宋体" w:hAnsi="宋体"/>
          <w:sz w:val="24"/>
          <w:lang w:eastAsia="zh-CN"/>
        </w:rPr>
        <w:t>2022年6月27日</w:t>
      </w:r>
      <w:r>
        <w:rPr>
          <w:rFonts w:hint="eastAsia" w:ascii="宋体" w:hAnsi="宋体"/>
          <w:sz w:val="24"/>
        </w:rPr>
        <w:t>的市场价值为</w:t>
      </w:r>
      <w:r>
        <w:rPr>
          <w:rFonts w:hint="eastAsia" w:ascii="宋体" w:hAnsi="宋体"/>
          <w:sz w:val="24"/>
          <w:lang w:val="en-US" w:eastAsia="zh-CN"/>
        </w:rPr>
        <w:t>15.00</w:t>
      </w:r>
      <w:r>
        <w:rPr>
          <w:rFonts w:hint="eastAsia" w:ascii="宋体" w:hAnsi="宋体"/>
          <w:sz w:val="24"/>
        </w:rPr>
        <w:t>万元。</w:t>
      </w:r>
    </w:p>
    <w:p>
      <w:pPr>
        <w:spacing w:line="460" w:lineRule="exact"/>
        <w:ind w:firstLine="480" w:firstLineChars="200"/>
        <w:rPr>
          <w:rFonts w:ascii="宋体" w:hAnsi="宋体"/>
          <w:sz w:val="24"/>
        </w:rPr>
      </w:pPr>
      <w:r>
        <w:rPr>
          <w:rFonts w:hint="eastAsia" w:ascii="宋体" w:hAnsi="宋体"/>
          <w:sz w:val="24"/>
        </w:rPr>
        <w:t>二、特别事项说明</w:t>
      </w:r>
    </w:p>
    <w:p>
      <w:pPr>
        <w:spacing w:line="460" w:lineRule="exact"/>
        <w:ind w:firstLine="480" w:firstLineChars="200"/>
        <w:rPr>
          <w:rFonts w:hint="eastAsia" w:ascii="宋体" w:hAnsi="宋体"/>
          <w:sz w:val="24"/>
          <w:lang w:val="en-US" w:eastAsia="zh-CN"/>
        </w:rPr>
      </w:pPr>
      <w:r>
        <w:rPr>
          <w:rFonts w:hint="eastAsia" w:ascii="宋体" w:hAnsi="宋体"/>
          <w:sz w:val="24"/>
        </w:rPr>
        <w:t>1.</w:t>
      </w:r>
      <w:r>
        <w:rPr>
          <w:rFonts w:hint="eastAsia" w:ascii="宋体" w:hAnsi="宋体"/>
          <w:sz w:val="24"/>
          <w:lang w:eastAsia="zh-CN"/>
        </w:rPr>
        <w:t>委估车位使用权转让日期为</w:t>
      </w:r>
      <w:r>
        <w:rPr>
          <w:rFonts w:hint="eastAsia" w:ascii="宋体" w:hAnsi="宋体"/>
          <w:sz w:val="24"/>
          <w:lang w:val="en-US" w:eastAsia="zh-CN"/>
        </w:rPr>
        <w:t>2020年10月12日，但具体的使用年限无从得知，在此提请报告使用者关注此项的影响。</w:t>
      </w:r>
    </w:p>
    <w:p>
      <w:pPr>
        <w:spacing w:line="460" w:lineRule="exact"/>
        <w:ind w:firstLine="480" w:firstLineChars="200"/>
        <w:rPr>
          <w:rFonts w:hint="default" w:ascii="宋体" w:hAnsi="宋体"/>
          <w:sz w:val="24"/>
          <w:lang w:val="en-US" w:eastAsia="zh-CN"/>
        </w:rPr>
      </w:pPr>
      <w:r>
        <w:rPr>
          <w:rFonts w:hint="eastAsia" w:ascii="宋体" w:hAnsi="宋体"/>
          <w:sz w:val="24"/>
          <w:lang w:val="en-US" w:eastAsia="zh-CN"/>
        </w:rPr>
        <w:t>2.根据于静与中青创文化发展有限公司签订的《地下车位使用权转让合同》，《地下车位使用权转让合同》为《杭州市房屋转让合同》的附属合同，如果《杭州市房屋转让合同》解除或终止，则《地下车位使用权转让合同》亦自动解除或终止，在此提请报告使用者关注此项的影响。</w:t>
      </w:r>
    </w:p>
    <w:p>
      <w:pPr>
        <w:spacing w:line="460" w:lineRule="exact"/>
        <w:ind w:firstLine="480" w:firstLineChars="200"/>
        <w:rPr>
          <w:rFonts w:ascii="宋体" w:hAnsi="宋体"/>
          <w:sz w:val="24"/>
        </w:rPr>
      </w:pPr>
      <w:r>
        <w:rPr>
          <w:rFonts w:hint="eastAsia" w:ascii="宋体" w:hAnsi="宋体"/>
          <w:sz w:val="24"/>
        </w:rPr>
        <w:t>评估报告使用者应当关注上述事项对评估结论可能产生的影响。</w:t>
      </w:r>
    </w:p>
    <w:p>
      <w:pPr>
        <w:pStyle w:val="4"/>
        <w:snapToGrid w:val="0"/>
        <w:spacing w:line="460" w:lineRule="exact"/>
        <w:ind w:firstLine="480" w:firstLineChars="200"/>
        <w:rPr>
          <w:rFonts w:cs="Arial"/>
        </w:rPr>
      </w:pPr>
      <w:r>
        <w:rPr>
          <w:rFonts w:hint="eastAsia" w:cs="Arial"/>
        </w:rPr>
        <w:t>三、评估结论使用有效期</w:t>
      </w:r>
    </w:p>
    <w:p>
      <w:pPr>
        <w:tabs>
          <w:tab w:val="left" w:pos="11988"/>
        </w:tabs>
        <w:spacing w:line="460" w:lineRule="exact"/>
        <w:ind w:firstLine="480" w:firstLineChars="200"/>
        <w:rPr>
          <w:rFonts w:ascii="宋体" w:hAnsi="宋体" w:cs="Arial"/>
          <w:sz w:val="24"/>
        </w:rPr>
      </w:pPr>
      <w:r>
        <w:rPr>
          <w:rFonts w:hint="eastAsia" w:ascii="宋体" w:hAnsi="宋体" w:cs="Arial"/>
          <w:sz w:val="24"/>
        </w:rPr>
        <w:t>评估结论仅在评估报告载明的评估基准日成立。评估结论的使用期限应根据评估基准日后的资产状况和市场变化情况来确定，原则上不超过一年。</w:t>
      </w:r>
    </w:p>
    <w:p>
      <w:pPr>
        <w:pStyle w:val="4"/>
        <w:snapToGrid w:val="0"/>
        <w:spacing w:line="460" w:lineRule="exact"/>
        <w:ind w:firstLine="480" w:firstLineChars="200"/>
        <w:rPr>
          <w:rFonts w:hint="eastAsia" w:eastAsia="宋体" w:cs="Arial"/>
          <w:lang w:val="en-US" w:eastAsia="zh-CN"/>
        </w:rPr>
      </w:pPr>
      <w:r>
        <w:rPr>
          <w:rFonts w:hint="eastAsia" w:cs="Arial"/>
        </w:rPr>
        <w:t>评估报告日：20</w:t>
      </w:r>
      <w:r>
        <w:rPr>
          <w:rFonts w:hint="eastAsia" w:cs="Arial"/>
          <w:lang w:val="en-US" w:eastAsia="zh-CN"/>
        </w:rPr>
        <w:t>22</w:t>
      </w:r>
      <w:r>
        <w:rPr>
          <w:rFonts w:hint="eastAsia" w:cs="Arial"/>
        </w:rPr>
        <w:t>年</w:t>
      </w:r>
      <w:r>
        <w:rPr>
          <w:rFonts w:hint="eastAsia" w:cs="Arial"/>
          <w:lang w:val="en-US" w:eastAsia="zh-CN"/>
        </w:rPr>
        <w:t>7</w:t>
      </w:r>
      <w:r>
        <w:rPr>
          <w:rFonts w:hint="eastAsia" w:cs="Arial"/>
        </w:rPr>
        <w:t>月</w:t>
      </w:r>
      <w:r>
        <w:rPr>
          <w:rFonts w:hint="eastAsia" w:cs="Arial"/>
          <w:lang w:val="en-US" w:eastAsia="zh-CN"/>
        </w:rPr>
        <w:t>5</w:t>
      </w:r>
      <w:r>
        <w:rPr>
          <w:rFonts w:hint="eastAsia" w:cs="Arial"/>
        </w:rPr>
        <w:t>日</w:t>
      </w:r>
      <w:r>
        <w:rPr>
          <w:rFonts w:hint="eastAsia" w:cs="Arial"/>
          <w:lang w:eastAsia="zh-CN"/>
        </w:rPr>
        <w:t>。</w:t>
      </w:r>
    </w:p>
    <w:p>
      <w:pPr>
        <w:pStyle w:val="4"/>
        <w:snapToGrid w:val="0"/>
        <w:spacing w:line="480" w:lineRule="exact"/>
        <w:ind w:firstLine="472" w:firstLineChars="196"/>
        <w:rPr>
          <w:b/>
        </w:rPr>
      </w:pPr>
      <w:r>
        <w:rPr>
          <w:rFonts w:hint="eastAsia"/>
          <w:b/>
        </w:rPr>
        <w:t>以上内容</w:t>
      </w:r>
      <w:r>
        <w:rPr>
          <w:rFonts w:hint="eastAsia" w:cs="Arial"/>
          <w:b/>
        </w:rPr>
        <w:t>摘自</w:t>
      </w:r>
      <w:r>
        <w:rPr>
          <w:rFonts w:hint="eastAsia"/>
          <w:b/>
        </w:rPr>
        <w:t>评估报告正文，欲了解本评估项目的详细情况和合理理解评估结论，应当阅读评估报告正文。</w:t>
      </w:r>
    </w:p>
    <w:p>
      <w:pPr>
        <w:pStyle w:val="4"/>
        <w:snapToGrid w:val="0"/>
        <w:spacing w:line="480" w:lineRule="exact"/>
        <w:ind w:firstLine="472" w:firstLineChars="196"/>
        <w:rPr>
          <w:b/>
        </w:rPr>
      </w:pPr>
    </w:p>
    <w:p>
      <w:pPr>
        <w:pStyle w:val="4"/>
        <w:snapToGrid w:val="0"/>
        <w:spacing w:line="480" w:lineRule="exact"/>
        <w:ind w:firstLine="472" w:firstLineChars="196"/>
        <w:rPr>
          <w:b/>
        </w:rPr>
      </w:pPr>
    </w:p>
    <w:p>
      <w:pPr>
        <w:pStyle w:val="4"/>
        <w:snapToGrid w:val="0"/>
        <w:spacing w:line="480" w:lineRule="exact"/>
        <w:ind w:firstLine="472" w:firstLineChars="196"/>
        <w:rPr>
          <w:b/>
        </w:rPr>
      </w:pPr>
    </w:p>
    <w:p>
      <w:pPr>
        <w:pStyle w:val="4"/>
        <w:snapToGrid w:val="0"/>
        <w:spacing w:line="480" w:lineRule="exact"/>
        <w:ind w:firstLine="472" w:firstLineChars="196"/>
        <w:rPr>
          <w:b/>
        </w:rPr>
      </w:pPr>
    </w:p>
    <w:p>
      <w:pPr>
        <w:pStyle w:val="4"/>
        <w:snapToGrid w:val="0"/>
        <w:spacing w:line="480" w:lineRule="exact"/>
        <w:ind w:firstLine="0"/>
        <w:rPr>
          <w:b/>
        </w:rPr>
      </w:pPr>
    </w:p>
    <w:p>
      <w:pPr>
        <w:pStyle w:val="4"/>
        <w:snapToGrid w:val="0"/>
        <w:spacing w:line="480" w:lineRule="exact"/>
        <w:ind w:firstLine="0"/>
        <w:rPr>
          <w:b/>
        </w:rPr>
      </w:pPr>
    </w:p>
    <w:p>
      <w:pPr>
        <w:pStyle w:val="4"/>
        <w:snapToGrid w:val="0"/>
        <w:spacing w:line="480" w:lineRule="exact"/>
        <w:ind w:firstLine="0"/>
        <w:rPr>
          <w:b/>
        </w:rPr>
        <w:sectPr>
          <w:headerReference r:id="rId7" w:type="default"/>
          <w:footerReference r:id="rId8" w:type="default"/>
          <w:type w:val="continuous"/>
          <w:pgSz w:w="11906" w:h="16838"/>
          <w:pgMar w:top="1440" w:right="1588" w:bottom="1440" w:left="1797" w:header="851" w:footer="992" w:gutter="0"/>
          <w:cols w:space="425" w:num="1"/>
          <w:docGrid w:type="lines" w:linePitch="312" w:charSpace="0"/>
        </w:sectPr>
      </w:pPr>
    </w:p>
    <w:bookmarkEnd w:id="12"/>
    <w:bookmarkEnd w:id="13"/>
    <w:p>
      <w:pPr>
        <w:pStyle w:val="2"/>
        <w:spacing w:line="240" w:lineRule="auto"/>
        <w:jc w:val="center"/>
        <w:rPr>
          <w:rFonts w:ascii="黑体" w:hAnsi="宋体" w:eastAsia="黑体"/>
          <w:sz w:val="36"/>
        </w:rPr>
      </w:pPr>
      <w:bookmarkStart w:id="15" w:name="_Toc17200454"/>
      <w:bookmarkStart w:id="16" w:name="_Toc487341266"/>
      <w:bookmarkStart w:id="17" w:name="_Toc223322441"/>
      <w:r>
        <w:rPr>
          <w:rFonts w:hint="eastAsia" w:ascii="黑体" w:hAnsi="宋体" w:eastAsia="黑体"/>
          <w:sz w:val="36"/>
        </w:rPr>
        <w:t>评 估 报 告</w:t>
      </w:r>
      <w:bookmarkEnd w:id="15"/>
      <w:bookmarkEnd w:id="16"/>
      <w:bookmarkEnd w:id="17"/>
    </w:p>
    <w:p>
      <w:pPr>
        <w:jc w:val="center"/>
        <w:rPr>
          <w:rFonts w:ascii="黑体" w:hAnsi="宋体" w:eastAsia="黑体"/>
        </w:rPr>
      </w:pPr>
      <w:r>
        <w:rPr>
          <w:rFonts w:hint="eastAsia" w:ascii="黑体" w:hAnsi="宋体" w:eastAsia="黑体"/>
        </w:rPr>
        <w:t>杭金孚评字[20</w:t>
      </w:r>
      <w:r>
        <w:rPr>
          <w:rFonts w:hint="eastAsia" w:ascii="黑体" w:hAnsi="宋体" w:eastAsia="黑体"/>
          <w:lang w:val="en-US" w:eastAsia="zh-CN"/>
        </w:rPr>
        <w:t>22</w:t>
      </w:r>
      <w:r>
        <w:rPr>
          <w:rFonts w:hint="eastAsia" w:ascii="黑体" w:hAnsi="宋体" w:eastAsia="黑体"/>
        </w:rPr>
        <w:t>]第</w:t>
      </w:r>
      <w:r>
        <w:rPr>
          <w:rFonts w:hint="eastAsia" w:ascii="黑体" w:hAnsi="宋体" w:eastAsia="黑体"/>
          <w:lang w:val="en-US" w:eastAsia="zh-CN"/>
        </w:rPr>
        <w:t>96</w:t>
      </w:r>
      <w:r>
        <w:rPr>
          <w:rFonts w:hint="eastAsia" w:ascii="黑体" w:hAnsi="宋体" w:eastAsia="黑体"/>
        </w:rPr>
        <w:t>号</w:t>
      </w:r>
    </w:p>
    <w:p>
      <w:pPr>
        <w:spacing w:line="360" w:lineRule="auto"/>
        <w:ind w:firstLine="420" w:firstLineChars="200"/>
        <w:jc w:val="center"/>
        <w:rPr>
          <w:rFonts w:ascii="宋体" w:hAnsi="宋体"/>
        </w:rPr>
      </w:pPr>
    </w:p>
    <w:p>
      <w:pPr>
        <w:spacing w:line="360" w:lineRule="auto"/>
        <w:rPr>
          <w:rFonts w:ascii="宋体" w:hAnsi="宋体"/>
          <w:sz w:val="24"/>
        </w:rPr>
      </w:pPr>
      <w:bookmarkStart w:id="18" w:name="_Toc487341267"/>
      <w:bookmarkStart w:id="19" w:name="_Toc484924567"/>
      <w:bookmarkStart w:id="20" w:name="_Toc223322442"/>
      <w:r>
        <w:rPr>
          <w:rFonts w:hint="eastAsia" w:ascii="宋体" w:hAnsi="宋体"/>
          <w:sz w:val="24"/>
          <w:lang w:eastAsia="zh-CN"/>
        </w:rPr>
        <w:t>浙江省杭州市西湖区人民法院</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杭州金孚资产评估有限公司接受贵院委托，根据有关法律法规和资产评估准则、资产评估原则，采用市场法，按照必要的评估程序，对贵院在执行</w:t>
      </w:r>
      <w:r>
        <w:rPr>
          <w:rFonts w:hint="eastAsia" w:ascii="宋体" w:hAnsi="宋体"/>
          <w:sz w:val="24"/>
          <w:lang w:eastAsia="zh-CN"/>
        </w:rPr>
        <w:t>（2022）浙0106执5479号</w:t>
      </w:r>
      <w:r>
        <w:rPr>
          <w:rFonts w:hint="eastAsia" w:ascii="宋体" w:hAnsi="宋体"/>
          <w:sz w:val="24"/>
        </w:rPr>
        <w:t>案件中涉及的</w:t>
      </w:r>
      <w:r>
        <w:rPr>
          <w:rFonts w:hint="eastAsia" w:ascii="宋体" w:hAnsi="宋体"/>
          <w:sz w:val="24"/>
          <w:lang w:eastAsia="zh-CN"/>
        </w:rPr>
        <w:t>杭州市天荟未来之光城A-304</w:t>
      </w:r>
      <w:r>
        <w:rPr>
          <w:rFonts w:hint="eastAsia" w:ascii="宋体" w:hAnsi="宋体"/>
          <w:sz w:val="24"/>
        </w:rPr>
        <w:t>车位</w:t>
      </w:r>
      <w:r>
        <w:rPr>
          <w:rFonts w:hint="eastAsia" w:ascii="宋体" w:hAnsi="宋体"/>
          <w:sz w:val="24"/>
          <w:lang w:eastAsia="zh-CN"/>
        </w:rPr>
        <w:t>使用权</w:t>
      </w:r>
      <w:r>
        <w:rPr>
          <w:rFonts w:hint="eastAsia" w:ascii="宋体" w:hAnsi="宋体"/>
          <w:sz w:val="24"/>
        </w:rPr>
        <w:t>在</w:t>
      </w:r>
      <w:r>
        <w:rPr>
          <w:rFonts w:hint="eastAsia" w:ascii="宋体" w:hAnsi="宋体"/>
          <w:sz w:val="24"/>
          <w:lang w:eastAsia="zh-CN"/>
        </w:rPr>
        <w:t>2022年6月27日</w:t>
      </w:r>
      <w:r>
        <w:rPr>
          <w:rFonts w:hint="eastAsia" w:ascii="宋体" w:hAnsi="宋体"/>
          <w:sz w:val="24"/>
        </w:rPr>
        <w:t>的市场价值进行了评估。现将评估情况报告如下：</w:t>
      </w:r>
    </w:p>
    <w:p>
      <w:pPr>
        <w:pStyle w:val="3"/>
        <w:spacing w:before="0" w:after="0" w:line="360" w:lineRule="auto"/>
        <w:ind w:firstLine="480" w:firstLineChars="200"/>
        <w:rPr>
          <w:rFonts w:ascii="黑体" w:hAnsi="宋体"/>
          <w:b w:val="0"/>
          <w:sz w:val="24"/>
          <w:szCs w:val="24"/>
        </w:rPr>
      </w:pPr>
      <w:bookmarkStart w:id="21" w:name="_Toc17200455"/>
      <w:r>
        <w:rPr>
          <w:rFonts w:hint="eastAsia" w:ascii="黑体" w:hAnsi="宋体"/>
          <w:b w:val="0"/>
          <w:sz w:val="24"/>
          <w:szCs w:val="24"/>
        </w:rPr>
        <w:t>一、委托方、申请人、被申请人和其他评估报告使用者</w:t>
      </w:r>
      <w:bookmarkEnd w:id="18"/>
      <w:bookmarkEnd w:id="19"/>
      <w:bookmarkEnd w:id="20"/>
      <w:bookmarkEnd w:id="21"/>
    </w:p>
    <w:p>
      <w:pPr>
        <w:spacing w:line="360" w:lineRule="auto"/>
        <w:ind w:firstLine="480" w:firstLineChars="200"/>
        <w:rPr>
          <w:rFonts w:ascii="宋体" w:hAnsi="宋体"/>
          <w:sz w:val="24"/>
        </w:rPr>
      </w:pPr>
      <w:r>
        <w:rPr>
          <w:rFonts w:hint="eastAsia" w:ascii="宋体" w:hAnsi="宋体"/>
          <w:sz w:val="24"/>
        </w:rPr>
        <w:t>(一)委托方</w:t>
      </w:r>
    </w:p>
    <w:p>
      <w:pPr>
        <w:tabs>
          <w:tab w:val="left" w:pos="11988"/>
        </w:tabs>
        <w:spacing w:line="360" w:lineRule="auto"/>
        <w:ind w:firstLine="480" w:firstLineChars="200"/>
        <w:jc w:val="left"/>
        <w:rPr>
          <w:rFonts w:ascii="宋体" w:hAnsi="宋体" w:cs="Arial"/>
          <w:sz w:val="24"/>
        </w:rPr>
      </w:pPr>
      <w:r>
        <w:rPr>
          <w:rFonts w:hint="eastAsia" w:ascii="宋体" w:hAnsi="宋体" w:cs="Arial"/>
          <w:sz w:val="24"/>
        </w:rPr>
        <w:t>本次评估委托方为</w:t>
      </w:r>
      <w:r>
        <w:rPr>
          <w:rFonts w:hint="eastAsia" w:ascii="宋体" w:hAnsi="宋体" w:cs="Arial"/>
          <w:sz w:val="24"/>
          <w:lang w:eastAsia="zh-CN"/>
        </w:rPr>
        <w:t>浙江省杭州市西湖区人民法院</w:t>
      </w:r>
      <w:r>
        <w:rPr>
          <w:rFonts w:hint="eastAsia" w:ascii="宋体" w:hAnsi="宋体" w:cs="Arial"/>
          <w:sz w:val="24"/>
        </w:rPr>
        <w:t>（以下简称“</w:t>
      </w:r>
      <w:r>
        <w:rPr>
          <w:rFonts w:hint="eastAsia" w:ascii="宋体" w:hAnsi="宋体" w:cs="Arial"/>
          <w:sz w:val="24"/>
          <w:lang w:eastAsia="zh-CN"/>
        </w:rPr>
        <w:t>西湖</w:t>
      </w:r>
      <w:r>
        <w:rPr>
          <w:rFonts w:hint="eastAsia" w:ascii="宋体" w:hAnsi="宋体" w:cs="Arial"/>
          <w:sz w:val="24"/>
        </w:rPr>
        <w:t>区人民法院”）。</w:t>
      </w:r>
    </w:p>
    <w:p>
      <w:pPr>
        <w:spacing w:line="360" w:lineRule="auto"/>
        <w:ind w:firstLine="480" w:firstLineChars="200"/>
        <w:rPr>
          <w:rFonts w:ascii="宋体" w:hAnsi="宋体"/>
          <w:sz w:val="24"/>
        </w:rPr>
      </w:pPr>
      <w:r>
        <w:rPr>
          <w:rFonts w:hint="eastAsia" w:ascii="宋体" w:hAnsi="宋体"/>
          <w:sz w:val="24"/>
        </w:rPr>
        <w:t>(二)资产占有方</w:t>
      </w:r>
    </w:p>
    <w:p>
      <w:pPr>
        <w:spacing w:line="360" w:lineRule="auto"/>
        <w:ind w:firstLine="480" w:firstLineChars="200"/>
        <w:rPr>
          <w:rFonts w:ascii="宋体" w:hAnsi="宋体"/>
          <w:sz w:val="24"/>
        </w:rPr>
      </w:pPr>
      <w:r>
        <w:rPr>
          <w:rFonts w:hint="eastAsia" w:ascii="宋体" w:hAnsi="宋体"/>
          <w:sz w:val="24"/>
          <w:lang w:eastAsia="zh-CN"/>
        </w:rPr>
        <w:t>于静、黄鹏</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(三)报告使用者</w:t>
      </w:r>
    </w:p>
    <w:p>
      <w:pPr>
        <w:spacing w:line="360" w:lineRule="auto"/>
        <w:ind w:firstLine="480" w:firstLineChars="200"/>
        <w:rPr>
          <w:rFonts w:ascii="宋体" w:hAnsi="宋体"/>
          <w:sz w:val="24"/>
        </w:rPr>
      </w:pPr>
      <w:bookmarkStart w:id="22" w:name="_Toc222218685"/>
      <w:bookmarkStart w:id="23" w:name="_Toc234649904"/>
      <w:r>
        <w:rPr>
          <w:rFonts w:hint="eastAsia" w:ascii="宋体" w:hAnsi="宋体"/>
          <w:sz w:val="24"/>
        </w:rPr>
        <w:t>其他评估报告使用者包括国家法律、法规规定的其他报告使用者。</w:t>
      </w:r>
    </w:p>
    <w:p>
      <w:pPr>
        <w:pStyle w:val="3"/>
        <w:spacing w:before="0" w:after="0" w:line="360" w:lineRule="auto"/>
        <w:ind w:firstLine="480" w:firstLineChars="200"/>
        <w:rPr>
          <w:rFonts w:ascii="黑体" w:hAnsi="宋体"/>
          <w:b w:val="0"/>
          <w:sz w:val="24"/>
          <w:szCs w:val="24"/>
        </w:rPr>
      </w:pPr>
      <w:bookmarkStart w:id="24" w:name="_Toc17200456"/>
      <w:r>
        <w:rPr>
          <w:rFonts w:hint="eastAsia" w:ascii="黑体" w:hAnsi="宋体"/>
          <w:b w:val="0"/>
          <w:sz w:val="24"/>
          <w:szCs w:val="24"/>
        </w:rPr>
        <w:t>二、评估目的</w:t>
      </w:r>
      <w:bookmarkEnd w:id="22"/>
      <w:bookmarkEnd w:id="23"/>
      <w:bookmarkEnd w:id="24"/>
    </w:p>
    <w:p>
      <w:pPr>
        <w:spacing w:line="360" w:lineRule="auto"/>
        <w:ind w:firstLine="480" w:firstLineChars="200"/>
        <w:rPr>
          <w:rFonts w:ascii="宋体" w:hAnsi="宋体" w:cs="Arial"/>
          <w:color w:val="000000"/>
          <w:sz w:val="24"/>
        </w:rPr>
      </w:pPr>
      <w:r>
        <w:rPr>
          <w:rFonts w:hint="eastAsia" w:ascii="宋体" w:hAnsi="宋体" w:cs="Arial"/>
          <w:color w:val="000000"/>
          <w:sz w:val="24"/>
        </w:rPr>
        <w:t>确定</w:t>
      </w:r>
      <w:r>
        <w:rPr>
          <w:rFonts w:hint="eastAsia" w:ascii="宋体" w:hAnsi="宋体"/>
          <w:sz w:val="24"/>
          <w:lang w:eastAsia="zh-CN"/>
        </w:rPr>
        <w:t>杭州市天荟未来之光城A-304</w:t>
      </w:r>
      <w:r>
        <w:rPr>
          <w:rFonts w:hint="eastAsia" w:ascii="宋体" w:hAnsi="宋体"/>
          <w:sz w:val="24"/>
        </w:rPr>
        <w:t>车位</w:t>
      </w:r>
      <w:r>
        <w:rPr>
          <w:rFonts w:hint="eastAsia" w:ascii="宋体" w:hAnsi="宋体"/>
          <w:sz w:val="24"/>
          <w:lang w:eastAsia="zh-CN"/>
        </w:rPr>
        <w:t>使用权</w:t>
      </w:r>
      <w:r>
        <w:rPr>
          <w:rFonts w:hint="eastAsia" w:ascii="宋体" w:hAnsi="宋体" w:cs="Arial"/>
          <w:color w:val="000000"/>
          <w:sz w:val="24"/>
        </w:rPr>
        <w:t>的市场价值，为</w:t>
      </w:r>
      <w:r>
        <w:rPr>
          <w:rFonts w:hint="eastAsia" w:ascii="宋体" w:hAnsi="宋体" w:cs="Arial"/>
          <w:color w:val="000000"/>
          <w:sz w:val="24"/>
          <w:lang w:eastAsia="zh-CN"/>
        </w:rPr>
        <w:t>浙江省杭州市西湖区人民法院</w:t>
      </w:r>
      <w:r>
        <w:rPr>
          <w:rFonts w:hint="eastAsia" w:ascii="宋体" w:hAnsi="宋体" w:cs="Arial"/>
          <w:color w:val="000000"/>
          <w:sz w:val="24"/>
        </w:rPr>
        <w:t>拟实施司法处置提供价值参考依据。</w:t>
      </w:r>
    </w:p>
    <w:p>
      <w:pPr>
        <w:pStyle w:val="3"/>
        <w:spacing w:before="0" w:after="0" w:line="360" w:lineRule="auto"/>
        <w:ind w:firstLine="480" w:firstLineChars="200"/>
        <w:rPr>
          <w:rFonts w:ascii="黑体" w:hAnsi="宋体"/>
          <w:b w:val="0"/>
          <w:sz w:val="24"/>
          <w:szCs w:val="24"/>
        </w:rPr>
      </w:pPr>
      <w:bookmarkStart w:id="25" w:name="_Toc17200457"/>
      <w:bookmarkStart w:id="26" w:name="_Toc484924569"/>
      <w:bookmarkStart w:id="27" w:name="_Toc487341269"/>
      <w:bookmarkStart w:id="28" w:name="_Toc223322444"/>
      <w:r>
        <w:rPr>
          <w:rFonts w:hint="eastAsia" w:ascii="黑体" w:hAnsi="宋体"/>
          <w:b w:val="0"/>
          <w:sz w:val="24"/>
          <w:szCs w:val="24"/>
        </w:rPr>
        <w:t>三、评估对象及评估范围</w:t>
      </w:r>
      <w:bookmarkEnd w:id="25"/>
      <w:bookmarkEnd w:id="26"/>
      <w:bookmarkEnd w:id="27"/>
      <w:bookmarkEnd w:id="28"/>
    </w:p>
    <w:p>
      <w:pPr>
        <w:spacing w:line="360" w:lineRule="auto"/>
        <w:ind w:firstLine="480" w:firstLineChars="200"/>
        <w:rPr>
          <w:rFonts w:ascii="宋体" w:hAnsi="宋体" w:cs="Arial"/>
          <w:color w:val="000000"/>
          <w:sz w:val="24"/>
        </w:rPr>
      </w:pPr>
      <w:bookmarkStart w:id="29" w:name="_Toc487341270"/>
      <w:bookmarkStart w:id="30" w:name="_Toc223322445"/>
      <w:bookmarkStart w:id="31" w:name="_Toc484924570"/>
      <w:r>
        <w:rPr>
          <w:rFonts w:hint="eastAsia" w:ascii="宋体" w:hAnsi="宋体"/>
          <w:sz w:val="24"/>
          <w:lang w:eastAsia="zh-CN"/>
        </w:rPr>
        <w:t>杭州市天荟未来之光城A-304</w:t>
      </w:r>
      <w:r>
        <w:rPr>
          <w:rFonts w:hint="eastAsia" w:ascii="宋体" w:hAnsi="宋体"/>
          <w:sz w:val="24"/>
        </w:rPr>
        <w:t>车位</w:t>
      </w:r>
      <w:r>
        <w:rPr>
          <w:rFonts w:hint="eastAsia" w:ascii="宋体" w:hAnsi="宋体"/>
          <w:sz w:val="24"/>
          <w:lang w:eastAsia="zh-CN"/>
        </w:rPr>
        <w:t>使用权</w:t>
      </w:r>
      <w:r>
        <w:rPr>
          <w:rFonts w:hint="eastAsia" w:ascii="宋体" w:hAnsi="宋体" w:cs="Arial"/>
          <w:color w:val="000000"/>
          <w:sz w:val="24"/>
        </w:rPr>
        <w:t>。</w:t>
      </w:r>
    </w:p>
    <w:p>
      <w:pPr>
        <w:pStyle w:val="3"/>
        <w:spacing w:before="0" w:after="0" w:line="360" w:lineRule="auto"/>
        <w:ind w:firstLine="480" w:firstLineChars="200"/>
        <w:rPr>
          <w:rFonts w:ascii="黑体" w:hAnsi="宋体"/>
          <w:b w:val="0"/>
          <w:sz w:val="24"/>
          <w:szCs w:val="24"/>
        </w:rPr>
      </w:pPr>
      <w:bookmarkStart w:id="32" w:name="_Toc17200458"/>
      <w:r>
        <w:rPr>
          <w:rFonts w:hint="eastAsia" w:ascii="黑体" w:hAnsi="宋体"/>
          <w:b w:val="0"/>
          <w:sz w:val="24"/>
          <w:szCs w:val="24"/>
        </w:rPr>
        <w:t>四、价值类型及其定义</w:t>
      </w:r>
      <w:bookmarkEnd w:id="29"/>
      <w:bookmarkEnd w:id="30"/>
      <w:bookmarkEnd w:id="31"/>
      <w:bookmarkEnd w:id="32"/>
    </w:p>
    <w:p>
      <w:pPr>
        <w:snapToGrid w:val="0"/>
        <w:spacing w:line="360" w:lineRule="auto"/>
        <w:ind w:firstLine="480" w:firstLineChars="200"/>
        <w:rPr>
          <w:rFonts w:ascii="宋体" w:hAnsi="宋体" w:cs="Arial"/>
          <w:sz w:val="24"/>
        </w:rPr>
      </w:pPr>
      <w:r>
        <w:rPr>
          <w:rFonts w:hint="eastAsia" w:ascii="宋体" w:hAnsi="宋体" w:cs="Arial"/>
          <w:sz w:val="24"/>
        </w:rPr>
        <w:t>根据评估目的、市场条件及评估对象等因素，本评估项目选用的价值类型为市场价值。</w:t>
      </w:r>
    </w:p>
    <w:p>
      <w:pPr>
        <w:snapToGrid w:val="0"/>
        <w:spacing w:line="360" w:lineRule="auto"/>
        <w:ind w:firstLine="480" w:firstLineChars="200"/>
        <w:rPr>
          <w:rFonts w:ascii="宋体" w:hAnsi="宋体" w:cs="Arial"/>
          <w:sz w:val="24"/>
        </w:rPr>
      </w:pPr>
      <w:r>
        <w:rPr>
          <w:rFonts w:hint="eastAsia" w:ascii="宋体" w:hAnsi="宋体" w:cs="Arial"/>
          <w:sz w:val="24"/>
        </w:rPr>
        <w:t>市场价值是指自愿买方和自愿卖方在各自理性行事且未受任何强迫的情况下，评估对象在评估基准日进行正常公平交易的价值估计数额。</w:t>
      </w:r>
    </w:p>
    <w:p>
      <w:pPr>
        <w:pStyle w:val="3"/>
        <w:spacing w:before="0" w:after="0" w:line="360" w:lineRule="auto"/>
        <w:ind w:firstLine="480" w:firstLineChars="200"/>
        <w:rPr>
          <w:rFonts w:ascii="黑体" w:hAnsi="宋体"/>
          <w:b w:val="0"/>
          <w:sz w:val="24"/>
          <w:szCs w:val="24"/>
        </w:rPr>
      </w:pPr>
      <w:bookmarkStart w:id="33" w:name="_Toc487341271"/>
      <w:bookmarkStart w:id="34" w:name="_Toc17200459"/>
      <w:bookmarkStart w:id="35" w:name="_Toc223322446"/>
      <w:bookmarkStart w:id="36" w:name="_Toc484924571"/>
      <w:r>
        <w:rPr>
          <w:rFonts w:hint="eastAsia" w:ascii="黑体" w:hAnsi="宋体"/>
          <w:b w:val="0"/>
          <w:sz w:val="24"/>
          <w:szCs w:val="24"/>
        </w:rPr>
        <w:t>五、评估基准日</w:t>
      </w:r>
      <w:bookmarkEnd w:id="33"/>
      <w:bookmarkEnd w:id="34"/>
      <w:bookmarkEnd w:id="35"/>
      <w:bookmarkEnd w:id="36"/>
    </w:p>
    <w:p>
      <w:pPr>
        <w:spacing w:line="360" w:lineRule="auto"/>
        <w:ind w:firstLine="480" w:firstLineChars="200"/>
        <w:rPr>
          <w:rFonts w:ascii="宋体" w:hAnsi="宋体" w:cs="Arial"/>
          <w:sz w:val="24"/>
        </w:rPr>
      </w:pPr>
      <w:r>
        <w:rPr>
          <w:rFonts w:hint="eastAsia" w:ascii="宋体" w:hAnsi="宋体" w:cs="Arial"/>
          <w:sz w:val="24"/>
        </w:rPr>
        <w:t>根据委托方意见和现场核实的有关信息情况，评估基准日确定为</w:t>
      </w:r>
      <w:r>
        <w:rPr>
          <w:rFonts w:hint="eastAsia" w:ascii="宋体" w:hAnsi="宋体" w:cs="Arial"/>
          <w:sz w:val="24"/>
          <w:lang w:eastAsia="zh-CN"/>
        </w:rPr>
        <w:t>2022年6月27日</w:t>
      </w:r>
      <w:r>
        <w:rPr>
          <w:rFonts w:hint="eastAsia" w:ascii="宋体" w:hAnsi="宋体" w:cs="Arial"/>
          <w:sz w:val="24"/>
        </w:rPr>
        <w:t>。</w:t>
      </w:r>
    </w:p>
    <w:p>
      <w:pPr>
        <w:snapToGrid w:val="0"/>
        <w:spacing w:line="360" w:lineRule="auto"/>
        <w:ind w:firstLine="480" w:firstLineChars="200"/>
        <w:rPr>
          <w:rFonts w:ascii="宋体" w:hAnsi="宋体" w:cs="Arial"/>
          <w:sz w:val="24"/>
        </w:rPr>
      </w:pPr>
      <w:r>
        <w:rPr>
          <w:rFonts w:ascii="宋体" w:hAnsi="宋体" w:cs="Arial"/>
          <w:sz w:val="24"/>
        </w:rPr>
        <w:t>本评估报告中</w:t>
      </w:r>
      <w:r>
        <w:rPr>
          <w:rFonts w:hint="eastAsia" w:ascii="宋体" w:hAnsi="宋体" w:cs="Arial"/>
          <w:sz w:val="24"/>
        </w:rPr>
        <w:t>一切</w:t>
      </w:r>
      <w:r>
        <w:rPr>
          <w:rFonts w:ascii="宋体" w:hAnsi="宋体" w:cs="Arial"/>
          <w:sz w:val="24"/>
        </w:rPr>
        <w:t>取价标准</w:t>
      </w:r>
      <w:r>
        <w:rPr>
          <w:rFonts w:hint="eastAsia" w:ascii="宋体" w:hAnsi="宋体" w:cs="Arial"/>
          <w:sz w:val="24"/>
        </w:rPr>
        <w:t>均</w:t>
      </w:r>
      <w:r>
        <w:rPr>
          <w:rFonts w:ascii="宋体" w:hAnsi="宋体" w:cs="Arial"/>
          <w:sz w:val="24"/>
        </w:rPr>
        <w:t>为评估基准日有效的价格标准。</w:t>
      </w:r>
    </w:p>
    <w:p>
      <w:pPr>
        <w:pStyle w:val="3"/>
        <w:spacing w:before="0" w:after="0" w:line="360" w:lineRule="auto"/>
        <w:ind w:firstLine="480" w:firstLineChars="200"/>
        <w:rPr>
          <w:rFonts w:ascii="黑体" w:hAnsi="宋体"/>
          <w:b w:val="0"/>
          <w:sz w:val="24"/>
          <w:szCs w:val="24"/>
        </w:rPr>
      </w:pPr>
      <w:bookmarkStart w:id="37" w:name="_Toc223322447"/>
      <w:bookmarkStart w:id="38" w:name="_Toc487341272"/>
      <w:bookmarkStart w:id="39" w:name="_Toc484924572"/>
      <w:bookmarkStart w:id="40" w:name="_Toc17200460"/>
      <w:r>
        <w:rPr>
          <w:rFonts w:hint="eastAsia" w:ascii="黑体" w:hAnsi="宋体"/>
          <w:b w:val="0"/>
          <w:sz w:val="24"/>
          <w:szCs w:val="24"/>
        </w:rPr>
        <w:t>六、评估依据</w:t>
      </w:r>
      <w:bookmarkEnd w:id="37"/>
      <w:bookmarkEnd w:id="38"/>
      <w:bookmarkEnd w:id="39"/>
      <w:bookmarkEnd w:id="40"/>
    </w:p>
    <w:p>
      <w:pPr>
        <w:spacing w:line="360" w:lineRule="auto"/>
        <w:ind w:firstLine="482" w:firstLineChars="200"/>
        <w:rPr>
          <w:rFonts w:ascii="宋体" w:hAnsi="宋体" w:cs="Arial"/>
          <w:b/>
          <w:color w:val="000000"/>
          <w:sz w:val="24"/>
        </w:rPr>
      </w:pPr>
      <w:r>
        <w:rPr>
          <w:rFonts w:hint="eastAsia" w:ascii="宋体" w:hAnsi="宋体" w:cs="Arial"/>
          <w:b/>
          <w:color w:val="000000"/>
          <w:sz w:val="24"/>
        </w:rPr>
        <w:t>（一）法律依据</w:t>
      </w:r>
    </w:p>
    <w:p>
      <w:pPr>
        <w:numPr>
          <w:ilvl w:val="0"/>
          <w:numId w:val="1"/>
        </w:numPr>
        <w:spacing w:line="360" w:lineRule="auto"/>
        <w:ind w:left="0" w:firstLine="480" w:firstLineChars="200"/>
        <w:rPr>
          <w:rFonts w:ascii="宋体" w:hAnsi="宋体" w:cs="Arial"/>
          <w:color w:val="000000"/>
          <w:sz w:val="24"/>
        </w:rPr>
      </w:pPr>
      <w:r>
        <w:rPr>
          <w:rFonts w:hint="eastAsia" w:ascii="宋体" w:hAnsi="宋体" w:cs="Arial"/>
          <w:color w:val="000000"/>
          <w:sz w:val="24"/>
        </w:rPr>
        <w:t>《全国人民代表大会常务委员会关于司法鉴定管理问题的决定》</w:t>
      </w:r>
      <w:r>
        <w:rPr>
          <w:rFonts w:ascii="宋体" w:hAnsi="宋体"/>
          <w:color w:val="000000"/>
          <w:sz w:val="24"/>
        </w:rPr>
        <w:t>(</w:t>
      </w:r>
      <w:r>
        <w:rPr>
          <w:rFonts w:hint="eastAsia" w:ascii="宋体" w:hAnsi="宋体"/>
          <w:color w:val="000000"/>
          <w:sz w:val="24"/>
        </w:rPr>
        <w:t>2005</w:t>
      </w:r>
      <w:r>
        <w:rPr>
          <w:rFonts w:ascii="宋体" w:hAnsi="宋体"/>
          <w:color w:val="000000"/>
          <w:sz w:val="24"/>
        </w:rPr>
        <w:t>年</w:t>
      </w:r>
      <w:r>
        <w:rPr>
          <w:rFonts w:hint="eastAsia" w:ascii="宋体" w:hAnsi="宋体"/>
          <w:color w:val="000000"/>
          <w:sz w:val="24"/>
        </w:rPr>
        <w:t>2</w:t>
      </w:r>
      <w:r>
        <w:rPr>
          <w:rFonts w:ascii="宋体" w:hAnsi="宋体"/>
          <w:color w:val="000000"/>
          <w:sz w:val="24"/>
        </w:rPr>
        <w:t>月</w:t>
      </w:r>
      <w:r>
        <w:rPr>
          <w:rFonts w:hint="eastAsia" w:ascii="宋体" w:hAnsi="宋体"/>
          <w:color w:val="000000"/>
          <w:sz w:val="24"/>
        </w:rPr>
        <w:t>28</w:t>
      </w:r>
      <w:r>
        <w:rPr>
          <w:rFonts w:ascii="宋体" w:hAnsi="宋体"/>
          <w:color w:val="000000"/>
          <w:sz w:val="24"/>
        </w:rPr>
        <w:t>日第十届全国人民代表大会常务委员会第十四次会议通过)</w:t>
      </w:r>
      <w:r>
        <w:rPr>
          <w:rFonts w:hint="eastAsia" w:ascii="宋体" w:hAnsi="宋体" w:cs="Arial"/>
          <w:color w:val="000000"/>
          <w:sz w:val="24"/>
        </w:rPr>
        <w:t>；</w:t>
      </w:r>
    </w:p>
    <w:p>
      <w:pPr>
        <w:numPr>
          <w:ilvl w:val="0"/>
          <w:numId w:val="1"/>
        </w:numPr>
        <w:spacing w:line="360" w:lineRule="auto"/>
        <w:ind w:left="0" w:firstLine="480" w:firstLineChars="200"/>
        <w:rPr>
          <w:rFonts w:ascii="宋体" w:hAnsi="宋体" w:cs="Arial"/>
          <w:color w:val="000000"/>
          <w:sz w:val="24"/>
        </w:rPr>
      </w:pPr>
      <w:r>
        <w:rPr>
          <w:rFonts w:hint="eastAsia" w:ascii="宋体" w:hAnsi="宋体" w:cs="Arial"/>
          <w:color w:val="000000"/>
          <w:sz w:val="24"/>
        </w:rPr>
        <w:t>《司法鉴定程序通则》（中华人民共和国司法部令第107号）；</w:t>
      </w:r>
    </w:p>
    <w:p>
      <w:pPr>
        <w:numPr>
          <w:ilvl w:val="0"/>
          <w:numId w:val="1"/>
        </w:numPr>
        <w:spacing w:line="360" w:lineRule="auto"/>
        <w:ind w:left="0" w:firstLine="480" w:firstLineChars="200"/>
        <w:rPr>
          <w:rFonts w:ascii="宋体" w:hAnsi="宋体" w:cs="Arial"/>
          <w:color w:val="000000"/>
          <w:sz w:val="24"/>
        </w:rPr>
      </w:pPr>
      <w:r>
        <w:rPr>
          <w:rFonts w:hint="eastAsia" w:ascii="宋体" w:hAnsi="宋体" w:cs="Arial"/>
          <w:color w:val="000000"/>
          <w:sz w:val="24"/>
        </w:rPr>
        <w:t>《人民法院对外委托司法鉴定管理规定》（法释〔2002〕8号）；</w:t>
      </w:r>
    </w:p>
    <w:p>
      <w:pPr>
        <w:numPr>
          <w:ilvl w:val="0"/>
          <w:numId w:val="1"/>
        </w:numPr>
        <w:spacing w:line="360" w:lineRule="auto"/>
        <w:ind w:left="0" w:firstLine="480" w:firstLineChars="200"/>
        <w:rPr>
          <w:rFonts w:ascii="宋体" w:hAnsi="宋体" w:cs="Arial"/>
          <w:color w:val="000000"/>
          <w:sz w:val="24"/>
        </w:rPr>
      </w:pPr>
      <w:r>
        <w:rPr>
          <w:rFonts w:hint="eastAsia" w:ascii="宋体" w:hAnsi="宋体" w:cs="Arial"/>
          <w:color w:val="000000"/>
          <w:sz w:val="24"/>
        </w:rPr>
        <w:t>《浙江省人民法院实施〈人民法院对外委托司法处置管理规定〉细则》（浙高法[2010]299号）；</w:t>
      </w:r>
    </w:p>
    <w:p>
      <w:pPr>
        <w:numPr>
          <w:ilvl w:val="0"/>
          <w:numId w:val="1"/>
        </w:numPr>
        <w:spacing w:line="360" w:lineRule="auto"/>
        <w:ind w:left="0" w:firstLine="480" w:firstLineChars="200"/>
        <w:rPr>
          <w:rFonts w:ascii="宋体" w:hAnsi="宋体" w:cs="Arial"/>
          <w:color w:val="000000"/>
          <w:sz w:val="24"/>
        </w:rPr>
      </w:pPr>
      <w:r>
        <w:rPr>
          <w:rFonts w:hint="eastAsia" w:ascii="宋体" w:hAnsi="宋体" w:cs="Arial"/>
          <w:color w:val="000000"/>
          <w:sz w:val="24"/>
        </w:rPr>
        <w:t>《最高人民法院关于人民法院委托评估、拍卖和变卖工作的若干规定》(法</w:t>
      </w:r>
    </w:p>
    <w:p>
      <w:pPr>
        <w:spacing w:line="360" w:lineRule="auto"/>
        <w:ind w:firstLine="480" w:firstLineChars="200"/>
        <w:rPr>
          <w:rFonts w:ascii="宋体" w:hAnsi="宋体" w:cs="Arial"/>
          <w:color w:val="000000"/>
          <w:sz w:val="24"/>
        </w:rPr>
      </w:pPr>
      <w:r>
        <w:rPr>
          <w:rFonts w:hint="eastAsia" w:ascii="宋体" w:hAnsi="宋体" w:cs="Arial"/>
          <w:color w:val="000000"/>
          <w:sz w:val="24"/>
        </w:rPr>
        <w:t>释〔2009〕16号)；</w:t>
      </w:r>
    </w:p>
    <w:p>
      <w:pPr>
        <w:numPr>
          <w:ilvl w:val="0"/>
          <w:numId w:val="1"/>
        </w:numPr>
        <w:spacing w:line="360" w:lineRule="auto"/>
        <w:ind w:left="0" w:firstLine="480" w:firstLineChars="200"/>
        <w:rPr>
          <w:rFonts w:ascii="宋体" w:hAnsi="宋体" w:cs="Arial"/>
          <w:color w:val="000000"/>
          <w:sz w:val="24"/>
        </w:rPr>
      </w:pPr>
      <w:r>
        <w:rPr>
          <w:rFonts w:hint="eastAsia" w:ascii="宋体" w:hAnsi="宋体" w:cs="Arial"/>
          <w:color w:val="000000"/>
          <w:sz w:val="24"/>
        </w:rPr>
        <w:t>《中华人民共和国资产评估法》（中华人民共和国主席令第四十六号，2016年7月2日第十二届全国人民代表大会常务委员会第二十一次会议通过）；</w:t>
      </w:r>
    </w:p>
    <w:p>
      <w:pPr>
        <w:numPr>
          <w:ilvl w:val="0"/>
          <w:numId w:val="1"/>
        </w:numPr>
        <w:spacing w:line="360" w:lineRule="auto"/>
        <w:ind w:left="0" w:firstLine="480" w:firstLineChars="200"/>
        <w:rPr>
          <w:rFonts w:ascii="宋体" w:hAnsi="宋体" w:cs="Arial"/>
          <w:color w:val="000000"/>
          <w:sz w:val="24"/>
        </w:rPr>
      </w:pPr>
      <w:r>
        <w:rPr>
          <w:rFonts w:hint="eastAsia" w:ascii="宋体" w:hAnsi="宋体" w:cs="Arial"/>
          <w:color w:val="000000"/>
          <w:sz w:val="24"/>
        </w:rPr>
        <w:t>有关其他法律、法规、规章制度等。</w:t>
      </w:r>
    </w:p>
    <w:p>
      <w:pPr>
        <w:numPr>
          <w:ilvl w:val="0"/>
          <w:numId w:val="2"/>
        </w:numPr>
        <w:spacing w:line="360" w:lineRule="auto"/>
        <w:ind w:firstLine="482" w:firstLineChars="200"/>
        <w:rPr>
          <w:rFonts w:ascii="宋体" w:hAnsi="宋体" w:cs="Arial"/>
          <w:b/>
          <w:color w:val="000000"/>
          <w:sz w:val="24"/>
        </w:rPr>
      </w:pPr>
      <w:r>
        <w:rPr>
          <w:rFonts w:hint="eastAsia" w:ascii="宋体" w:hAnsi="宋体" w:cs="Arial"/>
          <w:b/>
          <w:color w:val="000000"/>
          <w:sz w:val="24"/>
        </w:rPr>
        <w:t>准则依据</w:t>
      </w:r>
    </w:p>
    <w:p>
      <w:pPr>
        <w:spacing w:line="360" w:lineRule="auto"/>
        <w:ind w:firstLine="480" w:firstLineChars="200"/>
        <w:rPr>
          <w:rFonts w:ascii="宋体" w:hAnsi="宋体" w:cs="Arial"/>
          <w:color w:val="000000"/>
          <w:sz w:val="24"/>
        </w:rPr>
      </w:pPr>
      <w:r>
        <w:rPr>
          <w:rFonts w:hint="eastAsia" w:ascii="宋体" w:hAnsi="宋体" w:cs="Arial"/>
          <w:color w:val="000000"/>
          <w:sz w:val="24"/>
        </w:rPr>
        <w:t xml:space="preserve">1、《资产评估基本准则》财资〔2017〕43号； </w:t>
      </w:r>
    </w:p>
    <w:p>
      <w:pPr>
        <w:spacing w:line="360" w:lineRule="auto"/>
        <w:ind w:firstLine="480" w:firstLineChars="200"/>
        <w:rPr>
          <w:rFonts w:ascii="宋体" w:hAnsi="宋体" w:cs="Arial"/>
          <w:color w:val="000000"/>
          <w:sz w:val="24"/>
        </w:rPr>
      </w:pPr>
      <w:r>
        <w:rPr>
          <w:rFonts w:hint="eastAsia" w:ascii="宋体" w:hAnsi="宋体" w:cs="Arial"/>
          <w:color w:val="000000"/>
          <w:sz w:val="24"/>
        </w:rPr>
        <w:t xml:space="preserve">2、《资产评估职业道德准则》中评协〔2017〕30号； </w:t>
      </w:r>
    </w:p>
    <w:p>
      <w:pPr>
        <w:spacing w:line="360" w:lineRule="auto"/>
        <w:ind w:firstLine="480" w:firstLineChars="200"/>
        <w:rPr>
          <w:rFonts w:ascii="宋体" w:hAnsi="宋体" w:cs="Arial"/>
          <w:color w:val="000000"/>
          <w:sz w:val="24"/>
        </w:rPr>
      </w:pPr>
      <w:r>
        <w:rPr>
          <w:rFonts w:hint="eastAsia" w:ascii="宋体" w:hAnsi="宋体" w:cs="Arial"/>
          <w:color w:val="000000"/>
          <w:sz w:val="24"/>
        </w:rPr>
        <w:t>3、《资产评估执业准则——资产评估程序》中评协〔2018〕36号 ；</w:t>
      </w:r>
    </w:p>
    <w:p>
      <w:pPr>
        <w:spacing w:line="360" w:lineRule="auto"/>
        <w:ind w:firstLine="480" w:firstLineChars="200"/>
        <w:rPr>
          <w:rFonts w:ascii="宋体" w:hAnsi="宋体" w:cs="Arial"/>
          <w:color w:val="000000"/>
          <w:sz w:val="24"/>
        </w:rPr>
      </w:pPr>
      <w:r>
        <w:rPr>
          <w:rFonts w:hint="eastAsia" w:ascii="宋体" w:hAnsi="宋体" w:cs="Arial"/>
          <w:color w:val="000000"/>
          <w:sz w:val="24"/>
        </w:rPr>
        <w:t xml:space="preserve">4、《资产评估执业准则——资产评估报告》中评协〔2018〕35号； </w:t>
      </w:r>
    </w:p>
    <w:p>
      <w:pPr>
        <w:spacing w:line="360" w:lineRule="auto"/>
        <w:ind w:firstLine="480" w:firstLineChars="200"/>
        <w:rPr>
          <w:rFonts w:ascii="宋体" w:hAnsi="宋体" w:cs="Arial"/>
          <w:color w:val="000000"/>
          <w:sz w:val="24"/>
        </w:rPr>
      </w:pPr>
      <w:r>
        <w:rPr>
          <w:rFonts w:hint="eastAsia" w:ascii="宋体" w:hAnsi="宋体" w:cs="Arial"/>
          <w:color w:val="000000"/>
          <w:sz w:val="24"/>
        </w:rPr>
        <w:t xml:space="preserve">5、《资产评估执业准则——资产评估委托合同》中评协〔2017〕33号； </w:t>
      </w:r>
    </w:p>
    <w:p>
      <w:pPr>
        <w:spacing w:line="360" w:lineRule="auto"/>
        <w:ind w:firstLine="480" w:firstLineChars="200"/>
        <w:rPr>
          <w:rFonts w:ascii="宋体" w:hAnsi="宋体" w:cs="Arial"/>
          <w:color w:val="000000"/>
          <w:sz w:val="24"/>
        </w:rPr>
      </w:pPr>
      <w:r>
        <w:rPr>
          <w:rFonts w:hint="eastAsia" w:ascii="宋体" w:hAnsi="宋体" w:cs="Arial"/>
          <w:color w:val="000000"/>
          <w:sz w:val="24"/>
        </w:rPr>
        <w:t>6、《资产评估执业准则——资产评估档案》中评协〔2018〕37号；</w:t>
      </w:r>
    </w:p>
    <w:p>
      <w:pPr>
        <w:spacing w:line="360" w:lineRule="auto"/>
        <w:ind w:firstLine="480" w:firstLineChars="200"/>
        <w:rPr>
          <w:rFonts w:ascii="宋体" w:hAnsi="宋体" w:cs="Arial"/>
          <w:color w:val="000000"/>
          <w:sz w:val="24"/>
        </w:rPr>
      </w:pPr>
      <w:r>
        <w:rPr>
          <w:rFonts w:hint="eastAsia" w:ascii="宋体" w:hAnsi="宋体" w:cs="Arial"/>
          <w:color w:val="000000"/>
          <w:sz w:val="24"/>
        </w:rPr>
        <w:t>7、《资产评估执业准则——不动产》中评协〔2017〕38号；</w:t>
      </w:r>
    </w:p>
    <w:p>
      <w:pPr>
        <w:spacing w:line="360" w:lineRule="auto"/>
        <w:ind w:firstLine="480" w:firstLineChars="200"/>
        <w:rPr>
          <w:rFonts w:ascii="宋体" w:hAnsi="宋体" w:cs="Arial"/>
          <w:color w:val="000000"/>
          <w:sz w:val="24"/>
        </w:rPr>
      </w:pPr>
      <w:r>
        <w:rPr>
          <w:rFonts w:hint="eastAsia" w:ascii="宋体" w:hAnsi="宋体" w:cs="Arial"/>
          <w:color w:val="000000"/>
          <w:sz w:val="24"/>
        </w:rPr>
        <w:t xml:space="preserve">8、《资产评估机构业务质量控制指南》中评协〔2017〕46号； </w:t>
      </w:r>
    </w:p>
    <w:p>
      <w:pPr>
        <w:spacing w:line="360" w:lineRule="auto"/>
        <w:ind w:firstLine="480" w:firstLineChars="200"/>
        <w:rPr>
          <w:rFonts w:ascii="宋体" w:hAnsi="宋体" w:cs="Arial"/>
          <w:color w:val="000000"/>
          <w:sz w:val="24"/>
        </w:rPr>
      </w:pPr>
      <w:r>
        <w:rPr>
          <w:rFonts w:hint="eastAsia" w:ascii="宋体" w:hAnsi="宋体" w:cs="Arial"/>
          <w:color w:val="000000"/>
          <w:sz w:val="24"/>
        </w:rPr>
        <w:t>9、《资产评估价值类型指导意见》中评协〔2017〕47号；</w:t>
      </w:r>
    </w:p>
    <w:p>
      <w:pPr>
        <w:spacing w:line="360" w:lineRule="auto"/>
        <w:ind w:firstLine="480" w:firstLineChars="200"/>
        <w:rPr>
          <w:rFonts w:ascii="宋体" w:hAnsi="宋体" w:cs="Arial"/>
          <w:color w:val="000000"/>
          <w:sz w:val="24"/>
        </w:rPr>
      </w:pPr>
      <w:r>
        <w:rPr>
          <w:rFonts w:hint="eastAsia" w:ascii="宋体" w:hAnsi="宋体" w:cs="Arial"/>
          <w:color w:val="000000"/>
          <w:sz w:val="24"/>
        </w:rPr>
        <w:t>10、《资产评估对象法律权属指导意见》中评协〔2017〕48号；</w:t>
      </w:r>
    </w:p>
    <w:p>
      <w:pPr>
        <w:spacing w:line="360" w:lineRule="auto"/>
        <w:ind w:firstLine="480" w:firstLineChars="200"/>
        <w:rPr>
          <w:rFonts w:ascii="宋体" w:hAnsi="宋体" w:cs="Arial"/>
          <w:color w:val="000000"/>
          <w:sz w:val="24"/>
        </w:rPr>
      </w:pPr>
      <w:r>
        <w:rPr>
          <w:rFonts w:hint="eastAsia" w:ascii="宋体" w:hAnsi="宋体" w:cs="Arial"/>
          <w:color w:val="000000"/>
          <w:sz w:val="24"/>
        </w:rPr>
        <w:t>11、</w:t>
      </w:r>
      <w:r>
        <w:rPr>
          <w:rFonts w:hint="eastAsia" w:ascii="宋体" w:hAnsi="宋体" w:cs="宋体"/>
          <w:sz w:val="24"/>
        </w:rPr>
        <w:t>有关其他准则文件等</w:t>
      </w:r>
      <w:r>
        <w:rPr>
          <w:rFonts w:hint="eastAsia" w:ascii="宋体" w:hAnsi="宋体" w:cs="Arial"/>
          <w:color w:val="000000"/>
          <w:sz w:val="24"/>
        </w:rPr>
        <w:t>。</w:t>
      </w:r>
    </w:p>
    <w:p>
      <w:pPr>
        <w:spacing w:line="360" w:lineRule="auto"/>
        <w:ind w:firstLine="482" w:firstLineChars="200"/>
        <w:rPr>
          <w:rFonts w:ascii="宋体" w:hAnsi="宋体" w:cs="Arial"/>
          <w:b/>
          <w:color w:val="000000"/>
          <w:sz w:val="24"/>
        </w:rPr>
      </w:pPr>
      <w:r>
        <w:rPr>
          <w:rFonts w:hint="eastAsia" w:ascii="宋体" w:hAnsi="宋体" w:cs="Arial"/>
          <w:b/>
          <w:color w:val="000000"/>
          <w:sz w:val="24"/>
        </w:rPr>
        <w:t>(三)取价依据及参考资料</w:t>
      </w:r>
    </w:p>
    <w:p>
      <w:pPr>
        <w:numPr>
          <w:ilvl w:val="0"/>
          <w:numId w:val="3"/>
        </w:numPr>
        <w:spacing w:line="360" w:lineRule="auto"/>
        <w:ind w:firstLine="480" w:firstLineChars="200"/>
        <w:rPr>
          <w:rFonts w:ascii="宋体" w:hAnsi="宋体" w:cs="Arial"/>
          <w:color w:val="000000"/>
          <w:sz w:val="24"/>
        </w:rPr>
      </w:pPr>
      <w:r>
        <w:rPr>
          <w:rFonts w:hint="eastAsia" w:ascii="宋体" w:hAnsi="宋体" w:cs="Arial"/>
          <w:color w:val="000000"/>
          <w:sz w:val="24"/>
        </w:rPr>
        <w:t>评估专业人员对资产核实、分析等所搜集的佐证资料；</w:t>
      </w:r>
    </w:p>
    <w:p>
      <w:pPr>
        <w:numPr>
          <w:ilvl w:val="0"/>
          <w:numId w:val="3"/>
        </w:numPr>
        <w:spacing w:line="360" w:lineRule="auto"/>
        <w:ind w:firstLine="480" w:firstLineChars="200"/>
        <w:rPr>
          <w:rFonts w:ascii="宋体" w:hAnsi="宋体" w:cs="Arial"/>
          <w:color w:val="000000"/>
          <w:sz w:val="24"/>
        </w:rPr>
      </w:pPr>
      <w:bookmarkStart w:id="41" w:name="ref_[1]_6694959"/>
      <w:bookmarkEnd w:id="41"/>
      <w:r>
        <w:rPr>
          <w:rFonts w:hint="eastAsia" w:ascii="宋体" w:hAnsi="宋体" w:cs="Arial"/>
          <w:color w:val="000000"/>
          <w:sz w:val="24"/>
        </w:rPr>
        <w:t>评估人员市场调查取得的资料；</w:t>
      </w:r>
    </w:p>
    <w:p>
      <w:pPr>
        <w:numPr>
          <w:ilvl w:val="0"/>
          <w:numId w:val="3"/>
        </w:numPr>
        <w:spacing w:line="360" w:lineRule="auto"/>
        <w:ind w:firstLine="480" w:firstLineChars="200"/>
        <w:rPr>
          <w:rFonts w:ascii="宋体" w:hAnsi="宋体" w:cs="Arial"/>
          <w:color w:val="000000"/>
          <w:sz w:val="24"/>
        </w:rPr>
      </w:pPr>
      <w:r>
        <w:rPr>
          <w:rFonts w:hint="eastAsia" w:ascii="宋体" w:hAnsi="宋体" w:cs="Arial"/>
          <w:color w:val="000000"/>
          <w:sz w:val="24"/>
        </w:rPr>
        <w:t>评估人员通过互联网等进行市场调查取得的资料。</w:t>
      </w:r>
    </w:p>
    <w:p>
      <w:pPr>
        <w:pStyle w:val="3"/>
        <w:spacing w:before="0" w:after="0" w:line="360" w:lineRule="auto"/>
        <w:ind w:firstLine="480" w:firstLineChars="200"/>
        <w:rPr>
          <w:rFonts w:ascii="黑体" w:hAnsi="宋体"/>
          <w:b w:val="0"/>
          <w:sz w:val="24"/>
          <w:szCs w:val="24"/>
        </w:rPr>
      </w:pPr>
      <w:bookmarkStart w:id="42" w:name="_Toc487341273"/>
      <w:bookmarkStart w:id="43" w:name="_Toc484924573"/>
      <w:bookmarkStart w:id="44" w:name="_Toc17200461"/>
      <w:bookmarkStart w:id="45" w:name="_Toc223322448"/>
      <w:r>
        <w:rPr>
          <w:rFonts w:hint="eastAsia" w:ascii="黑体" w:hAnsi="宋体"/>
          <w:b w:val="0"/>
          <w:sz w:val="24"/>
          <w:szCs w:val="24"/>
        </w:rPr>
        <w:t>七、评估方法</w:t>
      </w:r>
      <w:bookmarkEnd w:id="42"/>
      <w:bookmarkEnd w:id="43"/>
      <w:bookmarkEnd w:id="44"/>
      <w:bookmarkEnd w:id="45"/>
    </w:p>
    <w:p>
      <w:pPr>
        <w:widowControl/>
        <w:spacing w:line="360" w:lineRule="auto"/>
        <w:ind w:firstLine="480" w:firstLineChars="200"/>
        <w:jc w:val="left"/>
        <w:rPr>
          <w:rFonts w:ascii="宋体" w:hAnsi="宋体" w:cs="Arial"/>
          <w:color w:val="000000"/>
          <w:sz w:val="24"/>
        </w:rPr>
      </w:pPr>
      <w:bookmarkStart w:id="46" w:name="_Toc487341274"/>
      <w:bookmarkStart w:id="47" w:name="_Toc484924574"/>
      <w:bookmarkStart w:id="48" w:name="_Toc223322449"/>
      <w:r>
        <w:rPr>
          <w:rFonts w:ascii="宋体" w:hAnsi="宋体" w:cs="Arial"/>
          <w:color w:val="000000"/>
          <w:sz w:val="24"/>
        </w:rPr>
        <w:t>(一)资产评估的基本方法</w:t>
      </w:r>
    </w:p>
    <w:p>
      <w:pPr>
        <w:widowControl/>
        <w:spacing w:line="360" w:lineRule="auto"/>
        <w:ind w:firstLine="480" w:firstLineChars="200"/>
        <w:jc w:val="left"/>
        <w:rPr>
          <w:rFonts w:ascii="宋体" w:hAnsi="宋体" w:cs="Arial"/>
          <w:color w:val="000000"/>
          <w:sz w:val="24"/>
        </w:rPr>
      </w:pPr>
      <w:r>
        <w:rPr>
          <w:rFonts w:ascii="宋体" w:hAnsi="宋体" w:cs="Arial"/>
          <w:color w:val="000000"/>
          <w:sz w:val="24"/>
        </w:rPr>
        <w:t>资产评估基本方法有市场法、收益法与成本法。</w:t>
      </w:r>
    </w:p>
    <w:p>
      <w:pPr>
        <w:widowControl/>
        <w:spacing w:line="360" w:lineRule="auto"/>
        <w:ind w:firstLine="480" w:firstLineChars="200"/>
        <w:jc w:val="left"/>
        <w:rPr>
          <w:rFonts w:ascii="宋体" w:hAnsi="宋体" w:cs="Arial"/>
          <w:color w:val="000000"/>
          <w:sz w:val="24"/>
        </w:rPr>
      </w:pPr>
      <w:r>
        <w:rPr>
          <w:rFonts w:ascii="宋体" w:hAnsi="宋体" w:cs="Arial"/>
          <w:color w:val="000000"/>
          <w:sz w:val="24"/>
        </w:rPr>
        <w:t>1、市场法</w:t>
      </w:r>
    </w:p>
    <w:p>
      <w:pPr>
        <w:widowControl/>
        <w:spacing w:line="360" w:lineRule="auto"/>
        <w:ind w:firstLine="480" w:firstLineChars="200"/>
        <w:jc w:val="left"/>
        <w:rPr>
          <w:rFonts w:ascii="宋体" w:hAnsi="宋体" w:cs="Arial"/>
          <w:color w:val="000000"/>
          <w:sz w:val="24"/>
        </w:rPr>
      </w:pPr>
      <w:r>
        <w:rPr>
          <w:rFonts w:ascii="宋体" w:hAnsi="宋体" w:cs="Arial"/>
          <w:color w:val="000000"/>
          <w:sz w:val="24"/>
        </w:rPr>
        <w:t>市场法是指利用市场上同样或类似资产的近期交易价格，经过直接比较或类比分析以估测资产价值的评估方法。其使用的基本前提有：</w:t>
      </w:r>
    </w:p>
    <w:p>
      <w:pPr>
        <w:spacing w:line="360" w:lineRule="auto"/>
        <w:ind w:firstLine="480" w:firstLineChars="200"/>
        <w:rPr>
          <w:rFonts w:ascii="宋体" w:hAnsi="宋体" w:cs="Arial"/>
          <w:color w:val="000000"/>
          <w:sz w:val="24"/>
        </w:rPr>
      </w:pPr>
      <w:r>
        <w:rPr>
          <w:rFonts w:ascii="宋体" w:hAnsi="宋体" w:cs="Arial"/>
          <w:color w:val="000000"/>
          <w:sz w:val="24"/>
        </w:rPr>
        <w:t>(1) 存在一个活跃的公开市场；</w:t>
      </w:r>
    </w:p>
    <w:p>
      <w:pPr>
        <w:spacing w:line="360" w:lineRule="auto"/>
        <w:ind w:firstLine="480" w:firstLineChars="200"/>
        <w:rPr>
          <w:rFonts w:ascii="宋体" w:hAnsi="宋体" w:cs="Arial"/>
          <w:color w:val="000000"/>
          <w:sz w:val="24"/>
        </w:rPr>
      </w:pPr>
      <w:r>
        <w:rPr>
          <w:rFonts w:ascii="宋体" w:hAnsi="宋体" w:cs="Arial"/>
          <w:color w:val="000000"/>
          <w:sz w:val="24"/>
        </w:rPr>
        <w:t>(2) 公开市场上存在可比的资产及其交易活动。</w:t>
      </w:r>
    </w:p>
    <w:p>
      <w:pPr>
        <w:widowControl/>
        <w:spacing w:line="360" w:lineRule="auto"/>
        <w:ind w:firstLine="480" w:firstLineChars="200"/>
        <w:jc w:val="left"/>
        <w:rPr>
          <w:rFonts w:ascii="宋体" w:hAnsi="宋体" w:cs="Arial"/>
          <w:color w:val="000000"/>
          <w:sz w:val="24"/>
        </w:rPr>
      </w:pPr>
      <w:r>
        <w:rPr>
          <w:rFonts w:ascii="宋体" w:hAnsi="宋体" w:cs="Arial"/>
          <w:color w:val="000000"/>
          <w:sz w:val="24"/>
        </w:rPr>
        <w:t>2、收益法</w:t>
      </w:r>
    </w:p>
    <w:p>
      <w:pPr>
        <w:widowControl/>
        <w:spacing w:line="360" w:lineRule="auto"/>
        <w:ind w:firstLine="480" w:firstLineChars="200"/>
        <w:jc w:val="left"/>
        <w:rPr>
          <w:rFonts w:ascii="宋体" w:hAnsi="宋体" w:cs="Arial"/>
          <w:color w:val="000000"/>
          <w:sz w:val="24"/>
        </w:rPr>
      </w:pPr>
      <w:r>
        <w:rPr>
          <w:rFonts w:ascii="宋体" w:hAnsi="宋体" w:cs="Arial"/>
          <w:color w:val="000000"/>
          <w:sz w:val="24"/>
        </w:rPr>
        <w:t>收益法是指通过估测被评估资产未来预期收益的现值来判断资产价值的评估方法。应用收益法必须具备的基本前提有：</w:t>
      </w:r>
    </w:p>
    <w:p>
      <w:pPr>
        <w:spacing w:line="360" w:lineRule="auto"/>
        <w:ind w:firstLine="480" w:firstLineChars="200"/>
        <w:rPr>
          <w:rFonts w:ascii="宋体" w:hAnsi="宋体" w:cs="Arial"/>
          <w:color w:val="000000"/>
          <w:sz w:val="24"/>
        </w:rPr>
      </w:pPr>
      <w:r>
        <w:rPr>
          <w:rFonts w:ascii="宋体" w:hAnsi="宋体" w:cs="Arial"/>
          <w:color w:val="000000"/>
          <w:sz w:val="24"/>
        </w:rPr>
        <w:t>(1) 被评估资产的未来预期收益可以预测并可以用货币衡量；</w:t>
      </w:r>
    </w:p>
    <w:p>
      <w:pPr>
        <w:spacing w:line="360" w:lineRule="auto"/>
        <w:ind w:firstLine="480" w:firstLineChars="200"/>
        <w:rPr>
          <w:rFonts w:ascii="宋体" w:hAnsi="宋体" w:cs="Arial"/>
          <w:color w:val="000000"/>
          <w:sz w:val="24"/>
        </w:rPr>
      </w:pPr>
      <w:r>
        <w:rPr>
          <w:rFonts w:ascii="宋体" w:hAnsi="宋体" w:cs="Arial"/>
          <w:color w:val="000000"/>
          <w:sz w:val="24"/>
        </w:rPr>
        <w:t>(2) 资产拥有者获得预期收益所承担的风险可以预测并可用货币衡量；</w:t>
      </w:r>
    </w:p>
    <w:p>
      <w:pPr>
        <w:spacing w:line="360" w:lineRule="auto"/>
        <w:ind w:firstLine="480" w:firstLineChars="200"/>
        <w:rPr>
          <w:rFonts w:ascii="宋体" w:hAnsi="宋体" w:cs="Arial"/>
          <w:color w:val="000000"/>
          <w:sz w:val="24"/>
        </w:rPr>
      </w:pPr>
      <w:r>
        <w:rPr>
          <w:rFonts w:ascii="宋体" w:hAnsi="宋体" w:cs="Arial"/>
          <w:color w:val="000000"/>
          <w:sz w:val="24"/>
        </w:rPr>
        <w:t>(3) 被评估资产预期获利年限可以预测。</w:t>
      </w:r>
    </w:p>
    <w:p>
      <w:pPr>
        <w:spacing w:line="360" w:lineRule="auto"/>
        <w:ind w:firstLine="480" w:firstLineChars="200"/>
        <w:jc w:val="left"/>
        <w:rPr>
          <w:rFonts w:ascii="宋体" w:hAnsi="宋体" w:cs="Arial"/>
          <w:color w:val="000000"/>
          <w:sz w:val="24"/>
        </w:rPr>
      </w:pPr>
      <w:r>
        <w:rPr>
          <w:rFonts w:ascii="宋体" w:hAnsi="宋体" w:cs="Arial"/>
          <w:color w:val="000000"/>
          <w:sz w:val="24"/>
        </w:rPr>
        <w:t>3、成本法</w:t>
      </w:r>
    </w:p>
    <w:p>
      <w:pPr>
        <w:spacing w:line="360" w:lineRule="auto"/>
        <w:ind w:firstLine="480" w:firstLineChars="200"/>
        <w:rPr>
          <w:rFonts w:ascii="宋体" w:hAnsi="宋体" w:cs="Arial"/>
          <w:color w:val="000000"/>
          <w:sz w:val="24"/>
        </w:rPr>
      </w:pPr>
      <w:r>
        <w:rPr>
          <w:rFonts w:ascii="宋体" w:hAnsi="宋体" w:cs="Arial"/>
          <w:color w:val="000000"/>
          <w:sz w:val="24"/>
        </w:rPr>
        <w:t>成本法是指首先估测被评估资产的现行再取得成本（重置成本），然后估测被评估资产已存在的各种贬值因素，并将其从重置成本中扣除而得到被评估资产价值的评估方法。采用成本法的前提条件有：</w:t>
      </w:r>
    </w:p>
    <w:p>
      <w:pPr>
        <w:spacing w:line="360" w:lineRule="auto"/>
        <w:ind w:firstLine="480" w:firstLineChars="200"/>
        <w:rPr>
          <w:rFonts w:ascii="宋体" w:hAnsi="宋体" w:cs="Arial"/>
          <w:color w:val="000000"/>
          <w:sz w:val="24"/>
        </w:rPr>
      </w:pPr>
      <w:r>
        <w:rPr>
          <w:rFonts w:ascii="宋体" w:hAnsi="宋体" w:cs="Arial"/>
          <w:color w:val="000000"/>
          <w:sz w:val="24"/>
        </w:rPr>
        <w:t>(1) 被评估资产处于持续使用状态或设定处于持续使用状态；</w:t>
      </w:r>
    </w:p>
    <w:p>
      <w:pPr>
        <w:spacing w:line="360" w:lineRule="auto"/>
        <w:ind w:firstLine="480" w:firstLineChars="200"/>
        <w:rPr>
          <w:rFonts w:ascii="宋体" w:hAnsi="宋体" w:cs="Arial"/>
          <w:color w:val="000000"/>
          <w:sz w:val="24"/>
        </w:rPr>
      </w:pPr>
      <w:r>
        <w:rPr>
          <w:rFonts w:ascii="宋体" w:hAnsi="宋体" w:cs="Arial"/>
          <w:color w:val="000000"/>
          <w:sz w:val="24"/>
        </w:rPr>
        <w:t>(2) 可以调查取得购建被评估资产的现行途径及相应的社会平均成本资料。</w:t>
      </w:r>
    </w:p>
    <w:p>
      <w:pPr>
        <w:spacing w:line="360" w:lineRule="auto"/>
        <w:ind w:firstLine="480" w:firstLineChars="200"/>
        <w:rPr>
          <w:rFonts w:ascii="宋体" w:hAnsi="宋体" w:cs="Arial"/>
          <w:color w:val="000000"/>
          <w:sz w:val="24"/>
        </w:rPr>
      </w:pPr>
      <w:r>
        <w:rPr>
          <w:rFonts w:ascii="宋体" w:hAnsi="宋体" w:cs="Arial"/>
          <w:color w:val="000000"/>
          <w:sz w:val="24"/>
        </w:rPr>
        <w:t>（二）评估方法的选择</w:t>
      </w:r>
    </w:p>
    <w:p>
      <w:pPr>
        <w:spacing w:line="360" w:lineRule="auto"/>
        <w:ind w:firstLine="480" w:firstLineChars="200"/>
        <w:rPr>
          <w:rFonts w:ascii="宋体" w:hAnsi="宋体" w:cs="Arial"/>
          <w:color w:val="000000"/>
          <w:sz w:val="24"/>
        </w:rPr>
      </w:pPr>
      <w:bookmarkStart w:id="49" w:name="评估方法"/>
      <w:r>
        <w:rPr>
          <w:rFonts w:ascii="宋体" w:hAnsi="宋体" w:cs="Arial"/>
          <w:color w:val="000000"/>
          <w:sz w:val="24"/>
        </w:rPr>
        <w:t>按照《资产评估准则——基本准则》，评估需根据评估目的、价值类型、资料收集情况等相关条件，</w:t>
      </w:r>
      <w:r>
        <w:rPr>
          <w:rFonts w:hint="eastAsia" w:ascii="宋体" w:hAnsi="宋体" w:cs="Arial"/>
          <w:color w:val="000000"/>
          <w:sz w:val="24"/>
        </w:rPr>
        <w:t>本次评估</w:t>
      </w:r>
      <w:r>
        <w:rPr>
          <w:rFonts w:ascii="宋体" w:hAnsi="宋体" w:cs="Arial"/>
          <w:color w:val="000000"/>
          <w:sz w:val="24"/>
        </w:rPr>
        <w:t>选择市场</w:t>
      </w:r>
      <w:r>
        <w:rPr>
          <w:rFonts w:hint="eastAsia" w:ascii="宋体" w:hAnsi="宋体" w:cs="Arial"/>
          <w:color w:val="000000"/>
          <w:sz w:val="24"/>
        </w:rPr>
        <w:t>法作为本次</w:t>
      </w:r>
      <w:r>
        <w:rPr>
          <w:rFonts w:ascii="宋体" w:hAnsi="宋体" w:cs="Arial"/>
          <w:color w:val="000000"/>
          <w:sz w:val="24"/>
        </w:rPr>
        <w:t>资产评估方法。</w:t>
      </w:r>
      <w:bookmarkEnd w:id="49"/>
    </w:p>
    <w:p>
      <w:pPr>
        <w:pStyle w:val="3"/>
        <w:spacing w:before="0" w:after="0" w:line="360" w:lineRule="auto"/>
        <w:ind w:firstLine="480" w:firstLineChars="200"/>
        <w:rPr>
          <w:rFonts w:ascii="黑体" w:hAnsi="宋体"/>
          <w:b w:val="0"/>
          <w:sz w:val="24"/>
          <w:szCs w:val="24"/>
        </w:rPr>
      </w:pPr>
      <w:bookmarkStart w:id="50" w:name="_Toc17200462"/>
      <w:r>
        <w:rPr>
          <w:rFonts w:hint="eastAsia" w:ascii="黑体" w:hAnsi="宋体"/>
          <w:b w:val="0"/>
          <w:sz w:val="24"/>
          <w:szCs w:val="24"/>
        </w:rPr>
        <w:t>八、评估程序实施过程及情况</w:t>
      </w:r>
      <w:bookmarkEnd w:id="46"/>
      <w:bookmarkEnd w:id="47"/>
      <w:bookmarkEnd w:id="48"/>
      <w:bookmarkEnd w:id="50"/>
    </w:p>
    <w:p>
      <w:pPr>
        <w:spacing w:line="360" w:lineRule="auto"/>
        <w:ind w:firstLine="480" w:firstLineChars="200"/>
        <w:rPr>
          <w:rFonts w:ascii="宋体" w:hAnsi="宋体" w:cs="Arial"/>
          <w:color w:val="000000"/>
          <w:sz w:val="24"/>
        </w:rPr>
      </w:pPr>
      <w:bookmarkStart w:id="51" w:name="_Toc223322450"/>
      <w:bookmarkStart w:id="52" w:name="_Toc487341275"/>
      <w:bookmarkStart w:id="53" w:name="_Toc484924575"/>
      <w:r>
        <w:rPr>
          <w:rFonts w:hint="eastAsia" w:ascii="宋体" w:hAnsi="宋体" w:cs="Arial"/>
          <w:color w:val="000000"/>
          <w:sz w:val="24"/>
        </w:rPr>
        <w:t>我公司于</w:t>
      </w:r>
      <w:bookmarkStart w:id="54" w:name="OLE_LINK4"/>
      <w:r>
        <w:rPr>
          <w:rFonts w:hint="eastAsia" w:ascii="宋体" w:hAnsi="宋体" w:cs="Arial"/>
          <w:color w:val="000000"/>
          <w:sz w:val="24"/>
        </w:rPr>
        <w:t>20</w:t>
      </w:r>
      <w:r>
        <w:rPr>
          <w:rFonts w:hint="eastAsia" w:ascii="宋体" w:hAnsi="宋体" w:cs="Arial"/>
          <w:color w:val="000000"/>
          <w:sz w:val="24"/>
          <w:lang w:val="en-US" w:eastAsia="zh-CN"/>
        </w:rPr>
        <w:t>22</w:t>
      </w:r>
      <w:r>
        <w:rPr>
          <w:rFonts w:hint="eastAsia" w:ascii="宋体" w:hAnsi="宋体" w:cs="Arial"/>
          <w:color w:val="000000"/>
          <w:sz w:val="24"/>
        </w:rPr>
        <w:t>年</w:t>
      </w:r>
      <w:r>
        <w:rPr>
          <w:rFonts w:hint="eastAsia" w:ascii="宋体" w:hAnsi="宋体" w:cs="Arial"/>
          <w:color w:val="000000"/>
          <w:sz w:val="24"/>
          <w:lang w:val="en-US" w:eastAsia="zh-CN"/>
        </w:rPr>
        <w:t>6</w:t>
      </w:r>
      <w:r>
        <w:rPr>
          <w:rFonts w:hint="eastAsia" w:ascii="宋体" w:hAnsi="宋体" w:cs="Arial"/>
          <w:color w:val="000000"/>
          <w:sz w:val="24"/>
        </w:rPr>
        <w:t>月</w:t>
      </w:r>
      <w:r>
        <w:rPr>
          <w:rFonts w:hint="eastAsia" w:ascii="宋体" w:hAnsi="宋体" w:cs="Arial"/>
          <w:color w:val="000000"/>
          <w:sz w:val="24"/>
          <w:lang w:val="en-US" w:eastAsia="zh-CN"/>
        </w:rPr>
        <w:t>22</w:t>
      </w:r>
      <w:r>
        <w:rPr>
          <w:rFonts w:hint="eastAsia" w:ascii="宋体" w:hAnsi="宋体" w:cs="Arial"/>
          <w:color w:val="000000"/>
          <w:sz w:val="24"/>
        </w:rPr>
        <w:t>日</w:t>
      </w:r>
      <w:bookmarkEnd w:id="54"/>
      <w:r>
        <w:rPr>
          <w:rFonts w:hint="eastAsia" w:ascii="宋体" w:hAnsi="宋体" w:cs="Arial"/>
          <w:color w:val="000000"/>
          <w:sz w:val="24"/>
        </w:rPr>
        <w:t>接受</w:t>
      </w:r>
      <w:bookmarkStart w:id="55" w:name="_Toc372749936"/>
      <w:r>
        <w:rPr>
          <w:rFonts w:hint="eastAsia" w:ascii="宋体" w:hAnsi="宋体" w:cs="Arial"/>
          <w:color w:val="000000"/>
          <w:sz w:val="24"/>
        </w:rPr>
        <w:t>委托，并着手工作，</w:t>
      </w:r>
      <w:bookmarkEnd w:id="55"/>
      <w:r>
        <w:rPr>
          <w:rFonts w:hint="eastAsia" w:ascii="宋体" w:hAnsi="宋体" w:cs="Arial"/>
          <w:color w:val="000000"/>
          <w:sz w:val="24"/>
          <w:lang w:val="en-US" w:eastAsia="zh-CN"/>
        </w:rPr>
        <w:t>7</w:t>
      </w:r>
      <w:r>
        <w:rPr>
          <w:rFonts w:hint="eastAsia" w:ascii="宋体" w:hAnsi="宋体" w:cs="Arial"/>
          <w:color w:val="000000"/>
          <w:sz w:val="24"/>
        </w:rPr>
        <w:t>月</w:t>
      </w:r>
      <w:r>
        <w:rPr>
          <w:rFonts w:hint="eastAsia" w:ascii="宋体" w:hAnsi="宋体" w:cs="Arial"/>
          <w:color w:val="000000"/>
          <w:sz w:val="24"/>
          <w:lang w:val="en-US" w:eastAsia="zh-CN"/>
        </w:rPr>
        <w:t>5</w:t>
      </w:r>
      <w:r>
        <w:rPr>
          <w:rFonts w:hint="eastAsia" w:ascii="宋体" w:hAnsi="宋体" w:cs="Arial"/>
          <w:color w:val="000000"/>
          <w:sz w:val="24"/>
        </w:rPr>
        <w:t>日出具评估报告。主要评估过程包括现场调查、资料收集、评定估算。</w:t>
      </w:r>
    </w:p>
    <w:p>
      <w:pPr>
        <w:spacing w:line="360" w:lineRule="auto"/>
        <w:ind w:firstLine="480" w:firstLineChars="200"/>
        <w:rPr>
          <w:rFonts w:ascii="宋体" w:hAnsi="宋体" w:cs="Arial"/>
          <w:color w:val="000000"/>
          <w:sz w:val="24"/>
        </w:rPr>
      </w:pPr>
      <w:r>
        <w:rPr>
          <w:rFonts w:hint="eastAsia" w:ascii="宋体" w:hAnsi="宋体" w:cs="Arial"/>
          <w:color w:val="000000"/>
          <w:sz w:val="24"/>
        </w:rPr>
        <w:t>(一)评估程序实施过程</w:t>
      </w:r>
    </w:p>
    <w:p>
      <w:pPr>
        <w:spacing w:line="360" w:lineRule="auto"/>
        <w:ind w:firstLine="480" w:firstLineChars="200"/>
        <w:rPr>
          <w:rFonts w:ascii="宋体" w:hAnsi="宋体" w:cs="Arial"/>
          <w:color w:val="000000"/>
          <w:sz w:val="24"/>
        </w:rPr>
      </w:pPr>
      <w:r>
        <w:rPr>
          <w:rFonts w:hint="eastAsia" w:ascii="宋体" w:hAnsi="宋体" w:cs="Arial"/>
          <w:color w:val="000000"/>
          <w:sz w:val="24"/>
        </w:rPr>
        <w:t>1．现场调查</w:t>
      </w:r>
    </w:p>
    <w:p>
      <w:pPr>
        <w:spacing w:line="360" w:lineRule="auto"/>
        <w:ind w:firstLine="480" w:firstLineChars="200"/>
        <w:rPr>
          <w:rFonts w:ascii="宋体" w:hAnsi="宋体" w:cs="Arial"/>
          <w:color w:val="000000"/>
          <w:sz w:val="24"/>
        </w:rPr>
      </w:pPr>
      <w:r>
        <w:rPr>
          <w:rFonts w:hint="eastAsia" w:ascii="宋体" w:hAnsi="宋体" w:cs="Arial"/>
          <w:color w:val="000000"/>
          <w:sz w:val="24"/>
        </w:rPr>
        <w:t>(1)在接受</w:t>
      </w:r>
      <w:r>
        <w:rPr>
          <w:rFonts w:hint="eastAsia" w:ascii="宋体" w:hAnsi="宋体" w:cs="Arial"/>
          <w:color w:val="000000"/>
          <w:sz w:val="24"/>
          <w:lang w:eastAsia="zh-CN"/>
        </w:rPr>
        <w:t>浙江省杭州市西湖区人民法院</w:t>
      </w:r>
      <w:r>
        <w:rPr>
          <w:rFonts w:hint="eastAsia" w:ascii="宋体" w:hAnsi="宋体" w:cs="Arial"/>
          <w:color w:val="000000"/>
          <w:sz w:val="24"/>
        </w:rPr>
        <w:t>委托后，评估人员与申请执行人对评估对象进行初步沟通，了解相关情况；</w:t>
      </w:r>
    </w:p>
    <w:p>
      <w:pPr>
        <w:spacing w:line="360" w:lineRule="auto"/>
        <w:ind w:firstLine="480" w:firstLineChars="200"/>
        <w:rPr>
          <w:rFonts w:ascii="宋体" w:hAnsi="宋体" w:cs="Arial"/>
          <w:color w:val="000000"/>
          <w:sz w:val="24"/>
        </w:rPr>
      </w:pPr>
      <w:r>
        <w:rPr>
          <w:rFonts w:hint="eastAsia" w:ascii="宋体" w:hAnsi="宋体" w:cs="Arial"/>
          <w:color w:val="000000"/>
          <w:sz w:val="24"/>
        </w:rPr>
        <w:t>(2)20</w:t>
      </w:r>
      <w:r>
        <w:rPr>
          <w:rFonts w:hint="eastAsia" w:ascii="宋体" w:hAnsi="宋体" w:cs="Arial"/>
          <w:color w:val="000000"/>
          <w:sz w:val="24"/>
          <w:lang w:val="en-US" w:eastAsia="zh-CN"/>
        </w:rPr>
        <w:t>22</w:t>
      </w:r>
      <w:r>
        <w:rPr>
          <w:rFonts w:hint="eastAsia" w:ascii="宋体" w:hAnsi="宋体" w:cs="Arial"/>
          <w:color w:val="000000"/>
          <w:sz w:val="24"/>
        </w:rPr>
        <w:t>年</w:t>
      </w:r>
      <w:r>
        <w:rPr>
          <w:rFonts w:hint="eastAsia" w:ascii="宋体" w:hAnsi="宋体" w:cs="Arial"/>
          <w:color w:val="000000"/>
          <w:sz w:val="24"/>
          <w:lang w:val="en-US" w:eastAsia="zh-CN"/>
        </w:rPr>
        <w:t>6</w:t>
      </w:r>
      <w:r>
        <w:rPr>
          <w:rFonts w:hint="eastAsia" w:ascii="宋体" w:hAnsi="宋体" w:cs="Arial"/>
          <w:color w:val="000000"/>
          <w:sz w:val="24"/>
        </w:rPr>
        <w:t>月</w:t>
      </w:r>
      <w:r>
        <w:rPr>
          <w:rFonts w:hint="eastAsia" w:ascii="宋体" w:hAnsi="宋体" w:cs="Arial"/>
          <w:color w:val="000000"/>
          <w:sz w:val="24"/>
          <w:lang w:val="en-US" w:eastAsia="zh-CN"/>
        </w:rPr>
        <w:t>27</w:t>
      </w:r>
      <w:r>
        <w:rPr>
          <w:rFonts w:hint="eastAsia" w:ascii="宋体" w:hAnsi="宋体" w:cs="Arial"/>
          <w:color w:val="000000"/>
          <w:sz w:val="24"/>
        </w:rPr>
        <w:t>日实地了解有关情况，并收集相关资料。</w:t>
      </w:r>
    </w:p>
    <w:p>
      <w:pPr>
        <w:spacing w:line="360" w:lineRule="auto"/>
        <w:ind w:firstLine="480" w:firstLineChars="200"/>
        <w:rPr>
          <w:rFonts w:ascii="宋体" w:hAnsi="宋体" w:cs="Arial"/>
          <w:color w:val="000000"/>
          <w:sz w:val="24"/>
        </w:rPr>
      </w:pPr>
      <w:r>
        <w:rPr>
          <w:rFonts w:hint="eastAsia" w:ascii="宋体" w:hAnsi="宋体" w:cs="Arial"/>
          <w:color w:val="000000"/>
          <w:sz w:val="24"/>
        </w:rPr>
        <w:t>2．资料收集</w:t>
      </w:r>
    </w:p>
    <w:p>
      <w:pPr>
        <w:spacing w:line="360" w:lineRule="auto"/>
        <w:ind w:firstLine="480" w:firstLineChars="200"/>
        <w:rPr>
          <w:rFonts w:ascii="宋体" w:hAnsi="宋体" w:cs="Arial"/>
          <w:color w:val="000000"/>
          <w:sz w:val="24"/>
        </w:rPr>
      </w:pPr>
      <w:r>
        <w:rPr>
          <w:rFonts w:hint="eastAsia" w:ascii="宋体" w:hAnsi="宋体" w:cs="Arial"/>
          <w:color w:val="000000"/>
          <w:sz w:val="24"/>
        </w:rPr>
        <w:t>通过网络查询及市场调查了解近期市场交易价格等相关信息，收集相关资料并进行整理分析。</w:t>
      </w:r>
    </w:p>
    <w:p>
      <w:pPr>
        <w:spacing w:line="360" w:lineRule="auto"/>
        <w:ind w:firstLine="480" w:firstLineChars="200"/>
        <w:rPr>
          <w:rFonts w:ascii="宋体" w:hAnsi="宋体" w:cs="Arial"/>
          <w:color w:val="000000"/>
          <w:sz w:val="24"/>
        </w:rPr>
      </w:pPr>
      <w:r>
        <w:rPr>
          <w:rFonts w:hint="eastAsia" w:ascii="宋体" w:hAnsi="宋体" w:cs="Arial"/>
          <w:color w:val="000000"/>
          <w:sz w:val="24"/>
        </w:rPr>
        <w:t>3．评定估算</w:t>
      </w:r>
    </w:p>
    <w:p>
      <w:pPr>
        <w:spacing w:line="360" w:lineRule="auto"/>
        <w:ind w:firstLine="480" w:firstLineChars="200"/>
        <w:rPr>
          <w:rFonts w:ascii="宋体" w:hAnsi="宋体" w:cs="Arial"/>
          <w:color w:val="000000"/>
          <w:sz w:val="24"/>
        </w:rPr>
      </w:pPr>
      <w:r>
        <w:rPr>
          <w:rFonts w:hint="eastAsia" w:ascii="宋体" w:hAnsi="宋体" w:cs="Arial"/>
          <w:color w:val="000000"/>
          <w:sz w:val="24"/>
        </w:rPr>
        <w:t>在现场调查及相关资料搜集完毕后，评估人员根据被评估对象的具体情况、资料的完整性及适用性，选择适用可行的评估方法进行评定估算，在此基础上编写评估报告。</w:t>
      </w:r>
    </w:p>
    <w:p>
      <w:pPr>
        <w:pStyle w:val="3"/>
        <w:spacing w:before="0" w:after="0" w:line="360" w:lineRule="auto"/>
        <w:ind w:firstLine="480" w:firstLineChars="200"/>
        <w:rPr>
          <w:rFonts w:ascii="黑体" w:hAnsi="宋体"/>
          <w:b w:val="0"/>
          <w:sz w:val="24"/>
          <w:szCs w:val="24"/>
        </w:rPr>
      </w:pPr>
      <w:bookmarkStart w:id="56" w:name="_Toc17200463"/>
      <w:r>
        <w:rPr>
          <w:rFonts w:hint="eastAsia" w:ascii="黑体" w:hAnsi="宋体"/>
          <w:b w:val="0"/>
          <w:sz w:val="24"/>
          <w:szCs w:val="24"/>
        </w:rPr>
        <w:t>九、评估假设</w:t>
      </w:r>
      <w:bookmarkEnd w:id="51"/>
      <w:bookmarkEnd w:id="52"/>
      <w:bookmarkEnd w:id="53"/>
      <w:bookmarkEnd w:id="56"/>
    </w:p>
    <w:p>
      <w:pPr>
        <w:pStyle w:val="4"/>
        <w:snapToGrid w:val="0"/>
        <w:ind w:firstLine="480" w:firstLineChars="200"/>
        <w:rPr>
          <w:rFonts w:cs="Arial"/>
        </w:rPr>
      </w:pPr>
      <w:r>
        <w:rPr>
          <w:rFonts w:cs="Arial"/>
        </w:rPr>
        <w:t>（一）公开市场假设：公开市场是指充分发达与完善的市场条件。公开市场假设，是假定在市场上交易的资产，或拟在市场上交易的资产，资产交易双方彼此地位平等，彼此都有获取足够市场信息的机会和时间，以便对资产的功能、用途及其交易价格等作出理智的判断。</w:t>
      </w:r>
    </w:p>
    <w:p>
      <w:pPr>
        <w:pStyle w:val="4"/>
        <w:snapToGrid w:val="0"/>
        <w:ind w:firstLine="480" w:firstLineChars="200"/>
        <w:rPr>
          <w:rFonts w:cs="Arial"/>
        </w:rPr>
      </w:pPr>
      <w:r>
        <w:rPr>
          <w:rFonts w:hint="eastAsia" w:cs="Arial"/>
        </w:rPr>
        <w:t>（二）</w:t>
      </w:r>
      <w:r>
        <w:rPr>
          <w:rFonts w:cs="Arial"/>
        </w:rPr>
        <w:t>继续使用假设：是指处于使用中的资产将按其现行用途及方式继续使用下去。</w:t>
      </w:r>
    </w:p>
    <w:p>
      <w:pPr>
        <w:pStyle w:val="4"/>
        <w:snapToGrid w:val="0"/>
        <w:ind w:firstLine="480" w:firstLineChars="200"/>
        <w:rPr>
          <w:rFonts w:cs="Arial"/>
        </w:rPr>
      </w:pPr>
      <w:r>
        <w:rPr>
          <w:rFonts w:hint="eastAsia" w:cs="Arial"/>
        </w:rPr>
        <w:t>（三）</w:t>
      </w:r>
      <w:r>
        <w:rPr>
          <w:rFonts w:cs="Arial"/>
        </w:rPr>
        <w:t>外部环境假设：国家现行的有关法律、法规及方针政策无重大变化；本次交易各方所处的地区政治、经济和社会环境无重大变化；有关利率、汇率、赋税基准及税率、政策性征收费用等不发生重大变化。</w:t>
      </w:r>
    </w:p>
    <w:p>
      <w:pPr>
        <w:pStyle w:val="4"/>
        <w:snapToGrid w:val="0"/>
        <w:ind w:firstLine="480" w:firstLineChars="200"/>
        <w:rPr>
          <w:rFonts w:cs="Arial"/>
        </w:rPr>
      </w:pPr>
      <w:r>
        <w:rPr>
          <w:rFonts w:hint="eastAsia" w:cs="Arial"/>
        </w:rPr>
        <w:t>（四）</w:t>
      </w:r>
      <w:r>
        <w:rPr>
          <w:rFonts w:cs="Arial"/>
        </w:rPr>
        <w:t>假设评估基准日后无不可抗力造成的重大不利影响。</w:t>
      </w:r>
    </w:p>
    <w:p>
      <w:pPr>
        <w:pStyle w:val="4"/>
        <w:snapToGrid w:val="0"/>
        <w:ind w:firstLine="480" w:firstLineChars="200"/>
        <w:rPr>
          <w:rFonts w:cs="Arial"/>
        </w:rPr>
      </w:pPr>
      <w:r>
        <w:rPr>
          <w:rFonts w:hint="eastAsia" w:cs="Arial"/>
        </w:rPr>
        <w:t>（五）</w:t>
      </w:r>
      <w:r>
        <w:rPr>
          <w:rFonts w:cs="Arial"/>
        </w:rPr>
        <w:t>假定产权持有单位对有关资产实行了有效的管理。评估对象在使用过程中没有任何违反国家法律、法规的行为。</w:t>
      </w:r>
    </w:p>
    <w:p>
      <w:pPr>
        <w:pStyle w:val="4"/>
        <w:snapToGrid w:val="0"/>
        <w:ind w:firstLine="480" w:firstLineChars="200"/>
        <w:rPr>
          <w:rFonts w:cs="Arial"/>
        </w:rPr>
      </w:pPr>
      <w:r>
        <w:rPr>
          <w:rFonts w:hint="eastAsia" w:cs="Arial"/>
        </w:rPr>
        <w:t>（六）</w:t>
      </w:r>
      <w:r>
        <w:rPr>
          <w:rFonts w:cs="Arial"/>
        </w:rPr>
        <w:t>没有考虑将来可能承担的抵押、担保事宜，以及特殊的交易方式可能追加付出的价格等对评估结论的影响。</w:t>
      </w:r>
    </w:p>
    <w:p>
      <w:pPr>
        <w:pStyle w:val="4"/>
        <w:snapToGrid w:val="0"/>
        <w:ind w:firstLine="480" w:firstLineChars="200"/>
        <w:rPr>
          <w:rFonts w:cs="Arial"/>
        </w:rPr>
      </w:pPr>
      <w:r>
        <w:rPr>
          <w:rFonts w:hint="eastAsia" w:cs="Arial"/>
        </w:rPr>
        <w:t>（七）</w:t>
      </w:r>
      <w:r>
        <w:rPr>
          <w:rFonts w:cs="Arial"/>
        </w:rPr>
        <w:t>本资产评估报告评估结论在上述假设条件下在评估基准日时成立，当上述假设条件发生较大变化时，签名资产评估师及本评估机构将不承担由于假设条件改变而推导出不同评估结论的责任。</w:t>
      </w:r>
    </w:p>
    <w:p>
      <w:pPr>
        <w:pStyle w:val="4"/>
        <w:snapToGrid w:val="0"/>
        <w:ind w:firstLine="480" w:firstLineChars="200"/>
        <w:rPr>
          <w:rFonts w:cs="Arial"/>
        </w:rPr>
      </w:pPr>
      <w:r>
        <w:rPr>
          <w:rFonts w:cs="Arial"/>
        </w:rPr>
        <w:t>当</w:t>
      </w:r>
      <w:r>
        <w:rPr>
          <w:rFonts w:hint="eastAsia" w:cs="Arial"/>
        </w:rPr>
        <w:t>出现与</w:t>
      </w:r>
      <w:r>
        <w:rPr>
          <w:rFonts w:cs="Arial"/>
        </w:rPr>
        <w:t>前述</w:t>
      </w:r>
      <w:r>
        <w:rPr>
          <w:rFonts w:hint="eastAsia" w:cs="Arial"/>
        </w:rPr>
        <w:t>假设</w:t>
      </w:r>
      <w:r>
        <w:rPr>
          <w:rFonts w:cs="Arial"/>
        </w:rPr>
        <w:t>条件</w:t>
      </w:r>
      <w:r>
        <w:rPr>
          <w:rFonts w:hint="eastAsia" w:cs="Arial"/>
        </w:rPr>
        <w:t>不一致的事项</w:t>
      </w:r>
      <w:r>
        <w:rPr>
          <w:rFonts w:cs="Arial"/>
        </w:rPr>
        <w:t>发生时，</w:t>
      </w:r>
      <w:r>
        <w:rPr>
          <w:rFonts w:hint="eastAsia" w:cs="Arial"/>
        </w:rPr>
        <w:t>本</w:t>
      </w:r>
      <w:r>
        <w:rPr>
          <w:rFonts w:cs="Arial"/>
        </w:rPr>
        <w:t>评估结果一般会失效。</w:t>
      </w:r>
    </w:p>
    <w:p>
      <w:pPr>
        <w:pStyle w:val="3"/>
        <w:spacing w:before="0" w:after="0" w:line="360" w:lineRule="auto"/>
        <w:ind w:firstLine="480" w:firstLineChars="200"/>
        <w:rPr>
          <w:rFonts w:ascii="黑体" w:hAnsi="宋体"/>
          <w:b w:val="0"/>
          <w:sz w:val="24"/>
          <w:szCs w:val="24"/>
        </w:rPr>
      </w:pPr>
      <w:bookmarkStart w:id="57" w:name="_Toc17200464"/>
      <w:r>
        <w:rPr>
          <w:rFonts w:hint="eastAsia" w:ascii="黑体" w:hAnsi="宋体"/>
          <w:b w:val="0"/>
          <w:sz w:val="24"/>
          <w:szCs w:val="24"/>
        </w:rPr>
        <w:t>十、基本情况及技术说明</w:t>
      </w:r>
      <w:bookmarkEnd w:id="57"/>
    </w:p>
    <w:p>
      <w:pPr>
        <w:tabs>
          <w:tab w:val="left" w:pos="2880"/>
        </w:tabs>
        <w:spacing w:line="360" w:lineRule="auto"/>
        <w:ind w:firstLine="480" w:firstLineChars="200"/>
        <w:rPr>
          <w:rFonts w:ascii="宋体" w:hAnsi="宋体"/>
          <w:sz w:val="24"/>
        </w:rPr>
      </w:pPr>
      <w:r>
        <w:rPr>
          <w:rFonts w:hint="eastAsia" w:ascii="宋体" w:hAnsi="宋体"/>
          <w:sz w:val="24"/>
        </w:rPr>
        <w:t>（一）基本情况</w:t>
      </w:r>
    </w:p>
    <w:p>
      <w:pPr>
        <w:pStyle w:val="4"/>
        <w:snapToGrid w:val="0"/>
        <w:ind w:firstLine="480" w:firstLineChars="200"/>
        <w:rPr>
          <w:rFonts w:cs="Arial"/>
        </w:rPr>
      </w:pPr>
      <w:r>
        <w:rPr>
          <w:rFonts w:hint="eastAsia" w:cs="Arial"/>
        </w:rPr>
        <w:t>此次评估的资产为</w:t>
      </w:r>
      <w:r>
        <w:rPr>
          <w:rFonts w:hint="eastAsia" w:cs="Arial"/>
          <w:lang w:eastAsia="zh-CN"/>
        </w:rPr>
        <w:t>杭州市天荟未来之光城A-304</w:t>
      </w:r>
      <w:r>
        <w:rPr>
          <w:rFonts w:hint="eastAsia" w:cs="Arial"/>
        </w:rPr>
        <w:t>车位</w:t>
      </w:r>
      <w:r>
        <w:rPr>
          <w:rFonts w:hint="eastAsia" w:cs="Arial"/>
          <w:lang w:eastAsia="zh-CN"/>
        </w:rPr>
        <w:t>使用权</w:t>
      </w:r>
      <w:r>
        <w:rPr>
          <w:rFonts w:hint="eastAsia" w:cs="Arial"/>
        </w:rPr>
        <w:t>。</w:t>
      </w:r>
    </w:p>
    <w:p>
      <w:pPr>
        <w:pStyle w:val="4"/>
        <w:snapToGrid w:val="0"/>
        <w:ind w:firstLine="480" w:firstLineChars="200"/>
        <w:rPr>
          <w:rFonts w:cs="Arial"/>
        </w:rPr>
      </w:pPr>
      <w:r>
        <w:rPr>
          <w:rFonts w:hint="eastAsia" w:cs="Arial"/>
        </w:rPr>
        <w:t>（二）标的物的评估</w:t>
      </w:r>
    </w:p>
    <w:p>
      <w:pPr>
        <w:pStyle w:val="4"/>
        <w:snapToGrid w:val="0"/>
        <w:ind w:firstLine="480" w:firstLineChars="200"/>
        <w:rPr>
          <w:rFonts w:cs="Arial"/>
        </w:rPr>
      </w:pPr>
      <w:bookmarkStart w:id="58" w:name="_Toc484924576"/>
      <w:bookmarkStart w:id="59" w:name="_Toc223322451"/>
      <w:bookmarkStart w:id="60" w:name="_Toc487341276"/>
      <w:r>
        <w:rPr>
          <w:rFonts w:hint="eastAsia" w:cs="Arial"/>
        </w:rPr>
        <w:t>根据被评估资产特点，结合评估目的，本次评估采用市场法进行评估。市场</w:t>
      </w:r>
      <w:r>
        <w:rPr>
          <w:rFonts w:hint="eastAsia" w:cs="Arial"/>
          <w:lang w:eastAsia="zh-CN"/>
        </w:rPr>
        <w:t>法</w:t>
      </w:r>
      <w:r>
        <w:rPr>
          <w:rFonts w:hint="eastAsia" w:cs="Arial"/>
        </w:rPr>
        <w:t>是将评估对象与在评估时点近期交易的类似房地产进行比较，对这些类似房地产的已知价格作适当的修正，据此估算评估对象的客观合理价值的方法。</w:t>
      </w:r>
    </w:p>
    <w:p>
      <w:pPr>
        <w:pStyle w:val="4"/>
        <w:snapToGrid w:val="0"/>
        <w:ind w:firstLine="480" w:firstLineChars="200"/>
        <w:rPr>
          <w:rFonts w:cs="Arial"/>
        </w:rPr>
      </w:pPr>
      <w:r>
        <w:rPr>
          <w:rFonts w:hint="eastAsia" w:cs="Arial"/>
        </w:rPr>
        <w:t>具体公式为：</w:t>
      </w:r>
    </w:p>
    <w:p>
      <w:pPr>
        <w:pStyle w:val="4"/>
        <w:snapToGrid w:val="0"/>
        <w:ind w:firstLine="480" w:firstLineChars="200"/>
        <w:rPr>
          <w:rFonts w:cs="Arial"/>
        </w:rPr>
      </w:pPr>
      <w:r>
        <w:rPr>
          <w:rFonts w:hint="eastAsia" w:cs="Arial"/>
        </w:rPr>
        <w:t>P=P’×A×B×C×D×使用年期修正系数</w:t>
      </w:r>
    </w:p>
    <w:p>
      <w:pPr>
        <w:pStyle w:val="4"/>
        <w:snapToGrid w:val="0"/>
        <w:ind w:firstLine="480" w:firstLineChars="200"/>
        <w:rPr>
          <w:rFonts w:cs="Arial"/>
        </w:rPr>
      </w:pPr>
      <w:r>
        <w:rPr>
          <w:rFonts w:hint="eastAsia" w:cs="Arial"/>
        </w:rPr>
        <w:t>式中：P’-可比案例交易价格；</w:t>
      </w:r>
    </w:p>
    <w:p>
      <w:pPr>
        <w:pStyle w:val="4"/>
        <w:snapToGrid w:val="0"/>
        <w:ind w:firstLine="480" w:firstLineChars="200"/>
        <w:rPr>
          <w:rFonts w:cs="Arial"/>
        </w:rPr>
      </w:pPr>
      <w:r>
        <w:rPr>
          <w:rFonts w:hint="eastAsia" w:cs="Arial"/>
        </w:rPr>
        <w:t>A-交易情况修正系数；</w:t>
      </w:r>
    </w:p>
    <w:p>
      <w:pPr>
        <w:pStyle w:val="4"/>
        <w:snapToGrid w:val="0"/>
        <w:ind w:firstLine="480" w:firstLineChars="200"/>
        <w:rPr>
          <w:rFonts w:cs="Arial"/>
        </w:rPr>
      </w:pPr>
      <w:r>
        <w:rPr>
          <w:rFonts w:hint="eastAsia" w:cs="Arial"/>
        </w:rPr>
        <w:t>B-交易期日修正系数；</w:t>
      </w:r>
    </w:p>
    <w:p>
      <w:pPr>
        <w:pStyle w:val="4"/>
        <w:snapToGrid w:val="0"/>
        <w:ind w:firstLine="480" w:firstLineChars="200"/>
        <w:rPr>
          <w:rFonts w:cs="Arial"/>
        </w:rPr>
      </w:pPr>
      <w:r>
        <w:rPr>
          <w:rFonts w:hint="eastAsia" w:cs="Arial"/>
        </w:rPr>
        <w:t>C-区域因素修正系数；</w:t>
      </w:r>
    </w:p>
    <w:p>
      <w:pPr>
        <w:pStyle w:val="4"/>
        <w:snapToGrid w:val="0"/>
        <w:ind w:firstLine="480" w:firstLineChars="200"/>
        <w:rPr>
          <w:rFonts w:cs="Arial"/>
        </w:rPr>
      </w:pPr>
      <w:r>
        <w:rPr>
          <w:rFonts w:hint="eastAsia" w:cs="Arial"/>
        </w:rPr>
        <w:t>D-个别因素修正系数。</w:t>
      </w:r>
    </w:p>
    <w:p>
      <w:pPr>
        <w:pStyle w:val="4"/>
        <w:snapToGrid w:val="0"/>
        <w:ind w:firstLine="480" w:firstLineChars="200"/>
        <w:rPr>
          <w:rFonts w:cs="Arial"/>
        </w:rPr>
      </w:pPr>
      <w:r>
        <w:rPr>
          <w:rFonts w:hint="eastAsia" w:cs="Arial"/>
        </w:rPr>
        <w:t>评估时</w:t>
      </w:r>
      <w:r>
        <w:rPr>
          <w:rFonts w:hint="eastAsia" w:cs="Arial"/>
          <w:lang w:eastAsia="zh-CN"/>
        </w:rPr>
        <w:t>，</w:t>
      </w:r>
      <w:r>
        <w:rPr>
          <w:rFonts w:hint="eastAsia" w:cs="Arial"/>
        </w:rPr>
        <w:t>我们</w:t>
      </w:r>
      <w:r>
        <w:rPr>
          <w:rFonts w:hint="eastAsia" w:cs="Arial"/>
          <w:lang w:eastAsia="zh-CN"/>
        </w:rPr>
        <w:t>对</w:t>
      </w:r>
      <w:r>
        <w:rPr>
          <w:rFonts w:hint="eastAsia" w:ascii="宋体" w:hAnsi="宋体"/>
          <w:sz w:val="24"/>
          <w:lang w:eastAsia="zh-CN"/>
        </w:rPr>
        <w:t>杭州市天荟未来之光城A-304</w:t>
      </w:r>
      <w:r>
        <w:rPr>
          <w:rFonts w:hint="eastAsia" w:ascii="宋体" w:hAnsi="宋体"/>
          <w:sz w:val="24"/>
        </w:rPr>
        <w:t>车位</w:t>
      </w:r>
      <w:r>
        <w:rPr>
          <w:rFonts w:hint="eastAsia" w:ascii="宋体" w:hAnsi="宋体"/>
          <w:sz w:val="24"/>
          <w:lang w:eastAsia="zh-CN"/>
        </w:rPr>
        <w:t>使用权</w:t>
      </w:r>
      <w:r>
        <w:rPr>
          <w:rFonts w:hint="eastAsia"/>
          <w:sz w:val="24"/>
          <w:lang w:eastAsia="zh-CN"/>
        </w:rPr>
        <w:t>在评估时点近期的交易价格进行了了解</w:t>
      </w:r>
      <w:r>
        <w:rPr>
          <w:rFonts w:hint="eastAsia" w:cs="Arial"/>
        </w:rPr>
        <w:t>，在进行综合分析的基础上，</w:t>
      </w:r>
      <w:r>
        <w:rPr>
          <w:rFonts w:hint="eastAsia" w:cs="Arial"/>
          <w:lang w:eastAsia="zh-CN"/>
        </w:rPr>
        <w:t>从</w:t>
      </w:r>
      <w:r>
        <w:rPr>
          <w:rFonts w:hint="eastAsia" w:cs="Arial"/>
        </w:rPr>
        <w:t>交易情况、交易</w:t>
      </w:r>
      <w:r>
        <w:rPr>
          <w:rFonts w:hint="eastAsia" w:cs="Arial"/>
          <w:lang w:eastAsia="zh-CN"/>
        </w:rPr>
        <w:t>日期</w:t>
      </w:r>
      <w:r>
        <w:rPr>
          <w:rFonts w:hint="eastAsia" w:cs="Arial"/>
        </w:rPr>
        <w:t>、区域因素、个别因素等各项因素</w:t>
      </w:r>
      <w:r>
        <w:rPr>
          <w:rFonts w:hint="eastAsia" w:cs="Arial"/>
          <w:lang w:eastAsia="zh-CN"/>
        </w:rPr>
        <w:t>进行了</w:t>
      </w:r>
      <w:r>
        <w:rPr>
          <w:rFonts w:hint="eastAsia" w:cs="Arial"/>
        </w:rPr>
        <w:t>价格修正，</w:t>
      </w:r>
      <w:r>
        <w:rPr>
          <w:rFonts w:hint="eastAsia" w:cs="Arial"/>
          <w:lang w:eastAsia="zh-CN"/>
        </w:rPr>
        <w:t>从而</w:t>
      </w:r>
      <w:r>
        <w:rPr>
          <w:rFonts w:hint="eastAsia" w:cs="Arial"/>
        </w:rPr>
        <w:t>评定估算其评估价值。</w:t>
      </w:r>
    </w:p>
    <w:p>
      <w:pPr>
        <w:pStyle w:val="3"/>
        <w:spacing w:before="0" w:after="0" w:line="360" w:lineRule="auto"/>
        <w:ind w:firstLine="480" w:firstLineChars="200"/>
        <w:rPr>
          <w:rFonts w:ascii="黑体" w:hAnsi="宋体"/>
          <w:b w:val="0"/>
          <w:sz w:val="24"/>
          <w:szCs w:val="24"/>
          <w:lang w:val="zh-CN"/>
        </w:rPr>
      </w:pPr>
      <w:bookmarkStart w:id="61" w:name="_Toc17200465"/>
      <w:r>
        <w:rPr>
          <w:rFonts w:hint="eastAsia" w:ascii="黑体" w:hAnsi="宋体"/>
          <w:b w:val="0"/>
          <w:sz w:val="24"/>
          <w:szCs w:val="24"/>
          <w:lang w:val="zh-CN"/>
        </w:rPr>
        <w:t>十</w:t>
      </w:r>
      <w:r>
        <w:rPr>
          <w:rFonts w:hint="eastAsia" w:ascii="黑体" w:hAnsi="宋体"/>
          <w:b w:val="0"/>
          <w:sz w:val="24"/>
          <w:szCs w:val="24"/>
        </w:rPr>
        <w:t>一</w:t>
      </w:r>
      <w:r>
        <w:rPr>
          <w:rFonts w:hint="eastAsia" w:ascii="黑体" w:hAnsi="宋体"/>
          <w:b w:val="0"/>
          <w:sz w:val="24"/>
          <w:szCs w:val="24"/>
          <w:lang w:val="zh-CN"/>
        </w:rPr>
        <w:t>、评估结论</w:t>
      </w:r>
      <w:bookmarkEnd w:id="58"/>
      <w:bookmarkEnd w:id="59"/>
      <w:bookmarkEnd w:id="60"/>
      <w:bookmarkEnd w:id="61"/>
    </w:p>
    <w:p>
      <w:pPr>
        <w:snapToGrid w:val="0"/>
        <w:spacing w:line="360" w:lineRule="auto"/>
        <w:ind w:firstLine="480" w:firstLineChars="200"/>
        <w:rPr>
          <w:rFonts w:ascii="宋体" w:hAnsi="宋体"/>
          <w:sz w:val="24"/>
        </w:rPr>
      </w:pPr>
      <w:bookmarkStart w:id="62" w:name="_Toc487341277"/>
      <w:bookmarkStart w:id="63" w:name="_Toc484924577"/>
      <w:bookmarkStart w:id="64" w:name="_Toc223322452"/>
      <w:r>
        <w:rPr>
          <w:rFonts w:hint="eastAsia" w:ascii="宋体" w:hAnsi="宋体"/>
          <w:sz w:val="24"/>
        </w:rPr>
        <w:t>本次评估对列入评估范围的</w:t>
      </w:r>
      <w:r>
        <w:rPr>
          <w:rFonts w:hint="eastAsia" w:ascii="宋体" w:hAnsi="宋体"/>
          <w:sz w:val="24"/>
          <w:lang w:eastAsia="zh-CN"/>
        </w:rPr>
        <w:t>杭州市天荟未来之光城A-304</w:t>
      </w:r>
      <w:r>
        <w:rPr>
          <w:rFonts w:hint="eastAsia" w:ascii="宋体" w:hAnsi="宋体"/>
          <w:sz w:val="24"/>
        </w:rPr>
        <w:t>车位</w:t>
      </w:r>
      <w:r>
        <w:rPr>
          <w:rFonts w:hint="eastAsia" w:ascii="宋体" w:hAnsi="宋体"/>
          <w:sz w:val="24"/>
          <w:lang w:eastAsia="zh-CN"/>
        </w:rPr>
        <w:t>使用权</w:t>
      </w:r>
      <w:r>
        <w:rPr>
          <w:rFonts w:hint="eastAsia" w:ascii="宋体" w:hAnsi="宋体"/>
          <w:sz w:val="24"/>
        </w:rPr>
        <w:t>进行了评估，在本报告揭示的假设前提下，</w:t>
      </w:r>
      <w:r>
        <w:rPr>
          <w:rFonts w:hint="eastAsia" w:ascii="宋体" w:hAnsi="宋体"/>
          <w:sz w:val="24"/>
          <w:lang w:eastAsia="zh-CN"/>
        </w:rPr>
        <w:t>杭州市天荟未来之光城A-304</w:t>
      </w:r>
      <w:r>
        <w:rPr>
          <w:rFonts w:hint="eastAsia" w:ascii="宋体" w:hAnsi="宋体"/>
          <w:sz w:val="24"/>
        </w:rPr>
        <w:t>车位</w:t>
      </w:r>
      <w:r>
        <w:rPr>
          <w:rFonts w:hint="eastAsia" w:ascii="宋体" w:hAnsi="宋体"/>
          <w:sz w:val="24"/>
          <w:lang w:eastAsia="zh-CN"/>
        </w:rPr>
        <w:t>使用权</w:t>
      </w:r>
      <w:r>
        <w:rPr>
          <w:rFonts w:hint="eastAsia" w:ascii="宋体" w:hAnsi="宋体"/>
          <w:sz w:val="24"/>
        </w:rPr>
        <w:t>在</w:t>
      </w:r>
      <w:r>
        <w:rPr>
          <w:rFonts w:hint="eastAsia" w:ascii="宋体" w:hAnsi="宋体"/>
          <w:sz w:val="24"/>
          <w:lang w:eastAsia="zh-CN"/>
        </w:rPr>
        <w:t>2022年6月27日</w:t>
      </w:r>
      <w:r>
        <w:rPr>
          <w:rFonts w:hint="eastAsia" w:ascii="宋体" w:hAnsi="宋体"/>
          <w:sz w:val="24"/>
        </w:rPr>
        <w:t>的市场价值为</w:t>
      </w:r>
      <w:r>
        <w:rPr>
          <w:rFonts w:hint="eastAsia" w:ascii="宋体" w:hAnsi="宋体"/>
          <w:sz w:val="24"/>
          <w:lang w:val="en-US" w:eastAsia="zh-CN"/>
        </w:rPr>
        <w:t>15.00</w:t>
      </w:r>
      <w:r>
        <w:rPr>
          <w:rFonts w:ascii="宋体" w:hAnsi="宋体"/>
          <w:sz w:val="24"/>
        </w:rPr>
        <w:t>万</w:t>
      </w:r>
      <w:r>
        <w:rPr>
          <w:rFonts w:hint="eastAsia" w:ascii="宋体" w:hAnsi="宋体"/>
          <w:sz w:val="24"/>
        </w:rPr>
        <w:t>元。</w:t>
      </w:r>
    </w:p>
    <w:p>
      <w:pPr>
        <w:pStyle w:val="3"/>
        <w:spacing w:before="0" w:after="0" w:line="360" w:lineRule="auto"/>
        <w:ind w:firstLine="480" w:firstLineChars="200"/>
        <w:rPr>
          <w:rFonts w:ascii="黑体" w:hAnsi="宋体"/>
          <w:b w:val="0"/>
          <w:sz w:val="24"/>
          <w:szCs w:val="24"/>
        </w:rPr>
      </w:pPr>
      <w:bookmarkStart w:id="65" w:name="_Toc17200466"/>
      <w:r>
        <w:rPr>
          <w:rFonts w:hint="eastAsia" w:ascii="黑体" w:hAnsi="宋体"/>
          <w:b w:val="0"/>
          <w:sz w:val="24"/>
          <w:szCs w:val="24"/>
        </w:rPr>
        <w:t>十二、特别事项说明</w:t>
      </w:r>
      <w:bookmarkEnd w:id="62"/>
      <w:bookmarkEnd w:id="63"/>
      <w:bookmarkEnd w:id="64"/>
      <w:bookmarkEnd w:id="65"/>
    </w:p>
    <w:p>
      <w:pPr>
        <w:spacing w:line="360" w:lineRule="auto"/>
        <w:ind w:firstLine="480" w:firstLineChars="200"/>
        <w:rPr>
          <w:rFonts w:hint="eastAsia" w:ascii="宋体" w:hAnsi="宋体"/>
          <w:sz w:val="24"/>
        </w:rPr>
      </w:pPr>
      <w:bookmarkStart w:id="66" w:name="_Toc487341278"/>
      <w:bookmarkStart w:id="67" w:name="_Toc223322453"/>
      <w:bookmarkStart w:id="68" w:name="_Toc484924578"/>
      <w:r>
        <w:rPr>
          <w:rFonts w:hint="eastAsia" w:ascii="宋体" w:hAnsi="宋体"/>
          <w:sz w:val="24"/>
        </w:rPr>
        <w:t>1.委估车位使用权转让日期为2020年10月12日，但具体的使用年限无从得知，在此提请报告使用者关注此项的影响。</w:t>
      </w:r>
    </w:p>
    <w:p>
      <w:pPr>
        <w:spacing w:line="360" w:lineRule="auto"/>
        <w:ind w:firstLine="480" w:firstLineChars="200"/>
        <w:rPr>
          <w:rFonts w:ascii="宋体" w:hAnsi="宋体"/>
          <w:sz w:val="24"/>
        </w:rPr>
      </w:pPr>
      <w:r>
        <w:rPr>
          <w:rFonts w:hint="eastAsia" w:ascii="宋体" w:hAnsi="宋体"/>
          <w:sz w:val="24"/>
        </w:rPr>
        <w:t>2.根据于静与中青创文化发展有限公司签订的《地下车位使用权转让合同》，《地下车位使用权转让合同》为《杭州市房屋转让合同》的附属合同，如果《杭州市房屋转让合同》解除或终止，则《地下车位使用权转让合同》亦自动解除或终止，在此提请报告使用者关注此项的影响。</w:t>
      </w:r>
    </w:p>
    <w:p>
      <w:pPr>
        <w:spacing w:line="360" w:lineRule="auto"/>
        <w:ind w:firstLine="480" w:firstLineChars="200"/>
        <w:rPr>
          <w:rFonts w:ascii="宋体" w:hAnsi="宋体"/>
          <w:sz w:val="24"/>
        </w:rPr>
      </w:pPr>
      <w:r>
        <w:rPr>
          <w:rFonts w:hint="eastAsia" w:ascii="宋体" w:hAnsi="宋体"/>
          <w:sz w:val="24"/>
        </w:rPr>
        <w:t>3.本资产评估报告是根据人民法院及相关当事人提供的资料和信息出具，资料和信息的真实性、完整性、合法性对评估结论构成影响，依据同一标的资产的其他资料或者信息可能得出与本报告不一致的评估结论。</w:t>
      </w:r>
    </w:p>
    <w:p>
      <w:pPr>
        <w:spacing w:line="360" w:lineRule="auto"/>
        <w:ind w:firstLine="480" w:firstLineChars="200"/>
        <w:rPr>
          <w:rFonts w:ascii="宋体" w:hAnsi="宋体"/>
          <w:sz w:val="24"/>
        </w:rPr>
      </w:pPr>
      <w:r>
        <w:rPr>
          <w:rFonts w:hint="eastAsia" w:ascii="宋体" w:hAnsi="宋体"/>
          <w:sz w:val="24"/>
        </w:rPr>
        <w:t>4.评估结论不等同于评估对象可实现价格，评估结论不应当被认为是对评估对象可实现价格的保证。</w:t>
      </w:r>
    </w:p>
    <w:p>
      <w:pPr>
        <w:spacing w:line="360" w:lineRule="auto"/>
        <w:ind w:firstLine="480" w:firstLineChars="200"/>
        <w:rPr>
          <w:rFonts w:ascii="宋体" w:hAnsi="宋体"/>
          <w:sz w:val="24"/>
        </w:rPr>
      </w:pPr>
      <w:r>
        <w:rPr>
          <w:rFonts w:hint="eastAsia" w:ascii="宋体" w:hAnsi="宋体"/>
          <w:sz w:val="24"/>
        </w:rPr>
        <w:t>5.评估报告的评估价值结论不包含标的物所有人在交易中产生的各项费用。</w:t>
      </w:r>
    </w:p>
    <w:p>
      <w:pPr>
        <w:spacing w:line="360" w:lineRule="auto"/>
        <w:ind w:firstLine="480" w:firstLineChars="200"/>
        <w:rPr>
          <w:rFonts w:ascii="宋体" w:hAnsi="宋体"/>
          <w:sz w:val="24"/>
        </w:rPr>
      </w:pPr>
      <w:r>
        <w:rPr>
          <w:rFonts w:hint="eastAsia" w:ascii="宋体" w:hAnsi="宋体"/>
          <w:sz w:val="24"/>
        </w:rPr>
        <w:t>6.本报告中，评估人员的责任是对评估对象于评估基准日之价值进行估算并发表专业意见，对评估对象法律权属不发表意见、也不作确认或保证。评估人员对委托方和相关当事人提供的有关评估对象法律权属资料和资料来源进行了必要的查验，并有责任对查验情况予以披露，但是本报告所依据的权属资料之真实性、准确性和完整性由委托方和相关当事人承担全部责任。</w:t>
      </w:r>
    </w:p>
    <w:p>
      <w:pPr>
        <w:spacing w:line="360" w:lineRule="auto"/>
        <w:ind w:firstLine="480" w:firstLineChars="200"/>
        <w:rPr>
          <w:rFonts w:ascii="宋体" w:hAnsi="宋体"/>
          <w:sz w:val="24"/>
        </w:rPr>
      </w:pPr>
      <w:r>
        <w:rPr>
          <w:rFonts w:hint="eastAsia" w:ascii="宋体" w:hAnsi="宋体"/>
          <w:sz w:val="24"/>
        </w:rPr>
        <w:t>评估报告使用者应当关注上述事项对评估结论可能产生的影响。</w:t>
      </w:r>
    </w:p>
    <w:p>
      <w:pPr>
        <w:pStyle w:val="3"/>
        <w:numPr>
          <w:ilvl w:val="0"/>
          <w:numId w:val="4"/>
        </w:numPr>
        <w:spacing w:before="0" w:after="0" w:line="360" w:lineRule="auto"/>
        <w:ind w:firstLine="480" w:firstLineChars="200"/>
        <w:rPr>
          <w:rFonts w:ascii="黑体" w:hAnsi="宋体"/>
          <w:b w:val="0"/>
          <w:sz w:val="24"/>
          <w:szCs w:val="24"/>
        </w:rPr>
      </w:pPr>
      <w:bookmarkStart w:id="69" w:name="_Toc17200467"/>
      <w:r>
        <w:rPr>
          <w:rFonts w:hint="eastAsia" w:ascii="黑体" w:hAnsi="宋体"/>
          <w:b w:val="0"/>
          <w:sz w:val="24"/>
          <w:szCs w:val="24"/>
        </w:rPr>
        <w:t>评估报告使用限制说明</w:t>
      </w:r>
      <w:bookmarkEnd w:id="66"/>
      <w:bookmarkEnd w:id="67"/>
      <w:bookmarkEnd w:id="68"/>
      <w:bookmarkEnd w:id="69"/>
    </w:p>
    <w:p>
      <w:pPr>
        <w:pStyle w:val="4"/>
        <w:tabs>
          <w:tab w:val="left" w:pos="0"/>
        </w:tabs>
        <w:snapToGrid w:val="0"/>
        <w:ind w:firstLine="480" w:firstLineChars="200"/>
        <w:rPr>
          <w:kern w:val="0"/>
          <w:szCs w:val="20"/>
        </w:rPr>
      </w:pPr>
      <w:r>
        <w:rPr>
          <w:rFonts w:hint="eastAsia"/>
          <w:kern w:val="0"/>
          <w:szCs w:val="20"/>
        </w:rPr>
        <w:t>（一）本资产评估报告使用范围：</w:t>
      </w:r>
    </w:p>
    <w:p>
      <w:pPr>
        <w:pStyle w:val="4"/>
        <w:tabs>
          <w:tab w:val="left" w:pos="0"/>
        </w:tabs>
        <w:snapToGrid w:val="0"/>
        <w:ind w:firstLine="480" w:firstLineChars="200"/>
        <w:rPr>
          <w:kern w:val="0"/>
          <w:szCs w:val="20"/>
        </w:rPr>
      </w:pPr>
      <w:bookmarkStart w:id="70" w:name="OLE_LINK10"/>
      <w:r>
        <w:rPr>
          <w:rFonts w:hint="eastAsia"/>
          <w:kern w:val="0"/>
          <w:szCs w:val="20"/>
        </w:rPr>
        <w:t>1</w:t>
      </w:r>
      <w:r>
        <w:rPr>
          <w:rFonts w:hint="eastAsia"/>
          <w:kern w:val="0"/>
          <w:szCs w:val="20"/>
          <w:lang w:eastAsia="zh-CN"/>
        </w:rPr>
        <w:t>.</w:t>
      </w:r>
      <w:r>
        <w:rPr>
          <w:rFonts w:hint="eastAsia"/>
          <w:kern w:val="0"/>
          <w:szCs w:val="20"/>
        </w:rPr>
        <w:t>本资产评估报告只能由资产评估报告载明的委托人或其他资产评估报告使用人使用。</w:t>
      </w:r>
    </w:p>
    <w:p>
      <w:pPr>
        <w:pStyle w:val="4"/>
        <w:tabs>
          <w:tab w:val="left" w:pos="0"/>
        </w:tabs>
        <w:snapToGrid w:val="0"/>
        <w:ind w:firstLine="480" w:firstLineChars="200"/>
        <w:rPr>
          <w:kern w:val="0"/>
          <w:szCs w:val="20"/>
        </w:rPr>
      </w:pPr>
      <w:r>
        <w:rPr>
          <w:rFonts w:hint="eastAsia"/>
          <w:kern w:val="0"/>
          <w:szCs w:val="20"/>
        </w:rPr>
        <w:t>2</w:t>
      </w:r>
      <w:r>
        <w:rPr>
          <w:rFonts w:hint="eastAsia"/>
          <w:kern w:val="0"/>
          <w:szCs w:val="20"/>
          <w:lang w:eastAsia="zh-CN"/>
        </w:rPr>
        <w:t>.</w:t>
      </w:r>
      <w:r>
        <w:rPr>
          <w:rFonts w:hint="eastAsia"/>
          <w:kern w:val="0"/>
          <w:szCs w:val="20"/>
        </w:rPr>
        <w:t>本资产评估报告只能用于资产评估报告载明的评估目的和用途。</w:t>
      </w:r>
    </w:p>
    <w:p>
      <w:pPr>
        <w:pStyle w:val="4"/>
        <w:tabs>
          <w:tab w:val="left" w:pos="0"/>
        </w:tabs>
        <w:snapToGrid w:val="0"/>
        <w:ind w:firstLine="480" w:firstLineChars="200"/>
        <w:rPr>
          <w:kern w:val="0"/>
          <w:szCs w:val="20"/>
        </w:rPr>
      </w:pPr>
      <w:r>
        <w:rPr>
          <w:rFonts w:hint="eastAsia"/>
          <w:kern w:val="0"/>
          <w:szCs w:val="20"/>
        </w:rPr>
        <w:t>3、本资产评估报告的全部或者部分内容不得被摘抄、引用或披露于公开的媒体，法律、法规规定以及委托人与本资产评估机构或与相关当事方另有约定的除外。</w:t>
      </w:r>
    </w:p>
    <w:p>
      <w:pPr>
        <w:pStyle w:val="4"/>
        <w:tabs>
          <w:tab w:val="left" w:pos="0"/>
        </w:tabs>
        <w:snapToGrid w:val="0"/>
        <w:ind w:firstLine="480" w:firstLineChars="200"/>
        <w:rPr>
          <w:kern w:val="0"/>
          <w:szCs w:val="20"/>
        </w:rPr>
      </w:pPr>
      <w:r>
        <w:rPr>
          <w:rFonts w:hint="eastAsia"/>
          <w:kern w:val="0"/>
          <w:szCs w:val="20"/>
        </w:rPr>
        <w:t>4</w:t>
      </w:r>
      <w:r>
        <w:rPr>
          <w:rFonts w:hint="eastAsia"/>
          <w:kern w:val="0"/>
          <w:szCs w:val="20"/>
          <w:lang w:eastAsia="zh-CN"/>
        </w:rPr>
        <w:t>.</w:t>
      </w:r>
      <w:r>
        <w:rPr>
          <w:rFonts w:hint="eastAsia"/>
          <w:kern w:val="0"/>
          <w:szCs w:val="20"/>
        </w:rPr>
        <w:t>本资产评估报告评估结论的使用有效期自评估基准日至20</w:t>
      </w:r>
      <w:r>
        <w:rPr>
          <w:rFonts w:hint="eastAsia"/>
          <w:kern w:val="0"/>
          <w:szCs w:val="20"/>
          <w:lang w:val="en-US" w:eastAsia="zh-CN"/>
        </w:rPr>
        <w:t>23</w:t>
      </w:r>
      <w:r>
        <w:rPr>
          <w:rFonts w:hint="eastAsia"/>
          <w:kern w:val="0"/>
          <w:szCs w:val="20"/>
        </w:rPr>
        <w:t>年</w:t>
      </w:r>
      <w:r>
        <w:rPr>
          <w:rFonts w:hint="eastAsia"/>
          <w:kern w:val="0"/>
          <w:szCs w:val="20"/>
          <w:lang w:val="en-US" w:eastAsia="zh-CN"/>
        </w:rPr>
        <w:t>6</w:t>
      </w:r>
      <w:r>
        <w:rPr>
          <w:rFonts w:hint="eastAsia"/>
          <w:kern w:val="0"/>
          <w:szCs w:val="20"/>
        </w:rPr>
        <w:t>月</w:t>
      </w:r>
      <w:r>
        <w:rPr>
          <w:rFonts w:hint="eastAsia"/>
          <w:kern w:val="0"/>
          <w:szCs w:val="20"/>
          <w:lang w:val="en-US" w:eastAsia="zh-CN"/>
        </w:rPr>
        <w:t>26</w:t>
      </w:r>
      <w:r>
        <w:rPr>
          <w:rFonts w:hint="eastAsia"/>
          <w:kern w:val="0"/>
          <w:szCs w:val="20"/>
        </w:rPr>
        <w:t>日止。本资产评估报告所揭示的评估结论仅对资产评估报告中描述的经济行为有效。通常，只有当评估基准日与经济行为实现日相距不超过一年时，才可以使用资产评估报告。</w:t>
      </w:r>
    </w:p>
    <w:p>
      <w:pPr>
        <w:pStyle w:val="4"/>
        <w:tabs>
          <w:tab w:val="left" w:pos="0"/>
        </w:tabs>
        <w:snapToGrid w:val="0"/>
        <w:ind w:firstLine="480" w:firstLineChars="200"/>
        <w:rPr>
          <w:kern w:val="0"/>
          <w:szCs w:val="20"/>
        </w:rPr>
      </w:pPr>
      <w:r>
        <w:rPr>
          <w:rFonts w:hint="eastAsia"/>
          <w:kern w:val="0"/>
          <w:szCs w:val="20"/>
        </w:rPr>
        <w:t>（二）委托人或者其他资产评估报告使用人未按照法律、行政法规规定和资产评估报告载明的使用范围使用资产评估报告的，资产评估机构及其资产评估专业人员不承担责任。</w:t>
      </w:r>
    </w:p>
    <w:p>
      <w:pPr>
        <w:pStyle w:val="4"/>
        <w:tabs>
          <w:tab w:val="left" w:pos="0"/>
        </w:tabs>
        <w:snapToGrid w:val="0"/>
        <w:ind w:firstLine="480" w:firstLineChars="200"/>
        <w:rPr>
          <w:kern w:val="0"/>
          <w:szCs w:val="20"/>
        </w:rPr>
      </w:pPr>
      <w:r>
        <w:rPr>
          <w:rFonts w:hint="eastAsia"/>
          <w:kern w:val="0"/>
          <w:szCs w:val="20"/>
        </w:rPr>
        <w:t>（三）除委托人、资产评估委托合同中约定的其他资产评估报告使用人和法律、行政法规规定的资产评估报告使用人之外，其他任何机构和个人不能成为资产评估报告的使用人。</w:t>
      </w:r>
    </w:p>
    <w:p>
      <w:pPr>
        <w:pStyle w:val="4"/>
        <w:tabs>
          <w:tab w:val="left" w:pos="0"/>
        </w:tabs>
        <w:snapToGrid w:val="0"/>
        <w:ind w:firstLine="480" w:firstLineChars="200"/>
        <w:rPr>
          <w:kern w:val="0"/>
          <w:szCs w:val="20"/>
        </w:rPr>
      </w:pPr>
      <w:r>
        <w:rPr>
          <w:rFonts w:hint="eastAsia"/>
          <w:kern w:val="0"/>
          <w:szCs w:val="20"/>
        </w:rPr>
        <w:t>（四）资产评估报告使用人应当正确理解评估结论。评估结论不等同于评估对象可实现价格，评估结论不应当被认为是对评估对象可实现价格的保证。</w:t>
      </w:r>
    </w:p>
    <w:p>
      <w:pPr>
        <w:pStyle w:val="4"/>
        <w:tabs>
          <w:tab w:val="left" w:pos="0"/>
        </w:tabs>
        <w:snapToGrid w:val="0"/>
        <w:ind w:firstLine="480" w:firstLineChars="200"/>
        <w:rPr>
          <w:kern w:val="0"/>
          <w:szCs w:val="20"/>
        </w:rPr>
        <w:sectPr>
          <w:headerReference r:id="rId9" w:type="default"/>
          <w:footerReference r:id="rId10" w:type="even"/>
          <w:type w:val="continuous"/>
          <w:pgSz w:w="11906" w:h="16838"/>
          <w:pgMar w:top="1440" w:right="1547" w:bottom="1440" w:left="1800" w:header="850" w:footer="1214" w:gutter="0"/>
          <w:cols w:space="720" w:num="1"/>
          <w:titlePg/>
          <w:docGrid w:type="lines" w:linePitch="312" w:charSpace="0"/>
        </w:sectPr>
      </w:pPr>
      <w:r>
        <w:rPr>
          <w:rFonts w:hint="eastAsia"/>
          <w:kern w:val="0"/>
          <w:szCs w:val="20"/>
        </w:rPr>
        <w:t>（五）若本报告的评估事项涉及国有资产评估报告核准备案的，而本报告未取得国有资产管理部门或其授权机构的核准或备案批准文件，本资产评估报告不得被作为经济行为的依据。</w:t>
      </w:r>
    </w:p>
    <w:bookmarkEnd w:id="70"/>
    <w:p>
      <w:pPr>
        <w:pStyle w:val="3"/>
        <w:spacing w:before="0" w:after="0" w:line="360" w:lineRule="auto"/>
        <w:ind w:firstLine="480" w:firstLineChars="200"/>
        <w:rPr>
          <w:rFonts w:ascii="黑体" w:hAnsi="宋体"/>
          <w:b w:val="0"/>
          <w:sz w:val="24"/>
          <w:szCs w:val="24"/>
        </w:rPr>
      </w:pPr>
      <w:bookmarkStart w:id="71" w:name="_Toc17200468"/>
      <w:bookmarkStart w:id="72" w:name="_Toc484924579"/>
      <w:bookmarkStart w:id="73" w:name="_Toc223322454"/>
      <w:bookmarkStart w:id="74" w:name="_Toc487341279"/>
      <w:r>
        <w:rPr>
          <w:rFonts w:hint="eastAsia" w:ascii="黑体" w:hAnsi="宋体"/>
          <w:b w:val="0"/>
          <w:sz w:val="24"/>
          <w:szCs w:val="24"/>
        </w:rPr>
        <w:t>十四、评估报告日</w:t>
      </w:r>
      <w:bookmarkEnd w:id="71"/>
      <w:bookmarkEnd w:id="72"/>
      <w:bookmarkEnd w:id="73"/>
      <w:bookmarkEnd w:id="74"/>
    </w:p>
    <w:p>
      <w:pPr>
        <w:tabs>
          <w:tab w:val="left" w:pos="11988"/>
        </w:tabs>
        <w:spacing w:line="360" w:lineRule="auto"/>
        <w:ind w:firstLine="480" w:firstLineChars="200"/>
        <w:rPr>
          <w:rFonts w:ascii="宋体" w:hAnsi="宋体" w:cs="Arial"/>
          <w:sz w:val="24"/>
        </w:rPr>
      </w:pPr>
      <w:r>
        <w:rPr>
          <w:rFonts w:hint="eastAsia" w:ascii="宋体" w:hAnsi="宋体" w:cs="Arial"/>
          <w:sz w:val="24"/>
        </w:rPr>
        <w:t>本评估报告日为2</w:t>
      </w:r>
      <w:r>
        <w:rPr>
          <w:rFonts w:hint="eastAsia" w:ascii="宋体" w:hAnsi="宋体" w:cs="Arial"/>
          <w:sz w:val="24"/>
          <w:lang w:val="en-US" w:eastAsia="zh-CN"/>
        </w:rPr>
        <w:t>022</w:t>
      </w:r>
      <w:r>
        <w:rPr>
          <w:rFonts w:hint="eastAsia" w:ascii="宋体" w:hAnsi="宋体" w:cs="Arial"/>
          <w:sz w:val="24"/>
        </w:rPr>
        <w:t>年</w:t>
      </w:r>
      <w:r>
        <w:rPr>
          <w:rFonts w:hint="eastAsia" w:ascii="宋体" w:hAnsi="宋体" w:cs="Arial"/>
          <w:sz w:val="24"/>
          <w:lang w:val="en-US" w:eastAsia="zh-CN"/>
        </w:rPr>
        <w:t>7</w:t>
      </w:r>
      <w:r>
        <w:rPr>
          <w:rFonts w:hint="eastAsia" w:ascii="宋体" w:hAnsi="宋体" w:cs="Arial"/>
          <w:sz w:val="24"/>
        </w:rPr>
        <w:t>月</w:t>
      </w:r>
      <w:r>
        <w:rPr>
          <w:rFonts w:hint="eastAsia" w:ascii="宋体" w:hAnsi="宋体" w:cs="Arial"/>
          <w:sz w:val="24"/>
          <w:lang w:val="en-US" w:eastAsia="zh-CN"/>
        </w:rPr>
        <w:t>5</w:t>
      </w:r>
      <w:r>
        <w:rPr>
          <w:rFonts w:hint="eastAsia" w:ascii="宋体" w:hAnsi="宋体" w:cs="Arial"/>
          <w:sz w:val="24"/>
        </w:rPr>
        <w:t>日。</w:t>
      </w:r>
    </w:p>
    <w:p>
      <w:pPr>
        <w:tabs>
          <w:tab w:val="left" w:pos="11988"/>
        </w:tabs>
        <w:spacing w:line="460" w:lineRule="exact"/>
        <w:rPr>
          <w:rFonts w:ascii="宋体" w:hAnsi="宋体" w:cs="Arial"/>
          <w:sz w:val="24"/>
        </w:rPr>
      </w:pPr>
    </w:p>
    <w:p>
      <w:pPr>
        <w:tabs>
          <w:tab w:val="left" w:pos="11988"/>
        </w:tabs>
        <w:spacing w:line="460" w:lineRule="exact"/>
        <w:rPr>
          <w:rFonts w:ascii="宋体" w:hAnsi="宋体" w:cs="Arial"/>
          <w:sz w:val="24"/>
        </w:rPr>
      </w:pPr>
    </w:p>
    <w:p>
      <w:pPr>
        <w:tabs>
          <w:tab w:val="left" w:pos="11988"/>
        </w:tabs>
        <w:spacing w:line="460" w:lineRule="exact"/>
        <w:rPr>
          <w:rFonts w:ascii="黑体" w:hAnsi="宋体" w:eastAsia="黑体" w:cs="Arial"/>
          <w:sz w:val="24"/>
        </w:rPr>
      </w:pPr>
    </w:p>
    <w:p>
      <w:pPr>
        <w:tabs>
          <w:tab w:val="left" w:pos="11988"/>
        </w:tabs>
        <w:spacing w:line="460" w:lineRule="exact"/>
        <w:rPr>
          <w:rFonts w:ascii="黑体" w:hAnsi="宋体" w:eastAsia="黑体" w:cs="Arial"/>
          <w:sz w:val="24"/>
        </w:rPr>
      </w:pPr>
      <w:r>
        <w:rPr>
          <w:rFonts w:hint="eastAsia" w:ascii="黑体" w:hAnsi="宋体" w:eastAsia="黑体" w:cs="Arial"/>
          <w:sz w:val="24"/>
        </w:rPr>
        <w:t xml:space="preserve">    资产评估师：</w:t>
      </w:r>
    </w:p>
    <w:p>
      <w:pPr>
        <w:tabs>
          <w:tab w:val="left" w:pos="11988"/>
        </w:tabs>
        <w:spacing w:line="460" w:lineRule="exact"/>
        <w:rPr>
          <w:rFonts w:ascii="黑体" w:hAnsi="宋体" w:eastAsia="黑体" w:cs="Arial"/>
          <w:sz w:val="24"/>
        </w:rPr>
      </w:pPr>
    </w:p>
    <w:p>
      <w:pPr>
        <w:tabs>
          <w:tab w:val="left" w:pos="11988"/>
        </w:tabs>
        <w:spacing w:line="460" w:lineRule="exact"/>
        <w:ind w:firstLine="480" w:firstLineChars="200"/>
        <w:rPr>
          <w:rFonts w:ascii="黑体" w:hAnsi="宋体" w:eastAsia="黑体" w:cs="Arial"/>
          <w:sz w:val="24"/>
        </w:rPr>
      </w:pPr>
    </w:p>
    <w:p>
      <w:pPr>
        <w:tabs>
          <w:tab w:val="left" w:pos="11988"/>
        </w:tabs>
        <w:spacing w:line="460" w:lineRule="exact"/>
        <w:ind w:firstLine="480" w:firstLineChars="200"/>
        <w:rPr>
          <w:rFonts w:ascii="黑体" w:hAnsi="宋体" w:eastAsia="黑体" w:cs="Arial"/>
          <w:sz w:val="24"/>
        </w:rPr>
      </w:pPr>
    </w:p>
    <w:p>
      <w:pPr>
        <w:tabs>
          <w:tab w:val="left" w:pos="11988"/>
        </w:tabs>
        <w:spacing w:line="460" w:lineRule="exact"/>
        <w:rPr>
          <w:rFonts w:ascii="黑体" w:hAnsi="宋体" w:eastAsia="黑体" w:cs="Arial"/>
          <w:sz w:val="24"/>
        </w:rPr>
      </w:pPr>
    </w:p>
    <w:p>
      <w:pPr>
        <w:tabs>
          <w:tab w:val="left" w:pos="11988"/>
        </w:tabs>
        <w:spacing w:line="460" w:lineRule="exact"/>
        <w:rPr>
          <w:rFonts w:ascii="黑体" w:hAnsi="宋体" w:eastAsia="黑体" w:cs="Arial"/>
          <w:sz w:val="24"/>
        </w:rPr>
      </w:pPr>
      <w:r>
        <w:rPr>
          <w:rFonts w:hint="eastAsia" w:ascii="黑体" w:hAnsi="宋体" w:eastAsia="黑体" w:cs="Arial"/>
          <w:sz w:val="24"/>
        </w:rPr>
        <w:t xml:space="preserve">    资产评估师：</w:t>
      </w:r>
    </w:p>
    <w:p>
      <w:pPr>
        <w:tabs>
          <w:tab w:val="left" w:pos="11988"/>
        </w:tabs>
        <w:spacing w:line="460" w:lineRule="exact"/>
        <w:rPr>
          <w:rFonts w:ascii="黑体" w:hAnsi="宋体" w:eastAsia="黑体" w:cs="Arial"/>
          <w:sz w:val="24"/>
        </w:rPr>
      </w:pPr>
    </w:p>
    <w:p>
      <w:pPr>
        <w:tabs>
          <w:tab w:val="left" w:pos="11988"/>
        </w:tabs>
        <w:spacing w:line="460" w:lineRule="exact"/>
        <w:rPr>
          <w:rFonts w:ascii="黑体" w:hAnsi="宋体" w:eastAsia="黑体" w:cs="Arial"/>
          <w:sz w:val="24"/>
        </w:rPr>
      </w:pPr>
    </w:p>
    <w:p>
      <w:pPr>
        <w:tabs>
          <w:tab w:val="left" w:pos="11988"/>
        </w:tabs>
        <w:spacing w:line="460" w:lineRule="exact"/>
        <w:ind w:firstLine="4560" w:firstLineChars="1900"/>
        <w:rPr>
          <w:rFonts w:ascii="黑体" w:hAnsi="宋体" w:eastAsia="黑体" w:cs="Arial"/>
          <w:sz w:val="24"/>
        </w:rPr>
      </w:pPr>
    </w:p>
    <w:p>
      <w:pPr>
        <w:tabs>
          <w:tab w:val="left" w:pos="11988"/>
        </w:tabs>
        <w:spacing w:line="460" w:lineRule="exact"/>
        <w:ind w:firstLine="4560" w:firstLineChars="1900"/>
        <w:rPr>
          <w:rFonts w:ascii="黑体" w:hAnsi="宋体" w:eastAsia="黑体" w:cs="Arial"/>
          <w:sz w:val="24"/>
        </w:rPr>
      </w:pPr>
    </w:p>
    <w:p>
      <w:pPr>
        <w:tabs>
          <w:tab w:val="left" w:pos="11988"/>
        </w:tabs>
        <w:spacing w:line="460" w:lineRule="exact"/>
        <w:ind w:firstLine="4560" w:firstLineChars="1900"/>
        <w:rPr>
          <w:rFonts w:ascii="黑体" w:hAnsi="宋体" w:eastAsia="黑体" w:cs="Arial"/>
          <w:sz w:val="24"/>
        </w:rPr>
      </w:pPr>
    </w:p>
    <w:p>
      <w:pPr>
        <w:tabs>
          <w:tab w:val="left" w:pos="11988"/>
        </w:tabs>
        <w:spacing w:line="460" w:lineRule="exact"/>
        <w:ind w:firstLine="4560" w:firstLineChars="1900"/>
        <w:rPr>
          <w:rFonts w:ascii="黑体" w:hAnsi="宋体" w:eastAsia="黑体" w:cs="Arial"/>
          <w:sz w:val="24"/>
        </w:rPr>
      </w:pPr>
    </w:p>
    <w:p>
      <w:pPr>
        <w:tabs>
          <w:tab w:val="left" w:pos="11988"/>
        </w:tabs>
        <w:spacing w:line="460" w:lineRule="exact"/>
        <w:ind w:firstLine="4560" w:firstLineChars="1900"/>
        <w:rPr>
          <w:rFonts w:ascii="黑体" w:hAnsi="宋体" w:eastAsia="黑体" w:cs="Arial"/>
          <w:sz w:val="24"/>
        </w:rPr>
      </w:pPr>
    </w:p>
    <w:p>
      <w:pPr>
        <w:tabs>
          <w:tab w:val="left" w:pos="11988"/>
        </w:tabs>
        <w:spacing w:line="460" w:lineRule="exact"/>
        <w:ind w:firstLine="4560" w:firstLineChars="1900"/>
        <w:rPr>
          <w:rFonts w:ascii="黑体" w:hAnsi="宋体" w:eastAsia="黑体" w:cs="Arial"/>
          <w:sz w:val="24"/>
        </w:rPr>
      </w:pPr>
      <w:r>
        <w:rPr>
          <w:rFonts w:hint="eastAsia" w:ascii="黑体" w:hAnsi="宋体" w:eastAsia="黑体" w:cs="Arial"/>
          <w:sz w:val="24"/>
        </w:rPr>
        <w:t xml:space="preserve">    杭州金孚资产评估有限公司</w:t>
      </w:r>
    </w:p>
    <w:p>
      <w:pPr>
        <w:tabs>
          <w:tab w:val="left" w:pos="11988"/>
        </w:tabs>
        <w:spacing w:line="460" w:lineRule="exact"/>
        <w:rPr>
          <w:rFonts w:ascii="黑体" w:hAnsi="宋体" w:eastAsia="黑体" w:cs="Arial"/>
          <w:sz w:val="24"/>
        </w:rPr>
      </w:pPr>
      <w:r>
        <w:rPr>
          <w:rFonts w:hint="eastAsia" w:ascii="黑体" w:hAnsi="宋体" w:eastAsia="黑体" w:cs="Arial"/>
          <w:sz w:val="24"/>
        </w:rPr>
        <w:t xml:space="preserve">                                                20</w:t>
      </w:r>
      <w:r>
        <w:rPr>
          <w:rFonts w:hint="eastAsia" w:ascii="黑体" w:hAnsi="宋体" w:eastAsia="黑体" w:cs="Arial"/>
          <w:sz w:val="24"/>
          <w:lang w:val="en-US" w:eastAsia="zh-CN"/>
        </w:rPr>
        <w:t>22</w:t>
      </w:r>
      <w:r>
        <w:rPr>
          <w:rFonts w:hint="eastAsia" w:ascii="黑体" w:hAnsi="宋体" w:eastAsia="黑体" w:cs="Arial"/>
          <w:sz w:val="24"/>
        </w:rPr>
        <w:t>年</w:t>
      </w:r>
      <w:r>
        <w:rPr>
          <w:rFonts w:hint="eastAsia" w:ascii="黑体" w:hAnsi="宋体" w:eastAsia="黑体" w:cs="Arial"/>
          <w:sz w:val="24"/>
          <w:lang w:val="en-US" w:eastAsia="zh-CN"/>
        </w:rPr>
        <w:t>7</w:t>
      </w:r>
      <w:r>
        <w:rPr>
          <w:rFonts w:hint="eastAsia" w:ascii="黑体" w:hAnsi="宋体" w:eastAsia="黑体" w:cs="Arial"/>
          <w:sz w:val="24"/>
        </w:rPr>
        <w:t>月</w:t>
      </w:r>
      <w:r>
        <w:rPr>
          <w:rFonts w:hint="eastAsia" w:ascii="黑体" w:hAnsi="宋体" w:eastAsia="黑体" w:cs="Arial"/>
          <w:sz w:val="24"/>
          <w:lang w:val="en-US" w:eastAsia="zh-CN"/>
        </w:rPr>
        <w:t>5</w:t>
      </w:r>
      <w:r>
        <w:rPr>
          <w:rFonts w:hint="eastAsia" w:ascii="黑体" w:hAnsi="宋体" w:eastAsia="黑体" w:cs="Arial"/>
          <w:sz w:val="24"/>
        </w:rPr>
        <w:t>日</w:t>
      </w:r>
    </w:p>
    <w:p>
      <w:pPr>
        <w:pageBreakBefore/>
        <w:sectPr>
          <w:type w:val="continuous"/>
          <w:pgSz w:w="11906" w:h="16838"/>
          <w:pgMar w:top="1440" w:right="1588" w:bottom="1440" w:left="1797" w:header="851" w:footer="992" w:gutter="0"/>
          <w:cols w:space="425" w:num="1"/>
          <w:docGrid w:type="lines" w:linePitch="312" w:charSpace="0"/>
        </w:sectPr>
      </w:pPr>
    </w:p>
    <w:p>
      <w:pPr>
        <w:pStyle w:val="2"/>
        <w:spacing w:line="240" w:lineRule="auto"/>
        <w:jc w:val="center"/>
      </w:pPr>
      <w:bookmarkStart w:id="75" w:name="_Toc17200469"/>
      <w:bookmarkStart w:id="76" w:name="_Toc487341280"/>
      <w:bookmarkStart w:id="77" w:name="_Toc78478487"/>
      <w:bookmarkStart w:id="78" w:name="_Toc484924580"/>
      <w:bookmarkStart w:id="79" w:name="_Toc223322455"/>
      <w:r>
        <w:rPr>
          <w:rFonts w:hint="eastAsia" w:ascii="黑体" w:hAnsi="宋体" w:eastAsia="黑体"/>
          <w:sz w:val="36"/>
        </w:rPr>
        <w:t>附   件</w:t>
      </w:r>
      <w:bookmarkEnd w:id="75"/>
      <w:bookmarkEnd w:id="76"/>
      <w:bookmarkEnd w:id="77"/>
      <w:bookmarkEnd w:id="78"/>
      <w:bookmarkEnd w:id="79"/>
    </w:p>
    <w:p>
      <w:pPr>
        <w:spacing w:line="1180" w:lineRule="exact"/>
        <w:ind w:firstLine="1699" w:firstLineChars="708"/>
        <w:rPr>
          <w:rFonts w:ascii="宋体" w:hAnsi="宋体"/>
          <w:sz w:val="24"/>
        </w:rPr>
      </w:pPr>
      <w:r>
        <w:rPr>
          <w:rFonts w:hint="eastAsia" w:ascii="宋体" w:hAnsi="宋体"/>
          <w:sz w:val="24"/>
        </w:rPr>
        <w:t>附件一、资产评估明细表</w:t>
      </w:r>
    </w:p>
    <w:p>
      <w:pPr>
        <w:spacing w:line="1180" w:lineRule="exact"/>
        <w:ind w:firstLine="1699" w:firstLineChars="708"/>
        <w:rPr>
          <w:rFonts w:ascii="宋体" w:hAnsi="宋体"/>
          <w:sz w:val="24"/>
        </w:rPr>
      </w:pPr>
      <w:r>
        <w:rPr>
          <w:rFonts w:hint="eastAsia" w:ascii="宋体" w:hAnsi="宋体"/>
          <w:sz w:val="24"/>
        </w:rPr>
        <w:t>附件</w:t>
      </w:r>
      <w:r>
        <w:rPr>
          <w:rFonts w:hint="eastAsia" w:ascii="宋体" w:hAnsi="宋体"/>
          <w:sz w:val="24"/>
          <w:lang w:val="en-US" w:eastAsia="zh-CN"/>
        </w:rPr>
        <w:t>二</w:t>
      </w:r>
      <w:r>
        <w:rPr>
          <w:rFonts w:hint="eastAsia" w:ascii="宋体" w:hAnsi="宋体"/>
          <w:sz w:val="24"/>
        </w:rPr>
        <w:t>、现场勘查照片</w:t>
      </w:r>
    </w:p>
    <w:p>
      <w:pPr>
        <w:spacing w:line="1180" w:lineRule="exact"/>
        <w:ind w:firstLine="1699" w:firstLineChars="708"/>
        <w:rPr>
          <w:rFonts w:ascii="宋体" w:hAnsi="宋体"/>
          <w:sz w:val="24"/>
        </w:rPr>
      </w:pPr>
      <w:r>
        <w:rPr>
          <w:rFonts w:hint="eastAsia" w:ascii="宋体" w:hAnsi="宋体"/>
          <w:sz w:val="24"/>
        </w:rPr>
        <w:t>附件</w:t>
      </w:r>
      <w:r>
        <w:rPr>
          <w:rFonts w:hint="eastAsia" w:ascii="宋体" w:hAnsi="宋体"/>
          <w:sz w:val="24"/>
          <w:lang w:val="en-US" w:eastAsia="zh-CN"/>
        </w:rPr>
        <w:t>三</w:t>
      </w:r>
      <w:r>
        <w:rPr>
          <w:rFonts w:hint="eastAsia" w:ascii="宋体" w:hAnsi="宋体"/>
          <w:sz w:val="24"/>
        </w:rPr>
        <w:t>、资产评估机构备案公告</w:t>
      </w:r>
    </w:p>
    <w:p>
      <w:pPr>
        <w:spacing w:line="1180" w:lineRule="exact"/>
        <w:ind w:firstLine="1699" w:firstLineChars="708"/>
        <w:rPr>
          <w:rFonts w:ascii="宋体" w:hAnsi="宋体"/>
          <w:sz w:val="24"/>
        </w:rPr>
      </w:pPr>
      <w:r>
        <w:rPr>
          <w:rFonts w:hint="eastAsia" w:ascii="宋体" w:hAnsi="宋体"/>
          <w:sz w:val="24"/>
        </w:rPr>
        <w:t>附件</w:t>
      </w:r>
      <w:r>
        <w:rPr>
          <w:rFonts w:hint="eastAsia" w:ascii="宋体" w:hAnsi="宋体"/>
          <w:sz w:val="24"/>
          <w:lang w:val="en-US" w:eastAsia="zh-CN"/>
        </w:rPr>
        <w:t>四</w:t>
      </w:r>
      <w:r>
        <w:rPr>
          <w:rFonts w:hint="eastAsia" w:ascii="宋体" w:hAnsi="宋体"/>
          <w:sz w:val="24"/>
        </w:rPr>
        <w:t>、资产评估机构企业法人营业执照</w:t>
      </w:r>
    </w:p>
    <w:p>
      <w:pPr>
        <w:spacing w:line="1180" w:lineRule="exact"/>
        <w:ind w:firstLine="1699" w:firstLineChars="708"/>
        <w:rPr>
          <w:rFonts w:ascii="宋体" w:hAnsi="宋体"/>
          <w:sz w:val="24"/>
        </w:rPr>
      </w:pPr>
      <w:r>
        <w:rPr>
          <w:rFonts w:hint="eastAsia" w:ascii="宋体" w:hAnsi="宋体"/>
          <w:sz w:val="24"/>
        </w:rPr>
        <w:t>附件</w:t>
      </w:r>
      <w:r>
        <w:rPr>
          <w:rFonts w:hint="eastAsia" w:ascii="宋体" w:hAnsi="宋体"/>
          <w:sz w:val="24"/>
          <w:lang w:val="en-US" w:eastAsia="zh-CN"/>
        </w:rPr>
        <w:t>五</w:t>
      </w:r>
      <w:r>
        <w:rPr>
          <w:rFonts w:hint="eastAsia" w:ascii="宋体" w:hAnsi="宋体"/>
          <w:sz w:val="24"/>
        </w:rPr>
        <w:t>、资产评估师资格证书</w:t>
      </w:r>
    </w:p>
    <w:p>
      <w:pPr>
        <w:spacing w:line="1180" w:lineRule="exact"/>
        <w:ind w:firstLine="1699" w:firstLineChars="708"/>
        <w:rPr>
          <w:rFonts w:ascii="宋体" w:hAnsi="宋体"/>
          <w:sz w:val="24"/>
        </w:rPr>
      </w:pPr>
      <w:r>
        <w:rPr>
          <w:rFonts w:hint="eastAsia" w:ascii="宋体" w:hAnsi="宋体"/>
          <w:sz w:val="24"/>
        </w:rPr>
        <w:t>附件</w:t>
      </w:r>
      <w:r>
        <w:rPr>
          <w:rFonts w:hint="eastAsia" w:ascii="宋体" w:hAnsi="宋体"/>
          <w:sz w:val="24"/>
          <w:lang w:val="en-US" w:eastAsia="zh-CN"/>
        </w:rPr>
        <w:t>六</w:t>
      </w:r>
      <w:bookmarkStart w:id="80" w:name="_GoBack"/>
      <w:bookmarkEnd w:id="80"/>
      <w:r>
        <w:rPr>
          <w:rFonts w:hint="eastAsia" w:ascii="宋体" w:hAnsi="宋体"/>
          <w:sz w:val="24"/>
        </w:rPr>
        <w:t>、评估机构及评估师承诺函</w:t>
      </w:r>
    </w:p>
    <w:p>
      <w:pPr>
        <w:spacing w:line="360" w:lineRule="auto"/>
        <w:jc w:val="center"/>
        <w:rPr>
          <w:rFonts w:ascii="黑体" w:eastAsia="黑体"/>
          <w:b/>
          <w:sz w:val="30"/>
        </w:rPr>
      </w:pPr>
    </w:p>
    <w:p/>
    <w:p/>
    <w:p>
      <w:pPr>
        <w:jc w:val="center"/>
        <w:rPr>
          <w:rFonts w:ascii="黑体" w:eastAsia="黑体"/>
          <w:bCs/>
          <w:sz w:val="44"/>
        </w:rPr>
        <w:sectPr>
          <w:pgSz w:w="11906" w:h="16838"/>
          <w:pgMar w:top="1440" w:right="1800" w:bottom="1440" w:left="1800" w:header="851" w:footer="992" w:gutter="0"/>
          <w:cols w:space="425" w:num="1"/>
          <w:docGrid w:type="lines" w:linePitch="312" w:charSpace="0"/>
        </w:sectPr>
      </w:pPr>
    </w:p>
    <w:p>
      <w:pPr>
        <w:jc w:val="center"/>
        <w:rPr>
          <w:rFonts w:ascii="宋体" w:hAnsi="宋体"/>
          <w:sz w:val="28"/>
        </w:rPr>
      </w:pPr>
      <w:r>
        <w:rPr>
          <w:rFonts w:hint="eastAsia" w:ascii="黑体" w:eastAsia="黑体"/>
          <w:bCs/>
          <w:sz w:val="44"/>
        </w:rPr>
        <w:t>资产评估机构及评估师承诺函</w:t>
      </w:r>
    </w:p>
    <w:p>
      <w:pPr>
        <w:spacing w:line="560" w:lineRule="exact"/>
        <w:rPr>
          <w:rFonts w:ascii="宋体" w:hAnsi="宋体"/>
          <w:sz w:val="28"/>
        </w:rPr>
      </w:pPr>
    </w:p>
    <w:p>
      <w:pPr>
        <w:spacing w:line="560" w:lineRule="exact"/>
        <w:rPr>
          <w:rFonts w:ascii="宋体" w:hAnsi="宋体"/>
          <w:sz w:val="28"/>
        </w:rPr>
      </w:pPr>
      <w:r>
        <w:rPr>
          <w:rFonts w:hint="eastAsia" w:ascii="宋体" w:hAnsi="宋体"/>
          <w:sz w:val="28"/>
          <w:lang w:eastAsia="zh-CN"/>
        </w:rPr>
        <w:t>浙江省杭州市西湖区人民法院</w:t>
      </w:r>
      <w:r>
        <w:rPr>
          <w:rFonts w:hint="eastAsia" w:ascii="宋体" w:hAnsi="宋体"/>
          <w:sz w:val="28"/>
        </w:rPr>
        <w:t>：</w:t>
      </w:r>
    </w:p>
    <w:p>
      <w:pPr>
        <w:spacing w:line="560" w:lineRule="exact"/>
        <w:ind w:right="-107" w:rightChars="-51" w:firstLine="560" w:firstLineChars="200"/>
        <w:rPr>
          <w:rFonts w:ascii="宋体" w:hAnsi="宋体"/>
          <w:sz w:val="28"/>
          <w:szCs w:val="28"/>
        </w:rPr>
      </w:pPr>
      <w:r>
        <w:rPr>
          <w:rFonts w:ascii="宋体" w:hAnsi="宋体"/>
          <w:sz w:val="28"/>
          <w:szCs w:val="28"/>
        </w:rPr>
        <w:t>我们</w:t>
      </w:r>
      <w:r>
        <w:rPr>
          <w:rFonts w:hint="eastAsia" w:ascii="宋体" w:hAnsi="宋体"/>
          <w:sz w:val="28"/>
          <w:szCs w:val="28"/>
        </w:rPr>
        <w:t>接受</w:t>
      </w:r>
      <w:r>
        <w:rPr>
          <w:rFonts w:ascii="宋体" w:hAnsi="宋体"/>
          <w:sz w:val="28"/>
          <w:szCs w:val="28"/>
        </w:rPr>
        <w:t>贵</w:t>
      </w:r>
      <w:r>
        <w:rPr>
          <w:rFonts w:hint="eastAsia" w:ascii="宋体" w:hAnsi="宋体"/>
          <w:sz w:val="28"/>
          <w:szCs w:val="28"/>
        </w:rPr>
        <w:t>院的委托，对</w:t>
      </w:r>
      <w:r>
        <w:rPr>
          <w:rFonts w:hint="eastAsia" w:ascii="宋体" w:hAnsi="宋体"/>
          <w:sz w:val="28"/>
          <w:szCs w:val="28"/>
          <w:lang w:eastAsia="zh-CN"/>
        </w:rPr>
        <w:t>申请人朱丹梦</w:t>
      </w:r>
      <w:r>
        <w:rPr>
          <w:rFonts w:hint="eastAsia" w:ascii="宋体" w:hAnsi="宋体"/>
          <w:sz w:val="28"/>
          <w:szCs w:val="28"/>
        </w:rPr>
        <w:t>和</w:t>
      </w:r>
      <w:r>
        <w:rPr>
          <w:rFonts w:hint="eastAsia" w:ascii="宋体" w:hAnsi="宋体"/>
          <w:sz w:val="28"/>
          <w:szCs w:val="28"/>
          <w:lang w:eastAsia="zh-CN"/>
        </w:rPr>
        <w:t>被申请人于静</w:t>
      </w:r>
      <w:r>
        <w:rPr>
          <w:rFonts w:hint="eastAsia" w:ascii="宋体" w:hAnsi="宋体"/>
          <w:sz w:val="28"/>
          <w:szCs w:val="28"/>
        </w:rPr>
        <w:t>在（20</w:t>
      </w:r>
      <w:r>
        <w:rPr>
          <w:rFonts w:hint="eastAsia" w:ascii="宋体" w:hAnsi="宋体"/>
          <w:sz w:val="28"/>
          <w:szCs w:val="28"/>
          <w:lang w:val="en-US" w:eastAsia="zh-CN"/>
        </w:rPr>
        <w:t>22</w:t>
      </w:r>
      <w:r>
        <w:rPr>
          <w:rFonts w:hint="eastAsia" w:ascii="宋体" w:hAnsi="宋体"/>
          <w:sz w:val="28"/>
          <w:szCs w:val="28"/>
        </w:rPr>
        <w:t>）浙01</w:t>
      </w:r>
      <w:r>
        <w:rPr>
          <w:rFonts w:hint="eastAsia" w:ascii="宋体" w:hAnsi="宋体"/>
          <w:sz w:val="28"/>
          <w:szCs w:val="28"/>
          <w:lang w:val="en-US" w:eastAsia="zh-CN"/>
        </w:rPr>
        <w:t>06</w:t>
      </w:r>
      <w:r>
        <w:rPr>
          <w:rFonts w:hint="eastAsia" w:ascii="宋体" w:hAnsi="宋体"/>
          <w:sz w:val="28"/>
          <w:szCs w:val="28"/>
          <w:lang w:eastAsia="zh-CN"/>
        </w:rPr>
        <w:t>执</w:t>
      </w:r>
      <w:r>
        <w:rPr>
          <w:rFonts w:hint="eastAsia" w:ascii="宋体" w:hAnsi="宋体"/>
          <w:sz w:val="28"/>
          <w:szCs w:val="28"/>
          <w:lang w:val="en-US" w:eastAsia="zh-CN"/>
        </w:rPr>
        <w:t>5479</w:t>
      </w:r>
      <w:r>
        <w:rPr>
          <w:rFonts w:hint="eastAsia" w:ascii="宋体" w:hAnsi="宋体"/>
          <w:sz w:val="28"/>
          <w:szCs w:val="28"/>
        </w:rPr>
        <w:t>号</w:t>
      </w:r>
      <w:r>
        <w:rPr>
          <w:rFonts w:hint="eastAsia" w:ascii="宋体" w:hAnsi="宋体"/>
          <w:sz w:val="28"/>
          <w:szCs w:val="28"/>
          <w:lang w:eastAsia="zh-CN"/>
        </w:rPr>
        <w:t>民间借贷纠纷</w:t>
      </w:r>
      <w:r>
        <w:rPr>
          <w:rFonts w:hint="eastAsia" w:ascii="宋体" w:hAnsi="宋体"/>
          <w:sz w:val="28"/>
          <w:szCs w:val="28"/>
        </w:rPr>
        <w:t>一案中所涉及的资产</w:t>
      </w:r>
      <w:r>
        <w:rPr>
          <w:rFonts w:ascii="宋体" w:hAnsi="宋体"/>
          <w:sz w:val="28"/>
          <w:szCs w:val="28"/>
        </w:rPr>
        <w:t>进</w:t>
      </w:r>
      <w:r>
        <w:rPr>
          <w:rFonts w:hint="eastAsia" w:ascii="宋体" w:hAnsi="宋体"/>
          <w:sz w:val="28"/>
          <w:szCs w:val="28"/>
        </w:rPr>
        <w:t>行了</w:t>
      </w:r>
      <w:r>
        <w:rPr>
          <w:rFonts w:ascii="宋体" w:hAnsi="宋体"/>
          <w:sz w:val="28"/>
          <w:szCs w:val="28"/>
        </w:rPr>
        <w:t>认</w:t>
      </w:r>
      <w:r>
        <w:rPr>
          <w:rFonts w:hint="eastAsia" w:ascii="宋体" w:hAnsi="宋体"/>
          <w:sz w:val="28"/>
          <w:szCs w:val="28"/>
        </w:rPr>
        <w:t>真的清查、核</w:t>
      </w:r>
      <w:r>
        <w:rPr>
          <w:rFonts w:ascii="宋体" w:hAnsi="宋体"/>
          <w:sz w:val="28"/>
          <w:szCs w:val="28"/>
        </w:rPr>
        <w:t>实</w:t>
      </w:r>
      <w:r>
        <w:rPr>
          <w:rFonts w:hint="eastAsia" w:ascii="宋体" w:hAnsi="宋体"/>
          <w:sz w:val="28"/>
          <w:szCs w:val="28"/>
        </w:rPr>
        <w:t>、</w:t>
      </w:r>
      <w:r>
        <w:rPr>
          <w:rFonts w:ascii="宋体" w:hAnsi="宋体"/>
          <w:sz w:val="28"/>
          <w:szCs w:val="28"/>
        </w:rPr>
        <w:t>评</w:t>
      </w:r>
      <w:r>
        <w:rPr>
          <w:rFonts w:hint="eastAsia" w:ascii="宋体" w:hAnsi="宋体"/>
          <w:sz w:val="28"/>
          <w:szCs w:val="28"/>
        </w:rPr>
        <w:t>估估算，并形成了</w:t>
      </w:r>
      <w:r>
        <w:rPr>
          <w:rFonts w:ascii="宋体" w:hAnsi="宋体"/>
          <w:sz w:val="28"/>
          <w:szCs w:val="28"/>
        </w:rPr>
        <w:t>资产评</w:t>
      </w:r>
      <w:r>
        <w:rPr>
          <w:rFonts w:hint="eastAsia" w:ascii="宋体" w:hAnsi="宋体"/>
          <w:sz w:val="28"/>
          <w:szCs w:val="28"/>
        </w:rPr>
        <w:t>估</w:t>
      </w:r>
      <w:r>
        <w:rPr>
          <w:rFonts w:ascii="宋体" w:hAnsi="宋体"/>
          <w:sz w:val="28"/>
          <w:szCs w:val="28"/>
        </w:rPr>
        <w:t>报</w:t>
      </w:r>
      <w:r>
        <w:rPr>
          <w:rFonts w:hint="eastAsia" w:ascii="宋体" w:hAnsi="宋体"/>
          <w:sz w:val="28"/>
          <w:szCs w:val="28"/>
        </w:rPr>
        <w:t>告，在假</w:t>
      </w:r>
      <w:r>
        <w:rPr>
          <w:rFonts w:ascii="宋体" w:hAnsi="宋体"/>
          <w:sz w:val="28"/>
          <w:szCs w:val="28"/>
        </w:rPr>
        <w:t>设条</w:t>
      </w:r>
      <w:r>
        <w:rPr>
          <w:rFonts w:hint="eastAsia" w:ascii="宋体" w:hAnsi="宋体"/>
          <w:sz w:val="28"/>
          <w:szCs w:val="28"/>
        </w:rPr>
        <w:t>件成立的情</w:t>
      </w:r>
      <w:r>
        <w:rPr>
          <w:rFonts w:ascii="宋体" w:hAnsi="宋体"/>
          <w:sz w:val="28"/>
          <w:szCs w:val="28"/>
        </w:rPr>
        <w:t>况</w:t>
      </w:r>
      <w:r>
        <w:rPr>
          <w:rFonts w:hint="eastAsia" w:ascii="宋体" w:hAnsi="宋体"/>
          <w:sz w:val="28"/>
          <w:szCs w:val="28"/>
        </w:rPr>
        <w:t>下，</w:t>
      </w:r>
      <w:r>
        <w:rPr>
          <w:rFonts w:ascii="宋体" w:hAnsi="宋体"/>
          <w:sz w:val="28"/>
          <w:szCs w:val="28"/>
        </w:rPr>
        <w:t>我们对资产评估结</w:t>
      </w:r>
      <w:r>
        <w:rPr>
          <w:rFonts w:hint="eastAsia" w:ascii="宋体" w:hAnsi="宋体"/>
          <w:sz w:val="28"/>
          <w:szCs w:val="28"/>
        </w:rPr>
        <w:t>果承</w:t>
      </w:r>
      <w:r>
        <w:rPr>
          <w:rFonts w:ascii="宋体" w:hAnsi="宋体"/>
          <w:sz w:val="28"/>
          <w:szCs w:val="28"/>
        </w:rPr>
        <w:t>诺</w:t>
      </w:r>
      <w:r>
        <w:rPr>
          <w:rFonts w:hint="eastAsia" w:ascii="宋体" w:hAnsi="宋体"/>
          <w:sz w:val="28"/>
          <w:szCs w:val="28"/>
        </w:rPr>
        <w:t>如下，并承</w:t>
      </w:r>
      <w:r>
        <w:rPr>
          <w:rFonts w:ascii="宋体" w:hAnsi="宋体"/>
          <w:sz w:val="28"/>
          <w:szCs w:val="28"/>
        </w:rPr>
        <w:t>担</w:t>
      </w:r>
      <w:r>
        <w:rPr>
          <w:rFonts w:hint="eastAsia" w:ascii="宋体" w:hAnsi="宋体"/>
          <w:sz w:val="28"/>
          <w:szCs w:val="28"/>
        </w:rPr>
        <w:t>相</w:t>
      </w:r>
      <w:r>
        <w:rPr>
          <w:rFonts w:ascii="宋体" w:hAnsi="宋体"/>
          <w:sz w:val="28"/>
          <w:szCs w:val="28"/>
        </w:rPr>
        <w:t>应</w:t>
      </w:r>
      <w:r>
        <w:rPr>
          <w:rFonts w:hint="eastAsia" w:ascii="宋体" w:hAnsi="宋体"/>
          <w:sz w:val="28"/>
          <w:szCs w:val="28"/>
        </w:rPr>
        <w:t>的法律</w:t>
      </w:r>
      <w:r>
        <w:rPr>
          <w:rFonts w:ascii="宋体" w:hAnsi="宋体"/>
          <w:sz w:val="28"/>
          <w:szCs w:val="28"/>
        </w:rPr>
        <w:t>责</w:t>
      </w:r>
      <w:r>
        <w:rPr>
          <w:rFonts w:hint="eastAsia" w:ascii="宋体" w:hAnsi="宋体"/>
          <w:sz w:val="28"/>
          <w:szCs w:val="28"/>
        </w:rPr>
        <w:t>任：</w:t>
      </w:r>
    </w:p>
    <w:p>
      <w:pPr>
        <w:spacing w:line="560" w:lineRule="exact"/>
        <w:rPr>
          <w:rFonts w:ascii="宋体" w:hAnsi="宋体"/>
          <w:sz w:val="28"/>
        </w:rPr>
      </w:pPr>
      <w:r>
        <w:rPr>
          <w:rFonts w:ascii="宋体" w:hAnsi="宋体"/>
          <w:sz w:val="28"/>
        </w:rPr>
        <w:t xml:space="preserve">     1</w:t>
      </w:r>
      <w:r>
        <w:rPr>
          <w:rFonts w:hint="eastAsia" w:ascii="宋体" w:hAnsi="宋体"/>
          <w:sz w:val="28"/>
        </w:rPr>
        <w:t>、</w:t>
      </w:r>
      <w:r>
        <w:rPr>
          <w:rFonts w:ascii="宋体" w:hAnsi="宋体"/>
          <w:sz w:val="28"/>
        </w:rPr>
        <w:t>资产评</w:t>
      </w:r>
      <w:r>
        <w:rPr>
          <w:rFonts w:hint="eastAsia" w:ascii="宋体" w:hAnsi="宋体"/>
          <w:sz w:val="28"/>
        </w:rPr>
        <w:t>估范</w:t>
      </w:r>
      <w:r>
        <w:rPr>
          <w:rFonts w:ascii="宋体" w:hAnsi="宋体"/>
          <w:sz w:val="28"/>
        </w:rPr>
        <w:t>围</w:t>
      </w:r>
      <w:r>
        <w:rPr>
          <w:rFonts w:hint="eastAsia" w:ascii="宋体" w:hAnsi="宋体"/>
          <w:sz w:val="28"/>
        </w:rPr>
        <w:t>与</w:t>
      </w:r>
      <w:r>
        <w:rPr>
          <w:rFonts w:ascii="宋体" w:hAnsi="宋体"/>
          <w:sz w:val="28"/>
        </w:rPr>
        <w:t>经济</w:t>
      </w:r>
      <w:r>
        <w:rPr>
          <w:rFonts w:hint="eastAsia" w:ascii="宋体" w:hAnsi="宋体"/>
          <w:sz w:val="28"/>
        </w:rPr>
        <w:t>行</w:t>
      </w:r>
      <w:r>
        <w:rPr>
          <w:rFonts w:ascii="宋体" w:hAnsi="宋体"/>
          <w:sz w:val="28"/>
        </w:rPr>
        <w:t>为</w:t>
      </w:r>
      <w:r>
        <w:rPr>
          <w:rFonts w:hint="eastAsia" w:ascii="宋体" w:hAnsi="宋体"/>
          <w:sz w:val="28"/>
        </w:rPr>
        <w:t>所涉及的</w:t>
      </w:r>
      <w:r>
        <w:rPr>
          <w:rFonts w:ascii="宋体" w:hAnsi="宋体"/>
          <w:sz w:val="28"/>
        </w:rPr>
        <w:t>资产</w:t>
      </w:r>
      <w:r>
        <w:rPr>
          <w:rFonts w:hint="eastAsia" w:ascii="宋体" w:hAnsi="宋体"/>
          <w:sz w:val="28"/>
        </w:rPr>
        <w:t>范</w:t>
      </w:r>
      <w:r>
        <w:rPr>
          <w:rFonts w:ascii="宋体" w:hAnsi="宋体"/>
          <w:sz w:val="28"/>
        </w:rPr>
        <w:t>围</w:t>
      </w:r>
      <w:r>
        <w:rPr>
          <w:rFonts w:hint="eastAsia" w:ascii="宋体" w:hAnsi="宋体"/>
          <w:sz w:val="28"/>
        </w:rPr>
        <w:t>一致，未重未漏；</w:t>
      </w:r>
    </w:p>
    <w:p>
      <w:pPr>
        <w:spacing w:line="560" w:lineRule="exact"/>
        <w:rPr>
          <w:rFonts w:ascii="宋体" w:hAnsi="宋体"/>
          <w:sz w:val="28"/>
        </w:rPr>
      </w:pPr>
      <w:r>
        <w:rPr>
          <w:rFonts w:ascii="宋体" w:hAnsi="宋体"/>
          <w:sz w:val="28"/>
        </w:rPr>
        <w:t xml:space="preserve">     2</w:t>
      </w:r>
      <w:r>
        <w:rPr>
          <w:rFonts w:hint="eastAsia" w:ascii="宋体" w:hAnsi="宋体"/>
          <w:sz w:val="28"/>
        </w:rPr>
        <w:t>、</w:t>
      </w:r>
      <w:r>
        <w:rPr>
          <w:rFonts w:ascii="宋体" w:hAnsi="宋体"/>
          <w:sz w:val="28"/>
        </w:rPr>
        <w:t>对</w:t>
      </w:r>
      <w:r>
        <w:rPr>
          <w:rFonts w:hint="eastAsia" w:ascii="宋体" w:hAnsi="宋体"/>
          <w:sz w:val="28"/>
        </w:rPr>
        <w:t>涉及</w:t>
      </w:r>
      <w:r>
        <w:rPr>
          <w:rFonts w:ascii="宋体" w:hAnsi="宋体"/>
          <w:sz w:val="28"/>
        </w:rPr>
        <w:t>评</w:t>
      </w:r>
      <w:r>
        <w:rPr>
          <w:rFonts w:hint="eastAsia" w:ascii="宋体" w:hAnsi="宋体"/>
          <w:sz w:val="28"/>
        </w:rPr>
        <w:t>估的</w:t>
      </w:r>
      <w:r>
        <w:rPr>
          <w:rFonts w:ascii="宋体" w:hAnsi="宋体"/>
          <w:sz w:val="28"/>
        </w:rPr>
        <w:t>资产进</w:t>
      </w:r>
      <w:r>
        <w:rPr>
          <w:rFonts w:hint="eastAsia" w:ascii="宋体" w:hAnsi="宋体"/>
          <w:sz w:val="28"/>
        </w:rPr>
        <w:t>行了合理的抽查、核</w:t>
      </w:r>
      <w:r>
        <w:rPr>
          <w:rFonts w:ascii="宋体" w:hAnsi="宋体"/>
          <w:sz w:val="28"/>
        </w:rPr>
        <w:t>实</w:t>
      </w:r>
      <w:r>
        <w:rPr>
          <w:rFonts w:hint="eastAsia" w:ascii="宋体" w:hAnsi="宋体"/>
          <w:sz w:val="28"/>
        </w:rPr>
        <w:t>；</w:t>
      </w:r>
    </w:p>
    <w:p>
      <w:pPr>
        <w:spacing w:line="560" w:lineRule="exact"/>
        <w:rPr>
          <w:rFonts w:ascii="宋体" w:hAnsi="宋体"/>
          <w:sz w:val="28"/>
        </w:rPr>
      </w:pPr>
      <w:r>
        <w:rPr>
          <w:rFonts w:ascii="宋体" w:hAnsi="宋体"/>
          <w:sz w:val="28"/>
        </w:rPr>
        <w:t xml:space="preserve">     3</w:t>
      </w:r>
      <w:r>
        <w:rPr>
          <w:rFonts w:hint="eastAsia" w:ascii="宋体" w:hAnsi="宋体"/>
          <w:sz w:val="28"/>
        </w:rPr>
        <w:t>、</w:t>
      </w:r>
      <w:r>
        <w:rPr>
          <w:rFonts w:ascii="宋体" w:hAnsi="宋体"/>
          <w:sz w:val="28"/>
        </w:rPr>
        <w:t>评</w:t>
      </w:r>
      <w:r>
        <w:rPr>
          <w:rFonts w:hint="eastAsia" w:ascii="宋体" w:hAnsi="宋体"/>
          <w:sz w:val="28"/>
        </w:rPr>
        <w:t>估方法</w:t>
      </w:r>
      <w:r>
        <w:rPr>
          <w:rFonts w:ascii="宋体" w:hAnsi="宋体"/>
          <w:sz w:val="28"/>
        </w:rPr>
        <w:t>选用恰当</w:t>
      </w:r>
      <w:r>
        <w:rPr>
          <w:rFonts w:hint="eastAsia" w:ascii="宋体" w:hAnsi="宋体"/>
          <w:sz w:val="28"/>
        </w:rPr>
        <w:t>，</w:t>
      </w:r>
      <w:r>
        <w:rPr>
          <w:rFonts w:ascii="宋体" w:hAnsi="宋体"/>
          <w:sz w:val="28"/>
        </w:rPr>
        <w:t>选用</w:t>
      </w:r>
      <w:r>
        <w:rPr>
          <w:rFonts w:hint="eastAsia" w:ascii="宋体" w:hAnsi="宋体"/>
          <w:sz w:val="28"/>
        </w:rPr>
        <w:t>的</w:t>
      </w:r>
      <w:r>
        <w:rPr>
          <w:rFonts w:ascii="宋体" w:hAnsi="宋体"/>
          <w:sz w:val="28"/>
        </w:rPr>
        <w:t>参照数</w:t>
      </w:r>
      <w:r>
        <w:rPr>
          <w:rFonts w:hint="eastAsia" w:ascii="宋体" w:hAnsi="宋体"/>
          <w:sz w:val="28"/>
        </w:rPr>
        <w:t>据、</w:t>
      </w:r>
      <w:r>
        <w:rPr>
          <w:rFonts w:ascii="宋体" w:hAnsi="宋体"/>
          <w:sz w:val="28"/>
        </w:rPr>
        <w:t>数</w:t>
      </w:r>
      <w:r>
        <w:rPr>
          <w:rFonts w:hint="eastAsia" w:ascii="宋体" w:hAnsi="宋体"/>
          <w:sz w:val="28"/>
        </w:rPr>
        <w:t>据可靠；</w:t>
      </w:r>
    </w:p>
    <w:p>
      <w:pPr>
        <w:spacing w:line="560" w:lineRule="exact"/>
        <w:rPr>
          <w:rFonts w:ascii="宋体" w:hAnsi="宋体"/>
          <w:sz w:val="28"/>
        </w:rPr>
      </w:pPr>
      <w:r>
        <w:rPr>
          <w:rFonts w:ascii="宋体" w:hAnsi="宋体"/>
          <w:sz w:val="28"/>
        </w:rPr>
        <w:t xml:space="preserve">     4</w:t>
      </w:r>
      <w:r>
        <w:rPr>
          <w:rFonts w:hint="eastAsia" w:ascii="宋体" w:hAnsi="宋体"/>
          <w:sz w:val="28"/>
        </w:rPr>
        <w:t>、影</w:t>
      </w:r>
      <w:r>
        <w:rPr>
          <w:rFonts w:ascii="宋体" w:hAnsi="宋体"/>
          <w:sz w:val="28"/>
        </w:rPr>
        <w:t>响资产评</w:t>
      </w:r>
      <w:r>
        <w:rPr>
          <w:rFonts w:hint="eastAsia" w:ascii="宋体" w:hAnsi="宋体"/>
          <w:sz w:val="28"/>
        </w:rPr>
        <w:t>估价值的因素考</w:t>
      </w:r>
      <w:r>
        <w:rPr>
          <w:rFonts w:ascii="宋体" w:hAnsi="宋体"/>
          <w:sz w:val="28"/>
        </w:rPr>
        <w:t>虑</w:t>
      </w:r>
      <w:r>
        <w:rPr>
          <w:rFonts w:hint="eastAsia" w:ascii="宋体" w:hAnsi="宋体"/>
          <w:sz w:val="28"/>
        </w:rPr>
        <w:t>周全；</w:t>
      </w:r>
    </w:p>
    <w:p>
      <w:pPr>
        <w:spacing w:line="560" w:lineRule="exact"/>
        <w:rPr>
          <w:rFonts w:ascii="宋体" w:hAnsi="宋体"/>
          <w:sz w:val="28"/>
        </w:rPr>
      </w:pPr>
      <w:r>
        <w:rPr>
          <w:rFonts w:ascii="宋体" w:hAnsi="宋体"/>
          <w:sz w:val="28"/>
        </w:rPr>
        <w:t xml:space="preserve">     5</w:t>
      </w:r>
      <w:r>
        <w:rPr>
          <w:rFonts w:hint="eastAsia" w:ascii="宋体" w:hAnsi="宋体"/>
          <w:sz w:val="28"/>
        </w:rPr>
        <w:t>、</w:t>
      </w:r>
      <w:r>
        <w:rPr>
          <w:rFonts w:ascii="宋体" w:hAnsi="宋体"/>
          <w:sz w:val="28"/>
        </w:rPr>
        <w:t>资产评估结</w:t>
      </w:r>
      <w:r>
        <w:rPr>
          <w:rFonts w:hint="eastAsia" w:ascii="宋体" w:hAnsi="宋体"/>
          <w:sz w:val="28"/>
        </w:rPr>
        <w:t>果客</w:t>
      </w:r>
      <w:r>
        <w:rPr>
          <w:rFonts w:ascii="宋体" w:hAnsi="宋体"/>
          <w:sz w:val="28"/>
        </w:rPr>
        <w:t>观</w:t>
      </w:r>
      <w:r>
        <w:rPr>
          <w:rFonts w:hint="eastAsia" w:ascii="宋体" w:hAnsi="宋体"/>
          <w:sz w:val="28"/>
        </w:rPr>
        <w:t>、公允；</w:t>
      </w:r>
    </w:p>
    <w:p>
      <w:pPr>
        <w:spacing w:line="560" w:lineRule="exact"/>
        <w:rPr>
          <w:rFonts w:ascii="宋体" w:hAnsi="宋体"/>
          <w:sz w:val="28"/>
        </w:rPr>
      </w:pPr>
      <w:r>
        <w:rPr>
          <w:rFonts w:ascii="宋体" w:hAnsi="宋体"/>
          <w:sz w:val="28"/>
        </w:rPr>
        <w:t xml:space="preserve">     6</w:t>
      </w:r>
      <w:r>
        <w:rPr>
          <w:rFonts w:hint="eastAsia" w:ascii="宋体" w:hAnsi="宋体"/>
          <w:sz w:val="28"/>
        </w:rPr>
        <w:t>、</w:t>
      </w:r>
      <w:r>
        <w:rPr>
          <w:rFonts w:ascii="宋体" w:hAnsi="宋体"/>
          <w:sz w:val="28"/>
        </w:rPr>
        <w:t>评</w:t>
      </w:r>
      <w:r>
        <w:rPr>
          <w:rFonts w:hint="eastAsia" w:ascii="宋体" w:hAnsi="宋体"/>
          <w:sz w:val="28"/>
        </w:rPr>
        <w:t>估工作未受任何</w:t>
      </w:r>
      <w:r>
        <w:rPr>
          <w:rFonts w:ascii="宋体" w:hAnsi="宋体"/>
          <w:sz w:val="28"/>
        </w:rPr>
        <w:t>人为干预</w:t>
      </w:r>
      <w:r>
        <w:rPr>
          <w:rFonts w:hint="eastAsia" w:ascii="宋体" w:hAnsi="宋体"/>
          <w:sz w:val="28"/>
        </w:rPr>
        <w:t>并</w:t>
      </w:r>
      <w:r>
        <w:rPr>
          <w:rFonts w:ascii="宋体" w:hAnsi="宋体"/>
          <w:sz w:val="28"/>
        </w:rPr>
        <w:t>独</w:t>
      </w:r>
      <w:r>
        <w:rPr>
          <w:rFonts w:hint="eastAsia" w:ascii="宋体" w:hAnsi="宋体"/>
          <w:sz w:val="28"/>
        </w:rPr>
        <w:t>立</w:t>
      </w:r>
      <w:r>
        <w:rPr>
          <w:rFonts w:ascii="宋体" w:hAnsi="宋体"/>
          <w:sz w:val="28"/>
        </w:rPr>
        <w:t>进</w:t>
      </w:r>
      <w:r>
        <w:rPr>
          <w:rFonts w:hint="eastAsia" w:ascii="宋体" w:hAnsi="宋体"/>
          <w:sz w:val="28"/>
        </w:rPr>
        <w:t>行。</w:t>
      </w:r>
    </w:p>
    <w:p>
      <w:pPr>
        <w:rPr>
          <w:rFonts w:ascii="宋体" w:hAnsi="宋体"/>
          <w:sz w:val="28"/>
        </w:rPr>
      </w:pPr>
    </w:p>
    <w:p>
      <w:pPr>
        <w:rPr>
          <w:rFonts w:ascii="宋体" w:hAnsi="宋体"/>
          <w:sz w:val="28"/>
        </w:rPr>
      </w:pPr>
    </w:p>
    <w:p>
      <w:pPr>
        <w:rPr>
          <w:rFonts w:ascii="宋体" w:hAnsi="宋体"/>
          <w:sz w:val="28"/>
        </w:rPr>
      </w:pPr>
      <w:r>
        <w:rPr>
          <w:rFonts w:hint="eastAsia" w:ascii="宋体" w:hAnsi="宋体"/>
          <w:sz w:val="28"/>
        </w:rPr>
        <w:t>杭州金孚资产评估有限公司</w:t>
      </w:r>
      <w:r>
        <w:rPr>
          <w:rFonts w:ascii="宋体" w:hAnsi="宋体"/>
          <w:sz w:val="28"/>
        </w:rPr>
        <w:t xml:space="preserve">             资产评</w:t>
      </w:r>
      <w:r>
        <w:rPr>
          <w:rFonts w:hint="eastAsia" w:ascii="宋体" w:hAnsi="宋体"/>
          <w:sz w:val="28"/>
        </w:rPr>
        <w:t>估</w:t>
      </w:r>
      <w:r>
        <w:rPr>
          <w:rFonts w:ascii="宋体" w:hAnsi="宋体"/>
          <w:sz w:val="28"/>
        </w:rPr>
        <w:t>师</w:t>
      </w:r>
      <w:r>
        <w:rPr>
          <w:rFonts w:hint="eastAsia" w:ascii="宋体" w:hAnsi="宋体"/>
          <w:sz w:val="28"/>
        </w:rPr>
        <w:t>：毛时法</w:t>
      </w:r>
    </w:p>
    <w:p>
      <w:pPr>
        <w:rPr>
          <w:rFonts w:ascii="宋体" w:hAnsi="宋体"/>
          <w:sz w:val="28"/>
        </w:rPr>
      </w:pPr>
    </w:p>
    <w:p>
      <w:pPr>
        <w:rPr>
          <w:rFonts w:ascii="宋体" w:hAnsi="宋体"/>
          <w:sz w:val="28"/>
        </w:rPr>
      </w:pPr>
    </w:p>
    <w:p>
      <w:pPr>
        <w:rPr>
          <w:rFonts w:hint="eastAsia" w:ascii="宋体" w:hAnsi="宋体" w:eastAsia="宋体"/>
          <w:sz w:val="28"/>
          <w:lang w:eastAsia="zh-CN"/>
        </w:rPr>
      </w:pPr>
      <w:r>
        <w:rPr>
          <w:rFonts w:hint="eastAsia" w:ascii="宋体" w:hAnsi="宋体"/>
          <w:sz w:val="28"/>
        </w:rPr>
        <w:t>中</w:t>
      </w:r>
      <w:r>
        <w:rPr>
          <w:rFonts w:ascii="宋体" w:hAnsi="宋体"/>
          <w:sz w:val="28"/>
        </w:rPr>
        <w:t>国</w:t>
      </w:r>
      <w:r>
        <w:rPr>
          <w:rFonts w:hint="eastAsia" w:ascii="宋体" w:hAnsi="宋体"/>
          <w:sz w:val="28"/>
        </w:rPr>
        <w:t>·杭州</w:t>
      </w:r>
      <w:r>
        <w:rPr>
          <w:rFonts w:ascii="宋体" w:hAnsi="宋体"/>
          <w:sz w:val="28"/>
        </w:rPr>
        <w:t xml:space="preserve">                           资产评</w:t>
      </w:r>
      <w:r>
        <w:rPr>
          <w:rFonts w:hint="eastAsia" w:ascii="宋体" w:hAnsi="宋体"/>
          <w:sz w:val="28"/>
        </w:rPr>
        <w:t>估</w:t>
      </w:r>
      <w:r>
        <w:rPr>
          <w:rFonts w:ascii="宋体" w:hAnsi="宋体"/>
          <w:sz w:val="28"/>
        </w:rPr>
        <w:t>师</w:t>
      </w:r>
      <w:r>
        <w:rPr>
          <w:rFonts w:hint="eastAsia" w:ascii="宋体" w:hAnsi="宋体"/>
          <w:sz w:val="28"/>
        </w:rPr>
        <w:t>：</w:t>
      </w:r>
      <w:r>
        <w:rPr>
          <w:rFonts w:hint="eastAsia" w:ascii="宋体" w:hAnsi="宋体"/>
          <w:sz w:val="28"/>
          <w:lang w:eastAsia="zh-CN"/>
        </w:rPr>
        <w:t>林根兰</w:t>
      </w:r>
    </w:p>
    <w:p>
      <w:pPr>
        <w:rPr>
          <w:rFonts w:ascii="宋体" w:hAnsi="宋体"/>
          <w:sz w:val="28"/>
        </w:rPr>
      </w:pPr>
    </w:p>
    <w:p>
      <w:pPr>
        <w:rPr>
          <w:rFonts w:ascii="宋体" w:hAnsi="宋体"/>
          <w:sz w:val="28"/>
        </w:rPr>
      </w:pPr>
    </w:p>
    <w:p>
      <w:pPr>
        <w:rPr>
          <w:rFonts w:ascii="宋体" w:hAnsi="宋体"/>
          <w:color w:val="FF0000"/>
          <w:sz w:val="28"/>
        </w:rPr>
      </w:pPr>
      <w:r>
        <w:rPr>
          <w:rFonts w:hint="eastAsia" w:ascii="宋体" w:hAnsi="宋体"/>
          <w:sz w:val="28"/>
        </w:rPr>
        <w:t xml:space="preserve">                                     日期：20</w:t>
      </w:r>
      <w:r>
        <w:rPr>
          <w:rFonts w:hint="eastAsia" w:ascii="宋体" w:hAnsi="宋体"/>
          <w:sz w:val="28"/>
          <w:lang w:val="en-US" w:eastAsia="zh-CN"/>
        </w:rPr>
        <w:t>22</w:t>
      </w:r>
      <w:r>
        <w:rPr>
          <w:rFonts w:hint="eastAsia" w:ascii="宋体" w:hAnsi="宋体"/>
          <w:sz w:val="28"/>
        </w:rPr>
        <w:t>年</w:t>
      </w:r>
      <w:r>
        <w:rPr>
          <w:rFonts w:hint="eastAsia" w:ascii="宋体" w:hAnsi="宋体"/>
          <w:sz w:val="28"/>
          <w:lang w:val="en-US" w:eastAsia="zh-CN"/>
        </w:rPr>
        <w:t>7</w:t>
      </w:r>
      <w:r>
        <w:rPr>
          <w:rFonts w:hint="eastAsia" w:ascii="宋体" w:hAnsi="宋体"/>
          <w:sz w:val="28"/>
        </w:rPr>
        <w:t>月</w:t>
      </w:r>
      <w:r>
        <w:rPr>
          <w:rFonts w:hint="eastAsia" w:ascii="宋体" w:hAnsi="宋体"/>
          <w:sz w:val="28"/>
          <w:lang w:val="en-US" w:eastAsia="zh-CN"/>
        </w:rPr>
        <w:t>5</w:t>
      </w:r>
      <w:r>
        <w:rPr>
          <w:rFonts w:hint="eastAsia" w:ascii="宋体" w:hAnsi="宋体"/>
          <w:sz w:val="28"/>
        </w:rPr>
        <w:t>日</w:t>
      </w:r>
    </w:p>
    <w:p/>
    <w:sectPr>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1"/>
      </w:pBdr>
      <w:ind w:right="210"/>
    </w:pPr>
    <w: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0"/>
      </w:pBdr>
      <w:jc w:val="center"/>
    </w:pPr>
    <w:r>
      <w:rPr>
        <w:rFonts w:hint="eastAsia"/>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r>
      <w:rPr>
        <w:rFonts w:hint="eastAsia"/>
      </w:rPr>
      <w:t xml:space="preserve">                                                        </w:t>
    </w:r>
    <w:r>
      <w:rPr>
        <w:rStyle w:val="14"/>
        <w:rFonts w:hint="eastAsia"/>
        <w:b/>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1"/>
      </w:pBdr>
      <w:ind w:right="210"/>
    </w:pPr>
    <w:r>
      <w:pict>
        <v:shape id="_x0000_s3076" o:spid="_x0000_s307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FFFFFF" w:sz="6" w:space="1"/>
      </w:pBdr>
      <w:jc w:val="left"/>
      <w:rPr>
        <w:rFonts w:ascii="宋体" w:hAnsi="宋体"/>
        <w:b/>
        <w:bCs/>
        <w:sz w:val="16"/>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both"/>
      <w:rPr>
        <w:rFonts w:ascii="隶书" w:eastAsia="隶书"/>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DB12A8"/>
    <w:multiLevelType w:val="multilevel"/>
    <w:tmpl w:val="2FDB12A8"/>
    <w:lvl w:ilvl="0" w:tentative="0">
      <w:start w:val="1"/>
      <w:numFmt w:val="decimal"/>
      <w:lvlText w:val="%1."/>
      <w:lvlJc w:val="left"/>
      <w:pPr>
        <w:tabs>
          <w:tab w:val="left" w:pos="431"/>
        </w:tabs>
        <w:ind w:left="0" w:firstLine="432"/>
      </w:pPr>
      <w:rPr>
        <w:rFonts w:hint="eastAsia" w:eastAsia="楷体_GB231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8AB0846"/>
    <w:multiLevelType w:val="multilevel"/>
    <w:tmpl w:val="48AB0846"/>
    <w:lvl w:ilvl="0" w:tentative="0">
      <w:start w:val="1"/>
      <w:numFmt w:val="decimal"/>
      <w:lvlText w:val="%1."/>
      <w:lvlJc w:val="left"/>
      <w:pPr>
        <w:tabs>
          <w:tab w:val="left" w:pos="359"/>
        </w:tabs>
        <w:ind w:left="-72" w:firstLine="432"/>
      </w:pPr>
      <w:rPr>
        <w:rFonts w:hint="eastAsia" w:eastAsia="楷体_GB2312"/>
      </w:rPr>
    </w:lvl>
    <w:lvl w:ilvl="1" w:tentative="0">
      <w:start w:val="2"/>
      <w:numFmt w:val="decimal"/>
      <w:lvlText w:val="%2．"/>
      <w:lvlJc w:val="left"/>
      <w:pPr>
        <w:tabs>
          <w:tab w:val="left" w:pos="780"/>
        </w:tabs>
        <w:ind w:left="780" w:hanging="360"/>
      </w:pPr>
      <w:rPr>
        <w:rFonts w:hint="default"/>
        <w:color w:val="00000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D1C2256"/>
    <w:multiLevelType w:val="singleLevel"/>
    <w:tmpl w:val="5D1C2256"/>
    <w:lvl w:ilvl="0" w:tentative="0">
      <w:start w:val="2"/>
      <w:numFmt w:val="chineseCounting"/>
      <w:suff w:val="nothing"/>
      <w:lvlText w:val="（%1）"/>
      <w:lvlJc w:val="left"/>
    </w:lvl>
  </w:abstractNum>
  <w:abstractNum w:abstractNumId="3">
    <w:nsid w:val="5D1C3D8F"/>
    <w:multiLevelType w:val="singleLevel"/>
    <w:tmpl w:val="5D1C3D8F"/>
    <w:lvl w:ilvl="0" w:tentative="0">
      <w:start w:val="13"/>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g3NTEzMmE0MDE1OTk4MjM0YjM3ZmMzNmY1YWYyN2IifQ=="/>
  </w:docVars>
  <w:rsids>
    <w:rsidRoot w:val="00172A27"/>
    <w:rsid w:val="0001131A"/>
    <w:rsid w:val="00024B01"/>
    <w:rsid w:val="0005483B"/>
    <w:rsid w:val="0006441B"/>
    <w:rsid w:val="00080368"/>
    <w:rsid w:val="000816FA"/>
    <w:rsid w:val="00094248"/>
    <w:rsid w:val="000D47BC"/>
    <w:rsid w:val="000F5320"/>
    <w:rsid w:val="00172A27"/>
    <w:rsid w:val="001A743D"/>
    <w:rsid w:val="001D3467"/>
    <w:rsid w:val="002417B2"/>
    <w:rsid w:val="00241AA4"/>
    <w:rsid w:val="00242EEA"/>
    <w:rsid w:val="00271974"/>
    <w:rsid w:val="002A73CC"/>
    <w:rsid w:val="00306362"/>
    <w:rsid w:val="00326EEF"/>
    <w:rsid w:val="00350648"/>
    <w:rsid w:val="003E295C"/>
    <w:rsid w:val="00426B7C"/>
    <w:rsid w:val="00473F13"/>
    <w:rsid w:val="004C1943"/>
    <w:rsid w:val="005C7672"/>
    <w:rsid w:val="005D7ABB"/>
    <w:rsid w:val="0061588F"/>
    <w:rsid w:val="0065188F"/>
    <w:rsid w:val="0065454C"/>
    <w:rsid w:val="006F78E4"/>
    <w:rsid w:val="00717EBF"/>
    <w:rsid w:val="007519A2"/>
    <w:rsid w:val="00771451"/>
    <w:rsid w:val="007A7656"/>
    <w:rsid w:val="007D576F"/>
    <w:rsid w:val="007E54BA"/>
    <w:rsid w:val="007F019C"/>
    <w:rsid w:val="00876A74"/>
    <w:rsid w:val="008A17DC"/>
    <w:rsid w:val="008F0313"/>
    <w:rsid w:val="0090021B"/>
    <w:rsid w:val="00905D34"/>
    <w:rsid w:val="00927B0D"/>
    <w:rsid w:val="00983246"/>
    <w:rsid w:val="009B2F2F"/>
    <w:rsid w:val="00A261A2"/>
    <w:rsid w:val="00A43D4A"/>
    <w:rsid w:val="00A47600"/>
    <w:rsid w:val="00A8580E"/>
    <w:rsid w:val="00AA422D"/>
    <w:rsid w:val="00AD786A"/>
    <w:rsid w:val="00B3338B"/>
    <w:rsid w:val="00B335CE"/>
    <w:rsid w:val="00B61580"/>
    <w:rsid w:val="00B74EDA"/>
    <w:rsid w:val="00BB1C6C"/>
    <w:rsid w:val="00BB480C"/>
    <w:rsid w:val="00BC390D"/>
    <w:rsid w:val="00D12B1D"/>
    <w:rsid w:val="00D212AA"/>
    <w:rsid w:val="00DD7D32"/>
    <w:rsid w:val="00DE09F7"/>
    <w:rsid w:val="00E016BB"/>
    <w:rsid w:val="00E07ECD"/>
    <w:rsid w:val="00E10E08"/>
    <w:rsid w:val="00E41996"/>
    <w:rsid w:val="00E5337F"/>
    <w:rsid w:val="00E5365D"/>
    <w:rsid w:val="00E7238F"/>
    <w:rsid w:val="00F357A2"/>
    <w:rsid w:val="00F5134D"/>
    <w:rsid w:val="00F961AA"/>
    <w:rsid w:val="00FC35E0"/>
    <w:rsid w:val="02C77EAB"/>
    <w:rsid w:val="09A91A39"/>
    <w:rsid w:val="13C83E71"/>
    <w:rsid w:val="1C0302FC"/>
    <w:rsid w:val="1D9D5C14"/>
    <w:rsid w:val="21816764"/>
    <w:rsid w:val="23B319AE"/>
    <w:rsid w:val="29052108"/>
    <w:rsid w:val="29882422"/>
    <w:rsid w:val="2A34468F"/>
    <w:rsid w:val="30734CB6"/>
    <w:rsid w:val="32E8333F"/>
    <w:rsid w:val="32EC0108"/>
    <w:rsid w:val="34BF1025"/>
    <w:rsid w:val="371B473D"/>
    <w:rsid w:val="376D5752"/>
    <w:rsid w:val="394461FC"/>
    <w:rsid w:val="3B255741"/>
    <w:rsid w:val="3DB638ED"/>
    <w:rsid w:val="45771CB3"/>
    <w:rsid w:val="45E529DF"/>
    <w:rsid w:val="5E877682"/>
    <w:rsid w:val="61025FA1"/>
    <w:rsid w:val="61D54F1C"/>
    <w:rsid w:val="6A811C27"/>
    <w:rsid w:val="6C1A683F"/>
    <w:rsid w:val="793B1DCD"/>
    <w:rsid w:val="7E291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0"/>
    <w:qFormat/>
    <w:uiPriority w:val="0"/>
    <w:pPr>
      <w:spacing w:line="360" w:lineRule="auto"/>
      <w:ind w:firstLine="527"/>
    </w:pPr>
    <w:rPr>
      <w:rFonts w:ascii="宋体" w:hAnsi="宋体"/>
      <w:sz w:val="24"/>
    </w:rPr>
  </w:style>
  <w:style w:type="paragraph" w:styleId="5">
    <w:name w:val="Plain Text"/>
    <w:basedOn w:val="1"/>
    <w:link w:val="21"/>
    <w:qFormat/>
    <w:uiPriority w:val="0"/>
    <w:rPr>
      <w:rFonts w:ascii="宋体" w:hAnsi="Courier New"/>
      <w:szCs w:val="21"/>
    </w:rPr>
  </w:style>
  <w:style w:type="paragraph" w:styleId="6">
    <w:name w:val="Balloon Text"/>
    <w:basedOn w:val="1"/>
    <w:link w:val="24"/>
    <w:semiHidden/>
    <w:unhideWhenUsed/>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8511"/>
      </w:tabs>
      <w:spacing w:line="460" w:lineRule="exact"/>
    </w:pPr>
    <w:rPr>
      <w:rFonts w:eastAsia="黑体"/>
      <w:sz w:val="24"/>
    </w:rPr>
  </w:style>
  <w:style w:type="paragraph" w:styleId="10">
    <w:name w:val="toc 2"/>
    <w:basedOn w:val="1"/>
    <w:next w:val="1"/>
    <w:qFormat/>
    <w:uiPriority w:val="39"/>
    <w:pPr>
      <w:tabs>
        <w:tab w:val="left" w:pos="858"/>
        <w:tab w:val="left" w:pos="1020"/>
        <w:tab w:val="right" w:leader="dot" w:pos="8511"/>
      </w:tabs>
      <w:spacing w:line="460" w:lineRule="exact"/>
      <w:ind w:left="420" w:leftChars="200"/>
    </w:pPr>
    <w:rPr>
      <w:sz w:val="24"/>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4">
    <w:name w:val="page number"/>
    <w:basedOn w:val="13"/>
    <w:qFormat/>
    <w:uiPriority w:val="0"/>
  </w:style>
  <w:style w:type="character" w:styleId="15">
    <w:name w:val="Hyperlink"/>
    <w:qFormat/>
    <w:uiPriority w:val="99"/>
    <w:rPr>
      <w:color w:val="0000FF"/>
      <w:u w:val="single"/>
    </w:rPr>
  </w:style>
  <w:style w:type="character" w:customStyle="1" w:styleId="16">
    <w:name w:val="标题 1 Char"/>
    <w:basedOn w:val="13"/>
    <w:link w:val="2"/>
    <w:qFormat/>
    <w:uiPriority w:val="9"/>
    <w:rPr>
      <w:rFonts w:ascii="Times New Roman" w:hAnsi="Times New Roman" w:eastAsia="宋体" w:cs="Times New Roman"/>
      <w:b/>
      <w:bCs/>
      <w:kern w:val="44"/>
      <w:sz w:val="44"/>
      <w:szCs w:val="44"/>
    </w:rPr>
  </w:style>
  <w:style w:type="character" w:customStyle="1" w:styleId="17">
    <w:name w:val="标题 2 Char"/>
    <w:basedOn w:val="13"/>
    <w:link w:val="3"/>
    <w:qFormat/>
    <w:uiPriority w:val="0"/>
    <w:rPr>
      <w:rFonts w:ascii="Arial" w:hAnsi="Arial" w:eastAsia="黑体" w:cs="Times New Roman"/>
      <w:b/>
      <w:bCs/>
      <w:sz w:val="32"/>
      <w:szCs w:val="32"/>
    </w:rPr>
  </w:style>
  <w:style w:type="character" w:customStyle="1" w:styleId="18">
    <w:name w:val="页眉 Char"/>
    <w:basedOn w:val="13"/>
    <w:link w:val="8"/>
    <w:qFormat/>
    <w:uiPriority w:val="99"/>
    <w:rPr>
      <w:rFonts w:ascii="Times New Roman" w:hAnsi="Times New Roman" w:eastAsia="宋体" w:cs="Times New Roman"/>
      <w:sz w:val="18"/>
      <w:szCs w:val="18"/>
    </w:rPr>
  </w:style>
  <w:style w:type="character" w:customStyle="1" w:styleId="19">
    <w:name w:val="页脚 Char"/>
    <w:basedOn w:val="13"/>
    <w:semiHidden/>
    <w:qFormat/>
    <w:uiPriority w:val="99"/>
    <w:rPr>
      <w:rFonts w:ascii="Times New Roman" w:hAnsi="Times New Roman" w:eastAsia="宋体" w:cs="Times New Roman"/>
      <w:sz w:val="18"/>
      <w:szCs w:val="18"/>
    </w:rPr>
  </w:style>
  <w:style w:type="character" w:customStyle="1" w:styleId="20">
    <w:name w:val="正文文本缩进 Char"/>
    <w:basedOn w:val="13"/>
    <w:link w:val="4"/>
    <w:qFormat/>
    <w:uiPriority w:val="0"/>
    <w:rPr>
      <w:rFonts w:ascii="宋体" w:hAnsi="宋体" w:eastAsia="宋体" w:cs="Times New Roman"/>
      <w:sz w:val="24"/>
      <w:szCs w:val="24"/>
    </w:rPr>
  </w:style>
  <w:style w:type="character" w:customStyle="1" w:styleId="21">
    <w:name w:val="纯文本 Char"/>
    <w:basedOn w:val="13"/>
    <w:link w:val="5"/>
    <w:qFormat/>
    <w:uiPriority w:val="0"/>
    <w:rPr>
      <w:rFonts w:ascii="宋体" w:hAnsi="Courier New" w:eastAsia="宋体" w:cs="Times New Roman"/>
      <w:szCs w:val="21"/>
    </w:rPr>
  </w:style>
  <w:style w:type="character" w:customStyle="1" w:styleId="22">
    <w:name w:val="页脚 Char1"/>
    <w:link w:val="7"/>
    <w:qFormat/>
    <w:locked/>
    <w:uiPriority w:val="99"/>
    <w:rPr>
      <w:rFonts w:ascii="Times New Roman" w:hAnsi="Times New Roman" w:eastAsia="宋体" w:cs="Times New Roman"/>
      <w:sz w:val="18"/>
      <w:szCs w:val="18"/>
    </w:rPr>
  </w:style>
  <w:style w:type="paragraph" w:customStyle="1" w:styleId="23">
    <w:name w:val="Default"/>
    <w:unhideWhenUsed/>
    <w:qFormat/>
    <w:uiPriority w:val="99"/>
    <w:pPr>
      <w:widowControl w:val="0"/>
      <w:autoSpaceDE w:val="0"/>
      <w:autoSpaceDN w:val="0"/>
      <w:adjustRightInd w:val="0"/>
    </w:pPr>
    <w:rPr>
      <w:rFonts w:hint="eastAsia" w:ascii="仿宋" w:hAnsi="仿宋" w:eastAsia="仿宋" w:cstheme="minorBidi"/>
      <w:color w:val="000000"/>
      <w:sz w:val="24"/>
      <w:lang w:val="en-US" w:eastAsia="zh-CN" w:bidi="ar-SA"/>
    </w:rPr>
  </w:style>
  <w:style w:type="character" w:customStyle="1" w:styleId="24">
    <w:name w:val="批注框文本 Char"/>
    <w:basedOn w:val="13"/>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5"/>
    <customShpInfo spid="_x0000_s3074"/>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49AA39-08A9-47A5-9C71-A900F7E1F303}">
  <ds:schemaRefs/>
</ds:datastoreItem>
</file>

<file path=docProps/app.xml><?xml version="1.0" encoding="utf-8"?>
<Properties xmlns="http://schemas.openxmlformats.org/officeDocument/2006/extended-properties" xmlns:vt="http://schemas.openxmlformats.org/officeDocument/2006/docPropsVTypes">
  <Template>Normal</Template>
  <Company>XYZH CPA</Company>
  <Pages>13</Pages>
  <Words>6106</Words>
  <Characters>6369</Characters>
  <Lines>55</Lines>
  <Paragraphs>15</Paragraphs>
  <TotalTime>62</TotalTime>
  <ScaleCrop>false</ScaleCrop>
  <LinksUpToDate>false</LinksUpToDate>
  <CharactersWithSpaces>6617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2016-07-28T03:28:00Z</dcterms:created>
  <dc:creator>XYZH USER</dc:creator>
  <cp:lastModifiedBy>scy57</cp:lastModifiedBy>
  <cp:lastPrinted>2019-09-16T06:32:00Z</cp:lastPrinted>
  <dcterms:modified xsi:type="dcterms:W3CDTF">2022-07-12T06:18:10Z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D30F7A89EE344B9FABD9A044309C0051</vt:lpwstr>
  </property>
</Properties>
</file>