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56"/>
          <w:szCs w:val="56"/>
        </w:rPr>
      </w:pPr>
      <w:r>
        <w:rPr>
          <w:rFonts w:hint="eastAsia" w:ascii="宋体" w:hAnsi="宋体"/>
          <w:b/>
          <w:bCs/>
          <w:sz w:val="56"/>
          <w:szCs w:val="56"/>
        </w:rPr>
        <w:pict>
          <v:shape id="Text Box 6" o:spid="_x0000_s1025" o:spt="202" type="#_x0000_t202" style="position:absolute;left:0pt;margin-left:341.3pt;margin-top:8.9pt;height:86.25pt;width:85.6pt;z-index:-251657216;mso-width-relative:page;mso-height-relative:page;" stroked="f" coordsize="21600,21600">
            <v:path/>
            <v:fill focussize="0,0"/>
            <v:stroke on="f"/>
            <v:imagedata o:title=""/>
            <o:lock v:ext="edit"/>
            <v:textbox>
              <w:txbxContent>
                <w:p>
                  <w:bookmarkStart w:id="61" w:name="PO_二维码"/>
                  <w:bookmarkEnd w:id="61"/>
                </w:p>
              </w:txbxContent>
            </v:textbox>
          </v:shape>
        </w:pict>
      </w:r>
    </w:p>
    <w:p>
      <w:pPr>
        <w:jc w:val="center"/>
        <w:rPr>
          <w:rFonts w:hint="eastAsia" w:ascii="宋体" w:hAnsi="宋体"/>
          <w:b/>
          <w:bCs/>
          <w:sz w:val="48"/>
          <w:szCs w:val="48"/>
        </w:rPr>
      </w:pPr>
    </w:p>
    <w:p>
      <w:pPr>
        <w:jc w:val="center"/>
        <w:rPr>
          <w:rFonts w:hint="eastAsia" w:ascii="宋体" w:hAnsi="宋体"/>
          <w:b/>
          <w:sz w:val="56"/>
          <w:szCs w:val="52"/>
        </w:rPr>
      </w:pPr>
      <w:r>
        <w:rPr>
          <w:rFonts w:hint="eastAsia" w:ascii="宋体" w:hAnsi="宋体"/>
          <w:b/>
          <w:sz w:val="56"/>
          <w:szCs w:val="52"/>
        </w:rPr>
        <w:t>涉 执 房 地 产 处 置</w:t>
      </w:r>
    </w:p>
    <w:p>
      <w:pPr>
        <w:jc w:val="center"/>
        <w:rPr>
          <w:rFonts w:ascii="宋体" w:hAnsi="宋体"/>
          <w:b/>
          <w:sz w:val="52"/>
          <w:szCs w:val="52"/>
        </w:rPr>
      </w:pPr>
      <w:r>
        <w:rPr>
          <w:rFonts w:hint="eastAsia" w:ascii="宋体" w:hAnsi="宋体"/>
          <w:b/>
          <w:sz w:val="56"/>
          <w:szCs w:val="52"/>
        </w:rPr>
        <w:t>司 法 评 估 报 告</w:t>
      </w:r>
    </w:p>
    <w:p>
      <w:pPr>
        <w:ind w:firstLine="2549"/>
        <w:jc w:val="center"/>
        <w:rPr>
          <w:rFonts w:hint="eastAsia" w:ascii="宋体" w:hAnsi="宋体"/>
          <w:b/>
          <w:sz w:val="28"/>
          <w:szCs w:val="28"/>
        </w:rPr>
      </w:pPr>
    </w:p>
    <w:p>
      <w:pPr>
        <w:ind w:firstLine="2549"/>
        <w:jc w:val="center"/>
        <w:rPr>
          <w:rFonts w:hint="eastAsia" w:ascii="宋体" w:hAnsi="宋体"/>
          <w:b/>
          <w:sz w:val="28"/>
          <w:szCs w:val="28"/>
        </w:rPr>
      </w:pPr>
    </w:p>
    <w:p>
      <w:pPr>
        <w:spacing w:line="288" w:lineRule="auto"/>
        <w:ind w:firstLine="2552"/>
        <w:jc w:val="center"/>
        <w:rPr>
          <w:rFonts w:hint="eastAsia" w:ascii="宋体" w:hAnsi="宋体"/>
          <w:b/>
          <w:sz w:val="28"/>
          <w:szCs w:val="28"/>
        </w:rPr>
      </w:pPr>
    </w:p>
    <w:p>
      <w:pPr>
        <w:spacing w:before="156" w:beforeLines="50" w:after="156" w:afterLines="50" w:line="480" w:lineRule="auto"/>
        <w:rPr>
          <w:rFonts w:hint="eastAsia" w:ascii="宋体" w:hAnsi="宋体" w:eastAsia="宋体"/>
          <w:color w:val="FF0000"/>
          <w:sz w:val="30"/>
          <w:szCs w:val="30"/>
          <w:lang w:eastAsia="zh-CN"/>
        </w:rPr>
      </w:pPr>
      <w:r>
        <w:rPr>
          <w:rFonts w:hint="eastAsia" w:ascii="宋体" w:hAnsi="宋体"/>
          <w:sz w:val="30"/>
          <w:szCs w:val="30"/>
        </w:rPr>
        <w:t>估价报告编号：</w:t>
      </w:r>
      <w:r>
        <w:rPr>
          <w:rFonts w:hint="eastAsia" w:ascii="宋体" w:hAnsi="宋体"/>
          <w:color w:val="000000"/>
          <w:sz w:val="30"/>
          <w:szCs w:val="30"/>
          <w:lang w:eastAsia="zh-CN"/>
        </w:rPr>
        <w:t>方圆房（估）字[2022]第HY00007号</w:t>
      </w:r>
    </w:p>
    <w:p>
      <w:pPr>
        <w:spacing w:before="156" w:beforeLines="50" w:after="156" w:afterLines="50" w:line="480" w:lineRule="auto"/>
        <w:ind w:left="1950" w:hanging="1950" w:hangingChars="650"/>
        <w:rPr>
          <w:rFonts w:hint="eastAsia" w:ascii="宋体" w:hAnsi="宋体"/>
          <w:sz w:val="30"/>
          <w:szCs w:val="30"/>
        </w:rPr>
      </w:pPr>
      <w:r>
        <w:rPr>
          <w:rFonts w:hint="eastAsia" w:ascii="宋体" w:hAnsi="宋体"/>
          <w:sz w:val="30"/>
          <w:szCs w:val="30"/>
        </w:rPr>
        <w:t>估价项目名称：位于</w:t>
      </w:r>
      <w:r>
        <w:rPr>
          <w:rFonts w:hint="eastAsia" w:ascii="宋体" w:hAnsi="宋体"/>
          <w:sz w:val="30"/>
          <w:szCs w:val="30"/>
          <w:lang w:eastAsia="zh-CN"/>
        </w:rPr>
        <w:t>连平县元善镇乌石坳浪子下地段</w:t>
      </w:r>
      <w:r>
        <w:rPr>
          <w:rFonts w:hint="eastAsia" w:ascii="宋体" w:hAnsi="宋体"/>
          <w:sz w:val="30"/>
          <w:szCs w:val="30"/>
        </w:rPr>
        <w:t>一宗房地产市场价值评估</w:t>
      </w:r>
    </w:p>
    <w:p>
      <w:pPr>
        <w:spacing w:before="156" w:beforeLines="50" w:after="156" w:afterLines="50" w:line="480" w:lineRule="auto"/>
        <w:rPr>
          <w:rFonts w:hint="eastAsia" w:ascii="宋体" w:hAnsi="宋体" w:eastAsia="宋体"/>
          <w:sz w:val="30"/>
          <w:szCs w:val="30"/>
          <w:lang w:eastAsia="zh-CN"/>
        </w:rPr>
      </w:pPr>
      <w:r>
        <w:rPr>
          <w:rFonts w:hint="eastAsia" w:ascii="宋体" w:hAnsi="宋体"/>
          <w:sz w:val="30"/>
          <w:szCs w:val="30"/>
        </w:rPr>
        <w:t>估 价 委 托 人：</w:t>
      </w:r>
      <w:r>
        <w:rPr>
          <w:rFonts w:hint="eastAsia" w:ascii="宋体" w:hAnsi="宋体"/>
          <w:sz w:val="30"/>
          <w:szCs w:val="30"/>
          <w:lang w:eastAsia="zh-CN"/>
        </w:rPr>
        <w:t>连平县人民法院</w:t>
      </w:r>
    </w:p>
    <w:p>
      <w:pPr>
        <w:spacing w:before="156" w:beforeLines="50" w:after="156" w:afterLines="50" w:line="480" w:lineRule="auto"/>
        <w:rPr>
          <w:rFonts w:ascii="宋体" w:hAnsi="宋体"/>
          <w:bCs/>
          <w:sz w:val="30"/>
          <w:szCs w:val="30"/>
        </w:rPr>
      </w:pPr>
      <w:r>
        <w:rPr>
          <w:rFonts w:hint="eastAsia" w:ascii="宋体" w:hAnsi="宋体"/>
          <w:sz w:val="30"/>
          <w:szCs w:val="30"/>
        </w:rPr>
        <w:t>房地产估价机构：</w:t>
      </w:r>
      <w:r>
        <w:rPr>
          <w:rFonts w:hint="eastAsia" w:ascii="宋体" w:hAnsi="宋体"/>
          <w:bCs/>
          <w:sz w:val="30"/>
          <w:szCs w:val="30"/>
        </w:rPr>
        <w:t>广东方圆土地房地产资产评估咨询有限公司</w:t>
      </w:r>
    </w:p>
    <w:p>
      <w:pPr>
        <w:tabs>
          <w:tab w:val="left" w:pos="3420"/>
        </w:tabs>
        <w:spacing w:before="156" w:beforeLines="50" w:after="156" w:afterLines="50" w:line="480" w:lineRule="auto"/>
        <w:rPr>
          <w:rFonts w:ascii="宋体" w:hAnsi="宋体"/>
          <w:color w:val="000000"/>
          <w:sz w:val="30"/>
          <w:szCs w:val="30"/>
        </w:rPr>
      </w:pPr>
      <w:r>
        <w:rPr>
          <w:rFonts w:hint="eastAsia" w:ascii="宋体" w:hAnsi="宋体"/>
          <w:sz w:val="30"/>
          <w:szCs w:val="30"/>
        </w:rPr>
        <w:t>注册房地产估价师：</w:t>
      </w:r>
      <w:r>
        <w:rPr>
          <w:rFonts w:hint="eastAsia" w:ascii="宋体" w:hAnsi="宋体"/>
          <w:color w:val="000000"/>
          <w:sz w:val="30"/>
          <w:szCs w:val="30"/>
        </w:rPr>
        <w:t>吴春妮</w:t>
      </w:r>
      <w:r>
        <w:rPr>
          <w:rFonts w:hint="eastAsia" w:ascii="宋体" w:hAnsi="宋体"/>
          <w:color w:val="000000"/>
          <w:sz w:val="30"/>
          <w:szCs w:val="30"/>
        </w:rPr>
        <w:tab/>
      </w:r>
      <w:r>
        <w:rPr>
          <w:rFonts w:hint="eastAsia" w:ascii="宋体" w:hAnsi="宋体"/>
          <w:color w:val="000000"/>
          <w:sz w:val="30"/>
          <w:szCs w:val="30"/>
        </w:rPr>
        <w:t>注册号：4620190003</w:t>
      </w:r>
    </w:p>
    <w:p>
      <w:pPr>
        <w:tabs>
          <w:tab w:val="left" w:pos="3420"/>
        </w:tabs>
        <w:spacing w:before="156" w:beforeLines="50" w:after="156" w:afterLines="50" w:line="480" w:lineRule="auto"/>
        <w:ind w:firstLine="2700" w:firstLineChars="900"/>
        <w:rPr>
          <w:rFonts w:hint="eastAsia" w:ascii="宋体" w:hAnsi="宋体"/>
          <w:sz w:val="30"/>
          <w:szCs w:val="30"/>
        </w:rPr>
      </w:pPr>
      <w:r>
        <w:rPr>
          <w:rFonts w:hint="eastAsia" w:ascii="宋体" w:hAnsi="宋体"/>
          <w:color w:val="000000"/>
          <w:sz w:val="30"/>
          <w:szCs w:val="30"/>
        </w:rPr>
        <w:t>李  娟</w:t>
      </w:r>
      <w:r>
        <w:rPr>
          <w:rFonts w:hint="eastAsia" w:ascii="宋体" w:hAnsi="宋体"/>
          <w:color w:val="000000"/>
          <w:sz w:val="30"/>
          <w:szCs w:val="30"/>
        </w:rPr>
        <w:tab/>
      </w:r>
      <w:r>
        <w:rPr>
          <w:rFonts w:hint="eastAsia" w:ascii="宋体" w:hAnsi="宋体"/>
          <w:color w:val="000000"/>
          <w:sz w:val="30"/>
          <w:szCs w:val="30"/>
        </w:rPr>
        <w:t>注册号：4120190090</w:t>
      </w:r>
    </w:p>
    <w:p>
      <w:pPr>
        <w:spacing w:before="156" w:beforeLines="50" w:after="156" w:afterLines="50" w:line="480" w:lineRule="auto"/>
        <w:rPr>
          <w:rFonts w:hint="eastAsia" w:ascii="宋体" w:hAnsi="宋体" w:eastAsia="宋体"/>
          <w:sz w:val="30"/>
          <w:szCs w:val="30"/>
          <w:lang w:eastAsia="zh-CN"/>
        </w:rPr>
      </w:pPr>
      <w:r>
        <w:rPr>
          <w:rFonts w:hint="eastAsia" w:ascii="宋体" w:hAnsi="宋体"/>
          <w:sz w:val="30"/>
          <w:szCs w:val="30"/>
        </w:rPr>
        <w:t>估价报告出具日期：</w:t>
      </w:r>
      <w:r>
        <w:rPr>
          <w:rFonts w:hint="eastAsia" w:ascii="宋体" w:hAnsi="宋体"/>
          <w:color w:val="000000"/>
          <w:sz w:val="30"/>
          <w:szCs w:val="30"/>
          <w:lang w:eastAsia="zh-CN"/>
        </w:rPr>
        <w:t>二〇二二年八月三十日</w:t>
      </w:r>
    </w:p>
    <w:p>
      <w:pPr>
        <w:spacing w:line="360" w:lineRule="auto"/>
        <w:rPr>
          <w:rFonts w:hint="eastAsia" w:ascii="宋体" w:hAnsi="宋体"/>
          <w:b/>
          <w:kern w:val="0"/>
          <w:sz w:val="24"/>
        </w:rPr>
      </w:pPr>
    </w:p>
    <w:p>
      <w:pPr>
        <w:spacing w:line="360" w:lineRule="auto"/>
        <w:rPr>
          <w:rFonts w:hint="eastAsia" w:ascii="宋体" w:hAnsi="宋体"/>
          <w:b/>
          <w:kern w:val="0"/>
          <w:sz w:val="24"/>
        </w:rPr>
      </w:pPr>
    </w:p>
    <w:p>
      <w:pPr>
        <w:spacing w:line="360" w:lineRule="auto"/>
        <w:rPr>
          <w:rFonts w:hint="eastAsia" w:ascii="宋体" w:hAnsi="宋体"/>
          <w:b/>
          <w:kern w:val="0"/>
          <w:sz w:val="24"/>
        </w:rPr>
      </w:pPr>
    </w:p>
    <w:p>
      <w:pPr>
        <w:spacing w:line="360" w:lineRule="auto"/>
        <w:rPr>
          <w:rFonts w:hint="eastAsia" w:ascii="宋体" w:hAnsi="宋体"/>
          <w:spacing w:val="100"/>
          <w:sz w:val="24"/>
        </w:rPr>
      </w:pPr>
      <w:r>
        <w:rPr>
          <w:rFonts w:hint="eastAsia" w:ascii="宋体" w:hAnsi="宋体"/>
          <w:b/>
          <w:spacing w:val="100"/>
          <w:sz w:val="20"/>
          <w:lang/>
        </w:rPr>
        <w:pict>
          <v:line id="直线 76" o:spid="_x0000_s1027" o:spt="20" style="position:absolute;left:0pt;margin-left:0pt;margin-top:22.4pt;height:0pt;width:414.15pt;z-index:251660288;mso-width-relative:page;mso-height-relative:page;" filled="f" coordsize="21600,21600">
            <v:path arrowok="t"/>
            <v:fill on="f" focussize="0,0"/>
            <v:stroke/>
            <v:imagedata o:title=""/>
            <o:lock v:ext="edit"/>
          </v:line>
        </w:pict>
      </w:r>
      <w:r>
        <w:rPr>
          <w:rFonts w:hint="eastAsia" w:ascii="宋体" w:hAnsi="宋体"/>
          <w:b/>
          <w:spacing w:val="100"/>
          <w:sz w:val="20"/>
          <w:lang/>
        </w:rPr>
        <w:pict>
          <v:line id="直线 77" o:spid="_x0000_s1028" o:spt="20" style="position:absolute;left:0pt;flip:x;margin-left:18pt;margin-top:22.4pt;height:0pt;width:9pt;z-index:251661312;mso-width-relative:page;mso-height-relative:page;" filled="f" coordsize="21600,21600">
            <v:path arrowok="t"/>
            <v:fill on="f" focussize="0,0"/>
            <v:stroke/>
            <v:imagedata o:title=""/>
            <o:lock v:ext="edit"/>
          </v:line>
        </w:pict>
      </w:r>
      <w:r>
        <w:rPr>
          <w:rFonts w:hint="eastAsia" w:ascii="宋体" w:hAnsi="宋体"/>
          <w:b/>
          <w:spacing w:val="94"/>
          <w:kern w:val="0"/>
          <w:sz w:val="24"/>
          <w:fitText w:val="7953" w:id="1648648195"/>
        </w:rPr>
        <w:t>广东方圆土地房地产资产评估咨询有限公</w:t>
      </w:r>
      <w:r>
        <w:rPr>
          <w:rFonts w:hint="eastAsia" w:ascii="宋体" w:hAnsi="宋体"/>
          <w:b/>
          <w:spacing w:val="4"/>
          <w:kern w:val="0"/>
          <w:sz w:val="24"/>
          <w:fitText w:val="7953" w:id="1648648195"/>
        </w:rPr>
        <w:t>司</w:t>
      </w:r>
    </w:p>
    <w:p>
      <w:pPr>
        <w:spacing w:line="360" w:lineRule="auto"/>
        <w:rPr>
          <w:rFonts w:hint="eastAsia" w:ascii="宋体" w:hAnsi="宋体"/>
          <w:spacing w:val="20"/>
          <w:sz w:val="24"/>
        </w:rPr>
      </w:pPr>
      <w:r>
        <w:rPr>
          <w:rFonts w:hint="eastAsia" w:ascii="宋体" w:hAnsi="宋体"/>
          <w:spacing w:val="20"/>
          <w:sz w:val="24"/>
        </w:rPr>
        <w:t>地址：广东省东莞市南城街道鸿福路108号1栋1509室</w:t>
      </w:r>
    </w:p>
    <w:p>
      <w:pPr>
        <w:spacing w:line="360" w:lineRule="auto"/>
        <w:rPr>
          <w:rFonts w:hint="eastAsia" w:ascii="宋体" w:hAnsi="宋体"/>
          <w:spacing w:val="20"/>
          <w:sz w:val="24"/>
        </w:rPr>
      </w:pPr>
      <w:r>
        <w:rPr>
          <w:rFonts w:hint="eastAsia" w:ascii="宋体" w:hAnsi="宋体"/>
          <w:spacing w:val="20"/>
          <w:sz w:val="24"/>
        </w:rPr>
        <w:t>电话：0769-</w:t>
      </w:r>
      <w:r>
        <w:rPr>
          <w:rFonts w:ascii="宋体" w:hAnsi="宋体"/>
          <w:spacing w:val="20"/>
          <w:sz w:val="24"/>
        </w:rPr>
        <w:t>26982316</w:t>
      </w:r>
    </w:p>
    <w:p>
      <w:pPr>
        <w:spacing w:line="520" w:lineRule="exact"/>
        <w:jc w:val="center"/>
        <w:rPr>
          <w:rFonts w:hint="eastAsia" w:ascii="宋体" w:hAnsi="宋体"/>
          <w:b/>
          <w:sz w:val="36"/>
        </w:rPr>
      </w:pPr>
      <w:r>
        <w:rPr>
          <w:rFonts w:hint="eastAsia" w:ascii="宋体" w:hAnsi="宋体"/>
          <w:b/>
          <w:sz w:val="36"/>
        </w:rPr>
        <w:t>致估价委托人函</w:t>
      </w:r>
    </w:p>
    <w:p>
      <w:pPr>
        <w:spacing w:line="520" w:lineRule="exact"/>
        <w:rPr>
          <w:rFonts w:hint="eastAsia" w:ascii="宋体" w:hAnsi="宋体"/>
          <w:sz w:val="24"/>
        </w:rPr>
      </w:pPr>
    </w:p>
    <w:p>
      <w:pPr>
        <w:spacing w:line="360" w:lineRule="auto"/>
        <w:rPr>
          <w:snapToGrid w:val="0"/>
          <w:kern w:val="0"/>
          <w:sz w:val="24"/>
        </w:rPr>
      </w:pPr>
      <w:r>
        <w:rPr>
          <w:rFonts w:hint="eastAsia"/>
          <w:snapToGrid w:val="0"/>
          <w:kern w:val="0"/>
          <w:sz w:val="24"/>
          <w:lang w:eastAsia="zh-CN"/>
        </w:rPr>
        <w:t>连平县人民法院</w:t>
      </w:r>
      <w:r>
        <w:rPr>
          <w:rFonts w:hint="eastAsia"/>
          <w:snapToGrid w:val="0"/>
          <w:kern w:val="0"/>
          <w:sz w:val="24"/>
        </w:rPr>
        <w:t>：</w:t>
      </w:r>
    </w:p>
    <w:p>
      <w:pPr>
        <w:spacing w:line="360" w:lineRule="auto"/>
        <w:ind w:firstLine="480" w:firstLineChars="200"/>
        <w:rPr>
          <w:rFonts w:hint="eastAsia" w:ascii="宋体" w:hAnsi="宋体"/>
          <w:sz w:val="24"/>
        </w:rPr>
      </w:pPr>
      <w:r>
        <w:rPr>
          <w:rFonts w:hint="eastAsia" w:ascii="宋体" w:hAnsi="宋体"/>
          <w:sz w:val="24"/>
        </w:rPr>
        <w:t>承蒙委托，本公司对</w:t>
      </w:r>
      <w:r>
        <w:rPr>
          <w:snapToGrid w:val="0"/>
          <w:kern w:val="0"/>
          <w:sz w:val="24"/>
        </w:rPr>
        <w:t>本次评估的重要内容及结果向贵方做如下陈述</w:t>
      </w:r>
      <w:r>
        <w:rPr>
          <w:rFonts w:hint="eastAsia" w:ascii="宋体" w:hAnsi="宋体"/>
          <w:sz w:val="24"/>
        </w:rPr>
        <w:t>：</w:t>
      </w:r>
    </w:p>
    <w:p>
      <w:pPr>
        <w:tabs>
          <w:tab w:val="left" w:pos="360"/>
          <w:tab w:val="left" w:pos="4140"/>
          <w:tab w:val="left" w:pos="4320"/>
        </w:tabs>
        <w:spacing w:line="360" w:lineRule="auto"/>
        <w:ind w:firstLine="480" w:firstLineChars="200"/>
        <w:rPr>
          <w:rFonts w:hint="eastAsia" w:ascii="宋体" w:hAnsi="宋体"/>
          <w:sz w:val="24"/>
        </w:rPr>
      </w:pPr>
      <w:r>
        <w:rPr>
          <w:rFonts w:hint="eastAsia" w:ascii="宋体" w:hAnsi="宋体"/>
          <w:sz w:val="24"/>
        </w:rPr>
        <w:t>一、估价</w:t>
      </w:r>
      <w:r>
        <w:rPr>
          <w:rFonts w:hint="eastAsia"/>
          <w:snapToGrid w:val="0"/>
          <w:kern w:val="0"/>
          <w:sz w:val="24"/>
        </w:rPr>
        <w:t>目的：为人民法院确定财产处置参考价提供参考依据而评估房地产市场价值。</w:t>
      </w:r>
    </w:p>
    <w:p>
      <w:pPr>
        <w:spacing w:line="360" w:lineRule="auto"/>
        <w:ind w:firstLine="480" w:firstLineChars="200"/>
        <w:rPr>
          <w:rFonts w:hint="eastAsia"/>
          <w:snapToGrid w:val="0"/>
          <w:kern w:val="0"/>
          <w:sz w:val="24"/>
        </w:rPr>
      </w:pPr>
      <w:r>
        <w:rPr>
          <w:rFonts w:hint="eastAsia"/>
          <w:snapToGrid w:val="0"/>
          <w:kern w:val="0"/>
          <w:sz w:val="24"/>
        </w:rPr>
        <w:t>二、估价对象：纳入本次估价的估价对象为</w:t>
      </w:r>
      <w:r>
        <w:rPr>
          <w:rFonts w:hint="eastAsia"/>
          <w:snapToGrid w:val="0"/>
          <w:kern w:val="0"/>
          <w:sz w:val="24"/>
          <w:lang w:eastAsia="zh-CN"/>
        </w:rPr>
        <w:t>一栋住宅</w:t>
      </w:r>
      <w:r>
        <w:rPr>
          <w:rFonts w:hint="eastAsia"/>
          <w:snapToGrid w:val="0"/>
          <w:kern w:val="0"/>
          <w:sz w:val="24"/>
        </w:rPr>
        <w:t>，位于</w:t>
      </w:r>
      <w:r>
        <w:rPr>
          <w:rFonts w:hint="eastAsia"/>
          <w:snapToGrid w:val="0"/>
          <w:kern w:val="0"/>
          <w:sz w:val="24"/>
          <w:lang w:eastAsia="zh-CN"/>
        </w:rPr>
        <w:t>连平县元善镇乌石坳浪子下地段</w:t>
      </w:r>
      <w:r>
        <w:rPr>
          <w:rFonts w:hint="eastAsia"/>
          <w:snapToGrid w:val="0"/>
          <w:kern w:val="0"/>
          <w:sz w:val="24"/>
        </w:rPr>
        <w:t>，建筑面积为</w:t>
      </w:r>
      <w:r>
        <w:rPr>
          <w:rFonts w:hint="eastAsia"/>
          <w:snapToGrid w:val="0"/>
          <w:kern w:val="0"/>
          <w:sz w:val="24"/>
          <w:lang w:eastAsia="zh-CN"/>
        </w:rPr>
        <w:t>754.87</w:t>
      </w:r>
      <w:r>
        <w:rPr>
          <w:rFonts w:hint="eastAsia"/>
          <w:snapToGrid w:val="0"/>
          <w:kern w:val="0"/>
          <w:sz w:val="24"/>
        </w:rPr>
        <w:t>㎡，房屋用途为住宅，实际用途为</w:t>
      </w:r>
      <w:r>
        <w:rPr>
          <w:rFonts w:hint="eastAsia"/>
          <w:snapToGrid w:val="0"/>
          <w:kern w:val="0"/>
          <w:sz w:val="24"/>
          <w:lang w:val="en-US" w:eastAsia="zh-CN"/>
        </w:rPr>
        <w:t>1</w:t>
      </w:r>
      <w:r>
        <w:rPr>
          <w:rFonts w:hint="eastAsia"/>
          <w:snapToGrid w:val="0"/>
          <w:kern w:val="0"/>
          <w:sz w:val="24"/>
          <w:lang w:eastAsia="zh-CN"/>
        </w:rPr>
        <w:t>层作为商铺、</w:t>
      </w:r>
      <w:r>
        <w:rPr>
          <w:rFonts w:hint="eastAsia"/>
          <w:snapToGrid w:val="0"/>
          <w:kern w:val="0"/>
          <w:sz w:val="24"/>
          <w:lang w:val="en-US" w:eastAsia="zh-CN"/>
        </w:rPr>
        <w:t>2-6层作为</w:t>
      </w:r>
      <w:r>
        <w:rPr>
          <w:rFonts w:hint="eastAsia"/>
          <w:snapToGrid w:val="0"/>
          <w:kern w:val="0"/>
          <w:sz w:val="24"/>
        </w:rPr>
        <w:t>住宅。所属楼栋总楼层为</w:t>
      </w:r>
      <w:r>
        <w:rPr>
          <w:rFonts w:hint="eastAsia"/>
          <w:snapToGrid w:val="0"/>
          <w:kern w:val="0"/>
          <w:sz w:val="24"/>
          <w:lang w:val="en-US" w:eastAsia="zh-CN"/>
        </w:rPr>
        <w:t>6</w:t>
      </w:r>
      <w:r>
        <w:rPr>
          <w:rFonts w:hint="eastAsia"/>
          <w:snapToGrid w:val="0"/>
          <w:kern w:val="0"/>
          <w:sz w:val="24"/>
        </w:rPr>
        <w:t>层，估价对象位于第</w:t>
      </w:r>
      <w:r>
        <w:rPr>
          <w:rFonts w:hint="eastAsia"/>
          <w:snapToGrid w:val="0"/>
          <w:kern w:val="0"/>
          <w:sz w:val="24"/>
          <w:lang w:val="en-US" w:eastAsia="zh-CN"/>
        </w:rPr>
        <w:t>1-6</w:t>
      </w:r>
      <w:r>
        <w:rPr>
          <w:rFonts w:hint="eastAsia"/>
          <w:snapToGrid w:val="0"/>
          <w:kern w:val="0"/>
          <w:sz w:val="24"/>
        </w:rPr>
        <w:t>层；房屋权利人为</w:t>
      </w:r>
      <w:r>
        <w:rPr>
          <w:rFonts w:hint="eastAsia"/>
          <w:snapToGrid w:val="0"/>
          <w:kern w:val="0"/>
          <w:sz w:val="24"/>
          <w:lang w:eastAsia="zh-CN"/>
        </w:rPr>
        <w:t>朱锦标</w:t>
      </w:r>
      <w:r>
        <w:rPr>
          <w:rFonts w:hint="eastAsia"/>
          <w:snapToGrid w:val="0"/>
          <w:kern w:val="0"/>
          <w:sz w:val="24"/>
        </w:rPr>
        <w:t>，房屋所有权取得方式为</w:t>
      </w:r>
      <w:r>
        <w:rPr>
          <w:rFonts w:hint="eastAsia"/>
          <w:snapToGrid w:val="0"/>
          <w:kern w:val="0"/>
          <w:sz w:val="24"/>
          <w:lang w:val="en-US" w:eastAsia="zh-CN"/>
        </w:rPr>
        <w:t>2015年受父母赠与所得</w:t>
      </w:r>
      <w:r>
        <w:rPr>
          <w:rFonts w:hint="eastAsia"/>
          <w:snapToGrid w:val="0"/>
          <w:kern w:val="0"/>
          <w:sz w:val="24"/>
        </w:rPr>
        <w:t>，</w:t>
      </w:r>
      <w:r>
        <w:rPr>
          <w:rFonts w:hint="eastAsia"/>
          <w:snapToGrid w:val="0"/>
          <w:kern w:val="0"/>
          <w:sz w:val="24"/>
          <w:lang w:eastAsia="zh-CN"/>
        </w:rPr>
        <w:t>登记时间为</w:t>
      </w:r>
      <w:r>
        <w:rPr>
          <w:rFonts w:hint="eastAsia"/>
          <w:snapToGrid w:val="0"/>
          <w:kern w:val="0"/>
          <w:sz w:val="24"/>
          <w:lang w:val="en-US" w:eastAsia="zh-CN"/>
        </w:rPr>
        <w:t>2015年5月25日</w:t>
      </w:r>
      <w:r>
        <w:rPr>
          <w:rFonts w:hint="eastAsia"/>
          <w:snapToGrid w:val="0"/>
          <w:kern w:val="0"/>
          <w:sz w:val="24"/>
        </w:rPr>
        <w:t>。</w:t>
      </w:r>
    </w:p>
    <w:p>
      <w:pPr>
        <w:spacing w:line="360" w:lineRule="auto"/>
        <w:ind w:firstLine="480" w:firstLineChars="200"/>
        <w:rPr>
          <w:rFonts w:hint="eastAsia" w:ascii="宋体" w:hAnsi="宋体"/>
          <w:sz w:val="24"/>
        </w:rPr>
      </w:pPr>
      <w:r>
        <w:rPr>
          <w:rFonts w:hint="eastAsia" w:ascii="宋体" w:hAnsi="宋体"/>
          <w:sz w:val="24"/>
        </w:rPr>
        <w:t>三、价值时点：</w:t>
      </w:r>
      <w:r>
        <w:rPr>
          <w:rFonts w:hint="eastAsia" w:ascii="宋体" w:hAnsi="宋体"/>
          <w:sz w:val="24"/>
          <w:lang w:eastAsia="zh-CN"/>
        </w:rPr>
        <w:t>二〇二二年八月二日</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四、价值类型：房地产市场价值。</w:t>
      </w:r>
    </w:p>
    <w:p>
      <w:pPr>
        <w:spacing w:line="360" w:lineRule="auto"/>
        <w:ind w:firstLine="480" w:firstLineChars="200"/>
        <w:rPr>
          <w:rFonts w:hint="eastAsia" w:ascii="宋体" w:hAnsi="宋体"/>
          <w:sz w:val="24"/>
        </w:rPr>
      </w:pPr>
      <w:r>
        <w:rPr>
          <w:rFonts w:hint="eastAsia" w:ascii="宋体" w:hAnsi="宋体"/>
          <w:sz w:val="24"/>
        </w:rPr>
        <w:t>五、估价方法：比较法和收益法。</w:t>
      </w:r>
    </w:p>
    <w:p>
      <w:pPr>
        <w:tabs>
          <w:tab w:val="left" w:pos="1134"/>
        </w:tabs>
        <w:spacing w:line="360" w:lineRule="auto"/>
        <w:ind w:firstLine="480" w:firstLineChars="200"/>
        <w:rPr>
          <w:rFonts w:hint="eastAsia" w:ascii="宋体" w:hAnsi="宋体"/>
          <w:sz w:val="24"/>
        </w:rPr>
      </w:pPr>
      <w:r>
        <w:rPr>
          <w:rFonts w:hint="eastAsia" w:ascii="宋体" w:hAnsi="宋体"/>
          <w:sz w:val="24"/>
        </w:rPr>
        <w:t>六、估价结果：评估总价为RMB</w:t>
      </w:r>
      <w:r>
        <w:rPr>
          <w:rFonts w:hint="eastAsia" w:ascii="宋体" w:hAnsi="宋体"/>
          <w:b/>
          <w:sz w:val="24"/>
          <w:lang w:eastAsia="zh-CN"/>
        </w:rPr>
        <w:t>2,287,256</w:t>
      </w:r>
      <w:r>
        <w:rPr>
          <w:rFonts w:hint="eastAsia" w:ascii="宋体" w:hAnsi="宋体"/>
          <w:sz w:val="24"/>
        </w:rPr>
        <w:t>元（大写人民币</w:t>
      </w:r>
      <w:r>
        <w:rPr>
          <w:rFonts w:hint="eastAsia" w:ascii="宋体" w:hAnsi="宋体"/>
          <w:b/>
          <w:sz w:val="24"/>
          <w:lang w:eastAsia="zh-CN"/>
        </w:rPr>
        <w:t>贰佰贰拾捌万柒仟贰佰伍拾陆</w:t>
      </w:r>
      <w:r>
        <w:rPr>
          <w:rFonts w:hint="eastAsia" w:ascii="宋体" w:hAnsi="宋体"/>
          <w:sz w:val="24"/>
        </w:rPr>
        <w:t>元整），市场价值为RMB</w:t>
      </w:r>
      <w:r>
        <w:rPr>
          <w:rFonts w:hint="eastAsia" w:ascii="宋体" w:hAnsi="宋体"/>
          <w:b/>
          <w:sz w:val="24"/>
          <w:lang w:eastAsia="zh-CN"/>
        </w:rPr>
        <w:t>2,287,256</w:t>
      </w:r>
      <w:r>
        <w:rPr>
          <w:rFonts w:hint="eastAsia" w:ascii="宋体" w:hAnsi="宋体"/>
          <w:sz w:val="24"/>
        </w:rPr>
        <w:t>元（大写人民币</w:t>
      </w:r>
      <w:r>
        <w:rPr>
          <w:rFonts w:hint="eastAsia" w:ascii="宋体" w:hAnsi="宋体"/>
          <w:b/>
          <w:sz w:val="24"/>
          <w:lang w:eastAsia="zh-CN"/>
        </w:rPr>
        <w:t>贰佰贰拾捌万柒仟贰佰伍拾陆</w:t>
      </w:r>
      <w:r>
        <w:rPr>
          <w:rFonts w:hint="eastAsia" w:ascii="宋体" w:hAnsi="宋体"/>
          <w:sz w:val="24"/>
        </w:rPr>
        <w:t>元整）。估价结果详见《估价结果明细表》。</w:t>
      </w:r>
    </w:p>
    <w:p>
      <w:pPr>
        <w:tabs>
          <w:tab w:val="left" w:pos="1134"/>
        </w:tabs>
        <w:spacing w:line="360" w:lineRule="auto"/>
        <w:ind w:left="567"/>
        <w:jc w:val="center"/>
        <w:rPr>
          <w:rFonts w:hint="eastAsia" w:ascii="宋体" w:hAnsi="宋体"/>
          <w:sz w:val="24"/>
        </w:rPr>
      </w:pPr>
      <w:r>
        <w:rPr>
          <w:rFonts w:hint="eastAsia" w:ascii="宋体" w:hAnsi="宋体"/>
          <w:sz w:val="24"/>
        </w:rPr>
        <w:t>估价结果明细表</w:t>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00"/>
        <w:gridCol w:w="1137"/>
        <w:gridCol w:w="1138"/>
        <w:gridCol w:w="1262"/>
        <w:gridCol w:w="133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70" w:type="pct"/>
            <w:vMerge w:val="restar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估价对象地址</w:t>
            </w:r>
          </w:p>
        </w:tc>
        <w:tc>
          <w:tcPr>
            <w:tcW w:w="790" w:type="pct"/>
            <w:vMerge w:val="restart"/>
            <w:tcBorders>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不动产权证号</w:t>
            </w:r>
          </w:p>
        </w:tc>
        <w:tc>
          <w:tcPr>
            <w:tcW w:w="642"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建筑面积</w:t>
            </w:r>
          </w:p>
        </w:tc>
        <w:tc>
          <w:tcPr>
            <w:tcW w:w="642"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评估单价</w:t>
            </w:r>
          </w:p>
        </w:tc>
        <w:tc>
          <w:tcPr>
            <w:tcW w:w="712"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评估总价</w:t>
            </w:r>
          </w:p>
        </w:tc>
        <w:tc>
          <w:tcPr>
            <w:tcW w:w="755"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市场价值</w:t>
            </w:r>
          </w:p>
        </w:tc>
        <w:tc>
          <w:tcPr>
            <w:tcW w:w="685"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0" w:type="pct"/>
            <w:vMerge w:val="continue"/>
            <w:noWrap w:val="0"/>
            <w:vAlign w:val="center"/>
          </w:tcPr>
          <w:p>
            <w:pPr>
              <w:widowControl/>
              <w:jc w:val="center"/>
              <w:rPr>
                <w:rFonts w:hint="eastAsia" w:ascii="宋体" w:hAnsi="宋体" w:eastAsia="宋体" w:cs="宋体"/>
                <w:kern w:val="0"/>
                <w:sz w:val="21"/>
                <w:szCs w:val="21"/>
              </w:rPr>
            </w:pPr>
          </w:p>
        </w:tc>
        <w:tc>
          <w:tcPr>
            <w:tcW w:w="790" w:type="pct"/>
            <w:vMerge w:val="continue"/>
            <w:tcBorders>
              <w:right w:val="single" w:color="auto" w:sz="4" w:space="0"/>
            </w:tcBorders>
            <w:noWrap w:val="0"/>
            <w:vAlign w:val="center"/>
          </w:tcPr>
          <w:p>
            <w:pPr>
              <w:widowControl/>
              <w:jc w:val="center"/>
              <w:rPr>
                <w:rFonts w:hint="eastAsia" w:ascii="宋体" w:hAnsi="宋体" w:eastAsia="宋体" w:cs="宋体"/>
                <w:kern w:val="0"/>
                <w:sz w:val="21"/>
                <w:szCs w:val="21"/>
              </w:rPr>
            </w:pPr>
          </w:p>
        </w:tc>
        <w:tc>
          <w:tcPr>
            <w:tcW w:w="64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64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（元/㎡）</w:t>
            </w:r>
          </w:p>
        </w:tc>
        <w:tc>
          <w:tcPr>
            <w:tcW w:w="71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（元）</w:t>
            </w:r>
          </w:p>
        </w:tc>
        <w:tc>
          <w:tcPr>
            <w:tcW w:w="7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(元）</w:t>
            </w:r>
          </w:p>
        </w:tc>
        <w:tc>
          <w:tcPr>
            <w:tcW w:w="685" w:type="pct"/>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70" w:type="pct"/>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连平县元善镇乌石坳浪子下地段</w:t>
            </w:r>
          </w:p>
        </w:tc>
        <w:tc>
          <w:tcPr>
            <w:tcW w:w="790" w:type="pct"/>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粤房地权证连平县字第2300016988号</w:t>
            </w:r>
          </w:p>
        </w:tc>
        <w:tc>
          <w:tcPr>
            <w:tcW w:w="642" w:type="pct"/>
            <w:tcBorders>
              <w:top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754.87</w:t>
            </w:r>
          </w:p>
        </w:tc>
        <w:tc>
          <w:tcPr>
            <w:tcW w:w="642" w:type="pct"/>
            <w:tcBorders>
              <w:top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3,030</w:t>
            </w:r>
          </w:p>
        </w:tc>
        <w:tc>
          <w:tcPr>
            <w:tcW w:w="712" w:type="pct"/>
            <w:tcBorders>
              <w:top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2,287,256</w:t>
            </w:r>
          </w:p>
        </w:tc>
        <w:tc>
          <w:tcPr>
            <w:tcW w:w="755" w:type="pct"/>
            <w:tcBorders>
              <w:top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2,287,256</w:t>
            </w:r>
          </w:p>
        </w:tc>
        <w:tc>
          <w:tcPr>
            <w:tcW w:w="685" w:type="pct"/>
            <w:tcBorders>
              <w:top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评估结果为房地产综合价值，含地价。</w:t>
            </w:r>
          </w:p>
        </w:tc>
      </w:tr>
    </w:tbl>
    <w:p>
      <w:pPr>
        <w:spacing w:line="360" w:lineRule="auto"/>
        <w:jc w:val="left"/>
        <w:rPr>
          <w:rFonts w:hint="eastAsia" w:ascii="宋体" w:hAnsi="宋体"/>
          <w:sz w:val="24"/>
        </w:rPr>
      </w:pPr>
      <w:r>
        <w:rPr>
          <w:rFonts w:hint="eastAsia" w:ascii="宋体" w:hAnsi="宋体"/>
          <w:sz w:val="24"/>
        </w:rPr>
        <w:t xml:space="preserve">  七、特别提示：上述估价结果为市场价值，不包含转让时应缴纳的相关税费。</w:t>
      </w:r>
    </w:p>
    <w:p>
      <w:pPr>
        <w:spacing w:line="360" w:lineRule="auto"/>
        <w:jc w:val="left"/>
        <w:rPr>
          <w:rFonts w:hint="eastAsia" w:ascii="宋体" w:hAnsi="宋体"/>
          <w:sz w:val="24"/>
        </w:rPr>
      </w:pPr>
      <w:r>
        <w:rPr>
          <w:rFonts w:hint="eastAsia" w:ascii="宋体" w:hAnsi="宋体"/>
          <w:sz w:val="24"/>
        </w:rPr>
        <w:t>特此函告</w:t>
      </w:r>
    </w:p>
    <w:p>
      <w:pPr>
        <w:spacing w:line="600" w:lineRule="auto"/>
        <w:ind w:right="360" w:firstLine="482"/>
        <w:jc w:val="right"/>
        <w:rPr>
          <w:rFonts w:hint="eastAsia" w:ascii="宋体" w:hAnsi="宋体"/>
          <w:sz w:val="24"/>
        </w:rPr>
      </w:pPr>
      <w:r>
        <w:rPr>
          <w:rFonts w:hint="eastAsia" w:ascii="宋体" w:hAnsi="宋体"/>
          <w:sz w:val="24"/>
        </w:rPr>
        <w:t>广东方圆土地房地产资产评估咨询有限公司</w:t>
      </w:r>
    </w:p>
    <w:p>
      <w:pPr>
        <w:spacing w:line="600" w:lineRule="auto"/>
        <w:ind w:right="960" w:firstLine="482"/>
        <w:rPr>
          <w:rFonts w:ascii="宋体" w:hAnsi="宋体"/>
          <w:sz w:val="24"/>
        </w:rPr>
      </w:pPr>
      <w:r>
        <w:rPr>
          <w:rFonts w:hint="eastAsia" w:ascii="宋体" w:hAnsi="宋体"/>
          <w:sz w:val="24"/>
        </w:rPr>
        <w:t xml:space="preserve">                               法定代表人：</w:t>
      </w:r>
    </w:p>
    <w:p>
      <w:pPr>
        <w:spacing w:line="600" w:lineRule="auto"/>
        <w:ind w:right="360" w:firstLine="482"/>
        <w:jc w:val="center"/>
        <w:rPr>
          <w:rFonts w:hint="eastAsia" w:ascii="宋体" w:hAnsi="宋体" w:eastAsia="宋体"/>
          <w:color w:val="FF0000"/>
          <w:sz w:val="24"/>
          <w:lang w:eastAsia="zh-CN"/>
        </w:rPr>
        <w:sectPr>
          <w:headerReference r:id="rId3" w:type="default"/>
          <w:footerReference r:id="rId4" w:type="even"/>
          <w:pgSz w:w="11907" w:h="16840"/>
          <w:pgMar w:top="1077" w:right="1469" w:bottom="1077" w:left="1797" w:header="284" w:footer="454" w:gutter="0"/>
          <w:pgNumType w:fmt="numberInDash" w:start="1"/>
          <w:cols w:space="720" w:num="1"/>
          <w:docGrid w:type="linesAndChars" w:linePitch="312" w:charSpace="0"/>
        </w:sectPr>
      </w:pPr>
      <w:r>
        <w:rPr>
          <w:rFonts w:hint="eastAsia" w:ascii="宋体" w:hAnsi="宋体"/>
          <w:color w:val="000000"/>
          <w:sz w:val="24"/>
          <w:lang w:val="en-US" w:eastAsia="zh-CN"/>
        </w:rPr>
        <w:t xml:space="preserve">                    </w:t>
      </w:r>
      <w:r>
        <w:rPr>
          <w:rFonts w:hint="eastAsia" w:ascii="宋体" w:hAnsi="宋体"/>
          <w:color w:val="000000"/>
          <w:sz w:val="24"/>
          <w:lang w:eastAsia="zh-CN"/>
        </w:rPr>
        <w:t>二〇二二年八月三十日</w:t>
      </w:r>
    </w:p>
    <w:p>
      <w:pPr>
        <w:jc w:val="center"/>
        <w:rPr>
          <w:rFonts w:ascii="宋体" w:hAnsi="宋体"/>
          <w:b/>
          <w:spacing w:val="28"/>
          <w:sz w:val="36"/>
          <w:szCs w:val="36"/>
        </w:rPr>
      </w:pPr>
      <w:r>
        <w:rPr>
          <w:rFonts w:hint="eastAsia" w:ascii="宋体" w:hAnsi="宋体"/>
          <w:b/>
          <w:spacing w:val="28"/>
          <w:sz w:val="36"/>
          <w:szCs w:val="36"/>
        </w:rPr>
        <w:t>目</w:t>
      </w:r>
      <w:r>
        <w:rPr>
          <w:rFonts w:ascii="宋体" w:hAnsi="宋体"/>
          <w:b/>
          <w:spacing w:val="28"/>
          <w:sz w:val="36"/>
          <w:szCs w:val="36"/>
        </w:rPr>
        <w:t xml:space="preserve">    </w:t>
      </w:r>
      <w:r>
        <w:rPr>
          <w:rFonts w:hint="eastAsia" w:ascii="宋体" w:hAnsi="宋体"/>
          <w:b/>
          <w:spacing w:val="28"/>
          <w:sz w:val="36"/>
          <w:szCs w:val="36"/>
        </w:rPr>
        <w:t>录</w:t>
      </w:r>
    </w:p>
    <w:p>
      <w:pPr>
        <w:pStyle w:val="21"/>
        <w:tabs>
          <w:tab w:val="right" w:leader="dot" w:pos="8641"/>
        </w:tabs>
        <w:rPr>
          <w:lang/>
        </w:rPr>
      </w:pPr>
      <w:r>
        <w:rPr>
          <w:rFonts w:ascii="宋体" w:hAnsi="宋体"/>
          <w:sz w:val="24"/>
          <w:szCs w:val="28"/>
        </w:rPr>
        <w:fldChar w:fldCharType="begin"/>
      </w:r>
      <w:r>
        <w:rPr>
          <w:rFonts w:ascii="宋体" w:hAnsi="宋体"/>
          <w:sz w:val="24"/>
          <w:szCs w:val="28"/>
        </w:rPr>
        <w:instrText xml:space="preserve"> TOC \o "1-3" \h \z \u </w:instrText>
      </w:r>
      <w:r>
        <w:rPr>
          <w:rFonts w:ascii="宋体" w:hAnsi="宋体"/>
          <w:sz w:val="24"/>
          <w:szCs w:val="28"/>
        </w:rPr>
        <w:fldChar w:fldCharType="separate"/>
      </w:r>
      <w:r>
        <w:rPr>
          <w:rFonts w:ascii="宋体" w:hAnsi="宋体"/>
          <w:szCs w:val="28"/>
          <w:lang/>
        </w:rPr>
        <w:fldChar w:fldCharType="begin"/>
      </w:r>
      <w:r>
        <w:rPr>
          <w:rFonts w:ascii="宋体" w:hAnsi="宋体"/>
          <w:szCs w:val="28"/>
          <w:lang/>
        </w:rPr>
        <w:instrText xml:space="preserve"> HYPERLINK \l _Toc1454 </w:instrText>
      </w:r>
      <w:r>
        <w:rPr>
          <w:rFonts w:ascii="宋体" w:hAnsi="宋体"/>
          <w:szCs w:val="28"/>
          <w:lang/>
        </w:rPr>
        <w:fldChar w:fldCharType="separate"/>
      </w:r>
      <w:r>
        <w:rPr>
          <w:rFonts w:hint="eastAsia"/>
          <w:lang/>
        </w:rPr>
        <w:t>估价师声明</w:t>
      </w:r>
      <w:r>
        <w:rPr>
          <w:lang/>
        </w:rPr>
        <w:tab/>
      </w:r>
      <w:r>
        <w:rPr>
          <w:lang/>
        </w:rPr>
        <w:fldChar w:fldCharType="begin"/>
      </w:r>
      <w:r>
        <w:rPr>
          <w:lang/>
        </w:rPr>
        <w:instrText xml:space="preserve"> PAGEREF _Toc1454 </w:instrText>
      </w:r>
      <w:r>
        <w:rPr>
          <w:lang/>
        </w:rPr>
        <w:fldChar w:fldCharType="separate"/>
      </w:r>
      <w:r>
        <w:rPr>
          <w:lang/>
        </w:rPr>
        <w:t>- 1 -</w:t>
      </w:r>
      <w:r>
        <w:rPr>
          <w:lang/>
        </w:rPr>
        <w:fldChar w:fldCharType="end"/>
      </w:r>
      <w:r>
        <w:rPr>
          <w:rFonts w:ascii="宋体" w:hAnsi="宋体"/>
          <w:szCs w:val="28"/>
          <w:lang/>
        </w:rPr>
        <w:fldChar w:fldCharType="end"/>
      </w:r>
    </w:p>
    <w:p>
      <w:pPr>
        <w:pStyle w:val="21"/>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_Toc6426 </w:instrText>
      </w:r>
      <w:r>
        <w:rPr>
          <w:rFonts w:ascii="宋体" w:hAnsi="宋体"/>
          <w:sz w:val="24"/>
          <w:lang/>
        </w:rPr>
        <w:fldChar w:fldCharType="separate"/>
      </w:r>
      <w:r>
        <w:rPr>
          <w:rFonts w:hint="eastAsia"/>
          <w:sz w:val="24"/>
          <w:lang/>
        </w:rPr>
        <w:t>估价假设和限制条件</w:t>
      </w:r>
      <w:r>
        <w:rPr>
          <w:sz w:val="24"/>
          <w:lang/>
        </w:rPr>
        <w:tab/>
      </w:r>
      <w:r>
        <w:rPr>
          <w:sz w:val="24"/>
          <w:lang/>
        </w:rPr>
        <w:fldChar w:fldCharType="begin"/>
      </w:r>
      <w:r>
        <w:rPr>
          <w:sz w:val="24"/>
          <w:lang/>
        </w:rPr>
        <w:instrText xml:space="preserve"> PAGEREF _Toc6426 </w:instrText>
      </w:r>
      <w:r>
        <w:rPr>
          <w:sz w:val="24"/>
          <w:lang/>
        </w:rPr>
        <w:fldChar w:fldCharType="separate"/>
      </w:r>
      <w:r>
        <w:rPr>
          <w:sz w:val="24"/>
          <w:lang/>
        </w:rPr>
        <w:t>- 2 -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_Toc3100 </w:instrText>
      </w:r>
      <w:r>
        <w:rPr>
          <w:rFonts w:ascii="宋体" w:hAnsi="宋体"/>
          <w:sz w:val="24"/>
          <w:lang/>
        </w:rPr>
        <w:fldChar w:fldCharType="separate"/>
      </w:r>
      <w:r>
        <w:rPr>
          <w:rFonts w:hint="eastAsia"/>
          <w:sz w:val="24"/>
          <w:lang/>
        </w:rPr>
        <w:t>一、一般假设</w:t>
      </w:r>
      <w:r>
        <w:rPr>
          <w:sz w:val="24"/>
          <w:lang/>
        </w:rPr>
        <w:tab/>
      </w:r>
      <w:r>
        <w:rPr>
          <w:sz w:val="24"/>
          <w:lang/>
        </w:rPr>
        <w:fldChar w:fldCharType="begin"/>
      </w:r>
      <w:r>
        <w:rPr>
          <w:sz w:val="24"/>
          <w:lang/>
        </w:rPr>
        <w:instrText xml:space="preserve"> PAGEREF _Toc3100 </w:instrText>
      </w:r>
      <w:r>
        <w:rPr>
          <w:sz w:val="24"/>
          <w:lang/>
        </w:rPr>
        <w:fldChar w:fldCharType="separate"/>
      </w:r>
      <w:r>
        <w:rPr>
          <w:sz w:val="24"/>
          <w:lang/>
        </w:rPr>
        <w:t>- 2 -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_Toc31281 </w:instrText>
      </w:r>
      <w:r>
        <w:rPr>
          <w:rFonts w:ascii="宋体" w:hAnsi="宋体"/>
          <w:sz w:val="24"/>
          <w:lang/>
        </w:rPr>
        <w:fldChar w:fldCharType="separate"/>
      </w:r>
      <w:r>
        <w:rPr>
          <w:rFonts w:hint="eastAsia"/>
          <w:sz w:val="24"/>
          <w:lang/>
        </w:rPr>
        <w:t>二、未定事项假设</w:t>
      </w:r>
      <w:r>
        <w:rPr>
          <w:sz w:val="24"/>
          <w:lang/>
        </w:rPr>
        <w:tab/>
      </w:r>
      <w:r>
        <w:rPr>
          <w:sz w:val="24"/>
          <w:lang/>
        </w:rPr>
        <w:fldChar w:fldCharType="begin"/>
      </w:r>
      <w:r>
        <w:rPr>
          <w:sz w:val="24"/>
          <w:lang/>
        </w:rPr>
        <w:instrText xml:space="preserve"> PAGEREF _Toc31281 </w:instrText>
      </w:r>
      <w:r>
        <w:rPr>
          <w:sz w:val="24"/>
          <w:lang/>
        </w:rPr>
        <w:fldChar w:fldCharType="separate"/>
      </w:r>
      <w:r>
        <w:rPr>
          <w:sz w:val="24"/>
          <w:lang/>
        </w:rPr>
        <w:t>- 3 -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_Toc11730 </w:instrText>
      </w:r>
      <w:r>
        <w:rPr>
          <w:rFonts w:ascii="宋体" w:hAnsi="宋体"/>
          <w:sz w:val="24"/>
          <w:lang/>
        </w:rPr>
        <w:fldChar w:fldCharType="separate"/>
      </w:r>
      <w:r>
        <w:rPr>
          <w:rFonts w:hint="eastAsia"/>
          <w:snapToGrid w:val="0"/>
          <w:sz w:val="24"/>
          <w:lang/>
        </w:rPr>
        <w:t>三、</w:t>
      </w:r>
      <w:r>
        <w:rPr>
          <w:snapToGrid w:val="0"/>
          <w:sz w:val="24"/>
          <w:lang/>
        </w:rPr>
        <w:t>背离事实假设</w:t>
      </w:r>
      <w:r>
        <w:rPr>
          <w:sz w:val="24"/>
          <w:lang/>
        </w:rPr>
        <w:tab/>
      </w:r>
      <w:r>
        <w:rPr>
          <w:sz w:val="24"/>
          <w:lang/>
        </w:rPr>
        <w:fldChar w:fldCharType="begin"/>
      </w:r>
      <w:r>
        <w:rPr>
          <w:sz w:val="24"/>
          <w:lang/>
        </w:rPr>
        <w:instrText xml:space="preserve"> PAGEREF _Toc11730 </w:instrText>
      </w:r>
      <w:r>
        <w:rPr>
          <w:sz w:val="24"/>
          <w:lang/>
        </w:rPr>
        <w:fldChar w:fldCharType="separate"/>
      </w:r>
      <w:r>
        <w:rPr>
          <w:sz w:val="24"/>
          <w:lang/>
        </w:rPr>
        <w:t>- 3 -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_Toc24516 </w:instrText>
      </w:r>
      <w:r>
        <w:rPr>
          <w:rFonts w:ascii="宋体" w:hAnsi="宋体"/>
          <w:sz w:val="24"/>
          <w:lang/>
        </w:rPr>
        <w:fldChar w:fldCharType="separate"/>
      </w:r>
      <w:r>
        <w:rPr>
          <w:rFonts w:hint="eastAsia"/>
          <w:snapToGrid w:val="0"/>
          <w:kern w:val="0"/>
          <w:sz w:val="24"/>
          <w:lang/>
        </w:rPr>
        <w:t>四、</w:t>
      </w:r>
      <w:r>
        <w:rPr>
          <w:snapToGrid w:val="0"/>
          <w:sz w:val="24"/>
          <w:lang/>
        </w:rPr>
        <w:t>不相一致假设</w:t>
      </w:r>
      <w:r>
        <w:rPr>
          <w:sz w:val="24"/>
          <w:lang/>
        </w:rPr>
        <w:tab/>
      </w:r>
      <w:r>
        <w:rPr>
          <w:sz w:val="24"/>
          <w:lang/>
        </w:rPr>
        <w:fldChar w:fldCharType="begin"/>
      </w:r>
      <w:r>
        <w:rPr>
          <w:sz w:val="24"/>
          <w:lang/>
        </w:rPr>
        <w:instrText xml:space="preserve"> PAGEREF _Toc24516 </w:instrText>
      </w:r>
      <w:r>
        <w:rPr>
          <w:sz w:val="24"/>
          <w:lang/>
        </w:rPr>
        <w:fldChar w:fldCharType="separate"/>
      </w:r>
      <w:r>
        <w:rPr>
          <w:sz w:val="24"/>
          <w:lang/>
        </w:rPr>
        <w:t>- 4 -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_Toc20515 </w:instrText>
      </w:r>
      <w:r>
        <w:rPr>
          <w:rFonts w:ascii="宋体" w:hAnsi="宋体"/>
          <w:sz w:val="24"/>
          <w:lang/>
        </w:rPr>
        <w:fldChar w:fldCharType="separate"/>
      </w:r>
      <w:r>
        <w:rPr>
          <w:rFonts w:hint="eastAsia"/>
          <w:snapToGrid w:val="0"/>
          <w:kern w:val="0"/>
          <w:sz w:val="24"/>
          <w:lang/>
        </w:rPr>
        <w:t>五、</w:t>
      </w:r>
      <w:r>
        <w:rPr>
          <w:snapToGrid w:val="0"/>
          <w:kern w:val="0"/>
          <w:sz w:val="24"/>
          <w:lang/>
        </w:rPr>
        <w:t>依据不足假设</w:t>
      </w:r>
      <w:r>
        <w:rPr>
          <w:sz w:val="24"/>
          <w:lang/>
        </w:rPr>
        <w:tab/>
      </w:r>
      <w:r>
        <w:rPr>
          <w:sz w:val="24"/>
          <w:lang/>
        </w:rPr>
        <w:fldChar w:fldCharType="begin"/>
      </w:r>
      <w:r>
        <w:rPr>
          <w:sz w:val="24"/>
          <w:lang/>
        </w:rPr>
        <w:instrText xml:space="preserve"> PAGEREF _Toc20515 </w:instrText>
      </w:r>
      <w:r>
        <w:rPr>
          <w:sz w:val="24"/>
          <w:lang/>
        </w:rPr>
        <w:fldChar w:fldCharType="separate"/>
      </w:r>
      <w:r>
        <w:rPr>
          <w:sz w:val="24"/>
          <w:lang/>
        </w:rPr>
        <w:t>- 4 -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_Toc26196 </w:instrText>
      </w:r>
      <w:r>
        <w:rPr>
          <w:rFonts w:ascii="宋体" w:hAnsi="宋体"/>
          <w:sz w:val="24"/>
          <w:lang/>
        </w:rPr>
        <w:fldChar w:fldCharType="separate"/>
      </w:r>
      <w:r>
        <w:rPr>
          <w:rFonts w:hint="eastAsia"/>
          <w:snapToGrid w:val="0"/>
          <w:kern w:val="0"/>
          <w:sz w:val="24"/>
          <w:lang/>
        </w:rPr>
        <w:t>六、估价报告使用限制</w:t>
      </w:r>
      <w:r>
        <w:rPr>
          <w:sz w:val="24"/>
          <w:lang/>
        </w:rPr>
        <w:tab/>
      </w:r>
      <w:r>
        <w:rPr>
          <w:sz w:val="24"/>
          <w:lang/>
        </w:rPr>
        <w:fldChar w:fldCharType="begin"/>
      </w:r>
      <w:r>
        <w:rPr>
          <w:sz w:val="24"/>
          <w:lang/>
        </w:rPr>
        <w:instrText xml:space="preserve"> PAGEREF _Toc26196 </w:instrText>
      </w:r>
      <w:r>
        <w:rPr>
          <w:sz w:val="24"/>
          <w:lang/>
        </w:rPr>
        <w:fldChar w:fldCharType="separate"/>
      </w:r>
      <w:r>
        <w:rPr>
          <w:sz w:val="24"/>
          <w:lang/>
        </w:rPr>
        <w:t>- 4 -</w:t>
      </w:r>
      <w:r>
        <w:rPr>
          <w:sz w:val="24"/>
          <w:lang/>
        </w:rPr>
        <w:fldChar w:fldCharType="end"/>
      </w:r>
      <w:r>
        <w:rPr>
          <w:rFonts w:ascii="宋体" w:hAnsi="宋体"/>
          <w:sz w:val="24"/>
          <w:lang/>
        </w:rPr>
        <w:fldChar w:fldCharType="end"/>
      </w:r>
    </w:p>
    <w:p>
      <w:pPr>
        <w:pStyle w:val="21"/>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_Toc16387 </w:instrText>
      </w:r>
      <w:r>
        <w:rPr>
          <w:rFonts w:ascii="宋体" w:hAnsi="宋体"/>
          <w:sz w:val="24"/>
          <w:lang/>
        </w:rPr>
        <w:fldChar w:fldCharType="separate"/>
      </w:r>
      <w:r>
        <w:rPr>
          <w:rFonts w:hint="eastAsia"/>
          <w:sz w:val="24"/>
          <w:lang/>
        </w:rPr>
        <w:t>房地产估价结果报告</w:t>
      </w:r>
      <w:r>
        <w:rPr>
          <w:sz w:val="24"/>
          <w:lang/>
        </w:rPr>
        <w:tab/>
      </w:r>
      <w:r>
        <w:rPr>
          <w:sz w:val="24"/>
          <w:lang/>
        </w:rPr>
        <w:fldChar w:fldCharType="begin"/>
      </w:r>
      <w:r>
        <w:rPr>
          <w:sz w:val="24"/>
          <w:lang/>
        </w:rPr>
        <w:instrText xml:space="preserve"> PAGEREF _Toc16387 </w:instrText>
      </w:r>
      <w:r>
        <w:rPr>
          <w:sz w:val="24"/>
          <w:lang/>
        </w:rPr>
        <w:fldChar w:fldCharType="separate"/>
      </w:r>
      <w:r>
        <w:rPr>
          <w:sz w:val="24"/>
          <w:lang/>
        </w:rPr>
        <w:t>- 6 -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_Toc10140 </w:instrText>
      </w:r>
      <w:r>
        <w:rPr>
          <w:rFonts w:ascii="宋体" w:hAnsi="宋体"/>
          <w:sz w:val="24"/>
          <w:lang/>
        </w:rPr>
        <w:fldChar w:fldCharType="separate"/>
      </w:r>
      <w:r>
        <w:rPr>
          <w:rFonts w:hint="eastAsia"/>
          <w:sz w:val="24"/>
          <w:lang/>
        </w:rPr>
        <w:t>一、估价委托人</w:t>
      </w:r>
      <w:bookmarkStart w:id="62" w:name="_GoBack"/>
      <w:bookmarkEnd w:id="62"/>
      <w:r>
        <w:rPr>
          <w:sz w:val="24"/>
          <w:lang/>
        </w:rPr>
        <w:tab/>
      </w:r>
      <w:r>
        <w:rPr>
          <w:sz w:val="24"/>
          <w:lang/>
        </w:rPr>
        <w:fldChar w:fldCharType="begin"/>
      </w:r>
      <w:r>
        <w:rPr>
          <w:sz w:val="24"/>
          <w:lang/>
        </w:rPr>
        <w:instrText xml:space="preserve"> PAGEREF _Toc10140 </w:instrText>
      </w:r>
      <w:r>
        <w:rPr>
          <w:sz w:val="24"/>
          <w:lang/>
        </w:rPr>
        <w:fldChar w:fldCharType="separate"/>
      </w:r>
      <w:r>
        <w:rPr>
          <w:sz w:val="24"/>
          <w:lang/>
        </w:rPr>
        <w:t>- 6 -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_Toc30353 </w:instrText>
      </w:r>
      <w:r>
        <w:rPr>
          <w:rFonts w:ascii="宋体" w:hAnsi="宋体"/>
          <w:sz w:val="24"/>
          <w:lang/>
        </w:rPr>
        <w:fldChar w:fldCharType="separate"/>
      </w:r>
      <w:r>
        <w:rPr>
          <w:rFonts w:hint="eastAsia"/>
          <w:sz w:val="24"/>
          <w:lang/>
        </w:rPr>
        <w:t>二、房地产估价机构</w:t>
      </w:r>
      <w:r>
        <w:rPr>
          <w:sz w:val="24"/>
          <w:lang/>
        </w:rPr>
        <w:tab/>
      </w:r>
      <w:r>
        <w:rPr>
          <w:sz w:val="24"/>
          <w:lang/>
        </w:rPr>
        <w:fldChar w:fldCharType="begin"/>
      </w:r>
      <w:r>
        <w:rPr>
          <w:sz w:val="24"/>
          <w:lang/>
        </w:rPr>
        <w:instrText xml:space="preserve"> PAGEREF _Toc30353 </w:instrText>
      </w:r>
      <w:r>
        <w:rPr>
          <w:sz w:val="24"/>
          <w:lang/>
        </w:rPr>
        <w:fldChar w:fldCharType="separate"/>
      </w:r>
      <w:r>
        <w:rPr>
          <w:sz w:val="24"/>
          <w:lang/>
        </w:rPr>
        <w:t>- 6 -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_Toc3425 </w:instrText>
      </w:r>
      <w:r>
        <w:rPr>
          <w:rFonts w:ascii="宋体" w:hAnsi="宋体"/>
          <w:sz w:val="24"/>
          <w:lang/>
        </w:rPr>
        <w:fldChar w:fldCharType="separate"/>
      </w:r>
      <w:r>
        <w:rPr>
          <w:rFonts w:hint="eastAsia"/>
          <w:sz w:val="24"/>
          <w:lang/>
        </w:rPr>
        <w:t>三、估价目的</w:t>
      </w:r>
      <w:r>
        <w:rPr>
          <w:sz w:val="24"/>
          <w:lang/>
        </w:rPr>
        <w:tab/>
      </w:r>
      <w:r>
        <w:rPr>
          <w:sz w:val="24"/>
          <w:lang/>
        </w:rPr>
        <w:fldChar w:fldCharType="begin"/>
      </w:r>
      <w:r>
        <w:rPr>
          <w:sz w:val="24"/>
          <w:lang/>
        </w:rPr>
        <w:instrText xml:space="preserve"> PAGEREF _Toc3425 </w:instrText>
      </w:r>
      <w:r>
        <w:rPr>
          <w:sz w:val="24"/>
          <w:lang/>
        </w:rPr>
        <w:fldChar w:fldCharType="separate"/>
      </w:r>
      <w:r>
        <w:rPr>
          <w:sz w:val="24"/>
          <w:lang/>
        </w:rPr>
        <w:t>- 6 -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_Toc16151 </w:instrText>
      </w:r>
      <w:r>
        <w:rPr>
          <w:rFonts w:ascii="宋体" w:hAnsi="宋体"/>
          <w:sz w:val="24"/>
          <w:lang/>
        </w:rPr>
        <w:fldChar w:fldCharType="separate"/>
      </w:r>
      <w:r>
        <w:rPr>
          <w:rFonts w:hint="eastAsia"/>
          <w:sz w:val="24"/>
          <w:lang/>
        </w:rPr>
        <w:t>四、估价对象</w:t>
      </w:r>
      <w:r>
        <w:rPr>
          <w:sz w:val="24"/>
          <w:lang/>
        </w:rPr>
        <w:tab/>
      </w:r>
      <w:r>
        <w:rPr>
          <w:sz w:val="24"/>
          <w:lang/>
        </w:rPr>
        <w:fldChar w:fldCharType="begin"/>
      </w:r>
      <w:r>
        <w:rPr>
          <w:sz w:val="24"/>
          <w:lang/>
        </w:rPr>
        <w:instrText xml:space="preserve"> PAGEREF _Toc16151 </w:instrText>
      </w:r>
      <w:r>
        <w:rPr>
          <w:sz w:val="24"/>
          <w:lang/>
        </w:rPr>
        <w:fldChar w:fldCharType="separate"/>
      </w:r>
      <w:r>
        <w:rPr>
          <w:sz w:val="24"/>
          <w:lang/>
        </w:rPr>
        <w:t>- 6 -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_Toc1014 </w:instrText>
      </w:r>
      <w:r>
        <w:rPr>
          <w:rFonts w:ascii="宋体" w:hAnsi="宋体"/>
          <w:sz w:val="24"/>
          <w:lang/>
        </w:rPr>
        <w:fldChar w:fldCharType="separate"/>
      </w:r>
      <w:r>
        <w:rPr>
          <w:rFonts w:hint="eastAsia"/>
          <w:sz w:val="24"/>
          <w:lang/>
        </w:rPr>
        <w:t>五、价值时点</w:t>
      </w:r>
      <w:r>
        <w:rPr>
          <w:sz w:val="24"/>
          <w:lang/>
        </w:rPr>
        <w:tab/>
      </w:r>
      <w:r>
        <w:rPr>
          <w:sz w:val="24"/>
          <w:lang/>
        </w:rPr>
        <w:fldChar w:fldCharType="begin"/>
      </w:r>
      <w:r>
        <w:rPr>
          <w:sz w:val="24"/>
          <w:lang/>
        </w:rPr>
        <w:instrText xml:space="preserve"> PAGEREF _Toc1014 </w:instrText>
      </w:r>
      <w:r>
        <w:rPr>
          <w:sz w:val="24"/>
          <w:lang/>
        </w:rPr>
        <w:fldChar w:fldCharType="separate"/>
      </w:r>
      <w:r>
        <w:rPr>
          <w:sz w:val="24"/>
          <w:lang/>
        </w:rPr>
        <w:t>- 7 -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_Toc12802 </w:instrText>
      </w:r>
      <w:r>
        <w:rPr>
          <w:rFonts w:ascii="宋体" w:hAnsi="宋体"/>
          <w:sz w:val="24"/>
          <w:lang/>
        </w:rPr>
        <w:fldChar w:fldCharType="separate"/>
      </w:r>
      <w:r>
        <w:rPr>
          <w:rFonts w:hint="eastAsia"/>
          <w:sz w:val="24"/>
          <w:lang/>
        </w:rPr>
        <w:t>六、价值类型</w:t>
      </w:r>
      <w:r>
        <w:rPr>
          <w:sz w:val="24"/>
          <w:lang/>
        </w:rPr>
        <w:tab/>
      </w:r>
      <w:r>
        <w:rPr>
          <w:sz w:val="24"/>
          <w:lang/>
        </w:rPr>
        <w:fldChar w:fldCharType="begin"/>
      </w:r>
      <w:r>
        <w:rPr>
          <w:sz w:val="24"/>
          <w:lang/>
        </w:rPr>
        <w:instrText xml:space="preserve"> PAGEREF _Toc12802 </w:instrText>
      </w:r>
      <w:r>
        <w:rPr>
          <w:sz w:val="24"/>
          <w:lang/>
        </w:rPr>
        <w:fldChar w:fldCharType="separate"/>
      </w:r>
      <w:r>
        <w:rPr>
          <w:sz w:val="24"/>
          <w:lang/>
        </w:rPr>
        <w:t>- 8 -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_Toc20950 </w:instrText>
      </w:r>
      <w:r>
        <w:rPr>
          <w:rFonts w:ascii="宋体" w:hAnsi="宋体"/>
          <w:sz w:val="24"/>
          <w:lang/>
        </w:rPr>
        <w:fldChar w:fldCharType="separate"/>
      </w:r>
      <w:r>
        <w:rPr>
          <w:rFonts w:hint="eastAsia"/>
          <w:sz w:val="24"/>
          <w:lang/>
        </w:rPr>
        <w:t>七、估价原则</w:t>
      </w:r>
      <w:r>
        <w:rPr>
          <w:sz w:val="24"/>
          <w:lang/>
        </w:rPr>
        <w:tab/>
      </w:r>
      <w:r>
        <w:rPr>
          <w:sz w:val="24"/>
          <w:lang/>
        </w:rPr>
        <w:fldChar w:fldCharType="begin"/>
      </w:r>
      <w:r>
        <w:rPr>
          <w:sz w:val="24"/>
          <w:lang/>
        </w:rPr>
        <w:instrText xml:space="preserve"> PAGEREF _Toc20950 </w:instrText>
      </w:r>
      <w:r>
        <w:rPr>
          <w:sz w:val="24"/>
          <w:lang/>
        </w:rPr>
        <w:fldChar w:fldCharType="separate"/>
      </w:r>
      <w:r>
        <w:rPr>
          <w:sz w:val="24"/>
          <w:lang/>
        </w:rPr>
        <w:t>- 8 -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_Toc21659 </w:instrText>
      </w:r>
      <w:r>
        <w:rPr>
          <w:rFonts w:ascii="宋体" w:hAnsi="宋体"/>
          <w:sz w:val="24"/>
          <w:lang/>
        </w:rPr>
        <w:fldChar w:fldCharType="separate"/>
      </w:r>
      <w:r>
        <w:rPr>
          <w:rFonts w:hint="eastAsia"/>
          <w:sz w:val="24"/>
          <w:lang/>
        </w:rPr>
        <w:t>八、估价依据</w:t>
      </w:r>
      <w:r>
        <w:rPr>
          <w:sz w:val="24"/>
          <w:lang/>
        </w:rPr>
        <w:tab/>
      </w:r>
      <w:r>
        <w:rPr>
          <w:sz w:val="24"/>
          <w:lang/>
        </w:rPr>
        <w:fldChar w:fldCharType="begin"/>
      </w:r>
      <w:r>
        <w:rPr>
          <w:sz w:val="24"/>
          <w:lang/>
        </w:rPr>
        <w:instrText xml:space="preserve"> PAGEREF _Toc21659 </w:instrText>
      </w:r>
      <w:r>
        <w:rPr>
          <w:sz w:val="24"/>
          <w:lang/>
        </w:rPr>
        <w:fldChar w:fldCharType="separate"/>
      </w:r>
      <w:r>
        <w:rPr>
          <w:sz w:val="24"/>
          <w:lang/>
        </w:rPr>
        <w:t>- 8 -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_Toc17657 </w:instrText>
      </w:r>
      <w:r>
        <w:rPr>
          <w:rFonts w:ascii="宋体" w:hAnsi="宋体"/>
          <w:sz w:val="24"/>
          <w:lang/>
        </w:rPr>
        <w:fldChar w:fldCharType="separate"/>
      </w:r>
      <w:r>
        <w:rPr>
          <w:rFonts w:hint="eastAsia"/>
          <w:sz w:val="24"/>
          <w:lang/>
        </w:rPr>
        <w:t>九、估价方法</w:t>
      </w:r>
      <w:r>
        <w:rPr>
          <w:sz w:val="24"/>
          <w:lang/>
        </w:rPr>
        <w:tab/>
      </w:r>
      <w:r>
        <w:rPr>
          <w:sz w:val="24"/>
          <w:lang/>
        </w:rPr>
        <w:fldChar w:fldCharType="begin"/>
      </w:r>
      <w:r>
        <w:rPr>
          <w:sz w:val="24"/>
          <w:lang/>
        </w:rPr>
        <w:instrText xml:space="preserve"> PAGEREF _Toc17657 </w:instrText>
      </w:r>
      <w:r>
        <w:rPr>
          <w:sz w:val="24"/>
          <w:lang/>
        </w:rPr>
        <w:fldChar w:fldCharType="separate"/>
      </w:r>
      <w:r>
        <w:rPr>
          <w:sz w:val="24"/>
          <w:lang/>
        </w:rPr>
        <w:t>- 10 -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_Toc27530 </w:instrText>
      </w:r>
      <w:r>
        <w:rPr>
          <w:rFonts w:ascii="宋体" w:hAnsi="宋体"/>
          <w:sz w:val="24"/>
          <w:lang/>
        </w:rPr>
        <w:fldChar w:fldCharType="separate"/>
      </w:r>
      <w:r>
        <w:rPr>
          <w:rFonts w:hint="eastAsia"/>
          <w:sz w:val="24"/>
          <w:lang/>
        </w:rPr>
        <w:t>十、估价结果</w:t>
      </w:r>
      <w:r>
        <w:rPr>
          <w:sz w:val="24"/>
          <w:lang/>
        </w:rPr>
        <w:tab/>
      </w:r>
      <w:r>
        <w:rPr>
          <w:sz w:val="24"/>
          <w:lang/>
        </w:rPr>
        <w:fldChar w:fldCharType="begin"/>
      </w:r>
      <w:r>
        <w:rPr>
          <w:sz w:val="24"/>
          <w:lang/>
        </w:rPr>
        <w:instrText xml:space="preserve"> PAGEREF _Toc27530 </w:instrText>
      </w:r>
      <w:r>
        <w:rPr>
          <w:sz w:val="24"/>
          <w:lang/>
        </w:rPr>
        <w:fldChar w:fldCharType="separate"/>
      </w:r>
      <w:r>
        <w:rPr>
          <w:sz w:val="24"/>
          <w:lang/>
        </w:rPr>
        <w:t>- 11 -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_Toc11208 </w:instrText>
      </w:r>
      <w:r>
        <w:rPr>
          <w:rFonts w:ascii="宋体" w:hAnsi="宋体"/>
          <w:sz w:val="24"/>
          <w:lang/>
        </w:rPr>
        <w:fldChar w:fldCharType="separate"/>
      </w:r>
      <w:r>
        <w:rPr>
          <w:rFonts w:hint="eastAsia" w:ascii="宋体" w:hAnsi="宋体"/>
          <w:sz w:val="24"/>
          <w:lang/>
        </w:rPr>
        <w:t>十一、</w:t>
      </w:r>
      <w:r>
        <w:rPr>
          <w:rFonts w:hint="eastAsia"/>
          <w:sz w:val="24"/>
          <w:lang/>
        </w:rPr>
        <w:t>注册房地产估价师</w:t>
      </w:r>
      <w:r>
        <w:rPr>
          <w:sz w:val="24"/>
          <w:lang/>
        </w:rPr>
        <w:tab/>
      </w:r>
      <w:r>
        <w:rPr>
          <w:sz w:val="24"/>
          <w:lang/>
        </w:rPr>
        <w:fldChar w:fldCharType="begin"/>
      </w:r>
      <w:r>
        <w:rPr>
          <w:sz w:val="24"/>
          <w:lang/>
        </w:rPr>
        <w:instrText xml:space="preserve"> PAGEREF _Toc11208 </w:instrText>
      </w:r>
      <w:r>
        <w:rPr>
          <w:sz w:val="24"/>
          <w:lang/>
        </w:rPr>
        <w:fldChar w:fldCharType="separate"/>
      </w:r>
      <w:r>
        <w:rPr>
          <w:sz w:val="24"/>
          <w:lang/>
        </w:rPr>
        <w:t>- 12 -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_Toc15976 </w:instrText>
      </w:r>
      <w:r>
        <w:rPr>
          <w:rFonts w:ascii="宋体" w:hAnsi="宋体"/>
          <w:sz w:val="24"/>
          <w:lang/>
        </w:rPr>
        <w:fldChar w:fldCharType="separate"/>
      </w:r>
      <w:r>
        <w:rPr>
          <w:rFonts w:hint="eastAsia"/>
          <w:sz w:val="24"/>
          <w:lang/>
        </w:rPr>
        <w:t>十二、</w:t>
      </w:r>
      <w:r>
        <w:rPr>
          <w:sz w:val="24"/>
          <w:lang/>
        </w:rPr>
        <w:t>实地查勘期</w:t>
      </w:r>
      <w:r>
        <w:rPr>
          <w:sz w:val="24"/>
          <w:lang/>
        </w:rPr>
        <w:tab/>
      </w:r>
      <w:r>
        <w:rPr>
          <w:sz w:val="24"/>
          <w:lang/>
        </w:rPr>
        <w:fldChar w:fldCharType="begin"/>
      </w:r>
      <w:r>
        <w:rPr>
          <w:sz w:val="24"/>
          <w:lang/>
        </w:rPr>
        <w:instrText xml:space="preserve"> PAGEREF _Toc15976 </w:instrText>
      </w:r>
      <w:r>
        <w:rPr>
          <w:sz w:val="24"/>
          <w:lang/>
        </w:rPr>
        <w:fldChar w:fldCharType="separate"/>
      </w:r>
      <w:r>
        <w:rPr>
          <w:sz w:val="24"/>
          <w:lang/>
        </w:rPr>
        <w:t>- 12 -</w:t>
      </w:r>
      <w:r>
        <w:rPr>
          <w:sz w:val="24"/>
          <w:lang/>
        </w:rPr>
        <w:fldChar w:fldCharType="end"/>
      </w:r>
      <w:r>
        <w:rPr>
          <w:rFonts w:ascii="宋体" w:hAnsi="宋体"/>
          <w:sz w:val="24"/>
          <w:lang/>
        </w:rPr>
        <w:fldChar w:fldCharType="end"/>
      </w:r>
    </w:p>
    <w:p>
      <w:pPr>
        <w:pStyle w:val="25"/>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_Toc32491 </w:instrText>
      </w:r>
      <w:r>
        <w:rPr>
          <w:rFonts w:ascii="宋体" w:hAnsi="宋体"/>
          <w:sz w:val="24"/>
          <w:lang/>
        </w:rPr>
        <w:fldChar w:fldCharType="separate"/>
      </w:r>
      <w:r>
        <w:rPr>
          <w:rFonts w:hint="eastAsia"/>
          <w:sz w:val="24"/>
          <w:lang/>
        </w:rPr>
        <w:t>十三、</w:t>
      </w:r>
      <w:r>
        <w:rPr>
          <w:sz w:val="24"/>
          <w:lang/>
        </w:rPr>
        <w:t>估价作业期</w:t>
      </w:r>
      <w:r>
        <w:rPr>
          <w:sz w:val="24"/>
          <w:lang/>
        </w:rPr>
        <w:tab/>
      </w:r>
      <w:r>
        <w:rPr>
          <w:sz w:val="24"/>
          <w:lang/>
        </w:rPr>
        <w:fldChar w:fldCharType="begin"/>
      </w:r>
      <w:r>
        <w:rPr>
          <w:sz w:val="24"/>
          <w:lang/>
        </w:rPr>
        <w:instrText xml:space="preserve"> PAGEREF _Toc32491 </w:instrText>
      </w:r>
      <w:r>
        <w:rPr>
          <w:sz w:val="24"/>
          <w:lang/>
        </w:rPr>
        <w:fldChar w:fldCharType="separate"/>
      </w:r>
      <w:r>
        <w:rPr>
          <w:sz w:val="24"/>
          <w:lang/>
        </w:rPr>
        <w:t>- 12 -</w:t>
      </w:r>
      <w:r>
        <w:rPr>
          <w:sz w:val="24"/>
          <w:lang/>
        </w:rPr>
        <w:fldChar w:fldCharType="end"/>
      </w:r>
      <w:r>
        <w:rPr>
          <w:rFonts w:ascii="宋体" w:hAnsi="宋体"/>
          <w:sz w:val="24"/>
          <w:lang/>
        </w:rPr>
        <w:fldChar w:fldCharType="end"/>
      </w:r>
    </w:p>
    <w:p>
      <w:pPr>
        <w:pStyle w:val="21"/>
        <w:tabs>
          <w:tab w:val="right" w:leader="dot" w:pos="8641"/>
        </w:tabs>
        <w:spacing w:line="360" w:lineRule="auto"/>
        <w:rPr>
          <w:sz w:val="24"/>
          <w:lang/>
        </w:rPr>
      </w:pPr>
      <w:r>
        <w:rPr>
          <w:rFonts w:ascii="宋体" w:hAnsi="宋体"/>
          <w:sz w:val="24"/>
          <w:lang/>
        </w:rPr>
        <w:fldChar w:fldCharType="begin"/>
      </w:r>
      <w:r>
        <w:rPr>
          <w:rFonts w:ascii="宋体" w:hAnsi="宋体"/>
          <w:sz w:val="24"/>
          <w:lang/>
        </w:rPr>
        <w:instrText xml:space="preserve"> HYPERLINK \l _Toc6439 </w:instrText>
      </w:r>
      <w:r>
        <w:rPr>
          <w:rFonts w:ascii="宋体" w:hAnsi="宋体"/>
          <w:sz w:val="24"/>
          <w:lang/>
        </w:rPr>
        <w:fldChar w:fldCharType="separate"/>
      </w:r>
      <w:r>
        <w:rPr>
          <w:rFonts w:hint="eastAsia"/>
          <w:sz w:val="24"/>
          <w:lang/>
        </w:rPr>
        <w:t>附 件</w:t>
      </w:r>
      <w:r>
        <w:rPr>
          <w:sz w:val="24"/>
          <w:lang/>
        </w:rPr>
        <w:tab/>
      </w:r>
      <w:r>
        <w:rPr>
          <w:sz w:val="24"/>
          <w:lang/>
        </w:rPr>
        <w:fldChar w:fldCharType="begin"/>
      </w:r>
      <w:r>
        <w:rPr>
          <w:sz w:val="24"/>
          <w:lang/>
        </w:rPr>
        <w:instrText xml:space="preserve"> PAGEREF _Toc6439 </w:instrText>
      </w:r>
      <w:r>
        <w:rPr>
          <w:sz w:val="24"/>
          <w:lang/>
        </w:rPr>
        <w:fldChar w:fldCharType="separate"/>
      </w:r>
      <w:r>
        <w:rPr>
          <w:sz w:val="24"/>
          <w:lang/>
        </w:rPr>
        <w:t>- 13 -</w:t>
      </w:r>
      <w:r>
        <w:rPr>
          <w:sz w:val="24"/>
          <w:lang/>
        </w:rPr>
        <w:fldChar w:fldCharType="end"/>
      </w:r>
      <w:r>
        <w:rPr>
          <w:rFonts w:ascii="宋体" w:hAnsi="宋体"/>
          <w:sz w:val="24"/>
          <w:lang/>
        </w:rPr>
        <w:fldChar w:fldCharType="end"/>
      </w:r>
    </w:p>
    <w:p>
      <w:pPr>
        <w:pStyle w:val="10"/>
        <w:tabs>
          <w:tab w:val="left" w:pos="618"/>
          <w:tab w:val="clear" w:pos="540"/>
        </w:tabs>
        <w:ind w:left="77" w:leftChars="37" w:right="-287" w:firstLine="357" w:firstLineChars="149"/>
        <w:rPr>
          <w:rFonts w:ascii="宋体" w:hAnsi="宋体"/>
          <w:b/>
          <w:sz w:val="36"/>
        </w:rPr>
        <w:sectPr>
          <w:headerReference r:id="rId5" w:type="default"/>
          <w:pgSz w:w="11907" w:h="16840"/>
          <w:pgMar w:top="1077" w:right="1469" w:bottom="1077" w:left="1797" w:header="284" w:footer="454" w:gutter="0"/>
          <w:pgNumType w:fmt="numberInDash" w:start="1"/>
          <w:cols w:space="720" w:num="1"/>
          <w:docGrid w:type="linesAndChars" w:linePitch="312" w:charSpace="0"/>
        </w:sectPr>
      </w:pPr>
      <w:r>
        <w:rPr>
          <w:rFonts w:ascii="宋体" w:hAnsi="宋体"/>
          <w:szCs w:val="28"/>
        </w:rPr>
        <w:fldChar w:fldCharType="end"/>
      </w:r>
      <w:bookmarkStart w:id="0" w:name="_Toc373944534"/>
    </w:p>
    <w:p>
      <w:pPr>
        <w:pStyle w:val="3"/>
        <w:spacing w:line="360" w:lineRule="auto"/>
      </w:pPr>
      <w:bookmarkStart w:id="1" w:name="_Toc1454"/>
      <w:r>
        <w:rPr>
          <w:rFonts w:hint="eastAsia"/>
        </w:rPr>
        <w:t>估价师声明</w:t>
      </w:r>
      <w:bookmarkEnd w:id="0"/>
      <w:bookmarkEnd w:id="1"/>
    </w:p>
    <w:p>
      <w:pPr>
        <w:spacing w:line="360" w:lineRule="auto"/>
        <w:ind w:firstLine="560" w:firstLineChars="200"/>
        <w:rPr>
          <w:rFonts w:hint="eastAsia" w:ascii="宋体" w:hAnsi="宋体"/>
          <w:sz w:val="28"/>
          <w:szCs w:val="28"/>
        </w:rPr>
      </w:pPr>
      <w:r>
        <w:rPr>
          <w:rFonts w:hint="eastAsia" w:ascii="宋体" w:hAnsi="宋体"/>
          <w:sz w:val="28"/>
          <w:szCs w:val="28"/>
        </w:rPr>
        <w:t>我们根据自己的专业知识和职业道德，在此郑重声明：</w:t>
      </w:r>
    </w:p>
    <w:p>
      <w:pPr>
        <w:spacing w:line="360" w:lineRule="auto"/>
        <w:ind w:firstLine="560" w:firstLineChars="200"/>
        <w:rPr>
          <w:rFonts w:hint="eastAsia" w:ascii="宋体" w:hAnsi="宋体"/>
          <w:sz w:val="28"/>
          <w:szCs w:val="28"/>
        </w:rPr>
      </w:pPr>
      <w:r>
        <w:rPr>
          <w:rFonts w:hint="eastAsia" w:ascii="宋体" w:hAnsi="宋体"/>
          <w:sz w:val="28"/>
          <w:szCs w:val="28"/>
        </w:rPr>
        <w:t>一、我们在估价报告中对事实的说明是真实和准确的，没有虚假记载、误导性陈述和重大遗漏。</w:t>
      </w:r>
    </w:p>
    <w:p>
      <w:pPr>
        <w:spacing w:line="360" w:lineRule="auto"/>
        <w:ind w:firstLine="560" w:firstLineChars="200"/>
        <w:rPr>
          <w:rFonts w:hint="eastAsia" w:ascii="宋体" w:hAnsi="宋体"/>
          <w:sz w:val="28"/>
          <w:szCs w:val="28"/>
        </w:rPr>
      </w:pPr>
      <w:r>
        <w:rPr>
          <w:rFonts w:hint="eastAsia" w:ascii="宋体" w:hAnsi="宋体"/>
          <w:sz w:val="28"/>
          <w:szCs w:val="28"/>
        </w:rPr>
        <w:t>二、估价报告中的分析、意见和结论是我们自己独立、客观、公正的专业分析、意见和结论，但受到本估价报告中已经说明的估价假设和限制条件的限制。</w:t>
      </w:r>
    </w:p>
    <w:p>
      <w:pPr>
        <w:spacing w:line="360" w:lineRule="auto"/>
        <w:ind w:firstLine="560" w:firstLineChars="200"/>
        <w:rPr>
          <w:rFonts w:hint="eastAsia" w:ascii="宋体" w:hAnsi="宋体"/>
          <w:sz w:val="28"/>
          <w:szCs w:val="28"/>
        </w:rPr>
      </w:pPr>
      <w:r>
        <w:rPr>
          <w:rFonts w:hint="eastAsia" w:ascii="宋体" w:hAnsi="宋体"/>
          <w:sz w:val="28"/>
          <w:szCs w:val="28"/>
        </w:rPr>
        <w:t>三、我们与本估价报告中的估价对象没有利害关系，也与有关当事人没有个人利害关系或偏见。</w:t>
      </w:r>
    </w:p>
    <w:p>
      <w:pPr>
        <w:pStyle w:val="9"/>
        <w:ind w:firstLine="560" w:firstLineChars="200"/>
        <w:rPr>
          <w:rFonts w:hint="eastAsia" w:ascii="宋体" w:hAnsi="宋体"/>
          <w:sz w:val="28"/>
          <w:szCs w:val="28"/>
        </w:rPr>
      </w:pPr>
      <w:r>
        <w:rPr>
          <w:rFonts w:hint="eastAsia" w:ascii="宋体" w:hAnsi="宋体"/>
          <w:sz w:val="28"/>
          <w:szCs w:val="28"/>
        </w:rPr>
        <w:t>四、我们依照中华人民共和国国家标准《房地产估价规范》（GB/T 50291-2015）、《房地产估价基本术语标准》（GB/T 50899-2013）以及与估价目的相应的房地产估价专项标准进行分析，形成意见和结论，撰写估价报告。</w:t>
      </w:r>
    </w:p>
    <w:p>
      <w:pPr>
        <w:spacing w:line="360" w:lineRule="auto"/>
        <w:ind w:firstLine="560" w:firstLineChars="200"/>
        <w:rPr>
          <w:rFonts w:ascii="宋体" w:hAnsi="宋体"/>
          <w:sz w:val="28"/>
          <w:szCs w:val="28"/>
        </w:rPr>
      </w:pPr>
      <w:r>
        <w:rPr>
          <w:rFonts w:hint="eastAsia" w:ascii="宋体" w:hAnsi="宋体"/>
          <w:sz w:val="28"/>
          <w:szCs w:val="28"/>
        </w:rPr>
        <w:t>五、我们已对本估价报告中的估价对象进行了实地查勘，取得了估价对象的现场资料，并以此作为本次评估的依据之一。</w:t>
      </w:r>
    </w:p>
    <w:p>
      <w:pPr>
        <w:spacing w:line="360" w:lineRule="auto"/>
        <w:ind w:firstLine="560" w:firstLineChars="200"/>
        <w:rPr>
          <w:rFonts w:ascii="宋体" w:hAnsi="宋体"/>
          <w:sz w:val="28"/>
        </w:rPr>
      </w:pPr>
    </w:p>
    <w:p>
      <w:pPr>
        <w:spacing w:line="360" w:lineRule="auto"/>
        <w:jc w:val="center"/>
        <w:rPr>
          <w:rFonts w:ascii="宋体" w:hAnsi="宋体"/>
          <w:sz w:val="28"/>
        </w:rPr>
      </w:pPr>
      <w:r>
        <w:rPr>
          <w:rFonts w:ascii="宋体" w:hAnsi="宋体"/>
          <w:sz w:val="28"/>
        </w:rPr>
        <w:t xml:space="preserve">                            </w:t>
      </w: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pStyle w:val="3"/>
        <w:spacing w:line="360" w:lineRule="auto"/>
      </w:pPr>
      <w:bookmarkStart w:id="2" w:name="_Toc533514831"/>
      <w:bookmarkStart w:id="3" w:name="_Toc373944535"/>
      <w:bookmarkStart w:id="4" w:name="_Toc6426"/>
      <w:r>
        <w:rPr>
          <w:rFonts w:hint="eastAsia"/>
        </w:rPr>
        <w:t>估价假设和限制条件</w:t>
      </w:r>
      <w:bookmarkEnd w:id="2"/>
      <w:bookmarkEnd w:id="3"/>
      <w:bookmarkEnd w:id="4"/>
    </w:p>
    <w:p>
      <w:pPr>
        <w:pStyle w:val="4"/>
        <w:spacing w:line="360" w:lineRule="auto"/>
        <w:rPr>
          <w:rFonts w:hint="eastAsia"/>
          <w:szCs w:val="28"/>
        </w:rPr>
      </w:pPr>
      <w:bookmarkStart w:id="5" w:name="_Toc533514832"/>
      <w:bookmarkStart w:id="6" w:name="_Toc3100"/>
      <w:bookmarkStart w:id="7" w:name="_Toc352332689"/>
      <w:bookmarkStart w:id="8" w:name="_Toc350960950"/>
      <w:bookmarkStart w:id="9" w:name="_Toc291674450"/>
      <w:bookmarkStart w:id="10" w:name="_Toc285632540"/>
      <w:r>
        <w:rPr>
          <w:rFonts w:hint="eastAsia"/>
          <w:szCs w:val="28"/>
        </w:rPr>
        <w:t>一、</w:t>
      </w:r>
      <w:r>
        <w:rPr>
          <w:rFonts w:hint="eastAsia"/>
        </w:rPr>
        <w:t>一般假设</w:t>
      </w:r>
      <w:bookmarkEnd w:id="5"/>
      <w:bookmarkEnd w:id="6"/>
    </w:p>
    <w:bookmarkEnd w:id="7"/>
    <w:bookmarkEnd w:id="8"/>
    <w:bookmarkEnd w:id="9"/>
    <w:bookmarkEnd w:id="10"/>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（一）本估价结果是以估价对象能够正常使用和合法处置为前提。</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（二）估价委托人提供了估价对象的</w:t>
      </w:r>
      <w:r>
        <w:rPr>
          <w:rFonts w:hint="eastAsia" w:ascii="宋体" w:hAnsi="宋体"/>
          <w:sz w:val="28"/>
          <w:szCs w:val="28"/>
          <w:lang w:eastAsia="zh-CN"/>
        </w:rPr>
        <w:t>《房地产权证》</w:t>
      </w:r>
      <w:r>
        <w:rPr>
          <w:rFonts w:hint="eastAsia" w:ascii="宋体" w:hAnsi="宋体"/>
          <w:sz w:val="28"/>
          <w:szCs w:val="28"/>
        </w:rPr>
        <w:t>复印件，我司估价人员对</w:t>
      </w:r>
      <w:r>
        <w:rPr>
          <w:rFonts w:hint="eastAsia" w:ascii="宋体" w:hAnsi="宋体"/>
          <w:sz w:val="28"/>
          <w:szCs w:val="28"/>
          <w:lang w:eastAsia="zh-CN"/>
        </w:rPr>
        <w:t>《房地产权证》</w:t>
      </w:r>
      <w:r>
        <w:rPr>
          <w:rFonts w:hint="eastAsia" w:ascii="宋体" w:hAnsi="宋体"/>
          <w:sz w:val="28"/>
          <w:szCs w:val="28"/>
        </w:rPr>
        <w:t>记载的估价对象权属、面积等资料进行了审慎检查，在无理由怀疑其合法性、真实性、准确性和完整性且未予以核实的情况下，假设它们是合法、真实、准确和完整的。</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（三）</w:t>
      </w:r>
      <w:r>
        <w:rPr>
          <w:rFonts w:ascii="宋体" w:hAnsi="宋体"/>
          <w:sz w:val="28"/>
          <w:szCs w:val="28"/>
        </w:rPr>
        <w:t>我司估价人员已对本估价报告中的估价对象进行了外观及使用状况的实地查勘，对房屋质量安全、质量缺陷、环境污染等影响估价对象价值或价格的重大因素给予了关注，</w:t>
      </w:r>
      <w:r>
        <w:rPr>
          <w:rFonts w:hint="eastAsia" w:ascii="宋体" w:hAnsi="宋体"/>
          <w:sz w:val="28"/>
          <w:szCs w:val="28"/>
        </w:rPr>
        <w:t>在无理由怀疑估价对象存在安全隐患且无相应的专业机构对估价对象的建筑物基础和房屋结构进行鉴定、检测的情况下，本次估价假设其无基础、结构方面的重大质量问题，房屋安全。</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（四）假设该物业权益未附带可能影响其价值的他项权利及限制，估价对象不受可能影响其价值的债权限制或负有法律义务性质的开支所约束。</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bCs/>
          <w:sz w:val="28"/>
        </w:rPr>
        <w:t>（五）</w:t>
      </w:r>
      <w:r>
        <w:rPr>
          <w:rFonts w:hint="eastAsia" w:ascii="宋体" w:hAnsi="宋体"/>
          <w:sz w:val="28"/>
          <w:szCs w:val="28"/>
        </w:rPr>
        <w:t>估价对象位置、估价范围及使用状况等，均以领勘人指认的物业位置及描述为准，本次估价是以此为前提进行评估，估价人员无法确定其是否存在误指或错指的情况，若与实际情况不符，则估价结果应作相应调整或重新评估，提请报告使用者注意。</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（六）</w:t>
      </w:r>
      <w:r>
        <w:rPr>
          <w:rFonts w:hint="eastAsia" w:ascii="宋体" w:hAnsi="宋体"/>
          <w:bCs/>
          <w:sz w:val="28"/>
        </w:rPr>
        <w:t>设定本次价值时点为对估价对象完成实地查勘之日：</w:t>
      </w:r>
      <w:r>
        <w:rPr>
          <w:rFonts w:hint="eastAsia" w:ascii="宋体" w:hAnsi="宋体"/>
          <w:sz w:val="28"/>
          <w:szCs w:val="28"/>
          <w:lang w:eastAsia="zh-CN"/>
        </w:rPr>
        <w:t>二〇二二年八月二日</w:t>
      </w:r>
      <w:r>
        <w:rPr>
          <w:rFonts w:ascii="宋体" w:hAnsi="宋体"/>
          <w:sz w:val="28"/>
          <w:szCs w:val="28"/>
        </w:rPr>
        <w:t>。</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（七）</w:t>
      </w:r>
      <w:r>
        <w:rPr>
          <w:rFonts w:ascii="宋体" w:hAnsi="宋体"/>
          <w:sz w:val="28"/>
          <w:szCs w:val="28"/>
        </w:rPr>
        <w:t>估价对象在价值时点的房地产市场为公开、平等、自愿的市场交易，即能满足以下条件</w:t>
      </w:r>
      <w:r>
        <w:rPr>
          <w:rFonts w:hint="eastAsia" w:ascii="宋体" w:hAnsi="宋体"/>
          <w:sz w:val="28"/>
          <w:szCs w:val="28"/>
        </w:rPr>
        <w:t>：</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1、</w:t>
      </w:r>
      <w:r>
        <w:rPr>
          <w:rFonts w:ascii="宋体" w:hAnsi="宋体"/>
          <w:sz w:val="28"/>
          <w:szCs w:val="28"/>
        </w:rPr>
        <w:t>交易双方是自愿地进行交易的；</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2、</w:t>
      </w:r>
      <w:r>
        <w:rPr>
          <w:rFonts w:ascii="宋体" w:hAnsi="宋体"/>
          <w:sz w:val="28"/>
          <w:szCs w:val="28"/>
        </w:rPr>
        <w:t>交易双方是出于利己动机进行交易的；</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交易双方是精明的、谨慎行事的，并且了解交易对象、知晓市场行情；</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4、</w:t>
      </w:r>
      <w:r>
        <w:rPr>
          <w:rFonts w:ascii="宋体" w:hAnsi="宋体"/>
          <w:sz w:val="28"/>
          <w:szCs w:val="28"/>
        </w:rPr>
        <w:t>交易双方有较充裕的时间进行交易；</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该房地产可以继续使用；</w:t>
      </w:r>
      <w:r>
        <w:rPr>
          <w:rFonts w:hint="eastAsia" w:ascii="宋体" w:hAnsi="宋体"/>
          <w:sz w:val="28"/>
          <w:szCs w:val="28"/>
        </w:rPr>
        <w:t xml:space="preserve"> </w:t>
      </w:r>
    </w:p>
    <w:p>
      <w:pPr>
        <w:tabs>
          <w:tab w:val="left" w:pos="735"/>
        </w:tabs>
        <w:overflowPunct w:val="0"/>
        <w:spacing w:line="360" w:lineRule="auto"/>
        <w:ind w:firstLine="560" w:firstLineChars="200"/>
        <w:rPr>
          <w:rFonts w:hint="eastAsia" w:ascii="宋体" w:hAnsi="宋体"/>
          <w:sz w:val="28"/>
          <w:szCs w:val="28"/>
        </w:rPr>
      </w:pPr>
      <w:r>
        <w:rPr>
          <w:rFonts w:hint="eastAsia" w:ascii="宋体" w:hAnsi="宋体"/>
          <w:sz w:val="28"/>
          <w:szCs w:val="28"/>
        </w:rPr>
        <w:t>6、</w:t>
      </w:r>
      <w:r>
        <w:rPr>
          <w:rFonts w:ascii="宋体" w:hAnsi="宋体"/>
          <w:sz w:val="28"/>
          <w:szCs w:val="28"/>
        </w:rPr>
        <w:t>在此期间物业价值将保持稳定；</w:t>
      </w:r>
      <w:r>
        <w:rPr>
          <w:rFonts w:hint="eastAsia" w:ascii="宋体" w:hAnsi="宋体"/>
          <w:sz w:val="28"/>
          <w:szCs w:val="28"/>
        </w:rPr>
        <w:t xml:space="preserve"> </w:t>
      </w:r>
    </w:p>
    <w:p>
      <w:pPr>
        <w:tabs>
          <w:tab w:val="left" w:pos="735"/>
        </w:tabs>
        <w:overflowPunct w:val="0"/>
        <w:spacing w:line="360" w:lineRule="auto"/>
        <w:ind w:firstLine="560" w:firstLineChars="200"/>
        <w:rPr>
          <w:rFonts w:hint="eastAsia" w:ascii="宋体" w:hAnsi="宋体"/>
          <w:bCs/>
          <w:sz w:val="28"/>
          <w:szCs w:val="28"/>
        </w:rPr>
      </w:pPr>
      <w:r>
        <w:rPr>
          <w:rFonts w:hint="eastAsia" w:ascii="宋体" w:hAnsi="宋体"/>
          <w:sz w:val="28"/>
          <w:szCs w:val="28"/>
        </w:rPr>
        <w:t>7、</w:t>
      </w:r>
      <w:r>
        <w:rPr>
          <w:rFonts w:ascii="宋体" w:hAnsi="宋体"/>
          <w:sz w:val="28"/>
          <w:szCs w:val="28"/>
        </w:rPr>
        <w:t>不考虑特殊买家的额外出价</w:t>
      </w:r>
      <w:r>
        <w:rPr>
          <w:rFonts w:ascii="宋体" w:hAnsi="宋体"/>
          <w:bCs/>
          <w:sz w:val="28"/>
          <w:szCs w:val="28"/>
        </w:rPr>
        <w:t>。</w:t>
      </w:r>
    </w:p>
    <w:p>
      <w:pPr>
        <w:pStyle w:val="4"/>
        <w:spacing w:line="360" w:lineRule="auto"/>
        <w:rPr>
          <w:rFonts w:hint="eastAsia"/>
        </w:rPr>
      </w:pPr>
      <w:bookmarkStart w:id="11" w:name="_Toc31281"/>
      <w:bookmarkStart w:id="12" w:name="_Toc533514833"/>
      <w:r>
        <w:rPr>
          <w:rFonts w:hint="eastAsia"/>
        </w:rPr>
        <w:t>二、未定事项假设</w:t>
      </w:r>
      <w:bookmarkEnd w:id="11"/>
      <w:bookmarkEnd w:id="12"/>
    </w:p>
    <w:p>
      <w:pPr>
        <w:pStyle w:val="14"/>
        <w:adjustRightInd w:val="0"/>
        <w:snapToGrid w:val="0"/>
        <w:spacing w:line="360" w:lineRule="auto"/>
        <w:ind w:firstLine="560" w:firstLineChars="200"/>
        <w:rPr>
          <w:rFonts w:hint="eastAsia" w:hAnsi="宋体"/>
          <w:snapToGrid w:val="0"/>
          <w:sz w:val="28"/>
          <w:szCs w:val="28"/>
        </w:rPr>
      </w:pPr>
      <w:bookmarkStart w:id="13" w:name="_Toc436513018"/>
      <w:bookmarkStart w:id="14" w:name="_Toc436512944"/>
      <w:r>
        <w:rPr>
          <w:rFonts w:hAnsi="宋体"/>
          <w:snapToGrid w:val="0"/>
          <w:color w:val="000000"/>
          <w:sz w:val="28"/>
          <w:szCs w:val="28"/>
        </w:rPr>
        <w:t>本估价项目不存在未定事项，故本估价报告无未定事项假设。</w:t>
      </w:r>
    </w:p>
    <w:p>
      <w:pPr>
        <w:pStyle w:val="4"/>
        <w:spacing w:line="360" w:lineRule="auto"/>
        <w:rPr>
          <w:rFonts w:hint="eastAsia"/>
          <w:snapToGrid w:val="0"/>
        </w:rPr>
      </w:pPr>
      <w:bookmarkStart w:id="15" w:name="_Toc11730"/>
      <w:bookmarkStart w:id="16" w:name="_Toc533514834"/>
      <w:r>
        <w:rPr>
          <w:rFonts w:hint="eastAsia"/>
          <w:snapToGrid w:val="0"/>
        </w:rPr>
        <w:t>三、</w:t>
      </w:r>
      <w:r>
        <w:rPr>
          <w:snapToGrid w:val="0"/>
        </w:rPr>
        <w:t>背离事实假设</w:t>
      </w:r>
      <w:bookmarkEnd w:id="15"/>
      <w:bookmarkEnd w:id="16"/>
    </w:p>
    <w:bookmarkEnd w:id="13"/>
    <w:bookmarkEnd w:id="14"/>
    <w:p>
      <w:pPr>
        <w:adjustRightInd w:val="0"/>
        <w:snapToGrid w:val="0"/>
        <w:spacing w:line="360" w:lineRule="auto"/>
        <w:ind w:firstLine="560" w:firstLineChars="200"/>
        <w:rPr>
          <w:rFonts w:ascii="宋体" w:hAnsi="宋体"/>
          <w:snapToGrid w:val="0"/>
          <w:kern w:val="0"/>
          <w:sz w:val="28"/>
          <w:szCs w:val="28"/>
        </w:rPr>
      </w:pPr>
      <w:r>
        <w:rPr>
          <w:rFonts w:hint="eastAsia" w:ascii="宋体" w:hAnsi="宋体"/>
          <w:snapToGrid w:val="0"/>
          <w:kern w:val="0"/>
          <w:sz w:val="28"/>
          <w:szCs w:val="28"/>
        </w:rPr>
        <w:t>1、估价结果是为有关方了解估价对象于价值时点的公开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adjustRightInd w:val="0"/>
        <w:snapToGrid w:val="0"/>
        <w:spacing w:line="360" w:lineRule="auto"/>
        <w:ind w:firstLine="560" w:firstLineChars="200"/>
        <w:rPr>
          <w:rFonts w:hint="eastAsia" w:ascii="宋体" w:hAnsi="宋体"/>
          <w:snapToGrid w:val="0"/>
          <w:kern w:val="0"/>
          <w:sz w:val="28"/>
          <w:szCs w:val="28"/>
        </w:rPr>
      </w:pPr>
      <w:r>
        <w:rPr>
          <w:rFonts w:hint="eastAsia" w:ascii="宋体" w:hAnsi="宋体"/>
          <w:snapToGrid w:val="0"/>
          <w:kern w:val="0"/>
          <w:sz w:val="28"/>
          <w:szCs w:val="28"/>
        </w:rPr>
        <w:t>2、估价结果未考虑估价对象及其所有权利人已承担的债务、或有债务及经营决策失误或市场运作失当对其价值的影响。</w:t>
      </w:r>
    </w:p>
    <w:p>
      <w:pPr>
        <w:pStyle w:val="4"/>
        <w:spacing w:line="360" w:lineRule="auto"/>
        <w:rPr>
          <w:rFonts w:hint="eastAsia" w:ascii="宋体" w:hAnsi="宋体"/>
          <w:snapToGrid w:val="0"/>
          <w:sz w:val="28"/>
          <w:szCs w:val="28"/>
        </w:rPr>
      </w:pPr>
      <w:bookmarkStart w:id="17" w:name="_Toc24516"/>
      <w:bookmarkStart w:id="18" w:name="_Toc533514835"/>
      <w:r>
        <w:rPr>
          <w:rFonts w:hint="eastAsia"/>
          <w:snapToGrid w:val="0"/>
          <w:kern w:val="0"/>
        </w:rPr>
        <w:t>四、</w:t>
      </w:r>
      <w:r>
        <w:rPr>
          <w:snapToGrid w:val="0"/>
        </w:rPr>
        <w:t>不相一致假设</w:t>
      </w:r>
      <w:bookmarkEnd w:id="17"/>
      <w:bookmarkEnd w:id="18"/>
    </w:p>
    <w:p>
      <w:pPr>
        <w:pStyle w:val="2"/>
        <w:ind w:firstLine="560" w:firstLineChars="200"/>
        <w:rPr>
          <w:rFonts w:hint="eastAsia"/>
        </w:rPr>
      </w:pPr>
      <w:r>
        <w:rPr>
          <w:rFonts w:hint="eastAsia" w:ascii="宋体" w:hAnsi="宋体"/>
          <w:snapToGrid w:val="0"/>
          <w:sz w:val="28"/>
          <w:szCs w:val="28"/>
          <w:lang w:eastAsia="zh-CN"/>
        </w:rPr>
        <w:t>估价对象的</w:t>
      </w:r>
      <w:r>
        <w:rPr>
          <w:rFonts w:hint="eastAsia" w:ascii="宋体" w:hAnsi="宋体"/>
          <w:snapToGrid w:val="0"/>
          <w:sz w:val="28"/>
          <w:szCs w:val="28"/>
        </w:rPr>
        <w:t>不同权属证明上的权利人一致，估价对象的证载名称、地址与现状名称、地址是一致的，</w:t>
      </w:r>
      <w:r>
        <w:rPr>
          <w:rFonts w:hint="eastAsia" w:ascii="宋体" w:hAnsi="宋体"/>
          <w:snapToGrid w:val="0"/>
          <w:sz w:val="28"/>
          <w:szCs w:val="28"/>
          <w:lang w:eastAsia="zh-CN"/>
        </w:rPr>
        <w:t>估价对象登记用途为</w:t>
      </w:r>
      <w:r>
        <w:rPr>
          <w:rFonts w:hint="eastAsia" w:ascii="宋体" w:hAnsi="宋体" w:eastAsia="宋体" w:cs="Times New Roman"/>
          <w:snapToGrid w:val="0"/>
          <w:sz w:val="28"/>
          <w:szCs w:val="28"/>
          <w:lang w:eastAsia="zh-CN"/>
        </w:rPr>
        <w:t>住宅，实际用途为</w:t>
      </w:r>
      <w:r>
        <w:rPr>
          <w:rFonts w:hint="eastAsia" w:ascii="宋体" w:hAnsi="宋体" w:eastAsia="宋体" w:cs="Times New Roman"/>
          <w:snapToGrid w:val="0"/>
          <w:sz w:val="28"/>
          <w:szCs w:val="28"/>
          <w:lang w:val="en-US" w:eastAsia="zh-CN"/>
        </w:rPr>
        <w:t>1</w:t>
      </w:r>
      <w:r>
        <w:rPr>
          <w:rFonts w:hint="eastAsia" w:ascii="宋体" w:hAnsi="宋体" w:eastAsia="宋体" w:cs="Times New Roman"/>
          <w:snapToGrid w:val="0"/>
          <w:sz w:val="28"/>
          <w:szCs w:val="28"/>
          <w:lang w:eastAsia="zh-CN"/>
        </w:rPr>
        <w:t>层作为商铺、</w:t>
      </w:r>
      <w:r>
        <w:rPr>
          <w:rFonts w:hint="eastAsia" w:ascii="宋体" w:hAnsi="宋体" w:eastAsia="宋体" w:cs="Times New Roman"/>
          <w:snapToGrid w:val="0"/>
          <w:sz w:val="28"/>
          <w:szCs w:val="28"/>
          <w:lang w:val="en-US" w:eastAsia="zh-CN"/>
        </w:rPr>
        <w:t>2-6层作为</w:t>
      </w:r>
      <w:r>
        <w:rPr>
          <w:rFonts w:hint="eastAsia" w:ascii="宋体" w:hAnsi="宋体" w:eastAsia="宋体" w:cs="Times New Roman"/>
          <w:snapToGrid w:val="0"/>
          <w:sz w:val="28"/>
          <w:szCs w:val="28"/>
        </w:rPr>
        <w:t>住</w:t>
      </w:r>
      <w:r>
        <w:rPr>
          <w:rFonts w:hint="eastAsia" w:ascii="宋体" w:hAnsi="宋体" w:eastAsia="宋体" w:cs="Times New Roman"/>
          <w:snapToGrid w:val="0"/>
          <w:sz w:val="28"/>
          <w:szCs w:val="28"/>
          <w:lang w:eastAsia="zh-CN"/>
        </w:rPr>
        <w:t>宅，</w:t>
      </w:r>
      <w:r>
        <w:rPr>
          <w:rFonts w:hint="eastAsia" w:ascii="宋体" w:hAnsi="宋体" w:eastAsia="宋体" w:cs="Times New Roman"/>
          <w:snapToGrid w:val="0"/>
          <w:sz w:val="28"/>
          <w:szCs w:val="28"/>
          <w:lang w:val="en-US" w:eastAsia="zh-CN"/>
        </w:rPr>
        <w:t>请报告使用者注意</w:t>
      </w:r>
      <w:r>
        <w:rPr>
          <w:rFonts w:hint="eastAsia" w:ascii="宋体" w:hAnsi="宋体" w:eastAsia="宋体" w:cs="Times New Roman"/>
          <w:snapToGrid w:val="0"/>
          <w:sz w:val="28"/>
          <w:szCs w:val="28"/>
          <w:lang w:eastAsia="zh-CN"/>
        </w:rPr>
        <w:t>。</w:t>
      </w:r>
    </w:p>
    <w:p>
      <w:pPr>
        <w:pStyle w:val="4"/>
        <w:spacing w:line="360" w:lineRule="auto"/>
        <w:rPr>
          <w:rFonts w:hint="eastAsia"/>
          <w:snapToGrid w:val="0"/>
          <w:kern w:val="0"/>
        </w:rPr>
      </w:pPr>
      <w:bookmarkStart w:id="19" w:name="_Toc20515"/>
      <w:bookmarkStart w:id="20" w:name="_Toc533514836"/>
      <w:r>
        <w:rPr>
          <w:rFonts w:hint="eastAsia"/>
          <w:snapToGrid w:val="0"/>
          <w:kern w:val="0"/>
        </w:rPr>
        <w:t>五、</w:t>
      </w:r>
      <w:r>
        <w:rPr>
          <w:snapToGrid w:val="0"/>
          <w:kern w:val="0"/>
        </w:rPr>
        <w:t>依据不足假设</w:t>
      </w:r>
      <w:bookmarkEnd w:id="19"/>
      <w:bookmarkEnd w:id="20"/>
    </w:p>
    <w:p>
      <w:pPr>
        <w:adjustRightInd w:val="0"/>
        <w:snapToGrid w:val="0"/>
        <w:spacing w:line="360" w:lineRule="auto"/>
        <w:ind w:firstLine="560" w:firstLineChars="200"/>
        <w:rPr>
          <w:rFonts w:hint="eastAsia" w:ascii="宋体" w:hAnsi="宋体"/>
          <w:snapToGrid w:val="0"/>
          <w:sz w:val="28"/>
          <w:szCs w:val="28"/>
        </w:rPr>
      </w:pPr>
      <w:r>
        <w:rPr>
          <w:rFonts w:ascii="宋体" w:hAnsi="宋体"/>
          <w:snapToGrid w:val="0"/>
          <w:sz w:val="28"/>
          <w:szCs w:val="28"/>
        </w:rPr>
        <w:t>本次评估我司工作人员现场查勘时，由于</w:t>
      </w:r>
      <w:r>
        <w:rPr>
          <w:rFonts w:hint="eastAsia" w:ascii="宋体" w:hAnsi="宋体"/>
          <w:snapToGrid w:val="0"/>
          <w:sz w:val="28"/>
          <w:szCs w:val="28"/>
        </w:rPr>
        <w:t>被执行人</w:t>
      </w:r>
      <w:r>
        <w:rPr>
          <w:rFonts w:ascii="宋体" w:hAnsi="宋体"/>
          <w:snapToGrid w:val="0"/>
          <w:sz w:val="28"/>
          <w:szCs w:val="28"/>
        </w:rPr>
        <w:t>的原因，导致估价人员未能进入</w:t>
      </w:r>
      <w:r>
        <w:rPr>
          <w:rFonts w:hint="eastAsia" w:ascii="宋体" w:hAnsi="宋体"/>
          <w:snapToGrid w:val="0"/>
          <w:sz w:val="28"/>
          <w:szCs w:val="28"/>
          <w:lang w:val="en-US" w:eastAsia="zh-CN"/>
        </w:rPr>
        <w:t>估价对象2-6层以及1层的部分区域内部进行查勘和拍照</w:t>
      </w:r>
      <w:r>
        <w:rPr>
          <w:rFonts w:ascii="宋体" w:hAnsi="宋体"/>
          <w:snapToGrid w:val="0"/>
          <w:sz w:val="28"/>
          <w:szCs w:val="28"/>
        </w:rPr>
        <w:t>，只对物业门口</w:t>
      </w:r>
      <w:r>
        <w:rPr>
          <w:rFonts w:hint="eastAsia" w:ascii="宋体" w:hAnsi="宋体"/>
          <w:snapToGrid w:val="0"/>
          <w:sz w:val="28"/>
          <w:szCs w:val="28"/>
          <w:lang w:eastAsia="zh-CN"/>
        </w:rPr>
        <w:t>、一楼部分区域和</w:t>
      </w:r>
      <w:r>
        <w:rPr>
          <w:rFonts w:ascii="宋体" w:hAnsi="宋体"/>
          <w:snapToGrid w:val="0"/>
          <w:sz w:val="28"/>
          <w:szCs w:val="28"/>
        </w:rPr>
        <w:t>周围环境进行查勘和拍照，本次评估按普通装修标准和能正常使用状况为前提，不考虑其他装修状况和非正常使用情况。</w:t>
      </w:r>
    </w:p>
    <w:p>
      <w:pPr>
        <w:pStyle w:val="4"/>
        <w:spacing w:line="360" w:lineRule="auto"/>
        <w:rPr>
          <w:rFonts w:hint="eastAsia"/>
          <w:snapToGrid w:val="0"/>
          <w:kern w:val="0"/>
        </w:rPr>
      </w:pPr>
      <w:bookmarkStart w:id="21" w:name="_Toc533514837"/>
      <w:bookmarkStart w:id="22" w:name="_Toc26196"/>
      <w:r>
        <w:rPr>
          <w:rFonts w:hint="eastAsia"/>
          <w:snapToGrid w:val="0"/>
          <w:kern w:val="0"/>
        </w:rPr>
        <w:t>六、估价报告使用限制</w:t>
      </w:r>
      <w:bookmarkEnd w:id="21"/>
      <w:bookmarkEnd w:id="22"/>
    </w:p>
    <w:p>
      <w:pPr>
        <w:adjustRightInd w:val="0"/>
        <w:snapToGrid w:val="0"/>
        <w:spacing w:line="360" w:lineRule="auto"/>
        <w:ind w:firstLine="560" w:firstLineChars="200"/>
        <w:rPr>
          <w:rFonts w:ascii="宋体" w:hAnsi="宋体"/>
          <w:snapToGrid w:val="0"/>
          <w:sz w:val="28"/>
          <w:szCs w:val="28"/>
        </w:rPr>
      </w:pPr>
      <w:r>
        <w:rPr>
          <w:rFonts w:hint="eastAsia" w:ascii="宋体" w:hAnsi="宋体"/>
          <w:snapToGrid w:val="0"/>
          <w:sz w:val="28"/>
          <w:szCs w:val="28"/>
        </w:rPr>
        <w:t>1、本估价报告仅供人民法院确定财产处置参考价服务，报告相关意见及结论仅供参考，不对其他用途负责。</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2、估价结果仅为人民法院确定财产处置参考价服务，不是估价对象处置可实现的成交价格，也不应当被视为对估价对象处置成交价格的保证。</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3、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4、在评估报告使用期限或者估价结果有效期内，评估报告或者估价结果未使用之前，如果估价对象状况或者房地产市场状况发生明显变化的，估价结果应当进行相应调整后才可使用。</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5、当事人、利害关系人收到评估报告后五日内可对评估报告的参照标准、计算方法或者估价结果等向人民法院提出书面异议；当事人、利害关系人对评估机构作出的说明仍有异议的，可以提请人民法院委托评估行业组织进行专业技术评审。</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6、估价委托人应对其提供的全部资料的真实性、合法性、完整性及其可能引起的后果负责。</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7、如无特别说明，本估价报告中所使用的货币均为人民币。</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 xml:space="preserve">8、本报告必须完整使用方为有效，对使用本报告中的部分内容导致的可能发生的损失，受托机构不承担责任。同时未经我公司书面同意，本估价报告全部或部分内容不得公开发表，也不得向相关登记或备案部门以外的单位或个人提供。 </w:t>
      </w:r>
    </w:p>
    <w:p>
      <w:pPr>
        <w:adjustRightInd w:val="0"/>
        <w:snapToGrid w:val="0"/>
        <w:spacing w:line="360" w:lineRule="auto"/>
        <w:ind w:firstLine="560" w:firstLineChars="200"/>
        <w:rPr>
          <w:rFonts w:hint="eastAsia" w:ascii="宋体" w:hAnsi="宋体"/>
          <w:snapToGrid w:val="0"/>
          <w:sz w:val="28"/>
          <w:szCs w:val="28"/>
        </w:rPr>
      </w:pPr>
      <w:r>
        <w:rPr>
          <w:rFonts w:hint="eastAsia" w:ascii="宋体" w:hAnsi="宋体"/>
          <w:snapToGrid w:val="0"/>
          <w:sz w:val="28"/>
          <w:szCs w:val="28"/>
        </w:rPr>
        <w:t>9、本次评估是基于上述假设和限制条件成立的，如以上假设和限制条件发生变化，本报告结果必须作相应调整。</w:t>
      </w:r>
    </w:p>
    <w:p>
      <w:pPr>
        <w:adjustRightInd w:val="0"/>
        <w:snapToGrid w:val="0"/>
        <w:spacing w:line="360" w:lineRule="auto"/>
        <w:ind w:firstLine="560" w:firstLineChars="200"/>
        <w:rPr>
          <w:rFonts w:hint="eastAsia" w:ascii="宋体" w:hAnsi="宋体"/>
          <w:snapToGrid w:val="0"/>
          <w:sz w:val="28"/>
          <w:szCs w:val="28"/>
        </w:rPr>
      </w:pPr>
      <w:r>
        <w:rPr>
          <w:rFonts w:ascii="宋体" w:hAnsi="宋体"/>
          <w:snapToGrid w:val="0"/>
          <w:sz w:val="28"/>
          <w:szCs w:val="28"/>
        </w:rPr>
        <w:t>10</w:t>
      </w:r>
      <w:r>
        <w:rPr>
          <w:rFonts w:hint="eastAsia" w:ascii="宋体" w:hAnsi="宋体"/>
          <w:snapToGrid w:val="0"/>
          <w:sz w:val="28"/>
          <w:szCs w:val="28"/>
        </w:rPr>
        <w:t>、本估价报告使用期限应自估价报告出具之日起计算一年内有效。在有效期内，如作价标准发生重大变化，对估价对象价值影响较大时，须委托估价机构重新估价。</w:t>
      </w: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napToGrid w:val="0"/>
          <w:sz w:val="28"/>
          <w:szCs w:val="28"/>
          <w:lang/>
        </w:rPr>
      </w:pPr>
    </w:p>
    <w:p>
      <w:pPr>
        <w:pStyle w:val="3"/>
        <w:spacing w:line="360" w:lineRule="auto"/>
      </w:pPr>
      <w:bookmarkStart w:id="23" w:name="_Toc373944536"/>
      <w:bookmarkStart w:id="24" w:name="_Toc16387"/>
      <w:r>
        <w:rPr>
          <w:rFonts w:hint="eastAsia"/>
        </w:rPr>
        <w:t>房地产估价结果报告</w:t>
      </w:r>
      <w:bookmarkEnd w:id="23"/>
      <w:bookmarkEnd w:id="24"/>
    </w:p>
    <w:p>
      <w:pPr>
        <w:pStyle w:val="4"/>
        <w:spacing w:before="200" w:after="200" w:line="360" w:lineRule="auto"/>
        <w:rPr>
          <w:rFonts w:hint="eastAsia"/>
          <w:snapToGrid w:val="0"/>
          <w:kern w:val="0"/>
        </w:rPr>
      </w:pPr>
      <w:bookmarkStart w:id="25" w:name="_Toc373944537"/>
      <w:bookmarkStart w:id="26" w:name="_Toc10140"/>
      <w:r>
        <w:rPr>
          <w:rFonts w:hint="eastAsia"/>
          <w:snapToGrid w:val="0"/>
          <w:kern w:val="0"/>
        </w:rPr>
        <w:t>一、估价委托人</w:t>
      </w:r>
      <w:bookmarkEnd w:id="25"/>
      <w:bookmarkEnd w:id="26"/>
    </w:p>
    <w:p>
      <w:pPr>
        <w:tabs>
          <w:tab w:val="left" w:pos="360"/>
        </w:tabs>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名称：</w:t>
      </w:r>
      <w:r>
        <w:rPr>
          <w:rFonts w:hint="eastAsia" w:ascii="宋体" w:hAnsi="宋体"/>
          <w:sz w:val="28"/>
          <w:szCs w:val="28"/>
          <w:lang w:eastAsia="zh-CN"/>
        </w:rPr>
        <w:t>连平县人民法院</w:t>
      </w:r>
    </w:p>
    <w:p>
      <w:pPr>
        <w:pStyle w:val="4"/>
        <w:spacing w:before="200" w:after="200" w:line="360" w:lineRule="auto"/>
        <w:rPr>
          <w:snapToGrid w:val="0"/>
          <w:kern w:val="0"/>
        </w:rPr>
      </w:pPr>
      <w:bookmarkStart w:id="27" w:name="_Toc30353"/>
      <w:bookmarkStart w:id="28" w:name="_Toc373944538"/>
      <w:r>
        <w:rPr>
          <w:rFonts w:hint="eastAsia"/>
          <w:snapToGrid w:val="0"/>
          <w:kern w:val="0"/>
        </w:rPr>
        <w:t>二、房地产估价机构</w:t>
      </w:r>
      <w:bookmarkEnd w:id="27"/>
      <w:bookmarkEnd w:id="28"/>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机构名称：广东方圆土地房地产资产评估咨询有限公司</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统一社会信用代码：91441900744494031D</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法定代表人：谢卫良</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住所：广东省东莞市南城街道鸿福路108号1栋1509室</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备案等级：壹级</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证书编号：粤房估备字壹1000004</w:t>
      </w:r>
    </w:p>
    <w:p>
      <w:pPr>
        <w:pStyle w:val="4"/>
        <w:spacing w:before="200" w:after="200" w:line="360" w:lineRule="auto"/>
        <w:rPr>
          <w:snapToGrid w:val="0"/>
          <w:kern w:val="0"/>
        </w:rPr>
      </w:pPr>
      <w:bookmarkStart w:id="29" w:name="_Toc3425"/>
      <w:bookmarkStart w:id="30" w:name="_Toc373944539"/>
      <w:r>
        <w:rPr>
          <w:rFonts w:hint="eastAsia"/>
          <w:snapToGrid w:val="0"/>
          <w:kern w:val="0"/>
        </w:rPr>
        <w:t>三、估价目的</w:t>
      </w:r>
      <w:bookmarkEnd w:id="29"/>
      <w:bookmarkEnd w:id="30"/>
    </w:p>
    <w:p>
      <w:pPr>
        <w:tabs>
          <w:tab w:val="left" w:pos="360"/>
          <w:tab w:val="left" w:pos="4140"/>
          <w:tab w:val="left" w:pos="4320"/>
        </w:tabs>
        <w:spacing w:line="360" w:lineRule="auto"/>
        <w:ind w:firstLine="560" w:firstLineChars="200"/>
        <w:rPr>
          <w:rFonts w:ascii="宋体" w:hAnsi="宋体"/>
          <w:sz w:val="28"/>
          <w:szCs w:val="28"/>
        </w:rPr>
      </w:pPr>
      <w:r>
        <w:rPr>
          <w:rFonts w:hint="eastAsia" w:ascii="宋体" w:hAnsi="宋体"/>
          <w:sz w:val="28"/>
          <w:szCs w:val="28"/>
        </w:rPr>
        <w:t>为人民法院确定财产处置参考价提供参考依据而评估房地产市场价值。</w:t>
      </w:r>
    </w:p>
    <w:p>
      <w:pPr>
        <w:pStyle w:val="4"/>
        <w:spacing w:before="200" w:after="200" w:line="360" w:lineRule="auto"/>
        <w:rPr>
          <w:snapToGrid w:val="0"/>
          <w:kern w:val="0"/>
        </w:rPr>
      </w:pPr>
      <w:bookmarkStart w:id="31" w:name="_Toc373944540"/>
      <w:bookmarkStart w:id="32" w:name="_Toc16151"/>
      <w:r>
        <w:rPr>
          <w:rFonts w:hint="eastAsia"/>
          <w:snapToGrid w:val="0"/>
          <w:kern w:val="0"/>
        </w:rPr>
        <w:t>四、估价对象</w:t>
      </w:r>
      <w:bookmarkEnd w:id="31"/>
      <w:bookmarkEnd w:id="32"/>
    </w:p>
    <w:p>
      <w:pPr>
        <w:spacing w:line="360" w:lineRule="auto"/>
        <w:ind w:firstLine="560" w:firstLineChars="200"/>
        <w:rPr>
          <w:rFonts w:hint="eastAsia" w:ascii="宋体" w:hAnsi="宋体"/>
          <w:sz w:val="28"/>
          <w:szCs w:val="28"/>
        </w:rPr>
      </w:pPr>
      <w:bookmarkStart w:id="33" w:name="_Toc213250202"/>
      <w:bookmarkStart w:id="34" w:name="_Toc213481800"/>
      <w:bookmarkStart w:id="35" w:name="_Toc213250445"/>
      <w:bookmarkStart w:id="36" w:name="_Toc213481550"/>
      <w:bookmarkStart w:id="37" w:name="_Toc213481678"/>
      <w:bookmarkStart w:id="38" w:name="_Toc213038692"/>
      <w:bookmarkStart w:id="39" w:name="_Toc373944541"/>
      <w:r>
        <w:rPr>
          <w:rFonts w:hint="eastAsia" w:ascii="宋体" w:hAnsi="宋体"/>
          <w:sz w:val="28"/>
          <w:szCs w:val="28"/>
        </w:rPr>
        <w:t>纳入本次估价的估价对象为</w:t>
      </w:r>
      <w:r>
        <w:rPr>
          <w:rFonts w:hint="eastAsia" w:ascii="宋体" w:hAnsi="宋体"/>
          <w:sz w:val="28"/>
          <w:szCs w:val="28"/>
          <w:lang w:eastAsia="zh-CN"/>
        </w:rPr>
        <w:t>一栋住宅</w:t>
      </w:r>
      <w:r>
        <w:rPr>
          <w:rFonts w:hint="eastAsia" w:ascii="宋体" w:hAnsi="宋体"/>
          <w:sz w:val="28"/>
          <w:szCs w:val="28"/>
        </w:rPr>
        <w:t>，位于</w:t>
      </w:r>
      <w:r>
        <w:rPr>
          <w:rFonts w:hint="eastAsia" w:ascii="宋体" w:hAnsi="宋体"/>
          <w:sz w:val="28"/>
          <w:szCs w:val="28"/>
          <w:lang w:eastAsia="zh-CN"/>
        </w:rPr>
        <w:t>连平县元善镇乌石坳浪子下地段</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1、估价对象基本状况</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76"/>
        <w:gridCol w:w="91"/>
        <w:gridCol w:w="1887"/>
        <w:gridCol w:w="709"/>
        <w:gridCol w:w="1144"/>
        <w:gridCol w:w="27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70" w:type="pct"/>
            <w:gridSpan w:val="3"/>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名称</w:t>
            </w:r>
          </w:p>
        </w:tc>
        <w:tc>
          <w:tcPr>
            <w:tcW w:w="3529" w:type="pct"/>
            <w:gridSpan w:val="5"/>
            <w:noWrap w:val="0"/>
            <w:vAlign w:val="center"/>
          </w:tcPr>
          <w:p>
            <w:pPr>
              <w:pStyle w:val="14"/>
              <w:adjustRightInd w:val="0"/>
              <w:snapToGrid w:val="0"/>
              <w:jc w:val="center"/>
              <w:rPr>
                <w:rFonts w:hAnsi="宋体"/>
                <w:bCs/>
                <w:snapToGrid w:val="0"/>
                <w:sz w:val="24"/>
                <w:szCs w:val="24"/>
              </w:rPr>
            </w:pPr>
            <w:r>
              <w:rPr>
                <w:rFonts w:hint="eastAsia" w:hAnsi="宋体" w:cs="宋体"/>
                <w:color w:val="000000"/>
                <w:sz w:val="24"/>
                <w:szCs w:val="24"/>
                <w:lang w:eastAsia="zh-CN" w:bidi="ar"/>
              </w:rPr>
              <w:t>连平县元善镇乌石坳浪子下地段</w:t>
            </w:r>
            <w:r>
              <w:rPr>
                <w:rFonts w:hint="eastAsia" w:hAnsi="宋体" w:cs="宋体"/>
                <w:color w:val="000000"/>
                <w:sz w:val="24"/>
                <w:szCs w:val="24"/>
                <w:lang w:bidi="ar"/>
              </w:rPr>
              <w:t>一宗房地产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0" w:type="pct"/>
            <w:gridSpan w:val="3"/>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坐落</w:t>
            </w:r>
          </w:p>
        </w:tc>
        <w:tc>
          <w:tcPr>
            <w:tcW w:w="3529" w:type="pct"/>
            <w:gridSpan w:val="5"/>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cs="宋体"/>
                <w:color w:val="000000"/>
                <w:sz w:val="24"/>
                <w:szCs w:val="24"/>
                <w:lang w:eastAsia="zh-CN" w:bidi="ar"/>
              </w:rPr>
              <w:t>连平县元善镇乌石坳浪子下地段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8" w:type="pct"/>
            <w:vMerge w:val="restart"/>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规模（㎡）</w:t>
            </w:r>
          </w:p>
        </w:tc>
        <w:tc>
          <w:tcPr>
            <w:tcW w:w="942"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建筑面积</w:t>
            </w:r>
          </w:p>
        </w:tc>
        <w:tc>
          <w:tcPr>
            <w:tcW w:w="1065" w:type="pct"/>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754.87</w:t>
            </w:r>
          </w:p>
        </w:tc>
        <w:tc>
          <w:tcPr>
            <w:tcW w:w="400" w:type="pct"/>
            <w:vMerge w:val="restart"/>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用途</w:t>
            </w:r>
          </w:p>
        </w:tc>
        <w:tc>
          <w:tcPr>
            <w:tcW w:w="801"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规划用途</w:t>
            </w:r>
          </w:p>
        </w:tc>
        <w:tc>
          <w:tcPr>
            <w:tcW w:w="1262" w:type="pct"/>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8" w:type="pct"/>
            <w:vMerge w:val="continue"/>
            <w:shd w:val="clear" w:color="auto" w:fill="DBE5F1"/>
            <w:noWrap w:val="0"/>
            <w:vAlign w:val="center"/>
          </w:tcPr>
          <w:p>
            <w:pPr>
              <w:pStyle w:val="14"/>
              <w:adjustRightInd w:val="0"/>
              <w:snapToGrid w:val="0"/>
              <w:jc w:val="center"/>
              <w:rPr>
                <w:rFonts w:hint="eastAsia" w:hAnsi="宋体"/>
                <w:bCs/>
                <w:snapToGrid w:val="0"/>
                <w:sz w:val="24"/>
                <w:szCs w:val="24"/>
              </w:rPr>
            </w:pPr>
          </w:p>
        </w:tc>
        <w:tc>
          <w:tcPr>
            <w:tcW w:w="942"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专有建筑面积</w:t>
            </w:r>
          </w:p>
        </w:tc>
        <w:tc>
          <w:tcPr>
            <w:tcW w:w="1065" w:type="pct"/>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val="en-US" w:eastAsia="zh-CN"/>
              </w:rPr>
              <w:t>/</w:t>
            </w:r>
          </w:p>
        </w:tc>
        <w:tc>
          <w:tcPr>
            <w:tcW w:w="400" w:type="pct"/>
            <w:vMerge w:val="continue"/>
            <w:shd w:val="clear" w:color="auto" w:fill="DBE5F1"/>
            <w:noWrap w:val="0"/>
            <w:vAlign w:val="center"/>
          </w:tcPr>
          <w:p>
            <w:pPr>
              <w:pStyle w:val="14"/>
              <w:adjustRightInd w:val="0"/>
              <w:snapToGrid w:val="0"/>
              <w:jc w:val="center"/>
              <w:rPr>
                <w:rFonts w:hint="eastAsia" w:hAnsi="宋体"/>
                <w:bCs/>
                <w:snapToGrid w:val="0"/>
                <w:sz w:val="24"/>
                <w:szCs w:val="24"/>
              </w:rPr>
            </w:pPr>
          </w:p>
        </w:tc>
        <w:tc>
          <w:tcPr>
            <w:tcW w:w="801"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实际用途</w:t>
            </w:r>
          </w:p>
        </w:tc>
        <w:tc>
          <w:tcPr>
            <w:tcW w:w="1262" w:type="pct"/>
            <w:noWrap w:val="0"/>
            <w:vAlign w:val="center"/>
          </w:tcPr>
          <w:p>
            <w:pPr>
              <w:pStyle w:val="14"/>
              <w:adjustRightInd w:val="0"/>
              <w:snapToGrid w:val="0"/>
              <w:jc w:val="center"/>
              <w:rPr>
                <w:rFonts w:hint="eastAsia" w:hAnsi="宋体"/>
                <w:bCs/>
                <w:snapToGrid w:val="0"/>
                <w:sz w:val="24"/>
                <w:szCs w:val="24"/>
              </w:rPr>
            </w:pPr>
            <w:r>
              <w:rPr>
                <w:rFonts w:hint="eastAsia"/>
                <w:snapToGrid w:val="0"/>
                <w:kern w:val="0"/>
                <w:sz w:val="24"/>
                <w:lang w:val="en-US" w:eastAsia="zh-CN"/>
              </w:rPr>
              <w:t>1</w:t>
            </w:r>
            <w:r>
              <w:rPr>
                <w:rFonts w:hint="eastAsia"/>
                <w:snapToGrid w:val="0"/>
                <w:kern w:val="0"/>
                <w:sz w:val="24"/>
                <w:lang w:eastAsia="zh-CN"/>
              </w:rPr>
              <w:t>层作为商铺、</w:t>
            </w:r>
            <w:r>
              <w:rPr>
                <w:rFonts w:hint="eastAsia"/>
                <w:snapToGrid w:val="0"/>
                <w:kern w:val="0"/>
                <w:sz w:val="24"/>
                <w:lang w:val="en-US" w:eastAsia="zh-CN"/>
              </w:rPr>
              <w:t>2-6层作为</w:t>
            </w:r>
            <w:r>
              <w:rPr>
                <w:rFonts w:hint="eastAsia"/>
                <w:snapToGrid w:val="0"/>
                <w:kern w:val="0"/>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8"/>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估价对象权属状况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不动产权证号</w:t>
            </w:r>
          </w:p>
        </w:tc>
        <w:tc>
          <w:tcPr>
            <w:tcW w:w="3581" w:type="pct"/>
            <w:gridSpan w:val="6"/>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粤房地权证连平县字第2300016988号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国土证号</w:t>
            </w:r>
          </w:p>
        </w:tc>
        <w:tc>
          <w:tcPr>
            <w:tcW w:w="3581" w:type="pct"/>
            <w:gridSpan w:val="6"/>
            <w:noWrap w:val="0"/>
            <w:vAlign w:val="center"/>
          </w:tcPr>
          <w:p>
            <w:pPr>
              <w:pStyle w:val="14"/>
              <w:adjustRightInd w:val="0"/>
              <w:snapToGrid w:val="0"/>
              <w:jc w:val="center"/>
              <w:rPr>
                <w:rFonts w:hint="default" w:hAnsi="宋体" w:eastAsia="宋体"/>
                <w:bCs/>
                <w:snapToGrid w:val="0"/>
                <w:sz w:val="24"/>
                <w:szCs w:val="24"/>
                <w:lang w:val="en-US" w:eastAsia="zh-CN"/>
              </w:rPr>
            </w:pPr>
            <w:r>
              <w:rPr>
                <w:rFonts w:hint="eastAsia" w:hAnsi="宋体"/>
                <w:bCs/>
                <w:snapToGrid w:val="0"/>
                <w:sz w:val="24"/>
                <w:szCs w:val="24"/>
                <w:lang w:eastAsia="zh-CN"/>
              </w:rPr>
              <w:t>连府国用（</w:t>
            </w:r>
            <w:r>
              <w:rPr>
                <w:rFonts w:hint="eastAsia" w:hAnsi="宋体"/>
                <w:bCs/>
                <w:snapToGrid w:val="0"/>
                <w:sz w:val="24"/>
                <w:szCs w:val="24"/>
                <w:lang w:val="en-US" w:eastAsia="zh-CN"/>
              </w:rPr>
              <w:t>2015</w:t>
            </w:r>
            <w:r>
              <w:rPr>
                <w:rFonts w:hint="eastAsia" w:hAnsi="宋体"/>
                <w:bCs/>
                <w:snapToGrid w:val="0"/>
                <w:sz w:val="24"/>
                <w:szCs w:val="24"/>
                <w:lang w:eastAsia="zh-CN"/>
              </w:rPr>
              <w:t>）字第</w:t>
            </w:r>
            <w:r>
              <w:rPr>
                <w:rFonts w:hint="eastAsia" w:hAnsi="宋体"/>
                <w:bCs/>
                <w:snapToGrid w:val="0"/>
                <w:sz w:val="24"/>
                <w:szCs w:val="24"/>
                <w:lang w:val="en-US" w:eastAsia="zh-CN"/>
              </w:rPr>
              <w:t>000138号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2" w:type="dxa"/>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土地权利性质</w:t>
            </w:r>
          </w:p>
        </w:tc>
        <w:tc>
          <w:tcPr>
            <w:tcW w:w="1117" w:type="pct"/>
            <w:gridSpan w:val="2"/>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val="en-US" w:eastAsia="zh-CN"/>
              </w:rPr>
              <w:t>国有</w:t>
            </w:r>
          </w:p>
        </w:tc>
        <w:tc>
          <w:tcPr>
            <w:tcW w:w="1046"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土地权利类型</w:t>
            </w:r>
          </w:p>
        </w:tc>
        <w:tc>
          <w:tcPr>
            <w:tcW w:w="1418" w:type="pct"/>
            <w:gridSpan w:val="2"/>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2" w:type="dxa"/>
            <w:gridSpan w:val="2"/>
            <w:shd w:val="clear" w:color="auto" w:fill="DBE5F1"/>
            <w:noWrap w:val="0"/>
            <w:vAlign w:val="center"/>
          </w:tcPr>
          <w:p>
            <w:pPr>
              <w:spacing w:line="400" w:lineRule="exact"/>
              <w:jc w:val="center"/>
              <w:rPr>
                <w:rFonts w:hint="eastAsia" w:hAnsi="宋体"/>
                <w:bCs/>
                <w:snapToGrid w:val="0"/>
                <w:sz w:val="24"/>
              </w:rPr>
            </w:pPr>
            <w:r>
              <w:rPr>
                <w:rFonts w:hint="eastAsia" w:ascii="宋体" w:hAnsi="宋体"/>
                <w:bCs/>
                <w:snapToGrid w:val="0"/>
                <w:kern w:val="0"/>
                <w:sz w:val="24"/>
              </w:rPr>
              <w:t>房屋权利性质</w:t>
            </w:r>
          </w:p>
        </w:tc>
        <w:tc>
          <w:tcPr>
            <w:tcW w:w="1117" w:type="pct"/>
            <w:gridSpan w:val="2"/>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val="en-US" w:eastAsia="zh-CN"/>
              </w:rPr>
              <w:t>/</w:t>
            </w:r>
          </w:p>
        </w:tc>
        <w:tc>
          <w:tcPr>
            <w:tcW w:w="1046"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房屋权利类型</w:t>
            </w:r>
          </w:p>
        </w:tc>
        <w:tc>
          <w:tcPr>
            <w:tcW w:w="1418" w:type="pct"/>
            <w:gridSpan w:val="2"/>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2" w:type="dxa"/>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房地产权属人</w:t>
            </w:r>
          </w:p>
        </w:tc>
        <w:tc>
          <w:tcPr>
            <w:tcW w:w="1117" w:type="pct"/>
            <w:gridSpan w:val="2"/>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朱锦标</w:t>
            </w:r>
          </w:p>
        </w:tc>
        <w:tc>
          <w:tcPr>
            <w:tcW w:w="1046"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共有情况</w:t>
            </w:r>
          </w:p>
        </w:tc>
        <w:tc>
          <w:tcPr>
            <w:tcW w:w="1418" w:type="pct"/>
            <w:gridSpan w:val="2"/>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2" w:type="dxa"/>
            <w:gridSpan w:val="2"/>
            <w:shd w:val="clear" w:color="auto" w:fill="DBE5F1"/>
            <w:noWrap w:val="0"/>
            <w:vAlign w:val="center"/>
          </w:tcPr>
          <w:p>
            <w:pPr>
              <w:pStyle w:val="14"/>
              <w:adjustRightInd w:val="0"/>
              <w:snapToGrid w:val="0"/>
              <w:jc w:val="center"/>
              <w:rPr>
                <w:rFonts w:hint="eastAsia" w:hAnsi="宋体"/>
                <w:bCs/>
                <w:snapToGrid w:val="0"/>
                <w:sz w:val="24"/>
              </w:rPr>
            </w:pPr>
            <w:r>
              <w:rPr>
                <w:rFonts w:hint="eastAsia" w:hAnsi="宋体"/>
                <w:bCs/>
                <w:snapToGrid w:val="0"/>
                <w:sz w:val="24"/>
                <w:szCs w:val="24"/>
              </w:rPr>
              <w:t>房屋所有权取得方式</w:t>
            </w:r>
          </w:p>
        </w:tc>
        <w:tc>
          <w:tcPr>
            <w:tcW w:w="1117" w:type="pct"/>
            <w:gridSpan w:val="2"/>
            <w:shd w:val="clear" w:color="auto" w:fill="auto"/>
            <w:noWrap w:val="0"/>
            <w:vAlign w:val="center"/>
          </w:tcPr>
          <w:p>
            <w:pPr>
              <w:pStyle w:val="14"/>
              <w:adjustRightInd w:val="0"/>
              <w:snapToGrid w:val="0"/>
              <w:jc w:val="center"/>
              <w:rPr>
                <w:rFonts w:hint="default" w:hAnsi="宋体" w:eastAsia="宋体"/>
                <w:bCs/>
                <w:snapToGrid w:val="0"/>
                <w:sz w:val="24"/>
                <w:szCs w:val="24"/>
                <w:lang w:val="en-US" w:eastAsia="zh-CN"/>
              </w:rPr>
            </w:pPr>
            <w:r>
              <w:rPr>
                <w:rFonts w:hint="eastAsia"/>
                <w:snapToGrid w:val="0"/>
                <w:sz w:val="24"/>
                <w:lang w:val="en-US" w:eastAsia="zh-CN"/>
              </w:rPr>
              <w:t>2015年受父母赠与所得</w:t>
            </w:r>
          </w:p>
        </w:tc>
        <w:tc>
          <w:tcPr>
            <w:tcW w:w="1046" w:type="pct"/>
            <w:gridSpan w:val="2"/>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登记日期</w:t>
            </w:r>
          </w:p>
        </w:tc>
        <w:tc>
          <w:tcPr>
            <w:tcW w:w="1418" w:type="pct"/>
            <w:gridSpan w:val="2"/>
            <w:noWrap w:val="0"/>
            <w:vAlign w:val="center"/>
          </w:tcPr>
          <w:p>
            <w:pPr>
              <w:spacing w:line="400" w:lineRule="exact"/>
              <w:jc w:val="center"/>
              <w:rPr>
                <w:rFonts w:hint="default" w:ascii="宋体" w:hAnsi="宋体" w:eastAsia="宋体"/>
                <w:bCs/>
                <w:snapToGrid w:val="0"/>
                <w:kern w:val="0"/>
                <w:sz w:val="24"/>
                <w:lang w:val="en-US" w:eastAsia="zh-CN"/>
              </w:rPr>
            </w:pPr>
            <w:r>
              <w:rPr>
                <w:rFonts w:hint="eastAsia" w:ascii="宋体" w:hAnsi="宋体"/>
                <w:bCs/>
                <w:snapToGrid w:val="0"/>
                <w:kern w:val="0"/>
                <w:sz w:val="24"/>
                <w:lang w:val="en-US" w:eastAsia="zh-CN"/>
              </w:rPr>
              <w:t>2</w:t>
            </w:r>
            <w:r>
              <w:rPr>
                <w:rFonts w:hint="eastAsia" w:ascii="宋体" w:hAnsi="宋体"/>
                <w:bCs/>
                <w:snapToGrid w:val="0"/>
                <w:kern w:val="0"/>
                <w:sz w:val="24"/>
                <w:lang w:val="en-US" w:eastAsia="zh-CN"/>
              </w:rPr>
              <w:t>015年5月25日</w:t>
            </w:r>
          </w:p>
        </w:tc>
      </w:tr>
    </w:tbl>
    <w:p>
      <w:pPr>
        <w:spacing w:line="360" w:lineRule="auto"/>
        <w:ind w:firstLine="560" w:firstLineChars="200"/>
        <w:rPr>
          <w:rFonts w:hint="eastAsia" w:ascii="宋体" w:hAnsi="宋体"/>
          <w:sz w:val="28"/>
          <w:szCs w:val="28"/>
        </w:rPr>
      </w:pPr>
      <w:r>
        <w:rPr>
          <w:rFonts w:hint="eastAsia" w:ascii="宋体" w:hAnsi="宋体"/>
          <w:sz w:val="28"/>
          <w:szCs w:val="28"/>
        </w:rPr>
        <w:t>2、土地基本状况</w:t>
      </w:r>
    </w:p>
    <w:tbl>
      <w:tblPr>
        <w:tblStyle w:val="29"/>
        <w:tblW w:w="0" w:type="auto"/>
        <w:tblInd w:w="0" w:type="dxa"/>
        <w:tblLayout w:type="fixed"/>
        <w:tblCellMar>
          <w:top w:w="0" w:type="dxa"/>
          <w:left w:w="108" w:type="dxa"/>
          <w:bottom w:w="0" w:type="dxa"/>
          <w:right w:w="108" w:type="dxa"/>
        </w:tblCellMar>
      </w:tblPr>
      <w:tblGrid>
        <w:gridCol w:w="1668"/>
        <w:gridCol w:w="2693"/>
        <w:gridCol w:w="1984"/>
        <w:gridCol w:w="2512"/>
      </w:tblGrid>
      <w:tr>
        <w:tblPrEx>
          <w:tblCellMar>
            <w:top w:w="0" w:type="dxa"/>
            <w:left w:w="108" w:type="dxa"/>
            <w:bottom w:w="0" w:type="dxa"/>
            <w:right w:w="108" w:type="dxa"/>
          </w:tblCellMar>
        </w:tblPrEx>
        <w:trPr>
          <w:trHeight w:val="454" w:hRule="atLeast"/>
        </w:trPr>
        <w:tc>
          <w:tcPr>
            <w:tcW w:w="1668" w:type="dxa"/>
            <w:tcBorders>
              <w:top w:val="single" w:color="auto" w:sz="4" w:space="0"/>
              <w:left w:val="single" w:color="auto" w:sz="4" w:space="0"/>
              <w:bottom w:val="single" w:color="auto" w:sz="4" w:space="0"/>
              <w:right w:val="single" w:color="000000" w:sz="4" w:space="0"/>
            </w:tcBorders>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形状</w:t>
            </w:r>
          </w:p>
        </w:tc>
        <w:tc>
          <w:tcPr>
            <w:tcW w:w="2693" w:type="dxa"/>
            <w:tcBorders>
              <w:top w:val="single" w:color="auto" w:sz="4" w:space="0"/>
              <w:left w:val="nil"/>
              <w:bottom w:val="single" w:color="auto" w:sz="4" w:space="0"/>
              <w:right w:val="single" w:color="000000" w:sz="4" w:space="0"/>
            </w:tcBorders>
            <w:shd w:val="clear" w:color="auto" w:fill="auto"/>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较规则多边形</w:t>
            </w:r>
          </w:p>
        </w:tc>
        <w:tc>
          <w:tcPr>
            <w:tcW w:w="1984" w:type="dxa"/>
            <w:tcBorders>
              <w:top w:val="single" w:color="auto" w:sz="4" w:space="0"/>
              <w:left w:val="nil"/>
              <w:bottom w:val="single" w:color="auto" w:sz="4" w:space="0"/>
              <w:right w:val="single" w:color="000000" w:sz="4" w:space="0"/>
            </w:tcBorders>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地形、地势</w:t>
            </w:r>
          </w:p>
        </w:tc>
        <w:tc>
          <w:tcPr>
            <w:tcW w:w="2512" w:type="dxa"/>
            <w:tcBorders>
              <w:top w:val="single" w:color="auto" w:sz="4" w:space="0"/>
              <w:left w:val="nil"/>
              <w:bottom w:val="single" w:color="auto" w:sz="4" w:space="0"/>
              <w:right w:val="single" w:color="000000" w:sz="4" w:space="0"/>
            </w:tcBorders>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地形良好，地势平坦</w:t>
            </w:r>
          </w:p>
        </w:tc>
      </w:tr>
      <w:tr>
        <w:tblPrEx>
          <w:tblCellMar>
            <w:top w:w="0" w:type="dxa"/>
            <w:left w:w="108" w:type="dxa"/>
            <w:bottom w:w="0" w:type="dxa"/>
            <w:right w:w="108" w:type="dxa"/>
          </w:tblCellMar>
        </w:tblPrEx>
        <w:trPr>
          <w:trHeight w:val="454" w:hRule="atLeast"/>
        </w:trPr>
        <w:tc>
          <w:tcPr>
            <w:tcW w:w="1668"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开发程度</w:t>
            </w:r>
          </w:p>
        </w:tc>
        <w:tc>
          <w:tcPr>
            <w:tcW w:w="2693" w:type="dxa"/>
            <w:tcBorders>
              <w:top w:val="single" w:color="auto" w:sz="4" w:space="0"/>
              <w:left w:val="nil"/>
              <w:bottom w:val="single" w:color="auto" w:sz="4" w:space="0"/>
              <w:right w:val="single" w:color="000000" w:sz="4" w:space="0"/>
            </w:tcBorders>
            <w:shd w:val="clear" w:color="auto" w:fill="auto"/>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宗地红线内建设有房屋</w:t>
            </w:r>
          </w:p>
        </w:tc>
        <w:tc>
          <w:tcPr>
            <w:tcW w:w="1984" w:type="dxa"/>
            <w:tcBorders>
              <w:top w:val="single" w:color="auto" w:sz="4" w:space="0"/>
              <w:left w:val="nil"/>
              <w:bottom w:val="single" w:color="auto" w:sz="4" w:space="0"/>
              <w:right w:val="single" w:color="000000" w:sz="4" w:space="0"/>
            </w:tcBorders>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地质、土壤</w:t>
            </w:r>
          </w:p>
        </w:tc>
        <w:tc>
          <w:tcPr>
            <w:tcW w:w="2512" w:type="dxa"/>
            <w:tcBorders>
              <w:top w:val="single" w:color="auto" w:sz="4" w:space="0"/>
              <w:left w:val="nil"/>
              <w:bottom w:val="single" w:color="auto" w:sz="4" w:space="0"/>
              <w:right w:val="single" w:color="000000" w:sz="4" w:space="0"/>
            </w:tcBorders>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良好</w:t>
            </w:r>
          </w:p>
        </w:tc>
      </w:tr>
      <w:tr>
        <w:tblPrEx>
          <w:tblCellMar>
            <w:top w:w="0" w:type="dxa"/>
            <w:left w:w="108" w:type="dxa"/>
            <w:bottom w:w="0" w:type="dxa"/>
            <w:right w:w="108" w:type="dxa"/>
          </w:tblCellMar>
        </w:tblPrEx>
        <w:trPr>
          <w:trHeight w:val="518" w:hRule="atLeast"/>
        </w:trPr>
        <w:tc>
          <w:tcPr>
            <w:tcW w:w="1668"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土地使用期限</w:t>
            </w:r>
          </w:p>
        </w:tc>
        <w:tc>
          <w:tcPr>
            <w:tcW w:w="7189" w:type="dxa"/>
            <w:gridSpan w:val="3"/>
            <w:tcBorders>
              <w:top w:val="single" w:color="auto" w:sz="4" w:space="0"/>
              <w:left w:val="nil"/>
              <w:bottom w:val="single" w:color="auto" w:sz="4" w:space="0"/>
              <w:right w:val="single" w:color="000000" w:sz="4" w:space="0"/>
            </w:tcBorders>
            <w:noWrap w:val="0"/>
            <w:vAlign w:val="center"/>
          </w:tcPr>
          <w:p>
            <w:pPr>
              <w:pStyle w:val="14"/>
              <w:adjustRightInd w:val="0"/>
              <w:snapToGrid w:val="0"/>
              <w:jc w:val="center"/>
              <w:rPr>
                <w:rStyle w:val="35"/>
                <w:rFonts w:hint="eastAsia" w:ascii="Times New Roman" w:hAnsi="Times New Roman" w:eastAsia="宋体"/>
                <w:color w:val="FF0000"/>
                <w:kern w:val="2"/>
                <w:lang w:val="en-US" w:eastAsia="zh-CN"/>
              </w:rPr>
            </w:pPr>
            <w:r>
              <w:rPr>
                <w:rFonts w:hint="eastAsia" w:hAnsi="宋体" w:eastAsia="宋体" w:cs="Times New Roman"/>
                <w:bCs/>
                <w:snapToGrid w:val="0"/>
                <w:sz w:val="24"/>
                <w:szCs w:val="24"/>
                <w:lang w:val="en-US" w:eastAsia="zh-CN"/>
              </w:rPr>
              <w:t>根据委托方提供的《房地产权证》土地使用年限：2015年4月29日取得，使用年限48年；截至价值时点土地使用权剩余使用年限约41年。</w:t>
            </w:r>
          </w:p>
        </w:tc>
      </w:tr>
      <w:tr>
        <w:tblPrEx>
          <w:tblCellMar>
            <w:top w:w="0" w:type="dxa"/>
            <w:left w:w="108" w:type="dxa"/>
            <w:bottom w:w="0" w:type="dxa"/>
            <w:right w:w="108" w:type="dxa"/>
          </w:tblCellMar>
        </w:tblPrEx>
        <w:trPr>
          <w:trHeight w:val="454" w:hRule="atLeast"/>
        </w:trPr>
        <w:tc>
          <w:tcPr>
            <w:tcW w:w="1668"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共用面积</w:t>
            </w:r>
          </w:p>
        </w:tc>
        <w:tc>
          <w:tcPr>
            <w:tcW w:w="7189" w:type="dxa"/>
            <w:gridSpan w:val="3"/>
            <w:tcBorders>
              <w:top w:val="single" w:color="auto" w:sz="4" w:space="0"/>
              <w:left w:val="nil"/>
              <w:bottom w:val="single" w:color="auto" w:sz="4" w:space="0"/>
              <w:right w:val="single" w:color="auto" w:sz="4" w:space="0"/>
            </w:tcBorders>
            <w:noWrap w:val="0"/>
            <w:vAlign w:val="center"/>
          </w:tcPr>
          <w:p>
            <w:pPr>
              <w:pStyle w:val="14"/>
              <w:adjustRightInd w:val="0"/>
              <w:snapToGrid w:val="0"/>
              <w:jc w:val="center"/>
              <w:rPr>
                <w:rFonts w:hint="eastAsia" w:hAnsi="宋体"/>
                <w:bCs/>
                <w:snapToGrid w:val="0"/>
                <w:sz w:val="24"/>
                <w:szCs w:val="24"/>
              </w:rPr>
            </w:pPr>
            <w:r>
              <w:rPr>
                <w:rFonts w:hint="eastAsia" w:hAnsi="宋体"/>
                <w:bCs/>
                <w:snapToGrid w:val="0"/>
                <w:sz w:val="24"/>
                <w:szCs w:val="24"/>
              </w:rPr>
              <w:t>/</w:t>
            </w:r>
          </w:p>
        </w:tc>
      </w:tr>
    </w:tbl>
    <w:p>
      <w:pPr>
        <w:tabs>
          <w:tab w:val="left" w:pos="267"/>
        </w:tabs>
        <w:adjustRightInd w:val="0"/>
        <w:snapToGrid w:val="0"/>
        <w:spacing w:before="156" w:beforeLines="50" w:line="360" w:lineRule="auto"/>
        <w:ind w:firstLine="560" w:firstLineChars="200"/>
        <w:rPr>
          <w:rFonts w:hint="eastAsia"/>
          <w:b/>
          <w:snapToGrid w:val="0"/>
          <w:kern w:val="0"/>
          <w:sz w:val="24"/>
        </w:rPr>
      </w:pPr>
      <w:r>
        <w:rPr>
          <w:rFonts w:hint="eastAsia" w:ascii="宋体" w:hAnsi="宋体"/>
          <w:sz w:val="28"/>
          <w:szCs w:val="28"/>
        </w:rPr>
        <w:t>3、建筑物基本状况</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2410"/>
        <w:gridCol w:w="183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gridSpan w:val="2"/>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建筑结构</w:t>
            </w:r>
          </w:p>
        </w:tc>
        <w:tc>
          <w:tcPr>
            <w:tcW w:w="2410" w:type="dxa"/>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框架</w:t>
            </w:r>
          </w:p>
        </w:tc>
        <w:tc>
          <w:tcPr>
            <w:tcW w:w="1839"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空间布局</w:t>
            </w:r>
          </w:p>
        </w:tc>
        <w:tc>
          <w:tcPr>
            <w:tcW w:w="2657" w:type="dxa"/>
            <w:noWrap w:val="0"/>
            <w:vAlign w:val="center"/>
          </w:tcPr>
          <w:p>
            <w:pPr>
              <w:pStyle w:val="14"/>
              <w:adjustRightInd w:val="0"/>
              <w:snapToGrid w:val="0"/>
              <w:jc w:val="center"/>
              <w:rPr>
                <w:rFonts w:hAnsi="宋体"/>
                <w:bCs/>
                <w:snapToGrid w:val="0"/>
                <w:sz w:val="24"/>
                <w:szCs w:val="24"/>
                <w:highlight w:val="yellow"/>
              </w:rPr>
            </w:pPr>
            <w:r>
              <w:rPr>
                <w:rFonts w:hint="eastAsia" w:hAnsi="宋体"/>
                <w:bCs/>
                <w:snapToGrid w:val="0"/>
                <w:sz w:val="24"/>
                <w:szCs w:val="24"/>
              </w:rPr>
              <w:t>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装修状况</w:t>
            </w:r>
          </w:p>
        </w:tc>
        <w:tc>
          <w:tcPr>
            <w:tcW w:w="1134"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外  墙</w:t>
            </w:r>
          </w:p>
        </w:tc>
        <w:tc>
          <w:tcPr>
            <w:tcW w:w="6906" w:type="dxa"/>
            <w:gridSpan w:val="3"/>
            <w:noWrap w:val="0"/>
            <w:vAlign w:val="center"/>
          </w:tcPr>
          <w:p>
            <w:pPr>
              <w:pStyle w:val="14"/>
              <w:adjustRightInd w:val="0"/>
              <w:snapToGrid w:val="0"/>
              <w:jc w:val="center"/>
              <w:rPr>
                <w:rFonts w:hAnsi="宋体"/>
                <w:bCs/>
                <w:snapToGrid w:val="0"/>
                <w:sz w:val="24"/>
                <w:szCs w:val="24"/>
              </w:rPr>
            </w:pPr>
            <w:r>
              <w:rPr>
                <w:rFonts w:hint="eastAsia" w:hAnsi="宋体"/>
                <w:sz w:val="24"/>
                <w:szCs w:val="24"/>
              </w:rPr>
              <w:t>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17" w:type="dxa"/>
            <w:vMerge w:val="continue"/>
            <w:shd w:val="clear" w:color="auto" w:fill="DBE5F1"/>
            <w:noWrap w:val="0"/>
            <w:vAlign w:val="center"/>
          </w:tcPr>
          <w:p>
            <w:pPr>
              <w:pStyle w:val="14"/>
              <w:adjustRightInd w:val="0"/>
              <w:snapToGrid w:val="0"/>
              <w:jc w:val="center"/>
              <w:rPr>
                <w:rFonts w:hAnsi="宋体"/>
                <w:bCs/>
                <w:snapToGrid w:val="0"/>
                <w:sz w:val="24"/>
                <w:szCs w:val="24"/>
              </w:rPr>
            </w:pPr>
          </w:p>
        </w:tc>
        <w:tc>
          <w:tcPr>
            <w:tcW w:w="1134"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室内装修状况</w:t>
            </w:r>
          </w:p>
        </w:tc>
        <w:tc>
          <w:tcPr>
            <w:tcW w:w="6906" w:type="dxa"/>
            <w:gridSpan w:val="3"/>
            <w:noWrap w:val="0"/>
            <w:vAlign w:val="center"/>
          </w:tcPr>
          <w:p>
            <w:pPr>
              <w:pStyle w:val="14"/>
              <w:adjustRightInd w:val="0"/>
              <w:snapToGrid w:val="0"/>
              <w:jc w:val="center"/>
              <w:rPr>
                <w:rFonts w:hint="eastAsia" w:hAnsi="宋体"/>
                <w:sz w:val="24"/>
                <w:szCs w:val="24"/>
                <w:lang w:eastAsia="zh-CN"/>
              </w:rPr>
            </w:pPr>
            <w:r>
              <w:rPr>
                <w:rFonts w:hint="eastAsia" w:hAnsi="宋体"/>
                <w:sz w:val="24"/>
                <w:szCs w:val="24"/>
                <w:lang w:eastAsia="zh-CN"/>
              </w:rPr>
              <w:t>一楼部分区域：内墙为乳胶漆，天花为铝扣板吊顶，楼地面为地砖；门窗：玻璃门、卷帘门、木门，铝合金玻璃窗及不锈钢防盗网。</w:t>
            </w:r>
          </w:p>
          <w:p>
            <w:pPr>
              <w:pStyle w:val="14"/>
              <w:adjustRightInd w:val="0"/>
              <w:snapToGrid w:val="0"/>
              <w:jc w:val="center"/>
              <w:rPr>
                <w:rFonts w:hint="eastAsia" w:hAnsi="宋体"/>
                <w:sz w:val="24"/>
                <w:szCs w:val="24"/>
                <w:lang w:eastAsia="zh-CN"/>
              </w:rPr>
            </w:pPr>
            <w:r>
              <w:rPr>
                <w:rFonts w:hint="eastAsia" w:hAnsi="宋体" w:eastAsia="宋体" w:cs="Times New Roman"/>
                <w:sz w:val="24"/>
                <w:szCs w:val="24"/>
                <w:lang w:eastAsia="zh-CN"/>
              </w:rPr>
              <w:t>本次评估我司工作人员现场查勘时，由于被执行人的原因，导致估价人员未能进入</w:t>
            </w:r>
            <w:r>
              <w:rPr>
                <w:rFonts w:hint="eastAsia" w:hAnsi="宋体" w:eastAsia="宋体" w:cs="Times New Roman"/>
                <w:sz w:val="24"/>
                <w:szCs w:val="24"/>
                <w:lang w:val="en-US" w:eastAsia="zh-CN"/>
              </w:rPr>
              <w:t>估价对象2-6层以及1层的部分区域内部进行查勘和拍照</w:t>
            </w:r>
            <w:r>
              <w:rPr>
                <w:rFonts w:hint="eastAsia" w:hAnsi="宋体" w:eastAsia="宋体" w:cs="Times New Roman"/>
                <w:sz w:val="24"/>
                <w:szCs w:val="24"/>
                <w:lang w:eastAsia="zh-CN"/>
              </w:rPr>
              <w:t>，只对物业门口、一楼部分区域和周围环境进行查勘和拍照，本次评估按普通装修标准和能正常使用状况为前提，不考虑其他装修状况和非正常使用情况。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设施</w:t>
            </w:r>
          </w:p>
          <w:p>
            <w:pPr>
              <w:pStyle w:val="14"/>
              <w:adjustRightInd w:val="0"/>
              <w:snapToGrid w:val="0"/>
              <w:jc w:val="center"/>
              <w:rPr>
                <w:rFonts w:hAnsi="宋体"/>
                <w:bCs/>
                <w:snapToGrid w:val="0"/>
                <w:sz w:val="24"/>
                <w:szCs w:val="24"/>
              </w:rPr>
            </w:pPr>
            <w:r>
              <w:rPr>
                <w:rFonts w:hint="eastAsia" w:hAnsi="宋体"/>
                <w:bCs/>
                <w:snapToGrid w:val="0"/>
                <w:sz w:val="24"/>
                <w:szCs w:val="24"/>
              </w:rPr>
              <w:t>设备</w:t>
            </w:r>
          </w:p>
        </w:tc>
        <w:tc>
          <w:tcPr>
            <w:tcW w:w="1134"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水  电</w:t>
            </w:r>
          </w:p>
        </w:tc>
        <w:tc>
          <w:tcPr>
            <w:tcW w:w="2410" w:type="dxa"/>
            <w:shd w:val="clear" w:color="auto" w:fill="auto"/>
            <w:noWrap w:val="0"/>
            <w:vAlign w:val="center"/>
          </w:tcPr>
          <w:p>
            <w:pPr>
              <w:pStyle w:val="14"/>
              <w:adjustRightInd w:val="0"/>
              <w:snapToGrid w:val="0"/>
              <w:jc w:val="center"/>
              <w:rPr>
                <w:rFonts w:hAnsi="宋体"/>
                <w:bCs/>
                <w:snapToGrid w:val="0"/>
                <w:sz w:val="24"/>
                <w:szCs w:val="24"/>
              </w:rPr>
            </w:pPr>
            <w:r>
              <w:rPr>
                <w:rFonts w:hint="eastAsia" w:hAnsi="宋体"/>
                <w:sz w:val="24"/>
                <w:szCs w:val="24"/>
              </w:rPr>
              <w:t>有</w:t>
            </w:r>
          </w:p>
        </w:tc>
        <w:tc>
          <w:tcPr>
            <w:tcW w:w="1839"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电   梯</w:t>
            </w:r>
          </w:p>
        </w:tc>
        <w:tc>
          <w:tcPr>
            <w:tcW w:w="2657" w:type="dxa"/>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shd w:val="clear" w:color="auto" w:fill="DBE5F1"/>
            <w:noWrap w:val="0"/>
            <w:vAlign w:val="center"/>
          </w:tcPr>
          <w:p>
            <w:pPr>
              <w:pStyle w:val="14"/>
              <w:adjustRightInd w:val="0"/>
              <w:snapToGrid w:val="0"/>
              <w:jc w:val="center"/>
              <w:rPr>
                <w:rFonts w:hAnsi="宋体"/>
                <w:bCs/>
                <w:snapToGrid w:val="0"/>
                <w:sz w:val="24"/>
                <w:szCs w:val="24"/>
              </w:rPr>
            </w:pPr>
          </w:p>
        </w:tc>
        <w:tc>
          <w:tcPr>
            <w:tcW w:w="1134"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煤  气</w:t>
            </w:r>
          </w:p>
        </w:tc>
        <w:tc>
          <w:tcPr>
            <w:tcW w:w="2410" w:type="dxa"/>
            <w:shd w:val="clear" w:color="auto" w:fill="auto"/>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sz w:val="24"/>
                <w:szCs w:val="24"/>
                <w:lang w:val="en-US" w:eastAsia="zh-CN"/>
              </w:rPr>
              <w:t>/</w:t>
            </w:r>
          </w:p>
        </w:tc>
        <w:tc>
          <w:tcPr>
            <w:tcW w:w="1839"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消    防</w:t>
            </w:r>
          </w:p>
        </w:tc>
        <w:tc>
          <w:tcPr>
            <w:tcW w:w="2657" w:type="dxa"/>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shd w:val="clear" w:color="auto" w:fill="DBE5F1"/>
            <w:noWrap w:val="0"/>
            <w:vAlign w:val="center"/>
          </w:tcPr>
          <w:p>
            <w:pPr>
              <w:pStyle w:val="14"/>
              <w:adjustRightInd w:val="0"/>
              <w:snapToGrid w:val="0"/>
              <w:jc w:val="center"/>
              <w:rPr>
                <w:rFonts w:hAnsi="宋体"/>
                <w:bCs/>
                <w:snapToGrid w:val="0"/>
                <w:sz w:val="24"/>
                <w:szCs w:val="24"/>
              </w:rPr>
            </w:pPr>
          </w:p>
        </w:tc>
        <w:tc>
          <w:tcPr>
            <w:tcW w:w="1134"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空  调</w:t>
            </w:r>
          </w:p>
        </w:tc>
        <w:tc>
          <w:tcPr>
            <w:tcW w:w="2410" w:type="dxa"/>
            <w:shd w:val="clear" w:color="auto" w:fill="auto"/>
            <w:noWrap w:val="0"/>
            <w:vAlign w:val="center"/>
          </w:tcPr>
          <w:p>
            <w:pPr>
              <w:pStyle w:val="14"/>
              <w:adjustRightInd w:val="0"/>
              <w:snapToGrid w:val="0"/>
              <w:jc w:val="center"/>
              <w:rPr>
                <w:rFonts w:hAnsi="宋体"/>
                <w:bCs/>
                <w:snapToGrid w:val="0"/>
                <w:sz w:val="24"/>
                <w:szCs w:val="24"/>
              </w:rPr>
            </w:pPr>
            <w:r>
              <w:rPr>
                <w:rFonts w:hint="eastAsia" w:hAnsi="宋体"/>
                <w:color w:val="000000"/>
                <w:sz w:val="24"/>
                <w:szCs w:val="24"/>
              </w:rPr>
              <w:t>有</w:t>
            </w:r>
          </w:p>
        </w:tc>
        <w:tc>
          <w:tcPr>
            <w:tcW w:w="1839"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其它设备</w:t>
            </w:r>
          </w:p>
        </w:tc>
        <w:tc>
          <w:tcPr>
            <w:tcW w:w="2657" w:type="dxa"/>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gridSpan w:val="2"/>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维护与保养</w:t>
            </w:r>
          </w:p>
        </w:tc>
        <w:tc>
          <w:tcPr>
            <w:tcW w:w="2410" w:type="dxa"/>
            <w:shd w:val="clear" w:color="auto" w:fill="auto"/>
            <w:noWrap w:val="0"/>
            <w:vAlign w:val="center"/>
          </w:tcPr>
          <w:p>
            <w:pPr>
              <w:pStyle w:val="14"/>
              <w:jc w:val="center"/>
              <w:rPr>
                <w:rFonts w:hint="eastAsia" w:hAnsi="宋体"/>
                <w:bCs/>
                <w:snapToGrid w:val="0"/>
                <w:sz w:val="24"/>
                <w:szCs w:val="24"/>
              </w:rPr>
            </w:pPr>
            <w:r>
              <w:rPr>
                <w:rFonts w:hint="eastAsia" w:hAnsi="宋体"/>
                <w:bCs/>
                <w:snapToGrid w:val="0"/>
                <w:sz w:val="24"/>
                <w:szCs w:val="24"/>
              </w:rPr>
              <w:t>较好</w:t>
            </w:r>
          </w:p>
        </w:tc>
        <w:tc>
          <w:tcPr>
            <w:tcW w:w="1839" w:type="dxa"/>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成 新 度</w:t>
            </w:r>
          </w:p>
        </w:tc>
        <w:tc>
          <w:tcPr>
            <w:tcW w:w="2657" w:type="dxa"/>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lang w:val="en-US" w:eastAsia="zh-CN"/>
              </w:rPr>
              <w:t>8</w:t>
            </w:r>
            <w:r>
              <w:rPr>
                <w:rFonts w:hint="eastAsia" w:hAnsi="宋体"/>
                <w:bCs/>
                <w:snapToGrid w:val="0"/>
                <w:sz w:val="24"/>
                <w:szCs w:val="24"/>
                <w:lang w:val="en-US" w:eastAsia="zh-CN"/>
              </w:rPr>
              <w:t>5</w:t>
            </w:r>
            <w:r>
              <w:rPr>
                <w:rFonts w:hint="eastAsia" w:hAnsi="宋体"/>
                <w:bCs/>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51" w:type="dxa"/>
            <w:gridSpan w:val="2"/>
            <w:shd w:val="clear" w:color="auto" w:fill="DBE5F1"/>
            <w:noWrap w:val="0"/>
            <w:vAlign w:val="center"/>
          </w:tcPr>
          <w:p>
            <w:pPr>
              <w:pStyle w:val="14"/>
              <w:adjustRightInd w:val="0"/>
              <w:snapToGrid w:val="0"/>
              <w:jc w:val="center"/>
              <w:rPr>
                <w:rFonts w:hAnsi="宋体"/>
                <w:bCs/>
                <w:snapToGrid w:val="0"/>
                <w:sz w:val="24"/>
                <w:szCs w:val="24"/>
              </w:rPr>
            </w:pPr>
            <w:r>
              <w:rPr>
                <w:rFonts w:hint="eastAsia" w:hAnsi="宋体"/>
                <w:bCs/>
                <w:snapToGrid w:val="0"/>
                <w:sz w:val="24"/>
                <w:szCs w:val="24"/>
              </w:rPr>
              <w:t>备    注</w:t>
            </w:r>
          </w:p>
        </w:tc>
        <w:tc>
          <w:tcPr>
            <w:tcW w:w="6906" w:type="dxa"/>
            <w:gridSpan w:val="3"/>
            <w:noWrap w:val="0"/>
            <w:vAlign w:val="center"/>
          </w:tcPr>
          <w:p>
            <w:pPr>
              <w:pStyle w:val="14"/>
              <w:adjustRightInd w:val="0"/>
              <w:snapToGrid w:val="0"/>
              <w:jc w:val="center"/>
              <w:rPr>
                <w:rFonts w:hint="eastAsia" w:hAnsi="宋体" w:eastAsia="宋体"/>
                <w:bCs/>
                <w:snapToGrid w:val="0"/>
                <w:sz w:val="24"/>
                <w:szCs w:val="24"/>
                <w:lang w:eastAsia="zh-CN"/>
              </w:rPr>
            </w:pPr>
            <w:r>
              <w:rPr>
                <w:rFonts w:hint="eastAsia" w:hAnsi="宋体"/>
                <w:bCs/>
                <w:snapToGrid w:val="0"/>
                <w:sz w:val="24"/>
                <w:szCs w:val="24"/>
                <w:lang w:val="en-US" w:eastAsia="zh-CN"/>
              </w:rPr>
              <w:t>/</w:t>
            </w:r>
          </w:p>
        </w:tc>
      </w:tr>
      <w:bookmarkEnd w:id="33"/>
      <w:bookmarkEnd w:id="34"/>
      <w:bookmarkEnd w:id="35"/>
      <w:bookmarkEnd w:id="36"/>
      <w:bookmarkEnd w:id="37"/>
      <w:bookmarkEnd w:id="38"/>
    </w:tbl>
    <w:p>
      <w:pPr>
        <w:pStyle w:val="4"/>
        <w:spacing w:before="200" w:after="200" w:line="560" w:lineRule="exact"/>
        <w:rPr>
          <w:snapToGrid w:val="0"/>
          <w:kern w:val="0"/>
        </w:rPr>
      </w:pPr>
      <w:bookmarkStart w:id="40" w:name="_Toc1014"/>
      <w:r>
        <w:rPr>
          <w:rFonts w:hint="eastAsia"/>
          <w:snapToGrid w:val="0"/>
          <w:kern w:val="0"/>
        </w:rPr>
        <w:t>五、价值时点</w:t>
      </w:r>
      <w:bookmarkEnd w:id="39"/>
      <w:bookmarkEnd w:id="40"/>
    </w:p>
    <w:p>
      <w:pPr>
        <w:tabs>
          <w:tab w:val="left" w:pos="360"/>
          <w:tab w:val="left" w:pos="4140"/>
          <w:tab w:val="left" w:pos="4320"/>
        </w:tabs>
        <w:spacing w:line="560" w:lineRule="exact"/>
        <w:ind w:firstLine="560" w:firstLineChars="200"/>
        <w:rPr>
          <w:rFonts w:hint="eastAsia" w:ascii="宋体" w:hAnsi="宋体"/>
          <w:sz w:val="28"/>
          <w:szCs w:val="28"/>
        </w:rPr>
      </w:pPr>
      <w:bookmarkStart w:id="41" w:name="_Toc373944542"/>
      <w:r>
        <w:rPr>
          <w:rFonts w:hint="eastAsia" w:ascii="宋体" w:hAnsi="宋体"/>
          <w:sz w:val="28"/>
          <w:szCs w:val="28"/>
        </w:rPr>
        <w:t>本次价值时点为：</w:t>
      </w:r>
      <w:r>
        <w:rPr>
          <w:rFonts w:hint="eastAsia" w:ascii="宋体" w:hAnsi="宋体"/>
          <w:sz w:val="28"/>
          <w:szCs w:val="28"/>
          <w:lang w:eastAsia="zh-CN"/>
        </w:rPr>
        <w:t>二〇二二年八月二日</w:t>
      </w:r>
      <w:r>
        <w:rPr>
          <w:rFonts w:hint="eastAsia" w:ascii="宋体" w:hAnsi="宋体"/>
          <w:sz w:val="28"/>
          <w:szCs w:val="28"/>
        </w:rPr>
        <w:t>。</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价值时点是依据</w:t>
      </w:r>
      <w:r>
        <w:rPr>
          <w:rFonts w:hint="eastAsia" w:ascii="宋体" w:hAnsi="宋体"/>
          <w:bCs/>
          <w:sz w:val="28"/>
        </w:rPr>
        <w:t>估价对象完成实地查勘之日</w:t>
      </w:r>
      <w:r>
        <w:rPr>
          <w:rFonts w:hint="eastAsia" w:ascii="宋体" w:hAnsi="宋体"/>
          <w:sz w:val="28"/>
          <w:szCs w:val="28"/>
        </w:rPr>
        <w:t>确定。</w:t>
      </w:r>
    </w:p>
    <w:p>
      <w:pPr>
        <w:pStyle w:val="4"/>
        <w:spacing w:before="200" w:after="200" w:line="560" w:lineRule="exact"/>
        <w:rPr>
          <w:snapToGrid w:val="0"/>
          <w:kern w:val="0"/>
        </w:rPr>
      </w:pPr>
      <w:bookmarkStart w:id="42" w:name="_Toc12802"/>
      <w:r>
        <w:rPr>
          <w:rFonts w:hint="eastAsia"/>
          <w:snapToGrid w:val="0"/>
          <w:kern w:val="0"/>
        </w:rPr>
        <w:t>六、价值类型</w:t>
      </w:r>
      <w:bookmarkEnd w:id="41"/>
      <w:bookmarkEnd w:id="42"/>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本次评估价值类型为市场价值。</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本次估价的价值定义为：市场价值是指理性而谨慎的交易双方，出于利己动机，有较充裕的时间，在了解交易对象、知晓市场行情下自愿进行交易最可能的价格。</w:t>
      </w:r>
    </w:p>
    <w:p>
      <w:pPr>
        <w:pStyle w:val="4"/>
        <w:spacing w:before="200" w:after="200" w:line="560" w:lineRule="exact"/>
        <w:rPr>
          <w:rFonts w:hint="eastAsia"/>
          <w:snapToGrid w:val="0"/>
          <w:kern w:val="0"/>
        </w:rPr>
      </w:pPr>
      <w:bookmarkStart w:id="43" w:name="_Toc373944544"/>
      <w:bookmarkStart w:id="44" w:name="_Toc20950"/>
      <w:r>
        <w:rPr>
          <w:rFonts w:hint="eastAsia"/>
          <w:snapToGrid w:val="0"/>
          <w:kern w:val="0"/>
        </w:rPr>
        <w:t>七、估价原则</w:t>
      </w:r>
      <w:bookmarkEnd w:id="43"/>
      <w:bookmarkEnd w:id="44"/>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（一）独立、客观、公正原则，是指估价机构和估价师站在中立的立场上实事求是、公平正直地评估出对各方估价利害关系人均是公平合理的价值或价格。</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（二）合法原则，是指估价结果是在依法判定的估价对象状况下的价值或价格。</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（三）价值时点原则，是指估价结果是在根据估价目的确定的某一特定时间的价值或价格。</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（四）替代原则，是指估价结果与估价对象的类似房地产在同等条件下的价值或价格偏差在合理范围内。</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（五）最高最佳利用原则，是指估价结果是在估价对象最高最佳利用状态下的价值或价格。</w:t>
      </w:r>
    </w:p>
    <w:p>
      <w:pPr>
        <w:tabs>
          <w:tab w:val="left" w:pos="360"/>
          <w:tab w:val="left" w:pos="4140"/>
          <w:tab w:val="left" w:pos="4320"/>
        </w:tabs>
        <w:spacing w:line="560" w:lineRule="exact"/>
        <w:ind w:firstLine="560" w:firstLineChars="200"/>
        <w:rPr>
          <w:rFonts w:ascii="宋体" w:hAnsi="宋体"/>
          <w:sz w:val="28"/>
          <w:szCs w:val="28"/>
        </w:rPr>
      </w:pPr>
      <w:r>
        <w:rPr>
          <w:rFonts w:hint="eastAsia" w:ascii="宋体" w:hAnsi="宋体"/>
          <w:sz w:val="28"/>
          <w:szCs w:val="28"/>
        </w:rPr>
        <w:t>我们认为估价对象维持现状、继续利用最为有利，故本次评估以维持现状为前提进行估价。</w:t>
      </w:r>
    </w:p>
    <w:p>
      <w:pPr>
        <w:pStyle w:val="4"/>
        <w:spacing w:before="200" w:after="200" w:line="560" w:lineRule="exact"/>
        <w:rPr>
          <w:snapToGrid w:val="0"/>
          <w:kern w:val="0"/>
        </w:rPr>
      </w:pPr>
      <w:bookmarkStart w:id="45" w:name="_Toc21659"/>
      <w:bookmarkStart w:id="46" w:name="_Toc373944543"/>
      <w:r>
        <w:rPr>
          <w:rFonts w:hint="eastAsia"/>
          <w:snapToGrid w:val="0"/>
          <w:kern w:val="0"/>
        </w:rPr>
        <w:t>八、估价依据</w:t>
      </w:r>
      <w:bookmarkEnd w:id="45"/>
      <w:bookmarkEnd w:id="46"/>
    </w:p>
    <w:p>
      <w:pPr>
        <w:tabs>
          <w:tab w:val="left" w:pos="360"/>
          <w:tab w:val="left" w:pos="4140"/>
          <w:tab w:val="left" w:pos="4320"/>
        </w:tabs>
        <w:spacing w:line="560" w:lineRule="exact"/>
        <w:ind w:firstLine="560" w:firstLineChars="200"/>
        <w:rPr>
          <w:rFonts w:hint="eastAsia" w:ascii="宋体" w:hAnsi="宋体"/>
          <w:sz w:val="28"/>
          <w:szCs w:val="28"/>
        </w:rPr>
      </w:pPr>
      <w:bookmarkStart w:id="47" w:name="_Toc373944545"/>
      <w:r>
        <w:rPr>
          <w:rFonts w:hint="eastAsia" w:ascii="宋体" w:hAnsi="宋体"/>
          <w:sz w:val="28"/>
          <w:szCs w:val="28"/>
        </w:rPr>
        <w:t>本次评估依据国家、广东省和河源市人民政府及其有关部门颁布的法律规定和政策性文件以及评估房地产的具体资料，主要有：</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1、法律、法规和政策文件</w:t>
      </w:r>
    </w:p>
    <w:p>
      <w:pPr>
        <w:tabs>
          <w:tab w:val="left" w:pos="360"/>
          <w:tab w:val="left" w:pos="4140"/>
          <w:tab w:val="left" w:pos="4320"/>
        </w:tabs>
        <w:spacing w:line="560" w:lineRule="exact"/>
        <w:ind w:firstLine="560" w:firstLineChars="200"/>
        <w:rPr>
          <w:rFonts w:ascii="宋体" w:hAnsi="宋体"/>
          <w:sz w:val="28"/>
          <w:szCs w:val="28"/>
        </w:rPr>
      </w:pPr>
      <w:r>
        <w:rPr>
          <w:rFonts w:hint="eastAsia" w:ascii="宋体" w:hAnsi="宋体"/>
          <w:sz w:val="28"/>
          <w:szCs w:val="28"/>
        </w:rPr>
        <w:t>（1）《中华人民共和国城市房地产管理法》（主席令第32号，自2020年1月1日起施行）；</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（2）《中华人民共和国土地管理法》（2019年8月26日第十三届全国人民代表大会常务委员会第十二次会议第三次修正，自2020年1月1日起施行）；</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（3）《中华人民共和国民法典》（主席令第45号2021年1月1日起实施）；</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（4）《中华人民共和国城乡规划法》（</w:t>
      </w:r>
      <w:r>
        <w:rPr>
          <w:rFonts w:hint="eastAsia" w:ascii="宋体" w:hAnsi="宋体"/>
          <w:sz w:val="28"/>
          <w:szCs w:val="28"/>
          <w:lang w:eastAsia="zh-CN"/>
        </w:rPr>
        <w:t>主席令第32号，自2019年4月23日起施行）</w:t>
      </w:r>
      <w:r>
        <w:rPr>
          <w:rFonts w:hint="eastAsia" w:ascii="宋体" w:hAnsi="宋体"/>
          <w:sz w:val="28"/>
          <w:szCs w:val="28"/>
        </w:rPr>
        <w:t>；</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（5）《中华人民共和国资产评估法》（主席令第46号，2016年12月1日起施行）； </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2、技术规程</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（1）《房地产估价规范》（GB/T50291-2015）；</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（2）《房地产估价基本术语标准》（GB/T50899-2013）；</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（3）《房地产估价报告评审标准（试行）》（2011年6月起试用）；</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（4）关于印发《涉执房地产处置司法评估指导意见（试行）》的通知（中房学〔2021〕37号）；</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3、估价委托人提供的资料</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《房地产权证》</w:t>
      </w:r>
      <w:r>
        <w:rPr>
          <w:rFonts w:hint="eastAsia" w:ascii="宋体" w:hAnsi="宋体"/>
          <w:sz w:val="28"/>
          <w:szCs w:val="28"/>
        </w:rPr>
        <w:t>；</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（2）估价委托人提供的《司法鉴定委托书》【（2022）河</w:t>
      </w:r>
      <w:r>
        <w:rPr>
          <w:rFonts w:hint="eastAsia" w:ascii="宋体" w:hAnsi="宋体"/>
          <w:sz w:val="28"/>
          <w:szCs w:val="28"/>
          <w:lang w:eastAsia="zh-CN"/>
        </w:rPr>
        <w:t>连</w:t>
      </w:r>
      <w:r>
        <w:rPr>
          <w:rFonts w:hint="eastAsia" w:ascii="宋体" w:hAnsi="宋体"/>
          <w:sz w:val="28"/>
          <w:szCs w:val="28"/>
        </w:rPr>
        <w:t>法技鉴字第</w:t>
      </w:r>
      <w:r>
        <w:rPr>
          <w:rFonts w:hint="eastAsia" w:ascii="宋体" w:hAnsi="宋体"/>
          <w:sz w:val="28"/>
          <w:szCs w:val="28"/>
          <w:lang w:val="en-US" w:eastAsia="zh-CN"/>
        </w:rPr>
        <w:t>47</w:t>
      </w:r>
      <w:r>
        <w:rPr>
          <w:rFonts w:hint="eastAsia" w:ascii="宋体" w:hAnsi="宋体"/>
          <w:sz w:val="28"/>
          <w:szCs w:val="28"/>
        </w:rPr>
        <w:t>号】；</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4、其他资料</w:t>
      </w:r>
    </w:p>
    <w:p>
      <w:pPr>
        <w:pStyle w:val="9"/>
        <w:spacing w:line="560" w:lineRule="exact"/>
        <w:ind w:firstLine="560" w:firstLineChars="200"/>
        <w:rPr>
          <w:rFonts w:hint="eastAsia" w:ascii="宋体" w:hAnsi="宋体"/>
          <w:sz w:val="28"/>
          <w:szCs w:val="28"/>
        </w:rPr>
      </w:pPr>
      <w:r>
        <w:rPr>
          <w:rFonts w:hint="eastAsia" w:ascii="宋体" w:hAnsi="宋体"/>
          <w:sz w:val="28"/>
          <w:szCs w:val="28"/>
        </w:rPr>
        <w:t>（1）《2021年河源市经济数据发布》；</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（2）估价人员现场勘察调查获得的实况和资料；</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（3）当地近期房地产市场交易资料；</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（4）估价机构及估价人员掌握的其他相关信息资料。</w:t>
      </w:r>
    </w:p>
    <w:bookmarkEnd w:id="47"/>
    <w:p>
      <w:pPr>
        <w:pStyle w:val="4"/>
        <w:spacing w:before="200" w:after="200" w:line="560" w:lineRule="exact"/>
        <w:rPr>
          <w:snapToGrid w:val="0"/>
          <w:kern w:val="0"/>
        </w:rPr>
      </w:pPr>
      <w:bookmarkStart w:id="48" w:name="_Toc17657"/>
      <w:bookmarkStart w:id="49" w:name="_Toc533514847"/>
      <w:r>
        <w:rPr>
          <w:rFonts w:hint="eastAsia"/>
          <w:snapToGrid w:val="0"/>
          <w:kern w:val="0"/>
        </w:rPr>
        <w:t>九、估价方法</w:t>
      </w:r>
      <w:bookmarkEnd w:id="48"/>
      <w:bookmarkEnd w:id="49"/>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根据</w:t>
      </w:r>
      <w:r>
        <w:rPr>
          <w:rFonts w:ascii="宋体" w:hAnsi="宋体"/>
          <w:sz w:val="28"/>
          <w:szCs w:val="28"/>
        </w:rPr>
        <w:t>《房地产估价规范》</w:t>
      </w:r>
      <w:r>
        <w:rPr>
          <w:rFonts w:hint="eastAsia" w:ascii="宋体" w:hAnsi="宋体"/>
          <w:sz w:val="28"/>
          <w:szCs w:val="28"/>
        </w:rPr>
        <w:t>，常见的估价方法有比较法、收益法、成本法和假设开发法等。</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估价人员深入细致地分析了估价对象的特点和实际状况，并研究了估价委托人提供的资料及估价人员所掌握的资料，结合实地勘察和市场调研的结果，估价对象所在地区的房地产交易市场比较活跃，与估价对象同类房地产有较多交易实例，宜采用比较法；另外考虑到估价对象附近有类似的出租物业相比较，宜采用收益法。</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（一）比较法</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比较法是</w:t>
      </w:r>
      <w:r>
        <w:rPr>
          <w:rFonts w:ascii="宋体" w:hAnsi="宋体"/>
          <w:sz w:val="28"/>
          <w:szCs w:val="28"/>
        </w:rPr>
        <w:t>选取一定数量</w:t>
      </w:r>
      <w:r>
        <w:rPr>
          <w:rFonts w:hint="eastAsia" w:ascii="宋体" w:hAnsi="宋体"/>
          <w:sz w:val="28"/>
          <w:szCs w:val="28"/>
        </w:rPr>
        <w:t>的可比</w:t>
      </w:r>
      <w:r>
        <w:rPr>
          <w:rFonts w:ascii="宋体" w:hAnsi="宋体"/>
          <w:sz w:val="28"/>
          <w:szCs w:val="28"/>
        </w:rPr>
        <w:t>实例，然后将它们与估价对象进行比较，</w:t>
      </w:r>
      <w:r>
        <w:rPr>
          <w:rFonts w:hint="eastAsia" w:ascii="宋体" w:hAnsi="宋体"/>
          <w:sz w:val="28"/>
          <w:szCs w:val="28"/>
        </w:rPr>
        <w:t>根据其间的差异对可比实例成交价格进行处理后得到估价对象价值或价格</w:t>
      </w:r>
      <w:r>
        <w:rPr>
          <w:rFonts w:ascii="宋体" w:hAnsi="宋体"/>
          <w:sz w:val="28"/>
          <w:szCs w:val="28"/>
        </w:rPr>
        <w:t>的方法。</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基本公式为：</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比较价值= 可比实例成交价格 ×交易情况修正系数× 市场状况修正系数× 房地产状况修正系数</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=可比实例成交价值 ×交易情况修正系数× 市场状况修正系数×（区位状况修正系数×实物状况修正系数×权益状况修正系数）</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（二）收益法</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收益法是预测估价对象的未来收益，利用报酬率或资本化率、收益乘数将未来收益转换为价值得到估价对象价值或价格的方法。</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其基本公式为：</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V=（a/r）×[1-(1 /(1+r)^n]</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其中：V----收益价格，</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a----年净收益，</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r----资本化率，</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 xml:space="preserve">       n----收益年限。</w:t>
      </w:r>
    </w:p>
    <w:p>
      <w:pPr>
        <w:tabs>
          <w:tab w:val="left" w:pos="360"/>
          <w:tab w:val="left" w:pos="4140"/>
          <w:tab w:val="left" w:pos="4320"/>
        </w:tabs>
        <w:spacing w:line="560" w:lineRule="exact"/>
        <w:ind w:firstLine="560" w:firstLineChars="200"/>
        <w:rPr>
          <w:rFonts w:hint="eastAsia" w:ascii="宋体" w:hAnsi="宋体"/>
          <w:sz w:val="28"/>
          <w:szCs w:val="28"/>
        </w:rPr>
      </w:pPr>
      <w:r>
        <w:rPr>
          <w:rFonts w:hint="eastAsia" w:ascii="宋体" w:hAnsi="宋体"/>
          <w:sz w:val="28"/>
          <w:szCs w:val="28"/>
        </w:rPr>
        <w:t>将两种估价方法的估算结果分析综合后，得出最终估价值。</w:t>
      </w:r>
    </w:p>
    <w:p>
      <w:pPr>
        <w:pStyle w:val="4"/>
        <w:spacing w:before="200" w:after="200" w:line="360" w:lineRule="auto"/>
        <w:rPr>
          <w:snapToGrid w:val="0"/>
          <w:kern w:val="0"/>
        </w:rPr>
      </w:pPr>
      <w:bookmarkStart w:id="50" w:name="_Toc27530"/>
      <w:bookmarkStart w:id="51" w:name="_Toc533514848"/>
      <w:bookmarkStart w:id="52" w:name="_Toc373944546"/>
      <w:r>
        <w:rPr>
          <w:rFonts w:hint="eastAsia"/>
          <w:snapToGrid w:val="0"/>
          <w:kern w:val="0"/>
        </w:rPr>
        <w:t>十、估价结果</w:t>
      </w:r>
      <w:bookmarkEnd w:id="50"/>
      <w:bookmarkEnd w:id="51"/>
      <w:bookmarkEnd w:id="52"/>
    </w:p>
    <w:p>
      <w:pPr>
        <w:spacing w:line="360" w:lineRule="auto"/>
        <w:ind w:firstLine="560" w:firstLineChars="200"/>
        <w:rPr>
          <w:rFonts w:hint="eastAsia" w:ascii="宋体" w:hAnsi="宋体"/>
          <w:snapToGrid w:val="0"/>
          <w:kern w:val="0"/>
          <w:sz w:val="28"/>
          <w:szCs w:val="28"/>
        </w:rPr>
      </w:pPr>
      <w:r>
        <w:rPr>
          <w:rFonts w:hint="eastAsia" w:ascii="宋体" w:hAnsi="宋体"/>
          <w:sz w:val="28"/>
          <w:szCs w:val="28"/>
        </w:rPr>
        <w:t>估价人员根据估价目的，遵循估价原则，按照估价程序，依据有关法律法规和标准，经过实地查勘与市场调查，选取比较法和收益法作为估价方法，在认真分析现有资料的基础上，结合估价经验和对影响房地产价值因素分析、估</w:t>
      </w:r>
      <w:r>
        <w:rPr>
          <w:rFonts w:hint="eastAsia" w:ascii="宋体" w:hAnsi="宋体"/>
          <w:snapToGrid w:val="0"/>
          <w:kern w:val="0"/>
          <w:sz w:val="28"/>
          <w:szCs w:val="28"/>
        </w:rPr>
        <w:t>算，</w:t>
      </w:r>
      <w:r>
        <w:rPr>
          <w:rFonts w:ascii="宋体" w:hAnsi="宋体"/>
          <w:snapToGrid w:val="0"/>
          <w:kern w:val="0"/>
          <w:sz w:val="28"/>
          <w:szCs w:val="28"/>
        </w:rPr>
        <w:t>确定估价对象于价值时点的评估单价为</w:t>
      </w:r>
      <w:r>
        <w:rPr>
          <w:rFonts w:hint="eastAsia" w:ascii="宋体" w:hAnsi="宋体"/>
          <w:b/>
          <w:snapToGrid w:val="0"/>
          <w:kern w:val="0"/>
          <w:sz w:val="28"/>
          <w:szCs w:val="28"/>
          <w:lang w:eastAsia="zh-CN"/>
        </w:rPr>
        <w:t>3,030</w:t>
      </w:r>
      <w:r>
        <w:rPr>
          <w:rFonts w:ascii="宋体" w:hAnsi="宋体"/>
          <w:snapToGrid w:val="0"/>
          <w:kern w:val="0"/>
          <w:sz w:val="28"/>
          <w:szCs w:val="28"/>
        </w:rPr>
        <w:t>元/</w:t>
      </w:r>
      <w:r>
        <w:rPr>
          <w:rFonts w:hint="eastAsia" w:ascii="宋体" w:hAnsi="宋体"/>
          <w:snapToGrid w:val="0"/>
          <w:kern w:val="0"/>
          <w:sz w:val="28"/>
          <w:szCs w:val="28"/>
        </w:rPr>
        <w:t>㎡</w:t>
      </w:r>
      <w:r>
        <w:rPr>
          <w:rFonts w:ascii="宋体" w:hAnsi="宋体"/>
          <w:snapToGrid w:val="0"/>
          <w:kern w:val="0"/>
          <w:sz w:val="28"/>
          <w:szCs w:val="28"/>
        </w:rPr>
        <w:t>，</w:t>
      </w:r>
      <w:r>
        <w:rPr>
          <w:rFonts w:hint="eastAsia" w:ascii="宋体" w:hAnsi="宋体"/>
          <w:snapToGrid w:val="0"/>
          <w:kern w:val="0"/>
          <w:sz w:val="28"/>
          <w:szCs w:val="28"/>
        </w:rPr>
        <w:t>评估总价为RMB</w:t>
      </w:r>
      <w:r>
        <w:rPr>
          <w:rFonts w:hint="eastAsia" w:ascii="宋体" w:hAnsi="宋体"/>
          <w:b/>
          <w:snapToGrid w:val="0"/>
          <w:kern w:val="0"/>
          <w:sz w:val="28"/>
          <w:szCs w:val="28"/>
          <w:lang w:eastAsia="zh-CN"/>
        </w:rPr>
        <w:t>2,287,256</w:t>
      </w:r>
      <w:r>
        <w:rPr>
          <w:rFonts w:hint="eastAsia" w:ascii="宋体" w:hAnsi="宋体"/>
          <w:snapToGrid w:val="0"/>
          <w:kern w:val="0"/>
          <w:sz w:val="28"/>
          <w:szCs w:val="28"/>
        </w:rPr>
        <w:t>元（大写人民币</w:t>
      </w:r>
      <w:r>
        <w:rPr>
          <w:rFonts w:hint="eastAsia" w:ascii="宋体" w:hAnsi="宋体"/>
          <w:b/>
          <w:snapToGrid w:val="0"/>
          <w:kern w:val="0"/>
          <w:sz w:val="28"/>
          <w:szCs w:val="28"/>
          <w:lang w:eastAsia="zh-CN"/>
        </w:rPr>
        <w:t>贰佰贰拾捌万柒仟贰佰伍拾陆</w:t>
      </w:r>
      <w:r>
        <w:rPr>
          <w:rFonts w:hint="eastAsia" w:ascii="宋体" w:hAnsi="宋体"/>
          <w:snapToGrid w:val="0"/>
          <w:kern w:val="0"/>
          <w:sz w:val="28"/>
          <w:szCs w:val="28"/>
        </w:rPr>
        <w:t>元整），市场价值为RMB</w:t>
      </w:r>
      <w:r>
        <w:rPr>
          <w:rFonts w:hint="eastAsia" w:ascii="宋体" w:hAnsi="宋体"/>
          <w:b/>
          <w:snapToGrid w:val="0"/>
          <w:kern w:val="0"/>
          <w:sz w:val="28"/>
          <w:szCs w:val="28"/>
          <w:lang w:eastAsia="zh-CN"/>
        </w:rPr>
        <w:t>2,287,256</w:t>
      </w:r>
      <w:r>
        <w:rPr>
          <w:rFonts w:hint="eastAsia" w:ascii="宋体" w:hAnsi="宋体"/>
          <w:snapToGrid w:val="0"/>
          <w:kern w:val="0"/>
          <w:sz w:val="28"/>
          <w:szCs w:val="28"/>
        </w:rPr>
        <w:t>元（大写人民币</w:t>
      </w:r>
      <w:r>
        <w:rPr>
          <w:rFonts w:hint="eastAsia" w:ascii="宋体" w:hAnsi="宋体"/>
          <w:b/>
          <w:snapToGrid w:val="0"/>
          <w:kern w:val="0"/>
          <w:sz w:val="28"/>
          <w:szCs w:val="28"/>
          <w:lang w:eastAsia="zh-CN"/>
        </w:rPr>
        <w:t>贰佰贰拾捌万柒仟贰佰伍拾陆</w:t>
      </w:r>
      <w:r>
        <w:rPr>
          <w:rFonts w:hint="eastAsia" w:ascii="宋体" w:hAnsi="宋体"/>
          <w:snapToGrid w:val="0"/>
          <w:kern w:val="0"/>
          <w:sz w:val="28"/>
          <w:szCs w:val="28"/>
        </w:rPr>
        <w:t>元整）。</w:t>
      </w:r>
      <w:r>
        <w:rPr>
          <w:rFonts w:ascii="宋体" w:hAnsi="宋体"/>
          <w:snapToGrid w:val="0"/>
          <w:kern w:val="0"/>
          <w:sz w:val="28"/>
          <w:szCs w:val="28"/>
        </w:rPr>
        <w:t>详见</w:t>
      </w:r>
      <w:r>
        <w:rPr>
          <w:rFonts w:hint="eastAsia" w:ascii="宋体" w:hAnsi="宋体"/>
          <w:snapToGrid w:val="0"/>
          <w:kern w:val="0"/>
          <w:sz w:val="28"/>
          <w:szCs w:val="28"/>
        </w:rPr>
        <w:t>《房地产评估结果汇总表》。</w:t>
      </w:r>
    </w:p>
    <w:p>
      <w:pPr>
        <w:pStyle w:val="2"/>
        <w:rPr>
          <w:rFonts w:hint="eastAsia" w:ascii="宋体" w:hAnsi="宋体"/>
          <w:snapToGrid w:val="0"/>
          <w:sz w:val="28"/>
          <w:szCs w:val="28"/>
        </w:rPr>
      </w:pPr>
    </w:p>
    <w:p>
      <w:pPr>
        <w:pStyle w:val="2"/>
        <w:rPr>
          <w:rFonts w:hint="eastAsia" w:ascii="宋体" w:hAnsi="宋体"/>
          <w:snapToGrid w:val="0"/>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10"/>
        <w:tabs>
          <w:tab w:val="left" w:pos="7560"/>
        </w:tabs>
        <w:ind w:firstLine="480" w:firstLineChars="200"/>
        <w:jc w:val="center"/>
        <w:rPr>
          <w:rFonts w:hint="eastAsia" w:hAnsi="宋体"/>
          <w:b/>
          <w:kern w:val="2"/>
          <w:szCs w:val="28"/>
        </w:rPr>
      </w:pPr>
      <w:r>
        <w:rPr>
          <w:rFonts w:hAnsi="宋体"/>
          <w:b/>
          <w:kern w:val="2"/>
          <w:szCs w:val="28"/>
        </w:rPr>
        <w:t>房地产评估结果汇总表</w:t>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337"/>
        <w:gridCol w:w="1340"/>
        <w:gridCol w:w="1425"/>
        <w:gridCol w:w="1336"/>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051" w:type="pct"/>
            <w:noWrap w:val="0"/>
            <w:vAlign w:val="center"/>
          </w:tcPr>
          <w:p>
            <w:pPr>
              <w:widowControl/>
              <w:jc w:val="center"/>
              <w:rPr>
                <w:rFonts w:ascii="宋体" w:hAnsi="宋体" w:cs="宋体"/>
                <w:kern w:val="0"/>
                <w:sz w:val="22"/>
              </w:rPr>
            </w:pPr>
            <w:r>
              <w:rPr>
                <w:rFonts w:hint="eastAsia" w:ascii="宋体" w:hAnsi="宋体"/>
                <w:sz w:val="22"/>
              </w:rPr>
              <w:t>估价对象地址</w:t>
            </w:r>
          </w:p>
        </w:tc>
        <w:tc>
          <w:tcPr>
            <w:tcW w:w="755" w:type="pc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建筑面积（㎡）</w:t>
            </w:r>
          </w:p>
        </w:tc>
        <w:tc>
          <w:tcPr>
            <w:tcW w:w="756"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评估单价</w:t>
            </w:r>
          </w:p>
          <w:p>
            <w:pPr>
              <w:widowControl/>
              <w:jc w:val="center"/>
              <w:rPr>
                <w:rFonts w:ascii="宋体" w:hAnsi="宋体" w:cs="宋体"/>
                <w:kern w:val="0"/>
                <w:sz w:val="22"/>
              </w:rPr>
            </w:pPr>
            <w:r>
              <w:rPr>
                <w:rFonts w:hint="eastAsia" w:ascii="宋体" w:hAnsi="宋体" w:cs="宋体"/>
                <w:kern w:val="0"/>
                <w:sz w:val="22"/>
              </w:rPr>
              <w:t>（元/㎡）</w:t>
            </w:r>
          </w:p>
        </w:tc>
        <w:tc>
          <w:tcPr>
            <w:tcW w:w="804"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评估总价</w:t>
            </w:r>
          </w:p>
          <w:p>
            <w:pPr>
              <w:widowControl/>
              <w:jc w:val="center"/>
              <w:rPr>
                <w:rFonts w:ascii="宋体" w:hAnsi="宋体" w:cs="宋体"/>
                <w:kern w:val="0"/>
                <w:sz w:val="22"/>
              </w:rPr>
            </w:pPr>
            <w:r>
              <w:rPr>
                <w:rFonts w:hint="eastAsia" w:ascii="宋体" w:hAnsi="宋体" w:cs="宋体"/>
                <w:kern w:val="0"/>
                <w:sz w:val="22"/>
              </w:rPr>
              <w:t>（元）</w:t>
            </w:r>
          </w:p>
        </w:tc>
        <w:tc>
          <w:tcPr>
            <w:tcW w:w="754"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市场价值</w:t>
            </w:r>
          </w:p>
          <w:p>
            <w:pPr>
              <w:widowControl/>
              <w:jc w:val="center"/>
              <w:rPr>
                <w:rFonts w:ascii="宋体" w:hAnsi="宋体" w:cs="宋体"/>
                <w:kern w:val="0"/>
                <w:sz w:val="22"/>
              </w:rPr>
            </w:pPr>
            <w:r>
              <w:rPr>
                <w:rFonts w:hint="eastAsia" w:ascii="宋体" w:hAnsi="宋体" w:cs="宋体"/>
                <w:kern w:val="0"/>
                <w:sz w:val="22"/>
              </w:rPr>
              <w:t>（元）</w:t>
            </w:r>
          </w:p>
        </w:tc>
        <w:tc>
          <w:tcPr>
            <w:tcW w:w="876" w:type="pct"/>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051" w:type="pct"/>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连平县元善镇乌石坳浪子下地段</w:t>
            </w:r>
          </w:p>
        </w:tc>
        <w:tc>
          <w:tcPr>
            <w:tcW w:w="755" w:type="pct"/>
            <w:tcBorders>
              <w:top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754.87</w:t>
            </w:r>
          </w:p>
        </w:tc>
        <w:tc>
          <w:tcPr>
            <w:tcW w:w="756" w:type="pct"/>
            <w:tcBorders>
              <w:top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3,030</w:t>
            </w:r>
          </w:p>
        </w:tc>
        <w:tc>
          <w:tcPr>
            <w:tcW w:w="804" w:type="pct"/>
            <w:tcBorders>
              <w:top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2,287,256</w:t>
            </w:r>
          </w:p>
        </w:tc>
        <w:tc>
          <w:tcPr>
            <w:tcW w:w="754" w:type="pct"/>
            <w:tcBorders>
              <w:top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2,287,256</w:t>
            </w:r>
          </w:p>
        </w:tc>
        <w:tc>
          <w:tcPr>
            <w:tcW w:w="876" w:type="pct"/>
            <w:tcBorders>
              <w:top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rPr>
              <w:t>评估结果为房地产综合价值，含地价</w:t>
            </w:r>
            <w:r>
              <w:rPr>
                <w:rFonts w:hint="eastAsia" w:ascii="宋体" w:hAnsi="宋体" w:eastAsia="宋体" w:cs="宋体"/>
                <w:kern w:val="0"/>
                <w:sz w:val="22"/>
                <w:lang w:eastAsia="zh-CN"/>
              </w:rPr>
              <w:t>。</w:t>
            </w:r>
          </w:p>
        </w:tc>
      </w:tr>
    </w:tbl>
    <w:p>
      <w:pPr>
        <w:pStyle w:val="10"/>
        <w:tabs>
          <w:tab w:val="left" w:pos="7560"/>
        </w:tabs>
        <w:ind w:firstLine="480" w:firstLineChars="200"/>
        <w:jc w:val="left"/>
        <w:rPr>
          <w:rFonts w:hint="eastAsia" w:hAnsi="宋体"/>
          <w:b/>
        </w:rPr>
      </w:pPr>
      <w:r>
        <w:rPr>
          <w:rFonts w:hint="eastAsia" w:hAnsi="宋体"/>
          <w:b/>
        </w:rPr>
        <w:t>备注：上述估价结果为市场价值，不包含转让时应缴纳的相关税费。</w:t>
      </w:r>
    </w:p>
    <w:p>
      <w:pPr>
        <w:pStyle w:val="4"/>
        <w:spacing w:before="200" w:after="200" w:line="415" w:lineRule="auto"/>
        <w:rPr>
          <w:rFonts w:hint="eastAsia" w:ascii="宋体" w:hAnsi="宋体"/>
        </w:rPr>
      </w:pPr>
      <w:bookmarkStart w:id="53" w:name="_Toc373944547"/>
      <w:bookmarkStart w:id="54" w:name="_Toc11208"/>
      <w:r>
        <w:rPr>
          <w:rFonts w:hint="eastAsia" w:ascii="宋体" w:hAnsi="宋体"/>
        </w:rPr>
        <w:t>十一、</w:t>
      </w:r>
      <w:bookmarkEnd w:id="53"/>
      <w:r>
        <w:rPr>
          <w:rFonts w:ascii="宋体" w:hAnsi="宋体"/>
        </w:rPr>
        <w:fldChar w:fldCharType="begin"/>
      </w:r>
      <w:r>
        <w:rPr>
          <w:rFonts w:ascii="宋体" w:hAnsi="宋体"/>
        </w:rPr>
        <w:instrText xml:space="preserve"> </w:instrText>
      </w:r>
      <w:r>
        <w:rPr>
          <w:rFonts w:hint="eastAsia" w:ascii="宋体" w:hAnsi="宋体"/>
        </w:rPr>
        <w:instrText xml:space="preserve">HYPERLINK  \l "_Hlk523758400" \s "1,8875,8883,0,,注册房地产估价师"</w:instrText>
      </w:r>
      <w:r>
        <w:rPr>
          <w:rFonts w:ascii="宋体" w:hAnsi="宋体"/>
        </w:rPr>
        <w:instrText xml:space="preserve"> </w:instrText>
      </w:r>
      <w:r>
        <w:rPr>
          <w:rFonts w:ascii="宋体" w:hAnsi="宋体"/>
        </w:rPr>
        <w:fldChar w:fldCharType="separate"/>
      </w:r>
      <w:r>
        <w:rPr>
          <w:rFonts w:hint="eastAsia"/>
        </w:rPr>
        <w:t>注册房地产估价师</w:t>
      </w:r>
      <w:r>
        <w:rPr>
          <w:rFonts w:ascii="宋体" w:hAnsi="宋体"/>
        </w:rPr>
        <w:fldChar w:fldCharType="end"/>
      </w:r>
      <w:bookmarkEnd w:id="54"/>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143"/>
        <w:gridCol w:w="2283"/>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jc w:val="center"/>
        </w:trPr>
        <w:tc>
          <w:tcPr>
            <w:tcW w:w="2004" w:type="dxa"/>
            <w:noWrap w:val="0"/>
            <w:vAlign w:val="center"/>
          </w:tcPr>
          <w:p>
            <w:pPr>
              <w:tabs>
                <w:tab w:val="left" w:pos="735"/>
              </w:tabs>
              <w:overflowPunct w:val="0"/>
              <w:spacing w:line="312" w:lineRule="auto"/>
              <w:jc w:val="center"/>
              <w:rPr>
                <w:rFonts w:hint="eastAsia" w:ascii="宋体" w:hAnsi="宋体"/>
                <w:sz w:val="24"/>
              </w:rPr>
            </w:pPr>
            <w:r>
              <w:rPr>
                <w:rFonts w:hint="eastAsia" w:ascii="宋体" w:hAnsi="宋体"/>
                <w:sz w:val="24"/>
              </w:rPr>
              <w:t>姓  名</w:t>
            </w:r>
          </w:p>
        </w:tc>
        <w:tc>
          <w:tcPr>
            <w:tcW w:w="2143" w:type="dxa"/>
            <w:noWrap w:val="0"/>
            <w:vAlign w:val="center"/>
          </w:tcPr>
          <w:p>
            <w:pPr>
              <w:tabs>
                <w:tab w:val="left" w:pos="735"/>
              </w:tabs>
              <w:wordWrap w:val="0"/>
              <w:overflowPunct w:val="0"/>
              <w:spacing w:line="312" w:lineRule="auto"/>
              <w:jc w:val="center"/>
              <w:rPr>
                <w:rFonts w:hint="eastAsia" w:ascii="宋体" w:hAnsi="宋体"/>
                <w:sz w:val="24"/>
              </w:rPr>
            </w:pPr>
            <w:r>
              <w:rPr>
                <w:rFonts w:hint="eastAsia" w:ascii="宋体" w:hAnsi="宋体"/>
                <w:sz w:val="24"/>
              </w:rPr>
              <w:t>注册号</w:t>
            </w:r>
          </w:p>
        </w:tc>
        <w:tc>
          <w:tcPr>
            <w:tcW w:w="2283" w:type="dxa"/>
            <w:noWrap w:val="0"/>
            <w:vAlign w:val="center"/>
          </w:tcPr>
          <w:p>
            <w:pPr>
              <w:tabs>
                <w:tab w:val="left" w:pos="735"/>
              </w:tabs>
              <w:wordWrap w:val="0"/>
              <w:overflowPunct w:val="0"/>
              <w:spacing w:line="312" w:lineRule="auto"/>
              <w:jc w:val="center"/>
              <w:rPr>
                <w:rFonts w:hint="eastAsia" w:ascii="宋体" w:hAnsi="宋体"/>
                <w:sz w:val="24"/>
              </w:rPr>
            </w:pPr>
            <w:r>
              <w:rPr>
                <w:rFonts w:hint="eastAsia" w:ascii="宋体" w:hAnsi="宋体"/>
                <w:sz w:val="24"/>
              </w:rPr>
              <w:t>签  名</w:t>
            </w:r>
          </w:p>
        </w:tc>
        <w:tc>
          <w:tcPr>
            <w:tcW w:w="2427" w:type="dxa"/>
            <w:noWrap w:val="0"/>
            <w:vAlign w:val="center"/>
          </w:tcPr>
          <w:p>
            <w:pPr>
              <w:tabs>
                <w:tab w:val="left" w:pos="735"/>
              </w:tabs>
              <w:wordWrap w:val="0"/>
              <w:overflowPunct w:val="0"/>
              <w:spacing w:line="312" w:lineRule="auto"/>
              <w:jc w:val="center"/>
              <w:rPr>
                <w:rFonts w:hint="eastAsia"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5" w:hRule="atLeast"/>
          <w:jc w:val="center"/>
        </w:trPr>
        <w:tc>
          <w:tcPr>
            <w:tcW w:w="2004" w:type="dxa"/>
            <w:noWrap w:val="0"/>
            <w:vAlign w:val="center"/>
          </w:tcPr>
          <w:p>
            <w:pPr>
              <w:tabs>
                <w:tab w:val="left" w:pos="735"/>
              </w:tabs>
              <w:wordWrap w:val="0"/>
              <w:overflowPunct w:val="0"/>
              <w:spacing w:line="312" w:lineRule="auto"/>
              <w:jc w:val="center"/>
              <w:rPr>
                <w:rFonts w:hint="eastAsia" w:ascii="宋体" w:hAnsi="宋体"/>
                <w:sz w:val="24"/>
              </w:rPr>
            </w:pPr>
            <w:r>
              <w:rPr>
                <w:rFonts w:hint="eastAsia" w:ascii="宋体" w:hAnsi="宋体"/>
                <w:color w:val="000000"/>
                <w:sz w:val="24"/>
              </w:rPr>
              <w:t>吴春妮</w:t>
            </w:r>
          </w:p>
        </w:tc>
        <w:tc>
          <w:tcPr>
            <w:tcW w:w="2143" w:type="dxa"/>
            <w:noWrap w:val="0"/>
            <w:vAlign w:val="center"/>
          </w:tcPr>
          <w:p>
            <w:pPr>
              <w:tabs>
                <w:tab w:val="left" w:pos="735"/>
              </w:tabs>
              <w:wordWrap w:val="0"/>
              <w:overflowPunct w:val="0"/>
              <w:spacing w:line="312" w:lineRule="auto"/>
              <w:jc w:val="center"/>
              <w:rPr>
                <w:rFonts w:ascii="宋体" w:hAnsi="宋体"/>
                <w:sz w:val="24"/>
              </w:rPr>
            </w:pPr>
            <w:r>
              <w:rPr>
                <w:rFonts w:hint="eastAsia" w:ascii="宋体" w:hAnsi="宋体"/>
                <w:color w:val="000000"/>
                <w:sz w:val="24"/>
              </w:rPr>
              <w:t>4620190003</w:t>
            </w:r>
          </w:p>
        </w:tc>
        <w:tc>
          <w:tcPr>
            <w:tcW w:w="2283" w:type="dxa"/>
            <w:noWrap w:val="0"/>
            <w:vAlign w:val="center"/>
          </w:tcPr>
          <w:p>
            <w:pPr>
              <w:tabs>
                <w:tab w:val="left" w:pos="735"/>
              </w:tabs>
              <w:overflowPunct w:val="0"/>
              <w:spacing w:line="312" w:lineRule="auto"/>
              <w:jc w:val="center"/>
              <w:rPr>
                <w:rFonts w:ascii="宋体" w:hAnsi="宋体"/>
                <w:sz w:val="24"/>
              </w:rPr>
            </w:pPr>
          </w:p>
        </w:tc>
        <w:tc>
          <w:tcPr>
            <w:tcW w:w="2427" w:type="dxa"/>
            <w:noWrap w:val="0"/>
            <w:vAlign w:val="center"/>
          </w:tcPr>
          <w:p>
            <w:pPr>
              <w:tabs>
                <w:tab w:val="left" w:pos="735"/>
              </w:tabs>
              <w:wordWrap w:val="0"/>
              <w:overflowPunct w:val="0"/>
              <w:spacing w:line="312" w:lineRule="auto"/>
              <w:jc w:val="center"/>
              <w:rPr>
                <w:rFonts w:hint="eastAsia" w:ascii="宋体" w:hAnsi="宋体" w:eastAsia="宋体"/>
                <w:color w:val="000000"/>
                <w:sz w:val="24"/>
                <w:lang w:eastAsia="zh-CN"/>
              </w:rPr>
            </w:pPr>
            <w:r>
              <w:rPr>
                <w:rFonts w:hint="eastAsia" w:ascii="宋体" w:hAnsi="宋体"/>
                <w:color w:val="000000"/>
                <w:sz w:val="24"/>
                <w:lang w:eastAsia="zh-CN"/>
              </w:rPr>
              <w:t>2022年8月30日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5" w:hRule="atLeast"/>
          <w:jc w:val="center"/>
        </w:trPr>
        <w:tc>
          <w:tcPr>
            <w:tcW w:w="2004" w:type="dxa"/>
            <w:noWrap w:val="0"/>
            <w:vAlign w:val="center"/>
          </w:tcPr>
          <w:p>
            <w:pPr>
              <w:tabs>
                <w:tab w:val="left" w:pos="735"/>
              </w:tabs>
              <w:wordWrap w:val="0"/>
              <w:overflowPunct w:val="0"/>
              <w:spacing w:line="312" w:lineRule="auto"/>
              <w:jc w:val="center"/>
              <w:rPr>
                <w:rFonts w:hint="eastAsia" w:ascii="宋体" w:hAnsi="宋体"/>
                <w:sz w:val="24"/>
              </w:rPr>
            </w:pPr>
            <w:r>
              <w:rPr>
                <w:rFonts w:hint="eastAsia" w:ascii="宋体" w:hAnsi="宋体"/>
                <w:color w:val="000000"/>
                <w:sz w:val="24"/>
              </w:rPr>
              <w:t>李娟</w:t>
            </w:r>
          </w:p>
        </w:tc>
        <w:tc>
          <w:tcPr>
            <w:tcW w:w="2143" w:type="dxa"/>
            <w:noWrap w:val="0"/>
            <w:vAlign w:val="center"/>
          </w:tcPr>
          <w:p>
            <w:pPr>
              <w:tabs>
                <w:tab w:val="left" w:pos="735"/>
              </w:tabs>
              <w:wordWrap w:val="0"/>
              <w:overflowPunct w:val="0"/>
              <w:spacing w:line="312" w:lineRule="auto"/>
              <w:jc w:val="center"/>
              <w:rPr>
                <w:rFonts w:ascii="宋体" w:hAnsi="宋体"/>
                <w:sz w:val="24"/>
              </w:rPr>
            </w:pPr>
            <w:r>
              <w:rPr>
                <w:rFonts w:hint="eastAsia" w:ascii="宋体" w:hAnsi="宋体"/>
                <w:color w:val="000000"/>
                <w:sz w:val="24"/>
              </w:rPr>
              <w:t>4120190090</w:t>
            </w:r>
          </w:p>
        </w:tc>
        <w:tc>
          <w:tcPr>
            <w:tcW w:w="2283" w:type="dxa"/>
            <w:noWrap w:val="0"/>
            <w:vAlign w:val="center"/>
          </w:tcPr>
          <w:p>
            <w:pPr>
              <w:tabs>
                <w:tab w:val="left" w:pos="735"/>
              </w:tabs>
              <w:wordWrap w:val="0"/>
              <w:overflowPunct w:val="0"/>
              <w:spacing w:line="312" w:lineRule="auto"/>
              <w:jc w:val="center"/>
              <w:rPr>
                <w:rFonts w:ascii="宋体" w:hAnsi="宋体"/>
                <w:sz w:val="24"/>
              </w:rPr>
            </w:pPr>
          </w:p>
        </w:tc>
        <w:tc>
          <w:tcPr>
            <w:tcW w:w="2427" w:type="dxa"/>
            <w:noWrap w:val="0"/>
            <w:vAlign w:val="center"/>
          </w:tcPr>
          <w:p>
            <w:pPr>
              <w:tabs>
                <w:tab w:val="left" w:pos="735"/>
              </w:tabs>
              <w:wordWrap w:val="0"/>
              <w:overflowPunct w:val="0"/>
              <w:spacing w:line="312" w:lineRule="auto"/>
              <w:jc w:val="center"/>
              <w:rPr>
                <w:rFonts w:hint="eastAsia" w:ascii="宋体" w:hAnsi="宋体" w:eastAsia="宋体"/>
                <w:color w:val="000000"/>
                <w:sz w:val="24"/>
                <w:lang w:eastAsia="zh-CN"/>
              </w:rPr>
            </w:pPr>
            <w:r>
              <w:rPr>
                <w:rFonts w:hint="eastAsia" w:ascii="宋体" w:hAnsi="宋体"/>
                <w:color w:val="000000"/>
                <w:sz w:val="24"/>
                <w:lang w:eastAsia="zh-CN"/>
              </w:rPr>
              <w:t>2022年8月30日</w:t>
            </w:r>
          </w:p>
        </w:tc>
      </w:tr>
    </w:tbl>
    <w:p>
      <w:pPr>
        <w:pStyle w:val="4"/>
        <w:spacing w:line="360" w:lineRule="auto"/>
        <w:rPr>
          <w:rFonts w:hint="eastAsia"/>
        </w:rPr>
      </w:pPr>
      <w:bookmarkStart w:id="55" w:name="_Toc373944548"/>
      <w:bookmarkStart w:id="56" w:name="_Toc15976"/>
      <w:r>
        <w:rPr>
          <w:rFonts w:hint="eastAsia"/>
        </w:rPr>
        <w:t>十二、</w:t>
      </w:r>
      <w:bookmarkEnd w:id="55"/>
      <w:r>
        <w:t>实地查勘期</w:t>
      </w:r>
      <w:bookmarkEnd w:id="56"/>
    </w:p>
    <w:p>
      <w:pPr>
        <w:tabs>
          <w:tab w:val="left" w:pos="360"/>
          <w:tab w:val="left" w:pos="4140"/>
          <w:tab w:val="left" w:pos="4320"/>
        </w:tabs>
        <w:spacing w:line="360" w:lineRule="auto"/>
        <w:ind w:firstLine="560" w:firstLineChars="200"/>
        <w:rPr>
          <w:rFonts w:hint="eastAsia" w:ascii="宋体" w:hAnsi="宋体" w:eastAsia="宋体"/>
          <w:sz w:val="28"/>
          <w:szCs w:val="28"/>
          <w:lang w:eastAsia="zh-CN"/>
        </w:rPr>
      </w:pPr>
      <w:bookmarkStart w:id="57" w:name="_Toc60051454"/>
      <w:r>
        <w:rPr>
          <w:rFonts w:hint="eastAsia" w:ascii="宋体" w:hAnsi="宋体"/>
          <w:sz w:val="28"/>
          <w:szCs w:val="28"/>
          <w:lang w:eastAsia="zh-CN"/>
        </w:rPr>
        <w:t>二〇二二年八月二日</w:t>
      </w:r>
      <w:r>
        <w:rPr>
          <w:rFonts w:hint="eastAsia" w:ascii="宋体" w:hAnsi="宋体"/>
          <w:sz w:val="28"/>
          <w:szCs w:val="28"/>
        </w:rPr>
        <w:t>至</w:t>
      </w:r>
      <w:bookmarkEnd w:id="57"/>
      <w:r>
        <w:rPr>
          <w:rFonts w:hint="eastAsia" w:ascii="宋体" w:hAnsi="宋体"/>
          <w:sz w:val="28"/>
          <w:szCs w:val="28"/>
          <w:lang w:eastAsia="zh-CN"/>
        </w:rPr>
        <w:t>二〇二二年八月二日</w:t>
      </w:r>
    </w:p>
    <w:p>
      <w:pPr>
        <w:pStyle w:val="4"/>
        <w:spacing w:line="360" w:lineRule="auto"/>
        <w:rPr>
          <w:rFonts w:hint="eastAsia"/>
        </w:rPr>
      </w:pPr>
      <w:bookmarkStart w:id="58" w:name="_Toc32491"/>
      <w:r>
        <w:rPr>
          <w:rFonts w:hint="eastAsia"/>
        </w:rPr>
        <w:t>十三、</w:t>
      </w:r>
      <w:r>
        <w:t>估价作业期</w:t>
      </w:r>
      <w:bookmarkEnd w:id="58"/>
    </w:p>
    <w:p>
      <w:pPr>
        <w:tabs>
          <w:tab w:val="left" w:pos="360"/>
          <w:tab w:val="left" w:pos="4140"/>
          <w:tab w:val="left" w:pos="4320"/>
        </w:tabs>
        <w:spacing w:line="360" w:lineRule="auto"/>
        <w:ind w:firstLine="560" w:firstLineChars="200"/>
        <w:rPr>
          <w:rFonts w:hint="eastAsia" w:ascii="宋体" w:hAnsi="宋体" w:eastAsia="宋体"/>
          <w:sz w:val="28"/>
          <w:szCs w:val="28"/>
          <w:lang w:eastAsia="zh-CN"/>
        </w:rPr>
      </w:pPr>
      <w:bookmarkStart w:id="59" w:name="_Toc60051456"/>
      <w:r>
        <w:rPr>
          <w:rFonts w:hint="eastAsia" w:ascii="宋体" w:hAnsi="宋体"/>
          <w:sz w:val="28"/>
          <w:szCs w:val="28"/>
          <w:lang w:eastAsia="zh-CN"/>
        </w:rPr>
        <w:t>二〇二二年八月二日</w:t>
      </w:r>
      <w:r>
        <w:rPr>
          <w:rFonts w:hint="eastAsia" w:ascii="宋体" w:hAnsi="宋体"/>
          <w:sz w:val="28"/>
          <w:szCs w:val="28"/>
        </w:rPr>
        <w:t>至</w:t>
      </w:r>
      <w:bookmarkEnd w:id="59"/>
      <w:r>
        <w:rPr>
          <w:rFonts w:hint="eastAsia" w:ascii="宋体" w:hAnsi="宋体"/>
          <w:color w:val="000000"/>
          <w:sz w:val="28"/>
          <w:szCs w:val="28"/>
          <w:lang w:eastAsia="zh-CN"/>
        </w:rPr>
        <w:t>二〇二二年八月三十日</w:t>
      </w:r>
    </w:p>
    <w:p>
      <w:pPr>
        <w:tabs>
          <w:tab w:val="left" w:pos="0"/>
          <w:tab w:val="left" w:pos="4140"/>
          <w:tab w:val="left" w:pos="4320"/>
        </w:tabs>
        <w:spacing w:line="360" w:lineRule="auto"/>
        <w:ind w:firstLine="560" w:firstLineChars="200"/>
        <w:outlineLvl w:val="0"/>
        <w:rPr>
          <w:rFonts w:hint="eastAsia" w:ascii="宋体" w:hAnsi="宋体"/>
          <w:snapToGrid w:val="0"/>
          <w:kern w:val="0"/>
          <w:sz w:val="28"/>
          <w:szCs w:val="28"/>
        </w:rPr>
      </w:pPr>
    </w:p>
    <w:p>
      <w:pPr>
        <w:pStyle w:val="2"/>
        <w:rPr>
          <w:rFonts w:hint="eastAsia"/>
        </w:rPr>
      </w:pPr>
    </w:p>
    <w:p>
      <w:pPr>
        <w:pStyle w:val="2"/>
        <w:rPr>
          <w:rFonts w:hint="eastAsia"/>
        </w:rPr>
      </w:pPr>
    </w:p>
    <w:p>
      <w:pPr>
        <w:tabs>
          <w:tab w:val="left" w:pos="0"/>
          <w:tab w:val="left" w:pos="4140"/>
          <w:tab w:val="left" w:pos="4320"/>
        </w:tabs>
        <w:spacing w:line="360" w:lineRule="auto"/>
        <w:outlineLvl w:val="0"/>
        <w:rPr>
          <w:rFonts w:hint="eastAsia" w:ascii="宋体" w:hAnsi="宋体"/>
          <w:snapToGrid w:val="0"/>
          <w:kern w:val="0"/>
          <w:sz w:val="28"/>
          <w:szCs w:val="28"/>
        </w:rPr>
      </w:pPr>
    </w:p>
    <w:p>
      <w:pPr>
        <w:pStyle w:val="3"/>
        <w:spacing w:line="360" w:lineRule="auto"/>
        <w:rPr>
          <w:rFonts w:hint="eastAsia"/>
        </w:rPr>
      </w:pPr>
      <w:bookmarkStart w:id="60" w:name="_Toc6439"/>
      <w:r>
        <w:rPr>
          <w:rFonts w:hint="eastAsia"/>
        </w:rPr>
        <w:t>附 件</w:t>
      </w:r>
    </w:p>
    <w:p>
      <w:pPr>
        <w:spacing w:before="312" w:beforeLines="100" w:after="312" w:afterLines="100" w:line="480" w:lineRule="auto"/>
        <w:jc w:val="left"/>
        <w:rPr>
          <w:rFonts w:hint="eastAsia" w:ascii="宋体" w:hAnsi="宋体"/>
          <w:sz w:val="28"/>
          <w:szCs w:val="28"/>
        </w:rPr>
      </w:pPr>
      <w:r>
        <w:rPr>
          <w:rFonts w:hint="eastAsia" w:ascii="宋体" w:hAnsi="宋体"/>
          <w:sz w:val="28"/>
          <w:szCs w:val="28"/>
        </w:rPr>
        <w:t>附件一、估价对象相关相片</w:t>
      </w:r>
    </w:p>
    <w:p>
      <w:pPr>
        <w:spacing w:before="312" w:beforeLines="100" w:after="312" w:afterLines="100" w:line="480" w:lineRule="auto"/>
        <w:jc w:val="left"/>
        <w:rPr>
          <w:rFonts w:hint="eastAsia" w:ascii="宋体" w:hAnsi="宋体"/>
          <w:sz w:val="28"/>
          <w:szCs w:val="28"/>
        </w:rPr>
      </w:pPr>
      <w:r>
        <w:rPr>
          <w:rFonts w:hint="eastAsia" w:ascii="宋体" w:hAnsi="宋体"/>
          <w:sz w:val="28"/>
          <w:szCs w:val="28"/>
        </w:rPr>
        <w:t>附件二、估价对象位置图</w:t>
      </w:r>
    </w:p>
    <w:p>
      <w:pPr>
        <w:spacing w:before="312" w:beforeLines="100" w:after="312" w:afterLines="100" w:line="480" w:lineRule="auto"/>
        <w:jc w:val="left"/>
        <w:rPr>
          <w:rFonts w:hint="eastAsia" w:ascii="宋体" w:hAnsi="宋体"/>
          <w:sz w:val="28"/>
          <w:szCs w:val="28"/>
        </w:rPr>
      </w:pPr>
      <w:r>
        <w:rPr>
          <w:rFonts w:hint="eastAsia" w:ascii="宋体" w:hAnsi="宋体"/>
          <w:sz w:val="28"/>
          <w:szCs w:val="28"/>
        </w:rPr>
        <w:t>附件三、估价委托人提供的有关资料复印件</w:t>
      </w:r>
    </w:p>
    <w:p>
      <w:pPr>
        <w:spacing w:before="312" w:beforeLines="100" w:after="312" w:afterLines="100" w:line="480" w:lineRule="auto"/>
        <w:jc w:val="left"/>
        <w:rPr>
          <w:rFonts w:hint="eastAsia" w:ascii="宋体" w:hAnsi="宋体"/>
          <w:sz w:val="28"/>
          <w:szCs w:val="28"/>
        </w:rPr>
      </w:pPr>
      <w:r>
        <w:rPr>
          <w:rFonts w:hint="eastAsia" w:ascii="宋体" w:hAnsi="宋体"/>
          <w:sz w:val="28"/>
          <w:szCs w:val="28"/>
        </w:rPr>
        <w:t>附件四、估价方营业执照和评估资质证书复印件</w:t>
      </w:r>
    </w:p>
    <w:p>
      <w:pPr>
        <w:spacing w:before="312" w:beforeLines="100" w:after="312" w:afterLines="100" w:line="480" w:lineRule="auto"/>
        <w:jc w:val="left"/>
        <w:rPr>
          <w:rFonts w:hint="eastAsia" w:ascii="宋体" w:hAnsi="宋体"/>
          <w:sz w:val="28"/>
          <w:szCs w:val="28"/>
        </w:rPr>
      </w:pPr>
      <w:r>
        <w:rPr>
          <w:rFonts w:hint="eastAsia" w:ascii="宋体" w:hAnsi="宋体"/>
          <w:sz w:val="28"/>
          <w:szCs w:val="28"/>
        </w:rPr>
        <w:t>附件五、估价人员执业资格证书复印件</w:t>
      </w:r>
    </w:p>
    <w:p>
      <w:pPr>
        <w:pStyle w:val="3"/>
        <w:spacing w:line="360" w:lineRule="auto"/>
        <w:rPr>
          <w:rFonts w:hint="eastAsia"/>
        </w:rPr>
      </w:pPr>
    </w:p>
    <w:p>
      <w:pPr>
        <w:pStyle w:val="3"/>
        <w:spacing w:line="360" w:lineRule="auto"/>
        <w:rPr>
          <w:rFonts w:hint="eastAsia"/>
        </w:rPr>
      </w:pPr>
    </w:p>
    <w:bookmarkEnd w:id="60"/>
    <w:p>
      <w:pPr>
        <w:rPr>
          <w:rFonts w:hint="eastAsia"/>
        </w:rPr>
      </w:pPr>
    </w:p>
    <w:sectPr>
      <w:footerReference r:id="rId6" w:type="default"/>
      <w:pgSz w:w="11907" w:h="16840"/>
      <w:pgMar w:top="1077" w:right="1469" w:bottom="1077" w:left="1797" w:header="284" w:footer="454"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lang/>
      </w:rPr>
      <w:t>- 1 -</w:t>
    </w:r>
    <w:r>
      <w:fldChar w:fldCharType="end"/>
    </w:r>
  </w:p>
  <w:p>
    <w:pPr>
      <w:pStyle w:val="19"/>
      <w:jc w:val="center"/>
    </w:pPr>
    <w:r>
      <w:fldChar w:fldCharType="begin"/>
    </w:r>
    <w:r>
      <w:rPr>
        <w:rStyle w:val="33"/>
      </w:rPr>
      <w:instrText xml:space="preserve"> PAGE </w:instrText>
    </w:r>
    <w:r>
      <w:fldChar w:fldCharType="separate"/>
    </w:r>
    <w:r>
      <w:rPr>
        <w:rStyle w:val="33"/>
        <w:lang/>
      </w:rPr>
      <w:t>- 1 -</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both"/>
      <w:rPr>
        <w:rFonts w:hint="eastAsia"/>
        <w:sz w:val="21"/>
        <w:szCs w:val="21"/>
      </w:rPr>
    </w:pPr>
    <w:r>
      <w:rPr>
        <w:rFonts w:hint="eastAsia"/>
        <w:szCs w:val="21"/>
      </w:rPr>
      <w:pict>
        <v:rect id="_x0000_s2049" o:spid="_x0000_s2049" o:spt="1" style="position:absolute;left:0pt;margin-left:27.95pt;margin-top:2.75pt;height:20.55pt;width:249.7pt;z-index:251659264;mso-width-relative:page;mso-height-relative:page;" filled="f" stroked="f" coordsize="21600,21600">
          <v:path/>
          <v:fill on="f" focussize="0,0"/>
          <v:stroke on="f"/>
          <v:imagedata o:title=""/>
          <o:lock v:ext="edit"/>
          <v:textbox>
            <w:txbxContent>
              <w:p>
                <w:r>
                  <w:rPr>
                    <w:rFonts w:hint="eastAsia" w:ascii="宋体" w:hAnsi="宋体"/>
                    <w:sz w:val="24"/>
                  </w:rPr>
                  <w:t>广东方圆土地房地产资产评估咨询有限公司</w:t>
                </w:r>
              </w:p>
            </w:txbxContent>
          </v:textbox>
        </v:rect>
      </w:pict>
    </w:r>
    <w:r>
      <w:rPr>
        <w:rFonts w:hint="eastAsia"/>
        <w:szCs w:val="21"/>
      </w:rPr>
      <w:pict>
        <v:shape id="_x0000_i1025" o:spt="75" type="#_x0000_t75" style="height:25.15pt;width:22.95pt;" filled="f" stroked="f" coordsize="21600,21600">
          <v:path/>
          <v:fill on="f" focussize="0,0"/>
          <v:stroke on="f"/>
          <v:imagedata r:id="rId1" o:title=""/>
          <o:lock v:ext="edit" aspectratio="t"/>
          <w10:wrap type="none"/>
          <w10:anchorlock/>
        </v:shape>
      </w:pict>
    </w:r>
    <w:r>
      <w:rPr>
        <w:rFonts w:hint="eastAsia"/>
        <w:sz w:val="21"/>
        <w:szCs w:val="21"/>
      </w:rPr>
      <w:t xml:space="preserve"> </w:t>
    </w:r>
  </w:p>
  <w:p>
    <w:pPr>
      <w:pStyle w:val="20"/>
      <w:pBdr>
        <w:bottom w:val="single" w:color="auto" w:sz="6" w:space="0"/>
      </w:pBdr>
      <w:spacing w:line="120" w:lineRule="exact"/>
      <w:jc w:val="both"/>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1NWUwY2JmY2M5Mzk0ZjdiMGJhNjFmZjY2MDE4YWQifQ=="/>
  </w:docVars>
  <w:rsids>
    <w:rsidRoot w:val="009D7E69"/>
    <w:rsid w:val="000350BE"/>
    <w:rsid w:val="000800F0"/>
    <w:rsid w:val="000A503B"/>
    <w:rsid w:val="000C4F42"/>
    <w:rsid w:val="00146AB9"/>
    <w:rsid w:val="00176C8D"/>
    <w:rsid w:val="002108F5"/>
    <w:rsid w:val="0024267A"/>
    <w:rsid w:val="00250855"/>
    <w:rsid w:val="00253BBA"/>
    <w:rsid w:val="002D5934"/>
    <w:rsid w:val="002E771A"/>
    <w:rsid w:val="002F4478"/>
    <w:rsid w:val="00371E11"/>
    <w:rsid w:val="00377CAB"/>
    <w:rsid w:val="003A6F41"/>
    <w:rsid w:val="0048140F"/>
    <w:rsid w:val="004C6684"/>
    <w:rsid w:val="004D6860"/>
    <w:rsid w:val="00570734"/>
    <w:rsid w:val="00571225"/>
    <w:rsid w:val="005D6620"/>
    <w:rsid w:val="005E25D0"/>
    <w:rsid w:val="005E25F1"/>
    <w:rsid w:val="005F75FA"/>
    <w:rsid w:val="00654BB1"/>
    <w:rsid w:val="006A004C"/>
    <w:rsid w:val="006A2B01"/>
    <w:rsid w:val="006C26D2"/>
    <w:rsid w:val="006C62D0"/>
    <w:rsid w:val="00706E64"/>
    <w:rsid w:val="007206F5"/>
    <w:rsid w:val="00750826"/>
    <w:rsid w:val="007D55FB"/>
    <w:rsid w:val="00813EE8"/>
    <w:rsid w:val="00817985"/>
    <w:rsid w:val="00845D78"/>
    <w:rsid w:val="00847E14"/>
    <w:rsid w:val="008A0900"/>
    <w:rsid w:val="008A4613"/>
    <w:rsid w:val="008B3BC2"/>
    <w:rsid w:val="008D283C"/>
    <w:rsid w:val="009043DF"/>
    <w:rsid w:val="00A47FA6"/>
    <w:rsid w:val="00A51B2E"/>
    <w:rsid w:val="00A72CC9"/>
    <w:rsid w:val="00A7351E"/>
    <w:rsid w:val="00A84B84"/>
    <w:rsid w:val="00AB1ECD"/>
    <w:rsid w:val="00AB579D"/>
    <w:rsid w:val="00B53552"/>
    <w:rsid w:val="00B557F4"/>
    <w:rsid w:val="00B84478"/>
    <w:rsid w:val="00B942FD"/>
    <w:rsid w:val="00BB2A7B"/>
    <w:rsid w:val="00C70702"/>
    <w:rsid w:val="00C95387"/>
    <w:rsid w:val="00CE335E"/>
    <w:rsid w:val="00CF13B6"/>
    <w:rsid w:val="00D0763F"/>
    <w:rsid w:val="00D161E1"/>
    <w:rsid w:val="00D651BE"/>
    <w:rsid w:val="00D82EAD"/>
    <w:rsid w:val="00DE1770"/>
    <w:rsid w:val="00E82BDA"/>
    <w:rsid w:val="00E87E17"/>
    <w:rsid w:val="00EE2FDD"/>
    <w:rsid w:val="00F108D5"/>
    <w:rsid w:val="00F91B9E"/>
    <w:rsid w:val="01E63300"/>
    <w:rsid w:val="03A5538F"/>
    <w:rsid w:val="03A7674D"/>
    <w:rsid w:val="05E85A50"/>
    <w:rsid w:val="07627F38"/>
    <w:rsid w:val="081908F8"/>
    <w:rsid w:val="081A46A0"/>
    <w:rsid w:val="083457F1"/>
    <w:rsid w:val="0AD330F5"/>
    <w:rsid w:val="0B170BD3"/>
    <w:rsid w:val="0BFB4517"/>
    <w:rsid w:val="0C6362D5"/>
    <w:rsid w:val="0C6E481E"/>
    <w:rsid w:val="0E515CFD"/>
    <w:rsid w:val="10381A6F"/>
    <w:rsid w:val="10482BD9"/>
    <w:rsid w:val="124F65A5"/>
    <w:rsid w:val="12725801"/>
    <w:rsid w:val="1293439A"/>
    <w:rsid w:val="13BE4043"/>
    <w:rsid w:val="162D4BB0"/>
    <w:rsid w:val="16D278B5"/>
    <w:rsid w:val="19AB036B"/>
    <w:rsid w:val="19B76161"/>
    <w:rsid w:val="1AA92CE4"/>
    <w:rsid w:val="200B1FF6"/>
    <w:rsid w:val="22377CA4"/>
    <w:rsid w:val="23C86C6B"/>
    <w:rsid w:val="240A5CA3"/>
    <w:rsid w:val="24D36D14"/>
    <w:rsid w:val="260A6DDB"/>
    <w:rsid w:val="262D7EE2"/>
    <w:rsid w:val="27A110F5"/>
    <w:rsid w:val="28ED6016"/>
    <w:rsid w:val="29943F74"/>
    <w:rsid w:val="2ACB0AC2"/>
    <w:rsid w:val="2C2804F2"/>
    <w:rsid w:val="2D0A68C8"/>
    <w:rsid w:val="2D90231A"/>
    <w:rsid w:val="2D951D07"/>
    <w:rsid w:val="2F0478EB"/>
    <w:rsid w:val="2FD74045"/>
    <w:rsid w:val="2FF26A60"/>
    <w:rsid w:val="317C79B3"/>
    <w:rsid w:val="32E6700C"/>
    <w:rsid w:val="333257ED"/>
    <w:rsid w:val="33FC7E90"/>
    <w:rsid w:val="34C84A71"/>
    <w:rsid w:val="35244E4D"/>
    <w:rsid w:val="3D4A45CC"/>
    <w:rsid w:val="3DB45A29"/>
    <w:rsid w:val="400D2AEB"/>
    <w:rsid w:val="41063BC4"/>
    <w:rsid w:val="414B2B37"/>
    <w:rsid w:val="42705EA1"/>
    <w:rsid w:val="43E652B6"/>
    <w:rsid w:val="445419F6"/>
    <w:rsid w:val="44633C43"/>
    <w:rsid w:val="45E87C0C"/>
    <w:rsid w:val="49B57337"/>
    <w:rsid w:val="4B87455E"/>
    <w:rsid w:val="4B8B4509"/>
    <w:rsid w:val="4D784C33"/>
    <w:rsid w:val="4D992B4B"/>
    <w:rsid w:val="4EA553F1"/>
    <w:rsid w:val="4F1834F0"/>
    <w:rsid w:val="502D3850"/>
    <w:rsid w:val="50BB4B85"/>
    <w:rsid w:val="52E87329"/>
    <w:rsid w:val="533C1FF3"/>
    <w:rsid w:val="551A115D"/>
    <w:rsid w:val="567E54E5"/>
    <w:rsid w:val="570C0E1F"/>
    <w:rsid w:val="582F5600"/>
    <w:rsid w:val="594E26D9"/>
    <w:rsid w:val="59DC0719"/>
    <w:rsid w:val="5ED24F9B"/>
    <w:rsid w:val="5F01569D"/>
    <w:rsid w:val="5F1D2A9C"/>
    <w:rsid w:val="5F63388A"/>
    <w:rsid w:val="60656E01"/>
    <w:rsid w:val="636E1E41"/>
    <w:rsid w:val="65447749"/>
    <w:rsid w:val="66884952"/>
    <w:rsid w:val="66D81EE5"/>
    <w:rsid w:val="68250836"/>
    <w:rsid w:val="684C730F"/>
    <w:rsid w:val="69867649"/>
    <w:rsid w:val="6A044DE3"/>
    <w:rsid w:val="6AAF59E7"/>
    <w:rsid w:val="6C8E4551"/>
    <w:rsid w:val="70666951"/>
    <w:rsid w:val="70E91BBB"/>
    <w:rsid w:val="710F6F6C"/>
    <w:rsid w:val="73EB6340"/>
    <w:rsid w:val="73ED6F3E"/>
    <w:rsid w:val="755C34D5"/>
    <w:rsid w:val="768F193F"/>
    <w:rsid w:val="76972B5B"/>
    <w:rsid w:val="779D5B82"/>
    <w:rsid w:val="7A237782"/>
    <w:rsid w:val="7C3A6042"/>
    <w:rsid w:val="7D5E506A"/>
    <w:rsid w:val="7E3149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ocked="1"/>
    <w:lsdException w:uiPriority="39" w:semiHidden="0" w:name="toc 3" w:locked="1"/>
    <w:lsdException w:uiPriority="39" w:semiHidden="0" w:name="toc 4" w:locked="1"/>
    <w:lsdException w:uiPriority="39" w:semiHidden="0" w:name="toc 5" w:locked="1"/>
    <w:lsdException w:unhideWhenUsed="0" w:uiPriority="39" w:semiHidden="0" w:name="toc 6" w:locked="1"/>
    <w:lsdException w:uiPriority="39" w:semiHidden="0" w:name="toc 7" w:locked="1"/>
    <w:lsdException w:uiPriority="39" w:semiHidden="0" w:name="toc 8" w:locked="1"/>
    <w:lsdException w:uiPriority="39" w:semiHidden="0" w:name="toc 9" w:locked="1"/>
    <w:lsdException w:unhideWhenUsed="0" w:uiPriority="99" w:semiHidden="0" w:name="Normal Indent"/>
    <w:lsdException w:unhideWhenUsed="0" w:uiPriority="0" w:name="footnote text"/>
    <w:lsdException w:unhideWhenUsed="0" w:uiPriority="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name="footnote reference"/>
    <w:lsdException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37"/>
    <w:qFormat/>
    <w:locked/>
    <w:uiPriority w:val="0"/>
    <w:pPr>
      <w:keepNext/>
      <w:keepLines/>
      <w:spacing w:before="340" w:after="330" w:line="578" w:lineRule="auto"/>
      <w:jc w:val="center"/>
      <w:outlineLvl w:val="0"/>
    </w:pPr>
    <w:rPr>
      <w:b/>
      <w:bCs/>
      <w:kern w:val="44"/>
      <w:sz w:val="36"/>
      <w:szCs w:val="44"/>
    </w:rPr>
  </w:style>
  <w:style w:type="paragraph" w:styleId="4">
    <w:name w:val="heading 2"/>
    <w:basedOn w:val="1"/>
    <w:next w:val="1"/>
    <w:link w:val="38"/>
    <w:qFormat/>
    <w:locked/>
    <w:uiPriority w:val="0"/>
    <w:pPr>
      <w:keepNext/>
      <w:keepLines/>
      <w:spacing w:before="260" w:after="260" w:line="416" w:lineRule="auto"/>
      <w:jc w:val="left"/>
      <w:outlineLvl w:val="1"/>
    </w:pPr>
    <w:rPr>
      <w:rFonts w:ascii="Arial" w:hAnsi="Arial"/>
      <w:b/>
      <w:bCs/>
      <w:sz w:val="28"/>
      <w:szCs w:val="32"/>
    </w:rPr>
  </w:style>
  <w:style w:type="paragraph" w:styleId="5">
    <w:name w:val="heading 3"/>
    <w:basedOn w:val="1"/>
    <w:next w:val="6"/>
    <w:link w:val="39"/>
    <w:qFormat/>
    <w:uiPriority w:val="99"/>
    <w:pPr>
      <w:keepNext/>
      <w:spacing w:line="440" w:lineRule="exact"/>
      <w:jc w:val="center"/>
      <w:outlineLvl w:val="2"/>
    </w:pPr>
    <w:rPr>
      <w:b/>
      <w:bCs/>
      <w:kern w:val="0"/>
      <w:sz w:val="32"/>
      <w:szCs w:val="32"/>
    </w:rPr>
  </w:style>
  <w:style w:type="character" w:default="1" w:styleId="31">
    <w:name w:val="Default Paragraph Font"/>
    <w:unhideWhenUsed/>
    <w:uiPriority w:val="1"/>
  </w:style>
  <w:style w:type="table" w:default="1" w:styleId="29">
    <w:name w:val="Normal Table"/>
    <w:unhideWhenUsed/>
    <w:qFormat/>
    <w:uiPriority w:val="99"/>
    <w:tblPr>
      <w:tblStyle w:val="29"/>
      <w:tblCellMar>
        <w:top w:w="0" w:type="dxa"/>
        <w:left w:w="108" w:type="dxa"/>
        <w:bottom w:w="0" w:type="dxa"/>
        <w:right w:w="108" w:type="dxa"/>
      </w:tblCellMar>
    </w:tblPr>
  </w:style>
  <w:style w:type="paragraph" w:customStyle="1" w:styleId="2">
    <w:name w:val="无间隔1"/>
    <w:qFormat/>
    <w:uiPriority w:val="0"/>
    <w:rPr>
      <w:sz w:val="22"/>
      <w:szCs w:val="22"/>
      <w:lang w:val="en-US" w:eastAsia="zh-CN" w:bidi="ar-SA"/>
    </w:rPr>
  </w:style>
  <w:style w:type="paragraph" w:styleId="6">
    <w:name w:val="Normal Indent"/>
    <w:basedOn w:val="1"/>
    <w:uiPriority w:val="99"/>
    <w:pPr>
      <w:ind w:firstLine="420" w:firstLineChars="200"/>
    </w:pPr>
  </w:style>
  <w:style w:type="paragraph" w:styleId="7">
    <w:name w:val="toc 7"/>
    <w:basedOn w:val="1"/>
    <w:next w:val="1"/>
    <w:unhideWhenUsed/>
    <w:locked/>
    <w:uiPriority w:val="39"/>
    <w:pPr>
      <w:ind w:left="2520" w:leftChars="1200"/>
    </w:pPr>
    <w:rPr>
      <w:rFonts w:ascii="Calibri" w:hAnsi="Calibri" w:eastAsia="宋体" w:cs="Times New Roman"/>
      <w:szCs w:val="22"/>
    </w:rPr>
  </w:style>
  <w:style w:type="paragraph" w:styleId="8">
    <w:name w:val="Document Map"/>
    <w:basedOn w:val="1"/>
    <w:link w:val="40"/>
    <w:semiHidden/>
    <w:uiPriority w:val="99"/>
    <w:pPr>
      <w:shd w:val="clear" w:color="auto" w:fill="000080"/>
    </w:pPr>
    <w:rPr>
      <w:kern w:val="0"/>
      <w:sz w:val="2"/>
      <w:szCs w:val="20"/>
    </w:rPr>
  </w:style>
  <w:style w:type="paragraph" w:styleId="9">
    <w:name w:val="annotation text"/>
    <w:basedOn w:val="1"/>
    <w:link w:val="41"/>
    <w:semiHidden/>
    <w:uiPriority w:val="0"/>
    <w:pPr>
      <w:jc w:val="left"/>
    </w:pPr>
  </w:style>
  <w:style w:type="paragraph" w:styleId="10">
    <w:name w:val="Body Text"/>
    <w:basedOn w:val="1"/>
    <w:link w:val="42"/>
    <w:uiPriority w:val="99"/>
    <w:pPr>
      <w:tabs>
        <w:tab w:val="left" w:pos="540"/>
      </w:tabs>
      <w:adjustRightInd w:val="0"/>
      <w:spacing w:line="360" w:lineRule="auto"/>
      <w:textAlignment w:val="baseline"/>
    </w:pPr>
    <w:rPr>
      <w:kern w:val="0"/>
      <w:sz w:val="24"/>
    </w:rPr>
  </w:style>
  <w:style w:type="paragraph" w:styleId="11">
    <w:name w:val="Body Text Indent"/>
    <w:basedOn w:val="1"/>
    <w:link w:val="43"/>
    <w:uiPriority w:val="99"/>
    <w:pPr>
      <w:tabs>
        <w:tab w:val="left" w:pos="360"/>
        <w:tab w:val="left" w:pos="4140"/>
        <w:tab w:val="left" w:pos="4320"/>
      </w:tabs>
      <w:ind w:firstLine="560" w:firstLineChars="200"/>
    </w:pPr>
    <w:rPr>
      <w:kern w:val="0"/>
      <w:sz w:val="24"/>
    </w:rPr>
  </w:style>
  <w:style w:type="paragraph" w:styleId="12">
    <w:name w:val="toc 5"/>
    <w:basedOn w:val="1"/>
    <w:next w:val="1"/>
    <w:unhideWhenUsed/>
    <w:locked/>
    <w:uiPriority w:val="39"/>
    <w:pPr>
      <w:ind w:left="1680" w:leftChars="800"/>
    </w:pPr>
    <w:rPr>
      <w:rFonts w:ascii="Calibri" w:hAnsi="Calibri" w:eastAsia="宋体" w:cs="Times New Roman"/>
      <w:szCs w:val="22"/>
    </w:rPr>
  </w:style>
  <w:style w:type="paragraph" w:styleId="13">
    <w:name w:val="toc 3"/>
    <w:basedOn w:val="1"/>
    <w:next w:val="1"/>
    <w:unhideWhenUsed/>
    <w:locked/>
    <w:uiPriority w:val="39"/>
    <w:pPr>
      <w:ind w:left="840" w:leftChars="400"/>
    </w:pPr>
    <w:rPr>
      <w:rFonts w:ascii="Calibri" w:hAnsi="Calibri" w:eastAsia="宋体" w:cs="Times New Roman"/>
      <w:szCs w:val="22"/>
    </w:rPr>
  </w:style>
  <w:style w:type="paragraph" w:styleId="14">
    <w:name w:val="Plain Text"/>
    <w:basedOn w:val="1"/>
    <w:link w:val="44"/>
    <w:qFormat/>
    <w:uiPriority w:val="0"/>
    <w:rPr>
      <w:rFonts w:ascii="宋体" w:hAnsi="Courier New"/>
      <w:kern w:val="0"/>
      <w:sz w:val="20"/>
      <w:szCs w:val="20"/>
    </w:rPr>
  </w:style>
  <w:style w:type="paragraph" w:styleId="15">
    <w:name w:val="toc 8"/>
    <w:basedOn w:val="1"/>
    <w:next w:val="1"/>
    <w:unhideWhenUsed/>
    <w:locked/>
    <w:uiPriority w:val="39"/>
    <w:pPr>
      <w:ind w:left="2940" w:leftChars="1400"/>
    </w:pPr>
    <w:rPr>
      <w:rFonts w:ascii="Calibri" w:hAnsi="Calibri" w:eastAsia="宋体" w:cs="Times New Roman"/>
      <w:szCs w:val="22"/>
    </w:rPr>
  </w:style>
  <w:style w:type="paragraph" w:styleId="16">
    <w:name w:val="Date"/>
    <w:basedOn w:val="1"/>
    <w:next w:val="1"/>
    <w:link w:val="45"/>
    <w:uiPriority w:val="0"/>
    <w:pPr>
      <w:ind w:left="100" w:leftChars="2500"/>
    </w:pPr>
  </w:style>
  <w:style w:type="paragraph" w:styleId="17">
    <w:name w:val="Body Text Indent 2"/>
    <w:basedOn w:val="1"/>
    <w:link w:val="46"/>
    <w:uiPriority w:val="99"/>
    <w:pPr>
      <w:tabs>
        <w:tab w:val="left" w:pos="360"/>
        <w:tab w:val="left" w:pos="4140"/>
        <w:tab w:val="left" w:pos="4320"/>
      </w:tabs>
      <w:ind w:firstLine="720" w:firstLineChars="257"/>
    </w:pPr>
    <w:rPr>
      <w:kern w:val="0"/>
      <w:sz w:val="24"/>
    </w:rPr>
  </w:style>
  <w:style w:type="paragraph" w:styleId="18">
    <w:name w:val="Balloon Text"/>
    <w:basedOn w:val="1"/>
    <w:link w:val="47"/>
    <w:semiHidden/>
    <w:uiPriority w:val="99"/>
    <w:rPr>
      <w:sz w:val="18"/>
      <w:szCs w:val="18"/>
    </w:rPr>
  </w:style>
  <w:style w:type="paragraph" w:styleId="19">
    <w:name w:val="footer"/>
    <w:basedOn w:val="1"/>
    <w:link w:val="48"/>
    <w:uiPriority w:val="99"/>
    <w:pPr>
      <w:tabs>
        <w:tab w:val="center" w:pos="4153"/>
        <w:tab w:val="right" w:pos="8306"/>
      </w:tabs>
      <w:snapToGrid w:val="0"/>
      <w:jc w:val="left"/>
    </w:pPr>
    <w:rPr>
      <w:sz w:val="18"/>
      <w:szCs w:val="18"/>
    </w:rPr>
  </w:style>
  <w:style w:type="paragraph" w:styleId="20">
    <w:name w:val="header"/>
    <w:basedOn w:val="1"/>
    <w:link w:val="49"/>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uiPriority w:val="39"/>
  </w:style>
  <w:style w:type="paragraph" w:styleId="22">
    <w:name w:val="toc 4"/>
    <w:basedOn w:val="1"/>
    <w:next w:val="1"/>
    <w:unhideWhenUsed/>
    <w:locked/>
    <w:uiPriority w:val="39"/>
    <w:pPr>
      <w:ind w:left="1260" w:leftChars="600"/>
    </w:pPr>
    <w:rPr>
      <w:rFonts w:ascii="Calibri" w:hAnsi="Calibri" w:eastAsia="宋体" w:cs="Times New Roman"/>
      <w:szCs w:val="22"/>
    </w:rPr>
  </w:style>
  <w:style w:type="paragraph" w:styleId="23">
    <w:name w:val="footnote text"/>
    <w:basedOn w:val="1"/>
    <w:link w:val="50"/>
    <w:semiHidden/>
    <w:uiPriority w:val="0"/>
    <w:pPr>
      <w:snapToGrid w:val="0"/>
      <w:jc w:val="left"/>
    </w:pPr>
    <w:rPr>
      <w:sz w:val="18"/>
      <w:szCs w:val="18"/>
    </w:rPr>
  </w:style>
  <w:style w:type="paragraph" w:styleId="24">
    <w:name w:val="toc 6"/>
    <w:basedOn w:val="1"/>
    <w:next w:val="1"/>
    <w:locked/>
    <w:uiPriority w:val="39"/>
    <w:pPr>
      <w:ind w:left="2100" w:leftChars="1000"/>
    </w:pPr>
  </w:style>
  <w:style w:type="paragraph" w:styleId="25">
    <w:name w:val="toc 2"/>
    <w:basedOn w:val="1"/>
    <w:next w:val="1"/>
    <w:locked/>
    <w:uiPriority w:val="39"/>
    <w:pPr>
      <w:ind w:left="420" w:leftChars="200"/>
    </w:pPr>
  </w:style>
  <w:style w:type="paragraph" w:styleId="26">
    <w:name w:val="toc 9"/>
    <w:basedOn w:val="1"/>
    <w:next w:val="1"/>
    <w:unhideWhenUsed/>
    <w:locked/>
    <w:uiPriority w:val="39"/>
    <w:pPr>
      <w:ind w:left="3360" w:leftChars="1600"/>
    </w:pPr>
    <w:rPr>
      <w:rFonts w:ascii="Calibri" w:hAnsi="Calibri" w:eastAsia="宋体" w:cs="Times New Roman"/>
      <w:szCs w:val="22"/>
    </w:rPr>
  </w:style>
  <w:style w:type="paragraph" w:styleId="27">
    <w:name w:val="Normal (Web)"/>
    <w:basedOn w:val="1"/>
    <w:uiPriority w:val="0"/>
    <w:pPr>
      <w:widowControl/>
      <w:spacing w:before="100" w:beforeAutospacing="1" w:after="100" w:afterAutospacing="1"/>
      <w:jc w:val="left"/>
    </w:pPr>
    <w:rPr>
      <w:rFonts w:ascii="宋体" w:hAnsi="宋体" w:cs="宋体"/>
      <w:kern w:val="0"/>
      <w:sz w:val="24"/>
    </w:rPr>
  </w:style>
  <w:style w:type="paragraph" w:styleId="28">
    <w:name w:val="annotation subject"/>
    <w:basedOn w:val="9"/>
    <w:next w:val="9"/>
    <w:link w:val="51"/>
    <w:uiPriority w:val="0"/>
    <w:rPr>
      <w:b/>
      <w:bCs/>
    </w:rPr>
  </w:style>
  <w:style w:type="table" w:styleId="30">
    <w:name w:val="Table Grid"/>
    <w:basedOn w:val="29"/>
    <w:qFormat/>
    <w:locked/>
    <w:uiPriority w:val="0"/>
    <w:pPr>
      <w:widowControl w:val="0"/>
      <w:jc w:val="both"/>
    </w:p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99"/>
    <w:rPr>
      <w:rFonts w:cs="Times New Roman"/>
      <w:b/>
      <w:bCs/>
    </w:rPr>
  </w:style>
  <w:style w:type="character" w:styleId="33">
    <w:name w:val="page number"/>
    <w:uiPriority w:val="99"/>
    <w:rPr>
      <w:rFonts w:cs="Times New Roman"/>
    </w:rPr>
  </w:style>
  <w:style w:type="character" w:styleId="34">
    <w:name w:val="Hyperlink"/>
    <w:uiPriority w:val="99"/>
    <w:rPr>
      <w:rFonts w:cs="Times New Roman"/>
      <w:color w:val="0000FF"/>
      <w:u w:val="single"/>
    </w:rPr>
  </w:style>
  <w:style w:type="character" w:styleId="35">
    <w:name w:val="annotation reference"/>
    <w:unhideWhenUsed/>
    <w:uiPriority w:val="99"/>
    <w:rPr>
      <w:sz w:val="28"/>
      <w:szCs w:val="21"/>
    </w:rPr>
  </w:style>
  <w:style w:type="character" w:styleId="36">
    <w:name w:val="footnote reference"/>
    <w:semiHidden/>
    <w:uiPriority w:val="0"/>
    <w:rPr>
      <w:vertAlign w:val="superscript"/>
    </w:rPr>
  </w:style>
  <w:style w:type="character" w:customStyle="1" w:styleId="37">
    <w:name w:val="标题 1 Char"/>
    <w:link w:val="3"/>
    <w:uiPriority w:val="0"/>
    <w:rPr>
      <w:b/>
      <w:bCs/>
      <w:kern w:val="44"/>
      <w:sz w:val="36"/>
      <w:szCs w:val="44"/>
    </w:rPr>
  </w:style>
  <w:style w:type="character" w:customStyle="1" w:styleId="38">
    <w:name w:val="标题 2 Char"/>
    <w:link w:val="4"/>
    <w:qFormat/>
    <w:uiPriority w:val="0"/>
    <w:rPr>
      <w:rFonts w:ascii="Arial" w:hAnsi="Arial"/>
      <w:b/>
      <w:bCs/>
      <w:kern w:val="2"/>
      <w:sz w:val="28"/>
      <w:szCs w:val="32"/>
    </w:rPr>
  </w:style>
  <w:style w:type="character" w:customStyle="1" w:styleId="39">
    <w:name w:val="标题 3 Char"/>
    <w:link w:val="5"/>
    <w:locked/>
    <w:uiPriority w:val="99"/>
    <w:rPr>
      <w:rFonts w:cs="Times New Roman"/>
      <w:b/>
      <w:bCs/>
      <w:sz w:val="32"/>
      <w:szCs w:val="32"/>
    </w:rPr>
  </w:style>
  <w:style w:type="character" w:customStyle="1" w:styleId="40">
    <w:name w:val="文档结构图 Char"/>
    <w:link w:val="8"/>
    <w:semiHidden/>
    <w:locked/>
    <w:uiPriority w:val="99"/>
    <w:rPr>
      <w:rFonts w:cs="Times New Roman"/>
      <w:sz w:val="2"/>
    </w:rPr>
  </w:style>
  <w:style w:type="character" w:customStyle="1" w:styleId="41">
    <w:name w:val="批注文字 Char"/>
    <w:link w:val="9"/>
    <w:semiHidden/>
    <w:uiPriority w:val="0"/>
    <w:rPr>
      <w:kern w:val="2"/>
      <w:sz w:val="21"/>
      <w:szCs w:val="24"/>
    </w:rPr>
  </w:style>
  <w:style w:type="character" w:customStyle="1" w:styleId="42">
    <w:name w:val="正文文本 Char"/>
    <w:link w:val="10"/>
    <w:locked/>
    <w:uiPriority w:val="99"/>
    <w:rPr>
      <w:rFonts w:cs="Times New Roman"/>
      <w:sz w:val="24"/>
      <w:szCs w:val="24"/>
    </w:rPr>
  </w:style>
  <w:style w:type="character" w:customStyle="1" w:styleId="43">
    <w:name w:val="正文文本缩进 Char"/>
    <w:link w:val="11"/>
    <w:locked/>
    <w:uiPriority w:val="99"/>
    <w:rPr>
      <w:rFonts w:cs="Times New Roman"/>
      <w:sz w:val="24"/>
      <w:szCs w:val="24"/>
    </w:rPr>
  </w:style>
  <w:style w:type="character" w:customStyle="1" w:styleId="44">
    <w:name w:val="纯文本 Char1"/>
    <w:link w:val="14"/>
    <w:qFormat/>
    <w:uiPriority w:val="0"/>
    <w:rPr>
      <w:rFonts w:ascii="宋体" w:hAnsi="Courier New" w:eastAsia="宋体"/>
      <w:lang w:bidi="ar-SA"/>
    </w:rPr>
  </w:style>
  <w:style w:type="character" w:customStyle="1" w:styleId="45">
    <w:name w:val="日期 Char"/>
    <w:link w:val="16"/>
    <w:uiPriority w:val="0"/>
    <w:rPr>
      <w:kern w:val="2"/>
      <w:sz w:val="21"/>
      <w:szCs w:val="24"/>
    </w:rPr>
  </w:style>
  <w:style w:type="character" w:customStyle="1" w:styleId="46">
    <w:name w:val="正文文本缩进 2 Char"/>
    <w:link w:val="17"/>
    <w:locked/>
    <w:uiPriority w:val="99"/>
    <w:rPr>
      <w:rFonts w:cs="Times New Roman"/>
      <w:sz w:val="24"/>
      <w:szCs w:val="24"/>
    </w:rPr>
  </w:style>
  <w:style w:type="character" w:customStyle="1" w:styleId="47">
    <w:name w:val="批注框文本 Char"/>
    <w:link w:val="18"/>
    <w:semiHidden/>
    <w:uiPriority w:val="99"/>
    <w:rPr>
      <w:kern w:val="2"/>
      <w:sz w:val="18"/>
      <w:szCs w:val="18"/>
    </w:rPr>
  </w:style>
  <w:style w:type="character" w:customStyle="1" w:styleId="48">
    <w:name w:val="页脚 Char"/>
    <w:link w:val="19"/>
    <w:locked/>
    <w:uiPriority w:val="99"/>
    <w:rPr>
      <w:rFonts w:cs="Times New Roman"/>
      <w:kern w:val="2"/>
      <w:sz w:val="18"/>
      <w:szCs w:val="18"/>
    </w:rPr>
  </w:style>
  <w:style w:type="character" w:customStyle="1" w:styleId="49">
    <w:name w:val="页眉 Char"/>
    <w:link w:val="20"/>
    <w:locked/>
    <w:uiPriority w:val="99"/>
    <w:rPr>
      <w:rFonts w:cs="Times New Roman"/>
      <w:sz w:val="18"/>
      <w:szCs w:val="18"/>
    </w:rPr>
  </w:style>
  <w:style w:type="character" w:customStyle="1" w:styleId="50">
    <w:name w:val="脚注文本 Char"/>
    <w:link w:val="23"/>
    <w:semiHidden/>
    <w:uiPriority w:val="0"/>
    <w:rPr>
      <w:kern w:val="2"/>
      <w:sz w:val="18"/>
      <w:szCs w:val="18"/>
    </w:rPr>
  </w:style>
  <w:style w:type="character" w:customStyle="1" w:styleId="51">
    <w:name w:val="批注主题 Char"/>
    <w:link w:val="28"/>
    <w:uiPriority w:val="0"/>
    <w:rPr>
      <w:b/>
      <w:bCs/>
      <w:kern w:val="2"/>
      <w:sz w:val="21"/>
      <w:szCs w:val="24"/>
    </w:rPr>
  </w:style>
  <w:style w:type="character" w:customStyle="1" w:styleId="52">
    <w:name w:val="font01"/>
    <w:uiPriority w:val="0"/>
    <w:rPr>
      <w:rFonts w:hint="eastAsia" w:ascii="宋体" w:hAnsi="宋体" w:eastAsia="宋体" w:cs="宋体"/>
      <w:color w:val="000000"/>
      <w:sz w:val="24"/>
      <w:szCs w:val="24"/>
      <w:u w:val="none"/>
    </w:rPr>
  </w:style>
  <w:style w:type="character" w:customStyle="1" w:styleId="53">
    <w:name w:val="font21"/>
    <w:uiPriority w:val="0"/>
    <w:rPr>
      <w:rFonts w:hint="eastAsia" w:ascii="宋体" w:hAnsi="宋体" w:eastAsia="宋体" w:cs="宋体"/>
      <w:color w:val="000000"/>
      <w:sz w:val="22"/>
      <w:szCs w:val="22"/>
      <w:u w:val="none"/>
    </w:rPr>
  </w:style>
  <w:style w:type="character" w:customStyle="1" w:styleId="54">
    <w:name w:val="font31"/>
    <w:uiPriority w:val="0"/>
    <w:rPr>
      <w:rFonts w:hint="eastAsia" w:ascii="宋体" w:hAnsi="宋体" w:eastAsia="宋体" w:cs="宋体"/>
      <w:color w:val="FF0000"/>
      <w:sz w:val="20"/>
      <w:szCs w:val="20"/>
      <w:u w:val="none"/>
    </w:rPr>
  </w:style>
  <w:style w:type="character" w:customStyle="1" w:styleId="55">
    <w:name w:val="纯文本 Char"/>
    <w:uiPriority w:val="0"/>
    <w:rPr>
      <w:rFonts w:ascii="宋体" w:hAnsi="Courier New" w:eastAsia="宋体"/>
      <w:kern w:val="2"/>
      <w:sz w:val="21"/>
      <w:lang w:val="en-US" w:eastAsia="zh-CN" w:bidi="ar-SA"/>
    </w:rPr>
  </w:style>
  <w:style w:type="character" w:customStyle="1" w:styleId="56">
    <w:name w:val="font11"/>
    <w:uiPriority w:val="0"/>
    <w:rPr>
      <w:rFonts w:hint="eastAsia" w:ascii="宋体" w:hAnsi="宋体" w:eastAsia="宋体" w:cs="宋体"/>
      <w:color w:val="000000"/>
      <w:sz w:val="24"/>
      <w:szCs w:val="24"/>
      <w:u w:val="none"/>
    </w:rPr>
  </w:style>
  <w:style w:type="paragraph" w:styleId="57">
    <w:name w:val="List Paragraph"/>
    <w:basedOn w:val="1"/>
    <w:qFormat/>
    <w:uiPriority w:val="34"/>
    <w:pPr>
      <w:ind w:firstLine="420" w:firstLineChars="200"/>
    </w:pPr>
    <w:rPr>
      <w:szCs w:val="20"/>
    </w:rPr>
  </w:style>
  <w:style w:type="paragraph" w:customStyle="1" w:styleId="58">
    <w:name w:val=" Char Char Char Char Char Char Char Char Char Char Char Char Char"/>
    <w:basedOn w:val="1"/>
    <w:uiPriority w:val="0"/>
    <w:pPr>
      <w:spacing w:line="360" w:lineRule="auto"/>
      <w:ind w:firstLine="200" w:firstLineChars="200"/>
    </w:pPr>
    <w:rPr>
      <w:rFonts w:ascii="宋体" w:hAnsi="宋体" w:cs="宋体"/>
      <w:sz w:val="24"/>
    </w:rPr>
  </w:style>
  <w:style w:type="paragraph" w:customStyle="1" w:styleId="59">
    <w:name w:val="Table Paragraph"/>
    <w:basedOn w:val="1"/>
    <w:qFormat/>
    <w:uiPriority w:val="1"/>
    <w:rPr>
      <w:rFonts w:ascii="宋体" w:hAnsi="宋体" w:cs="宋体"/>
      <w:lang w:val="zh-CN" w:bidi="zh-CN"/>
    </w:rPr>
  </w:style>
  <w:style w:type="paragraph" w:customStyle="1" w:styleId="60">
    <w:name w:val="p0"/>
    <w:basedOn w:val="1"/>
    <w:uiPriority w:val="99"/>
    <w:pPr>
      <w:widowControl/>
      <w:ind w:firstLine="420"/>
      <w:jc w:val="left"/>
    </w:pPr>
    <w:rPr>
      <w:kern w:val="0"/>
      <w:sz w:val="20"/>
      <w:szCs w:val="20"/>
    </w:rPr>
  </w:style>
  <w:style w:type="character" w:customStyle="1" w:styleId="61">
    <w:name w:val="font41"/>
    <w:uiPriority w:val="0"/>
    <w:rPr>
      <w:rFonts w:hint="eastAsia" w:ascii="宋体" w:hAnsi="宋体" w:eastAsia="宋体" w:cs="宋体"/>
      <w:color w:val="FF0000"/>
      <w:sz w:val="20"/>
      <w:szCs w:val="20"/>
      <w:u w:val="none"/>
    </w:rPr>
  </w:style>
  <w:style w:type="paragraph" w:styleId="62">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5"/>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Company>
  <Pages>38</Pages>
  <Words>17784</Words>
  <Characters>20577</Characters>
  <Lines>171</Lines>
  <Paragraphs>48</Paragraphs>
  <TotalTime>17</TotalTime>
  <ScaleCrop>false</ScaleCrop>
  <LinksUpToDate>false</LinksUpToDate>
  <CharactersWithSpaces>21119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2018-07-31T07:28:00Z</dcterms:created>
  <dc:creator>hhx</dc:creator>
  <cp:lastModifiedBy>蔡sir</cp:lastModifiedBy>
  <cp:lastPrinted>2022-08-03T08:22:11Z</cp:lastPrinted>
  <dcterms:modified xsi:type="dcterms:W3CDTF">2022-08-30T02:29:50Z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F1232A7660F44C5E8C46440B6A96817A</vt:lpwstr>
  </property>
</Properties>
</file>