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b/>
          <w:sz w:val="72"/>
          <w:szCs w:val="72"/>
        </w:rPr>
      </w:pPr>
    </w:p>
    <w:p>
      <w:pPr>
        <w:jc w:val="center"/>
        <w:rPr>
          <w:rFonts w:hint="eastAsia" w:hAnsi="宋体"/>
          <w:sz w:val="22"/>
          <w:szCs w:val="22"/>
        </w:rPr>
      </w:pPr>
    </w:p>
    <w:p>
      <w:pPr>
        <w:jc w:val="center"/>
        <w:rPr>
          <w:rFonts w:hAnsi="宋体"/>
          <w:b/>
          <w:sz w:val="56"/>
          <w:szCs w:val="56"/>
        </w:rPr>
      </w:pPr>
      <w:r>
        <w:rPr>
          <w:rFonts w:hint="eastAsia" w:hAnsi="宋体"/>
          <w:b/>
          <w:sz w:val="56"/>
          <w:szCs w:val="56"/>
          <w:lang w:eastAsia="zh-CN"/>
        </w:rPr>
        <w:t>涉执房地产处置司法评估报告</w:t>
      </w:r>
    </w:p>
    <w:p>
      <w:pPr>
        <w:keepNext w:val="0"/>
        <w:keepLines w:val="0"/>
        <w:widowControl/>
        <w:suppressLineNumbers w:val="0"/>
        <w:bidi w:val="0"/>
        <w:spacing w:before="60" w:beforeAutospacing="0" w:after="0" w:afterAutospacing="0" w:line="255" w:lineRule="atLeast"/>
        <w:ind w:left="0" w:right="0"/>
        <w:jc w:val="center"/>
        <w:textAlignment w:val="top"/>
        <w:rPr>
          <w:rFonts w:hint="eastAsia" w:hAnsi="宋体" w:cs="宋体"/>
          <w:color w:val="auto"/>
          <w:kern w:val="0"/>
          <w:sz w:val="40"/>
          <w:szCs w:val="40"/>
          <w:lang w:eastAsia="zh-CN"/>
        </w:rPr>
      </w:pPr>
    </w:p>
    <w:p>
      <w:pPr>
        <w:keepNext w:val="0"/>
        <w:keepLines w:val="0"/>
        <w:widowControl/>
        <w:suppressLineNumbers w:val="0"/>
        <w:bidi w:val="0"/>
        <w:spacing w:before="60" w:beforeAutospacing="0" w:after="0" w:afterAutospacing="0" w:line="255" w:lineRule="atLeast"/>
        <w:ind w:left="0" w:right="0"/>
        <w:jc w:val="center"/>
        <w:textAlignment w:val="top"/>
        <w:rPr>
          <w:rFonts w:hint="eastAsia" w:hAnsi="宋体" w:eastAsia="宋体" w:cs="宋体"/>
          <w:color w:val="000000"/>
          <w:sz w:val="19"/>
          <w:szCs w:val="19"/>
          <w:lang w:val="en-US" w:eastAsia="zh-CN"/>
        </w:rPr>
      </w:pPr>
      <w:r>
        <w:rPr>
          <w:rFonts w:hAnsi="宋体" w:cs="宋体"/>
          <w:color w:val="FF0000"/>
          <w:kern w:val="0"/>
          <w:sz w:val="18"/>
          <w:szCs w:val="18"/>
        </w:rPr>
        <w:br w:type="textWrapping"/>
      </w:r>
      <w:r>
        <w:rPr>
          <w:rFonts w:hint="eastAsia" w:hAnsi="宋体" w:eastAsia="宋体" w:cs="宋体"/>
          <w:color w:val="000000"/>
          <w:sz w:val="19"/>
          <w:szCs w:val="19"/>
          <w:lang w:val="en-US" w:eastAsia="zh-CN"/>
        </w:rPr>
        <w:drawing>
          <wp:inline distT="0" distB="0" distL="114300" distR="114300">
            <wp:extent cx="1419225" cy="1419225"/>
            <wp:effectExtent l="0" t="0" r="9525" b="9525"/>
            <wp:docPr id="4" name="图片 1" descr="D:\2022报告\2司法                      -司法刘晶\2022年04月29日锦隆花园王浩诉李红雷-长葛司法\QRimage.pngQ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2022报告\2司法                      -司法刘晶\2022年04月29日锦隆花园王浩诉李红雷-长葛司法\QRimage.pngQRimage"/>
                    <pic:cNvPicPr>
                      <a:picLocks noChangeAspect="1"/>
                    </pic:cNvPicPr>
                  </pic:nvPicPr>
                  <pic:blipFill>
                    <a:blip r:embed="rId15"/>
                    <a:srcRect/>
                    <a:stretch>
                      <a:fillRect/>
                    </a:stretch>
                  </pic:blipFill>
                  <pic:spPr>
                    <a:xfrm>
                      <a:off x="0" y="0"/>
                      <a:ext cx="1419225" cy="1419225"/>
                    </a:xfrm>
                    <a:prstGeom prst="rect">
                      <a:avLst/>
                    </a:prstGeom>
                    <a:noFill/>
                    <a:ln>
                      <a:noFill/>
                    </a:ln>
                  </pic:spPr>
                </pic:pic>
              </a:graphicData>
            </a:graphic>
          </wp:inline>
        </w:drawing>
      </w:r>
    </w:p>
    <w:p>
      <w:pPr>
        <w:keepNext w:val="0"/>
        <w:keepLines w:val="0"/>
        <w:widowControl w:val="0"/>
        <w:suppressLineNumbers w:val="0"/>
        <w:bidi w:val="0"/>
        <w:spacing w:before="0" w:beforeAutospacing="0" w:after="0" w:afterAutospacing="0"/>
        <w:ind w:left="0" w:right="0"/>
        <w:jc w:val="center"/>
        <w:rPr>
          <w:rFonts w:hAnsi="宋体"/>
          <w:lang w:val="en-US"/>
        </w:rPr>
      </w:pPr>
    </w:p>
    <w:p>
      <w:pPr>
        <w:keepNext w:val="0"/>
        <w:keepLines w:val="0"/>
        <w:widowControl w:val="0"/>
        <w:suppressLineNumbers w:val="0"/>
        <w:bidi w:val="0"/>
        <w:spacing w:before="0" w:beforeAutospacing="0" w:after="0" w:afterAutospacing="0" w:line="600" w:lineRule="exact"/>
        <w:ind w:left="2533" w:leftChars="0" w:right="0" w:hanging="2502" w:firstLineChars="0"/>
        <w:jc w:val="both"/>
        <w:rPr>
          <w:rFonts w:hAnsi="宋体"/>
          <w:sz w:val="28"/>
          <w:szCs w:val="28"/>
          <w:lang w:val="en-US"/>
        </w:rPr>
      </w:pPr>
      <w:r>
        <w:rPr>
          <w:rFonts w:hint="eastAsia" w:ascii="宋体" w:hAnsi="宋体" w:eastAsia="宋体" w:cs="宋体"/>
          <w:b/>
          <w:color w:val="000000"/>
          <w:spacing w:val="51"/>
          <w:kern w:val="0"/>
          <w:sz w:val="28"/>
          <w:szCs w:val="28"/>
          <w:lang w:val="en-US" w:eastAsia="zh-CN"/>
        </w:rPr>
        <w:t>估价项目名称</w:t>
      </w:r>
      <w:r>
        <w:rPr>
          <w:rFonts w:hint="eastAsia" w:ascii="宋体" w:hAnsi="宋体" w:eastAsia="宋体" w:cs="宋体"/>
          <w:b/>
          <w:color w:val="000000"/>
          <w:kern w:val="0"/>
          <w:sz w:val="28"/>
          <w:szCs w:val="28"/>
          <w:lang w:val="en-US" w:eastAsia="zh-CN"/>
        </w:rPr>
        <w:t>：</w:t>
      </w:r>
      <w:bookmarkStart w:id="1" w:name="_GoBack"/>
      <w:bookmarkEnd w:id="1"/>
      <w:r>
        <w:rPr>
          <w:rFonts w:hint="eastAsia" w:ascii="宋体" w:hAnsi="宋体" w:cs="宋体"/>
          <w:color w:val="000000"/>
          <w:kern w:val="0"/>
          <w:sz w:val="28"/>
          <w:szCs w:val="28"/>
          <w:lang w:val="en-US" w:eastAsia="zh-CN"/>
        </w:rPr>
        <w:t>河南省许昌市禹州市夏都办禹王大道中段路南鼎原花苑1幢4单元3层4-303房住宅涉执司法处置房地产市场价值评估</w:t>
      </w:r>
    </w:p>
    <w:p>
      <w:pPr>
        <w:spacing w:line="600" w:lineRule="exact"/>
        <w:jc w:val="left"/>
        <w:rPr>
          <w:rFonts w:hint="eastAsia" w:hAnsi="宋体" w:eastAsia="宋体"/>
          <w:sz w:val="28"/>
          <w:szCs w:val="28"/>
          <w:lang w:eastAsia="zh-CN"/>
        </w:rPr>
      </w:pPr>
      <w:r>
        <w:rPr>
          <w:rFonts w:hint="eastAsia" w:hAnsi="宋体" w:cs="宋体"/>
          <w:b/>
          <w:bCs/>
          <w:color w:val="000000"/>
          <w:spacing w:val="17"/>
          <w:kern w:val="0"/>
          <w:sz w:val="28"/>
          <w:szCs w:val="28"/>
        </w:rPr>
        <w:t>估 价 委 托 人</w:t>
      </w:r>
      <w:r>
        <w:rPr>
          <w:rFonts w:hint="eastAsia" w:hAnsi="宋体" w:cs="宋体"/>
          <w:b/>
          <w:bCs/>
          <w:color w:val="000000"/>
          <w:kern w:val="0"/>
          <w:sz w:val="28"/>
          <w:szCs w:val="28"/>
        </w:rPr>
        <w:t>：</w:t>
      </w:r>
      <w:r>
        <w:rPr>
          <w:rFonts w:hint="eastAsia" w:hAnsi="宋体"/>
          <w:sz w:val="28"/>
          <w:szCs w:val="28"/>
          <w:lang w:eastAsia="zh-CN"/>
        </w:rPr>
        <w:t>禹州市人民法院</w:t>
      </w:r>
    </w:p>
    <w:p>
      <w:pPr>
        <w:spacing w:line="600" w:lineRule="exact"/>
        <w:jc w:val="left"/>
        <w:rPr>
          <w:rFonts w:hAnsi="宋体"/>
          <w:sz w:val="28"/>
          <w:szCs w:val="28"/>
        </w:rPr>
      </w:pPr>
      <w:r>
        <w:rPr>
          <w:rFonts w:hint="eastAsia" w:hAnsi="宋体" w:cs="宋体"/>
          <w:b/>
          <w:bCs/>
          <w:color w:val="000000"/>
          <w:spacing w:val="23"/>
          <w:kern w:val="0"/>
          <w:sz w:val="28"/>
          <w:szCs w:val="28"/>
        </w:rPr>
        <w:t>房地产估价机构</w:t>
      </w:r>
      <w:r>
        <w:rPr>
          <w:rFonts w:hint="eastAsia" w:hAnsi="宋体" w:cs="宋体"/>
          <w:b/>
          <w:bCs/>
          <w:color w:val="000000"/>
          <w:kern w:val="0"/>
          <w:sz w:val="28"/>
          <w:szCs w:val="28"/>
        </w:rPr>
        <w:t>：</w:t>
      </w:r>
      <w:r>
        <w:rPr>
          <w:rFonts w:hint="eastAsia" w:hAnsi="宋体"/>
          <w:spacing w:val="-10"/>
          <w:sz w:val="28"/>
          <w:szCs w:val="28"/>
        </w:rPr>
        <w:t>河南凯业房地产估价咨询有限公司</w:t>
      </w:r>
    </w:p>
    <w:p>
      <w:pPr>
        <w:widowControl/>
        <w:jc w:val="left"/>
        <w:rPr>
          <w:rFonts w:hint="eastAsia" w:ascii="宋体" w:hAnsi="宋体" w:eastAsia="宋体" w:cs="宋体"/>
          <w:b w:val="0"/>
          <w:bCs w:val="0"/>
          <w:color w:val="000000"/>
          <w:kern w:val="0"/>
          <w:sz w:val="28"/>
          <w:szCs w:val="28"/>
        </w:rPr>
      </w:pPr>
      <w:r>
        <w:rPr>
          <w:rFonts w:hint="eastAsia" w:hAnsi="宋体" w:cs="宋体"/>
          <w:b/>
          <w:bCs/>
          <w:color w:val="000000"/>
          <w:kern w:val="0"/>
          <w:sz w:val="28"/>
          <w:szCs w:val="28"/>
        </w:rPr>
        <w:t>注册房地产估价师：</w:t>
      </w:r>
      <w:r>
        <w:rPr>
          <w:rFonts w:hint="eastAsia" w:ascii="宋体" w:hAnsi="宋体" w:eastAsia="宋体" w:cs="宋体"/>
          <w:color w:val="000000"/>
          <w:sz w:val="28"/>
          <w:szCs w:val="28"/>
          <w:lang w:val="en-US" w:eastAsia="zh-CN"/>
        </w:rPr>
        <w:t>{@初审人}</w:t>
      </w:r>
      <w:r>
        <w:rPr>
          <w:rFonts w:hint="eastAsia" w:ascii="宋体" w:hAnsi="宋体" w:cs="宋体"/>
          <w:b w:val="0"/>
          <w:bCs w:val="0"/>
          <w:color w:val="000000"/>
          <w:kern w:val="0"/>
          <w:sz w:val="28"/>
          <w:szCs w:val="28"/>
          <w:lang w:eastAsia="zh-CN"/>
        </w:rPr>
        <w:t>(</w:t>
      </w:r>
      <w:r>
        <w:rPr>
          <w:rFonts w:hint="eastAsia" w:ascii="宋体" w:hAnsi="宋体" w:eastAsia="宋体" w:cs="宋体"/>
          <w:b w:val="0"/>
          <w:bCs w:val="0"/>
          <w:color w:val="000000"/>
          <w:kern w:val="0"/>
          <w:sz w:val="28"/>
          <w:szCs w:val="28"/>
          <w:lang w:eastAsia="zh-CN"/>
        </w:rPr>
        <w:t>注册号</w:t>
      </w:r>
      <w:r>
        <w:rPr>
          <w:rFonts w:hint="eastAsia" w:ascii="宋体" w:hAnsi="宋体" w:eastAsia="宋体" w:cs="宋体"/>
          <w:color w:val="000000"/>
          <w:sz w:val="28"/>
          <w:szCs w:val="28"/>
          <w:lang w:val="en-US" w:eastAsia="zh-CN"/>
        </w:rPr>
        <w:t>{@初审人证号}</w:t>
      </w:r>
      <w:r>
        <w:rPr>
          <w:rFonts w:hint="eastAsia" w:ascii="宋体" w:hAnsi="宋体" w:cs="宋体"/>
          <w:b w:val="0"/>
          <w:bCs w:val="0"/>
          <w:color w:val="000000"/>
          <w:kern w:val="0"/>
          <w:sz w:val="28"/>
          <w:szCs w:val="28"/>
          <w:lang w:eastAsia="zh-CN"/>
        </w:rPr>
        <w:t>)</w:t>
      </w:r>
    </w:p>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color w:val="000000"/>
          <w:sz w:val="28"/>
          <w:szCs w:val="28"/>
          <w:lang w:val="en-US" w:eastAsia="zh-CN"/>
        </w:rPr>
        <w:t>{@复审人}</w:t>
      </w:r>
      <w:r>
        <w:rPr>
          <w:rFonts w:hint="eastAsia" w:ascii="宋体" w:hAnsi="宋体" w:cs="宋体"/>
          <w:b w:val="0"/>
          <w:bCs w:val="0"/>
          <w:color w:val="000000"/>
          <w:kern w:val="0"/>
          <w:sz w:val="28"/>
          <w:szCs w:val="28"/>
          <w:lang w:val="en-US" w:eastAsia="zh-CN"/>
        </w:rPr>
        <w:t>(</w:t>
      </w:r>
      <w:r>
        <w:rPr>
          <w:rFonts w:hint="eastAsia" w:ascii="宋体" w:hAnsi="宋体" w:eastAsia="宋体" w:cs="宋体"/>
          <w:b w:val="0"/>
          <w:bCs w:val="0"/>
          <w:color w:val="000000"/>
          <w:kern w:val="0"/>
          <w:sz w:val="28"/>
          <w:szCs w:val="28"/>
          <w:lang w:val="en-US" w:eastAsia="zh-CN"/>
        </w:rPr>
        <w:t>注册号</w:t>
      </w:r>
      <w:r>
        <w:rPr>
          <w:rFonts w:hint="eastAsia" w:ascii="宋体" w:hAnsi="宋体" w:eastAsia="宋体" w:cs="宋体"/>
          <w:color w:val="000000"/>
          <w:sz w:val="28"/>
          <w:szCs w:val="28"/>
          <w:lang w:val="en-US" w:eastAsia="zh-CN"/>
        </w:rPr>
        <w:t>{@复审人证号}</w:t>
      </w:r>
      <w:r>
        <w:rPr>
          <w:rFonts w:hint="eastAsia" w:ascii="宋体" w:hAnsi="宋体" w:cs="宋体"/>
          <w:b w:val="0"/>
          <w:bCs w:val="0"/>
          <w:color w:val="000000"/>
          <w:kern w:val="0"/>
          <w:sz w:val="28"/>
          <w:szCs w:val="28"/>
          <w:lang w:val="en-US" w:eastAsia="zh-CN"/>
        </w:rPr>
        <w:t>)</w:t>
      </w:r>
    </w:p>
    <w:p>
      <w:pPr>
        <w:widowControl/>
        <w:jc w:val="left"/>
        <w:rPr>
          <w:rFonts w:hint="eastAsia" w:hAnsi="宋体" w:eastAsia="宋体"/>
          <w:sz w:val="28"/>
          <w:szCs w:val="28"/>
          <w:lang w:eastAsia="zh-CN"/>
        </w:rPr>
      </w:pPr>
      <w:r>
        <w:rPr>
          <w:rFonts w:hint="eastAsia" w:hAnsi="宋体" w:cs="宋体"/>
          <w:b/>
          <w:bCs/>
          <w:kern w:val="0"/>
          <w:sz w:val="28"/>
          <w:szCs w:val="28"/>
        </w:rPr>
        <w:t>估价报告出具日期</w:t>
      </w:r>
      <w:r>
        <w:rPr>
          <w:rFonts w:hint="eastAsia" w:hAnsi="宋体" w:cs="宋体"/>
          <w:b/>
          <w:bCs/>
          <w:color w:val="000000"/>
          <w:kern w:val="0"/>
          <w:sz w:val="28"/>
          <w:szCs w:val="28"/>
        </w:rPr>
        <w:t>：</w:t>
      </w:r>
      <w:r>
        <w:rPr>
          <w:rFonts w:hint="eastAsia" w:ascii="宋体" w:hAnsi="宋体" w:cs="宋体"/>
          <w:sz w:val="28"/>
          <w:szCs w:val="28"/>
          <w:lang w:eastAsia="zh-CN"/>
        </w:rPr>
        <w:t>2022年07月08日</w:t>
      </w:r>
    </w:p>
    <w:p>
      <w:pPr>
        <w:spacing w:line="360" w:lineRule="auto"/>
        <w:rPr>
          <w:rFonts w:hint="eastAsia" w:ascii="宋体" w:hAnsi="宋体" w:cs="宋体"/>
          <w:b w:val="0"/>
          <w:bCs w:val="0"/>
          <w:color w:val="000000"/>
          <w:kern w:val="0"/>
          <w:sz w:val="28"/>
          <w:szCs w:val="28"/>
          <w:lang w:eastAsia="zh-CN"/>
        </w:rPr>
      </w:pPr>
      <w:r>
        <w:rPr>
          <w:rFonts w:hint="eastAsia" w:hAnsi="宋体" w:cs="宋体"/>
          <w:b/>
          <w:bCs/>
          <w:color w:val="000000"/>
          <w:spacing w:val="51"/>
          <w:kern w:val="0"/>
          <w:sz w:val="28"/>
          <w:szCs w:val="28"/>
        </w:rPr>
        <w:t>估价报告编号</w:t>
      </w:r>
      <w:r>
        <w:rPr>
          <w:rFonts w:hint="eastAsia" w:hAnsi="宋体" w:cs="宋体"/>
          <w:b/>
          <w:bCs/>
          <w:color w:val="000000"/>
          <w:kern w:val="0"/>
          <w:sz w:val="28"/>
          <w:szCs w:val="28"/>
        </w:rPr>
        <w:t>：</w:t>
      </w:r>
      <w:r>
        <w:rPr>
          <w:rFonts w:hint="eastAsia" w:ascii="宋体" w:hAnsi="宋体" w:cs="宋体"/>
          <w:b w:val="0"/>
          <w:bCs w:val="0"/>
          <w:color w:val="000000"/>
          <w:kern w:val="0"/>
          <w:sz w:val="28"/>
          <w:szCs w:val="28"/>
          <w:lang w:eastAsia="zh-CN"/>
        </w:rPr>
        <w:t>豫凯估字[2022]060265127A号</w:t>
      </w:r>
    </w:p>
    <w:p>
      <w:pPr>
        <w:pStyle w:val="2"/>
        <w:rPr>
          <w:rFonts w:hint="eastAsia"/>
          <w:lang w:eastAsia="zh-CN"/>
        </w:rPr>
      </w:pPr>
    </w:p>
    <w:p>
      <w:pPr>
        <w:rPr>
          <w:rFonts w:hint="eastAsia" w:ascii="仿宋" w:hAnsi="仿宋" w:eastAsia="仿宋" w:cs="仿宋"/>
          <w:b/>
          <w:sz w:val="48"/>
          <w:szCs w:val="48"/>
          <w:lang w:eastAsia="zh-CN"/>
        </w:rPr>
      </w:pPr>
      <w:r>
        <w:rPr>
          <w:rFonts w:hint="eastAsia" w:ascii="仿宋" w:hAnsi="仿宋" w:eastAsia="仿宋" w:cs="仿宋"/>
          <w:b/>
          <w:sz w:val="48"/>
          <w:szCs w:val="48"/>
          <w:lang w:eastAsia="zh-CN"/>
        </w:rPr>
        <w:br w:type="page"/>
      </w:r>
    </w:p>
    <w:p>
      <w:pPr>
        <w:pStyle w:val="2"/>
        <w:rPr>
          <w:rFonts w:hint="eastAsia"/>
          <w:lang w:eastAsia="zh-CN"/>
        </w:rPr>
        <w:sectPr>
          <w:headerReference r:id="rId4" w:type="first"/>
          <w:headerReference r:id="rId3" w:type="default"/>
          <w:footerReference r:id="rId5" w:type="default"/>
          <w:pgSz w:w="11906" w:h="16838"/>
          <w:pgMar w:top="1702" w:right="1106" w:bottom="1135" w:left="1106" w:header="907" w:footer="737" w:gutter="510"/>
          <w:pgNumType w:fmt="numberInDash" w:start="1"/>
          <w:cols w:space="720" w:num="1"/>
          <w:titlePg/>
          <w:docGrid w:type="lines" w:linePitch="312" w:charSpace="0"/>
        </w:sectPr>
      </w:pPr>
    </w:p>
    <w:p>
      <w:pPr>
        <w:jc w:val="center"/>
        <w:rPr>
          <w:rFonts w:hint="eastAsia" w:ascii="仿宋" w:hAnsi="仿宋" w:eastAsia="仿宋" w:cs="仿宋"/>
          <w:b/>
          <w:sz w:val="48"/>
          <w:szCs w:val="48"/>
          <w:lang w:eastAsia="zh-CN"/>
        </w:rPr>
      </w:pPr>
    </w:p>
    <w:p>
      <w:pPr>
        <w:jc w:val="center"/>
        <w:rPr>
          <w:rFonts w:hint="eastAsia" w:ascii="仿宋" w:hAnsi="仿宋" w:eastAsia="仿宋" w:cs="仿宋"/>
          <w:b/>
          <w:sz w:val="22"/>
          <w:szCs w:val="22"/>
          <w:lang w:eastAsia="zh-CN"/>
        </w:rPr>
      </w:pPr>
    </w:p>
    <w:p>
      <w:pPr>
        <w:jc w:val="center"/>
        <w:rPr>
          <w:rFonts w:hint="eastAsia" w:ascii="仿宋" w:hAnsi="仿宋" w:eastAsia="仿宋" w:cs="仿宋"/>
          <w:b/>
          <w:sz w:val="48"/>
          <w:szCs w:val="48"/>
          <w:lang w:eastAsia="zh-CN"/>
        </w:rPr>
      </w:pPr>
      <w:r>
        <w:rPr>
          <w:rFonts w:hint="eastAsia" w:ascii="仿宋" w:hAnsi="仿宋" w:eastAsia="仿宋" w:cs="仿宋"/>
          <w:b/>
          <w:sz w:val="48"/>
          <w:szCs w:val="48"/>
          <w:lang w:eastAsia="zh-CN"/>
        </w:rPr>
        <w:t>房地产估价报告信息摘要</w:t>
      </w:r>
    </w:p>
    <w:p>
      <w:pPr>
        <w:keepNext w:val="0"/>
        <w:keepLines w:val="0"/>
        <w:pageBreakBefore w:val="0"/>
        <w:widowControl w:val="0"/>
        <w:kinsoku/>
        <w:wordWrap/>
        <w:overflowPunct/>
        <w:topLinePunct w:val="0"/>
        <w:autoSpaceDE/>
        <w:autoSpaceDN/>
        <w:bidi w:val="0"/>
        <w:adjustRightInd/>
        <w:snapToGrid/>
        <w:spacing w:line="240" w:lineRule="auto"/>
        <w:ind w:right="-55" w:rightChars="-26"/>
        <w:jc w:val="center"/>
        <w:textAlignment w:val="auto"/>
        <w:rPr>
          <w:rFonts w:hint="eastAsia" w:hAnsi="宋体" w:eastAsia="宋体" w:cs="宋体"/>
          <w:color w:val="000000"/>
          <w:sz w:val="24"/>
          <w:szCs w:val="24"/>
          <w:lang w:val="en-US" w:eastAsia="zh-CN"/>
        </w:rPr>
      </w:pPr>
      <w:r>
        <w:rPr>
          <w:rFonts w:hint="eastAsia" w:ascii="仿宋" w:hAnsi="仿宋" w:eastAsia="仿宋" w:cs="仿宋"/>
          <w:color w:val="000000"/>
          <w:sz w:val="24"/>
          <w:szCs w:val="24"/>
          <w:lang w:val="en-US" w:eastAsia="zh-CN"/>
        </w:rPr>
        <w:t>估价报告编号：豫凯估字[2022]060265127A号</w:t>
      </w:r>
    </w:p>
    <w:tbl>
      <w:tblPr>
        <w:tblStyle w:val="9"/>
        <w:tblW w:w="9401" w:type="dxa"/>
        <w:jc w:val="center"/>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autofit"/>
        <w:tblCellMar>
          <w:top w:w="0" w:type="dxa"/>
          <w:left w:w="108" w:type="dxa"/>
          <w:bottom w:w="0" w:type="dxa"/>
          <w:right w:w="108" w:type="dxa"/>
        </w:tblCellMar>
      </w:tblPr>
      <w:tblGrid>
        <w:gridCol w:w="1666"/>
        <w:gridCol w:w="3136"/>
        <w:gridCol w:w="1666"/>
        <w:gridCol w:w="2933"/>
      </w:tblGrid>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147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项目名称</w:t>
            </w:r>
          </w:p>
        </w:tc>
        <w:tc>
          <w:tcPr>
            <w:tcW w:w="7735" w:type="dxa"/>
            <w:gridSpan w:val="3"/>
            <w:tcBorders>
              <w:tl2br w:val="nil"/>
              <w:tr2bl w:val="nil"/>
            </w:tcBorders>
            <w:vAlign w:val="center"/>
          </w:tcPr>
          <w:p>
            <w:pPr>
              <w:jc w:val="both"/>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河南省许昌市禹州市夏都办禹王大道中段路南鼎原花苑1幢4单元3层4-303房住宅涉执司法处置房地产市场价值评估</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委托人</w:t>
            </w:r>
          </w:p>
        </w:tc>
        <w:tc>
          <w:tcPr>
            <w:tcW w:w="3136"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禹州市人民法院</w:t>
            </w:r>
          </w:p>
        </w:tc>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bidi="ar-SA"/>
              </w:rPr>
            </w:pPr>
            <w:r>
              <w:rPr>
                <w:rFonts w:hint="eastAsia" w:ascii="仿宋" w:hAnsi="仿宋" w:eastAsia="仿宋" w:cs="仿宋"/>
                <w:b w:val="0"/>
                <w:bCs/>
                <w:kern w:val="2"/>
                <w:sz w:val="24"/>
                <w:szCs w:val="24"/>
                <w:vertAlign w:val="baseline"/>
                <w:lang w:val="en-US" w:eastAsia="zh-CN"/>
              </w:rPr>
              <w:t>价值时点</w:t>
            </w:r>
          </w:p>
        </w:tc>
        <w:tc>
          <w:tcPr>
            <w:tcW w:w="2933"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bidi="ar-SA"/>
              </w:rPr>
            </w:pPr>
            <w:r>
              <w:rPr>
                <w:rFonts w:hint="eastAsia" w:ascii="仿宋" w:hAnsi="仿宋" w:eastAsia="仿宋" w:cs="仿宋"/>
                <w:b w:val="0"/>
                <w:bCs/>
                <w:kern w:val="2"/>
                <w:sz w:val="24"/>
                <w:szCs w:val="24"/>
                <w:vertAlign w:val="baseline"/>
                <w:lang w:val="en-US" w:eastAsia="zh-CN"/>
              </w:rPr>
              <w:t>2022年06月02日</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估价目的</w:t>
            </w:r>
          </w:p>
        </w:tc>
        <w:tc>
          <w:tcPr>
            <w:tcW w:w="7735" w:type="dxa"/>
            <w:gridSpan w:val="3"/>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为人民法院确定财产处置参考价提供参考依据</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估价机构</w:t>
            </w:r>
          </w:p>
        </w:tc>
        <w:tc>
          <w:tcPr>
            <w:tcW w:w="7735" w:type="dxa"/>
            <w:gridSpan w:val="3"/>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河南凯业房地产估价咨询有限公司</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估价作业人员</w:t>
            </w:r>
          </w:p>
        </w:tc>
        <w:tc>
          <w:tcPr>
            <w:tcW w:w="7735" w:type="dxa"/>
            <w:gridSpan w:val="3"/>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color w:val="000000"/>
                <w:sz w:val="24"/>
                <w:szCs w:val="24"/>
                <w:lang w:val="en-US" w:eastAsia="zh-CN"/>
              </w:rPr>
              <w:t>{@初审人}</w:t>
            </w:r>
            <w:r>
              <w:rPr>
                <w:rFonts w:hint="eastAsia" w:ascii="仿宋" w:hAnsi="仿宋" w:eastAsia="仿宋" w:cs="仿宋"/>
                <w:b w:val="0"/>
                <w:bCs/>
                <w:kern w:val="2"/>
                <w:sz w:val="24"/>
                <w:szCs w:val="24"/>
                <w:vertAlign w:val="baseline"/>
                <w:lang w:val="en-US" w:eastAsia="zh-CN"/>
              </w:rPr>
              <w:t>、</w:t>
            </w:r>
            <w:r>
              <w:rPr>
                <w:rFonts w:hint="eastAsia" w:ascii="仿宋" w:hAnsi="仿宋" w:eastAsia="仿宋" w:cs="仿宋"/>
                <w:color w:val="000000"/>
                <w:sz w:val="24"/>
                <w:szCs w:val="24"/>
                <w:lang w:val="en-US" w:eastAsia="zh-CN"/>
              </w:rPr>
              <w:t>{@复审人}</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估价方法</w:t>
            </w:r>
          </w:p>
        </w:tc>
        <w:tc>
          <w:tcPr>
            <w:tcW w:w="3136"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Cs/>
                <w:kern w:val="2"/>
                <w:sz w:val="24"/>
                <w:szCs w:val="24"/>
                <w:lang w:val="en-US" w:eastAsia="zh-CN"/>
              </w:rPr>
              <w:t>比较法、收益法</w:t>
            </w:r>
          </w:p>
        </w:tc>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价值类型</w:t>
            </w:r>
          </w:p>
        </w:tc>
        <w:tc>
          <w:tcPr>
            <w:tcW w:w="2933"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市场价值</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907"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权属证号</w:t>
            </w:r>
          </w:p>
        </w:tc>
        <w:tc>
          <w:tcPr>
            <w:tcW w:w="7735" w:type="dxa"/>
            <w:gridSpan w:val="3"/>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《禹州市国土资源局不动产权登记记载表》显示为：087537</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bidi="ar-SA"/>
              </w:rPr>
            </w:pPr>
            <w:r>
              <w:rPr>
                <w:rFonts w:hint="eastAsia" w:ascii="仿宋" w:hAnsi="仿宋" w:eastAsia="仿宋" w:cs="仿宋"/>
                <w:b w:val="0"/>
                <w:bCs/>
                <w:kern w:val="2"/>
                <w:sz w:val="24"/>
                <w:szCs w:val="24"/>
                <w:vertAlign w:val="baseline"/>
                <w:lang w:val="en-US" w:eastAsia="zh-CN"/>
              </w:rPr>
              <w:t>建筑面积</w:t>
            </w:r>
          </w:p>
        </w:tc>
        <w:tc>
          <w:tcPr>
            <w:tcW w:w="3136"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bidi="ar-SA"/>
              </w:rPr>
            </w:pPr>
            <w:r>
              <w:rPr>
                <w:rFonts w:hint="eastAsia" w:ascii="仿宋" w:hAnsi="仿宋" w:eastAsia="仿宋" w:cs="仿宋"/>
                <w:b w:val="0"/>
                <w:bCs/>
                <w:kern w:val="2"/>
                <w:sz w:val="24"/>
                <w:szCs w:val="24"/>
                <w:vertAlign w:val="baseline"/>
                <w:lang w:val="en-US" w:eastAsia="zh-CN"/>
              </w:rPr>
              <w:t>123.00㎡</w:t>
            </w:r>
          </w:p>
        </w:tc>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物业类型</w:t>
            </w:r>
          </w:p>
          <w:p>
            <w:pPr>
              <w:jc w:val="center"/>
              <w:rPr>
                <w:rFonts w:hint="eastAsia" w:ascii="仿宋" w:hAnsi="仿宋" w:eastAsia="仿宋" w:cs="仿宋"/>
                <w:b w:val="0"/>
                <w:bCs/>
                <w:kern w:val="2"/>
                <w:sz w:val="24"/>
                <w:szCs w:val="24"/>
                <w:vertAlign w:val="baseline"/>
                <w:lang w:val="en-US" w:eastAsia="zh-CN" w:bidi="ar-SA"/>
              </w:rPr>
            </w:pPr>
            <w:r>
              <w:rPr>
                <w:rFonts w:hint="eastAsia" w:ascii="仿宋" w:hAnsi="仿宋" w:eastAsia="仿宋" w:cs="仿宋"/>
                <w:b w:val="0"/>
                <w:bCs/>
                <w:kern w:val="2"/>
                <w:sz w:val="24"/>
                <w:szCs w:val="24"/>
                <w:vertAlign w:val="baseline"/>
                <w:lang w:val="en-US" w:eastAsia="zh-CN"/>
              </w:rPr>
              <w:t>(户型布局)</w:t>
            </w:r>
          </w:p>
        </w:tc>
        <w:tc>
          <w:tcPr>
            <w:tcW w:w="2933"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bidi="ar-SA"/>
              </w:rPr>
            </w:pPr>
            <w:r>
              <w:rPr>
                <w:rFonts w:hint="eastAsia" w:ascii="仿宋" w:hAnsi="仿宋" w:eastAsia="仿宋" w:cs="仿宋"/>
                <w:b w:val="0"/>
                <w:bCs/>
                <w:kern w:val="2"/>
                <w:sz w:val="24"/>
                <w:szCs w:val="24"/>
                <w:vertAlign w:val="baseline"/>
                <w:lang w:val="en-US" w:eastAsia="zh-CN"/>
              </w:rPr>
              <w:t>住宅(三室两厅一厨两卫)</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评估单价</w:t>
            </w:r>
          </w:p>
        </w:tc>
        <w:tc>
          <w:tcPr>
            <w:tcW w:w="3136"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5822元/㎡</w:t>
            </w:r>
          </w:p>
        </w:tc>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市场价值</w:t>
            </w:r>
          </w:p>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(人民币)</w:t>
            </w:r>
          </w:p>
        </w:tc>
        <w:tc>
          <w:tcPr>
            <w:tcW w:w="2933"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71.61(万元)</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794"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报告出具日期</w:t>
            </w:r>
          </w:p>
        </w:tc>
        <w:tc>
          <w:tcPr>
            <w:tcW w:w="3136"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2022年07月08日</w:t>
            </w:r>
          </w:p>
        </w:tc>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报告有效期</w:t>
            </w:r>
          </w:p>
        </w:tc>
        <w:tc>
          <w:tcPr>
            <w:tcW w:w="2933" w:type="dxa"/>
            <w:tcBorders>
              <w:tl2br w:val="nil"/>
              <w:tr2bl w:val="nil"/>
            </w:tcBorders>
            <w:vAlign w:val="center"/>
          </w:tcPr>
          <w:p>
            <w:pPr>
              <w:jc w:val="left"/>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自出具之日起壹年内</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Ex>
        <w:trPr>
          <w:trHeight w:val="1871" w:hRule="atLeast"/>
          <w:jc w:val="center"/>
        </w:trPr>
        <w:tc>
          <w:tcPr>
            <w:tcW w:w="1666" w:type="dxa"/>
            <w:tcBorders>
              <w:tl2br w:val="nil"/>
              <w:tr2bl w:val="nil"/>
            </w:tcBorders>
            <w:shd w:val="clear" w:color="auto" w:fill="CFCECE" w:themeFill="background2" w:themeFillShade="E5"/>
            <w:vAlign w:val="center"/>
          </w:tcPr>
          <w:p>
            <w:pPr>
              <w:jc w:val="center"/>
              <w:rPr>
                <w:rFonts w:hint="eastAsia" w:ascii="仿宋" w:hAnsi="仿宋" w:eastAsia="仿宋" w:cs="仿宋"/>
                <w:b w:val="0"/>
                <w:bCs/>
                <w:kern w:val="2"/>
                <w:sz w:val="24"/>
                <w:szCs w:val="24"/>
                <w:vertAlign w:val="baseline"/>
                <w:lang w:val="en-US" w:eastAsia="zh-CN"/>
              </w:rPr>
            </w:pPr>
            <w:r>
              <w:rPr>
                <w:rFonts w:hint="eastAsia" w:ascii="仿宋" w:hAnsi="仿宋" w:eastAsia="仿宋" w:cs="仿宋"/>
                <w:b w:val="0"/>
                <w:bCs/>
                <w:kern w:val="2"/>
                <w:sz w:val="24"/>
                <w:szCs w:val="24"/>
                <w:vertAlign w:val="baseline"/>
                <w:lang w:val="en-US" w:eastAsia="zh-CN"/>
              </w:rPr>
              <w:t>备注</w:t>
            </w:r>
          </w:p>
        </w:tc>
        <w:tc>
          <w:tcPr>
            <w:tcW w:w="7735" w:type="dxa"/>
            <w:gridSpan w:val="3"/>
            <w:tcBorders>
              <w:tl2br w:val="nil"/>
              <w:tr2bl w:val="nil"/>
            </w:tcBorders>
            <w:vAlign w:val="center"/>
          </w:tcPr>
          <w:p>
            <w:pPr>
              <w:jc w:val="center"/>
              <w:rPr>
                <w:rFonts w:hint="eastAsia" w:ascii="仿宋" w:hAnsi="仿宋" w:eastAsia="仿宋" w:cs="仿宋"/>
                <w:b w:val="0"/>
                <w:bCs/>
                <w:kern w:val="2"/>
                <w:sz w:val="24"/>
                <w:szCs w:val="24"/>
                <w:vertAlign w:val="baseline"/>
                <w:lang w:val="en-US" w:eastAsia="zh-CN"/>
              </w:rPr>
            </w:pPr>
          </w:p>
        </w:tc>
      </w:tr>
    </w:tbl>
    <w:p>
      <w:pPr>
        <w:keepNext w:val="0"/>
        <w:keepLines w:val="0"/>
        <w:widowControl w:val="0"/>
        <w:suppressLineNumbers w:val="0"/>
        <w:bidi w:val="0"/>
        <w:spacing w:before="0" w:beforeAutospacing="0" w:after="0" w:afterAutospacing="0" w:line="600" w:lineRule="exact"/>
        <w:ind w:left="0" w:right="0"/>
        <w:jc w:val="center"/>
        <w:rPr>
          <w:rFonts w:hAnsi="宋体"/>
          <w:b/>
          <w:bCs w:val="0"/>
          <w:sz w:val="44"/>
          <w:szCs w:val="44"/>
          <w:lang w:val="en-US"/>
        </w:rPr>
      </w:pPr>
      <w:r>
        <w:rPr>
          <w:rFonts w:hint="eastAsia" w:ascii="宋体" w:hAnsi="宋体" w:eastAsia="宋体" w:cs="Times New Roman"/>
          <w:b/>
          <w:bCs w:val="0"/>
          <w:kern w:val="2"/>
          <w:sz w:val="44"/>
          <w:szCs w:val="44"/>
          <w:lang w:val="en-US" w:eastAsia="zh-CN"/>
        </w:rPr>
        <w:br w:type="page"/>
      </w:r>
      <w:r>
        <w:rPr>
          <w:rFonts w:hint="eastAsia" w:ascii="宋体" w:hAnsi="宋体" w:eastAsia="宋体" w:cs="Times New Roman"/>
          <w:b/>
          <w:bCs w:val="0"/>
          <w:kern w:val="2"/>
          <w:sz w:val="44"/>
          <w:szCs w:val="44"/>
          <w:lang w:val="en-US" w:eastAsia="zh-CN"/>
        </w:rPr>
        <w:t>致估价委托人函</w:t>
      </w:r>
    </w:p>
    <w:p>
      <w:pPr>
        <w:keepNext w:val="0"/>
        <w:keepLines w:val="0"/>
        <w:widowControl w:val="0"/>
        <w:suppressLineNumbers w:val="0"/>
        <w:bidi w:val="0"/>
        <w:spacing w:before="0" w:beforeAutospacing="0" w:after="0" w:afterAutospacing="0" w:line="540" w:lineRule="exact"/>
        <w:ind w:left="0" w:right="0"/>
        <w:jc w:val="both"/>
        <w:rPr>
          <w:rFonts w:hint="eastAsia" w:ascii="宋体" w:hAnsi="宋体" w:eastAsia="宋体" w:cs="宋体"/>
          <w:sz w:val="28"/>
          <w:szCs w:val="28"/>
          <w:lang w:val="en-US"/>
        </w:rPr>
      </w:pPr>
      <w:r>
        <w:rPr>
          <w:rFonts w:hint="eastAsia" w:ascii="宋体" w:hAnsi="宋体" w:cs="宋体"/>
          <w:kern w:val="2"/>
          <w:sz w:val="28"/>
          <w:szCs w:val="28"/>
          <w:lang w:val="en-US" w:eastAsia="zh-CN"/>
        </w:rPr>
        <w:t>禹州市人民法院</w:t>
      </w:r>
      <w:r>
        <w:rPr>
          <w:rFonts w:hint="eastAsia" w:ascii="宋体" w:hAnsi="宋体" w:eastAsia="宋体" w:cs="宋体"/>
          <w:kern w:val="2"/>
          <w:sz w:val="28"/>
          <w:szCs w:val="28"/>
          <w:lang w:val="en-US" w:eastAsia="zh-CN"/>
        </w:rPr>
        <w:t xml:space="preserve">： </w:t>
      </w:r>
    </w:p>
    <w:p>
      <w:pPr>
        <w:keepNext w:val="0"/>
        <w:keepLines w:val="0"/>
        <w:widowControl w:val="0"/>
        <w:suppressLineNumbers w:val="0"/>
        <w:topLinePunct/>
        <w:bidi w:val="0"/>
        <w:spacing w:before="0" w:beforeAutospacing="0" w:after="0" w:afterAutospacing="0" w:line="540" w:lineRule="exact"/>
        <w:ind w:left="0" w:right="0" w:firstLine="562"/>
        <w:jc w:val="both"/>
        <w:rPr>
          <w:rFonts w:hint="eastAsia" w:ascii="宋体" w:hAnsi="宋体" w:eastAsia="宋体" w:cs="宋体"/>
          <w:spacing w:val="4"/>
          <w:kern w:val="2"/>
          <w:sz w:val="28"/>
          <w:szCs w:val="28"/>
          <w:lang w:val="en-US" w:eastAsia="zh-CN"/>
        </w:rPr>
      </w:pPr>
      <w:r>
        <w:rPr>
          <w:rFonts w:hint="eastAsia" w:ascii="宋体" w:hAnsi="宋体" w:eastAsia="宋体" w:cs="宋体"/>
          <w:spacing w:val="4"/>
          <w:kern w:val="2"/>
          <w:sz w:val="28"/>
          <w:szCs w:val="28"/>
          <w:lang w:val="en-US" w:eastAsia="zh-CN"/>
        </w:rPr>
        <w:t>受贵院委托，我公司注册房地产估价师{@复审人}、</w:t>
      </w:r>
      <w:r>
        <w:rPr>
          <w:rFonts w:hint="eastAsia" w:ascii="宋体" w:hAnsi="宋体" w:eastAsia="宋体" w:cs="宋体"/>
          <w:color w:val="000000"/>
          <w:sz w:val="28"/>
          <w:szCs w:val="28"/>
          <w:lang w:val="en-US" w:eastAsia="zh-CN"/>
        </w:rPr>
        <w:t>{@初审人}</w:t>
      </w:r>
      <w:r>
        <w:rPr>
          <w:rFonts w:hint="eastAsia" w:ascii="宋体" w:hAnsi="宋体" w:eastAsia="宋体" w:cs="宋体"/>
          <w:spacing w:val="4"/>
          <w:kern w:val="2"/>
          <w:sz w:val="28"/>
          <w:szCs w:val="28"/>
          <w:lang w:val="en-US" w:eastAsia="zh-CN"/>
        </w:rPr>
        <w:t>对</w:t>
      </w:r>
      <w:r>
        <w:rPr>
          <w:rFonts w:hint="eastAsia" w:ascii="宋体" w:hAnsi="宋体" w:cs="宋体"/>
          <w:spacing w:val="4"/>
          <w:kern w:val="2"/>
          <w:sz w:val="28"/>
          <w:szCs w:val="28"/>
          <w:lang w:val="en-US" w:eastAsia="zh-CN"/>
        </w:rPr>
        <w:t>王国选、赵花枝共有拥有的产权</w:t>
      </w:r>
      <w:r>
        <w:rPr>
          <w:rFonts w:hint="eastAsia" w:ascii="宋体" w:hAnsi="宋体" w:eastAsia="宋体" w:cs="宋体"/>
          <w:spacing w:val="4"/>
          <w:kern w:val="2"/>
          <w:sz w:val="28"/>
          <w:szCs w:val="28"/>
          <w:lang w:val="en-US" w:eastAsia="zh-CN"/>
        </w:rPr>
        <w:t>位于</w:t>
      </w:r>
      <w:r>
        <w:rPr>
          <w:rFonts w:hint="eastAsia" w:ascii="宋体" w:hAnsi="宋体" w:cs="宋体"/>
          <w:spacing w:val="4"/>
          <w:kern w:val="2"/>
          <w:sz w:val="28"/>
          <w:szCs w:val="28"/>
          <w:lang w:val="en-US" w:eastAsia="zh-CN"/>
        </w:rPr>
        <w:t>河南省许昌市禹州市夏都办禹王大道中段路南鼎原花苑1幢4单元3层4-303房</w:t>
      </w:r>
      <w:r>
        <w:rPr>
          <w:rFonts w:hint="eastAsia" w:ascii="宋体" w:hAnsi="宋体" w:eastAsia="宋体" w:cs="宋体"/>
          <w:spacing w:val="4"/>
          <w:kern w:val="2"/>
          <w:sz w:val="28"/>
          <w:szCs w:val="28"/>
          <w:lang w:val="en-US" w:eastAsia="zh-CN"/>
        </w:rPr>
        <w:t>的住宅房地产(共一处一套房地产，此次评估房屋建筑总面积为</w:t>
      </w:r>
      <w:r>
        <w:rPr>
          <w:rFonts w:hint="eastAsia" w:ascii="宋体" w:hAnsi="宋体" w:cs="宋体"/>
          <w:spacing w:val="4"/>
          <w:kern w:val="2"/>
          <w:sz w:val="28"/>
          <w:szCs w:val="28"/>
          <w:lang w:val="en-US" w:eastAsia="zh-CN"/>
        </w:rPr>
        <w:t>123.00</w:t>
      </w:r>
      <w:r>
        <w:rPr>
          <w:rFonts w:hint="eastAsia" w:ascii="宋体" w:hAnsi="宋体" w:eastAsia="宋体" w:cs="宋体"/>
          <w:spacing w:val="4"/>
          <w:kern w:val="2"/>
          <w:sz w:val="28"/>
          <w:szCs w:val="28"/>
          <w:lang w:val="en-US" w:eastAsia="zh-CN"/>
        </w:rPr>
        <w:t>平方米)进行了评估。根据估价目的，遵循公认的估价原则，按照严谨的估价程序，依据有关法规、政策和技术标准，在合理的假设下，采用比较法、收益法对估价对象于价值时点的房地产市场价值进行了专业分析、测算和判断，估价报告摘要如下：</w:t>
      </w:r>
    </w:p>
    <w:p>
      <w:pPr>
        <w:keepNext w:val="0"/>
        <w:keepLines w:val="0"/>
        <w:widowControl w:val="0"/>
        <w:suppressLineNumbers w:val="0"/>
        <w:topLinePunct/>
        <w:bidi w:val="0"/>
        <w:spacing w:before="0" w:beforeAutospacing="0" w:after="0" w:afterAutospacing="0" w:line="540" w:lineRule="exact"/>
        <w:ind w:right="0" w:firstLine="562" w:firstLineChars="200"/>
        <w:jc w:val="both"/>
        <w:rPr>
          <w:rFonts w:hint="eastAsia" w:ascii="宋体" w:hAnsi="宋体" w:eastAsia="宋体" w:cs="宋体"/>
          <w:kern w:val="2"/>
          <w:sz w:val="28"/>
          <w:szCs w:val="28"/>
          <w:lang w:val="en-US" w:eastAsia="zh-CN"/>
        </w:rPr>
      </w:pPr>
      <w:r>
        <w:rPr>
          <w:rFonts w:hint="eastAsia" w:ascii="宋体" w:hAnsi="宋体" w:eastAsia="宋体" w:cs="宋体"/>
          <w:b/>
          <w:bCs w:val="0"/>
          <w:kern w:val="2"/>
          <w:sz w:val="28"/>
          <w:szCs w:val="28"/>
          <w:lang w:val="en-US" w:eastAsia="zh-CN"/>
        </w:rPr>
        <w:t>估价目的</w:t>
      </w:r>
      <w:r>
        <w:rPr>
          <w:rFonts w:hint="eastAsia" w:ascii="宋体" w:hAnsi="宋体" w:eastAsia="宋体" w:cs="宋体"/>
          <w:kern w:val="2"/>
          <w:sz w:val="28"/>
          <w:szCs w:val="28"/>
          <w:lang w:val="en-US" w:eastAsia="zh-CN"/>
        </w:rPr>
        <w:t>：为人民法院确定财产处置参考价提供参考依据。</w:t>
      </w:r>
    </w:p>
    <w:p>
      <w:pPr>
        <w:keepNext w:val="0"/>
        <w:keepLines w:val="0"/>
        <w:widowControl w:val="0"/>
        <w:suppressLineNumbers w:val="0"/>
        <w:topLinePunct/>
        <w:bidi w:val="0"/>
        <w:spacing w:before="0" w:beforeAutospacing="0" w:after="0" w:afterAutospacing="0" w:line="540" w:lineRule="exact"/>
        <w:ind w:right="0" w:firstLine="562" w:firstLineChars="200"/>
        <w:jc w:val="both"/>
        <w:rPr>
          <w:rFonts w:hint="eastAsia" w:ascii="宋体" w:hAnsi="宋体" w:eastAsia="宋体" w:cs="宋体"/>
          <w:szCs w:val="21"/>
          <w:lang w:val="en-US"/>
        </w:rPr>
      </w:pPr>
      <w:r>
        <w:rPr>
          <w:rFonts w:hint="eastAsia" w:ascii="宋体" w:hAnsi="宋体" w:eastAsia="宋体" w:cs="宋体"/>
          <w:b/>
          <w:bCs w:val="0"/>
          <w:kern w:val="2"/>
          <w:sz w:val="28"/>
          <w:szCs w:val="28"/>
          <w:lang w:val="en-US" w:eastAsia="zh-CN"/>
        </w:rPr>
        <w:t>估价对象</w:t>
      </w:r>
      <w:r>
        <w:rPr>
          <w:rFonts w:hint="eastAsia" w:ascii="宋体" w:hAnsi="宋体" w:eastAsia="宋体" w:cs="宋体"/>
          <w:kern w:val="2"/>
          <w:sz w:val="28"/>
          <w:szCs w:val="28"/>
          <w:lang w:val="en-US" w:eastAsia="zh-CN"/>
        </w:rPr>
        <w:t>：估价对象房地产基本状况摘要如下表：   表1</w:t>
      </w:r>
    </w:p>
    <w:tbl>
      <w:tblPr>
        <w:tblStyle w:val="8"/>
        <w:tblpPr w:leftFromText="180" w:rightFromText="180" w:vertAnchor="text" w:horzAnchor="margin" w:tblpXSpec="center" w:tblpY="2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119"/>
        <w:gridCol w:w="1760"/>
        <w:gridCol w:w="1996"/>
        <w:gridCol w:w="1423"/>
        <w:gridCol w:w="2"/>
        <w:gridCol w:w="2559"/>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坐落</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cs="宋体"/>
                <w:szCs w:val="21"/>
                <w:lang w:val="en-US" w:eastAsia="zh-CN"/>
              </w:rPr>
              <w:t>河南省许昌市禹州市夏都办禹王大道中段路南鼎原花苑1幢4单元3层4-303房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2</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名称</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cs="宋体"/>
                <w:szCs w:val="21"/>
                <w:lang w:val="en-US" w:eastAsia="zh-CN"/>
              </w:rPr>
              <w:t>铭仕公馆</w:t>
            </w:r>
            <w:r>
              <w:rPr>
                <w:rFonts w:hint="eastAsia" w:ascii="宋体" w:hAnsi="宋体" w:eastAsia="宋体" w:cs="宋体"/>
                <w:szCs w:val="21"/>
                <w:lang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3</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范围</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hAnsi="宋体"/>
                <w:szCs w:val="21"/>
              </w:rPr>
              <w:t>包括房屋及其相应分摊的土地使用权</w:t>
            </w:r>
            <w:r>
              <w:rPr>
                <w:rFonts w:hint="eastAsia" w:hAnsi="宋体" w:eastAsia="宋体" w:cs="Times New Roman"/>
                <w:color w:val="auto"/>
                <w:szCs w:val="21"/>
                <w:highlight w:val="none"/>
              </w:rPr>
              <w:t>（含室内装饰装修，不</w:t>
            </w:r>
            <w:r>
              <w:rPr>
                <w:rFonts w:hint="eastAsia" w:hAnsi="Calibri" w:eastAsia="宋体" w:cs="Times New Roman"/>
                <w:color w:val="auto"/>
                <w:szCs w:val="21"/>
                <w:highlight w:val="none"/>
              </w:rPr>
              <w:t>含</w:t>
            </w:r>
            <w:r>
              <w:rPr>
                <w:rFonts w:hint="eastAsia" w:hAnsi="宋体" w:eastAsia="宋体" w:cs="Times New Roman"/>
                <w:color w:val="auto"/>
                <w:szCs w:val="21"/>
                <w:highlight w:val="none"/>
              </w:rPr>
              <w:t>动产、特许经营权及债权债务等）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规模</w:t>
            </w:r>
          </w:p>
        </w:tc>
        <w:tc>
          <w:tcPr>
            <w:tcW w:w="7742" w:type="dxa"/>
            <w:gridSpan w:val="6"/>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Cs/>
                <w:szCs w:val="21"/>
              </w:rPr>
            </w:pPr>
            <w:r>
              <w:rPr>
                <w:rFonts w:hint="eastAsia" w:ascii="宋体" w:hAnsi="宋体" w:eastAsia="宋体" w:cs="宋体"/>
                <w:bCs/>
                <w:szCs w:val="21"/>
              </w:rPr>
              <w:t>房屋总建筑面积</w:t>
            </w:r>
            <w:r>
              <w:rPr>
                <w:rFonts w:hint="eastAsia" w:ascii="宋体" w:hAnsi="宋体" w:cs="宋体"/>
                <w:bCs/>
                <w:szCs w:val="21"/>
                <w:lang w:eastAsia="zh-CN"/>
              </w:rPr>
              <w:t>123.00</w:t>
            </w:r>
            <w:r>
              <w:rPr>
                <w:rFonts w:hint="eastAsia" w:ascii="宋体" w:hAnsi="宋体" w:eastAsia="宋体" w:cs="宋体"/>
                <w:szCs w:val="21"/>
              </w:rPr>
              <w:t>M</w:t>
            </w:r>
            <w:r>
              <w:rPr>
                <w:rFonts w:hint="eastAsia" w:ascii="宋体" w:hAnsi="宋体" w:eastAsia="宋体" w:cs="宋体"/>
                <w:szCs w:val="21"/>
                <w:vertAlign w:val="superscript"/>
              </w:rPr>
              <w:t xml:space="preserve">2 </w:t>
            </w:r>
            <w:r>
              <w:rPr>
                <w:rFonts w:hint="eastAsia" w:ascii="宋体" w:hAnsi="宋体" w:eastAsia="宋体" w:cs="宋体"/>
                <w:szCs w:val="21"/>
              </w:rPr>
              <w:t>及其相应分摊的土地使用权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5</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用途</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规划用途</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住宅</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实勘用途</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6</w:t>
            </w:r>
          </w:p>
        </w:tc>
        <w:tc>
          <w:tcPr>
            <w:tcW w:w="111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权属</w:t>
            </w:r>
          </w:p>
        </w:tc>
        <w:tc>
          <w:tcPr>
            <w:tcW w:w="176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bCs/>
                <w:szCs w:val="21"/>
                <w:lang w:eastAsia="zh-CN"/>
              </w:rPr>
              <w:t>所有权人</w:t>
            </w:r>
          </w:p>
        </w:tc>
        <w:tc>
          <w:tcPr>
            <w:tcW w:w="199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王国选</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bCs/>
                <w:szCs w:val="21"/>
              </w:rPr>
              <w:t>土地使用权类型</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未提供《国有土地使用证》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18"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szCs w:val="21"/>
              </w:rPr>
            </w:pPr>
          </w:p>
        </w:tc>
        <w:tc>
          <w:tcPr>
            <w:tcW w:w="1119"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szCs w:val="21"/>
              </w:rPr>
            </w:pPr>
          </w:p>
        </w:tc>
        <w:tc>
          <w:tcPr>
            <w:tcW w:w="176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szCs w:val="21"/>
                <w:lang w:eastAsia="zh-CN"/>
              </w:rPr>
              <w:t>共有人</w:t>
            </w:r>
          </w:p>
        </w:tc>
        <w:tc>
          <w:tcPr>
            <w:tcW w:w="1996"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赵花枝</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bCs/>
                <w:szCs w:val="21"/>
                <w:lang w:val="en-US" w:eastAsia="zh-CN"/>
              </w:rPr>
              <w:t>不动产权证号</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cs="宋体"/>
                <w:szCs w:val="21"/>
                <w:lang w:val="en-US" w:eastAsia="zh-CN"/>
              </w:rPr>
              <w:t>《禹州市国土资源局不动产权登记记载表》</w:t>
            </w:r>
            <w:r>
              <w:rPr>
                <w:rFonts w:hint="eastAsia" w:ascii="宋体" w:hAnsi="宋体" w:eastAsia="宋体" w:cs="宋体"/>
                <w:szCs w:val="21"/>
                <w:lang w:val="en-US" w:eastAsia="zh-CN"/>
              </w:rPr>
              <w:t>显示为：</w:t>
            </w:r>
            <w:r>
              <w:rPr>
                <w:rFonts w:hint="eastAsia" w:ascii="宋体" w:hAnsi="宋体" w:cs="宋体"/>
                <w:szCs w:val="21"/>
                <w:lang w:val="en-US" w:eastAsia="zh-CN"/>
              </w:rPr>
              <w:t>087537</w:t>
            </w:r>
          </w:p>
        </w:tc>
        <w:tc>
          <w:tcPr>
            <w:tcW w:w="2" w:type="dxa"/>
            <w:noWrap w:val="0"/>
            <w:vAlign w:val="top"/>
          </w:tcPr>
          <w:p>
            <w:pPr>
              <w:rPr>
                <w:rFonts w:hint="eastAsia" w:ascii="宋体" w:hAnsi="宋体" w:eastAsia="宋体" w:cs="宋体"/>
              </w:rPr>
            </w:pPr>
          </w:p>
        </w:tc>
      </w:tr>
    </w:tbl>
    <w:p>
      <w:pPr>
        <w:keepNext w:val="0"/>
        <w:keepLines w:val="0"/>
        <w:widowControl w:val="0"/>
        <w:suppressLineNumbers w:val="0"/>
        <w:tabs>
          <w:tab w:val="left" w:pos="7485"/>
        </w:tabs>
        <w:bidi w:val="0"/>
        <w:spacing w:before="0" w:beforeAutospacing="0" w:after="0" w:afterAutospacing="0" w:line="540" w:lineRule="atLeast"/>
        <w:ind w:left="0" w:right="0" w:firstLine="551"/>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rPr>
        <w:t>价值时点</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2022年06月02日</w:t>
      </w:r>
    </w:p>
    <w:p>
      <w:pPr>
        <w:keepNext w:val="0"/>
        <w:keepLines w:val="0"/>
        <w:widowControl w:val="0"/>
        <w:suppressLineNumbers w:val="0"/>
        <w:bidi w:val="0"/>
        <w:spacing w:before="0" w:beforeAutospacing="0" w:after="0" w:afterAutospacing="0" w:line="540" w:lineRule="atLeast"/>
        <w:ind w:left="0" w:right="0" w:firstLine="551"/>
        <w:jc w:val="both"/>
        <w:rPr>
          <w:rFonts w:hint="eastAsia" w:ascii="宋体" w:hAnsi="宋体" w:eastAsia="宋体" w:cs="宋体"/>
          <w:kern w:val="2"/>
          <w:sz w:val="28"/>
          <w:szCs w:val="28"/>
          <w:lang w:val="en-US" w:eastAsia="zh-CN"/>
        </w:rPr>
      </w:pPr>
      <w:r>
        <w:rPr>
          <w:rFonts w:hint="eastAsia" w:ascii="宋体" w:hAnsi="宋体" w:eastAsia="宋体" w:cs="宋体"/>
          <w:b/>
          <w:bCs w:val="0"/>
          <w:kern w:val="2"/>
          <w:sz w:val="28"/>
          <w:szCs w:val="28"/>
          <w:lang w:val="en-US" w:eastAsia="zh-CN"/>
        </w:rPr>
        <w:t>价值类型：</w:t>
      </w:r>
      <w:r>
        <w:rPr>
          <w:rFonts w:hint="eastAsia" w:ascii="宋体" w:hAnsi="宋体" w:eastAsia="宋体" w:cs="宋体"/>
          <w:kern w:val="2"/>
          <w:sz w:val="28"/>
          <w:szCs w:val="28"/>
          <w:lang w:val="en-US" w:eastAsia="zh-CN"/>
        </w:rPr>
        <w:t>房地产市场价值</w:t>
      </w:r>
    </w:p>
    <w:p>
      <w:pPr>
        <w:keepNext w:val="0"/>
        <w:keepLines w:val="0"/>
        <w:widowControl w:val="0"/>
        <w:suppressLineNumbers w:val="0"/>
        <w:bidi w:val="0"/>
        <w:spacing w:before="0" w:beforeAutospacing="0" w:after="0" w:afterAutospacing="0" w:line="540" w:lineRule="atLeast"/>
        <w:ind w:left="0" w:right="0" w:firstLine="551"/>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rPr>
        <w:t>估价方法：</w:t>
      </w:r>
      <w:r>
        <w:rPr>
          <w:rFonts w:hint="eastAsia" w:ascii="宋体" w:hAnsi="宋体" w:eastAsia="宋体" w:cs="宋体"/>
          <w:bCs/>
          <w:kern w:val="2"/>
          <w:sz w:val="28"/>
          <w:szCs w:val="28"/>
          <w:lang w:val="en-US" w:eastAsia="zh-CN"/>
        </w:rPr>
        <w:t>比较法、收益法</w:t>
      </w:r>
    </w:p>
    <w:p>
      <w:pPr>
        <w:keepNext w:val="0"/>
        <w:keepLines w:val="0"/>
        <w:widowControl w:val="0"/>
        <w:suppressLineNumbers w:val="0"/>
        <w:bidi w:val="0"/>
        <w:spacing w:before="0" w:beforeAutospacing="0" w:after="0" w:afterAutospacing="0" w:line="540" w:lineRule="atLeast"/>
        <w:ind w:left="0" w:right="0" w:firstLine="551"/>
        <w:jc w:val="both"/>
        <w:rPr>
          <w:rFonts w:hint="eastAsia" w:ascii="宋体" w:hAnsi="宋体" w:eastAsia="宋体" w:cs="宋体"/>
          <w:color w:val="000000"/>
          <w:sz w:val="28"/>
          <w:szCs w:val="28"/>
          <w:lang w:val="en-US"/>
        </w:rPr>
      </w:pPr>
      <w:r>
        <w:rPr>
          <w:rFonts w:hint="eastAsia" w:ascii="宋体" w:hAnsi="宋体" w:eastAsia="宋体" w:cs="宋体"/>
          <w:b/>
          <w:bCs w:val="0"/>
          <w:kern w:val="2"/>
          <w:sz w:val="28"/>
          <w:szCs w:val="28"/>
          <w:lang w:val="en-US" w:eastAsia="zh-CN"/>
        </w:rPr>
        <w:t>估价结果</w:t>
      </w:r>
      <w:r>
        <w:rPr>
          <w:rFonts w:hint="eastAsia" w:ascii="宋体" w:hAnsi="宋体" w:eastAsia="宋体" w:cs="宋体"/>
          <w:kern w:val="2"/>
          <w:sz w:val="28"/>
          <w:szCs w:val="28"/>
          <w:lang w:val="en-US" w:eastAsia="zh-CN"/>
        </w:rPr>
        <w:t>：注册房地产估价师根据估价目的，遵循估价原则，按照严谨的估价程序，在认真分析所掌握的资料与影响估价对象价值诸因素的基础上，采用比较法、收益法进行了分析、测算和判断，最终确定估价对象于价值时点市场价值估价总额为：</w:t>
      </w:r>
      <w:r>
        <w:rPr>
          <w:rFonts w:hint="eastAsia" w:ascii="宋体" w:hAnsi="宋体" w:cs="宋体"/>
          <w:kern w:val="2"/>
          <w:sz w:val="28"/>
          <w:szCs w:val="28"/>
          <w:lang w:val="en-US" w:eastAsia="zh-CN"/>
        </w:rPr>
        <w:t>71.61</w:t>
      </w:r>
      <w:r>
        <w:rPr>
          <w:rFonts w:hint="eastAsia" w:ascii="宋体" w:hAnsi="宋体" w:eastAsia="宋体" w:cs="宋体"/>
          <w:kern w:val="2"/>
          <w:sz w:val="28"/>
          <w:szCs w:val="28"/>
          <w:lang w:val="en-US" w:eastAsia="zh-CN"/>
        </w:rPr>
        <w:t>万元(人民币)，大写人民币：</w:t>
      </w:r>
      <w:r>
        <w:rPr>
          <w:rFonts w:hint="eastAsia" w:ascii="宋体" w:hAnsi="宋体" w:cs="宋体"/>
          <w:kern w:val="2"/>
          <w:sz w:val="28"/>
          <w:szCs w:val="28"/>
          <w:lang w:val="en-US" w:eastAsia="zh-CN"/>
        </w:rPr>
        <w:t>柒拾壹万陆仟壹佰</w:t>
      </w:r>
      <w:r>
        <w:rPr>
          <w:rFonts w:hint="eastAsia" w:ascii="宋体" w:hAnsi="宋体" w:eastAsia="宋体" w:cs="宋体"/>
          <w:kern w:val="2"/>
          <w:sz w:val="28"/>
          <w:szCs w:val="28"/>
          <w:lang w:val="en-US" w:eastAsia="zh-CN"/>
        </w:rPr>
        <w:t>元整。合建筑面积单价：</w:t>
      </w:r>
      <w:r>
        <w:rPr>
          <w:rFonts w:hint="eastAsia" w:ascii="宋体" w:hAnsi="宋体" w:cs="宋体"/>
          <w:kern w:val="2"/>
          <w:sz w:val="28"/>
          <w:szCs w:val="28"/>
          <w:lang w:val="en-US" w:eastAsia="zh-CN"/>
        </w:rPr>
        <w:t>5822</w:t>
      </w:r>
      <w:r>
        <w:rPr>
          <w:rFonts w:hint="eastAsia" w:ascii="宋体" w:hAnsi="宋体" w:eastAsia="宋体" w:cs="宋体"/>
          <w:kern w:val="2"/>
          <w:sz w:val="28"/>
          <w:szCs w:val="28"/>
          <w:lang w:val="en-US" w:eastAsia="zh-CN"/>
        </w:rPr>
        <w:t>元/平方米。房屋变现价值估价总额为：</w:t>
      </w:r>
      <w:r>
        <w:rPr>
          <w:rFonts w:hint="eastAsia" w:ascii="宋体" w:hAnsi="宋体" w:cs="宋体"/>
          <w:kern w:val="2"/>
          <w:sz w:val="28"/>
          <w:szCs w:val="28"/>
          <w:lang w:val="en-US" w:eastAsia="zh-CN"/>
        </w:rPr>
        <w:t>64.45</w:t>
      </w:r>
      <w:r>
        <w:rPr>
          <w:rFonts w:hint="eastAsia" w:ascii="宋体" w:hAnsi="宋体" w:eastAsia="宋体" w:cs="宋体"/>
          <w:kern w:val="2"/>
          <w:sz w:val="28"/>
          <w:szCs w:val="28"/>
          <w:lang w:val="en-US" w:eastAsia="zh-CN"/>
        </w:rPr>
        <w:t>万元，大写人民币：</w:t>
      </w:r>
      <w:r>
        <w:rPr>
          <w:rFonts w:hint="eastAsia" w:ascii="宋体" w:hAnsi="宋体" w:cs="宋体"/>
          <w:kern w:val="2"/>
          <w:sz w:val="28"/>
          <w:szCs w:val="28"/>
          <w:lang w:val="en-US" w:eastAsia="zh-CN"/>
        </w:rPr>
        <w:t>陆拾肆万肆仟伍佰</w:t>
      </w:r>
      <w:r>
        <w:rPr>
          <w:rFonts w:hint="eastAsia" w:ascii="宋体" w:hAnsi="宋体" w:eastAsia="宋体" w:cs="宋体"/>
          <w:kern w:val="2"/>
          <w:sz w:val="28"/>
          <w:szCs w:val="28"/>
          <w:lang w:val="en-US" w:eastAsia="zh-CN"/>
        </w:rPr>
        <w:t>元整。详见估价对象价值明细表2</w:t>
      </w:r>
      <w:r>
        <w:rPr>
          <w:rFonts w:hint="eastAsia" w:ascii="宋体" w:hAnsi="宋体" w:eastAsia="宋体" w:cs="宋体"/>
          <w:color w:val="000000"/>
          <w:kern w:val="2"/>
          <w:sz w:val="28"/>
          <w:szCs w:val="28"/>
          <w:lang w:val="en-US" w:eastAsia="zh-CN"/>
        </w:rPr>
        <w:t>。</w:t>
      </w:r>
    </w:p>
    <w:p>
      <w:pPr>
        <w:keepNext w:val="0"/>
        <w:keepLines w:val="0"/>
        <w:widowControl w:val="0"/>
        <w:suppressLineNumbers w:val="0"/>
        <w:bidi w:val="0"/>
        <w:spacing w:before="0" w:beforeAutospacing="0" w:after="0" w:afterAutospacing="0" w:line="60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rPr>
        <w:t>估价对象价值明细表        表2</w:t>
      </w:r>
    </w:p>
    <w:tbl>
      <w:tblPr>
        <w:tblStyle w:val="8"/>
        <w:tblpPr w:leftFromText="180" w:rightFromText="180" w:vertAnchor="text" w:horzAnchor="margin" w:tblpXSpec="center" w:tblpY="210"/>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00"/>
        <w:gridCol w:w="787"/>
        <w:gridCol w:w="694"/>
        <w:gridCol w:w="920"/>
        <w:gridCol w:w="1032"/>
        <w:gridCol w:w="647"/>
        <w:gridCol w:w="931"/>
        <w:gridCol w:w="110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3" w:hRule="exact"/>
          <w:jc w:val="center"/>
        </w:trPr>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42" w:right="0"/>
              <w:jc w:val="center"/>
              <w:rPr>
                <w:rStyle w:val="10"/>
                <w:rFonts w:hint="eastAsia" w:ascii="宋体" w:hAnsi="宋体" w:eastAsia="宋体" w:cs="宋体"/>
                <w:b/>
                <w:kern w:val="2"/>
                <w:sz w:val="21"/>
                <w:szCs w:val="21"/>
                <w:lang w:val="en-US" w:eastAsia="zh-CN" w:bidi="ar-SA"/>
              </w:rPr>
            </w:pPr>
            <w:r>
              <w:rPr>
                <w:rStyle w:val="10"/>
                <w:rFonts w:hint="eastAsia" w:ascii="宋体" w:hAnsi="宋体" w:cs="宋体"/>
                <w:b/>
                <w:kern w:val="2"/>
                <w:sz w:val="21"/>
                <w:szCs w:val="21"/>
                <w:lang w:val="en-US" w:eastAsia="zh-CN" w:bidi="ar-SA"/>
              </w:rPr>
              <w:t>所有权人</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cs="宋体"/>
                <w:b/>
                <w:kern w:val="2"/>
                <w:sz w:val="21"/>
                <w:szCs w:val="21"/>
                <w:lang w:val="en-US" w:eastAsia="zh-CN" w:bidi="ar-SA"/>
              </w:rPr>
              <w:t>不动产权证号</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幢号</w:t>
            </w:r>
          </w:p>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/房号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结构</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层次/</w:t>
            </w:r>
          </w:p>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层数</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建筑面积（M</w:t>
            </w:r>
            <w:r>
              <w:rPr>
                <w:rStyle w:val="10"/>
                <w:rFonts w:hint="eastAsia" w:ascii="宋体" w:hAnsi="宋体" w:eastAsia="宋体" w:cs="宋体"/>
                <w:b/>
                <w:kern w:val="2"/>
                <w:sz w:val="21"/>
                <w:szCs w:val="21"/>
                <w:vertAlign w:val="superscript"/>
                <w:lang w:val="en-US" w:eastAsia="zh-CN" w:bidi="ar-SA"/>
              </w:rPr>
              <w:t>2</w:t>
            </w:r>
            <w:r>
              <w:rPr>
                <w:rStyle w:val="10"/>
                <w:rFonts w:hint="eastAsia" w:ascii="宋体" w:hAnsi="宋体" w:eastAsia="宋体" w:cs="宋体"/>
                <w:b/>
                <w:kern w:val="2"/>
                <w:sz w:val="21"/>
                <w:szCs w:val="21"/>
                <w:lang w:val="en-US" w:eastAsia="zh-CN" w:bidi="ar-SA"/>
              </w:rPr>
              <w:t>）</w:t>
            </w:r>
          </w:p>
        </w:tc>
        <w:tc>
          <w:tcPr>
            <w:tcW w:w="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lang w:val="en-US" w:eastAsia="zh-CN"/>
              </w:rPr>
            </w:pPr>
            <w:r>
              <w:rPr>
                <w:rStyle w:val="10"/>
                <w:rFonts w:hint="eastAsia" w:ascii="宋体" w:hAnsi="宋体" w:eastAsia="宋体" w:cs="宋体"/>
                <w:b/>
                <w:kern w:val="2"/>
                <w:sz w:val="21"/>
                <w:szCs w:val="21"/>
                <w:lang w:val="en-US" w:eastAsia="zh-CN" w:bidi="ar-SA"/>
              </w:rPr>
              <w:t>实勘用途</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单 价(元/M</w:t>
            </w:r>
            <w:r>
              <w:rPr>
                <w:rStyle w:val="10"/>
                <w:rFonts w:hint="eastAsia" w:ascii="宋体" w:hAnsi="宋体" w:eastAsia="宋体" w:cs="宋体"/>
                <w:b/>
                <w:kern w:val="2"/>
                <w:sz w:val="21"/>
                <w:szCs w:val="21"/>
                <w:vertAlign w:val="superscript"/>
                <w:lang w:val="en-US" w:eastAsia="zh-CN" w:bidi="ar-SA"/>
              </w:rPr>
              <w:t>2</w:t>
            </w:r>
            <w:r>
              <w:rPr>
                <w:rStyle w:val="10"/>
                <w:rFonts w:hint="eastAsia" w:ascii="宋体" w:hAnsi="宋体" w:eastAsia="宋体" w:cs="宋体"/>
                <w:b/>
                <w:kern w:val="2"/>
                <w:sz w:val="21"/>
                <w:szCs w:val="21"/>
                <w:lang w:val="en-US" w:eastAsia="zh-CN" w:bidi="ar-SA"/>
              </w:rPr>
              <w:t>)</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市场价值</w:t>
            </w:r>
          </w:p>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（万元）</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变现价值（万元）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王国选</w:t>
            </w:r>
            <w:r>
              <w:rPr>
                <w:rFonts w:hint="eastAsia" w:ascii="宋体" w:hAnsi="宋体" w:cs="宋体"/>
                <w:szCs w:val="21"/>
                <w:lang w:eastAsia="zh-CN"/>
              </w:rPr>
              <w:t>赵花枝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《禹州市国土资源局不动产权登记记载表》</w:t>
            </w:r>
            <w:r>
              <w:rPr>
                <w:rStyle w:val="10"/>
                <w:rFonts w:hint="eastAsia" w:ascii="宋体" w:hAnsi="宋体" w:eastAsia="宋体" w:cs="宋体"/>
                <w:kern w:val="2"/>
                <w:sz w:val="21"/>
                <w:szCs w:val="21"/>
                <w:lang w:val="en-US" w:eastAsia="zh-CN" w:bidi="ar-SA"/>
              </w:rPr>
              <w:t>显示为：</w:t>
            </w:r>
            <w:r>
              <w:rPr>
                <w:rStyle w:val="10"/>
                <w:rFonts w:hint="eastAsia" w:ascii="宋体" w:hAnsi="宋体" w:cs="宋体"/>
                <w:kern w:val="2"/>
                <w:sz w:val="21"/>
                <w:szCs w:val="21"/>
                <w:lang w:val="en-US" w:eastAsia="zh-CN" w:bidi="ar-SA"/>
              </w:rPr>
              <w:t>087537</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w:t>
            </w:r>
            <w:r>
              <w:rPr>
                <w:rStyle w:val="10"/>
                <w:rFonts w:hint="eastAsia" w:ascii="宋体" w:hAnsi="宋体" w:eastAsia="宋体" w:cs="宋体"/>
                <w:kern w:val="2"/>
                <w:sz w:val="21"/>
                <w:szCs w:val="21"/>
                <w:lang w:val="en-US" w:eastAsia="zh-CN" w:bidi="ar-SA"/>
              </w:rPr>
              <w:t>/</w:t>
            </w:r>
          </w:p>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4-303</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eastAsia="宋体" w:cs="宋体"/>
                <w:kern w:val="2"/>
                <w:sz w:val="21"/>
                <w:szCs w:val="21"/>
                <w:lang w:val="en-US" w:eastAsia="zh-CN" w:bidi="ar-SA"/>
              </w:rPr>
              <w:t>钢混</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3/12</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123.00</w:t>
            </w:r>
          </w:p>
        </w:tc>
        <w:tc>
          <w:tcPr>
            <w:tcW w:w="647"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住宅</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5822</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71.61</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eastAsia="宋体" w:cs="宋体"/>
                <w:kern w:val="2"/>
                <w:sz w:val="21"/>
                <w:szCs w:val="21"/>
                <w:lang w:val="en-US" w:eastAsia="zh-CN" w:bidi="ar-SA"/>
              </w:rPr>
              <w:t xml:space="preserve"> 合计</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123.00</w:t>
            </w:r>
          </w:p>
        </w:tc>
        <w:tc>
          <w:tcPr>
            <w:tcW w:w="647"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71.61</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64.45</w:t>
            </w:r>
          </w:p>
        </w:tc>
      </w:tr>
    </w:tbl>
    <w:p>
      <w:pPr>
        <w:keepNext w:val="0"/>
        <w:keepLines w:val="0"/>
        <w:widowControl w:val="0"/>
        <w:suppressLineNumbers w:val="0"/>
        <w:bidi w:val="0"/>
        <w:spacing w:before="0" w:beforeAutospacing="0" w:after="0" w:afterAutospacing="0" w:line="540" w:lineRule="exact"/>
        <w:ind w:left="0" w:right="0" w:firstLine="562"/>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rPr>
        <w:t>特别提示</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80" w:lineRule="exact"/>
        <w:ind w:left="0" w:right="0" w:firstLine="566"/>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1、</w:t>
      </w:r>
      <w:r>
        <w:rPr>
          <w:rFonts w:hint="eastAsia" w:ascii="宋体" w:hAnsi="宋体" w:eastAsia="宋体" w:cs="Times New Roman"/>
          <w:kern w:val="2"/>
          <w:sz w:val="28"/>
          <w:szCs w:val="28"/>
          <w:lang w:val="en-US" w:eastAsia="zh-CN"/>
        </w:rPr>
        <w:t>根据河南省高级人民法院《关于“对外委托评估拍卖相关问题”的通知》（豫高法【2014】151号）的要求，房地产司法拍卖估价应提供市场价值和变现价值，为司法拍卖房地产提供价值参考依据。</w:t>
      </w:r>
    </w:p>
    <w:p>
      <w:pPr>
        <w:keepNext w:val="0"/>
        <w:keepLines w:val="0"/>
        <w:widowControl w:val="0"/>
        <w:suppressLineNumbers w:val="0"/>
        <w:bidi w:val="0"/>
        <w:spacing w:before="0" w:beforeAutospacing="0" w:after="0" w:afterAutospacing="0" w:line="580" w:lineRule="exact"/>
        <w:ind w:left="0" w:right="0" w:firstLine="566"/>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本次估价按照估价目的和要求进行评估并提供给委托方使用，即为执行拍卖、变现提供价值参考。若改变评估目的及使用条件需向本机构咨询后做出必要的修正甚至重新评估。</w:t>
      </w:r>
    </w:p>
    <w:p>
      <w:pPr>
        <w:keepNext w:val="0"/>
        <w:keepLines w:val="0"/>
        <w:widowControl w:val="0"/>
        <w:suppressLineNumbers w:val="0"/>
        <w:bidi w:val="0"/>
        <w:spacing w:before="0" w:beforeAutospacing="0" w:after="0" w:afterAutospacing="0" w:line="580" w:lineRule="exact"/>
        <w:ind w:left="0" w:right="0" w:firstLine="562"/>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房地产市场价值，是房地产经适当营销后，由熟悉情况，谨慎行事且不受强迫的交易双方，以公平交易方式在价值时点自愿进行交易的金额。</w:t>
      </w:r>
    </w:p>
    <w:p>
      <w:pPr>
        <w:keepNext w:val="0"/>
        <w:keepLines w:val="0"/>
        <w:widowControl w:val="0"/>
        <w:suppressLineNumbers w:val="0"/>
        <w:bidi w:val="0"/>
        <w:spacing w:before="0" w:beforeAutospacing="0" w:after="0" w:afterAutospacing="0" w:line="580" w:lineRule="exact"/>
        <w:ind w:left="0" w:right="0" w:firstLine="562"/>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快速变现价值，是估价对象在没有充足的时间进行营销情况下的价值，往往因要在较短时间内将其卖出而降价销售，因此，快速变现价值通常低于市场价值。</w:t>
      </w:r>
    </w:p>
    <w:p>
      <w:pPr>
        <w:keepNext w:val="0"/>
        <w:keepLines w:val="0"/>
        <w:widowControl w:val="0"/>
        <w:suppressLineNumbers w:val="0"/>
        <w:bidi w:val="0"/>
        <w:spacing w:before="0" w:beforeAutospacing="0" w:after="0" w:afterAutospacing="0" w:line="580" w:lineRule="exact"/>
        <w:ind w:left="0" w:right="0" w:firstLine="562"/>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房地产估价师调查了近几年</w:t>
      </w:r>
      <w:r>
        <w:rPr>
          <w:rFonts w:hint="eastAsia" w:ascii="宋体" w:hAnsi="宋体" w:cs="Times New Roman"/>
          <w:color w:val="000000"/>
          <w:kern w:val="2"/>
          <w:sz w:val="28"/>
          <w:szCs w:val="28"/>
          <w:lang w:val="en-US" w:eastAsia="zh-CN"/>
        </w:rPr>
        <w:t>司法评估</w:t>
      </w:r>
      <w:r>
        <w:rPr>
          <w:rFonts w:hint="eastAsia" w:ascii="宋体" w:hAnsi="宋体" w:eastAsia="宋体" w:cs="Times New Roman"/>
          <w:color w:val="000000"/>
          <w:kern w:val="2"/>
          <w:sz w:val="28"/>
          <w:szCs w:val="28"/>
          <w:lang w:val="en-US" w:eastAsia="zh-CN"/>
        </w:rPr>
        <w:t>拍卖成交结果，成交价格一般为评估价值的90%左右，本次估价快速变现价值取值为市场价值的90%。</w:t>
      </w:r>
    </w:p>
    <w:p>
      <w:pPr>
        <w:keepNext w:val="0"/>
        <w:keepLines w:val="0"/>
        <w:widowControl w:val="0"/>
        <w:suppressLineNumbers w:val="0"/>
        <w:bidi w:val="0"/>
        <w:spacing w:before="0" w:beforeAutospacing="0" w:after="0" w:afterAutospacing="0" w:line="580" w:lineRule="exact"/>
        <w:ind w:left="0" w:right="0" w:firstLine="562"/>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rPr>
        <w:t>2、</w:t>
      </w:r>
      <w:r>
        <w:rPr>
          <w:rFonts w:hint="eastAsia" w:ascii="宋体" w:hAnsi="宋体" w:eastAsia="宋体" w:cs="宋体"/>
          <w:color w:val="000000"/>
          <w:kern w:val="2"/>
          <w:sz w:val="28"/>
          <w:szCs w:val="28"/>
          <w:lang w:val="en-US" w:eastAsia="zh-CN" w:bidi="ar"/>
        </w:rPr>
        <w:t>应当按照法律规定和评估报告载明的用途、使用人、使用期限等使用范围使用评估报告。否则，房地产估价机构和注册房地产估价师依法不承担责任。</w:t>
      </w:r>
    </w:p>
    <w:p>
      <w:pPr>
        <w:spacing w:line="540" w:lineRule="exact"/>
        <w:ind w:firstLine="560"/>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sz w:val="28"/>
          <w:szCs w:val="28"/>
        </w:rPr>
        <w:t>3、</w:t>
      </w:r>
      <w:r>
        <w:rPr>
          <w:rFonts w:hint="eastAsia" w:ascii="宋体" w:hAnsi="宋体" w:eastAsia="宋体" w:cs="宋体"/>
          <w:color w:val="000000"/>
          <w:kern w:val="2"/>
          <w:sz w:val="28"/>
          <w:szCs w:val="28"/>
          <w:lang w:val="en-US" w:eastAsia="zh-CN" w:bidi="ar"/>
        </w:rPr>
        <w:t>评估结果仅为人民法院确定财产处置参考价服务，不是评估对象处置可实现的成交价格，也不应当被视为对评估对象处置成交价格的保证。</w:t>
      </w:r>
    </w:p>
    <w:p>
      <w:pPr>
        <w:spacing w:line="540" w:lineRule="exact"/>
        <w:ind w:firstLine="560"/>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sz w:val="28"/>
          <w:szCs w:val="28"/>
          <w:lang w:val="en-US" w:eastAsia="zh-CN"/>
        </w:rPr>
        <w:t>4、</w:t>
      </w:r>
      <w:r>
        <w:rPr>
          <w:rFonts w:hint="eastAsia" w:ascii="宋体" w:hAnsi="宋体" w:eastAsia="宋体" w:cs="宋体"/>
          <w:color w:val="000000"/>
          <w:kern w:val="2"/>
          <w:sz w:val="28"/>
          <w:szCs w:val="28"/>
          <w:lang w:val="en-US" w:eastAsia="zh-CN" w:bidi="ar"/>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540" w:lineRule="exact"/>
        <w:ind w:firstLine="560"/>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5、</w:t>
      </w:r>
      <w:r>
        <w:rPr>
          <w:rFonts w:hint="eastAsia" w:ascii="宋体" w:hAnsi="宋体" w:eastAsia="宋体" w:cs="Times New Roman"/>
          <w:color w:val="000000"/>
          <w:kern w:val="2"/>
          <w:sz w:val="28"/>
          <w:szCs w:val="28"/>
          <w:lang w:val="en-US" w:eastAsia="zh-CN"/>
        </w:rPr>
        <w:t>估价报告使用期限自估价报告出具之日起为壹年</w:t>
      </w:r>
      <w:r>
        <w:rPr>
          <w:rFonts w:hint="eastAsia" w:ascii="宋体" w:hAnsi="宋体" w:cs="Times New Roman"/>
          <w:color w:val="000000"/>
          <w:kern w:val="2"/>
          <w:sz w:val="28"/>
          <w:szCs w:val="28"/>
          <w:lang w:val="en-US" w:eastAsia="zh-CN"/>
        </w:rPr>
        <w:t>。</w:t>
      </w:r>
      <w:r>
        <w:rPr>
          <w:rFonts w:hint="eastAsia" w:ascii="宋体" w:hAnsi="宋体" w:eastAsia="宋体" w:cs="宋体"/>
          <w:color w:val="000000"/>
          <w:kern w:val="2"/>
          <w:sz w:val="28"/>
          <w:szCs w:val="28"/>
          <w:lang w:val="en-US" w:eastAsia="zh-CN" w:bidi="ar"/>
        </w:rPr>
        <w:t>在评估报告使用期限或者评估结果有效期内，评估报告或者评估结果未使用之前，如果评估对象状况或者房地产市场状况发生明显变化的，评估结果应当进行相应调整后才可使用。</w:t>
      </w:r>
    </w:p>
    <w:p>
      <w:pPr>
        <w:spacing w:line="540" w:lineRule="exact"/>
        <w:ind w:firstLine="560"/>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6、当事人、利害关系人收到评估报告后五日内可对评估报告的参照标准、计算方法或者评估结果等向人民法院提出书面异议</w:t>
      </w:r>
      <w:r>
        <w:rPr>
          <w:rFonts w:hint="eastAsia" w:ascii="宋体" w:hAnsi="宋体" w:cs="宋体"/>
          <w:color w:val="000000"/>
          <w:kern w:val="2"/>
          <w:sz w:val="28"/>
          <w:szCs w:val="28"/>
          <w:lang w:val="en-US" w:eastAsia="zh-CN" w:bidi="ar"/>
        </w:rPr>
        <w:t>。</w:t>
      </w:r>
    </w:p>
    <w:p>
      <w:pPr>
        <w:spacing w:line="540" w:lineRule="exact"/>
        <w:ind w:firstLine="560"/>
        <w:rPr>
          <w:rFonts w:hint="eastAsia" w:ascii="宋体" w:hAnsi="宋体" w:eastAsia="宋体" w:cs="宋体"/>
          <w:color w:val="auto"/>
          <w:sz w:val="28"/>
          <w:szCs w:val="28"/>
        </w:rPr>
      </w:pPr>
      <w:r>
        <w:rPr>
          <w:rFonts w:hint="eastAsia" w:ascii="宋体" w:hAnsi="宋体" w:eastAsia="宋体" w:cs="宋体"/>
          <w:color w:val="000000"/>
          <w:kern w:val="2"/>
          <w:sz w:val="28"/>
          <w:szCs w:val="28"/>
          <w:lang w:val="en-US" w:eastAsia="zh-CN" w:bidi="ar"/>
        </w:rPr>
        <w:t>7、</w:t>
      </w:r>
      <w:r>
        <w:rPr>
          <w:rFonts w:hint="eastAsia" w:ascii="宋体" w:hAnsi="宋体" w:eastAsia="宋体" w:cs="宋体"/>
          <w:color w:val="000000"/>
          <w:sz w:val="28"/>
          <w:szCs w:val="28"/>
        </w:rPr>
        <w:t>在资产拍卖与产权办理过程中，所涉及的买卖双方所需承担的一切税、费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包括但不限于所得税、增值税、土地增值税、契税、过户手续</w:t>
      </w:r>
      <w:r>
        <w:rPr>
          <w:rFonts w:hint="eastAsia" w:ascii="宋体" w:hAnsi="宋体" w:eastAsia="宋体" w:cs="宋体"/>
          <w:color w:val="000000"/>
          <w:sz w:val="28"/>
          <w:szCs w:val="28"/>
          <w:lang w:val="en-US" w:eastAsia="zh-CN"/>
        </w:rPr>
        <w:t>等</w:t>
      </w:r>
      <w:r>
        <w:rPr>
          <w:rFonts w:hint="eastAsia" w:ascii="宋体" w:hAnsi="宋体" w:eastAsia="宋体" w:cs="宋体"/>
          <w:color w:val="000000"/>
          <w:sz w:val="28"/>
          <w:szCs w:val="28"/>
        </w:rPr>
        <w:t>房产土地交易中规定缴纳的各种费用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，以及有可能存在的物业费、水费、电费等</w:t>
      </w:r>
      <w:r>
        <w:rPr>
          <w:rFonts w:hint="eastAsia" w:ascii="宋体" w:hAnsi="宋体" w:eastAsia="宋体" w:cs="宋体"/>
          <w:color w:val="auto"/>
          <w:sz w:val="28"/>
          <w:szCs w:val="28"/>
        </w:rPr>
        <w:t>欠费均由</w:t>
      </w:r>
      <w:r>
        <w:rPr>
          <w:rFonts w:hint="eastAsia" w:ascii="宋体" w:hAnsi="宋体" w:eastAsia="宋体" w:cs="宋体"/>
          <w:color w:val="auto"/>
          <w:sz w:val="28"/>
          <w:szCs w:val="28"/>
          <w:lang w:val="en-US" w:eastAsia="zh-CN"/>
        </w:rPr>
        <w:t>转让人和买受人双方根据相关规定各自</w:t>
      </w:r>
      <w:r>
        <w:rPr>
          <w:rFonts w:hint="eastAsia" w:ascii="宋体" w:hAnsi="宋体" w:eastAsia="宋体" w:cs="宋体"/>
          <w:color w:val="auto"/>
          <w:sz w:val="28"/>
          <w:szCs w:val="28"/>
        </w:rPr>
        <w:t>承担，具体费用请拍卖竞买人于拍卖前至相关单位自行查询，与评估机构、委托人、拍卖人无关。</w:t>
      </w:r>
    </w:p>
    <w:p>
      <w:pPr>
        <w:spacing w:line="540" w:lineRule="exact"/>
        <w:ind w:firstLine="56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估价对象为涉执待处置房地产，本次评估已关注并恰当考虑评估对象被迫转让对评估结果的不利影响，但处置后被执行人是否配合交付因素对评估结果的不利影响无法量化，因此未考虑处置后被执行人不自愿配合交付因素对评估结果的不利影响。</w:t>
      </w:r>
    </w:p>
    <w:p>
      <w:pPr>
        <w:spacing w:line="540" w:lineRule="exact"/>
        <w:ind w:firstLine="560"/>
        <w:rPr>
          <w:rFonts w:hint="eastAsia" w:ascii="宋体" w:hAnsi="宋体" w:eastAsia="宋体" w:cs="宋体"/>
          <w:color w:val="000000"/>
          <w:kern w:val="2"/>
          <w:sz w:val="28"/>
          <w:szCs w:val="28"/>
          <w:lang w:val="en-US" w:eastAsia="zh-CN" w:bidi="ar"/>
        </w:rPr>
      </w:pPr>
      <w:r>
        <w:rPr>
          <w:rFonts w:hint="eastAsia" w:ascii="宋体" w:hAnsi="宋体" w:eastAsia="宋体" w:cs="宋体"/>
          <w:color w:val="000000"/>
          <w:sz w:val="28"/>
          <w:szCs w:val="28"/>
          <w:lang w:val="en-US" w:eastAsia="zh-CN"/>
        </w:rPr>
        <w:t>9、</w:t>
      </w:r>
      <w:r>
        <w:rPr>
          <w:rFonts w:hint="eastAsia" w:ascii="宋体" w:hAnsi="宋体" w:eastAsia="宋体" w:cs="宋体"/>
          <w:color w:val="000000"/>
          <w:kern w:val="2"/>
          <w:sz w:val="28"/>
          <w:szCs w:val="28"/>
          <w:lang w:val="en-US" w:eastAsia="zh-CN" w:bidi="ar"/>
        </w:rPr>
        <w:t>报告使用人在使用本报告之前须对报告全文认真阅读，以免使用不当，造成损失！估价的详细结果及有关说明，请见《估价结果报告》等。</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p>
    <w:p>
      <w:pPr>
        <w:keepNext w:val="0"/>
        <w:keepLines w:val="0"/>
        <w:widowControl w:val="0"/>
        <w:suppressLineNumbers w:val="0"/>
        <w:bidi w:val="0"/>
        <w:spacing w:before="0" w:beforeAutospacing="0" w:after="0" w:afterAutospacing="0" w:line="540" w:lineRule="exact"/>
        <w:ind w:left="0" w:right="0" w:firstLine="697"/>
        <w:jc w:val="both"/>
        <w:rPr>
          <w:rFonts w:hAnsi="宋体"/>
          <w:sz w:val="28"/>
          <w:szCs w:val="28"/>
          <w:lang w:val="en-US"/>
        </w:rPr>
      </w:pPr>
      <w:r>
        <w:rPr>
          <w:rFonts w:hint="eastAsia" w:ascii="宋体" w:hAnsi="Times New Roman" w:eastAsia="宋体" w:cs="Times New Roman"/>
          <w:kern w:val="2"/>
          <w:sz w:val="21"/>
          <w:szCs w:val="22"/>
          <w:lang w:val="en-US" w:eastAsia="zh-CN"/>
        </w:rPr>
        <w:drawing>
          <wp:anchor distT="0" distB="0" distL="114300" distR="114300" simplePos="0" relativeHeight="251659264" behindDoc="0" locked="0" layoutInCell="1" allowOverlap="1">
            <wp:simplePos x="0" y="0"/>
            <wp:positionH relativeFrom="column">
              <wp:posOffset>4325620</wp:posOffset>
            </wp:positionH>
            <wp:positionV relativeFrom="paragraph">
              <wp:posOffset>255905</wp:posOffset>
            </wp:positionV>
            <wp:extent cx="1703070" cy="1010285"/>
            <wp:effectExtent l="0" t="0" r="11430" b="18415"/>
            <wp:wrapNone/>
            <wp:docPr id="5" name="图片 2"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1111"/>
                    <pic:cNvPicPr>
                      <a:picLocks noChangeAspect="1"/>
                    </pic:cNvPicPr>
                  </pic:nvPicPr>
                  <pic:blipFill>
                    <a:blip r:embed="rId16"/>
                    <a:stretch>
                      <a:fillRect/>
                    </a:stretch>
                  </pic:blipFill>
                  <pic:spPr>
                    <a:xfrm>
                      <a:off x="0" y="0"/>
                      <a:ext cx="1703070" cy="1010285"/>
                    </a:xfrm>
                    <a:prstGeom prst="rect">
                      <a:avLst/>
                    </a:prstGeom>
                    <a:noFill/>
                    <a:ln>
                      <a:noFill/>
                    </a:ln>
                  </pic:spPr>
                </pic:pic>
              </a:graphicData>
            </a:graphic>
          </wp:anchor>
        </w:drawing>
      </w:r>
      <w:r>
        <w:rPr>
          <w:rFonts w:hint="eastAsia" w:ascii="宋体" w:hAnsi="宋体" w:eastAsia="宋体" w:cs="Times New Roman"/>
          <w:kern w:val="2"/>
          <w:sz w:val="28"/>
          <w:szCs w:val="28"/>
          <w:lang w:val="en-US" w:eastAsia="zh-CN"/>
        </w:rPr>
        <w:t xml:space="preserve">                          河南凯业房地产估价咨询有限公司</w:t>
      </w:r>
    </w:p>
    <w:p>
      <w:pPr>
        <w:keepNext w:val="0"/>
        <w:keepLines w:val="0"/>
        <w:widowControl w:val="0"/>
        <w:suppressLineNumbers w:val="0"/>
        <w:bidi w:val="0"/>
        <w:spacing w:before="0" w:beforeAutospacing="0" w:after="0" w:afterAutospacing="0" w:line="540" w:lineRule="exact"/>
        <w:ind w:left="0" w:right="0"/>
        <w:jc w:val="both"/>
        <w:rPr>
          <w:rFonts w:hAnsi="宋体"/>
          <w:sz w:val="28"/>
          <w:szCs w:val="22"/>
          <w:lang w:val="en-US"/>
        </w:rPr>
      </w:pPr>
      <w:r>
        <w:rPr>
          <w:rFonts w:hint="eastAsia" w:ascii="宋体" w:hAnsi="宋体" w:eastAsia="宋体" w:cs="Times New Roman"/>
          <w:kern w:val="2"/>
          <w:sz w:val="28"/>
          <w:szCs w:val="28"/>
          <w:lang w:val="en-US" w:eastAsia="zh-CN"/>
        </w:rPr>
        <w:t>　　     　　　　                     法定代表人：</w:t>
      </w:r>
    </w:p>
    <w:p>
      <w:pPr>
        <w:keepNext w:val="0"/>
        <w:keepLines w:val="0"/>
        <w:widowControl w:val="0"/>
        <w:suppressLineNumbers w:val="0"/>
        <w:bidi w:val="0"/>
        <w:spacing w:before="0" w:beforeAutospacing="0" w:after="0" w:afterAutospacing="0" w:line="540" w:lineRule="exact"/>
        <w:ind w:left="0" w:right="0"/>
        <w:jc w:val="both"/>
        <w:rPr>
          <w:rFonts w:hAnsi="宋体"/>
          <w:sz w:val="28"/>
          <w:szCs w:val="22"/>
          <w:lang w:val="en-US"/>
        </w:rPr>
      </w:pPr>
      <w:r>
        <w:rPr>
          <w:rFonts w:hint="eastAsia" w:ascii="宋体" w:hAnsi="宋体" w:eastAsia="宋体" w:cs="Times New Roman"/>
          <w:kern w:val="2"/>
          <w:sz w:val="28"/>
          <w:szCs w:val="22"/>
          <w:lang w:val="en-US" w:eastAsia="zh-CN"/>
        </w:rPr>
        <w:t xml:space="preserve">                                      </w:t>
      </w:r>
      <w:r>
        <w:rPr>
          <w:rFonts w:hint="eastAsia" w:ascii="宋体" w:hAnsi="宋体" w:cs="Times New Roman"/>
          <w:kern w:val="2"/>
          <w:sz w:val="28"/>
          <w:szCs w:val="22"/>
          <w:lang w:val="en-US" w:eastAsia="zh-CN"/>
        </w:rPr>
        <w:t xml:space="preserve">    2022年07月08日</w:t>
      </w:r>
    </w:p>
    <w:p>
      <w:pPr>
        <w:keepNext w:val="0"/>
        <w:keepLines w:val="0"/>
        <w:widowControl/>
        <w:suppressLineNumbers w:val="0"/>
        <w:bidi w:val="0"/>
        <w:spacing w:before="0" w:beforeAutospacing="0" w:after="0" w:afterAutospacing="0" w:line="600" w:lineRule="exact"/>
        <w:ind w:left="0" w:right="0"/>
        <w:jc w:val="both"/>
        <w:rPr>
          <w:rFonts w:hAnsi="宋体" w:cs="宋体"/>
          <w:b/>
          <w:color w:val="000000"/>
          <w:kern w:val="0"/>
          <w:sz w:val="44"/>
          <w:szCs w:val="44"/>
          <w:lang w:val="en-US"/>
        </w:rPr>
      </w:pPr>
    </w:p>
    <w:p>
      <w:pPr>
        <w:keepNext w:val="0"/>
        <w:keepLines w:val="0"/>
        <w:widowControl/>
        <w:suppressLineNumbers w:val="0"/>
        <w:bidi w:val="0"/>
        <w:spacing w:before="0" w:beforeAutospacing="0" w:after="0" w:afterAutospacing="0" w:line="600" w:lineRule="exact"/>
        <w:ind w:left="0" w:right="0"/>
        <w:jc w:val="center"/>
        <w:rPr>
          <w:rFonts w:hint="eastAsia" w:ascii="宋体" w:hAnsi="宋体" w:eastAsia="宋体" w:cs="宋体"/>
          <w:b/>
          <w:color w:val="000000"/>
          <w:kern w:val="0"/>
          <w:sz w:val="44"/>
          <w:szCs w:val="44"/>
          <w:lang w:val="en-US" w:eastAsia="zh-CN"/>
        </w:rPr>
        <w:sectPr>
          <w:headerReference r:id="rId7" w:type="first"/>
          <w:headerReference r:id="rId6" w:type="default"/>
          <w:footerReference r:id="rId8" w:type="default"/>
          <w:pgSz w:w="11906" w:h="16838"/>
          <w:pgMar w:top="1702" w:right="1106" w:bottom="1135" w:left="1106" w:header="907" w:footer="737" w:gutter="510"/>
          <w:pgNumType w:fmt="numberInDash" w:start="1"/>
          <w:cols w:space="720" w:num="1"/>
          <w:titlePg/>
          <w:docGrid w:type="lines" w:linePitch="312" w:charSpace="0"/>
        </w:sectPr>
      </w:pPr>
    </w:p>
    <w:p>
      <w:pPr>
        <w:keepNext w:val="0"/>
        <w:keepLines w:val="0"/>
        <w:widowControl/>
        <w:suppressLineNumbers w:val="0"/>
        <w:bidi w:val="0"/>
        <w:spacing w:before="0" w:beforeAutospacing="0" w:after="0" w:afterAutospacing="0" w:line="600" w:lineRule="exact"/>
        <w:ind w:left="0" w:right="0"/>
        <w:jc w:val="center"/>
        <w:rPr>
          <w:rFonts w:hAnsi="宋体" w:cs="宋体"/>
          <w:color w:val="000000"/>
          <w:kern w:val="0"/>
          <w:sz w:val="44"/>
          <w:szCs w:val="44"/>
          <w:lang w:val="en-US"/>
        </w:rPr>
      </w:pPr>
      <w:r>
        <w:rPr>
          <w:rFonts w:hint="eastAsia" w:ascii="宋体" w:hAnsi="宋体" w:eastAsia="宋体" w:cs="宋体"/>
          <w:b/>
          <w:color w:val="000000"/>
          <w:kern w:val="0"/>
          <w:sz w:val="44"/>
          <w:szCs w:val="44"/>
          <w:lang w:val="en-US" w:eastAsia="zh-CN"/>
        </w:rPr>
        <w:t>目   录</w:t>
      </w:r>
    </w:p>
    <w:p>
      <w:pPr>
        <w:keepNext w:val="0"/>
        <w:keepLines w:val="0"/>
        <w:widowControl/>
        <w:suppressLineNumbers w:val="0"/>
        <w:bidi w:val="0"/>
        <w:spacing w:before="0" w:beforeAutospacing="0" w:after="0" w:afterAutospacing="0" w:line="620" w:lineRule="exact"/>
        <w:ind w:left="0" w:right="0" w:firstLine="240"/>
        <w:jc w:val="both"/>
        <w:rPr>
          <w:rFonts w:hAnsi="宋体" w:cs="宋体"/>
          <w:color w:val="000000"/>
          <w:kern w:val="0"/>
          <w:sz w:val="24"/>
          <w:szCs w:val="24"/>
          <w:lang w:val="en-US"/>
        </w:rPr>
      </w:pPr>
      <w:r>
        <w:rPr>
          <w:rFonts w:hint="eastAsia" w:ascii="宋体" w:hAnsi="宋体" w:eastAsia="宋体" w:cs="宋体"/>
          <w:color w:val="000000"/>
          <w:kern w:val="0"/>
          <w:sz w:val="24"/>
          <w:szCs w:val="24"/>
          <w:lang w:val="en-US" w:eastAsia="zh-CN"/>
        </w:rPr>
        <w:t>一、</w:t>
      </w:r>
      <w:r>
        <w:rPr>
          <w:rFonts w:hint="eastAsia" w:ascii="宋体" w:hAnsi="宋体" w:eastAsia="宋体" w:cs="宋体"/>
          <w:b/>
          <w:color w:val="000000"/>
          <w:kern w:val="0"/>
          <w:sz w:val="24"/>
          <w:szCs w:val="24"/>
          <w:lang w:val="en-US" w:eastAsia="zh-CN"/>
        </w:rPr>
        <w:t xml:space="preserve">估价师声明 </w:t>
      </w:r>
      <w:r>
        <w:rPr>
          <w:rFonts w:hint="eastAsia" w:ascii="宋体" w:hAnsi="宋体" w:eastAsia="宋体" w:cs="宋体"/>
          <w:color w:val="000000"/>
          <w:kern w:val="0"/>
          <w:sz w:val="24"/>
          <w:szCs w:val="24"/>
          <w:lang w:val="en-US" w:eastAsia="zh-CN"/>
        </w:rPr>
        <w:t>…………………………………………………………………1</w:t>
      </w:r>
    </w:p>
    <w:p>
      <w:pPr>
        <w:keepNext w:val="0"/>
        <w:keepLines w:val="0"/>
        <w:widowControl/>
        <w:suppressLineNumbers w:val="0"/>
        <w:bidi w:val="0"/>
        <w:spacing w:before="0" w:beforeAutospacing="0" w:after="0" w:afterAutospacing="0" w:line="620" w:lineRule="exact"/>
        <w:ind w:left="0" w:right="0" w:firstLine="240"/>
        <w:jc w:val="both"/>
        <w:rPr>
          <w:rFonts w:hAnsi="宋体" w:cs="宋体"/>
          <w:color w:val="000000"/>
          <w:kern w:val="0"/>
          <w:sz w:val="24"/>
          <w:szCs w:val="24"/>
          <w:lang w:val="en-US"/>
        </w:rPr>
      </w:pPr>
      <w:r>
        <w:rPr>
          <w:rFonts w:hint="eastAsia" w:ascii="宋体" w:hAnsi="宋体" w:eastAsia="宋体" w:cs="宋体"/>
          <w:color w:val="000000"/>
          <w:kern w:val="0"/>
          <w:sz w:val="24"/>
          <w:szCs w:val="24"/>
          <w:lang w:val="en-US" w:eastAsia="zh-CN"/>
        </w:rPr>
        <w:t>二、</w:t>
      </w:r>
      <w:r>
        <w:rPr>
          <w:rFonts w:hint="eastAsia" w:ascii="宋体" w:hAnsi="宋体" w:eastAsia="宋体" w:cs="宋体"/>
          <w:b/>
          <w:color w:val="000000"/>
          <w:kern w:val="0"/>
          <w:sz w:val="24"/>
          <w:szCs w:val="24"/>
          <w:lang w:val="en-US" w:eastAsia="zh-CN"/>
        </w:rPr>
        <w:t xml:space="preserve">估价假设和限制条件 </w:t>
      </w:r>
      <w:r>
        <w:rPr>
          <w:rFonts w:hint="eastAsia" w:ascii="宋体" w:hAnsi="宋体" w:eastAsia="宋体" w:cs="宋体"/>
          <w:color w:val="000000"/>
          <w:kern w:val="0"/>
          <w:sz w:val="24"/>
          <w:szCs w:val="24"/>
          <w:lang w:val="en-US" w:eastAsia="zh-CN"/>
        </w:rPr>
        <w:t>………………………………………………………3</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eastAsia="宋体" w:cs="宋体"/>
          <w:color w:val="000000"/>
          <w:kern w:val="0"/>
          <w:sz w:val="24"/>
          <w:szCs w:val="24"/>
          <w:lang w:val="en-US" w:eastAsia="zh-CN"/>
        </w:rPr>
        <w:t>三、</w:t>
      </w:r>
      <w:r>
        <w:rPr>
          <w:rFonts w:hint="eastAsia" w:ascii="宋体" w:hAnsi="宋体" w:eastAsia="宋体" w:cs="宋体"/>
          <w:b/>
          <w:color w:val="000000"/>
          <w:kern w:val="0"/>
          <w:sz w:val="24"/>
          <w:szCs w:val="24"/>
          <w:lang w:val="en-US" w:eastAsia="zh-CN"/>
        </w:rPr>
        <w:t xml:space="preserve">估价结果报告 </w:t>
      </w:r>
      <w:r>
        <w:rPr>
          <w:rFonts w:hint="eastAsia" w:ascii="宋体" w:hAnsi="宋体" w:eastAsia="宋体" w:cs="宋体"/>
          <w:color w:val="000000"/>
          <w:kern w:val="0"/>
          <w:sz w:val="24"/>
          <w:szCs w:val="24"/>
          <w:lang w:val="en-US" w:eastAsia="zh-CN"/>
        </w:rPr>
        <w:t>………………………………………………………………</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一</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估价委托人 …………………………………………………………………</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二</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房地产估价机构 ……………………………………………………………</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三</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估价目的 ……………………………………………………………………</w:t>
      </w:r>
      <w:r>
        <w:rPr>
          <w:rFonts w:hint="eastAsia" w:ascii="宋体" w:hAnsi="宋体" w:cs="宋体"/>
          <w:color w:val="000000"/>
          <w:kern w:val="0"/>
          <w:sz w:val="24"/>
          <w:szCs w:val="24"/>
          <w:lang w:val="en-US" w:eastAsia="zh-CN"/>
        </w:rPr>
        <w:t>8</w:t>
      </w:r>
    </w:p>
    <w:p>
      <w:pPr>
        <w:keepNext w:val="0"/>
        <w:keepLines w:val="0"/>
        <w:widowControl/>
        <w:suppressLineNumbers w:val="0"/>
        <w:tabs>
          <w:tab w:val="left" w:pos="1680"/>
        </w:tabs>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四</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估价对象 ……………………………………………………………………</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五</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价值时点 ……………………………………………………………………</w:t>
      </w:r>
      <w:r>
        <w:rPr>
          <w:rFonts w:hint="eastAsia" w:ascii="宋体" w:hAnsi="宋体" w:cs="宋体"/>
          <w:color w:val="000000"/>
          <w:kern w:val="0"/>
          <w:sz w:val="24"/>
          <w:szCs w:val="24"/>
          <w:lang w:val="en-US" w:eastAsia="zh-CN"/>
        </w:rPr>
        <w:t>11</w:t>
      </w:r>
    </w:p>
    <w:p>
      <w:pPr>
        <w:keepNext w:val="0"/>
        <w:keepLines w:val="0"/>
        <w:widowControl/>
        <w:suppressLineNumbers w:val="0"/>
        <w:bidi w:val="0"/>
        <w:spacing w:before="0" w:beforeAutospacing="0" w:after="0" w:afterAutospacing="0" w:line="620" w:lineRule="exact"/>
        <w:ind w:left="1"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六</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价值类型 ……………………………………………………………………</w:t>
      </w:r>
      <w:r>
        <w:rPr>
          <w:rFonts w:hint="eastAsia" w:ascii="宋体" w:hAnsi="宋体" w:cs="宋体"/>
          <w:color w:val="000000"/>
          <w:kern w:val="0"/>
          <w:sz w:val="24"/>
          <w:szCs w:val="24"/>
          <w:lang w:val="en-US" w:eastAsia="zh-CN"/>
        </w:rPr>
        <w:t>11</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七</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估价原则 ……………………………………………………………………</w:t>
      </w:r>
      <w:r>
        <w:rPr>
          <w:rFonts w:hint="eastAsia" w:ascii="宋体" w:hAnsi="宋体" w:cs="宋体"/>
          <w:color w:val="000000"/>
          <w:kern w:val="0"/>
          <w:sz w:val="24"/>
          <w:szCs w:val="24"/>
          <w:lang w:val="en-US" w:eastAsia="zh-CN"/>
        </w:rPr>
        <w:t>12</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八</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估价依据 ……………………………………………………………………1</w:t>
      </w:r>
      <w:r>
        <w:rPr>
          <w:rFonts w:hint="eastAsia" w:ascii="宋体" w:hAnsi="宋体" w:cs="宋体"/>
          <w:color w:val="000000"/>
          <w:kern w:val="0"/>
          <w:sz w:val="24"/>
          <w:szCs w:val="24"/>
          <w:lang w:val="en-US" w:eastAsia="zh-CN"/>
        </w:rPr>
        <w:t>3</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九</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估价方法 ……………………………………………………………………1</w:t>
      </w:r>
      <w:r>
        <w:rPr>
          <w:rFonts w:hint="eastAsia" w:ascii="宋体" w:hAnsi="宋体" w:cs="宋体"/>
          <w:color w:val="000000"/>
          <w:kern w:val="0"/>
          <w:sz w:val="24"/>
          <w:szCs w:val="24"/>
          <w:lang w:val="en-US" w:eastAsia="zh-CN"/>
        </w:rPr>
        <w:t>5</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估价结果 ……………………………………………………………………1</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十一</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注册房地产估价师 ………………………………………………………1</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十二</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实地查勘期 ………………………………………………………………1</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十三</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估价作业期 ………………………………………………………………1</w:t>
      </w:r>
      <w:r>
        <w:rPr>
          <w:rFonts w:hint="eastAsia" w:ascii="宋体" w:hAnsi="宋体" w:cs="宋体"/>
          <w:color w:val="000000"/>
          <w:kern w:val="0"/>
          <w:sz w:val="24"/>
          <w:szCs w:val="24"/>
          <w:lang w:val="en-US" w:eastAsia="zh-CN"/>
        </w:rPr>
        <w:t>8</w:t>
      </w:r>
    </w:p>
    <w:p>
      <w:pPr>
        <w:keepNext w:val="0"/>
        <w:keepLines w:val="0"/>
        <w:widowControl/>
        <w:suppressLineNumbers w:val="0"/>
        <w:bidi w:val="0"/>
        <w:spacing w:before="0" w:beforeAutospacing="0" w:after="0" w:afterAutospacing="0" w:line="620" w:lineRule="exact"/>
        <w:ind w:left="0" w:leftChars="0" w:right="0" w:firstLine="219" w:firstLineChars="91"/>
        <w:jc w:val="both"/>
        <w:rPr>
          <w:rFonts w:hint="default"/>
          <w:sz w:val="24"/>
          <w:szCs w:val="24"/>
          <w:lang w:val="en-US"/>
        </w:rPr>
      </w:pPr>
      <w:r>
        <w:rPr>
          <w:rFonts w:hint="eastAsia" w:ascii="宋体" w:hAnsi="宋体" w:eastAsia="宋体" w:cs="宋体"/>
          <w:b/>
          <w:color w:val="000000"/>
          <w:kern w:val="0"/>
          <w:sz w:val="24"/>
          <w:szCs w:val="24"/>
          <w:lang w:val="en-US" w:eastAsia="zh-CN"/>
        </w:rPr>
        <w:t>四、附件</w:t>
      </w:r>
      <w:r>
        <w:rPr>
          <w:rFonts w:hint="eastAsia" w:ascii="宋体" w:hAnsi="宋体" w:cs="宋体"/>
          <w:b/>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…………………………………………………………………………1</w:t>
      </w:r>
      <w:r>
        <w:rPr>
          <w:rFonts w:hint="eastAsia" w:ascii="宋体" w:hAnsi="宋体" w:cs="宋体"/>
          <w:color w:val="000000"/>
          <w:kern w:val="0"/>
          <w:sz w:val="24"/>
          <w:szCs w:val="24"/>
          <w:lang w:val="en-US" w:eastAsia="zh-CN"/>
        </w:rPr>
        <w:t>9</w:t>
      </w:r>
    </w:p>
    <w:p>
      <w:pPr>
        <w:bidi w:val="0"/>
        <w:rPr>
          <w:rFonts w:hint="eastAsia" w:ascii="宋体" w:hAnsi="Times New Roman" w:eastAsia="宋体" w:cs="Times New Roman"/>
          <w:kern w:val="2"/>
          <w:sz w:val="24"/>
          <w:szCs w:val="24"/>
          <w:lang w:val="en-US" w:eastAsia="zh-CN"/>
        </w:rPr>
        <w:sectPr>
          <w:headerReference r:id="rId9" w:type="first"/>
          <w:footerReference r:id="rId11" w:type="first"/>
          <w:footerReference r:id="rId10" w:type="default"/>
          <w:pgSz w:w="11906" w:h="16838"/>
          <w:pgMar w:top="1702" w:right="1106" w:bottom="1135" w:left="1106" w:header="907" w:footer="737" w:gutter="510"/>
          <w:pgNumType w:fmt="numberInDash" w:start="1"/>
          <w:cols w:space="720" w:num="1"/>
          <w:titlePg/>
          <w:docGrid w:type="lines" w:linePitch="312" w:charSpace="0"/>
        </w:sectPr>
      </w:pPr>
    </w:p>
    <w:p>
      <w:pPr>
        <w:keepNext w:val="0"/>
        <w:keepLines w:val="0"/>
        <w:widowControl/>
        <w:suppressLineNumbers w:val="0"/>
        <w:bidi w:val="0"/>
        <w:spacing w:before="0" w:beforeAutospacing="0" w:after="0" w:afterAutospacing="0" w:line="580" w:lineRule="exact"/>
        <w:ind w:left="0" w:right="0" w:firstLine="2182"/>
        <w:jc w:val="both"/>
        <w:rPr>
          <w:rFonts w:hAnsi="宋体" w:cs="宋体"/>
          <w:b/>
          <w:bCs w:val="0"/>
          <w:kern w:val="0"/>
          <w:sz w:val="44"/>
          <w:szCs w:val="44"/>
          <w:lang w:val="en-US"/>
        </w:rPr>
      </w:pPr>
      <w:r>
        <w:rPr>
          <w:rFonts w:hint="eastAsia" w:ascii="宋体" w:hAnsi="宋体" w:eastAsia="宋体" w:cs="宋体"/>
          <w:b/>
          <w:kern w:val="0"/>
          <w:sz w:val="44"/>
          <w:szCs w:val="44"/>
          <w:lang w:val="en-US" w:eastAsia="zh-CN"/>
        </w:rPr>
        <w:t>一、估价师声明</w:t>
      </w:r>
    </w:p>
    <w:p>
      <w:pPr>
        <w:keepNext w:val="0"/>
        <w:keepLines w:val="0"/>
        <w:widowControl/>
        <w:suppressLineNumbers w:val="0"/>
        <w:bidi w:val="0"/>
        <w:spacing w:before="0" w:beforeAutospacing="0" w:after="0" w:afterAutospacing="0" w:line="580" w:lineRule="exact"/>
        <w:ind w:left="0" w:right="0"/>
        <w:jc w:val="both"/>
        <w:rPr>
          <w:rFonts w:hAnsi="宋体" w:cs="宋体"/>
          <w:kern w:val="0"/>
          <w:sz w:val="32"/>
          <w:szCs w:val="21"/>
          <w:lang w:val="en-US"/>
        </w:rPr>
      </w:pPr>
      <w:r>
        <w:rPr>
          <w:rFonts w:hint="eastAsia" w:ascii="宋体" w:hAnsi="宋体" w:eastAsia="宋体" w:cs="Times New Roman"/>
          <w:b/>
          <w:bCs w:val="0"/>
          <w:kern w:val="2"/>
          <w:sz w:val="28"/>
          <w:szCs w:val="28"/>
          <w:lang w:val="en-US" w:eastAsia="zh-CN"/>
        </w:rPr>
        <w:t>我们根据自己的专业知识和职业道德，在此郑重声明</w:t>
      </w:r>
      <w:r>
        <w:rPr>
          <w:rFonts w:hint="eastAsia" w:ascii="宋体" w:hAnsi="宋体" w:eastAsia="宋体" w:cs="宋体"/>
          <w:b/>
          <w:kern w:val="0"/>
          <w:sz w:val="32"/>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(一)我们在估价报告中陈述的事实是真实的和准确的，没有虚假记载、误导性陈述和重大遗漏；</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(二)估价报告中的分析、意见和结论是我们独立、客观、公正的专业分析、意见和结论，但受到本估价报告中已说明的估价假设和限制条件的限制；</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(三)我们与估价报告中的估价对象没有现实或潜在的利益，与估价委托人及估价利害关系人没有利害关系，也对估价对象、估价委托人及估价利害关系人没有偏见；</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(四)</w:t>
      </w:r>
      <w:r>
        <w:rPr>
          <w:rFonts w:hint="eastAsia" w:hAnsi="宋体" w:cs="宋体"/>
          <w:color w:val="auto"/>
          <w:kern w:val="0"/>
          <w:sz w:val="28"/>
          <w:szCs w:val="28"/>
          <w:highlight w:val="none"/>
        </w:rPr>
        <w:t>我们依照</w:t>
      </w:r>
      <w:r>
        <w:rPr>
          <w:rFonts w:hint="eastAsia" w:hAnsi="宋体"/>
          <w:color w:val="auto"/>
          <w:sz w:val="28"/>
          <w:szCs w:val="28"/>
          <w:highlight w:val="none"/>
        </w:rPr>
        <w:t>中华人民共和国主席令第四十六号</w:t>
      </w:r>
      <w:r>
        <w:rPr>
          <w:rFonts w:ascii="Times New Roman"/>
          <w:color w:val="auto"/>
          <w:sz w:val="28"/>
          <w:szCs w:val="28"/>
          <w:highlight w:val="none"/>
        </w:rPr>
        <w:t>《资产评估法》</w:t>
      </w:r>
      <w:r>
        <w:rPr>
          <w:rFonts w:hint="eastAsia" w:hAnsi="宋体" w:cs="宋体"/>
          <w:color w:val="auto"/>
          <w:sz w:val="28"/>
          <w:highlight w:val="none"/>
        </w:rPr>
        <w:t>、</w:t>
      </w:r>
      <w:r>
        <w:rPr>
          <w:rFonts w:hint="eastAsia" w:hAnsi="宋体" w:cs="宋体"/>
          <w:color w:val="auto"/>
          <w:kern w:val="0"/>
          <w:sz w:val="28"/>
          <w:szCs w:val="28"/>
          <w:highlight w:val="none"/>
        </w:rPr>
        <w:t>中华人民共和国国家标准</w:t>
      </w:r>
      <w:bookmarkStart w:id="0" w:name="OLE_LINK48"/>
      <w:r>
        <w:rPr>
          <w:rFonts w:hint="eastAsia" w:hAnsi="宋体" w:cs="宋体"/>
          <w:color w:val="auto"/>
          <w:kern w:val="0"/>
          <w:sz w:val="28"/>
          <w:szCs w:val="28"/>
          <w:highlight w:val="none"/>
        </w:rPr>
        <w:t>GB/T 50291-2015</w:t>
      </w:r>
      <w:bookmarkEnd w:id="0"/>
      <w:r>
        <w:rPr>
          <w:rFonts w:hint="eastAsia" w:hAnsi="宋体" w:cs="宋体"/>
          <w:color w:val="auto"/>
          <w:kern w:val="0"/>
          <w:sz w:val="28"/>
          <w:szCs w:val="28"/>
          <w:highlight w:val="none"/>
        </w:rPr>
        <w:t>《房地产估价规范》、GB/T 50899-2013《房地产估价基本术语标准》、</w:t>
      </w:r>
      <w:r>
        <w:rPr>
          <w:rFonts w:hint="eastAsia" w:hAnsi="宋体" w:cs="宋体"/>
          <w:color w:val="auto"/>
          <w:sz w:val="28"/>
          <w:highlight w:val="none"/>
        </w:rPr>
        <w:t>《</w:t>
      </w:r>
      <w:r>
        <w:rPr>
          <w:rFonts w:hAnsi="宋体"/>
          <w:bCs/>
          <w:color w:val="auto"/>
          <w:sz w:val="28"/>
          <w:szCs w:val="28"/>
          <w:highlight w:val="none"/>
        </w:rPr>
        <w:t>河南省房地产估价技术指引</w:t>
      </w:r>
      <w:r>
        <w:rPr>
          <w:rFonts w:hint="eastAsia" w:hAnsi="宋体" w:cs="宋体"/>
          <w:color w:val="auto"/>
          <w:sz w:val="28"/>
          <w:highlight w:val="none"/>
        </w:rPr>
        <w:t>》</w:t>
      </w:r>
      <w:r>
        <w:rPr>
          <w:rFonts w:hint="eastAsia" w:hAnsi="宋体" w:cs="宋体"/>
          <w:color w:val="auto"/>
          <w:kern w:val="0"/>
          <w:sz w:val="28"/>
          <w:szCs w:val="28"/>
          <w:highlight w:val="none"/>
        </w:rPr>
        <w:t>和《涉执房地产处置司法评估指导意见</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试行</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中房学</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2021</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37号</w:t>
      </w:r>
      <w:r>
        <w:rPr>
          <w:rFonts w:hint="eastAsia" w:hAnsi="宋体" w:cs="宋体"/>
          <w:color w:val="auto"/>
          <w:kern w:val="0"/>
          <w:sz w:val="28"/>
          <w:szCs w:val="28"/>
          <w:highlight w:val="none"/>
          <w:lang w:eastAsia="zh-CN"/>
        </w:rPr>
        <w:t>)</w:t>
      </w:r>
      <w:r>
        <w:rPr>
          <w:rFonts w:hint="eastAsia"/>
          <w:bCs/>
          <w:color w:val="auto"/>
          <w:sz w:val="28"/>
          <w:szCs w:val="28"/>
          <w:highlight w:val="none"/>
        </w:rPr>
        <w:t>等</w:t>
      </w:r>
      <w:r>
        <w:rPr>
          <w:rFonts w:hint="eastAsia" w:hAnsi="宋体" w:cs="宋体"/>
          <w:color w:val="auto"/>
          <w:kern w:val="0"/>
          <w:sz w:val="28"/>
          <w:szCs w:val="28"/>
          <w:highlight w:val="none"/>
        </w:rPr>
        <w:t>进行估价工作，撰写</w:t>
      </w:r>
      <w:r>
        <w:rPr>
          <w:rFonts w:hint="eastAsia" w:hAnsi="宋体" w:cs="宋体"/>
          <w:color w:val="auto"/>
          <w:kern w:val="0"/>
          <w:sz w:val="28"/>
          <w:szCs w:val="28"/>
          <w:highlight w:val="none"/>
          <w:lang w:eastAsia="zh-CN"/>
        </w:rPr>
        <w:t>本</w:t>
      </w:r>
      <w:r>
        <w:rPr>
          <w:rFonts w:hint="eastAsia" w:hAnsi="宋体" w:cs="宋体"/>
          <w:color w:val="auto"/>
          <w:kern w:val="0"/>
          <w:sz w:val="28"/>
          <w:szCs w:val="28"/>
          <w:highlight w:val="none"/>
        </w:rPr>
        <w:t>估价报告</w:t>
      </w:r>
      <w:r>
        <w:rPr>
          <w:rFonts w:hint="eastAsia" w:ascii="宋体" w:hAnsi="宋体" w:eastAsia="宋体" w:cs="宋体"/>
          <w:kern w:val="0"/>
          <w:sz w:val="28"/>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color w:val="000000"/>
          <w:kern w:val="0"/>
          <w:sz w:val="28"/>
          <w:szCs w:val="21"/>
          <w:lang w:val="en-US"/>
        </w:rPr>
      </w:pPr>
      <w:r>
        <w:rPr>
          <w:rFonts w:hint="eastAsia" w:ascii="宋体" w:hAnsi="宋体" w:eastAsia="宋体" w:cs="宋体"/>
          <w:kern w:val="0"/>
          <w:sz w:val="28"/>
          <w:szCs w:val="28"/>
          <w:lang w:val="en-US" w:eastAsia="zh-CN"/>
        </w:rPr>
        <w:t>(五)我们已对估价报告中的估价对象进行了实地查勘，但仅限于对估价对象外观和使用状况。因委托人提供资料有限，注册房地产估价师不承担对估价对象建筑结构、质量进行调查的责任和其它被遮盖、未暴露及难于接触到的部分进行检视的责任。查勘人：</w:t>
      </w:r>
      <w:r>
        <w:rPr>
          <w:rFonts w:hint="eastAsia" w:ascii="宋体" w:hAnsi="宋体" w:cs="宋体"/>
          <w:kern w:val="0"/>
          <w:sz w:val="28"/>
          <w:szCs w:val="28"/>
          <w:lang w:val="en-US" w:eastAsia="zh-CN"/>
        </w:rPr>
        <w:t>{@初审人}、{@复审人}</w:t>
      </w:r>
      <w:r>
        <w:rPr>
          <w:rFonts w:hint="eastAsia" w:ascii="宋体" w:hAnsi="宋体" w:eastAsia="宋体" w:cs="宋体"/>
          <w:kern w:val="0"/>
          <w:sz w:val="28"/>
          <w:szCs w:val="28"/>
          <w:lang w:val="en-US" w:eastAsia="zh-CN"/>
        </w:rPr>
        <w:t>，查勘日期：</w:t>
      </w:r>
      <w:r>
        <w:rPr>
          <w:rFonts w:hint="eastAsia" w:ascii="宋体" w:hAnsi="宋体" w:cs="Times New Roman"/>
          <w:kern w:val="2"/>
          <w:sz w:val="28"/>
          <w:szCs w:val="28"/>
          <w:lang w:val="en-US" w:eastAsia="zh-CN"/>
        </w:rPr>
        <w:t>2022年06月02日</w:t>
      </w:r>
      <w:r>
        <w:rPr>
          <w:rFonts w:hint="eastAsia" w:ascii="宋体" w:hAnsi="宋体" w:eastAsia="宋体" w:cs="宋体"/>
          <w:kern w:val="0"/>
          <w:sz w:val="28"/>
          <w:szCs w:val="28"/>
          <w:lang w:val="en-US" w:eastAsia="zh-CN"/>
        </w:rPr>
        <w:t>；</w:t>
      </w:r>
      <w:r>
        <w:rPr>
          <w:rFonts w:hint="eastAsia" w:ascii="宋体" w:hAnsi="宋体" w:eastAsia="宋体" w:cs="宋体"/>
          <w:color w:val="000000"/>
          <w:kern w:val="0"/>
          <w:sz w:val="28"/>
          <w:szCs w:val="28"/>
          <w:lang w:val="en-US" w:eastAsia="zh-CN"/>
        </w:rPr>
        <w:t>部分当事人及法院有关工作人员一同查勘，在场当事人已在查勘记录上签字</w:t>
      </w:r>
      <w:r>
        <w:rPr>
          <w:rFonts w:hint="eastAsia" w:ascii="宋体" w:hAnsi="宋体" w:cs="宋体"/>
          <w:color w:val="000000"/>
          <w:kern w:val="0"/>
          <w:sz w:val="28"/>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(六)没有人对估价报告提供重要专业帮助；</w:t>
      </w:r>
    </w:p>
    <w:p>
      <w:pPr>
        <w:keepNext w:val="0"/>
        <w:keepLines w:val="0"/>
        <w:pageBreakBefore w:val="0"/>
        <w:widowControl/>
        <w:kinsoku/>
        <w:wordWrap/>
        <w:overflowPunct/>
        <w:topLinePunct w:val="0"/>
        <w:autoSpaceDE/>
        <w:autoSpaceDN/>
        <w:bidi w:val="0"/>
        <w:adjustRightInd/>
        <w:snapToGrid/>
        <w:spacing w:line="600" w:lineRule="atLeast"/>
        <w:ind w:left="0" w:leftChars="0" w:firstLine="638" w:firstLineChars="228"/>
        <w:textAlignment w:val="auto"/>
        <w:rPr>
          <w:rFonts w:hint="eastAsia" w:ascii="宋体" w:hAnsi="宋体" w:eastAsia="宋体" w:cs="宋体"/>
          <w:color w:val="auto"/>
          <w:kern w:val="0"/>
          <w:sz w:val="28"/>
          <w:szCs w:val="28"/>
          <w:lang w:eastAsia="zh-CN"/>
        </w:rPr>
      </w:pPr>
      <w:r>
        <w:rPr>
          <w:rFonts w:hint="eastAsia" w:ascii="宋体" w:hAnsi="宋体" w:eastAsia="宋体" w:cs="宋体"/>
          <w:kern w:val="0"/>
          <w:sz w:val="28"/>
          <w:szCs w:val="28"/>
          <w:lang w:val="en-US" w:eastAsia="zh-CN"/>
        </w:rPr>
        <w:t>(七)</w:t>
      </w:r>
      <w:r>
        <w:rPr>
          <w:rFonts w:hint="eastAsia" w:ascii="宋体" w:hAnsi="宋体" w:eastAsia="宋体" w:cs="宋体"/>
          <w:color w:val="auto"/>
          <w:kern w:val="0"/>
          <w:sz w:val="28"/>
          <w:szCs w:val="28"/>
        </w:rPr>
        <w:t>本估价报告中数据全部采用电算化连续计算得出，可能出现个别等式左右不完全相等的情况，但不影响计算结果及最终估价结论的准确性</w:t>
      </w:r>
      <w:r>
        <w:rPr>
          <w:rFonts w:hint="eastAsia" w:ascii="宋体" w:hAnsi="宋体" w:cs="宋体"/>
          <w:color w:val="auto"/>
          <w:kern w:val="0"/>
          <w:sz w:val="28"/>
          <w:szCs w:val="28"/>
          <w:lang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8"/>
          <w:lang w:val="en-US"/>
        </w:rPr>
      </w:pPr>
      <w:r>
        <w:rPr>
          <w:rFonts w:hint="eastAsia" w:ascii="宋体" w:hAnsi="宋体" w:cs="宋体"/>
          <w:kern w:val="0"/>
          <w:sz w:val="28"/>
          <w:szCs w:val="28"/>
          <w:lang w:val="en-US" w:eastAsia="zh-CN"/>
        </w:rPr>
        <w:t>(八)</w:t>
      </w:r>
      <w:r>
        <w:rPr>
          <w:rFonts w:hint="eastAsia" w:ascii="宋体" w:hAnsi="宋体" w:eastAsia="宋体" w:cs="宋体"/>
          <w:kern w:val="0"/>
          <w:sz w:val="28"/>
          <w:szCs w:val="28"/>
          <w:lang w:val="en-US" w:eastAsia="zh-CN"/>
        </w:rPr>
        <w:t>本估价报告需经注册房地产估价师签名盖章并加盖房地产估价机构公章，作为一个整体时有效，复印件无效</w:t>
      </w:r>
      <w:r>
        <w:rPr>
          <w:rFonts w:hint="eastAsia" w:ascii="宋体" w:hAnsi="宋体" w:cs="宋体"/>
          <w:kern w:val="0"/>
          <w:sz w:val="28"/>
          <w:szCs w:val="28"/>
          <w:lang w:val="en-US" w:eastAsia="zh-CN"/>
        </w:rPr>
        <w:t>。</w:t>
      </w:r>
    </w:p>
    <w:p>
      <w:pPr>
        <w:keepNext w:val="0"/>
        <w:keepLines w:val="0"/>
        <w:widowControl w:val="0"/>
        <w:suppressLineNumbers w:val="0"/>
        <w:tabs>
          <w:tab w:val="left" w:pos="735"/>
        </w:tabs>
        <w:overflowPunct w:val="0"/>
        <w:bidi w:val="0"/>
        <w:spacing w:before="0" w:beforeAutospacing="0" w:after="120" w:afterAutospacing="0" w:line="312" w:lineRule="auto"/>
        <w:ind w:left="0" w:right="0"/>
        <w:jc w:val="center"/>
        <w:rPr>
          <w:rFonts w:hAnsi="宋体"/>
          <w:sz w:val="28"/>
          <w:szCs w:val="28"/>
          <w:lang w:val="en-US"/>
        </w:rPr>
      </w:pPr>
      <w:r>
        <w:rPr>
          <w:rFonts w:hint="eastAsia" w:ascii="宋体" w:hAnsi="宋体" w:eastAsia="宋体" w:cs="Times New Roman"/>
          <w:kern w:val="2"/>
          <w:sz w:val="28"/>
          <w:szCs w:val="28"/>
          <w:lang w:val="en-US" w:eastAsia="zh-CN"/>
        </w:rPr>
        <w:t>参加估价的注册房地产估价师</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290"/>
        <w:gridCol w:w="243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姓  名</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注册号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73"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2022年07月08日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2022年07月08日</w:t>
            </w:r>
          </w:p>
        </w:tc>
      </w:tr>
    </w:tbl>
    <w:p>
      <w:pPr>
        <w:keepNext w:val="0"/>
        <w:keepLines w:val="0"/>
        <w:widowControl w:val="0"/>
        <w:suppressLineNumbers w:val="0"/>
        <w:bidi w:val="0"/>
        <w:spacing w:before="0" w:beforeAutospacing="0" w:after="0" w:afterAutospacing="0" w:line="580" w:lineRule="exact"/>
        <w:ind w:left="0" w:right="0" w:firstLine="883"/>
        <w:jc w:val="center"/>
        <w:rPr>
          <w:rFonts w:hAnsi="宋体" w:cs="宋体"/>
          <w:b/>
          <w:kern w:val="0"/>
          <w:sz w:val="44"/>
          <w:szCs w:val="44"/>
          <w:lang w:val="en-US"/>
        </w:rPr>
      </w:pPr>
      <w:r>
        <w:rPr>
          <w:rFonts w:hint="eastAsia" w:ascii="宋体" w:hAnsi="宋体" w:eastAsia="宋体" w:cs="宋体"/>
          <w:b/>
          <w:kern w:val="0"/>
          <w:sz w:val="44"/>
          <w:szCs w:val="44"/>
          <w:lang w:val="en-US" w:eastAsia="zh-CN"/>
        </w:rPr>
        <w:br w:type="page"/>
      </w:r>
      <w:r>
        <w:rPr>
          <w:rFonts w:hint="eastAsia" w:ascii="宋体" w:hAnsi="宋体" w:eastAsia="宋体" w:cs="宋体"/>
          <w:b/>
          <w:kern w:val="0"/>
          <w:sz w:val="44"/>
          <w:szCs w:val="44"/>
          <w:lang w:val="en-US" w:eastAsia="zh-CN"/>
        </w:rPr>
        <w:t>二、估价假设和限制条件</w:t>
      </w:r>
    </w:p>
    <w:p>
      <w:pPr>
        <w:keepNext w:val="0"/>
        <w:keepLines w:val="0"/>
        <w:widowControl w:val="0"/>
        <w:suppressLineNumbers w:val="0"/>
        <w:bidi w:val="0"/>
        <w:spacing w:before="0" w:beforeAutospacing="0" w:after="0" w:afterAutospacing="0" w:line="580" w:lineRule="exact"/>
        <w:ind w:left="0" w:leftChars="0" w:right="0" w:firstLine="641" w:firstLineChars="228"/>
        <w:jc w:val="both"/>
        <w:rPr>
          <w:rFonts w:hAnsi="宋体"/>
          <w:b/>
          <w:bCs w:val="0"/>
          <w:sz w:val="28"/>
          <w:szCs w:val="28"/>
          <w:lang w:val="en-US"/>
        </w:rPr>
      </w:pPr>
      <w:r>
        <w:rPr>
          <w:rFonts w:hint="eastAsia" w:ascii="宋体" w:hAnsi="宋体" w:cs="宋体"/>
          <w:b/>
          <w:kern w:val="0"/>
          <w:sz w:val="28"/>
          <w:szCs w:val="28"/>
          <w:lang w:val="en-US" w:eastAsia="zh-CN"/>
        </w:rPr>
        <w:t>(</w:t>
      </w:r>
      <w:r>
        <w:rPr>
          <w:rFonts w:hint="eastAsia" w:ascii="宋体" w:hAnsi="宋体" w:eastAsia="宋体" w:cs="宋体"/>
          <w:b/>
          <w:kern w:val="0"/>
          <w:sz w:val="28"/>
          <w:szCs w:val="28"/>
          <w:lang w:val="en-US" w:eastAsia="zh-CN"/>
        </w:rPr>
        <w:t>一</w:t>
      </w:r>
      <w:r>
        <w:rPr>
          <w:rFonts w:hint="eastAsia" w:ascii="宋体" w:hAnsi="宋体" w:cs="宋体"/>
          <w:b/>
          <w:kern w:val="0"/>
          <w:sz w:val="28"/>
          <w:szCs w:val="28"/>
          <w:lang w:val="en-US" w:eastAsia="zh-CN"/>
        </w:rPr>
        <w:t>)</w:t>
      </w:r>
      <w:r>
        <w:rPr>
          <w:rFonts w:hint="eastAsia" w:ascii="宋体" w:hAnsi="宋体" w:eastAsia="宋体" w:cs="宋体"/>
          <w:b/>
          <w:kern w:val="0"/>
          <w:sz w:val="28"/>
          <w:szCs w:val="28"/>
          <w:lang w:val="en-US" w:eastAsia="zh-CN"/>
        </w:rPr>
        <w:t>本次估价的估价假设</w:t>
      </w:r>
    </w:p>
    <w:p>
      <w:pPr>
        <w:keepNext w:val="0"/>
        <w:keepLines w:val="0"/>
        <w:widowControl w:val="0"/>
        <w:suppressLineNumbers w:val="0"/>
        <w:bidi w:val="0"/>
        <w:spacing w:before="0" w:beforeAutospacing="0" w:after="0" w:afterAutospacing="0" w:line="580" w:lineRule="exact"/>
        <w:ind w:left="0" w:leftChars="0" w:right="0" w:firstLine="641" w:firstLineChars="228"/>
        <w:jc w:val="both"/>
        <w:rPr>
          <w:rFonts w:hAnsi="宋体"/>
          <w:b/>
          <w:bCs w:val="0"/>
          <w:sz w:val="28"/>
          <w:szCs w:val="28"/>
          <w:lang w:val="en-US"/>
        </w:rPr>
      </w:pPr>
      <w:r>
        <w:rPr>
          <w:rFonts w:hint="eastAsia" w:ascii="宋体" w:hAnsi="宋体" w:eastAsia="宋体" w:cs="Times New Roman"/>
          <w:b/>
          <w:bCs w:val="0"/>
          <w:kern w:val="2"/>
          <w:sz w:val="28"/>
          <w:szCs w:val="28"/>
          <w:lang w:val="en-US" w:eastAsia="zh-CN"/>
        </w:rPr>
        <w:t>1、</w:t>
      </w:r>
      <w:r>
        <w:rPr>
          <w:rFonts w:hint="eastAsia" w:ascii="宋体" w:hAnsi="宋体" w:eastAsia="宋体" w:cs="宋体"/>
          <w:b/>
          <w:kern w:val="0"/>
          <w:sz w:val="28"/>
          <w:szCs w:val="28"/>
          <w:lang w:val="en-US" w:eastAsia="zh-CN"/>
        </w:rPr>
        <w:t>一般假设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1</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本次估价以委托人</w:t>
      </w:r>
      <w:r>
        <w:rPr>
          <w:rFonts w:hint="eastAsia" w:ascii="宋体" w:hAnsi="宋体" w:eastAsia="宋体" w:cs="Times New Roman"/>
          <w:color w:val="000000"/>
          <w:kern w:val="2"/>
          <w:sz w:val="28"/>
          <w:szCs w:val="28"/>
          <w:lang w:val="en-US" w:eastAsia="zh-CN"/>
        </w:rPr>
        <w:t>提供估价对象的</w:t>
      </w:r>
      <w:r>
        <w:rPr>
          <w:rFonts w:hint="eastAsia" w:ascii="宋体" w:hAnsi="宋体" w:cs="Times New Roman"/>
          <w:color w:val="000000"/>
          <w:kern w:val="2"/>
          <w:sz w:val="28"/>
          <w:szCs w:val="28"/>
          <w:lang w:val="en-US" w:eastAsia="zh-CN"/>
        </w:rPr>
        <w:t>《禹州市国土资源局不动产权登记记载表》</w:t>
      </w:r>
      <w:r>
        <w:rPr>
          <w:rFonts w:hint="eastAsia" w:ascii="宋体" w:hAnsi="宋体" w:eastAsia="宋体" w:cs="Times New Roman"/>
          <w:color w:val="000000"/>
          <w:kern w:val="2"/>
          <w:sz w:val="28"/>
          <w:szCs w:val="28"/>
          <w:lang w:val="en-US" w:eastAsia="zh-CN"/>
        </w:rPr>
        <w:t>复印件</w:t>
      </w:r>
      <w:r>
        <w:rPr>
          <w:rFonts w:hint="eastAsia" w:ascii="宋体" w:hAnsi="宋体" w:eastAsia="宋体" w:cs="Times New Roman"/>
          <w:kern w:val="2"/>
          <w:sz w:val="28"/>
          <w:szCs w:val="28"/>
          <w:lang w:val="en-US" w:eastAsia="zh-CN"/>
        </w:rPr>
        <w:t>等材料为依据，</w:t>
      </w:r>
      <w:r>
        <w:rPr>
          <w:rFonts w:hint="eastAsia" w:ascii="宋体" w:hAnsi="宋体" w:eastAsia="宋体" w:cs="Times New Roman"/>
          <w:color w:val="000000"/>
          <w:kern w:val="2"/>
          <w:sz w:val="28"/>
          <w:szCs w:val="28"/>
          <w:lang w:val="en-US" w:eastAsia="zh-CN"/>
        </w:rPr>
        <w:t>我们未向政府有关部门进行核实。在无理由怀疑其合法性、真实性、准确性和完整性的情况下，假定估价委托人提供的资料合法、真实、准确、完整。</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bCs/>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2</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Times New Roman"/>
          <w:bCs/>
          <w:color w:val="000000"/>
          <w:kern w:val="2"/>
          <w:sz w:val="28"/>
          <w:szCs w:val="28"/>
          <w:lang w:val="en-US" w:eastAsia="zh-CN"/>
        </w:rPr>
        <w:t>本次估价假定估价对象能正常安全使用。</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3</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注册房地产估价师未对估价对象建筑面积进行专业测量，</w:t>
      </w:r>
      <w:r>
        <w:rPr>
          <w:rFonts w:hint="eastAsia" w:ascii="宋体" w:hAnsi="宋体" w:eastAsia="宋体" w:cs="Times New Roman"/>
          <w:color w:val="000000"/>
          <w:kern w:val="2"/>
          <w:sz w:val="28"/>
          <w:szCs w:val="28"/>
          <w:lang w:val="en-US" w:eastAsia="zh-CN"/>
        </w:rPr>
        <w:t>经现场查勘观察，估价对象房屋建筑面积与</w:t>
      </w:r>
      <w:r>
        <w:rPr>
          <w:rFonts w:hint="eastAsia" w:ascii="宋体" w:hAnsi="宋体" w:cs="Times New Roman"/>
          <w:color w:val="000000"/>
          <w:kern w:val="2"/>
          <w:sz w:val="28"/>
          <w:szCs w:val="28"/>
          <w:lang w:val="en-US" w:eastAsia="zh-CN"/>
        </w:rPr>
        <w:t>《禹州市国土资源局不动产权登记记载表》</w:t>
      </w:r>
      <w:r>
        <w:rPr>
          <w:rFonts w:hint="eastAsia" w:ascii="宋体" w:hAnsi="宋体" w:eastAsia="宋体" w:cs="Times New Roman"/>
          <w:color w:val="000000"/>
          <w:kern w:val="2"/>
          <w:sz w:val="28"/>
          <w:szCs w:val="28"/>
          <w:lang w:val="en-US" w:eastAsia="zh-CN"/>
        </w:rPr>
        <w:t>复印件记载建筑面积大体相当。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4</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估价对象在价值时点的房地产市场为公开、平等、自愿的交易市场，</w:t>
      </w:r>
      <w:r>
        <w:rPr>
          <w:rFonts w:hint="eastAsia" w:ascii="宋体" w:hAnsi="宋体" w:eastAsia="宋体" w:cs="Times New Roman"/>
          <w:bCs/>
          <w:kern w:val="2"/>
          <w:sz w:val="28"/>
          <w:szCs w:val="28"/>
          <w:lang w:val="en-US" w:eastAsia="zh-CN"/>
        </w:rPr>
        <w:t>即能满足以下条件：</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1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①</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交易双方自愿地进行交易；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2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②</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交易双方处于利己动机进行交易；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3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③</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交易双方精明、谨慎行事，并了解交易对象、知晓市场行情；</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4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④</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交易双方有较充裕的时间进行交易；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5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⑤</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不存在买者因特殊兴趣而给予附加出价</w:t>
      </w:r>
      <w:r>
        <w:rPr>
          <w:rFonts w:hint="eastAsia" w:ascii="宋体" w:hAnsi="宋体" w:cs="宋体"/>
          <w:bCs/>
          <w:kern w:val="2"/>
          <w:sz w:val="28"/>
          <w:szCs w:val="28"/>
          <w:lang w:val="en-US" w:eastAsia="zh-CN"/>
        </w:rPr>
        <w:t>；</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cs="Times New Roman"/>
          <w:kern w:val="2"/>
          <w:sz w:val="28"/>
          <w:szCs w:val="28"/>
          <w:lang w:val="en-US" w:eastAsia="zh-CN"/>
        </w:rPr>
        <w:t>(5)</w:t>
      </w:r>
      <w:r>
        <w:rPr>
          <w:rFonts w:hint="eastAsia" w:ascii="宋体" w:hAnsi="宋体" w:eastAsia="宋体" w:cs="Times New Roman"/>
          <w:kern w:val="2"/>
          <w:sz w:val="28"/>
          <w:szCs w:val="28"/>
          <w:lang w:val="en-US" w:eastAsia="zh-CN"/>
        </w:rPr>
        <w:t>估价对象应享有公共部位的通行权及水、电、气等共用设施的使用权。</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cs="Times New Roman"/>
          <w:kern w:val="2"/>
          <w:sz w:val="28"/>
          <w:szCs w:val="28"/>
          <w:lang w:val="en-US" w:eastAsia="zh-CN"/>
        </w:rPr>
        <w:t>(6)</w:t>
      </w:r>
      <w:r>
        <w:rPr>
          <w:rFonts w:hint="eastAsia" w:ascii="宋体" w:hAnsi="宋体" w:eastAsia="宋体" w:cs="Times New Roman"/>
          <w:kern w:val="2"/>
          <w:sz w:val="28"/>
          <w:szCs w:val="28"/>
          <w:lang w:val="en-US" w:eastAsia="zh-CN"/>
        </w:rPr>
        <w:t>委托人未明确估价对象存在欠缴税金及相关费用，本次评估不考虑水电费、物业费等及其滞纳金及相关费用对价值的影响。</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(7)</w:t>
      </w:r>
      <w:r>
        <w:rPr>
          <w:rFonts w:hint="eastAsia" w:ascii="宋体" w:hAnsi="宋体" w:eastAsia="宋体" w:cs="宋体"/>
          <w:kern w:val="0"/>
          <w:sz w:val="28"/>
          <w:szCs w:val="28"/>
          <w:lang w:val="en-US" w:eastAsia="zh-CN"/>
        </w:rPr>
        <w:t>委托人未明确存在租赁权、用益物权及占有使用情况，房地产估价</w:t>
      </w:r>
      <w:r>
        <w:rPr>
          <w:rFonts w:hint="eastAsia" w:ascii="宋体" w:hAnsi="宋体" w:cs="宋体"/>
          <w:kern w:val="0"/>
          <w:sz w:val="28"/>
          <w:szCs w:val="28"/>
          <w:lang w:val="en-US" w:eastAsia="zh-CN"/>
        </w:rPr>
        <w:t>师</w:t>
      </w:r>
      <w:r>
        <w:rPr>
          <w:rFonts w:hint="eastAsia" w:ascii="宋体" w:hAnsi="宋体" w:eastAsia="宋体" w:cs="宋体"/>
          <w:kern w:val="0"/>
          <w:sz w:val="28"/>
          <w:szCs w:val="28"/>
          <w:lang w:val="en-US" w:eastAsia="zh-CN"/>
        </w:rPr>
        <w:t>经过尽职调查后也未发现、掌握相关情况，本次估价假定评估对象不存在租赁权、用益物权及占有使用情况</w:t>
      </w:r>
      <w:r>
        <w:rPr>
          <w:rFonts w:hint="eastAsia" w:ascii="宋体" w:hAnsi="宋体" w:cs="宋体"/>
          <w:kern w:val="0"/>
          <w:sz w:val="28"/>
          <w:szCs w:val="28"/>
          <w:lang w:val="en-US" w:eastAsia="zh-CN"/>
        </w:rPr>
        <w:t>。</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(8)</w:t>
      </w:r>
      <w:r>
        <w:rPr>
          <w:rFonts w:hint="eastAsia" w:hAnsi="宋体"/>
          <w:color w:val="auto"/>
          <w:sz w:val="28"/>
          <w:szCs w:val="28"/>
          <w:highlight w:val="none"/>
        </w:rPr>
        <w:t>涉执房地产司法处置</w:t>
      </w:r>
      <w:r>
        <w:rPr>
          <w:rFonts w:hint="eastAsia" w:hAnsi="宋体"/>
          <w:color w:val="auto"/>
          <w:sz w:val="28"/>
          <w:szCs w:val="28"/>
          <w:highlight w:val="none"/>
          <w:lang w:eastAsia="zh-CN"/>
        </w:rPr>
        <w:t>可能</w:t>
      </w:r>
      <w:r>
        <w:rPr>
          <w:rFonts w:hint="eastAsia" w:hAnsi="宋体"/>
          <w:color w:val="auto"/>
          <w:sz w:val="28"/>
          <w:szCs w:val="28"/>
          <w:highlight w:val="none"/>
        </w:rPr>
        <w:t>产生评估费、拍卖费、诉讼费、律师费等费用，</w:t>
      </w:r>
      <w:r>
        <w:rPr>
          <w:rFonts w:hint="eastAsia" w:hAnsi="宋体" w:cs="宋体"/>
          <w:bCs/>
          <w:color w:val="auto"/>
          <w:sz w:val="28"/>
          <w:szCs w:val="28"/>
          <w:highlight w:val="none"/>
        </w:rPr>
        <w:t>人民法院明确</w:t>
      </w:r>
      <w:r>
        <w:rPr>
          <w:rFonts w:hint="eastAsia" w:hAnsi="宋体" w:cs="宋体"/>
          <w:bCs/>
          <w:color w:val="auto"/>
          <w:sz w:val="28"/>
          <w:szCs w:val="28"/>
          <w:highlight w:val="none"/>
          <w:lang w:eastAsia="zh-CN"/>
        </w:rPr>
        <w:t>该项费用从拍卖处置价款中扣除，</w:t>
      </w:r>
      <w:r>
        <w:rPr>
          <w:rFonts w:hint="eastAsia" w:ascii="宋体" w:hAnsi="宋体" w:cs="宋体"/>
          <w:kern w:val="0"/>
          <w:sz w:val="28"/>
          <w:szCs w:val="28"/>
          <w:lang w:val="en-US" w:eastAsia="zh-CN"/>
        </w:rPr>
        <w:t>因此</w:t>
      </w:r>
      <w:r>
        <w:rPr>
          <w:rFonts w:hint="eastAsia" w:ascii="宋体" w:hAnsi="宋体" w:eastAsia="宋体" w:cs="宋体"/>
          <w:kern w:val="0"/>
          <w:sz w:val="28"/>
          <w:szCs w:val="28"/>
          <w:lang w:val="en-US" w:eastAsia="zh-CN"/>
        </w:rPr>
        <w:t>本次评估不考虑评估费、拍卖费、律师费、诉讼费等财产处置费用对价值的影响。</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2、特殊类假设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FF0000"/>
          <w:sz w:val="28"/>
          <w:szCs w:val="28"/>
          <w:lang w:val="en-US"/>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1</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 xml:space="preserve">未定事项假设 </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FF0000"/>
          <w:sz w:val="28"/>
          <w:szCs w:val="28"/>
          <w:lang w:val="en-US"/>
        </w:rPr>
      </w:pPr>
      <w:r>
        <w:rPr>
          <w:rFonts w:hint="eastAsia" w:ascii="宋体" w:hAnsi="宋体" w:eastAsia="宋体" w:cs="Times New Roman"/>
          <w:kern w:val="2"/>
          <w:sz w:val="28"/>
          <w:szCs w:val="28"/>
          <w:lang w:val="en-US" w:eastAsia="zh-CN"/>
        </w:rPr>
        <w:t>未定事项假设是指对估价所必需的尚未明确或不够明确的土地用途、容积率等事项所做的合理的、最可能的假定。</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hAnsi="宋体" w:cs="宋体"/>
          <w:bCs/>
          <w:sz w:val="28"/>
          <w:szCs w:val="28"/>
          <w:lang w:eastAsia="zh-CN"/>
        </w:rPr>
        <w:t>①委托人</w:t>
      </w:r>
      <w:r>
        <w:rPr>
          <w:rFonts w:hint="eastAsia" w:hAnsi="宋体" w:cs="宋体"/>
          <w:bCs/>
          <w:sz w:val="28"/>
          <w:szCs w:val="28"/>
        </w:rPr>
        <w:t>未提供估价对象房屋所在宗地《国有土地使用证》，</w:t>
      </w:r>
      <w:r>
        <w:rPr>
          <w:rFonts w:hint="eastAsia" w:ascii="宋体" w:hAnsi="宋体" w:eastAsia="宋体" w:cs="Times New Roman"/>
          <w:color w:val="000000"/>
          <w:kern w:val="2"/>
          <w:sz w:val="28"/>
          <w:szCs w:val="28"/>
          <w:lang w:val="en-US" w:eastAsia="zh-CN"/>
        </w:rPr>
        <w:t>经注册房地产估价师实地查勘，</w:t>
      </w:r>
      <w:r>
        <w:rPr>
          <w:rFonts w:hint="eastAsia" w:ascii="宋体" w:hAnsi="宋体" w:eastAsia="宋体" w:cs="Times New Roman"/>
          <w:kern w:val="2"/>
          <w:sz w:val="28"/>
          <w:szCs w:val="28"/>
          <w:lang w:val="en-US" w:eastAsia="zh-CN"/>
        </w:rPr>
        <w:t>估价对象房屋为</w:t>
      </w:r>
      <w:r>
        <w:rPr>
          <w:rFonts w:hint="eastAsia" w:ascii="宋体" w:hAnsi="宋体" w:cs="Times New Roman"/>
          <w:kern w:val="2"/>
          <w:sz w:val="28"/>
          <w:szCs w:val="28"/>
          <w:lang w:val="en-US" w:eastAsia="zh-CN"/>
        </w:rPr>
        <w:t>住宅</w:t>
      </w:r>
      <w:r>
        <w:rPr>
          <w:rFonts w:hint="eastAsia" w:ascii="宋体" w:hAnsi="宋体" w:eastAsia="宋体" w:cs="Times New Roman"/>
          <w:kern w:val="2"/>
          <w:sz w:val="28"/>
          <w:szCs w:val="28"/>
          <w:lang w:val="en-US" w:eastAsia="zh-CN"/>
        </w:rPr>
        <w:t>，本次估价设定估价对象的土地使用权</w:t>
      </w:r>
      <w:r>
        <w:rPr>
          <w:rFonts w:hint="eastAsia" w:ascii="宋体" w:hAnsi="宋体" w:eastAsia="宋体" w:cs="宋体"/>
          <w:bCs/>
          <w:kern w:val="2"/>
          <w:sz w:val="28"/>
          <w:szCs w:val="28"/>
          <w:lang w:val="en-US" w:eastAsia="zh-CN"/>
        </w:rPr>
        <w:t>权属完备，</w:t>
      </w:r>
      <w:r>
        <w:rPr>
          <w:rFonts w:hint="eastAsia" w:ascii="宋体" w:hAnsi="宋体" w:eastAsia="宋体" w:cs="Times New Roman"/>
          <w:kern w:val="2"/>
          <w:sz w:val="28"/>
          <w:szCs w:val="28"/>
          <w:lang w:val="en-US" w:eastAsia="zh-CN"/>
        </w:rPr>
        <w:t>合法用途与</w:t>
      </w:r>
      <w:r>
        <w:rPr>
          <w:rFonts w:hint="eastAsia" w:ascii="宋体" w:hAnsi="宋体" w:cs="Times New Roman"/>
          <w:kern w:val="2"/>
          <w:sz w:val="28"/>
          <w:szCs w:val="28"/>
          <w:lang w:val="en-US" w:eastAsia="zh-CN"/>
        </w:rPr>
        <w:t>《禹州市国土资源局不动产权登记记载表》</w:t>
      </w:r>
      <w:r>
        <w:rPr>
          <w:rFonts w:hint="eastAsia" w:ascii="宋体" w:hAnsi="宋体" w:eastAsia="宋体" w:cs="Times New Roman"/>
          <w:kern w:val="2"/>
          <w:sz w:val="28"/>
          <w:szCs w:val="28"/>
          <w:lang w:val="en-US" w:eastAsia="zh-CN"/>
        </w:rPr>
        <w:t>复印件记载用途</w:t>
      </w:r>
      <w:r>
        <w:rPr>
          <w:rFonts w:hint="eastAsia" w:ascii="宋体" w:hAnsi="宋体" w:cs="Times New Roman"/>
          <w:kern w:val="2"/>
          <w:sz w:val="28"/>
          <w:szCs w:val="28"/>
          <w:lang w:val="en-US" w:eastAsia="zh-CN"/>
        </w:rPr>
        <w:t>及实勘用途</w:t>
      </w:r>
      <w:r>
        <w:rPr>
          <w:rFonts w:hint="eastAsia" w:ascii="宋体" w:hAnsi="宋体" w:eastAsia="宋体" w:cs="Times New Roman"/>
          <w:kern w:val="2"/>
          <w:sz w:val="28"/>
          <w:szCs w:val="28"/>
          <w:lang w:val="en-US" w:eastAsia="zh-CN"/>
        </w:rPr>
        <w:t>一致，土地使用权面积为应分摊的其占用范围内的土地使用权面积。</w:t>
      </w:r>
    </w:p>
    <w:p>
      <w:pPr>
        <w:tabs>
          <w:tab w:val="left" w:pos="720"/>
        </w:tabs>
        <w:spacing w:line="580" w:lineRule="exact"/>
        <w:ind w:left="0" w:leftChars="0" w:firstLine="638" w:firstLineChars="228"/>
        <w:rPr>
          <w:rFonts w:hint="eastAsia" w:ascii="宋体" w:hAnsi="宋体" w:eastAsia="宋体" w:cs="Times New Roman"/>
          <w:color w:val="000000"/>
          <w:kern w:val="2"/>
          <w:sz w:val="28"/>
          <w:szCs w:val="28"/>
          <w:lang w:val="en-US" w:eastAsia="zh-CN"/>
        </w:rPr>
      </w:pPr>
      <w:r>
        <w:rPr>
          <w:rFonts w:hAnsi="宋体"/>
          <w:color w:val="000000"/>
          <w:sz w:val="28"/>
        </w:rPr>
        <w:t>②估价对象</w:t>
      </w:r>
      <w:r>
        <w:rPr>
          <w:rFonts w:hint="eastAsia" w:hAnsi="宋体"/>
          <w:color w:val="000000"/>
          <w:sz w:val="28"/>
          <w:lang w:eastAsia="zh-CN"/>
        </w:rPr>
        <w:t>《禹州市国土资源局不动产权登记记载表》</w:t>
      </w:r>
      <w:r>
        <w:rPr>
          <w:rFonts w:hAnsi="宋体"/>
          <w:color w:val="000000"/>
          <w:sz w:val="28"/>
        </w:rPr>
        <w:t>复印件未记载估价对象房屋的建成年份</w:t>
      </w:r>
      <w:r>
        <w:rPr>
          <w:rFonts w:hint="eastAsia" w:hAnsi="宋体"/>
          <w:color w:val="000000"/>
          <w:sz w:val="28"/>
          <w:lang w:eastAsia="zh-CN"/>
        </w:rPr>
        <w:t>等</w:t>
      </w:r>
      <w:r>
        <w:rPr>
          <w:rFonts w:hAnsi="宋体"/>
          <w:color w:val="000000"/>
          <w:sz w:val="28"/>
        </w:rPr>
        <w:t>，本次估价房屋</w:t>
      </w:r>
      <w:r>
        <w:rPr>
          <w:rFonts w:hint="eastAsia" w:hAnsi="宋体"/>
          <w:color w:val="000000"/>
          <w:sz w:val="28"/>
          <w:lang w:val="en-US" w:eastAsia="zh-CN"/>
        </w:rPr>
        <w:t>成新度等</w:t>
      </w:r>
      <w:r>
        <w:rPr>
          <w:rFonts w:hAnsi="宋体"/>
          <w:color w:val="000000"/>
          <w:sz w:val="28"/>
        </w:rPr>
        <w:t>以实地调查为准。</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2</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背离事实假设</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背离事实假设是指因估价目的的特殊需要、交易条件设定或约定，对估价对象状况所做的与估价对象在价值时点的状况不一致的合理假定。</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估价对象为人民法院查封拟处置房地产，根据房地产</w:t>
      </w:r>
      <w:r>
        <w:rPr>
          <w:rFonts w:hint="eastAsia" w:ascii="宋体" w:hAnsi="宋体" w:cs="Times New Roman"/>
          <w:color w:val="000000"/>
          <w:kern w:val="2"/>
          <w:sz w:val="28"/>
          <w:szCs w:val="28"/>
          <w:lang w:val="en-US" w:eastAsia="zh-CN"/>
        </w:rPr>
        <w:t>司法评估</w:t>
      </w:r>
      <w:r>
        <w:rPr>
          <w:rFonts w:hint="eastAsia" w:ascii="宋体" w:hAnsi="宋体" w:eastAsia="宋体" w:cs="Times New Roman"/>
          <w:color w:val="000000"/>
          <w:kern w:val="2"/>
          <w:sz w:val="28"/>
          <w:szCs w:val="28"/>
          <w:lang w:val="en-US" w:eastAsia="zh-CN"/>
        </w:rPr>
        <w:t>估价需要，不考虑其他优先受偿权及租赁、抵押、查封等因素的影响。</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3</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不相一致假设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不相一致假设是指在估价对象的实勘用途、房屋登记用途、土地登记用途、规划用途等用途之间不一致，或房屋权属证明、土地权属证明等上的权利人之间不一致，估价对象的名称不一致等情况下，对估价所依据的用途或权利人、名称等的合理假定。</w:t>
      </w:r>
    </w:p>
    <w:p>
      <w:pPr>
        <w:keepNext w:val="0"/>
        <w:keepLines w:val="0"/>
        <w:widowControl w:val="0"/>
        <w:suppressLineNumbers w:val="0"/>
        <w:tabs>
          <w:tab w:val="left" w:pos="720"/>
        </w:tabs>
        <w:bidi w:val="0"/>
        <w:spacing w:before="0" w:beforeAutospacing="0" w:after="0" w:afterAutospacing="0" w:line="580" w:lineRule="exact"/>
        <w:ind w:left="0" w:right="0" w:firstLine="560"/>
        <w:jc w:val="both"/>
        <w:rPr>
          <w:rFonts w:hint="eastAsia" w:hAnsi="宋体"/>
          <w:color w:val="auto"/>
          <w:sz w:val="28"/>
          <w:szCs w:val="28"/>
          <w:lang w:eastAsia="zh-CN"/>
        </w:rPr>
      </w:pPr>
      <w:r>
        <w:rPr>
          <w:rFonts w:hint="eastAsia" w:hAnsi="宋体" w:cs="宋体"/>
          <w:color w:val="auto"/>
          <w:kern w:val="0"/>
          <w:sz w:val="28"/>
          <w:szCs w:val="28"/>
          <w:lang w:eastAsia="zh-CN"/>
        </w:rPr>
        <w:t>①</w:t>
      </w:r>
      <w:r>
        <w:rPr>
          <w:rFonts w:hint="eastAsia" w:hAnsi="宋体"/>
          <w:color w:val="auto"/>
          <w:sz w:val="28"/>
          <w:szCs w:val="28"/>
          <w:lang w:eastAsia="zh-CN"/>
        </w:rPr>
        <w:t>根据委托人提供的</w:t>
      </w:r>
      <w:r>
        <w:rPr>
          <w:rFonts w:hint="eastAsia" w:ascii="宋体" w:hAnsi="宋体" w:cs="Times New Roman"/>
          <w:color w:val="auto"/>
          <w:kern w:val="2"/>
          <w:sz w:val="28"/>
          <w:szCs w:val="28"/>
          <w:lang w:val="en-US" w:eastAsia="zh-CN"/>
        </w:rPr>
        <w:t>《禹州市国土资源局不动产权登记记载表》</w:t>
      </w:r>
      <w:r>
        <w:rPr>
          <w:rFonts w:hint="eastAsia" w:hAnsi="宋体"/>
          <w:color w:val="auto"/>
          <w:sz w:val="28"/>
          <w:szCs w:val="28"/>
          <w:lang w:eastAsia="zh-CN"/>
        </w:rPr>
        <w:t>记载估价对象位置为河南省许昌市禹州市夏都办禹王大道中段路南鼎原花苑1幢4单元3层4-303房，注册房地产估价师现场查勘、当事人领勘指认估价对象所在小区名称“铭仕公馆”与证载“鼎原花苑”同一位置，故本次估价以证载位置与实勘位置一致为估价依据。</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sz w:val="28"/>
          <w:szCs w:val="28"/>
        </w:rPr>
      </w:pPr>
      <w:r>
        <w:rPr>
          <w:rFonts w:hint="eastAsia" w:hAnsi="宋体" w:cs="宋体"/>
          <w:kern w:val="0"/>
          <w:sz w:val="28"/>
          <w:szCs w:val="28"/>
          <w:lang w:eastAsia="zh-CN"/>
        </w:rPr>
        <w:t>②委托人</w:t>
      </w:r>
      <w:r>
        <w:rPr>
          <w:rFonts w:hint="eastAsia" w:hAnsi="宋体" w:cs="宋体"/>
          <w:kern w:val="0"/>
          <w:sz w:val="28"/>
          <w:szCs w:val="28"/>
          <w:lang w:val="en-US" w:eastAsia="zh-CN"/>
        </w:rPr>
        <w:t>仅</w:t>
      </w:r>
      <w:r>
        <w:rPr>
          <w:rFonts w:hint="eastAsia" w:hAnsi="宋体" w:cs="宋体"/>
          <w:kern w:val="0"/>
          <w:sz w:val="28"/>
          <w:szCs w:val="28"/>
          <w:lang w:eastAsia="zh-CN"/>
        </w:rPr>
        <w:t>提供</w:t>
      </w:r>
      <w:r>
        <w:rPr>
          <w:rFonts w:hint="eastAsia" w:hAnsi="宋体" w:cs="宋体"/>
          <w:kern w:val="0"/>
          <w:sz w:val="28"/>
          <w:szCs w:val="28"/>
          <w:lang w:val="en-US" w:eastAsia="zh-CN"/>
        </w:rPr>
        <w:t>估价对象</w:t>
      </w:r>
      <w:r>
        <w:rPr>
          <w:rFonts w:hint="eastAsia" w:hAnsi="宋体" w:cs="宋体"/>
          <w:kern w:val="0"/>
          <w:sz w:val="28"/>
          <w:szCs w:val="28"/>
          <w:lang w:eastAsia="zh-CN"/>
        </w:rPr>
        <w:t>的</w:t>
      </w:r>
      <w:r>
        <w:rPr>
          <w:rFonts w:hint="eastAsia" w:ascii="宋体" w:hAnsi="宋体" w:cs="Times New Roman"/>
          <w:kern w:val="2"/>
          <w:sz w:val="28"/>
          <w:szCs w:val="28"/>
          <w:lang w:val="en-US" w:eastAsia="zh-CN"/>
        </w:rPr>
        <w:t>《禹州市国土资源局不动产权登记记载表》</w:t>
      </w:r>
      <w:r>
        <w:rPr>
          <w:rFonts w:hint="eastAsia" w:hAnsi="宋体" w:cs="宋体"/>
          <w:kern w:val="0"/>
          <w:sz w:val="28"/>
          <w:szCs w:val="28"/>
          <w:lang w:val="en-US" w:eastAsia="zh-CN"/>
        </w:rPr>
        <w:t>复印件</w:t>
      </w:r>
      <w:r>
        <w:rPr>
          <w:rFonts w:hint="eastAsia" w:hAnsi="宋体"/>
          <w:sz w:val="28"/>
          <w:szCs w:val="28"/>
          <w:lang w:eastAsia="zh-CN"/>
        </w:rPr>
        <w:t>，本次</w:t>
      </w:r>
      <w:r>
        <w:rPr>
          <w:rFonts w:hint="eastAsia" w:hAnsi="宋体"/>
          <w:sz w:val="28"/>
          <w:szCs w:val="28"/>
          <w:lang w:val="en-US" w:eastAsia="zh-CN"/>
        </w:rPr>
        <w:t>估价</w:t>
      </w:r>
      <w:r>
        <w:rPr>
          <w:rFonts w:hint="eastAsia" w:hAnsi="宋体"/>
          <w:sz w:val="28"/>
          <w:szCs w:val="28"/>
          <w:lang w:eastAsia="zh-CN"/>
        </w:rPr>
        <w:t>假设</w:t>
      </w:r>
      <w:r>
        <w:rPr>
          <w:rFonts w:hint="eastAsia" w:hAnsi="宋体" w:cs="宋体"/>
          <w:kern w:val="0"/>
          <w:sz w:val="28"/>
          <w:szCs w:val="28"/>
          <w:lang w:val="en-US" w:eastAsia="zh-CN"/>
        </w:rPr>
        <w:t>土地规划用途与房屋规划用途一致</w:t>
      </w:r>
      <w:r>
        <w:rPr>
          <w:rFonts w:hint="eastAsia" w:hAnsi="宋体"/>
          <w:sz w:val="28"/>
          <w:szCs w:val="28"/>
          <w:lang w:eastAsia="zh-CN"/>
        </w:rPr>
        <w:t>，</w:t>
      </w:r>
      <w:r>
        <w:rPr>
          <w:rFonts w:hint="eastAsia" w:hAnsi="宋体" w:cs="宋体"/>
          <w:kern w:val="0"/>
          <w:sz w:val="28"/>
          <w:szCs w:val="28"/>
        </w:rPr>
        <w:t>房屋</w:t>
      </w:r>
      <w:r>
        <w:rPr>
          <w:rFonts w:hint="eastAsia" w:hAnsi="宋体" w:cs="宋体"/>
          <w:kern w:val="0"/>
          <w:sz w:val="28"/>
          <w:szCs w:val="28"/>
          <w:lang w:val="en-US" w:eastAsia="zh-CN"/>
        </w:rPr>
        <w:t>权利人和</w:t>
      </w:r>
      <w:r>
        <w:rPr>
          <w:rFonts w:hint="eastAsia" w:hAnsi="宋体" w:cs="宋体"/>
          <w:kern w:val="0"/>
          <w:sz w:val="28"/>
          <w:szCs w:val="28"/>
        </w:rPr>
        <w:t>土地</w:t>
      </w:r>
      <w:r>
        <w:rPr>
          <w:rFonts w:hint="eastAsia" w:hAnsi="宋体" w:cs="宋体"/>
          <w:kern w:val="0"/>
          <w:sz w:val="28"/>
          <w:szCs w:val="28"/>
          <w:lang w:val="en-US" w:eastAsia="zh-CN"/>
        </w:rPr>
        <w:t>权利人</w:t>
      </w:r>
      <w:r>
        <w:rPr>
          <w:rFonts w:hint="eastAsia" w:hAnsi="宋体" w:cs="宋体"/>
          <w:kern w:val="0"/>
          <w:sz w:val="28"/>
          <w:szCs w:val="28"/>
          <w:lang w:eastAsia="zh-CN"/>
        </w:rPr>
        <w:t>一致</w:t>
      </w:r>
      <w:r>
        <w:rPr>
          <w:rFonts w:hint="eastAsia" w:hAnsi="宋体"/>
          <w:sz w:val="28"/>
          <w:szCs w:val="28"/>
        </w:rPr>
        <w:t>。</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4</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依据不足假设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spacing w:line="580" w:lineRule="exact"/>
        <w:ind w:left="0" w:leftChars="0" w:firstLine="638" w:firstLineChars="228"/>
        <w:rPr>
          <w:rFonts w:hint="eastAsia" w:hAnsi="宋体" w:cs="宋体"/>
          <w:color w:val="000000"/>
          <w:kern w:val="0"/>
          <w:sz w:val="28"/>
          <w:szCs w:val="28"/>
        </w:rPr>
      </w:pPr>
      <w:r>
        <w:rPr>
          <w:rFonts w:hint="eastAsia" w:hAnsi="宋体" w:cs="宋体"/>
          <w:color w:val="000000"/>
          <w:kern w:val="0"/>
          <w:sz w:val="28"/>
          <w:szCs w:val="28"/>
          <w:lang w:eastAsia="zh-CN"/>
        </w:rPr>
        <w:t>①</w:t>
      </w:r>
      <w:r>
        <w:rPr>
          <w:rFonts w:hint="eastAsia" w:hAnsi="宋体" w:cs="宋体"/>
          <w:color w:val="000000"/>
          <w:kern w:val="0"/>
          <w:sz w:val="28"/>
          <w:szCs w:val="28"/>
        </w:rPr>
        <w:t>估价</w:t>
      </w:r>
      <w:r>
        <w:rPr>
          <w:rFonts w:hint="eastAsia" w:hAnsi="宋体" w:cs="宋体"/>
          <w:color w:val="000000"/>
          <w:kern w:val="0"/>
          <w:sz w:val="28"/>
          <w:szCs w:val="28"/>
          <w:lang w:eastAsia="zh-CN"/>
        </w:rPr>
        <w:t>委托人</w:t>
      </w:r>
      <w:r>
        <w:rPr>
          <w:rFonts w:hint="eastAsia" w:hAnsi="宋体" w:cs="宋体"/>
          <w:color w:val="000000"/>
          <w:kern w:val="0"/>
          <w:sz w:val="28"/>
          <w:szCs w:val="28"/>
        </w:rPr>
        <w:t>仅提供了估价对象</w:t>
      </w:r>
      <w:r>
        <w:rPr>
          <w:rFonts w:hint="eastAsia" w:hAnsi="宋体"/>
          <w:color w:val="000000"/>
          <w:sz w:val="28"/>
          <w:szCs w:val="28"/>
          <w:lang w:eastAsia="zh-CN"/>
        </w:rPr>
        <w:t>《禹州市国土资源局不动产权登记记载表》</w:t>
      </w:r>
      <w:r>
        <w:rPr>
          <w:rFonts w:hint="eastAsia" w:hAnsi="宋体"/>
          <w:color w:val="000000"/>
          <w:sz w:val="28"/>
          <w:szCs w:val="28"/>
        </w:rPr>
        <w:t>复印件</w:t>
      </w:r>
      <w:r>
        <w:rPr>
          <w:rFonts w:hint="eastAsia" w:hAnsi="宋体" w:cs="宋体"/>
          <w:color w:val="000000"/>
          <w:kern w:val="0"/>
          <w:sz w:val="28"/>
          <w:szCs w:val="28"/>
        </w:rPr>
        <w:t>，本次估价假定</w:t>
      </w:r>
      <w:r>
        <w:rPr>
          <w:rFonts w:hint="eastAsia" w:hAnsi="宋体" w:cs="宋体"/>
          <w:color w:val="000000"/>
          <w:kern w:val="0"/>
          <w:sz w:val="28"/>
          <w:szCs w:val="28"/>
          <w:lang w:eastAsia="zh-CN"/>
        </w:rPr>
        <w:t>委托人</w:t>
      </w:r>
      <w:r>
        <w:rPr>
          <w:rFonts w:hint="eastAsia" w:hAnsi="宋体" w:cs="宋体"/>
          <w:color w:val="000000"/>
          <w:kern w:val="0"/>
          <w:sz w:val="28"/>
          <w:szCs w:val="28"/>
        </w:rPr>
        <w:t>提供的资料真实、合法、有效。</w:t>
      </w:r>
    </w:p>
    <w:p>
      <w:pPr>
        <w:spacing w:line="580" w:lineRule="exact"/>
        <w:ind w:left="0" w:leftChars="0" w:firstLine="638" w:firstLineChars="228"/>
        <w:rPr>
          <w:rFonts w:hint="eastAsia" w:hAnsi="宋体" w:cs="宋体"/>
          <w:color w:val="auto"/>
          <w:kern w:val="0"/>
          <w:sz w:val="28"/>
          <w:szCs w:val="28"/>
        </w:rPr>
      </w:pPr>
      <w:r>
        <w:rPr>
          <w:rFonts w:hint="eastAsia" w:hAnsi="宋体" w:cs="宋体"/>
          <w:color w:val="auto"/>
          <w:kern w:val="0"/>
          <w:sz w:val="28"/>
          <w:szCs w:val="28"/>
        </w:rPr>
        <w:t>②估价对象的具体位置、座落</w:t>
      </w:r>
      <w:r>
        <w:rPr>
          <w:rFonts w:hint="eastAsia" w:hAnsi="宋体" w:cs="宋体"/>
          <w:color w:val="auto"/>
          <w:kern w:val="0"/>
          <w:sz w:val="28"/>
          <w:szCs w:val="28"/>
          <w:lang w:eastAsia="zh-CN"/>
        </w:rPr>
        <w:t>、用途、建筑结构、总层数</w:t>
      </w:r>
      <w:r>
        <w:rPr>
          <w:rFonts w:hint="eastAsia" w:hAnsi="宋体" w:cs="宋体"/>
          <w:color w:val="auto"/>
          <w:kern w:val="0"/>
          <w:sz w:val="28"/>
          <w:szCs w:val="28"/>
        </w:rPr>
        <w:t>是估价的重要依据，本估价对象的位置由委托人、当事人指认，本次估价以此位置为估价前提</w:t>
      </w:r>
      <w:r>
        <w:rPr>
          <w:rFonts w:hint="eastAsia" w:hAnsi="宋体" w:cs="宋体"/>
          <w:color w:val="auto"/>
          <w:kern w:val="0"/>
          <w:sz w:val="28"/>
          <w:szCs w:val="28"/>
          <w:lang w:eastAsia="zh-CN"/>
        </w:rPr>
        <w:t>。</w:t>
      </w:r>
      <w:r>
        <w:rPr>
          <w:rFonts w:hint="eastAsia" w:hAnsi="宋体"/>
          <w:color w:val="auto"/>
          <w:sz w:val="28"/>
          <w:szCs w:val="28"/>
        </w:rPr>
        <w:t>我公司在此情况下开展的估价工作，当事人不应对估价工作在估价依据方面的固有瑕疵提出质疑，也不得因此对房地产估价机构和注册房地产估价师提出估价不当的指控，当事人应当承担估价结果可能带来的法律后果。</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b/>
          <w:color w:val="000000"/>
          <w:kern w:val="0"/>
          <w:sz w:val="28"/>
          <w:szCs w:val="28"/>
          <w:lang w:val="en-US"/>
        </w:rPr>
      </w:pPr>
      <w:r>
        <w:rPr>
          <w:rFonts w:hint="eastAsia" w:ascii="宋体" w:hAnsi="宋体" w:eastAsia="宋体" w:cs="宋体"/>
          <w:bCs/>
          <w:color w:val="000000"/>
          <w:kern w:val="0"/>
          <w:sz w:val="28"/>
          <w:szCs w:val="28"/>
          <w:lang w:val="en-US" w:eastAsia="zh-CN"/>
        </w:rPr>
        <w:t> </w:t>
      </w:r>
      <w:r>
        <w:rPr>
          <w:rFonts w:hint="eastAsia" w:ascii="宋体" w:hAnsi="宋体" w:cs="宋体"/>
          <w:b/>
          <w:color w:val="000000"/>
          <w:kern w:val="0"/>
          <w:sz w:val="28"/>
          <w:szCs w:val="28"/>
          <w:lang w:val="en-US" w:eastAsia="zh-CN"/>
        </w:rPr>
        <w:t>(</w:t>
      </w:r>
      <w:r>
        <w:rPr>
          <w:rFonts w:hint="eastAsia" w:ascii="宋体" w:hAnsi="宋体" w:eastAsia="宋体" w:cs="宋体"/>
          <w:b/>
          <w:color w:val="000000"/>
          <w:kern w:val="0"/>
          <w:sz w:val="28"/>
          <w:szCs w:val="28"/>
          <w:lang w:val="en-US" w:eastAsia="zh-CN"/>
        </w:rPr>
        <w:t>二</w:t>
      </w:r>
      <w:r>
        <w:rPr>
          <w:rFonts w:hint="eastAsia" w:ascii="宋体" w:hAnsi="宋体" w:cs="宋体"/>
          <w:b/>
          <w:color w:val="000000"/>
          <w:kern w:val="0"/>
          <w:sz w:val="28"/>
          <w:szCs w:val="28"/>
          <w:lang w:val="en-US" w:eastAsia="zh-CN"/>
        </w:rPr>
        <w:t>)</w:t>
      </w:r>
      <w:r>
        <w:rPr>
          <w:rFonts w:hint="eastAsia" w:ascii="宋体" w:hAnsi="宋体" w:eastAsia="宋体" w:cs="宋体"/>
          <w:b/>
          <w:color w:val="000000"/>
          <w:kern w:val="0"/>
          <w:sz w:val="28"/>
          <w:szCs w:val="28"/>
          <w:lang w:val="en-US" w:eastAsia="zh-CN"/>
        </w:rPr>
        <w:t>估价报告使用限制</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color w:val="000000"/>
          <w:sz w:val="28"/>
          <w:szCs w:val="28"/>
          <w:lang w:val="en-US"/>
        </w:rPr>
      </w:pPr>
      <w:r>
        <w:rPr>
          <w:rFonts w:hint="eastAsia" w:ascii="宋体" w:hAnsi="宋体" w:eastAsia="宋体" w:cs="宋体"/>
          <w:bCs/>
          <w:color w:val="000000"/>
          <w:kern w:val="0"/>
          <w:sz w:val="28"/>
          <w:szCs w:val="28"/>
          <w:lang w:val="en-US" w:eastAsia="zh-CN"/>
        </w:rPr>
        <w:t>1、估价结果为房地产市场价值，是</w:t>
      </w:r>
      <w:r>
        <w:rPr>
          <w:rFonts w:hint="eastAsia" w:ascii="宋体" w:hAnsi="宋体" w:eastAsia="宋体" w:cs="宋体"/>
          <w:color w:val="000000"/>
          <w:kern w:val="2"/>
          <w:sz w:val="28"/>
          <w:szCs w:val="28"/>
          <w:lang w:val="en-US" w:eastAsia="zh-CN"/>
        </w:rPr>
        <w:t>房地产经过适当营销后，由熟悉情况、谨慎行事且不受强迫的交易双方，以公平交易方式在价值时点自愿进行交易的金额。</w:t>
      </w:r>
    </w:p>
    <w:p>
      <w:pPr>
        <w:keepNext w:val="0"/>
        <w:keepLines w:val="0"/>
        <w:widowControl/>
        <w:suppressLineNumbers w:val="0"/>
        <w:bidi w:val="0"/>
        <w:spacing w:before="0" w:beforeAutospacing="0" w:after="0" w:afterAutospacing="0" w:line="580" w:lineRule="exact"/>
        <w:ind w:left="0" w:leftChars="0" w:right="0" w:firstLine="638" w:firstLineChars="228"/>
        <w:jc w:val="both"/>
        <w:rPr>
          <w:color w:val="000000"/>
          <w:sz w:val="28"/>
          <w:szCs w:val="28"/>
          <w:lang w:val="en-US"/>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本估价结果仅为人民法院确定财产处置参考价，</w:t>
      </w:r>
      <w:r>
        <w:rPr>
          <w:rFonts w:hint="eastAsia" w:ascii="宋体" w:hAnsi="宋体" w:eastAsia="宋体" w:cs="宋体"/>
          <w:bCs/>
          <w:color w:val="000000"/>
          <w:kern w:val="0"/>
          <w:sz w:val="28"/>
          <w:szCs w:val="28"/>
          <w:lang w:val="en-US" w:eastAsia="zh-CN"/>
        </w:rPr>
        <w:t>不应当被视为对评估对象处置成交价格的保证</w:t>
      </w:r>
      <w:r>
        <w:rPr>
          <w:rFonts w:hint="eastAsia" w:ascii="宋体" w:hAnsi="宋体" w:cs="宋体"/>
          <w:bCs/>
          <w:color w:val="000000"/>
          <w:kern w:val="0"/>
          <w:sz w:val="28"/>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Times New Roman" w:eastAsia="宋体" w:cs="Times New Roman"/>
          <w:color w:val="000000"/>
          <w:kern w:val="2"/>
          <w:sz w:val="28"/>
          <w:szCs w:val="28"/>
          <w:lang w:val="en-US" w:eastAsia="zh-CN"/>
        </w:rPr>
        <w:t>3、本</w:t>
      </w:r>
      <w:r>
        <w:rPr>
          <w:rFonts w:hint="eastAsia" w:ascii="宋体" w:hAnsi="宋体" w:eastAsia="宋体" w:cs="Times New Roman"/>
          <w:color w:val="000000"/>
          <w:kern w:val="2"/>
          <w:sz w:val="28"/>
          <w:szCs w:val="28"/>
          <w:lang w:val="en-US" w:eastAsia="zh-CN"/>
        </w:rPr>
        <w:t>估价报告按照既定目的提供给估价委托人使用，若改变估价目的及使用条件，需向本公司咨询后作必要调整甚至重新估价。</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bCs/>
          <w:kern w:val="0"/>
          <w:sz w:val="28"/>
          <w:szCs w:val="28"/>
          <w:lang w:val="en-US"/>
        </w:rPr>
      </w:pPr>
      <w:r>
        <w:rPr>
          <w:rFonts w:hint="eastAsia" w:ascii="宋体" w:hAnsi="宋体" w:eastAsia="宋体" w:cs="Times New Roman"/>
          <w:color w:val="000000"/>
          <w:kern w:val="2"/>
          <w:sz w:val="28"/>
          <w:szCs w:val="28"/>
          <w:lang w:val="en-US" w:eastAsia="zh-CN"/>
        </w:rPr>
        <w:t>4、估价报告使用期限自估价报告出具之日起为壹年。若报告使用期限内，房地产市场或估价对象状况发生重大变化，</w:t>
      </w:r>
      <w:r>
        <w:rPr>
          <w:rFonts w:hint="eastAsia" w:ascii="宋体" w:hAnsi="宋体" w:eastAsia="宋体" w:cs="Times New Roman"/>
          <w:bCs/>
          <w:kern w:val="2"/>
          <w:sz w:val="28"/>
          <w:szCs w:val="28"/>
          <w:lang w:val="en-US" w:eastAsia="zh-CN"/>
        </w:rPr>
        <w:t>对估价结果产生明显影响时，</w:t>
      </w:r>
      <w:r>
        <w:rPr>
          <w:rFonts w:hint="eastAsia" w:ascii="宋体" w:hAnsi="宋体" w:eastAsia="宋体" w:cs="Times New Roman"/>
          <w:color w:val="000000"/>
          <w:kern w:val="2"/>
          <w:sz w:val="28"/>
          <w:szCs w:val="28"/>
          <w:lang w:val="en-US" w:eastAsia="zh-CN"/>
        </w:rPr>
        <w:t>估价结果需做相应调整或委托房地产估价机构重新估价。</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5、估价报告分为“估价结果报告”和“估价技术报告”两部分。“估价结果报告”提供给估价委托人，“估价技术报告”根据有关规定由房地产估价机构存档并在特殊需要时提供给有关方使用。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 xml:space="preserve"> 6、估价委托人及相关当事人如对本报告的估价结果有异议，请于收到本报告之日起五日内以书面方式向本公司提出。</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7、未经房地产估价机构书面同意，本估价报告的全部或部分及任何参考资料均不允许在任何公开发表的文件、通告或声明中引用，亦不得以其他任何方式公开发表。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8、如发现本估价报告文字或数字因校对或其它类似原因出现差错时，请通知本公司进行更正。</w:t>
      </w:r>
    </w:p>
    <w:p>
      <w:pPr>
        <w:keepNext w:val="0"/>
        <w:keepLines w:val="0"/>
        <w:widowControl/>
        <w:suppressLineNumbers w:val="0"/>
        <w:bidi w:val="0"/>
        <w:spacing w:before="0" w:beforeAutospacing="0" w:after="0" w:afterAutospacing="0" w:line="580" w:lineRule="exact"/>
        <w:ind w:left="0" w:leftChars="0" w:right="0" w:firstLine="641" w:firstLineChars="228"/>
        <w:jc w:val="both"/>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（三）需要说明的其他事项</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1、现实房地产交易中，一般难以达到理想的公开市场条件，致使实际交易价格往往与估价结果不够一致。</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2、估价中无法考虑不可抗力等因素对估价对象造成的意外损害。</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default" w:ascii="宋体" w:hAnsi="宋体" w:eastAsia="宋体" w:cs="Times New Roman"/>
          <w:color w:val="000000"/>
          <w:kern w:val="2"/>
          <w:sz w:val="28"/>
          <w:szCs w:val="28"/>
          <w:lang w:val="en-US" w:eastAsia="zh-CN"/>
        </w:rPr>
      </w:pPr>
    </w:p>
    <w:p>
      <w:pPr>
        <w:rPr>
          <w:rFonts w:hint="eastAsia" w:ascii="宋体" w:hAnsi="宋体" w:eastAsia="宋体" w:cs="Times New Roman"/>
          <w:b/>
          <w:bCs w:val="0"/>
          <w:kern w:val="2"/>
          <w:sz w:val="44"/>
          <w:szCs w:val="44"/>
          <w:lang w:val="en-US" w:eastAsia="zh-CN"/>
        </w:rPr>
      </w:pPr>
      <w:r>
        <w:rPr>
          <w:rFonts w:hint="eastAsia" w:ascii="宋体" w:hAnsi="宋体" w:eastAsia="宋体" w:cs="Times New Roman"/>
          <w:b/>
          <w:bCs w:val="0"/>
          <w:kern w:val="2"/>
          <w:sz w:val="44"/>
          <w:szCs w:val="44"/>
          <w:lang w:val="en-US" w:eastAsia="zh-CN"/>
        </w:rPr>
        <w:br w:type="page"/>
      </w:r>
    </w:p>
    <w:p>
      <w:pPr>
        <w:keepNext w:val="0"/>
        <w:keepLines w:val="0"/>
        <w:widowControl w:val="0"/>
        <w:suppressLineNumbers w:val="0"/>
        <w:bidi w:val="0"/>
        <w:spacing w:before="0" w:beforeAutospacing="0" w:after="0" w:afterAutospacing="0" w:line="600" w:lineRule="atLeast"/>
        <w:ind w:left="0" w:right="0"/>
        <w:jc w:val="center"/>
        <w:rPr>
          <w:rFonts w:hAnsi="宋体"/>
          <w:b/>
          <w:bCs w:val="0"/>
          <w:sz w:val="36"/>
          <w:szCs w:val="36"/>
          <w:lang w:val="en-US"/>
        </w:rPr>
      </w:pPr>
      <w:r>
        <w:rPr>
          <w:rFonts w:hint="eastAsia" w:ascii="宋体" w:hAnsi="宋体" w:eastAsia="宋体" w:cs="Times New Roman"/>
          <w:b/>
          <w:bCs w:val="0"/>
          <w:kern w:val="2"/>
          <w:sz w:val="44"/>
          <w:szCs w:val="44"/>
          <w:lang w:val="en-US" w:eastAsia="zh-CN"/>
        </w:rPr>
        <w:t>三、估 价 结 果 报 告</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bCs w:val="0"/>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一</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估价委托人</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名称：</w:t>
      </w:r>
      <w:r>
        <w:rPr>
          <w:rFonts w:hint="eastAsia" w:ascii="宋体" w:hAnsi="宋体" w:cs="Times New Roman"/>
          <w:kern w:val="2"/>
          <w:sz w:val="28"/>
          <w:szCs w:val="28"/>
          <w:lang w:val="en-US" w:eastAsia="zh-CN"/>
        </w:rPr>
        <w:t>禹州市人民法院</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二</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房地产估价机构</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机构名称：河南凯业房地产估价咨询有限公司</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住所：河南自贸试验区郑州片区</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郑东</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金水路49号绿地原盛国际1号楼B座8楼133号</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统一社会信用代码：914101057474124171</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法定代表人：张红娜</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备案等级：一级</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证书编号：B41010831</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有效期限：2022年04月06日至2025年04月05日</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三</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估价目的</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sz w:val="28"/>
          <w:szCs w:val="28"/>
          <w:lang w:val="en-US"/>
        </w:rPr>
      </w:pPr>
      <w:r>
        <w:rPr>
          <w:rFonts w:hint="eastAsia" w:ascii="宋体" w:hAnsi="宋体" w:cs="Times New Roman"/>
          <w:kern w:val="2"/>
          <w:sz w:val="28"/>
          <w:szCs w:val="28"/>
          <w:lang w:val="en-US" w:eastAsia="zh-CN"/>
        </w:rPr>
        <w:t>为人民法院确定财产处置参考价提供参考依据</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四</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估价对象</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bCs/>
          <w:sz w:val="28"/>
          <w:szCs w:val="28"/>
          <w:lang w:val="en-US"/>
        </w:rPr>
      </w:pPr>
      <w:r>
        <w:rPr>
          <w:rFonts w:hint="eastAsia" w:ascii="宋体" w:hAnsi="宋体" w:eastAsia="宋体" w:cs="Times New Roman"/>
          <w:bCs/>
          <w:kern w:val="2"/>
          <w:sz w:val="28"/>
          <w:szCs w:val="28"/>
          <w:lang w:val="en-US" w:eastAsia="zh-CN"/>
        </w:rPr>
        <w:t>1、估价对象范围</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bCs/>
          <w:sz w:val="28"/>
          <w:szCs w:val="28"/>
          <w:lang w:val="en-US"/>
        </w:rPr>
      </w:pPr>
      <w:r>
        <w:rPr>
          <w:rFonts w:hint="eastAsia" w:ascii="宋体" w:hAnsi="宋体" w:cs="Times New Roman"/>
          <w:kern w:val="2"/>
          <w:sz w:val="28"/>
          <w:szCs w:val="28"/>
          <w:lang w:val="en-US" w:eastAsia="zh-CN"/>
        </w:rPr>
        <w:t>委托人</w:t>
      </w:r>
      <w:r>
        <w:rPr>
          <w:rFonts w:hint="eastAsia" w:ascii="宋体" w:hAnsi="宋体" w:eastAsia="宋体" w:cs="Times New Roman"/>
          <w:kern w:val="2"/>
          <w:sz w:val="28"/>
          <w:szCs w:val="28"/>
          <w:lang w:val="en-US" w:eastAsia="zh-CN"/>
        </w:rPr>
        <w:t>提供的房屋共一处一</w:t>
      </w:r>
      <w:r>
        <w:rPr>
          <w:rFonts w:hint="eastAsia" w:ascii="宋体" w:hAnsi="宋体" w:cs="Times New Roman"/>
          <w:kern w:val="2"/>
          <w:sz w:val="28"/>
          <w:szCs w:val="28"/>
          <w:lang w:val="en-US" w:eastAsia="zh-CN"/>
        </w:rPr>
        <w:t>套</w:t>
      </w:r>
      <w:r>
        <w:rPr>
          <w:rFonts w:hint="eastAsia" w:ascii="宋体" w:hAnsi="宋体" w:eastAsia="宋体" w:cs="Times New Roman"/>
          <w:kern w:val="2"/>
          <w:sz w:val="28"/>
          <w:szCs w:val="28"/>
          <w:lang w:val="en-US" w:eastAsia="zh-CN"/>
        </w:rPr>
        <w:t>房地产，此次评估房屋总建筑面积为</w:t>
      </w:r>
      <w:r>
        <w:rPr>
          <w:rFonts w:hint="eastAsia" w:ascii="宋体" w:hAnsi="宋体" w:cs="Times New Roman"/>
          <w:kern w:val="2"/>
          <w:sz w:val="28"/>
          <w:szCs w:val="28"/>
          <w:lang w:val="en-US" w:eastAsia="zh-CN"/>
        </w:rPr>
        <w:t>123.00</w:t>
      </w:r>
      <w:r>
        <w:rPr>
          <w:rFonts w:hint="eastAsia" w:ascii="宋体" w:hAnsi="宋体" w:eastAsia="宋体" w:cs="Times New Roman"/>
          <w:kern w:val="2"/>
          <w:sz w:val="28"/>
          <w:szCs w:val="28"/>
          <w:lang w:val="en-US" w:eastAsia="zh-CN"/>
        </w:rPr>
        <w:t>平方米,</w:t>
      </w:r>
      <w:r>
        <w:rPr>
          <w:rFonts w:hint="eastAsia" w:ascii="宋体" w:hAnsi="宋体" w:eastAsia="宋体" w:cs="Times New Roman"/>
          <w:bCs/>
          <w:kern w:val="2"/>
          <w:sz w:val="28"/>
          <w:szCs w:val="28"/>
          <w:lang w:val="en-US" w:eastAsia="zh-CN"/>
        </w:rPr>
        <w:t>估价对象为</w:t>
      </w:r>
      <w:r>
        <w:rPr>
          <w:rFonts w:hint="eastAsia" w:ascii="宋体" w:hAnsi="宋体" w:cs="Times New Roman"/>
          <w:bCs/>
          <w:kern w:val="2"/>
          <w:sz w:val="28"/>
          <w:szCs w:val="28"/>
          <w:lang w:val="en-US" w:eastAsia="zh-CN"/>
        </w:rPr>
        <w:t>高层</w:t>
      </w:r>
      <w:r>
        <w:rPr>
          <w:rFonts w:hint="eastAsia" w:ascii="宋体" w:hAnsi="宋体" w:eastAsia="宋体" w:cs="Times New Roman"/>
          <w:bCs/>
          <w:kern w:val="2"/>
          <w:sz w:val="28"/>
          <w:szCs w:val="28"/>
          <w:lang w:val="en-US" w:eastAsia="zh-CN"/>
        </w:rPr>
        <w:t>、</w:t>
      </w:r>
      <w:r>
        <w:rPr>
          <w:rFonts w:hint="eastAsia" w:ascii="宋体" w:hAnsi="宋体" w:cs="Times New Roman"/>
          <w:bCs/>
          <w:kern w:val="2"/>
          <w:sz w:val="28"/>
          <w:szCs w:val="28"/>
          <w:lang w:val="en-US" w:eastAsia="zh-CN"/>
        </w:rPr>
        <w:t>有电梯住宅</w:t>
      </w:r>
      <w:r>
        <w:rPr>
          <w:rFonts w:hint="eastAsia" w:ascii="宋体" w:hAnsi="宋体" w:eastAsia="宋体" w:cs="Times New Roman"/>
          <w:bCs/>
          <w:kern w:val="2"/>
          <w:sz w:val="28"/>
          <w:szCs w:val="28"/>
          <w:lang w:val="en-US" w:eastAsia="zh-CN"/>
        </w:rPr>
        <w:t>房屋。</w:t>
      </w:r>
      <w:r>
        <w:rPr>
          <w:rFonts w:hint="eastAsia" w:ascii="宋体" w:hAnsi="Times New Roman" w:eastAsia="宋体" w:cs="Times New Roman"/>
          <w:kern w:val="2"/>
          <w:sz w:val="28"/>
          <w:szCs w:val="28"/>
          <w:lang w:val="en-US" w:eastAsia="zh-CN"/>
        </w:rPr>
        <w:t>委托人指定的估价对象财产范围及其基本状况如下表：</w:t>
      </w:r>
    </w:p>
    <w:p>
      <w:pPr>
        <w:keepNext w:val="0"/>
        <w:keepLines w:val="0"/>
        <w:widowControl w:val="0"/>
        <w:suppressLineNumbers w:val="0"/>
        <w:bidi w:val="0"/>
        <w:spacing w:before="0" w:beforeAutospacing="0" w:after="0" w:afterAutospacing="0" w:line="600" w:lineRule="exact"/>
        <w:ind w:left="638" w:right="0" w:hanging="638"/>
        <w:jc w:val="center"/>
        <w:rPr>
          <w:rFonts w:hAnsi="宋体"/>
          <w:bCs/>
          <w:sz w:val="28"/>
          <w:szCs w:val="28"/>
          <w:lang w:val="en-US"/>
        </w:rPr>
      </w:pPr>
      <w:r>
        <w:rPr>
          <w:rFonts w:hint="eastAsia" w:ascii="宋体" w:hAnsi="宋体" w:eastAsia="宋体" w:cs="Times New Roman"/>
          <w:bCs/>
          <w:kern w:val="2"/>
          <w:sz w:val="28"/>
          <w:szCs w:val="28"/>
          <w:lang w:val="en-US" w:eastAsia="zh-CN"/>
        </w:rPr>
        <w:t>估价对象财产范围及其基本状况一览表表3</w:t>
      </w:r>
    </w:p>
    <w:tbl>
      <w:tblPr>
        <w:tblStyle w:val="8"/>
        <w:tblpPr w:leftFromText="180" w:rightFromText="180" w:vertAnchor="text" w:horzAnchor="margin" w:tblpXSpec="center" w:tblpY="2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119"/>
        <w:gridCol w:w="1760"/>
        <w:gridCol w:w="1996"/>
        <w:gridCol w:w="1423"/>
        <w:gridCol w:w="2"/>
        <w:gridCol w:w="2559"/>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坐落</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cs="宋体"/>
                <w:szCs w:val="21"/>
                <w:lang w:val="en-US" w:eastAsia="zh-CN"/>
              </w:rPr>
              <w:t>河南省许昌市禹州市夏都办禹王大道中段路南鼎原花苑1幢4单元3层4-303房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2</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名称</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cs="宋体"/>
                <w:szCs w:val="21"/>
                <w:lang w:val="en-US" w:eastAsia="zh-CN"/>
              </w:rPr>
              <w:t>铭仕公馆</w:t>
            </w:r>
            <w:r>
              <w:rPr>
                <w:rFonts w:hint="eastAsia" w:ascii="宋体" w:hAnsi="宋体" w:eastAsia="宋体" w:cs="宋体"/>
                <w:szCs w:val="21"/>
                <w:lang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3</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范围</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hAnsi="宋体"/>
                <w:szCs w:val="21"/>
              </w:rPr>
              <w:t>包括房屋及其相应分摊的土地使用权</w:t>
            </w:r>
            <w:r>
              <w:rPr>
                <w:rFonts w:hint="eastAsia" w:hAnsi="宋体" w:eastAsia="宋体" w:cs="Times New Roman"/>
                <w:color w:val="auto"/>
                <w:szCs w:val="21"/>
                <w:highlight w:val="none"/>
              </w:rPr>
              <w:t>（含室内装饰装修，不</w:t>
            </w:r>
            <w:r>
              <w:rPr>
                <w:rFonts w:hint="eastAsia" w:hAnsi="Calibri" w:eastAsia="宋体" w:cs="Times New Roman"/>
                <w:color w:val="auto"/>
                <w:szCs w:val="21"/>
                <w:highlight w:val="none"/>
              </w:rPr>
              <w:t>含</w:t>
            </w:r>
            <w:r>
              <w:rPr>
                <w:rFonts w:hint="eastAsia" w:hAnsi="宋体" w:eastAsia="宋体" w:cs="Times New Roman"/>
                <w:color w:val="auto"/>
                <w:szCs w:val="21"/>
                <w:highlight w:val="none"/>
              </w:rPr>
              <w:t>动产、特许经营权及债权债务等）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规模</w:t>
            </w:r>
          </w:p>
        </w:tc>
        <w:tc>
          <w:tcPr>
            <w:tcW w:w="7742" w:type="dxa"/>
            <w:gridSpan w:val="6"/>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Cs/>
                <w:szCs w:val="21"/>
              </w:rPr>
            </w:pPr>
            <w:r>
              <w:rPr>
                <w:rFonts w:hint="eastAsia" w:ascii="宋体" w:hAnsi="宋体" w:eastAsia="宋体" w:cs="宋体"/>
                <w:bCs/>
                <w:szCs w:val="21"/>
              </w:rPr>
              <w:t>房屋总建筑面积</w:t>
            </w:r>
            <w:r>
              <w:rPr>
                <w:rFonts w:hint="eastAsia" w:ascii="宋体" w:hAnsi="宋体" w:cs="宋体"/>
                <w:bCs/>
                <w:szCs w:val="21"/>
                <w:lang w:eastAsia="zh-CN"/>
              </w:rPr>
              <w:t>123.00</w:t>
            </w:r>
            <w:r>
              <w:rPr>
                <w:rFonts w:hint="eastAsia" w:ascii="宋体" w:hAnsi="宋体" w:eastAsia="宋体" w:cs="宋体"/>
                <w:szCs w:val="21"/>
              </w:rPr>
              <w:t>M</w:t>
            </w:r>
            <w:r>
              <w:rPr>
                <w:rFonts w:hint="eastAsia" w:ascii="宋体" w:hAnsi="宋体" w:eastAsia="宋体" w:cs="宋体"/>
                <w:szCs w:val="21"/>
                <w:vertAlign w:val="superscript"/>
              </w:rPr>
              <w:t xml:space="preserve">2 </w:t>
            </w:r>
            <w:r>
              <w:rPr>
                <w:rFonts w:hint="eastAsia" w:ascii="宋体" w:hAnsi="宋体" w:eastAsia="宋体" w:cs="宋体"/>
                <w:szCs w:val="21"/>
              </w:rPr>
              <w:t>及其相应分摊的土地使用权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5</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用途</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规划用途</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住宅</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实勘用途</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6</w:t>
            </w:r>
          </w:p>
        </w:tc>
        <w:tc>
          <w:tcPr>
            <w:tcW w:w="111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权属</w:t>
            </w:r>
          </w:p>
        </w:tc>
        <w:tc>
          <w:tcPr>
            <w:tcW w:w="176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bCs/>
                <w:szCs w:val="21"/>
                <w:lang w:eastAsia="zh-CN"/>
              </w:rPr>
              <w:t>所有权人</w:t>
            </w:r>
          </w:p>
        </w:tc>
        <w:tc>
          <w:tcPr>
            <w:tcW w:w="199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王国选</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bCs/>
                <w:szCs w:val="21"/>
              </w:rPr>
              <w:t>土地使用权类型</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未提供《国有土地使用证》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18"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szCs w:val="21"/>
              </w:rPr>
            </w:pPr>
          </w:p>
        </w:tc>
        <w:tc>
          <w:tcPr>
            <w:tcW w:w="1119"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szCs w:val="21"/>
              </w:rPr>
            </w:pPr>
          </w:p>
        </w:tc>
        <w:tc>
          <w:tcPr>
            <w:tcW w:w="176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szCs w:val="21"/>
                <w:lang w:eastAsia="zh-CN"/>
              </w:rPr>
              <w:t>共有人</w:t>
            </w:r>
          </w:p>
        </w:tc>
        <w:tc>
          <w:tcPr>
            <w:tcW w:w="1996"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赵花枝</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bCs/>
                <w:szCs w:val="21"/>
                <w:lang w:val="en-US" w:eastAsia="zh-CN"/>
              </w:rPr>
              <w:t>不动产权证号</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cs="宋体"/>
                <w:szCs w:val="21"/>
                <w:lang w:val="en-US" w:eastAsia="zh-CN"/>
              </w:rPr>
              <w:t>《禹州市国土资源局不动产权登记记载表》</w:t>
            </w:r>
            <w:r>
              <w:rPr>
                <w:rFonts w:hint="eastAsia" w:ascii="宋体" w:hAnsi="宋体" w:eastAsia="宋体" w:cs="宋体"/>
                <w:szCs w:val="21"/>
                <w:lang w:val="en-US" w:eastAsia="zh-CN"/>
              </w:rPr>
              <w:t>显示为：</w:t>
            </w:r>
            <w:r>
              <w:rPr>
                <w:rFonts w:hint="eastAsia" w:ascii="宋体" w:hAnsi="宋体" w:cs="宋体"/>
                <w:szCs w:val="21"/>
                <w:lang w:val="en-US" w:eastAsia="zh-CN"/>
              </w:rPr>
              <w:t>087537</w:t>
            </w:r>
          </w:p>
        </w:tc>
        <w:tc>
          <w:tcPr>
            <w:tcW w:w="2" w:type="dxa"/>
            <w:noWrap w:val="0"/>
            <w:vAlign w:val="top"/>
          </w:tcPr>
          <w:p>
            <w:pPr>
              <w:rPr>
                <w:rFonts w:hint="eastAsia" w:ascii="宋体" w:hAnsi="宋体" w:eastAsia="宋体" w:cs="宋体"/>
              </w:rPr>
            </w:pPr>
          </w:p>
        </w:tc>
      </w:tr>
    </w:tbl>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Times New Roman" w:eastAsia="宋体" w:cs="Times New Roman"/>
          <w:kern w:val="2"/>
          <w:sz w:val="28"/>
          <w:szCs w:val="28"/>
          <w:lang w:val="en-US" w:eastAsia="zh-CN"/>
        </w:rPr>
        <w:t xml:space="preserve"> 2、估价对象区位状况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1</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坐落位置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cs="宋体"/>
          <w:sz w:val="28"/>
          <w:szCs w:val="28"/>
          <w:lang w:val="en-US"/>
        </w:rPr>
      </w:pPr>
      <w:r>
        <w:rPr>
          <w:rFonts w:hint="eastAsia" w:ascii="宋体" w:hAnsi="宋体" w:eastAsia="宋体" w:cs="宋体"/>
          <w:kern w:val="2"/>
          <w:sz w:val="28"/>
          <w:szCs w:val="28"/>
          <w:lang w:val="en-US" w:eastAsia="zh-CN"/>
        </w:rPr>
        <w:t>其</w:t>
      </w:r>
      <w:r>
        <w:rPr>
          <w:rFonts w:hint="eastAsia" w:ascii="宋体" w:hAnsi="宋体" w:eastAsia="宋体" w:cs="Times New Roman"/>
          <w:kern w:val="2"/>
          <w:sz w:val="28"/>
          <w:szCs w:val="28"/>
          <w:lang w:val="en-US" w:eastAsia="zh-CN"/>
        </w:rPr>
        <w:t>位于</w:t>
      </w:r>
      <w:r>
        <w:rPr>
          <w:rFonts w:hint="eastAsia" w:ascii="宋体" w:hAnsi="宋体" w:cs="Times New Roman"/>
          <w:kern w:val="2"/>
          <w:sz w:val="28"/>
          <w:szCs w:val="28"/>
          <w:lang w:val="en-US" w:eastAsia="zh-CN"/>
        </w:rPr>
        <w:t>河南省许昌市禹州市夏都办禹王大道中段路南鼎原花苑1幢4单元3层4-303房</w:t>
      </w:r>
      <w:r>
        <w:rPr>
          <w:rFonts w:hint="eastAsia" w:ascii="宋体" w:hAnsi="宋体" w:eastAsia="宋体" w:cs="Times New Roman"/>
          <w:kern w:val="2"/>
          <w:sz w:val="28"/>
          <w:szCs w:val="28"/>
          <w:lang w:val="en-US" w:eastAsia="zh-CN"/>
        </w:rPr>
        <w:t>，</w:t>
      </w:r>
      <w:r>
        <w:rPr>
          <w:rFonts w:hint="eastAsia" w:ascii="宋体" w:hAnsi="宋体" w:eastAsia="宋体" w:cs="Times New Roman"/>
          <w:kern w:val="2"/>
          <w:sz w:val="28"/>
          <w:szCs w:val="22"/>
          <w:lang w:val="en-US" w:eastAsia="zh-CN"/>
        </w:rPr>
        <w:t>该</w:t>
      </w:r>
      <w:r>
        <w:rPr>
          <w:rFonts w:hint="eastAsia" w:ascii="宋体" w:hAnsi="宋体" w:eastAsia="宋体" w:cs="Times New Roman"/>
          <w:kern w:val="2"/>
          <w:sz w:val="28"/>
          <w:szCs w:val="28"/>
          <w:lang w:val="en-US" w:eastAsia="zh-CN"/>
        </w:rPr>
        <w:t>项目四至：</w:t>
      </w:r>
      <w:r>
        <w:rPr>
          <w:rFonts w:hint="eastAsia" w:ascii="宋体" w:hAnsi="宋体" w:cs="宋体"/>
          <w:kern w:val="2"/>
          <w:sz w:val="28"/>
          <w:szCs w:val="28"/>
          <w:lang w:val="en-US" w:eastAsia="zh-CN"/>
        </w:rPr>
        <w:t>东至禹王花苑，西至画圣路，南至中兴路，北至禹王大道</w:t>
      </w:r>
      <w:r>
        <w:rPr>
          <w:rFonts w:hint="eastAsia" w:ascii="宋体" w:hAnsi="宋体" w:eastAsia="宋体" w:cs="宋体"/>
          <w:kern w:val="2"/>
          <w:sz w:val="28"/>
          <w:szCs w:val="28"/>
          <w:lang w:val="en-US" w:eastAsia="zh-CN"/>
        </w:rPr>
        <w:t>；</w:t>
      </w:r>
      <w:r>
        <w:rPr>
          <w:rFonts w:hint="eastAsia" w:ascii="宋体" w:hAnsi="宋体" w:eastAsia="宋体" w:cs="Times New Roman"/>
          <w:kern w:val="2"/>
          <w:sz w:val="28"/>
          <w:szCs w:val="28"/>
          <w:lang w:val="en-US" w:eastAsia="zh-CN"/>
        </w:rPr>
        <w:t>价值时点估价人员现场查勘估价对象位于</w:t>
      </w:r>
      <w:r>
        <w:rPr>
          <w:rFonts w:hint="eastAsia" w:ascii="宋体" w:hAnsi="宋体" w:cs="Times New Roman"/>
          <w:kern w:val="2"/>
          <w:sz w:val="28"/>
          <w:szCs w:val="28"/>
          <w:lang w:val="en-US" w:eastAsia="zh-CN"/>
        </w:rPr>
        <w:t>河南省许昌市禹州市夏都办禹王大道中段路南鼎原花苑1幢4单元3层4-303房</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int="eastAsia" w:ascii="宋体" w:hAnsi="Times New Roman" w:eastAsia="宋体" w:cs="Times New Roman"/>
          <w:kern w:val="2"/>
          <w:sz w:val="28"/>
          <w:szCs w:val="28"/>
          <w:lang w:val="en-US" w:eastAsia="zh-CN"/>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2</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交通条件</w:t>
      </w:r>
    </w:p>
    <w:p>
      <w:pPr>
        <w:spacing w:line="560" w:lineRule="exact"/>
        <w:ind w:left="0" w:leftChars="0" w:firstLine="638" w:firstLineChars="228"/>
        <w:jc w:val="left"/>
        <w:rPr>
          <w:rFonts w:hAnsi="宋体"/>
          <w:sz w:val="28"/>
        </w:rPr>
      </w:pPr>
      <w:r>
        <w:rPr>
          <w:rFonts w:hint="eastAsia" w:hAnsi="宋体"/>
          <w:sz w:val="28"/>
        </w:rPr>
        <w:t>此位置</w:t>
      </w:r>
      <w:r>
        <w:rPr>
          <w:rFonts w:hint="eastAsia" w:hAnsi="宋体"/>
          <w:sz w:val="28"/>
          <w:lang w:eastAsia="zh-CN"/>
        </w:rPr>
        <w:t>附近有</w:t>
      </w:r>
      <w:r>
        <w:rPr>
          <w:rFonts w:hint="eastAsia" w:hAnsi="宋体"/>
          <w:sz w:val="28"/>
          <w:szCs w:val="28"/>
          <w:lang w:val="en-US" w:eastAsia="zh-CN"/>
        </w:rPr>
        <w:t>禹州17路、禹州1路、禹州28路、禹州3路等</w:t>
      </w:r>
      <w:r>
        <w:rPr>
          <w:rFonts w:hint="eastAsia" w:hAnsi="宋体"/>
          <w:sz w:val="28"/>
          <w:szCs w:val="28"/>
        </w:rPr>
        <w:t>公交</w:t>
      </w:r>
      <w:r>
        <w:rPr>
          <w:rFonts w:hint="eastAsia" w:hAnsi="宋体" w:cs="宋体"/>
          <w:sz w:val="28"/>
          <w:szCs w:val="28"/>
        </w:rPr>
        <w:t>车通过</w:t>
      </w:r>
      <w:r>
        <w:rPr>
          <w:rFonts w:hint="eastAsia" w:hAnsi="宋体"/>
          <w:sz w:val="28"/>
        </w:rPr>
        <w:t>，交通状况便利，周边道路通达。</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int="eastAsia" w:ascii="宋体" w:hAnsi="Times New Roman" w:eastAsia="宋体" w:cs="Times New Roman"/>
          <w:kern w:val="2"/>
          <w:sz w:val="28"/>
          <w:szCs w:val="28"/>
          <w:lang w:val="en-US" w:eastAsia="zh-CN"/>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3</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基础设施、公用服务设施状况</w:t>
      </w:r>
    </w:p>
    <w:p>
      <w:pPr>
        <w:spacing w:line="560" w:lineRule="exact"/>
        <w:ind w:left="0" w:leftChars="0" w:firstLine="638" w:firstLineChars="228"/>
        <w:jc w:val="left"/>
        <w:rPr>
          <w:rFonts w:hint="eastAsia"/>
          <w:color w:val="auto"/>
          <w:sz w:val="28"/>
          <w:szCs w:val="28"/>
          <w:highlight w:val="none"/>
        </w:rPr>
      </w:pPr>
      <w:r>
        <w:rPr>
          <w:color w:val="auto"/>
          <w:sz w:val="28"/>
          <w:szCs w:val="28"/>
          <w:highlight w:val="none"/>
        </w:rPr>
        <w:t>基础设施：</w:t>
      </w:r>
      <w:r>
        <w:rPr>
          <w:rFonts w:hint="eastAsia"/>
          <w:color w:val="auto"/>
          <w:sz w:val="28"/>
          <w:szCs w:val="28"/>
          <w:highlight w:val="none"/>
        </w:rPr>
        <w:t>外部配套设施齐全，</w:t>
      </w:r>
      <w:r>
        <w:rPr>
          <w:color w:val="auto"/>
          <w:sz w:val="28"/>
          <w:szCs w:val="28"/>
          <w:highlight w:val="none"/>
        </w:rPr>
        <w:t>区域内</w:t>
      </w:r>
      <w:r>
        <w:rPr>
          <w:rFonts w:hint="eastAsia"/>
          <w:color w:val="auto"/>
          <w:sz w:val="28"/>
          <w:szCs w:val="28"/>
          <w:highlight w:val="none"/>
        </w:rPr>
        <w:t>基础设施开发程度达到“</w:t>
      </w:r>
      <w:r>
        <w:rPr>
          <w:rFonts w:hint="eastAsia"/>
          <w:color w:val="auto"/>
          <w:sz w:val="28"/>
          <w:szCs w:val="28"/>
          <w:highlight w:val="none"/>
          <w:lang w:eastAsia="zh-CN"/>
        </w:rPr>
        <w:t>七</w:t>
      </w:r>
      <w:r>
        <w:rPr>
          <w:rFonts w:hint="eastAsia"/>
          <w:color w:val="auto"/>
          <w:sz w:val="28"/>
          <w:szCs w:val="28"/>
          <w:highlight w:val="none"/>
        </w:rPr>
        <w:t>通”即通路、通电、通讯、通上水、通下水、通燃气</w:t>
      </w:r>
      <w:r>
        <w:rPr>
          <w:rFonts w:hint="eastAsia"/>
          <w:color w:val="auto"/>
          <w:sz w:val="28"/>
          <w:szCs w:val="28"/>
          <w:highlight w:val="none"/>
          <w:lang w:eastAsia="zh-CN"/>
        </w:rPr>
        <w:t>、通暖气</w:t>
      </w:r>
      <w:r>
        <w:rPr>
          <w:color w:val="auto"/>
          <w:sz w:val="28"/>
          <w:szCs w:val="28"/>
          <w:highlight w:val="none"/>
        </w:rPr>
        <w:t>等</w:t>
      </w:r>
      <w:r>
        <w:rPr>
          <w:rFonts w:hint="eastAsia"/>
          <w:color w:val="auto"/>
          <w:sz w:val="28"/>
          <w:szCs w:val="28"/>
          <w:highlight w:val="none"/>
        </w:rPr>
        <w:t>。</w:t>
      </w:r>
    </w:p>
    <w:p>
      <w:pPr>
        <w:spacing w:line="560" w:lineRule="exact"/>
        <w:ind w:left="0" w:leftChars="0" w:firstLine="638" w:firstLineChars="228"/>
        <w:jc w:val="left"/>
        <w:rPr>
          <w:rFonts w:hint="eastAsia" w:hAnsi="宋体" w:eastAsia="宋体"/>
          <w:color w:val="auto"/>
          <w:sz w:val="28"/>
          <w:szCs w:val="28"/>
          <w:lang w:eastAsia="zh-CN"/>
        </w:rPr>
      </w:pPr>
      <w:r>
        <w:rPr>
          <w:rFonts w:hint="eastAsia" w:hAnsi="宋体"/>
          <w:color w:val="auto"/>
          <w:sz w:val="28"/>
          <w:szCs w:val="28"/>
          <w:lang w:eastAsia="zh-CN"/>
        </w:rPr>
        <w:t>附近有公用服务配套生活设施：“</w:t>
      </w:r>
      <w:r>
        <w:rPr>
          <w:rFonts w:hint="eastAsia" w:hAnsi="宋体"/>
          <w:color w:val="auto"/>
          <w:sz w:val="28"/>
          <w:szCs w:val="28"/>
          <w:lang w:val="en-US" w:eastAsia="zh-CN"/>
        </w:rPr>
        <w:t>禹州宣和陶瓷博物馆</w:t>
      </w:r>
      <w:r>
        <w:rPr>
          <w:rFonts w:hint="eastAsia" w:hAnsi="宋体"/>
          <w:color w:val="auto"/>
          <w:sz w:val="28"/>
          <w:szCs w:val="28"/>
          <w:lang w:eastAsia="zh-CN"/>
        </w:rPr>
        <w:t>”、“禹州第二汽车站”、“嘉悦生活超市(禹王店)”、“</w:t>
      </w:r>
      <w:r>
        <w:rPr>
          <w:rFonts w:hint="eastAsia" w:ascii="宋体" w:hAnsi="宋体" w:eastAsia="宋体" w:cs="宋体"/>
          <w:color w:val="auto"/>
          <w:sz w:val="28"/>
          <w:szCs w:val="28"/>
          <w:lang w:eastAsia="zh-CN"/>
        </w:rPr>
        <w:t>禹州景程商务宾馆(画圣路店)</w:t>
      </w:r>
      <w:r>
        <w:rPr>
          <w:rFonts w:hint="eastAsia" w:hAnsi="宋体"/>
          <w:color w:val="auto"/>
          <w:sz w:val="28"/>
          <w:szCs w:val="28"/>
          <w:lang w:eastAsia="zh-CN"/>
        </w:rPr>
        <w:t>”、“禹州华康医院”</w:t>
      </w:r>
      <w:r>
        <w:rPr>
          <w:rFonts w:hint="eastAsia" w:hAnsi="宋体"/>
          <w:color w:val="auto"/>
          <w:sz w:val="28"/>
          <w:szCs w:val="28"/>
        </w:rPr>
        <w:t>等；还有其它知名住宅小区：“</w:t>
      </w:r>
      <w:r>
        <w:rPr>
          <w:rFonts w:hint="eastAsia" w:hAnsi="宋体"/>
          <w:color w:val="auto"/>
          <w:sz w:val="28"/>
          <w:szCs w:val="28"/>
          <w:lang w:eastAsia="zh-CN"/>
        </w:rPr>
        <w:t>禹王花苑</w:t>
      </w:r>
      <w:r>
        <w:rPr>
          <w:rFonts w:hint="eastAsia" w:hAnsi="宋体"/>
          <w:color w:val="auto"/>
          <w:sz w:val="28"/>
          <w:szCs w:val="28"/>
        </w:rPr>
        <w:t>”、“</w:t>
      </w:r>
      <w:r>
        <w:rPr>
          <w:rFonts w:hint="eastAsia" w:hAnsi="宋体"/>
          <w:color w:val="auto"/>
          <w:sz w:val="28"/>
          <w:szCs w:val="28"/>
          <w:lang w:eastAsia="zh-CN"/>
        </w:rPr>
        <w:t>鼎原铭城</w:t>
      </w:r>
      <w:r>
        <w:rPr>
          <w:rFonts w:hint="eastAsia" w:hAnsi="宋体"/>
          <w:color w:val="auto"/>
          <w:sz w:val="28"/>
          <w:szCs w:val="28"/>
        </w:rPr>
        <w:t>”等</w:t>
      </w:r>
      <w:r>
        <w:rPr>
          <w:rFonts w:hint="eastAsia" w:hAnsi="宋体"/>
          <w:color w:val="auto"/>
          <w:sz w:val="28"/>
          <w:szCs w:val="28"/>
          <w:lang w:eastAsia="zh-CN"/>
        </w:rPr>
        <w:t>；</w:t>
      </w:r>
      <w:r>
        <w:rPr>
          <w:rFonts w:hint="eastAsia" w:hAnsi="宋体"/>
          <w:color w:val="auto"/>
          <w:sz w:val="28"/>
          <w:szCs w:val="28"/>
        </w:rPr>
        <w:t>附近有金融机构服务设施：“</w:t>
      </w:r>
      <w:r>
        <w:rPr>
          <w:rFonts w:hint="eastAsia" w:hAnsi="宋体"/>
          <w:color w:val="auto"/>
          <w:sz w:val="28"/>
          <w:szCs w:val="28"/>
          <w:lang w:eastAsia="zh-CN"/>
        </w:rPr>
        <w:t>农商</w:t>
      </w:r>
      <w:r>
        <w:rPr>
          <w:rFonts w:hint="eastAsia" w:hAnsi="宋体"/>
          <w:color w:val="auto"/>
          <w:sz w:val="28"/>
          <w:szCs w:val="28"/>
        </w:rPr>
        <w:t>银行”、“</w:t>
      </w:r>
      <w:r>
        <w:rPr>
          <w:rFonts w:hint="eastAsia" w:hAnsi="宋体"/>
          <w:color w:val="auto"/>
          <w:sz w:val="28"/>
          <w:szCs w:val="28"/>
          <w:lang w:eastAsia="zh-CN"/>
        </w:rPr>
        <w:t>中国工商</w:t>
      </w:r>
      <w:r>
        <w:rPr>
          <w:rFonts w:hint="eastAsia" w:hAnsi="宋体"/>
          <w:color w:val="auto"/>
          <w:sz w:val="28"/>
          <w:szCs w:val="28"/>
        </w:rPr>
        <w:t>银行”</w:t>
      </w:r>
      <w:r>
        <w:rPr>
          <w:rFonts w:hint="eastAsia" w:hAnsi="宋体"/>
          <w:color w:val="auto"/>
          <w:sz w:val="28"/>
          <w:szCs w:val="28"/>
          <w:lang w:eastAsia="zh-CN"/>
        </w:rPr>
        <w:t>、“中国农业银行”</w:t>
      </w:r>
      <w:r>
        <w:rPr>
          <w:rFonts w:hint="eastAsia" w:hAnsi="宋体"/>
          <w:color w:val="auto"/>
          <w:sz w:val="28"/>
          <w:szCs w:val="28"/>
        </w:rPr>
        <w:t>等；有教育配套实施：“</w:t>
      </w:r>
      <w:r>
        <w:rPr>
          <w:rFonts w:hint="eastAsia" w:hAnsi="宋体"/>
          <w:color w:val="auto"/>
          <w:sz w:val="28"/>
          <w:szCs w:val="28"/>
          <w:lang w:val="en-US" w:eastAsia="zh-CN"/>
        </w:rPr>
        <w:t>禹州市第二实验学校</w:t>
      </w:r>
      <w:r>
        <w:rPr>
          <w:rFonts w:hint="eastAsia" w:hAnsi="宋体"/>
          <w:color w:val="auto"/>
          <w:sz w:val="28"/>
          <w:szCs w:val="28"/>
        </w:rPr>
        <w:t>”</w:t>
      </w:r>
      <w:r>
        <w:rPr>
          <w:rFonts w:hint="eastAsia" w:hAnsi="宋体"/>
          <w:color w:val="auto"/>
          <w:sz w:val="28"/>
          <w:szCs w:val="28"/>
          <w:lang w:eastAsia="zh-CN"/>
        </w:rPr>
        <w:t>、“</w:t>
      </w:r>
      <w:r>
        <w:rPr>
          <w:rFonts w:hint="eastAsia" w:hAnsi="宋体"/>
          <w:color w:val="auto"/>
          <w:sz w:val="28"/>
          <w:szCs w:val="28"/>
          <w:lang w:val="en-US" w:eastAsia="zh-CN"/>
        </w:rPr>
        <w:t>建设路小学</w:t>
      </w:r>
      <w:r>
        <w:rPr>
          <w:rFonts w:hint="eastAsia" w:hAnsi="宋体"/>
          <w:color w:val="auto"/>
          <w:sz w:val="28"/>
          <w:szCs w:val="28"/>
          <w:lang w:eastAsia="zh-CN"/>
        </w:rPr>
        <w:t>”</w:t>
      </w:r>
      <w:r>
        <w:rPr>
          <w:rFonts w:hint="eastAsia" w:hAnsi="宋体"/>
          <w:color w:val="auto"/>
          <w:sz w:val="28"/>
          <w:szCs w:val="28"/>
        </w:rPr>
        <w:t>等</w:t>
      </w:r>
      <w:r>
        <w:rPr>
          <w:rFonts w:hint="eastAsia" w:hAnsi="宋体"/>
          <w:color w:val="auto"/>
          <w:sz w:val="28"/>
          <w:szCs w:val="28"/>
          <w:lang w:eastAsia="zh-CN"/>
        </w:rPr>
        <w:t>；</w:t>
      </w:r>
      <w:r>
        <w:rPr>
          <w:rFonts w:hint="eastAsia" w:hAnsi="宋体"/>
          <w:color w:val="auto"/>
          <w:sz w:val="28"/>
        </w:rPr>
        <w:t>外部配套设施齐全，区域内基础设施开发程度较高，基础生活配套设施完备</w:t>
      </w:r>
      <w:r>
        <w:rPr>
          <w:rFonts w:hint="eastAsia" w:hAnsi="宋体"/>
          <w:color w:val="auto"/>
          <w:sz w:val="28"/>
          <w:lang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int="eastAsia" w:ascii="宋体" w:hAnsi="Times New Roman" w:eastAsia="宋体" w:cs="Times New Roman"/>
          <w:kern w:val="2"/>
          <w:sz w:val="28"/>
          <w:szCs w:val="28"/>
          <w:lang w:val="en-US" w:eastAsia="zh-CN"/>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4</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周边概况</w:t>
      </w:r>
    </w:p>
    <w:p>
      <w:pPr>
        <w:bidi w:val="0"/>
        <w:spacing w:line="580" w:lineRule="exact"/>
        <w:ind w:left="0" w:leftChars="0" w:firstLine="638" w:firstLineChars="228"/>
        <w:jc w:val="left"/>
        <w:rPr>
          <w:rFonts w:hint="eastAsia" w:ascii="宋体" w:hAnsi="宋体" w:eastAsia="宋体" w:cs="宋体"/>
          <w:sz w:val="28"/>
          <w:szCs w:val="28"/>
          <w:lang w:eastAsia="zh-CN"/>
        </w:rPr>
      </w:pPr>
      <w:r>
        <w:rPr>
          <w:rFonts w:hint="eastAsia" w:ascii="宋体" w:hAnsi="宋体" w:eastAsia="宋体" w:cs="宋体"/>
          <w:sz w:val="28"/>
        </w:rPr>
        <w:t>估价对象周边无空气、噪声、水、辐射、固体废物等污染，卫生整洁</w:t>
      </w:r>
      <w:r>
        <w:rPr>
          <w:rFonts w:hint="eastAsia" w:hAnsi="宋体" w:cs="宋体"/>
          <w:sz w:val="28"/>
          <w:lang w:eastAsia="zh-CN"/>
        </w:rPr>
        <w:t>。</w:t>
      </w:r>
      <w:r>
        <w:rPr>
          <w:rFonts w:hint="eastAsia" w:ascii="宋体" w:hAnsi="宋体" w:eastAsia="宋体" w:cs="宋体"/>
          <w:sz w:val="28"/>
          <w:szCs w:val="28"/>
        </w:rPr>
        <w:t>人文、自然环境状况较好，社区成熟度较高等</w:t>
      </w:r>
      <w:r>
        <w:rPr>
          <w:rFonts w:hint="eastAsia" w:hAnsi="宋体" w:cs="宋体"/>
          <w:sz w:val="28"/>
          <w:szCs w:val="28"/>
          <w:lang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宋体" w:eastAsia="宋体" w:cs="Times New Roman"/>
          <w:kern w:val="2"/>
          <w:sz w:val="28"/>
          <w:szCs w:val="28"/>
          <w:lang w:val="en-US" w:eastAsia="zh-CN"/>
        </w:rPr>
        <w:t>3、</w:t>
      </w:r>
      <w:r>
        <w:rPr>
          <w:rFonts w:hint="eastAsia" w:ascii="宋体" w:hAnsi="Times New Roman" w:eastAsia="宋体" w:cs="Times New Roman"/>
          <w:kern w:val="2"/>
          <w:sz w:val="28"/>
          <w:szCs w:val="28"/>
          <w:lang w:val="en-US" w:eastAsia="zh-CN"/>
        </w:rPr>
        <w:t>估价对象实物状况</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1</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土地基本状况</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Ansi="宋体" w:cs="宋体"/>
          <w:sz w:val="28"/>
          <w:szCs w:val="28"/>
          <w:lang w:val="en-US"/>
        </w:rPr>
      </w:pPr>
      <w:r>
        <w:rPr>
          <w:rFonts w:hint="eastAsia" w:ascii="宋体" w:hAnsi="Times New Roman" w:eastAsia="宋体" w:cs="Times New Roman"/>
          <w:kern w:val="2"/>
          <w:sz w:val="28"/>
          <w:szCs w:val="28"/>
          <w:lang w:val="en-US" w:eastAsia="zh-CN"/>
        </w:rPr>
        <w:t>①四至：</w:t>
      </w:r>
      <w:r>
        <w:rPr>
          <w:rFonts w:hint="eastAsia" w:ascii="宋体" w:hAnsi="宋体" w:eastAsia="宋体" w:cs="Times New Roman"/>
          <w:kern w:val="2"/>
          <w:sz w:val="28"/>
          <w:szCs w:val="28"/>
          <w:lang w:val="en-US" w:eastAsia="zh-CN"/>
        </w:rPr>
        <w:t>估价对象房屋位于</w:t>
      </w:r>
      <w:r>
        <w:rPr>
          <w:rFonts w:hint="eastAsia" w:ascii="宋体" w:hAnsi="宋体" w:cs="Times New Roman"/>
          <w:kern w:val="2"/>
          <w:sz w:val="28"/>
          <w:szCs w:val="28"/>
          <w:lang w:val="en-US" w:eastAsia="zh-CN"/>
        </w:rPr>
        <w:t>河南省许昌市禹州市夏都办禹王大道中段路南鼎原花苑1幢4单元3层4-303房</w:t>
      </w:r>
      <w:r>
        <w:rPr>
          <w:rFonts w:hint="eastAsia" w:ascii="宋体" w:hAnsi="宋体" w:eastAsia="宋体" w:cs="Times New Roman"/>
          <w:kern w:val="2"/>
          <w:sz w:val="28"/>
          <w:szCs w:val="28"/>
          <w:lang w:val="en-US" w:eastAsia="zh-CN"/>
        </w:rPr>
        <w:t>，</w:t>
      </w:r>
      <w:r>
        <w:rPr>
          <w:rFonts w:hint="eastAsia" w:ascii="宋体" w:hAnsi="宋体" w:eastAsia="宋体" w:cs="Times New Roman"/>
          <w:kern w:val="2"/>
          <w:sz w:val="28"/>
          <w:szCs w:val="22"/>
          <w:lang w:val="en-US" w:eastAsia="zh-CN"/>
        </w:rPr>
        <w:t>该</w:t>
      </w:r>
      <w:r>
        <w:rPr>
          <w:rFonts w:hint="eastAsia" w:ascii="宋体" w:hAnsi="宋体" w:eastAsia="宋体" w:cs="Times New Roman"/>
          <w:kern w:val="2"/>
          <w:sz w:val="28"/>
          <w:szCs w:val="28"/>
          <w:lang w:val="en-US" w:eastAsia="zh-CN"/>
        </w:rPr>
        <w:t>项目四至：</w:t>
      </w:r>
      <w:r>
        <w:rPr>
          <w:rFonts w:hint="eastAsia" w:ascii="宋体" w:hAnsi="宋体" w:cs="宋体"/>
          <w:kern w:val="2"/>
          <w:sz w:val="28"/>
          <w:szCs w:val="28"/>
          <w:lang w:val="en-US" w:eastAsia="zh-CN"/>
        </w:rPr>
        <w:t>东至禹王花苑，西至画圣路，南至中兴路，北至禹王大道</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Times New Roman" w:eastAsia="宋体" w:cs="Times New Roman"/>
          <w:kern w:val="2"/>
          <w:sz w:val="28"/>
          <w:szCs w:val="28"/>
          <w:lang w:val="en-US" w:eastAsia="zh-CN"/>
        </w:rPr>
        <w:t>②土地使用期限</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hAnsi="宋体" w:eastAsia="宋体" w:cs="宋体"/>
          <w:sz w:val="28"/>
          <w:szCs w:val="28"/>
          <w:lang w:eastAsia="zh-CN"/>
        </w:rPr>
      </w:pPr>
      <w:r>
        <w:rPr>
          <w:rFonts w:hint="eastAsia" w:hAnsi="宋体" w:cs="宋体"/>
          <w:sz w:val="28"/>
          <w:szCs w:val="28"/>
        </w:rPr>
        <w:t>委托人未提供估价对象《国有土地使用证》</w:t>
      </w:r>
      <w:r>
        <w:rPr>
          <w:rFonts w:hint="eastAsia" w:hAnsi="宋体" w:cs="宋体"/>
          <w:sz w:val="28"/>
          <w:szCs w:val="28"/>
          <w:lang w:eastAsia="zh-CN"/>
        </w:rPr>
        <w:t>，</w:t>
      </w:r>
      <w:r>
        <w:rPr>
          <w:rFonts w:hint="eastAsia" w:ascii="宋体" w:hAnsi="宋体" w:eastAsia="宋体" w:cs="Times New Roman"/>
          <w:kern w:val="2"/>
          <w:sz w:val="28"/>
          <w:szCs w:val="28"/>
          <w:lang w:val="en-US" w:eastAsia="zh-CN"/>
        </w:rPr>
        <w:t>委托人提供的</w:t>
      </w:r>
      <w:r>
        <w:rPr>
          <w:rFonts w:hint="eastAsia" w:ascii="宋体" w:hAnsi="宋体" w:cs="宋体"/>
          <w:kern w:val="2"/>
          <w:sz w:val="28"/>
          <w:szCs w:val="28"/>
          <w:lang w:val="en-US" w:eastAsia="zh-CN"/>
        </w:rPr>
        <w:t>《禹州市国土资源局不动产权登记记载表》</w:t>
      </w:r>
      <w:r>
        <w:rPr>
          <w:rFonts w:hint="eastAsia" w:ascii="宋体" w:hAnsi="宋体" w:eastAsia="宋体" w:cs="宋体"/>
          <w:kern w:val="2"/>
          <w:sz w:val="28"/>
          <w:szCs w:val="28"/>
          <w:lang w:val="en-US" w:eastAsia="zh-CN"/>
        </w:rPr>
        <w:t>复印件</w:t>
      </w:r>
      <w:r>
        <w:rPr>
          <w:rFonts w:hint="eastAsia" w:ascii="宋体" w:hAnsi="宋体" w:cs="宋体"/>
          <w:kern w:val="2"/>
          <w:sz w:val="28"/>
          <w:szCs w:val="28"/>
          <w:lang w:val="en-US" w:eastAsia="zh-CN"/>
        </w:rPr>
        <w:t>未显示</w:t>
      </w:r>
      <w:r>
        <w:rPr>
          <w:rFonts w:hint="eastAsia" w:ascii="宋体" w:hAnsi="Times New Roman" w:eastAsia="宋体" w:cs="Times New Roman"/>
          <w:kern w:val="2"/>
          <w:sz w:val="28"/>
          <w:szCs w:val="28"/>
          <w:lang w:val="en-US" w:eastAsia="zh-CN"/>
        </w:rPr>
        <w:t>土地使用期限</w:t>
      </w:r>
      <w:r>
        <w:rPr>
          <w:rFonts w:hint="eastAsia" w:hAnsi="宋体" w:cs="宋体"/>
          <w:sz w:val="28"/>
          <w:szCs w:val="28"/>
          <w:lang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sz w:val="28"/>
          <w:szCs w:val="28"/>
          <w:lang w:val="en-US"/>
        </w:rPr>
      </w:pPr>
      <w:r>
        <w:rPr>
          <w:rFonts w:hint="eastAsia" w:ascii="宋体" w:hAnsi="Times New Roman" w:eastAsia="宋体" w:cs="Times New Roman"/>
          <w:kern w:val="2"/>
          <w:sz w:val="28"/>
          <w:szCs w:val="28"/>
          <w:lang w:val="en-US" w:eastAsia="zh-CN"/>
        </w:rPr>
        <w:t>③开发程度：</w:t>
      </w:r>
      <w:r>
        <w:rPr>
          <w:rFonts w:hint="eastAsia" w:ascii="宋体" w:hAnsi="宋体" w:eastAsia="宋体" w:cs="Times New Roman"/>
          <w:kern w:val="2"/>
          <w:sz w:val="28"/>
          <w:szCs w:val="28"/>
          <w:lang w:val="en-US" w:eastAsia="zh-CN"/>
        </w:rPr>
        <w:t>估价对象所在项目整体地势平坦，地质条件较好，土地承载力高，与相邻土地无明显高低落差，利于自然排水，开发程度较高，达“</w:t>
      </w:r>
      <w:r>
        <w:rPr>
          <w:rFonts w:hint="eastAsia" w:ascii="宋体" w:hAnsi="宋体" w:cs="Times New Roman"/>
          <w:kern w:val="2"/>
          <w:sz w:val="28"/>
          <w:szCs w:val="28"/>
          <w:lang w:val="en-US" w:eastAsia="zh-CN"/>
        </w:rPr>
        <w:t>七</w:t>
      </w:r>
      <w:r>
        <w:rPr>
          <w:rFonts w:hint="eastAsia" w:ascii="宋体" w:hAnsi="宋体" w:eastAsia="宋体" w:cs="Times New Roman"/>
          <w:kern w:val="2"/>
          <w:sz w:val="28"/>
          <w:szCs w:val="28"/>
          <w:lang w:val="en-US" w:eastAsia="zh-CN"/>
        </w:rPr>
        <w:t>通一平”即给水、排水、通电、通路、通讯、通</w:t>
      </w:r>
      <w:r>
        <w:rPr>
          <w:rFonts w:hint="eastAsia" w:ascii="宋体" w:hAnsi="宋体" w:cs="Times New Roman"/>
          <w:kern w:val="2"/>
          <w:sz w:val="28"/>
          <w:szCs w:val="28"/>
          <w:lang w:val="en-US" w:eastAsia="zh-CN"/>
        </w:rPr>
        <w:t>天然气、通暖气、</w:t>
      </w:r>
      <w:r>
        <w:rPr>
          <w:rFonts w:hint="eastAsia" w:ascii="宋体" w:hAnsi="宋体" w:eastAsia="宋体" w:cs="Times New Roman"/>
          <w:kern w:val="2"/>
          <w:sz w:val="28"/>
          <w:szCs w:val="28"/>
          <w:lang w:val="en-US" w:eastAsia="zh-CN"/>
        </w:rPr>
        <w:t>土地平整。</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sz w:val="28"/>
          <w:szCs w:val="28"/>
          <w:lang w:val="en-US"/>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2</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建筑物基本状况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价值时点经注册房地产估价师实地查勘，估价对象为</w:t>
      </w:r>
      <w:r>
        <w:rPr>
          <w:rFonts w:hint="eastAsia" w:ascii="宋体" w:hAnsi="宋体" w:cs="Times New Roman"/>
          <w:kern w:val="2"/>
          <w:sz w:val="28"/>
          <w:szCs w:val="28"/>
          <w:lang w:val="en-US" w:eastAsia="zh-CN"/>
        </w:rPr>
        <w:t>钢混</w:t>
      </w:r>
      <w:r>
        <w:rPr>
          <w:rFonts w:hint="eastAsia" w:ascii="宋体" w:hAnsi="宋体" w:eastAsia="宋体" w:cs="Times New Roman"/>
          <w:kern w:val="2"/>
          <w:sz w:val="28"/>
          <w:szCs w:val="28"/>
          <w:lang w:val="en-US" w:eastAsia="zh-CN"/>
        </w:rPr>
        <w:t>结构，整体共</w:t>
      </w:r>
      <w:r>
        <w:rPr>
          <w:rFonts w:hint="eastAsia" w:ascii="宋体" w:hAnsi="宋体" w:cs="Times New Roman"/>
          <w:kern w:val="2"/>
          <w:sz w:val="28"/>
          <w:szCs w:val="28"/>
          <w:lang w:val="en-US" w:eastAsia="zh-CN"/>
        </w:rPr>
        <w:t>12</w:t>
      </w:r>
      <w:r>
        <w:rPr>
          <w:rFonts w:hint="eastAsia" w:ascii="宋体" w:hAnsi="宋体" w:eastAsia="宋体" w:cs="Times New Roman"/>
          <w:kern w:val="2"/>
          <w:sz w:val="28"/>
          <w:szCs w:val="28"/>
          <w:lang w:val="en-US" w:eastAsia="zh-CN"/>
        </w:rPr>
        <w:t>层，其位于</w:t>
      </w:r>
      <w:r>
        <w:rPr>
          <w:rFonts w:hint="eastAsia" w:ascii="宋体" w:hAnsi="宋体" w:cs="Times New Roman"/>
          <w:kern w:val="2"/>
          <w:sz w:val="28"/>
          <w:szCs w:val="28"/>
          <w:lang w:val="en-US" w:eastAsia="zh-CN"/>
        </w:rPr>
        <w:t>3层</w:t>
      </w:r>
      <w:r>
        <w:rPr>
          <w:rFonts w:hint="eastAsia" w:ascii="宋体" w:hAnsi="宋体" w:eastAsia="宋体" w:cs="Times New Roman"/>
          <w:kern w:val="2"/>
          <w:sz w:val="28"/>
          <w:szCs w:val="28"/>
          <w:lang w:val="en-US" w:eastAsia="zh-CN"/>
        </w:rPr>
        <w:t>，</w:t>
      </w:r>
      <w:r>
        <w:rPr>
          <w:rFonts w:hint="eastAsia" w:ascii="宋体" w:hAnsi="Times New Roman" w:eastAsia="宋体" w:cs="Times New Roman"/>
          <w:kern w:val="2"/>
          <w:sz w:val="28"/>
          <w:szCs w:val="28"/>
          <w:lang w:val="en-US" w:eastAsia="zh-CN"/>
        </w:rPr>
        <w:t>规划用途为</w:t>
      </w:r>
      <w:r>
        <w:rPr>
          <w:rFonts w:hint="eastAsia" w:ascii="宋体" w:hAnsi="Times New Roman" w:cs="Times New Roman"/>
          <w:kern w:val="2"/>
          <w:sz w:val="28"/>
          <w:szCs w:val="28"/>
          <w:lang w:val="en-US" w:eastAsia="zh-CN"/>
        </w:rPr>
        <w:t>住宅，户型为三室两厅一厨两卫，南北通透</w:t>
      </w:r>
      <w:r>
        <w:rPr>
          <w:rFonts w:hint="eastAsia" w:ascii="宋体" w:hAnsi="宋体" w:eastAsia="宋体" w:cs="Times New Roman"/>
          <w:kern w:val="2"/>
          <w:sz w:val="28"/>
          <w:szCs w:val="28"/>
          <w:lang w:val="en-US" w:eastAsia="zh-CN"/>
        </w:rPr>
        <w:t>。根据委托人提供的</w:t>
      </w:r>
      <w:r>
        <w:rPr>
          <w:rFonts w:hint="eastAsia" w:ascii="宋体" w:hAnsi="宋体" w:cs="Times New Roman"/>
          <w:kern w:val="2"/>
          <w:sz w:val="28"/>
          <w:szCs w:val="28"/>
          <w:lang w:val="en-US" w:eastAsia="zh-CN"/>
        </w:rPr>
        <w:t>《禹州市国土资源局不动产权登记记载表》</w:t>
      </w:r>
      <w:r>
        <w:rPr>
          <w:rFonts w:hint="eastAsia" w:ascii="宋体" w:hAnsi="宋体" w:eastAsia="宋体" w:cs="Times New Roman"/>
          <w:kern w:val="2"/>
          <w:sz w:val="28"/>
          <w:szCs w:val="28"/>
          <w:lang w:val="en-US" w:eastAsia="zh-CN"/>
        </w:rPr>
        <w:t>复印件记载：房屋总建筑面积为</w:t>
      </w:r>
      <w:r>
        <w:rPr>
          <w:rFonts w:hint="eastAsia" w:ascii="宋体" w:hAnsi="宋体" w:cs="Times New Roman"/>
          <w:kern w:val="2"/>
          <w:sz w:val="28"/>
          <w:szCs w:val="28"/>
          <w:lang w:val="en-US" w:eastAsia="zh-CN"/>
        </w:rPr>
        <w:t>123.00</w:t>
      </w:r>
      <w:r>
        <w:rPr>
          <w:rFonts w:hint="eastAsia" w:ascii="宋体" w:hAnsi="宋体" w:eastAsia="宋体" w:cs="Times New Roman"/>
          <w:kern w:val="2"/>
          <w:sz w:val="28"/>
          <w:szCs w:val="28"/>
          <w:lang w:val="en-US" w:eastAsia="zh-CN"/>
        </w:rPr>
        <w:t>平方米。价值时点经估价人员现场查勘，室内装修及配套情况如下：</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门窗：入户门为防盗门</w:t>
      </w:r>
      <w:r>
        <w:rPr>
          <w:rFonts w:hint="eastAsia" w:ascii="宋体" w:hAnsi="宋体" w:cs="Times New Roman"/>
          <w:kern w:val="2"/>
          <w:sz w:val="28"/>
          <w:szCs w:val="28"/>
          <w:lang w:val="en-US" w:eastAsia="zh-CN"/>
        </w:rPr>
        <w:t>，室内木门，彩铝窗</w:t>
      </w:r>
      <w:r>
        <w:rPr>
          <w:rFonts w:hint="eastAsia" w:ascii="宋体" w:hAnsi="宋体" w:eastAsia="宋体" w:cs="Times New Roman"/>
          <w:kern w:val="2"/>
          <w:sz w:val="28"/>
          <w:szCs w:val="28"/>
          <w:lang w:val="en-US" w:eastAsia="zh-CN"/>
        </w:rPr>
        <w:t>；地面：</w:t>
      </w:r>
      <w:r>
        <w:rPr>
          <w:rFonts w:hint="eastAsia" w:ascii="宋体" w:hAnsi="宋体" w:cs="Times New Roman"/>
          <w:kern w:val="2"/>
          <w:sz w:val="28"/>
          <w:szCs w:val="28"/>
          <w:lang w:val="en-US" w:eastAsia="zh-CN"/>
        </w:rPr>
        <w:t>地板砖</w:t>
      </w:r>
      <w:r>
        <w:rPr>
          <w:rFonts w:hint="eastAsia" w:ascii="宋体" w:hAnsi="宋体" w:eastAsia="宋体" w:cs="Times New Roman"/>
          <w:kern w:val="2"/>
          <w:sz w:val="28"/>
          <w:szCs w:val="28"/>
          <w:lang w:val="en-US" w:eastAsia="zh-CN"/>
        </w:rPr>
        <w:t>；墙面：</w:t>
      </w:r>
      <w:r>
        <w:rPr>
          <w:rFonts w:hint="eastAsia" w:ascii="宋体" w:hAnsi="宋体" w:cs="Times New Roman"/>
          <w:kern w:val="2"/>
          <w:sz w:val="28"/>
          <w:szCs w:val="28"/>
          <w:lang w:val="en-US" w:eastAsia="zh-CN"/>
        </w:rPr>
        <w:t>壁纸</w:t>
      </w:r>
      <w:r>
        <w:rPr>
          <w:rFonts w:hint="eastAsia" w:ascii="宋体" w:hAnsi="宋体" w:eastAsia="宋体" w:cs="Times New Roman"/>
          <w:kern w:val="2"/>
          <w:sz w:val="28"/>
          <w:szCs w:val="28"/>
          <w:lang w:val="en-US" w:eastAsia="zh-CN"/>
        </w:rPr>
        <w:t>；屋顶：</w:t>
      </w:r>
      <w:r>
        <w:rPr>
          <w:rFonts w:hint="eastAsia" w:ascii="宋体" w:hAnsi="宋体" w:cs="Times New Roman"/>
          <w:kern w:val="2"/>
          <w:sz w:val="28"/>
          <w:szCs w:val="28"/>
          <w:lang w:val="en-US" w:eastAsia="zh-CN"/>
        </w:rPr>
        <w:t>客厅石膏板吊顶、卧室石膏线走顶</w:t>
      </w:r>
      <w:r>
        <w:rPr>
          <w:rFonts w:hint="eastAsia" w:ascii="宋体" w:hAnsi="宋体" w:eastAsia="宋体" w:cs="Times New Roman"/>
          <w:kern w:val="2"/>
          <w:sz w:val="28"/>
          <w:szCs w:val="28"/>
          <w:lang w:val="en-US" w:eastAsia="zh-CN"/>
        </w:rPr>
        <w:t>；外墙：</w:t>
      </w:r>
      <w:r>
        <w:rPr>
          <w:rFonts w:hint="eastAsia" w:ascii="宋体" w:hAnsi="宋体" w:cs="Times New Roman"/>
          <w:kern w:val="2"/>
          <w:sz w:val="28"/>
          <w:szCs w:val="28"/>
          <w:lang w:val="en-US" w:eastAsia="zh-CN"/>
        </w:rPr>
        <w:t>涂料</w:t>
      </w:r>
      <w:r>
        <w:rPr>
          <w:rFonts w:hint="eastAsia" w:ascii="宋体" w:hAnsi="宋体" w:eastAsia="宋体" w:cs="Times New Roman"/>
          <w:kern w:val="2"/>
          <w:sz w:val="28"/>
          <w:szCs w:val="28"/>
          <w:lang w:val="en-US" w:eastAsia="zh-CN"/>
        </w:rPr>
        <w:t>；水电等装置：室外独立水、电表，室内配套插座，管线均为暗线；</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配套设施：水、电</w:t>
      </w:r>
      <w:r>
        <w:rPr>
          <w:rFonts w:hint="eastAsia" w:ascii="宋体" w:hAnsi="宋体" w:cs="Times New Roman"/>
          <w:kern w:val="2"/>
          <w:sz w:val="28"/>
          <w:szCs w:val="28"/>
          <w:lang w:val="en-US" w:eastAsia="zh-CN"/>
        </w:rPr>
        <w:t>、天然气</w:t>
      </w:r>
      <w:r>
        <w:rPr>
          <w:rFonts w:hint="eastAsia" w:ascii="宋体" w:hAnsi="宋体" w:eastAsia="宋体" w:cs="Times New Roman"/>
          <w:kern w:val="2"/>
          <w:sz w:val="28"/>
          <w:szCs w:val="28"/>
          <w:lang w:val="en-US" w:eastAsia="zh-CN"/>
        </w:rPr>
        <w:t>等设施齐全。</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通过估价对象照片可以更直观的了解估价对象所处位置环境、景观及其内外部状况等</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见附件</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4、估价对象权益状况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cs="宋体"/>
          <w:color w:val="000000"/>
          <w:sz w:val="28"/>
          <w:szCs w:val="28"/>
          <w:lang w:val="en-US"/>
        </w:rPr>
      </w:pPr>
      <w:r>
        <w:rPr>
          <w:rFonts w:hint="eastAsia" w:ascii="宋体" w:hAnsi="宋体" w:cs="Times New Roman"/>
          <w:kern w:val="2"/>
          <w:sz w:val="28"/>
          <w:szCs w:val="28"/>
          <w:lang w:val="en-US" w:eastAsia="zh-CN"/>
        </w:rPr>
        <w:t>委托人</w:t>
      </w:r>
      <w:r>
        <w:rPr>
          <w:rFonts w:hint="eastAsia" w:ascii="宋体" w:hAnsi="宋体" w:eastAsia="宋体" w:cs="Times New Roman"/>
          <w:kern w:val="2"/>
          <w:sz w:val="28"/>
          <w:szCs w:val="28"/>
          <w:lang w:val="en-US" w:eastAsia="zh-CN"/>
        </w:rPr>
        <w:t>提供的房屋共一处一套房地产，根据估价委托人提供的</w:t>
      </w:r>
      <w:r>
        <w:rPr>
          <w:rFonts w:hint="eastAsia" w:ascii="宋体" w:hAnsi="宋体" w:cs="宋体"/>
          <w:kern w:val="2"/>
          <w:sz w:val="28"/>
          <w:szCs w:val="28"/>
          <w:lang w:val="en-US" w:eastAsia="zh-CN"/>
        </w:rPr>
        <w:t>《禹州市国土资源局不动产权登记记载表》</w:t>
      </w:r>
      <w:r>
        <w:rPr>
          <w:rFonts w:hint="eastAsia" w:ascii="宋体" w:hAnsi="宋体" w:eastAsia="宋体" w:cs="宋体"/>
          <w:kern w:val="2"/>
          <w:sz w:val="28"/>
          <w:szCs w:val="28"/>
          <w:lang w:val="en-US" w:eastAsia="zh-CN"/>
        </w:rPr>
        <w:t>复印件显示</w:t>
      </w:r>
      <w:r>
        <w:rPr>
          <w:rFonts w:hint="eastAsia" w:ascii="宋体" w:hAnsi="宋体" w:cs="宋体"/>
          <w:kern w:val="2"/>
          <w:sz w:val="28"/>
          <w:szCs w:val="28"/>
          <w:lang w:val="en-US" w:eastAsia="zh-CN"/>
        </w:rPr>
        <w:t>所有权人</w:t>
      </w:r>
      <w:r>
        <w:rPr>
          <w:rFonts w:hint="eastAsia" w:ascii="宋体" w:hAnsi="宋体" w:eastAsia="宋体" w:cs="宋体"/>
          <w:kern w:val="2"/>
          <w:sz w:val="28"/>
          <w:szCs w:val="28"/>
          <w:lang w:val="en-US" w:eastAsia="zh-CN"/>
        </w:rPr>
        <w:t>为</w:t>
      </w:r>
      <w:r>
        <w:rPr>
          <w:rFonts w:hint="eastAsia" w:ascii="宋体" w:hAnsi="宋体" w:cs="宋体"/>
          <w:kern w:val="2"/>
          <w:sz w:val="28"/>
          <w:szCs w:val="28"/>
          <w:lang w:val="en-US" w:eastAsia="zh-CN"/>
        </w:rPr>
        <w:t>王国选</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共有人为赵花枝，不动产权证号为：087537</w:t>
      </w:r>
      <w:r>
        <w:rPr>
          <w:rFonts w:hint="eastAsia" w:ascii="宋体" w:hAnsi="Times New Roman" w:eastAsia="宋体" w:cs="Times New Roman"/>
          <w:color w:val="000000"/>
          <w:spacing w:val="6"/>
          <w:kern w:val="2"/>
          <w:sz w:val="28"/>
          <w:szCs w:val="28"/>
          <w:lang w:val="en-US" w:eastAsia="zh-CN"/>
        </w:rPr>
        <w:t>。</w:t>
      </w:r>
      <w:r>
        <w:rPr>
          <w:rFonts w:hint="eastAsia" w:ascii="宋体" w:hAnsi="宋体" w:eastAsia="宋体" w:cs="宋体"/>
          <w:bCs/>
          <w:color w:val="000000"/>
          <w:kern w:val="2"/>
          <w:sz w:val="28"/>
          <w:szCs w:val="28"/>
          <w:lang w:val="en-US" w:eastAsia="zh-CN"/>
        </w:rPr>
        <w:t>估价对象房屋</w:t>
      </w:r>
      <w:r>
        <w:rPr>
          <w:rFonts w:hint="eastAsia" w:ascii="宋体" w:hAnsi="宋体" w:cs="宋体"/>
          <w:bCs/>
          <w:color w:val="000000"/>
          <w:kern w:val="2"/>
          <w:sz w:val="28"/>
          <w:szCs w:val="28"/>
          <w:lang w:val="en-US" w:eastAsia="zh-CN"/>
        </w:rPr>
        <w:t>土地使用性质：未提供《国有土地使用证》</w:t>
      </w:r>
      <w:r>
        <w:rPr>
          <w:rFonts w:hint="eastAsia" w:ascii="宋体" w:hAnsi="宋体" w:eastAsia="宋体" w:cs="宋体"/>
          <w:color w:val="000000"/>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cs="宋体"/>
          <w:sz w:val="28"/>
          <w:szCs w:val="28"/>
          <w:lang w:val="en-US"/>
        </w:rPr>
      </w:pPr>
      <w:r>
        <w:rPr>
          <w:rFonts w:hint="eastAsia" w:ascii="宋体" w:hAnsi="宋体" w:eastAsia="宋体" w:cs="宋体"/>
          <w:kern w:val="2"/>
          <w:sz w:val="28"/>
          <w:szCs w:val="28"/>
          <w:lang w:val="en-US" w:eastAsia="zh-CN"/>
        </w:rPr>
        <w:t>经注册房地产估价师调查，估价对象于价值时点已被人民法院查封，本次估价不考虑查封等他项权利对价值的影响，设定估价对象房屋权益明确，资料来源有依据，权属无异议。</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五</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价值时点</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2022年06月02日</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根据《涉执房地产处置司法评估指导意见</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试行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中房学[2021]37号</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第十条规定“人民法院明确价值时点的，价值时点一般以人民法院明确的时点为准，人民法院未明确价值时点的，一般以评估对象实地查勘完成之日作为价值时点”。《司法鉴定委托书》未注明价值时点，本次估价根据估价目的以实地查勘完成之日为价值时点，即</w:t>
      </w:r>
      <w:r>
        <w:rPr>
          <w:rFonts w:hint="eastAsia" w:ascii="宋体" w:hAnsi="宋体" w:cs="宋体"/>
          <w:kern w:val="2"/>
          <w:sz w:val="28"/>
          <w:szCs w:val="28"/>
          <w:lang w:val="en-US" w:eastAsia="zh-CN"/>
        </w:rPr>
        <w:t>2022年06月02日</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六</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价值类型</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kern w:val="0"/>
          <w:sz w:val="28"/>
          <w:szCs w:val="28"/>
          <w:lang w:val="en-US"/>
        </w:rPr>
      </w:pPr>
      <w:r>
        <w:rPr>
          <w:rFonts w:hint="eastAsia" w:ascii="宋体" w:hAnsi="宋体" w:eastAsia="宋体" w:cs="Times New Roman"/>
          <w:kern w:val="2"/>
          <w:sz w:val="28"/>
          <w:szCs w:val="28"/>
          <w:lang w:val="en-US" w:eastAsia="zh-CN"/>
        </w:rPr>
        <w:t>房地产</w:t>
      </w:r>
      <w:r>
        <w:rPr>
          <w:rFonts w:hint="eastAsia" w:ascii="宋体" w:hAnsi="宋体" w:eastAsia="宋体" w:cs="宋体"/>
          <w:kern w:val="2"/>
          <w:sz w:val="28"/>
          <w:szCs w:val="28"/>
          <w:lang w:val="en-US" w:eastAsia="zh-CN"/>
        </w:rPr>
        <w:t>市场价值，是房地产经过适当营销后，由熟悉情况、谨慎行事且不受强迫的交易双方，以公平交易方式在价值时点自愿进行交易的金额，不考虑</w:t>
      </w:r>
      <w:r>
        <w:rPr>
          <w:rFonts w:hint="eastAsia" w:ascii="宋体" w:hAnsi="宋体" w:eastAsia="宋体" w:cs="Times New Roman"/>
          <w:kern w:val="2"/>
          <w:sz w:val="28"/>
          <w:szCs w:val="28"/>
          <w:lang w:val="en-US" w:eastAsia="zh-CN"/>
        </w:rPr>
        <w:t>租赁、抵押、查封等因素的影响。</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bCs w:val="0"/>
          <w:kern w:val="0"/>
          <w:sz w:val="28"/>
          <w:szCs w:val="28"/>
          <w:lang w:val="en-US"/>
        </w:rPr>
      </w:pPr>
      <w:r>
        <w:rPr>
          <w:rFonts w:hint="eastAsia" w:ascii="宋体" w:hAnsi="宋体" w:cs="Times New Roman"/>
          <w:b/>
          <w:kern w:val="0"/>
          <w:sz w:val="28"/>
          <w:szCs w:val="28"/>
          <w:lang w:val="en-US" w:eastAsia="zh-CN"/>
        </w:rPr>
        <w:t>(</w:t>
      </w:r>
      <w:r>
        <w:rPr>
          <w:rFonts w:hint="eastAsia" w:ascii="宋体" w:hAnsi="宋体" w:eastAsia="宋体" w:cs="Times New Roman"/>
          <w:b/>
          <w:kern w:val="0"/>
          <w:sz w:val="28"/>
          <w:szCs w:val="28"/>
          <w:lang w:val="en-US" w:eastAsia="zh-CN"/>
        </w:rPr>
        <w:t>七</w:t>
      </w:r>
      <w:r>
        <w:rPr>
          <w:rFonts w:hint="eastAsia" w:ascii="宋体" w:hAnsi="宋体" w:cs="Times New Roman"/>
          <w:b/>
          <w:kern w:val="0"/>
          <w:sz w:val="28"/>
          <w:szCs w:val="28"/>
          <w:lang w:val="en-US" w:eastAsia="zh-CN"/>
        </w:rPr>
        <w:t>)</w:t>
      </w:r>
      <w:r>
        <w:rPr>
          <w:rFonts w:hint="eastAsia" w:ascii="宋体" w:hAnsi="宋体" w:eastAsia="宋体" w:cs="Times New Roman"/>
          <w:b/>
          <w:kern w:val="0"/>
          <w:sz w:val="28"/>
          <w:szCs w:val="28"/>
          <w:lang w:val="en-US" w:eastAsia="zh-CN"/>
        </w:rPr>
        <w:t>估价原则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本次估价遵守独立、客观、公正原则及合法原则、最高最佳利用原则、价值时点原则、替代原则等技术性原则。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1.独立、客观、公正原则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独立、客观、公正原则就是要求房地产估价机构和注册房地产估价师与估价委托人及估价利害关系人没有利害关系，在估价中不带着自己的情感、好恶和偏见，同时不偏袒利害关系人中的任何一方，按照事物的本来面目、实事求是、公平合理地进行估价。</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2.合法原则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应以估价对象的合法使用、合法处分为前提进行。所谓合法，是指符合国家的法律、法规和当地政府的有关规定，其权益才能受法律保护，并体现其权益价值。遵循合法原则，具体来说有下列几个方面：</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1</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在合法产权方面，应以房地产权属证书和有关证件为依据；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2</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在合法使用方面，应以城市规划、土地用途管制等为依据；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3</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在合法处分方面，应以法律、法规或合同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如土地使用权出让合同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等允许的处分方式为依据；估价对象房屋为共同共有，若进行处分时，需要经全体共同共有人的同意。</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4</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其他方面。</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至价值时点已被人民法院查封，本次估价不考虑查封、抵押、租赁等他项权利对价值的影响，设定估价对象房屋权益明确，资料来源有依据，权属无异议。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3.最高最佳利用原则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估价对象房屋实勘用途为</w:t>
      </w:r>
      <w:r>
        <w:rPr>
          <w:rFonts w:hint="eastAsia" w:ascii="宋体" w:hAnsi="宋体" w:cs="宋体"/>
          <w:kern w:val="2"/>
          <w:sz w:val="28"/>
          <w:szCs w:val="28"/>
          <w:lang w:val="en-US" w:eastAsia="zh-CN"/>
        </w:rPr>
        <w:t>住宅</w:t>
      </w:r>
      <w:r>
        <w:rPr>
          <w:rFonts w:hint="eastAsia" w:ascii="宋体" w:hAnsi="宋体" w:eastAsia="宋体" w:cs="宋体"/>
          <w:kern w:val="2"/>
          <w:sz w:val="28"/>
          <w:szCs w:val="28"/>
          <w:lang w:val="en-US" w:eastAsia="zh-CN"/>
        </w:rPr>
        <w:t>，根据注册房地产估价师现场查勘了解和对估价对象平面布局及实物状况分析，以及对估价对象周边环境和房地产市场的调查研究，估价对象房屋成新度较高，室内外环境协调，该房地产目前的住宅用途符合最高最佳使用原则，按保持现状继续使用最为有利，本次估价按实勘住宅用途继续使用做为最高最佳利用前提。此种使用方式能够使价值达到最大化。</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4.价值时点原则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估价结果是估价对象在价值时点的客观合理价格或价值。房地产市场是不断变化的，房地产价格具有很强的时间性，它是某一时点上的价格。在不同时点，同一宗房地产往往会有不同价格。价值时点原则是指求取某一时点上的价格，所以在估价一宗房地产的价格时，必须假定市场停止在价值时点上，同时估价对象房地产的状况通常也是以其在该时点时的状况为准。</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本次估价根据《涉执房地产处置司法评估指导意见</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试行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中房学[2021]37号</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有关规定，价值时点确定为实地查勘完成之日</w:t>
      </w:r>
      <w:r>
        <w:rPr>
          <w:rFonts w:hint="eastAsia" w:ascii="宋体" w:hAnsi="宋体" w:cs="宋体"/>
          <w:kern w:val="2"/>
          <w:sz w:val="28"/>
          <w:szCs w:val="28"/>
          <w:lang w:val="en-US" w:eastAsia="zh-CN"/>
        </w:rPr>
        <w:t>2022年06月02日</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5.替代原则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本次估价充分考虑了估价对象同一供求范围内，在用途、规模、档次、建筑结构等方面类似的房地产之间具有相互影响作用，其价格相互牵掣而趋于一致。</w:t>
      </w:r>
    </w:p>
    <w:p>
      <w:pPr>
        <w:keepNext w:val="0"/>
        <w:keepLines w:val="0"/>
        <w:widowControl w:val="0"/>
        <w:suppressLineNumbers w:val="0"/>
        <w:topLinePunct/>
        <w:bidi w:val="0"/>
        <w:spacing w:before="0" w:beforeAutospacing="0" w:after="0" w:afterAutospacing="0" w:line="560" w:lineRule="exact"/>
        <w:ind w:left="0" w:leftChars="0" w:right="0" w:firstLine="641" w:firstLineChars="228"/>
        <w:jc w:val="both"/>
        <w:rPr>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八</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估价依据</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rPr>
        <w:t>1、本次估价所依据的有关法律、法规、司法解释和部门规章</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《中华人民共和国民法典》</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2020年5月28日十三届全国人大三次会议表决通过，2021年1月1日起施行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《中华人民共和国城市房地产管理法》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2019年8月26日第十三届全国人民代表大会常务委员会第十二次会议</w:t>
      </w:r>
      <w:r>
        <w:rPr>
          <w:rFonts w:hint="eastAsia" w:ascii="宋体" w:hAnsi="宋体" w:eastAsia="宋体" w:cs="宋体"/>
          <w:color w:val="auto"/>
          <w:sz w:val="28"/>
          <w:szCs w:val="28"/>
          <w:lang w:val="en-US" w:eastAsia="zh-CN"/>
        </w:rPr>
        <w:t>修正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《中华人民共和国土地管理法》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2019年8月26日第十三届全国人民代表大会常务委员会第十二次会议</w:t>
      </w:r>
      <w:r>
        <w:rPr>
          <w:rFonts w:hint="eastAsia" w:ascii="宋体" w:hAnsi="宋体" w:eastAsia="宋体" w:cs="宋体"/>
          <w:color w:val="auto"/>
          <w:sz w:val="28"/>
          <w:szCs w:val="28"/>
          <w:lang w:val="en-US" w:eastAsia="zh-CN"/>
        </w:rPr>
        <w:t>修正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《中华人民共和国城乡规划法》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2019年4月23日第十三届全国人民代表大会常务委员会第十次会议</w:t>
      </w:r>
      <w:r>
        <w:rPr>
          <w:rFonts w:hint="eastAsia" w:ascii="宋体" w:hAnsi="宋体" w:eastAsia="宋体" w:cs="宋体"/>
          <w:color w:val="auto"/>
          <w:sz w:val="28"/>
          <w:szCs w:val="28"/>
          <w:lang w:val="en-US" w:eastAsia="zh-CN"/>
        </w:rPr>
        <w:t>修正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《中华人民共和国资产评估法》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2016年7月2日</w:t>
      </w:r>
      <w:r>
        <w:rPr>
          <w:rFonts w:hint="eastAsia" w:ascii="宋体" w:hAnsi="宋体" w:eastAsia="宋体" w:cs="宋体"/>
          <w:color w:val="auto"/>
          <w:sz w:val="28"/>
          <w:szCs w:val="28"/>
        </w:rPr>
        <w:t>中华人民共和国主席令第四十六号</w:t>
      </w:r>
      <w:r>
        <w:rPr>
          <w:rFonts w:hint="eastAsia" w:ascii="宋体" w:hAnsi="宋体" w:eastAsia="宋体" w:cs="宋体"/>
          <w:color w:val="auto"/>
          <w:sz w:val="28"/>
          <w:szCs w:val="28"/>
          <w:lang w:eastAsia="zh-CN"/>
        </w:rPr>
        <w:t>令)</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司法鉴定</w:t>
      </w:r>
      <w:r>
        <w:rPr>
          <w:rFonts w:hint="eastAsia" w:ascii="宋体" w:hAnsi="宋体" w:eastAsia="宋体" w:cs="宋体"/>
          <w:color w:val="auto"/>
          <w:sz w:val="28"/>
          <w:szCs w:val="28"/>
        </w:rPr>
        <w:t>程序通则》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司法部令第132号，2015年12月24日通过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《最高人民法院关于人民法院确定财产处置参考价若干问题的规定》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法释〔2018〕15号</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最高法、五大评估行业协会联合发布人民法院委托评估工作规范关于印发《人民法院委托评估工作规范》的通知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法办〔2018〕273号</w:t>
      </w:r>
      <w:r>
        <w:rPr>
          <w:rFonts w:hint="eastAsia" w:ascii="宋体" w:hAnsi="宋体" w:eastAsia="宋体" w:cs="宋体"/>
          <w:color w:val="auto"/>
          <w:sz w:val="28"/>
          <w:szCs w:val="28"/>
          <w:lang w:eastAsia="zh-CN"/>
        </w:rPr>
        <w:t>)；</w:t>
      </w:r>
    </w:p>
    <w:p>
      <w:pPr>
        <w:spacing w:line="560" w:lineRule="exact"/>
        <w:ind w:left="0" w:leftChars="0" w:firstLine="638" w:firstLineChars="228"/>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中华人民共和国契税法》自2021年9月1日起施行；</w:t>
      </w:r>
    </w:p>
    <w:p>
      <w:pPr>
        <w:spacing w:line="560" w:lineRule="exact"/>
        <w:ind w:left="0" w:leftChars="0" w:firstLine="638" w:firstLineChars="228"/>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(10)河南省高级人民法院关于不动产评估、拍卖、变卖相关问题的工作指引(试行)(2021年11月4日)。</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rPr>
        <w:t>2、本次估价采用的有关估价标准</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中华人民共和国国家标准GB/T 50291—2015《房地产估价规范》；</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中华人民共和国国家标准GB/T50899—2013《房地产估价基本术语标准》；</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中国房地产估价师与房地产经纪人学会发布的《涉执房地产处置司法评估指导意见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试行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《河南省房地产</w:t>
      </w:r>
      <w:r>
        <w:rPr>
          <w:rFonts w:hint="eastAsia" w:ascii="宋体" w:hAnsi="宋体" w:eastAsia="宋体" w:cs="宋体"/>
          <w:color w:val="auto"/>
          <w:sz w:val="28"/>
          <w:szCs w:val="28"/>
          <w:lang w:eastAsia="zh-CN"/>
        </w:rPr>
        <w:t>司法鉴定</w:t>
      </w:r>
      <w:r>
        <w:rPr>
          <w:rFonts w:hint="eastAsia" w:ascii="宋体" w:hAnsi="宋体" w:eastAsia="宋体" w:cs="宋体"/>
          <w:color w:val="auto"/>
          <w:sz w:val="28"/>
          <w:szCs w:val="28"/>
        </w:rPr>
        <w:t>估价指导意见》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豫房估协</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2018</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16号</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28"/>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5</w:t>
      </w:r>
      <w:r>
        <w:rPr>
          <w:rFonts w:hint="eastAsia" w:ascii="宋体" w:hAnsi="宋体" w:eastAsia="宋体" w:cs="宋体"/>
          <w:color w:val="auto"/>
          <w:sz w:val="28"/>
          <w:szCs w:val="28"/>
          <w:lang w:eastAsia="zh-CN"/>
        </w:rPr>
        <w:t>)河南省房地产估价师与经纪人协会发布的《</w:t>
      </w:r>
      <w:r>
        <w:rPr>
          <w:rFonts w:hint="eastAsia" w:ascii="宋体" w:hAnsi="宋体" w:eastAsia="宋体" w:cs="宋体"/>
          <w:color w:val="auto"/>
          <w:sz w:val="28"/>
          <w:szCs w:val="28"/>
        </w:rPr>
        <w:t>河南省房地产估价技术指引</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28"/>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)《关于</w:t>
      </w:r>
      <w:r>
        <w:rPr>
          <w:rFonts w:hint="eastAsia" w:ascii="宋体" w:hAnsi="宋体" w:eastAsia="宋体" w:cs="宋体"/>
          <w:color w:val="auto"/>
          <w:sz w:val="28"/>
          <w:szCs w:val="28"/>
          <w:lang w:val="en-US" w:eastAsia="zh-CN"/>
        </w:rPr>
        <w:t>&lt;</w:t>
      </w:r>
      <w:r>
        <w:rPr>
          <w:rFonts w:hint="eastAsia" w:ascii="宋体" w:hAnsi="宋体" w:eastAsia="宋体" w:cs="宋体"/>
          <w:color w:val="auto"/>
          <w:sz w:val="28"/>
          <w:szCs w:val="28"/>
          <w:lang w:eastAsia="zh-CN"/>
        </w:rPr>
        <w:t>河南省房地产估价技术指引</w:t>
      </w:r>
      <w:r>
        <w:rPr>
          <w:rFonts w:hint="eastAsia" w:ascii="宋体" w:hAnsi="宋体" w:eastAsia="宋体" w:cs="宋体"/>
          <w:color w:val="auto"/>
          <w:sz w:val="28"/>
          <w:szCs w:val="28"/>
          <w:lang w:val="en-US" w:eastAsia="zh-CN"/>
        </w:rPr>
        <w:t>&gt;</w:t>
      </w:r>
      <w:r>
        <w:rPr>
          <w:rFonts w:hint="eastAsia" w:ascii="宋体" w:hAnsi="宋体" w:eastAsia="宋体" w:cs="宋体"/>
          <w:color w:val="auto"/>
          <w:sz w:val="28"/>
          <w:szCs w:val="28"/>
          <w:lang w:eastAsia="zh-CN"/>
        </w:rPr>
        <w:t>使用中有关事项的通知》(豫房估协〔2021〕34号)。</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rPr>
        <w:t>3、估价委托人提供的有关资料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1</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《司法评估委托书》；</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2</w:t>
      </w:r>
      <w:r>
        <w:rPr>
          <w:rFonts w:hint="eastAsia" w:ascii="宋体" w:hAnsi="宋体" w:cs="宋体"/>
          <w:kern w:val="2"/>
          <w:sz w:val="28"/>
          <w:szCs w:val="28"/>
          <w:lang w:val="en-US" w:eastAsia="zh-CN"/>
        </w:rPr>
        <w:t>)《禹州市国土资源局不动产权登记记载表》</w:t>
      </w:r>
      <w:r>
        <w:rPr>
          <w:rFonts w:hint="eastAsia" w:ascii="宋体" w:hAnsi="宋体" w:eastAsia="宋体" w:cs="宋体"/>
          <w:kern w:val="2"/>
          <w:sz w:val="28"/>
          <w:szCs w:val="28"/>
          <w:lang w:val="en-US" w:eastAsia="zh-CN"/>
        </w:rPr>
        <w:t>复印件；</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3</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《执行裁定书》复印件；</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4</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其他资料。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rPr>
        <w:t>4、估价机构和注册房地产估价师所搜集掌握的有关资料。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bCs/>
          <w:kern w:val="0"/>
          <w:sz w:val="28"/>
          <w:szCs w:val="28"/>
          <w:lang w:val="en-US"/>
        </w:rPr>
      </w:pPr>
      <w:r>
        <w:rPr>
          <w:rFonts w:hint="eastAsia" w:ascii="宋体" w:hAnsi="宋体" w:eastAsia="宋体" w:cs="宋体"/>
          <w:kern w:val="0"/>
          <w:sz w:val="28"/>
          <w:szCs w:val="28"/>
          <w:lang w:val="en-US" w:eastAsia="zh-CN"/>
        </w:rPr>
        <w:t>(1)长葛市住宅</w:t>
      </w:r>
      <w:r>
        <w:rPr>
          <w:rFonts w:hint="eastAsia" w:ascii="宋体" w:hAnsi="宋体" w:eastAsia="宋体" w:cs="宋体"/>
          <w:kern w:val="2"/>
          <w:sz w:val="28"/>
          <w:szCs w:val="28"/>
          <w:lang w:val="en-US" w:eastAsia="zh-CN"/>
        </w:rPr>
        <w:t>房地产市场资料；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sz w:val="28"/>
          <w:szCs w:val="28"/>
          <w:lang w:val="en-US"/>
        </w:rPr>
      </w:pPr>
      <w:r>
        <w:rPr>
          <w:rFonts w:hint="eastAsia" w:ascii="宋体" w:hAnsi="宋体" w:eastAsia="宋体" w:cs="宋体"/>
          <w:kern w:val="0"/>
          <w:sz w:val="28"/>
          <w:szCs w:val="28"/>
          <w:lang w:val="en-US" w:eastAsia="zh-CN"/>
        </w:rPr>
        <w:t>(2)长葛市概况、规划、经济发展及自然、人文环境资料；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bCs/>
          <w:kern w:val="0"/>
          <w:sz w:val="28"/>
          <w:szCs w:val="28"/>
          <w:lang w:val="en-US"/>
        </w:rPr>
      </w:pPr>
      <w:r>
        <w:rPr>
          <w:rFonts w:hint="eastAsia" w:ascii="宋体" w:hAnsi="宋体" w:eastAsia="宋体" w:cs="宋体"/>
          <w:kern w:val="0"/>
          <w:sz w:val="28"/>
          <w:szCs w:val="28"/>
          <w:lang w:val="en-US" w:eastAsia="zh-CN"/>
        </w:rPr>
        <w:t>(3)现场查勘获得的资料及其他有关资料。</w:t>
      </w:r>
    </w:p>
    <w:p>
      <w:pPr>
        <w:keepNext w:val="0"/>
        <w:keepLines w:val="0"/>
        <w:widowControl/>
        <w:suppressLineNumbers w:val="0"/>
        <w:bidi w:val="0"/>
        <w:spacing w:before="0" w:beforeAutospacing="0" w:after="0" w:afterAutospacing="0" w:line="560" w:lineRule="exact"/>
        <w:ind w:left="0" w:leftChars="0" w:right="0" w:firstLine="641" w:firstLineChars="228"/>
        <w:jc w:val="both"/>
        <w:rPr>
          <w:rFonts w:hAnsi="宋体"/>
          <w:b/>
          <w:bCs w:val="0"/>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九</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估价方法</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估价方法通常有比较法、成本法、收益法、假设开发法四种。</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1.</w:t>
      </w:r>
      <w:r>
        <w:rPr>
          <w:rFonts w:hint="eastAsia" w:ascii="宋体" w:hAnsi="宋体" w:eastAsia="宋体" w:cs="宋体"/>
          <w:color w:val="auto"/>
          <w:sz w:val="28"/>
          <w:szCs w:val="28"/>
          <w:highlight w:val="none"/>
        </w:rPr>
        <w:t>估价方法选用原则</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依据中华人民共和国国家标准《房地产估价规范》</w:t>
      </w:r>
      <w:r>
        <w:rPr>
          <w:rFonts w:hint="eastAsia" w:ascii="宋体" w:hAnsi="宋体" w:eastAsia="宋体" w:cs="宋体"/>
          <w:color w:val="auto"/>
          <w:sz w:val="28"/>
          <w:highlight w:val="none"/>
          <w:lang w:eastAsia="zh-CN"/>
        </w:rPr>
        <w:t>(</w:t>
      </w:r>
      <w:r>
        <w:rPr>
          <w:rFonts w:hint="eastAsia" w:ascii="宋体" w:hAnsi="宋体" w:eastAsia="宋体" w:cs="宋体"/>
          <w:color w:val="auto"/>
          <w:kern w:val="0"/>
          <w:sz w:val="28"/>
          <w:szCs w:val="28"/>
          <w:highlight w:val="none"/>
        </w:rPr>
        <w:t>GB/T 50291-2015</w:t>
      </w:r>
      <w:r>
        <w:rPr>
          <w:rFonts w:hint="eastAsia" w:ascii="宋体" w:hAnsi="宋体" w:eastAsia="宋体" w:cs="宋体"/>
          <w:color w:val="auto"/>
          <w:sz w:val="28"/>
          <w:highlight w:val="none"/>
          <w:lang w:eastAsia="zh-CN"/>
        </w:rPr>
        <w:t>)</w:t>
      </w:r>
      <w:r>
        <w:rPr>
          <w:rFonts w:hint="eastAsia" w:ascii="宋体" w:hAnsi="宋体" w:eastAsia="宋体" w:cs="宋体"/>
          <w:color w:val="auto"/>
          <w:sz w:val="28"/>
          <w:highlight w:val="none"/>
        </w:rPr>
        <w:t>和</w:t>
      </w:r>
      <w:r>
        <w:rPr>
          <w:rFonts w:hint="eastAsia" w:ascii="宋体" w:hAnsi="宋体" w:eastAsia="宋体" w:cs="宋体"/>
          <w:color w:val="auto"/>
          <w:sz w:val="28"/>
          <w:szCs w:val="28"/>
          <w:highlight w:val="none"/>
        </w:rPr>
        <w:t>河南省房地产估价技术指引</w:t>
      </w:r>
      <w:r>
        <w:rPr>
          <w:rFonts w:hint="eastAsia" w:ascii="宋体" w:hAnsi="宋体" w:eastAsia="宋体" w:cs="宋体"/>
          <w:bCs/>
          <w:color w:val="auto"/>
          <w:sz w:val="28"/>
          <w:szCs w:val="28"/>
          <w:highlight w:val="none"/>
        </w:rPr>
        <w:t>之五--估价方法选用及估价结果确定有关规定：</w:t>
      </w:r>
      <w:r>
        <w:rPr>
          <w:rFonts w:hint="eastAsia" w:ascii="宋体" w:hAnsi="宋体" w:eastAsia="宋体" w:cs="宋体"/>
          <w:color w:val="auto"/>
          <w:sz w:val="28"/>
          <w:highlight w:val="none"/>
        </w:rPr>
        <w:t>“4.1.1</w:t>
      </w:r>
      <w:r>
        <w:rPr>
          <w:rFonts w:hint="eastAsia" w:ascii="宋体" w:hAnsi="宋体" w:eastAsia="宋体" w:cs="宋体"/>
          <w:color w:val="auto"/>
          <w:sz w:val="28"/>
          <w:szCs w:val="28"/>
          <w:highlight w:val="none"/>
        </w:rPr>
        <w:t>选用估价方法时，应根据估价对象及其所在地的房地产市场状况等客观条件，对比较法、收益法、成本法、假设开发法等估价方法进行适应性分析。4.1.2估价方法的选用,应符合下列规定:</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估价对象的同类房地产有较多交易的，应选用比较法；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估价对象或其同类房地产通常有租金等经济收入的，应选用收益法；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估价对象可假定为独立的开发建设项目进行重新开发建设的，宜适用成本法；当估价对象的同类房地产没有交易或交易很少，且估价对象或其同类房地产没有租金等经济收入时，应选用成本法。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具有开发或再开发潜力且开发完成后的价值可采用除成本法以外的方法测算的，应选用假设开发法。4.1.3当估价对象仅适用一种估价方法进行估价时,可只采用一种估价方法进行估价。当估价对象适用两种或两种以上估价方法进行估价时,宜同时选用所有适用的估价方法进行估价，不得随意取舍</w:t>
      </w:r>
      <w:r>
        <w:rPr>
          <w:rFonts w:hint="eastAsia" w:ascii="宋体" w:hAnsi="宋体" w:eastAsia="宋体" w:cs="宋体"/>
          <w:color w:val="auto"/>
          <w:sz w:val="28"/>
          <w:highlight w:val="none"/>
        </w:rPr>
        <w:t>。”</w:t>
      </w:r>
    </w:p>
    <w:p>
      <w:pPr>
        <w:spacing w:line="540" w:lineRule="exact"/>
        <w:ind w:left="0" w:leftChars="0" w:firstLine="638" w:firstLineChars="228"/>
        <w:rPr>
          <w:rFonts w:hint="eastAsia" w:ascii="宋体" w:hAnsi="宋体" w:eastAsia="宋体" w:cs="宋体"/>
          <w:color w:val="auto"/>
          <w:sz w:val="28"/>
          <w:szCs w:val="28"/>
          <w:highlight w:val="none"/>
        </w:rPr>
      </w:pPr>
      <w:r>
        <w:rPr>
          <w:rFonts w:hint="eastAsia" w:ascii="宋体" w:hAnsi="宋体" w:eastAsia="宋体" w:cs="宋体"/>
          <w:color w:val="auto"/>
          <w:sz w:val="28"/>
          <w:highlight w:val="none"/>
        </w:rPr>
        <w:t>2.</w:t>
      </w:r>
      <w:r>
        <w:rPr>
          <w:rFonts w:hint="eastAsia" w:ascii="宋体" w:hAnsi="宋体" w:eastAsia="宋体" w:cs="宋体"/>
          <w:color w:val="auto"/>
          <w:sz w:val="28"/>
          <w:szCs w:val="28"/>
          <w:highlight w:val="none"/>
        </w:rPr>
        <w:t>估价方法的选择</w:t>
      </w:r>
    </w:p>
    <w:p>
      <w:pPr>
        <w:spacing w:line="540" w:lineRule="exact"/>
        <w:ind w:left="0" w:leftChars="0" w:firstLine="638" w:firstLineChars="228"/>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根据委托人提供资料显示：</w:t>
      </w:r>
      <w:r>
        <w:rPr>
          <w:rFonts w:hint="eastAsia" w:ascii="宋体" w:hAnsi="宋体" w:eastAsia="宋体" w:cs="宋体"/>
          <w:bCs/>
          <w:color w:val="auto"/>
          <w:sz w:val="28"/>
          <w:szCs w:val="28"/>
          <w:highlight w:val="none"/>
        </w:rPr>
        <w:t>估价对象为</w:t>
      </w:r>
      <w:r>
        <w:rPr>
          <w:rFonts w:hint="eastAsia" w:ascii="宋体" w:hAnsi="宋体" w:cs="宋体"/>
          <w:color w:val="auto"/>
          <w:sz w:val="28"/>
          <w:szCs w:val="28"/>
          <w:highlight w:val="none"/>
          <w:lang w:eastAsia="zh-CN"/>
        </w:rPr>
        <w:t>河南省许昌市禹州市夏都办禹王大道中段路南鼎原花苑1幢4单元3层4-303房</w:t>
      </w:r>
      <w:r>
        <w:rPr>
          <w:rFonts w:hint="eastAsia" w:ascii="宋体" w:hAnsi="宋体" w:eastAsia="宋体" w:cs="宋体"/>
          <w:color w:val="auto"/>
          <w:sz w:val="28"/>
          <w:szCs w:val="28"/>
          <w:highlight w:val="none"/>
        </w:rPr>
        <w:t>的住宅房地产。</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highlight w:val="none"/>
        </w:rPr>
        <w:t>比较法</w:t>
      </w:r>
      <w:r>
        <w:rPr>
          <w:rFonts w:hint="eastAsia" w:ascii="宋体" w:hAnsi="宋体" w:eastAsia="宋体" w:cs="宋体"/>
          <w:color w:val="auto"/>
          <w:sz w:val="28"/>
          <w:szCs w:val="28"/>
          <w:highlight w:val="none"/>
        </w:rPr>
        <w:t>的选择</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估价对象用途为</w:t>
      </w:r>
      <w:r>
        <w:rPr>
          <w:rFonts w:hint="eastAsia" w:ascii="宋体" w:hAnsi="宋体" w:eastAsia="宋体" w:cs="宋体"/>
          <w:color w:val="auto"/>
          <w:sz w:val="28"/>
          <w:highlight w:val="none"/>
          <w:lang w:eastAsia="zh-CN"/>
        </w:rPr>
        <w:t>住宅</w:t>
      </w:r>
      <w:r>
        <w:rPr>
          <w:rFonts w:hint="eastAsia" w:ascii="宋体" w:hAnsi="宋体" w:eastAsia="宋体" w:cs="宋体"/>
          <w:color w:val="auto"/>
          <w:sz w:val="28"/>
          <w:highlight w:val="none"/>
        </w:rPr>
        <w:t xml:space="preserve">，于价值时点近期此区域类似物业可比实例数量较多、信息详实，修正、调整体系完善合理且易于搜集，交易价格真实有效，因此宜首选比较法进行估价，且比较法所求出房地产价值更能反映当前市场一般水平。 </w:t>
      </w:r>
    </w:p>
    <w:p>
      <w:pPr>
        <w:spacing w:line="540" w:lineRule="exact"/>
        <w:ind w:left="0" w:leftChars="0" w:firstLine="683" w:firstLineChars="228"/>
        <w:rPr>
          <w:rFonts w:hint="eastAsia" w:ascii="宋体" w:hAnsi="宋体" w:eastAsia="宋体" w:cs="宋体"/>
          <w:color w:val="auto"/>
          <w:spacing w:val="10"/>
          <w:sz w:val="28"/>
          <w:highlight w:val="none"/>
        </w:rPr>
      </w:pPr>
      <w:r>
        <w:rPr>
          <w:rFonts w:hint="eastAsia" w:ascii="宋体" w:hAnsi="宋体" w:eastAsia="宋体" w:cs="宋体"/>
          <w:color w:val="auto"/>
          <w:spacing w:val="10"/>
          <w:sz w:val="28"/>
          <w:highlight w:val="none"/>
        </w:rPr>
        <w:t>比较法是将估价对象与在价值时点的近期发生过交易类似房地产进行比较，对这些类似房地产的成交价格做适当的处理来求取估价对象价格的一种估价方法。</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highlight w:val="none"/>
        </w:rPr>
        <w:t>收益法</w:t>
      </w:r>
      <w:r>
        <w:rPr>
          <w:rFonts w:hint="eastAsia" w:ascii="宋体" w:hAnsi="宋体" w:eastAsia="宋体" w:cs="宋体"/>
          <w:color w:val="auto"/>
          <w:sz w:val="28"/>
          <w:szCs w:val="28"/>
          <w:highlight w:val="none"/>
        </w:rPr>
        <w:t>的选择</w:t>
      </w:r>
    </w:p>
    <w:p>
      <w:pPr>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估价对象</w:t>
      </w:r>
      <w:r>
        <w:rPr>
          <w:rFonts w:hint="eastAsia" w:ascii="宋体" w:hAnsi="宋体" w:eastAsia="宋体" w:cs="宋体"/>
          <w:color w:val="auto"/>
          <w:sz w:val="28"/>
          <w:highlight w:val="none"/>
        </w:rPr>
        <w:t>用途</w:t>
      </w:r>
      <w:r>
        <w:rPr>
          <w:rFonts w:hint="eastAsia" w:ascii="宋体" w:hAnsi="宋体" w:eastAsia="宋体" w:cs="宋体"/>
          <w:color w:val="auto"/>
          <w:kern w:val="0"/>
          <w:sz w:val="28"/>
          <w:szCs w:val="28"/>
          <w:highlight w:val="none"/>
        </w:rPr>
        <w:t>为</w:t>
      </w:r>
      <w:r>
        <w:rPr>
          <w:rFonts w:hint="eastAsia" w:ascii="宋体" w:hAnsi="宋体" w:eastAsia="宋体" w:cs="宋体"/>
          <w:color w:val="auto"/>
          <w:kern w:val="0"/>
          <w:sz w:val="28"/>
          <w:szCs w:val="28"/>
          <w:highlight w:val="none"/>
          <w:lang w:eastAsia="zh-CN"/>
        </w:rPr>
        <w:t>住宅</w:t>
      </w:r>
      <w:r>
        <w:rPr>
          <w:rFonts w:hint="eastAsia" w:ascii="宋体" w:hAnsi="宋体" w:eastAsia="宋体" w:cs="宋体"/>
          <w:color w:val="auto"/>
          <w:kern w:val="0"/>
          <w:sz w:val="28"/>
          <w:szCs w:val="28"/>
          <w:highlight w:val="none"/>
        </w:rPr>
        <w:t>，具有潜在或客观出租收益，</w:t>
      </w:r>
      <w:r>
        <w:rPr>
          <w:rFonts w:hint="eastAsia" w:ascii="宋体" w:hAnsi="宋体" w:eastAsia="宋体" w:cs="宋体"/>
          <w:color w:val="auto"/>
          <w:sz w:val="28"/>
          <w:szCs w:val="28"/>
          <w:highlight w:val="none"/>
        </w:rPr>
        <w:t>且估价对象周边区域可用于比较的同类房地产</w:t>
      </w:r>
      <w:r>
        <w:rPr>
          <w:rFonts w:hint="eastAsia" w:ascii="宋体" w:hAnsi="宋体" w:eastAsia="宋体" w:cs="宋体"/>
          <w:color w:val="auto"/>
          <w:sz w:val="28"/>
          <w:highlight w:val="none"/>
        </w:rPr>
        <w:t>可比实例</w:t>
      </w:r>
      <w:r>
        <w:rPr>
          <w:rFonts w:hint="eastAsia" w:ascii="宋体" w:hAnsi="宋体" w:eastAsia="宋体" w:cs="宋体"/>
          <w:color w:val="auto"/>
          <w:sz w:val="28"/>
          <w:szCs w:val="28"/>
          <w:highlight w:val="none"/>
        </w:rPr>
        <w:t>租金</w:t>
      </w:r>
      <w:r>
        <w:rPr>
          <w:rFonts w:hint="eastAsia" w:ascii="宋体" w:hAnsi="宋体" w:eastAsia="宋体" w:cs="宋体"/>
          <w:color w:val="auto"/>
          <w:sz w:val="28"/>
          <w:highlight w:val="none"/>
        </w:rPr>
        <w:t>数量</w:t>
      </w:r>
      <w:r>
        <w:rPr>
          <w:rFonts w:hint="eastAsia" w:ascii="宋体" w:hAnsi="宋体" w:eastAsia="宋体" w:cs="宋体"/>
          <w:color w:val="auto"/>
          <w:sz w:val="28"/>
          <w:szCs w:val="28"/>
          <w:highlight w:val="none"/>
        </w:rPr>
        <w:t>较多、</w:t>
      </w:r>
      <w:r>
        <w:rPr>
          <w:rFonts w:hint="eastAsia" w:ascii="宋体" w:hAnsi="宋体" w:eastAsia="宋体" w:cs="宋体"/>
          <w:color w:val="auto"/>
          <w:sz w:val="28"/>
          <w:highlight w:val="none"/>
        </w:rPr>
        <w:t>信息详实，修正、调整体系完善合理</w:t>
      </w:r>
      <w:r>
        <w:rPr>
          <w:rFonts w:hint="eastAsia" w:ascii="宋体" w:hAnsi="宋体" w:eastAsia="宋体" w:cs="宋体"/>
          <w:color w:val="auto"/>
          <w:sz w:val="28"/>
          <w:szCs w:val="28"/>
          <w:highlight w:val="none"/>
        </w:rPr>
        <w:t>，租金水平透明且较宜获取，符合收益法选用条件。</w:t>
      </w:r>
      <w:r>
        <w:rPr>
          <w:rFonts w:hint="eastAsia" w:ascii="宋体" w:hAnsi="宋体" w:eastAsia="宋体" w:cs="宋体"/>
          <w:color w:val="auto"/>
          <w:kern w:val="0"/>
          <w:sz w:val="28"/>
          <w:szCs w:val="28"/>
          <w:highlight w:val="none"/>
        </w:rPr>
        <w:t>因此亦适宜采用收益法进行估价。</w:t>
      </w:r>
    </w:p>
    <w:p>
      <w:pPr>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收益法是将预期的房地产未来各期的正常净收益折算到价值时点上的现值，求其之和得出</w:t>
      </w:r>
      <w:r>
        <w:rPr>
          <w:rFonts w:hint="eastAsia" w:ascii="宋体" w:hAnsi="宋体" w:eastAsia="宋体" w:cs="宋体"/>
          <w:color w:val="auto"/>
          <w:spacing w:val="10"/>
          <w:sz w:val="28"/>
          <w:highlight w:val="none"/>
        </w:rPr>
        <w:t>估价对象价格的一种估价方法</w:t>
      </w:r>
      <w:r>
        <w:rPr>
          <w:rFonts w:hint="eastAsia" w:ascii="宋体" w:hAnsi="宋体" w:eastAsia="宋体" w:cs="宋体"/>
          <w:color w:val="auto"/>
          <w:kern w:val="0"/>
          <w:sz w:val="28"/>
          <w:szCs w:val="28"/>
          <w:highlight w:val="none"/>
        </w:rPr>
        <w:t>。</w:t>
      </w:r>
    </w:p>
    <w:p>
      <w:pPr>
        <w:widowControl/>
        <w:spacing w:line="540" w:lineRule="exact"/>
        <w:ind w:left="0" w:leftChars="0" w:firstLine="638" w:firstLineChars="228"/>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成本法的选择</w:t>
      </w:r>
    </w:p>
    <w:p>
      <w:pPr>
        <w:widowControl/>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rPr>
        <w:t>依据中华人民共和国国家标准《房地产估价规范》</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GB/T 50291—2015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rPr>
        <w:t>4.1.2</w:t>
      </w:r>
      <w:r>
        <w:rPr>
          <w:rFonts w:hint="eastAsia" w:ascii="宋体" w:hAnsi="宋体" w:eastAsia="宋体" w:cs="宋体"/>
          <w:color w:val="auto"/>
          <w:sz w:val="28"/>
          <w:szCs w:val="28"/>
          <w:highlight w:val="none"/>
        </w:rPr>
        <w:t xml:space="preserve"> “估价对象可假定为独立的开发建设项目进行重新开发建设的，宜选用成本法；当估价对象的同类房地产没有交易或交易很少，且估价对象或其同类房地产没有租金等经济收入时，应选用成本法。”</w:t>
      </w:r>
      <w:r>
        <w:rPr>
          <w:rFonts w:hint="eastAsia" w:ascii="宋体" w:hAnsi="宋体" w:eastAsia="宋体" w:cs="宋体"/>
          <w:color w:val="auto"/>
          <w:sz w:val="28"/>
          <w:highlight w:val="none"/>
        </w:rPr>
        <w:t xml:space="preserve"> 因估价对象规划用途为</w:t>
      </w:r>
      <w:r>
        <w:rPr>
          <w:rFonts w:hint="eastAsia" w:ascii="宋体" w:hAnsi="宋体" w:eastAsia="宋体" w:cs="宋体"/>
          <w:color w:val="auto"/>
          <w:kern w:val="0"/>
          <w:sz w:val="28"/>
          <w:szCs w:val="28"/>
          <w:highlight w:val="none"/>
          <w:lang w:eastAsia="zh-CN"/>
        </w:rPr>
        <w:t>住宅</w:t>
      </w:r>
      <w:r>
        <w:rPr>
          <w:rFonts w:hint="eastAsia" w:ascii="宋体" w:hAnsi="宋体" w:eastAsia="宋体" w:cs="宋体"/>
          <w:color w:val="auto"/>
          <w:sz w:val="28"/>
          <w:highlight w:val="none"/>
        </w:rPr>
        <w:t>，于价值时点</w:t>
      </w:r>
      <w:r>
        <w:rPr>
          <w:rFonts w:hint="eastAsia" w:ascii="宋体" w:hAnsi="宋体" w:eastAsia="宋体" w:cs="宋体"/>
          <w:color w:val="auto"/>
          <w:sz w:val="28"/>
          <w:szCs w:val="28"/>
          <w:highlight w:val="none"/>
        </w:rPr>
        <w:t>同类房地产交易活跃，虽然理论上对估价对象房地产也可采用成本法，但成本法</w:t>
      </w:r>
      <w:r>
        <w:rPr>
          <w:rFonts w:hint="eastAsia" w:ascii="宋体" w:hAnsi="宋体" w:eastAsia="宋体" w:cs="宋体"/>
          <w:color w:val="auto"/>
          <w:kern w:val="0"/>
          <w:sz w:val="28"/>
          <w:szCs w:val="28"/>
          <w:highlight w:val="none"/>
        </w:rPr>
        <w:t>求出估价对象房地产价值很难反映当前房地产市场状况</w:t>
      </w:r>
      <w:r>
        <w:rPr>
          <w:rFonts w:hint="eastAsia" w:ascii="宋体" w:hAnsi="宋体" w:eastAsia="宋体" w:cs="宋体"/>
          <w:color w:val="auto"/>
          <w:sz w:val="28"/>
          <w:szCs w:val="28"/>
          <w:highlight w:val="none"/>
        </w:rPr>
        <w:t>，因此不适宜采用成本法进行估价。</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4</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假设开发法</w:t>
      </w:r>
      <w:r>
        <w:rPr>
          <w:rFonts w:hint="eastAsia" w:ascii="宋体" w:hAnsi="宋体" w:eastAsia="宋体" w:cs="宋体"/>
          <w:color w:val="auto"/>
          <w:sz w:val="28"/>
          <w:szCs w:val="28"/>
          <w:highlight w:val="none"/>
        </w:rPr>
        <w:t>的选择</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依据中华人民共和国国家标准《房地产估价规范》</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GB/T 50291—2015</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4.1.2“估价对象具有开发或再开发潜力且开发完成后的价值可采用除成本法以外的方法测算的,应选用假设开发法。”估</w:t>
      </w:r>
      <w:r>
        <w:rPr>
          <w:rFonts w:hint="eastAsia" w:ascii="宋体" w:hAnsi="宋体" w:eastAsia="宋体" w:cs="宋体"/>
          <w:color w:val="auto"/>
          <w:sz w:val="28"/>
          <w:szCs w:val="28"/>
          <w:highlight w:val="none"/>
        </w:rPr>
        <w:t>价对象为已建成的完好房地产，并无规划变更或调整的通知。本次估价不符合</w:t>
      </w:r>
      <w:r>
        <w:rPr>
          <w:rFonts w:hint="eastAsia" w:ascii="宋体" w:hAnsi="宋体" w:eastAsia="宋体" w:cs="宋体"/>
          <w:color w:val="auto"/>
          <w:kern w:val="0"/>
          <w:sz w:val="28"/>
          <w:szCs w:val="28"/>
          <w:highlight w:val="none"/>
        </w:rPr>
        <w:t>假设开发法</w:t>
      </w:r>
      <w:r>
        <w:rPr>
          <w:rFonts w:hint="eastAsia" w:ascii="宋体" w:hAnsi="宋体" w:eastAsia="宋体" w:cs="宋体"/>
          <w:color w:val="auto"/>
          <w:sz w:val="28"/>
          <w:szCs w:val="28"/>
          <w:highlight w:val="none"/>
        </w:rPr>
        <w:t>选用条件，因此不适宜采用</w:t>
      </w:r>
      <w:r>
        <w:rPr>
          <w:rFonts w:hint="eastAsia" w:ascii="宋体" w:hAnsi="宋体" w:eastAsia="宋体" w:cs="宋体"/>
          <w:color w:val="auto"/>
          <w:kern w:val="0"/>
          <w:sz w:val="28"/>
          <w:szCs w:val="28"/>
          <w:highlight w:val="none"/>
        </w:rPr>
        <w:t>假设开发法</w:t>
      </w:r>
      <w:r>
        <w:rPr>
          <w:rFonts w:hint="eastAsia" w:ascii="宋体" w:hAnsi="宋体" w:eastAsia="宋体" w:cs="宋体"/>
          <w:color w:val="auto"/>
          <w:sz w:val="28"/>
          <w:szCs w:val="28"/>
          <w:highlight w:val="none"/>
        </w:rPr>
        <w:t>进行估价。</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3.</w:t>
      </w:r>
      <w:r>
        <w:rPr>
          <w:rFonts w:hint="eastAsia" w:ascii="宋体" w:hAnsi="宋体" w:eastAsia="宋体" w:cs="宋体"/>
          <w:color w:val="auto"/>
          <w:sz w:val="28"/>
          <w:szCs w:val="28"/>
          <w:highlight w:val="none"/>
        </w:rPr>
        <w:t>估价方法的确定</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综上所述，本次估价根据估价对象所在区域房地产市场情况并结合估价对象的具体特点及本次估价目的等，适宜</w:t>
      </w:r>
      <w:r>
        <w:rPr>
          <w:rFonts w:hint="eastAsia" w:ascii="宋体" w:hAnsi="宋体" w:eastAsia="宋体" w:cs="宋体"/>
          <w:color w:val="auto"/>
          <w:sz w:val="28"/>
          <w:highlight w:val="none"/>
        </w:rPr>
        <w:t>采用比较法、收益法进行估价</w:t>
      </w:r>
      <w:r>
        <w:rPr>
          <w:rFonts w:hint="eastAsia" w:ascii="宋体" w:hAnsi="宋体" w:eastAsia="宋体" w:cs="宋体"/>
          <w:color w:val="auto"/>
          <w:sz w:val="28"/>
          <w:szCs w:val="28"/>
          <w:highlight w:val="none"/>
        </w:rPr>
        <w:t>。</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kern w:val="0"/>
          <w:sz w:val="28"/>
          <w:szCs w:val="28"/>
          <w:highlight w:val="none"/>
        </w:rPr>
        <w:t>本次估价</w:t>
      </w:r>
      <w:r>
        <w:rPr>
          <w:rFonts w:hint="eastAsia" w:ascii="宋体" w:hAnsi="宋体" w:eastAsia="宋体" w:cs="宋体"/>
          <w:color w:val="auto"/>
          <w:sz w:val="28"/>
          <w:szCs w:val="28"/>
          <w:highlight w:val="none"/>
        </w:rPr>
        <w:t>测算</w:t>
      </w:r>
      <w:r>
        <w:rPr>
          <w:rFonts w:hint="eastAsia" w:ascii="宋体" w:hAnsi="宋体" w:eastAsia="宋体" w:cs="宋体"/>
          <w:color w:val="auto"/>
          <w:kern w:val="0"/>
          <w:sz w:val="28"/>
          <w:szCs w:val="28"/>
          <w:highlight w:val="none"/>
        </w:rPr>
        <w:t>技术路线</w:t>
      </w:r>
    </w:p>
    <w:p>
      <w:pPr>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先</w:t>
      </w:r>
      <w:r>
        <w:rPr>
          <w:rFonts w:hint="eastAsia" w:ascii="宋体" w:hAnsi="宋体" w:eastAsia="宋体" w:cs="宋体"/>
          <w:color w:val="auto"/>
          <w:sz w:val="28"/>
          <w:highlight w:val="none"/>
        </w:rPr>
        <w:t>采用比较法、收益法</w:t>
      </w:r>
      <w:r>
        <w:rPr>
          <w:rFonts w:hint="eastAsia" w:ascii="宋体" w:hAnsi="宋体" w:eastAsia="宋体" w:cs="宋体"/>
          <w:color w:val="auto"/>
          <w:kern w:val="0"/>
          <w:sz w:val="28"/>
          <w:szCs w:val="28"/>
          <w:highlight w:val="none"/>
        </w:rPr>
        <w:t>两种估价方法求取估价对象比较价值及收益价值，</w:t>
      </w:r>
      <w:r>
        <w:rPr>
          <w:rFonts w:hint="eastAsia" w:ascii="宋体" w:hAnsi="宋体" w:eastAsia="宋体" w:cs="宋体"/>
          <w:color w:val="auto"/>
          <w:sz w:val="28"/>
          <w:szCs w:val="28"/>
          <w:highlight w:val="none"/>
        </w:rPr>
        <w:t>通过对两种估价方法的测算过程、参数确定进行分析，最后在综合分析影响房地产价格因素的基础上，确定采用两种方法测算结果的简单算术平均值作为</w:t>
      </w:r>
      <w:r>
        <w:rPr>
          <w:rFonts w:hint="eastAsia" w:ascii="宋体" w:hAnsi="宋体" w:eastAsia="宋体" w:cs="宋体"/>
          <w:color w:val="auto"/>
          <w:sz w:val="28"/>
          <w:highlight w:val="none"/>
          <w:lang w:eastAsia="zh-CN"/>
        </w:rPr>
        <w:t>估价对象的市场</w:t>
      </w:r>
      <w:r>
        <w:rPr>
          <w:rFonts w:hint="eastAsia" w:ascii="宋体" w:hAnsi="宋体" w:eastAsia="宋体" w:cs="宋体"/>
          <w:color w:val="auto"/>
          <w:sz w:val="28"/>
          <w:szCs w:val="28"/>
          <w:highlight w:val="none"/>
        </w:rPr>
        <w:t>价值。</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十</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估价结果</w:t>
      </w:r>
    </w:p>
    <w:p>
      <w:pPr>
        <w:spacing w:line="540" w:lineRule="exact"/>
        <w:ind w:left="0" w:leftChars="0" w:firstLine="638" w:firstLineChars="22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ascii="宋体" w:hAnsi="宋体" w:cs="宋体"/>
          <w:color w:val="auto"/>
          <w:sz w:val="28"/>
          <w:szCs w:val="28"/>
          <w:highlight w:val="none"/>
          <w:lang w:val="en-US" w:eastAsia="zh-CN"/>
        </w:rPr>
        <w:t>71.61</w:t>
      </w:r>
      <w:r>
        <w:rPr>
          <w:rFonts w:hint="eastAsia" w:ascii="宋体" w:hAnsi="宋体" w:eastAsia="宋体" w:cs="宋体"/>
          <w:color w:val="auto"/>
          <w:sz w:val="28"/>
          <w:szCs w:val="28"/>
          <w:highlight w:val="none"/>
          <w:lang w:val="en-US" w:eastAsia="zh-CN"/>
        </w:rPr>
        <w:t>万元(人民币)，大写人民币：</w:t>
      </w:r>
      <w:r>
        <w:rPr>
          <w:rFonts w:hint="eastAsia" w:ascii="宋体" w:hAnsi="宋体" w:cs="宋体"/>
          <w:color w:val="auto"/>
          <w:sz w:val="28"/>
          <w:szCs w:val="28"/>
          <w:highlight w:val="none"/>
          <w:lang w:val="en-US" w:eastAsia="zh-CN"/>
        </w:rPr>
        <w:t>柒拾壹万陆仟壹佰</w:t>
      </w:r>
      <w:r>
        <w:rPr>
          <w:rFonts w:hint="eastAsia" w:ascii="宋体" w:hAnsi="宋体" w:eastAsia="宋体" w:cs="宋体"/>
          <w:color w:val="auto"/>
          <w:sz w:val="28"/>
          <w:szCs w:val="28"/>
          <w:highlight w:val="none"/>
          <w:lang w:val="en-US" w:eastAsia="zh-CN"/>
        </w:rPr>
        <w:t>元整。合建筑面积单价：</w:t>
      </w:r>
      <w:r>
        <w:rPr>
          <w:rFonts w:hint="eastAsia" w:ascii="宋体" w:hAnsi="宋体" w:cs="宋体"/>
          <w:color w:val="auto"/>
          <w:sz w:val="28"/>
          <w:szCs w:val="28"/>
          <w:highlight w:val="none"/>
          <w:lang w:val="en-US" w:eastAsia="zh-CN"/>
        </w:rPr>
        <w:t>5822</w:t>
      </w:r>
      <w:r>
        <w:rPr>
          <w:rFonts w:hint="eastAsia" w:ascii="宋体" w:hAnsi="宋体" w:eastAsia="宋体" w:cs="宋体"/>
          <w:color w:val="auto"/>
          <w:sz w:val="28"/>
          <w:szCs w:val="28"/>
          <w:highlight w:val="none"/>
          <w:lang w:val="en-US" w:eastAsia="zh-CN"/>
        </w:rPr>
        <w:t>元/平方米。房屋变现价值估价总额为：</w:t>
      </w:r>
      <w:r>
        <w:rPr>
          <w:rFonts w:hint="eastAsia" w:ascii="宋体" w:hAnsi="宋体" w:cs="宋体"/>
          <w:color w:val="auto"/>
          <w:sz w:val="28"/>
          <w:szCs w:val="28"/>
          <w:highlight w:val="none"/>
          <w:lang w:val="en-US" w:eastAsia="zh-CN"/>
        </w:rPr>
        <w:t>64.45</w:t>
      </w:r>
      <w:r>
        <w:rPr>
          <w:rFonts w:hint="eastAsia" w:ascii="宋体" w:hAnsi="宋体" w:eastAsia="宋体" w:cs="宋体"/>
          <w:color w:val="auto"/>
          <w:sz w:val="28"/>
          <w:szCs w:val="28"/>
          <w:highlight w:val="none"/>
          <w:lang w:val="en-US" w:eastAsia="zh-CN"/>
        </w:rPr>
        <w:t>万元，大写人民币：</w:t>
      </w:r>
      <w:r>
        <w:rPr>
          <w:rFonts w:hint="eastAsia" w:ascii="宋体" w:hAnsi="宋体" w:cs="宋体"/>
          <w:color w:val="auto"/>
          <w:sz w:val="28"/>
          <w:szCs w:val="28"/>
          <w:highlight w:val="none"/>
          <w:lang w:val="en-US" w:eastAsia="zh-CN"/>
        </w:rPr>
        <w:t>陆拾肆万肆仟伍佰</w:t>
      </w:r>
      <w:r>
        <w:rPr>
          <w:rFonts w:hint="eastAsia" w:ascii="宋体" w:hAnsi="宋体" w:eastAsia="宋体" w:cs="宋体"/>
          <w:color w:val="auto"/>
          <w:sz w:val="28"/>
          <w:szCs w:val="28"/>
          <w:highlight w:val="none"/>
          <w:lang w:val="en-US" w:eastAsia="zh-CN"/>
        </w:rPr>
        <w:t>元整。详见估价对象价值明细表2。</w:t>
      </w:r>
    </w:p>
    <w:p>
      <w:pPr>
        <w:keepNext w:val="0"/>
        <w:keepLines w:val="0"/>
        <w:widowControl w:val="0"/>
        <w:suppressLineNumbers w:val="0"/>
        <w:bidi w:val="0"/>
        <w:spacing w:before="0" w:beforeAutospacing="0" w:after="0" w:afterAutospacing="0" w:line="560" w:lineRule="exact"/>
        <w:ind w:left="0" w:leftChars="0" w:right="0" w:firstLine="547" w:firstLineChars="228"/>
        <w:jc w:val="center"/>
        <w:rPr>
          <w:rFonts w:hAnsi="宋体"/>
          <w:sz w:val="24"/>
          <w:szCs w:val="24"/>
          <w:lang w:val="en-US"/>
        </w:rPr>
      </w:pPr>
      <w:r>
        <w:rPr>
          <w:rFonts w:hint="eastAsia" w:ascii="宋体" w:hAnsi="宋体" w:eastAsia="宋体" w:cs="Times New Roman"/>
          <w:kern w:val="2"/>
          <w:sz w:val="24"/>
          <w:szCs w:val="24"/>
          <w:lang w:val="en-US" w:eastAsia="zh-CN"/>
        </w:rPr>
        <w:t>估价对象价值明细表        表4</w:t>
      </w:r>
    </w:p>
    <w:tbl>
      <w:tblPr>
        <w:tblStyle w:val="8"/>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1"/>
        <w:gridCol w:w="181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bidi w:val="0"/>
              <w:spacing w:before="0" w:beforeAutospacing="0" w:after="0" w:afterAutospacing="0" w:line="600" w:lineRule="exact"/>
              <w:ind w:left="0" w:right="0"/>
              <w:jc w:val="both"/>
              <w:rPr>
                <w:rStyle w:val="10"/>
                <w:rFonts w:ascii="宋体" w:hAnsi="宋体" w:eastAsia="宋体" w:cs="宋体"/>
                <w:color w:val="000000"/>
                <w:kern w:val="0"/>
                <w:sz w:val="28"/>
                <w:szCs w:val="28"/>
                <w:lang w:val="en-US" w:eastAsia="zh-CN" w:bidi="ar-SA"/>
              </w:rPr>
            </w:pPr>
            <w:r>
              <w:rPr>
                <w:rFonts w:hint="eastAsia" w:ascii="宋体" w:hAnsi="Times New Roman" w:eastAsia="宋体" w:cs="Times New Roman"/>
                <w:kern w:val="2"/>
                <w:sz w:val="21"/>
                <w:szCs w:val="22"/>
                <w:lang w:val="en-US" w:eastAsia="zh-CN"/>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12700</wp:posOffset>
                      </wp:positionV>
                      <wp:extent cx="3609975" cy="352425"/>
                      <wp:effectExtent l="635" t="4445" r="8890" b="5080"/>
                      <wp:wrapNone/>
                      <wp:docPr id="2" name="直接箭头连接符 2"/>
                      <wp:cNvGraphicFramePr/>
                      <a:graphic xmlns:a="http://schemas.openxmlformats.org/drawingml/2006/main">
                        <a:graphicData uri="http://schemas.microsoft.com/office/word/2010/wordprocessingShape">
                          <wps:wsp>
                            <wps:cNvCnPr/>
                            <wps:spPr>
                              <a:xfrm>
                                <a:off x="0" y="0"/>
                                <a:ext cx="3609975" cy="352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35pt;margin-top:1pt;height:27.75pt;width:284.25pt;z-index:251662336;mso-width-relative:page;mso-height-relative:page;" filled="f" stroked="t" coordsize="21600,21600" o:gfxdata="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or40NUAAAAHAQAADwAAAAAAAAABACAAAAAiAAAAZHJzL2Rvd25y&#10;ZXYueG1sUEsBAhQAFAAAAAgAh07iQEY9CNgBAgAA8QMAAA4AAAAAAAAAAQAgAAAAJAEAAGRycy9l&#10;Mm9Eb2MueG1sUEsFBgAAAAAGAAYAWQEAAJcFAAAAAA==&#10;">
                      <v:fill on="f" focussize="0,0"/>
                      <v:stroke color="#000000" joinstyle="round"/>
                      <v:imagedata o:title=""/>
                      <o:lock v:ext="edit" aspectratio="f"/>
                    </v:shape>
                  </w:pict>
                </mc:Fallback>
              </mc:AlternateContent>
            </w:r>
            <w:r>
              <w:rPr>
                <w:rStyle w:val="10"/>
                <w:rFonts w:hint="eastAsia" w:ascii="宋体" w:hAnsi="宋体" w:eastAsia="宋体" w:cs="Times New Roman"/>
                <w:color w:val="000000"/>
                <w:kern w:val="2"/>
                <w:sz w:val="24"/>
                <w:szCs w:val="24"/>
                <w:lang w:val="en-US" w:eastAsia="zh-CN" w:bidi="ar-SA"/>
              </w:rPr>
              <w:t>项目及结果估价对象</w:t>
            </w:r>
          </w:p>
        </w:tc>
        <w:tc>
          <w:tcPr>
            <w:tcW w:w="17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bidi w:val="0"/>
              <w:spacing w:before="0" w:beforeAutospacing="0" w:after="0" w:afterAutospacing="0" w:line="600" w:lineRule="exact"/>
              <w:ind w:left="0" w:right="0"/>
              <w:jc w:val="center"/>
              <w:rPr>
                <w:rStyle w:val="10"/>
                <w:rFonts w:ascii="宋体" w:hAnsi="宋体" w:eastAsia="宋体" w:cs="宋体"/>
                <w:color w:val="000000"/>
                <w:kern w:val="0"/>
                <w:sz w:val="28"/>
                <w:szCs w:val="28"/>
                <w:lang w:val="en-US" w:eastAsia="zh-CN" w:bidi="ar-SA"/>
              </w:rPr>
            </w:pPr>
            <w:r>
              <w:rPr>
                <w:rStyle w:val="10"/>
                <w:rFonts w:hint="eastAsia" w:ascii="宋体" w:hAnsi="宋体" w:eastAsia="宋体" w:cs="Times New Roman"/>
                <w:color w:val="000000"/>
                <w:kern w:val="2"/>
                <w:sz w:val="24"/>
                <w:szCs w:val="24"/>
                <w:lang w:val="en-US" w:eastAsia="zh-CN" w:bidi="ar-SA"/>
              </w:rPr>
              <w:t>估价对象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left"/>
              <w:rPr>
                <w:rStyle w:val="10"/>
                <w:rFonts w:ascii="宋体" w:hAnsi="宋体" w:eastAsia="宋体" w:cs="宋体"/>
                <w:color w:val="000000"/>
                <w:kern w:val="0"/>
                <w:sz w:val="28"/>
                <w:szCs w:val="28"/>
                <w:lang w:val="en-US" w:eastAsia="zh-CN" w:bidi="ar-SA"/>
              </w:rPr>
            </w:pPr>
            <w:r>
              <w:rPr>
                <w:rStyle w:val="10"/>
                <w:rFonts w:hint="eastAsia" w:ascii="宋体" w:hAnsi="宋体" w:eastAsia="宋体" w:cs="Times New Roman"/>
                <w:color w:val="000000"/>
                <w:kern w:val="2"/>
                <w:sz w:val="24"/>
                <w:szCs w:val="24"/>
                <w:lang w:val="en-US" w:eastAsia="zh-CN" w:bidi="ar-SA"/>
              </w:rPr>
              <w:t>1．估价对象房屋价值时点的市场价值</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both"/>
              <w:rPr>
                <w:rStyle w:val="10"/>
                <w:rFonts w:ascii="宋体" w:hAnsi="宋体" w:eastAsia="宋体" w:cs="宋体"/>
                <w:color w:val="000000"/>
                <w:kern w:val="0"/>
                <w:sz w:val="24"/>
                <w:szCs w:val="24"/>
                <w:lang w:val="en-US" w:eastAsia="zh-CN" w:bidi="ar-SA"/>
              </w:rPr>
            </w:pPr>
            <w:r>
              <w:rPr>
                <w:rStyle w:val="10"/>
                <w:rFonts w:hint="eastAsia" w:ascii="宋体" w:hAnsi="宋体" w:eastAsia="宋体" w:cs="宋体"/>
                <w:color w:val="000000"/>
                <w:kern w:val="0"/>
                <w:sz w:val="24"/>
                <w:szCs w:val="24"/>
                <w:lang w:val="en-US" w:eastAsia="zh-CN" w:bidi="ar-SA"/>
              </w:rPr>
              <w:t>总价（万元）</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0"/>
                <w:rFonts w:ascii="宋体" w:hAnsi="宋体" w:eastAsia="宋体" w:cs="宋体"/>
                <w:color w:val="000000"/>
                <w:kern w:val="0"/>
                <w:sz w:val="24"/>
                <w:szCs w:val="24"/>
                <w:lang w:val="en-US" w:eastAsia="zh-CN" w:bidi="ar-SA"/>
              </w:rPr>
            </w:pPr>
            <w:r>
              <w:rPr>
                <w:rStyle w:val="10"/>
                <w:rFonts w:hint="eastAsia" w:ascii="宋体" w:hAnsi="宋体" w:cs="宋体"/>
                <w:color w:val="000000"/>
                <w:kern w:val="2"/>
                <w:sz w:val="24"/>
                <w:szCs w:val="24"/>
                <w:lang w:val="en-US" w:eastAsia="zh-CN" w:bidi="ar-SA"/>
              </w:rPr>
              <w:t>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left"/>
              <w:rPr>
                <w:rStyle w:val="10"/>
                <w:rFonts w:ascii="宋体" w:hAnsi="宋体" w:eastAsia="宋体" w:cs="宋体"/>
                <w:color w:val="000000"/>
                <w:kern w:val="0"/>
                <w:sz w:val="28"/>
                <w:szCs w:val="28"/>
                <w:lang w:val="en-US" w:eastAsia="zh-CN" w:bidi="ar-SA"/>
              </w:rPr>
            </w:pPr>
            <w:r>
              <w:rPr>
                <w:rStyle w:val="10"/>
                <w:rFonts w:hint="eastAsia" w:ascii="宋体" w:hAnsi="宋体" w:eastAsia="宋体" w:cs="Times New Roman"/>
                <w:color w:val="000000"/>
                <w:kern w:val="2"/>
                <w:sz w:val="24"/>
                <w:szCs w:val="24"/>
                <w:lang w:val="en-US" w:eastAsia="zh-CN" w:bidi="ar-SA"/>
              </w:rPr>
              <w:t>2．估价对象房屋价值时点的变现价值</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both"/>
              <w:rPr>
                <w:rStyle w:val="10"/>
                <w:rFonts w:ascii="宋体" w:hAnsi="宋体" w:eastAsia="宋体" w:cs="宋体"/>
                <w:color w:val="000000"/>
                <w:kern w:val="0"/>
                <w:sz w:val="24"/>
                <w:szCs w:val="24"/>
                <w:lang w:val="en-US" w:eastAsia="zh-CN" w:bidi="ar-SA"/>
              </w:rPr>
            </w:pPr>
            <w:r>
              <w:rPr>
                <w:rStyle w:val="10"/>
                <w:rFonts w:hint="eastAsia" w:ascii="宋体" w:hAnsi="宋体" w:eastAsia="宋体" w:cs="宋体"/>
                <w:color w:val="000000"/>
                <w:kern w:val="0"/>
                <w:sz w:val="24"/>
                <w:szCs w:val="24"/>
                <w:lang w:val="en-US" w:eastAsia="zh-CN" w:bidi="ar-SA"/>
              </w:rPr>
              <w:t>总价（万元）</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0"/>
                <w:rFonts w:ascii="宋体" w:hAnsi="宋体" w:eastAsia="宋体" w:cs="宋体"/>
                <w:color w:val="000000"/>
                <w:kern w:val="0"/>
                <w:sz w:val="24"/>
                <w:szCs w:val="24"/>
                <w:lang w:val="en-US" w:eastAsia="zh-CN" w:bidi="ar-SA"/>
              </w:rPr>
            </w:pPr>
            <w:r>
              <w:rPr>
                <w:rStyle w:val="10"/>
                <w:rFonts w:hint="eastAsia" w:ascii="宋体" w:hAnsi="宋体" w:cs="宋体"/>
                <w:color w:val="000000"/>
                <w:kern w:val="2"/>
                <w:sz w:val="24"/>
                <w:szCs w:val="24"/>
                <w:lang w:val="en-US" w:eastAsia="zh-CN" w:bidi="ar-SA"/>
              </w:rPr>
              <w:t>64.45</w:t>
            </w:r>
          </w:p>
        </w:tc>
      </w:tr>
    </w:tbl>
    <w:p>
      <w:pPr>
        <w:keepNext w:val="0"/>
        <w:keepLines w:val="0"/>
        <w:widowControl w:val="0"/>
        <w:suppressLineNumbers w:val="0"/>
        <w:bidi w:val="0"/>
        <w:spacing w:before="0" w:beforeAutospacing="0" w:after="0" w:afterAutospacing="0" w:line="620" w:lineRule="exact"/>
        <w:ind w:left="0" w:leftChars="0" w:right="0" w:firstLine="638" w:firstLineChars="228"/>
        <w:jc w:val="both"/>
        <w:rPr>
          <w:rFonts w:hAnsi="宋体"/>
          <w:sz w:val="28"/>
          <w:szCs w:val="28"/>
          <w:lang w:val="en-US"/>
        </w:rPr>
      </w:pPr>
      <w:r>
        <w:rPr>
          <w:rFonts w:hint="eastAsia" w:ascii="宋体" w:hAnsi="宋体" w:eastAsia="宋体" w:cs="宋体"/>
          <w:kern w:val="0"/>
          <w:sz w:val="28"/>
          <w:szCs w:val="28"/>
          <w:lang w:val="en-US" w:eastAsia="zh-CN"/>
        </w:rPr>
        <w:t>该估价结果为</w:t>
      </w:r>
      <w:r>
        <w:rPr>
          <w:rFonts w:hint="eastAsia" w:ascii="宋体" w:hAnsi="宋体" w:eastAsia="宋体" w:cs="Times New Roman"/>
          <w:kern w:val="2"/>
          <w:sz w:val="28"/>
          <w:szCs w:val="28"/>
          <w:lang w:val="en-US" w:eastAsia="zh-CN"/>
        </w:rPr>
        <w:t>价值时点的房地产市场价值及变现价值，</w:t>
      </w:r>
      <w:r>
        <w:rPr>
          <w:rFonts w:hint="eastAsia" w:ascii="宋体" w:hAnsi="宋体" w:eastAsia="宋体" w:cs="宋体"/>
          <w:kern w:val="0"/>
          <w:sz w:val="28"/>
          <w:szCs w:val="28"/>
          <w:lang w:val="en-US" w:eastAsia="zh-CN"/>
        </w:rPr>
        <w:t>不包括</w:t>
      </w:r>
      <w:r>
        <w:rPr>
          <w:rFonts w:hint="eastAsia" w:ascii="宋体" w:hAnsi="宋体" w:eastAsia="宋体" w:cs="Times New Roman"/>
          <w:kern w:val="2"/>
          <w:sz w:val="28"/>
          <w:szCs w:val="28"/>
          <w:lang w:val="en-US" w:eastAsia="zh-CN"/>
        </w:rPr>
        <w:t>拍卖或者变卖估价对象房地产时卖方需缴纳的各种税费等。</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int="eastAsia" w:ascii="宋体" w:hAnsi="宋体" w:eastAsia="宋体" w:cs="Times New Roman"/>
          <w:b/>
          <w:kern w:val="2"/>
          <w:sz w:val="28"/>
          <w:szCs w:val="28"/>
          <w:lang w:val="en-US" w:eastAsia="zh-CN"/>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十一</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注册房地产估价师</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290"/>
        <w:gridCol w:w="243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姓  名</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注册号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73"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2022年07月08日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2022年07月08日</w:t>
            </w:r>
          </w:p>
        </w:tc>
      </w:tr>
    </w:tbl>
    <w:p>
      <w:pPr>
        <w:keepNext w:val="0"/>
        <w:keepLines w:val="0"/>
        <w:widowControl w:val="0"/>
        <w:suppressLineNumbers w:val="0"/>
        <w:tabs>
          <w:tab w:val="left" w:pos="7560"/>
        </w:tabs>
        <w:bidi w:val="0"/>
        <w:spacing w:before="0" w:beforeAutospacing="0" w:after="0" w:afterAutospacing="0" w:line="560" w:lineRule="exact"/>
        <w:ind w:left="105" w:right="105" w:firstLine="422"/>
        <w:jc w:val="left"/>
        <w:rPr>
          <w:rFonts w:hAnsi="宋体" w:cs="宋体"/>
          <w:b/>
          <w:sz w:val="28"/>
          <w:szCs w:val="28"/>
          <w:lang w:val="en-US"/>
        </w:rPr>
      </w:pPr>
      <w:r>
        <w:rPr>
          <w:rFonts w:hint="eastAsia" w:ascii="宋体" w:hAnsi="宋体" w:cs="宋体"/>
          <w:b/>
          <w:kern w:val="2"/>
          <w:sz w:val="28"/>
          <w:szCs w:val="28"/>
          <w:lang w:val="en-US" w:eastAsia="zh-CN"/>
        </w:rPr>
        <w:t>(</w:t>
      </w:r>
      <w:r>
        <w:rPr>
          <w:rFonts w:hint="eastAsia" w:ascii="宋体" w:hAnsi="宋体" w:eastAsia="宋体" w:cs="宋体"/>
          <w:b/>
          <w:kern w:val="2"/>
          <w:sz w:val="28"/>
          <w:szCs w:val="28"/>
          <w:lang w:val="en-US" w:eastAsia="zh-CN"/>
        </w:rPr>
        <w:t>十二</w:t>
      </w:r>
      <w:r>
        <w:rPr>
          <w:rFonts w:hint="eastAsia" w:ascii="宋体" w:hAnsi="宋体" w:cs="宋体"/>
          <w:b/>
          <w:kern w:val="2"/>
          <w:sz w:val="28"/>
          <w:szCs w:val="28"/>
          <w:lang w:val="en-US" w:eastAsia="zh-CN"/>
        </w:rPr>
        <w:t>)</w:t>
      </w:r>
      <w:r>
        <w:rPr>
          <w:rFonts w:hint="eastAsia" w:ascii="宋体" w:hAnsi="宋体" w:eastAsia="宋体" w:cs="宋体"/>
          <w:b/>
          <w:kern w:val="2"/>
          <w:sz w:val="28"/>
          <w:szCs w:val="28"/>
          <w:lang w:val="en-US" w:eastAsia="zh-CN"/>
        </w:rPr>
        <w:t>实地查勘期</w:t>
      </w:r>
    </w:p>
    <w:p>
      <w:pPr>
        <w:keepNext w:val="0"/>
        <w:keepLines w:val="0"/>
        <w:widowControl w:val="0"/>
        <w:suppressLineNumbers w:val="0"/>
        <w:tabs>
          <w:tab w:val="left" w:pos="7560"/>
        </w:tabs>
        <w:bidi w:val="0"/>
        <w:spacing w:before="0" w:beforeAutospacing="0" w:after="0" w:afterAutospacing="0" w:line="560" w:lineRule="exact"/>
        <w:ind w:left="0" w:right="0" w:firstLine="557"/>
        <w:jc w:val="left"/>
        <w:rPr>
          <w:rFonts w:hAnsi="宋体" w:cs="宋体"/>
          <w:sz w:val="28"/>
          <w:szCs w:val="28"/>
          <w:lang w:val="en-US"/>
        </w:rPr>
      </w:pPr>
      <w:r>
        <w:rPr>
          <w:rFonts w:hint="eastAsia" w:ascii="宋体" w:hAnsi="宋体" w:cs="Times New Roman"/>
          <w:kern w:val="2"/>
          <w:sz w:val="28"/>
          <w:szCs w:val="22"/>
          <w:lang w:val="en-US" w:eastAsia="zh-CN"/>
        </w:rPr>
        <w:t>2022年06月02日</w:t>
      </w:r>
      <w:r>
        <w:rPr>
          <w:rFonts w:hint="eastAsia" w:ascii="宋体" w:hAnsi="宋体" w:eastAsia="宋体" w:cs="Times New Roman"/>
          <w:kern w:val="2"/>
          <w:sz w:val="28"/>
          <w:szCs w:val="22"/>
          <w:lang w:val="en-US" w:eastAsia="zh-CN"/>
        </w:rPr>
        <w:t>。</w:t>
      </w:r>
    </w:p>
    <w:p>
      <w:pPr>
        <w:keepNext w:val="0"/>
        <w:keepLines w:val="0"/>
        <w:widowControl w:val="0"/>
        <w:suppressLineNumbers w:val="0"/>
        <w:tabs>
          <w:tab w:val="left" w:pos="7560"/>
        </w:tabs>
        <w:bidi w:val="0"/>
        <w:spacing w:before="0" w:beforeAutospacing="0" w:after="0" w:afterAutospacing="0" w:line="560" w:lineRule="exact"/>
        <w:ind w:left="105" w:right="105" w:firstLine="422"/>
        <w:jc w:val="left"/>
        <w:rPr>
          <w:rFonts w:hint="eastAsia" w:ascii="宋体" w:hAnsi="宋体" w:eastAsia="宋体" w:cs="宋体"/>
          <w:b/>
          <w:kern w:val="2"/>
          <w:sz w:val="28"/>
          <w:szCs w:val="28"/>
          <w:lang w:val="en-US" w:eastAsia="zh-CN"/>
        </w:rPr>
      </w:pPr>
      <w:r>
        <w:rPr>
          <w:rFonts w:hint="eastAsia" w:ascii="宋体" w:hAnsi="宋体" w:cs="宋体"/>
          <w:b/>
          <w:kern w:val="2"/>
          <w:sz w:val="28"/>
          <w:szCs w:val="28"/>
          <w:lang w:val="en-US" w:eastAsia="zh-CN"/>
        </w:rPr>
        <w:t>(</w:t>
      </w:r>
      <w:r>
        <w:rPr>
          <w:rFonts w:hint="eastAsia" w:ascii="宋体" w:hAnsi="宋体" w:eastAsia="宋体" w:cs="宋体"/>
          <w:b/>
          <w:kern w:val="2"/>
          <w:sz w:val="28"/>
          <w:szCs w:val="28"/>
          <w:lang w:val="en-US" w:eastAsia="zh-CN"/>
        </w:rPr>
        <w:t>十三) 估价作业期</w:t>
      </w:r>
    </w:p>
    <w:p>
      <w:pPr>
        <w:keepNext w:val="0"/>
        <w:keepLines w:val="0"/>
        <w:widowControl w:val="0"/>
        <w:suppressLineNumbers w:val="0"/>
        <w:bidi w:val="0"/>
        <w:spacing w:before="0" w:beforeAutospacing="0" w:after="0" w:afterAutospacing="0" w:line="560" w:lineRule="exact"/>
        <w:ind w:left="0" w:right="0" w:firstLine="560"/>
        <w:jc w:val="left"/>
        <w:rPr>
          <w:rFonts w:hint="eastAsia" w:ascii="宋体" w:hAnsi="宋体" w:cs="Times New Roman"/>
          <w:kern w:val="2"/>
          <w:sz w:val="28"/>
          <w:szCs w:val="22"/>
          <w:lang w:val="en-US" w:eastAsia="zh-CN"/>
        </w:rPr>
      </w:pPr>
      <w:r>
        <w:rPr>
          <w:rFonts w:hint="eastAsia" w:ascii="宋体" w:hAnsi="宋体" w:cs="Times New Roman"/>
          <w:kern w:val="2"/>
          <w:sz w:val="28"/>
          <w:szCs w:val="22"/>
          <w:lang w:val="en-US" w:eastAsia="zh-CN"/>
        </w:rPr>
        <w:t>2022年06月02日</w:t>
      </w:r>
      <w:r>
        <w:rPr>
          <w:rFonts w:hint="eastAsia" w:ascii="宋体" w:hAnsi="宋体" w:eastAsia="宋体" w:cs="Times New Roman"/>
          <w:kern w:val="2"/>
          <w:sz w:val="28"/>
          <w:szCs w:val="22"/>
          <w:lang w:val="en-US" w:eastAsia="zh-CN"/>
        </w:rPr>
        <w:t>至</w:t>
      </w:r>
      <w:r>
        <w:rPr>
          <w:rFonts w:hint="eastAsia" w:ascii="宋体" w:hAnsi="宋体" w:cs="Times New Roman"/>
          <w:kern w:val="2"/>
          <w:sz w:val="28"/>
          <w:szCs w:val="22"/>
          <w:lang w:val="en-US" w:eastAsia="zh-CN"/>
        </w:rPr>
        <w:t>2022年07月08日</w:t>
      </w:r>
    </w:p>
    <w:p>
      <w:pPr>
        <w:keepNext w:val="0"/>
        <w:keepLines w:val="0"/>
        <w:widowControl w:val="0"/>
        <w:suppressLineNumbers w:val="0"/>
        <w:bidi w:val="0"/>
        <w:adjustRightInd w:val="0"/>
        <w:spacing w:before="0" w:beforeAutospacing="0" w:after="0" w:afterAutospacing="0" w:line="520" w:lineRule="exact"/>
        <w:ind w:left="3079" w:right="0" w:firstLine="1019"/>
        <w:jc w:val="right"/>
        <w:rPr>
          <w:rFonts w:hAnsi="宋体"/>
          <w:sz w:val="28"/>
          <w:szCs w:val="28"/>
          <w:lang w:val="en-US"/>
        </w:rPr>
      </w:pPr>
      <w:r>
        <w:rPr>
          <w:rFonts w:hint="eastAsia" w:ascii="宋体" w:hAnsi="宋体" w:eastAsia="宋体" w:cs="Times New Roman"/>
          <w:kern w:val="2"/>
          <w:sz w:val="28"/>
          <w:szCs w:val="28"/>
          <w:lang w:val="en-US" w:eastAsia="zh-CN"/>
        </w:rPr>
        <w:t>河南凯业房地产估价咨询有限公司</w:t>
      </w:r>
    </w:p>
    <w:p>
      <w:pPr>
        <w:keepNext w:val="0"/>
        <w:keepLines w:val="0"/>
        <w:widowControl w:val="0"/>
        <w:suppressLineNumbers w:val="0"/>
        <w:bidi w:val="0"/>
        <w:spacing w:before="0" w:beforeAutospacing="0" w:after="0" w:afterAutospacing="0" w:line="600" w:lineRule="exact"/>
        <w:ind w:left="0" w:right="0"/>
        <w:jc w:val="right"/>
        <w:rPr>
          <w:rFonts w:hAnsi="宋体"/>
          <w:b/>
          <w:sz w:val="44"/>
          <w:szCs w:val="44"/>
          <w:lang w:val="en-US"/>
        </w:rPr>
      </w:pPr>
      <w:r>
        <w:rPr>
          <w:rFonts w:hint="eastAsia" w:ascii="宋体" w:hAnsi="宋体" w:cs="Times New Roman"/>
          <w:kern w:val="2"/>
          <w:sz w:val="28"/>
          <w:szCs w:val="28"/>
          <w:lang w:val="en-US" w:eastAsia="zh-CN"/>
        </w:rPr>
        <w:t>2022年07月08日</w:t>
      </w:r>
    </w:p>
    <w:p>
      <w:pPr>
        <w:keepNext w:val="0"/>
        <w:keepLines w:val="0"/>
        <w:widowControl w:val="0"/>
        <w:suppressLineNumbers w:val="0"/>
        <w:bidi w:val="0"/>
        <w:spacing w:before="0" w:beforeAutospacing="0" w:after="0" w:afterAutospacing="0" w:line="600" w:lineRule="exact"/>
        <w:ind w:left="0" w:right="0"/>
        <w:jc w:val="center"/>
        <w:rPr>
          <w:rFonts w:hint="eastAsia" w:ascii="宋体" w:hAnsi="宋体" w:eastAsia="宋体" w:cs="Times New Roman"/>
          <w:b/>
          <w:kern w:val="2"/>
          <w:sz w:val="44"/>
          <w:szCs w:val="44"/>
          <w:lang w:val="en-US" w:eastAsia="zh-CN"/>
        </w:rPr>
      </w:pPr>
      <w:r>
        <w:rPr>
          <w:rFonts w:hint="eastAsia" w:ascii="宋体" w:hAnsi="宋体" w:eastAsia="宋体" w:cs="Times New Roman"/>
          <w:b/>
          <w:kern w:val="2"/>
          <w:sz w:val="44"/>
          <w:szCs w:val="44"/>
          <w:lang w:val="en-US" w:eastAsia="zh-CN"/>
        </w:rPr>
        <w:br w:type="page"/>
      </w:r>
    </w:p>
    <w:p>
      <w:pPr>
        <w:keepNext w:val="0"/>
        <w:keepLines w:val="0"/>
        <w:widowControl w:val="0"/>
        <w:suppressLineNumbers w:val="0"/>
        <w:bidi w:val="0"/>
        <w:spacing w:before="0" w:beforeAutospacing="0" w:after="0" w:afterAutospacing="0" w:line="600" w:lineRule="exact"/>
        <w:ind w:left="0" w:right="0"/>
        <w:jc w:val="center"/>
        <w:rPr>
          <w:rFonts w:hint="eastAsia" w:ascii="宋体" w:hAnsi="宋体" w:eastAsia="宋体" w:cs="Times New Roman"/>
          <w:b/>
          <w:kern w:val="2"/>
          <w:sz w:val="44"/>
          <w:szCs w:val="44"/>
          <w:lang w:val="en-US" w:eastAsia="zh-CN"/>
        </w:rPr>
      </w:pPr>
    </w:p>
    <w:p>
      <w:pPr>
        <w:keepNext w:val="0"/>
        <w:keepLines w:val="0"/>
        <w:widowControl w:val="0"/>
        <w:suppressLineNumbers w:val="0"/>
        <w:bidi w:val="0"/>
        <w:spacing w:before="0" w:beforeAutospacing="0" w:after="0" w:afterAutospacing="0" w:line="600" w:lineRule="exact"/>
        <w:ind w:left="0" w:right="0"/>
        <w:jc w:val="center"/>
        <w:rPr>
          <w:rFonts w:hAnsi="宋体"/>
          <w:b/>
          <w:sz w:val="44"/>
          <w:szCs w:val="44"/>
          <w:lang w:val="en-US"/>
        </w:rPr>
      </w:pPr>
      <w:r>
        <w:rPr>
          <w:rFonts w:hint="eastAsia" w:ascii="宋体" w:hAnsi="宋体" w:eastAsia="宋体" w:cs="Times New Roman"/>
          <w:b/>
          <w:kern w:val="2"/>
          <w:sz w:val="44"/>
          <w:szCs w:val="44"/>
          <w:lang w:val="en-US" w:eastAsia="zh-CN"/>
        </w:rPr>
        <w:t>四、附件</w:t>
      </w:r>
    </w:p>
    <w:p>
      <w:pPr>
        <w:keepNext w:val="0"/>
        <w:keepLines w:val="0"/>
        <w:widowControl w:val="0"/>
        <w:suppressLineNumbers w:val="0"/>
        <w:bidi w:val="0"/>
        <w:spacing w:before="0" w:beforeAutospacing="0" w:after="0" w:afterAutospacing="0" w:line="600" w:lineRule="exact"/>
        <w:ind w:left="0" w:leftChars="0" w:right="0" w:firstLine="840" w:firstLineChars="300"/>
        <w:jc w:val="both"/>
        <w:rPr>
          <w:rFonts w:hAnsi="宋体"/>
          <w:b/>
          <w:sz w:val="36"/>
          <w:szCs w:val="36"/>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一</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司法评估委托书</w:t>
      </w:r>
      <w:r>
        <w:rPr>
          <w:rFonts w:hint="eastAsia" w:ascii="宋体" w:hAnsi="宋体" w:eastAsia="宋体" w:cs="宋体"/>
          <w:kern w:val="0"/>
          <w:sz w:val="28"/>
          <w:szCs w:val="28"/>
          <w:lang w:val="en-US" w:eastAsia="zh-CN"/>
        </w:rPr>
        <w:t>》复印件</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二</w:t>
      </w:r>
      <w:r>
        <w:rPr>
          <w:rFonts w:hint="eastAsia" w:ascii="宋体" w:hAnsi="宋体" w:cs="宋体"/>
          <w:kern w:val="0"/>
          <w:sz w:val="28"/>
          <w:szCs w:val="28"/>
          <w:lang w:val="en-US" w:eastAsia="zh-CN"/>
        </w:rPr>
        <w:t>)《禹州市国土资源局不动产权登记记载表》</w:t>
      </w:r>
      <w:r>
        <w:rPr>
          <w:rFonts w:hint="eastAsia" w:ascii="宋体" w:hAnsi="宋体" w:eastAsia="宋体" w:cs="宋体"/>
          <w:kern w:val="0"/>
          <w:sz w:val="28"/>
          <w:szCs w:val="28"/>
          <w:lang w:val="en-US" w:eastAsia="zh-CN"/>
        </w:rPr>
        <w:t xml:space="preserve">复印件 </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三</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估价对象内、外部状况照片</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四</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估价对象所在位置示意图</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五</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房地产估价机构营业执照复印件</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六</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房地产估价机构资质证书复印件</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七</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注册房地产估价师注册证书复印件</w:t>
      </w:r>
    </w:p>
    <w:p/>
    <w:p/>
    <w:sectPr>
      <w:headerReference r:id="rId12" w:type="default"/>
      <w:footerReference r:id="rId13" w:type="default"/>
      <w:pgSz w:w="11906" w:h="16838"/>
      <w:pgMar w:top="1135" w:right="1077" w:bottom="1135" w:left="1077" w:header="851" w:footer="850" w:gutter="51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bidi w:val="0"/>
      <w:rPr>
        <w:rFonts w:hAnsi="宋体"/>
        <w:w w:val="80"/>
        <w:sz w:val="24"/>
        <w:szCs w:val="24"/>
        <w:lang w:val="en-US"/>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bidi w:val="0"/>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6"/>
                      <w:bidi w:val="0"/>
                      <w:rPr>
                        <w:rFonts w:hint="eastAsia" w:eastAsia="宋体"/>
                        <w:lang w:eastAsia="zh-CN"/>
                      </w:rPr>
                    </w:pPr>
                  </w:p>
                </w:txbxContent>
              </v:textbox>
            </v:shape>
          </w:pict>
        </mc:Fallback>
      </mc:AlternateContent>
    </w:r>
  </w:p>
  <w:p>
    <w:pPr>
      <w:pStyle w:val="6"/>
      <w:bidi w:val="0"/>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p>
    <w:pPr>
      <w:pStyle w:val="6"/>
      <w:widowControl/>
      <w:bidi w:val="0"/>
      <w:rPr>
        <w:lang w:val="en-US"/>
      </w:rPr>
    </w:pPr>
  </w:p>
  <w:p>
    <w:pPr>
      <w:pStyle w:val="6"/>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bidi w:val="0"/>
      <w:rPr>
        <w:rFonts w:hAnsi="宋体"/>
        <w:w w:val="80"/>
        <w:sz w:val="24"/>
        <w:szCs w:val="24"/>
        <w:lang w:val="en-US"/>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bidi w:val="0"/>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H8mMg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1U&#10;qT29hxqzHj3mxeGDG3BpZj+gM6keZDDpi3oIxrG5p0tzxRAJT4+qVVWVGOIYmy+IXzw99wHiR+EM&#10;SUZDA04vN5Ud7yGOqXNKqmbdndI6T1DbfxyImTxF4j5yTFYcdsMkaOfaE+rpcfANtbjnlOhPFvua&#10;dmQ2wmzsZuPgg9p3SG2ZeYG/PUQkkbmlCiPsVBgnltVN25VW4vk9Zz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h/JjIAQAAmQMAAA4AAAAAAAAAAQAgAAAAHgEAAGRycy9lMm9Eb2Mu&#10;eG1sUEsFBgAAAAAGAAYAWQEAAFgFAAAAAA==&#10;">
              <v:fill on="f" focussize="0,0"/>
              <v:stroke on="f"/>
              <v:imagedata o:title=""/>
              <o:lock v:ext="edit" aspectratio="f"/>
              <v:textbox inset="0mm,0mm,0mm,0mm" style="mso-fit-shape-to-text:t;">
                <w:txbxContent>
                  <w:p>
                    <w:pPr>
                      <w:pStyle w:val="6"/>
                      <w:bidi w:val="0"/>
                      <w:rPr>
                        <w:rFonts w:hint="eastAsia" w:eastAsia="宋体"/>
                        <w:lang w:eastAsia="zh-CN"/>
                      </w:rPr>
                    </w:pPr>
                  </w:p>
                </w:txbxContent>
              </v:textbox>
            </v:shape>
          </w:pict>
        </mc:Fallback>
      </mc:AlternateContent>
    </w:r>
  </w:p>
  <w:p>
    <w:pPr>
      <w:pStyle w:val="6"/>
      <w:bidi w:val="0"/>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p>
    <w:pPr>
      <w:pStyle w:val="6"/>
      <w:widowControl/>
      <w:bidi w:val="0"/>
      <w:rPr>
        <w:lang w:val="en-US"/>
      </w:rPr>
    </w:pPr>
  </w:p>
  <w:p>
    <w:pPr>
      <w:pStyle w:val="6"/>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bidi w:val="0"/>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bidi w:val="0"/>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6"/>
                      <w:bidi w:val="0"/>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rPr>
        <w:rFonts w:hAnsi="宋体"/>
        <w:w w:val="80"/>
        <w:sz w:val="24"/>
        <w:szCs w:val="24"/>
        <w:lang w:val="en-US"/>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txbxContent>
              </v:textbox>
            </v:shape>
          </w:pict>
        </mc:Fallback>
      </mc:AlternateContent>
    </w:r>
  </w:p>
  <w:p>
    <w:pPr>
      <w:pStyle w:val="6"/>
      <w:widowControl/>
      <w:rPr>
        <w:lang w:val="en-US"/>
      </w:rP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single" w:color="auto" w:sz="6" w:space="4"/>
        <w:right w:val="none" w:color="auto" w:sz="0" w:space="0"/>
      </w:pBdr>
      <w:bidi w:val="0"/>
      <w:jc w:val="right"/>
    </w:pPr>
    <w:r>
      <w:rPr>
        <w:sz w:val="21"/>
        <w:szCs w:val="20"/>
        <w:lang w:val="en-US"/>
      </w:rPr>
      <w:t xml:space="preserve">                                    </w:t>
    </w:r>
    <w:r>
      <w:rPr>
        <w:rFonts w:hint="eastAsia"/>
        <w:sz w:val="21"/>
        <w:szCs w:val="20"/>
        <w:lang w:eastAsia="zh-CN"/>
      </w:rPr>
      <w:t>司法评估</w:t>
    </w:r>
    <w:r>
      <w:rPr>
        <w:sz w:val="21"/>
        <w:szCs w:val="20"/>
        <w:lang w:eastAsia="zh-CN"/>
      </w:rPr>
      <w:t>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single" w:color="auto" w:sz="6" w:space="4"/>
        <w:right w:val="none" w:color="auto" w:sz="0" w:space="0"/>
      </w:pBdr>
      <w:bidi w:val="0"/>
      <w:jc w:val="right"/>
    </w:pPr>
    <w:r>
      <w:rPr>
        <w:sz w:val="21"/>
        <w:szCs w:val="20"/>
        <w:lang w:val="en-US"/>
      </w:rPr>
      <w:t xml:space="preserve">                                    </w:t>
    </w:r>
    <w:r>
      <w:rPr>
        <w:rFonts w:hint="eastAsia"/>
        <w:sz w:val="21"/>
        <w:szCs w:val="20"/>
        <w:lang w:eastAsia="zh-CN"/>
      </w:rPr>
      <w:t>司法评估</w:t>
    </w:r>
    <w:r>
      <w:rPr>
        <w:sz w:val="21"/>
        <w:szCs w:val="20"/>
        <w:lang w:eastAsia="zh-CN"/>
      </w:rPr>
      <w:t>专用报告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single" w:color="auto" w:sz="6" w:space="4"/>
        <w:right w:val="none" w:color="auto" w:sz="0" w:space="0"/>
      </w:pBdr>
      <w:jc w:val="right"/>
    </w:pPr>
    <w:r>
      <w:rPr>
        <w:sz w:val="21"/>
        <w:szCs w:val="20"/>
        <w:lang w:val="en-US"/>
      </w:rPr>
      <w:t xml:space="preserve">                                        </w:t>
    </w:r>
    <w:r>
      <w:rPr>
        <w:rFonts w:hint="eastAsia"/>
        <w:sz w:val="21"/>
        <w:szCs w:val="20"/>
        <w:lang w:eastAsia="zh-CN"/>
      </w:rPr>
      <w:t>司法评估</w:t>
    </w:r>
    <w:r>
      <w:rPr>
        <w:sz w:val="21"/>
        <w:szCs w:val="20"/>
        <w:lang w:eastAsia="zh-CN"/>
      </w:rPr>
      <w:t>专用报告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MGJlNzM2NDVkZjk3NzliMGUyYjIzZjk4YzFhZTYifQ=="/>
  </w:docVars>
  <w:rsids>
    <w:rsidRoot w:val="00000000"/>
    <w:rsid w:val="00024E90"/>
    <w:rsid w:val="00490B57"/>
    <w:rsid w:val="0055120B"/>
    <w:rsid w:val="007818B4"/>
    <w:rsid w:val="0097363A"/>
    <w:rsid w:val="00CA6DC5"/>
    <w:rsid w:val="00CD79DA"/>
    <w:rsid w:val="00D224BF"/>
    <w:rsid w:val="00D46B66"/>
    <w:rsid w:val="00D51900"/>
    <w:rsid w:val="00DE2163"/>
    <w:rsid w:val="01373C70"/>
    <w:rsid w:val="01825310"/>
    <w:rsid w:val="019B2DA5"/>
    <w:rsid w:val="0233386D"/>
    <w:rsid w:val="025739FF"/>
    <w:rsid w:val="026F6986"/>
    <w:rsid w:val="027D71DE"/>
    <w:rsid w:val="027F2F56"/>
    <w:rsid w:val="0281665B"/>
    <w:rsid w:val="028B63E9"/>
    <w:rsid w:val="02A544C2"/>
    <w:rsid w:val="02B4138D"/>
    <w:rsid w:val="02DA563B"/>
    <w:rsid w:val="02DE7C7D"/>
    <w:rsid w:val="032F7F62"/>
    <w:rsid w:val="036068E4"/>
    <w:rsid w:val="03A72764"/>
    <w:rsid w:val="03DB0660"/>
    <w:rsid w:val="03E0050C"/>
    <w:rsid w:val="0405071D"/>
    <w:rsid w:val="043724BB"/>
    <w:rsid w:val="045D6AC5"/>
    <w:rsid w:val="04831EE1"/>
    <w:rsid w:val="0531217B"/>
    <w:rsid w:val="05766097"/>
    <w:rsid w:val="0591547A"/>
    <w:rsid w:val="05CE7F14"/>
    <w:rsid w:val="06156023"/>
    <w:rsid w:val="06233BF8"/>
    <w:rsid w:val="064A5982"/>
    <w:rsid w:val="06864D29"/>
    <w:rsid w:val="07336117"/>
    <w:rsid w:val="076411DC"/>
    <w:rsid w:val="07BC7441"/>
    <w:rsid w:val="07C82CA9"/>
    <w:rsid w:val="07D3545F"/>
    <w:rsid w:val="08035B97"/>
    <w:rsid w:val="08144141"/>
    <w:rsid w:val="08383C75"/>
    <w:rsid w:val="08781BE5"/>
    <w:rsid w:val="08FD6FB7"/>
    <w:rsid w:val="090C718A"/>
    <w:rsid w:val="095F5C0E"/>
    <w:rsid w:val="09646104"/>
    <w:rsid w:val="097A0448"/>
    <w:rsid w:val="0A0652F8"/>
    <w:rsid w:val="0A1026E6"/>
    <w:rsid w:val="0A1B199E"/>
    <w:rsid w:val="0A2E2EBC"/>
    <w:rsid w:val="0A304CFB"/>
    <w:rsid w:val="0A456833"/>
    <w:rsid w:val="0A4F3823"/>
    <w:rsid w:val="0A621579"/>
    <w:rsid w:val="0A6D7B38"/>
    <w:rsid w:val="0A942C23"/>
    <w:rsid w:val="0AD02B1E"/>
    <w:rsid w:val="0AF71F67"/>
    <w:rsid w:val="0B3D75AF"/>
    <w:rsid w:val="0B457EBD"/>
    <w:rsid w:val="0BC22B25"/>
    <w:rsid w:val="0BDC4F75"/>
    <w:rsid w:val="0C33620E"/>
    <w:rsid w:val="0C774C9E"/>
    <w:rsid w:val="0CA42951"/>
    <w:rsid w:val="0CB24651"/>
    <w:rsid w:val="0D782A7C"/>
    <w:rsid w:val="0D842293"/>
    <w:rsid w:val="0D9F7351"/>
    <w:rsid w:val="0DE1042A"/>
    <w:rsid w:val="0DF92890"/>
    <w:rsid w:val="0E2C3066"/>
    <w:rsid w:val="0E480353"/>
    <w:rsid w:val="0EEC0FAC"/>
    <w:rsid w:val="0F07055B"/>
    <w:rsid w:val="0F0E4092"/>
    <w:rsid w:val="0F1862C4"/>
    <w:rsid w:val="0F1F4D44"/>
    <w:rsid w:val="0F3D0BE6"/>
    <w:rsid w:val="0F593440"/>
    <w:rsid w:val="0F78489E"/>
    <w:rsid w:val="0F824086"/>
    <w:rsid w:val="0F96368D"/>
    <w:rsid w:val="0FA933C0"/>
    <w:rsid w:val="10283879"/>
    <w:rsid w:val="10E33149"/>
    <w:rsid w:val="113A2488"/>
    <w:rsid w:val="117A7180"/>
    <w:rsid w:val="11885902"/>
    <w:rsid w:val="11B50B27"/>
    <w:rsid w:val="11C20769"/>
    <w:rsid w:val="11D65F4E"/>
    <w:rsid w:val="11E26C63"/>
    <w:rsid w:val="11E44583"/>
    <w:rsid w:val="12727EA3"/>
    <w:rsid w:val="128B71FD"/>
    <w:rsid w:val="12C0034F"/>
    <w:rsid w:val="12CD1ABC"/>
    <w:rsid w:val="12D15108"/>
    <w:rsid w:val="1305393C"/>
    <w:rsid w:val="13083BE4"/>
    <w:rsid w:val="130F79DE"/>
    <w:rsid w:val="132A783D"/>
    <w:rsid w:val="1345526B"/>
    <w:rsid w:val="13456A27"/>
    <w:rsid w:val="13557BCB"/>
    <w:rsid w:val="13637D2A"/>
    <w:rsid w:val="137D03EF"/>
    <w:rsid w:val="13960383"/>
    <w:rsid w:val="13AD4C0E"/>
    <w:rsid w:val="13BF32CD"/>
    <w:rsid w:val="144435CF"/>
    <w:rsid w:val="14636B73"/>
    <w:rsid w:val="14761E85"/>
    <w:rsid w:val="147E2072"/>
    <w:rsid w:val="14C21C2E"/>
    <w:rsid w:val="15244FBD"/>
    <w:rsid w:val="15806992"/>
    <w:rsid w:val="15FA6724"/>
    <w:rsid w:val="162852F6"/>
    <w:rsid w:val="16564333"/>
    <w:rsid w:val="16845A6A"/>
    <w:rsid w:val="16F94C2D"/>
    <w:rsid w:val="17143815"/>
    <w:rsid w:val="17AA23CB"/>
    <w:rsid w:val="17B7561E"/>
    <w:rsid w:val="17BB323B"/>
    <w:rsid w:val="17D3608C"/>
    <w:rsid w:val="17FD24FB"/>
    <w:rsid w:val="18215002"/>
    <w:rsid w:val="18257149"/>
    <w:rsid w:val="18277578"/>
    <w:rsid w:val="184A3267"/>
    <w:rsid w:val="18980476"/>
    <w:rsid w:val="18A23E65"/>
    <w:rsid w:val="18B16FBC"/>
    <w:rsid w:val="18E629FF"/>
    <w:rsid w:val="18E831AB"/>
    <w:rsid w:val="192449E3"/>
    <w:rsid w:val="19C614D2"/>
    <w:rsid w:val="19DE5561"/>
    <w:rsid w:val="19EE2754"/>
    <w:rsid w:val="1A1143AD"/>
    <w:rsid w:val="1A325272"/>
    <w:rsid w:val="1A716CBB"/>
    <w:rsid w:val="1A886ACE"/>
    <w:rsid w:val="1B1464DA"/>
    <w:rsid w:val="1B744BA6"/>
    <w:rsid w:val="1B943177"/>
    <w:rsid w:val="1BA17A6A"/>
    <w:rsid w:val="1BD12A46"/>
    <w:rsid w:val="1BD17699"/>
    <w:rsid w:val="1C0F58BF"/>
    <w:rsid w:val="1C215A59"/>
    <w:rsid w:val="1C9D24FF"/>
    <w:rsid w:val="1CA85332"/>
    <w:rsid w:val="1CB610B6"/>
    <w:rsid w:val="1CBC0BDB"/>
    <w:rsid w:val="1CDA19BD"/>
    <w:rsid w:val="1CE974F2"/>
    <w:rsid w:val="1CFC21FD"/>
    <w:rsid w:val="1D102CD1"/>
    <w:rsid w:val="1D5030CD"/>
    <w:rsid w:val="1DAB31C7"/>
    <w:rsid w:val="1DAC5C38"/>
    <w:rsid w:val="1E4D0963"/>
    <w:rsid w:val="1E664332"/>
    <w:rsid w:val="1E694C6D"/>
    <w:rsid w:val="1EB7274A"/>
    <w:rsid w:val="1EC8234E"/>
    <w:rsid w:val="1ED63858"/>
    <w:rsid w:val="1EDF295B"/>
    <w:rsid w:val="1EFB4E51"/>
    <w:rsid w:val="1F01713F"/>
    <w:rsid w:val="1F0D2666"/>
    <w:rsid w:val="1F220116"/>
    <w:rsid w:val="1F58056B"/>
    <w:rsid w:val="1F6C281F"/>
    <w:rsid w:val="1F88610E"/>
    <w:rsid w:val="1FD91AA0"/>
    <w:rsid w:val="1FE26E13"/>
    <w:rsid w:val="20BB73F7"/>
    <w:rsid w:val="20D66AA1"/>
    <w:rsid w:val="20F660E3"/>
    <w:rsid w:val="21780E44"/>
    <w:rsid w:val="217A2579"/>
    <w:rsid w:val="21A53FE0"/>
    <w:rsid w:val="21C00E7E"/>
    <w:rsid w:val="21E51A41"/>
    <w:rsid w:val="22117FF5"/>
    <w:rsid w:val="225C5A23"/>
    <w:rsid w:val="22617101"/>
    <w:rsid w:val="22E32301"/>
    <w:rsid w:val="22E744D4"/>
    <w:rsid w:val="23544416"/>
    <w:rsid w:val="23711FEF"/>
    <w:rsid w:val="237B22C0"/>
    <w:rsid w:val="237D3115"/>
    <w:rsid w:val="23854494"/>
    <w:rsid w:val="23A75A11"/>
    <w:rsid w:val="23EB7FF4"/>
    <w:rsid w:val="23F36750"/>
    <w:rsid w:val="247268A5"/>
    <w:rsid w:val="24B5499C"/>
    <w:rsid w:val="24E05320"/>
    <w:rsid w:val="24E077C8"/>
    <w:rsid w:val="254B6F9C"/>
    <w:rsid w:val="2557002B"/>
    <w:rsid w:val="258C3E08"/>
    <w:rsid w:val="25B33FF6"/>
    <w:rsid w:val="26036B82"/>
    <w:rsid w:val="26467763"/>
    <w:rsid w:val="26633E71"/>
    <w:rsid w:val="26C571ED"/>
    <w:rsid w:val="27035E81"/>
    <w:rsid w:val="27194F7C"/>
    <w:rsid w:val="283A32F8"/>
    <w:rsid w:val="283C7623"/>
    <w:rsid w:val="285A12A4"/>
    <w:rsid w:val="28724E88"/>
    <w:rsid w:val="288527C5"/>
    <w:rsid w:val="289716A0"/>
    <w:rsid w:val="28A96880"/>
    <w:rsid w:val="28B112DC"/>
    <w:rsid w:val="28ED24D4"/>
    <w:rsid w:val="29131636"/>
    <w:rsid w:val="29947356"/>
    <w:rsid w:val="29CB31EF"/>
    <w:rsid w:val="29DA5A8A"/>
    <w:rsid w:val="29E55B3D"/>
    <w:rsid w:val="2A097F53"/>
    <w:rsid w:val="2A25006E"/>
    <w:rsid w:val="2AB15E11"/>
    <w:rsid w:val="2AE65071"/>
    <w:rsid w:val="2AE74787"/>
    <w:rsid w:val="2AF84CC5"/>
    <w:rsid w:val="2AFA113A"/>
    <w:rsid w:val="2B0F60DF"/>
    <w:rsid w:val="2B1478D8"/>
    <w:rsid w:val="2B15691E"/>
    <w:rsid w:val="2B22777E"/>
    <w:rsid w:val="2B291050"/>
    <w:rsid w:val="2B6F32B8"/>
    <w:rsid w:val="2B77559F"/>
    <w:rsid w:val="2B7E35A6"/>
    <w:rsid w:val="2B8D039B"/>
    <w:rsid w:val="2B8F5708"/>
    <w:rsid w:val="2BE61F32"/>
    <w:rsid w:val="2C194DBD"/>
    <w:rsid w:val="2C1D20F0"/>
    <w:rsid w:val="2C46158D"/>
    <w:rsid w:val="2C513230"/>
    <w:rsid w:val="2D045C82"/>
    <w:rsid w:val="2D411E12"/>
    <w:rsid w:val="2D6F5C56"/>
    <w:rsid w:val="2D9F7C93"/>
    <w:rsid w:val="2DCF110D"/>
    <w:rsid w:val="2E29045C"/>
    <w:rsid w:val="2E4B6821"/>
    <w:rsid w:val="2E551A7A"/>
    <w:rsid w:val="2E5807F3"/>
    <w:rsid w:val="2E5A1FFE"/>
    <w:rsid w:val="2EFF2BA5"/>
    <w:rsid w:val="2F295043"/>
    <w:rsid w:val="2F430CE4"/>
    <w:rsid w:val="2F5F42E6"/>
    <w:rsid w:val="2F7161E5"/>
    <w:rsid w:val="2F92785A"/>
    <w:rsid w:val="2FB67708"/>
    <w:rsid w:val="30412AF5"/>
    <w:rsid w:val="306A602F"/>
    <w:rsid w:val="309015AF"/>
    <w:rsid w:val="30A24AC9"/>
    <w:rsid w:val="30DB2A7E"/>
    <w:rsid w:val="31077AEF"/>
    <w:rsid w:val="31481E02"/>
    <w:rsid w:val="316E561E"/>
    <w:rsid w:val="31874809"/>
    <w:rsid w:val="318B24CE"/>
    <w:rsid w:val="31AD31FF"/>
    <w:rsid w:val="31AF271C"/>
    <w:rsid w:val="31EB59BE"/>
    <w:rsid w:val="32015756"/>
    <w:rsid w:val="32172601"/>
    <w:rsid w:val="321C2E5F"/>
    <w:rsid w:val="321F2FC9"/>
    <w:rsid w:val="32340DB8"/>
    <w:rsid w:val="327B0795"/>
    <w:rsid w:val="33643977"/>
    <w:rsid w:val="33C10429"/>
    <w:rsid w:val="33E65B1A"/>
    <w:rsid w:val="34392AF0"/>
    <w:rsid w:val="34D94D83"/>
    <w:rsid w:val="34E647FA"/>
    <w:rsid w:val="351D3D85"/>
    <w:rsid w:val="35812566"/>
    <w:rsid w:val="35DB582F"/>
    <w:rsid w:val="35EB5DF4"/>
    <w:rsid w:val="35F40F8A"/>
    <w:rsid w:val="361B28ED"/>
    <w:rsid w:val="371F102E"/>
    <w:rsid w:val="37F66F39"/>
    <w:rsid w:val="38066101"/>
    <w:rsid w:val="382B015F"/>
    <w:rsid w:val="383C5CD3"/>
    <w:rsid w:val="38673F02"/>
    <w:rsid w:val="388B12FA"/>
    <w:rsid w:val="3895222B"/>
    <w:rsid w:val="38A6226A"/>
    <w:rsid w:val="38C8225A"/>
    <w:rsid w:val="38FE1BAE"/>
    <w:rsid w:val="390037A2"/>
    <w:rsid w:val="390D4A19"/>
    <w:rsid w:val="392C199E"/>
    <w:rsid w:val="39395969"/>
    <w:rsid w:val="39777F08"/>
    <w:rsid w:val="398626B6"/>
    <w:rsid w:val="39D35EEE"/>
    <w:rsid w:val="3A1003AF"/>
    <w:rsid w:val="3A5E7DB4"/>
    <w:rsid w:val="3A697741"/>
    <w:rsid w:val="3A733015"/>
    <w:rsid w:val="3A804B9A"/>
    <w:rsid w:val="3A810DA5"/>
    <w:rsid w:val="3A8A3559"/>
    <w:rsid w:val="3A96260F"/>
    <w:rsid w:val="3AAD1414"/>
    <w:rsid w:val="3AE12CB5"/>
    <w:rsid w:val="3B01368C"/>
    <w:rsid w:val="3B385190"/>
    <w:rsid w:val="3B5B73B5"/>
    <w:rsid w:val="3B98710E"/>
    <w:rsid w:val="3BAB4D14"/>
    <w:rsid w:val="3BB20630"/>
    <w:rsid w:val="3BBF5B96"/>
    <w:rsid w:val="3C027831"/>
    <w:rsid w:val="3C035D77"/>
    <w:rsid w:val="3C336DD6"/>
    <w:rsid w:val="3C3D6ABB"/>
    <w:rsid w:val="3C4123C1"/>
    <w:rsid w:val="3C621834"/>
    <w:rsid w:val="3C7C72EA"/>
    <w:rsid w:val="3CA9418F"/>
    <w:rsid w:val="3CC2289A"/>
    <w:rsid w:val="3CD236A7"/>
    <w:rsid w:val="3CF63A36"/>
    <w:rsid w:val="3D1117D8"/>
    <w:rsid w:val="3D3A5ABF"/>
    <w:rsid w:val="3D3F6549"/>
    <w:rsid w:val="3D5642D8"/>
    <w:rsid w:val="3D791D75"/>
    <w:rsid w:val="3DA55673"/>
    <w:rsid w:val="3DB37034"/>
    <w:rsid w:val="3DEE7764"/>
    <w:rsid w:val="3DF243FA"/>
    <w:rsid w:val="3E0F13B4"/>
    <w:rsid w:val="3E457B47"/>
    <w:rsid w:val="3E652608"/>
    <w:rsid w:val="3ECA6D2C"/>
    <w:rsid w:val="3EE25B26"/>
    <w:rsid w:val="3EF47905"/>
    <w:rsid w:val="3F134F7F"/>
    <w:rsid w:val="3F170A05"/>
    <w:rsid w:val="3F306D25"/>
    <w:rsid w:val="3F586529"/>
    <w:rsid w:val="3F695128"/>
    <w:rsid w:val="3F75355D"/>
    <w:rsid w:val="3F791C22"/>
    <w:rsid w:val="3F7D507B"/>
    <w:rsid w:val="3F8F215A"/>
    <w:rsid w:val="3F970D57"/>
    <w:rsid w:val="3FB2044B"/>
    <w:rsid w:val="3FD70130"/>
    <w:rsid w:val="408211D9"/>
    <w:rsid w:val="408608ED"/>
    <w:rsid w:val="408F5EAA"/>
    <w:rsid w:val="4090365D"/>
    <w:rsid w:val="40B97B50"/>
    <w:rsid w:val="40DC2D46"/>
    <w:rsid w:val="40EF46A0"/>
    <w:rsid w:val="41126768"/>
    <w:rsid w:val="41160725"/>
    <w:rsid w:val="415C7825"/>
    <w:rsid w:val="41633D2B"/>
    <w:rsid w:val="41F87F1F"/>
    <w:rsid w:val="41F9275B"/>
    <w:rsid w:val="41FD3881"/>
    <w:rsid w:val="42296235"/>
    <w:rsid w:val="42350960"/>
    <w:rsid w:val="426B3A1D"/>
    <w:rsid w:val="42EB7271"/>
    <w:rsid w:val="4300244D"/>
    <w:rsid w:val="4324512A"/>
    <w:rsid w:val="43700142"/>
    <w:rsid w:val="437C6FE7"/>
    <w:rsid w:val="43805C0B"/>
    <w:rsid w:val="43BD4D75"/>
    <w:rsid w:val="43DB5537"/>
    <w:rsid w:val="43FA291B"/>
    <w:rsid w:val="442B201A"/>
    <w:rsid w:val="44755126"/>
    <w:rsid w:val="44782D86"/>
    <w:rsid w:val="448E07FB"/>
    <w:rsid w:val="44EA41C0"/>
    <w:rsid w:val="451E744B"/>
    <w:rsid w:val="453E182A"/>
    <w:rsid w:val="45544C05"/>
    <w:rsid w:val="45B82897"/>
    <w:rsid w:val="45D1497B"/>
    <w:rsid w:val="45F0214F"/>
    <w:rsid w:val="46001285"/>
    <w:rsid w:val="460C7C2A"/>
    <w:rsid w:val="461B1C1B"/>
    <w:rsid w:val="46945D5C"/>
    <w:rsid w:val="46EB4DD0"/>
    <w:rsid w:val="475D213E"/>
    <w:rsid w:val="475F1FDB"/>
    <w:rsid w:val="47F9477D"/>
    <w:rsid w:val="48733AF6"/>
    <w:rsid w:val="48AF3319"/>
    <w:rsid w:val="48BE52B2"/>
    <w:rsid w:val="49060DC5"/>
    <w:rsid w:val="494D658F"/>
    <w:rsid w:val="497838FA"/>
    <w:rsid w:val="499F21BF"/>
    <w:rsid w:val="49AF1E8C"/>
    <w:rsid w:val="49CE0617"/>
    <w:rsid w:val="49D22F38"/>
    <w:rsid w:val="49FE3C05"/>
    <w:rsid w:val="4A8E7CB4"/>
    <w:rsid w:val="4AA85ABC"/>
    <w:rsid w:val="4AD13FA3"/>
    <w:rsid w:val="4B045373"/>
    <w:rsid w:val="4BF60C7D"/>
    <w:rsid w:val="4C2C3F0A"/>
    <w:rsid w:val="4C5979F1"/>
    <w:rsid w:val="4C5D160E"/>
    <w:rsid w:val="4C935807"/>
    <w:rsid w:val="4CE468EB"/>
    <w:rsid w:val="4D0F5E59"/>
    <w:rsid w:val="4D987FF5"/>
    <w:rsid w:val="4DDF79D2"/>
    <w:rsid w:val="4DED0341"/>
    <w:rsid w:val="4E7378F2"/>
    <w:rsid w:val="4EA0614B"/>
    <w:rsid w:val="4ECE0E1B"/>
    <w:rsid w:val="4EDE412D"/>
    <w:rsid w:val="4F151E19"/>
    <w:rsid w:val="4F3504CA"/>
    <w:rsid w:val="4F4F7C8B"/>
    <w:rsid w:val="4F713416"/>
    <w:rsid w:val="4F7F146C"/>
    <w:rsid w:val="4FBF3F5F"/>
    <w:rsid w:val="4FDA66A3"/>
    <w:rsid w:val="4FEB6B02"/>
    <w:rsid w:val="501226B5"/>
    <w:rsid w:val="5049110A"/>
    <w:rsid w:val="507D566E"/>
    <w:rsid w:val="508C2093"/>
    <w:rsid w:val="50E023DF"/>
    <w:rsid w:val="50E063B5"/>
    <w:rsid w:val="51431C42"/>
    <w:rsid w:val="514C5E77"/>
    <w:rsid w:val="51670D7C"/>
    <w:rsid w:val="518E5997"/>
    <w:rsid w:val="51C156A7"/>
    <w:rsid w:val="52045C59"/>
    <w:rsid w:val="523A297D"/>
    <w:rsid w:val="527B1E72"/>
    <w:rsid w:val="52C04276"/>
    <w:rsid w:val="52EF677C"/>
    <w:rsid w:val="530F1F27"/>
    <w:rsid w:val="534D68B8"/>
    <w:rsid w:val="536D42C1"/>
    <w:rsid w:val="536E7E80"/>
    <w:rsid w:val="53933738"/>
    <w:rsid w:val="53BB0D36"/>
    <w:rsid w:val="53CE4770"/>
    <w:rsid w:val="53CF4A5C"/>
    <w:rsid w:val="53D21F85"/>
    <w:rsid w:val="53D82E7F"/>
    <w:rsid w:val="54054C6D"/>
    <w:rsid w:val="54723C7D"/>
    <w:rsid w:val="54784B7D"/>
    <w:rsid w:val="548E182E"/>
    <w:rsid w:val="54BB42C3"/>
    <w:rsid w:val="54D77A1C"/>
    <w:rsid w:val="54D8574E"/>
    <w:rsid w:val="54F94CCB"/>
    <w:rsid w:val="551359EF"/>
    <w:rsid w:val="551441D2"/>
    <w:rsid w:val="55A734CB"/>
    <w:rsid w:val="55B728F9"/>
    <w:rsid w:val="562B7D0F"/>
    <w:rsid w:val="56496330"/>
    <w:rsid w:val="568850AA"/>
    <w:rsid w:val="56B23ED5"/>
    <w:rsid w:val="57692EE1"/>
    <w:rsid w:val="577410DE"/>
    <w:rsid w:val="57A06543"/>
    <w:rsid w:val="57D81264"/>
    <w:rsid w:val="57DA7555"/>
    <w:rsid w:val="57F85597"/>
    <w:rsid w:val="580276A5"/>
    <w:rsid w:val="58A91E1B"/>
    <w:rsid w:val="58AC1B04"/>
    <w:rsid w:val="59445B7D"/>
    <w:rsid w:val="59837DAB"/>
    <w:rsid w:val="59AF0BA0"/>
    <w:rsid w:val="5ABE7D6C"/>
    <w:rsid w:val="5B30773D"/>
    <w:rsid w:val="5B4C0C4A"/>
    <w:rsid w:val="5B5F2D4C"/>
    <w:rsid w:val="5B8830DE"/>
    <w:rsid w:val="5BB83C6A"/>
    <w:rsid w:val="5BCD22B6"/>
    <w:rsid w:val="5BF05118"/>
    <w:rsid w:val="5BFF37DB"/>
    <w:rsid w:val="5C5B0B6B"/>
    <w:rsid w:val="5C75446B"/>
    <w:rsid w:val="5CA940FC"/>
    <w:rsid w:val="5CC13AD7"/>
    <w:rsid w:val="5CC901CB"/>
    <w:rsid w:val="5CFF3BED"/>
    <w:rsid w:val="5D100C88"/>
    <w:rsid w:val="5D9568CB"/>
    <w:rsid w:val="5DF63241"/>
    <w:rsid w:val="5E1F1E86"/>
    <w:rsid w:val="5E2D4789"/>
    <w:rsid w:val="5E4F2952"/>
    <w:rsid w:val="5E83582A"/>
    <w:rsid w:val="5EA12317"/>
    <w:rsid w:val="5EB033F0"/>
    <w:rsid w:val="5EB209CB"/>
    <w:rsid w:val="5EC51228"/>
    <w:rsid w:val="5EDF082A"/>
    <w:rsid w:val="5F0D2E0B"/>
    <w:rsid w:val="5F1C2834"/>
    <w:rsid w:val="5F2003BF"/>
    <w:rsid w:val="5F3F2064"/>
    <w:rsid w:val="5F801283"/>
    <w:rsid w:val="5FCB523A"/>
    <w:rsid w:val="5FFD2BC5"/>
    <w:rsid w:val="600D11D9"/>
    <w:rsid w:val="604F09E7"/>
    <w:rsid w:val="606F4BE5"/>
    <w:rsid w:val="60841151"/>
    <w:rsid w:val="608B21F7"/>
    <w:rsid w:val="608F7EB6"/>
    <w:rsid w:val="60AE34A1"/>
    <w:rsid w:val="60C62CFA"/>
    <w:rsid w:val="612F0263"/>
    <w:rsid w:val="61416385"/>
    <w:rsid w:val="61653CF9"/>
    <w:rsid w:val="61E0242D"/>
    <w:rsid w:val="61E741DC"/>
    <w:rsid w:val="61E8166B"/>
    <w:rsid w:val="61FD76AE"/>
    <w:rsid w:val="620946E5"/>
    <w:rsid w:val="621519D0"/>
    <w:rsid w:val="62324144"/>
    <w:rsid w:val="625272F9"/>
    <w:rsid w:val="626D102B"/>
    <w:rsid w:val="626F711E"/>
    <w:rsid w:val="627272D1"/>
    <w:rsid w:val="63181564"/>
    <w:rsid w:val="63383873"/>
    <w:rsid w:val="643D4527"/>
    <w:rsid w:val="64BE25DF"/>
    <w:rsid w:val="64E42534"/>
    <w:rsid w:val="650F4BE9"/>
    <w:rsid w:val="6554084E"/>
    <w:rsid w:val="65766A16"/>
    <w:rsid w:val="65870C23"/>
    <w:rsid w:val="658C3A08"/>
    <w:rsid w:val="65BB1D88"/>
    <w:rsid w:val="65FE301B"/>
    <w:rsid w:val="66B97B34"/>
    <w:rsid w:val="66DE04FB"/>
    <w:rsid w:val="66F66D02"/>
    <w:rsid w:val="66FD2F4E"/>
    <w:rsid w:val="6708042D"/>
    <w:rsid w:val="673B3A73"/>
    <w:rsid w:val="67495785"/>
    <w:rsid w:val="674F6953"/>
    <w:rsid w:val="675B4115"/>
    <w:rsid w:val="675E2600"/>
    <w:rsid w:val="677E23E9"/>
    <w:rsid w:val="67843DCC"/>
    <w:rsid w:val="67DA758D"/>
    <w:rsid w:val="67E53E3A"/>
    <w:rsid w:val="67E62CDD"/>
    <w:rsid w:val="683010B1"/>
    <w:rsid w:val="68424A89"/>
    <w:rsid w:val="6855268F"/>
    <w:rsid w:val="686A5F1F"/>
    <w:rsid w:val="68DB550E"/>
    <w:rsid w:val="68E84305"/>
    <w:rsid w:val="69124CA8"/>
    <w:rsid w:val="69D33F53"/>
    <w:rsid w:val="69F4614E"/>
    <w:rsid w:val="6A5A4B58"/>
    <w:rsid w:val="6A5E1839"/>
    <w:rsid w:val="6ACD4FC1"/>
    <w:rsid w:val="6AD2649C"/>
    <w:rsid w:val="6ADF0BB9"/>
    <w:rsid w:val="6BA92E11"/>
    <w:rsid w:val="6BD932E0"/>
    <w:rsid w:val="6C1D2482"/>
    <w:rsid w:val="6C2801D8"/>
    <w:rsid w:val="6C5268E5"/>
    <w:rsid w:val="6CA42514"/>
    <w:rsid w:val="6CF62EDC"/>
    <w:rsid w:val="6CFB48B9"/>
    <w:rsid w:val="6DBD1686"/>
    <w:rsid w:val="6E063FA6"/>
    <w:rsid w:val="6E566387"/>
    <w:rsid w:val="6E623CFD"/>
    <w:rsid w:val="6E6B10E2"/>
    <w:rsid w:val="6ED02ACD"/>
    <w:rsid w:val="6ED842A8"/>
    <w:rsid w:val="6EDF1132"/>
    <w:rsid w:val="6F0A49DA"/>
    <w:rsid w:val="6F210AC3"/>
    <w:rsid w:val="6F68699B"/>
    <w:rsid w:val="6F6D70DC"/>
    <w:rsid w:val="6F707599"/>
    <w:rsid w:val="6F9B59F7"/>
    <w:rsid w:val="6FF0119D"/>
    <w:rsid w:val="6FFB6495"/>
    <w:rsid w:val="70143F39"/>
    <w:rsid w:val="7060279C"/>
    <w:rsid w:val="70C5138C"/>
    <w:rsid w:val="70CB0335"/>
    <w:rsid w:val="70CF77C1"/>
    <w:rsid w:val="71092523"/>
    <w:rsid w:val="710A41B1"/>
    <w:rsid w:val="7117214D"/>
    <w:rsid w:val="711A3DFD"/>
    <w:rsid w:val="71363F53"/>
    <w:rsid w:val="71BE0EB7"/>
    <w:rsid w:val="71EE1BFE"/>
    <w:rsid w:val="724F1CF9"/>
    <w:rsid w:val="72501A09"/>
    <w:rsid w:val="726F7FDD"/>
    <w:rsid w:val="728D66AD"/>
    <w:rsid w:val="728D6E27"/>
    <w:rsid w:val="7298621E"/>
    <w:rsid w:val="7356417A"/>
    <w:rsid w:val="73D96AC5"/>
    <w:rsid w:val="73F12089"/>
    <w:rsid w:val="740A6CEE"/>
    <w:rsid w:val="740D2C3B"/>
    <w:rsid w:val="74AE1745"/>
    <w:rsid w:val="74B625D9"/>
    <w:rsid w:val="74BC0510"/>
    <w:rsid w:val="74D15A17"/>
    <w:rsid w:val="7500113B"/>
    <w:rsid w:val="757A5E2F"/>
    <w:rsid w:val="75A86778"/>
    <w:rsid w:val="75AF3742"/>
    <w:rsid w:val="75EA76E6"/>
    <w:rsid w:val="764A459F"/>
    <w:rsid w:val="77287CEB"/>
    <w:rsid w:val="7733135F"/>
    <w:rsid w:val="774820F5"/>
    <w:rsid w:val="778877AE"/>
    <w:rsid w:val="77CA065D"/>
    <w:rsid w:val="78234247"/>
    <w:rsid w:val="78281DF2"/>
    <w:rsid w:val="782A7918"/>
    <w:rsid w:val="782F13D2"/>
    <w:rsid w:val="783145E9"/>
    <w:rsid w:val="789A0A26"/>
    <w:rsid w:val="78AB0354"/>
    <w:rsid w:val="78F20DB9"/>
    <w:rsid w:val="79664B6F"/>
    <w:rsid w:val="79835BAD"/>
    <w:rsid w:val="798E2BE3"/>
    <w:rsid w:val="79BE3E65"/>
    <w:rsid w:val="7A0C2CC5"/>
    <w:rsid w:val="7A262361"/>
    <w:rsid w:val="7A50522C"/>
    <w:rsid w:val="7A5D7213"/>
    <w:rsid w:val="7A844288"/>
    <w:rsid w:val="7B096151"/>
    <w:rsid w:val="7B486307"/>
    <w:rsid w:val="7B5B0758"/>
    <w:rsid w:val="7B851EBA"/>
    <w:rsid w:val="7BC828BB"/>
    <w:rsid w:val="7BCD6588"/>
    <w:rsid w:val="7BD0369B"/>
    <w:rsid w:val="7C1103AD"/>
    <w:rsid w:val="7C43242F"/>
    <w:rsid w:val="7C6F6241"/>
    <w:rsid w:val="7CE33B36"/>
    <w:rsid w:val="7CFE4D0B"/>
    <w:rsid w:val="7D670130"/>
    <w:rsid w:val="7D781125"/>
    <w:rsid w:val="7DFE4C7B"/>
    <w:rsid w:val="7E2B6198"/>
    <w:rsid w:val="7E301A00"/>
    <w:rsid w:val="7E4C610E"/>
    <w:rsid w:val="7E722019"/>
    <w:rsid w:val="7EC87457"/>
    <w:rsid w:val="7EE10907"/>
    <w:rsid w:val="7F1F7BDC"/>
    <w:rsid w:val="7FA16445"/>
    <w:rsid w:val="7FE5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style>
  <w:style w:type="paragraph" w:styleId="3">
    <w:name w:val="Body Text"/>
    <w:basedOn w:val="1"/>
    <w:next w:val="4"/>
    <w:qFormat/>
    <w:uiPriority w:val="0"/>
  </w:style>
  <w:style w:type="paragraph" w:customStyle="1" w:styleId="4">
    <w:name w:val="style4"/>
    <w:basedOn w:val="1"/>
    <w:next w:val="5"/>
    <w:qFormat/>
    <w:uiPriority w:val="0"/>
    <w:pPr>
      <w:widowControl/>
      <w:spacing w:before="280" w:after="280"/>
    </w:pPr>
    <w:rPr>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footer"/>
    <w:basedOn w:val="1"/>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eastAsia" w:ascii="宋体" w:hAnsi="Times New Roman" w:eastAsia="宋体" w:cs="Times New Roman"/>
      <w:kern w:val="2"/>
      <w:sz w:val="18"/>
      <w:szCs w:val="18"/>
      <w:lang w:val="en-US" w:eastAsia="zh-CN" w:bidi="ar"/>
    </w:rPr>
  </w:style>
  <w:style w:type="paragraph" w:styleId="7">
    <w:name w:val="header"/>
    <w:basedOn w:val="1"/>
    <w:qFormat/>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eastAsia" w:ascii="宋体" w:hAnsi="Times New Roman" w:eastAsia="宋体" w:cs="Times New Roman"/>
      <w:kern w:val="2"/>
      <w:sz w:val="18"/>
      <w:szCs w:val="18"/>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3365CC"/>
      <w:u w:val="none"/>
    </w:rPr>
  </w:style>
  <w:style w:type="character" w:styleId="12">
    <w:name w:val="Hyperlink"/>
    <w:basedOn w:val="10"/>
    <w:qFormat/>
    <w:uiPriority w:val="0"/>
    <w:rPr>
      <w:color w:val="0000FF"/>
      <w:u w:val="single"/>
    </w:rPr>
  </w:style>
  <w:style w:type="paragraph" w:customStyle="1" w:styleId="13">
    <w:name w:val="_Style 7"/>
    <w:basedOn w:val="1"/>
    <w:next w:val="1"/>
    <w:qFormat/>
    <w:uiPriority w:val="0"/>
    <w:pPr>
      <w:pBdr>
        <w:bottom w:val="single" w:color="auto" w:sz="6" w:space="1"/>
      </w:pBdr>
      <w:jc w:val="center"/>
    </w:pPr>
    <w:rPr>
      <w:rFonts w:ascii="Arial" w:eastAsia="宋体"/>
      <w:vanish/>
      <w:sz w:val="16"/>
    </w:rPr>
  </w:style>
  <w:style w:type="paragraph" w:customStyle="1" w:styleId="14">
    <w:name w:val="_Style 8"/>
    <w:basedOn w:val="1"/>
    <w:next w:val="1"/>
    <w:qFormat/>
    <w:uiPriority w:val="0"/>
    <w:pPr>
      <w:pBdr>
        <w:top w:val="single" w:color="auto" w:sz="6" w:space="1"/>
      </w:pBdr>
      <w:jc w:val="center"/>
    </w:pPr>
    <w:rPr>
      <w:rFonts w:ascii="Arial" w:eastAsia="宋体"/>
      <w:vanish/>
      <w:sz w:val="16"/>
    </w:rPr>
  </w:style>
  <w:style w:type="paragraph" w:customStyle="1" w:styleId="15">
    <w:name w:val="_Style 9"/>
    <w:basedOn w:val="1"/>
    <w:next w:val="1"/>
    <w:qFormat/>
    <w:uiPriority w:val="0"/>
    <w:pPr>
      <w:pBdr>
        <w:bottom w:val="single" w:color="auto" w:sz="6" w:space="1"/>
      </w:pBdr>
      <w:jc w:val="center"/>
    </w:pPr>
    <w:rPr>
      <w:rFonts w:ascii="Arial" w:eastAsia="宋体"/>
      <w:vanish/>
      <w:sz w:val="16"/>
    </w:rPr>
  </w:style>
  <w:style w:type="paragraph" w:customStyle="1" w:styleId="16">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11940</Words>
  <Characters>12626</Characters>
  <Lines>0</Lines>
  <Paragraphs>0</Paragraphs>
  <TotalTime>3</TotalTime>
  <ScaleCrop>false</ScaleCrop>
  <LinksUpToDate>false</LinksUpToDate>
  <CharactersWithSpaces>12823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2021-09-03T01:42:00Z</dcterms:created>
  <dc:creator>smile</dc:creator>
  <cp:lastModifiedBy>时间告诉我</cp:lastModifiedBy>
  <dcterms:modified xsi:type="dcterms:W3CDTF">2022-07-12T08:02:34Z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195673CD484349D99EEC26DDAE68B094</vt:lpwstr>
  </property>
</Properties>
</file>