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sz w:val="84"/>
        </w:rPr>
      </w:pPr>
    </w:p>
    <w:p>
      <w:pPr>
        <w:jc w:val="center"/>
        <w:rPr>
          <w:rFonts w:hint="eastAsia" w:ascii="宋体" w:hAnsi="宋体" w:eastAsia="宋体" w:cs="宋体"/>
          <w:b/>
          <w:spacing w:val="20"/>
          <w:sz w:val="56"/>
          <w:szCs w:val="56"/>
        </w:rPr>
      </w:pPr>
      <w:r>
        <w:rPr>
          <w:rFonts w:hint="eastAsia" w:ascii="宋体" w:hAnsi="宋体" w:eastAsia="宋体" w:cs="宋体"/>
          <w:b/>
          <w:spacing w:val="20"/>
          <w:sz w:val="56"/>
          <w:szCs w:val="56"/>
        </w:rPr>
        <w:t>涉执房地产处置司法评估报告</w:t>
      </w:r>
    </w:p>
    <w:p>
      <w:pPr>
        <w:bidi w:val="0"/>
        <w:jc w:val="center"/>
        <w:rPr>
          <w:rFonts w:hint="eastAsia" w:hAnsi="宋体" w:cs="宋体"/>
          <w:lang w:val="en-US" w:eastAsia="zh-CN"/>
        </w:rPr>
      </w:pPr>
    </w:p>
    <w:p>
      <w:pPr>
        <w:bidi w:val="0"/>
        <w:jc w:val="center"/>
        <w:rPr>
          <w:rFonts w:hint="eastAsia" w:ascii="宋体" w:hAnsi="宋体" w:eastAsia="宋体" w:cs="宋体"/>
          <w:lang w:eastAsia="zh-CN"/>
        </w:rPr>
      </w:pPr>
      <w:r>
        <w:rPr>
          <w:rFonts w:hint="eastAsia" w:hAnsi="宋体" w:cs="宋体"/>
          <w:lang w:val="en-US" w:eastAsia="zh-CN"/>
        </w:rPr>
        <w:t xml:space="preserve"> </w:t>
      </w: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lang w:eastAsia="zh-CN"/>
        </w:rPr>
      </w:pPr>
    </w:p>
    <w:p>
      <w:pPr>
        <w:pStyle w:val="2"/>
        <w:rPr>
          <w:rFonts w:hint="eastAsia" w:ascii="宋体" w:hAnsi="宋体" w:eastAsia="宋体" w:cs="宋体"/>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2963" w:right="105" w:hanging="2669"/>
        <w:textAlignment w:val="auto"/>
        <w:rPr>
          <w:rFonts w:hint="eastAsia" w:ascii="宋体" w:hAnsi="宋体" w:eastAsia="宋体" w:cs="宋体"/>
          <w:sz w:val="30"/>
          <w:szCs w:val="30"/>
        </w:rPr>
      </w:pPr>
      <w:r>
        <w:rPr>
          <w:rFonts w:hint="eastAsia" w:ascii="宋体" w:hAnsi="宋体" w:eastAsia="宋体" w:cs="宋体"/>
          <w:b/>
          <w:bCs/>
          <w:color w:val="000000"/>
          <w:spacing w:val="51"/>
          <w:kern w:val="0"/>
          <w:sz w:val="30"/>
          <w:szCs w:val="30"/>
        </w:rPr>
        <w:t>估价项目名称</w:t>
      </w:r>
      <w:r>
        <w:rPr>
          <w:rFonts w:hint="eastAsia" w:ascii="宋体" w:hAnsi="宋体" w:eastAsia="宋体" w:cs="宋体"/>
          <w:b/>
          <w:bCs/>
          <w:color w:val="000000"/>
          <w:kern w:val="0"/>
          <w:sz w:val="30"/>
          <w:szCs w:val="30"/>
        </w:rPr>
        <w:t>：</w:t>
      </w:r>
      <w:r>
        <w:rPr>
          <w:rFonts w:hint="eastAsia" w:hAnsi="宋体" w:cs="宋体"/>
          <w:b w:val="0"/>
          <w:bCs w:val="0"/>
          <w:color w:val="000000"/>
          <w:kern w:val="0"/>
          <w:sz w:val="30"/>
          <w:szCs w:val="30"/>
          <w:lang w:eastAsia="zh-CN"/>
        </w:rPr>
        <w:t>河南省许昌市禹州市颍川办钧州大街东侧迎宾东路南侧（博雅苑6号楼）住宅用途涉执司法处置</w:t>
      </w:r>
      <w:r>
        <w:rPr>
          <w:rFonts w:hint="eastAsia" w:ascii="宋体" w:hAnsi="宋体" w:eastAsia="宋体" w:cs="宋体"/>
          <w:sz w:val="30"/>
          <w:szCs w:val="30"/>
        </w:rPr>
        <w:t>房地产市场价值评估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color w:val="000000"/>
          <w:spacing w:val="17"/>
          <w:kern w:val="0"/>
          <w:sz w:val="30"/>
          <w:szCs w:val="30"/>
        </w:rPr>
        <w:t>估 价 委 托 人</w:t>
      </w:r>
      <w:r>
        <w:rPr>
          <w:rFonts w:hint="eastAsia" w:ascii="宋体" w:hAnsi="宋体" w:eastAsia="宋体" w:cs="宋体"/>
          <w:b/>
          <w:bCs/>
          <w:color w:val="000000"/>
          <w:kern w:val="0"/>
          <w:sz w:val="30"/>
          <w:szCs w:val="30"/>
        </w:rPr>
        <w:t>：</w:t>
      </w:r>
      <w:r>
        <w:rPr>
          <w:rFonts w:hint="eastAsia" w:hAnsi="宋体" w:cs="宋体"/>
          <w:sz w:val="30"/>
          <w:szCs w:val="30"/>
          <w:lang w:eastAsia="zh-CN"/>
        </w:rPr>
        <w:t>禹州市人民法院</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30"/>
          <w:szCs w:val="30"/>
        </w:rPr>
      </w:pPr>
      <w:r>
        <w:rPr>
          <w:rFonts w:hint="eastAsia" w:ascii="宋体" w:hAnsi="宋体" w:eastAsia="宋体" w:cs="宋体"/>
          <w:sz w:val="30"/>
          <w:szCs w:val="30"/>
        </w:rPr>
        <w:t>　</w:t>
      </w:r>
      <w:r>
        <w:rPr>
          <w:rFonts w:hint="eastAsia" w:ascii="宋体" w:hAnsi="宋体" w:eastAsia="宋体" w:cs="宋体"/>
          <w:b/>
          <w:bCs/>
          <w:color w:val="000000"/>
          <w:spacing w:val="23"/>
          <w:kern w:val="0"/>
          <w:sz w:val="30"/>
          <w:szCs w:val="30"/>
        </w:rPr>
        <w:t>房地产估价机构</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河南凯业房地产估价咨询有限公司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kern w:val="0"/>
          <w:sz w:val="30"/>
          <w:szCs w:val="30"/>
        </w:rPr>
        <w:t>估价报告出具日期</w:t>
      </w:r>
      <w:r>
        <w:rPr>
          <w:rFonts w:hint="eastAsia" w:ascii="宋体" w:hAnsi="宋体" w:eastAsia="宋体" w:cs="宋体"/>
          <w:b/>
          <w:bCs/>
          <w:color w:val="000000"/>
          <w:kern w:val="0"/>
          <w:sz w:val="30"/>
          <w:szCs w:val="30"/>
        </w:rPr>
        <w:t>：</w:t>
      </w:r>
      <w:r>
        <w:rPr>
          <w:rFonts w:hint="eastAsia" w:hAnsi="宋体" w:cs="宋体"/>
          <w:sz w:val="30"/>
          <w:szCs w:val="30"/>
          <w:lang w:eastAsia="zh-CN"/>
        </w:rPr>
        <w:t>2022年08月01日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pacing w:val="-10"/>
          <w:sz w:val="30"/>
          <w:szCs w:val="30"/>
        </w:rPr>
      </w:pPr>
      <w:r>
        <w:rPr>
          <w:rFonts w:hint="eastAsia" w:ascii="宋体" w:hAnsi="宋体" w:eastAsia="宋体" w:cs="宋体"/>
          <w:sz w:val="30"/>
          <w:szCs w:val="30"/>
        </w:rPr>
        <w:t xml:space="preserve">  </w:t>
      </w:r>
      <w:r>
        <w:rPr>
          <w:rFonts w:hint="eastAsia" w:ascii="宋体" w:hAnsi="宋体" w:eastAsia="宋体" w:cs="宋体"/>
          <w:b/>
          <w:bCs/>
          <w:color w:val="000000"/>
          <w:spacing w:val="51"/>
          <w:kern w:val="0"/>
          <w:sz w:val="30"/>
          <w:szCs w:val="30"/>
        </w:rPr>
        <w:t>估价报告编号</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豫凯估字[2022]070756862A号</w:t>
      </w:r>
    </w:p>
    <w:p>
      <w:pPr>
        <w:pStyle w:val="2"/>
        <w:rPr>
          <w:rFonts w:hint="eastAsia"/>
        </w:rPr>
      </w:pPr>
    </w:p>
    <w:p>
      <w:pPr>
        <w:rPr>
          <w:rFonts w:hint="eastAsia"/>
        </w:rPr>
      </w:pPr>
    </w:p>
    <w:p>
      <w:pPr>
        <w:pStyle w:val="2"/>
        <w:rPr>
          <w:rFonts w:hint="eastAsia"/>
        </w:rPr>
      </w:pPr>
    </w:p>
    <w:p>
      <w:pPr>
        <w:pStyle w:val="2"/>
        <w:rPr>
          <w:rFonts w:hint="eastAsia"/>
        </w:rPr>
      </w:pPr>
    </w:p>
    <w:p>
      <w:pPr>
        <w:pStyle w:val="2"/>
        <w:rPr>
          <w:rFonts w:hint="eastAsia"/>
          <w:lang w:val="en-US" w:eastAsia="zh-CN"/>
        </w:rPr>
      </w:pPr>
    </w:p>
    <w:p>
      <w:pPr>
        <w:jc w:val="center"/>
        <w:rPr>
          <w:rFonts w:hint="eastAsia" w:ascii="仿宋" w:hAnsi="仿宋" w:eastAsia="仿宋" w:cs="仿宋"/>
          <w:b/>
          <w:sz w:val="22"/>
          <w:szCs w:val="22"/>
          <w:lang w:eastAsia="zh-CN"/>
        </w:rPr>
      </w:pPr>
    </w:p>
    <w:p>
      <w:pPr>
        <w:pStyle w:val="15"/>
        <w:numPr>
          <w:ilvl w:val="0"/>
          <w:numId w:val="0"/>
        </w:numPr>
        <w:bidi w:val="0"/>
        <w:spacing w:line="600" w:lineRule="exact"/>
        <w:ind w:left="420" w:hanging="420"/>
        <w:jc w:val="center"/>
        <w:rPr>
          <w:rFonts w:hint="eastAsia" w:ascii="宋体" w:hAnsi="宋体" w:eastAsia="宋体" w:cs="宋体"/>
          <w:b/>
          <w:sz w:val="44"/>
          <w:szCs w:val="44"/>
        </w:rPr>
      </w:pPr>
      <w:r>
        <w:rPr>
          <w:rFonts w:hint="eastAsia" w:ascii="宋体" w:hAnsi="宋体" w:eastAsia="宋体" w:cs="宋体"/>
          <w:b/>
          <w:sz w:val="44"/>
          <w:szCs w:val="44"/>
        </w:rPr>
        <w:t>致估价委托人函</w:t>
      </w:r>
    </w:p>
    <w:p>
      <w:pPr>
        <w:bidi w:val="0"/>
        <w:spacing w:line="580" w:lineRule="exact"/>
        <w:rPr>
          <w:rFonts w:hint="eastAsia" w:ascii="宋体" w:hAnsi="宋体" w:eastAsia="宋体" w:cs="宋体"/>
          <w:sz w:val="28"/>
          <w:szCs w:val="28"/>
        </w:rPr>
      </w:pPr>
      <w:r>
        <w:rPr>
          <w:rFonts w:hint="eastAsia" w:hAnsi="宋体" w:cs="宋体"/>
          <w:sz w:val="28"/>
          <w:szCs w:val="28"/>
          <w:lang w:eastAsia="zh-CN"/>
        </w:rPr>
        <w:t>禹州市人民法院</w:t>
      </w:r>
      <w:r>
        <w:rPr>
          <w:rFonts w:hint="eastAsia" w:ascii="宋体" w:hAnsi="宋体" w:eastAsia="宋体" w:cs="宋体"/>
          <w:sz w:val="28"/>
          <w:szCs w:val="28"/>
        </w:rPr>
        <w:t xml:space="preserve">： </w:t>
      </w:r>
    </w:p>
    <w:p>
      <w:pPr>
        <w:bidi w:val="0"/>
        <w:spacing w:line="580" w:lineRule="exact"/>
        <w:ind w:left="103" w:right="178" w:firstLine="560"/>
        <w:jc w:val="left"/>
        <w:rPr>
          <w:rFonts w:hint="eastAsia" w:ascii="宋体" w:hAnsi="宋体" w:eastAsia="宋体" w:cs="宋体"/>
          <w:sz w:val="28"/>
          <w:szCs w:val="28"/>
        </w:rPr>
      </w:pPr>
      <w:r>
        <w:rPr>
          <w:rFonts w:hint="eastAsia" w:ascii="宋体" w:hAnsi="宋体" w:eastAsia="宋体" w:cs="宋体"/>
          <w:sz w:val="28"/>
          <w:szCs w:val="28"/>
        </w:rPr>
        <w:t>受贵院委托，我公司注册房地产估价师对</w:t>
      </w:r>
      <w:r>
        <w:rPr>
          <w:rFonts w:hint="eastAsia" w:hAnsi="宋体" w:cs="宋体"/>
          <w:sz w:val="28"/>
          <w:szCs w:val="28"/>
          <w:lang w:eastAsia="zh-CN"/>
        </w:rPr>
        <w:t>冯志霞名下</w:t>
      </w:r>
      <w:r>
        <w:rPr>
          <w:rFonts w:hint="eastAsia" w:ascii="宋体" w:hAnsi="宋体" w:eastAsia="宋体" w:cs="宋体"/>
          <w:sz w:val="28"/>
          <w:szCs w:val="28"/>
        </w:rPr>
        <w:t>位于</w:t>
      </w:r>
      <w:r>
        <w:rPr>
          <w:rFonts w:hint="eastAsia" w:hAnsi="宋体" w:cs="宋体"/>
          <w:b w:val="0"/>
          <w:bCs w:val="0"/>
          <w:color w:val="000000"/>
          <w:kern w:val="0"/>
          <w:sz w:val="30"/>
          <w:szCs w:val="30"/>
          <w:lang w:eastAsia="zh-CN"/>
        </w:rPr>
        <w:t>河南省许昌市禹州市颍川办钧州大街东侧迎宾东路南侧（博雅苑6号楼）</w:t>
      </w:r>
      <w:r>
        <w:rPr>
          <w:rFonts w:hint="eastAsia" w:hAnsi="宋体" w:cs="宋体"/>
          <w:sz w:val="28"/>
          <w:szCs w:val="28"/>
          <w:lang w:eastAsia="zh-CN"/>
        </w:rPr>
        <w:t>成套住宅</w:t>
      </w:r>
      <w:r>
        <w:rPr>
          <w:rFonts w:hint="eastAsia" w:ascii="宋体" w:hAnsi="宋体" w:eastAsia="宋体" w:cs="宋体"/>
          <w:sz w:val="28"/>
          <w:szCs w:val="28"/>
        </w:rPr>
        <w:t>房地</w:t>
      </w:r>
      <w:r>
        <w:rPr>
          <w:rFonts w:hint="eastAsia" w:hAnsi="宋体" w:cs="宋体"/>
          <w:sz w:val="28"/>
          <w:szCs w:val="28"/>
          <w:lang w:eastAsia="zh-CN"/>
        </w:rPr>
        <w:t>产</w:t>
      </w:r>
      <w:r>
        <w:rPr>
          <w:rFonts w:hint="eastAsia" w:ascii="宋体" w:hAnsi="宋体" w:eastAsia="宋体" w:cs="宋体"/>
          <w:sz w:val="28"/>
          <w:szCs w:val="28"/>
        </w:rPr>
        <w:t>进行了评估。根据估价目的，遵循公认的估价原则，按照严谨的估价程序，依据有关法规、政策和标准在合理的假设下，对估价对象于价值时点的市场价值进行了专业分析、测算和判断，估价报告摘要如下：</w:t>
      </w:r>
    </w:p>
    <w:p>
      <w:pPr>
        <w:bidi w:val="0"/>
        <w:spacing w:line="580" w:lineRule="exact"/>
        <w:ind w:firstLine="281" w:firstLineChars="100"/>
        <w:rPr>
          <w:rFonts w:hint="eastAsia" w:ascii="宋体" w:hAnsi="宋体" w:eastAsia="宋体" w:cs="宋体"/>
          <w:spacing w:val="4"/>
          <w:sz w:val="28"/>
          <w:szCs w:val="28"/>
        </w:rPr>
      </w:pPr>
      <w:r>
        <w:rPr>
          <w:rFonts w:hint="eastAsia" w:ascii="宋体" w:hAnsi="宋体" w:eastAsia="宋体" w:cs="宋体"/>
          <w:b/>
          <w:sz w:val="28"/>
          <w:szCs w:val="28"/>
        </w:rPr>
        <w:t>估价目的</w:t>
      </w:r>
      <w:r>
        <w:rPr>
          <w:rFonts w:hint="eastAsia" w:ascii="宋体" w:hAnsi="宋体" w:eastAsia="宋体" w:cs="宋体"/>
          <w:sz w:val="28"/>
          <w:szCs w:val="28"/>
        </w:rPr>
        <w:t>：</w:t>
      </w:r>
      <w:r>
        <w:rPr>
          <w:rFonts w:hint="eastAsia" w:hAnsi="宋体" w:cs="宋体"/>
          <w:spacing w:val="4"/>
          <w:sz w:val="28"/>
          <w:szCs w:val="28"/>
          <w:lang w:eastAsia="zh-CN"/>
        </w:rPr>
        <w:t>为人民法院确定财产处置参考价提供参考依据</w:t>
      </w:r>
    </w:p>
    <w:p>
      <w:pPr>
        <w:bidi w:val="0"/>
        <w:spacing w:line="580" w:lineRule="exact"/>
        <w:ind w:left="315"/>
        <w:rPr>
          <w:rFonts w:hint="eastAsia" w:ascii="宋体" w:hAnsi="宋体" w:eastAsia="宋体" w:cs="宋体"/>
          <w:sz w:val="28"/>
          <w:szCs w:val="28"/>
        </w:rPr>
      </w:pPr>
      <w:r>
        <w:rPr>
          <w:rFonts w:hint="eastAsia" w:ascii="宋体" w:hAnsi="宋体" w:eastAsia="宋体" w:cs="宋体"/>
          <w:b/>
          <w:sz w:val="28"/>
          <w:szCs w:val="28"/>
        </w:rPr>
        <w:t>估价对象</w:t>
      </w:r>
      <w:r>
        <w:rPr>
          <w:rFonts w:hint="eastAsia" w:ascii="宋体" w:hAnsi="宋体" w:eastAsia="宋体" w:cs="宋体"/>
          <w:sz w:val="28"/>
          <w:szCs w:val="28"/>
        </w:rPr>
        <w:t xml:space="preserve">：估价对象房地产基本状况如下表：   </w:t>
      </w:r>
      <w:r>
        <w:rPr>
          <w:rFonts w:hint="eastAsia" w:ascii="宋体" w:hAnsi="宋体" w:eastAsia="宋体" w:cs="宋体"/>
          <w:szCs w:val="21"/>
        </w:rPr>
        <w:t xml:space="preserve">     </w:t>
      </w:r>
      <w:r>
        <w:rPr>
          <w:rFonts w:hint="eastAsia" w:ascii="宋体" w:hAnsi="宋体" w:eastAsia="宋体" w:cs="宋体"/>
          <w:sz w:val="28"/>
          <w:szCs w:val="28"/>
        </w:rPr>
        <w:t>表1</w:t>
      </w:r>
    </w:p>
    <w:tbl>
      <w:tblPr>
        <w:tblStyle w:val="10"/>
        <w:tblpPr w:leftFromText="180" w:rightFromText="180" w:vertAnchor="text" w:horzAnchor="margin" w:tblpXSpec="center" w:tblpY="266"/>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1417"/>
        <w:gridCol w:w="2032"/>
        <w:gridCol w:w="1551"/>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坐落</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12"/>
                <w:rFonts w:hint="eastAsia" w:ascii="宋体" w:hAnsi="宋体" w:eastAsia="宋体" w:cs="宋体"/>
                <w:b w:val="0"/>
                <w:bCs w:val="0"/>
                <w:kern w:val="2"/>
                <w:sz w:val="21"/>
                <w:szCs w:val="21"/>
                <w:lang w:val="en-US" w:eastAsia="zh-CN" w:bidi="ar-SA"/>
              </w:rPr>
            </w:pPr>
            <w:r>
              <w:rPr>
                <w:rStyle w:val="12"/>
                <w:rFonts w:hint="eastAsia" w:hAnsi="宋体" w:cs="宋体"/>
                <w:b w:val="0"/>
                <w:bCs w:val="0"/>
                <w:kern w:val="2"/>
                <w:sz w:val="21"/>
                <w:szCs w:val="21"/>
                <w:lang w:val="en-US" w:eastAsia="zh-CN" w:bidi="ar-SA"/>
              </w:rPr>
              <w:t>河南省许昌市禹州市颍川办钧州大街东侧迎宾东路南侧（博雅苑6号楼）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名称</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12"/>
                <w:rFonts w:hint="eastAsia" w:ascii="宋体" w:hAnsi="宋体" w:eastAsia="宋体" w:cs="宋体"/>
                <w:b w:val="0"/>
                <w:bCs w:val="0"/>
                <w:kern w:val="2"/>
                <w:sz w:val="21"/>
                <w:szCs w:val="21"/>
                <w:lang w:val="en-US" w:eastAsia="zh-CN" w:bidi="ar-SA"/>
              </w:rPr>
            </w:pPr>
            <w:r>
              <w:rPr>
                <w:rStyle w:val="12"/>
                <w:rFonts w:hint="eastAsia" w:hAnsi="宋体" w:cs="宋体"/>
                <w:b w:val="0"/>
                <w:bCs w:val="0"/>
                <w:kern w:val="2"/>
                <w:sz w:val="21"/>
                <w:szCs w:val="21"/>
                <w:lang w:val="en-US" w:eastAsia="zh-CN" w:bidi="ar-SA"/>
              </w:rPr>
              <w:t>河南省许昌市禹州市颍川办钧州大街东侧迎宾东路南侧（博雅苑6号楼）2单元7层西户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范围</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12"/>
                <w:rFonts w:hint="eastAsia" w:ascii="宋体" w:hAnsi="宋体" w:eastAsia="宋体" w:cs="宋体"/>
                <w:b w:val="0"/>
                <w:bCs w:val="0"/>
                <w:kern w:val="2"/>
                <w:sz w:val="21"/>
                <w:szCs w:val="21"/>
                <w:lang w:val="en-US" w:eastAsia="zh-CN" w:bidi="ar-SA"/>
              </w:rPr>
            </w:pPr>
            <w:r>
              <w:rPr>
                <w:rStyle w:val="12"/>
                <w:rFonts w:hint="eastAsia" w:ascii="宋体" w:hAnsi="宋体" w:eastAsia="宋体" w:cs="宋体"/>
                <w:b w:val="0"/>
                <w:bCs w:val="0"/>
                <w:kern w:val="2"/>
                <w:sz w:val="21"/>
                <w:szCs w:val="21"/>
                <w:lang w:val="en-US" w:eastAsia="zh-CN" w:bidi="ar-SA"/>
              </w:rPr>
              <w:t>包括房屋及其相应分摊的土地使用权（含室内不可拆除的装饰装修、不含可移动物品及其他债权债务等）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规模</w:t>
            </w:r>
          </w:p>
        </w:tc>
        <w:tc>
          <w:tcPr>
            <w:tcW w:w="7909" w:type="dxa"/>
            <w:gridSpan w:val="4"/>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12"/>
                <w:rFonts w:hint="default" w:ascii="宋体" w:hAnsi="宋体" w:eastAsia="宋体" w:cs="宋体"/>
                <w:b w:val="0"/>
                <w:bCs w:val="0"/>
                <w:kern w:val="2"/>
                <w:sz w:val="21"/>
                <w:szCs w:val="21"/>
                <w:lang w:val="en-US" w:eastAsia="zh-CN" w:bidi="ar-SA"/>
              </w:rPr>
            </w:pPr>
            <w:r>
              <w:rPr>
                <w:rStyle w:val="12"/>
                <w:rFonts w:hint="eastAsia" w:ascii="宋体" w:hAnsi="宋体" w:eastAsia="宋体" w:cs="宋体"/>
                <w:b w:val="0"/>
                <w:bCs w:val="0"/>
                <w:kern w:val="2"/>
                <w:sz w:val="21"/>
                <w:szCs w:val="21"/>
                <w:lang w:val="en-US" w:eastAsia="zh-CN" w:bidi="ar-SA"/>
              </w:rPr>
              <w:t>房屋建筑面积</w:t>
            </w:r>
            <w:r>
              <w:rPr>
                <w:rStyle w:val="12"/>
                <w:rFonts w:hint="eastAsia" w:hAnsi="宋体" w:cs="宋体"/>
                <w:b w:val="0"/>
                <w:bCs w:val="0"/>
                <w:kern w:val="2"/>
                <w:sz w:val="21"/>
                <w:szCs w:val="21"/>
                <w:lang w:val="en-US" w:eastAsia="zh-CN" w:bidi="ar-SA"/>
              </w:rPr>
              <w:t>134.21㎡</w:t>
            </w:r>
            <w:r>
              <w:rPr>
                <w:rStyle w:val="12"/>
                <w:rFonts w:hint="eastAsia" w:ascii="宋体" w:hAnsi="宋体" w:eastAsia="宋体" w:cs="宋体"/>
                <w:b w:val="0"/>
                <w:bCs w:val="0"/>
                <w:kern w:val="2"/>
                <w:sz w:val="21"/>
                <w:szCs w:val="21"/>
                <w:lang w:val="en-US" w:eastAsia="zh-CN" w:bidi="ar-SA"/>
              </w:rPr>
              <w:t>及其相应分摊的土地使用权</w:t>
            </w:r>
            <w:r>
              <w:rPr>
                <w:rStyle w:val="12"/>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用途</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规划用途</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住宅</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实勘用途</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15"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bCs/>
                <w:kern w:val="2"/>
                <w:sz w:val="21"/>
                <w:szCs w:val="21"/>
                <w:lang w:val="en-US" w:eastAsia="zh-CN" w:bidi="ar-SA"/>
              </w:rPr>
            </w:pPr>
            <w:r>
              <w:rPr>
                <w:rStyle w:val="12"/>
                <w:rFonts w:hint="eastAsia" w:hAnsi="宋体" w:cs="宋体"/>
                <w:bCs/>
                <w:kern w:val="2"/>
                <w:sz w:val="21"/>
                <w:szCs w:val="21"/>
                <w:lang w:val="en-US" w:eastAsia="zh-CN" w:bidi="ar-SA"/>
              </w:rPr>
              <w:t>6</w:t>
            </w:r>
          </w:p>
        </w:tc>
        <w:tc>
          <w:tcPr>
            <w:tcW w:w="768"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kern w:val="2"/>
                <w:sz w:val="21"/>
                <w:szCs w:val="21"/>
                <w:lang w:val="en-US" w:eastAsia="zh-CN" w:bidi="ar-SA"/>
              </w:rPr>
            </w:pPr>
            <w:r>
              <w:rPr>
                <w:rStyle w:val="12"/>
                <w:rFonts w:hint="eastAsia" w:hAnsi="宋体" w:cs="宋体"/>
                <w:b/>
                <w:kern w:val="2"/>
                <w:sz w:val="21"/>
                <w:szCs w:val="21"/>
                <w:lang w:val="en-US" w:eastAsia="zh-CN" w:bidi="ar-SA"/>
              </w:rPr>
              <w:t>权属</w:t>
            </w:r>
          </w:p>
        </w:tc>
        <w:tc>
          <w:tcPr>
            <w:tcW w:w="1417"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kern w:val="2"/>
                <w:sz w:val="21"/>
                <w:szCs w:val="21"/>
                <w:lang w:val="en-US" w:eastAsia="zh-CN" w:bidi="ar-SA"/>
              </w:rPr>
            </w:pPr>
            <w:r>
              <w:rPr>
                <w:rStyle w:val="12"/>
                <w:rFonts w:hint="eastAsia" w:hAnsi="宋体" w:cs="宋体"/>
                <w:b/>
                <w:bCs/>
                <w:kern w:val="2"/>
                <w:sz w:val="21"/>
                <w:szCs w:val="21"/>
                <w:lang w:val="en-US" w:eastAsia="zh-CN" w:bidi="ar-SA"/>
              </w:rPr>
              <w:t>权利人</w:t>
            </w:r>
          </w:p>
        </w:tc>
        <w:tc>
          <w:tcPr>
            <w:tcW w:w="2032"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冯志霞</w:t>
            </w:r>
          </w:p>
        </w:tc>
        <w:tc>
          <w:tcPr>
            <w:tcW w:w="1551"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eastAsia" w:ascii="宋体" w:hAnsi="宋体" w:eastAsia="宋体" w:cs="宋体"/>
                <w:kern w:val="2"/>
                <w:sz w:val="21"/>
                <w:szCs w:val="21"/>
                <w:lang w:val="en-US" w:eastAsia="zh-CN" w:bidi="ar-SA"/>
              </w:rPr>
            </w:pPr>
            <w:r>
              <w:rPr>
                <w:rStyle w:val="12"/>
                <w:rFonts w:hint="eastAsia" w:hAnsi="宋体" w:cs="宋体"/>
                <w:b/>
                <w:kern w:val="2"/>
                <w:sz w:val="21"/>
                <w:szCs w:val="21"/>
                <w:lang w:val="en-US" w:eastAsia="zh-CN" w:bidi="ar-SA"/>
              </w:rPr>
              <w:t>不动产权证号</w:t>
            </w:r>
          </w:p>
        </w:tc>
        <w:tc>
          <w:tcPr>
            <w:tcW w:w="2909"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Fonts w:hint="default" w:ascii="宋体" w:hAnsi="宋体" w:eastAsia="宋体" w:cs="宋体"/>
                <w:kern w:val="2"/>
                <w:sz w:val="21"/>
                <w:szCs w:val="21"/>
                <w:lang w:val="en-US" w:eastAsia="zh-CN" w:bidi="ar-SA"/>
              </w:rPr>
            </w:pPr>
            <w:r>
              <w:rPr>
                <w:rStyle w:val="12"/>
                <w:rFonts w:hint="eastAsia" w:ascii="Times New Roman" w:hAnsi="宋体" w:cs="宋体"/>
                <w:kern w:val="2"/>
                <w:sz w:val="21"/>
                <w:szCs w:val="21"/>
                <w:lang w:val="en-US" w:eastAsia="zh-CN" w:bidi="ar-SA"/>
              </w:rPr>
              <w:t>017609</w:t>
            </w:r>
          </w:p>
        </w:tc>
      </w:tr>
    </w:tbl>
    <w:p>
      <w:pPr>
        <w:bidi w:val="0"/>
        <w:spacing w:line="580" w:lineRule="exact"/>
        <w:ind w:firstLine="410"/>
        <w:rPr>
          <w:rFonts w:hint="eastAsia" w:hAnsi="宋体" w:cs="宋体"/>
          <w:sz w:val="28"/>
          <w:szCs w:val="28"/>
          <w:lang w:eastAsia="zh-CN"/>
        </w:rPr>
      </w:pPr>
      <w:r>
        <w:rPr>
          <w:rFonts w:hint="eastAsia" w:ascii="宋体" w:hAnsi="宋体" w:eastAsia="宋体" w:cs="宋体"/>
          <w:b/>
          <w:sz w:val="28"/>
          <w:szCs w:val="28"/>
        </w:rPr>
        <w:t>价值时点</w:t>
      </w:r>
      <w:r>
        <w:rPr>
          <w:rFonts w:hint="eastAsia" w:ascii="宋体" w:hAnsi="宋体" w:eastAsia="宋体" w:cs="宋体"/>
          <w:sz w:val="28"/>
          <w:szCs w:val="28"/>
        </w:rPr>
        <w:t>：</w:t>
      </w:r>
      <w:r>
        <w:rPr>
          <w:rFonts w:hint="eastAsia" w:hAnsi="宋体" w:cs="宋体"/>
          <w:sz w:val="28"/>
          <w:szCs w:val="28"/>
          <w:lang w:eastAsia="zh-CN"/>
        </w:rPr>
        <w:t>2022年07月07日</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价值类型：</w:t>
      </w:r>
      <w:r>
        <w:rPr>
          <w:rFonts w:hint="eastAsia" w:ascii="宋体" w:hAnsi="宋体" w:eastAsia="宋体" w:cs="宋体"/>
          <w:sz w:val="28"/>
          <w:szCs w:val="28"/>
        </w:rPr>
        <w:t>房地产市场价值</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估价方法：</w:t>
      </w:r>
      <w:r>
        <w:rPr>
          <w:rFonts w:hint="eastAsia" w:ascii="宋体" w:hAnsi="宋体" w:eastAsia="宋体" w:cs="宋体"/>
          <w:sz w:val="28"/>
          <w:szCs w:val="28"/>
          <w:lang w:eastAsia="zh-CN"/>
        </w:rPr>
        <w:t>比较法、</w:t>
      </w:r>
      <w:r>
        <w:rPr>
          <w:rFonts w:hint="eastAsia" w:ascii="宋体" w:hAnsi="宋体" w:eastAsia="宋体" w:cs="宋体"/>
          <w:sz w:val="28"/>
          <w:szCs w:val="28"/>
        </w:rPr>
        <w:t>收益法</w:t>
      </w:r>
    </w:p>
    <w:p>
      <w:pPr>
        <w:bidi w:val="0"/>
        <w:spacing w:line="580" w:lineRule="exact"/>
        <w:ind w:firstLine="410"/>
        <w:rPr>
          <w:rFonts w:hint="eastAsia" w:ascii="宋体" w:hAnsi="宋体" w:eastAsia="宋体" w:cs="宋体"/>
          <w:color w:val="000000"/>
          <w:sz w:val="28"/>
        </w:rPr>
      </w:pPr>
      <w:r>
        <w:rPr>
          <w:rFonts w:hint="eastAsia" w:ascii="宋体" w:hAnsi="宋体" w:eastAsia="宋体" w:cs="宋体"/>
          <w:b/>
          <w:sz w:val="28"/>
          <w:szCs w:val="28"/>
        </w:rPr>
        <w:t>估价结果</w:t>
      </w:r>
      <w:r>
        <w:rPr>
          <w:rFonts w:hint="eastAsia" w:ascii="宋体" w:hAnsi="宋体" w:eastAsia="宋体" w:cs="宋体"/>
          <w:sz w:val="28"/>
          <w:szCs w:val="28"/>
        </w:rPr>
        <w:t>：</w:t>
      </w:r>
      <w:r>
        <w:rPr>
          <w:rFonts w:hint="eastAsia" w:ascii="宋体" w:hAnsi="宋体" w:eastAsia="宋体" w:cs="宋体"/>
          <w:sz w:val="28"/>
        </w:rPr>
        <w:t>注册房地产估价师根据估价目的，遵循估价原则，按照严谨的估价程序，</w:t>
      </w:r>
      <w:r>
        <w:rPr>
          <w:rFonts w:hint="eastAsia" w:hAnsi="宋体" w:cs="宋体"/>
          <w:color w:val="auto"/>
          <w:sz w:val="28"/>
          <w:szCs w:val="28"/>
          <w:highlight w:val="none"/>
        </w:rPr>
        <w:t>遵照</w:t>
      </w:r>
      <w:r>
        <w:rPr>
          <w:rFonts w:ascii="Times New Roman"/>
          <w:color w:val="auto"/>
          <w:sz w:val="28"/>
          <w:szCs w:val="28"/>
          <w:highlight w:val="none"/>
        </w:rPr>
        <w:t>《资产评估法》</w:t>
      </w:r>
      <w:r>
        <w:rPr>
          <w:rFonts w:hint="eastAsia" w:hAnsi="宋体" w:cs="宋体"/>
          <w:color w:val="auto"/>
          <w:sz w:val="28"/>
          <w:szCs w:val="28"/>
          <w:highlight w:val="none"/>
        </w:rPr>
        <w:t>、《房地产估价规范》、《房</w:t>
      </w:r>
      <w:r>
        <w:rPr>
          <w:rFonts w:hint="eastAsia" w:hAnsi="宋体" w:cs="宋体"/>
          <w:color w:val="auto"/>
          <w:sz w:val="28"/>
          <w:highlight w:val="none"/>
        </w:rPr>
        <w:t>地产估价基本术语标准》、《</w:t>
      </w:r>
      <w:r>
        <w:rPr>
          <w:rFonts w:hAnsi="宋体"/>
          <w:bCs/>
          <w:color w:val="auto"/>
          <w:sz w:val="28"/>
          <w:szCs w:val="28"/>
          <w:highlight w:val="none"/>
        </w:rPr>
        <w:t>河南省房地产估价技术指引</w:t>
      </w:r>
      <w:r>
        <w:rPr>
          <w:rFonts w:hint="eastAsia" w:hAnsi="宋体" w:cs="宋体"/>
          <w:color w:val="auto"/>
          <w:sz w:val="28"/>
          <w:highlight w:val="none"/>
        </w:rPr>
        <w:t>》等法规和技术标准，</w:t>
      </w:r>
      <w:r>
        <w:rPr>
          <w:rFonts w:hint="eastAsia" w:ascii="宋体" w:hAnsi="宋体" w:eastAsia="宋体" w:cs="宋体"/>
          <w:sz w:val="28"/>
        </w:rPr>
        <w:t>在认真分析所掌握的资料与影响估价对象价值诸因素的基础上，采用</w:t>
      </w:r>
      <w:r>
        <w:rPr>
          <w:rFonts w:hint="eastAsia" w:ascii="宋体" w:hAnsi="宋体" w:eastAsia="宋体" w:cs="宋体"/>
          <w:sz w:val="28"/>
          <w:szCs w:val="28"/>
          <w:lang w:eastAsia="zh-CN"/>
        </w:rPr>
        <w:t>比较法</w:t>
      </w:r>
      <w:r>
        <w:rPr>
          <w:rFonts w:hint="eastAsia" w:hAnsi="宋体" w:cs="宋体"/>
          <w:sz w:val="28"/>
          <w:szCs w:val="28"/>
          <w:lang w:eastAsia="zh-CN"/>
        </w:rPr>
        <w:t>、</w:t>
      </w:r>
      <w:r>
        <w:rPr>
          <w:rFonts w:hint="eastAsia" w:ascii="宋体" w:hAnsi="宋体" w:eastAsia="宋体" w:cs="宋体"/>
          <w:sz w:val="28"/>
          <w:szCs w:val="28"/>
        </w:rPr>
        <w:t>收益法</w:t>
      </w:r>
      <w:r>
        <w:rPr>
          <w:rFonts w:hint="eastAsia" w:ascii="宋体" w:hAnsi="宋体" w:eastAsia="宋体" w:cs="宋体"/>
          <w:sz w:val="28"/>
        </w:rPr>
        <w:t>进行了分析、测算和判断，最终确定估价对象于价值时点市场价值估价总额为：</w:t>
      </w:r>
      <w:r>
        <w:rPr>
          <w:rFonts w:hint="eastAsia" w:hAnsi="宋体" w:cs="宋体"/>
          <w:color w:val="000000"/>
          <w:sz w:val="28"/>
          <w:szCs w:val="28"/>
          <w:lang w:val="en-US" w:eastAsia="zh-CN"/>
        </w:rPr>
        <w:t>48.05</w:t>
      </w:r>
      <w:r>
        <w:rPr>
          <w:rFonts w:hint="eastAsia" w:ascii="宋体" w:hAnsi="宋体" w:eastAsia="宋体" w:cs="宋体"/>
          <w:color w:val="000000"/>
          <w:sz w:val="28"/>
          <w:szCs w:val="28"/>
        </w:rPr>
        <w:t>万元(人民币)，大写人民币</w:t>
      </w:r>
      <w:r>
        <w:rPr>
          <w:rFonts w:hint="eastAsia" w:hAnsi="宋体" w:cs="宋体"/>
          <w:color w:val="000000"/>
          <w:sz w:val="28"/>
          <w:szCs w:val="28"/>
          <w:lang w:eastAsia="zh-CN"/>
        </w:rPr>
        <w:t>：肆拾捌万零伍佰</w:t>
      </w:r>
      <w:r>
        <w:rPr>
          <w:rFonts w:hint="eastAsia" w:ascii="宋体" w:hAnsi="宋体" w:eastAsia="宋体" w:cs="宋体"/>
          <w:color w:val="000000"/>
          <w:sz w:val="28"/>
          <w:szCs w:val="28"/>
        </w:rPr>
        <w:t>元整</w:t>
      </w:r>
      <w:r>
        <w:rPr>
          <w:rFonts w:hint="eastAsia" w:hAnsi="宋体" w:cs="宋体"/>
          <w:color w:val="000000"/>
          <w:sz w:val="28"/>
          <w:szCs w:val="28"/>
          <w:lang w:eastAsia="zh-CN"/>
        </w:rPr>
        <w:t>，</w:t>
      </w:r>
      <w:r>
        <w:rPr>
          <w:rFonts w:hint="eastAsia" w:ascii="宋体" w:hAnsi="宋体" w:eastAsia="宋体" w:cs="宋体"/>
          <w:sz w:val="28"/>
          <w:szCs w:val="28"/>
        </w:rPr>
        <w:t>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3580</w:t>
      </w:r>
      <w:r>
        <w:rPr>
          <w:rFonts w:hint="eastAsia" w:ascii="宋体" w:hAnsi="宋体" w:eastAsia="宋体" w:cs="宋体"/>
          <w:color w:val="000000"/>
          <w:sz w:val="28"/>
          <w:szCs w:val="28"/>
        </w:rPr>
        <w:t>元/平方米</w:t>
      </w:r>
      <w:r>
        <w:rPr>
          <w:rFonts w:hint="eastAsia" w:hAnsi="宋体" w:cs="宋体"/>
          <w:color w:val="000000"/>
          <w:sz w:val="28"/>
          <w:szCs w:val="28"/>
          <w:lang w:eastAsia="zh-CN"/>
        </w:rPr>
        <w:t>。参考变现价值总额为</w:t>
      </w:r>
      <w:r>
        <w:rPr>
          <w:rFonts w:hint="eastAsia" w:hAnsi="宋体" w:cs="宋体"/>
          <w:color w:val="000000"/>
          <w:sz w:val="28"/>
          <w:szCs w:val="28"/>
          <w:lang w:val="en-US" w:eastAsia="zh-CN"/>
        </w:rPr>
        <w:t>43.24</w:t>
      </w:r>
      <w:r>
        <w:rPr>
          <w:rFonts w:hint="eastAsia" w:ascii="宋体" w:hAnsi="宋体" w:eastAsia="宋体" w:cs="宋体"/>
          <w:color w:val="000000"/>
          <w:sz w:val="28"/>
          <w:szCs w:val="28"/>
        </w:rPr>
        <w:t>万元(人民币)，大写人民币</w:t>
      </w:r>
      <w:r>
        <w:rPr>
          <w:rFonts w:hint="eastAsia" w:hAnsi="宋体" w:cs="宋体"/>
          <w:color w:val="000000"/>
          <w:sz w:val="28"/>
          <w:szCs w:val="28"/>
          <w:lang w:eastAsia="zh-CN"/>
        </w:rPr>
        <w:t>：肆拾叁万贰仟肆佰</w:t>
      </w:r>
      <w:r>
        <w:rPr>
          <w:rFonts w:hint="eastAsia" w:ascii="宋体" w:hAnsi="宋体" w:eastAsia="宋体" w:cs="宋体"/>
          <w:color w:val="000000"/>
          <w:sz w:val="28"/>
          <w:szCs w:val="28"/>
        </w:rPr>
        <w:t>元整</w:t>
      </w:r>
      <w:r>
        <w:rPr>
          <w:rFonts w:hint="eastAsia" w:hAnsi="宋体" w:cs="宋体"/>
          <w:color w:val="000000"/>
          <w:sz w:val="28"/>
          <w:szCs w:val="28"/>
          <w:lang w:eastAsia="zh-CN"/>
        </w:rPr>
        <w:t>。</w:t>
      </w:r>
      <w:r>
        <w:rPr>
          <w:rFonts w:hint="eastAsia" w:ascii="宋体" w:hAnsi="宋体" w:eastAsia="宋体" w:cs="宋体"/>
          <w:color w:val="000000"/>
          <w:sz w:val="28"/>
          <w:szCs w:val="28"/>
        </w:rPr>
        <w:t>详见估价对象价值明细表</w:t>
      </w:r>
      <w:r>
        <w:rPr>
          <w:rFonts w:hint="eastAsia" w:hAnsi="宋体" w:cs="宋体"/>
          <w:color w:val="000000"/>
          <w:sz w:val="28"/>
          <w:szCs w:val="28"/>
          <w:lang w:val="en-US" w:eastAsia="zh-CN"/>
        </w:rPr>
        <w:t>2</w:t>
      </w:r>
      <w:r>
        <w:rPr>
          <w:rFonts w:hint="eastAsia" w:ascii="宋体" w:hAnsi="宋体" w:eastAsia="宋体" w:cs="宋体"/>
          <w:color w:val="000000"/>
          <w:sz w:val="28"/>
          <w:szCs w:val="28"/>
        </w:rPr>
        <w:t>。</w:t>
      </w:r>
    </w:p>
    <w:p>
      <w:pPr>
        <w:bidi w:val="0"/>
        <w:spacing w:line="600" w:lineRule="exact"/>
        <w:jc w:val="center"/>
        <w:rPr>
          <w:rFonts w:hint="eastAsia" w:ascii="宋体" w:hAnsi="宋体" w:eastAsia="宋体" w:cs="宋体"/>
          <w:sz w:val="28"/>
          <w:szCs w:val="28"/>
        </w:rPr>
      </w:pPr>
      <w:r>
        <w:rPr>
          <w:rFonts w:hint="eastAsia" w:ascii="宋体" w:hAnsi="宋体" w:eastAsia="宋体" w:cs="宋体"/>
          <w:sz w:val="28"/>
          <w:szCs w:val="28"/>
        </w:rPr>
        <w:t>估价对象价值明细表        表2</w:t>
      </w:r>
    </w:p>
    <w:tbl>
      <w:tblPr>
        <w:tblStyle w:val="10"/>
        <w:tblpPr w:leftFromText="180" w:rightFromText="180" w:vertAnchor="text" w:horzAnchor="margin" w:tblpXSpec="center" w:tblpY="86"/>
        <w:tblW w:w="10392"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515"/>
        <w:gridCol w:w="868"/>
        <w:gridCol w:w="5"/>
        <w:gridCol w:w="1032"/>
        <w:gridCol w:w="1305"/>
        <w:gridCol w:w="1229"/>
        <w:gridCol w:w="1058"/>
        <w:gridCol w:w="11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exact"/>
        </w:trPr>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211" w:right="0" w:hanging="211"/>
              <w:jc w:val="center"/>
              <w:rPr>
                <w:rStyle w:val="12"/>
                <w:rFonts w:hint="eastAsia" w:ascii="宋体" w:hAnsi="宋体" w:eastAsia="宋体" w:cs="宋体"/>
                <w:b/>
                <w:bCs/>
                <w:kern w:val="2"/>
                <w:sz w:val="21"/>
                <w:szCs w:val="21"/>
                <w:lang w:val="en-US" w:eastAsia="zh-CN" w:bidi="ar-SA"/>
              </w:rPr>
            </w:pPr>
            <w:r>
              <w:rPr>
                <w:rStyle w:val="12"/>
                <w:rFonts w:hint="eastAsia" w:hAnsi="宋体" w:cs="宋体"/>
                <w:b/>
                <w:bCs/>
                <w:kern w:val="2"/>
                <w:sz w:val="21"/>
                <w:szCs w:val="21"/>
                <w:lang w:val="en-US" w:eastAsia="zh-CN" w:bidi="ar-SA"/>
              </w:rPr>
              <w:t>权利人</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hAnsi="宋体" w:cs="宋体"/>
                <w:b/>
                <w:kern w:val="2"/>
                <w:sz w:val="21"/>
                <w:szCs w:val="21"/>
                <w:lang w:val="en-US" w:eastAsia="zh-CN" w:bidi="ar-SA"/>
              </w:rPr>
              <w:t>不动产权证号</w:t>
            </w:r>
          </w:p>
        </w:tc>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结构</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层次/</w:t>
            </w:r>
          </w:p>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层数</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建筑面积（M</w:t>
            </w:r>
            <w:r>
              <w:rPr>
                <w:rStyle w:val="12"/>
                <w:rFonts w:hint="eastAsia" w:ascii="宋体" w:hAnsi="宋体" w:eastAsia="宋体" w:cs="宋体"/>
                <w:b/>
                <w:bCs/>
                <w:kern w:val="2"/>
                <w:sz w:val="21"/>
                <w:szCs w:val="21"/>
                <w:vertAlign w:val="superscript"/>
                <w:lang w:val="en-US" w:eastAsia="zh-CN" w:bidi="ar-SA"/>
              </w:rPr>
              <w:t>2</w:t>
            </w:r>
            <w:r>
              <w:rPr>
                <w:rStyle w:val="12"/>
                <w:rFonts w:hint="eastAsia" w:ascii="宋体" w:hAnsi="宋体" w:eastAsia="宋体" w:cs="宋体"/>
                <w:b/>
                <w:bCs/>
                <w:kern w:val="2"/>
                <w:sz w:val="21"/>
                <w:szCs w:val="21"/>
                <w:lang w:val="en-US" w:eastAsia="zh-CN" w:bidi="ar-SA"/>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hAnsi="宋体" w:cs="宋体"/>
                <w:b/>
                <w:bCs/>
                <w:kern w:val="2"/>
                <w:sz w:val="21"/>
                <w:szCs w:val="21"/>
                <w:lang w:val="en-US" w:eastAsia="zh-CN" w:bidi="ar-SA"/>
              </w:rPr>
              <w:t>规划</w:t>
            </w:r>
            <w:r>
              <w:rPr>
                <w:rStyle w:val="12"/>
                <w:rFonts w:hint="eastAsia" w:ascii="宋体" w:hAnsi="宋体" w:eastAsia="宋体" w:cs="宋体"/>
                <w:b/>
                <w:bCs/>
                <w:kern w:val="2"/>
                <w:sz w:val="21"/>
                <w:szCs w:val="21"/>
                <w:lang w:val="en-US" w:eastAsia="zh-CN" w:bidi="ar-SA"/>
              </w:rPr>
              <w:t>用途</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单价</w:t>
            </w:r>
          </w:p>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b/>
                <w:bCs/>
                <w:kern w:val="2"/>
                <w:sz w:val="21"/>
                <w:szCs w:val="21"/>
                <w:lang w:val="en-US" w:eastAsia="zh-CN" w:bidi="ar-SA"/>
              </w:rPr>
            </w:pPr>
            <w:r>
              <w:rPr>
                <w:rStyle w:val="12"/>
                <w:rFonts w:hint="eastAsia" w:ascii="宋体" w:hAnsi="宋体" w:eastAsia="宋体" w:cs="宋体"/>
                <w:b/>
                <w:bCs/>
                <w:kern w:val="2"/>
                <w:sz w:val="21"/>
                <w:szCs w:val="21"/>
                <w:lang w:val="en-US" w:eastAsia="zh-CN" w:bidi="ar-SA"/>
              </w:rPr>
              <w:t>（元/M</w:t>
            </w:r>
            <w:r>
              <w:rPr>
                <w:rStyle w:val="12"/>
                <w:rFonts w:hint="eastAsia" w:ascii="宋体" w:hAnsi="宋体" w:eastAsia="宋体" w:cs="宋体"/>
                <w:b/>
                <w:bCs/>
                <w:kern w:val="2"/>
                <w:sz w:val="21"/>
                <w:szCs w:val="21"/>
                <w:vertAlign w:val="superscript"/>
                <w:lang w:val="en-US" w:eastAsia="zh-CN" w:bidi="ar-SA"/>
              </w:rPr>
              <w:t>2</w:t>
            </w:r>
            <w:r>
              <w:rPr>
                <w:rStyle w:val="12"/>
                <w:rFonts w:hint="eastAsia" w:ascii="宋体" w:hAnsi="宋体" w:eastAsia="宋体" w:cs="宋体"/>
                <w:b/>
                <w:bCs/>
                <w:kern w:val="2"/>
                <w:sz w:val="21"/>
                <w:szCs w:val="21"/>
                <w:lang w:val="en-US" w:eastAsia="zh-CN" w:bidi="ar-SA"/>
              </w:rPr>
              <w:t>）</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2"/>
                <w:rFonts w:hint="eastAsia" w:ascii="宋体" w:hAnsi="宋体" w:eastAsia="宋体" w:cs="宋体"/>
                <w:b/>
                <w:bCs/>
                <w:color w:val="000000"/>
                <w:kern w:val="2"/>
                <w:sz w:val="21"/>
                <w:szCs w:val="21"/>
                <w:lang w:val="en-US" w:eastAsia="zh-CN" w:bidi="ar-SA"/>
              </w:rPr>
            </w:pPr>
            <w:r>
              <w:rPr>
                <w:rStyle w:val="12"/>
                <w:rFonts w:hint="eastAsia" w:ascii="宋体" w:hAnsi="宋体" w:eastAsia="宋体" w:cs="宋体"/>
                <w:b/>
                <w:bCs/>
                <w:color w:val="000000"/>
                <w:kern w:val="2"/>
                <w:sz w:val="21"/>
                <w:szCs w:val="21"/>
                <w:lang w:val="en-US" w:eastAsia="zh-CN" w:bidi="ar-SA"/>
              </w:rPr>
              <w:t>市场价值</w:t>
            </w:r>
          </w:p>
          <w:p>
            <w:pPr>
              <w:keepNext w:val="0"/>
              <w:keepLines w:val="0"/>
              <w:widowControl w:val="0"/>
              <w:suppressLineNumbers w:val="0"/>
              <w:bidi w:val="0"/>
              <w:spacing w:before="0" w:beforeAutospacing="0" w:after="0" w:afterAutospacing="0" w:line="240" w:lineRule="exact"/>
              <w:ind w:left="0" w:right="0"/>
              <w:jc w:val="center"/>
              <w:rPr>
                <w:rStyle w:val="12"/>
                <w:rFonts w:hint="eastAsia" w:ascii="宋体" w:hAnsi="宋体" w:eastAsia="宋体" w:cs="宋体"/>
                <w:b/>
                <w:bCs/>
                <w:color w:val="000000"/>
                <w:kern w:val="2"/>
                <w:sz w:val="21"/>
                <w:szCs w:val="21"/>
                <w:lang w:val="en-US" w:eastAsia="zh-CN" w:bidi="ar-SA"/>
              </w:rPr>
            </w:pPr>
            <w:r>
              <w:rPr>
                <w:rStyle w:val="12"/>
                <w:rFonts w:hint="eastAsia" w:ascii="宋体" w:hAnsi="宋体" w:eastAsia="宋体" w:cs="宋体"/>
                <w:b/>
                <w:bCs/>
                <w:color w:val="000000"/>
                <w:kern w:val="2"/>
                <w:sz w:val="21"/>
                <w:szCs w:val="21"/>
                <w:lang w:val="en-US" w:eastAsia="zh-CN" w:bidi="ar-SA"/>
              </w:rPr>
              <w:t>（万元）</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2"/>
                <w:rFonts w:hint="eastAsia" w:ascii="宋体" w:hAnsi="宋体" w:eastAsia="宋体" w:cs="宋体"/>
                <w:b/>
                <w:bCs/>
                <w:color w:val="000000"/>
                <w:kern w:val="2"/>
                <w:sz w:val="21"/>
                <w:szCs w:val="21"/>
                <w:lang w:val="en-US" w:eastAsia="zh-CN" w:bidi="ar-SA"/>
              </w:rPr>
            </w:pPr>
            <w:r>
              <w:rPr>
                <w:rStyle w:val="12"/>
                <w:rFonts w:hint="eastAsia" w:hAnsi="宋体" w:cs="宋体"/>
                <w:b/>
                <w:bCs/>
                <w:color w:val="000000"/>
                <w:kern w:val="2"/>
                <w:sz w:val="21"/>
                <w:szCs w:val="21"/>
                <w:lang w:val="en-US" w:eastAsia="zh-CN" w:bidi="ar-SA"/>
              </w:rPr>
              <w:t>变现价值（万元）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2"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冯志霞</w:t>
            </w:r>
          </w:p>
        </w:tc>
        <w:tc>
          <w:tcPr>
            <w:tcW w:w="15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hAnsi="宋体" w:cs="宋体"/>
                <w:kern w:val="2"/>
                <w:sz w:val="21"/>
                <w:szCs w:val="21"/>
                <w:lang w:val="en-US" w:eastAsia="zh-CN" w:bidi="ar-SA"/>
              </w:rPr>
            </w:pPr>
            <w:r>
              <w:rPr>
                <w:rStyle w:val="12"/>
                <w:rFonts w:hint="eastAsia" w:ascii="Times New Roman" w:hAnsi="宋体" w:cs="宋体"/>
                <w:kern w:val="2"/>
                <w:sz w:val="21"/>
                <w:szCs w:val="21"/>
                <w:lang w:val="en-US" w:eastAsia="zh-CN" w:bidi="ar-SA"/>
              </w:rPr>
              <w:t>017609</w:t>
            </w:r>
          </w:p>
        </w:tc>
        <w:tc>
          <w:tcPr>
            <w:tcW w:w="873" w:type="dxa"/>
            <w:gridSpan w:val="2"/>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混合</w:t>
            </w:r>
          </w:p>
        </w:tc>
        <w:tc>
          <w:tcPr>
            <w:tcW w:w="1032"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7/7</w:t>
            </w:r>
          </w:p>
        </w:tc>
        <w:tc>
          <w:tcPr>
            <w:tcW w:w="130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134.21</w:t>
            </w:r>
          </w:p>
        </w:tc>
        <w:tc>
          <w:tcPr>
            <w:tcW w:w="1229" w:type="dxa"/>
            <w:tcBorders>
              <w:top w:val="single" w:color="auto" w:sz="4" w:space="0"/>
              <w:left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住宅</w:t>
            </w:r>
          </w:p>
        </w:tc>
        <w:tc>
          <w:tcPr>
            <w:tcW w:w="1058" w:type="dxa"/>
            <w:tcBorders>
              <w:top w:val="single" w:color="auto" w:sz="4" w:space="0"/>
              <w:left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3580</w:t>
            </w:r>
          </w:p>
        </w:tc>
        <w:tc>
          <w:tcPr>
            <w:tcW w:w="1164"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48.05</w:t>
            </w:r>
          </w:p>
        </w:tc>
        <w:tc>
          <w:tcPr>
            <w:tcW w:w="1164"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default" w:hAnsi="宋体" w:cs="宋体"/>
                <w:kern w:val="2"/>
                <w:sz w:val="21"/>
                <w:szCs w:val="21"/>
                <w:lang w:val="en-US" w:eastAsia="zh-CN" w:bidi="ar-SA"/>
              </w:rPr>
            </w:pPr>
            <w:r>
              <w:rPr>
                <w:rStyle w:val="12"/>
                <w:rFonts w:hint="eastAsia" w:hAnsi="宋体" w:cs="宋体"/>
                <w:kern w:val="2"/>
                <w:sz w:val="21"/>
                <w:szCs w:val="21"/>
                <w:lang w:val="en-US" w:eastAsia="zh-CN" w:bidi="ar-SA"/>
              </w:rPr>
              <w:t>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052"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ascii="宋体" w:hAnsi="宋体" w:eastAsia="宋体" w:cs="宋体"/>
                <w:kern w:val="2"/>
                <w:sz w:val="21"/>
                <w:szCs w:val="21"/>
                <w:lang w:val="en-US" w:eastAsia="zh-CN" w:bidi="ar-SA"/>
              </w:rPr>
              <w:t>合 计</w:t>
            </w:r>
          </w:p>
        </w:tc>
        <w:tc>
          <w:tcPr>
            <w:tcW w:w="1515"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868"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1037" w:type="dxa"/>
            <w:gridSpan w:val="2"/>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134.21</w:t>
            </w:r>
          </w:p>
        </w:tc>
        <w:tc>
          <w:tcPr>
            <w:tcW w:w="1229"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1058"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2"/>
                <w:rFonts w:hint="eastAsia" w:ascii="宋体" w:hAnsi="宋体" w:eastAsia="宋体" w:cs="宋体"/>
                <w:kern w:val="2"/>
                <w:sz w:val="21"/>
                <w:szCs w:val="21"/>
                <w:lang w:val="en-US" w:eastAsia="zh-CN" w:bidi="ar-SA"/>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wordWrap w:val="0"/>
              <w:bidi w:val="0"/>
              <w:spacing w:before="0" w:beforeAutospacing="0" w:after="0" w:afterAutospacing="0"/>
              <w:ind w:left="0" w:right="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48.05</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wordWrap w:val="0"/>
              <w:bidi w:val="0"/>
              <w:spacing w:before="0" w:beforeAutospacing="0" w:after="0" w:afterAutospacing="0"/>
              <w:ind w:left="0" w:right="0"/>
              <w:jc w:val="center"/>
              <w:rPr>
                <w:rStyle w:val="12"/>
                <w:rFonts w:hint="default" w:hAnsi="宋体" w:cs="宋体"/>
                <w:kern w:val="2"/>
                <w:sz w:val="21"/>
                <w:szCs w:val="21"/>
                <w:lang w:val="en-US" w:eastAsia="zh-CN" w:bidi="ar-SA"/>
              </w:rPr>
            </w:pPr>
            <w:r>
              <w:rPr>
                <w:rStyle w:val="12"/>
                <w:rFonts w:hint="eastAsia" w:hAnsi="宋体" w:cs="宋体"/>
                <w:kern w:val="2"/>
                <w:sz w:val="21"/>
                <w:szCs w:val="21"/>
                <w:lang w:val="en-US" w:eastAsia="zh-CN" w:bidi="ar-SA"/>
              </w:rPr>
              <w:t>43.24</w:t>
            </w:r>
          </w:p>
        </w:tc>
      </w:tr>
    </w:tbl>
    <w:p>
      <w:pPr>
        <w:bidi w:val="0"/>
        <w:spacing w:line="540" w:lineRule="exact"/>
        <w:rPr>
          <w:rFonts w:hint="eastAsia" w:ascii="宋体" w:hAnsi="宋体" w:eastAsia="宋体" w:cs="宋体"/>
          <w:sz w:val="28"/>
          <w:szCs w:val="28"/>
        </w:rPr>
      </w:pPr>
      <w:r>
        <w:rPr>
          <w:rFonts w:hint="eastAsia" w:ascii="宋体" w:hAnsi="宋体" w:eastAsia="宋体" w:cs="宋体"/>
          <w:b/>
          <w:sz w:val="28"/>
          <w:szCs w:val="28"/>
        </w:rPr>
        <w:t>特别提示</w:t>
      </w:r>
      <w:r>
        <w:rPr>
          <w:rFonts w:hint="eastAsia" w:ascii="宋体" w:hAnsi="宋体" w:eastAsia="宋体" w:cs="宋体"/>
          <w:sz w:val="28"/>
          <w:szCs w:val="28"/>
        </w:rPr>
        <w:t>：</w:t>
      </w:r>
    </w:p>
    <w:p>
      <w:pPr>
        <w:bidi w:val="0"/>
        <w:spacing w:line="580" w:lineRule="exact"/>
        <w:ind w:firstLine="565"/>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hAnsi="宋体"/>
          <w:color w:val="auto"/>
          <w:sz w:val="28"/>
          <w:szCs w:val="28"/>
          <w:highlight w:val="none"/>
        </w:rPr>
        <w:t>本报告是</w:t>
      </w:r>
      <w:r>
        <w:rPr>
          <w:rFonts w:hint="eastAsia" w:hAnsi="宋体"/>
          <w:color w:val="auto"/>
          <w:spacing w:val="4"/>
          <w:sz w:val="28"/>
          <w:szCs w:val="28"/>
          <w:highlight w:val="none"/>
        </w:rPr>
        <w:t>为人民法院确定财产处置参考价提供参考依据而出具的司法评估报告，报告使用有效期为</w:t>
      </w:r>
      <w:r>
        <w:rPr>
          <w:rFonts w:hint="eastAsia" w:hAnsi="宋体"/>
          <w:color w:val="auto"/>
          <w:spacing w:val="4"/>
          <w:sz w:val="28"/>
          <w:szCs w:val="28"/>
          <w:highlight w:val="none"/>
          <w:lang w:eastAsia="zh-CN"/>
        </w:rPr>
        <w:t>壹</w:t>
      </w:r>
      <w:r>
        <w:rPr>
          <w:rFonts w:hint="eastAsia" w:hAnsi="宋体"/>
          <w:color w:val="auto"/>
          <w:spacing w:val="4"/>
          <w:sz w:val="28"/>
          <w:szCs w:val="28"/>
          <w:highlight w:val="none"/>
        </w:rPr>
        <w:t>年</w:t>
      </w:r>
      <w:r>
        <w:rPr>
          <w:rFonts w:hint="eastAsia" w:hAnsi="宋体"/>
          <w:color w:val="auto"/>
          <w:spacing w:val="4"/>
          <w:sz w:val="28"/>
          <w:szCs w:val="28"/>
          <w:highlight w:val="none"/>
          <w:lang w:eastAsia="zh-CN"/>
        </w:rPr>
        <w:t>。</w:t>
      </w:r>
      <w:r>
        <w:rPr>
          <w:rFonts w:hint="eastAsia" w:ascii="宋体" w:hAnsi="宋体" w:eastAsia="宋体" w:cs="宋体"/>
          <w:color w:val="000000"/>
          <w:sz w:val="28"/>
          <w:szCs w:val="28"/>
        </w:rPr>
        <w:t>若改变评估目的及使用条件需向本机构咨询后做出必要的修正甚至重新评估。</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562"/>
        <w:textAlignment w:val="auto"/>
        <w:rPr>
          <w:rFonts w:hint="eastAsia" w:ascii="宋体" w:hAnsi="宋体" w:eastAsia="宋体" w:cs="宋体"/>
          <w:color w:val="000000"/>
          <w:sz w:val="28"/>
          <w:szCs w:val="28"/>
        </w:rPr>
      </w:pPr>
      <w:r>
        <w:rPr>
          <w:rFonts w:hint="eastAsia" w:hAnsi="宋体"/>
          <w:color w:val="auto"/>
          <w:sz w:val="28"/>
          <w:szCs w:val="28"/>
          <w:highlight w:val="none"/>
        </w:rPr>
        <w:t>本报告</w:t>
      </w:r>
      <w:r>
        <w:rPr>
          <w:rFonts w:hint="eastAsia" w:hAnsi="宋体"/>
          <w:color w:val="auto"/>
          <w:spacing w:val="4"/>
          <w:sz w:val="28"/>
          <w:szCs w:val="28"/>
          <w:highlight w:val="none"/>
        </w:rPr>
        <w:t>评估结果不是估价对象处置可实现的成交价格，也不应当被视为对估价对象处置成交价格的保证。</w:t>
      </w:r>
    </w:p>
    <w:p>
      <w:pPr>
        <w:numPr>
          <w:ilvl w:val="0"/>
          <w:numId w:val="2"/>
        </w:numPr>
        <w:spacing w:line="580" w:lineRule="exact"/>
        <w:ind w:firstLine="562"/>
        <w:rPr>
          <w:rFonts w:hint="eastAsia" w:hAnsi="宋体"/>
          <w:color w:val="000000"/>
          <w:sz w:val="28"/>
          <w:szCs w:val="28"/>
        </w:rPr>
      </w:pPr>
      <w:r>
        <w:rPr>
          <w:rFonts w:hint="eastAsia" w:hAnsi="宋体"/>
          <w:color w:val="auto"/>
          <w:spacing w:val="4"/>
          <w:sz w:val="28"/>
          <w:szCs w:val="28"/>
          <w:highlight w:val="none"/>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r>
        <w:rPr>
          <w:rFonts w:hint="eastAsia" w:ascii="宋体" w:hAnsi="宋体" w:eastAsia="宋体" w:cs="宋体"/>
          <w:color w:val="000000"/>
          <w:sz w:val="28"/>
          <w:szCs w:val="28"/>
        </w:rPr>
        <w:t>现实房地产交易中，一般难以达到理想的公开市场条件，致使实际交易价格往往与估价结果不够一致。</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hint="eastAsia" w:ascii="宋体" w:hAnsi="宋体" w:eastAsia="宋体" w:cs="宋体"/>
          <w:color w:val="auto"/>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在</w:t>
      </w:r>
      <w:r>
        <w:rPr>
          <w:rFonts w:hint="eastAsia" w:ascii="宋体" w:hAnsi="宋体" w:eastAsia="宋体" w:cs="宋体"/>
          <w:color w:val="000000"/>
          <w:sz w:val="28"/>
          <w:szCs w:val="28"/>
          <w:lang w:eastAsia="zh-CN"/>
        </w:rPr>
        <w:t>房地产</w:t>
      </w:r>
      <w:r>
        <w:rPr>
          <w:rFonts w:hint="eastAsia" w:ascii="宋体" w:hAnsi="宋体" w:eastAsia="宋体" w:cs="宋体"/>
          <w:color w:val="000000"/>
          <w:sz w:val="28"/>
          <w:szCs w:val="28"/>
        </w:rPr>
        <w:t>拍卖与产权办理过程中，所涉及的买卖双方所需承担的一切税、费</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包括但不限于所得税、增值税、土地增值税、契税、过户手续</w:t>
      </w:r>
      <w:r>
        <w:rPr>
          <w:rFonts w:hint="eastAsia" w:ascii="宋体" w:hAnsi="宋体" w:eastAsia="宋体" w:cs="宋体"/>
          <w:color w:val="000000"/>
          <w:sz w:val="28"/>
          <w:szCs w:val="28"/>
          <w:lang w:val="en-US" w:eastAsia="zh-CN"/>
        </w:rPr>
        <w:t>等</w:t>
      </w:r>
      <w:r>
        <w:rPr>
          <w:rFonts w:hint="eastAsia" w:ascii="宋体" w:hAnsi="宋体" w:eastAsia="宋体" w:cs="宋体"/>
          <w:color w:val="000000"/>
          <w:sz w:val="28"/>
          <w:szCs w:val="28"/>
        </w:rPr>
        <w:t>房产土地交易中规定缴纳的各种费用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，以及有可能存在的物业费、水费、电费等</w:t>
      </w:r>
      <w:r>
        <w:rPr>
          <w:rFonts w:hint="eastAsia" w:ascii="宋体" w:hAnsi="宋体" w:eastAsia="宋体" w:cs="宋体"/>
          <w:color w:val="auto"/>
          <w:sz w:val="28"/>
          <w:szCs w:val="28"/>
        </w:rPr>
        <w:t>欠费均由</w:t>
      </w:r>
      <w:r>
        <w:rPr>
          <w:rFonts w:hint="eastAsia" w:ascii="宋体" w:hAnsi="宋体" w:eastAsia="宋体" w:cs="宋体"/>
          <w:color w:val="auto"/>
          <w:sz w:val="28"/>
          <w:szCs w:val="28"/>
          <w:lang w:val="en-US" w:eastAsia="zh-CN"/>
        </w:rPr>
        <w:t>转让人和买受人双方根据相关规定各自</w:t>
      </w:r>
      <w:r>
        <w:rPr>
          <w:rFonts w:hint="eastAsia" w:ascii="宋体" w:hAnsi="宋体" w:eastAsia="宋体" w:cs="宋体"/>
          <w:color w:val="auto"/>
          <w:sz w:val="28"/>
          <w:szCs w:val="28"/>
        </w:rPr>
        <w:t>承担，具体费用请拍卖竞买人于拍卖前至相关单位自行查询，与评估机构无关。</w:t>
      </w:r>
    </w:p>
    <w:p>
      <w:pPr>
        <w:numPr>
          <w:ilvl w:val="0"/>
          <w:numId w:val="0"/>
        </w:numPr>
        <w:spacing w:line="5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lang w:val="en-US" w:eastAsia="zh-CN"/>
        </w:rPr>
        <w:t>5、估价对象为涉执待处置</w:t>
      </w:r>
      <w:r>
        <w:rPr>
          <w:rFonts w:hint="eastAsia" w:hAnsi="宋体" w:cs="宋体"/>
          <w:color w:val="auto"/>
          <w:sz w:val="28"/>
          <w:szCs w:val="28"/>
          <w:lang w:val="en-US" w:eastAsia="zh-CN"/>
        </w:rPr>
        <w:t>资产</w:t>
      </w:r>
      <w:r>
        <w:rPr>
          <w:rFonts w:hint="eastAsia" w:ascii="宋体" w:hAnsi="宋体" w:eastAsia="宋体" w:cs="宋体"/>
          <w:color w:val="auto"/>
          <w:sz w:val="28"/>
          <w:szCs w:val="28"/>
          <w:lang w:val="en-US" w:eastAsia="zh-CN"/>
        </w:rPr>
        <w:t>，本次评估已关注并恰当考虑评估对象被迫转让对评估结果的不利影响，未考虑处置后被执行人不自愿配合交付因素对评估结果的不利影响。</w:t>
      </w:r>
    </w:p>
    <w:p>
      <w:pPr>
        <w:numPr>
          <w:ilvl w:val="0"/>
          <w:numId w:val="0"/>
        </w:numPr>
        <w:spacing w:line="580" w:lineRule="exact"/>
        <w:ind w:firstLine="560" w:firstLineChars="200"/>
        <w:rPr>
          <w:rFonts w:hint="eastAsia" w:ascii="宋体" w:hAnsi="宋体" w:eastAsia="宋体" w:cs="宋体"/>
          <w:color w:val="000000"/>
          <w:sz w:val="28"/>
          <w:szCs w:val="28"/>
          <w:lang w:eastAsia="zh-CN"/>
        </w:rPr>
      </w:pPr>
      <w:r>
        <w:rPr>
          <w:rFonts w:hint="eastAsia" w:hAnsi="宋体" w:cs="宋体"/>
          <w:color w:val="000000"/>
          <w:sz w:val="28"/>
          <w:szCs w:val="28"/>
          <w:lang w:val="en-US" w:eastAsia="zh-CN"/>
        </w:rPr>
        <w:t>6、</w:t>
      </w:r>
      <w:r>
        <w:rPr>
          <w:rFonts w:hint="eastAsia" w:ascii="宋体" w:hAnsi="宋体" w:eastAsia="宋体" w:cs="宋体"/>
          <w:color w:val="000000"/>
          <w:sz w:val="28"/>
          <w:szCs w:val="28"/>
        </w:rPr>
        <w:t>报告使用人在使用本报告之前须对报告全文认真阅读，以免使用不当造成损失</w:t>
      </w:r>
      <w:r>
        <w:rPr>
          <w:rFonts w:hint="eastAsia" w:hAnsi="宋体" w:cs="宋体"/>
          <w:color w:val="000000"/>
          <w:sz w:val="28"/>
          <w:szCs w:val="28"/>
          <w:lang w:eastAsia="zh-CN"/>
        </w:rPr>
        <w:t>。</w:t>
      </w:r>
      <w:r>
        <w:rPr>
          <w:rFonts w:hint="eastAsia" w:ascii="宋体" w:hAnsi="宋体" w:eastAsia="宋体" w:cs="宋体"/>
          <w:color w:val="000000"/>
          <w:sz w:val="28"/>
          <w:szCs w:val="28"/>
        </w:rPr>
        <w:t>估价的详细结果及有关说明，请见《估价结果报告》等</w:t>
      </w:r>
      <w:r>
        <w:rPr>
          <w:rFonts w:hint="eastAsia" w:ascii="宋体" w:hAnsi="宋体" w:eastAsia="宋体" w:cs="宋体"/>
          <w:color w:val="000000"/>
          <w:sz w:val="28"/>
          <w:szCs w:val="28"/>
          <w:lang w:eastAsia="zh-CN"/>
        </w:rPr>
        <w:t>。</w:t>
      </w:r>
    </w:p>
    <w:p>
      <w:pPr>
        <w:bidi w:val="0"/>
        <w:spacing w:line="600" w:lineRule="exact"/>
        <w:rPr>
          <w:rFonts w:hint="eastAsia" w:ascii="宋体" w:hAnsi="宋体" w:eastAsia="宋体" w:cs="宋体"/>
          <w:sz w:val="28"/>
          <w:szCs w:val="28"/>
        </w:rPr>
      </w:pPr>
    </w:p>
    <w:p>
      <w:pPr>
        <w:bidi w:val="0"/>
        <w:spacing w:line="60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bidi w:val="0"/>
        <w:spacing w:line="600" w:lineRule="exact"/>
        <w:rPr>
          <w:rFonts w:hint="eastAsia" w:ascii="宋体" w:hAnsi="宋体" w:eastAsia="宋体" w:cs="宋体"/>
          <w:sz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rPr>
        <w:t xml:space="preserve"> </w:t>
      </w:r>
    </w:p>
    <w:p>
      <w:pPr>
        <w:bidi w:val="0"/>
        <w:spacing w:line="600" w:lineRule="exact"/>
        <w:rPr>
          <w:rFonts w:hint="eastAsia" w:ascii="宋体" w:hAnsi="宋体" w:eastAsia="宋体" w:cs="宋体"/>
          <w:sz w:val="28"/>
        </w:rPr>
      </w:pPr>
      <w:r>
        <w:rPr>
          <w:rFonts w:hint="eastAsia" w:ascii="宋体" w:hAnsi="宋体" w:eastAsia="宋体" w:cs="宋体"/>
          <w:sz w:val="28"/>
        </w:rPr>
        <w:t xml:space="preserve">                                   </w:t>
      </w:r>
      <w:r>
        <w:rPr>
          <w:rFonts w:hint="eastAsia" w:hAnsi="宋体" w:cs="宋体"/>
          <w:sz w:val="28"/>
          <w:lang w:val="en-US" w:eastAsia="zh-CN"/>
        </w:rPr>
        <w:t xml:space="preserve">       </w:t>
      </w:r>
      <w:r>
        <w:rPr>
          <w:rFonts w:hint="eastAsia" w:hAnsi="宋体" w:cs="宋体"/>
          <w:sz w:val="28"/>
          <w:lang w:eastAsia="zh-CN"/>
        </w:rPr>
        <w:t>2022年08月01日</w:t>
      </w: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tabs>
          <w:tab w:val="left" w:pos="2775"/>
        </w:tabs>
        <w:bidi w:val="0"/>
        <w:ind w:left="221" w:hanging="221"/>
        <w:jc w:val="center"/>
        <w:rPr>
          <w:rFonts w:hint="eastAsia" w:ascii="宋体" w:hAnsi="宋体" w:eastAsia="宋体" w:cs="宋体"/>
          <w:kern w:val="0"/>
          <w:sz w:val="44"/>
          <w:szCs w:val="44"/>
        </w:rPr>
      </w:pPr>
      <w:r>
        <w:rPr>
          <w:rFonts w:hint="eastAsia" w:ascii="宋体" w:hAnsi="宋体" w:eastAsia="宋体" w:cs="宋体"/>
          <w:b/>
          <w:bCs/>
          <w:kern w:val="0"/>
          <w:sz w:val="44"/>
          <w:szCs w:val="44"/>
        </w:rPr>
        <w:br w:type="page"/>
      </w:r>
      <w:r>
        <w:rPr>
          <w:rFonts w:hint="eastAsia" w:ascii="宋体" w:hAnsi="宋体" w:eastAsia="宋体" w:cs="宋体"/>
          <w:b/>
          <w:bCs/>
          <w:kern w:val="0"/>
          <w:sz w:val="44"/>
          <w:szCs w:val="44"/>
        </w:rPr>
        <w:t>目     录</w:t>
      </w:r>
    </w:p>
    <w:p>
      <w:pPr>
        <w:widowControl/>
        <w:bidi w:val="0"/>
        <w:spacing w:line="6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一、</w:t>
      </w:r>
      <w:r>
        <w:rPr>
          <w:rFonts w:hint="eastAsia" w:hAnsi="宋体" w:cs="宋体"/>
          <w:b/>
          <w:bCs/>
          <w:kern w:val="0"/>
          <w:sz w:val="24"/>
          <w:szCs w:val="24"/>
          <w:lang w:eastAsia="zh-CN"/>
        </w:rPr>
        <w:t>注册房地产</w:t>
      </w:r>
      <w:r>
        <w:rPr>
          <w:rFonts w:hint="eastAsia" w:ascii="宋体" w:hAnsi="宋体" w:eastAsia="宋体" w:cs="宋体"/>
          <w:b/>
          <w:bCs/>
          <w:kern w:val="0"/>
          <w:sz w:val="24"/>
          <w:szCs w:val="24"/>
        </w:rPr>
        <w:t xml:space="preserve">估价师声明 </w:t>
      </w:r>
      <w:r>
        <w:rPr>
          <w:rFonts w:hint="eastAsia" w:ascii="宋体" w:hAnsi="宋体" w:eastAsia="宋体" w:cs="宋体"/>
          <w:kern w:val="0"/>
          <w:sz w:val="24"/>
          <w:szCs w:val="24"/>
        </w:rPr>
        <w:t>………………………………………………………1</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w:t>
      </w:r>
      <w:r>
        <w:rPr>
          <w:rFonts w:hint="eastAsia" w:ascii="宋体" w:hAnsi="宋体" w:eastAsia="宋体" w:cs="宋体"/>
          <w:b/>
          <w:bCs/>
          <w:kern w:val="0"/>
          <w:sz w:val="24"/>
          <w:szCs w:val="24"/>
        </w:rPr>
        <w:t xml:space="preserve">估价假设和限制条件 </w:t>
      </w:r>
      <w:r>
        <w:rPr>
          <w:rFonts w:hint="eastAsia" w:ascii="宋体" w:hAnsi="宋体" w:eastAsia="宋体" w:cs="宋体"/>
          <w:kern w:val="0"/>
          <w:sz w:val="24"/>
          <w:szCs w:val="24"/>
        </w:rPr>
        <w:t>…………………………………………………………</w:t>
      </w:r>
      <w:r>
        <w:rPr>
          <w:rFonts w:hint="eastAsia" w:hAnsi="宋体" w:cs="宋体"/>
          <w:kern w:val="0"/>
          <w:sz w:val="24"/>
          <w:szCs w:val="24"/>
          <w:lang w:val="en-US" w:eastAsia="zh-CN"/>
        </w:rPr>
        <w:t>3</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w:t>
      </w:r>
      <w:r>
        <w:rPr>
          <w:rFonts w:hint="eastAsia" w:ascii="宋体" w:hAnsi="宋体" w:eastAsia="宋体" w:cs="宋体"/>
          <w:b/>
          <w:bCs/>
          <w:kern w:val="0"/>
          <w:sz w:val="24"/>
          <w:szCs w:val="24"/>
        </w:rPr>
        <w:t xml:space="preserve">估价结果报告 </w:t>
      </w:r>
      <w:r>
        <w:rPr>
          <w:rFonts w:hint="eastAsia" w:ascii="宋体" w:hAnsi="宋体" w:eastAsia="宋体" w:cs="宋体"/>
          <w:kern w:val="0"/>
          <w:sz w:val="24"/>
          <w:szCs w:val="24"/>
        </w:rPr>
        <w:t>…………………………………………………………………</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（一）估价委托人 …………………………………………………………………</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（二）房地产估价机构 ……………………………………………………………</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（三）估价目的 ……………………………………………………………………</w:t>
      </w:r>
      <w:r>
        <w:rPr>
          <w:rFonts w:hint="eastAsia" w:hAnsi="宋体" w:cs="宋体"/>
          <w:kern w:val="0"/>
          <w:sz w:val="24"/>
          <w:szCs w:val="24"/>
          <w:lang w:val="en-US" w:eastAsia="zh-CN"/>
        </w:rPr>
        <w:t>7</w:t>
      </w:r>
    </w:p>
    <w:p>
      <w:pPr>
        <w:widowControl/>
        <w:tabs>
          <w:tab w:val="left" w:pos="1680"/>
        </w:tabs>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（四）估价对象 ……………………………………………………………………</w:t>
      </w:r>
      <w:r>
        <w:rPr>
          <w:rFonts w:hint="eastAsia" w:hAnsi="宋体" w:cs="宋体"/>
          <w:kern w:val="0"/>
          <w:sz w:val="24"/>
          <w:szCs w:val="24"/>
          <w:lang w:val="en-US" w:eastAsia="zh-CN"/>
        </w:rPr>
        <w:t>7</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（五）价值时点 ……………………………………………………………………</w:t>
      </w:r>
      <w:r>
        <w:rPr>
          <w:rFonts w:hint="eastAsia" w:hAnsi="宋体" w:cs="宋体"/>
          <w:kern w:val="0"/>
          <w:sz w:val="24"/>
          <w:szCs w:val="24"/>
          <w:lang w:val="en-US" w:eastAsia="zh-CN"/>
        </w:rPr>
        <w:t>10</w:t>
      </w:r>
    </w:p>
    <w:p>
      <w:pPr>
        <w:widowControl/>
        <w:bidi w:val="0"/>
        <w:spacing w:line="620" w:lineRule="exact"/>
        <w:ind w:left="1"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（六）价值类型 ……………………………………………………………………</w:t>
      </w:r>
      <w:r>
        <w:rPr>
          <w:rFonts w:hint="eastAsia" w:hAnsi="宋体" w:cs="宋体"/>
          <w:kern w:val="0"/>
          <w:sz w:val="24"/>
          <w:szCs w:val="24"/>
          <w:lang w:val="en-US" w:eastAsia="zh-CN"/>
        </w:rPr>
        <w:t>10</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（七）估价原则 ……………………………………………………………………</w:t>
      </w:r>
      <w:r>
        <w:rPr>
          <w:rFonts w:hint="eastAsia" w:hAnsi="宋体" w:cs="宋体"/>
          <w:kern w:val="0"/>
          <w:sz w:val="24"/>
          <w:szCs w:val="24"/>
          <w:lang w:val="en-US" w:eastAsia="zh-CN"/>
        </w:rPr>
        <w:t>10</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（八）估价依据 ……………………………………………………………………1</w:t>
      </w:r>
      <w:r>
        <w:rPr>
          <w:rFonts w:hint="eastAsia" w:hAnsi="宋体" w:cs="宋体"/>
          <w:kern w:val="0"/>
          <w:sz w:val="24"/>
          <w:szCs w:val="24"/>
          <w:lang w:val="en-US" w:eastAsia="zh-CN"/>
        </w:rPr>
        <w:t>2</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（九）估价方法 ……………………………………………………………………1</w:t>
      </w:r>
      <w:r>
        <w:rPr>
          <w:rFonts w:hint="eastAsia" w:hAnsi="宋体" w:cs="宋体"/>
          <w:kern w:val="0"/>
          <w:sz w:val="24"/>
          <w:szCs w:val="24"/>
          <w:lang w:val="en-US" w:eastAsia="zh-CN"/>
        </w:rPr>
        <w:t>4</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（十）估价结果 ……………………………………………………………………1</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（十一）注册房地产估价师 ………………………………………………………1</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（十二）实地查勘期 ………………………………………………………………1</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（十三）估价作业期 ………………………………………………………………1</w:t>
      </w:r>
      <w:r>
        <w:rPr>
          <w:rFonts w:hint="eastAsia" w:hAnsi="宋体" w:cs="宋体"/>
          <w:kern w:val="0"/>
          <w:sz w:val="24"/>
          <w:szCs w:val="24"/>
          <w:lang w:val="en-US" w:eastAsia="zh-CN"/>
        </w:rPr>
        <w:t>6</w:t>
      </w:r>
    </w:p>
    <w:p>
      <w:pPr>
        <w:widowControl/>
        <w:bidi w:val="0"/>
        <w:spacing w:line="620" w:lineRule="exact"/>
        <w:rPr>
          <w:rFonts w:hint="default" w:ascii="宋体" w:hAnsi="宋体" w:eastAsia="宋体" w:cs="宋体"/>
          <w:sz w:val="24"/>
          <w:szCs w:val="24"/>
          <w:lang w:val="en-US" w:eastAsia="zh-CN"/>
        </w:rPr>
        <w:sectPr>
          <w:headerReference r:id="rId3" w:type="default"/>
          <w:footerReference r:id="rId4" w:type="default"/>
          <w:footerReference r:id="rId5" w:type="even"/>
          <w:pgSz w:w="11906" w:h="16838"/>
          <w:pgMar w:top="1701" w:right="1106" w:bottom="1134" w:left="1106" w:header="907" w:footer="737" w:gutter="510"/>
          <w:pgNumType w:fmt="numberInDash" w:start="0"/>
          <w:cols w:space="720" w:num="1"/>
          <w:titlePg/>
          <w:docGrid w:type="lines" w:linePitch="312" w:charSpace="0"/>
        </w:sectPr>
      </w:pPr>
      <w:r>
        <w:rPr>
          <w:rFonts w:hint="eastAsia" w:ascii="宋体" w:hAnsi="宋体" w:eastAsia="宋体" w:cs="宋体"/>
          <w:kern w:val="0"/>
          <w:sz w:val="24"/>
          <w:szCs w:val="24"/>
        </w:rPr>
        <w:t>四、</w:t>
      </w:r>
      <w:r>
        <w:rPr>
          <w:rFonts w:hint="eastAsia" w:ascii="宋体" w:hAnsi="宋体" w:eastAsia="宋体" w:cs="宋体"/>
          <w:b/>
          <w:bCs/>
          <w:kern w:val="0"/>
          <w:sz w:val="24"/>
          <w:szCs w:val="24"/>
        </w:rPr>
        <w:t xml:space="preserve">附件   </w:t>
      </w:r>
      <w:r>
        <w:rPr>
          <w:rFonts w:hint="eastAsia" w:ascii="宋体" w:hAnsi="宋体" w:eastAsia="宋体" w:cs="宋体"/>
          <w:kern w:val="0"/>
          <w:sz w:val="24"/>
          <w:szCs w:val="24"/>
        </w:rPr>
        <w:t>……………………………………………………………………………</w:t>
      </w:r>
      <w:r>
        <w:rPr>
          <w:rFonts w:hint="eastAsia" w:hAnsi="宋体" w:cs="宋体"/>
          <w:kern w:val="0"/>
          <w:sz w:val="24"/>
          <w:szCs w:val="24"/>
          <w:lang w:val="en-US" w:eastAsia="zh-CN"/>
        </w:rPr>
        <w:t>17</w:t>
      </w:r>
    </w:p>
    <w:p>
      <w:pPr>
        <w:widowControl/>
        <w:spacing w:line="600" w:lineRule="atLeast"/>
        <w:ind w:firstLine="1767" w:firstLineChars="400"/>
        <w:rPr>
          <w:rFonts w:hint="eastAsia" w:ascii="宋体" w:hAnsi="宋体" w:eastAsia="宋体" w:cs="宋体"/>
          <w:b/>
          <w:kern w:val="0"/>
          <w:sz w:val="44"/>
          <w:szCs w:val="44"/>
        </w:rPr>
      </w:pPr>
      <w:r>
        <w:rPr>
          <w:rFonts w:hint="eastAsia" w:ascii="宋体" w:hAnsi="宋体" w:eastAsia="宋体" w:cs="宋体"/>
          <w:b/>
          <w:bCs/>
          <w:kern w:val="0"/>
          <w:sz w:val="44"/>
          <w:szCs w:val="44"/>
        </w:rPr>
        <w:t>一、</w:t>
      </w:r>
      <w:r>
        <w:rPr>
          <w:rFonts w:hint="eastAsia" w:hAnsi="宋体" w:cs="宋体"/>
          <w:b/>
          <w:bCs/>
          <w:kern w:val="0"/>
          <w:sz w:val="44"/>
          <w:szCs w:val="44"/>
          <w:lang w:eastAsia="zh-CN"/>
        </w:rPr>
        <w:t>注册房地产</w:t>
      </w:r>
      <w:r>
        <w:rPr>
          <w:rFonts w:hint="eastAsia" w:ascii="宋体" w:hAnsi="宋体" w:eastAsia="宋体" w:cs="宋体"/>
          <w:b/>
          <w:bCs/>
          <w:kern w:val="0"/>
          <w:sz w:val="44"/>
          <w:szCs w:val="44"/>
        </w:rPr>
        <w:t>估价师声明</w:t>
      </w:r>
    </w:p>
    <w:p>
      <w:pPr>
        <w:widowControl/>
        <w:bidi w:val="0"/>
        <w:spacing w:line="560" w:lineRule="exact"/>
        <w:rPr>
          <w:rFonts w:hint="eastAsia" w:ascii="宋体" w:hAnsi="宋体" w:eastAsia="宋体" w:cs="宋体"/>
          <w:b/>
          <w:bCs/>
          <w:kern w:val="0"/>
          <w:sz w:val="32"/>
          <w:szCs w:val="28"/>
        </w:rPr>
      </w:pPr>
      <w:r>
        <w:rPr>
          <w:rFonts w:hint="eastAsia" w:ascii="宋体" w:hAnsi="宋体" w:eastAsia="宋体" w:cs="宋体"/>
          <w:b/>
          <w:sz w:val="28"/>
          <w:szCs w:val="28"/>
        </w:rPr>
        <w:t>我们根据自己的专业知识和职业道德，在此郑重声明</w:t>
      </w:r>
      <w:r>
        <w:rPr>
          <w:rFonts w:hint="eastAsia" w:ascii="宋体" w:hAnsi="宋体" w:eastAsia="宋体" w:cs="宋体"/>
          <w:b/>
          <w:bCs/>
          <w:kern w:val="0"/>
          <w:sz w:val="32"/>
          <w:szCs w:val="28"/>
        </w:rPr>
        <w:t>：</w:t>
      </w:r>
    </w:p>
    <w:p>
      <w:pPr>
        <w:widowControl/>
        <w:bidi w:val="0"/>
        <w:spacing w:line="560" w:lineRule="exact"/>
        <w:ind w:firstLine="560" w:firstLineChars="200"/>
        <w:rPr>
          <w:rFonts w:hint="eastAsia" w:ascii="宋体" w:hAnsi="宋体" w:eastAsia="宋体" w:cs="宋体"/>
          <w:kern w:val="0"/>
          <w:sz w:val="28"/>
          <w:szCs w:val="21"/>
          <w:lang w:eastAsia="zh-CN"/>
        </w:rPr>
      </w:pPr>
      <w:r>
        <w:rPr>
          <w:rFonts w:hint="eastAsia" w:ascii="宋体" w:hAnsi="宋体" w:eastAsia="宋体" w:cs="宋体"/>
          <w:kern w:val="0"/>
          <w:sz w:val="28"/>
          <w:szCs w:val="28"/>
        </w:rPr>
        <w:t>(一)注册房地产估价师在估价报告中对事实的说明是真实和准确的，没有虚假记载、误导性陈述和重大遗漏</w:t>
      </w:r>
      <w:r>
        <w:rPr>
          <w:rFonts w:hint="eastAsia" w:hAnsi="宋体"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lang w:eastAsia="zh-CN"/>
        </w:rPr>
      </w:pPr>
      <w:r>
        <w:rPr>
          <w:rFonts w:hint="eastAsia" w:ascii="宋体" w:hAnsi="宋体" w:eastAsia="宋体" w:cs="宋体"/>
          <w:kern w:val="0"/>
          <w:sz w:val="28"/>
          <w:szCs w:val="28"/>
        </w:rPr>
        <w:t xml:space="preserve">    (二)估价报告中的分析、意见和结论是注册房地产估价师独立、客观、公正的专业分析、意见和结论，但受到本估价报告中已说明的估价假设和限制条件的限制</w:t>
      </w:r>
      <w:r>
        <w:rPr>
          <w:rFonts w:hint="eastAsia" w:hAnsi="宋体"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(三)</w:t>
      </w:r>
      <w:r>
        <w:rPr>
          <w:rFonts w:hint="eastAsia" w:ascii="宋体" w:hAnsi="宋体"/>
          <w:bCs/>
          <w:sz w:val="28"/>
          <w:szCs w:val="28"/>
        </w:rPr>
        <w:t>注册房地产估价师</w:t>
      </w:r>
      <w:r>
        <w:rPr>
          <w:rFonts w:hint="eastAsia" w:ascii="宋体" w:hAnsi="宋体" w:eastAsia="宋体" w:cs="宋体"/>
          <w:kern w:val="0"/>
          <w:sz w:val="28"/>
          <w:szCs w:val="28"/>
        </w:rPr>
        <w:t>与估价报告中的估价对象没有现实或潜在的利益，与估价委托人及估价利害关系人没有利害关系，也对估价对象、估价委托人及估价利害关系人没有偏见</w:t>
      </w:r>
      <w:r>
        <w:rPr>
          <w:rFonts w:hint="eastAsia" w:hAnsi="宋体" w:cs="宋体"/>
          <w:kern w:val="0"/>
          <w:sz w:val="28"/>
          <w:szCs w:val="28"/>
          <w:lang w:eastAsia="zh-CN"/>
        </w:rPr>
        <w:t>。</w:t>
      </w:r>
      <w:r>
        <w:rPr>
          <w:rFonts w:hint="eastAsia" w:ascii="宋体" w:hAnsi="宋体" w:eastAsia="宋体" w:cs="宋体"/>
          <w:kern w:val="0"/>
          <w:sz w:val="28"/>
          <w:szCs w:val="21"/>
        </w:rPr>
        <w:t xml:space="preserve"> </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1"/>
          <w:lang w:eastAsia="zh-CN"/>
        </w:rPr>
      </w:pPr>
      <w:r>
        <w:rPr>
          <w:rFonts w:hint="eastAsia" w:ascii="宋体" w:hAnsi="宋体" w:eastAsia="宋体" w:cs="宋体"/>
          <w:kern w:val="0"/>
          <w:sz w:val="28"/>
          <w:szCs w:val="28"/>
        </w:rPr>
        <w:t>(四)</w:t>
      </w:r>
      <w:r>
        <w:rPr>
          <w:rFonts w:hint="eastAsia" w:ascii="宋体" w:hAnsi="宋体"/>
          <w:bCs/>
          <w:sz w:val="28"/>
          <w:szCs w:val="28"/>
        </w:rPr>
        <w:t>注册房地产估价师</w:t>
      </w:r>
      <w:r>
        <w:rPr>
          <w:rFonts w:hint="eastAsia" w:ascii="宋体" w:hAnsi="宋体" w:eastAsia="宋体" w:cs="宋体"/>
          <w:kern w:val="0"/>
          <w:sz w:val="28"/>
          <w:szCs w:val="28"/>
        </w:rPr>
        <w:t>依照中华人民共和国主席令第四十六号《资产评估法》、中华人民共和国国家标准GB/T 50291-2015《房地产估价规范》、GB/T 50899-2013《房地产估价基本术语标准》、《河南省房地产估价技术指引》和《涉执房地产处置司法评估指导意见(试行)》(中房学(2021)37号)等进行估价工作，撰写本估价报告</w:t>
      </w:r>
      <w:r>
        <w:rPr>
          <w:rFonts w:hint="eastAsia" w:hAnsi="宋体" w:cs="宋体"/>
          <w:kern w:val="0"/>
          <w:sz w:val="28"/>
          <w:szCs w:val="28"/>
          <w:lang w:eastAsia="zh-CN"/>
        </w:rPr>
        <w:t>。</w:t>
      </w:r>
    </w:p>
    <w:p>
      <w:pPr>
        <w:bidi w:val="0"/>
        <w:spacing w:line="580" w:lineRule="exact"/>
        <w:ind w:firstLine="560" w:firstLineChars="200"/>
        <w:rPr>
          <w:rFonts w:hint="eastAsia" w:hAnsi="宋体" w:cs="宋体"/>
          <w:sz w:val="28"/>
          <w:szCs w:val="28"/>
          <w:lang w:val="en-US" w:eastAsia="zh-CN"/>
        </w:rPr>
      </w:pPr>
      <w:r>
        <w:rPr>
          <w:rFonts w:hint="eastAsia" w:ascii="宋体" w:hAnsi="宋体" w:eastAsia="宋体" w:cs="宋体"/>
          <w:sz w:val="28"/>
          <w:szCs w:val="28"/>
          <w:lang w:val="en-US" w:eastAsia="zh-CN"/>
        </w:rPr>
        <w:t>(五)注册房地产估价师已对估价报告中的估价对象进行了实地查勘，但仅限于对估价对象外观和使用状况。因委托人提供资料有限，注册房地产估价师不承担对估价对象建筑结构、质量进行调查的责任和其它被遮盖、未暴露及难于接触到的部分进行检视的责任。查勘日期：</w:t>
      </w:r>
      <w:r>
        <w:rPr>
          <w:rFonts w:hint="eastAsia" w:hAnsi="宋体" w:cs="宋体"/>
          <w:sz w:val="28"/>
          <w:szCs w:val="28"/>
          <w:lang w:val="en-US" w:eastAsia="zh-CN"/>
        </w:rPr>
        <w:t>2022年07月07日</w:t>
      </w:r>
      <w:r>
        <w:rPr>
          <w:rFonts w:hint="eastAsia" w:ascii="宋体" w:hAnsi="宋体" w:eastAsia="宋体" w:cs="宋体"/>
          <w:sz w:val="28"/>
          <w:szCs w:val="28"/>
          <w:lang w:val="en-US" w:eastAsia="zh-CN"/>
        </w:rPr>
        <w:t>；部分当事人及法院工作人员一同查勘，在场人员已在查勘记录上签字</w:t>
      </w:r>
      <w:r>
        <w:rPr>
          <w:rFonts w:hint="eastAsia" w:hAnsi="宋体" w:cs="宋体"/>
          <w:sz w:val="28"/>
          <w:szCs w:val="28"/>
          <w:lang w:val="en-US" w:eastAsia="zh-CN"/>
        </w:rPr>
        <w:t>。</w:t>
      </w:r>
    </w:p>
    <w:p>
      <w:pPr>
        <w:bidi w:val="0"/>
        <w:spacing w:line="580" w:lineRule="exact"/>
        <w:ind w:left="0" w:leftChars="0" w:firstLine="420" w:firstLineChars="150"/>
        <w:rPr>
          <w:rFonts w:hint="eastAsia" w:ascii="宋体" w:hAnsi="宋体" w:eastAsia="宋体" w:cs="宋体"/>
          <w:sz w:val="28"/>
          <w:szCs w:val="28"/>
          <w:lang w:val="en-US" w:eastAsia="zh-CN"/>
        </w:rPr>
      </w:pPr>
      <w:r>
        <w:rPr>
          <w:rFonts w:hint="eastAsia" w:hAnsi="宋体" w:cs="宋体"/>
          <w:sz w:val="28"/>
          <w:szCs w:val="28"/>
          <w:lang w:val="en-US" w:eastAsia="zh-CN"/>
        </w:rPr>
        <w:t>（六）</w:t>
      </w:r>
      <w:r>
        <w:rPr>
          <w:rFonts w:hint="eastAsia" w:ascii="宋体" w:hAnsi="宋体" w:eastAsia="宋体" w:cs="宋体"/>
          <w:sz w:val="28"/>
          <w:szCs w:val="28"/>
          <w:lang w:val="en-US" w:eastAsia="zh-CN"/>
        </w:rPr>
        <w:t>本估价报告结果基于注册房地产估价师的专业判断，没有人对估价报告提供重要专业帮助</w:t>
      </w:r>
      <w:r>
        <w:rPr>
          <w:rFonts w:hint="eastAsia" w:hAnsi="宋体" w:cs="宋体"/>
          <w:sz w:val="28"/>
          <w:szCs w:val="28"/>
          <w:lang w:val="en-US" w:eastAsia="zh-CN"/>
        </w:rPr>
        <w:t>。</w:t>
      </w:r>
    </w:p>
    <w:p>
      <w:pPr>
        <w:tabs>
          <w:tab w:val="left" w:pos="735"/>
        </w:tabs>
        <w:overflowPunct w:val="0"/>
        <w:spacing w:afterLines="50" w:line="312" w:lineRule="auto"/>
        <w:jc w:val="center"/>
        <w:rPr>
          <w:rFonts w:hint="eastAsia" w:ascii="宋体" w:hAnsi="宋体" w:eastAsia="宋体" w:cs="宋体"/>
          <w:sz w:val="28"/>
          <w:szCs w:val="28"/>
        </w:rPr>
      </w:pPr>
      <w:r>
        <w:rPr>
          <w:rFonts w:hint="eastAsia" w:ascii="宋体" w:hAnsi="宋体" w:eastAsia="宋体" w:cs="宋体"/>
          <w:sz w:val="28"/>
          <w:szCs w:val="28"/>
        </w:rPr>
        <w:t>参加估价的注册房地产估价师</w:t>
      </w:r>
    </w:p>
    <w:p>
      <w:pPr>
        <w:rPr>
          <w:rFonts w:hint="eastAsia"/>
        </w:rPr>
      </w:pPr>
      <w:r>
        <w:rPr>
          <w:rFonts w:hint="eastAsia" w:ascii="宋体" w:hAnsi="宋体" w:eastAsia="宋体" w:cs="宋体"/>
          <w:sz w:val="28"/>
          <w:szCs w:val="28"/>
        </w:rPr>
        <w:t xml:space="preserve">    </w:t>
      </w:r>
    </w:p>
    <w:p>
      <w:pPr>
        <w:bidi w:val="0"/>
        <w:spacing w:line="560" w:lineRule="exact"/>
        <w:ind w:firstLine="883"/>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二、估价假设和限制条件</w:t>
      </w:r>
    </w:p>
    <w:p>
      <w:pPr>
        <w:bidi w:val="0"/>
        <w:spacing w:line="560" w:lineRule="exact"/>
        <w:ind w:firstLine="422"/>
        <w:rPr>
          <w:rFonts w:hint="eastAsia" w:ascii="宋体" w:hAnsi="宋体" w:eastAsia="宋体" w:cs="宋体"/>
          <w:b/>
          <w:sz w:val="28"/>
          <w:szCs w:val="28"/>
        </w:rPr>
      </w:pPr>
      <w:r>
        <w:rPr>
          <w:rFonts w:hint="eastAsia" w:ascii="宋体" w:hAnsi="宋体" w:eastAsia="宋体" w:cs="宋体"/>
          <w:b/>
          <w:bCs/>
          <w:kern w:val="0"/>
          <w:sz w:val="28"/>
          <w:szCs w:val="28"/>
        </w:rPr>
        <w:t>（一）本次估价的估价假设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1、一般假设</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（1）本次估价以委托人提供估价对象的《</w:t>
      </w:r>
      <w:r>
        <w:rPr>
          <w:rFonts w:hint="eastAsia" w:hAnsi="宋体" w:cs="宋体"/>
          <w:sz w:val="28"/>
          <w:szCs w:val="28"/>
          <w:lang w:eastAsia="zh-CN"/>
        </w:rPr>
        <w:t>不动产权登记记载表</w:t>
      </w:r>
      <w:r>
        <w:rPr>
          <w:rFonts w:hint="eastAsia" w:ascii="宋体" w:hAnsi="宋体" w:eastAsia="宋体" w:cs="宋体"/>
          <w:sz w:val="28"/>
          <w:szCs w:val="28"/>
        </w:rPr>
        <w:t>》复印件等材料为依据，在无理由怀疑其合法性、真实性、准确性和完整性的情况下，我们未向政府有关部门进行核实</w:t>
      </w:r>
      <w:r>
        <w:rPr>
          <w:rFonts w:hint="eastAsia" w:hAnsi="宋体" w:cs="宋体"/>
          <w:sz w:val="28"/>
          <w:szCs w:val="28"/>
          <w:lang w:eastAsia="zh-CN"/>
        </w:rPr>
        <w:t>，</w:t>
      </w:r>
      <w:r>
        <w:rPr>
          <w:rFonts w:hint="eastAsia" w:ascii="宋体" w:hAnsi="宋体" w:eastAsia="宋体" w:cs="宋体"/>
          <w:sz w:val="28"/>
          <w:szCs w:val="28"/>
        </w:rPr>
        <w:t>假定估价委托人提供的资料合法、真实、准确、完整。</w:t>
      </w:r>
    </w:p>
    <w:p>
      <w:pPr>
        <w:bidi w:val="0"/>
        <w:spacing w:line="560" w:lineRule="exact"/>
        <w:ind w:firstLine="411"/>
        <w:rPr>
          <w:rFonts w:hint="eastAsia" w:ascii="宋体" w:hAnsi="宋体" w:eastAsia="宋体" w:cs="宋体"/>
          <w:bCs/>
          <w:sz w:val="28"/>
          <w:szCs w:val="28"/>
        </w:rPr>
      </w:pPr>
      <w:r>
        <w:rPr>
          <w:rFonts w:hint="eastAsia" w:ascii="宋体" w:hAnsi="宋体" w:eastAsia="宋体" w:cs="宋体"/>
          <w:sz w:val="28"/>
          <w:szCs w:val="28"/>
        </w:rPr>
        <w:t>（2）注册房地产估价师已对房屋安全、环境污染等影响估价对象价值的重大因素给予了关注，在无理由怀疑估价对象存在安全隐患且无相应的专业机构进行鉴定、检测的情况下，</w:t>
      </w:r>
      <w:r>
        <w:rPr>
          <w:rFonts w:hint="eastAsia" w:ascii="宋体" w:hAnsi="宋体" w:eastAsia="宋体" w:cs="宋体"/>
          <w:bCs/>
          <w:sz w:val="28"/>
          <w:szCs w:val="28"/>
        </w:rPr>
        <w:t>本次估价假定估价对象能正常安全使用。</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（3）注册房地产估价师未对估价对象建筑面积进行专业测量，经现场查勘观察，估价对象房屋建筑面积与《</w:t>
      </w:r>
      <w:r>
        <w:rPr>
          <w:rFonts w:hint="eastAsia" w:hAnsi="宋体" w:cs="宋体"/>
          <w:sz w:val="28"/>
          <w:szCs w:val="28"/>
          <w:lang w:eastAsia="zh-CN"/>
        </w:rPr>
        <w:t>不动产权登记记载表</w:t>
      </w:r>
      <w:r>
        <w:rPr>
          <w:rFonts w:hint="eastAsia" w:ascii="宋体" w:hAnsi="宋体" w:eastAsia="宋体" w:cs="宋体"/>
          <w:sz w:val="28"/>
          <w:szCs w:val="28"/>
        </w:rPr>
        <w:t>》复印件记载建筑面积大体相当。</w:t>
      </w:r>
    </w:p>
    <w:p>
      <w:pPr>
        <w:bidi w:val="0"/>
        <w:spacing w:line="560" w:lineRule="exact"/>
        <w:ind w:firstLine="411"/>
        <w:rPr>
          <w:rFonts w:hint="eastAsia" w:ascii="宋体" w:hAnsi="宋体" w:eastAsia="宋体" w:cs="宋体"/>
          <w:sz w:val="28"/>
          <w:szCs w:val="28"/>
        </w:rPr>
      </w:pPr>
      <w:r>
        <w:rPr>
          <w:rFonts w:hint="eastAsia" w:hAnsi="宋体"/>
          <w:color w:val="000000"/>
          <w:sz w:val="28"/>
          <w:lang w:eastAsia="zh-CN"/>
        </w:rPr>
        <w:t>（</w:t>
      </w:r>
      <w:r>
        <w:rPr>
          <w:rFonts w:hint="eastAsia" w:hAnsi="宋体"/>
          <w:color w:val="000000"/>
          <w:sz w:val="28"/>
          <w:lang w:val="en-US" w:eastAsia="zh-CN"/>
        </w:rPr>
        <w:t>4</w:t>
      </w:r>
      <w:r>
        <w:rPr>
          <w:rFonts w:hint="eastAsia" w:hAnsi="宋体"/>
          <w:color w:val="000000"/>
          <w:sz w:val="28"/>
          <w:lang w:eastAsia="zh-CN"/>
        </w:rPr>
        <w:t>）</w:t>
      </w:r>
      <w:r>
        <w:rPr>
          <w:rFonts w:hint="eastAsia" w:ascii="宋体" w:hAnsi="宋体"/>
          <w:color w:val="000000"/>
          <w:sz w:val="28"/>
        </w:rPr>
        <w:t>买卖双方的交易目的都是追逐自身最大经济利益，在适当的期间完成谈判和交易，洽谈交易期间物业价值将保持稳定。</w:t>
      </w:r>
    </w:p>
    <w:p>
      <w:pPr>
        <w:keepNext w:val="0"/>
        <w:keepLines w:val="0"/>
        <w:pageBreakBefore w:val="0"/>
        <w:kinsoku/>
        <w:wordWrap/>
        <w:overflowPunct/>
        <w:topLinePunct w:val="0"/>
        <w:autoSpaceDE/>
        <w:autoSpaceDN/>
        <w:bidi w:val="0"/>
        <w:adjustRightInd/>
        <w:snapToGrid/>
        <w:spacing w:line="600" w:lineRule="atLeast"/>
        <w:ind w:firstLine="411" w:firstLineChars="147"/>
        <w:textAlignment w:val="auto"/>
        <w:rPr>
          <w:rFonts w:hint="eastAsia" w:ascii="宋体" w:hAnsi="宋体" w:eastAsia="宋体" w:cs="宋体"/>
          <w:bCs/>
          <w:sz w:val="28"/>
          <w:szCs w:val="28"/>
        </w:rPr>
      </w:pPr>
      <w:r>
        <w:rPr>
          <w:rFonts w:hint="eastAsia" w:ascii="宋体" w:hAnsi="宋体" w:eastAsia="宋体" w:cs="宋体"/>
          <w:kern w:val="0"/>
          <w:sz w:val="28"/>
          <w:szCs w:val="28"/>
        </w:rPr>
        <w:t>（</w:t>
      </w:r>
      <w:r>
        <w:rPr>
          <w:rFonts w:hint="eastAsia" w:hAnsi="宋体" w:cs="宋体"/>
          <w:kern w:val="0"/>
          <w:sz w:val="28"/>
          <w:szCs w:val="28"/>
          <w:lang w:val="en-US" w:eastAsia="zh-CN"/>
        </w:rPr>
        <w:t>5</w:t>
      </w:r>
      <w:r>
        <w:rPr>
          <w:rFonts w:hint="eastAsia" w:ascii="宋体" w:hAnsi="宋体" w:eastAsia="宋体" w:cs="宋体"/>
          <w:kern w:val="0"/>
          <w:sz w:val="28"/>
          <w:szCs w:val="28"/>
        </w:rPr>
        <w:t>）估价对象在价值时点的房地产市场为公开、平等、自愿的交易市场，</w:t>
      </w:r>
      <w:r>
        <w:rPr>
          <w:rFonts w:hint="eastAsia" w:ascii="宋体" w:hAnsi="宋体" w:eastAsia="宋体" w:cs="宋体"/>
          <w:bCs/>
          <w:sz w:val="28"/>
          <w:szCs w:val="28"/>
        </w:rPr>
        <w:t>即能满足以下条件：</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1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①</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交易双方自愿地进行交易；</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2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②</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交易双方处于利己动机进行交易；</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3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③</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交易双方精明、谨慎行事，并了解交易对象、知晓市场行情；</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4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④</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交易双方有较充裕的时间进行交易；</w:t>
      </w:r>
    </w:p>
    <w:p>
      <w:pPr>
        <w:keepNext w:val="0"/>
        <w:keepLines w:val="0"/>
        <w:pageBreakBefore w:val="0"/>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5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⑤</w:t>
      </w:r>
      <w:r>
        <w:rPr>
          <w:rFonts w:hint="eastAsia" w:ascii="宋体" w:hAnsi="宋体" w:eastAsia="宋体" w:cs="宋体"/>
          <w:bCs/>
          <w:sz w:val="28"/>
          <w:szCs w:val="28"/>
        </w:rPr>
        <w:fldChar w:fldCharType="end"/>
      </w:r>
      <w:r>
        <w:rPr>
          <w:rFonts w:hint="eastAsia" w:ascii="宋体" w:hAnsi="宋体" w:eastAsia="宋体" w:cs="宋体"/>
          <w:bCs/>
          <w:sz w:val="28"/>
          <w:szCs w:val="28"/>
        </w:rPr>
        <w:t>不存在买者因特殊兴趣而给予附加出价。</w:t>
      </w:r>
    </w:p>
    <w:p>
      <w:pPr>
        <w:numPr>
          <w:ilvl w:val="0"/>
          <w:numId w:val="0"/>
        </w:numPr>
        <w:bidi w:val="0"/>
        <w:spacing w:line="560" w:lineRule="exact"/>
        <w:ind w:left="0" w:leftChars="0" w:firstLine="198" w:firstLineChars="71"/>
        <w:rPr>
          <w:rFonts w:hint="eastAsia" w:ascii="宋体" w:hAnsi="宋体" w:eastAsia="宋体" w:cs="宋体"/>
          <w:kern w:val="0"/>
          <w:sz w:val="28"/>
          <w:szCs w:val="28"/>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本次评估法院未明确存在欠缴税金及相关费用，故本次评估假定估价对象不存在欠缴税金及相关费用。</w:t>
      </w:r>
    </w:p>
    <w:p>
      <w:pPr>
        <w:numPr>
          <w:ilvl w:val="0"/>
          <w:numId w:val="0"/>
        </w:numPr>
        <w:bidi w:val="0"/>
        <w:spacing w:line="560" w:lineRule="exact"/>
        <w:ind w:firstLine="280" w:firstLineChars="100"/>
        <w:rPr>
          <w:rFonts w:hint="eastAsia" w:ascii="宋体" w:hAnsi="宋体"/>
          <w:sz w:val="28"/>
          <w:szCs w:val="28"/>
          <w:lang w:val="en-US" w:eastAsia="zh-CN"/>
        </w:rPr>
      </w:pPr>
      <w:r>
        <w:rPr>
          <w:rFonts w:hint="eastAsia" w:hAnsi="宋体"/>
          <w:sz w:val="28"/>
          <w:szCs w:val="28"/>
          <w:lang w:eastAsia="zh-CN"/>
        </w:rPr>
        <w:t>（</w:t>
      </w:r>
      <w:r>
        <w:rPr>
          <w:rFonts w:hint="eastAsia" w:hAnsi="宋体"/>
          <w:sz w:val="28"/>
          <w:szCs w:val="28"/>
          <w:lang w:val="en-US" w:eastAsia="zh-CN"/>
        </w:rPr>
        <w:t>7</w:t>
      </w:r>
      <w:r>
        <w:rPr>
          <w:rFonts w:hint="eastAsia" w:hAnsi="宋体"/>
          <w:sz w:val="28"/>
          <w:szCs w:val="28"/>
          <w:lang w:eastAsia="zh-CN"/>
        </w:rPr>
        <w:t>）</w:t>
      </w:r>
      <w:r>
        <w:rPr>
          <w:rFonts w:hint="eastAsia" w:ascii="宋体" w:hAnsi="宋体"/>
          <w:sz w:val="28"/>
          <w:szCs w:val="28"/>
          <w:lang w:eastAsia="zh-CN"/>
        </w:rPr>
        <w:t>估价对象应享有公共部位的通行权及水电</w:t>
      </w:r>
      <w:r>
        <w:rPr>
          <w:rFonts w:hint="eastAsia" w:hAnsi="宋体"/>
          <w:sz w:val="28"/>
          <w:szCs w:val="28"/>
          <w:lang w:eastAsia="zh-CN"/>
        </w:rPr>
        <w:t>气</w:t>
      </w:r>
      <w:r>
        <w:rPr>
          <w:rFonts w:hint="eastAsia" w:ascii="宋体" w:hAnsi="宋体"/>
          <w:sz w:val="28"/>
          <w:szCs w:val="28"/>
          <w:lang w:eastAsia="zh-CN"/>
        </w:rPr>
        <w:t>等共用设施的使用权</w:t>
      </w:r>
      <w:r>
        <w:rPr>
          <w:rFonts w:hint="eastAsia" w:ascii="宋体" w:hAnsi="宋体"/>
          <w:sz w:val="28"/>
          <w:szCs w:val="28"/>
          <w:lang w:val="en-US" w:eastAsia="zh-CN"/>
        </w:rPr>
        <w:t>。</w:t>
      </w:r>
    </w:p>
    <w:p>
      <w:pPr>
        <w:numPr>
          <w:ilvl w:val="0"/>
          <w:numId w:val="0"/>
        </w:numPr>
        <w:bidi w:val="0"/>
        <w:spacing w:line="560" w:lineRule="exact"/>
        <w:ind w:firstLine="280" w:firstLineChars="100"/>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（8）</w:t>
      </w:r>
      <w:r>
        <w:rPr>
          <w:rFonts w:hint="eastAsia" w:hAnsi="宋体" w:cs="宋体"/>
          <w:kern w:val="0"/>
          <w:sz w:val="28"/>
          <w:szCs w:val="28"/>
          <w:lang w:val="en-US" w:eastAsia="zh-CN"/>
        </w:rPr>
        <w:t>估价</w:t>
      </w:r>
      <w:r>
        <w:rPr>
          <w:rFonts w:hint="eastAsia" w:ascii="宋体" w:hAnsi="宋体" w:eastAsia="宋体" w:cs="宋体"/>
          <w:kern w:val="0"/>
          <w:sz w:val="28"/>
          <w:szCs w:val="28"/>
          <w:lang w:val="en-US" w:eastAsia="zh-CN"/>
        </w:rPr>
        <w:t>委托人未明确</w:t>
      </w:r>
      <w:r>
        <w:rPr>
          <w:rFonts w:hint="eastAsia" w:hAnsi="宋体" w:cs="宋体"/>
          <w:kern w:val="0"/>
          <w:sz w:val="28"/>
          <w:szCs w:val="28"/>
          <w:lang w:val="en-US" w:eastAsia="zh-CN"/>
        </w:rPr>
        <w:t>估价对象</w:t>
      </w:r>
      <w:r>
        <w:rPr>
          <w:rFonts w:hint="eastAsia" w:ascii="宋体" w:hAnsi="宋体" w:eastAsia="宋体" w:cs="宋体"/>
          <w:kern w:val="0"/>
          <w:sz w:val="28"/>
          <w:szCs w:val="28"/>
          <w:lang w:val="en-US" w:eastAsia="zh-CN"/>
        </w:rPr>
        <w:t>存在租赁权、用益物权，注册房地产估价</w:t>
      </w:r>
      <w:r>
        <w:rPr>
          <w:rFonts w:hint="eastAsia" w:ascii="宋体" w:hAnsi="宋体" w:cs="宋体"/>
          <w:kern w:val="0"/>
          <w:sz w:val="28"/>
          <w:szCs w:val="28"/>
          <w:lang w:val="en-US" w:eastAsia="zh-CN"/>
        </w:rPr>
        <w:t>师</w:t>
      </w:r>
      <w:r>
        <w:rPr>
          <w:rFonts w:hint="eastAsia" w:ascii="宋体" w:hAnsi="宋体" w:eastAsia="宋体" w:cs="宋体"/>
          <w:kern w:val="0"/>
          <w:sz w:val="28"/>
          <w:szCs w:val="28"/>
          <w:lang w:val="en-US" w:eastAsia="zh-CN"/>
        </w:rPr>
        <w:t>经过尽职调查后也未发现、掌握相关情况，本次估价假定评估对象不存在租赁权、用益物权</w:t>
      </w:r>
      <w:r>
        <w:rPr>
          <w:rFonts w:hint="eastAsia" w:ascii="宋体" w:hAnsi="宋体" w:cs="宋体"/>
          <w:kern w:val="0"/>
          <w:sz w:val="28"/>
          <w:szCs w:val="28"/>
          <w:lang w:val="en-US" w:eastAsia="zh-CN"/>
        </w:rPr>
        <w:t>。</w:t>
      </w:r>
    </w:p>
    <w:p>
      <w:pPr>
        <w:numPr>
          <w:ilvl w:val="0"/>
          <w:numId w:val="0"/>
        </w:numPr>
        <w:bidi w:val="0"/>
        <w:spacing w:line="560" w:lineRule="exact"/>
        <w:ind w:firstLine="280" w:firstLineChars="100"/>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（9）</w:t>
      </w:r>
      <w:r>
        <w:rPr>
          <w:rFonts w:hint="eastAsia" w:hAnsi="宋体"/>
          <w:color w:val="auto"/>
          <w:sz w:val="28"/>
          <w:szCs w:val="28"/>
          <w:highlight w:val="none"/>
        </w:rPr>
        <w:t>涉执房地产司法处置</w:t>
      </w:r>
      <w:r>
        <w:rPr>
          <w:rFonts w:hint="eastAsia" w:hAnsi="宋体"/>
          <w:color w:val="auto"/>
          <w:sz w:val="28"/>
          <w:szCs w:val="28"/>
          <w:highlight w:val="none"/>
          <w:lang w:eastAsia="zh-CN"/>
        </w:rPr>
        <w:t>可能</w:t>
      </w:r>
      <w:r>
        <w:rPr>
          <w:rFonts w:hint="eastAsia" w:hAnsi="宋体"/>
          <w:color w:val="auto"/>
          <w:sz w:val="28"/>
          <w:szCs w:val="28"/>
          <w:highlight w:val="none"/>
        </w:rPr>
        <w:t>产生评估费、拍卖费、诉讼费、律师费等费用，</w:t>
      </w:r>
      <w:r>
        <w:rPr>
          <w:rFonts w:hint="eastAsia" w:hAnsi="宋体" w:cs="宋体"/>
          <w:bCs/>
          <w:color w:val="auto"/>
          <w:sz w:val="28"/>
          <w:szCs w:val="28"/>
          <w:highlight w:val="none"/>
        </w:rPr>
        <w:t>人民法院明确</w:t>
      </w:r>
      <w:r>
        <w:rPr>
          <w:rFonts w:hint="eastAsia" w:hAnsi="宋体" w:cs="宋体"/>
          <w:bCs/>
          <w:color w:val="auto"/>
          <w:sz w:val="28"/>
          <w:szCs w:val="28"/>
          <w:highlight w:val="none"/>
          <w:lang w:eastAsia="zh-CN"/>
        </w:rPr>
        <w:t>该项费用从拍卖处置价款中扣除，</w:t>
      </w:r>
      <w:r>
        <w:rPr>
          <w:rFonts w:hint="eastAsia" w:ascii="宋体" w:hAnsi="宋体" w:cs="宋体"/>
          <w:kern w:val="0"/>
          <w:sz w:val="28"/>
          <w:szCs w:val="28"/>
          <w:lang w:val="en-US" w:eastAsia="zh-CN"/>
        </w:rPr>
        <w:t>因此</w:t>
      </w:r>
      <w:r>
        <w:rPr>
          <w:rFonts w:hint="eastAsia" w:ascii="宋体" w:hAnsi="宋体" w:eastAsia="宋体" w:cs="宋体"/>
          <w:kern w:val="0"/>
          <w:sz w:val="28"/>
          <w:szCs w:val="28"/>
          <w:lang w:val="en-US" w:eastAsia="zh-CN"/>
        </w:rPr>
        <w:t>本次评估不考虑评估费、拍卖费、律师费、诉讼费等财产处置费用对价值的影响。</w:t>
      </w:r>
    </w:p>
    <w:p>
      <w:pPr>
        <w:numPr>
          <w:ilvl w:val="0"/>
          <w:numId w:val="0"/>
        </w:numPr>
        <w:bidi w:val="0"/>
        <w:spacing w:line="560" w:lineRule="exact"/>
        <w:ind w:firstLine="280" w:firstLineChars="100"/>
        <w:rPr>
          <w:rFonts w:hint="eastAsia" w:hAnsi="宋体"/>
          <w:color w:val="auto"/>
          <w:sz w:val="28"/>
          <w:szCs w:val="28"/>
          <w:highlight w:val="none"/>
        </w:rPr>
      </w:pPr>
      <w:r>
        <w:rPr>
          <w:rFonts w:hint="eastAsia" w:hAnsi="宋体"/>
          <w:color w:val="auto"/>
          <w:sz w:val="28"/>
          <w:szCs w:val="28"/>
          <w:highlight w:val="none"/>
          <w:lang w:val="en-US" w:eastAsia="zh-CN"/>
        </w:rPr>
        <w:t>（10）</w:t>
      </w:r>
      <w:r>
        <w:rPr>
          <w:rFonts w:hint="eastAsia" w:hAnsi="宋体"/>
          <w:color w:val="auto"/>
          <w:sz w:val="28"/>
          <w:szCs w:val="28"/>
          <w:highlight w:val="none"/>
          <w:lang w:eastAsia="zh-CN"/>
        </w:rPr>
        <w:t>委托人未明确估价对象税费负担方式，本估价结果按照法律法规规定，为转让人和买受人各自负担下的结果。</w:t>
      </w:r>
    </w:p>
    <w:p>
      <w:pPr>
        <w:bidi w:val="0"/>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2、特殊类假设</w:t>
      </w:r>
    </w:p>
    <w:p>
      <w:pPr>
        <w:bidi w:val="0"/>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（1）未定事项假设 </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未定事项假设是指对估价所必需的尚未明确或不够明确的土地用途、容积率等事项所做的合理的、最可能的假定。</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Times New Roman"/>
          <w:kern w:val="2"/>
          <w:sz w:val="28"/>
          <w:szCs w:val="28"/>
          <w:lang w:val="en-US" w:eastAsia="zh-CN"/>
        </w:rPr>
      </w:pPr>
      <w:r>
        <w:rPr>
          <w:rFonts w:hint="eastAsia" w:hAnsi="宋体" w:cs="宋体"/>
          <w:bCs/>
          <w:sz w:val="28"/>
          <w:szCs w:val="28"/>
          <w:lang w:eastAsia="zh-CN"/>
        </w:rPr>
        <w:t>估价委托人</w:t>
      </w:r>
      <w:r>
        <w:rPr>
          <w:rFonts w:hint="eastAsia" w:hAnsi="宋体" w:cs="宋体"/>
          <w:bCs/>
          <w:sz w:val="28"/>
          <w:szCs w:val="28"/>
        </w:rPr>
        <w:t>未提供估价对象房屋所在宗地《国有土地使用证》，</w:t>
      </w:r>
      <w:r>
        <w:rPr>
          <w:rFonts w:hint="eastAsia" w:ascii="宋体" w:hAnsi="宋体" w:eastAsia="宋体" w:cs="Times New Roman"/>
          <w:color w:val="000000"/>
          <w:kern w:val="2"/>
          <w:sz w:val="28"/>
          <w:szCs w:val="28"/>
          <w:lang w:val="en-US" w:eastAsia="zh-CN"/>
        </w:rPr>
        <w:t>经注册房地产估价师实地查勘，</w:t>
      </w:r>
      <w:r>
        <w:rPr>
          <w:rFonts w:hint="eastAsia" w:ascii="宋体" w:hAnsi="宋体" w:eastAsia="宋体" w:cs="Times New Roman"/>
          <w:kern w:val="2"/>
          <w:sz w:val="28"/>
          <w:szCs w:val="28"/>
          <w:lang w:val="en-US" w:eastAsia="zh-CN"/>
        </w:rPr>
        <w:t>估价对象房屋为</w:t>
      </w:r>
      <w:r>
        <w:rPr>
          <w:rFonts w:hint="eastAsia" w:hAnsi="宋体" w:cs="Times New Roman"/>
          <w:kern w:val="2"/>
          <w:sz w:val="28"/>
          <w:szCs w:val="28"/>
          <w:lang w:val="en-US" w:eastAsia="zh-CN"/>
        </w:rPr>
        <w:t>成套</w:t>
      </w:r>
      <w:r>
        <w:rPr>
          <w:rFonts w:hint="eastAsia" w:ascii="宋体" w:hAnsi="宋体" w:cs="Times New Roman"/>
          <w:kern w:val="2"/>
          <w:sz w:val="28"/>
          <w:szCs w:val="28"/>
          <w:lang w:val="en-US" w:eastAsia="zh-CN"/>
        </w:rPr>
        <w:t>住宅</w:t>
      </w:r>
      <w:r>
        <w:rPr>
          <w:rFonts w:hint="eastAsia" w:ascii="宋体" w:hAnsi="宋体" w:eastAsia="宋体" w:cs="Times New Roman"/>
          <w:kern w:val="2"/>
          <w:sz w:val="28"/>
          <w:szCs w:val="28"/>
          <w:lang w:val="en-US" w:eastAsia="zh-CN"/>
        </w:rPr>
        <w:t>，本次估价设定估价对象的土地使用权</w:t>
      </w:r>
      <w:r>
        <w:rPr>
          <w:rFonts w:hint="eastAsia" w:ascii="宋体" w:hAnsi="宋体" w:eastAsia="宋体" w:cs="宋体"/>
          <w:bCs/>
          <w:kern w:val="2"/>
          <w:sz w:val="28"/>
          <w:szCs w:val="28"/>
          <w:lang w:val="en-US" w:eastAsia="zh-CN"/>
        </w:rPr>
        <w:t>权属完备，</w:t>
      </w:r>
      <w:r>
        <w:rPr>
          <w:rFonts w:hint="eastAsia" w:ascii="宋体" w:hAnsi="宋体" w:eastAsia="宋体" w:cs="Times New Roman"/>
          <w:kern w:val="2"/>
          <w:sz w:val="28"/>
          <w:szCs w:val="28"/>
          <w:lang w:val="en-US" w:eastAsia="zh-CN"/>
        </w:rPr>
        <w:t>合法用途与</w:t>
      </w:r>
      <w:r>
        <w:rPr>
          <w:rFonts w:hint="eastAsia" w:ascii="宋体" w:hAnsi="宋体" w:cs="Times New Roman"/>
          <w:kern w:val="2"/>
          <w:sz w:val="28"/>
          <w:szCs w:val="28"/>
          <w:lang w:val="en-US" w:eastAsia="zh-CN"/>
        </w:rPr>
        <w:t>《</w:t>
      </w:r>
      <w:r>
        <w:rPr>
          <w:rFonts w:hint="eastAsia" w:hAnsi="宋体" w:cs="Times New Roman"/>
          <w:kern w:val="2"/>
          <w:sz w:val="28"/>
          <w:szCs w:val="28"/>
          <w:lang w:val="en-US" w:eastAsia="zh-CN"/>
        </w:rPr>
        <w:t>不动产权登记记载表</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复印件记载用途</w:t>
      </w:r>
      <w:r>
        <w:rPr>
          <w:rFonts w:hint="eastAsia" w:ascii="宋体" w:hAnsi="宋体" w:cs="Times New Roman"/>
          <w:kern w:val="2"/>
          <w:sz w:val="28"/>
          <w:szCs w:val="28"/>
          <w:lang w:val="en-US" w:eastAsia="zh-CN"/>
        </w:rPr>
        <w:t>及实勘用途</w:t>
      </w:r>
      <w:r>
        <w:rPr>
          <w:rFonts w:hint="eastAsia" w:ascii="宋体" w:hAnsi="宋体" w:eastAsia="宋体" w:cs="Times New Roman"/>
          <w:kern w:val="2"/>
          <w:sz w:val="28"/>
          <w:szCs w:val="28"/>
          <w:lang w:val="en-US" w:eastAsia="zh-CN"/>
        </w:rPr>
        <w:t>一致，土地使用权面积为应分摊的其占用范围内的土地使用权面积。</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估价对象《</w:t>
      </w:r>
      <w:r>
        <w:rPr>
          <w:rFonts w:hint="eastAsia" w:hAnsi="宋体" w:cs="宋体"/>
          <w:sz w:val="28"/>
          <w:szCs w:val="28"/>
          <w:lang w:eastAsia="zh-CN"/>
        </w:rPr>
        <w:t>不动产权登记记载表</w:t>
      </w:r>
      <w:r>
        <w:rPr>
          <w:rFonts w:hint="eastAsia" w:ascii="宋体" w:hAnsi="宋体" w:eastAsia="宋体" w:cs="宋体"/>
          <w:sz w:val="28"/>
          <w:szCs w:val="28"/>
          <w:lang w:eastAsia="zh-CN"/>
        </w:rPr>
        <w:t>》复印件未记载估价对象房屋的建成年份，本次估价</w:t>
      </w:r>
      <w:r>
        <w:rPr>
          <w:rFonts w:hint="eastAsia" w:hAnsi="宋体" w:cs="宋体"/>
          <w:sz w:val="28"/>
          <w:szCs w:val="28"/>
          <w:lang w:eastAsia="zh-CN"/>
        </w:rPr>
        <w:t>以</w:t>
      </w:r>
      <w:r>
        <w:rPr>
          <w:rFonts w:hint="eastAsia" w:ascii="宋体" w:hAnsi="宋体" w:eastAsia="宋体" w:cs="宋体"/>
          <w:sz w:val="28"/>
          <w:szCs w:val="28"/>
          <w:lang w:eastAsia="zh-CN"/>
        </w:rPr>
        <w:t>实地调查为准。</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（2）背离事实假设</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背离事实假设是指因估价目的的特殊需要、交易条件设定或约定，对估价对象状况所做的与估价对象在价值时点的状况不一致的合理假定。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估价对象为人民法院查封拟处置房地产，</w:t>
      </w:r>
      <w:r>
        <w:rPr>
          <w:rFonts w:hint="eastAsia" w:hAnsi="宋体" w:cs="宋体"/>
          <w:bCs/>
          <w:color w:val="auto"/>
          <w:sz w:val="28"/>
          <w:szCs w:val="28"/>
          <w:highlight w:val="none"/>
        </w:rPr>
        <w:t>根据涉执房地产处置司法评估的需要</w:t>
      </w:r>
      <w:r>
        <w:rPr>
          <w:rFonts w:hint="eastAsia" w:ascii="宋体" w:hAnsi="宋体" w:eastAsia="宋体" w:cs="宋体"/>
          <w:sz w:val="28"/>
          <w:szCs w:val="28"/>
        </w:rPr>
        <w:t>，</w:t>
      </w:r>
      <w:r>
        <w:rPr>
          <w:rFonts w:hint="eastAsia" w:hAnsi="宋体" w:cs="宋体"/>
          <w:sz w:val="28"/>
          <w:szCs w:val="28"/>
          <w:lang w:eastAsia="zh-CN"/>
        </w:rPr>
        <w:t>本次估价</w:t>
      </w:r>
      <w:r>
        <w:rPr>
          <w:rFonts w:hint="eastAsia" w:ascii="宋体" w:hAnsi="宋体" w:eastAsia="宋体" w:cs="宋体"/>
          <w:sz w:val="28"/>
          <w:szCs w:val="28"/>
        </w:rPr>
        <w:t>不考虑</w:t>
      </w:r>
      <w:r>
        <w:rPr>
          <w:rFonts w:hint="eastAsia" w:hAnsi="宋体" w:cs="宋体"/>
          <w:sz w:val="28"/>
          <w:szCs w:val="28"/>
          <w:lang w:eastAsia="zh-CN"/>
        </w:rPr>
        <w:t>评估对象被查封以及原有的担保物权和其他优先受偿权的影响</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58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（3）不相一致假设</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不相一致假设是指在估价对象的</w:t>
      </w:r>
      <w:r>
        <w:rPr>
          <w:rFonts w:hint="eastAsia" w:hAnsi="宋体" w:cs="宋体"/>
          <w:sz w:val="28"/>
          <w:szCs w:val="28"/>
          <w:lang w:eastAsia="zh-CN"/>
        </w:rPr>
        <w:t>实勘用途</w:t>
      </w:r>
      <w:r>
        <w:rPr>
          <w:rFonts w:hint="eastAsia" w:ascii="宋体" w:hAnsi="宋体" w:eastAsia="宋体" w:cs="宋体"/>
          <w:sz w:val="28"/>
          <w:szCs w:val="28"/>
        </w:rPr>
        <w:t>、房屋登记用途、土地登记用途、规划用途等用途之间不一致，或房屋权属证明、土地权属证明等上的</w:t>
      </w:r>
      <w:r>
        <w:rPr>
          <w:rFonts w:hint="eastAsia" w:hAnsi="宋体" w:cs="宋体"/>
          <w:sz w:val="28"/>
          <w:szCs w:val="28"/>
          <w:lang w:eastAsia="zh-CN"/>
        </w:rPr>
        <w:t>权利人</w:t>
      </w:r>
      <w:r>
        <w:rPr>
          <w:rFonts w:hint="eastAsia" w:ascii="宋体" w:hAnsi="宋体" w:eastAsia="宋体" w:cs="宋体"/>
          <w:sz w:val="28"/>
          <w:szCs w:val="28"/>
        </w:rPr>
        <w:t>之间不一致，估价对象的名称不一致等情况下，对估价所依据的用途或</w:t>
      </w:r>
      <w:r>
        <w:rPr>
          <w:rFonts w:hint="eastAsia" w:hAnsi="宋体" w:cs="宋体"/>
          <w:sz w:val="28"/>
          <w:szCs w:val="28"/>
          <w:lang w:eastAsia="zh-CN"/>
        </w:rPr>
        <w:t>权利人</w:t>
      </w:r>
      <w:r>
        <w:rPr>
          <w:rFonts w:hint="eastAsia" w:ascii="宋体" w:hAnsi="宋体" w:eastAsia="宋体" w:cs="宋体"/>
          <w:sz w:val="28"/>
          <w:szCs w:val="28"/>
        </w:rPr>
        <w:t>、名称等的合理假定。</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委托人仅提供估价对象的《</w:t>
      </w:r>
      <w:r>
        <w:rPr>
          <w:rFonts w:hint="eastAsia" w:hAnsi="宋体" w:cs="宋体"/>
          <w:sz w:val="28"/>
          <w:szCs w:val="28"/>
          <w:lang w:eastAsia="zh-CN"/>
        </w:rPr>
        <w:t>不动产权登记记载表</w:t>
      </w:r>
      <w:r>
        <w:rPr>
          <w:rFonts w:hint="eastAsia" w:ascii="宋体" w:hAnsi="宋体" w:eastAsia="宋体" w:cs="宋体"/>
          <w:sz w:val="28"/>
          <w:szCs w:val="28"/>
          <w:lang w:eastAsia="zh-CN"/>
        </w:rPr>
        <w:t>》复印件，本次估价假设土地规划用途与房屋规划用途一致，房屋权利人和土地权利人一致。</w:t>
      </w:r>
    </w:p>
    <w:p>
      <w:pPr>
        <w:keepNext w:val="0"/>
        <w:keepLines w:val="0"/>
        <w:pageBreakBefore w:val="0"/>
        <w:tabs>
          <w:tab w:val="left" w:pos="720"/>
        </w:tabs>
        <w:kinsoku/>
        <w:wordWrap/>
        <w:overflowPunct/>
        <w:topLinePunct w:val="0"/>
        <w:autoSpaceDE/>
        <w:autoSpaceDN/>
        <w:bidi w:val="0"/>
        <w:adjustRightInd/>
        <w:snapToGrid/>
        <w:spacing w:line="58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（4）依据不足假设</w:t>
      </w:r>
    </w:p>
    <w:p>
      <w:pPr>
        <w:keepNext w:val="0"/>
        <w:keepLines w:val="0"/>
        <w:pageBreakBefore w:val="0"/>
        <w:kinsoku/>
        <w:wordWrap/>
        <w:overflowPunct/>
        <w:topLinePunct w:val="0"/>
        <w:autoSpaceDE/>
        <w:autoSpaceDN/>
        <w:bidi w:val="0"/>
        <w:adjustRightInd/>
        <w:snapToGrid/>
        <w:spacing w:line="580" w:lineRule="exact"/>
        <w:ind w:firstLine="700"/>
        <w:textAlignment w:val="auto"/>
        <w:rPr>
          <w:rFonts w:hint="eastAsia" w:ascii="宋体" w:hAnsi="宋体" w:eastAsia="宋体" w:cs="宋体"/>
          <w:sz w:val="28"/>
          <w:szCs w:val="28"/>
        </w:rPr>
      </w:pPr>
      <w:r>
        <w:rPr>
          <w:rFonts w:hint="eastAsia" w:ascii="宋体" w:hAnsi="宋体" w:eastAsia="宋体" w:cs="宋体"/>
          <w:sz w:val="28"/>
          <w:szCs w:val="28"/>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w:t>
      </w:r>
      <w:r>
        <w:rPr>
          <w:rFonts w:hint="eastAsia" w:hAnsi="宋体" w:cs="宋体"/>
          <w:sz w:val="28"/>
          <w:szCs w:val="28"/>
          <w:lang w:eastAsia="zh-CN"/>
        </w:rPr>
        <w:t>委托人</w:t>
      </w:r>
      <w:r>
        <w:rPr>
          <w:rFonts w:hint="eastAsia" w:ascii="宋体" w:hAnsi="宋体" w:eastAsia="宋体" w:cs="宋体"/>
          <w:sz w:val="28"/>
          <w:szCs w:val="28"/>
        </w:rPr>
        <w:t>仅提供了估价对象《</w:t>
      </w:r>
      <w:r>
        <w:rPr>
          <w:rFonts w:hint="eastAsia" w:hAnsi="宋体" w:cs="宋体"/>
          <w:sz w:val="28"/>
          <w:szCs w:val="28"/>
          <w:lang w:eastAsia="zh-CN"/>
        </w:rPr>
        <w:t>不动产权登记记载表</w:t>
      </w:r>
      <w:r>
        <w:rPr>
          <w:rFonts w:hint="eastAsia" w:ascii="宋体" w:hAnsi="宋体" w:eastAsia="宋体" w:cs="宋体"/>
          <w:sz w:val="28"/>
          <w:szCs w:val="28"/>
        </w:rPr>
        <w:t>》复印件，本次估价假定复印件与原证相符，真实、合法、有效。</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 xml:space="preserve">估价对象的具体位置、座落是估价的重要依据，本估价对象的位置由委托人、当事人指认，本次估价以此位置为估价前提。 </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b/>
          <w:bCs/>
          <w:sz w:val="28"/>
          <w:szCs w:val="28"/>
        </w:rPr>
      </w:pPr>
      <w:r>
        <w:rPr>
          <w:rFonts w:hint="eastAsia" w:hAnsi="宋体" w:cs="宋体"/>
          <w:b/>
          <w:bCs/>
          <w:sz w:val="28"/>
          <w:szCs w:val="28"/>
          <w:lang w:eastAsia="zh-CN"/>
        </w:rPr>
        <w:t>（二）</w:t>
      </w:r>
      <w:r>
        <w:rPr>
          <w:rFonts w:hint="eastAsia" w:ascii="宋体" w:hAnsi="宋体" w:eastAsia="宋体" w:cs="宋体"/>
          <w:b/>
          <w:bCs/>
          <w:sz w:val="28"/>
          <w:szCs w:val="28"/>
        </w:rPr>
        <w:t>估价报告使用限制</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1、</w:t>
      </w:r>
      <w:r>
        <w:rPr>
          <w:rFonts w:hint="eastAsia" w:ascii="宋体" w:hAnsi="宋体" w:eastAsia="宋体" w:cs="宋体"/>
          <w:sz w:val="28"/>
          <w:szCs w:val="28"/>
        </w:rPr>
        <w:t>估价结果为房地产市场价值，是房地产经过适当营销后，由熟悉情况、谨慎行事且不受强迫的交易双方，以公平交易方式在价值时点自愿进行交易的金额。</w:t>
      </w:r>
    </w:p>
    <w:p>
      <w:pPr>
        <w:keepNext w:val="0"/>
        <w:keepLines w:val="0"/>
        <w:widowControl w:val="0"/>
        <w:suppressLineNumbers w:val="0"/>
        <w:tabs>
          <w:tab w:val="left" w:pos="720"/>
        </w:tabs>
        <w:bidi w:val="0"/>
        <w:spacing w:before="0" w:beforeAutospacing="0" w:after="0" w:afterAutospacing="0" w:line="580" w:lineRule="exact"/>
        <w:ind w:right="0" w:firstLine="560" w:firstLineChars="200"/>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2、本估价结果仅为人民法院确定财产处置参考价，不应当被视为对评估对象处置成交价格的保证。</w:t>
      </w:r>
    </w:p>
    <w:p>
      <w:pPr>
        <w:keepNext w:val="0"/>
        <w:keepLines w:val="0"/>
        <w:widowControl w:val="0"/>
        <w:suppressLineNumbers w:val="0"/>
        <w:tabs>
          <w:tab w:val="left" w:pos="720"/>
        </w:tabs>
        <w:bidi w:val="0"/>
        <w:spacing w:before="0" w:beforeAutospacing="0" w:after="0" w:afterAutospacing="0" w:line="580" w:lineRule="exact"/>
        <w:ind w:right="0" w:firstLine="560" w:firstLineChars="200"/>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3、本估价报告按照既定目的提供给估价委托人使用，若改变估价目的及使用条件，需向本公司咨询后作必要调整甚至重新估价。</w:t>
      </w:r>
    </w:p>
    <w:p>
      <w:pPr>
        <w:widowControl/>
        <w:spacing w:line="540" w:lineRule="exact"/>
        <w:ind w:firstLine="570"/>
        <w:rPr>
          <w:rFonts w:hAnsi="宋体" w:cs="宋体"/>
          <w:bCs/>
          <w:kern w:val="0"/>
          <w:sz w:val="28"/>
          <w:szCs w:val="28"/>
        </w:rPr>
      </w:pPr>
      <w:r>
        <w:rPr>
          <w:rFonts w:hint="eastAsia" w:ascii="宋体" w:hAnsi="宋体" w:eastAsia="宋体" w:cs="Times New Roman"/>
          <w:color w:val="000000"/>
          <w:kern w:val="2"/>
          <w:sz w:val="28"/>
          <w:szCs w:val="28"/>
          <w:lang w:val="en-US" w:eastAsia="zh-CN"/>
        </w:rPr>
        <w:t>4、估价报告使用期限自估价报告出具之日起为壹年。若报告使用期限内，房地产市场或估价对象状况发生重大变化，</w:t>
      </w:r>
      <w:r>
        <w:rPr>
          <w:rFonts w:hint="eastAsia" w:ascii="宋体" w:hAnsi="宋体" w:eastAsia="宋体" w:cs="Times New Roman"/>
          <w:bCs/>
          <w:kern w:val="2"/>
          <w:sz w:val="28"/>
          <w:szCs w:val="28"/>
          <w:lang w:val="en-US" w:eastAsia="zh-CN"/>
        </w:rPr>
        <w:t>对估价结果产生明显影响时，</w:t>
      </w:r>
      <w:r>
        <w:rPr>
          <w:rFonts w:hint="eastAsia" w:ascii="宋体" w:hAnsi="宋体" w:eastAsia="宋体" w:cs="Times New Roman"/>
          <w:color w:val="000000"/>
          <w:kern w:val="2"/>
          <w:sz w:val="28"/>
          <w:szCs w:val="28"/>
          <w:lang w:val="en-US" w:eastAsia="zh-CN"/>
        </w:rPr>
        <w:t>估价结果需做相应调整或委托房地产估价机构重新估价。</w:t>
      </w:r>
      <w:r>
        <w:rPr>
          <w:rFonts w:hint="eastAsia" w:hAnsi="宋体"/>
          <w:sz w:val="28"/>
          <w:szCs w:val="28"/>
        </w:rPr>
        <w:t>若报告使用人未在估价报告应用的有效期内使用本估价报告，由此造成的不良后果，我公司依法不承担责任。</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5、估价报告分为“估价结果报告”和“估价技术报告”两部分。“估价结果报告”提供给估价委托人，“估价技术报告”根据有关规定由房地产估价机构存档并在特殊需要时提供给有关方使用。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6、</w:t>
      </w:r>
      <w:r>
        <w:rPr>
          <w:rFonts w:hint="eastAsia" w:ascii="宋体" w:hAnsi="宋体" w:eastAsia="宋体" w:cs="宋体"/>
          <w:kern w:val="0"/>
          <w:sz w:val="28"/>
          <w:szCs w:val="28"/>
        </w:rPr>
        <w:t>本估价报告所依据的有关资料由估价委托</w:t>
      </w:r>
      <w:r>
        <w:rPr>
          <w:rFonts w:hint="eastAsia" w:hAnsi="宋体" w:cs="宋体"/>
          <w:kern w:val="0"/>
          <w:sz w:val="28"/>
          <w:szCs w:val="28"/>
          <w:lang w:eastAsia="zh-CN"/>
        </w:rPr>
        <w:t>人</w:t>
      </w:r>
      <w:r>
        <w:rPr>
          <w:rFonts w:hint="eastAsia" w:ascii="宋体" w:hAnsi="宋体" w:eastAsia="宋体" w:cs="宋体"/>
          <w:kern w:val="0"/>
          <w:sz w:val="28"/>
          <w:szCs w:val="28"/>
        </w:rPr>
        <w:t>提供，估价委托</w:t>
      </w:r>
      <w:r>
        <w:rPr>
          <w:rFonts w:hint="eastAsia" w:hAnsi="宋体" w:cs="宋体"/>
          <w:kern w:val="0"/>
          <w:sz w:val="28"/>
          <w:szCs w:val="28"/>
          <w:lang w:eastAsia="zh-CN"/>
        </w:rPr>
        <w:t>人</w:t>
      </w:r>
      <w:r>
        <w:rPr>
          <w:rFonts w:hint="eastAsia" w:ascii="宋体" w:hAnsi="宋体" w:eastAsia="宋体" w:cs="宋体"/>
          <w:kern w:val="0"/>
          <w:sz w:val="28"/>
          <w:szCs w:val="28"/>
        </w:rPr>
        <w:t>对资料的真实性负责。若估价委托人提供的权属资料有误或产权上有任何瑕疵而造成的对</w:t>
      </w:r>
      <w:r>
        <w:rPr>
          <w:rFonts w:hint="eastAsia" w:hAnsi="宋体" w:cs="宋体"/>
          <w:kern w:val="0"/>
          <w:sz w:val="28"/>
          <w:szCs w:val="28"/>
          <w:lang w:eastAsia="zh-CN"/>
        </w:rPr>
        <w:t>估价结果的</w:t>
      </w:r>
      <w:r>
        <w:rPr>
          <w:rFonts w:hint="eastAsia" w:ascii="宋体" w:hAnsi="宋体" w:eastAsia="宋体" w:cs="宋体"/>
          <w:kern w:val="0"/>
          <w:sz w:val="28"/>
          <w:szCs w:val="28"/>
        </w:rPr>
        <w:t>影响或纠纷与本估价机构和</w:t>
      </w:r>
      <w:r>
        <w:rPr>
          <w:rFonts w:hint="eastAsia" w:hAnsi="宋体" w:cs="宋体"/>
          <w:kern w:val="0"/>
          <w:sz w:val="28"/>
          <w:szCs w:val="28"/>
          <w:lang w:eastAsia="zh-CN"/>
        </w:rPr>
        <w:t>注册房地产</w:t>
      </w:r>
      <w:r>
        <w:rPr>
          <w:rFonts w:hint="eastAsia" w:ascii="宋体" w:hAnsi="宋体" w:eastAsia="宋体" w:cs="宋体"/>
          <w:kern w:val="0"/>
          <w:sz w:val="28"/>
          <w:szCs w:val="28"/>
        </w:rPr>
        <w:t>估价师无关。</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7、未经房地产估价机构书面同意，本估价报告的全部或部分及任何参考资料均不允许在任何公开发表的文件、通告或声明中引用，亦不得以其他任何方式公开发表。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hAnsi="宋体" w:cs="宋体"/>
          <w:color w:val="auto"/>
          <w:kern w:val="0"/>
          <w:sz w:val="28"/>
          <w:szCs w:val="28"/>
          <w:lang w:eastAsia="zh-CN"/>
        </w:rPr>
      </w:pPr>
      <w:r>
        <w:rPr>
          <w:rFonts w:hint="eastAsia" w:ascii="宋体" w:hAnsi="宋体" w:eastAsia="宋体" w:cs="Times New Roman"/>
          <w:color w:val="000000"/>
          <w:kern w:val="2"/>
          <w:sz w:val="28"/>
          <w:szCs w:val="28"/>
          <w:lang w:val="en-US" w:eastAsia="zh-CN"/>
        </w:rPr>
        <w:t>8、</w:t>
      </w:r>
      <w:r>
        <w:rPr>
          <w:rFonts w:hint="eastAsia" w:ascii="宋体" w:hAnsi="宋体" w:eastAsia="宋体" w:cs="宋体"/>
          <w:color w:val="auto"/>
          <w:kern w:val="0"/>
          <w:sz w:val="28"/>
          <w:szCs w:val="28"/>
        </w:rPr>
        <w:t>本估价报告中数据全部采用电算化连续计算得出，可能出现个别等式左右不完全相等的情况，但不影响计算结果及最终估价结论的准确性</w:t>
      </w:r>
      <w:r>
        <w:rPr>
          <w:rFonts w:hint="eastAsia" w:hAnsi="宋体" w:cs="宋体"/>
          <w:color w:val="auto"/>
          <w:kern w:val="0"/>
          <w:sz w:val="28"/>
          <w:szCs w:val="28"/>
          <w:lang w:eastAsia="zh-CN"/>
        </w:rPr>
        <w:t>。</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hAnsi="宋体" w:cs="宋体"/>
          <w:color w:val="auto"/>
          <w:kern w:val="0"/>
          <w:sz w:val="28"/>
          <w:szCs w:val="28"/>
          <w:lang w:val="en-US" w:eastAsia="zh-CN"/>
        </w:rPr>
        <w:t>9、</w:t>
      </w:r>
      <w:r>
        <w:rPr>
          <w:rFonts w:hint="eastAsia" w:ascii="宋体" w:hAnsi="宋体" w:eastAsia="宋体" w:cs="Times New Roman"/>
          <w:color w:val="000000"/>
          <w:kern w:val="2"/>
          <w:sz w:val="28"/>
          <w:szCs w:val="28"/>
          <w:lang w:val="en-US" w:eastAsia="zh-CN"/>
        </w:rPr>
        <w:t>如发现本估价报告文字或数字因校对或其它类似原因出现差错时，请通知本公司进行更正。</w:t>
      </w:r>
    </w:p>
    <w:p>
      <w:pPr>
        <w:keepNext w:val="0"/>
        <w:keepLines w:val="0"/>
        <w:widowControl w:val="0"/>
        <w:suppressLineNumbers w:val="0"/>
        <w:tabs>
          <w:tab w:val="left" w:pos="720"/>
        </w:tabs>
        <w:bidi w:val="0"/>
        <w:spacing w:before="0" w:beforeAutospacing="0" w:after="0" w:afterAutospacing="0" w:line="580" w:lineRule="exact"/>
        <w:ind w:right="0" w:firstLine="560" w:firstLineChars="200"/>
        <w:jc w:val="both"/>
        <w:rPr>
          <w:rFonts w:hint="eastAsia" w:ascii="宋体" w:hAnsi="宋体" w:eastAsia="宋体" w:cs="宋体"/>
          <w:b/>
          <w:sz w:val="44"/>
          <w:szCs w:val="44"/>
        </w:rPr>
      </w:pPr>
      <w:r>
        <w:rPr>
          <w:rFonts w:hint="eastAsia" w:hAnsi="宋体" w:cs="宋体"/>
          <w:bCs/>
          <w:sz w:val="28"/>
          <w:szCs w:val="28"/>
          <w:lang w:val="en-US" w:eastAsia="zh-CN"/>
        </w:rPr>
        <w:t>10</w:t>
      </w:r>
      <w:r>
        <w:rPr>
          <w:rFonts w:hint="eastAsia" w:ascii="宋体" w:hAnsi="宋体" w:eastAsia="宋体" w:cs="宋体"/>
          <w:bCs/>
          <w:sz w:val="28"/>
          <w:szCs w:val="28"/>
        </w:rPr>
        <w:t>、估价中无法考虑不可抗力等因素对估价对象造成的意外损害。</w:t>
      </w:r>
    </w:p>
    <w:p>
      <w:pPr>
        <w:bidi w:val="0"/>
        <w:spacing w:line="240" w:lineRule="auto"/>
        <w:jc w:val="center"/>
        <w:rPr>
          <w:rFonts w:hint="eastAsia" w:ascii="宋体" w:hAnsi="宋体" w:eastAsia="宋体" w:cs="宋体"/>
          <w:b/>
          <w:sz w:val="36"/>
          <w:szCs w:val="36"/>
        </w:rPr>
      </w:pPr>
      <w:r>
        <w:rPr>
          <w:rFonts w:hint="eastAsia" w:ascii="宋体" w:hAnsi="宋体" w:eastAsia="宋体" w:cs="宋体"/>
          <w:b/>
          <w:sz w:val="44"/>
          <w:szCs w:val="44"/>
        </w:rPr>
        <w:br w:type="page"/>
      </w:r>
      <w:r>
        <w:rPr>
          <w:rFonts w:hint="eastAsia" w:ascii="宋体" w:hAnsi="宋体" w:eastAsia="宋体" w:cs="宋体"/>
          <w:b/>
          <w:sz w:val="44"/>
          <w:szCs w:val="44"/>
        </w:rPr>
        <w:t>三、估 价 结 果 报 告</w:t>
      </w:r>
    </w:p>
    <w:p>
      <w:pPr>
        <w:bidi w:val="0"/>
        <w:spacing w:line="580" w:lineRule="exact"/>
        <w:rPr>
          <w:rFonts w:hint="eastAsia" w:ascii="宋体" w:hAnsi="宋体" w:eastAsia="宋体" w:cs="宋体"/>
          <w:b/>
          <w:sz w:val="30"/>
          <w:szCs w:val="30"/>
        </w:rPr>
      </w:pPr>
      <w:r>
        <w:rPr>
          <w:rFonts w:hint="eastAsia" w:ascii="宋体" w:hAnsi="宋体" w:eastAsia="宋体" w:cs="宋体"/>
          <w:sz w:val="28"/>
          <w:szCs w:val="28"/>
        </w:rPr>
        <w:t xml:space="preserve">   </w:t>
      </w:r>
      <w:r>
        <w:rPr>
          <w:rFonts w:hint="eastAsia" w:ascii="宋体" w:hAnsi="宋体" w:eastAsia="宋体" w:cs="宋体"/>
          <w:b/>
          <w:bCs/>
          <w:sz w:val="28"/>
          <w:szCs w:val="28"/>
        </w:rPr>
        <w:t>（</w:t>
      </w:r>
      <w:r>
        <w:rPr>
          <w:rFonts w:hint="eastAsia" w:ascii="宋体" w:hAnsi="宋体" w:eastAsia="宋体" w:cs="宋体"/>
          <w:b/>
          <w:bCs/>
          <w:sz w:val="30"/>
          <w:szCs w:val="30"/>
        </w:rPr>
        <w:t>一）估价委托人</w:t>
      </w:r>
    </w:p>
    <w:p>
      <w:pPr>
        <w:bidi w:val="0"/>
        <w:spacing w:line="580" w:lineRule="exact"/>
        <w:ind w:firstLine="600"/>
        <w:rPr>
          <w:rFonts w:hint="eastAsia" w:ascii="宋体" w:hAnsi="宋体" w:eastAsia="宋体" w:cs="宋体"/>
          <w:sz w:val="30"/>
          <w:szCs w:val="30"/>
        </w:rPr>
      </w:pPr>
      <w:r>
        <w:rPr>
          <w:rFonts w:hint="eastAsia" w:ascii="宋体" w:hAnsi="宋体" w:eastAsia="宋体" w:cs="宋体"/>
          <w:sz w:val="30"/>
          <w:szCs w:val="30"/>
        </w:rPr>
        <w:t>名称：</w:t>
      </w:r>
      <w:r>
        <w:rPr>
          <w:rFonts w:hint="eastAsia" w:hAnsi="宋体" w:cs="宋体"/>
          <w:sz w:val="30"/>
          <w:szCs w:val="30"/>
          <w:lang w:eastAsia="zh-CN"/>
        </w:rPr>
        <w:t>禹州市人民法院</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（二）房地产估价机构</w:t>
      </w:r>
    </w:p>
    <w:p>
      <w:pPr>
        <w:bidi w:val="0"/>
        <w:spacing w:line="580" w:lineRule="exact"/>
        <w:ind w:firstLine="452"/>
        <w:rPr>
          <w:rFonts w:hint="eastAsia" w:hAnsi="宋体"/>
          <w:color w:val="000000"/>
          <w:sz w:val="30"/>
          <w:szCs w:val="30"/>
        </w:rPr>
      </w:pPr>
      <w:r>
        <w:rPr>
          <w:rFonts w:hint="eastAsia" w:hAnsi="宋体"/>
          <w:color w:val="000000"/>
          <w:sz w:val="30"/>
          <w:szCs w:val="30"/>
        </w:rPr>
        <w:t>机构名称：河南凯业房地产估价咨询有限公司</w:t>
      </w:r>
    </w:p>
    <w:p>
      <w:pPr>
        <w:bidi w:val="0"/>
        <w:spacing w:line="580" w:lineRule="exact"/>
        <w:ind w:firstLine="452"/>
        <w:rPr>
          <w:rFonts w:hint="eastAsia" w:hAnsi="宋体"/>
          <w:color w:val="000000"/>
          <w:sz w:val="30"/>
          <w:szCs w:val="30"/>
        </w:rPr>
      </w:pPr>
      <w:r>
        <w:rPr>
          <w:rFonts w:hint="eastAsia" w:hAnsi="宋体"/>
          <w:color w:val="000000"/>
          <w:sz w:val="30"/>
          <w:szCs w:val="30"/>
        </w:rPr>
        <w:t>法定代表人：张红娜</w:t>
      </w:r>
    </w:p>
    <w:p>
      <w:pPr>
        <w:bidi w:val="0"/>
        <w:spacing w:line="580" w:lineRule="exact"/>
        <w:ind w:firstLine="452"/>
        <w:rPr>
          <w:rFonts w:hint="eastAsia" w:hAnsi="宋体"/>
          <w:color w:val="000000"/>
          <w:sz w:val="30"/>
          <w:szCs w:val="30"/>
        </w:rPr>
      </w:pPr>
      <w:r>
        <w:rPr>
          <w:rFonts w:hint="eastAsia" w:hAnsi="宋体"/>
          <w:color w:val="000000"/>
          <w:sz w:val="30"/>
          <w:szCs w:val="30"/>
        </w:rPr>
        <w:t>机构地址：河南自贸试验区郑州片区（郑东）金水路49号绿地原盛国际1号楼B座8楼133号</w:t>
      </w:r>
    </w:p>
    <w:p>
      <w:pPr>
        <w:bidi w:val="0"/>
        <w:spacing w:line="580" w:lineRule="exact"/>
        <w:ind w:firstLine="452"/>
        <w:rPr>
          <w:rFonts w:hint="eastAsia" w:hAnsi="宋体"/>
          <w:color w:val="000000"/>
          <w:sz w:val="30"/>
          <w:szCs w:val="30"/>
        </w:rPr>
      </w:pPr>
      <w:r>
        <w:rPr>
          <w:rFonts w:hint="eastAsia" w:hAnsi="宋体"/>
          <w:color w:val="000000"/>
          <w:sz w:val="30"/>
          <w:szCs w:val="30"/>
        </w:rPr>
        <w:t>社会统一</w:t>
      </w:r>
      <w:r>
        <w:rPr>
          <w:rFonts w:hint="eastAsia" w:hAnsi="宋体"/>
          <w:color w:val="000000"/>
          <w:sz w:val="30"/>
          <w:szCs w:val="30"/>
          <w:lang w:eastAsia="zh-CN"/>
        </w:rPr>
        <w:t>信用</w:t>
      </w:r>
      <w:r>
        <w:rPr>
          <w:rFonts w:hint="eastAsia" w:hAnsi="宋体"/>
          <w:color w:val="000000"/>
          <w:sz w:val="30"/>
          <w:szCs w:val="30"/>
        </w:rPr>
        <w:t>代码：914101057474124171</w:t>
      </w:r>
    </w:p>
    <w:p>
      <w:pPr>
        <w:bidi w:val="0"/>
        <w:spacing w:line="580" w:lineRule="exact"/>
        <w:ind w:firstLine="452"/>
        <w:rPr>
          <w:rFonts w:hint="eastAsia" w:hAnsi="宋体"/>
          <w:color w:val="000000"/>
          <w:sz w:val="30"/>
          <w:szCs w:val="30"/>
        </w:rPr>
      </w:pPr>
      <w:r>
        <w:rPr>
          <w:rFonts w:hint="eastAsia" w:hAnsi="宋体"/>
          <w:color w:val="000000"/>
          <w:sz w:val="30"/>
          <w:szCs w:val="30"/>
        </w:rPr>
        <w:t>备案等级：一级</w:t>
      </w:r>
    </w:p>
    <w:p>
      <w:pPr>
        <w:bidi w:val="0"/>
        <w:spacing w:line="580" w:lineRule="exact"/>
        <w:ind w:firstLine="452"/>
        <w:rPr>
          <w:rFonts w:hint="eastAsia" w:hAnsi="宋体"/>
          <w:color w:val="000000"/>
          <w:sz w:val="30"/>
          <w:szCs w:val="30"/>
        </w:rPr>
      </w:pPr>
      <w:r>
        <w:rPr>
          <w:rFonts w:hint="eastAsia" w:hAnsi="宋体"/>
          <w:color w:val="000000"/>
          <w:sz w:val="30"/>
          <w:szCs w:val="30"/>
        </w:rPr>
        <w:t>证书编号：</w:t>
      </w:r>
      <w:r>
        <w:rPr>
          <w:rFonts w:hint="eastAsia" w:hAnsi="宋体"/>
          <w:color w:val="000000"/>
          <w:sz w:val="30"/>
          <w:szCs w:val="30"/>
          <w:lang w:val="en-US" w:eastAsia="zh-CN"/>
        </w:rPr>
        <w:t>B</w:t>
      </w:r>
      <w:r>
        <w:rPr>
          <w:rFonts w:hint="eastAsia" w:hAnsi="宋体"/>
          <w:color w:val="000000"/>
          <w:sz w:val="30"/>
          <w:szCs w:val="30"/>
        </w:rPr>
        <w:t>41010831</w:t>
      </w:r>
    </w:p>
    <w:p>
      <w:pPr>
        <w:bidi w:val="0"/>
        <w:spacing w:line="580" w:lineRule="exact"/>
        <w:ind w:firstLine="452"/>
        <w:rPr>
          <w:rFonts w:hint="eastAsia" w:hAnsi="宋体"/>
          <w:color w:val="000000"/>
          <w:sz w:val="30"/>
          <w:szCs w:val="30"/>
        </w:rPr>
      </w:pPr>
      <w:r>
        <w:rPr>
          <w:rFonts w:hint="eastAsia" w:hAnsi="宋体"/>
          <w:color w:val="000000"/>
          <w:sz w:val="30"/>
          <w:szCs w:val="30"/>
        </w:rPr>
        <w:t>有效期限：</w:t>
      </w:r>
      <w:r>
        <w:rPr>
          <w:rFonts w:hint="eastAsia" w:hAnsi="宋体"/>
          <w:color w:val="auto"/>
          <w:sz w:val="30"/>
          <w:szCs w:val="30"/>
        </w:rPr>
        <w:t>20</w:t>
      </w:r>
      <w:r>
        <w:rPr>
          <w:rFonts w:hint="eastAsia" w:hAnsi="宋体"/>
          <w:color w:val="auto"/>
          <w:sz w:val="30"/>
          <w:szCs w:val="30"/>
          <w:lang w:val="en-US" w:eastAsia="zh-CN"/>
        </w:rPr>
        <w:t>22</w:t>
      </w:r>
      <w:r>
        <w:rPr>
          <w:rFonts w:hint="eastAsia" w:hAnsi="宋体"/>
          <w:color w:val="auto"/>
          <w:sz w:val="30"/>
          <w:szCs w:val="30"/>
        </w:rPr>
        <w:t>年</w:t>
      </w:r>
      <w:r>
        <w:rPr>
          <w:rFonts w:hint="eastAsia" w:hAnsi="宋体"/>
          <w:color w:val="auto"/>
          <w:sz w:val="30"/>
          <w:szCs w:val="30"/>
          <w:lang w:val="en-US" w:eastAsia="zh-CN"/>
        </w:rPr>
        <w:t>04</w:t>
      </w:r>
      <w:r>
        <w:rPr>
          <w:rFonts w:hint="eastAsia" w:hAnsi="宋体"/>
          <w:color w:val="auto"/>
          <w:sz w:val="30"/>
          <w:szCs w:val="30"/>
        </w:rPr>
        <w:t>月</w:t>
      </w:r>
      <w:r>
        <w:rPr>
          <w:rFonts w:hint="eastAsia" w:hAnsi="宋体"/>
          <w:color w:val="auto"/>
          <w:sz w:val="30"/>
          <w:szCs w:val="30"/>
          <w:lang w:val="en-US" w:eastAsia="zh-CN"/>
        </w:rPr>
        <w:t>06</w:t>
      </w:r>
      <w:r>
        <w:rPr>
          <w:rFonts w:hint="eastAsia" w:hAnsi="宋体"/>
          <w:color w:val="auto"/>
          <w:sz w:val="30"/>
          <w:szCs w:val="30"/>
        </w:rPr>
        <w:t>日至202</w:t>
      </w:r>
      <w:r>
        <w:rPr>
          <w:rFonts w:hint="eastAsia" w:hAnsi="宋体"/>
          <w:color w:val="auto"/>
          <w:sz w:val="30"/>
          <w:szCs w:val="30"/>
          <w:lang w:val="en-US" w:eastAsia="zh-CN"/>
        </w:rPr>
        <w:t>5</w:t>
      </w:r>
      <w:r>
        <w:rPr>
          <w:rFonts w:hint="eastAsia" w:hAnsi="宋体"/>
          <w:color w:val="auto"/>
          <w:sz w:val="30"/>
          <w:szCs w:val="30"/>
        </w:rPr>
        <w:t>年</w:t>
      </w:r>
      <w:r>
        <w:rPr>
          <w:rFonts w:hint="eastAsia" w:hAnsi="宋体"/>
          <w:color w:val="auto"/>
          <w:sz w:val="30"/>
          <w:szCs w:val="30"/>
          <w:lang w:val="en-US" w:eastAsia="zh-CN"/>
        </w:rPr>
        <w:t>04</w:t>
      </w:r>
      <w:r>
        <w:rPr>
          <w:rFonts w:hint="eastAsia" w:hAnsi="宋体"/>
          <w:color w:val="auto"/>
          <w:sz w:val="30"/>
          <w:szCs w:val="30"/>
        </w:rPr>
        <w:t>月</w:t>
      </w:r>
      <w:r>
        <w:rPr>
          <w:rFonts w:hint="eastAsia" w:hAnsi="宋体"/>
          <w:color w:val="auto"/>
          <w:sz w:val="30"/>
          <w:szCs w:val="30"/>
          <w:lang w:val="en-US" w:eastAsia="zh-CN"/>
        </w:rPr>
        <w:t>05</w:t>
      </w:r>
      <w:r>
        <w:rPr>
          <w:rFonts w:hint="eastAsia" w:hAnsi="宋体"/>
          <w:color w:val="auto"/>
          <w:sz w:val="30"/>
          <w:szCs w:val="30"/>
        </w:rPr>
        <w:t>日</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（三）估价目的</w:t>
      </w:r>
    </w:p>
    <w:p>
      <w:pPr>
        <w:bidi w:val="0"/>
        <w:spacing w:line="580" w:lineRule="exact"/>
        <w:ind w:firstLine="600"/>
        <w:rPr>
          <w:rFonts w:hint="eastAsia" w:hAnsi="宋体" w:cs="宋体"/>
          <w:spacing w:val="4"/>
          <w:sz w:val="30"/>
          <w:szCs w:val="30"/>
          <w:lang w:eastAsia="zh-CN"/>
        </w:rPr>
      </w:pPr>
      <w:r>
        <w:rPr>
          <w:rFonts w:hint="eastAsia" w:hAnsi="宋体" w:cs="宋体"/>
          <w:spacing w:val="4"/>
          <w:sz w:val="30"/>
          <w:szCs w:val="30"/>
          <w:lang w:eastAsia="zh-CN"/>
        </w:rPr>
        <w:t>为人民法院确定财产处置参考价提供参考依据</w:t>
      </w:r>
    </w:p>
    <w:p>
      <w:pPr>
        <w:bidi w:val="0"/>
        <w:spacing w:line="580" w:lineRule="exact"/>
        <w:ind w:firstLine="300" w:firstLineChars="100"/>
        <w:rPr>
          <w:rFonts w:hint="eastAsia" w:ascii="宋体" w:hAnsi="宋体" w:eastAsia="宋体" w:cs="宋体"/>
          <w:b/>
          <w:bCs/>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（四）估价对象</w:t>
      </w:r>
    </w:p>
    <w:p>
      <w:pPr>
        <w:bidi w:val="0"/>
        <w:spacing w:line="580" w:lineRule="exact"/>
        <w:ind w:left="641" w:hanging="687"/>
        <w:rPr>
          <w:rFonts w:hint="eastAsia" w:ascii="宋体" w:hAnsi="宋体" w:eastAsia="宋体" w:cs="宋体"/>
          <w:bCs/>
          <w:sz w:val="30"/>
          <w:szCs w:val="30"/>
        </w:rPr>
      </w:pPr>
      <w:r>
        <w:rPr>
          <w:rFonts w:hint="eastAsia" w:ascii="宋体" w:hAnsi="宋体" w:eastAsia="宋体" w:cs="宋体"/>
          <w:b/>
          <w:bCs/>
          <w:sz w:val="30"/>
          <w:szCs w:val="30"/>
        </w:rPr>
        <w:t xml:space="preserve">    </w:t>
      </w:r>
      <w:r>
        <w:rPr>
          <w:rFonts w:hint="eastAsia" w:ascii="宋体" w:hAnsi="宋体" w:eastAsia="宋体" w:cs="宋体"/>
          <w:bCs/>
          <w:sz w:val="30"/>
          <w:szCs w:val="30"/>
        </w:rPr>
        <w:t>1、估价对象范围</w:t>
      </w:r>
    </w:p>
    <w:p>
      <w:pPr>
        <w:bidi w:val="0"/>
        <w:spacing w:line="580" w:lineRule="exact"/>
        <w:ind w:firstLine="600"/>
        <w:jc w:val="left"/>
        <w:rPr>
          <w:rFonts w:hint="eastAsia" w:ascii="宋体" w:hAnsi="宋体" w:eastAsia="宋体" w:cs="宋体"/>
          <w:sz w:val="30"/>
          <w:szCs w:val="30"/>
        </w:rPr>
      </w:pPr>
      <w:r>
        <w:rPr>
          <w:rFonts w:hint="eastAsia" w:hAnsi="宋体" w:cs="宋体"/>
          <w:sz w:val="30"/>
          <w:szCs w:val="30"/>
          <w:lang w:eastAsia="zh-CN"/>
        </w:rPr>
        <w:t>估价对象</w:t>
      </w:r>
      <w:r>
        <w:rPr>
          <w:rFonts w:hint="eastAsia" w:ascii="宋体" w:hAnsi="宋体" w:eastAsia="宋体" w:cs="宋体"/>
          <w:sz w:val="30"/>
          <w:szCs w:val="30"/>
        </w:rPr>
        <w:t>总建筑面积</w:t>
      </w:r>
      <w:r>
        <w:rPr>
          <w:rFonts w:hint="eastAsia" w:hAnsi="宋体" w:cs="宋体"/>
          <w:sz w:val="30"/>
          <w:szCs w:val="30"/>
          <w:lang w:val="en-US" w:eastAsia="zh-CN"/>
        </w:rPr>
        <w:t>134.21</w:t>
      </w:r>
      <w:r>
        <w:rPr>
          <w:rFonts w:hint="eastAsia" w:ascii="宋体" w:hAnsi="宋体" w:eastAsia="宋体" w:cs="宋体"/>
          <w:sz w:val="30"/>
          <w:szCs w:val="30"/>
        </w:rPr>
        <w:t>平方米，</w:t>
      </w:r>
      <w:r>
        <w:rPr>
          <w:rFonts w:hint="eastAsia" w:ascii="宋体" w:hAnsi="宋体" w:eastAsia="宋体" w:cs="宋体"/>
          <w:bCs/>
          <w:sz w:val="30"/>
          <w:szCs w:val="30"/>
        </w:rPr>
        <w:t>为</w:t>
      </w:r>
      <w:r>
        <w:rPr>
          <w:rFonts w:hint="eastAsia" w:hAnsi="宋体" w:cs="宋体"/>
          <w:bCs/>
          <w:sz w:val="30"/>
          <w:szCs w:val="30"/>
          <w:lang w:eastAsia="zh-CN"/>
        </w:rPr>
        <w:t>混合结构步梯住宅房地产</w:t>
      </w:r>
      <w:r>
        <w:rPr>
          <w:rFonts w:hint="eastAsia" w:ascii="宋体" w:hAnsi="宋体" w:eastAsia="宋体" w:cs="宋体"/>
          <w:bCs/>
          <w:sz w:val="30"/>
          <w:szCs w:val="30"/>
        </w:rPr>
        <w:t>。</w:t>
      </w:r>
      <w:r>
        <w:rPr>
          <w:rFonts w:hint="eastAsia" w:ascii="宋体" w:hAnsi="宋体" w:eastAsia="宋体" w:cs="宋体"/>
          <w:sz w:val="30"/>
          <w:szCs w:val="30"/>
        </w:rPr>
        <w:t>委托人指定的估价对象财产范围及其基本状况如下表：</w:t>
      </w:r>
    </w:p>
    <w:p>
      <w:pPr>
        <w:bidi w:val="0"/>
        <w:spacing w:line="580" w:lineRule="exact"/>
        <w:ind w:firstLine="1400"/>
        <w:rPr>
          <w:rFonts w:hint="eastAsia" w:ascii="宋体" w:hAnsi="宋体" w:eastAsia="宋体" w:cs="宋体"/>
          <w:szCs w:val="21"/>
        </w:rPr>
      </w:pPr>
      <w:r>
        <w:rPr>
          <w:rFonts w:hint="eastAsia" w:ascii="宋体" w:hAnsi="宋体" w:eastAsia="宋体" w:cs="宋体"/>
          <w:sz w:val="28"/>
          <w:szCs w:val="28"/>
        </w:rPr>
        <w:t>估价对象财产范围及其基本状况一览表      表3</w:t>
      </w:r>
    </w:p>
    <w:tbl>
      <w:tblPr>
        <w:tblStyle w:val="10"/>
        <w:tblpPr w:leftFromText="180" w:rightFromText="180" w:vertAnchor="text" w:horzAnchor="margin" w:tblpXSpec="center" w:tblpY="266"/>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1419"/>
        <w:gridCol w:w="2035"/>
        <w:gridCol w:w="1553"/>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坐落</w:t>
            </w:r>
          </w:p>
        </w:tc>
        <w:tc>
          <w:tcPr>
            <w:tcW w:w="79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12"/>
                <w:rFonts w:hint="eastAsia" w:ascii="宋体" w:hAnsi="宋体" w:eastAsia="宋体" w:cs="宋体"/>
                <w:b w:val="0"/>
                <w:bCs w:val="0"/>
                <w:kern w:val="2"/>
                <w:sz w:val="21"/>
                <w:szCs w:val="21"/>
                <w:lang w:val="en-US" w:eastAsia="zh-CN" w:bidi="ar-SA"/>
              </w:rPr>
            </w:pPr>
            <w:r>
              <w:rPr>
                <w:rStyle w:val="12"/>
                <w:rFonts w:hint="eastAsia" w:hAnsi="宋体" w:cs="宋体"/>
                <w:b w:val="0"/>
                <w:bCs w:val="0"/>
                <w:kern w:val="2"/>
                <w:sz w:val="21"/>
                <w:szCs w:val="21"/>
                <w:lang w:val="en-US" w:eastAsia="zh-CN" w:bidi="ar-SA"/>
              </w:rPr>
              <w:t>河南省许昌市禹州市颍川办钧州大街东侧迎宾东路南侧（博雅苑6号楼）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名称</w:t>
            </w:r>
          </w:p>
        </w:tc>
        <w:tc>
          <w:tcPr>
            <w:tcW w:w="79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12"/>
                <w:rFonts w:hint="eastAsia" w:ascii="宋体" w:hAnsi="宋体" w:eastAsia="宋体" w:cs="宋体"/>
                <w:b w:val="0"/>
                <w:bCs w:val="0"/>
                <w:kern w:val="2"/>
                <w:sz w:val="21"/>
                <w:szCs w:val="21"/>
                <w:lang w:val="en-US" w:eastAsia="zh-CN" w:bidi="ar-SA"/>
              </w:rPr>
            </w:pPr>
            <w:r>
              <w:rPr>
                <w:rStyle w:val="12"/>
                <w:rFonts w:hint="eastAsia" w:hAnsi="宋体" w:cs="宋体"/>
                <w:b w:val="0"/>
                <w:bCs w:val="0"/>
                <w:kern w:val="2"/>
                <w:sz w:val="21"/>
                <w:szCs w:val="21"/>
                <w:lang w:val="en-US" w:eastAsia="zh-CN" w:bidi="ar-SA"/>
              </w:rPr>
              <w:t>河南省许昌市禹州市颍川办钧州大街东侧迎宾东路南侧（博雅苑6号楼）2单元7层西户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范围</w:t>
            </w:r>
          </w:p>
        </w:tc>
        <w:tc>
          <w:tcPr>
            <w:tcW w:w="79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12"/>
                <w:rFonts w:hint="eastAsia" w:ascii="宋体" w:hAnsi="宋体" w:eastAsia="宋体" w:cs="宋体"/>
                <w:b w:val="0"/>
                <w:bCs w:val="0"/>
                <w:kern w:val="2"/>
                <w:sz w:val="21"/>
                <w:szCs w:val="21"/>
                <w:lang w:val="en-US" w:eastAsia="zh-CN" w:bidi="ar-SA"/>
              </w:rPr>
            </w:pPr>
            <w:r>
              <w:rPr>
                <w:rStyle w:val="12"/>
                <w:rFonts w:hint="eastAsia" w:ascii="宋体" w:hAnsi="宋体" w:eastAsia="宋体" w:cs="宋体"/>
                <w:b w:val="0"/>
                <w:bCs w:val="0"/>
                <w:kern w:val="2"/>
                <w:sz w:val="21"/>
                <w:szCs w:val="21"/>
                <w:lang w:val="en-US" w:eastAsia="zh-CN" w:bidi="ar-SA"/>
              </w:rPr>
              <w:t>包括房屋及其相应分摊的土地使用权（含室内不可拆除的装饰装修、不含可移动物品及其他债权债务等）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规模</w:t>
            </w:r>
          </w:p>
        </w:tc>
        <w:tc>
          <w:tcPr>
            <w:tcW w:w="7922" w:type="dxa"/>
            <w:gridSpan w:val="4"/>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12"/>
                <w:rFonts w:hint="eastAsia" w:ascii="宋体" w:hAnsi="宋体" w:eastAsia="宋体" w:cs="宋体"/>
                <w:b w:val="0"/>
                <w:bCs w:val="0"/>
                <w:kern w:val="2"/>
                <w:sz w:val="21"/>
                <w:szCs w:val="21"/>
                <w:lang w:val="en-US" w:eastAsia="zh-CN" w:bidi="ar-SA"/>
              </w:rPr>
            </w:pPr>
            <w:r>
              <w:rPr>
                <w:rStyle w:val="12"/>
                <w:rFonts w:hint="eastAsia" w:ascii="宋体" w:hAnsi="宋体" w:eastAsia="宋体" w:cs="宋体"/>
                <w:b w:val="0"/>
                <w:bCs w:val="0"/>
                <w:kern w:val="2"/>
                <w:sz w:val="21"/>
                <w:szCs w:val="21"/>
                <w:lang w:val="en-US" w:eastAsia="zh-CN" w:bidi="ar-SA"/>
              </w:rPr>
              <w:t>房屋建筑面积</w:t>
            </w:r>
            <w:r>
              <w:rPr>
                <w:rStyle w:val="12"/>
                <w:rFonts w:hint="eastAsia" w:hAnsi="宋体" w:cs="宋体"/>
                <w:b w:val="0"/>
                <w:bCs w:val="0"/>
                <w:kern w:val="2"/>
                <w:sz w:val="21"/>
                <w:szCs w:val="21"/>
                <w:lang w:val="en-US" w:eastAsia="zh-CN" w:bidi="ar-SA"/>
              </w:rPr>
              <w:t>134.21㎡</w:t>
            </w:r>
            <w:r>
              <w:rPr>
                <w:rStyle w:val="12"/>
                <w:rFonts w:hint="eastAsia" w:ascii="宋体" w:hAnsi="宋体" w:eastAsia="宋体" w:cs="宋体"/>
                <w:b w:val="0"/>
                <w:bCs w:val="0"/>
                <w:kern w:val="2"/>
                <w:sz w:val="21"/>
                <w:szCs w:val="21"/>
                <w:lang w:val="en-US" w:eastAsia="zh-CN" w:bidi="ar-SA"/>
              </w:rPr>
              <w:t>及其相应分摊的土地使用权</w:t>
            </w:r>
            <w:r>
              <w:rPr>
                <w:rStyle w:val="12"/>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Cs/>
                <w:kern w:val="2"/>
                <w:sz w:val="21"/>
                <w:szCs w:val="21"/>
                <w:lang w:val="en-US" w:eastAsia="zh-CN" w:bidi="ar-SA"/>
              </w:rPr>
            </w:pPr>
            <w:r>
              <w:rPr>
                <w:rStyle w:val="12"/>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用途</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规划用途</w:t>
            </w:r>
          </w:p>
        </w:tc>
        <w:tc>
          <w:tcPr>
            <w:tcW w:w="2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住宅</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ascii="宋体" w:hAnsi="宋体" w:eastAsia="宋体" w:cs="宋体"/>
                <w:b/>
                <w:kern w:val="2"/>
                <w:sz w:val="21"/>
                <w:szCs w:val="21"/>
                <w:lang w:val="en-US" w:eastAsia="zh-CN" w:bidi="ar-SA"/>
              </w:rPr>
              <w:t>实勘用途</w:t>
            </w:r>
          </w:p>
        </w:tc>
        <w:tc>
          <w:tcPr>
            <w:tcW w:w="2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Cs/>
                <w:kern w:val="2"/>
                <w:sz w:val="21"/>
                <w:szCs w:val="21"/>
                <w:lang w:val="en-US" w:eastAsia="zh-CN" w:bidi="ar-SA"/>
              </w:rPr>
            </w:pPr>
            <w:r>
              <w:rPr>
                <w:rStyle w:val="12"/>
                <w:rFonts w:hint="eastAsia" w:hAnsi="宋体" w:cs="宋体"/>
                <w:bCs/>
                <w:kern w:val="2"/>
                <w:sz w:val="21"/>
                <w:szCs w:val="21"/>
                <w:lang w:val="en-US" w:eastAsia="zh-CN" w:bidi="ar-SA"/>
              </w:rPr>
              <w:t>6</w:t>
            </w:r>
          </w:p>
        </w:tc>
        <w:tc>
          <w:tcPr>
            <w:tcW w:w="768"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kern w:val="2"/>
                <w:sz w:val="21"/>
                <w:szCs w:val="21"/>
                <w:lang w:val="en-US" w:eastAsia="zh-CN" w:bidi="ar-SA"/>
              </w:rPr>
            </w:pPr>
            <w:r>
              <w:rPr>
                <w:rStyle w:val="12"/>
                <w:rFonts w:hint="eastAsia" w:hAnsi="宋体" w:cs="宋体"/>
                <w:b/>
                <w:kern w:val="2"/>
                <w:sz w:val="21"/>
                <w:szCs w:val="21"/>
                <w:lang w:val="en-US" w:eastAsia="zh-CN" w:bidi="ar-SA"/>
              </w:rPr>
              <w:t>权属</w:t>
            </w:r>
          </w:p>
        </w:tc>
        <w:tc>
          <w:tcPr>
            <w:tcW w:w="1419"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kern w:val="2"/>
                <w:sz w:val="21"/>
                <w:szCs w:val="21"/>
                <w:lang w:val="en-US" w:eastAsia="zh-CN" w:bidi="ar-SA"/>
              </w:rPr>
            </w:pPr>
            <w:r>
              <w:rPr>
                <w:rStyle w:val="12"/>
                <w:rFonts w:hint="eastAsia" w:hAnsi="宋体" w:cs="宋体"/>
                <w:b/>
                <w:bCs/>
                <w:kern w:val="2"/>
                <w:sz w:val="21"/>
                <w:szCs w:val="21"/>
                <w:lang w:val="en-US" w:eastAsia="zh-CN" w:bidi="ar-SA"/>
              </w:rPr>
              <w:t>权利人</w:t>
            </w:r>
          </w:p>
        </w:tc>
        <w:tc>
          <w:tcPr>
            <w:tcW w:w="203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default" w:ascii="宋体" w:hAnsi="宋体" w:eastAsia="宋体" w:cs="宋体"/>
                <w:kern w:val="2"/>
                <w:sz w:val="21"/>
                <w:szCs w:val="21"/>
                <w:lang w:val="en-US" w:eastAsia="zh-CN" w:bidi="ar-SA"/>
              </w:rPr>
            </w:pPr>
            <w:r>
              <w:rPr>
                <w:rStyle w:val="12"/>
                <w:rFonts w:hint="eastAsia" w:hAnsi="宋体" w:cs="宋体"/>
                <w:kern w:val="2"/>
                <w:sz w:val="21"/>
                <w:szCs w:val="21"/>
                <w:lang w:val="en-US" w:eastAsia="zh-CN" w:bidi="ar-SA"/>
              </w:rPr>
              <w:t>冯志霞</w:t>
            </w:r>
          </w:p>
        </w:tc>
        <w:tc>
          <w:tcPr>
            <w:tcW w:w="1553"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eastAsia" w:ascii="宋体" w:hAnsi="宋体" w:eastAsia="宋体" w:cs="宋体"/>
                <w:b/>
                <w:bCs/>
                <w:kern w:val="2"/>
                <w:sz w:val="21"/>
                <w:szCs w:val="21"/>
                <w:lang w:val="en-US" w:eastAsia="zh-CN" w:bidi="ar-SA"/>
              </w:rPr>
            </w:pPr>
            <w:r>
              <w:rPr>
                <w:rStyle w:val="12"/>
                <w:rFonts w:hint="eastAsia" w:hAnsi="宋体" w:cs="宋体"/>
                <w:b/>
                <w:kern w:val="2"/>
                <w:sz w:val="21"/>
                <w:szCs w:val="21"/>
                <w:lang w:val="en-US" w:eastAsia="zh-CN" w:bidi="ar-SA"/>
              </w:rPr>
              <w:t>不动产权证号</w:t>
            </w:r>
          </w:p>
        </w:tc>
        <w:tc>
          <w:tcPr>
            <w:tcW w:w="2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12"/>
                <w:rFonts w:hint="default" w:ascii="宋体" w:hAnsi="宋体" w:eastAsia="宋体" w:cs="宋体"/>
                <w:kern w:val="2"/>
                <w:sz w:val="21"/>
                <w:szCs w:val="21"/>
                <w:lang w:val="en-US" w:eastAsia="zh-CN" w:bidi="ar-SA"/>
              </w:rPr>
            </w:pPr>
            <w:r>
              <w:rPr>
                <w:rStyle w:val="12"/>
                <w:rFonts w:hint="eastAsia" w:ascii="Times New Roman" w:hAnsi="宋体" w:cs="宋体"/>
                <w:kern w:val="2"/>
                <w:sz w:val="21"/>
                <w:szCs w:val="21"/>
                <w:lang w:val="en-US" w:eastAsia="zh-CN" w:bidi="ar-SA"/>
              </w:rPr>
              <w:t>017609</w:t>
            </w:r>
          </w:p>
        </w:tc>
      </w:tr>
    </w:tbl>
    <w:p>
      <w:pPr>
        <w:bidi w:val="0"/>
        <w:spacing w:line="580" w:lineRule="exact"/>
        <w:ind w:left="636" w:hanging="75"/>
        <w:jc w:val="left"/>
        <w:rPr>
          <w:rFonts w:hint="eastAsia" w:ascii="宋体" w:hAnsi="宋体" w:eastAsia="宋体" w:cs="宋体"/>
          <w:sz w:val="28"/>
          <w:szCs w:val="28"/>
        </w:rPr>
      </w:pPr>
      <w:r>
        <w:rPr>
          <w:rFonts w:hint="eastAsia" w:ascii="宋体" w:hAnsi="宋体" w:eastAsia="宋体" w:cs="宋体"/>
          <w:sz w:val="28"/>
          <w:szCs w:val="28"/>
        </w:rPr>
        <w:t>2、估价对象区位状况</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（1）坐落位置</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估价对象位于河南省许昌市禹州市颍川办钧州大街东侧迎宾东路南侧（博雅苑6号楼）2单元7层西户。</w:t>
      </w:r>
    </w:p>
    <w:p>
      <w:pPr>
        <w:spacing w:line="460" w:lineRule="exact"/>
        <w:ind w:firstLine="200"/>
        <w:jc w:val="center"/>
        <w:rPr>
          <w:rFonts w:hint="eastAsia"/>
          <w:color w:val="auto"/>
          <w:sz w:val="28"/>
          <w:szCs w:val="28"/>
          <w:highlight w:val="none"/>
        </w:rPr>
      </w:pPr>
      <w:r>
        <w:rPr>
          <w:rFonts w:hint="eastAsia"/>
          <w:color w:val="auto"/>
          <w:sz w:val="28"/>
          <w:szCs w:val="28"/>
          <w:highlight w:val="none"/>
        </w:rPr>
        <w:t>估价对象坐落位置示意图</w:t>
      </w:r>
    </w:p>
    <w:p>
      <w:pPr>
        <w:pStyle w:val="2"/>
        <w:jc w:val="center"/>
        <w:rPr>
          <w:rFonts w:hint="eastAsia"/>
          <w:lang w:eastAsia="zh-CN"/>
        </w:rPr>
      </w:pPr>
      <w:r>
        <w:rPr>
          <w:rFonts w:hint="eastAsia"/>
          <w:spacing w:val="4"/>
          <w:sz w:val="28"/>
          <w:szCs w:val="28"/>
        </w:rPr>
        <w:drawing>
          <wp:inline distT="0" distB="0" distL="114300" distR="114300">
            <wp:extent cx="3448050" cy="2613025"/>
            <wp:effectExtent l="0" t="0" r="0" b="1587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9"/>
                    <a:stretch>
                      <a:fillRect/>
                    </a:stretch>
                  </pic:blipFill>
                  <pic:spPr>
                    <a:xfrm>
                      <a:off x="0" y="0"/>
                      <a:ext cx="3448050" cy="2613025"/>
                    </a:xfrm>
                    <a:prstGeom prst="rect">
                      <a:avLst/>
                    </a:prstGeom>
                    <a:noFill/>
                    <a:ln>
                      <a:noFill/>
                    </a:ln>
                  </pic:spPr>
                </pic:pic>
              </a:graphicData>
            </a:graphic>
          </wp:inline>
        </w:drawing>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（2）交通条件</w:t>
      </w:r>
    </w:p>
    <w:p>
      <w:pPr>
        <w:bidi w:val="0"/>
        <w:spacing w:line="580" w:lineRule="exact"/>
        <w:jc w:val="left"/>
        <w:rPr>
          <w:rFonts w:hint="eastAsia" w:ascii="宋体" w:hAnsi="宋体" w:eastAsia="宋体" w:cs="宋体"/>
          <w:sz w:val="28"/>
          <w:lang w:eastAsia="zh-CN"/>
        </w:rPr>
      </w:pPr>
      <w:r>
        <w:rPr>
          <w:rFonts w:hint="eastAsia" w:ascii="宋体" w:hAnsi="宋体" w:eastAsia="宋体" w:cs="宋体"/>
          <w:sz w:val="28"/>
          <w:szCs w:val="28"/>
        </w:rPr>
        <w:t xml:space="preserve">     此位置附近有</w:t>
      </w:r>
      <w:r>
        <w:rPr>
          <w:rFonts w:hint="eastAsia" w:hAnsi="宋体" w:cs="宋体"/>
          <w:sz w:val="28"/>
          <w:szCs w:val="28"/>
          <w:lang w:eastAsia="zh-CN"/>
        </w:rPr>
        <w:t>禹州</w:t>
      </w:r>
      <w:r>
        <w:rPr>
          <w:rFonts w:hint="eastAsia" w:hAnsi="宋体" w:cs="宋体"/>
          <w:sz w:val="28"/>
          <w:szCs w:val="28"/>
          <w:lang w:val="en-US" w:eastAsia="zh-CN"/>
        </w:rPr>
        <w:t>6路、禹州7路、禹州17路</w:t>
      </w:r>
      <w:r>
        <w:rPr>
          <w:rFonts w:hint="eastAsia" w:ascii="宋体" w:hAnsi="宋体" w:eastAsia="宋体" w:cs="宋体"/>
          <w:sz w:val="28"/>
          <w:szCs w:val="28"/>
        </w:rPr>
        <w:t>等公交车通过，</w:t>
      </w:r>
      <w:r>
        <w:rPr>
          <w:rFonts w:hint="eastAsia" w:hAnsi="宋体" w:cs="宋体"/>
          <w:sz w:val="28"/>
          <w:szCs w:val="28"/>
          <w:lang w:eastAsia="zh-CN"/>
        </w:rPr>
        <w:t>多种交通工具往返市内及火车站，道路通达、交通状况便利。</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rPr>
        <w:t xml:space="preserve">    （3）基础设施、</w:t>
      </w:r>
      <w:r>
        <w:rPr>
          <w:rFonts w:hint="eastAsia" w:ascii="宋体" w:hAnsi="宋体" w:eastAsia="宋体" w:cs="宋体"/>
          <w:sz w:val="28"/>
          <w:szCs w:val="28"/>
        </w:rPr>
        <w:t>公用服务设施状况</w:t>
      </w:r>
    </w:p>
    <w:p>
      <w:pPr>
        <w:spacing w:line="560" w:lineRule="exact"/>
        <w:ind w:left="0" w:leftChars="0" w:firstLine="638" w:firstLineChars="228"/>
        <w:jc w:val="left"/>
        <w:rPr>
          <w:rFonts w:hint="eastAsia"/>
          <w:color w:val="auto"/>
          <w:sz w:val="28"/>
          <w:szCs w:val="28"/>
          <w:highlight w:val="none"/>
        </w:rPr>
      </w:pPr>
      <w:r>
        <w:rPr>
          <w:color w:val="auto"/>
          <w:sz w:val="28"/>
          <w:szCs w:val="28"/>
          <w:highlight w:val="none"/>
        </w:rPr>
        <w:t>基础设施：</w:t>
      </w:r>
      <w:r>
        <w:rPr>
          <w:rFonts w:hint="eastAsia"/>
          <w:color w:val="auto"/>
          <w:sz w:val="28"/>
          <w:szCs w:val="28"/>
          <w:highlight w:val="none"/>
          <w:lang w:eastAsia="zh-CN"/>
        </w:rPr>
        <w:t>估价对象</w:t>
      </w:r>
      <w:r>
        <w:rPr>
          <w:rFonts w:hint="eastAsia"/>
          <w:color w:val="auto"/>
          <w:sz w:val="28"/>
          <w:szCs w:val="28"/>
          <w:highlight w:val="none"/>
        </w:rPr>
        <w:t>外部配套设施齐全，</w:t>
      </w:r>
      <w:r>
        <w:rPr>
          <w:color w:val="auto"/>
          <w:sz w:val="28"/>
          <w:szCs w:val="28"/>
          <w:highlight w:val="none"/>
        </w:rPr>
        <w:t>区域内</w:t>
      </w:r>
      <w:r>
        <w:rPr>
          <w:rFonts w:hint="eastAsia"/>
          <w:color w:val="auto"/>
          <w:sz w:val="28"/>
          <w:szCs w:val="28"/>
          <w:highlight w:val="none"/>
        </w:rPr>
        <w:t>基础设施开发程度达到“</w:t>
      </w:r>
      <w:r>
        <w:rPr>
          <w:rFonts w:hint="eastAsia"/>
          <w:color w:val="auto"/>
          <w:sz w:val="28"/>
          <w:szCs w:val="28"/>
          <w:highlight w:val="none"/>
          <w:lang w:eastAsia="zh-CN"/>
        </w:rPr>
        <w:t>七</w:t>
      </w:r>
      <w:r>
        <w:rPr>
          <w:rFonts w:hint="eastAsia"/>
          <w:color w:val="auto"/>
          <w:sz w:val="28"/>
          <w:szCs w:val="28"/>
          <w:highlight w:val="none"/>
        </w:rPr>
        <w:t>通”即通路、通电、通讯、通上水、通下水</w:t>
      </w:r>
      <w:r>
        <w:rPr>
          <w:rFonts w:hint="eastAsia"/>
          <w:color w:val="auto"/>
          <w:sz w:val="28"/>
          <w:szCs w:val="28"/>
          <w:highlight w:val="none"/>
          <w:lang w:eastAsia="zh-CN"/>
        </w:rPr>
        <w:t>、通天然气、通暖气</w:t>
      </w:r>
      <w:r>
        <w:rPr>
          <w:color w:val="auto"/>
          <w:sz w:val="28"/>
          <w:szCs w:val="28"/>
          <w:highlight w:val="none"/>
        </w:rPr>
        <w:t>等</w:t>
      </w:r>
      <w:r>
        <w:rPr>
          <w:rFonts w:hint="eastAsia"/>
          <w:color w:val="auto"/>
          <w:sz w:val="28"/>
          <w:szCs w:val="28"/>
          <w:highlight w:val="none"/>
        </w:rPr>
        <w:t>。</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 xml:space="preserve">估价对象所在小区为博雅苑小区，小区附近有超市、商场等商业及休闲场所。周边有银行、医院等生活服务配套设施，有“禹州市夏都回族小学”、“禹州市颍川中心学校”等教育配套设施；外部配套设施齐全，区域内基础设施开发程度较高，基础生活配套设施完备。    </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rPr>
        <w:t xml:space="preserve">    （4）周边概况</w:t>
      </w:r>
      <w:r>
        <w:rPr>
          <w:rFonts w:hint="eastAsia" w:ascii="宋体" w:hAnsi="宋体" w:eastAsia="宋体" w:cs="宋体"/>
          <w:sz w:val="28"/>
          <w:szCs w:val="28"/>
        </w:rPr>
        <w:t xml:space="preserve"> </w:t>
      </w:r>
    </w:p>
    <w:p>
      <w:pPr>
        <w:bidi w:val="0"/>
        <w:spacing w:line="580" w:lineRule="exact"/>
        <w:ind w:firstLine="700"/>
        <w:jc w:val="left"/>
        <w:rPr>
          <w:rFonts w:hint="eastAsia" w:ascii="宋体" w:hAnsi="宋体" w:eastAsia="宋体" w:cs="宋体"/>
          <w:sz w:val="28"/>
          <w:szCs w:val="28"/>
          <w:lang w:eastAsia="zh-CN"/>
        </w:rPr>
      </w:pPr>
      <w:r>
        <w:rPr>
          <w:rFonts w:hint="eastAsia" w:ascii="宋体" w:hAnsi="宋体" w:eastAsia="宋体" w:cs="宋体"/>
          <w:sz w:val="28"/>
          <w:szCs w:val="28"/>
        </w:rPr>
        <w:t>估价对象周边无空气、水、辐射等污染，卫生整洁。人文、自然环境状况较好</w:t>
      </w:r>
      <w:r>
        <w:rPr>
          <w:rFonts w:hint="eastAsia" w:hAnsi="宋体" w:cs="宋体"/>
          <w:sz w:val="28"/>
          <w:szCs w:val="28"/>
          <w:lang w:eastAsia="zh-CN"/>
        </w:rPr>
        <w:t>，社区成熟度较高。</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3、估价对象实物状况</w:t>
      </w:r>
    </w:p>
    <w:p>
      <w:pPr>
        <w:bidi w:val="0"/>
        <w:spacing w:line="580" w:lineRule="exact"/>
        <w:ind w:left="636" w:hanging="355"/>
        <w:jc w:val="left"/>
        <w:rPr>
          <w:rFonts w:hint="eastAsia" w:ascii="宋体" w:hAnsi="宋体" w:eastAsia="宋体" w:cs="宋体"/>
          <w:sz w:val="28"/>
          <w:szCs w:val="28"/>
        </w:rPr>
      </w:pPr>
      <w:r>
        <w:rPr>
          <w:rFonts w:hint="eastAsia" w:ascii="宋体" w:hAnsi="宋体" w:eastAsia="宋体" w:cs="宋体"/>
          <w:sz w:val="28"/>
          <w:szCs w:val="28"/>
        </w:rPr>
        <w:t>（1）土地基本状况</w:t>
      </w:r>
    </w:p>
    <w:p>
      <w:pPr>
        <w:bidi w:val="0"/>
        <w:spacing w:line="580" w:lineRule="exact"/>
        <w:ind w:firstLine="560"/>
        <w:jc w:val="left"/>
        <w:rPr>
          <w:rFonts w:hint="eastAsia" w:ascii="宋体" w:hAnsi="宋体" w:eastAsia="宋体" w:cs="宋体"/>
          <w:sz w:val="28"/>
          <w:szCs w:val="28"/>
        </w:rPr>
      </w:pPr>
      <w:r>
        <w:rPr>
          <w:rFonts w:hint="eastAsia" w:hAnsi="宋体" w:cs="宋体"/>
          <w:sz w:val="28"/>
          <w:szCs w:val="28"/>
          <w:lang w:eastAsia="zh-CN"/>
        </w:rPr>
        <w:t>估价委托人未提供估价对象土地信息，</w:t>
      </w:r>
      <w:r>
        <w:rPr>
          <w:rFonts w:hint="eastAsia" w:ascii="宋体" w:hAnsi="宋体" w:eastAsia="宋体" w:cs="宋体"/>
          <w:sz w:val="28"/>
          <w:szCs w:val="28"/>
        </w:rPr>
        <w:t>估价对象所在项目整体地势平坦，地质条件较好，土地承载力高，与相邻土地无明显高低落差，利于自然排水，开发程度较高，达“</w:t>
      </w:r>
      <w:r>
        <w:rPr>
          <w:rFonts w:hint="eastAsia" w:hAnsi="宋体" w:cs="宋体"/>
          <w:sz w:val="28"/>
          <w:szCs w:val="28"/>
          <w:lang w:eastAsia="zh-CN"/>
        </w:rPr>
        <w:t>七</w:t>
      </w:r>
      <w:r>
        <w:rPr>
          <w:rFonts w:hint="eastAsia" w:ascii="宋体" w:hAnsi="宋体" w:eastAsia="宋体" w:cs="宋体"/>
          <w:sz w:val="28"/>
          <w:szCs w:val="28"/>
        </w:rPr>
        <w:t>通一平”即给水、排水、通路</w:t>
      </w:r>
      <w:r>
        <w:rPr>
          <w:rFonts w:hint="eastAsia" w:hAnsi="宋体" w:cs="宋体"/>
          <w:sz w:val="28"/>
          <w:szCs w:val="28"/>
          <w:lang w:eastAsia="zh-CN"/>
        </w:rPr>
        <w:t>、</w:t>
      </w:r>
      <w:r>
        <w:rPr>
          <w:rFonts w:hint="eastAsia" w:ascii="宋体" w:hAnsi="宋体" w:eastAsia="宋体" w:cs="宋体"/>
          <w:sz w:val="28"/>
          <w:szCs w:val="28"/>
        </w:rPr>
        <w:t>通电、通讯、</w:t>
      </w:r>
      <w:r>
        <w:rPr>
          <w:rFonts w:hint="eastAsia" w:hAnsi="宋体" w:cs="宋体"/>
          <w:sz w:val="28"/>
          <w:szCs w:val="28"/>
          <w:lang w:eastAsia="zh-CN"/>
        </w:rPr>
        <w:t>通天然气、通暖气、</w:t>
      </w:r>
      <w:r>
        <w:rPr>
          <w:rFonts w:hint="eastAsia" w:ascii="宋体" w:hAnsi="宋体" w:eastAsia="宋体" w:cs="宋体"/>
          <w:sz w:val="28"/>
          <w:szCs w:val="28"/>
        </w:rPr>
        <w:t xml:space="preserve">土地平整。 </w:t>
      </w:r>
    </w:p>
    <w:p>
      <w:pPr>
        <w:bidi w:val="0"/>
        <w:spacing w:line="580" w:lineRule="exact"/>
        <w:ind w:firstLine="420"/>
        <w:rPr>
          <w:rFonts w:hint="eastAsia" w:ascii="宋体" w:hAnsi="宋体" w:eastAsia="宋体" w:cs="宋体"/>
          <w:sz w:val="28"/>
          <w:szCs w:val="28"/>
        </w:rPr>
      </w:pPr>
      <w:r>
        <w:rPr>
          <w:rFonts w:hint="eastAsia" w:ascii="宋体" w:hAnsi="宋体" w:eastAsia="宋体" w:cs="宋体"/>
          <w:sz w:val="28"/>
          <w:szCs w:val="28"/>
        </w:rPr>
        <w:t>（2）建筑物基本状况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价值时点经注册房地产估价师实地查勘，估价对象为</w:t>
      </w:r>
      <w:r>
        <w:rPr>
          <w:rFonts w:hint="eastAsia" w:hAnsi="宋体" w:cs="Times New Roman"/>
          <w:kern w:val="2"/>
          <w:sz w:val="28"/>
          <w:szCs w:val="28"/>
          <w:lang w:val="en-US" w:eastAsia="zh-CN"/>
        </w:rPr>
        <w:t>混合</w:t>
      </w:r>
      <w:r>
        <w:rPr>
          <w:rFonts w:hint="eastAsia" w:ascii="宋体" w:hAnsi="宋体" w:eastAsia="宋体" w:cs="Times New Roman"/>
          <w:kern w:val="2"/>
          <w:sz w:val="28"/>
          <w:szCs w:val="28"/>
          <w:lang w:val="en-US" w:eastAsia="zh-CN"/>
        </w:rPr>
        <w:t>结构</w:t>
      </w:r>
      <w:r>
        <w:rPr>
          <w:rFonts w:hint="eastAsia" w:hAnsi="宋体" w:cs="Times New Roman"/>
          <w:kern w:val="2"/>
          <w:sz w:val="28"/>
          <w:szCs w:val="28"/>
          <w:lang w:val="en-US" w:eastAsia="zh-CN"/>
        </w:rPr>
        <w:t>。</w:t>
      </w:r>
      <w:r>
        <w:rPr>
          <w:rFonts w:hint="eastAsia" w:ascii="宋体" w:hAnsi="宋体" w:eastAsia="宋体" w:cs="Times New Roman"/>
          <w:kern w:val="2"/>
          <w:sz w:val="28"/>
          <w:szCs w:val="28"/>
          <w:lang w:val="en-US" w:eastAsia="zh-CN"/>
        </w:rPr>
        <w:t>整体</w:t>
      </w:r>
      <w:r>
        <w:rPr>
          <w:rFonts w:hint="eastAsia" w:hAnsi="宋体" w:cs="Times New Roman"/>
          <w:kern w:val="2"/>
          <w:sz w:val="28"/>
          <w:szCs w:val="28"/>
          <w:lang w:val="en-US" w:eastAsia="zh-CN"/>
        </w:rPr>
        <w:t>建筑</w:t>
      </w:r>
      <w:r>
        <w:rPr>
          <w:rFonts w:hint="eastAsia" w:ascii="宋体" w:hAnsi="宋体" w:eastAsia="宋体" w:cs="Times New Roman"/>
          <w:kern w:val="2"/>
          <w:sz w:val="28"/>
          <w:szCs w:val="28"/>
          <w:lang w:val="en-US" w:eastAsia="zh-CN"/>
        </w:rPr>
        <w:t>共</w:t>
      </w:r>
      <w:r>
        <w:rPr>
          <w:rFonts w:hint="eastAsia" w:hAnsi="宋体" w:cs="Times New Roman"/>
          <w:kern w:val="2"/>
          <w:sz w:val="28"/>
          <w:szCs w:val="28"/>
          <w:lang w:val="en-US" w:eastAsia="zh-CN"/>
        </w:rPr>
        <w:t>7</w:t>
      </w:r>
      <w:r>
        <w:rPr>
          <w:rFonts w:hint="eastAsia" w:ascii="宋体" w:hAnsi="宋体" w:eastAsia="宋体" w:cs="Times New Roman"/>
          <w:kern w:val="2"/>
          <w:sz w:val="28"/>
          <w:szCs w:val="28"/>
          <w:lang w:val="en-US" w:eastAsia="zh-CN"/>
        </w:rPr>
        <w:t>层，其位于</w:t>
      </w:r>
      <w:r>
        <w:rPr>
          <w:rFonts w:hint="eastAsia" w:hAnsi="宋体" w:cs="Times New Roman"/>
          <w:kern w:val="2"/>
          <w:sz w:val="28"/>
          <w:szCs w:val="28"/>
          <w:lang w:val="en-US" w:eastAsia="zh-CN"/>
        </w:rPr>
        <w:t>顶</w:t>
      </w:r>
      <w:r>
        <w:rPr>
          <w:rFonts w:hint="eastAsia" w:ascii="宋体" w:hAnsi="宋体" w:cs="Times New Roman"/>
          <w:kern w:val="2"/>
          <w:sz w:val="28"/>
          <w:szCs w:val="28"/>
          <w:lang w:val="en-US" w:eastAsia="zh-CN"/>
        </w:rPr>
        <w:t>层</w:t>
      </w:r>
      <w:r>
        <w:rPr>
          <w:rFonts w:hint="eastAsia" w:ascii="宋体" w:hAnsi="宋体" w:eastAsia="宋体" w:cs="Times New Roman"/>
          <w:kern w:val="2"/>
          <w:sz w:val="28"/>
          <w:szCs w:val="28"/>
          <w:lang w:val="en-US" w:eastAsia="zh-CN"/>
        </w:rPr>
        <w:t>，</w:t>
      </w:r>
      <w:r>
        <w:rPr>
          <w:rFonts w:hint="eastAsia" w:ascii="宋体" w:hAnsi="Times New Roman" w:eastAsia="宋体" w:cs="Times New Roman"/>
          <w:kern w:val="2"/>
          <w:sz w:val="28"/>
          <w:szCs w:val="28"/>
          <w:lang w:val="en-US" w:eastAsia="zh-CN"/>
        </w:rPr>
        <w:t>规划用途为</w:t>
      </w:r>
      <w:r>
        <w:rPr>
          <w:rFonts w:hint="eastAsia" w:ascii="宋体" w:hAnsi="Times New Roman" w:cs="Times New Roman"/>
          <w:kern w:val="2"/>
          <w:sz w:val="28"/>
          <w:szCs w:val="28"/>
          <w:lang w:val="en-US" w:eastAsia="zh-CN"/>
        </w:rPr>
        <w:t>住宅，</w:t>
      </w:r>
      <w:r>
        <w:rPr>
          <w:rFonts w:hint="eastAsia" w:hAnsi="宋体" w:cs="宋体"/>
          <w:sz w:val="28"/>
          <w:szCs w:val="28"/>
          <w:lang w:val="en-US" w:eastAsia="zh-CN"/>
        </w:rPr>
        <w:t>户型为三室两厅一厨两卫，建筑物维护状况一般。</w:t>
      </w:r>
      <w:r>
        <w:rPr>
          <w:rFonts w:hint="eastAsia" w:ascii="宋体" w:hAnsi="宋体" w:eastAsia="宋体" w:cs="Times New Roman"/>
          <w:kern w:val="2"/>
          <w:sz w:val="28"/>
          <w:szCs w:val="28"/>
          <w:lang w:val="en-US" w:eastAsia="zh-CN"/>
        </w:rPr>
        <w:t>根据委托人提供的</w:t>
      </w:r>
      <w:r>
        <w:rPr>
          <w:rFonts w:hint="eastAsia" w:ascii="宋体" w:hAnsi="宋体" w:cs="Times New Roman"/>
          <w:kern w:val="2"/>
          <w:sz w:val="28"/>
          <w:szCs w:val="28"/>
          <w:lang w:val="en-US" w:eastAsia="zh-CN"/>
        </w:rPr>
        <w:t>《</w:t>
      </w:r>
      <w:r>
        <w:rPr>
          <w:rFonts w:hint="eastAsia" w:hAnsi="宋体" w:cs="Times New Roman"/>
          <w:kern w:val="2"/>
          <w:sz w:val="28"/>
          <w:szCs w:val="28"/>
          <w:lang w:val="en-US" w:eastAsia="zh-CN"/>
        </w:rPr>
        <w:t>不动产权登记记载表</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复印件记载：房屋总建筑面积为</w:t>
      </w:r>
      <w:r>
        <w:rPr>
          <w:rFonts w:hint="eastAsia" w:hAnsi="宋体" w:cs="Times New Roman"/>
          <w:kern w:val="2"/>
          <w:sz w:val="28"/>
          <w:szCs w:val="28"/>
          <w:lang w:val="en-US" w:eastAsia="zh-CN"/>
        </w:rPr>
        <w:t>134.21</w:t>
      </w:r>
      <w:r>
        <w:rPr>
          <w:rFonts w:hint="eastAsia" w:ascii="宋体" w:hAnsi="宋体" w:eastAsia="宋体" w:cs="Times New Roman"/>
          <w:kern w:val="2"/>
          <w:sz w:val="28"/>
          <w:szCs w:val="28"/>
          <w:lang w:val="en-US" w:eastAsia="zh-CN"/>
        </w:rPr>
        <w:t>平方米。价值时点经估价人员现场查勘，室内装修及配套情况如下：</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门窗：入户门为防盗门</w:t>
      </w:r>
      <w:r>
        <w:rPr>
          <w:rFonts w:hint="eastAsia" w:ascii="宋体" w:hAnsi="宋体" w:cs="Times New Roman"/>
          <w:kern w:val="2"/>
          <w:sz w:val="28"/>
          <w:szCs w:val="28"/>
          <w:lang w:val="en-US" w:eastAsia="zh-CN"/>
        </w:rPr>
        <w:t>，室内木门，</w:t>
      </w:r>
      <w:r>
        <w:rPr>
          <w:rFonts w:hint="eastAsia" w:hAnsi="宋体" w:cs="Times New Roman"/>
          <w:kern w:val="2"/>
          <w:sz w:val="28"/>
          <w:szCs w:val="28"/>
          <w:lang w:val="en-US" w:eastAsia="zh-CN"/>
        </w:rPr>
        <w:t>塑钢窗</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hAnsi="宋体" w:cs="Times New Roman"/>
          <w:kern w:val="2"/>
          <w:sz w:val="28"/>
          <w:szCs w:val="28"/>
          <w:lang w:val="en-US" w:eastAsia="zh-CN"/>
        </w:rPr>
        <w:t>客厅、厨房、卫生间</w:t>
      </w:r>
      <w:r>
        <w:rPr>
          <w:rFonts w:hint="eastAsia" w:ascii="宋体" w:hAnsi="宋体" w:eastAsia="宋体" w:cs="Times New Roman"/>
          <w:kern w:val="2"/>
          <w:sz w:val="28"/>
          <w:szCs w:val="28"/>
          <w:lang w:val="en-US" w:eastAsia="zh-CN"/>
        </w:rPr>
        <w:t>地面：</w:t>
      </w:r>
      <w:r>
        <w:rPr>
          <w:rFonts w:hint="eastAsia" w:ascii="宋体" w:hAnsi="宋体" w:cs="Times New Roman"/>
          <w:kern w:val="2"/>
          <w:sz w:val="28"/>
          <w:szCs w:val="28"/>
          <w:lang w:val="en-US" w:eastAsia="zh-CN"/>
        </w:rPr>
        <w:t>地板砖</w:t>
      </w:r>
      <w:r>
        <w:rPr>
          <w:rFonts w:hint="eastAsia" w:ascii="宋体" w:hAnsi="宋体" w:eastAsia="宋体" w:cs="Times New Roman"/>
          <w:kern w:val="2"/>
          <w:sz w:val="28"/>
          <w:szCs w:val="28"/>
          <w:lang w:val="en-US" w:eastAsia="zh-CN"/>
        </w:rPr>
        <w:t>；</w:t>
      </w:r>
      <w:r>
        <w:rPr>
          <w:rFonts w:hint="eastAsia" w:hAnsi="宋体" w:cs="Times New Roman"/>
          <w:kern w:val="2"/>
          <w:sz w:val="28"/>
          <w:szCs w:val="28"/>
          <w:lang w:val="en-US" w:eastAsia="zh-CN"/>
        </w:rPr>
        <w:t>卧室：木地板；</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lang w:eastAsia="zh-CN"/>
        </w:rPr>
      </w:pPr>
      <w:r>
        <w:rPr>
          <w:rFonts w:hint="eastAsia" w:ascii="宋体" w:hAnsi="宋体" w:eastAsia="宋体" w:cs="Times New Roman"/>
          <w:kern w:val="2"/>
          <w:sz w:val="28"/>
          <w:szCs w:val="28"/>
          <w:lang w:val="en-US" w:eastAsia="zh-CN"/>
        </w:rPr>
        <w:t>墙面：</w:t>
      </w:r>
      <w:r>
        <w:rPr>
          <w:rFonts w:hint="eastAsia" w:hAnsi="宋体" w:cs="Times New Roman"/>
          <w:kern w:val="2"/>
          <w:sz w:val="28"/>
          <w:szCs w:val="28"/>
          <w:lang w:val="en-US" w:eastAsia="zh-CN"/>
        </w:rPr>
        <w:t>乳胶漆</w:t>
      </w:r>
      <w:r>
        <w:rPr>
          <w:rFonts w:hint="eastAsia" w:ascii="宋体" w:hAnsi="宋体" w:eastAsia="宋体" w:cs="Times New Roman"/>
          <w:kern w:val="2"/>
          <w:sz w:val="28"/>
          <w:szCs w:val="28"/>
          <w:lang w:val="en-US" w:eastAsia="zh-CN"/>
        </w:rPr>
        <w:t>；</w:t>
      </w:r>
      <w:r>
        <w:rPr>
          <w:rFonts w:hint="eastAsia" w:hAnsi="宋体" w:cs="Times New Roman"/>
          <w:kern w:val="2"/>
          <w:sz w:val="28"/>
          <w:szCs w:val="28"/>
          <w:lang w:val="en-US" w:eastAsia="zh-CN"/>
        </w:rPr>
        <w:t>吊顶</w:t>
      </w:r>
      <w:r>
        <w:rPr>
          <w:rFonts w:hint="eastAsia" w:ascii="宋体" w:hAnsi="宋体" w:eastAsia="宋体" w:cs="Times New Roman"/>
          <w:kern w:val="2"/>
          <w:sz w:val="28"/>
          <w:szCs w:val="28"/>
          <w:lang w:val="en-US" w:eastAsia="zh-CN"/>
        </w:rPr>
        <w:t>：</w:t>
      </w:r>
      <w:r>
        <w:rPr>
          <w:rFonts w:hint="eastAsia" w:hAnsi="宋体" w:cs="Times New Roman"/>
          <w:kern w:val="2"/>
          <w:sz w:val="28"/>
          <w:szCs w:val="28"/>
          <w:lang w:val="en-US" w:eastAsia="zh-CN"/>
        </w:rPr>
        <w:t>石膏板吊顶</w:t>
      </w:r>
      <w:r>
        <w:rPr>
          <w:rFonts w:hint="eastAsia" w:ascii="宋体" w:hAnsi="宋体" w:eastAsia="宋体" w:cs="Times New Roman"/>
          <w:kern w:val="2"/>
          <w:sz w:val="28"/>
          <w:szCs w:val="28"/>
          <w:lang w:val="en-US" w:eastAsia="zh-CN"/>
        </w:rPr>
        <w:t>；外墙：</w:t>
      </w:r>
      <w:r>
        <w:rPr>
          <w:rFonts w:hint="eastAsia" w:hAnsi="宋体" w:cs="Times New Roman"/>
          <w:kern w:val="2"/>
          <w:sz w:val="28"/>
          <w:szCs w:val="28"/>
          <w:lang w:val="en-US" w:eastAsia="zh-CN"/>
        </w:rPr>
        <w:t>墙砖墙面</w:t>
      </w:r>
      <w:r>
        <w:rPr>
          <w:rFonts w:hint="eastAsia" w:ascii="宋体" w:hAnsi="宋体" w:eastAsia="宋体" w:cs="Times New Roman"/>
          <w:kern w:val="2"/>
          <w:sz w:val="28"/>
          <w:szCs w:val="28"/>
          <w:lang w:val="en-US" w:eastAsia="zh-CN"/>
        </w:rPr>
        <w:t>；</w:t>
      </w:r>
    </w:p>
    <w:p>
      <w:pPr>
        <w:bidi w:val="0"/>
        <w:spacing w:line="580" w:lineRule="exact"/>
        <w:ind w:firstLine="602"/>
        <w:rPr>
          <w:rFonts w:hint="eastAsia" w:ascii="宋体" w:hAnsi="宋体" w:eastAsia="宋体" w:cs="宋体"/>
          <w:sz w:val="28"/>
          <w:szCs w:val="28"/>
        </w:rPr>
      </w:pPr>
      <w:r>
        <w:rPr>
          <w:rFonts w:hint="eastAsia" w:ascii="宋体" w:hAnsi="宋体" w:eastAsia="宋体" w:cs="宋体"/>
          <w:sz w:val="28"/>
          <w:szCs w:val="28"/>
        </w:rPr>
        <w:t>通过估价对象照片可以更直观的了解估价对象所处位置环境、景观（见附件）。</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4、估价对象权益状况</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根据估价委托人提供</w:t>
      </w:r>
      <w:r>
        <w:rPr>
          <w:rFonts w:hint="eastAsia" w:ascii="宋体" w:hAnsi="宋体" w:eastAsia="宋体" w:cs="宋体"/>
          <w:sz w:val="28"/>
          <w:szCs w:val="28"/>
          <w:lang w:eastAsia="zh-CN"/>
        </w:rPr>
        <w:t>资料</w:t>
      </w:r>
      <w:r>
        <w:rPr>
          <w:rFonts w:hint="eastAsia" w:ascii="宋体" w:hAnsi="宋体" w:eastAsia="宋体" w:cs="宋体"/>
          <w:sz w:val="28"/>
          <w:szCs w:val="28"/>
        </w:rPr>
        <w:t>显示</w:t>
      </w:r>
      <w:r>
        <w:rPr>
          <w:rFonts w:hint="eastAsia" w:ascii="宋体" w:hAnsi="宋体" w:eastAsia="宋体" w:cs="宋体"/>
          <w:sz w:val="28"/>
          <w:szCs w:val="28"/>
          <w:lang w:eastAsia="zh-CN"/>
        </w:rPr>
        <w:t>房屋所有权人</w:t>
      </w:r>
      <w:r>
        <w:rPr>
          <w:rFonts w:hint="eastAsia" w:ascii="宋体" w:hAnsi="宋体" w:eastAsia="宋体" w:cs="宋体"/>
          <w:sz w:val="28"/>
          <w:szCs w:val="28"/>
        </w:rPr>
        <w:t>为</w:t>
      </w:r>
      <w:r>
        <w:rPr>
          <w:rFonts w:hint="eastAsia" w:ascii="宋体" w:hAnsi="宋体" w:eastAsia="宋体" w:cs="宋体"/>
          <w:sz w:val="28"/>
          <w:szCs w:val="28"/>
          <w:lang w:eastAsia="zh-CN"/>
        </w:rPr>
        <w:t>冯志霞</w:t>
      </w:r>
      <w:r>
        <w:rPr>
          <w:rFonts w:hint="eastAsia" w:ascii="宋体" w:hAnsi="宋体" w:eastAsia="宋体" w:cs="宋体"/>
          <w:sz w:val="28"/>
          <w:szCs w:val="28"/>
        </w:rPr>
        <w:t>，</w:t>
      </w:r>
      <w:r>
        <w:rPr>
          <w:rFonts w:hint="eastAsia" w:ascii="宋体" w:hAnsi="宋体" w:eastAsia="宋体" w:cs="宋体"/>
          <w:sz w:val="28"/>
          <w:szCs w:val="28"/>
          <w:lang w:eastAsia="zh-CN"/>
        </w:rPr>
        <w:t>不动产权证号为</w:t>
      </w:r>
      <w:r>
        <w:rPr>
          <w:rFonts w:hint="eastAsia" w:ascii="宋体" w:hAnsi="宋体" w:eastAsia="宋体" w:cs="宋体"/>
          <w:sz w:val="28"/>
          <w:szCs w:val="28"/>
          <w:lang w:val="en-US" w:eastAsia="zh-CN"/>
        </w:rPr>
        <w:t>017609。</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估价对象房屋经注册房地产估价师调查，于价值时点已被人民法院查封，本次估价不考虑抵押、查封、出租等他项权利对价值的影响，设定估价对象房屋权益明确，资料来源有依据，权属无异议。</w:t>
      </w:r>
      <w:r>
        <w:rPr>
          <w:rFonts w:hint="eastAsia" w:ascii="宋体" w:hAnsi="宋体" w:eastAsia="宋体" w:cs="宋体"/>
          <w:kern w:val="0"/>
          <w:sz w:val="28"/>
          <w:szCs w:val="28"/>
        </w:rPr>
        <w:t>估价人员未向当地政府有关管理部门查询相关产权、产籍资料。</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（五）价值时点</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根据《房地产估价规范》规定：“价值时点应根据估价目的确定，原则上为完成估价对象实地查勘之日，但估价委托书另有约定的除外”。</w:t>
      </w:r>
      <w:r>
        <w:rPr>
          <w:rFonts w:hint="eastAsia" w:hAnsi="宋体" w:cs="宋体"/>
          <w:sz w:val="28"/>
          <w:szCs w:val="28"/>
          <w:lang w:eastAsia="zh-CN"/>
        </w:rPr>
        <w:t>司法鉴定委托书</w:t>
      </w:r>
      <w:r>
        <w:rPr>
          <w:rFonts w:hint="eastAsia" w:ascii="宋体" w:hAnsi="宋体" w:eastAsia="宋体" w:cs="宋体"/>
          <w:sz w:val="28"/>
          <w:szCs w:val="28"/>
        </w:rPr>
        <w:t>未注明价值时点，本次估价根据估价目的以完成实地查勘日为价值时点，即</w:t>
      </w:r>
      <w:r>
        <w:rPr>
          <w:rFonts w:hint="eastAsia" w:hAnsi="宋体" w:cs="宋体"/>
          <w:sz w:val="28"/>
          <w:szCs w:val="28"/>
          <w:lang w:eastAsia="zh-CN"/>
        </w:rPr>
        <w:t>2022年07月07日</w:t>
      </w:r>
      <w:r>
        <w:rPr>
          <w:rFonts w:hint="eastAsia" w:ascii="宋体" w:hAnsi="宋体" w:eastAsia="宋体" w:cs="宋体"/>
          <w:sz w:val="28"/>
          <w:szCs w:val="28"/>
        </w:rPr>
        <w:t>。</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（六）价值类型</w:t>
      </w:r>
    </w:p>
    <w:p>
      <w:pPr>
        <w:bidi w:val="0"/>
        <w:spacing w:line="580" w:lineRule="exact"/>
        <w:ind w:firstLine="560"/>
        <w:rPr>
          <w:rFonts w:hint="eastAsia" w:ascii="宋体" w:hAnsi="宋体" w:eastAsia="宋体" w:cs="宋体"/>
          <w:b/>
          <w:bCs/>
          <w:sz w:val="28"/>
          <w:szCs w:val="28"/>
        </w:rPr>
      </w:pPr>
      <w:r>
        <w:rPr>
          <w:rFonts w:hint="eastAsia" w:ascii="宋体" w:hAnsi="宋体" w:eastAsia="宋体" w:cs="宋体"/>
          <w:sz w:val="28"/>
          <w:szCs w:val="28"/>
        </w:rPr>
        <w:t>本报告</w:t>
      </w:r>
      <w:r>
        <w:rPr>
          <w:rFonts w:hint="eastAsia" w:ascii="宋体" w:hAnsi="宋体" w:eastAsia="宋体" w:cs="宋体"/>
          <w:bCs/>
          <w:sz w:val="28"/>
          <w:szCs w:val="28"/>
        </w:rPr>
        <w:t>价值类型</w:t>
      </w:r>
      <w:r>
        <w:rPr>
          <w:rFonts w:hint="eastAsia" w:ascii="宋体" w:hAnsi="宋体" w:eastAsia="宋体" w:cs="宋体"/>
          <w:sz w:val="28"/>
          <w:szCs w:val="28"/>
        </w:rPr>
        <w:t>为房地产市场价值。</w:t>
      </w:r>
    </w:p>
    <w:p>
      <w:pPr>
        <w:bidi w:val="0"/>
        <w:spacing w:line="580" w:lineRule="exact"/>
        <w:ind w:firstLine="560"/>
        <w:rPr>
          <w:rFonts w:hint="eastAsia" w:ascii="宋体" w:hAnsi="宋体" w:eastAsia="宋体" w:cs="宋体"/>
          <w:kern w:val="0"/>
          <w:sz w:val="28"/>
          <w:szCs w:val="28"/>
        </w:rPr>
      </w:pPr>
      <w:r>
        <w:rPr>
          <w:rFonts w:hint="eastAsia" w:ascii="宋体" w:hAnsi="宋体" w:eastAsia="宋体" w:cs="宋体"/>
          <w:sz w:val="28"/>
          <w:szCs w:val="28"/>
        </w:rPr>
        <w:t>房地产市场价值，是房地产经过适当营销后，由熟悉情况、谨慎行事且不受强迫的交易双方，以公平交易方式在价值时点自愿进行交易的金额，不考虑租赁、抵押、查封等因素的影响。</w:t>
      </w:r>
    </w:p>
    <w:p>
      <w:pPr>
        <w:bidi w:val="0"/>
        <w:spacing w:line="580" w:lineRule="exact"/>
        <w:ind w:firstLine="557"/>
        <w:rPr>
          <w:rFonts w:hint="eastAsia" w:ascii="宋体" w:hAnsi="宋体" w:eastAsia="宋体" w:cs="宋体"/>
          <w:b/>
          <w:kern w:val="0"/>
          <w:sz w:val="28"/>
          <w:szCs w:val="28"/>
        </w:rPr>
      </w:pPr>
      <w:r>
        <w:rPr>
          <w:rFonts w:hint="eastAsia" w:ascii="宋体" w:hAnsi="宋体" w:eastAsia="宋体" w:cs="宋体"/>
          <w:b/>
          <w:bCs/>
          <w:kern w:val="0"/>
          <w:sz w:val="28"/>
          <w:szCs w:val="28"/>
        </w:rPr>
        <w:t>（七）估价原则</w:t>
      </w:r>
      <w:r>
        <w:rPr>
          <w:rFonts w:hint="eastAsia" w:ascii="宋体" w:hAnsi="宋体" w:eastAsia="宋体" w:cs="宋体"/>
          <w:b/>
          <w:kern w:val="0"/>
          <w:sz w:val="28"/>
          <w:szCs w:val="28"/>
        </w:rPr>
        <w:t xml:space="preserve"> </w:t>
      </w:r>
    </w:p>
    <w:p>
      <w:pPr>
        <w:bidi w:val="0"/>
        <w:spacing w:line="580" w:lineRule="exact"/>
        <w:ind w:firstLine="420"/>
        <w:rPr>
          <w:rFonts w:hint="eastAsia" w:ascii="宋体" w:hAnsi="宋体" w:eastAsia="宋体" w:cs="宋体"/>
          <w:kern w:val="0"/>
          <w:sz w:val="28"/>
        </w:rPr>
      </w:pPr>
      <w:r>
        <w:rPr>
          <w:rFonts w:hint="eastAsia" w:ascii="宋体" w:hAnsi="宋体" w:eastAsia="宋体" w:cs="宋体"/>
          <w:kern w:val="0"/>
          <w:sz w:val="28"/>
          <w:szCs w:val="28"/>
        </w:rPr>
        <w:t xml:space="preserve">  本次估价遵守独立、客观、公正原则及合法原则、最高最佳利用原则、价值时点原则、替代原则等技术性原则。</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 xml:space="preserve"> 1、独立、客观、公正原则</w:t>
      </w:r>
    </w:p>
    <w:p>
      <w:pPr>
        <w:bidi w:val="0"/>
        <w:spacing w:line="580" w:lineRule="exact"/>
        <w:ind w:firstLine="560"/>
        <w:rPr>
          <w:rFonts w:hint="eastAsia" w:ascii="宋体" w:hAnsi="宋体" w:eastAsia="宋体" w:cs="宋体"/>
          <w:kern w:val="0"/>
          <w:sz w:val="28"/>
        </w:rPr>
      </w:pPr>
      <w:r>
        <w:rPr>
          <w:rFonts w:hint="eastAsia" w:ascii="宋体" w:hAnsi="宋体" w:eastAsia="宋体" w:cs="宋体"/>
          <w:kern w:val="0"/>
          <w:sz w:val="28"/>
          <w:szCs w:val="28"/>
        </w:rPr>
        <w:t>独立、客观、公正原则就是要求</w:t>
      </w:r>
      <w:r>
        <w:rPr>
          <w:rFonts w:hint="eastAsia" w:ascii="宋体" w:hAnsi="宋体" w:eastAsia="宋体" w:cs="宋体"/>
          <w:kern w:val="0"/>
          <w:sz w:val="28"/>
        </w:rPr>
        <w:t>房地产估价机构和注册房地产估价师与估价委托人及估价利害关系人没有利害关系，在估价中不带</w:t>
      </w:r>
      <w:r>
        <w:rPr>
          <w:rFonts w:hint="eastAsia" w:hAnsi="宋体" w:cs="宋体"/>
          <w:kern w:val="0"/>
          <w:sz w:val="28"/>
          <w:lang w:eastAsia="zh-CN"/>
        </w:rPr>
        <w:t>个人</w:t>
      </w:r>
      <w:r>
        <w:rPr>
          <w:rFonts w:hint="eastAsia" w:ascii="宋体" w:hAnsi="宋体" w:eastAsia="宋体" w:cs="宋体"/>
          <w:kern w:val="0"/>
          <w:sz w:val="28"/>
        </w:rPr>
        <w:t>情感、好恶和偏见，同时不偏袒利害关系人中的任何一方，按照事物的本来面目、实事求是、公平合理地进行估价。</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kern w:val="0"/>
          <w:sz w:val="28"/>
          <w:szCs w:val="28"/>
        </w:rPr>
        <w:t>2、合法原则</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bCs/>
          <w:kern w:val="0"/>
          <w:sz w:val="28"/>
          <w:szCs w:val="30"/>
        </w:rPr>
        <w:t>应以估价对象的合法使用、合法处分为前提进行。所谓合法，是指符合国家的法律、法规和当地政府的有关规定，其权益才能受法律保护，并体现其权益价值。</w:t>
      </w:r>
      <w:r>
        <w:rPr>
          <w:rFonts w:hint="eastAsia" w:ascii="宋体" w:hAnsi="宋体" w:eastAsia="宋体" w:cs="宋体"/>
          <w:kern w:val="0"/>
          <w:sz w:val="28"/>
          <w:szCs w:val="28"/>
        </w:rPr>
        <w:t>遵循合法原则，具体来说有下列几个方面：</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（1）在合法产权方面，应以房地产权属证书和有关证件为依据；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（2）在合法使用方面，应以城市规划、土地用途管制等为依据；</w:t>
      </w:r>
    </w:p>
    <w:p>
      <w:pPr>
        <w:topLinePunct/>
        <w:bidi w:val="0"/>
        <w:spacing w:line="580" w:lineRule="exact"/>
        <w:rPr>
          <w:rFonts w:hint="eastAsia" w:ascii="宋体" w:hAnsi="宋体" w:eastAsia="宋体" w:cs="宋体"/>
          <w:kern w:val="0"/>
          <w:sz w:val="28"/>
          <w:szCs w:val="28"/>
        </w:rPr>
      </w:pPr>
      <w:r>
        <w:rPr>
          <w:rFonts w:hint="eastAsia" w:ascii="宋体" w:hAnsi="宋体" w:eastAsia="宋体" w:cs="宋体"/>
          <w:kern w:val="0"/>
          <w:sz w:val="28"/>
          <w:szCs w:val="28"/>
        </w:rPr>
        <w:t xml:space="preserve">   （3）在合法处分方面，应以法律、法规或合同（如土地使用权出让合同）等允许的处分方式为依据；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（4）其他方面。</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至价值时点已被人民法院查封，本次估价不考虑查封、抵押、租赁等他项权利对价值的影响，设定估价对象房屋权益明确，资料来源有依据，权属无异议。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0"/>
          <w:sz w:val="28"/>
          <w:szCs w:val="28"/>
        </w:rPr>
      </w:pPr>
      <w:r>
        <w:rPr>
          <w:rFonts w:hint="eastAsia" w:ascii="宋体" w:hAnsi="宋体" w:eastAsia="宋体" w:cs="宋体"/>
          <w:kern w:val="0"/>
          <w:sz w:val="28"/>
          <w:szCs w:val="28"/>
        </w:rPr>
        <w:t>3、最高最佳利用原则</w:t>
      </w:r>
    </w:p>
    <w:p>
      <w:pPr>
        <w:bidi w:val="0"/>
        <w:spacing w:line="58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应以估价对象的最高最佳利用为前提进行。在合法利用前提下，房地产只有在最高最佳利用状态下才能发挥最大效用。最高最佳利用必须同时满足四个条件：法律上允许、技术上可能、财务上可行、价值最大化。经过充分合理的论证，能使估价对象产生最高价值的利用方式。最高最佳利用不是无条件的最高最佳利用，而是在法律、法规、政策以及建设用地使用权出让合同等允许范围内的最高最佳利用。</w:t>
      </w:r>
    </w:p>
    <w:p>
      <w:pPr>
        <w:bidi w:val="0"/>
        <w:spacing w:line="58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估价对象房屋</w:t>
      </w:r>
      <w:r>
        <w:rPr>
          <w:rFonts w:hint="eastAsia" w:ascii="宋体" w:hAnsi="宋体" w:eastAsia="宋体" w:cs="宋体"/>
          <w:kern w:val="0"/>
          <w:sz w:val="28"/>
          <w:szCs w:val="28"/>
          <w:lang w:eastAsia="zh-CN"/>
        </w:rPr>
        <w:t>实勘用途为</w:t>
      </w:r>
      <w:r>
        <w:rPr>
          <w:rFonts w:hint="eastAsia" w:hAnsi="宋体" w:cs="宋体"/>
          <w:kern w:val="0"/>
          <w:sz w:val="28"/>
          <w:szCs w:val="28"/>
          <w:lang w:eastAsia="zh-CN"/>
        </w:rPr>
        <w:t>住宅</w:t>
      </w:r>
      <w:r>
        <w:rPr>
          <w:rFonts w:hint="eastAsia" w:ascii="宋体" w:hAnsi="宋体" w:eastAsia="宋体" w:cs="宋体"/>
          <w:kern w:val="0"/>
          <w:sz w:val="28"/>
          <w:szCs w:val="28"/>
        </w:rPr>
        <w:t>，根据注册房地产估价师现场查勘了解和对估价对象平面布局及实物状况分析，以及对估价对象周边环境和房地产市场的调查研究，估价对象房屋成新度</w:t>
      </w:r>
      <w:r>
        <w:rPr>
          <w:rFonts w:hint="eastAsia" w:hAnsi="宋体" w:cs="宋体"/>
          <w:kern w:val="0"/>
          <w:sz w:val="28"/>
          <w:szCs w:val="28"/>
          <w:lang w:eastAsia="zh-CN"/>
        </w:rPr>
        <w:t>一般</w:t>
      </w:r>
      <w:r>
        <w:rPr>
          <w:rFonts w:hint="eastAsia" w:ascii="宋体" w:hAnsi="宋体" w:eastAsia="宋体" w:cs="宋体"/>
          <w:kern w:val="0"/>
          <w:sz w:val="28"/>
          <w:szCs w:val="28"/>
        </w:rPr>
        <w:t>，该房地产目前的</w:t>
      </w:r>
      <w:r>
        <w:rPr>
          <w:rFonts w:hint="eastAsia" w:hAnsi="宋体" w:cs="宋体"/>
          <w:kern w:val="0"/>
          <w:sz w:val="28"/>
          <w:szCs w:val="28"/>
          <w:lang w:eastAsia="zh-CN"/>
        </w:rPr>
        <w:t>住宅</w:t>
      </w:r>
      <w:r>
        <w:rPr>
          <w:rFonts w:hint="eastAsia" w:ascii="宋体" w:hAnsi="宋体" w:eastAsia="宋体" w:cs="宋体"/>
          <w:kern w:val="0"/>
          <w:sz w:val="28"/>
          <w:szCs w:val="28"/>
        </w:rPr>
        <w:t>用途符合最高最佳使用原则，保持现状继续使用最为有利，本次估价按</w:t>
      </w:r>
      <w:r>
        <w:rPr>
          <w:rFonts w:hint="eastAsia" w:hAnsi="宋体" w:cs="宋体"/>
          <w:kern w:val="0"/>
          <w:sz w:val="28"/>
          <w:szCs w:val="28"/>
          <w:lang w:eastAsia="zh-CN"/>
        </w:rPr>
        <w:t>住宅</w:t>
      </w:r>
      <w:r>
        <w:rPr>
          <w:rFonts w:hint="eastAsia" w:ascii="宋体" w:hAnsi="宋体" w:eastAsia="宋体" w:cs="宋体"/>
          <w:kern w:val="0"/>
          <w:sz w:val="28"/>
          <w:szCs w:val="28"/>
        </w:rPr>
        <w:t>用途继续使用做为最高最佳利用前提</w:t>
      </w:r>
      <w:r>
        <w:rPr>
          <w:rFonts w:hint="eastAsia" w:hAnsi="宋体" w:cs="宋体"/>
          <w:kern w:val="0"/>
          <w:sz w:val="28"/>
          <w:szCs w:val="28"/>
          <w:lang w:eastAsia="zh-CN"/>
        </w:rPr>
        <w:t>，</w:t>
      </w:r>
      <w:r>
        <w:rPr>
          <w:rFonts w:hint="eastAsia" w:ascii="宋体" w:hAnsi="宋体" w:eastAsia="宋体" w:cs="宋体"/>
          <w:kern w:val="0"/>
          <w:sz w:val="28"/>
          <w:szCs w:val="28"/>
        </w:rPr>
        <w:t>此种使用方式能够使价值达到最大化。</w:t>
      </w:r>
    </w:p>
    <w:p>
      <w:pPr>
        <w:topLinePunct/>
        <w:bidi w:val="0"/>
        <w:spacing w:line="580" w:lineRule="exact"/>
        <w:ind w:firstLine="560"/>
        <w:rPr>
          <w:rFonts w:hint="eastAsia" w:ascii="宋体" w:hAnsi="宋体" w:eastAsia="宋体" w:cs="宋体"/>
          <w:sz w:val="28"/>
          <w:szCs w:val="24"/>
        </w:rPr>
      </w:pPr>
      <w:r>
        <w:rPr>
          <w:rFonts w:hint="eastAsia" w:ascii="宋体" w:hAnsi="宋体" w:eastAsia="宋体" w:cs="宋体"/>
          <w:kern w:val="0"/>
          <w:sz w:val="28"/>
          <w:szCs w:val="28"/>
        </w:rPr>
        <w:t>4</w:t>
      </w:r>
      <w:r>
        <w:rPr>
          <w:rFonts w:hint="eastAsia" w:ascii="宋体" w:hAnsi="宋体" w:eastAsia="宋体" w:cs="宋体"/>
          <w:sz w:val="28"/>
          <w:szCs w:val="24"/>
        </w:rPr>
        <w:t>、价值时点原则</w:t>
      </w:r>
    </w:p>
    <w:p>
      <w:pPr>
        <w:topLinePunct/>
        <w:bidi w:val="0"/>
        <w:spacing w:line="580" w:lineRule="exact"/>
        <w:ind w:firstLine="560"/>
        <w:rPr>
          <w:rFonts w:hint="eastAsia" w:ascii="宋体" w:hAnsi="宋体" w:eastAsia="宋体" w:cs="宋体"/>
          <w:sz w:val="28"/>
          <w:szCs w:val="24"/>
        </w:rPr>
      </w:pPr>
      <w:r>
        <w:rPr>
          <w:rFonts w:hint="eastAsia" w:ascii="宋体" w:hAnsi="宋体" w:eastAsia="宋体" w:cs="宋体"/>
          <w:sz w:val="28"/>
          <w:szCs w:val="24"/>
        </w:rPr>
        <w:t>估价结果是估价对象在价值时点的客观合理价格或价值。</w:t>
      </w:r>
    </w:p>
    <w:p>
      <w:pPr>
        <w:topLinePunct/>
        <w:bidi w:val="0"/>
        <w:spacing w:line="580" w:lineRule="exact"/>
        <w:ind w:firstLine="560"/>
        <w:rPr>
          <w:rFonts w:hint="eastAsia"/>
        </w:rPr>
      </w:pPr>
      <w:r>
        <w:rPr>
          <w:rFonts w:hint="eastAsia" w:ascii="宋体" w:hAnsi="宋体" w:eastAsia="宋体" w:cs="宋体"/>
          <w:sz w:val="28"/>
          <w:szCs w:val="24"/>
        </w:rPr>
        <w:t>估价结论具有很强的时间相关性，主要是考虑到资金的时间价值，在不同时间点上发生的现金流量对其价值影响不同。所以，房地产估价时如果一些款项的发生时点与价值时点不一致，应当折算为价值时点的现值。估价结</w:t>
      </w:r>
      <w:r>
        <w:rPr>
          <w:rFonts w:hint="eastAsia" w:ascii="宋体" w:hAnsi="宋体" w:eastAsia="宋体" w:cs="宋体"/>
          <w:sz w:val="28"/>
          <w:szCs w:val="24"/>
          <w:lang w:eastAsia="zh-CN"/>
        </w:rPr>
        <w:t>论</w:t>
      </w:r>
      <w:r>
        <w:rPr>
          <w:rFonts w:hint="eastAsia" w:ascii="宋体" w:hAnsi="宋体" w:eastAsia="宋体" w:cs="宋体"/>
          <w:sz w:val="28"/>
          <w:szCs w:val="24"/>
        </w:rPr>
        <w:t>同时具有很强的时效性，这主要是考虑到房地产市场价值的波动性，同一估价对象在不同时点会具有不同的价值。</w:t>
      </w:r>
    </w:p>
    <w:p>
      <w:pPr>
        <w:widowControl/>
        <w:bidi w:val="0"/>
        <w:spacing w:line="580" w:lineRule="exact"/>
        <w:ind w:firstLine="691"/>
        <w:rPr>
          <w:rFonts w:hint="eastAsia" w:ascii="宋体" w:hAnsi="宋体" w:eastAsia="宋体" w:cs="宋体"/>
          <w:kern w:val="0"/>
          <w:sz w:val="28"/>
          <w:szCs w:val="28"/>
        </w:rPr>
      </w:pPr>
      <w:r>
        <w:rPr>
          <w:rFonts w:hint="eastAsia" w:ascii="宋体" w:hAnsi="宋体" w:eastAsia="宋体" w:cs="宋体"/>
          <w:kern w:val="0"/>
          <w:sz w:val="28"/>
          <w:szCs w:val="28"/>
        </w:rPr>
        <w:t>5、替代原则</w:t>
      </w:r>
    </w:p>
    <w:p>
      <w:pPr>
        <w:bidi w:val="0"/>
        <w:spacing w:line="580" w:lineRule="exact"/>
        <w:ind w:firstLine="560"/>
        <w:rPr>
          <w:rFonts w:hint="eastAsia" w:ascii="宋体" w:hAnsi="宋体" w:eastAsia="宋体" w:cs="宋体"/>
          <w:kern w:val="0"/>
          <w:sz w:val="28"/>
          <w:szCs w:val="21"/>
        </w:rPr>
      </w:pPr>
      <w:r>
        <w:rPr>
          <w:rFonts w:hint="eastAsia" w:ascii="宋体" w:hAnsi="宋体" w:eastAsia="宋体" w:cs="宋体"/>
          <w:kern w:val="0"/>
          <w:sz w:val="28"/>
          <w:szCs w:val="28"/>
        </w:rPr>
        <w:t>要求估价结果与估价对象的类似房地产在同等条件下的价值或价格偏差在合理范围内。本次估价充分考虑了估价对象同一供求范围内，在用途、规模、档次、建筑结构等方面类似的房地产之间具有相互影响作用，其价格相互牵掣而趋于一致。</w:t>
      </w:r>
    </w:p>
    <w:p>
      <w:pPr>
        <w:topLinePunct/>
        <w:bidi w:val="0"/>
        <w:spacing w:line="580" w:lineRule="exact"/>
        <w:ind w:firstLine="559"/>
        <w:rPr>
          <w:rFonts w:hint="eastAsia" w:ascii="宋体" w:hAnsi="宋体" w:eastAsia="宋体" w:cs="宋体"/>
          <w:b/>
          <w:bCs/>
          <w:sz w:val="28"/>
          <w:szCs w:val="28"/>
        </w:rPr>
      </w:pPr>
      <w:r>
        <w:rPr>
          <w:rFonts w:hint="eastAsia" w:ascii="宋体" w:hAnsi="宋体" w:eastAsia="宋体" w:cs="宋体"/>
          <w:b/>
          <w:bCs/>
          <w:sz w:val="28"/>
          <w:szCs w:val="28"/>
        </w:rPr>
        <w:t>（八）估价依据</w:t>
      </w:r>
    </w:p>
    <w:p>
      <w:pPr>
        <w:bidi w:val="0"/>
        <w:spacing w:line="560" w:lineRule="exact"/>
        <w:ind w:firstLine="557"/>
        <w:rPr>
          <w:rFonts w:hint="eastAsia" w:hAnsi="宋体"/>
          <w:color w:val="000000"/>
          <w:sz w:val="28"/>
          <w:szCs w:val="28"/>
        </w:rPr>
      </w:pPr>
      <w:r>
        <w:rPr>
          <w:rFonts w:hint="eastAsia" w:hAnsi="宋体"/>
          <w:color w:val="000000"/>
          <w:sz w:val="28"/>
          <w:szCs w:val="28"/>
        </w:rPr>
        <w:t>1、本次估价所依据的有关法律、法规、司法解释和部门规章</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（1）《中华人民共和国民法典》（2020年5月28日十三届全国人大三次会议表决通过，2021年1月1日起施行）；</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（2）《中华人民共和国城市房地产管理法》（2019年8月26日第十三届全国人民代表大会常务委员会第十二次会议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（3）《中华人民共和国土地管理法》（2019年8月26日第十三届全国人民代表大会常务委员会第十二次会议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4</w:t>
      </w:r>
      <w:r>
        <w:rPr>
          <w:rFonts w:hint="eastAsia" w:hAnsi="宋体"/>
          <w:color w:val="000000"/>
          <w:sz w:val="28"/>
          <w:szCs w:val="28"/>
          <w:lang w:eastAsia="zh-CN"/>
        </w:rPr>
        <w:t>）</w:t>
      </w:r>
      <w:r>
        <w:rPr>
          <w:rFonts w:hint="eastAsia" w:hAnsi="宋体"/>
          <w:color w:val="000000"/>
          <w:sz w:val="28"/>
          <w:szCs w:val="28"/>
        </w:rPr>
        <w:t>《中华人民共和国城乡规划法》</w:t>
      </w:r>
      <w:r>
        <w:rPr>
          <w:rFonts w:hAnsi="宋体"/>
          <w:color w:val="000000"/>
          <w:sz w:val="28"/>
          <w:szCs w:val="28"/>
        </w:rPr>
        <w:t>（</w:t>
      </w:r>
      <w:r>
        <w:rPr>
          <w:rFonts w:hint="eastAsia" w:hAnsi="宋体"/>
          <w:color w:val="000000"/>
          <w:sz w:val="28"/>
          <w:szCs w:val="28"/>
        </w:rPr>
        <w:t>2019年4月23日第十三届全国人民代表大会常务委员会第十次会议</w:t>
      </w:r>
      <w:r>
        <w:rPr>
          <w:rFonts w:hint="eastAsia" w:hAnsi="宋体"/>
          <w:color w:val="000000"/>
          <w:sz w:val="28"/>
          <w:szCs w:val="28"/>
          <w:lang w:val="en-US" w:eastAsia="zh-CN"/>
        </w:rPr>
        <w:t>修正</w:t>
      </w:r>
      <w:r>
        <w:rPr>
          <w:rFonts w:hAnsi="宋体"/>
          <w:color w:val="000000"/>
          <w:sz w:val="28"/>
          <w:szCs w:val="28"/>
        </w:rPr>
        <w:t>）</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5</w:t>
      </w:r>
      <w:r>
        <w:rPr>
          <w:rFonts w:hint="eastAsia" w:hAnsi="宋体"/>
          <w:color w:val="000000"/>
          <w:sz w:val="28"/>
          <w:szCs w:val="28"/>
        </w:rPr>
        <w:t>）《中华人民共和国资产评估法》（中华人民共和国主席令第四十六号）；</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6</w:t>
      </w:r>
      <w:r>
        <w:rPr>
          <w:rFonts w:hint="eastAsia" w:hAnsi="宋体"/>
          <w:color w:val="000000"/>
          <w:sz w:val="28"/>
          <w:szCs w:val="28"/>
        </w:rPr>
        <w:t>）《司法鉴定程序通则》（司法部令第132号，2015年12月24日通过）；</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7</w:t>
      </w:r>
      <w:r>
        <w:rPr>
          <w:rFonts w:hint="eastAsia" w:hAnsi="宋体"/>
          <w:color w:val="000000"/>
          <w:sz w:val="28"/>
          <w:szCs w:val="28"/>
        </w:rPr>
        <w:t>）《最高人民法院关于人民法院确定财产处置参考价若干问题的规定》（法释〔2018〕15号）；</w:t>
      </w:r>
    </w:p>
    <w:p>
      <w:pPr>
        <w:bidi w:val="0"/>
        <w:spacing w:line="560" w:lineRule="exact"/>
        <w:ind w:firstLine="557"/>
        <w:rPr>
          <w:rFonts w:hint="eastAsia" w:hAnsi="宋体" w:eastAsia="宋体"/>
          <w:color w:val="000000"/>
          <w:sz w:val="28"/>
          <w:szCs w:val="28"/>
          <w:lang w:eastAsia="zh-CN"/>
        </w:rPr>
      </w:pPr>
      <w:r>
        <w:rPr>
          <w:rFonts w:hint="eastAsia" w:hAnsi="宋体"/>
          <w:color w:val="000000"/>
          <w:sz w:val="28"/>
          <w:szCs w:val="28"/>
        </w:rPr>
        <w:t>（</w:t>
      </w:r>
      <w:r>
        <w:rPr>
          <w:rFonts w:hint="eastAsia" w:hAnsi="宋体"/>
          <w:color w:val="000000"/>
          <w:sz w:val="28"/>
          <w:szCs w:val="28"/>
          <w:lang w:val="en-US" w:eastAsia="zh-CN"/>
        </w:rPr>
        <w:t>8</w:t>
      </w:r>
      <w:r>
        <w:rPr>
          <w:rFonts w:hint="eastAsia" w:hAnsi="宋体"/>
          <w:color w:val="000000"/>
          <w:sz w:val="28"/>
          <w:szCs w:val="28"/>
        </w:rPr>
        <w:t>）最高法、五大评估行业协会联合发布人民法院委托评估工作规范关于印发《人民法院委托评估工作规范》的通知（法办〔2018〕273号）</w:t>
      </w:r>
      <w:r>
        <w:rPr>
          <w:rFonts w:hint="eastAsia" w:hAnsi="宋体"/>
          <w:color w:val="000000"/>
          <w:sz w:val="28"/>
          <w:szCs w:val="28"/>
          <w:lang w:eastAsia="zh-CN"/>
        </w:rPr>
        <w:t>；</w:t>
      </w:r>
    </w:p>
    <w:p>
      <w:pPr>
        <w:bidi w:val="0"/>
        <w:spacing w:line="560" w:lineRule="exact"/>
        <w:ind w:firstLine="557"/>
        <w:rPr>
          <w:rFonts w:hint="eastAsia" w:hAnsi="宋体"/>
          <w:color w:val="000000"/>
          <w:sz w:val="28"/>
          <w:szCs w:val="28"/>
          <w:lang w:val="en-US" w:eastAsia="zh-CN"/>
        </w:rPr>
      </w:pPr>
      <w:r>
        <w:rPr>
          <w:rFonts w:hint="eastAsia" w:hAnsi="宋体"/>
          <w:color w:val="000000"/>
          <w:sz w:val="28"/>
          <w:szCs w:val="28"/>
          <w:lang w:val="en-US" w:eastAsia="zh-CN"/>
        </w:rPr>
        <w:t>（9）《中华人民共和国契税法》自2021年9月1日起施行；</w:t>
      </w:r>
    </w:p>
    <w:p>
      <w:pPr>
        <w:bidi w:val="0"/>
        <w:spacing w:line="560" w:lineRule="exact"/>
        <w:ind w:firstLine="557"/>
        <w:rPr>
          <w:rFonts w:hint="eastAsia" w:hAnsi="宋体"/>
          <w:color w:val="000000"/>
          <w:sz w:val="28"/>
          <w:szCs w:val="28"/>
        </w:rPr>
      </w:pPr>
      <w:r>
        <w:rPr>
          <w:rFonts w:hint="eastAsia" w:hAnsi="宋体"/>
          <w:color w:val="000000"/>
          <w:sz w:val="28"/>
          <w:szCs w:val="28"/>
        </w:rPr>
        <w:t>2、本次估价采用的有关估价标准</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（1）中华人民共和国国家标准GB/T 50291—2015《房地产估价规范》；</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（2）中华人民共和国国家标准GB/T50899—2013《房地产估价基本术语标准》；</w:t>
      </w:r>
    </w:p>
    <w:p>
      <w:pPr>
        <w:bidi w:val="0"/>
        <w:spacing w:line="560" w:lineRule="exact"/>
        <w:ind w:firstLine="557"/>
        <w:rPr>
          <w:rFonts w:hint="eastAsia" w:hAnsi="宋体"/>
          <w:color w:val="000000"/>
          <w:sz w:val="28"/>
          <w:szCs w:val="28"/>
        </w:rPr>
      </w:pPr>
      <w:r>
        <w:rPr>
          <w:rFonts w:hint="eastAsia" w:hAnsi="宋体"/>
          <w:color w:val="000000"/>
          <w:sz w:val="28"/>
          <w:szCs w:val="28"/>
        </w:rPr>
        <w:t>（3）中国房地产估价师与房地产经纪人学会发布的《涉执房地产处置司法评估指导意见（试行）》；</w:t>
      </w:r>
    </w:p>
    <w:p>
      <w:pPr>
        <w:bidi w:val="0"/>
        <w:spacing w:line="560" w:lineRule="exact"/>
        <w:ind w:firstLine="557"/>
        <w:rPr>
          <w:rFonts w:hint="eastAsia" w:hAnsi="宋体"/>
          <w:color w:val="000000"/>
          <w:sz w:val="28"/>
          <w:szCs w:val="28"/>
        </w:rPr>
      </w:pPr>
      <w:r>
        <w:rPr>
          <w:rFonts w:hint="eastAsia" w:hAnsi="宋体"/>
          <w:color w:val="000000"/>
          <w:sz w:val="28"/>
          <w:szCs w:val="28"/>
        </w:rPr>
        <w:t>（4）《河南省房地产司法鉴定估价指导意见》（豫房估协（2018）16号）</w:t>
      </w:r>
    </w:p>
    <w:p>
      <w:pPr>
        <w:bidi w:val="0"/>
        <w:spacing w:line="560" w:lineRule="exact"/>
        <w:ind w:firstLine="557"/>
        <w:rPr>
          <w:rFonts w:hint="eastAsia" w:hAnsi="宋体"/>
          <w:color w:val="000000"/>
          <w:sz w:val="28"/>
          <w:szCs w:val="28"/>
        </w:rPr>
      </w:pPr>
      <w:r>
        <w:rPr>
          <w:rFonts w:hint="eastAsia" w:hAnsi="宋体"/>
          <w:color w:val="000000"/>
          <w:sz w:val="28"/>
          <w:szCs w:val="28"/>
        </w:rPr>
        <w:t>（5）</w:t>
      </w:r>
      <w:r>
        <w:rPr>
          <w:rFonts w:hint="eastAsia" w:hAnsi="宋体"/>
          <w:sz w:val="28"/>
          <w:szCs w:val="28"/>
          <w:lang w:eastAsia="zh-CN"/>
        </w:rPr>
        <w:t>河南省房地产估价师与经纪人协会发布的《</w:t>
      </w:r>
      <w:r>
        <w:rPr>
          <w:rFonts w:hint="eastAsia" w:hAnsi="宋体"/>
          <w:sz w:val="28"/>
          <w:szCs w:val="28"/>
        </w:rPr>
        <w:t>河南省房地产估价技术指引</w:t>
      </w:r>
      <w:r>
        <w:rPr>
          <w:rFonts w:hint="eastAsia" w:hAnsi="宋体"/>
          <w:sz w:val="28"/>
          <w:szCs w:val="28"/>
          <w:lang w:eastAsia="zh-CN"/>
        </w:rPr>
        <w:t>》</w:t>
      </w:r>
      <w:r>
        <w:rPr>
          <w:rFonts w:hint="eastAsia" w:hAnsi="宋体"/>
          <w:sz w:val="28"/>
          <w:szCs w:val="28"/>
        </w:rPr>
        <w:t>。</w:t>
      </w:r>
    </w:p>
    <w:p>
      <w:pPr>
        <w:bidi w:val="0"/>
        <w:spacing w:line="580" w:lineRule="exact"/>
        <w:ind w:firstLine="557"/>
        <w:rPr>
          <w:rFonts w:hint="eastAsia" w:ascii="宋体" w:hAnsi="宋体" w:eastAsia="宋体" w:cs="宋体"/>
          <w:sz w:val="28"/>
          <w:szCs w:val="28"/>
        </w:rPr>
      </w:pPr>
      <w:r>
        <w:rPr>
          <w:rFonts w:hint="eastAsia" w:ascii="宋体" w:hAnsi="宋体" w:eastAsia="宋体" w:cs="宋体"/>
          <w:sz w:val="28"/>
          <w:szCs w:val="28"/>
        </w:rPr>
        <w:t>3、估价委托人提供的有关资料</w:t>
      </w:r>
    </w:p>
    <w:p>
      <w:pPr>
        <w:bidi w:val="0"/>
        <w:spacing w:line="580" w:lineRule="exact"/>
        <w:rPr>
          <w:rFonts w:hint="eastAsia" w:hAnsi="宋体" w:cs="宋体"/>
          <w:sz w:val="28"/>
          <w:szCs w:val="28"/>
          <w:lang w:eastAsia="zh-CN"/>
        </w:rPr>
      </w:pPr>
      <w:r>
        <w:rPr>
          <w:rFonts w:hint="eastAsia" w:ascii="宋体" w:hAnsi="宋体" w:eastAsia="宋体" w:cs="宋体"/>
          <w:sz w:val="28"/>
          <w:szCs w:val="28"/>
        </w:rPr>
        <w:t xml:space="preserve">   （1）</w:t>
      </w:r>
      <w:r>
        <w:rPr>
          <w:rFonts w:hint="eastAsia" w:hAnsi="宋体" w:cs="宋体"/>
          <w:sz w:val="28"/>
          <w:szCs w:val="28"/>
          <w:lang w:eastAsia="zh-CN"/>
        </w:rPr>
        <w:t>《司法评估委托书（</w:t>
      </w:r>
      <w:r>
        <w:rPr>
          <w:rFonts w:hint="eastAsia" w:hAnsi="宋体" w:cs="宋体"/>
          <w:sz w:val="28"/>
          <w:szCs w:val="28"/>
          <w:lang w:val="en-US" w:eastAsia="zh-CN"/>
        </w:rPr>
        <w:t>2022</w:t>
      </w:r>
      <w:r>
        <w:rPr>
          <w:rFonts w:hint="eastAsia" w:hAnsi="宋体" w:cs="宋体"/>
          <w:sz w:val="28"/>
          <w:szCs w:val="28"/>
          <w:lang w:eastAsia="zh-CN"/>
        </w:rPr>
        <w:t>）豫</w:t>
      </w:r>
      <w:r>
        <w:rPr>
          <w:rFonts w:hint="eastAsia" w:hAnsi="宋体" w:cs="宋体"/>
          <w:sz w:val="28"/>
          <w:szCs w:val="28"/>
          <w:lang w:val="en-US" w:eastAsia="zh-CN"/>
        </w:rPr>
        <w:t>1081司辅估字第59号</w:t>
      </w:r>
      <w:r>
        <w:rPr>
          <w:rFonts w:hint="eastAsia" w:hAnsi="宋体" w:cs="宋体"/>
          <w:sz w:val="28"/>
          <w:szCs w:val="28"/>
          <w:lang w:eastAsia="zh-CN"/>
        </w:rPr>
        <w:t>》；</w:t>
      </w:r>
    </w:p>
    <w:p>
      <w:pPr>
        <w:bidi w:val="0"/>
        <w:spacing w:line="580" w:lineRule="exact"/>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hAnsi="宋体" w:cs="宋体"/>
          <w:sz w:val="28"/>
          <w:szCs w:val="28"/>
          <w:lang w:val="en-US" w:eastAsia="zh-CN"/>
        </w:rPr>
        <w:t>《</w:t>
      </w:r>
      <w:r>
        <w:rPr>
          <w:rFonts w:hint="eastAsia" w:hAnsi="宋体" w:cs="宋体"/>
          <w:sz w:val="28"/>
          <w:lang w:eastAsia="zh-CN"/>
        </w:rPr>
        <w:t>执行裁定书（</w:t>
      </w:r>
      <w:r>
        <w:rPr>
          <w:rFonts w:hint="eastAsia" w:hAnsi="宋体" w:cs="宋体"/>
          <w:sz w:val="28"/>
          <w:lang w:val="en-US" w:eastAsia="zh-CN"/>
        </w:rPr>
        <w:t>2019</w:t>
      </w:r>
      <w:r>
        <w:rPr>
          <w:rFonts w:hint="eastAsia" w:hAnsi="宋体" w:cs="宋体"/>
          <w:sz w:val="28"/>
          <w:lang w:eastAsia="zh-CN"/>
        </w:rPr>
        <w:t>）豫</w:t>
      </w:r>
      <w:r>
        <w:rPr>
          <w:rFonts w:hint="eastAsia" w:hAnsi="宋体" w:cs="宋体"/>
          <w:sz w:val="28"/>
          <w:lang w:val="en-US" w:eastAsia="zh-CN"/>
        </w:rPr>
        <w:t>1081执356-1号</w:t>
      </w:r>
      <w:r>
        <w:rPr>
          <w:rFonts w:hint="eastAsia" w:hAnsi="宋体" w:cs="宋体"/>
          <w:sz w:val="28"/>
          <w:lang w:eastAsia="zh-CN"/>
        </w:rPr>
        <w:t>》</w:t>
      </w:r>
      <w:r>
        <w:rPr>
          <w:rFonts w:hint="eastAsia" w:ascii="宋体" w:hAnsi="宋体" w:eastAsia="宋体" w:cs="宋体"/>
          <w:sz w:val="28"/>
          <w:szCs w:val="28"/>
        </w:rPr>
        <w:t>；</w:t>
      </w:r>
    </w:p>
    <w:p>
      <w:pPr>
        <w:bidi w:val="0"/>
        <w:spacing w:line="580" w:lineRule="exact"/>
        <w:ind w:firstLine="420"/>
        <w:rPr>
          <w:rFonts w:hint="eastAsia" w:ascii="宋体" w:hAnsi="宋体" w:eastAsia="宋体" w:cs="宋体"/>
          <w:sz w:val="28"/>
          <w:szCs w:val="28"/>
        </w:rPr>
      </w:pPr>
      <w:r>
        <w:rPr>
          <w:rFonts w:hint="eastAsia" w:hAnsi="宋体" w:cs="宋体"/>
          <w:sz w:val="28"/>
          <w:szCs w:val="28"/>
          <w:lang w:eastAsia="zh-CN"/>
        </w:rPr>
        <w:t>（</w:t>
      </w:r>
      <w:r>
        <w:rPr>
          <w:rFonts w:hint="eastAsia" w:hAnsi="宋体" w:cs="宋体"/>
          <w:sz w:val="28"/>
          <w:szCs w:val="28"/>
          <w:lang w:val="en-US" w:eastAsia="zh-CN"/>
        </w:rPr>
        <w:t>3</w:t>
      </w:r>
      <w:r>
        <w:rPr>
          <w:rFonts w:hint="eastAsia" w:hAnsi="宋体" w:cs="宋体"/>
          <w:sz w:val="28"/>
          <w:szCs w:val="28"/>
          <w:lang w:eastAsia="zh-CN"/>
        </w:rPr>
        <w:t>）</w:t>
      </w:r>
      <w:r>
        <w:rPr>
          <w:rFonts w:hint="eastAsia" w:ascii="宋体" w:hAnsi="宋体" w:eastAsia="宋体" w:cs="宋体"/>
          <w:sz w:val="28"/>
          <w:szCs w:val="28"/>
        </w:rPr>
        <w:t>《</w:t>
      </w:r>
      <w:r>
        <w:rPr>
          <w:rFonts w:hint="eastAsia" w:hAnsi="宋体" w:cs="宋体"/>
          <w:sz w:val="28"/>
          <w:szCs w:val="28"/>
          <w:lang w:eastAsia="zh-CN"/>
        </w:rPr>
        <w:t>不动产权登记记载表</w:t>
      </w:r>
      <w:r>
        <w:rPr>
          <w:rFonts w:hint="eastAsia" w:ascii="宋体" w:hAnsi="宋体" w:eastAsia="宋体" w:cs="宋体"/>
          <w:sz w:val="28"/>
          <w:szCs w:val="28"/>
        </w:rPr>
        <w:t>》复印件；</w:t>
      </w:r>
    </w:p>
    <w:p>
      <w:pPr>
        <w:bidi w:val="0"/>
        <w:spacing w:line="580" w:lineRule="exact"/>
        <w:ind w:firstLine="42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其他资料</w:t>
      </w:r>
      <w:r>
        <w:rPr>
          <w:rFonts w:hint="eastAsia" w:hAnsi="宋体" w:cs="宋体"/>
          <w:sz w:val="28"/>
          <w:szCs w:val="28"/>
          <w:lang w:eastAsia="zh-CN"/>
        </w:rPr>
        <w:t>等</w:t>
      </w:r>
      <w:r>
        <w:rPr>
          <w:rFonts w:hint="eastAsia" w:ascii="宋体" w:hAnsi="宋体" w:eastAsia="宋体" w:cs="宋体"/>
          <w:sz w:val="28"/>
          <w:szCs w:val="28"/>
        </w:rPr>
        <w:t>。</w:t>
      </w:r>
    </w:p>
    <w:p>
      <w:pPr>
        <w:bidi w:val="0"/>
        <w:spacing w:line="580" w:lineRule="exact"/>
        <w:ind w:firstLine="414"/>
        <w:rPr>
          <w:rFonts w:hint="eastAsia" w:ascii="宋体" w:hAnsi="宋体" w:eastAsia="宋体" w:cs="宋体"/>
          <w:sz w:val="28"/>
          <w:szCs w:val="28"/>
        </w:rPr>
      </w:pPr>
      <w:r>
        <w:rPr>
          <w:rFonts w:hint="eastAsia" w:ascii="宋体" w:hAnsi="宋体" w:eastAsia="宋体" w:cs="宋体"/>
          <w:sz w:val="28"/>
          <w:szCs w:val="28"/>
        </w:rPr>
        <w:t xml:space="preserve"> 4、估价机构和注册房地产估价师所搜集掌握的有关资料。</w:t>
      </w:r>
    </w:p>
    <w:p>
      <w:pPr>
        <w:bidi w:val="0"/>
        <w:spacing w:line="580" w:lineRule="exact"/>
        <w:ind w:firstLine="414"/>
        <w:rPr>
          <w:rFonts w:hint="eastAsia" w:ascii="宋体" w:hAnsi="宋体" w:eastAsia="宋体" w:cs="宋体"/>
          <w:sz w:val="28"/>
          <w:szCs w:val="28"/>
        </w:rPr>
      </w:pPr>
      <w:r>
        <w:rPr>
          <w:rFonts w:hint="eastAsia" w:ascii="宋体" w:hAnsi="宋体" w:eastAsia="宋体" w:cs="宋体"/>
          <w:kern w:val="0"/>
          <w:sz w:val="28"/>
          <w:szCs w:val="28"/>
        </w:rPr>
        <w:t>（1）</w:t>
      </w:r>
      <w:r>
        <w:rPr>
          <w:rFonts w:hint="eastAsia" w:hAnsi="宋体" w:cs="宋体"/>
          <w:kern w:val="0"/>
          <w:sz w:val="28"/>
          <w:szCs w:val="28"/>
          <w:lang w:eastAsia="zh-CN"/>
        </w:rPr>
        <w:t>许昌市禹州市住宅</w:t>
      </w:r>
      <w:r>
        <w:rPr>
          <w:rFonts w:hint="eastAsia" w:ascii="宋体" w:hAnsi="宋体" w:eastAsia="宋体" w:cs="宋体"/>
          <w:sz w:val="28"/>
          <w:szCs w:val="28"/>
        </w:rPr>
        <w:t>房地产市场资料；</w:t>
      </w:r>
    </w:p>
    <w:p>
      <w:pPr>
        <w:bidi w:val="0"/>
        <w:spacing w:line="580" w:lineRule="exact"/>
        <w:ind w:firstLine="414"/>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hAnsi="宋体" w:cs="宋体"/>
          <w:kern w:val="0"/>
          <w:sz w:val="28"/>
          <w:szCs w:val="28"/>
          <w:lang w:eastAsia="zh-CN"/>
        </w:rPr>
        <w:t>许昌市禹州市</w:t>
      </w:r>
      <w:r>
        <w:rPr>
          <w:rFonts w:hint="eastAsia" w:ascii="宋体" w:hAnsi="宋体" w:eastAsia="宋体" w:cs="宋体"/>
          <w:kern w:val="0"/>
          <w:sz w:val="28"/>
          <w:szCs w:val="28"/>
        </w:rPr>
        <w:t>概况、规划、经济发展及自然、人文环境资料；</w:t>
      </w:r>
    </w:p>
    <w:p>
      <w:pPr>
        <w:bidi w:val="0"/>
        <w:spacing w:line="580" w:lineRule="exact"/>
        <w:ind w:firstLine="414"/>
        <w:rPr>
          <w:rFonts w:hint="eastAsia" w:ascii="宋体" w:hAnsi="宋体" w:eastAsia="宋体" w:cs="宋体"/>
          <w:bCs/>
          <w:kern w:val="0"/>
          <w:sz w:val="28"/>
          <w:szCs w:val="28"/>
        </w:rPr>
      </w:pPr>
      <w:r>
        <w:rPr>
          <w:rFonts w:hint="eastAsia" w:ascii="宋体" w:hAnsi="宋体" w:eastAsia="宋体" w:cs="宋体"/>
          <w:kern w:val="0"/>
          <w:sz w:val="28"/>
          <w:szCs w:val="28"/>
        </w:rPr>
        <w:t>（3）现场查勘获得的资料及其他有关资料。</w:t>
      </w:r>
    </w:p>
    <w:p>
      <w:pPr>
        <w:widowControl/>
        <w:bidi w:val="0"/>
        <w:spacing w:line="580" w:lineRule="exact"/>
        <w:ind w:firstLine="14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（九）估价方法</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sz w:val="28"/>
          <w:szCs w:val="24"/>
        </w:rPr>
        <w:t>根据估价目的及估价对象的状况，分别采取不同的估价方法。估价方法</w:t>
      </w:r>
      <w:r>
        <w:rPr>
          <w:rFonts w:hint="eastAsia" w:ascii="宋体" w:hAnsi="宋体" w:eastAsia="宋体" w:cs="宋体"/>
          <w:bCs/>
          <w:kern w:val="0"/>
          <w:sz w:val="28"/>
          <w:szCs w:val="30"/>
        </w:rPr>
        <w:t>通常有比较法、收益法、成本法、假设开发法四种。本次对</w:t>
      </w:r>
      <w:r>
        <w:rPr>
          <w:rFonts w:hint="eastAsia" w:hAnsi="宋体" w:cs="宋体"/>
          <w:bCs/>
          <w:kern w:val="0"/>
          <w:sz w:val="28"/>
          <w:szCs w:val="30"/>
          <w:lang w:eastAsia="zh-CN"/>
        </w:rPr>
        <w:t>住宅</w:t>
      </w:r>
      <w:r>
        <w:rPr>
          <w:rFonts w:hint="eastAsia" w:ascii="宋体" w:hAnsi="宋体" w:eastAsia="宋体" w:cs="宋体"/>
          <w:bCs/>
          <w:kern w:val="0"/>
          <w:sz w:val="28"/>
          <w:szCs w:val="30"/>
        </w:rPr>
        <w:t>用途房地产市场价值进行评估，在评估过程中应根据估价对象的实际情况选择适合的估价方法。经分析本次宜采用比较法、收益法进行评估。</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1、估价方法的选择</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（1）依据中华人民共和国国家标准《房地产估价规范》（GB/T50291—2015）</w:t>
      </w:r>
      <w:r>
        <w:rPr>
          <w:rFonts w:hint="eastAsia" w:hAnsi="宋体" w:cs="宋体"/>
          <w:color w:val="auto"/>
          <w:sz w:val="28"/>
          <w:szCs w:val="24"/>
          <w:lang w:val="en-US" w:eastAsia="zh-CN"/>
        </w:rPr>
        <w:t>4.1.2</w:t>
      </w:r>
      <w:r>
        <w:rPr>
          <w:rFonts w:hint="eastAsia" w:ascii="宋体" w:hAnsi="宋体" w:eastAsia="宋体" w:cs="宋体"/>
          <w:color w:val="auto"/>
          <w:sz w:val="28"/>
          <w:szCs w:val="24"/>
        </w:rPr>
        <w:t>“</w:t>
      </w:r>
      <w:r>
        <w:rPr>
          <w:rFonts w:hint="eastAsia" w:hAnsi="宋体" w:cs="宋体"/>
          <w:color w:val="auto"/>
          <w:sz w:val="28"/>
          <w:szCs w:val="24"/>
          <w:lang w:eastAsia="zh-CN"/>
        </w:rPr>
        <w:t>估价对象的同类房地产有较多交易的，应选用比较法</w:t>
      </w:r>
      <w:r>
        <w:rPr>
          <w:rFonts w:hint="eastAsia" w:ascii="宋体" w:hAnsi="宋体" w:eastAsia="宋体" w:cs="宋体"/>
          <w:color w:val="auto"/>
          <w:sz w:val="28"/>
          <w:szCs w:val="24"/>
        </w:rPr>
        <w:t>”</w:t>
      </w:r>
      <w:r>
        <w:rPr>
          <w:rFonts w:hint="eastAsia" w:ascii="宋体" w:hAnsi="宋体" w:eastAsia="宋体" w:cs="宋体"/>
          <w:color w:val="auto"/>
          <w:sz w:val="28"/>
          <w:szCs w:val="24"/>
          <w:lang w:eastAsia="zh-CN"/>
        </w:rPr>
        <w:t>。</w:t>
      </w:r>
      <w:r>
        <w:rPr>
          <w:rFonts w:hint="eastAsia" w:ascii="宋体" w:hAnsi="宋体" w:eastAsia="宋体" w:cs="宋体"/>
          <w:bCs/>
          <w:kern w:val="0"/>
          <w:sz w:val="28"/>
          <w:szCs w:val="30"/>
        </w:rPr>
        <w:t>因估价对象</w:t>
      </w:r>
      <w:r>
        <w:rPr>
          <w:rFonts w:hint="eastAsia" w:hAnsi="宋体" w:cs="宋体"/>
          <w:bCs/>
          <w:kern w:val="0"/>
          <w:sz w:val="28"/>
          <w:szCs w:val="30"/>
          <w:lang w:eastAsia="zh-CN"/>
        </w:rPr>
        <w:t>为住宅</w:t>
      </w:r>
      <w:r>
        <w:rPr>
          <w:rFonts w:hint="eastAsia" w:ascii="宋体" w:hAnsi="宋体" w:eastAsia="宋体" w:cs="宋体"/>
          <w:bCs/>
          <w:kern w:val="0"/>
          <w:sz w:val="28"/>
          <w:szCs w:val="30"/>
        </w:rPr>
        <w:t xml:space="preserve">，于价值时点近期此区域类似物业交易实例较多、易于搜集，交易价格真实有效，因此宜首选比较法进行估价，且比较法所求出房地产价值更能反映当前市场一般水平。 </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比较法是将估价对象与在价值时点的近期发生过交易类似房地产进行比较，对这些类似房地产的成交价格做适当的处理来求取估价对象价格的方法。</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bCs/>
          <w:kern w:val="0"/>
          <w:sz w:val="28"/>
          <w:szCs w:val="30"/>
        </w:rPr>
        <w:t>（2）</w:t>
      </w:r>
      <w:r>
        <w:rPr>
          <w:rFonts w:hint="eastAsia" w:hAnsi="宋体" w:cs="宋体"/>
          <w:bCs/>
          <w:kern w:val="0"/>
          <w:sz w:val="28"/>
          <w:szCs w:val="30"/>
          <w:lang w:eastAsia="zh-CN"/>
        </w:rPr>
        <w:t>估价对象为住宅用房</w:t>
      </w:r>
      <w:r>
        <w:rPr>
          <w:rFonts w:hint="eastAsia" w:ascii="宋体" w:hAnsi="宋体" w:eastAsia="宋体" w:cs="宋体"/>
          <w:color w:val="auto"/>
          <w:sz w:val="28"/>
          <w:szCs w:val="24"/>
        </w:rPr>
        <w:t>具有潜在或客观出租收益</w:t>
      </w:r>
      <w:r>
        <w:rPr>
          <w:rFonts w:hint="eastAsia" w:ascii="宋体" w:hAnsi="宋体" w:eastAsia="宋体" w:cs="宋体"/>
          <w:color w:val="auto"/>
          <w:sz w:val="28"/>
          <w:szCs w:val="24"/>
          <w:lang w:eastAsia="zh-CN"/>
        </w:rPr>
        <w:t>，</w:t>
      </w:r>
      <w:r>
        <w:rPr>
          <w:rFonts w:hint="eastAsia" w:ascii="宋体" w:hAnsi="宋体" w:eastAsia="宋体" w:cs="宋体"/>
          <w:bCs/>
          <w:kern w:val="0"/>
          <w:sz w:val="28"/>
          <w:szCs w:val="30"/>
        </w:rPr>
        <w:t>市场中有与估价对象类似的物业出租，交易价格透明，估价人员容易收集该区域类似物业客观收益或当前物业租金收益能反映房地产市场状况</w:t>
      </w:r>
      <w:r>
        <w:rPr>
          <w:rFonts w:hint="eastAsia" w:hAnsi="宋体" w:cs="宋体"/>
          <w:bCs/>
          <w:kern w:val="0"/>
          <w:sz w:val="28"/>
          <w:szCs w:val="30"/>
          <w:lang w:eastAsia="zh-CN"/>
        </w:rPr>
        <w:t>。</w:t>
      </w:r>
      <w:r>
        <w:rPr>
          <w:rFonts w:hint="eastAsia" w:ascii="宋体" w:hAnsi="宋体" w:eastAsia="宋体" w:cs="宋体"/>
          <w:color w:val="auto"/>
          <w:sz w:val="28"/>
          <w:szCs w:val="24"/>
        </w:rPr>
        <w:t>依据中华人民共和国国家标准《房地产估价规范》（GB/T50291—2015）</w:t>
      </w:r>
      <w:r>
        <w:rPr>
          <w:rFonts w:hint="eastAsia" w:hAnsi="宋体" w:cs="宋体"/>
          <w:color w:val="auto"/>
          <w:sz w:val="28"/>
          <w:szCs w:val="24"/>
          <w:lang w:val="en-US" w:eastAsia="zh-CN"/>
        </w:rPr>
        <w:t>4.1.2</w:t>
      </w:r>
      <w:r>
        <w:rPr>
          <w:rFonts w:hint="eastAsia" w:ascii="宋体" w:hAnsi="宋体" w:eastAsia="宋体" w:cs="宋体"/>
          <w:color w:val="auto"/>
          <w:sz w:val="28"/>
          <w:szCs w:val="24"/>
        </w:rPr>
        <w:t>“</w:t>
      </w:r>
      <w:r>
        <w:rPr>
          <w:rFonts w:hint="eastAsia" w:hAnsi="宋体" w:cs="宋体"/>
          <w:color w:val="auto"/>
          <w:sz w:val="28"/>
          <w:szCs w:val="24"/>
          <w:lang w:eastAsia="zh-CN"/>
        </w:rPr>
        <w:t>估价对象或其同类房地产通常有租金等经济收入的，应选用收益法</w:t>
      </w:r>
      <w:r>
        <w:rPr>
          <w:rFonts w:hint="eastAsia" w:ascii="宋体" w:hAnsi="宋体" w:eastAsia="宋体" w:cs="宋体"/>
          <w:color w:val="auto"/>
          <w:sz w:val="28"/>
          <w:szCs w:val="24"/>
        </w:rPr>
        <w:t>”。</w:t>
      </w:r>
      <w:r>
        <w:rPr>
          <w:rFonts w:hint="eastAsia" w:ascii="宋体" w:hAnsi="宋体" w:eastAsia="宋体" w:cs="宋体"/>
          <w:bCs/>
          <w:kern w:val="0"/>
          <w:sz w:val="28"/>
          <w:szCs w:val="30"/>
        </w:rPr>
        <w:t>收益法是将预期的房地产未来各期的正常净收益折算到价值时点上的现值，求其之和得出估价对象房地产市场价格的方法。</w:t>
      </w:r>
      <w:r>
        <w:rPr>
          <w:rFonts w:hint="eastAsia" w:ascii="宋体" w:hAnsi="宋体" w:eastAsia="宋体" w:cs="宋体"/>
          <w:color w:val="auto"/>
          <w:sz w:val="28"/>
          <w:szCs w:val="24"/>
        </w:rPr>
        <w:t>因此</w:t>
      </w:r>
      <w:r>
        <w:rPr>
          <w:rFonts w:hint="eastAsia" w:ascii="宋体" w:hAnsi="宋体" w:eastAsia="宋体" w:cs="宋体"/>
          <w:color w:val="auto"/>
          <w:sz w:val="28"/>
          <w:szCs w:val="24"/>
          <w:lang w:eastAsia="zh-CN"/>
        </w:rPr>
        <w:t>本次估价</w:t>
      </w:r>
      <w:r>
        <w:rPr>
          <w:rFonts w:hint="eastAsia" w:ascii="宋体" w:hAnsi="宋体" w:eastAsia="宋体" w:cs="宋体"/>
          <w:color w:val="auto"/>
          <w:sz w:val="28"/>
          <w:szCs w:val="24"/>
        </w:rPr>
        <w:t>适宜采用收益法进行估价。</w:t>
      </w:r>
    </w:p>
    <w:p>
      <w:pPr>
        <w:topLinePunct/>
        <w:bidi w:val="0"/>
        <w:spacing w:line="580" w:lineRule="exact"/>
        <w:ind w:firstLine="560"/>
        <w:rPr>
          <w:rFonts w:hint="eastAsia" w:ascii="宋体" w:hAnsi="宋体" w:eastAsia="宋体" w:cs="宋体"/>
          <w:sz w:val="28"/>
          <w:szCs w:val="24"/>
        </w:rPr>
      </w:pPr>
      <w:r>
        <w:rPr>
          <w:rFonts w:hint="eastAsia" w:ascii="宋体" w:hAnsi="宋体" w:eastAsia="宋体" w:cs="宋体"/>
          <w:bCs/>
          <w:kern w:val="0"/>
          <w:sz w:val="28"/>
          <w:szCs w:val="30"/>
        </w:rPr>
        <w:t>（3）</w:t>
      </w:r>
      <w:r>
        <w:rPr>
          <w:rFonts w:hint="eastAsia" w:ascii="宋体" w:hAnsi="宋体" w:eastAsia="宋体" w:cs="宋体"/>
          <w:color w:val="auto"/>
          <w:sz w:val="28"/>
          <w:szCs w:val="24"/>
        </w:rPr>
        <w:t>依据中华人民共和国国家标准《房地产估价规范》（GB/T</w:t>
      </w:r>
      <w:r>
        <w:rPr>
          <w:rFonts w:hint="eastAsia" w:hAnsi="宋体" w:cs="宋体"/>
          <w:color w:val="auto"/>
          <w:sz w:val="28"/>
          <w:szCs w:val="24"/>
          <w:lang w:eastAsia="zh-CN"/>
        </w:rPr>
        <w:t>6473</w:t>
      </w:r>
      <w:r>
        <w:rPr>
          <w:rFonts w:hint="eastAsia" w:ascii="宋体" w:hAnsi="宋体" w:eastAsia="宋体" w:cs="宋体"/>
          <w:color w:val="auto"/>
          <w:sz w:val="28"/>
          <w:szCs w:val="24"/>
        </w:rPr>
        <w:t>1—2015）4.1.2 “估价对象可假定为独立的开发建设项目进行重新开发建设的，宜选用成本法；当估价对象的同类房地产没有交易或交易很少，且估价对象或其同类房地产没有租金等经济收入时，应选用成本法。”</w:t>
      </w:r>
      <w:r>
        <w:rPr>
          <w:rFonts w:hint="eastAsia" w:ascii="宋体" w:hAnsi="宋体" w:eastAsia="宋体" w:cs="宋体"/>
          <w:bCs/>
          <w:kern w:val="0"/>
          <w:sz w:val="28"/>
          <w:szCs w:val="30"/>
        </w:rPr>
        <w:t>成本法是在价值时点以开发或建造估价对象所需要的各项成本费用之和为基础，再加上正常利润和税金，得出估价对象的重置价格，然后再扣除建筑物折旧，以此估算估价对象的客观合理价格或价值的一种估价方法。虽然理论上对估价对象房地产估价也可采用成本法，</w:t>
      </w:r>
      <w:r>
        <w:rPr>
          <w:rFonts w:hint="eastAsia" w:hAnsi="宋体"/>
          <w:color w:val="auto"/>
          <w:sz w:val="28"/>
          <w:szCs w:val="28"/>
          <w:highlight w:val="none"/>
        </w:rPr>
        <w:t>但成本法</w:t>
      </w:r>
      <w:r>
        <w:rPr>
          <w:rFonts w:hint="eastAsia" w:hAnsi="宋体"/>
          <w:color w:val="auto"/>
          <w:kern w:val="0"/>
          <w:sz w:val="28"/>
          <w:szCs w:val="28"/>
          <w:highlight w:val="none"/>
        </w:rPr>
        <w:t>求出估价对象房地产价值很难反映当前房地产市场状况</w:t>
      </w:r>
      <w:r>
        <w:rPr>
          <w:rFonts w:hint="eastAsia" w:hAnsi="宋体"/>
          <w:color w:val="auto"/>
          <w:sz w:val="28"/>
          <w:szCs w:val="28"/>
          <w:highlight w:val="none"/>
        </w:rPr>
        <w:t>，因此不适宜采用成本法进行估价。</w:t>
      </w:r>
    </w:p>
    <w:p>
      <w:pPr>
        <w:bidi w:val="0"/>
        <w:spacing w:line="580" w:lineRule="exact"/>
        <w:ind w:firstLine="420"/>
        <w:rPr>
          <w:rFonts w:hint="eastAsia" w:ascii="宋体" w:hAnsi="宋体" w:eastAsia="宋体" w:cs="宋体"/>
          <w:sz w:val="28"/>
          <w:szCs w:val="24"/>
        </w:rPr>
      </w:pPr>
      <w:r>
        <w:rPr>
          <w:rFonts w:hint="eastAsia" w:ascii="宋体" w:hAnsi="宋体" w:eastAsia="宋体" w:cs="宋体"/>
          <w:sz w:val="28"/>
          <w:szCs w:val="24"/>
        </w:rPr>
        <w:t>（4）依据中华人民共和国国家标准《房地产估价规范》（GB/T50291—2015）4.1.2“估价对象具有开发或再开发潜力且开发完成后的价值可采用除成本法以外的方法测算的,应选用假设开发法。”</w:t>
      </w:r>
      <w:r>
        <w:rPr>
          <w:rFonts w:hint="eastAsia" w:ascii="宋体" w:hAnsi="宋体" w:eastAsia="宋体" w:cs="宋体"/>
          <w:color w:val="auto"/>
          <w:sz w:val="28"/>
          <w:szCs w:val="24"/>
        </w:rPr>
        <w:t>假设开发法理论上一般适用于有开发潜力的房地产或在建工程房地产，估价对象为建成的物业，可再开发能力较低，因此不适宜选用假设开发法进行估价。</w:t>
      </w:r>
    </w:p>
    <w:p>
      <w:pPr>
        <w:bidi w:val="0"/>
        <w:spacing w:line="580" w:lineRule="exact"/>
        <w:ind w:firstLine="560"/>
        <w:rPr>
          <w:rFonts w:hint="eastAsia" w:ascii="宋体" w:hAnsi="宋体" w:eastAsia="宋体" w:cs="宋体"/>
          <w:sz w:val="28"/>
          <w:szCs w:val="24"/>
        </w:rPr>
      </w:pPr>
      <w:r>
        <w:rPr>
          <w:rFonts w:hint="eastAsia" w:ascii="宋体" w:hAnsi="宋体" w:eastAsia="宋体" w:cs="宋体"/>
          <w:sz w:val="28"/>
          <w:szCs w:val="24"/>
        </w:rPr>
        <w:t>2．本次估价思路</w:t>
      </w:r>
    </w:p>
    <w:p>
      <w:pPr>
        <w:bidi w:val="0"/>
        <w:spacing w:line="580" w:lineRule="exact"/>
        <w:ind w:firstLine="560"/>
        <w:rPr>
          <w:rFonts w:hint="eastAsia" w:ascii="宋体" w:hAnsi="宋体" w:eastAsia="宋体" w:cs="宋体"/>
          <w:sz w:val="28"/>
          <w:szCs w:val="24"/>
          <w:lang w:eastAsia="zh-CN"/>
        </w:rPr>
      </w:pPr>
      <w:r>
        <w:rPr>
          <w:rFonts w:hint="eastAsia" w:ascii="宋体" w:hAnsi="宋体" w:eastAsia="宋体" w:cs="宋体"/>
          <w:sz w:val="28"/>
          <w:szCs w:val="24"/>
        </w:rPr>
        <w:t>本次估价根据估价对象所在区域房地产市场情况并结合估价对象的具体特点及本次估价目的等，结合估价师经验，此次采用</w:t>
      </w:r>
      <w:r>
        <w:rPr>
          <w:rFonts w:hint="eastAsia" w:hAnsi="宋体" w:cs="宋体"/>
          <w:sz w:val="28"/>
          <w:szCs w:val="24"/>
          <w:lang w:eastAsia="zh-CN"/>
        </w:rPr>
        <w:t>比较法、</w:t>
      </w:r>
      <w:r>
        <w:rPr>
          <w:rFonts w:hint="eastAsia" w:ascii="宋体" w:hAnsi="宋体" w:eastAsia="宋体" w:cs="宋体"/>
          <w:sz w:val="28"/>
          <w:szCs w:val="24"/>
        </w:rPr>
        <w:t>收益法测算估价对象市场价格</w:t>
      </w:r>
      <w:r>
        <w:rPr>
          <w:rFonts w:hint="eastAsia" w:hAnsi="宋体" w:cs="宋体"/>
          <w:sz w:val="28"/>
          <w:szCs w:val="24"/>
          <w:lang w:eastAsia="zh-CN"/>
        </w:rPr>
        <w:t>。</w:t>
      </w:r>
    </w:p>
    <w:p>
      <w:pPr>
        <w:bidi w:val="0"/>
        <w:spacing w:line="580" w:lineRule="exact"/>
        <w:ind w:firstLine="422"/>
        <w:rPr>
          <w:rFonts w:hint="eastAsia" w:ascii="宋体" w:hAnsi="宋体" w:eastAsia="宋体" w:cs="宋体"/>
          <w:b/>
          <w:bCs/>
          <w:sz w:val="28"/>
          <w:szCs w:val="28"/>
        </w:rPr>
      </w:pPr>
      <w:r>
        <w:rPr>
          <w:rFonts w:hint="eastAsia" w:ascii="宋体" w:hAnsi="宋体" w:eastAsia="宋体" w:cs="宋体"/>
          <w:b/>
          <w:bCs/>
          <w:sz w:val="28"/>
          <w:szCs w:val="28"/>
        </w:rPr>
        <w:t>（十）估价结果</w:t>
      </w:r>
    </w:p>
    <w:p>
      <w:pPr>
        <w:bidi w:val="0"/>
        <w:spacing w:line="580" w:lineRule="exact"/>
        <w:ind w:firstLine="550"/>
        <w:rPr>
          <w:rFonts w:hint="eastAsia" w:ascii="宋体" w:hAnsi="宋体" w:eastAsia="宋体" w:cs="宋体"/>
          <w:sz w:val="28"/>
          <w:szCs w:val="28"/>
        </w:rPr>
      </w:pPr>
      <w:r>
        <w:rPr>
          <w:rFonts w:hint="eastAsia" w:ascii="宋体" w:hAnsi="宋体" w:eastAsia="宋体" w:cs="宋体"/>
          <w:sz w:val="28"/>
        </w:rPr>
        <w:t>根据估价目的，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hAnsi="宋体" w:cs="宋体"/>
          <w:color w:val="000000"/>
          <w:sz w:val="28"/>
          <w:szCs w:val="28"/>
          <w:lang w:val="en-US" w:eastAsia="zh-CN"/>
        </w:rPr>
        <w:t>48.05</w:t>
      </w:r>
      <w:r>
        <w:rPr>
          <w:rFonts w:hint="eastAsia" w:ascii="宋体" w:hAnsi="宋体" w:eastAsia="宋体" w:cs="宋体"/>
          <w:sz w:val="28"/>
          <w:szCs w:val="28"/>
        </w:rPr>
        <w:t>万元(人民币)，大写人民币</w:t>
      </w:r>
      <w:r>
        <w:rPr>
          <w:rFonts w:hint="eastAsia" w:hAnsi="宋体" w:cs="宋体"/>
          <w:sz w:val="28"/>
          <w:szCs w:val="28"/>
          <w:lang w:eastAsia="zh-CN"/>
        </w:rPr>
        <w:t>：肆拾捌万零伍佰</w:t>
      </w:r>
      <w:r>
        <w:rPr>
          <w:rFonts w:hint="eastAsia" w:ascii="宋体" w:hAnsi="宋体" w:eastAsia="宋体" w:cs="宋体"/>
          <w:sz w:val="28"/>
          <w:szCs w:val="28"/>
        </w:rPr>
        <w:t>元整</w:t>
      </w:r>
      <w:r>
        <w:rPr>
          <w:rFonts w:hint="eastAsia" w:hAnsi="宋体" w:cs="宋体"/>
          <w:sz w:val="28"/>
          <w:szCs w:val="28"/>
          <w:lang w:eastAsia="zh-CN"/>
        </w:rPr>
        <w:t>，</w:t>
      </w:r>
      <w:r>
        <w:rPr>
          <w:rFonts w:hint="eastAsia" w:ascii="宋体" w:hAnsi="宋体" w:eastAsia="宋体" w:cs="宋体"/>
          <w:sz w:val="28"/>
          <w:szCs w:val="28"/>
        </w:rPr>
        <w:t>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3580</w:t>
      </w:r>
      <w:r>
        <w:rPr>
          <w:rFonts w:hint="eastAsia" w:ascii="宋体" w:hAnsi="宋体" w:eastAsia="宋体" w:cs="宋体"/>
          <w:color w:val="000000"/>
          <w:sz w:val="28"/>
          <w:szCs w:val="28"/>
        </w:rPr>
        <w:t>元/平方米</w:t>
      </w:r>
      <w:r>
        <w:rPr>
          <w:rFonts w:hint="eastAsia" w:ascii="宋体" w:hAnsi="宋体" w:eastAsia="宋体" w:cs="宋体"/>
          <w:sz w:val="28"/>
          <w:szCs w:val="28"/>
        </w:rPr>
        <w:t>。</w:t>
      </w:r>
    </w:p>
    <w:p>
      <w:pPr>
        <w:bidi w:val="0"/>
        <w:spacing w:line="580" w:lineRule="exact"/>
        <w:ind w:firstLine="420"/>
        <w:rPr>
          <w:rFonts w:hint="eastAsia" w:ascii="宋体" w:hAnsi="宋体" w:eastAsia="宋体" w:cs="宋体"/>
          <w:sz w:val="28"/>
          <w:szCs w:val="28"/>
        </w:rPr>
      </w:pPr>
      <w:r>
        <w:rPr>
          <w:rFonts w:hint="eastAsia" w:ascii="宋体" w:hAnsi="宋体" w:eastAsia="宋体" w:cs="宋体"/>
          <w:kern w:val="0"/>
          <w:sz w:val="28"/>
          <w:szCs w:val="28"/>
        </w:rPr>
        <w:t>该估价结果为</w:t>
      </w:r>
      <w:r>
        <w:rPr>
          <w:rFonts w:hint="eastAsia" w:ascii="宋体" w:hAnsi="宋体" w:eastAsia="宋体" w:cs="宋体"/>
          <w:sz w:val="28"/>
          <w:szCs w:val="28"/>
        </w:rPr>
        <w:t>价值时点的房地产市场价值及变现价值，</w:t>
      </w:r>
      <w:r>
        <w:rPr>
          <w:rFonts w:hint="eastAsia" w:ascii="宋体" w:hAnsi="宋体" w:eastAsia="宋体" w:cs="宋体"/>
          <w:kern w:val="0"/>
          <w:sz w:val="28"/>
          <w:szCs w:val="28"/>
        </w:rPr>
        <w:t>不包括</w:t>
      </w:r>
      <w:r>
        <w:rPr>
          <w:rFonts w:hint="eastAsia" w:ascii="宋体" w:hAnsi="宋体" w:eastAsia="宋体" w:cs="宋体"/>
          <w:sz w:val="28"/>
          <w:szCs w:val="28"/>
        </w:rPr>
        <w:t>拍卖或者变卖估价对象房地产时卖方需缴纳的各种税费等。</w:t>
      </w:r>
    </w:p>
    <w:p>
      <w:pPr>
        <w:keepNext w:val="0"/>
        <w:keepLines w:val="0"/>
        <w:widowControl w:val="0"/>
        <w:suppressLineNumbers w:val="0"/>
        <w:bidi w:val="0"/>
        <w:spacing w:before="0" w:beforeAutospacing="0" w:after="0" w:afterAutospacing="0" w:line="540" w:lineRule="atLeast"/>
        <w:ind w:right="0" w:firstLine="281" w:firstLineChars="100"/>
        <w:jc w:val="both"/>
        <w:rPr>
          <w:rFonts w:hAnsi="宋体"/>
          <w:sz w:val="28"/>
          <w:szCs w:val="28"/>
          <w:lang w:val="en-US"/>
        </w:rPr>
      </w:pPr>
      <w:r>
        <w:rPr>
          <w:rFonts w:hint="eastAsia" w:ascii="宋体" w:hAnsi="宋体" w:eastAsia="宋体" w:cs="Times New Roman"/>
          <w:b/>
          <w:kern w:val="2"/>
          <w:sz w:val="28"/>
          <w:szCs w:val="28"/>
          <w:lang w:val="en-US" w:eastAsia="zh-CN"/>
        </w:rPr>
        <w:t>（十一）注册房地产估价师</w:t>
      </w:r>
    </w:p>
    <w:p>
      <w:pPr>
        <w:tabs>
          <w:tab w:val="left" w:pos="7560"/>
        </w:tabs>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（十二）实地查勘期</w:t>
      </w:r>
    </w:p>
    <w:p>
      <w:pPr>
        <w:tabs>
          <w:tab w:val="left" w:pos="7560"/>
        </w:tabs>
        <w:bidi w:val="0"/>
        <w:spacing w:line="600" w:lineRule="exact"/>
        <w:ind w:firstLine="557"/>
        <w:jc w:val="left"/>
        <w:rPr>
          <w:rFonts w:hint="eastAsia" w:ascii="宋体" w:hAnsi="宋体" w:eastAsia="宋体" w:cs="宋体"/>
          <w:sz w:val="28"/>
          <w:szCs w:val="28"/>
        </w:rPr>
      </w:pPr>
      <w:r>
        <w:rPr>
          <w:rFonts w:hint="eastAsia" w:hAnsi="宋体" w:cs="宋体"/>
          <w:sz w:val="28"/>
          <w:lang w:eastAsia="zh-CN"/>
        </w:rPr>
        <w:t>2022年07月07日</w:t>
      </w:r>
      <w:r>
        <w:rPr>
          <w:rFonts w:hint="eastAsia" w:ascii="宋体" w:hAnsi="宋体" w:eastAsia="宋体" w:cs="宋体"/>
          <w:sz w:val="28"/>
        </w:rPr>
        <w:t>。</w:t>
      </w:r>
    </w:p>
    <w:p>
      <w:pPr>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（十三) 估价作业期</w:t>
      </w:r>
    </w:p>
    <w:p>
      <w:pPr>
        <w:bidi w:val="0"/>
        <w:spacing w:line="600" w:lineRule="exact"/>
        <w:ind w:firstLine="560"/>
        <w:jc w:val="left"/>
        <w:rPr>
          <w:rFonts w:hint="eastAsia" w:ascii="宋体" w:hAnsi="宋体" w:eastAsia="宋体" w:cs="宋体"/>
          <w:sz w:val="28"/>
        </w:rPr>
      </w:pPr>
      <w:r>
        <w:rPr>
          <w:rFonts w:hint="eastAsia" w:hAnsi="宋体" w:cs="宋体"/>
          <w:sz w:val="28"/>
          <w:lang w:eastAsia="zh-CN"/>
        </w:rPr>
        <w:t>2022年07月07日</w:t>
      </w:r>
      <w:r>
        <w:rPr>
          <w:rFonts w:hint="eastAsia" w:ascii="宋体" w:hAnsi="宋体" w:eastAsia="宋体" w:cs="宋体"/>
          <w:sz w:val="28"/>
        </w:rPr>
        <w:t>至</w:t>
      </w:r>
      <w:r>
        <w:rPr>
          <w:rFonts w:hint="eastAsia" w:hAnsi="宋体" w:cs="宋体"/>
          <w:sz w:val="28"/>
          <w:lang w:eastAsia="zh-CN"/>
        </w:rPr>
        <w:t>2022年08月01日</w:t>
      </w:r>
      <w:r>
        <w:rPr>
          <w:rFonts w:hint="eastAsia" w:ascii="宋体" w:hAnsi="宋体" w:eastAsia="宋体" w:cs="宋体"/>
          <w:sz w:val="28"/>
        </w:rPr>
        <w:t>。</w:t>
      </w:r>
    </w:p>
    <w:p>
      <w:pPr>
        <w:bidi w:val="0"/>
        <w:spacing w:line="600" w:lineRule="exact"/>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pStyle w:val="6"/>
        <w:bidi w:val="0"/>
        <w:adjustRightInd w:val="0"/>
        <w:spacing w:line="600" w:lineRule="exact"/>
        <w:rPr>
          <w:rFonts w:hint="eastAsia" w:ascii="宋体" w:hAnsi="宋体" w:eastAsia="宋体" w:cs="宋体"/>
          <w:b/>
          <w:bCs/>
          <w:sz w:val="44"/>
          <w:szCs w:val="44"/>
        </w:rPr>
      </w:pPr>
      <w:r>
        <w:rPr>
          <w:rFonts w:hint="eastAsia" w:ascii="宋体" w:hAnsi="宋体" w:eastAsia="宋体" w:cs="宋体"/>
        </w:rPr>
        <w:t xml:space="preserve">                                               </w:t>
      </w: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hAnsi="宋体" w:cs="宋体"/>
          <w:sz w:val="28"/>
          <w:szCs w:val="28"/>
          <w:lang w:eastAsia="zh-CN"/>
        </w:rPr>
        <w:t>2022年08月01日</w:t>
      </w:r>
    </w:p>
    <w:p>
      <w:pPr>
        <w:pStyle w:val="2"/>
        <w:rPr>
          <w:rFonts w:hint="eastAsia"/>
          <w:lang w:eastAsia="zh-CN"/>
        </w:rPr>
      </w:pPr>
    </w:p>
    <w:p>
      <w:pPr>
        <w:bidi w:val="0"/>
        <w:spacing w:line="600" w:lineRule="exact"/>
        <w:ind w:firstLine="3092" w:firstLineChars="700"/>
        <w:jc w:val="both"/>
        <w:rPr>
          <w:rFonts w:hint="eastAsia" w:ascii="宋体" w:hAnsi="宋体" w:eastAsia="宋体" w:cs="宋体"/>
          <w:b/>
          <w:bCs/>
          <w:sz w:val="44"/>
          <w:szCs w:val="44"/>
        </w:rPr>
      </w:pPr>
      <w:r>
        <w:rPr>
          <w:rFonts w:hint="eastAsia" w:hAnsi="宋体" w:cs="宋体"/>
          <w:b/>
          <w:bCs/>
          <w:sz w:val="44"/>
          <w:szCs w:val="44"/>
          <w:lang w:eastAsia="zh-CN"/>
        </w:rPr>
        <w:t>四、</w:t>
      </w:r>
      <w:r>
        <w:rPr>
          <w:rFonts w:hint="eastAsia" w:ascii="宋体" w:hAnsi="宋体" w:eastAsia="宋体" w:cs="宋体"/>
          <w:b/>
          <w:bCs/>
          <w:sz w:val="44"/>
          <w:szCs w:val="44"/>
        </w:rPr>
        <w:t>附件</w:t>
      </w:r>
    </w:p>
    <w:p>
      <w:pPr>
        <w:numPr>
          <w:ilvl w:val="0"/>
          <w:numId w:val="0"/>
        </w:numPr>
        <w:bidi w:val="0"/>
        <w:spacing w:line="600" w:lineRule="exact"/>
        <w:jc w:val="both"/>
        <w:rPr>
          <w:rFonts w:hint="eastAsia" w:ascii="宋体" w:hAnsi="宋体" w:eastAsia="宋体" w:cs="宋体"/>
          <w:b/>
          <w:bCs/>
          <w:sz w:val="44"/>
          <w:szCs w:val="44"/>
        </w:rPr>
      </w:pPr>
    </w:p>
    <w:p>
      <w:pPr>
        <w:numPr>
          <w:ilvl w:val="0"/>
          <w:numId w:val="3"/>
        </w:numPr>
        <w:bidi w:val="0"/>
        <w:spacing w:line="580" w:lineRule="exact"/>
        <w:ind w:firstLine="280"/>
        <w:rPr>
          <w:rFonts w:hint="eastAsia" w:ascii="宋体" w:hAnsi="宋体" w:eastAsia="宋体" w:cs="宋体"/>
          <w:kern w:val="0"/>
          <w:sz w:val="28"/>
          <w:szCs w:val="28"/>
        </w:rPr>
      </w:pPr>
      <w:r>
        <w:rPr>
          <w:rFonts w:hint="eastAsia" w:hAnsi="宋体" w:cs="宋体"/>
          <w:kern w:val="0"/>
          <w:sz w:val="28"/>
          <w:szCs w:val="28"/>
          <w:lang w:eastAsia="zh-CN"/>
        </w:rPr>
        <w:t>《</w:t>
      </w:r>
      <w:r>
        <w:rPr>
          <w:rFonts w:hint="eastAsia" w:hAnsi="宋体" w:cs="宋体"/>
          <w:sz w:val="28"/>
          <w:szCs w:val="28"/>
          <w:lang w:eastAsia="zh-CN"/>
        </w:rPr>
        <w:t>司法评估委托书（</w:t>
      </w:r>
      <w:r>
        <w:rPr>
          <w:rFonts w:hint="eastAsia" w:hAnsi="宋体" w:cs="宋体"/>
          <w:sz w:val="28"/>
          <w:szCs w:val="28"/>
          <w:lang w:val="en-US" w:eastAsia="zh-CN"/>
        </w:rPr>
        <w:t>2022</w:t>
      </w:r>
      <w:r>
        <w:rPr>
          <w:rFonts w:hint="eastAsia" w:hAnsi="宋体" w:cs="宋体"/>
          <w:sz w:val="28"/>
          <w:szCs w:val="28"/>
          <w:lang w:eastAsia="zh-CN"/>
        </w:rPr>
        <w:t>）豫</w:t>
      </w:r>
      <w:r>
        <w:rPr>
          <w:rFonts w:hint="eastAsia" w:hAnsi="宋体" w:cs="宋体"/>
          <w:sz w:val="28"/>
          <w:szCs w:val="28"/>
          <w:lang w:val="en-US" w:eastAsia="zh-CN"/>
        </w:rPr>
        <w:t>1081司辅估字第59号</w:t>
      </w:r>
      <w:r>
        <w:rPr>
          <w:rFonts w:hint="eastAsia" w:hAnsi="宋体" w:cs="宋体"/>
          <w:kern w:val="0"/>
          <w:sz w:val="28"/>
          <w:szCs w:val="28"/>
          <w:lang w:eastAsia="zh-CN"/>
        </w:rPr>
        <w:t>》复印件</w:t>
      </w:r>
    </w:p>
    <w:p>
      <w:pPr>
        <w:numPr>
          <w:ilvl w:val="0"/>
          <w:numId w:val="3"/>
        </w:numPr>
        <w:bidi w:val="0"/>
        <w:spacing w:line="580" w:lineRule="exact"/>
        <w:ind w:firstLine="280"/>
        <w:rPr>
          <w:rFonts w:hint="eastAsia" w:ascii="宋体" w:hAnsi="宋体" w:eastAsia="宋体" w:cs="宋体"/>
          <w:kern w:val="0"/>
          <w:sz w:val="28"/>
          <w:szCs w:val="28"/>
        </w:rPr>
      </w:pPr>
      <w:r>
        <w:rPr>
          <w:rFonts w:hint="eastAsia" w:hAnsi="宋体" w:cs="宋体"/>
          <w:kern w:val="0"/>
          <w:sz w:val="28"/>
          <w:szCs w:val="28"/>
          <w:lang w:eastAsia="zh-CN"/>
        </w:rPr>
        <w:t>《</w:t>
      </w:r>
      <w:r>
        <w:rPr>
          <w:rFonts w:hint="eastAsia" w:hAnsi="宋体" w:cs="宋体"/>
          <w:sz w:val="28"/>
          <w:lang w:eastAsia="zh-CN"/>
        </w:rPr>
        <w:t>执行裁定书（</w:t>
      </w:r>
      <w:r>
        <w:rPr>
          <w:rFonts w:hint="eastAsia" w:hAnsi="宋体" w:cs="宋体"/>
          <w:sz w:val="28"/>
          <w:lang w:val="en-US" w:eastAsia="zh-CN"/>
        </w:rPr>
        <w:t>2019</w:t>
      </w:r>
      <w:r>
        <w:rPr>
          <w:rFonts w:hint="eastAsia" w:hAnsi="宋体" w:cs="宋体"/>
          <w:sz w:val="28"/>
          <w:lang w:eastAsia="zh-CN"/>
        </w:rPr>
        <w:t>）豫</w:t>
      </w:r>
      <w:r>
        <w:rPr>
          <w:rFonts w:hint="eastAsia" w:hAnsi="宋体" w:cs="宋体"/>
          <w:sz w:val="28"/>
          <w:lang w:val="en-US" w:eastAsia="zh-CN"/>
        </w:rPr>
        <w:t>1081执356-1号</w:t>
      </w:r>
      <w:r>
        <w:rPr>
          <w:rFonts w:hint="eastAsia" w:hAnsi="宋体" w:cs="宋体"/>
          <w:kern w:val="0"/>
          <w:sz w:val="28"/>
          <w:szCs w:val="28"/>
          <w:lang w:eastAsia="zh-CN"/>
        </w:rPr>
        <w:t>》复印件</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不动产权登记记载表</w:t>
      </w:r>
      <w:r>
        <w:rPr>
          <w:rFonts w:hint="eastAsia" w:ascii="宋体" w:hAnsi="宋体" w:eastAsia="宋体" w:cs="宋体"/>
          <w:kern w:val="0"/>
          <w:sz w:val="28"/>
          <w:szCs w:val="28"/>
        </w:rPr>
        <w:t>》复印件</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估价对象状况照片</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估价对象所在位置示意图</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房地产估价机构营业执照复印件</w:t>
      </w:r>
    </w:p>
    <w:p>
      <w:pPr>
        <w:widowControl/>
        <w:numPr>
          <w:ilvl w:val="0"/>
          <w:numId w:val="3"/>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w:t>
      </w:r>
      <w:r>
        <w:rPr>
          <w:rFonts w:hint="eastAsia" w:hAnsi="宋体" w:cs="宋体"/>
          <w:kern w:val="0"/>
          <w:sz w:val="28"/>
          <w:szCs w:val="28"/>
          <w:lang w:eastAsia="zh-CN"/>
        </w:rPr>
        <w:t>备案</w:t>
      </w:r>
      <w:r>
        <w:rPr>
          <w:rFonts w:hint="eastAsia" w:ascii="宋体" w:hAnsi="宋体" w:eastAsia="宋体" w:cs="宋体"/>
          <w:kern w:val="0"/>
          <w:sz w:val="28"/>
          <w:szCs w:val="28"/>
        </w:rPr>
        <w:t>证书复印件</w:t>
      </w:r>
    </w:p>
    <w:p>
      <w:pPr>
        <w:widowControl/>
        <w:numPr>
          <w:ilvl w:val="0"/>
          <w:numId w:val="3"/>
        </w:numPr>
        <w:bidi w:val="0"/>
        <w:spacing w:line="580" w:lineRule="exact"/>
        <w:ind w:left="0" w:firstLine="280"/>
        <w:jc w:val="left"/>
        <w:rPr>
          <w:rFonts w:hint="eastAsia"/>
        </w:rPr>
      </w:pPr>
      <w:r>
        <w:rPr>
          <w:rFonts w:hint="eastAsia" w:ascii="宋体" w:hAnsi="宋体" w:eastAsia="宋体" w:cs="宋体"/>
          <w:kern w:val="0"/>
          <w:sz w:val="28"/>
          <w:szCs w:val="28"/>
        </w:rPr>
        <w:t>注册房地产估价师注册证书复印件</w:t>
      </w:r>
      <w:bookmarkStart w:id="0" w:name="_GoBack"/>
      <w:bookmarkEnd w:id="0"/>
    </w:p>
    <w:p/>
    <w:sectPr>
      <w:headerReference r:id="rId6" w:type="default"/>
      <w:footerReference r:id="rId7" w:type="default"/>
      <w:pgSz w:w="11906" w:h="16838"/>
      <w:pgMar w:top="1134" w:right="1077" w:bottom="1134" w:left="1077" w:header="851" w:footer="850" w:gutter="51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4" w:space="0"/>
      </w:pBdr>
      <w:bidi w:val="0"/>
      <w:rPr>
        <w:rFonts w:hAnsi="宋体"/>
        <w:w w:val="80"/>
        <w:sz w:val="24"/>
        <w:szCs w:val="24"/>
      </w:rPr>
    </w:pPr>
  </w:p>
  <w:p>
    <w:pPr>
      <w:pStyle w:val="7"/>
      <w:framePr w:wrap="around" w:vAnchor="text" w:hAnchor="page" w:x="6182" w:y="135"/>
      <w:bidi w:val="0"/>
      <w:rPr>
        <w:rStyle w:val="13"/>
      </w:rPr>
    </w:pPr>
    <w:r>
      <w:fldChar w:fldCharType="begin"/>
    </w:r>
    <w:r>
      <w:rPr>
        <w:rStyle w:val="13"/>
      </w:rPr>
      <w:instrText xml:space="preserve">PAGE  </w:instrText>
    </w:r>
    <w:r>
      <w:fldChar w:fldCharType="separate"/>
    </w:r>
    <w:r>
      <w:rPr>
        <w:rStyle w:val="13"/>
      </w:rPr>
      <w:t>- 15 -</w:t>
    </w:r>
    <w:r>
      <w:fldChar w:fldCharType="end"/>
    </w:r>
  </w:p>
  <w:p>
    <w:pPr>
      <w:pStyle w:val="7"/>
      <w:bidi w:val="0"/>
    </w:pPr>
    <w:r>
      <w:rPr>
        <w:rFonts w:hint="eastAsia" w:hAnsi="宋体"/>
        <w:w w:val="80"/>
        <w:sz w:val="24"/>
        <w:szCs w:val="24"/>
      </w:rPr>
      <w:t>河南凯业房地产估价咨询有限公司                                     全面启用电子签章、扫码验真伪</w:t>
    </w:r>
  </w:p>
  <w:p>
    <w:pPr>
      <w:pStyle w:val="7"/>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bidi w:val="0"/>
      <w:rPr>
        <w:rStyle w:val="13"/>
      </w:rPr>
    </w:pPr>
    <w:r>
      <w:fldChar w:fldCharType="begin"/>
    </w:r>
    <w:r>
      <w:rPr>
        <w:rStyle w:val="13"/>
      </w:rPr>
      <w:instrText xml:space="preserve">PAGE  </w:instrText>
    </w:r>
    <w:r>
      <w:fldChar w:fldCharType="separate"/>
    </w:r>
    <w:r>
      <w:fldChar w:fldCharType="end"/>
    </w:r>
  </w:p>
  <w:p>
    <w:pPr>
      <w:pStyle w:val="7"/>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4" w:space="0"/>
      </w:pBdr>
      <w:rPr>
        <w:rFonts w:hAnsi="宋体"/>
        <w:w w:val="80"/>
        <w:sz w:val="24"/>
        <w:szCs w:val="24"/>
      </w:rPr>
    </w:pPr>
  </w:p>
  <w:p>
    <w:pPr>
      <w:pStyle w:val="7"/>
      <w:framePr w:wrap="around" w:vAnchor="text" w:hAnchor="page" w:x="6182" w:y="135"/>
      <w:rPr>
        <w:rStyle w:val="13"/>
      </w:rPr>
    </w:pPr>
    <w:r>
      <w:fldChar w:fldCharType="begin"/>
    </w:r>
    <w:r>
      <w:rPr>
        <w:rStyle w:val="13"/>
      </w:rPr>
      <w:instrText xml:space="preserve">PAGE  </w:instrText>
    </w:r>
    <w:r>
      <w:fldChar w:fldCharType="separate"/>
    </w:r>
    <w:r>
      <w:rPr>
        <w:rStyle w:val="13"/>
      </w:rPr>
      <w:t>- 15 -</w:t>
    </w:r>
    <w:r>
      <w:fldChar w:fldCharType="end"/>
    </w:r>
  </w:p>
  <w:p>
    <w:pPr>
      <w:pStyle w:val="7"/>
    </w:pPr>
    <w:r>
      <w:rPr>
        <w:rFonts w:hint="eastAsia" w:hAnsi="宋体"/>
        <w:w w:val="80"/>
        <w:sz w:val="24"/>
        <w:szCs w:val="24"/>
      </w:rPr>
      <w:t>河南凯业房地产估价咨询有限公司                                     全面启用电子签章、扫码验真伪</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3"/>
      </w:pBdr>
      <w:bidi w:val="0"/>
      <w:ind w:firstLine="3420" w:firstLineChars="1900"/>
      <w:jc w:val="both"/>
    </w:pPr>
    <w:r>
      <w:rPr>
        <w:rFonts w:hint="eastAsia"/>
      </w:rPr>
      <w:t xml:space="preserve">                                            </w:t>
    </w:r>
    <w:r>
      <w:rPr>
        <w:rFonts w:hint="eastAsia"/>
        <w:sz w:val="21"/>
        <w:szCs w:val="20"/>
      </w:rPr>
      <w:t>司法鉴定专用报告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3"/>
      </w:pBdr>
      <w:ind w:firstLine="3240" w:firstLineChars="1800"/>
      <w:jc w:val="both"/>
    </w:pPr>
    <w:r>
      <w:rPr>
        <w:rFonts w:hint="eastAsia"/>
      </w:rPr>
      <w:t xml:space="preserve">                                              </w:t>
    </w:r>
    <w:r>
      <w:rPr>
        <w:rFonts w:hint="eastAsia"/>
        <w:lang w:val="en-US" w:eastAsia="zh-CN"/>
      </w:rPr>
      <w:t xml:space="preserve"> </w:t>
    </w:r>
    <w:r>
      <w:rPr>
        <w:rFonts w:hint="eastAsia"/>
        <w:sz w:val="21"/>
        <w:szCs w:val="20"/>
      </w:rPr>
      <w:t>司法鉴定专用报告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09B7B"/>
    <w:multiLevelType w:val="singleLevel"/>
    <w:tmpl w:val="8D909B7B"/>
    <w:lvl w:ilvl="0" w:tentative="0">
      <w:start w:val="1"/>
      <w:numFmt w:val="chineseCounting"/>
      <w:suff w:val="nothing"/>
      <w:lvlText w:val="（%1）"/>
      <w:lvlJc w:val="left"/>
      <w:rPr>
        <w:rFonts w:hint="eastAsia"/>
      </w:rPr>
    </w:lvl>
  </w:abstractNum>
  <w:abstractNum w:abstractNumId="1">
    <w:nsid w:val="8F81D9C3"/>
    <w:multiLevelType w:val="singleLevel"/>
    <w:tmpl w:val="8F81D9C3"/>
    <w:lvl w:ilvl="0" w:tentative="0">
      <w:start w:val="2"/>
      <w:numFmt w:val="decimal"/>
      <w:suff w:val="nothing"/>
      <w:lvlText w:val="%1、"/>
      <w:lvlJc w:val="left"/>
    </w:lvl>
  </w:abstractNum>
  <w:abstractNum w:abstractNumId="2">
    <w:nsid w:val="494653DF"/>
    <w:multiLevelType w:val="multilevel"/>
    <w:tmpl w:val="494653DF"/>
    <w:lvl w:ilvl="0" w:tentative="0">
      <w:start w:val="1"/>
      <w:numFmt w:val="chineseCountingThousand"/>
      <w:pStyle w:val="15"/>
      <w:lvlText w:val="%1."/>
      <w:lvlJc w:val="left"/>
      <w:pPr>
        <w:tabs>
          <w:tab w:val="left" w:pos="547"/>
        </w:tabs>
        <w:ind w:left="547" w:hanging="420"/>
      </w:pPr>
      <w:rPr>
        <w:rFonts w:hint="eastAsia" w:eastAsia="宋体"/>
        <w:b w:val="0"/>
        <w:i w:val="0"/>
        <w:sz w:val="28"/>
        <w:szCs w:val="28"/>
      </w:rPr>
    </w:lvl>
    <w:lvl w:ilvl="1" w:tentative="0">
      <w:start w:val="1"/>
      <w:numFmt w:val="lowerLetter"/>
      <w:lvlText w:val="%2)"/>
      <w:lvlJc w:val="left"/>
      <w:pPr>
        <w:tabs>
          <w:tab w:val="left" w:pos="967"/>
        </w:tabs>
        <w:ind w:left="967" w:hanging="420"/>
      </w:pPr>
    </w:lvl>
    <w:lvl w:ilvl="2" w:tentative="0">
      <w:start w:val="1"/>
      <w:numFmt w:val="lowerRoman"/>
      <w:lvlText w:val="%3."/>
      <w:lvlJc w:val="right"/>
      <w:pPr>
        <w:tabs>
          <w:tab w:val="left" w:pos="1387"/>
        </w:tabs>
        <w:ind w:left="1387" w:hanging="420"/>
      </w:pPr>
    </w:lvl>
    <w:lvl w:ilvl="3" w:tentative="0">
      <w:start w:val="1"/>
      <w:numFmt w:val="decimal"/>
      <w:lvlText w:val="%4."/>
      <w:lvlJc w:val="left"/>
      <w:pPr>
        <w:tabs>
          <w:tab w:val="left" w:pos="1807"/>
        </w:tabs>
        <w:ind w:left="1807" w:hanging="420"/>
      </w:pPr>
    </w:lvl>
    <w:lvl w:ilvl="4" w:tentative="0">
      <w:start w:val="1"/>
      <w:numFmt w:val="lowerLetter"/>
      <w:lvlText w:val="%5)"/>
      <w:lvlJc w:val="left"/>
      <w:pPr>
        <w:tabs>
          <w:tab w:val="left" w:pos="2227"/>
        </w:tabs>
        <w:ind w:left="2227" w:hanging="420"/>
      </w:pPr>
    </w:lvl>
    <w:lvl w:ilvl="5" w:tentative="0">
      <w:start w:val="1"/>
      <w:numFmt w:val="lowerRoman"/>
      <w:lvlText w:val="%6."/>
      <w:lvlJc w:val="right"/>
      <w:pPr>
        <w:tabs>
          <w:tab w:val="left" w:pos="2647"/>
        </w:tabs>
        <w:ind w:left="2647" w:hanging="420"/>
      </w:pPr>
    </w:lvl>
    <w:lvl w:ilvl="6" w:tentative="0">
      <w:start w:val="1"/>
      <w:numFmt w:val="decimal"/>
      <w:lvlText w:val="%7."/>
      <w:lvlJc w:val="left"/>
      <w:pPr>
        <w:tabs>
          <w:tab w:val="left" w:pos="3067"/>
        </w:tabs>
        <w:ind w:left="3067" w:hanging="420"/>
      </w:pPr>
    </w:lvl>
    <w:lvl w:ilvl="7" w:tentative="0">
      <w:start w:val="1"/>
      <w:numFmt w:val="lowerLetter"/>
      <w:lvlText w:val="%8)"/>
      <w:lvlJc w:val="left"/>
      <w:pPr>
        <w:tabs>
          <w:tab w:val="left" w:pos="3487"/>
        </w:tabs>
        <w:ind w:left="3487" w:hanging="420"/>
      </w:pPr>
    </w:lvl>
    <w:lvl w:ilvl="8" w:tentative="0">
      <w:start w:val="1"/>
      <w:numFmt w:val="lowerRoman"/>
      <w:lvlText w:val="%9."/>
      <w:lvlJc w:val="right"/>
      <w:pPr>
        <w:tabs>
          <w:tab w:val="left" w:pos="3907"/>
        </w:tabs>
        <w:ind w:left="390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ZjFjOTFiMTMwYmI1Mjc2ZjFmMDM0ZjYzMzUwZjkifQ=="/>
  </w:docVars>
  <w:rsids>
    <w:rsidRoot w:val="00000000"/>
    <w:rsid w:val="009802A2"/>
    <w:rsid w:val="00B445A6"/>
    <w:rsid w:val="00BB5387"/>
    <w:rsid w:val="00C57EBB"/>
    <w:rsid w:val="00D02373"/>
    <w:rsid w:val="00EC6A30"/>
    <w:rsid w:val="00F475E8"/>
    <w:rsid w:val="0179160F"/>
    <w:rsid w:val="027F4D04"/>
    <w:rsid w:val="029A47B8"/>
    <w:rsid w:val="033D1E5D"/>
    <w:rsid w:val="035157CB"/>
    <w:rsid w:val="03D47E58"/>
    <w:rsid w:val="0421100A"/>
    <w:rsid w:val="04680665"/>
    <w:rsid w:val="048B48D7"/>
    <w:rsid w:val="052867D4"/>
    <w:rsid w:val="05B34EE7"/>
    <w:rsid w:val="05CD1A66"/>
    <w:rsid w:val="05DF6C07"/>
    <w:rsid w:val="05ED719D"/>
    <w:rsid w:val="06406019"/>
    <w:rsid w:val="064B26DC"/>
    <w:rsid w:val="067A57F6"/>
    <w:rsid w:val="07794418"/>
    <w:rsid w:val="07C126F9"/>
    <w:rsid w:val="07CA41C0"/>
    <w:rsid w:val="08005BDC"/>
    <w:rsid w:val="08B24627"/>
    <w:rsid w:val="08B25C2A"/>
    <w:rsid w:val="092702D4"/>
    <w:rsid w:val="0955631A"/>
    <w:rsid w:val="0A6251B2"/>
    <w:rsid w:val="0AA03F62"/>
    <w:rsid w:val="0AA9086C"/>
    <w:rsid w:val="0AAD6C6B"/>
    <w:rsid w:val="0B583755"/>
    <w:rsid w:val="0B6D6042"/>
    <w:rsid w:val="0BC83278"/>
    <w:rsid w:val="0BD5550D"/>
    <w:rsid w:val="0BF820B9"/>
    <w:rsid w:val="0C9475FE"/>
    <w:rsid w:val="0CB47CA0"/>
    <w:rsid w:val="0D040760"/>
    <w:rsid w:val="0D6E21C2"/>
    <w:rsid w:val="0DEE2D3E"/>
    <w:rsid w:val="0DF345F6"/>
    <w:rsid w:val="0E543A5E"/>
    <w:rsid w:val="0ECF3E91"/>
    <w:rsid w:val="0EFC2309"/>
    <w:rsid w:val="0F451F54"/>
    <w:rsid w:val="0F4C41C0"/>
    <w:rsid w:val="0F7A7F59"/>
    <w:rsid w:val="10207B26"/>
    <w:rsid w:val="1032785A"/>
    <w:rsid w:val="105842F0"/>
    <w:rsid w:val="1069276B"/>
    <w:rsid w:val="106B4B1A"/>
    <w:rsid w:val="10874774"/>
    <w:rsid w:val="108D4DEE"/>
    <w:rsid w:val="10BA539E"/>
    <w:rsid w:val="11001706"/>
    <w:rsid w:val="115F70CC"/>
    <w:rsid w:val="11BD2004"/>
    <w:rsid w:val="11C86B1F"/>
    <w:rsid w:val="11F528ED"/>
    <w:rsid w:val="12051714"/>
    <w:rsid w:val="135049C5"/>
    <w:rsid w:val="13AE7B26"/>
    <w:rsid w:val="13F777F4"/>
    <w:rsid w:val="13FB007E"/>
    <w:rsid w:val="141C5A98"/>
    <w:rsid w:val="14665A8B"/>
    <w:rsid w:val="1488485E"/>
    <w:rsid w:val="149F2FE4"/>
    <w:rsid w:val="14E36DB5"/>
    <w:rsid w:val="14F056DF"/>
    <w:rsid w:val="152D239E"/>
    <w:rsid w:val="155E4C4D"/>
    <w:rsid w:val="157505EB"/>
    <w:rsid w:val="158346B4"/>
    <w:rsid w:val="15EA066A"/>
    <w:rsid w:val="163F4829"/>
    <w:rsid w:val="167A558A"/>
    <w:rsid w:val="16A76650"/>
    <w:rsid w:val="16CD5BE6"/>
    <w:rsid w:val="16E27B63"/>
    <w:rsid w:val="16FE2244"/>
    <w:rsid w:val="17570EFA"/>
    <w:rsid w:val="180F40D3"/>
    <w:rsid w:val="181D2B9D"/>
    <w:rsid w:val="182434CE"/>
    <w:rsid w:val="1872380A"/>
    <w:rsid w:val="188758B0"/>
    <w:rsid w:val="18EE2800"/>
    <w:rsid w:val="192E0581"/>
    <w:rsid w:val="19514555"/>
    <w:rsid w:val="196D41B8"/>
    <w:rsid w:val="1A442393"/>
    <w:rsid w:val="1A457223"/>
    <w:rsid w:val="1AA06D12"/>
    <w:rsid w:val="1AB66231"/>
    <w:rsid w:val="1ABC5611"/>
    <w:rsid w:val="1AEB6F83"/>
    <w:rsid w:val="1C5E00CE"/>
    <w:rsid w:val="1C5F5A63"/>
    <w:rsid w:val="1CB93DAD"/>
    <w:rsid w:val="1D3A7D4E"/>
    <w:rsid w:val="1D5337BB"/>
    <w:rsid w:val="1DAA14A8"/>
    <w:rsid w:val="1E6D7CAF"/>
    <w:rsid w:val="1EFC34B3"/>
    <w:rsid w:val="1F3D53D4"/>
    <w:rsid w:val="1F3E641F"/>
    <w:rsid w:val="1F613BBB"/>
    <w:rsid w:val="1FB071AC"/>
    <w:rsid w:val="1FFD0D1E"/>
    <w:rsid w:val="20043A51"/>
    <w:rsid w:val="20202890"/>
    <w:rsid w:val="20FC4BEC"/>
    <w:rsid w:val="216B6728"/>
    <w:rsid w:val="216E6218"/>
    <w:rsid w:val="21871088"/>
    <w:rsid w:val="222A57F6"/>
    <w:rsid w:val="223D0B30"/>
    <w:rsid w:val="22895D44"/>
    <w:rsid w:val="22954DFB"/>
    <w:rsid w:val="22D73BFA"/>
    <w:rsid w:val="22DF410D"/>
    <w:rsid w:val="22ED19A4"/>
    <w:rsid w:val="232020E4"/>
    <w:rsid w:val="23440462"/>
    <w:rsid w:val="23952C38"/>
    <w:rsid w:val="23A912AD"/>
    <w:rsid w:val="24591A22"/>
    <w:rsid w:val="24B00060"/>
    <w:rsid w:val="24E20D41"/>
    <w:rsid w:val="24E4622E"/>
    <w:rsid w:val="25582AAC"/>
    <w:rsid w:val="256A3B39"/>
    <w:rsid w:val="25C5217F"/>
    <w:rsid w:val="25DC295B"/>
    <w:rsid w:val="262F57E2"/>
    <w:rsid w:val="2662412D"/>
    <w:rsid w:val="26A362D9"/>
    <w:rsid w:val="27102ED4"/>
    <w:rsid w:val="27624129"/>
    <w:rsid w:val="278E3170"/>
    <w:rsid w:val="282835C4"/>
    <w:rsid w:val="283E4ED3"/>
    <w:rsid w:val="284628DE"/>
    <w:rsid w:val="28F87EF8"/>
    <w:rsid w:val="29717618"/>
    <w:rsid w:val="297B26A4"/>
    <w:rsid w:val="29E259F5"/>
    <w:rsid w:val="2A7D127A"/>
    <w:rsid w:val="2AEF2E1F"/>
    <w:rsid w:val="2B2160A9"/>
    <w:rsid w:val="2B4F37FA"/>
    <w:rsid w:val="2B7C42B9"/>
    <w:rsid w:val="2BF24C34"/>
    <w:rsid w:val="2C522157"/>
    <w:rsid w:val="2CB002DA"/>
    <w:rsid w:val="2CBE4367"/>
    <w:rsid w:val="2D774AE8"/>
    <w:rsid w:val="2D83164F"/>
    <w:rsid w:val="2D9B688F"/>
    <w:rsid w:val="2DD83397"/>
    <w:rsid w:val="2DEB679E"/>
    <w:rsid w:val="2E172626"/>
    <w:rsid w:val="2E393B1D"/>
    <w:rsid w:val="2E956675"/>
    <w:rsid w:val="2EB707A1"/>
    <w:rsid w:val="2EC67E4A"/>
    <w:rsid w:val="2EE95130"/>
    <w:rsid w:val="2FA91513"/>
    <w:rsid w:val="2FF26266"/>
    <w:rsid w:val="300C37CC"/>
    <w:rsid w:val="304A4435"/>
    <w:rsid w:val="30FF26B7"/>
    <w:rsid w:val="3128610F"/>
    <w:rsid w:val="316F5E25"/>
    <w:rsid w:val="31774C75"/>
    <w:rsid w:val="318E58BD"/>
    <w:rsid w:val="32782E94"/>
    <w:rsid w:val="32A8036C"/>
    <w:rsid w:val="32A82563"/>
    <w:rsid w:val="3308482E"/>
    <w:rsid w:val="33476FDD"/>
    <w:rsid w:val="3353433F"/>
    <w:rsid w:val="33C85C5B"/>
    <w:rsid w:val="34037E72"/>
    <w:rsid w:val="349F4C0E"/>
    <w:rsid w:val="34E940DB"/>
    <w:rsid w:val="34EF1022"/>
    <w:rsid w:val="35177D3D"/>
    <w:rsid w:val="351D1FD7"/>
    <w:rsid w:val="35A3072E"/>
    <w:rsid w:val="370F7539"/>
    <w:rsid w:val="37515F68"/>
    <w:rsid w:val="38284F1B"/>
    <w:rsid w:val="39396CB4"/>
    <w:rsid w:val="39750CCB"/>
    <w:rsid w:val="3A0F6392"/>
    <w:rsid w:val="3A2A0158"/>
    <w:rsid w:val="3A2F2590"/>
    <w:rsid w:val="3A37310E"/>
    <w:rsid w:val="3A8D5509"/>
    <w:rsid w:val="3AE25855"/>
    <w:rsid w:val="3AEE244B"/>
    <w:rsid w:val="3BBD01CF"/>
    <w:rsid w:val="3C4B742A"/>
    <w:rsid w:val="3C8355B8"/>
    <w:rsid w:val="3CA37E67"/>
    <w:rsid w:val="3CB22BCD"/>
    <w:rsid w:val="3D126113"/>
    <w:rsid w:val="3D363D43"/>
    <w:rsid w:val="3DC54FBA"/>
    <w:rsid w:val="3DE81BA1"/>
    <w:rsid w:val="3E802790"/>
    <w:rsid w:val="3E895FE7"/>
    <w:rsid w:val="3F5126AB"/>
    <w:rsid w:val="3F872C84"/>
    <w:rsid w:val="3FB24CEC"/>
    <w:rsid w:val="3FC766CF"/>
    <w:rsid w:val="3FE77469"/>
    <w:rsid w:val="40475DDA"/>
    <w:rsid w:val="407600AA"/>
    <w:rsid w:val="41CE1354"/>
    <w:rsid w:val="41D81760"/>
    <w:rsid w:val="42FF02A9"/>
    <w:rsid w:val="43D50B7B"/>
    <w:rsid w:val="43E268C5"/>
    <w:rsid w:val="4480753A"/>
    <w:rsid w:val="44A049B1"/>
    <w:rsid w:val="45260A34"/>
    <w:rsid w:val="45570BED"/>
    <w:rsid w:val="45F91CA4"/>
    <w:rsid w:val="46886004"/>
    <w:rsid w:val="46916381"/>
    <w:rsid w:val="47176781"/>
    <w:rsid w:val="4734568A"/>
    <w:rsid w:val="47A67C0A"/>
    <w:rsid w:val="47BA5463"/>
    <w:rsid w:val="48B4470D"/>
    <w:rsid w:val="48D83DF3"/>
    <w:rsid w:val="49025314"/>
    <w:rsid w:val="496A1E2F"/>
    <w:rsid w:val="49817D5A"/>
    <w:rsid w:val="4A2F5628"/>
    <w:rsid w:val="4A327B96"/>
    <w:rsid w:val="4A426CFB"/>
    <w:rsid w:val="4A530593"/>
    <w:rsid w:val="4A6956A8"/>
    <w:rsid w:val="4A8C4962"/>
    <w:rsid w:val="4AFC3DC2"/>
    <w:rsid w:val="4B1B5A5E"/>
    <w:rsid w:val="4B645E12"/>
    <w:rsid w:val="4C004579"/>
    <w:rsid w:val="4C4D2D4A"/>
    <w:rsid w:val="4C7D52A0"/>
    <w:rsid w:val="4CAA019C"/>
    <w:rsid w:val="4D072EF9"/>
    <w:rsid w:val="4D0E24D9"/>
    <w:rsid w:val="4D2E0BA0"/>
    <w:rsid w:val="4D3B7D6A"/>
    <w:rsid w:val="4D4C4DB0"/>
    <w:rsid w:val="4DD6783C"/>
    <w:rsid w:val="4DF66104"/>
    <w:rsid w:val="4E3046D1"/>
    <w:rsid w:val="4E915170"/>
    <w:rsid w:val="4EC537C3"/>
    <w:rsid w:val="4F3326D8"/>
    <w:rsid w:val="4FB620A8"/>
    <w:rsid w:val="4FDC2460"/>
    <w:rsid w:val="50243DC2"/>
    <w:rsid w:val="5034716F"/>
    <w:rsid w:val="50472DCB"/>
    <w:rsid w:val="50D15CF8"/>
    <w:rsid w:val="50DE0415"/>
    <w:rsid w:val="517D431E"/>
    <w:rsid w:val="51F55A16"/>
    <w:rsid w:val="51FD45B0"/>
    <w:rsid w:val="52036385"/>
    <w:rsid w:val="522D51B0"/>
    <w:rsid w:val="527A416D"/>
    <w:rsid w:val="52B820F4"/>
    <w:rsid w:val="52DE744D"/>
    <w:rsid w:val="52E52E74"/>
    <w:rsid w:val="5306395E"/>
    <w:rsid w:val="5345477B"/>
    <w:rsid w:val="53773077"/>
    <w:rsid w:val="53C71634"/>
    <w:rsid w:val="53FF4941"/>
    <w:rsid w:val="543160A4"/>
    <w:rsid w:val="545B747F"/>
    <w:rsid w:val="55196BF4"/>
    <w:rsid w:val="55570680"/>
    <w:rsid w:val="55783A52"/>
    <w:rsid w:val="55B55BE8"/>
    <w:rsid w:val="55F90539"/>
    <w:rsid w:val="560C6576"/>
    <w:rsid w:val="56642141"/>
    <w:rsid w:val="568B03C9"/>
    <w:rsid w:val="579B0908"/>
    <w:rsid w:val="58DA1728"/>
    <w:rsid w:val="58F63B78"/>
    <w:rsid w:val="590662BB"/>
    <w:rsid w:val="595A2602"/>
    <w:rsid w:val="59AE61D3"/>
    <w:rsid w:val="59B85CA7"/>
    <w:rsid w:val="59BB705F"/>
    <w:rsid w:val="59E923DD"/>
    <w:rsid w:val="59F91B3E"/>
    <w:rsid w:val="5A055CBC"/>
    <w:rsid w:val="5A151F3A"/>
    <w:rsid w:val="5A172EF6"/>
    <w:rsid w:val="5A563BA0"/>
    <w:rsid w:val="5AB02E22"/>
    <w:rsid w:val="5AE661B3"/>
    <w:rsid w:val="5B386973"/>
    <w:rsid w:val="5BF40531"/>
    <w:rsid w:val="5C2744D8"/>
    <w:rsid w:val="5CE15514"/>
    <w:rsid w:val="5D5C2DED"/>
    <w:rsid w:val="5DC32037"/>
    <w:rsid w:val="5DD010E5"/>
    <w:rsid w:val="5E114ADD"/>
    <w:rsid w:val="5E115985"/>
    <w:rsid w:val="5E31427A"/>
    <w:rsid w:val="5EB153BA"/>
    <w:rsid w:val="5EC46E9C"/>
    <w:rsid w:val="5EDD5E3C"/>
    <w:rsid w:val="5FA666FE"/>
    <w:rsid w:val="5FCD2C94"/>
    <w:rsid w:val="5FDE5D3B"/>
    <w:rsid w:val="60086481"/>
    <w:rsid w:val="604A7E95"/>
    <w:rsid w:val="605B0E76"/>
    <w:rsid w:val="60AA2C05"/>
    <w:rsid w:val="61137C66"/>
    <w:rsid w:val="61E44F1F"/>
    <w:rsid w:val="62767EEE"/>
    <w:rsid w:val="634A1FE7"/>
    <w:rsid w:val="63702B4B"/>
    <w:rsid w:val="63A47FEE"/>
    <w:rsid w:val="63B85628"/>
    <w:rsid w:val="63C808B6"/>
    <w:rsid w:val="63F518A5"/>
    <w:rsid w:val="64947640"/>
    <w:rsid w:val="64A10028"/>
    <w:rsid w:val="64C85A75"/>
    <w:rsid w:val="650215FA"/>
    <w:rsid w:val="65223308"/>
    <w:rsid w:val="65511CBA"/>
    <w:rsid w:val="65C85E6E"/>
    <w:rsid w:val="66855163"/>
    <w:rsid w:val="673F3F28"/>
    <w:rsid w:val="67580AC9"/>
    <w:rsid w:val="6954157D"/>
    <w:rsid w:val="69982EE8"/>
    <w:rsid w:val="69C51AC5"/>
    <w:rsid w:val="69C72B58"/>
    <w:rsid w:val="6A132A85"/>
    <w:rsid w:val="6ABF49F2"/>
    <w:rsid w:val="6AC20485"/>
    <w:rsid w:val="6AC87451"/>
    <w:rsid w:val="6AD96FCB"/>
    <w:rsid w:val="6B9129CF"/>
    <w:rsid w:val="6BAD5A0F"/>
    <w:rsid w:val="6C09002B"/>
    <w:rsid w:val="6D2A65E2"/>
    <w:rsid w:val="6D491C36"/>
    <w:rsid w:val="6D657A9C"/>
    <w:rsid w:val="6DA22D00"/>
    <w:rsid w:val="6DFA3F04"/>
    <w:rsid w:val="6DFB0BB9"/>
    <w:rsid w:val="6E2F3C06"/>
    <w:rsid w:val="6E522AC7"/>
    <w:rsid w:val="6E8403F6"/>
    <w:rsid w:val="6F163117"/>
    <w:rsid w:val="6FC36CFC"/>
    <w:rsid w:val="70531B33"/>
    <w:rsid w:val="710303FE"/>
    <w:rsid w:val="71453E6C"/>
    <w:rsid w:val="71936571"/>
    <w:rsid w:val="71BE6D71"/>
    <w:rsid w:val="72410254"/>
    <w:rsid w:val="72784132"/>
    <w:rsid w:val="72921CB6"/>
    <w:rsid w:val="72C36EB5"/>
    <w:rsid w:val="735B5386"/>
    <w:rsid w:val="73D217F3"/>
    <w:rsid w:val="740F250F"/>
    <w:rsid w:val="74A2253F"/>
    <w:rsid w:val="74B86703"/>
    <w:rsid w:val="74C9051D"/>
    <w:rsid w:val="74F33BDF"/>
    <w:rsid w:val="750859B2"/>
    <w:rsid w:val="75353C2E"/>
    <w:rsid w:val="75B63FB7"/>
    <w:rsid w:val="75E45BE5"/>
    <w:rsid w:val="76903B1D"/>
    <w:rsid w:val="76C06B0A"/>
    <w:rsid w:val="76C23869"/>
    <w:rsid w:val="77687556"/>
    <w:rsid w:val="776E39F1"/>
    <w:rsid w:val="77EA5930"/>
    <w:rsid w:val="78682F09"/>
    <w:rsid w:val="786A72D5"/>
    <w:rsid w:val="790334E2"/>
    <w:rsid w:val="791B7813"/>
    <w:rsid w:val="7B276391"/>
    <w:rsid w:val="7B3B1E3C"/>
    <w:rsid w:val="7B413F27"/>
    <w:rsid w:val="7BC444EC"/>
    <w:rsid w:val="7C716B68"/>
    <w:rsid w:val="7CDA3206"/>
    <w:rsid w:val="7D460E38"/>
    <w:rsid w:val="7DB54163"/>
    <w:rsid w:val="7DD32800"/>
    <w:rsid w:val="7E761F86"/>
    <w:rsid w:val="7E7A4A55"/>
    <w:rsid w:val="7ECC58CC"/>
    <w:rsid w:val="7EE54599"/>
    <w:rsid w:val="7F160BF6"/>
    <w:rsid w:val="7FAA57E2"/>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style>
  <w:style w:type="paragraph" w:styleId="3">
    <w:name w:val="Body Text"/>
    <w:basedOn w:val="1"/>
    <w:next w:val="4"/>
    <w:qFormat/>
    <w:uiPriority w:val="0"/>
  </w:style>
  <w:style w:type="paragraph" w:customStyle="1" w:styleId="4">
    <w:name w:val="style4"/>
    <w:basedOn w:val="1"/>
    <w:next w:val="5"/>
    <w:qFormat/>
    <w:uiPriority w:val="0"/>
    <w:pPr>
      <w:widowControl/>
      <w:spacing w:before="280" w:after="280"/>
    </w:pPr>
    <w:rPr>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Date"/>
    <w:basedOn w:val="1"/>
    <w:next w:val="1"/>
    <w:qFormat/>
    <w:uiPriority w:val="0"/>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fontred1"/>
    <w:qFormat/>
    <w:uiPriority w:val="0"/>
    <w:rPr>
      <w:color w:val="FF0000"/>
    </w:rPr>
  </w:style>
  <w:style w:type="paragraph" w:customStyle="1" w:styleId="15">
    <w:name w:val="目录文字"/>
    <w:basedOn w:val="9"/>
    <w:qFormat/>
    <w:uiPriority w:val="0"/>
    <w:pPr>
      <w:numPr>
        <w:ilvl w:val="0"/>
        <w:numId w:val="1"/>
      </w:numPr>
    </w:pPr>
    <w:rPr>
      <w:kern w:val="1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9865</Words>
  <Characters>10256</Characters>
  <Lines>0</Lines>
  <Paragraphs>0</Paragraphs>
  <TotalTime>6</TotalTime>
  <ScaleCrop>false</ScaleCrop>
  <LinksUpToDate>false</LinksUpToDate>
  <CharactersWithSpaces>10584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2021-09-03T09:07:00Z</dcterms:created>
  <dc:creator>Administrator</dc:creator>
  <cp:lastModifiedBy>June</cp:lastModifiedBy>
  <dcterms:modified xsi:type="dcterms:W3CDTF">2022-09-29T09:35:17Z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BEFA0F8EDCCF4935B385CF80B53B002F</vt:lpwstr>
  </property>
</Properties>
</file>