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9"/>
        <w:snapToGrid w:val="0"/>
        <w:spacing w:line="300" w:lineRule="auto"/>
        <w:ind w:firstLine="600" w:firstLineChars="200"/>
        <w:rPr>
          <w:rFonts w:hint="eastAsia" w:ascii="仿宋_GB2312" w:hAnsi="仿宋_GB2312" w:eastAsia="仿宋_GB2312" w:cs="仿宋_GB2312"/>
          <w:color w:val="auto"/>
          <w:sz w:val="30"/>
          <w:szCs w:val="30"/>
        </w:rPr>
      </w:pPr>
    </w:p>
    <w:p>
      <w:pPr>
        <w:pStyle w:val="9"/>
        <w:snapToGrid w:val="0"/>
        <w:spacing w:line="300" w:lineRule="auto"/>
        <w:ind w:firstLine="600" w:firstLineChars="20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 xml:space="preserve"> </w:t>
      </w:r>
      <w:bookmarkStart w:id="0" w:name="_Toc1766"/>
      <w:bookmarkStart w:id="1" w:name="_Toc29862"/>
      <w:bookmarkStart w:id="2" w:name="_Toc3505"/>
      <w:bookmarkStart w:id="3" w:name="_Toc21714"/>
      <w:r>
        <w:rPr>
          <w:rFonts w:hint="eastAsia" w:ascii="仿宋_GB2312" w:hAnsi="仿宋_GB2312" w:eastAsia="仿宋_GB2312" w:cs="仿宋_GB2312"/>
          <w:color w:val="auto"/>
          <w:sz w:val="30"/>
          <w:szCs w:val="30"/>
        </w:rPr>
        <w:t xml:space="preserve"> </w:t>
      </w:r>
    </w:p>
    <w:p>
      <w:pPr>
        <w:spacing w:line="360" w:lineRule="auto"/>
        <w:ind w:firstLine="562" w:firstLineChars="200"/>
        <w:jc w:val="left"/>
        <w:rPr>
          <w:rFonts w:hint="eastAsia" w:ascii="仿宋_GB2312" w:hAnsi="仿宋_GB2312" w:eastAsia="仿宋_GB2312" w:cs="仿宋_GB2312"/>
          <w:b/>
          <w:color w:val="auto"/>
          <w:sz w:val="28"/>
        </w:rPr>
      </w:pPr>
      <w:r>
        <w:rPr>
          <w:rFonts w:hint="eastAsia" w:ascii="仿宋_GB2312" w:hAnsi="仿宋_GB2312" w:eastAsia="仿宋_GB2312" w:cs="仿宋_GB2312"/>
          <w:b/>
          <w:color w:val="auto"/>
          <w:sz w:val="28"/>
        </w:rPr>
        <w:t>　</w:t>
      </w:r>
      <w:bookmarkStart w:id="62" w:name="_GoBack"/>
      <w:bookmarkEnd w:id="62"/>
    </w:p>
    <w:p>
      <w:pPr>
        <w:spacing w:line="360" w:lineRule="auto"/>
        <w:ind w:firstLine="562" w:firstLineChars="200"/>
        <w:jc w:val="left"/>
        <w:rPr>
          <w:rFonts w:hint="eastAsia" w:ascii="仿宋_GB2312" w:hAnsi="仿宋_GB2312" w:eastAsia="仿宋_GB2312" w:cs="仿宋_GB2312"/>
          <w:b/>
          <w:color w:val="auto"/>
          <w:sz w:val="28"/>
        </w:rPr>
      </w:pPr>
    </w:p>
    <w:p>
      <w:pPr>
        <w:spacing w:line="360" w:lineRule="auto"/>
        <w:ind w:right="-224" w:rightChars="-70"/>
        <w:jc w:val="center"/>
        <w:rPr>
          <w:rFonts w:hint="eastAsia" w:ascii="黑体" w:hAnsi="宋体" w:eastAsia="黑体"/>
          <w:b/>
          <w:color w:val="auto"/>
          <w:spacing w:val="57"/>
          <w:sz w:val="44"/>
          <w:szCs w:val="44"/>
        </w:rPr>
      </w:pPr>
      <w:r>
        <w:rPr>
          <w:rFonts w:hint="eastAsia" w:ascii="黑体" w:hAnsi="宋体" w:eastAsia="黑体"/>
          <w:b/>
          <w:color w:val="auto"/>
          <w:spacing w:val="57"/>
          <w:sz w:val="44"/>
          <w:szCs w:val="44"/>
        </w:rPr>
        <w:t>房地产估价报告</w:t>
      </w:r>
    </w:p>
    <w:p>
      <w:pPr>
        <w:pStyle w:val="9"/>
        <w:snapToGrid w:val="0"/>
        <w:spacing w:line="300" w:lineRule="auto"/>
        <w:ind w:firstLine="600" w:firstLineChars="200"/>
        <w:rPr>
          <w:rFonts w:hint="eastAsia" w:ascii="仿宋_GB2312" w:hAnsi="仿宋_GB2312" w:eastAsia="仿宋_GB2312" w:cs="仿宋_GB2312"/>
          <w:color w:val="auto"/>
          <w:sz w:val="30"/>
          <w:szCs w:val="30"/>
        </w:rPr>
      </w:pPr>
    </w:p>
    <w:p>
      <w:pPr>
        <w:pStyle w:val="9"/>
        <w:snapToGrid w:val="0"/>
        <w:spacing w:line="300" w:lineRule="auto"/>
        <w:ind w:firstLine="600" w:firstLineChars="200"/>
        <w:rPr>
          <w:rFonts w:hint="eastAsia" w:ascii="仿宋_GB2312" w:hAnsi="仿宋_GB2312" w:eastAsia="仿宋_GB2312" w:cs="仿宋_GB2312"/>
          <w:color w:val="auto"/>
          <w:sz w:val="30"/>
          <w:szCs w:val="30"/>
        </w:rPr>
      </w:pPr>
    </w:p>
    <w:p>
      <w:pPr>
        <w:pStyle w:val="9"/>
        <w:snapToGrid w:val="0"/>
        <w:spacing w:line="300" w:lineRule="auto"/>
        <w:ind w:firstLine="600" w:firstLineChars="200"/>
        <w:rPr>
          <w:rFonts w:hint="eastAsia" w:ascii="仿宋_GB2312" w:hAnsi="仿宋_GB2312" w:eastAsia="仿宋_GB2312" w:cs="仿宋_GB2312"/>
          <w:color w:val="auto"/>
          <w:sz w:val="30"/>
          <w:szCs w:val="30"/>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 w:hAnsi="仿宋" w:eastAsia="仿宋" w:cs="仿宋"/>
          <w:color w:val="auto"/>
          <w:kern w:val="0"/>
          <w:sz w:val="32"/>
          <w:szCs w:val="32"/>
          <w:lang w:val="en-US" w:eastAsia="zh-CN" w:bidi="ar-SA"/>
        </w:rPr>
      </w:pPr>
      <w:r>
        <w:rPr>
          <w:rFonts w:hint="eastAsia" w:ascii="仿宋" w:hAnsi="仿宋" w:eastAsia="仿宋" w:cs="仿宋"/>
          <w:b/>
          <w:color w:val="auto"/>
          <w:spacing w:val="64"/>
          <w:kern w:val="0"/>
          <w:sz w:val="32"/>
          <w:szCs w:val="32"/>
        </w:rPr>
        <w:t>估价报告编</w:t>
      </w:r>
      <w:r>
        <w:rPr>
          <w:rFonts w:hint="eastAsia" w:ascii="仿宋" w:hAnsi="仿宋" w:eastAsia="仿宋" w:cs="仿宋"/>
          <w:b/>
          <w:color w:val="auto"/>
          <w:kern w:val="0"/>
          <w:sz w:val="32"/>
          <w:szCs w:val="32"/>
        </w:rPr>
        <w:t>号：</w:t>
      </w:r>
      <w:r>
        <w:rPr>
          <w:rFonts w:hint="eastAsia" w:ascii="仿宋" w:hAnsi="仿宋" w:eastAsia="仿宋" w:cs="仿宋"/>
          <w:color w:val="0000FF"/>
          <w:kern w:val="0"/>
          <w:sz w:val="32"/>
          <w:szCs w:val="32"/>
          <w:lang w:val="en-US" w:eastAsia="zh-CN" w:bidi="ar-SA"/>
        </w:rPr>
        <w:t>苏安达房估（2022）第051201号</w:t>
      </w:r>
    </w:p>
    <w:p>
      <w:pPr>
        <w:pStyle w:val="9"/>
        <w:keepNext w:val="0"/>
        <w:keepLines w:val="0"/>
        <w:pageBreakBefore w:val="0"/>
        <w:widowControl w:val="0"/>
        <w:tabs>
          <w:tab w:val="left" w:pos="1920"/>
        </w:tabs>
        <w:kinsoku/>
        <w:wordWrap/>
        <w:overflowPunct/>
        <w:topLinePunct w:val="0"/>
        <w:autoSpaceDE/>
        <w:autoSpaceDN/>
        <w:bidi w:val="0"/>
        <w:adjustRightInd/>
        <w:snapToGrid/>
        <w:spacing w:line="360" w:lineRule="auto"/>
        <w:ind w:left="2851" w:leftChars="0" w:right="-230" w:rightChars="-72" w:hanging="2851" w:hangingChars="680"/>
        <w:jc w:val="left"/>
        <w:textAlignment w:val="auto"/>
        <w:outlineLvl w:val="9"/>
        <w:rPr>
          <w:rFonts w:hint="eastAsia" w:ascii="仿宋" w:hAnsi="仿宋" w:eastAsia="仿宋" w:cs="仿宋"/>
          <w:color w:val="auto"/>
          <w:kern w:val="0"/>
          <w:sz w:val="32"/>
          <w:szCs w:val="32"/>
          <w:highlight w:val="none"/>
          <w:lang w:val="en-US" w:eastAsia="zh-CN" w:bidi="ar-SA"/>
        </w:rPr>
      </w:pPr>
      <w:r>
        <w:rPr>
          <w:rFonts w:hint="eastAsia" w:ascii="仿宋" w:hAnsi="仿宋" w:eastAsia="仿宋" w:cs="仿宋"/>
          <w:b/>
          <w:color w:val="auto"/>
          <w:spacing w:val="54"/>
          <w:w w:val="97"/>
          <w:kern w:val="0"/>
          <w:sz w:val="32"/>
          <w:szCs w:val="32"/>
        </w:rPr>
        <w:t>估价项目名称</w:t>
      </w:r>
      <w:r>
        <w:rPr>
          <w:rFonts w:hint="eastAsia" w:ascii="仿宋" w:hAnsi="仿宋" w:eastAsia="仿宋" w:cs="仿宋"/>
          <w:b/>
          <w:color w:val="auto"/>
          <w:w w:val="97"/>
          <w:kern w:val="0"/>
          <w:sz w:val="32"/>
          <w:szCs w:val="32"/>
        </w:rPr>
        <w:t>：</w:t>
      </w:r>
      <w:r>
        <w:rPr>
          <w:rFonts w:hint="eastAsia" w:ascii="仿宋" w:hAnsi="仿宋" w:eastAsia="仿宋" w:cs="仿宋"/>
          <w:color w:val="0000FF"/>
          <w:kern w:val="0"/>
          <w:sz w:val="32"/>
          <w:szCs w:val="32"/>
          <w:highlight w:val="none"/>
          <w:lang w:val="en-US" w:eastAsia="zh-CN" w:bidi="ar-SA"/>
        </w:rPr>
        <w:t>盐城市市区东进路美食街6幢401室、40室司法鉴定房地产市场价值评估</w:t>
      </w:r>
    </w:p>
    <w:p>
      <w:pPr>
        <w:pStyle w:val="9"/>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 w:hAnsi="仿宋" w:eastAsia="仿宋" w:cs="仿宋"/>
          <w:color w:val="auto"/>
          <w:kern w:val="0"/>
          <w:sz w:val="32"/>
          <w:szCs w:val="32"/>
          <w:highlight w:val="none"/>
          <w:lang w:val="en-US" w:eastAsia="zh-CN" w:bidi="ar-SA"/>
        </w:rPr>
      </w:pPr>
      <w:r>
        <w:rPr>
          <w:rFonts w:hint="eastAsia" w:ascii="仿宋" w:hAnsi="仿宋" w:eastAsia="仿宋" w:cs="仿宋"/>
          <w:b/>
          <w:color w:val="auto"/>
          <w:spacing w:val="20"/>
          <w:kern w:val="0"/>
          <w:sz w:val="32"/>
          <w:szCs w:val="32"/>
          <w:highlight w:val="none"/>
        </w:rPr>
        <w:t>估 价 委 托</w:t>
      </w:r>
      <w:r>
        <w:rPr>
          <w:rFonts w:hint="eastAsia" w:ascii="仿宋" w:hAnsi="仿宋" w:eastAsia="仿宋" w:cs="仿宋"/>
          <w:b/>
          <w:color w:val="auto"/>
          <w:kern w:val="0"/>
          <w:sz w:val="32"/>
          <w:szCs w:val="32"/>
          <w:highlight w:val="none"/>
        </w:rPr>
        <w:t xml:space="preserve"> 人：</w:t>
      </w:r>
      <w:r>
        <w:rPr>
          <w:rFonts w:hint="eastAsia" w:ascii="仿宋" w:hAnsi="仿宋" w:eastAsia="仿宋" w:cs="仿宋"/>
          <w:color w:val="060FCC"/>
          <w:kern w:val="0"/>
          <w:sz w:val="32"/>
          <w:szCs w:val="32"/>
          <w:highlight w:val="none"/>
          <w:lang w:val="en-US" w:eastAsia="zh-CN" w:bidi="ar-SA"/>
        </w:rPr>
        <w:t>建湖县人民法院</w:t>
      </w:r>
    </w:p>
    <w:p>
      <w:pPr>
        <w:pStyle w:val="9"/>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 w:hAnsi="仿宋" w:eastAsia="仿宋" w:cs="仿宋"/>
          <w:color w:val="auto"/>
          <w:kern w:val="0"/>
          <w:sz w:val="32"/>
          <w:szCs w:val="32"/>
          <w:highlight w:val="none"/>
          <w:lang w:val="en-US" w:eastAsia="zh-CN" w:bidi="ar-SA"/>
        </w:rPr>
      </w:pPr>
      <w:r>
        <w:rPr>
          <w:rFonts w:hint="eastAsia" w:ascii="仿宋" w:hAnsi="仿宋" w:eastAsia="仿宋" w:cs="仿宋"/>
          <w:b/>
          <w:color w:val="auto"/>
          <w:spacing w:val="24"/>
          <w:kern w:val="0"/>
          <w:sz w:val="32"/>
          <w:szCs w:val="32"/>
          <w:highlight w:val="none"/>
        </w:rPr>
        <w:t>房地产估价机</w:t>
      </w:r>
      <w:r>
        <w:rPr>
          <w:rFonts w:hint="eastAsia" w:ascii="仿宋" w:hAnsi="仿宋" w:eastAsia="仿宋" w:cs="仿宋"/>
          <w:b/>
          <w:color w:val="auto"/>
          <w:kern w:val="0"/>
          <w:sz w:val="32"/>
          <w:szCs w:val="32"/>
          <w:highlight w:val="none"/>
        </w:rPr>
        <w:t>构：</w:t>
      </w:r>
      <w:r>
        <w:rPr>
          <w:rFonts w:hint="eastAsia" w:ascii="仿宋" w:hAnsi="仿宋" w:eastAsia="仿宋" w:cs="仿宋"/>
          <w:color w:val="auto"/>
          <w:kern w:val="0"/>
          <w:sz w:val="32"/>
          <w:szCs w:val="32"/>
          <w:highlight w:val="none"/>
          <w:lang w:val="en-US" w:eastAsia="zh-CN" w:bidi="ar-SA"/>
        </w:rPr>
        <w:t>江苏安达土地房地产评估测绘有限公司</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 w:hAnsi="仿宋" w:eastAsia="仿宋" w:cs="仿宋"/>
          <w:color w:val="auto"/>
          <w:kern w:val="0"/>
          <w:sz w:val="32"/>
          <w:szCs w:val="32"/>
          <w:highlight w:val="none"/>
          <w:lang w:val="en-US" w:eastAsia="zh-CN" w:bidi="ar-SA"/>
        </w:rPr>
      </w:pPr>
      <w:r>
        <w:rPr>
          <w:rFonts w:hint="eastAsia" w:ascii="仿宋" w:hAnsi="仿宋" w:eastAsia="仿宋" w:cs="仿宋"/>
          <w:b/>
          <w:bCs/>
          <w:color w:val="auto"/>
          <w:kern w:val="0"/>
          <w:sz w:val="32"/>
          <w:szCs w:val="32"/>
          <w:highlight w:val="none"/>
          <w:lang w:val="en-US" w:eastAsia="zh-CN" w:bidi="ar-SA"/>
        </w:rPr>
        <w:t>注册房地产估价师</w:t>
      </w:r>
      <w:r>
        <w:rPr>
          <w:rFonts w:hint="eastAsia" w:ascii="仿宋" w:hAnsi="仿宋" w:eastAsia="仿宋" w:cs="仿宋"/>
          <w:color w:val="auto"/>
          <w:kern w:val="0"/>
          <w:sz w:val="32"/>
          <w:szCs w:val="32"/>
          <w:highlight w:val="none"/>
          <w:lang w:val="en-US" w:eastAsia="zh-CN" w:bidi="ar-SA"/>
        </w:rPr>
        <w:t>：徐忠新（注册号：3219980148）</w:t>
      </w:r>
    </w:p>
    <w:p>
      <w:pPr>
        <w:keepNext w:val="0"/>
        <w:keepLines w:val="0"/>
        <w:pageBreakBefore w:val="0"/>
        <w:widowControl w:val="0"/>
        <w:tabs>
          <w:tab w:val="left" w:pos="2880"/>
          <w:tab w:val="left" w:pos="3200"/>
        </w:tabs>
        <w:kinsoku/>
        <w:wordWrap/>
        <w:overflowPunct/>
        <w:topLinePunct w:val="0"/>
        <w:autoSpaceDE/>
        <w:autoSpaceDN/>
        <w:bidi w:val="0"/>
        <w:adjustRightInd/>
        <w:snapToGrid/>
        <w:spacing w:line="360" w:lineRule="auto"/>
        <w:ind w:right="0" w:rightChars="0" w:firstLine="160" w:firstLineChars="50"/>
        <w:jc w:val="left"/>
        <w:textAlignment w:val="auto"/>
        <w:outlineLvl w:val="9"/>
        <w:rPr>
          <w:rFonts w:hint="eastAsia" w:ascii="仿宋" w:hAnsi="仿宋" w:eastAsia="仿宋" w:cs="仿宋"/>
          <w:color w:val="auto"/>
          <w:kern w:val="0"/>
          <w:sz w:val="32"/>
          <w:szCs w:val="32"/>
          <w:highlight w:val="none"/>
          <w:lang w:val="en-US" w:eastAsia="zh-CN" w:bidi="ar-SA"/>
        </w:rPr>
      </w:pPr>
      <w:r>
        <w:rPr>
          <w:rFonts w:hint="eastAsia" w:ascii="仿宋" w:hAnsi="仿宋" w:eastAsia="仿宋" w:cs="仿宋"/>
          <w:color w:val="auto"/>
          <w:kern w:val="0"/>
          <w:sz w:val="32"/>
          <w:szCs w:val="32"/>
          <w:highlight w:val="none"/>
          <w:lang w:val="en-US" w:eastAsia="zh-CN" w:bidi="ar-SA"/>
        </w:rPr>
        <w:t xml:space="preserve">                 陶建国（注册号：3220160229）</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仿宋" w:hAnsi="仿宋" w:eastAsia="仿宋" w:cs="仿宋"/>
          <w:color w:val="auto"/>
          <w:kern w:val="0"/>
          <w:sz w:val="32"/>
          <w:szCs w:val="32"/>
          <w:highlight w:val="none"/>
          <w:lang w:val="en-US" w:eastAsia="zh-CN" w:bidi="ar-SA"/>
        </w:rPr>
      </w:pPr>
      <w:r>
        <w:rPr>
          <w:rFonts w:hint="eastAsia" w:ascii="仿宋" w:hAnsi="仿宋" w:eastAsia="仿宋" w:cs="仿宋"/>
          <w:b/>
          <w:bCs/>
          <w:color w:val="auto"/>
          <w:kern w:val="0"/>
          <w:sz w:val="32"/>
          <w:szCs w:val="32"/>
          <w:highlight w:val="none"/>
          <w:lang w:val="en-US" w:eastAsia="zh-CN" w:bidi="ar-SA"/>
        </w:rPr>
        <w:t>估价报告出具日期</w:t>
      </w:r>
      <w:r>
        <w:rPr>
          <w:rFonts w:hint="eastAsia" w:ascii="仿宋" w:hAnsi="仿宋" w:eastAsia="仿宋" w:cs="仿宋"/>
          <w:color w:val="auto"/>
          <w:kern w:val="0"/>
          <w:sz w:val="32"/>
          <w:szCs w:val="32"/>
          <w:highlight w:val="none"/>
          <w:lang w:val="en-US" w:eastAsia="zh-CN" w:bidi="ar-SA"/>
        </w:rPr>
        <w:t>：</w:t>
      </w:r>
      <w:r>
        <w:rPr>
          <w:rFonts w:hint="eastAsia" w:ascii="仿宋" w:hAnsi="仿宋" w:eastAsia="仿宋" w:cs="仿宋"/>
          <w:color w:val="0000C7"/>
          <w:kern w:val="0"/>
          <w:sz w:val="32"/>
          <w:szCs w:val="32"/>
          <w:highlight w:val="none"/>
          <w:lang w:val="en-US" w:eastAsia="zh-CN" w:bidi="ar-SA"/>
        </w:rPr>
        <w:t>2022年07月09日</w:t>
      </w:r>
    </w:p>
    <w:p>
      <w:pPr>
        <w:spacing w:line="360" w:lineRule="auto"/>
        <w:ind w:right="-224" w:rightChars="-70"/>
        <w:jc w:val="center"/>
        <w:rPr>
          <w:rFonts w:hint="eastAsia" w:ascii="黑体" w:hAnsi="宋体" w:eastAsia="黑体"/>
          <w:b/>
          <w:color w:val="auto"/>
          <w:spacing w:val="5"/>
          <w:sz w:val="44"/>
          <w:szCs w:val="44"/>
        </w:rPr>
      </w:pPr>
    </w:p>
    <w:p>
      <w:pPr>
        <w:spacing w:line="360" w:lineRule="auto"/>
        <w:ind w:right="-224" w:rightChars="-70"/>
        <w:jc w:val="center"/>
        <w:rPr>
          <w:rFonts w:hint="eastAsia" w:ascii="黑体" w:hAnsi="宋体" w:eastAsia="黑体"/>
          <w:b/>
          <w:color w:val="auto"/>
          <w:spacing w:val="5"/>
          <w:sz w:val="44"/>
          <w:szCs w:val="44"/>
        </w:rPr>
      </w:pPr>
    </w:p>
    <w:p>
      <w:pPr>
        <w:spacing w:line="360" w:lineRule="auto"/>
        <w:ind w:right="-224" w:rightChars="-70"/>
        <w:jc w:val="center"/>
        <w:rPr>
          <w:rFonts w:hint="eastAsia" w:ascii="黑体" w:hAnsi="宋体" w:eastAsia="黑体"/>
          <w:b/>
          <w:color w:val="auto"/>
          <w:spacing w:val="5"/>
          <w:sz w:val="44"/>
          <w:szCs w:val="44"/>
        </w:rPr>
        <w:sectPr>
          <w:headerReference r:id="rId3" w:type="default"/>
          <w:endnotePr>
            <w:numFmt w:val="decimal"/>
          </w:endnotePr>
          <w:type w:val="nextColumn"/>
          <w:pgSz w:w="11906" w:h="16838"/>
          <w:pgMar w:top="1440" w:right="1701" w:bottom="1440" w:left="1797" w:header="851" w:footer="1077" w:gutter="0"/>
          <w:pgBorders w:offsetFrom="page">
            <w:top w:val="none" w:sz="0" w:space="0"/>
            <w:left w:val="none" w:sz="0" w:space="0"/>
            <w:bottom w:val="none" w:sz="0" w:space="0"/>
            <w:right w:val="none" w:sz="0" w:space="0"/>
          </w:pgBorders>
          <w:pgNumType w:fmt="decimal" w:start="1"/>
          <w:cols w:space="720" w:num="1"/>
          <w:titlePg/>
          <w:rtlGutter w:val="0"/>
          <w:docGrid w:type="lines" w:linePitch="442" w:charSpace="0"/>
        </w:sectPr>
      </w:pPr>
    </w:p>
    <w:p>
      <w:pPr>
        <w:keepNext w:val="0"/>
        <w:keepLines w:val="0"/>
        <w:pageBreakBefore w:val="0"/>
        <w:widowControl w:val="0"/>
        <w:kinsoku/>
        <w:wordWrap/>
        <w:overflowPunct/>
        <w:topLinePunct w:val="0"/>
        <w:autoSpaceDE/>
        <w:autoSpaceDN/>
        <w:bidi w:val="0"/>
        <w:adjustRightInd/>
        <w:snapToGrid/>
        <w:spacing w:line="480" w:lineRule="auto"/>
        <w:ind w:right="-224" w:rightChars="-70"/>
        <w:jc w:val="center"/>
        <w:textAlignment w:val="auto"/>
        <w:rPr>
          <w:rFonts w:hint="eastAsia" w:ascii="黑体" w:hAnsi="宋体" w:eastAsia="黑体"/>
          <w:b/>
          <w:color w:val="auto"/>
          <w:spacing w:val="5"/>
          <w:sz w:val="32"/>
          <w:szCs w:val="32"/>
        </w:rPr>
      </w:pPr>
      <w:r>
        <w:rPr>
          <w:rFonts w:hint="eastAsia" w:ascii="黑体" w:hAnsi="宋体" w:eastAsia="黑体"/>
          <w:b/>
          <w:color w:val="auto"/>
          <w:spacing w:val="5"/>
          <w:sz w:val="32"/>
          <w:szCs w:val="32"/>
        </w:rPr>
        <w:t>致估价委托人函</w:t>
      </w:r>
    </w:p>
    <w:p>
      <w:pPr>
        <w:keepNext w:val="0"/>
        <w:keepLines w:val="0"/>
        <w:pageBreakBefore w:val="0"/>
        <w:widowControl w:val="0"/>
        <w:kinsoku/>
        <w:wordWrap/>
        <w:overflowPunct/>
        <w:topLinePunct w:val="0"/>
        <w:autoSpaceDE/>
        <w:autoSpaceDN/>
        <w:bidi w:val="0"/>
        <w:adjustRightInd/>
        <w:snapToGrid/>
        <w:spacing w:line="480" w:lineRule="exact"/>
        <w:ind w:right="0" w:rightChars="0"/>
        <w:jc w:val="both"/>
        <w:textAlignment w:val="auto"/>
        <w:outlineLvl w:val="9"/>
        <w:rPr>
          <w:rFonts w:hint="eastAsia" w:ascii="仿宋" w:hAnsi="仿宋" w:eastAsia="仿宋" w:cs="仿宋"/>
          <w:b/>
          <w:bCs w:val="0"/>
          <w:color w:val="auto"/>
          <w:spacing w:val="0"/>
          <w:sz w:val="28"/>
          <w:lang w:val="en-US" w:eastAsia="zh-CN"/>
        </w:rPr>
      </w:pPr>
      <w:r>
        <w:rPr>
          <w:rFonts w:hint="eastAsia" w:ascii="仿宋" w:hAnsi="仿宋" w:eastAsia="仿宋" w:cs="仿宋"/>
          <w:bCs/>
          <w:color w:val="060FCC"/>
          <w:spacing w:val="0"/>
          <w:kern w:val="0"/>
          <w:sz w:val="28"/>
          <w:szCs w:val="28"/>
          <w:lang w:eastAsia="zh-CN"/>
        </w:rPr>
        <w:t>建湖县人民法院</w:t>
      </w:r>
      <w:r>
        <w:rPr>
          <w:rFonts w:hint="eastAsia" w:ascii="仿宋" w:hAnsi="仿宋" w:eastAsia="仿宋" w:cs="仿宋"/>
          <w:b/>
          <w:bCs w:val="0"/>
          <w:color w:val="auto"/>
          <w:spacing w:val="0"/>
          <w:sz w:val="28"/>
          <w:lang w:val="en-US" w:eastAsia="zh-CN"/>
        </w:rPr>
        <w:t xml:space="preserve">：    </w:t>
      </w:r>
    </w:p>
    <w:p>
      <w:pPr>
        <w:keepNext w:val="0"/>
        <w:keepLines w:val="0"/>
        <w:pageBreakBefore w:val="0"/>
        <w:widowControl w:val="0"/>
        <w:kinsoku/>
        <w:wordWrap/>
        <w:overflowPunct/>
        <w:topLinePunct w:val="0"/>
        <w:autoSpaceDE/>
        <w:autoSpaceDN/>
        <w:bidi w:val="0"/>
        <w:adjustRightInd/>
        <w:spacing w:line="480" w:lineRule="exact"/>
        <w:ind w:left="0" w:leftChars="0" w:right="0" w:rightChars="0" w:firstLine="560"/>
        <w:textAlignment w:val="auto"/>
        <w:rPr>
          <w:rFonts w:hint="eastAsia" w:ascii="仿宋" w:hAnsi="仿宋" w:eastAsia="仿宋" w:cs="仿宋"/>
          <w:b w:val="0"/>
          <w:bCs/>
          <w:color w:val="auto"/>
          <w:spacing w:val="0"/>
          <w:kern w:val="2"/>
          <w:sz w:val="28"/>
          <w:szCs w:val="20"/>
          <w:lang w:val="en-US" w:eastAsia="zh-CN" w:bidi="ar-SA"/>
        </w:rPr>
      </w:pPr>
      <w:r>
        <w:rPr>
          <w:rFonts w:hint="eastAsia" w:ascii="仿宋" w:hAnsi="仿宋" w:eastAsia="仿宋" w:cs="仿宋"/>
          <w:color w:val="auto"/>
          <w:spacing w:val="0"/>
          <w:sz w:val="28"/>
          <w:szCs w:val="28"/>
          <w:lang w:eastAsia="zh-CN"/>
        </w:rPr>
        <w:t>我公司接受贵院（以下简称委托人）委托，依据贵院的</w:t>
      </w:r>
      <w:r>
        <w:rPr>
          <w:rFonts w:hint="eastAsia" w:ascii="仿宋" w:hAnsi="仿宋" w:eastAsia="仿宋" w:cs="仿宋"/>
          <w:color w:val="auto"/>
          <w:spacing w:val="0"/>
          <w:kern w:val="0"/>
          <w:sz w:val="28"/>
          <w:szCs w:val="28"/>
          <w:lang w:eastAsia="zh-CN"/>
        </w:rPr>
        <w:t>[</w:t>
      </w:r>
      <w:r>
        <w:rPr>
          <w:rFonts w:hint="eastAsia" w:ascii="仿宋" w:hAnsi="仿宋" w:eastAsia="仿宋" w:cs="仿宋"/>
          <w:color w:val="060FCC"/>
          <w:spacing w:val="0"/>
          <w:kern w:val="0"/>
          <w:sz w:val="28"/>
          <w:szCs w:val="28"/>
          <w:lang w:eastAsia="zh-CN"/>
        </w:rPr>
        <w:t>（2022）苏0925法鉴委字第118号</w:t>
      </w:r>
      <w:r>
        <w:rPr>
          <w:rFonts w:hint="eastAsia" w:ascii="仿宋" w:hAnsi="仿宋" w:eastAsia="仿宋" w:cs="仿宋"/>
          <w:color w:val="auto"/>
          <w:spacing w:val="0"/>
          <w:kern w:val="0"/>
          <w:sz w:val="28"/>
          <w:szCs w:val="28"/>
        </w:rPr>
        <w:t>]</w:t>
      </w:r>
      <w:r>
        <w:rPr>
          <w:rFonts w:hint="eastAsia" w:ascii="仿宋" w:hAnsi="仿宋" w:eastAsia="仿宋" w:cs="仿宋"/>
          <w:color w:val="auto"/>
          <w:spacing w:val="0"/>
          <w:sz w:val="28"/>
          <w:szCs w:val="28"/>
          <w:lang w:eastAsia="zh-CN"/>
        </w:rPr>
        <w:t>《司法鉴定委托书》</w:t>
      </w:r>
      <w:r>
        <w:rPr>
          <w:rFonts w:hint="eastAsia" w:ascii="仿宋" w:hAnsi="仿宋" w:eastAsia="仿宋" w:cs="仿宋"/>
          <w:color w:val="auto"/>
          <w:spacing w:val="0"/>
          <w:kern w:val="0"/>
          <w:sz w:val="28"/>
          <w:szCs w:val="28"/>
        </w:rPr>
        <w:t>，</w:t>
      </w:r>
      <w:r>
        <w:rPr>
          <w:rFonts w:hint="eastAsia" w:ascii="仿宋" w:hAnsi="仿宋" w:eastAsia="仿宋" w:cs="仿宋"/>
          <w:color w:val="auto"/>
          <w:spacing w:val="0"/>
          <w:sz w:val="28"/>
          <w:szCs w:val="28"/>
          <w:lang w:eastAsia="zh-CN"/>
        </w:rPr>
        <w:t>我公司对</w:t>
      </w:r>
      <w:r>
        <w:rPr>
          <w:rFonts w:hint="eastAsia" w:ascii="仿宋" w:hAnsi="仿宋" w:eastAsia="仿宋" w:cs="仿宋"/>
          <w:color w:val="auto"/>
          <w:spacing w:val="0"/>
          <w:sz w:val="28"/>
          <w:szCs w:val="28"/>
        </w:rPr>
        <w:t>贵院受理案件</w:t>
      </w:r>
      <w:r>
        <w:rPr>
          <w:rFonts w:hint="eastAsia" w:ascii="仿宋" w:hAnsi="仿宋" w:eastAsia="仿宋" w:cs="仿宋"/>
          <w:color w:val="auto"/>
          <w:spacing w:val="0"/>
          <w:sz w:val="28"/>
          <w:szCs w:val="28"/>
          <w:lang w:eastAsia="zh-CN"/>
        </w:rPr>
        <w:t>关于申请执行人</w:t>
      </w:r>
      <w:r>
        <w:rPr>
          <w:rFonts w:hint="eastAsia" w:ascii="仿宋" w:hAnsi="仿宋" w:eastAsia="仿宋" w:cs="仿宋"/>
          <w:color w:val="0000FF"/>
          <w:spacing w:val="0"/>
          <w:sz w:val="28"/>
          <w:szCs w:val="28"/>
          <w:lang w:eastAsia="zh-CN"/>
        </w:rPr>
        <w:t>印连庆</w:t>
      </w:r>
      <w:r>
        <w:rPr>
          <w:rFonts w:hint="eastAsia" w:ascii="仿宋" w:hAnsi="仿宋" w:eastAsia="仿宋" w:cs="仿宋"/>
          <w:color w:val="060FCC"/>
          <w:spacing w:val="0"/>
          <w:sz w:val="28"/>
          <w:szCs w:val="28"/>
          <w:lang w:eastAsia="zh-CN"/>
        </w:rPr>
        <w:t>与被执行人孙观星、张丽、孙晓健、周和民间借贷</w:t>
      </w:r>
      <w:r>
        <w:rPr>
          <w:rFonts w:hint="eastAsia" w:ascii="仿宋" w:hAnsi="仿宋" w:eastAsia="仿宋" w:cs="仿宋"/>
          <w:color w:val="auto"/>
          <w:spacing w:val="0"/>
          <w:sz w:val="28"/>
          <w:szCs w:val="28"/>
          <w:lang w:eastAsia="zh-CN"/>
        </w:rPr>
        <w:t>纠纷一案，需对</w:t>
      </w:r>
      <w:r>
        <w:rPr>
          <w:rFonts w:hint="eastAsia" w:ascii="仿宋" w:hAnsi="仿宋" w:eastAsia="仿宋" w:cs="仿宋"/>
          <w:color w:val="auto"/>
          <w:spacing w:val="0"/>
          <w:kern w:val="0"/>
          <w:sz w:val="28"/>
          <w:szCs w:val="28"/>
        </w:rPr>
        <w:t>位于</w:t>
      </w:r>
      <w:r>
        <w:rPr>
          <w:rFonts w:hint="eastAsia" w:ascii="仿宋" w:hAnsi="仿宋" w:eastAsia="仿宋" w:cs="仿宋"/>
          <w:color w:val="060FCC"/>
          <w:spacing w:val="0"/>
          <w:kern w:val="0"/>
          <w:sz w:val="28"/>
          <w:szCs w:val="28"/>
          <w:lang w:eastAsia="zh-CN"/>
        </w:rPr>
        <w:t>盐城市市区东进路美食街6幢401室、40室</w:t>
      </w:r>
      <w:r>
        <w:rPr>
          <w:rFonts w:hint="eastAsia" w:ascii="仿宋" w:hAnsi="仿宋" w:eastAsia="仿宋" w:cs="仿宋"/>
          <w:color w:val="auto"/>
          <w:spacing w:val="0"/>
          <w:kern w:val="0"/>
          <w:sz w:val="28"/>
          <w:szCs w:val="28"/>
          <w:lang w:eastAsia="zh-CN"/>
        </w:rPr>
        <w:t>房地产进行价格评估</w:t>
      </w:r>
      <w:r>
        <w:rPr>
          <w:rFonts w:hint="eastAsia" w:ascii="仿宋" w:hAnsi="仿宋" w:eastAsia="仿宋" w:cs="仿宋"/>
          <w:color w:val="auto"/>
          <w:spacing w:val="0"/>
          <w:sz w:val="28"/>
          <w:szCs w:val="28"/>
          <w:lang w:val="en-US" w:eastAsia="zh-CN"/>
        </w:rPr>
        <w:t>。</w:t>
      </w:r>
      <w:r>
        <w:rPr>
          <w:rFonts w:hint="eastAsia" w:ascii="仿宋" w:hAnsi="仿宋" w:eastAsia="仿宋" w:cs="仿宋"/>
          <w:color w:val="auto"/>
          <w:spacing w:val="0"/>
          <w:kern w:val="0"/>
          <w:sz w:val="28"/>
          <w:szCs w:val="28"/>
        </w:rPr>
        <w:t>现将估价报告摘要如下</w:t>
      </w:r>
      <w:r>
        <w:rPr>
          <w:rFonts w:hint="eastAsia" w:ascii="仿宋" w:hAnsi="仿宋" w:eastAsia="仿宋" w:cs="仿宋"/>
          <w:b w:val="0"/>
          <w:bCs/>
          <w:color w:val="auto"/>
          <w:spacing w:val="0"/>
          <w:kern w:val="2"/>
          <w:sz w:val="28"/>
          <w:szCs w:val="20"/>
          <w:lang w:val="en-US" w:eastAsia="zh-CN" w:bidi="ar-SA"/>
        </w:rPr>
        <w:t>：</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仿宋" w:hAnsi="仿宋" w:eastAsia="仿宋" w:cs="仿宋"/>
          <w:b w:val="0"/>
          <w:bCs/>
          <w:color w:val="auto"/>
          <w:spacing w:val="0"/>
          <w:sz w:val="28"/>
          <w:lang w:val="en-US" w:eastAsia="zh-CN"/>
        </w:rPr>
      </w:pPr>
      <w:r>
        <w:rPr>
          <w:rFonts w:hint="eastAsia" w:ascii="仿宋" w:hAnsi="仿宋" w:eastAsia="仿宋" w:cs="仿宋"/>
          <w:b w:val="0"/>
          <w:bCs/>
          <w:color w:val="auto"/>
          <w:spacing w:val="0"/>
          <w:sz w:val="28"/>
          <w:lang w:val="en-US" w:eastAsia="zh-CN"/>
        </w:rPr>
        <w:t>估价目的：</w:t>
      </w:r>
      <w:r>
        <w:rPr>
          <w:rFonts w:hint="eastAsia" w:ascii="仿宋" w:hAnsi="仿宋" w:eastAsia="仿宋" w:cs="仿宋"/>
          <w:color w:val="auto"/>
          <w:spacing w:val="0"/>
          <w:sz w:val="28"/>
          <w:szCs w:val="28"/>
          <w:lang w:val="en-US" w:eastAsia="zh-CN"/>
        </w:rPr>
        <w:t>为估价委托人提供涉案房地产司法鉴定价格提供参考依据而评估委估房地产市场价值</w:t>
      </w:r>
      <w:r>
        <w:rPr>
          <w:rFonts w:hint="eastAsia" w:ascii="仿宋" w:hAnsi="仿宋" w:eastAsia="仿宋" w:cs="仿宋"/>
          <w:b w:val="0"/>
          <w:bCs/>
          <w:color w:val="auto"/>
          <w:spacing w:val="0"/>
          <w:sz w:val="28"/>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仿宋" w:hAnsi="仿宋" w:eastAsia="仿宋" w:cs="仿宋"/>
          <w:b w:val="0"/>
          <w:bCs/>
          <w:color w:val="auto"/>
          <w:spacing w:val="0"/>
          <w:sz w:val="28"/>
          <w:lang w:val="en-US" w:eastAsia="zh-CN"/>
        </w:rPr>
      </w:pPr>
      <w:r>
        <w:rPr>
          <w:rFonts w:hint="eastAsia" w:ascii="仿宋" w:hAnsi="仿宋" w:eastAsia="仿宋" w:cs="仿宋"/>
          <w:b w:val="0"/>
          <w:bCs/>
          <w:color w:val="auto"/>
          <w:spacing w:val="0"/>
          <w:sz w:val="28"/>
          <w:lang w:val="en-US" w:eastAsia="zh-CN"/>
        </w:rPr>
        <w:t>估价对象：本报告估价对象位于</w:t>
      </w:r>
      <w:r>
        <w:rPr>
          <w:rFonts w:hint="eastAsia" w:ascii="仿宋" w:hAnsi="仿宋" w:eastAsia="仿宋" w:cs="仿宋"/>
          <w:b w:val="0"/>
          <w:bCs/>
          <w:color w:val="060FCC"/>
          <w:spacing w:val="0"/>
          <w:sz w:val="28"/>
          <w:lang w:val="en-US" w:eastAsia="zh-CN"/>
        </w:rPr>
        <w:t>盐城市市区东进路美食街6幢401室、40室</w:t>
      </w:r>
      <w:r>
        <w:rPr>
          <w:rFonts w:hint="eastAsia" w:ascii="仿宋" w:hAnsi="仿宋" w:eastAsia="仿宋" w:cs="仿宋"/>
          <w:b w:val="0"/>
          <w:bCs/>
          <w:color w:val="auto"/>
          <w:spacing w:val="0"/>
          <w:sz w:val="28"/>
          <w:lang w:val="en-US" w:eastAsia="zh-CN"/>
        </w:rPr>
        <w:t>房地产。根据委托人提供的</w:t>
      </w:r>
      <w:r>
        <w:rPr>
          <w:rFonts w:hint="eastAsia" w:ascii="仿宋" w:hAnsi="仿宋" w:eastAsia="仿宋" w:cs="仿宋"/>
          <w:b w:val="0"/>
          <w:bCs/>
          <w:color w:val="auto"/>
          <w:spacing w:val="0"/>
          <w:kern w:val="2"/>
          <w:sz w:val="28"/>
          <w:szCs w:val="28"/>
          <w:lang w:val="en-US" w:eastAsia="zh-CN" w:bidi="ar-SA"/>
        </w:rPr>
        <w:t>《不动产登记簿查询记录》</w:t>
      </w:r>
      <w:r>
        <w:rPr>
          <w:rFonts w:hint="eastAsia" w:ascii="仿宋" w:hAnsi="仿宋" w:eastAsia="仿宋" w:cs="仿宋"/>
          <w:b w:val="0"/>
          <w:bCs/>
          <w:color w:val="auto"/>
          <w:spacing w:val="0"/>
          <w:sz w:val="28"/>
          <w:lang w:val="en-US" w:eastAsia="zh-CN"/>
        </w:rPr>
        <w:t>（复印件）为依据，估价对象</w:t>
      </w:r>
      <w:r>
        <w:rPr>
          <w:rFonts w:hint="eastAsia" w:ascii="仿宋" w:hAnsi="仿宋" w:eastAsia="仿宋" w:cs="仿宋"/>
          <w:b w:val="0"/>
          <w:bCs/>
          <w:color w:val="060FCC"/>
          <w:spacing w:val="0"/>
          <w:sz w:val="28"/>
          <w:lang w:val="en-US" w:eastAsia="zh-CN"/>
        </w:rPr>
        <w:t>1）盐城市市区东进路美食街6幢401室（含装饰装修及现场确认的可移动物品），分摊土地面积为14.59㎡，房屋建筑面积为160.47㎡，不动产权证书号苏（2017）盐城市不动产权第0076435号</w:t>
      </w:r>
      <w:r>
        <w:rPr>
          <w:rFonts w:hint="eastAsia" w:ascii="仿宋" w:hAnsi="仿宋" w:eastAsia="仿宋" w:cs="仿宋"/>
          <w:b w:val="0"/>
          <w:bCs/>
          <w:color w:val="auto"/>
          <w:spacing w:val="0"/>
          <w:sz w:val="28"/>
          <w:lang w:val="en-US" w:eastAsia="zh-CN"/>
        </w:rPr>
        <w:t>；估价对象</w:t>
      </w:r>
      <w:r>
        <w:rPr>
          <w:rFonts w:hint="eastAsia" w:ascii="仿宋" w:hAnsi="仿宋" w:eastAsia="仿宋" w:cs="仿宋"/>
          <w:b w:val="0"/>
          <w:bCs/>
          <w:color w:val="060FCC"/>
          <w:spacing w:val="0"/>
          <w:sz w:val="28"/>
          <w:lang w:val="en-US" w:eastAsia="zh-CN"/>
        </w:rPr>
        <w:t>2）盐城市市区东进路美食街6幢40室房地产，分摊土地面积为0.63㎡，房屋建筑面积为6.97㎡，权利人为张丽、孙观星，不动产权证书号苏（2017）盐城市不动产权第0076436号。</w:t>
      </w:r>
      <w:r>
        <w:rPr>
          <w:rFonts w:hint="eastAsia" w:ascii="仿宋" w:hAnsi="仿宋" w:eastAsia="仿宋" w:cs="仿宋"/>
          <w:b w:val="0"/>
          <w:bCs/>
          <w:color w:val="auto"/>
          <w:spacing w:val="0"/>
          <w:sz w:val="28"/>
          <w:lang w:val="en-US" w:eastAsia="zh-CN"/>
        </w:rPr>
        <w:t>权利性质为出让/商品房，不动产用途为城镇住宅用地，宗地面积为</w:t>
      </w:r>
      <w:r>
        <w:rPr>
          <w:rFonts w:hint="eastAsia" w:ascii="仿宋" w:hAnsi="仿宋" w:eastAsia="仿宋" w:cs="仿宋"/>
          <w:b w:val="0"/>
          <w:bCs/>
          <w:color w:val="0000FF"/>
          <w:spacing w:val="0"/>
          <w:sz w:val="28"/>
          <w:lang w:val="en-US" w:eastAsia="zh-CN"/>
        </w:rPr>
        <w:t>42276.20</w:t>
      </w:r>
      <w:r>
        <w:rPr>
          <w:rFonts w:hint="eastAsia" w:ascii="仿宋" w:hAnsi="仿宋" w:eastAsia="仿宋" w:cs="仿宋"/>
          <w:b w:val="0"/>
          <w:bCs/>
          <w:color w:val="auto"/>
          <w:spacing w:val="0"/>
          <w:sz w:val="28"/>
          <w:lang w:val="en-US" w:eastAsia="zh-CN"/>
        </w:rPr>
        <w:t>㎡，土地使用结束时间</w:t>
      </w:r>
      <w:r>
        <w:rPr>
          <w:rFonts w:hint="eastAsia" w:ascii="仿宋" w:hAnsi="仿宋" w:eastAsia="仿宋" w:cs="仿宋"/>
          <w:b w:val="0"/>
          <w:bCs/>
          <w:color w:val="0000FF"/>
          <w:spacing w:val="0"/>
          <w:sz w:val="28"/>
          <w:lang w:val="en-US" w:eastAsia="zh-CN"/>
        </w:rPr>
        <w:t>2074年11月29日</w:t>
      </w:r>
      <w:r>
        <w:rPr>
          <w:rFonts w:hint="eastAsia" w:ascii="仿宋" w:hAnsi="仿宋" w:eastAsia="仿宋" w:cs="仿宋"/>
          <w:b w:val="0"/>
          <w:bCs/>
          <w:color w:val="auto"/>
          <w:spacing w:val="0"/>
          <w:sz w:val="28"/>
          <w:lang w:val="en-US" w:eastAsia="zh-CN"/>
        </w:rPr>
        <w:t>。本报告财产范围包括</w:t>
      </w:r>
      <w:r>
        <w:rPr>
          <w:rFonts w:hint="eastAsia" w:ascii="仿宋" w:hAnsi="仿宋" w:eastAsia="仿宋" w:cs="仿宋"/>
          <w:b w:val="0"/>
          <w:bCs/>
          <w:color w:val="060FCC"/>
          <w:spacing w:val="0"/>
          <w:sz w:val="28"/>
          <w:lang w:val="en-US" w:eastAsia="zh-CN"/>
        </w:rPr>
        <w:t>估价对象的房屋所有权、分摊的土地使用权、装饰装修价值，估价对象可享有的公共配套设施及现场确认的可移动物品，不包括债权债务等其他财产或权益</w:t>
      </w:r>
      <w:r>
        <w:rPr>
          <w:rFonts w:hint="eastAsia" w:ascii="仿宋" w:hAnsi="仿宋" w:eastAsia="仿宋" w:cs="仿宋"/>
          <w:b w:val="0"/>
          <w:bCs/>
          <w:color w:val="auto"/>
          <w:spacing w:val="0"/>
          <w:sz w:val="28"/>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仿宋" w:hAnsi="仿宋" w:eastAsia="仿宋" w:cs="仿宋"/>
          <w:b w:val="0"/>
          <w:bCs/>
          <w:color w:val="auto"/>
          <w:spacing w:val="0"/>
          <w:sz w:val="28"/>
          <w:highlight w:val="none"/>
          <w:lang w:val="en-US" w:eastAsia="zh-CN"/>
        </w:rPr>
      </w:pPr>
      <w:r>
        <w:rPr>
          <w:rFonts w:hint="eastAsia" w:ascii="仿宋" w:hAnsi="仿宋" w:eastAsia="仿宋" w:cs="仿宋"/>
          <w:b w:val="0"/>
          <w:bCs/>
          <w:color w:val="auto"/>
          <w:spacing w:val="0"/>
          <w:sz w:val="28"/>
          <w:highlight w:val="none"/>
          <w:u w:val="none"/>
          <w:lang w:val="en-US" w:eastAsia="zh-CN"/>
        </w:rPr>
        <w:t>价值时点：</w:t>
      </w:r>
      <w:r>
        <w:rPr>
          <w:rFonts w:hint="eastAsia" w:ascii="仿宋" w:hAnsi="仿宋" w:eastAsia="仿宋" w:cs="仿宋"/>
          <w:b w:val="0"/>
          <w:bCs/>
          <w:color w:val="060FCC"/>
          <w:spacing w:val="0"/>
          <w:sz w:val="28"/>
          <w:highlight w:val="none"/>
          <w:u w:val="none"/>
          <w:lang w:val="en-US" w:eastAsia="zh-CN"/>
        </w:rPr>
        <w:t>2022年6月10日</w:t>
      </w:r>
      <w:r>
        <w:rPr>
          <w:rFonts w:hint="eastAsia" w:ascii="仿宋" w:hAnsi="仿宋" w:eastAsia="仿宋" w:cs="仿宋"/>
          <w:b w:val="0"/>
          <w:bCs/>
          <w:color w:val="auto"/>
          <w:spacing w:val="0"/>
          <w:sz w:val="28"/>
          <w:highlight w:val="none"/>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仿宋" w:hAnsi="仿宋" w:eastAsia="仿宋" w:cs="仿宋"/>
          <w:b w:val="0"/>
          <w:bCs/>
          <w:color w:val="auto"/>
          <w:spacing w:val="0"/>
          <w:sz w:val="28"/>
          <w:lang w:val="en-US" w:eastAsia="zh-CN"/>
        </w:rPr>
      </w:pPr>
      <w:r>
        <w:rPr>
          <w:rFonts w:hint="eastAsia" w:ascii="仿宋" w:hAnsi="仿宋" w:eastAsia="仿宋" w:cs="仿宋"/>
          <w:b w:val="0"/>
          <w:bCs/>
          <w:color w:val="auto"/>
          <w:spacing w:val="0"/>
          <w:sz w:val="28"/>
          <w:lang w:val="en-US" w:eastAsia="zh-CN"/>
        </w:rPr>
        <w:t>价值类型：市场价值。</w:t>
      </w:r>
    </w:p>
    <w:p>
      <w:pPr>
        <w:spacing w:line="500" w:lineRule="exact"/>
        <w:ind w:firstLine="560" w:firstLineChars="200"/>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估价对象在价值时点采用公开市场价值标准且满足本估价假设与限制条件下确定的客观、合理的公开市场价值。</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仿宋" w:hAnsi="仿宋" w:eastAsia="仿宋" w:cs="仿宋"/>
          <w:b w:val="0"/>
          <w:bCs/>
          <w:color w:val="auto"/>
          <w:spacing w:val="0"/>
          <w:sz w:val="28"/>
          <w:lang w:val="en-US" w:eastAsia="zh-CN"/>
        </w:rPr>
      </w:pPr>
      <w:r>
        <w:rPr>
          <w:rFonts w:hint="eastAsia" w:ascii="仿宋" w:hAnsi="仿宋" w:eastAsia="仿宋" w:cs="仿宋"/>
          <w:b w:val="0"/>
          <w:bCs/>
          <w:color w:val="auto"/>
          <w:spacing w:val="0"/>
          <w:sz w:val="28"/>
          <w:lang w:val="en-US" w:eastAsia="zh-CN"/>
        </w:rPr>
        <w:t>估价方法：比较法、收益法。</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仿宋" w:hAnsi="仿宋" w:eastAsia="仿宋" w:cs="仿宋"/>
          <w:color w:val="auto"/>
          <w:spacing w:val="0"/>
          <w:sz w:val="28"/>
          <w:szCs w:val="28"/>
          <w:lang w:val="en-US" w:eastAsia="zh-CN"/>
        </w:rPr>
      </w:pPr>
      <w:r>
        <w:rPr>
          <w:rFonts w:hint="eastAsia" w:ascii="仿宋" w:hAnsi="仿宋" w:eastAsia="仿宋" w:cs="仿宋"/>
          <w:b w:val="0"/>
          <w:bCs/>
          <w:color w:val="auto"/>
          <w:spacing w:val="0"/>
          <w:sz w:val="28"/>
          <w:lang w:val="en-US" w:eastAsia="zh-CN"/>
        </w:rPr>
        <w:t>估价结果：根据贵方提供的有关资料，本公司估价师依据国家标准《房地产估价规范》（GB/T50291-2015）、《房地产估价基本术语标准》（GB/T 50899-2013）</w:t>
      </w:r>
      <w:r>
        <w:rPr>
          <w:rFonts w:hint="eastAsia" w:ascii="仿宋" w:hAnsi="仿宋" w:eastAsia="仿宋" w:cs="仿宋"/>
          <w:color w:val="auto"/>
          <w:spacing w:val="0"/>
          <w:kern w:val="2"/>
          <w:sz w:val="28"/>
          <w:szCs w:val="28"/>
          <w:lang w:val="en-US" w:eastAsia="zh-CN" w:bidi="ar-SA"/>
        </w:rPr>
        <w:t>、《江苏省涉案财产价格鉴定操作规程(试行)》、《司法鉴定程序通则》（司法部令第132号）</w:t>
      </w:r>
      <w:r>
        <w:rPr>
          <w:rFonts w:hint="eastAsia" w:ascii="仿宋" w:hAnsi="仿宋" w:eastAsia="仿宋" w:cs="仿宋"/>
          <w:color w:val="auto"/>
          <w:spacing w:val="0"/>
          <w:sz w:val="28"/>
        </w:rPr>
        <w:t>及国家相关法律、法规和政策规定</w:t>
      </w:r>
      <w:r>
        <w:rPr>
          <w:rFonts w:hint="eastAsia" w:ascii="仿宋" w:hAnsi="仿宋" w:eastAsia="仿宋" w:cs="仿宋"/>
          <w:b w:val="0"/>
          <w:bCs/>
          <w:color w:val="auto"/>
          <w:spacing w:val="0"/>
          <w:sz w:val="28"/>
          <w:lang w:val="en-US" w:eastAsia="zh-CN"/>
        </w:rPr>
        <w:t>，本着独立、公正、客观的原则，根据估价目的，遵循必要的估价程序，依据贵院提供的相关资料，结合注册房地产估价师的经验和对影响房地产价值因素的分析，选用比较法、收益法作为本次估价方法，进行认真测算，最终确定估价对象在价值时点</w:t>
      </w:r>
      <w:r>
        <w:rPr>
          <w:rFonts w:hint="eastAsia" w:ascii="仿宋" w:hAnsi="仿宋" w:eastAsia="仿宋" w:cs="仿宋"/>
          <w:b w:val="0"/>
          <w:bCs/>
          <w:color w:val="060FCC"/>
          <w:spacing w:val="0"/>
          <w:sz w:val="28"/>
          <w:lang w:val="en-US" w:eastAsia="zh-CN"/>
        </w:rPr>
        <w:t>2022年6月10日</w:t>
      </w:r>
      <w:r>
        <w:rPr>
          <w:rFonts w:hint="eastAsia" w:ascii="仿宋" w:hAnsi="仿宋" w:eastAsia="仿宋" w:cs="仿宋"/>
          <w:b w:val="0"/>
          <w:bCs/>
          <w:color w:val="auto"/>
          <w:spacing w:val="0"/>
          <w:sz w:val="28"/>
          <w:lang w:val="en-US" w:eastAsia="zh-CN"/>
        </w:rPr>
        <w:t>满足本报告假设和限制条件下的市场总价值为</w:t>
      </w:r>
      <w:r>
        <w:rPr>
          <w:rFonts w:hint="eastAsia" w:ascii="仿宋" w:hAnsi="仿宋" w:eastAsia="仿宋" w:cs="仿宋"/>
          <w:color w:val="auto"/>
          <w:spacing w:val="0"/>
          <w:sz w:val="28"/>
          <w:szCs w:val="28"/>
          <w:highlight w:val="none"/>
        </w:rPr>
        <w:t>￥</w:t>
      </w:r>
      <w:r>
        <w:rPr>
          <w:rFonts w:hint="eastAsia" w:ascii="仿宋" w:hAnsi="仿宋" w:eastAsia="仿宋" w:cs="仿宋"/>
          <w:color w:val="060FCC"/>
          <w:spacing w:val="0"/>
          <w:sz w:val="28"/>
          <w:szCs w:val="28"/>
          <w:highlight w:val="none"/>
          <w:lang w:eastAsia="zh-CN"/>
        </w:rPr>
        <w:t>307.41</w:t>
      </w:r>
      <w:r>
        <w:rPr>
          <w:rFonts w:hint="eastAsia" w:ascii="仿宋" w:hAnsi="仿宋" w:eastAsia="仿宋" w:cs="仿宋"/>
          <w:b w:val="0"/>
          <w:bCs/>
          <w:color w:val="auto"/>
          <w:spacing w:val="0"/>
          <w:sz w:val="28"/>
          <w:highlight w:val="none"/>
          <w:lang w:val="en-US" w:eastAsia="zh-CN"/>
        </w:rPr>
        <w:t>万元（取整至百元），人民币大写</w:t>
      </w:r>
      <w:r>
        <w:rPr>
          <w:rFonts w:hint="eastAsia" w:ascii="仿宋" w:hAnsi="仿宋" w:eastAsia="仿宋" w:cs="仿宋"/>
          <w:b/>
          <w:bCs w:val="0"/>
          <w:color w:val="060FCC"/>
          <w:spacing w:val="0"/>
          <w:sz w:val="28"/>
          <w:highlight w:val="none"/>
          <w:lang w:val="en-US" w:eastAsia="zh-CN"/>
        </w:rPr>
        <w:t>叁佰零柒万肆仟壹佰</w:t>
      </w:r>
      <w:r>
        <w:rPr>
          <w:rFonts w:hint="eastAsia" w:ascii="仿宋" w:hAnsi="仿宋" w:eastAsia="仿宋" w:cs="仿宋"/>
          <w:b w:val="0"/>
          <w:bCs/>
          <w:color w:val="auto"/>
          <w:spacing w:val="0"/>
          <w:sz w:val="28"/>
          <w:highlight w:val="none"/>
          <w:lang w:val="en-US" w:eastAsia="zh-CN"/>
        </w:rPr>
        <w:t>元</w:t>
      </w:r>
      <w:r>
        <w:rPr>
          <w:rFonts w:hint="eastAsia" w:ascii="仿宋" w:hAnsi="仿宋" w:eastAsia="仿宋" w:cs="仿宋"/>
          <w:b w:val="0"/>
          <w:bCs/>
          <w:color w:val="auto"/>
          <w:spacing w:val="0"/>
          <w:sz w:val="28"/>
          <w:highlight w:val="none"/>
          <w:lang w:val="en-US" w:eastAsia="zh-CN"/>
        </w:rPr>
        <w:fldChar w:fldCharType="begin"/>
      </w:r>
      <w:r>
        <w:rPr>
          <w:rFonts w:hint="eastAsia" w:ascii="仿宋" w:hAnsi="仿宋" w:eastAsia="仿宋" w:cs="仿宋"/>
          <w:b w:val="0"/>
          <w:bCs/>
          <w:color w:val="auto"/>
          <w:spacing w:val="0"/>
          <w:sz w:val="28"/>
          <w:highlight w:val="none"/>
          <w:lang w:val="en-US" w:eastAsia="zh-CN"/>
        </w:rPr>
        <w:instrText xml:space="preserve"> = 1175700 \* CHINESENUM4 \* MERGEFORMAT </w:instrText>
      </w:r>
      <w:r>
        <w:rPr>
          <w:rFonts w:hint="eastAsia" w:ascii="仿宋" w:hAnsi="仿宋" w:eastAsia="仿宋" w:cs="仿宋"/>
          <w:b w:val="0"/>
          <w:bCs/>
          <w:color w:val="auto"/>
          <w:spacing w:val="0"/>
          <w:sz w:val="28"/>
          <w:highlight w:val="none"/>
          <w:lang w:val="en-US" w:eastAsia="zh-CN"/>
        </w:rPr>
        <w:fldChar w:fldCharType="separate"/>
      </w:r>
      <w:r>
        <w:rPr>
          <w:rFonts w:hint="eastAsia" w:ascii="仿宋" w:hAnsi="仿宋" w:eastAsia="仿宋" w:cs="仿宋"/>
          <w:b w:val="0"/>
          <w:bCs/>
          <w:color w:val="auto"/>
          <w:spacing w:val="0"/>
          <w:sz w:val="28"/>
          <w:highlight w:val="none"/>
          <w:lang w:val="en-US" w:eastAsia="zh-CN"/>
        </w:rPr>
        <w:t>整</w:t>
      </w:r>
      <w:r>
        <w:rPr>
          <w:rFonts w:hint="eastAsia" w:ascii="仿宋" w:hAnsi="仿宋" w:eastAsia="仿宋" w:cs="仿宋"/>
          <w:b w:val="0"/>
          <w:bCs/>
          <w:color w:val="auto"/>
          <w:spacing w:val="0"/>
          <w:sz w:val="28"/>
          <w:highlight w:val="none"/>
          <w:lang w:val="en-US" w:eastAsia="zh-CN"/>
        </w:rPr>
        <w:fldChar w:fldCharType="end"/>
      </w:r>
      <w:r>
        <w:rPr>
          <w:rFonts w:hint="eastAsia" w:ascii="仿宋" w:hAnsi="仿宋" w:eastAsia="仿宋" w:cs="仿宋"/>
          <w:b w:val="0"/>
          <w:bCs/>
          <w:color w:val="auto"/>
          <w:spacing w:val="0"/>
          <w:sz w:val="28"/>
          <w:highlight w:val="none"/>
          <w:lang w:val="en-US" w:eastAsia="zh-CN"/>
        </w:rPr>
        <w:t>，其中：1）</w:t>
      </w:r>
      <w:r>
        <w:rPr>
          <w:rFonts w:hint="eastAsia" w:ascii="仿宋" w:hAnsi="仿宋" w:eastAsia="仿宋" w:cs="仿宋"/>
          <w:b w:val="0"/>
          <w:bCs/>
          <w:color w:val="060FCC"/>
          <w:spacing w:val="0"/>
          <w:sz w:val="28"/>
          <w:highlight w:val="none"/>
          <w:lang w:val="en-US" w:eastAsia="zh-CN"/>
        </w:rPr>
        <w:t>盐城市市区东进路美食街6幢401室</w:t>
      </w:r>
      <w:r>
        <w:rPr>
          <w:rFonts w:hint="eastAsia" w:ascii="仿宋" w:hAnsi="仿宋" w:eastAsia="仿宋" w:cs="仿宋"/>
          <w:b w:val="0"/>
          <w:bCs/>
          <w:color w:val="auto"/>
          <w:spacing w:val="0"/>
          <w:sz w:val="28"/>
          <w:highlight w:val="none"/>
          <w:lang w:val="en-US" w:eastAsia="zh-CN"/>
        </w:rPr>
        <w:t>住宅市场价值</w:t>
      </w:r>
      <w:r>
        <w:rPr>
          <w:rFonts w:hint="eastAsia" w:ascii="仿宋" w:hAnsi="仿宋" w:eastAsia="仿宋" w:cs="仿宋"/>
          <w:color w:val="auto"/>
          <w:spacing w:val="0"/>
          <w:sz w:val="28"/>
          <w:szCs w:val="28"/>
          <w:highlight w:val="none"/>
          <w:lang w:val="en-US" w:eastAsia="zh-CN"/>
        </w:rPr>
        <w:t>为</w:t>
      </w:r>
      <w:r>
        <w:rPr>
          <w:rFonts w:hint="eastAsia" w:ascii="仿宋" w:hAnsi="仿宋" w:eastAsia="仿宋" w:cs="仿宋"/>
          <w:color w:val="060FCC"/>
          <w:spacing w:val="0"/>
          <w:sz w:val="28"/>
          <w:szCs w:val="28"/>
          <w:highlight w:val="none"/>
          <w:lang w:val="en-US" w:eastAsia="zh-CN"/>
        </w:rPr>
        <w:t>298.51</w:t>
      </w:r>
      <w:r>
        <w:rPr>
          <w:rFonts w:hint="eastAsia" w:ascii="仿宋" w:hAnsi="仿宋" w:eastAsia="仿宋" w:cs="仿宋"/>
          <w:color w:val="auto"/>
          <w:spacing w:val="0"/>
          <w:sz w:val="28"/>
          <w:szCs w:val="28"/>
          <w:highlight w:val="none"/>
          <w:lang w:val="en-US" w:eastAsia="zh-CN"/>
        </w:rPr>
        <w:t>万元（含</w:t>
      </w:r>
      <w:r>
        <w:rPr>
          <w:rFonts w:hint="eastAsia" w:ascii="仿宋" w:hAnsi="仿宋" w:eastAsia="仿宋" w:cs="仿宋"/>
          <w:color w:val="060FCC"/>
          <w:spacing w:val="0"/>
          <w:sz w:val="28"/>
          <w:szCs w:val="28"/>
          <w:highlight w:val="none"/>
          <w:lang w:val="en-US" w:eastAsia="zh-CN"/>
        </w:rPr>
        <w:t>装饰装修价值</w:t>
      </w:r>
      <w:r>
        <w:rPr>
          <w:rFonts w:hint="eastAsia" w:ascii="仿宋" w:hAnsi="仿宋" w:eastAsia="仿宋" w:cs="仿宋"/>
          <w:color w:val="auto"/>
          <w:spacing w:val="0"/>
          <w:sz w:val="28"/>
          <w:szCs w:val="28"/>
          <w:highlight w:val="none"/>
          <w:lang w:val="en-US" w:eastAsia="zh-CN"/>
        </w:rPr>
        <w:t>），约合单价为</w:t>
      </w:r>
      <w:r>
        <w:rPr>
          <w:rFonts w:hint="eastAsia" w:ascii="仿宋" w:hAnsi="仿宋" w:eastAsia="仿宋" w:cs="仿宋"/>
          <w:color w:val="060FCC"/>
          <w:spacing w:val="0"/>
          <w:sz w:val="28"/>
          <w:szCs w:val="28"/>
          <w:highlight w:val="none"/>
          <w:lang w:val="en-US" w:eastAsia="zh-CN"/>
        </w:rPr>
        <w:t>18,602</w:t>
      </w:r>
      <w:r>
        <w:rPr>
          <w:rFonts w:hint="eastAsia" w:ascii="仿宋" w:hAnsi="仿宋" w:eastAsia="仿宋" w:cs="仿宋"/>
          <w:color w:val="auto"/>
          <w:spacing w:val="0"/>
          <w:sz w:val="28"/>
          <w:szCs w:val="28"/>
          <w:highlight w:val="none"/>
          <w:lang w:val="en-US" w:eastAsia="zh-CN"/>
        </w:rPr>
        <w:t>元/㎡</w:t>
      </w:r>
      <w:r>
        <w:rPr>
          <w:rFonts w:hint="eastAsia" w:ascii="仿宋" w:hAnsi="仿宋" w:eastAsia="仿宋" w:cs="仿宋"/>
          <w:b w:val="0"/>
          <w:bCs/>
          <w:color w:val="auto"/>
          <w:spacing w:val="0"/>
          <w:sz w:val="28"/>
          <w:highlight w:val="none"/>
          <w:lang w:val="en-US" w:eastAsia="zh-CN"/>
        </w:rPr>
        <w:t>；2）</w:t>
      </w:r>
      <w:r>
        <w:rPr>
          <w:rFonts w:hint="eastAsia" w:ascii="仿宋" w:hAnsi="仿宋" w:eastAsia="仿宋" w:cs="仿宋"/>
          <w:b w:val="0"/>
          <w:bCs/>
          <w:color w:val="060FCC"/>
          <w:spacing w:val="0"/>
          <w:sz w:val="28"/>
          <w:highlight w:val="none"/>
          <w:lang w:val="en-US" w:eastAsia="zh-CN"/>
        </w:rPr>
        <w:t>盐城市市区东进路美食街6幢40室</w:t>
      </w:r>
      <w:r>
        <w:rPr>
          <w:rFonts w:hint="eastAsia" w:ascii="仿宋" w:hAnsi="仿宋" w:eastAsia="仿宋" w:cs="仿宋"/>
          <w:b w:val="0"/>
          <w:bCs/>
          <w:color w:val="auto"/>
          <w:spacing w:val="0"/>
          <w:sz w:val="28"/>
          <w:highlight w:val="none"/>
          <w:lang w:val="en-US" w:eastAsia="zh-CN"/>
        </w:rPr>
        <w:t>车库市场价值</w:t>
      </w:r>
      <w:r>
        <w:rPr>
          <w:rFonts w:hint="eastAsia" w:ascii="仿宋" w:hAnsi="仿宋" w:eastAsia="仿宋" w:cs="仿宋"/>
          <w:color w:val="auto"/>
          <w:spacing w:val="0"/>
          <w:sz w:val="28"/>
          <w:szCs w:val="28"/>
          <w:highlight w:val="none"/>
          <w:lang w:val="en-US" w:eastAsia="zh-CN"/>
        </w:rPr>
        <w:t>为</w:t>
      </w:r>
      <w:r>
        <w:rPr>
          <w:rFonts w:hint="eastAsia" w:ascii="仿宋" w:hAnsi="仿宋" w:eastAsia="仿宋" w:cs="仿宋"/>
          <w:color w:val="060FCC"/>
          <w:spacing w:val="0"/>
          <w:sz w:val="28"/>
          <w:szCs w:val="28"/>
          <w:highlight w:val="none"/>
          <w:lang w:val="en-US" w:eastAsia="zh-CN"/>
        </w:rPr>
        <w:t>5.23</w:t>
      </w:r>
      <w:r>
        <w:rPr>
          <w:rFonts w:hint="eastAsia" w:ascii="仿宋" w:hAnsi="仿宋" w:eastAsia="仿宋" w:cs="仿宋"/>
          <w:color w:val="auto"/>
          <w:spacing w:val="0"/>
          <w:sz w:val="28"/>
          <w:szCs w:val="28"/>
          <w:highlight w:val="none"/>
          <w:lang w:val="en-US" w:eastAsia="zh-CN"/>
        </w:rPr>
        <w:t>万元</w:t>
      </w:r>
      <w:r>
        <w:rPr>
          <w:rFonts w:hint="eastAsia" w:ascii="仿宋" w:hAnsi="仿宋" w:eastAsia="仿宋" w:cs="仿宋"/>
          <w:color w:val="auto"/>
          <w:spacing w:val="0"/>
          <w:sz w:val="28"/>
          <w:szCs w:val="28"/>
          <w:lang w:val="en-US" w:eastAsia="zh-CN"/>
        </w:rPr>
        <w:t>（含</w:t>
      </w:r>
      <w:r>
        <w:rPr>
          <w:rFonts w:hint="eastAsia" w:ascii="仿宋" w:hAnsi="仿宋" w:eastAsia="仿宋" w:cs="仿宋"/>
          <w:color w:val="060FCC"/>
          <w:spacing w:val="0"/>
          <w:sz w:val="28"/>
          <w:szCs w:val="28"/>
          <w:lang w:val="en-US" w:eastAsia="zh-CN"/>
        </w:rPr>
        <w:t>装饰装修价值</w:t>
      </w:r>
      <w:r>
        <w:rPr>
          <w:rFonts w:hint="eastAsia" w:ascii="仿宋" w:hAnsi="仿宋" w:eastAsia="仿宋" w:cs="仿宋"/>
          <w:color w:val="auto"/>
          <w:spacing w:val="0"/>
          <w:sz w:val="28"/>
          <w:szCs w:val="28"/>
          <w:lang w:val="en-US" w:eastAsia="zh-CN"/>
        </w:rPr>
        <w:t>），单价为</w:t>
      </w:r>
      <w:r>
        <w:rPr>
          <w:rFonts w:hint="eastAsia" w:ascii="仿宋" w:hAnsi="仿宋" w:eastAsia="仿宋" w:cs="仿宋"/>
          <w:color w:val="060FCC"/>
          <w:spacing w:val="0"/>
          <w:sz w:val="28"/>
          <w:szCs w:val="28"/>
          <w:lang w:val="en-US" w:eastAsia="zh-CN"/>
        </w:rPr>
        <w:t>7500</w:t>
      </w:r>
      <w:r>
        <w:rPr>
          <w:rFonts w:hint="eastAsia" w:ascii="仿宋" w:hAnsi="仿宋" w:eastAsia="仿宋" w:cs="仿宋"/>
          <w:color w:val="auto"/>
          <w:spacing w:val="0"/>
          <w:sz w:val="28"/>
          <w:szCs w:val="28"/>
          <w:lang w:val="en-US" w:eastAsia="zh-CN"/>
        </w:rPr>
        <w:t>元/㎡</w:t>
      </w:r>
      <w:r>
        <w:rPr>
          <w:rFonts w:hint="eastAsia" w:ascii="仿宋" w:hAnsi="仿宋" w:eastAsia="仿宋" w:cs="仿宋"/>
          <w:b w:val="0"/>
          <w:bCs/>
          <w:color w:val="auto"/>
          <w:spacing w:val="0"/>
          <w:sz w:val="28"/>
          <w:highlight w:val="none"/>
          <w:lang w:val="en-US" w:eastAsia="zh-CN"/>
        </w:rPr>
        <w:t>；现场确认的可移动物品</w:t>
      </w:r>
      <w:r>
        <w:rPr>
          <w:rFonts w:hint="eastAsia" w:ascii="仿宋" w:hAnsi="仿宋" w:eastAsia="仿宋" w:cs="仿宋"/>
          <w:color w:val="auto"/>
          <w:spacing w:val="0"/>
          <w:sz w:val="28"/>
          <w:szCs w:val="28"/>
          <w:highlight w:val="none"/>
          <w:lang w:val="en-US" w:eastAsia="zh-CN"/>
        </w:rPr>
        <w:t>价值为</w:t>
      </w:r>
      <w:r>
        <w:rPr>
          <w:rFonts w:hint="eastAsia" w:ascii="仿宋" w:hAnsi="仿宋" w:eastAsia="仿宋" w:cs="仿宋"/>
          <w:color w:val="060FCC"/>
          <w:spacing w:val="0"/>
          <w:sz w:val="28"/>
          <w:szCs w:val="28"/>
          <w:highlight w:val="none"/>
          <w:lang w:val="en-US" w:eastAsia="zh-CN"/>
        </w:rPr>
        <w:t>3.67</w:t>
      </w:r>
      <w:r>
        <w:rPr>
          <w:rFonts w:hint="eastAsia" w:ascii="仿宋" w:hAnsi="仿宋" w:eastAsia="仿宋" w:cs="仿宋"/>
          <w:color w:val="auto"/>
          <w:spacing w:val="0"/>
          <w:sz w:val="28"/>
          <w:szCs w:val="28"/>
          <w:highlight w:val="none"/>
          <w:lang w:val="en-US" w:eastAsia="zh-CN"/>
        </w:rPr>
        <w:t>万元</w:t>
      </w:r>
      <w:r>
        <w:rPr>
          <w:rFonts w:hint="eastAsia" w:ascii="仿宋" w:hAnsi="仿宋" w:eastAsia="仿宋" w:cs="仿宋"/>
          <w:color w:val="auto"/>
          <w:spacing w:val="0"/>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200" w:right="0" w:rightChars="0"/>
        <w:jc w:val="both"/>
        <w:textAlignment w:val="auto"/>
        <w:outlineLvl w:val="9"/>
        <w:rPr>
          <w:rFonts w:hint="eastAsia" w:ascii="仿宋" w:hAnsi="仿宋" w:eastAsia="仿宋" w:cs="仿宋"/>
          <w:color w:val="auto"/>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200" w:right="0" w:rightChars="0"/>
        <w:jc w:val="both"/>
        <w:textAlignment w:val="auto"/>
        <w:outlineLvl w:val="9"/>
        <w:rPr>
          <w:rFonts w:hint="eastAsia" w:ascii="仿宋" w:hAnsi="仿宋" w:eastAsia="仿宋" w:cs="仿宋"/>
          <w:color w:val="auto"/>
          <w:spacing w:val="0"/>
          <w:sz w:val="28"/>
          <w:szCs w:val="28"/>
          <w:lang w:val="en-US" w:eastAsia="zh-CN"/>
        </w:rPr>
      </w:pPr>
    </w:p>
    <w:tbl>
      <w:tblPr>
        <w:tblStyle w:val="22"/>
        <w:tblW w:w="914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5"/>
        <w:gridCol w:w="2145"/>
        <w:gridCol w:w="945"/>
        <w:gridCol w:w="2400"/>
        <w:gridCol w:w="952"/>
        <w:gridCol w:w="1133"/>
        <w:gridCol w:w="11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9142" w:type="dxa"/>
            <w:gridSpan w:val="7"/>
            <w:tcBorders>
              <w:top w:val="nil"/>
              <w:left w:val="nil"/>
              <w:bottom w:val="single" w:color="auto" w:sz="4" w:space="0"/>
              <w:right w:val="nil"/>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估价对象市场总价值结果一览表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序号</w:t>
            </w:r>
          </w:p>
        </w:tc>
        <w:tc>
          <w:tcPr>
            <w:tcW w:w="21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房屋所有权证号</w:t>
            </w:r>
          </w:p>
        </w:tc>
        <w:tc>
          <w:tcPr>
            <w:tcW w:w="9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权利人</w:t>
            </w:r>
          </w:p>
        </w:tc>
        <w:tc>
          <w:tcPr>
            <w:tcW w:w="2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房屋坐落</w:t>
            </w:r>
          </w:p>
        </w:tc>
        <w:tc>
          <w:tcPr>
            <w:tcW w:w="9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建筑面积（㎡）</w:t>
            </w:r>
          </w:p>
        </w:tc>
        <w:tc>
          <w:tcPr>
            <w:tcW w:w="1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评估单价（元/㎡）</w:t>
            </w:r>
          </w:p>
        </w:tc>
        <w:tc>
          <w:tcPr>
            <w:tcW w:w="1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评估总价</w:t>
            </w:r>
            <w:r>
              <w:rPr>
                <w:rFonts w:hint="eastAsia" w:ascii="仿宋" w:hAnsi="仿宋" w:eastAsia="仿宋" w:cs="仿宋"/>
                <w:b/>
                <w:bCs/>
                <w:i w:val="0"/>
                <w:iCs w:val="0"/>
                <w:color w:val="000000"/>
                <w:kern w:val="0"/>
                <w:sz w:val="21"/>
                <w:szCs w:val="21"/>
                <w:u w:val="none"/>
                <w:lang w:val="en-US" w:eastAsia="zh-CN" w:bidi="ar"/>
              </w:rPr>
              <w:br w:type="textWrapping"/>
            </w:r>
            <w:r>
              <w:rPr>
                <w:rFonts w:hint="eastAsia" w:ascii="仿宋" w:hAnsi="仿宋" w:eastAsia="仿宋" w:cs="仿宋"/>
                <w:b/>
                <w:bCs/>
                <w:i w:val="0"/>
                <w:iCs w:val="0"/>
                <w:color w:val="000000"/>
                <w:kern w:val="0"/>
                <w:sz w:val="21"/>
                <w:szCs w:val="21"/>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2" w:hRule="atLeast"/>
        </w:trPr>
        <w:tc>
          <w:tcPr>
            <w:tcW w:w="375"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2145"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苏（2017）盐城市不动产权第0076435号</w:t>
            </w:r>
          </w:p>
        </w:tc>
        <w:tc>
          <w:tcPr>
            <w:tcW w:w="945"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张丽、孙观星</w:t>
            </w:r>
          </w:p>
        </w:tc>
        <w:tc>
          <w:tcPr>
            <w:tcW w:w="240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iCs w:val="0"/>
                <w:color w:val="FF0000"/>
                <w:sz w:val="24"/>
                <w:szCs w:val="24"/>
                <w:u w:val="none"/>
              </w:rPr>
            </w:pPr>
            <w:r>
              <w:rPr>
                <w:rFonts w:hint="eastAsia" w:ascii="仿宋" w:hAnsi="仿宋" w:eastAsia="仿宋" w:cs="仿宋"/>
                <w:i w:val="0"/>
                <w:iCs w:val="0"/>
                <w:color w:val="FF0000"/>
                <w:kern w:val="0"/>
                <w:sz w:val="24"/>
                <w:szCs w:val="24"/>
                <w:u w:val="none"/>
                <w:lang w:val="en-US" w:eastAsia="zh-CN" w:bidi="ar"/>
              </w:rPr>
              <w:t>盐城市市区东进路美食街6幢401室</w:t>
            </w:r>
          </w:p>
        </w:tc>
        <w:tc>
          <w:tcPr>
            <w:tcW w:w="952"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160.47</w:t>
            </w:r>
          </w:p>
        </w:tc>
        <w:tc>
          <w:tcPr>
            <w:tcW w:w="1133"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18,602</w:t>
            </w:r>
          </w:p>
        </w:tc>
        <w:tc>
          <w:tcPr>
            <w:tcW w:w="1192"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298.51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4" w:hRule="atLeast"/>
        </w:trPr>
        <w:tc>
          <w:tcPr>
            <w:tcW w:w="3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苏（2017）盐城市不动产权第0076436号</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张丽、孙观星</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iCs w:val="0"/>
                <w:color w:val="FF0000"/>
                <w:sz w:val="24"/>
                <w:szCs w:val="24"/>
                <w:u w:val="none"/>
              </w:rPr>
            </w:pPr>
            <w:r>
              <w:rPr>
                <w:rFonts w:hint="eastAsia" w:ascii="仿宋" w:hAnsi="仿宋" w:eastAsia="仿宋" w:cs="仿宋"/>
                <w:i w:val="0"/>
                <w:iCs w:val="0"/>
                <w:color w:val="FF0000"/>
                <w:kern w:val="0"/>
                <w:sz w:val="24"/>
                <w:szCs w:val="24"/>
                <w:u w:val="none"/>
                <w:lang w:val="en-US" w:eastAsia="zh-CN" w:bidi="ar"/>
              </w:rPr>
              <w:t>盐城市市区东进路美食街6幢40室</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6.97</w:t>
            </w:r>
          </w:p>
        </w:tc>
        <w:tc>
          <w:tcPr>
            <w:tcW w:w="11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7,500</w:t>
            </w:r>
          </w:p>
        </w:tc>
        <w:tc>
          <w:tcPr>
            <w:tcW w:w="11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5.23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5" w:hRule="atLeast"/>
        </w:trPr>
        <w:tc>
          <w:tcPr>
            <w:tcW w:w="3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可移动物品价值</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iCs w:val="0"/>
                <w:color w:val="000000"/>
                <w:sz w:val="21"/>
                <w:szCs w:val="21"/>
                <w:u w:val="none"/>
              </w:rPr>
            </w:pPr>
          </w:p>
        </w:tc>
        <w:tc>
          <w:tcPr>
            <w:tcW w:w="24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仿宋" w:hAnsi="仿宋" w:eastAsia="仿宋" w:cs="仿宋"/>
                <w:i w:val="0"/>
                <w:iCs w:val="0"/>
                <w:color w:val="FF0000"/>
                <w:sz w:val="24"/>
                <w:szCs w:val="24"/>
                <w:u w:val="none"/>
              </w:rPr>
            </w:pP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iCs w:val="0"/>
                <w:color w:val="000000"/>
                <w:sz w:val="21"/>
                <w:szCs w:val="21"/>
                <w:u w:val="none"/>
              </w:rPr>
            </w:pPr>
          </w:p>
        </w:tc>
        <w:tc>
          <w:tcPr>
            <w:tcW w:w="1133"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1"/>
                <w:szCs w:val="21"/>
                <w:u w:val="none"/>
              </w:rPr>
            </w:pPr>
          </w:p>
        </w:tc>
        <w:tc>
          <w:tcPr>
            <w:tcW w:w="11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3.67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586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合计</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167.44</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b/>
                <w:bCs/>
                <w:i w:val="0"/>
                <w:iCs w:val="0"/>
                <w:color w:val="000000"/>
                <w:sz w:val="21"/>
                <w:szCs w:val="21"/>
                <w:u w:val="none"/>
              </w:rPr>
            </w:pPr>
          </w:p>
        </w:tc>
        <w:tc>
          <w:tcPr>
            <w:tcW w:w="11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 xml:space="preserve">307.41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2520" w:type="dxa"/>
            <w:gridSpan w:val="2"/>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人民币大写：</w:t>
            </w:r>
          </w:p>
        </w:tc>
        <w:tc>
          <w:tcPr>
            <w:tcW w:w="3345" w:type="dxa"/>
            <w:gridSpan w:val="2"/>
            <w:tcBorders>
              <w:top w:val="single" w:color="000000" w:sz="4" w:space="0"/>
              <w:left w:val="nil"/>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叁佰零柒万肆仟壹佰元整</w:t>
            </w:r>
          </w:p>
        </w:tc>
        <w:tc>
          <w:tcPr>
            <w:tcW w:w="3277" w:type="dxa"/>
            <w:gridSpan w:val="3"/>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（精确至元）</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200" w:right="0" w:rightChars="0"/>
        <w:jc w:val="both"/>
        <w:textAlignment w:val="auto"/>
        <w:outlineLvl w:val="9"/>
        <w:rPr>
          <w:rFonts w:hint="eastAsia" w:ascii="仿宋" w:hAnsi="仿宋" w:eastAsia="仿宋" w:cs="仿宋"/>
          <w:color w:val="auto"/>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both"/>
        <w:textAlignment w:val="auto"/>
        <w:outlineLvl w:val="9"/>
        <w:rPr>
          <w:rFonts w:hint="eastAsia" w:ascii="仿宋" w:hAnsi="仿宋" w:eastAsia="仿宋" w:cs="仿宋"/>
          <w:color w:val="auto"/>
          <w:spacing w:val="0"/>
          <w:sz w:val="36"/>
          <w:szCs w:val="36"/>
          <w:lang w:val="en-US" w:eastAsia="zh-CN"/>
        </w:rPr>
      </w:pPr>
    </w:p>
    <w:tbl>
      <w:tblPr>
        <w:tblStyle w:val="22"/>
        <w:tblW w:w="909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0"/>
        <w:gridCol w:w="2700"/>
        <w:gridCol w:w="930"/>
        <w:gridCol w:w="975"/>
        <w:gridCol w:w="1644"/>
        <w:gridCol w:w="19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090" w:type="dxa"/>
            <w:gridSpan w:val="6"/>
            <w:tcBorders>
              <w:top w:val="nil"/>
              <w:left w:val="nil"/>
              <w:bottom w:val="nil"/>
              <w:right w:val="nil"/>
            </w:tcBorders>
            <w:noWrap/>
            <w:vAlign w:val="center"/>
          </w:tcPr>
          <w:p>
            <w:pPr>
              <w:keepNext w:val="0"/>
              <w:keepLines w:val="0"/>
              <w:widowControl/>
              <w:suppressLineNumbers w:val="0"/>
              <w:jc w:val="center"/>
              <w:textAlignment w:val="center"/>
              <w:rPr>
                <w:rFonts w:ascii="仿宋" w:hAnsi="仿宋" w:eastAsia="仿宋" w:cs="仿宋"/>
                <w:b/>
                <w:bCs/>
                <w:i w:val="0"/>
                <w:iCs w:val="0"/>
                <w:color w:val="000000"/>
                <w:sz w:val="32"/>
                <w:szCs w:val="32"/>
                <w:u w:val="none"/>
              </w:rPr>
            </w:pPr>
            <w:r>
              <w:rPr>
                <w:rFonts w:hint="eastAsia" w:ascii="仿宋" w:hAnsi="仿宋" w:eastAsia="仿宋" w:cs="仿宋"/>
                <w:b/>
                <w:bCs/>
                <w:i w:val="0"/>
                <w:iCs w:val="0"/>
                <w:color w:val="000000"/>
                <w:kern w:val="0"/>
                <w:sz w:val="32"/>
                <w:szCs w:val="32"/>
                <w:u w:val="none"/>
                <w:lang w:val="en-US" w:eastAsia="zh-CN" w:bidi="ar"/>
              </w:rPr>
              <w:t>现场确认的可移动物品一览表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2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评估价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冰箱</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2799</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不锈钢柜</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1450</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餐桌及6椅子</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4292</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单人床及1床头柜</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3580</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单人沙发</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1399</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电脑箱</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1999</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电视柜</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4680</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儿童浴盆</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剪刀蛙式滑板车</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辆</w:t>
            </w:r>
          </w:p>
        </w:tc>
        <w:tc>
          <w:tcPr>
            <w:tcW w:w="975" w:type="dxa"/>
            <w:tcBorders>
              <w:top w:val="nil"/>
              <w:left w:val="nil"/>
              <w:bottom w:val="nil"/>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255</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空气净化器</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9300</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篮球架</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888</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落地电风扇</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159</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落地钟</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1980</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木衣架</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468</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七字沙发</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5290</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人字梯</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412</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软包双人椅</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三脚圆凳</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2700" w:type="dxa"/>
            <w:tcBorders>
              <w:top w:val="nil"/>
              <w:left w:val="nil"/>
              <w:bottom w:val="nil"/>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沙发凳</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599</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工艺品</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270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实木办公桌</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1078</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实木电视柜茶几</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6448</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实木方茶几</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3650</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270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实木书架</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1738</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实木衣柜</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4212</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实木衣架</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739</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实木椅</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软垫椅子</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278</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梳妆台</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1990</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双人实木床及2床头柜</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3650</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藤条陈列架</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880</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微波炉</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1599</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双人席梦思</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4383</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单人席梦思</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2499</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鞋柜</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1180</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玄关柜</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438</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油汀取暖器</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529</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2700" w:type="dxa"/>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折叠桌</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248</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630"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164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36,700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090"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备注：以上评估价均已结合成新评估。</w:t>
            </w:r>
          </w:p>
        </w:tc>
      </w:tr>
    </w:tbl>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仿宋" w:hAnsi="仿宋" w:eastAsia="仿宋" w:cs="仿宋"/>
          <w:b w:val="0"/>
          <w:bCs/>
          <w:color w:val="auto"/>
          <w:spacing w:val="0"/>
          <w:sz w:val="28"/>
          <w:lang w:val="en-US" w:eastAsia="zh-CN"/>
        </w:rPr>
      </w:pPr>
      <w:r>
        <w:rPr>
          <w:rFonts w:hint="eastAsia" w:ascii="仿宋" w:hAnsi="仿宋" w:eastAsia="仿宋" w:cs="仿宋"/>
          <w:b w:val="0"/>
          <w:bCs/>
          <w:color w:val="auto"/>
          <w:spacing w:val="0"/>
          <w:sz w:val="28"/>
          <w:lang w:val="en-US" w:eastAsia="zh-CN"/>
        </w:rPr>
        <w:t>特别提示：</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7.</w:t>
      </w:r>
      <w:r>
        <w:rPr>
          <w:rFonts w:hint="eastAsia" w:ascii="仿宋" w:hAnsi="仿宋" w:eastAsia="仿宋" w:cs="仿宋"/>
          <w:color w:val="auto"/>
          <w:spacing w:val="28"/>
          <w:sz w:val="28"/>
          <w:szCs w:val="28"/>
          <w:lang w:val="en-US" w:eastAsia="zh-CN"/>
        </w:rPr>
        <w:t>1</w:t>
      </w:r>
      <w:r>
        <w:rPr>
          <w:rFonts w:hint="eastAsia" w:ascii="仿宋" w:hAnsi="仿宋" w:eastAsia="仿宋" w:cs="仿宋"/>
          <w:color w:val="auto"/>
          <w:sz w:val="28"/>
          <w:szCs w:val="28"/>
          <w:lang w:val="en-US" w:eastAsia="zh-CN"/>
        </w:rPr>
        <w:t>本函为估价报告的摘要，与估价报告全文是一个有机整体，报告使用方应完整阅读、正确理解、规范使用本报告。</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7.</w:t>
      </w:r>
      <w:r>
        <w:rPr>
          <w:rFonts w:hint="eastAsia" w:ascii="仿宋" w:hAnsi="仿宋" w:eastAsia="仿宋" w:cs="仿宋"/>
          <w:color w:val="auto"/>
          <w:spacing w:val="28"/>
          <w:sz w:val="28"/>
          <w:szCs w:val="28"/>
          <w:lang w:val="en-US" w:eastAsia="zh-CN"/>
        </w:rPr>
        <w:t>2</w:t>
      </w:r>
      <w:r>
        <w:rPr>
          <w:rFonts w:hint="eastAsia" w:ascii="仿宋" w:hAnsi="仿宋" w:eastAsia="仿宋" w:cs="仿宋"/>
          <w:color w:val="auto"/>
          <w:sz w:val="28"/>
          <w:szCs w:val="28"/>
          <w:lang w:val="en-US" w:eastAsia="zh-CN"/>
        </w:rPr>
        <w:t>本函及本报告的专业意见受本报告载明的估价目的、估价对象状况、价值时点、价值类型、假设与限制条件的制约。</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7.</w:t>
      </w:r>
      <w:r>
        <w:rPr>
          <w:rFonts w:hint="eastAsia" w:ascii="仿宋" w:hAnsi="仿宋" w:eastAsia="仿宋" w:cs="仿宋"/>
          <w:color w:val="auto"/>
          <w:spacing w:val="28"/>
          <w:sz w:val="28"/>
          <w:szCs w:val="28"/>
          <w:lang w:val="en-US" w:eastAsia="zh-CN"/>
        </w:rPr>
        <w:t>3</w:t>
      </w:r>
      <w:r>
        <w:rPr>
          <w:rFonts w:hint="eastAsia" w:ascii="仿宋" w:hAnsi="仿宋" w:eastAsia="仿宋" w:cs="仿宋"/>
          <w:color w:val="auto"/>
          <w:sz w:val="28"/>
          <w:szCs w:val="28"/>
          <w:lang w:val="en-US" w:eastAsia="zh-CN"/>
        </w:rPr>
        <w:t>本估价报告应用有效期自报告出具之日起壹年内有效。</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7.4本估价报告房地产价值已包含室内装饰装修价值，室内</w:t>
      </w:r>
      <w:r>
        <w:rPr>
          <w:rFonts w:hint="eastAsia" w:ascii="仿宋" w:hAnsi="仿宋" w:eastAsia="仿宋" w:cs="仿宋"/>
          <w:color w:val="060FCC"/>
          <w:sz w:val="28"/>
          <w:szCs w:val="28"/>
          <w:highlight w:val="none"/>
          <w:lang w:val="en-US" w:eastAsia="zh-CN"/>
        </w:rPr>
        <w:t>可移动物品</w:t>
      </w:r>
      <w:r>
        <w:rPr>
          <w:rFonts w:hint="eastAsia" w:ascii="仿宋" w:hAnsi="仿宋" w:eastAsia="仿宋" w:cs="仿宋"/>
          <w:color w:val="auto"/>
          <w:sz w:val="28"/>
          <w:szCs w:val="28"/>
          <w:highlight w:val="none"/>
          <w:lang w:val="en-US" w:eastAsia="zh-CN"/>
        </w:rPr>
        <w:t>以现场确认记录为准，结合成新进行评估测算。</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7.5自价值时点后，估价报告有效期内，如估价对象上述状况发生变化或类似房地产的市场状况发生较大幅度变化，不能直接使用本报告专业意见，应提请估价机构对本报告做相应调整或重新出具报告。</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textAlignment w:val="auto"/>
        <w:rPr>
          <w:rFonts w:hint="eastAsia" w:ascii="仿宋" w:hAnsi="仿宋" w:eastAsia="仿宋" w:cs="仿宋"/>
          <w:color w:val="auto"/>
          <w:sz w:val="28"/>
          <w:szCs w:val="28"/>
          <w:lang w:val="en-US" w:eastAsia="zh-CN"/>
        </w:rPr>
      </w:pPr>
    </w:p>
    <w:p>
      <w:pPr>
        <w:pStyle w:val="9"/>
        <w:keepNext w:val="0"/>
        <w:keepLines w:val="0"/>
        <w:pageBreakBefore w:val="0"/>
        <w:widowControl w:val="0"/>
        <w:kinsoku/>
        <w:wordWrap/>
        <w:overflowPunct/>
        <w:topLinePunct w:val="0"/>
        <w:autoSpaceDE/>
        <w:autoSpaceDN/>
        <w:bidi w:val="0"/>
        <w:adjustRightInd/>
        <w:snapToGrid w:val="0"/>
        <w:spacing w:line="500" w:lineRule="exact"/>
        <w:ind w:right="0" w:rightChars="0" w:firstLine="3640" w:firstLineChars="1300"/>
        <w:jc w:val="both"/>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lang w:eastAsia="zh-CN"/>
        </w:rPr>
        <w:t>江苏安达</w:t>
      </w:r>
      <w:r>
        <w:rPr>
          <w:rFonts w:hint="eastAsia" w:ascii="仿宋" w:hAnsi="仿宋" w:eastAsia="仿宋" w:cs="仿宋"/>
          <w:color w:val="auto"/>
          <w:sz w:val="28"/>
          <w:szCs w:val="28"/>
        </w:rPr>
        <w:t>土地房地产评估测绘有限公司</w:t>
      </w:r>
    </w:p>
    <w:p>
      <w:pPr>
        <w:pStyle w:val="9"/>
        <w:keepNext w:val="0"/>
        <w:keepLines w:val="0"/>
        <w:pageBreakBefore w:val="0"/>
        <w:widowControl w:val="0"/>
        <w:kinsoku/>
        <w:wordWrap/>
        <w:overflowPunct/>
        <w:topLinePunct w:val="0"/>
        <w:autoSpaceDE/>
        <w:autoSpaceDN/>
        <w:bidi w:val="0"/>
        <w:adjustRightInd/>
        <w:snapToGrid w:val="0"/>
        <w:spacing w:line="500" w:lineRule="exact"/>
        <w:ind w:right="0" w:rightChars="0" w:firstLine="3920" w:firstLineChars="1400"/>
        <w:jc w:val="both"/>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法定代表人</w:t>
      </w:r>
      <w:r>
        <w:rPr>
          <w:rFonts w:hint="eastAsia" w:ascii="仿宋" w:hAnsi="仿宋" w:eastAsia="仿宋" w:cs="仿宋"/>
          <w:color w:val="auto"/>
          <w:sz w:val="28"/>
          <w:szCs w:val="28"/>
          <w:lang w:eastAsia="zh-CN"/>
        </w:rPr>
        <w:t>（签字或盖章）</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right="-224" w:rightChars="-70"/>
        <w:jc w:val="center"/>
        <w:textAlignment w:val="auto"/>
        <w:rPr>
          <w:rFonts w:hint="eastAsia" w:ascii="黑体" w:hAnsi="宋体" w:eastAsia="黑体" w:cs="Times New Roman"/>
          <w:b/>
          <w:color w:val="auto"/>
          <w:spacing w:val="5"/>
          <w:sz w:val="32"/>
          <w:szCs w:val="32"/>
        </w:rPr>
      </w:pPr>
      <w:r>
        <w:rPr>
          <w:rFonts w:hint="eastAsia" w:ascii="仿宋" w:hAnsi="仿宋" w:eastAsia="仿宋" w:cs="仿宋"/>
          <w:color w:val="auto"/>
          <w:sz w:val="28"/>
          <w:szCs w:val="28"/>
          <w:lang w:val="en-US" w:eastAsia="zh-CN"/>
        </w:rPr>
        <w:t xml:space="preserve">               </w:t>
      </w:r>
      <w:r>
        <w:rPr>
          <w:rFonts w:hint="eastAsia" w:ascii="仿宋" w:hAnsi="仿宋" w:eastAsia="仿宋" w:cs="仿宋"/>
          <w:color w:val="0000C7"/>
          <w:sz w:val="28"/>
          <w:szCs w:val="28"/>
          <w:highlight w:val="none"/>
          <w:lang w:eastAsia="zh-CN"/>
        </w:rPr>
        <w:t>2022年07月09日</w:t>
      </w:r>
      <w:r>
        <w:rPr>
          <w:rFonts w:hint="eastAsia" w:ascii="仿宋" w:hAnsi="仿宋" w:eastAsia="仿宋" w:cs="仿宋"/>
          <w:b/>
          <w:color w:val="auto"/>
          <w:spacing w:val="5"/>
          <w:sz w:val="28"/>
          <w:szCs w:val="28"/>
        </w:rPr>
        <w:br w:type="page"/>
      </w:r>
      <w:r>
        <w:rPr>
          <w:rFonts w:hint="eastAsia" w:ascii="黑体" w:hAnsi="宋体" w:eastAsia="黑体" w:cs="Times New Roman"/>
          <w:b/>
          <w:color w:val="auto"/>
          <w:spacing w:val="5"/>
          <w:sz w:val="32"/>
          <w:szCs w:val="32"/>
        </w:rPr>
        <w:t>目　     　录</w:t>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00" w:lineRule="exact"/>
        <w:ind w:left="638" w:leftChars="0" w:hanging="638" w:hangingChars="228"/>
        <w:textAlignment w:val="auto"/>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TOC \o "1-1" \h \u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HYPERLINK \l _Toc1621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en-US" w:eastAsia="zh-CN" w:bidi="ar-SA"/>
        </w:rPr>
        <w:t>估价师声明</w:t>
      </w:r>
      <w:r>
        <w:rPr>
          <w:rFonts w:hint="eastAsia" w:ascii="仿宋" w:hAnsi="仿宋" w:eastAsia="仿宋" w:cs="仿宋"/>
          <w:color w:val="auto"/>
          <w:kern w:val="2"/>
          <w:sz w:val="28"/>
          <w:szCs w:val="28"/>
          <w:lang w:val="zh-CN" w:eastAsia="zh-CN" w:bidi="ar-SA"/>
        </w:rPr>
        <w:tab/>
      </w: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PAGEREF _Toc1621 \h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zh-CN" w:eastAsia="zh-CN" w:bidi="ar-SA"/>
        </w:rPr>
        <w:t>6</w:t>
      </w:r>
      <w:r>
        <w:rPr>
          <w:rFonts w:hint="eastAsia" w:ascii="仿宋" w:hAnsi="仿宋" w:eastAsia="仿宋" w:cs="仿宋"/>
          <w:color w:val="auto"/>
          <w:kern w:val="2"/>
          <w:sz w:val="28"/>
          <w:szCs w:val="28"/>
          <w:lang w:val="zh-CN" w:eastAsia="zh-CN" w:bidi="ar-SA"/>
        </w:rPr>
        <w:fldChar w:fldCharType="end"/>
      </w:r>
      <w:r>
        <w:rPr>
          <w:rFonts w:hint="eastAsia" w:ascii="仿宋" w:hAnsi="仿宋" w:eastAsia="仿宋" w:cs="仿宋"/>
          <w:color w:val="auto"/>
          <w:kern w:val="2"/>
          <w:sz w:val="28"/>
          <w:szCs w:val="28"/>
          <w:lang w:val="zh-CN" w:eastAsia="zh-CN" w:bidi="ar-SA"/>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00" w:lineRule="exact"/>
        <w:ind w:left="638" w:leftChars="0" w:hanging="638" w:hangingChars="228"/>
        <w:textAlignment w:val="auto"/>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HYPERLINK \l _Toc3198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zh-CN" w:eastAsia="zh-CN" w:bidi="ar-SA"/>
        </w:rPr>
        <w:t>估价假设和限制条件</w:t>
      </w:r>
      <w:r>
        <w:rPr>
          <w:rFonts w:hint="eastAsia" w:ascii="仿宋" w:hAnsi="仿宋" w:eastAsia="仿宋" w:cs="仿宋"/>
          <w:color w:val="auto"/>
          <w:kern w:val="2"/>
          <w:sz w:val="28"/>
          <w:szCs w:val="28"/>
          <w:lang w:val="zh-CN" w:eastAsia="zh-CN" w:bidi="ar-SA"/>
        </w:rPr>
        <w:tab/>
      </w: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PAGEREF _Toc3198 \h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zh-CN" w:eastAsia="zh-CN" w:bidi="ar-SA"/>
        </w:rPr>
        <w:t>7</w:t>
      </w:r>
      <w:r>
        <w:rPr>
          <w:rFonts w:hint="eastAsia" w:ascii="仿宋" w:hAnsi="仿宋" w:eastAsia="仿宋" w:cs="仿宋"/>
          <w:color w:val="auto"/>
          <w:kern w:val="2"/>
          <w:sz w:val="28"/>
          <w:szCs w:val="28"/>
          <w:lang w:val="zh-CN" w:eastAsia="zh-CN" w:bidi="ar-SA"/>
        </w:rPr>
        <w:fldChar w:fldCharType="end"/>
      </w:r>
      <w:r>
        <w:rPr>
          <w:rFonts w:hint="eastAsia" w:ascii="仿宋" w:hAnsi="仿宋" w:eastAsia="仿宋" w:cs="仿宋"/>
          <w:color w:val="auto"/>
          <w:kern w:val="2"/>
          <w:sz w:val="28"/>
          <w:szCs w:val="28"/>
          <w:lang w:val="zh-CN" w:eastAsia="zh-CN" w:bidi="ar-SA"/>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00" w:lineRule="exact"/>
        <w:ind w:left="638" w:leftChars="0" w:hanging="638" w:hangingChars="228"/>
        <w:textAlignment w:val="auto"/>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HYPERLINK \l _Toc5979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zh-CN" w:eastAsia="zh-CN" w:bidi="ar-SA"/>
        </w:rPr>
        <w:t>房地产估价结果报告</w:t>
      </w:r>
      <w:r>
        <w:rPr>
          <w:rFonts w:hint="eastAsia" w:ascii="仿宋" w:hAnsi="仿宋" w:eastAsia="仿宋" w:cs="仿宋"/>
          <w:color w:val="auto"/>
          <w:kern w:val="2"/>
          <w:sz w:val="28"/>
          <w:szCs w:val="28"/>
          <w:lang w:val="zh-CN" w:eastAsia="zh-CN" w:bidi="ar-SA"/>
        </w:rPr>
        <w:tab/>
      </w: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PAGEREF _Toc5979 \h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zh-CN" w:eastAsia="zh-CN" w:bidi="ar-SA"/>
        </w:rPr>
        <w:t>12</w:t>
      </w:r>
      <w:r>
        <w:rPr>
          <w:rFonts w:hint="eastAsia" w:ascii="仿宋" w:hAnsi="仿宋" w:eastAsia="仿宋" w:cs="仿宋"/>
          <w:color w:val="auto"/>
          <w:kern w:val="2"/>
          <w:sz w:val="28"/>
          <w:szCs w:val="28"/>
          <w:lang w:val="zh-CN" w:eastAsia="zh-CN" w:bidi="ar-SA"/>
        </w:rPr>
        <w:fldChar w:fldCharType="end"/>
      </w:r>
      <w:r>
        <w:rPr>
          <w:rFonts w:hint="eastAsia" w:ascii="仿宋" w:hAnsi="仿宋" w:eastAsia="仿宋" w:cs="仿宋"/>
          <w:color w:val="auto"/>
          <w:kern w:val="2"/>
          <w:sz w:val="28"/>
          <w:szCs w:val="28"/>
          <w:lang w:val="zh-CN" w:eastAsia="zh-CN" w:bidi="ar-SA"/>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HYPERLINK \l _Toc23001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zh-CN" w:eastAsia="zh-CN" w:bidi="ar-SA"/>
        </w:rPr>
        <w:t>一、估价委托人</w:t>
      </w:r>
      <w:r>
        <w:rPr>
          <w:rFonts w:hint="eastAsia" w:ascii="仿宋" w:hAnsi="仿宋" w:eastAsia="仿宋" w:cs="仿宋"/>
          <w:color w:val="auto"/>
          <w:kern w:val="2"/>
          <w:sz w:val="28"/>
          <w:szCs w:val="28"/>
          <w:lang w:val="zh-CN" w:eastAsia="zh-CN" w:bidi="ar-SA"/>
        </w:rPr>
        <w:tab/>
      </w: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PAGEREF _Toc23001 \h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zh-CN" w:eastAsia="zh-CN" w:bidi="ar-SA"/>
        </w:rPr>
        <w:t>12</w:t>
      </w:r>
      <w:r>
        <w:rPr>
          <w:rFonts w:hint="eastAsia" w:ascii="仿宋" w:hAnsi="仿宋" w:eastAsia="仿宋" w:cs="仿宋"/>
          <w:color w:val="auto"/>
          <w:kern w:val="2"/>
          <w:sz w:val="28"/>
          <w:szCs w:val="28"/>
          <w:lang w:val="zh-CN" w:eastAsia="zh-CN" w:bidi="ar-SA"/>
        </w:rPr>
        <w:fldChar w:fldCharType="end"/>
      </w:r>
      <w:r>
        <w:rPr>
          <w:rFonts w:hint="eastAsia" w:ascii="仿宋" w:hAnsi="仿宋" w:eastAsia="仿宋" w:cs="仿宋"/>
          <w:color w:val="auto"/>
          <w:kern w:val="2"/>
          <w:sz w:val="28"/>
          <w:szCs w:val="28"/>
          <w:lang w:val="zh-CN" w:eastAsia="zh-CN" w:bidi="ar-SA"/>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HYPERLINK \l _Toc16190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zh-CN" w:eastAsia="zh-CN" w:bidi="ar-SA"/>
        </w:rPr>
        <w:t>二、房地产估价机构</w:t>
      </w:r>
      <w:r>
        <w:rPr>
          <w:rFonts w:hint="eastAsia" w:ascii="仿宋" w:hAnsi="仿宋" w:eastAsia="仿宋" w:cs="仿宋"/>
          <w:color w:val="auto"/>
          <w:kern w:val="2"/>
          <w:sz w:val="28"/>
          <w:szCs w:val="28"/>
          <w:lang w:val="zh-CN" w:eastAsia="zh-CN" w:bidi="ar-SA"/>
        </w:rPr>
        <w:tab/>
      </w: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PAGEREF _Toc16190 \h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zh-CN" w:eastAsia="zh-CN" w:bidi="ar-SA"/>
        </w:rPr>
        <w:t>12</w:t>
      </w:r>
      <w:r>
        <w:rPr>
          <w:rFonts w:hint="eastAsia" w:ascii="仿宋" w:hAnsi="仿宋" w:eastAsia="仿宋" w:cs="仿宋"/>
          <w:color w:val="auto"/>
          <w:kern w:val="2"/>
          <w:sz w:val="28"/>
          <w:szCs w:val="28"/>
          <w:lang w:val="zh-CN" w:eastAsia="zh-CN" w:bidi="ar-SA"/>
        </w:rPr>
        <w:fldChar w:fldCharType="end"/>
      </w:r>
      <w:r>
        <w:rPr>
          <w:rFonts w:hint="eastAsia" w:ascii="仿宋" w:hAnsi="仿宋" w:eastAsia="仿宋" w:cs="仿宋"/>
          <w:color w:val="auto"/>
          <w:kern w:val="2"/>
          <w:sz w:val="28"/>
          <w:szCs w:val="28"/>
          <w:lang w:val="zh-CN" w:eastAsia="zh-CN" w:bidi="ar-SA"/>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HYPERLINK \l _Toc15522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zh-CN" w:eastAsia="zh-CN" w:bidi="ar-SA"/>
        </w:rPr>
        <w:t>三、估价目的</w:t>
      </w:r>
      <w:r>
        <w:rPr>
          <w:rFonts w:hint="eastAsia" w:ascii="仿宋" w:hAnsi="仿宋" w:eastAsia="仿宋" w:cs="仿宋"/>
          <w:color w:val="auto"/>
          <w:kern w:val="2"/>
          <w:sz w:val="28"/>
          <w:szCs w:val="28"/>
          <w:lang w:val="zh-CN" w:eastAsia="zh-CN" w:bidi="ar-SA"/>
        </w:rPr>
        <w:tab/>
      </w: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PAGEREF _Toc15522 \h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zh-CN" w:eastAsia="zh-CN" w:bidi="ar-SA"/>
        </w:rPr>
        <w:t>12</w:t>
      </w:r>
      <w:r>
        <w:rPr>
          <w:rFonts w:hint="eastAsia" w:ascii="仿宋" w:hAnsi="仿宋" w:eastAsia="仿宋" w:cs="仿宋"/>
          <w:color w:val="auto"/>
          <w:kern w:val="2"/>
          <w:sz w:val="28"/>
          <w:szCs w:val="28"/>
          <w:lang w:val="zh-CN" w:eastAsia="zh-CN" w:bidi="ar-SA"/>
        </w:rPr>
        <w:fldChar w:fldCharType="end"/>
      </w:r>
      <w:r>
        <w:rPr>
          <w:rFonts w:hint="eastAsia" w:ascii="仿宋" w:hAnsi="仿宋" w:eastAsia="仿宋" w:cs="仿宋"/>
          <w:color w:val="auto"/>
          <w:kern w:val="2"/>
          <w:sz w:val="28"/>
          <w:szCs w:val="28"/>
          <w:lang w:val="zh-CN" w:eastAsia="zh-CN" w:bidi="ar-SA"/>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HYPERLINK \l _Toc24367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zh-CN" w:eastAsia="zh-CN" w:bidi="ar-SA"/>
        </w:rPr>
        <w:t>四、估价对象</w:t>
      </w:r>
      <w:r>
        <w:rPr>
          <w:rFonts w:hint="eastAsia" w:ascii="仿宋" w:hAnsi="仿宋" w:eastAsia="仿宋" w:cs="仿宋"/>
          <w:color w:val="auto"/>
          <w:kern w:val="2"/>
          <w:sz w:val="28"/>
          <w:szCs w:val="28"/>
          <w:lang w:val="zh-CN" w:eastAsia="zh-CN" w:bidi="ar-SA"/>
        </w:rPr>
        <w:tab/>
      </w: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PAGEREF _Toc24367 \h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zh-CN" w:eastAsia="zh-CN" w:bidi="ar-SA"/>
        </w:rPr>
        <w:t>12</w:t>
      </w:r>
      <w:r>
        <w:rPr>
          <w:rFonts w:hint="eastAsia" w:ascii="仿宋" w:hAnsi="仿宋" w:eastAsia="仿宋" w:cs="仿宋"/>
          <w:color w:val="auto"/>
          <w:kern w:val="2"/>
          <w:sz w:val="28"/>
          <w:szCs w:val="28"/>
          <w:lang w:val="zh-CN" w:eastAsia="zh-CN" w:bidi="ar-SA"/>
        </w:rPr>
        <w:fldChar w:fldCharType="end"/>
      </w:r>
      <w:r>
        <w:rPr>
          <w:rFonts w:hint="eastAsia" w:ascii="仿宋" w:hAnsi="仿宋" w:eastAsia="仿宋" w:cs="仿宋"/>
          <w:color w:val="auto"/>
          <w:kern w:val="2"/>
          <w:sz w:val="28"/>
          <w:szCs w:val="28"/>
          <w:lang w:val="zh-CN" w:eastAsia="zh-CN" w:bidi="ar-SA"/>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HYPERLINK \l _Toc32011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en-US" w:eastAsia="zh-CN" w:bidi="ar-SA"/>
        </w:rPr>
        <w:t>五、价值时点</w:t>
      </w:r>
      <w:r>
        <w:rPr>
          <w:rFonts w:hint="eastAsia" w:ascii="仿宋" w:hAnsi="仿宋" w:eastAsia="仿宋" w:cs="仿宋"/>
          <w:color w:val="auto"/>
          <w:kern w:val="2"/>
          <w:sz w:val="28"/>
          <w:szCs w:val="28"/>
          <w:lang w:val="zh-CN" w:eastAsia="zh-CN" w:bidi="ar-SA"/>
        </w:rPr>
        <w:tab/>
      </w: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PAGEREF _Toc32011 \h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zh-CN" w:eastAsia="zh-CN" w:bidi="ar-SA"/>
        </w:rPr>
        <w:t>18</w:t>
      </w:r>
      <w:r>
        <w:rPr>
          <w:rFonts w:hint="eastAsia" w:ascii="仿宋" w:hAnsi="仿宋" w:eastAsia="仿宋" w:cs="仿宋"/>
          <w:color w:val="auto"/>
          <w:kern w:val="2"/>
          <w:sz w:val="28"/>
          <w:szCs w:val="28"/>
          <w:lang w:val="zh-CN" w:eastAsia="zh-CN" w:bidi="ar-SA"/>
        </w:rPr>
        <w:fldChar w:fldCharType="end"/>
      </w:r>
      <w:r>
        <w:rPr>
          <w:rFonts w:hint="eastAsia" w:ascii="仿宋" w:hAnsi="仿宋" w:eastAsia="仿宋" w:cs="仿宋"/>
          <w:color w:val="auto"/>
          <w:kern w:val="2"/>
          <w:sz w:val="28"/>
          <w:szCs w:val="28"/>
          <w:lang w:val="zh-CN" w:eastAsia="zh-CN" w:bidi="ar-SA"/>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HYPERLINK \l _Toc20959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en-US" w:eastAsia="zh-CN" w:bidi="ar-SA"/>
        </w:rPr>
        <w:t>六、价值类型</w:t>
      </w:r>
      <w:r>
        <w:rPr>
          <w:rFonts w:hint="eastAsia" w:ascii="仿宋" w:hAnsi="仿宋" w:eastAsia="仿宋" w:cs="仿宋"/>
          <w:color w:val="auto"/>
          <w:kern w:val="2"/>
          <w:sz w:val="28"/>
          <w:szCs w:val="28"/>
          <w:lang w:val="zh-CN" w:eastAsia="zh-CN" w:bidi="ar-SA"/>
        </w:rPr>
        <w:tab/>
      </w: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PAGEREF _Toc20959 \h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zh-CN" w:eastAsia="zh-CN" w:bidi="ar-SA"/>
        </w:rPr>
        <w:t>18</w:t>
      </w:r>
      <w:r>
        <w:rPr>
          <w:rFonts w:hint="eastAsia" w:ascii="仿宋" w:hAnsi="仿宋" w:eastAsia="仿宋" w:cs="仿宋"/>
          <w:color w:val="auto"/>
          <w:kern w:val="2"/>
          <w:sz w:val="28"/>
          <w:szCs w:val="28"/>
          <w:lang w:val="zh-CN" w:eastAsia="zh-CN" w:bidi="ar-SA"/>
        </w:rPr>
        <w:fldChar w:fldCharType="end"/>
      </w:r>
      <w:r>
        <w:rPr>
          <w:rFonts w:hint="eastAsia" w:ascii="仿宋" w:hAnsi="仿宋" w:eastAsia="仿宋" w:cs="仿宋"/>
          <w:color w:val="auto"/>
          <w:kern w:val="2"/>
          <w:sz w:val="28"/>
          <w:szCs w:val="28"/>
          <w:lang w:val="zh-CN" w:eastAsia="zh-CN" w:bidi="ar-SA"/>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HYPERLINK \l _Toc19292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en-US" w:eastAsia="zh-CN" w:bidi="ar-SA"/>
        </w:rPr>
        <w:t>七、估价原则</w:t>
      </w:r>
      <w:r>
        <w:rPr>
          <w:rFonts w:hint="eastAsia" w:ascii="仿宋" w:hAnsi="仿宋" w:eastAsia="仿宋" w:cs="仿宋"/>
          <w:color w:val="auto"/>
          <w:kern w:val="2"/>
          <w:sz w:val="28"/>
          <w:szCs w:val="28"/>
          <w:lang w:val="zh-CN" w:eastAsia="zh-CN" w:bidi="ar-SA"/>
        </w:rPr>
        <w:tab/>
      </w: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PAGEREF _Toc19292 \h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zh-CN" w:eastAsia="zh-CN" w:bidi="ar-SA"/>
        </w:rPr>
        <w:t>18</w:t>
      </w:r>
      <w:r>
        <w:rPr>
          <w:rFonts w:hint="eastAsia" w:ascii="仿宋" w:hAnsi="仿宋" w:eastAsia="仿宋" w:cs="仿宋"/>
          <w:color w:val="auto"/>
          <w:kern w:val="2"/>
          <w:sz w:val="28"/>
          <w:szCs w:val="28"/>
          <w:lang w:val="zh-CN" w:eastAsia="zh-CN" w:bidi="ar-SA"/>
        </w:rPr>
        <w:fldChar w:fldCharType="end"/>
      </w:r>
      <w:r>
        <w:rPr>
          <w:rFonts w:hint="eastAsia" w:ascii="仿宋" w:hAnsi="仿宋" w:eastAsia="仿宋" w:cs="仿宋"/>
          <w:color w:val="auto"/>
          <w:kern w:val="2"/>
          <w:sz w:val="28"/>
          <w:szCs w:val="28"/>
          <w:lang w:val="zh-CN" w:eastAsia="zh-CN" w:bidi="ar-SA"/>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HYPERLINK \l _Toc11621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en-US" w:eastAsia="zh-CN" w:bidi="ar-SA"/>
        </w:rPr>
        <w:t>八、估价依据</w:t>
      </w:r>
      <w:r>
        <w:rPr>
          <w:rFonts w:hint="eastAsia" w:ascii="仿宋" w:hAnsi="仿宋" w:eastAsia="仿宋" w:cs="仿宋"/>
          <w:color w:val="auto"/>
          <w:kern w:val="2"/>
          <w:sz w:val="28"/>
          <w:szCs w:val="28"/>
          <w:lang w:val="zh-CN" w:eastAsia="zh-CN" w:bidi="ar-SA"/>
        </w:rPr>
        <w:tab/>
      </w: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PAGEREF _Toc11621 \h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zh-CN" w:eastAsia="zh-CN" w:bidi="ar-SA"/>
        </w:rPr>
        <w:t>19</w:t>
      </w:r>
      <w:r>
        <w:rPr>
          <w:rFonts w:hint="eastAsia" w:ascii="仿宋" w:hAnsi="仿宋" w:eastAsia="仿宋" w:cs="仿宋"/>
          <w:color w:val="auto"/>
          <w:kern w:val="2"/>
          <w:sz w:val="28"/>
          <w:szCs w:val="28"/>
          <w:lang w:val="zh-CN" w:eastAsia="zh-CN" w:bidi="ar-SA"/>
        </w:rPr>
        <w:fldChar w:fldCharType="end"/>
      </w:r>
      <w:r>
        <w:rPr>
          <w:rFonts w:hint="eastAsia" w:ascii="仿宋" w:hAnsi="仿宋" w:eastAsia="仿宋" w:cs="仿宋"/>
          <w:color w:val="auto"/>
          <w:kern w:val="2"/>
          <w:sz w:val="28"/>
          <w:szCs w:val="28"/>
          <w:lang w:val="zh-CN" w:eastAsia="zh-CN" w:bidi="ar-SA"/>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HYPERLINK \l _Toc14460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en-US" w:eastAsia="zh-CN" w:bidi="ar-SA"/>
        </w:rPr>
        <w:t>九、估价方法</w:t>
      </w:r>
      <w:r>
        <w:rPr>
          <w:rFonts w:hint="eastAsia" w:ascii="仿宋" w:hAnsi="仿宋" w:eastAsia="仿宋" w:cs="仿宋"/>
          <w:color w:val="auto"/>
          <w:kern w:val="2"/>
          <w:sz w:val="28"/>
          <w:szCs w:val="28"/>
          <w:lang w:val="zh-CN" w:eastAsia="zh-CN" w:bidi="ar-SA"/>
        </w:rPr>
        <w:tab/>
      </w: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PAGEREF _Toc14460 \h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zh-CN" w:eastAsia="zh-CN" w:bidi="ar-SA"/>
        </w:rPr>
        <w:t>21</w:t>
      </w:r>
      <w:r>
        <w:rPr>
          <w:rFonts w:hint="eastAsia" w:ascii="仿宋" w:hAnsi="仿宋" w:eastAsia="仿宋" w:cs="仿宋"/>
          <w:color w:val="auto"/>
          <w:kern w:val="2"/>
          <w:sz w:val="28"/>
          <w:szCs w:val="28"/>
          <w:lang w:val="zh-CN" w:eastAsia="zh-CN" w:bidi="ar-SA"/>
        </w:rPr>
        <w:fldChar w:fldCharType="end"/>
      </w:r>
      <w:r>
        <w:rPr>
          <w:rFonts w:hint="eastAsia" w:ascii="仿宋" w:hAnsi="仿宋" w:eastAsia="仿宋" w:cs="仿宋"/>
          <w:color w:val="auto"/>
          <w:kern w:val="2"/>
          <w:sz w:val="28"/>
          <w:szCs w:val="28"/>
          <w:lang w:val="zh-CN" w:eastAsia="zh-CN" w:bidi="ar-SA"/>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HYPERLINK \l _Toc28049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en-US" w:eastAsia="zh-CN" w:bidi="ar-SA"/>
        </w:rPr>
        <w:t>十、估价结果</w:t>
      </w:r>
      <w:r>
        <w:rPr>
          <w:rFonts w:hint="eastAsia" w:ascii="仿宋" w:hAnsi="仿宋" w:eastAsia="仿宋" w:cs="仿宋"/>
          <w:color w:val="auto"/>
          <w:kern w:val="2"/>
          <w:sz w:val="28"/>
          <w:szCs w:val="28"/>
          <w:lang w:val="zh-CN" w:eastAsia="zh-CN" w:bidi="ar-SA"/>
        </w:rPr>
        <w:tab/>
      </w: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PAGEREF _Toc28049 \h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zh-CN" w:eastAsia="zh-CN" w:bidi="ar-SA"/>
        </w:rPr>
        <w:t>23</w:t>
      </w:r>
      <w:r>
        <w:rPr>
          <w:rFonts w:hint="eastAsia" w:ascii="仿宋" w:hAnsi="仿宋" w:eastAsia="仿宋" w:cs="仿宋"/>
          <w:color w:val="auto"/>
          <w:kern w:val="2"/>
          <w:sz w:val="28"/>
          <w:szCs w:val="28"/>
          <w:lang w:val="zh-CN" w:eastAsia="zh-CN" w:bidi="ar-SA"/>
        </w:rPr>
        <w:fldChar w:fldCharType="end"/>
      </w:r>
      <w:r>
        <w:rPr>
          <w:rFonts w:hint="eastAsia" w:ascii="仿宋" w:hAnsi="仿宋" w:eastAsia="仿宋" w:cs="仿宋"/>
          <w:color w:val="auto"/>
          <w:kern w:val="2"/>
          <w:sz w:val="28"/>
          <w:szCs w:val="28"/>
          <w:lang w:val="zh-CN" w:eastAsia="zh-CN" w:bidi="ar-SA"/>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HYPERLINK \l _Toc19827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en-US" w:eastAsia="zh-CN" w:bidi="ar-SA"/>
        </w:rPr>
        <w:t>十一、注册房地产估价师</w:t>
      </w:r>
      <w:r>
        <w:rPr>
          <w:rFonts w:hint="eastAsia" w:ascii="仿宋" w:hAnsi="仿宋" w:eastAsia="仿宋" w:cs="仿宋"/>
          <w:color w:val="auto"/>
          <w:kern w:val="2"/>
          <w:sz w:val="28"/>
          <w:szCs w:val="28"/>
          <w:lang w:val="zh-CN" w:eastAsia="zh-CN" w:bidi="ar-SA"/>
        </w:rPr>
        <w:tab/>
      </w: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PAGEREF _Toc19827 \h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zh-CN" w:eastAsia="zh-CN" w:bidi="ar-SA"/>
        </w:rPr>
        <w:t>25</w:t>
      </w:r>
      <w:r>
        <w:rPr>
          <w:rFonts w:hint="eastAsia" w:ascii="仿宋" w:hAnsi="仿宋" w:eastAsia="仿宋" w:cs="仿宋"/>
          <w:color w:val="auto"/>
          <w:kern w:val="2"/>
          <w:sz w:val="28"/>
          <w:szCs w:val="28"/>
          <w:lang w:val="zh-CN" w:eastAsia="zh-CN" w:bidi="ar-SA"/>
        </w:rPr>
        <w:fldChar w:fldCharType="end"/>
      </w:r>
      <w:r>
        <w:rPr>
          <w:rFonts w:hint="eastAsia" w:ascii="仿宋" w:hAnsi="仿宋" w:eastAsia="仿宋" w:cs="仿宋"/>
          <w:color w:val="auto"/>
          <w:kern w:val="2"/>
          <w:sz w:val="28"/>
          <w:szCs w:val="28"/>
          <w:lang w:val="zh-CN" w:eastAsia="zh-CN" w:bidi="ar-SA"/>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HYPERLINK \l _Toc27103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en-US" w:eastAsia="zh-CN" w:bidi="ar-SA"/>
        </w:rPr>
        <w:t>十二、实地查勘期</w:t>
      </w:r>
      <w:r>
        <w:rPr>
          <w:rFonts w:hint="eastAsia" w:ascii="仿宋" w:hAnsi="仿宋" w:eastAsia="仿宋" w:cs="仿宋"/>
          <w:color w:val="auto"/>
          <w:kern w:val="2"/>
          <w:sz w:val="28"/>
          <w:szCs w:val="28"/>
          <w:lang w:val="zh-CN" w:eastAsia="zh-CN" w:bidi="ar-SA"/>
        </w:rPr>
        <w:tab/>
      </w: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PAGEREF _Toc27103 \h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zh-CN" w:eastAsia="zh-CN" w:bidi="ar-SA"/>
        </w:rPr>
        <w:t>25</w:t>
      </w:r>
      <w:r>
        <w:rPr>
          <w:rFonts w:hint="eastAsia" w:ascii="仿宋" w:hAnsi="仿宋" w:eastAsia="仿宋" w:cs="仿宋"/>
          <w:color w:val="auto"/>
          <w:kern w:val="2"/>
          <w:sz w:val="28"/>
          <w:szCs w:val="28"/>
          <w:lang w:val="zh-CN" w:eastAsia="zh-CN" w:bidi="ar-SA"/>
        </w:rPr>
        <w:fldChar w:fldCharType="end"/>
      </w:r>
      <w:r>
        <w:rPr>
          <w:rFonts w:hint="eastAsia" w:ascii="仿宋" w:hAnsi="仿宋" w:eastAsia="仿宋" w:cs="仿宋"/>
          <w:color w:val="auto"/>
          <w:kern w:val="2"/>
          <w:sz w:val="28"/>
          <w:szCs w:val="28"/>
          <w:lang w:val="zh-CN" w:eastAsia="zh-CN" w:bidi="ar-SA"/>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HYPERLINK \l _Toc29718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en-US" w:eastAsia="zh-CN" w:bidi="ar-SA"/>
        </w:rPr>
        <w:t>十三、估价作业期</w:t>
      </w:r>
      <w:r>
        <w:rPr>
          <w:rFonts w:hint="eastAsia" w:ascii="仿宋" w:hAnsi="仿宋" w:eastAsia="仿宋" w:cs="仿宋"/>
          <w:color w:val="auto"/>
          <w:kern w:val="2"/>
          <w:sz w:val="28"/>
          <w:szCs w:val="28"/>
          <w:lang w:val="zh-CN" w:eastAsia="zh-CN" w:bidi="ar-SA"/>
        </w:rPr>
        <w:tab/>
      </w: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PAGEREF _Toc29718 \h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zh-CN" w:eastAsia="zh-CN" w:bidi="ar-SA"/>
        </w:rPr>
        <w:t>25</w:t>
      </w:r>
      <w:r>
        <w:rPr>
          <w:rFonts w:hint="eastAsia" w:ascii="仿宋" w:hAnsi="仿宋" w:eastAsia="仿宋" w:cs="仿宋"/>
          <w:color w:val="auto"/>
          <w:kern w:val="2"/>
          <w:sz w:val="28"/>
          <w:szCs w:val="28"/>
          <w:lang w:val="zh-CN" w:eastAsia="zh-CN" w:bidi="ar-SA"/>
        </w:rPr>
        <w:fldChar w:fldCharType="end"/>
      </w:r>
      <w:r>
        <w:rPr>
          <w:rFonts w:hint="eastAsia" w:ascii="仿宋" w:hAnsi="仿宋" w:eastAsia="仿宋" w:cs="仿宋"/>
          <w:color w:val="auto"/>
          <w:kern w:val="2"/>
          <w:sz w:val="28"/>
          <w:szCs w:val="28"/>
          <w:lang w:val="zh-CN" w:eastAsia="zh-CN" w:bidi="ar-SA"/>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00" w:lineRule="exact"/>
        <w:ind w:left="638" w:leftChars="0" w:hanging="638" w:hangingChars="228"/>
        <w:textAlignment w:val="auto"/>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HYPERLINK \l _Toc15339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en-US" w:eastAsia="zh-CN" w:bidi="ar-SA"/>
        </w:rPr>
        <w:t>附   件</w:t>
      </w:r>
      <w:r>
        <w:rPr>
          <w:rFonts w:hint="eastAsia" w:ascii="仿宋" w:hAnsi="仿宋" w:eastAsia="仿宋" w:cs="仿宋"/>
          <w:color w:val="auto"/>
          <w:kern w:val="2"/>
          <w:sz w:val="28"/>
          <w:szCs w:val="28"/>
          <w:lang w:val="zh-CN" w:eastAsia="zh-CN" w:bidi="ar-SA"/>
        </w:rPr>
        <w:tab/>
      </w:r>
      <w:r>
        <w:rPr>
          <w:rFonts w:hint="eastAsia" w:ascii="仿宋" w:hAnsi="仿宋" w:eastAsia="仿宋" w:cs="仿宋"/>
          <w:color w:val="auto"/>
          <w:kern w:val="2"/>
          <w:sz w:val="28"/>
          <w:szCs w:val="28"/>
          <w:lang w:val="zh-CN" w:eastAsia="zh-CN" w:bidi="ar-SA"/>
        </w:rPr>
        <w:fldChar w:fldCharType="begin"/>
      </w:r>
      <w:r>
        <w:rPr>
          <w:rFonts w:hint="eastAsia" w:ascii="仿宋" w:hAnsi="仿宋" w:eastAsia="仿宋" w:cs="仿宋"/>
          <w:color w:val="auto"/>
          <w:kern w:val="2"/>
          <w:sz w:val="28"/>
          <w:szCs w:val="28"/>
          <w:lang w:val="zh-CN" w:eastAsia="zh-CN" w:bidi="ar-SA"/>
        </w:rPr>
        <w:instrText xml:space="preserve"> PAGEREF _Toc15339 \h </w:instrText>
      </w:r>
      <w:r>
        <w:rPr>
          <w:rFonts w:hint="eastAsia" w:ascii="仿宋" w:hAnsi="仿宋" w:eastAsia="仿宋" w:cs="仿宋"/>
          <w:color w:val="auto"/>
          <w:kern w:val="2"/>
          <w:sz w:val="28"/>
          <w:szCs w:val="28"/>
          <w:lang w:val="zh-CN" w:eastAsia="zh-CN" w:bidi="ar-SA"/>
        </w:rPr>
        <w:fldChar w:fldCharType="separate"/>
      </w:r>
      <w:r>
        <w:rPr>
          <w:rFonts w:hint="eastAsia" w:ascii="仿宋" w:hAnsi="仿宋" w:eastAsia="仿宋" w:cs="仿宋"/>
          <w:color w:val="auto"/>
          <w:kern w:val="2"/>
          <w:sz w:val="28"/>
          <w:szCs w:val="28"/>
          <w:lang w:val="zh-CN" w:eastAsia="zh-CN" w:bidi="ar-SA"/>
        </w:rPr>
        <w:t>26</w:t>
      </w:r>
      <w:r>
        <w:rPr>
          <w:rFonts w:hint="eastAsia" w:ascii="仿宋" w:hAnsi="仿宋" w:eastAsia="仿宋" w:cs="仿宋"/>
          <w:color w:val="auto"/>
          <w:kern w:val="2"/>
          <w:sz w:val="28"/>
          <w:szCs w:val="28"/>
          <w:lang w:val="zh-CN" w:eastAsia="zh-CN" w:bidi="ar-SA"/>
        </w:rPr>
        <w:fldChar w:fldCharType="end"/>
      </w:r>
      <w:r>
        <w:rPr>
          <w:rFonts w:hint="eastAsia" w:ascii="仿宋" w:hAnsi="仿宋" w:eastAsia="仿宋" w:cs="仿宋"/>
          <w:color w:val="auto"/>
          <w:kern w:val="2"/>
          <w:sz w:val="28"/>
          <w:szCs w:val="28"/>
          <w:lang w:val="zh-CN" w:eastAsia="zh-CN" w:bidi="ar-SA"/>
        </w:rPr>
        <w:fldChar w:fldCharType="end"/>
      </w:r>
    </w:p>
    <w:p>
      <w:pPr>
        <w:pStyle w:val="18"/>
        <w:keepNext w:val="0"/>
        <w:keepLines w:val="0"/>
        <w:pageBreakBefore w:val="0"/>
        <w:widowControl w:val="0"/>
        <w:numPr>
          <w:ilvl w:val="0"/>
          <w:numId w:val="2"/>
        </w:numPr>
        <w:tabs>
          <w:tab w:val="right" w:leader="dot" w:pos="8640"/>
        </w:tabs>
        <w:kinsoku/>
        <w:wordWrap/>
        <w:overflowPunct/>
        <w:topLinePunct w:val="0"/>
        <w:autoSpaceDE/>
        <w:autoSpaceDN/>
        <w:bidi w:val="0"/>
        <w:adjustRightInd/>
        <w:snapToGrid/>
        <w:spacing w:line="500" w:lineRule="exact"/>
        <w:ind w:left="0" w:leftChars="0" w:firstLine="420" w:firstLineChars="0"/>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zh-CN" w:eastAsia="zh-CN" w:bidi="ar-SA"/>
        </w:rPr>
        <w:fldChar w:fldCharType="end"/>
      </w:r>
      <w:r>
        <w:rPr>
          <w:rFonts w:hint="eastAsia" w:ascii="仿宋" w:hAnsi="仿宋" w:eastAsia="仿宋" w:cs="仿宋"/>
          <w:color w:val="auto"/>
          <w:kern w:val="2"/>
          <w:sz w:val="28"/>
          <w:szCs w:val="28"/>
          <w:lang w:val="en-US" w:eastAsia="zh-CN" w:bidi="ar-SA"/>
        </w:rPr>
        <w:t>估价对象实地查勘照片</w:t>
      </w:r>
    </w:p>
    <w:p>
      <w:pPr>
        <w:pStyle w:val="9"/>
        <w:keepNext w:val="0"/>
        <w:keepLines w:val="0"/>
        <w:pageBreakBefore w:val="0"/>
        <w:widowControl w:val="0"/>
        <w:numPr>
          <w:ilvl w:val="0"/>
          <w:numId w:val="2"/>
        </w:numPr>
        <w:tabs>
          <w:tab w:val="left" w:pos="5788"/>
        </w:tabs>
        <w:kinsoku/>
        <w:wordWrap/>
        <w:overflowPunct/>
        <w:topLinePunct w:val="0"/>
        <w:autoSpaceDE/>
        <w:autoSpaceDN/>
        <w:bidi w:val="0"/>
        <w:adjustRightInd/>
        <w:snapToGrid w:val="0"/>
        <w:spacing w:line="480" w:lineRule="exact"/>
        <w:ind w:left="0" w:leftChars="0" w:firstLine="420" w:firstLineChars="0"/>
        <w:textAlignment w:val="auto"/>
        <w:outlineLvl w:val="0"/>
        <w:rPr>
          <w:rFonts w:hint="eastAsia" w:ascii="仿宋" w:hAnsi="仿宋" w:eastAsia="仿宋" w:cs="仿宋"/>
          <w:color w:val="auto"/>
          <w:kern w:val="2"/>
          <w:sz w:val="28"/>
          <w:szCs w:val="28"/>
          <w:lang w:val="en-US" w:eastAsia="zh-CN" w:bidi="ar-SA"/>
        </w:rPr>
      </w:pPr>
      <w:bookmarkStart w:id="4" w:name="_Toc17975"/>
      <w:r>
        <w:rPr>
          <w:rFonts w:hint="eastAsia" w:ascii="仿宋" w:hAnsi="仿宋" w:eastAsia="仿宋" w:cs="仿宋"/>
          <w:color w:val="auto"/>
          <w:kern w:val="2"/>
          <w:sz w:val="28"/>
          <w:szCs w:val="28"/>
          <w:lang w:val="en-US" w:eastAsia="zh-CN" w:bidi="ar-SA"/>
        </w:rPr>
        <w:t>估价对象位置示意图</w:t>
      </w:r>
      <w:bookmarkEnd w:id="4"/>
      <w:r>
        <w:rPr>
          <w:rFonts w:hint="eastAsia" w:ascii="仿宋" w:hAnsi="仿宋" w:eastAsia="仿宋" w:cs="仿宋"/>
          <w:color w:val="auto"/>
          <w:kern w:val="2"/>
          <w:sz w:val="28"/>
          <w:szCs w:val="28"/>
          <w:lang w:val="en-US" w:eastAsia="zh-CN" w:bidi="ar-SA"/>
        </w:rPr>
        <w:tab/>
      </w:r>
    </w:p>
    <w:p>
      <w:pPr>
        <w:pStyle w:val="9"/>
        <w:keepNext w:val="0"/>
        <w:keepLines w:val="0"/>
        <w:pageBreakBefore w:val="0"/>
        <w:widowControl w:val="0"/>
        <w:numPr>
          <w:ilvl w:val="0"/>
          <w:numId w:val="2"/>
        </w:numPr>
        <w:tabs>
          <w:tab w:val="left" w:pos="5788"/>
        </w:tabs>
        <w:kinsoku/>
        <w:wordWrap/>
        <w:overflowPunct/>
        <w:topLinePunct w:val="0"/>
        <w:autoSpaceDE/>
        <w:autoSpaceDN/>
        <w:bidi w:val="0"/>
        <w:adjustRightInd/>
        <w:snapToGrid w:val="0"/>
        <w:spacing w:line="480" w:lineRule="exact"/>
        <w:ind w:left="0" w:leftChars="0" w:firstLine="420" w:firstLineChars="0"/>
        <w:textAlignment w:val="auto"/>
        <w:outlineLvl w:val="0"/>
        <w:rPr>
          <w:rFonts w:hint="eastAsia" w:ascii="仿宋" w:hAnsi="仿宋" w:eastAsia="仿宋" w:cs="仿宋"/>
          <w:color w:val="auto"/>
          <w:spacing w:val="-6"/>
          <w:kern w:val="2"/>
          <w:sz w:val="28"/>
          <w:szCs w:val="28"/>
          <w:lang w:val="en-US" w:eastAsia="zh-CN" w:bidi="ar-SA"/>
        </w:rPr>
      </w:pPr>
      <w:bookmarkStart w:id="5" w:name="_Toc29466"/>
      <w:r>
        <w:rPr>
          <w:rFonts w:hint="eastAsia" w:ascii="仿宋" w:hAnsi="仿宋" w:eastAsia="仿宋" w:cs="仿宋"/>
          <w:color w:val="auto"/>
          <w:kern w:val="2"/>
          <w:sz w:val="28"/>
          <w:szCs w:val="28"/>
          <w:lang w:val="en-US" w:eastAsia="zh-CN" w:bidi="ar-SA"/>
        </w:rPr>
        <w:t>《司法鉴定委托书》</w:t>
      </w:r>
      <w:r>
        <w:rPr>
          <w:rFonts w:hint="eastAsia" w:ascii="仿宋" w:hAnsi="仿宋" w:eastAsia="仿宋" w:cs="仿宋"/>
          <w:color w:val="auto"/>
          <w:spacing w:val="-6"/>
          <w:kern w:val="2"/>
          <w:sz w:val="28"/>
          <w:szCs w:val="28"/>
          <w:lang w:val="en-US" w:eastAsia="zh-CN" w:bidi="ar-SA"/>
        </w:rPr>
        <w:t>复印件</w:t>
      </w:r>
      <w:bookmarkEnd w:id="5"/>
    </w:p>
    <w:p>
      <w:pPr>
        <w:pStyle w:val="9"/>
        <w:keepNext w:val="0"/>
        <w:keepLines w:val="0"/>
        <w:pageBreakBefore w:val="0"/>
        <w:widowControl w:val="0"/>
        <w:numPr>
          <w:ilvl w:val="0"/>
          <w:numId w:val="2"/>
        </w:numPr>
        <w:tabs>
          <w:tab w:val="left" w:pos="5788"/>
        </w:tabs>
        <w:kinsoku/>
        <w:wordWrap/>
        <w:overflowPunct/>
        <w:topLinePunct w:val="0"/>
        <w:autoSpaceDE/>
        <w:autoSpaceDN/>
        <w:bidi w:val="0"/>
        <w:adjustRightInd/>
        <w:snapToGrid w:val="0"/>
        <w:spacing w:line="480" w:lineRule="exact"/>
        <w:ind w:left="0" w:leftChars="0" w:firstLine="420" w:firstLineChars="0"/>
        <w:textAlignment w:val="auto"/>
        <w:outlineLvl w:val="0"/>
        <w:rPr>
          <w:rFonts w:hint="eastAsia" w:ascii="仿宋" w:hAnsi="仿宋" w:eastAsia="仿宋" w:cs="仿宋"/>
          <w:color w:val="auto"/>
          <w:kern w:val="2"/>
          <w:sz w:val="28"/>
          <w:szCs w:val="28"/>
          <w:lang w:val="en-US" w:eastAsia="zh-CN" w:bidi="ar-SA"/>
        </w:rPr>
      </w:pPr>
      <w:bookmarkStart w:id="6" w:name="_Toc16975"/>
      <w:r>
        <w:rPr>
          <w:rFonts w:hint="eastAsia" w:ascii="仿宋" w:hAnsi="仿宋" w:eastAsia="仿宋" w:cs="仿宋"/>
          <w:color w:val="auto"/>
          <w:kern w:val="2"/>
          <w:sz w:val="28"/>
          <w:szCs w:val="28"/>
          <w:lang w:val="en-US" w:eastAsia="zh-CN" w:bidi="ar-SA"/>
        </w:rPr>
        <w:t>《不动产登记簿查询记录》复印件</w:t>
      </w:r>
      <w:bookmarkEnd w:id="6"/>
    </w:p>
    <w:p>
      <w:pPr>
        <w:pStyle w:val="9"/>
        <w:keepNext w:val="0"/>
        <w:keepLines w:val="0"/>
        <w:pageBreakBefore w:val="0"/>
        <w:widowControl w:val="0"/>
        <w:numPr>
          <w:ilvl w:val="0"/>
          <w:numId w:val="2"/>
        </w:numPr>
        <w:tabs>
          <w:tab w:val="left" w:pos="5788"/>
        </w:tabs>
        <w:kinsoku/>
        <w:wordWrap/>
        <w:overflowPunct/>
        <w:topLinePunct w:val="0"/>
        <w:autoSpaceDE/>
        <w:autoSpaceDN/>
        <w:bidi w:val="0"/>
        <w:adjustRightInd/>
        <w:snapToGrid w:val="0"/>
        <w:spacing w:line="480" w:lineRule="exact"/>
        <w:ind w:left="0" w:leftChars="0" w:firstLine="420" w:firstLineChars="0"/>
        <w:textAlignment w:val="auto"/>
        <w:outlineLvl w:val="0"/>
        <w:rPr>
          <w:rFonts w:hint="eastAsia" w:ascii="仿宋" w:hAnsi="仿宋" w:eastAsia="仿宋" w:cs="仿宋"/>
          <w:color w:val="auto"/>
          <w:kern w:val="2"/>
          <w:sz w:val="28"/>
          <w:szCs w:val="28"/>
          <w:lang w:val="en-US" w:eastAsia="zh-CN" w:bidi="ar-SA"/>
        </w:rPr>
      </w:pPr>
      <w:bookmarkStart w:id="7" w:name="_Toc17920"/>
      <w:r>
        <w:rPr>
          <w:rFonts w:hint="eastAsia" w:ascii="仿宋" w:hAnsi="仿宋" w:eastAsia="仿宋" w:cs="仿宋"/>
          <w:color w:val="auto"/>
          <w:kern w:val="2"/>
          <w:sz w:val="28"/>
          <w:szCs w:val="28"/>
          <w:lang w:val="en-US" w:eastAsia="zh-CN" w:bidi="ar-SA"/>
        </w:rPr>
        <w:t>房地产估价机构营业执照和资质证书复印件</w:t>
      </w:r>
      <w:bookmarkEnd w:id="7"/>
    </w:p>
    <w:p>
      <w:pPr>
        <w:pStyle w:val="9"/>
        <w:keepNext w:val="0"/>
        <w:keepLines w:val="0"/>
        <w:pageBreakBefore w:val="0"/>
        <w:widowControl w:val="0"/>
        <w:numPr>
          <w:ilvl w:val="0"/>
          <w:numId w:val="2"/>
        </w:numPr>
        <w:tabs>
          <w:tab w:val="left" w:pos="5788"/>
        </w:tabs>
        <w:kinsoku/>
        <w:wordWrap/>
        <w:overflowPunct/>
        <w:topLinePunct w:val="0"/>
        <w:autoSpaceDE/>
        <w:autoSpaceDN/>
        <w:bidi w:val="0"/>
        <w:adjustRightInd/>
        <w:snapToGrid w:val="0"/>
        <w:spacing w:line="480" w:lineRule="exact"/>
        <w:ind w:left="0" w:leftChars="0" w:firstLine="420" w:firstLineChars="0"/>
        <w:textAlignment w:val="auto"/>
        <w:outlineLvl w:val="0"/>
        <w:rPr>
          <w:rFonts w:hint="eastAsia" w:ascii="仿宋" w:hAnsi="仿宋" w:eastAsia="仿宋" w:cs="仿宋"/>
          <w:color w:val="auto"/>
          <w:kern w:val="2"/>
          <w:sz w:val="28"/>
          <w:szCs w:val="28"/>
          <w:lang w:val="en-US" w:eastAsia="zh-CN" w:bidi="ar-SA"/>
        </w:rPr>
      </w:pPr>
      <w:bookmarkStart w:id="8" w:name="_Toc20014"/>
      <w:r>
        <w:rPr>
          <w:rFonts w:hint="eastAsia" w:ascii="仿宋" w:hAnsi="仿宋" w:eastAsia="仿宋" w:cs="仿宋"/>
          <w:color w:val="auto"/>
          <w:kern w:val="2"/>
          <w:sz w:val="28"/>
          <w:szCs w:val="28"/>
          <w:lang w:val="en-US" w:eastAsia="zh-CN" w:bidi="ar-SA"/>
        </w:rPr>
        <w:t>注册房地产估价师估价资格证书复印件</w:t>
      </w:r>
      <w:bookmarkEnd w:id="8"/>
    </w:p>
    <w:p>
      <w:pPr>
        <w:rPr>
          <w:rFonts w:hint="eastAsia" w:ascii="仿宋_GB2312" w:hAnsi="仿宋_GB2312" w:eastAsia="仿宋_GB2312" w:cs="仿宋_GB2312"/>
          <w:color w:val="auto"/>
          <w:kern w:val="2"/>
          <w:sz w:val="28"/>
          <w:szCs w:val="28"/>
          <w:lang w:val="en-US" w:eastAsia="zh-CN" w:bidi="ar-SA"/>
        </w:rPr>
      </w:pPr>
    </w:p>
    <w:p>
      <w:pPr>
        <w:rPr>
          <w:rFonts w:hint="eastAsia" w:ascii="仿宋_GB2312" w:hAnsi="仿宋_GB2312" w:eastAsia="仿宋_GB2312" w:cs="仿宋_GB2312"/>
          <w:color w:val="auto"/>
          <w:kern w:val="2"/>
          <w:sz w:val="28"/>
          <w:szCs w:val="28"/>
          <w:lang w:val="en-US" w:eastAsia="zh-CN" w:bidi="ar-SA"/>
        </w:rPr>
      </w:pPr>
    </w:p>
    <w:p>
      <w:pPr>
        <w:pStyle w:val="2"/>
        <w:keepNext/>
        <w:keepLines w:val="0"/>
        <w:pageBreakBefore w:val="0"/>
        <w:widowControl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outlineLvl w:val="0"/>
        <w:rPr>
          <w:rFonts w:hint="eastAsia"/>
          <w:b/>
          <w:color w:val="auto"/>
          <w:sz w:val="32"/>
          <w:szCs w:val="32"/>
          <w:lang w:val="en-US" w:eastAsia="zh-CN"/>
        </w:rPr>
      </w:pPr>
      <w:bookmarkStart w:id="9" w:name="_Toc24958"/>
      <w:r>
        <w:rPr>
          <w:rFonts w:hint="eastAsia"/>
          <w:b/>
          <w:color w:val="auto"/>
          <w:sz w:val="32"/>
          <w:szCs w:val="32"/>
          <w:lang w:val="en-US" w:eastAsia="zh-CN"/>
        </w:rPr>
        <w:br w:type="page"/>
      </w:r>
      <w:bookmarkStart w:id="10" w:name="_Toc1621"/>
      <w:r>
        <w:rPr>
          <w:rFonts w:hint="eastAsia"/>
          <w:b/>
          <w:color w:val="auto"/>
          <w:sz w:val="32"/>
          <w:szCs w:val="32"/>
          <w:lang w:val="en-US" w:eastAsia="zh-CN"/>
        </w:rPr>
        <w:t>估价师声明</w:t>
      </w:r>
      <w:bookmarkEnd w:id="9"/>
      <w:bookmarkEnd w:id="10"/>
    </w:p>
    <w:p>
      <w:pPr>
        <w:keepNext w:val="0"/>
        <w:keepLines w:val="0"/>
        <w:pageBreakBefore w:val="0"/>
        <w:widowControl w:val="0"/>
        <w:kinsoku/>
        <w:wordWrap/>
        <w:overflowPunct/>
        <w:topLinePunct w:val="0"/>
        <w:autoSpaceDE/>
        <w:autoSpaceDN/>
        <w:bidi w:val="0"/>
        <w:adjustRightInd/>
        <w:snapToGrid/>
        <w:spacing w:line="480" w:lineRule="exact"/>
        <w:ind w:leftChars="0"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本报告注册房地产估价师对其估价职业道德、专业胜任能力和勤勉尽责估价特作如下承诺和保证：</w:t>
      </w:r>
    </w:p>
    <w:p>
      <w:pPr>
        <w:keepNext w:val="0"/>
        <w:keepLines w:val="0"/>
        <w:pageBreakBefore w:val="0"/>
        <w:widowControl w:val="0"/>
        <w:kinsoku/>
        <w:wordWrap/>
        <w:overflowPunct/>
        <w:topLinePunct w:val="0"/>
        <w:autoSpaceDE/>
        <w:autoSpaceDN/>
        <w:bidi w:val="0"/>
        <w:adjustRightInd/>
        <w:snapToGrid/>
        <w:spacing w:line="480" w:lineRule="exact"/>
        <w:ind w:leftChars="0"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1、注册房地产估价师在本估价报告中陈述的事实是真实的和准确的，没有虚假记载、误导性陈述和重大遗漏。</w:t>
      </w:r>
    </w:p>
    <w:p>
      <w:pPr>
        <w:keepNext w:val="0"/>
        <w:keepLines w:val="0"/>
        <w:pageBreakBefore w:val="0"/>
        <w:widowControl w:val="0"/>
        <w:kinsoku/>
        <w:wordWrap/>
        <w:overflowPunct/>
        <w:topLinePunct w:val="0"/>
        <w:autoSpaceDE/>
        <w:autoSpaceDN/>
        <w:bidi w:val="0"/>
        <w:adjustRightInd/>
        <w:snapToGrid/>
        <w:spacing w:line="480" w:lineRule="exact"/>
        <w:ind w:leftChars="0"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2、本估价报告中的分析、意见和结论是注册房地产估价师独立、客观、公正的专业分析、意见和结论，但受到本估价报告中已说明的估价假设和限制条件的限制。</w:t>
      </w:r>
    </w:p>
    <w:p>
      <w:pPr>
        <w:keepNext w:val="0"/>
        <w:keepLines w:val="0"/>
        <w:pageBreakBefore w:val="0"/>
        <w:widowControl w:val="0"/>
        <w:kinsoku/>
        <w:wordWrap/>
        <w:overflowPunct/>
        <w:topLinePunct w:val="0"/>
        <w:autoSpaceDE/>
        <w:autoSpaceDN/>
        <w:bidi w:val="0"/>
        <w:adjustRightInd/>
        <w:snapToGrid/>
        <w:spacing w:line="480" w:lineRule="exact"/>
        <w:ind w:leftChars="0"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3、注册房地产估价师与本估价报告中的估</w:t>
      </w:r>
      <w:r>
        <w:rPr>
          <w:rFonts w:hint="eastAsia" w:ascii="仿宋" w:hAnsi="仿宋" w:eastAsia="仿宋" w:cs="仿宋"/>
          <w:color w:val="auto"/>
          <w:spacing w:val="-6"/>
          <w:kern w:val="0"/>
          <w:sz w:val="28"/>
          <w:szCs w:val="28"/>
          <w:lang w:val="en-US" w:eastAsia="zh-CN" w:bidi="ar-SA"/>
        </w:rPr>
        <w:t>价对象没有现实或潜在利益，与估价委托人及估价利害关系人没有利害关系，也</w:t>
      </w:r>
      <w:r>
        <w:rPr>
          <w:rFonts w:hint="eastAsia" w:ascii="仿宋" w:hAnsi="仿宋" w:eastAsia="仿宋" w:cs="仿宋"/>
          <w:color w:val="auto"/>
          <w:kern w:val="0"/>
          <w:sz w:val="28"/>
          <w:szCs w:val="28"/>
          <w:lang w:val="en-US" w:eastAsia="zh-CN" w:bidi="ar-SA"/>
        </w:rPr>
        <w:t>对估价对象、估价委托人及估价利害关系人没有偏见，并承诺对委托人提供的资料负有保密义务。</w:t>
      </w:r>
    </w:p>
    <w:p>
      <w:pPr>
        <w:keepNext w:val="0"/>
        <w:keepLines w:val="0"/>
        <w:pageBreakBefore w:val="0"/>
        <w:widowControl w:val="0"/>
        <w:kinsoku/>
        <w:wordWrap/>
        <w:overflowPunct/>
        <w:topLinePunct w:val="0"/>
        <w:autoSpaceDE/>
        <w:autoSpaceDN/>
        <w:bidi w:val="0"/>
        <w:adjustRightInd/>
        <w:snapToGrid/>
        <w:spacing w:line="480" w:lineRule="exact"/>
        <w:ind w:leftChars="0"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4、我们依照《房地产估价规范》（GB/T50291-2015）、《房地产估价基本术语标准》（GB/T50899-2013）及相关文件规定等进行分析，形成意见和结论，撰写本估价报告。</w:t>
      </w:r>
    </w:p>
    <w:p>
      <w:pPr>
        <w:keepNext w:val="0"/>
        <w:keepLines w:val="0"/>
        <w:pageBreakBefore w:val="0"/>
        <w:widowControl w:val="0"/>
        <w:kinsoku/>
        <w:wordWrap/>
        <w:overflowPunct/>
        <w:topLinePunct w:val="0"/>
        <w:autoSpaceDE/>
        <w:autoSpaceDN/>
        <w:bidi w:val="0"/>
        <w:adjustRightInd/>
        <w:snapToGrid/>
        <w:spacing w:line="480" w:lineRule="exact"/>
        <w:ind w:leftChars="0"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5、参与本项目的注册房地产估价师已对本报告中的估价对象进行了实地查勘等尽职调查，但仅限于估价对象的外观与目前维护管理使用状况。除非另有协议，我们不承担对估价对象建筑结构质量进行调查的责任，也不承担对被遮盖，未暴露及难于接触的部分进行检视的责任。</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firstLine="560" w:firstLineChars="200"/>
        <w:textAlignment w:val="auto"/>
        <w:outlineLvl w:val="9"/>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6、没有人对本估价报告提供了重要专业帮助。</w:t>
      </w:r>
    </w:p>
    <w:p>
      <w:pPr>
        <w:keepNext w:val="0"/>
        <w:keepLines w:val="0"/>
        <w:pageBreakBefore w:val="0"/>
        <w:widowControl w:val="0"/>
        <w:kinsoku/>
        <w:wordWrap/>
        <w:overflowPunct/>
        <w:topLinePunct w:val="0"/>
        <w:autoSpaceDE/>
        <w:autoSpaceDN/>
        <w:bidi w:val="0"/>
        <w:adjustRightInd/>
        <w:snapToGrid/>
        <w:spacing w:line="480" w:lineRule="exact"/>
        <w:ind w:leftChars="0" w:firstLine="560" w:firstLineChars="200"/>
        <w:textAlignment w:val="auto"/>
        <w:outlineLvl w:val="9"/>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0"/>
          <w:sz w:val="28"/>
          <w:szCs w:val="28"/>
          <w:lang w:val="en-US" w:eastAsia="zh-CN" w:bidi="ar-SA"/>
        </w:rPr>
        <w:t>参加本次估价的注册房地产估价师</w:t>
      </w:r>
      <w:r>
        <w:rPr>
          <w:rFonts w:hint="eastAsia" w:ascii="仿宋" w:hAnsi="仿宋" w:eastAsia="仿宋" w:cs="仿宋"/>
          <w:color w:val="auto"/>
          <w:kern w:val="2"/>
          <w:sz w:val="28"/>
          <w:szCs w:val="28"/>
          <w:lang w:val="en-US" w:eastAsia="zh-CN" w:bidi="ar-SA"/>
        </w:rPr>
        <w:t>名</w:t>
      </w:r>
    </w:p>
    <w:tbl>
      <w:tblPr>
        <w:tblStyle w:val="22"/>
        <w:tblW w:w="96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590"/>
        <w:gridCol w:w="1821"/>
        <w:gridCol w:w="2052"/>
        <w:gridCol w:w="21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65" w:hRule="exact"/>
          <w:jc w:val="center"/>
        </w:trPr>
        <w:tc>
          <w:tcPr>
            <w:tcW w:w="3590" w:type="dxa"/>
            <w:noWrap w:val="0"/>
            <w:vAlign w:val="center"/>
          </w:tcPr>
          <w:p>
            <w:pPr>
              <w:pStyle w:val="56"/>
              <w:adjustRightInd/>
              <w:spacing w:line="360" w:lineRule="auto"/>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估价师姓名</w:t>
            </w:r>
          </w:p>
        </w:tc>
        <w:tc>
          <w:tcPr>
            <w:tcW w:w="1821" w:type="dxa"/>
            <w:noWrap w:val="0"/>
            <w:vAlign w:val="center"/>
          </w:tcPr>
          <w:p>
            <w:pPr>
              <w:pStyle w:val="56"/>
              <w:adjustRightInd/>
              <w:spacing w:line="360" w:lineRule="auto"/>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注册号</w:t>
            </w:r>
          </w:p>
        </w:tc>
        <w:tc>
          <w:tcPr>
            <w:tcW w:w="2052" w:type="dxa"/>
            <w:noWrap w:val="0"/>
            <w:vAlign w:val="center"/>
          </w:tcPr>
          <w:p>
            <w:pPr>
              <w:pStyle w:val="56"/>
              <w:adjustRightInd/>
              <w:spacing w:line="360" w:lineRule="auto"/>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签名</w:t>
            </w:r>
          </w:p>
        </w:tc>
        <w:tc>
          <w:tcPr>
            <w:tcW w:w="2197" w:type="dxa"/>
            <w:noWrap w:val="0"/>
            <w:vAlign w:val="center"/>
          </w:tcPr>
          <w:p>
            <w:pPr>
              <w:pStyle w:val="56"/>
              <w:adjustRightInd/>
              <w:spacing w:line="360" w:lineRule="auto"/>
              <w:jc w:val="center"/>
              <w:rPr>
                <w:rFonts w:hint="eastAsia" w:ascii="仿宋" w:hAnsi="仿宋" w:eastAsia="仿宋" w:cs="仿宋"/>
                <w:color w:val="auto"/>
                <w:sz w:val="28"/>
                <w:szCs w:val="28"/>
              </w:rPr>
            </w:pPr>
            <w:r>
              <w:rPr>
                <w:rFonts w:hint="eastAsia" w:ascii="仿宋" w:hAnsi="仿宋" w:eastAsia="仿宋" w:cs="仿宋"/>
                <w:b/>
                <w:color w:val="auto"/>
                <w:sz w:val="28"/>
                <w:szCs w:val="28"/>
              </w:rPr>
              <w:t>签名日期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47" w:hRule="atLeast"/>
          <w:jc w:val="center"/>
        </w:trPr>
        <w:tc>
          <w:tcPr>
            <w:tcW w:w="3590" w:type="dxa"/>
            <w:noWrap w:val="0"/>
            <w:vAlign w:val="center"/>
          </w:tcPr>
          <w:p>
            <w:pPr>
              <w:pStyle w:val="56"/>
              <w:adjustRightInd/>
              <w:spacing w:line="360" w:lineRule="auto"/>
              <w:jc w:val="center"/>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sz w:val="28"/>
                <w:szCs w:val="28"/>
              </w:rPr>
              <w:t>注册房地产估价师</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t>徐忠新</w:t>
            </w:r>
          </w:p>
        </w:tc>
        <w:tc>
          <w:tcPr>
            <w:tcW w:w="1821" w:type="dxa"/>
            <w:noWrap w:val="0"/>
            <w:vAlign w:val="center"/>
          </w:tcPr>
          <w:p>
            <w:pPr>
              <w:pStyle w:val="56"/>
              <w:adjustRightInd/>
              <w:spacing w:line="360" w:lineRule="auto"/>
              <w:jc w:val="center"/>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eastAsia="zh-CN"/>
              </w:rPr>
              <w:t>3219980148</w:t>
            </w:r>
          </w:p>
        </w:tc>
        <w:tc>
          <w:tcPr>
            <w:tcW w:w="2052" w:type="dxa"/>
            <w:noWrap w:val="0"/>
            <w:vAlign w:val="center"/>
          </w:tcPr>
          <w:p>
            <w:pPr>
              <w:pStyle w:val="56"/>
              <w:adjustRightInd/>
              <w:spacing w:line="360" w:lineRule="auto"/>
              <w:ind w:firstLine="560" w:firstLineChars="200"/>
              <w:jc w:val="center"/>
              <w:rPr>
                <w:rFonts w:hint="eastAsia" w:ascii="仿宋" w:hAnsi="仿宋" w:eastAsia="仿宋" w:cs="仿宋"/>
                <w:color w:val="auto"/>
                <w:kern w:val="0"/>
                <w:sz w:val="28"/>
                <w:szCs w:val="28"/>
                <w:lang w:val="en-US" w:eastAsia="zh-CN" w:bidi="ar-SA"/>
              </w:rPr>
            </w:pPr>
          </w:p>
        </w:tc>
        <w:tc>
          <w:tcPr>
            <w:tcW w:w="2197" w:type="dxa"/>
            <w:noWrap w:val="0"/>
            <w:vAlign w:val="center"/>
          </w:tcPr>
          <w:p>
            <w:pPr>
              <w:pStyle w:val="56"/>
              <w:adjustRightInd/>
              <w:spacing w:line="360" w:lineRule="auto"/>
              <w:jc w:val="center"/>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sz w:val="28"/>
                <w:szCs w:val="28"/>
              </w:rPr>
              <w:t xml:space="preserve">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47" w:hRule="atLeast"/>
          <w:jc w:val="center"/>
        </w:trPr>
        <w:tc>
          <w:tcPr>
            <w:tcW w:w="3590" w:type="dxa"/>
            <w:noWrap w:val="0"/>
            <w:vAlign w:val="center"/>
          </w:tcPr>
          <w:p>
            <w:pPr>
              <w:pStyle w:val="56"/>
              <w:adjustRightInd/>
              <w:spacing w:line="360" w:lineRule="auto"/>
              <w:jc w:val="center"/>
              <w:rPr>
                <w:rFonts w:hint="eastAsia" w:ascii="仿宋" w:hAnsi="仿宋" w:eastAsia="仿宋" w:cs="仿宋"/>
                <w:color w:val="auto"/>
                <w:sz w:val="28"/>
                <w:szCs w:val="28"/>
                <w:lang w:eastAsia="zh-CN"/>
              </w:rPr>
            </w:pPr>
            <w:r>
              <w:rPr>
                <w:rFonts w:hint="eastAsia" w:ascii="仿宋" w:hAnsi="仿宋" w:eastAsia="仿宋" w:cs="仿宋"/>
                <w:color w:val="auto"/>
                <w:sz w:val="28"/>
                <w:szCs w:val="28"/>
              </w:rPr>
              <w:t>注册房地产估价师</w:t>
            </w:r>
            <w:r>
              <w:rPr>
                <w:rFonts w:hint="eastAsia" w:ascii="仿宋" w:hAnsi="仿宋" w:eastAsia="仿宋" w:cs="仿宋"/>
                <w:color w:val="auto"/>
                <w:sz w:val="28"/>
                <w:szCs w:val="28"/>
                <w:lang w:val="en-US" w:eastAsia="zh-CN"/>
              </w:rPr>
              <w:t xml:space="preserve">  陶建国</w:t>
            </w:r>
          </w:p>
        </w:tc>
        <w:tc>
          <w:tcPr>
            <w:tcW w:w="1821" w:type="dxa"/>
            <w:noWrap w:val="0"/>
            <w:vAlign w:val="center"/>
          </w:tcPr>
          <w:p>
            <w:pPr>
              <w:pStyle w:val="56"/>
              <w:adjustRightInd/>
              <w:spacing w:line="360" w:lineRule="auto"/>
              <w:jc w:val="center"/>
              <w:rPr>
                <w:rFonts w:hint="eastAsia" w:ascii="仿宋" w:hAnsi="仿宋" w:eastAsia="仿宋" w:cs="仿宋"/>
                <w:color w:val="auto"/>
                <w:sz w:val="28"/>
                <w:szCs w:val="28"/>
                <w:lang w:eastAsia="zh-CN"/>
              </w:rPr>
            </w:pPr>
            <w:r>
              <w:rPr>
                <w:rFonts w:hint="eastAsia" w:ascii="仿宋" w:hAnsi="仿宋" w:eastAsia="仿宋" w:cs="仿宋"/>
                <w:color w:val="auto"/>
                <w:kern w:val="0"/>
                <w:sz w:val="28"/>
                <w:szCs w:val="28"/>
                <w:lang w:eastAsia="zh-CN"/>
              </w:rPr>
              <w:t>3220160229</w:t>
            </w:r>
          </w:p>
        </w:tc>
        <w:tc>
          <w:tcPr>
            <w:tcW w:w="2052" w:type="dxa"/>
            <w:noWrap w:val="0"/>
            <w:vAlign w:val="center"/>
          </w:tcPr>
          <w:p>
            <w:pPr>
              <w:pStyle w:val="56"/>
              <w:adjustRightInd/>
              <w:spacing w:line="360" w:lineRule="auto"/>
              <w:ind w:firstLine="560" w:firstLineChars="200"/>
              <w:jc w:val="center"/>
              <w:rPr>
                <w:rFonts w:hint="eastAsia" w:ascii="仿宋" w:hAnsi="仿宋" w:eastAsia="仿宋" w:cs="仿宋"/>
                <w:color w:val="auto"/>
                <w:sz w:val="28"/>
                <w:szCs w:val="28"/>
              </w:rPr>
            </w:pPr>
          </w:p>
        </w:tc>
        <w:tc>
          <w:tcPr>
            <w:tcW w:w="2197" w:type="dxa"/>
            <w:noWrap w:val="0"/>
            <w:vAlign w:val="center"/>
          </w:tcPr>
          <w:p>
            <w:pPr>
              <w:pStyle w:val="56"/>
              <w:adjustRightInd/>
              <w:spacing w:line="360" w:lineRule="auto"/>
              <w:jc w:val="center"/>
              <w:rPr>
                <w:rFonts w:hint="eastAsia" w:ascii="仿宋" w:hAnsi="仿宋" w:eastAsia="仿宋" w:cs="仿宋"/>
                <w:color w:val="auto"/>
                <w:sz w:val="28"/>
                <w:szCs w:val="28"/>
              </w:rPr>
            </w:pPr>
            <w:r>
              <w:rPr>
                <w:rFonts w:hint="eastAsia" w:ascii="仿宋" w:hAnsi="仿宋" w:eastAsia="仿宋" w:cs="仿宋"/>
                <w:color w:val="auto"/>
                <w:sz w:val="28"/>
                <w:szCs w:val="28"/>
              </w:rPr>
              <w:t xml:space="preserve">   年  月  日</w:t>
            </w:r>
          </w:p>
        </w:tc>
      </w:tr>
    </w:tbl>
    <w:p>
      <w:pPr>
        <w:rPr>
          <w:rFonts w:hint="eastAsia" w:ascii="仿宋_GB2312" w:hAnsi="仿宋_GB2312" w:eastAsia="仿宋_GB2312" w:cs="仿宋_GB2312"/>
          <w:color w:val="auto"/>
        </w:rPr>
      </w:pPr>
      <w:bookmarkStart w:id="11" w:name="_Toc411330283"/>
      <w:bookmarkStart w:id="12" w:name="_Toc415555591"/>
      <w:bookmarkStart w:id="13" w:name="_Toc264104975"/>
    </w:p>
    <w:p>
      <w:pPr>
        <w:pStyle w:val="2"/>
        <w:keepNext/>
        <w:keepLines w:val="0"/>
        <w:pageBreakBefore w:val="0"/>
        <w:widowControl w:val="0"/>
        <w:kinsoku/>
        <w:wordWrap/>
        <w:overflowPunct/>
        <w:topLinePunct w:val="0"/>
        <w:autoSpaceDE/>
        <w:autoSpaceDN/>
        <w:bidi w:val="0"/>
        <w:adjustRightInd/>
        <w:snapToGrid/>
        <w:spacing w:before="223" w:beforeLines="50" w:after="223" w:afterLines="50" w:line="360" w:lineRule="auto"/>
        <w:ind w:left="0" w:leftChars="0" w:right="0" w:rightChars="0" w:firstLine="0" w:firstLineChars="0"/>
        <w:jc w:val="center"/>
        <w:textAlignment w:val="auto"/>
        <w:outlineLvl w:val="0"/>
        <w:rPr>
          <w:rFonts w:hint="eastAsia"/>
          <w:color w:val="auto"/>
          <w:sz w:val="32"/>
          <w:szCs w:val="32"/>
        </w:rPr>
      </w:pPr>
      <w:bookmarkStart w:id="14" w:name="_Toc22909"/>
      <w:bookmarkStart w:id="15" w:name="_Toc3198"/>
      <w:r>
        <w:rPr>
          <w:rFonts w:hint="eastAsia"/>
          <w:color w:val="auto"/>
          <w:sz w:val="32"/>
          <w:szCs w:val="32"/>
        </w:rPr>
        <w:t>估价假设和限制条件</w:t>
      </w:r>
      <w:bookmarkEnd w:id="11"/>
      <w:bookmarkEnd w:id="12"/>
      <w:bookmarkEnd w:id="14"/>
      <w:bookmarkEnd w:id="15"/>
    </w:p>
    <w:bookmarkEnd w:id="13"/>
    <w:p>
      <w:pPr>
        <w:pStyle w:val="9"/>
        <w:keepNext w:val="0"/>
        <w:keepLines w:val="0"/>
        <w:pageBreakBefore w:val="0"/>
        <w:widowControl w:val="0"/>
        <w:kinsoku/>
        <w:wordWrap/>
        <w:overflowPunct/>
        <w:topLinePunct w:val="0"/>
        <w:bidi w:val="0"/>
        <w:snapToGrid w:val="0"/>
        <w:spacing w:line="48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本估价报告中的</w:t>
      </w:r>
      <w:r>
        <w:rPr>
          <w:rFonts w:hint="eastAsia" w:ascii="仿宋" w:hAnsi="仿宋" w:eastAsia="仿宋" w:cs="仿宋"/>
          <w:color w:val="auto"/>
          <w:spacing w:val="-6"/>
          <w:sz w:val="28"/>
          <w:szCs w:val="28"/>
        </w:rPr>
        <w:t>分析、意见和</w:t>
      </w:r>
      <w:r>
        <w:rPr>
          <w:rFonts w:hint="eastAsia" w:ascii="仿宋" w:hAnsi="仿宋" w:eastAsia="仿宋" w:cs="仿宋"/>
          <w:color w:val="auto"/>
          <w:sz w:val="28"/>
          <w:szCs w:val="28"/>
        </w:rPr>
        <w:t>结论是我们独立、客观、公正的专业分析、意见和结论，但受以下及本估价报告中已说明的假设和限制条件的限制：</w:t>
      </w:r>
    </w:p>
    <w:p>
      <w:pPr>
        <w:pStyle w:val="9"/>
        <w:keepNext w:val="0"/>
        <w:keepLines w:val="0"/>
        <w:pageBreakBefore w:val="0"/>
        <w:widowControl w:val="0"/>
        <w:kinsoku/>
        <w:wordWrap/>
        <w:overflowPunct/>
        <w:topLinePunct w:val="0"/>
        <w:bidi w:val="0"/>
        <w:snapToGrid w:val="0"/>
        <w:spacing w:line="480" w:lineRule="exact"/>
        <w:ind w:firstLine="560" w:firstLineChars="200"/>
        <w:textAlignment w:val="auto"/>
        <w:outlineLvl w:val="0"/>
        <w:rPr>
          <w:rFonts w:hint="eastAsia" w:ascii="仿宋" w:hAnsi="仿宋" w:eastAsia="仿宋" w:cs="仿宋"/>
          <w:color w:val="auto"/>
          <w:sz w:val="28"/>
          <w:szCs w:val="28"/>
        </w:rPr>
      </w:pPr>
      <w:bookmarkStart w:id="16" w:name="_Toc19479"/>
      <w:r>
        <w:rPr>
          <w:rFonts w:hint="eastAsia" w:ascii="仿宋" w:hAnsi="仿宋" w:eastAsia="仿宋" w:cs="仿宋"/>
          <w:color w:val="auto"/>
          <w:sz w:val="28"/>
          <w:szCs w:val="28"/>
        </w:rPr>
        <w:t>一、一般假设</w:t>
      </w:r>
      <w:bookmarkEnd w:id="16"/>
    </w:p>
    <w:p>
      <w:pPr>
        <w:pStyle w:val="9"/>
        <w:keepNext w:val="0"/>
        <w:keepLines w:val="0"/>
        <w:pageBreakBefore w:val="0"/>
        <w:widowControl w:val="0"/>
        <w:kinsoku/>
        <w:wordWrap/>
        <w:overflowPunct/>
        <w:topLinePunct w:val="0"/>
        <w:bidi w:val="0"/>
        <w:snapToGrid w:val="0"/>
        <w:spacing w:line="48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1、估价委托人</w:t>
      </w:r>
      <w:r>
        <w:rPr>
          <w:rFonts w:hint="eastAsia" w:ascii="仿宋" w:hAnsi="仿宋" w:eastAsia="仿宋" w:cs="仿宋"/>
          <w:color w:val="auto"/>
          <w:sz w:val="28"/>
          <w:szCs w:val="28"/>
        </w:rPr>
        <w:t>提供了估价对象的</w:t>
      </w:r>
      <w:r>
        <w:rPr>
          <w:rFonts w:hint="eastAsia" w:ascii="仿宋" w:hAnsi="仿宋" w:eastAsia="仿宋" w:cs="仿宋"/>
          <w:color w:val="auto"/>
          <w:sz w:val="28"/>
          <w:szCs w:val="28"/>
          <w:lang w:eastAsia="zh-CN"/>
        </w:rPr>
        <w:t>《不动产登记簿查询记录》</w:t>
      </w:r>
      <w:r>
        <w:rPr>
          <w:rFonts w:hint="eastAsia" w:ascii="仿宋" w:hAnsi="仿宋" w:eastAsia="仿宋" w:cs="仿宋"/>
          <w:color w:val="auto"/>
          <w:sz w:val="28"/>
          <w:szCs w:val="28"/>
        </w:rPr>
        <w:t>（复印件</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我们对本次估价所依据的估价委托人提供的估价对象权属状况等资料进行了审慎检查。无理由怀疑其合法性、真实性、准确性和完整性，但未向政府有关部门进行核实。本报告以估价委托人提供的资料是合法的、真实的、准确的和完整的为假设前提。</w:t>
      </w:r>
    </w:p>
    <w:p>
      <w:pPr>
        <w:pStyle w:val="9"/>
        <w:keepNext w:val="0"/>
        <w:keepLines w:val="0"/>
        <w:pageBreakBefore w:val="0"/>
        <w:widowControl w:val="0"/>
        <w:kinsoku/>
        <w:wordWrap/>
        <w:overflowPunct/>
        <w:topLinePunct w:val="0"/>
        <w:bidi w:val="0"/>
        <w:snapToGrid w:val="0"/>
        <w:spacing w:line="48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注册房地产估价师已对房屋安全、环境污染等影响估价对象价值的重大因素给予了关注，在无理由怀疑估价对象存在安全隐患且无相应的专业机构进行鉴定、检测的情况下，假定估价对象能正常安全使用。</w:t>
      </w:r>
    </w:p>
    <w:p>
      <w:pPr>
        <w:pStyle w:val="9"/>
        <w:keepNext w:val="0"/>
        <w:keepLines w:val="0"/>
        <w:pageBreakBefore w:val="0"/>
        <w:widowControl w:val="0"/>
        <w:kinsoku/>
        <w:wordWrap/>
        <w:overflowPunct/>
        <w:topLinePunct w:val="0"/>
        <w:bidi w:val="0"/>
        <w:snapToGrid w:val="0"/>
        <w:spacing w:line="48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3、报告以估价委托人领勘准确性为估价前提。估价人</w:t>
      </w:r>
      <w:r>
        <w:rPr>
          <w:rFonts w:hint="eastAsia" w:ascii="仿宋" w:hAnsi="仿宋" w:eastAsia="仿宋" w:cs="仿宋"/>
          <w:color w:val="auto"/>
          <w:sz w:val="28"/>
          <w:szCs w:val="28"/>
          <w:highlight w:val="none"/>
          <w:lang w:val="en-US" w:eastAsia="zh-CN"/>
        </w:rPr>
        <w:t>员于</w:t>
      </w:r>
      <w:r>
        <w:rPr>
          <w:rFonts w:hint="eastAsia" w:ascii="仿宋" w:hAnsi="仿宋" w:eastAsia="仿宋" w:cs="仿宋"/>
          <w:color w:val="060FCC"/>
          <w:sz w:val="28"/>
          <w:szCs w:val="28"/>
          <w:highlight w:val="none"/>
          <w:lang w:val="en-US" w:eastAsia="zh-CN"/>
        </w:rPr>
        <w:t>2022年6月10日</w:t>
      </w:r>
      <w:r>
        <w:rPr>
          <w:rFonts w:hint="eastAsia" w:ascii="仿宋" w:hAnsi="仿宋" w:eastAsia="仿宋" w:cs="仿宋"/>
          <w:color w:val="auto"/>
          <w:sz w:val="28"/>
          <w:szCs w:val="28"/>
          <w:highlight w:val="none"/>
          <w:lang w:val="en-US" w:eastAsia="zh-CN"/>
        </w:rPr>
        <w:t>对估价对象进行了实地查勘，但估价人员对估价对象的实地查勘仅</w:t>
      </w:r>
      <w:r>
        <w:rPr>
          <w:rFonts w:hint="eastAsia" w:ascii="仿宋" w:hAnsi="仿宋" w:eastAsia="仿宋" w:cs="仿宋"/>
          <w:color w:val="auto"/>
          <w:sz w:val="28"/>
          <w:szCs w:val="28"/>
          <w:lang w:val="en-US" w:eastAsia="zh-CN"/>
        </w:rPr>
        <w:t>限于估价对象的外观和使用状况、内部布局、装修及设备情况，并未对估价对象做建筑物基础、房屋结构上的测量和实验，因此无法确认其内部有无缺损、是否存在结构性损坏。对被遮盖、未暴露及难以接触到的房屋结构部分及其内部设施、设备，本报告假设其无建筑物基础、房屋结构等方面的重大质量问题，符合国家有关技术、质量、验收规范，且符合国家有关安全使用标准。</w:t>
      </w:r>
    </w:p>
    <w:p>
      <w:pPr>
        <w:pStyle w:val="9"/>
        <w:keepNext w:val="0"/>
        <w:keepLines w:val="0"/>
        <w:pageBreakBefore w:val="0"/>
        <w:widowControl w:val="0"/>
        <w:kinsoku/>
        <w:wordWrap/>
        <w:overflowPunct/>
        <w:topLinePunct w:val="0"/>
        <w:bidi w:val="0"/>
        <w:snapToGrid w:val="0"/>
        <w:spacing w:line="48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估价对象在价值时点的房地产市场为公开、平等、自愿的交易市场，即能满足以下条件：</w:t>
      </w:r>
    </w:p>
    <w:p>
      <w:pPr>
        <w:pStyle w:val="9"/>
        <w:keepNext w:val="0"/>
        <w:keepLines w:val="0"/>
        <w:pageBreakBefore w:val="0"/>
        <w:widowControl w:val="0"/>
        <w:kinsoku/>
        <w:wordWrap/>
        <w:overflowPunct/>
        <w:topLinePunct w:val="0"/>
        <w:bidi w:val="0"/>
        <w:snapToGrid w:val="0"/>
        <w:spacing w:line="48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（1）交易双方自愿地进行交易；</w:t>
      </w:r>
    </w:p>
    <w:p>
      <w:pPr>
        <w:pStyle w:val="9"/>
        <w:keepNext w:val="0"/>
        <w:keepLines w:val="0"/>
        <w:pageBreakBefore w:val="0"/>
        <w:widowControl w:val="0"/>
        <w:kinsoku/>
        <w:wordWrap/>
        <w:overflowPunct/>
        <w:topLinePunct w:val="0"/>
        <w:bidi w:val="0"/>
        <w:snapToGrid w:val="0"/>
        <w:spacing w:line="48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（2）交易双方处于利己动机进行交易；</w:t>
      </w:r>
    </w:p>
    <w:p>
      <w:pPr>
        <w:pStyle w:val="9"/>
        <w:keepNext w:val="0"/>
        <w:keepLines w:val="0"/>
        <w:pageBreakBefore w:val="0"/>
        <w:widowControl w:val="0"/>
        <w:kinsoku/>
        <w:wordWrap/>
        <w:overflowPunct/>
        <w:topLinePunct w:val="0"/>
        <w:bidi w:val="0"/>
        <w:snapToGrid w:val="0"/>
        <w:spacing w:line="48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（3）交易双方精明、谨慎行事，并了解交易对象、知晓市场行情；</w:t>
      </w:r>
    </w:p>
    <w:p>
      <w:pPr>
        <w:pStyle w:val="9"/>
        <w:keepNext w:val="0"/>
        <w:keepLines w:val="0"/>
        <w:pageBreakBefore w:val="0"/>
        <w:widowControl w:val="0"/>
        <w:kinsoku/>
        <w:wordWrap/>
        <w:overflowPunct/>
        <w:topLinePunct w:val="0"/>
        <w:bidi w:val="0"/>
        <w:snapToGrid w:val="0"/>
        <w:spacing w:line="48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（4）交易双方有较充裕的时间进行交易；</w:t>
      </w:r>
    </w:p>
    <w:p>
      <w:pPr>
        <w:pStyle w:val="9"/>
        <w:keepNext w:val="0"/>
        <w:keepLines w:val="0"/>
        <w:pageBreakBefore w:val="0"/>
        <w:widowControl w:val="0"/>
        <w:kinsoku/>
        <w:wordWrap/>
        <w:overflowPunct/>
        <w:topLinePunct w:val="0"/>
        <w:bidi w:val="0"/>
        <w:snapToGrid w:val="0"/>
        <w:spacing w:line="48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（5）不存在买者因特殊兴趣而给予附加出价;</w:t>
      </w:r>
    </w:p>
    <w:p>
      <w:pPr>
        <w:pStyle w:val="9"/>
        <w:keepNext w:val="0"/>
        <w:keepLines w:val="0"/>
        <w:pageBreakBefore w:val="0"/>
        <w:widowControl w:val="0"/>
        <w:kinsoku/>
        <w:wordWrap/>
        <w:overflowPunct/>
        <w:topLinePunct w:val="0"/>
        <w:bidi w:val="0"/>
        <w:snapToGrid w:val="0"/>
        <w:spacing w:line="48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5、估价对象应享有公共部位的通行权及水电等共用设施的使用权。</w:t>
      </w:r>
    </w:p>
    <w:p>
      <w:pPr>
        <w:keepNext w:val="0"/>
        <w:keepLines w:val="0"/>
        <w:pageBreakBefore w:val="0"/>
        <w:widowControl w:val="0"/>
        <w:kinsoku/>
        <w:wordWrap/>
        <w:overflowPunct/>
        <w:topLinePunct w:val="0"/>
        <w:autoSpaceDE w:val="0"/>
        <w:autoSpaceDN w:val="0"/>
        <w:bidi w:val="0"/>
        <w:adjustRightInd w:val="0"/>
        <w:spacing w:line="480" w:lineRule="exact"/>
        <w:ind w:firstLine="560" w:firstLineChars="200"/>
        <w:textAlignment w:val="auto"/>
        <w:outlineLvl w:val="0"/>
        <w:rPr>
          <w:rFonts w:hint="eastAsia" w:ascii="仿宋" w:hAnsi="仿宋" w:eastAsia="仿宋" w:cs="仿宋"/>
          <w:color w:val="auto"/>
          <w:sz w:val="28"/>
          <w:szCs w:val="28"/>
          <w:highlight w:val="none"/>
          <w:lang w:val="en-US" w:eastAsia="zh-CN"/>
        </w:rPr>
      </w:pPr>
      <w:bookmarkStart w:id="17" w:name="_Toc15681"/>
      <w:r>
        <w:rPr>
          <w:rFonts w:hint="eastAsia" w:ascii="仿宋" w:hAnsi="仿宋" w:eastAsia="仿宋" w:cs="仿宋"/>
          <w:color w:val="auto"/>
          <w:sz w:val="28"/>
          <w:szCs w:val="28"/>
          <w:highlight w:val="none"/>
        </w:rPr>
        <w:t>二、未定事项假设</w:t>
      </w:r>
      <w:bookmarkEnd w:id="17"/>
    </w:p>
    <w:p>
      <w:pPr>
        <w:pStyle w:val="9"/>
        <w:keepNext w:val="0"/>
        <w:keepLines w:val="0"/>
        <w:pageBreakBefore w:val="0"/>
        <w:widowControl w:val="0"/>
        <w:kinsoku/>
        <w:wordWrap/>
        <w:overflowPunct/>
        <w:topLinePunct w:val="0"/>
        <w:bidi w:val="0"/>
        <w:snapToGrid w:val="0"/>
        <w:spacing w:line="48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1、本次评估房地产为</w:t>
      </w:r>
      <w:r>
        <w:rPr>
          <w:rFonts w:hint="eastAsia" w:ascii="仿宋" w:hAnsi="仿宋" w:eastAsia="仿宋" w:cs="仿宋"/>
          <w:color w:val="060FCC"/>
          <w:sz w:val="28"/>
          <w:szCs w:val="28"/>
          <w:highlight w:val="none"/>
          <w:lang w:val="en-US" w:eastAsia="zh-CN"/>
        </w:rPr>
        <w:t>盐城市市区东进路美食街6幢401室、40室</w:t>
      </w:r>
      <w:r>
        <w:rPr>
          <w:rFonts w:hint="eastAsia" w:ascii="仿宋" w:hAnsi="仿宋" w:eastAsia="仿宋" w:cs="仿宋"/>
          <w:color w:val="auto"/>
          <w:sz w:val="28"/>
          <w:szCs w:val="28"/>
          <w:highlight w:val="none"/>
          <w:lang w:val="en-US" w:eastAsia="zh-CN"/>
        </w:rPr>
        <w:t>，注册房地产估价师徐忠新、陶建国于</w:t>
      </w:r>
      <w:r>
        <w:rPr>
          <w:rFonts w:hint="eastAsia" w:ascii="仿宋" w:hAnsi="仿宋" w:eastAsia="仿宋" w:cs="仿宋"/>
          <w:color w:val="060FCC"/>
          <w:sz w:val="28"/>
          <w:szCs w:val="28"/>
          <w:highlight w:val="none"/>
          <w:lang w:val="en-US" w:eastAsia="zh-CN"/>
        </w:rPr>
        <w:t>2022年6月10日</w:t>
      </w:r>
      <w:r>
        <w:rPr>
          <w:rFonts w:hint="eastAsia" w:ascii="仿宋" w:hAnsi="仿宋" w:eastAsia="仿宋" w:cs="仿宋"/>
          <w:color w:val="auto"/>
          <w:sz w:val="28"/>
          <w:szCs w:val="28"/>
          <w:highlight w:val="none"/>
          <w:lang w:val="en-US" w:eastAsia="zh-CN"/>
        </w:rPr>
        <w:t>进行实地查勘，但并未对建筑基础、结构等隐蔽工程进行测量，因此无法确认该物业是否存在结构性损坏或</w:t>
      </w:r>
      <w:r>
        <w:rPr>
          <w:rFonts w:hint="eastAsia" w:ascii="仿宋" w:hAnsi="仿宋" w:eastAsia="仿宋" w:cs="仿宋"/>
          <w:color w:val="auto"/>
          <w:kern w:val="2"/>
          <w:sz w:val="28"/>
          <w:szCs w:val="28"/>
          <w:highlight w:val="none"/>
          <w:lang w:val="en-US" w:eastAsia="zh-CN" w:bidi="ar-SA"/>
        </w:rPr>
        <w:t>质量问题。</w:t>
      </w:r>
    </w:p>
    <w:p>
      <w:pPr>
        <w:keepNext w:val="0"/>
        <w:keepLines w:val="0"/>
        <w:pageBreakBefore w:val="0"/>
        <w:widowControl w:val="0"/>
        <w:numPr>
          <w:ilvl w:val="0"/>
          <w:numId w:val="0"/>
        </w:numPr>
        <w:kinsoku/>
        <w:wordWrap/>
        <w:overflowPunct/>
        <w:topLinePunct w:val="0"/>
        <w:bidi w:val="0"/>
        <w:spacing w:line="480" w:lineRule="exact"/>
        <w:ind w:firstLine="560" w:firstLineChars="200"/>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2、估价对象</w:t>
      </w:r>
      <w:r>
        <w:rPr>
          <w:rFonts w:hint="eastAsia" w:ascii="仿宋" w:hAnsi="仿宋" w:eastAsia="仿宋" w:cs="仿宋"/>
          <w:color w:val="auto"/>
          <w:sz w:val="28"/>
          <w:szCs w:val="28"/>
          <w:lang w:eastAsia="zh-CN"/>
        </w:rPr>
        <w:t>《不动产登记簿查询记录》</w:t>
      </w:r>
      <w:r>
        <w:rPr>
          <w:rFonts w:hint="eastAsia" w:ascii="仿宋" w:hAnsi="仿宋" w:eastAsia="仿宋" w:cs="仿宋"/>
          <w:color w:val="auto"/>
          <w:sz w:val="28"/>
          <w:szCs w:val="28"/>
        </w:rPr>
        <w:t>（复印件</w:t>
      </w:r>
      <w:r>
        <w:rPr>
          <w:rFonts w:hint="eastAsia" w:ascii="仿宋" w:hAnsi="仿宋" w:eastAsia="仿宋" w:cs="仿宋"/>
          <w:color w:val="auto"/>
          <w:sz w:val="28"/>
          <w:szCs w:val="28"/>
          <w:lang w:eastAsia="zh-CN"/>
        </w:rPr>
        <w:t>）</w:t>
      </w:r>
      <w:r>
        <w:rPr>
          <w:rFonts w:hint="eastAsia" w:ascii="仿宋" w:hAnsi="仿宋" w:eastAsia="仿宋" w:cs="仿宋"/>
          <w:color w:val="auto"/>
          <w:kern w:val="2"/>
          <w:sz w:val="28"/>
          <w:szCs w:val="28"/>
          <w:highlight w:val="none"/>
          <w:lang w:val="en-US" w:eastAsia="zh-CN" w:bidi="ar-SA"/>
        </w:rPr>
        <w:t>未记载估价对象房屋的建成年份，经注册房地产估价师实地调查，房屋建成年代约为</w:t>
      </w:r>
      <w:r>
        <w:rPr>
          <w:rFonts w:hint="eastAsia" w:ascii="仿宋" w:hAnsi="仿宋" w:eastAsia="仿宋" w:cs="仿宋"/>
          <w:color w:val="060FCC"/>
          <w:kern w:val="2"/>
          <w:sz w:val="28"/>
          <w:szCs w:val="28"/>
          <w:highlight w:val="none"/>
          <w:lang w:val="en-US" w:eastAsia="zh-CN" w:bidi="ar-SA"/>
        </w:rPr>
        <w:t>2009年</w:t>
      </w:r>
      <w:r>
        <w:rPr>
          <w:rFonts w:hint="eastAsia" w:ascii="仿宋" w:hAnsi="仿宋" w:eastAsia="仿宋" w:cs="仿宋"/>
          <w:color w:val="auto"/>
          <w:kern w:val="2"/>
          <w:sz w:val="28"/>
          <w:szCs w:val="28"/>
          <w:highlight w:val="none"/>
          <w:lang w:val="en-US" w:eastAsia="zh-CN" w:bidi="ar-SA"/>
        </w:rPr>
        <w:t>，本次估价房屋建成年份以实际调查为准。</w:t>
      </w:r>
    </w:p>
    <w:p>
      <w:pPr>
        <w:pStyle w:val="9"/>
        <w:keepNext w:val="0"/>
        <w:keepLines w:val="0"/>
        <w:pageBreakBefore w:val="0"/>
        <w:widowControl w:val="0"/>
        <w:kinsoku/>
        <w:wordWrap/>
        <w:overflowPunct/>
        <w:topLinePunct w:val="0"/>
        <w:bidi w:val="0"/>
        <w:snapToGrid w:val="0"/>
        <w:spacing w:line="48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3、估价委托人出具的《司法鉴定委托书》未约定价值时点，经估价委托人同意，本次评估以估价人员实地查勘之日</w:t>
      </w:r>
      <w:r>
        <w:rPr>
          <w:rFonts w:hint="eastAsia" w:ascii="仿宋" w:hAnsi="仿宋" w:eastAsia="仿宋" w:cs="仿宋"/>
          <w:color w:val="060FCC"/>
          <w:sz w:val="28"/>
          <w:szCs w:val="28"/>
          <w:highlight w:val="none"/>
          <w:lang w:val="en-US" w:eastAsia="zh-CN"/>
        </w:rPr>
        <w:t>2022年06月10日</w:t>
      </w:r>
      <w:r>
        <w:rPr>
          <w:rFonts w:hint="eastAsia" w:ascii="仿宋" w:hAnsi="仿宋" w:eastAsia="仿宋" w:cs="仿宋"/>
          <w:color w:val="auto"/>
          <w:sz w:val="28"/>
          <w:szCs w:val="28"/>
          <w:highlight w:val="none"/>
          <w:lang w:val="en-US" w:eastAsia="zh-CN"/>
        </w:rPr>
        <w:t>为价值时点，若上述情况发生变化，需调整估价结果乃至重新估价。</w:t>
      </w:r>
    </w:p>
    <w:p>
      <w:pPr>
        <w:pStyle w:val="9"/>
        <w:keepNext w:val="0"/>
        <w:keepLines w:val="0"/>
        <w:pageBreakBefore w:val="0"/>
        <w:widowControl w:val="0"/>
        <w:kinsoku/>
        <w:wordWrap/>
        <w:overflowPunct/>
        <w:topLinePunct w:val="0"/>
        <w:bidi w:val="0"/>
        <w:snapToGrid w:val="0"/>
        <w:spacing w:line="48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4、国家宏观经济政策稳定，估价对象能够保持目前的使用环境和条件，不考虑偶发自然灾害或其他不可抗力对估价对象价值的影响。</w:t>
      </w:r>
    </w:p>
    <w:p>
      <w:pPr>
        <w:keepNext w:val="0"/>
        <w:keepLines w:val="0"/>
        <w:pageBreakBefore w:val="0"/>
        <w:widowControl w:val="0"/>
        <w:kinsoku/>
        <w:wordWrap/>
        <w:overflowPunct/>
        <w:topLinePunct w:val="0"/>
        <w:autoSpaceDE w:val="0"/>
        <w:autoSpaceDN w:val="0"/>
        <w:bidi w:val="0"/>
        <w:adjustRightInd w:val="0"/>
        <w:spacing w:line="480" w:lineRule="exact"/>
        <w:ind w:left="86" w:leftChars="27"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5、报告中需要注意的其他事项</w:t>
      </w:r>
    </w:p>
    <w:p>
      <w:pPr>
        <w:keepNext w:val="0"/>
        <w:keepLines w:val="0"/>
        <w:pageBreakBefore w:val="0"/>
        <w:widowControl w:val="0"/>
        <w:kinsoku/>
        <w:wordWrap/>
        <w:overflowPunct/>
        <w:topLinePunct w:val="0"/>
        <w:autoSpaceDE w:val="0"/>
        <w:autoSpaceDN w:val="0"/>
        <w:bidi w:val="0"/>
        <w:adjustRightInd w:val="0"/>
        <w:spacing w:line="480" w:lineRule="exact"/>
        <w:ind w:left="86" w:leftChars="27"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5.1需提醒委托人注意的是，估价对象为商品房，根据盐城市现行有关交易税费政策规定，转让方需缴纳相关税金及附加等，具体数额应根据当地税务部门核定数额确定。需特别提醒委托人注意的是，估价对象司法处置（或公开拍卖）后存在转让方不按照规定缴纳上述税费的可能性，导致由受让方代为转让方缴纳上述税费情形，因此报告使用人在确定拍卖底价时应当充分考虑估价对象处置时税费转嫁的影响，也应当提醒参拍人尤其是受让人要充分考虑估价对象处置时税费转嫁的负担。</w:t>
      </w:r>
    </w:p>
    <w:p>
      <w:pPr>
        <w:keepNext w:val="0"/>
        <w:keepLines w:val="0"/>
        <w:pageBreakBefore w:val="0"/>
        <w:widowControl w:val="0"/>
        <w:kinsoku/>
        <w:wordWrap/>
        <w:overflowPunct/>
        <w:topLinePunct w:val="0"/>
        <w:autoSpaceDE w:val="0"/>
        <w:autoSpaceDN w:val="0"/>
        <w:bidi w:val="0"/>
        <w:adjustRightInd w:val="0"/>
        <w:spacing w:line="480" w:lineRule="exact"/>
        <w:ind w:left="86" w:leftChars="27"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lang w:val="en-US" w:eastAsia="zh-CN"/>
        </w:rPr>
        <w:t>5.2本次估价报告所确定的房地产市场价值是指本次估价特定估价目的、价值时点及假设限制条件下的公开市场价值，未考虑强制处分与快速变现、处置费用、法律纠纷、担保物权、其他优先受偿款以及估价对象房地产所涉及的债权债务关系等因素的影响，委托人在利用本报告结果时，应仔细参阅本报告的内容并予以充分的考虑及重视，慎重决策。</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560" w:firstLineChars="200"/>
        <w:jc w:val="both"/>
        <w:textAlignment w:val="auto"/>
        <w:outlineLvl w:val="0"/>
        <w:rPr>
          <w:rFonts w:hint="eastAsia" w:ascii="仿宋" w:hAnsi="仿宋" w:eastAsia="仿宋" w:cs="仿宋"/>
          <w:color w:val="auto"/>
          <w:sz w:val="28"/>
          <w:szCs w:val="28"/>
        </w:rPr>
      </w:pPr>
      <w:bookmarkStart w:id="18" w:name="_Toc10069"/>
      <w:r>
        <w:rPr>
          <w:rFonts w:hint="eastAsia" w:ascii="仿宋" w:hAnsi="仿宋" w:eastAsia="仿宋" w:cs="仿宋"/>
          <w:color w:val="auto"/>
          <w:sz w:val="28"/>
          <w:szCs w:val="28"/>
        </w:rPr>
        <w:t>三、背离事实假设</w:t>
      </w:r>
      <w:bookmarkEnd w:id="18"/>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560" w:firstLineChars="200"/>
        <w:jc w:val="both"/>
        <w:textAlignment w:val="auto"/>
        <w:outlineLvl w:val="9"/>
        <w:rPr>
          <w:rFonts w:hint="eastAsia" w:ascii="仿宋" w:hAnsi="仿宋" w:eastAsia="仿宋" w:cs="仿宋"/>
          <w:color w:val="auto"/>
          <w:sz w:val="21"/>
          <w:szCs w:val="21"/>
          <w:lang w:val="en-US" w:eastAsia="zh-CN"/>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rPr>
        <w:t>根据估价委托人提供的估价对象</w:t>
      </w:r>
      <w:r>
        <w:rPr>
          <w:rFonts w:hint="eastAsia" w:ascii="仿宋" w:hAnsi="仿宋" w:eastAsia="仿宋" w:cs="仿宋"/>
          <w:color w:val="auto"/>
          <w:sz w:val="28"/>
          <w:szCs w:val="28"/>
          <w:lang w:eastAsia="zh-CN"/>
        </w:rPr>
        <w:t>《不动产登记簿查询记录》</w:t>
      </w:r>
      <w:r>
        <w:rPr>
          <w:rFonts w:hint="eastAsia" w:ascii="仿宋" w:hAnsi="仿宋" w:eastAsia="仿宋" w:cs="仿宋"/>
          <w:color w:val="auto"/>
          <w:sz w:val="28"/>
          <w:szCs w:val="28"/>
        </w:rPr>
        <w:t>（复印件）</w:t>
      </w:r>
      <w:r>
        <w:rPr>
          <w:rFonts w:hint="eastAsia" w:ascii="仿宋" w:hAnsi="仿宋" w:eastAsia="仿宋" w:cs="仿宋"/>
          <w:color w:val="auto"/>
          <w:sz w:val="28"/>
          <w:szCs w:val="28"/>
          <w:lang w:eastAsia="zh-CN"/>
        </w:rPr>
        <w:t>中反映：</w:t>
      </w:r>
      <w:r>
        <w:rPr>
          <w:rFonts w:hint="eastAsia" w:ascii="仿宋" w:hAnsi="仿宋" w:eastAsia="仿宋" w:cs="仿宋"/>
          <w:color w:val="060FCC"/>
          <w:sz w:val="28"/>
          <w:szCs w:val="28"/>
          <w:highlight w:val="none"/>
          <w:lang w:val="en-US" w:eastAsia="zh-CN"/>
        </w:rPr>
        <w:t>估价对象1）盐城市市区东进路美食街6幢401室，不动产权证书号苏（2017）盐城市不动产权第0076435号，</w:t>
      </w:r>
      <w:r>
        <w:rPr>
          <w:rFonts w:hint="eastAsia" w:ascii="仿宋" w:hAnsi="仿宋" w:eastAsia="仿宋" w:cs="仿宋"/>
          <w:color w:val="060FCC"/>
          <w:sz w:val="28"/>
          <w:szCs w:val="28"/>
          <w:lang w:eastAsia="zh-CN"/>
        </w:rPr>
        <w:t>于</w:t>
      </w:r>
      <w:r>
        <w:rPr>
          <w:rFonts w:hint="eastAsia" w:ascii="仿宋" w:hAnsi="仿宋" w:eastAsia="仿宋" w:cs="仿宋"/>
          <w:color w:val="060FCC"/>
          <w:sz w:val="28"/>
          <w:szCs w:val="28"/>
          <w:lang w:val="en-US" w:eastAsia="zh-CN"/>
        </w:rPr>
        <w:t>2010年04月16日</w:t>
      </w:r>
      <w:r>
        <w:rPr>
          <w:rFonts w:hint="eastAsia" w:ascii="仿宋" w:hAnsi="仿宋" w:eastAsia="仿宋" w:cs="仿宋"/>
          <w:color w:val="060FCC"/>
          <w:sz w:val="28"/>
          <w:szCs w:val="28"/>
          <w:lang w:eastAsia="zh-CN"/>
        </w:rPr>
        <w:t>设立了抵押权</w:t>
      </w:r>
      <w:r>
        <w:rPr>
          <w:rFonts w:hint="eastAsia" w:ascii="仿宋" w:hAnsi="仿宋" w:eastAsia="仿宋" w:cs="仿宋"/>
          <w:color w:val="060FCC"/>
          <w:sz w:val="28"/>
          <w:szCs w:val="28"/>
          <w:highlight w:val="none"/>
          <w:lang w:val="en-US" w:eastAsia="zh-CN"/>
        </w:rPr>
        <w:t>；估价对象2）盐城市市区东进路美食街6幢40室房地产，不动产权证书号苏（2017）盐城市不动产权第0076436号，</w:t>
      </w:r>
      <w:r>
        <w:rPr>
          <w:rFonts w:hint="eastAsia" w:ascii="仿宋" w:hAnsi="仿宋" w:eastAsia="仿宋" w:cs="仿宋"/>
          <w:color w:val="060FCC"/>
          <w:sz w:val="28"/>
          <w:szCs w:val="28"/>
          <w:lang w:eastAsia="zh-CN"/>
        </w:rPr>
        <w:t>于</w:t>
      </w:r>
      <w:r>
        <w:rPr>
          <w:rFonts w:hint="eastAsia" w:ascii="仿宋" w:hAnsi="仿宋" w:eastAsia="仿宋" w:cs="仿宋"/>
          <w:color w:val="060FCC"/>
          <w:sz w:val="28"/>
          <w:szCs w:val="28"/>
          <w:lang w:val="en-US" w:eastAsia="zh-CN"/>
        </w:rPr>
        <w:t>2017年12月11日</w:t>
      </w:r>
      <w:r>
        <w:rPr>
          <w:rFonts w:hint="eastAsia" w:ascii="仿宋" w:hAnsi="仿宋" w:eastAsia="仿宋" w:cs="仿宋"/>
          <w:color w:val="060FCC"/>
          <w:sz w:val="28"/>
          <w:szCs w:val="28"/>
          <w:lang w:eastAsia="zh-CN"/>
        </w:rPr>
        <w:t>设立了抵押权</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highlight w:val="none"/>
          <w:lang w:eastAsia="zh-CN"/>
        </w:rPr>
        <w:t>估价对象设立了抵押权，未明确是否注销，</w:t>
      </w:r>
      <w:r>
        <w:rPr>
          <w:rFonts w:hint="eastAsia" w:ascii="仿宋" w:hAnsi="仿宋" w:eastAsia="仿宋" w:cs="仿宋"/>
          <w:color w:val="auto"/>
          <w:sz w:val="28"/>
          <w:szCs w:val="28"/>
          <w:highlight w:val="none"/>
          <w:lang w:val="en-US" w:eastAsia="zh-CN"/>
        </w:rPr>
        <w:t>且被多家法院查封。</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560" w:firstLineChars="200"/>
        <w:jc w:val="both"/>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由于本次估价目的为司法鉴定市场价值评估，在房地产司法拍卖中，原有的担保物权因拍卖而消灭，查封等限制权利因拍卖而解除，因此不考虑抵押权、查封限制和法定优先受偿款对估价对象房地产市场价值的影响，</w:t>
      </w:r>
      <w:r>
        <w:rPr>
          <w:rFonts w:hint="eastAsia" w:ascii="仿宋" w:eastAsia="仿宋"/>
          <w:color w:val="auto"/>
          <w:sz w:val="28"/>
          <w:lang w:eastAsia="zh-CN"/>
        </w:rPr>
        <w:t>也</w:t>
      </w:r>
      <w:r>
        <w:rPr>
          <w:rFonts w:ascii="仿宋" w:eastAsia="仿宋"/>
          <w:color w:val="auto"/>
          <w:sz w:val="28"/>
        </w:rPr>
        <w:t>未考虑委托方短期强制处分及抵押到期清偿因素等对估价结果的影响</w:t>
      </w:r>
      <w:r>
        <w:rPr>
          <w:rFonts w:hint="eastAsia" w:ascii="仿宋" w:eastAsia="仿宋"/>
          <w:color w:val="auto"/>
          <w:sz w:val="28"/>
          <w:lang w:eastAsia="zh-CN"/>
        </w:rPr>
        <w:t>。</w:t>
      </w:r>
      <w:r>
        <w:rPr>
          <w:rFonts w:hint="eastAsia" w:ascii="仿宋" w:hAnsi="仿宋" w:eastAsia="仿宋" w:cs="仿宋"/>
          <w:color w:val="auto"/>
          <w:sz w:val="28"/>
          <w:szCs w:val="28"/>
          <w:highlight w:val="none"/>
          <w:lang w:val="en-US" w:eastAsia="zh-CN"/>
        </w:rPr>
        <w:t>提请报告使用人关注估价对象抵押权和法定优先受偿款状况，并按照有关法律规定对抵押权和法定优先受偿款进行处理。</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560" w:firstLineChars="200"/>
        <w:jc w:val="both"/>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本次估价结果是为确定房地产司法鉴定提供参考依据，未考虑因处分时点与价值时点不一致带来国家宏观经济政策发生变化、市场供应关系变化、市场结构转变、遇有自然力和其他不可抗力等因素对房地产价值的影响，也没有考虑估价对象实体状况、区位状况以及权益状况发生变化对房地产价值的影响，以及特殊交易方式下的特殊交易价格等对估价结果的影响。当上述条件发生变化时，估价结果一般也会发生变化。</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560" w:firstLineChars="200"/>
        <w:jc w:val="both"/>
        <w:textAlignment w:val="auto"/>
        <w:outlineLvl w:val="0"/>
        <w:rPr>
          <w:rFonts w:hint="eastAsia" w:ascii="仿宋" w:hAnsi="仿宋" w:eastAsia="仿宋" w:cs="仿宋"/>
          <w:color w:val="auto"/>
          <w:sz w:val="28"/>
          <w:szCs w:val="28"/>
          <w:highlight w:val="none"/>
          <w:lang w:val="en-US" w:eastAsia="zh-CN"/>
        </w:rPr>
      </w:pPr>
      <w:bookmarkStart w:id="19" w:name="_Toc2066"/>
      <w:r>
        <w:rPr>
          <w:rFonts w:hint="eastAsia" w:ascii="仿宋" w:hAnsi="仿宋" w:eastAsia="仿宋" w:cs="仿宋"/>
          <w:color w:val="auto"/>
          <w:sz w:val="28"/>
          <w:szCs w:val="28"/>
          <w:highlight w:val="none"/>
          <w:lang w:val="en-US" w:eastAsia="zh-CN"/>
        </w:rPr>
        <w:t>四、不相一致假设</w:t>
      </w:r>
      <w:bookmarkEnd w:id="19"/>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560" w:firstLineChars="200"/>
        <w:jc w:val="both"/>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无不相一致假设。</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560" w:firstLineChars="200"/>
        <w:jc w:val="both"/>
        <w:textAlignment w:val="auto"/>
        <w:outlineLvl w:val="0"/>
        <w:rPr>
          <w:rFonts w:hint="eastAsia" w:ascii="仿宋" w:hAnsi="仿宋" w:eastAsia="仿宋" w:cs="仿宋"/>
          <w:color w:val="auto"/>
          <w:sz w:val="28"/>
          <w:szCs w:val="28"/>
          <w:highlight w:val="none"/>
          <w:lang w:val="en-US" w:eastAsia="zh-CN"/>
        </w:rPr>
      </w:pPr>
      <w:bookmarkStart w:id="20" w:name="_Toc16862"/>
      <w:r>
        <w:rPr>
          <w:rFonts w:hint="eastAsia" w:ascii="仿宋" w:hAnsi="仿宋" w:eastAsia="仿宋" w:cs="仿宋"/>
          <w:color w:val="auto"/>
          <w:sz w:val="28"/>
          <w:szCs w:val="28"/>
          <w:highlight w:val="none"/>
          <w:lang w:val="en-US" w:eastAsia="zh-CN"/>
        </w:rPr>
        <w:t>五、依据不足假设</w:t>
      </w:r>
      <w:bookmarkEnd w:id="20"/>
    </w:p>
    <w:p>
      <w:pPr>
        <w:autoSpaceDE w:val="0"/>
        <w:autoSpaceDN w:val="0"/>
        <w:adjustRightInd w:val="0"/>
        <w:spacing w:line="500" w:lineRule="exact"/>
        <w:ind w:firstLine="560" w:firstLineChars="200"/>
        <w:rPr>
          <w:rFonts w:eastAsia="仿宋"/>
          <w:color w:val="000000"/>
          <w:sz w:val="28"/>
          <w:szCs w:val="28"/>
          <w:highlight w:val="none"/>
        </w:rPr>
      </w:pPr>
      <w:bookmarkStart w:id="21" w:name="_Toc5536"/>
      <w:r>
        <w:rPr>
          <w:rFonts w:eastAsia="仿宋"/>
          <w:color w:val="000000"/>
          <w:sz w:val="28"/>
          <w:szCs w:val="28"/>
          <w:highlight w:val="none"/>
        </w:rPr>
        <w:t>无</w:t>
      </w:r>
      <w:r>
        <w:rPr>
          <w:rFonts w:hint="eastAsia" w:eastAsia="仿宋"/>
          <w:color w:val="000000"/>
          <w:sz w:val="28"/>
          <w:szCs w:val="28"/>
          <w:highlight w:val="none"/>
        </w:rPr>
        <w:t>依据不足</w:t>
      </w:r>
      <w:r>
        <w:rPr>
          <w:rFonts w:eastAsia="仿宋"/>
          <w:color w:val="000000"/>
          <w:sz w:val="28"/>
          <w:szCs w:val="28"/>
          <w:highlight w:val="none"/>
        </w:rPr>
        <w:t>假设。</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560" w:firstLineChars="200"/>
        <w:jc w:val="both"/>
        <w:textAlignment w:val="auto"/>
        <w:outlineLvl w:val="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六、估价报告使用限制</w:t>
      </w:r>
      <w:bookmarkEnd w:id="21"/>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lang w:val="en-US" w:eastAsia="zh-CN"/>
        </w:rPr>
        <w:t>若房地产市场无重大波动，本估价报告自出具日起</w:t>
      </w:r>
      <w:r>
        <w:rPr>
          <w:rFonts w:hint="eastAsia" w:ascii="仿宋" w:hAnsi="仿宋" w:eastAsia="仿宋" w:cs="仿宋"/>
          <w:color w:val="auto"/>
          <w:sz w:val="28"/>
          <w:szCs w:val="28"/>
        </w:rPr>
        <w:t>为壹年</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即从</w:t>
      </w:r>
      <w:r>
        <w:rPr>
          <w:rFonts w:hint="eastAsia" w:ascii="仿宋" w:hAnsi="仿宋" w:eastAsia="仿宋" w:cs="仿宋"/>
          <w:color w:val="060FCC"/>
          <w:sz w:val="28"/>
          <w:szCs w:val="28"/>
          <w:highlight w:val="none"/>
          <w:lang w:val="en-US" w:eastAsia="zh-CN"/>
        </w:rPr>
        <w:t>2022年07月09日至2023年07月08日</w:t>
      </w:r>
      <w:r>
        <w:rPr>
          <w:rFonts w:hint="eastAsia" w:ascii="仿宋" w:hAnsi="仿宋" w:eastAsia="仿宋" w:cs="仿宋"/>
          <w:color w:val="auto"/>
          <w:sz w:val="28"/>
          <w:szCs w:val="28"/>
          <w:highlight w:val="none"/>
        </w:rPr>
        <w:t>止。随着时间的推移，国家宏观经济环</w:t>
      </w:r>
      <w:r>
        <w:rPr>
          <w:rFonts w:hint="eastAsia" w:ascii="仿宋" w:hAnsi="仿宋" w:eastAsia="仿宋" w:cs="仿宋"/>
          <w:color w:val="auto"/>
          <w:sz w:val="28"/>
          <w:szCs w:val="28"/>
        </w:rPr>
        <w:t>境、估价对象所处区域环境、估价对象本身的物理状况、房地产市场供求状况等因素均会发生变化，评估价值也需作相应调整</w:t>
      </w:r>
      <w:r>
        <w:rPr>
          <w:rFonts w:hint="eastAsia" w:ascii="仿宋" w:hAnsi="仿宋" w:eastAsia="仿宋" w:cs="仿宋"/>
          <w:color w:val="auto"/>
          <w:sz w:val="28"/>
          <w:szCs w:val="28"/>
          <w:lang w:eastAsia="zh-CN"/>
        </w:rPr>
        <w:t>。</w:t>
      </w:r>
    </w:p>
    <w:p>
      <w:pPr>
        <w:pStyle w:val="56"/>
        <w:keepNext w:val="0"/>
        <w:keepLines w:val="0"/>
        <w:pageBreakBefore w:val="0"/>
        <w:widowControl w:val="0"/>
        <w:numPr>
          <w:ilvl w:val="0"/>
          <w:numId w:val="0"/>
        </w:numPr>
        <w:kinsoku/>
        <w:wordWrap/>
        <w:overflowPunct/>
        <w:topLinePunct w:val="0"/>
        <w:bidi w:val="0"/>
        <w:adjustRightInd/>
        <w:snapToGrid/>
        <w:spacing w:line="480" w:lineRule="exact"/>
        <w:ind w:left="0" w:leftChars="0"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kern w:val="2"/>
          <w:sz w:val="28"/>
          <w:szCs w:val="28"/>
          <w:lang w:val="en-US" w:eastAsia="zh-CN" w:bidi="ar-SA"/>
        </w:rPr>
        <w:t>本报告出具之估价结论系为</w:t>
      </w:r>
      <w:r>
        <w:rPr>
          <w:rFonts w:hint="eastAsia" w:ascii="仿宋" w:hAnsi="仿宋" w:eastAsia="仿宋" w:cs="仿宋"/>
          <w:color w:val="auto"/>
          <w:sz w:val="28"/>
          <w:szCs w:val="28"/>
          <w:lang w:val="en-US" w:eastAsia="zh-CN"/>
        </w:rPr>
        <w:t>委托人提供涉案房地产司法鉴定价格提供参考依据而评估委估房地产市场价值。</w:t>
      </w:r>
      <w:r>
        <w:rPr>
          <w:rFonts w:hint="eastAsia" w:ascii="仿宋" w:hAnsi="仿宋" w:eastAsia="仿宋" w:cs="仿宋"/>
          <w:color w:val="auto"/>
          <w:kern w:val="2"/>
          <w:sz w:val="28"/>
          <w:szCs w:val="28"/>
          <w:lang w:val="en-US" w:eastAsia="zh-CN" w:bidi="ar-SA"/>
        </w:rPr>
        <w:t>若改变估价目的及使用条件，需向本公司咨询后作必要调整甚至重新估价</w:t>
      </w:r>
      <w:r>
        <w:rPr>
          <w:rFonts w:hint="eastAsia" w:ascii="仿宋" w:hAnsi="仿宋" w:eastAsia="仿宋" w:cs="仿宋"/>
          <w:color w:val="auto"/>
          <w:sz w:val="28"/>
          <w:szCs w:val="28"/>
        </w:rPr>
        <w:t>。</w:t>
      </w:r>
    </w:p>
    <w:p>
      <w:pPr>
        <w:pStyle w:val="56"/>
        <w:keepNext w:val="0"/>
        <w:keepLines w:val="0"/>
        <w:pageBreakBefore w:val="0"/>
        <w:widowControl w:val="0"/>
        <w:numPr>
          <w:ilvl w:val="0"/>
          <w:numId w:val="0"/>
        </w:numPr>
        <w:kinsoku/>
        <w:wordWrap/>
        <w:overflowPunct/>
        <w:topLinePunct w:val="0"/>
        <w:bidi w:val="0"/>
        <w:adjustRightInd/>
        <w:snapToGrid/>
        <w:spacing w:line="480" w:lineRule="exact"/>
        <w:ind w:left="0" w:leftChars="0" w:firstLine="560" w:firstLineChars="200"/>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3、本次</w:t>
      </w:r>
      <w:r>
        <w:rPr>
          <w:rFonts w:hint="eastAsia" w:ascii="仿宋" w:hAnsi="仿宋" w:eastAsia="仿宋" w:cs="仿宋"/>
          <w:color w:val="auto"/>
          <w:kern w:val="2"/>
          <w:sz w:val="28"/>
          <w:szCs w:val="28"/>
          <w:highlight w:val="none"/>
          <w:lang w:val="en-US" w:eastAsia="zh-CN" w:bidi="ar-SA"/>
        </w:rPr>
        <w:t>估价室内</w:t>
      </w:r>
      <w:r>
        <w:rPr>
          <w:rFonts w:hint="eastAsia" w:ascii="仿宋" w:hAnsi="仿宋" w:eastAsia="仿宋" w:cs="仿宋"/>
          <w:color w:val="060FCC"/>
          <w:kern w:val="2"/>
          <w:sz w:val="28"/>
          <w:szCs w:val="28"/>
          <w:highlight w:val="none"/>
          <w:lang w:val="en-US" w:eastAsia="zh-CN" w:bidi="ar-SA"/>
        </w:rPr>
        <w:t>装饰装修</w:t>
      </w:r>
      <w:r>
        <w:rPr>
          <w:rFonts w:hint="eastAsia" w:ascii="仿宋" w:hAnsi="仿宋" w:eastAsia="仿宋" w:cs="仿宋"/>
          <w:color w:val="auto"/>
          <w:kern w:val="2"/>
          <w:sz w:val="28"/>
          <w:szCs w:val="28"/>
          <w:highlight w:val="none"/>
          <w:lang w:val="en-US" w:eastAsia="zh-CN" w:bidi="ar-SA"/>
        </w:rPr>
        <w:t>结合市场调查类似二手房交易时包含的室内装潢综合确定，一般包括固定于室内墙面、顶面、地面等部位的装饰装潢、柜、隔断、门窗、灯具、厨卫设施等。</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firstLine="560" w:firstLineChars="200"/>
        <w:rPr>
          <w:rFonts w:hint="eastAsia" w:ascii="仿宋" w:hAnsi="仿宋" w:eastAsia="仿宋" w:cs="仿宋"/>
          <w:color w:val="auto"/>
          <w:sz w:val="28"/>
          <w:szCs w:val="28"/>
          <w:highlight w:val="none"/>
        </w:rPr>
      </w:pPr>
      <w:r>
        <w:rPr>
          <w:rFonts w:hint="eastAsia" w:ascii="仿宋" w:hAnsi="仿宋" w:eastAsia="仿宋" w:cs="仿宋"/>
          <w:kern w:val="2"/>
          <w:sz w:val="28"/>
          <w:szCs w:val="28"/>
          <w:highlight w:val="none"/>
          <w:lang w:val="en-US" w:eastAsia="zh-CN" w:bidi="ar-SA"/>
        </w:rPr>
        <w:t>4</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000000"/>
          <w:kern w:val="2"/>
          <w:sz w:val="28"/>
          <w:szCs w:val="28"/>
          <w:highlight w:val="none"/>
          <w:lang w:val="en-US" w:eastAsia="zh-CN" w:bidi="ar-SA"/>
        </w:rPr>
        <w:t>本估价报告分为“估价结果报告”和“估价技术报告”两部分。</w:t>
      </w:r>
      <w:r>
        <w:rPr>
          <w:rFonts w:hint="eastAsia" w:ascii="仿宋" w:hAnsi="仿宋" w:eastAsia="仿宋" w:cs="仿宋"/>
          <w:color w:val="auto"/>
          <w:sz w:val="28"/>
          <w:szCs w:val="28"/>
          <w:highlight w:val="none"/>
        </w:rPr>
        <w:t>“估价结果报告”提供给估价委托人，“估价技术报告”根据有关规定由估价机构存档</w:t>
      </w:r>
      <w:r>
        <w:rPr>
          <w:rFonts w:hint="eastAsia" w:ascii="仿宋" w:hAnsi="仿宋" w:eastAsia="仿宋" w:cs="仿宋"/>
          <w:color w:val="auto"/>
          <w:sz w:val="28"/>
          <w:szCs w:val="28"/>
          <w:highlight w:val="none"/>
          <w:lang w:eastAsia="zh-CN"/>
        </w:rPr>
        <w:t>或在</w:t>
      </w:r>
      <w:r>
        <w:rPr>
          <w:rFonts w:hint="eastAsia" w:ascii="仿宋" w:hAnsi="仿宋" w:eastAsia="仿宋" w:cs="仿宋"/>
          <w:color w:val="auto"/>
          <w:sz w:val="28"/>
          <w:szCs w:val="28"/>
          <w:highlight w:val="none"/>
        </w:rPr>
        <w:t>上级主管部门审查使用。</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未经估价机构书面同意，本估价报告的全部或部分及任何参考资料均不允许在任何公开发表的文件、通告或声明中引用，亦不得以其他任何方式公开发表。</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本估价报告结果包含与房屋不可分割的满足其使用功能的水、电、气以及配套的所有相关辅助设施的价值，但不涉及独立于建筑物的设施和设备等(该类设备的有无，不影响建筑物的正常使用)。</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w:t>
      </w:r>
      <w:r>
        <w:rPr>
          <w:rFonts w:hint="eastAsia" w:ascii="仿宋" w:hAnsi="仿宋" w:eastAsia="仿宋" w:cs="仿宋"/>
          <w:color w:val="auto"/>
          <w:sz w:val="28"/>
          <w:szCs w:val="28"/>
          <w:highlight w:val="none"/>
        </w:rPr>
        <w:t>房地产价值的体现是土地和建筑物共同产生收益的结果，本报告对估价结果中的土地使用权价值和建筑物价值进行合一。</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除本公司出具估价报告正本外，其他任何复印件、影印件均无法律效力。</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本估价报告的估价结果是以估价对象房地产在价值时点的状况和估价报告对估价对象房地产的假设和限制条件为依据进行估价，如果房地产状况或估价报告中对估价对象房地产的假设和限制条件发生变化，估价结果应作相应调整。</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auto"/>
          <w:sz w:val="28"/>
          <w:szCs w:val="28"/>
          <w:highlight w:val="none"/>
        </w:rPr>
        <w:t>本估价报告仅限于中华人民共和国境内使用，用除中文以外的其</w:t>
      </w:r>
      <w:r>
        <w:rPr>
          <w:rFonts w:hint="eastAsia" w:ascii="仿宋" w:hAnsi="仿宋" w:eastAsia="仿宋" w:cs="仿宋"/>
          <w:color w:val="auto"/>
          <w:sz w:val="28"/>
          <w:szCs w:val="28"/>
          <w:highlight w:val="none"/>
          <w:lang w:eastAsia="zh-CN"/>
        </w:rPr>
        <w:t>他</w:t>
      </w:r>
      <w:r>
        <w:rPr>
          <w:rFonts w:hint="eastAsia" w:ascii="仿宋" w:hAnsi="仿宋" w:eastAsia="仿宋" w:cs="仿宋"/>
          <w:color w:val="auto"/>
          <w:sz w:val="28"/>
          <w:szCs w:val="28"/>
          <w:highlight w:val="none"/>
        </w:rPr>
        <w:t>文字制作本报告，须经受托估价方和制作本报告的</w:t>
      </w:r>
      <w:r>
        <w:rPr>
          <w:rFonts w:hint="eastAsia" w:ascii="仿宋" w:hAnsi="仿宋" w:eastAsia="仿宋" w:cs="仿宋"/>
          <w:color w:val="auto"/>
          <w:sz w:val="28"/>
          <w:szCs w:val="28"/>
          <w:highlight w:val="none"/>
          <w:lang w:eastAsia="zh-CN"/>
        </w:rPr>
        <w:t>注册</w:t>
      </w:r>
      <w:r>
        <w:rPr>
          <w:rFonts w:hint="eastAsia" w:ascii="仿宋" w:hAnsi="仿宋" w:eastAsia="仿宋" w:cs="仿宋"/>
          <w:color w:val="auto"/>
          <w:sz w:val="28"/>
          <w:szCs w:val="28"/>
          <w:highlight w:val="none"/>
        </w:rPr>
        <w:t>房地产估价师认可。</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本评估报告结论是为估价委托人提供的专业性估价意见，该意见本身并无强制执行的效力，故估价师仅对结论本身符合规范要求负责，而不对房地产定价决策负责</w:t>
      </w:r>
      <w:r>
        <w:rPr>
          <w:rFonts w:hint="eastAsia" w:ascii="仿宋" w:hAnsi="仿宋" w:eastAsia="仿宋" w:cs="仿宋"/>
          <w:color w:val="auto"/>
          <w:sz w:val="28"/>
          <w:szCs w:val="28"/>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firstLine="560" w:firstLineChars="200"/>
        <w:rPr>
          <w:rFonts w:hint="eastAsia" w:ascii="仿宋" w:hAnsi="仿宋" w:eastAsia="仿宋" w:cs="仿宋"/>
          <w:color w:val="auto"/>
          <w:sz w:val="28"/>
          <w:szCs w:val="28"/>
          <w:highlight w:val="none"/>
        </w:rPr>
      </w:pPr>
      <w:r>
        <w:rPr>
          <w:rFonts w:hint="eastAsia" w:ascii="仿宋" w:hAnsi="仿宋" w:eastAsia="仿宋" w:cs="仿宋"/>
          <w:sz w:val="28"/>
          <w:szCs w:val="28"/>
          <w:highlight w:val="none"/>
          <w:lang w:val="en-US" w:eastAsia="zh-CN"/>
        </w:rPr>
        <w:t>12</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由于估价</w:t>
      </w:r>
      <w:r>
        <w:rPr>
          <w:rFonts w:hint="eastAsia" w:ascii="仿宋" w:hAnsi="仿宋" w:eastAsia="仿宋" w:cs="仿宋"/>
          <w:color w:val="auto"/>
          <w:sz w:val="28"/>
          <w:szCs w:val="28"/>
          <w:highlight w:val="none"/>
          <w:lang w:eastAsia="zh-CN"/>
        </w:rPr>
        <w:t>过程</w:t>
      </w:r>
      <w:r>
        <w:rPr>
          <w:rFonts w:hint="eastAsia" w:ascii="仿宋" w:hAnsi="仿宋" w:eastAsia="仿宋" w:cs="仿宋"/>
          <w:color w:val="auto"/>
          <w:sz w:val="28"/>
          <w:szCs w:val="28"/>
          <w:highlight w:val="none"/>
        </w:rPr>
        <w:t>中采用EXCEL表格</w:t>
      </w:r>
      <w:r>
        <w:rPr>
          <w:rFonts w:hint="eastAsia" w:ascii="仿宋" w:hAnsi="仿宋" w:eastAsia="仿宋" w:cs="仿宋"/>
          <w:color w:val="auto"/>
          <w:sz w:val="28"/>
          <w:szCs w:val="28"/>
          <w:highlight w:val="none"/>
          <w:lang w:eastAsia="zh-CN"/>
        </w:rPr>
        <w:t>测</w:t>
      </w:r>
      <w:r>
        <w:rPr>
          <w:rFonts w:hint="eastAsia" w:ascii="仿宋" w:hAnsi="仿宋" w:eastAsia="仿宋" w:cs="仿宋"/>
          <w:color w:val="auto"/>
          <w:sz w:val="28"/>
          <w:szCs w:val="28"/>
          <w:highlight w:val="none"/>
        </w:rPr>
        <w:t>算，因EXCEL的特性(计算过程中表格内小数点的取舍)。可能会带来有些中间数据稍有偏差，但此偏差不影响最终结果，特此说明。</w:t>
      </w:r>
    </w:p>
    <w:p>
      <w:pPr>
        <w:pStyle w:val="56"/>
        <w:keepNext w:val="0"/>
        <w:keepLines w:val="0"/>
        <w:pageBreakBefore w:val="0"/>
        <w:widowControl w:val="0"/>
        <w:numPr>
          <w:ilvl w:val="0"/>
          <w:numId w:val="0"/>
        </w:numPr>
        <w:kinsoku/>
        <w:wordWrap/>
        <w:overflowPunct/>
        <w:topLinePunct w:val="0"/>
        <w:bidi w:val="0"/>
        <w:snapToGrid/>
        <w:spacing w:line="480" w:lineRule="exact"/>
        <w:ind w:left="0" w:leftChars="0" w:firstLine="560" w:firstLineChars="200"/>
        <w:rPr>
          <w:rFonts w:hint="eastAsia" w:ascii="仿宋" w:hAnsi="仿宋" w:eastAsia="仿宋" w:cs="仿宋"/>
          <w:color w:val="0000FF"/>
          <w:kern w:val="2"/>
          <w:sz w:val="28"/>
          <w:szCs w:val="28"/>
          <w:highlight w:val="none"/>
          <w:lang w:val="en-US" w:eastAsia="zh-CN" w:bidi="ar-SA"/>
        </w:rPr>
      </w:pPr>
      <w:r>
        <w:rPr>
          <w:rFonts w:hint="eastAsia" w:ascii="仿宋" w:hAnsi="仿宋" w:eastAsia="仿宋" w:cs="仿宋"/>
          <w:color w:val="000000"/>
          <w:kern w:val="2"/>
          <w:sz w:val="28"/>
          <w:szCs w:val="28"/>
          <w:highlight w:val="none"/>
          <w:lang w:val="en-US" w:eastAsia="zh-CN" w:bidi="ar-SA"/>
        </w:rPr>
        <w:t>13</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kern w:val="2"/>
          <w:sz w:val="28"/>
          <w:szCs w:val="28"/>
          <w:highlight w:val="none"/>
          <w:lang w:val="en-US" w:eastAsia="zh-CN" w:bidi="ar-SA"/>
        </w:rPr>
        <w:t>本报告结果的有效性受到本报告规定的价值时点、估价目的、价值定义、估价结果有效期、估价对象的权利状态和实体状态以及估价假设限制条件等估价要素的约束和限制，本评估结果的使用也受到本报告及附件中相关解释、说明的约束和限制。估价对象如存在价值时点、估价目的、价值定义、估价结果有效期、估价对象的权利状态和实体状态与本报告不一致，应当调整估价报告。</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14、本次估价专业意见是交易税费按照国家有关规定正常负担状况下的价格，假定不存在交易过程中税费转嫁的影响。</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textAlignment w:val="auto"/>
        <w:rPr>
          <w:rFonts w:hint="eastAsia" w:hAnsi="仿宋" w:cs="黑体"/>
          <w:color w:val="auto"/>
          <w:sz w:val="28"/>
          <w:highlight w:val="none"/>
        </w:rPr>
      </w:pPr>
      <w:r>
        <w:rPr>
          <w:rFonts w:hint="eastAsia" w:ascii="仿宋" w:hAnsi="仿宋" w:eastAsia="仿宋" w:cs="仿宋"/>
          <w:b w:val="0"/>
          <w:bCs w:val="0"/>
          <w:color w:val="auto"/>
          <w:kern w:val="2"/>
          <w:sz w:val="28"/>
          <w:szCs w:val="28"/>
          <w:highlight w:val="none"/>
          <w:lang w:val="en-US" w:eastAsia="zh-CN" w:bidi="ar-SA"/>
        </w:rPr>
        <w:t>15</w:t>
      </w:r>
      <w:r>
        <w:rPr>
          <w:rFonts w:hint="eastAsia" w:ascii="仿宋" w:hAnsi="仿宋" w:eastAsia="仿宋" w:cs="仿宋"/>
          <w:color w:val="auto"/>
          <w:sz w:val="28"/>
          <w:szCs w:val="28"/>
          <w:highlight w:val="none"/>
          <w:lang w:val="en-US" w:eastAsia="zh-CN"/>
        </w:rPr>
        <w:t>、</w:t>
      </w:r>
      <w:r>
        <w:rPr>
          <w:rFonts w:hint="eastAsia" w:ascii="仿宋" w:hAnsi="仿宋" w:eastAsia="仿宋" w:cs="仿宋"/>
          <w:b w:val="0"/>
          <w:bCs w:val="0"/>
          <w:color w:val="auto"/>
          <w:kern w:val="2"/>
          <w:sz w:val="28"/>
          <w:szCs w:val="28"/>
          <w:highlight w:val="none"/>
          <w:lang w:val="en-US" w:eastAsia="zh-CN" w:bidi="ar-SA"/>
        </w:rPr>
        <w:t>本估价报告由江苏安达土地房地产评估测绘有限公司负责解释。</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textAlignment w:val="auto"/>
        <w:rPr>
          <w:rFonts w:hint="eastAsia" w:hAnsi="仿宋" w:cs="黑体"/>
          <w:color w:val="auto"/>
          <w:sz w:val="28"/>
        </w:rPr>
      </w:pPr>
    </w:p>
    <w:p>
      <w:pPr>
        <w:pStyle w:val="2"/>
        <w:keepLines w:val="0"/>
        <w:pageBreakBefore w:val="0"/>
        <w:widowControl w:val="0"/>
        <w:kinsoku/>
        <w:wordWrap/>
        <w:overflowPunct/>
        <w:topLinePunct w:val="0"/>
        <w:bidi w:val="0"/>
        <w:spacing w:line="460" w:lineRule="exact"/>
        <w:jc w:val="center"/>
        <w:rPr>
          <w:rFonts w:hint="eastAsia" w:ascii="仿宋_GB2312" w:hAnsi="仿宋_GB2312" w:eastAsia="仿宋_GB2312" w:cs="仿宋_GB2312"/>
          <w:color w:val="auto"/>
          <w:sz w:val="32"/>
          <w:szCs w:val="32"/>
        </w:rPr>
      </w:pPr>
      <w:bookmarkStart w:id="22" w:name="_Toc17417"/>
      <w:r>
        <w:rPr>
          <w:rFonts w:hint="eastAsia"/>
          <w:color w:val="auto"/>
          <w:sz w:val="32"/>
          <w:szCs w:val="32"/>
        </w:rPr>
        <w:br w:type="page"/>
      </w:r>
      <w:bookmarkStart w:id="23" w:name="_Toc5979"/>
      <w:r>
        <w:rPr>
          <w:rFonts w:hint="eastAsia"/>
          <w:color w:val="auto"/>
          <w:sz w:val="32"/>
          <w:szCs w:val="32"/>
        </w:rPr>
        <w:t>房地产估价结果报告</w:t>
      </w:r>
      <w:bookmarkEnd w:id="22"/>
      <w:bookmarkEnd w:id="2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outlineLvl w:val="0"/>
        <w:rPr>
          <w:rFonts w:hint="eastAsia" w:ascii="仿宋" w:hAnsi="仿宋" w:eastAsia="仿宋" w:cs="仿宋"/>
          <w:b/>
          <w:bCs w:val="0"/>
          <w:color w:val="auto"/>
          <w:sz w:val="28"/>
          <w:szCs w:val="28"/>
        </w:rPr>
      </w:pPr>
      <w:bookmarkStart w:id="24" w:name="_Toc23001"/>
      <w:bookmarkStart w:id="25" w:name="_Toc18813"/>
      <w:r>
        <w:rPr>
          <w:rFonts w:hint="eastAsia" w:ascii="仿宋" w:hAnsi="仿宋" w:eastAsia="仿宋" w:cs="仿宋"/>
          <w:b/>
          <w:bCs w:val="0"/>
          <w:color w:val="auto"/>
          <w:sz w:val="28"/>
          <w:szCs w:val="28"/>
        </w:rPr>
        <w:t>一、估价委托人</w:t>
      </w:r>
      <w:bookmarkEnd w:id="24"/>
      <w:bookmarkEnd w:id="25"/>
      <w:r>
        <w:rPr>
          <w:rFonts w:hint="eastAsia" w:ascii="仿宋" w:hAnsi="仿宋" w:eastAsia="仿宋" w:cs="仿宋"/>
          <w:b/>
          <w:bCs w:val="0"/>
          <w:color w:val="auto"/>
          <w:sz w:val="28"/>
          <w:szCs w:val="28"/>
        </w:rPr>
        <w:t xml:space="preserve"> </w:t>
      </w:r>
    </w:p>
    <w:p>
      <w:pPr>
        <w:keepNext w:val="0"/>
        <w:keepLines w:val="0"/>
        <w:pageBreakBefore w:v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color w:val="auto"/>
          <w:kern w:val="0"/>
          <w:sz w:val="28"/>
          <w:szCs w:val="28"/>
          <w:lang w:eastAsia="zh-CN"/>
        </w:rPr>
      </w:pPr>
      <w:bookmarkStart w:id="26" w:name="_Toc29636"/>
      <w:r>
        <w:rPr>
          <w:rFonts w:hint="eastAsia" w:ascii="仿宋" w:hAnsi="仿宋" w:eastAsia="仿宋" w:cs="仿宋"/>
          <w:color w:val="auto"/>
          <w:kern w:val="0"/>
          <w:sz w:val="28"/>
          <w:szCs w:val="28"/>
          <w:lang w:eastAsia="zh-CN"/>
        </w:rPr>
        <w:t>估价委托人：</w:t>
      </w:r>
      <w:r>
        <w:rPr>
          <w:rFonts w:hint="eastAsia" w:ascii="仿宋" w:hAnsi="仿宋" w:eastAsia="仿宋" w:cs="仿宋"/>
          <w:color w:val="060FCC"/>
          <w:kern w:val="0"/>
          <w:sz w:val="28"/>
          <w:szCs w:val="28"/>
          <w:lang w:eastAsia="zh-CN"/>
        </w:rPr>
        <w:t>建湖县人民法院</w:t>
      </w:r>
    </w:p>
    <w:p>
      <w:pPr>
        <w:keepNext w:val="0"/>
        <w:keepLines w:val="0"/>
        <w:pageBreakBefore w:v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eastAsia="zh-CN"/>
        </w:rPr>
        <w:t>地      址：</w:t>
      </w:r>
      <w:r>
        <w:rPr>
          <w:rFonts w:hint="eastAsia" w:ascii="仿宋" w:hAnsi="仿宋" w:eastAsia="仿宋" w:cs="仿宋"/>
          <w:color w:val="060FCC"/>
          <w:kern w:val="0"/>
          <w:sz w:val="28"/>
          <w:szCs w:val="28"/>
          <w:lang w:eastAsia="zh-CN"/>
        </w:rPr>
        <w:t>建湖县冠华路586号</w:t>
      </w:r>
    </w:p>
    <w:p>
      <w:pPr>
        <w:keepNext w:val="0"/>
        <w:keepLines w:val="0"/>
        <w:pageBreakBefore w:v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电      话：</w:t>
      </w:r>
      <w:r>
        <w:rPr>
          <w:rFonts w:hint="eastAsia" w:ascii="仿宋" w:hAnsi="仿宋" w:eastAsia="仿宋" w:cs="仿宋"/>
          <w:color w:val="060FCC"/>
          <w:kern w:val="0"/>
          <w:sz w:val="28"/>
          <w:szCs w:val="28"/>
          <w:lang w:val="en-US" w:eastAsia="zh-CN"/>
        </w:rPr>
        <w:t>0515-85361170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outlineLvl w:val="0"/>
        <w:rPr>
          <w:rFonts w:hint="eastAsia" w:ascii="仿宋" w:hAnsi="仿宋" w:eastAsia="仿宋" w:cs="仿宋"/>
          <w:b/>
          <w:bCs w:val="0"/>
          <w:color w:val="auto"/>
          <w:sz w:val="28"/>
          <w:szCs w:val="28"/>
        </w:rPr>
      </w:pPr>
      <w:bookmarkStart w:id="27" w:name="_Toc16190"/>
      <w:r>
        <w:rPr>
          <w:rFonts w:hint="eastAsia" w:ascii="仿宋" w:hAnsi="仿宋" w:eastAsia="仿宋" w:cs="仿宋"/>
          <w:b/>
          <w:bCs w:val="0"/>
          <w:color w:val="auto"/>
          <w:sz w:val="28"/>
          <w:szCs w:val="28"/>
        </w:rPr>
        <w:t>二、房地产估价机构</w:t>
      </w:r>
      <w:bookmarkEnd w:id="26"/>
      <w:bookmarkEnd w:id="27"/>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firstLine="560" w:firstLineChars="200"/>
        <w:textAlignment w:val="auto"/>
        <w:rPr>
          <w:rFonts w:hint="eastAsia" w:ascii="仿宋" w:hAnsi="仿宋" w:eastAsia="仿宋" w:cs="仿宋"/>
          <w:color w:val="auto"/>
          <w:sz w:val="28"/>
          <w:szCs w:val="28"/>
          <w:lang w:val="en-US" w:eastAsia="zh-CN"/>
        </w:rPr>
      </w:pPr>
      <w:bookmarkStart w:id="28" w:name="_Toc26422"/>
      <w:r>
        <w:rPr>
          <w:rFonts w:hint="eastAsia" w:ascii="仿宋" w:hAnsi="仿宋" w:eastAsia="仿宋" w:cs="仿宋"/>
          <w:color w:val="auto"/>
          <w:sz w:val="28"/>
          <w:szCs w:val="28"/>
          <w:lang w:val="en-US" w:eastAsia="zh-CN"/>
        </w:rPr>
        <w:t>单位名称：江苏安达土地房地产评估测绘有限公司</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法人代表：徐忠新</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单位地址：盐城市世纪大道5号金融城5号楼1303、1304室</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资质级别：贰级（房地产估价）</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资质证书编号：苏建房估备（贰）盐城00002</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有效期限：2024年2月14日</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统一社会信用代码：91320900781297926R</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联系电话：0515—88369119</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电子信箱：</w:t>
      </w:r>
      <w:r>
        <w:rPr>
          <w:rFonts w:hint="eastAsia" w:ascii="仿宋" w:hAnsi="仿宋" w:eastAsia="仿宋" w:cs="仿宋"/>
          <w:color w:val="auto"/>
          <w:sz w:val="28"/>
          <w:szCs w:val="28"/>
          <w:lang w:val="en-US" w:eastAsia="zh-CN"/>
        </w:rPr>
        <w:fldChar w:fldCharType="begin"/>
      </w:r>
      <w:r>
        <w:rPr>
          <w:rFonts w:hint="eastAsia" w:ascii="仿宋" w:hAnsi="仿宋" w:eastAsia="仿宋" w:cs="仿宋"/>
          <w:color w:val="auto"/>
          <w:sz w:val="28"/>
          <w:szCs w:val="28"/>
          <w:lang w:val="en-US" w:eastAsia="zh-CN"/>
        </w:rPr>
        <w:instrText xml:space="preserve"> HYPERLINK "mailto:anda8888@163.com" </w:instrText>
      </w:r>
      <w:r>
        <w:rPr>
          <w:rFonts w:hint="eastAsia" w:ascii="仿宋" w:hAnsi="仿宋" w:eastAsia="仿宋" w:cs="仿宋"/>
          <w:color w:val="auto"/>
          <w:sz w:val="28"/>
          <w:szCs w:val="28"/>
          <w:lang w:val="en-US" w:eastAsia="zh-CN"/>
        </w:rPr>
        <w:fldChar w:fldCharType="separate"/>
      </w:r>
      <w:r>
        <w:rPr>
          <w:rFonts w:hint="eastAsia" w:ascii="仿宋" w:hAnsi="仿宋" w:eastAsia="仿宋" w:cs="仿宋"/>
          <w:color w:val="auto"/>
          <w:sz w:val="28"/>
          <w:szCs w:val="28"/>
          <w:lang w:val="en-US" w:eastAsia="zh-CN"/>
        </w:rPr>
        <w:t>anda8888@163.com</w:t>
      </w:r>
      <w:r>
        <w:rPr>
          <w:rFonts w:hint="eastAsia" w:ascii="仿宋" w:hAnsi="仿宋" w:eastAsia="仿宋" w:cs="仿宋"/>
          <w:color w:val="auto"/>
          <w:sz w:val="28"/>
          <w:szCs w:val="28"/>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outlineLvl w:val="0"/>
        <w:rPr>
          <w:rFonts w:hint="eastAsia" w:ascii="仿宋" w:hAnsi="仿宋" w:eastAsia="仿宋" w:cs="仿宋"/>
          <w:b/>
          <w:bCs w:val="0"/>
          <w:color w:val="auto"/>
          <w:sz w:val="28"/>
          <w:szCs w:val="28"/>
        </w:rPr>
      </w:pPr>
      <w:bookmarkStart w:id="29" w:name="_Toc15522"/>
      <w:r>
        <w:rPr>
          <w:rFonts w:hint="eastAsia" w:ascii="仿宋" w:hAnsi="仿宋" w:eastAsia="仿宋" w:cs="仿宋"/>
          <w:b/>
          <w:bCs w:val="0"/>
          <w:color w:val="auto"/>
          <w:sz w:val="28"/>
          <w:szCs w:val="28"/>
        </w:rPr>
        <w:t>三、估价目的</w:t>
      </w:r>
      <w:bookmarkEnd w:id="28"/>
      <w:bookmarkEnd w:id="29"/>
    </w:p>
    <w:p>
      <w:pPr>
        <w:keepNext w:val="0"/>
        <w:keepLines w:val="0"/>
        <w:pageBreakBefore w:v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color w:val="auto"/>
          <w:kern w:val="0"/>
          <w:sz w:val="28"/>
          <w:szCs w:val="28"/>
        </w:rPr>
      </w:pPr>
      <w:bookmarkStart w:id="30" w:name="_Toc3962"/>
      <w:r>
        <w:rPr>
          <w:rFonts w:hint="eastAsia" w:ascii="仿宋" w:hAnsi="仿宋" w:eastAsia="仿宋" w:cs="仿宋"/>
          <w:color w:val="auto"/>
          <w:spacing w:val="0"/>
          <w:sz w:val="28"/>
          <w:szCs w:val="28"/>
          <w:lang w:val="en-US" w:eastAsia="zh-CN"/>
        </w:rPr>
        <w:t>为估价委托人提供涉案房地产司法鉴定价格提供参考依据而评估委估房地产市场价值</w:t>
      </w:r>
      <w:r>
        <w:rPr>
          <w:rFonts w:hint="eastAsia" w:ascii="仿宋" w:hAnsi="仿宋" w:eastAsia="仿宋" w:cs="仿宋"/>
          <w:color w:val="auto"/>
          <w:kern w:val="0"/>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outlineLvl w:val="0"/>
        <w:rPr>
          <w:rFonts w:hint="eastAsia" w:ascii="仿宋" w:hAnsi="仿宋" w:eastAsia="仿宋" w:cs="仿宋"/>
          <w:b/>
          <w:bCs w:val="0"/>
          <w:color w:val="auto"/>
          <w:sz w:val="28"/>
          <w:szCs w:val="28"/>
        </w:rPr>
      </w:pPr>
      <w:bookmarkStart w:id="31" w:name="_Toc24367"/>
      <w:r>
        <w:rPr>
          <w:rFonts w:hint="eastAsia" w:ascii="仿宋" w:hAnsi="仿宋" w:eastAsia="仿宋" w:cs="仿宋"/>
          <w:b/>
          <w:bCs w:val="0"/>
          <w:color w:val="auto"/>
          <w:sz w:val="28"/>
          <w:szCs w:val="28"/>
        </w:rPr>
        <w:t>四、估价对象</w:t>
      </w:r>
      <w:bookmarkEnd w:id="30"/>
      <w:bookmarkEnd w:id="31"/>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rPr>
      </w:pPr>
      <w:bookmarkStart w:id="32" w:name="_Toc363576072"/>
      <w:r>
        <w:rPr>
          <w:rFonts w:hint="eastAsia" w:ascii="仿宋" w:hAnsi="仿宋" w:eastAsia="仿宋" w:cs="仿宋"/>
          <w:b w:val="0"/>
          <w:bCs/>
          <w:color w:val="auto"/>
          <w:sz w:val="28"/>
          <w:szCs w:val="28"/>
          <w:lang w:val="en-US" w:eastAsia="zh-CN"/>
        </w:rPr>
        <w:t>1、</w:t>
      </w:r>
      <w:r>
        <w:rPr>
          <w:rFonts w:hint="eastAsia" w:ascii="仿宋" w:hAnsi="仿宋" w:eastAsia="仿宋" w:cs="仿宋"/>
          <w:b w:val="0"/>
          <w:bCs/>
          <w:color w:val="auto"/>
          <w:sz w:val="28"/>
          <w:szCs w:val="28"/>
        </w:rPr>
        <w:t>估价对象范围</w:t>
      </w:r>
      <w:bookmarkEnd w:id="32"/>
    </w:p>
    <w:p>
      <w:pPr>
        <w:pStyle w:val="7"/>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rPr>
        <w:t>根据估价委托人提供的估价对象</w:t>
      </w:r>
      <w:r>
        <w:rPr>
          <w:rFonts w:hint="eastAsia" w:ascii="仿宋" w:hAnsi="仿宋" w:eastAsia="仿宋" w:cs="仿宋"/>
          <w:color w:val="auto"/>
          <w:sz w:val="28"/>
          <w:szCs w:val="28"/>
          <w:lang w:eastAsia="zh-CN"/>
        </w:rPr>
        <w:t>《不动产登记簿查询记录》</w:t>
      </w:r>
      <w:r>
        <w:rPr>
          <w:rFonts w:hint="eastAsia" w:ascii="仿宋" w:hAnsi="仿宋" w:eastAsia="仿宋" w:cs="仿宋"/>
          <w:color w:val="auto"/>
          <w:sz w:val="28"/>
          <w:szCs w:val="28"/>
        </w:rPr>
        <w:t>（复印件）</w:t>
      </w:r>
      <w:r>
        <w:rPr>
          <w:rFonts w:hint="eastAsia" w:ascii="仿宋" w:hAnsi="仿宋" w:eastAsia="仿宋" w:cs="仿宋"/>
          <w:color w:val="auto"/>
          <w:sz w:val="28"/>
          <w:szCs w:val="28"/>
          <w:lang w:eastAsia="zh-CN"/>
        </w:rPr>
        <w:t>中反映：</w:t>
      </w:r>
      <w:r>
        <w:rPr>
          <w:rFonts w:hint="eastAsia" w:ascii="仿宋" w:hAnsi="仿宋" w:eastAsia="仿宋" w:cs="仿宋"/>
          <w:color w:val="auto"/>
          <w:kern w:val="0"/>
          <w:sz w:val="28"/>
          <w:szCs w:val="28"/>
        </w:rPr>
        <w:t>本报告估价对象位于</w:t>
      </w:r>
      <w:r>
        <w:rPr>
          <w:rFonts w:hint="eastAsia" w:ascii="仿宋" w:hAnsi="仿宋" w:eastAsia="仿宋" w:cs="仿宋"/>
          <w:color w:val="060FCC"/>
          <w:kern w:val="0"/>
          <w:sz w:val="28"/>
          <w:szCs w:val="28"/>
          <w:lang w:eastAsia="zh-CN"/>
        </w:rPr>
        <w:t>盐城市市区东进路美食街6幢401室、40室</w:t>
      </w:r>
      <w:r>
        <w:rPr>
          <w:rFonts w:hint="eastAsia" w:ascii="仿宋" w:hAnsi="仿宋" w:eastAsia="仿宋" w:cs="仿宋"/>
          <w:color w:val="auto"/>
          <w:kern w:val="0"/>
          <w:sz w:val="28"/>
          <w:szCs w:val="28"/>
          <w:lang w:eastAsia="zh-CN"/>
        </w:rPr>
        <w:t>房地产，</w:t>
      </w:r>
      <w:r>
        <w:rPr>
          <w:rFonts w:hint="eastAsia" w:ascii="仿宋" w:hAnsi="仿宋" w:eastAsia="仿宋" w:cs="仿宋"/>
          <w:color w:val="060FCC"/>
          <w:kern w:val="0"/>
          <w:sz w:val="28"/>
          <w:szCs w:val="28"/>
          <w:lang w:eastAsia="zh-CN"/>
        </w:rPr>
        <w:t>估价对象1）盐城市市区东进路美食街6幢401室（含装饰装修及现场确认的可移动物品），分摊土地面积为14.59㎡，房屋建筑面积为160.47㎡，不动产权证书号苏（2017）盐城市不动产权第0076435号</w:t>
      </w:r>
      <w:r>
        <w:rPr>
          <w:rFonts w:hint="eastAsia" w:ascii="仿宋" w:hAnsi="仿宋" w:eastAsia="仿宋" w:cs="仿宋"/>
          <w:color w:val="auto"/>
          <w:kern w:val="0"/>
          <w:sz w:val="28"/>
          <w:szCs w:val="28"/>
          <w:lang w:eastAsia="zh-CN"/>
        </w:rPr>
        <w:t>；</w:t>
      </w:r>
      <w:r>
        <w:rPr>
          <w:rFonts w:hint="eastAsia" w:ascii="仿宋" w:hAnsi="仿宋" w:eastAsia="仿宋" w:cs="仿宋"/>
          <w:color w:val="060FCC"/>
          <w:kern w:val="0"/>
          <w:sz w:val="28"/>
          <w:szCs w:val="28"/>
          <w:lang w:eastAsia="zh-CN"/>
        </w:rPr>
        <w:t>估价对象2）盐城市市区东进路美食街6幢40室房地产，分摊土地面积为0.63㎡，房屋建筑面积为6.97㎡，不动产权证书号苏（2017）盐城市不动产权第0076436号</w:t>
      </w:r>
      <w:r>
        <w:rPr>
          <w:rFonts w:hint="eastAsia" w:ascii="仿宋" w:hAnsi="仿宋" w:eastAsia="仿宋" w:cs="仿宋"/>
          <w:color w:val="auto"/>
          <w:kern w:val="0"/>
          <w:sz w:val="28"/>
          <w:szCs w:val="28"/>
          <w:lang w:eastAsia="zh-CN"/>
        </w:rPr>
        <w:t>。</w:t>
      </w:r>
      <w:r>
        <w:rPr>
          <w:rFonts w:hint="eastAsia" w:ascii="仿宋" w:hAnsi="仿宋" w:eastAsia="仿宋" w:cs="仿宋"/>
          <w:color w:val="060FCC"/>
          <w:kern w:val="0"/>
          <w:sz w:val="28"/>
          <w:szCs w:val="28"/>
          <w:lang w:eastAsia="zh-CN"/>
        </w:rPr>
        <w:t>权利人为张丽、孙观星，权利性质为出让/商品房，不动产用途为城镇住宅用地，宗地面积为42276.20㎡，土地使用结束时间2074年11月29日</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highlight w:val="none"/>
        </w:rPr>
        <w:t>本报告估价对象的财产范围包括</w:t>
      </w:r>
      <w:r>
        <w:rPr>
          <w:rFonts w:hint="eastAsia" w:ascii="仿宋" w:hAnsi="仿宋" w:eastAsia="仿宋" w:cs="仿宋"/>
          <w:color w:val="060FCC"/>
          <w:sz w:val="28"/>
          <w:szCs w:val="28"/>
          <w:highlight w:val="none"/>
        </w:rPr>
        <w:t>估价对象的房屋所有权、分摊的土地使用权、装饰装修价值，估价对象可享有的公共配套设施及现场确认的可移动物品，不包括债权债务等其他财产或权益</w:t>
      </w:r>
      <w:r>
        <w:rPr>
          <w:rFonts w:hint="eastAsia" w:ascii="仿宋" w:hAnsi="仿宋" w:eastAsia="仿宋" w:cs="仿宋"/>
          <w:color w:val="060FCC"/>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 xml:space="preserve">2、估价对象区位状况  </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2.1位置状况</w:t>
      </w:r>
    </w:p>
    <w:p>
      <w:pPr>
        <w:keepNext w:val="0"/>
        <w:keepLines w:val="0"/>
        <w:pageBreakBefore w:val="0"/>
        <w:widowControl w:val="0"/>
        <w:numPr>
          <w:ilvl w:val="0"/>
          <w:numId w:val="3"/>
        </w:numPr>
        <w:kinsoku/>
        <w:wordWrap/>
        <w:overflowPunct/>
        <w:topLinePunct w:val="0"/>
        <w:autoSpaceDE w:val="0"/>
        <w:autoSpaceDN w:val="0"/>
        <w:bidi w:val="0"/>
        <w:adjustRightInd w:val="0"/>
        <w:snapToGrid/>
        <w:spacing w:line="500" w:lineRule="exact"/>
        <w:ind w:left="0" w:leftChars="0" w:right="0" w:rightChars="0" w:firstLine="560" w:firstLineChars="200"/>
        <w:jc w:val="both"/>
        <w:textAlignment w:val="auto"/>
        <w:outlineLvl w:val="9"/>
        <w:rPr>
          <w:rFonts w:hint="eastAsia" w:ascii="仿宋" w:hAnsi="仿宋" w:eastAsia="仿宋" w:cs="仿宋"/>
          <w:b w:val="0"/>
          <w:bCs/>
          <w:color w:val="auto"/>
          <w:sz w:val="28"/>
          <w:lang w:val="en-US" w:eastAsia="zh-CN"/>
        </w:rPr>
      </w:pPr>
      <w:r>
        <w:rPr>
          <w:rFonts w:hint="eastAsia" w:ascii="仿宋" w:hAnsi="仿宋" w:eastAsia="仿宋" w:cs="仿宋"/>
          <w:b w:val="0"/>
          <w:bCs/>
          <w:color w:val="auto"/>
          <w:sz w:val="28"/>
          <w:szCs w:val="28"/>
          <w:lang w:val="en-US" w:eastAsia="zh-CN"/>
        </w:rPr>
        <w:t>坐落：估价对象位于</w:t>
      </w:r>
      <w:r>
        <w:rPr>
          <w:rFonts w:hint="eastAsia" w:ascii="仿宋" w:hAnsi="仿宋" w:eastAsia="仿宋" w:cs="仿宋"/>
          <w:b w:val="0"/>
          <w:bCs/>
          <w:color w:val="060FCC"/>
          <w:sz w:val="28"/>
          <w:szCs w:val="28"/>
          <w:lang w:val="en-US" w:eastAsia="zh-CN"/>
        </w:rPr>
        <w:t>盐城市市区东进路美食街6幢401室、40室</w:t>
      </w:r>
      <w:r>
        <w:rPr>
          <w:rFonts w:hint="eastAsia" w:ascii="仿宋" w:hAnsi="仿宋" w:eastAsia="仿宋" w:cs="仿宋"/>
          <w:b w:val="0"/>
          <w:bCs/>
          <w:color w:val="auto"/>
          <w:sz w:val="28"/>
          <w:szCs w:val="28"/>
          <w:lang w:val="en-US" w:eastAsia="zh-CN"/>
        </w:rPr>
        <w:t>，</w:t>
      </w:r>
      <w:r>
        <w:rPr>
          <w:rFonts w:hint="eastAsia" w:ascii="仿宋" w:hAnsi="仿宋" w:eastAsia="仿宋" w:cs="仿宋"/>
          <w:b w:val="0"/>
          <w:bCs/>
          <w:color w:val="auto"/>
          <w:sz w:val="28"/>
          <w:lang w:val="en-US" w:eastAsia="zh-CN"/>
        </w:rPr>
        <w:t>其位置示意图</w:t>
      </w:r>
      <w:r>
        <w:rPr>
          <w:rFonts w:hint="eastAsia" w:ascii="仿宋" w:hAnsi="仿宋" w:eastAsia="仿宋" w:cs="仿宋"/>
          <w:color w:val="auto"/>
          <w:sz w:val="28"/>
          <w:szCs w:val="28"/>
          <w:lang w:val="en-US" w:eastAsia="zh-CN"/>
        </w:rPr>
        <w:t>见下图</w:t>
      </w:r>
      <w:r>
        <w:rPr>
          <w:rFonts w:hint="eastAsia" w:ascii="仿宋" w:hAnsi="仿宋" w:eastAsia="仿宋" w:cs="仿宋"/>
          <w:b w:val="0"/>
          <w:bCs/>
          <w:color w:val="auto"/>
          <w:sz w:val="28"/>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right="0" w:rightChars="0"/>
        <w:jc w:val="both"/>
        <w:textAlignment w:val="auto"/>
        <w:outlineLvl w:val="9"/>
        <w:rPr>
          <w:rFonts w:hint="eastAsia" w:ascii="仿宋" w:hAnsi="仿宋" w:eastAsia="仿宋" w:cs="仿宋"/>
          <w:b w:val="0"/>
          <w:bCs/>
          <w:color w:val="auto"/>
          <w:sz w:val="28"/>
          <w:lang w:val="en-US" w:eastAsia="zh-CN"/>
        </w:rPr>
      </w:pPr>
      <w:r>
        <w:rPr>
          <w:rFonts w:hint="eastAsia" w:ascii="仿宋" w:hAnsi="仿宋" w:eastAsia="仿宋" w:cs="仿宋"/>
          <w:b w:val="0"/>
          <w:bCs/>
          <w:color w:val="auto"/>
          <w:sz w:val="28"/>
          <w:lang w:val="en-US" w:eastAsia="zh-CN"/>
        </w:rPr>
        <w:drawing>
          <wp:inline distT="0" distB="0" distL="114300" distR="114300">
            <wp:extent cx="5788660" cy="3802380"/>
            <wp:effectExtent l="0" t="0" r="0" b="0"/>
            <wp:docPr id="1" name="图片 214" descr="估价对象位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14" descr="估价对象位置1"/>
                    <pic:cNvPicPr>
                      <a:picLocks noChangeAspect="1"/>
                    </pic:cNvPicPr>
                  </pic:nvPicPr>
                  <pic:blipFill>
                    <a:blip r:embed="rId12"/>
                    <a:stretch>
                      <a:fillRect/>
                    </a:stretch>
                  </pic:blipFill>
                  <pic:spPr>
                    <a:xfrm>
                      <a:off x="0" y="0"/>
                      <a:ext cx="5788660" cy="38023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100" w:lineRule="exact"/>
        <w:ind w:left="0" w:leftChars="0" w:firstLine="560" w:firstLineChars="200"/>
        <w:textAlignment w:val="auto"/>
        <w:rPr>
          <w:rFonts w:hint="eastAsia" w:ascii="仿宋" w:hAnsi="仿宋" w:eastAsia="仿宋" w:cs="仿宋"/>
          <w:b w:val="0"/>
          <w:bCs/>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pacing w:val="-6"/>
          <w:sz w:val="28"/>
          <w:szCs w:val="28"/>
          <w:lang w:val="en-US" w:eastAsia="zh-CN"/>
        </w:rPr>
      </w:pPr>
      <w:r>
        <w:rPr>
          <w:rFonts w:hint="eastAsia" w:ascii="仿宋" w:hAnsi="仿宋" w:eastAsia="仿宋" w:cs="仿宋"/>
          <w:b w:val="0"/>
          <w:bCs/>
          <w:color w:val="auto"/>
          <w:sz w:val="28"/>
          <w:szCs w:val="28"/>
          <w:lang w:val="en-US" w:eastAsia="zh-CN"/>
        </w:rPr>
        <w:t>（2）位置：</w:t>
      </w:r>
      <w:r>
        <w:rPr>
          <w:rFonts w:hint="eastAsia" w:ascii="仿宋" w:hAnsi="仿宋" w:eastAsia="仿宋" w:cs="仿宋"/>
          <w:b w:val="0"/>
          <w:bCs/>
          <w:color w:val="auto"/>
          <w:spacing w:val="-6"/>
          <w:sz w:val="28"/>
          <w:szCs w:val="28"/>
          <w:lang w:val="en-US" w:eastAsia="zh-CN"/>
        </w:rPr>
        <w:t>估价对象位于</w:t>
      </w:r>
      <w:r>
        <w:rPr>
          <w:rFonts w:hint="eastAsia" w:ascii="仿宋" w:hAnsi="仿宋" w:eastAsia="仿宋" w:cs="仿宋"/>
          <w:b w:val="0"/>
          <w:bCs/>
          <w:color w:val="060FCC"/>
          <w:spacing w:val="-6"/>
          <w:sz w:val="28"/>
          <w:szCs w:val="28"/>
          <w:lang w:val="en-US" w:eastAsia="zh-CN"/>
        </w:rPr>
        <w:t>解放路东、东进路南、迎宾路西、江苏省盐城中学北</w:t>
      </w:r>
      <w:r>
        <w:rPr>
          <w:rFonts w:hint="eastAsia" w:ascii="仿宋" w:hAnsi="仿宋" w:eastAsia="仿宋" w:cs="仿宋"/>
          <w:b w:val="0"/>
          <w:bCs/>
          <w:color w:val="auto"/>
          <w:spacing w:val="-6"/>
          <w:sz w:val="28"/>
          <w:szCs w:val="28"/>
          <w:lang w:val="en-US" w:eastAsia="zh-CN"/>
        </w:rPr>
        <w:t>，道路通达度较好。</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（3）与重要场所距离：距离</w:t>
      </w:r>
      <w:r>
        <w:rPr>
          <w:rFonts w:hint="eastAsia" w:ascii="仿宋" w:hAnsi="仿宋" w:eastAsia="仿宋" w:cs="仿宋"/>
          <w:b w:val="0"/>
          <w:bCs/>
          <w:color w:val="060FCC"/>
          <w:sz w:val="28"/>
          <w:szCs w:val="28"/>
          <w:lang w:val="en-US" w:eastAsia="zh-CN"/>
        </w:rPr>
        <w:t>盐城高铁站（汽车站）约4公里，距盐城市人民政府约2公里</w:t>
      </w:r>
      <w:r>
        <w:rPr>
          <w:rFonts w:hint="eastAsia" w:ascii="仿宋" w:hAnsi="仿宋" w:eastAsia="仿宋" w:cs="仿宋"/>
          <w:b w:val="0"/>
          <w:bCs/>
          <w:color w:val="auto"/>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（4）朝向：估价对象建筑正面朝南。</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（5）楼层：盐城市市区东进路美食街6幢401室位于</w:t>
      </w:r>
      <w:r>
        <w:rPr>
          <w:rFonts w:hint="eastAsia" w:ascii="仿宋" w:hAnsi="仿宋" w:eastAsia="仿宋" w:cs="仿宋"/>
          <w:b w:val="0"/>
          <w:bCs/>
          <w:color w:val="060FCC"/>
          <w:sz w:val="28"/>
          <w:szCs w:val="28"/>
          <w:lang w:val="en-US" w:eastAsia="zh-CN"/>
        </w:rPr>
        <w:t>第4层/10层（地上10层、地下1层）</w:t>
      </w:r>
      <w:r>
        <w:rPr>
          <w:rFonts w:hint="eastAsia" w:ascii="仿宋" w:hAnsi="仿宋" w:eastAsia="仿宋" w:cs="仿宋"/>
          <w:b w:val="0"/>
          <w:bCs/>
          <w:color w:val="auto"/>
          <w:sz w:val="28"/>
          <w:szCs w:val="28"/>
          <w:lang w:val="en-US" w:eastAsia="zh-CN"/>
        </w:rPr>
        <w:t>，市区东进路美食街</w:t>
      </w:r>
      <w:r>
        <w:rPr>
          <w:rFonts w:hint="eastAsia" w:ascii="仿宋" w:hAnsi="仿宋" w:eastAsia="仿宋" w:cs="仿宋"/>
          <w:b w:val="0"/>
          <w:bCs/>
          <w:color w:val="060FCC"/>
          <w:sz w:val="28"/>
          <w:szCs w:val="28"/>
          <w:highlight w:val="none"/>
          <w:lang w:val="en-US" w:eastAsia="zh-CN"/>
        </w:rPr>
        <w:t>6幢40室</w:t>
      </w:r>
      <w:r>
        <w:rPr>
          <w:rFonts w:hint="eastAsia" w:ascii="仿宋" w:hAnsi="仿宋" w:eastAsia="仿宋" w:cs="仿宋"/>
          <w:b w:val="0"/>
          <w:bCs/>
          <w:color w:val="auto"/>
          <w:sz w:val="28"/>
          <w:szCs w:val="28"/>
          <w:lang w:val="en-US" w:eastAsia="zh-CN"/>
        </w:rPr>
        <w:t>位于</w:t>
      </w:r>
      <w:r>
        <w:rPr>
          <w:rFonts w:hint="eastAsia" w:ascii="仿宋" w:hAnsi="仿宋" w:eastAsia="仿宋" w:cs="仿宋"/>
          <w:b w:val="0"/>
          <w:bCs/>
          <w:color w:val="060FCC"/>
          <w:sz w:val="28"/>
          <w:szCs w:val="28"/>
          <w:highlight w:val="none"/>
          <w:lang w:val="en-US" w:eastAsia="zh-CN"/>
        </w:rPr>
        <w:t>半地下1层</w:t>
      </w:r>
      <w:r>
        <w:rPr>
          <w:rFonts w:hint="eastAsia" w:ascii="仿宋" w:hAnsi="仿宋" w:eastAsia="仿宋" w:cs="仿宋"/>
          <w:b w:val="0"/>
          <w:bCs/>
          <w:color w:val="auto"/>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2.2交通状况</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（1）出入可利用的交通工具：附近有出租车及</w:t>
      </w:r>
      <w:r>
        <w:rPr>
          <w:rFonts w:hint="eastAsia" w:ascii="仿宋" w:hAnsi="仿宋" w:eastAsia="仿宋" w:cs="仿宋"/>
          <w:b w:val="0"/>
          <w:bCs/>
          <w:color w:val="060FCC"/>
          <w:sz w:val="28"/>
          <w:szCs w:val="28"/>
          <w:lang w:val="en-US" w:eastAsia="zh-CN"/>
        </w:rPr>
        <w:t>21路、26路、98路及南洋机场巴士专线</w:t>
      </w:r>
      <w:r>
        <w:rPr>
          <w:rFonts w:hint="eastAsia" w:ascii="仿宋" w:hAnsi="仿宋" w:eastAsia="仿宋" w:cs="仿宋"/>
          <w:b w:val="0"/>
          <w:bCs/>
          <w:color w:val="auto"/>
          <w:sz w:val="28"/>
          <w:szCs w:val="28"/>
          <w:lang w:val="en-US" w:eastAsia="zh-CN"/>
        </w:rPr>
        <w:t>，出行较方便，交通条件较优。</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（2）道路状况：估价对象所在区域内道路呈网格状，区域内有</w:t>
      </w:r>
      <w:r>
        <w:rPr>
          <w:rFonts w:hint="eastAsia" w:ascii="仿宋" w:hAnsi="仿宋" w:eastAsia="仿宋" w:cs="仿宋"/>
          <w:b w:val="0"/>
          <w:bCs/>
          <w:color w:val="060FCC"/>
          <w:sz w:val="28"/>
          <w:szCs w:val="28"/>
          <w:lang w:val="en-US" w:eastAsia="zh-CN"/>
        </w:rPr>
        <w:t>东进路、解放路</w:t>
      </w:r>
      <w:r>
        <w:rPr>
          <w:rFonts w:hint="eastAsia" w:ascii="仿宋" w:hAnsi="仿宋" w:eastAsia="仿宋" w:cs="仿宋"/>
          <w:b w:val="0"/>
          <w:bCs/>
          <w:color w:val="auto"/>
          <w:sz w:val="28"/>
          <w:szCs w:val="28"/>
          <w:lang w:val="en-US" w:eastAsia="zh-CN"/>
        </w:rPr>
        <w:t>，路面保养维修良好，道路质量较优，道路通达状况较优。</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（3）交通管制情况：无交通管制。</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（4）停车方便程度和收费标准：附近有免费停车位。</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2.3周围环境和景观</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（1）自然环境：周围环境整洁，无空气、噪声、辐射、水、固体废物等污染，环境卫生状况较优。</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（2）人文环境：估价对象所在区域有</w:t>
      </w:r>
      <w:r>
        <w:rPr>
          <w:rFonts w:hint="eastAsia" w:ascii="仿宋" w:hAnsi="仿宋" w:eastAsia="仿宋" w:cs="仿宋"/>
          <w:b w:val="0"/>
          <w:bCs/>
          <w:color w:val="060FCC"/>
          <w:sz w:val="28"/>
          <w:szCs w:val="28"/>
          <w:lang w:val="en-US" w:eastAsia="zh-CN"/>
        </w:rPr>
        <w:t>住宅、商业及酒店，治安状况好，亮化程度高，区域景观总体优</w:t>
      </w:r>
      <w:r>
        <w:rPr>
          <w:rFonts w:hint="eastAsia" w:ascii="仿宋" w:hAnsi="仿宋" w:eastAsia="仿宋" w:cs="仿宋"/>
          <w:b w:val="0"/>
          <w:bCs/>
          <w:color w:val="auto"/>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（3）景观：估价对象</w:t>
      </w:r>
      <w:r>
        <w:rPr>
          <w:rFonts w:hint="eastAsia" w:ascii="仿宋" w:hAnsi="仿宋" w:eastAsia="仿宋" w:cs="仿宋"/>
          <w:b w:val="0"/>
          <w:bCs/>
          <w:color w:val="060FCC"/>
          <w:sz w:val="28"/>
          <w:szCs w:val="28"/>
          <w:lang w:val="en-US" w:eastAsia="zh-CN"/>
        </w:rPr>
        <w:t>周边有盐渎公园，环境较优</w:t>
      </w:r>
      <w:r>
        <w:rPr>
          <w:rFonts w:hint="eastAsia" w:ascii="仿宋" w:hAnsi="仿宋" w:eastAsia="仿宋" w:cs="仿宋"/>
          <w:b w:val="0"/>
          <w:bCs/>
          <w:color w:val="auto"/>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2.4外部配套设施</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（1）外部基础设施：估价对象所在区域供水、供电、排水、供气通信状况良好。</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（2）外部公共服务设施等：所在区域</w:t>
      </w:r>
      <w:r>
        <w:rPr>
          <w:rFonts w:hint="eastAsia" w:ascii="仿宋" w:hAnsi="仿宋" w:eastAsia="仿宋" w:cs="仿宋"/>
          <w:b w:val="0"/>
          <w:bCs/>
          <w:color w:val="060FCC"/>
          <w:sz w:val="28"/>
          <w:szCs w:val="28"/>
          <w:lang w:val="en-US" w:eastAsia="zh-CN"/>
        </w:rPr>
        <w:t>有盐渎公园、宝龙广场、江苏省盐城中学、美食街、盐城市水街</w:t>
      </w:r>
      <w:r>
        <w:rPr>
          <w:rFonts w:hint="eastAsia" w:ascii="仿宋" w:hAnsi="仿宋" w:eastAsia="仿宋" w:cs="仿宋"/>
          <w:b w:val="0"/>
          <w:bCs/>
          <w:color w:val="auto"/>
          <w:sz w:val="28"/>
          <w:szCs w:val="28"/>
          <w:lang w:val="en-US" w:eastAsia="zh-CN"/>
        </w:rPr>
        <w:t>等公共服务设施。</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3、估价对象实物状况</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3.1土地实物状况</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pacing w:val="-6"/>
          <w:sz w:val="28"/>
          <w:szCs w:val="28"/>
          <w:lang w:val="en-US" w:eastAsia="zh-CN"/>
        </w:rPr>
      </w:pPr>
      <w:r>
        <w:rPr>
          <w:rFonts w:hint="eastAsia" w:ascii="仿宋" w:hAnsi="仿宋" w:eastAsia="仿宋" w:cs="仿宋"/>
          <w:b w:val="0"/>
          <w:bCs/>
          <w:color w:val="auto"/>
          <w:sz w:val="28"/>
          <w:szCs w:val="28"/>
          <w:lang w:val="en-US" w:eastAsia="zh-CN"/>
        </w:rPr>
        <w:t>（1）</w:t>
      </w:r>
      <w:r>
        <w:rPr>
          <w:rFonts w:hint="eastAsia" w:ascii="仿宋" w:hAnsi="仿宋" w:eastAsia="仿宋" w:cs="仿宋"/>
          <w:b w:val="0"/>
          <w:bCs/>
          <w:color w:val="auto"/>
          <w:spacing w:val="-6"/>
          <w:sz w:val="28"/>
          <w:szCs w:val="28"/>
          <w:lang w:val="en-US" w:eastAsia="zh-CN"/>
        </w:rPr>
        <w:t>土地名称：</w:t>
      </w:r>
      <w:r>
        <w:rPr>
          <w:rFonts w:hint="eastAsia" w:ascii="仿宋" w:hAnsi="仿宋" w:eastAsia="仿宋" w:cs="仿宋"/>
          <w:b w:val="0"/>
          <w:bCs/>
          <w:color w:val="060FCC"/>
          <w:spacing w:val="-6"/>
          <w:sz w:val="28"/>
          <w:szCs w:val="28"/>
          <w:lang w:val="en-US" w:eastAsia="zh-CN"/>
        </w:rPr>
        <w:t>盐城市市区东进路美食街6幢401室、40室</w:t>
      </w:r>
      <w:r>
        <w:rPr>
          <w:rFonts w:hint="eastAsia" w:ascii="仿宋" w:hAnsi="仿宋" w:eastAsia="仿宋" w:cs="仿宋"/>
          <w:b w:val="0"/>
          <w:bCs/>
          <w:color w:val="auto"/>
          <w:spacing w:val="-6"/>
          <w:sz w:val="28"/>
          <w:szCs w:val="28"/>
          <w:lang w:val="en-US" w:eastAsia="zh-CN"/>
        </w:rPr>
        <w:t>用地。</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（2）地势、地质水文：地势平坦，地质水文条件好，地基承载力优。</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（3）基础设施完备程度：宗地外开发程度达到通路、通电、通上水、通下水、通讯、通气“</w:t>
      </w:r>
      <w:r>
        <w:rPr>
          <w:rFonts w:hint="eastAsia" w:ascii="仿宋" w:hAnsi="仿宋" w:eastAsia="仿宋" w:cs="仿宋"/>
          <w:b w:val="0"/>
          <w:bCs/>
          <w:color w:val="060FCC"/>
          <w:sz w:val="28"/>
          <w:szCs w:val="28"/>
          <w:lang w:val="en-US" w:eastAsia="zh-CN"/>
        </w:rPr>
        <w:t>六通</w:t>
      </w:r>
      <w:r>
        <w:rPr>
          <w:rFonts w:hint="eastAsia" w:ascii="仿宋" w:hAnsi="仿宋" w:eastAsia="仿宋" w:cs="仿宋"/>
          <w:b w:val="0"/>
          <w:bCs/>
          <w:color w:val="auto"/>
          <w:sz w:val="28"/>
          <w:szCs w:val="28"/>
          <w:lang w:val="en-US" w:eastAsia="zh-CN"/>
        </w:rPr>
        <w:t>”的开发水平，场地内平整。</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（4）周边建筑风格及土地利用状况：周边建筑以现代风格为主，</w:t>
      </w:r>
      <w:r>
        <w:rPr>
          <w:rFonts w:hint="eastAsia" w:ascii="仿宋" w:hAnsi="仿宋" w:eastAsia="仿宋" w:cs="仿宋"/>
          <w:b w:val="0"/>
          <w:bCs/>
          <w:color w:val="060FCC"/>
          <w:sz w:val="28"/>
          <w:szCs w:val="28"/>
          <w:lang w:val="en-US" w:eastAsia="zh-CN"/>
        </w:rPr>
        <w:t>土地利用以住宅、配套为主</w:t>
      </w:r>
      <w:r>
        <w:rPr>
          <w:rFonts w:hint="eastAsia" w:ascii="仿宋" w:hAnsi="仿宋" w:eastAsia="仿宋" w:cs="仿宋"/>
          <w:b w:val="0"/>
          <w:bCs/>
          <w:color w:val="auto"/>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（5）土地规划限制条件：</w:t>
      </w:r>
      <w:r>
        <w:rPr>
          <w:rFonts w:hint="eastAsia" w:ascii="仿宋" w:hAnsi="仿宋" w:eastAsia="仿宋" w:cs="仿宋"/>
          <w:b w:val="0"/>
          <w:bCs/>
          <w:color w:val="auto"/>
          <w:spacing w:val="0"/>
          <w:kern w:val="2"/>
          <w:sz w:val="28"/>
          <w:szCs w:val="28"/>
          <w:lang w:val="en-US" w:eastAsia="zh-CN" w:bidi="ar-SA"/>
        </w:rPr>
        <w:t>《不动产登记簿查询记录》</w:t>
      </w:r>
      <w:r>
        <w:rPr>
          <w:rFonts w:hint="eastAsia" w:ascii="仿宋" w:hAnsi="仿宋" w:eastAsia="仿宋" w:cs="仿宋"/>
          <w:b w:val="0"/>
          <w:bCs/>
          <w:color w:val="auto"/>
          <w:sz w:val="28"/>
          <w:szCs w:val="28"/>
          <w:lang w:val="en-US" w:eastAsia="zh-CN"/>
        </w:rPr>
        <w:t>估价对象</w:t>
      </w:r>
      <w:r>
        <w:rPr>
          <w:rFonts w:hint="eastAsia" w:ascii="仿宋" w:hAnsi="仿宋" w:eastAsia="仿宋" w:cs="仿宋"/>
          <w:b w:val="0"/>
          <w:bCs/>
          <w:color w:val="auto"/>
          <w:spacing w:val="0"/>
          <w:kern w:val="2"/>
          <w:sz w:val="28"/>
          <w:szCs w:val="28"/>
          <w:lang w:val="en-US" w:eastAsia="zh-CN" w:bidi="ar-SA"/>
        </w:rPr>
        <w:t>显示</w:t>
      </w:r>
      <w:r>
        <w:rPr>
          <w:rFonts w:hint="eastAsia" w:ascii="仿宋" w:hAnsi="仿宋" w:eastAsia="仿宋" w:cs="仿宋"/>
          <w:b w:val="0"/>
          <w:bCs/>
          <w:color w:val="060FCC"/>
          <w:spacing w:val="0"/>
          <w:kern w:val="2"/>
          <w:sz w:val="28"/>
          <w:szCs w:val="28"/>
          <w:lang w:val="en-US" w:eastAsia="zh-CN" w:bidi="ar-SA"/>
        </w:rPr>
        <w:t>不动产用途为城镇住宅用地</w:t>
      </w:r>
      <w:r>
        <w:rPr>
          <w:rFonts w:hint="eastAsia" w:ascii="仿宋" w:hAnsi="仿宋" w:eastAsia="仿宋" w:cs="仿宋"/>
          <w:b w:val="0"/>
          <w:bCs/>
          <w:color w:val="auto"/>
          <w:sz w:val="28"/>
          <w:szCs w:val="28"/>
          <w:lang w:val="en-US" w:eastAsia="zh-CN"/>
        </w:rPr>
        <w:t>，规划对土地利用强度基本无限制。</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3.2建筑物实物状况</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名称、坐落、用途：</w:t>
      </w:r>
      <w:r>
        <w:rPr>
          <w:rFonts w:hint="eastAsia" w:ascii="仿宋" w:hAnsi="仿宋" w:eastAsia="仿宋" w:cs="仿宋"/>
          <w:b w:val="0"/>
          <w:bCs/>
          <w:color w:val="060FCC"/>
          <w:sz w:val="28"/>
          <w:szCs w:val="28"/>
          <w:lang w:val="en-US" w:eastAsia="zh-CN"/>
        </w:rPr>
        <w:t>盐城市市区东进路美食街6幢401室、40室</w:t>
      </w:r>
      <w:r>
        <w:rPr>
          <w:rFonts w:hint="eastAsia" w:ascii="仿宋" w:hAnsi="仿宋" w:eastAsia="仿宋" w:cs="仿宋"/>
          <w:b w:val="0"/>
          <w:bCs/>
          <w:color w:val="auto"/>
          <w:sz w:val="28"/>
          <w:szCs w:val="28"/>
          <w:lang w:val="en-US" w:eastAsia="zh-CN"/>
        </w:rPr>
        <w:t>，</w:t>
      </w:r>
      <w:r>
        <w:rPr>
          <w:rFonts w:hint="eastAsia" w:ascii="仿宋" w:hAnsi="仿宋" w:eastAsia="仿宋" w:cs="仿宋"/>
          <w:b w:val="0"/>
          <w:bCs/>
          <w:color w:val="060FCC"/>
          <w:sz w:val="28"/>
          <w:szCs w:val="28"/>
          <w:lang w:val="en-US" w:eastAsia="zh-CN"/>
        </w:rPr>
        <w:t>用途为住宅和车库，该单元每层两户</w:t>
      </w:r>
      <w:r>
        <w:rPr>
          <w:rFonts w:hint="eastAsia" w:ascii="仿宋" w:hAnsi="仿宋" w:eastAsia="仿宋" w:cs="仿宋"/>
          <w:b w:val="0"/>
          <w:bCs/>
          <w:color w:val="auto"/>
          <w:sz w:val="28"/>
          <w:szCs w:val="28"/>
          <w:lang w:val="en-US" w:eastAsia="zh-CN"/>
        </w:rPr>
        <w:t>，设一部垂直电梯、一处步行楼梯。</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建筑面积：房屋</w:t>
      </w:r>
      <w:r>
        <w:rPr>
          <w:rFonts w:hint="eastAsia" w:ascii="仿宋" w:hAnsi="仿宋" w:eastAsia="仿宋" w:cs="仿宋"/>
          <w:b w:val="0"/>
          <w:bCs/>
          <w:color w:val="060FCC"/>
          <w:sz w:val="28"/>
          <w:szCs w:val="28"/>
          <w:lang w:val="en-US" w:eastAsia="zh-CN"/>
        </w:rPr>
        <w:t>房屋建筑面积160.47㎡，车库建筑面积6.97</w:t>
      </w:r>
      <w:r>
        <w:rPr>
          <w:rFonts w:hint="eastAsia" w:ascii="仿宋" w:hAnsi="仿宋" w:eastAsia="仿宋" w:cs="仿宋"/>
          <w:b w:val="0"/>
          <w:bCs/>
          <w:color w:val="auto"/>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（3）结构层高：</w:t>
      </w:r>
      <w:r>
        <w:rPr>
          <w:rFonts w:hint="eastAsia" w:ascii="仿宋" w:hAnsi="仿宋" w:eastAsia="仿宋" w:cs="仿宋"/>
          <w:b w:val="0"/>
          <w:bCs/>
          <w:color w:val="060FCC"/>
          <w:sz w:val="28"/>
          <w:szCs w:val="28"/>
          <w:lang w:val="en-US" w:eastAsia="zh-CN"/>
        </w:rPr>
        <w:t>钢混结构，层高约3.1米</w:t>
      </w:r>
      <w:r>
        <w:rPr>
          <w:rFonts w:hint="eastAsia" w:ascii="仿宋" w:hAnsi="仿宋" w:eastAsia="仿宋" w:cs="仿宋"/>
          <w:b w:val="0"/>
          <w:bCs/>
          <w:color w:val="auto"/>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（4）装饰装修：</w:t>
      </w:r>
      <w:r>
        <w:rPr>
          <w:rFonts w:hint="eastAsia" w:ascii="仿宋" w:hAnsi="仿宋" w:eastAsia="仿宋" w:cs="仿宋"/>
          <w:b w:val="0"/>
          <w:bCs/>
          <w:color w:val="060FCC"/>
          <w:sz w:val="28"/>
          <w:szCs w:val="28"/>
          <w:lang w:val="en-US" w:eastAsia="zh-CN"/>
        </w:rPr>
        <w:t>估价对象外墙为大理石墙裙，总层为11层（地上10层、地下1层），整幢楼外观较好。根据估价师实地勘察，估价对象进户门为品牌防盗门，精装修</w:t>
      </w:r>
      <w:r>
        <w:rPr>
          <w:rFonts w:hint="eastAsia" w:ascii="仿宋" w:hAnsi="仿宋" w:eastAsia="仿宋" w:cs="仿宋"/>
          <w:b w:val="0"/>
          <w:bCs/>
          <w:color w:val="auto"/>
          <w:sz w:val="28"/>
          <w:szCs w:val="28"/>
          <w:lang w:val="en-US" w:eastAsia="zh-CN"/>
        </w:rPr>
        <w:t>，详见照片。</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（5）使用现状及空间布局：估价对象空间布局较合理。</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（6）建成年月或成新：建筑物建成年代约为</w:t>
      </w:r>
      <w:r>
        <w:rPr>
          <w:rFonts w:hint="eastAsia" w:ascii="仿宋" w:hAnsi="仿宋" w:eastAsia="仿宋" w:cs="仿宋"/>
          <w:b w:val="0"/>
          <w:bCs/>
          <w:color w:val="060FCC"/>
          <w:sz w:val="28"/>
          <w:szCs w:val="28"/>
          <w:lang w:val="en-US" w:eastAsia="zh-CN"/>
        </w:rPr>
        <w:t>2009年，</w:t>
      </w:r>
      <w:r>
        <w:rPr>
          <w:rFonts w:hint="eastAsia" w:ascii="仿宋" w:hAnsi="仿宋" w:eastAsia="仿宋" w:cs="仿宋"/>
          <w:b w:val="0"/>
          <w:bCs/>
          <w:color w:val="auto"/>
          <w:sz w:val="28"/>
          <w:szCs w:val="28"/>
          <w:highlight w:val="none"/>
          <w:lang w:val="en-US" w:eastAsia="zh-CN"/>
        </w:rPr>
        <w:t>成新率较好</w:t>
      </w:r>
      <w:r>
        <w:rPr>
          <w:rFonts w:hint="eastAsia" w:ascii="仿宋" w:hAnsi="仿宋" w:eastAsia="仿宋" w:cs="仿宋"/>
          <w:b w:val="0"/>
          <w:bCs/>
          <w:color w:val="auto"/>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（7）</w:t>
      </w:r>
      <w:r>
        <w:rPr>
          <w:rFonts w:hint="eastAsia" w:ascii="仿宋" w:hAnsi="仿宋" w:eastAsia="仿宋" w:cs="仿宋"/>
          <w:b w:val="0"/>
          <w:bCs/>
          <w:color w:val="auto"/>
          <w:sz w:val="28"/>
          <w:szCs w:val="28"/>
          <w:highlight w:val="none"/>
          <w:lang w:val="en-US" w:eastAsia="zh-CN"/>
        </w:rPr>
        <w:t>维护、保养、使用情况：在价值时点时估价对象处于正常使用状态，维修保养状况较优。</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4、估价对象权益状况</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4.</w:t>
      </w:r>
      <w:r>
        <w:rPr>
          <w:rFonts w:hint="eastAsia" w:ascii="仿宋" w:hAnsi="仿宋" w:eastAsia="仿宋" w:cs="仿宋"/>
          <w:color w:val="auto"/>
          <w:spacing w:val="28"/>
          <w:sz w:val="28"/>
          <w:szCs w:val="28"/>
          <w:lang w:val="en-US" w:eastAsia="zh-CN"/>
        </w:rPr>
        <w:t>1</w:t>
      </w:r>
      <w:r>
        <w:rPr>
          <w:rFonts w:hint="eastAsia" w:ascii="仿宋" w:hAnsi="仿宋" w:eastAsia="仿宋" w:cs="仿宋"/>
          <w:color w:val="auto"/>
          <w:sz w:val="28"/>
          <w:szCs w:val="28"/>
          <w:lang w:eastAsia="zh-CN"/>
        </w:rPr>
        <w:t>不动产</w:t>
      </w:r>
      <w:r>
        <w:rPr>
          <w:rFonts w:hint="eastAsia" w:ascii="仿宋" w:hAnsi="仿宋" w:eastAsia="仿宋" w:cs="仿宋"/>
          <w:color w:val="auto"/>
          <w:sz w:val="28"/>
          <w:szCs w:val="28"/>
        </w:rPr>
        <w:t>权益状况</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根据委托方提供的《不动产登记薄查询记录》资料，知悉估价对象的不动产权属状况如下表。</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drawing>
          <wp:inline distT="0" distB="0" distL="114300" distR="114300">
            <wp:extent cx="5983605" cy="6331585"/>
            <wp:effectExtent l="0" t="0" r="0" b="0"/>
            <wp:docPr id="2" name="图片 215" descr="苏（2017）盐城市不动产权第0076435号h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5" descr="苏（2017）盐城市不动产权第0076435号hao"/>
                    <pic:cNvPicPr>
                      <a:picLocks noChangeAspect="1"/>
                    </pic:cNvPicPr>
                  </pic:nvPicPr>
                  <pic:blipFill>
                    <a:blip r:embed="rId13"/>
                    <a:srcRect t="2443" b="6165"/>
                    <a:stretch>
                      <a:fillRect/>
                    </a:stretch>
                  </pic:blipFill>
                  <pic:spPr>
                    <a:xfrm>
                      <a:off x="0" y="0"/>
                      <a:ext cx="5983605" cy="63315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drawing>
          <wp:inline distT="0" distB="0" distL="114300" distR="114300">
            <wp:extent cx="5931535" cy="2021205"/>
            <wp:effectExtent l="0" t="0" r="0" b="0"/>
            <wp:docPr id="3" name="图片 216" descr="苏（2017）盐城市不动产权第0076435号-1h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6" descr="苏（2017）盐城市不动产权第0076435号-1hao"/>
                    <pic:cNvPicPr>
                      <a:picLocks noChangeAspect="1"/>
                    </pic:cNvPicPr>
                  </pic:nvPicPr>
                  <pic:blipFill>
                    <a:blip r:embed="rId14"/>
                    <a:srcRect l="2760" t="2559" b="64676"/>
                    <a:stretch>
                      <a:fillRect/>
                    </a:stretch>
                  </pic:blipFill>
                  <pic:spPr>
                    <a:xfrm>
                      <a:off x="0" y="0"/>
                      <a:ext cx="5931535" cy="20212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sectPr>
          <w:headerReference r:id="rId4" w:type="first"/>
          <w:footerReference r:id="rId6" w:type="first"/>
          <w:footerReference r:id="rId5" w:type="default"/>
          <w:endnotePr>
            <w:numFmt w:val="decimal"/>
          </w:endnotePr>
          <w:pgSz w:w="11906" w:h="16838"/>
          <w:pgMar w:top="1440" w:right="1077" w:bottom="1440" w:left="1701" w:header="851" w:footer="1077" w:gutter="0"/>
          <w:pgBorders w:offsetFrom="page">
            <w:top w:val="none" w:sz="0" w:space="0"/>
            <w:left w:val="none" w:sz="0" w:space="0"/>
            <w:bottom w:val="none" w:sz="0" w:space="0"/>
            <w:right w:val="none" w:sz="0" w:space="0"/>
          </w:pgBorders>
          <w:pgNumType w:fmt="decimal" w:start="1"/>
          <w:cols w:space="720" w:num="1"/>
          <w:titlePg/>
          <w:rtlGutter w:val="0"/>
          <w:docGrid w:type="lines" w:linePitch="442" w:charSpace="0"/>
        </w:sect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val="0"/>
          <w:bCs/>
          <w:color w:val="auto"/>
          <w:sz w:val="28"/>
          <w:szCs w:val="28"/>
          <w:lang w:val="en-US" w:eastAsia="zh-CN"/>
        </w:rPr>
        <w:sectPr>
          <w:endnotePr>
            <w:numFmt w:val="decimal"/>
          </w:endnotePr>
          <w:pgSz w:w="11906" w:h="16838"/>
          <w:pgMar w:top="1440" w:right="1077" w:bottom="1440" w:left="1701" w:header="851" w:footer="1077" w:gutter="0"/>
          <w:pgBorders w:offsetFrom="page">
            <w:top w:val="none" w:sz="0" w:space="0"/>
            <w:left w:val="none" w:sz="0" w:space="0"/>
            <w:bottom w:val="none" w:sz="0" w:space="0"/>
            <w:right w:val="none" w:sz="0" w:space="0"/>
          </w:pgBorders>
          <w:pgNumType w:fmt="decimal"/>
          <w:cols w:space="720" w:num="1"/>
          <w:titlePg/>
          <w:rtlGutter w:val="0"/>
          <w:docGrid w:type="lines" w:linePitch="442" w:charSpace="0"/>
        </w:sectPr>
      </w:pPr>
      <w:r>
        <w:rPr>
          <w:rFonts w:hint="eastAsia" w:ascii="仿宋" w:hAnsi="仿宋" w:eastAsia="仿宋" w:cs="仿宋"/>
          <w:b w:val="0"/>
          <w:bCs/>
          <w:color w:val="auto"/>
          <w:sz w:val="28"/>
          <w:szCs w:val="28"/>
          <w:lang w:val="en-US" w:eastAsia="zh-CN"/>
        </w:rPr>
        <w:drawing>
          <wp:inline distT="0" distB="0" distL="114300" distR="114300">
            <wp:extent cx="5898515" cy="6339205"/>
            <wp:effectExtent l="0" t="0" r="0" b="0"/>
            <wp:docPr id="4" name="图片 217" descr="苏（2017）盐城市不动产权第0076436号h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7" descr="苏（2017）盐城市不动产权第0076436号hao"/>
                    <pic:cNvPicPr>
                      <a:picLocks noChangeAspect="1"/>
                    </pic:cNvPicPr>
                  </pic:nvPicPr>
                  <pic:blipFill>
                    <a:blip r:embed="rId15"/>
                    <a:srcRect t="3072" b="6808"/>
                    <a:stretch>
                      <a:fillRect/>
                    </a:stretch>
                  </pic:blipFill>
                  <pic:spPr>
                    <a:xfrm>
                      <a:off x="0" y="0"/>
                      <a:ext cx="5898515" cy="6339205"/>
                    </a:xfrm>
                    <a:prstGeom prst="rect">
                      <a:avLst/>
                    </a:prstGeom>
                    <a:noFill/>
                    <a:ln>
                      <a:noFill/>
                    </a:ln>
                  </pic:spPr>
                </pic:pic>
              </a:graphicData>
            </a:graphic>
          </wp:inline>
        </w:drawing>
      </w:r>
      <w:r>
        <w:rPr>
          <w:rFonts w:hint="eastAsia" w:ascii="仿宋" w:hAnsi="仿宋" w:eastAsia="仿宋" w:cs="仿宋"/>
          <w:b w:val="0"/>
          <w:bCs/>
          <w:color w:val="auto"/>
          <w:sz w:val="28"/>
          <w:szCs w:val="28"/>
          <w:lang w:val="en-US" w:eastAsia="zh-CN"/>
        </w:rPr>
        <w:drawing>
          <wp:inline distT="0" distB="0" distL="114300" distR="114300">
            <wp:extent cx="5819140" cy="2223770"/>
            <wp:effectExtent l="0" t="0" r="0" b="0"/>
            <wp:docPr id="5" name="图片 218" descr="苏（2017）盐城市不动产权第0076436号-1h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8" descr="苏（2017）盐城市不动产权第0076436号-1hao"/>
                    <pic:cNvPicPr>
                      <a:picLocks noChangeAspect="1"/>
                    </pic:cNvPicPr>
                  </pic:nvPicPr>
                  <pic:blipFill>
                    <a:blip r:embed="rId16"/>
                    <a:srcRect l="3777" t="2489" b="70390"/>
                    <a:stretch>
                      <a:fillRect/>
                    </a:stretch>
                  </pic:blipFill>
                  <pic:spPr>
                    <a:xfrm>
                      <a:off x="0" y="0"/>
                      <a:ext cx="5819140" cy="22237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4.2他项权利登记状况及法定优先受偿权利状况</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由于本次估价目的是为估价委托人司法拍卖房地产确定拍卖保留价提供参考依据而评估被拍卖房地产的市场价值，故本次评估中未考虑查封等因素（房地产司法拍卖中，原有的担保物权因拍卖而消灭，查封等限制权利因拍卖而解除）对房地产市场价值的影响。不考虑被估房屋所受抵押、租赁、查封等因素影响。</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562" w:firstLineChars="200"/>
        <w:textAlignment w:val="auto"/>
        <w:outlineLvl w:val="0"/>
        <w:rPr>
          <w:rFonts w:hint="eastAsia" w:ascii="仿宋" w:hAnsi="仿宋" w:eastAsia="仿宋" w:cs="仿宋"/>
          <w:b/>
          <w:bCs w:val="0"/>
          <w:color w:val="auto"/>
          <w:sz w:val="28"/>
          <w:szCs w:val="28"/>
          <w:lang w:val="en-US" w:eastAsia="zh-CN"/>
        </w:rPr>
      </w:pPr>
      <w:bookmarkStart w:id="33" w:name="_Toc32011"/>
      <w:r>
        <w:rPr>
          <w:rFonts w:hint="eastAsia" w:ascii="仿宋" w:hAnsi="仿宋" w:eastAsia="仿宋" w:cs="仿宋"/>
          <w:b/>
          <w:bCs w:val="0"/>
          <w:color w:val="auto"/>
          <w:sz w:val="28"/>
          <w:szCs w:val="28"/>
          <w:lang w:val="en-US" w:eastAsia="zh-CN"/>
        </w:rPr>
        <w:t>五、价值时点</w:t>
      </w:r>
      <w:bookmarkEnd w:id="33"/>
    </w:p>
    <w:p>
      <w:pPr>
        <w:keepNext w:val="0"/>
        <w:keepLines w:val="0"/>
        <w:pageBreakBefore w:val="0"/>
        <w:widowControl w:val="0"/>
        <w:kinsoku/>
        <w:wordWrap/>
        <w:overflowPunct/>
        <w:topLinePunct w:val="0"/>
        <w:autoSpaceDE/>
        <w:autoSpaceDN/>
        <w:bidi w:val="0"/>
        <w:adjustRightInd/>
        <w:snapToGrid/>
        <w:spacing w:line="500" w:lineRule="exact"/>
        <w:ind w:right="0" w:rightChars="0"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本次估价的价值时点为实地查勘日，即为</w:t>
      </w:r>
      <w:r>
        <w:rPr>
          <w:rFonts w:hint="eastAsia" w:ascii="仿宋" w:hAnsi="仿宋" w:eastAsia="仿宋" w:cs="仿宋"/>
          <w:color w:val="060FCC"/>
          <w:sz w:val="28"/>
          <w:szCs w:val="28"/>
          <w:lang w:val="en-US" w:eastAsia="zh-CN"/>
        </w:rPr>
        <w:t>2022年6月10日</w:t>
      </w:r>
      <w:r>
        <w:rPr>
          <w:rFonts w:hint="eastAsia" w:ascii="仿宋" w:hAnsi="仿宋" w:eastAsia="仿宋" w:cs="仿宋"/>
          <w:color w:val="auto"/>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2" w:firstLineChars="200"/>
        <w:textAlignment w:val="auto"/>
        <w:outlineLvl w:val="0"/>
        <w:rPr>
          <w:rFonts w:hint="eastAsia" w:ascii="仿宋" w:hAnsi="仿宋" w:eastAsia="仿宋" w:cs="仿宋"/>
          <w:b/>
          <w:bCs w:val="0"/>
          <w:color w:val="auto"/>
          <w:sz w:val="28"/>
          <w:szCs w:val="28"/>
          <w:lang w:val="en-US" w:eastAsia="zh-CN"/>
        </w:rPr>
      </w:pPr>
      <w:bookmarkStart w:id="34" w:name="_Toc17042"/>
      <w:bookmarkStart w:id="35" w:name="_Toc20959"/>
      <w:r>
        <w:rPr>
          <w:rFonts w:hint="eastAsia" w:ascii="仿宋" w:hAnsi="仿宋" w:eastAsia="仿宋" w:cs="仿宋"/>
          <w:b/>
          <w:bCs w:val="0"/>
          <w:color w:val="auto"/>
          <w:sz w:val="28"/>
          <w:szCs w:val="28"/>
          <w:lang w:val="en-US" w:eastAsia="zh-CN"/>
        </w:rPr>
        <w:t>六、价值类型</w:t>
      </w:r>
      <w:bookmarkEnd w:id="34"/>
      <w:bookmarkEnd w:id="35"/>
    </w:p>
    <w:p>
      <w:pPr>
        <w:keepNext w:val="0"/>
        <w:keepLines w:val="0"/>
        <w:pageBreakBefore w:val="0"/>
        <w:widowControl w:val="0"/>
        <w:kinsoku/>
        <w:wordWrap/>
        <w:overflowPunct/>
        <w:topLinePunct w:val="0"/>
        <w:autoSpaceDE/>
        <w:autoSpaceDN/>
        <w:bidi w:val="0"/>
        <w:adjustRightInd/>
        <w:snapToGrid/>
        <w:spacing w:line="500" w:lineRule="exact"/>
        <w:ind w:right="0" w:rightChars="0" w:firstLine="560" w:firstLineChars="200"/>
        <w:textAlignment w:val="auto"/>
        <w:rPr>
          <w:rFonts w:hint="eastAsia" w:ascii="仿宋" w:hAnsi="仿宋" w:eastAsia="仿宋" w:cs="仿宋"/>
          <w:color w:val="auto"/>
          <w:sz w:val="28"/>
          <w:szCs w:val="28"/>
          <w:lang w:val="en-US" w:eastAsia="zh-CN"/>
        </w:rPr>
      </w:pPr>
      <w:bookmarkStart w:id="36" w:name="_Toc19086"/>
      <w:r>
        <w:rPr>
          <w:rFonts w:hint="eastAsia" w:ascii="仿宋" w:hAnsi="仿宋" w:eastAsia="仿宋" w:cs="仿宋"/>
          <w:color w:val="auto"/>
          <w:sz w:val="28"/>
          <w:szCs w:val="28"/>
          <w:lang w:val="en-US" w:eastAsia="zh-CN"/>
        </w:rPr>
        <w:t>市场价值：房地产市场价值为估价对象在价值时点采用公开市场价值标准且满足本次估价假设限制条件下确定的客观、合理的公开市场价值。</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2" w:firstLineChars="200"/>
        <w:textAlignment w:val="auto"/>
        <w:outlineLvl w:val="0"/>
        <w:rPr>
          <w:rFonts w:hint="eastAsia" w:ascii="仿宋" w:hAnsi="仿宋" w:eastAsia="仿宋" w:cs="仿宋"/>
          <w:b/>
          <w:bCs w:val="0"/>
          <w:color w:val="auto"/>
          <w:sz w:val="28"/>
          <w:szCs w:val="28"/>
          <w:lang w:val="en-US" w:eastAsia="zh-CN"/>
        </w:rPr>
      </w:pPr>
      <w:bookmarkStart w:id="37" w:name="_Toc19292"/>
      <w:r>
        <w:rPr>
          <w:rFonts w:hint="eastAsia" w:ascii="仿宋" w:hAnsi="仿宋" w:eastAsia="仿宋" w:cs="仿宋"/>
          <w:b/>
          <w:bCs w:val="0"/>
          <w:color w:val="auto"/>
          <w:sz w:val="28"/>
          <w:szCs w:val="28"/>
          <w:lang w:val="en-US" w:eastAsia="zh-CN"/>
        </w:rPr>
        <w:t>七、估价原则</w:t>
      </w:r>
      <w:bookmarkEnd w:id="36"/>
      <w:bookmarkEnd w:id="37"/>
    </w:p>
    <w:p>
      <w:pPr>
        <w:keepNext w:val="0"/>
        <w:keepLines w:val="0"/>
        <w:pageBreakBefore w:val="0"/>
        <w:widowControl w:val="0"/>
        <w:kinsoku/>
        <w:wordWrap/>
        <w:overflowPunct/>
        <w:topLinePunct w:val="0"/>
        <w:autoSpaceDE/>
        <w:autoSpaceDN/>
        <w:bidi w:val="0"/>
        <w:adjustRightInd/>
        <w:snapToGrid/>
        <w:spacing w:line="500" w:lineRule="exact"/>
        <w:ind w:right="0" w:rightChars="0" w:firstLine="560" w:firstLineChars="200"/>
        <w:textAlignment w:val="auto"/>
        <w:rPr>
          <w:rFonts w:hint="eastAsia" w:ascii="仿宋" w:hAnsi="仿宋" w:eastAsia="仿宋" w:cs="仿宋"/>
          <w:color w:val="auto"/>
          <w:sz w:val="28"/>
          <w:szCs w:val="28"/>
        </w:rPr>
      </w:pPr>
      <w:bookmarkStart w:id="38" w:name="_Toc8194"/>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合法原则：以估价对象的合法使用、合法交易、合法处分为前提估价。所谓合法，是指符合国家的法律、法规和当地政府的有关规定。一是要求在估价时必须确认估价对象具有合法的产权。二是要求在估价时所涉及的估价对象的用途必须是合法的。三是要求如果涉及估价对象的交易或处分方式时，该交易或处分方式必须是合法的。</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独立、客观、公正原则：要求房地产估价机构有完全独立性，房地产估价机构和估价人员与估价对象及相关当事人没有利害关系，不受外部环境干扰因素影响，从实际出发，公平合理地进行估价。</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价值时点原则：估价结果应是估价对象在价值时点的客观合理价值。估价结论具有很强的时间相关性和实效性。主要是考虑到资金的时间价值，在不同的时点上发生的现</w:t>
      </w:r>
      <w:r>
        <w:rPr>
          <w:rFonts w:hint="eastAsia" w:ascii="仿宋" w:hAnsi="仿宋" w:eastAsia="仿宋" w:cs="仿宋"/>
          <w:color w:val="auto"/>
          <w:spacing w:val="-6"/>
          <w:sz w:val="28"/>
          <w:szCs w:val="28"/>
        </w:rPr>
        <w:t>金流量对其价值影响是不同的。估价结</w:t>
      </w:r>
      <w:r>
        <w:rPr>
          <w:rFonts w:hint="eastAsia" w:ascii="仿宋" w:hAnsi="仿宋" w:eastAsia="仿宋" w:cs="仿宋"/>
          <w:color w:val="auto"/>
          <w:sz w:val="28"/>
          <w:szCs w:val="28"/>
        </w:rPr>
        <w:t>果是估价对象在价值时点的价格，不能将该估价结果作为估价对象在其他时点的价格。</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替代原则：估价对象不得明显偏离类似房地产在同等条件和状态下的正常价</w:t>
      </w:r>
      <w:r>
        <w:rPr>
          <w:rFonts w:hint="eastAsia" w:ascii="仿宋" w:hAnsi="仿宋" w:eastAsia="仿宋" w:cs="仿宋"/>
          <w:color w:val="auto"/>
          <w:spacing w:val="-6"/>
          <w:sz w:val="28"/>
          <w:szCs w:val="28"/>
        </w:rPr>
        <w:t>格。房地产估价所要确定的估价结论是估价对象的客观合理价格或价值。对于房地产交易目的而言，该客观合理价格或价</w:t>
      </w:r>
      <w:r>
        <w:rPr>
          <w:rFonts w:hint="eastAsia" w:ascii="仿宋" w:hAnsi="仿宋" w:eastAsia="仿宋" w:cs="仿宋"/>
          <w:color w:val="auto"/>
          <w:sz w:val="28"/>
          <w:szCs w:val="28"/>
        </w:rPr>
        <w:t>值应当是在公开市场上最可能形成或成立的价格，房地产估价就是参照公开市场上足够数量的类似房地产的近期成交价格来确定估价对象的客观合理价格或者价值的。</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最高最佳利用原则：估价对象的最高最佳利用为前提估价，认为保持现状最有利时应以保持现状继续使用为前提。最高最佳利用：房地产在法律上允许、技术上可能、财务上可行并使价值最大的合理、可能的利用，包括最佳的用途、规模、档次等。</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2" w:firstLineChars="200"/>
        <w:textAlignment w:val="auto"/>
        <w:outlineLvl w:val="0"/>
        <w:rPr>
          <w:rFonts w:hint="eastAsia" w:ascii="仿宋" w:hAnsi="仿宋" w:eastAsia="仿宋" w:cs="仿宋"/>
          <w:b/>
          <w:bCs w:val="0"/>
          <w:color w:val="auto"/>
          <w:sz w:val="28"/>
          <w:szCs w:val="28"/>
          <w:lang w:val="en-US" w:eastAsia="zh-CN"/>
        </w:rPr>
      </w:pPr>
      <w:bookmarkStart w:id="39" w:name="_Toc11621"/>
      <w:r>
        <w:rPr>
          <w:rFonts w:hint="eastAsia" w:ascii="仿宋" w:hAnsi="仿宋" w:eastAsia="仿宋" w:cs="仿宋"/>
          <w:b/>
          <w:bCs w:val="0"/>
          <w:color w:val="auto"/>
          <w:sz w:val="28"/>
          <w:szCs w:val="28"/>
          <w:lang w:val="en-US" w:eastAsia="zh-CN"/>
        </w:rPr>
        <w:t>八、估价依据</w:t>
      </w:r>
      <w:bookmarkEnd w:id="38"/>
      <w:bookmarkEnd w:id="39"/>
    </w:p>
    <w:p>
      <w:pPr>
        <w:keepNext w:val="0"/>
        <w:keepLines w:val="0"/>
        <w:pageBreakBefore w:val="0"/>
        <w:widowControl w:val="0"/>
        <w:kinsoku/>
        <w:wordWrap/>
        <w:overflowPunct/>
        <w:topLinePunct w:val="0"/>
        <w:autoSpaceDE/>
        <w:autoSpaceDN/>
        <w:bidi w:val="0"/>
        <w:adjustRightInd/>
        <w:snapToGrid/>
        <w:spacing w:line="500" w:lineRule="exact"/>
        <w:ind w:right="0" w:rightChars="0"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1、国家及地方有关部门颁布的法律法规及相关文件</w:t>
      </w:r>
    </w:p>
    <w:p>
      <w:pPr>
        <w:keepNext w:val="0"/>
        <w:keepLines w:val="0"/>
        <w:pageBreakBefore w:val="0"/>
        <w:widowControl w:val="0"/>
        <w:numPr>
          <w:ilvl w:val="0"/>
          <w:numId w:val="5"/>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val="en-US" w:eastAsia="zh-CN"/>
        </w:rPr>
        <w:t>《中华人民共和国民法典》 </w:t>
      </w:r>
      <w:r>
        <w:rPr>
          <w:rFonts w:hint="default" w:ascii="仿宋" w:hAnsi="仿宋" w:eastAsia="仿宋" w:cs="仿宋"/>
          <w:bCs/>
          <w:color w:val="auto"/>
          <w:sz w:val="28"/>
          <w:szCs w:val="28"/>
          <w:lang w:val="en-US" w:eastAsia="zh-CN"/>
        </w:rPr>
        <w:t>(2020年5月28日第十三届全国人民代表大会第三次会议通过</w:t>
      </w:r>
      <w:r>
        <w:rPr>
          <w:rFonts w:hint="eastAsia" w:ascii="仿宋" w:hAnsi="仿宋" w:eastAsia="仿宋" w:cs="仿宋"/>
          <w:bCs/>
          <w:color w:val="auto"/>
          <w:sz w:val="28"/>
          <w:szCs w:val="28"/>
          <w:lang w:val="en-US" w:eastAsia="zh-CN"/>
        </w:rPr>
        <w:t>，自2021年1月1日起施行</w:t>
      </w:r>
      <w:r>
        <w:rPr>
          <w:rFonts w:hint="default" w:ascii="仿宋" w:hAnsi="仿宋" w:eastAsia="仿宋" w:cs="仿宋"/>
          <w:bCs/>
          <w:color w:val="auto"/>
          <w:sz w:val="28"/>
          <w:szCs w:val="28"/>
          <w:lang w:val="en-US" w:eastAsia="zh-CN"/>
        </w:rPr>
        <w:t>) </w:t>
      </w:r>
    </w:p>
    <w:p>
      <w:pPr>
        <w:keepNext w:val="0"/>
        <w:keepLines w:val="0"/>
        <w:pageBreakBefore w:val="0"/>
        <w:widowControl w:val="0"/>
        <w:numPr>
          <w:ilvl w:val="0"/>
          <w:numId w:val="5"/>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《中华人民共和国城市房地产管理法》（</w:t>
      </w:r>
      <w:r>
        <w:rPr>
          <w:rFonts w:hint="eastAsia" w:ascii="仿宋" w:hAnsi="仿宋" w:eastAsia="仿宋" w:cs="仿宋"/>
          <w:color w:val="auto"/>
          <w:spacing w:val="0"/>
          <w:sz w:val="28"/>
          <w:szCs w:val="28"/>
          <w:highlight w:val="none"/>
          <w:lang w:val="en-US" w:eastAsia="zh-CN"/>
        </w:rPr>
        <w:t>2019年8月26日第十三届全国人民代表大会常务委员会第十二次会议第三次修正，自2020年1月1日起施行</w:t>
      </w:r>
      <w:r>
        <w:rPr>
          <w:rFonts w:hint="eastAsia" w:ascii="仿宋" w:hAnsi="仿宋" w:eastAsia="仿宋" w:cs="仿宋"/>
          <w:bCs/>
          <w:color w:val="auto"/>
          <w:sz w:val="28"/>
          <w:szCs w:val="28"/>
          <w:lang w:eastAsia="zh-CN"/>
        </w:rPr>
        <w:t>）</w:t>
      </w:r>
    </w:p>
    <w:p>
      <w:pPr>
        <w:keepNext w:val="0"/>
        <w:keepLines w:val="0"/>
        <w:pageBreakBefore w:val="0"/>
        <w:widowControl w:val="0"/>
        <w:numPr>
          <w:ilvl w:val="0"/>
          <w:numId w:val="5"/>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color w:val="auto"/>
          <w:spacing w:val="0"/>
          <w:sz w:val="28"/>
          <w:szCs w:val="28"/>
          <w:highlight w:val="none"/>
          <w:lang w:val="en-US" w:eastAsia="zh-CN"/>
        </w:rPr>
      </w:pPr>
      <w:r>
        <w:rPr>
          <w:rFonts w:hint="eastAsia" w:ascii="仿宋" w:hAnsi="仿宋" w:eastAsia="仿宋" w:cs="仿宋"/>
          <w:bCs/>
          <w:color w:val="auto"/>
          <w:sz w:val="28"/>
          <w:szCs w:val="28"/>
          <w:lang w:eastAsia="zh-CN"/>
        </w:rPr>
        <w:t>《中华人民共和国土地管理法》（</w:t>
      </w:r>
      <w:r>
        <w:rPr>
          <w:rFonts w:hint="eastAsia" w:ascii="仿宋" w:hAnsi="仿宋" w:eastAsia="仿宋" w:cs="仿宋"/>
          <w:color w:val="auto"/>
          <w:spacing w:val="0"/>
          <w:sz w:val="28"/>
          <w:szCs w:val="28"/>
          <w:highlight w:val="none"/>
          <w:lang w:val="en-US" w:eastAsia="zh-CN"/>
        </w:rPr>
        <w:t>2019年8月26日第十三届全国人民代表大会常务委员会第十二次会议第三次修正，自2020年1月1日起施行）</w:t>
      </w:r>
    </w:p>
    <w:p>
      <w:pPr>
        <w:keepNext w:val="0"/>
        <w:keepLines w:val="0"/>
        <w:pageBreakBefore w:val="0"/>
        <w:widowControl w:val="0"/>
        <w:numPr>
          <w:ilvl w:val="0"/>
          <w:numId w:val="5"/>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《中华人民共和国城乡规划法》（2007年10月28日中华人民共和国主席令第74号，自2008年1月1日起施行。）</w:t>
      </w:r>
    </w:p>
    <w:p>
      <w:pPr>
        <w:keepNext w:val="0"/>
        <w:keepLines w:val="0"/>
        <w:pageBreakBefore w:val="0"/>
        <w:widowControl w:val="0"/>
        <w:numPr>
          <w:ilvl w:val="0"/>
          <w:numId w:val="5"/>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《中华人民共和国土地管理法实施条例》（1998年12月27日国务院令第256号，1999年1月1日施行）</w:t>
      </w:r>
    </w:p>
    <w:p>
      <w:pPr>
        <w:keepNext w:val="0"/>
        <w:keepLines w:val="0"/>
        <w:pageBreakBefore w:val="0"/>
        <w:widowControl w:val="0"/>
        <w:numPr>
          <w:ilvl w:val="0"/>
          <w:numId w:val="5"/>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pacing w:val="-6"/>
          <w:sz w:val="28"/>
          <w:szCs w:val="28"/>
          <w:lang w:eastAsia="zh-CN"/>
        </w:rPr>
      </w:pPr>
      <w:r>
        <w:rPr>
          <w:rFonts w:hint="eastAsia" w:ascii="仿宋" w:hAnsi="仿宋" w:eastAsia="仿宋" w:cs="仿宋"/>
          <w:bCs/>
          <w:color w:val="auto"/>
          <w:sz w:val="28"/>
          <w:szCs w:val="28"/>
          <w:lang w:eastAsia="zh-CN"/>
        </w:rPr>
        <w:t>《中华人民共和国城镇国有土地使用权出让和转让暂行条例》</w:t>
      </w:r>
      <w:r>
        <w:rPr>
          <w:rFonts w:hint="eastAsia" w:ascii="仿宋" w:hAnsi="仿宋" w:eastAsia="仿宋" w:cs="仿宋"/>
          <w:bCs/>
          <w:color w:val="auto"/>
          <w:spacing w:val="-6"/>
          <w:sz w:val="28"/>
          <w:szCs w:val="28"/>
          <w:lang w:eastAsia="zh-CN"/>
        </w:rPr>
        <w:t>（1990年5月19日中华人民共和国国务院令第55号，1990年5月19日施行）</w:t>
      </w:r>
    </w:p>
    <w:p>
      <w:pPr>
        <w:keepNext w:val="0"/>
        <w:keepLines w:val="0"/>
        <w:pageBreakBefore w:val="0"/>
        <w:widowControl w:val="0"/>
        <w:numPr>
          <w:ilvl w:val="0"/>
          <w:numId w:val="5"/>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《不动产登记暂行条例》(2014年11月24日，国务院令第656号公布，自2015年3月1日实施）</w:t>
      </w:r>
    </w:p>
    <w:p>
      <w:pPr>
        <w:keepNext w:val="0"/>
        <w:keepLines w:val="0"/>
        <w:pageBreakBefore w:val="0"/>
        <w:widowControl w:val="0"/>
        <w:numPr>
          <w:ilvl w:val="0"/>
          <w:numId w:val="5"/>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《中华人民共和国资产评估法》（2016年7月2日中华人民共和国第十二届全国人民代表大会常务委员会第二十一次通过，自2016年12月1日起施行）</w:t>
      </w:r>
    </w:p>
    <w:p>
      <w:pPr>
        <w:keepNext w:val="0"/>
        <w:keepLines w:val="0"/>
        <w:pageBreakBefore w:val="0"/>
        <w:widowControl w:val="0"/>
        <w:numPr>
          <w:ilvl w:val="0"/>
          <w:numId w:val="5"/>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《司法鉴定程序通则》（司法部令第132号，自2016年5月1日起正式实施）</w:t>
      </w:r>
    </w:p>
    <w:p>
      <w:pPr>
        <w:keepNext w:val="0"/>
        <w:keepLines w:val="0"/>
        <w:pageBreakBefore w:val="0"/>
        <w:widowControl w:val="0"/>
        <w:numPr>
          <w:ilvl w:val="0"/>
          <w:numId w:val="5"/>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最高人民法院《关于人民法院民事执行中拍卖、变卖财产的规定》（法释[2004]16号，自2005年1月1日起实施）</w:t>
      </w:r>
    </w:p>
    <w:p>
      <w:pPr>
        <w:keepNext w:val="0"/>
        <w:keepLines w:val="0"/>
        <w:pageBreakBefore w:val="0"/>
        <w:widowControl w:val="0"/>
        <w:numPr>
          <w:ilvl w:val="0"/>
          <w:numId w:val="5"/>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最高人民法院《关于人民法院委托评估、拍卖和变卖工作的若干规定》（法释〔2009〕16号，自2009年11月20日起施行）</w:t>
      </w:r>
    </w:p>
    <w:p>
      <w:pPr>
        <w:keepNext w:val="0"/>
        <w:keepLines w:val="0"/>
        <w:pageBreakBefore w:val="0"/>
        <w:widowControl w:val="0"/>
        <w:numPr>
          <w:ilvl w:val="0"/>
          <w:numId w:val="5"/>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《江苏省高级人民法院关于人民法院执行程序中司法评估、拍卖有关问题的规定（试行）》（[2015]4号，2015年9月21日江苏省高级人民法院审判委员会第17次全体委员会讨论通过）</w:t>
      </w:r>
    </w:p>
    <w:p>
      <w:pPr>
        <w:keepNext w:val="0"/>
        <w:keepLines w:val="0"/>
        <w:pageBreakBefore w:val="0"/>
        <w:widowControl w:val="0"/>
        <w:numPr>
          <w:ilvl w:val="0"/>
          <w:numId w:val="5"/>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《江苏省高级人民法院关于人民法院关于规范委托鉴定工作的意见》（ [2015]5号，2015年10月12日江苏省高级人民法院审判委员会第18次全体委员会讨论通过）</w:t>
      </w:r>
    </w:p>
    <w:p>
      <w:pPr>
        <w:keepNext w:val="0"/>
        <w:keepLines w:val="0"/>
        <w:pageBreakBefore w:val="0"/>
        <w:widowControl w:val="0"/>
        <w:numPr>
          <w:ilvl w:val="0"/>
          <w:numId w:val="5"/>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《江苏省高级人民法院关于确定委托鉴定机构的意见》（2014年2月17日江苏省高级人民法院审判委员会第2次全体委员会讨论通过，2014年3月28日印发）</w:t>
      </w:r>
    </w:p>
    <w:p>
      <w:pPr>
        <w:keepNext w:val="0"/>
        <w:keepLines w:val="0"/>
        <w:pageBreakBefore w:val="0"/>
        <w:widowControl w:val="0"/>
        <w:numPr>
          <w:ilvl w:val="0"/>
          <w:numId w:val="5"/>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江苏省人民法院委托鉴定、拍卖工作补充规定（试行）（2012年02月29日发布) </w:t>
      </w:r>
    </w:p>
    <w:p>
      <w:pPr>
        <w:keepNext w:val="0"/>
        <w:keepLines w:val="0"/>
        <w:pageBreakBefore w:val="0"/>
        <w:widowControl w:val="0"/>
        <w:numPr>
          <w:ilvl w:val="0"/>
          <w:numId w:val="5"/>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盐城市政府和部门颁布的其他相关政策法规</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2、本次估价依据的技术规程及有关技术文件</w:t>
      </w:r>
    </w:p>
    <w:p>
      <w:pPr>
        <w:keepNext w:val="0"/>
        <w:keepLines w:val="0"/>
        <w:pageBreakBefore w:val="0"/>
        <w:widowControl w:val="0"/>
        <w:numPr>
          <w:ilvl w:val="0"/>
          <w:numId w:val="6"/>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《房地产估价规范》（国标GB/T50291-2015，2015年12月1日起实施）</w:t>
      </w:r>
    </w:p>
    <w:p>
      <w:pPr>
        <w:keepNext w:val="0"/>
        <w:keepLines w:val="0"/>
        <w:pageBreakBefore w:val="0"/>
        <w:widowControl w:val="0"/>
        <w:numPr>
          <w:ilvl w:val="0"/>
          <w:numId w:val="6"/>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《房地产估价基本术语标准》（GBT 50899-2013，自2014年2月1日起施行）</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3、委托人提供的有关资料</w:t>
      </w:r>
    </w:p>
    <w:p>
      <w:pPr>
        <w:keepNext w:val="0"/>
        <w:keepLines w:val="0"/>
        <w:pageBreakBefore w:val="0"/>
        <w:widowControl w:val="0"/>
        <w:numPr>
          <w:ilvl w:val="0"/>
          <w:numId w:val="7"/>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val="en-US" w:eastAsia="zh-CN"/>
        </w:rPr>
      </w:pPr>
      <w:r>
        <w:rPr>
          <w:rFonts w:hint="eastAsia" w:ascii="仿宋" w:hAnsi="仿宋" w:eastAsia="仿宋" w:cs="仿宋"/>
          <w:bCs/>
          <w:color w:val="060FCC"/>
          <w:sz w:val="28"/>
          <w:szCs w:val="28"/>
          <w:lang w:val="en-US" w:eastAsia="zh-CN"/>
        </w:rPr>
        <w:t>建湖县人民法院</w:t>
      </w:r>
      <w:r>
        <w:rPr>
          <w:rFonts w:hint="eastAsia" w:ascii="仿宋" w:hAnsi="仿宋" w:eastAsia="仿宋" w:cs="仿宋"/>
          <w:bCs/>
          <w:color w:val="auto"/>
          <w:sz w:val="28"/>
          <w:szCs w:val="28"/>
          <w:lang w:val="en-US" w:eastAsia="zh-CN"/>
        </w:rPr>
        <w:t>司法鉴定委托书[</w:t>
      </w:r>
      <w:r>
        <w:rPr>
          <w:rFonts w:hint="eastAsia" w:ascii="仿宋" w:hAnsi="仿宋" w:eastAsia="仿宋" w:cs="仿宋"/>
          <w:bCs/>
          <w:color w:val="060FCC"/>
          <w:sz w:val="28"/>
          <w:szCs w:val="28"/>
          <w:lang w:val="en-US" w:eastAsia="zh-CN"/>
        </w:rPr>
        <w:t>（2022）苏0925法鉴委字第118号</w:t>
      </w:r>
      <w:r>
        <w:rPr>
          <w:rFonts w:hint="eastAsia" w:ascii="仿宋" w:hAnsi="仿宋" w:eastAsia="仿宋" w:cs="仿宋"/>
          <w:bCs/>
          <w:color w:val="auto"/>
          <w:sz w:val="28"/>
          <w:szCs w:val="28"/>
          <w:lang w:val="en-US" w:eastAsia="zh-CN"/>
        </w:rPr>
        <w:t>]</w:t>
      </w:r>
    </w:p>
    <w:p>
      <w:pPr>
        <w:keepNext w:val="0"/>
        <w:keepLines w:val="0"/>
        <w:pageBreakBefore w:val="0"/>
        <w:widowControl w:val="0"/>
        <w:numPr>
          <w:ilvl w:val="0"/>
          <w:numId w:val="7"/>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val="en-US" w:eastAsia="zh-CN"/>
        </w:rPr>
      </w:pPr>
      <w:r>
        <w:rPr>
          <w:rFonts w:hint="eastAsia" w:ascii="仿宋" w:hAnsi="仿宋" w:eastAsia="仿宋" w:cs="仿宋"/>
          <w:bCs/>
          <w:color w:val="auto"/>
          <w:sz w:val="28"/>
          <w:szCs w:val="28"/>
          <w:lang w:val="en-US" w:eastAsia="zh-CN"/>
        </w:rPr>
        <w:t>《不动产登记簿查询记录》（复印件）</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560" w:firstLineChars="200"/>
        <w:textAlignment w:val="auto"/>
        <w:rPr>
          <w:rFonts w:hint="eastAsia" w:ascii="仿宋" w:hAnsi="仿宋" w:eastAsia="仿宋" w:cs="仿宋"/>
          <w:color w:val="auto"/>
          <w:sz w:val="28"/>
          <w:szCs w:val="28"/>
          <w:lang w:val="en-US" w:eastAsia="zh-CN"/>
        </w:rPr>
      </w:pPr>
      <w:bookmarkStart w:id="40" w:name="_Toc9181"/>
      <w:r>
        <w:rPr>
          <w:rFonts w:hint="eastAsia" w:ascii="仿宋" w:hAnsi="仿宋" w:eastAsia="仿宋" w:cs="仿宋"/>
          <w:color w:val="auto"/>
          <w:sz w:val="28"/>
          <w:szCs w:val="28"/>
          <w:lang w:val="en-US" w:eastAsia="zh-CN"/>
        </w:rPr>
        <w:t>4、估价方掌握的有关资料</w:t>
      </w:r>
    </w:p>
    <w:p>
      <w:pPr>
        <w:keepNext w:val="0"/>
        <w:keepLines w:val="0"/>
        <w:pageBreakBefore w:val="0"/>
        <w:widowControl w:val="0"/>
        <w:numPr>
          <w:ilvl w:val="0"/>
          <w:numId w:val="8"/>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估价对象所在地自然条件、社会经济条件、行政区划人口等方面的基本情况资料</w:t>
      </w:r>
    </w:p>
    <w:p>
      <w:pPr>
        <w:keepNext w:val="0"/>
        <w:keepLines w:val="0"/>
        <w:pageBreakBefore w:val="0"/>
        <w:widowControl w:val="0"/>
        <w:numPr>
          <w:ilvl w:val="0"/>
          <w:numId w:val="8"/>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估价对象所在地统计资料</w:t>
      </w:r>
    </w:p>
    <w:p>
      <w:pPr>
        <w:keepNext w:val="0"/>
        <w:keepLines w:val="0"/>
        <w:pageBreakBefore w:val="0"/>
        <w:widowControl w:val="0"/>
        <w:numPr>
          <w:ilvl w:val="0"/>
          <w:numId w:val="8"/>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估价对象所在地城市规划资料</w:t>
      </w:r>
    </w:p>
    <w:p>
      <w:pPr>
        <w:keepNext w:val="0"/>
        <w:keepLines w:val="0"/>
        <w:pageBreakBefore w:val="0"/>
        <w:widowControl w:val="0"/>
        <w:numPr>
          <w:ilvl w:val="0"/>
          <w:numId w:val="8"/>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估价对象所在地城市基础设施基本情况资料</w:t>
      </w:r>
    </w:p>
    <w:p>
      <w:pPr>
        <w:keepNext w:val="0"/>
        <w:keepLines w:val="0"/>
        <w:pageBreakBefore w:val="0"/>
        <w:widowControl w:val="0"/>
        <w:numPr>
          <w:ilvl w:val="0"/>
          <w:numId w:val="8"/>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估价对象所在地基准地价等方面的资料</w:t>
      </w:r>
    </w:p>
    <w:p>
      <w:pPr>
        <w:keepNext w:val="0"/>
        <w:keepLines w:val="0"/>
        <w:pageBreakBefore w:val="0"/>
        <w:widowControl w:val="0"/>
        <w:numPr>
          <w:ilvl w:val="0"/>
          <w:numId w:val="8"/>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建设部《房屋完损等级评定标准》</w:t>
      </w:r>
    </w:p>
    <w:p>
      <w:pPr>
        <w:keepNext w:val="0"/>
        <w:keepLines w:val="0"/>
        <w:pageBreakBefore w:val="0"/>
        <w:widowControl w:val="0"/>
        <w:numPr>
          <w:ilvl w:val="0"/>
          <w:numId w:val="8"/>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盐城工程造价信息</w:t>
      </w:r>
    </w:p>
    <w:p>
      <w:pPr>
        <w:keepNext w:val="0"/>
        <w:keepLines w:val="0"/>
        <w:pageBreakBefore w:val="0"/>
        <w:widowControl w:val="0"/>
        <w:numPr>
          <w:ilvl w:val="0"/>
          <w:numId w:val="8"/>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江苏省建筑工程信息公布的各类建筑物建安造价指标</w:t>
      </w:r>
    </w:p>
    <w:p>
      <w:pPr>
        <w:keepNext w:val="0"/>
        <w:keepLines w:val="0"/>
        <w:pageBreakBefore w:val="0"/>
        <w:widowControl w:val="0"/>
        <w:numPr>
          <w:ilvl w:val="0"/>
          <w:numId w:val="8"/>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中国人民银行最新存贷款利率表</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5、估价人员实地查勘、调查所获取的资料</w:t>
      </w:r>
    </w:p>
    <w:p>
      <w:pPr>
        <w:keepNext w:val="0"/>
        <w:keepLines w:val="0"/>
        <w:pageBreakBefore w:val="0"/>
        <w:widowControl w:val="0"/>
        <w:numPr>
          <w:ilvl w:val="0"/>
          <w:numId w:val="9"/>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估价人员实地查勘和调查收集的有关估价对象权属、基础设施、宗地条件方面的资料</w:t>
      </w:r>
    </w:p>
    <w:p>
      <w:pPr>
        <w:keepNext w:val="0"/>
        <w:keepLines w:val="0"/>
        <w:pageBreakBefore w:val="0"/>
        <w:widowControl w:val="0"/>
        <w:numPr>
          <w:ilvl w:val="0"/>
          <w:numId w:val="9"/>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估价人员实地查勘和调查收集的有关估价对象建筑物状况资料</w:t>
      </w:r>
    </w:p>
    <w:p>
      <w:pPr>
        <w:keepNext w:val="0"/>
        <w:keepLines w:val="0"/>
        <w:pageBreakBefore w:val="0"/>
        <w:widowControl w:val="0"/>
        <w:numPr>
          <w:ilvl w:val="0"/>
          <w:numId w:val="9"/>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估价对象所在地土地出让转让、土地市场供需状况、商品房买卖、租赁等土地房产交易的市场资料</w:t>
      </w:r>
    </w:p>
    <w:p>
      <w:pPr>
        <w:keepNext w:val="0"/>
        <w:keepLines w:val="0"/>
        <w:pageBreakBefore w:val="0"/>
        <w:widowControl w:val="0"/>
        <w:numPr>
          <w:ilvl w:val="0"/>
          <w:numId w:val="9"/>
        </w:numPr>
        <w:tabs>
          <w:tab w:val="left" w:pos="420"/>
          <w:tab w:val="clear" w:pos="0"/>
        </w:tabs>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估价人员实地拍摄的有关估价对象现状的照片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560" w:firstLineChars="200"/>
        <w:textAlignment w:val="auto"/>
        <w:outlineLvl w:val="9"/>
        <w:rPr>
          <w:rFonts w:hint="eastAsia" w:ascii="仿宋_GB2312" w:eastAsia="仿宋_GB2312"/>
          <w:color w:val="auto"/>
          <w:sz w:val="28"/>
          <w:szCs w:val="28"/>
        </w:rPr>
      </w:pPr>
      <w:r>
        <w:rPr>
          <w:rFonts w:hint="eastAsia" w:ascii="仿宋" w:hAnsi="仿宋" w:eastAsia="仿宋" w:cs="仿宋"/>
          <w:bCs/>
          <w:color w:val="auto"/>
          <w:sz w:val="28"/>
          <w:szCs w:val="28"/>
          <w:lang w:eastAsia="zh-CN"/>
        </w:rPr>
        <w:t>估价人员实地查勘和调查收集的估价对象所在地自然条件、社会经济条件、行政区划人口等方面的基本情况资料</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2" w:firstLineChars="200"/>
        <w:textAlignment w:val="auto"/>
        <w:outlineLvl w:val="0"/>
        <w:rPr>
          <w:rFonts w:hint="eastAsia" w:ascii="仿宋" w:hAnsi="仿宋" w:eastAsia="仿宋" w:cs="仿宋"/>
          <w:b/>
          <w:bCs w:val="0"/>
          <w:color w:val="auto"/>
          <w:sz w:val="28"/>
          <w:szCs w:val="28"/>
          <w:lang w:val="en-US" w:eastAsia="zh-CN"/>
        </w:rPr>
      </w:pPr>
      <w:bookmarkStart w:id="41" w:name="_Toc14460"/>
      <w:r>
        <w:rPr>
          <w:rFonts w:hint="eastAsia" w:ascii="仿宋" w:hAnsi="仿宋" w:eastAsia="仿宋" w:cs="仿宋"/>
          <w:b/>
          <w:bCs w:val="0"/>
          <w:color w:val="auto"/>
          <w:sz w:val="28"/>
          <w:szCs w:val="28"/>
          <w:lang w:val="en-US" w:eastAsia="zh-CN"/>
        </w:rPr>
        <w:t>九、估价方法</w:t>
      </w:r>
      <w:bookmarkEnd w:id="40"/>
      <w:bookmarkEnd w:id="41"/>
    </w:p>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560" w:firstLineChars="200"/>
        <w:jc w:val="both"/>
        <w:textAlignment w:val="auto"/>
        <w:rPr>
          <w:rFonts w:hint="eastAsia" w:ascii="仿宋" w:hAnsi="仿宋" w:eastAsia="仿宋" w:cs="仿宋"/>
          <w:color w:val="auto"/>
          <w:sz w:val="28"/>
          <w:szCs w:val="28"/>
        </w:rPr>
      </w:pPr>
      <w:bookmarkStart w:id="42" w:name="OLE_LINK4"/>
      <w:bookmarkStart w:id="43" w:name="_Toc26199"/>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房地产估价常用方法有比较法、收益法、成本法、假设开发法等，不同的估价方法从不同的角度反映了估价对象房地产在一定权利状态及时点的价格水平，只是各种方法的适用条件、方法特点有所不同。本次估价方法的选择按照房地产估价的技术规程，根据盐城市房地产市场发育情况并结合估价对象的具体特点及估价目的，在遵循估价原则的前提下，采用科学、合理的方法进行测算。估价人员在认真分析所掌握的资料，并对估价对象进行了实地查勘以及对周边房地产市场进行调查后，根据《房地产估价规范》、《房地产估价基本术语标准》和遵照国家有关法律、法规、估价技术标准，经过反复研究，我们认为估价对象适宜采用</w:t>
      </w:r>
      <w:r>
        <w:rPr>
          <w:rFonts w:hint="eastAsia" w:ascii="仿宋" w:hAnsi="仿宋" w:eastAsia="仿宋" w:cs="仿宋"/>
          <w:color w:val="auto"/>
          <w:sz w:val="28"/>
          <w:szCs w:val="28"/>
          <w:lang w:eastAsia="zh-CN"/>
        </w:rPr>
        <w:t>比较法和收益法</w:t>
      </w:r>
      <w:r>
        <w:rPr>
          <w:rFonts w:hint="eastAsia" w:ascii="仿宋" w:hAnsi="仿宋" w:eastAsia="仿宋" w:cs="仿宋"/>
          <w:color w:val="auto"/>
          <w:sz w:val="28"/>
          <w:szCs w:val="28"/>
        </w:rPr>
        <w:t>进行估算，估价方法适用性分析见下表：</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jc w:val="center"/>
        <w:textAlignment w:val="auto"/>
        <w:rPr>
          <w:rFonts w:hint="eastAsia" w:ascii="仿宋" w:hAnsi="仿宋" w:eastAsia="仿宋" w:cs="仿宋"/>
          <w:b/>
          <w:color w:val="auto"/>
          <w:sz w:val="28"/>
        </w:rPr>
      </w:pP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jc w:val="center"/>
        <w:textAlignment w:val="auto"/>
        <w:rPr>
          <w:rFonts w:hint="eastAsia" w:ascii="仿宋" w:hAnsi="仿宋" w:eastAsia="仿宋" w:cs="仿宋"/>
          <w:b/>
          <w:color w:val="auto"/>
          <w:sz w:val="28"/>
        </w:rPr>
      </w:pP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jc w:val="center"/>
        <w:textAlignment w:val="auto"/>
        <w:rPr>
          <w:rFonts w:hint="eastAsia" w:ascii="仿宋" w:hAnsi="仿宋" w:eastAsia="仿宋" w:cs="仿宋"/>
          <w:b/>
          <w:color w:val="auto"/>
          <w:sz w:val="28"/>
        </w:rPr>
      </w:pPr>
      <w:r>
        <w:rPr>
          <w:rFonts w:hint="eastAsia" w:ascii="仿宋" w:hAnsi="仿宋" w:eastAsia="仿宋" w:cs="仿宋"/>
          <w:b/>
          <w:color w:val="auto"/>
          <w:sz w:val="28"/>
        </w:rPr>
        <w:t>估价方法适用性分析</w:t>
      </w:r>
    </w:p>
    <w:tbl>
      <w:tblPr>
        <w:tblStyle w:val="22"/>
        <w:tblW w:w="9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53"/>
        <w:gridCol w:w="3937"/>
        <w:gridCol w:w="810"/>
        <w:gridCol w:w="3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10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估价对象特点</w:t>
            </w:r>
          </w:p>
        </w:tc>
        <w:tc>
          <w:tcPr>
            <w:tcW w:w="8242"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估价对象现状用途</w:t>
            </w:r>
            <w:r>
              <w:rPr>
                <w:rFonts w:hint="eastAsia" w:ascii="仿宋" w:hAnsi="仿宋" w:eastAsia="仿宋" w:cs="仿宋"/>
                <w:color w:val="auto"/>
                <w:kern w:val="0"/>
                <w:sz w:val="21"/>
                <w:szCs w:val="21"/>
                <w:lang w:eastAsia="zh-CN"/>
              </w:rPr>
              <w:t>、规划用途</w:t>
            </w:r>
            <w:r>
              <w:rPr>
                <w:rFonts w:hint="eastAsia" w:ascii="仿宋" w:hAnsi="仿宋" w:eastAsia="仿宋" w:cs="仿宋"/>
                <w:color w:val="auto"/>
                <w:kern w:val="0"/>
                <w:sz w:val="21"/>
                <w:szCs w:val="21"/>
              </w:rPr>
              <w:t>均为</w:t>
            </w:r>
            <w:r>
              <w:rPr>
                <w:rFonts w:hint="eastAsia" w:ascii="仿宋" w:hAnsi="仿宋" w:eastAsia="仿宋" w:cs="仿宋"/>
                <w:color w:val="auto"/>
                <w:kern w:val="0"/>
                <w:sz w:val="21"/>
                <w:szCs w:val="21"/>
                <w:lang w:eastAsia="zh-CN"/>
              </w:rPr>
              <w:t>住宅</w:t>
            </w:r>
            <w:r>
              <w:rPr>
                <w:rFonts w:hint="eastAsia" w:ascii="仿宋" w:hAnsi="仿宋" w:eastAsia="仿宋" w:cs="仿宋"/>
                <w:color w:val="auto"/>
                <w:kern w:val="0"/>
                <w:sz w:val="21"/>
                <w:szCs w:val="21"/>
              </w:rPr>
              <w:t>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10" w:hRule="atLeast"/>
        </w:trPr>
        <w:tc>
          <w:tcPr>
            <w:tcW w:w="10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估价</w:t>
            </w:r>
          </w:p>
          <w:p>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目的</w:t>
            </w:r>
          </w:p>
        </w:tc>
        <w:tc>
          <w:tcPr>
            <w:tcW w:w="8242"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lang w:val="en-US" w:eastAsia="zh-CN"/>
              </w:rPr>
              <w:t>为委托人提供涉案房地产司法鉴定价格提供参考依据而评估委估房地产市场价值</w:t>
            </w:r>
            <w:r>
              <w:rPr>
                <w:rFonts w:hint="eastAsia" w:ascii="仿宋" w:hAnsi="仿宋" w:eastAsia="仿宋" w:cs="仿宋"/>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trPr>
        <w:tc>
          <w:tcPr>
            <w:tcW w:w="10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可选估价方法</w:t>
            </w:r>
          </w:p>
        </w:tc>
        <w:tc>
          <w:tcPr>
            <w:tcW w:w="39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估价方法定义</w:t>
            </w:r>
          </w:p>
        </w:tc>
        <w:tc>
          <w:tcPr>
            <w:tcW w:w="8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是否选取</w:t>
            </w:r>
          </w:p>
        </w:tc>
        <w:tc>
          <w:tcPr>
            <w:tcW w:w="349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选择理由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74" w:hRule="atLeast"/>
        </w:trPr>
        <w:tc>
          <w:tcPr>
            <w:tcW w:w="10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比较法</w:t>
            </w:r>
          </w:p>
        </w:tc>
        <w:tc>
          <w:tcPr>
            <w:tcW w:w="39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jc w:val="both"/>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比较法：选取一定数量的可比实例，将它们与估价对象进行比较，根据其间的差异对可比实例成交价格进行处理后得到估价对象价值或价格的方法。</w:t>
            </w:r>
          </w:p>
        </w:tc>
        <w:tc>
          <w:tcPr>
            <w:tcW w:w="8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选取</w:t>
            </w:r>
          </w:p>
        </w:tc>
        <w:tc>
          <w:tcPr>
            <w:tcW w:w="3495" w:type="dxa"/>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line="260" w:lineRule="exact"/>
              <w:jc w:val="both"/>
              <w:textAlignment w:val="auto"/>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估价对象所在区城内住宅用房近期交易案例具有可比性且能搜集到可比性近期交易案例，故采用比较法进行估价。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43" w:hRule="atLeast"/>
        </w:trPr>
        <w:tc>
          <w:tcPr>
            <w:tcW w:w="10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收益法</w:t>
            </w:r>
          </w:p>
        </w:tc>
        <w:tc>
          <w:tcPr>
            <w:tcW w:w="39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jc w:val="both"/>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收益法：预测估价对象的未来收益，利用报酬率将未来收益转换为价值得到估价对象价值或价格的方法。</w:t>
            </w:r>
          </w:p>
        </w:tc>
        <w:tc>
          <w:tcPr>
            <w:tcW w:w="8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选取</w:t>
            </w:r>
          </w:p>
        </w:tc>
        <w:tc>
          <w:tcPr>
            <w:tcW w:w="3495" w:type="dxa"/>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line="260" w:lineRule="exact"/>
              <w:jc w:val="both"/>
              <w:textAlignment w:val="auto"/>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bidi="ar-SA"/>
              </w:rPr>
              <w:t>估价对象房地产有潜在收益，区域内类似性质用房租赁可比实例较多，未来收益较明显且易于测算，故采用收益法进行估价。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13" w:hRule="atLeast"/>
        </w:trPr>
        <w:tc>
          <w:tcPr>
            <w:tcW w:w="10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假设开发法</w:t>
            </w:r>
          </w:p>
        </w:tc>
        <w:tc>
          <w:tcPr>
            <w:tcW w:w="39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jc w:val="both"/>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假设开发法：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w:t>
            </w:r>
          </w:p>
        </w:tc>
        <w:tc>
          <w:tcPr>
            <w:tcW w:w="8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不选取</w:t>
            </w:r>
          </w:p>
        </w:tc>
        <w:tc>
          <w:tcPr>
            <w:tcW w:w="349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jc w:val="both"/>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估价对象用途为</w:t>
            </w:r>
            <w:r>
              <w:rPr>
                <w:rFonts w:hint="eastAsia" w:ascii="仿宋" w:hAnsi="仿宋" w:eastAsia="仿宋" w:cs="仿宋"/>
                <w:color w:val="auto"/>
                <w:kern w:val="0"/>
                <w:sz w:val="21"/>
                <w:szCs w:val="21"/>
                <w:lang w:eastAsia="zh-CN"/>
              </w:rPr>
              <w:t>住宅</w:t>
            </w:r>
            <w:r>
              <w:rPr>
                <w:rFonts w:hint="eastAsia" w:ascii="仿宋" w:hAnsi="仿宋" w:eastAsia="仿宋" w:cs="仿宋"/>
                <w:color w:val="auto"/>
                <w:kern w:val="0"/>
                <w:sz w:val="21"/>
                <w:szCs w:val="21"/>
              </w:rPr>
              <w:t>，属于已建成并可正常使用的房地产，非待开发房地产，不产生后续开发成本，能找到相关交易案例，故不适宜采用假设开发法作为估价方法。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28" w:hRule="atLeast"/>
        </w:trPr>
        <w:tc>
          <w:tcPr>
            <w:tcW w:w="10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成本法</w:t>
            </w:r>
          </w:p>
        </w:tc>
        <w:tc>
          <w:tcPr>
            <w:tcW w:w="39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jc w:val="both"/>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成本法：测算估价对象在价值时点的重置成本和折旧，将重置成本减去折旧得到估价对象价值或价格的方法。</w:t>
            </w:r>
          </w:p>
        </w:tc>
        <w:tc>
          <w:tcPr>
            <w:tcW w:w="8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不选取</w:t>
            </w:r>
          </w:p>
        </w:tc>
        <w:tc>
          <w:tcPr>
            <w:tcW w:w="349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jc w:val="both"/>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现时房地产价值与成本关联性弱，</w:t>
            </w:r>
            <w:r>
              <w:rPr>
                <w:rFonts w:hint="eastAsia" w:ascii="仿宋" w:hAnsi="仿宋" w:eastAsia="仿宋" w:cs="仿宋"/>
                <w:color w:val="auto"/>
                <w:kern w:val="0"/>
                <w:sz w:val="21"/>
                <w:szCs w:val="21"/>
                <w:lang w:eastAsia="zh-CN"/>
              </w:rPr>
              <w:t>房地产</w:t>
            </w:r>
            <w:r>
              <w:rPr>
                <w:rFonts w:hint="eastAsia" w:ascii="仿宋" w:hAnsi="仿宋" w:eastAsia="仿宋" w:cs="仿宋"/>
                <w:color w:val="auto"/>
                <w:kern w:val="0"/>
                <w:sz w:val="21"/>
                <w:szCs w:val="21"/>
              </w:rPr>
              <w:t>的开发成本不能准确反映房地产的实际市场价值，</w:t>
            </w:r>
            <w:r>
              <w:rPr>
                <w:rFonts w:hint="eastAsia" w:ascii="仿宋" w:hAnsi="仿宋" w:eastAsia="仿宋" w:cs="仿宋"/>
                <w:color w:val="auto"/>
                <w:kern w:val="0"/>
                <w:sz w:val="21"/>
                <w:szCs w:val="21"/>
                <w:lang w:eastAsia="zh-CN"/>
              </w:rPr>
              <w:t>且为整栋楼中局部、无分摊土地面积资料，</w:t>
            </w:r>
            <w:r>
              <w:rPr>
                <w:rFonts w:hint="eastAsia" w:ascii="仿宋" w:hAnsi="仿宋" w:eastAsia="仿宋" w:cs="仿宋"/>
                <w:color w:val="auto"/>
                <w:kern w:val="0"/>
                <w:sz w:val="21"/>
                <w:szCs w:val="21"/>
              </w:rPr>
              <w:t>因而本项目不宜采用成本法进行估价。</w:t>
            </w:r>
          </w:p>
        </w:tc>
      </w:tr>
      <w:bookmarkEnd w:id="42"/>
    </w:tbl>
    <w:p>
      <w:pPr>
        <w:pStyle w:val="9"/>
        <w:keepNext w:val="0"/>
        <w:keepLines w:val="0"/>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2、比较法原理：选取一定数量的可比实例，将它们与估价对象进行比较，根据其间的差异对可比实例成交价格进行处理后得到估价对象价值或价格的方法。</w:t>
      </w:r>
    </w:p>
    <w:p>
      <w:pPr>
        <w:pStyle w:val="9"/>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仿宋" w:hAnsi="仿宋" w:eastAsia="仿宋" w:cs="仿宋"/>
          <w:b/>
          <w:color w:val="auto"/>
          <w:sz w:val="28"/>
          <w:szCs w:val="28"/>
          <w:highlight w:val="none"/>
        </w:rPr>
      </w:pPr>
      <w:r>
        <w:rPr>
          <w:rFonts w:hint="eastAsia" w:ascii="仿宋" w:hAnsi="仿宋" w:eastAsia="仿宋" w:cs="仿宋"/>
          <w:color w:val="auto"/>
          <w:kern w:val="0"/>
          <w:sz w:val="28"/>
          <w:szCs w:val="28"/>
          <w:lang w:val="en-US" w:eastAsia="zh-CN" w:bidi="ar-SA"/>
        </w:rPr>
        <w:t>计算公式：P=</w:t>
      </w:r>
      <w:r>
        <w:rPr>
          <w:rFonts w:hint="eastAsia" w:ascii="仿宋" w:hAnsi="仿宋" w:eastAsia="仿宋" w:cs="仿宋"/>
          <w:b/>
          <w:color w:val="auto"/>
          <w:position w:val="-28"/>
          <w:sz w:val="28"/>
          <w:szCs w:val="28"/>
          <w:highlight w:val="none"/>
        </w:rPr>
        <w:object>
          <v:shape id="_x0000_i1026" o:spt="75" type="#_x0000_t75" style="height:33.7pt;width:82.25pt;" o:ole="t" filled="f" stroked="f" coordsize="21600,21600">
            <v:path/>
            <v:fill on="f" focussize="0,0"/>
            <v:stroke on="f"/>
            <v:imagedata r:id="rId18" o:title="7143454911483519242796.wmf"/>
            <o:lock v:ext="edit" aspectratio="t"/>
            <w10:wrap type="none"/>
            <w10:anchorlock/>
          </v:shape>
          <o:OLEObject Type="Embed" ProgID="Excel.Sheet.8" ShapeID="_x0000_i1026" DrawAspect="Content" ObjectID="_1468075725" r:id="rId17">
            <o:LockedField>false</o:LockedField>
          </o:OLEObject>
        </w:object>
      </w:r>
      <w:r>
        <w:rPr>
          <w:rFonts w:hint="eastAsia" w:ascii="仿宋" w:hAnsi="仿宋" w:eastAsia="仿宋" w:cs="仿宋"/>
          <w:b/>
          <w:color w:val="auto"/>
          <w:sz w:val="28"/>
          <w:szCs w:val="28"/>
          <w:highlight w:val="none"/>
        </w:rPr>
        <w:t xml:space="preserve">         </w:t>
      </w:r>
    </w:p>
    <w:p>
      <w:pPr>
        <w:pStyle w:val="9"/>
        <w:keepNext w:val="0"/>
        <w:keepLines w:val="0"/>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其中：</w:t>
      </w:r>
    </w:p>
    <w:p>
      <w:pPr>
        <w:pStyle w:val="9"/>
        <w:keepNext w:val="0"/>
        <w:keepLines w:val="0"/>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 xml:space="preserve">P—估价对象房地产价格     </w:t>
      </w:r>
    </w:p>
    <w:p>
      <w:pPr>
        <w:pStyle w:val="9"/>
        <w:keepNext w:val="0"/>
        <w:keepLines w:val="0"/>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n--选取的可比实例个数</w:t>
      </w:r>
    </w:p>
    <w:p>
      <w:pPr>
        <w:pStyle w:val="9"/>
        <w:keepNext w:val="0"/>
        <w:keepLines w:val="0"/>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Xi--第i个可比实例的价格</w:t>
      </w:r>
    </w:p>
    <w:p>
      <w:pPr>
        <w:pStyle w:val="9"/>
        <w:keepNext w:val="0"/>
        <w:keepLines w:val="0"/>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 xml:space="preserve">ai、bi、ci--第i个可供比较实例的交易情况、市场状况、房地产状况的修正系数 </w:t>
      </w:r>
    </w:p>
    <w:p>
      <w:pPr>
        <w:pStyle w:val="9"/>
        <w:keepNext w:val="0"/>
        <w:keepLines w:val="0"/>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3、收益法：预测估价对象的未来收益，利用报酬率将未来收益转换为价值得到估价对象价值或价格的方法。在房地产报酬率不变，未来年收益递增，收益年期有限年情况下的计算公式：</w:t>
      </w:r>
    </w:p>
    <w:p>
      <w:pPr>
        <w:pStyle w:val="9"/>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V=A/(Y-g)×[1-(1+g)</w:t>
      </w:r>
      <w:r>
        <w:rPr>
          <w:rFonts w:hint="eastAsia" w:ascii="仿宋" w:hAnsi="仿宋" w:eastAsia="仿宋" w:cs="仿宋"/>
          <w:color w:val="auto"/>
          <w:kern w:val="0"/>
          <w:sz w:val="28"/>
          <w:szCs w:val="28"/>
          <w:vertAlign w:val="superscript"/>
          <w:lang w:val="en-US" w:eastAsia="zh-CN" w:bidi="ar-SA"/>
        </w:rPr>
        <w:t>n</w:t>
      </w:r>
      <w:r>
        <w:rPr>
          <w:rFonts w:hint="eastAsia" w:ascii="仿宋" w:hAnsi="仿宋" w:eastAsia="仿宋" w:cs="仿宋"/>
          <w:color w:val="auto"/>
          <w:kern w:val="0"/>
          <w:sz w:val="28"/>
          <w:szCs w:val="28"/>
          <w:lang w:val="en-US" w:eastAsia="zh-CN" w:bidi="ar-SA"/>
        </w:rPr>
        <w:t>/(1+Y)</w:t>
      </w:r>
      <w:r>
        <w:rPr>
          <w:rFonts w:hint="eastAsia" w:ascii="仿宋" w:hAnsi="仿宋" w:eastAsia="仿宋" w:cs="仿宋"/>
          <w:color w:val="auto"/>
          <w:kern w:val="0"/>
          <w:sz w:val="28"/>
          <w:szCs w:val="28"/>
          <w:vertAlign w:val="superscript"/>
          <w:lang w:val="en-US" w:eastAsia="zh-CN" w:bidi="ar-SA"/>
        </w:rPr>
        <w:t>n</w:t>
      </w:r>
      <w:r>
        <w:rPr>
          <w:rFonts w:hint="eastAsia" w:ascii="仿宋" w:hAnsi="仿宋" w:eastAsia="仿宋" w:cs="仿宋"/>
          <w:color w:val="auto"/>
          <w:kern w:val="0"/>
          <w:sz w:val="28"/>
          <w:szCs w:val="28"/>
          <w:lang w:val="en-US" w:eastAsia="zh-CN" w:bidi="ar-SA"/>
        </w:rPr>
        <w:t>]</w:t>
      </w:r>
    </w:p>
    <w:p>
      <w:pPr>
        <w:pStyle w:val="9"/>
        <w:keepNext w:val="0"/>
        <w:keepLines w:val="0"/>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其中：</w:t>
      </w:r>
    </w:p>
    <w:p>
      <w:pPr>
        <w:pStyle w:val="9"/>
        <w:keepNext w:val="0"/>
        <w:keepLines w:val="0"/>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V——表示估价对象在价值时点的收益价值</w:t>
      </w:r>
    </w:p>
    <w:p>
      <w:pPr>
        <w:pStyle w:val="9"/>
        <w:keepNext w:val="0"/>
        <w:keepLines w:val="0"/>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A——估价对象未来各期的净运营收益，即净收益。</w:t>
      </w:r>
    </w:p>
    <w:p>
      <w:pPr>
        <w:pStyle w:val="9"/>
        <w:keepNext w:val="0"/>
        <w:keepLines w:val="0"/>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 xml:space="preserve">Y——估价对象报酬率    </w:t>
      </w:r>
    </w:p>
    <w:p>
      <w:pPr>
        <w:pStyle w:val="9"/>
        <w:keepNext w:val="0"/>
        <w:keepLines w:val="0"/>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g——净收益逐年递增的比率</w:t>
      </w:r>
    </w:p>
    <w:p>
      <w:pPr>
        <w:pStyle w:val="9"/>
        <w:keepNext w:val="0"/>
        <w:keepLines w:val="0"/>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n——估价对象的收益期</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2" w:firstLineChars="200"/>
        <w:textAlignment w:val="auto"/>
        <w:outlineLvl w:val="0"/>
        <w:rPr>
          <w:rFonts w:hint="eastAsia" w:ascii="仿宋" w:hAnsi="仿宋" w:eastAsia="仿宋" w:cs="仿宋"/>
          <w:b/>
          <w:bCs w:val="0"/>
          <w:color w:val="auto"/>
          <w:sz w:val="28"/>
          <w:szCs w:val="28"/>
          <w:lang w:val="en-US" w:eastAsia="zh-CN"/>
        </w:rPr>
      </w:pPr>
      <w:bookmarkStart w:id="44" w:name="_Toc28049"/>
      <w:r>
        <w:rPr>
          <w:rFonts w:hint="eastAsia" w:ascii="仿宋" w:hAnsi="仿宋" w:eastAsia="仿宋" w:cs="仿宋"/>
          <w:b/>
          <w:bCs w:val="0"/>
          <w:color w:val="auto"/>
          <w:sz w:val="28"/>
          <w:szCs w:val="28"/>
          <w:lang w:val="en-US" w:eastAsia="zh-CN"/>
        </w:rPr>
        <w:t>十、估价结果</w:t>
      </w:r>
      <w:bookmarkEnd w:id="43"/>
      <w:bookmarkEnd w:id="44"/>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color w:val="auto"/>
          <w:sz w:val="28"/>
          <w:szCs w:val="28"/>
          <w:lang w:val="en-US" w:eastAsia="zh-CN"/>
        </w:rPr>
      </w:pPr>
      <w:bookmarkStart w:id="45" w:name="_Toc25784"/>
      <w:r>
        <w:rPr>
          <w:rFonts w:hint="eastAsia" w:ascii="仿宋" w:hAnsi="仿宋" w:eastAsia="仿宋" w:cs="仿宋"/>
          <w:color w:val="auto"/>
          <w:sz w:val="28"/>
          <w:szCs w:val="28"/>
          <w:lang w:val="en-US" w:eastAsia="zh-CN"/>
        </w:rPr>
        <w:t>1</w:t>
      </w:r>
      <w:r>
        <w:rPr>
          <w:rFonts w:hint="eastAsia" w:ascii="仿宋" w:hAnsi="仿宋" w:eastAsia="仿宋" w:cs="仿宋"/>
          <w:color w:val="auto"/>
          <w:spacing w:val="57"/>
          <w:kern w:val="0"/>
          <w:sz w:val="28"/>
          <w:szCs w:val="28"/>
          <w:lang w:val="en-US" w:eastAsia="zh-CN" w:bidi="ar-SA"/>
        </w:rPr>
        <w:t>、</w:t>
      </w:r>
      <w:r>
        <w:rPr>
          <w:rFonts w:hint="eastAsia" w:ascii="仿宋" w:hAnsi="仿宋" w:eastAsia="仿宋" w:cs="仿宋"/>
          <w:color w:val="auto"/>
          <w:sz w:val="28"/>
          <w:szCs w:val="28"/>
          <w:lang w:val="en-US" w:eastAsia="zh-CN"/>
        </w:rPr>
        <w:t>估价结果的确定理由</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运用比较法和收益法分别测算了估价对象房地产的价值，两种方法测算结果差距有一定差距。采用比较法是根据替代原则，将估价对象与近期内发生交易的类似案例进行对照比较，并依据后者成交的价格，参照估价对象的用途、交易方式、期日、区位状况、实物状况及权益状况等差别，修正得出估价对象在价值时点估价对象价格的方法。由于所选取的参考案例客观、可靠，故运用比较法测算的结果具有较高的可信度。</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收益法是对估价对象同一区域的房地产市场进行调查，掌握大量同类房地产租赁的资料，在房地产出租租金基础上扣除管理费、保险费、维修费、税金、等费用，最终得到房地产年纯收益，结合房地产资本化率测算房地产价格，房地产租赁市场的租金上涨幅度远远低于房地产交易市场的交易价格上涨幅度，其形成的租售比不能准确反映房地产的客观市场价值。房地产持有人主要追求房地产的增值所带来的收益，而非租金收益，租金普遍较低，导致租售比失衡，收益法测算的结果偏低，偏离该房地产的市场价值，故舍弃收益法测算结果，选择比较法测算结果作为本次评估的测算结果。</w:t>
      </w:r>
    </w:p>
    <w:p>
      <w:pPr>
        <w:keepNext w:val="0"/>
        <w:keepLines w:val="0"/>
        <w:pageBreakBefore w:val="0"/>
        <w:widowControl w:val="0"/>
        <w:numPr>
          <w:ilvl w:val="0"/>
          <w:numId w:val="10"/>
        </w:numPr>
        <w:kinsoku w:val="0"/>
        <w:wordWrap/>
        <w:overflowPunct w:val="0"/>
        <w:topLinePunct w:val="0"/>
        <w:autoSpaceDE w:val="0"/>
        <w:autoSpaceDN w:val="0"/>
        <w:bidi w:val="0"/>
        <w:adjustRightInd/>
        <w:snapToGrid/>
        <w:spacing w:line="48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估价结果</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480" w:lineRule="exact"/>
        <w:ind w:firstLine="560" w:firstLineChars="200"/>
        <w:textAlignment w:val="auto"/>
        <w:rPr>
          <w:rFonts w:hint="eastAsia" w:ascii="仿宋" w:hAnsi="仿宋" w:eastAsia="仿宋" w:cs="仿宋"/>
          <w:color w:val="auto"/>
          <w:spacing w:val="0"/>
          <w:sz w:val="28"/>
          <w:szCs w:val="28"/>
          <w:lang w:val="en-US" w:eastAsia="zh-CN"/>
        </w:rPr>
      </w:pPr>
      <w:r>
        <w:rPr>
          <w:rFonts w:hint="eastAsia" w:ascii="仿宋" w:hAnsi="仿宋" w:eastAsia="仿宋" w:cs="仿宋"/>
          <w:b w:val="0"/>
          <w:bCs/>
          <w:color w:val="auto"/>
          <w:spacing w:val="0"/>
          <w:sz w:val="28"/>
          <w:lang w:val="en-US" w:eastAsia="zh-CN"/>
        </w:rPr>
        <w:t>根据贵方提供的有关资料，我司估价师依据国家标准《房地产估价规范》（GB/T50291-2015）、《房地产估价基本术语标准》（GB/T 50899-2013）、《江苏省涉案财产价格鉴定操作规程(试行)》、《司法鉴定程序通则》（司法部令第132号）及国家相关法律、法规和政策规定，本着独立、公正、客观的原则，根据估价目的，遵循必要的估价程序，依据贵院提供的相关资料，结合注册房地产估价师的经验和对影响房地产价值因素的分析，选用比较法、收益法作为本次估价方法，进行认真测算，最终确定估价对象在价值时点</w:t>
      </w:r>
      <w:r>
        <w:rPr>
          <w:rFonts w:hint="eastAsia" w:ascii="仿宋" w:hAnsi="仿宋" w:eastAsia="仿宋" w:cs="仿宋"/>
          <w:b w:val="0"/>
          <w:bCs/>
          <w:color w:val="060FCC"/>
          <w:spacing w:val="0"/>
          <w:sz w:val="28"/>
          <w:lang w:val="en-US" w:eastAsia="zh-CN"/>
        </w:rPr>
        <w:t>2022年6月10日</w:t>
      </w:r>
      <w:r>
        <w:rPr>
          <w:rFonts w:hint="eastAsia" w:ascii="仿宋" w:hAnsi="仿宋" w:eastAsia="仿宋" w:cs="仿宋"/>
          <w:b w:val="0"/>
          <w:bCs/>
          <w:color w:val="auto"/>
          <w:spacing w:val="0"/>
          <w:sz w:val="28"/>
          <w:highlight w:val="none"/>
          <w:lang w:val="en-US" w:eastAsia="zh-CN"/>
        </w:rPr>
        <w:t>满足本报告假设和限制条件下的市场总价值为</w:t>
      </w:r>
      <w:r>
        <w:rPr>
          <w:rFonts w:hint="eastAsia" w:ascii="仿宋" w:hAnsi="仿宋" w:eastAsia="仿宋" w:cs="仿宋"/>
          <w:color w:val="auto"/>
          <w:spacing w:val="0"/>
          <w:sz w:val="28"/>
          <w:szCs w:val="28"/>
          <w:highlight w:val="none"/>
        </w:rPr>
        <w:t>￥</w:t>
      </w:r>
      <w:r>
        <w:rPr>
          <w:rFonts w:hint="eastAsia" w:ascii="仿宋" w:hAnsi="仿宋" w:eastAsia="仿宋" w:cs="仿宋"/>
          <w:b/>
          <w:bCs/>
          <w:color w:val="060FCC"/>
          <w:spacing w:val="0"/>
          <w:kern w:val="0"/>
          <w:sz w:val="28"/>
          <w:szCs w:val="28"/>
          <w:highlight w:val="none"/>
          <w:lang w:val="en-US" w:eastAsia="zh-CN"/>
        </w:rPr>
        <w:t>307.41</w:t>
      </w:r>
      <w:r>
        <w:rPr>
          <w:rFonts w:hint="eastAsia" w:ascii="仿宋" w:hAnsi="仿宋" w:eastAsia="仿宋" w:cs="仿宋"/>
          <w:b/>
          <w:bCs/>
          <w:color w:val="auto"/>
          <w:spacing w:val="0"/>
          <w:kern w:val="0"/>
          <w:sz w:val="28"/>
          <w:szCs w:val="28"/>
          <w:highlight w:val="none"/>
          <w:lang w:val="en-US" w:eastAsia="zh-CN"/>
        </w:rPr>
        <w:t>万</w:t>
      </w:r>
      <w:r>
        <w:rPr>
          <w:rFonts w:hint="eastAsia" w:ascii="仿宋" w:hAnsi="仿宋" w:eastAsia="仿宋" w:cs="仿宋"/>
          <w:b w:val="0"/>
          <w:bCs w:val="0"/>
          <w:color w:val="auto"/>
          <w:spacing w:val="0"/>
          <w:kern w:val="0"/>
          <w:sz w:val="28"/>
          <w:szCs w:val="28"/>
          <w:highlight w:val="none"/>
          <w:lang w:val="en-US" w:eastAsia="zh-CN"/>
        </w:rPr>
        <w:t>元</w:t>
      </w:r>
      <w:r>
        <w:rPr>
          <w:rFonts w:hint="eastAsia" w:ascii="仿宋" w:hAnsi="仿宋" w:eastAsia="仿宋" w:cs="仿宋"/>
          <w:b w:val="0"/>
          <w:bCs w:val="0"/>
          <w:color w:val="auto"/>
          <w:spacing w:val="0"/>
          <w:sz w:val="28"/>
          <w:szCs w:val="28"/>
          <w:highlight w:val="none"/>
        </w:rPr>
        <w:t>（取整至</w:t>
      </w:r>
      <w:r>
        <w:rPr>
          <w:rFonts w:hint="eastAsia" w:ascii="仿宋" w:hAnsi="仿宋" w:eastAsia="仿宋" w:cs="仿宋"/>
          <w:b w:val="0"/>
          <w:bCs w:val="0"/>
          <w:color w:val="auto"/>
          <w:spacing w:val="0"/>
          <w:sz w:val="28"/>
          <w:szCs w:val="28"/>
          <w:highlight w:val="none"/>
          <w:lang w:eastAsia="zh-CN"/>
        </w:rPr>
        <w:t>百</w:t>
      </w:r>
      <w:r>
        <w:rPr>
          <w:rFonts w:hint="eastAsia" w:ascii="仿宋" w:hAnsi="仿宋" w:eastAsia="仿宋" w:cs="仿宋"/>
          <w:b w:val="0"/>
          <w:bCs w:val="0"/>
          <w:color w:val="auto"/>
          <w:spacing w:val="0"/>
          <w:sz w:val="28"/>
          <w:szCs w:val="28"/>
          <w:highlight w:val="none"/>
        </w:rPr>
        <w:t>元），</w:t>
      </w:r>
      <w:r>
        <w:rPr>
          <w:rFonts w:hint="eastAsia" w:ascii="仿宋" w:hAnsi="仿宋" w:eastAsia="仿宋" w:cs="仿宋"/>
          <w:b w:val="0"/>
          <w:bCs/>
          <w:color w:val="auto"/>
          <w:spacing w:val="0"/>
          <w:sz w:val="28"/>
          <w:highlight w:val="none"/>
          <w:lang w:val="en-US" w:eastAsia="zh-CN"/>
        </w:rPr>
        <w:t>人民币大写</w:t>
      </w:r>
      <w:r>
        <w:rPr>
          <w:rFonts w:hint="eastAsia" w:ascii="仿宋" w:hAnsi="仿宋" w:eastAsia="仿宋" w:cs="仿宋"/>
          <w:b/>
          <w:bCs w:val="0"/>
          <w:color w:val="060FCC"/>
          <w:spacing w:val="0"/>
          <w:sz w:val="28"/>
          <w:highlight w:val="none"/>
          <w:lang w:val="en-US" w:eastAsia="zh-CN"/>
        </w:rPr>
        <w:t>叁佰零柒万肆仟壹佰元</w:t>
      </w:r>
      <w:r>
        <w:rPr>
          <w:rFonts w:hint="eastAsia" w:ascii="仿宋" w:hAnsi="仿宋" w:eastAsia="仿宋" w:cs="仿宋"/>
          <w:b w:val="0"/>
          <w:bCs/>
          <w:color w:val="auto"/>
          <w:spacing w:val="0"/>
          <w:sz w:val="28"/>
          <w:highlight w:val="none"/>
          <w:lang w:val="en-US" w:eastAsia="zh-CN"/>
        </w:rPr>
        <w:fldChar w:fldCharType="begin"/>
      </w:r>
      <w:r>
        <w:rPr>
          <w:rFonts w:hint="eastAsia" w:ascii="仿宋" w:hAnsi="仿宋" w:eastAsia="仿宋" w:cs="仿宋"/>
          <w:b w:val="0"/>
          <w:bCs/>
          <w:color w:val="auto"/>
          <w:spacing w:val="0"/>
          <w:sz w:val="28"/>
          <w:highlight w:val="none"/>
          <w:lang w:val="en-US" w:eastAsia="zh-CN"/>
        </w:rPr>
        <w:instrText xml:space="preserve"> = 1175700 \* CHINESENUM4 \* MERGEFORMAT </w:instrText>
      </w:r>
      <w:r>
        <w:rPr>
          <w:rFonts w:hint="eastAsia" w:ascii="仿宋" w:hAnsi="仿宋" w:eastAsia="仿宋" w:cs="仿宋"/>
          <w:b w:val="0"/>
          <w:bCs/>
          <w:color w:val="auto"/>
          <w:spacing w:val="0"/>
          <w:sz w:val="28"/>
          <w:highlight w:val="none"/>
          <w:lang w:val="en-US" w:eastAsia="zh-CN"/>
        </w:rPr>
        <w:fldChar w:fldCharType="separate"/>
      </w:r>
      <w:r>
        <w:rPr>
          <w:rFonts w:hint="eastAsia" w:ascii="仿宋" w:hAnsi="仿宋" w:eastAsia="仿宋" w:cs="仿宋"/>
          <w:b w:val="0"/>
          <w:bCs/>
          <w:color w:val="auto"/>
          <w:spacing w:val="0"/>
          <w:sz w:val="28"/>
          <w:highlight w:val="none"/>
          <w:lang w:val="en-US" w:eastAsia="zh-CN"/>
        </w:rPr>
        <w:t>整</w:t>
      </w:r>
      <w:r>
        <w:rPr>
          <w:rFonts w:hint="eastAsia" w:ascii="仿宋" w:hAnsi="仿宋" w:eastAsia="仿宋" w:cs="仿宋"/>
          <w:b w:val="0"/>
          <w:bCs/>
          <w:color w:val="auto"/>
          <w:spacing w:val="0"/>
          <w:sz w:val="28"/>
          <w:highlight w:val="none"/>
          <w:lang w:val="en-US" w:eastAsia="zh-CN"/>
        </w:rPr>
        <w:fldChar w:fldCharType="end"/>
      </w:r>
      <w:r>
        <w:rPr>
          <w:rFonts w:hint="eastAsia" w:ascii="仿宋" w:hAnsi="仿宋" w:eastAsia="仿宋" w:cs="仿宋"/>
          <w:b w:val="0"/>
          <w:bCs/>
          <w:color w:val="auto"/>
          <w:spacing w:val="0"/>
          <w:sz w:val="28"/>
          <w:highlight w:val="none"/>
          <w:lang w:val="en-US" w:eastAsia="zh-CN"/>
        </w:rPr>
        <w:t>，其中：1）</w:t>
      </w:r>
      <w:r>
        <w:rPr>
          <w:rFonts w:hint="eastAsia" w:ascii="仿宋" w:hAnsi="仿宋" w:eastAsia="仿宋" w:cs="仿宋"/>
          <w:b w:val="0"/>
          <w:bCs/>
          <w:color w:val="060FCC"/>
          <w:spacing w:val="0"/>
          <w:sz w:val="28"/>
          <w:highlight w:val="none"/>
          <w:lang w:val="en-US" w:eastAsia="zh-CN"/>
        </w:rPr>
        <w:t>盐城市市区东进路美食街6幢401室</w:t>
      </w:r>
      <w:r>
        <w:rPr>
          <w:rFonts w:hint="eastAsia" w:ascii="仿宋" w:hAnsi="仿宋" w:eastAsia="仿宋" w:cs="仿宋"/>
          <w:b w:val="0"/>
          <w:bCs/>
          <w:color w:val="auto"/>
          <w:spacing w:val="0"/>
          <w:sz w:val="28"/>
          <w:highlight w:val="none"/>
          <w:lang w:val="en-US" w:eastAsia="zh-CN"/>
        </w:rPr>
        <w:t>住宅市场价值</w:t>
      </w:r>
      <w:r>
        <w:rPr>
          <w:rFonts w:hint="eastAsia" w:ascii="仿宋" w:hAnsi="仿宋" w:eastAsia="仿宋" w:cs="仿宋"/>
          <w:color w:val="auto"/>
          <w:spacing w:val="0"/>
          <w:sz w:val="28"/>
          <w:szCs w:val="28"/>
          <w:highlight w:val="none"/>
          <w:lang w:val="en-US" w:eastAsia="zh-CN"/>
        </w:rPr>
        <w:t>为</w:t>
      </w:r>
      <w:r>
        <w:rPr>
          <w:rFonts w:hint="eastAsia" w:ascii="仿宋" w:hAnsi="仿宋" w:eastAsia="仿宋" w:cs="仿宋"/>
          <w:color w:val="060FCC"/>
          <w:spacing w:val="0"/>
          <w:sz w:val="28"/>
          <w:szCs w:val="28"/>
          <w:highlight w:val="none"/>
          <w:lang w:val="en-US" w:eastAsia="zh-CN"/>
        </w:rPr>
        <w:t>298.51</w:t>
      </w:r>
      <w:r>
        <w:rPr>
          <w:rFonts w:hint="eastAsia" w:ascii="仿宋" w:hAnsi="仿宋" w:eastAsia="仿宋" w:cs="仿宋"/>
          <w:color w:val="auto"/>
          <w:spacing w:val="0"/>
          <w:sz w:val="28"/>
          <w:szCs w:val="28"/>
          <w:highlight w:val="none"/>
          <w:lang w:val="en-US" w:eastAsia="zh-CN"/>
        </w:rPr>
        <w:t>万元（含</w:t>
      </w:r>
      <w:r>
        <w:rPr>
          <w:rFonts w:hint="eastAsia" w:ascii="仿宋" w:hAnsi="仿宋" w:eastAsia="仿宋" w:cs="仿宋"/>
          <w:color w:val="060FCC"/>
          <w:spacing w:val="0"/>
          <w:sz w:val="28"/>
          <w:szCs w:val="28"/>
          <w:highlight w:val="none"/>
          <w:lang w:val="en-US" w:eastAsia="zh-CN"/>
        </w:rPr>
        <w:t>装饰装修价值</w:t>
      </w:r>
      <w:r>
        <w:rPr>
          <w:rFonts w:hint="eastAsia" w:ascii="仿宋" w:hAnsi="仿宋" w:eastAsia="仿宋" w:cs="仿宋"/>
          <w:color w:val="auto"/>
          <w:spacing w:val="0"/>
          <w:sz w:val="28"/>
          <w:szCs w:val="28"/>
          <w:highlight w:val="none"/>
          <w:lang w:val="en-US" w:eastAsia="zh-CN"/>
        </w:rPr>
        <w:t>），约合单价为</w:t>
      </w:r>
      <w:r>
        <w:rPr>
          <w:rFonts w:hint="eastAsia" w:ascii="仿宋" w:hAnsi="仿宋" w:eastAsia="仿宋" w:cs="仿宋"/>
          <w:color w:val="060FCC"/>
          <w:spacing w:val="0"/>
          <w:sz w:val="28"/>
          <w:szCs w:val="28"/>
          <w:highlight w:val="none"/>
          <w:lang w:val="en-US" w:eastAsia="zh-CN"/>
        </w:rPr>
        <w:t>18,602</w:t>
      </w:r>
      <w:r>
        <w:rPr>
          <w:rFonts w:hint="eastAsia" w:ascii="仿宋" w:hAnsi="仿宋" w:eastAsia="仿宋" w:cs="仿宋"/>
          <w:color w:val="auto"/>
          <w:spacing w:val="0"/>
          <w:sz w:val="28"/>
          <w:szCs w:val="28"/>
          <w:highlight w:val="none"/>
          <w:lang w:val="en-US" w:eastAsia="zh-CN"/>
        </w:rPr>
        <w:t>元/㎡</w:t>
      </w:r>
      <w:r>
        <w:rPr>
          <w:rFonts w:hint="eastAsia" w:ascii="仿宋" w:hAnsi="仿宋" w:eastAsia="仿宋" w:cs="仿宋"/>
          <w:b w:val="0"/>
          <w:bCs/>
          <w:color w:val="auto"/>
          <w:spacing w:val="0"/>
          <w:sz w:val="28"/>
          <w:highlight w:val="none"/>
          <w:lang w:val="en-US" w:eastAsia="zh-CN"/>
        </w:rPr>
        <w:t>；2）</w:t>
      </w:r>
      <w:r>
        <w:rPr>
          <w:rFonts w:hint="eastAsia" w:ascii="仿宋" w:hAnsi="仿宋" w:eastAsia="仿宋" w:cs="仿宋"/>
          <w:b w:val="0"/>
          <w:bCs/>
          <w:color w:val="060FCC"/>
          <w:spacing w:val="0"/>
          <w:sz w:val="28"/>
          <w:highlight w:val="none"/>
          <w:lang w:val="en-US" w:eastAsia="zh-CN"/>
        </w:rPr>
        <w:t>盐城市市区东进路美食街6幢40室</w:t>
      </w:r>
      <w:r>
        <w:rPr>
          <w:rFonts w:hint="eastAsia" w:ascii="仿宋" w:hAnsi="仿宋" w:eastAsia="仿宋" w:cs="仿宋"/>
          <w:b w:val="0"/>
          <w:bCs/>
          <w:color w:val="auto"/>
          <w:spacing w:val="0"/>
          <w:sz w:val="28"/>
          <w:highlight w:val="none"/>
          <w:lang w:val="en-US" w:eastAsia="zh-CN"/>
        </w:rPr>
        <w:t>车库市场价值</w:t>
      </w:r>
      <w:r>
        <w:rPr>
          <w:rFonts w:hint="eastAsia" w:ascii="仿宋" w:hAnsi="仿宋" w:eastAsia="仿宋" w:cs="仿宋"/>
          <w:color w:val="auto"/>
          <w:spacing w:val="0"/>
          <w:sz w:val="28"/>
          <w:szCs w:val="28"/>
          <w:highlight w:val="none"/>
          <w:lang w:val="en-US" w:eastAsia="zh-CN"/>
        </w:rPr>
        <w:t>为</w:t>
      </w:r>
      <w:r>
        <w:rPr>
          <w:rFonts w:hint="eastAsia" w:ascii="仿宋" w:hAnsi="仿宋" w:eastAsia="仿宋" w:cs="仿宋"/>
          <w:color w:val="060FCC"/>
          <w:spacing w:val="0"/>
          <w:sz w:val="28"/>
          <w:szCs w:val="28"/>
          <w:highlight w:val="none"/>
          <w:lang w:val="en-US" w:eastAsia="zh-CN"/>
        </w:rPr>
        <w:t>5.23</w:t>
      </w:r>
      <w:r>
        <w:rPr>
          <w:rFonts w:hint="eastAsia" w:ascii="仿宋" w:hAnsi="仿宋" w:eastAsia="仿宋" w:cs="仿宋"/>
          <w:color w:val="auto"/>
          <w:spacing w:val="0"/>
          <w:sz w:val="28"/>
          <w:szCs w:val="28"/>
          <w:highlight w:val="none"/>
          <w:lang w:val="en-US" w:eastAsia="zh-CN"/>
        </w:rPr>
        <w:t>万元</w:t>
      </w:r>
      <w:r>
        <w:rPr>
          <w:rFonts w:hint="eastAsia" w:ascii="仿宋" w:hAnsi="仿宋" w:eastAsia="仿宋" w:cs="仿宋"/>
          <w:color w:val="auto"/>
          <w:spacing w:val="0"/>
          <w:sz w:val="28"/>
          <w:szCs w:val="28"/>
          <w:lang w:val="en-US" w:eastAsia="zh-CN"/>
        </w:rPr>
        <w:t>（含</w:t>
      </w:r>
      <w:r>
        <w:rPr>
          <w:rFonts w:hint="eastAsia" w:ascii="仿宋" w:hAnsi="仿宋" w:eastAsia="仿宋" w:cs="仿宋"/>
          <w:color w:val="060FCC"/>
          <w:spacing w:val="0"/>
          <w:sz w:val="28"/>
          <w:szCs w:val="28"/>
          <w:lang w:val="en-US" w:eastAsia="zh-CN"/>
        </w:rPr>
        <w:t>装饰装修价值</w:t>
      </w:r>
      <w:r>
        <w:rPr>
          <w:rFonts w:hint="eastAsia" w:ascii="仿宋" w:hAnsi="仿宋" w:eastAsia="仿宋" w:cs="仿宋"/>
          <w:color w:val="auto"/>
          <w:spacing w:val="0"/>
          <w:sz w:val="28"/>
          <w:szCs w:val="28"/>
          <w:lang w:val="en-US" w:eastAsia="zh-CN"/>
        </w:rPr>
        <w:t>），单价为</w:t>
      </w:r>
      <w:r>
        <w:rPr>
          <w:rFonts w:hint="eastAsia" w:ascii="仿宋" w:hAnsi="仿宋" w:eastAsia="仿宋" w:cs="仿宋"/>
          <w:color w:val="060FCC"/>
          <w:spacing w:val="0"/>
          <w:sz w:val="28"/>
          <w:szCs w:val="28"/>
          <w:lang w:val="en-US" w:eastAsia="zh-CN"/>
        </w:rPr>
        <w:t>7500</w:t>
      </w:r>
      <w:r>
        <w:rPr>
          <w:rFonts w:hint="eastAsia" w:ascii="仿宋" w:hAnsi="仿宋" w:eastAsia="仿宋" w:cs="仿宋"/>
          <w:color w:val="auto"/>
          <w:spacing w:val="0"/>
          <w:sz w:val="28"/>
          <w:szCs w:val="28"/>
          <w:lang w:val="en-US" w:eastAsia="zh-CN"/>
        </w:rPr>
        <w:t>元/㎡</w:t>
      </w:r>
      <w:r>
        <w:rPr>
          <w:rFonts w:hint="eastAsia" w:ascii="仿宋" w:hAnsi="仿宋" w:eastAsia="仿宋" w:cs="仿宋"/>
          <w:b w:val="0"/>
          <w:bCs/>
          <w:color w:val="auto"/>
          <w:spacing w:val="0"/>
          <w:sz w:val="28"/>
          <w:highlight w:val="none"/>
          <w:lang w:val="en-US" w:eastAsia="zh-CN"/>
        </w:rPr>
        <w:t>；</w:t>
      </w:r>
      <w:r>
        <w:rPr>
          <w:rFonts w:hint="eastAsia" w:ascii="仿宋" w:hAnsi="仿宋" w:eastAsia="仿宋" w:cs="仿宋"/>
          <w:b w:val="0"/>
          <w:bCs/>
          <w:color w:val="060FCC"/>
          <w:spacing w:val="0"/>
          <w:sz w:val="28"/>
          <w:highlight w:val="none"/>
          <w:lang w:val="en-US" w:eastAsia="zh-CN"/>
        </w:rPr>
        <w:t>现场确认的可移动物品</w:t>
      </w:r>
      <w:r>
        <w:rPr>
          <w:rFonts w:hint="eastAsia" w:ascii="仿宋" w:hAnsi="仿宋" w:eastAsia="仿宋" w:cs="仿宋"/>
          <w:color w:val="auto"/>
          <w:spacing w:val="0"/>
          <w:sz w:val="28"/>
          <w:szCs w:val="28"/>
          <w:highlight w:val="none"/>
          <w:lang w:val="en-US" w:eastAsia="zh-CN"/>
        </w:rPr>
        <w:t>价值为</w:t>
      </w:r>
      <w:r>
        <w:rPr>
          <w:rFonts w:hint="eastAsia" w:ascii="仿宋" w:hAnsi="仿宋" w:eastAsia="仿宋" w:cs="仿宋"/>
          <w:color w:val="060FCC"/>
          <w:spacing w:val="0"/>
          <w:sz w:val="28"/>
          <w:szCs w:val="28"/>
          <w:highlight w:val="none"/>
          <w:lang w:val="en-US" w:eastAsia="zh-CN"/>
        </w:rPr>
        <w:t>3.67</w:t>
      </w:r>
      <w:r>
        <w:rPr>
          <w:rFonts w:hint="eastAsia" w:ascii="仿宋" w:hAnsi="仿宋" w:eastAsia="仿宋" w:cs="仿宋"/>
          <w:color w:val="auto"/>
          <w:spacing w:val="0"/>
          <w:sz w:val="28"/>
          <w:szCs w:val="28"/>
          <w:highlight w:val="none"/>
          <w:lang w:val="en-US" w:eastAsia="zh-CN"/>
        </w:rPr>
        <w:t>万元</w:t>
      </w:r>
      <w:r>
        <w:rPr>
          <w:rFonts w:hint="eastAsia" w:ascii="仿宋" w:hAnsi="仿宋" w:eastAsia="仿宋" w:cs="仿宋"/>
          <w:color w:val="auto"/>
          <w:spacing w:val="0"/>
          <w:sz w:val="28"/>
          <w:szCs w:val="28"/>
          <w:lang w:val="en-US" w:eastAsia="zh-CN"/>
        </w:rPr>
        <w:t>。</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480" w:lineRule="exact"/>
        <w:ind w:firstLine="560" w:firstLineChars="200"/>
        <w:textAlignment w:val="auto"/>
        <w:rPr>
          <w:rFonts w:hint="eastAsia" w:ascii="仿宋" w:hAnsi="仿宋" w:eastAsia="仿宋" w:cs="仿宋"/>
          <w:color w:val="auto"/>
          <w:spacing w:val="0"/>
          <w:sz w:val="28"/>
          <w:szCs w:val="28"/>
          <w:lang w:val="en-US" w:eastAsia="zh-CN"/>
        </w:rPr>
      </w:pPr>
    </w:p>
    <w:tbl>
      <w:tblPr>
        <w:tblStyle w:val="22"/>
        <w:tblW w:w="914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5"/>
        <w:gridCol w:w="2145"/>
        <w:gridCol w:w="945"/>
        <w:gridCol w:w="2400"/>
        <w:gridCol w:w="952"/>
        <w:gridCol w:w="1133"/>
        <w:gridCol w:w="11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9142" w:type="dxa"/>
            <w:gridSpan w:val="7"/>
            <w:tcBorders>
              <w:top w:val="nil"/>
              <w:left w:val="nil"/>
              <w:bottom w:val="single" w:color="auto" w:sz="4" w:space="0"/>
              <w:right w:val="nil"/>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估价对象市场总价值结果一览表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序号</w:t>
            </w:r>
          </w:p>
        </w:tc>
        <w:tc>
          <w:tcPr>
            <w:tcW w:w="21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房屋所有权证号</w:t>
            </w:r>
          </w:p>
        </w:tc>
        <w:tc>
          <w:tcPr>
            <w:tcW w:w="9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权利人</w:t>
            </w:r>
          </w:p>
        </w:tc>
        <w:tc>
          <w:tcPr>
            <w:tcW w:w="24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房屋坐落</w:t>
            </w:r>
          </w:p>
        </w:tc>
        <w:tc>
          <w:tcPr>
            <w:tcW w:w="9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建筑面积（㎡）</w:t>
            </w:r>
          </w:p>
        </w:tc>
        <w:tc>
          <w:tcPr>
            <w:tcW w:w="1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评估单价（元/㎡）</w:t>
            </w:r>
          </w:p>
        </w:tc>
        <w:tc>
          <w:tcPr>
            <w:tcW w:w="1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评估总价</w:t>
            </w:r>
            <w:r>
              <w:rPr>
                <w:rFonts w:hint="eastAsia" w:ascii="仿宋" w:hAnsi="仿宋" w:eastAsia="仿宋" w:cs="仿宋"/>
                <w:b/>
                <w:bCs/>
                <w:i w:val="0"/>
                <w:iCs w:val="0"/>
                <w:color w:val="000000"/>
                <w:kern w:val="0"/>
                <w:sz w:val="21"/>
                <w:szCs w:val="21"/>
                <w:u w:val="none"/>
                <w:lang w:val="en-US" w:eastAsia="zh-CN" w:bidi="ar"/>
              </w:rPr>
              <w:br w:type="textWrapping"/>
            </w:r>
            <w:r>
              <w:rPr>
                <w:rFonts w:hint="eastAsia" w:ascii="仿宋" w:hAnsi="仿宋" w:eastAsia="仿宋" w:cs="仿宋"/>
                <w:b/>
                <w:bCs/>
                <w:i w:val="0"/>
                <w:iCs w:val="0"/>
                <w:color w:val="000000"/>
                <w:kern w:val="0"/>
                <w:sz w:val="21"/>
                <w:szCs w:val="21"/>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2" w:hRule="atLeast"/>
        </w:trPr>
        <w:tc>
          <w:tcPr>
            <w:tcW w:w="375"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2145"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苏（2017）盐城市不动产权第0076435号</w:t>
            </w:r>
          </w:p>
        </w:tc>
        <w:tc>
          <w:tcPr>
            <w:tcW w:w="945"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张丽、孙观星</w:t>
            </w:r>
          </w:p>
        </w:tc>
        <w:tc>
          <w:tcPr>
            <w:tcW w:w="240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iCs w:val="0"/>
                <w:color w:val="FF0000"/>
                <w:sz w:val="24"/>
                <w:szCs w:val="24"/>
                <w:u w:val="none"/>
              </w:rPr>
            </w:pPr>
            <w:r>
              <w:rPr>
                <w:rFonts w:hint="eastAsia" w:ascii="仿宋" w:hAnsi="仿宋" w:eastAsia="仿宋" w:cs="仿宋"/>
                <w:i w:val="0"/>
                <w:iCs w:val="0"/>
                <w:color w:val="FF0000"/>
                <w:kern w:val="0"/>
                <w:sz w:val="24"/>
                <w:szCs w:val="24"/>
                <w:u w:val="none"/>
                <w:lang w:val="en-US" w:eastAsia="zh-CN" w:bidi="ar"/>
              </w:rPr>
              <w:t>盐城市市区东进路美食街6幢401室</w:t>
            </w:r>
          </w:p>
        </w:tc>
        <w:tc>
          <w:tcPr>
            <w:tcW w:w="952"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160.47</w:t>
            </w:r>
          </w:p>
        </w:tc>
        <w:tc>
          <w:tcPr>
            <w:tcW w:w="1133"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18,602</w:t>
            </w:r>
          </w:p>
        </w:tc>
        <w:tc>
          <w:tcPr>
            <w:tcW w:w="1192"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298.51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2" w:hRule="atLeast"/>
        </w:trPr>
        <w:tc>
          <w:tcPr>
            <w:tcW w:w="3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苏（2017）盐城市不动产权第0076436号</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张丽、孙观星</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iCs w:val="0"/>
                <w:color w:val="FF0000"/>
                <w:sz w:val="24"/>
                <w:szCs w:val="24"/>
                <w:u w:val="none"/>
              </w:rPr>
            </w:pPr>
            <w:r>
              <w:rPr>
                <w:rFonts w:hint="eastAsia" w:ascii="仿宋" w:hAnsi="仿宋" w:eastAsia="仿宋" w:cs="仿宋"/>
                <w:i w:val="0"/>
                <w:iCs w:val="0"/>
                <w:color w:val="FF0000"/>
                <w:kern w:val="0"/>
                <w:sz w:val="24"/>
                <w:szCs w:val="24"/>
                <w:u w:val="none"/>
                <w:lang w:val="en-US" w:eastAsia="zh-CN" w:bidi="ar"/>
              </w:rPr>
              <w:t>盐城市市区东进路美食街6幢40室</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6.97</w:t>
            </w:r>
          </w:p>
        </w:tc>
        <w:tc>
          <w:tcPr>
            <w:tcW w:w="11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7,500</w:t>
            </w:r>
          </w:p>
        </w:tc>
        <w:tc>
          <w:tcPr>
            <w:tcW w:w="11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5.23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可移动物品价值</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iCs w:val="0"/>
                <w:color w:val="000000"/>
                <w:sz w:val="21"/>
                <w:szCs w:val="21"/>
                <w:u w:val="none"/>
              </w:rPr>
            </w:pPr>
          </w:p>
        </w:tc>
        <w:tc>
          <w:tcPr>
            <w:tcW w:w="240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仿宋" w:hAnsi="仿宋" w:eastAsia="仿宋" w:cs="仿宋"/>
                <w:i w:val="0"/>
                <w:iCs w:val="0"/>
                <w:color w:val="FF0000"/>
                <w:sz w:val="24"/>
                <w:szCs w:val="24"/>
                <w:u w:val="none"/>
              </w:rPr>
            </w:pP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iCs w:val="0"/>
                <w:color w:val="000000"/>
                <w:sz w:val="21"/>
                <w:szCs w:val="21"/>
                <w:u w:val="none"/>
              </w:rPr>
            </w:pPr>
          </w:p>
        </w:tc>
        <w:tc>
          <w:tcPr>
            <w:tcW w:w="1133"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1"/>
                <w:szCs w:val="21"/>
                <w:u w:val="none"/>
              </w:rPr>
            </w:pPr>
          </w:p>
        </w:tc>
        <w:tc>
          <w:tcPr>
            <w:tcW w:w="11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3.67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86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合计</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167.44</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b/>
                <w:bCs/>
                <w:i w:val="0"/>
                <w:iCs w:val="0"/>
                <w:color w:val="000000"/>
                <w:sz w:val="21"/>
                <w:szCs w:val="21"/>
                <w:u w:val="none"/>
              </w:rPr>
            </w:pPr>
          </w:p>
        </w:tc>
        <w:tc>
          <w:tcPr>
            <w:tcW w:w="11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 xml:space="preserve">307.41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20" w:type="dxa"/>
            <w:gridSpan w:val="2"/>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人民币大写：</w:t>
            </w:r>
          </w:p>
        </w:tc>
        <w:tc>
          <w:tcPr>
            <w:tcW w:w="3345" w:type="dxa"/>
            <w:gridSpan w:val="2"/>
            <w:tcBorders>
              <w:top w:val="single" w:color="000000" w:sz="4" w:space="0"/>
              <w:left w:val="nil"/>
              <w:bottom w:val="single" w:color="000000" w:sz="4" w:space="0"/>
              <w:right w:val="nil"/>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叁佰零柒万肆仟壹佰元整</w:t>
            </w:r>
          </w:p>
        </w:tc>
        <w:tc>
          <w:tcPr>
            <w:tcW w:w="3277" w:type="dxa"/>
            <w:gridSpan w:val="3"/>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（精确至元）</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outlineLvl w:val="0"/>
        <w:rPr>
          <w:rFonts w:hint="eastAsia" w:ascii="仿宋" w:hAnsi="仿宋" w:eastAsia="仿宋" w:cs="仿宋"/>
          <w:b/>
          <w:bCs w:val="0"/>
          <w:color w:val="auto"/>
          <w:sz w:val="28"/>
          <w:szCs w:val="28"/>
          <w:lang w:val="en-US" w:eastAsia="zh-CN"/>
        </w:rPr>
      </w:pPr>
      <w:bookmarkStart w:id="46" w:name="_Toc19827"/>
      <w:r>
        <w:rPr>
          <w:rFonts w:hint="eastAsia" w:ascii="仿宋" w:hAnsi="仿宋" w:eastAsia="仿宋" w:cs="仿宋"/>
          <w:b/>
          <w:bCs w:val="0"/>
          <w:color w:val="auto"/>
          <w:sz w:val="28"/>
          <w:szCs w:val="28"/>
          <w:lang w:val="en-US" w:eastAsia="zh-CN"/>
        </w:rPr>
        <w:t>十一、注册房地产估价师</w:t>
      </w:r>
      <w:bookmarkEnd w:id="45"/>
      <w:bookmarkEnd w:id="46"/>
      <w:bookmarkStart w:id="47" w:name="_Toc30968"/>
    </w:p>
    <w:tbl>
      <w:tblPr>
        <w:tblStyle w:val="22"/>
        <w:tblW w:w="946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592"/>
        <w:gridCol w:w="1699"/>
        <w:gridCol w:w="2070"/>
        <w:gridCol w:w="21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8" w:hRule="exact"/>
          <w:jc w:val="center"/>
        </w:trPr>
        <w:tc>
          <w:tcPr>
            <w:tcW w:w="3592" w:type="dxa"/>
            <w:noWrap w:val="0"/>
            <w:vAlign w:val="center"/>
          </w:tcPr>
          <w:p>
            <w:pPr>
              <w:pStyle w:val="56"/>
              <w:adjustRightInd/>
              <w:spacing w:line="360" w:lineRule="auto"/>
              <w:jc w:val="center"/>
              <w:rPr>
                <w:rFonts w:hint="eastAsia" w:ascii="仿宋" w:hAnsi="仿宋" w:eastAsia="仿宋" w:cs="仿宋"/>
                <w:b/>
                <w:color w:val="auto"/>
                <w:sz w:val="28"/>
                <w:szCs w:val="28"/>
              </w:rPr>
            </w:pPr>
            <w:bookmarkStart w:id="48" w:name="_Toc18521"/>
            <w:r>
              <w:rPr>
                <w:rFonts w:hint="eastAsia" w:ascii="仿宋" w:hAnsi="仿宋" w:eastAsia="仿宋" w:cs="仿宋"/>
                <w:b/>
                <w:color w:val="auto"/>
                <w:sz w:val="28"/>
                <w:szCs w:val="28"/>
              </w:rPr>
              <w:t>估价师姓名</w:t>
            </w:r>
          </w:p>
        </w:tc>
        <w:tc>
          <w:tcPr>
            <w:tcW w:w="1699" w:type="dxa"/>
            <w:noWrap w:val="0"/>
            <w:vAlign w:val="center"/>
          </w:tcPr>
          <w:p>
            <w:pPr>
              <w:pStyle w:val="56"/>
              <w:adjustRightInd/>
              <w:spacing w:line="360" w:lineRule="auto"/>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注册号</w:t>
            </w:r>
          </w:p>
        </w:tc>
        <w:tc>
          <w:tcPr>
            <w:tcW w:w="2070" w:type="dxa"/>
            <w:noWrap w:val="0"/>
            <w:vAlign w:val="center"/>
          </w:tcPr>
          <w:p>
            <w:pPr>
              <w:pStyle w:val="56"/>
              <w:adjustRightInd/>
              <w:spacing w:line="360" w:lineRule="auto"/>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签名</w:t>
            </w:r>
          </w:p>
        </w:tc>
        <w:tc>
          <w:tcPr>
            <w:tcW w:w="2100" w:type="dxa"/>
            <w:noWrap w:val="0"/>
            <w:vAlign w:val="center"/>
          </w:tcPr>
          <w:p>
            <w:pPr>
              <w:pStyle w:val="56"/>
              <w:adjustRightInd/>
              <w:spacing w:line="360" w:lineRule="auto"/>
              <w:jc w:val="center"/>
              <w:rPr>
                <w:rFonts w:hint="eastAsia" w:ascii="仿宋" w:hAnsi="仿宋" w:eastAsia="仿宋" w:cs="仿宋"/>
                <w:color w:val="auto"/>
                <w:sz w:val="28"/>
                <w:szCs w:val="28"/>
              </w:rPr>
            </w:pPr>
            <w:r>
              <w:rPr>
                <w:rFonts w:hint="eastAsia" w:ascii="仿宋" w:hAnsi="仿宋" w:eastAsia="仿宋" w:cs="仿宋"/>
                <w:b/>
                <w:color w:val="auto"/>
                <w:sz w:val="28"/>
                <w:szCs w:val="28"/>
              </w:rPr>
              <w:t>签名日期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47" w:hRule="atLeast"/>
          <w:jc w:val="center"/>
        </w:trPr>
        <w:tc>
          <w:tcPr>
            <w:tcW w:w="3592" w:type="dxa"/>
            <w:noWrap w:val="0"/>
            <w:vAlign w:val="center"/>
          </w:tcPr>
          <w:p>
            <w:pPr>
              <w:pStyle w:val="56"/>
              <w:adjustRightInd/>
              <w:spacing w:line="360" w:lineRule="auto"/>
              <w:jc w:val="center"/>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sz w:val="28"/>
                <w:szCs w:val="28"/>
              </w:rPr>
              <w:t>注册房地产估价师</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t>徐忠新</w:t>
            </w:r>
          </w:p>
        </w:tc>
        <w:tc>
          <w:tcPr>
            <w:tcW w:w="1699" w:type="dxa"/>
            <w:noWrap w:val="0"/>
            <w:vAlign w:val="center"/>
          </w:tcPr>
          <w:p>
            <w:pPr>
              <w:pStyle w:val="56"/>
              <w:adjustRightInd/>
              <w:spacing w:line="360" w:lineRule="auto"/>
              <w:jc w:val="center"/>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eastAsia="zh-CN"/>
              </w:rPr>
              <w:t>3219980148</w:t>
            </w:r>
          </w:p>
        </w:tc>
        <w:tc>
          <w:tcPr>
            <w:tcW w:w="2070" w:type="dxa"/>
            <w:noWrap w:val="0"/>
            <w:vAlign w:val="center"/>
          </w:tcPr>
          <w:p>
            <w:pPr>
              <w:pStyle w:val="56"/>
              <w:adjustRightInd/>
              <w:spacing w:line="360" w:lineRule="auto"/>
              <w:ind w:firstLine="560" w:firstLineChars="200"/>
              <w:jc w:val="center"/>
              <w:rPr>
                <w:rFonts w:hint="eastAsia" w:ascii="仿宋" w:hAnsi="仿宋" w:eastAsia="仿宋" w:cs="仿宋"/>
                <w:color w:val="auto"/>
                <w:kern w:val="0"/>
                <w:sz w:val="28"/>
                <w:szCs w:val="28"/>
                <w:lang w:val="en-US" w:eastAsia="zh-CN" w:bidi="ar-SA"/>
              </w:rPr>
            </w:pPr>
          </w:p>
        </w:tc>
        <w:tc>
          <w:tcPr>
            <w:tcW w:w="2100" w:type="dxa"/>
            <w:noWrap w:val="0"/>
            <w:vAlign w:val="center"/>
          </w:tcPr>
          <w:p>
            <w:pPr>
              <w:pStyle w:val="56"/>
              <w:adjustRightInd/>
              <w:spacing w:line="360" w:lineRule="auto"/>
              <w:jc w:val="center"/>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sz w:val="28"/>
                <w:szCs w:val="28"/>
              </w:rPr>
              <w:t xml:space="preserve">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47" w:hRule="atLeast"/>
          <w:jc w:val="center"/>
        </w:trPr>
        <w:tc>
          <w:tcPr>
            <w:tcW w:w="3592" w:type="dxa"/>
            <w:noWrap w:val="0"/>
            <w:vAlign w:val="center"/>
          </w:tcPr>
          <w:p>
            <w:pPr>
              <w:pStyle w:val="56"/>
              <w:adjustRightInd/>
              <w:spacing w:line="360" w:lineRule="auto"/>
              <w:jc w:val="center"/>
              <w:rPr>
                <w:rFonts w:hint="eastAsia" w:ascii="仿宋" w:hAnsi="仿宋" w:eastAsia="仿宋" w:cs="仿宋"/>
                <w:color w:val="auto"/>
                <w:sz w:val="28"/>
                <w:szCs w:val="28"/>
                <w:lang w:eastAsia="zh-CN"/>
              </w:rPr>
            </w:pPr>
            <w:r>
              <w:rPr>
                <w:rFonts w:hint="eastAsia" w:ascii="仿宋" w:hAnsi="仿宋" w:eastAsia="仿宋" w:cs="仿宋"/>
                <w:color w:val="auto"/>
                <w:sz w:val="28"/>
                <w:szCs w:val="28"/>
              </w:rPr>
              <w:t>注册房地产估价师</w:t>
            </w:r>
            <w:r>
              <w:rPr>
                <w:rFonts w:hint="eastAsia" w:ascii="仿宋" w:hAnsi="仿宋" w:eastAsia="仿宋" w:cs="仿宋"/>
                <w:color w:val="auto"/>
                <w:sz w:val="28"/>
                <w:szCs w:val="28"/>
                <w:lang w:val="en-US" w:eastAsia="zh-CN"/>
              </w:rPr>
              <w:t xml:space="preserve">  陶建国</w:t>
            </w:r>
          </w:p>
        </w:tc>
        <w:tc>
          <w:tcPr>
            <w:tcW w:w="1699" w:type="dxa"/>
            <w:noWrap w:val="0"/>
            <w:vAlign w:val="center"/>
          </w:tcPr>
          <w:p>
            <w:pPr>
              <w:pStyle w:val="56"/>
              <w:adjustRightInd/>
              <w:spacing w:line="360" w:lineRule="auto"/>
              <w:jc w:val="center"/>
              <w:rPr>
                <w:rFonts w:hint="eastAsia" w:ascii="仿宋" w:hAnsi="仿宋" w:eastAsia="仿宋" w:cs="仿宋"/>
                <w:color w:val="auto"/>
                <w:sz w:val="28"/>
                <w:szCs w:val="28"/>
                <w:lang w:eastAsia="zh-CN"/>
              </w:rPr>
            </w:pPr>
            <w:r>
              <w:rPr>
                <w:rFonts w:hint="eastAsia" w:ascii="仿宋" w:hAnsi="仿宋" w:eastAsia="仿宋" w:cs="仿宋"/>
                <w:color w:val="auto"/>
                <w:kern w:val="0"/>
                <w:sz w:val="28"/>
                <w:szCs w:val="28"/>
                <w:lang w:eastAsia="zh-CN"/>
              </w:rPr>
              <w:t>3220160229</w:t>
            </w:r>
          </w:p>
        </w:tc>
        <w:tc>
          <w:tcPr>
            <w:tcW w:w="2070" w:type="dxa"/>
            <w:noWrap w:val="0"/>
            <w:vAlign w:val="center"/>
          </w:tcPr>
          <w:p>
            <w:pPr>
              <w:pStyle w:val="56"/>
              <w:adjustRightInd/>
              <w:spacing w:line="360" w:lineRule="auto"/>
              <w:ind w:firstLine="560" w:firstLineChars="200"/>
              <w:jc w:val="center"/>
              <w:rPr>
                <w:rFonts w:hint="eastAsia" w:ascii="仿宋" w:hAnsi="仿宋" w:eastAsia="仿宋" w:cs="仿宋"/>
                <w:color w:val="auto"/>
                <w:sz w:val="28"/>
                <w:szCs w:val="28"/>
              </w:rPr>
            </w:pPr>
          </w:p>
        </w:tc>
        <w:tc>
          <w:tcPr>
            <w:tcW w:w="2100" w:type="dxa"/>
            <w:noWrap w:val="0"/>
            <w:vAlign w:val="center"/>
          </w:tcPr>
          <w:p>
            <w:pPr>
              <w:pStyle w:val="56"/>
              <w:adjustRightInd/>
              <w:spacing w:line="360" w:lineRule="auto"/>
              <w:jc w:val="center"/>
              <w:rPr>
                <w:rFonts w:hint="eastAsia" w:ascii="仿宋" w:hAnsi="仿宋" w:eastAsia="仿宋" w:cs="仿宋"/>
                <w:color w:val="auto"/>
                <w:sz w:val="28"/>
                <w:szCs w:val="28"/>
              </w:rPr>
            </w:pPr>
            <w:r>
              <w:rPr>
                <w:rFonts w:hint="eastAsia" w:ascii="仿宋" w:hAnsi="仿宋" w:eastAsia="仿宋" w:cs="仿宋"/>
                <w:color w:val="auto"/>
                <w:sz w:val="28"/>
                <w:szCs w:val="28"/>
              </w:rPr>
              <w:t xml:space="preserve">   年  月  日</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outlineLvl w:val="0"/>
        <w:rPr>
          <w:rFonts w:hint="eastAsia" w:ascii="仿宋" w:hAnsi="仿宋" w:eastAsia="仿宋" w:cs="仿宋"/>
          <w:b/>
          <w:bCs w:val="0"/>
          <w:color w:val="auto"/>
          <w:sz w:val="28"/>
          <w:szCs w:val="28"/>
          <w:lang w:val="en-US" w:eastAsia="zh-CN"/>
        </w:rPr>
      </w:pPr>
      <w:bookmarkStart w:id="49" w:name="_Toc27103"/>
      <w:r>
        <w:rPr>
          <w:rFonts w:hint="eastAsia" w:ascii="仿宋" w:hAnsi="仿宋" w:eastAsia="仿宋" w:cs="仿宋"/>
          <w:b/>
          <w:bCs w:val="0"/>
          <w:color w:val="auto"/>
          <w:sz w:val="28"/>
          <w:szCs w:val="28"/>
          <w:lang w:val="en-US" w:eastAsia="zh-CN"/>
        </w:rPr>
        <w:t>十二、实地查勘期：</w:t>
      </w:r>
      <w:bookmarkEnd w:id="47"/>
      <w:bookmarkEnd w:id="48"/>
      <w:bookmarkEnd w:id="49"/>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0" w:rightChars="0" w:firstLine="560" w:firstLineChars="200"/>
        <w:jc w:val="both"/>
        <w:textAlignment w:val="auto"/>
        <w:outlineLvl w:val="9"/>
        <w:rPr>
          <w:rFonts w:hint="eastAsia" w:ascii="仿宋" w:hAnsi="仿宋" w:eastAsia="仿宋" w:cs="仿宋"/>
          <w:b w:val="0"/>
          <w:bCs/>
          <w:color w:val="auto"/>
          <w:sz w:val="28"/>
          <w:lang w:val="en-US" w:eastAsia="zh-CN"/>
        </w:rPr>
      </w:pPr>
      <w:bookmarkStart w:id="50" w:name="_Toc26364"/>
      <w:bookmarkStart w:id="51" w:name="_Toc411330297"/>
      <w:r>
        <w:rPr>
          <w:rFonts w:hint="eastAsia" w:ascii="仿宋" w:hAnsi="仿宋" w:eastAsia="仿宋" w:cs="仿宋"/>
          <w:b w:val="0"/>
          <w:bCs/>
          <w:color w:val="060FCC"/>
          <w:sz w:val="28"/>
          <w:lang w:val="en-US" w:eastAsia="zh-CN"/>
        </w:rPr>
        <w:t>2022年06月10日起至2022年06月10日</w:t>
      </w:r>
      <w:r>
        <w:rPr>
          <w:rFonts w:hint="eastAsia" w:ascii="仿宋" w:hAnsi="仿宋" w:eastAsia="仿宋" w:cs="仿宋"/>
          <w:b w:val="0"/>
          <w:bCs/>
          <w:color w:val="auto"/>
          <w:sz w:val="28"/>
          <w:lang w:val="en-US" w:eastAsia="zh-CN"/>
        </w:rPr>
        <w:t>止（实地查勘日期）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outlineLvl w:val="0"/>
        <w:rPr>
          <w:rFonts w:hint="eastAsia" w:ascii="仿宋" w:hAnsi="仿宋" w:eastAsia="仿宋" w:cs="仿宋"/>
          <w:b/>
          <w:bCs w:val="0"/>
          <w:color w:val="auto"/>
          <w:sz w:val="28"/>
          <w:szCs w:val="28"/>
          <w:lang w:val="en-US" w:eastAsia="zh-CN"/>
        </w:rPr>
      </w:pPr>
      <w:bookmarkStart w:id="52" w:name="_Toc29718"/>
      <w:bookmarkStart w:id="53" w:name="_Toc12439"/>
      <w:r>
        <w:rPr>
          <w:rFonts w:hint="eastAsia" w:ascii="仿宋" w:hAnsi="仿宋" w:eastAsia="仿宋" w:cs="仿宋"/>
          <w:b/>
          <w:bCs w:val="0"/>
          <w:color w:val="auto"/>
          <w:sz w:val="28"/>
          <w:szCs w:val="28"/>
          <w:lang w:val="en-US" w:eastAsia="zh-CN"/>
        </w:rPr>
        <w:t>十三、估价作业期</w:t>
      </w:r>
      <w:bookmarkEnd w:id="50"/>
      <w:bookmarkEnd w:id="51"/>
      <w:bookmarkEnd w:id="52"/>
      <w:bookmarkEnd w:id="53"/>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0" w:rightChars="0" w:firstLine="560" w:firstLineChars="200"/>
        <w:jc w:val="both"/>
        <w:textAlignment w:val="auto"/>
        <w:outlineLvl w:val="9"/>
        <w:rPr>
          <w:rFonts w:hint="eastAsia" w:ascii="仿宋" w:hAnsi="仿宋" w:eastAsia="仿宋" w:cs="仿宋"/>
          <w:b w:val="0"/>
          <w:bCs/>
          <w:color w:val="auto"/>
          <w:sz w:val="28"/>
          <w:lang w:val="en-US" w:eastAsia="zh-CN"/>
        </w:rPr>
      </w:pPr>
      <w:r>
        <w:rPr>
          <w:rFonts w:hint="eastAsia" w:ascii="仿宋" w:hAnsi="仿宋" w:eastAsia="仿宋" w:cs="仿宋"/>
          <w:b w:val="0"/>
          <w:bCs/>
          <w:color w:val="060FCC"/>
          <w:sz w:val="28"/>
          <w:lang w:val="en-US" w:eastAsia="zh-CN"/>
        </w:rPr>
        <w:t>2022年06月10日起2022年07月09日</w:t>
      </w:r>
      <w:r>
        <w:rPr>
          <w:rFonts w:hint="eastAsia" w:ascii="仿宋" w:hAnsi="仿宋" w:eastAsia="仿宋" w:cs="仿宋"/>
          <w:b w:val="0"/>
          <w:bCs/>
          <w:color w:val="auto"/>
          <w:sz w:val="28"/>
          <w:lang w:val="en-US" w:eastAsia="zh-CN"/>
        </w:rPr>
        <w:t>止</w:t>
      </w:r>
      <w:bookmarkStart w:id="54" w:name="_Toc28716"/>
    </w:p>
    <w:p>
      <w:pPr>
        <w:pStyle w:val="2"/>
        <w:keepLines w:val="0"/>
        <w:pageBreakBefore w:val="0"/>
        <w:widowControl w:val="0"/>
        <w:kinsoku/>
        <w:wordWrap/>
        <w:overflowPunct/>
        <w:topLinePunct w:val="0"/>
        <w:bidi w:val="0"/>
        <w:spacing w:line="500" w:lineRule="exact"/>
        <w:jc w:val="center"/>
        <w:textAlignment w:val="auto"/>
        <w:outlineLvl w:val="9"/>
        <w:rPr>
          <w:rFonts w:hint="eastAsia" w:ascii="黑体" w:hAnsi="黑体" w:eastAsia="黑体" w:cs="黑体"/>
          <w:b/>
          <w:bCs w:val="0"/>
          <w:color w:val="auto"/>
          <w:sz w:val="32"/>
          <w:szCs w:val="32"/>
          <w:lang w:val="en-US" w:eastAsia="zh-CN"/>
        </w:rPr>
      </w:pPr>
      <w:r>
        <w:rPr>
          <w:rFonts w:hint="eastAsia" w:ascii="仿宋" w:hAnsi="仿宋" w:eastAsia="仿宋" w:cs="仿宋"/>
          <w:b w:val="0"/>
          <w:bCs/>
          <w:color w:val="auto"/>
          <w:lang w:val="en-US" w:eastAsia="zh-CN"/>
        </w:rPr>
        <w:br w:type="page"/>
      </w:r>
      <w:bookmarkStart w:id="55" w:name="_Toc15339"/>
      <w:r>
        <w:rPr>
          <w:rFonts w:hint="eastAsia" w:ascii="黑体" w:hAnsi="黑体" w:eastAsia="黑体" w:cs="黑体"/>
          <w:b/>
          <w:bCs w:val="0"/>
          <w:color w:val="auto"/>
          <w:sz w:val="32"/>
          <w:szCs w:val="32"/>
          <w:lang w:val="en-US" w:eastAsia="zh-CN"/>
        </w:rPr>
        <w:t>附   件</w:t>
      </w:r>
      <w:bookmarkEnd w:id="54"/>
      <w:bookmarkEnd w:id="55"/>
    </w:p>
    <w:p>
      <w:pPr>
        <w:rPr>
          <w:rFonts w:hint="eastAsia"/>
          <w:lang w:val="en-US" w:eastAsia="zh-CN"/>
        </w:rPr>
      </w:pPr>
    </w:p>
    <w:p>
      <w:pPr>
        <w:pStyle w:val="18"/>
        <w:keepNext w:val="0"/>
        <w:keepLines w:val="0"/>
        <w:pageBreakBefore w:val="0"/>
        <w:widowControl w:val="0"/>
        <w:numPr>
          <w:ilvl w:val="0"/>
          <w:numId w:val="11"/>
        </w:numPr>
        <w:tabs>
          <w:tab w:val="right" w:leader="dot" w:pos="8640"/>
        </w:tabs>
        <w:kinsoku/>
        <w:wordWrap/>
        <w:overflowPunct/>
        <w:topLinePunct w:val="0"/>
        <w:autoSpaceDE/>
        <w:autoSpaceDN/>
        <w:bidi w:val="0"/>
        <w:adjustRightInd/>
        <w:snapToGrid/>
        <w:spacing w:line="500" w:lineRule="exact"/>
        <w:ind w:left="0" w:leftChars="0" w:firstLine="420" w:firstLineChars="0"/>
        <w:textAlignment w:val="auto"/>
        <w:outlineLvl w:val="0"/>
        <w:rPr>
          <w:rFonts w:hint="eastAsia" w:ascii="仿宋" w:hAnsi="仿宋" w:eastAsia="仿宋" w:cs="仿宋"/>
          <w:color w:val="auto"/>
          <w:kern w:val="2"/>
          <w:sz w:val="28"/>
          <w:szCs w:val="28"/>
          <w:lang w:val="en-US" w:eastAsia="zh-CN" w:bidi="ar-SA"/>
        </w:rPr>
      </w:pPr>
      <w:bookmarkStart w:id="56" w:name="_Toc25134"/>
      <w:r>
        <w:rPr>
          <w:rFonts w:hint="eastAsia" w:ascii="仿宋" w:hAnsi="仿宋" w:eastAsia="仿宋" w:cs="仿宋"/>
          <w:color w:val="auto"/>
          <w:kern w:val="2"/>
          <w:sz w:val="28"/>
          <w:szCs w:val="28"/>
          <w:lang w:val="en-US" w:eastAsia="zh-CN" w:bidi="ar-SA"/>
        </w:rPr>
        <w:t>估价对象实地查勘照片</w:t>
      </w:r>
      <w:bookmarkEnd w:id="56"/>
    </w:p>
    <w:p>
      <w:pPr>
        <w:pStyle w:val="9"/>
        <w:keepNext w:val="0"/>
        <w:keepLines w:val="0"/>
        <w:pageBreakBefore w:val="0"/>
        <w:widowControl w:val="0"/>
        <w:numPr>
          <w:ilvl w:val="0"/>
          <w:numId w:val="11"/>
        </w:numPr>
        <w:tabs>
          <w:tab w:val="left" w:pos="5788"/>
        </w:tabs>
        <w:kinsoku/>
        <w:wordWrap/>
        <w:overflowPunct/>
        <w:topLinePunct w:val="0"/>
        <w:autoSpaceDE/>
        <w:autoSpaceDN/>
        <w:bidi w:val="0"/>
        <w:adjustRightInd/>
        <w:snapToGrid w:val="0"/>
        <w:spacing w:line="480" w:lineRule="exact"/>
        <w:ind w:left="0" w:leftChars="0" w:firstLine="420" w:firstLineChars="0"/>
        <w:textAlignment w:val="auto"/>
        <w:outlineLvl w:val="0"/>
        <w:rPr>
          <w:rFonts w:hint="eastAsia" w:ascii="仿宋" w:hAnsi="仿宋" w:eastAsia="仿宋" w:cs="仿宋"/>
          <w:color w:val="auto"/>
          <w:kern w:val="2"/>
          <w:sz w:val="28"/>
          <w:szCs w:val="28"/>
          <w:lang w:val="en-US" w:eastAsia="zh-CN" w:bidi="ar-SA"/>
        </w:rPr>
      </w:pPr>
      <w:bookmarkStart w:id="57" w:name="_Toc8851"/>
      <w:r>
        <w:rPr>
          <w:rFonts w:hint="eastAsia" w:ascii="仿宋" w:hAnsi="仿宋" w:eastAsia="仿宋" w:cs="仿宋"/>
          <w:color w:val="auto"/>
          <w:kern w:val="2"/>
          <w:sz w:val="28"/>
          <w:szCs w:val="28"/>
          <w:lang w:val="en-US" w:eastAsia="zh-CN" w:bidi="ar-SA"/>
        </w:rPr>
        <w:t>估价对象位置示意图</w:t>
      </w:r>
      <w:bookmarkEnd w:id="57"/>
      <w:r>
        <w:rPr>
          <w:rFonts w:hint="eastAsia" w:ascii="仿宋" w:hAnsi="仿宋" w:eastAsia="仿宋" w:cs="仿宋"/>
          <w:color w:val="auto"/>
          <w:kern w:val="2"/>
          <w:sz w:val="28"/>
          <w:szCs w:val="28"/>
          <w:lang w:val="en-US" w:eastAsia="zh-CN" w:bidi="ar-SA"/>
        </w:rPr>
        <w:tab/>
      </w:r>
    </w:p>
    <w:p>
      <w:pPr>
        <w:pStyle w:val="9"/>
        <w:keepNext w:val="0"/>
        <w:keepLines w:val="0"/>
        <w:pageBreakBefore w:val="0"/>
        <w:widowControl w:val="0"/>
        <w:numPr>
          <w:ilvl w:val="0"/>
          <w:numId w:val="11"/>
        </w:numPr>
        <w:tabs>
          <w:tab w:val="left" w:pos="5788"/>
        </w:tabs>
        <w:kinsoku/>
        <w:wordWrap/>
        <w:overflowPunct/>
        <w:topLinePunct w:val="0"/>
        <w:autoSpaceDE/>
        <w:autoSpaceDN/>
        <w:bidi w:val="0"/>
        <w:adjustRightInd/>
        <w:snapToGrid w:val="0"/>
        <w:spacing w:line="480" w:lineRule="exact"/>
        <w:ind w:left="0" w:leftChars="0" w:firstLine="420" w:firstLineChars="0"/>
        <w:textAlignment w:val="auto"/>
        <w:outlineLvl w:val="0"/>
        <w:rPr>
          <w:rFonts w:hint="eastAsia" w:ascii="仿宋" w:hAnsi="仿宋" w:eastAsia="仿宋" w:cs="仿宋"/>
          <w:color w:val="auto"/>
          <w:spacing w:val="-6"/>
          <w:kern w:val="2"/>
          <w:sz w:val="28"/>
          <w:szCs w:val="28"/>
          <w:lang w:val="en-US" w:eastAsia="zh-CN" w:bidi="ar-SA"/>
        </w:rPr>
      </w:pPr>
      <w:bookmarkStart w:id="58" w:name="_Toc647"/>
      <w:r>
        <w:rPr>
          <w:rFonts w:hint="eastAsia" w:ascii="仿宋" w:hAnsi="仿宋" w:eastAsia="仿宋" w:cs="仿宋"/>
          <w:color w:val="auto"/>
          <w:kern w:val="2"/>
          <w:sz w:val="28"/>
          <w:szCs w:val="28"/>
          <w:lang w:val="en-US" w:eastAsia="zh-CN" w:bidi="ar-SA"/>
        </w:rPr>
        <w:t>《司法鉴定委托书》</w:t>
      </w:r>
      <w:r>
        <w:rPr>
          <w:rFonts w:hint="eastAsia" w:ascii="仿宋" w:hAnsi="仿宋" w:eastAsia="仿宋" w:cs="仿宋"/>
          <w:color w:val="auto"/>
          <w:spacing w:val="-6"/>
          <w:kern w:val="2"/>
          <w:sz w:val="28"/>
          <w:szCs w:val="28"/>
          <w:lang w:val="en-US" w:eastAsia="zh-CN" w:bidi="ar-SA"/>
        </w:rPr>
        <w:t>复印件</w:t>
      </w:r>
      <w:bookmarkEnd w:id="58"/>
    </w:p>
    <w:p>
      <w:pPr>
        <w:pStyle w:val="9"/>
        <w:keepNext w:val="0"/>
        <w:keepLines w:val="0"/>
        <w:pageBreakBefore w:val="0"/>
        <w:widowControl w:val="0"/>
        <w:numPr>
          <w:ilvl w:val="0"/>
          <w:numId w:val="11"/>
        </w:numPr>
        <w:tabs>
          <w:tab w:val="left" w:pos="5788"/>
        </w:tabs>
        <w:kinsoku/>
        <w:wordWrap/>
        <w:overflowPunct/>
        <w:topLinePunct w:val="0"/>
        <w:autoSpaceDE/>
        <w:autoSpaceDN/>
        <w:bidi w:val="0"/>
        <w:adjustRightInd/>
        <w:snapToGrid w:val="0"/>
        <w:spacing w:line="480" w:lineRule="exact"/>
        <w:ind w:left="0" w:leftChars="0" w:firstLine="420" w:firstLineChars="0"/>
        <w:textAlignment w:val="auto"/>
        <w:outlineLvl w:val="0"/>
        <w:rPr>
          <w:rFonts w:hint="eastAsia" w:ascii="仿宋" w:hAnsi="仿宋" w:eastAsia="仿宋" w:cs="仿宋"/>
          <w:color w:val="auto"/>
          <w:kern w:val="2"/>
          <w:sz w:val="28"/>
          <w:szCs w:val="28"/>
          <w:lang w:val="en-US" w:eastAsia="zh-CN" w:bidi="ar-SA"/>
        </w:rPr>
      </w:pPr>
      <w:bookmarkStart w:id="59" w:name="_Toc3889"/>
      <w:r>
        <w:rPr>
          <w:rFonts w:hint="eastAsia" w:ascii="仿宋" w:hAnsi="仿宋" w:eastAsia="仿宋" w:cs="仿宋"/>
          <w:color w:val="auto"/>
          <w:kern w:val="2"/>
          <w:sz w:val="28"/>
          <w:szCs w:val="28"/>
          <w:lang w:val="en-US" w:eastAsia="zh-CN" w:bidi="ar-SA"/>
        </w:rPr>
        <w:t>《不动产登记簿查询记录》复印件</w:t>
      </w:r>
      <w:bookmarkEnd w:id="59"/>
    </w:p>
    <w:p>
      <w:pPr>
        <w:pStyle w:val="9"/>
        <w:keepNext w:val="0"/>
        <w:keepLines w:val="0"/>
        <w:pageBreakBefore w:val="0"/>
        <w:widowControl w:val="0"/>
        <w:numPr>
          <w:ilvl w:val="0"/>
          <w:numId w:val="11"/>
        </w:numPr>
        <w:tabs>
          <w:tab w:val="left" w:pos="5788"/>
        </w:tabs>
        <w:kinsoku/>
        <w:wordWrap/>
        <w:overflowPunct/>
        <w:topLinePunct w:val="0"/>
        <w:autoSpaceDE/>
        <w:autoSpaceDN/>
        <w:bidi w:val="0"/>
        <w:adjustRightInd/>
        <w:snapToGrid w:val="0"/>
        <w:spacing w:line="480" w:lineRule="exact"/>
        <w:ind w:left="0" w:leftChars="0" w:firstLine="420" w:firstLineChars="0"/>
        <w:textAlignment w:val="auto"/>
        <w:outlineLvl w:val="0"/>
        <w:rPr>
          <w:rFonts w:hint="eastAsia" w:ascii="仿宋" w:hAnsi="仿宋" w:eastAsia="仿宋" w:cs="仿宋"/>
          <w:color w:val="auto"/>
          <w:kern w:val="2"/>
          <w:sz w:val="28"/>
          <w:szCs w:val="28"/>
          <w:lang w:val="en-US" w:eastAsia="zh-CN" w:bidi="ar-SA"/>
        </w:rPr>
      </w:pPr>
      <w:bookmarkStart w:id="60" w:name="_Toc29647"/>
      <w:r>
        <w:rPr>
          <w:rFonts w:hint="eastAsia" w:ascii="仿宋" w:hAnsi="仿宋" w:eastAsia="仿宋" w:cs="仿宋"/>
          <w:color w:val="auto"/>
          <w:kern w:val="2"/>
          <w:sz w:val="28"/>
          <w:szCs w:val="28"/>
          <w:lang w:val="en-US" w:eastAsia="zh-CN" w:bidi="ar-SA"/>
        </w:rPr>
        <w:t>房地产估价机构营业执照和资质证书复印件</w:t>
      </w:r>
      <w:bookmarkEnd w:id="60"/>
    </w:p>
    <w:p>
      <w:pPr>
        <w:pStyle w:val="9"/>
        <w:keepNext w:val="0"/>
        <w:keepLines w:val="0"/>
        <w:pageBreakBefore w:val="0"/>
        <w:widowControl w:val="0"/>
        <w:numPr>
          <w:ilvl w:val="0"/>
          <w:numId w:val="11"/>
        </w:numPr>
        <w:tabs>
          <w:tab w:val="left" w:pos="5788"/>
        </w:tabs>
        <w:kinsoku/>
        <w:wordWrap/>
        <w:overflowPunct/>
        <w:topLinePunct w:val="0"/>
        <w:autoSpaceDE/>
        <w:autoSpaceDN/>
        <w:bidi w:val="0"/>
        <w:adjustRightInd/>
        <w:snapToGrid w:val="0"/>
        <w:spacing w:line="480" w:lineRule="exact"/>
        <w:ind w:left="0" w:leftChars="0" w:firstLine="420" w:firstLineChars="0"/>
        <w:textAlignment w:val="auto"/>
        <w:outlineLvl w:val="0"/>
        <w:rPr>
          <w:rFonts w:hint="eastAsia" w:ascii="仿宋" w:hAnsi="仿宋" w:eastAsia="仿宋" w:cs="仿宋"/>
          <w:color w:val="auto"/>
          <w:kern w:val="2"/>
          <w:sz w:val="28"/>
          <w:szCs w:val="28"/>
          <w:lang w:val="en-US" w:eastAsia="zh-CN" w:bidi="ar-SA"/>
        </w:rPr>
      </w:pPr>
      <w:bookmarkStart w:id="61" w:name="_Toc13710"/>
      <w:r>
        <w:rPr>
          <w:rFonts w:hint="eastAsia" w:ascii="仿宋" w:hAnsi="仿宋" w:eastAsia="仿宋" w:cs="仿宋"/>
          <w:color w:val="auto"/>
          <w:kern w:val="2"/>
          <w:sz w:val="28"/>
          <w:szCs w:val="28"/>
          <w:lang w:val="en-US" w:eastAsia="zh-CN" w:bidi="ar-SA"/>
        </w:rPr>
        <w:t>注册房地产估价师估价资格证书复印件</w:t>
      </w:r>
      <w:bookmarkEnd w:id="61"/>
    </w:p>
    <w:p>
      <w:pPr>
        <w:spacing w:line="360" w:lineRule="auto"/>
        <w:ind w:firstLine="560" w:firstLineChars="200"/>
        <w:jc w:val="center"/>
        <w:rPr>
          <w:rFonts w:hint="eastAsia" w:ascii="仿宋_GB2312" w:hAnsi="仿宋_GB2312" w:eastAsia="仿宋_GB2312" w:cs="仿宋_GB2312"/>
          <w:color w:val="auto"/>
          <w:sz w:val="28"/>
          <w:szCs w:val="28"/>
        </w:rPr>
      </w:pPr>
    </w:p>
    <w:p>
      <w:pPr>
        <w:snapToGrid w:val="0"/>
        <w:spacing w:line="360" w:lineRule="auto"/>
        <w:rPr>
          <w:rStyle w:val="29"/>
          <w:rFonts w:hint="eastAsia" w:ascii="仿宋_GB2312" w:hAnsi="仿宋_GB2312" w:eastAsia="仿宋_GB2312" w:cs="仿宋_GB2312"/>
          <w:b/>
          <w:bCs/>
          <w:color w:val="auto"/>
          <w:spacing w:val="5"/>
          <w:sz w:val="28"/>
          <w:szCs w:val="28"/>
        </w:rPr>
      </w:pPr>
    </w:p>
    <w:p>
      <w:pPr>
        <w:snapToGrid w:val="0"/>
        <w:spacing w:line="360" w:lineRule="auto"/>
        <w:rPr>
          <w:rStyle w:val="29"/>
          <w:rFonts w:hint="eastAsia" w:ascii="仿宋_GB2312" w:hAnsi="仿宋_GB2312" w:eastAsia="仿宋_GB2312" w:cs="仿宋_GB2312"/>
          <w:b/>
          <w:bCs/>
          <w:color w:val="auto"/>
          <w:spacing w:val="5"/>
          <w:sz w:val="28"/>
          <w:szCs w:val="28"/>
        </w:rPr>
      </w:pPr>
    </w:p>
    <w:p>
      <w:pPr>
        <w:snapToGrid w:val="0"/>
        <w:spacing w:line="360" w:lineRule="auto"/>
        <w:rPr>
          <w:rStyle w:val="29"/>
          <w:rFonts w:hint="eastAsia" w:ascii="仿宋_GB2312" w:hAnsi="仿宋_GB2312" w:eastAsia="仿宋_GB2312" w:cs="仿宋_GB2312"/>
          <w:b/>
          <w:bCs/>
          <w:color w:val="auto"/>
          <w:spacing w:val="5"/>
          <w:sz w:val="28"/>
          <w:szCs w:val="28"/>
        </w:rPr>
      </w:pPr>
    </w:p>
    <w:p>
      <w:pPr>
        <w:snapToGrid w:val="0"/>
        <w:spacing w:line="360" w:lineRule="auto"/>
        <w:rPr>
          <w:rStyle w:val="29"/>
          <w:rFonts w:hint="eastAsia" w:ascii="仿宋_GB2312" w:hAnsi="仿宋_GB2312" w:eastAsia="仿宋_GB2312" w:cs="仿宋_GB2312"/>
          <w:b/>
          <w:bCs/>
          <w:color w:val="auto"/>
          <w:spacing w:val="5"/>
          <w:sz w:val="28"/>
          <w:szCs w:val="28"/>
        </w:rPr>
      </w:pPr>
    </w:p>
    <w:p>
      <w:pPr>
        <w:snapToGrid w:val="0"/>
        <w:spacing w:line="360" w:lineRule="auto"/>
        <w:rPr>
          <w:rStyle w:val="29"/>
          <w:rFonts w:hint="eastAsia" w:ascii="仿宋_GB2312" w:hAnsi="仿宋_GB2312" w:eastAsia="仿宋_GB2312" w:cs="仿宋_GB2312"/>
          <w:b/>
          <w:bCs/>
          <w:color w:val="auto"/>
          <w:spacing w:val="5"/>
          <w:sz w:val="28"/>
          <w:szCs w:val="28"/>
        </w:rPr>
      </w:pPr>
    </w:p>
    <w:p>
      <w:pPr>
        <w:snapToGrid w:val="0"/>
        <w:spacing w:line="360" w:lineRule="auto"/>
        <w:rPr>
          <w:rStyle w:val="29"/>
          <w:rFonts w:hint="eastAsia" w:ascii="仿宋_GB2312" w:hAnsi="仿宋_GB2312" w:eastAsia="仿宋_GB2312" w:cs="仿宋_GB2312"/>
          <w:b/>
          <w:bCs/>
          <w:color w:val="auto"/>
          <w:spacing w:val="5"/>
          <w:sz w:val="28"/>
          <w:szCs w:val="28"/>
        </w:rPr>
      </w:pPr>
    </w:p>
    <w:p>
      <w:pPr>
        <w:snapToGrid w:val="0"/>
        <w:spacing w:line="360" w:lineRule="auto"/>
        <w:rPr>
          <w:rStyle w:val="29"/>
          <w:rFonts w:hint="eastAsia" w:ascii="仿宋_GB2312" w:hAnsi="仿宋_GB2312" w:eastAsia="仿宋_GB2312" w:cs="仿宋_GB2312"/>
          <w:b/>
          <w:bCs/>
          <w:color w:val="auto"/>
          <w:spacing w:val="5"/>
          <w:sz w:val="28"/>
          <w:szCs w:val="28"/>
        </w:rPr>
      </w:pPr>
    </w:p>
    <w:p>
      <w:pPr>
        <w:snapToGrid w:val="0"/>
        <w:spacing w:line="360" w:lineRule="auto"/>
        <w:rPr>
          <w:rStyle w:val="29"/>
          <w:rFonts w:hint="eastAsia" w:ascii="仿宋_GB2312" w:hAnsi="仿宋_GB2312" w:eastAsia="仿宋_GB2312" w:cs="仿宋_GB2312"/>
          <w:b/>
          <w:bCs/>
          <w:color w:val="auto"/>
          <w:spacing w:val="5"/>
          <w:sz w:val="28"/>
          <w:szCs w:val="28"/>
        </w:rPr>
      </w:pPr>
    </w:p>
    <w:p>
      <w:pPr>
        <w:snapToGrid w:val="0"/>
        <w:spacing w:line="360" w:lineRule="auto"/>
        <w:rPr>
          <w:rStyle w:val="29"/>
          <w:rFonts w:hint="eastAsia" w:ascii="仿宋_GB2312" w:hAnsi="仿宋_GB2312" w:eastAsia="仿宋_GB2312" w:cs="仿宋_GB2312"/>
          <w:b/>
          <w:bCs/>
          <w:color w:val="auto"/>
          <w:spacing w:val="5"/>
          <w:sz w:val="28"/>
          <w:szCs w:val="28"/>
        </w:rPr>
      </w:pPr>
    </w:p>
    <w:p>
      <w:pPr>
        <w:snapToGrid w:val="0"/>
        <w:spacing w:line="360" w:lineRule="auto"/>
        <w:rPr>
          <w:rStyle w:val="29"/>
          <w:rFonts w:hint="eastAsia" w:ascii="仿宋_GB2312" w:hAnsi="仿宋_GB2312" w:eastAsia="仿宋_GB2312" w:cs="仿宋_GB2312"/>
          <w:b/>
          <w:bCs/>
          <w:color w:val="auto"/>
          <w:spacing w:val="5"/>
          <w:sz w:val="28"/>
          <w:szCs w:val="28"/>
        </w:rPr>
      </w:pPr>
    </w:p>
    <w:p>
      <w:pPr>
        <w:snapToGrid w:val="0"/>
        <w:spacing w:line="360" w:lineRule="auto"/>
        <w:rPr>
          <w:rStyle w:val="29"/>
          <w:rFonts w:hint="eastAsia" w:ascii="仿宋_GB2312" w:hAnsi="仿宋_GB2312" w:eastAsia="仿宋_GB2312" w:cs="仿宋_GB2312"/>
          <w:b/>
          <w:bCs/>
          <w:color w:val="auto"/>
          <w:spacing w:val="5"/>
          <w:sz w:val="28"/>
          <w:szCs w:val="28"/>
        </w:rPr>
      </w:pPr>
    </w:p>
    <w:p>
      <w:pPr>
        <w:snapToGrid w:val="0"/>
        <w:spacing w:line="360" w:lineRule="auto"/>
        <w:ind w:firstLine="582" w:firstLineChars="200"/>
        <w:rPr>
          <w:rStyle w:val="29"/>
          <w:rFonts w:hint="eastAsia" w:ascii="仿宋_GB2312" w:hAnsi="仿宋_GB2312" w:eastAsia="仿宋_GB2312" w:cs="仿宋_GB2312"/>
          <w:b/>
          <w:bCs/>
          <w:color w:val="auto"/>
          <w:spacing w:val="5"/>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582" w:firstLineChars="200"/>
        <w:textAlignment w:val="auto"/>
        <w:rPr>
          <w:rFonts w:hint="eastAsia"/>
          <w:color w:val="auto"/>
          <w:lang w:eastAsia="zh-CN"/>
        </w:rPr>
      </w:pPr>
      <w:r>
        <w:rPr>
          <w:rStyle w:val="29"/>
          <w:rFonts w:hint="eastAsia" w:ascii="仿宋_GB2312" w:hAnsi="仿宋_GB2312" w:eastAsia="仿宋_GB2312" w:cs="仿宋_GB2312"/>
          <w:b/>
          <w:bCs/>
          <w:color w:val="auto"/>
          <w:spacing w:val="5"/>
          <w:sz w:val="28"/>
          <w:szCs w:val="28"/>
        </w:rPr>
        <w:br w:type="page"/>
      </w:r>
      <w:bookmarkEnd w:id="0"/>
      <w:bookmarkEnd w:id="1"/>
      <w:bookmarkEnd w:id="2"/>
      <w:bookmarkEnd w:id="3"/>
    </w:p>
    <w:sectPr>
      <w:headerReference r:id="rId8" w:type="first"/>
      <w:footerReference r:id="rId10" w:type="first"/>
      <w:headerReference r:id="rId7" w:type="default"/>
      <w:footerReference r:id="rId9" w:type="default"/>
      <w:pgSz w:w="11906" w:h="16838"/>
      <w:pgMar w:top="1440" w:right="1077" w:bottom="1440" w:left="1797" w:header="851" w:footer="1077" w:gutter="0"/>
      <w:paperSrc/>
      <w:pgBorders w:offsetFrom="page">
        <w:top w:val="none" w:sz="0" w:space="0"/>
        <w:left w:val="none" w:sz="0" w:space="0"/>
        <w:bottom w:val="none" w:sz="0" w:space="0"/>
        <w:right w:val="none" w:sz="0" w:space="0"/>
      </w:pgBorders>
      <w:pgNumType w:fmt="decimal"/>
      <w:cols w:space="720" w:num="1"/>
      <w:titlePg/>
      <w:rtlGutter w:val="0"/>
      <w:docGrid w:type="lines" w:linePitch="44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8C2C0E6-9958-4C1F-B4F5-846BBD56C6F4}"/>
  </w:font>
  <w:font w:name="Arial">
    <w:panose1 w:val="020B0604020202020204"/>
    <w:charset w:val="01"/>
    <w:family w:val="swiss"/>
    <w:pitch w:val="default"/>
    <w:sig w:usb0="E0002AFF" w:usb1="C0007843" w:usb2="00000009" w:usb3="00000000" w:csb0="400001FF" w:csb1="FFFF0000"/>
    <w:embedRegular r:id="rId2" w:fontKey="{7CAA07F8-EA0E-4F5A-8153-FC62B928C196}"/>
  </w:font>
  <w:font w:name="黑体">
    <w:panose1 w:val="02010609060101010101"/>
    <w:charset w:val="86"/>
    <w:family w:val="auto"/>
    <w:pitch w:val="default"/>
    <w:sig w:usb0="800002BF" w:usb1="38CF7CFA" w:usb2="00000016" w:usb3="00000000" w:csb0="00040001" w:csb1="00000000"/>
    <w:embedRegular r:id="rId3" w:fontKey="{EB42FC1C-48BB-4A20-B305-93E7F790C34D}"/>
  </w:font>
  <w:font w:name="Courier New">
    <w:panose1 w:val="02070309020205020404"/>
    <w:charset w:val="01"/>
    <w:family w:val="modern"/>
    <w:pitch w:val="default"/>
    <w:sig w:usb0="E0002AFF" w:usb1="C0007843" w:usb2="00000009" w:usb3="00000000" w:csb0="400001FF" w:csb1="FFFF0000"/>
    <w:embedRegular r:id="rId4" w:fontKey="{D9A6DDEB-8FA4-411A-ABEF-E9C648B67A3E}"/>
  </w:font>
  <w:font w:name="Symbol">
    <w:panose1 w:val="05050102010706020507"/>
    <w:charset w:val="02"/>
    <w:family w:val="roman"/>
    <w:pitch w:val="default"/>
    <w:sig w:usb0="00000000" w:usb1="00000000" w:usb2="00000000" w:usb3="00000000" w:csb0="80000000" w:csb1="00000000"/>
    <w:embedRegular r:id="rId5" w:fontKey="{55671DBF-80D4-450D-8148-72F0FE72B3AB}"/>
  </w:font>
  <w:font w:name="Calibri">
    <w:panose1 w:val="020F0502020204030204"/>
    <w:charset w:val="00"/>
    <w:family w:val="swiss"/>
    <w:pitch w:val="default"/>
    <w:sig w:usb0="E00002FF" w:usb1="4000ACFF" w:usb2="00000001" w:usb3="00000000" w:csb0="2000019F" w:csb1="00000000"/>
    <w:embedRegular r:id="rId6" w:fontKey="{D30ED41F-5D15-4A6D-AE39-D2816D9D4963}"/>
  </w:font>
  <w:font w:name="Tahoma">
    <w:panose1 w:val="020B0604030504040204"/>
    <w:charset w:val="00"/>
    <w:family w:val="decorative"/>
    <w:pitch w:val="default"/>
    <w:sig w:usb0="E1002EFF" w:usb1="C000605B" w:usb2="00000029" w:usb3="00000000" w:csb0="200101FF" w:csb1="20280000"/>
    <w:embedRegular r:id="rId7" w:fontKey="{863514AC-09BD-4CBF-88DC-44F3565F3176}"/>
  </w:font>
  <w:font w:name="仿宋_GB2312">
    <w:panose1 w:val="02010609030101010101"/>
    <w:charset w:val="86"/>
    <w:family w:val="modern"/>
    <w:pitch w:val="default"/>
    <w:sig w:usb0="00000001" w:usb1="080E0000" w:usb2="00000000" w:usb3="00000000" w:csb0="00040000" w:csb1="00000000"/>
    <w:embedRegular r:id="rId8" w:fontKey="{0EF02626-7993-4368-92D6-E3167A602E55}"/>
  </w:font>
  <w:font w:name="Courier New">
    <w:panose1 w:val="02070309020205020404"/>
    <w:charset w:val="00"/>
    <w:family w:val="modern"/>
    <w:pitch w:val="default"/>
    <w:sig w:usb0="E0002AFF" w:usb1="C0007843" w:usb2="00000009" w:usb3="00000000" w:csb0="400001FF" w:csb1="FFFF0000"/>
    <w:embedRegular r:id="rId9" w:fontKey="{E52809C8-7842-4146-A235-3F31D7BE8EED}"/>
  </w:font>
  <w:font w:name="楷体">
    <w:panose1 w:val="02010609060101010101"/>
    <w:charset w:val="86"/>
    <w:family w:val="roman"/>
    <w:pitch w:val="default"/>
    <w:sig w:usb0="800002BF" w:usb1="38CF7CFA" w:usb2="00000016" w:usb3="00000000" w:csb0="00040001" w:csb1="00000000"/>
  </w:font>
  <w:font w:name="Tms Rmn">
    <w:altName w:val="Times New Roman"/>
    <w:panose1 w:val="02020603040505020304"/>
    <w:charset w:val="00"/>
    <w:family w:val="roman"/>
    <w:pitch w:val="default"/>
    <w:sig w:usb0="00000003" w:usb1="00000000" w:usb2="00000000" w:usb3="00000000" w:csb0="00000001" w:csb1="00000000"/>
  </w:font>
  <w:font w:name="楷体_GB2312">
    <w:altName w:val="楷体"/>
    <w:panose1 w:val="02010609030101010101"/>
    <w:charset w:val="86"/>
    <w:family w:val="modern"/>
    <w:pitch w:val="default"/>
    <w:sig w:usb0="00000001" w:usb1="080E0000" w:usb2="00000000" w:usb3="00000000" w:csb0="00040000" w:csb1="00000000"/>
  </w:font>
  <w:font w:name="Arial">
    <w:panose1 w:val="020B0604020202020204"/>
    <w:charset w:val="00"/>
    <w:family w:val="auto"/>
    <w:pitch w:val="default"/>
    <w:sig w:usb0="E0002AFF" w:usb1="C0007843" w:usb2="00000009" w:usb3="00000000" w:csb0="400001FF" w:csb1="FFFF0000"/>
    <w:embedRegular r:id="rId10" w:fontKey="{FA69DFD3-69D2-4DFB-9C2D-10EDD53FD3EA}"/>
  </w:font>
  <w:font w:name="仿宋">
    <w:panose1 w:val="02010609060101010101"/>
    <w:charset w:val="86"/>
    <w:family w:val="auto"/>
    <w:pitch w:val="default"/>
    <w:sig w:usb0="800002BF" w:usb1="38CF7CFA" w:usb2="00000016" w:usb3="00000000" w:csb0="00040001" w:csb1="00000000"/>
    <w:embedRegular r:id="rId11" w:fontKey="{01438CB7-85B2-4CE2-A7B1-FC9B926A9C9D}"/>
  </w:font>
  <w:font w:name="Verdana">
    <w:panose1 w:val="020B0604030504040204"/>
    <w:charset w:val="00"/>
    <w:family w:val="swiss"/>
    <w:pitch w:val="default"/>
    <w:sig w:usb0="A10006FF" w:usb1="4000205B" w:usb2="00000010" w:usb3="00000000" w:csb0="2000019F" w:csb1="00000000"/>
    <w:embedRegular r:id="rId12" w:fontKey="{A9507093-5754-47E6-8262-AE224A4B4F75}"/>
  </w:font>
  <w:font w:name="方正小标宋_GBK">
    <w:altName w:val="Arial Unicode MS"/>
    <w:panose1 w:val="03000509000000000000"/>
    <w:charset w:val="86"/>
    <w:family w:val="script"/>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2</w:t>
                          </w:r>
                          <w:r>
                            <w:rPr>
                              <w:rFonts w:hint="eastAsia"/>
                              <w:sz w:val="18"/>
                              <w:lang w:eastAsia="zh-CN"/>
                            </w:rPr>
                            <w:fldChar w:fldCharType="end"/>
                          </w:r>
                        </w:p>
                      </w:txbxContent>
                    </wps:txbx>
                    <wps:bodyPr wrap="none" lIns="0" tIns="0" rIns="0" bIns="0" upright="0">
                      <a:spAutoFit/>
                    </wps:bodyPr>
                  </wps:wsp>
                </a:graphicData>
              </a:graphic>
            </wp:anchor>
          </w:drawing>
        </mc:Choice>
        <mc:Fallback>
          <w:pict>
            <v:shape id="文本框 3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K564GTTAQAApAMAAA4AAAAAAAAAAQAgAAAA&#10;IgEAAGRycy9lMm9Eb2MueG1sUEsFBgAAAAAGAAYAWQEAAGcFAAAAAA==&#10;">
              <v:fill on="f" focussize="0,0"/>
              <v:stroke on="f" weight="1.2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2</w:t>
                    </w:r>
                    <w:r>
                      <w:rPr>
                        <w:rFonts w:hint="eastAsia"/>
                        <w:sz w:val="1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wrap="none" lIns="0" tIns="0" rIns="0" bIns="0" upright="0">
                      <a:spAutoFit/>
                    </wps:bodyPr>
                  </wps:wsp>
                </a:graphicData>
              </a:graphic>
            </wp:anchor>
          </w:drawing>
        </mc:Choice>
        <mc:Fallback>
          <w:pict>
            <v:shape id="文本框 3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FacQRLTAQAApQMAAA4AAAAAAAAAAQAgAAAA&#10;IgEAAGRycy9lMm9Eb2MueG1sUEsFBgAAAAAGAAYAWQEAAGcFAAAAAA==&#10;">
              <v:fill on="f" focussize="0,0"/>
              <v:stroke on="f" weight="1.2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2</w:t>
                          </w:r>
                          <w:r>
                            <w:rPr>
                              <w:rFonts w:hint="eastAsia"/>
                              <w:sz w:val="18"/>
                              <w:lang w:eastAsia="zh-CN"/>
                            </w:rPr>
                            <w:fldChar w:fldCharType="end"/>
                          </w:r>
                        </w:p>
                      </w:txbxContent>
                    </wps:txbx>
                    <wps:bodyPr wrap="none" lIns="0" tIns="0" rIns="0" bIns="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&#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QgRGjNIBAACjAwAADgAAAAAAAAABACAAAAAi&#10;AQAAZHJzL2Uyb0RvYy54bWxQSwUGAAAAAAYABgBZAQAAZgUAAAAA&#10;">
              <v:fill on="f" focussize="0,0"/>
              <v:stroke on="f" weight="1.2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2</w:t>
                    </w:r>
                    <w:r>
                      <w:rPr>
                        <w:rFonts w:hint="eastAsia"/>
                        <w:sz w:val="18"/>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&#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CcJZCg0QEAAKQDAAAOAAAAAAAAAAEAIAAAACIB&#10;AABkcnMvZTJvRG9jLnhtbFBLBQYAAAAABgAGAFkBAABlBQAAAAA=&#10;">
              <v:fill on="f" focussize="0,0"/>
              <v:stroke on="f" weight="1.2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rPr>
        <w:rFonts w:hint="eastAsia"/>
        <w:color w:val="auto"/>
        <w:highlight w:val="none"/>
      </w:rPr>
    </w:pPr>
    <w:r>
      <w:rPr>
        <w:rFonts w:hint="eastAsia"/>
        <w:lang w:eastAsia="zh-CN"/>
      </w:rPr>
      <w:drawing>
        <wp:anchor distT="0" distB="0" distL="114300" distR="114300" simplePos="0" relativeHeight="251664384" behindDoc="0" locked="0" layoutInCell="1" allowOverlap="1">
          <wp:simplePos x="0" y="0"/>
          <wp:positionH relativeFrom="column">
            <wp:posOffset>-9525</wp:posOffset>
          </wp:positionH>
          <wp:positionV relativeFrom="paragraph">
            <wp:posOffset>0</wp:posOffset>
          </wp:positionV>
          <wp:extent cx="287655" cy="304800"/>
          <wp:effectExtent l="0" t="0" r="17145" b="0"/>
          <wp:wrapSquare wrapText="bothSides"/>
          <wp:docPr id="11" name="图片 35" descr="QQ图片2017071008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5" descr="QQ图片20170710085508"/>
                  <pic:cNvPicPr>
                    <a:picLocks noChangeAspect="1"/>
                  </pic:cNvPicPr>
                </pic:nvPicPr>
                <pic:blipFill>
                  <a:blip r:embed="rId1"/>
                  <a:stretch>
                    <a:fillRect/>
                  </a:stretch>
                </pic:blipFill>
                <pic:spPr>
                  <a:xfrm>
                    <a:off x="0" y="0"/>
                    <a:ext cx="287655" cy="304800"/>
                  </a:xfrm>
                  <a:prstGeom prst="rect">
                    <a:avLst/>
                  </a:prstGeom>
                  <a:noFill/>
                  <a:ln>
                    <a:noFill/>
                  </a:ln>
                </pic:spPr>
              </pic:pic>
            </a:graphicData>
          </a:graphic>
        </wp:anchor>
      </w:drawing>
    </w:r>
    <w:r>
      <w:rPr>
        <w:rFonts w:hint="eastAsia"/>
        <w:lang w:val="en-US" w:eastAsia="zh-CN"/>
      </w:rPr>
      <w:t xml:space="preserve">     </w:t>
    </w:r>
    <w:r>
      <w:rPr>
        <w:rFonts w:hint="eastAsia"/>
        <w:w w:val="150"/>
        <w:lang w:eastAsia="zh-CN"/>
      </w:rPr>
      <w:t>江苏安</w:t>
    </w:r>
    <w:r>
      <w:rPr>
        <w:rFonts w:hint="eastAsia"/>
        <w:w w:val="150"/>
      </w:rPr>
      <w:t>达土地房地产评估测绘有限公司</w:t>
    </w:r>
    <w:r>
      <w:rPr>
        <w:rFonts w:hint="eastAsia"/>
        <w:highlight w:val="none"/>
        <w:lang w:val="en-US" w:eastAsia="zh-CN"/>
      </w:rPr>
      <w:t xml:space="preserve">             </w:t>
    </w:r>
    <w:r>
      <w:rPr>
        <w:rFonts w:hint="eastAsia"/>
        <w:color w:val="auto"/>
        <w:highlight w:val="none"/>
        <w:lang w:eastAsia="zh-CN"/>
      </w:rPr>
      <w:t>苏安达房估（2022）第051201号</w:t>
    </w:r>
    <w:r>
      <w:rPr>
        <w:rFonts w:hint="eastAsia"/>
        <w:color w:val="auto"/>
        <w:highlight w:val="none"/>
        <w:lang w:val="en-US" w:eastAsia="zh-CN"/>
      </w:rPr>
      <w:t xml:space="preserve"> </w:t>
    </w:r>
  </w:p>
  <w:p>
    <w:pPr>
      <w:pStyle w:val="14"/>
      <w:jc w:val="both"/>
    </w:pPr>
    <w:r>
      <w:rPr>
        <w:rFonts w:hint="eastAsia"/>
        <w:lang w:val="en-US" w:eastAsia="zh-CN"/>
      </w:rPr>
      <w:t xml:space="preserve">     </w:t>
    </w:r>
    <w:r>
      <w:rPr>
        <w:rFonts w:hint="eastAsia"/>
        <w:sz w:val="15"/>
        <w:szCs w:val="15"/>
      </w:rPr>
      <w:t>Jiangsu Anda Land Real Estate Appraisal Surveying and Mapping Co.</w:t>
    </w:r>
    <w:r>
      <w:rPr>
        <w:rFonts w:hint="eastAsia"/>
        <w:sz w:val="15"/>
        <w:szCs w:val="15"/>
        <w:lang w:eastAsia="zh-CN"/>
      </w:rPr>
      <w:t>，</w:t>
    </w:r>
    <w:r>
      <w:rPr>
        <w:rFonts w:hint="eastAsia"/>
        <w:sz w:val="15"/>
        <w:szCs w:val="15"/>
      </w:rPr>
      <w:t>LTD</w:t>
    </w:r>
    <w:r>
      <w:rPr>
        <w:rFonts w:hint="eastAsia"/>
        <w:sz w:val="15"/>
        <w:szCs w:val="15"/>
        <w:lang w:val="en-US" w:eastAsia="zh-CN"/>
      </w:rPr>
      <w:t xml:space="preserve">        </w:t>
    </w:r>
    <w:r>
      <w:rPr>
        <w:rFonts w:hint="eastAsia"/>
        <w:highlight w:val="none"/>
        <w:lang w:val="en-US" w:eastAsia="zh-CN"/>
      </w:rPr>
      <w:t xml:space="preserve">      </w:t>
    </w:r>
    <w:r>
      <w:rPr>
        <w:rFonts w:hint="eastAsia"/>
        <w:lang w:val="en-US" w:eastAsia="zh-CN"/>
      </w:rPr>
      <w:t>联系</w:t>
    </w:r>
    <w:r>
      <w:rPr>
        <w:rFonts w:hint="eastAsia"/>
      </w:rPr>
      <w:t>电话：0515-88369119</w:t>
    </w:r>
  </w:p>
  <w:p>
    <w:pPr>
      <w:pStyle w:val="14"/>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rPr>
        <w:rFonts w:hint="eastAsia"/>
        <w:color w:val="auto"/>
        <w:highlight w:val="none"/>
      </w:rPr>
    </w:pPr>
    <w:r>
      <w:rPr>
        <w:rFonts w:hint="eastAsia"/>
        <w:lang w:eastAsia="zh-CN"/>
      </w:rPr>
      <w:drawing>
        <wp:anchor distT="0" distB="0" distL="114300" distR="114300" simplePos="0" relativeHeight="251661312" behindDoc="0" locked="0" layoutInCell="1" allowOverlap="1">
          <wp:simplePos x="0" y="0"/>
          <wp:positionH relativeFrom="column">
            <wp:posOffset>-9525</wp:posOffset>
          </wp:positionH>
          <wp:positionV relativeFrom="paragraph">
            <wp:posOffset>0</wp:posOffset>
          </wp:positionV>
          <wp:extent cx="287655" cy="304800"/>
          <wp:effectExtent l="0" t="0" r="17145" b="0"/>
          <wp:wrapSquare wrapText="bothSides"/>
          <wp:docPr id="8" name="图片 32" descr="QQ图片2017071008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2" descr="QQ图片20170710085508"/>
                  <pic:cNvPicPr>
                    <a:picLocks noChangeAspect="1"/>
                  </pic:cNvPicPr>
                </pic:nvPicPr>
                <pic:blipFill>
                  <a:blip r:embed="rId1"/>
                  <a:stretch>
                    <a:fillRect/>
                  </a:stretch>
                </pic:blipFill>
                <pic:spPr>
                  <a:xfrm>
                    <a:off x="0" y="0"/>
                    <a:ext cx="287655" cy="304800"/>
                  </a:xfrm>
                  <a:prstGeom prst="rect">
                    <a:avLst/>
                  </a:prstGeom>
                  <a:noFill/>
                  <a:ln>
                    <a:noFill/>
                  </a:ln>
                </pic:spPr>
              </pic:pic>
            </a:graphicData>
          </a:graphic>
        </wp:anchor>
      </w:drawing>
    </w:r>
    <w:r>
      <w:rPr>
        <w:rFonts w:hint="eastAsia"/>
        <w:lang w:val="en-US" w:eastAsia="zh-CN"/>
      </w:rPr>
      <w:t xml:space="preserve">     </w:t>
    </w:r>
    <w:r>
      <w:rPr>
        <w:rFonts w:hint="eastAsia"/>
        <w:w w:val="150"/>
        <w:lang w:eastAsia="zh-CN"/>
      </w:rPr>
      <w:t>江苏安</w:t>
    </w:r>
    <w:r>
      <w:rPr>
        <w:rFonts w:hint="eastAsia"/>
        <w:w w:val="150"/>
      </w:rPr>
      <w:t>达土地房地产评估测绘有限公司</w:t>
    </w:r>
    <w:r>
      <w:rPr>
        <w:rFonts w:hint="eastAsia"/>
        <w:highlight w:val="none"/>
        <w:lang w:val="en-US" w:eastAsia="zh-CN"/>
      </w:rPr>
      <w:t xml:space="preserve">              </w:t>
    </w:r>
    <w:r>
      <w:rPr>
        <w:rFonts w:hint="eastAsia"/>
        <w:color w:val="auto"/>
        <w:highlight w:val="none"/>
        <w:lang w:eastAsia="zh-CN"/>
      </w:rPr>
      <w:t>苏安达房估（2022）第051201号</w:t>
    </w:r>
    <w:r>
      <w:rPr>
        <w:rFonts w:hint="eastAsia"/>
        <w:color w:val="auto"/>
        <w:highlight w:val="none"/>
        <w:lang w:val="en-US" w:eastAsia="zh-CN"/>
      </w:rPr>
      <w:t xml:space="preserve"> </w:t>
    </w:r>
  </w:p>
  <w:p>
    <w:pPr>
      <w:pStyle w:val="14"/>
      <w:jc w:val="both"/>
    </w:pPr>
    <w:r>
      <w:rPr>
        <w:rFonts w:hint="eastAsia"/>
        <w:lang w:val="en-US" w:eastAsia="zh-CN"/>
      </w:rPr>
      <w:t xml:space="preserve">     </w:t>
    </w:r>
    <w:r>
      <w:rPr>
        <w:rFonts w:hint="eastAsia"/>
        <w:sz w:val="15"/>
        <w:szCs w:val="15"/>
      </w:rPr>
      <w:t>Jiangsu Anda Land Real Estate Appraisal Surveying and Mapping Co.</w:t>
    </w:r>
    <w:r>
      <w:rPr>
        <w:rFonts w:hint="eastAsia"/>
        <w:sz w:val="15"/>
        <w:szCs w:val="15"/>
        <w:lang w:eastAsia="zh-CN"/>
      </w:rPr>
      <w:t>，</w:t>
    </w:r>
    <w:r>
      <w:rPr>
        <w:rFonts w:hint="eastAsia"/>
        <w:sz w:val="15"/>
        <w:szCs w:val="15"/>
      </w:rPr>
      <w:t>LTD</w:t>
    </w:r>
    <w:r>
      <w:rPr>
        <w:rFonts w:hint="eastAsia"/>
        <w:sz w:val="15"/>
        <w:szCs w:val="15"/>
        <w:lang w:val="en-US" w:eastAsia="zh-CN"/>
      </w:rPr>
      <w:t xml:space="preserve">        </w:t>
    </w:r>
    <w:r>
      <w:rPr>
        <w:rFonts w:hint="eastAsia"/>
        <w:highlight w:val="none"/>
        <w:lang w:val="en-US" w:eastAsia="zh-CN"/>
      </w:rPr>
      <w:t xml:space="preserve">       </w:t>
    </w:r>
    <w:r>
      <w:rPr>
        <w:rFonts w:hint="eastAsia"/>
        <w:lang w:val="en-US" w:eastAsia="zh-CN"/>
      </w:rPr>
      <w:t>联系</w:t>
    </w:r>
    <w:r>
      <w:rPr>
        <w:rFonts w:hint="eastAsia"/>
      </w:rPr>
      <w:t>电话：0515-88369119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rPr>
        <w:rFonts w:hint="eastAsia"/>
        <w:color w:val="auto"/>
        <w:highlight w:val="none"/>
      </w:rPr>
    </w:pPr>
    <w:r>
      <w:rPr>
        <w:rFonts w:hint="eastAsia"/>
        <w:lang w:eastAsia="zh-CN"/>
      </w:rPr>
      <w:drawing>
        <wp:anchor distT="0" distB="0" distL="114300" distR="114300" simplePos="0" relativeHeight="251666432" behindDoc="0" locked="0" layoutInCell="1" allowOverlap="1">
          <wp:simplePos x="0" y="0"/>
          <wp:positionH relativeFrom="column">
            <wp:posOffset>-9525</wp:posOffset>
          </wp:positionH>
          <wp:positionV relativeFrom="paragraph">
            <wp:posOffset>0</wp:posOffset>
          </wp:positionV>
          <wp:extent cx="287655" cy="304800"/>
          <wp:effectExtent l="0" t="0" r="0" b="0"/>
          <wp:wrapSquare wrapText="bothSides"/>
          <wp:docPr id="13" name="图片 37" descr="QQ图片2017071008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7" descr="QQ图片20170710085508"/>
                  <pic:cNvPicPr>
                    <a:picLocks noChangeAspect="1"/>
                  </pic:cNvPicPr>
                </pic:nvPicPr>
                <pic:blipFill>
                  <a:blip r:embed="rId1"/>
                  <a:stretch>
                    <a:fillRect/>
                  </a:stretch>
                </pic:blipFill>
                <pic:spPr>
                  <a:xfrm>
                    <a:off x="0" y="0"/>
                    <a:ext cx="287655" cy="304800"/>
                  </a:xfrm>
                  <a:prstGeom prst="rect">
                    <a:avLst/>
                  </a:prstGeom>
                  <a:noFill/>
                  <a:ln>
                    <a:noFill/>
                  </a:ln>
                </pic:spPr>
              </pic:pic>
            </a:graphicData>
          </a:graphic>
        </wp:anchor>
      </w:drawing>
    </w:r>
    <w:r>
      <w:rPr>
        <w:rFonts w:hint="eastAsia"/>
        <w:lang w:val="en-US" w:eastAsia="zh-CN"/>
      </w:rPr>
      <w:t xml:space="preserve">     </w:t>
    </w:r>
    <w:r>
      <w:rPr>
        <w:rFonts w:hint="eastAsia"/>
        <w:w w:val="150"/>
        <w:lang w:eastAsia="zh-CN"/>
      </w:rPr>
      <w:t>江苏安</w:t>
    </w:r>
    <w:r>
      <w:rPr>
        <w:rFonts w:hint="eastAsia"/>
        <w:w w:val="150"/>
      </w:rPr>
      <w:t>达土地房地产评估测绘有限公司</w:t>
    </w:r>
    <w:r>
      <w:rPr>
        <w:rFonts w:hint="eastAsia"/>
        <w:highlight w:val="none"/>
        <w:lang w:val="en-US" w:eastAsia="zh-CN"/>
      </w:rPr>
      <w:t xml:space="preserve">             </w:t>
    </w:r>
    <w:r>
      <w:rPr>
        <w:rFonts w:hint="eastAsia"/>
        <w:color w:val="auto"/>
        <w:highlight w:val="none"/>
        <w:lang w:eastAsia="zh-CN"/>
      </w:rPr>
      <w:t>苏安达房估（2022）第051201号</w:t>
    </w:r>
    <w:r>
      <w:rPr>
        <w:rFonts w:hint="eastAsia"/>
        <w:color w:val="auto"/>
        <w:highlight w:val="none"/>
        <w:lang w:val="en-US" w:eastAsia="zh-CN"/>
      </w:rPr>
      <w:t xml:space="preserve"> </w:t>
    </w:r>
  </w:p>
  <w:p>
    <w:pPr>
      <w:pStyle w:val="14"/>
      <w:jc w:val="both"/>
    </w:pPr>
    <w:r>
      <w:rPr>
        <w:rFonts w:hint="eastAsia"/>
        <w:lang w:val="en-US" w:eastAsia="zh-CN"/>
      </w:rPr>
      <w:t xml:space="preserve">     </w:t>
    </w:r>
    <w:r>
      <w:rPr>
        <w:rFonts w:hint="eastAsia"/>
        <w:sz w:val="15"/>
        <w:szCs w:val="15"/>
      </w:rPr>
      <w:t>Jiangsu Anda Land Real Estate Appraisal Surveying and Mapping Co.</w:t>
    </w:r>
    <w:r>
      <w:rPr>
        <w:rFonts w:hint="eastAsia"/>
        <w:sz w:val="15"/>
        <w:szCs w:val="15"/>
        <w:lang w:eastAsia="zh-CN"/>
      </w:rPr>
      <w:t>，</w:t>
    </w:r>
    <w:r>
      <w:rPr>
        <w:rFonts w:hint="eastAsia"/>
        <w:sz w:val="15"/>
        <w:szCs w:val="15"/>
      </w:rPr>
      <w:t>LTD</w:t>
    </w:r>
    <w:r>
      <w:rPr>
        <w:rFonts w:hint="eastAsia"/>
        <w:sz w:val="15"/>
        <w:szCs w:val="15"/>
        <w:lang w:val="en-US" w:eastAsia="zh-CN"/>
      </w:rPr>
      <w:t xml:space="preserve">        </w:t>
    </w:r>
    <w:r>
      <w:rPr>
        <w:rFonts w:hint="eastAsia"/>
        <w:highlight w:val="none"/>
        <w:lang w:val="en-US" w:eastAsia="zh-CN"/>
      </w:rPr>
      <w:t xml:space="preserve">      </w:t>
    </w:r>
    <w:r>
      <w:rPr>
        <w:rFonts w:hint="eastAsia"/>
        <w:lang w:val="en-US" w:eastAsia="zh-CN"/>
      </w:rPr>
      <w:t>联系</w:t>
    </w:r>
    <w:r>
      <w:rPr>
        <w:rFonts w:hint="eastAsia"/>
      </w:rPr>
      <w:t>电话：0515-88369119</w:t>
    </w:r>
  </w:p>
  <w:p>
    <w:pPr>
      <w:pStyle w:val="14"/>
      <w:pBdr>
        <w:bottom w:val="none" w:color="auto" w:sz="0" w:space="1"/>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rPr>
        <w:rFonts w:hint="eastAsia"/>
        <w:color w:val="auto"/>
        <w:highlight w:val="none"/>
      </w:rPr>
    </w:pPr>
    <w:r>
      <w:rPr>
        <w:rFonts w:hint="eastAsia"/>
        <w:lang w:eastAsia="zh-CN"/>
      </w:rPr>
      <w:drawing>
        <wp:anchor distT="0" distB="0" distL="114300" distR="114300" simplePos="0" relativeHeight="251665408" behindDoc="0" locked="0" layoutInCell="1" allowOverlap="1">
          <wp:simplePos x="0" y="0"/>
          <wp:positionH relativeFrom="column">
            <wp:posOffset>-9525</wp:posOffset>
          </wp:positionH>
          <wp:positionV relativeFrom="paragraph">
            <wp:posOffset>0</wp:posOffset>
          </wp:positionV>
          <wp:extent cx="287655" cy="304800"/>
          <wp:effectExtent l="0" t="0" r="0" b="0"/>
          <wp:wrapSquare wrapText="bothSides"/>
          <wp:docPr id="12" name="图片 36" descr="QQ图片2017071008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6" descr="QQ图片20170710085508"/>
                  <pic:cNvPicPr>
                    <a:picLocks noChangeAspect="1"/>
                  </pic:cNvPicPr>
                </pic:nvPicPr>
                <pic:blipFill>
                  <a:blip r:embed="rId1"/>
                  <a:stretch>
                    <a:fillRect/>
                  </a:stretch>
                </pic:blipFill>
                <pic:spPr>
                  <a:xfrm>
                    <a:off x="0" y="0"/>
                    <a:ext cx="287655" cy="304800"/>
                  </a:xfrm>
                  <a:prstGeom prst="rect">
                    <a:avLst/>
                  </a:prstGeom>
                  <a:noFill/>
                  <a:ln>
                    <a:noFill/>
                  </a:ln>
                </pic:spPr>
              </pic:pic>
            </a:graphicData>
          </a:graphic>
        </wp:anchor>
      </w:drawing>
    </w:r>
    <w:r>
      <w:rPr>
        <w:rFonts w:hint="eastAsia"/>
        <w:lang w:val="en-US" w:eastAsia="zh-CN"/>
      </w:rPr>
      <w:t xml:space="preserve">     </w:t>
    </w:r>
    <w:r>
      <w:rPr>
        <w:rFonts w:hint="eastAsia"/>
        <w:w w:val="150"/>
        <w:lang w:eastAsia="zh-CN"/>
      </w:rPr>
      <w:t>江苏安</w:t>
    </w:r>
    <w:r>
      <w:rPr>
        <w:rFonts w:hint="eastAsia"/>
        <w:w w:val="150"/>
      </w:rPr>
      <w:t>达土地房地产评估测绘有限公司</w:t>
    </w:r>
    <w:r>
      <w:rPr>
        <w:rFonts w:hint="eastAsia"/>
        <w:highlight w:val="none"/>
        <w:lang w:val="en-US" w:eastAsia="zh-CN"/>
      </w:rPr>
      <w:t xml:space="preserve">             </w:t>
    </w:r>
    <w:r>
      <w:rPr>
        <w:rFonts w:hint="eastAsia"/>
        <w:color w:val="auto"/>
        <w:highlight w:val="none"/>
        <w:lang w:eastAsia="zh-CN"/>
      </w:rPr>
      <w:t>苏安达房估（2022）第051201号</w:t>
    </w:r>
    <w:r>
      <w:rPr>
        <w:rFonts w:hint="eastAsia"/>
        <w:color w:val="auto"/>
        <w:highlight w:val="none"/>
        <w:lang w:val="en-US" w:eastAsia="zh-CN"/>
      </w:rPr>
      <w:t xml:space="preserve"> </w:t>
    </w:r>
  </w:p>
  <w:p>
    <w:pPr>
      <w:pStyle w:val="14"/>
      <w:jc w:val="both"/>
    </w:pPr>
    <w:r>
      <w:rPr>
        <w:rFonts w:hint="eastAsia"/>
        <w:lang w:val="en-US" w:eastAsia="zh-CN"/>
      </w:rPr>
      <w:t xml:space="preserve">     </w:t>
    </w:r>
    <w:r>
      <w:rPr>
        <w:rFonts w:hint="eastAsia"/>
        <w:sz w:val="15"/>
        <w:szCs w:val="15"/>
      </w:rPr>
      <w:t>Jiangsu Anda Land Real Estate Appraisal Surveying and Mapping Co.</w:t>
    </w:r>
    <w:r>
      <w:rPr>
        <w:rFonts w:hint="eastAsia"/>
        <w:sz w:val="15"/>
        <w:szCs w:val="15"/>
        <w:lang w:eastAsia="zh-CN"/>
      </w:rPr>
      <w:t>，</w:t>
    </w:r>
    <w:r>
      <w:rPr>
        <w:rFonts w:hint="eastAsia"/>
        <w:sz w:val="15"/>
        <w:szCs w:val="15"/>
      </w:rPr>
      <w:t>LTD</w:t>
    </w:r>
    <w:r>
      <w:rPr>
        <w:rFonts w:hint="eastAsia"/>
        <w:sz w:val="15"/>
        <w:szCs w:val="15"/>
        <w:lang w:val="en-US" w:eastAsia="zh-CN"/>
      </w:rPr>
      <w:t xml:space="preserve">        </w:t>
    </w:r>
    <w:r>
      <w:rPr>
        <w:rFonts w:hint="eastAsia"/>
        <w:highlight w:val="none"/>
        <w:lang w:val="en-US" w:eastAsia="zh-CN"/>
      </w:rPr>
      <w:t xml:space="preserve">      </w:t>
    </w:r>
    <w:r>
      <w:rPr>
        <w:rFonts w:hint="eastAsia"/>
        <w:lang w:val="en-US" w:eastAsia="zh-CN"/>
      </w:rPr>
      <w:t>联系</w:t>
    </w:r>
    <w:r>
      <w:rPr>
        <w:rFonts w:hint="eastAsia"/>
      </w:rPr>
      <w:t>电话：0515-88369119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53DCA0"/>
    <w:multiLevelType w:val="singleLevel"/>
    <w:tmpl w:val="A953DCA0"/>
    <w:lvl w:ilvl="0" w:tentative="0">
      <w:start w:val="1"/>
      <w:numFmt w:val="decimal"/>
      <w:suff w:val="nothing"/>
      <w:lvlText w:val="（%1）"/>
      <w:lvlJc w:val="left"/>
    </w:lvl>
  </w:abstractNum>
  <w:abstractNum w:abstractNumId="1">
    <w:nsid w:val="A9EF7013"/>
    <w:multiLevelType w:val="singleLevel"/>
    <w:tmpl w:val="A9EF7013"/>
    <w:lvl w:ilvl="0" w:tentative="0">
      <w:start w:val="1"/>
      <w:numFmt w:val="decimal"/>
      <w:suff w:val="nothing"/>
      <w:lvlText w:val="（%1）"/>
      <w:lvlJc w:val="left"/>
    </w:lvl>
  </w:abstractNum>
  <w:abstractNum w:abstractNumId="2">
    <w:nsid w:val="C15498A4"/>
    <w:multiLevelType w:val="singleLevel"/>
    <w:tmpl w:val="C15498A4"/>
    <w:lvl w:ilvl="0" w:tentative="0">
      <w:start w:val="1"/>
      <w:numFmt w:val="decimal"/>
      <w:suff w:val="space"/>
      <w:lvlText w:val="%1)"/>
      <w:lvlJc w:val="left"/>
      <w:pPr>
        <w:tabs>
          <w:tab w:val="left" w:pos="0"/>
        </w:tabs>
        <w:ind w:left="0" w:firstLine="0"/>
      </w:pPr>
      <w:rPr>
        <w:rFonts w:hint="default"/>
      </w:rPr>
    </w:lvl>
  </w:abstractNum>
  <w:abstractNum w:abstractNumId="3">
    <w:nsid w:val="E3350A4D"/>
    <w:multiLevelType w:val="singleLevel"/>
    <w:tmpl w:val="E3350A4D"/>
    <w:lvl w:ilvl="0" w:tentative="0">
      <w:start w:val="1"/>
      <w:numFmt w:val="chineseCounting"/>
      <w:suff w:val="nothing"/>
      <w:lvlText w:val="（%1）"/>
      <w:lvlJc w:val="left"/>
      <w:pPr>
        <w:ind w:left="0" w:firstLine="420"/>
      </w:pPr>
      <w:rPr>
        <w:rFonts w:hint="eastAsia"/>
      </w:rPr>
    </w:lvl>
  </w:abstractNum>
  <w:abstractNum w:abstractNumId="4">
    <w:nsid w:val="14A8CCB6"/>
    <w:multiLevelType w:val="singleLevel"/>
    <w:tmpl w:val="14A8CCB6"/>
    <w:lvl w:ilvl="0" w:tentative="0">
      <w:start w:val="1"/>
      <w:numFmt w:val="decimal"/>
      <w:suff w:val="space"/>
      <w:lvlText w:val="%1)"/>
      <w:lvlJc w:val="left"/>
      <w:pPr>
        <w:tabs>
          <w:tab w:val="left" w:pos="0"/>
        </w:tabs>
        <w:ind w:left="0" w:firstLine="0"/>
      </w:pPr>
      <w:rPr>
        <w:rFonts w:hint="default"/>
      </w:rPr>
    </w:lvl>
  </w:abstractNum>
  <w:abstractNum w:abstractNumId="5">
    <w:nsid w:val="1D4D01A0"/>
    <w:multiLevelType w:val="singleLevel"/>
    <w:tmpl w:val="1D4D01A0"/>
    <w:lvl w:ilvl="0" w:tentative="0">
      <w:start w:val="1"/>
      <w:numFmt w:val="chineseCounting"/>
      <w:suff w:val="nothing"/>
      <w:lvlText w:val="（%1）"/>
      <w:lvlJc w:val="left"/>
      <w:pPr>
        <w:ind w:left="0" w:firstLine="420"/>
      </w:pPr>
      <w:rPr>
        <w:rFonts w:hint="eastAsia"/>
      </w:rPr>
    </w:lvl>
  </w:abstractNum>
  <w:abstractNum w:abstractNumId="6">
    <w:nsid w:val="2B0D6153"/>
    <w:multiLevelType w:val="singleLevel"/>
    <w:tmpl w:val="2B0D6153"/>
    <w:lvl w:ilvl="0" w:tentative="0">
      <w:start w:val="2"/>
      <w:numFmt w:val="decimal"/>
      <w:suff w:val="nothing"/>
      <w:lvlText w:val="%1、"/>
      <w:lvlJc w:val="left"/>
    </w:lvl>
  </w:abstractNum>
  <w:abstractNum w:abstractNumId="7">
    <w:nsid w:val="59B89D59"/>
    <w:multiLevelType w:val="singleLevel"/>
    <w:tmpl w:val="59B89D59"/>
    <w:lvl w:ilvl="0" w:tentative="0">
      <w:start w:val="1"/>
      <w:numFmt w:val="decimal"/>
      <w:suff w:val="nothing"/>
      <w:lvlText w:val="%1、"/>
      <w:lvlJc w:val="left"/>
    </w:lvl>
  </w:abstractNum>
  <w:abstractNum w:abstractNumId="8">
    <w:nsid w:val="711AEF71"/>
    <w:multiLevelType w:val="singleLevel"/>
    <w:tmpl w:val="711AEF71"/>
    <w:lvl w:ilvl="0" w:tentative="0">
      <w:start w:val="1"/>
      <w:numFmt w:val="decimal"/>
      <w:suff w:val="space"/>
      <w:lvlText w:val="%1)"/>
      <w:lvlJc w:val="left"/>
      <w:pPr>
        <w:tabs>
          <w:tab w:val="left" w:pos="0"/>
        </w:tabs>
        <w:ind w:left="0" w:firstLine="0"/>
      </w:pPr>
      <w:rPr>
        <w:rFonts w:hint="default"/>
      </w:rPr>
    </w:lvl>
  </w:abstractNum>
  <w:abstractNum w:abstractNumId="9">
    <w:nsid w:val="7670D6FC"/>
    <w:multiLevelType w:val="singleLevel"/>
    <w:tmpl w:val="7670D6FC"/>
    <w:lvl w:ilvl="0" w:tentative="0">
      <w:start w:val="1"/>
      <w:numFmt w:val="decimal"/>
      <w:suff w:val="space"/>
      <w:lvlText w:val="%1)"/>
      <w:lvlJc w:val="left"/>
      <w:pPr>
        <w:tabs>
          <w:tab w:val="left" w:pos="0"/>
        </w:tabs>
        <w:ind w:left="0" w:firstLine="0"/>
      </w:pPr>
      <w:rPr>
        <w:rFonts w:hint="default"/>
      </w:rPr>
    </w:lvl>
  </w:abstractNum>
  <w:abstractNum w:abstractNumId="10">
    <w:nsid w:val="7CFF593C"/>
    <w:multiLevelType w:val="singleLevel"/>
    <w:tmpl w:val="7CFF593C"/>
    <w:lvl w:ilvl="0" w:tentative="0">
      <w:start w:val="1"/>
      <w:numFmt w:val="decimal"/>
      <w:suff w:val="space"/>
      <w:lvlText w:val="%1)"/>
      <w:lvlJc w:val="left"/>
      <w:pPr>
        <w:tabs>
          <w:tab w:val="left" w:pos="0"/>
        </w:tabs>
        <w:ind w:left="0" w:firstLine="0"/>
      </w:pPr>
      <w:rPr>
        <w:rFonts w:hint="default"/>
      </w:rPr>
    </w:lvl>
  </w:abstractNum>
  <w:num w:numId="1">
    <w:abstractNumId w:val="7"/>
  </w:num>
  <w:num w:numId="2">
    <w:abstractNumId w:val="3"/>
  </w:num>
  <w:num w:numId="3">
    <w:abstractNumId w:val="0"/>
  </w:num>
  <w:num w:numId="4">
    <w:abstractNumId w:val="1"/>
  </w:num>
  <w:num w:numId="5">
    <w:abstractNumId w:val="8"/>
  </w:num>
  <w:num w:numId="6">
    <w:abstractNumId w:val="9"/>
  </w:num>
  <w:num w:numId="7">
    <w:abstractNumId w:val="4"/>
  </w:num>
  <w:num w:numId="8">
    <w:abstractNumId w:val="2"/>
  </w:num>
  <w:num w:numId="9">
    <w:abstractNumId w:val="10"/>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0" w:hash="pNTmxDOJBm2iXj91yEX6d0X3tE8=" w:salt="MaJZUt3hsLesWFi800zJjg=="/>
  <w:defaultTabStop w:val="420"/>
  <w:hyphenationZone w:val="360"/>
  <w:drawingGridHorizontalSpacing w:val="0"/>
  <w:drawingGridVerticalSpacing w:val="221"/>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endnotePr>
    <w:numFmt w:val="decimal"/>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UwNzE3YTE3NjM0Mzc2MGExNmQ2NGFkNzgyZGM3NGQifQ=="/>
  </w:docVars>
  <w:rsids>
    <w:rsidRoot w:val="00172A27"/>
    <w:rsid w:val="00004180"/>
    <w:rsid w:val="00017AB6"/>
    <w:rsid w:val="0004761F"/>
    <w:rsid w:val="000643FE"/>
    <w:rsid w:val="00065EDD"/>
    <w:rsid w:val="00066FA3"/>
    <w:rsid w:val="00071F60"/>
    <w:rsid w:val="0009790D"/>
    <w:rsid w:val="000F110F"/>
    <w:rsid w:val="0010580D"/>
    <w:rsid w:val="00106089"/>
    <w:rsid w:val="001101BF"/>
    <w:rsid w:val="00137F35"/>
    <w:rsid w:val="00172634"/>
    <w:rsid w:val="001B06EE"/>
    <w:rsid w:val="001E409A"/>
    <w:rsid w:val="002053C6"/>
    <w:rsid w:val="00206790"/>
    <w:rsid w:val="00206898"/>
    <w:rsid w:val="002321D3"/>
    <w:rsid w:val="00234BC7"/>
    <w:rsid w:val="002609AD"/>
    <w:rsid w:val="00271A8B"/>
    <w:rsid w:val="002A17E1"/>
    <w:rsid w:val="002B6D33"/>
    <w:rsid w:val="002C162F"/>
    <w:rsid w:val="002C797C"/>
    <w:rsid w:val="002D1822"/>
    <w:rsid w:val="002D3F04"/>
    <w:rsid w:val="002D6E2A"/>
    <w:rsid w:val="002F122D"/>
    <w:rsid w:val="002F1A83"/>
    <w:rsid w:val="002F2F4F"/>
    <w:rsid w:val="002F7B58"/>
    <w:rsid w:val="003119C2"/>
    <w:rsid w:val="00325577"/>
    <w:rsid w:val="00331B22"/>
    <w:rsid w:val="00331ECB"/>
    <w:rsid w:val="00340EDB"/>
    <w:rsid w:val="00350817"/>
    <w:rsid w:val="00357227"/>
    <w:rsid w:val="00370E83"/>
    <w:rsid w:val="00382355"/>
    <w:rsid w:val="003955CB"/>
    <w:rsid w:val="003C4E58"/>
    <w:rsid w:val="003D2FFE"/>
    <w:rsid w:val="003E03FB"/>
    <w:rsid w:val="003F18C0"/>
    <w:rsid w:val="003F65B0"/>
    <w:rsid w:val="00413E6D"/>
    <w:rsid w:val="00420462"/>
    <w:rsid w:val="004305AF"/>
    <w:rsid w:val="0044679A"/>
    <w:rsid w:val="004607BD"/>
    <w:rsid w:val="004918C2"/>
    <w:rsid w:val="00493A98"/>
    <w:rsid w:val="004A5033"/>
    <w:rsid w:val="004A5859"/>
    <w:rsid w:val="004A6A46"/>
    <w:rsid w:val="004B6C52"/>
    <w:rsid w:val="004D338B"/>
    <w:rsid w:val="00506BD3"/>
    <w:rsid w:val="00512F79"/>
    <w:rsid w:val="00525745"/>
    <w:rsid w:val="00542C32"/>
    <w:rsid w:val="00554BF9"/>
    <w:rsid w:val="00567366"/>
    <w:rsid w:val="005800E7"/>
    <w:rsid w:val="00596BB1"/>
    <w:rsid w:val="005A12B8"/>
    <w:rsid w:val="005C3250"/>
    <w:rsid w:val="005D706F"/>
    <w:rsid w:val="005E16A3"/>
    <w:rsid w:val="005F477F"/>
    <w:rsid w:val="0060256A"/>
    <w:rsid w:val="006062BB"/>
    <w:rsid w:val="0061497E"/>
    <w:rsid w:val="00622FE3"/>
    <w:rsid w:val="006237CE"/>
    <w:rsid w:val="00641C4F"/>
    <w:rsid w:val="00661C28"/>
    <w:rsid w:val="006771C3"/>
    <w:rsid w:val="0068450B"/>
    <w:rsid w:val="006A434D"/>
    <w:rsid w:val="006D6056"/>
    <w:rsid w:val="006E03D6"/>
    <w:rsid w:val="00707E6C"/>
    <w:rsid w:val="00771216"/>
    <w:rsid w:val="00772EEC"/>
    <w:rsid w:val="007B4F0A"/>
    <w:rsid w:val="007B52C8"/>
    <w:rsid w:val="007F2074"/>
    <w:rsid w:val="007F254B"/>
    <w:rsid w:val="007F4E73"/>
    <w:rsid w:val="00815970"/>
    <w:rsid w:val="008231FD"/>
    <w:rsid w:val="00826AB6"/>
    <w:rsid w:val="008A22FB"/>
    <w:rsid w:val="008A7608"/>
    <w:rsid w:val="008B6305"/>
    <w:rsid w:val="008B6A78"/>
    <w:rsid w:val="008B6AA5"/>
    <w:rsid w:val="008B790F"/>
    <w:rsid w:val="008C00A2"/>
    <w:rsid w:val="008D7058"/>
    <w:rsid w:val="008F7E5A"/>
    <w:rsid w:val="00906C56"/>
    <w:rsid w:val="00934FDB"/>
    <w:rsid w:val="00956DEC"/>
    <w:rsid w:val="0096332E"/>
    <w:rsid w:val="00976D8E"/>
    <w:rsid w:val="0099577C"/>
    <w:rsid w:val="009C467E"/>
    <w:rsid w:val="009D657E"/>
    <w:rsid w:val="00A04A70"/>
    <w:rsid w:val="00A41FF0"/>
    <w:rsid w:val="00A42BFD"/>
    <w:rsid w:val="00A57239"/>
    <w:rsid w:val="00AD0A92"/>
    <w:rsid w:val="00AD134E"/>
    <w:rsid w:val="00AE0166"/>
    <w:rsid w:val="00B113D3"/>
    <w:rsid w:val="00B57B36"/>
    <w:rsid w:val="00B75ADA"/>
    <w:rsid w:val="00B9461C"/>
    <w:rsid w:val="00BC2DF7"/>
    <w:rsid w:val="00BE0296"/>
    <w:rsid w:val="00BE65DA"/>
    <w:rsid w:val="00C2385F"/>
    <w:rsid w:val="00C42E9B"/>
    <w:rsid w:val="00C53913"/>
    <w:rsid w:val="00C605DD"/>
    <w:rsid w:val="00C6094C"/>
    <w:rsid w:val="00C729FC"/>
    <w:rsid w:val="00C7411C"/>
    <w:rsid w:val="00CB5ECA"/>
    <w:rsid w:val="00CB60DC"/>
    <w:rsid w:val="00CD37B0"/>
    <w:rsid w:val="00CE133E"/>
    <w:rsid w:val="00D51727"/>
    <w:rsid w:val="00D85C89"/>
    <w:rsid w:val="00D8738F"/>
    <w:rsid w:val="00D93BDD"/>
    <w:rsid w:val="00D95657"/>
    <w:rsid w:val="00DB3EAC"/>
    <w:rsid w:val="00DD045B"/>
    <w:rsid w:val="00DE08CE"/>
    <w:rsid w:val="00DE1506"/>
    <w:rsid w:val="00DE77EB"/>
    <w:rsid w:val="00E2377B"/>
    <w:rsid w:val="00E25680"/>
    <w:rsid w:val="00E36174"/>
    <w:rsid w:val="00E3672A"/>
    <w:rsid w:val="00E45209"/>
    <w:rsid w:val="00E92164"/>
    <w:rsid w:val="00EA42DC"/>
    <w:rsid w:val="00EB72B6"/>
    <w:rsid w:val="00EC54E0"/>
    <w:rsid w:val="00EE615B"/>
    <w:rsid w:val="00F315C2"/>
    <w:rsid w:val="00F36EF2"/>
    <w:rsid w:val="00F431D3"/>
    <w:rsid w:val="00F67277"/>
    <w:rsid w:val="00F826E8"/>
    <w:rsid w:val="00F835A8"/>
    <w:rsid w:val="00FC2DF4"/>
    <w:rsid w:val="00FE068D"/>
    <w:rsid w:val="00FE6B8B"/>
    <w:rsid w:val="00FF3476"/>
    <w:rsid w:val="011D3C73"/>
    <w:rsid w:val="0158092E"/>
    <w:rsid w:val="01701D64"/>
    <w:rsid w:val="01864D6B"/>
    <w:rsid w:val="018D43CC"/>
    <w:rsid w:val="01AC5933"/>
    <w:rsid w:val="01DF7486"/>
    <w:rsid w:val="01E550DC"/>
    <w:rsid w:val="01FC2BDE"/>
    <w:rsid w:val="02505C97"/>
    <w:rsid w:val="026B2B64"/>
    <w:rsid w:val="027E45F1"/>
    <w:rsid w:val="02994366"/>
    <w:rsid w:val="02A837E9"/>
    <w:rsid w:val="02AC3756"/>
    <w:rsid w:val="02B0778B"/>
    <w:rsid w:val="02B626F2"/>
    <w:rsid w:val="02B66D8A"/>
    <w:rsid w:val="02CA606A"/>
    <w:rsid w:val="02CF02FB"/>
    <w:rsid w:val="02D90475"/>
    <w:rsid w:val="02EE3A41"/>
    <w:rsid w:val="02EF0711"/>
    <w:rsid w:val="02FD1CF6"/>
    <w:rsid w:val="03202110"/>
    <w:rsid w:val="0326288E"/>
    <w:rsid w:val="034159EA"/>
    <w:rsid w:val="035F0068"/>
    <w:rsid w:val="03774225"/>
    <w:rsid w:val="038515FD"/>
    <w:rsid w:val="03A14EC6"/>
    <w:rsid w:val="03A42CDB"/>
    <w:rsid w:val="03A56D65"/>
    <w:rsid w:val="03CD7A96"/>
    <w:rsid w:val="03EC4D31"/>
    <w:rsid w:val="03F02403"/>
    <w:rsid w:val="04137BE6"/>
    <w:rsid w:val="0424531E"/>
    <w:rsid w:val="043158CB"/>
    <w:rsid w:val="043C57F1"/>
    <w:rsid w:val="044D4E57"/>
    <w:rsid w:val="04533C61"/>
    <w:rsid w:val="045F75D2"/>
    <w:rsid w:val="04DE0DDA"/>
    <w:rsid w:val="04FC4B63"/>
    <w:rsid w:val="05034C86"/>
    <w:rsid w:val="05087C26"/>
    <w:rsid w:val="056C5D2E"/>
    <w:rsid w:val="0589359F"/>
    <w:rsid w:val="059740DF"/>
    <w:rsid w:val="05A65D56"/>
    <w:rsid w:val="05A967E7"/>
    <w:rsid w:val="05CC6542"/>
    <w:rsid w:val="05D666A9"/>
    <w:rsid w:val="05EB58D9"/>
    <w:rsid w:val="06136EF0"/>
    <w:rsid w:val="06196CD8"/>
    <w:rsid w:val="06456C9E"/>
    <w:rsid w:val="065D1C04"/>
    <w:rsid w:val="066033A7"/>
    <w:rsid w:val="068C0A26"/>
    <w:rsid w:val="0690362B"/>
    <w:rsid w:val="06F05772"/>
    <w:rsid w:val="07034F31"/>
    <w:rsid w:val="07085C25"/>
    <w:rsid w:val="073F4904"/>
    <w:rsid w:val="07565B0D"/>
    <w:rsid w:val="075B47BB"/>
    <w:rsid w:val="077F1C1C"/>
    <w:rsid w:val="078A4B60"/>
    <w:rsid w:val="078B6875"/>
    <w:rsid w:val="079E6217"/>
    <w:rsid w:val="07CC097B"/>
    <w:rsid w:val="07D114D9"/>
    <w:rsid w:val="07D55DE2"/>
    <w:rsid w:val="07DB65F4"/>
    <w:rsid w:val="07DD2672"/>
    <w:rsid w:val="08087A5E"/>
    <w:rsid w:val="083255D9"/>
    <w:rsid w:val="083A2905"/>
    <w:rsid w:val="0861534F"/>
    <w:rsid w:val="08A1370E"/>
    <w:rsid w:val="08B05D81"/>
    <w:rsid w:val="08C36B8C"/>
    <w:rsid w:val="08D56224"/>
    <w:rsid w:val="09035370"/>
    <w:rsid w:val="090A47FB"/>
    <w:rsid w:val="091161C0"/>
    <w:rsid w:val="09261B0E"/>
    <w:rsid w:val="09263153"/>
    <w:rsid w:val="092E3602"/>
    <w:rsid w:val="094177F9"/>
    <w:rsid w:val="09590B4A"/>
    <w:rsid w:val="0972418C"/>
    <w:rsid w:val="098665C0"/>
    <w:rsid w:val="09B569DD"/>
    <w:rsid w:val="09B91EF7"/>
    <w:rsid w:val="09C34A23"/>
    <w:rsid w:val="09E973D4"/>
    <w:rsid w:val="09F5225C"/>
    <w:rsid w:val="0A09492C"/>
    <w:rsid w:val="0A0C0D91"/>
    <w:rsid w:val="0A1E592A"/>
    <w:rsid w:val="0A351CCC"/>
    <w:rsid w:val="0A401940"/>
    <w:rsid w:val="0A5055C4"/>
    <w:rsid w:val="0A5E31FA"/>
    <w:rsid w:val="0A6B5AFE"/>
    <w:rsid w:val="0A6C384E"/>
    <w:rsid w:val="0A865258"/>
    <w:rsid w:val="0A9E0818"/>
    <w:rsid w:val="0AA502C7"/>
    <w:rsid w:val="0AAF2550"/>
    <w:rsid w:val="0ABD0894"/>
    <w:rsid w:val="0ADE27B9"/>
    <w:rsid w:val="0AF7070B"/>
    <w:rsid w:val="0B0E4C65"/>
    <w:rsid w:val="0B4572CB"/>
    <w:rsid w:val="0B5079AA"/>
    <w:rsid w:val="0B6413DF"/>
    <w:rsid w:val="0B65613A"/>
    <w:rsid w:val="0B6606F8"/>
    <w:rsid w:val="0BA34DA5"/>
    <w:rsid w:val="0BB252D3"/>
    <w:rsid w:val="0BC76BDF"/>
    <w:rsid w:val="0BCA0643"/>
    <w:rsid w:val="0BD4775D"/>
    <w:rsid w:val="0BE10D6D"/>
    <w:rsid w:val="0BE77114"/>
    <w:rsid w:val="0BEC19CC"/>
    <w:rsid w:val="0BEC1CAA"/>
    <w:rsid w:val="0BF32F26"/>
    <w:rsid w:val="0C00605B"/>
    <w:rsid w:val="0C123AC4"/>
    <w:rsid w:val="0C175A4B"/>
    <w:rsid w:val="0C1E5249"/>
    <w:rsid w:val="0C2E0A06"/>
    <w:rsid w:val="0C3124C0"/>
    <w:rsid w:val="0C3557BB"/>
    <w:rsid w:val="0C4971EE"/>
    <w:rsid w:val="0C541CC6"/>
    <w:rsid w:val="0C5448A8"/>
    <w:rsid w:val="0CA75541"/>
    <w:rsid w:val="0CB6461C"/>
    <w:rsid w:val="0CDD16F1"/>
    <w:rsid w:val="0CE46C0E"/>
    <w:rsid w:val="0CF459C2"/>
    <w:rsid w:val="0CFA2306"/>
    <w:rsid w:val="0D1A72DB"/>
    <w:rsid w:val="0D1D72DA"/>
    <w:rsid w:val="0D376E04"/>
    <w:rsid w:val="0D683D9D"/>
    <w:rsid w:val="0D931473"/>
    <w:rsid w:val="0D946360"/>
    <w:rsid w:val="0D986E27"/>
    <w:rsid w:val="0DC70F5E"/>
    <w:rsid w:val="0DD3245F"/>
    <w:rsid w:val="0DDC3729"/>
    <w:rsid w:val="0DE1154E"/>
    <w:rsid w:val="0DE70DA1"/>
    <w:rsid w:val="0DE95DEB"/>
    <w:rsid w:val="0DF06AB7"/>
    <w:rsid w:val="0DFB6B7F"/>
    <w:rsid w:val="0E081445"/>
    <w:rsid w:val="0E106A2D"/>
    <w:rsid w:val="0E390995"/>
    <w:rsid w:val="0E3941C8"/>
    <w:rsid w:val="0E3F1BC9"/>
    <w:rsid w:val="0E4C3AC4"/>
    <w:rsid w:val="0E7271F3"/>
    <w:rsid w:val="0EA21C3B"/>
    <w:rsid w:val="0EA24253"/>
    <w:rsid w:val="0EB83618"/>
    <w:rsid w:val="0EBF12D7"/>
    <w:rsid w:val="0F113B73"/>
    <w:rsid w:val="0F267190"/>
    <w:rsid w:val="0F461AD9"/>
    <w:rsid w:val="0F5E48B8"/>
    <w:rsid w:val="0F6F7172"/>
    <w:rsid w:val="0FBB5AF7"/>
    <w:rsid w:val="0FBB7C87"/>
    <w:rsid w:val="0FC652B3"/>
    <w:rsid w:val="0FD15B0B"/>
    <w:rsid w:val="0FDD001F"/>
    <w:rsid w:val="0FE23885"/>
    <w:rsid w:val="0FED3B19"/>
    <w:rsid w:val="0FF50725"/>
    <w:rsid w:val="102B4D10"/>
    <w:rsid w:val="10326468"/>
    <w:rsid w:val="10492D85"/>
    <w:rsid w:val="1056246D"/>
    <w:rsid w:val="105B38DE"/>
    <w:rsid w:val="1075008B"/>
    <w:rsid w:val="107A2D23"/>
    <w:rsid w:val="107E4954"/>
    <w:rsid w:val="10C329C5"/>
    <w:rsid w:val="10D867EA"/>
    <w:rsid w:val="10F2465E"/>
    <w:rsid w:val="10F376D9"/>
    <w:rsid w:val="10F46B52"/>
    <w:rsid w:val="10F51E38"/>
    <w:rsid w:val="11325D9A"/>
    <w:rsid w:val="11385F6C"/>
    <w:rsid w:val="113A308B"/>
    <w:rsid w:val="1142063C"/>
    <w:rsid w:val="115F3EF6"/>
    <w:rsid w:val="116F7757"/>
    <w:rsid w:val="11760BFA"/>
    <w:rsid w:val="1199355C"/>
    <w:rsid w:val="119E16EC"/>
    <w:rsid w:val="11A540D6"/>
    <w:rsid w:val="11B07E93"/>
    <w:rsid w:val="11C0610D"/>
    <w:rsid w:val="11C07224"/>
    <w:rsid w:val="11D47E70"/>
    <w:rsid w:val="11D744AF"/>
    <w:rsid w:val="11E16F73"/>
    <w:rsid w:val="11E173FC"/>
    <w:rsid w:val="11F71C07"/>
    <w:rsid w:val="11FF43E5"/>
    <w:rsid w:val="120E541C"/>
    <w:rsid w:val="122D52DF"/>
    <w:rsid w:val="123A1018"/>
    <w:rsid w:val="12430B32"/>
    <w:rsid w:val="12507100"/>
    <w:rsid w:val="12576A24"/>
    <w:rsid w:val="12585DBE"/>
    <w:rsid w:val="126C3C17"/>
    <w:rsid w:val="1276157A"/>
    <w:rsid w:val="12970E9B"/>
    <w:rsid w:val="12987113"/>
    <w:rsid w:val="12B83E18"/>
    <w:rsid w:val="12E55BCC"/>
    <w:rsid w:val="12F84560"/>
    <w:rsid w:val="12FC6C0F"/>
    <w:rsid w:val="12FE781C"/>
    <w:rsid w:val="13211C07"/>
    <w:rsid w:val="133C20A0"/>
    <w:rsid w:val="136F2FF5"/>
    <w:rsid w:val="13A65BAB"/>
    <w:rsid w:val="13B40564"/>
    <w:rsid w:val="13CB0B8B"/>
    <w:rsid w:val="13DC7899"/>
    <w:rsid w:val="13E62BE9"/>
    <w:rsid w:val="13FB2BB0"/>
    <w:rsid w:val="141B3E7D"/>
    <w:rsid w:val="1424440D"/>
    <w:rsid w:val="142B01C2"/>
    <w:rsid w:val="14317DE8"/>
    <w:rsid w:val="14345043"/>
    <w:rsid w:val="144B1D8B"/>
    <w:rsid w:val="145978B4"/>
    <w:rsid w:val="14606FBC"/>
    <w:rsid w:val="1464215B"/>
    <w:rsid w:val="1467656C"/>
    <w:rsid w:val="1468776B"/>
    <w:rsid w:val="1474173C"/>
    <w:rsid w:val="14745EC9"/>
    <w:rsid w:val="147C0BC7"/>
    <w:rsid w:val="149A6B2F"/>
    <w:rsid w:val="14AE2570"/>
    <w:rsid w:val="14C7701A"/>
    <w:rsid w:val="14DE5723"/>
    <w:rsid w:val="151A4A2D"/>
    <w:rsid w:val="151C474E"/>
    <w:rsid w:val="15205729"/>
    <w:rsid w:val="1528649C"/>
    <w:rsid w:val="15442C89"/>
    <w:rsid w:val="154610DB"/>
    <w:rsid w:val="154A5FC1"/>
    <w:rsid w:val="155B5497"/>
    <w:rsid w:val="15733C78"/>
    <w:rsid w:val="15767B64"/>
    <w:rsid w:val="15984E40"/>
    <w:rsid w:val="15E62477"/>
    <w:rsid w:val="15E9057E"/>
    <w:rsid w:val="15EE7485"/>
    <w:rsid w:val="15F17778"/>
    <w:rsid w:val="15F47B5D"/>
    <w:rsid w:val="16014891"/>
    <w:rsid w:val="16231C6B"/>
    <w:rsid w:val="165830A9"/>
    <w:rsid w:val="165A3109"/>
    <w:rsid w:val="166B30D5"/>
    <w:rsid w:val="169F2CE5"/>
    <w:rsid w:val="16A04BB4"/>
    <w:rsid w:val="16A17ED0"/>
    <w:rsid w:val="16B816BE"/>
    <w:rsid w:val="16C87A8A"/>
    <w:rsid w:val="16D65347"/>
    <w:rsid w:val="16DA2A81"/>
    <w:rsid w:val="16DE3097"/>
    <w:rsid w:val="16DE34D6"/>
    <w:rsid w:val="16E10581"/>
    <w:rsid w:val="16EF3155"/>
    <w:rsid w:val="17362B6F"/>
    <w:rsid w:val="174F52A7"/>
    <w:rsid w:val="1767753C"/>
    <w:rsid w:val="176F5A5D"/>
    <w:rsid w:val="178D341B"/>
    <w:rsid w:val="179F7ACD"/>
    <w:rsid w:val="17DF0C30"/>
    <w:rsid w:val="18152842"/>
    <w:rsid w:val="182357C0"/>
    <w:rsid w:val="183410D7"/>
    <w:rsid w:val="18466B12"/>
    <w:rsid w:val="184C30E9"/>
    <w:rsid w:val="184D53FB"/>
    <w:rsid w:val="1852105C"/>
    <w:rsid w:val="18672C70"/>
    <w:rsid w:val="18705D0D"/>
    <w:rsid w:val="18757718"/>
    <w:rsid w:val="189127E9"/>
    <w:rsid w:val="189A77E6"/>
    <w:rsid w:val="18A35753"/>
    <w:rsid w:val="18AB7D7B"/>
    <w:rsid w:val="18AE17A2"/>
    <w:rsid w:val="18B633F7"/>
    <w:rsid w:val="18D136E8"/>
    <w:rsid w:val="18E0605D"/>
    <w:rsid w:val="18F60388"/>
    <w:rsid w:val="18FE3353"/>
    <w:rsid w:val="19031754"/>
    <w:rsid w:val="19290A66"/>
    <w:rsid w:val="19325715"/>
    <w:rsid w:val="193E3A01"/>
    <w:rsid w:val="194E5DFC"/>
    <w:rsid w:val="195425EF"/>
    <w:rsid w:val="19751EA2"/>
    <w:rsid w:val="19BC02EF"/>
    <w:rsid w:val="19D14601"/>
    <w:rsid w:val="19DF0CBA"/>
    <w:rsid w:val="19E63AA4"/>
    <w:rsid w:val="19FE015B"/>
    <w:rsid w:val="1A054A70"/>
    <w:rsid w:val="1A0A4827"/>
    <w:rsid w:val="1A176AF5"/>
    <w:rsid w:val="1A1C6870"/>
    <w:rsid w:val="1A21377D"/>
    <w:rsid w:val="1A243D7E"/>
    <w:rsid w:val="1A6D20C7"/>
    <w:rsid w:val="1A9100A7"/>
    <w:rsid w:val="1A9A2482"/>
    <w:rsid w:val="1AA9099D"/>
    <w:rsid w:val="1AB45C3A"/>
    <w:rsid w:val="1AC11D58"/>
    <w:rsid w:val="1ACF2731"/>
    <w:rsid w:val="1ADD6BCA"/>
    <w:rsid w:val="1AFD1AF8"/>
    <w:rsid w:val="1B2C2DA2"/>
    <w:rsid w:val="1B396B0D"/>
    <w:rsid w:val="1B3A49D3"/>
    <w:rsid w:val="1B3E6EEE"/>
    <w:rsid w:val="1B4479AC"/>
    <w:rsid w:val="1B465EFD"/>
    <w:rsid w:val="1B4A0A55"/>
    <w:rsid w:val="1B5A2637"/>
    <w:rsid w:val="1BB75806"/>
    <w:rsid w:val="1BBA0866"/>
    <w:rsid w:val="1BBF5CC8"/>
    <w:rsid w:val="1BC2741A"/>
    <w:rsid w:val="1BC345C4"/>
    <w:rsid w:val="1BD5588F"/>
    <w:rsid w:val="1BD74EEB"/>
    <w:rsid w:val="1BDD64CB"/>
    <w:rsid w:val="1BE968DA"/>
    <w:rsid w:val="1BF435B5"/>
    <w:rsid w:val="1C19396E"/>
    <w:rsid w:val="1C196271"/>
    <w:rsid w:val="1C252BB0"/>
    <w:rsid w:val="1C2B4E54"/>
    <w:rsid w:val="1C366DEA"/>
    <w:rsid w:val="1C562DA2"/>
    <w:rsid w:val="1C596C55"/>
    <w:rsid w:val="1C6106DE"/>
    <w:rsid w:val="1C634E7F"/>
    <w:rsid w:val="1C7D214E"/>
    <w:rsid w:val="1CAE60C4"/>
    <w:rsid w:val="1CF12AD0"/>
    <w:rsid w:val="1D257C5B"/>
    <w:rsid w:val="1D2B7875"/>
    <w:rsid w:val="1D587E6F"/>
    <w:rsid w:val="1D5A1F6A"/>
    <w:rsid w:val="1D5B37AF"/>
    <w:rsid w:val="1D5E0970"/>
    <w:rsid w:val="1D9870FA"/>
    <w:rsid w:val="1D995789"/>
    <w:rsid w:val="1DC939EE"/>
    <w:rsid w:val="1DCC746F"/>
    <w:rsid w:val="1DF51B29"/>
    <w:rsid w:val="1DFA6E50"/>
    <w:rsid w:val="1DFB0EEC"/>
    <w:rsid w:val="1E0A0E04"/>
    <w:rsid w:val="1E2E557D"/>
    <w:rsid w:val="1E430E7B"/>
    <w:rsid w:val="1E5B1F61"/>
    <w:rsid w:val="1E5D3454"/>
    <w:rsid w:val="1E6E34BF"/>
    <w:rsid w:val="1E76123E"/>
    <w:rsid w:val="1EC92F53"/>
    <w:rsid w:val="1ED52E98"/>
    <w:rsid w:val="1EDD755E"/>
    <w:rsid w:val="1EE55708"/>
    <w:rsid w:val="1EE956D1"/>
    <w:rsid w:val="1F0E2A38"/>
    <w:rsid w:val="1F210775"/>
    <w:rsid w:val="1F3B7212"/>
    <w:rsid w:val="1F7F23EC"/>
    <w:rsid w:val="1F8D3EE3"/>
    <w:rsid w:val="1F8F684F"/>
    <w:rsid w:val="1FD8585B"/>
    <w:rsid w:val="1FE83C64"/>
    <w:rsid w:val="1FEB2242"/>
    <w:rsid w:val="20213A19"/>
    <w:rsid w:val="204915B5"/>
    <w:rsid w:val="20557926"/>
    <w:rsid w:val="20694A5C"/>
    <w:rsid w:val="206D1B9F"/>
    <w:rsid w:val="20777E24"/>
    <w:rsid w:val="208B6BB7"/>
    <w:rsid w:val="20937C2F"/>
    <w:rsid w:val="20B66CE4"/>
    <w:rsid w:val="20E511B1"/>
    <w:rsid w:val="20F65855"/>
    <w:rsid w:val="210F2639"/>
    <w:rsid w:val="21264E8A"/>
    <w:rsid w:val="21444972"/>
    <w:rsid w:val="2164203C"/>
    <w:rsid w:val="21770521"/>
    <w:rsid w:val="219C030C"/>
    <w:rsid w:val="219F7087"/>
    <w:rsid w:val="21B26DD5"/>
    <w:rsid w:val="22071481"/>
    <w:rsid w:val="221C4A93"/>
    <w:rsid w:val="221E4223"/>
    <w:rsid w:val="2228248C"/>
    <w:rsid w:val="222C5AF2"/>
    <w:rsid w:val="225527A2"/>
    <w:rsid w:val="22617CDD"/>
    <w:rsid w:val="2279450A"/>
    <w:rsid w:val="229B7C23"/>
    <w:rsid w:val="22A35A95"/>
    <w:rsid w:val="22B57B49"/>
    <w:rsid w:val="22BB2D4E"/>
    <w:rsid w:val="22C472FE"/>
    <w:rsid w:val="22DC20D6"/>
    <w:rsid w:val="22E7579E"/>
    <w:rsid w:val="22F558A9"/>
    <w:rsid w:val="23252E5E"/>
    <w:rsid w:val="234652A9"/>
    <w:rsid w:val="236E6B29"/>
    <w:rsid w:val="23D87C10"/>
    <w:rsid w:val="23E52A71"/>
    <w:rsid w:val="23EA3419"/>
    <w:rsid w:val="23ED3942"/>
    <w:rsid w:val="23FC3497"/>
    <w:rsid w:val="24072B02"/>
    <w:rsid w:val="24175A4A"/>
    <w:rsid w:val="241A17FA"/>
    <w:rsid w:val="242E78C4"/>
    <w:rsid w:val="2438722E"/>
    <w:rsid w:val="245E28F1"/>
    <w:rsid w:val="24744120"/>
    <w:rsid w:val="249F7DA1"/>
    <w:rsid w:val="24A27F8F"/>
    <w:rsid w:val="24AA4764"/>
    <w:rsid w:val="24D31082"/>
    <w:rsid w:val="24E83458"/>
    <w:rsid w:val="24FE22EB"/>
    <w:rsid w:val="25111AA1"/>
    <w:rsid w:val="253E41C0"/>
    <w:rsid w:val="254F4524"/>
    <w:rsid w:val="25820B9F"/>
    <w:rsid w:val="258C6E91"/>
    <w:rsid w:val="25B72A48"/>
    <w:rsid w:val="25C47435"/>
    <w:rsid w:val="25C92FE3"/>
    <w:rsid w:val="25ED3B5B"/>
    <w:rsid w:val="263F0F80"/>
    <w:rsid w:val="2650465C"/>
    <w:rsid w:val="265B142E"/>
    <w:rsid w:val="265C56F9"/>
    <w:rsid w:val="265F3369"/>
    <w:rsid w:val="26992808"/>
    <w:rsid w:val="26A01015"/>
    <w:rsid w:val="26B3480A"/>
    <w:rsid w:val="26B440D3"/>
    <w:rsid w:val="26BB265F"/>
    <w:rsid w:val="26CD7306"/>
    <w:rsid w:val="26DC2384"/>
    <w:rsid w:val="26E8116F"/>
    <w:rsid w:val="27021873"/>
    <w:rsid w:val="270B7193"/>
    <w:rsid w:val="2728796B"/>
    <w:rsid w:val="273268EC"/>
    <w:rsid w:val="27497E74"/>
    <w:rsid w:val="274B0D9D"/>
    <w:rsid w:val="276F4AED"/>
    <w:rsid w:val="27995C1E"/>
    <w:rsid w:val="27A958A6"/>
    <w:rsid w:val="27B53DF8"/>
    <w:rsid w:val="280E7144"/>
    <w:rsid w:val="2815474B"/>
    <w:rsid w:val="281954D5"/>
    <w:rsid w:val="281A4CD2"/>
    <w:rsid w:val="282F3D5E"/>
    <w:rsid w:val="2852132C"/>
    <w:rsid w:val="287D539B"/>
    <w:rsid w:val="288C33E7"/>
    <w:rsid w:val="28A11525"/>
    <w:rsid w:val="28B0308A"/>
    <w:rsid w:val="28CC4E88"/>
    <w:rsid w:val="28DE7962"/>
    <w:rsid w:val="28F22C3A"/>
    <w:rsid w:val="291E27B6"/>
    <w:rsid w:val="291E6DB1"/>
    <w:rsid w:val="29231D00"/>
    <w:rsid w:val="292B4821"/>
    <w:rsid w:val="292D5307"/>
    <w:rsid w:val="29492B05"/>
    <w:rsid w:val="29496089"/>
    <w:rsid w:val="294D6D5B"/>
    <w:rsid w:val="297A2399"/>
    <w:rsid w:val="297A5684"/>
    <w:rsid w:val="297E26C4"/>
    <w:rsid w:val="2981262B"/>
    <w:rsid w:val="29873049"/>
    <w:rsid w:val="298B0C79"/>
    <w:rsid w:val="29A622AA"/>
    <w:rsid w:val="29AA66E2"/>
    <w:rsid w:val="29AD697A"/>
    <w:rsid w:val="29E45A24"/>
    <w:rsid w:val="2A0F2870"/>
    <w:rsid w:val="2A1554C3"/>
    <w:rsid w:val="2A2E15EA"/>
    <w:rsid w:val="2A32673C"/>
    <w:rsid w:val="2A3A52C9"/>
    <w:rsid w:val="2A4B1786"/>
    <w:rsid w:val="2A6D6A8A"/>
    <w:rsid w:val="2A731D54"/>
    <w:rsid w:val="2A81297F"/>
    <w:rsid w:val="2A86248F"/>
    <w:rsid w:val="2A972C5A"/>
    <w:rsid w:val="2ACB3EFF"/>
    <w:rsid w:val="2AEF38C1"/>
    <w:rsid w:val="2AFD13BA"/>
    <w:rsid w:val="2AFE044B"/>
    <w:rsid w:val="2B014D7A"/>
    <w:rsid w:val="2B260686"/>
    <w:rsid w:val="2B2A3CCE"/>
    <w:rsid w:val="2B446635"/>
    <w:rsid w:val="2B512ACD"/>
    <w:rsid w:val="2B661A92"/>
    <w:rsid w:val="2B683643"/>
    <w:rsid w:val="2B6956B9"/>
    <w:rsid w:val="2BDE7197"/>
    <w:rsid w:val="2C004890"/>
    <w:rsid w:val="2C0D51B3"/>
    <w:rsid w:val="2C103EB5"/>
    <w:rsid w:val="2C334F6A"/>
    <w:rsid w:val="2C3C6396"/>
    <w:rsid w:val="2C3D15FD"/>
    <w:rsid w:val="2C401128"/>
    <w:rsid w:val="2C651F3F"/>
    <w:rsid w:val="2C84182D"/>
    <w:rsid w:val="2C96485D"/>
    <w:rsid w:val="2CA228F0"/>
    <w:rsid w:val="2CC0533C"/>
    <w:rsid w:val="2CC221D7"/>
    <w:rsid w:val="2CCC0DEA"/>
    <w:rsid w:val="2CDB1A02"/>
    <w:rsid w:val="2CE32708"/>
    <w:rsid w:val="2D2652A2"/>
    <w:rsid w:val="2D3D34B1"/>
    <w:rsid w:val="2D424E71"/>
    <w:rsid w:val="2D4604A7"/>
    <w:rsid w:val="2D6B6957"/>
    <w:rsid w:val="2D752181"/>
    <w:rsid w:val="2D7578C3"/>
    <w:rsid w:val="2D776F69"/>
    <w:rsid w:val="2D7B2D48"/>
    <w:rsid w:val="2D8D7238"/>
    <w:rsid w:val="2D96288F"/>
    <w:rsid w:val="2DAB0ECE"/>
    <w:rsid w:val="2DBC4435"/>
    <w:rsid w:val="2DBF5852"/>
    <w:rsid w:val="2DC84B5E"/>
    <w:rsid w:val="2DEE2E4A"/>
    <w:rsid w:val="2DF746F2"/>
    <w:rsid w:val="2E061402"/>
    <w:rsid w:val="2E2B7CCD"/>
    <w:rsid w:val="2E3700B5"/>
    <w:rsid w:val="2E3A17C2"/>
    <w:rsid w:val="2E4A3217"/>
    <w:rsid w:val="2E4E1CA6"/>
    <w:rsid w:val="2E581197"/>
    <w:rsid w:val="2E64762F"/>
    <w:rsid w:val="2E6523EF"/>
    <w:rsid w:val="2E742088"/>
    <w:rsid w:val="2E8E0CF1"/>
    <w:rsid w:val="2E970DAD"/>
    <w:rsid w:val="2EEB4663"/>
    <w:rsid w:val="2EEC7B03"/>
    <w:rsid w:val="2EF70A87"/>
    <w:rsid w:val="2F0135AE"/>
    <w:rsid w:val="2F01503E"/>
    <w:rsid w:val="2F093455"/>
    <w:rsid w:val="2F1671A3"/>
    <w:rsid w:val="2F3154D5"/>
    <w:rsid w:val="2F947691"/>
    <w:rsid w:val="2FBB39C9"/>
    <w:rsid w:val="2FBB4A14"/>
    <w:rsid w:val="2FC96CF3"/>
    <w:rsid w:val="2FCD359B"/>
    <w:rsid w:val="2FD77D80"/>
    <w:rsid w:val="2FEE73AD"/>
    <w:rsid w:val="30282D29"/>
    <w:rsid w:val="302E63F8"/>
    <w:rsid w:val="307878D0"/>
    <w:rsid w:val="30B57180"/>
    <w:rsid w:val="30D51B64"/>
    <w:rsid w:val="3137350A"/>
    <w:rsid w:val="3157337F"/>
    <w:rsid w:val="315D3F52"/>
    <w:rsid w:val="315D7B4B"/>
    <w:rsid w:val="315E112F"/>
    <w:rsid w:val="3164795B"/>
    <w:rsid w:val="31785165"/>
    <w:rsid w:val="3181353A"/>
    <w:rsid w:val="318E4E92"/>
    <w:rsid w:val="319E7A41"/>
    <w:rsid w:val="31C95AF5"/>
    <w:rsid w:val="31D20C6D"/>
    <w:rsid w:val="31D969B4"/>
    <w:rsid w:val="31EA2199"/>
    <w:rsid w:val="31F71716"/>
    <w:rsid w:val="320D22EF"/>
    <w:rsid w:val="321F769D"/>
    <w:rsid w:val="322814B3"/>
    <w:rsid w:val="32364FA4"/>
    <w:rsid w:val="32441B14"/>
    <w:rsid w:val="325877F1"/>
    <w:rsid w:val="32666DBF"/>
    <w:rsid w:val="3267552F"/>
    <w:rsid w:val="327529D4"/>
    <w:rsid w:val="32776447"/>
    <w:rsid w:val="327857E6"/>
    <w:rsid w:val="329278B0"/>
    <w:rsid w:val="32B674E0"/>
    <w:rsid w:val="32DF4A4A"/>
    <w:rsid w:val="332B2438"/>
    <w:rsid w:val="333C3C19"/>
    <w:rsid w:val="339528D5"/>
    <w:rsid w:val="339C6298"/>
    <w:rsid w:val="33D82532"/>
    <w:rsid w:val="33FB1D46"/>
    <w:rsid w:val="34164D2B"/>
    <w:rsid w:val="341F7D16"/>
    <w:rsid w:val="34666BBA"/>
    <w:rsid w:val="349D1B7B"/>
    <w:rsid w:val="34A2172E"/>
    <w:rsid w:val="34AB2E05"/>
    <w:rsid w:val="34B132B1"/>
    <w:rsid w:val="34B60BFA"/>
    <w:rsid w:val="34C40F7F"/>
    <w:rsid w:val="34CA5114"/>
    <w:rsid w:val="34DB5139"/>
    <w:rsid w:val="352F48CE"/>
    <w:rsid w:val="3569702C"/>
    <w:rsid w:val="359E7119"/>
    <w:rsid w:val="35B07760"/>
    <w:rsid w:val="35BF5144"/>
    <w:rsid w:val="35D32A43"/>
    <w:rsid w:val="35E2441A"/>
    <w:rsid w:val="35E2618B"/>
    <w:rsid w:val="35EC1E0A"/>
    <w:rsid w:val="35F65B78"/>
    <w:rsid w:val="35FB4F83"/>
    <w:rsid w:val="36097700"/>
    <w:rsid w:val="361971CE"/>
    <w:rsid w:val="36416915"/>
    <w:rsid w:val="366D031A"/>
    <w:rsid w:val="36926816"/>
    <w:rsid w:val="36A6433D"/>
    <w:rsid w:val="36A92DAF"/>
    <w:rsid w:val="36A97345"/>
    <w:rsid w:val="36BC6C92"/>
    <w:rsid w:val="36C52D85"/>
    <w:rsid w:val="36C53F3F"/>
    <w:rsid w:val="373B05AC"/>
    <w:rsid w:val="37501B59"/>
    <w:rsid w:val="378A48A9"/>
    <w:rsid w:val="37A177F0"/>
    <w:rsid w:val="37B419C3"/>
    <w:rsid w:val="37BD7C38"/>
    <w:rsid w:val="37CF23AD"/>
    <w:rsid w:val="37D27F17"/>
    <w:rsid w:val="37D416A4"/>
    <w:rsid w:val="37ED7917"/>
    <w:rsid w:val="38082BA5"/>
    <w:rsid w:val="380B4693"/>
    <w:rsid w:val="381F22A0"/>
    <w:rsid w:val="384249AF"/>
    <w:rsid w:val="38647460"/>
    <w:rsid w:val="38707681"/>
    <w:rsid w:val="38CC48C1"/>
    <w:rsid w:val="39031FC8"/>
    <w:rsid w:val="39061C13"/>
    <w:rsid w:val="390B0A8E"/>
    <w:rsid w:val="3918697B"/>
    <w:rsid w:val="39232765"/>
    <w:rsid w:val="392B0C73"/>
    <w:rsid w:val="39441545"/>
    <w:rsid w:val="3967376F"/>
    <w:rsid w:val="396C3ED6"/>
    <w:rsid w:val="397B54F6"/>
    <w:rsid w:val="398C78C9"/>
    <w:rsid w:val="3993017F"/>
    <w:rsid w:val="39AE4540"/>
    <w:rsid w:val="39D344C8"/>
    <w:rsid w:val="39DF78C0"/>
    <w:rsid w:val="39F34E54"/>
    <w:rsid w:val="3A003E58"/>
    <w:rsid w:val="3A1B70DC"/>
    <w:rsid w:val="3A3D195C"/>
    <w:rsid w:val="3A485E7B"/>
    <w:rsid w:val="3A487AF7"/>
    <w:rsid w:val="3A51185B"/>
    <w:rsid w:val="3A9150F8"/>
    <w:rsid w:val="3AB03411"/>
    <w:rsid w:val="3ACF404F"/>
    <w:rsid w:val="3AD60D98"/>
    <w:rsid w:val="3AE138A5"/>
    <w:rsid w:val="3AE405EC"/>
    <w:rsid w:val="3AE7339D"/>
    <w:rsid w:val="3AF43EF7"/>
    <w:rsid w:val="3B063A43"/>
    <w:rsid w:val="3B452377"/>
    <w:rsid w:val="3B693BEC"/>
    <w:rsid w:val="3B6C2C1E"/>
    <w:rsid w:val="3B975E6F"/>
    <w:rsid w:val="3BA501AE"/>
    <w:rsid w:val="3BB26FEF"/>
    <w:rsid w:val="3BB30FC7"/>
    <w:rsid w:val="3BB56C87"/>
    <w:rsid w:val="3BCF23FE"/>
    <w:rsid w:val="3BD75DFA"/>
    <w:rsid w:val="3BE75056"/>
    <w:rsid w:val="3C3342E1"/>
    <w:rsid w:val="3C351E30"/>
    <w:rsid w:val="3C3D0B28"/>
    <w:rsid w:val="3C6113B0"/>
    <w:rsid w:val="3C804DCF"/>
    <w:rsid w:val="3C8C3815"/>
    <w:rsid w:val="3CB41306"/>
    <w:rsid w:val="3CBE5E2A"/>
    <w:rsid w:val="3CBF165E"/>
    <w:rsid w:val="3CC55EE3"/>
    <w:rsid w:val="3CE920A9"/>
    <w:rsid w:val="3CFC73AD"/>
    <w:rsid w:val="3CFD0719"/>
    <w:rsid w:val="3D233035"/>
    <w:rsid w:val="3D286019"/>
    <w:rsid w:val="3D3A43D5"/>
    <w:rsid w:val="3D465CD1"/>
    <w:rsid w:val="3D7D6A5B"/>
    <w:rsid w:val="3D9E498F"/>
    <w:rsid w:val="3DA21009"/>
    <w:rsid w:val="3DC058D6"/>
    <w:rsid w:val="3DC472D8"/>
    <w:rsid w:val="3DCD4B43"/>
    <w:rsid w:val="3DD91DC4"/>
    <w:rsid w:val="3DE43BAE"/>
    <w:rsid w:val="3DEE448F"/>
    <w:rsid w:val="3E187EF5"/>
    <w:rsid w:val="3E301A13"/>
    <w:rsid w:val="3E456479"/>
    <w:rsid w:val="3E4917FD"/>
    <w:rsid w:val="3E773EB0"/>
    <w:rsid w:val="3E7F261E"/>
    <w:rsid w:val="3E7F2752"/>
    <w:rsid w:val="3E9F25D5"/>
    <w:rsid w:val="3EC80F95"/>
    <w:rsid w:val="3ECD2076"/>
    <w:rsid w:val="3ED71449"/>
    <w:rsid w:val="3EE81109"/>
    <w:rsid w:val="3EF25066"/>
    <w:rsid w:val="3EFB445D"/>
    <w:rsid w:val="3F02242D"/>
    <w:rsid w:val="3F1C5090"/>
    <w:rsid w:val="3F234E9A"/>
    <w:rsid w:val="3F4F2FFD"/>
    <w:rsid w:val="3F712989"/>
    <w:rsid w:val="3F89367D"/>
    <w:rsid w:val="3F9A1B24"/>
    <w:rsid w:val="3F9E75ED"/>
    <w:rsid w:val="3FA66D52"/>
    <w:rsid w:val="3FFA79D4"/>
    <w:rsid w:val="40012424"/>
    <w:rsid w:val="400904FF"/>
    <w:rsid w:val="40144C28"/>
    <w:rsid w:val="401B7350"/>
    <w:rsid w:val="401F26B1"/>
    <w:rsid w:val="402139D8"/>
    <w:rsid w:val="40375735"/>
    <w:rsid w:val="40581918"/>
    <w:rsid w:val="4065477B"/>
    <w:rsid w:val="4067317A"/>
    <w:rsid w:val="406B48FC"/>
    <w:rsid w:val="407E5D12"/>
    <w:rsid w:val="40807BC2"/>
    <w:rsid w:val="40826EF0"/>
    <w:rsid w:val="40A33137"/>
    <w:rsid w:val="40B97B8C"/>
    <w:rsid w:val="40BE71B2"/>
    <w:rsid w:val="40D3300F"/>
    <w:rsid w:val="40EB3732"/>
    <w:rsid w:val="40F14E1A"/>
    <w:rsid w:val="40FE7BCC"/>
    <w:rsid w:val="41331B8C"/>
    <w:rsid w:val="41586611"/>
    <w:rsid w:val="417B43B4"/>
    <w:rsid w:val="41845215"/>
    <w:rsid w:val="418B2298"/>
    <w:rsid w:val="419103DD"/>
    <w:rsid w:val="41931362"/>
    <w:rsid w:val="41965A1F"/>
    <w:rsid w:val="41B55131"/>
    <w:rsid w:val="41C63A5E"/>
    <w:rsid w:val="41D9271E"/>
    <w:rsid w:val="423E643F"/>
    <w:rsid w:val="426C38ED"/>
    <w:rsid w:val="4275391A"/>
    <w:rsid w:val="42880B64"/>
    <w:rsid w:val="42945FD4"/>
    <w:rsid w:val="429B0A97"/>
    <w:rsid w:val="42C3125C"/>
    <w:rsid w:val="42EE70C5"/>
    <w:rsid w:val="42EF479D"/>
    <w:rsid w:val="43133EEB"/>
    <w:rsid w:val="433660E0"/>
    <w:rsid w:val="43387679"/>
    <w:rsid w:val="433C2341"/>
    <w:rsid w:val="433D6182"/>
    <w:rsid w:val="433D6B5F"/>
    <w:rsid w:val="433E0E56"/>
    <w:rsid w:val="43462C0E"/>
    <w:rsid w:val="434641CC"/>
    <w:rsid w:val="43711643"/>
    <w:rsid w:val="43750AB2"/>
    <w:rsid w:val="43792D58"/>
    <w:rsid w:val="43856271"/>
    <w:rsid w:val="43892882"/>
    <w:rsid w:val="43B02FD1"/>
    <w:rsid w:val="43BF45BD"/>
    <w:rsid w:val="43CE4FEB"/>
    <w:rsid w:val="43F109DA"/>
    <w:rsid w:val="43F11A1E"/>
    <w:rsid w:val="44071A0B"/>
    <w:rsid w:val="44293363"/>
    <w:rsid w:val="442A424B"/>
    <w:rsid w:val="445E6EFC"/>
    <w:rsid w:val="44641D20"/>
    <w:rsid w:val="447133F3"/>
    <w:rsid w:val="448164D1"/>
    <w:rsid w:val="44DE1E10"/>
    <w:rsid w:val="44E07AE0"/>
    <w:rsid w:val="44E41F05"/>
    <w:rsid w:val="44EE0796"/>
    <w:rsid w:val="44EE088F"/>
    <w:rsid w:val="44FF6CFA"/>
    <w:rsid w:val="4502753C"/>
    <w:rsid w:val="45041B07"/>
    <w:rsid w:val="45140F77"/>
    <w:rsid w:val="452B0421"/>
    <w:rsid w:val="45363061"/>
    <w:rsid w:val="453E400B"/>
    <w:rsid w:val="4540570E"/>
    <w:rsid w:val="45410637"/>
    <w:rsid w:val="454E6C89"/>
    <w:rsid w:val="4569125B"/>
    <w:rsid w:val="457156C9"/>
    <w:rsid w:val="45845B9E"/>
    <w:rsid w:val="458B7D6D"/>
    <w:rsid w:val="45A76755"/>
    <w:rsid w:val="45C83721"/>
    <w:rsid w:val="45E617E1"/>
    <w:rsid w:val="45E70A1A"/>
    <w:rsid w:val="46100639"/>
    <w:rsid w:val="46146909"/>
    <w:rsid w:val="465F02FA"/>
    <w:rsid w:val="46604181"/>
    <w:rsid w:val="46690D53"/>
    <w:rsid w:val="4677757D"/>
    <w:rsid w:val="468703CF"/>
    <w:rsid w:val="46A90443"/>
    <w:rsid w:val="46CE7384"/>
    <w:rsid w:val="46D418D3"/>
    <w:rsid w:val="46DF43A8"/>
    <w:rsid w:val="46F404CB"/>
    <w:rsid w:val="46FE612A"/>
    <w:rsid w:val="47021F19"/>
    <w:rsid w:val="471221CF"/>
    <w:rsid w:val="47124364"/>
    <w:rsid w:val="4732191B"/>
    <w:rsid w:val="47333B80"/>
    <w:rsid w:val="476D6AB4"/>
    <w:rsid w:val="47877892"/>
    <w:rsid w:val="479A6167"/>
    <w:rsid w:val="479D19E4"/>
    <w:rsid w:val="47BD69B9"/>
    <w:rsid w:val="47D13790"/>
    <w:rsid w:val="47D85C4B"/>
    <w:rsid w:val="47FD6976"/>
    <w:rsid w:val="484D4748"/>
    <w:rsid w:val="486B015B"/>
    <w:rsid w:val="48BF13F9"/>
    <w:rsid w:val="48BF58EF"/>
    <w:rsid w:val="48D27F8B"/>
    <w:rsid w:val="48D551A7"/>
    <w:rsid w:val="48D85FE9"/>
    <w:rsid w:val="48E16A2B"/>
    <w:rsid w:val="49321F44"/>
    <w:rsid w:val="49370497"/>
    <w:rsid w:val="493B0412"/>
    <w:rsid w:val="49400E3C"/>
    <w:rsid w:val="49465A19"/>
    <w:rsid w:val="4957424D"/>
    <w:rsid w:val="49590A2D"/>
    <w:rsid w:val="495A60E0"/>
    <w:rsid w:val="4961356F"/>
    <w:rsid w:val="49C31FD6"/>
    <w:rsid w:val="49FE47A7"/>
    <w:rsid w:val="4A0465FC"/>
    <w:rsid w:val="4A2B42C7"/>
    <w:rsid w:val="4A377110"/>
    <w:rsid w:val="4A4F0FFA"/>
    <w:rsid w:val="4A500C79"/>
    <w:rsid w:val="4A635EA0"/>
    <w:rsid w:val="4A7A5C85"/>
    <w:rsid w:val="4A7F6A87"/>
    <w:rsid w:val="4A8C353F"/>
    <w:rsid w:val="4AAE633F"/>
    <w:rsid w:val="4AC62DFF"/>
    <w:rsid w:val="4AD53D39"/>
    <w:rsid w:val="4AE003A2"/>
    <w:rsid w:val="4B2C4999"/>
    <w:rsid w:val="4B3A6D1F"/>
    <w:rsid w:val="4B6D3D17"/>
    <w:rsid w:val="4B99620E"/>
    <w:rsid w:val="4BAE5EFA"/>
    <w:rsid w:val="4BC640EF"/>
    <w:rsid w:val="4BD023E2"/>
    <w:rsid w:val="4BEA7835"/>
    <w:rsid w:val="4BF67AF3"/>
    <w:rsid w:val="4C0B070D"/>
    <w:rsid w:val="4C191064"/>
    <w:rsid w:val="4C1D2AE2"/>
    <w:rsid w:val="4C221ABE"/>
    <w:rsid w:val="4C6C4E68"/>
    <w:rsid w:val="4C961724"/>
    <w:rsid w:val="4C98222E"/>
    <w:rsid w:val="4CC4365E"/>
    <w:rsid w:val="4CCB3EFF"/>
    <w:rsid w:val="4CD23107"/>
    <w:rsid w:val="4CDC1D02"/>
    <w:rsid w:val="4CEE69A8"/>
    <w:rsid w:val="4D246D8B"/>
    <w:rsid w:val="4D501CD1"/>
    <w:rsid w:val="4D5803B5"/>
    <w:rsid w:val="4D707EB0"/>
    <w:rsid w:val="4D71248F"/>
    <w:rsid w:val="4D7E582E"/>
    <w:rsid w:val="4D8021EF"/>
    <w:rsid w:val="4D8A344A"/>
    <w:rsid w:val="4D8A5B59"/>
    <w:rsid w:val="4D930461"/>
    <w:rsid w:val="4D9738ED"/>
    <w:rsid w:val="4D9F702B"/>
    <w:rsid w:val="4DA13A5F"/>
    <w:rsid w:val="4DBC2842"/>
    <w:rsid w:val="4DC40AF1"/>
    <w:rsid w:val="4DC54A41"/>
    <w:rsid w:val="4DC83181"/>
    <w:rsid w:val="4DDC528E"/>
    <w:rsid w:val="4E0C73D1"/>
    <w:rsid w:val="4E186F83"/>
    <w:rsid w:val="4E236841"/>
    <w:rsid w:val="4E2E1B0F"/>
    <w:rsid w:val="4E3B08B8"/>
    <w:rsid w:val="4E3E6403"/>
    <w:rsid w:val="4E411CEF"/>
    <w:rsid w:val="4E415B2F"/>
    <w:rsid w:val="4E501FB4"/>
    <w:rsid w:val="4E90605C"/>
    <w:rsid w:val="4EBE78A6"/>
    <w:rsid w:val="4EFB0DC5"/>
    <w:rsid w:val="4EFE51F0"/>
    <w:rsid w:val="4F504271"/>
    <w:rsid w:val="4F5C4B3F"/>
    <w:rsid w:val="4F617CE5"/>
    <w:rsid w:val="4FAB07F9"/>
    <w:rsid w:val="4FBF5DED"/>
    <w:rsid w:val="4FE35836"/>
    <w:rsid w:val="4FE369BC"/>
    <w:rsid w:val="4FE87256"/>
    <w:rsid w:val="50013679"/>
    <w:rsid w:val="50123F59"/>
    <w:rsid w:val="503763E1"/>
    <w:rsid w:val="50955B83"/>
    <w:rsid w:val="50EE1A52"/>
    <w:rsid w:val="51126654"/>
    <w:rsid w:val="512344AA"/>
    <w:rsid w:val="51262465"/>
    <w:rsid w:val="5130315D"/>
    <w:rsid w:val="51640797"/>
    <w:rsid w:val="5168792B"/>
    <w:rsid w:val="51961E5E"/>
    <w:rsid w:val="51CE4468"/>
    <w:rsid w:val="51F84D91"/>
    <w:rsid w:val="525515BD"/>
    <w:rsid w:val="52790D91"/>
    <w:rsid w:val="527A3EC3"/>
    <w:rsid w:val="52925214"/>
    <w:rsid w:val="529A0C74"/>
    <w:rsid w:val="52A0783C"/>
    <w:rsid w:val="52BA0190"/>
    <w:rsid w:val="52BF2FD2"/>
    <w:rsid w:val="52C36B47"/>
    <w:rsid w:val="52C55C55"/>
    <w:rsid w:val="52EB0E94"/>
    <w:rsid w:val="52F34067"/>
    <w:rsid w:val="52FB2C71"/>
    <w:rsid w:val="530A73B0"/>
    <w:rsid w:val="5324087E"/>
    <w:rsid w:val="53355DE4"/>
    <w:rsid w:val="533807A3"/>
    <w:rsid w:val="535B5C7A"/>
    <w:rsid w:val="536256AC"/>
    <w:rsid w:val="536D0754"/>
    <w:rsid w:val="53B74A06"/>
    <w:rsid w:val="53BA0F8D"/>
    <w:rsid w:val="53C7429D"/>
    <w:rsid w:val="53C83CE3"/>
    <w:rsid w:val="53D15F03"/>
    <w:rsid w:val="53D234C5"/>
    <w:rsid w:val="53ED4991"/>
    <w:rsid w:val="54022138"/>
    <w:rsid w:val="541208A7"/>
    <w:rsid w:val="54142B4A"/>
    <w:rsid w:val="54217605"/>
    <w:rsid w:val="542F7219"/>
    <w:rsid w:val="54696747"/>
    <w:rsid w:val="547B04E5"/>
    <w:rsid w:val="54A8285F"/>
    <w:rsid w:val="54B47FBC"/>
    <w:rsid w:val="54BA2216"/>
    <w:rsid w:val="54BE1462"/>
    <w:rsid w:val="55350158"/>
    <w:rsid w:val="5540216E"/>
    <w:rsid w:val="555302B1"/>
    <w:rsid w:val="5585398B"/>
    <w:rsid w:val="559328D7"/>
    <w:rsid w:val="55A676E1"/>
    <w:rsid w:val="55A87457"/>
    <w:rsid w:val="55B415B2"/>
    <w:rsid w:val="55C32F89"/>
    <w:rsid w:val="55CD6BB5"/>
    <w:rsid w:val="55D12562"/>
    <w:rsid w:val="56184DE0"/>
    <w:rsid w:val="561A172E"/>
    <w:rsid w:val="562764CE"/>
    <w:rsid w:val="562D579D"/>
    <w:rsid w:val="56442DF3"/>
    <w:rsid w:val="564674D9"/>
    <w:rsid w:val="56521BAA"/>
    <w:rsid w:val="5659744E"/>
    <w:rsid w:val="568B4056"/>
    <w:rsid w:val="569018F7"/>
    <w:rsid w:val="569306FF"/>
    <w:rsid w:val="56B62747"/>
    <w:rsid w:val="56B8084F"/>
    <w:rsid w:val="56BD5FFB"/>
    <w:rsid w:val="56BE061E"/>
    <w:rsid w:val="56C5755D"/>
    <w:rsid w:val="56E06163"/>
    <w:rsid w:val="56E4499F"/>
    <w:rsid w:val="577429A5"/>
    <w:rsid w:val="57851EDB"/>
    <w:rsid w:val="57AC27BE"/>
    <w:rsid w:val="57B543F2"/>
    <w:rsid w:val="57BC1F8F"/>
    <w:rsid w:val="57F95BAB"/>
    <w:rsid w:val="581515BE"/>
    <w:rsid w:val="581567FD"/>
    <w:rsid w:val="583C6480"/>
    <w:rsid w:val="58427DDB"/>
    <w:rsid w:val="584A2450"/>
    <w:rsid w:val="585927D5"/>
    <w:rsid w:val="585D4B90"/>
    <w:rsid w:val="586F7928"/>
    <w:rsid w:val="58780EAA"/>
    <w:rsid w:val="58B075FC"/>
    <w:rsid w:val="58BE652B"/>
    <w:rsid w:val="58CE59DF"/>
    <w:rsid w:val="58D7626C"/>
    <w:rsid w:val="58EA59A0"/>
    <w:rsid w:val="58EB168A"/>
    <w:rsid w:val="59076953"/>
    <w:rsid w:val="591137E9"/>
    <w:rsid w:val="591140BE"/>
    <w:rsid w:val="591541F2"/>
    <w:rsid w:val="592C04DE"/>
    <w:rsid w:val="59317A63"/>
    <w:rsid w:val="5956313A"/>
    <w:rsid w:val="597E7EDA"/>
    <w:rsid w:val="598900F2"/>
    <w:rsid w:val="598C21D6"/>
    <w:rsid w:val="59DF1450"/>
    <w:rsid w:val="59FD5267"/>
    <w:rsid w:val="5A1C3750"/>
    <w:rsid w:val="5A1F6FBB"/>
    <w:rsid w:val="5A375BCB"/>
    <w:rsid w:val="5A3E2B52"/>
    <w:rsid w:val="5A4C7B9B"/>
    <w:rsid w:val="5A660A4F"/>
    <w:rsid w:val="5A851FB0"/>
    <w:rsid w:val="5A902769"/>
    <w:rsid w:val="5A945D4B"/>
    <w:rsid w:val="5AA8625F"/>
    <w:rsid w:val="5AAB4E5E"/>
    <w:rsid w:val="5AAD204C"/>
    <w:rsid w:val="5AC77E7B"/>
    <w:rsid w:val="5ACB5A34"/>
    <w:rsid w:val="5AD748CD"/>
    <w:rsid w:val="5B2B2669"/>
    <w:rsid w:val="5B71400B"/>
    <w:rsid w:val="5B815F98"/>
    <w:rsid w:val="5BAB5163"/>
    <w:rsid w:val="5BB2553B"/>
    <w:rsid w:val="5BB313B0"/>
    <w:rsid w:val="5BC06D9B"/>
    <w:rsid w:val="5BC6716D"/>
    <w:rsid w:val="5BE728F5"/>
    <w:rsid w:val="5BF45390"/>
    <w:rsid w:val="5C0A6E8C"/>
    <w:rsid w:val="5C103DC0"/>
    <w:rsid w:val="5C1430C5"/>
    <w:rsid w:val="5C1D0F91"/>
    <w:rsid w:val="5C1E17A5"/>
    <w:rsid w:val="5C2C62B9"/>
    <w:rsid w:val="5C34272F"/>
    <w:rsid w:val="5C63544B"/>
    <w:rsid w:val="5C6C1780"/>
    <w:rsid w:val="5C6D691B"/>
    <w:rsid w:val="5CA45E0B"/>
    <w:rsid w:val="5CAE1C16"/>
    <w:rsid w:val="5CBA47E2"/>
    <w:rsid w:val="5CC23065"/>
    <w:rsid w:val="5CC36B09"/>
    <w:rsid w:val="5D0E40D6"/>
    <w:rsid w:val="5D1325FE"/>
    <w:rsid w:val="5D2512CF"/>
    <w:rsid w:val="5D2A0440"/>
    <w:rsid w:val="5D340339"/>
    <w:rsid w:val="5D431952"/>
    <w:rsid w:val="5D433E55"/>
    <w:rsid w:val="5D5B2777"/>
    <w:rsid w:val="5D824E78"/>
    <w:rsid w:val="5D9149E4"/>
    <w:rsid w:val="5D937005"/>
    <w:rsid w:val="5DA72976"/>
    <w:rsid w:val="5DBE7ADF"/>
    <w:rsid w:val="5DC60467"/>
    <w:rsid w:val="5DCB2733"/>
    <w:rsid w:val="5DF04B2E"/>
    <w:rsid w:val="5E0D7970"/>
    <w:rsid w:val="5E0F2569"/>
    <w:rsid w:val="5E26388E"/>
    <w:rsid w:val="5E2E66B0"/>
    <w:rsid w:val="5E625528"/>
    <w:rsid w:val="5E933C7C"/>
    <w:rsid w:val="5EC125E0"/>
    <w:rsid w:val="5ED35123"/>
    <w:rsid w:val="5EE45E37"/>
    <w:rsid w:val="5F4A3BEC"/>
    <w:rsid w:val="5F4C0C50"/>
    <w:rsid w:val="5F522EE7"/>
    <w:rsid w:val="5F534ED0"/>
    <w:rsid w:val="5F5B4603"/>
    <w:rsid w:val="5F6639F4"/>
    <w:rsid w:val="5F671999"/>
    <w:rsid w:val="5F6A0631"/>
    <w:rsid w:val="5F6B18BB"/>
    <w:rsid w:val="5FAA4D53"/>
    <w:rsid w:val="5FB44123"/>
    <w:rsid w:val="5FE9526B"/>
    <w:rsid w:val="60052F14"/>
    <w:rsid w:val="60076BB8"/>
    <w:rsid w:val="60161D2D"/>
    <w:rsid w:val="605313CA"/>
    <w:rsid w:val="60624DEE"/>
    <w:rsid w:val="606B2AA1"/>
    <w:rsid w:val="607D18D9"/>
    <w:rsid w:val="608529E5"/>
    <w:rsid w:val="60936D10"/>
    <w:rsid w:val="60FF0C02"/>
    <w:rsid w:val="61094D40"/>
    <w:rsid w:val="610D52BA"/>
    <w:rsid w:val="610D6106"/>
    <w:rsid w:val="61106B65"/>
    <w:rsid w:val="61231E75"/>
    <w:rsid w:val="615A23E9"/>
    <w:rsid w:val="616B7363"/>
    <w:rsid w:val="617176D7"/>
    <w:rsid w:val="6176084E"/>
    <w:rsid w:val="61796F6C"/>
    <w:rsid w:val="61CC55E1"/>
    <w:rsid w:val="61DE6887"/>
    <w:rsid w:val="62271BFF"/>
    <w:rsid w:val="622D2D93"/>
    <w:rsid w:val="623836DB"/>
    <w:rsid w:val="624034F8"/>
    <w:rsid w:val="6242741C"/>
    <w:rsid w:val="624A37AB"/>
    <w:rsid w:val="6258471B"/>
    <w:rsid w:val="626521D1"/>
    <w:rsid w:val="62756177"/>
    <w:rsid w:val="62817061"/>
    <w:rsid w:val="6294138A"/>
    <w:rsid w:val="629B17B3"/>
    <w:rsid w:val="62AE082C"/>
    <w:rsid w:val="62B7082E"/>
    <w:rsid w:val="62D07D7C"/>
    <w:rsid w:val="62E2253E"/>
    <w:rsid w:val="62E86FA1"/>
    <w:rsid w:val="6341224F"/>
    <w:rsid w:val="63602C0C"/>
    <w:rsid w:val="63706645"/>
    <w:rsid w:val="6379173D"/>
    <w:rsid w:val="638D1053"/>
    <w:rsid w:val="63915DBB"/>
    <w:rsid w:val="63A61B8F"/>
    <w:rsid w:val="63BC7369"/>
    <w:rsid w:val="63EC2DA8"/>
    <w:rsid w:val="64277E22"/>
    <w:rsid w:val="64282CEC"/>
    <w:rsid w:val="645F5815"/>
    <w:rsid w:val="648B74B0"/>
    <w:rsid w:val="64B01856"/>
    <w:rsid w:val="64B42FA3"/>
    <w:rsid w:val="64CD6802"/>
    <w:rsid w:val="64CE0C05"/>
    <w:rsid w:val="64DF46C2"/>
    <w:rsid w:val="64E33B6E"/>
    <w:rsid w:val="64FB38E6"/>
    <w:rsid w:val="6503573B"/>
    <w:rsid w:val="650D5D4C"/>
    <w:rsid w:val="65214495"/>
    <w:rsid w:val="652D40F1"/>
    <w:rsid w:val="6548534A"/>
    <w:rsid w:val="65705514"/>
    <w:rsid w:val="65820C43"/>
    <w:rsid w:val="659678CD"/>
    <w:rsid w:val="65976DF7"/>
    <w:rsid w:val="65A73915"/>
    <w:rsid w:val="65B23F65"/>
    <w:rsid w:val="65BF72C4"/>
    <w:rsid w:val="65D52983"/>
    <w:rsid w:val="65E16574"/>
    <w:rsid w:val="65F63D17"/>
    <w:rsid w:val="65FE2F0E"/>
    <w:rsid w:val="660E4507"/>
    <w:rsid w:val="661F281A"/>
    <w:rsid w:val="661F6BFE"/>
    <w:rsid w:val="66220D06"/>
    <w:rsid w:val="66330401"/>
    <w:rsid w:val="66464C31"/>
    <w:rsid w:val="665D2405"/>
    <w:rsid w:val="66625DDE"/>
    <w:rsid w:val="669D1C49"/>
    <w:rsid w:val="66A07F93"/>
    <w:rsid w:val="66AF08F4"/>
    <w:rsid w:val="66B41F49"/>
    <w:rsid w:val="66D06849"/>
    <w:rsid w:val="66DB54B4"/>
    <w:rsid w:val="66FB706B"/>
    <w:rsid w:val="66FD6BDC"/>
    <w:rsid w:val="670B69D5"/>
    <w:rsid w:val="67155C48"/>
    <w:rsid w:val="67244646"/>
    <w:rsid w:val="6725095A"/>
    <w:rsid w:val="673F5E2A"/>
    <w:rsid w:val="6775407A"/>
    <w:rsid w:val="678213AE"/>
    <w:rsid w:val="678D6A13"/>
    <w:rsid w:val="67944902"/>
    <w:rsid w:val="679A06FC"/>
    <w:rsid w:val="679A5DB0"/>
    <w:rsid w:val="67C41268"/>
    <w:rsid w:val="67DE12A4"/>
    <w:rsid w:val="67E6568D"/>
    <w:rsid w:val="67E90734"/>
    <w:rsid w:val="680E1FFA"/>
    <w:rsid w:val="682307EA"/>
    <w:rsid w:val="682D0B2D"/>
    <w:rsid w:val="68503EF1"/>
    <w:rsid w:val="68517A9F"/>
    <w:rsid w:val="68535450"/>
    <w:rsid w:val="686006B5"/>
    <w:rsid w:val="68631B91"/>
    <w:rsid w:val="68980458"/>
    <w:rsid w:val="68B66EC8"/>
    <w:rsid w:val="68C70C4F"/>
    <w:rsid w:val="68F01C17"/>
    <w:rsid w:val="68F127E3"/>
    <w:rsid w:val="68F651F5"/>
    <w:rsid w:val="690D2513"/>
    <w:rsid w:val="69225561"/>
    <w:rsid w:val="692901EE"/>
    <w:rsid w:val="692B405F"/>
    <w:rsid w:val="694E5AA9"/>
    <w:rsid w:val="698231AD"/>
    <w:rsid w:val="698261B1"/>
    <w:rsid w:val="69A243EC"/>
    <w:rsid w:val="69A31836"/>
    <w:rsid w:val="69A4646D"/>
    <w:rsid w:val="69B35CB8"/>
    <w:rsid w:val="69CA1BEE"/>
    <w:rsid w:val="69CE7BD2"/>
    <w:rsid w:val="69FB62AE"/>
    <w:rsid w:val="6A066F2D"/>
    <w:rsid w:val="6A0C1625"/>
    <w:rsid w:val="6A0D4DD3"/>
    <w:rsid w:val="6A1F5749"/>
    <w:rsid w:val="6A4F36F2"/>
    <w:rsid w:val="6A6A22F4"/>
    <w:rsid w:val="6A9E6E7B"/>
    <w:rsid w:val="6AB413C3"/>
    <w:rsid w:val="6ABF15AE"/>
    <w:rsid w:val="6AEB240E"/>
    <w:rsid w:val="6B1F1CBD"/>
    <w:rsid w:val="6B247A46"/>
    <w:rsid w:val="6B2B1F62"/>
    <w:rsid w:val="6B325B82"/>
    <w:rsid w:val="6B4D70F6"/>
    <w:rsid w:val="6B55121C"/>
    <w:rsid w:val="6B5D623D"/>
    <w:rsid w:val="6B803863"/>
    <w:rsid w:val="6B822BD8"/>
    <w:rsid w:val="6B8902BC"/>
    <w:rsid w:val="6B8A1C1F"/>
    <w:rsid w:val="6BCA10E3"/>
    <w:rsid w:val="6BDD1CAF"/>
    <w:rsid w:val="6BE31367"/>
    <w:rsid w:val="6BF30F99"/>
    <w:rsid w:val="6C257A70"/>
    <w:rsid w:val="6C2D3A40"/>
    <w:rsid w:val="6C370005"/>
    <w:rsid w:val="6C522178"/>
    <w:rsid w:val="6C6D12A8"/>
    <w:rsid w:val="6C8F6EB0"/>
    <w:rsid w:val="6C99271F"/>
    <w:rsid w:val="6CB30AE5"/>
    <w:rsid w:val="6CB46962"/>
    <w:rsid w:val="6CFD41E7"/>
    <w:rsid w:val="6D396770"/>
    <w:rsid w:val="6D60667F"/>
    <w:rsid w:val="6D745CE8"/>
    <w:rsid w:val="6D98199B"/>
    <w:rsid w:val="6DB971BC"/>
    <w:rsid w:val="6DC96AE9"/>
    <w:rsid w:val="6DD54CA9"/>
    <w:rsid w:val="6E240095"/>
    <w:rsid w:val="6E31274E"/>
    <w:rsid w:val="6E393DE4"/>
    <w:rsid w:val="6E434A5A"/>
    <w:rsid w:val="6E4F3D89"/>
    <w:rsid w:val="6E79411A"/>
    <w:rsid w:val="6EC91F7C"/>
    <w:rsid w:val="6ECC3117"/>
    <w:rsid w:val="6F20394D"/>
    <w:rsid w:val="6F53019B"/>
    <w:rsid w:val="6F580068"/>
    <w:rsid w:val="6F8C304C"/>
    <w:rsid w:val="6FA5430F"/>
    <w:rsid w:val="6FCB6BBB"/>
    <w:rsid w:val="6FD4186D"/>
    <w:rsid w:val="6FDB74AC"/>
    <w:rsid w:val="6FDE32F3"/>
    <w:rsid w:val="70005D1E"/>
    <w:rsid w:val="70143E17"/>
    <w:rsid w:val="701A107D"/>
    <w:rsid w:val="702E7F18"/>
    <w:rsid w:val="70304ABC"/>
    <w:rsid w:val="704241B9"/>
    <w:rsid w:val="70476FC1"/>
    <w:rsid w:val="70612365"/>
    <w:rsid w:val="706B740C"/>
    <w:rsid w:val="707C2CB9"/>
    <w:rsid w:val="708311CF"/>
    <w:rsid w:val="70896E7E"/>
    <w:rsid w:val="70A06812"/>
    <w:rsid w:val="70A367DC"/>
    <w:rsid w:val="70AA1326"/>
    <w:rsid w:val="71087871"/>
    <w:rsid w:val="711F7460"/>
    <w:rsid w:val="71307348"/>
    <w:rsid w:val="713F536F"/>
    <w:rsid w:val="714508C3"/>
    <w:rsid w:val="718D717E"/>
    <w:rsid w:val="71BE51C4"/>
    <w:rsid w:val="71E96D5E"/>
    <w:rsid w:val="71F91DCE"/>
    <w:rsid w:val="71FB2AC1"/>
    <w:rsid w:val="720A7028"/>
    <w:rsid w:val="720E369F"/>
    <w:rsid w:val="721F6153"/>
    <w:rsid w:val="7233681E"/>
    <w:rsid w:val="72472007"/>
    <w:rsid w:val="72554853"/>
    <w:rsid w:val="725F3586"/>
    <w:rsid w:val="726141B3"/>
    <w:rsid w:val="72617A36"/>
    <w:rsid w:val="72643399"/>
    <w:rsid w:val="7267611D"/>
    <w:rsid w:val="727A022B"/>
    <w:rsid w:val="727F65B3"/>
    <w:rsid w:val="7283151A"/>
    <w:rsid w:val="729C72E0"/>
    <w:rsid w:val="72A31DE8"/>
    <w:rsid w:val="72A94C8D"/>
    <w:rsid w:val="72C41DA8"/>
    <w:rsid w:val="72CE756E"/>
    <w:rsid w:val="72D4194D"/>
    <w:rsid w:val="72E91ADB"/>
    <w:rsid w:val="731D3B9E"/>
    <w:rsid w:val="733145FE"/>
    <w:rsid w:val="734E309E"/>
    <w:rsid w:val="7362292C"/>
    <w:rsid w:val="736E3BE8"/>
    <w:rsid w:val="737B080E"/>
    <w:rsid w:val="73CC40D0"/>
    <w:rsid w:val="73CE3527"/>
    <w:rsid w:val="73E21630"/>
    <w:rsid w:val="74027F57"/>
    <w:rsid w:val="741C6F18"/>
    <w:rsid w:val="742A5292"/>
    <w:rsid w:val="74806C62"/>
    <w:rsid w:val="74963318"/>
    <w:rsid w:val="749E6CB6"/>
    <w:rsid w:val="74AC3D9D"/>
    <w:rsid w:val="74DE1C1A"/>
    <w:rsid w:val="75014D2F"/>
    <w:rsid w:val="7509181E"/>
    <w:rsid w:val="756E1C38"/>
    <w:rsid w:val="75B57FEF"/>
    <w:rsid w:val="75F74D32"/>
    <w:rsid w:val="76473DD0"/>
    <w:rsid w:val="766127E7"/>
    <w:rsid w:val="766F36FF"/>
    <w:rsid w:val="767F336E"/>
    <w:rsid w:val="76BE10F6"/>
    <w:rsid w:val="76CF2A63"/>
    <w:rsid w:val="76D77E29"/>
    <w:rsid w:val="770265D6"/>
    <w:rsid w:val="77374D08"/>
    <w:rsid w:val="77386E89"/>
    <w:rsid w:val="774B5945"/>
    <w:rsid w:val="777D0494"/>
    <w:rsid w:val="779707EB"/>
    <w:rsid w:val="77C77A27"/>
    <w:rsid w:val="77E1458A"/>
    <w:rsid w:val="77EC2CFA"/>
    <w:rsid w:val="780573FE"/>
    <w:rsid w:val="78167F9C"/>
    <w:rsid w:val="78186F67"/>
    <w:rsid w:val="78213A12"/>
    <w:rsid w:val="783818C7"/>
    <w:rsid w:val="783A5A94"/>
    <w:rsid w:val="783E3D2A"/>
    <w:rsid w:val="784C74FB"/>
    <w:rsid w:val="784F6865"/>
    <w:rsid w:val="786A5F57"/>
    <w:rsid w:val="787A36EF"/>
    <w:rsid w:val="788079D5"/>
    <w:rsid w:val="78863B5B"/>
    <w:rsid w:val="788A3DB3"/>
    <w:rsid w:val="78D86AC0"/>
    <w:rsid w:val="78F51C6B"/>
    <w:rsid w:val="78F52BA5"/>
    <w:rsid w:val="78F54A33"/>
    <w:rsid w:val="78FA2927"/>
    <w:rsid w:val="79096BA0"/>
    <w:rsid w:val="79165F84"/>
    <w:rsid w:val="7921318B"/>
    <w:rsid w:val="79294ED6"/>
    <w:rsid w:val="795E3894"/>
    <w:rsid w:val="7961183E"/>
    <w:rsid w:val="797177E1"/>
    <w:rsid w:val="798130A6"/>
    <w:rsid w:val="79986A30"/>
    <w:rsid w:val="79A56E31"/>
    <w:rsid w:val="79BD0F7F"/>
    <w:rsid w:val="79CD2E26"/>
    <w:rsid w:val="7A037B3A"/>
    <w:rsid w:val="7A0D3BEC"/>
    <w:rsid w:val="7A1214E9"/>
    <w:rsid w:val="7A3111BC"/>
    <w:rsid w:val="7A4B5E43"/>
    <w:rsid w:val="7A527752"/>
    <w:rsid w:val="7A600EC2"/>
    <w:rsid w:val="7A7F7A5D"/>
    <w:rsid w:val="7A832B33"/>
    <w:rsid w:val="7A8A0F0C"/>
    <w:rsid w:val="7AB65C3F"/>
    <w:rsid w:val="7AB906BC"/>
    <w:rsid w:val="7ACF395C"/>
    <w:rsid w:val="7ADC252A"/>
    <w:rsid w:val="7ADE0C8C"/>
    <w:rsid w:val="7ADE3988"/>
    <w:rsid w:val="7AF22629"/>
    <w:rsid w:val="7B1755EB"/>
    <w:rsid w:val="7B2652C4"/>
    <w:rsid w:val="7B2B421E"/>
    <w:rsid w:val="7B605A2D"/>
    <w:rsid w:val="7B626C58"/>
    <w:rsid w:val="7BA23304"/>
    <w:rsid w:val="7BA304B2"/>
    <w:rsid w:val="7BA33523"/>
    <w:rsid w:val="7BA97D95"/>
    <w:rsid w:val="7BAB22EC"/>
    <w:rsid w:val="7BB36CA0"/>
    <w:rsid w:val="7BC529D0"/>
    <w:rsid w:val="7C052852"/>
    <w:rsid w:val="7C0B405E"/>
    <w:rsid w:val="7C1C5927"/>
    <w:rsid w:val="7C291984"/>
    <w:rsid w:val="7C294FD7"/>
    <w:rsid w:val="7C410F1D"/>
    <w:rsid w:val="7C413126"/>
    <w:rsid w:val="7C42096C"/>
    <w:rsid w:val="7C60330B"/>
    <w:rsid w:val="7C6F76C9"/>
    <w:rsid w:val="7C7A0E7E"/>
    <w:rsid w:val="7C845D56"/>
    <w:rsid w:val="7C8A0F88"/>
    <w:rsid w:val="7C8B3FFD"/>
    <w:rsid w:val="7C9774AD"/>
    <w:rsid w:val="7CA01181"/>
    <w:rsid w:val="7CBF130B"/>
    <w:rsid w:val="7CC03EB7"/>
    <w:rsid w:val="7CD53449"/>
    <w:rsid w:val="7CF719F7"/>
    <w:rsid w:val="7CF81770"/>
    <w:rsid w:val="7D3A5E37"/>
    <w:rsid w:val="7D5524E5"/>
    <w:rsid w:val="7D671B9F"/>
    <w:rsid w:val="7D7947CE"/>
    <w:rsid w:val="7D7C73EF"/>
    <w:rsid w:val="7DAD1182"/>
    <w:rsid w:val="7DE75A04"/>
    <w:rsid w:val="7DF96155"/>
    <w:rsid w:val="7DFD3AA6"/>
    <w:rsid w:val="7E283521"/>
    <w:rsid w:val="7E596FEC"/>
    <w:rsid w:val="7E5C0FDA"/>
    <w:rsid w:val="7E81387E"/>
    <w:rsid w:val="7EA259D2"/>
    <w:rsid w:val="7EA417D1"/>
    <w:rsid w:val="7EAD7761"/>
    <w:rsid w:val="7EB97008"/>
    <w:rsid w:val="7EC13368"/>
    <w:rsid w:val="7EDC5D8C"/>
    <w:rsid w:val="7F4F6E37"/>
    <w:rsid w:val="7F7A0EF4"/>
    <w:rsid w:val="7F84541B"/>
    <w:rsid w:val="7FAE0870"/>
    <w:rsid w:val="7FAF06A6"/>
    <w:rsid w:val="7FC46E3B"/>
    <w:rsid w:val="7FDC5E9C"/>
    <w:rsid w:val="7FE422B4"/>
    <w:rsid w:val="7FF11D01"/>
    <w:rsid w:val="7FFA327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name="toc 1"/>
    <w:lsdException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kern w:val="2"/>
      <w:sz w:val="32"/>
      <w:szCs w:val="24"/>
      <w:lang w:val="en-US" w:eastAsia="zh-CN" w:bidi="ar-SA"/>
    </w:rPr>
  </w:style>
  <w:style w:type="paragraph" w:styleId="2">
    <w:name w:val="heading 1"/>
    <w:basedOn w:val="1"/>
    <w:next w:val="1"/>
    <w:uiPriority w:val="0"/>
    <w:pPr>
      <w:keepNext/>
      <w:spacing w:before="50" w:beforeLines="50" w:after="50" w:afterLines="50" w:line="360" w:lineRule="auto"/>
      <w:jc w:val="center"/>
      <w:outlineLvl w:val="0"/>
    </w:pPr>
    <w:rPr>
      <w:rFonts w:ascii="宋体" w:hAnsi="宋体" w:eastAsia="黑体"/>
      <w:b/>
      <w:spacing w:val="5"/>
      <w:sz w:val="44"/>
    </w:rPr>
  </w:style>
  <w:style w:type="paragraph" w:styleId="3">
    <w:name w:val="heading 2"/>
    <w:basedOn w:val="1"/>
    <w:next w:val="4"/>
    <w:uiPriority w:val="0"/>
    <w:pPr>
      <w:keepNext/>
      <w:jc w:val="left"/>
      <w:outlineLvl w:val="1"/>
    </w:pPr>
    <w:rPr>
      <w:rFonts w:ascii="宋体" w:hAnsi="宋体" w:eastAsia="宋体"/>
      <w:b/>
      <w:spacing w:val="5"/>
      <w:szCs w:val="24"/>
    </w:rPr>
  </w:style>
  <w:style w:type="paragraph" w:styleId="5">
    <w:name w:val="heading 3"/>
    <w:basedOn w:val="1"/>
    <w:next w:val="1"/>
    <w:uiPriority w:val="0"/>
    <w:pPr>
      <w:spacing w:before="100" w:beforeAutospacing="1" w:after="100" w:afterAutospacing="1"/>
      <w:jc w:val="left"/>
      <w:outlineLvl w:val="2"/>
    </w:pPr>
    <w:rPr>
      <w:rFonts w:hint="eastAsia" w:ascii="宋体" w:hAnsi="宋体" w:eastAsia="宋体" w:cs="宋体"/>
      <w:b/>
      <w:kern w:val="0"/>
      <w:sz w:val="27"/>
      <w:szCs w:val="27"/>
      <w:lang w:val="en-US" w:eastAsia="zh-CN" w:bidi="ar"/>
    </w:rPr>
  </w:style>
  <w:style w:type="character" w:default="1" w:styleId="24">
    <w:name w:val="Default Paragraph Font"/>
    <w:link w:val="25"/>
    <w:uiPriority w:val="0"/>
    <w:rPr>
      <w:rFonts w:ascii="Tahoma" w:hAnsi="Tahoma"/>
      <w:sz w:val="24"/>
      <w:szCs w:val="20"/>
    </w:rPr>
  </w:style>
  <w:style w:type="table" w:default="1" w:styleId="22">
    <w:name w:val="Normal Table"/>
    <w:semiHidden/>
    <w:uiPriority w:val="0"/>
    <w:tblPr>
      <w:tblStyle w:val="22"/>
      <w:tblCellMar>
        <w:top w:w="0" w:type="dxa"/>
        <w:left w:w="108" w:type="dxa"/>
        <w:bottom w:w="0" w:type="dxa"/>
        <w:right w:w="108" w:type="dxa"/>
      </w:tblCellMar>
    </w:tblPr>
  </w:style>
  <w:style w:type="paragraph" w:styleId="4">
    <w:name w:val="Normal Indent"/>
    <w:basedOn w:val="1"/>
    <w:link w:val="30"/>
    <w:uiPriority w:val="0"/>
    <w:pPr>
      <w:snapToGrid w:val="0"/>
      <w:spacing w:line="360" w:lineRule="auto"/>
      <w:ind w:firstLine="567"/>
    </w:pPr>
    <w:rPr>
      <w:sz w:val="28"/>
      <w:szCs w:val="24"/>
    </w:rPr>
  </w:style>
  <w:style w:type="paragraph" w:styleId="6">
    <w:name w:val="annotation text"/>
    <w:basedOn w:val="1"/>
    <w:uiPriority w:val="0"/>
    <w:pPr>
      <w:jc w:val="left"/>
    </w:pPr>
  </w:style>
  <w:style w:type="paragraph" w:styleId="7">
    <w:name w:val="Body Text"/>
    <w:basedOn w:val="1"/>
    <w:qFormat/>
    <w:uiPriority w:val="0"/>
    <w:rPr>
      <w:rFonts w:eastAsia="仿宋_GB2312"/>
      <w:sz w:val="28"/>
    </w:rPr>
  </w:style>
  <w:style w:type="paragraph" w:styleId="8">
    <w:name w:val="Body Text Indent"/>
    <w:basedOn w:val="1"/>
    <w:uiPriority w:val="0"/>
    <w:pPr>
      <w:ind w:firstLine="560" w:firstLineChars="200"/>
    </w:pPr>
    <w:rPr>
      <w:rFonts w:ascii="仿宋_GB2312" w:eastAsia="仿宋_GB2312"/>
      <w:sz w:val="28"/>
      <w:szCs w:val="24"/>
    </w:rPr>
  </w:style>
  <w:style w:type="paragraph" w:styleId="9">
    <w:name w:val="Plain Text"/>
    <w:basedOn w:val="1"/>
    <w:link w:val="31"/>
    <w:uiPriority w:val="0"/>
    <w:rPr>
      <w:rFonts w:ascii="宋体" w:hAnsi="Courier New"/>
      <w:szCs w:val="20"/>
    </w:rPr>
  </w:style>
  <w:style w:type="paragraph" w:styleId="10">
    <w:name w:val="Date"/>
    <w:basedOn w:val="1"/>
    <w:next w:val="1"/>
    <w:uiPriority w:val="0"/>
    <w:rPr>
      <w:b/>
      <w:sz w:val="32"/>
    </w:rPr>
  </w:style>
  <w:style w:type="paragraph" w:styleId="11">
    <w:name w:val="Body Text Indent 2"/>
    <w:basedOn w:val="1"/>
    <w:uiPriority w:val="0"/>
    <w:pPr>
      <w:spacing w:line="480" w:lineRule="exact"/>
      <w:ind w:firstLine="570"/>
    </w:pPr>
    <w:rPr>
      <w:rFonts w:eastAsia="仿宋_GB2312"/>
      <w:sz w:val="28"/>
    </w:rPr>
  </w:style>
  <w:style w:type="paragraph" w:styleId="12">
    <w:name w:val="Balloon Text"/>
    <w:basedOn w:val="1"/>
    <w:uiPriority w:val="0"/>
    <w:rPr>
      <w:sz w:val="18"/>
      <w:szCs w:val="18"/>
    </w:rPr>
  </w:style>
  <w:style w:type="paragraph" w:styleId="13">
    <w:name w:val="footer"/>
    <w:basedOn w:val="1"/>
    <w:uiPriority w:val="0"/>
    <w:pPr>
      <w:tabs>
        <w:tab w:val="center" w:pos="4153"/>
        <w:tab w:val="right" w:pos="8306"/>
      </w:tabs>
      <w:snapToGrid w:val="0"/>
      <w:jc w:val="left"/>
    </w:pPr>
    <w:rPr>
      <w:sz w:val="18"/>
      <w:szCs w:val="20"/>
    </w:rPr>
  </w:style>
  <w:style w:type="paragraph" w:styleId="14">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15">
    <w:name w:val="Signature"/>
    <w:basedOn w:val="1"/>
    <w:next w:val="1"/>
    <w:uiPriority w:val="0"/>
    <w:pPr>
      <w:autoSpaceDE w:val="0"/>
      <w:autoSpaceDN w:val="0"/>
      <w:adjustRightInd w:val="0"/>
      <w:spacing w:after="120" w:afterLines="0" w:line="312" w:lineRule="atLeast"/>
      <w:jc w:val="center"/>
      <w:textAlignment w:val="baseline"/>
    </w:pPr>
    <w:rPr>
      <w:rFonts w:ascii="楷体" w:hAnsi="Tms Rmn" w:eastAsia="楷体"/>
      <w:kern w:val="0"/>
      <w:szCs w:val="20"/>
    </w:rPr>
  </w:style>
  <w:style w:type="paragraph" w:styleId="16">
    <w:name w:val="toc 1"/>
    <w:basedOn w:val="1"/>
    <w:next w:val="1"/>
    <w:semiHidden/>
    <w:uiPriority w:val="0"/>
  </w:style>
  <w:style w:type="paragraph" w:styleId="17">
    <w:name w:val="Body Text Indent 3"/>
    <w:basedOn w:val="1"/>
    <w:uiPriority w:val="0"/>
    <w:pPr>
      <w:tabs>
        <w:tab w:val="left" w:pos="2310"/>
      </w:tabs>
      <w:adjustRightInd w:val="0"/>
      <w:spacing w:line="520" w:lineRule="exact"/>
      <w:ind w:firstLine="498" w:firstLineChars="166"/>
      <w:textAlignment w:val="baseline"/>
    </w:pPr>
    <w:rPr>
      <w:rFonts w:ascii="楷体_GB2312" w:eastAsia="楷体_GB2312"/>
      <w:kern w:val="0"/>
      <w:sz w:val="30"/>
      <w:szCs w:val="20"/>
    </w:rPr>
  </w:style>
  <w:style w:type="paragraph" w:styleId="18">
    <w:name w:val="toc 2"/>
    <w:basedOn w:val="1"/>
    <w:next w:val="1"/>
    <w:semiHidden/>
    <w:uiPriority w:val="0"/>
    <w:pPr>
      <w:ind w:left="420" w:leftChars="200"/>
    </w:pPr>
  </w:style>
  <w:style w:type="paragraph" w:styleId="19">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SA"/>
    </w:rPr>
  </w:style>
  <w:style w:type="paragraph" w:styleId="20">
    <w:name w:val="Normal (Web)"/>
    <w:basedOn w:val="1"/>
    <w:uiPriority w:val="0"/>
    <w:pPr>
      <w:widowControl/>
      <w:spacing w:before="100" w:beforeAutospacing="1" w:after="100" w:afterAutospacing="1"/>
      <w:jc w:val="left"/>
    </w:pPr>
    <w:rPr>
      <w:rFonts w:ascii="宋体" w:hAnsi="宋体" w:cs="宋体"/>
      <w:kern w:val="0"/>
      <w:sz w:val="24"/>
    </w:rPr>
  </w:style>
  <w:style w:type="paragraph" w:styleId="21">
    <w:name w:val="index 1"/>
    <w:basedOn w:val="1"/>
    <w:next w:val="1"/>
    <w:uiPriority w:val="0"/>
    <w:pPr>
      <w:widowControl/>
      <w:spacing w:line="340" w:lineRule="exact"/>
      <w:jc w:val="center"/>
    </w:pPr>
    <w:rPr>
      <w:rFonts w:ascii="仿宋_GB2312" w:eastAsia="仿宋_GB2312"/>
    </w:rPr>
  </w:style>
  <w:style w:type="table" w:styleId="23">
    <w:name w:val="Table Grid"/>
    <w:basedOn w:val="22"/>
    <w:unhideWhenUsed/>
    <w:uiPriority w:val="99"/>
    <w:pPr>
      <w:widowControl w:val="0"/>
      <w:jc w:val="both"/>
    </w:pPr>
    <w:tblPr>
      <w:tblStyle w:val="2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
    <w:name w:val="Char"/>
    <w:basedOn w:val="1"/>
    <w:link w:val="24"/>
    <w:qFormat/>
    <w:uiPriority w:val="0"/>
    <w:rPr>
      <w:rFonts w:ascii="Tahoma" w:hAnsi="Tahoma"/>
      <w:sz w:val="24"/>
      <w:szCs w:val="20"/>
    </w:rPr>
  </w:style>
  <w:style w:type="character" w:styleId="26">
    <w:name w:val="Strong"/>
    <w:basedOn w:val="24"/>
    <w:uiPriority w:val="0"/>
    <w:rPr>
      <w:b/>
    </w:rPr>
  </w:style>
  <w:style w:type="character" w:styleId="27">
    <w:name w:val="page number"/>
    <w:basedOn w:val="24"/>
    <w:uiPriority w:val="0"/>
  </w:style>
  <w:style w:type="character" w:styleId="28">
    <w:name w:val="FollowedHyperlink"/>
    <w:basedOn w:val="24"/>
    <w:uiPriority w:val="0"/>
    <w:rPr>
      <w:color w:val="000000"/>
      <w:u w:val="none"/>
    </w:rPr>
  </w:style>
  <w:style w:type="character" w:styleId="29">
    <w:name w:val="Hyperlink"/>
    <w:basedOn w:val="24"/>
    <w:uiPriority w:val="0"/>
    <w:rPr>
      <w:color w:val="000000"/>
      <w:u w:val="none"/>
    </w:rPr>
  </w:style>
  <w:style w:type="character" w:customStyle="1" w:styleId="30">
    <w:name w:val=" Char Char1"/>
    <w:link w:val="4"/>
    <w:uiPriority w:val="0"/>
    <w:rPr>
      <w:rFonts w:eastAsia="宋体"/>
      <w:kern w:val="2"/>
      <w:sz w:val="28"/>
      <w:szCs w:val="24"/>
      <w:lang w:val="en-US" w:eastAsia="zh-CN" w:bidi="ar-SA"/>
    </w:rPr>
  </w:style>
  <w:style w:type="character" w:customStyle="1" w:styleId="31">
    <w:name w:val="纯文本 Char Char"/>
    <w:basedOn w:val="24"/>
    <w:link w:val="9"/>
    <w:uiPriority w:val="0"/>
    <w:rPr>
      <w:rFonts w:ascii="宋体" w:hAnsi="Courier New" w:eastAsia="宋体"/>
      <w:kern w:val="2"/>
      <w:sz w:val="21"/>
      <w:lang w:val="en-US" w:eastAsia="zh-CN" w:bidi="ar-SA"/>
    </w:rPr>
  </w:style>
  <w:style w:type="character" w:customStyle="1" w:styleId="32">
    <w:name w:val="font131"/>
    <w:basedOn w:val="24"/>
    <w:uiPriority w:val="0"/>
    <w:rPr>
      <w:rFonts w:hint="eastAsia" w:ascii="宋体" w:hAnsi="宋体" w:eastAsia="宋体" w:cs="宋体"/>
      <w:b/>
      <w:color w:val="000000"/>
      <w:sz w:val="21"/>
      <w:szCs w:val="21"/>
      <w:u w:val="none"/>
    </w:rPr>
  </w:style>
  <w:style w:type="character" w:customStyle="1" w:styleId="33">
    <w:name w:val="font111"/>
    <w:basedOn w:val="24"/>
    <w:uiPriority w:val="0"/>
    <w:rPr>
      <w:rFonts w:hint="default" w:ascii="Times New Roman" w:hAnsi="Times New Roman" w:cs="Times New Roman"/>
      <w:b/>
      <w:color w:val="000000"/>
      <w:sz w:val="21"/>
      <w:szCs w:val="21"/>
      <w:u w:val="none"/>
    </w:rPr>
  </w:style>
  <w:style w:type="character" w:customStyle="1" w:styleId="34">
    <w:name w:val="font41"/>
    <w:basedOn w:val="24"/>
    <w:uiPriority w:val="0"/>
    <w:rPr>
      <w:rFonts w:hint="eastAsia" w:ascii="宋体" w:hAnsi="宋体" w:eastAsia="宋体" w:cs="宋体"/>
      <w:color w:val="000000"/>
      <w:sz w:val="21"/>
      <w:szCs w:val="21"/>
      <w:u w:val="none"/>
    </w:rPr>
  </w:style>
  <w:style w:type="character" w:customStyle="1" w:styleId="35">
    <w:name w:val=" Char Char"/>
    <w:basedOn w:val="24"/>
    <w:uiPriority w:val="0"/>
    <w:rPr>
      <w:rFonts w:ascii="Courier New" w:hAnsi="Courier New" w:eastAsia="宋体"/>
      <w:kern w:val="0"/>
      <w:sz w:val="21"/>
      <w:lang w:val="en-US" w:eastAsia="zh-CN" w:bidi="ar-SA"/>
    </w:rPr>
  </w:style>
  <w:style w:type="character" w:customStyle="1" w:styleId="36">
    <w:name w:val="font51"/>
    <w:basedOn w:val="24"/>
    <w:uiPriority w:val="0"/>
    <w:rPr>
      <w:rFonts w:hint="default" w:ascii="Times New Roman" w:hAnsi="Times New Roman" w:cs="Times New Roman"/>
      <w:color w:val="000000"/>
      <w:sz w:val="21"/>
      <w:szCs w:val="21"/>
      <w:u w:val="none"/>
    </w:rPr>
  </w:style>
  <w:style w:type="character" w:customStyle="1" w:styleId="37">
    <w:name w:val="font31"/>
    <w:basedOn w:val="24"/>
    <w:uiPriority w:val="0"/>
    <w:rPr>
      <w:rFonts w:ascii="仿宋_GB2312" w:eastAsia="仿宋_GB2312" w:cs="仿宋_GB2312"/>
      <w:color w:val="000000"/>
      <w:sz w:val="21"/>
      <w:szCs w:val="21"/>
      <w:u w:val="none"/>
    </w:rPr>
  </w:style>
  <w:style w:type="character" w:customStyle="1" w:styleId="38">
    <w:name w:val="font161"/>
    <w:basedOn w:val="24"/>
    <w:uiPriority w:val="0"/>
    <w:rPr>
      <w:rFonts w:hint="default" w:ascii="Times New Roman" w:hAnsi="Times New Roman" w:cs="Times New Roman"/>
      <w:color w:val="000000"/>
      <w:sz w:val="18"/>
      <w:szCs w:val="18"/>
      <w:u w:val="none"/>
    </w:rPr>
  </w:style>
  <w:style w:type="character" w:customStyle="1" w:styleId="39">
    <w:name w:val="纯文本 Char1"/>
    <w:basedOn w:val="24"/>
    <w:uiPriority w:val="0"/>
    <w:rPr>
      <w:rFonts w:ascii="宋体" w:hAnsi="Courier New" w:eastAsia="宋体"/>
      <w:kern w:val="2"/>
      <w:sz w:val="21"/>
      <w:lang w:val="en-US" w:eastAsia="zh-CN" w:bidi="ar-SA"/>
    </w:rPr>
  </w:style>
  <w:style w:type="character" w:customStyle="1" w:styleId="40">
    <w:name w:val="font11"/>
    <w:basedOn w:val="24"/>
    <w:uiPriority w:val="0"/>
    <w:rPr>
      <w:rFonts w:ascii="Arial" w:hAnsi="Arial" w:cs="Arial"/>
      <w:color w:val="000000"/>
      <w:sz w:val="20"/>
      <w:szCs w:val="20"/>
      <w:u w:val="none"/>
    </w:rPr>
  </w:style>
  <w:style w:type="character" w:customStyle="1" w:styleId="41">
    <w:name w:val="mtitle1"/>
    <w:basedOn w:val="24"/>
    <w:uiPriority w:val="0"/>
    <w:rPr>
      <w:rFonts w:hint="eastAsia" w:ascii="宋体" w:hAnsi="宋体" w:eastAsia="宋体" w:cs="宋体"/>
      <w:b/>
      <w:color w:val="000000"/>
      <w:sz w:val="20"/>
      <w:szCs w:val="20"/>
    </w:rPr>
  </w:style>
  <w:style w:type="character" w:customStyle="1" w:styleId="42">
    <w:name w:val="font151"/>
    <w:basedOn w:val="24"/>
    <w:uiPriority w:val="0"/>
    <w:rPr>
      <w:rFonts w:ascii="仿宋_GB2312" w:eastAsia="仿宋_GB2312" w:cs="仿宋_GB2312"/>
      <w:b/>
      <w:color w:val="000000"/>
      <w:sz w:val="21"/>
      <w:szCs w:val="21"/>
      <w:u w:val="none"/>
    </w:rPr>
  </w:style>
  <w:style w:type="character" w:customStyle="1" w:styleId="43">
    <w:name w:val="正文缩进 Char"/>
    <w:basedOn w:val="24"/>
    <w:uiPriority w:val="0"/>
    <w:rPr>
      <w:rFonts w:eastAsia="宋体"/>
      <w:kern w:val="2"/>
      <w:sz w:val="28"/>
      <w:lang w:val="en-US" w:eastAsia="zh-CN" w:bidi="ar-SA"/>
    </w:rPr>
  </w:style>
  <w:style w:type="character" w:customStyle="1" w:styleId="44">
    <w:name w:val="font71"/>
    <w:basedOn w:val="24"/>
    <w:uiPriority w:val="0"/>
    <w:rPr>
      <w:rFonts w:hint="eastAsia" w:ascii="仿宋_GB2312" w:eastAsia="仿宋_GB2312" w:cs="仿宋_GB2312"/>
      <w:b/>
      <w:color w:val="000000"/>
      <w:sz w:val="21"/>
      <w:szCs w:val="21"/>
      <w:u w:val="none"/>
    </w:rPr>
  </w:style>
  <w:style w:type="character" w:customStyle="1" w:styleId="45">
    <w:name w:val="font101"/>
    <w:basedOn w:val="24"/>
    <w:uiPriority w:val="0"/>
    <w:rPr>
      <w:rFonts w:hint="default" w:ascii="仿宋_GB2312" w:eastAsia="仿宋_GB2312" w:cs="仿宋_GB2312"/>
      <w:b/>
      <w:color w:val="FF0000"/>
      <w:sz w:val="20"/>
      <w:szCs w:val="20"/>
      <w:u w:val="none"/>
    </w:rPr>
  </w:style>
  <w:style w:type="character" w:customStyle="1" w:styleId="46">
    <w:name w:val="font91"/>
    <w:basedOn w:val="24"/>
    <w:qFormat/>
    <w:uiPriority w:val="0"/>
    <w:rPr>
      <w:rFonts w:ascii="宋体" w:hAnsi="宋体" w:eastAsia="宋体" w:cs="宋体"/>
      <w:b/>
      <w:color w:val="000000"/>
      <w:sz w:val="20"/>
      <w:szCs w:val="20"/>
      <w:u w:val="none"/>
    </w:rPr>
  </w:style>
  <w:style w:type="character" w:customStyle="1" w:styleId="47">
    <w:name w:val="font81"/>
    <w:basedOn w:val="24"/>
    <w:qFormat/>
    <w:uiPriority w:val="0"/>
    <w:rPr>
      <w:rFonts w:ascii="宋体" w:hAnsi="宋体" w:eastAsia="宋体" w:cs="宋体"/>
      <w:b/>
      <w:color w:val="000000"/>
      <w:sz w:val="20"/>
      <w:szCs w:val="20"/>
      <w:u w:val="none"/>
    </w:rPr>
  </w:style>
  <w:style w:type="character" w:customStyle="1" w:styleId="48">
    <w:name w:val="font21"/>
    <w:basedOn w:val="24"/>
    <w:uiPriority w:val="0"/>
    <w:rPr>
      <w:rFonts w:hint="eastAsia" w:ascii="宋体" w:hAnsi="宋体" w:eastAsia="宋体" w:cs="宋体"/>
      <w:color w:val="000000"/>
      <w:sz w:val="20"/>
      <w:szCs w:val="20"/>
      <w:u w:val="none"/>
    </w:rPr>
  </w:style>
  <w:style w:type="character" w:customStyle="1" w:styleId="49">
    <w:name w:val="font01"/>
    <w:basedOn w:val="24"/>
    <w:uiPriority w:val="0"/>
    <w:rPr>
      <w:rFonts w:hint="eastAsia" w:ascii="宋体" w:hAnsi="宋体" w:eastAsia="宋体" w:cs="宋体"/>
      <w:color w:val="000000"/>
      <w:sz w:val="21"/>
      <w:szCs w:val="21"/>
      <w:u w:val="none"/>
    </w:rPr>
  </w:style>
  <w:style w:type="character" w:customStyle="1" w:styleId="50">
    <w:name w:val="font12"/>
    <w:basedOn w:val="24"/>
    <w:uiPriority w:val="0"/>
    <w:rPr>
      <w:rFonts w:ascii="宋体" w:hAnsi="宋体" w:eastAsia="宋体" w:cs="宋体"/>
      <w:b/>
      <w:color w:val="000000"/>
      <w:sz w:val="20"/>
      <w:szCs w:val="20"/>
      <w:u w:val="none"/>
    </w:rPr>
  </w:style>
  <w:style w:type="character" w:customStyle="1" w:styleId="51">
    <w:name w:val="font61"/>
    <w:basedOn w:val="24"/>
    <w:uiPriority w:val="0"/>
    <w:rPr>
      <w:rFonts w:hint="default" w:ascii="仿宋_GB2312" w:eastAsia="仿宋_GB2312" w:cs="仿宋_GB2312"/>
      <w:color w:val="000000"/>
      <w:sz w:val="20"/>
      <w:szCs w:val="20"/>
      <w:u w:val="none"/>
    </w:rPr>
  </w:style>
  <w:style w:type="paragraph" w:customStyle="1" w:styleId="52">
    <w:name w:val="_Style 3"/>
    <w:qFormat/>
    <w:uiPriority w:val="1"/>
    <w:pPr>
      <w:widowControl w:val="0"/>
      <w:jc w:val="both"/>
    </w:pPr>
    <w:rPr>
      <w:kern w:val="2"/>
      <w:sz w:val="21"/>
      <w:szCs w:val="24"/>
      <w:lang w:val="en-US" w:eastAsia="zh-CN" w:bidi="ar-SA"/>
    </w:rPr>
  </w:style>
  <w:style w:type="paragraph" w:customStyle="1" w:styleId="53">
    <w:name w:val="Other|1"/>
    <w:basedOn w:val="1"/>
    <w:uiPriority w:val="0"/>
    <w:pPr>
      <w:widowControl w:val="0"/>
      <w:shd w:val="clear" w:color="auto" w:fill="auto"/>
      <w:jc w:val="center"/>
    </w:pPr>
    <w:rPr>
      <w:rFonts w:ascii="宋体" w:hAnsi="宋体" w:eastAsia="宋体" w:cs="宋体"/>
      <w:sz w:val="15"/>
      <w:szCs w:val="15"/>
      <w:u w:val="none"/>
      <w:shd w:val="clear" w:color="auto" w:fill="auto"/>
      <w:lang w:val="zh-TW" w:eastAsia="zh-TW" w:bidi="zh-TW"/>
    </w:rPr>
  </w:style>
  <w:style w:type="paragraph" w:customStyle="1" w:styleId="54">
    <w:name w:val="reader-word-layer reader-word-s1-5"/>
    <w:basedOn w:val="1"/>
    <w:uiPriority w:val="0"/>
    <w:pPr>
      <w:widowControl/>
      <w:spacing w:before="100" w:beforeAutospacing="1" w:after="100" w:afterAutospacing="1"/>
      <w:jc w:val="left"/>
    </w:pPr>
    <w:rPr>
      <w:rFonts w:ascii="宋体" w:hAnsi="宋体" w:cs="宋体"/>
      <w:kern w:val="0"/>
      <w:sz w:val="24"/>
    </w:rPr>
  </w:style>
  <w:style w:type="paragraph" w:customStyle="1" w:styleId="55">
    <w:name w:val="无间隔"/>
    <w:qFormat/>
    <w:uiPriority w:val="1"/>
    <w:pPr>
      <w:widowControl w:val="0"/>
      <w:jc w:val="both"/>
    </w:pPr>
    <w:rPr>
      <w:kern w:val="2"/>
      <w:sz w:val="21"/>
      <w:szCs w:val="24"/>
      <w:lang w:val="en-US" w:eastAsia="zh-CN" w:bidi="ar-SA"/>
    </w:rPr>
  </w:style>
  <w:style w:type="paragraph" w:customStyle="1" w:styleId="56">
    <w:name w:val="Plain Text"/>
    <w:basedOn w:val="1"/>
    <w:uiPriority w:val="0"/>
    <w:pPr>
      <w:adjustRightInd w:val="0"/>
      <w:textAlignment w:val="baseline"/>
    </w:pPr>
    <w:rPr>
      <w:rFonts w:ascii="宋体" w:hAnsi="Courier New"/>
      <w:szCs w:val="20"/>
    </w:rPr>
  </w:style>
  <w:style w:type="paragraph" w:customStyle="1" w:styleId="57">
    <w:name w:val="reader-word-layer reader-word-s1-2"/>
    <w:basedOn w:val="1"/>
    <w:uiPriority w:val="0"/>
    <w:pPr>
      <w:widowControl/>
      <w:spacing w:before="100" w:beforeAutospacing="1" w:after="100" w:afterAutospacing="1"/>
      <w:jc w:val="left"/>
    </w:pPr>
    <w:rPr>
      <w:rFonts w:ascii="宋体" w:hAnsi="宋体" w:cs="宋体"/>
      <w:kern w:val="0"/>
      <w:sz w:val="24"/>
    </w:rPr>
  </w:style>
  <w:style w:type="paragraph" w:customStyle="1" w:styleId="58">
    <w:name w:val="Table Paragraph"/>
    <w:basedOn w:val="1"/>
    <w:qFormat/>
    <w:uiPriority w:val="1"/>
    <w:rPr>
      <w:rFonts w:ascii="仿宋" w:hAnsi="仿宋" w:eastAsia="仿宋" w:cs="仿宋"/>
      <w:lang w:val="zh-CN" w:eastAsia="zh-CN" w:bidi="zh-CN"/>
    </w:rPr>
  </w:style>
  <w:style w:type="paragraph" w:customStyle="1" w:styleId="59">
    <w:name w:val="reader-word-layer reader-word-s1-0 reader-word-s1-6"/>
    <w:basedOn w:val="1"/>
    <w:uiPriority w:val="0"/>
    <w:pPr>
      <w:widowControl/>
      <w:spacing w:before="100" w:beforeAutospacing="1" w:after="100" w:afterAutospacing="1"/>
      <w:jc w:val="left"/>
    </w:pPr>
    <w:rPr>
      <w:rFonts w:ascii="宋体" w:hAnsi="宋体" w:cs="宋体"/>
      <w:kern w:val="0"/>
      <w:sz w:val="24"/>
    </w:rPr>
  </w:style>
  <w:style w:type="paragraph" w:customStyle="1" w:styleId="60">
    <w:name w:val="估价项目名称"/>
    <w:basedOn w:val="1"/>
    <w:uiPriority w:val="0"/>
    <w:pPr>
      <w:tabs>
        <w:tab w:val="left" w:pos="1260"/>
        <w:tab w:val="left" w:pos="1440"/>
      </w:tabs>
      <w:spacing w:line="480" w:lineRule="exact"/>
    </w:pPr>
    <w:rPr>
      <w:rFonts w:eastAsia="仿宋_GB2312"/>
      <w:color w:val="0000FF"/>
      <w:kern w:val="0"/>
      <w:sz w:val="28"/>
      <w:szCs w:val="20"/>
    </w:rPr>
  </w:style>
  <w:style w:type="paragraph" w:customStyle="1" w:styleId="61">
    <w:name w:val="reader-word-layer reader-word-s1-4 reader-word-s1-6"/>
    <w:basedOn w:val="1"/>
    <w:uiPriority w:val="0"/>
    <w:pPr>
      <w:widowControl/>
      <w:spacing w:before="100" w:beforeAutospacing="1" w:after="100" w:afterAutospacing="1"/>
      <w:jc w:val="left"/>
    </w:pPr>
    <w:rPr>
      <w:rFonts w:ascii="宋体" w:hAnsi="宋体" w:cs="宋体"/>
      <w:kern w:val="0"/>
      <w:sz w:val="24"/>
    </w:rPr>
  </w:style>
  <w:style w:type="paragraph" w:customStyle="1" w:styleId="62">
    <w:name w:val=" Char Char Char"/>
    <w:basedOn w:val="1"/>
    <w:uiPriority w:val="0"/>
    <w:pPr>
      <w:widowControl/>
      <w:spacing w:after="160" w:line="240" w:lineRule="exact"/>
      <w:jc w:val="left"/>
    </w:pPr>
    <w:rPr>
      <w:rFonts w:ascii="Verdana" w:hAnsi="Verdana" w:eastAsia="Times New Roman" w:cs="仿宋_GB2312"/>
      <w:kern w:val="0"/>
      <w:sz w:val="20"/>
      <w:szCs w:val="28"/>
      <w:lang w:eastAsia="en-US"/>
    </w:rPr>
  </w:style>
  <w:style w:type="paragraph" w:customStyle="1" w:styleId="63">
    <w:name w:val="reader-word-layer reader-word-s1-0"/>
    <w:basedOn w:val="1"/>
    <w:uiPriority w:val="0"/>
    <w:pPr>
      <w:widowControl/>
      <w:spacing w:before="100" w:beforeAutospacing="1" w:after="100" w:afterAutospacing="1"/>
      <w:jc w:val="left"/>
    </w:pPr>
    <w:rPr>
      <w:rFonts w:ascii="宋体" w:hAnsi="宋体" w:cs="宋体"/>
      <w:kern w:val="0"/>
      <w:sz w:val="24"/>
    </w:rPr>
  </w:style>
  <w:style w:type="paragraph" w:customStyle="1" w:styleId="64">
    <w:name w:val="标题1"/>
    <w:basedOn w:val="1"/>
    <w:next w:val="1"/>
    <w:uiPriority w:val="0"/>
    <w:pPr>
      <w:tabs>
        <w:tab w:val="left" w:pos="9193"/>
        <w:tab w:val="left" w:pos="9827"/>
      </w:tabs>
      <w:spacing w:line="700" w:lineRule="atLeast"/>
      <w:ind w:firstLine="0"/>
      <w:jc w:val="center"/>
    </w:pPr>
    <w:rPr>
      <w:rFonts w:eastAsia="方正小标宋_GBK"/>
      <w:sz w:val="44"/>
    </w:rPr>
  </w:style>
  <w:style w:type="paragraph" w:customStyle="1" w:styleId="65">
    <w:name w:val="WPSOffice手动目录 1"/>
    <w:uiPriority w:val="0"/>
    <w:pPr>
      <w:ind w:leftChars="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wmf"/><Relationship Id="rId17" Type="http://schemas.openxmlformats.org/officeDocument/2006/relationships/oleObject" Target="embeddings/oleObject1.bin"/><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28</Pages>
  <Words>12480</Words>
  <Characters>13594</Characters>
  <Lines>381</Lines>
  <Paragraphs>107</Paragraphs>
  <TotalTime>20</TotalTime>
  <ScaleCrop>false</ScaleCrop>
  <LinksUpToDate>false</LinksUpToDate>
  <CharactersWithSpaces>13766</CharactersWithSpaces>
  <Application>WPS Office_11.1.0.12353_F1E327BC-269C-435d-A152-05C5408002CA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2014-09-17T00:33:00Z</dcterms:created>
  <dc:creator>微软用户</dc:creator>
  <cp:lastModifiedBy>徐忠新 安达·评估·测绘</cp:lastModifiedBy>
  <cp:lastPrinted>2021-07-01T08:31:00Z</cp:lastPrinted>
  <dcterms:modified xsi:type="dcterms:W3CDTF">2022-08-29T01:07:37Z</dcterms:modified>
  <dc:title>　</dc:title>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2052-11.1.0.12353</vt:lpwstr>
  </property>
  <property fmtid="{D5CDD505-2E9C-101B-9397-08002B2CF9AE}" pid="3" name="ICV">
    <vt:lpwstr>2CE62B86D0994F1A876F8201A7965E5F</vt:lpwstr>
  </property>
  <property fmtid="{D5CDD505-2E9C-101B-9397-08002B2CF9AE}" pid="4" name="KSOSaveFontToCloudKey">
    <vt:lpwstr>277975966_embed</vt:lpwstr>
  </property>
</Properties>
</file>