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 w:leftChars="-1" w:firstLine="2"/>
        <w:rPr>
          <w:sz w:val="48"/>
        </w:rPr>
      </w:pPr>
    </w:p>
    <w:p>
      <w:pPr>
        <w:rPr>
          <w:sz w:val="48"/>
        </w:rPr>
      </w:pPr>
    </w:p>
    <w:p>
      <w:pPr>
        <w:jc w:val="distribute"/>
        <w:rPr>
          <w:spacing w:val="-20"/>
          <w:sz w:val="72"/>
        </w:rPr>
      </w:pPr>
      <w:r>
        <w:rPr>
          <w:spacing w:val="-20"/>
          <w:sz w:val="72"/>
        </w:rPr>
        <w:t>涉执房地产处置司法评估报告</w:t>
      </w:r>
    </w:p>
    <w:p>
      <w:pPr>
        <w:jc w:val="distribute"/>
        <w:rPr>
          <w:sz w:val="84"/>
        </w:rPr>
      </w:pPr>
    </w:p>
    <w:p>
      <w:pPr>
        <w:jc w:val="distribute"/>
        <w:rPr>
          <w:sz w:val="48"/>
        </w:rPr>
      </w:pPr>
    </w:p>
    <w:p>
      <w:pPr>
        <w:jc w:val="distribute"/>
        <w:rPr>
          <w:sz w:val="48"/>
        </w:rPr>
      </w:pPr>
    </w:p>
    <w:p>
      <w:pPr>
        <w:jc w:val="distribute"/>
        <w:rPr>
          <w:sz w:val="48"/>
        </w:rPr>
      </w:pPr>
    </w:p>
    <w:p>
      <w:pPr>
        <w:jc w:val="distribute"/>
        <w:rPr>
          <w:sz w:val="48"/>
        </w:rPr>
      </w:pPr>
    </w:p>
    <w:p>
      <w:pPr>
        <w:jc w:val="distribute"/>
        <w:rPr>
          <w:sz w:val="48"/>
        </w:rPr>
      </w:pPr>
    </w:p>
    <w:p>
      <w:pPr>
        <w:jc w:val="distribute"/>
        <w:rPr>
          <w:sz w:val="48"/>
        </w:rPr>
      </w:pPr>
    </w:p>
    <w:p>
      <w:pPr>
        <w:jc w:val="distribute"/>
        <w:rPr>
          <w:sz w:val="48"/>
        </w:rPr>
      </w:pPr>
    </w:p>
    <w:p>
      <w:pPr>
        <w:jc w:val="distribute"/>
        <w:rPr>
          <w:sz w:val="48"/>
        </w:rPr>
      </w:pPr>
    </w:p>
    <w:p>
      <w:pPr>
        <w:jc w:val="distribute"/>
        <w:rPr>
          <w:sz w:val="48"/>
        </w:rPr>
      </w:pPr>
    </w:p>
    <w:p>
      <w:pPr>
        <w:jc w:val="distribute"/>
        <w:rPr>
          <w:sz w:val="48"/>
        </w:rPr>
      </w:pPr>
    </w:p>
    <w:p>
      <w:pPr>
        <w:jc w:val="distribute"/>
        <w:rPr>
          <w:sz w:val="36"/>
        </w:rPr>
      </w:pPr>
    </w:p>
    <w:p>
      <w:pPr>
        <w:jc w:val="distribute"/>
        <w:rPr>
          <w:sz w:val="36"/>
        </w:rPr>
      </w:pPr>
    </w:p>
    <w:p>
      <w:pPr>
        <w:jc w:val="distribute"/>
        <w:rPr>
          <w:b/>
          <w:bCs/>
          <w:sz w:val="36"/>
        </w:rPr>
      </w:pPr>
    </w:p>
    <w:p>
      <w:pPr>
        <w:jc w:val="distribute"/>
        <w:rPr>
          <w:b/>
          <w:bCs/>
          <w:sz w:val="36"/>
        </w:rPr>
      </w:pPr>
    </w:p>
    <w:p>
      <w:pPr>
        <w:jc w:val="distribute"/>
        <w:rPr>
          <w:b/>
          <w:bCs/>
          <w:sz w:val="36"/>
        </w:rPr>
      </w:pPr>
      <w:r>
        <w:rPr>
          <w:sz w:val="36"/>
        </w:rPr>
        <w:t>江苏瑞地土地房地产评估有限公司</w:t>
      </w:r>
    </w:p>
    <w:p>
      <w:pPr>
        <w:jc w:val="distribute"/>
        <w:rPr>
          <w:b/>
          <w:bCs/>
          <w:sz w:val="48"/>
        </w:rPr>
      </w:pPr>
    </w:p>
    <w:p>
      <w:pPr>
        <w:rPr>
          <w:b/>
          <w:sz w:val="44"/>
        </w:rPr>
      </w:pPr>
    </w:p>
    <w:p>
      <w:pPr>
        <w:jc w:val="center"/>
        <w:rPr>
          <w:sz w:val="44"/>
        </w:rPr>
      </w:pPr>
    </w:p>
    <w:p>
      <w:pPr>
        <w:jc w:val="center"/>
        <w:rPr>
          <w:spacing w:val="20"/>
          <w:sz w:val="44"/>
        </w:rPr>
      </w:pPr>
      <w:r>
        <w:rPr>
          <w:spacing w:val="20"/>
          <w:sz w:val="44"/>
        </w:rPr>
        <w:t>涉执房地产处置司法评估报告</w:t>
      </w:r>
    </w:p>
    <w:p>
      <w:pPr>
        <w:jc w:val="center"/>
        <w:rPr>
          <w:sz w:val="44"/>
        </w:rPr>
      </w:pPr>
    </w:p>
    <w:p>
      <w:pPr>
        <w:jc w:val="center"/>
        <w:rPr>
          <w:sz w:val="44"/>
        </w:rPr>
      </w:pPr>
    </w:p>
    <w:p>
      <w:pPr>
        <w:spacing w:line="420" w:lineRule="auto"/>
        <w:ind w:left="2274" w:leftChars="16" w:hanging="2240" w:hangingChars="700"/>
        <w:rPr>
          <w:rFonts w:eastAsia="楷体_GB2312"/>
          <w:sz w:val="32"/>
          <w:szCs w:val="32"/>
        </w:rPr>
      </w:pPr>
      <w:r>
        <w:rPr>
          <w:rFonts w:eastAsia="楷体_GB2312"/>
          <w:sz w:val="32"/>
          <w:szCs w:val="32"/>
        </w:rPr>
        <w:t xml:space="preserve">估 价 项 目:  </w:t>
      </w:r>
      <w:r>
        <w:rPr>
          <w:rFonts w:hint="eastAsia" w:eastAsia="楷体_GB2312"/>
          <w:sz w:val="32"/>
          <w:szCs w:val="32"/>
          <w:lang w:eastAsia="zh-CN"/>
        </w:rPr>
        <w:t>盐城市亭湖区盛世家苑4幢107室住宅</w:t>
      </w:r>
      <w:r>
        <w:rPr>
          <w:rFonts w:eastAsia="楷体_GB2312"/>
          <w:sz w:val="32"/>
          <w:szCs w:val="32"/>
        </w:rPr>
        <w:t>房地产</w:t>
      </w:r>
      <w:r>
        <w:rPr>
          <w:rFonts w:hint="eastAsia" w:eastAsia="楷体_GB2312"/>
          <w:sz w:val="32"/>
          <w:szCs w:val="32"/>
          <w:lang w:eastAsia="zh-CN"/>
        </w:rPr>
        <w:t>市场价值（含室内装潢附属及可移动物品）</w:t>
      </w:r>
      <w:r>
        <w:rPr>
          <w:rFonts w:eastAsia="楷体_GB2312"/>
          <w:sz w:val="32"/>
          <w:szCs w:val="32"/>
        </w:rPr>
        <w:t>评估</w:t>
      </w:r>
    </w:p>
    <w:p>
      <w:pPr>
        <w:spacing w:line="420" w:lineRule="auto"/>
        <w:ind w:left="2108" w:hanging="2108"/>
        <w:rPr>
          <w:rFonts w:eastAsia="楷体_GB2312"/>
          <w:sz w:val="32"/>
          <w:szCs w:val="32"/>
        </w:rPr>
      </w:pPr>
    </w:p>
    <w:p>
      <w:pPr>
        <w:spacing w:line="420" w:lineRule="auto"/>
        <w:ind w:left="2108" w:hanging="2108"/>
        <w:rPr>
          <w:rFonts w:hint="eastAsia" w:eastAsia="楷体_GB2312"/>
          <w:sz w:val="32"/>
          <w:szCs w:val="32"/>
          <w:lang w:eastAsia="zh-CN"/>
        </w:rPr>
      </w:pPr>
      <w:r>
        <w:rPr>
          <w:rFonts w:eastAsia="楷体_GB2312"/>
          <w:bCs/>
          <w:sz w:val="32"/>
        </w:rPr>
        <w:t>估价委托人</w:t>
      </w:r>
      <w:r>
        <w:rPr>
          <w:rFonts w:eastAsia="楷体_GB2312"/>
          <w:sz w:val="32"/>
          <w:szCs w:val="32"/>
        </w:rPr>
        <w:t>：</w:t>
      </w:r>
      <w:r>
        <w:rPr>
          <w:rFonts w:hint="eastAsia" w:eastAsia="楷体_GB2312"/>
          <w:sz w:val="32"/>
          <w:szCs w:val="32"/>
        </w:rPr>
        <w:t xml:space="preserve"> </w:t>
      </w:r>
      <w:r>
        <w:rPr>
          <w:rFonts w:hint="eastAsia" w:eastAsia="楷体_GB2312"/>
          <w:sz w:val="32"/>
          <w:szCs w:val="32"/>
          <w:lang w:eastAsia="zh-CN"/>
        </w:rPr>
        <w:t>盐城市盐都区人民法院</w:t>
      </w:r>
    </w:p>
    <w:p>
      <w:pPr>
        <w:spacing w:line="420" w:lineRule="auto"/>
        <w:rPr>
          <w:rFonts w:eastAsia="楷体_GB2312"/>
          <w:sz w:val="32"/>
          <w:szCs w:val="32"/>
        </w:rPr>
      </w:pPr>
    </w:p>
    <w:p>
      <w:pPr>
        <w:spacing w:line="420" w:lineRule="auto"/>
        <w:rPr>
          <w:rFonts w:eastAsia="楷体_GB2312"/>
          <w:sz w:val="32"/>
          <w:szCs w:val="32"/>
        </w:rPr>
      </w:pPr>
      <w:r>
        <w:rPr>
          <w:rFonts w:eastAsia="楷体_GB2312"/>
          <w:sz w:val="32"/>
        </w:rPr>
        <w:t>房地产估价机构</w:t>
      </w:r>
      <w:r>
        <w:rPr>
          <w:rFonts w:eastAsia="楷体_GB2312"/>
          <w:sz w:val="32"/>
          <w:szCs w:val="32"/>
        </w:rPr>
        <w:t>：江苏瑞地土地房地产评估有限公司</w:t>
      </w:r>
    </w:p>
    <w:p>
      <w:pPr>
        <w:spacing w:line="420" w:lineRule="auto"/>
        <w:rPr>
          <w:rFonts w:eastAsia="楷体_GB2312"/>
          <w:sz w:val="32"/>
          <w:szCs w:val="32"/>
        </w:rPr>
      </w:pPr>
    </w:p>
    <w:p>
      <w:pPr>
        <w:spacing w:line="700" w:lineRule="exact"/>
        <w:rPr>
          <w:rFonts w:eastAsia="楷体_GB2312"/>
          <w:sz w:val="32"/>
          <w:szCs w:val="32"/>
        </w:rPr>
      </w:pPr>
      <w:r>
        <w:rPr>
          <w:rFonts w:eastAsia="楷体_GB2312"/>
          <w:color w:val="000000"/>
          <w:sz w:val="32"/>
        </w:rPr>
        <w:t>注册房地产估价师：</w:t>
      </w:r>
      <w:r>
        <w:rPr>
          <w:rFonts w:eastAsia="楷体_GB2312"/>
          <w:sz w:val="32"/>
          <w:szCs w:val="32"/>
        </w:rPr>
        <w:t xml:space="preserve"> 蔡志国   注册号：3220040399</w:t>
      </w:r>
    </w:p>
    <w:p>
      <w:pPr>
        <w:spacing w:line="700" w:lineRule="exact"/>
        <w:ind w:firstLine="2880" w:firstLineChars="900"/>
        <w:rPr>
          <w:rFonts w:eastAsia="楷体_GB2312"/>
          <w:sz w:val="32"/>
          <w:szCs w:val="32"/>
        </w:rPr>
      </w:pPr>
      <w:r>
        <w:rPr>
          <w:rFonts w:eastAsia="楷体_GB2312"/>
          <w:sz w:val="32"/>
          <w:szCs w:val="32"/>
        </w:rPr>
        <w:t xml:space="preserve"> 严小利   注册号：3220170125</w:t>
      </w:r>
    </w:p>
    <w:p>
      <w:pPr>
        <w:spacing w:line="420" w:lineRule="auto"/>
        <w:rPr>
          <w:rFonts w:eastAsia="楷体_GB2312"/>
          <w:sz w:val="32"/>
          <w:szCs w:val="32"/>
        </w:rPr>
      </w:pPr>
    </w:p>
    <w:p>
      <w:pPr>
        <w:spacing w:line="420" w:lineRule="auto"/>
        <w:ind w:left="2240" w:hanging="2240" w:hangingChars="700"/>
        <w:rPr>
          <w:rFonts w:hint="eastAsia" w:eastAsia="楷体_GB2312"/>
          <w:sz w:val="32"/>
          <w:szCs w:val="32"/>
          <w:lang w:eastAsia="zh-CN"/>
        </w:rPr>
      </w:pPr>
      <w:r>
        <w:rPr>
          <w:rFonts w:eastAsia="楷体_GB2312"/>
          <w:sz w:val="32"/>
          <w:szCs w:val="32"/>
        </w:rPr>
        <w:t>估价报告出具日期：</w:t>
      </w:r>
      <w:r>
        <w:rPr>
          <w:rFonts w:hint="eastAsia" w:eastAsia="楷体_GB2312"/>
          <w:sz w:val="32"/>
          <w:szCs w:val="32"/>
          <w:lang w:eastAsia="zh-CN"/>
        </w:rPr>
        <w:t>二○二二年二月八日</w:t>
      </w:r>
    </w:p>
    <w:p>
      <w:pPr>
        <w:spacing w:line="420" w:lineRule="auto"/>
        <w:rPr>
          <w:rFonts w:eastAsia="楷体_GB2312"/>
          <w:sz w:val="32"/>
          <w:szCs w:val="32"/>
        </w:rPr>
      </w:pPr>
    </w:p>
    <w:p>
      <w:pPr>
        <w:spacing w:line="420" w:lineRule="auto"/>
        <w:rPr>
          <w:rFonts w:hint="eastAsia" w:eastAsia="楷体_GB2312"/>
          <w:color w:val="000000"/>
          <w:sz w:val="32"/>
          <w:szCs w:val="32"/>
          <w:lang w:eastAsia="zh-CN"/>
        </w:rPr>
      </w:pPr>
      <w:r>
        <w:rPr>
          <w:rFonts w:eastAsia="楷体_GB2312"/>
          <w:sz w:val="32"/>
          <w:szCs w:val="32"/>
        </w:rPr>
        <w:t>估价报告编号</w:t>
      </w:r>
      <w:r>
        <w:rPr>
          <w:rFonts w:eastAsia="楷体_GB2312"/>
          <w:color w:val="000000"/>
          <w:sz w:val="32"/>
          <w:szCs w:val="32"/>
        </w:rPr>
        <w:t>：(江苏)瑞地房估</w:t>
      </w:r>
      <w:r>
        <w:rPr>
          <w:rFonts w:hint="eastAsia" w:eastAsia="楷体_GB2312"/>
          <w:color w:val="000000"/>
          <w:sz w:val="32"/>
          <w:szCs w:val="32"/>
          <w:lang w:eastAsia="zh-CN"/>
        </w:rPr>
        <w:t>[2022]字第XYC002号</w:t>
      </w:r>
    </w:p>
    <w:p>
      <w:pPr>
        <w:jc w:val="distribute"/>
        <w:rPr>
          <w:sz w:val="30"/>
        </w:rPr>
      </w:pPr>
    </w:p>
    <w:p>
      <w:pPr>
        <w:jc w:val="distribute"/>
        <w:rPr>
          <w:sz w:val="30"/>
        </w:rPr>
      </w:pPr>
    </w:p>
    <w:p>
      <w:pPr>
        <w:rPr>
          <w:sz w:val="30"/>
        </w:rPr>
      </w:pPr>
    </w:p>
    <w:p>
      <w:pPr>
        <w:rPr>
          <w:b/>
          <w:sz w:val="32"/>
        </w:rPr>
      </w:pPr>
    </w:p>
    <w:p>
      <w:pPr>
        <w:jc w:val="both"/>
        <w:rPr>
          <w:bCs/>
          <w:sz w:val="36"/>
          <w:szCs w:val="36"/>
        </w:rPr>
      </w:pPr>
      <w:bookmarkStart w:id="0" w:name="_Toc379966899"/>
    </w:p>
    <w:p>
      <w:pPr>
        <w:ind w:firstLine="2880" w:firstLineChars="800"/>
        <w:jc w:val="both"/>
        <w:rPr>
          <w:bCs/>
          <w:sz w:val="36"/>
          <w:szCs w:val="36"/>
        </w:rPr>
      </w:pPr>
      <w:r>
        <w:rPr>
          <w:bCs/>
          <w:sz w:val="36"/>
          <w:szCs w:val="36"/>
        </w:rPr>
        <w:t>致 估 价 委 托 人 函</w:t>
      </w:r>
      <w:bookmarkEnd w:id="0"/>
    </w:p>
    <w:p>
      <w:pPr>
        <w:spacing w:line="420" w:lineRule="exact"/>
        <w:rPr>
          <w:rFonts w:eastAsia="仿宋_GB2312"/>
          <w:bCs/>
          <w:sz w:val="28"/>
        </w:rPr>
      </w:pPr>
      <w:r>
        <w:rPr>
          <w:rFonts w:hint="eastAsia" w:eastAsia="仿宋_GB2312"/>
          <w:bCs/>
          <w:sz w:val="28"/>
          <w:lang w:eastAsia="zh-CN"/>
        </w:rPr>
        <w:t>盐城市盐都区人民法院</w:t>
      </w:r>
      <w:r>
        <w:rPr>
          <w:rFonts w:eastAsia="仿宋_GB2312"/>
          <w:bCs/>
          <w:sz w:val="28"/>
        </w:rPr>
        <w:t>：</w:t>
      </w:r>
    </w:p>
    <w:p>
      <w:pPr>
        <w:snapToGrid w:val="0"/>
        <w:spacing w:line="420" w:lineRule="exact"/>
        <w:ind w:right="-13" w:rightChars="-6"/>
        <w:rPr>
          <w:rFonts w:hint="eastAsia" w:eastAsia="仿宋_GB2312"/>
          <w:sz w:val="28"/>
          <w:szCs w:val="28"/>
          <w:lang w:eastAsia="zh-CN"/>
        </w:rPr>
      </w:pPr>
      <w:r>
        <w:rPr>
          <w:rFonts w:eastAsia="仿宋_GB2312"/>
          <w:sz w:val="28"/>
        </w:rPr>
        <w:t xml:space="preserve">    </w:t>
      </w:r>
      <w:r>
        <w:rPr>
          <w:rFonts w:hint="eastAsia" w:eastAsia="仿宋_GB2312"/>
          <w:sz w:val="28"/>
        </w:rPr>
        <w:t xml:space="preserve"> </w:t>
      </w:r>
      <w:r>
        <w:rPr>
          <w:rFonts w:eastAsia="仿宋_GB2312"/>
          <w:sz w:val="28"/>
        </w:rPr>
        <w:t>受贵院的委托，本公司秉着独立、客</w:t>
      </w:r>
      <w:r>
        <w:rPr>
          <w:rFonts w:eastAsia="仿宋_GB2312"/>
          <w:sz w:val="28"/>
          <w:szCs w:val="28"/>
        </w:rPr>
        <w:t>观、公正的原则，对</w:t>
      </w:r>
      <w:r>
        <w:rPr>
          <w:rFonts w:hint="eastAsia" w:eastAsia="仿宋_GB2312"/>
          <w:sz w:val="28"/>
          <w:lang w:eastAsia="zh-CN"/>
        </w:rPr>
        <w:t>陈福祥、孙翠兰</w:t>
      </w:r>
      <w:r>
        <w:rPr>
          <w:rFonts w:hint="eastAsia" w:eastAsia="仿宋_GB2312"/>
          <w:sz w:val="28"/>
          <w:lang w:val="en-US" w:eastAsia="zh-CN"/>
        </w:rPr>
        <w:t>共同共有</w:t>
      </w:r>
      <w:r>
        <w:rPr>
          <w:rFonts w:eastAsia="仿宋_GB2312"/>
          <w:sz w:val="28"/>
        </w:rPr>
        <w:t>的位于</w:t>
      </w:r>
      <w:r>
        <w:rPr>
          <w:rFonts w:hint="eastAsia" w:eastAsia="仿宋_GB2312"/>
          <w:sz w:val="28"/>
          <w:lang w:eastAsia="zh-CN"/>
        </w:rPr>
        <w:t>盐城市亭湖区盛世家苑4幢107室住宅</w:t>
      </w:r>
      <w:r>
        <w:rPr>
          <w:rFonts w:eastAsia="仿宋_GB2312"/>
          <w:sz w:val="28"/>
        </w:rPr>
        <w:t>房地产</w:t>
      </w:r>
      <w:r>
        <w:rPr>
          <w:rFonts w:hint="eastAsia" w:eastAsia="仿宋_GB2312"/>
          <w:sz w:val="28"/>
          <w:lang w:eastAsia="zh-CN"/>
        </w:rPr>
        <w:t>市场价值（含室内装潢附属及可移动物品）</w:t>
      </w:r>
      <w:r>
        <w:rPr>
          <w:rFonts w:eastAsia="仿宋_GB2312"/>
          <w:sz w:val="28"/>
        </w:rPr>
        <w:t>进行评估</w:t>
      </w:r>
      <w:r>
        <w:rPr>
          <w:rFonts w:eastAsia="仿宋_GB2312"/>
          <w:sz w:val="28"/>
          <w:szCs w:val="28"/>
        </w:rPr>
        <w:t>，价值时点为</w:t>
      </w:r>
      <w:r>
        <w:rPr>
          <w:rFonts w:hint="eastAsia" w:eastAsia="仿宋_GB2312"/>
          <w:sz w:val="28"/>
          <w:szCs w:val="28"/>
          <w:lang w:eastAsia="zh-CN"/>
        </w:rPr>
        <w:t>二〇二二年一月二十一日</w:t>
      </w:r>
      <w:r>
        <w:rPr>
          <w:rFonts w:eastAsia="仿宋_GB2312"/>
          <w:sz w:val="28"/>
          <w:szCs w:val="28"/>
        </w:rPr>
        <w:t>，估价目的：为</w:t>
      </w:r>
      <w:r>
        <w:rPr>
          <w:rFonts w:hint="eastAsia" w:eastAsia="仿宋_GB2312"/>
          <w:sz w:val="28"/>
          <w:szCs w:val="28"/>
          <w:lang w:eastAsia="zh-CN"/>
        </w:rPr>
        <w:t>盐城市盐都区人民法院</w:t>
      </w:r>
      <w:r>
        <w:rPr>
          <w:rFonts w:eastAsia="仿宋_GB2312"/>
          <w:sz w:val="28"/>
          <w:szCs w:val="28"/>
        </w:rPr>
        <w:t>确定财产处置参考价提供参考依据，价值类型是：估价对象的</w:t>
      </w:r>
      <w:r>
        <w:rPr>
          <w:rFonts w:hint="eastAsia" w:eastAsia="仿宋_GB2312"/>
          <w:sz w:val="28"/>
          <w:szCs w:val="28"/>
          <w:lang w:eastAsia="zh-CN"/>
        </w:rPr>
        <w:t>市场价值</w:t>
      </w:r>
      <w:r>
        <w:rPr>
          <w:rFonts w:eastAsia="仿宋_GB2312"/>
          <w:sz w:val="28"/>
          <w:szCs w:val="28"/>
        </w:rPr>
        <w:t>，是估价对象经适当营销后，由熟悉情况、谨慎行事且不受强迫的交易双方，以公平方式在价值时点自愿进行交易的金额</w:t>
      </w:r>
      <w:r>
        <w:rPr>
          <w:rFonts w:eastAsia="仿宋_GB2312"/>
          <w:color w:val="000000" w:themeColor="text1"/>
          <w:sz w:val="28"/>
          <w:szCs w:val="28"/>
        </w:rPr>
        <w:t>。本</w:t>
      </w:r>
      <w:r>
        <w:rPr>
          <w:rFonts w:eastAsia="仿宋_GB2312"/>
          <w:sz w:val="28"/>
          <w:szCs w:val="28"/>
        </w:rPr>
        <w:t>报告评估的估价对象为地上建筑物及其土地使用权</w:t>
      </w:r>
      <w:r>
        <w:rPr>
          <w:rFonts w:hint="eastAsia" w:eastAsia="仿宋_GB2312"/>
          <w:sz w:val="28"/>
          <w:szCs w:val="28"/>
          <w:lang w:eastAsia="zh-CN"/>
        </w:rPr>
        <w:t>。</w:t>
      </w:r>
    </w:p>
    <w:p>
      <w:pPr>
        <w:snapToGrid w:val="0"/>
        <w:spacing w:line="420" w:lineRule="exact"/>
        <w:ind w:right="-13" w:rightChars="-6"/>
        <w:rPr>
          <w:rFonts w:eastAsia="仿宋_GB2312"/>
          <w:color w:val="000000"/>
          <w:sz w:val="28"/>
          <w:szCs w:val="20"/>
        </w:rPr>
      </w:pPr>
      <w:r>
        <w:rPr>
          <w:rFonts w:eastAsia="仿宋_GB2312"/>
          <w:sz w:val="28"/>
        </w:rPr>
        <w:t xml:space="preserve">   </w:t>
      </w:r>
      <w:r>
        <w:rPr>
          <w:rFonts w:hint="eastAsia" w:eastAsia="仿宋_GB2312"/>
          <w:sz w:val="28"/>
        </w:rPr>
        <w:t xml:space="preserve"> </w:t>
      </w:r>
      <w:r>
        <w:rPr>
          <w:rFonts w:eastAsia="仿宋_GB2312"/>
          <w:sz w:val="28"/>
        </w:rPr>
        <w:t xml:space="preserve"> 根据贵方提供的有关资料，本公司估价师依据国家标准GB/T 50291-2015《房地产估价规范》、国家标准GB/T50899-2013《房地产估价基本术语标准》及国家相关法律、法规和政策规定，在了解和分析估价对象实际情况的基础上，本着独立、客观、公正的原则，遵循必要的估价程序，结合估价人员的经验和对影响房地产价值因素的分析、采用科学合理的估价方法（收益法、比较法），在认真分析现有资料的基础上，经过测算，结合估价经验与对影响房地产</w:t>
      </w:r>
      <w:r>
        <w:rPr>
          <w:rFonts w:hint="eastAsia" w:eastAsia="仿宋_GB2312"/>
          <w:sz w:val="28"/>
          <w:lang w:eastAsia="zh-CN"/>
        </w:rPr>
        <w:t>市场价值（含室内装潢附属及可移动物品）</w:t>
      </w:r>
      <w:r>
        <w:rPr>
          <w:rFonts w:eastAsia="仿宋_GB2312"/>
          <w:sz w:val="28"/>
        </w:rPr>
        <w:t>因素的分析，确定估价对象于价值时点的</w:t>
      </w:r>
      <w:r>
        <w:rPr>
          <w:rFonts w:hint="eastAsia" w:eastAsia="仿宋_GB2312"/>
          <w:sz w:val="28"/>
          <w:lang w:eastAsia="zh-CN"/>
        </w:rPr>
        <w:t>市场价值（含室内装潢附属及可移动物品）</w:t>
      </w:r>
      <w:r>
        <w:rPr>
          <w:rFonts w:eastAsia="仿宋_GB2312"/>
          <w:sz w:val="28"/>
        </w:rPr>
        <w:t>为：房地产总价值人民币</w:t>
      </w:r>
      <w:r>
        <w:rPr>
          <w:rFonts w:hint="eastAsia" w:eastAsia="仿宋_GB2312"/>
          <w:sz w:val="28"/>
          <w:lang w:eastAsia="zh-CN"/>
        </w:rPr>
        <w:t>175.15万元</w:t>
      </w:r>
      <w:r>
        <w:rPr>
          <w:rFonts w:eastAsia="仿宋_GB2312"/>
          <w:sz w:val="28"/>
        </w:rPr>
        <w:t>，人民币大写：</w:t>
      </w:r>
      <w:r>
        <w:rPr>
          <w:rFonts w:eastAsia="仿宋_GB2312"/>
          <w:b/>
          <w:bCs/>
          <w:sz w:val="28"/>
        </w:rPr>
        <w:fldChar w:fldCharType="begin"/>
      </w:r>
      <w:r>
        <w:rPr>
          <w:rFonts w:eastAsia="仿宋_GB2312"/>
          <w:b/>
          <w:bCs/>
          <w:sz w:val="28"/>
        </w:rPr>
        <w:instrText xml:space="preserve"> = 22562800 \* CHINESENUM2 \* MERGEFORMAT </w:instrText>
      </w:r>
      <w:r>
        <w:rPr>
          <w:rFonts w:eastAsia="仿宋_GB2312"/>
          <w:b/>
          <w:bCs/>
          <w:sz w:val="28"/>
        </w:rPr>
        <w:fldChar w:fldCharType="separate"/>
      </w:r>
      <w:r>
        <w:rPr>
          <w:rFonts w:hint="eastAsia" w:eastAsia="仿宋_GB2312"/>
          <w:b/>
          <w:bCs/>
          <w:sz w:val="28"/>
          <w:lang w:eastAsia="zh-CN"/>
        </w:rPr>
        <w:t>壹佰柒拾伍万壹仟伍佰</w:t>
      </w:r>
      <w:r>
        <w:rPr>
          <w:rFonts w:eastAsia="仿宋_GB2312"/>
          <w:b/>
          <w:bCs/>
          <w:sz w:val="28"/>
        </w:rPr>
        <w:fldChar w:fldCharType="end"/>
      </w:r>
      <w:r>
        <w:rPr>
          <w:rFonts w:eastAsia="仿宋_GB2312"/>
          <w:sz w:val="28"/>
        </w:rPr>
        <w:t>元整（四舍五入，取整至</w:t>
      </w:r>
      <w:r>
        <w:rPr>
          <w:rFonts w:hint="eastAsia" w:eastAsia="仿宋_GB2312"/>
          <w:sz w:val="28"/>
        </w:rPr>
        <w:t>佰</w:t>
      </w:r>
      <w:r>
        <w:rPr>
          <w:rFonts w:eastAsia="仿宋_GB2312"/>
          <w:sz w:val="28"/>
        </w:rPr>
        <w:t>元）具体见表</w:t>
      </w:r>
      <w:r>
        <w:rPr>
          <w:rFonts w:eastAsia="仿宋_GB2312"/>
          <w:color w:val="000000"/>
          <w:sz w:val="28"/>
          <w:szCs w:val="20"/>
        </w:rPr>
        <w:t xml:space="preserve">1：          </w:t>
      </w:r>
    </w:p>
    <w:p>
      <w:pPr>
        <w:jc w:val="center"/>
        <w:rPr>
          <w:rFonts w:eastAsia="仿宋_GB2312"/>
          <w:szCs w:val="21"/>
        </w:rPr>
      </w:pPr>
      <w:r>
        <w:rPr>
          <w:rFonts w:eastAsia="仿宋_GB2312"/>
          <w:color w:val="000000"/>
          <w:sz w:val="28"/>
          <w:szCs w:val="20"/>
        </w:rPr>
        <w:t xml:space="preserve">表1  </w:t>
      </w:r>
      <w:r>
        <w:rPr>
          <w:rFonts w:eastAsia="仿宋_GB2312"/>
          <w:sz w:val="28"/>
          <w:szCs w:val="20"/>
        </w:rPr>
        <w:t>房地产估价结果一览表</w:t>
      </w:r>
    </w:p>
    <w:tbl>
      <w:tblPr>
        <w:tblStyle w:val="17"/>
        <w:tblW w:w="52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
        <w:gridCol w:w="783"/>
        <w:gridCol w:w="1140"/>
        <w:gridCol w:w="564"/>
        <w:gridCol w:w="816"/>
        <w:gridCol w:w="960"/>
        <w:gridCol w:w="876"/>
        <w:gridCol w:w="792"/>
        <w:gridCol w:w="840"/>
        <w:gridCol w:w="804"/>
        <w:gridCol w:w="924"/>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7" w:type="pct"/>
            <w:vAlign w:val="center"/>
          </w:tcPr>
          <w:p>
            <w:pPr>
              <w:widowControl/>
              <w:spacing w:line="180" w:lineRule="exact"/>
              <w:jc w:val="center"/>
              <w:rPr>
                <w:kern w:val="0"/>
                <w:sz w:val="18"/>
                <w:szCs w:val="18"/>
              </w:rPr>
            </w:pPr>
            <w:r>
              <w:rPr>
                <w:kern w:val="0"/>
                <w:sz w:val="18"/>
                <w:szCs w:val="18"/>
              </w:rPr>
              <w:t>序号</w:t>
            </w:r>
          </w:p>
        </w:tc>
        <w:tc>
          <w:tcPr>
            <w:tcW w:w="390" w:type="pct"/>
            <w:vAlign w:val="center"/>
          </w:tcPr>
          <w:p>
            <w:pPr>
              <w:widowControl/>
              <w:spacing w:line="180" w:lineRule="exact"/>
              <w:jc w:val="center"/>
              <w:rPr>
                <w:kern w:val="0"/>
                <w:sz w:val="18"/>
                <w:szCs w:val="18"/>
              </w:rPr>
            </w:pPr>
            <w:r>
              <w:rPr>
                <w:kern w:val="0"/>
                <w:sz w:val="18"/>
                <w:szCs w:val="18"/>
              </w:rPr>
              <w:t>权利人</w:t>
            </w:r>
          </w:p>
        </w:tc>
        <w:tc>
          <w:tcPr>
            <w:tcW w:w="569" w:type="pct"/>
            <w:vAlign w:val="center"/>
          </w:tcPr>
          <w:p>
            <w:pPr>
              <w:widowControl/>
              <w:spacing w:line="180" w:lineRule="exact"/>
              <w:jc w:val="center"/>
              <w:rPr>
                <w:kern w:val="0"/>
                <w:sz w:val="18"/>
                <w:szCs w:val="18"/>
              </w:rPr>
            </w:pPr>
            <w:r>
              <w:rPr>
                <w:kern w:val="0"/>
                <w:sz w:val="18"/>
                <w:szCs w:val="18"/>
              </w:rPr>
              <w:t>坐落</w:t>
            </w:r>
          </w:p>
        </w:tc>
        <w:tc>
          <w:tcPr>
            <w:tcW w:w="281" w:type="pct"/>
            <w:vAlign w:val="center"/>
          </w:tcPr>
          <w:p>
            <w:pPr>
              <w:widowControl/>
              <w:spacing w:line="180" w:lineRule="exact"/>
              <w:jc w:val="center"/>
              <w:rPr>
                <w:kern w:val="0"/>
                <w:sz w:val="18"/>
                <w:szCs w:val="18"/>
              </w:rPr>
            </w:pPr>
            <w:r>
              <w:rPr>
                <w:kern w:val="0"/>
                <w:sz w:val="18"/>
                <w:szCs w:val="18"/>
              </w:rPr>
              <w:t>幢号</w:t>
            </w:r>
          </w:p>
        </w:tc>
        <w:tc>
          <w:tcPr>
            <w:tcW w:w="407" w:type="pct"/>
            <w:vAlign w:val="center"/>
          </w:tcPr>
          <w:p>
            <w:pPr>
              <w:widowControl/>
              <w:spacing w:line="180" w:lineRule="exact"/>
              <w:jc w:val="center"/>
              <w:rPr>
                <w:kern w:val="0"/>
                <w:sz w:val="18"/>
                <w:szCs w:val="18"/>
              </w:rPr>
            </w:pPr>
            <w:r>
              <w:rPr>
                <w:kern w:val="0"/>
                <w:sz w:val="18"/>
                <w:szCs w:val="18"/>
              </w:rPr>
              <w:t>登记用途</w:t>
            </w:r>
          </w:p>
        </w:tc>
        <w:tc>
          <w:tcPr>
            <w:tcW w:w="479" w:type="pct"/>
            <w:vAlign w:val="center"/>
          </w:tcPr>
          <w:p>
            <w:pPr>
              <w:widowControl/>
              <w:spacing w:line="180" w:lineRule="exact"/>
              <w:jc w:val="center"/>
              <w:rPr>
                <w:kern w:val="0"/>
                <w:sz w:val="18"/>
                <w:szCs w:val="18"/>
              </w:rPr>
            </w:pPr>
            <w:r>
              <w:rPr>
                <w:kern w:val="0"/>
                <w:sz w:val="18"/>
                <w:szCs w:val="18"/>
              </w:rPr>
              <w:t>所在层数/</w:t>
            </w:r>
            <w:bookmarkStart w:id="30" w:name="_GoBack"/>
            <w:bookmarkEnd w:id="30"/>
            <w:r>
              <w:rPr>
                <w:kern w:val="0"/>
                <w:sz w:val="18"/>
                <w:szCs w:val="18"/>
              </w:rPr>
              <w:t>总层数</w:t>
            </w:r>
          </w:p>
        </w:tc>
        <w:tc>
          <w:tcPr>
            <w:tcW w:w="437" w:type="pct"/>
            <w:vAlign w:val="center"/>
          </w:tcPr>
          <w:p>
            <w:pPr>
              <w:widowControl/>
              <w:spacing w:line="180" w:lineRule="exact"/>
              <w:jc w:val="center"/>
              <w:rPr>
                <w:kern w:val="0"/>
                <w:sz w:val="18"/>
                <w:szCs w:val="18"/>
              </w:rPr>
            </w:pPr>
            <w:r>
              <w:rPr>
                <w:kern w:val="0"/>
                <w:sz w:val="18"/>
                <w:szCs w:val="18"/>
              </w:rPr>
              <w:t>建筑面积（㎡）</w:t>
            </w:r>
          </w:p>
        </w:tc>
        <w:tc>
          <w:tcPr>
            <w:tcW w:w="395" w:type="pct"/>
            <w:vAlign w:val="center"/>
          </w:tcPr>
          <w:p>
            <w:pPr>
              <w:widowControl/>
              <w:spacing w:line="180" w:lineRule="exact"/>
              <w:jc w:val="center"/>
              <w:rPr>
                <w:kern w:val="0"/>
                <w:sz w:val="18"/>
                <w:szCs w:val="18"/>
              </w:rPr>
            </w:pPr>
            <w:r>
              <w:rPr>
                <w:rFonts w:hint="eastAsia"/>
                <w:kern w:val="0"/>
                <w:sz w:val="18"/>
                <w:szCs w:val="18"/>
              </w:rPr>
              <w:t>评估单价</w:t>
            </w:r>
          </w:p>
          <w:p>
            <w:pPr>
              <w:widowControl/>
              <w:spacing w:line="180" w:lineRule="exact"/>
              <w:jc w:val="center"/>
              <w:rPr>
                <w:kern w:val="0"/>
                <w:sz w:val="18"/>
                <w:szCs w:val="18"/>
              </w:rPr>
            </w:pPr>
            <w:r>
              <w:rPr>
                <w:rFonts w:hint="eastAsia"/>
                <w:kern w:val="0"/>
                <w:sz w:val="18"/>
                <w:szCs w:val="18"/>
              </w:rPr>
              <w:t>（元/</w:t>
            </w:r>
            <w:r>
              <w:rPr>
                <w:rFonts w:hint="eastAsia" w:ascii="宋体" w:hAnsi="宋体" w:cs="宋体"/>
                <w:kern w:val="0"/>
                <w:sz w:val="18"/>
                <w:szCs w:val="18"/>
              </w:rPr>
              <w:t>㎡）</w:t>
            </w:r>
          </w:p>
        </w:tc>
        <w:tc>
          <w:tcPr>
            <w:tcW w:w="419" w:type="pct"/>
            <w:vAlign w:val="center"/>
          </w:tcPr>
          <w:p>
            <w:pPr>
              <w:widowControl/>
              <w:spacing w:line="180" w:lineRule="exact"/>
              <w:jc w:val="center"/>
              <w:rPr>
                <w:kern w:val="0"/>
                <w:sz w:val="18"/>
                <w:szCs w:val="18"/>
              </w:rPr>
            </w:pPr>
            <w:r>
              <w:rPr>
                <w:rFonts w:hint="eastAsia"/>
                <w:kern w:val="0"/>
                <w:sz w:val="18"/>
                <w:szCs w:val="18"/>
                <w:lang w:val="en-US" w:eastAsia="zh-CN"/>
              </w:rPr>
              <w:t>房屋</w:t>
            </w:r>
            <w:r>
              <w:rPr>
                <w:kern w:val="0"/>
                <w:sz w:val="18"/>
                <w:szCs w:val="18"/>
              </w:rPr>
              <w:t>评估总价</w:t>
            </w:r>
          </w:p>
          <w:p>
            <w:pPr>
              <w:widowControl/>
              <w:spacing w:line="180" w:lineRule="exact"/>
              <w:jc w:val="center"/>
              <w:rPr>
                <w:rFonts w:ascii="Times New Roman" w:hAnsi="Times New Roman" w:eastAsia="宋体" w:cs="Times New Roman"/>
                <w:kern w:val="0"/>
                <w:sz w:val="18"/>
                <w:szCs w:val="18"/>
                <w:lang w:val="en-US" w:eastAsia="zh-CN" w:bidi="ar-SA"/>
              </w:rPr>
            </w:pPr>
            <w:r>
              <w:rPr>
                <w:kern w:val="0"/>
                <w:sz w:val="18"/>
                <w:szCs w:val="18"/>
              </w:rPr>
              <w:t>（万元）</w:t>
            </w:r>
          </w:p>
        </w:tc>
        <w:tc>
          <w:tcPr>
            <w:tcW w:w="401" w:type="pct"/>
            <w:vAlign w:val="center"/>
          </w:tcPr>
          <w:p>
            <w:pPr>
              <w:widowControl/>
              <w:spacing w:line="180" w:lineRule="exact"/>
              <w:jc w:val="center"/>
              <w:rPr>
                <w:kern w:val="0"/>
                <w:sz w:val="18"/>
                <w:szCs w:val="18"/>
              </w:rPr>
            </w:pPr>
            <w:r>
              <w:rPr>
                <w:rFonts w:hint="eastAsia"/>
                <w:kern w:val="0"/>
                <w:sz w:val="18"/>
                <w:szCs w:val="18"/>
                <w:lang w:eastAsia="zh-CN"/>
              </w:rPr>
              <w:t>可移动物品</w:t>
            </w:r>
            <w:r>
              <w:rPr>
                <w:kern w:val="0"/>
                <w:sz w:val="18"/>
                <w:szCs w:val="18"/>
              </w:rPr>
              <w:t>（万元）</w:t>
            </w:r>
          </w:p>
        </w:tc>
        <w:tc>
          <w:tcPr>
            <w:tcW w:w="461" w:type="pct"/>
            <w:vAlign w:val="center"/>
          </w:tcPr>
          <w:p>
            <w:pPr>
              <w:widowControl/>
              <w:spacing w:line="180" w:lineRule="exact"/>
              <w:jc w:val="center"/>
              <w:rPr>
                <w:kern w:val="0"/>
                <w:sz w:val="18"/>
                <w:szCs w:val="18"/>
              </w:rPr>
            </w:pPr>
            <w:r>
              <w:rPr>
                <w:kern w:val="0"/>
                <w:sz w:val="18"/>
                <w:szCs w:val="18"/>
              </w:rPr>
              <w:t>评估总价</w:t>
            </w:r>
          </w:p>
          <w:p>
            <w:pPr>
              <w:widowControl/>
              <w:spacing w:line="180" w:lineRule="exact"/>
              <w:jc w:val="center"/>
              <w:rPr>
                <w:kern w:val="0"/>
                <w:sz w:val="18"/>
                <w:szCs w:val="18"/>
              </w:rPr>
            </w:pPr>
            <w:r>
              <w:rPr>
                <w:kern w:val="0"/>
                <w:sz w:val="18"/>
                <w:szCs w:val="18"/>
              </w:rPr>
              <w:t>（万元）</w:t>
            </w:r>
          </w:p>
        </w:tc>
        <w:tc>
          <w:tcPr>
            <w:tcW w:w="599" w:type="pct"/>
            <w:vAlign w:val="center"/>
          </w:tcPr>
          <w:p>
            <w:pPr>
              <w:widowControl/>
              <w:spacing w:line="180" w:lineRule="exact"/>
              <w:jc w:val="center"/>
              <w:rPr>
                <w:kern w:val="0"/>
                <w:sz w:val="18"/>
                <w:szCs w:val="18"/>
              </w:rPr>
            </w:pPr>
            <w:r>
              <w:rPr>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57" w:type="pct"/>
            <w:vAlign w:val="center"/>
          </w:tcPr>
          <w:p>
            <w:pPr>
              <w:keepNext w:val="0"/>
              <w:keepLines w:val="0"/>
              <w:widowControl/>
              <w:suppressLineNumbers w:val="0"/>
              <w:jc w:val="center"/>
              <w:textAlignment w:val="center"/>
              <w:rPr>
                <w:kern w:val="0"/>
                <w:sz w:val="18"/>
                <w:szCs w:val="18"/>
              </w:rPr>
            </w:pPr>
            <w:r>
              <w:rPr>
                <w:rFonts w:hint="eastAsia" w:ascii="宋体" w:hAnsi="宋体" w:eastAsia="宋体" w:cs="宋体"/>
                <w:i w:val="0"/>
                <w:iCs w:val="0"/>
                <w:color w:val="000000"/>
                <w:kern w:val="0"/>
                <w:sz w:val="18"/>
                <w:szCs w:val="18"/>
                <w:u w:val="none"/>
                <w:lang w:val="en-US" w:eastAsia="zh-CN" w:bidi="ar"/>
              </w:rPr>
              <w:t>1</w:t>
            </w:r>
          </w:p>
        </w:tc>
        <w:tc>
          <w:tcPr>
            <w:tcW w:w="390" w:type="pct"/>
            <w:vAlign w:val="center"/>
          </w:tcPr>
          <w:p>
            <w:pPr>
              <w:keepNext w:val="0"/>
              <w:keepLines w:val="0"/>
              <w:widowControl/>
              <w:suppressLineNumbers w:val="0"/>
              <w:jc w:val="center"/>
              <w:textAlignment w:val="center"/>
              <w:rPr>
                <w:kern w:val="0"/>
                <w:sz w:val="18"/>
                <w:szCs w:val="18"/>
              </w:rPr>
            </w:pPr>
            <w:r>
              <w:rPr>
                <w:rFonts w:hint="eastAsia" w:ascii="宋体" w:hAnsi="宋体" w:cs="宋体"/>
                <w:i w:val="0"/>
                <w:iCs w:val="0"/>
                <w:color w:val="000000"/>
                <w:kern w:val="0"/>
                <w:sz w:val="18"/>
                <w:szCs w:val="18"/>
                <w:u w:val="none"/>
                <w:lang w:val="en-US" w:eastAsia="zh-CN" w:bidi="ar"/>
              </w:rPr>
              <w:t>陈福祥 孙翠兰</w:t>
            </w:r>
          </w:p>
        </w:tc>
        <w:tc>
          <w:tcPr>
            <w:tcW w:w="569" w:type="pct"/>
            <w:vAlign w:val="center"/>
          </w:tcPr>
          <w:p>
            <w:pPr>
              <w:keepNext w:val="0"/>
              <w:keepLines w:val="0"/>
              <w:widowControl/>
              <w:suppressLineNumbers w:val="0"/>
              <w:jc w:val="center"/>
              <w:textAlignment w:val="center"/>
              <w:rPr>
                <w:kern w:val="0"/>
                <w:sz w:val="18"/>
                <w:szCs w:val="18"/>
              </w:rPr>
            </w:pPr>
            <w:r>
              <w:rPr>
                <w:rFonts w:hint="eastAsia" w:ascii="宋体" w:hAnsi="宋体" w:cs="宋体"/>
                <w:i w:val="0"/>
                <w:iCs w:val="0"/>
                <w:color w:val="000000"/>
                <w:kern w:val="0"/>
                <w:sz w:val="18"/>
                <w:szCs w:val="18"/>
                <w:u w:val="none"/>
                <w:lang w:val="en-US" w:eastAsia="zh-CN" w:bidi="ar"/>
              </w:rPr>
              <w:t>盐城市亭湖区盛世家苑4幢107室</w:t>
            </w:r>
          </w:p>
        </w:tc>
        <w:tc>
          <w:tcPr>
            <w:tcW w:w="281" w:type="pct"/>
            <w:vAlign w:val="center"/>
          </w:tcPr>
          <w:p>
            <w:pPr>
              <w:keepNext w:val="0"/>
              <w:keepLines w:val="0"/>
              <w:widowControl/>
              <w:suppressLineNumbers w:val="0"/>
              <w:jc w:val="center"/>
              <w:textAlignment w:val="center"/>
              <w:rPr>
                <w:rFonts w:hint="eastAsia" w:eastAsia="宋体"/>
                <w:kern w:val="0"/>
                <w:sz w:val="18"/>
                <w:szCs w:val="18"/>
                <w:lang w:eastAsia="zh-CN"/>
              </w:rPr>
            </w:pPr>
            <w:r>
              <w:rPr>
                <w:rFonts w:hint="eastAsia"/>
                <w:kern w:val="0"/>
                <w:sz w:val="18"/>
                <w:szCs w:val="18"/>
                <w:lang w:val="en-US" w:eastAsia="zh-CN"/>
              </w:rPr>
              <w:t>4</w:t>
            </w:r>
          </w:p>
        </w:tc>
        <w:tc>
          <w:tcPr>
            <w:tcW w:w="407" w:type="pct"/>
            <w:vAlign w:val="center"/>
          </w:tcPr>
          <w:p>
            <w:pPr>
              <w:keepNext w:val="0"/>
              <w:keepLines w:val="0"/>
              <w:widowControl/>
              <w:suppressLineNumbers w:val="0"/>
              <w:jc w:val="center"/>
              <w:textAlignment w:val="center"/>
              <w:rPr>
                <w:kern w:val="0"/>
                <w:sz w:val="18"/>
                <w:szCs w:val="18"/>
              </w:rPr>
            </w:pPr>
            <w:r>
              <w:rPr>
                <w:rFonts w:hint="eastAsia" w:ascii="宋体" w:hAnsi="宋体" w:cs="宋体"/>
                <w:i w:val="0"/>
                <w:iCs w:val="0"/>
                <w:color w:val="000000"/>
                <w:kern w:val="0"/>
                <w:sz w:val="18"/>
                <w:szCs w:val="18"/>
                <w:u w:val="none"/>
                <w:lang w:val="en-US" w:eastAsia="zh-CN" w:bidi="ar"/>
              </w:rPr>
              <w:t>住宅</w:t>
            </w:r>
          </w:p>
        </w:tc>
        <w:tc>
          <w:tcPr>
            <w:tcW w:w="479" w:type="pct"/>
            <w:vAlign w:val="center"/>
          </w:tcPr>
          <w:p>
            <w:pPr>
              <w:keepNext w:val="0"/>
              <w:keepLines w:val="0"/>
              <w:widowControl/>
              <w:suppressLineNumbers w:val="0"/>
              <w:jc w:val="center"/>
              <w:textAlignment w:val="center"/>
              <w:rPr>
                <w:kern w:val="0"/>
                <w:sz w:val="18"/>
                <w:szCs w:val="18"/>
              </w:rPr>
            </w:pPr>
            <w:r>
              <w:rPr>
                <w:rFonts w:hint="eastAsia" w:ascii="宋体" w:hAnsi="宋体" w:cs="宋体"/>
                <w:i w:val="0"/>
                <w:iCs w:val="0"/>
                <w:color w:val="000000"/>
                <w:kern w:val="0"/>
                <w:sz w:val="18"/>
                <w:szCs w:val="18"/>
                <w:u w:val="none"/>
                <w:lang w:val="en-US" w:eastAsia="zh-CN" w:bidi="ar"/>
              </w:rPr>
              <w:t>1/6</w:t>
            </w:r>
          </w:p>
        </w:tc>
        <w:tc>
          <w:tcPr>
            <w:tcW w:w="437" w:type="pct"/>
            <w:vAlign w:val="center"/>
          </w:tcPr>
          <w:p>
            <w:pPr>
              <w:keepNext w:val="0"/>
              <w:keepLines w:val="0"/>
              <w:widowControl/>
              <w:suppressLineNumbers w:val="0"/>
              <w:jc w:val="center"/>
              <w:textAlignment w:val="center"/>
              <w:rPr>
                <w:kern w:val="0"/>
                <w:sz w:val="18"/>
                <w:szCs w:val="18"/>
              </w:rPr>
            </w:pPr>
            <w:r>
              <w:rPr>
                <w:rFonts w:hint="eastAsia" w:ascii="宋体" w:hAnsi="宋体" w:cs="宋体"/>
                <w:i w:val="0"/>
                <w:iCs w:val="0"/>
                <w:color w:val="000000"/>
                <w:kern w:val="0"/>
                <w:sz w:val="18"/>
                <w:szCs w:val="18"/>
                <w:u w:val="none"/>
                <w:lang w:val="en-US" w:eastAsia="zh-CN" w:bidi="ar"/>
              </w:rPr>
              <w:t>139.78</w:t>
            </w:r>
          </w:p>
        </w:tc>
        <w:tc>
          <w:tcPr>
            <w:tcW w:w="395" w:type="pct"/>
            <w:vAlign w:val="center"/>
          </w:tcPr>
          <w:p>
            <w:pPr>
              <w:keepNext w:val="0"/>
              <w:keepLines w:val="0"/>
              <w:widowControl/>
              <w:suppressLineNumbers w:val="0"/>
              <w:jc w:val="center"/>
              <w:textAlignment w:val="center"/>
              <w:rPr>
                <w:rFonts w:hint="default"/>
                <w:kern w:val="0"/>
                <w:sz w:val="18"/>
                <w:szCs w:val="18"/>
                <w:lang w:val="en-US"/>
              </w:rPr>
            </w:pPr>
            <w:r>
              <w:rPr>
                <w:rFonts w:hint="eastAsia" w:ascii="宋体" w:hAnsi="宋体" w:cs="宋体"/>
                <w:i w:val="0"/>
                <w:iCs w:val="0"/>
                <w:color w:val="000000"/>
                <w:kern w:val="0"/>
                <w:sz w:val="18"/>
                <w:szCs w:val="18"/>
                <w:u w:val="none"/>
                <w:lang w:val="en-US" w:eastAsia="zh-CN" w:bidi="ar"/>
              </w:rPr>
              <w:t>12327</w:t>
            </w:r>
          </w:p>
        </w:tc>
        <w:tc>
          <w:tcPr>
            <w:tcW w:w="419" w:type="pct"/>
            <w:vAlign w:val="center"/>
          </w:tcPr>
          <w:p>
            <w:pPr>
              <w:keepNext w:val="0"/>
              <w:keepLines w:val="0"/>
              <w:widowControl/>
              <w:suppressLineNumbers w:val="0"/>
              <w:jc w:val="center"/>
              <w:textAlignment w:val="center"/>
              <w:rPr>
                <w:rFonts w:hint="default" w:ascii="Times New Roman" w:hAnsi="Times New Roman" w:eastAsia="宋体" w:cs="Times New Roman"/>
                <w:kern w:val="0"/>
                <w:sz w:val="18"/>
                <w:szCs w:val="18"/>
                <w:lang w:val="en-US" w:eastAsia="zh-CN" w:bidi="ar-SA"/>
              </w:rPr>
            </w:pPr>
            <w:r>
              <w:rPr>
                <w:rFonts w:hint="eastAsia" w:ascii="宋体" w:hAnsi="宋体" w:cs="宋体"/>
                <w:i w:val="0"/>
                <w:iCs w:val="0"/>
                <w:color w:val="000000"/>
                <w:kern w:val="0"/>
                <w:sz w:val="18"/>
                <w:szCs w:val="18"/>
                <w:u w:val="none"/>
                <w:lang w:val="en-US" w:eastAsia="zh-CN" w:bidi="ar"/>
              </w:rPr>
              <w:t>172.31</w:t>
            </w:r>
          </w:p>
        </w:tc>
        <w:tc>
          <w:tcPr>
            <w:tcW w:w="401" w:type="pct"/>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2.84</w:t>
            </w:r>
          </w:p>
        </w:tc>
        <w:tc>
          <w:tcPr>
            <w:tcW w:w="461" w:type="pct"/>
            <w:vAlign w:val="center"/>
          </w:tcPr>
          <w:p>
            <w:pPr>
              <w:keepNext w:val="0"/>
              <w:keepLines w:val="0"/>
              <w:widowControl/>
              <w:suppressLineNumbers w:val="0"/>
              <w:jc w:val="center"/>
              <w:textAlignment w:val="center"/>
              <w:rPr>
                <w:rFonts w:hint="default"/>
                <w:kern w:val="0"/>
                <w:sz w:val="18"/>
                <w:szCs w:val="18"/>
                <w:lang w:val="en-US"/>
              </w:rPr>
            </w:pPr>
            <w:r>
              <w:rPr>
                <w:rFonts w:hint="eastAsia" w:ascii="宋体" w:hAnsi="宋体" w:cs="宋体"/>
                <w:i w:val="0"/>
                <w:iCs w:val="0"/>
                <w:color w:val="000000"/>
                <w:kern w:val="0"/>
                <w:sz w:val="18"/>
                <w:szCs w:val="18"/>
                <w:u w:val="none"/>
                <w:lang w:val="en-US" w:eastAsia="zh-CN" w:bidi="ar"/>
              </w:rPr>
              <w:t>175.15</w:t>
            </w:r>
          </w:p>
        </w:tc>
        <w:tc>
          <w:tcPr>
            <w:tcW w:w="599" w:type="pct"/>
            <w:vAlign w:val="center"/>
          </w:tcPr>
          <w:p>
            <w:pPr>
              <w:keepNext w:val="0"/>
              <w:keepLines w:val="0"/>
              <w:widowControl/>
              <w:suppressLineNumbers w:val="0"/>
              <w:jc w:val="center"/>
              <w:textAlignment w:val="center"/>
              <w:rPr>
                <w:rFonts w:hint="default" w:eastAsia="宋体"/>
                <w:kern w:val="0"/>
                <w:sz w:val="18"/>
                <w:szCs w:val="18"/>
                <w:lang w:val="en-US" w:eastAsia="zh-CN"/>
              </w:rPr>
            </w:pPr>
            <w:r>
              <w:rPr>
                <w:rFonts w:hint="eastAsia"/>
                <w:kern w:val="0"/>
                <w:sz w:val="18"/>
                <w:szCs w:val="18"/>
                <w:lang w:val="en-US" w:eastAsia="zh-CN"/>
              </w:rPr>
              <w:t>房屋</w:t>
            </w:r>
            <w:r>
              <w:rPr>
                <w:kern w:val="0"/>
                <w:sz w:val="18"/>
                <w:szCs w:val="18"/>
              </w:rPr>
              <w:t>含室内装潢附属</w:t>
            </w:r>
            <w:r>
              <w:rPr>
                <w:rFonts w:hint="eastAsia"/>
                <w:kern w:val="0"/>
                <w:sz w:val="18"/>
                <w:szCs w:val="18"/>
                <w:lang w:eastAsia="zh-CN"/>
              </w:rPr>
              <w:t>，可移动物品</w:t>
            </w:r>
            <w:r>
              <w:rPr>
                <w:rFonts w:hint="eastAsia"/>
                <w:kern w:val="0"/>
                <w:sz w:val="18"/>
                <w:szCs w:val="18"/>
                <w:lang w:val="en-US" w:eastAsia="zh-CN"/>
              </w:rPr>
              <w:t>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48" w:type="pct"/>
            <w:gridSpan w:val="2"/>
            <w:vAlign w:val="center"/>
          </w:tcPr>
          <w:p>
            <w:pPr>
              <w:widowControl/>
              <w:spacing w:line="180" w:lineRule="exact"/>
              <w:jc w:val="center"/>
              <w:rPr>
                <w:kern w:val="0"/>
                <w:sz w:val="18"/>
                <w:szCs w:val="18"/>
              </w:rPr>
            </w:pPr>
            <w:r>
              <w:rPr>
                <w:kern w:val="0"/>
                <w:sz w:val="18"/>
                <w:szCs w:val="18"/>
              </w:rPr>
              <w:t>合计</w:t>
            </w:r>
          </w:p>
        </w:tc>
        <w:tc>
          <w:tcPr>
            <w:tcW w:w="569" w:type="pct"/>
            <w:vAlign w:val="center"/>
          </w:tcPr>
          <w:p>
            <w:pPr>
              <w:widowControl/>
              <w:spacing w:line="180" w:lineRule="exact"/>
              <w:jc w:val="center"/>
              <w:rPr>
                <w:kern w:val="0"/>
                <w:sz w:val="18"/>
                <w:szCs w:val="18"/>
              </w:rPr>
            </w:pPr>
            <w:r>
              <w:rPr>
                <w:kern w:val="0"/>
                <w:sz w:val="18"/>
                <w:szCs w:val="18"/>
              </w:rPr>
              <w:t>/</w:t>
            </w:r>
          </w:p>
        </w:tc>
        <w:tc>
          <w:tcPr>
            <w:tcW w:w="281" w:type="pct"/>
            <w:vAlign w:val="center"/>
          </w:tcPr>
          <w:p>
            <w:pPr>
              <w:widowControl/>
              <w:spacing w:line="180" w:lineRule="exact"/>
              <w:jc w:val="center"/>
              <w:rPr>
                <w:kern w:val="0"/>
                <w:sz w:val="18"/>
                <w:szCs w:val="18"/>
              </w:rPr>
            </w:pPr>
            <w:r>
              <w:rPr>
                <w:kern w:val="0"/>
                <w:sz w:val="18"/>
                <w:szCs w:val="18"/>
              </w:rPr>
              <w:t>/</w:t>
            </w:r>
          </w:p>
        </w:tc>
        <w:tc>
          <w:tcPr>
            <w:tcW w:w="407" w:type="pct"/>
            <w:vAlign w:val="center"/>
          </w:tcPr>
          <w:p>
            <w:pPr>
              <w:widowControl/>
              <w:spacing w:line="180" w:lineRule="exact"/>
              <w:jc w:val="center"/>
              <w:rPr>
                <w:kern w:val="0"/>
                <w:sz w:val="18"/>
                <w:szCs w:val="18"/>
              </w:rPr>
            </w:pPr>
            <w:r>
              <w:rPr>
                <w:kern w:val="0"/>
                <w:sz w:val="18"/>
                <w:szCs w:val="18"/>
              </w:rPr>
              <w:t>/</w:t>
            </w:r>
          </w:p>
        </w:tc>
        <w:tc>
          <w:tcPr>
            <w:tcW w:w="479" w:type="pct"/>
            <w:vAlign w:val="center"/>
          </w:tcPr>
          <w:p>
            <w:pPr>
              <w:widowControl/>
              <w:spacing w:line="180" w:lineRule="exact"/>
              <w:jc w:val="center"/>
              <w:rPr>
                <w:kern w:val="0"/>
                <w:sz w:val="18"/>
                <w:szCs w:val="18"/>
              </w:rPr>
            </w:pPr>
            <w:r>
              <w:rPr>
                <w:kern w:val="0"/>
                <w:sz w:val="18"/>
                <w:szCs w:val="18"/>
              </w:rPr>
              <w:t>/</w:t>
            </w:r>
          </w:p>
        </w:tc>
        <w:tc>
          <w:tcPr>
            <w:tcW w:w="437" w:type="pct"/>
            <w:vAlign w:val="center"/>
          </w:tcPr>
          <w:p>
            <w:pPr>
              <w:widowControl/>
              <w:spacing w:line="180" w:lineRule="exact"/>
              <w:jc w:val="center"/>
              <w:rPr>
                <w:kern w:val="0"/>
                <w:sz w:val="18"/>
                <w:szCs w:val="18"/>
              </w:rPr>
            </w:pPr>
          </w:p>
        </w:tc>
        <w:tc>
          <w:tcPr>
            <w:tcW w:w="395" w:type="pct"/>
            <w:vAlign w:val="center"/>
          </w:tcPr>
          <w:p>
            <w:pPr>
              <w:widowControl/>
              <w:spacing w:line="240" w:lineRule="exact"/>
              <w:jc w:val="center"/>
              <w:rPr>
                <w:kern w:val="0"/>
                <w:sz w:val="18"/>
                <w:szCs w:val="18"/>
              </w:rPr>
            </w:pPr>
          </w:p>
        </w:tc>
        <w:tc>
          <w:tcPr>
            <w:tcW w:w="419" w:type="pct"/>
            <w:vAlign w:val="center"/>
          </w:tcPr>
          <w:p>
            <w:pPr>
              <w:widowControl/>
              <w:spacing w:line="240" w:lineRule="exact"/>
              <w:jc w:val="center"/>
              <w:rPr>
                <w:rFonts w:hint="eastAsia"/>
                <w:kern w:val="0"/>
                <w:sz w:val="18"/>
                <w:szCs w:val="18"/>
                <w:lang w:val="en-US" w:eastAsia="zh-CN"/>
              </w:rPr>
            </w:pPr>
          </w:p>
        </w:tc>
        <w:tc>
          <w:tcPr>
            <w:tcW w:w="401" w:type="pct"/>
            <w:vAlign w:val="center"/>
          </w:tcPr>
          <w:p>
            <w:pPr>
              <w:widowControl/>
              <w:spacing w:line="240" w:lineRule="exact"/>
              <w:jc w:val="center"/>
              <w:rPr>
                <w:rFonts w:hint="eastAsia"/>
                <w:kern w:val="0"/>
                <w:sz w:val="18"/>
                <w:szCs w:val="18"/>
                <w:lang w:val="en-US" w:eastAsia="zh-CN"/>
              </w:rPr>
            </w:pPr>
          </w:p>
        </w:tc>
        <w:tc>
          <w:tcPr>
            <w:tcW w:w="461" w:type="pct"/>
            <w:vAlign w:val="center"/>
          </w:tcPr>
          <w:p>
            <w:pPr>
              <w:widowControl/>
              <w:spacing w:line="240" w:lineRule="exact"/>
              <w:jc w:val="center"/>
              <w:rPr>
                <w:rFonts w:hint="default" w:eastAsia="宋体"/>
                <w:kern w:val="0"/>
                <w:sz w:val="18"/>
                <w:szCs w:val="18"/>
                <w:lang w:val="en-US" w:eastAsia="zh-CN"/>
              </w:rPr>
            </w:pPr>
            <w:r>
              <w:rPr>
                <w:rFonts w:hint="eastAsia"/>
                <w:kern w:val="0"/>
                <w:sz w:val="18"/>
                <w:szCs w:val="18"/>
                <w:lang w:val="en-US" w:eastAsia="zh-CN"/>
              </w:rPr>
              <w:t>175.15</w:t>
            </w:r>
          </w:p>
        </w:tc>
        <w:tc>
          <w:tcPr>
            <w:tcW w:w="599" w:type="pct"/>
            <w:vAlign w:val="center"/>
          </w:tcPr>
          <w:p>
            <w:pPr>
              <w:widowControl/>
              <w:spacing w:line="180" w:lineRule="exact"/>
              <w:jc w:val="center"/>
              <w:rPr>
                <w:kern w:val="0"/>
                <w:sz w:val="18"/>
                <w:szCs w:val="18"/>
              </w:rPr>
            </w:pPr>
            <w:r>
              <w:rPr>
                <w:kern w:val="0"/>
                <w:sz w:val="18"/>
                <w:szCs w:val="18"/>
              </w:rPr>
              <w:t>/</w:t>
            </w:r>
          </w:p>
        </w:tc>
      </w:tr>
    </w:tbl>
    <w:p>
      <w:pPr>
        <w:spacing w:line="440" w:lineRule="exact"/>
        <w:ind w:firstLine="560" w:firstLineChars="200"/>
        <w:rPr>
          <w:rFonts w:eastAsia="仿宋_GB2312"/>
          <w:sz w:val="28"/>
          <w:szCs w:val="28"/>
        </w:rPr>
      </w:pPr>
      <w:r>
        <w:rPr>
          <w:rFonts w:eastAsia="仿宋_GB2312"/>
          <w:sz w:val="28"/>
          <w:szCs w:val="28"/>
        </w:rPr>
        <w:t>特别提示：估价委托人在使用本报告时，务请注意本评估结果报告中的估价的假设和限制条件，并且报告的全文作为一个不可分割的整体，仅有部分内容则不能成为有效的评估报告。</w:t>
      </w:r>
    </w:p>
    <w:p>
      <w:pPr>
        <w:spacing w:line="460" w:lineRule="exact"/>
        <w:ind w:firstLine="2679" w:firstLineChars="957"/>
        <w:jc w:val="right"/>
        <w:rPr>
          <w:rFonts w:eastAsia="仿宋_GB2312"/>
          <w:sz w:val="28"/>
        </w:rPr>
      </w:pPr>
      <w:r>
        <w:rPr>
          <w:rFonts w:eastAsia="仿宋_GB2312"/>
          <w:sz w:val="28"/>
        </w:rPr>
        <w:t xml:space="preserve">江苏瑞地土地房地产评估有限公司                </w:t>
      </w:r>
    </w:p>
    <w:p>
      <w:pPr>
        <w:spacing w:line="460" w:lineRule="exact"/>
        <w:jc w:val="right"/>
        <w:rPr>
          <w:rFonts w:hint="eastAsia" w:eastAsia="仿宋_GB2312"/>
          <w:sz w:val="30"/>
          <w:lang w:eastAsia="zh-CN"/>
        </w:rPr>
      </w:pPr>
      <w:r>
        <w:rPr>
          <w:rFonts w:eastAsia="仿宋_GB2312"/>
          <w:sz w:val="28"/>
        </w:rPr>
        <w:t xml:space="preserve">              </w:t>
      </w:r>
      <w:r>
        <w:rPr>
          <w:rFonts w:hint="eastAsia" w:eastAsia="仿宋_GB2312"/>
          <w:sz w:val="28"/>
          <w:lang w:eastAsia="zh-CN"/>
        </w:rPr>
        <w:t>二○二二年二月八日</w:t>
      </w:r>
    </w:p>
    <w:p>
      <w:pPr>
        <w:jc w:val="center"/>
        <w:rPr>
          <w:sz w:val="36"/>
        </w:rPr>
      </w:pPr>
    </w:p>
    <w:p>
      <w:pPr>
        <w:jc w:val="center"/>
        <w:rPr>
          <w:sz w:val="30"/>
        </w:rPr>
      </w:pPr>
      <w:r>
        <w:rPr>
          <w:sz w:val="36"/>
        </w:rPr>
        <w:t>目   录</w:t>
      </w:r>
    </w:p>
    <w:p>
      <w:pPr>
        <w:pStyle w:val="16"/>
        <w:tabs>
          <w:tab w:val="right" w:leader="dot" w:pos="8408"/>
        </w:tabs>
        <w:spacing w:line="460" w:lineRule="exact"/>
        <w:rPr>
          <w:rFonts w:hint="eastAsia" w:eastAsia="宋体"/>
          <w:lang w:val="en-US" w:eastAsia="zh-CN"/>
        </w:rPr>
      </w:pPr>
      <w:r>
        <w:rPr>
          <w:szCs w:val="21"/>
        </w:rPr>
        <w:fldChar w:fldCharType="begin"/>
      </w:r>
      <w:r>
        <w:rPr>
          <w:szCs w:val="21"/>
        </w:rPr>
        <w:instrText xml:space="preserve">TOC \o "1-3" \h \u </w:instrText>
      </w:r>
      <w:r>
        <w:rPr>
          <w:szCs w:val="21"/>
        </w:rPr>
        <w:fldChar w:fldCharType="separate"/>
      </w:r>
      <w:r>
        <w:fldChar w:fldCharType="begin"/>
      </w:r>
      <w:r>
        <w:instrText xml:space="preserve"> HYPERLINK \l "_Toc2936" </w:instrText>
      </w:r>
      <w:r>
        <w:fldChar w:fldCharType="separate"/>
      </w:r>
      <w:r>
        <w:rPr>
          <w:szCs w:val="36"/>
        </w:rPr>
        <w:t>估 价 师 声 明</w:t>
      </w:r>
      <w:r>
        <w:tab/>
      </w:r>
      <w:r>
        <w:fldChar w:fldCharType="end"/>
      </w:r>
      <w:r>
        <w:rPr>
          <w:rFonts w:hint="eastAsia"/>
          <w:lang w:val="en-US" w:eastAsia="zh-CN"/>
        </w:rPr>
        <w:t>4</w:t>
      </w:r>
    </w:p>
    <w:p>
      <w:pPr>
        <w:pStyle w:val="16"/>
        <w:tabs>
          <w:tab w:val="right" w:leader="dot" w:pos="8408"/>
        </w:tabs>
        <w:spacing w:line="460" w:lineRule="exact"/>
        <w:rPr>
          <w:rFonts w:hint="default"/>
          <w:lang w:val="en-US" w:eastAsia="zh-CN"/>
        </w:rPr>
      </w:pPr>
      <w:r>
        <w:fldChar w:fldCharType="begin"/>
      </w:r>
      <w:r>
        <w:instrText xml:space="preserve"> HYPERLINK \l "_Toc8744" </w:instrText>
      </w:r>
      <w:r>
        <w:fldChar w:fldCharType="separate"/>
      </w:r>
      <w:r>
        <w:rPr>
          <w:szCs w:val="36"/>
        </w:rPr>
        <w:t>估价的假设和限制条件</w:t>
      </w:r>
      <w:r>
        <w:tab/>
      </w:r>
      <w:r>
        <w:fldChar w:fldCharType="end"/>
      </w:r>
      <w:r>
        <w:rPr>
          <w:rFonts w:hint="eastAsia"/>
          <w:lang w:val="en-US" w:eastAsia="zh-CN"/>
        </w:rPr>
        <w:t>5</w:t>
      </w:r>
    </w:p>
    <w:p>
      <w:pPr>
        <w:pStyle w:val="16"/>
        <w:tabs>
          <w:tab w:val="right" w:leader="dot" w:pos="8408"/>
        </w:tabs>
        <w:spacing w:line="460" w:lineRule="exact"/>
        <w:rPr>
          <w:rFonts w:hint="eastAsia" w:eastAsia="宋体"/>
          <w:lang w:val="en-US" w:eastAsia="zh-CN"/>
        </w:rPr>
      </w:pPr>
      <w:r>
        <w:fldChar w:fldCharType="begin"/>
      </w:r>
      <w:r>
        <w:instrText xml:space="preserve"> HYPERLINK \l "_Toc32260" </w:instrText>
      </w:r>
      <w:r>
        <w:fldChar w:fldCharType="separate"/>
      </w:r>
      <w:r>
        <w:rPr>
          <w:szCs w:val="36"/>
        </w:rPr>
        <w:t>涉执房地产处置司法评估结果报告</w:t>
      </w:r>
      <w:r>
        <w:tab/>
      </w:r>
      <w:r>
        <w:fldChar w:fldCharType="end"/>
      </w:r>
      <w:r>
        <w:rPr>
          <w:rFonts w:hint="eastAsia"/>
          <w:lang w:val="en-US" w:eastAsia="zh-CN"/>
        </w:rPr>
        <w:t>8</w:t>
      </w:r>
    </w:p>
    <w:p>
      <w:pPr>
        <w:pStyle w:val="8"/>
        <w:tabs>
          <w:tab w:val="right" w:leader="dot" w:pos="8408"/>
        </w:tabs>
        <w:spacing w:line="460" w:lineRule="exact"/>
        <w:rPr>
          <w:rFonts w:hint="eastAsia" w:eastAsia="宋体"/>
          <w:lang w:val="en-US" w:eastAsia="zh-CN"/>
        </w:rPr>
      </w:pPr>
      <w:r>
        <w:fldChar w:fldCharType="begin"/>
      </w:r>
      <w:r>
        <w:instrText xml:space="preserve"> HYPERLINK \l "_Toc10332" </w:instrText>
      </w:r>
      <w:r>
        <w:fldChar w:fldCharType="separate"/>
      </w:r>
      <w:r>
        <w:rPr>
          <w:szCs w:val="30"/>
        </w:rPr>
        <w:t>一、估价委托人</w:t>
      </w:r>
      <w:r>
        <w:tab/>
      </w:r>
      <w:r>
        <w:fldChar w:fldCharType="end"/>
      </w:r>
      <w:r>
        <w:rPr>
          <w:rFonts w:hint="eastAsia"/>
          <w:lang w:val="en-US" w:eastAsia="zh-CN"/>
        </w:rPr>
        <w:t>8</w:t>
      </w:r>
    </w:p>
    <w:p>
      <w:pPr>
        <w:pStyle w:val="8"/>
        <w:tabs>
          <w:tab w:val="right" w:leader="dot" w:pos="8408"/>
        </w:tabs>
        <w:spacing w:line="460" w:lineRule="exact"/>
        <w:rPr>
          <w:rFonts w:hint="eastAsia" w:eastAsia="宋体"/>
          <w:lang w:val="en-US" w:eastAsia="zh-CN"/>
        </w:rPr>
      </w:pPr>
      <w:r>
        <w:fldChar w:fldCharType="begin"/>
      </w:r>
      <w:r>
        <w:instrText xml:space="preserve"> HYPERLINK \l "_Toc22140" </w:instrText>
      </w:r>
      <w:r>
        <w:fldChar w:fldCharType="separate"/>
      </w:r>
      <w:r>
        <w:rPr>
          <w:szCs w:val="30"/>
        </w:rPr>
        <w:t>二、房地产估价机构</w:t>
      </w:r>
      <w:r>
        <w:tab/>
      </w:r>
      <w:r>
        <w:fldChar w:fldCharType="end"/>
      </w:r>
      <w:r>
        <w:rPr>
          <w:rFonts w:hint="eastAsia"/>
          <w:lang w:val="en-US" w:eastAsia="zh-CN"/>
        </w:rPr>
        <w:t>8</w:t>
      </w:r>
    </w:p>
    <w:p>
      <w:pPr>
        <w:pStyle w:val="8"/>
        <w:tabs>
          <w:tab w:val="right" w:leader="dot" w:pos="8408"/>
        </w:tabs>
        <w:spacing w:line="460" w:lineRule="exact"/>
        <w:rPr>
          <w:rFonts w:hint="eastAsia" w:eastAsia="宋体"/>
          <w:lang w:val="en-US" w:eastAsia="zh-CN"/>
        </w:rPr>
      </w:pPr>
      <w:r>
        <w:fldChar w:fldCharType="begin"/>
      </w:r>
      <w:r>
        <w:instrText xml:space="preserve"> HYPERLINK \l "_Toc20432" </w:instrText>
      </w:r>
      <w:r>
        <w:fldChar w:fldCharType="separate"/>
      </w:r>
      <w:r>
        <w:rPr>
          <w:szCs w:val="30"/>
        </w:rPr>
        <w:t>三、估价目的</w:t>
      </w:r>
      <w:r>
        <w:tab/>
      </w:r>
      <w:r>
        <w:fldChar w:fldCharType="end"/>
      </w:r>
      <w:r>
        <w:rPr>
          <w:rFonts w:hint="eastAsia"/>
          <w:lang w:val="en-US" w:eastAsia="zh-CN"/>
        </w:rPr>
        <w:t>8</w:t>
      </w:r>
    </w:p>
    <w:p>
      <w:pPr>
        <w:pStyle w:val="8"/>
        <w:tabs>
          <w:tab w:val="right" w:leader="dot" w:pos="8408"/>
        </w:tabs>
        <w:spacing w:line="460" w:lineRule="exact"/>
        <w:rPr>
          <w:rFonts w:hint="eastAsia" w:eastAsia="宋体"/>
          <w:lang w:val="en-US" w:eastAsia="zh-CN"/>
        </w:rPr>
      </w:pPr>
      <w:r>
        <w:fldChar w:fldCharType="begin"/>
      </w:r>
      <w:r>
        <w:instrText xml:space="preserve"> HYPERLINK \l "_Toc30502" </w:instrText>
      </w:r>
      <w:r>
        <w:fldChar w:fldCharType="separate"/>
      </w:r>
      <w:r>
        <w:rPr>
          <w:szCs w:val="30"/>
        </w:rPr>
        <w:t>四、估价对象</w:t>
      </w:r>
      <w:r>
        <w:tab/>
      </w:r>
      <w:r>
        <w:fldChar w:fldCharType="end"/>
      </w:r>
      <w:r>
        <w:rPr>
          <w:rFonts w:hint="eastAsia"/>
          <w:lang w:val="en-US" w:eastAsia="zh-CN"/>
        </w:rPr>
        <w:t>8</w:t>
      </w:r>
    </w:p>
    <w:p>
      <w:pPr>
        <w:pStyle w:val="8"/>
        <w:tabs>
          <w:tab w:val="right" w:leader="dot" w:pos="8408"/>
        </w:tabs>
        <w:spacing w:line="460" w:lineRule="exact"/>
        <w:rPr>
          <w:rFonts w:hint="default" w:eastAsia="宋体"/>
          <w:lang w:val="en-US" w:eastAsia="zh-CN"/>
        </w:rPr>
      </w:pPr>
      <w:r>
        <w:fldChar w:fldCharType="begin"/>
      </w:r>
      <w:r>
        <w:instrText xml:space="preserve"> HYPERLINK \l "_Toc11233" </w:instrText>
      </w:r>
      <w:r>
        <w:fldChar w:fldCharType="separate"/>
      </w:r>
      <w:r>
        <w:rPr>
          <w:szCs w:val="30"/>
        </w:rPr>
        <w:t>五、价值时点</w:t>
      </w:r>
      <w:r>
        <w:tab/>
      </w:r>
      <w:r>
        <w:fldChar w:fldCharType="end"/>
      </w:r>
      <w:r>
        <w:rPr>
          <w:rFonts w:hint="eastAsia"/>
          <w:lang w:val="en-US" w:eastAsia="zh-CN"/>
        </w:rPr>
        <w:t>12</w:t>
      </w:r>
    </w:p>
    <w:p>
      <w:pPr>
        <w:pStyle w:val="8"/>
        <w:tabs>
          <w:tab w:val="right" w:leader="dot" w:pos="8408"/>
        </w:tabs>
        <w:spacing w:line="460" w:lineRule="exact"/>
        <w:rPr>
          <w:rFonts w:hint="default" w:eastAsia="宋体"/>
          <w:lang w:val="en-US" w:eastAsia="zh-CN"/>
        </w:rPr>
      </w:pPr>
      <w:r>
        <w:fldChar w:fldCharType="begin"/>
      </w:r>
      <w:r>
        <w:instrText xml:space="preserve"> HYPERLINK \l "_Toc8045" </w:instrText>
      </w:r>
      <w:r>
        <w:fldChar w:fldCharType="separate"/>
      </w:r>
      <w:r>
        <w:rPr>
          <w:szCs w:val="30"/>
        </w:rPr>
        <w:t>六、价值类型</w:t>
      </w:r>
      <w:r>
        <w:tab/>
      </w:r>
      <w:r>
        <w:fldChar w:fldCharType="end"/>
      </w:r>
      <w:r>
        <w:rPr>
          <w:rFonts w:hint="eastAsia"/>
          <w:lang w:val="en-US" w:eastAsia="zh-CN"/>
        </w:rPr>
        <w:t>13</w:t>
      </w:r>
    </w:p>
    <w:p>
      <w:pPr>
        <w:pStyle w:val="8"/>
        <w:tabs>
          <w:tab w:val="right" w:leader="dot" w:pos="8408"/>
        </w:tabs>
        <w:spacing w:line="460" w:lineRule="exact"/>
        <w:rPr>
          <w:rFonts w:hint="default" w:eastAsia="宋体"/>
          <w:lang w:val="en-US" w:eastAsia="zh-CN"/>
        </w:rPr>
      </w:pPr>
      <w:r>
        <w:fldChar w:fldCharType="begin"/>
      </w:r>
      <w:r>
        <w:instrText xml:space="preserve"> HYPERLINK \l "_Toc6594" </w:instrText>
      </w:r>
      <w:r>
        <w:fldChar w:fldCharType="separate"/>
      </w:r>
      <w:r>
        <w:rPr>
          <w:szCs w:val="30"/>
        </w:rPr>
        <w:t>七、估价依据</w:t>
      </w:r>
      <w:r>
        <w:tab/>
      </w:r>
      <w:r>
        <w:fldChar w:fldCharType="end"/>
      </w:r>
      <w:r>
        <w:rPr>
          <w:rFonts w:hint="eastAsia"/>
          <w:lang w:val="en-US" w:eastAsia="zh-CN"/>
        </w:rPr>
        <w:t>13</w:t>
      </w:r>
    </w:p>
    <w:p>
      <w:pPr>
        <w:pStyle w:val="8"/>
        <w:tabs>
          <w:tab w:val="right" w:leader="dot" w:pos="8408"/>
        </w:tabs>
        <w:spacing w:line="460" w:lineRule="exact"/>
        <w:rPr>
          <w:rFonts w:hint="default" w:eastAsia="宋体"/>
          <w:lang w:val="en-US" w:eastAsia="zh-CN"/>
        </w:rPr>
      </w:pPr>
      <w:r>
        <w:fldChar w:fldCharType="begin"/>
      </w:r>
      <w:r>
        <w:instrText xml:space="preserve"> HYPERLINK \l "_Toc19783" </w:instrText>
      </w:r>
      <w:r>
        <w:fldChar w:fldCharType="separate"/>
      </w:r>
      <w:r>
        <w:rPr>
          <w:szCs w:val="30"/>
        </w:rPr>
        <w:t>八、估价原则</w:t>
      </w:r>
      <w:r>
        <w:tab/>
      </w:r>
      <w:r>
        <w:fldChar w:fldCharType="end"/>
      </w:r>
      <w:r>
        <w:rPr>
          <w:rFonts w:hint="eastAsia"/>
          <w:lang w:val="en-US" w:eastAsia="zh-CN"/>
        </w:rPr>
        <w:t>14</w:t>
      </w:r>
    </w:p>
    <w:p>
      <w:pPr>
        <w:pStyle w:val="8"/>
        <w:tabs>
          <w:tab w:val="right" w:leader="dot" w:pos="8408"/>
        </w:tabs>
        <w:spacing w:line="460" w:lineRule="exact"/>
        <w:rPr>
          <w:rFonts w:hint="default" w:eastAsia="宋体"/>
          <w:lang w:val="en-US" w:eastAsia="zh-CN"/>
        </w:rPr>
      </w:pPr>
      <w:r>
        <w:fldChar w:fldCharType="begin"/>
      </w:r>
      <w:r>
        <w:instrText xml:space="preserve"> HYPERLINK \l "_Toc9949" </w:instrText>
      </w:r>
      <w:r>
        <w:fldChar w:fldCharType="separate"/>
      </w:r>
      <w:r>
        <w:rPr>
          <w:szCs w:val="30"/>
        </w:rPr>
        <w:t>九、估价方法</w:t>
      </w:r>
      <w:r>
        <w:tab/>
      </w:r>
      <w:r>
        <w:fldChar w:fldCharType="end"/>
      </w:r>
      <w:r>
        <w:rPr>
          <w:rFonts w:hint="eastAsia"/>
          <w:lang w:val="en-US" w:eastAsia="zh-CN"/>
        </w:rPr>
        <w:t>15</w:t>
      </w:r>
    </w:p>
    <w:p>
      <w:pPr>
        <w:pStyle w:val="8"/>
        <w:tabs>
          <w:tab w:val="right" w:leader="dot" w:pos="8408"/>
        </w:tabs>
        <w:spacing w:line="460" w:lineRule="exact"/>
        <w:rPr>
          <w:rFonts w:hint="default" w:eastAsia="宋体"/>
          <w:lang w:val="en-US" w:eastAsia="zh-CN"/>
        </w:rPr>
      </w:pPr>
      <w:r>
        <w:fldChar w:fldCharType="begin"/>
      </w:r>
      <w:r>
        <w:instrText xml:space="preserve"> HYPERLINK \l "_Toc27288" </w:instrText>
      </w:r>
      <w:r>
        <w:fldChar w:fldCharType="separate"/>
      </w:r>
      <w:r>
        <w:rPr>
          <w:szCs w:val="30"/>
        </w:rPr>
        <w:t>十、估价结果</w:t>
      </w:r>
      <w:r>
        <w:tab/>
      </w:r>
      <w:r>
        <w:fldChar w:fldCharType="end"/>
      </w:r>
      <w:r>
        <w:rPr>
          <w:rFonts w:hint="eastAsia"/>
          <w:lang w:val="en-US" w:eastAsia="zh-CN"/>
        </w:rPr>
        <w:t>17</w:t>
      </w:r>
    </w:p>
    <w:p>
      <w:pPr>
        <w:pStyle w:val="8"/>
        <w:tabs>
          <w:tab w:val="right" w:leader="dot" w:pos="8408"/>
        </w:tabs>
        <w:spacing w:line="460" w:lineRule="exact"/>
        <w:rPr>
          <w:rFonts w:hint="default" w:eastAsia="宋体"/>
          <w:lang w:val="en-US" w:eastAsia="zh-CN"/>
        </w:rPr>
      </w:pPr>
      <w:r>
        <w:fldChar w:fldCharType="begin"/>
      </w:r>
      <w:r>
        <w:instrText xml:space="preserve"> HYPERLINK \l "_Toc26402" </w:instrText>
      </w:r>
      <w:r>
        <w:fldChar w:fldCharType="separate"/>
      </w:r>
      <w:r>
        <w:rPr>
          <w:szCs w:val="30"/>
        </w:rPr>
        <w:t>十一、注册房估价师</w:t>
      </w:r>
      <w:r>
        <w:tab/>
      </w:r>
      <w:r>
        <w:fldChar w:fldCharType="end"/>
      </w:r>
      <w:r>
        <w:rPr>
          <w:rFonts w:hint="eastAsia"/>
          <w:lang w:val="en-US" w:eastAsia="zh-CN"/>
        </w:rPr>
        <w:t>17</w:t>
      </w:r>
    </w:p>
    <w:p>
      <w:pPr>
        <w:pStyle w:val="8"/>
        <w:tabs>
          <w:tab w:val="right" w:leader="dot" w:pos="8408"/>
        </w:tabs>
        <w:spacing w:line="460" w:lineRule="exact"/>
        <w:rPr>
          <w:rFonts w:hint="default" w:eastAsia="宋体"/>
          <w:lang w:val="en-US" w:eastAsia="zh-CN"/>
        </w:rPr>
      </w:pPr>
      <w:r>
        <w:fldChar w:fldCharType="begin"/>
      </w:r>
      <w:r>
        <w:instrText xml:space="preserve"> HYPERLINK \l "_Toc11971" </w:instrText>
      </w:r>
      <w:r>
        <w:fldChar w:fldCharType="separate"/>
      </w:r>
      <w:r>
        <w:rPr>
          <w:szCs w:val="30"/>
        </w:rPr>
        <w:t>十二、实地查勘期</w:t>
      </w:r>
      <w:r>
        <w:tab/>
      </w:r>
      <w:r>
        <w:fldChar w:fldCharType="end"/>
      </w:r>
      <w:r>
        <w:rPr>
          <w:rFonts w:hint="eastAsia"/>
          <w:lang w:val="en-US" w:eastAsia="zh-CN"/>
        </w:rPr>
        <w:t>17</w:t>
      </w:r>
    </w:p>
    <w:p>
      <w:pPr>
        <w:pStyle w:val="8"/>
        <w:tabs>
          <w:tab w:val="right" w:leader="dot" w:pos="8408"/>
        </w:tabs>
        <w:spacing w:line="460" w:lineRule="exact"/>
        <w:rPr>
          <w:rFonts w:hint="default" w:eastAsia="宋体"/>
          <w:lang w:val="en-US" w:eastAsia="zh-CN"/>
        </w:rPr>
      </w:pPr>
      <w:r>
        <w:fldChar w:fldCharType="begin"/>
      </w:r>
      <w:r>
        <w:instrText xml:space="preserve"> HYPERLINK \l "_Toc8910" </w:instrText>
      </w:r>
      <w:r>
        <w:fldChar w:fldCharType="separate"/>
      </w:r>
      <w:r>
        <w:rPr>
          <w:szCs w:val="30"/>
        </w:rPr>
        <w:t>十三、估价作业期</w:t>
      </w:r>
      <w:r>
        <w:tab/>
      </w:r>
      <w:r>
        <w:fldChar w:fldCharType="end"/>
      </w:r>
      <w:r>
        <w:rPr>
          <w:rFonts w:hint="eastAsia"/>
          <w:lang w:val="en-US" w:eastAsia="zh-CN"/>
        </w:rPr>
        <w:t>17</w:t>
      </w:r>
    </w:p>
    <w:p>
      <w:pPr>
        <w:pStyle w:val="8"/>
        <w:tabs>
          <w:tab w:val="right" w:leader="dot" w:pos="8408"/>
        </w:tabs>
        <w:spacing w:line="460" w:lineRule="exact"/>
        <w:rPr>
          <w:rFonts w:hint="default" w:eastAsia="宋体"/>
          <w:lang w:val="en-US" w:eastAsia="zh-CN"/>
        </w:rPr>
      </w:pPr>
      <w:r>
        <w:fldChar w:fldCharType="begin"/>
      </w:r>
      <w:r>
        <w:instrText xml:space="preserve"> HYPERLINK \l "_Toc7639" </w:instrText>
      </w:r>
      <w:r>
        <w:fldChar w:fldCharType="separate"/>
      </w:r>
      <w:r>
        <w:rPr>
          <w:szCs w:val="30"/>
        </w:rPr>
        <w:t>十四、房地产估价报告使用</w:t>
      </w:r>
      <w:r>
        <w:rPr>
          <w:rFonts w:hint="eastAsia"/>
          <w:szCs w:val="30"/>
        </w:rPr>
        <w:t>特别</w:t>
      </w:r>
      <w:r>
        <w:rPr>
          <w:szCs w:val="30"/>
        </w:rPr>
        <w:t>提示</w:t>
      </w:r>
      <w:r>
        <w:tab/>
      </w:r>
      <w:r>
        <w:fldChar w:fldCharType="end"/>
      </w:r>
      <w:r>
        <w:rPr>
          <w:rFonts w:hint="eastAsia"/>
          <w:lang w:val="en-US" w:eastAsia="zh-CN"/>
        </w:rPr>
        <w:t>17</w:t>
      </w:r>
    </w:p>
    <w:p>
      <w:pPr>
        <w:pStyle w:val="8"/>
        <w:tabs>
          <w:tab w:val="right" w:leader="dot" w:pos="8408"/>
        </w:tabs>
        <w:spacing w:line="460" w:lineRule="exact"/>
        <w:rPr>
          <w:rFonts w:hint="default" w:eastAsia="宋体"/>
          <w:lang w:val="en-US" w:eastAsia="zh-CN"/>
        </w:rPr>
      </w:pPr>
      <w:r>
        <w:fldChar w:fldCharType="begin"/>
      </w:r>
      <w:r>
        <w:instrText xml:space="preserve"> HYPERLINK \l "_Toc16241" </w:instrText>
      </w:r>
      <w:r>
        <w:fldChar w:fldCharType="separate"/>
      </w:r>
      <w:r>
        <w:rPr>
          <w:szCs w:val="30"/>
        </w:rPr>
        <w:t>附　件</w:t>
      </w:r>
      <w:r>
        <w:tab/>
      </w:r>
      <w:r>
        <w:fldChar w:fldCharType="end"/>
      </w:r>
      <w:r>
        <w:rPr>
          <w:rFonts w:hint="eastAsia"/>
          <w:lang w:val="en-US" w:eastAsia="zh-CN"/>
        </w:rPr>
        <w:t>18</w:t>
      </w:r>
    </w:p>
    <w:p>
      <w:pPr>
        <w:autoSpaceDE w:val="0"/>
        <w:autoSpaceDN w:val="0"/>
        <w:snapToGrid w:val="0"/>
        <w:spacing w:line="520" w:lineRule="exact"/>
        <w:ind w:left="1677" w:leftChars="582" w:right="-340" w:hanging="455" w:hangingChars="217"/>
        <w:jc w:val="left"/>
        <w:textAlignment w:val="bottom"/>
        <w:rPr>
          <w:rFonts w:hint="eastAsia" w:eastAsia="宋体"/>
          <w:szCs w:val="21"/>
          <w:lang w:eastAsia="zh-CN"/>
        </w:rPr>
      </w:pPr>
      <w:r>
        <w:rPr>
          <w:szCs w:val="21"/>
        </w:rPr>
        <w:fldChar w:fldCharType="end"/>
      </w:r>
      <w:r>
        <w:rPr>
          <w:szCs w:val="21"/>
        </w:rPr>
        <w:t>1、</w:t>
      </w:r>
      <w:r>
        <w:rPr>
          <w:rFonts w:hint="eastAsia"/>
          <w:szCs w:val="21"/>
          <w:lang w:eastAsia="zh-CN"/>
        </w:rPr>
        <w:t>（2021）苏0903法司鉴委字第386号司法鉴定委托书复印件</w:t>
      </w:r>
    </w:p>
    <w:p>
      <w:pPr>
        <w:tabs>
          <w:tab w:val="left" w:pos="8598"/>
        </w:tabs>
        <w:autoSpaceDE w:val="0"/>
        <w:autoSpaceDN w:val="0"/>
        <w:snapToGrid w:val="0"/>
        <w:spacing w:line="520" w:lineRule="exact"/>
        <w:ind w:left="1677" w:leftChars="582" w:right="-340" w:hanging="455" w:hangingChars="217"/>
        <w:jc w:val="left"/>
        <w:textAlignment w:val="bottom"/>
        <w:rPr>
          <w:rFonts w:hint="eastAsia" w:eastAsia="宋体"/>
          <w:szCs w:val="21"/>
          <w:lang w:eastAsia="zh-CN"/>
        </w:rPr>
      </w:pPr>
      <w:r>
        <w:rPr>
          <w:szCs w:val="21"/>
        </w:rPr>
        <w:t>2、</w:t>
      </w:r>
      <w:r>
        <w:rPr>
          <w:rFonts w:hint="eastAsia"/>
          <w:szCs w:val="21"/>
          <w:lang w:eastAsia="zh-CN"/>
        </w:rPr>
        <w:t>《不动产登记簿查询记录》复印件</w:t>
      </w:r>
      <w:r>
        <w:rPr>
          <w:rFonts w:hint="eastAsia"/>
          <w:szCs w:val="21"/>
          <w:lang w:eastAsia="zh-CN"/>
        </w:rPr>
        <w:tab/>
      </w:r>
    </w:p>
    <w:p>
      <w:pPr>
        <w:autoSpaceDE w:val="0"/>
        <w:autoSpaceDN w:val="0"/>
        <w:snapToGrid w:val="0"/>
        <w:spacing w:line="520" w:lineRule="exact"/>
        <w:ind w:left="1677" w:leftChars="582" w:right="-340" w:hanging="455" w:hangingChars="217"/>
        <w:jc w:val="left"/>
        <w:textAlignment w:val="bottom"/>
        <w:rPr>
          <w:szCs w:val="21"/>
        </w:rPr>
      </w:pPr>
      <w:r>
        <w:rPr>
          <w:szCs w:val="21"/>
        </w:rPr>
        <w:t>3、估价对象现状照片</w:t>
      </w:r>
    </w:p>
    <w:p>
      <w:pPr>
        <w:autoSpaceDE w:val="0"/>
        <w:autoSpaceDN w:val="0"/>
        <w:snapToGrid w:val="0"/>
        <w:spacing w:line="520" w:lineRule="exact"/>
        <w:ind w:left="1677" w:leftChars="582" w:right="-340" w:hanging="455" w:hangingChars="217"/>
        <w:jc w:val="left"/>
        <w:textAlignment w:val="bottom"/>
        <w:rPr>
          <w:szCs w:val="21"/>
        </w:rPr>
      </w:pPr>
      <w:r>
        <w:rPr>
          <w:szCs w:val="21"/>
        </w:rPr>
        <w:t>4、估价对象区域位置示意图</w:t>
      </w:r>
    </w:p>
    <w:p>
      <w:pPr>
        <w:autoSpaceDE w:val="0"/>
        <w:autoSpaceDN w:val="0"/>
        <w:snapToGrid w:val="0"/>
        <w:spacing w:line="520" w:lineRule="exact"/>
        <w:ind w:left="1677" w:leftChars="582" w:right="-340" w:hanging="455" w:hangingChars="217"/>
        <w:jc w:val="left"/>
        <w:textAlignment w:val="bottom"/>
        <w:rPr>
          <w:szCs w:val="21"/>
        </w:rPr>
      </w:pPr>
      <w:r>
        <w:rPr>
          <w:szCs w:val="21"/>
        </w:rPr>
        <w:t>5、房地产估价机构营业执照复印件</w:t>
      </w:r>
    </w:p>
    <w:p>
      <w:pPr>
        <w:autoSpaceDE w:val="0"/>
        <w:autoSpaceDN w:val="0"/>
        <w:snapToGrid w:val="0"/>
        <w:spacing w:line="520" w:lineRule="exact"/>
        <w:ind w:left="1677" w:leftChars="582" w:right="-340" w:hanging="455" w:hangingChars="217"/>
        <w:jc w:val="left"/>
        <w:textAlignment w:val="bottom"/>
        <w:rPr>
          <w:szCs w:val="21"/>
        </w:rPr>
      </w:pPr>
      <w:r>
        <w:rPr>
          <w:szCs w:val="21"/>
        </w:rPr>
        <w:t>6、房地产估价机构资质证书复印件</w:t>
      </w:r>
    </w:p>
    <w:p>
      <w:pPr>
        <w:autoSpaceDE w:val="0"/>
        <w:autoSpaceDN w:val="0"/>
        <w:snapToGrid w:val="0"/>
        <w:spacing w:line="520" w:lineRule="exact"/>
        <w:ind w:left="1677" w:leftChars="582" w:right="-340" w:hanging="455" w:hangingChars="217"/>
        <w:jc w:val="left"/>
        <w:textAlignment w:val="bottom"/>
        <w:rPr>
          <w:szCs w:val="21"/>
        </w:rPr>
      </w:pPr>
      <w:r>
        <w:rPr>
          <w:szCs w:val="21"/>
        </w:rPr>
        <w:t>7、注册房地产估价师资格证书复印件</w:t>
      </w:r>
    </w:p>
    <w:p>
      <w:pPr>
        <w:autoSpaceDE w:val="0"/>
        <w:autoSpaceDN w:val="0"/>
        <w:snapToGrid w:val="0"/>
        <w:spacing w:line="520" w:lineRule="exact"/>
        <w:ind w:left="1677" w:leftChars="582" w:right="-340" w:hanging="455" w:hangingChars="217"/>
        <w:jc w:val="left"/>
        <w:textAlignment w:val="bottom"/>
        <w:rPr>
          <w:rFonts w:hint="default" w:eastAsia="宋体"/>
          <w:szCs w:val="21"/>
          <w:lang w:val="en-US" w:eastAsia="zh-CN"/>
        </w:rPr>
      </w:pPr>
      <w:r>
        <w:rPr>
          <w:rFonts w:hint="eastAsia"/>
          <w:szCs w:val="21"/>
          <w:lang w:val="en-US" w:eastAsia="zh-CN"/>
        </w:rPr>
        <w:t>8、附表 可移动物品评估明细表</w:t>
      </w:r>
    </w:p>
    <w:p>
      <w:pPr>
        <w:autoSpaceDE w:val="0"/>
        <w:autoSpaceDN w:val="0"/>
        <w:snapToGrid w:val="0"/>
        <w:spacing w:line="520" w:lineRule="exact"/>
        <w:ind w:left="1677" w:leftChars="582" w:right="-340" w:hanging="455" w:hangingChars="217"/>
        <w:jc w:val="left"/>
        <w:textAlignment w:val="bottom"/>
        <w:rPr>
          <w:szCs w:val="21"/>
        </w:rPr>
      </w:pPr>
    </w:p>
    <w:p>
      <w:pPr>
        <w:autoSpaceDE w:val="0"/>
        <w:autoSpaceDN w:val="0"/>
        <w:snapToGrid w:val="0"/>
        <w:spacing w:line="520" w:lineRule="exact"/>
        <w:ind w:left="1677" w:leftChars="582" w:right="-340" w:hanging="455" w:hangingChars="217"/>
        <w:jc w:val="left"/>
        <w:textAlignment w:val="bottom"/>
        <w:rPr>
          <w:szCs w:val="21"/>
        </w:rPr>
      </w:pPr>
    </w:p>
    <w:p>
      <w:pPr>
        <w:pStyle w:val="3"/>
        <w:jc w:val="center"/>
        <w:rPr>
          <w:rFonts w:ascii="Times New Roman" w:hAnsi="Times New Roman" w:eastAsia="宋体"/>
          <w:sz w:val="36"/>
          <w:szCs w:val="36"/>
        </w:rPr>
      </w:pPr>
      <w:bookmarkStart w:id="1" w:name="_Toc2936"/>
      <w:r>
        <w:rPr>
          <w:rFonts w:ascii="Times New Roman" w:hAnsi="Times New Roman" w:eastAsia="宋体"/>
          <w:sz w:val="36"/>
          <w:szCs w:val="36"/>
        </w:rPr>
        <w:t>估 价 师 声 明</w:t>
      </w:r>
      <w:bookmarkEnd w:id="1"/>
    </w:p>
    <w:p>
      <w:pPr>
        <w:rPr>
          <w:sz w:val="30"/>
        </w:rPr>
      </w:pPr>
    </w:p>
    <w:p>
      <w:pPr>
        <w:spacing w:line="560" w:lineRule="exact"/>
        <w:rPr>
          <w:rFonts w:eastAsia="仿宋_GB2312"/>
          <w:sz w:val="28"/>
        </w:rPr>
      </w:pPr>
      <w:r>
        <w:rPr>
          <w:rFonts w:eastAsia="仿宋_GB2312"/>
          <w:sz w:val="28"/>
        </w:rPr>
        <w:t>我们郑重声明：</w:t>
      </w:r>
    </w:p>
    <w:p>
      <w:pPr>
        <w:spacing w:line="560" w:lineRule="exact"/>
        <w:rPr>
          <w:rFonts w:eastAsia="仿宋_GB2312"/>
          <w:sz w:val="28"/>
        </w:rPr>
      </w:pPr>
      <w:r>
        <w:rPr>
          <w:rFonts w:eastAsia="仿宋_GB2312"/>
          <w:sz w:val="28"/>
        </w:rPr>
        <w:t xml:space="preserve">    1、我们在本估价报告中陈述的事实是真实的和准确的。</w:t>
      </w:r>
    </w:p>
    <w:p>
      <w:pPr>
        <w:spacing w:line="560" w:lineRule="exact"/>
        <w:ind w:firstLine="600"/>
        <w:rPr>
          <w:rFonts w:eastAsia="仿宋_GB2312"/>
          <w:sz w:val="28"/>
        </w:rPr>
      </w:pPr>
      <w:r>
        <w:rPr>
          <w:rFonts w:eastAsia="仿宋_GB2312"/>
          <w:sz w:val="28"/>
        </w:rPr>
        <w:t>2、本估价报告中的分析、意见和结论是我们自己公正的专业分析、意见和结论，但受本估价报告中已说明的假设和限制条件的限制。</w:t>
      </w:r>
    </w:p>
    <w:p>
      <w:pPr>
        <w:spacing w:line="560" w:lineRule="exact"/>
        <w:ind w:firstLine="600"/>
        <w:rPr>
          <w:rFonts w:eastAsia="仿宋_GB2312"/>
          <w:sz w:val="28"/>
        </w:rPr>
      </w:pPr>
      <w:r>
        <w:rPr>
          <w:rFonts w:eastAsia="仿宋_GB2312"/>
          <w:sz w:val="28"/>
        </w:rPr>
        <w:t>3、我们与本次估价的估价对象没有利害关系，也与有关当事人没有个人利害关系或偏见。</w:t>
      </w:r>
    </w:p>
    <w:p>
      <w:pPr>
        <w:spacing w:line="560" w:lineRule="exact"/>
        <w:ind w:firstLine="600"/>
        <w:rPr>
          <w:rFonts w:eastAsia="仿宋_GB2312"/>
          <w:sz w:val="28"/>
        </w:rPr>
      </w:pPr>
      <w:r>
        <w:rPr>
          <w:rFonts w:eastAsia="仿宋_GB2312"/>
          <w:sz w:val="28"/>
        </w:rPr>
        <w:t>4、我们依照中华人民共和国国家标准GB/T50291-2015《房地产估价规范》的要求进行分析，形成意见和结论，撰写本估价报告。</w:t>
      </w:r>
    </w:p>
    <w:p>
      <w:pPr>
        <w:spacing w:line="560" w:lineRule="exact"/>
        <w:ind w:firstLine="600"/>
        <w:rPr>
          <w:rFonts w:eastAsia="仿宋_GB2312"/>
          <w:sz w:val="28"/>
        </w:rPr>
      </w:pPr>
      <w:r>
        <w:rPr>
          <w:rFonts w:eastAsia="仿宋_GB2312"/>
          <w:sz w:val="28"/>
        </w:rPr>
        <w:t>5、我们已对本估价报告中的估价对象进行了实地勘察，并对勘察的客观性、真实性、公正性承担责任，我们对估价对象的现场勘察仅限于其外观和使用状况，对被遮盖、未暴露及难以接触到的部分 ，依据估价委托人提供的合法资料进行评估。除非另有协议，我们不承担对估价对象建筑结构质量进行调查的责任。</w:t>
      </w:r>
    </w:p>
    <w:p>
      <w:pPr>
        <w:spacing w:line="560" w:lineRule="exact"/>
        <w:ind w:firstLine="600"/>
        <w:rPr>
          <w:rFonts w:eastAsia="仿宋_GB2312"/>
          <w:sz w:val="28"/>
        </w:rPr>
      </w:pPr>
      <w:r>
        <w:rPr>
          <w:rFonts w:eastAsia="仿宋_GB2312"/>
          <w:sz w:val="28"/>
        </w:rPr>
        <w:t>6、没有人对本估价报告提供重要专业帮助。</w:t>
      </w:r>
    </w:p>
    <w:p>
      <w:pPr>
        <w:spacing w:line="560" w:lineRule="exact"/>
        <w:ind w:firstLine="600"/>
        <w:rPr>
          <w:rFonts w:eastAsia="仿宋_GB2312"/>
          <w:sz w:val="28"/>
        </w:rPr>
      </w:pPr>
      <w:r>
        <w:rPr>
          <w:rFonts w:eastAsia="仿宋_GB2312"/>
          <w:sz w:val="28"/>
        </w:rPr>
        <w:t>7、本估价报告依据了估价委托人提供的相关资料，估价委托人对资料的真实性负责。因资料失实造成估价结果有误的，房地产估价机构和房地产估价师不承担相应的责任。</w:t>
      </w:r>
    </w:p>
    <w:p>
      <w:pPr>
        <w:spacing w:line="560" w:lineRule="exact"/>
        <w:ind w:firstLine="600"/>
        <w:rPr>
          <w:rFonts w:eastAsia="仿宋_GB2312"/>
          <w:sz w:val="28"/>
        </w:rPr>
      </w:pPr>
      <w:r>
        <w:rPr>
          <w:rFonts w:eastAsia="仿宋_GB2312"/>
          <w:sz w:val="28"/>
        </w:rPr>
        <w:t>8、报告结果仅作为估价委托人在本次估价特定的目的下使用，不得作其他用途。未经本估价机构和房地产估价师同意，估价报告不得向估价委托人及报告审查部门以外的单位及个人提供，凡因估价委托人使用估价报告不当而引起的后果，估价机构和房地产估价师不承担相应的责任。</w:t>
      </w:r>
    </w:p>
    <w:p>
      <w:pPr>
        <w:spacing w:line="560" w:lineRule="exact"/>
        <w:ind w:firstLine="600"/>
        <w:rPr>
          <w:rFonts w:eastAsia="仿宋_GB2312"/>
          <w:sz w:val="28"/>
        </w:rPr>
      </w:pPr>
      <w:r>
        <w:rPr>
          <w:rFonts w:eastAsia="仿宋_GB2312"/>
          <w:sz w:val="28"/>
        </w:rPr>
        <w:t>9、本估价报告的全部或其部分内容不发表于任何公开媒体上，报告解释权为本评估机构所有。</w:t>
      </w:r>
    </w:p>
    <w:p>
      <w:pPr>
        <w:pStyle w:val="3"/>
        <w:jc w:val="center"/>
        <w:rPr>
          <w:rFonts w:ascii="Times New Roman" w:hAnsi="Times New Roman" w:eastAsia="宋体"/>
          <w:sz w:val="36"/>
          <w:szCs w:val="36"/>
        </w:rPr>
      </w:pPr>
      <w:bookmarkStart w:id="2" w:name="_Toc8744"/>
      <w:r>
        <w:rPr>
          <w:rFonts w:ascii="Times New Roman" w:hAnsi="Times New Roman" w:eastAsia="宋体"/>
          <w:sz w:val="36"/>
          <w:szCs w:val="36"/>
        </w:rPr>
        <w:t>估价的假设和限制条件</w:t>
      </w:r>
      <w:bookmarkEnd w:id="2"/>
    </w:p>
    <w:p>
      <w:pPr>
        <w:spacing w:line="460" w:lineRule="exact"/>
        <w:ind w:firstLine="562" w:firstLineChars="200"/>
        <w:rPr>
          <w:rFonts w:eastAsia="仿宋_GB2312"/>
          <w:b/>
          <w:sz w:val="28"/>
          <w:szCs w:val="28"/>
        </w:rPr>
      </w:pPr>
    </w:p>
    <w:p>
      <w:pPr>
        <w:spacing w:line="460" w:lineRule="exact"/>
        <w:ind w:firstLine="562" w:firstLineChars="200"/>
        <w:rPr>
          <w:rFonts w:eastAsia="仿宋_GB2312"/>
          <w:b/>
          <w:sz w:val="28"/>
          <w:szCs w:val="28"/>
        </w:rPr>
      </w:pPr>
      <w:r>
        <w:rPr>
          <w:rFonts w:eastAsia="仿宋_GB2312"/>
          <w:b/>
          <w:sz w:val="28"/>
          <w:szCs w:val="28"/>
        </w:rPr>
        <w:t>一、一般假设</w:t>
      </w:r>
    </w:p>
    <w:p>
      <w:pPr>
        <w:spacing w:line="460" w:lineRule="exact"/>
        <w:ind w:firstLine="560" w:firstLineChars="200"/>
        <w:rPr>
          <w:rFonts w:eastAsia="仿宋_GB2312"/>
          <w:sz w:val="28"/>
          <w:szCs w:val="28"/>
        </w:rPr>
      </w:pPr>
      <w:r>
        <w:rPr>
          <w:rFonts w:eastAsia="仿宋_GB2312"/>
          <w:sz w:val="28"/>
          <w:szCs w:val="28"/>
        </w:rPr>
        <w:t>1、产权方面的假设</w:t>
      </w:r>
    </w:p>
    <w:p>
      <w:pPr>
        <w:spacing w:line="460" w:lineRule="exact"/>
        <w:ind w:firstLine="560" w:firstLineChars="200"/>
        <w:rPr>
          <w:rFonts w:eastAsia="仿宋_GB2312"/>
          <w:sz w:val="28"/>
          <w:szCs w:val="28"/>
        </w:rPr>
      </w:pPr>
      <w:r>
        <w:rPr>
          <w:rFonts w:eastAsia="仿宋_GB2312"/>
          <w:sz w:val="28"/>
          <w:szCs w:val="28"/>
        </w:rPr>
        <w:t>对于估价对象产权，以估价委托人提供的</w:t>
      </w:r>
      <w:r>
        <w:rPr>
          <w:rFonts w:hint="eastAsia" w:eastAsia="仿宋_GB2312"/>
          <w:sz w:val="28"/>
          <w:szCs w:val="28"/>
          <w:lang w:eastAsia="zh-CN"/>
        </w:rPr>
        <w:t>《不动产登记簿查询记录》</w:t>
      </w:r>
      <w:r>
        <w:rPr>
          <w:rFonts w:eastAsia="仿宋_GB2312"/>
          <w:sz w:val="28"/>
          <w:szCs w:val="28"/>
        </w:rPr>
        <w:t>为依据，我们并未到有关主管部门对</w:t>
      </w:r>
      <w:r>
        <w:rPr>
          <w:rFonts w:hint="eastAsia" w:eastAsia="仿宋_GB2312"/>
          <w:sz w:val="28"/>
          <w:szCs w:val="28"/>
          <w:lang w:eastAsia="zh-CN"/>
        </w:rPr>
        <w:t>《不动产登记簿查询记录》</w:t>
      </w:r>
      <w:r>
        <w:rPr>
          <w:rFonts w:eastAsia="仿宋_GB2312"/>
          <w:sz w:val="28"/>
          <w:szCs w:val="28"/>
        </w:rPr>
        <w:t>记载内容的真实性进行核实，由估价委托人保证其产权的真实性、合法性。</w:t>
      </w:r>
    </w:p>
    <w:p>
      <w:pPr>
        <w:spacing w:line="460" w:lineRule="exact"/>
        <w:ind w:firstLine="560" w:firstLineChars="200"/>
        <w:rPr>
          <w:rFonts w:eastAsia="仿宋_GB2312"/>
          <w:sz w:val="28"/>
          <w:szCs w:val="28"/>
        </w:rPr>
      </w:pPr>
      <w:r>
        <w:rPr>
          <w:rFonts w:eastAsia="仿宋_GB2312"/>
          <w:sz w:val="28"/>
          <w:szCs w:val="28"/>
        </w:rPr>
        <w:t>对于估价对象土地面积、建筑面积、用途等影响估价结果的数据资料，以委托人提供的</w:t>
      </w:r>
      <w:r>
        <w:rPr>
          <w:rFonts w:hint="eastAsia" w:eastAsia="仿宋_GB2312"/>
          <w:sz w:val="28"/>
          <w:szCs w:val="28"/>
          <w:lang w:eastAsia="zh-CN"/>
        </w:rPr>
        <w:t>《不动产登记簿查询记录》</w:t>
      </w:r>
      <w:r>
        <w:rPr>
          <w:rFonts w:eastAsia="仿宋_GB2312"/>
          <w:sz w:val="28"/>
          <w:szCs w:val="28"/>
        </w:rPr>
        <w:t>记载为准，本次估价假设上述数据资料于价值时点合法、有效。</w:t>
      </w:r>
    </w:p>
    <w:p>
      <w:pPr>
        <w:spacing w:line="460" w:lineRule="exact"/>
        <w:ind w:firstLine="560" w:firstLineChars="200"/>
        <w:rPr>
          <w:rFonts w:eastAsia="仿宋_GB2312"/>
          <w:sz w:val="28"/>
          <w:szCs w:val="28"/>
        </w:rPr>
      </w:pPr>
      <w:r>
        <w:rPr>
          <w:rFonts w:eastAsia="仿宋_GB2312"/>
          <w:sz w:val="28"/>
          <w:szCs w:val="28"/>
        </w:rPr>
        <w:t>2、房屋安全的假设</w:t>
      </w:r>
    </w:p>
    <w:p>
      <w:pPr>
        <w:spacing w:line="460" w:lineRule="exact"/>
        <w:ind w:firstLine="560" w:firstLineChars="200"/>
        <w:rPr>
          <w:rFonts w:eastAsia="仿宋_GB2312"/>
          <w:sz w:val="28"/>
          <w:szCs w:val="28"/>
        </w:rPr>
      </w:pPr>
      <w:r>
        <w:rPr>
          <w:rFonts w:eastAsia="仿宋_GB2312"/>
          <w:sz w:val="28"/>
          <w:szCs w:val="28"/>
        </w:rPr>
        <w:t>估价人员对估价对象进行了实地勘察，并对实地勘察的客观性、真实性、公正性承担责任。但估价师对估价对象的勘察，仅限于估价对象的外国和使用状况，无法核实被遮盖、未暴露及难以接触到的部分，也未对其进行结构测试，不能确定其结构是否存在内部安全隐患。本次设定估价对象不存在建筑物隐蔽性质量问题并且建筑质量符合安全标准，可以长期持续使用。</w:t>
      </w:r>
    </w:p>
    <w:p>
      <w:pPr>
        <w:spacing w:line="460" w:lineRule="exact"/>
        <w:ind w:firstLine="560" w:firstLineChars="200"/>
        <w:rPr>
          <w:rFonts w:eastAsia="仿宋_GB2312"/>
          <w:sz w:val="28"/>
          <w:szCs w:val="28"/>
        </w:rPr>
      </w:pPr>
      <w:r>
        <w:rPr>
          <w:rFonts w:eastAsia="仿宋_GB2312"/>
          <w:sz w:val="28"/>
          <w:szCs w:val="28"/>
        </w:rPr>
        <w:t>3、公开市场假设</w:t>
      </w:r>
    </w:p>
    <w:p>
      <w:pPr>
        <w:spacing w:line="460" w:lineRule="exact"/>
        <w:ind w:firstLine="560" w:firstLineChars="200"/>
        <w:rPr>
          <w:rFonts w:eastAsia="仿宋_GB2312"/>
          <w:sz w:val="28"/>
          <w:szCs w:val="28"/>
        </w:rPr>
      </w:pPr>
      <w:r>
        <w:rPr>
          <w:rFonts w:eastAsia="仿宋_GB2312"/>
          <w:sz w:val="28"/>
          <w:szCs w:val="28"/>
        </w:rPr>
        <w:t>所谓公开市场，是指以个竞争性的市场，在该市场上交易各方进行交易的目的在于最大限度地追求经济利益，并且他们都掌握了必要的市场信息，有比较充裕的时间进行交易，对交易对象具有必要的专业知识。此外，市场交易条件公开，不具有排他性，即所以市场主体都可以平等自由地参与交易，并同时满足以下条件：</w:t>
      </w:r>
    </w:p>
    <w:p>
      <w:pPr>
        <w:spacing w:line="460" w:lineRule="exact"/>
        <w:ind w:firstLine="560" w:firstLineChars="200"/>
        <w:rPr>
          <w:rFonts w:eastAsia="仿宋_GB2312"/>
          <w:sz w:val="28"/>
          <w:szCs w:val="28"/>
        </w:rPr>
      </w:pPr>
      <w:r>
        <w:rPr>
          <w:rFonts w:eastAsia="仿宋_GB2312"/>
          <w:sz w:val="28"/>
          <w:szCs w:val="28"/>
        </w:rPr>
        <w:t>①交易双方都是自愿进行交易，交易目的是最求自身利益最大化；</w:t>
      </w:r>
    </w:p>
    <w:p>
      <w:pPr>
        <w:spacing w:line="460" w:lineRule="exact"/>
        <w:ind w:firstLine="560" w:firstLineChars="200"/>
        <w:rPr>
          <w:rFonts w:eastAsia="仿宋_GB2312"/>
          <w:sz w:val="28"/>
          <w:szCs w:val="28"/>
        </w:rPr>
      </w:pPr>
      <w:r>
        <w:rPr>
          <w:rFonts w:eastAsia="仿宋_GB2312"/>
          <w:sz w:val="28"/>
          <w:szCs w:val="28"/>
        </w:rPr>
        <w:t>②交易双方具有必要的房地产专业知识，了解估价对象，掌握必要的市场信息，并有一段合理的洽谈交易时间，可以通盘考虑房地产性质和市场情形进行议价；</w:t>
      </w:r>
    </w:p>
    <w:p>
      <w:pPr>
        <w:spacing w:line="460" w:lineRule="exact"/>
        <w:ind w:firstLine="560" w:firstLineChars="200"/>
        <w:rPr>
          <w:rFonts w:eastAsia="仿宋_GB2312"/>
          <w:sz w:val="28"/>
          <w:szCs w:val="28"/>
        </w:rPr>
      </w:pPr>
      <w:r>
        <w:rPr>
          <w:rFonts w:eastAsia="仿宋_GB2312"/>
          <w:sz w:val="28"/>
          <w:szCs w:val="28"/>
        </w:rPr>
        <w:t>③在此期间房地产</w:t>
      </w:r>
      <w:r>
        <w:rPr>
          <w:rFonts w:hint="eastAsia" w:eastAsia="仿宋_GB2312"/>
          <w:sz w:val="28"/>
          <w:szCs w:val="28"/>
          <w:lang w:eastAsia="zh-CN"/>
        </w:rPr>
        <w:t>市场价值</w:t>
      </w:r>
      <w:r>
        <w:rPr>
          <w:rFonts w:eastAsia="仿宋_GB2312"/>
          <w:sz w:val="28"/>
          <w:szCs w:val="28"/>
        </w:rPr>
        <w:t>保持稳定；</w:t>
      </w:r>
    </w:p>
    <w:p>
      <w:pPr>
        <w:spacing w:line="460" w:lineRule="exact"/>
        <w:ind w:firstLine="560" w:firstLineChars="200"/>
        <w:rPr>
          <w:rFonts w:eastAsia="仿宋_GB2312"/>
          <w:sz w:val="28"/>
          <w:szCs w:val="28"/>
        </w:rPr>
      </w:pPr>
      <w:r>
        <w:rPr>
          <w:rFonts w:eastAsia="仿宋_GB2312"/>
          <w:sz w:val="28"/>
          <w:szCs w:val="28"/>
        </w:rPr>
        <w:t>④该房地产可以在公开市场上自由转让，任何有关估价对象的运作方式、程序均符合国家、地方的有关法律、法规；</w:t>
      </w:r>
    </w:p>
    <w:p>
      <w:pPr>
        <w:spacing w:line="460" w:lineRule="exact"/>
        <w:ind w:firstLine="560" w:firstLineChars="200"/>
        <w:rPr>
          <w:rFonts w:eastAsia="仿宋_GB2312"/>
          <w:sz w:val="28"/>
          <w:szCs w:val="28"/>
        </w:rPr>
      </w:pPr>
      <w:r>
        <w:rPr>
          <w:rFonts w:eastAsia="仿宋_GB2312"/>
          <w:sz w:val="28"/>
          <w:szCs w:val="28"/>
        </w:rPr>
        <w:t>⑤不考虑特殊买家的额外出价，交易双方各自负担应负担的税费。</w:t>
      </w:r>
    </w:p>
    <w:p>
      <w:pPr>
        <w:spacing w:line="460" w:lineRule="exact"/>
        <w:ind w:firstLine="560" w:firstLineChars="200"/>
        <w:rPr>
          <w:rFonts w:eastAsia="仿宋_GB2312"/>
          <w:sz w:val="28"/>
          <w:szCs w:val="28"/>
        </w:rPr>
      </w:pPr>
      <w:r>
        <w:rPr>
          <w:rFonts w:eastAsia="仿宋_GB2312"/>
          <w:sz w:val="28"/>
          <w:szCs w:val="28"/>
        </w:rPr>
        <w:t>4、其他影响房地产价格因素的假设</w:t>
      </w:r>
    </w:p>
    <w:p>
      <w:pPr>
        <w:spacing w:line="460" w:lineRule="exact"/>
        <w:ind w:firstLine="560" w:firstLineChars="200"/>
        <w:rPr>
          <w:rFonts w:eastAsia="仿宋_GB2312"/>
          <w:sz w:val="28"/>
          <w:szCs w:val="28"/>
        </w:rPr>
      </w:pPr>
      <w:r>
        <w:rPr>
          <w:rFonts w:eastAsia="仿宋_GB2312"/>
          <w:sz w:val="28"/>
          <w:szCs w:val="28"/>
        </w:rPr>
        <w:t>本次评估未考虑国家宏观经济政策发生重大变化及遇有自然力和其他不可抗力对估价结果的影响。也未考虑强制处置，要求在短期内变现的特殊情况等未来处置风险。</w:t>
      </w:r>
    </w:p>
    <w:p>
      <w:pPr>
        <w:spacing w:line="460" w:lineRule="exact"/>
        <w:ind w:firstLine="562" w:firstLineChars="200"/>
        <w:rPr>
          <w:rFonts w:eastAsia="仿宋_GB2312"/>
          <w:b/>
          <w:sz w:val="28"/>
          <w:szCs w:val="28"/>
        </w:rPr>
      </w:pPr>
      <w:r>
        <w:rPr>
          <w:rFonts w:eastAsia="仿宋_GB2312"/>
          <w:b/>
          <w:sz w:val="28"/>
          <w:szCs w:val="28"/>
        </w:rPr>
        <w:t>二、未定事项假设</w:t>
      </w:r>
    </w:p>
    <w:p>
      <w:pPr>
        <w:spacing w:line="460" w:lineRule="exact"/>
        <w:ind w:firstLine="560" w:firstLineChars="200"/>
        <w:rPr>
          <w:rFonts w:eastAsia="仿宋_GB2312"/>
          <w:color w:val="FF00FF"/>
          <w:sz w:val="28"/>
          <w:szCs w:val="28"/>
        </w:rPr>
      </w:pPr>
      <w:r>
        <w:rPr>
          <w:rFonts w:eastAsia="仿宋_GB2312"/>
          <w:sz w:val="28"/>
          <w:szCs w:val="28"/>
        </w:rPr>
        <w:t>估价对象登记用途明确、用地规划条件明晰，无未定事项。</w:t>
      </w:r>
    </w:p>
    <w:p>
      <w:pPr>
        <w:spacing w:line="460" w:lineRule="exact"/>
        <w:ind w:firstLine="562" w:firstLineChars="200"/>
        <w:rPr>
          <w:rFonts w:eastAsia="仿宋_GB2312"/>
          <w:b/>
          <w:sz w:val="28"/>
          <w:szCs w:val="28"/>
        </w:rPr>
      </w:pPr>
      <w:r>
        <w:rPr>
          <w:rFonts w:eastAsia="仿宋_GB2312"/>
          <w:b/>
          <w:sz w:val="28"/>
          <w:szCs w:val="28"/>
        </w:rPr>
        <w:t>三、背离事实假设</w:t>
      </w:r>
    </w:p>
    <w:p>
      <w:pPr>
        <w:spacing w:line="460" w:lineRule="exact"/>
        <w:ind w:firstLine="560" w:firstLineChars="200"/>
        <w:rPr>
          <w:rFonts w:eastAsia="仿宋_GB2312"/>
          <w:sz w:val="28"/>
          <w:szCs w:val="28"/>
        </w:rPr>
      </w:pPr>
      <w:r>
        <w:rPr>
          <w:rFonts w:eastAsia="仿宋_GB2312"/>
          <w:sz w:val="28"/>
          <w:szCs w:val="28"/>
        </w:rPr>
        <w:t>在价值时点，估价对象出租，且已存在担保物权、其他优先受偿款，本次对评估房地产的价值进行评估，不考虑房地产出租、抵押、查封等因素的影响。</w:t>
      </w:r>
    </w:p>
    <w:p>
      <w:pPr>
        <w:spacing w:line="460" w:lineRule="exact"/>
        <w:ind w:firstLine="562" w:firstLineChars="200"/>
        <w:rPr>
          <w:rFonts w:eastAsia="仿宋_GB2312"/>
          <w:b/>
          <w:sz w:val="28"/>
          <w:szCs w:val="28"/>
        </w:rPr>
      </w:pPr>
      <w:r>
        <w:rPr>
          <w:rFonts w:eastAsia="仿宋_GB2312"/>
          <w:b/>
          <w:sz w:val="28"/>
          <w:szCs w:val="28"/>
        </w:rPr>
        <w:t>四、不相一致假设</w:t>
      </w:r>
    </w:p>
    <w:p>
      <w:pPr>
        <w:spacing w:line="460" w:lineRule="exact"/>
        <w:ind w:firstLine="560" w:firstLineChars="200"/>
        <w:rPr>
          <w:rFonts w:eastAsia="仿宋_GB2312"/>
          <w:color w:val="FF00FF"/>
          <w:sz w:val="28"/>
          <w:szCs w:val="28"/>
        </w:rPr>
      </w:pPr>
      <w:r>
        <w:rPr>
          <w:rFonts w:eastAsia="仿宋_GB2312"/>
          <w:sz w:val="28"/>
          <w:szCs w:val="28"/>
        </w:rPr>
        <w:t>估价对象实际用途</w:t>
      </w:r>
      <w:r>
        <w:rPr>
          <w:rFonts w:hint="eastAsia" w:eastAsia="仿宋_GB2312"/>
          <w:sz w:val="28"/>
          <w:szCs w:val="28"/>
          <w:lang w:eastAsia="zh-CN"/>
        </w:rPr>
        <w:t>住宅</w:t>
      </w:r>
      <w:r>
        <w:rPr>
          <w:rFonts w:eastAsia="仿宋_GB2312"/>
          <w:sz w:val="28"/>
          <w:szCs w:val="28"/>
        </w:rPr>
        <w:t>、登记用途为</w:t>
      </w:r>
      <w:r>
        <w:rPr>
          <w:rFonts w:hint="eastAsia" w:eastAsia="仿宋_GB2312"/>
          <w:sz w:val="28"/>
          <w:szCs w:val="28"/>
          <w:lang w:eastAsia="zh-CN"/>
        </w:rPr>
        <w:t>住宅</w:t>
      </w:r>
      <w:r>
        <w:rPr>
          <w:rFonts w:eastAsia="仿宋_GB2312"/>
          <w:sz w:val="28"/>
          <w:szCs w:val="28"/>
        </w:rPr>
        <w:t>；登记用途与规划用途一致；本次评估以登记用途为假设前提评估，权属证明上权利人、名称、地址一致，无不一致情况。</w:t>
      </w:r>
    </w:p>
    <w:p>
      <w:pPr>
        <w:spacing w:line="460" w:lineRule="exact"/>
        <w:ind w:firstLine="562" w:firstLineChars="200"/>
        <w:rPr>
          <w:rFonts w:eastAsia="仿宋_GB2312"/>
          <w:b/>
          <w:sz w:val="28"/>
          <w:szCs w:val="28"/>
        </w:rPr>
      </w:pPr>
      <w:r>
        <w:rPr>
          <w:rFonts w:eastAsia="仿宋_GB2312"/>
          <w:b/>
          <w:sz w:val="28"/>
          <w:szCs w:val="28"/>
        </w:rPr>
        <w:t>五、依据不足假设</w:t>
      </w:r>
    </w:p>
    <w:p>
      <w:pPr>
        <w:spacing w:line="460" w:lineRule="exact"/>
        <w:ind w:firstLine="560" w:firstLineChars="200"/>
        <w:rPr>
          <w:rFonts w:eastAsia="仿宋_GB2312"/>
          <w:color w:val="FF0000"/>
          <w:sz w:val="28"/>
          <w:szCs w:val="28"/>
          <w:highlight w:val="yellow"/>
        </w:rPr>
      </w:pPr>
      <w:r>
        <w:rPr>
          <w:rFonts w:eastAsia="仿宋_GB2312"/>
          <w:sz w:val="28"/>
          <w:szCs w:val="28"/>
        </w:rPr>
        <w:t>估价委托人已提供反映估价对象权属资料，假设估价对象产权明晰，实物现状明确。</w:t>
      </w:r>
    </w:p>
    <w:p>
      <w:pPr>
        <w:spacing w:line="460" w:lineRule="exact"/>
        <w:ind w:firstLine="562" w:firstLineChars="200"/>
        <w:rPr>
          <w:rFonts w:eastAsia="仿宋_GB2312"/>
          <w:b/>
          <w:sz w:val="28"/>
          <w:szCs w:val="28"/>
        </w:rPr>
      </w:pPr>
      <w:r>
        <w:rPr>
          <w:rFonts w:eastAsia="仿宋_GB2312"/>
          <w:b/>
          <w:sz w:val="28"/>
          <w:szCs w:val="28"/>
        </w:rPr>
        <w:t>六、估价报告使用限制</w:t>
      </w:r>
    </w:p>
    <w:p>
      <w:pPr>
        <w:spacing w:line="460" w:lineRule="exact"/>
        <w:ind w:firstLine="560" w:firstLineChars="200"/>
        <w:rPr>
          <w:rFonts w:eastAsia="仿宋_GB2312"/>
          <w:sz w:val="28"/>
          <w:szCs w:val="28"/>
        </w:rPr>
      </w:pPr>
      <w:r>
        <w:rPr>
          <w:rFonts w:eastAsia="仿宋_GB2312"/>
          <w:sz w:val="28"/>
          <w:szCs w:val="28"/>
        </w:rPr>
        <w:t>1、本估价报告仅为本估价目的所使用，不得挪作他用。</w:t>
      </w:r>
    </w:p>
    <w:p>
      <w:pPr>
        <w:spacing w:line="460" w:lineRule="exact"/>
        <w:ind w:firstLine="560" w:firstLineChars="200"/>
        <w:rPr>
          <w:rFonts w:eastAsia="仿宋_GB2312"/>
          <w:color w:val="auto"/>
          <w:sz w:val="28"/>
          <w:szCs w:val="28"/>
          <w:highlight w:val="none"/>
        </w:rPr>
      </w:pPr>
      <w:r>
        <w:rPr>
          <w:rFonts w:eastAsia="仿宋_GB2312"/>
          <w:sz w:val="28"/>
          <w:szCs w:val="28"/>
        </w:rPr>
        <w:t>2、</w:t>
      </w:r>
      <w:r>
        <w:rPr>
          <w:rFonts w:eastAsia="仿宋_GB2312"/>
          <w:color w:val="auto"/>
          <w:sz w:val="28"/>
          <w:szCs w:val="28"/>
          <w:highlight w:val="none"/>
        </w:rPr>
        <w:t>本次评估是基于上述假设和限制条件成立，如上述假设和限制条件发生变化，本报告结果必须作相应调整。</w:t>
      </w:r>
    </w:p>
    <w:p>
      <w:pPr>
        <w:spacing w:line="460" w:lineRule="exact"/>
        <w:ind w:firstLine="560" w:firstLineChars="200"/>
        <w:rPr>
          <w:rFonts w:eastAsia="仿宋_GB2312"/>
          <w:sz w:val="28"/>
        </w:rPr>
      </w:pPr>
      <w:r>
        <w:rPr>
          <w:rFonts w:eastAsia="仿宋_GB2312"/>
          <w:sz w:val="28"/>
          <w:szCs w:val="28"/>
        </w:rPr>
        <w:t>3、</w:t>
      </w:r>
      <w:r>
        <w:rPr>
          <w:rFonts w:eastAsia="仿宋_GB2312"/>
          <w:sz w:val="28"/>
        </w:rPr>
        <w:t>本报告出具的房地产价格为公开</w:t>
      </w:r>
      <w:r>
        <w:rPr>
          <w:rFonts w:hint="eastAsia" w:eastAsia="仿宋_GB2312"/>
          <w:sz w:val="28"/>
          <w:lang w:eastAsia="zh-CN"/>
        </w:rPr>
        <w:t>市场价值（含室内装潢附属及可移动物品）</w:t>
      </w:r>
      <w:r>
        <w:rPr>
          <w:rFonts w:eastAsia="仿宋_GB2312"/>
          <w:sz w:val="28"/>
        </w:rPr>
        <w:t>。如至价值时点止，产权人尚有任何有关估价对象的应缴未缴税费，应按照规定缴纳，或从评估价值中响应扣减。</w:t>
      </w:r>
    </w:p>
    <w:p>
      <w:pPr>
        <w:spacing w:line="480" w:lineRule="exact"/>
        <w:ind w:firstLine="560" w:firstLineChars="200"/>
        <w:rPr>
          <w:rFonts w:eastAsia="仿宋_GB2312"/>
          <w:sz w:val="28"/>
          <w:szCs w:val="28"/>
        </w:rPr>
      </w:pPr>
      <w:r>
        <w:rPr>
          <w:rFonts w:eastAsia="仿宋_GB2312"/>
          <w:sz w:val="28"/>
        </w:rPr>
        <w:t>4、</w:t>
      </w:r>
      <w:r>
        <w:rPr>
          <w:rFonts w:eastAsia="仿宋_GB2312"/>
          <w:sz w:val="28"/>
          <w:szCs w:val="28"/>
        </w:rPr>
        <w:t>本报告估价结果中包含房产、土地使用权及与建筑物不可分割的必须满足其使用功能的水、电、网络、通讯等配套设施。</w:t>
      </w:r>
    </w:p>
    <w:p>
      <w:pPr>
        <w:spacing w:line="460" w:lineRule="exact"/>
        <w:ind w:firstLine="560" w:firstLineChars="200"/>
        <w:rPr>
          <w:rFonts w:eastAsia="仿宋_GB2312"/>
          <w:sz w:val="28"/>
          <w:szCs w:val="28"/>
        </w:rPr>
      </w:pPr>
      <w:r>
        <w:rPr>
          <w:rFonts w:eastAsia="仿宋_GB2312"/>
          <w:sz w:val="28"/>
          <w:szCs w:val="28"/>
        </w:rPr>
        <w:t>5、本报告有效期自本估价报告出具之日起一年内有效（</w:t>
      </w:r>
      <w:r>
        <w:rPr>
          <w:rFonts w:hint="eastAsia" w:eastAsia="仿宋_GB2312"/>
          <w:color w:val="auto"/>
          <w:sz w:val="28"/>
          <w:szCs w:val="28"/>
          <w:lang w:eastAsia="zh-CN"/>
        </w:rPr>
        <w:t>即2022年2月8日至2023年2月7日</w:t>
      </w:r>
      <w:r>
        <w:rPr>
          <w:rFonts w:eastAsia="仿宋_GB2312"/>
          <w:color w:val="auto"/>
          <w:sz w:val="28"/>
          <w:szCs w:val="28"/>
        </w:rPr>
        <w:t>）</w:t>
      </w:r>
      <w:r>
        <w:rPr>
          <w:rFonts w:eastAsia="仿宋_GB2312"/>
          <w:sz w:val="28"/>
          <w:szCs w:val="28"/>
        </w:rPr>
        <w:t>，逾期未使用本估价报告的，本估价报告失效。</w:t>
      </w:r>
    </w:p>
    <w:p>
      <w:pPr>
        <w:spacing w:line="460" w:lineRule="exact"/>
        <w:ind w:firstLine="560" w:firstLineChars="200"/>
        <w:rPr>
          <w:rFonts w:eastAsia="仿宋_GB2312"/>
          <w:sz w:val="28"/>
          <w:szCs w:val="28"/>
        </w:rPr>
      </w:pPr>
      <w:r>
        <w:rPr>
          <w:rFonts w:eastAsia="仿宋_GB2312"/>
          <w:sz w:val="28"/>
          <w:szCs w:val="28"/>
        </w:rPr>
        <w:t>在有效期限内，如果房屋数量、维护程度、价值标准以及房地产市场行情等可能影响房地产价值的因素发生重大的变化，并且对房地产评估价值产生明显影响时，应对评估值进行调整或重新评估。</w:t>
      </w:r>
    </w:p>
    <w:p>
      <w:pPr>
        <w:spacing w:line="460" w:lineRule="exact"/>
        <w:ind w:firstLine="560" w:firstLineChars="200"/>
        <w:rPr>
          <w:rFonts w:eastAsia="仿宋_GB2312"/>
          <w:sz w:val="28"/>
          <w:szCs w:val="28"/>
        </w:rPr>
      </w:pPr>
      <w:r>
        <w:rPr>
          <w:rFonts w:eastAsia="仿宋_GB2312"/>
          <w:sz w:val="28"/>
          <w:szCs w:val="28"/>
        </w:rPr>
        <w:t>6、本估价报告分为“房地产估价结果报告”和“房地产估价技术报告”两部分。“房地产估价结果报告”提供给委托方，“房地产估价技术报告”由估价机构存档备查。</w:t>
      </w:r>
    </w:p>
    <w:p>
      <w:pPr>
        <w:spacing w:line="460" w:lineRule="exact"/>
        <w:ind w:firstLine="560" w:firstLineChars="200"/>
        <w:rPr>
          <w:rFonts w:eastAsia="仿宋_GB2312"/>
          <w:sz w:val="28"/>
          <w:szCs w:val="28"/>
        </w:rPr>
      </w:pPr>
      <w:r>
        <w:rPr>
          <w:rFonts w:eastAsia="仿宋_GB2312"/>
          <w:sz w:val="28"/>
          <w:szCs w:val="28"/>
        </w:rPr>
        <w:t>7、本估价报告需经注册房地产估价师签名并加盖估价机构公章，并作为一个整体时有效，对仅使用报告中的部分内容所导致的有关损失，受托估价机构不承担责任。</w:t>
      </w:r>
    </w:p>
    <w:p>
      <w:pPr>
        <w:spacing w:line="460" w:lineRule="exact"/>
        <w:ind w:firstLine="560" w:firstLineChars="200"/>
        <w:rPr>
          <w:rFonts w:eastAsia="仿宋_GB2312"/>
          <w:sz w:val="28"/>
          <w:szCs w:val="28"/>
        </w:rPr>
      </w:pPr>
      <w:r>
        <w:rPr>
          <w:rFonts w:eastAsia="仿宋_GB2312"/>
          <w:sz w:val="28"/>
          <w:szCs w:val="28"/>
        </w:rPr>
        <w:t>8、未经估价机构书面同意，本估价报告的全部或部分及任何参考资料均不允许在任何公开发表的文件、通告或声明中引用，亦不得以其他任何方式公开发表。</w:t>
      </w:r>
    </w:p>
    <w:p>
      <w:pPr>
        <w:spacing w:line="460" w:lineRule="exact"/>
        <w:ind w:firstLine="560" w:firstLineChars="200"/>
        <w:rPr>
          <w:rFonts w:eastAsia="仿宋_GB2312"/>
          <w:sz w:val="28"/>
          <w:szCs w:val="28"/>
        </w:rPr>
      </w:pPr>
      <w:r>
        <w:rPr>
          <w:rFonts w:eastAsia="仿宋_GB2312"/>
          <w:sz w:val="28"/>
          <w:szCs w:val="28"/>
        </w:rPr>
        <w:t>9、本次估价计价币种及单位为：人民币元。</w:t>
      </w:r>
    </w:p>
    <w:p>
      <w:pPr>
        <w:ind w:firstLine="560" w:firstLineChars="200"/>
        <w:rPr>
          <w:sz w:val="32"/>
        </w:rPr>
      </w:pPr>
      <w:r>
        <w:rPr>
          <w:rFonts w:eastAsia="仿宋_GB2312"/>
          <w:sz w:val="28"/>
          <w:szCs w:val="28"/>
        </w:rPr>
        <w:t>10、本报告书含若干附件，与报告书正文具同等效力，不可分割。</w:t>
      </w:r>
    </w:p>
    <w:p>
      <w:pPr>
        <w:ind w:firstLine="560" w:firstLineChars="200"/>
        <w:rPr>
          <w:rFonts w:hint="eastAsia" w:eastAsia="仿宋_GB2312"/>
          <w:sz w:val="28"/>
          <w:szCs w:val="28"/>
        </w:rPr>
      </w:pPr>
      <w:r>
        <w:rPr>
          <w:rFonts w:hint="eastAsia" w:eastAsia="仿宋_GB2312"/>
          <w:sz w:val="28"/>
          <w:szCs w:val="28"/>
        </w:rPr>
        <w:t>11.报告使用需要注意的其他事项</w:t>
      </w:r>
    </w:p>
    <w:p>
      <w:pPr>
        <w:spacing w:line="460" w:lineRule="exact"/>
        <w:ind w:firstLine="560" w:firstLineChars="200"/>
        <w:rPr>
          <w:rFonts w:hint="eastAsia" w:eastAsia="仿宋_GB2312"/>
          <w:sz w:val="28"/>
          <w:szCs w:val="28"/>
        </w:rPr>
      </w:pPr>
      <w:r>
        <w:rPr>
          <w:rFonts w:hint="eastAsia" w:eastAsia="仿宋_GB2312"/>
          <w:sz w:val="28"/>
          <w:szCs w:val="28"/>
        </w:rPr>
        <w:t>本次估价专业意见是交易税费按照国家有关规定正常负担状况下的价格，假定不存在交易过程中税费转嫁的影响。</w:t>
      </w:r>
    </w:p>
    <w:p>
      <w:pPr>
        <w:spacing w:line="460" w:lineRule="exact"/>
        <w:ind w:firstLine="560" w:firstLineChars="200"/>
        <w:rPr>
          <w:rFonts w:hint="eastAsia" w:eastAsia="仿宋_GB2312"/>
          <w:sz w:val="28"/>
          <w:szCs w:val="28"/>
        </w:rPr>
      </w:pPr>
      <w:r>
        <w:rPr>
          <w:rFonts w:hint="eastAsia" w:eastAsia="仿宋_GB2312"/>
          <w:sz w:val="28"/>
          <w:szCs w:val="28"/>
        </w:rPr>
        <w:t>需提醒估价委托人注意的是，根据盐城市区有关交易税费政策规定， 转让方需缴纳增值税及附加、印花税、个人所得税、土地增值税等，具体数额应根据当地税务部门核定数额确定。该部分税费属于估价对象司法处置（或公开拍卖）时应当由转让方缴纳的税费，属于公开</w:t>
      </w:r>
      <w:r>
        <w:rPr>
          <w:rFonts w:hint="eastAsia" w:eastAsia="仿宋_GB2312"/>
          <w:sz w:val="28"/>
          <w:szCs w:val="28"/>
          <w:lang w:eastAsia="zh-CN"/>
        </w:rPr>
        <w:t>市场价值（含室内装潢附属及可移动物品）</w:t>
      </w:r>
      <w:r>
        <w:rPr>
          <w:rFonts w:hint="eastAsia" w:eastAsia="仿宋_GB2312"/>
          <w:sz w:val="28"/>
          <w:szCs w:val="28"/>
        </w:rPr>
        <w:t>的有机组成部分。本次估价目的为司法鉴定，根据最高人民法院相关规定及惯例做法，转让方需缴纳的税费不属于公开</w:t>
      </w:r>
      <w:r>
        <w:rPr>
          <w:rFonts w:hint="eastAsia" w:eastAsia="仿宋_GB2312"/>
          <w:sz w:val="28"/>
          <w:szCs w:val="28"/>
          <w:lang w:eastAsia="zh-CN"/>
        </w:rPr>
        <w:t>市场价值（含室内装潢附属及可移动物品）</w:t>
      </w:r>
      <w:r>
        <w:rPr>
          <w:rFonts w:hint="eastAsia" w:eastAsia="仿宋_GB2312"/>
          <w:sz w:val="28"/>
          <w:szCs w:val="28"/>
        </w:rPr>
        <w:t>应扣除税费款项。需特别提醒估价委托人注意的是：估价对象司法处置（或公开拍卖） 后存在转让方不按照规定缴纳上述税费的可能性，导致由受让方代为转让方缴纳上述税费情形。因此报告使用人在确定拍卖底价时应当充分考虑估价对象处置时税费转嫁的影响，也应当提醒参拍人尤其是受让人要充分考虑估价对象处置时税费转嫁的负担。</w:t>
      </w:r>
    </w:p>
    <w:p>
      <w:pPr>
        <w:spacing w:line="460" w:lineRule="exact"/>
        <w:ind w:firstLine="560" w:firstLineChars="200"/>
        <w:rPr>
          <w:rFonts w:hint="eastAsia" w:eastAsia="仿宋_GB2312"/>
          <w:sz w:val="28"/>
          <w:szCs w:val="28"/>
        </w:rPr>
      </w:pPr>
    </w:p>
    <w:p>
      <w:pPr>
        <w:spacing w:line="460" w:lineRule="exact"/>
        <w:ind w:firstLine="560" w:firstLineChars="200"/>
        <w:rPr>
          <w:rFonts w:hint="eastAsia" w:eastAsia="仿宋_GB2312"/>
          <w:sz w:val="28"/>
          <w:szCs w:val="28"/>
        </w:rPr>
      </w:pPr>
    </w:p>
    <w:p>
      <w:pPr>
        <w:spacing w:line="460" w:lineRule="exact"/>
        <w:ind w:firstLine="560" w:firstLineChars="200"/>
        <w:rPr>
          <w:rFonts w:hint="eastAsia" w:eastAsia="仿宋_GB2312"/>
          <w:sz w:val="28"/>
          <w:szCs w:val="28"/>
        </w:rPr>
      </w:pPr>
    </w:p>
    <w:p>
      <w:pPr>
        <w:pStyle w:val="3"/>
        <w:jc w:val="center"/>
        <w:rPr>
          <w:rFonts w:ascii="Times New Roman" w:hAnsi="Times New Roman" w:eastAsia="宋体"/>
          <w:sz w:val="36"/>
          <w:szCs w:val="36"/>
        </w:rPr>
      </w:pPr>
      <w:bookmarkStart w:id="3" w:name="_Toc32260"/>
      <w:r>
        <w:rPr>
          <w:rFonts w:ascii="Times New Roman" w:hAnsi="Times New Roman" w:eastAsia="宋体"/>
          <w:sz w:val="36"/>
          <w:szCs w:val="36"/>
        </w:rPr>
        <w:t>涉执房地产处置司法评估评估结果报告</w:t>
      </w:r>
      <w:bookmarkEnd w:id="3"/>
    </w:p>
    <w:p>
      <w:pPr>
        <w:ind w:firstLine="465"/>
        <w:jc w:val="center"/>
        <w:rPr>
          <w:rFonts w:hint="eastAsia" w:eastAsia="宋体"/>
          <w:bCs/>
          <w:color w:val="000000"/>
          <w:sz w:val="24"/>
          <w:lang w:eastAsia="zh-CN"/>
        </w:rPr>
      </w:pPr>
      <w:r>
        <w:rPr>
          <w:bCs/>
          <w:sz w:val="24"/>
        </w:rPr>
        <w:t>(江苏)瑞地房估</w:t>
      </w:r>
      <w:r>
        <w:rPr>
          <w:rFonts w:hint="eastAsia"/>
          <w:bCs/>
          <w:sz w:val="24"/>
          <w:lang w:eastAsia="zh-CN"/>
        </w:rPr>
        <w:t>[2022]字第XYC002号</w:t>
      </w:r>
    </w:p>
    <w:p>
      <w:pPr>
        <w:ind w:firstLine="465"/>
        <w:jc w:val="center"/>
        <w:rPr>
          <w:bCs/>
          <w:sz w:val="24"/>
        </w:rPr>
      </w:pPr>
    </w:p>
    <w:p>
      <w:pPr>
        <w:pStyle w:val="4"/>
        <w:spacing w:before="0" w:after="0" w:line="400" w:lineRule="exact"/>
        <w:rPr>
          <w:sz w:val="30"/>
          <w:szCs w:val="30"/>
        </w:rPr>
      </w:pPr>
      <w:bookmarkStart w:id="4" w:name="_Toc10332"/>
      <w:r>
        <w:rPr>
          <w:sz w:val="30"/>
          <w:szCs w:val="30"/>
        </w:rPr>
        <w:t>一、估价委托人</w:t>
      </w:r>
      <w:bookmarkEnd w:id="4"/>
    </w:p>
    <w:p>
      <w:pPr>
        <w:spacing w:line="480" w:lineRule="exact"/>
        <w:ind w:firstLine="560" w:firstLineChars="200"/>
        <w:jc w:val="left"/>
        <w:rPr>
          <w:rFonts w:hint="eastAsia" w:eastAsia="仿宋_GB2312"/>
          <w:sz w:val="28"/>
          <w:lang w:eastAsia="zh-CN"/>
        </w:rPr>
      </w:pPr>
      <w:r>
        <w:rPr>
          <w:rFonts w:eastAsia="仿宋_GB2312"/>
          <w:sz w:val="28"/>
        </w:rPr>
        <w:t>估价委托人：</w:t>
      </w:r>
      <w:r>
        <w:rPr>
          <w:rFonts w:hint="eastAsia" w:eastAsia="仿宋_GB2312"/>
          <w:sz w:val="28"/>
          <w:lang w:eastAsia="zh-CN"/>
        </w:rPr>
        <w:t>盐城市盐都区人民法院</w:t>
      </w:r>
    </w:p>
    <w:p>
      <w:pPr>
        <w:spacing w:line="480" w:lineRule="exact"/>
        <w:ind w:firstLine="560" w:firstLineChars="200"/>
        <w:jc w:val="left"/>
        <w:rPr>
          <w:rFonts w:hint="default" w:eastAsia="仿宋_GB2312"/>
          <w:sz w:val="28"/>
          <w:lang w:val="en-US"/>
        </w:rPr>
      </w:pPr>
      <w:r>
        <w:rPr>
          <w:rFonts w:eastAsia="仿宋_GB2312"/>
          <w:sz w:val="28"/>
        </w:rPr>
        <w:t>地址：</w:t>
      </w:r>
      <w:r>
        <w:rPr>
          <w:rFonts w:hint="eastAsia" w:eastAsia="仿宋_GB2312"/>
          <w:sz w:val="28"/>
          <w:lang w:eastAsia="zh-CN"/>
        </w:rPr>
        <w:t>盐城市盐都区</w:t>
      </w:r>
      <w:r>
        <w:rPr>
          <w:rFonts w:hint="eastAsia" w:eastAsia="仿宋_GB2312"/>
          <w:sz w:val="28"/>
          <w:lang w:val="en-US" w:eastAsia="zh-CN"/>
        </w:rPr>
        <w:t xml:space="preserve">新都西路5号  </w:t>
      </w:r>
    </w:p>
    <w:p>
      <w:pPr>
        <w:pStyle w:val="9"/>
        <w:spacing w:line="480" w:lineRule="exact"/>
        <w:ind w:firstLine="560"/>
        <w:rPr>
          <w:rFonts w:hint="default" w:ascii="Times New Roman" w:hAnsi="Times New Roman" w:eastAsia="仿宋_GB2312"/>
          <w:lang w:val="en-US" w:eastAsia="zh-CN"/>
        </w:rPr>
      </w:pPr>
      <w:r>
        <w:rPr>
          <w:rFonts w:ascii="Times New Roman" w:hAnsi="Times New Roman" w:eastAsia="仿宋_GB2312"/>
        </w:rPr>
        <w:t>联系电话：0515－8</w:t>
      </w:r>
      <w:r>
        <w:rPr>
          <w:rFonts w:hint="eastAsia" w:ascii="Times New Roman" w:hAnsi="Times New Roman" w:eastAsia="仿宋_GB2312"/>
          <w:lang w:val="en-US" w:eastAsia="zh-CN"/>
        </w:rPr>
        <w:t>8582681</w:t>
      </w:r>
    </w:p>
    <w:p>
      <w:pPr>
        <w:pStyle w:val="4"/>
        <w:spacing w:before="0" w:after="0" w:line="400" w:lineRule="exact"/>
        <w:rPr>
          <w:sz w:val="30"/>
          <w:szCs w:val="30"/>
        </w:rPr>
      </w:pPr>
      <w:bookmarkStart w:id="5" w:name="_Toc22140"/>
      <w:r>
        <w:rPr>
          <w:sz w:val="30"/>
          <w:szCs w:val="30"/>
        </w:rPr>
        <w:t>二、房地产估价机构</w:t>
      </w:r>
      <w:bookmarkEnd w:id="5"/>
    </w:p>
    <w:p>
      <w:pPr>
        <w:pStyle w:val="9"/>
        <w:spacing w:line="480" w:lineRule="exact"/>
        <w:ind w:firstLine="560"/>
        <w:rPr>
          <w:rFonts w:ascii="Times New Roman" w:hAnsi="Times New Roman" w:eastAsia="仿宋_GB2312"/>
        </w:rPr>
      </w:pPr>
      <w:r>
        <w:rPr>
          <w:rFonts w:ascii="Times New Roman" w:hAnsi="Times New Roman" w:eastAsia="仿宋_GB2312"/>
        </w:rPr>
        <w:t>房地产估价机构：江苏瑞地土地房地产评估有限公司</w:t>
      </w:r>
    </w:p>
    <w:p>
      <w:pPr>
        <w:pStyle w:val="9"/>
        <w:spacing w:line="480" w:lineRule="exact"/>
        <w:ind w:firstLine="560"/>
        <w:rPr>
          <w:rFonts w:ascii="Times New Roman" w:hAnsi="Times New Roman" w:eastAsia="仿宋_GB2312"/>
        </w:rPr>
      </w:pPr>
      <w:r>
        <w:rPr>
          <w:rFonts w:ascii="Times New Roman" w:hAnsi="Times New Roman" w:eastAsia="仿宋_GB2312"/>
        </w:rPr>
        <w:t>房地产估价机构地址：盐城市毓龙东路57号新阜大厦东3楼</w:t>
      </w:r>
    </w:p>
    <w:p>
      <w:pPr>
        <w:pStyle w:val="9"/>
        <w:spacing w:line="480" w:lineRule="exact"/>
        <w:ind w:firstLine="560"/>
        <w:rPr>
          <w:rFonts w:ascii="Times New Roman" w:hAnsi="Times New Roman" w:eastAsia="仿宋_GB2312"/>
        </w:rPr>
      </w:pPr>
      <w:r>
        <w:rPr>
          <w:rFonts w:ascii="Times New Roman" w:hAnsi="Times New Roman" w:eastAsia="仿宋_GB2312"/>
        </w:rPr>
        <w:t>房地产备案等级：贰级</w:t>
      </w:r>
    </w:p>
    <w:p>
      <w:pPr>
        <w:pStyle w:val="9"/>
        <w:spacing w:line="480" w:lineRule="exact"/>
        <w:ind w:firstLine="560"/>
        <w:rPr>
          <w:rFonts w:ascii="Times New Roman" w:hAnsi="Times New Roman" w:eastAsia="仿宋_GB2312"/>
        </w:rPr>
      </w:pPr>
      <w:r>
        <w:rPr>
          <w:rFonts w:ascii="Times New Roman" w:hAnsi="Times New Roman" w:eastAsia="仿宋_GB2312"/>
        </w:rPr>
        <w:t>房地产备案证书编号：苏建房估（贰）盐城00012</w:t>
      </w:r>
    </w:p>
    <w:p>
      <w:pPr>
        <w:pStyle w:val="9"/>
        <w:spacing w:line="480" w:lineRule="exact"/>
        <w:ind w:firstLine="560"/>
        <w:rPr>
          <w:rFonts w:ascii="Times New Roman" w:hAnsi="Times New Roman" w:eastAsia="仿宋_GB2312"/>
        </w:rPr>
      </w:pPr>
      <w:r>
        <w:rPr>
          <w:rFonts w:ascii="Times New Roman" w:hAnsi="Times New Roman" w:eastAsia="仿宋_GB2312"/>
        </w:rPr>
        <w:t>联系人：胡 跃</w:t>
      </w:r>
    </w:p>
    <w:p>
      <w:pPr>
        <w:pStyle w:val="9"/>
        <w:spacing w:line="480" w:lineRule="exact"/>
        <w:ind w:firstLine="560"/>
        <w:rPr>
          <w:rFonts w:ascii="Times New Roman" w:hAnsi="Times New Roman" w:eastAsia="仿宋_GB2312"/>
        </w:rPr>
      </w:pPr>
      <w:r>
        <w:rPr>
          <w:rFonts w:ascii="Times New Roman" w:hAnsi="Times New Roman" w:eastAsia="仿宋_GB2312"/>
        </w:rPr>
        <w:t>联系电话：0515－88333999    13390689599</w:t>
      </w:r>
    </w:p>
    <w:p>
      <w:pPr>
        <w:pStyle w:val="9"/>
        <w:spacing w:line="480" w:lineRule="exact"/>
        <w:ind w:firstLine="560" w:firstLineChars="200"/>
        <w:rPr>
          <w:rFonts w:ascii="Times New Roman" w:hAnsi="Times New Roman" w:eastAsia="仿宋_GB2312"/>
        </w:rPr>
      </w:pPr>
      <w:r>
        <w:rPr>
          <w:rFonts w:ascii="Times New Roman" w:hAnsi="Times New Roman" w:eastAsia="仿宋_GB2312"/>
        </w:rPr>
        <w:t>邮政编码：224000</w:t>
      </w:r>
    </w:p>
    <w:p>
      <w:pPr>
        <w:spacing w:line="480" w:lineRule="exact"/>
        <w:ind w:firstLine="560" w:firstLineChars="200"/>
        <w:rPr>
          <w:rFonts w:eastAsia="仿宋_GB2312"/>
          <w:bCs/>
          <w:sz w:val="28"/>
        </w:rPr>
      </w:pPr>
      <w:r>
        <w:rPr>
          <w:rFonts w:eastAsia="仿宋_GB2312"/>
          <w:bCs/>
          <w:sz w:val="28"/>
        </w:rPr>
        <w:t>公司网址：www.ycfdcpg.com</w:t>
      </w:r>
    </w:p>
    <w:p>
      <w:pPr>
        <w:pStyle w:val="4"/>
        <w:spacing w:before="0" w:after="0" w:line="520" w:lineRule="exact"/>
        <w:rPr>
          <w:sz w:val="30"/>
          <w:szCs w:val="30"/>
        </w:rPr>
      </w:pPr>
      <w:bookmarkStart w:id="6" w:name="_Toc20432"/>
      <w:r>
        <w:rPr>
          <w:sz w:val="30"/>
          <w:szCs w:val="30"/>
        </w:rPr>
        <w:t>三、估价目的</w:t>
      </w:r>
      <w:bookmarkEnd w:id="6"/>
    </w:p>
    <w:p>
      <w:pPr>
        <w:spacing w:line="520" w:lineRule="exact"/>
        <w:ind w:firstLine="560" w:firstLineChars="200"/>
        <w:rPr>
          <w:rFonts w:eastAsia="仿宋_GB2312"/>
          <w:sz w:val="28"/>
        </w:rPr>
      </w:pPr>
      <w:r>
        <w:rPr>
          <w:rFonts w:eastAsia="仿宋_GB2312"/>
          <w:sz w:val="28"/>
          <w:szCs w:val="28"/>
        </w:rPr>
        <w:t>为</w:t>
      </w:r>
      <w:r>
        <w:rPr>
          <w:rFonts w:hint="eastAsia" w:eastAsia="仿宋_GB2312"/>
          <w:sz w:val="28"/>
          <w:szCs w:val="28"/>
          <w:lang w:eastAsia="zh-CN"/>
        </w:rPr>
        <w:t>盐城市盐都区人民法院</w:t>
      </w:r>
      <w:r>
        <w:rPr>
          <w:rFonts w:eastAsia="仿宋_GB2312"/>
          <w:sz w:val="28"/>
          <w:szCs w:val="28"/>
        </w:rPr>
        <w:t>确定财产处置参考价提供参考依据</w:t>
      </w:r>
      <w:r>
        <w:rPr>
          <w:rFonts w:eastAsia="仿宋_GB2312"/>
          <w:sz w:val="28"/>
        </w:rPr>
        <w:t>。</w:t>
      </w:r>
    </w:p>
    <w:p>
      <w:pPr>
        <w:pStyle w:val="4"/>
        <w:spacing w:before="0" w:after="0" w:line="520" w:lineRule="exact"/>
        <w:rPr>
          <w:sz w:val="30"/>
          <w:szCs w:val="30"/>
        </w:rPr>
      </w:pPr>
      <w:bookmarkStart w:id="7" w:name="_Toc30502"/>
      <w:r>
        <w:rPr>
          <w:sz w:val="30"/>
          <w:szCs w:val="30"/>
        </w:rPr>
        <w:t>四、估价对象</w:t>
      </w:r>
      <w:bookmarkEnd w:id="7"/>
    </w:p>
    <w:p>
      <w:pPr>
        <w:overflowPunct w:val="0"/>
        <w:autoSpaceDE w:val="0"/>
        <w:autoSpaceDN w:val="0"/>
        <w:adjustRightInd w:val="0"/>
        <w:spacing w:line="480" w:lineRule="exact"/>
        <w:ind w:firstLine="560" w:firstLineChars="200"/>
        <w:rPr>
          <w:rFonts w:eastAsia="仿宋_GB2312"/>
          <w:sz w:val="28"/>
          <w:szCs w:val="20"/>
        </w:rPr>
      </w:pPr>
      <w:bookmarkStart w:id="8" w:name="_Toc279493457"/>
      <w:bookmarkStart w:id="9" w:name="_Toc11233"/>
      <w:r>
        <w:rPr>
          <w:rFonts w:eastAsia="仿宋_GB2312"/>
          <w:sz w:val="28"/>
          <w:szCs w:val="20"/>
        </w:rPr>
        <w:t>1.估价对象范围、用途界定：</w:t>
      </w:r>
    </w:p>
    <w:p>
      <w:pPr>
        <w:overflowPunct w:val="0"/>
        <w:autoSpaceDE w:val="0"/>
        <w:autoSpaceDN w:val="0"/>
        <w:adjustRightInd w:val="0"/>
        <w:spacing w:line="480" w:lineRule="exact"/>
        <w:ind w:firstLine="560" w:firstLineChars="200"/>
        <w:rPr>
          <w:rFonts w:eastAsia="仿宋_GB2312"/>
          <w:sz w:val="28"/>
          <w:szCs w:val="20"/>
        </w:rPr>
      </w:pPr>
      <w:r>
        <w:rPr>
          <w:rFonts w:eastAsia="仿宋_GB2312"/>
          <w:sz w:val="28"/>
          <w:szCs w:val="20"/>
        </w:rPr>
        <w:t>本次估价对象位于</w:t>
      </w:r>
      <w:r>
        <w:rPr>
          <w:rFonts w:hint="eastAsia" w:eastAsia="仿宋_GB2312"/>
          <w:sz w:val="28"/>
          <w:szCs w:val="20"/>
          <w:lang w:eastAsia="zh-CN"/>
        </w:rPr>
        <w:t>盐城市亭湖区盛世家苑4幢107室</w:t>
      </w:r>
      <w:r>
        <w:rPr>
          <w:rFonts w:eastAsia="仿宋_GB2312"/>
          <w:sz w:val="28"/>
          <w:szCs w:val="20"/>
        </w:rPr>
        <w:t>房地产，根据估价委托人提供的相关资料和注册房地产估价师现场查勘，</w:t>
      </w:r>
      <w:r>
        <w:rPr>
          <w:rFonts w:eastAsia="仿宋_GB2312"/>
          <w:color w:val="000000"/>
          <w:sz w:val="28"/>
          <w:szCs w:val="28"/>
        </w:rPr>
        <w:t>本次估价对象</w:t>
      </w:r>
      <w:r>
        <w:rPr>
          <w:rFonts w:hint="eastAsia" w:eastAsia="仿宋_GB2312"/>
          <w:color w:val="000000"/>
          <w:sz w:val="28"/>
          <w:szCs w:val="28"/>
          <w:lang w:eastAsia="zh-CN"/>
        </w:rPr>
        <w:t>住宅</w:t>
      </w:r>
      <w:r>
        <w:rPr>
          <w:rFonts w:eastAsia="仿宋_GB2312"/>
          <w:color w:val="000000"/>
          <w:sz w:val="28"/>
          <w:szCs w:val="28"/>
        </w:rPr>
        <w:t>建筑，总建筑面积合计为</w:t>
      </w:r>
      <w:r>
        <w:rPr>
          <w:rFonts w:hint="eastAsia" w:eastAsia="仿宋_GB2312"/>
          <w:color w:val="000000"/>
          <w:sz w:val="28"/>
          <w:szCs w:val="28"/>
          <w:lang w:eastAsia="zh-CN"/>
        </w:rPr>
        <w:t>139.78</w:t>
      </w:r>
      <w:r>
        <w:rPr>
          <w:color w:val="000000"/>
          <w:sz w:val="28"/>
          <w:szCs w:val="28"/>
        </w:rPr>
        <w:t>㎡</w:t>
      </w:r>
      <w:r>
        <w:rPr>
          <w:rFonts w:eastAsia="仿宋_GB2312"/>
          <w:sz w:val="28"/>
          <w:szCs w:val="28"/>
        </w:rPr>
        <w:t>、</w:t>
      </w:r>
      <w:r>
        <w:rPr>
          <w:rFonts w:hint="eastAsia" w:eastAsia="仿宋_GB2312"/>
          <w:color w:val="auto"/>
          <w:sz w:val="28"/>
          <w:szCs w:val="28"/>
        </w:rPr>
        <w:t>土地</w:t>
      </w:r>
      <w:r>
        <w:rPr>
          <w:rFonts w:eastAsia="仿宋_GB2312"/>
          <w:color w:val="auto"/>
          <w:sz w:val="28"/>
          <w:szCs w:val="28"/>
        </w:rPr>
        <w:t>面积合计为</w:t>
      </w:r>
      <w:r>
        <w:rPr>
          <w:rFonts w:hint="eastAsia" w:eastAsia="仿宋_GB2312"/>
          <w:color w:val="auto"/>
          <w:sz w:val="28"/>
          <w:szCs w:val="20"/>
          <w:lang w:eastAsia="zh-CN"/>
        </w:rPr>
        <w:t>20㎡</w:t>
      </w:r>
      <w:r>
        <w:rPr>
          <w:rFonts w:eastAsia="仿宋_GB2312"/>
          <w:color w:val="000000"/>
          <w:sz w:val="28"/>
          <w:szCs w:val="28"/>
        </w:rPr>
        <w:t>。</w:t>
      </w:r>
    </w:p>
    <w:p>
      <w:pPr>
        <w:spacing w:line="500" w:lineRule="exact"/>
        <w:ind w:firstLine="700" w:firstLineChars="250"/>
        <w:rPr>
          <w:rFonts w:eastAsia="仿宋_GB2312"/>
          <w:color w:val="000000"/>
          <w:sz w:val="28"/>
          <w:szCs w:val="28"/>
        </w:rPr>
      </w:pPr>
      <w:r>
        <w:rPr>
          <w:rFonts w:eastAsia="仿宋_GB2312"/>
          <w:color w:val="000000"/>
          <w:sz w:val="28"/>
          <w:szCs w:val="28"/>
        </w:rPr>
        <w:t>本次评估的范围为国有出让土地使用权及地上建筑物以及与估价对象不可分割的必须满足其使用功能的水、电、消防、通讯等配套设施。不包含动产、债权债务、特许经营权等其他财产或者权益。</w:t>
      </w:r>
    </w:p>
    <w:p>
      <w:pPr>
        <w:overflowPunct w:val="0"/>
        <w:autoSpaceDE w:val="0"/>
        <w:autoSpaceDN w:val="0"/>
        <w:adjustRightInd w:val="0"/>
        <w:spacing w:line="480" w:lineRule="exact"/>
        <w:ind w:firstLine="560" w:firstLineChars="200"/>
        <w:rPr>
          <w:rFonts w:eastAsia="仿宋_GB2312"/>
          <w:sz w:val="28"/>
          <w:szCs w:val="20"/>
        </w:rPr>
      </w:pPr>
      <w:r>
        <w:rPr>
          <w:rFonts w:eastAsia="仿宋_GB2312"/>
          <w:sz w:val="28"/>
          <w:szCs w:val="20"/>
        </w:rPr>
        <w:t>2.估价对象基本状况：</w:t>
      </w:r>
    </w:p>
    <w:p>
      <w:pPr>
        <w:overflowPunct w:val="0"/>
        <w:autoSpaceDE w:val="0"/>
        <w:autoSpaceDN w:val="0"/>
        <w:adjustRightInd w:val="0"/>
        <w:spacing w:line="480" w:lineRule="exact"/>
        <w:ind w:firstLine="560" w:firstLineChars="200"/>
        <w:rPr>
          <w:rFonts w:eastAsia="仿宋_GB2312"/>
          <w:sz w:val="28"/>
          <w:szCs w:val="20"/>
        </w:rPr>
      </w:pPr>
      <w:r>
        <w:rPr>
          <w:rFonts w:eastAsia="仿宋_GB2312"/>
          <w:sz w:val="28"/>
          <w:szCs w:val="20"/>
        </w:rPr>
        <w:t>2.1土地基本状况：</w:t>
      </w:r>
    </w:p>
    <w:p>
      <w:pPr>
        <w:overflowPunct w:val="0"/>
        <w:autoSpaceDE w:val="0"/>
        <w:autoSpaceDN w:val="0"/>
        <w:adjustRightInd w:val="0"/>
        <w:spacing w:line="480" w:lineRule="exact"/>
        <w:ind w:firstLine="560" w:firstLineChars="200"/>
        <w:rPr>
          <w:rFonts w:eastAsia="仿宋_GB2312"/>
          <w:sz w:val="28"/>
          <w:szCs w:val="20"/>
        </w:rPr>
      </w:pPr>
      <w:r>
        <w:rPr>
          <w:rFonts w:eastAsia="仿宋_GB2312"/>
          <w:sz w:val="28"/>
          <w:szCs w:val="20"/>
        </w:rPr>
        <w:t>2.1.1宗地名称</w:t>
      </w:r>
      <w:r>
        <w:rPr>
          <w:rFonts w:hint="eastAsia" w:eastAsia="仿宋_GB2312"/>
          <w:sz w:val="28"/>
          <w:szCs w:val="20"/>
          <w:lang w:eastAsia="zh-CN"/>
        </w:rPr>
        <w:t>（</w:t>
      </w:r>
      <w:r>
        <w:rPr>
          <w:rFonts w:hint="eastAsia" w:eastAsia="仿宋_GB2312"/>
          <w:sz w:val="28"/>
          <w:szCs w:val="20"/>
          <w:lang w:val="en-US" w:eastAsia="zh-CN"/>
        </w:rPr>
        <w:t>土地使用者</w:t>
      </w:r>
      <w:r>
        <w:rPr>
          <w:rFonts w:hint="eastAsia" w:eastAsia="仿宋_GB2312"/>
          <w:sz w:val="28"/>
          <w:szCs w:val="20"/>
          <w:lang w:eastAsia="zh-CN"/>
        </w:rPr>
        <w:t>）</w:t>
      </w:r>
      <w:r>
        <w:rPr>
          <w:rFonts w:eastAsia="仿宋_GB2312"/>
          <w:sz w:val="28"/>
          <w:szCs w:val="20"/>
        </w:rPr>
        <w:t>：</w:t>
      </w:r>
      <w:r>
        <w:rPr>
          <w:rFonts w:hint="eastAsia" w:eastAsia="仿宋_GB2312"/>
          <w:sz w:val="28"/>
          <w:szCs w:val="20"/>
          <w:lang w:val="en-US" w:eastAsia="zh-CN"/>
        </w:rPr>
        <w:t>陈福祥 孙翠兰</w:t>
      </w:r>
      <w:r>
        <w:rPr>
          <w:rFonts w:eastAsia="仿宋_GB2312"/>
          <w:sz w:val="28"/>
          <w:szCs w:val="20"/>
        </w:rPr>
        <w:t>；</w:t>
      </w:r>
    </w:p>
    <w:p>
      <w:pPr>
        <w:overflowPunct w:val="0"/>
        <w:autoSpaceDE w:val="0"/>
        <w:autoSpaceDN w:val="0"/>
        <w:adjustRightInd w:val="0"/>
        <w:spacing w:line="480" w:lineRule="exact"/>
        <w:ind w:firstLine="560" w:firstLineChars="200"/>
        <w:rPr>
          <w:rFonts w:eastAsia="仿宋_GB2312"/>
          <w:sz w:val="28"/>
          <w:szCs w:val="20"/>
        </w:rPr>
      </w:pPr>
      <w:r>
        <w:rPr>
          <w:rFonts w:eastAsia="仿宋_GB2312"/>
          <w:sz w:val="28"/>
          <w:szCs w:val="20"/>
        </w:rPr>
        <w:t>2.1.2宗地四至：</w:t>
      </w:r>
      <w:r>
        <w:rPr>
          <w:rFonts w:hint="eastAsia" w:eastAsia="仿宋_GB2312"/>
          <w:sz w:val="28"/>
          <w:szCs w:val="20"/>
          <w:lang w:val="en-US" w:eastAsia="zh-CN"/>
        </w:rPr>
        <w:t>——，</w:t>
      </w:r>
      <w:r>
        <w:rPr>
          <w:rFonts w:eastAsia="仿宋_GB2312"/>
          <w:sz w:val="28"/>
          <w:szCs w:val="20"/>
        </w:rPr>
        <w:t>本次估价对象为分摊用地；</w:t>
      </w:r>
    </w:p>
    <w:p>
      <w:pPr>
        <w:overflowPunct w:val="0"/>
        <w:autoSpaceDE w:val="0"/>
        <w:autoSpaceDN w:val="0"/>
        <w:adjustRightInd w:val="0"/>
        <w:spacing w:line="480" w:lineRule="exact"/>
        <w:ind w:firstLine="560" w:firstLineChars="200"/>
        <w:rPr>
          <w:rFonts w:eastAsia="仿宋_GB2312"/>
          <w:sz w:val="28"/>
          <w:szCs w:val="20"/>
        </w:rPr>
      </w:pPr>
      <w:r>
        <w:rPr>
          <w:rFonts w:eastAsia="仿宋_GB2312"/>
          <w:sz w:val="28"/>
          <w:szCs w:val="20"/>
        </w:rPr>
        <w:t>2.1.3宗地面积：登记分摊土地面积</w:t>
      </w:r>
      <w:r>
        <w:rPr>
          <w:rFonts w:hint="eastAsia" w:eastAsia="仿宋_GB2312"/>
          <w:sz w:val="28"/>
          <w:szCs w:val="20"/>
          <w:lang w:eastAsia="zh-CN"/>
        </w:rPr>
        <w:t>20㎡</w:t>
      </w:r>
      <w:r>
        <w:rPr>
          <w:rFonts w:eastAsia="仿宋_GB2312"/>
          <w:sz w:val="28"/>
          <w:szCs w:val="20"/>
        </w:rPr>
        <w:t xml:space="preserve">； </w:t>
      </w:r>
    </w:p>
    <w:p>
      <w:pPr>
        <w:overflowPunct w:val="0"/>
        <w:autoSpaceDE w:val="0"/>
        <w:autoSpaceDN w:val="0"/>
        <w:adjustRightInd w:val="0"/>
        <w:spacing w:line="480" w:lineRule="exact"/>
        <w:ind w:firstLine="560" w:firstLineChars="200"/>
        <w:rPr>
          <w:rFonts w:eastAsia="仿宋_GB2312"/>
          <w:sz w:val="28"/>
          <w:szCs w:val="20"/>
        </w:rPr>
      </w:pPr>
      <w:r>
        <w:rPr>
          <w:rFonts w:eastAsia="仿宋_GB2312"/>
          <w:sz w:val="28"/>
          <w:szCs w:val="20"/>
        </w:rPr>
        <w:t>2.1.4宗地用途：土地登记用途为</w:t>
      </w:r>
      <w:r>
        <w:rPr>
          <w:rFonts w:hint="eastAsia" w:eastAsia="仿宋_GB2312"/>
          <w:sz w:val="28"/>
          <w:szCs w:val="20"/>
          <w:lang w:eastAsia="zh-CN"/>
        </w:rPr>
        <w:t>住宅</w:t>
      </w:r>
      <w:r>
        <w:rPr>
          <w:rFonts w:eastAsia="仿宋_GB2312"/>
          <w:sz w:val="28"/>
          <w:szCs w:val="20"/>
        </w:rPr>
        <w:t>用地，实际用途为</w:t>
      </w:r>
      <w:r>
        <w:rPr>
          <w:rFonts w:hint="eastAsia" w:eastAsia="仿宋_GB2312"/>
          <w:sz w:val="28"/>
          <w:szCs w:val="20"/>
          <w:lang w:eastAsia="zh-CN"/>
        </w:rPr>
        <w:t>住宅</w:t>
      </w:r>
      <w:r>
        <w:rPr>
          <w:rFonts w:eastAsia="仿宋_GB2312"/>
          <w:sz w:val="28"/>
          <w:szCs w:val="20"/>
        </w:rPr>
        <w:t>用地；</w:t>
      </w:r>
    </w:p>
    <w:p>
      <w:pPr>
        <w:overflowPunct w:val="0"/>
        <w:autoSpaceDE w:val="0"/>
        <w:autoSpaceDN w:val="0"/>
        <w:adjustRightInd w:val="0"/>
        <w:spacing w:line="480" w:lineRule="exact"/>
        <w:ind w:firstLine="560" w:firstLineChars="200"/>
        <w:rPr>
          <w:rFonts w:eastAsia="仿宋_GB2312"/>
          <w:sz w:val="28"/>
          <w:szCs w:val="20"/>
        </w:rPr>
      </w:pPr>
      <w:r>
        <w:rPr>
          <w:rFonts w:eastAsia="仿宋_GB2312"/>
          <w:sz w:val="28"/>
          <w:szCs w:val="20"/>
        </w:rPr>
        <w:t>2.1.5宗地形状：整宗宗地形状呈规则矩形；</w:t>
      </w:r>
    </w:p>
    <w:p>
      <w:pPr>
        <w:overflowPunct w:val="0"/>
        <w:autoSpaceDE w:val="0"/>
        <w:autoSpaceDN w:val="0"/>
        <w:adjustRightInd w:val="0"/>
        <w:spacing w:line="480" w:lineRule="exact"/>
        <w:ind w:firstLine="560" w:firstLineChars="200"/>
        <w:rPr>
          <w:rFonts w:eastAsia="仿宋_GB2312"/>
          <w:sz w:val="28"/>
          <w:szCs w:val="20"/>
        </w:rPr>
      </w:pPr>
      <w:r>
        <w:rPr>
          <w:rFonts w:eastAsia="仿宋_GB2312"/>
          <w:sz w:val="28"/>
          <w:szCs w:val="20"/>
        </w:rPr>
        <w:t>2.1.6土地使用期限：</w:t>
      </w:r>
      <w:r>
        <w:rPr>
          <w:rFonts w:hint="eastAsia" w:eastAsia="仿宋_GB2312"/>
          <w:sz w:val="28"/>
          <w:szCs w:val="20"/>
          <w:lang w:eastAsia="zh-CN"/>
        </w:rPr>
        <w:t>——</w:t>
      </w:r>
      <w:r>
        <w:rPr>
          <w:rFonts w:eastAsia="仿宋_GB2312"/>
          <w:sz w:val="28"/>
          <w:szCs w:val="20"/>
        </w:rPr>
        <w:t>；</w:t>
      </w:r>
    </w:p>
    <w:p>
      <w:pPr>
        <w:overflowPunct w:val="0"/>
        <w:autoSpaceDE w:val="0"/>
        <w:autoSpaceDN w:val="0"/>
        <w:adjustRightInd w:val="0"/>
        <w:spacing w:line="480" w:lineRule="exact"/>
        <w:ind w:firstLine="560" w:firstLineChars="200"/>
        <w:rPr>
          <w:rFonts w:eastAsia="仿宋_GB2312"/>
          <w:sz w:val="28"/>
          <w:szCs w:val="20"/>
        </w:rPr>
      </w:pPr>
      <w:r>
        <w:rPr>
          <w:rFonts w:eastAsia="仿宋_GB2312"/>
          <w:sz w:val="28"/>
          <w:szCs w:val="20"/>
        </w:rPr>
        <w:t>2.1.7宗地地势和地形：宗地地势平坦，大雨后无深积水；</w:t>
      </w:r>
    </w:p>
    <w:p>
      <w:pPr>
        <w:overflowPunct w:val="0"/>
        <w:autoSpaceDE w:val="0"/>
        <w:autoSpaceDN w:val="0"/>
        <w:adjustRightInd w:val="0"/>
        <w:spacing w:line="480" w:lineRule="exact"/>
        <w:ind w:firstLine="560" w:firstLineChars="200"/>
        <w:rPr>
          <w:rFonts w:eastAsia="仿宋_GB2312"/>
          <w:sz w:val="28"/>
          <w:szCs w:val="20"/>
        </w:rPr>
      </w:pPr>
      <w:r>
        <w:rPr>
          <w:rFonts w:eastAsia="仿宋_GB2312"/>
          <w:sz w:val="28"/>
          <w:szCs w:val="20"/>
        </w:rPr>
        <w:t>2.1.8宗地基础设施及土地平整程度：该宗地已实现开发，开发程度为宗地红线外达到通路、通上水、通下水、通电、通讯“五通”和宗地红线内场地平整“一平”的开发水平；</w:t>
      </w:r>
    </w:p>
    <w:p>
      <w:pPr>
        <w:overflowPunct w:val="0"/>
        <w:autoSpaceDE w:val="0"/>
        <w:autoSpaceDN w:val="0"/>
        <w:adjustRightInd w:val="0"/>
        <w:spacing w:line="480" w:lineRule="exact"/>
        <w:ind w:firstLine="560" w:firstLineChars="200"/>
        <w:rPr>
          <w:rFonts w:eastAsia="仿宋_GB2312"/>
          <w:sz w:val="28"/>
          <w:szCs w:val="20"/>
        </w:rPr>
      </w:pPr>
      <w:r>
        <w:rPr>
          <w:rFonts w:eastAsia="仿宋_GB2312"/>
          <w:sz w:val="28"/>
          <w:szCs w:val="20"/>
        </w:rPr>
        <w:t>2.1.9距对外交通设施距离：该宗地临</w:t>
      </w:r>
      <w:r>
        <w:rPr>
          <w:rFonts w:hint="eastAsia" w:eastAsia="仿宋_GB2312"/>
          <w:sz w:val="28"/>
          <w:szCs w:val="20"/>
          <w:lang w:eastAsia="zh-CN"/>
        </w:rPr>
        <w:t>开放大道、黄海路</w:t>
      </w:r>
      <w:r>
        <w:rPr>
          <w:rFonts w:eastAsia="仿宋_GB2312"/>
          <w:sz w:val="28"/>
          <w:szCs w:val="20"/>
        </w:rPr>
        <w:t>。</w:t>
      </w:r>
    </w:p>
    <w:p>
      <w:pPr>
        <w:overflowPunct w:val="0"/>
        <w:autoSpaceDE w:val="0"/>
        <w:autoSpaceDN w:val="0"/>
        <w:adjustRightInd w:val="0"/>
        <w:spacing w:line="480" w:lineRule="exact"/>
        <w:ind w:firstLine="560" w:firstLineChars="200"/>
        <w:rPr>
          <w:rFonts w:eastAsia="仿宋_GB2312"/>
          <w:sz w:val="28"/>
          <w:szCs w:val="20"/>
        </w:rPr>
      </w:pPr>
      <w:r>
        <w:rPr>
          <w:rFonts w:eastAsia="仿宋_GB2312"/>
          <w:sz w:val="28"/>
          <w:szCs w:val="20"/>
        </w:rPr>
        <w:t>2.2建筑物基本状况：</w:t>
      </w:r>
    </w:p>
    <w:tbl>
      <w:tblPr>
        <w:tblStyle w:val="17"/>
        <w:tblW w:w="9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047"/>
        <w:gridCol w:w="657"/>
        <w:gridCol w:w="876"/>
        <w:gridCol w:w="592"/>
        <w:gridCol w:w="658"/>
        <w:gridCol w:w="819"/>
        <w:gridCol w:w="840"/>
        <w:gridCol w:w="3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841" w:type="dxa"/>
            <w:gridSpan w:val="9"/>
            <w:vAlign w:val="center"/>
          </w:tcPr>
          <w:p>
            <w:pPr>
              <w:pStyle w:val="6"/>
              <w:spacing w:after="0" w:line="440" w:lineRule="exact"/>
              <w:jc w:val="center"/>
              <w:rPr>
                <w:rFonts w:hint="eastAsia" w:eastAsia="仿宋_GB2312"/>
                <w:sz w:val="18"/>
                <w:szCs w:val="18"/>
                <w:lang w:eastAsia="zh-CN"/>
              </w:rPr>
            </w:pPr>
            <w:r>
              <w:rPr>
                <w:rFonts w:eastAsia="仿宋_GB2312"/>
                <w:sz w:val="18"/>
                <w:szCs w:val="18"/>
              </w:rPr>
              <w:t>建筑物名称：</w:t>
            </w:r>
            <w:r>
              <w:rPr>
                <w:rFonts w:hint="eastAsia" w:eastAsia="仿宋_GB2312"/>
                <w:sz w:val="18"/>
                <w:szCs w:val="18"/>
                <w:lang w:eastAsia="zh-CN"/>
              </w:rPr>
              <w:t>盐城市亭湖区盛世家苑4幢107室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814" w:type="dxa"/>
            <w:vAlign w:val="center"/>
          </w:tcPr>
          <w:p>
            <w:pPr>
              <w:pStyle w:val="6"/>
              <w:spacing w:after="0" w:line="240" w:lineRule="exact"/>
              <w:jc w:val="center"/>
              <w:rPr>
                <w:rFonts w:eastAsia="仿宋_GB2312"/>
                <w:sz w:val="18"/>
                <w:szCs w:val="18"/>
              </w:rPr>
            </w:pPr>
            <w:r>
              <w:rPr>
                <w:rFonts w:eastAsia="仿宋_GB2312"/>
                <w:sz w:val="18"/>
                <w:szCs w:val="18"/>
              </w:rPr>
              <w:t>幢号</w:t>
            </w:r>
          </w:p>
        </w:tc>
        <w:tc>
          <w:tcPr>
            <w:tcW w:w="1047" w:type="dxa"/>
            <w:vAlign w:val="center"/>
          </w:tcPr>
          <w:p>
            <w:pPr>
              <w:pStyle w:val="6"/>
              <w:spacing w:after="0" w:line="240" w:lineRule="exact"/>
              <w:jc w:val="center"/>
              <w:rPr>
                <w:rFonts w:eastAsia="仿宋_GB2312"/>
                <w:sz w:val="18"/>
                <w:szCs w:val="18"/>
              </w:rPr>
            </w:pPr>
            <w:r>
              <w:rPr>
                <w:rFonts w:eastAsia="仿宋_GB2312"/>
                <w:sz w:val="18"/>
                <w:szCs w:val="18"/>
              </w:rPr>
              <w:t>建筑面积（㎡）</w:t>
            </w:r>
          </w:p>
        </w:tc>
        <w:tc>
          <w:tcPr>
            <w:tcW w:w="657" w:type="dxa"/>
            <w:vAlign w:val="center"/>
          </w:tcPr>
          <w:p>
            <w:pPr>
              <w:pStyle w:val="6"/>
              <w:spacing w:after="0" w:line="240" w:lineRule="exact"/>
              <w:jc w:val="center"/>
              <w:rPr>
                <w:rFonts w:eastAsia="仿宋_GB2312"/>
                <w:sz w:val="18"/>
                <w:szCs w:val="18"/>
              </w:rPr>
            </w:pPr>
            <w:r>
              <w:rPr>
                <w:rFonts w:eastAsia="仿宋_GB2312"/>
                <w:sz w:val="18"/>
                <w:szCs w:val="18"/>
              </w:rPr>
              <w:t>结构</w:t>
            </w:r>
          </w:p>
        </w:tc>
        <w:tc>
          <w:tcPr>
            <w:tcW w:w="876" w:type="dxa"/>
            <w:vAlign w:val="center"/>
          </w:tcPr>
          <w:p>
            <w:pPr>
              <w:pStyle w:val="6"/>
              <w:spacing w:after="0" w:line="240" w:lineRule="exact"/>
              <w:jc w:val="center"/>
              <w:rPr>
                <w:rFonts w:eastAsia="仿宋_GB2312"/>
                <w:sz w:val="18"/>
                <w:szCs w:val="18"/>
              </w:rPr>
            </w:pPr>
            <w:r>
              <w:rPr>
                <w:rFonts w:eastAsia="仿宋_GB2312"/>
                <w:sz w:val="18"/>
                <w:szCs w:val="18"/>
              </w:rPr>
              <w:t>竣工时间</w:t>
            </w:r>
          </w:p>
        </w:tc>
        <w:tc>
          <w:tcPr>
            <w:tcW w:w="592" w:type="dxa"/>
            <w:vAlign w:val="center"/>
          </w:tcPr>
          <w:p>
            <w:pPr>
              <w:pStyle w:val="6"/>
              <w:spacing w:after="0" w:line="240" w:lineRule="exact"/>
              <w:jc w:val="center"/>
              <w:rPr>
                <w:rFonts w:eastAsia="仿宋_GB2312"/>
                <w:sz w:val="18"/>
                <w:szCs w:val="18"/>
              </w:rPr>
            </w:pPr>
            <w:r>
              <w:rPr>
                <w:rFonts w:eastAsia="仿宋_GB2312"/>
                <w:sz w:val="18"/>
                <w:szCs w:val="18"/>
              </w:rPr>
              <w:t>总层数</w:t>
            </w:r>
          </w:p>
        </w:tc>
        <w:tc>
          <w:tcPr>
            <w:tcW w:w="658" w:type="dxa"/>
            <w:vAlign w:val="center"/>
          </w:tcPr>
          <w:p>
            <w:pPr>
              <w:pStyle w:val="6"/>
              <w:spacing w:after="0" w:line="240" w:lineRule="exact"/>
              <w:jc w:val="center"/>
              <w:rPr>
                <w:rFonts w:eastAsia="仿宋_GB2312"/>
                <w:sz w:val="18"/>
                <w:szCs w:val="18"/>
              </w:rPr>
            </w:pPr>
            <w:r>
              <w:rPr>
                <w:rFonts w:eastAsia="仿宋_GB2312"/>
                <w:sz w:val="18"/>
                <w:szCs w:val="18"/>
              </w:rPr>
              <w:t>所在层数</w:t>
            </w:r>
          </w:p>
        </w:tc>
        <w:tc>
          <w:tcPr>
            <w:tcW w:w="819" w:type="dxa"/>
            <w:vAlign w:val="center"/>
          </w:tcPr>
          <w:p>
            <w:pPr>
              <w:pStyle w:val="6"/>
              <w:spacing w:after="0" w:line="240" w:lineRule="exact"/>
              <w:jc w:val="center"/>
              <w:rPr>
                <w:rFonts w:eastAsia="仿宋_GB2312"/>
                <w:sz w:val="18"/>
                <w:szCs w:val="18"/>
              </w:rPr>
            </w:pPr>
            <w:r>
              <w:rPr>
                <w:rFonts w:eastAsia="仿宋_GB2312"/>
                <w:sz w:val="18"/>
                <w:szCs w:val="18"/>
              </w:rPr>
              <w:t>层高</w:t>
            </w:r>
            <w:r>
              <w:rPr>
                <w:rFonts w:hint="eastAsia" w:eastAsia="仿宋_GB2312"/>
                <w:sz w:val="18"/>
                <w:szCs w:val="18"/>
              </w:rPr>
              <w:t>（M）</w:t>
            </w:r>
          </w:p>
        </w:tc>
        <w:tc>
          <w:tcPr>
            <w:tcW w:w="840" w:type="dxa"/>
            <w:vAlign w:val="center"/>
          </w:tcPr>
          <w:p>
            <w:pPr>
              <w:pStyle w:val="6"/>
              <w:spacing w:after="0" w:line="240" w:lineRule="exact"/>
              <w:jc w:val="center"/>
              <w:rPr>
                <w:rFonts w:eastAsia="仿宋_GB2312"/>
                <w:sz w:val="18"/>
                <w:szCs w:val="18"/>
              </w:rPr>
            </w:pPr>
            <w:r>
              <w:rPr>
                <w:rFonts w:eastAsia="仿宋_GB2312"/>
                <w:sz w:val="18"/>
                <w:szCs w:val="18"/>
              </w:rPr>
              <w:t>登记</w:t>
            </w:r>
            <w:r>
              <w:rPr>
                <w:rFonts w:hint="eastAsia" w:eastAsia="仿宋_GB2312"/>
                <w:sz w:val="18"/>
                <w:szCs w:val="18"/>
              </w:rPr>
              <w:t xml:space="preserve"> </w:t>
            </w:r>
            <w:r>
              <w:rPr>
                <w:rFonts w:eastAsia="仿宋_GB2312"/>
                <w:sz w:val="18"/>
                <w:szCs w:val="18"/>
              </w:rPr>
              <w:t>用途</w:t>
            </w:r>
          </w:p>
        </w:tc>
        <w:tc>
          <w:tcPr>
            <w:tcW w:w="3538" w:type="dxa"/>
            <w:vAlign w:val="center"/>
          </w:tcPr>
          <w:p>
            <w:pPr>
              <w:pStyle w:val="6"/>
              <w:spacing w:after="0" w:line="240" w:lineRule="exact"/>
              <w:ind w:firstLine="1260" w:firstLineChars="700"/>
              <w:rPr>
                <w:rFonts w:eastAsia="仿宋_GB2312"/>
                <w:sz w:val="18"/>
                <w:szCs w:val="18"/>
              </w:rPr>
            </w:pPr>
            <w:r>
              <w:rPr>
                <w:rFonts w:eastAsia="仿宋_GB2312"/>
                <w:sz w:val="18"/>
                <w:szCs w:val="18"/>
              </w:rPr>
              <w:t>装饰装修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trPr>
        <w:tc>
          <w:tcPr>
            <w:tcW w:w="814" w:type="dxa"/>
            <w:shd w:val="clear" w:color="auto" w:fill="auto"/>
            <w:vAlign w:val="center"/>
          </w:tcPr>
          <w:p>
            <w:pPr>
              <w:pStyle w:val="6"/>
              <w:spacing w:after="0" w:line="240" w:lineRule="exact"/>
              <w:jc w:val="center"/>
              <w:rPr>
                <w:rFonts w:hint="eastAsia" w:eastAsia="仿宋_GB2312"/>
                <w:sz w:val="18"/>
                <w:szCs w:val="18"/>
                <w:lang w:eastAsia="zh-CN"/>
              </w:rPr>
            </w:pPr>
            <w:r>
              <w:rPr>
                <w:rFonts w:hint="eastAsia" w:eastAsia="仿宋_GB2312"/>
                <w:sz w:val="18"/>
                <w:szCs w:val="18"/>
                <w:lang w:val="en-US" w:eastAsia="zh-CN"/>
              </w:rPr>
              <w:t>4</w:t>
            </w:r>
          </w:p>
        </w:tc>
        <w:tc>
          <w:tcPr>
            <w:tcW w:w="1047" w:type="dxa"/>
            <w:shd w:val="clear" w:color="auto" w:fill="auto"/>
            <w:vAlign w:val="center"/>
          </w:tcPr>
          <w:p>
            <w:pPr>
              <w:pStyle w:val="6"/>
              <w:spacing w:after="0" w:line="240" w:lineRule="exact"/>
              <w:jc w:val="center"/>
              <w:rPr>
                <w:rFonts w:hint="eastAsia" w:eastAsia="仿宋_GB2312"/>
                <w:sz w:val="18"/>
                <w:szCs w:val="18"/>
                <w:lang w:eastAsia="zh-CN"/>
              </w:rPr>
            </w:pPr>
            <w:r>
              <w:rPr>
                <w:rFonts w:hint="eastAsia" w:eastAsia="仿宋_GB2312"/>
                <w:sz w:val="18"/>
                <w:szCs w:val="18"/>
                <w:lang w:eastAsia="zh-CN"/>
              </w:rPr>
              <w:t>139.78</w:t>
            </w:r>
          </w:p>
        </w:tc>
        <w:tc>
          <w:tcPr>
            <w:tcW w:w="657" w:type="dxa"/>
            <w:shd w:val="clear" w:color="auto" w:fill="auto"/>
            <w:vAlign w:val="center"/>
          </w:tcPr>
          <w:p>
            <w:pPr>
              <w:pStyle w:val="6"/>
              <w:spacing w:after="0" w:line="240" w:lineRule="exact"/>
              <w:jc w:val="center"/>
              <w:rPr>
                <w:rFonts w:eastAsia="仿宋_GB2312"/>
                <w:sz w:val="18"/>
                <w:szCs w:val="18"/>
              </w:rPr>
            </w:pPr>
            <w:r>
              <w:rPr>
                <w:rFonts w:eastAsia="仿宋_GB2312"/>
                <w:sz w:val="18"/>
                <w:szCs w:val="18"/>
              </w:rPr>
              <w:t>混</w:t>
            </w:r>
            <w:r>
              <w:rPr>
                <w:rFonts w:hint="eastAsia" w:eastAsia="仿宋_GB2312"/>
                <w:sz w:val="18"/>
                <w:szCs w:val="18"/>
              </w:rPr>
              <w:t>合</w:t>
            </w:r>
          </w:p>
        </w:tc>
        <w:tc>
          <w:tcPr>
            <w:tcW w:w="876" w:type="dxa"/>
            <w:shd w:val="clear" w:color="auto" w:fill="auto"/>
            <w:vAlign w:val="center"/>
          </w:tcPr>
          <w:p>
            <w:pPr>
              <w:spacing w:line="240" w:lineRule="exact"/>
              <w:jc w:val="center"/>
              <w:rPr>
                <w:rFonts w:eastAsia="仿宋_GB2312"/>
                <w:sz w:val="18"/>
                <w:szCs w:val="18"/>
              </w:rPr>
            </w:pPr>
            <w:r>
              <w:rPr>
                <w:rFonts w:eastAsia="仿宋_GB2312"/>
                <w:sz w:val="18"/>
                <w:szCs w:val="18"/>
              </w:rPr>
              <w:t>20</w:t>
            </w:r>
            <w:r>
              <w:rPr>
                <w:rFonts w:hint="eastAsia" w:eastAsia="仿宋_GB2312"/>
                <w:sz w:val="18"/>
                <w:szCs w:val="18"/>
                <w:lang w:val="en-US" w:eastAsia="zh-CN"/>
              </w:rPr>
              <w:t>08</w:t>
            </w:r>
            <w:r>
              <w:rPr>
                <w:rFonts w:eastAsia="仿宋_GB2312"/>
                <w:sz w:val="18"/>
                <w:szCs w:val="18"/>
              </w:rPr>
              <w:t>年左右</w:t>
            </w:r>
          </w:p>
        </w:tc>
        <w:tc>
          <w:tcPr>
            <w:tcW w:w="592" w:type="dxa"/>
            <w:vAlign w:val="center"/>
          </w:tcPr>
          <w:p>
            <w:pPr>
              <w:pStyle w:val="6"/>
              <w:spacing w:after="0" w:line="240" w:lineRule="exact"/>
              <w:jc w:val="center"/>
              <w:rPr>
                <w:rFonts w:hint="eastAsia" w:eastAsia="仿宋_GB2312"/>
                <w:sz w:val="18"/>
                <w:szCs w:val="18"/>
                <w:lang w:eastAsia="zh-CN"/>
              </w:rPr>
            </w:pPr>
            <w:r>
              <w:rPr>
                <w:rFonts w:hint="eastAsia" w:eastAsia="仿宋_GB2312"/>
                <w:sz w:val="18"/>
                <w:szCs w:val="18"/>
                <w:lang w:val="en-US" w:eastAsia="zh-CN"/>
              </w:rPr>
              <w:t>6</w:t>
            </w:r>
          </w:p>
        </w:tc>
        <w:tc>
          <w:tcPr>
            <w:tcW w:w="658" w:type="dxa"/>
            <w:vAlign w:val="center"/>
          </w:tcPr>
          <w:p>
            <w:pPr>
              <w:pStyle w:val="6"/>
              <w:spacing w:after="0" w:line="240" w:lineRule="exact"/>
              <w:jc w:val="center"/>
              <w:rPr>
                <w:rFonts w:hint="eastAsia" w:eastAsia="仿宋_GB2312"/>
                <w:sz w:val="18"/>
                <w:szCs w:val="18"/>
                <w:lang w:eastAsia="zh-CN"/>
              </w:rPr>
            </w:pPr>
            <w:r>
              <w:rPr>
                <w:rFonts w:hint="eastAsia" w:eastAsia="仿宋_GB2312"/>
                <w:sz w:val="18"/>
                <w:szCs w:val="18"/>
                <w:lang w:val="en-US" w:eastAsia="zh-CN"/>
              </w:rPr>
              <w:t>1</w:t>
            </w:r>
          </w:p>
        </w:tc>
        <w:tc>
          <w:tcPr>
            <w:tcW w:w="819" w:type="dxa"/>
            <w:vAlign w:val="center"/>
          </w:tcPr>
          <w:p>
            <w:pPr>
              <w:pStyle w:val="6"/>
              <w:spacing w:after="0" w:line="240" w:lineRule="exact"/>
              <w:jc w:val="center"/>
              <w:rPr>
                <w:rFonts w:hint="default" w:eastAsia="仿宋_GB2312"/>
                <w:sz w:val="18"/>
                <w:szCs w:val="18"/>
                <w:lang w:val="en-US" w:eastAsia="zh-CN"/>
              </w:rPr>
            </w:pPr>
            <w:r>
              <w:rPr>
                <w:rFonts w:hint="eastAsia" w:eastAsia="仿宋_GB2312"/>
                <w:sz w:val="18"/>
                <w:szCs w:val="18"/>
                <w:lang w:val="en-US" w:eastAsia="zh-CN"/>
              </w:rPr>
              <w:t>2.7</w:t>
            </w:r>
          </w:p>
        </w:tc>
        <w:tc>
          <w:tcPr>
            <w:tcW w:w="840" w:type="dxa"/>
            <w:vAlign w:val="center"/>
          </w:tcPr>
          <w:p>
            <w:pPr>
              <w:pStyle w:val="6"/>
              <w:spacing w:after="0" w:line="240" w:lineRule="exact"/>
              <w:jc w:val="center"/>
              <w:rPr>
                <w:rFonts w:hint="eastAsia" w:eastAsia="仿宋_GB2312"/>
                <w:sz w:val="18"/>
                <w:szCs w:val="18"/>
                <w:lang w:eastAsia="zh-CN"/>
              </w:rPr>
            </w:pPr>
            <w:r>
              <w:rPr>
                <w:rFonts w:hint="eastAsia" w:eastAsia="仿宋_GB2312"/>
                <w:sz w:val="18"/>
                <w:szCs w:val="18"/>
                <w:lang w:eastAsia="zh-CN"/>
              </w:rPr>
              <w:t>住宅</w:t>
            </w:r>
          </w:p>
        </w:tc>
        <w:tc>
          <w:tcPr>
            <w:tcW w:w="3538" w:type="dxa"/>
            <w:vAlign w:val="center"/>
          </w:tcPr>
          <w:p>
            <w:pPr>
              <w:pStyle w:val="6"/>
              <w:spacing w:after="0" w:line="240" w:lineRule="exact"/>
              <w:jc w:val="center"/>
              <w:rPr>
                <w:rFonts w:eastAsia="仿宋_GB2312"/>
                <w:sz w:val="18"/>
                <w:szCs w:val="18"/>
              </w:rPr>
            </w:pPr>
            <w:r>
              <w:rPr>
                <w:rFonts w:hint="eastAsia" w:eastAsia="仿宋_GB2312"/>
                <w:sz w:val="18"/>
                <w:szCs w:val="18"/>
              </w:rPr>
              <w:t>现状</w:t>
            </w:r>
            <w:r>
              <w:rPr>
                <w:rFonts w:hint="eastAsia" w:eastAsia="仿宋_GB2312"/>
                <w:sz w:val="18"/>
                <w:szCs w:val="18"/>
                <w:lang w:val="en-US" w:eastAsia="zh-CN"/>
              </w:rPr>
              <w:t>住宅</w:t>
            </w:r>
            <w:r>
              <w:rPr>
                <w:rFonts w:eastAsia="仿宋_GB2312"/>
                <w:sz w:val="18"/>
                <w:szCs w:val="18"/>
              </w:rPr>
              <w:t>，</w:t>
            </w:r>
            <w:r>
              <w:rPr>
                <w:rFonts w:hint="eastAsia" w:eastAsia="仿宋_GB2312"/>
                <w:sz w:val="18"/>
                <w:szCs w:val="18"/>
              </w:rPr>
              <w:t>中等</w:t>
            </w:r>
            <w:r>
              <w:rPr>
                <w:rFonts w:eastAsia="仿宋_GB2312"/>
                <w:sz w:val="18"/>
                <w:szCs w:val="18"/>
              </w:rPr>
              <w:t>装修，</w:t>
            </w:r>
            <w:r>
              <w:rPr>
                <w:rFonts w:hint="eastAsia" w:eastAsia="仿宋_GB2312"/>
                <w:sz w:val="18"/>
                <w:szCs w:val="18"/>
              </w:rPr>
              <w:t>入户</w:t>
            </w:r>
            <w:r>
              <w:rPr>
                <w:rFonts w:hint="eastAsia" w:eastAsia="仿宋_GB2312"/>
                <w:sz w:val="18"/>
                <w:szCs w:val="18"/>
                <w:lang w:val="en-US" w:eastAsia="zh-CN"/>
              </w:rPr>
              <w:t>防盗</w:t>
            </w:r>
            <w:r>
              <w:rPr>
                <w:rFonts w:hint="eastAsia" w:eastAsia="仿宋_GB2312"/>
                <w:sz w:val="18"/>
                <w:szCs w:val="18"/>
              </w:rPr>
              <w:t>门，</w:t>
            </w:r>
            <w:r>
              <w:rPr>
                <w:rFonts w:eastAsia="仿宋_GB2312"/>
                <w:sz w:val="18"/>
                <w:szCs w:val="18"/>
              </w:rPr>
              <w:t>地砖地面</w:t>
            </w:r>
            <w:r>
              <w:rPr>
                <w:rFonts w:hint="eastAsia" w:eastAsia="仿宋_GB2312"/>
                <w:sz w:val="18"/>
                <w:szCs w:val="18"/>
              </w:rPr>
              <w:t>，立邦墙面</w:t>
            </w:r>
            <w:r>
              <w:rPr>
                <w:rFonts w:eastAsia="仿宋_GB2312"/>
                <w:sz w:val="18"/>
                <w:szCs w:val="18"/>
              </w:rPr>
              <w:t>，</w:t>
            </w:r>
            <w:r>
              <w:rPr>
                <w:rFonts w:hint="eastAsia" w:eastAsia="仿宋_GB2312"/>
                <w:sz w:val="18"/>
                <w:szCs w:val="18"/>
              </w:rPr>
              <w:t>石膏板</w:t>
            </w:r>
            <w:r>
              <w:rPr>
                <w:rFonts w:eastAsia="仿宋_GB2312"/>
                <w:sz w:val="18"/>
                <w:szCs w:val="18"/>
              </w:rPr>
              <w:t>吊顶、配有规格不一射灯和筒灯，部分</w:t>
            </w:r>
            <w:r>
              <w:rPr>
                <w:rFonts w:hint="eastAsia" w:eastAsia="仿宋_GB2312"/>
                <w:sz w:val="18"/>
                <w:szCs w:val="18"/>
              </w:rPr>
              <w:t>艺术</w:t>
            </w:r>
            <w:r>
              <w:rPr>
                <w:rFonts w:hint="eastAsia" w:eastAsia="仿宋_GB2312"/>
                <w:sz w:val="18"/>
                <w:szCs w:val="18"/>
                <w:lang w:val="en-US" w:eastAsia="zh-CN"/>
              </w:rPr>
              <w:t>木</w:t>
            </w:r>
            <w:r>
              <w:rPr>
                <w:rFonts w:hint="eastAsia" w:eastAsia="仿宋_GB2312"/>
                <w:sz w:val="18"/>
                <w:szCs w:val="18"/>
              </w:rPr>
              <w:t>装饰</w:t>
            </w:r>
            <w:r>
              <w:rPr>
                <w:rFonts w:eastAsia="仿宋_GB2312"/>
                <w:sz w:val="18"/>
                <w:szCs w:val="18"/>
              </w:rPr>
              <w:t>饰面，经估价人员现场勘察，综合成新</w:t>
            </w:r>
            <w:r>
              <w:rPr>
                <w:rFonts w:hint="eastAsia" w:eastAsia="仿宋_GB2312"/>
                <w:sz w:val="18"/>
                <w:szCs w:val="18"/>
              </w:rPr>
              <w:t>八</w:t>
            </w:r>
            <w:r>
              <w:rPr>
                <w:rFonts w:eastAsia="仿宋_GB2312"/>
                <w:sz w:val="18"/>
                <w:szCs w:val="18"/>
              </w:rPr>
              <w:t>成新。</w:t>
            </w:r>
          </w:p>
        </w:tc>
      </w:tr>
    </w:tbl>
    <w:p>
      <w:pPr>
        <w:overflowPunct w:val="0"/>
        <w:autoSpaceDE w:val="0"/>
        <w:autoSpaceDN w:val="0"/>
        <w:adjustRightInd w:val="0"/>
        <w:spacing w:line="480" w:lineRule="exact"/>
        <w:rPr>
          <w:rFonts w:eastAsia="仿宋_GB2312"/>
          <w:sz w:val="28"/>
          <w:szCs w:val="20"/>
        </w:rPr>
      </w:pPr>
      <w:r>
        <w:rPr>
          <w:rFonts w:eastAsia="仿宋_GB2312"/>
          <w:sz w:val="28"/>
          <w:szCs w:val="20"/>
        </w:rPr>
        <w:t>·平面布置：估价对象地上房产平面布局规整；</w:t>
      </w:r>
    </w:p>
    <w:p>
      <w:pPr>
        <w:overflowPunct w:val="0"/>
        <w:autoSpaceDE w:val="0"/>
        <w:autoSpaceDN w:val="0"/>
        <w:adjustRightInd w:val="0"/>
        <w:spacing w:line="480" w:lineRule="exact"/>
        <w:rPr>
          <w:rFonts w:eastAsia="仿宋_GB2312"/>
          <w:sz w:val="28"/>
          <w:szCs w:val="20"/>
        </w:rPr>
      </w:pPr>
      <w:r>
        <w:rPr>
          <w:rFonts w:eastAsia="仿宋_GB2312"/>
          <w:sz w:val="28"/>
          <w:szCs w:val="20"/>
        </w:rPr>
        <w:t>·设备设施：水、电、通讯设施齐全；</w:t>
      </w:r>
    </w:p>
    <w:p>
      <w:pPr>
        <w:overflowPunct w:val="0"/>
        <w:autoSpaceDE w:val="0"/>
        <w:autoSpaceDN w:val="0"/>
        <w:adjustRightInd w:val="0"/>
        <w:spacing w:line="480" w:lineRule="exact"/>
        <w:rPr>
          <w:rFonts w:eastAsia="仿宋_GB2312"/>
          <w:sz w:val="28"/>
          <w:szCs w:val="20"/>
        </w:rPr>
      </w:pPr>
      <w:r>
        <w:rPr>
          <w:rFonts w:eastAsia="仿宋_GB2312"/>
          <w:sz w:val="28"/>
          <w:szCs w:val="20"/>
        </w:rPr>
        <w:t>·室外公共配套设施完备程度：室外公共配套设施较为完备；</w:t>
      </w:r>
    </w:p>
    <w:p>
      <w:pPr>
        <w:overflowPunct w:val="0"/>
        <w:autoSpaceDE w:val="0"/>
        <w:autoSpaceDN w:val="0"/>
        <w:adjustRightInd w:val="0"/>
        <w:spacing w:line="480" w:lineRule="exact"/>
        <w:rPr>
          <w:rFonts w:eastAsia="仿宋_GB2312"/>
          <w:sz w:val="28"/>
          <w:szCs w:val="20"/>
        </w:rPr>
      </w:pPr>
      <w:r>
        <w:rPr>
          <w:rFonts w:eastAsia="仿宋_GB2312"/>
          <w:sz w:val="28"/>
          <w:szCs w:val="20"/>
        </w:rPr>
        <w:t>·维护使用状况：估价对象维护保养状况良好，目前正常使用，房屋成新度约</w:t>
      </w:r>
      <w:r>
        <w:rPr>
          <w:rFonts w:hint="eastAsia" w:eastAsia="仿宋_GB2312"/>
          <w:sz w:val="28"/>
          <w:szCs w:val="20"/>
        </w:rPr>
        <w:t>八</w:t>
      </w:r>
      <w:r>
        <w:rPr>
          <w:rFonts w:eastAsia="仿宋_GB2312"/>
          <w:sz w:val="28"/>
          <w:szCs w:val="20"/>
        </w:rPr>
        <w:t>成。</w:t>
      </w:r>
    </w:p>
    <w:p>
      <w:pPr>
        <w:overflowPunct w:val="0"/>
        <w:autoSpaceDE w:val="0"/>
        <w:autoSpaceDN w:val="0"/>
        <w:adjustRightInd w:val="0"/>
        <w:spacing w:line="480" w:lineRule="exact"/>
        <w:ind w:firstLine="560" w:firstLineChars="200"/>
        <w:rPr>
          <w:rFonts w:eastAsia="仿宋_GB2312"/>
          <w:sz w:val="28"/>
          <w:szCs w:val="20"/>
        </w:rPr>
      </w:pPr>
      <w:r>
        <w:rPr>
          <w:rFonts w:eastAsia="仿宋_GB2312"/>
          <w:sz w:val="28"/>
          <w:szCs w:val="20"/>
        </w:rPr>
        <w:t>3.估价对象权益状况：</w:t>
      </w:r>
    </w:p>
    <w:p>
      <w:pPr>
        <w:overflowPunct w:val="0"/>
        <w:autoSpaceDE w:val="0"/>
        <w:autoSpaceDN w:val="0"/>
        <w:adjustRightInd w:val="0"/>
        <w:spacing w:line="480" w:lineRule="exact"/>
        <w:ind w:firstLine="560" w:firstLineChars="200"/>
        <w:rPr>
          <w:rFonts w:eastAsia="仿宋_GB2312"/>
          <w:sz w:val="28"/>
          <w:szCs w:val="20"/>
        </w:rPr>
      </w:pPr>
      <w:r>
        <w:rPr>
          <w:rFonts w:eastAsia="仿宋_GB2312"/>
          <w:sz w:val="28"/>
          <w:szCs w:val="20"/>
        </w:rPr>
        <w:t>3.1房地产权利状况：</w:t>
      </w:r>
    </w:p>
    <w:p>
      <w:pPr>
        <w:overflowPunct w:val="0"/>
        <w:autoSpaceDE w:val="0"/>
        <w:autoSpaceDN w:val="0"/>
        <w:adjustRightInd w:val="0"/>
        <w:spacing w:line="480" w:lineRule="exact"/>
        <w:ind w:firstLine="560" w:firstLineChars="200"/>
        <w:rPr>
          <w:rFonts w:eastAsia="仿宋_GB2312"/>
          <w:sz w:val="28"/>
          <w:szCs w:val="20"/>
        </w:rPr>
      </w:pPr>
      <w:r>
        <w:rPr>
          <w:rFonts w:eastAsia="仿宋_GB2312"/>
          <w:sz w:val="28"/>
          <w:szCs w:val="20"/>
        </w:rPr>
        <w:t>根据委托方提供的</w:t>
      </w:r>
      <w:r>
        <w:rPr>
          <w:rFonts w:hint="eastAsia" w:eastAsia="仿宋_GB2312"/>
          <w:sz w:val="28"/>
          <w:szCs w:val="20"/>
          <w:lang w:eastAsia="zh-CN"/>
        </w:rPr>
        <w:t>《不动产登记簿查询记录》</w:t>
      </w:r>
      <w:r>
        <w:rPr>
          <w:rFonts w:eastAsia="仿宋_GB2312"/>
          <w:sz w:val="28"/>
          <w:szCs w:val="20"/>
        </w:rPr>
        <w:t>，其权利状况如下表：</w:t>
      </w:r>
    </w:p>
    <w:tbl>
      <w:tblPr>
        <w:tblStyle w:val="17"/>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2296"/>
        <w:gridCol w:w="2228"/>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589" w:type="dxa"/>
            <w:gridSpan w:val="2"/>
            <w:vAlign w:val="center"/>
          </w:tcPr>
          <w:p>
            <w:pPr>
              <w:overflowPunct w:val="0"/>
              <w:autoSpaceDE w:val="0"/>
              <w:autoSpaceDN w:val="0"/>
              <w:adjustRightInd w:val="0"/>
              <w:spacing w:line="300" w:lineRule="exact"/>
              <w:ind w:right="68"/>
              <w:jc w:val="center"/>
              <w:rPr>
                <w:rFonts w:eastAsia="仿宋_GB2312"/>
                <w:sz w:val="18"/>
                <w:szCs w:val="18"/>
              </w:rPr>
            </w:pPr>
            <w:r>
              <w:rPr>
                <w:rFonts w:eastAsia="仿宋_GB2312"/>
                <w:sz w:val="18"/>
                <w:szCs w:val="18"/>
              </w:rPr>
              <w:tab/>
            </w:r>
            <w:r>
              <w:rPr>
                <w:rFonts w:eastAsia="仿宋_GB2312"/>
                <w:sz w:val="18"/>
                <w:szCs w:val="18"/>
              </w:rPr>
              <w:t>房屋权属状况</w:t>
            </w:r>
          </w:p>
        </w:tc>
        <w:tc>
          <w:tcPr>
            <w:tcW w:w="4759" w:type="dxa"/>
            <w:gridSpan w:val="2"/>
            <w:vAlign w:val="center"/>
          </w:tcPr>
          <w:p>
            <w:pPr>
              <w:overflowPunct w:val="0"/>
              <w:autoSpaceDE w:val="0"/>
              <w:autoSpaceDN w:val="0"/>
              <w:adjustRightInd w:val="0"/>
              <w:spacing w:line="300" w:lineRule="exact"/>
              <w:ind w:right="68"/>
              <w:jc w:val="center"/>
              <w:rPr>
                <w:rFonts w:eastAsia="仿宋_GB2312"/>
                <w:sz w:val="18"/>
                <w:szCs w:val="18"/>
              </w:rPr>
            </w:pPr>
            <w:r>
              <w:rPr>
                <w:rFonts w:eastAsia="仿宋_GB2312"/>
                <w:sz w:val="18"/>
                <w:szCs w:val="18"/>
              </w:rPr>
              <w:t>土地权属状况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2293" w:type="dxa"/>
            <w:vAlign w:val="center"/>
          </w:tcPr>
          <w:p>
            <w:pPr>
              <w:overflowPunct w:val="0"/>
              <w:autoSpaceDE w:val="0"/>
              <w:autoSpaceDN w:val="0"/>
              <w:adjustRightInd w:val="0"/>
              <w:spacing w:line="300" w:lineRule="exact"/>
              <w:ind w:right="68"/>
              <w:jc w:val="center"/>
              <w:rPr>
                <w:rFonts w:hint="default" w:eastAsia="仿宋_GB2312"/>
                <w:sz w:val="18"/>
                <w:szCs w:val="18"/>
                <w:lang w:val="en-US" w:eastAsia="zh-CN"/>
              </w:rPr>
            </w:pPr>
            <w:r>
              <w:rPr>
                <w:rFonts w:hint="eastAsia" w:eastAsia="仿宋_GB2312"/>
                <w:sz w:val="18"/>
                <w:szCs w:val="18"/>
                <w:lang w:val="en-US" w:eastAsia="zh-CN"/>
              </w:rPr>
              <w:t>不动产单元号</w:t>
            </w:r>
          </w:p>
        </w:tc>
        <w:tc>
          <w:tcPr>
            <w:tcW w:w="2296" w:type="dxa"/>
            <w:vAlign w:val="center"/>
          </w:tcPr>
          <w:p>
            <w:pPr>
              <w:overflowPunct w:val="0"/>
              <w:autoSpaceDE w:val="0"/>
              <w:autoSpaceDN w:val="0"/>
              <w:adjustRightInd w:val="0"/>
              <w:spacing w:line="300" w:lineRule="exact"/>
              <w:ind w:right="68"/>
              <w:jc w:val="center"/>
              <w:rPr>
                <w:rFonts w:hint="default" w:eastAsia="仿宋_GB2312"/>
                <w:sz w:val="18"/>
                <w:szCs w:val="18"/>
                <w:lang w:val="en-US" w:eastAsia="zh-CN"/>
              </w:rPr>
            </w:pPr>
            <w:r>
              <w:rPr>
                <w:rFonts w:hint="eastAsia" w:eastAsia="仿宋_GB2312"/>
                <w:sz w:val="18"/>
                <w:szCs w:val="18"/>
                <w:lang w:val="en-US" w:eastAsia="zh-CN"/>
              </w:rPr>
              <w:t>320902001013GB00036F00040107</w:t>
            </w:r>
          </w:p>
        </w:tc>
        <w:tc>
          <w:tcPr>
            <w:tcW w:w="2228" w:type="dxa"/>
            <w:vAlign w:val="center"/>
          </w:tcPr>
          <w:p>
            <w:pPr>
              <w:overflowPunct w:val="0"/>
              <w:autoSpaceDE w:val="0"/>
              <w:autoSpaceDN w:val="0"/>
              <w:adjustRightInd w:val="0"/>
              <w:spacing w:line="300" w:lineRule="exact"/>
              <w:ind w:right="68" w:rightChars="0"/>
              <w:jc w:val="center"/>
              <w:rPr>
                <w:rFonts w:eastAsia="仿宋_GB2312"/>
                <w:sz w:val="18"/>
                <w:szCs w:val="18"/>
              </w:rPr>
            </w:pPr>
            <w:r>
              <w:rPr>
                <w:rFonts w:hint="eastAsia" w:eastAsia="仿宋_GB2312"/>
                <w:sz w:val="18"/>
                <w:szCs w:val="18"/>
                <w:lang w:val="en-US" w:eastAsia="zh-CN"/>
              </w:rPr>
              <w:t>不动产单元号</w:t>
            </w:r>
          </w:p>
        </w:tc>
        <w:tc>
          <w:tcPr>
            <w:tcW w:w="2531" w:type="dxa"/>
            <w:vAlign w:val="center"/>
          </w:tcPr>
          <w:p>
            <w:pPr>
              <w:overflowPunct w:val="0"/>
              <w:autoSpaceDE w:val="0"/>
              <w:autoSpaceDN w:val="0"/>
              <w:adjustRightInd w:val="0"/>
              <w:spacing w:line="300" w:lineRule="exact"/>
              <w:ind w:right="68" w:rightChars="0"/>
              <w:jc w:val="center"/>
              <w:rPr>
                <w:rFonts w:hint="default" w:eastAsia="仿宋_GB2312"/>
                <w:sz w:val="18"/>
                <w:szCs w:val="18"/>
                <w:lang w:val="en-US" w:eastAsia="zh-CN"/>
              </w:rPr>
            </w:pPr>
            <w:r>
              <w:rPr>
                <w:rFonts w:hint="eastAsia" w:eastAsia="仿宋_GB2312"/>
                <w:sz w:val="18"/>
                <w:szCs w:val="18"/>
                <w:lang w:val="en-US" w:eastAsia="zh-CN"/>
              </w:rPr>
              <w:t>320902001013GB00036F00040107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93" w:type="dxa"/>
            <w:vAlign w:val="center"/>
          </w:tcPr>
          <w:p>
            <w:pPr>
              <w:overflowPunct w:val="0"/>
              <w:autoSpaceDE w:val="0"/>
              <w:autoSpaceDN w:val="0"/>
              <w:adjustRightInd w:val="0"/>
              <w:spacing w:line="300" w:lineRule="exact"/>
              <w:ind w:right="68"/>
              <w:jc w:val="center"/>
              <w:rPr>
                <w:rFonts w:eastAsia="仿宋_GB2312"/>
                <w:sz w:val="18"/>
                <w:szCs w:val="18"/>
              </w:rPr>
            </w:pPr>
            <w:r>
              <w:rPr>
                <w:rFonts w:eastAsia="仿宋_GB2312"/>
                <w:sz w:val="18"/>
                <w:szCs w:val="18"/>
              </w:rPr>
              <w:t>房屋所有权人</w:t>
            </w:r>
          </w:p>
        </w:tc>
        <w:tc>
          <w:tcPr>
            <w:tcW w:w="2296" w:type="dxa"/>
            <w:vAlign w:val="center"/>
          </w:tcPr>
          <w:p>
            <w:pPr>
              <w:overflowPunct w:val="0"/>
              <w:autoSpaceDE w:val="0"/>
              <w:autoSpaceDN w:val="0"/>
              <w:adjustRightInd w:val="0"/>
              <w:spacing w:line="300" w:lineRule="exact"/>
              <w:ind w:right="68"/>
              <w:jc w:val="center"/>
              <w:rPr>
                <w:rFonts w:hint="eastAsia" w:eastAsia="仿宋_GB2312"/>
                <w:sz w:val="18"/>
                <w:szCs w:val="18"/>
                <w:lang w:eastAsia="zh-CN"/>
              </w:rPr>
            </w:pPr>
            <w:r>
              <w:rPr>
                <w:rFonts w:hint="eastAsia" w:eastAsia="仿宋_GB2312"/>
                <w:sz w:val="18"/>
                <w:szCs w:val="18"/>
                <w:lang w:eastAsia="zh-CN"/>
              </w:rPr>
              <w:t>陈福祥 孙翠兰</w:t>
            </w:r>
          </w:p>
        </w:tc>
        <w:tc>
          <w:tcPr>
            <w:tcW w:w="2228" w:type="dxa"/>
            <w:vAlign w:val="center"/>
          </w:tcPr>
          <w:p>
            <w:pPr>
              <w:overflowPunct w:val="0"/>
              <w:autoSpaceDE w:val="0"/>
              <w:autoSpaceDN w:val="0"/>
              <w:adjustRightInd w:val="0"/>
              <w:spacing w:line="300" w:lineRule="exact"/>
              <w:ind w:right="68"/>
              <w:jc w:val="center"/>
              <w:rPr>
                <w:rFonts w:eastAsia="仿宋_GB2312"/>
                <w:sz w:val="18"/>
                <w:szCs w:val="18"/>
              </w:rPr>
            </w:pPr>
            <w:r>
              <w:rPr>
                <w:rFonts w:eastAsia="仿宋_GB2312"/>
                <w:sz w:val="18"/>
                <w:szCs w:val="18"/>
              </w:rPr>
              <w:t>土地使用权人</w:t>
            </w:r>
          </w:p>
        </w:tc>
        <w:tc>
          <w:tcPr>
            <w:tcW w:w="2531" w:type="dxa"/>
            <w:vAlign w:val="center"/>
          </w:tcPr>
          <w:p>
            <w:pPr>
              <w:overflowPunct w:val="0"/>
              <w:autoSpaceDE w:val="0"/>
              <w:autoSpaceDN w:val="0"/>
              <w:adjustRightInd w:val="0"/>
              <w:spacing w:line="300" w:lineRule="exact"/>
              <w:ind w:right="68"/>
              <w:jc w:val="center"/>
              <w:rPr>
                <w:rFonts w:hint="eastAsia" w:eastAsia="仿宋_GB2312"/>
                <w:sz w:val="18"/>
                <w:szCs w:val="18"/>
                <w:lang w:eastAsia="zh-CN"/>
              </w:rPr>
            </w:pPr>
            <w:r>
              <w:rPr>
                <w:rFonts w:hint="eastAsia" w:eastAsia="仿宋_GB2312"/>
                <w:sz w:val="18"/>
                <w:szCs w:val="18"/>
                <w:lang w:eastAsia="zh-CN"/>
              </w:rPr>
              <w:t>陈福祥 孙翠兰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93" w:type="dxa"/>
            <w:vAlign w:val="center"/>
          </w:tcPr>
          <w:p>
            <w:pPr>
              <w:overflowPunct w:val="0"/>
              <w:autoSpaceDE w:val="0"/>
              <w:autoSpaceDN w:val="0"/>
              <w:adjustRightInd w:val="0"/>
              <w:spacing w:line="300" w:lineRule="exact"/>
              <w:ind w:right="68"/>
              <w:jc w:val="center"/>
              <w:rPr>
                <w:rFonts w:eastAsia="仿宋_GB2312"/>
                <w:sz w:val="18"/>
                <w:szCs w:val="18"/>
              </w:rPr>
            </w:pPr>
            <w:r>
              <w:rPr>
                <w:rFonts w:eastAsia="仿宋_GB2312"/>
                <w:sz w:val="18"/>
                <w:szCs w:val="18"/>
              </w:rPr>
              <w:t>房屋坐落</w:t>
            </w:r>
          </w:p>
        </w:tc>
        <w:tc>
          <w:tcPr>
            <w:tcW w:w="2296" w:type="dxa"/>
            <w:vAlign w:val="center"/>
          </w:tcPr>
          <w:p>
            <w:pPr>
              <w:overflowPunct w:val="0"/>
              <w:autoSpaceDE w:val="0"/>
              <w:autoSpaceDN w:val="0"/>
              <w:adjustRightInd w:val="0"/>
              <w:spacing w:line="300" w:lineRule="exact"/>
              <w:ind w:right="68"/>
              <w:jc w:val="center"/>
              <w:rPr>
                <w:rFonts w:hint="eastAsia" w:eastAsia="仿宋_GB2312"/>
                <w:sz w:val="18"/>
                <w:szCs w:val="18"/>
                <w:lang w:eastAsia="zh-CN"/>
              </w:rPr>
            </w:pPr>
            <w:r>
              <w:rPr>
                <w:rFonts w:hint="eastAsia" w:eastAsia="仿宋_GB2312"/>
                <w:sz w:val="18"/>
                <w:szCs w:val="18"/>
                <w:lang w:eastAsia="zh-CN"/>
              </w:rPr>
              <w:t>盐城市亭湖区盛世家苑4幢107室</w:t>
            </w:r>
          </w:p>
        </w:tc>
        <w:tc>
          <w:tcPr>
            <w:tcW w:w="2228" w:type="dxa"/>
            <w:vAlign w:val="center"/>
          </w:tcPr>
          <w:p>
            <w:pPr>
              <w:overflowPunct w:val="0"/>
              <w:autoSpaceDE w:val="0"/>
              <w:autoSpaceDN w:val="0"/>
              <w:adjustRightInd w:val="0"/>
              <w:spacing w:line="300" w:lineRule="exact"/>
              <w:ind w:right="68"/>
              <w:jc w:val="center"/>
              <w:rPr>
                <w:rFonts w:eastAsia="仿宋_GB2312"/>
                <w:sz w:val="18"/>
                <w:szCs w:val="18"/>
              </w:rPr>
            </w:pPr>
            <w:r>
              <w:rPr>
                <w:rFonts w:eastAsia="仿宋_GB2312"/>
                <w:sz w:val="18"/>
                <w:szCs w:val="18"/>
              </w:rPr>
              <w:t>土地坐落</w:t>
            </w:r>
          </w:p>
        </w:tc>
        <w:tc>
          <w:tcPr>
            <w:tcW w:w="2531" w:type="dxa"/>
            <w:vAlign w:val="center"/>
          </w:tcPr>
          <w:p>
            <w:pPr>
              <w:overflowPunct w:val="0"/>
              <w:autoSpaceDE w:val="0"/>
              <w:autoSpaceDN w:val="0"/>
              <w:adjustRightInd w:val="0"/>
              <w:spacing w:line="300" w:lineRule="exact"/>
              <w:ind w:right="68"/>
              <w:jc w:val="center"/>
              <w:rPr>
                <w:rFonts w:hint="default" w:eastAsia="仿宋_GB2312"/>
                <w:sz w:val="18"/>
                <w:szCs w:val="18"/>
                <w:lang w:val="en-US" w:eastAsia="zh-CN"/>
              </w:rPr>
            </w:pPr>
            <w:r>
              <w:rPr>
                <w:rFonts w:hint="eastAsia" w:eastAsia="仿宋_GB2312"/>
                <w:sz w:val="18"/>
                <w:szCs w:val="18"/>
                <w:lang w:eastAsia="zh-CN"/>
              </w:rPr>
              <w:t>盐城市亭湖区盛世家苑4幢107室</w:t>
            </w:r>
            <w:r>
              <w:rPr>
                <w:rFonts w:hint="eastAsia" w:eastAsia="仿宋_GB2312"/>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293" w:type="dxa"/>
            <w:vAlign w:val="center"/>
          </w:tcPr>
          <w:p>
            <w:pPr>
              <w:overflowPunct w:val="0"/>
              <w:autoSpaceDE w:val="0"/>
              <w:autoSpaceDN w:val="0"/>
              <w:adjustRightInd w:val="0"/>
              <w:spacing w:line="300" w:lineRule="exact"/>
              <w:ind w:right="68"/>
              <w:jc w:val="center"/>
              <w:rPr>
                <w:rFonts w:eastAsia="仿宋_GB2312"/>
                <w:sz w:val="18"/>
                <w:szCs w:val="18"/>
              </w:rPr>
            </w:pPr>
            <w:r>
              <w:rPr>
                <w:rFonts w:eastAsia="仿宋_GB2312"/>
                <w:sz w:val="18"/>
                <w:szCs w:val="18"/>
              </w:rPr>
              <w:t>建筑面积（㎡）</w:t>
            </w:r>
          </w:p>
        </w:tc>
        <w:tc>
          <w:tcPr>
            <w:tcW w:w="2296" w:type="dxa"/>
            <w:vAlign w:val="center"/>
          </w:tcPr>
          <w:p>
            <w:pPr>
              <w:overflowPunct w:val="0"/>
              <w:autoSpaceDE w:val="0"/>
              <w:autoSpaceDN w:val="0"/>
              <w:adjustRightInd w:val="0"/>
              <w:spacing w:line="300" w:lineRule="exact"/>
              <w:ind w:right="68"/>
              <w:jc w:val="center"/>
              <w:rPr>
                <w:rFonts w:hint="eastAsia" w:eastAsia="仿宋_GB2312"/>
                <w:sz w:val="18"/>
                <w:szCs w:val="18"/>
                <w:lang w:eastAsia="zh-CN"/>
              </w:rPr>
            </w:pPr>
            <w:r>
              <w:rPr>
                <w:rFonts w:hint="eastAsia" w:eastAsia="仿宋_GB2312"/>
                <w:sz w:val="18"/>
                <w:szCs w:val="18"/>
                <w:lang w:eastAsia="zh-CN"/>
              </w:rPr>
              <w:t>139.78</w:t>
            </w:r>
          </w:p>
        </w:tc>
        <w:tc>
          <w:tcPr>
            <w:tcW w:w="2228" w:type="dxa"/>
            <w:vAlign w:val="center"/>
          </w:tcPr>
          <w:p>
            <w:pPr>
              <w:overflowPunct w:val="0"/>
              <w:autoSpaceDE w:val="0"/>
              <w:autoSpaceDN w:val="0"/>
              <w:adjustRightInd w:val="0"/>
              <w:spacing w:line="300" w:lineRule="exact"/>
              <w:ind w:right="68"/>
              <w:jc w:val="center"/>
              <w:rPr>
                <w:rFonts w:eastAsia="仿宋_GB2312"/>
                <w:sz w:val="18"/>
                <w:szCs w:val="18"/>
              </w:rPr>
            </w:pPr>
            <w:r>
              <w:rPr>
                <w:rFonts w:hint="eastAsia" w:eastAsia="仿宋_GB2312"/>
                <w:sz w:val="18"/>
                <w:szCs w:val="18"/>
                <w:lang w:val="en-US" w:eastAsia="zh-CN"/>
              </w:rPr>
              <w:t>宗地</w:t>
            </w:r>
            <w:r>
              <w:rPr>
                <w:rFonts w:eastAsia="仿宋_GB2312"/>
                <w:sz w:val="18"/>
                <w:szCs w:val="18"/>
              </w:rPr>
              <w:t>面积（㎡）</w:t>
            </w:r>
          </w:p>
        </w:tc>
        <w:tc>
          <w:tcPr>
            <w:tcW w:w="2531" w:type="dxa"/>
            <w:vAlign w:val="center"/>
          </w:tcPr>
          <w:p>
            <w:pPr>
              <w:overflowPunct w:val="0"/>
              <w:autoSpaceDE w:val="0"/>
              <w:autoSpaceDN w:val="0"/>
              <w:adjustRightInd w:val="0"/>
              <w:spacing w:line="300" w:lineRule="exact"/>
              <w:ind w:right="68"/>
              <w:jc w:val="center"/>
              <w:rPr>
                <w:rFonts w:hint="default" w:eastAsia="仿宋_GB2312"/>
                <w:sz w:val="18"/>
                <w:szCs w:val="18"/>
                <w:lang w:val="en-US" w:eastAsia="zh-CN"/>
              </w:rPr>
            </w:pPr>
            <w:r>
              <w:rPr>
                <w:rFonts w:hint="eastAsia" w:eastAsia="仿宋_GB2312"/>
                <w:sz w:val="18"/>
                <w:szCs w:val="18"/>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293" w:type="dxa"/>
            <w:vAlign w:val="center"/>
          </w:tcPr>
          <w:p>
            <w:pPr>
              <w:overflowPunct w:val="0"/>
              <w:autoSpaceDE w:val="0"/>
              <w:autoSpaceDN w:val="0"/>
              <w:adjustRightInd w:val="0"/>
              <w:spacing w:line="300" w:lineRule="exact"/>
              <w:ind w:right="68"/>
              <w:jc w:val="center"/>
              <w:rPr>
                <w:rFonts w:eastAsia="仿宋_GB2312"/>
                <w:sz w:val="18"/>
                <w:szCs w:val="18"/>
              </w:rPr>
            </w:pPr>
            <w:r>
              <w:rPr>
                <w:rFonts w:hint="eastAsia" w:eastAsia="仿宋_GB2312"/>
                <w:sz w:val="18"/>
                <w:szCs w:val="18"/>
                <w:lang w:val="en-US" w:eastAsia="zh-CN"/>
              </w:rPr>
              <w:t>不动产</w:t>
            </w:r>
            <w:r>
              <w:rPr>
                <w:rFonts w:eastAsia="仿宋_GB2312"/>
                <w:sz w:val="18"/>
                <w:szCs w:val="18"/>
              </w:rPr>
              <w:t>用途</w:t>
            </w:r>
          </w:p>
        </w:tc>
        <w:tc>
          <w:tcPr>
            <w:tcW w:w="2296" w:type="dxa"/>
            <w:vAlign w:val="center"/>
          </w:tcPr>
          <w:p>
            <w:pPr>
              <w:overflowPunct w:val="0"/>
              <w:autoSpaceDE w:val="0"/>
              <w:autoSpaceDN w:val="0"/>
              <w:adjustRightInd w:val="0"/>
              <w:spacing w:line="300" w:lineRule="exact"/>
              <w:ind w:right="68"/>
              <w:jc w:val="center"/>
              <w:rPr>
                <w:rFonts w:eastAsia="仿宋_GB2312"/>
                <w:sz w:val="18"/>
                <w:szCs w:val="18"/>
              </w:rPr>
            </w:pPr>
            <w:r>
              <w:rPr>
                <w:rFonts w:hint="eastAsia" w:eastAsia="仿宋_GB2312"/>
                <w:sz w:val="18"/>
                <w:szCs w:val="18"/>
                <w:lang w:eastAsia="zh-CN"/>
              </w:rPr>
              <w:t>住宅</w:t>
            </w:r>
            <w:r>
              <w:rPr>
                <w:rFonts w:eastAsia="仿宋_GB2312"/>
                <w:sz w:val="18"/>
                <w:szCs w:val="18"/>
              </w:rPr>
              <w:t xml:space="preserve"> </w:t>
            </w:r>
          </w:p>
        </w:tc>
        <w:tc>
          <w:tcPr>
            <w:tcW w:w="2228" w:type="dxa"/>
            <w:vAlign w:val="center"/>
          </w:tcPr>
          <w:p>
            <w:pPr>
              <w:overflowPunct w:val="0"/>
              <w:autoSpaceDE w:val="0"/>
              <w:autoSpaceDN w:val="0"/>
              <w:adjustRightInd w:val="0"/>
              <w:spacing w:line="300" w:lineRule="exact"/>
              <w:ind w:right="68" w:rightChars="0"/>
              <w:jc w:val="center"/>
              <w:rPr>
                <w:rFonts w:eastAsia="仿宋_GB2312"/>
                <w:sz w:val="18"/>
                <w:szCs w:val="18"/>
              </w:rPr>
            </w:pPr>
            <w:r>
              <w:rPr>
                <w:rFonts w:hint="eastAsia" w:eastAsia="仿宋_GB2312"/>
                <w:sz w:val="18"/>
                <w:szCs w:val="18"/>
                <w:lang w:val="en-US" w:eastAsia="zh-CN"/>
              </w:rPr>
              <w:t>不动产</w:t>
            </w:r>
            <w:r>
              <w:rPr>
                <w:rFonts w:eastAsia="仿宋_GB2312"/>
                <w:sz w:val="18"/>
                <w:szCs w:val="18"/>
              </w:rPr>
              <w:t>用途</w:t>
            </w:r>
          </w:p>
        </w:tc>
        <w:tc>
          <w:tcPr>
            <w:tcW w:w="2531" w:type="dxa"/>
            <w:vAlign w:val="center"/>
          </w:tcPr>
          <w:p>
            <w:pPr>
              <w:overflowPunct w:val="0"/>
              <w:autoSpaceDE w:val="0"/>
              <w:autoSpaceDN w:val="0"/>
              <w:adjustRightInd w:val="0"/>
              <w:spacing w:line="300" w:lineRule="exact"/>
              <w:ind w:right="68" w:rightChars="0"/>
              <w:jc w:val="center"/>
              <w:rPr>
                <w:rFonts w:hint="eastAsia" w:eastAsia="仿宋_GB2312"/>
                <w:sz w:val="18"/>
                <w:szCs w:val="18"/>
                <w:lang w:eastAsia="zh-CN"/>
              </w:rPr>
            </w:pPr>
            <w:r>
              <w:rPr>
                <w:rFonts w:hint="eastAsia" w:eastAsia="仿宋_GB2312"/>
                <w:sz w:val="18"/>
                <w:szCs w:val="18"/>
                <w:lang w:val="en-US" w:eastAsia="zh-CN"/>
              </w:rPr>
              <w:t>城镇</w:t>
            </w:r>
            <w:r>
              <w:rPr>
                <w:rFonts w:hint="eastAsia" w:eastAsia="仿宋_GB2312"/>
                <w:sz w:val="18"/>
                <w:szCs w:val="18"/>
                <w:lang w:eastAsia="zh-CN"/>
              </w:rPr>
              <w:t>住宅</w:t>
            </w:r>
            <w:r>
              <w:rPr>
                <w:rFonts w:hint="eastAsia" w:eastAsia="仿宋_GB2312"/>
                <w:sz w:val="18"/>
                <w:szCs w:val="18"/>
                <w:lang w:val="en-US" w:eastAsia="zh-CN"/>
              </w:rPr>
              <w:t>用地</w:t>
            </w:r>
            <w:r>
              <w:rPr>
                <w:rFonts w:eastAsia="仿宋_GB2312"/>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293" w:type="dxa"/>
            <w:vAlign w:val="center"/>
          </w:tcPr>
          <w:p>
            <w:pPr>
              <w:overflowPunct w:val="0"/>
              <w:autoSpaceDE w:val="0"/>
              <w:autoSpaceDN w:val="0"/>
              <w:adjustRightInd w:val="0"/>
              <w:spacing w:line="300" w:lineRule="exact"/>
              <w:ind w:right="68"/>
              <w:jc w:val="center"/>
              <w:rPr>
                <w:rFonts w:hint="default" w:eastAsia="仿宋_GB2312"/>
                <w:sz w:val="18"/>
                <w:szCs w:val="18"/>
                <w:lang w:val="en-US" w:eastAsia="zh-CN"/>
              </w:rPr>
            </w:pPr>
            <w:r>
              <w:rPr>
                <w:rFonts w:hint="eastAsia" w:eastAsia="仿宋_GB2312"/>
                <w:sz w:val="18"/>
                <w:szCs w:val="18"/>
                <w:lang w:val="en-US" w:eastAsia="zh-CN"/>
              </w:rPr>
              <w:t>权利类型</w:t>
            </w:r>
          </w:p>
        </w:tc>
        <w:tc>
          <w:tcPr>
            <w:tcW w:w="2296" w:type="dxa"/>
            <w:vAlign w:val="center"/>
          </w:tcPr>
          <w:p>
            <w:pPr>
              <w:overflowPunct w:val="0"/>
              <w:autoSpaceDE w:val="0"/>
              <w:autoSpaceDN w:val="0"/>
              <w:adjustRightInd w:val="0"/>
              <w:spacing w:line="300" w:lineRule="exact"/>
              <w:ind w:right="68"/>
              <w:jc w:val="center"/>
              <w:rPr>
                <w:rFonts w:hint="eastAsia" w:eastAsia="仿宋_GB2312"/>
                <w:sz w:val="18"/>
                <w:szCs w:val="18"/>
                <w:lang w:eastAsia="zh-CN"/>
              </w:rPr>
            </w:pPr>
            <w:r>
              <w:rPr>
                <w:rFonts w:hint="eastAsia" w:eastAsia="仿宋_GB2312"/>
                <w:sz w:val="18"/>
                <w:szCs w:val="18"/>
                <w:lang w:val="en-US" w:eastAsia="zh-CN"/>
              </w:rPr>
              <w:t>房屋所有权</w:t>
            </w:r>
          </w:p>
        </w:tc>
        <w:tc>
          <w:tcPr>
            <w:tcW w:w="2228" w:type="dxa"/>
            <w:vAlign w:val="center"/>
          </w:tcPr>
          <w:p>
            <w:pPr>
              <w:overflowPunct w:val="0"/>
              <w:autoSpaceDE w:val="0"/>
              <w:autoSpaceDN w:val="0"/>
              <w:adjustRightInd w:val="0"/>
              <w:spacing w:line="300" w:lineRule="exact"/>
              <w:ind w:right="68"/>
              <w:jc w:val="center"/>
              <w:rPr>
                <w:rFonts w:hint="default" w:eastAsia="仿宋_GB2312"/>
                <w:sz w:val="18"/>
                <w:szCs w:val="18"/>
                <w:lang w:val="en-US" w:eastAsia="zh-CN"/>
              </w:rPr>
            </w:pPr>
            <w:r>
              <w:rPr>
                <w:rFonts w:hint="eastAsia" w:eastAsia="仿宋_GB2312"/>
                <w:sz w:val="18"/>
                <w:szCs w:val="18"/>
                <w:lang w:val="en-US" w:eastAsia="zh-CN"/>
              </w:rPr>
              <w:t>权利性质</w:t>
            </w:r>
          </w:p>
        </w:tc>
        <w:tc>
          <w:tcPr>
            <w:tcW w:w="2531" w:type="dxa"/>
            <w:vAlign w:val="center"/>
          </w:tcPr>
          <w:p>
            <w:pPr>
              <w:overflowPunct w:val="0"/>
              <w:autoSpaceDE w:val="0"/>
              <w:autoSpaceDN w:val="0"/>
              <w:adjustRightInd w:val="0"/>
              <w:spacing w:line="300" w:lineRule="exact"/>
              <w:ind w:right="68"/>
              <w:jc w:val="center"/>
              <w:rPr>
                <w:rFonts w:eastAsia="仿宋_GB2312"/>
                <w:sz w:val="18"/>
                <w:szCs w:val="18"/>
              </w:rPr>
            </w:pPr>
            <w:r>
              <w:rPr>
                <w:rFonts w:eastAsia="仿宋_GB2312"/>
                <w:sz w:val="18"/>
                <w:szCs w:val="18"/>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93" w:type="dxa"/>
            <w:vAlign w:val="center"/>
          </w:tcPr>
          <w:p>
            <w:pPr>
              <w:overflowPunct w:val="0"/>
              <w:autoSpaceDE w:val="0"/>
              <w:autoSpaceDN w:val="0"/>
              <w:adjustRightInd w:val="0"/>
              <w:spacing w:line="300" w:lineRule="exact"/>
              <w:ind w:right="68"/>
              <w:jc w:val="center"/>
              <w:rPr>
                <w:rFonts w:eastAsia="仿宋_GB2312"/>
                <w:sz w:val="18"/>
                <w:szCs w:val="18"/>
              </w:rPr>
            </w:pPr>
            <w:r>
              <w:rPr>
                <w:rFonts w:eastAsia="仿宋_GB2312"/>
                <w:sz w:val="18"/>
                <w:szCs w:val="18"/>
              </w:rPr>
              <w:t>登记日期</w:t>
            </w:r>
          </w:p>
        </w:tc>
        <w:tc>
          <w:tcPr>
            <w:tcW w:w="2296" w:type="dxa"/>
            <w:vAlign w:val="center"/>
          </w:tcPr>
          <w:p>
            <w:pPr>
              <w:overflowPunct w:val="0"/>
              <w:autoSpaceDE w:val="0"/>
              <w:autoSpaceDN w:val="0"/>
              <w:adjustRightInd w:val="0"/>
              <w:spacing w:line="300" w:lineRule="exact"/>
              <w:ind w:right="68"/>
              <w:jc w:val="center"/>
              <w:rPr>
                <w:rFonts w:hint="default" w:eastAsia="仿宋_GB2312"/>
                <w:sz w:val="18"/>
                <w:szCs w:val="18"/>
                <w:lang w:val="en-US" w:eastAsia="zh-CN"/>
              </w:rPr>
            </w:pPr>
            <w:r>
              <w:rPr>
                <w:rFonts w:hint="eastAsia" w:eastAsia="仿宋_GB2312"/>
                <w:sz w:val="18"/>
                <w:szCs w:val="18"/>
                <w:lang w:val="en-US" w:eastAsia="zh-CN"/>
              </w:rPr>
              <w:t>2013-03-25</w:t>
            </w:r>
          </w:p>
        </w:tc>
        <w:tc>
          <w:tcPr>
            <w:tcW w:w="2228" w:type="dxa"/>
            <w:vAlign w:val="center"/>
          </w:tcPr>
          <w:p>
            <w:pPr>
              <w:overflowPunct w:val="0"/>
              <w:autoSpaceDE w:val="0"/>
              <w:autoSpaceDN w:val="0"/>
              <w:adjustRightInd w:val="0"/>
              <w:spacing w:line="300" w:lineRule="exact"/>
              <w:ind w:right="68"/>
              <w:jc w:val="center"/>
              <w:rPr>
                <w:rFonts w:eastAsia="仿宋_GB2312"/>
                <w:sz w:val="18"/>
                <w:szCs w:val="18"/>
              </w:rPr>
            </w:pPr>
            <w:r>
              <w:rPr>
                <w:rFonts w:eastAsia="仿宋_GB2312"/>
                <w:sz w:val="18"/>
                <w:szCs w:val="18"/>
              </w:rPr>
              <w:t>终止日期</w:t>
            </w:r>
          </w:p>
        </w:tc>
        <w:tc>
          <w:tcPr>
            <w:tcW w:w="2531" w:type="dxa"/>
            <w:vAlign w:val="center"/>
          </w:tcPr>
          <w:p>
            <w:pPr>
              <w:overflowPunct w:val="0"/>
              <w:autoSpaceDE w:val="0"/>
              <w:autoSpaceDN w:val="0"/>
              <w:adjustRightInd w:val="0"/>
              <w:spacing w:line="300" w:lineRule="exact"/>
              <w:ind w:right="68"/>
              <w:jc w:val="center"/>
              <w:rPr>
                <w:rFonts w:hint="default" w:eastAsia="仿宋_GB2312"/>
                <w:sz w:val="18"/>
                <w:szCs w:val="18"/>
                <w:lang w:val="en-US" w:eastAsia="zh-CN"/>
              </w:rPr>
            </w:pPr>
            <w:r>
              <w:rPr>
                <w:rFonts w:hint="eastAsia" w:ascii="宋体" w:hAnsi="宋体" w:eastAsia="宋体" w:cs="宋体"/>
                <w:sz w:val="18"/>
                <w:szCs w:val="18"/>
                <w:lang w:val="en-US" w:eastAsia="zh-CN"/>
              </w:rPr>
              <w:t>/</w:t>
            </w:r>
          </w:p>
        </w:tc>
      </w:tr>
    </w:tbl>
    <w:p>
      <w:pPr>
        <w:overflowPunct w:val="0"/>
        <w:autoSpaceDE w:val="0"/>
        <w:autoSpaceDN w:val="0"/>
        <w:adjustRightInd w:val="0"/>
        <w:spacing w:line="480" w:lineRule="exact"/>
        <w:ind w:firstLine="560" w:firstLineChars="200"/>
        <w:rPr>
          <w:rFonts w:eastAsia="仿宋_GB2312"/>
          <w:sz w:val="28"/>
          <w:szCs w:val="20"/>
        </w:rPr>
      </w:pPr>
      <w:r>
        <w:rPr>
          <w:rFonts w:eastAsia="仿宋_GB2312"/>
          <w:sz w:val="28"/>
          <w:szCs w:val="20"/>
        </w:rPr>
        <w:t>3.2他项权利状况：</w:t>
      </w:r>
    </w:p>
    <w:p>
      <w:pPr>
        <w:overflowPunct w:val="0"/>
        <w:autoSpaceDE w:val="0"/>
        <w:autoSpaceDN w:val="0"/>
        <w:adjustRightInd w:val="0"/>
        <w:spacing w:line="480" w:lineRule="exact"/>
        <w:ind w:right="68" w:firstLine="560" w:firstLineChars="200"/>
        <w:rPr>
          <w:rFonts w:eastAsia="仿宋_GB2312"/>
          <w:sz w:val="28"/>
          <w:szCs w:val="20"/>
        </w:rPr>
      </w:pPr>
      <w:r>
        <w:rPr>
          <w:rFonts w:eastAsia="仿宋_GB2312"/>
          <w:sz w:val="28"/>
          <w:szCs w:val="20"/>
        </w:rPr>
        <w:t>根据估价委托人提供的</w:t>
      </w:r>
      <w:r>
        <w:rPr>
          <w:rFonts w:hint="eastAsia" w:eastAsia="仿宋_GB2312"/>
          <w:sz w:val="28"/>
          <w:szCs w:val="20"/>
          <w:lang w:eastAsia="zh-CN"/>
        </w:rPr>
        <w:t>《不动产登记簿查询记录》</w:t>
      </w:r>
      <w:r>
        <w:rPr>
          <w:rFonts w:eastAsia="仿宋_GB2312"/>
          <w:sz w:val="28"/>
          <w:szCs w:val="20"/>
        </w:rPr>
        <w:t>：在价值时点</w:t>
      </w:r>
      <w:r>
        <w:rPr>
          <w:rFonts w:hint="eastAsia" w:eastAsia="仿宋_GB2312"/>
          <w:sz w:val="28"/>
          <w:szCs w:val="20"/>
          <w:lang w:eastAsia="zh-CN"/>
        </w:rPr>
        <w:t>2022年1月21日</w:t>
      </w:r>
      <w:r>
        <w:rPr>
          <w:rFonts w:eastAsia="仿宋_GB2312"/>
          <w:sz w:val="28"/>
          <w:szCs w:val="20"/>
        </w:rPr>
        <w:t>，估价对象房地产已设定抵押他项权利；此外，估价对象存在查封等他项权利（具体见附件）。</w:t>
      </w:r>
    </w:p>
    <w:p>
      <w:pPr>
        <w:spacing w:line="480" w:lineRule="exact"/>
        <w:ind w:firstLine="560" w:firstLineChars="200"/>
        <w:rPr>
          <w:rFonts w:eastAsia="仿宋_GB2312"/>
          <w:sz w:val="28"/>
          <w:szCs w:val="20"/>
        </w:rPr>
      </w:pPr>
      <w:r>
        <w:rPr>
          <w:rFonts w:eastAsia="仿宋_GB2312"/>
          <w:sz w:val="28"/>
          <w:szCs w:val="20"/>
        </w:rPr>
        <w:t>4.估价对象区位状况：</w:t>
      </w:r>
    </w:p>
    <w:p>
      <w:pPr>
        <w:spacing w:line="480" w:lineRule="exact"/>
        <w:ind w:firstLine="560" w:firstLineChars="200"/>
        <w:rPr>
          <w:rFonts w:eastAsia="仿宋_GB2312"/>
          <w:sz w:val="28"/>
          <w:szCs w:val="20"/>
        </w:rPr>
      </w:pPr>
      <w:r>
        <w:rPr>
          <w:rFonts w:eastAsia="仿宋_GB2312"/>
          <w:sz w:val="28"/>
          <w:szCs w:val="20"/>
        </w:rPr>
        <w:t>4.1位置状况：</w:t>
      </w:r>
    </w:p>
    <w:p>
      <w:pPr>
        <w:spacing w:line="480" w:lineRule="exact"/>
        <w:ind w:firstLine="560" w:firstLineChars="200"/>
        <w:rPr>
          <w:rFonts w:eastAsia="仿宋_GB2312"/>
          <w:sz w:val="28"/>
          <w:szCs w:val="20"/>
        </w:rPr>
      </w:pPr>
      <w:r>
        <w:rPr>
          <w:rFonts w:eastAsia="仿宋_GB2312"/>
          <w:sz w:val="28"/>
          <w:szCs w:val="20"/>
        </w:rPr>
        <w:t>本次估价对象为</w:t>
      </w:r>
      <w:r>
        <w:rPr>
          <w:rFonts w:hint="eastAsia" w:eastAsia="仿宋_GB2312"/>
          <w:sz w:val="28"/>
          <w:szCs w:val="20"/>
          <w:lang w:eastAsia="zh-CN"/>
        </w:rPr>
        <w:t>盐城市亭湖区盛世家苑4幢107室的</w:t>
      </w:r>
      <w:r>
        <w:rPr>
          <w:rFonts w:eastAsia="仿宋_GB2312"/>
          <w:sz w:val="28"/>
          <w:szCs w:val="20"/>
        </w:rPr>
        <w:t>房地产，临</w:t>
      </w:r>
      <w:r>
        <w:rPr>
          <w:rFonts w:hint="eastAsia" w:eastAsia="仿宋_GB2312"/>
          <w:sz w:val="28"/>
          <w:szCs w:val="20"/>
          <w:lang w:val="en-US" w:eastAsia="zh-CN"/>
        </w:rPr>
        <w:t>开放大道</w:t>
      </w:r>
      <w:r>
        <w:rPr>
          <w:rFonts w:eastAsia="仿宋_GB2312"/>
          <w:sz w:val="28"/>
          <w:szCs w:val="20"/>
        </w:rPr>
        <w:t>，此处有</w:t>
      </w:r>
      <w:r>
        <w:rPr>
          <w:rFonts w:hint="eastAsia" w:eastAsia="仿宋_GB2312"/>
          <w:sz w:val="28"/>
          <w:szCs w:val="20"/>
          <w:lang w:eastAsia="zh-CN"/>
        </w:rPr>
        <w:t>住宅</w:t>
      </w:r>
      <w:r>
        <w:rPr>
          <w:rFonts w:eastAsia="仿宋_GB2312"/>
          <w:sz w:val="28"/>
          <w:szCs w:val="20"/>
        </w:rPr>
        <w:t>网点，周边多为住宅，</w:t>
      </w:r>
      <w:r>
        <w:rPr>
          <w:rFonts w:hint="eastAsia" w:eastAsia="仿宋_GB2312"/>
          <w:sz w:val="28"/>
          <w:szCs w:val="20"/>
          <w:lang w:eastAsia="zh-CN"/>
        </w:rPr>
        <w:t>住宅</w:t>
      </w:r>
      <w:r>
        <w:rPr>
          <w:rFonts w:eastAsia="仿宋_GB2312"/>
          <w:sz w:val="28"/>
          <w:szCs w:val="20"/>
        </w:rPr>
        <w:t>聚集状况</w:t>
      </w:r>
      <w:r>
        <w:rPr>
          <w:rFonts w:hint="eastAsia" w:eastAsia="仿宋_GB2312"/>
          <w:sz w:val="28"/>
          <w:szCs w:val="20"/>
          <w:lang w:val="en-US" w:eastAsia="zh-CN"/>
        </w:rPr>
        <w:t>较好</w:t>
      </w:r>
      <w:r>
        <w:rPr>
          <w:rFonts w:eastAsia="仿宋_GB2312"/>
          <w:sz w:val="28"/>
          <w:szCs w:val="20"/>
        </w:rPr>
        <w:t>。</w:t>
      </w:r>
    </w:p>
    <w:p>
      <w:pPr>
        <w:spacing w:line="480" w:lineRule="exact"/>
        <w:ind w:firstLine="560" w:firstLineChars="200"/>
        <w:rPr>
          <w:rFonts w:eastAsia="仿宋_GB2312"/>
          <w:sz w:val="28"/>
          <w:szCs w:val="20"/>
        </w:rPr>
      </w:pPr>
      <w:r>
        <w:rPr>
          <w:rFonts w:eastAsia="仿宋_GB2312"/>
          <w:sz w:val="28"/>
          <w:szCs w:val="20"/>
        </w:rPr>
        <w:t>4.2交通状况：</w:t>
      </w:r>
    </w:p>
    <w:p>
      <w:pPr>
        <w:spacing w:line="480" w:lineRule="exact"/>
        <w:ind w:firstLine="560" w:firstLineChars="200"/>
        <w:rPr>
          <w:rFonts w:eastAsia="仿宋_GB2312"/>
          <w:sz w:val="28"/>
          <w:szCs w:val="20"/>
        </w:rPr>
      </w:pPr>
      <w:r>
        <w:rPr>
          <w:rFonts w:eastAsia="仿宋_GB2312"/>
          <w:sz w:val="28"/>
          <w:szCs w:val="20"/>
        </w:rPr>
        <w:t>4.2.1道路通达状况</w:t>
      </w:r>
    </w:p>
    <w:p>
      <w:pPr>
        <w:spacing w:line="480" w:lineRule="exact"/>
        <w:ind w:firstLine="560" w:firstLineChars="200"/>
        <w:rPr>
          <w:rFonts w:eastAsia="仿宋_GB2312"/>
          <w:sz w:val="28"/>
          <w:szCs w:val="20"/>
        </w:rPr>
      </w:pPr>
      <w:r>
        <w:rPr>
          <w:rFonts w:eastAsia="仿宋_GB2312"/>
          <w:sz w:val="28"/>
          <w:szCs w:val="20"/>
        </w:rPr>
        <w:t>估价对象区域内路网密度较大，路面质量较好，道路等级较优，道路通达状况优。</w:t>
      </w:r>
    </w:p>
    <w:p>
      <w:pPr>
        <w:spacing w:line="480" w:lineRule="exact"/>
        <w:ind w:firstLine="560" w:firstLineChars="200"/>
        <w:rPr>
          <w:rFonts w:eastAsia="仿宋_GB2312"/>
          <w:sz w:val="28"/>
          <w:szCs w:val="20"/>
        </w:rPr>
      </w:pPr>
      <w:r>
        <w:rPr>
          <w:rFonts w:eastAsia="仿宋_GB2312"/>
          <w:sz w:val="28"/>
          <w:szCs w:val="20"/>
        </w:rPr>
        <w:t>4.2.2可利用交通工具</w:t>
      </w:r>
    </w:p>
    <w:p>
      <w:pPr>
        <w:overflowPunct w:val="0"/>
        <w:autoSpaceDE w:val="0"/>
        <w:autoSpaceDN w:val="0"/>
        <w:adjustRightInd w:val="0"/>
        <w:spacing w:line="480" w:lineRule="exact"/>
        <w:ind w:right="68" w:firstLine="560" w:firstLineChars="200"/>
        <w:rPr>
          <w:rFonts w:eastAsia="仿宋_GB2312"/>
          <w:sz w:val="28"/>
          <w:szCs w:val="20"/>
        </w:rPr>
      </w:pPr>
      <w:r>
        <w:rPr>
          <w:rFonts w:eastAsia="仿宋_GB2312"/>
          <w:sz w:val="28"/>
          <w:szCs w:val="20"/>
        </w:rPr>
        <w:t>估价对象所在区域有</w:t>
      </w:r>
      <w:r>
        <w:rPr>
          <w:rFonts w:hint="eastAsia" w:eastAsia="仿宋_GB2312"/>
          <w:sz w:val="28"/>
          <w:szCs w:val="20"/>
          <w:lang w:val="en-US" w:eastAsia="zh-CN"/>
        </w:rPr>
        <w:t>B2</w:t>
      </w:r>
      <w:r>
        <w:rPr>
          <w:rFonts w:eastAsia="仿宋_GB2312"/>
          <w:sz w:val="28"/>
          <w:szCs w:val="20"/>
        </w:rPr>
        <w:t>路</w:t>
      </w:r>
      <w:r>
        <w:rPr>
          <w:rFonts w:hint="eastAsia" w:eastAsia="仿宋_GB2312"/>
          <w:sz w:val="28"/>
          <w:szCs w:val="20"/>
        </w:rPr>
        <w:t>、</w:t>
      </w:r>
      <w:r>
        <w:rPr>
          <w:rFonts w:hint="eastAsia" w:eastAsia="仿宋_GB2312"/>
          <w:sz w:val="28"/>
          <w:szCs w:val="20"/>
          <w:lang w:val="en-US" w:eastAsia="zh-CN"/>
        </w:rPr>
        <w:t>B支2</w:t>
      </w:r>
      <w:r>
        <w:rPr>
          <w:rFonts w:hint="eastAsia" w:eastAsia="仿宋_GB2312"/>
          <w:sz w:val="28"/>
          <w:szCs w:val="20"/>
        </w:rPr>
        <w:t>路</w:t>
      </w:r>
      <w:r>
        <w:rPr>
          <w:rFonts w:eastAsia="仿宋_GB2312"/>
          <w:sz w:val="28"/>
          <w:szCs w:val="20"/>
        </w:rPr>
        <w:t>等公交线路经过。</w:t>
      </w:r>
    </w:p>
    <w:p>
      <w:pPr>
        <w:spacing w:line="480" w:lineRule="exact"/>
        <w:ind w:firstLine="560" w:firstLineChars="200"/>
        <w:rPr>
          <w:rFonts w:eastAsia="仿宋_GB2312"/>
          <w:sz w:val="28"/>
          <w:szCs w:val="20"/>
        </w:rPr>
      </w:pPr>
      <w:r>
        <w:rPr>
          <w:rFonts w:eastAsia="仿宋_GB2312"/>
          <w:sz w:val="28"/>
          <w:szCs w:val="20"/>
        </w:rPr>
        <w:t>4.2.3交通管制状况</w:t>
      </w:r>
    </w:p>
    <w:p>
      <w:pPr>
        <w:spacing w:line="480" w:lineRule="exact"/>
        <w:ind w:firstLine="560" w:firstLineChars="200"/>
        <w:rPr>
          <w:rFonts w:eastAsia="仿宋_GB2312"/>
          <w:sz w:val="28"/>
          <w:szCs w:val="20"/>
        </w:rPr>
      </w:pPr>
      <w:r>
        <w:rPr>
          <w:rFonts w:eastAsia="仿宋_GB2312"/>
          <w:sz w:val="28"/>
          <w:szCs w:val="20"/>
        </w:rPr>
        <w:t>估价对象所在区域未实行交通管制。</w:t>
      </w:r>
    </w:p>
    <w:p>
      <w:pPr>
        <w:spacing w:line="480" w:lineRule="exact"/>
        <w:ind w:firstLine="560" w:firstLineChars="200"/>
        <w:rPr>
          <w:rFonts w:eastAsia="仿宋_GB2312"/>
          <w:sz w:val="28"/>
          <w:szCs w:val="20"/>
        </w:rPr>
      </w:pPr>
      <w:r>
        <w:rPr>
          <w:rFonts w:eastAsia="仿宋_GB2312"/>
          <w:sz w:val="28"/>
          <w:szCs w:val="20"/>
        </w:rPr>
        <w:t>4.2.4停车方便程度</w:t>
      </w:r>
    </w:p>
    <w:p>
      <w:pPr>
        <w:spacing w:line="480" w:lineRule="exact"/>
        <w:ind w:firstLine="560" w:firstLineChars="200"/>
        <w:rPr>
          <w:rFonts w:eastAsia="仿宋_GB2312"/>
          <w:sz w:val="28"/>
          <w:szCs w:val="20"/>
        </w:rPr>
      </w:pPr>
      <w:r>
        <w:rPr>
          <w:rFonts w:eastAsia="仿宋_GB2312"/>
          <w:sz w:val="28"/>
          <w:szCs w:val="20"/>
        </w:rPr>
        <w:t>估价对象所在区域停车方便。</w:t>
      </w:r>
    </w:p>
    <w:p>
      <w:pPr>
        <w:spacing w:line="480" w:lineRule="exact"/>
        <w:ind w:firstLine="560" w:firstLineChars="200"/>
        <w:rPr>
          <w:rFonts w:eastAsia="仿宋_GB2312"/>
          <w:sz w:val="28"/>
          <w:szCs w:val="20"/>
        </w:rPr>
      </w:pPr>
      <w:r>
        <w:rPr>
          <w:rFonts w:eastAsia="仿宋_GB2312"/>
          <w:sz w:val="28"/>
          <w:szCs w:val="20"/>
        </w:rPr>
        <w:t>4.3周围环境</w:t>
      </w:r>
    </w:p>
    <w:p>
      <w:pPr>
        <w:spacing w:line="480" w:lineRule="exact"/>
        <w:ind w:firstLine="560" w:firstLineChars="200"/>
        <w:rPr>
          <w:rFonts w:eastAsia="仿宋_GB2312"/>
          <w:sz w:val="28"/>
          <w:szCs w:val="20"/>
        </w:rPr>
      </w:pPr>
      <w:r>
        <w:rPr>
          <w:rFonts w:eastAsia="仿宋_GB2312"/>
          <w:sz w:val="28"/>
          <w:szCs w:val="20"/>
        </w:rPr>
        <w:t>4.3.1自然环境</w:t>
      </w:r>
    </w:p>
    <w:p>
      <w:pPr>
        <w:spacing w:line="480" w:lineRule="exact"/>
        <w:ind w:firstLine="560" w:firstLineChars="200"/>
        <w:rPr>
          <w:rFonts w:eastAsia="仿宋_GB2312"/>
          <w:sz w:val="28"/>
          <w:szCs w:val="20"/>
        </w:rPr>
      </w:pPr>
      <w:r>
        <w:rPr>
          <w:rFonts w:eastAsia="仿宋_GB2312"/>
          <w:sz w:val="28"/>
          <w:szCs w:val="20"/>
        </w:rPr>
        <w:t>估价对象位于盐城市。</w:t>
      </w:r>
    </w:p>
    <w:p>
      <w:pPr>
        <w:spacing w:line="480" w:lineRule="exact"/>
        <w:ind w:firstLine="560" w:firstLineChars="200"/>
        <w:rPr>
          <w:rFonts w:eastAsia="仿宋_GB2312"/>
          <w:sz w:val="28"/>
          <w:szCs w:val="20"/>
        </w:rPr>
      </w:pPr>
      <w:r>
        <w:rPr>
          <w:rFonts w:eastAsia="仿宋_GB2312"/>
          <w:sz w:val="28"/>
          <w:szCs w:val="20"/>
        </w:rPr>
        <w:t>盐城，</w:t>
      </w:r>
      <w:r>
        <w:fldChar w:fldCharType="begin"/>
      </w:r>
      <w:r>
        <w:instrText xml:space="preserve"> HYPERLINK "https://baike.baidu.com/item/%E6%B1%9F%E8%8B%8F%E7%9C%81/320938" \t "_blank" </w:instrText>
      </w:r>
      <w:r>
        <w:fldChar w:fldCharType="separate"/>
      </w:r>
      <w:r>
        <w:rPr>
          <w:rFonts w:eastAsia="仿宋_GB2312"/>
          <w:sz w:val="28"/>
          <w:szCs w:val="20"/>
        </w:rPr>
        <w:t>江苏省</w:t>
      </w:r>
      <w:r>
        <w:rPr>
          <w:rFonts w:eastAsia="仿宋_GB2312"/>
          <w:sz w:val="28"/>
          <w:szCs w:val="20"/>
        </w:rPr>
        <w:fldChar w:fldCharType="end"/>
      </w:r>
      <w:r>
        <w:rPr>
          <w:rFonts w:eastAsia="仿宋_GB2312"/>
          <w:sz w:val="28"/>
          <w:szCs w:val="20"/>
        </w:rPr>
        <w:t>辖地级市，</w:t>
      </w:r>
      <w:r>
        <w:fldChar w:fldCharType="begin"/>
      </w:r>
      <w:r>
        <w:instrText xml:space="preserve"> HYPERLINK "https://baike.baidu.com/item/%E9%95%BF%E6%B1%9F%E4%B8%89%E8%A7%92%E6%B4%B2%E4%B8%AD%E5%BF%83%E5%8C%BA/56977773" \t "_blank" </w:instrText>
      </w:r>
      <w:r>
        <w:fldChar w:fldCharType="separate"/>
      </w:r>
      <w:r>
        <w:rPr>
          <w:rFonts w:eastAsia="仿宋_GB2312"/>
          <w:sz w:val="28"/>
          <w:szCs w:val="20"/>
        </w:rPr>
        <w:t>长江三角洲中心区</w:t>
      </w:r>
      <w:r>
        <w:rPr>
          <w:rFonts w:eastAsia="仿宋_GB2312"/>
          <w:sz w:val="28"/>
          <w:szCs w:val="20"/>
        </w:rPr>
        <w:fldChar w:fldCharType="end"/>
      </w:r>
      <w:r>
        <w:rPr>
          <w:rFonts w:eastAsia="仿宋_GB2312"/>
          <w:sz w:val="28"/>
          <w:szCs w:val="20"/>
        </w:rPr>
        <w:t>27城之一。  地处中国东部</w:t>
      </w:r>
      <w:r>
        <w:fldChar w:fldCharType="begin"/>
      </w:r>
      <w:r>
        <w:instrText xml:space="preserve"> HYPERLINK "https://baike.baidu.com/item/%E6%B2%BF%E6%B5%B7%E5%9C%B0%E5%8C%BA/1083210" \t "_blank" </w:instrText>
      </w:r>
      <w:r>
        <w:fldChar w:fldCharType="separate"/>
      </w:r>
      <w:r>
        <w:rPr>
          <w:rFonts w:eastAsia="仿宋_GB2312"/>
          <w:sz w:val="28"/>
          <w:szCs w:val="20"/>
        </w:rPr>
        <w:t>沿海地区</w:t>
      </w:r>
      <w:r>
        <w:rPr>
          <w:rFonts w:eastAsia="仿宋_GB2312"/>
          <w:sz w:val="28"/>
          <w:szCs w:val="20"/>
        </w:rPr>
        <w:fldChar w:fldCharType="end"/>
      </w:r>
      <w:r>
        <w:rPr>
          <w:rFonts w:eastAsia="仿宋_GB2312"/>
          <w:sz w:val="28"/>
          <w:szCs w:val="20"/>
        </w:rPr>
        <w:t>，江苏省中部，东临黄海，南与</w:t>
      </w:r>
      <w:r>
        <w:fldChar w:fldCharType="begin"/>
      </w:r>
      <w:r>
        <w:instrText xml:space="preserve"> HYPERLINK "https://baike.baidu.com/item/%E5%8D%97%E9%80%9A/106072" \t "_blank" </w:instrText>
      </w:r>
      <w:r>
        <w:fldChar w:fldCharType="separate"/>
      </w:r>
      <w:r>
        <w:rPr>
          <w:rFonts w:eastAsia="仿宋_GB2312"/>
          <w:sz w:val="28"/>
          <w:szCs w:val="20"/>
        </w:rPr>
        <w:t>南通</w:t>
      </w:r>
      <w:r>
        <w:rPr>
          <w:rFonts w:eastAsia="仿宋_GB2312"/>
          <w:sz w:val="28"/>
          <w:szCs w:val="20"/>
        </w:rPr>
        <w:fldChar w:fldCharType="end"/>
      </w:r>
      <w:r>
        <w:rPr>
          <w:rFonts w:eastAsia="仿宋_GB2312"/>
          <w:sz w:val="28"/>
          <w:szCs w:val="20"/>
        </w:rPr>
        <w:t>接壤，西南与</w:t>
      </w:r>
      <w:r>
        <w:fldChar w:fldCharType="begin"/>
      </w:r>
      <w:r>
        <w:instrText xml:space="preserve"> HYPERLINK "https://baike.baidu.com/item/%E6%89%AC%E5%B7%9E/6255" \t "_blank" </w:instrText>
      </w:r>
      <w:r>
        <w:fldChar w:fldCharType="separate"/>
      </w:r>
      <w:r>
        <w:rPr>
          <w:rFonts w:eastAsia="仿宋_GB2312"/>
          <w:sz w:val="28"/>
          <w:szCs w:val="20"/>
        </w:rPr>
        <w:t>扬州</w:t>
      </w:r>
      <w:r>
        <w:rPr>
          <w:rFonts w:eastAsia="仿宋_GB2312"/>
          <w:sz w:val="28"/>
          <w:szCs w:val="20"/>
        </w:rPr>
        <w:fldChar w:fldCharType="end"/>
      </w:r>
      <w:r>
        <w:rPr>
          <w:rFonts w:eastAsia="仿宋_GB2312"/>
          <w:sz w:val="28"/>
          <w:szCs w:val="20"/>
        </w:rPr>
        <w:t>、</w:t>
      </w:r>
      <w:r>
        <w:fldChar w:fldCharType="begin"/>
      </w:r>
      <w:r>
        <w:instrText xml:space="preserve"> HYPERLINK "https://baike.baidu.com/item/%E6%B3%B0%E5%B7%9E/26886" \t "_blank" </w:instrText>
      </w:r>
      <w:r>
        <w:fldChar w:fldCharType="separate"/>
      </w:r>
      <w:r>
        <w:rPr>
          <w:rFonts w:eastAsia="仿宋_GB2312"/>
          <w:sz w:val="28"/>
          <w:szCs w:val="20"/>
        </w:rPr>
        <w:t>泰州</w:t>
      </w:r>
      <w:r>
        <w:rPr>
          <w:rFonts w:eastAsia="仿宋_GB2312"/>
          <w:sz w:val="28"/>
          <w:szCs w:val="20"/>
        </w:rPr>
        <w:fldChar w:fldCharType="end"/>
      </w:r>
      <w:r>
        <w:rPr>
          <w:rFonts w:eastAsia="仿宋_GB2312"/>
          <w:sz w:val="28"/>
          <w:szCs w:val="20"/>
        </w:rPr>
        <w:t>为邻，西北与淮安市相连，北隔</w:t>
      </w:r>
      <w:r>
        <w:fldChar w:fldCharType="begin"/>
      </w:r>
      <w:r>
        <w:instrText xml:space="preserve"> HYPERLINK "https://baike.baidu.com/item/%E7%81%8C%E6%B2%B3/13017195" \t "_blank" </w:instrText>
      </w:r>
      <w:r>
        <w:fldChar w:fldCharType="separate"/>
      </w:r>
      <w:r>
        <w:rPr>
          <w:rFonts w:eastAsia="仿宋_GB2312"/>
          <w:sz w:val="28"/>
          <w:szCs w:val="20"/>
        </w:rPr>
        <w:t>灌河</w:t>
      </w:r>
      <w:r>
        <w:rPr>
          <w:rFonts w:eastAsia="仿宋_GB2312"/>
          <w:sz w:val="28"/>
          <w:szCs w:val="20"/>
        </w:rPr>
        <w:fldChar w:fldCharType="end"/>
      </w:r>
      <w:r>
        <w:rPr>
          <w:rFonts w:eastAsia="仿宋_GB2312"/>
          <w:sz w:val="28"/>
          <w:szCs w:val="20"/>
        </w:rPr>
        <w:t>和</w:t>
      </w:r>
      <w:r>
        <w:fldChar w:fldCharType="begin"/>
      </w:r>
      <w:r>
        <w:instrText xml:space="preserve"> HYPERLINK "https://baike.baidu.com/item/%E8%BF%9E%E4%BA%91%E6%B8%AF%E5%B8%82/369696" \t "_blank" </w:instrText>
      </w:r>
      <w:r>
        <w:fldChar w:fldCharType="separate"/>
      </w:r>
      <w:r>
        <w:rPr>
          <w:rFonts w:eastAsia="仿宋_GB2312"/>
          <w:sz w:val="28"/>
          <w:szCs w:val="20"/>
        </w:rPr>
        <w:t>连云港市</w:t>
      </w:r>
      <w:r>
        <w:rPr>
          <w:rFonts w:eastAsia="仿宋_GB2312"/>
          <w:sz w:val="28"/>
          <w:szCs w:val="20"/>
        </w:rPr>
        <w:fldChar w:fldCharType="end"/>
      </w:r>
      <w:r>
        <w:rPr>
          <w:rFonts w:eastAsia="仿宋_GB2312"/>
          <w:sz w:val="28"/>
          <w:szCs w:val="20"/>
        </w:rPr>
        <w:t>相望。 盐城全市土地总面积16931平方千米 ，其中沿海滩涂面积4553平方千米。拥有江苏唯一的世界自然遗产中国黄（渤）海候鸟栖息地。根据江苏省第七次全国人口普查结果，截至2020年11月1日零时，盐城市常住人口670.9629万人。 2020年，盐城市实现地区生产总值为5953.38亿元。 </w:t>
      </w:r>
    </w:p>
    <w:p>
      <w:pPr>
        <w:spacing w:line="480" w:lineRule="exact"/>
        <w:ind w:firstLine="560" w:firstLineChars="200"/>
        <w:rPr>
          <w:rFonts w:eastAsia="仿宋_GB2312"/>
          <w:sz w:val="28"/>
          <w:szCs w:val="20"/>
        </w:rPr>
      </w:pPr>
      <w:r>
        <w:rPr>
          <w:rFonts w:eastAsia="仿宋_GB2312"/>
          <w:sz w:val="28"/>
          <w:szCs w:val="20"/>
        </w:rPr>
        <w:t>4.3.2人文环境</w:t>
      </w:r>
    </w:p>
    <w:p>
      <w:pPr>
        <w:spacing w:line="480" w:lineRule="exact"/>
        <w:ind w:firstLine="560" w:firstLineChars="200"/>
        <w:rPr>
          <w:rFonts w:eastAsia="仿宋_GB2312"/>
          <w:sz w:val="28"/>
          <w:szCs w:val="20"/>
        </w:rPr>
      </w:pPr>
      <w:r>
        <w:rPr>
          <w:rFonts w:eastAsia="仿宋_GB2312"/>
          <w:sz w:val="28"/>
          <w:szCs w:val="20"/>
        </w:rPr>
        <w:t>1983年，经国务院批准，盐城实行市管县新体制，撤销盐城地区和盐城县，设立地级盐城市，原盐城专区辖县全部划入盐城市管辖，原盐城县设立盐城市城区和郊区2个区。盐城市共辖响水、滨海、阜宁、射阳、建湖、大丰、东台7个县和城区、郊区2个区。盐城市全境为平原地貌，西北部和东南部高，中部和东北部低洼，大部分地区海拔不足5米，最大相对高度不足8米。分为3个平原区：黄淮平原区、里下河平原区和滨海平原区。盐城市地处北亚热带向暖温带气候过渡地带，一般以苏北灌溉总渠为界，渠南属北亚热带气候，渠北属南暖温带气候，具有过渡性特征。其中沿海滩涂面积45.53万公顷，占江苏省沿海滩涂面积的75%；海岸线长582千米，占江苏省海岸线总长度的56%。。</w:t>
      </w:r>
    </w:p>
    <w:p>
      <w:pPr>
        <w:spacing w:line="480" w:lineRule="exact"/>
        <w:ind w:firstLine="560" w:firstLineChars="200"/>
        <w:rPr>
          <w:rFonts w:eastAsia="仿宋_GB2312"/>
          <w:sz w:val="28"/>
          <w:szCs w:val="20"/>
        </w:rPr>
      </w:pPr>
      <w:r>
        <w:rPr>
          <w:rFonts w:eastAsia="仿宋_GB2312"/>
          <w:sz w:val="28"/>
          <w:szCs w:val="20"/>
        </w:rPr>
        <w:t>4.3.3景观</w:t>
      </w:r>
    </w:p>
    <w:p>
      <w:pPr>
        <w:spacing w:line="480" w:lineRule="exact"/>
        <w:ind w:firstLine="560" w:firstLineChars="200"/>
        <w:rPr>
          <w:rFonts w:eastAsia="仿宋_GB2312"/>
          <w:sz w:val="28"/>
          <w:szCs w:val="20"/>
        </w:rPr>
      </w:pPr>
      <w:r>
        <w:rPr>
          <w:rFonts w:eastAsia="仿宋_GB2312"/>
          <w:sz w:val="28"/>
          <w:szCs w:val="20"/>
        </w:rPr>
        <w:t>估价对象位于</w:t>
      </w:r>
      <w:r>
        <w:rPr>
          <w:rFonts w:hint="eastAsia" w:eastAsia="仿宋_GB2312"/>
          <w:sz w:val="28"/>
          <w:szCs w:val="20"/>
          <w:lang w:eastAsia="zh-CN"/>
        </w:rPr>
        <w:t>盐城市亭湖区盛世家苑4幢107室</w:t>
      </w:r>
      <w:r>
        <w:rPr>
          <w:rFonts w:eastAsia="仿宋_GB2312"/>
          <w:sz w:val="28"/>
          <w:szCs w:val="20"/>
        </w:rPr>
        <w:t>，周边以成套住宅为主，周围景观一般。</w:t>
      </w:r>
    </w:p>
    <w:p>
      <w:pPr>
        <w:spacing w:line="480" w:lineRule="exact"/>
        <w:ind w:firstLine="560" w:firstLineChars="200"/>
        <w:rPr>
          <w:rFonts w:eastAsia="仿宋_GB2312"/>
          <w:sz w:val="28"/>
          <w:szCs w:val="20"/>
        </w:rPr>
      </w:pPr>
      <w:r>
        <w:rPr>
          <w:rFonts w:eastAsia="仿宋_GB2312"/>
          <w:sz w:val="28"/>
          <w:szCs w:val="20"/>
        </w:rPr>
        <w:t>4.4外部配套设施状况</w:t>
      </w:r>
    </w:p>
    <w:p>
      <w:pPr>
        <w:tabs>
          <w:tab w:val="left" w:pos="7035"/>
        </w:tabs>
        <w:spacing w:line="480" w:lineRule="exact"/>
        <w:ind w:firstLine="560" w:firstLineChars="200"/>
        <w:rPr>
          <w:rFonts w:eastAsia="仿宋_GB2312"/>
          <w:sz w:val="28"/>
          <w:szCs w:val="20"/>
        </w:rPr>
      </w:pPr>
      <w:r>
        <w:rPr>
          <w:rFonts w:eastAsia="仿宋_GB2312"/>
          <w:sz w:val="28"/>
          <w:szCs w:val="20"/>
        </w:rPr>
        <w:t>4.4.1基础设施状况</w:t>
      </w:r>
    </w:p>
    <w:p>
      <w:pPr>
        <w:tabs>
          <w:tab w:val="left" w:pos="7035"/>
        </w:tabs>
        <w:spacing w:line="480" w:lineRule="exact"/>
        <w:ind w:firstLine="560" w:firstLineChars="200"/>
        <w:rPr>
          <w:rFonts w:eastAsia="仿宋_GB2312"/>
          <w:sz w:val="28"/>
          <w:szCs w:val="20"/>
        </w:rPr>
      </w:pPr>
      <w:r>
        <w:rPr>
          <w:rFonts w:eastAsia="仿宋_GB2312"/>
          <w:sz w:val="28"/>
          <w:szCs w:val="20"/>
        </w:rPr>
        <w:t>①供水</w:t>
      </w:r>
      <w:r>
        <w:rPr>
          <w:rFonts w:eastAsia="仿宋_GB2312"/>
          <w:sz w:val="28"/>
          <w:szCs w:val="20"/>
        </w:rPr>
        <w:tab/>
      </w:r>
    </w:p>
    <w:p>
      <w:pPr>
        <w:spacing w:line="480" w:lineRule="exact"/>
        <w:ind w:firstLine="560" w:firstLineChars="200"/>
        <w:rPr>
          <w:rFonts w:eastAsia="仿宋_GB2312"/>
          <w:sz w:val="28"/>
          <w:szCs w:val="20"/>
        </w:rPr>
      </w:pPr>
      <w:r>
        <w:rPr>
          <w:rFonts w:eastAsia="仿宋_GB2312"/>
          <w:sz w:val="28"/>
          <w:szCs w:val="20"/>
        </w:rPr>
        <w:t>估价对象所在区域自来水改造工程基本完成，由</w:t>
      </w:r>
      <w:r>
        <w:rPr>
          <w:rFonts w:hint="eastAsia" w:eastAsia="仿宋_GB2312"/>
          <w:sz w:val="28"/>
          <w:szCs w:val="20"/>
        </w:rPr>
        <w:t>盐城市</w:t>
      </w:r>
      <w:r>
        <w:rPr>
          <w:rFonts w:eastAsia="仿宋_GB2312"/>
          <w:sz w:val="28"/>
          <w:szCs w:val="20"/>
        </w:rPr>
        <w:t>自来水厂供水，日供水量25万吨，主要道路两侧供水管径50厘米，供水保证率达97%，供水状况较优。</w:t>
      </w:r>
    </w:p>
    <w:p>
      <w:pPr>
        <w:spacing w:line="480" w:lineRule="exact"/>
        <w:ind w:firstLine="560" w:firstLineChars="200"/>
        <w:rPr>
          <w:rFonts w:eastAsia="仿宋_GB2312"/>
          <w:sz w:val="28"/>
          <w:szCs w:val="20"/>
        </w:rPr>
      </w:pPr>
      <w:r>
        <w:rPr>
          <w:rFonts w:eastAsia="仿宋_GB2312"/>
          <w:sz w:val="28"/>
          <w:szCs w:val="20"/>
        </w:rPr>
        <w:t>②供电</w:t>
      </w:r>
    </w:p>
    <w:p>
      <w:pPr>
        <w:spacing w:line="480" w:lineRule="exact"/>
        <w:ind w:firstLine="560" w:firstLineChars="200"/>
        <w:rPr>
          <w:rFonts w:eastAsia="仿宋_GB2312"/>
          <w:sz w:val="28"/>
          <w:szCs w:val="20"/>
        </w:rPr>
      </w:pPr>
      <w:r>
        <w:rPr>
          <w:rFonts w:eastAsia="仿宋_GB2312"/>
          <w:sz w:val="28"/>
          <w:szCs w:val="20"/>
        </w:rPr>
        <w:t>待估宗地区域由</w:t>
      </w:r>
      <w:r>
        <w:rPr>
          <w:rFonts w:hint="eastAsia" w:eastAsia="仿宋_GB2312"/>
          <w:sz w:val="28"/>
          <w:szCs w:val="20"/>
        </w:rPr>
        <w:t>盐城市</w:t>
      </w:r>
      <w:r>
        <w:rPr>
          <w:rFonts w:eastAsia="仿宋_GB2312"/>
          <w:sz w:val="28"/>
          <w:szCs w:val="20"/>
        </w:rPr>
        <w:t>变电所供电，输电线路35kv，除线路检修外，一般不停电，供电保证率高，供电状况较优。</w:t>
      </w:r>
    </w:p>
    <w:p>
      <w:pPr>
        <w:spacing w:line="480" w:lineRule="exact"/>
        <w:ind w:firstLine="560" w:firstLineChars="200"/>
        <w:rPr>
          <w:rFonts w:eastAsia="仿宋_GB2312"/>
          <w:sz w:val="28"/>
          <w:szCs w:val="20"/>
        </w:rPr>
      </w:pPr>
      <w:r>
        <w:rPr>
          <w:rFonts w:eastAsia="仿宋_GB2312"/>
          <w:sz w:val="28"/>
          <w:szCs w:val="20"/>
        </w:rPr>
        <w:t>③排水</w:t>
      </w:r>
    </w:p>
    <w:p>
      <w:pPr>
        <w:spacing w:line="480" w:lineRule="exact"/>
        <w:ind w:firstLine="560" w:firstLineChars="200"/>
        <w:rPr>
          <w:rFonts w:eastAsia="仿宋_GB2312"/>
          <w:sz w:val="28"/>
          <w:szCs w:val="20"/>
        </w:rPr>
      </w:pPr>
      <w:r>
        <w:rPr>
          <w:rFonts w:eastAsia="仿宋_GB2312"/>
          <w:sz w:val="28"/>
          <w:szCs w:val="20"/>
        </w:rPr>
        <w:t>估价对象所在区域排水管道全部为污水、雨水分流制，雨水和污水管道铺设于道路之下，排水状况较优。</w:t>
      </w:r>
    </w:p>
    <w:p>
      <w:pPr>
        <w:spacing w:line="480" w:lineRule="exact"/>
        <w:ind w:firstLine="560" w:firstLineChars="200"/>
        <w:rPr>
          <w:rFonts w:eastAsia="仿宋_GB2312"/>
          <w:sz w:val="28"/>
          <w:szCs w:val="20"/>
        </w:rPr>
      </w:pPr>
      <w:r>
        <w:rPr>
          <w:rFonts w:eastAsia="仿宋_GB2312"/>
          <w:sz w:val="28"/>
          <w:szCs w:val="20"/>
        </w:rPr>
        <w:t>④电信</w:t>
      </w:r>
    </w:p>
    <w:p>
      <w:pPr>
        <w:spacing w:line="480" w:lineRule="exact"/>
        <w:ind w:firstLine="560" w:firstLineChars="200"/>
        <w:rPr>
          <w:rFonts w:eastAsia="仿宋_GB2312"/>
          <w:sz w:val="28"/>
          <w:szCs w:val="20"/>
        </w:rPr>
      </w:pPr>
      <w:r>
        <w:rPr>
          <w:rFonts w:eastAsia="仿宋_GB2312"/>
          <w:sz w:val="28"/>
          <w:szCs w:val="20"/>
        </w:rPr>
        <w:t>估价对象所在区域全区实现交换程控化、传输数字化。已开办程控交换、移动通信、无线寻呼、会议电视、多媒体宽带数据通信、ISDN综合数据、因特网信息等业务，为经济信息化提供了高速通讯平台，电讯状况优。</w:t>
      </w:r>
    </w:p>
    <w:p>
      <w:pPr>
        <w:spacing w:line="480" w:lineRule="exact"/>
        <w:ind w:firstLine="560" w:firstLineChars="200"/>
        <w:rPr>
          <w:rFonts w:eastAsia="仿宋_GB2312"/>
          <w:sz w:val="28"/>
          <w:szCs w:val="20"/>
        </w:rPr>
      </w:pPr>
      <w:r>
        <w:rPr>
          <w:rFonts w:eastAsia="仿宋_GB2312"/>
          <w:sz w:val="28"/>
          <w:szCs w:val="20"/>
        </w:rPr>
        <w:t>⑤环境质量</w:t>
      </w:r>
    </w:p>
    <w:p>
      <w:pPr>
        <w:spacing w:line="480" w:lineRule="exact"/>
        <w:ind w:firstLine="560" w:firstLineChars="200"/>
        <w:rPr>
          <w:rFonts w:eastAsia="仿宋_GB2312"/>
          <w:sz w:val="28"/>
          <w:szCs w:val="20"/>
        </w:rPr>
      </w:pPr>
      <w:r>
        <w:rPr>
          <w:rFonts w:eastAsia="仿宋_GB2312"/>
          <w:sz w:val="28"/>
          <w:szCs w:val="20"/>
        </w:rPr>
        <w:t>周围环境整洁，无空气、辐射、水、固体废物等污染。因临近主干道，有一定交通噪音污染，综合环境质量较好。</w:t>
      </w:r>
    </w:p>
    <w:p>
      <w:pPr>
        <w:spacing w:line="480" w:lineRule="exact"/>
        <w:ind w:firstLine="560" w:firstLineChars="200"/>
        <w:rPr>
          <w:rFonts w:eastAsia="仿宋_GB2312"/>
          <w:sz w:val="28"/>
          <w:szCs w:val="20"/>
        </w:rPr>
      </w:pPr>
      <w:r>
        <w:rPr>
          <w:rFonts w:eastAsia="仿宋_GB2312"/>
          <w:sz w:val="28"/>
          <w:szCs w:val="20"/>
        </w:rPr>
        <w:t>4.4.2公共服务设施</w:t>
      </w:r>
    </w:p>
    <w:p>
      <w:pPr>
        <w:spacing w:line="480" w:lineRule="exact"/>
        <w:ind w:firstLine="560" w:firstLineChars="200"/>
        <w:rPr>
          <w:rFonts w:eastAsia="仿宋_GB2312"/>
          <w:sz w:val="28"/>
          <w:szCs w:val="20"/>
        </w:rPr>
      </w:pPr>
      <w:r>
        <w:rPr>
          <w:rFonts w:eastAsia="仿宋_GB2312"/>
          <w:sz w:val="28"/>
          <w:szCs w:val="20"/>
        </w:rPr>
        <w:t>估价对象所在区域有</w:t>
      </w:r>
      <w:r>
        <w:rPr>
          <w:rFonts w:hint="eastAsia" w:eastAsia="仿宋_GB2312"/>
          <w:sz w:val="28"/>
          <w:szCs w:val="20"/>
          <w:lang w:val="en-US" w:eastAsia="zh-CN"/>
        </w:rPr>
        <w:t>新纪元广场</w:t>
      </w:r>
      <w:r>
        <w:rPr>
          <w:rFonts w:eastAsia="仿宋_GB2312"/>
          <w:sz w:val="28"/>
          <w:szCs w:val="20"/>
        </w:rPr>
        <w:t>等公共服务设施。公共服务设施配套程度较优。</w:t>
      </w:r>
    </w:p>
    <w:p>
      <w:pPr>
        <w:spacing w:line="480" w:lineRule="exact"/>
        <w:ind w:firstLine="560" w:firstLineChars="200"/>
        <w:rPr>
          <w:rFonts w:eastAsia="仿宋_GB2312"/>
          <w:sz w:val="28"/>
          <w:szCs w:val="20"/>
        </w:rPr>
      </w:pPr>
      <w:r>
        <w:rPr>
          <w:rFonts w:eastAsia="仿宋_GB2312"/>
          <w:sz w:val="28"/>
          <w:szCs w:val="20"/>
        </w:rPr>
        <w:t>4.5</w:t>
      </w:r>
      <w:r>
        <w:rPr>
          <w:rFonts w:hint="eastAsia" w:eastAsia="仿宋_GB2312"/>
          <w:sz w:val="28"/>
          <w:szCs w:val="20"/>
          <w:lang w:eastAsia="zh-CN"/>
        </w:rPr>
        <w:t>住宅</w:t>
      </w:r>
      <w:r>
        <w:rPr>
          <w:rFonts w:eastAsia="仿宋_GB2312"/>
          <w:sz w:val="28"/>
          <w:szCs w:val="20"/>
        </w:rPr>
        <w:t>繁华程度</w:t>
      </w:r>
    </w:p>
    <w:p>
      <w:pPr>
        <w:spacing w:line="480" w:lineRule="exact"/>
        <w:ind w:left="1" w:firstLine="560" w:firstLineChars="200"/>
        <w:rPr>
          <w:rFonts w:eastAsia="仿宋_GB2312"/>
          <w:sz w:val="28"/>
          <w:szCs w:val="20"/>
        </w:rPr>
      </w:pPr>
      <w:r>
        <w:rPr>
          <w:rFonts w:eastAsia="仿宋_GB2312"/>
          <w:sz w:val="28"/>
          <w:szCs w:val="20"/>
        </w:rPr>
        <w:t>估价对象位于</w:t>
      </w:r>
      <w:r>
        <w:rPr>
          <w:rFonts w:hint="eastAsia" w:eastAsia="仿宋_GB2312"/>
          <w:sz w:val="28"/>
          <w:szCs w:val="20"/>
          <w:lang w:eastAsia="zh-CN"/>
        </w:rPr>
        <w:t>盐城市亭湖区盛世家苑4幢107室</w:t>
      </w:r>
      <w:r>
        <w:rPr>
          <w:rFonts w:eastAsia="仿宋_GB2312"/>
          <w:sz w:val="28"/>
          <w:szCs w:val="20"/>
        </w:rPr>
        <w:t>，所属区域有大型</w:t>
      </w:r>
      <w:r>
        <w:rPr>
          <w:rFonts w:hint="eastAsia" w:eastAsia="仿宋_GB2312"/>
          <w:sz w:val="28"/>
          <w:szCs w:val="20"/>
          <w:lang w:val="en-US" w:eastAsia="zh-CN"/>
        </w:rPr>
        <w:t>终合城市生活广场</w:t>
      </w:r>
      <w:r>
        <w:rPr>
          <w:rFonts w:eastAsia="仿宋_GB2312"/>
          <w:sz w:val="28"/>
          <w:szCs w:val="20"/>
        </w:rPr>
        <w:t>，区域内商铺多为中端零售，客流数量</w:t>
      </w:r>
      <w:r>
        <w:rPr>
          <w:rFonts w:hint="eastAsia" w:eastAsia="仿宋_GB2312"/>
          <w:sz w:val="28"/>
          <w:szCs w:val="20"/>
          <w:lang w:val="en-US" w:eastAsia="zh-CN"/>
        </w:rPr>
        <w:t>较好</w:t>
      </w:r>
      <w:r>
        <w:rPr>
          <w:rFonts w:eastAsia="仿宋_GB2312"/>
          <w:sz w:val="28"/>
          <w:szCs w:val="20"/>
        </w:rPr>
        <w:t>，客流质量</w:t>
      </w:r>
      <w:r>
        <w:rPr>
          <w:rFonts w:hint="eastAsia" w:eastAsia="仿宋_GB2312"/>
          <w:sz w:val="28"/>
          <w:szCs w:val="20"/>
          <w:lang w:val="en-US" w:eastAsia="zh-CN"/>
        </w:rPr>
        <w:t>较好</w:t>
      </w:r>
      <w:r>
        <w:rPr>
          <w:rFonts w:hint="eastAsia" w:eastAsia="仿宋_GB2312"/>
          <w:sz w:val="28"/>
          <w:szCs w:val="20"/>
        </w:rPr>
        <w:t>，</w:t>
      </w:r>
      <w:r>
        <w:rPr>
          <w:rFonts w:eastAsia="仿宋_GB2312"/>
          <w:sz w:val="28"/>
          <w:szCs w:val="20"/>
        </w:rPr>
        <w:t>目前商服繁华程度</w:t>
      </w:r>
      <w:r>
        <w:rPr>
          <w:rFonts w:hint="eastAsia" w:eastAsia="仿宋_GB2312"/>
          <w:sz w:val="28"/>
          <w:szCs w:val="20"/>
          <w:lang w:val="en-US" w:eastAsia="zh-CN"/>
        </w:rPr>
        <w:t>较好</w:t>
      </w:r>
      <w:r>
        <w:rPr>
          <w:rFonts w:eastAsia="仿宋_GB2312"/>
          <w:sz w:val="28"/>
          <w:szCs w:val="20"/>
        </w:rPr>
        <w:t>。</w:t>
      </w:r>
    </w:p>
    <w:p>
      <w:pPr>
        <w:spacing w:line="480" w:lineRule="exact"/>
        <w:ind w:firstLine="560" w:firstLineChars="200"/>
        <w:rPr>
          <w:rFonts w:eastAsia="仿宋_GB2312"/>
          <w:sz w:val="28"/>
          <w:szCs w:val="20"/>
        </w:rPr>
      </w:pPr>
      <w:r>
        <w:rPr>
          <w:rFonts w:eastAsia="仿宋_GB2312"/>
          <w:sz w:val="28"/>
          <w:szCs w:val="20"/>
        </w:rPr>
        <w:t>4.6规划限制</w:t>
      </w:r>
    </w:p>
    <w:p>
      <w:pPr>
        <w:spacing w:line="480" w:lineRule="exact"/>
        <w:ind w:left="1" w:firstLine="560" w:firstLineChars="200"/>
        <w:rPr>
          <w:rFonts w:eastAsia="仿宋_GB2312"/>
          <w:sz w:val="28"/>
          <w:szCs w:val="20"/>
        </w:rPr>
      </w:pPr>
      <w:r>
        <w:rPr>
          <w:rFonts w:eastAsia="仿宋_GB2312"/>
          <w:sz w:val="28"/>
          <w:szCs w:val="20"/>
        </w:rPr>
        <w:t>根据建湖县总体规划，估价对象所在区域规划用地为</w:t>
      </w:r>
      <w:r>
        <w:rPr>
          <w:rFonts w:hint="eastAsia" w:eastAsia="仿宋_GB2312"/>
          <w:sz w:val="28"/>
          <w:szCs w:val="20"/>
          <w:lang w:eastAsia="zh-CN"/>
        </w:rPr>
        <w:t>住宅</w:t>
      </w:r>
      <w:r>
        <w:rPr>
          <w:rFonts w:eastAsia="仿宋_GB2312"/>
          <w:sz w:val="28"/>
          <w:szCs w:val="20"/>
        </w:rPr>
        <w:t>用地。总体规划对估价对象开发利用无影响。</w:t>
      </w:r>
    </w:p>
    <w:p>
      <w:pPr>
        <w:spacing w:line="480" w:lineRule="exact"/>
        <w:ind w:firstLine="560" w:firstLineChars="200"/>
        <w:rPr>
          <w:rFonts w:eastAsia="仿宋_GB2312"/>
          <w:sz w:val="28"/>
          <w:szCs w:val="20"/>
        </w:rPr>
      </w:pPr>
      <w:r>
        <w:rPr>
          <w:rFonts w:eastAsia="仿宋_GB2312"/>
          <w:sz w:val="28"/>
          <w:szCs w:val="20"/>
        </w:rPr>
        <w:t>4.7周围土地利用情况</w:t>
      </w:r>
    </w:p>
    <w:p>
      <w:pPr>
        <w:spacing w:line="480" w:lineRule="exact"/>
        <w:ind w:firstLine="560" w:firstLineChars="200"/>
        <w:rPr>
          <w:rFonts w:eastAsia="仿宋_GB2312"/>
          <w:sz w:val="28"/>
          <w:szCs w:val="20"/>
        </w:rPr>
      </w:pPr>
      <w:r>
        <w:rPr>
          <w:rFonts w:eastAsia="仿宋_GB2312"/>
          <w:sz w:val="28"/>
          <w:szCs w:val="20"/>
        </w:rPr>
        <w:t>估价对象所在区域用地以住宅</w:t>
      </w:r>
      <w:r>
        <w:rPr>
          <w:rFonts w:hint="eastAsia" w:eastAsia="仿宋_GB2312"/>
          <w:sz w:val="28"/>
          <w:szCs w:val="20"/>
        </w:rPr>
        <w:t>、</w:t>
      </w:r>
      <w:r>
        <w:rPr>
          <w:rFonts w:hint="eastAsia" w:eastAsia="仿宋_GB2312"/>
          <w:sz w:val="28"/>
          <w:szCs w:val="20"/>
          <w:lang w:eastAsia="zh-CN"/>
        </w:rPr>
        <w:t>住宅</w:t>
      </w:r>
      <w:r>
        <w:rPr>
          <w:rFonts w:eastAsia="仿宋_GB2312"/>
          <w:sz w:val="28"/>
          <w:szCs w:val="20"/>
        </w:rPr>
        <w:t>为主，周围土地利用状况对</w:t>
      </w:r>
      <w:r>
        <w:rPr>
          <w:rFonts w:hint="eastAsia" w:eastAsia="仿宋_GB2312"/>
          <w:sz w:val="28"/>
          <w:szCs w:val="20"/>
          <w:lang w:eastAsia="zh-CN"/>
        </w:rPr>
        <w:t>住宅</w:t>
      </w:r>
      <w:r>
        <w:rPr>
          <w:rFonts w:eastAsia="仿宋_GB2312"/>
          <w:sz w:val="28"/>
          <w:szCs w:val="20"/>
        </w:rPr>
        <w:t>的发展影响较为有利。</w:t>
      </w:r>
    </w:p>
    <w:p>
      <w:pPr>
        <w:spacing w:line="480" w:lineRule="exact"/>
        <w:ind w:firstLine="560" w:firstLineChars="200"/>
        <w:rPr>
          <w:rFonts w:eastAsia="仿宋_GB2312"/>
          <w:sz w:val="28"/>
          <w:szCs w:val="20"/>
        </w:rPr>
      </w:pPr>
      <w:r>
        <w:rPr>
          <w:rFonts w:eastAsia="仿宋_GB2312"/>
          <w:sz w:val="28"/>
          <w:szCs w:val="20"/>
        </w:rPr>
        <w:t>4.8自然灾害影响</w:t>
      </w:r>
    </w:p>
    <w:p>
      <w:pPr>
        <w:overflowPunct w:val="0"/>
        <w:autoSpaceDE w:val="0"/>
        <w:autoSpaceDN w:val="0"/>
        <w:adjustRightInd w:val="0"/>
        <w:spacing w:line="480" w:lineRule="exact"/>
        <w:ind w:right="68" w:firstLine="560" w:firstLineChars="200"/>
        <w:rPr>
          <w:rFonts w:eastAsia="仿宋_GB2312"/>
          <w:sz w:val="28"/>
          <w:szCs w:val="20"/>
        </w:rPr>
      </w:pPr>
      <w:r>
        <w:rPr>
          <w:rFonts w:eastAsia="仿宋_GB2312"/>
          <w:sz w:val="28"/>
          <w:szCs w:val="20"/>
        </w:rPr>
        <w:t>估价对象所在区域地势较平坦，但由于防洪排涝设施配套，受洪涝灾害影响较小。</w:t>
      </w:r>
    </w:p>
    <w:bookmarkEnd w:id="8"/>
    <w:p>
      <w:pPr>
        <w:pStyle w:val="4"/>
        <w:spacing w:before="0" w:after="0" w:line="500" w:lineRule="exact"/>
        <w:rPr>
          <w:sz w:val="30"/>
          <w:szCs w:val="30"/>
        </w:rPr>
      </w:pPr>
      <w:r>
        <w:rPr>
          <w:sz w:val="30"/>
          <w:szCs w:val="30"/>
        </w:rPr>
        <w:t>五、价值时点</w:t>
      </w:r>
      <w:bookmarkEnd w:id="9"/>
    </w:p>
    <w:p>
      <w:pPr>
        <w:spacing w:line="500" w:lineRule="exact"/>
        <w:ind w:firstLine="560" w:firstLineChars="200"/>
        <w:rPr>
          <w:rFonts w:eastAsia="仿宋_GB2312"/>
          <w:sz w:val="28"/>
        </w:rPr>
      </w:pPr>
      <w:r>
        <w:rPr>
          <w:rFonts w:hint="eastAsia" w:eastAsia="仿宋_GB2312"/>
          <w:sz w:val="28"/>
          <w:lang w:eastAsia="zh-CN"/>
        </w:rPr>
        <w:t>二〇二二年一月二十一日</w:t>
      </w:r>
      <w:r>
        <w:rPr>
          <w:rFonts w:eastAsia="仿宋_GB2312"/>
          <w:sz w:val="28"/>
        </w:rPr>
        <w:t>（现场勘查之日）</w:t>
      </w:r>
    </w:p>
    <w:p>
      <w:pPr>
        <w:pStyle w:val="4"/>
        <w:spacing w:before="0" w:after="0" w:line="500" w:lineRule="exact"/>
        <w:rPr>
          <w:sz w:val="30"/>
          <w:szCs w:val="30"/>
        </w:rPr>
      </w:pPr>
      <w:bookmarkStart w:id="10" w:name="_Toc8045"/>
      <w:r>
        <w:rPr>
          <w:sz w:val="30"/>
          <w:szCs w:val="30"/>
        </w:rPr>
        <w:t>六、价值类型</w:t>
      </w:r>
      <w:bookmarkEnd w:id="10"/>
    </w:p>
    <w:p>
      <w:pPr>
        <w:spacing w:line="500" w:lineRule="exact"/>
        <w:ind w:firstLine="560" w:firstLineChars="200"/>
        <w:rPr>
          <w:rFonts w:eastAsia="仿宋_GB2312"/>
          <w:sz w:val="28"/>
        </w:rPr>
      </w:pPr>
      <w:r>
        <w:rPr>
          <w:rFonts w:eastAsia="仿宋_GB2312"/>
          <w:sz w:val="28"/>
        </w:rPr>
        <w:t>本次估价采用的</w:t>
      </w:r>
      <w:r>
        <w:rPr>
          <w:rFonts w:hint="eastAsia" w:eastAsia="仿宋_GB2312"/>
          <w:sz w:val="28"/>
          <w:lang w:eastAsia="zh-CN"/>
        </w:rPr>
        <w:t>市场价值</w:t>
      </w:r>
      <w:r>
        <w:rPr>
          <w:rFonts w:eastAsia="仿宋_GB2312"/>
          <w:sz w:val="28"/>
        </w:rPr>
        <w:t>标准为估价对象房地产在公开市场上最可能形成的客观合理价格。</w:t>
      </w:r>
    </w:p>
    <w:p>
      <w:pPr>
        <w:spacing w:line="500" w:lineRule="exact"/>
        <w:ind w:firstLine="560" w:firstLineChars="200"/>
        <w:rPr>
          <w:rFonts w:eastAsia="仿宋_GB2312"/>
          <w:sz w:val="28"/>
        </w:rPr>
      </w:pPr>
      <w:r>
        <w:rPr>
          <w:rFonts w:eastAsia="仿宋_GB2312"/>
          <w:sz w:val="28"/>
          <w:szCs w:val="28"/>
        </w:rPr>
        <w:t>所谓</w:t>
      </w:r>
      <w:r>
        <w:rPr>
          <w:rFonts w:hint="eastAsia" w:eastAsia="仿宋_GB2312"/>
          <w:sz w:val="28"/>
          <w:szCs w:val="28"/>
          <w:lang w:eastAsia="zh-CN"/>
        </w:rPr>
        <w:t>市场价值</w:t>
      </w:r>
      <w:r>
        <w:rPr>
          <w:rFonts w:eastAsia="仿宋_GB2312"/>
          <w:sz w:val="28"/>
          <w:szCs w:val="28"/>
        </w:rPr>
        <w:t>，是估价对象经适当营销后，由熟悉情况、谨慎行事且不受强迫的交易双方，以公平方式在价值时点自愿进行交易的金额</w:t>
      </w:r>
      <w:r>
        <w:rPr>
          <w:rFonts w:eastAsia="仿宋_GB2312"/>
          <w:color w:val="FF0000"/>
          <w:sz w:val="28"/>
          <w:szCs w:val="28"/>
        </w:rPr>
        <w:t>。</w:t>
      </w:r>
    </w:p>
    <w:p>
      <w:pPr>
        <w:pStyle w:val="4"/>
        <w:spacing w:before="0" w:after="0" w:line="400" w:lineRule="exact"/>
        <w:rPr>
          <w:sz w:val="30"/>
          <w:szCs w:val="30"/>
        </w:rPr>
      </w:pPr>
      <w:bookmarkStart w:id="11" w:name="_Toc6594"/>
      <w:r>
        <w:rPr>
          <w:sz w:val="30"/>
          <w:szCs w:val="30"/>
        </w:rPr>
        <w:t>七、估价依据</w:t>
      </w:r>
      <w:bookmarkEnd w:id="11"/>
    </w:p>
    <w:p>
      <w:pPr>
        <w:spacing w:line="480" w:lineRule="exact"/>
        <w:ind w:firstLine="560" w:firstLineChars="200"/>
        <w:rPr>
          <w:rFonts w:eastAsia="仿宋_GB2312"/>
          <w:sz w:val="28"/>
          <w:szCs w:val="28"/>
        </w:rPr>
      </w:pPr>
      <w:bookmarkStart w:id="12" w:name="_Toc363576078"/>
      <w:r>
        <w:rPr>
          <w:rFonts w:eastAsia="仿宋_GB2312"/>
          <w:sz w:val="28"/>
          <w:szCs w:val="28"/>
        </w:rPr>
        <w:t>（一）法律、法规和相关政策性文件</w:t>
      </w:r>
      <w:bookmarkEnd w:id="12"/>
    </w:p>
    <w:p>
      <w:pPr>
        <w:spacing w:line="460" w:lineRule="exact"/>
        <w:ind w:firstLine="560" w:firstLineChars="200"/>
        <w:rPr>
          <w:rFonts w:eastAsia="仿宋_GB2312"/>
          <w:sz w:val="28"/>
        </w:rPr>
      </w:pPr>
      <w:bookmarkStart w:id="13" w:name="_Toc363576079"/>
      <w:r>
        <w:rPr>
          <w:rFonts w:eastAsia="仿宋_GB2312"/>
          <w:sz w:val="28"/>
        </w:rPr>
        <w:t>1、《中华人民共和国民法典》（2020年5月28日经十三届全国人大三次会议表决通过，2021年1月1日起正式施行）；</w:t>
      </w:r>
    </w:p>
    <w:p>
      <w:pPr>
        <w:spacing w:line="460" w:lineRule="exact"/>
        <w:ind w:firstLine="560" w:firstLineChars="200"/>
        <w:rPr>
          <w:rFonts w:eastAsia="仿宋_GB2312"/>
          <w:sz w:val="28"/>
        </w:rPr>
      </w:pPr>
      <w:r>
        <w:rPr>
          <w:rFonts w:eastAsia="仿宋_GB2312"/>
          <w:sz w:val="28"/>
        </w:rPr>
        <w:t>2、《中华人民共和国城市房地产管理法》（1994年7月5日第八届全国人民代表大会常务委员会第八次会议通过，1995年1月1日施行，根据2007年8月30日第十届全国人民代表大会常务委员会第二十九次会议《关于修改〈中华人民共和国城市房地产管理法〉的决定》修正，2007年8月30日中华人民共和国主席令第七十二号公布）；</w:t>
      </w:r>
    </w:p>
    <w:p>
      <w:pPr>
        <w:spacing w:line="460" w:lineRule="exact"/>
        <w:ind w:firstLine="560" w:firstLineChars="200"/>
        <w:rPr>
          <w:rFonts w:eastAsia="仿宋_GB2312"/>
          <w:sz w:val="28"/>
        </w:rPr>
      </w:pPr>
      <w:r>
        <w:rPr>
          <w:rFonts w:eastAsia="仿宋_GB2312"/>
          <w:sz w:val="28"/>
        </w:rPr>
        <w:t>3、《中华人民共和国土地管理法》（第二次修正，2004年8月28日中华人民共和国主席令第28号公布）；</w:t>
      </w:r>
    </w:p>
    <w:p>
      <w:pPr>
        <w:spacing w:line="460" w:lineRule="exact"/>
        <w:ind w:firstLine="560" w:firstLineChars="200"/>
        <w:rPr>
          <w:rFonts w:eastAsia="仿宋_GB2312"/>
          <w:sz w:val="28"/>
        </w:rPr>
      </w:pPr>
      <w:r>
        <w:rPr>
          <w:rFonts w:eastAsia="仿宋_GB2312"/>
          <w:sz w:val="28"/>
        </w:rPr>
        <w:t>4、中华人民共和国资产评估法》已由中华人民共和国第十二届全国人民代表大会常务委员会第二十一次会议于2016年7月2日通过，自2016年12月1日起施行;</w:t>
      </w:r>
    </w:p>
    <w:p>
      <w:pPr>
        <w:pStyle w:val="9"/>
        <w:spacing w:line="520" w:lineRule="exact"/>
        <w:ind w:firstLine="573"/>
        <w:rPr>
          <w:rFonts w:ascii="Times New Roman" w:hAnsi="Times New Roman" w:eastAsia="仿宋_GB2312"/>
          <w:szCs w:val="28"/>
        </w:rPr>
      </w:pPr>
      <w:bookmarkStart w:id="14" w:name="_Toc286326429"/>
      <w:bookmarkStart w:id="15" w:name="_Toc258487710"/>
      <w:r>
        <w:rPr>
          <w:rFonts w:ascii="Times New Roman" w:hAnsi="Times New Roman" w:eastAsia="仿宋_GB2312"/>
          <w:szCs w:val="28"/>
        </w:rPr>
        <w:t>5、《中华人民共和国城乡规划法》（2007年10月28日第十届全国人民代表大会常务委员会第三十次会议通过，2007年10月28日中华人民共和国主席令第74号公布）；</w:t>
      </w:r>
      <w:bookmarkEnd w:id="14"/>
      <w:bookmarkEnd w:id="15"/>
    </w:p>
    <w:p>
      <w:pPr>
        <w:spacing w:line="520" w:lineRule="exact"/>
        <w:ind w:firstLine="560" w:firstLineChars="200"/>
        <w:rPr>
          <w:rFonts w:eastAsia="仿宋_GB2312"/>
          <w:sz w:val="28"/>
        </w:rPr>
      </w:pPr>
      <w:r>
        <w:rPr>
          <w:rFonts w:eastAsia="仿宋_GB2312"/>
          <w:sz w:val="28"/>
        </w:rPr>
        <w:t>6、</w:t>
      </w:r>
      <w:r>
        <w:rPr>
          <w:rFonts w:hint="eastAsia" w:eastAsia="仿宋_GB2312"/>
          <w:sz w:val="28"/>
        </w:rPr>
        <w:t>《中华人民共和国土地管理法实施条例》（中华人民共和国国务院令第256号发布，2021年4月21日，国务院第132次会议修订通过《中华人民共和国土地管理法实施条例》，自2021年9月1日起施行）；</w:t>
      </w:r>
    </w:p>
    <w:p>
      <w:pPr>
        <w:pStyle w:val="5"/>
        <w:spacing w:line="520" w:lineRule="exact"/>
        <w:rPr>
          <w:rFonts w:eastAsia="仿宋_GB2312"/>
          <w:color w:val="000000"/>
        </w:rPr>
      </w:pPr>
      <w:r>
        <w:rPr>
          <w:rFonts w:eastAsia="仿宋_GB2312"/>
          <w:color w:val="000000"/>
        </w:rPr>
        <w:t>7.《中华人民共和国城镇国有土地使用权出让和转让暂行条例》（1990年5月19日中华人民共和国国务院令第55号，1990年5月19日施行）；</w:t>
      </w:r>
    </w:p>
    <w:p>
      <w:pPr>
        <w:spacing w:line="520" w:lineRule="exact"/>
        <w:ind w:firstLine="560" w:firstLineChars="200"/>
        <w:rPr>
          <w:rFonts w:eastAsia="仿宋_GB2312"/>
          <w:sz w:val="28"/>
          <w:szCs w:val="28"/>
        </w:rPr>
      </w:pPr>
      <w:r>
        <w:rPr>
          <w:rFonts w:eastAsia="仿宋_GB2312"/>
          <w:sz w:val="28"/>
          <w:szCs w:val="28"/>
        </w:rPr>
        <w:t>（二）技术标准、规程、规范</w:t>
      </w:r>
      <w:bookmarkEnd w:id="13"/>
    </w:p>
    <w:p>
      <w:pPr>
        <w:spacing w:line="520" w:lineRule="exact"/>
        <w:ind w:firstLine="560" w:firstLineChars="200"/>
        <w:rPr>
          <w:rFonts w:eastAsia="仿宋_GB2312"/>
          <w:color w:val="000000"/>
          <w:sz w:val="28"/>
        </w:rPr>
      </w:pPr>
      <w:r>
        <w:rPr>
          <w:rFonts w:eastAsia="仿宋_GB2312"/>
          <w:sz w:val="28"/>
        </w:rPr>
        <w:t>1、《房地产估价规范》（GB/T5029</w:t>
      </w:r>
      <w:r>
        <w:rPr>
          <w:rFonts w:eastAsia="仿宋_GB2312"/>
          <w:color w:val="000000"/>
          <w:sz w:val="28"/>
        </w:rPr>
        <w:t>1-2015）；</w:t>
      </w:r>
    </w:p>
    <w:p>
      <w:pPr>
        <w:spacing w:line="520" w:lineRule="exact"/>
        <w:ind w:firstLine="560" w:firstLineChars="200"/>
        <w:rPr>
          <w:rFonts w:eastAsia="仿宋_GB2312"/>
          <w:color w:val="000000"/>
          <w:sz w:val="28"/>
        </w:rPr>
      </w:pPr>
      <w:r>
        <w:rPr>
          <w:rFonts w:eastAsia="仿宋_GB2312"/>
          <w:color w:val="000000"/>
          <w:sz w:val="28"/>
        </w:rPr>
        <w:t>2、《城镇土地估价规程》（GB/T18508-2014）；</w:t>
      </w:r>
    </w:p>
    <w:p>
      <w:pPr>
        <w:spacing w:line="520" w:lineRule="exact"/>
        <w:ind w:firstLine="560" w:firstLineChars="200"/>
        <w:rPr>
          <w:rFonts w:eastAsia="仿宋_GB2312"/>
          <w:sz w:val="28"/>
        </w:rPr>
      </w:pPr>
      <w:r>
        <w:rPr>
          <w:rFonts w:eastAsia="仿宋_GB2312"/>
          <w:sz w:val="28"/>
        </w:rPr>
        <w:t>3、《司法鉴定程序通则》（司法部令第132号）；</w:t>
      </w:r>
    </w:p>
    <w:p>
      <w:pPr>
        <w:tabs>
          <w:tab w:val="left" w:pos="3178"/>
        </w:tabs>
        <w:spacing w:line="520" w:lineRule="exact"/>
        <w:ind w:firstLine="560" w:firstLineChars="200"/>
        <w:textAlignment w:val="baseline"/>
        <w:rPr>
          <w:rFonts w:eastAsia="仿宋_GB2312"/>
          <w:sz w:val="28"/>
        </w:rPr>
      </w:pPr>
      <w:r>
        <w:rPr>
          <w:rFonts w:eastAsia="仿宋_GB2312"/>
          <w:sz w:val="28"/>
        </w:rPr>
        <w:t>4、《江苏省涉案财产价格鉴证条例》；</w:t>
      </w:r>
    </w:p>
    <w:p>
      <w:pPr>
        <w:tabs>
          <w:tab w:val="left" w:pos="3178"/>
        </w:tabs>
        <w:spacing w:line="520" w:lineRule="exact"/>
        <w:ind w:firstLine="560" w:firstLineChars="200"/>
        <w:textAlignment w:val="baseline"/>
        <w:rPr>
          <w:rFonts w:eastAsia="仿宋_GB2312"/>
          <w:sz w:val="28"/>
        </w:rPr>
      </w:pPr>
      <w:r>
        <w:rPr>
          <w:rFonts w:eastAsia="仿宋_GB2312"/>
          <w:sz w:val="28"/>
        </w:rPr>
        <w:t>5、《江苏省涉案财产价格鉴证操作规程（试行）》。</w:t>
      </w:r>
    </w:p>
    <w:p>
      <w:pPr>
        <w:spacing w:line="520" w:lineRule="exact"/>
        <w:ind w:firstLine="560" w:firstLineChars="200"/>
        <w:rPr>
          <w:rFonts w:eastAsia="仿宋_GB2312"/>
          <w:sz w:val="28"/>
        </w:rPr>
      </w:pPr>
      <w:bookmarkStart w:id="16" w:name="_Toc363576080"/>
      <w:r>
        <w:rPr>
          <w:rFonts w:eastAsia="仿宋_GB2312"/>
          <w:sz w:val="28"/>
        </w:rPr>
        <w:t>（三）估价委托人提供的相关资料</w:t>
      </w:r>
      <w:bookmarkEnd w:id="16"/>
    </w:p>
    <w:p>
      <w:pPr>
        <w:spacing w:line="520" w:lineRule="exact"/>
        <w:ind w:firstLine="560" w:firstLineChars="200"/>
        <w:rPr>
          <w:rFonts w:eastAsia="仿宋_GB2312"/>
          <w:sz w:val="28"/>
        </w:rPr>
      </w:pPr>
      <w:r>
        <w:rPr>
          <w:rFonts w:eastAsia="仿宋_GB2312"/>
          <w:sz w:val="28"/>
        </w:rPr>
        <w:t>1、鉴定委托书【（202</w:t>
      </w:r>
      <w:r>
        <w:rPr>
          <w:rFonts w:hint="eastAsia" w:eastAsia="仿宋_GB2312"/>
          <w:sz w:val="28"/>
        </w:rPr>
        <w:t>1</w:t>
      </w:r>
      <w:r>
        <w:rPr>
          <w:rFonts w:eastAsia="仿宋_GB2312"/>
          <w:sz w:val="28"/>
        </w:rPr>
        <w:t>）苏09</w:t>
      </w:r>
      <w:r>
        <w:rPr>
          <w:rFonts w:hint="eastAsia" w:eastAsia="仿宋_GB2312"/>
          <w:sz w:val="28"/>
          <w:lang w:val="en-US" w:eastAsia="zh-CN"/>
        </w:rPr>
        <w:t>03</w:t>
      </w:r>
      <w:r>
        <w:rPr>
          <w:rFonts w:eastAsia="仿宋_GB2312"/>
          <w:sz w:val="28"/>
        </w:rPr>
        <w:t>法</w:t>
      </w:r>
      <w:r>
        <w:rPr>
          <w:rFonts w:hint="eastAsia" w:eastAsia="仿宋_GB2312"/>
          <w:sz w:val="28"/>
          <w:lang w:val="en-US" w:eastAsia="zh-CN"/>
        </w:rPr>
        <w:t>司</w:t>
      </w:r>
      <w:r>
        <w:rPr>
          <w:rFonts w:eastAsia="仿宋_GB2312"/>
          <w:sz w:val="28"/>
        </w:rPr>
        <w:t>鉴委字第</w:t>
      </w:r>
      <w:r>
        <w:rPr>
          <w:rFonts w:hint="eastAsia" w:eastAsia="仿宋_GB2312"/>
          <w:sz w:val="28"/>
          <w:lang w:val="en-US" w:eastAsia="zh-CN"/>
        </w:rPr>
        <w:t>386</w:t>
      </w:r>
      <w:r>
        <w:rPr>
          <w:rFonts w:eastAsia="仿宋_GB2312"/>
          <w:sz w:val="28"/>
        </w:rPr>
        <w:t>号】；</w:t>
      </w:r>
    </w:p>
    <w:p>
      <w:pPr>
        <w:spacing w:line="520" w:lineRule="exact"/>
        <w:ind w:firstLine="560" w:firstLineChars="200"/>
        <w:rPr>
          <w:rFonts w:eastAsia="仿宋_GB2312"/>
          <w:sz w:val="28"/>
        </w:rPr>
      </w:pPr>
      <w:r>
        <w:rPr>
          <w:rFonts w:eastAsia="仿宋_GB2312"/>
          <w:sz w:val="28"/>
        </w:rPr>
        <w:t>2、估价对象证明材料；</w:t>
      </w:r>
    </w:p>
    <w:p>
      <w:pPr>
        <w:spacing w:line="520" w:lineRule="exact"/>
        <w:ind w:firstLine="560" w:firstLineChars="200"/>
        <w:rPr>
          <w:rFonts w:eastAsia="仿宋_GB2312"/>
          <w:sz w:val="28"/>
        </w:rPr>
      </w:pPr>
      <w:r>
        <w:rPr>
          <w:rFonts w:eastAsia="仿宋_GB2312"/>
          <w:sz w:val="28"/>
        </w:rPr>
        <w:t>3、估价委托人提供的与本次估价相关的其他资料。</w:t>
      </w:r>
    </w:p>
    <w:p>
      <w:pPr>
        <w:spacing w:line="520" w:lineRule="exact"/>
        <w:ind w:firstLine="560" w:firstLineChars="200"/>
        <w:rPr>
          <w:rFonts w:eastAsia="仿宋_GB2312"/>
          <w:sz w:val="28"/>
        </w:rPr>
      </w:pPr>
      <w:bookmarkStart w:id="17" w:name="_Toc363576081"/>
      <w:r>
        <w:rPr>
          <w:rFonts w:eastAsia="仿宋_GB2312"/>
          <w:sz w:val="28"/>
        </w:rPr>
        <w:t>（四）估价人员调查收集的相关资料</w:t>
      </w:r>
      <w:bookmarkEnd w:id="17"/>
    </w:p>
    <w:p>
      <w:pPr>
        <w:spacing w:line="520" w:lineRule="exact"/>
        <w:ind w:firstLine="560" w:firstLineChars="200"/>
        <w:rPr>
          <w:rFonts w:eastAsia="仿宋_GB2312"/>
          <w:sz w:val="28"/>
        </w:rPr>
      </w:pPr>
      <w:r>
        <w:rPr>
          <w:rFonts w:eastAsia="仿宋_GB2312"/>
          <w:sz w:val="28"/>
        </w:rPr>
        <w:t>1、估价人员实地查勘和估价机构掌握的其他相关资料。</w:t>
      </w:r>
    </w:p>
    <w:p>
      <w:pPr>
        <w:spacing w:line="520" w:lineRule="exact"/>
        <w:ind w:firstLine="560" w:firstLineChars="200"/>
        <w:rPr>
          <w:rFonts w:eastAsia="仿宋_GB2312"/>
          <w:sz w:val="28"/>
        </w:rPr>
      </w:pPr>
      <w:r>
        <w:rPr>
          <w:rFonts w:eastAsia="仿宋_GB2312"/>
          <w:sz w:val="28"/>
        </w:rPr>
        <w:t>1.1估价人员实地踏勘和调查收集的有关估价对象成新、维护和使用方面的资料。</w:t>
      </w:r>
    </w:p>
    <w:p>
      <w:pPr>
        <w:spacing w:line="520" w:lineRule="exact"/>
        <w:ind w:firstLine="560" w:firstLineChars="200"/>
        <w:rPr>
          <w:rFonts w:eastAsia="仿宋_GB2312"/>
          <w:sz w:val="28"/>
        </w:rPr>
      </w:pPr>
      <w:r>
        <w:rPr>
          <w:rFonts w:eastAsia="仿宋_GB2312"/>
          <w:sz w:val="28"/>
        </w:rPr>
        <w:t>1.2有关估价对象实体及利用状况、周边环境；</w:t>
      </w:r>
    </w:p>
    <w:p>
      <w:pPr>
        <w:spacing w:line="520" w:lineRule="exact"/>
        <w:ind w:firstLine="560" w:firstLineChars="200"/>
        <w:rPr>
          <w:rFonts w:eastAsia="仿宋_GB2312"/>
          <w:sz w:val="28"/>
        </w:rPr>
      </w:pPr>
      <w:r>
        <w:rPr>
          <w:rFonts w:eastAsia="仿宋_GB2312"/>
          <w:sz w:val="28"/>
        </w:rPr>
        <w:t>1.3涉及盐城市房屋建设过程中有关规费、税收等资料。</w:t>
      </w:r>
    </w:p>
    <w:p>
      <w:pPr>
        <w:spacing w:line="520" w:lineRule="exact"/>
        <w:ind w:firstLine="560" w:firstLineChars="200"/>
        <w:rPr>
          <w:rFonts w:eastAsia="仿宋_GB2312"/>
          <w:sz w:val="28"/>
        </w:rPr>
      </w:pPr>
      <w:r>
        <w:rPr>
          <w:rFonts w:eastAsia="仿宋_GB2312"/>
          <w:sz w:val="28"/>
        </w:rPr>
        <w:t>1.4估价对象所在区域的房地产市场状况、同类房地产市场信息等相关数据资料。</w:t>
      </w:r>
    </w:p>
    <w:p>
      <w:pPr>
        <w:pStyle w:val="4"/>
        <w:spacing w:before="0" w:after="0" w:line="520" w:lineRule="exact"/>
        <w:rPr>
          <w:sz w:val="30"/>
          <w:szCs w:val="30"/>
        </w:rPr>
      </w:pPr>
      <w:bookmarkStart w:id="18" w:name="_Toc19783"/>
      <w:r>
        <w:rPr>
          <w:sz w:val="30"/>
          <w:szCs w:val="30"/>
        </w:rPr>
        <w:t>八、估价原则</w:t>
      </w:r>
      <w:bookmarkEnd w:id="18"/>
    </w:p>
    <w:p>
      <w:pPr>
        <w:spacing w:line="520" w:lineRule="exact"/>
        <w:ind w:firstLine="560" w:firstLineChars="200"/>
        <w:rPr>
          <w:rFonts w:eastAsia="仿宋_GB2312"/>
          <w:sz w:val="28"/>
        </w:rPr>
      </w:pPr>
      <w:r>
        <w:rPr>
          <w:rFonts w:eastAsia="仿宋_GB2312"/>
          <w:sz w:val="28"/>
        </w:rPr>
        <w:t>本次估价遵守独立、客观、公正、合法的原则及最高最佳使用原则、价值时点原则、替代原则等技术性原则。</w:t>
      </w:r>
    </w:p>
    <w:p>
      <w:pPr>
        <w:spacing w:line="520" w:lineRule="exact"/>
        <w:ind w:firstLine="560" w:firstLineChars="200"/>
        <w:rPr>
          <w:rFonts w:eastAsia="仿宋_GB2312"/>
          <w:sz w:val="28"/>
        </w:rPr>
      </w:pPr>
      <w:r>
        <w:rPr>
          <w:rFonts w:eastAsia="仿宋_GB2312"/>
          <w:sz w:val="28"/>
        </w:rPr>
        <w:t>1合法原则</w:t>
      </w:r>
    </w:p>
    <w:p>
      <w:pPr>
        <w:spacing w:line="520" w:lineRule="exact"/>
        <w:ind w:firstLine="560" w:firstLineChars="200"/>
        <w:rPr>
          <w:rFonts w:eastAsia="仿宋_GB2312"/>
          <w:sz w:val="28"/>
        </w:rPr>
      </w:pPr>
      <w:r>
        <w:rPr>
          <w:rFonts w:eastAsia="仿宋_GB2312"/>
          <w:sz w:val="28"/>
        </w:rPr>
        <w:t>应以估价对象的合法产权、合法使用、合法处分为前提估价。所谓合法，是指符合国家的法律、法规和当地政府的有关规定，其权益才能受法律保护，并体现其权益价值。</w:t>
      </w:r>
    </w:p>
    <w:p>
      <w:pPr>
        <w:spacing w:line="520" w:lineRule="exact"/>
        <w:ind w:firstLine="560" w:firstLineChars="200"/>
        <w:rPr>
          <w:rFonts w:eastAsia="仿宋_GB2312"/>
          <w:sz w:val="28"/>
        </w:rPr>
      </w:pPr>
      <w:r>
        <w:rPr>
          <w:rFonts w:eastAsia="仿宋_GB2312"/>
          <w:sz w:val="28"/>
        </w:rPr>
        <w:t>2独立、客观、公正原则</w:t>
      </w:r>
    </w:p>
    <w:p>
      <w:pPr>
        <w:spacing w:line="520" w:lineRule="exact"/>
        <w:ind w:firstLine="560" w:firstLineChars="200"/>
        <w:rPr>
          <w:rFonts w:eastAsia="仿宋_GB2312"/>
          <w:sz w:val="28"/>
        </w:rPr>
      </w:pPr>
      <w:r>
        <w:rPr>
          <w:rFonts w:eastAsia="仿宋_GB2312"/>
          <w:sz w:val="28"/>
        </w:rPr>
        <w:t>要求估价机构有完全独立性，估价机构和估价人员与估价对象及相关当事人没有利害关系，不受外部干扰因素影响，从实际出发，公平合理地进行估价。</w:t>
      </w:r>
    </w:p>
    <w:p>
      <w:pPr>
        <w:spacing w:line="520" w:lineRule="exact"/>
        <w:ind w:firstLine="560" w:firstLineChars="200"/>
        <w:rPr>
          <w:rFonts w:eastAsia="仿宋_GB2312"/>
          <w:sz w:val="28"/>
        </w:rPr>
      </w:pPr>
      <w:r>
        <w:rPr>
          <w:rFonts w:eastAsia="仿宋_GB2312"/>
          <w:sz w:val="28"/>
        </w:rPr>
        <w:t>3最高最佳使用原则</w:t>
      </w:r>
    </w:p>
    <w:p>
      <w:pPr>
        <w:spacing w:line="520" w:lineRule="exact"/>
        <w:ind w:firstLine="560" w:firstLineChars="200"/>
        <w:rPr>
          <w:rFonts w:eastAsia="仿宋_GB2312"/>
          <w:sz w:val="28"/>
        </w:rPr>
      </w:pPr>
      <w:r>
        <w:rPr>
          <w:rFonts w:eastAsia="仿宋_GB2312"/>
          <w:sz w:val="28"/>
        </w:rPr>
        <w:t>应以估价对象的最高最佳使用为前提估价。所谓最高最佳使用，是估价对象的一种最可能的使用，这种最可能的使用，是法律上允许、技术上可能、财务上可行，经过充分合理的论证，并能给估价对象带来最高价值的使用。</w:t>
      </w:r>
    </w:p>
    <w:p>
      <w:pPr>
        <w:spacing w:line="520" w:lineRule="exact"/>
        <w:ind w:firstLine="560" w:firstLineChars="200"/>
        <w:rPr>
          <w:rFonts w:eastAsia="仿宋_GB2312"/>
          <w:sz w:val="28"/>
        </w:rPr>
      </w:pPr>
      <w:r>
        <w:rPr>
          <w:rFonts w:eastAsia="仿宋_GB2312"/>
          <w:sz w:val="28"/>
        </w:rPr>
        <w:t>4替代原则</w:t>
      </w:r>
    </w:p>
    <w:p>
      <w:pPr>
        <w:spacing w:line="520" w:lineRule="exact"/>
        <w:ind w:firstLine="560" w:firstLineChars="200"/>
        <w:rPr>
          <w:rFonts w:eastAsia="仿宋_GB2312"/>
          <w:sz w:val="28"/>
        </w:rPr>
      </w:pPr>
      <w:r>
        <w:rPr>
          <w:rFonts w:eastAsia="仿宋_GB2312"/>
          <w:sz w:val="28"/>
        </w:rPr>
        <w:t>要求估价结果不得明显偏离类似房地产在同等条件下的正常价格。</w:t>
      </w:r>
    </w:p>
    <w:p>
      <w:pPr>
        <w:spacing w:line="520" w:lineRule="exact"/>
        <w:ind w:firstLine="560" w:firstLineChars="200"/>
        <w:rPr>
          <w:rFonts w:eastAsia="仿宋_GB2312"/>
          <w:sz w:val="28"/>
        </w:rPr>
      </w:pPr>
      <w:r>
        <w:rPr>
          <w:rFonts w:eastAsia="仿宋_GB2312"/>
          <w:sz w:val="28"/>
        </w:rPr>
        <w:t>5价值时点原则</w:t>
      </w:r>
    </w:p>
    <w:p>
      <w:pPr>
        <w:spacing w:line="520" w:lineRule="exact"/>
        <w:ind w:firstLine="560" w:firstLineChars="200"/>
        <w:rPr>
          <w:rFonts w:eastAsia="仿宋_GB2312"/>
          <w:sz w:val="28"/>
        </w:rPr>
      </w:pPr>
      <w:r>
        <w:rPr>
          <w:rFonts w:eastAsia="仿宋_GB2312"/>
          <w:sz w:val="28"/>
        </w:rPr>
        <w:t>要求估价结果应是估价对象在价值时点的客观合理的价值。同一宗房地产在不同时点往往会有不同的价格，所以在评估一宗房地产价格时，必须假定市场情况停止在价值时点上，同时估价对象房地产的状况也是以其在该时点的状况为准。</w:t>
      </w:r>
    </w:p>
    <w:p>
      <w:pPr>
        <w:spacing w:line="520" w:lineRule="exact"/>
        <w:ind w:firstLine="560" w:firstLineChars="200"/>
        <w:rPr>
          <w:rFonts w:eastAsia="仿宋_GB2312"/>
          <w:sz w:val="28"/>
        </w:rPr>
      </w:pPr>
      <w:r>
        <w:rPr>
          <w:rFonts w:eastAsia="仿宋_GB2312"/>
          <w:sz w:val="28"/>
        </w:rPr>
        <w:t>总之，在估价过程中，以国家有关法律、法规为依据，坚持真实性、公平性和可行性原则，并严格保守在估价过程中知悉的估价委托人的</w:t>
      </w:r>
      <w:r>
        <w:rPr>
          <w:rFonts w:hint="eastAsia" w:eastAsia="仿宋_GB2312"/>
          <w:sz w:val="28"/>
          <w:lang w:eastAsia="zh-CN"/>
        </w:rPr>
        <w:t>住宅</w:t>
      </w:r>
      <w:r>
        <w:rPr>
          <w:rFonts w:eastAsia="仿宋_GB2312"/>
          <w:sz w:val="28"/>
        </w:rPr>
        <w:t>秘密。</w:t>
      </w:r>
    </w:p>
    <w:p>
      <w:pPr>
        <w:pStyle w:val="4"/>
        <w:spacing w:before="0" w:after="0" w:line="520" w:lineRule="exact"/>
        <w:rPr>
          <w:sz w:val="30"/>
          <w:szCs w:val="30"/>
        </w:rPr>
      </w:pPr>
      <w:bookmarkStart w:id="19" w:name="_Toc9949"/>
      <w:r>
        <w:rPr>
          <w:sz w:val="30"/>
          <w:szCs w:val="30"/>
        </w:rPr>
        <w:t>九、估价方法</w:t>
      </w:r>
      <w:bookmarkEnd w:id="19"/>
    </w:p>
    <w:p>
      <w:pPr>
        <w:spacing w:line="520" w:lineRule="exact"/>
        <w:ind w:firstLine="560" w:firstLineChars="200"/>
        <w:rPr>
          <w:rFonts w:eastAsia="仿宋_GB2312"/>
          <w:sz w:val="28"/>
          <w:szCs w:val="28"/>
        </w:rPr>
      </w:pPr>
      <w:r>
        <w:rPr>
          <w:rFonts w:eastAsia="仿宋_GB2312"/>
          <w:sz w:val="28"/>
          <w:szCs w:val="28"/>
        </w:rPr>
        <w:t>（一）估价方法适用性分析</w:t>
      </w:r>
    </w:p>
    <w:p>
      <w:pPr>
        <w:spacing w:line="520" w:lineRule="exact"/>
        <w:ind w:firstLine="560" w:firstLineChars="200"/>
        <w:rPr>
          <w:rFonts w:eastAsia="仿宋_GB2312"/>
          <w:sz w:val="28"/>
          <w:szCs w:val="28"/>
        </w:rPr>
      </w:pPr>
      <w:r>
        <w:rPr>
          <w:rFonts w:eastAsia="仿宋_GB2312"/>
          <w:sz w:val="28"/>
          <w:szCs w:val="28"/>
        </w:rPr>
        <w:t>根据《房地产估价规范》（GB/T50291-2015）、《房地产估价基本术语标准》（GB/T50899-2013），通行的估价方法有比较法、成本法、收益法、假设开发法等。不同的估价方法从不同的角度反映了房地产在一定权利状态及一定时点的价值水平，只是各种方法的适用条件、特点、对资料的要求有所不同，需根据特定的估价目的、估价对象、市场情况等选择适宜的估价方法。</w:t>
      </w:r>
    </w:p>
    <w:p>
      <w:pPr>
        <w:spacing w:line="520" w:lineRule="exact"/>
        <w:ind w:firstLine="560" w:firstLineChars="200"/>
        <w:rPr>
          <w:rFonts w:eastAsia="仿宋_GB2312"/>
          <w:sz w:val="28"/>
          <w:szCs w:val="28"/>
        </w:rPr>
      </w:pPr>
      <w:r>
        <w:rPr>
          <w:rFonts w:eastAsia="仿宋_GB2312"/>
          <w:sz w:val="28"/>
          <w:szCs w:val="28"/>
        </w:rPr>
        <w:t>1、比较法：比较法是将估价对象与在价值时点近期有过交易的类似房地产进行比较，对这些类似房地产的已知价格做适当修正，以此估算估价对象的客观合理价格或价值的方法。比较法适用于区域同类房地交易活跃、交易资料易于收集的估价项目。估价对象所在区域类似房地产近期交易转让可比实例多，故适宜采用比较法。</w:t>
      </w:r>
    </w:p>
    <w:p>
      <w:pPr>
        <w:spacing w:line="520" w:lineRule="exact"/>
        <w:ind w:firstLine="560" w:firstLineChars="200"/>
        <w:rPr>
          <w:rFonts w:eastAsia="仿宋_GB2312"/>
          <w:sz w:val="28"/>
          <w:szCs w:val="28"/>
        </w:rPr>
      </w:pPr>
      <w:r>
        <w:rPr>
          <w:rFonts w:eastAsia="仿宋_GB2312"/>
          <w:sz w:val="28"/>
          <w:szCs w:val="28"/>
        </w:rPr>
        <w:t>2、收益法：收益法是预计估价对象未来的正常净收益，选用适当的资本化率将其折算到价值时点后累加，以此估算估价对象的客观合理价格或价值的方法。收益法适用于有收益或潜在收益的房地产。估价对象登记用途为</w:t>
      </w:r>
      <w:r>
        <w:rPr>
          <w:rFonts w:hint="eastAsia" w:eastAsia="仿宋_GB2312"/>
          <w:sz w:val="28"/>
          <w:szCs w:val="28"/>
          <w:lang w:eastAsia="zh-CN"/>
        </w:rPr>
        <w:t>住宅</w:t>
      </w:r>
      <w:r>
        <w:rPr>
          <w:rFonts w:eastAsia="仿宋_GB2312"/>
          <w:sz w:val="28"/>
          <w:szCs w:val="28"/>
        </w:rPr>
        <w:t>用房，现状为</w:t>
      </w:r>
      <w:r>
        <w:rPr>
          <w:rFonts w:hint="eastAsia" w:eastAsia="仿宋_GB2312"/>
          <w:sz w:val="28"/>
          <w:szCs w:val="28"/>
          <w:lang w:eastAsia="zh-CN"/>
        </w:rPr>
        <w:t>住宅</w:t>
      </w:r>
      <w:r>
        <w:rPr>
          <w:rFonts w:eastAsia="仿宋_GB2312"/>
          <w:sz w:val="28"/>
          <w:szCs w:val="28"/>
        </w:rPr>
        <w:t>用房，且周边类似房地产多为租用，故可采用收益法求取其房地产价格。</w:t>
      </w:r>
    </w:p>
    <w:p>
      <w:pPr>
        <w:spacing w:line="520" w:lineRule="exact"/>
        <w:ind w:firstLine="560" w:firstLineChars="200"/>
        <w:rPr>
          <w:rFonts w:eastAsia="仿宋_GB2312"/>
          <w:sz w:val="28"/>
          <w:szCs w:val="28"/>
        </w:rPr>
      </w:pPr>
      <w:r>
        <w:rPr>
          <w:rFonts w:eastAsia="仿宋_GB2312"/>
          <w:sz w:val="28"/>
          <w:szCs w:val="28"/>
        </w:rPr>
        <w:t>3、成本法：成本法是求取估价对象在价值时点的市场价格或重建价格，然后扣除折旧，以此估算估价对象的客观合理价格或价值的方法。估价对象为住宅用房，也可采用成本法求取房地产价格,但成本测算与市场价格误差较大,故不宜采用成本法。</w:t>
      </w:r>
    </w:p>
    <w:p>
      <w:pPr>
        <w:spacing w:line="520" w:lineRule="exact"/>
        <w:ind w:firstLine="560" w:firstLineChars="200"/>
        <w:rPr>
          <w:rFonts w:eastAsia="仿宋_GB2312"/>
          <w:sz w:val="28"/>
          <w:szCs w:val="28"/>
        </w:rPr>
      </w:pPr>
      <w:r>
        <w:rPr>
          <w:rFonts w:eastAsia="仿宋_GB2312"/>
          <w:sz w:val="28"/>
          <w:szCs w:val="28"/>
        </w:rPr>
        <w:t>4、假设开发法：假设开发法是预测估价对象开发完成后的价值，扣除预计的正常开发成本、税费和利润，以此估算估价对象的客观合理价格或价值的方法。假设开发法适用于具有投资开发或再开发潜力的房地产估价项目。估价对象为正常使用中的房地产，其开发或再开发为同种类型房地产的潜力不大，故不宜采用假设开发法进行评估。</w:t>
      </w:r>
    </w:p>
    <w:p>
      <w:pPr>
        <w:spacing w:line="520" w:lineRule="exact"/>
        <w:ind w:firstLine="560" w:firstLineChars="200"/>
        <w:rPr>
          <w:rFonts w:eastAsia="仿宋_GB2312"/>
          <w:sz w:val="28"/>
          <w:szCs w:val="28"/>
        </w:rPr>
      </w:pPr>
      <w:r>
        <w:rPr>
          <w:rFonts w:eastAsia="仿宋_GB2312"/>
          <w:sz w:val="28"/>
          <w:szCs w:val="28"/>
        </w:rPr>
        <w:t>（二）采用的估价方法、定义及公示</w:t>
      </w:r>
    </w:p>
    <w:p>
      <w:pPr>
        <w:spacing w:line="520" w:lineRule="exact"/>
        <w:ind w:firstLine="560" w:firstLineChars="200"/>
        <w:rPr>
          <w:rFonts w:eastAsia="仿宋_GB2312"/>
          <w:sz w:val="28"/>
        </w:rPr>
      </w:pPr>
      <w:r>
        <w:rPr>
          <w:rFonts w:eastAsia="仿宋_GB2312"/>
          <w:sz w:val="28"/>
        </w:rPr>
        <w:t>综上所述，本公司估价师结合估价对象的具体状况，在对其进行实地查勘（包括对估价对象地理位置、周围环境及估价对象的建筑、结构及配套设施等），以及类似房地产调查后，按照评估程序，认真分析了影响估价对象价值的相关因素，最终确定估价对象采用市场比较法进行测算。</w:t>
      </w:r>
    </w:p>
    <w:p>
      <w:pPr>
        <w:spacing w:line="460" w:lineRule="exact"/>
        <w:ind w:firstLine="560"/>
        <w:rPr>
          <w:rFonts w:eastAsia="仿宋_GB2312"/>
          <w:sz w:val="28"/>
        </w:rPr>
      </w:pPr>
      <w:r>
        <w:rPr>
          <w:rFonts w:eastAsia="仿宋_GB2312"/>
          <w:sz w:val="28"/>
        </w:rPr>
        <w:t>1、比较法具体估价思路为：将估价对象与在价值时点近期交易的同一供需范围内的类似房地产进行比较，对这些类似房地产的成交价格从交易情况、市场状况、权益状况、区位状况、实物状况等各方面与估价对象具体条件进行比较修正，以此求取估价对象客观合理价格的方法。其所用公式为：</w:t>
      </w:r>
    </w:p>
    <w:p>
      <w:pPr>
        <w:spacing w:line="460" w:lineRule="exact"/>
        <w:ind w:firstLine="560" w:firstLineChars="200"/>
        <w:rPr>
          <w:rFonts w:eastAsia="仿宋_GB2312"/>
          <w:sz w:val="28"/>
        </w:rPr>
      </w:pPr>
      <w:r>
        <w:rPr>
          <w:rFonts w:eastAsia="仿宋_GB2312"/>
          <w:sz w:val="28"/>
        </w:rPr>
        <w:t xml:space="preserve"> 估价对象比较价格＝可比实例交易价格×交易情况调整数系数×市场状况调整系数×区位状况调整系数×权益状况调整系数×实物状况调整系数</w:t>
      </w:r>
    </w:p>
    <w:p>
      <w:pPr>
        <w:spacing w:line="460" w:lineRule="exact"/>
        <w:ind w:firstLine="560" w:firstLineChars="200"/>
        <w:rPr>
          <w:rFonts w:eastAsia="仿宋_GB2312"/>
          <w:sz w:val="28"/>
        </w:rPr>
      </w:pPr>
      <w:bookmarkStart w:id="20" w:name="_Toc27288"/>
      <w:r>
        <w:rPr>
          <w:rFonts w:eastAsia="仿宋_GB2312"/>
          <w:sz w:val="28"/>
        </w:rPr>
        <w:t>2、收益法具体估价思路为：收益法是指预计估价对象未来的正常净收益，选用适当的资本化率，将其折现到价值时点后累加，以此估算估价对象的客观合理价格或价值的方法。本次估价对象同类房地产未来收益有一定增幅，在房地产报酬率不变，年收益递增情况下，收益年期有限的情况下，其所用公式：</w:t>
      </w:r>
    </w:p>
    <w:p>
      <w:pPr>
        <w:spacing w:line="460" w:lineRule="exact"/>
        <w:ind w:firstLine="560" w:firstLineChars="200"/>
        <w:rPr>
          <w:rFonts w:eastAsia="仿宋_GB2312"/>
          <w:sz w:val="28"/>
          <w:szCs w:val="28"/>
        </w:rPr>
      </w:pPr>
      <w:r>
        <w:rPr>
          <w:rFonts w:eastAsia="仿宋_GB2312"/>
          <w:sz w:val="28"/>
          <w:szCs w:val="28"/>
        </w:rPr>
        <w:t>V1=a/（r-s）×{1-[(1+s)n /(1+r)n]}</w:t>
      </w:r>
    </w:p>
    <w:p>
      <w:pPr>
        <w:spacing w:line="460" w:lineRule="exact"/>
        <w:ind w:firstLine="560" w:firstLineChars="200"/>
        <w:rPr>
          <w:rFonts w:eastAsia="仿宋_GB2312"/>
          <w:sz w:val="28"/>
          <w:szCs w:val="28"/>
        </w:rPr>
      </w:pPr>
      <w:r>
        <w:rPr>
          <w:rFonts w:eastAsia="仿宋_GB2312"/>
          <w:sz w:val="28"/>
          <w:szCs w:val="28"/>
        </w:rPr>
        <w:t>V1──房地产收益价值；</w:t>
      </w:r>
    </w:p>
    <w:p>
      <w:pPr>
        <w:spacing w:line="460" w:lineRule="exact"/>
        <w:ind w:firstLine="560" w:firstLineChars="200"/>
        <w:rPr>
          <w:rFonts w:eastAsia="仿宋_GB2312"/>
          <w:sz w:val="28"/>
          <w:szCs w:val="28"/>
        </w:rPr>
      </w:pPr>
      <w:r>
        <w:rPr>
          <w:rFonts w:eastAsia="仿宋_GB2312"/>
          <w:sz w:val="28"/>
          <w:szCs w:val="28"/>
        </w:rPr>
        <w:t>a──房地产年纯收益；</w:t>
      </w:r>
    </w:p>
    <w:p>
      <w:pPr>
        <w:spacing w:line="460" w:lineRule="exact"/>
        <w:ind w:firstLine="560" w:firstLineChars="200"/>
        <w:rPr>
          <w:rFonts w:eastAsia="仿宋_GB2312"/>
          <w:sz w:val="28"/>
          <w:szCs w:val="28"/>
        </w:rPr>
      </w:pPr>
      <w:r>
        <w:rPr>
          <w:rFonts w:eastAsia="仿宋_GB2312"/>
          <w:sz w:val="28"/>
          <w:szCs w:val="28"/>
        </w:rPr>
        <w:t>r──房地产报酬率；</w:t>
      </w:r>
    </w:p>
    <w:p>
      <w:pPr>
        <w:spacing w:line="460" w:lineRule="exact"/>
        <w:ind w:firstLine="560" w:firstLineChars="200"/>
        <w:rPr>
          <w:rFonts w:eastAsia="仿宋_GB2312"/>
          <w:sz w:val="28"/>
          <w:szCs w:val="28"/>
        </w:rPr>
      </w:pPr>
      <w:r>
        <w:rPr>
          <w:rFonts w:eastAsia="仿宋_GB2312"/>
          <w:sz w:val="28"/>
          <w:szCs w:val="28"/>
        </w:rPr>
        <w:t>s──年收益递增率；</w:t>
      </w:r>
    </w:p>
    <w:p>
      <w:pPr>
        <w:spacing w:line="460" w:lineRule="exact"/>
        <w:ind w:firstLine="560" w:firstLineChars="200"/>
        <w:rPr>
          <w:rFonts w:eastAsia="仿宋_GB2312"/>
          <w:sz w:val="28"/>
          <w:szCs w:val="28"/>
        </w:rPr>
      </w:pPr>
      <w:r>
        <w:rPr>
          <w:rFonts w:eastAsia="仿宋_GB2312"/>
          <w:sz w:val="28"/>
          <w:szCs w:val="28"/>
        </w:rPr>
        <w:t>n──房地产收益年限；</w:t>
      </w:r>
    </w:p>
    <w:p>
      <w:pPr>
        <w:spacing w:line="460" w:lineRule="exact"/>
        <w:ind w:firstLine="280" w:firstLineChars="100"/>
        <w:rPr>
          <w:rFonts w:eastAsia="仿宋_GB2312"/>
          <w:sz w:val="28"/>
          <w:szCs w:val="28"/>
        </w:rPr>
      </w:pPr>
      <w:r>
        <w:rPr>
          <w:rFonts w:eastAsia="仿宋_GB2312"/>
          <w:sz w:val="28"/>
          <w:szCs w:val="28"/>
        </w:rPr>
        <w:t>（三）、</w:t>
      </w:r>
      <w:r>
        <w:rPr>
          <w:rFonts w:eastAsia="仿宋_GB2312"/>
          <w:color w:val="000000"/>
          <w:sz w:val="28"/>
          <w:szCs w:val="28"/>
        </w:rPr>
        <w:t>装饰装潢、附属设施采用市场价结合成新率确定。</w:t>
      </w:r>
    </w:p>
    <w:p>
      <w:pPr>
        <w:pStyle w:val="4"/>
        <w:spacing w:before="0" w:after="0" w:line="460" w:lineRule="exact"/>
        <w:rPr>
          <w:sz w:val="30"/>
          <w:szCs w:val="30"/>
        </w:rPr>
      </w:pPr>
      <w:r>
        <w:rPr>
          <w:sz w:val="30"/>
          <w:szCs w:val="30"/>
        </w:rPr>
        <w:t>十、估价结果</w:t>
      </w:r>
      <w:bookmarkEnd w:id="20"/>
    </w:p>
    <w:p>
      <w:pPr>
        <w:snapToGrid w:val="0"/>
        <w:spacing w:line="460" w:lineRule="exact"/>
        <w:ind w:right="-13" w:rightChars="-6" w:firstLine="560" w:firstLineChars="200"/>
        <w:rPr>
          <w:rFonts w:eastAsia="仿宋_GB2312"/>
          <w:sz w:val="28"/>
        </w:rPr>
      </w:pPr>
      <w:r>
        <w:rPr>
          <w:rFonts w:eastAsia="仿宋_GB2312"/>
          <w:sz w:val="28"/>
        </w:rPr>
        <w:t>本估价机构根据估价目的，遵循估价原则，按照估价程序，采用科学合理的估价方法，在认真分析现有资料的基础上，经过测算，结合估价经验与对影响房地产</w:t>
      </w:r>
      <w:r>
        <w:rPr>
          <w:rFonts w:hint="eastAsia" w:eastAsia="仿宋_GB2312"/>
          <w:sz w:val="28"/>
          <w:lang w:eastAsia="zh-CN"/>
        </w:rPr>
        <w:t>市场价值（含室内装潢附属及可移动物品）</w:t>
      </w:r>
      <w:r>
        <w:rPr>
          <w:rFonts w:eastAsia="仿宋_GB2312"/>
          <w:sz w:val="28"/>
        </w:rPr>
        <w:t>因素的分析，确定估价对象于价值时点的房地产评估价值为</w:t>
      </w:r>
      <w:r>
        <w:rPr>
          <w:rFonts w:hint="eastAsia" w:eastAsia="仿宋_GB2312"/>
          <w:sz w:val="28"/>
          <w:lang w:eastAsia="zh-CN"/>
        </w:rPr>
        <w:t>175.15万元</w:t>
      </w:r>
      <w:r>
        <w:rPr>
          <w:rFonts w:eastAsia="仿宋_GB2312"/>
          <w:sz w:val="28"/>
        </w:rPr>
        <w:t>，人民币大写：</w:t>
      </w:r>
      <w:r>
        <w:rPr>
          <w:rFonts w:eastAsia="仿宋_GB2312"/>
          <w:b/>
          <w:bCs/>
          <w:sz w:val="28"/>
        </w:rPr>
        <w:fldChar w:fldCharType="begin"/>
      </w:r>
      <w:r>
        <w:rPr>
          <w:rFonts w:eastAsia="仿宋_GB2312"/>
          <w:b/>
          <w:bCs/>
          <w:sz w:val="28"/>
        </w:rPr>
        <w:instrText xml:space="preserve"> = 23180300 \* CHINESENUM2 \* MERGEFORMAT </w:instrText>
      </w:r>
      <w:r>
        <w:rPr>
          <w:rFonts w:eastAsia="仿宋_GB2312"/>
          <w:b/>
          <w:bCs/>
          <w:sz w:val="28"/>
        </w:rPr>
        <w:fldChar w:fldCharType="separate"/>
      </w:r>
      <w:r>
        <w:rPr>
          <w:rFonts w:hint="eastAsia" w:eastAsia="仿宋_GB2312"/>
          <w:b/>
          <w:bCs/>
          <w:sz w:val="28"/>
          <w:lang w:eastAsia="zh-CN"/>
        </w:rPr>
        <w:t>壹佰柒拾伍万壹仟伍佰</w:t>
      </w:r>
      <w:r>
        <w:rPr>
          <w:rFonts w:eastAsia="仿宋_GB2312"/>
          <w:b/>
          <w:bCs/>
          <w:sz w:val="28"/>
        </w:rPr>
        <w:fldChar w:fldCharType="end"/>
      </w:r>
      <w:r>
        <w:rPr>
          <w:rFonts w:eastAsia="仿宋_GB2312"/>
          <w:sz w:val="28"/>
        </w:rPr>
        <w:t>元整。</w:t>
      </w:r>
    </w:p>
    <w:p>
      <w:pPr>
        <w:pStyle w:val="4"/>
        <w:spacing w:before="0" w:after="0" w:line="480" w:lineRule="exact"/>
        <w:rPr>
          <w:sz w:val="30"/>
          <w:szCs w:val="30"/>
        </w:rPr>
      </w:pPr>
      <w:bookmarkStart w:id="21" w:name="_Toc26402"/>
      <w:r>
        <w:rPr>
          <w:sz w:val="30"/>
          <w:szCs w:val="30"/>
        </w:rPr>
        <w:t>十一、注册房估价师</w:t>
      </w:r>
      <w:bookmarkEnd w:id="21"/>
    </w:p>
    <w:p>
      <w:pPr>
        <w:tabs>
          <w:tab w:val="center" w:pos="4484"/>
        </w:tabs>
        <w:spacing w:line="480" w:lineRule="exact"/>
        <w:ind w:firstLine="560" w:firstLineChars="200"/>
        <w:jc w:val="center"/>
        <w:rPr>
          <w:rFonts w:eastAsia="楷体_GB2312"/>
          <w:sz w:val="28"/>
          <w:szCs w:val="28"/>
        </w:rPr>
      </w:pPr>
      <w:bookmarkStart w:id="22" w:name="_Toc444266614"/>
      <w:bookmarkStart w:id="23" w:name="_Toc444868266"/>
      <w:r>
        <w:rPr>
          <w:rFonts w:eastAsia="仿宋_GB2312"/>
          <w:sz w:val="28"/>
        </w:rPr>
        <w:t>注册房地产估价师签名</w:t>
      </w:r>
    </w:p>
    <w:tbl>
      <w:tblPr>
        <w:tblStyle w:val="1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9"/>
        <w:gridCol w:w="2339"/>
        <w:gridCol w:w="255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8" w:type="pct"/>
            <w:vAlign w:val="center"/>
          </w:tcPr>
          <w:p>
            <w:pPr>
              <w:spacing w:line="480" w:lineRule="exact"/>
              <w:jc w:val="center"/>
              <w:rPr>
                <w:rFonts w:eastAsia="仿宋_GB2312"/>
                <w:sz w:val="28"/>
              </w:rPr>
            </w:pPr>
            <w:r>
              <w:rPr>
                <w:rFonts w:eastAsia="仿宋_GB2312"/>
                <w:sz w:val="28"/>
              </w:rPr>
              <w:t>姓名</w:t>
            </w:r>
          </w:p>
        </w:tc>
        <w:tc>
          <w:tcPr>
            <w:tcW w:w="1222" w:type="pct"/>
            <w:vAlign w:val="center"/>
          </w:tcPr>
          <w:p>
            <w:pPr>
              <w:spacing w:line="480" w:lineRule="exact"/>
              <w:jc w:val="center"/>
              <w:rPr>
                <w:rFonts w:eastAsia="仿宋_GB2312"/>
                <w:sz w:val="28"/>
              </w:rPr>
            </w:pPr>
            <w:r>
              <w:rPr>
                <w:rFonts w:eastAsia="仿宋_GB2312"/>
                <w:sz w:val="28"/>
              </w:rPr>
              <w:t>注册号</w:t>
            </w:r>
          </w:p>
        </w:tc>
        <w:tc>
          <w:tcPr>
            <w:tcW w:w="1333" w:type="pct"/>
            <w:vAlign w:val="center"/>
          </w:tcPr>
          <w:p>
            <w:pPr>
              <w:tabs>
                <w:tab w:val="center" w:pos="4484"/>
              </w:tabs>
              <w:spacing w:line="480" w:lineRule="exact"/>
              <w:ind w:firstLine="560" w:firstLineChars="200"/>
              <w:rPr>
                <w:rFonts w:eastAsia="仿宋_GB2312"/>
                <w:sz w:val="28"/>
              </w:rPr>
            </w:pPr>
            <w:r>
              <w:rPr>
                <w:rFonts w:eastAsia="仿宋_GB2312"/>
                <w:sz w:val="28"/>
              </w:rPr>
              <w:t>签 名</w:t>
            </w:r>
          </w:p>
        </w:tc>
        <w:tc>
          <w:tcPr>
            <w:tcW w:w="1555" w:type="pct"/>
            <w:vAlign w:val="center"/>
          </w:tcPr>
          <w:p>
            <w:pPr>
              <w:spacing w:line="480" w:lineRule="exact"/>
              <w:jc w:val="center"/>
              <w:rPr>
                <w:rFonts w:eastAsia="仿宋_GB2312"/>
                <w:sz w:val="28"/>
              </w:rPr>
            </w:pPr>
            <w:r>
              <w:rPr>
                <w:rFonts w:eastAsia="仿宋_GB2312"/>
                <w:sz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888" w:type="pct"/>
            <w:vAlign w:val="center"/>
          </w:tcPr>
          <w:p>
            <w:pPr>
              <w:spacing w:line="480" w:lineRule="exact"/>
              <w:jc w:val="center"/>
              <w:rPr>
                <w:rFonts w:eastAsia="仿宋_GB2312"/>
                <w:sz w:val="28"/>
              </w:rPr>
            </w:pPr>
            <w:r>
              <w:rPr>
                <w:rFonts w:eastAsia="仿宋_GB2312"/>
                <w:sz w:val="28"/>
              </w:rPr>
              <w:t>蔡志国</w:t>
            </w:r>
          </w:p>
        </w:tc>
        <w:tc>
          <w:tcPr>
            <w:tcW w:w="1222" w:type="pct"/>
            <w:vAlign w:val="center"/>
          </w:tcPr>
          <w:p>
            <w:pPr>
              <w:spacing w:line="480" w:lineRule="exact"/>
              <w:jc w:val="center"/>
              <w:rPr>
                <w:rFonts w:eastAsia="楷体_GB2312"/>
                <w:sz w:val="32"/>
                <w:szCs w:val="32"/>
              </w:rPr>
            </w:pPr>
            <w:r>
              <w:rPr>
                <w:rFonts w:eastAsia="仿宋_GB2312"/>
                <w:color w:val="000000"/>
                <w:sz w:val="28"/>
              </w:rPr>
              <w:t>3220040399</w:t>
            </w:r>
          </w:p>
        </w:tc>
        <w:tc>
          <w:tcPr>
            <w:tcW w:w="1333" w:type="pct"/>
            <w:vAlign w:val="center"/>
          </w:tcPr>
          <w:p>
            <w:pPr>
              <w:spacing w:line="480" w:lineRule="exact"/>
              <w:jc w:val="center"/>
              <w:rPr>
                <w:rFonts w:eastAsia="仿宋_GB2312"/>
                <w:sz w:val="28"/>
              </w:rPr>
            </w:pPr>
          </w:p>
        </w:tc>
        <w:tc>
          <w:tcPr>
            <w:tcW w:w="1555" w:type="pct"/>
            <w:vAlign w:val="center"/>
          </w:tcPr>
          <w:p>
            <w:pPr>
              <w:spacing w:line="480" w:lineRule="exact"/>
              <w:jc w:val="center"/>
              <w:rPr>
                <w:rFonts w:hint="eastAsia" w:eastAsia="仿宋_GB2312"/>
                <w:sz w:val="28"/>
                <w:lang w:eastAsia="zh-CN"/>
              </w:rPr>
            </w:pPr>
            <w:r>
              <w:rPr>
                <w:rFonts w:hint="eastAsia" w:eastAsia="仿宋_GB2312"/>
                <w:sz w:val="28"/>
                <w:lang w:eastAsia="zh-CN"/>
              </w:rPr>
              <w:t>2022年</w:t>
            </w:r>
            <w:r>
              <w:rPr>
                <w:rFonts w:hint="eastAsia" w:eastAsia="仿宋_GB2312"/>
                <w:sz w:val="28"/>
                <w:lang w:val="en-US" w:eastAsia="zh-CN"/>
              </w:rPr>
              <w:t>2</w:t>
            </w:r>
            <w:r>
              <w:rPr>
                <w:rFonts w:hint="eastAsia" w:eastAsia="仿宋_GB2312"/>
                <w:sz w:val="28"/>
                <w:lang w:eastAsia="zh-CN"/>
              </w:rPr>
              <w:t>月</w:t>
            </w:r>
            <w:r>
              <w:rPr>
                <w:rFonts w:hint="eastAsia" w:eastAsia="仿宋_GB2312"/>
                <w:sz w:val="28"/>
                <w:lang w:val="en-US" w:eastAsia="zh-CN"/>
              </w:rPr>
              <w:t>8</w:t>
            </w:r>
            <w:r>
              <w:rPr>
                <w:rFonts w:hint="eastAsia" w:eastAsia="仿宋_GB2312"/>
                <w:sz w:val="28"/>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88" w:type="pct"/>
            <w:vAlign w:val="center"/>
          </w:tcPr>
          <w:p>
            <w:pPr>
              <w:spacing w:line="480" w:lineRule="exact"/>
              <w:jc w:val="center"/>
              <w:rPr>
                <w:rFonts w:eastAsia="仿宋_GB2312"/>
                <w:sz w:val="28"/>
              </w:rPr>
            </w:pPr>
            <w:r>
              <w:rPr>
                <w:rFonts w:eastAsia="仿宋_GB2312"/>
                <w:sz w:val="28"/>
              </w:rPr>
              <w:t>严小利</w:t>
            </w:r>
          </w:p>
        </w:tc>
        <w:tc>
          <w:tcPr>
            <w:tcW w:w="1222" w:type="pct"/>
            <w:vAlign w:val="center"/>
          </w:tcPr>
          <w:p>
            <w:pPr>
              <w:spacing w:line="480" w:lineRule="exact"/>
              <w:jc w:val="center"/>
              <w:rPr>
                <w:rFonts w:eastAsia="仿宋_GB2312"/>
                <w:sz w:val="28"/>
              </w:rPr>
            </w:pPr>
            <w:r>
              <w:rPr>
                <w:rFonts w:eastAsia="楷体_GB2312"/>
                <w:sz w:val="32"/>
                <w:szCs w:val="32"/>
              </w:rPr>
              <w:t>3220180125</w:t>
            </w:r>
          </w:p>
        </w:tc>
        <w:tc>
          <w:tcPr>
            <w:tcW w:w="1333" w:type="pct"/>
            <w:vAlign w:val="center"/>
          </w:tcPr>
          <w:p>
            <w:pPr>
              <w:spacing w:line="480" w:lineRule="exact"/>
              <w:jc w:val="center"/>
              <w:rPr>
                <w:rFonts w:eastAsia="仿宋_GB2312"/>
                <w:sz w:val="28"/>
              </w:rPr>
            </w:pPr>
          </w:p>
        </w:tc>
        <w:tc>
          <w:tcPr>
            <w:tcW w:w="1555" w:type="pct"/>
            <w:vAlign w:val="center"/>
          </w:tcPr>
          <w:p>
            <w:pPr>
              <w:spacing w:line="480" w:lineRule="exact"/>
              <w:jc w:val="center"/>
              <w:rPr>
                <w:rFonts w:hint="eastAsia" w:eastAsia="仿宋_GB2312"/>
                <w:sz w:val="28"/>
                <w:lang w:eastAsia="zh-CN"/>
              </w:rPr>
            </w:pPr>
            <w:r>
              <w:rPr>
                <w:rFonts w:hint="eastAsia" w:eastAsia="仿宋_GB2312"/>
                <w:sz w:val="28"/>
                <w:lang w:eastAsia="zh-CN"/>
              </w:rPr>
              <w:t>2022年</w:t>
            </w:r>
            <w:r>
              <w:rPr>
                <w:rFonts w:hint="eastAsia" w:eastAsia="仿宋_GB2312"/>
                <w:sz w:val="28"/>
                <w:lang w:val="en-US" w:eastAsia="zh-CN"/>
              </w:rPr>
              <w:t>2</w:t>
            </w:r>
            <w:r>
              <w:rPr>
                <w:rFonts w:hint="eastAsia" w:eastAsia="仿宋_GB2312"/>
                <w:sz w:val="28"/>
                <w:lang w:eastAsia="zh-CN"/>
              </w:rPr>
              <w:t>月</w:t>
            </w:r>
            <w:r>
              <w:rPr>
                <w:rFonts w:hint="eastAsia" w:eastAsia="仿宋_GB2312"/>
                <w:sz w:val="28"/>
                <w:lang w:val="en-US" w:eastAsia="zh-CN"/>
              </w:rPr>
              <w:t>8</w:t>
            </w:r>
            <w:r>
              <w:rPr>
                <w:rFonts w:hint="eastAsia" w:eastAsia="仿宋_GB2312"/>
                <w:sz w:val="28"/>
                <w:lang w:eastAsia="zh-CN"/>
              </w:rPr>
              <w:t>日</w:t>
            </w:r>
          </w:p>
        </w:tc>
      </w:tr>
    </w:tbl>
    <w:p>
      <w:pPr>
        <w:pStyle w:val="4"/>
        <w:spacing w:before="0" w:after="0" w:line="500" w:lineRule="exact"/>
        <w:rPr>
          <w:sz w:val="30"/>
          <w:szCs w:val="30"/>
        </w:rPr>
      </w:pPr>
      <w:bookmarkStart w:id="24" w:name="_Toc11971"/>
      <w:r>
        <w:rPr>
          <w:sz w:val="30"/>
          <w:szCs w:val="30"/>
        </w:rPr>
        <w:t>十二、实地查勘期</w:t>
      </w:r>
      <w:bookmarkEnd w:id="22"/>
      <w:bookmarkEnd w:id="23"/>
      <w:bookmarkEnd w:id="24"/>
    </w:p>
    <w:p>
      <w:pPr>
        <w:spacing w:line="500" w:lineRule="exact"/>
        <w:ind w:firstLine="560" w:firstLineChars="200"/>
        <w:rPr>
          <w:rFonts w:hint="eastAsia" w:eastAsia="仿宋_GB2312"/>
          <w:lang w:eastAsia="zh-CN"/>
        </w:rPr>
      </w:pPr>
      <w:r>
        <w:rPr>
          <w:rFonts w:hint="eastAsia" w:eastAsia="仿宋_GB2312"/>
          <w:sz w:val="28"/>
          <w:szCs w:val="28"/>
          <w:lang w:eastAsia="zh-CN"/>
        </w:rPr>
        <w:t>2022年1月21日</w:t>
      </w:r>
    </w:p>
    <w:p>
      <w:pPr>
        <w:pStyle w:val="4"/>
        <w:spacing w:before="0" w:after="0" w:line="520" w:lineRule="exact"/>
        <w:rPr>
          <w:sz w:val="30"/>
          <w:szCs w:val="30"/>
        </w:rPr>
      </w:pPr>
      <w:bookmarkStart w:id="25" w:name="_Toc444868267"/>
      <w:bookmarkStart w:id="26" w:name="_Toc8910"/>
      <w:bookmarkStart w:id="27" w:name="_Toc444266615"/>
      <w:r>
        <w:rPr>
          <w:sz w:val="30"/>
          <w:szCs w:val="30"/>
        </w:rPr>
        <w:t>十三、估价作业期</w:t>
      </w:r>
      <w:bookmarkEnd w:id="25"/>
      <w:bookmarkEnd w:id="26"/>
      <w:bookmarkEnd w:id="27"/>
    </w:p>
    <w:p>
      <w:pPr>
        <w:snapToGrid w:val="0"/>
        <w:spacing w:line="520" w:lineRule="exact"/>
        <w:ind w:right="-13" w:rightChars="-6" w:firstLine="560" w:firstLineChars="200"/>
        <w:rPr>
          <w:rFonts w:hint="eastAsia" w:eastAsia="仿宋_GB2312"/>
          <w:sz w:val="28"/>
          <w:szCs w:val="28"/>
          <w:lang w:eastAsia="zh-CN"/>
        </w:rPr>
      </w:pPr>
      <w:r>
        <w:rPr>
          <w:rFonts w:hint="eastAsia" w:eastAsia="仿宋_GB2312"/>
          <w:sz w:val="28"/>
          <w:szCs w:val="28"/>
          <w:lang w:eastAsia="zh-CN"/>
        </w:rPr>
        <w:t>2022年1月21日</w:t>
      </w:r>
      <w:r>
        <w:rPr>
          <w:rFonts w:eastAsia="仿宋_GB2312"/>
          <w:sz w:val="28"/>
          <w:szCs w:val="28"/>
        </w:rPr>
        <w:t>-</w:t>
      </w:r>
      <w:r>
        <w:rPr>
          <w:rFonts w:hint="eastAsia" w:eastAsia="仿宋_GB2312"/>
          <w:sz w:val="28"/>
          <w:szCs w:val="28"/>
          <w:lang w:eastAsia="zh-CN"/>
        </w:rPr>
        <w:t>2022年</w:t>
      </w:r>
      <w:r>
        <w:rPr>
          <w:rFonts w:hint="eastAsia" w:eastAsia="仿宋_GB2312"/>
          <w:sz w:val="28"/>
          <w:szCs w:val="28"/>
          <w:lang w:val="en-US" w:eastAsia="zh-CN"/>
        </w:rPr>
        <w:t>2</w:t>
      </w:r>
      <w:r>
        <w:rPr>
          <w:rFonts w:hint="eastAsia" w:eastAsia="仿宋_GB2312"/>
          <w:sz w:val="28"/>
          <w:szCs w:val="28"/>
          <w:lang w:eastAsia="zh-CN"/>
        </w:rPr>
        <w:t>月</w:t>
      </w:r>
      <w:r>
        <w:rPr>
          <w:rFonts w:hint="eastAsia" w:eastAsia="仿宋_GB2312"/>
          <w:sz w:val="28"/>
          <w:szCs w:val="28"/>
          <w:lang w:val="en-US" w:eastAsia="zh-CN"/>
        </w:rPr>
        <w:t>8</w:t>
      </w:r>
      <w:r>
        <w:rPr>
          <w:rFonts w:hint="eastAsia" w:eastAsia="仿宋_GB2312"/>
          <w:sz w:val="28"/>
          <w:szCs w:val="28"/>
          <w:lang w:eastAsia="zh-CN"/>
        </w:rPr>
        <w:t>日</w:t>
      </w:r>
    </w:p>
    <w:p>
      <w:pPr>
        <w:pStyle w:val="4"/>
        <w:spacing w:before="0" w:after="0" w:line="460" w:lineRule="exact"/>
        <w:rPr>
          <w:sz w:val="30"/>
          <w:szCs w:val="30"/>
        </w:rPr>
      </w:pPr>
      <w:bookmarkStart w:id="28" w:name="_Toc7639"/>
      <w:r>
        <w:rPr>
          <w:sz w:val="30"/>
          <w:szCs w:val="30"/>
        </w:rPr>
        <w:t>十四、房地产估价报告使用特别提示</w:t>
      </w:r>
      <w:bookmarkEnd w:id="28"/>
    </w:p>
    <w:p>
      <w:pPr>
        <w:spacing w:line="460" w:lineRule="exact"/>
        <w:ind w:left="279" w:leftChars="133" w:firstLine="280" w:firstLineChars="100"/>
        <w:rPr>
          <w:rFonts w:eastAsia="仿宋_GB2312"/>
          <w:sz w:val="28"/>
        </w:rPr>
      </w:pPr>
      <w:r>
        <w:rPr>
          <w:rFonts w:eastAsia="仿宋_GB2312"/>
          <w:sz w:val="28"/>
        </w:rPr>
        <w:t>1、当事人应当按照法律规定和评估报告载明的用途、使用人、使用期限等使用范围使用评估报告。否则，房地产估价机构和注册房地产估价师依法不承担责任；</w:t>
      </w:r>
    </w:p>
    <w:p>
      <w:pPr>
        <w:spacing w:line="460" w:lineRule="exact"/>
        <w:ind w:firstLine="560" w:firstLineChars="200"/>
        <w:rPr>
          <w:rFonts w:eastAsia="仿宋_GB2312"/>
          <w:sz w:val="28"/>
        </w:rPr>
      </w:pPr>
      <w:r>
        <w:rPr>
          <w:rFonts w:eastAsia="仿宋_GB2312"/>
          <w:sz w:val="28"/>
        </w:rPr>
        <w:t>2、评估结果仅为人民法院确定财产处置参考价服务，不是评估对象处</w:t>
      </w:r>
    </w:p>
    <w:p>
      <w:pPr>
        <w:spacing w:line="460" w:lineRule="exact"/>
        <w:ind w:firstLine="280" w:firstLineChars="100"/>
        <w:jc w:val="left"/>
        <w:rPr>
          <w:rFonts w:eastAsia="仿宋_GB2312"/>
          <w:sz w:val="28"/>
        </w:rPr>
      </w:pPr>
      <w:r>
        <w:rPr>
          <w:rFonts w:eastAsia="仿宋_GB2312"/>
          <w:sz w:val="28"/>
        </w:rPr>
        <w:t>置可实现的成交价格，也不应当被视为对评估对象处置成交价格的保证；</w:t>
      </w:r>
    </w:p>
    <w:p>
      <w:pPr>
        <w:spacing w:line="460" w:lineRule="exact"/>
        <w:ind w:firstLine="560" w:firstLineChars="200"/>
        <w:rPr>
          <w:rFonts w:eastAsia="仿宋_GB2312"/>
          <w:sz w:val="28"/>
        </w:rPr>
      </w:pPr>
      <w:r>
        <w:rPr>
          <w:rFonts w:eastAsia="仿宋_GB2312"/>
          <w:sz w:val="28"/>
        </w:rPr>
        <w:t>3、财产拍卖或者变卖之日与价值时点不一致，可能导致评估结果对应</w:t>
      </w:r>
    </w:p>
    <w:p>
      <w:pPr>
        <w:spacing w:line="460" w:lineRule="exact"/>
        <w:ind w:left="279" w:leftChars="133"/>
        <w:rPr>
          <w:rFonts w:eastAsia="仿宋_GB2312"/>
          <w:sz w:val="28"/>
        </w:rPr>
      </w:pPr>
      <w:r>
        <w:rPr>
          <w:rFonts w:eastAsia="仿宋_GB2312"/>
          <w:sz w:val="28"/>
        </w:rPr>
        <w:t>的评估对象状况、房地产市场状况、欠缴税费状况等与财产拍卖或者变卖时的相应状况不一致，发生明显变化的，评估结果应当进行相应调整后才可使用；</w:t>
      </w:r>
    </w:p>
    <w:p>
      <w:pPr>
        <w:spacing w:line="460" w:lineRule="exact"/>
        <w:ind w:firstLine="560" w:firstLineChars="200"/>
        <w:rPr>
          <w:rFonts w:eastAsia="仿宋_GB2312"/>
          <w:sz w:val="28"/>
        </w:rPr>
      </w:pPr>
      <w:r>
        <w:rPr>
          <w:rFonts w:eastAsia="仿宋_GB2312"/>
          <w:sz w:val="28"/>
        </w:rPr>
        <w:t>4、在评估报告使用期限或者评估结果有效期内，评估报告或者评估结</w:t>
      </w:r>
    </w:p>
    <w:p>
      <w:pPr>
        <w:spacing w:line="460" w:lineRule="exact"/>
        <w:ind w:left="279" w:leftChars="133"/>
        <w:rPr>
          <w:rFonts w:eastAsia="仿宋_GB2312"/>
          <w:sz w:val="28"/>
        </w:rPr>
      </w:pPr>
      <w:r>
        <w:rPr>
          <w:rFonts w:eastAsia="仿宋_GB2312"/>
          <w:sz w:val="28"/>
        </w:rPr>
        <w:t>果未使用之前，如果评估对象状况或者房地产市场状况发生明显变化的，评估结果应当进行相应调整后才可使用；</w:t>
      </w:r>
    </w:p>
    <w:p>
      <w:pPr>
        <w:spacing w:line="460" w:lineRule="exact"/>
        <w:ind w:firstLine="560" w:firstLineChars="200"/>
        <w:rPr>
          <w:rFonts w:eastAsia="仿宋_GB2312"/>
          <w:sz w:val="28"/>
        </w:rPr>
      </w:pPr>
      <w:r>
        <w:rPr>
          <w:rFonts w:eastAsia="仿宋_GB2312"/>
          <w:sz w:val="28"/>
        </w:rPr>
        <w:t>5、当事人、利害关系人收到评估报告后五日内可对评估报告的参照标</w:t>
      </w:r>
    </w:p>
    <w:p>
      <w:pPr>
        <w:spacing w:line="460" w:lineRule="exact"/>
        <w:ind w:left="279" w:leftChars="133"/>
        <w:rPr>
          <w:sz w:val="30"/>
          <w:szCs w:val="30"/>
        </w:rPr>
      </w:pPr>
      <w:r>
        <w:rPr>
          <w:rFonts w:eastAsia="仿宋_GB2312"/>
          <w:sz w:val="28"/>
        </w:rPr>
        <w:t>准、计算方法或者评估结果等向人民法院提出书面异议；当事人、利害关系人对评估机构作出的说明仍有异议的，可以提请人民法院委托评估行业组织进行专业技术评审。</w:t>
      </w:r>
      <w:bookmarkStart w:id="29" w:name="_Toc16241"/>
    </w:p>
    <w:p>
      <w:pPr>
        <w:spacing w:line="480" w:lineRule="exact"/>
        <w:ind w:firstLine="560" w:firstLineChars="200"/>
        <w:jc w:val="right"/>
        <w:rPr>
          <w:rFonts w:eastAsia="仿宋_GB2312"/>
          <w:sz w:val="28"/>
        </w:rPr>
      </w:pPr>
      <w:r>
        <w:rPr>
          <w:rFonts w:eastAsia="仿宋_GB2312"/>
          <w:sz w:val="28"/>
        </w:rPr>
        <w:t>江苏瑞地土地房地产评估有限公司</w:t>
      </w:r>
    </w:p>
    <w:p>
      <w:pPr>
        <w:pStyle w:val="4"/>
        <w:spacing w:before="0" w:after="0" w:line="400" w:lineRule="exact"/>
        <w:jc w:val="right"/>
        <w:rPr>
          <w:rFonts w:hint="eastAsia" w:eastAsia="仿宋_GB2312"/>
          <w:b w:val="0"/>
          <w:sz w:val="28"/>
          <w:lang w:eastAsia="zh-CN"/>
        </w:rPr>
      </w:pPr>
      <w:r>
        <w:rPr>
          <w:rFonts w:hint="eastAsia" w:eastAsia="仿宋_GB2312"/>
          <w:b w:val="0"/>
          <w:sz w:val="28"/>
          <w:lang w:eastAsia="zh-CN"/>
        </w:rPr>
        <w:t>二〇二二年二月八日</w:t>
      </w:r>
    </w:p>
    <w:p/>
    <w:p/>
    <w:p/>
    <w:p/>
    <w:p/>
    <w:p>
      <w:pPr>
        <w:pStyle w:val="4"/>
        <w:spacing w:before="0" w:after="0" w:line="400" w:lineRule="exact"/>
        <w:jc w:val="center"/>
        <w:rPr>
          <w:sz w:val="30"/>
          <w:szCs w:val="30"/>
        </w:rPr>
      </w:pPr>
      <w:r>
        <w:rPr>
          <w:sz w:val="30"/>
          <w:szCs w:val="30"/>
        </w:rPr>
        <w:t>附　件</w:t>
      </w:r>
      <w:bookmarkEnd w:id="29"/>
    </w:p>
    <w:p/>
    <w:p>
      <w:pPr>
        <w:autoSpaceDE w:val="0"/>
        <w:autoSpaceDN w:val="0"/>
        <w:snapToGrid w:val="0"/>
        <w:spacing w:line="520" w:lineRule="exact"/>
        <w:ind w:left="601" w:leftChars="286" w:right="-340"/>
        <w:textAlignment w:val="bottom"/>
        <w:rPr>
          <w:rFonts w:hint="eastAsia" w:eastAsia="仿宋_GB2312"/>
          <w:sz w:val="28"/>
          <w:lang w:eastAsia="zh-CN"/>
        </w:rPr>
      </w:pPr>
      <w:r>
        <w:rPr>
          <w:rFonts w:eastAsia="仿宋_GB2312"/>
          <w:sz w:val="28"/>
        </w:rPr>
        <w:t>1、</w:t>
      </w:r>
      <w:r>
        <w:rPr>
          <w:rFonts w:hint="eastAsia" w:eastAsia="仿宋_GB2312"/>
          <w:sz w:val="28"/>
          <w:lang w:eastAsia="zh-CN"/>
        </w:rPr>
        <w:t>（2021）苏0903法司鉴委字第386号司法鉴定委托书复印件</w:t>
      </w:r>
    </w:p>
    <w:p>
      <w:pPr>
        <w:autoSpaceDE w:val="0"/>
        <w:autoSpaceDN w:val="0"/>
        <w:snapToGrid w:val="0"/>
        <w:spacing w:line="520" w:lineRule="exact"/>
        <w:ind w:left="601" w:leftChars="286" w:right="-340"/>
        <w:textAlignment w:val="bottom"/>
        <w:rPr>
          <w:rFonts w:hint="eastAsia" w:eastAsia="仿宋_GB2312"/>
          <w:sz w:val="28"/>
          <w:lang w:eastAsia="zh-CN"/>
        </w:rPr>
      </w:pPr>
      <w:r>
        <w:rPr>
          <w:rFonts w:eastAsia="仿宋_GB2312"/>
          <w:sz w:val="28"/>
        </w:rPr>
        <w:t>2、</w:t>
      </w:r>
      <w:r>
        <w:rPr>
          <w:rFonts w:hint="eastAsia" w:eastAsia="仿宋_GB2312"/>
          <w:sz w:val="28"/>
          <w:lang w:eastAsia="zh-CN"/>
        </w:rPr>
        <w:t>《不动产登记簿查询记录》复印件</w:t>
      </w:r>
    </w:p>
    <w:p>
      <w:pPr>
        <w:autoSpaceDE w:val="0"/>
        <w:autoSpaceDN w:val="0"/>
        <w:snapToGrid w:val="0"/>
        <w:spacing w:line="520" w:lineRule="exact"/>
        <w:ind w:left="601" w:leftChars="286" w:right="-340"/>
        <w:textAlignment w:val="bottom"/>
        <w:rPr>
          <w:rFonts w:eastAsia="仿宋_GB2312"/>
          <w:sz w:val="28"/>
        </w:rPr>
      </w:pPr>
      <w:r>
        <w:rPr>
          <w:rFonts w:eastAsia="仿宋_GB2312"/>
          <w:sz w:val="28"/>
        </w:rPr>
        <w:t>3、估价对象现状照片</w:t>
      </w:r>
    </w:p>
    <w:p>
      <w:pPr>
        <w:autoSpaceDE w:val="0"/>
        <w:autoSpaceDN w:val="0"/>
        <w:snapToGrid w:val="0"/>
        <w:spacing w:line="520" w:lineRule="exact"/>
        <w:ind w:left="601" w:leftChars="286" w:right="-340"/>
        <w:textAlignment w:val="bottom"/>
        <w:rPr>
          <w:rFonts w:eastAsia="仿宋_GB2312"/>
          <w:sz w:val="28"/>
        </w:rPr>
      </w:pPr>
      <w:r>
        <w:rPr>
          <w:rFonts w:eastAsia="仿宋_GB2312"/>
          <w:sz w:val="28"/>
        </w:rPr>
        <w:t>4、估价对象区域位置示意图</w:t>
      </w:r>
    </w:p>
    <w:p>
      <w:pPr>
        <w:autoSpaceDE w:val="0"/>
        <w:autoSpaceDN w:val="0"/>
        <w:snapToGrid w:val="0"/>
        <w:spacing w:line="520" w:lineRule="exact"/>
        <w:ind w:left="601" w:leftChars="286" w:right="-340"/>
        <w:textAlignment w:val="bottom"/>
        <w:rPr>
          <w:rFonts w:eastAsia="仿宋_GB2312"/>
          <w:sz w:val="28"/>
        </w:rPr>
      </w:pPr>
      <w:r>
        <w:rPr>
          <w:rFonts w:eastAsia="仿宋_GB2312"/>
          <w:sz w:val="28"/>
        </w:rPr>
        <w:t>5、房地产估价机构营业执照复印件</w:t>
      </w:r>
    </w:p>
    <w:p>
      <w:pPr>
        <w:autoSpaceDE w:val="0"/>
        <w:autoSpaceDN w:val="0"/>
        <w:snapToGrid w:val="0"/>
        <w:spacing w:line="520" w:lineRule="exact"/>
        <w:ind w:left="1129" w:leftChars="271" w:right="-340" w:hanging="560" w:hangingChars="200"/>
        <w:textAlignment w:val="bottom"/>
        <w:rPr>
          <w:rFonts w:eastAsia="仿宋_GB2312"/>
          <w:sz w:val="28"/>
        </w:rPr>
      </w:pPr>
      <w:r>
        <w:rPr>
          <w:rFonts w:eastAsia="仿宋_GB2312"/>
          <w:sz w:val="28"/>
        </w:rPr>
        <w:t>6、房地产估价机构备案证书复印件</w:t>
      </w:r>
    </w:p>
    <w:p>
      <w:pPr>
        <w:autoSpaceDE w:val="0"/>
        <w:autoSpaceDN w:val="0"/>
        <w:snapToGrid w:val="0"/>
        <w:spacing w:line="520" w:lineRule="exact"/>
        <w:ind w:left="1129" w:leftChars="271" w:right="-340" w:hanging="560" w:hangingChars="200"/>
        <w:textAlignment w:val="bottom"/>
        <w:rPr>
          <w:rFonts w:eastAsia="仿宋_GB2312"/>
          <w:sz w:val="28"/>
        </w:rPr>
      </w:pPr>
      <w:r>
        <w:rPr>
          <w:rFonts w:eastAsia="仿宋_GB2312"/>
          <w:sz w:val="28"/>
        </w:rPr>
        <w:t>7、注册房地产估价师资格证书复印件</w:t>
      </w: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hint="eastAsia" w:eastAsia="仿宋_GB2312"/>
          <w:sz w:val="32"/>
          <w:szCs w:val="32"/>
          <w:lang w:eastAsia="zh-CN"/>
        </w:rPr>
      </w:pPr>
      <w:r>
        <w:rPr>
          <w:rFonts w:eastAsia="仿宋_GB2312"/>
          <w:sz w:val="32"/>
          <w:szCs w:val="32"/>
        </w:rPr>
        <w:t>估价对象位置示意图</w:t>
      </w:r>
    </w:p>
    <w:p>
      <w:pPr>
        <w:jc w:val="both"/>
        <w:rPr>
          <w:rFonts w:hint="eastAsia" w:eastAsia="仿宋_GB2312"/>
          <w:sz w:val="32"/>
          <w:szCs w:val="32"/>
          <w:lang w:val="en-US" w:eastAsia="zh-CN"/>
        </w:rPr>
      </w:pPr>
      <w:r>
        <w:rPr>
          <w:rFonts w:hint="eastAsia" w:eastAsia="仿宋_GB2312"/>
          <w:sz w:val="32"/>
          <w:szCs w:val="32"/>
          <w:lang w:val="en-US" w:eastAsia="zh-CN"/>
        </w:rPr>
        <w:t xml:space="preserve">    </w:t>
      </w:r>
    </w:p>
    <w:p>
      <w:pPr>
        <w:jc w:val="both"/>
        <w:rPr>
          <w:rFonts w:hint="eastAsia" w:eastAsia="仿宋_GB2312"/>
          <w:sz w:val="32"/>
          <w:szCs w:val="32"/>
          <w:lang w:val="en-US" w:eastAsia="zh-CN"/>
        </w:rPr>
      </w:pPr>
      <w:r>
        <w:rPr>
          <w:rFonts w:hint="eastAsia" w:eastAsia="仿宋_GB2312"/>
          <w:sz w:val="32"/>
          <w:szCs w:val="32"/>
          <w:lang w:val="en-US" w:eastAsia="zh-CN"/>
        </w:rPr>
        <w:drawing>
          <wp:inline distT="0" distB="0" distL="114300" distR="114300">
            <wp:extent cx="5939790" cy="4089400"/>
            <wp:effectExtent l="0" t="0" r="3810" b="10160"/>
            <wp:docPr id="1" name="图片 1" descr="盐城市盛世家苑位置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盐城市盛世家苑位置图"/>
                    <pic:cNvPicPr>
                      <a:picLocks noChangeAspect="1"/>
                    </pic:cNvPicPr>
                  </pic:nvPicPr>
                  <pic:blipFill>
                    <a:blip r:embed="rId7"/>
                    <a:stretch>
                      <a:fillRect/>
                    </a:stretch>
                  </pic:blipFill>
                  <pic:spPr>
                    <a:xfrm>
                      <a:off x="0" y="0"/>
                      <a:ext cx="5939790" cy="4089400"/>
                    </a:xfrm>
                    <a:prstGeom prst="rect">
                      <a:avLst/>
                    </a:prstGeom>
                  </pic:spPr>
                </pic:pic>
              </a:graphicData>
            </a:graphic>
          </wp:inline>
        </w:drawing>
      </w:r>
      <w:r>
        <w:rPr>
          <w:rFonts w:eastAsia="仿宋_GB2312"/>
          <w:sz w:val="32"/>
          <w:szCs w:val="32"/>
        </w:rPr>
        <w:pict>
          <v:shape id="_x0000_s1032" o:spid="_x0000_s1032" o:spt="63" type="#_x0000_t63" style="position:absolute;left:0pt;margin-left:214.15pt;margin-top:97.2pt;height:39pt;width:114.6pt;z-index:251659264;mso-width-relative:page;mso-height-relative:page;" fillcolor="#92D050" filled="t" stroked="t" coordsize="21600,21600" adj="-3949,25532">
            <v:path/>
            <v:fill on="t" focussize="0,0"/>
            <v:stroke weight="2.5pt" color="#C0504D" joinstyle="miter"/>
            <v:imagedata o:title=""/>
            <o:lock v:ext="edit"/>
            <v:textbox>
              <w:txbxContent>
                <w:p>
                  <w:r>
                    <w:rPr>
                      <w:rFonts w:hint="eastAsia"/>
                    </w:rPr>
                    <w:t>待估对象位置</w:t>
                  </w:r>
                </w:p>
              </w:txbxContent>
            </v:textbox>
          </v:shape>
        </w:pict>
      </w:r>
    </w:p>
    <w:p>
      <w:pPr>
        <w:jc w:val="both"/>
        <w:rPr>
          <w:rFonts w:hint="eastAsia" w:eastAsia="仿宋_GB2312"/>
          <w:sz w:val="32"/>
          <w:szCs w:val="32"/>
          <w:lang w:val="en-US" w:eastAsia="zh-CN"/>
        </w:rPr>
      </w:pPr>
    </w:p>
    <w:p>
      <w:pPr>
        <w:jc w:val="both"/>
        <w:rPr>
          <w:rFonts w:hint="eastAsia" w:eastAsia="仿宋_GB2312"/>
          <w:sz w:val="32"/>
          <w:szCs w:val="32"/>
          <w:lang w:val="en-US" w:eastAsia="zh-CN"/>
        </w:rPr>
      </w:pPr>
    </w:p>
    <w:p>
      <w:pPr>
        <w:jc w:val="both"/>
        <w:rPr>
          <w:rFonts w:hint="eastAsia" w:eastAsia="仿宋_GB2312"/>
          <w:sz w:val="32"/>
          <w:szCs w:val="32"/>
          <w:lang w:val="en-US" w:eastAsia="zh-CN"/>
        </w:rPr>
      </w:pPr>
    </w:p>
    <w:p>
      <w:pPr>
        <w:jc w:val="both"/>
        <w:rPr>
          <w:rFonts w:hint="eastAsia" w:eastAsia="仿宋_GB2312"/>
          <w:sz w:val="32"/>
          <w:szCs w:val="32"/>
          <w:lang w:val="en-US" w:eastAsia="zh-CN"/>
        </w:rPr>
      </w:pPr>
    </w:p>
    <w:p>
      <w:pPr>
        <w:jc w:val="both"/>
        <w:rPr>
          <w:rFonts w:hint="eastAsia" w:eastAsia="仿宋_GB2312"/>
          <w:sz w:val="32"/>
          <w:szCs w:val="32"/>
          <w:lang w:val="en-US" w:eastAsia="zh-CN"/>
        </w:rPr>
      </w:pPr>
    </w:p>
    <w:p>
      <w:pPr>
        <w:jc w:val="both"/>
        <w:rPr>
          <w:rFonts w:hint="eastAsia" w:eastAsia="仿宋_GB2312"/>
          <w:sz w:val="32"/>
          <w:szCs w:val="32"/>
          <w:lang w:val="en-US" w:eastAsia="zh-CN"/>
        </w:rPr>
      </w:pPr>
    </w:p>
    <w:p>
      <w:pPr>
        <w:jc w:val="both"/>
        <w:rPr>
          <w:rFonts w:hint="eastAsia" w:eastAsia="仿宋_GB2312"/>
          <w:sz w:val="32"/>
          <w:szCs w:val="32"/>
          <w:lang w:val="en-US" w:eastAsia="zh-CN"/>
        </w:rPr>
      </w:pPr>
    </w:p>
    <w:p>
      <w:pPr>
        <w:jc w:val="both"/>
        <w:rPr>
          <w:rFonts w:hint="eastAsia" w:eastAsia="仿宋_GB2312"/>
          <w:sz w:val="32"/>
          <w:szCs w:val="32"/>
          <w:lang w:val="en-US" w:eastAsia="zh-CN"/>
        </w:rPr>
      </w:pPr>
    </w:p>
    <w:p>
      <w:pPr>
        <w:jc w:val="both"/>
        <w:rPr>
          <w:rFonts w:hint="default" w:eastAsia="仿宋_GB2312"/>
          <w:sz w:val="32"/>
          <w:szCs w:val="32"/>
          <w:lang w:val="en-US" w:eastAsia="zh-CN"/>
        </w:rPr>
      </w:pPr>
    </w:p>
    <w:p>
      <w:pPr>
        <w:jc w:val="center"/>
        <w:rPr>
          <w:sz w:val="18"/>
          <w:szCs w:val="18"/>
        </w:rPr>
      </w:pPr>
      <w:r>
        <w:rPr>
          <w:rFonts w:eastAsia="仿宋_GB2312"/>
          <w:b/>
          <w:bCs/>
          <w:sz w:val="32"/>
          <w:szCs w:val="32"/>
        </w:rPr>
        <w:t>估价对象现状照片</w:t>
      </w:r>
    </w:p>
    <w:p>
      <w:pPr>
        <w:jc w:val="left"/>
        <w:rPr>
          <w:rFonts w:hint="eastAsia" w:eastAsia="仿宋_GB2312"/>
          <w:b/>
          <w:bCs/>
          <w:sz w:val="24"/>
          <w:lang w:eastAsia="zh-CN"/>
        </w:rPr>
      </w:pPr>
      <w:r>
        <w:rPr>
          <w:rFonts w:eastAsia="仿宋_GB2312"/>
          <w:b/>
          <w:bCs/>
          <w:sz w:val="24"/>
        </w:rPr>
        <w:t>坐落：</w:t>
      </w:r>
      <w:r>
        <w:rPr>
          <w:rFonts w:hint="eastAsia" w:eastAsia="仿宋_GB2312"/>
          <w:b/>
          <w:bCs/>
          <w:sz w:val="24"/>
          <w:lang w:eastAsia="zh-CN"/>
        </w:rPr>
        <w:t>盐城市亭湖区盛世家苑4幢107室</w:t>
      </w:r>
    </w:p>
    <w:tbl>
      <w:tblPr>
        <w:tblStyle w:val="17"/>
        <w:tblW w:w="10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5"/>
        <w:gridCol w:w="3421"/>
        <w:gridCol w:w="3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4" w:hRule="atLeast"/>
          <w:jc w:val="center"/>
        </w:trPr>
        <w:tc>
          <w:tcPr>
            <w:tcW w:w="3535" w:type="dxa"/>
            <w:vAlign w:val="center"/>
          </w:tcPr>
          <w:p>
            <w:pPr>
              <w:jc w:val="center"/>
              <w:rPr>
                <w:rFonts w:hint="eastAsia" w:eastAsia="仿宋_GB2312"/>
                <w:b/>
                <w:bCs/>
                <w:sz w:val="32"/>
                <w:szCs w:val="32"/>
                <w:lang w:eastAsia="zh-CN"/>
              </w:rPr>
            </w:pPr>
            <w:r>
              <w:rPr>
                <w:rFonts w:hint="eastAsia" w:eastAsia="仿宋_GB2312"/>
                <w:b/>
                <w:bCs/>
                <w:sz w:val="32"/>
                <w:szCs w:val="32"/>
                <w:lang w:eastAsia="zh-CN"/>
              </w:rPr>
              <w:drawing>
                <wp:inline distT="0" distB="0" distL="114300" distR="114300">
                  <wp:extent cx="2195830" cy="2461260"/>
                  <wp:effectExtent l="0" t="0" r="13970" b="7620"/>
                  <wp:docPr id="3" name="图片 3" descr="C:/Users/asus/AppData/Local/Temp/picturecompress_20220208163919/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sus/AppData/Local/Temp/picturecompress_20220208163919/output_1.jpgoutput_1"/>
                          <pic:cNvPicPr>
                            <a:picLocks noChangeAspect="1"/>
                          </pic:cNvPicPr>
                        </pic:nvPicPr>
                        <pic:blipFill>
                          <a:blip r:embed="rId8"/>
                          <a:stretch>
                            <a:fillRect/>
                          </a:stretch>
                        </pic:blipFill>
                        <pic:spPr>
                          <a:xfrm>
                            <a:off x="0" y="0"/>
                            <a:ext cx="2195830" cy="2461260"/>
                          </a:xfrm>
                          <a:prstGeom prst="rect">
                            <a:avLst/>
                          </a:prstGeom>
                        </pic:spPr>
                      </pic:pic>
                    </a:graphicData>
                  </a:graphic>
                </wp:inline>
              </w:drawing>
            </w:r>
          </w:p>
        </w:tc>
        <w:tc>
          <w:tcPr>
            <w:tcW w:w="3421" w:type="dxa"/>
            <w:vAlign w:val="center"/>
          </w:tcPr>
          <w:p>
            <w:pPr>
              <w:jc w:val="center"/>
              <w:rPr>
                <w:rFonts w:hint="eastAsia" w:eastAsia="仿宋_GB2312"/>
                <w:b/>
                <w:bCs/>
                <w:sz w:val="32"/>
                <w:szCs w:val="32"/>
                <w:lang w:eastAsia="zh-CN"/>
              </w:rPr>
            </w:pPr>
            <w:r>
              <w:rPr>
                <w:rFonts w:hint="eastAsia" w:eastAsia="仿宋_GB2312"/>
                <w:b/>
                <w:bCs/>
                <w:sz w:val="32"/>
                <w:szCs w:val="32"/>
                <w:lang w:eastAsia="zh-CN"/>
              </w:rPr>
              <w:drawing>
                <wp:inline distT="0" distB="0" distL="114300" distR="114300">
                  <wp:extent cx="2225040" cy="2537460"/>
                  <wp:effectExtent l="0" t="0" r="0" b="7620"/>
                  <wp:docPr id="4" name="图片 4" descr="IMG_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7634"/>
                          <pic:cNvPicPr>
                            <a:picLocks noChangeAspect="1"/>
                          </pic:cNvPicPr>
                        </pic:nvPicPr>
                        <pic:blipFill>
                          <a:blip r:embed="rId9"/>
                          <a:stretch>
                            <a:fillRect/>
                          </a:stretch>
                        </pic:blipFill>
                        <pic:spPr>
                          <a:xfrm>
                            <a:off x="0" y="0"/>
                            <a:ext cx="2225040" cy="2537460"/>
                          </a:xfrm>
                          <a:prstGeom prst="rect">
                            <a:avLst/>
                          </a:prstGeom>
                        </pic:spPr>
                      </pic:pic>
                    </a:graphicData>
                  </a:graphic>
                </wp:inline>
              </w:drawing>
            </w:r>
          </w:p>
        </w:tc>
        <w:tc>
          <w:tcPr>
            <w:tcW w:w="3667" w:type="dxa"/>
            <w:vAlign w:val="center"/>
          </w:tcPr>
          <w:p>
            <w:pPr>
              <w:jc w:val="center"/>
              <w:rPr>
                <w:rFonts w:hint="eastAsia" w:eastAsia="仿宋_GB2312"/>
                <w:b/>
                <w:bCs/>
                <w:sz w:val="32"/>
                <w:szCs w:val="32"/>
                <w:lang w:eastAsia="zh-CN"/>
              </w:rPr>
            </w:pPr>
            <w:r>
              <w:rPr>
                <w:rFonts w:hint="eastAsia" w:eastAsia="仿宋_GB2312"/>
                <w:b/>
                <w:bCs/>
                <w:sz w:val="32"/>
                <w:szCs w:val="32"/>
                <w:lang w:eastAsia="zh-CN"/>
              </w:rPr>
              <w:drawing>
                <wp:inline distT="0" distB="0" distL="114300" distR="114300">
                  <wp:extent cx="2591435" cy="2677160"/>
                  <wp:effectExtent l="0" t="0" r="14605" b="5080"/>
                  <wp:docPr id="5" name="图片 5" descr="IMG_E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E7695"/>
                          <pic:cNvPicPr>
                            <a:picLocks noChangeAspect="1"/>
                          </pic:cNvPicPr>
                        </pic:nvPicPr>
                        <pic:blipFill>
                          <a:blip r:embed="rId10"/>
                          <a:stretch>
                            <a:fillRect/>
                          </a:stretch>
                        </pic:blipFill>
                        <pic:spPr>
                          <a:xfrm>
                            <a:off x="0" y="0"/>
                            <a:ext cx="2591435" cy="267716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5" w:type="dxa"/>
            <w:vAlign w:val="center"/>
          </w:tcPr>
          <w:p>
            <w:pPr>
              <w:jc w:val="center"/>
              <w:rPr>
                <w:szCs w:val="21"/>
              </w:rPr>
            </w:pPr>
          </w:p>
        </w:tc>
        <w:tc>
          <w:tcPr>
            <w:tcW w:w="3421" w:type="dxa"/>
            <w:vAlign w:val="center"/>
          </w:tcPr>
          <w:p>
            <w:pPr>
              <w:jc w:val="center"/>
              <w:rPr>
                <w:szCs w:val="21"/>
              </w:rPr>
            </w:pPr>
          </w:p>
        </w:tc>
        <w:tc>
          <w:tcPr>
            <w:tcW w:w="366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4" w:hRule="atLeast"/>
          <w:jc w:val="center"/>
        </w:trPr>
        <w:tc>
          <w:tcPr>
            <w:tcW w:w="3535" w:type="dxa"/>
            <w:vAlign w:val="center"/>
          </w:tcPr>
          <w:p>
            <w:pPr>
              <w:jc w:val="center"/>
              <w:rPr>
                <w:rFonts w:hint="eastAsia" w:eastAsia="宋体"/>
                <w:lang w:eastAsia="zh-CN"/>
              </w:rPr>
            </w:pPr>
            <w:r>
              <w:rPr>
                <w:rFonts w:hint="eastAsia" w:eastAsia="宋体"/>
                <w:lang w:eastAsia="zh-CN"/>
              </w:rPr>
              <w:drawing>
                <wp:inline distT="0" distB="0" distL="114300" distR="114300">
                  <wp:extent cx="2198370" cy="2335530"/>
                  <wp:effectExtent l="0" t="0" r="11430" b="11430"/>
                  <wp:docPr id="6" name="图片 6" descr="IMG_E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E7700"/>
                          <pic:cNvPicPr>
                            <a:picLocks noChangeAspect="1"/>
                          </pic:cNvPicPr>
                        </pic:nvPicPr>
                        <pic:blipFill>
                          <a:blip r:embed="rId11"/>
                          <a:stretch>
                            <a:fillRect/>
                          </a:stretch>
                        </pic:blipFill>
                        <pic:spPr>
                          <a:xfrm>
                            <a:off x="0" y="0"/>
                            <a:ext cx="2198370" cy="2335530"/>
                          </a:xfrm>
                          <a:prstGeom prst="rect">
                            <a:avLst/>
                          </a:prstGeom>
                        </pic:spPr>
                      </pic:pic>
                    </a:graphicData>
                  </a:graphic>
                </wp:inline>
              </w:drawing>
            </w:r>
          </w:p>
        </w:tc>
        <w:tc>
          <w:tcPr>
            <w:tcW w:w="3421" w:type="dxa"/>
            <w:vAlign w:val="center"/>
          </w:tcPr>
          <w:p>
            <w:pPr>
              <w:jc w:val="center"/>
              <w:rPr>
                <w:rFonts w:hint="eastAsia" w:eastAsia="宋体"/>
                <w:lang w:eastAsia="zh-CN"/>
              </w:rPr>
            </w:pPr>
            <w:r>
              <w:rPr>
                <w:rFonts w:hint="eastAsia" w:eastAsia="宋体"/>
                <w:lang w:eastAsia="zh-CN"/>
              </w:rPr>
              <w:drawing>
                <wp:inline distT="0" distB="0" distL="114300" distR="114300">
                  <wp:extent cx="2393315" cy="2341880"/>
                  <wp:effectExtent l="0" t="0" r="14605" b="5080"/>
                  <wp:docPr id="7" name="图片 7" descr="IMG_E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E7658"/>
                          <pic:cNvPicPr>
                            <a:picLocks noChangeAspect="1"/>
                          </pic:cNvPicPr>
                        </pic:nvPicPr>
                        <pic:blipFill>
                          <a:blip r:embed="rId12"/>
                          <a:stretch>
                            <a:fillRect/>
                          </a:stretch>
                        </pic:blipFill>
                        <pic:spPr>
                          <a:xfrm>
                            <a:off x="0" y="0"/>
                            <a:ext cx="2393315" cy="2341880"/>
                          </a:xfrm>
                          <a:prstGeom prst="rect">
                            <a:avLst/>
                          </a:prstGeom>
                        </pic:spPr>
                      </pic:pic>
                    </a:graphicData>
                  </a:graphic>
                </wp:inline>
              </w:drawing>
            </w:r>
          </w:p>
        </w:tc>
        <w:tc>
          <w:tcPr>
            <w:tcW w:w="3667" w:type="dxa"/>
            <w:vAlign w:val="center"/>
          </w:tcPr>
          <w:p>
            <w:pPr>
              <w:jc w:val="center"/>
              <w:rPr>
                <w:rFonts w:hint="eastAsia" w:eastAsia="宋体"/>
                <w:lang w:eastAsia="zh-CN"/>
              </w:rPr>
            </w:pPr>
            <w:r>
              <w:rPr>
                <w:rFonts w:hint="eastAsia" w:eastAsia="宋体"/>
                <w:lang w:eastAsia="zh-CN"/>
              </w:rPr>
              <w:drawing>
                <wp:inline distT="0" distB="0" distL="114300" distR="114300">
                  <wp:extent cx="2364105" cy="2389505"/>
                  <wp:effectExtent l="0" t="0" r="13335" b="3175"/>
                  <wp:docPr id="8" name="图片 8" descr="IMG_E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E7686"/>
                          <pic:cNvPicPr>
                            <a:picLocks noChangeAspect="1"/>
                          </pic:cNvPicPr>
                        </pic:nvPicPr>
                        <pic:blipFill>
                          <a:blip r:embed="rId13"/>
                          <a:stretch>
                            <a:fillRect/>
                          </a:stretch>
                        </pic:blipFill>
                        <pic:spPr>
                          <a:xfrm>
                            <a:off x="0" y="0"/>
                            <a:ext cx="2364105" cy="238950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3535" w:type="dxa"/>
            <w:vAlign w:val="center"/>
          </w:tcPr>
          <w:p>
            <w:pPr>
              <w:jc w:val="center"/>
              <w:rPr>
                <w:b/>
                <w:bCs/>
                <w:sz w:val="32"/>
                <w:szCs w:val="32"/>
              </w:rPr>
            </w:pPr>
          </w:p>
        </w:tc>
        <w:tc>
          <w:tcPr>
            <w:tcW w:w="3421" w:type="dxa"/>
            <w:vAlign w:val="center"/>
          </w:tcPr>
          <w:p>
            <w:pPr>
              <w:jc w:val="center"/>
              <w:rPr>
                <w:rFonts w:eastAsia="仿宋_GB2312"/>
                <w:b/>
                <w:bCs/>
                <w:sz w:val="32"/>
                <w:szCs w:val="32"/>
              </w:rPr>
            </w:pPr>
          </w:p>
        </w:tc>
        <w:tc>
          <w:tcPr>
            <w:tcW w:w="3667" w:type="dxa"/>
            <w:vAlign w:val="center"/>
          </w:tcPr>
          <w:p>
            <w:pPr>
              <w:jc w:val="center"/>
              <w:rPr>
                <w:rFonts w:eastAsia="仿宋_GB2312"/>
                <w:b/>
                <w:bCs/>
                <w:sz w:val="32"/>
                <w:szCs w:val="32"/>
              </w:rPr>
            </w:pPr>
          </w:p>
        </w:tc>
      </w:tr>
    </w:tbl>
    <w:p>
      <w:pPr>
        <w:autoSpaceDE w:val="0"/>
        <w:autoSpaceDN w:val="0"/>
        <w:snapToGrid w:val="0"/>
        <w:spacing w:line="300" w:lineRule="exact"/>
        <w:ind w:right="-340"/>
        <w:jc w:val="left"/>
        <w:textAlignment w:val="bottom"/>
        <w:rPr>
          <w:rFonts w:eastAsia="仿宋_GB2312"/>
          <w:sz w:val="28"/>
        </w:rPr>
      </w:pPr>
    </w:p>
    <w:p>
      <w:pPr>
        <w:autoSpaceDE w:val="0"/>
        <w:autoSpaceDN w:val="0"/>
        <w:snapToGrid w:val="0"/>
        <w:spacing w:line="300" w:lineRule="exact"/>
        <w:ind w:right="-340"/>
        <w:jc w:val="left"/>
        <w:textAlignment w:val="bottom"/>
        <w:rPr>
          <w:rFonts w:eastAsia="仿宋_GB2312"/>
          <w:sz w:val="28"/>
        </w:rPr>
      </w:pPr>
    </w:p>
    <w:sectPr>
      <w:headerReference r:id="rId3" w:type="default"/>
      <w:footerReference r:id="rId4" w:type="default"/>
      <w:footerReference r:id="rId5" w:type="even"/>
      <w:pgSz w:w="11906" w:h="16838"/>
      <w:pgMar w:top="1440" w:right="1134" w:bottom="1134" w:left="1417"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page" w:x="5398" w:y="25"/>
      <w:rPr>
        <w:rStyle w:val="20"/>
      </w:rPr>
    </w:pPr>
    <w:r>
      <w:rPr>
        <w:rStyle w:val="20"/>
        <w:rFonts w:hint="eastAsia"/>
      </w:rPr>
      <w:t>第</w:t>
    </w:r>
    <w:r>
      <w:rPr>
        <w:rStyle w:val="20"/>
      </w:rPr>
      <w:t xml:space="preserve"> </w:t>
    </w:r>
    <w:r>
      <w:fldChar w:fldCharType="begin"/>
    </w:r>
    <w:r>
      <w:rPr>
        <w:rStyle w:val="20"/>
      </w:rPr>
      <w:instrText xml:space="preserve"> PAGE </w:instrText>
    </w:r>
    <w:r>
      <w:fldChar w:fldCharType="separate"/>
    </w:r>
    <w:r>
      <w:rPr>
        <w:rStyle w:val="20"/>
      </w:rPr>
      <w:t>11</w:t>
    </w:r>
    <w:r>
      <w:fldChar w:fldCharType="end"/>
    </w:r>
    <w:r>
      <w:rPr>
        <w:rStyle w:val="20"/>
      </w:rPr>
      <w:t xml:space="preserve"> </w:t>
    </w:r>
    <w:r>
      <w:rPr>
        <w:rStyle w:val="20"/>
        <w:rFonts w:hint="eastAsia"/>
      </w:rPr>
      <w:t>页</w:t>
    </w:r>
    <w:r>
      <w:rPr>
        <w:rStyle w:val="20"/>
      </w:rPr>
      <w:t xml:space="preserve"> </w:t>
    </w:r>
    <w:r>
      <w:rPr>
        <w:rStyle w:val="20"/>
        <w:rFonts w:hint="eastAsia"/>
      </w:rPr>
      <w:t>共2</w:t>
    </w:r>
    <w:r>
      <w:rPr>
        <w:rStyle w:val="20"/>
      </w:rPr>
      <w:t>0</w:t>
    </w:r>
    <w:r>
      <w:rPr>
        <w:rStyle w:val="20"/>
        <w:rFonts w:hint="eastAsia"/>
      </w:rPr>
      <w:t>页</w:t>
    </w:r>
  </w:p>
  <w:p>
    <w:pPr>
      <w:pStyle w:val="13"/>
      <w:ind w:right="36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0"/>
      </w:rPr>
    </w:pPr>
    <w:r>
      <w:fldChar w:fldCharType="begin"/>
    </w:r>
    <w:r>
      <w:rPr>
        <w:rStyle w:val="20"/>
      </w:rPr>
      <w:instrText xml:space="preserve">PAGE  </w:instrText>
    </w:r>
    <w: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rFonts w:hint="eastAsia" w:ascii="楷体_GB2312" w:eastAsia="仿宋_GB2312"/>
        <w:b/>
        <w:spacing w:val="88"/>
        <w:kern w:val="0"/>
        <w:u w:val="double"/>
      </w:rPr>
      <w:t>江苏瑞地土地房地产评估有限公司房地产价值评估报</w:t>
    </w:r>
    <w:r>
      <w:rPr>
        <w:rFonts w:hint="eastAsia" w:ascii="楷体_GB2312" w:eastAsia="仿宋_GB2312"/>
        <w:b/>
        <w:spacing w:val="14"/>
        <w:kern w:val="0"/>
        <w:u w:val="double"/>
      </w:rPr>
      <w:t>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6E6C40"/>
    <w:rsid w:val="00005C64"/>
    <w:rsid w:val="00006CF4"/>
    <w:rsid w:val="00013B1A"/>
    <w:rsid w:val="000150A8"/>
    <w:rsid w:val="00021249"/>
    <w:rsid w:val="00023CC3"/>
    <w:rsid w:val="00030E79"/>
    <w:rsid w:val="00034DC2"/>
    <w:rsid w:val="00036AC8"/>
    <w:rsid w:val="00040077"/>
    <w:rsid w:val="00041FAB"/>
    <w:rsid w:val="00044E56"/>
    <w:rsid w:val="00052C5C"/>
    <w:rsid w:val="00053CA4"/>
    <w:rsid w:val="000566BD"/>
    <w:rsid w:val="000567E0"/>
    <w:rsid w:val="000624B3"/>
    <w:rsid w:val="00066218"/>
    <w:rsid w:val="00070546"/>
    <w:rsid w:val="0007313D"/>
    <w:rsid w:val="00073A16"/>
    <w:rsid w:val="000742F1"/>
    <w:rsid w:val="00081620"/>
    <w:rsid w:val="00081D78"/>
    <w:rsid w:val="00085729"/>
    <w:rsid w:val="000A3555"/>
    <w:rsid w:val="000A65C7"/>
    <w:rsid w:val="000A6FAD"/>
    <w:rsid w:val="000A7365"/>
    <w:rsid w:val="000B05C7"/>
    <w:rsid w:val="000B0637"/>
    <w:rsid w:val="000B38F7"/>
    <w:rsid w:val="000B3BFB"/>
    <w:rsid w:val="000B5353"/>
    <w:rsid w:val="000C038E"/>
    <w:rsid w:val="000C1746"/>
    <w:rsid w:val="000C2349"/>
    <w:rsid w:val="000C271D"/>
    <w:rsid w:val="000C3EB3"/>
    <w:rsid w:val="000C4449"/>
    <w:rsid w:val="000C628F"/>
    <w:rsid w:val="000D250F"/>
    <w:rsid w:val="000D2AD4"/>
    <w:rsid w:val="000D4DDC"/>
    <w:rsid w:val="000D5A9D"/>
    <w:rsid w:val="000D6DB5"/>
    <w:rsid w:val="000D7415"/>
    <w:rsid w:val="000E0407"/>
    <w:rsid w:val="000E1740"/>
    <w:rsid w:val="000F1159"/>
    <w:rsid w:val="000F23F2"/>
    <w:rsid w:val="000F5783"/>
    <w:rsid w:val="000F7612"/>
    <w:rsid w:val="00101479"/>
    <w:rsid w:val="00101552"/>
    <w:rsid w:val="00111596"/>
    <w:rsid w:val="0011332E"/>
    <w:rsid w:val="00113C83"/>
    <w:rsid w:val="0011783D"/>
    <w:rsid w:val="001256C6"/>
    <w:rsid w:val="00127EFE"/>
    <w:rsid w:val="00134177"/>
    <w:rsid w:val="001356CE"/>
    <w:rsid w:val="00140E6E"/>
    <w:rsid w:val="00144179"/>
    <w:rsid w:val="00144AB2"/>
    <w:rsid w:val="00144C92"/>
    <w:rsid w:val="0014505C"/>
    <w:rsid w:val="00150C04"/>
    <w:rsid w:val="00152728"/>
    <w:rsid w:val="00154F90"/>
    <w:rsid w:val="00155F2D"/>
    <w:rsid w:val="0015706A"/>
    <w:rsid w:val="00157B72"/>
    <w:rsid w:val="00160320"/>
    <w:rsid w:val="00164FA1"/>
    <w:rsid w:val="001651DA"/>
    <w:rsid w:val="0016777F"/>
    <w:rsid w:val="0017055D"/>
    <w:rsid w:val="00172D58"/>
    <w:rsid w:val="00176C4F"/>
    <w:rsid w:val="00177F77"/>
    <w:rsid w:val="00186971"/>
    <w:rsid w:val="00193B04"/>
    <w:rsid w:val="00196C2C"/>
    <w:rsid w:val="0019722E"/>
    <w:rsid w:val="001A6E3F"/>
    <w:rsid w:val="001A7FF3"/>
    <w:rsid w:val="001B44D9"/>
    <w:rsid w:val="001C1A12"/>
    <w:rsid w:val="001C3EE4"/>
    <w:rsid w:val="001C5D0F"/>
    <w:rsid w:val="001C5F1D"/>
    <w:rsid w:val="001D3A32"/>
    <w:rsid w:val="001D657E"/>
    <w:rsid w:val="001D6B4B"/>
    <w:rsid w:val="001E0A0B"/>
    <w:rsid w:val="001E144D"/>
    <w:rsid w:val="001E1629"/>
    <w:rsid w:val="001F1B30"/>
    <w:rsid w:val="001F278A"/>
    <w:rsid w:val="001F2EC9"/>
    <w:rsid w:val="001F3EBD"/>
    <w:rsid w:val="001F64B2"/>
    <w:rsid w:val="001F6817"/>
    <w:rsid w:val="00207834"/>
    <w:rsid w:val="002211B1"/>
    <w:rsid w:val="002215EA"/>
    <w:rsid w:val="002223BB"/>
    <w:rsid w:val="0022470E"/>
    <w:rsid w:val="00225BA3"/>
    <w:rsid w:val="002306A3"/>
    <w:rsid w:val="002339EE"/>
    <w:rsid w:val="00244E1D"/>
    <w:rsid w:val="00251EB5"/>
    <w:rsid w:val="0025332C"/>
    <w:rsid w:val="002573AA"/>
    <w:rsid w:val="00260726"/>
    <w:rsid w:val="002701AB"/>
    <w:rsid w:val="00271C58"/>
    <w:rsid w:val="0027308F"/>
    <w:rsid w:val="00273A99"/>
    <w:rsid w:val="002753CF"/>
    <w:rsid w:val="0027673B"/>
    <w:rsid w:val="00277296"/>
    <w:rsid w:val="0029379C"/>
    <w:rsid w:val="00295BA0"/>
    <w:rsid w:val="0029606B"/>
    <w:rsid w:val="0029685D"/>
    <w:rsid w:val="00296934"/>
    <w:rsid w:val="00297AC5"/>
    <w:rsid w:val="002A11EC"/>
    <w:rsid w:val="002A1D60"/>
    <w:rsid w:val="002A3060"/>
    <w:rsid w:val="002A3BAA"/>
    <w:rsid w:val="002B0C3B"/>
    <w:rsid w:val="002B23EF"/>
    <w:rsid w:val="002B61FD"/>
    <w:rsid w:val="002C0FDF"/>
    <w:rsid w:val="002C4BBC"/>
    <w:rsid w:val="002C4E30"/>
    <w:rsid w:val="002C504B"/>
    <w:rsid w:val="002C7985"/>
    <w:rsid w:val="002D3B8A"/>
    <w:rsid w:val="002D5DCC"/>
    <w:rsid w:val="002E2194"/>
    <w:rsid w:val="002E50AC"/>
    <w:rsid w:val="002E547B"/>
    <w:rsid w:val="002E74B5"/>
    <w:rsid w:val="002F1B7C"/>
    <w:rsid w:val="002F2596"/>
    <w:rsid w:val="002F6013"/>
    <w:rsid w:val="002F7527"/>
    <w:rsid w:val="00304347"/>
    <w:rsid w:val="00306347"/>
    <w:rsid w:val="003076EC"/>
    <w:rsid w:val="00320282"/>
    <w:rsid w:val="003215CD"/>
    <w:rsid w:val="00322DEE"/>
    <w:rsid w:val="00323913"/>
    <w:rsid w:val="00323963"/>
    <w:rsid w:val="00337142"/>
    <w:rsid w:val="00340EA6"/>
    <w:rsid w:val="003443AE"/>
    <w:rsid w:val="003506E9"/>
    <w:rsid w:val="003564B2"/>
    <w:rsid w:val="00360072"/>
    <w:rsid w:val="00360130"/>
    <w:rsid w:val="00361F82"/>
    <w:rsid w:val="00363909"/>
    <w:rsid w:val="00366F96"/>
    <w:rsid w:val="003672D7"/>
    <w:rsid w:val="00367C5C"/>
    <w:rsid w:val="003731A7"/>
    <w:rsid w:val="003823FD"/>
    <w:rsid w:val="00384699"/>
    <w:rsid w:val="003962DB"/>
    <w:rsid w:val="00397A8A"/>
    <w:rsid w:val="003A5C41"/>
    <w:rsid w:val="003A716D"/>
    <w:rsid w:val="003A7E8C"/>
    <w:rsid w:val="003B2446"/>
    <w:rsid w:val="003B3B36"/>
    <w:rsid w:val="003B42C9"/>
    <w:rsid w:val="003B6FF6"/>
    <w:rsid w:val="003B7B0F"/>
    <w:rsid w:val="003B7CEF"/>
    <w:rsid w:val="003C0DAA"/>
    <w:rsid w:val="003C1BF3"/>
    <w:rsid w:val="003C216A"/>
    <w:rsid w:val="003C3593"/>
    <w:rsid w:val="003C36EC"/>
    <w:rsid w:val="003C3F0F"/>
    <w:rsid w:val="003C5217"/>
    <w:rsid w:val="003C5BBA"/>
    <w:rsid w:val="003C6AA4"/>
    <w:rsid w:val="003C6EDF"/>
    <w:rsid w:val="003D00CB"/>
    <w:rsid w:val="003D3B98"/>
    <w:rsid w:val="003E28FA"/>
    <w:rsid w:val="003E54D7"/>
    <w:rsid w:val="003E795B"/>
    <w:rsid w:val="003F540E"/>
    <w:rsid w:val="003F59A8"/>
    <w:rsid w:val="003F7818"/>
    <w:rsid w:val="003F7C06"/>
    <w:rsid w:val="004020F8"/>
    <w:rsid w:val="004029A3"/>
    <w:rsid w:val="004072AF"/>
    <w:rsid w:val="00407FDB"/>
    <w:rsid w:val="00411713"/>
    <w:rsid w:val="004135BF"/>
    <w:rsid w:val="00416C33"/>
    <w:rsid w:val="0041765B"/>
    <w:rsid w:val="00417942"/>
    <w:rsid w:val="0042118F"/>
    <w:rsid w:val="00421B4E"/>
    <w:rsid w:val="00424240"/>
    <w:rsid w:val="00425BD5"/>
    <w:rsid w:val="0042691F"/>
    <w:rsid w:val="00430E51"/>
    <w:rsid w:val="00432111"/>
    <w:rsid w:val="00436091"/>
    <w:rsid w:val="00440E57"/>
    <w:rsid w:val="00444BEC"/>
    <w:rsid w:val="00452FE4"/>
    <w:rsid w:val="00455AF0"/>
    <w:rsid w:val="00456950"/>
    <w:rsid w:val="00456E74"/>
    <w:rsid w:val="00457FE7"/>
    <w:rsid w:val="0046563E"/>
    <w:rsid w:val="0047360E"/>
    <w:rsid w:val="00476497"/>
    <w:rsid w:val="004803B3"/>
    <w:rsid w:val="0048217F"/>
    <w:rsid w:val="00490433"/>
    <w:rsid w:val="004945EC"/>
    <w:rsid w:val="004958B8"/>
    <w:rsid w:val="004A0A97"/>
    <w:rsid w:val="004A4B06"/>
    <w:rsid w:val="004A7A80"/>
    <w:rsid w:val="004B0786"/>
    <w:rsid w:val="004B2322"/>
    <w:rsid w:val="004B4C6F"/>
    <w:rsid w:val="004B71F1"/>
    <w:rsid w:val="004C1C33"/>
    <w:rsid w:val="004C4F74"/>
    <w:rsid w:val="004E11EA"/>
    <w:rsid w:val="004E428D"/>
    <w:rsid w:val="004E4ADA"/>
    <w:rsid w:val="004F2A0C"/>
    <w:rsid w:val="004F2F7C"/>
    <w:rsid w:val="004F5C46"/>
    <w:rsid w:val="004F5D61"/>
    <w:rsid w:val="004F65A1"/>
    <w:rsid w:val="004F74D7"/>
    <w:rsid w:val="004F7C6C"/>
    <w:rsid w:val="00500AE2"/>
    <w:rsid w:val="005014B2"/>
    <w:rsid w:val="00501DC9"/>
    <w:rsid w:val="00503036"/>
    <w:rsid w:val="00504560"/>
    <w:rsid w:val="00506E60"/>
    <w:rsid w:val="005073AA"/>
    <w:rsid w:val="00510542"/>
    <w:rsid w:val="00524933"/>
    <w:rsid w:val="00532B7A"/>
    <w:rsid w:val="00532D31"/>
    <w:rsid w:val="00537112"/>
    <w:rsid w:val="00540A32"/>
    <w:rsid w:val="00550A51"/>
    <w:rsid w:val="00552FB2"/>
    <w:rsid w:val="0055671A"/>
    <w:rsid w:val="00557933"/>
    <w:rsid w:val="005622E4"/>
    <w:rsid w:val="0056256D"/>
    <w:rsid w:val="005635EC"/>
    <w:rsid w:val="00563F14"/>
    <w:rsid w:val="00565326"/>
    <w:rsid w:val="005656F5"/>
    <w:rsid w:val="0056763E"/>
    <w:rsid w:val="005758A1"/>
    <w:rsid w:val="00580475"/>
    <w:rsid w:val="0058135A"/>
    <w:rsid w:val="00585FBB"/>
    <w:rsid w:val="00590F70"/>
    <w:rsid w:val="005A18E0"/>
    <w:rsid w:val="005A252C"/>
    <w:rsid w:val="005A6844"/>
    <w:rsid w:val="005B164F"/>
    <w:rsid w:val="005B4F8F"/>
    <w:rsid w:val="005C4829"/>
    <w:rsid w:val="005C7C7D"/>
    <w:rsid w:val="005D4A52"/>
    <w:rsid w:val="005D78E5"/>
    <w:rsid w:val="005E153D"/>
    <w:rsid w:val="005E315A"/>
    <w:rsid w:val="005E36FC"/>
    <w:rsid w:val="005E5409"/>
    <w:rsid w:val="005E5A7B"/>
    <w:rsid w:val="005E70CF"/>
    <w:rsid w:val="005F00C1"/>
    <w:rsid w:val="005F2902"/>
    <w:rsid w:val="005F301E"/>
    <w:rsid w:val="005F4BDF"/>
    <w:rsid w:val="005F787F"/>
    <w:rsid w:val="00600C79"/>
    <w:rsid w:val="006046E4"/>
    <w:rsid w:val="006207C0"/>
    <w:rsid w:val="00624826"/>
    <w:rsid w:val="00626265"/>
    <w:rsid w:val="006323FE"/>
    <w:rsid w:val="00633A3C"/>
    <w:rsid w:val="0064128B"/>
    <w:rsid w:val="00642601"/>
    <w:rsid w:val="00645A19"/>
    <w:rsid w:val="00652B0B"/>
    <w:rsid w:val="00654154"/>
    <w:rsid w:val="00654216"/>
    <w:rsid w:val="006556F4"/>
    <w:rsid w:val="00663B3D"/>
    <w:rsid w:val="006657FC"/>
    <w:rsid w:val="00665BFC"/>
    <w:rsid w:val="00667158"/>
    <w:rsid w:val="00671787"/>
    <w:rsid w:val="006762F0"/>
    <w:rsid w:val="00677E64"/>
    <w:rsid w:val="006806FB"/>
    <w:rsid w:val="0068230C"/>
    <w:rsid w:val="0068342B"/>
    <w:rsid w:val="00683DD8"/>
    <w:rsid w:val="0069480F"/>
    <w:rsid w:val="00696C8E"/>
    <w:rsid w:val="006A1887"/>
    <w:rsid w:val="006A3BD1"/>
    <w:rsid w:val="006B08BE"/>
    <w:rsid w:val="006B1E7D"/>
    <w:rsid w:val="006B6359"/>
    <w:rsid w:val="006C2163"/>
    <w:rsid w:val="006C2826"/>
    <w:rsid w:val="006D1F2C"/>
    <w:rsid w:val="006D6AEF"/>
    <w:rsid w:val="006E0AF7"/>
    <w:rsid w:val="006E573A"/>
    <w:rsid w:val="006E6C40"/>
    <w:rsid w:val="006E7968"/>
    <w:rsid w:val="006F1B3F"/>
    <w:rsid w:val="006F5304"/>
    <w:rsid w:val="006F5CEA"/>
    <w:rsid w:val="007023B1"/>
    <w:rsid w:val="007030C2"/>
    <w:rsid w:val="007062D7"/>
    <w:rsid w:val="00707981"/>
    <w:rsid w:val="0071474B"/>
    <w:rsid w:val="00716771"/>
    <w:rsid w:val="00717165"/>
    <w:rsid w:val="007206B5"/>
    <w:rsid w:val="00721D94"/>
    <w:rsid w:val="00721E18"/>
    <w:rsid w:val="00725640"/>
    <w:rsid w:val="00732BF3"/>
    <w:rsid w:val="00734663"/>
    <w:rsid w:val="00746352"/>
    <w:rsid w:val="00746F7B"/>
    <w:rsid w:val="00753084"/>
    <w:rsid w:val="007662EA"/>
    <w:rsid w:val="00776EB6"/>
    <w:rsid w:val="00780D55"/>
    <w:rsid w:val="00782BD2"/>
    <w:rsid w:val="00782FD7"/>
    <w:rsid w:val="007907CA"/>
    <w:rsid w:val="00790C12"/>
    <w:rsid w:val="007A4196"/>
    <w:rsid w:val="007A51B4"/>
    <w:rsid w:val="007B37DB"/>
    <w:rsid w:val="007B3AEA"/>
    <w:rsid w:val="007C0539"/>
    <w:rsid w:val="007C33E0"/>
    <w:rsid w:val="007D2F6B"/>
    <w:rsid w:val="007D356F"/>
    <w:rsid w:val="007D6190"/>
    <w:rsid w:val="007D629D"/>
    <w:rsid w:val="007E22FD"/>
    <w:rsid w:val="007E3610"/>
    <w:rsid w:val="007E3769"/>
    <w:rsid w:val="007E4017"/>
    <w:rsid w:val="007E6D72"/>
    <w:rsid w:val="007F3BE7"/>
    <w:rsid w:val="007F4BE0"/>
    <w:rsid w:val="007F6995"/>
    <w:rsid w:val="007F6E50"/>
    <w:rsid w:val="00805B02"/>
    <w:rsid w:val="008137A1"/>
    <w:rsid w:val="00814301"/>
    <w:rsid w:val="00822747"/>
    <w:rsid w:val="0083511B"/>
    <w:rsid w:val="00837B2C"/>
    <w:rsid w:val="0084391B"/>
    <w:rsid w:val="00851D53"/>
    <w:rsid w:val="00854692"/>
    <w:rsid w:val="00855D6D"/>
    <w:rsid w:val="0085669C"/>
    <w:rsid w:val="00862174"/>
    <w:rsid w:val="00872E98"/>
    <w:rsid w:val="00882B45"/>
    <w:rsid w:val="00892800"/>
    <w:rsid w:val="0089651E"/>
    <w:rsid w:val="00897E07"/>
    <w:rsid w:val="008A14A9"/>
    <w:rsid w:val="008A241F"/>
    <w:rsid w:val="008A7AAF"/>
    <w:rsid w:val="008B231E"/>
    <w:rsid w:val="008B4ED6"/>
    <w:rsid w:val="008B5A81"/>
    <w:rsid w:val="008B6AF3"/>
    <w:rsid w:val="008C0F45"/>
    <w:rsid w:val="008C1123"/>
    <w:rsid w:val="008D1378"/>
    <w:rsid w:val="008D393C"/>
    <w:rsid w:val="008E010D"/>
    <w:rsid w:val="008E2AE3"/>
    <w:rsid w:val="008E777C"/>
    <w:rsid w:val="008F0580"/>
    <w:rsid w:val="008F2DDE"/>
    <w:rsid w:val="008F6699"/>
    <w:rsid w:val="008F6AC7"/>
    <w:rsid w:val="00900E49"/>
    <w:rsid w:val="00906E8C"/>
    <w:rsid w:val="00907C85"/>
    <w:rsid w:val="00910544"/>
    <w:rsid w:val="009109F3"/>
    <w:rsid w:val="00911C19"/>
    <w:rsid w:val="00913F61"/>
    <w:rsid w:val="00915CC1"/>
    <w:rsid w:val="00923583"/>
    <w:rsid w:val="009322C8"/>
    <w:rsid w:val="009323E0"/>
    <w:rsid w:val="00944781"/>
    <w:rsid w:val="00946DD3"/>
    <w:rsid w:val="00950EF7"/>
    <w:rsid w:val="009545D0"/>
    <w:rsid w:val="009637B6"/>
    <w:rsid w:val="00967081"/>
    <w:rsid w:val="009721F5"/>
    <w:rsid w:val="00974EC7"/>
    <w:rsid w:val="00975F4A"/>
    <w:rsid w:val="00980232"/>
    <w:rsid w:val="00980468"/>
    <w:rsid w:val="00980D64"/>
    <w:rsid w:val="0098118B"/>
    <w:rsid w:val="00983C6D"/>
    <w:rsid w:val="00986C44"/>
    <w:rsid w:val="00992AE6"/>
    <w:rsid w:val="00994E2F"/>
    <w:rsid w:val="009A05FA"/>
    <w:rsid w:val="009A1151"/>
    <w:rsid w:val="009A1E3E"/>
    <w:rsid w:val="009A3F08"/>
    <w:rsid w:val="009A63B2"/>
    <w:rsid w:val="009B4AB6"/>
    <w:rsid w:val="009B745A"/>
    <w:rsid w:val="009B785D"/>
    <w:rsid w:val="009C27F5"/>
    <w:rsid w:val="009C3461"/>
    <w:rsid w:val="009C4257"/>
    <w:rsid w:val="009C6618"/>
    <w:rsid w:val="009D6417"/>
    <w:rsid w:val="009D6F34"/>
    <w:rsid w:val="009E05A9"/>
    <w:rsid w:val="009E22FC"/>
    <w:rsid w:val="009E294E"/>
    <w:rsid w:val="009F31BC"/>
    <w:rsid w:val="009F70B9"/>
    <w:rsid w:val="00A06C21"/>
    <w:rsid w:val="00A11B24"/>
    <w:rsid w:val="00A11BA1"/>
    <w:rsid w:val="00A11D54"/>
    <w:rsid w:val="00A16E9D"/>
    <w:rsid w:val="00A17747"/>
    <w:rsid w:val="00A20815"/>
    <w:rsid w:val="00A2188C"/>
    <w:rsid w:val="00A241A0"/>
    <w:rsid w:val="00A265E6"/>
    <w:rsid w:val="00A3170E"/>
    <w:rsid w:val="00A31FFF"/>
    <w:rsid w:val="00A33CAB"/>
    <w:rsid w:val="00A412D6"/>
    <w:rsid w:val="00A44A12"/>
    <w:rsid w:val="00A47465"/>
    <w:rsid w:val="00A52786"/>
    <w:rsid w:val="00A56CB7"/>
    <w:rsid w:val="00A572B8"/>
    <w:rsid w:val="00A577F3"/>
    <w:rsid w:val="00A609E2"/>
    <w:rsid w:val="00A6469B"/>
    <w:rsid w:val="00A65304"/>
    <w:rsid w:val="00A6550F"/>
    <w:rsid w:val="00A661C5"/>
    <w:rsid w:val="00A712DC"/>
    <w:rsid w:val="00A7559D"/>
    <w:rsid w:val="00A77605"/>
    <w:rsid w:val="00A7781B"/>
    <w:rsid w:val="00A80D1C"/>
    <w:rsid w:val="00A81EBD"/>
    <w:rsid w:val="00A83408"/>
    <w:rsid w:val="00A84AF9"/>
    <w:rsid w:val="00A90F24"/>
    <w:rsid w:val="00A93918"/>
    <w:rsid w:val="00A942AC"/>
    <w:rsid w:val="00A96CEB"/>
    <w:rsid w:val="00AA6DB2"/>
    <w:rsid w:val="00AB0A1D"/>
    <w:rsid w:val="00AC0133"/>
    <w:rsid w:val="00AC1246"/>
    <w:rsid w:val="00AD59D4"/>
    <w:rsid w:val="00AD6732"/>
    <w:rsid w:val="00AE0E84"/>
    <w:rsid w:val="00AE1F98"/>
    <w:rsid w:val="00AE31B9"/>
    <w:rsid w:val="00AE526B"/>
    <w:rsid w:val="00AE7783"/>
    <w:rsid w:val="00AF206C"/>
    <w:rsid w:val="00B00542"/>
    <w:rsid w:val="00B04F92"/>
    <w:rsid w:val="00B0620A"/>
    <w:rsid w:val="00B07A15"/>
    <w:rsid w:val="00B201CC"/>
    <w:rsid w:val="00B2178D"/>
    <w:rsid w:val="00B31355"/>
    <w:rsid w:val="00B41C8E"/>
    <w:rsid w:val="00B43C7F"/>
    <w:rsid w:val="00B444DF"/>
    <w:rsid w:val="00B51CFE"/>
    <w:rsid w:val="00B5263B"/>
    <w:rsid w:val="00B52709"/>
    <w:rsid w:val="00B57A2E"/>
    <w:rsid w:val="00B600D6"/>
    <w:rsid w:val="00B60E26"/>
    <w:rsid w:val="00B662AB"/>
    <w:rsid w:val="00B710EE"/>
    <w:rsid w:val="00B723DD"/>
    <w:rsid w:val="00B74B60"/>
    <w:rsid w:val="00B80537"/>
    <w:rsid w:val="00B8206C"/>
    <w:rsid w:val="00B83859"/>
    <w:rsid w:val="00B95104"/>
    <w:rsid w:val="00B9567D"/>
    <w:rsid w:val="00BA1C52"/>
    <w:rsid w:val="00BA30BE"/>
    <w:rsid w:val="00BA5648"/>
    <w:rsid w:val="00BA6027"/>
    <w:rsid w:val="00BA6E2E"/>
    <w:rsid w:val="00BA6EB6"/>
    <w:rsid w:val="00BA7430"/>
    <w:rsid w:val="00BA74F2"/>
    <w:rsid w:val="00BB1FE6"/>
    <w:rsid w:val="00BB5F6E"/>
    <w:rsid w:val="00BB6174"/>
    <w:rsid w:val="00BB6AC4"/>
    <w:rsid w:val="00BC0AA4"/>
    <w:rsid w:val="00BC25C5"/>
    <w:rsid w:val="00BC45C7"/>
    <w:rsid w:val="00BD00E7"/>
    <w:rsid w:val="00BD1005"/>
    <w:rsid w:val="00BD2AE1"/>
    <w:rsid w:val="00BD6A66"/>
    <w:rsid w:val="00BE07C2"/>
    <w:rsid w:val="00BE532D"/>
    <w:rsid w:val="00BF1925"/>
    <w:rsid w:val="00BF5FC8"/>
    <w:rsid w:val="00C06F71"/>
    <w:rsid w:val="00C27379"/>
    <w:rsid w:val="00C348F0"/>
    <w:rsid w:val="00C357DC"/>
    <w:rsid w:val="00C42DBA"/>
    <w:rsid w:val="00C45A89"/>
    <w:rsid w:val="00C45B35"/>
    <w:rsid w:val="00C52438"/>
    <w:rsid w:val="00C53B2B"/>
    <w:rsid w:val="00C545BB"/>
    <w:rsid w:val="00C55661"/>
    <w:rsid w:val="00C60723"/>
    <w:rsid w:val="00C61295"/>
    <w:rsid w:val="00C64EBA"/>
    <w:rsid w:val="00C6543D"/>
    <w:rsid w:val="00C703D9"/>
    <w:rsid w:val="00C72725"/>
    <w:rsid w:val="00C73856"/>
    <w:rsid w:val="00C840A7"/>
    <w:rsid w:val="00CA17D3"/>
    <w:rsid w:val="00CA296B"/>
    <w:rsid w:val="00CA3198"/>
    <w:rsid w:val="00CA34FF"/>
    <w:rsid w:val="00CA64D3"/>
    <w:rsid w:val="00CA6E8A"/>
    <w:rsid w:val="00CB4EA6"/>
    <w:rsid w:val="00CC5E68"/>
    <w:rsid w:val="00CC7E49"/>
    <w:rsid w:val="00CD1DC4"/>
    <w:rsid w:val="00CD5E5F"/>
    <w:rsid w:val="00CE1545"/>
    <w:rsid w:val="00CE3D86"/>
    <w:rsid w:val="00CE4551"/>
    <w:rsid w:val="00CE5385"/>
    <w:rsid w:val="00CF15EC"/>
    <w:rsid w:val="00CF4BD9"/>
    <w:rsid w:val="00CF51AE"/>
    <w:rsid w:val="00CF7034"/>
    <w:rsid w:val="00CF7758"/>
    <w:rsid w:val="00CF7940"/>
    <w:rsid w:val="00CF7DBA"/>
    <w:rsid w:val="00D11887"/>
    <w:rsid w:val="00D11FED"/>
    <w:rsid w:val="00D1288E"/>
    <w:rsid w:val="00D12D10"/>
    <w:rsid w:val="00D148CE"/>
    <w:rsid w:val="00D166B4"/>
    <w:rsid w:val="00D2190B"/>
    <w:rsid w:val="00D21D31"/>
    <w:rsid w:val="00D23ABB"/>
    <w:rsid w:val="00D254B9"/>
    <w:rsid w:val="00D261A1"/>
    <w:rsid w:val="00D26DD3"/>
    <w:rsid w:val="00D31BDF"/>
    <w:rsid w:val="00D31EE5"/>
    <w:rsid w:val="00D325E6"/>
    <w:rsid w:val="00D32B4F"/>
    <w:rsid w:val="00D33B90"/>
    <w:rsid w:val="00D445E4"/>
    <w:rsid w:val="00D45108"/>
    <w:rsid w:val="00D52787"/>
    <w:rsid w:val="00D53F54"/>
    <w:rsid w:val="00D55A37"/>
    <w:rsid w:val="00D56614"/>
    <w:rsid w:val="00D61775"/>
    <w:rsid w:val="00D63E25"/>
    <w:rsid w:val="00D660B4"/>
    <w:rsid w:val="00D71927"/>
    <w:rsid w:val="00D74A04"/>
    <w:rsid w:val="00D75383"/>
    <w:rsid w:val="00D801FE"/>
    <w:rsid w:val="00D80923"/>
    <w:rsid w:val="00D80D27"/>
    <w:rsid w:val="00D81644"/>
    <w:rsid w:val="00D82A91"/>
    <w:rsid w:val="00D842D1"/>
    <w:rsid w:val="00D849A2"/>
    <w:rsid w:val="00D84D38"/>
    <w:rsid w:val="00D9292E"/>
    <w:rsid w:val="00DB2CC3"/>
    <w:rsid w:val="00DB3716"/>
    <w:rsid w:val="00DB37A5"/>
    <w:rsid w:val="00DC20AE"/>
    <w:rsid w:val="00DC2314"/>
    <w:rsid w:val="00DC2641"/>
    <w:rsid w:val="00DC3773"/>
    <w:rsid w:val="00DC3E30"/>
    <w:rsid w:val="00DC4359"/>
    <w:rsid w:val="00DC4E1A"/>
    <w:rsid w:val="00DC588F"/>
    <w:rsid w:val="00DC60E6"/>
    <w:rsid w:val="00DC65C3"/>
    <w:rsid w:val="00DC7358"/>
    <w:rsid w:val="00DD0054"/>
    <w:rsid w:val="00DD18DB"/>
    <w:rsid w:val="00DE1DC1"/>
    <w:rsid w:val="00DE3472"/>
    <w:rsid w:val="00DF3D4C"/>
    <w:rsid w:val="00E02F64"/>
    <w:rsid w:val="00E033A3"/>
    <w:rsid w:val="00E075A6"/>
    <w:rsid w:val="00E21BF4"/>
    <w:rsid w:val="00E22E0B"/>
    <w:rsid w:val="00E2323F"/>
    <w:rsid w:val="00E23E7D"/>
    <w:rsid w:val="00E241BB"/>
    <w:rsid w:val="00E269C1"/>
    <w:rsid w:val="00E3028B"/>
    <w:rsid w:val="00E338FA"/>
    <w:rsid w:val="00E37E0A"/>
    <w:rsid w:val="00E40161"/>
    <w:rsid w:val="00E4184E"/>
    <w:rsid w:val="00E43C4B"/>
    <w:rsid w:val="00E444DB"/>
    <w:rsid w:val="00E463DF"/>
    <w:rsid w:val="00E51409"/>
    <w:rsid w:val="00E52A54"/>
    <w:rsid w:val="00E57B55"/>
    <w:rsid w:val="00E63CF9"/>
    <w:rsid w:val="00E65189"/>
    <w:rsid w:val="00E66953"/>
    <w:rsid w:val="00E67F33"/>
    <w:rsid w:val="00E708EF"/>
    <w:rsid w:val="00E70F8E"/>
    <w:rsid w:val="00E71216"/>
    <w:rsid w:val="00E725FB"/>
    <w:rsid w:val="00E73ECA"/>
    <w:rsid w:val="00E811A9"/>
    <w:rsid w:val="00E82923"/>
    <w:rsid w:val="00E82FB5"/>
    <w:rsid w:val="00E85A44"/>
    <w:rsid w:val="00E90BC6"/>
    <w:rsid w:val="00E92672"/>
    <w:rsid w:val="00E930F0"/>
    <w:rsid w:val="00E947F2"/>
    <w:rsid w:val="00E97420"/>
    <w:rsid w:val="00E97F29"/>
    <w:rsid w:val="00EA5DD4"/>
    <w:rsid w:val="00EB15EC"/>
    <w:rsid w:val="00EB2E4F"/>
    <w:rsid w:val="00EB6147"/>
    <w:rsid w:val="00EB6DA6"/>
    <w:rsid w:val="00EC15FD"/>
    <w:rsid w:val="00EC3CBF"/>
    <w:rsid w:val="00ED3292"/>
    <w:rsid w:val="00ED3B14"/>
    <w:rsid w:val="00EE1368"/>
    <w:rsid w:val="00EE4830"/>
    <w:rsid w:val="00EF0178"/>
    <w:rsid w:val="00EF5680"/>
    <w:rsid w:val="00EF5FCC"/>
    <w:rsid w:val="00EF6066"/>
    <w:rsid w:val="00F0141A"/>
    <w:rsid w:val="00F01AF9"/>
    <w:rsid w:val="00F01DB4"/>
    <w:rsid w:val="00F13115"/>
    <w:rsid w:val="00F13DFD"/>
    <w:rsid w:val="00F174A6"/>
    <w:rsid w:val="00F23EB3"/>
    <w:rsid w:val="00F241DC"/>
    <w:rsid w:val="00F27EDE"/>
    <w:rsid w:val="00F35294"/>
    <w:rsid w:val="00F40C14"/>
    <w:rsid w:val="00F42C70"/>
    <w:rsid w:val="00F52724"/>
    <w:rsid w:val="00F539F6"/>
    <w:rsid w:val="00F5429B"/>
    <w:rsid w:val="00F54B41"/>
    <w:rsid w:val="00F5527E"/>
    <w:rsid w:val="00F57957"/>
    <w:rsid w:val="00F60C6D"/>
    <w:rsid w:val="00F62BD2"/>
    <w:rsid w:val="00F63072"/>
    <w:rsid w:val="00F723D2"/>
    <w:rsid w:val="00F73F70"/>
    <w:rsid w:val="00F771B6"/>
    <w:rsid w:val="00F81AE9"/>
    <w:rsid w:val="00F84019"/>
    <w:rsid w:val="00F84965"/>
    <w:rsid w:val="00F9410A"/>
    <w:rsid w:val="00F94E2A"/>
    <w:rsid w:val="00F96BB5"/>
    <w:rsid w:val="00FA1779"/>
    <w:rsid w:val="00FA200B"/>
    <w:rsid w:val="00FA3659"/>
    <w:rsid w:val="00FB016F"/>
    <w:rsid w:val="00FB39C0"/>
    <w:rsid w:val="00FB4A13"/>
    <w:rsid w:val="00FB5F48"/>
    <w:rsid w:val="00FB7C8C"/>
    <w:rsid w:val="00FC2DD9"/>
    <w:rsid w:val="00FC4C84"/>
    <w:rsid w:val="00FC56C2"/>
    <w:rsid w:val="00FD2A17"/>
    <w:rsid w:val="00FD4AA8"/>
    <w:rsid w:val="00FD4FCF"/>
    <w:rsid w:val="00FE2C45"/>
    <w:rsid w:val="00FE39BB"/>
    <w:rsid w:val="00FF07FD"/>
    <w:rsid w:val="02C07F74"/>
    <w:rsid w:val="04E60DFF"/>
    <w:rsid w:val="051A71F7"/>
    <w:rsid w:val="052C6B14"/>
    <w:rsid w:val="054142E7"/>
    <w:rsid w:val="062023FD"/>
    <w:rsid w:val="06DC2A67"/>
    <w:rsid w:val="07452CD6"/>
    <w:rsid w:val="093E24CE"/>
    <w:rsid w:val="09DD5DF2"/>
    <w:rsid w:val="0A4C5067"/>
    <w:rsid w:val="0ABB32A6"/>
    <w:rsid w:val="0B600705"/>
    <w:rsid w:val="0BED34AD"/>
    <w:rsid w:val="0C344765"/>
    <w:rsid w:val="0D9B7B30"/>
    <w:rsid w:val="0E97460B"/>
    <w:rsid w:val="0EA14EB4"/>
    <w:rsid w:val="0EC00B4F"/>
    <w:rsid w:val="117E449F"/>
    <w:rsid w:val="11832012"/>
    <w:rsid w:val="118B1534"/>
    <w:rsid w:val="11CA1FFD"/>
    <w:rsid w:val="11CE31DC"/>
    <w:rsid w:val="12564A6F"/>
    <w:rsid w:val="12BE0B69"/>
    <w:rsid w:val="13FE2D5A"/>
    <w:rsid w:val="148B237A"/>
    <w:rsid w:val="14B85141"/>
    <w:rsid w:val="15EF5BED"/>
    <w:rsid w:val="15F37A23"/>
    <w:rsid w:val="18DA44C2"/>
    <w:rsid w:val="191C6ECF"/>
    <w:rsid w:val="1CB474EF"/>
    <w:rsid w:val="1D1A12BA"/>
    <w:rsid w:val="1E7B2FBE"/>
    <w:rsid w:val="1EB831FC"/>
    <w:rsid w:val="1F043353"/>
    <w:rsid w:val="1F531773"/>
    <w:rsid w:val="1F6916AC"/>
    <w:rsid w:val="1F753D2D"/>
    <w:rsid w:val="23360D44"/>
    <w:rsid w:val="2371314D"/>
    <w:rsid w:val="24185553"/>
    <w:rsid w:val="26104500"/>
    <w:rsid w:val="271C7005"/>
    <w:rsid w:val="28DE0B45"/>
    <w:rsid w:val="2968221A"/>
    <w:rsid w:val="29DC5D43"/>
    <w:rsid w:val="2A4100E4"/>
    <w:rsid w:val="2ADA5ED2"/>
    <w:rsid w:val="2C1613AE"/>
    <w:rsid w:val="2C4A238B"/>
    <w:rsid w:val="2C5771F2"/>
    <w:rsid w:val="2CE7129E"/>
    <w:rsid w:val="2D892919"/>
    <w:rsid w:val="2E4F538B"/>
    <w:rsid w:val="2E813320"/>
    <w:rsid w:val="2EB84623"/>
    <w:rsid w:val="2F2B2D7B"/>
    <w:rsid w:val="3015591D"/>
    <w:rsid w:val="30AD1AF7"/>
    <w:rsid w:val="322C45E5"/>
    <w:rsid w:val="347559E3"/>
    <w:rsid w:val="355C2490"/>
    <w:rsid w:val="364E3978"/>
    <w:rsid w:val="37220615"/>
    <w:rsid w:val="37A51B0D"/>
    <w:rsid w:val="382B6096"/>
    <w:rsid w:val="38813574"/>
    <w:rsid w:val="392E12BD"/>
    <w:rsid w:val="397874E2"/>
    <w:rsid w:val="3A2C3560"/>
    <w:rsid w:val="3A8B7C11"/>
    <w:rsid w:val="3B13362C"/>
    <w:rsid w:val="3BB1306F"/>
    <w:rsid w:val="3C2B7DAC"/>
    <w:rsid w:val="3C810B1C"/>
    <w:rsid w:val="3C9943D3"/>
    <w:rsid w:val="3CD20558"/>
    <w:rsid w:val="3EE25744"/>
    <w:rsid w:val="3F3D7F26"/>
    <w:rsid w:val="3FBA358E"/>
    <w:rsid w:val="403E14E7"/>
    <w:rsid w:val="411A3095"/>
    <w:rsid w:val="41721C23"/>
    <w:rsid w:val="4191289A"/>
    <w:rsid w:val="43C60AAE"/>
    <w:rsid w:val="44143F38"/>
    <w:rsid w:val="45D53912"/>
    <w:rsid w:val="46EE2ECC"/>
    <w:rsid w:val="483450A8"/>
    <w:rsid w:val="486623A3"/>
    <w:rsid w:val="48751A68"/>
    <w:rsid w:val="48FD2088"/>
    <w:rsid w:val="49BC016E"/>
    <w:rsid w:val="4ABC4E0A"/>
    <w:rsid w:val="4B3C1788"/>
    <w:rsid w:val="4BB528B4"/>
    <w:rsid w:val="4FE335DB"/>
    <w:rsid w:val="501B2DB2"/>
    <w:rsid w:val="50B44667"/>
    <w:rsid w:val="50EC3F2A"/>
    <w:rsid w:val="513907DF"/>
    <w:rsid w:val="519351DF"/>
    <w:rsid w:val="51F12327"/>
    <w:rsid w:val="520E17F8"/>
    <w:rsid w:val="5248002B"/>
    <w:rsid w:val="529A49E9"/>
    <w:rsid w:val="52F30E62"/>
    <w:rsid w:val="53825224"/>
    <w:rsid w:val="53C23716"/>
    <w:rsid w:val="53F620F8"/>
    <w:rsid w:val="54700D38"/>
    <w:rsid w:val="5530567F"/>
    <w:rsid w:val="577834B6"/>
    <w:rsid w:val="59027513"/>
    <w:rsid w:val="5B884F50"/>
    <w:rsid w:val="5B975220"/>
    <w:rsid w:val="5D490028"/>
    <w:rsid w:val="5D551004"/>
    <w:rsid w:val="5DCF70DA"/>
    <w:rsid w:val="5E6F69EB"/>
    <w:rsid w:val="5F65447A"/>
    <w:rsid w:val="5F902694"/>
    <w:rsid w:val="61A643E0"/>
    <w:rsid w:val="622404F3"/>
    <w:rsid w:val="62476FD4"/>
    <w:rsid w:val="632A5429"/>
    <w:rsid w:val="64356146"/>
    <w:rsid w:val="65441451"/>
    <w:rsid w:val="676A3909"/>
    <w:rsid w:val="68CD0C4F"/>
    <w:rsid w:val="69EE2EC0"/>
    <w:rsid w:val="6BB51E98"/>
    <w:rsid w:val="6BEE34F5"/>
    <w:rsid w:val="6C3C7868"/>
    <w:rsid w:val="6C566765"/>
    <w:rsid w:val="6CEE050B"/>
    <w:rsid w:val="6DF261AF"/>
    <w:rsid w:val="6ECB697C"/>
    <w:rsid w:val="70021136"/>
    <w:rsid w:val="707E6E04"/>
    <w:rsid w:val="712C2B94"/>
    <w:rsid w:val="729F3F97"/>
    <w:rsid w:val="74804A0F"/>
    <w:rsid w:val="75497A3E"/>
    <w:rsid w:val="75797B1E"/>
    <w:rsid w:val="761A1D52"/>
    <w:rsid w:val="76D229E5"/>
    <w:rsid w:val="77B25BF9"/>
    <w:rsid w:val="77C17FC5"/>
    <w:rsid w:val="784B19E4"/>
    <w:rsid w:val="78980549"/>
    <w:rsid w:val="796F60AA"/>
    <w:rsid w:val="7A372F0B"/>
    <w:rsid w:val="7A3B695C"/>
    <w:rsid w:val="7EF71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line="600" w:lineRule="exact"/>
      <w:jc w:val="left"/>
      <w:outlineLvl w:val="1"/>
    </w:pPr>
    <w:rPr>
      <w:rFonts w:ascii="Arial" w:hAnsi="Arial" w:eastAsia="仿宋_GB2312"/>
      <w:b/>
      <w:bCs/>
      <w:sz w:val="28"/>
      <w:szCs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23"/>
    <w:qFormat/>
    <w:uiPriority w:val="0"/>
    <w:pPr>
      <w:snapToGrid w:val="0"/>
      <w:spacing w:line="360" w:lineRule="auto"/>
      <w:ind w:firstLine="567"/>
    </w:pPr>
    <w:rPr>
      <w:sz w:val="28"/>
      <w:szCs w:val="20"/>
    </w:rPr>
  </w:style>
  <w:style w:type="paragraph" w:styleId="6">
    <w:name w:val="Body Text"/>
    <w:basedOn w:val="1"/>
    <w:qFormat/>
    <w:uiPriority w:val="0"/>
    <w:pPr>
      <w:spacing w:after="120"/>
    </w:pPr>
  </w:style>
  <w:style w:type="paragraph" w:styleId="7">
    <w:name w:val="Body Text Indent"/>
    <w:basedOn w:val="1"/>
    <w:qFormat/>
    <w:uiPriority w:val="0"/>
    <w:pPr>
      <w:ind w:firstLine="600" w:firstLineChars="200"/>
    </w:pPr>
    <w:rPr>
      <w:rFonts w:ascii="仿宋_GB2312" w:eastAsia="仿宋_GB2312"/>
      <w:sz w:val="30"/>
    </w:rPr>
  </w:style>
  <w:style w:type="paragraph" w:styleId="8">
    <w:name w:val="toc 3"/>
    <w:basedOn w:val="1"/>
    <w:next w:val="1"/>
    <w:qFormat/>
    <w:uiPriority w:val="0"/>
    <w:pPr>
      <w:ind w:left="840" w:leftChars="400"/>
    </w:pPr>
  </w:style>
  <w:style w:type="paragraph" w:styleId="9">
    <w:name w:val="Plain Text"/>
    <w:basedOn w:val="1"/>
    <w:link w:val="24"/>
    <w:qFormat/>
    <w:uiPriority w:val="0"/>
    <w:rPr>
      <w:rFonts w:ascii="宋体" w:hAnsi="Courier New"/>
      <w:sz w:val="28"/>
      <w:szCs w:val="20"/>
    </w:rPr>
  </w:style>
  <w:style w:type="paragraph" w:styleId="10">
    <w:name w:val="Date"/>
    <w:basedOn w:val="1"/>
    <w:next w:val="1"/>
    <w:qFormat/>
    <w:uiPriority w:val="0"/>
    <w:pPr>
      <w:ind w:left="100" w:leftChars="2500"/>
    </w:pPr>
    <w:rPr>
      <w:rFonts w:ascii="仿宋_GB2312" w:eastAsia="仿宋_GB2312"/>
      <w:color w:val="000000"/>
      <w:sz w:val="28"/>
    </w:rPr>
  </w:style>
  <w:style w:type="paragraph" w:styleId="11">
    <w:name w:val="Body Text Indent 2"/>
    <w:basedOn w:val="1"/>
    <w:qFormat/>
    <w:uiPriority w:val="0"/>
    <w:pPr>
      <w:ind w:left="600"/>
    </w:pPr>
    <w:rPr>
      <w:sz w:val="30"/>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adjustRightInd w:val="0"/>
      <w:spacing w:line="240" w:lineRule="atLeast"/>
      <w:jc w:val="left"/>
      <w:textAlignment w:val="baseline"/>
    </w:pPr>
    <w:rPr>
      <w:kern w:val="0"/>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ind w:firstLine="600"/>
    </w:pPr>
    <w:rPr>
      <w:rFonts w:ascii="仿宋_GB2312" w:hAnsi="宋体" w:eastAsia="仿宋_GB2312"/>
      <w:b/>
      <w:bCs/>
      <w:sz w:val="32"/>
    </w:rPr>
  </w:style>
  <w:style w:type="paragraph" w:styleId="16">
    <w:name w:val="toc 2"/>
    <w:basedOn w:val="1"/>
    <w:next w:val="1"/>
    <w:qFormat/>
    <w:uiPriority w:val="0"/>
    <w:pPr>
      <w:ind w:left="420" w:left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basedOn w:val="19"/>
    <w:qFormat/>
    <w:uiPriority w:val="0"/>
    <w:rPr>
      <w:color w:val="0000FF"/>
      <w:u w:val="single"/>
    </w:rPr>
  </w:style>
  <w:style w:type="character" w:customStyle="1" w:styleId="22">
    <w:name w:val="普通文字 Char Char"/>
    <w:basedOn w:val="19"/>
    <w:semiHidden/>
    <w:qFormat/>
    <w:locked/>
    <w:uiPriority w:val="0"/>
    <w:rPr>
      <w:rFonts w:ascii="宋体" w:hAnsi="Courier New" w:eastAsia="宋体"/>
      <w:kern w:val="2"/>
      <w:sz w:val="21"/>
      <w:lang w:val="en-US" w:eastAsia="zh-CN" w:bidi="ar-SA"/>
    </w:rPr>
  </w:style>
  <w:style w:type="character" w:customStyle="1" w:styleId="23">
    <w:name w:val="正文缩进 字符"/>
    <w:link w:val="5"/>
    <w:qFormat/>
    <w:uiPriority w:val="0"/>
    <w:rPr>
      <w:kern w:val="2"/>
      <w:sz w:val="28"/>
    </w:rPr>
  </w:style>
  <w:style w:type="character" w:customStyle="1" w:styleId="24">
    <w:name w:val="纯文本 字符"/>
    <w:basedOn w:val="19"/>
    <w:link w:val="9"/>
    <w:qFormat/>
    <w:uiPriority w:val="0"/>
    <w:rPr>
      <w:rFonts w:ascii="宋体" w:hAnsi="Courier New" w:eastAsia="宋体"/>
      <w:kern w:val="2"/>
      <w:sz w:val="28"/>
      <w:lang w:val="en-US" w:eastAsia="zh-CN" w:bidi="ar-SA"/>
    </w:rPr>
  </w:style>
  <w:style w:type="character" w:customStyle="1" w:styleId="25">
    <w:name w:val="纯文本 Char Char"/>
    <w:basedOn w:val="19"/>
    <w:qFormat/>
    <w:uiPriority w:val="0"/>
    <w:rPr>
      <w:rFonts w:ascii="宋体" w:hAnsi="Courier New" w:eastAsia="宋体"/>
      <w:kern w:val="2"/>
      <w:sz w:val="21"/>
      <w:lang w:val="en-US" w:eastAsia="zh-CN" w:bidi="ar-SA"/>
    </w:rPr>
  </w:style>
  <w:style w:type="paragraph" w:customStyle="1" w:styleId="26">
    <w:name w:val="Char Char Char1 Char Char Char Char"/>
    <w:basedOn w:val="1"/>
    <w:qFormat/>
    <w:uiPriority w:val="0"/>
    <w:rPr>
      <w:rFonts w:ascii="宋体" w:hAnsi="宋体" w:cs="Courier New"/>
      <w:sz w:val="32"/>
      <w:szCs w:val="32"/>
    </w:rPr>
  </w:style>
  <w:style w:type="paragraph" w:customStyle="1" w:styleId="27">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28">
    <w:name w:val="tou1"/>
    <w:basedOn w:val="19"/>
    <w:qFormat/>
    <w:uiPriority w:val="0"/>
    <w:rPr>
      <w:rFonts w:hint="default" w:ascii="_x000B__x000C_" w:hAnsi="_x000B__x000C_"/>
      <w:color w:val="00000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52A4ED-386A-4C5C-93B5-F63C26D42C66}">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21</Pages>
  <Words>1956</Words>
  <Characters>11153</Characters>
  <Lines>92</Lines>
  <Paragraphs>26</Paragraphs>
  <TotalTime>4</TotalTime>
  <ScaleCrop>false</ScaleCrop>
  <LinksUpToDate>false</LinksUpToDate>
  <CharactersWithSpaces>13083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2018-01-23T08:14:00Z</dcterms:created>
  <dc:creator>di</dc:creator>
  <cp:lastModifiedBy>asus</cp:lastModifiedBy>
  <cp:lastPrinted>2022-02-09T01:42:48Z</cp:lastPrinted>
  <dcterms:modified xsi:type="dcterms:W3CDTF">2022-02-09T01:58:56Z</dcterms:modified>
  <dc:title>房地产评估报告</dc:title>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296D18907DD549A6B4BFA4D1FA5E104A</vt:lpwstr>
  </property>
</Properties>
</file>