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both"/>
        <w:rPr>
          <w:rFonts w:ascii="宋体" w:hAnsi="宋体"/>
          <w:sz w:val="52"/>
          <w:szCs w:val="52"/>
        </w:rPr>
      </w:pPr>
    </w:p>
    <w:p>
      <w:pPr>
        <w:pStyle w:val="2"/>
        <w:spacing w:line="360" w:lineRule="auto"/>
        <w:rPr>
          <w:rFonts w:ascii="宋体" w:hAnsi="宋体"/>
          <w:sz w:val="52"/>
          <w:szCs w:val="52"/>
        </w:rPr>
      </w:pPr>
      <w:r>
        <w:rPr>
          <w:rFonts w:hint="eastAsia" w:ascii="宋体" w:hAnsi="宋体"/>
          <w:sz w:val="52"/>
          <w:szCs w:val="52"/>
        </w:rPr>
        <w:t xml:space="preserve">   </w:t>
      </w:r>
      <w:r>
        <w:rPr>
          <w:rFonts w:ascii="宋体" w:hAnsi="宋体"/>
          <w:sz w:val="52"/>
          <w:szCs w:val="52"/>
        </w:rPr>
        <w:t>房地产估价报告</w:t>
      </w:r>
    </w:p>
    <w:p>
      <w:pPr>
        <w:spacing w:line="480" w:lineRule="auto"/>
        <w:rPr>
          <w:rFonts w:ascii="宋体" w:hAnsi="宋体" w:eastAsia="宋体"/>
        </w:rPr>
      </w:pPr>
    </w:p>
    <w:p>
      <w:pPr>
        <w:spacing w:line="640" w:lineRule="exact"/>
        <w:rPr>
          <w:rFonts w:ascii="宋体" w:hAnsi="宋体" w:eastAsia="宋体"/>
        </w:rPr>
      </w:pPr>
    </w:p>
    <w:p>
      <w:pPr>
        <w:spacing w:line="640" w:lineRule="exact"/>
        <w:rPr>
          <w:rFonts w:ascii="宋体" w:hAnsi="宋体" w:eastAsia="宋体"/>
        </w:rPr>
      </w:pPr>
    </w:p>
    <w:p>
      <w:pPr>
        <w:spacing w:before="156" w:beforeLines="50" w:line="640" w:lineRule="exact"/>
        <w:ind w:left="1169" w:leftChars="-100" w:right="-566" w:rightChars="-236" w:hanging="1409" w:hangingChars="585"/>
        <w:jc w:val="left"/>
        <w:rPr>
          <w:rFonts w:hint="eastAsia" w:ascii="宋体" w:hAnsi="宋体" w:eastAsia="宋体"/>
          <w:szCs w:val="24"/>
          <w:lang w:eastAsia="zh-CN"/>
        </w:rPr>
      </w:pPr>
      <w:r>
        <w:rPr>
          <w:rFonts w:ascii="宋体" w:hAnsi="宋体" w:eastAsia="宋体"/>
          <w:b/>
          <w:szCs w:val="24"/>
        </w:rPr>
        <w:t>估价报告编号：</w:t>
      </w:r>
      <w:r>
        <w:rPr>
          <w:rFonts w:hint="eastAsia" w:ascii="宋体" w:hAnsi="宋体" w:eastAsia="宋体"/>
          <w:szCs w:val="24"/>
          <w:lang w:eastAsia="zh-CN"/>
        </w:rPr>
        <w:t>丽金司估[2022]YH0701号</w:t>
      </w:r>
    </w:p>
    <w:p>
      <w:pPr>
        <w:pStyle w:val="4"/>
        <w:spacing w:line="640" w:lineRule="exact"/>
        <w:ind w:left="1386" w:leftChars="-100" w:right="-566" w:rightChars="-236" w:hanging="1626" w:hangingChars="675"/>
        <w:rPr>
          <w:rFonts w:ascii="宋体" w:hAnsi="宋体"/>
          <w:sz w:val="24"/>
          <w:szCs w:val="24"/>
        </w:rPr>
      </w:pPr>
      <w:r>
        <w:rPr>
          <w:rFonts w:ascii="宋体" w:hAnsi="宋体"/>
          <w:b/>
          <w:sz w:val="24"/>
          <w:szCs w:val="24"/>
        </w:rPr>
        <w:t>估价项目名称：</w:t>
      </w:r>
      <w:r>
        <w:rPr>
          <w:rFonts w:hint="eastAsia" w:ascii="宋体" w:hAnsi="宋体"/>
          <w:sz w:val="24"/>
          <w:szCs w:val="24"/>
          <w:lang w:eastAsia="zh-CN"/>
        </w:rPr>
        <w:t>毛吴勇单独所有位于景宁县鹤溪镇金信丽苑5幢1单元402室</w:t>
      </w:r>
      <w:r>
        <w:rPr>
          <w:rFonts w:hint="eastAsia" w:ascii="宋体" w:hAnsi="宋体"/>
          <w:sz w:val="24"/>
          <w:szCs w:val="24"/>
        </w:rPr>
        <w:t>房地产公开</w:t>
      </w:r>
      <w:r>
        <w:rPr>
          <w:rFonts w:ascii="宋体" w:hAnsi="宋体"/>
          <w:sz w:val="24"/>
          <w:szCs w:val="24"/>
        </w:rPr>
        <w:t>市场价值</w:t>
      </w:r>
      <w:r>
        <w:rPr>
          <w:rFonts w:hint="eastAsia" w:ascii="宋体" w:hAnsi="宋体"/>
          <w:sz w:val="24"/>
          <w:szCs w:val="24"/>
        </w:rPr>
        <w:t>估价项目</w:t>
      </w:r>
    </w:p>
    <w:p>
      <w:pPr>
        <w:pStyle w:val="4"/>
        <w:spacing w:line="640" w:lineRule="exact"/>
        <w:ind w:left="1169" w:leftChars="-100" w:right="-566" w:rightChars="-236" w:hanging="1409" w:hangingChars="585"/>
        <w:rPr>
          <w:rFonts w:hint="eastAsia" w:ascii="宋体" w:hAnsi="宋体" w:eastAsia="宋体"/>
          <w:sz w:val="24"/>
          <w:szCs w:val="24"/>
          <w:lang w:eastAsia="zh-CN"/>
        </w:rPr>
      </w:pPr>
      <w:r>
        <w:rPr>
          <w:rFonts w:ascii="宋体" w:hAnsi="宋体"/>
          <w:b/>
          <w:sz w:val="24"/>
          <w:szCs w:val="24"/>
        </w:rPr>
        <w:t>估价委托人：</w:t>
      </w:r>
      <w:r>
        <w:rPr>
          <w:rFonts w:hint="eastAsia" w:ascii="宋体" w:hAnsi="宋体"/>
          <w:sz w:val="24"/>
          <w:szCs w:val="24"/>
          <w:lang w:eastAsia="zh-CN"/>
        </w:rPr>
        <w:t>浙江省云和县人民法院</w:t>
      </w:r>
    </w:p>
    <w:p>
      <w:pPr>
        <w:pStyle w:val="4"/>
        <w:spacing w:line="640" w:lineRule="exact"/>
        <w:ind w:left="1169" w:leftChars="-100" w:right="-566" w:rightChars="-236" w:hanging="1409" w:hangingChars="585"/>
        <w:rPr>
          <w:rFonts w:ascii="宋体" w:hAnsi="宋体"/>
          <w:sz w:val="24"/>
          <w:szCs w:val="24"/>
        </w:rPr>
      </w:pPr>
      <w:r>
        <w:rPr>
          <w:rFonts w:ascii="宋体" w:hAnsi="宋体"/>
          <w:b/>
          <w:sz w:val="24"/>
          <w:szCs w:val="24"/>
        </w:rPr>
        <w:t>估价机构：</w:t>
      </w:r>
      <w:r>
        <w:rPr>
          <w:rFonts w:hint="eastAsia" w:ascii="宋体" w:hAnsi="宋体"/>
          <w:sz w:val="24"/>
          <w:szCs w:val="24"/>
        </w:rPr>
        <w:t>丽水市金恒房地产土地资产评估有限公司</w:t>
      </w:r>
    </w:p>
    <w:p>
      <w:pPr>
        <w:pStyle w:val="4"/>
        <w:spacing w:line="640" w:lineRule="exact"/>
        <w:ind w:left="1169" w:leftChars="-100" w:right="-566" w:rightChars="-236" w:hanging="1409" w:hangingChars="585"/>
        <w:rPr>
          <w:rFonts w:ascii="宋体" w:hAnsi="宋体"/>
          <w:sz w:val="24"/>
          <w:szCs w:val="24"/>
        </w:rPr>
      </w:pPr>
      <w:r>
        <w:rPr>
          <w:rFonts w:ascii="宋体" w:hAnsi="宋体"/>
          <w:b/>
          <w:sz w:val="24"/>
          <w:szCs w:val="24"/>
        </w:rPr>
        <w:t>注册房地产估价师</w:t>
      </w:r>
      <w:r>
        <w:rPr>
          <w:rFonts w:hint="eastAsia" w:ascii="宋体" w:hAnsi="宋体"/>
          <w:b/>
          <w:sz w:val="24"/>
          <w:szCs w:val="24"/>
        </w:rPr>
        <w:t xml:space="preserve"> ：  </w:t>
      </w:r>
      <w:r>
        <w:rPr>
          <w:rFonts w:hint="eastAsia" w:ascii="宋体" w:hAnsi="宋体"/>
          <w:sz w:val="24"/>
          <w:szCs w:val="24"/>
        </w:rPr>
        <w:t>张卫建（注册号 3319970080）</w:t>
      </w:r>
    </w:p>
    <w:p>
      <w:pPr>
        <w:pStyle w:val="4"/>
        <w:spacing w:line="640" w:lineRule="exact"/>
        <w:ind w:right="-360" w:rightChars="-150" w:firstLine="2272" w:firstLineChars="947"/>
        <w:rPr>
          <w:rFonts w:ascii="宋体" w:hAnsi="宋体"/>
          <w:sz w:val="24"/>
          <w:szCs w:val="24"/>
        </w:rPr>
      </w:pPr>
      <w:r>
        <w:rPr>
          <w:rFonts w:hint="eastAsia" w:ascii="宋体" w:hAnsi="宋体"/>
          <w:sz w:val="24"/>
          <w:szCs w:val="24"/>
        </w:rPr>
        <w:t>常玉全（注册号 3320140097）</w:t>
      </w:r>
    </w:p>
    <w:p>
      <w:pPr>
        <w:pStyle w:val="4"/>
        <w:spacing w:line="640" w:lineRule="exact"/>
        <w:ind w:left="1169" w:leftChars="-100" w:right="-566" w:rightChars="-236" w:hanging="1409" w:hangingChars="585"/>
        <w:rPr>
          <w:rFonts w:hint="eastAsia" w:ascii="宋体" w:hAnsi="宋体" w:eastAsia="宋体"/>
          <w:sz w:val="24"/>
          <w:szCs w:val="24"/>
          <w:lang w:eastAsia="zh-CN"/>
        </w:rPr>
      </w:pPr>
      <w:r>
        <w:rPr>
          <w:rFonts w:hint="eastAsia" w:ascii="宋体" w:hAnsi="宋体"/>
          <w:b/>
          <w:sz w:val="24"/>
          <w:szCs w:val="24"/>
        </w:rPr>
        <w:t>价值时点：</w:t>
      </w:r>
      <w:r>
        <w:rPr>
          <w:rFonts w:hint="eastAsia" w:ascii="宋体" w:hAnsi="宋体"/>
          <w:sz w:val="24"/>
          <w:szCs w:val="24"/>
          <w:lang w:eastAsia="zh-CN"/>
        </w:rPr>
        <w:t>2022年7月25日</w:t>
      </w:r>
    </w:p>
    <w:p>
      <w:pPr>
        <w:spacing w:line="640" w:lineRule="exact"/>
        <w:ind w:left="1169" w:leftChars="-100" w:right="-566" w:rightChars="-236" w:hanging="1409" w:hangingChars="585"/>
        <w:rPr>
          <w:rFonts w:hint="eastAsia" w:ascii="宋体" w:hAnsi="宋体" w:eastAsia="宋体"/>
          <w:szCs w:val="24"/>
          <w:lang w:eastAsia="zh-CN"/>
        </w:rPr>
      </w:pPr>
      <w:r>
        <w:rPr>
          <w:rFonts w:ascii="宋体" w:hAnsi="宋体" w:eastAsia="宋体"/>
          <w:b/>
          <w:szCs w:val="24"/>
        </w:rPr>
        <w:t>估价</w:t>
      </w:r>
      <w:r>
        <w:rPr>
          <w:rFonts w:hint="eastAsia" w:ascii="宋体" w:hAnsi="宋体" w:eastAsia="宋体"/>
          <w:b/>
          <w:szCs w:val="24"/>
        </w:rPr>
        <w:t>报告出具</w:t>
      </w:r>
      <w:r>
        <w:rPr>
          <w:rFonts w:ascii="宋体" w:hAnsi="宋体" w:eastAsia="宋体"/>
          <w:b/>
          <w:szCs w:val="24"/>
        </w:rPr>
        <w:t>日期：</w:t>
      </w:r>
      <w:r>
        <w:rPr>
          <w:rFonts w:hint="eastAsia" w:ascii="宋体" w:hAnsi="宋体" w:eastAsia="宋体"/>
          <w:szCs w:val="24"/>
          <w:lang w:eastAsia="zh-CN"/>
        </w:rPr>
        <w:t>2022年8月6日</w:t>
      </w:r>
    </w:p>
    <w:p>
      <w:pPr>
        <w:pStyle w:val="3"/>
        <w:spacing w:before="0" w:after="0" w:line="480" w:lineRule="exact"/>
        <w:jc w:val="both"/>
        <w:rPr>
          <w:rFonts w:ascii="宋体" w:hAnsi="宋体"/>
          <w:spacing w:val="0"/>
          <w:sz w:val="24"/>
          <w:szCs w:val="24"/>
        </w:rPr>
      </w:pPr>
      <w:bookmarkStart w:id="0" w:name="_Toc391884246"/>
      <w:bookmarkStart w:id="1" w:name="_Toc213473257"/>
      <w:bookmarkStart w:id="2" w:name="_Toc166894318"/>
      <w:bookmarkStart w:id="3" w:name="OLE_LINK3"/>
    </w:p>
    <w:p>
      <w:pPr>
        <w:pStyle w:val="4"/>
        <w:rPr>
          <w:rFonts w:ascii="宋体" w:hAnsi="宋体"/>
        </w:rPr>
      </w:pPr>
    </w:p>
    <w:p>
      <w:pPr>
        <w:pStyle w:val="4"/>
        <w:rPr>
          <w:rFonts w:ascii="宋体" w:hAnsi="宋体"/>
          <w:lang w:val="en-US"/>
        </w:rPr>
      </w:pPr>
    </w:p>
    <w:p>
      <w:pPr>
        <w:pStyle w:val="4"/>
        <w:rPr>
          <w:rFonts w:ascii="宋体" w:hAnsi="宋体"/>
          <w:lang w:val="en-US"/>
        </w:rPr>
      </w:pPr>
    </w:p>
    <w:p>
      <w:pPr>
        <w:pStyle w:val="4"/>
        <w:rPr>
          <w:rFonts w:ascii="宋体" w:hAnsi="宋体"/>
          <w:lang w:val="en-US"/>
        </w:rPr>
      </w:pPr>
    </w:p>
    <w:p>
      <w:pPr>
        <w:pStyle w:val="4"/>
        <w:ind w:left="0" w:leftChars="0" w:firstLine="0" w:firstLineChars="0"/>
        <w:rPr>
          <w:rFonts w:ascii="宋体" w:hAnsi="宋体"/>
          <w:lang w:val="en-US"/>
        </w:rPr>
      </w:pPr>
    </w:p>
    <w:p>
      <w:pPr>
        <w:jc w:val="center"/>
        <w:rPr>
          <w:rFonts w:ascii="宋体" w:hAnsi="宋体" w:eastAsia="宋体"/>
          <w:b/>
          <w:sz w:val="36"/>
          <w:szCs w:val="36"/>
        </w:rPr>
      </w:pPr>
      <w:r>
        <w:rPr>
          <w:rFonts w:ascii="宋体" w:hAnsi="宋体" w:eastAsia="宋体"/>
          <w:b/>
          <w:sz w:val="36"/>
          <w:szCs w:val="36"/>
        </w:rPr>
        <w:t>致估价委托人函</w:t>
      </w:r>
      <w:bookmarkEnd w:id="0"/>
      <w:bookmarkEnd w:id="1"/>
      <w:bookmarkEnd w:id="2"/>
    </w:p>
    <w:p>
      <w:pPr>
        <w:pStyle w:val="6"/>
        <w:spacing w:line="480" w:lineRule="atLeast"/>
        <w:rPr>
          <w:rFonts w:hAnsi="宋体" w:eastAsia="宋体"/>
          <w:b/>
          <w:snapToGrid w:val="0"/>
          <w:kern w:val="0"/>
          <w:szCs w:val="24"/>
        </w:rPr>
      </w:pPr>
      <w:r>
        <w:rPr>
          <w:rFonts w:hint="eastAsia" w:hAnsi="宋体" w:eastAsia="宋体"/>
          <w:b/>
          <w:szCs w:val="24"/>
          <w:lang w:eastAsia="zh-CN"/>
        </w:rPr>
        <w:t>浙江省云和县人民法院</w:t>
      </w:r>
      <w:r>
        <w:rPr>
          <w:rFonts w:hAnsi="宋体" w:eastAsia="宋体"/>
          <w:b/>
          <w:szCs w:val="24"/>
        </w:rPr>
        <w:t>：</w:t>
      </w:r>
    </w:p>
    <w:p>
      <w:pPr>
        <w:spacing w:line="480" w:lineRule="atLeast"/>
        <w:ind w:firstLine="480" w:firstLineChars="200"/>
        <w:rPr>
          <w:rFonts w:ascii="宋体" w:hAnsi="宋体" w:eastAsia="宋体"/>
          <w:szCs w:val="24"/>
        </w:rPr>
      </w:pPr>
      <w:r>
        <w:rPr>
          <w:rFonts w:ascii="宋体" w:hAnsi="宋体" w:eastAsia="宋体"/>
          <w:szCs w:val="24"/>
        </w:rPr>
        <w:t>受</w:t>
      </w:r>
      <w:r>
        <w:rPr>
          <w:rFonts w:hint="eastAsia" w:ascii="宋体" w:hAnsi="宋体" w:eastAsia="宋体"/>
          <w:szCs w:val="24"/>
        </w:rPr>
        <w:t>贵院</w:t>
      </w:r>
      <w:r>
        <w:rPr>
          <w:rFonts w:ascii="宋体" w:hAnsi="宋体" w:eastAsia="宋体"/>
          <w:szCs w:val="24"/>
        </w:rPr>
        <w:t>委托</w:t>
      </w:r>
      <w:r>
        <w:rPr>
          <w:rFonts w:hint="eastAsia" w:ascii="宋体" w:hAnsi="宋体" w:eastAsia="宋体"/>
          <w:szCs w:val="24"/>
        </w:rPr>
        <w:t>【委托编号:(2022)</w:t>
      </w:r>
      <w:r>
        <w:rPr>
          <w:rFonts w:hint="eastAsia" w:ascii="宋体" w:hAnsi="宋体" w:eastAsia="宋体"/>
          <w:szCs w:val="24"/>
          <w:lang w:eastAsia="zh-CN"/>
        </w:rPr>
        <w:t>浙1125委评字第10号</w:t>
      </w:r>
      <w:r>
        <w:rPr>
          <w:rFonts w:hint="eastAsia" w:ascii="宋体" w:hAnsi="宋体" w:eastAsia="宋体"/>
          <w:szCs w:val="24"/>
        </w:rPr>
        <w:t>】</w:t>
      </w:r>
      <w:r>
        <w:rPr>
          <w:rFonts w:ascii="宋体" w:hAnsi="宋体" w:eastAsia="宋体"/>
          <w:szCs w:val="24"/>
        </w:rPr>
        <w:t>，我公司对</w:t>
      </w:r>
      <w:r>
        <w:rPr>
          <w:rFonts w:hint="eastAsia" w:ascii="宋体" w:hAnsi="宋体" w:eastAsia="宋体"/>
          <w:szCs w:val="24"/>
          <w:lang w:eastAsia="zh-CN"/>
        </w:rPr>
        <w:t>毛吴勇单独所有位于景宁县鹤溪镇金信丽苑5幢1单元402室</w:t>
      </w:r>
      <w:r>
        <w:rPr>
          <w:rFonts w:hint="eastAsia" w:ascii="宋体" w:hAnsi="宋体" w:eastAsia="宋体"/>
          <w:szCs w:val="24"/>
        </w:rPr>
        <w:t>房地产（以下简称估价对象）进行了评估。</w:t>
      </w:r>
    </w:p>
    <w:p>
      <w:pPr>
        <w:spacing w:line="480" w:lineRule="atLeast"/>
        <w:ind w:firstLine="480" w:firstLineChars="200"/>
        <w:rPr>
          <w:rFonts w:hint="eastAsia" w:ascii="宋体" w:hAnsi="宋体" w:eastAsia="宋体"/>
          <w:szCs w:val="24"/>
          <w:lang w:eastAsia="zh-CN"/>
        </w:rPr>
      </w:pPr>
      <w:r>
        <w:rPr>
          <w:rFonts w:hint="eastAsia" w:ascii="宋体" w:hAnsi="宋体" w:eastAsia="宋体"/>
          <w:szCs w:val="24"/>
        </w:rPr>
        <w:t>估价对象：</w:t>
      </w:r>
      <w:r>
        <w:rPr>
          <w:rFonts w:hint="eastAsia" w:ascii="宋体" w:hAnsi="宋体" w:eastAsia="宋体"/>
          <w:szCs w:val="24"/>
          <w:lang w:eastAsia="zh-CN"/>
        </w:rPr>
        <w:t>毛吴勇单独所有位于景宁县鹤溪镇金信丽苑5幢1单元402室，</w:t>
      </w:r>
      <w:r>
        <w:rPr>
          <w:rFonts w:ascii="宋体" w:hAnsi="宋体" w:eastAsia="宋体"/>
          <w:szCs w:val="24"/>
        </w:rPr>
        <w:t>建筑面积</w:t>
      </w:r>
      <w:r>
        <w:rPr>
          <w:rFonts w:hint="eastAsia" w:ascii="宋体" w:hAnsi="宋体" w:eastAsia="宋体"/>
          <w:szCs w:val="24"/>
          <w:lang w:eastAsia="zh-CN"/>
        </w:rPr>
        <w:t>148.11</w:t>
      </w:r>
      <w:r>
        <w:rPr>
          <w:rFonts w:hint="eastAsia" w:ascii="宋体" w:hAnsi="宋体" w:eastAsia="宋体"/>
          <w:szCs w:val="24"/>
        </w:rPr>
        <w:t>平方米，国有出让土地使用权</w:t>
      </w:r>
      <w:r>
        <w:rPr>
          <w:rFonts w:hint="eastAsia" w:ascii="宋体" w:hAnsi="宋体" w:eastAsia="宋体"/>
          <w:szCs w:val="24"/>
          <w:lang w:eastAsia="zh-CN"/>
        </w:rPr>
        <w:t>面积为</w:t>
      </w:r>
      <w:r>
        <w:rPr>
          <w:rFonts w:hint="eastAsia" w:ascii="宋体" w:hAnsi="宋体" w:eastAsia="宋体"/>
          <w:szCs w:val="24"/>
          <w:lang w:val="en-US" w:eastAsia="zh-CN"/>
        </w:rPr>
        <w:t>24.38</w:t>
      </w:r>
      <w:r>
        <w:rPr>
          <w:rFonts w:hint="eastAsia" w:ascii="宋体" w:hAnsi="宋体" w:eastAsia="宋体"/>
          <w:szCs w:val="24"/>
          <w:lang w:eastAsia="zh-CN"/>
        </w:rPr>
        <w:t>平方米。</w:t>
      </w:r>
    </w:p>
    <w:p>
      <w:pPr>
        <w:spacing w:line="480" w:lineRule="atLeast"/>
        <w:ind w:firstLine="480" w:firstLineChars="200"/>
        <w:rPr>
          <w:rFonts w:ascii="宋体" w:hAnsi="宋体" w:eastAsia="宋体"/>
          <w:szCs w:val="24"/>
        </w:rPr>
      </w:pPr>
      <w:r>
        <w:rPr>
          <w:rFonts w:hint="eastAsia" w:ascii="宋体" w:hAnsi="宋体" w:eastAsia="宋体"/>
          <w:szCs w:val="24"/>
        </w:rPr>
        <w:t>价值时点：</w:t>
      </w:r>
      <w:r>
        <w:rPr>
          <w:rFonts w:hint="eastAsia" w:ascii="宋体" w:hAnsi="宋体" w:eastAsia="宋体"/>
          <w:szCs w:val="24"/>
          <w:lang w:eastAsia="zh-CN"/>
        </w:rPr>
        <w:t>2022年7月25日</w:t>
      </w:r>
      <w:r>
        <w:rPr>
          <w:rFonts w:hint="eastAsia" w:ascii="宋体" w:hAnsi="宋体" w:eastAsia="宋体"/>
          <w:szCs w:val="24"/>
        </w:rPr>
        <w:t>（为估价人员现场勘查日）</w:t>
      </w:r>
    </w:p>
    <w:p>
      <w:pPr>
        <w:spacing w:line="480" w:lineRule="atLeast"/>
        <w:ind w:firstLine="500" w:firstLineChars="200"/>
        <w:rPr>
          <w:rFonts w:ascii="宋体" w:hAnsi="宋体" w:eastAsia="宋体"/>
          <w:spacing w:val="5"/>
          <w:szCs w:val="24"/>
        </w:rPr>
      </w:pPr>
      <w:r>
        <w:rPr>
          <w:rFonts w:hint="eastAsia" w:ascii="宋体" w:hAnsi="宋体" w:eastAsia="宋体"/>
          <w:spacing w:val="5"/>
          <w:szCs w:val="24"/>
        </w:rPr>
        <w:t>估价目的：</w:t>
      </w:r>
      <w:r>
        <w:rPr>
          <w:rFonts w:ascii="宋体" w:hAnsi="宋体" w:eastAsia="宋体"/>
          <w:spacing w:val="5"/>
          <w:szCs w:val="24"/>
        </w:rPr>
        <w:t>为司法处置(诉讼)提供</w:t>
      </w:r>
      <w:r>
        <w:rPr>
          <w:rFonts w:hint="eastAsia" w:ascii="宋体" w:hAnsi="宋体" w:eastAsia="宋体"/>
          <w:spacing w:val="5"/>
          <w:szCs w:val="24"/>
        </w:rPr>
        <w:t>价值</w:t>
      </w:r>
      <w:r>
        <w:rPr>
          <w:rFonts w:ascii="宋体" w:hAnsi="宋体" w:eastAsia="宋体"/>
          <w:spacing w:val="5"/>
          <w:szCs w:val="24"/>
        </w:rPr>
        <w:t>参考依据而评估房地产</w:t>
      </w:r>
      <w:r>
        <w:rPr>
          <w:rFonts w:hint="eastAsia" w:ascii="宋体" w:hAnsi="宋体" w:eastAsia="宋体"/>
          <w:spacing w:val="5"/>
          <w:szCs w:val="24"/>
        </w:rPr>
        <w:t>公开</w:t>
      </w:r>
      <w:r>
        <w:rPr>
          <w:rFonts w:ascii="宋体" w:hAnsi="宋体" w:eastAsia="宋体"/>
          <w:spacing w:val="5"/>
          <w:szCs w:val="24"/>
        </w:rPr>
        <w:t>市场价值。</w:t>
      </w:r>
    </w:p>
    <w:p>
      <w:pPr>
        <w:spacing w:line="480" w:lineRule="atLeast"/>
        <w:ind w:firstLine="500" w:firstLineChars="200"/>
        <w:rPr>
          <w:rFonts w:ascii="宋体" w:hAnsi="宋体" w:eastAsia="宋体"/>
          <w:spacing w:val="5"/>
          <w:szCs w:val="24"/>
        </w:rPr>
      </w:pPr>
      <w:r>
        <w:rPr>
          <w:rFonts w:hint="eastAsia" w:ascii="宋体" w:hAnsi="宋体" w:eastAsia="宋体"/>
          <w:spacing w:val="5"/>
          <w:szCs w:val="24"/>
        </w:rPr>
        <w:t>估价结果：</w:t>
      </w:r>
      <w:r>
        <w:rPr>
          <w:rFonts w:ascii="宋体" w:hAnsi="宋体" w:eastAsia="宋体"/>
          <w:spacing w:val="5"/>
          <w:szCs w:val="24"/>
        </w:rPr>
        <w:t>估价人员根据估价目的，遵循估价原则，按照估价程序，</w:t>
      </w:r>
      <w:r>
        <w:rPr>
          <w:rFonts w:hint="eastAsia" w:ascii="宋体" w:hAnsi="宋体" w:eastAsia="宋体"/>
          <w:spacing w:val="5"/>
          <w:szCs w:val="24"/>
        </w:rPr>
        <w:t>在现场踏勘的基础上，</w:t>
      </w:r>
      <w:r>
        <w:rPr>
          <w:rFonts w:hint="eastAsia" w:ascii="宋体" w:hAnsi="宋体" w:eastAsia="宋体"/>
          <w:szCs w:val="24"/>
        </w:rPr>
        <w:t>按照</w:t>
      </w:r>
      <w:r>
        <w:rPr>
          <w:rFonts w:ascii="宋体" w:hAnsi="宋体" w:eastAsia="宋体"/>
          <w:spacing w:val="5"/>
          <w:szCs w:val="24"/>
        </w:rPr>
        <w:t>国家和</w:t>
      </w:r>
      <w:r>
        <w:rPr>
          <w:rFonts w:hint="eastAsia" w:ascii="宋体" w:hAnsi="宋体" w:eastAsia="宋体"/>
          <w:spacing w:val="5"/>
          <w:szCs w:val="24"/>
        </w:rPr>
        <w:t>地方的</w:t>
      </w:r>
      <w:r>
        <w:rPr>
          <w:rFonts w:ascii="宋体" w:hAnsi="宋体" w:eastAsia="宋体"/>
          <w:spacing w:val="5"/>
          <w:szCs w:val="24"/>
        </w:rPr>
        <w:t>有关法律、法规政策规定</w:t>
      </w:r>
      <w:r>
        <w:rPr>
          <w:rFonts w:ascii="宋体" w:hAnsi="宋体" w:eastAsia="宋体"/>
          <w:szCs w:val="24"/>
        </w:rPr>
        <w:t>，依据国家标准GB/T50291-</w:t>
      </w:r>
      <w:r>
        <w:rPr>
          <w:rFonts w:hint="eastAsia" w:ascii="宋体" w:hAnsi="宋体" w:eastAsia="宋体"/>
          <w:szCs w:val="24"/>
        </w:rPr>
        <w:t>2015</w:t>
      </w:r>
      <w:r>
        <w:rPr>
          <w:rFonts w:ascii="宋体" w:hAnsi="宋体" w:eastAsia="宋体"/>
          <w:szCs w:val="24"/>
        </w:rPr>
        <w:t>《房地产估价规范》，</w:t>
      </w:r>
      <w:r>
        <w:rPr>
          <w:rFonts w:ascii="宋体" w:hAnsi="宋体" w:eastAsia="宋体"/>
          <w:spacing w:val="5"/>
          <w:szCs w:val="24"/>
        </w:rPr>
        <w:t>采</w:t>
      </w:r>
      <w:r>
        <w:rPr>
          <w:rFonts w:hint="eastAsia" w:ascii="宋体" w:hAnsi="宋体" w:eastAsia="宋体"/>
          <w:spacing w:val="5"/>
          <w:szCs w:val="24"/>
        </w:rPr>
        <w:t>用</w:t>
      </w:r>
      <w:r>
        <w:rPr>
          <w:rFonts w:ascii="宋体" w:hAnsi="宋体" w:eastAsia="宋体"/>
          <w:spacing w:val="5"/>
          <w:szCs w:val="24"/>
        </w:rPr>
        <w:t>比较法，在认真分析所掌握的资料并充分考虑估价对象价格影响因素的基础上，经过综合测算，最终确定估价对象于价值时点</w:t>
      </w:r>
      <w:r>
        <w:rPr>
          <w:rFonts w:hint="eastAsia" w:ascii="宋体" w:hAnsi="宋体" w:eastAsia="宋体"/>
          <w:spacing w:val="5"/>
          <w:szCs w:val="24"/>
          <w:lang w:eastAsia="zh-CN"/>
        </w:rPr>
        <w:t>2022年7月25日</w:t>
      </w:r>
      <w:r>
        <w:rPr>
          <w:rFonts w:ascii="宋体" w:hAnsi="宋体" w:eastAsia="宋体"/>
          <w:spacing w:val="5"/>
          <w:szCs w:val="24"/>
        </w:rPr>
        <w:t>的</w:t>
      </w:r>
      <w:r>
        <w:rPr>
          <w:rFonts w:hint="eastAsia" w:ascii="宋体" w:hAnsi="宋体" w:eastAsia="宋体"/>
          <w:spacing w:val="5"/>
          <w:szCs w:val="24"/>
        </w:rPr>
        <w:t>公开</w:t>
      </w:r>
      <w:r>
        <w:rPr>
          <w:rFonts w:ascii="宋体" w:hAnsi="宋体" w:eastAsia="宋体"/>
          <w:spacing w:val="5"/>
          <w:szCs w:val="24"/>
        </w:rPr>
        <w:t>市场价值</w:t>
      </w:r>
      <w:r>
        <w:rPr>
          <w:rFonts w:hint="eastAsia" w:ascii="宋体" w:hAnsi="宋体" w:eastAsia="宋体"/>
          <w:spacing w:val="5"/>
          <w:szCs w:val="24"/>
        </w:rPr>
        <w:t>为：</w:t>
      </w:r>
      <w:r>
        <w:rPr>
          <w:rFonts w:hint="eastAsia" w:ascii="宋体" w:hAnsi="宋体" w:eastAsia="宋体"/>
          <w:spacing w:val="5"/>
          <w:szCs w:val="24"/>
          <w:lang w:eastAsia="zh-CN"/>
        </w:rPr>
        <w:t>1335656</w:t>
      </w:r>
      <w:r>
        <w:rPr>
          <w:rFonts w:hint="eastAsia" w:ascii="宋体" w:hAnsi="宋体" w:eastAsia="宋体"/>
          <w:spacing w:val="5"/>
          <w:szCs w:val="24"/>
        </w:rPr>
        <w:t>元，大写人民币</w:t>
      </w:r>
      <w:r>
        <w:rPr>
          <w:rFonts w:hint="eastAsia" w:ascii="宋体" w:hAnsi="宋体" w:eastAsia="宋体"/>
          <w:b/>
          <w:spacing w:val="5"/>
          <w:szCs w:val="24"/>
          <w:lang w:eastAsia="zh-CN"/>
        </w:rPr>
        <w:t>壹佰叁拾叁万伍仟陆佰伍拾陆</w:t>
      </w:r>
      <w:r>
        <w:rPr>
          <w:rFonts w:hint="eastAsia" w:ascii="宋体" w:hAnsi="宋体" w:eastAsia="宋体"/>
          <w:spacing w:val="5"/>
          <w:szCs w:val="24"/>
        </w:rPr>
        <w:t>元整（估价结果精确到元）。</w:t>
      </w:r>
    </w:p>
    <w:p>
      <w:pPr>
        <w:spacing w:line="480" w:lineRule="atLeast"/>
        <w:ind w:firstLine="500" w:firstLineChars="200"/>
        <w:rPr>
          <w:rFonts w:ascii="宋体" w:hAnsi="宋体" w:eastAsia="宋体"/>
          <w:spacing w:val="5"/>
          <w:szCs w:val="24"/>
        </w:rPr>
      </w:pPr>
    </w:p>
    <w:tbl>
      <w:tblPr>
        <w:tblStyle w:val="12"/>
        <w:tblW w:w="5000" w:type="pct"/>
        <w:tblInd w:w="0" w:type="dxa"/>
        <w:tblLayout w:type="autofit"/>
        <w:tblCellMar>
          <w:top w:w="0" w:type="dxa"/>
          <w:left w:w="108" w:type="dxa"/>
          <w:bottom w:w="0" w:type="dxa"/>
          <w:right w:w="108" w:type="dxa"/>
        </w:tblCellMar>
      </w:tblPr>
      <w:tblGrid>
        <w:gridCol w:w="2314"/>
        <w:gridCol w:w="1786"/>
        <w:gridCol w:w="2181"/>
        <w:gridCol w:w="2247"/>
      </w:tblGrid>
      <w:tr>
        <w:tblPrEx>
          <w:tblCellMar>
            <w:top w:w="0" w:type="dxa"/>
            <w:left w:w="108" w:type="dxa"/>
            <w:bottom w:w="0" w:type="dxa"/>
            <w:right w:w="108" w:type="dxa"/>
          </w:tblCellMar>
        </w:tblPrEx>
        <w:trPr>
          <w:trHeight w:val="465" w:hRule="atLeast"/>
        </w:trPr>
        <w:tc>
          <w:tcPr>
            <w:tcW w:w="135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黑体" w:hAnsi="黑体" w:eastAsia="黑体" w:cs="宋体"/>
                <w:b/>
                <w:bCs/>
                <w:color w:val="000000"/>
                <w:kern w:val="0"/>
                <w:szCs w:val="24"/>
              </w:rPr>
            </w:pPr>
            <w:r>
              <w:rPr>
                <w:rFonts w:hint="eastAsia" w:ascii="黑体" w:hAnsi="黑体" w:eastAsia="黑体" w:cs="宋体"/>
                <w:b/>
                <w:bCs/>
                <w:color w:val="000000"/>
                <w:kern w:val="0"/>
                <w:szCs w:val="24"/>
              </w:rPr>
              <w:t>估 价 对 象</w:t>
            </w:r>
          </w:p>
        </w:tc>
        <w:tc>
          <w:tcPr>
            <w:tcW w:w="1047"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黑体" w:hAnsi="黑体" w:eastAsia="黑体" w:cs="宋体"/>
                <w:b/>
                <w:bCs/>
                <w:color w:val="000000"/>
                <w:kern w:val="0"/>
                <w:szCs w:val="24"/>
              </w:rPr>
            </w:pPr>
            <w:r>
              <w:rPr>
                <w:rFonts w:hint="eastAsia" w:ascii="黑体" w:hAnsi="黑体" w:eastAsia="黑体" w:cs="宋体"/>
                <w:b/>
                <w:bCs/>
                <w:color w:val="000000"/>
                <w:kern w:val="0"/>
                <w:szCs w:val="24"/>
              </w:rPr>
              <w:t>建筑面积                （㎡）</w:t>
            </w:r>
          </w:p>
        </w:tc>
        <w:tc>
          <w:tcPr>
            <w:tcW w:w="1278"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黑体" w:hAnsi="黑体" w:eastAsia="黑体" w:cs="宋体"/>
                <w:b/>
                <w:bCs/>
                <w:color w:val="000000"/>
                <w:kern w:val="0"/>
                <w:szCs w:val="24"/>
              </w:rPr>
            </w:pPr>
            <w:r>
              <w:rPr>
                <w:rFonts w:hint="eastAsia" w:ascii="黑体" w:hAnsi="黑体" w:eastAsia="黑体" w:cs="宋体"/>
                <w:b/>
                <w:bCs/>
                <w:color w:val="000000"/>
                <w:kern w:val="0"/>
                <w:szCs w:val="24"/>
              </w:rPr>
              <w:t>评估单价                 （元/㎡）</w:t>
            </w:r>
          </w:p>
        </w:tc>
        <w:tc>
          <w:tcPr>
            <w:tcW w:w="131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黑体" w:hAnsi="黑体" w:eastAsia="黑体" w:cs="宋体"/>
                <w:b/>
                <w:bCs/>
                <w:color w:val="000000"/>
                <w:kern w:val="0"/>
                <w:szCs w:val="24"/>
              </w:rPr>
            </w:pPr>
            <w:r>
              <w:rPr>
                <w:rFonts w:hint="eastAsia" w:ascii="黑体" w:hAnsi="黑体" w:eastAsia="黑体" w:cs="宋体"/>
                <w:b/>
                <w:bCs/>
                <w:color w:val="000000"/>
                <w:kern w:val="0"/>
                <w:szCs w:val="24"/>
              </w:rPr>
              <w:t>房地产公开市场价值（元）</w:t>
            </w:r>
          </w:p>
        </w:tc>
      </w:tr>
      <w:tr>
        <w:tblPrEx>
          <w:tblCellMar>
            <w:top w:w="0" w:type="dxa"/>
            <w:left w:w="108" w:type="dxa"/>
            <w:bottom w:w="0" w:type="dxa"/>
            <w:right w:w="108" w:type="dxa"/>
          </w:tblCellMar>
        </w:tblPrEx>
        <w:trPr>
          <w:trHeight w:val="312" w:hRule="atLeast"/>
        </w:trPr>
        <w:tc>
          <w:tcPr>
            <w:tcW w:w="135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黑体" w:hAnsi="黑体" w:eastAsia="黑体" w:cs="宋体"/>
                <w:b/>
                <w:bCs/>
                <w:color w:val="000000"/>
                <w:kern w:val="0"/>
                <w:sz w:val="21"/>
                <w:szCs w:val="21"/>
              </w:rPr>
            </w:pPr>
          </w:p>
        </w:tc>
        <w:tc>
          <w:tcPr>
            <w:tcW w:w="1047"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黑体" w:hAnsi="黑体" w:eastAsia="黑体" w:cs="宋体"/>
                <w:b/>
                <w:bCs/>
                <w:color w:val="000000"/>
                <w:kern w:val="0"/>
                <w:sz w:val="21"/>
                <w:szCs w:val="21"/>
              </w:rPr>
            </w:pPr>
          </w:p>
        </w:tc>
        <w:tc>
          <w:tcPr>
            <w:tcW w:w="1278"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黑体" w:hAnsi="黑体" w:eastAsia="黑体" w:cs="宋体"/>
                <w:b/>
                <w:bCs/>
                <w:color w:val="000000"/>
                <w:kern w:val="0"/>
                <w:sz w:val="21"/>
                <w:szCs w:val="21"/>
              </w:rPr>
            </w:pPr>
          </w:p>
        </w:tc>
        <w:tc>
          <w:tcPr>
            <w:tcW w:w="131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黑体" w:hAnsi="黑体" w:eastAsia="黑体" w:cs="宋体"/>
                <w:b/>
                <w:bCs/>
                <w:color w:val="000000"/>
                <w:kern w:val="0"/>
                <w:sz w:val="21"/>
                <w:szCs w:val="21"/>
              </w:rPr>
            </w:pPr>
          </w:p>
        </w:tc>
      </w:tr>
      <w:tr>
        <w:tblPrEx>
          <w:tblCellMar>
            <w:top w:w="0" w:type="dxa"/>
            <w:left w:w="108" w:type="dxa"/>
            <w:bottom w:w="0" w:type="dxa"/>
            <w:right w:w="108" w:type="dxa"/>
          </w:tblCellMar>
        </w:tblPrEx>
        <w:trPr>
          <w:trHeight w:val="510" w:hRule="atLeast"/>
        </w:trPr>
        <w:tc>
          <w:tcPr>
            <w:tcW w:w="13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1"/>
                <w:szCs w:val="21"/>
              </w:rPr>
            </w:pPr>
            <w:r>
              <w:rPr>
                <w:rFonts w:hint="eastAsia" w:ascii="宋体" w:hAnsi="宋体" w:eastAsia="宋体"/>
                <w:szCs w:val="24"/>
                <w:lang w:eastAsia="zh-CN"/>
              </w:rPr>
              <w:t>鹤溪镇金信丽苑5幢1单元402室</w:t>
            </w:r>
          </w:p>
        </w:tc>
        <w:tc>
          <w:tcPr>
            <w:tcW w:w="104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olor w:val="000000"/>
                <w:kern w:val="0"/>
                <w:szCs w:val="24"/>
                <w:lang w:eastAsia="zh-CN"/>
              </w:rPr>
            </w:pPr>
            <w:r>
              <w:rPr>
                <w:rFonts w:hint="eastAsia" w:asciiTheme="minorEastAsia" w:hAnsiTheme="minorEastAsia" w:eastAsiaTheme="minorEastAsia"/>
                <w:color w:val="000000"/>
                <w:kern w:val="0"/>
                <w:szCs w:val="24"/>
                <w:lang w:eastAsia="zh-CN"/>
              </w:rPr>
              <w:t>148.11</w:t>
            </w:r>
          </w:p>
        </w:tc>
        <w:tc>
          <w:tcPr>
            <w:tcW w:w="1278"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default" w:asciiTheme="minorEastAsia" w:hAnsiTheme="minorEastAsia" w:eastAsiaTheme="minorEastAsia"/>
                <w:kern w:val="0"/>
                <w:szCs w:val="24"/>
                <w:lang w:val="en-US" w:eastAsia="zh-CN"/>
              </w:rPr>
            </w:pPr>
            <w:r>
              <w:rPr>
                <w:rFonts w:hint="eastAsia" w:asciiTheme="minorEastAsia" w:hAnsiTheme="minorEastAsia" w:eastAsiaTheme="minorEastAsia"/>
                <w:kern w:val="0"/>
                <w:szCs w:val="24"/>
                <w:lang w:val="en-US" w:eastAsia="zh-CN"/>
              </w:rPr>
              <w:t>9018</w:t>
            </w:r>
          </w:p>
        </w:tc>
        <w:tc>
          <w:tcPr>
            <w:tcW w:w="13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default" w:asciiTheme="minorEastAsia" w:hAnsiTheme="minorEastAsia" w:eastAsiaTheme="minorEastAsia"/>
                <w:kern w:val="0"/>
                <w:szCs w:val="24"/>
                <w:lang w:val="en-US" w:eastAsia="zh-CN"/>
              </w:rPr>
            </w:pPr>
            <w:r>
              <w:rPr>
                <w:rFonts w:hint="eastAsia" w:asciiTheme="minorEastAsia" w:hAnsiTheme="minorEastAsia" w:eastAsiaTheme="minorEastAsia"/>
                <w:kern w:val="0"/>
                <w:szCs w:val="24"/>
                <w:lang w:val="en-US" w:eastAsia="zh-CN"/>
              </w:rPr>
              <w:t>1335656</w:t>
            </w:r>
          </w:p>
        </w:tc>
      </w:tr>
      <w:tr>
        <w:tblPrEx>
          <w:tblCellMar>
            <w:top w:w="0" w:type="dxa"/>
            <w:left w:w="108" w:type="dxa"/>
            <w:bottom w:w="0" w:type="dxa"/>
            <w:right w:w="108" w:type="dxa"/>
          </w:tblCellMar>
        </w:tblPrEx>
        <w:trPr>
          <w:trHeight w:val="572" w:hRule="atLeast"/>
        </w:trPr>
        <w:tc>
          <w:tcPr>
            <w:tcW w:w="13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合计</w:t>
            </w:r>
          </w:p>
        </w:tc>
        <w:tc>
          <w:tcPr>
            <w:tcW w:w="104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Theme="minorEastAsia" w:hAnsiTheme="minorEastAsia" w:eastAsiaTheme="minorEastAsia"/>
                <w:b/>
                <w:bCs/>
                <w:color w:val="000000"/>
                <w:kern w:val="0"/>
                <w:szCs w:val="24"/>
              </w:rPr>
            </w:pPr>
            <w:r>
              <w:rPr>
                <w:rFonts w:asciiTheme="minorEastAsia" w:hAnsiTheme="minorEastAsia" w:eastAsiaTheme="minorEastAsia"/>
                <w:b/>
                <w:bCs/>
                <w:color w:val="000000"/>
                <w:kern w:val="0"/>
                <w:szCs w:val="24"/>
              </w:rPr>
              <w:t>/</w:t>
            </w:r>
          </w:p>
        </w:tc>
        <w:tc>
          <w:tcPr>
            <w:tcW w:w="1278"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Theme="minorEastAsia" w:hAnsiTheme="minorEastAsia" w:eastAsiaTheme="minorEastAsia"/>
                <w:b/>
                <w:kern w:val="0"/>
                <w:szCs w:val="24"/>
              </w:rPr>
            </w:pPr>
            <w:r>
              <w:rPr>
                <w:rFonts w:asciiTheme="minorEastAsia" w:hAnsiTheme="minorEastAsia" w:eastAsiaTheme="minorEastAsia"/>
                <w:b/>
                <w:kern w:val="0"/>
                <w:szCs w:val="24"/>
              </w:rPr>
              <w:t>/</w:t>
            </w:r>
          </w:p>
        </w:tc>
        <w:tc>
          <w:tcPr>
            <w:tcW w:w="13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b/>
                <w:kern w:val="0"/>
                <w:szCs w:val="24"/>
                <w:lang w:eastAsia="zh-CN"/>
              </w:rPr>
            </w:pPr>
            <w:r>
              <w:rPr>
                <w:rFonts w:hint="eastAsia" w:asciiTheme="minorEastAsia" w:hAnsiTheme="minorEastAsia" w:eastAsiaTheme="minorEastAsia"/>
                <w:b/>
                <w:kern w:val="0"/>
                <w:szCs w:val="24"/>
                <w:lang w:eastAsia="zh-CN"/>
              </w:rPr>
              <w:t>1335656</w:t>
            </w: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lang w:eastAsia="zh-CN"/>
        </w:rPr>
        <w:t>估价对象于价值时点尚未腾空，物业、水电费是否有欠缴情况不详。估价对象平台上搭建有阳光棚，是否涉及违章请详询有关单位。</w:t>
      </w:r>
      <w:r>
        <w:rPr>
          <w:rFonts w:hint="eastAsia" w:ascii="宋体" w:hAnsi="宋体" w:eastAsia="宋体"/>
          <w:szCs w:val="24"/>
        </w:rPr>
        <w:t>本估价结果同时受到本估价报告中说明的估价假设和限制条件的限制</w:t>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 w:val="24"/>
          <w:szCs w:val="24"/>
        </w:rPr>
        <w:t>特此函告</w:t>
      </w:r>
    </w:p>
    <w:p>
      <w:pPr>
        <w:pStyle w:val="4"/>
        <w:spacing w:line="480" w:lineRule="atLeast"/>
        <w:ind w:right="560" w:firstLine="3360" w:firstLineChars="1400"/>
        <w:rPr>
          <w:rFonts w:ascii="宋体" w:hAnsi="宋体"/>
          <w:sz w:val="24"/>
          <w:szCs w:val="24"/>
        </w:rPr>
      </w:pPr>
      <w:r>
        <w:rPr>
          <w:rFonts w:hint="eastAsia" w:ascii="宋体" w:hAnsi="宋体"/>
          <w:sz w:val="24"/>
          <w:szCs w:val="24"/>
        </w:rPr>
        <w:t>丽水市金恒房地产土地资产评估有限公司</w:t>
      </w:r>
    </w:p>
    <w:p>
      <w:pPr>
        <w:pStyle w:val="4"/>
        <w:spacing w:line="480" w:lineRule="atLeast"/>
        <w:ind w:right="560" w:firstLine="4164" w:firstLineChars="1735"/>
        <w:rPr>
          <w:rFonts w:ascii="宋体" w:hAnsi="宋体"/>
          <w:sz w:val="24"/>
          <w:szCs w:val="24"/>
        </w:rPr>
      </w:pPr>
      <w:r>
        <w:rPr>
          <w:rFonts w:ascii="宋体" w:hAnsi="宋体"/>
          <w:sz w:val="24"/>
          <w:szCs w:val="24"/>
        </w:rPr>
        <w:t>法定代表人：</w:t>
      </w:r>
      <w:r>
        <w:rPr>
          <w:rFonts w:hint="eastAsia" w:ascii="宋体" w:hAnsi="宋体"/>
          <w:sz w:val="24"/>
          <w:szCs w:val="24"/>
        </w:rPr>
        <w:t>张卫建</w:t>
      </w:r>
    </w:p>
    <w:p>
      <w:pPr>
        <w:pStyle w:val="4"/>
        <w:spacing w:line="480" w:lineRule="atLeast"/>
        <w:ind w:right="980" w:firstLine="4284" w:firstLineChars="1785"/>
        <w:rPr>
          <w:rFonts w:hint="eastAsia" w:ascii="宋体" w:hAnsi="宋体" w:eastAsia="宋体"/>
          <w:sz w:val="24"/>
          <w:szCs w:val="24"/>
          <w:lang w:eastAsia="zh-CN"/>
        </w:rPr>
      </w:pPr>
      <w:r>
        <w:rPr>
          <w:rFonts w:hint="eastAsia" w:ascii="宋体" w:hAnsi="宋体"/>
          <w:sz w:val="24"/>
          <w:szCs w:val="24"/>
          <w:lang w:eastAsia="zh-CN"/>
        </w:rPr>
        <w:t>2022年8月6日</w:t>
      </w:r>
    </w:p>
    <w:bookmarkEnd w:id="3"/>
    <w:p>
      <w:pPr>
        <w:pStyle w:val="3"/>
        <w:spacing w:before="0" w:after="0" w:line="720" w:lineRule="auto"/>
        <w:rPr>
          <w:rFonts w:ascii="宋体" w:hAnsi="宋体"/>
          <w:bCs/>
          <w:szCs w:val="36"/>
        </w:rPr>
      </w:pPr>
      <w:bookmarkStart w:id="4" w:name="_Toc218927466"/>
      <w:bookmarkStart w:id="5" w:name="_Toc391884245"/>
      <w:bookmarkStart w:id="6" w:name="_Toc218927563"/>
      <w:r>
        <w:rPr>
          <w:rFonts w:ascii="宋体" w:hAnsi="宋体"/>
          <w:bCs/>
          <w:szCs w:val="36"/>
        </w:rPr>
        <w:t>目</w:t>
      </w:r>
      <w:r>
        <w:rPr>
          <w:rFonts w:hint="eastAsia" w:ascii="宋体" w:hAnsi="宋体"/>
          <w:bCs/>
          <w:szCs w:val="36"/>
        </w:rPr>
        <w:t xml:space="preserve">   </w:t>
      </w:r>
      <w:r>
        <w:rPr>
          <w:rFonts w:ascii="宋体" w:hAnsi="宋体"/>
          <w:bCs/>
          <w:szCs w:val="36"/>
        </w:rPr>
        <w:t>录</w:t>
      </w:r>
      <w:bookmarkEnd w:id="4"/>
      <w:bookmarkEnd w:id="5"/>
      <w:bookmarkEnd w:id="6"/>
      <w:r>
        <w:rPr>
          <w:rStyle w:val="14"/>
          <w:color w:val="auto"/>
          <w:szCs w:val="24"/>
        </w:rPr>
        <w:fldChar w:fldCharType="begin"/>
      </w:r>
      <w:r>
        <w:rPr>
          <w:rStyle w:val="14"/>
          <w:color w:val="auto"/>
          <w:szCs w:val="24"/>
        </w:rPr>
        <w:instrText xml:space="preserve"> TOC \o "2-3" \h \z \u </w:instrText>
      </w:r>
      <w:r>
        <w:rPr>
          <w:rStyle w:val="14"/>
          <w:color w:val="auto"/>
          <w:szCs w:val="24"/>
        </w:rPr>
        <w:fldChar w:fldCharType="separate"/>
      </w:r>
      <w:r>
        <w:fldChar w:fldCharType="begin"/>
      </w:r>
      <w:r>
        <w:instrText xml:space="preserve"> HYPERLINK \l "_Toc391884246" </w:instrText>
      </w:r>
      <w:r>
        <w:fldChar w:fldCharType="separate"/>
      </w:r>
      <w:r>
        <w:fldChar w:fldCharType="end"/>
      </w:r>
    </w:p>
    <w:p>
      <w:pPr>
        <w:pStyle w:val="11"/>
        <w:rPr>
          <w:color w:val="auto"/>
          <w:szCs w:val="24"/>
        </w:rPr>
      </w:pPr>
      <w:r>
        <w:rPr>
          <w:rFonts w:hint="eastAsia"/>
          <w:b/>
          <w:color w:val="auto"/>
          <w:szCs w:val="24"/>
        </w:rPr>
        <w:t>第一部分</w:t>
      </w:r>
      <w:r>
        <w:rPr>
          <w:rFonts w:hint="eastAsia"/>
          <w:color w:val="auto"/>
          <w:szCs w:val="24"/>
        </w:rPr>
        <w:t xml:space="preserve">  </w:t>
      </w:r>
      <w:r>
        <w:fldChar w:fldCharType="begin"/>
      </w:r>
      <w:r>
        <w:instrText xml:space="preserve"> HYPERLINK \l "_Toc391884247" </w:instrText>
      </w:r>
      <w:r>
        <w:fldChar w:fldCharType="separate"/>
      </w:r>
      <w:r>
        <w:rPr>
          <w:rStyle w:val="14"/>
          <w:b/>
          <w:bCs/>
          <w:color w:val="auto"/>
          <w:szCs w:val="24"/>
        </w:rPr>
        <w:t>注册房地产估价师声明</w:t>
      </w:r>
      <w:r>
        <w:rPr>
          <w:color w:val="auto"/>
          <w:szCs w:val="24"/>
        </w:rPr>
        <w:tab/>
      </w:r>
      <w:r>
        <w:rPr>
          <w:rFonts w:hint="eastAsia"/>
          <w:color w:val="auto"/>
          <w:szCs w:val="24"/>
          <w:lang w:val="en-US" w:eastAsia="zh-CN"/>
        </w:rPr>
        <w:t>3</w:t>
      </w:r>
      <w:r>
        <w:rPr>
          <w:rFonts w:hint="eastAsia"/>
          <w:color w:val="auto"/>
          <w:szCs w:val="24"/>
        </w:rPr>
        <w:fldChar w:fldCharType="end"/>
      </w:r>
    </w:p>
    <w:p>
      <w:pPr>
        <w:pStyle w:val="11"/>
        <w:rPr>
          <w:color w:val="auto"/>
          <w:szCs w:val="24"/>
        </w:rPr>
      </w:pPr>
      <w:r>
        <w:rPr>
          <w:rFonts w:hint="eastAsia"/>
          <w:b/>
          <w:color w:val="auto"/>
          <w:szCs w:val="24"/>
        </w:rPr>
        <w:t>第二部分</w:t>
      </w:r>
      <w:r>
        <w:rPr>
          <w:rFonts w:hint="eastAsia"/>
          <w:color w:val="auto"/>
          <w:szCs w:val="24"/>
        </w:rPr>
        <w:t xml:space="preserve">  </w:t>
      </w:r>
      <w:r>
        <w:fldChar w:fldCharType="begin"/>
      </w:r>
      <w:r>
        <w:instrText xml:space="preserve"> HYPERLINK \l "_Toc391884248" </w:instrText>
      </w:r>
      <w:r>
        <w:fldChar w:fldCharType="separate"/>
      </w:r>
      <w:r>
        <w:rPr>
          <w:rStyle w:val="14"/>
          <w:b/>
          <w:bCs/>
          <w:color w:val="auto"/>
          <w:szCs w:val="24"/>
        </w:rPr>
        <w:t>估价假设和限制条件</w:t>
      </w:r>
      <w:r>
        <w:rPr>
          <w:color w:val="auto"/>
          <w:szCs w:val="24"/>
        </w:rPr>
        <w:tab/>
      </w:r>
      <w:r>
        <w:rPr>
          <w:rFonts w:hint="eastAsia"/>
          <w:color w:val="auto"/>
          <w:szCs w:val="24"/>
          <w:lang w:val="en-US" w:eastAsia="zh-CN"/>
        </w:rPr>
        <w:t>4</w:t>
      </w:r>
      <w:r>
        <w:rPr>
          <w:rFonts w:hint="eastAsia"/>
          <w:color w:val="auto"/>
          <w:szCs w:val="24"/>
        </w:rPr>
        <w:fldChar w:fldCharType="end"/>
      </w:r>
    </w:p>
    <w:p>
      <w:pPr>
        <w:pStyle w:val="11"/>
        <w:rPr>
          <w:color w:val="auto"/>
          <w:szCs w:val="24"/>
        </w:rPr>
      </w:pPr>
      <w:r>
        <w:rPr>
          <w:rFonts w:hint="eastAsia"/>
          <w:b/>
          <w:color w:val="auto"/>
          <w:szCs w:val="24"/>
        </w:rPr>
        <w:t>第三部分</w:t>
      </w:r>
      <w:r>
        <w:rPr>
          <w:rFonts w:hint="eastAsia"/>
          <w:color w:val="auto"/>
          <w:szCs w:val="24"/>
        </w:rPr>
        <w:t xml:space="preserve">  </w:t>
      </w:r>
      <w:r>
        <w:fldChar w:fldCharType="begin"/>
      </w:r>
      <w:r>
        <w:instrText xml:space="preserve"> HYPERLINK \l "_Toc391884249" </w:instrText>
      </w:r>
      <w:r>
        <w:fldChar w:fldCharType="separate"/>
      </w:r>
      <w:r>
        <w:rPr>
          <w:rStyle w:val="14"/>
          <w:b/>
          <w:bCs/>
          <w:color w:val="auto"/>
          <w:szCs w:val="24"/>
        </w:rPr>
        <w:t>估价结果报告</w:t>
      </w:r>
      <w:r>
        <w:rPr>
          <w:color w:val="auto"/>
          <w:szCs w:val="24"/>
        </w:rPr>
        <w:tab/>
      </w:r>
      <w:r>
        <w:rPr>
          <w:rFonts w:hint="eastAsia"/>
          <w:color w:val="auto"/>
          <w:szCs w:val="24"/>
          <w:lang w:val="en-US" w:eastAsia="zh-CN"/>
        </w:rPr>
        <w:t>6</w:t>
      </w:r>
      <w:r>
        <w:rPr>
          <w:rFonts w:hint="eastAsia"/>
          <w:color w:val="auto"/>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"_Toc391884250" </w:instrText>
      </w:r>
      <w:r>
        <w:fldChar w:fldCharType="separate"/>
      </w:r>
      <w:r>
        <w:rPr>
          <w:rStyle w:val="14"/>
          <w:rFonts w:ascii="宋体" w:hAnsi="宋体" w:eastAsia="宋体"/>
          <w:bCs/>
          <w:color w:val="auto"/>
          <w:szCs w:val="24"/>
        </w:rPr>
        <w:t>一、估价委托人</w:t>
      </w:r>
      <w:r>
        <w:rPr>
          <w:rFonts w:ascii="宋体" w:hAnsi="宋体" w:eastAsia="宋体"/>
          <w:szCs w:val="24"/>
        </w:rPr>
        <w:tab/>
      </w:r>
      <w:r>
        <w:rPr>
          <w:rFonts w:hint="eastAsia" w:ascii="宋体" w:hAnsi="宋体" w:eastAsia="宋体"/>
          <w:szCs w:val="24"/>
          <w:lang w:val="en-US" w:eastAsia="zh-CN"/>
        </w:rPr>
        <w:t>6</w:t>
      </w:r>
      <w:r>
        <w:rPr>
          <w:rFonts w:hint="eastAsia"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"_Toc391884251" </w:instrText>
      </w:r>
      <w:r>
        <w:fldChar w:fldCharType="separate"/>
      </w:r>
      <w:r>
        <w:rPr>
          <w:rStyle w:val="14"/>
          <w:rFonts w:ascii="宋体" w:hAnsi="宋体" w:eastAsia="宋体"/>
          <w:bCs/>
          <w:color w:val="auto"/>
          <w:szCs w:val="24"/>
        </w:rPr>
        <w:t>二、估价机构</w:t>
      </w:r>
      <w:r>
        <w:rPr>
          <w:rFonts w:ascii="宋体" w:hAnsi="宋体" w:eastAsia="宋体"/>
          <w:szCs w:val="24"/>
        </w:rPr>
        <w:tab/>
      </w:r>
      <w:r>
        <w:rPr>
          <w:rFonts w:hint="eastAsia" w:ascii="宋体" w:hAnsi="宋体" w:eastAsia="宋体"/>
          <w:szCs w:val="24"/>
          <w:lang w:val="en-US" w:eastAsia="zh-CN"/>
        </w:rPr>
        <w:t>6</w:t>
      </w:r>
      <w:r>
        <w:rPr>
          <w:rFonts w:hint="eastAsia"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"_Toc391884252" </w:instrText>
      </w:r>
      <w:r>
        <w:fldChar w:fldCharType="separate"/>
      </w:r>
      <w:r>
        <w:rPr>
          <w:rStyle w:val="14"/>
          <w:rFonts w:ascii="宋体" w:hAnsi="宋体" w:eastAsia="宋体"/>
          <w:bCs/>
          <w:color w:val="auto"/>
          <w:szCs w:val="24"/>
        </w:rPr>
        <w:t>三、估价目的</w:t>
      </w:r>
      <w:r>
        <w:rPr>
          <w:rFonts w:ascii="宋体" w:hAnsi="宋体" w:eastAsia="宋体"/>
          <w:szCs w:val="24"/>
        </w:rPr>
        <w:tab/>
      </w:r>
      <w:r>
        <w:rPr>
          <w:rFonts w:hint="eastAsia" w:ascii="宋体" w:hAnsi="宋体" w:eastAsia="宋体"/>
          <w:szCs w:val="24"/>
          <w:lang w:val="en-US" w:eastAsia="zh-CN"/>
        </w:rPr>
        <w:t>6</w:t>
      </w:r>
      <w:r>
        <w:rPr>
          <w:rFonts w:hint="eastAsia"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"_Toc391884253" </w:instrText>
      </w:r>
      <w:r>
        <w:fldChar w:fldCharType="separate"/>
      </w:r>
      <w:r>
        <w:rPr>
          <w:rStyle w:val="14"/>
          <w:rFonts w:ascii="宋体" w:hAnsi="宋体" w:eastAsia="宋体"/>
          <w:bCs/>
          <w:color w:val="auto"/>
          <w:szCs w:val="24"/>
        </w:rPr>
        <w:t>四、估价对象</w:t>
      </w:r>
      <w:r>
        <w:rPr>
          <w:rFonts w:ascii="宋体" w:hAnsi="宋体" w:eastAsia="宋体"/>
          <w:szCs w:val="24"/>
        </w:rPr>
        <w:tab/>
      </w:r>
      <w:r>
        <w:rPr>
          <w:rFonts w:hint="eastAsia" w:ascii="宋体" w:hAnsi="宋体" w:eastAsia="宋体"/>
          <w:szCs w:val="24"/>
          <w:lang w:val="en-US" w:eastAsia="zh-CN"/>
        </w:rPr>
        <w:t>6</w:t>
      </w:r>
      <w:r>
        <w:rPr>
          <w:rFonts w:hint="eastAsia"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"_Toc391884254" </w:instrText>
      </w:r>
      <w:r>
        <w:fldChar w:fldCharType="separate"/>
      </w:r>
      <w:r>
        <w:rPr>
          <w:rStyle w:val="14"/>
          <w:rFonts w:ascii="宋体" w:hAnsi="宋体" w:eastAsia="宋体"/>
          <w:bCs/>
          <w:color w:val="auto"/>
          <w:szCs w:val="24"/>
        </w:rPr>
        <w:t>五、价值时点</w:t>
      </w:r>
      <w:r>
        <w:rPr>
          <w:rFonts w:ascii="宋体" w:hAnsi="宋体" w:eastAsia="宋体"/>
          <w:szCs w:val="24"/>
        </w:rPr>
        <w:tab/>
      </w:r>
      <w:r>
        <w:rPr>
          <w:rFonts w:hint="eastAsia" w:ascii="宋体" w:hAnsi="宋体" w:eastAsia="宋体"/>
          <w:szCs w:val="24"/>
        </w:rPr>
        <w:t>9</w:t>
      </w:r>
      <w:r>
        <w:rPr>
          <w:rFonts w:hint="eastAsia"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"_Toc391884255" </w:instrText>
      </w:r>
      <w:r>
        <w:fldChar w:fldCharType="separate"/>
      </w:r>
      <w:r>
        <w:rPr>
          <w:rStyle w:val="14"/>
          <w:rFonts w:ascii="宋体" w:hAnsi="宋体" w:eastAsia="宋体"/>
          <w:bCs/>
          <w:color w:val="auto"/>
          <w:szCs w:val="24"/>
        </w:rPr>
        <w:t>六、价值类型</w:t>
      </w:r>
      <w:r>
        <w:rPr>
          <w:rFonts w:ascii="宋体" w:hAnsi="宋体" w:eastAsia="宋体"/>
          <w:szCs w:val="24"/>
        </w:rPr>
        <w:tab/>
      </w:r>
      <w:r>
        <w:rPr>
          <w:rFonts w:hint="eastAsia" w:ascii="宋体" w:hAnsi="宋体" w:eastAsia="宋体"/>
          <w:szCs w:val="24"/>
        </w:rPr>
        <w:t>9</w:t>
      </w:r>
      <w:r>
        <w:rPr>
          <w:rFonts w:hint="eastAsia"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"_Toc391884256" </w:instrText>
      </w:r>
      <w:r>
        <w:fldChar w:fldCharType="separate"/>
      </w:r>
      <w:r>
        <w:rPr>
          <w:rStyle w:val="14"/>
          <w:rFonts w:ascii="宋体" w:hAnsi="宋体" w:eastAsia="宋体"/>
          <w:bCs/>
          <w:color w:val="auto"/>
          <w:szCs w:val="24"/>
        </w:rPr>
        <w:t>七、估价依据</w:t>
      </w:r>
      <w:r>
        <w:rPr>
          <w:rFonts w:ascii="宋体" w:hAnsi="宋体" w:eastAsia="宋体"/>
          <w:szCs w:val="24"/>
        </w:rPr>
        <w:tab/>
      </w:r>
      <w:r>
        <w:rPr>
          <w:rFonts w:hint="eastAsia" w:ascii="宋体" w:hAnsi="宋体" w:eastAsia="宋体"/>
          <w:szCs w:val="24"/>
          <w:lang w:val="en-US" w:eastAsia="zh-CN"/>
        </w:rPr>
        <w:t>9</w:t>
      </w:r>
      <w:r>
        <w:rPr>
          <w:rFonts w:hint="eastAsia"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"_Toc391884257" </w:instrText>
      </w:r>
      <w:r>
        <w:fldChar w:fldCharType="separate"/>
      </w:r>
      <w:r>
        <w:rPr>
          <w:rStyle w:val="14"/>
          <w:rFonts w:ascii="宋体" w:hAnsi="宋体" w:eastAsia="宋体"/>
          <w:bCs/>
          <w:color w:val="auto"/>
          <w:szCs w:val="24"/>
        </w:rPr>
        <w:t>八、估价原则</w:t>
      </w:r>
      <w:r>
        <w:rPr>
          <w:rFonts w:ascii="宋体" w:hAnsi="宋体" w:eastAsia="宋体"/>
          <w:szCs w:val="24"/>
        </w:rPr>
        <w:tab/>
      </w:r>
      <w:r>
        <w:rPr>
          <w:rFonts w:hint="eastAsia" w:ascii="宋体" w:hAnsi="宋体" w:eastAsia="宋体"/>
          <w:szCs w:val="24"/>
        </w:rPr>
        <w:t>1</w:t>
      </w:r>
      <w:r>
        <w:rPr>
          <w:rFonts w:hint="eastAsia" w:ascii="宋体" w:hAnsi="宋体" w:eastAsia="宋体"/>
          <w:szCs w:val="24"/>
          <w:lang w:val="en-US" w:eastAsia="zh-CN"/>
        </w:rPr>
        <w:t>0</w:t>
      </w:r>
      <w:r>
        <w:rPr>
          <w:rFonts w:hint="eastAsia"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"_Toc391884258" </w:instrText>
      </w:r>
      <w:r>
        <w:fldChar w:fldCharType="separate"/>
      </w:r>
      <w:r>
        <w:rPr>
          <w:rStyle w:val="14"/>
          <w:rFonts w:ascii="宋体" w:hAnsi="宋体" w:eastAsia="宋体"/>
          <w:bCs/>
          <w:color w:val="auto"/>
          <w:szCs w:val="24"/>
        </w:rPr>
        <w:t>九、估价方法</w:t>
      </w:r>
      <w:r>
        <w:rPr>
          <w:rFonts w:ascii="宋体" w:hAnsi="宋体" w:eastAsia="宋体"/>
          <w:szCs w:val="24"/>
        </w:rPr>
        <w:tab/>
      </w:r>
      <w:r>
        <w:rPr>
          <w:rFonts w:ascii="宋体" w:hAnsi="宋体" w:eastAsia="宋体"/>
          <w:szCs w:val="24"/>
        </w:rPr>
        <w:fldChar w:fldCharType="begin"/>
      </w:r>
      <w:r>
        <w:rPr>
          <w:rFonts w:ascii="宋体" w:hAnsi="宋体" w:eastAsia="宋体"/>
          <w:szCs w:val="24"/>
        </w:rPr>
        <w:instrText xml:space="preserve"> PAGEREF _Toc391884258 \h </w:instrText>
      </w:r>
      <w:r>
        <w:rPr>
          <w:rFonts w:ascii="宋体" w:hAnsi="宋体" w:eastAsia="宋体"/>
          <w:szCs w:val="24"/>
        </w:rPr>
        <w:fldChar w:fldCharType="separate"/>
      </w:r>
      <w:r>
        <w:rPr>
          <w:rFonts w:ascii="宋体" w:hAnsi="宋体" w:eastAsia="宋体"/>
          <w:szCs w:val="24"/>
        </w:rPr>
        <w:t>11</w:t>
      </w:r>
      <w:r>
        <w:rPr>
          <w:rFonts w:ascii="宋体" w:hAnsi="宋体" w:eastAsia="宋体"/>
          <w:szCs w:val="24"/>
        </w:rPr>
        <w:fldChar w:fldCharType="end"/>
      </w:r>
      <w:r>
        <w:rPr>
          <w:rFonts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"_Toc391884259" </w:instrText>
      </w:r>
      <w:r>
        <w:fldChar w:fldCharType="separate"/>
      </w:r>
      <w:r>
        <w:rPr>
          <w:rStyle w:val="14"/>
          <w:rFonts w:ascii="宋体" w:hAnsi="宋体" w:eastAsia="宋体"/>
          <w:bCs/>
          <w:color w:val="auto"/>
          <w:szCs w:val="24"/>
        </w:rPr>
        <w:t>十、估价结果</w:t>
      </w:r>
      <w:r>
        <w:rPr>
          <w:rFonts w:ascii="宋体" w:hAnsi="宋体" w:eastAsia="宋体"/>
          <w:szCs w:val="24"/>
        </w:rPr>
        <w:tab/>
      </w:r>
      <w:r>
        <w:rPr>
          <w:rFonts w:ascii="宋体" w:hAnsi="宋体" w:eastAsia="宋体"/>
          <w:szCs w:val="24"/>
        </w:rPr>
        <w:fldChar w:fldCharType="begin"/>
      </w:r>
      <w:r>
        <w:rPr>
          <w:rFonts w:ascii="宋体" w:hAnsi="宋体" w:eastAsia="宋体"/>
          <w:szCs w:val="24"/>
        </w:rPr>
        <w:instrText xml:space="preserve"> PAGEREF _Toc391884259 \h </w:instrText>
      </w:r>
      <w:r>
        <w:rPr>
          <w:rFonts w:ascii="宋体" w:hAnsi="宋体" w:eastAsia="宋体"/>
          <w:szCs w:val="24"/>
        </w:rPr>
        <w:fldChar w:fldCharType="separate"/>
      </w:r>
      <w:r>
        <w:rPr>
          <w:rFonts w:ascii="宋体" w:hAnsi="宋体" w:eastAsia="宋体"/>
          <w:szCs w:val="24"/>
        </w:rPr>
        <w:t>12</w:t>
      </w:r>
      <w:r>
        <w:rPr>
          <w:rFonts w:ascii="宋体" w:hAnsi="宋体" w:eastAsia="宋体"/>
          <w:szCs w:val="24"/>
        </w:rPr>
        <w:fldChar w:fldCharType="end"/>
      </w:r>
      <w:r>
        <w:rPr>
          <w:rFonts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"_Toc391884260" </w:instrText>
      </w:r>
      <w:r>
        <w:fldChar w:fldCharType="separate"/>
      </w:r>
      <w:r>
        <w:rPr>
          <w:rStyle w:val="14"/>
          <w:rFonts w:ascii="宋体" w:hAnsi="宋体" w:eastAsia="宋体"/>
          <w:bCs/>
          <w:color w:val="auto"/>
          <w:szCs w:val="24"/>
        </w:rPr>
        <w:t>十一、估价人员</w:t>
      </w:r>
      <w:r>
        <w:rPr>
          <w:rFonts w:ascii="宋体" w:hAnsi="宋体" w:eastAsia="宋体"/>
          <w:szCs w:val="24"/>
        </w:rPr>
        <w:tab/>
      </w:r>
      <w:r>
        <w:rPr>
          <w:rFonts w:ascii="宋体" w:hAnsi="宋体" w:eastAsia="宋体"/>
          <w:szCs w:val="24"/>
        </w:rPr>
        <w:fldChar w:fldCharType="begin"/>
      </w:r>
      <w:r>
        <w:rPr>
          <w:rFonts w:ascii="宋体" w:hAnsi="宋体" w:eastAsia="宋体"/>
          <w:szCs w:val="24"/>
        </w:rPr>
        <w:instrText xml:space="preserve"> PAGEREF _Toc391884260 \h </w:instrText>
      </w:r>
      <w:r>
        <w:rPr>
          <w:rFonts w:ascii="宋体" w:hAnsi="宋体" w:eastAsia="宋体"/>
          <w:szCs w:val="24"/>
        </w:rPr>
        <w:fldChar w:fldCharType="separate"/>
      </w:r>
      <w:r>
        <w:rPr>
          <w:rFonts w:ascii="宋体" w:hAnsi="宋体" w:eastAsia="宋体"/>
          <w:szCs w:val="24"/>
        </w:rPr>
        <w:t>12</w:t>
      </w:r>
      <w:r>
        <w:rPr>
          <w:rFonts w:ascii="宋体" w:hAnsi="宋体" w:eastAsia="宋体"/>
          <w:szCs w:val="24"/>
        </w:rPr>
        <w:fldChar w:fldCharType="end"/>
      </w:r>
      <w:r>
        <w:rPr>
          <w:rFonts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"_Toc391884261" </w:instrText>
      </w:r>
      <w:r>
        <w:fldChar w:fldCharType="separate"/>
      </w:r>
      <w:r>
        <w:rPr>
          <w:rStyle w:val="14"/>
          <w:rFonts w:ascii="宋体" w:hAnsi="宋体" w:eastAsia="宋体"/>
          <w:bCs/>
          <w:color w:val="auto"/>
          <w:szCs w:val="24"/>
        </w:rPr>
        <w:t>十二、估价作业日期</w:t>
      </w:r>
      <w:r>
        <w:rPr>
          <w:rFonts w:ascii="宋体" w:hAnsi="宋体" w:eastAsia="宋体"/>
          <w:szCs w:val="24"/>
        </w:rPr>
        <w:tab/>
      </w:r>
      <w:r>
        <w:rPr>
          <w:rFonts w:ascii="宋体" w:hAnsi="宋体" w:eastAsia="宋体"/>
          <w:szCs w:val="24"/>
        </w:rPr>
        <w:fldChar w:fldCharType="begin"/>
      </w:r>
      <w:r>
        <w:rPr>
          <w:rFonts w:ascii="宋体" w:hAnsi="宋体" w:eastAsia="宋体"/>
          <w:szCs w:val="24"/>
        </w:rPr>
        <w:instrText xml:space="preserve"> PAGEREF _Toc391884261 \h </w:instrText>
      </w:r>
      <w:r>
        <w:rPr>
          <w:rFonts w:ascii="宋体" w:hAnsi="宋体" w:eastAsia="宋体"/>
          <w:szCs w:val="24"/>
        </w:rPr>
        <w:fldChar w:fldCharType="separate"/>
      </w:r>
      <w:r>
        <w:rPr>
          <w:rFonts w:ascii="宋体" w:hAnsi="宋体" w:eastAsia="宋体"/>
          <w:szCs w:val="24"/>
        </w:rPr>
        <w:t>12</w:t>
      </w:r>
      <w:r>
        <w:rPr>
          <w:rFonts w:ascii="宋体" w:hAnsi="宋体" w:eastAsia="宋体"/>
          <w:szCs w:val="24"/>
        </w:rPr>
        <w:fldChar w:fldCharType="end"/>
      </w:r>
      <w:r>
        <w:rPr>
          <w:rFonts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"_Toc391884260" </w:instrText>
      </w:r>
      <w:r>
        <w:fldChar w:fldCharType="separate"/>
      </w:r>
      <w:r>
        <w:rPr>
          <w:rStyle w:val="14"/>
          <w:rFonts w:ascii="宋体" w:hAnsi="宋体" w:eastAsia="宋体"/>
          <w:bCs/>
          <w:color w:val="auto"/>
          <w:szCs w:val="24"/>
        </w:rPr>
        <w:t>十</w:t>
      </w:r>
      <w:r>
        <w:rPr>
          <w:rStyle w:val="14"/>
          <w:rFonts w:hint="eastAsia" w:ascii="宋体" w:hAnsi="宋体" w:eastAsia="宋体"/>
          <w:bCs/>
          <w:color w:val="auto"/>
          <w:szCs w:val="24"/>
        </w:rPr>
        <w:t>三</w:t>
      </w:r>
      <w:r>
        <w:rPr>
          <w:rStyle w:val="14"/>
          <w:rFonts w:ascii="宋体" w:hAnsi="宋体" w:eastAsia="宋体"/>
          <w:bCs/>
          <w:color w:val="auto"/>
          <w:szCs w:val="24"/>
        </w:rPr>
        <w:t>、</w:t>
      </w:r>
      <w:r>
        <w:rPr>
          <w:rStyle w:val="14"/>
          <w:rFonts w:hint="eastAsia" w:ascii="宋体" w:hAnsi="宋体" w:eastAsia="宋体"/>
          <w:bCs/>
          <w:color w:val="auto"/>
          <w:szCs w:val="24"/>
        </w:rPr>
        <w:t xml:space="preserve">估价报告使用期限 </w:t>
      </w:r>
      <w:r>
        <w:rPr>
          <w:rFonts w:ascii="宋体" w:hAnsi="宋体" w:eastAsia="宋体"/>
          <w:szCs w:val="24"/>
        </w:rPr>
        <w:tab/>
      </w:r>
      <w:r>
        <w:rPr>
          <w:rFonts w:ascii="宋体" w:hAnsi="宋体" w:eastAsia="宋体"/>
          <w:szCs w:val="24"/>
        </w:rPr>
        <w:fldChar w:fldCharType="begin"/>
      </w:r>
      <w:r>
        <w:rPr>
          <w:rFonts w:ascii="宋体" w:hAnsi="宋体" w:eastAsia="宋体"/>
          <w:szCs w:val="24"/>
        </w:rPr>
        <w:instrText xml:space="preserve"> PAGEREF _Toc391884260 \h </w:instrText>
      </w:r>
      <w:r>
        <w:rPr>
          <w:rFonts w:ascii="宋体" w:hAnsi="宋体" w:eastAsia="宋体"/>
          <w:szCs w:val="24"/>
        </w:rPr>
        <w:fldChar w:fldCharType="separate"/>
      </w:r>
      <w:r>
        <w:rPr>
          <w:rFonts w:ascii="宋体" w:hAnsi="宋体" w:eastAsia="宋体"/>
          <w:szCs w:val="24"/>
        </w:rPr>
        <w:t>12</w:t>
      </w:r>
      <w:r>
        <w:rPr>
          <w:rFonts w:ascii="宋体" w:hAnsi="宋体" w:eastAsia="宋体"/>
          <w:szCs w:val="24"/>
        </w:rPr>
        <w:fldChar w:fldCharType="end"/>
      </w:r>
      <w:r>
        <w:rPr>
          <w:rFonts w:ascii="宋体" w:hAnsi="宋体" w:eastAsia="宋体"/>
          <w:szCs w:val="24"/>
        </w:rPr>
        <w:fldChar w:fldCharType="end"/>
      </w:r>
    </w:p>
    <w:p>
      <w:pPr>
        <w:pStyle w:val="11"/>
        <w:rPr>
          <w:color w:val="auto"/>
          <w:szCs w:val="24"/>
        </w:rPr>
      </w:pPr>
      <w:r>
        <w:rPr>
          <w:rFonts w:hint="eastAsia"/>
          <w:b/>
          <w:color w:val="auto"/>
          <w:szCs w:val="24"/>
        </w:rPr>
        <w:t>第四部分</w:t>
      </w:r>
      <w:r>
        <w:rPr>
          <w:rFonts w:hint="eastAsia"/>
          <w:color w:val="auto"/>
          <w:szCs w:val="24"/>
        </w:rPr>
        <w:t xml:space="preserve">  </w:t>
      </w:r>
      <w:r>
        <w:fldChar w:fldCharType="begin"/>
      </w:r>
      <w:r>
        <w:instrText xml:space="preserve"> HYPERLINK \l "_Toc391884273" </w:instrText>
      </w:r>
      <w:r>
        <w:fldChar w:fldCharType="separate"/>
      </w:r>
      <w:r>
        <w:rPr>
          <w:rStyle w:val="14"/>
          <w:b/>
          <w:bCs/>
          <w:color w:val="auto"/>
          <w:szCs w:val="24"/>
        </w:rPr>
        <w:t>附件</w:t>
      </w:r>
      <w:r>
        <w:rPr>
          <w:color w:val="auto"/>
          <w:szCs w:val="24"/>
        </w:rPr>
        <w:tab/>
      </w:r>
      <w:r>
        <w:rPr>
          <w:color w:val="auto"/>
          <w:szCs w:val="24"/>
        </w:rPr>
        <w:fldChar w:fldCharType="end"/>
      </w:r>
      <w:r>
        <w:rPr>
          <w:rFonts w:hint="eastAsia"/>
          <w:color w:val="auto"/>
          <w:szCs w:val="24"/>
        </w:rPr>
        <w:t>14</w:t>
      </w:r>
    </w:p>
    <w:p>
      <w:pPr>
        <w:pStyle w:val="4"/>
        <w:spacing w:line="480" w:lineRule="exact"/>
        <w:ind w:right="981" w:firstLine="0"/>
        <w:rPr>
          <w:rFonts w:ascii="宋体" w:hAnsi="宋体"/>
          <w:sz w:val="24"/>
          <w:szCs w:val="24"/>
        </w:rPr>
      </w:pPr>
    </w:p>
    <w:p>
      <w:pPr>
        <w:spacing w:line="480" w:lineRule="exact"/>
        <w:jc w:val="center"/>
        <w:rPr>
          <w:rFonts w:ascii="宋体" w:hAnsi="宋体" w:eastAsia="宋体"/>
          <w:b/>
          <w:sz w:val="36"/>
          <w:szCs w:val="36"/>
        </w:rPr>
      </w:pPr>
      <w:r>
        <w:rPr>
          <w:rStyle w:val="14"/>
          <w:rFonts w:ascii="宋体" w:hAnsi="宋体" w:eastAsia="宋体"/>
          <w:b/>
          <w:color w:val="auto"/>
          <w:szCs w:val="24"/>
        </w:rPr>
        <w:fldChar w:fldCharType="end"/>
      </w:r>
      <w:bookmarkStart w:id="7" w:name="_Toc213473258"/>
      <w:bookmarkStart w:id="8" w:name="_Toc391884247"/>
      <w:bookmarkStart w:id="9" w:name="_Toc166894319"/>
      <w:r>
        <w:rPr>
          <w:rFonts w:ascii="宋体" w:hAnsi="宋体" w:eastAsia="宋体"/>
        </w:rPr>
        <w:br w:type="page"/>
      </w:r>
      <w:r>
        <w:rPr>
          <w:rFonts w:hint="eastAsia" w:ascii="宋体" w:hAnsi="宋体" w:eastAsia="宋体"/>
          <w:b/>
          <w:sz w:val="36"/>
          <w:szCs w:val="36"/>
        </w:rPr>
        <w:t xml:space="preserve">第一部分   </w:t>
      </w:r>
      <w:r>
        <w:rPr>
          <w:rFonts w:ascii="宋体" w:hAnsi="宋体" w:eastAsia="宋体"/>
          <w:b/>
          <w:sz w:val="36"/>
          <w:szCs w:val="36"/>
        </w:rPr>
        <w:t>注册房地产估价师声明</w:t>
      </w:r>
      <w:bookmarkEnd w:id="7"/>
      <w:bookmarkEnd w:id="8"/>
      <w:bookmarkEnd w:id="9"/>
    </w:p>
    <w:p>
      <w:pPr>
        <w:pStyle w:val="4"/>
        <w:spacing w:line="480" w:lineRule="exact"/>
        <w:ind w:firstLine="0"/>
        <w:rPr>
          <w:rFonts w:ascii="宋体" w:hAnsi="宋体"/>
          <w:b/>
          <w:sz w:val="24"/>
          <w:szCs w:val="24"/>
        </w:rPr>
      </w:pPr>
      <w:r>
        <w:rPr>
          <w:rFonts w:ascii="宋体" w:hAnsi="宋体"/>
          <w:b/>
          <w:sz w:val="24"/>
          <w:szCs w:val="24"/>
        </w:rPr>
        <w:t>我们郑重声明：</w:t>
      </w:r>
    </w:p>
    <w:p>
      <w:pPr>
        <w:pStyle w:val="4"/>
        <w:spacing w:line="48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.我们在本估价报告中陈述的事实是真实的和准确的。</w:t>
      </w:r>
    </w:p>
    <w:p>
      <w:pPr>
        <w:pStyle w:val="4"/>
        <w:spacing w:line="480" w:lineRule="exact"/>
        <w:ind w:firstLine="480" w:firstLineChars="200"/>
        <w:rPr>
          <w:rFonts w:ascii="宋体" w:hAnsi="宋体"/>
          <w:sz w:val="24"/>
          <w:szCs w:val="24"/>
        </w:rPr>
      </w:pPr>
      <w:r>
        <w:rPr>
          <w:rFonts w:ascii="宋体" w:hAnsi="宋体"/>
          <w:sz w:val="24"/>
          <w:szCs w:val="24"/>
        </w:rPr>
        <w:t>2.本估价报告中的分析、意见和结论，是我们自己独立、客观、公正的专业分析、意见和结论，但受到本估价报告中已说明的假设和限制条件的限制。</w:t>
      </w:r>
    </w:p>
    <w:p>
      <w:pPr>
        <w:pStyle w:val="4"/>
        <w:spacing w:line="480" w:lineRule="exact"/>
        <w:ind w:firstLine="480" w:firstLineChars="200"/>
        <w:rPr>
          <w:rFonts w:ascii="宋体" w:hAnsi="宋体"/>
          <w:sz w:val="24"/>
          <w:szCs w:val="24"/>
        </w:rPr>
      </w:pPr>
      <w:r>
        <w:rPr>
          <w:rFonts w:ascii="宋体" w:hAnsi="宋体"/>
          <w:sz w:val="24"/>
          <w:szCs w:val="24"/>
        </w:rPr>
        <w:t>3.我们与本估价报告中的估价对象没有</w:t>
      </w:r>
      <w:r>
        <w:rPr>
          <w:rFonts w:hint="eastAsia" w:ascii="宋体" w:hAnsi="宋体"/>
          <w:sz w:val="24"/>
          <w:szCs w:val="24"/>
        </w:rPr>
        <w:t>现实或潜在的利益</w:t>
      </w:r>
      <w:r>
        <w:rPr>
          <w:rFonts w:ascii="宋体" w:hAnsi="宋体"/>
          <w:sz w:val="24"/>
          <w:szCs w:val="24"/>
        </w:rPr>
        <w:t>，</w:t>
      </w:r>
      <w:r>
        <w:rPr>
          <w:rFonts w:hint="eastAsia" w:ascii="宋体" w:hAnsi="宋体"/>
          <w:sz w:val="24"/>
          <w:szCs w:val="24"/>
        </w:rPr>
        <w:t>与估价委托人及估价利害关系人没有利害关系，也对估价对象、估价委托人及估价利害关系人没有偏见。</w:t>
      </w:r>
    </w:p>
    <w:p>
      <w:pPr>
        <w:pStyle w:val="4"/>
        <w:spacing w:line="480" w:lineRule="exact"/>
        <w:ind w:firstLine="480" w:firstLineChars="200"/>
        <w:rPr>
          <w:rFonts w:ascii="宋体" w:hAnsi="宋体"/>
          <w:sz w:val="24"/>
          <w:szCs w:val="24"/>
        </w:rPr>
      </w:pPr>
      <w:r>
        <w:rPr>
          <w:rFonts w:ascii="宋体" w:hAnsi="宋体"/>
          <w:sz w:val="24"/>
          <w:szCs w:val="24"/>
        </w:rPr>
        <w:t>4.我们依照中华人民共和国国家标准《房地产估价规范》</w:t>
      </w:r>
      <w:r>
        <w:rPr>
          <w:rFonts w:hint="eastAsia" w:ascii="宋体" w:hAnsi="宋体"/>
          <w:sz w:val="24"/>
          <w:szCs w:val="24"/>
        </w:rPr>
        <w:t>（GB/T50321-2015</w:t>
      </w:r>
      <w:r>
        <w:rPr>
          <w:rFonts w:ascii="宋体" w:hAnsi="宋体"/>
          <w:sz w:val="24"/>
          <w:szCs w:val="24"/>
        </w:rPr>
        <w:t>）</w:t>
      </w:r>
      <w:r>
        <w:rPr>
          <w:rFonts w:hint="eastAsia" w:ascii="宋体" w:hAnsi="宋体"/>
          <w:sz w:val="24"/>
          <w:szCs w:val="24"/>
        </w:rPr>
        <w:t>、《房地产估价基本术语标准》（GB/T50899-2013</w:t>
      </w:r>
      <w:r>
        <w:rPr>
          <w:rFonts w:ascii="宋体" w:hAnsi="宋体"/>
          <w:sz w:val="24"/>
          <w:szCs w:val="24"/>
        </w:rPr>
        <w:t>）进行分析，形成意见和结论，撰写本估价报告。</w:t>
      </w:r>
    </w:p>
    <w:p>
      <w:pPr>
        <w:pStyle w:val="4"/>
        <w:spacing w:line="480" w:lineRule="exact"/>
        <w:ind w:firstLine="480" w:firstLineChars="200"/>
        <w:rPr>
          <w:rFonts w:ascii="宋体" w:hAnsi="宋体"/>
          <w:sz w:val="24"/>
          <w:szCs w:val="24"/>
        </w:rPr>
      </w:pPr>
      <w:r>
        <w:rPr>
          <w:rFonts w:ascii="宋体" w:hAnsi="宋体"/>
          <w:sz w:val="24"/>
          <w:szCs w:val="24"/>
        </w:rPr>
        <w:t>5.注册房地产估价师</w:t>
      </w:r>
      <w:r>
        <w:rPr>
          <w:rFonts w:hint="eastAsia" w:ascii="宋体" w:hAnsi="宋体"/>
          <w:sz w:val="24"/>
          <w:szCs w:val="24"/>
        </w:rPr>
        <w:t>张卫建、常玉全</w:t>
      </w:r>
      <w:r>
        <w:rPr>
          <w:rFonts w:ascii="宋体" w:hAnsi="宋体"/>
          <w:sz w:val="24"/>
          <w:szCs w:val="24"/>
        </w:rPr>
        <w:t>已于价值时点</w:t>
      </w:r>
      <w:r>
        <w:rPr>
          <w:rFonts w:hint="eastAsia" w:ascii="宋体" w:hAnsi="宋体"/>
          <w:sz w:val="24"/>
          <w:szCs w:val="24"/>
          <w:lang w:eastAsia="zh-CN"/>
        </w:rPr>
        <w:t>2022年7月25日</w:t>
      </w:r>
      <w:r>
        <w:rPr>
          <w:rFonts w:ascii="宋体" w:hAnsi="宋体"/>
          <w:sz w:val="24"/>
          <w:szCs w:val="24"/>
        </w:rPr>
        <w:t>对估价报告中估价对象进行了实地查</w:t>
      </w:r>
      <w:r>
        <w:rPr>
          <w:rFonts w:hint="eastAsia" w:ascii="宋体" w:hAnsi="宋体"/>
          <w:sz w:val="24"/>
          <w:szCs w:val="24"/>
        </w:rPr>
        <w:t>勘，</w:t>
      </w:r>
      <w:r>
        <w:rPr>
          <w:rFonts w:ascii="宋体" w:hAnsi="宋体"/>
          <w:sz w:val="24"/>
          <w:szCs w:val="24"/>
        </w:rPr>
        <w:t>但仅限于估价对象的外观与</w:t>
      </w:r>
      <w:r>
        <w:rPr>
          <w:rFonts w:hint="eastAsia" w:ascii="宋体" w:hAnsi="宋体"/>
          <w:sz w:val="24"/>
          <w:szCs w:val="24"/>
        </w:rPr>
        <w:t>使用</w:t>
      </w:r>
      <w:r>
        <w:rPr>
          <w:rFonts w:ascii="宋体" w:hAnsi="宋体"/>
          <w:sz w:val="24"/>
          <w:szCs w:val="24"/>
        </w:rPr>
        <w:t>状况，我们不承担对估价对象建筑结构质量</w:t>
      </w:r>
      <w:r>
        <w:rPr>
          <w:rFonts w:hint="eastAsia" w:ascii="宋体" w:hAnsi="宋体"/>
          <w:sz w:val="24"/>
          <w:szCs w:val="24"/>
        </w:rPr>
        <w:t>进行调查的责任和</w:t>
      </w:r>
      <w:r>
        <w:rPr>
          <w:rFonts w:ascii="宋体" w:hAnsi="宋体"/>
          <w:sz w:val="24"/>
          <w:szCs w:val="24"/>
        </w:rPr>
        <w:t>其他被遮盖</w:t>
      </w:r>
      <w:r>
        <w:rPr>
          <w:rFonts w:hint="eastAsia" w:ascii="宋体" w:hAnsi="宋体"/>
          <w:sz w:val="24"/>
          <w:szCs w:val="24"/>
        </w:rPr>
        <w:t>、</w:t>
      </w:r>
      <w:r>
        <w:rPr>
          <w:rFonts w:ascii="宋体" w:hAnsi="宋体"/>
          <w:sz w:val="24"/>
          <w:szCs w:val="24"/>
        </w:rPr>
        <w:t>未暴露及难以接触到的部分进行检</w:t>
      </w:r>
      <w:r>
        <w:rPr>
          <w:rFonts w:hint="eastAsia" w:ascii="宋体" w:hAnsi="宋体"/>
          <w:sz w:val="24"/>
          <w:szCs w:val="24"/>
        </w:rPr>
        <w:t>测</w:t>
      </w:r>
      <w:r>
        <w:rPr>
          <w:rFonts w:ascii="宋体" w:hAnsi="宋体"/>
          <w:sz w:val="24"/>
          <w:szCs w:val="24"/>
        </w:rPr>
        <w:t>的责任。没有人对本估价报告提供重要的专业帮助。</w:t>
      </w:r>
    </w:p>
    <w:p>
      <w:pPr>
        <w:pStyle w:val="4"/>
        <w:spacing w:line="480" w:lineRule="exact"/>
        <w:ind w:firstLine="480" w:firstLineChars="200"/>
        <w:rPr>
          <w:rFonts w:ascii="宋体" w:hAnsi="宋体"/>
          <w:sz w:val="24"/>
          <w:szCs w:val="24"/>
        </w:rPr>
      </w:pPr>
      <w:r>
        <w:rPr>
          <w:rFonts w:ascii="宋体" w:hAnsi="宋体"/>
          <w:sz w:val="24"/>
          <w:szCs w:val="24"/>
        </w:rPr>
        <w:t>6.本评估报告结果包含与房屋不可分割的满足其使用功能的水、电、</w:t>
      </w:r>
      <w:r>
        <w:rPr>
          <w:rFonts w:hint="eastAsia" w:ascii="宋体" w:hAnsi="宋体"/>
          <w:sz w:val="24"/>
          <w:szCs w:val="24"/>
        </w:rPr>
        <w:t>卫</w:t>
      </w:r>
      <w:r>
        <w:rPr>
          <w:rFonts w:ascii="宋体" w:hAnsi="宋体"/>
          <w:sz w:val="24"/>
          <w:szCs w:val="24"/>
        </w:rPr>
        <w:t>以及配套的所有相关辅助设施</w:t>
      </w:r>
      <w:r>
        <w:rPr>
          <w:rFonts w:hint="eastAsia" w:ascii="宋体" w:hAnsi="宋体"/>
          <w:sz w:val="24"/>
          <w:szCs w:val="24"/>
        </w:rPr>
        <w:t>的价格。</w:t>
      </w:r>
    </w:p>
    <w:p>
      <w:pPr>
        <w:pStyle w:val="6"/>
        <w:spacing w:line="480" w:lineRule="exact"/>
        <w:ind w:firstLine="480" w:firstLineChars="200"/>
        <w:rPr>
          <w:rFonts w:hAnsi="宋体" w:eastAsia="宋体"/>
          <w:szCs w:val="24"/>
        </w:rPr>
      </w:pPr>
      <w:r>
        <w:rPr>
          <w:rFonts w:hAnsi="宋体" w:eastAsia="宋体"/>
          <w:szCs w:val="24"/>
        </w:rPr>
        <w:t>7.本报告须由本评估机构及估价人员签字或盖章后方为有效，估价报告的全部或部分复印件均无效。</w:t>
      </w:r>
    </w:p>
    <w:p>
      <w:pPr>
        <w:adjustRightInd w:val="0"/>
        <w:snapToGrid w:val="0"/>
        <w:spacing w:line="480" w:lineRule="exact"/>
        <w:ind w:firstLine="480" w:firstLineChars="200"/>
        <w:rPr>
          <w:rFonts w:ascii="宋体" w:hAnsi="宋体" w:eastAsia="宋体"/>
          <w:szCs w:val="24"/>
        </w:rPr>
      </w:pPr>
      <w:r>
        <w:rPr>
          <w:rFonts w:ascii="宋体" w:hAnsi="宋体" w:eastAsia="宋体"/>
          <w:szCs w:val="24"/>
        </w:rPr>
        <w:t>8.</w:t>
      </w:r>
      <w:r>
        <w:rPr>
          <w:rFonts w:hint="eastAsia" w:ascii="宋体" w:hAnsi="宋体" w:eastAsia="宋体"/>
          <w:szCs w:val="24"/>
        </w:rPr>
        <w:t>我们对估价委托人提供的相关权属资料及法律性文件无专业上的能力鉴别真伪，其真实性与可靠性由估价委托人负责。如因估价委托人提供资料失实或报告使用方忽视本估价报告揭示的相关事实所引起的相关法律责任，本估价机构及估价人员不承担相应责任。</w:t>
      </w:r>
    </w:p>
    <w:p>
      <w:pPr>
        <w:spacing w:line="480" w:lineRule="exact"/>
        <w:ind w:firstLine="480" w:firstLineChars="200"/>
        <w:rPr>
          <w:rFonts w:ascii="宋体" w:hAnsi="宋体" w:eastAsia="宋体"/>
          <w:szCs w:val="24"/>
        </w:rPr>
      </w:pPr>
      <w:r>
        <w:rPr>
          <w:rFonts w:hint="eastAsia" w:ascii="宋体" w:hAnsi="宋体" w:eastAsia="宋体"/>
          <w:szCs w:val="24"/>
        </w:rPr>
        <w:t>9.本报告由丽水市金恒房地产土地资产评估有限公司负责解释。</w:t>
      </w:r>
    </w:p>
    <w:p>
      <w:pPr>
        <w:spacing w:line="480" w:lineRule="exact"/>
        <w:ind w:firstLine="480" w:firstLineChars="200"/>
        <w:rPr>
          <w:rFonts w:ascii="宋体" w:hAnsi="宋体" w:eastAsia="宋体"/>
          <w:szCs w:val="24"/>
        </w:rPr>
      </w:pPr>
      <w:r>
        <w:rPr>
          <w:rFonts w:hint="eastAsia" w:ascii="宋体" w:hAnsi="宋体" w:eastAsia="宋体"/>
          <w:szCs w:val="24"/>
        </w:rPr>
        <w:t>注册房地产估价师            注册号          估价师签名</w:t>
      </w:r>
    </w:p>
    <w:p>
      <w:pPr>
        <w:spacing w:line="480" w:lineRule="exact"/>
        <w:ind w:firstLine="960" w:firstLineChars="400"/>
        <w:rPr>
          <w:rFonts w:ascii="宋体" w:hAnsi="宋体" w:eastAsia="宋体"/>
          <w:szCs w:val="24"/>
        </w:rPr>
      </w:pPr>
      <w:r>
        <w:rPr>
          <w:rFonts w:hint="eastAsia" w:ascii="宋体" w:hAnsi="宋体" w:eastAsia="宋体"/>
          <w:szCs w:val="24"/>
        </w:rPr>
        <w:t>张卫建                3319970080</w:t>
      </w:r>
    </w:p>
    <w:p>
      <w:pPr>
        <w:spacing w:line="480" w:lineRule="exact"/>
        <w:ind w:firstLine="960" w:firstLineChars="400"/>
        <w:rPr>
          <w:rFonts w:ascii="宋体" w:hAnsi="宋体" w:eastAsia="宋体"/>
          <w:szCs w:val="24"/>
        </w:rPr>
      </w:pPr>
      <w:r>
        <w:rPr>
          <w:rFonts w:hint="eastAsia" w:ascii="宋体" w:hAnsi="宋体" w:eastAsia="宋体"/>
          <w:szCs w:val="24"/>
        </w:rPr>
        <w:t xml:space="preserve">常玉全                3320140097       </w:t>
      </w:r>
    </w:p>
    <w:p>
      <w:pPr>
        <w:jc w:val="center"/>
        <w:rPr>
          <w:rFonts w:ascii="宋体" w:hAnsi="宋体" w:eastAsia="宋体"/>
          <w:b/>
          <w:sz w:val="36"/>
          <w:szCs w:val="36"/>
        </w:rPr>
      </w:pPr>
      <w:r>
        <w:rPr>
          <w:rFonts w:ascii="宋体" w:hAnsi="宋体" w:eastAsia="宋体"/>
          <w:b/>
        </w:rPr>
        <w:br w:type="page"/>
      </w:r>
      <w:bookmarkStart w:id="10" w:name="_Toc391884248"/>
      <w:bookmarkStart w:id="11" w:name="_Toc119160797"/>
      <w:bookmarkStart w:id="12" w:name="_Toc213473259"/>
      <w:bookmarkStart w:id="13" w:name="_Toc469641709"/>
      <w:r>
        <w:rPr>
          <w:rFonts w:hint="eastAsia" w:ascii="宋体" w:hAnsi="宋体" w:eastAsia="宋体"/>
          <w:b/>
          <w:sz w:val="36"/>
          <w:szCs w:val="36"/>
        </w:rPr>
        <w:t xml:space="preserve">第二部分  </w:t>
      </w:r>
      <w:r>
        <w:rPr>
          <w:rFonts w:ascii="宋体" w:hAnsi="宋体" w:eastAsia="宋体"/>
          <w:b/>
          <w:sz w:val="36"/>
          <w:szCs w:val="36"/>
        </w:rPr>
        <w:t>估价假设和限制条件</w:t>
      </w:r>
      <w:bookmarkEnd w:id="10"/>
      <w:bookmarkEnd w:id="11"/>
      <w:bookmarkEnd w:id="12"/>
      <w:bookmarkEnd w:id="13"/>
    </w:p>
    <w:p>
      <w:pPr>
        <w:spacing w:line="480" w:lineRule="atLeast"/>
        <w:rPr>
          <w:rFonts w:ascii="宋体" w:hAnsi="宋体" w:eastAsia="宋体"/>
          <w:b/>
        </w:rPr>
      </w:pPr>
      <w:r>
        <w:rPr>
          <w:rFonts w:hint="eastAsia" w:ascii="宋体" w:hAnsi="宋体" w:eastAsia="宋体"/>
          <w:b/>
        </w:rPr>
        <w:t>一、一般假设</w:t>
      </w:r>
    </w:p>
    <w:p>
      <w:pPr>
        <w:spacing w:line="480" w:lineRule="atLeast"/>
        <w:rPr>
          <w:rFonts w:ascii="宋体" w:hAnsi="宋体" w:eastAsia="宋体"/>
        </w:rPr>
      </w:pPr>
      <w:r>
        <w:rPr>
          <w:rFonts w:hint="eastAsia" w:ascii="宋体" w:hAnsi="宋体" w:eastAsia="宋体"/>
        </w:rPr>
        <w:t xml:space="preserve">    1.估价对象在可预知的法律、经济和技术条件许可的范围内处于正常、合理、合法的使用及维护状况，允许在市场上正常交易。</w:t>
      </w:r>
    </w:p>
    <w:p>
      <w:pPr>
        <w:spacing w:line="480" w:lineRule="atLeast"/>
        <w:rPr>
          <w:rFonts w:ascii="宋体" w:hAnsi="宋体" w:eastAsia="宋体"/>
        </w:rPr>
      </w:pPr>
      <w:r>
        <w:rPr>
          <w:rFonts w:hint="eastAsia" w:ascii="宋体" w:hAnsi="宋体" w:eastAsia="宋体"/>
        </w:rPr>
        <w:t xml:space="preserve">    2.价值时点的房地产市场为公开、平等、自愿的交易市场。</w:t>
      </w:r>
    </w:p>
    <w:p>
      <w:pPr>
        <w:spacing w:line="480" w:lineRule="atLeast"/>
        <w:rPr>
          <w:rFonts w:ascii="宋体" w:hAnsi="宋体" w:eastAsia="宋体"/>
        </w:rPr>
      </w:pPr>
      <w:r>
        <w:rPr>
          <w:rFonts w:hint="eastAsia" w:ascii="宋体" w:hAnsi="宋体" w:eastAsia="宋体"/>
        </w:rPr>
        <w:t xml:space="preserve">    3.本次估价结果未考虑国家宏观经济政策发生重大变化以及遇有自然力和其他不可抗力对估价结论的影响。</w:t>
      </w:r>
    </w:p>
    <w:p>
      <w:pPr>
        <w:spacing w:line="480" w:lineRule="atLeast"/>
        <w:rPr>
          <w:rFonts w:ascii="宋体" w:hAnsi="宋体" w:eastAsia="宋体"/>
        </w:rPr>
      </w:pPr>
      <w:r>
        <w:rPr>
          <w:rFonts w:hint="eastAsia" w:ascii="宋体" w:hAnsi="宋体" w:eastAsia="宋体"/>
        </w:rPr>
        <w:t xml:space="preserve">    4.估价委托人提供的资料是此次估价的重要依据，注册房地产估价师未向政府有关部门核实和查证，在无理由怀疑其合法性、真实性、准确性和完整性的情况下，假设委托估价人提供的资料合法、真实、准确且完整。</w:t>
      </w:r>
    </w:p>
    <w:p>
      <w:pPr>
        <w:spacing w:line="480" w:lineRule="atLeast"/>
        <w:rPr>
          <w:rFonts w:ascii="宋体" w:hAnsi="宋体" w:eastAsia="宋体"/>
        </w:rPr>
      </w:pPr>
      <w:r>
        <w:rPr>
          <w:rFonts w:hint="eastAsia" w:ascii="宋体" w:hAnsi="宋体" w:eastAsia="宋体"/>
        </w:rPr>
        <w:t xml:space="preserve">    5.本次估价未对估价对象做建筑物基础、房屋结构上的测量和实验，因此无法确认其内部有无缺损、是否存在结构性破坏。对被遮盖、未暴露及难以接触到的房屋结构部分及其内部设施、设备，本报告假设其无建筑物基础、房屋结构等方面的重大质量问题，符合国家有关技术、质量、验收规范，且符合国家有关安全使用标准。</w:t>
      </w:r>
    </w:p>
    <w:p>
      <w:pPr>
        <w:spacing w:line="480" w:lineRule="atLeast"/>
        <w:rPr>
          <w:rFonts w:hint="eastAsia" w:asciiTheme="minorEastAsia" w:hAnsiTheme="minorEastAsia" w:eastAsiaTheme="minorEastAsia" w:cstheme="minorEastAsia"/>
        </w:rPr>
      </w:pPr>
      <w:r>
        <w:rPr>
          <w:rFonts w:hint="eastAsia" w:ascii="宋体" w:hAnsi="宋体" w:eastAsia="宋体"/>
        </w:rPr>
        <w:t xml:space="preserve">    6.本次估价对象的房屋权属状况和土地权利状况以委托人提供的《</w:t>
      </w:r>
      <w:r>
        <w:rPr>
          <w:rFonts w:hint="eastAsia" w:ascii="宋体" w:hAnsi="宋体" w:eastAsia="宋体"/>
          <w:lang w:eastAsia="zh-CN"/>
        </w:rPr>
        <w:t>景宁县不动产登记权属信息查询记录</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房屋所有权证</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国有土地使用证</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rPr>
        <w:t>为依据。如上述情况发生变化，估价结果需做相应调整。</w:t>
      </w:r>
    </w:p>
    <w:p>
      <w:pPr>
        <w:spacing w:line="480" w:lineRule="atLeast"/>
        <w:rPr>
          <w:rFonts w:ascii="宋体" w:hAnsi="宋体" w:eastAsia="宋体"/>
        </w:rPr>
      </w:pPr>
      <w:r>
        <w:rPr>
          <w:rFonts w:hint="eastAsia" w:ascii="宋体" w:hAnsi="宋体" w:eastAsia="宋体"/>
        </w:rPr>
        <w:t xml:space="preserve">    7.本次估价未考虑除已披露事项外可能与估价对象产权人有关的债权及债务情况对估价结果的影响。</w:t>
      </w:r>
    </w:p>
    <w:p>
      <w:pPr>
        <w:spacing w:line="480" w:lineRule="atLeast"/>
        <w:rPr>
          <w:rFonts w:ascii="宋体" w:hAnsi="宋体" w:eastAsia="宋体"/>
          <w:b/>
        </w:rPr>
      </w:pPr>
      <w:r>
        <w:rPr>
          <w:rFonts w:hint="eastAsia" w:ascii="宋体" w:hAnsi="宋体" w:eastAsia="宋体"/>
          <w:b/>
        </w:rPr>
        <w:t>二、未定事项假设</w:t>
      </w:r>
    </w:p>
    <w:p>
      <w:pPr>
        <w:spacing w:line="480" w:lineRule="atLeast"/>
        <w:rPr>
          <w:rFonts w:ascii="宋体" w:hAnsi="宋体" w:eastAsia="宋体"/>
        </w:rPr>
      </w:pPr>
      <w:r>
        <w:rPr>
          <w:rFonts w:hint="eastAsia" w:ascii="宋体" w:hAnsi="宋体" w:eastAsia="宋体"/>
        </w:rPr>
        <w:t xml:space="preserve">    未定事项假设是指对估价所必须的尚未明确或不够明确的土地用途、容积率等事项所做的合理的、最可能的假定。</w:t>
      </w:r>
    </w:p>
    <w:p>
      <w:pPr>
        <w:spacing w:line="480" w:lineRule="atLeast"/>
        <w:rPr>
          <w:rFonts w:ascii="宋体" w:hAnsi="宋体" w:eastAsia="宋体"/>
        </w:rPr>
      </w:pPr>
      <w:r>
        <w:rPr>
          <w:rFonts w:hint="eastAsia" w:ascii="宋体" w:hAnsi="宋体" w:eastAsia="宋体"/>
        </w:rPr>
        <w:t xml:space="preserve">    估价对象土地用途为住宅、类型为国有出让，建筑面积清晰，本次评估无未定事项假设。</w:t>
      </w:r>
    </w:p>
    <w:p>
      <w:pPr>
        <w:spacing w:line="480" w:lineRule="atLeast"/>
        <w:rPr>
          <w:rFonts w:ascii="宋体" w:hAnsi="宋体" w:eastAsia="宋体"/>
          <w:b/>
        </w:rPr>
      </w:pPr>
      <w:r>
        <w:rPr>
          <w:rFonts w:hint="eastAsia" w:ascii="宋体" w:hAnsi="宋体" w:eastAsia="宋体"/>
          <w:b/>
        </w:rPr>
        <w:t>三、背离事实假设</w:t>
      </w:r>
    </w:p>
    <w:p>
      <w:pPr>
        <w:spacing w:line="480" w:lineRule="atLeast"/>
        <w:rPr>
          <w:rFonts w:ascii="宋体" w:hAnsi="宋体" w:eastAsia="宋体"/>
        </w:rPr>
      </w:pPr>
      <w:r>
        <w:rPr>
          <w:rFonts w:hint="eastAsia" w:ascii="宋体" w:hAnsi="宋体" w:eastAsia="宋体"/>
        </w:rPr>
        <w:t xml:space="preserve">    背离事实假设是指因估价目的的特殊需要、交易条件设定或约定，对估价对象状况所做的与估价对象在价值时点的状况不一致的合理假定。</w:t>
      </w:r>
    </w:p>
    <w:p>
      <w:pPr>
        <w:pStyle w:val="4"/>
        <w:spacing w:line="480" w:lineRule="atLeast"/>
        <w:ind w:firstLine="280" w:firstLineChars="100"/>
        <w:outlineLvl w:val="2"/>
        <w:rPr>
          <w:rFonts w:ascii="宋体" w:hAnsi="宋体"/>
          <w:bCs/>
          <w:sz w:val="24"/>
          <w:szCs w:val="24"/>
        </w:rPr>
      </w:pPr>
      <w:r>
        <w:rPr>
          <w:rFonts w:hint="eastAsia" w:ascii="宋体" w:hAnsi="宋体"/>
        </w:rPr>
        <w:t xml:space="preserve"> </w:t>
      </w:r>
      <w:r>
        <w:rPr>
          <w:rFonts w:hint="eastAsia" w:ascii="宋体" w:hAnsi="宋体"/>
          <w:bCs/>
          <w:sz w:val="24"/>
          <w:szCs w:val="24"/>
        </w:rPr>
        <w:t>本次估价是为确定涉案拟处置房地产，根据本次估价目的，通过司法处置后估价对象可达到正常权益状态，故本次评估不考虑抵押登记状况及是否出租、查封及欠缴房款对其价值的影响。</w:t>
      </w:r>
    </w:p>
    <w:p>
      <w:pPr>
        <w:spacing w:line="480" w:lineRule="atLeast"/>
        <w:rPr>
          <w:rFonts w:ascii="宋体" w:hAnsi="宋体" w:eastAsia="宋体"/>
          <w:b/>
        </w:rPr>
      </w:pPr>
      <w:r>
        <w:rPr>
          <w:rFonts w:hint="eastAsia" w:ascii="宋体" w:hAnsi="宋体" w:eastAsia="宋体"/>
          <w:b/>
        </w:rPr>
        <w:t>四、不相一致假设</w:t>
      </w:r>
    </w:p>
    <w:p>
      <w:pPr>
        <w:spacing w:line="480" w:lineRule="atLeast"/>
        <w:rPr>
          <w:rFonts w:ascii="宋体" w:hAnsi="宋体" w:eastAsia="宋体"/>
        </w:rPr>
      </w:pPr>
      <w:r>
        <w:rPr>
          <w:rFonts w:hint="eastAsia" w:ascii="宋体" w:hAnsi="宋体" w:eastAsia="宋体"/>
        </w:rPr>
        <w:t xml:space="preserve">    不相一致假设是指在估价对象的实际用途、房屋登记用途、土地登记用途、规划用途之间不一致，或房屋权属证明、土地权属证明等权属证明上的权利人之间不一致，估价对象的名称不一致等情况下，对估价所依据的用途或权利人、名称等的合理假定。</w:t>
      </w:r>
    </w:p>
    <w:p>
      <w:pPr>
        <w:spacing w:line="480" w:lineRule="atLeast"/>
        <w:rPr>
          <w:rFonts w:ascii="宋体" w:hAnsi="宋体" w:eastAsia="宋体"/>
        </w:rPr>
      </w:pPr>
      <w:r>
        <w:rPr>
          <w:rFonts w:hint="eastAsia" w:ascii="宋体" w:hAnsi="宋体" w:eastAsia="宋体"/>
        </w:rPr>
        <w:t xml:space="preserve">    本次估价无</w:t>
      </w:r>
      <w:r>
        <w:rPr>
          <w:rFonts w:hint="eastAsia" w:ascii="宋体" w:hAnsi="宋体" w:eastAsia="宋体"/>
          <w:lang w:eastAsia="zh-CN"/>
        </w:rPr>
        <w:t>不相一致</w:t>
      </w:r>
      <w:r>
        <w:rPr>
          <w:rFonts w:hint="eastAsia" w:ascii="宋体" w:hAnsi="宋体" w:eastAsia="宋体"/>
        </w:rPr>
        <w:t>假设。</w:t>
      </w:r>
    </w:p>
    <w:p>
      <w:pPr>
        <w:spacing w:line="480" w:lineRule="atLeast"/>
        <w:rPr>
          <w:rFonts w:ascii="宋体" w:hAnsi="宋体" w:eastAsia="宋体"/>
          <w:b/>
        </w:rPr>
      </w:pPr>
      <w:r>
        <w:rPr>
          <w:rFonts w:hint="eastAsia" w:ascii="宋体" w:hAnsi="宋体" w:eastAsia="宋体"/>
          <w:b/>
        </w:rPr>
        <w:t>五、依据不足假设</w:t>
      </w:r>
    </w:p>
    <w:p>
      <w:pPr>
        <w:spacing w:line="480" w:lineRule="atLeast"/>
        <w:rPr>
          <w:rFonts w:ascii="宋体" w:hAnsi="宋体" w:eastAsia="宋体"/>
        </w:rPr>
      </w:pPr>
      <w:r>
        <w:rPr>
          <w:rFonts w:hint="eastAsia" w:ascii="宋体" w:hAnsi="宋体" w:eastAsia="宋体"/>
        </w:rPr>
        <w:t xml:space="preserve">    依据不足假设是指在估价委托人无法提供估价所必需的反映估价对象状况的资料以及注册房地产估价师进行了尽职调查仍然难以取得该资料的情况下，对缺少该资料的说明以及对相应的估价对象状况的合理假定。</w:t>
      </w:r>
    </w:p>
    <w:p>
      <w:pPr>
        <w:spacing w:line="480" w:lineRule="atLeast"/>
        <w:rPr>
          <w:rFonts w:ascii="宋体" w:hAnsi="宋体" w:eastAsia="宋体"/>
        </w:rPr>
      </w:pPr>
      <w:r>
        <w:rPr>
          <w:rFonts w:hint="eastAsia" w:ascii="宋体" w:hAnsi="宋体" w:eastAsia="宋体"/>
        </w:rPr>
        <w:t xml:space="preserve">    本次估价无依据不足假设。</w:t>
      </w:r>
    </w:p>
    <w:p>
      <w:pPr>
        <w:spacing w:line="480" w:lineRule="atLeast"/>
        <w:rPr>
          <w:rFonts w:ascii="宋体" w:hAnsi="宋体" w:eastAsia="宋体"/>
          <w:b/>
        </w:rPr>
      </w:pPr>
      <w:r>
        <w:rPr>
          <w:rFonts w:hint="eastAsia" w:ascii="宋体" w:hAnsi="宋体" w:eastAsia="宋体"/>
          <w:b/>
        </w:rPr>
        <w:t>六、估价报告使用权限</w:t>
      </w:r>
    </w:p>
    <w:p>
      <w:pPr>
        <w:spacing w:line="480" w:lineRule="atLeast"/>
        <w:rPr>
          <w:rFonts w:ascii="宋体" w:hAnsi="宋体" w:eastAsia="宋体"/>
        </w:rPr>
      </w:pPr>
      <w:r>
        <w:rPr>
          <w:rFonts w:hint="eastAsia" w:ascii="宋体" w:hAnsi="宋体" w:eastAsia="宋体"/>
        </w:rPr>
        <w:t xml:space="preserve">    1.本估价报告仅作为估价委托人在本次估价目的下的使用，不得做其他用途。若估价目的发生变化，估价结果亦应作相应调整。</w:t>
      </w:r>
    </w:p>
    <w:p>
      <w:pPr>
        <w:spacing w:line="480" w:lineRule="atLeast"/>
        <w:rPr>
          <w:rFonts w:ascii="宋体" w:hAnsi="宋体" w:eastAsia="宋体"/>
        </w:rPr>
      </w:pPr>
      <w:r>
        <w:rPr>
          <w:rFonts w:hint="eastAsia" w:ascii="宋体" w:hAnsi="宋体" w:eastAsia="宋体"/>
        </w:rPr>
        <w:t xml:space="preserve">    2.未经我公司书面同意，本估价报告的全部或任何一部分内容均不得向估价委托人、报告使用者和报告审查部门之外的单位和个人提供，不得在任何公开发表的文件、通告或声明中引用，亦不得以其他任何方式发表。</w:t>
      </w:r>
    </w:p>
    <w:p>
      <w:pPr>
        <w:spacing w:line="480" w:lineRule="atLeast"/>
        <w:rPr>
          <w:rFonts w:hint="eastAsia" w:ascii="宋体" w:hAnsi="宋体" w:eastAsia="宋体"/>
          <w:lang w:eastAsia="zh-CN"/>
        </w:rPr>
      </w:pPr>
      <w:r>
        <w:rPr>
          <w:rFonts w:hint="eastAsia" w:ascii="宋体" w:hAnsi="宋体" w:eastAsia="宋体"/>
        </w:rPr>
        <w:t xml:space="preserve">    3.本次估价结果受报告使用时间的限制，使用期限自估价报告出具之日起为壹年，即</w:t>
      </w:r>
      <w:r>
        <w:rPr>
          <w:rFonts w:hint="eastAsia" w:ascii="宋体" w:hAnsi="宋体" w:eastAsia="宋体"/>
          <w:lang w:eastAsia="zh-CN"/>
        </w:rPr>
        <w:t>2022年8月6日</w:t>
      </w:r>
      <w:r>
        <w:rPr>
          <w:rFonts w:hint="eastAsia" w:ascii="宋体" w:hAnsi="宋体" w:eastAsia="宋体"/>
        </w:rPr>
        <w:t>至</w:t>
      </w:r>
      <w:r>
        <w:rPr>
          <w:rFonts w:hint="eastAsia" w:ascii="宋体" w:hAnsi="宋体" w:eastAsia="宋体"/>
          <w:lang w:eastAsia="zh-CN"/>
        </w:rPr>
        <w:t>2023年8月5日</w:t>
      </w:r>
      <w:r>
        <w:rPr>
          <w:rFonts w:hint="eastAsia" w:ascii="宋体" w:hAnsi="宋体" w:eastAsia="宋体"/>
        </w:rPr>
        <w:t>。若报告使用期限内，房地产市场、建筑市场或估价对象自身状况发生了重大变化，估价结果亦应做相应调整或委托估价机构重新估价。</w:t>
      </w:r>
      <w:r>
        <w:rPr>
          <w:rFonts w:hint="eastAsia" w:ascii="宋体" w:hAnsi="宋体" w:eastAsia="宋体"/>
          <w:lang w:eastAsia="zh-CN"/>
        </w:rPr>
        <w:t>如果超过应用有效期限还未使用，本公司不负任何责任。</w:t>
      </w:r>
    </w:p>
    <w:p>
      <w:pPr>
        <w:spacing w:line="480" w:lineRule="atLeast"/>
        <w:ind w:firstLine="480"/>
        <w:rPr>
          <w:rFonts w:hint="eastAsia" w:ascii="宋体" w:hAnsi="宋体" w:eastAsia="宋体"/>
        </w:rPr>
      </w:pPr>
      <w:r>
        <w:rPr>
          <w:rFonts w:hint="eastAsia" w:ascii="宋体" w:hAnsi="宋体" w:eastAsia="宋体"/>
        </w:rPr>
        <w:t>4.本报告必须整份完整使用方为有效，对仅使用本报告中部分内容而导致可能的损失，本估价机构不承担责任。</w:t>
      </w:r>
      <w:bookmarkStart w:id="14" w:name="_Toc469641710"/>
      <w:bookmarkStart w:id="15" w:name="_Toc119160798"/>
      <w:bookmarkStart w:id="16" w:name="_Toc213473260"/>
      <w:bookmarkStart w:id="17" w:name="_Toc391884249"/>
    </w:p>
    <w:p>
      <w:pPr>
        <w:spacing w:line="480" w:lineRule="atLeast"/>
        <w:ind w:firstLine="480"/>
        <w:rPr>
          <w:rFonts w:hint="eastAsia" w:ascii="宋体" w:hAnsi="宋体" w:eastAsia="宋体"/>
        </w:rPr>
      </w:pPr>
    </w:p>
    <w:p>
      <w:pPr>
        <w:spacing w:line="480" w:lineRule="atLeast"/>
        <w:ind w:firstLine="480" w:firstLineChars="200"/>
        <w:rPr>
          <w:rFonts w:ascii="宋体" w:hAnsi="宋体" w:eastAsia="宋体"/>
          <w:szCs w:val="24"/>
        </w:rPr>
      </w:pPr>
    </w:p>
    <w:p>
      <w:pPr>
        <w:jc w:val="center"/>
        <w:rPr>
          <w:rFonts w:ascii="宋体" w:hAnsi="宋体" w:eastAsia="宋体"/>
          <w:b/>
          <w:sz w:val="36"/>
          <w:szCs w:val="36"/>
        </w:rPr>
      </w:pPr>
      <w:r>
        <w:rPr>
          <w:rFonts w:hint="eastAsia" w:ascii="宋体" w:hAnsi="宋体" w:eastAsia="宋体"/>
          <w:b/>
          <w:sz w:val="36"/>
          <w:szCs w:val="36"/>
        </w:rPr>
        <w:t xml:space="preserve">第三部分  </w:t>
      </w:r>
      <w:r>
        <w:rPr>
          <w:rFonts w:ascii="宋体" w:hAnsi="宋体" w:eastAsia="宋体"/>
          <w:b/>
          <w:sz w:val="36"/>
          <w:szCs w:val="36"/>
        </w:rPr>
        <w:t>估价结果报告</w:t>
      </w:r>
      <w:bookmarkEnd w:id="14"/>
      <w:bookmarkEnd w:id="15"/>
      <w:bookmarkEnd w:id="16"/>
      <w:bookmarkEnd w:id="17"/>
    </w:p>
    <w:p>
      <w:pPr>
        <w:pStyle w:val="3"/>
        <w:spacing w:before="0" w:after="0" w:line="480" w:lineRule="exact"/>
        <w:rPr>
          <w:rFonts w:hint="eastAsia" w:ascii="宋体" w:hAnsi="宋体" w:eastAsia="宋体"/>
          <w:bCs/>
          <w:lang w:val="en-US" w:eastAsia="zh-CN"/>
        </w:rPr>
      </w:pPr>
      <w:r>
        <w:rPr>
          <w:rFonts w:hint="eastAsia" w:ascii="宋体" w:hAnsi="宋体"/>
          <w:sz w:val="24"/>
          <w:szCs w:val="24"/>
          <w:lang w:eastAsia="zh-CN"/>
        </w:rPr>
        <w:t>丽金司估[2022]YH0701号</w:t>
      </w:r>
    </w:p>
    <w:p>
      <w:pPr>
        <w:pStyle w:val="4"/>
        <w:spacing w:line="480" w:lineRule="atLeast"/>
        <w:ind w:firstLine="0"/>
        <w:outlineLvl w:val="2"/>
        <w:rPr>
          <w:rFonts w:ascii="宋体" w:hAnsi="宋体"/>
          <w:b/>
          <w:bCs/>
          <w:sz w:val="24"/>
          <w:szCs w:val="24"/>
        </w:rPr>
      </w:pPr>
      <w:bookmarkStart w:id="18" w:name="_Toc391884250"/>
      <w:r>
        <w:rPr>
          <w:rFonts w:ascii="宋体" w:hAnsi="宋体"/>
          <w:b/>
          <w:bCs/>
          <w:sz w:val="24"/>
          <w:szCs w:val="24"/>
        </w:rPr>
        <w:t>一、估价委托人</w:t>
      </w:r>
      <w:bookmarkEnd w:id="18"/>
    </w:p>
    <w:p>
      <w:pPr>
        <w:pStyle w:val="6"/>
        <w:spacing w:line="480" w:lineRule="exact"/>
        <w:ind w:firstLine="480" w:firstLineChars="200"/>
        <w:rPr>
          <w:rFonts w:hAnsi="宋体" w:eastAsia="宋体"/>
          <w:szCs w:val="24"/>
        </w:rPr>
      </w:pPr>
      <w:r>
        <w:rPr>
          <w:rFonts w:hint="eastAsia" w:hAnsi="宋体" w:eastAsia="宋体"/>
          <w:szCs w:val="24"/>
        </w:rPr>
        <w:t>委托人</w:t>
      </w:r>
      <w:r>
        <w:rPr>
          <w:rFonts w:hAnsi="宋体" w:eastAsia="宋体"/>
          <w:szCs w:val="24"/>
        </w:rPr>
        <w:t>：</w:t>
      </w:r>
      <w:r>
        <w:rPr>
          <w:rFonts w:hint="eastAsia" w:hAnsi="宋体" w:eastAsia="宋体"/>
          <w:szCs w:val="24"/>
          <w:lang w:eastAsia="zh-CN"/>
        </w:rPr>
        <w:t>浙江省云和县人民法院</w:t>
      </w:r>
      <w:r>
        <w:rPr>
          <w:rFonts w:hint="eastAsia" w:hAnsi="宋体" w:eastAsia="宋体"/>
          <w:szCs w:val="24"/>
        </w:rPr>
        <w:t xml:space="preserve"> </w:t>
      </w:r>
    </w:p>
    <w:p>
      <w:pPr>
        <w:pStyle w:val="6"/>
        <w:spacing w:line="480" w:lineRule="exact"/>
        <w:ind w:firstLine="480" w:firstLineChars="200"/>
        <w:rPr>
          <w:rFonts w:hAnsi="宋体" w:eastAsia="宋体"/>
          <w:szCs w:val="24"/>
        </w:rPr>
      </w:pPr>
      <w:r>
        <w:rPr>
          <w:rFonts w:hint="eastAsia" w:hAnsi="宋体" w:eastAsia="宋体"/>
          <w:szCs w:val="24"/>
        </w:rPr>
        <w:t>联系电话:0578-</w:t>
      </w:r>
      <w:r>
        <w:rPr>
          <w:rFonts w:hint="eastAsia" w:hAnsi="宋体" w:eastAsia="宋体"/>
          <w:szCs w:val="24"/>
          <w:lang w:val="en-US" w:eastAsia="zh-CN"/>
        </w:rPr>
        <w:t>5126236</w:t>
      </w:r>
      <w:r>
        <w:rPr>
          <w:rFonts w:hint="eastAsia" w:hAnsi="宋体" w:eastAsia="宋体"/>
          <w:szCs w:val="24"/>
        </w:rPr>
        <w:t xml:space="preserve">  </w:t>
      </w:r>
    </w:p>
    <w:p>
      <w:pPr>
        <w:pStyle w:val="4"/>
        <w:spacing w:line="480" w:lineRule="atLeast"/>
        <w:ind w:firstLine="0"/>
        <w:outlineLvl w:val="2"/>
        <w:rPr>
          <w:rFonts w:ascii="宋体" w:hAnsi="宋体"/>
          <w:b/>
          <w:bCs/>
          <w:sz w:val="24"/>
          <w:szCs w:val="24"/>
        </w:rPr>
      </w:pPr>
      <w:bookmarkStart w:id="19" w:name="_Toc391884251"/>
      <w:r>
        <w:rPr>
          <w:rFonts w:ascii="宋体" w:hAnsi="宋体"/>
          <w:b/>
          <w:bCs/>
          <w:sz w:val="24"/>
          <w:szCs w:val="24"/>
        </w:rPr>
        <w:t>二、估价机构</w:t>
      </w:r>
      <w:bookmarkEnd w:id="19"/>
    </w:p>
    <w:p>
      <w:pPr>
        <w:spacing w:line="480" w:lineRule="atLeast"/>
        <w:ind w:firstLine="480" w:firstLineChars="200"/>
        <w:rPr>
          <w:rFonts w:ascii="宋体" w:hAnsi="宋体" w:eastAsia="宋体"/>
          <w:szCs w:val="24"/>
        </w:rPr>
      </w:pPr>
      <w:bookmarkStart w:id="20" w:name="OLE_LINK4"/>
      <w:bookmarkStart w:id="21" w:name="OLE_LINK5"/>
      <w:r>
        <w:rPr>
          <w:rFonts w:ascii="宋体" w:hAnsi="宋体" w:eastAsia="宋体"/>
          <w:szCs w:val="24"/>
        </w:rPr>
        <w:t>估价机构：</w:t>
      </w:r>
      <w:r>
        <w:rPr>
          <w:rFonts w:hint="eastAsia" w:ascii="宋体" w:hAnsi="宋体" w:eastAsia="宋体"/>
          <w:szCs w:val="24"/>
        </w:rPr>
        <w:t>丽水市金恒房地产土地资产评估有限公司</w:t>
      </w:r>
    </w:p>
    <w:p>
      <w:pPr>
        <w:spacing w:line="480" w:lineRule="atLeast"/>
        <w:ind w:firstLine="480" w:firstLineChars="200"/>
        <w:rPr>
          <w:rFonts w:ascii="宋体" w:hAnsi="宋体" w:eastAsia="宋体"/>
          <w:szCs w:val="24"/>
        </w:rPr>
      </w:pPr>
      <w:r>
        <w:rPr>
          <w:rFonts w:ascii="宋体" w:hAnsi="宋体" w:eastAsia="宋体"/>
          <w:szCs w:val="24"/>
        </w:rPr>
        <w:t>法定代表人：</w:t>
      </w:r>
      <w:r>
        <w:rPr>
          <w:rFonts w:hint="eastAsia" w:ascii="宋体" w:hAnsi="宋体" w:eastAsia="宋体"/>
          <w:szCs w:val="24"/>
        </w:rPr>
        <w:t>张卫建</w:t>
      </w:r>
    </w:p>
    <w:p>
      <w:pPr>
        <w:spacing w:line="480" w:lineRule="atLeast"/>
        <w:ind w:firstLine="480" w:firstLineChars="200"/>
        <w:rPr>
          <w:rFonts w:ascii="宋体" w:hAnsi="宋体" w:eastAsia="宋体"/>
          <w:szCs w:val="24"/>
        </w:rPr>
      </w:pPr>
      <w:r>
        <w:rPr>
          <w:rFonts w:ascii="宋体" w:hAnsi="宋体" w:eastAsia="宋体"/>
          <w:szCs w:val="24"/>
        </w:rPr>
        <w:t>资质等级：</w:t>
      </w:r>
      <w:r>
        <w:rPr>
          <w:rFonts w:hint="eastAsia" w:ascii="宋体" w:hAnsi="宋体" w:eastAsia="宋体"/>
          <w:szCs w:val="24"/>
        </w:rPr>
        <w:t>国家贰</w:t>
      </w:r>
      <w:r>
        <w:rPr>
          <w:rFonts w:ascii="宋体" w:hAnsi="宋体" w:eastAsia="宋体"/>
          <w:szCs w:val="24"/>
        </w:rPr>
        <w:t>级</w:t>
      </w:r>
    </w:p>
    <w:p>
      <w:pPr>
        <w:spacing w:line="480" w:lineRule="atLeast"/>
        <w:ind w:firstLine="480" w:firstLineChars="200"/>
        <w:rPr>
          <w:rFonts w:ascii="宋体" w:hAnsi="宋体" w:eastAsia="宋体"/>
          <w:szCs w:val="24"/>
        </w:rPr>
      </w:pPr>
      <w:r>
        <w:rPr>
          <w:rFonts w:ascii="宋体" w:hAnsi="宋体" w:eastAsia="宋体"/>
          <w:szCs w:val="24"/>
        </w:rPr>
        <w:t>证书编号：</w:t>
      </w:r>
      <w:r>
        <w:rPr>
          <w:rFonts w:hint="eastAsia" w:ascii="宋体" w:hAnsi="宋体" w:eastAsia="宋体"/>
          <w:szCs w:val="24"/>
        </w:rPr>
        <w:t>浙</w:t>
      </w:r>
      <w:r>
        <w:rPr>
          <w:rFonts w:ascii="宋体" w:hAnsi="宋体" w:eastAsia="宋体"/>
          <w:szCs w:val="24"/>
        </w:rPr>
        <w:t>建房估证字[20</w:t>
      </w:r>
      <w:r>
        <w:rPr>
          <w:rFonts w:hint="eastAsia" w:ascii="宋体" w:hAnsi="宋体" w:eastAsia="宋体"/>
          <w:szCs w:val="24"/>
        </w:rPr>
        <w:t>07</w:t>
      </w:r>
      <w:r>
        <w:rPr>
          <w:rFonts w:ascii="宋体" w:hAnsi="宋体" w:eastAsia="宋体"/>
          <w:szCs w:val="24"/>
        </w:rPr>
        <w:t>]</w:t>
      </w:r>
      <w:r>
        <w:rPr>
          <w:rFonts w:hint="eastAsia" w:ascii="宋体" w:hAnsi="宋体" w:eastAsia="宋体"/>
          <w:szCs w:val="24"/>
        </w:rPr>
        <w:t>001</w:t>
      </w:r>
      <w:r>
        <w:rPr>
          <w:rFonts w:ascii="宋体" w:hAnsi="宋体" w:eastAsia="宋体"/>
          <w:szCs w:val="24"/>
        </w:rPr>
        <w:t>号</w:t>
      </w:r>
    </w:p>
    <w:p>
      <w:pPr>
        <w:spacing w:line="480" w:lineRule="atLeast"/>
        <w:ind w:firstLine="480" w:firstLineChars="200"/>
        <w:rPr>
          <w:rFonts w:ascii="宋体" w:hAnsi="宋体" w:eastAsia="宋体"/>
          <w:szCs w:val="24"/>
        </w:rPr>
      </w:pPr>
      <w:r>
        <w:rPr>
          <w:rFonts w:hint="eastAsia" w:ascii="宋体" w:hAnsi="宋体" w:eastAsia="宋体"/>
          <w:szCs w:val="24"/>
        </w:rPr>
        <w:t>联系电话：0578-2129918</w:t>
      </w:r>
    </w:p>
    <w:p>
      <w:pPr>
        <w:pStyle w:val="4"/>
        <w:spacing w:line="480" w:lineRule="atLeast"/>
        <w:ind w:firstLine="0"/>
        <w:outlineLvl w:val="2"/>
        <w:rPr>
          <w:rFonts w:ascii="宋体" w:hAnsi="宋体"/>
          <w:b/>
          <w:bCs/>
          <w:sz w:val="24"/>
          <w:szCs w:val="24"/>
        </w:rPr>
      </w:pPr>
      <w:bookmarkStart w:id="22" w:name="_Toc391884252"/>
      <w:r>
        <w:rPr>
          <w:rFonts w:ascii="宋体" w:hAnsi="宋体"/>
          <w:b/>
          <w:bCs/>
          <w:sz w:val="24"/>
          <w:szCs w:val="24"/>
        </w:rPr>
        <w:t>三、估价目的</w:t>
      </w:r>
      <w:bookmarkEnd w:id="22"/>
    </w:p>
    <w:bookmarkEnd w:id="20"/>
    <w:bookmarkEnd w:id="21"/>
    <w:p>
      <w:pPr>
        <w:spacing w:line="480" w:lineRule="atLeast"/>
        <w:ind w:firstLine="500" w:firstLineChars="200"/>
        <w:rPr>
          <w:rFonts w:ascii="宋体" w:hAnsi="宋体" w:eastAsia="宋体"/>
          <w:spacing w:val="5"/>
          <w:szCs w:val="24"/>
        </w:rPr>
      </w:pPr>
      <w:bookmarkStart w:id="23" w:name="_Toc391884253"/>
      <w:r>
        <w:rPr>
          <w:rFonts w:ascii="宋体" w:hAnsi="宋体" w:eastAsia="宋体"/>
          <w:spacing w:val="5"/>
          <w:szCs w:val="24"/>
        </w:rPr>
        <w:t>为司法处置(诉讼)提供</w:t>
      </w:r>
      <w:r>
        <w:rPr>
          <w:rFonts w:hint="eastAsia" w:ascii="宋体" w:hAnsi="宋体" w:eastAsia="宋体"/>
          <w:spacing w:val="5"/>
          <w:szCs w:val="24"/>
        </w:rPr>
        <w:t>价值</w:t>
      </w:r>
      <w:r>
        <w:rPr>
          <w:rFonts w:ascii="宋体" w:hAnsi="宋体" w:eastAsia="宋体"/>
          <w:spacing w:val="5"/>
          <w:szCs w:val="24"/>
        </w:rPr>
        <w:t>参考依据而评估房地产</w:t>
      </w:r>
      <w:r>
        <w:rPr>
          <w:rFonts w:hint="eastAsia" w:ascii="宋体" w:hAnsi="宋体" w:eastAsia="宋体"/>
          <w:spacing w:val="5"/>
          <w:szCs w:val="24"/>
        </w:rPr>
        <w:t>公开</w:t>
      </w:r>
      <w:r>
        <w:rPr>
          <w:rFonts w:ascii="宋体" w:hAnsi="宋体" w:eastAsia="宋体"/>
          <w:spacing w:val="5"/>
          <w:szCs w:val="24"/>
        </w:rPr>
        <w:t>市场价值。</w:t>
      </w:r>
    </w:p>
    <w:p>
      <w:pPr>
        <w:pStyle w:val="4"/>
        <w:spacing w:line="480" w:lineRule="atLeast"/>
        <w:ind w:firstLine="0"/>
        <w:outlineLvl w:val="2"/>
        <w:rPr>
          <w:rFonts w:ascii="宋体" w:hAnsi="宋体"/>
          <w:b/>
          <w:bCs/>
          <w:sz w:val="24"/>
          <w:szCs w:val="24"/>
        </w:rPr>
      </w:pPr>
      <w:r>
        <w:rPr>
          <w:rFonts w:ascii="宋体" w:hAnsi="宋体"/>
          <w:b/>
          <w:bCs/>
          <w:sz w:val="24"/>
          <w:szCs w:val="24"/>
        </w:rPr>
        <w:t>四、估价对象</w:t>
      </w:r>
      <w:bookmarkEnd w:id="23"/>
    </w:p>
    <w:p>
      <w:pPr>
        <w:pStyle w:val="6"/>
        <w:spacing w:line="480" w:lineRule="atLeast"/>
        <w:ind w:firstLine="555"/>
        <w:rPr>
          <w:rFonts w:hAnsi="宋体" w:eastAsia="宋体"/>
          <w:szCs w:val="24"/>
        </w:rPr>
      </w:pPr>
      <w:r>
        <w:rPr>
          <w:rFonts w:hint="eastAsia" w:hAnsi="宋体" w:eastAsia="宋体"/>
          <w:szCs w:val="24"/>
        </w:rPr>
        <w:t>1.</w:t>
      </w:r>
      <w:r>
        <w:rPr>
          <w:rFonts w:hAnsi="宋体" w:eastAsia="宋体"/>
          <w:szCs w:val="24"/>
        </w:rPr>
        <w:t>估价</w:t>
      </w:r>
      <w:r>
        <w:rPr>
          <w:rFonts w:hint="eastAsia" w:hAnsi="宋体" w:eastAsia="宋体"/>
          <w:szCs w:val="24"/>
        </w:rPr>
        <w:t>范围</w:t>
      </w:r>
    </w:p>
    <w:p>
      <w:pPr>
        <w:pStyle w:val="6"/>
        <w:spacing w:line="480" w:lineRule="atLeast"/>
        <w:ind w:firstLine="555"/>
        <w:rPr>
          <w:rFonts w:hAnsi="宋体" w:eastAsia="宋体"/>
          <w:szCs w:val="24"/>
        </w:rPr>
      </w:pPr>
      <w:r>
        <w:rPr>
          <w:rFonts w:hAnsi="宋体" w:eastAsia="宋体"/>
          <w:szCs w:val="24"/>
        </w:rPr>
        <w:t>估价对象</w:t>
      </w:r>
      <w:r>
        <w:rPr>
          <w:rFonts w:hint="eastAsia" w:hAnsi="宋体" w:eastAsia="宋体"/>
          <w:szCs w:val="24"/>
        </w:rPr>
        <w:t>住宅坐落于</w:t>
      </w:r>
      <w:r>
        <w:rPr>
          <w:rFonts w:hint="eastAsia" w:hAnsi="宋体" w:eastAsia="宋体"/>
          <w:szCs w:val="24"/>
          <w:lang w:eastAsia="zh-CN"/>
        </w:rPr>
        <w:t>景宁县鹤溪镇金信丽苑5幢1单元402室</w:t>
      </w:r>
      <w:r>
        <w:rPr>
          <w:rFonts w:hint="eastAsia" w:hAnsi="宋体" w:eastAsia="宋体"/>
          <w:szCs w:val="24"/>
        </w:rPr>
        <w:t>，估价对象为南朝向，中间套住宅。</w:t>
      </w:r>
    </w:p>
    <w:p>
      <w:pPr>
        <w:pStyle w:val="6"/>
        <w:spacing w:line="480" w:lineRule="atLeast"/>
        <w:ind w:firstLine="555"/>
        <w:rPr>
          <w:rFonts w:hAnsi="宋体" w:eastAsia="宋体"/>
          <w:szCs w:val="24"/>
        </w:rPr>
      </w:pPr>
      <w:r>
        <w:rPr>
          <w:rFonts w:hint="eastAsia" w:hAnsi="宋体" w:eastAsia="宋体"/>
          <w:szCs w:val="24"/>
        </w:rPr>
        <w:t>本次估价的范围确定为与估价对象在技术和经济上不能有效分离的建筑结构，即为外装饰、水电管线设备和土地使用权及其他相关权利。不包括室内动产、债权债务及其它特许经营权等。</w:t>
      </w:r>
    </w:p>
    <w:p>
      <w:pPr>
        <w:pStyle w:val="6"/>
        <w:spacing w:line="480" w:lineRule="atLeast"/>
        <w:ind w:firstLine="480" w:firstLineChars="200"/>
        <w:contextualSpacing/>
        <w:rPr>
          <w:rFonts w:hAnsi="宋体" w:eastAsia="宋体"/>
          <w:szCs w:val="24"/>
        </w:rPr>
      </w:pPr>
      <w:r>
        <w:rPr>
          <w:rFonts w:hint="eastAsia" w:hAnsi="宋体" w:eastAsia="宋体"/>
          <w:szCs w:val="24"/>
        </w:rPr>
        <w:t>2.区域状况</w:t>
      </w:r>
    </w:p>
    <w:tbl>
      <w:tblPr>
        <w:tblStyle w:val="12"/>
        <w:tblW w:w="85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395"/>
        <w:gridCol w:w="71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jc w:val="center"/>
        </w:trPr>
        <w:tc>
          <w:tcPr>
            <w:tcW w:w="1395" w:type="dxa"/>
            <w:tcBorders>
              <w:top w:val="single" w:color="auto" w:sz="12" w:space="0"/>
              <w:left w:val="single" w:color="auto" w:sz="12" w:space="0"/>
              <w:bottom w:val="single" w:color="auto" w:sz="4" w:space="0"/>
              <w:right w:val="single" w:color="auto" w:sz="4" w:space="0"/>
            </w:tcBorders>
            <w:vAlign w:val="center"/>
          </w:tcPr>
          <w:p>
            <w:pPr>
              <w:widowControl/>
              <w:spacing w:line="460" w:lineRule="exact"/>
              <w:jc w:val="center"/>
              <w:rPr>
                <w:rFonts w:ascii="宋体" w:hAnsi="宋体" w:eastAsia="宋体"/>
                <w:b/>
                <w:szCs w:val="24"/>
              </w:rPr>
            </w:pPr>
            <w:r>
              <w:rPr>
                <w:rFonts w:hint="eastAsia" w:ascii="宋体" w:hAnsi="宋体" w:eastAsia="宋体"/>
                <w:b/>
                <w:szCs w:val="24"/>
              </w:rPr>
              <w:t>地理位置</w:t>
            </w:r>
          </w:p>
        </w:tc>
        <w:tc>
          <w:tcPr>
            <w:tcW w:w="7132" w:type="dxa"/>
            <w:tcBorders>
              <w:top w:val="single" w:color="auto" w:sz="12" w:space="0"/>
              <w:left w:val="single" w:color="auto" w:sz="4" w:space="0"/>
              <w:bottom w:val="single" w:color="auto" w:sz="4" w:space="0"/>
              <w:right w:val="single" w:color="auto" w:sz="12" w:space="0"/>
            </w:tcBorders>
            <w:vAlign w:val="center"/>
          </w:tcPr>
          <w:p>
            <w:pPr>
              <w:spacing w:line="460" w:lineRule="exact"/>
              <w:rPr>
                <w:rFonts w:ascii="宋体" w:hAnsi="宋体" w:eastAsia="宋体"/>
                <w:szCs w:val="24"/>
              </w:rPr>
            </w:pPr>
            <w:r>
              <w:rPr>
                <w:rFonts w:hint="eastAsia" w:ascii="宋体" w:hAnsi="宋体" w:eastAsia="宋体"/>
                <w:szCs w:val="24"/>
              </w:rPr>
              <w:t>估价对象位于</w:t>
            </w:r>
            <w:r>
              <w:rPr>
                <w:rFonts w:hint="eastAsia" w:hAnsi="宋体" w:eastAsia="宋体"/>
                <w:szCs w:val="24"/>
                <w:lang w:eastAsia="zh-CN"/>
              </w:rPr>
              <w:t>景宁县鹤溪镇金信丽苑5幢1单元402室住宅</w:t>
            </w:r>
            <w:r>
              <w:rPr>
                <w:rFonts w:hint="eastAsia" w:hAnsi="宋体" w:eastAsia="宋体"/>
                <w:szCs w:val="24"/>
              </w:rPr>
              <w:t>用房地产</w:t>
            </w:r>
            <w:r>
              <w:rPr>
                <w:rFonts w:hint="eastAsia" w:ascii="宋体" w:hAnsi="宋体" w:eastAsia="宋体"/>
                <w:szCs w:val="24"/>
              </w:rPr>
              <w:t>，该住宅区东临</w:t>
            </w:r>
            <w:r>
              <w:rPr>
                <w:rFonts w:hint="eastAsia" w:ascii="宋体" w:hAnsi="宋体" w:eastAsia="宋体"/>
                <w:szCs w:val="24"/>
                <w:lang w:eastAsia="zh-CN"/>
              </w:rPr>
              <w:t>新华路</w:t>
            </w:r>
            <w:r>
              <w:rPr>
                <w:rFonts w:hint="eastAsia" w:ascii="宋体" w:hAnsi="宋体" w:eastAsia="宋体"/>
                <w:szCs w:val="24"/>
              </w:rPr>
              <w:t>，南临</w:t>
            </w:r>
            <w:r>
              <w:rPr>
                <w:rFonts w:hint="eastAsia" w:ascii="宋体" w:hAnsi="宋体" w:eastAsia="宋体"/>
                <w:szCs w:val="24"/>
                <w:lang w:eastAsia="zh-CN"/>
              </w:rPr>
              <w:t>团结西路</w:t>
            </w:r>
            <w:r>
              <w:rPr>
                <w:rFonts w:hint="eastAsia" w:ascii="宋体" w:hAnsi="宋体" w:eastAsia="宋体"/>
                <w:szCs w:val="24"/>
              </w:rPr>
              <w:t>，西临</w:t>
            </w:r>
            <w:r>
              <w:rPr>
                <w:rFonts w:hint="eastAsia" w:ascii="宋体" w:hAnsi="宋体" w:eastAsia="宋体"/>
                <w:szCs w:val="24"/>
                <w:lang w:eastAsia="zh-CN"/>
              </w:rPr>
              <w:t>人民北</w:t>
            </w:r>
            <w:r>
              <w:rPr>
                <w:rFonts w:hint="eastAsia" w:ascii="宋体" w:hAnsi="宋体" w:eastAsia="宋体"/>
                <w:szCs w:val="24"/>
              </w:rPr>
              <w:t>路，北临</w:t>
            </w:r>
            <w:r>
              <w:rPr>
                <w:rFonts w:hint="eastAsia" w:ascii="宋体" w:hAnsi="宋体" w:eastAsia="宋体"/>
                <w:szCs w:val="24"/>
                <w:lang w:eastAsia="zh-CN"/>
              </w:rPr>
              <w:t>胜利</w:t>
            </w:r>
            <w:r>
              <w:rPr>
                <w:rFonts w:hint="eastAsia" w:ascii="宋体" w:hAnsi="宋体" w:eastAsia="宋体"/>
                <w:szCs w:val="24"/>
              </w:rPr>
              <w:t>路，位于</w:t>
            </w:r>
            <w:r>
              <w:rPr>
                <w:rFonts w:hint="eastAsia" w:ascii="宋体" w:hAnsi="宋体" w:eastAsia="宋体"/>
                <w:szCs w:val="24"/>
                <w:lang w:eastAsia="zh-CN"/>
              </w:rPr>
              <w:t>景宁县城区中心</w:t>
            </w:r>
            <w:r>
              <w:rPr>
                <w:rFonts w:hint="eastAsia" w:ascii="宋体" w:hAnsi="宋体" w:eastAsia="宋体"/>
                <w:szCs w:val="24"/>
              </w:rPr>
              <w:t>地段，地理位置</w:t>
            </w:r>
            <w:r>
              <w:rPr>
                <w:rFonts w:hint="eastAsia" w:ascii="宋体" w:hAnsi="宋体" w:eastAsia="宋体"/>
                <w:szCs w:val="24"/>
                <w:lang w:eastAsia="zh-CN"/>
              </w:rPr>
              <w:t>较好</w:t>
            </w:r>
            <w:r>
              <w:rPr>
                <w:rFonts w:hint="eastAsia" w:ascii="宋体" w:hAnsi="宋体" w:eastAsia="宋体"/>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jc w:val="center"/>
        </w:trPr>
        <w:tc>
          <w:tcPr>
            <w:tcW w:w="1395" w:type="dxa"/>
            <w:tcBorders>
              <w:top w:val="single" w:color="auto" w:sz="4" w:space="0"/>
              <w:left w:val="single" w:color="auto" w:sz="12" w:space="0"/>
              <w:bottom w:val="single" w:color="auto" w:sz="4" w:space="0"/>
              <w:right w:val="single" w:color="auto" w:sz="4" w:space="0"/>
            </w:tcBorders>
            <w:vAlign w:val="center"/>
          </w:tcPr>
          <w:p>
            <w:pPr>
              <w:widowControl/>
              <w:spacing w:line="460" w:lineRule="exact"/>
              <w:jc w:val="center"/>
              <w:rPr>
                <w:rFonts w:ascii="宋体" w:hAnsi="宋体" w:eastAsia="宋体"/>
                <w:b/>
                <w:szCs w:val="24"/>
              </w:rPr>
            </w:pPr>
            <w:r>
              <w:rPr>
                <w:rFonts w:hint="eastAsia" w:ascii="宋体" w:hAnsi="宋体" w:eastAsia="宋体"/>
                <w:b/>
                <w:szCs w:val="24"/>
              </w:rPr>
              <w:t>交通便捷度</w:t>
            </w:r>
          </w:p>
        </w:tc>
        <w:tc>
          <w:tcPr>
            <w:tcW w:w="7132" w:type="dxa"/>
            <w:tcBorders>
              <w:top w:val="single" w:color="auto" w:sz="4" w:space="0"/>
              <w:left w:val="single" w:color="auto" w:sz="4" w:space="0"/>
              <w:bottom w:val="single" w:color="auto" w:sz="4" w:space="0"/>
              <w:right w:val="single" w:color="auto" w:sz="12" w:space="0"/>
            </w:tcBorders>
            <w:vAlign w:val="center"/>
          </w:tcPr>
          <w:p>
            <w:pPr>
              <w:spacing w:line="480" w:lineRule="atLeast"/>
              <w:rPr>
                <w:rFonts w:ascii="宋体" w:hAnsi="宋体" w:eastAsia="宋体"/>
                <w:szCs w:val="24"/>
              </w:rPr>
            </w:pPr>
            <w:r>
              <w:rPr>
                <w:rFonts w:hint="eastAsia" w:ascii="宋体" w:hAnsi="宋体" w:eastAsia="宋体"/>
                <w:szCs w:val="24"/>
              </w:rPr>
              <w:t>估价对象位于</w:t>
            </w:r>
            <w:r>
              <w:rPr>
                <w:rFonts w:hint="eastAsia" w:hAnsi="宋体" w:eastAsia="宋体"/>
                <w:szCs w:val="24"/>
                <w:lang w:eastAsia="zh-CN"/>
              </w:rPr>
              <w:t>鹤溪镇金信丽苑5幢1单元402室</w:t>
            </w:r>
            <w:r>
              <w:rPr>
                <w:rFonts w:hint="eastAsia" w:ascii="宋体" w:hAnsi="宋体" w:eastAsia="宋体"/>
                <w:szCs w:val="24"/>
              </w:rPr>
              <w:t>，附近有</w:t>
            </w:r>
            <w:r>
              <w:rPr>
                <w:rFonts w:hint="eastAsia" w:ascii="宋体" w:hAnsi="宋体" w:eastAsia="宋体"/>
                <w:szCs w:val="24"/>
                <w:lang w:val="en-US" w:eastAsia="zh-CN"/>
              </w:rPr>
              <w:t>1</w:t>
            </w:r>
            <w:r>
              <w:rPr>
                <w:rFonts w:hint="eastAsia" w:ascii="宋体" w:hAnsi="宋体" w:eastAsia="宋体"/>
                <w:szCs w:val="24"/>
              </w:rPr>
              <w:t>路、</w:t>
            </w:r>
            <w:r>
              <w:rPr>
                <w:rFonts w:hint="eastAsia" w:ascii="宋体" w:hAnsi="宋体" w:eastAsia="宋体"/>
                <w:szCs w:val="24"/>
                <w:lang w:val="en-US" w:eastAsia="zh-CN"/>
              </w:rPr>
              <w:t>2</w:t>
            </w:r>
            <w:r>
              <w:rPr>
                <w:rFonts w:hint="eastAsia" w:ascii="宋体" w:hAnsi="宋体" w:eastAsia="宋体"/>
                <w:szCs w:val="24"/>
              </w:rPr>
              <w:t>路、</w:t>
            </w:r>
            <w:r>
              <w:rPr>
                <w:rFonts w:hint="eastAsia" w:ascii="宋体" w:hAnsi="宋体" w:eastAsia="宋体"/>
                <w:szCs w:val="24"/>
                <w:lang w:val="en-US" w:eastAsia="zh-CN"/>
              </w:rPr>
              <w:t>5</w:t>
            </w:r>
            <w:r>
              <w:rPr>
                <w:rFonts w:hint="eastAsia" w:ascii="宋体" w:hAnsi="宋体" w:eastAsia="宋体"/>
                <w:szCs w:val="24"/>
              </w:rPr>
              <w:t>路、</w:t>
            </w:r>
            <w:r>
              <w:rPr>
                <w:rFonts w:hint="eastAsia" w:ascii="宋体" w:hAnsi="宋体" w:eastAsia="宋体"/>
                <w:szCs w:val="24"/>
                <w:lang w:val="en-US" w:eastAsia="zh-CN"/>
              </w:rPr>
              <w:t>6</w:t>
            </w:r>
            <w:r>
              <w:rPr>
                <w:rFonts w:hint="eastAsia" w:ascii="宋体" w:hAnsi="宋体" w:eastAsia="宋体"/>
                <w:szCs w:val="24"/>
              </w:rPr>
              <w:t>路、</w:t>
            </w:r>
            <w:r>
              <w:rPr>
                <w:rFonts w:hint="eastAsia" w:ascii="宋体" w:hAnsi="宋体" w:eastAsia="宋体"/>
                <w:szCs w:val="24"/>
                <w:lang w:val="en-US" w:eastAsia="zh-CN"/>
              </w:rPr>
              <w:t>7</w:t>
            </w:r>
            <w:r>
              <w:rPr>
                <w:rFonts w:hint="eastAsia" w:ascii="宋体" w:hAnsi="宋体" w:eastAsia="宋体"/>
                <w:szCs w:val="24"/>
              </w:rPr>
              <w:t>路、</w:t>
            </w:r>
            <w:r>
              <w:rPr>
                <w:rFonts w:hint="eastAsia" w:ascii="宋体" w:hAnsi="宋体" w:eastAsia="宋体"/>
                <w:szCs w:val="24"/>
                <w:lang w:val="en-US" w:eastAsia="zh-CN"/>
              </w:rPr>
              <w:t>8</w:t>
            </w:r>
            <w:r>
              <w:rPr>
                <w:rFonts w:hint="eastAsia" w:ascii="宋体" w:hAnsi="宋体" w:eastAsia="宋体"/>
                <w:szCs w:val="24"/>
              </w:rPr>
              <w:t>路、</w:t>
            </w:r>
            <w:r>
              <w:rPr>
                <w:rFonts w:hint="eastAsia" w:ascii="宋体" w:hAnsi="宋体" w:eastAsia="宋体"/>
                <w:szCs w:val="24"/>
                <w:lang w:val="en-US" w:eastAsia="zh-CN"/>
              </w:rPr>
              <w:t>10</w:t>
            </w:r>
            <w:r>
              <w:rPr>
                <w:rFonts w:hint="eastAsia" w:ascii="宋体" w:hAnsi="宋体" w:eastAsia="宋体"/>
                <w:szCs w:val="24"/>
              </w:rPr>
              <w:t>路、</w:t>
            </w:r>
            <w:r>
              <w:rPr>
                <w:rFonts w:hint="eastAsia" w:ascii="宋体" w:hAnsi="宋体" w:eastAsia="宋体"/>
                <w:szCs w:val="24"/>
                <w:lang w:val="en-US" w:eastAsia="zh-CN"/>
              </w:rPr>
              <w:t>11</w:t>
            </w:r>
            <w:r>
              <w:rPr>
                <w:rFonts w:hint="eastAsia" w:ascii="宋体" w:hAnsi="宋体" w:eastAsia="宋体"/>
                <w:szCs w:val="24"/>
              </w:rPr>
              <w:t>路公交车停靠站，交通方便。估价对象无车库或车位，依靠小区内路边停车，停车便捷度一般。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jc w:val="center"/>
        </w:trPr>
        <w:tc>
          <w:tcPr>
            <w:tcW w:w="1395" w:type="dxa"/>
            <w:tcBorders>
              <w:top w:val="single" w:color="auto" w:sz="4" w:space="0"/>
              <w:left w:val="single" w:color="auto" w:sz="12" w:space="0"/>
              <w:bottom w:val="single" w:color="auto" w:sz="4" w:space="0"/>
              <w:right w:val="single" w:color="auto" w:sz="4" w:space="0"/>
            </w:tcBorders>
            <w:vAlign w:val="center"/>
          </w:tcPr>
          <w:p>
            <w:pPr>
              <w:widowControl/>
              <w:spacing w:line="460" w:lineRule="exact"/>
              <w:jc w:val="center"/>
              <w:rPr>
                <w:rFonts w:ascii="宋体" w:hAnsi="宋体" w:eastAsia="宋体"/>
                <w:b/>
                <w:szCs w:val="24"/>
              </w:rPr>
            </w:pPr>
            <w:r>
              <w:rPr>
                <w:rFonts w:hint="eastAsia" w:ascii="宋体" w:hAnsi="宋体" w:eastAsia="宋体"/>
                <w:b/>
                <w:szCs w:val="24"/>
              </w:rPr>
              <w:t>基础设施及公共服务完善情况</w:t>
            </w:r>
          </w:p>
        </w:tc>
        <w:tc>
          <w:tcPr>
            <w:tcW w:w="7132" w:type="dxa"/>
            <w:tcBorders>
              <w:top w:val="single" w:color="auto" w:sz="4" w:space="0"/>
              <w:left w:val="single" w:color="auto" w:sz="4" w:space="0"/>
              <w:bottom w:val="single" w:color="auto" w:sz="4" w:space="0"/>
              <w:right w:val="single" w:color="auto" w:sz="12" w:space="0"/>
            </w:tcBorders>
            <w:vAlign w:val="center"/>
          </w:tcPr>
          <w:p>
            <w:pPr>
              <w:spacing w:line="480" w:lineRule="atLeast"/>
              <w:rPr>
                <w:rFonts w:ascii="宋体" w:hAnsi="宋体" w:eastAsia="宋体"/>
                <w:szCs w:val="24"/>
              </w:rPr>
            </w:pPr>
            <w:r>
              <w:rPr>
                <w:rFonts w:hint="eastAsia" w:ascii="宋体" w:hAnsi="宋体" w:eastAsia="宋体"/>
                <w:szCs w:val="24"/>
              </w:rPr>
              <w:t>具备六通（</w:t>
            </w:r>
            <w:r>
              <w:rPr>
                <w:rFonts w:ascii="宋体" w:hAnsi="宋体" w:eastAsia="宋体"/>
                <w:szCs w:val="24"/>
              </w:rPr>
              <w:t>通路、通电、供水、</w:t>
            </w:r>
            <w:r>
              <w:rPr>
                <w:rFonts w:hint="eastAsia" w:ascii="宋体" w:hAnsi="宋体" w:eastAsia="宋体"/>
                <w:szCs w:val="24"/>
              </w:rPr>
              <w:t>排水、</w:t>
            </w:r>
            <w:r>
              <w:rPr>
                <w:rFonts w:ascii="宋体" w:hAnsi="宋体" w:eastAsia="宋体"/>
                <w:szCs w:val="24"/>
              </w:rPr>
              <w:t>通讯</w:t>
            </w:r>
            <w:r>
              <w:rPr>
                <w:rFonts w:hint="eastAsia" w:ascii="宋体" w:hAnsi="宋体" w:eastAsia="宋体"/>
                <w:szCs w:val="24"/>
              </w:rPr>
              <w:t>、通燃气）；附近</w:t>
            </w:r>
            <w:r>
              <w:rPr>
                <w:rFonts w:hint="eastAsia" w:ascii="宋体" w:hAnsi="宋体" w:eastAsia="宋体" w:cs="宋体"/>
              </w:rPr>
              <w:t>有</w:t>
            </w:r>
            <w:r>
              <w:rPr>
                <w:rFonts w:hint="eastAsia" w:ascii="宋体" w:hAnsi="宋体" w:eastAsia="宋体" w:cs="宋体"/>
                <w:lang w:eastAsia="zh-CN"/>
              </w:rPr>
              <w:t>稠州银行、蔓菲尔酒店、家居配套、景宁畲银博物馆</w:t>
            </w:r>
            <w:bookmarkStart w:id="35" w:name="_GoBack"/>
            <w:bookmarkEnd w:id="35"/>
            <w:r>
              <w:rPr>
                <w:rFonts w:hint="eastAsia" w:ascii="宋体" w:hAnsi="宋体" w:eastAsia="宋体"/>
                <w:szCs w:val="24"/>
              </w:rPr>
              <w:t>等生活配套设施</w:t>
            </w:r>
            <w:r>
              <w:rPr>
                <w:rFonts w:hint="eastAsia" w:ascii="宋体" w:hAnsi="宋体" w:eastAsia="宋体"/>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053" w:hRule="atLeast"/>
          <w:jc w:val="center"/>
        </w:trPr>
        <w:tc>
          <w:tcPr>
            <w:tcW w:w="1395" w:type="dxa"/>
            <w:tcBorders>
              <w:top w:val="single" w:color="auto" w:sz="4" w:space="0"/>
              <w:left w:val="single" w:color="auto" w:sz="12" w:space="0"/>
              <w:bottom w:val="single" w:color="auto" w:sz="4" w:space="0"/>
              <w:right w:val="single" w:color="auto" w:sz="4" w:space="0"/>
            </w:tcBorders>
            <w:vAlign w:val="center"/>
          </w:tcPr>
          <w:p>
            <w:pPr>
              <w:widowControl/>
              <w:spacing w:line="460" w:lineRule="exact"/>
              <w:jc w:val="center"/>
              <w:rPr>
                <w:rFonts w:ascii="宋体" w:hAnsi="宋体" w:eastAsia="宋体"/>
                <w:b/>
                <w:szCs w:val="24"/>
              </w:rPr>
            </w:pPr>
            <w:r>
              <w:rPr>
                <w:rFonts w:hint="eastAsia" w:ascii="宋体" w:hAnsi="宋体" w:eastAsia="宋体"/>
                <w:b/>
                <w:szCs w:val="24"/>
              </w:rPr>
              <w:t>教育配套</w:t>
            </w:r>
          </w:p>
          <w:p>
            <w:pPr>
              <w:widowControl/>
              <w:spacing w:line="460" w:lineRule="exact"/>
              <w:jc w:val="center"/>
              <w:rPr>
                <w:rFonts w:ascii="宋体" w:hAnsi="宋体" w:eastAsia="宋体"/>
                <w:b/>
                <w:szCs w:val="24"/>
              </w:rPr>
            </w:pPr>
            <w:r>
              <w:rPr>
                <w:rFonts w:hint="eastAsia" w:ascii="宋体" w:hAnsi="宋体" w:eastAsia="宋体"/>
                <w:b/>
                <w:szCs w:val="24"/>
              </w:rPr>
              <w:t>设施</w:t>
            </w:r>
          </w:p>
        </w:tc>
        <w:tc>
          <w:tcPr>
            <w:tcW w:w="7132" w:type="dxa"/>
            <w:tcBorders>
              <w:top w:val="single" w:color="auto" w:sz="4" w:space="0"/>
              <w:left w:val="single" w:color="auto" w:sz="4" w:space="0"/>
              <w:bottom w:val="single" w:color="auto" w:sz="4" w:space="0"/>
              <w:right w:val="single" w:color="auto" w:sz="12" w:space="0"/>
            </w:tcBorders>
            <w:vAlign w:val="center"/>
          </w:tcPr>
          <w:p>
            <w:pPr>
              <w:widowControl/>
              <w:spacing w:line="480" w:lineRule="exact"/>
              <w:rPr>
                <w:rFonts w:ascii="宋体" w:hAnsi="宋体" w:eastAsia="宋体"/>
                <w:szCs w:val="24"/>
              </w:rPr>
            </w:pPr>
            <w:r>
              <w:rPr>
                <w:rFonts w:hint="eastAsia" w:ascii="宋体" w:hAnsi="宋体" w:eastAsia="宋体" w:cs="宋体"/>
                <w:lang w:eastAsia="zh-CN"/>
              </w:rPr>
              <w:t>景宁城北中学、实验幼儿园、城北幼儿园</w:t>
            </w:r>
            <w:r>
              <w:rPr>
                <w:rFonts w:hint="eastAsia" w:ascii="宋体" w:hAnsi="宋体" w:eastAsia="宋体" w:cs="宋体"/>
              </w:rPr>
              <w:t>等教育配套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jc w:val="center"/>
        </w:trPr>
        <w:tc>
          <w:tcPr>
            <w:tcW w:w="1395" w:type="dxa"/>
            <w:tcBorders>
              <w:top w:val="single" w:color="auto" w:sz="4" w:space="0"/>
              <w:left w:val="single" w:color="auto" w:sz="12" w:space="0"/>
              <w:bottom w:val="single" w:color="auto" w:sz="4" w:space="0"/>
              <w:right w:val="single" w:color="auto" w:sz="4" w:space="0"/>
            </w:tcBorders>
            <w:vAlign w:val="center"/>
          </w:tcPr>
          <w:p>
            <w:pPr>
              <w:widowControl/>
              <w:spacing w:line="460" w:lineRule="exact"/>
              <w:jc w:val="center"/>
              <w:rPr>
                <w:rFonts w:ascii="宋体" w:hAnsi="宋体" w:eastAsia="宋体"/>
                <w:b/>
                <w:szCs w:val="24"/>
              </w:rPr>
            </w:pPr>
            <w:r>
              <w:rPr>
                <w:rFonts w:hint="eastAsia" w:ascii="宋体" w:hAnsi="宋体" w:eastAsia="宋体"/>
                <w:b/>
                <w:szCs w:val="24"/>
              </w:rPr>
              <w:t>区域景观与环境</w:t>
            </w:r>
          </w:p>
        </w:tc>
        <w:tc>
          <w:tcPr>
            <w:tcW w:w="7132" w:type="dxa"/>
            <w:tcBorders>
              <w:top w:val="single" w:color="auto" w:sz="4" w:space="0"/>
              <w:left w:val="single" w:color="auto" w:sz="4" w:space="0"/>
              <w:bottom w:val="single" w:color="auto" w:sz="4" w:space="0"/>
              <w:right w:val="single" w:color="auto" w:sz="12" w:space="0"/>
            </w:tcBorders>
            <w:vAlign w:val="center"/>
          </w:tcPr>
          <w:p>
            <w:pPr>
              <w:widowControl/>
              <w:spacing w:line="480" w:lineRule="exact"/>
              <w:rPr>
                <w:rFonts w:ascii="宋体" w:hAnsi="宋体" w:eastAsia="宋体"/>
                <w:szCs w:val="24"/>
              </w:rPr>
            </w:pPr>
            <w:r>
              <w:rPr>
                <w:rFonts w:hint="eastAsia" w:ascii="宋体" w:hAnsi="宋体" w:eastAsia="宋体"/>
              </w:rPr>
              <w:t>估价对象附近有住宅区，如</w:t>
            </w:r>
            <w:r>
              <w:rPr>
                <w:rFonts w:hint="eastAsia" w:ascii="宋体" w:hAnsi="宋体" w:eastAsia="宋体"/>
                <w:lang w:eastAsia="zh-CN"/>
              </w:rPr>
              <w:t>正达阳光城、金丰花苑、红星文锦苑、新华小区</w:t>
            </w:r>
            <w:r>
              <w:rPr>
                <w:rFonts w:hint="eastAsia" w:ascii="宋体" w:hAnsi="宋体" w:eastAsia="宋体"/>
              </w:rPr>
              <w:t>等居住小区，估价对象居住氛围及商业氛围</w:t>
            </w:r>
            <w:r>
              <w:rPr>
                <w:rFonts w:hint="eastAsia" w:ascii="宋体" w:hAnsi="宋体" w:eastAsia="宋体"/>
                <w:lang w:eastAsia="zh-CN"/>
              </w:rPr>
              <w:t>较好</w:t>
            </w:r>
            <w:r>
              <w:rPr>
                <w:rFonts w:hint="eastAsia" w:ascii="宋体" w:hAnsi="宋体" w:eastAsia="宋体"/>
              </w:rPr>
              <w:t>。估价对象所在</w:t>
            </w:r>
            <w:r>
              <w:rPr>
                <w:rFonts w:hint="eastAsia" w:ascii="宋体" w:hAnsi="宋体" w:eastAsia="宋体"/>
                <w:szCs w:val="24"/>
              </w:rPr>
              <w:t>居住区</w:t>
            </w:r>
            <w:r>
              <w:rPr>
                <w:rFonts w:hint="eastAsia" w:ascii="宋体" w:hAnsi="宋体" w:eastAsia="宋体"/>
              </w:rPr>
              <w:t>绿化率较好，附近空气质量较好，自然条件</w:t>
            </w:r>
            <w:r>
              <w:rPr>
                <w:rFonts w:hint="eastAsia" w:ascii="宋体" w:hAnsi="宋体" w:eastAsia="宋体"/>
                <w:lang w:eastAsia="zh-CN"/>
              </w:rPr>
              <w:t>较好</w:t>
            </w:r>
            <w:r>
              <w:rPr>
                <w:rFonts w:hint="eastAsia" w:ascii="宋体" w:hAnsi="宋体" w:eastAsia="宋体"/>
              </w:rPr>
              <w:t>。为封闭式物业管理，居住适宜性较好。</w:t>
            </w:r>
          </w:p>
        </w:tc>
      </w:tr>
    </w:tbl>
    <w:p>
      <w:pPr>
        <w:pStyle w:val="6"/>
        <w:keepNext w:val="0"/>
        <w:keepLines w:val="0"/>
        <w:pageBreakBefore w:val="0"/>
        <w:widowControl w:val="0"/>
        <w:kinsoku/>
        <w:wordWrap/>
        <w:topLinePunct w:val="0"/>
        <w:bidi w:val="0"/>
        <w:spacing w:line="460" w:lineRule="atLeast"/>
        <w:ind w:firstLine="480" w:firstLineChars="200"/>
        <w:contextualSpacing/>
        <w:rPr>
          <w:rFonts w:hAnsi="宋体" w:eastAsia="宋体"/>
          <w:szCs w:val="24"/>
        </w:rPr>
      </w:pPr>
      <w:r>
        <w:rPr>
          <w:rFonts w:hint="eastAsia" w:hAnsi="宋体" w:eastAsia="宋体"/>
          <w:szCs w:val="24"/>
        </w:rPr>
        <w:t>3.</w:t>
      </w:r>
      <w:r>
        <w:rPr>
          <w:rFonts w:hAnsi="宋体" w:eastAsia="宋体"/>
          <w:szCs w:val="24"/>
        </w:rPr>
        <w:t>估价对象实</w:t>
      </w:r>
      <w:r>
        <w:rPr>
          <w:rFonts w:hint="eastAsia" w:hAnsi="宋体" w:eastAsia="宋体"/>
          <w:szCs w:val="24"/>
        </w:rPr>
        <w:t>体</w:t>
      </w:r>
      <w:r>
        <w:rPr>
          <w:rFonts w:hAnsi="宋体" w:eastAsia="宋体"/>
          <w:szCs w:val="24"/>
        </w:rPr>
        <w:t>状况</w:t>
      </w:r>
    </w:p>
    <w:p>
      <w:pPr>
        <w:pStyle w:val="4"/>
        <w:keepNext w:val="0"/>
        <w:keepLines w:val="0"/>
        <w:pageBreakBefore w:val="0"/>
        <w:widowControl w:val="0"/>
        <w:kinsoku/>
        <w:wordWrap/>
        <w:overflowPunct w:val="0"/>
        <w:topLinePunct w:val="0"/>
        <w:autoSpaceDE w:val="0"/>
        <w:autoSpaceDN w:val="0"/>
        <w:bidi w:val="0"/>
        <w:adjustRightInd w:val="0"/>
        <w:spacing w:line="460" w:lineRule="atLeast"/>
        <w:ind w:firstLine="480" w:firstLineChars="200"/>
        <w:contextualSpacing/>
        <w:textAlignment w:val="baseline"/>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w:t>
      </w:r>
      <w:r>
        <w:rPr>
          <w:rFonts w:ascii="宋体" w:hAnsi="宋体"/>
          <w:sz w:val="24"/>
          <w:szCs w:val="24"/>
        </w:rPr>
        <w:t>土地实</w:t>
      </w:r>
      <w:r>
        <w:rPr>
          <w:rFonts w:hint="eastAsia" w:ascii="宋体" w:hAnsi="宋体"/>
          <w:sz w:val="24"/>
          <w:szCs w:val="24"/>
        </w:rPr>
        <w:t>体</w:t>
      </w:r>
      <w:r>
        <w:rPr>
          <w:rFonts w:ascii="宋体" w:hAnsi="宋体"/>
          <w:sz w:val="24"/>
          <w:szCs w:val="24"/>
        </w:rPr>
        <w:t>状况</w:t>
      </w:r>
    </w:p>
    <w:p>
      <w:pPr>
        <w:pStyle w:val="4"/>
        <w:keepNext w:val="0"/>
        <w:keepLines w:val="0"/>
        <w:pageBreakBefore w:val="0"/>
        <w:widowControl w:val="0"/>
        <w:kinsoku/>
        <w:wordWrap/>
        <w:overflowPunct w:val="0"/>
        <w:topLinePunct w:val="0"/>
        <w:autoSpaceDE w:val="0"/>
        <w:autoSpaceDN w:val="0"/>
        <w:bidi w:val="0"/>
        <w:adjustRightInd w:val="0"/>
        <w:spacing w:line="460" w:lineRule="atLeast"/>
        <w:ind w:firstLine="480" w:firstLineChars="200"/>
        <w:textAlignment w:val="baseline"/>
        <w:rPr>
          <w:rFonts w:ascii="宋体" w:hAnsi="宋体"/>
          <w:sz w:val="24"/>
        </w:rPr>
      </w:pPr>
      <w:r>
        <w:rPr>
          <w:rFonts w:ascii="宋体" w:hAnsi="宋体"/>
          <w:sz w:val="24"/>
          <w:szCs w:val="24"/>
        </w:rPr>
        <w:t>估价对象</w:t>
      </w:r>
      <w:r>
        <w:rPr>
          <w:rFonts w:hint="eastAsia" w:ascii="宋体" w:hAnsi="宋体"/>
          <w:sz w:val="24"/>
          <w:szCs w:val="24"/>
        </w:rPr>
        <w:t>位于</w:t>
      </w:r>
      <w:r>
        <w:rPr>
          <w:rFonts w:hint="eastAsia" w:ascii="宋体" w:hAnsi="宋体"/>
          <w:sz w:val="24"/>
          <w:szCs w:val="24"/>
          <w:lang w:eastAsia="zh-CN"/>
        </w:rPr>
        <w:t>鹤溪镇金信丽苑5幢1单元402室</w:t>
      </w:r>
      <w:r>
        <w:rPr>
          <w:rFonts w:hint="eastAsia" w:ascii="宋体" w:hAnsi="宋体"/>
          <w:sz w:val="24"/>
          <w:szCs w:val="24"/>
        </w:rPr>
        <w:t>小区，土地用途为住宅用地/住宅,</w:t>
      </w:r>
      <w:r>
        <w:rPr>
          <w:rFonts w:hint="eastAsia" w:ascii="宋体" w:hAnsi="宋体"/>
          <w:sz w:val="24"/>
          <w:szCs w:val="24"/>
          <w:lang w:eastAsia="zh-CN"/>
        </w:rPr>
        <w:t>土地使用权面积为</w:t>
      </w:r>
      <w:r>
        <w:rPr>
          <w:rFonts w:hint="eastAsia" w:asciiTheme="minorEastAsia" w:hAnsiTheme="minorEastAsia" w:eastAsiaTheme="minorEastAsia"/>
          <w:sz w:val="24"/>
          <w:szCs w:val="24"/>
          <w:lang w:val="en-US" w:eastAsia="zh-CN"/>
        </w:rPr>
        <w:t>24.38㎡，</w:t>
      </w:r>
      <w:r>
        <w:rPr>
          <w:rFonts w:hint="eastAsia" w:ascii="宋体" w:hAnsi="宋体"/>
          <w:sz w:val="24"/>
          <w:szCs w:val="24"/>
        </w:rPr>
        <w:t>使用</w:t>
      </w:r>
      <w:r>
        <w:rPr>
          <w:rFonts w:hint="eastAsia" w:ascii="宋体" w:hAnsi="宋体"/>
          <w:sz w:val="24"/>
          <w:szCs w:val="24"/>
          <w:lang w:eastAsia="zh-CN"/>
        </w:rPr>
        <w:t>期限至</w:t>
      </w:r>
      <w:r>
        <w:rPr>
          <w:rFonts w:hint="eastAsia" w:ascii="宋体" w:hAnsi="宋体"/>
          <w:sz w:val="24"/>
          <w:szCs w:val="24"/>
          <w:lang w:val="en-US" w:eastAsia="zh-CN"/>
        </w:rPr>
        <w:t>2072年12月10日</w:t>
      </w:r>
      <w:r>
        <w:rPr>
          <w:rFonts w:hint="eastAsia" w:ascii="宋体" w:hAnsi="宋体"/>
          <w:sz w:val="24"/>
          <w:szCs w:val="24"/>
        </w:rPr>
        <w:t>。</w:t>
      </w:r>
      <w:r>
        <w:rPr>
          <w:rFonts w:ascii="宋体" w:hAnsi="宋体"/>
          <w:sz w:val="24"/>
          <w:szCs w:val="24"/>
        </w:rPr>
        <w:t>宗地地势平坦，形状规则，实际开发程度为宗地外“</w:t>
      </w:r>
      <w:r>
        <w:rPr>
          <w:rFonts w:hint="eastAsia" w:ascii="宋体" w:hAnsi="宋体"/>
          <w:sz w:val="24"/>
          <w:szCs w:val="24"/>
        </w:rPr>
        <w:t>六通</w:t>
      </w:r>
      <w:r>
        <w:rPr>
          <w:rFonts w:ascii="宋体" w:hAnsi="宋体"/>
          <w:sz w:val="24"/>
          <w:szCs w:val="24"/>
        </w:rPr>
        <w:t>”(</w:t>
      </w:r>
      <w:r>
        <w:rPr>
          <w:rFonts w:ascii="宋体" w:hAnsi="宋体" w:cs="宋体"/>
          <w:kern w:val="0"/>
          <w:sz w:val="24"/>
          <w:szCs w:val="24"/>
        </w:rPr>
        <w:t>通给水、</w:t>
      </w:r>
      <w:r>
        <w:rPr>
          <w:rFonts w:hint="eastAsia" w:ascii="宋体" w:hAnsi="宋体" w:cs="宋体"/>
          <w:kern w:val="0"/>
          <w:sz w:val="24"/>
          <w:szCs w:val="24"/>
        </w:rPr>
        <w:t>通排水、</w:t>
      </w:r>
      <w:r>
        <w:rPr>
          <w:rFonts w:ascii="宋体" w:hAnsi="宋体" w:cs="宋体"/>
          <w:kern w:val="0"/>
          <w:sz w:val="24"/>
          <w:szCs w:val="24"/>
        </w:rPr>
        <w:t>通电、通讯、通路</w:t>
      </w:r>
      <w:r>
        <w:rPr>
          <w:rFonts w:hint="eastAsia" w:ascii="宋体" w:hAnsi="宋体" w:cs="宋体"/>
          <w:kern w:val="0"/>
          <w:sz w:val="24"/>
          <w:szCs w:val="24"/>
        </w:rPr>
        <w:t>、通燃气</w:t>
      </w:r>
      <w:r>
        <w:rPr>
          <w:rFonts w:ascii="宋体" w:hAnsi="宋体"/>
          <w:sz w:val="24"/>
          <w:szCs w:val="24"/>
        </w:rPr>
        <w:t>)，宗地内“</w:t>
      </w:r>
      <w:r>
        <w:rPr>
          <w:rFonts w:hint="eastAsia" w:ascii="宋体" w:hAnsi="宋体"/>
          <w:sz w:val="24"/>
          <w:szCs w:val="24"/>
        </w:rPr>
        <w:t>六通</w:t>
      </w:r>
      <w:r>
        <w:rPr>
          <w:rFonts w:ascii="宋体" w:hAnsi="宋体"/>
          <w:sz w:val="24"/>
          <w:szCs w:val="24"/>
        </w:rPr>
        <w:t>”(</w:t>
      </w:r>
      <w:r>
        <w:rPr>
          <w:rFonts w:ascii="宋体" w:hAnsi="宋体" w:cs="宋体"/>
          <w:kern w:val="0"/>
          <w:sz w:val="24"/>
          <w:szCs w:val="24"/>
        </w:rPr>
        <w:t>通给水、</w:t>
      </w:r>
      <w:r>
        <w:rPr>
          <w:rFonts w:hint="eastAsia" w:ascii="宋体" w:hAnsi="宋体" w:cs="宋体"/>
          <w:kern w:val="0"/>
          <w:sz w:val="24"/>
          <w:szCs w:val="24"/>
        </w:rPr>
        <w:t>通排水、</w:t>
      </w:r>
      <w:r>
        <w:rPr>
          <w:rFonts w:ascii="宋体" w:hAnsi="宋体" w:cs="宋体"/>
          <w:kern w:val="0"/>
          <w:sz w:val="24"/>
          <w:szCs w:val="24"/>
        </w:rPr>
        <w:t>通电、通讯、</w:t>
      </w:r>
      <w:r>
        <w:rPr>
          <w:rFonts w:hint="eastAsia" w:ascii="宋体" w:hAnsi="宋体" w:cs="宋体"/>
          <w:kern w:val="0"/>
          <w:sz w:val="24"/>
          <w:szCs w:val="24"/>
        </w:rPr>
        <w:t>通路、通燃气</w:t>
      </w:r>
      <w:r>
        <w:rPr>
          <w:rFonts w:ascii="宋体" w:hAnsi="宋体"/>
          <w:sz w:val="24"/>
          <w:szCs w:val="24"/>
        </w:rPr>
        <w:t>)及场地平整</w:t>
      </w:r>
      <w:r>
        <w:rPr>
          <w:rFonts w:hint="eastAsia" w:ascii="宋体" w:hAnsi="宋体"/>
          <w:sz w:val="24"/>
          <w:szCs w:val="24"/>
        </w:rPr>
        <w:t>。</w:t>
      </w:r>
    </w:p>
    <w:p>
      <w:pPr>
        <w:pStyle w:val="4"/>
        <w:keepNext w:val="0"/>
        <w:keepLines w:val="0"/>
        <w:pageBreakBefore w:val="0"/>
        <w:widowControl w:val="0"/>
        <w:kinsoku/>
        <w:wordWrap/>
        <w:overflowPunct w:val="0"/>
        <w:topLinePunct w:val="0"/>
        <w:autoSpaceDE w:val="0"/>
        <w:autoSpaceDN w:val="0"/>
        <w:bidi w:val="0"/>
        <w:adjustRightInd w:val="0"/>
        <w:spacing w:line="460" w:lineRule="atLeast"/>
        <w:ind w:firstLine="480" w:firstLineChars="200"/>
        <w:textAlignment w:val="baseline"/>
        <w:rPr>
          <w:rFonts w:ascii="宋体" w:hAnsi="宋体"/>
          <w:sz w:val="24"/>
          <w:szCs w:val="24"/>
        </w:rPr>
      </w:pPr>
      <w:r>
        <w:rPr>
          <w:rFonts w:hint="eastAsia" w:ascii="宋体" w:hAnsi="宋体"/>
          <w:sz w:val="24"/>
          <w:szCs w:val="24"/>
        </w:rPr>
        <w:t>（2）</w:t>
      </w:r>
      <w:r>
        <w:rPr>
          <w:rFonts w:ascii="宋体" w:hAnsi="宋体"/>
          <w:sz w:val="24"/>
          <w:szCs w:val="24"/>
        </w:rPr>
        <w:t>建筑物状况</w:t>
      </w:r>
    </w:p>
    <w:p>
      <w:pPr>
        <w:pStyle w:val="4"/>
        <w:keepNext w:val="0"/>
        <w:keepLines w:val="0"/>
        <w:pageBreakBefore w:val="0"/>
        <w:widowControl w:val="0"/>
        <w:kinsoku/>
        <w:wordWrap/>
        <w:overflowPunct w:val="0"/>
        <w:topLinePunct w:val="0"/>
        <w:autoSpaceDE w:val="0"/>
        <w:autoSpaceDN w:val="0"/>
        <w:bidi w:val="0"/>
        <w:adjustRightInd w:val="0"/>
        <w:spacing w:line="460" w:lineRule="atLeast"/>
        <w:ind w:firstLine="480" w:firstLineChars="200"/>
        <w:textAlignment w:val="baseline"/>
        <w:rPr>
          <w:rFonts w:hint="eastAsia" w:ascii="宋体" w:hAnsi="宋体"/>
          <w:sz w:val="24"/>
          <w:szCs w:val="24"/>
          <w:lang w:eastAsia="zh-CN"/>
        </w:rPr>
      </w:pPr>
      <w:r>
        <w:rPr>
          <w:rFonts w:ascii="宋体" w:hAnsi="宋体"/>
          <w:sz w:val="24"/>
          <w:szCs w:val="24"/>
        </w:rPr>
        <w:t>估价对象</w:t>
      </w:r>
      <w:r>
        <w:rPr>
          <w:rFonts w:hint="eastAsia" w:ascii="宋体" w:hAnsi="宋体"/>
          <w:sz w:val="24"/>
          <w:szCs w:val="24"/>
        </w:rPr>
        <w:t>建筑物：</w:t>
      </w:r>
      <w:r>
        <w:rPr>
          <w:rFonts w:hint="eastAsia" w:ascii="宋体" w:hAnsi="宋体"/>
          <w:sz w:val="24"/>
          <w:szCs w:val="24"/>
          <w:lang w:eastAsia="zh-CN"/>
        </w:rPr>
        <w:t>鹤溪镇金信丽苑5幢1单元402室</w:t>
      </w:r>
      <w:r>
        <w:rPr>
          <w:rFonts w:hint="eastAsia" w:ascii="宋体" w:hAnsi="宋体"/>
          <w:sz w:val="24"/>
          <w:szCs w:val="24"/>
        </w:rPr>
        <w:t>，该幢楼总楼层为</w:t>
      </w:r>
      <w:r>
        <w:rPr>
          <w:rFonts w:hint="eastAsia" w:ascii="宋体" w:hAnsi="宋体"/>
          <w:sz w:val="24"/>
          <w:szCs w:val="24"/>
          <w:lang w:val="en-US" w:eastAsia="zh-CN"/>
        </w:rPr>
        <w:t>9</w:t>
      </w:r>
      <w:r>
        <w:rPr>
          <w:rFonts w:hint="eastAsia" w:ascii="宋体" w:hAnsi="宋体"/>
          <w:sz w:val="24"/>
          <w:szCs w:val="24"/>
        </w:rPr>
        <w:t>层，估价对象位于第</w:t>
      </w:r>
      <w:r>
        <w:rPr>
          <w:rFonts w:hint="eastAsia" w:ascii="宋体" w:hAnsi="宋体"/>
          <w:sz w:val="24"/>
          <w:szCs w:val="24"/>
          <w:lang w:val="en-US" w:eastAsia="zh-CN"/>
        </w:rPr>
        <w:t>4</w:t>
      </w:r>
      <w:r>
        <w:rPr>
          <w:rFonts w:hint="eastAsia" w:ascii="宋体" w:hAnsi="宋体"/>
          <w:sz w:val="24"/>
          <w:szCs w:val="24"/>
        </w:rPr>
        <w:t>层，钢混结构，外墙</w:t>
      </w:r>
      <w:r>
        <w:rPr>
          <w:rFonts w:hint="eastAsia" w:ascii="宋体" w:hAnsi="宋体"/>
          <w:sz w:val="24"/>
          <w:szCs w:val="24"/>
          <w:lang w:eastAsia="zh-CN"/>
        </w:rPr>
        <w:t>防水涂料粉刷</w:t>
      </w:r>
      <w:r>
        <w:rPr>
          <w:rFonts w:hint="eastAsia" w:ascii="宋体" w:hAnsi="宋体"/>
          <w:sz w:val="24"/>
          <w:szCs w:val="24"/>
        </w:rPr>
        <w:t>。</w:t>
      </w:r>
      <w:r>
        <w:rPr>
          <w:rFonts w:ascii="宋体" w:hAnsi="宋体"/>
          <w:sz w:val="24"/>
          <w:szCs w:val="24"/>
        </w:rPr>
        <w:t>建筑面积为</w:t>
      </w:r>
      <w:r>
        <w:rPr>
          <w:rFonts w:hint="eastAsia" w:ascii="宋体" w:hAnsi="宋体"/>
          <w:sz w:val="24"/>
          <w:szCs w:val="24"/>
          <w:lang w:eastAsia="zh-CN"/>
        </w:rPr>
        <w:t>148.11</w:t>
      </w:r>
      <w:r>
        <w:rPr>
          <w:rFonts w:hint="eastAsia" w:ascii="宋体" w:hAnsi="宋体"/>
          <w:sz w:val="24"/>
          <w:szCs w:val="24"/>
        </w:rPr>
        <w:t>平方米，朝向为南，为</w:t>
      </w:r>
      <w:r>
        <w:rPr>
          <w:rFonts w:hint="eastAsia" w:ascii="宋体" w:hAnsi="宋体"/>
          <w:sz w:val="24"/>
          <w:szCs w:val="24"/>
          <w:lang w:eastAsia="zh-CN"/>
        </w:rPr>
        <w:t>三</w:t>
      </w:r>
      <w:r>
        <w:rPr>
          <w:rFonts w:hint="eastAsia" w:ascii="宋体" w:hAnsi="宋体"/>
          <w:sz w:val="24"/>
          <w:szCs w:val="24"/>
        </w:rPr>
        <w:t>室二厅</w:t>
      </w:r>
      <w:r>
        <w:rPr>
          <w:rFonts w:hint="eastAsia" w:ascii="宋体" w:hAnsi="宋体"/>
          <w:sz w:val="24"/>
          <w:szCs w:val="24"/>
          <w:lang w:eastAsia="zh-CN"/>
        </w:rPr>
        <w:t>二</w:t>
      </w:r>
      <w:r>
        <w:rPr>
          <w:rFonts w:hint="eastAsia" w:ascii="宋体" w:hAnsi="宋体"/>
          <w:sz w:val="24"/>
          <w:szCs w:val="24"/>
        </w:rPr>
        <w:t>卫一阳台中间套住宅，入户防盗门，室内</w:t>
      </w:r>
      <w:r>
        <w:rPr>
          <w:rFonts w:hint="eastAsia" w:ascii="宋体" w:hAnsi="宋体"/>
          <w:sz w:val="24"/>
          <w:szCs w:val="24"/>
          <w:lang w:eastAsia="zh-CN"/>
        </w:rPr>
        <w:t>层</w:t>
      </w:r>
      <w:r>
        <w:rPr>
          <w:rFonts w:hint="eastAsia" w:ascii="宋体" w:hAnsi="宋体"/>
          <w:sz w:val="24"/>
          <w:szCs w:val="24"/>
        </w:rPr>
        <w:t>高2.7m</w:t>
      </w:r>
      <w:r>
        <w:rPr>
          <w:rFonts w:hint="eastAsia" w:ascii="宋体" w:hAnsi="宋体"/>
          <w:sz w:val="24"/>
          <w:szCs w:val="24"/>
          <w:lang w:eastAsia="zh-CN"/>
        </w:rPr>
        <w:t>，具体装修情况如下表：</w:t>
      </w:r>
    </w:p>
    <w:tbl>
      <w:tblPr>
        <w:tblStyle w:val="12"/>
        <w:tblW w:w="84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8"/>
        <w:gridCol w:w="1153"/>
        <w:gridCol w:w="1262"/>
        <w:gridCol w:w="2028"/>
        <w:gridCol w:w="1257"/>
        <w:gridCol w:w="1115"/>
        <w:gridCol w:w="1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房间</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地面</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墙面</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顶棚</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门</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卧室1</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实木地板</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墙壁布</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石膏吊顶</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梦天木门</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塑钢窗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卧室2</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实木地板</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墙壁布</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石膏吊顶</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梦天木门</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塑钢窗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卧室3</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实木地板</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墙壁布</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石膏吊顶</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梦天木门</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塑钢窗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卫生间1</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地面砖</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墙面砖</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吊顶</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木门</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塑钢窗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卫生间2</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地面砖</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墙面砖</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吊顶</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木门</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塑钢窗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10" w:firstLineChars="10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厨房</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地面砖</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墙面砖、整体橱柜</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10" w:firstLineChars="100"/>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吊顶</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塑钢窗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10" w:firstLineChars="10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10" w:firstLineChars="100"/>
              <w:jc w:val="both"/>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地面砖</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墙壁布、电视背景墙</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石膏吊顶</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塑钢窗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10" w:firstLineChars="10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餐厅</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10" w:firstLineChars="100"/>
              <w:jc w:val="both"/>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地面砖</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墙面砖</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石膏吊顶</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20" w:firstLineChars="200"/>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r>
    </w:tbl>
    <w:p>
      <w:pPr>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据估价师调查了解，估价对象</w:t>
      </w:r>
      <w:r>
        <w:rPr>
          <w:rFonts w:hint="eastAsia" w:asciiTheme="minorEastAsia" w:hAnsiTheme="minorEastAsia" w:eastAsiaTheme="minorEastAsia" w:cstheme="minorEastAsia"/>
          <w:sz w:val="24"/>
          <w:szCs w:val="24"/>
          <w:lang w:eastAsia="zh-CN"/>
        </w:rPr>
        <w:t>室内可以通往室外平台，</w:t>
      </w:r>
      <w:r>
        <w:rPr>
          <w:rFonts w:hint="eastAsia" w:asciiTheme="minorEastAsia" w:hAnsiTheme="minorEastAsia" w:eastAsiaTheme="minorEastAsia" w:cstheme="minorEastAsia"/>
          <w:bCs/>
          <w:sz w:val="24"/>
          <w:szCs w:val="24"/>
          <w:lang w:eastAsia="zh-CN"/>
        </w:rPr>
        <w:t>估价对象于价值时点尚未腾空，物业、水电费是否有欠缴情况不详。估价对象平台上搭有阳光棚，是否涉及违章请详询有关单位，特此提示。</w:t>
      </w:r>
    </w:p>
    <w:p>
      <w:pPr>
        <w:pStyle w:val="4"/>
        <w:numPr>
          <w:ilvl w:val="0"/>
          <w:numId w:val="1"/>
        </w:numPr>
        <w:overflowPunct w:val="0"/>
        <w:autoSpaceDE w:val="0"/>
        <w:autoSpaceDN w:val="0"/>
        <w:adjustRightInd w:val="0"/>
        <w:spacing w:line="480" w:lineRule="atLeast"/>
        <w:textAlignment w:val="baseline"/>
        <w:rPr>
          <w:rFonts w:ascii="宋体" w:hAnsi="宋体"/>
          <w:sz w:val="24"/>
          <w:szCs w:val="24"/>
        </w:rPr>
      </w:pPr>
      <w:bookmarkStart w:id="24" w:name="_Toc391884254"/>
      <w:r>
        <w:rPr>
          <w:rFonts w:hint="eastAsia" w:ascii="宋体" w:hAnsi="宋体"/>
          <w:sz w:val="24"/>
          <w:szCs w:val="24"/>
          <w:lang w:eastAsia="zh-CN"/>
        </w:rPr>
        <w:t>鹤溪镇金信丽苑5幢1单元402室</w:t>
      </w:r>
      <w:r>
        <w:rPr>
          <w:rFonts w:ascii="宋体" w:hAnsi="宋体"/>
          <w:sz w:val="24"/>
          <w:szCs w:val="24"/>
        </w:rPr>
        <w:t>房地产权利状况</w:t>
      </w:r>
    </w:p>
    <w:p>
      <w:pPr>
        <w:pStyle w:val="4"/>
        <w:numPr>
          <w:ilvl w:val="0"/>
          <w:numId w:val="0"/>
        </w:numPr>
        <w:overflowPunct w:val="0"/>
        <w:autoSpaceDE w:val="0"/>
        <w:autoSpaceDN w:val="0"/>
        <w:adjustRightInd w:val="0"/>
        <w:spacing w:line="480" w:lineRule="atLeast"/>
        <w:ind w:firstLine="480" w:firstLineChars="200"/>
        <w:textAlignment w:val="baseline"/>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sz w:val="24"/>
          <w:szCs w:val="24"/>
          <w:lang w:eastAsia="zh-CN"/>
        </w:rPr>
        <w:t>）土地权利信息</w:t>
      </w:r>
    </w:p>
    <w:p>
      <w:pPr>
        <w:pStyle w:val="4"/>
        <w:numPr>
          <w:ilvl w:val="0"/>
          <w:numId w:val="0"/>
        </w:numPr>
        <w:overflowPunct w:val="0"/>
        <w:autoSpaceDE w:val="0"/>
        <w:autoSpaceDN w:val="0"/>
        <w:adjustRightInd w:val="0"/>
        <w:spacing w:line="480" w:lineRule="atLeast"/>
        <w:ind w:left="1047" w:leftChars="0"/>
        <w:textAlignment w:val="baseline"/>
        <w:rPr>
          <w:rFonts w:hint="eastAsia" w:ascii="宋体" w:hAnsi="宋体"/>
          <w:sz w:val="24"/>
          <w:szCs w:val="24"/>
          <w:lang w:val="en-US" w:eastAsia="zh-CN"/>
        </w:rPr>
      </w:pPr>
      <w:r>
        <w:rPr>
          <w:rFonts w:hint="eastAsia" w:ascii="宋体" w:hAnsi="宋体"/>
          <w:sz w:val="24"/>
          <w:szCs w:val="24"/>
          <w:lang w:eastAsia="zh-CN"/>
        </w:rPr>
        <w:t>国有土地使用权证号：景国用（</w:t>
      </w:r>
      <w:r>
        <w:rPr>
          <w:rFonts w:hint="eastAsia" w:ascii="宋体" w:hAnsi="宋体"/>
          <w:sz w:val="24"/>
          <w:szCs w:val="24"/>
          <w:lang w:val="en-US" w:eastAsia="zh-CN"/>
        </w:rPr>
        <w:t>2011</w:t>
      </w:r>
      <w:r>
        <w:rPr>
          <w:rFonts w:hint="eastAsia" w:ascii="宋体" w:hAnsi="宋体"/>
          <w:sz w:val="24"/>
          <w:szCs w:val="24"/>
          <w:lang w:eastAsia="zh-CN"/>
        </w:rPr>
        <w:t>）第</w:t>
      </w:r>
      <w:r>
        <w:rPr>
          <w:rFonts w:hint="eastAsia" w:ascii="宋体" w:hAnsi="宋体"/>
          <w:sz w:val="24"/>
          <w:szCs w:val="24"/>
          <w:lang w:val="en-US" w:eastAsia="zh-CN"/>
        </w:rPr>
        <w:t>0550号</w:t>
      </w:r>
    </w:p>
    <w:p>
      <w:pPr>
        <w:pStyle w:val="4"/>
        <w:numPr>
          <w:ilvl w:val="0"/>
          <w:numId w:val="0"/>
        </w:numPr>
        <w:overflowPunct w:val="0"/>
        <w:autoSpaceDE w:val="0"/>
        <w:autoSpaceDN w:val="0"/>
        <w:adjustRightInd w:val="0"/>
        <w:spacing w:line="480" w:lineRule="atLeast"/>
        <w:ind w:left="1047" w:leftChars="0"/>
        <w:textAlignment w:val="baseline"/>
        <w:rPr>
          <w:rFonts w:hint="eastAsia" w:ascii="宋体" w:hAnsi="宋体"/>
          <w:sz w:val="24"/>
          <w:szCs w:val="24"/>
          <w:lang w:val="en-US" w:eastAsia="zh-CN"/>
        </w:rPr>
      </w:pPr>
      <w:r>
        <w:rPr>
          <w:rFonts w:hint="eastAsia" w:ascii="宋体" w:hAnsi="宋体"/>
          <w:sz w:val="24"/>
          <w:szCs w:val="24"/>
          <w:lang w:val="en-US" w:eastAsia="zh-CN"/>
        </w:rPr>
        <w:t>土地使用权人：毛吴勇</w:t>
      </w:r>
    </w:p>
    <w:p>
      <w:pPr>
        <w:pStyle w:val="4"/>
        <w:numPr>
          <w:ilvl w:val="0"/>
          <w:numId w:val="0"/>
        </w:numPr>
        <w:overflowPunct w:val="0"/>
        <w:autoSpaceDE w:val="0"/>
        <w:autoSpaceDN w:val="0"/>
        <w:adjustRightInd w:val="0"/>
        <w:spacing w:line="480" w:lineRule="atLeast"/>
        <w:ind w:left="1047" w:leftChars="0"/>
        <w:textAlignment w:val="baseline"/>
        <w:rPr>
          <w:rFonts w:hint="eastAsia" w:asciiTheme="minorEastAsia" w:hAnsiTheme="minorEastAsia" w:eastAsiaTheme="minorEastAsia"/>
          <w:sz w:val="24"/>
          <w:szCs w:val="24"/>
          <w:lang w:eastAsia="zh-CN"/>
        </w:rPr>
      </w:pPr>
      <w:r>
        <w:rPr>
          <w:rFonts w:hint="eastAsia" w:ascii="宋体" w:hAnsi="宋体"/>
          <w:sz w:val="24"/>
          <w:szCs w:val="24"/>
          <w:lang w:val="en-US" w:eastAsia="zh-CN"/>
        </w:rPr>
        <w:t>坐落：</w:t>
      </w:r>
      <w:r>
        <w:rPr>
          <w:rFonts w:hint="eastAsia" w:asciiTheme="minorEastAsia" w:hAnsiTheme="minorEastAsia" w:eastAsiaTheme="minorEastAsia"/>
          <w:sz w:val="24"/>
          <w:szCs w:val="24"/>
          <w:lang w:eastAsia="zh-CN"/>
        </w:rPr>
        <w:t>鹤溪镇金信丽苑5幢1单元402室</w:t>
      </w:r>
    </w:p>
    <w:p>
      <w:pPr>
        <w:pStyle w:val="4"/>
        <w:numPr>
          <w:ilvl w:val="0"/>
          <w:numId w:val="0"/>
        </w:numPr>
        <w:overflowPunct w:val="0"/>
        <w:autoSpaceDE w:val="0"/>
        <w:autoSpaceDN w:val="0"/>
        <w:adjustRightInd w:val="0"/>
        <w:spacing w:line="480" w:lineRule="atLeast"/>
        <w:ind w:left="1047" w:leftChars="0"/>
        <w:textAlignment w:val="baseline"/>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eastAsia="zh-CN"/>
        </w:rPr>
        <w:t>地号：</w:t>
      </w:r>
      <w:r>
        <w:rPr>
          <w:rFonts w:hint="eastAsia" w:asciiTheme="minorEastAsia" w:hAnsiTheme="minorEastAsia" w:eastAsiaTheme="minorEastAsia"/>
          <w:sz w:val="24"/>
          <w:szCs w:val="24"/>
          <w:lang w:val="en-US" w:eastAsia="zh-CN"/>
        </w:rPr>
        <w:t>0102104-11-1</w:t>
      </w:r>
    </w:p>
    <w:p>
      <w:pPr>
        <w:pStyle w:val="4"/>
        <w:numPr>
          <w:ilvl w:val="0"/>
          <w:numId w:val="0"/>
        </w:numPr>
        <w:overflowPunct w:val="0"/>
        <w:autoSpaceDE w:val="0"/>
        <w:autoSpaceDN w:val="0"/>
        <w:adjustRightInd w:val="0"/>
        <w:spacing w:line="480" w:lineRule="atLeast"/>
        <w:ind w:left="1047" w:leftChars="0"/>
        <w:textAlignment w:val="baseline"/>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地类（用途）：住宅用地</w:t>
      </w:r>
    </w:p>
    <w:p>
      <w:pPr>
        <w:pStyle w:val="4"/>
        <w:numPr>
          <w:ilvl w:val="0"/>
          <w:numId w:val="0"/>
        </w:numPr>
        <w:overflowPunct w:val="0"/>
        <w:autoSpaceDE w:val="0"/>
        <w:autoSpaceDN w:val="0"/>
        <w:adjustRightInd w:val="0"/>
        <w:spacing w:line="480" w:lineRule="atLeast"/>
        <w:ind w:left="1047" w:leftChars="0"/>
        <w:textAlignment w:val="baseline"/>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使用权类型：出让</w:t>
      </w:r>
    </w:p>
    <w:p>
      <w:pPr>
        <w:pStyle w:val="4"/>
        <w:numPr>
          <w:ilvl w:val="0"/>
          <w:numId w:val="0"/>
        </w:numPr>
        <w:overflowPunct w:val="0"/>
        <w:autoSpaceDE w:val="0"/>
        <w:autoSpaceDN w:val="0"/>
        <w:adjustRightInd w:val="0"/>
        <w:spacing w:line="480" w:lineRule="atLeast"/>
        <w:ind w:left="1047" w:leftChars="0"/>
        <w:textAlignment w:val="baseline"/>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终止日期：2072-12-10</w:t>
      </w:r>
    </w:p>
    <w:p>
      <w:pPr>
        <w:pStyle w:val="4"/>
        <w:numPr>
          <w:ilvl w:val="0"/>
          <w:numId w:val="0"/>
        </w:numPr>
        <w:overflowPunct w:val="0"/>
        <w:autoSpaceDE w:val="0"/>
        <w:autoSpaceDN w:val="0"/>
        <w:adjustRightInd w:val="0"/>
        <w:spacing w:line="480" w:lineRule="atLeast"/>
        <w:ind w:left="1047" w:leftChars="0"/>
        <w:textAlignment w:val="baseline"/>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使用权面积：24.38㎡</w:t>
      </w:r>
    </w:p>
    <w:p>
      <w:pPr>
        <w:pStyle w:val="4"/>
        <w:numPr>
          <w:ilvl w:val="0"/>
          <w:numId w:val="0"/>
        </w:numPr>
        <w:overflowPunct w:val="0"/>
        <w:autoSpaceDE w:val="0"/>
        <w:autoSpaceDN w:val="0"/>
        <w:adjustRightInd w:val="0"/>
        <w:spacing w:line="480" w:lineRule="atLeast"/>
        <w:ind w:left="1047" w:leftChars="0"/>
        <w:textAlignment w:val="baseline"/>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分摊面积：24.38㎡</w:t>
      </w:r>
    </w:p>
    <w:p>
      <w:pPr>
        <w:pStyle w:val="4"/>
        <w:overflowPunct w:val="0"/>
        <w:autoSpaceDE w:val="0"/>
        <w:autoSpaceDN w:val="0"/>
        <w:adjustRightInd w:val="0"/>
        <w:spacing w:line="480" w:lineRule="atLeast"/>
        <w:ind w:left="480" w:firstLine="0"/>
        <w:textAlignment w:val="baseline"/>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w:t>
      </w:r>
      <w:r>
        <w:rPr>
          <w:rFonts w:hint="eastAsia" w:ascii="宋体" w:hAnsi="宋体"/>
          <w:sz w:val="24"/>
          <w:szCs w:val="24"/>
          <w:lang w:eastAsia="zh-CN"/>
        </w:rPr>
        <w:t>房屋</w:t>
      </w:r>
      <w:r>
        <w:rPr>
          <w:rFonts w:hint="eastAsia" w:ascii="宋体" w:hAnsi="宋体"/>
          <w:sz w:val="24"/>
          <w:szCs w:val="24"/>
        </w:rPr>
        <w:t>权利信息</w:t>
      </w:r>
    </w:p>
    <w:tbl>
      <w:tblPr>
        <w:tblStyle w:val="12"/>
        <w:tblW w:w="9087" w:type="dxa"/>
        <w:tblInd w:w="0" w:type="dxa"/>
        <w:tblLayout w:type="autofit"/>
        <w:tblCellMar>
          <w:top w:w="0" w:type="dxa"/>
          <w:left w:w="0" w:type="dxa"/>
          <w:bottom w:w="0" w:type="dxa"/>
          <w:right w:w="0" w:type="dxa"/>
        </w:tblCellMar>
      </w:tblPr>
      <w:tblGrid>
        <w:gridCol w:w="2000"/>
        <w:gridCol w:w="1315"/>
        <w:gridCol w:w="5772"/>
      </w:tblGrid>
      <w:tr>
        <w:tblPrEx>
          <w:tblCellMar>
            <w:top w:w="0" w:type="dxa"/>
            <w:left w:w="0" w:type="dxa"/>
            <w:bottom w:w="0" w:type="dxa"/>
            <w:right w:w="0" w:type="dxa"/>
          </w:tblCellMar>
        </w:tblPrEx>
        <w:trPr>
          <w:trHeight w:val="520"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不动产坐落</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szCs w:val="24"/>
              </w:rPr>
            </w:pPr>
            <w:r>
              <w:rPr>
                <w:rFonts w:hint="eastAsia" w:asciiTheme="minorEastAsia" w:hAnsiTheme="minorEastAsia" w:eastAsiaTheme="minorEastAsia"/>
                <w:szCs w:val="24"/>
                <w:lang w:eastAsia="zh-CN"/>
              </w:rPr>
              <w:t>鹤溪镇金信丽苑5幢1单元402室</w:t>
            </w:r>
          </w:p>
        </w:tc>
      </w:tr>
      <w:tr>
        <w:tblPrEx>
          <w:tblCellMar>
            <w:top w:w="0" w:type="dxa"/>
            <w:left w:w="0" w:type="dxa"/>
            <w:bottom w:w="0" w:type="dxa"/>
            <w:right w:w="0" w:type="dxa"/>
          </w:tblCellMar>
        </w:tblPrEx>
        <w:trPr>
          <w:trHeight w:val="383"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用途</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szCs w:val="24"/>
              </w:rPr>
            </w:pPr>
            <w:r>
              <w:rPr>
                <w:rFonts w:hint="eastAsia" w:asciiTheme="minorEastAsia" w:hAnsiTheme="minorEastAsia" w:eastAsiaTheme="minorEastAsia"/>
                <w:szCs w:val="24"/>
              </w:rPr>
              <w:t>住宅用地/住宅</w:t>
            </w:r>
          </w:p>
        </w:tc>
      </w:tr>
      <w:tr>
        <w:tblPrEx>
          <w:tblCellMar>
            <w:top w:w="0" w:type="dxa"/>
            <w:left w:w="0" w:type="dxa"/>
            <w:bottom w:w="0" w:type="dxa"/>
            <w:right w:w="0" w:type="dxa"/>
          </w:tblCellMar>
        </w:tblPrEx>
        <w:trPr>
          <w:trHeight w:val="405"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面积</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szCs w:val="24"/>
                <w:lang w:eastAsia="zh-CN"/>
              </w:rPr>
            </w:pPr>
            <w:r>
              <w:rPr>
                <w:rFonts w:hint="eastAsia" w:asciiTheme="minorEastAsia" w:hAnsiTheme="minorEastAsia" w:eastAsiaTheme="minorEastAsia"/>
                <w:szCs w:val="24"/>
                <w:lang w:val="en-US" w:eastAsia="zh-CN"/>
              </w:rPr>
              <w:t>24.38</w:t>
            </w:r>
            <w:r>
              <w:rPr>
                <w:rFonts w:hint="eastAsia" w:asciiTheme="minorEastAsia" w:hAnsiTheme="minorEastAsia" w:eastAsiaTheme="minorEastAsia"/>
                <w:szCs w:val="24"/>
                <w:lang w:eastAsia="zh-CN"/>
              </w:rPr>
              <w:t>㎡</w:t>
            </w:r>
            <w:r>
              <w:rPr>
                <w:rFonts w:hint="eastAsia" w:asciiTheme="minorEastAsia" w:hAnsiTheme="minorEastAsia" w:eastAsiaTheme="minorEastAsia"/>
                <w:szCs w:val="24"/>
                <w:lang w:val="en-US" w:eastAsia="zh-CN"/>
              </w:rPr>
              <w:t>/</w:t>
            </w:r>
            <w:r>
              <w:rPr>
                <w:rFonts w:hint="eastAsia" w:asciiTheme="minorEastAsia" w:hAnsiTheme="minorEastAsia" w:eastAsiaTheme="minorEastAsia"/>
                <w:szCs w:val="24"/>
                <w:lang w:eastAsia="zh-CN"/>
              </w:rPr>
              <w:t>148.11㎡</w:t>
            </w:r>
          </w:p>
        </w:tc>
      </w:tr>
      <w:tr>
        <w:tblPrEx>
          <w:tblCellMar>
            <w:top w:w="0" w:type="dxa"/>
            <w:left w:w="0" w:type="dxa"/>
            <w:bottom w:w="0" w:type="dxa"/>
            <w:right w:w="0" w:type="dxa"/>
          </w:tblCellMar>
        </w:tblPrEx>
        <w:trPr>
          <w:trHeight w:val="520"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cs="宋体" w:asciiTheme="minorEastAsia" w:hAnsiTheme="minorEastAsia" w:eastAsiaTheme="minorEastAsia"/>
                <w:color w:val="000000"/>
                <w:kern w:val="0"/>
                <w:szCs w:val="24"/>
                <w:lang w:eastAsia="zh-CN" w:bidi="ar"/>
              </w:rPr>
            </w:pPr>
            <w:r>
              <w:rPr>
                <w:rFonts w:hint="eastAsia" w:cs="宋体" w:asciiTheme="minorEastAsia" w:hAnsiTheme="minorEastAsia" w:eastAsiaTheme="minorEastAsia"/>
                <w:color w:val="000000"/>
                <w:kern w:val="0"/>
                <w:szCs w:val="24"/>
                <w:lang w:eastAsia="zh-CN" w:bidi="ar"/>
              </w:rPr>
              <w:t>证号</w:t>
            </w:r>
            <w:r>
              <w:rPr>
                <w:rFonts w:hint="eastAsia" w:cs="宋体" w:asciiTheme="minorEastAsia" w:hAnsiTheme="minorEastAsia" w:eastAsiaTheme="minorEastAsia"/>
                <w:color w:val="000000"/>
                <w:kern w:val="0"/>
                <w:szCs w:val="24"/>
                <w:lang w:bidi="ar"/>
              </w:rPr>
              <w:t>（证明号）</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szCs w:val="24"/>
                <w:lang w:val="en-US" w:eastAsia="zh-CN"/>
              </w:rPr>
            </w:pPr>
            <w:r>
              <w:rPr>
                <w:rFonts w:hint="eastAsia" w:asciiTheme="minorEastAsia" w:hAnsiTheme="minorEastAsia" w:eastAsiaTheme="minorEastAsia"/>
                <w:szCs w:val="24"/>
                <w:lang w:val="en-US" w:eastAsia="zh-CN"/>
              </w:rPr>
              <w:t>景房权证鹤溪字第00023054号</w:t>
            </w:r>
          </w:p>
        </w:tc>
      </w:tr>
      <w:tr>
        <w:tblPrEx>
          <w:tblCellMar>
            <w:top w:w="0" w:type="dxa"/>
            <w:left w:w="0" w:type="dxa"/>
            <w:bottom w:w="0" w:type="dxa"/>
            <w:right w:w="0" w:type="dxa"/>
          </w:tblCellMar>
        </w:tblPrEx>
        <w:trPr>
          <w:trHeight w:val="418"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权利人</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szCs w:val="24"/>
                <w:lang w:eastAsia="zh-CN"/>
              </w:rPr>
            </w:pPr>
            <w:r>
              <w:rPr>
                <w:rFonts w:hint="eastAsia" w:asciiTheme="minorEastAsia" w:hAnsiTheme="minorEastAsia" w:eastAsiaTheme="minorEastAsia"/>
                <w:szCs w:val="24"/>
                <w:lang w:eastAsia="zh-CN"/>
              </w:rPr>
              <w:t>毛吴勇</w:t>
            </w:r>
          </w:p>
        </w:tc>
      </w:tr>
      <w:tr>
        <w:tblPrEx>
          <w:tblCellMar>
            <w:top w:w="0" w:type="dxa"/>
            <w:left w:w="0" w:type="dxa"/>
            <w:bottom w:w="0" w:type="dxa"/>
            <w:right w:w="0" w:type="dxa"/>
          </w:tblCellMar>
        </w:tblPrEx>
        <w:trPr>
          <w:trHeight w:val="520"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24"/>
                <w:szCs w:val="24"/>
                <w:lang w:val="en-US" w:eastAsia="zh-CN" w:bidi="ar"/>
              </w:rPr>
            </w:pPr>
            <w:r>
              <w:rPr>
                <w:rFonts w:hint="eastAsia" w:cs="宋体" w:asciiTheme="minorEastAsia" w:hAnsiTheme="minorEastAsia" w:eastAsiaTheme="minorEastAsia"/>
                <w:color w:val="000000"/>
                <w:kern w:val="0"/>
                <w:szCs w:val="24"/>
                <w:lang w:bidi="ar"/>
              </w:rPr>
              <w:t>权利类型</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lang w:val="en-US" w:eastAsia="zh-CN"/>
              </w:rPr>
              <w:t>出让</w:t>
            </w:r>
          </w:p>
        </w:tc>
      </w:tr>
      <w:tr>
        <w:tblPrEx>
          <w:tblCellMar>
            <w:top w:w="0" w:type="dxa"/>
            <w:left w:w="0" w:type="dxa"/>
            <w:bottom w:w="0" w:type="dxa"/>
            <w:right w:w="0" w:type="dxa"/>
          </w:tblCellMar>
        </w:tblPrEx>
        <w:trPr>
          <w:trHeight w:val="520"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24"/>
                <w:szCs w:val="24"/>
                <w:lang w:val="en-US" w:eastAsia="zh-CN" w:bidi="ar"/>
              </w:rPr>
            </w:pPr>
            <w:r>
              <w:rPr>
                <w:rFonts w:hint="eastAsia" w:cs="宋体" w:asciiTheme="minorEastAsia" w:hAnsiTheme="minorEastAsia" w:eastAsiaTheme="minorEastAsia"/>
                <w:color w:val="000000"/>
                <w:kern w:val="0"/>
                <w:szCs w:val="24"/>
                <w:lang w:bidi="ar"/>
              </w:rPr>
              <w:t>共有情况</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单独所有</w:t>
            </w:r>
          </w:p>
        </w:tc>
      </w:tr>
      <w:tr>
        <w:tblPrEx>
          <w:tblCellMar>
            <w:top w:w="0" w:type="dxa"/>
            <w:left w:w="0" w:type="dxa"/>
            <w:bottom w:w="0" w:type="dxa"/>
            <w:right w:w="0" w:type="dxa"/>
          </w:tblCellMar>
        </w:tblPrEx>
        <w:trPr>
          <w:trHeight w:val="520"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登记日期</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szCs w:val="24"/>
              </w:rPr>
            </w:pPr>
            <w:r>
              <w:rPr>
                <w:rFonts w:hint="eastAsia" w:asciiTheme="minorEastAsia" w:hAnsiTheme="minorEastAsia" w:eastAsiaTheme="minorEastAsia"/>
                <w:szCs w:val="24"/>
              </w:rPr>
              <w:t>20</w:t>
            </w:r>
            <w:r>
              <w:rPr>
                <w:rFonts w:hint="eastAsia" w:asciiTheme="minorEastAsia" w:hAnsiTheme="minorEastAsia" w:eastAsiaTheme="minorEastAsia"/>
                <w:szCs w:val="24"/>
                <w:lang w:val="en-US" w:eastAsia="zh-CN"/>
              </w:rPr>
              <w:t>11</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5</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31</w:t>
            </w:r>
            <w:r>
              <w:rPr>
                <w:rFonts w:hint="eastAsia" w:asciiTheme="minorEastAsia" w:hAnsiTheme="minorEastAsia" w:eastAsiaTheme="minorEastAsia"/>
                <w:szCs w:val="24"/>
              </w:rPr>
              <w:t>日</w:t>
            </w:r>
          </w:p>
        </w:tc>
      </w:tr>
      <w:tr>
        <w:tblPrEx>
          <w:tblCellMar>
            <w:top w:w="0" w:type="dxa"/>
            <w:left w:w="0" w:type="dxa"/>
            <w:bottom w:w="0" w:type="dxa"/>
            <w:right w:w="0" w:type="dxa"/>
          </w:tblCellMar>
        </w:tblPrEx>
        <w:trPr>
          <w:trHeight w:val="520"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24"/>
                <w:szCs w:val="24"/>
                <w:lang w:val="en-US" w:eastAsia="zh-CN" w:bidi="ar"/>
              </w:rPr>
            </w:pPr>
            <w:r>
              <w:rPr>
                <w:rFonts w:hint="eastAsia" w:cs="宋体" w:asciiTheme="minorEastAsia" w:hAnsiTheme="minorEastAsia" w:eastAsiaTheme="minorEastAsia"/>
                <w:color w:val="000000"/>
                <w:kern w:val="0"/>
                <w:szCs w:val="24"/>
                <w:lang w:bidi="ar"/>
              </w:rPr>
              <w:t>权利状态</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现状</w:t>
            </w:r>
          </w:p>
        </w:tc>
      </w:tr>
      <w:tr>
        <w:tblPrEx>
          <w:tblCellMar>
            <w:top w:w="0" w:type="dxa"/>
            <w:left w:w="0" w:type="dxa"/>
            <w:bottom w:w="0" w:type="dxa"/>
            <w:right w:w="0" w:type="dxa"/>
          </w:tblCellMar>
        </w:tblPrEx>
        <w:trPr>
          <w:trHeight w:val="432"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cs="宋体" w:asciiTheme="minorEastAsia" w:hAnsiTheme="minorEastAsia" w:eastAsiaTheme="minorEastAsia"/>
                <w:color w:val="000000"/>
                <w:kern w:val="0"/>
                <w:szCs w:val="24"/>
                <w:lang w:eastAsia="zh-CN" w:bidi="ar"/>
              </w:rPr>
            </w:pPr>
            <w:r>
              <w:rPr>
                <w:rFonts w:hint="eastAsia" w:cs="宋体" w:asciiTheme="minorEastAsia" w:hAnsiTheme="minorEastAsia" w:eastAsiaTheme="minorEastAsia"/>
                <w:color w:val="000000"/>
                <w:kern w:val="0"/>
                <w:szCs w:val="24"/>
                <w:lang w:eastAsia="zh-CN" w:bidi="ar"/>
              </w:rPr>
              <w:t>抵押状况</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Theme="minorEastAsia" w:hAnsiTheme="minorEastAsia" w:eastAsiaTheme="minorEastAsia"/>
                <w:szCs w:val="24"/>
                <w:lang w:eastAsia="zh-CN"/>
              </w:rPr>
            </w:pPr>
            <w:r>
              <w:rPr>
                <w:rFonts w:hint="eastAsia" w:asciiTheme="minorEastAsia" w:hAnsiTheme="minorEastAsia" w:eastAsiaTheme="minorEastAsia"/>
                <w:szCs w:val="24"/>
                <w:lang w:eastAsia="zh-CN"/>
              </w:rPr>
              <w:t>抵押权人：中国工商银行股份有限公司景宁支行</w:t>
            </w:r>
          </w:p>
          <w:p>
            <w:pPr>
              <w:widowControl/>
              <w:jc w:val="left"/>
              <w:textAlignment w:val="center"/>
              <w:rPr>
                <w:rFonts w:hint="eastAsia" w:asciiTheme="minorEastAsia" w:hAnsiTheme="minorEastAsia" w:eastAsiaTheme="minorEastAsia"/>
                <w:szCs w:val="24"/>
                <w:lang w:val="en-US" w:eastAsia="zh-CN"/>
              </w:rPr>
            </w:pPr>
            <w:r>
              <w:rPr>
                <w:rFonts w:hint="eastAsia" w:asciiTheme="minorEastAsia" w:hAnsiTheme="minorEastAsia" w:eastAsiaTheme="minorEastAsia"/>
                <w:szCs w:val="24"/>
                <w:lang w:eastAsia="zh-CN"/>
              </w:rPr>
              <w:t>登记证明号：浙（</w:t>
            </w:r>
            <w:r>
              <w:rPr>
                <w:rFonts w:hint="eastAsia" w:asciiTheme="minorEastAsia" w:hAnsiTheme="minorEastAsia" w:eastAsiaTheme="minorEastAsia"/>
                <w:szCs w:val="24"/>
                <w:lang w:val="en-US" w:eastAsia="zh-CN"/>
              </w:rPr>
              <w:t>2017）景宁县不动产证明第0002416号</w:t>
            </w:r>
          </w:p>
          <w:p>
            <w:pPr>
              <w:widowControl/>
              <w:jc w:val="left"/>
              <w:textAlignment w:val="center"/>
              <w:rPr>
                <w:rFonts w:hint="eastAsia" w:asciiTheme="minorEastAsia" w:hAnsiTheme="minorEastAsia" w:eastAsiaTheme="minorEastAsia"/>
                <w:szCs w:val="24"/>
                <w:lang w:val="en-US" w:eastAsia="zh-CN"/>
              </w:rPr>
            </w:pPr>
            <w:r>
              <w:rPr>
                <w:rFonts w:hint="eastAsia" w:asciiTheme="minorEastAsia" w:hAnsiTheme="minorEastAsia" w:eastAsiaTheme="minorEastAsia"/>
                <w:szCs w:val="24"/>
                <w:lang w:val="en-US" w:eastAsia="zh-CN"/>
              </w:rPr>
              <w:t>抵押方式：最高额抵押</w:t>
            </w:r>
          </w:p>
          <w:p>
            <w:pPr>
              <w:widowControl/>
              <w:jc w:val="left"/>
              <w:textAlignment w:val="center"/>
              <w:rPr>
                <w:rFonts w:hint="eastAsia" w:asciiTheme="minorEastAsia" w:hAnsiTheme="minorEastAsia" w:eastAsiaTheme="minorEastAsia"/>
                <w:szCs w:val="24"/>
                <w:lang w:val="en-US" w:eastAsia="zh-CN"/>
              </w:rPr>
            </w:pPr>
            <w:r>
              <w:rPr>
                <w:rFonts w:hint="eastAsia" w:asciiTheme="minorEastAsia" w:hAnsiTheme="minorEastAsia" w:eastAsiaTheme="minorEastAsia"/>
                <w:szCs w:val="24"/>
                <w:lang w:val="en-US" w:eastAsia="zh-CN"/>
              </w:rPr>
              <w:t>债权数额：69万元</w:t>
            </w:r>
          </w:p>
          <w:p>
            <w:pPr>
              <w:widowControl/>
              <w:jc w:val="left"/>
              <w:textAlignment w:val="center"/>
              <w:rPr>
                <w:rFonts w:hint="default" w:asciiTheme="minorEastAsia" w:hAnsiTheme="minorEastAsia" w:eastAsiaTheme="minorEastAsia"/>
                <w:szCs w:val="24"/>
                <w:lang w:val="en-US" w:eastAsia="zh-CN"/>
              </w:rPr>
            </w:pPr>
            <w:r>
              <w:rPr>
                <w:rFonts w:hint="eastAsia" w:asciiTheme="minorEastAsia" w:hAnsiTheme="minorEastAsia" w:eastAsiaTheme="minorEastAsia"/>
                <w:szCs w:val="24"/>
                <w:lang w:val="en-US" w:eastAsia="zh-CN"/>
              </w:rPr>
              <w:t>附记：债务人：毛吴勇</w:t>
            </w:r>
          </w:p>
        </w:tc>
      </w:tr>
      <w:tr>
        <w:tblPrEx>
          <w:tblCellMar>
            <w:top w:w="0" w:type="dxa"/>
            <w:left w:w="0" w:type="dxa"/>
            <w:bottom w:w="0" w:type="dxa"/>
            <w:right w:w="0" w:type="dxa"/>
          </w:tblCellMar>
        </w:tblPrEx>
        <w:trPr>
          <w:trHeight w:val="520" w:hRule="atLeast"/>
        </w:trPr>
        <w:tc>
          <w:tcPr>
            <w:tcW w:w="2000" w:type="dxa"/>
            <w:vMerge w:val="restart"/>
            <w:tcBorders>
              <w:left w:val="single" w:color="000000" w:sz="4" w:space="0"/>
              <w:right w:val="single" w:color="000000" w:sz="4" w:space="0"/>
            </w:tcBorders>
            <w:shd w:val="clear" w:color="auto" w:fill="auto"/>
            <w:noWrap/>
            <w:tcMar>
              <w:top w:w="15" w:type="dxa"/>
              <w:left w:w="15" w:type="dxa"/>
              <w:right w:w="15" w:type="dxa"/>
            </w:tcMar>
            <w:vAlign w:val="center"/>
          </w:tcPr>
          <w:p>
            <w:pPr>
              <w:widowControl/>
              <w:ind w:firstLine="480" w:firstLineChars="200"/>
              <w:textAlignment w:val="center"/>
              <w:rPr>
                <w:rFonts w:hint="eastAsia" w:cs="宋体" w:asciiTheme="minorEastAsia" w:hAnsiTheme="minorEastAsia" w:eastAsiaTheme="minorEastAsia"/>
                <w:color w:val="000000"/>
                <w:kern w:val="0"/>
                <w:szCs w:val="24"/>
                <w:lang w:eastAsia="zh-CN" w:bidi="ar"/>
              </w:rPr>
            </w:pPr>
            <w:r>
              <w:rPr>
                <w:rFonts w:hint="eastAsia" w:cs="宋体" w:asciiTheme="minorEastAsia" w:hAnsiTheme="minorEastAsia" w:eastAsiaTheme="minorEastAsia"/>
                <w:color w:val="000000"/>
                <w:kern w:val="0"/>
                <w:szCs w:val="24"/>
                <w:lang w:eastAsia="zh-CN" w:bidi="ar"/>
              </w:rPr>
              <w:t>查封状况</w:t>
            </w: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查封文号</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（20</w:t>
            </w:r>
            <w:r>
              <w:rPr>
                <w:rFonts w:hint="eastAsia" w:asciiTheme="minorEastAsia" w:hAnsiTheme="minorEastAsia" w:eastAsiaTheme="minorEastAsia"/>
                <w:szCs w:val="24"/>
                <w:lang w:val="en-US" w:eastAsia="zh-CN"/>
              </w:rPr>
              <w:t>18</w:t>
            </w:r>
            <w:r>
              <w:rPr>
                <w:rFonts w:hint="eastAsia" w:asciiTheme="minorEastAsia" w:hAnsiTheme="minorEastAsia" w:eastAsiaTheme="minorEastAsia"/>
                <w:szCs w:val="24"/>
              </w:rPr>
              <w:t>）浙11</w:t>
            </w:r>
            <w:r>
              <w:rPr>
                <w:rFonts w:hint="eastAsia" w:asciiTheme="minorEastAsia" w:hAnsiTheme="minorEastAsia" w:eastAsiaTheme="minorEastAsia"/>
                <w:szCs w:val="24"/>
                <w:lang w:val="en-US" w:eastAsia="zh-CN"/>
              </w:rPr>
              <w:t>27</w:t>
            </w:r>
            <w:r>
              <w:rPr>
                <w:rFonts w:hint="eastAsia" w:asciiTheme="minorEastAsia" w:hAnsiTheme="minorEastAsia" w:eastAsiaTheme="minorEastAsia"/>
                <w:szCs w:val="24"/>
              </w:rPr>
              <w:t>执1</w:t>
            </w:r>
            <w:r>
              <w:rPr>
                <w:rFonts w:hint="eastAsia" w:asciiTheme="minorEastAsia" w:hAnsiTheme="minorEastAsia" w:eastAsiaTheme="minorEastAsia"/>
                <w:szCs w:val="24"/>
                <w:lang w:val="en-US" w:eastAsia="zh-CN"/>
              </w:rPr>
              <w:t>275</w:t>
            </w:r>
            <w:r>
              <w:rPr>
                <w:rFonts w:hint="eastAsia" w:asciiTheme="minorEastAsia" w:hAnsiTheme="minorEastAsia" w:eastAsiaTheme="minorEastAsia"/>
                <w:szCs w:val="24"/>
              </w:rPr>
              <w:t>号</w:t>
            </w:r>
          </w:p>
        </w:tc>
      </w:tr>
      <w:tr>
        <w:tblPrEx>
          <w:tblCellMar>
            <w:top w:w="0" w:type="dxa"/>
            <w:left w:w="0" w:type="dxa"/>
            <w:bottom w:w="0" w:type="dxa"/>
            <w:right w:w="0" w:type="dxa"/>
          </w:tblCellMar>
        </w:tblPrEx>
        <w:trPr>
          <w:trHeight w:val="520" w:hRule="atLeast"/>
        </w:trPr>
        <w:tc>
          <w:tcPr>
            <w:tcW w:w="200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查封机关</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lang w:eastAsia="zh-CN"/>
              </w:rPr>
              <w:t>景宁畲族自治县人民法院</w:t>
            </w:r>
          </w:p>
        </w:tc>
      </w:tr>
      <w:tr>
        <w:tblPrEx>
          <w:tblCellMar>
            <w:top w:w="0" w:type="dxa"/>
            <w:left w:w="0" w:type="dxa"/>
            <w:bottom w:w="0" w:type="dxa"/>
            <w:right w:w="0" w:type="dxa"/>
          </w:tblCellMar>
        </w:tblPrEx>
        <w:trPr>
          <w:trHeight w:val="520" w:hRule="atLeast"/>
        </w:trPr>
        <w:tc>
          <w:tcPr>
            <w:tcW w:w="200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查封期限</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20</w:t>
            </w:r>
            <w:r>
              <w:rPr>
                <w:rFonts w:hint="eastAsia" w:asciiTheme="minorEastAsia" w:hAnsiTheme="minorEastAsia" w:eastAsiaTheme="minorEastAsia"/>
                <w:szCs w:val="24"/>
                <w:lang w:val="en-US" w:eastAsia="zh-CN"/>
              </w:rPr>
              <w:t>18</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11</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12</w:t>
            </w:r>
            <w:r>
              <w:rPr>
                <w:rFonts w:hint="eastAsia" w:asciiTheme="minorEastAsia" w:hAnsiTheme="minorEastAsia" w:eastAsiaTheme="minorEastAsia"/>
                <w:szCs w:val="24"/>
              </w:rPr>
              <w:t>日起20</w:t>
            </w:r>
            <w:r>
              <w:rPr>
                <w:rFonts w:hint="eastAsia" w:asciiTheme="minorEastAsia" w:hAnsiTheme="minorEastAsia" w:eastAsiaTheme="minorEastAsia"/>
                <w:szCs w:val="24"/>
                <w:lang w:val="en-US" w:eastAsia="zh-CN"/>
              </w:rPr>
              <w:t>21</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11</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11</w:t>
            </w:r>
            <w:r>
              <w:rPr>
                <w:rFonts w:hint="eastAsia" w:asciiTheme="minorEastAsia" w:hAnsiTheme="minorEastAsia" w:eastAsiaTheme="minorEastAsia"/>
                <w:szCs w:val="24"/>
              </w:rPr>
              <w:t>日止</w:t>
            </w:r>
          </w:p>
        </w:tc>
      </w:tr>
      <w:tr>
        <w:tblPrEx>
          <w:tblCellMar>
            <w:top w:w="0" w:type="dxa"/>
            <w:left w:w="0" w:type="dxa"/>
            <w:bottom w:w="0" w:type="dxa"/>
            <w:right w:w="0" w:type="dxa"/>
          </w:tblCellMar>
        </w:tblPrEx>
        <w:trPr>
          <w:trHeight w:val="520" w:hRule="atLeast"/>
        </w:trPr>
        <w:tc>
          <w:tcPr>
            <w:tcW w:w="2000" w:type="dxa"/>
            <w:vMerge w:val="restart"/>
            <w:tcBorders>
              <w:left w:val="single" w:color="000000" w:sz="4" w:space="0"/>
              <w:right w:val="single" w:color="000000" w:sz="4" w:space="0"/>
            </w:tcBorders>
            <w:shd w:val="clear" w:color="auto" w:fill="auto"/>
            <w:noWrap/>
            <w:tcMar>
              <w:top w:w="15" w:type="dxa"/>
              <w:left w:w="15" w:type="dxa"/>
              <w:right w:w="15" w:type="dxa"/>
            </w:tcMar>
            <w:vAlign w:val="center"/>
          </w:tcPr>
          <w:p>
            <w:pPr>
              <w:widowControl/>
              <w:ind w:firstLine="480" w:firstLineChars="200"/>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eastAsia="zh-CN" w:bidi="ar"/>
              </w:rPr>
              <w:t>查封状况</w:t>
            </w: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查封文号</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（20</w:t>
            </w:r>
            <w:r>
              <w:rPr>
                <w:rFonts w:hint="eastAsia" w:asciiTheme="minorEastAsia" w:hAnsiTheme="minorEastAsia" w:eastAsiaTheme="minorEastAsia"/>
                <w:szCs w:val="24"/>
                <w:lang w:val="en-US" w:eastAsia="zh-CN"/>
              </w:rPr>
              <w:t>19</w:t>
            </w:r>
            <w:r>
              <w:rPr>
                <w:rFonts w:hint="eastAsia" w:asciiTheme="minorEastAsia" w:hAnsiTheme="minorEastAsia" w:eastAsiaTheme="minorEastAsia"/>
                <w:szCs w:val="24"/>
              </w:rPr>
              <w:t>）浙11</w:t>
            </w:r>
            <w:r>
              <w:rPr>
                <w:rFonts w:hint="eastAsia" w:asciiTheme="minorEastAsia" w:hAnsiTheme="minorEastAsia" w:eastAsiaTheme="minorEastAsia"/>
                <w:szCs w:val="24"/>
                <w:lang w:val="en-US" w:eastAsia="zh-CN"/>
              </w:rPr>
              <w:t>02</w:t>
            </w:r>
            <w:r>
              <w:rPr>
                <w:rFonts w:hint="eastAsia" w:asciiTheme="minorEastAsia" w:hAnsiTheme="minorEastAsia" w:eastAsiaTheme="minorEastAsia"/>
                <w:szCs w:val="24"/>
              </w:rPr>
              <w:t>执</w:t>
            </w:r>
            <w:r>
              <w:rPr>
                <w:rFonts w:hint="eastAsia" w:asciiTheme="minorEastAsia" w:hAnsiTheme="minorEastAsia" w:eastAsiaTheme="minorEastAsia"/>
                <w:szCs w:val="24"/>
                <w:lang w:val="en-US" w:eastAsia="zh-CN"/>
              </w:rPr>
              <w:t>798</w:t>
            </w:r>
            <w:r>
              <w:rPr>
                <w:rFonts w:hint="eastAsia" w:asciiTheme="minorEastAsia" w:hAnsiTheme="minorEastAsia" w:eastAsiaTheme="minorEastAsia"/>
                <w:szCs w:val="24"/>
              </w:rPr>
              <w:t>号</w:t>
            </w:r>
          </w:p>
        </w:tc>
      </w:tr>
      <w:tr>
        <w:tblPrEx>
          <w:tblCellMar>
            <w:top w:w="0" w:type="dxa"/>
            <w:left w:w="0" w:type="dxa"/>
            <w:bottom w:w="0" w:type="dxa"/>
            <w:right w:w="0" w:type="dxa"/>
          </w:tblCellMar>
        </w:tblPrEx>
        <w:trPr>
          <w:trHeight w:val="520" w:hRule="atLeast"/>
        </w:trPr>
        <w:tc>
          <w:tcPr>
            <w:tcW w:w="200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查封机关</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lang w:eastAsia="zh-CN"/>
              </w:rPr>
              <w:t>丽水市莲都区人民法院</w:t>
            </w:r>
          </w:p>
        </w:tc>
      </w:tr>
      <w:tr>
        <w:tblPrEx>
          <w:tblCellMar>
            <w:top w:w="0" w:type="dxa"/>
            <w:left w:w="0" w:type="dxa"/>
            <w:bottom w:w="0" w:type="dxa"/>
            <w:right w:w="0" w:type="dxa"/>
          </w:tblCellMar>
        </w:tblPrEx>
        <w:trPr>
          <w:trHeight w:val="520" w:hRule="atLeast"/>
        </w:trPr>
        <w:tc>
          <w:tcPr>
            <w:tcW w:w="200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查封期限</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20</w:t>
            </w:r>
            <w:r>
              <w:rPr>
                <w:rFonts w:hint="eastAsia" w:asciiTheme="minorEastAsia" w:hAnsiTheme="minorEastAsia" w:eastAsiaTheme="minorEastAsia"/>
                <w:szCs w:val="24"/>
                <w:lang w:val="en-US" w:eastAsia="zh-CN"/>
              </w:rPr>
              <w:t>19</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05</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28</w:t>
            </w:r>
            <w:r>
              <w:rPr>
                <w:rFonts w:hint="eastAsia" w:asciiTheme="minorEastAsia" w:hAnsiTheme="minorEastAsia" w:eastAsiaTheme="minorEastAsia"/>
                <w:szCs w:val="24"/>
              </w:rPr>
              <w:t>日起20</w:t>
            </w:r>
            <w:r>
              <w:rPr>
                <w:rFonts w:hint="eastAsia" w:asciiTheme="minorEastAsia" w:hAnsiTheme="minorEastAsia" w:eastAsiaTheme="minorEastAsia"/>
                <w:szCs w:val="24"/>
                <w:lang w:val="en-US" w:eastAsia="zh-CN"/>
              </w:rPr>
              <w:t>22</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05</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27</w:t>
            </w:r>
            <w:r>
              <w:rPr>
                <w:rFonts w:hint="eastAsia" w:asciiTheme="minorEastAsia" w:hAnsiTheme="minorEastAsia" w:eastAsiaTheme="minorEastAsia"/>
                <w:szCs w:val="24"/>
              </w:rPr>
              <w:t>日止</w:t>
            </w:r>
          </w:p>
        </w:tc>
      </w:tr>
      <w:tr>
        <w:tblPrEx>
          <w:tblCellMar>
            <w:top w:w="0" w:type="dxa"/>
            <w:left w:w="0" w:type="dxa"/>
            <w:bottom w:w="0" w:type="dxa"/>
            <w:right w:w="0" w:type="dxa"/>
          </w:tblCellMar>
        </w:tblPrEx>
        <w:trPr>
          <w:trHeight w:val="520" w:hRule="atLeast"/>
        </w:trPr>
        <w:tc>
          <w:tcPr>
            <w:tcW w:w="2000" w:type="dxa"/>
            <w:vMerge w:val="restart"/>
            <w:tcBorders>
              <w:left w:val="single" w:color="000000" w:sz="4" w:space="0"/>
              <w:right w:val="single" w:color="000000" w:sz="4" w:space="0"/>
            </w:tcBorders>
            <w:shd w:val="clear" w:color="auto" w:fill="auto"/>
            <w:noWrap/>
            <w:tcMar>
              <w:top w:w="15" w:type="dxa"/>
              <w:left w:w="15" w:type="dxa"/>
              <w:right w:w="15" w:type="dxa"/>
            </w:tcMar>
            <w:vAlign w:val="center"/>
          </w:tcPr>
          <w:p>
            <w:pPr>
              <w:widowControl/>
              <w:ind w:firstLine="480" w:firstLineChars="200"/>
              <w:textAlignment w:val="center"/>
              <w:rPr>
                <w:rFonts w:cs="宋体" w:asciiTheme="minorEastAsia" w:hAnsiTheme="minorEastAsia" w:eastAsiaTheme="minorEastAsia"/>
                <w:color w:val="000000"/>
                <w:kern w:val="0"/>
                <w:sz w:val="24"/>
                <w:szCs w:val="24"/>
                <w:lang w:val="en-US" w:eastAsia="zh-CN" w:bidi="ar"/>
              </w:rPr>
            </w:pPr>
            <w:r>
              <w:rPr>
                <w:rFonts w:hint="eastAsia" w:cs="宋体" w:asciiTheme="minorEastAsia" w:hAnsiTheme="minorEastAsia" w:eastAsiaTheme="minorEastAsia"/>
                <w:color w:val="000000"/>
                <w:kern w:val="0"/>
                <w:szCs w:val="24"/>
                <w:lang w:eastAsia="zh-CN" w:bidi="ar"/>
              </w:rPr>
              <w:t>查封状况</w:t>
            </w:r>
          </w:p>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查封文号</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lang w:eastAsia="zh-CN"/>
              </w:rPr>
              <w:t>景公</w:t>
            </w:r>
            <w:r>
              <w:rPr>
                <w:rFonts w:hint="eastAsia" w:asciiTheme="minorEastAsia" w:hAnsiTheme="minorEastAsia" w:eastAsiaTheme="minorEastAsia"/>
                <w:szCs w:val="24"/>
              </w:rPr>
              <w:t>（</w:t>
            </w:r>
            <w:r>
              <w:rPr>
                <w:rFonts w:hint="eastAsia" w:asciiTheme="minorEastAsia" w:hAnsiTheme="minorEastAsia" w:eastAsiaTheme="minorEastAsia"/>
                <w:szCs w:val="24"/>
                <w:lang w:eastAsia="zh-CN"/>
              </w:rPr>
              <w:t>经</w:t>
            </w:r>
            <w:r>
              <w:rPr>
                <w:rFonts w:hint="eastAsia" w:asciiTheme="minorEastAsia" w:hAnsiTheme="minorEastAsia" w:eastAsiaTheme="minorEastAsia"/>
                <w:szCs w:val="24"/>
              </w:rPr>
              <w:t>）</w:t>
            </w:r>
            <w:r>
              <w:rPr>
                <w:rFonts w:hint="eastAsia" w:asciiTheme="minorEastAsia" w:hAnsiTheme="minorEastAsia" w:eastAsiaTheme="minorEastAsia"/>
                <w:szCs w:val="24"/>
                <w:lang w:eastAsia="zh-CN"/>
              </w:rPr>
              <w:t>封通字【</w:t>
            </w:r>
            <w:r>
              <w:rPr>
                <w:rFonts w:hint="eastAsia" w:asciiTheme="minorEastAsia" w:hAnsiTheme="minorEastAsia" w:eastAsiaTheme="minorEastAsia"/>
                <w:szCs w:val="24"/>
                <w:lang w:val="en-US" w:eastAsia="zh-CN"/>
              </w:rPr>
              <w:t>2020</w:t>
            </w:r>
            <w:r>
              <w:rPr>
                <w:rFonts w:hint="eastAsia" w:asciiTheme="minorEastAsia" w:hAnsiTheme="minorEastAsia" w:eastAsiaTheme="minorEastAsia"/>
                <w:szCs w:val="24"/>
                <w:lang w:eastAsia="zh-CN"/>
              </w:rPr>
              <w:t>】</w:t>
            </w:r>
            <w:r>
              <w:rPr>
                <w:rFonts w:hint="eastAsia" w:asciiTheme="minorEastAsia" w:hAnsiTheme="minorEastAsia" w:eastAsiaTheme="minorEastAsia"/>
                <w:szCs w:val="24"/>
                <w:lang w:val="en-US" w:eastAsia="zh-CN"/>
              </w:rPr>
              <w:t>00007</w:t>
            </w:r>
            <w:r>
              <w:rPr>
                <w:rFonts w:hint="eastAsia" w:asciiTheme="minorEastAsia" w:hAnsiTheme="minorEastAsia" w:eastAsiaTheme="minorEastAsia"/>
                <w:szCs w:val="24"/>
              </w:rPr>
              <w:t>号</w:t>
            </w:r>
          </w:p>
        </w:tc>
      </w:tr>
      <w:tr>
        <w:tblPrEx>
          <w:tblCellMar>
            <w:top w:w="0" w:type="dxa"/>
            <w:left w:w="0" w:type="dxa"/>
            <w:bottom w:w="0" w:type="dxa"/>
            <w:right w:w="0" w:type="dxa"/>
          </w:tblCellMar>
        </w:tblPrEx>
        <w:trPr>
          <w:trHeight w:val="520" w:hRule="atLeast"/>
        </w:trPr>
        <w:tc>
          <w:tcPr>
            <w:tcW w:w="200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查封机关</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lang w:eastAsia="zh-CN"/>
              </w:rPr>
              <w:t>景宁畲族自治县公安局</w:t>
            </w:r>
          </w:p>
        </w:tc>
      </w:tr>
      <w:tr>
        <w:tblPrEx>
          <w:tblCellMar>
            <w:top w:w="0" w:type="dxa"/>
            <w:left w:w="0" w:type="dxa"/>
            <w:bottom w:w="0" w:type="dxa"/>
            <w:right w:w="0" w:type="dxa"/>
          </w:tblCellMar>
        </w:tblPrEx>
        <w:trPr>
          <w:trHeight w:val="520" w:hRule="atLeast"/>
        </w:trPr>
        <w:tc>
          <w:tcPr>
            <w:tcW w:w="200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查封期限</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20</w:t>
            </w:r>
            <w:r>
              <w:rPr>
                <w:rFonts w:hint="eastAsia" w:asciiTheme="minorEastAsia" w:hAnsiTheme="minorEastAsia" w:eastAsiaTheme="minorEastAsia"/>
                <w:szCs w:val="24"/>
                <w:lang w:val="en-US" w:eastAsia="zh-CN"/>
              </w:rPr>
              <w:t>20</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07</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08</w:t>
            </w:r>
            <w:r>
              <w:rPr>
                <w:rFonts w:hint="eastAsia" w:asciiTheme="minorEastAsia" w:hAnsiTheme="minorEastAsia" w:eastAsiaTheme="minorEastAsia"/>
                <w:szCs w:val="24"/>
              </w:rPr>
              <w:t>日起20</w:t>
            </w:r>
            <w:r>
              <w:rPr>
                <w:rFonts w:hint="eastAsia" w:asciiTheme="minorEastAsia" w:hAnsiTheme="minorEastAsia" w:eastAsiaTheme="minorEastAsia"/>
                <w:szCs w:val="24"/>
                <w:lang w:val="en-US" w:eastAsia="zh-CN"/>
              </w:rPr>
              <w:t>22</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07</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07</w:t>
            </w:r>
            <w:r>
              <w:rPr>
                <w:rFonts w:hint="eastAsia" w:asciiTheme="minorEastAsia" w:hAnsiTheme="minorEastAsia" w:eastAsiaTheme="minorEastAsia"/>
                <w:szCs w:val="24"/>
              </w:rPr>
              <w:t>日止</w:t>
            </w:r>
          </w:p>
        </w:tc>
      </w:tr>
      <w:tr>
        <w:tblPrEx>
          <w:tblCellMar>
            <w:top w:w="0" w:type="dxa"/>
            <w:left w:w="0" w:type="dxa"/>
            <w:bottom w:w="0" w:type="dxa"/>
            <w:right w:w="0" w:type="dxa"/>
          </w:tblCellMar>
        </w:tblPrEx>
        <w:trPr>
          <w:trHeight w:val="520" w:hRule="atLeast"/>
        </w:trPr>
        <w:tc>
          <w:tcPr>
            <w:tcW w:w="2000" w:type="dxa"/>
            <w:vMerge w:val="restart"/>
            <w:tcBorders>
              <w:left w:val="single" w:color="000000" w:sz="4" w:space="0"/>
              <w:right w:val="single" w:color="000000" w:sz="4" w:space="0"/>
            </w:tcBorders>
            <w:shd w:val="clear" w:color="auto" w:fill="auto"/>
            <w:noWrap/>
            <w:tcMar>
              <w:top w:w="15" w:type="dxa"/>
              <w:left w:w="15" w:type="dxa"/>
              <w:right w:w="15" w:type="dxa"/>
            </w:tcMar>
            <w:vAlign w:val="center"/>
          </w:tcPr>
          <w:p>
            <w:pPr>
              <w:widowControl/>
              <w:ind w:firstLine="480" w:firstLineChars="200"/>
              <w:textAlignment w:val="center"/>
              <w:rPr>
                <w:rFonts w:cs="宋体" w:asciiTheme="minorEastAsia" w:hAnsiTheme="minorEastAsia" w:eastAsiaTheme="minorEastAsia"/>
                <w:color w:val="000000"/>
                <w:kern w:val="0"/>
                <w:sz w:val="24"/>
                <w:szCs w:val="24"/>
                <w:lang w:val="en-US" w:eastAsia="zh-CN" w:bidi="ar"/>
              </w:rPr>
            </w:pPr>
            <w:r>
              <w:rPr>
                <w:rFonts w:hint="eastAsia" w:cs="宋体" w:asciiTheme="minorEastAsia" w:hAnsiTheme="minorEastAsia" w:eastAsiaTheme="minorEastAsia"/>
                <w:color w:val="000000"/>
                <w:kern w:val="0"/>
                <w:szCs w:val="24"/>
                <w:lang w:eastAsia="zh-CN" w:bidi="ar"/>
              </w:rPr>
              <w:t>查封状况</w:t>
            </w:r>
          </w:p>
          <w:p>
            <w:pPr>
              <w:widowControl/>
              <w:textAlignment w:val="center"/>
              <w:rPr>
                <w:rFonts w:cs="宋体" w:asciiTheme="minorEastAsia" w:hAnsiTheme="minorEastAsia" w:eastAsiaTheme="minorEastAsia"/>
                <w:color w:val="000000"/>
                <w:kern w:val="0"/>
                <w:sz w:val="24"/>
                <w:szCs w:val="24"/>
                <w:lang w:val="en-US" w:eastAsia="zh-CN" w:bidi="ar"/>
              </w:rPr>
            </w:pPr>
          </w:p>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查封文号</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（20</w:t>
            </w:r>
            <w:r>
              <w:rPr>
                <w:rFonts w:hint="eastAsia" w:asciiTheme="minorEastAsia" w:hAnsiTheme="minorEastAsia" w:eastAsiaTheme="minorEastAsia"/>
                <w:szCs w:val="24"/>
                <w:lang w:val="en-US" w:eastAsia="zh-CN"/>
              </w:rPr>
              <w:t>21</w:t>
            </w:r>
            <w:r>
              <w:rPr>
                <w:rFonts w:hint="eastAsia" w:asciiTheme="minorEastAsia" w:hAnsiTheme="minorEastAsia" w:eastAsiaTheme="minorEastAsia"/>
                <w:szCs w:val="24"/>
              </w:rPr>
              <w:t>）浙</w:t>
            </w:r>
            <w:r>
              <w:rPr>
                <w:rFonts w:hint="eastAsia" w:asciiTheme="minorEastAsia" w:hAnsiTheme="minorEastAsia" w:eastAsiaTheme="minorEastAsia"/>
                <w:szCs w:val="24"/>
                <w:lang w:val="en-US" w:eastAsia="zh-CN"/>
              </w:rPr>
              <w:t>0102</w:t>
            </w:r>
            <w:r>
              <w:rPr>
                <w:rFonts w:hint="eastAsia" w:asciiTheme="minorEastAsia" w:hAnsiTheme="minorEastAsia" w:eastAsiaTheme="minorEastAsia"/>
                <w:szCs w:val="24"/>
              </w:rPr>
              <w:t>执</w:t>
            </w:r>
            <w:r>
              <w:rPr>
                <w:rFonts w:hint="eastAsia" w:asciiTheme="minorEastAsia" w:hAnsiTheme="minorEastAsia" w:eastAsiaTheme="minorEastAsia"/>
                <w:szCs w:val="24"/>
                <w:lang w:val="en-US" w:eastAsia="zh-CN"/>
              </w:rPr>
              <w:t>5260</w:t>
            </w:r>
            <w:r>
              <w:rPr>
                <w:rFonts w:hint="eastAsia" w:asciiTheme="minorEastAsia" w:hAnsiTheme="minorEastAsia" w:eastAsiaTheme="minorEastAsia"/>
                <w:szCs w:val="24"/>
              </w:rPr>
              <w:t>号</w:t>
            </w:r>
          </w:p>
        </w:tc>
      </w:tr>
      <w:tr>
        <w:tblPrEx>
          <w:tblCellMar>
            <w:top w:w="0" w:type="dxa"/>
            <w:left w:w="0" w:type="dxa"/>
            <w:bottom w:w="0" w:type="dxa"/>
            <w:right w:w="0" w:type="dxa"/>
          </w:tblCellMar>
        </w:tblPrEx>
        <w:trPr>
          <w:trHeight w:val="520" w:hRule="atLeast"/>
        </w:trPr>
        <w:tc>
          <w:tcPr>
            <w:tcW w:w="200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查封机关</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lang w:eastAsia="zh-CN"/>
              </w:rPr>
              <w:t>杭州市上城区人民法院</w:t>
            </w:r>
          </w:p>
        </w:tc>
      </w:tr>
      <w:tr>
        <w:tblPrEx>
          <w:tblCellMar>
            <w:top w:w="0" w:type="dxa"/>
            <w:left w:w="0" w:type="dxa"/>
            <w:bottom w:w="0" w:type="dxa"/>
            <w:right w:w="0" w:type="dxa"/>
          </w:tblCellMar>
        </w:tblPrEx>
        <w:trPr>
          <w:trHeight w:val="520" w:hRule="atLeast"/>
        </w:trPr>
        <w:tc>
          <w:tcPr>
            <w:tcW w:w="200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查封期限</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20</w:t>
            </w:r>
            <w:r>
              <w:rPr>
                <w:rFonts w:hint="eastAsia" w:asciiTheme="minorEastAsia" w:hAnsiTheme="minorEastAsia" w:eastAsiaTheme="minorEastAsia"/>
                <w:szCs w:val="24"/>
                <w:lang w:val="en-US" w:eastAsia="zh-CN"/>
              </w:rPr>
              <w:t>21</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12</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15</w:t>
            </w:r>
            <w:r>
              <w:rPr>
                <w:rFonts w:hint="eastAsia" w:asciiTheme="minorEastAsia" w:hAnsiTheme="minorEastAsia" w:eastAsiaTheme="minorEastAsia"/>
                <w:szCs w:val="24"/>
              </w:rPr>
              <w:t>日起20</w:t>
            </w:r>
            <w:r>
              <w:rPr>
                <w:rFonts w:hint="eastAsia" w:asciiTheme="minorEastAsia" w:hAnsiTheme="minorEastAsia" w:eastAsiaTheme="minorEastAsia"/>
                <w:szCs w:val="24"/>
                <w:lang w:val="en-US" w:eastAsia="zh-CN"/>
              </w:rPr>
              <w:t>24</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12</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14</w:t>
            </w:r>
            <w:r>
              <w:rPr>
                <w:rFonts w:hint="eastAsia" w:asciiTheme="minorEastAsia" w:hAnsiTheme="minorEastAsia" w:eastAsiaTheme="minorEastAsia"/>
                <w:szCs w:val="24"/>
              </w:rPr>
              <w:t>日止</w:t>
            </w:r>
          </w:p>
        </w:tc>
      </w:tr>
    </w:tbl>
    <w:p>
      <w:pPr>
        <w:spacing w:line="360" w:lineRule="auto"/>
        <w:ind w:firstLine="480" w:firstLineChars="200"/>
        <w:rPr>
          <w:rFonts w:hint="eastAsia" w:asciiTheme="minorEastAsia" w:hAnsiTheme="minorEastAsia" w:eastAsiaTheme="minorEastAsia" w:cstheme="minorEastAsia"/>
          <w:bCs/>
          <w:sz w:val="24"/>
          <w:szCs w:val="24"/>
          <w:lang w:eastAsia="zh-CN"/>
        </w:rPr>
      </w:pPr>
      <w:r>
        <w:rPr>
          <w:rFonts w:hint="eastAsia" w:ascii="宋体" w:hAnsi="宋体"/>
          <w:bCs/>
          <w:szCs w:val="24"/>
        </w:rPr>
        <w:t>（2）</w:t>
      </w:r>
      <w:r>
        <w:rPr>
          <w:rFonts w:hint="eastAsia" w:asciiTheme="minorEastAsia" w:hAnsiTheme="minorEastAsia" w:eastAsiaTheme="minorEastAsia" w:cstheme="minorEastAsia"/>
          <w:szCs w:val="24"/>
        </w:rPr>
        <w:t>据估价人员调查了解，</w:t>
      </w:r>
      <w:r>
        <w:rPr>
          <w:rFonts w:hint="eastAsia" w:asciiTheme="minorEastAsia" w:hAnsiTheme="minorEastAsia" w:eastAsiaTheme="minorEastAsia" w:cstheme="minorEastAsia"/>
          <w:bCs/>
          <w:sz w:val="24"/>
          <w:szCs w:val="24"/>
        </w:rPr>
        <w:t>估价对象</w:t>
      </w:r>
      <w:r>
        <w:rPr>
          <w:rFonts w:hint="eastAsia" w:asciiTheme="minorEastAsia" w:hAnsiTheme="minorEastAsia" w:eastAsiaTheme="minorEastAsia" w:cstheme="minorEastAsia"/>
          <w:bCs/>
          <w:sz w:val="24"/>
          <w:szCs w:val="24"/>
          <w:lang w:eastAsia="zh-CN"/>
        </w:rPr>
        <w:t>有</w:t>
      </w:r>
      <w:r>
        <w:rPr>
          <w:rFonts w:hint="eastAsia" w:asciiTheme="minorEastAsia" w:hAnsiTheme="minorEastAsia" w:eastAsiaTheme="minorEastAsia" w:cstheme="minorEastAsia"/>
          <w:bCs/>
          <w:sz w:val="24"/>
          <w:szCs w:val="24"/>
        </w:rPr>
        <w:t>抵押，已查封。本次估价是为确定涉案房地产拟处置房地产，根据本次估价目的，通过司法处置后估价对象可达到正常权益状态，故本次评估不考虑抵押登记状况及是否出租、查封及欠缴房款对其价值的影响。</w:t>
      </w:r>
    </w:p>
    <w:p>
      <w:pPr>
        <w:pStyle w:val="4"/>
        <w:spacing w:line="480" w:lineRule="atLeast"/>
        <w:ind w:firstLine="0"/>
        <w:outlineLvl w:val="2"/>
        <w:rPr>
          <w:rFonts w:ascii="宋体" w:hAnsi="宋体"/>
          <w:b/>
          <w:bCs/>
          <w:sz w:val="24"/>
          <w:szCs w:val="24"/>
        </w:rPr>
      </w:pPr>
      <w:r>
        <w:rPr>
          <w:rFonts w:ascii="宋体" w:hAnsi="宋体"/>
          <w:b/>
          <w:bCs/>
          <w:sz w:val="24"/>
          <w:szCs w:val="24"/>
        </w:rPr>
        <w:t>五、价值时点</w:t>
      </w:r>
      <w:bookmarkEnd w:id="24"/>
    </w:p>
    <w:p>
      <w:pPr>
        <w:pStyle w:val="7"/>
        <w:spacing w:line="480" w:lineRule="atLeast"/>
        <w:ind w:firstLine="480" w:firstLineChars="200"/>
        <w:rPr>
          <w:rFonts w:ascii="宋体" w:hAnsi="宋体"/>
          <w:szCs w:val="24"/>
        </w:rPr>
      </w:pPr>
      <w:r>
        <w:rPr>
          <w:rFonts w:hint="eastAsia" w:ascii="宋体" w:hAnsi="宋体"/>
          <w:szCs w:val="24"/>
          <w:lang w:eastAsia="zh-CN"/>
        </w:rPr>
        <w:t>2022年7月25日</w:t>
      </w:r>
      <w:r>
        <w:rPr>
          <w:rFonts w:ascii="宋体" w:hAnsi="宋体"/>
          <w:szCs w:val="24"/>
        </w:rPr>
        <w:t>（现场查勘之日）</w:t>
      </w:r>
    </w:p>
    <w:p>
      <w:pPr>
        <w:spacing w:line="480" w:lineRule="atLeast"/>
        <w:rPr>
          <w:rFonts w:ascii="宋体" w:hAnsi="宋体" w:eastAsia="宋体"/>
          <w:b/>
        </w:rPr>
      </w:pPr>
      <w:bookmarkStart w:id="25" w:name="_Toc391884255"/>
      <w:r>
        <w:rPr>
          <w:rFonts w:ascii="宋体" w:hAnsi="宋体" w:eastAsia="宋体"/>
          <w:b/>
        </w:rPr>
        <w:t>六、价值类型</w:t>
      </w:r>
      <w:bookmarkEnd w:id="25"/>
    </w:p>
    <w:p>
      <w:pPr>
        <w:spacing w:line="480" w:lineRule="atLeast"/>
        <w:rPr>
          <w:rFonts w:ascii="宋体" w:hAnsi="宋体" w:eastAsia="宋体"/>
          <w:szCs w:val="24"/>
        </w:rPr>
      </w:pPr>
      <w:bookmarkStart w:id="26" w:name="_Toc391884256"/>
      <w:r>
        <w:rPr>
          <w:rFonts w:hint="eastAsia" w:ascii="宋体" w:hAnsi="宋体" w:eastAsia="宋体"/>
        </w:rPr>
        <w:t xml:space="preserve"> </w:t>
      </w:r>
      <w:r>
        <w:rPr>
          <w:rFonts w:hint="eastAsia" w:ascii="宋体" w:hAnsi="宋体" w:eastAsia="宋体"/>
          <w:szCs w:val="24"/>
        </w:rPr>
        <w:t xml:space="preserve">   本报告提供的价格是估价对象在现状合法利用下于价值时点的公开市场价值，即该项物业在下列假定情况下出售，在公开市场上可合理取得的价格。</w:t>
      </w:r>
    </w:p>
    <w:p>
      <w:pPr>
        <w:spacing w:line="480" w:lineRule="atLeast"/>
        <w:rPr>
          <w:rFonts w:ascii="宋体" w:hAnsi="宋体" w:eastAsia="宋体"/>
          <w:szCs w:val="24"/>
        </w:rPr>
      </w:pPr>
      <w:r>
        <w:rPr>
          <w:rFonts w:hint="eastAsia" w:ascii="宋体" w:hAnsi="宋体" w:eastAsia="宋体"/>
          <w:szCs w:val="24"/>
        </w:rPr>
        <w:t>公开市场价值内涵：</w:t>
      </w:r>
    </w:p>
    <w:p>
      <w:pPr>
        <w:spacing w:line="480" w:lineRule="atLeast"/>
        <w:rPr>
          <w:rFonts w:ascii="宋体" w:hAnsi="宋体" w:eastAsia="宋体"/>
          <w:szCs w:val="24"/>
        </w:rPr>
      </w:pPr>
      <w:r>
        <w:rPr>
          <w:rFonts w:hint="eastAsia" w:ascii="宋体" w:hAnsi="宋体" w:eastAsia="宋体"/>
          <w:szCs w:val="24"/>
        </w:rPr>
        <w:t xml:space="preserve">    </w:t>
      </w:r>
      <w:r>
        <w:rPr>
          <w:rFonts w:ascii="宋体" w:hAnsi="宋体" w:eastAsia="宋体"/>
          <w:szCs w:val="24"/>
        </w:rPr>
        <w:t>1</w:t>
      </w:r>
      <w:r>
        <w:rPr>
          <w:rFonts w:hint="eastAsia" w:ascii="宋体" w:hAnsi="宋体" w:eastAsia="宋体"/>
          <w:szCs w:val="24"/>
        </w:rPr>
        <w:t>、交易双方是自愿地进行交易的；</w:t>
      </w:r>
    </w:p>
    <w:p>
      <w:pPr>
        <w:spacing w:line="480" w:lineRule="atLeast"/>
        <w:rPr>
          <w:rFonts w:ascii="宋体" w:hAnsi="宋体" w:eastAsia="宋体"/>
          <w:szCs w:val="24"/>
        </w:rPr>
      </w:pPr>
      <w:r>
        <w:rPr>
          <w:rFonts w:hint="eastAsia" w:ascii="宋体" w:hAnsi="宋体" w:eastAsia="宋体"/>
          <w:szCs w:val="24"/>
        </w:rPr>
        <w:t xml:space="preserve">    </w:t>
      </w:r>
      <w:r>
        <w:rPr>
          <w:rFonts w:ascii="宋体" w:hAnsi="宋体" w:eastAsia="宋体"/>
          <w:szCs w:val="24"/>
        </w:rPr>
        <w:t>2</w:t>
      </w:r>
      <w:r>
        <w:rPr>
          <w:rFonts w:hint="eastAsia" w:ascii="宋体" w:hAnsi="宋体" w:eastAsia="宋体"/>
          <w:szCs w:val="24"/>
        </w:rPr>
        <w:t>、交易双方进行交易的目的是追求各自利益的最大化；</w:t>
      </w:r>
    </w:p>
    <w:p>
      <w:pPr>
        <w:spacing w:line="480" w:lineRule="atLeast"/>
        <w:rPr>
          <w:rFonts w:ascii="宋体" w:hAnsi="宋体" w:eastAsia="宋体"/>
          <w:szCs w:val="24"/>
        </w:rPr>
      </w:pPr>
      <w:r>
        <w:rPr>
          <w:rFonts w:hint="eastAsia" w:ascii="宋体" w:hAnsi="宋体" w:eastAsia="宋体"/>
          <w:szCs w:val="24"/>
        </w:rPr>
        <w:t xml:space="preserve">    </w:t>
      </w:r>
      <w:r>
        <w:rPr>
          <w:rFonts w:ascii="宋体" w:hAnsi="宋体" w:eastAsia="宋体"/>
          <w:szCs w:val="24"/>
        </w:rPr>
        <w:t>3</w:t>
      </w:r>
      <w:r>
        <w:rPr>
          <w:rFonts w:hint="eastAsia" w:ascii="宋体" w:hAnsi="宋体" w:eastAsia="宋体"/>
          <w:szCs w:val="24"/>
        </w:rPr>
        <w:t>、交易双方具有必要的专业知识并了解估价对象；</w:t>
      </w:r>
    </w:p>
    <w:p>
      <w:pPr>
        <w:spacing w:line="480" w:lineRule="atLeast"/>
        <w:rPr>
          <w:rFonts w:ascii="宋体" w:hAnsi="宋体" w:eastAsia="宋体"/>
          <w:szCs w:val="24"/>
        </w:rPr>
      </w:pPr>
      <w:r>
        <w:rPr>
          <w:rFonts w:hint="eastAsia" w:ascii="宋体" w:hAnsi="宋体" w:eastAsia="宋体"/>
          <w:szCs w:val="24"/>
        </w:rPr>
        <w:t xml:space="preserve">    </w:t>
      </w:r>
      <w:r>
        <w:rPr>
          <w:rFonts w:ascii="宋体" w:hAnsi="宋体" w:eastAsia="宋体"/>
          <w:szCs w:val="24"/>
        </w:rPr>
        <w:t>4</w:t>
      </w:r>
      <w:r>
        <w:rPr>
          <w:rFonts w:hint="eastAsia" w:ascii="宋体" w:hAnsi="宋体" w:eastAsia="宋体"/>
          <w:szCs w:val="24"/>
        </w:rPr>
        <w:t>、交易双方掌握必要的市场信息；</w:t>
      </w:r>
    </w:p>
    <w:p>
      <w:pPr>
        <w:spacing w:line="480" w:lineRule="atLeast"/>
        <w:rPr>
          <w:rFonts w:ascii="宋体" w:hAnsi="宋体" w:eastAsia="宋体"/>
          <w:szCs w:val="24"/>
        </w:rPr>
      </w:pPr>
      <w:r>
        <w:rPr>
          <w:rFonts w:hint="eastAsia" w:ascii="宋体" w:hAnsi="宋体" w:eastAsia="宋体"/>
          <w:szCs w:val="24"/>
        </w:rPr>
        <w:t xml:space="preserve">    </w:t>
      </w:r>
      <w:r>
        <w:rPr>
          <w:rFonts w:ascii="宋体" w:hAnsi="宋体" w:eastAsia="宋体"/>
          <w:szCs w:val="24"/>
        </w:rPr>
        <w:t>5</w:t>
      </w:r>
      <w:r>
        <w:rPr>
          <w:rFonts w:hint="eastAsia" w:ascii="宋体" w:hAnsi="宋体" w:eastAsia="宋体"/>
          <w:szCs w:val="24"/>
        </w:rPr>
        <w:t>、交易双方有较充裕的时间进行交易；</w:t>
      </w:r>
    </w:p>
    <w:p>
      <w:pPr>
        <w:spacing w:line="480" w:lineRule="atLeast"/>
        <w:rPr>
          <w:rFonts w:ascii="宋体" w:hAnsi="宋体" w:eastAsia="宋体"/>
          <w:szCs w:val="24"/>
        </w:rPr>
      </w:pPr>
      <w:r>
        <w:rPr>
          <w:rFonts w:hint="eastAsia" w:ascii="宋体" w:hAnsi="宋体" w:eastAsia="宋体"/>
          <w:szCs w:val="24"/>
        </w:rPr>
        <w:t xml:space="preserve">    </w:t>
      </w:r>
      <w:r>
        <w:rPr>
          <w:rFonts w:ascii="宋体" w:hAnsi="宋体" w:eastAsia="宋体"/>
          <w:szCs w:val="24"/>
        </w:rPr>
        <w:t>6</w:t>
      </w:r>
      <w:r>
        <w:rPr>
          <w:rFonts w:hint="eastAsia" w:ascii="宋体" w:hAnsi="宋体" w:eastAsia="宋体"/>
          <w:szCs w:val="24"/>
        </w:rPr>
        <w:t>、不存在买者因特殊兴趣而给予附加出价。</w:t>
      </w:r>
    </w:p>
    <w:p>
      <w:pPr>
        <w:spacing w:line="480" w:lineRule="atLeast"/>
        <w:rPr>
          <w:rFonts w:ascii="宋体" w:hAnsi="宋体" w:eastAsia="宋体"/>
          <w:b/>
          <w:szCs w:val="24"/>
        </w:rPr>
      </w:pPr>
      <w:r>
        <w:rPr>
          <w:rFonts w:ascii="宋体" w:hAnsi="宋体" w:eastAsia="宋体"/>
          <w:b/>
          <w:szCs w:val="24"/>
        </w:rPr>
        <w:t>七、估价依据</w:t>
      </w:r>
      <w:bookmarkEnd w:id="26"/>
    </w:p>
    <w:p>
      <w:pPr>
        <w:spacing w:line="480" w:lineRule="atLeast"/>
        <w:rPr>
          <w:rFonts w:ascii="宋体" w:hAnsi="宋体" w:eastAsia="宋体"/>
          <w:szCs w:val="24"/>
        </w:rPr>
      </w:pPr>
      <w:bookmarkStart w:id="27" w:name="_Toc262130461"/>
      <w:bookmarkStart w:id="28" w:name="_Toc267038902"/>
      <w:r>
        <w:rPr>
          <w:rFonts w:hint="eastAsia" w:eastAsia="宋体"/>
          <w:szCs w:val="24"/>
        </w:rPr>
        <w:t xml:space="preserve"> </w:t>
      </w:r>
      <w:r>
        <w:rPr>
          <w:rFonts w:hint="eastAsia" w:ascii="宋体" w:hAnsi="宋体" w:eastAsia="宋体"/>
          <w:szCs w:val="24"/>
        </w:rPr>
        <w:t xml:space="preserve"> </w:t>
      </w:r>
      <w:bookmarkEnd w:id="27"/>
      <w:bookmarkEnd w:id="28"/>
      <w:bookmarkStart w:id="29" w:name="_Toc391884257"/>
      <w:r>
        <w:rPr>
          <w:rFonts w:hint="eastAsia" w:ascii="宋体" w:hAnsi="宋体" w:eastAsia="宋体"/>
          <w:szCs w:val="24"/>
        </w:rPr>
        <w:t xml:space="preserve">   （一）本次估价所依据的有关法律、法规和部门规章</w:t>
      </w:r>
    </w:p>
    <w:p>
      <w:pPr>
        <w:spacing w:line="480" w:lineRule="atLeast"/>
        <w:rPr>
          <w:rFonts w:ascii="宋体" w:hAnsi="宋体" w:eastAsia="宋体"/>
          <w:szCs w:val="24"/>
        </w:rPr>
      </w:pPr>
      <w:r>
        <w:rPr>
          <w:rFonts w:hint="eastAsia" w:ascii="宋体" w:hAnsi="宋体" w:eastAsia="宋体"/>
          <w:szCs w:val="24"/>
        </w:rPr>
        <w:t xml:space="preserve">    1、《中华人民共和国民法典》（中华人民共和国第十三届全国人民代表大会第三次会议于2020年5月28日通过，自2021年1月1日起施行。）；</w:t>
      </w:r>
    </w:p>
    <w:p>
      <w:pPr>
        <w:spacing w:line="480" w:lineRule="atLeast"/>
        <w:rPr>
          <w:rFonts w:ascii="宋体" w:hAnsi="宋体" w:eastAsia="宋体"/>
          <w:szCs w:val="24"/>
        </w:rPr>
      </w:pPr>
      <w:r>
        <w:rPr>
          <w:rFonts w:hint="eastAsia" w:ascii="宋体" w:hAnsi="宋体" w:eastAsia="宋体"/>
          <w:szCs w:val="24"/>
        </w:rPr>
        <w:t xml:space="preserve">    2、《中华人民共和国城市房地产管理法》（2007年8月30日第十届全国人民代表大会常务委员会第二十九次会议通过《全国人民代表大会常务委员会关于修改〈中华人民共和国城市房地产管理法〉的决定》）</w:t>
      </w:r>
    </w:p>
    <w:p>
      <w:pPr>
        <w:spacing w:line="480" w:lineRule="atLeast"/>
        <w:rPr>
          <w:rFonts w:ascii="宋体" w:hAnsi="宋体" w:eastAsia="宋体"/>
          <w:szCs w:val="24"/>
        </w:rPr>
      </w:pPr>
      <w:r>
        <w:rPr>
          <w:rFonts w:hint="eastAsia" w:ascii="宋体" w:hAnsi="宋体" w:eastAsia="宋体"/>
          <w:szCs w:val="24"/>
        </w:rPr>
        <w:t xml:space="preserve">    3、《中华人民共和国土地管理法》(2004年) （2004年8月28日第十届全国人民代表大会常务委员会第十一次会议《关于修改〈中华人民共和国土地管理法〉的决定》第二次修正）</w:t>
      </w:r>
    </w:p>
    <w:p>
      <w:pPr>
        <w:spacing w:line="480" w:lineRule="atLeast"/>
        <w:rPr>
          <w:rFonts w:ascii="宋体" w:hAnsi="宋体" w:eastAsia="宋体"/>
          <w:szCs w:val="24"/>
        </w:rPr>
      </w:pPr>
      <w:r>
        <w:rPr>
          <w:rFonts w:hint="eastAsia" w:ascii="宋体" w:hAnsi="宋体" w:eastAsia="宋体"/>
          <w:szCs w:val="24"/>
        </w:rPr>
        <w:t xml:space="preserve">    4、《中华人民共和国资产评估法》（第十二届全国人民代表大会常务委员会第二十一次会议于2016年7月2日通过，自2016年12月1日起实施）；</w:t>
      </w:r>
    </w:p>
    <w:p>
      <w:pPr>
        <w:spacing w:line="480" w:lineRule="atLeast"/>
        <w:ind w:firstLine="480" w:firstLineChars="200"/>
        <w:rPr>
          <w:rFonts w:ascii="宋体" w:hAnsi="宋体" w:eastAsia="宋体"/>
          <w:szCs w:val="24"/>
        </w:rPr>
      </w:pPr>
      <w:r>
        <w:rPr>
          <w:rFonts w:hint="eastAsia" w:ascii="宋体" w:hAnsi="宋体" w:eastAsia="宋体"/>
          <w:szCs w:val="24"/>
        </w:rPr>
        <w:t>5、《中华人民共和国拍卖法》中华人民共和国主席令第20号自1997年1月1日起施行。</w:t>
      </w:r>
    </w:p>
    <w:p>
      <w:pPr>
        <w:spacing w:line="480" w:lineRule="atLeast"/>
        <w:ind w:firstLine="480" w:firstLineChars="200"/>
        <w:rPr>
          <w:rFonts w:ascii="宋体" w:hAnsi="宋体" w:eastAsia="宋体"/>
          <w:szCs w:val="24"/>
        </w:rPr>
      </w:pPr>
      <w:r>
        <w:rPr>
          <w:rFonts w:hint="eastAsia" w:ascii="宋体" w:hAnsi="宋体" w:eastAsia="宋体"/>
          <w:szCs w:val="24"/>
        </w:rPr>
        <w:t>6、《最高人民法院关于人民法院委托评估、拍卖和变卖工作的若干规定》法释[2009]16号，2009年11月20日起施行。</w:t>
      </w:r>
    </w:p>
    <w:p>
      <w:pPr>
        <w:spacing w:line="480" w:lineRule="atLeast"/>
        <w:ind w:firstLine="480" w:firstLineChars="200"/>
        <w:rPr>
          <w:rFonts w:ascii="宋体" w:hAnsi="宋体" w:eastAsia="宋体"/>
          <w:szCs w:val="24"/>
        </w:rPr>
      </w:pPr>
      <w:r>
        <w:rPr>
          <w:rFonts w:hint="eastAsia" w:ascii="宋体" w:hAnsi="宋体" w:eastAsia="宋体"/>
          <w:szCs w:val="24"/>
        </w:rPr>
        <w:t>7、《司法鉴定程序通则》（修订版）</w:t>
      </w:r>
    </w:p>
    <w:p>
      <w:pPr>
        <w:spacing w:line="480" w:lineRule="atLeast"/>
        <w:ind w:firstLine="480" w:firstLineChars="200"/>
        <w:rPr>
          <w:rFonts w:ascii="宋体" w:hAnsi="宋体" w:eastAsia="宋体"/>
          <w:szCs w:val="24"/>
        </w:rPr>
      </w:pPr>
      <w:r>
        <w:rPr>
          <w:rFonts w:hint="eastAsia" w:ascii="宋体" w:hAnsi="宋体" w:eastAsia="宋体"/>
          <w:szCs w:val="24"/>
        </w:rPr>
        <w:t>8、《浙江省人民法院实施（人民法院对外委托司法鉴定管理规定）的细则》</w:t>
      </w:r>
    </w:p>
    <w:p>
      <w:pPr>
        <w:spacing w:line="480" w:lineRule="atLeast"/>
        <w:ind w:firstLine="480"/>
        <w:rPr>
          <w:rFonts w:ascii="宋体" w:hAnsi="宋体" w:eastAsia="宋体"/>
          <w:szCs w:val="24"/>
        </w:rPr>
      </w:pPr>
      <w:r>
        <w:rPr>
          <w:rFonts w:hint="eastAsia" w:ascii="宋体" w:hAnsi="宋体" w:eastAsia="宋体"/>
          <w:szCs w:val="24"/>
        </w:rPr>
        <w:t>9、关于印发《浙江省高级人民法院执行局关于规范不动产网络司法拍卖、变卖工作指引》的通知（浙高法执【2020】6号，2020年2月21日）</w:t>
      </w:r>
    </w:p>
    <w:p>
      <w:pPr>
        <w:spacing w:line="480" w:lineRule="atLeast"/>
        <w:ind w:firstLine="480"/>
        <w:rPr>
          <w:rFonts w:ascii="宋体" w:hAnsi="宋体" w:eastAsia="宋体"/>
          <w:szCs w:val="24"/>
        </w:rPr>
      </w:pPr>
      <w:r>
        <w:rPr>
          <w:rFonts w:hint="eastAsia" w:ascii="宋体" w:hAnsi="宋体" w:eastAsia="宋体"/>
          <w:szCs w:val="24"/>
        </w:rPr>
        <w:t>10、关于修订《浙江省房地产司法评估知道意见（试行）》的通知（浙估协（2021）3号，2021年2月4日）</w:t>
      </w:r>
    </w:p>
    <w:p>
      <w:pPr>
        <w:spacing w:line="480" w:lineRule="atLeast"/>
        <w:rPr>
          <w:rFonts w:ascii="宋体" w:hAnsi="宋体" w:eastAsia="宋体"/>
          <w:szCs w:val="24"/>
        </w:rPr>
      </w:pPr>
      <w:r>
        <w:rPr>
          <w:rFonts w:hint="eastAsia" w:ascii="宋体" w:hAnsi="宋体" w:eastAsia="宋体"/>
          <w:szCs w:val="24"/>
        </w:rPr>
        <w:t xml:space="preserve">   （二）本次估价采用的技术规程</w:t>
      </w:r>
    </w:p>
    <w:p>
      <w:pPr>
        <w:spacing w:line="480" w:lineRule="exact"/>
        <w:rPr>
          <w:rFonts w:ascii="宋体" w:hAnsi="宋体" w:eastAsia="宋体"/>
          <w:szCs w:val="24"/>
        </w:rPr>
      </w:pPr>
      <w:r>
        <w:rPr>
          <w:rFonts w:hint="eastAsia" w:ascii="宋体" w:hAnsi="宋体" w:eastAsia="宋体"/>
          <w:szCs w:val="24"/>
        </w:rPr>
        <w:t xml:space="preserve">    1、《房地产估价规范》（国家标准GB/T50291-2015）；</w:t>
      </w:r>
    </w:p>
    <w:p>
      <w:pPr>
        <w:spacing w:line="480" w:lineRule="exact"/>
        <w:rPr>
          <w:rFonts w:ascii="宋体" w:hAnsi="宋体" w:eastAsia="宋体"/>
          <w:szCs w:val="24"/>
        </w:rPr>
      </w:pPr>
      <w:r>
        <w:rPr>
          <w:rFonts w:hint="eastAsia" w:ascii="宋体" w:hAnsi="宋体" w:eastAsia="宋体"/>
          <w:szCs w:val="24"/>
        </w:rPr>
        <w:t xml:space="preserve">    2、《房地产估价基本术语标准》（国家标准GB/T50899-2013）；</w:t>
      </w:r>
    </w:p>
    <w:p>
      <w:pPr>
        <w:spacing w:line="480" w:lineRule="exact"/>
        <w:ind w:firstLine="480"/>
        <w:rPr>
          <w:rFonts w:ascii="宋体" w:hAnsi="宋体" w:eastAsia="宋体"/>
          <w:szCs w:val="24"/>
        </w:rPr>
      </w:pPr>
      <w:r>
        <w:rPr>
          <w:rFonts w:hint="eastAsia" w:ascii="宋体" w:hAnsi="宋体" w:eastAsia="宋体"/>
          <w:szCs w:val="24"/>
        </w:rPr>
        <w:t>3、《浙江省房地产估价技术指引》第1号（浙江省房地产估价师与经纪人协会，2016年）。</w:t>
      </w:r>
    </w:p>
    <w:p>
      <w:pPr>
        <w:keepNext w:val="0"/>
        <w:keepLines w:val="0"/>
        <w:pageBreakBefore w:val="0"/>
        <w:widowControl w:val="0"/>
        <w:kinsoku/>
        <w:wordWrap/>
        <w:overflowPunct/>
        <w:topLinePunct w:val="0"/>
        <w:autoSpaceDE/>
        <w:autoSpaceDN/>
        <w:bidi w:val="0"/>
        <w:adjustRightInd/>
        <w:spacing w:line="460" w:lineRule="exact"/>
        <w:textAlignment w:val="auto"/>
        <w:rPr>
          <w:rFonts w:ascii="宋体" w:hAnsi="宋体" w:eastAsia="宋体"/>
          <w:szCs w:val="24"/>
        </w:rPr>
      </w:pPr>
      <w:r>
        <w:rPr>
          <w:rFonts w:hint="eastAsia" w:ascii="宋体" w:hAnsi="宋体" w:eastAsia="宋体"/>
          <w:szCs w:val="24"/>
        </w:rPr>
        <w:t xml:space="preserve">  （三）委托人提供的有关资料</w:t>
      </w:r>
    </w:p>
    <w:p>
      <w:pPr>
        <w:keepNext w:val="0"/>
        <w:keepLines w:val="0"/>
        <w:pageBreakBefore w:val="0"/>
        <w:widowControl w:val="0"/>
        <w:kinsoku/>
        <w:wordWrap/>
        <w:overflowPunct/>
        <w:topLinePunct w:val="0"/>
        <w:autoSpaceDE/>
        <w:autoSpaceDN/>
        <w:bidi w:val="0"/>
        <w:adjustRightInd/>
        <w:spacing w:line="460" w:lineRule="exact"/>
        <w:textAlignment w:val="auto"/>
        <w:rPr>
          <w:rFonts w:ascii="宋体" w:hAnsi="宋体" w:eastAsia="宋体"/>
          <w:szCs w:val="24"/>
        </w:rPr>
      </w:pPr>
      <w:r>
        <w:rPr>
          <w:rFonts w:hint="eastAsia" w:ascii="宋体" w:hAnsi="宋体" w:eastAsia="宋体"/>
          <w:szCs w:val="24"/>
        </w:rPr>
        <w:t xml:space="preserve">    1、估价对象权属证明资料；</w:t>
      </w:r>
    </w:p>
    <w:p>
      <w:pPr>
        <w:keepNext w:val="0"/>
        <w:keepLines w:val="0"/>
        <w:pageBreakBefore w:val="0"/>
        <w:widowControl w:val="0"/>
        <w:kinsoku/>
        <w:wordWrap/>
        <w:overflowPunct/>
        <w:topLinePunct w:val="0"/>
        <w:autoSpaceDE/>
        <w:autoSpaceDN/>
        <w:bidi w:val="0"/>
        <w:adjustRightInd/>
        <w:spacing w:line="460" w:lineRule="exact"/>
        <w:textAlignment w:val="auto"/>
        <w:rPr>
          <w:rFonts w:ascii="宋体" w:hAnsi="宋体" w:eastAsia="宋体"/>
          <w:szCs w:val="24"/>
        </w:rPr>
      </w:pPr>
      <w:r>
        <w:rPr>
          <w:rFonts w:hint="eastAsia" w:ascii="宋体" w:hAnsi="宋体" w:eastAsia="宋体"/>
          <w:szCs w:val="24"/>
        </w:rPr>
        <w:t xml:space="preserve">    2、估价委托书；</w:t>
      </w:r>
    </w:p>
    <w:p>
      <w:pPr>
        <w:keepNext w:val="0"/>
        <w:keepLines w:val="0"/>
        <w:pageBreakBefore w:val="0"/>
        <w:widowControl w:val="0"/>
        <w:kinsoku/>
        <w:wordWrap/>
        <w:overflowPunct/>
        <w:topLinePunct w:val="0"/>
        <w:autoSpaceDE/>
        <w:autoSpaceDN/>
        <w:bidi w:val="0"/>
        <w:adjustRightInd/>
        <w:spacing w:line="460" w:lineRule="exact"/>
        <w:textAlignment w:val="auto"/>
        <w:rPr>
          <w:rFonts w:ascii="宋体" w:hAnsi="宋体" w:eastAsia="宋体"/>
          <w:szCs w:val="24"/>
        </w:rPr>
      </w:pPr>
      <w:r>
        <w:rPr>
          <w:rFonts w:hint="eastAsia" w:ascii="宋体" w:hAnsi="宋体" w:eastAsia="宋体"/>
          <w:szCs w:val="24"/>
        </w:rPr>
        <w:t xml:space="preserve">    3、估价委托人提供的其他资料。</w:t>
      </w:r>
    </w:p>
    <w:p>
      <w:pPr>
        <w:keepNext w:val="0"/>
        <w:keepLines w:val="0"/>
        <w:pageBreakBefore w:val="0"/>
        <w:widowControl w:val="0"/>
        <w:kinsoku/>
        <w:wordWrap/>
        <w:overflowPunct/>
        <w:topLinePunct w:val="0"/>
        <w:autoSpaceDE/>
        <w:autoSpaceDN/>
        <w:bidi w:val="0"/>
        <w:adjustRightInd/>
        <w:spacing w:line="460" w:lineRule="exact"/>
        <w:textAlignment w:val="auto"/>
        <w:rPr>
          <w:rFonts w:ascii="宋体" w:hAnsi="宋体" w:eastAsia="宋体"/>
          <w:szCs w:val="24"/>
        </w:rPr>
      </w:pPr>
      <w:r>
        <w:rPr>
          <w:rFonts w:hint="eastAsia" w:ascii="宋体" w:hAnsi="宋体" w:eastAsia="宋体"/>
          <w:szCs w:val="24"/>
        </w:rPr>
        <w:t xml:space="preserve">   （四）估价机构和估价人员掌握和调查的有关资料</w:t>
      </w:r>
    </w:p>
    <w:p>
      <w:pPr>
        <w:keepNext w:val="0"/>
        <w:keepLines w:val="0"/>
        <w:pageBreakBefore w:val="0"/>
        <w:widowControl w:val="0"/>
        <w:kinsoku/>
        <w:wordWrap/>
        <w:overflowPunct/>
        <w:topLinePunct w:val="0"/>
        <w:autoSpaceDE/>
        <w:autoSpaceDN/>
        <w:bidi w:val="0"/>
        <w:adjustRightInd/>
        <w:spacing w:line="460" w:lineRule="exact"/>
        <w:textAlignment w:val="auto"/>
        <w:rPr>
          <w:rFonts w:ascii="宋体" w:hAnsi="宋体" w:eastAsia="宋体"/>
          <w:szCs w:val="24"/>
        </w:rPr>
      </w:pPr>
      <w:r>
        <w:rPr>
          <w:rFonts w:hint="eastAsia" w:ascii="宋体" w:hAnsi="宋体" w:eastAsia="宋体"/>
          <w:szCs w:val="24"/>
        </w:rPr>
        <w:t xml:space="preserve">    1、估价对象所在地自然条件、社会经济条件、行政区划人口等方面的基本情况资料；</w:t>
      </w:r>
    </w:p>
    <w:p>
      <w:pPr>
        <w:keepNext w:val="0"/>
        <w:keepLines w:val="0"/>
        <w:pageBreakBefore w:val="0"/>
        <w:widowControl w:val="0"/>
        <w:kinsoku/>
        <w:wordWrap/>
        <w:overflowPunct/>
        <w:topLinePunct w:val="0"/>
        <w:autoSpaceDE/>
        <w:autoSpaceDN/>
        <w:bidi w:val="0"/>
        <w:adjustRightInd/>
        <w:spacing w:line="460" w:lineRule="exact"/>
        <w:textAlignment w:val="auto"/>
        <w:rPr>
          <w:rFonts w:ascii="宋体" w:hAnsi="宋体" w:eastAsia="宋体"/>
          <w:szCs w:val="24"/>
        </w:rPr>
      </w:pPr>
      <w:r>
        <w:rPr>
          <w:rFonts w:hint="eastAsia" w:ascii="宋体" w:hAnsi="宋体" w:eastAsia="宋体"/>
          <w:szCs w:val="24"/>
        </w:rPr>
        <w:t xml:space="preserve">    2、本公司掌握的当地类似房地产市场相关信息以及注册</w:t>
      </w:r>
      <w:r>
        <w:rPr>
          <w:rFonts w:ascii="宋体" w:hAnsi="宋体" w:eastAsia="宋体"/>
          <w:szCs w:val="24"/>
        </w:rPr>
        <w:t>房地产估价师实地查勘、调查所获取的资料；</w:t>
      </w:r>
    </w:p>
    <w:p>
      <w:pPr>
        <w:keepNext w:val="0"/>
        <w:keepLines w:val="0"/>
        <w:pageBreakBefore w:val="0"/>
        <w:widowControl w:val="0"/>
        <w:kinsoku/>
        <w:wordWrap/>
        <w:overflowPunct/>
        <w:topLinePunct w:val="0"/>
        <w:autoSpaceDE/>
        <w:autoSpaceDN/>
        <w:bidi w:val="0"/>
        <w:adjustRightInd/>
        <w:spacing w:line="460" w:lineRule="exact"/>
        <w:textAlignment w:val="auto"/>
        <w:rPr>
          <w:rFonts w:ascii="宋体" w:hAnsi="宋体" w:eastAsia="宋体"/>
          <w:szCs w:val="24"/>
        </w:rPr>
      </w:pPr>
      <w:r>
        <w:rPr>
          <w:rFonts w:hint="eastAsia" w:ascii="宋体" w:hAnsi="宋体" w:eastAsia="宋体"/>
          <w:szCs w:val="24"/>
        </w:rPr>
        <w:t xml:space="preserve">    3、</w:t>
      </w:r>
      <w:r>
        <w:rPr>
          <w:rFonts w:ascii="宋体" w:hAnsi="宋体" w:eastAsia="宋体"/>
          <w:szCs w:val="24"/>
        </w:rPr>
        <w:t>我公司数据库资料</w:t>
      </w:r>
      <w:r>
        <w:rPr>
          <w:rFonts w:hint="eastAsia" w:ascii="宋体" w:hAnsi="宋体" w:eastAsia="宋体"/>
          <w:szCs w:val="24"/>
        </w:rPr>
        <w:t>。</w:t>
      </w:r>
    </w:p>
    <w:p>
      <w:pPr>
        <w:pStyle w:val="4"/>
        <w:keepNext w:val="0"/>
        <w:keepLines w:val="0"/>
        <w:pageBreakBefore w:val="0"/>
        <w:widowControl w:val="0"/>
        <w:kinsoku/>
        <w:wordWrap/>
        <w:overflowPunct/>
        <w:topLinePunct w:val="0"/>
        <w:autoSpaceDE/>
        <w:autoSpaceDN/>
        <w:bidi w:val="0"/>
        <w:adjustRightInd/>
        <w:spacing w:line="460" w:lineRule="exact"/>
        <w:ind w:firstLine="0"/>
        <w:textAlignment w:val="auto"/>
        <w:outlineLvl w:val="2"/>
        <w:rPr>
          <w:rFonts w:ascii="宋体" w:hAnsi="宋体"/>
          <w:b/>
          <w:bCs/>
          <w:sz w:val="24"/>
          <w:szCs w:val="24"/>
        </w:rPr>
      </w:pPr>
      <w:r>
        <w:rPr>
          <w:rFonts w:ascii="宋体" w:hAnsi="宋体"/>
          <w:b/>
          <w:bCs/>
          <w:sz w:val="24"/>
          <w:szCs w:val="24"/>
        </w:rPr>
        <w:t>八、估价原则</w:t>
      </w:r>
      <w:bookmarkEnd w:id="29"/>
    </w:p>
    <w:p>
      <w:pPr>
        <w:pStyle w:val="6"/>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Ansi="宋体" w:eastAsia="宋体"/>
          <w:kern w:val="0"/>
          <w:szCs w:val="24"/>
        </w:rPr>
      </w:pPr>
      <w:bookmarkStart w:id="30" w:name="_Toc391884258"/>
      <w:r>
        <w:rPr>
          <w:rFonts w:hAnsi="宋体" w:eastAsia="宋体"/>
          <w:szCs w:val="24"/>
        </w:rPr>
        <w:t>本评估报告在遵循独立、客观、公正原则的前提下，具</w:t>
      </w:r>
      <w:r>
        <w:rPr>
          <w:rFonts w:hAnsi="宋体" w:eastAsia="宋体"/>
          <w:kern w:val="0"/>
          <w:szCs w:val="24"/>
        </w:rPr>
        <w:t>体依据如下原则：</w:t>
      </w:r>
    </w:p>
    <w:p>
      <w:pPr>
        <w:pStyle w:val="6"/>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Ansi="宋体" w:eastAsia="宋体"/>
          <w:szCs w:val="24"/>
        </w:rPr>
      </w:pPr>
      <w:r>
        <w:rPr>
          <w:rFonts w:hAnsi="宋体" w:eastAsia="宋体"/>
          <w:szCs w:val="24"/>
        </w:rPr>
        <w:t>1.合法原则：遵循合法原则，应以估价对象具有合法产权、合法使用、合法交易、合法处分为前提估价。</w:t>
      </w:r>
    </w:p>
    <w:p>
      <w:pPr>
        <w:pStyle w:val="6"/>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Ansi="宋体" w:eastAsia="宋体"/>
          <w:szCs w:val="24"/>
        </w:rPr>
      </w:pPr>
      <w:r>
        <w:rPr>
          <w:rFonts w:hint="eastAsia" w:hAnsi="宋体" w:eastAsia="宋体"/>
          <w:szCs w:val="24"/>
        </w:rPr>
        <w:t>2.客观、独立、公正原则：要求站在中立的立场上，实事求是公平正直地评估出对各方估价利害关系人均是公平合理的价值或价格的原则。</w:t>
      </w:r>
    </w:p>
    <w:p>
      <w:pPr>
        <w:pStyle w:val="6"/>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Ansi="宋体" w:eastAsia="宋体"/>
          <w:szCs w:val="24"/>
        </w:rPr>
      </w:pPr>
      <w:r>
        <w:rPr>
          <w:rFonts w:hint="eastAsia" w:hAnsi="宋体" w:eastAsia="宋体"/>
          <w:szCs w:val="24"/>
        </w:rPr>
        <w:t>3</w:t>
      </w:r>
      <w:r>
        <w:rPr>
          <w:rFonts w:hAnsi="宋体" w:eastAsia="宋体"/>
          <w:szCs w:val="24"/>
        </w:rPr>
        <w:t>.价值时点原则：遵循价值时点原则，要求估价结果应是价值时点的客观合理价格或价值。</w:t>
      </w:r>
    </w:p>
    <w:p>
      <w:pPr>
        <w:pStyle w:val="6"/>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Ansi="宋体" w:eastAsia="宋体"/>
          <w:szCs w:val="24"/>
        </w:rPr>
      </w:pPr>
      <w:r>
        <w:rPr>
          <w:rFonts w:hint="eastAsia" w:hAnsi="宋体" w:eastAsia="宋体"/>
          <w:szCs w:val="24"/>
        </w:rPr>
        <w:t>4</w:t>
      </w:r>
      <w:r>
        <w:rPr>
          <w:rFonts w:hAnsi="宋体" w:eastAsia="宋体"/>
          <w:szCs w:val="24"/>
        </w:rPr>
        <w:t>.替代原则：遵循替代原则，要求估价结果不得明显偏离类似房地产在同等条件下的正常价格。</w:t>
      </w:r>
    </w:p>
    <w:p>
      <w:pPr>
        <w:pStyle w:val="6"/>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Ansi="宋体" w:eastAsia="宋体"/>
          <w:szCs w:val="24"/>
        </w:rPr>
      </w:pPr>
      <w:r>
        <w:rPr>
          <w:rFonts w:hint="eastAsia" w:hAnsi="宋体" w:eastAsia="宋体"/>
          <w:szCs w:val="24"/>
        </w:rPr>
        <w:t>5</w:t>
      </w:r>
      <w:r>
        <w:rPr>
          <w:rFonts w:hAnsi="宋体" w:eastAsia="宋体"/>
          <w:szCs w:val="24"/>
        </w:rPr>
        <w:t>.最高最佳</w:t>
      </w:r>
      <w:r>
        <w:rPr>
          <w:rFonts w:hint="eastAsia" w:hAnsi="宋体" w:eastAsia="宋体"/>
          <w:szCs w:val="24"/>
        </w:rPr>
        <w:t>利</w:t>
      </w:r>
      <w:r>
        <w:rPr>
          <w:rFonts w:hAnsi="宋体" w:eastAsia="宋体"/>
          <w:szCs w:val="24"/>
        </w:rPr>
        <w:t>用原则：遵循最高最佳使用原则，应以估价对象的最高最佳使用为前提估价。</w:t>
      </w:r>
    </w:p>
    <w:p>
      <w:pPr>
        <w:pStyle w:val="6"/>
        <w:keepNext w:val="0"/>
        <w:keepLines w:val="0"/>
        <w:pageBreakBefore w:val="0"/>
        <w:widowControl w:val="0"/>
        <w:kinsoku/>
        <w:wordWrap/>
        <w:overflowPunct/>
        <w:topLinePunct w:val="0"/>
        <w:autoSpaceDE/>
        <w:autoSpaceDN/>
        <w:bidi w:val="0"/>
        <w:adjustRightInd/>
        <w:spacing w:line="460" w:lineRule="exact"/>
        <w:textAlignment w:val="auto"/>
        <w:outlineLvl w:val="2"/>
        <w:rPr>
          <w:rFonts w:hAnsi="宋体" w:eastAsia="宋体"/>
          <w:b/>
          <w:bCs/>
          <w:szCs w:val="24"/>
        </w:rPr>
      </w:pPr>
      <w:r>
        <w:rPr>
          <w:rFonts w:hAnsi="宋体" w:eastAsia="宋体"/>
          <w:b/>
          <w:bCs/>
          <w:szCs w:val="24"/>
        </w:rPr>
        <w:t>九、估价方法</w:t>
      </w:r>
      <w:bookmarkEnd w:id="30"/>
    </w:p>
    <w:p>
      <w:pPr>
        <w:pStyle w:val="6"/>
        <w:keepNext w:val="0"/>
        <w:keepLines w:val="0"/>
        <w:pageBreakBefore w:val="0"/>
        <w:widowControl w:val="0"/>
        <w:kinsoku/>
        <w:wordWrap/>
        <w:overflowPunct/>
        <w:topLinePunct w:val="0"/>
        <w:autoSpaceDE/>
        <w:autoSpaceDN/>
        <w:bidi w:val="0"/>
        <w:adjustRightInd/>
        <w:spacing w:line="460" w:lineRule="exact"/>
        <w:ind w:firstLine="240" w:firstLineChars="100"/>
        <w:textAlignment w:val="auto"/>
        <w:outlineLvl w:val="2"/>
        <w:rPr>
          <w:rFonts w:hAnsi="宋体" w:eastAsia="宋体"/>
          <w:bCs/>
          <w:szCs w:val="24"/>
        </w:rPr>
      </w:pPr>
      <w:r>
        <w:rPr>
          <w:rFonts w:hint="eastAsia" w:hAnsi="宋体" w:eastAsia="宋体"/>
          <w:bCs/>
          <w:szCs w:val="24"/>
        </w:rPr>
        <w:t xml:space="preserve">  依照国家行业标准《房地产估价规范》，通常的估价方法有比较法、收益法、假设开发法、成本法等。比较法适用于同类房地产交易案例较多的房地产估价；收益法适用于有收益或潜在收益性的房地产估价；成本法简要地说是根据估价对象的重置成本或重建成本求取估价对象价值或价格的方法；假设开发法适用于具有开发或在开发潜力的房地产估价。</w:t>
      </w:r>
    </w:p>
    <w:p>
      <w:pPr>
        <w:pStyle w:val="6"/>
        <w:spacing w:line="480" w:lineRule="exact"/>
        <w:ind w:firstLine="240" w:firstLineChars="100"/>
        <w:outlineLvl w:val="2"/>
        <w:rPr>
          <w:rFonts w:hAnsi="宋体" w:eastAsia="宋体"/>
          <w:bCs/>
          <w:szCs w:val="24"/>
        </w:rPr>
      </w:pPr>
      <w:r>
        <w:rPr>
          <w:rFonts w:hint="eastAsia" w:hAnsi="宋体" w:eastAsia="宋体"/>
          <w:bCs/>
          <w:szCs w:val="24"/>
        </w:rPr>
        <w:t xml:space="preserve">  根据委托人提供的资料及评估人员实地勘察，在遵循估价原则的基础上，深入细致地分析了该物业的特点和实际状况，决定选用比较法作为本次估价方法。</w:t>
      </w:r>
    </w:p>
    <w:p>
      <w:pPr>
        <w:spacing w:line="480" w:lineRule="exact"/>
        <w:ind w:firstLine="480" w:firstLineChars="200"/>
        <w:rPr>
          <w:rFonts w:ascii="宋体" w:hAnsi="宋体" w:eastAsia="宋体"/>
          <w:szCs w:val="24"/>
        </w:rPr>
      </w:pPr>
      <w:r>
        <w:rPr>
          <w:rFonts w:hint="eastAsia" w:hAnsi="宋体" w:eastAsia="宋体"/>
          <w:bCs/>
          <w:szCs w:val="24"/>
        </w:rPr>
        <w:t>所谓比较法：将估价对象与在价值时点近期有过交易的类似房地产进行比较，对这些类似房地产的已知价格做适当的修正，以此估算估价对象的客观合理价格或价值的方法。</w:t>
      </w:r>
      <w:r>
        <w:rPr>
          <w:rFonts w:hint="eastAsia" w:ascii="宋体" w:hAnsi="宋体" w:eastAsia="宋体"/>
          <w:szCs w:val="24"/>
        </w:rPr>
        <w:t>比较法是选取一定数量的可比实例，将它们与估价对象进行比较，根据其间的差异对可比实例成交价格进行处理后得到估价对象价值或价格的方法。比较法的本质是以房地产的实际成交价格为正常成交价格来求取房地产的价值，其理论依据是房地产价格形成的替代原理——同一种商品在同一个市场上具有相同的市场价值。</w:t>
      </w:r>
    </w:p>
    <w:p>
      <w:pPr>
        <w:spacing w:line="480" w:lineRule="exact"/>
        <w:ind w:firstLine="480" w:firstLineChars="200"/>
        <w:rPr>
          <w:rFonts w:ascii="宋体" w:hAnsi="宋体" w:eastAsia="宋体"/>
          <w:szCs w:val="24"/>
        </w:rPr>
      </w:pPr>
      <w:r>
        <w:rPr>
          <w:rFonts w:hint="eastAsia" w:ascii="宋体" w:hAnsi="宋体" w:eastAsia="宋体"/>
          <w:szCs w:val="24"/>
        </w:rPr>
        <w:t>比较价值＝可比实例价格×交易情况修正系数×市场状况调整系数×房地产状况调整系数</w:t>
      </w:r>
    </w:p>
    <w:p>
      <w:pPr>
        <w:pStyle w:val="4"/>
        <w:spacing w:line="480" w:lineRule="exact"/>
        <w:ind w:firstLine="0"/>
        <w:outlineLvl w:val="2"/>
        <w:rPr>
          <w:rFonts w:ascii="宋体" w:hAnsi="宋体"/>
          <w:b/>
          <w:bCs/>
          <w:sz w:val="24"/>
          <w:szCs w:val="24"/>
        </w:rPr>
      </w:pPr>
      <w:bookmarkStart w:id="31" w:name="_Toc391884259"/>
      <w:r>
        <w:rPr>
          <w:rFonts w:ascii="宋体" w:hAnsi="宋体"/>
          <w:b/>
          <w:bCs/>
          <w:sz w:val="24"/>
          <w:szCs w:val="24"/>
        </w:rPr>
        <w:t>十、估价结果</w:t>
      </w:r>
      <w:bookmarkEnd w:id="31"/>
    </w:p>
    <w:p>
      <w:pPr>
        <w:spacing w:line="480" w:lineRule="exact"/>
        <w:ind w:firstLine="480" w:firstLineChars="200"/>
        <w:rPr>
          <w:rFonts w:ascii="宋体" w:hAnsi="宋体" w:eastAsia="宋体"/>
          <w:szCs w:val="24"/>
        </w:rPr>
      </w:pPr>
      <w:r>
        <w:rPr>
          <w:rFonts w:hint="eastAsia" w:ascii="宋体" w:hAnsi="宋体" w:eastAsia="宋体"/>
          <w:szCs w:val="24"/>
        </w:rPr>
        <w:t>本次评估</w:t>
      </w:r>
      <w:r>
        <w:rPr>
          <w:rFonts w:ascii="宋体" w:hAnsi="宋体" w:eastAsia="宋体"/>
          <w:szCs w:val="24"/>
        </w:rPr>
        <w:t>依照估价目的，遵循估价原则，按照估价工作程序，采用</w:t>
      </w:r>
      <w:r>
        <w:rPr>
          <w:rFonts w:hint="eastAsia" w:ascii="宋体" w:hAnsi="宋体" w:eastAsia="宋体"/>
          <w:szCs w:val="24"/>
        </w:rPr>
        <w:t>比较法</w:t>
      </w:r>
      <w:r>
        <w:rPr>
          <w:rFonts w:ascii="宋体" w:hAnsi="宋体" w:eastAsia="宋体"/>
          <w:szCs w:val="24"/>
        </w:rPr>
        <w:t>，经对房地产市场行情和估价对象的分析和测算，</w:t>
      </w:r>
      <w:r>
        <w:rPr>
          <w:rFonts w:hint="eastAsia" w:ascii="宋体" w:hAnsi="宋体" w:eastAsia="宋体"/>
          <w:szCs w:val="24"/>
        </w:rPr>
        <w:t>确定估价对象于价值时点</w:t>
      </w:r>
      <w:r>
        <w:rPr>
          <w:rFonts w:hint="eastAsia" w:ascii="宋体" w:hAnsi="宋体" w:eastAsia="宋体"/>
          <w:szCs w:val="24"/>
          <w:lang w:eastAsia="zh-CN"/>
        </w:rPr>
        <w:t>2022年7月25日</w:t>
      </w:r>
      <w:r>
        <w:rPr>
          <w:rFonts w:hint="eastAsia" w:ascii="宋体" w:hAnsi="宋体" w:eastAsia="宋体"/>
          <w:szCs w:val="24"/>
        </w:rPr>
        <w:t>的房地产公开市场价值为</w:t>
      </w:r>
      <w:r>
        <w:rPr>
          <w:rFonts w:hint="eastAsia" w:ascii="宋体" w:hAnsi="宋体" w:eastAsia="宋体"/>
          <w:b/>
          <w:szCs w:val="24"/>
          <w:lang w:eastAsia="zh-CN"/>
        </w:rPr>
        <w:t>1335656</w:t>
      </w:r>
      <w:r>
        <w:rPr>
          <w:rFonts w:hint="eastAsia" w:ascii="宋体" w:hAnsi="宋体" w:eastAsia="宋体"/>
          <w:szCs w:val="24"/>
        </w:rPr>
        <w:t>元，大写人民币</w:t>
      </w:r>
      <w:r>
        <w:rPr>
          <w:rFonts w:hint="eastAsia" w:ascii="宋体" w:hAnsi="宋体" w:eastAsia="宋体"/>
          <w:b/>
          <w:szCs w:val="24"/>
          <w:lang w:eastAsia="zh-CN"/>
        </w:rPr>
        <w:t>壹佰叁拾叁万伍仟陆佰伍拾陆</w:t>
      </w:r>
      <w:r>
        <w:rPr>
          <w:rFonts w:hint="eastAsia" w:ascii="宋体" w:hAnsi="宋体" w:eastAsia="宋体"/>
          <w:b/>
          <w:szCs w:val="24"/>
        </w:rPr>
        <w:t>元整</w:t>
      </w:r>
      <w:r>
        <w:rPr>
          <w:rFonts w:hint="eastAsia" w:ascii="宋体" w:hAnsi="宋体" w:eastAsia="宋体"/>
          <w:szCs w:val="24"/>
        </w:rPr>
        <w:t>（估价结果精确到元）。</w:t>
      </w:r>
      <w:r>
        <w:rPr>
          <w:rFonts w:ascii="宋体" w:hAnsi="宋体" w:eastAsia="宋体"/>
          <w:szCs w:val="24"/>
        </w:rPr>
        <w:t xml:space="preserve"> </w:t>
      </w:r>
    </w:p>
    <w:tbl>
      <w:tblPr>
        <w:tblStyle w:val="12"/>
        <w:tblW w:w="5000" w:type="pct"/>
        <w:tblInd w:w="0" w:type="dxa"/>
        <w:tblLayout w:type="autofit"/>
        <w:tblCellMar>
          <w:top w:w="0" w:type="dxa"/>
          <w:left w:w="108" w:type="dxa"/>
          <w:bottom w:w="0" w:type="dxa"/>
          <w:right w:w="108" w:type="dxa"/>
        </w:tblCellMar>
      </w:tblPr>
      <w:tblGrid>
        <w:gridCol w:w="2314"/>
        <w:gridCol w:w="1786"/>
        <w:gridCol w:w="2181"/>
        <w:gridCol w:w="2247"/>
      </w:tblGrid>
      <w:tr>
        <w:tblPrEx>
          <w:tblCellMar>
            <w:top w:w="0" w:type="dxa"/>
            <w:left w:w="108" w:type="dxa"/>
            <w:bottom w:w="0" w:type="dxa"/>
            <w:right w:w="108" w:type="dxa"/>
          </w:tblCellMar>
        </w:tblPrEx>
        <w:trPr>
          <w:trHeight w:val="465" w:hRule="atLeast"/>
        </w:trPr>
        <w:tc>
          <w:tcPr>
            <w:tcW w:w="135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黑体" w:hAnsi="黑体" w:eastAsia="黑体" w:cs="宋体"/>
                <w:b/>
                <w:bCs/>
                <w:color w:val="000000"/>
                <w:kern w:val="0"/>
                <w:szCs w:val="24"/>
              </w:rPr>
            </w:pPr>
            <w:r>
              <w:rPr>
                <w:rFonts w:hint="eastAsia" w:ascii="黑体" w:hAnsi="黑体" w:eastAsia="黑体" w:cs="宋体"/>
                <w:b/>
                <w:bCs/>
                <w:color w:val="000000"/>
                <w:kern w:val="0"/>
                <w:szCs w:val="24"/>
              </w:rPr>
              <w:t>估 价 对 象</w:t>
            </w:r>
          </w:p>
        </w:tc>
        <w:tc>
          <w:tcPr>
            <w:tcW w:w="1047"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黑体" w:hAnsi="黑体" w:eastAsia="黑体" w:cs="宋体"/>
                <w:b/>
                <w:bCs/>
                <w:color w:val="000000"/>
                <w:kern w:val="0"/>
                <w:szCs w:val="24"/>
              </w:rPr>
            </w:pPr>
            <w:r>
              <w:rPr>
                <w:rFonts w:hint="eastAsia" w:ascii="黑体" w:hAnsi="黑体" w:eastAsia="黑体" w:cs="宋体"/>
                <w:b/>
                <w:bCs/>
                <w:color w:val="000000"/>
                <w:kern w:val="0"/>
                <w:szCs w:val="24"/>
              </w:rPr>
              <w:t>建筑面积                （㎡）</w:t>
            </w:r>
          </w:p>
        </w:tc>
        <w:tc>
          <w:tcPr>
            <w:tcW w:w="1278"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黑体" w:hAnsi="黑体" w:eastAsia="黑体" w:cs="宋体"/>
                <w:b/>
                <w:bCs/>
                <w:color w:val="000000"/>
                <w:kern w:val="0"/>
                <w:szCs w:val="24"/>
              </w:rPr>
            </w:pPr>
            <w:r>
              <w:rPr>
                <w:rFonts w:hint="eastAsia" w:ascii="黑体" w:hAnsi="黑体" w:eastAsia="黑体" w:cs="宋体"/>
                <w:b/>
                <w:bCs/>
                <w:color w:val="000000"/>
                <w:kern w:val="0"/>
                <w:szCs w:val="24"/>
              </w:rPr>
              <w:t>评估单价                 （元/㎡）</w:t>
            </w:r>
          </w:p>
        </w:tc>
        <w:tc>
          <w:tcPr>
            <w:tcW w:w="131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黑体" w:hAnsi="黑体" w:eastAsia="黑体" w:cs="宋体"/>
                <w:b/>
                <w:bCs/>
                <w:color w:val="000000"/>
                <w:kern w:val="0"/>
                <w:szCs w:val="24"/>
              </w:rPr>
            </w:pPr>
            <w:r>
              <w:rPr>
                <w:rFonts w:hint="eastAsia" w:ascii="黑体" w:hAnsi="黑体" w:eastAsia="黑体" w:cs="宋体"/>
                <w:b/>
                <w:bCs/>
                <w:color w:val="000000"/>
                <w:kern w:val="0"/>
                <w:szCs w:val="24"/>
              </w:rPr>
              <w:t>房地产公开市场价值（元）</w:t>
            </w:r>
          </w:p>
        </w:tc>
      </w:tr>
      <w:tr>
        <w:tblPrEx>
          <w:tblCellMar>
            <w:top w:w="0" w:type="dxa"/>
            <w:left w:w="108" w:type="dxa"/>
            <w:bottom w:w="0" w:type="dxa"/>
            <w:right w:w="108" w:type="dxa"/>
          </w:tblCellMar>
        </w:tblPrEx>
        <w:trPr>
          <w:trHeight w:val="312" w:hRule="atLeast"/>
        </w:trPr>
        <w:tc>
          <w:tcPr>
            <w:tcW w:w="135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黑体" w:hAnsi="黑体" w:eastAsia="黑体" w:cs="宋体"/>
                <w:b/>
                <w:bCs/>
                <w:color w:val="000000"/>
                <w:kern w:val="0"/>
                <w:sz w:val="21"/>
                <w:szCs w:val="21"/>
              </w:rPr>
            </w:pPr>
          </w:p>
        </w:tc>
        <w:tc>
          <w:tcPr>
            <w:tcW w:w="1047"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黑体" w:hAnsi="黑体" w:eastAsia="黑体" w:cs="宋体"/>
                <w:b/>
                <w:bCs/>
                <w:color w:val="000000"/>
                <w:kern w:val="0"/>
                <w:sz w:val="21"/>
                <w:szCs w:val="21"/>
              </w:rPr>
            </w:pPr>
          </w:p>
        </w:tc>
        <w:tc>
          <w:tcPr>
            <w:tcW w:w="1278"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黑体" w:hAnsi="黑体" w:eastAsia="黑体" w:cs="宋体"/>
                <w:b/>
                <w:bCs/>
                <w:color w:val="000000"/>
                <w:kern w:val="0"/>
                <w:sz w:val="21"/>
                <w:szCs w:val="21"/>
              </w:rPr>
            </w:pPr>
          </w:p>
        </w:tc>
        <w:tc>
          <w:tcPr>
            <w:tcW w:w="131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黑体" w:hAnsi="黑体" w:eastAsia="黑体" w:cs="宋体"/>
                <w:b/>
                <w:bCs/>
                <w:color w:val="000000"/>
                <w:kern w:val="0"/>
                <w:sz w:val="21"/>
                <w:szCs w:val="21"/>
              </w:rPr>
            </w:pPr>
          </w:p>
        </w:tc>
      </w:tr>
      <w:tr>
        <w:tblPrEx>
          <w:tblCellMar>
            <w:top w:w="0" w:type="dxa"/>
            <w:left w:w="108" w:type="dxa"/>
            <w:bottom w:w="0" w:type="dxa"/>
            <w:right w:w="108" w:type="dxa"/>
          </w:tblCellMar>
        </w:tblPrEx>
        <w:trPr>
          <w:trHeight w:val="510" w:hRule="atLeast"/>
        </w:trPr>
        <w:tc>
          <w:tcPr>
            <w:tcW w:w="13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1"/>
                <w:szCs w:val="21"/>
              </w:rPr>
            </w:pPr>
            <w:r>
              <w:rPr>
                <w:rFonts w:hint="eastAsia" w:ascii="宋体" w:hAnsi="宋体" w:eastAsia="宋体"/>
                <w:szCs w:val="24"/>
                <w:lang w:eastAsia="zh-CN"/>
              </w:rPr>
              <w:t>鹤溪镇金信丽苑5幢1单元402室</w:t>
            </w:r>
          </w:p>
        </w:tc>
        <w:tc>
          <w:tcPr>
            <w:tcW w:w="104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olor w:val="000000"/>
                <w:kern w:val="0"/>
                <w:szCs w:val="24"/>
                <w:lang w:eastAsia="zh-CN"/>
              </w:rPr>
            </w:pPr>
            <w:r>
              <w:rPr>
                <w:rFonts w:hint="eastAsia" w:asciiTheme="minorEastAsia" w:hAnsiTheme="minorEastAsia" w:eastAsiaTheme="minorEastAsia"/>
                <w:color w:val="000000"/>
                <w:kern w:val="0"/>
                <w:szCs w:val="24"/>
                <w:lang w:eastAsia="zh-CN"/>
              </w:rPr>
              <w:t>148.11</w:t>
            </w:r>
          </w:p>
        </w:tc>
        <w:tc>
          <w:tcPr>
            <w:tcW w:w="1278"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default" w:asciiTheme="minorEastAsia" w:hAnsiTheme="minorEastAsia" w:eastAsiaTheme="minorEastAsia"/>
                <w:kern w:val="0"/>
                <w:szCs w:val="24"/>
                <w:lang w:val="en-US" w:eastAsia="zh-CN"/>
              </w:rPr>
            </w:pPr>
            <w:r>
              <w:rPr>
                <w:rFonts w:hint="eastAsia" w:asciiTheme="minorEastAsia" w:hAnsiTheme="minorEastAsia" w:eastAsiaTheme="minorEastAsia"/>
                <w:kern w:val="0"/>
                <w:szCs w:val="24"/>
                <w:lang w:val="en-US" w:eastAsia="zh-CN"/>
              </w:rPr>
              <w:t>9018</w:t>
            </w:r>
          </w:p>
        </w:tc>
        <w:tc>
          <w:tcPr>
            <w:tcW w:w="13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default" w:asciiTheme="minorEastAsia" w:hAnsiTheme="minorEastAsia" w:eastAsiaTheme="minorEastAsia"/>
                <w:kern w:val="0"/>
                <w:szCs w:val="24"/>
                <w:lang w:val="en-US" w:eastAsia="zh-CN"/>
              </w:rPr>
            </w:pPr>
            <w:r>
              <w:rPr>
                <w:rFonts w:hint="eastAsia" w:asciiTheme="minorEastAsia" w:hAnsiTheme="minorEastAsia" w:eastAsiaTheme="minorEastAsia"/>
                <w:kern w:val="0"/>
                <w:szCs w:val="24"/>
                <w:lang w:val="en-US" w:eastAsia="zh-CN"/>
              </w:rPr>
              <w:t>1335656</w:t>
            </w:r>
          </w:p>
        </w:tc>
      </w:tr>
      <w:tr>
        <w:tblPrEx>
          <w:tblCellMar>
            <w:top w:w="0" w:type="dxa"/>
            <w:left w:w="108" w:type="dxa"/>
            <w:bottom w:w="0" w:type="dxa"/>
            <w:right w:w="108" w:type="dxa"/>
          </w:tblCellMar>
        </w:tblPrEx>
        <w:trPr>
          <w:trHeight w:val="572" w:hRule="atLeast"/>
        </w:trPr>
        <w:tc>
          <w:tcPr>
            <w:tcW w:w="13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合计</w:t>
            </w:r>
          </w:p>
        </w:tc>
        <w:tc>
          <w:tcPr>
            <w:tcW w:w="104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Theme="minorEastAsia" w:hAnsiTheme="minorEastAsia" w:eastAsiaTheme="minorEastAsia"/>
                <w:b/>
                <w:bCs/>
                <w:color w:val="000000"/>
                <w:kern w:val="0"/>
                <w:szCs w:val="24"/>
              </w:rPr>
            </w:pPr>
            <w:r>
              <w:rPr>
                <w:rFonts w:asciiTheme="minorEastAsia" w:hAnsiTheme="minorEastAsia" w:eastAsiaTheme="minorEastAsia"/>
                <w:b/>
                <w:bCs/>
                <w:color w:val="000000"/>
                <w:kern w:val="0"/>
                <w:szCs w:val="24"/>
              </w:rPr>
              <w:t>/</w:t>
            </w:r>
          </w:p>
        </w:tc>
        <w:tc>
          <w:tcPr>
            <w:tcW w:w="1278"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Theme="minorEastAsia" w:hAnsiTheme="minorEastAsia" w:eastAsiaTheme="minorEastAsia"/>
                <w:b/>
                <w:kern w:val="0"/>
                <w:szCs w:val="24"/>
              </w:rPr>
            </w:pPr>
            <w:r>
              <w:rPr>
                <w:rFonts w:asciiTheme="minorEastAsia" w:hAnsiTheme="minorEastAsia" w:eastAsiaTheme="minorEastAsia"/>
                <w:b/>
                <w:kern w:val="0"/>
                <w:szCs w:val="24"/>
              </w:rPr>
              <w:t>/</w:t>
            </w:r>
          </w:p>
        </w:tc>
        <w:tc>
          <w:tcPr>
            <w:tcW w:w="13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b/>
                <w:kern w:val="0"/>
                <w:szCs w:val="24"/>
                <w:lang w:eastAsia="zh-CN"/>
              </w:rPr>
            </w:pPr>
            <w:r>
              <w:rPr>
                <w:rFonts w:hint="eastAsia" w:asciiTheme="minorEastAsia" w:hAnsiTheme="minorEastAsia" w:eastAsiaTheme="minorEastAsia"/>
                <w:b/>
                <w:kern w:val="0"/>
                <w:szCs w:val="24"/>
                <w:lang w:eastAsia="zh-CN"/>
              </w:rPr>
              <w:t>1335656</w:t>
            </w:r>
          </w:p>
        </w:tc>
      </w:tr>
    </w:tbl>
    <w:p>
      <w:pPr>
        <w:spacing w:line="480" w:lineRule="atLeast"/>
        <w:rPr>
          <w:rFonts w:ascii="宋体" w:hAnsi="宋体" w:eastAsia="宋体"/>
          <w:b/>
          <w:bCs/>
          <w:szCs w:val="24"/>
        </w:rPr>
      </w:pPr>
      <w:bookmarkStart w:id="32" w:name="_Toc391884260"/>
      <w:r>
        <w:rPr>
          <w:rFonts w:ascii="宋体" w:hAnsi="宋体" w:eastAsia="宋体"/>
          <w:b/>
          <w:bCs/>
          <w:szCs w:val="24"/>
        </w:rPr>
        <w:t>十一、估价人员</w:t>
      </w:r>
      <w:bookmarkEnd w:id="32"/>
    </w:p>
    <w:p>
      <w:pPr>
        <w:spacing w:line="480" w:lineRule="exact"/>
        <w:ind w:firstLine="480" w:firstLineChars="200"/>
        <w:rPr>
          <w:rFonts w:ascii="宋体" w:hAnsi="宋体" w:eastAsia="宋体"/>
          <w:szCs w:val="24"/>
        </w:rPr>
      </w:pPr>
      <w:bookmarkStart w:id="33" w:name="_Toc391884261"/>
      <w:r>
        <w:rPr>
          <w:rFonts w:hint="eastAsia" w:ascii="宋体" w:hAnsi="宋体" w:eastAsia="宋体"/>
          <w:szCs w:val="24"/>
        </w:rPr>
        <w:t>注册房地产估价师            注册号          估价师签名</w:t>
      </w:r>
    </w:p>
    <w:p>
      <w:pPr>
        <w:spacing w:line="480" w:lineRule="exact"/>
        <w:ind w:firstLine="960" w:firstLineChars="400"/>
        <w:rPr>
          <w:rFonts w:ascii="宋体" w:hAnsi="宋体" w:eastAsia="宋体"/>
          <w:szCs w:val="24"/>
        </w:rPr>
      </w:pPr>
      <w:r>
        <w:rPr>
          <w:rFonts w:hint="eastAsia" w:ascii="宋体" w:hAnsi="宋体" w:eastAsia="宋体"/>
          <w:szCs w:val="24"/>
        </w:rPr>
        <w:t>张卫建                3319970080</w:t>
      </w:r>
    </w:p>
    <w:p>
      <w:pPr>
        <w:spacing w:line="480" w:lineRule="exact"/>
        <w:ind w:firstLine="960" w:firstLineChars="400"/>
        <w:rPr>
          <w:rFonts w:ascii="宋体" w:hAnsi="宋体" w:eastAsia="宋体"/>
          <w:szCs w:val="24"/>
        </w:rPr>
      </w:pPr>
      <w:r>
        <w:rPr>
          <w:rFonts w:hint="eastAsia" w:ascii="宋体" w:hAnsi="宋体" w:eastAsia="宋体"/>
          <w:szCs w:val="24"/>
        </w:rPr>
        <w:t xml:space="preserve">常玉全                3320140097       </w:t>
      </w:r>
    </w:p>
    <w:p>
      <w:pPr>
        <w:pStyle w:val="6"/>
        <w:tabs>
          <w:tab w:val="left" w:pos="5940"/>
        </w:tabs>
        <w:topLinePunct/>
        <w:spacing w:line="480" w:lineRule="atLeast"/>
        <w:rPr>
          <w:rFonts w:hAnsi="宋体" w:eastAsia="宋体"/>
        </w:rPr>
      </w:pPr>
      <w:r>
        <w:rPr>
          <w:rFonts w:hAnsi="宋体" w:eastAsia="宋体"/>
          <w:b/>
          <w:bCs/>
          <w:szCs w:val="24"/>
        </w:rPr>
        <w:t>十二、估价作业日期</w:t>
      </w:r>
      <w:bookmarkEnd w:id="33"/>
    </w:p>
    <w:p>
      <w:pPr>
        <w:pStyle w:val="4"/>
        <w:spacing w:line="480" w:lineRule="atLeast"/>
        <w:ind w:firstLine="480" w:firstLineChars="200"/>
        <w:rPr>
          <w:rFonts w:hint="eastAsia" w:ascii="宋体" w:hAnsi="宋体" w:eastAsia="宋体"/>
          <w:sz w:val="24"/>
          <w:szCs w:val="24"/>
          <w:lang w:eastAsia="zh-CN"/>
        </w:rPr>
      </w:pPr>
      <w:r>
        <w:rPr>
          <w:rFonts w:hint="eastAsia" w:ascii="宋体" w:hAnsi="宋体"/>
          <w:sz w:val="24"/>
          <w:szCs w:val="24"/>
          <w:lang w:eastAsia="zh-CN"/>
        </w:rPr>
        <w:t>2022年7月25日</w:t>
      </w:r>
      <w:r>
        <w:rPr>
          <w:rFonts w:ascii="宋体" w:hAnsi="宋体"/>
          <w:sz w:val="24"/>
          <w:szCs w:val="24"/>
        </w:rPr>
        <w:t>至</w:t>
      </w:r>
      <w:r>
        <w:rPr>
          <w:rFonts w:hint="eastAsia" w:ascii="宋体" w:hAnsi="宋体"/>
          <w:sz w:val="24"/>
          <w:szCs w:val="24"/>
          <w:lang w:eastAsia="zh-CN"/>
        </w:rPr>
        <w:t>2022年8月6日</w:t>
      </w:r>
    </w:p>
    <w:p>
      <w:pPr>
        <w:pStyle w:val="4"/>
        <w:spacing w:line="480" w:lineRule="atLeast"/>
        <w:ind w:firstLine="0"/>
        <w:outlineLvl w:val="2"/>
        <w:rPr>
          <w:rFonts w:ascii="宋体" w:hAnsi="宋体"/>
          <w:b/>
          <w:bCs/>
          <w:sz w:val="24"/>
          <w:szCs w:val="24"/>
        </w:rPr>
      </w:pPr>
      <w:bookmarkStart w:id="34" w:name="_Toc391884262"/>
      <w:r>
        <w:rPr>
          <w:rFonts w:ascii="宋体" w:hAnsi="宋体"/>
          <w:b/>
          <w:bCs/>
          <w:sz w:val="24"/>
          <w:szCs w:val="24"/>
        </w:rPr>
        <w:t>十三、估价报告使用期限</w:t>
      </w:r>
      <w:bookmarkEnd w:id="34"/>
    </w:p>
    <w:p>
      <w:pPr>
        <w:pStyle w:val="4"/>
        <w:spacing w:line="480" w:lineRule="atLeast"/>
        <w:ind w:firstLine="480" w:firstLineChars="200"/>
        <w:rPr>
          <w:rFonts w:ascii="宋体" w:hAnsi="宋体"/>
          <w:sz w:val="24"/>
          <w:szCs w:val="24"/>
        </w:rPr>
      </w:pPr>
      <w:r>
        <w:rPr>
          <w:rFonts w:ascii="宋体" w:hAnsi="宋体"/>
          <w:sz w:val="24"/>
          <w:szCs w:val="24"/>
        </w:rPr>
        <w:t>自提交估价报告之日起</w:t>
      </w:r>
      <w:r>
        <w:rPr>
          <w:rFonts w:hint="eastAsia" w:ascii="宋体" w:hAnsi="宋体"/>
          <w:sz w:val="24"/>
          <w:szCs w:val="24"/>
        </w:rPr>
        <w:t>壹</w:t>
      </w:r>
      <w:r>
        <w:rPr>
          <w:rFonts w:ascii="宋体" w:hAnsi="宋体"/>
          <w:sz w:val="24"/>
          <w:szCs w:val="24"/>
        </w:rPr>
        <w:t>年（</w:t>
      </w:r>
      <w:r>
        <w:rPr>
          <w:rFonts w:hint="eastAsia" w:ascii="宋体" w:hAnsi="宋体"/>
          <w:sz w:val="24"/>
          <w:szCs w:val="24"/>
          <w:lang w:eastAsia="zh-CN"/>
        </w:rPr>
        <w:t>2022年8月6日</w:t>
      </w:r>
      <w:r>
        <w:rPr>
          <w:rFonts w:ascii="宋体" w:hAnsi="宋体"/>
          <w:sz w:val="24"/>
          <w:szCs w:val="24"/>
        </w:rPr>
        <w:t>至</w:t>
      </w:r>
      <w:r>
        <w:rPr>
          <w:rFonts w:hint="eastAsia" w:ascii="宋体" w:hAnsi="宋体"/>
          <w:sz w:val="24"/>
          <w:szCs w:val="24"/>
          <w:lang w:eastAsia="zh-CN"/>
        </w:rPr>
        <w:t>2023年8月5日</w:t>
      </w:r>
      <w:r>
        <w:rPr>
          <w:rFonts w:ascii="宋体" w:hAnsi="宋体"/>
          <w:sz w:val="24"/>
          <w:szCs w:val="24"/>
        </w:rPr>
        <w:t>止）</w:t>
      </w:r>
    </w:p>
    <w:p>
      <w:pPr>
        <w:pStyle w:val="4"/>
        <w:spacing w:line="420" w:lineRule="atLeast"/>
        <w:ind w:right="26" w:firstLine="3960" w:firstLineChars="1650"/>
        <w:jc w:val="center"/>
        <w:rPr>
          <w:rFonts w:ascii="宋体" w:hAnsi="宋体"/>
          <w:sz w:val="24"/>
          <w:szCs w:val="24"/>
        </w:rPr>
      </w:pPr>
      <w:r>
        <w:rPr>
          <w:rFonts w:hint="eastAsia" w:ascii="宋体" w:hAnsi="宋体"/>
          <w:sz w:val="24"/>
          <w:szCs w:val="24"/>
        </w:rPr>
        <w:t>丽水市金恒房地产土地资产评估有限公司</w:t>
      </w:r>
    </w:p>
    <w:p>
      <w:pPr>
        <w:pStyle w:val="4"/>
        <w:spacing w:line="420" w:lineRule="atLeast"/>
        <w:ind w:right="26" w:firstLine="4200" w:firstLineChars="1750"/>
        <w:rPr>
          <w:rFonts w:hint="eastAsia" w:ascii="宋体" w:hAnsi="宋体" w:eastAsia="宋体"/>
          <w:sz w:val="24"/>
          <w:szCs w:val="24"/>
          <w:lang w:eastAsia="zh-CN"/>
        </w:rPr>
      </w:pPr>
      <w:r>
        <w:rPr>
          <w:rFonts w:hint="eastAsia" w:ascii="宋体" w:hAnsi="宋体"/>
          <w:sz w:val="24"/>
          <w:szCs w:val="24"/>
        </w:rPr>
        <w:t xml:space="preserve">        </w:t>
      </w:r>
      <w:r>
        <w:rPr>
          <w:rFonts w:hint="eastAsia" w:ascii="宋体" w:hAnsi="宋体"/>
          <w:sz w:val="24"/>
          <w:szCs w:val="24"/>
          <w:lang w:eastAsia="zh-CN"/>
        </w:rPr>
        <w:t>2022年8月6日</w:t>
      </w:r>
    </w:p>
    <w:p>
      <w:pPr>
        <w:pStyle w:val="4"/>
        <w:spacing w:line="420" w:lineRule="atLeast"/>
        <w:ind w:right="26" w:firstLine="4200" w:firstLineChars="1750"/>
        <w:rPr>
          <w:rFonts w:ascii="宋体" w:hAnsi="宋体"/>
          <w:sz w:val="24"/>
          <w:szCs w:val="24"/>
        </w:rPr>
      </w:pPr>
    </w:p>
    <w:p>
      <w:pPr>
        <w:jc w:val="center"/>
        <w:rPr>
          <w:rFonts w:ascii="宋体" w:hAnsi="宋体" w:eastAsia="宋体"/>
          <w:b/>
          <w:sz w:val="36"/>
          <w:szCs w:val="36"/>
        </w:rPr>
      </w:pPr>
      <w:r>
        <w:rPr>
          <w:rFonts w:hint="eastAsia" w:ascii="宋体" w:hAnsi="宋体" w:eastAsia="宋体"/>
          <w:b/>
          <w:sz w:val="36"/>
          <w:szCs w:val="36"/>
        </w:rPr>
        <w:t>第四部分  附件</w:t>
      </w:r>
    </w:p>
    <w:p>
      <w:pPr>
        <w:jc w:val="center"/>
        <w:rPr>
          <w:rFonts w:ascii="宋体" w:hAnsi="宋体" w:eastAsia="宋体"/>
          <w:b/>
          <w:sz w:val="36"/>
          <w:szCs w:val="36"/>
        </w:rPr>
      </w:pPr>
    </w:p>
    <w:p>
      <w:pPr>
        <w:pStyle w:val="4"/>
        <w:spacing w:line="520" w:lineRule="exact"/>
        <w:ind w:right="981" w:firstLine="0"/>
        <w:rPr>
          <w:rFonts w:ascii="宋体" w:hAnsi="宋体"/>
          <w:sz w:val="24"/>
          <w:szCs w:val="24"/>
        </w:rPr>
      </w:pPr>
      <w:r>
        <w:rPr>
          <w:rFonts w:hint="eastAsia" w:ascii="宋体" w:hAnsi="宋体"/>
          <w:sz w:val="24"/>
          <w:szCs w:val="24"/>
        </w:rPr>
        <w:t xml:space="preserve">  1.估价对象区域位置示意图</w:t>
      </w:r>
    </w:p>
    <w:p>
      <w:pPr>
        <w:pStyle w:val="4"/>
        <w:spacing w:line="520" w:lineRule="exact"/>
        <w:ind w:right="981" w:firstLine="0"/>
        <w:rPr>
          <w:rFonts w:ascii="宋体" w:hAnsi="宋体"/>
          <w:sz w:val="24"/>
          <w:szCs w:val="24"/>
        </w:rPr>
      </w:pPr>
      <w:r>
        <w:rPr>
          <w:rFonts w:hint="eastAsia" w:ascii="宋体" w:hAnsi="宋体"/>
          <w:sz w:val="24"/>
          <w:szCs w:val="24"/>
        </w:rPr>
        <w:t xml:space="preserve">  2.估价对象现场勘查照片</w:t>
      </w:r>
    </w:p>
    <w:p>
      <w:pPr>
        <w:pStyle w:val="4"/>
        <w:spacing w:line="520" w:lineRule="exact"/>
        <w:ind w:right="226" w:firstLine="0"/>
        <w:rPr>
          <w:rFonts w:ascii="宋体" w:hAnsi="宋体"/>
          <w:sz w:val="24"/>
          <w:szCs w:val="24"/>
        </w:rPr>
      </w:pPr>
      <w:r>
        <w:rPr>
          <w:rFonts w:hint="eastAsia" w:ascii="宋体" w:hAnsi="宋体"/>
          <w:sz w:val="24"/>
          <w:szCs w:val="24"/>
        </w:rPr>
        <w:t xml:space="preserve">  3.</w:t>
      </w:r>
      <w:r>
        <w:rPr>
          <w:rFonts w:hint="eastAsia" w:ascii="宋体" w:hAnsi="宋体"/>
          <w:sz w:val="24"/>
          <w:szCs w:val="24"/>
          <w:lang w:eastAsia="zh-CN"/>
        </w:rPr>
        <w:t>浙江省云和县人民法院</w:t>
      </w:r>
      <w:r>
        <w:rPr>
          <w:rFonts w:hint="eastAsia" w:ascii="宋体" w:hAnsi="宋体"/>
          <w:sz w:val="24"/>
          <w:szCs w:val="24"/>
        </w:rPr>
        <w:t>司法评估委托书（(2022)</w:t>
      </w:r>
      <w:r>
        <w:rPr>
          <w:rFonts w:hint="eastAsia" w:ascii="宋体" w:hAnsi="宋体"/>
          <w:sz w:val="24"/>
          <w:szCs w:val="24"/>
          <w:lang w:eastAsia="zh-CN"/>
        </w:rPr>
        <w:t>浙1125委评字第10号</w:t>
      </w:r>
      <w:r>
        <w:rPr>
          <w:rFonts w:hint="eastAsia" w:ascii="宋体" w:hAnsi="宋体"/>
          <w:sz w:val="24"/>
          <w:szCs w:val="24"/>
        </w:rPr>
        <w:t>）复印件</w:t>
      </w:r>
    </w:p>
    <w:p>
      <w:pPr>
        <w:pStyle w:val="4"/>
        <w:spacing w:line="520" w:lineRule="exact"/>
        <w:ind w:right="84" w:firstLine="0"/>
        <w:rPr>
          <w:rFonts w:ascii="宋体" w:hAnsi="宋体"/>
          <w:sz w:val="24"/>
          <w:szCs w:val="24"/>
        </w:rPr>
      </w:pPr>
      <w:r>
        <w:rPr>
          <w:rFonts w:hint="eastAsia" w:ascii="宋体" w:hAnsi="宋体"/>
          <w:sz w:val="24"/>
          <w:szCs w:val="24"/>
        </w:rPr>
        <w:t xml:space="preserve">  4.《</w:t>
      </w:r>
      <w:r>
        <w:rPr>
          <w:rFonts w:hint="eastAsia" w:ascii="宋体" w:hAnsi="宋体"/>
          <w:sz w:val="24"/>
          <w:szCs w:val="24"/>
          <w:lang w:eastAsia="zh-CN"/>
        </w:rPr>
        <w:t>景宁县不动产登记权属信息查询记录</w:t>
      </w:r>
      <w:r>
        <w:rPr>
          <w:rFonts w:hint="eastAsia" w:ascii="宋体" w:hAnsi="宋体"/>
          <w:sz w:val="24"/>
          <w:szCs w:val="24"/>
        </w:rPr>
        <w:t>》复印件</w:t>
      </w:r>
    </w:p>
    <w:p>
      <w:pPr>
        <w:pStyle w:val="4"/>
        <w:spacing w:line="520" w:lineRule="exact"/>
        <w:ind w:right="84" w:firstLine="240" w:firstLineChars="100"/>
        <w:rPr>
          <w:rFonts w:ascii="宋体" w:hAnsi="宋体"/>
          <w:sz w:val="24"/>
          <w:szCs w:val="24"/>
        </w:rPr>
      </w:pPr>
      <w:r>
        <w:rPr>
          <w:rFonts w:hint="eastAsia" w:ascii="宋体" w:hAnsi="宋体"/>
          <w:sz w:val="24"/>
          <w:szCs w:val="24"/>
        </w:rPr>
        <w:t>5.《</w:t>
      </w:r>
      <w:r>
        <w:rPr>
          <w:rFonts w:hint="eastAsia" w:ascii="宋体" w:hAnsi="宋体"/>
          <w:sz w:val="24"/>
          <w:szCs w:val="24"/>
          <w:lang w:eastAsia="zh-CN"/>
        </w:rPr>
        <w:t>房屋所有权证</w:t>
      </w:r>
      <w:r>
        <w:rPr>
          <w:rFonts w:hint="eastAsia" w:ascii="宋体" w:hAnsi="宋体"/>
          <w:sz w:val="24"/>
          <w:szCs w:val="24"/>
        </w:rPr>
        <w:t>》《</w:t>
      </w:r>
      <w:r>
        <w:rPr>
          <w:rFonts w:hint="eastAsia" w:ascii="宋体" w:hAnsi="宋体"/>
          <w:sz w:val="24"/>
          <w:szCs w:val="24"/>
          <w:lang w:eastAsia="zh-CN"/>
        </w:rPr>
        <w:t>国有土地使用证</w:t>
      </w:r>
      <w:r>
        <w:rPr>
          <w:rFonts w:hint="eastAsia" w:ascii="宋体" w:hAnsi="宋体"/>
          <w:sz w:val="24"/>
          <w:szCs w:val="24"/>
        </w:rPr>
        <w:t>》复印件</w:t>
      </w:r>
    </w:p>
    <w:p>
      <w:pPr>
        <w:pStyle w:val="4"/>
        <w:spacing w:line="520" w:lineRule="exact"/>
        <w:ind w:right="981" w:firstLine="0"/>
        <w:rPr>
          <w:rFonts w:ascii="宋体" w:hAnsi="宋体"/>
          <w:sz w:val="24"/>
          <w:szCs w:val="24"/>
        </w:rPr>
      </w:pPr>
      <w:r>
        <w:rPr>
          <w:rFonts w:hint="eastAsia" w:ascii="宋体" w:hAnsi="宋体"/>
          <w:sz w:val="24"/>
          <w:szCs w:val="24"/>
        </w:rPr>
        <w:t xml:space="preserve">  6.估价机构营业执照复印件</w:t>
      </w:r>
    </w:p>
    <w:p>
      <w:pPr>
        <w:pStyle w:val="4"/>
        <w:spacing w:line="520" w:lineRule="exact"/>
        <w:ind w:right="981" w:firstLine="0"/>
        <w:rPr>
          <w:rFonts w:ascii="宋体" w:hAnsi="宋体"/>
          <w:sz w:val="24"/>
          <w:szCs w:val="24"/>
        </w:rPr>
      </w:pPr>
      <w:r>
        <w:rPr>
          <w:rFonts w:hint="eastAsia" w:ascii="宋体" w:hAnsi="宋体"/>
          <w:sz w:val="24"/>
          <w:szCs w:val="24"/>
        </w:rPr>
        <w:t xml:space="preserve">  7.估价机构资质证书复印件</w:t>
      </w:r>
    </w:p>
    <w:p>
      <w:pPr>
        <w:pStyle w:val="4"/>
        <w:spacing w:line="520" w:lineRule="exact"/>
        <w:ind w:right="981" w:firstLine="0"/>
        <w:rPr>
          <w:rFonts w:ascii="宋体" w:hAnsi="宋体"/>
          <w:sz w:val="24"/>
          <w:szCs w:val="24"/>
        </w:rPr>
      </w:pPr>
      <w:r>
        <w:rPr>
          <w:rFonts w:hint="eastAsia" w:ascii="宋体" w:hAnsi="宋体"/>
          <w:sz w:val="24"/>
          <w:szCs w:val="24"/>
        </w:rPr>
        <w:t xml:space="preserve">  8.估价人员注册资格证书复印件</w:t>
      </w:r>
    </w:p>
    <w:p>
      <w:pPr>
        <w:rPr>
          <w:lang w:val="zh-CN"/>
        </w:rPr>
      </w:pPr>
    </w:p>
    <w:sectPr>
      <w:headerReference r:id="rId5" w:type="default"/>
      <w:footerReference r:id="rId6" w:type="default"/>
      <w:pgSz w:w="11906" w:h="16838"/>
      <w:pgMar w:top="1440" w:right="1797" w:bottom="1440" w:left="1797" w:header="851" w:footer="992" w:gutter="0"/>
      <w:pgNumType w:start="0" w:chapStyle="1"/>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7723464"/>
      <w:docPartObj>
        <w:docPartGallery w:val="autotext"/>
      </w:docPartObj>
    </w:sdtPr>
    <w:sdtEndPr>
      <w:rPr>
        <w:sz w:val="24"/>
        <w:szCs w:val="24"/>
      </w:rPr>
    </w:sdtEndPr>
    <w:sdtContent>
      <w:p>
        <w:pPr>
          <w:pStyle w:val="9"/>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10</w:t>
        </w:r>
        <w:r>
          <w:rPr>
            <w:sz w:val="24"/>
            <w:szCs w:val="24"/>
          </w:rP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pPr>
      <w:r>
        <w:separator/>
      </w:r>
    </w:p>
  </w:footnote>
  <w:footnote w:type="continuationSeparator" w:id="1">
    <w:p>
      <w:pPr>
        <w:spacing w:line="28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sz w:val="21"/>
        <w:szCs w:val="21"/>
      </w:rPr>
    </w:pPr>
    <w:r>
      <w:rPr>
        <w:rFonts w:hint="eastAsia"/>
        <w:sz w:val="21"/>
        <w:szCs w:val="21"/>
      </w:rPr>
      <w:t>丽水市金恒房地产土地资产评估有限公司                     电话：0578-2129918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AE5E17"/>
    <w:multiLevelType w:val="multilevel"/>
    <w:tmpl w:val="42AE5E17"/>
    <w:lvl w:ilvl="0" w:tentative="0">
      <w:start w:val="4"/>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4OTM4M2Y1YjYxZTQzOGFiYzU2ZWQ2NDVkYzgzM2EifQ=="/>
  </w:docVars>
  <w:rsids>
    <w:rsidRoot w:val="004B690A"/>
    <w:rsid w:val="0000201B"/>
    <w:rsid w:val="00015CC5"/>
    <w:rsid w:val="0002367E"/>
    <w:rsid w:val="00030F6C"/>
    <w:rsid w:val="000453FA"/>
    <w:rsid w:val="00046164"/>
    <w:rsid w:val="00066BDE"/>
    <w:rsid w:val="00074AA1"/>
    <w:rsid w:val="000755B9"/>
    <w:rsid w:val="000B63E9"/>
    <w:rsid w:val="00105540"/>
    <w:rsid w:val="00107361"/>
    <w:rsid w:val="00111BC2"/>
    <w:rsid w:val="00116CE5"/>
    <w:rsid w:val="00130802"/>
    <w:rsid w:val="00136748"/>
    <w:rsid w:val="001401D4"/>
    <w:rsid w:val="00144835"/>
    <w:rsid w:val="00145A6B"/>
    <w:rsid w:val="00174F30"/>
    <w:rsid w:val="00184CE8"/>
    <w:rsid w:val="001C07F8"/>
    <w:rsid w:val="001D0613"/>
    <w:rsid w:val="001E02BF"/>
    <w:rsid w:val="001E13B6"/>
    <w:rsid w:val="001E1B99"/>
    <w:rsid w:val="00200CBA"/>
    <w:rsid w:val="00203E58"/>
    <w:rsid w:val="0022269E"/>
    <w:rsid w:val="002250C3"/>
    <w:rsid w:val="0024304B"/>
    <w:rsid w:val="002551B3"/>
    <w:rsid w:val="00255871"/>
    <w:rsid w:val="00256578"/>
    <w:rsid w:val="00271510"/>
    <w:rsid w:val="002946EE"/>
    <w:rsid w:val="002A2D4D"/>
    <w:rsid w:val="002A6839"/>
    <w:rsid w:val="002C3A54"/>
    <w:rsid w:val="002C7B91"/>
    <w:rsid w:val="002F28EA"/>
    <w:rsid w:val="00315464"/>
    <w:rsid w:val="00331FF6"/>
    <w:rsid w:val="00336CBE"/>
    <w:rsid w:val="0035370C"/>
    <w:rsid w:val="003555E6"/>
    <w:rsid w:val="00360D7B"/>
    <w:rsid w:val="00364467"/>
    <w:rsid w:val="00370B0F"/>
    <w:rsid w:val="00370F8A"/>
    <w:rsid w:val="00372FC7"/>
    <w:rsid w:val="003758BE"/>
    <w:rsid w:val="003873EA"/>
    <w:rsid w:val="00392ADA"/>
    <w:rsid w:val="003B3B9E"/>
    <w:rsid w:val="003C27E7"/>
    <w:rsid w:val="003D14BE"/>
    <w:rsid w:val="003D38FA"/>
    <w:rsid w:val="003E3108"/>
    <w:rsid w:val="003E5123"/>
    <w:rsid w:val="003F0867"/>
    <w:rsid w:val="003F7407"/>
    <w:rsid w:val="003F7526"/>
    <w:rsid w:val="00400910"/>
    <w:rsid w:val="00404539"/>
    <w:rsid w:val="004265FD"/>
    <w:rsid w:val="00435E5D"/>
    <w:rsid w:val="004634C5"/>
    <w:rsid w:val="00465850"/>
    <w:rsid w:val="004709A8"/>
    <w:rsid w:val="00495360"/>
    <w:rsid w:val="004A7758"/>
    <w:rsid w:val="004B56BB"/>
    <w:rsid w:val="004B690A"/>
    <w:rsid w:val="004B78DF"/>
    <w:rsid w:val="004E4182"/>
    <w:rsid w:val="004F7171"/>
    <w:rsid w:val="00517430"/>
    <w:rsid w:val="005176EE"/>
    <w:rsid w:val="00521B48"/>
    <w:rsid w:val="00523C72"/>
    <w:rsid w:val="0055086C"/>
    <w:rsid w:val="0055736E"/>
    <w:rsid w:val="0056094F"/>
    <w:rsid w:val="0057312A"/>
    <w:rsid w:val="00573BE0"/>
    <w:rsid w:val="0058154B"/>
    <w:rsid w:val="0059516C"/>
    <w:rsid w:val="005978F5"/>
    <w:rsid w:val="005A6A5D"/>
    <w:rsid w:val="005A7C3E"/>
    <w:rsid w:val="005B17A9"/>
    <w:rsid w:val="005D2CB3"/>
    <w:rsid w:val="005E4415"/>
    <w:rsid w:val="005F02AE"/>
    <w:rsid w:val="00623285"/>
    <w:rsid w:val="00644C46"/>
    <w:rsid w:val="00646C17"/>
    <w:rsid w:val="00654F67"/>
    <w:rsid w:val="006556BC"/>
    <w:rsid w:val="006634F1"/>
    <w:rsid w:val="00664E36"/>
    <w:rsid w:val="0066750E"/>
    <w:rsid w:val="00676381"/>
    <w:rsid w:val="00680464"/>
    <w:rsid w:val="00696253"/>
    <w:rsid w:val="006A65C0"/>
    <w:rsid w:val="006B1B4D"/>
    <w:rsid w:val="006B3ECD"/>
    <w:rsid w:val="006D2471"/>
    <w:rsid w:val="006D407E"/>
    <w:rsid w:val="006F22A6"/>
    <w:rsid w:val="006F768E"/>
    <w:rsid w:val="007077A1"/>
    <w:rsid w:val="00716BFD"/>
    <w:rsid w:val="00717E16"/>
    <w:rsid w:val="00721C08"/>
    <w:rsid w:val="00723931"/>
    <w:rsid w:val="00725EA5"/>
    <w:rsid w:val="007317A7"/>
    <w:rsid w:val="00737E28"/>
    <w:rsid w:val="00743618"/>
    <w:rsid w:val="00751111"/>
    <w:rsid w:val="00780C88"/>
    <w:rsid w:val="00782E04"/>
    <w:rsid w:val="00786606"/>
    <w:rsid w:val="007A3F91"/>
    <w:rsid w:val="007A66B3"/>
    <w:rsid w:val="007B23DE"/>
    <w:rsid w:val="007C2B75"/>
    <w:rsid w:val="007D5DEE"/>
    <w:rsid w:val="00800449"/>
    <w:rsid w:val="008076D6"/>
    <w:rsid w:val="008131E3"/>
    <w:rsid w:val="00823B1C"/>
    <w:rsid w:val="008305B6"/>
    <w:rsid w:val="008502C2"/>
    <w:rsid w:val="00857723"/>
    <w:rsid w:val="0086297B"/>
    <w:rsid w:val="008657F9"/>
    <w:rsid w:val="00876135"/>
    <w:rsid w:val="0088310A"/>
    <w:rsid w:val="00896824"/>
    <w:rsid w:val="008B1525"/>
    <w:rsid w:val="008C31D8"/>
    <w:rsid w:val="008D05AB"/>
    <w:rsid w:val="008D34CD"/>
    <w:rsid w:val="008E1EC1"/>
    <w:rsid w:val="008F73BD"/>
    <w:rsid w:val="009000AB"/>
    <w:rsid w:val="00900A32"/>
    <w:rsid w:val="00915724"/>
    <w:rsid w:val="00932436"/>
    <w:rsid w:val="00934DC3"/>
    <w:rsid w:val="009408D6"/>
    <w:rsid w:val="00945FB1"/>
    <w:rsid w:val="00950F49"/>
    <w:rsid w:val="0096002F"/>
    <w:rsid w:val="00970AD8"/>
    <w:rsid w:val="00980D5D"/>
    <w:rsid w:val="009856AA"/>
    <w:rsid w:val="00995CB0"/>
    <w:rsid w:val="009A01BD"/>
    <w:rsid w:val="009B7D99"/>
    <w:rsid w:val="009B7E50"/>
    <w:rsid w:val="009C3C6A"/>
    <w:rsid w:val="009C68B8"/>
    <w:rsid w:val="009C721A"/>
    <w:rsid w:val="009D13E9"/>
    <w:rsid w:val="009E572B"/>
    <w:rsid w:val="009F5DB8"/>
    <w:rsid w:val="009F7932"/>
    <w:rsid w:val="00A010F6"/>
    <w:rsid w:val="00A16E66"/>
    <w:rsid w:val="00A605A4"/>
    <w:rsid w:val="00A625FC"/>
    <w:rsid w:val="00A6321C"/>
    <w:rsid w:val="00A644CE"/>
    <w:rsid w:val="00A9794F"/>
    <w:rsid w:val="00AC0D8E"/>
    <w:rsid w:val="00AE01CA"/>
    <w:rsid w:val="00AE7380"/>
    <w:rsid w:val="00AE7B53"/>
    <w:rsid w:val="00AF4741"/>
    <w:rsid w:val="00B136B9"/>
    <w:rsid w:val="00B25A1D"/>
    <w:rsid w:val="00B325E8"/>
    <w:rsid w:val="00B44985"/>
    <w:rsid w:val="00B468B1"/>
    <w:rsid w:val="00B538AC"/>
    <w:rsid w:val="00B5649D"/>
    <w:rsid w:val="00B67C07"/>
    <w:rsid w:val="00B73FF7"/>
    <w:rsid w:val="00B7699D"/>
    <w:rsid w:val="00BA0430"/>
    <w:rsid w:val="00BA19A6"/>
    <w:rsid w:val="00BA29B1"/>
    <w:rsid w:val="00BB27F0"/>
    <w:rsid w:val="00BB71EE"/>
    <w:rsid w:val="00BC1105"/>
    <w:rsid w:val="00BC17AA"/>
    <w:rsid w:val="00BD51C2"/>
    <w:rsid w:val="00BF57ED"/>
    <w:rsid w:val="00C04F21"/>
    <w:rsid w:val="00C1399F"/>
    <w:rsid w:val="00C24785"/>
    <w:rsid w:val="00C36CD3"/>
    <w:rsid w:val="00C51B2C"/>
    <w:rsid w:val="00C64F33"/>
    <w:rsid w:val="00C7633E"/>
    <w:rsid w:val="00C77CF4"/>
    <w:rsid w:val="00C8260F"/>
    <w:rsid w:val="00C87838"/>
    <w:rsid w:val="00C93275"/>
    <w:rsid w:val="00C970C2"/>
    <w:rsid w:val="00CA369F"/>
    <w:rsid w:val="00CE404F"/>
    <w:rsid w:val="00CE7486"/>
    <w:rsid w:val="00CF0AFC"/>
    <w:rsid w:val="00CF7C50"/>
    <w:rsid w:val="00D04B7F"/>
    <w:rsid w:val="00D1312A"/>
    <w:rsid w:val="00D15671"/>
    <w:rsid w:val="00D3173A"/>
    <w:rsid w:val="00D646DF"/>
    <w:rsid w:val="00D81657"/>
    <w:rsid w:val="00DA298B"/>
    <w:rsid w:val="00DA37BD"/>
    <w:rsid w:val="00DA3C5D"/>
    <w:rsid w:val="00DD5D18"/>
    <w:rsid w:val="00E00A08"/>
    <w:rsid w:val="00E06295"/>
    <w:rsid w:val="00E0760A"/>
    <w:rsid w:val="00E20F50"/>
    <w:rsid w:val="00E21826"/>
    <w:rsid w:val="00E34ECD"/>
    <w:rsid w:val="00E52176"/>
    <w:rsid w:val="00E55E94"/>
    <w:rsid w:val="00E572AE"/>
    <w:rsid w:val="00E61F6B"/>
    <w:rsid w:val="00EA626F"/>
    <w:rsid w:val="00EB7AB9"/>
    <w:rsid w:val="00ED1031"/>
    <w:rsid w:val="00ED71B2"/>
    <w:rsid w:val="00EF3A84"/>
    <w:rsid w:val="00EF5DE0"/>
    <w:rsid w:val="00F03209"/>
    <w:rsid w:val="00F31E95"/>
    <w:rsid w:val="00F350C7"/>
    <w:rsid w:val="00F41E4E"/>
    <w:rsid w:val="00F43272"/>
    <w:rsid w:val="00F44D7A"/>
    <w:rsid w:val="00F55513"/>
    <w:rsid w:val="00F55FB4"/>
    <w:rsid w:val="00F835F5"/>
    <w:rsid w:val="00FA6AC5"/>
    <w:rsid w:val="00FB6D33"/>
    <w:rsid w:val="00FC643E"/>
    <w:rsid w:val="00FD69F0"/>
    <w:rsid w:val="00FF6B5C"/>
    <w:rsid w:val="02EC1DB0"/>
    <w:rsid w:val="042B2897"/>
    <w:rsid w:val="05B11678"/>
    <w:rsid w:val="05B62300"/>
    <w:rsid w:val="07BE13A3"/>
    <w:rsid w:val="0B2B6D1B"/>
    <w:rsid w:val="0B791177"/>
    <w:rsid w:val="0E685187"/>
    <w:rsid w:val="0EA31D7A"/>
    <w:rsid w:val="14AA0F60"/>
    <w:rsid w:val="185F31B6"/>
    <w:rsid w:val="1B664B61"/>
    <w:rsid w:val="232311D4"/>
    <w:rsid w:val="27000467"/>
    <w:rsid w:val="2C0E46DE"/>
    <w:rsid w:val="2DC407EE"/>
    <w:rsid w:val="2E424CB4"/>
    <w:rsid w:val="2F6E0F8F"/>
    <w:rsid w:val="2FE83335"/>
    <w:rsid w:val="31354B69"/>
    <w:rsid w:val="35BE7316"/>
    <w:rsid w:val="37A95DA4"/>
    <w:rsid w:val="38460711"/>
    <w:rsid w:val="38A172EC"/>
    <w:rsid w:val="3A907ADD"/>
    <w:rsid w:val="40BB59A6"/>
    <w:rsid w:val="42A12BDC"/>
    <w:rsid w:val="44BE0CE4"/>
    <w:rsid w:val="4699455C"/>
    <w:rsid w:val="4ABB0937"/>
    <w:rsid w:val="56FF3876"/>
    <w:rsid w:val="58AA2CC9"/>
    <w:rsid w:val="5FEA759B"/>
    <w:rsid w:val="66187ACD"/>
    <w:rsid w:val="6A6D6133"/>
    <w:rsid w:val="6D6D5125"/>
    <w:rsid w:val="6FC82849"/>
    <w:rsid w:val="749F223B"/>
    <w:rsid w:val="75630020"/>
    <w:rsid w:val="79092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jc w:val="both"/>
    </w:pPr>
    <w:rPr>
      <w:rFonts w:ascii="Times New Roman" w:hAnsi="Times New Roman" w:eastAsia="仿宋_GB2312" w:cs="Times New Roman"/>
      <w:kern w:val="2"/>
      <w:sz w:val="24"/>
      <w:lang w:val="en-US" w:eastAsia="zh-CN" w:bidi="ar-SA"/>
    </w:rPr>
  </w:style>
  <w:style w:type="paragraph" w:styleId="2">
    <w:name w:val="heading 1"/>
    <w:basedOn w:val="1"/>
    <w:next w:val="1"/>
    <w:link w:val="17"/>
    <w:qFormat/>
    <w:uiPriority w:val="0"/>
    <w:pPr>
      <w:keepNext/>
      <w:keepLines/>
      <w:spacing w:before="340" w:after="330" w:line="578" w:lineRule="auto"/>
      <w:jc w:val="center"/>
      <w:outlineLvl w:val="0"/>
    </w:pPr>
    <w:rPr>
      <w:rFonts w:eastAsia="宋体"/>
      <w:b/>
      <w:spacing w:val="40"/>
      <w:kern w:val="44"/>
      <w:sz w:val="44"/>
      <w:lang w:val="zh-CN"/>
    </w:rPr>
  </w:style>
  <w:style w:type="paragraph" w:styleId="3">
    <w:name w:val="heading 2"/>
    <w:basedOn w:val="1"/>
    <w:next w:val="4"/>
    <w:link w:val="18"/>
    <w:qFormat/>
    <w:uiPriority w:val="0"/>
    <w:pPr>
      <w:keepNext/>
      <w:keepLines/>
      <w:spacing w:before="260" w:after="260" w:line="415" w:lineRule="auto"/>
      <w:jc w:val="center"/>
      <w:outlineLvl w:val="1"/>
    </w:pPr>
    <w:rPr>
      <w:rFonts w:ascii="Arial" w:hAnsi="Arial" w:eastAsia="宋体"/>
      <w:b/>
      <w:spacing w:val="20"/>
      <w:sz w:val="36"/>
      <w:lang w:val="zh-CN"/>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21"/>
    <w:qFormat/>
    <w:uiPriority w:val="0"/>
    <w:pPr>
      <w:snapToGrid w:val="0"/>
      <w:spacing w:line="360" w:lineRule="auto"/>
      <w:ind w:firstLine="567"/>
    </w:pPr>
    <w:rPr>
      <w:rFonts w:eastAsia="宋体"/>
      <w:sz w:val="28"/>
      <w:lang w:val="zh-CN"/>
    </w:rPr>
  </w:style>
  <w:style w:type="paragraph" w:styleId="5">
    <w:name w:val="toc 3"/>
    <w:basedOn w:val="1"/>
    <w:next w:val="1"/>
    <w:qFormat/>
    <w:uiPriority w:val="39"/>
    <w:pPr>
      <w:tabs>
        <w:tab w:val="right" w:leader="dot" w:pos="8303"/>
      </w:tabs>
      <w:ind w:left="480" w:leftChars="200"/>
    </w:pPr>
  </w:style>
  <w:style w:type="paragraph" w:styleId="6">
    <w:name w:val="Plain Text"/>
    <w:basedOn w:val="1"/>
    <w:link w:val="19"/>
    <w:qFormat/>
    <w:uiPriority w:val="0"/>
    <w:rPr>
      <w:rFonts w:ascii="宋体" w:hAnsi="Courier New"/>
      <w:lang w:val="zh-CN"/>
    </w:rPr>
  </w:style>
  <w:style w:type="paragraph" w:styleId="7">
    <w:name w:val="Date"/>
    <w:basedOn w:val="1"/>
    <w:next w:val="1"/>
    <w:link w:val="20"/>
    <w:qFormat/>
    <w:uiPriority w:val="0"/>
    <w:pPr>
      <w:spacing w:line="240" w:lineRule="auto"/>
    </w:pPr>
    <w:rPr>
      <w:rFonts w:eastAsia="宋体"/>
      <w:lang w:val="zh-CN"/>
    </w:rPr>
  </w:style>
  <w:style w:type="paragraph" w:styleId="8">
    <w:name w:val="Balloon Text"/>
    <w:basedOn w:val="1"/>
    <w:link w:val="22"/>
    <w:semiHidden/>
    <w:unhideWhenUsed/>
    <w:qFormat/>
    <w:uiPriority w:val="99"/>
    <w:pPr>
      <w:spacing w:line="240" w:lineRule="auto"/>
    </w:pPr>
    <w:rPr>
      <w:sz w:val="18"/>
      <w:szCs w:val="18"/>
    </w:rPr>
  </w:style>
  <w:style w:type="paragraph" w:styleId="9">
    <w:name w:val="footer"/>
    <w:basedOn w:val="1"/>
    <w:link w:val="16"/>
    <w:unhideWhenUsed/>
    <w:qFormat/>
    <w:uiPriority w:val="99"/>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10">
    <w:name w:val="header"/>
    <w:basedOn w:val="1"/>
    <w:link w:val="15"/>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paragraph" w:styleId="11">
    <w:name w:val="toc 2"/>
    <w:basedOn w:val="1"/>
    <w:next w:val="1"/>
    <w:qFormat/>
    <w:uiPriority w:val="39"/>
    <w:pPr>
      <w:tabs>
        <w:tab w:val="right" w:leader="dot" w:pos="8303"/>
      </w:tabs>
      <w:spacing w:line="480" w:lineRule="exact"/>
    </w:pPr>
    <w:rPr>
      <w:rFonts w:ascii="宋体" w:hAnsi="宋体" w:eastAsia="宋体"/>
      <w:color w:val="000000"/>
    </w:rPr>
  </w:style>
  <w:style w:type="character" w:styleId="14">
    <w:name w:val="Hyperlink"/>
    <w:qFormat/>
    <w:uiPriority w:val="99"/>
    <w:rPr>
      <w:color w:val="0000FF"/>
      <w:u w:val="single"/>
    </w:rPr>
  </w:style>
  <w:style w:type="character" w:customStyle="1" w:styleId="15">
    <w:name w:val="页眉 Char"/>
    <w:basedOn w:val="13"/>
    <w:link w:val="10"/>
    <w:qFormat/>
    <w:uiPriority w:val="99"/>
    <w:rPr>
      <w:sz w:val="18"/>
      <w:szCs w:val="18"/>
    </w:rPr>
  </w:style>
  <w:style w:type="character" w:customStyle="1" w:styleId="16">
    <w:name w:val="页脚 Char"/>
    <w:basedOn w:val="13"/>
    <w:link w:val="9"/>
    <w:qFormat/>
    <w:uiPriority w:val="99"/>
    <w:rPr>
      <w:sz w:val="18"/>
      <w:szCs w:val="18"/>
    </w:rPr>
  </w:style>
  <w:style w:type="character" w:customStyle="1" w:styleId="17">
    <w:name w:val="标题 1 Char"/>
    <w:basedOn w:val="13"/>
    <w:link w:val="2"/>
    <w:qFormat/>
    <w:uiPriority w:val="0"/>
    <w:rPr>
      <w:rFonts w:ascii="Times New Roman" w:hAnsi="Times New Roman" w:eastAsia="宋体" w:cs="Times New Roman"/>
      <w:b/>
      <w:spacing w:val="40"/>
      <w:kern w:val="44"/>
      <w:sz w:val="44"/>
      <w:szCs w:val="20"/>
      <w:lang w:val="zh-CN" w:eastAsia="zh-CN"/>
    </w:rPr>
  </w:style>
  <w:style w:type="character" w:customStyle="1" w:styleId="18">
    <w:name w:val="标题 2 Char"/>
    <w:basedOn w:val="13"/>
    <w:link w:val="3"/>
    <w:qFormat/>
    <w:uiPriority w:val="0"/>
    <w:rPr>
      <w:rFonts w:ascii="Arial" w:hAnsi="Arial" w:eastAsia="宋体" w:cs="Times New Roman"/>
      <w:b/>
      <w:spacing w:val="20"/>
      <w:sz w:val="36"/>
      <w:szCs w:val="20"/>
      <w:lang w:val="zh-CN" w:eastAsia="zh-CN"/>
    </w:rPr>
  </w:style>
  <w:style w:type="character" w:customStyle="1" w:styleId="19">
    <w:name w:val="纯文本 Char"/>
    <w:basedOn w:val="13"/>
    <w:link w:val="6"/>
    <w:qFormat/>
    <w:uiPriority w:val="0"/>
    <w:rPr>
      <w:rFonts w:ascii="宋体" w:hAnsi="Courier New" w:eastAsia="仿宋_GB2312" w:cs="Times New Roman"/>
      <w:sz w:val="24"/>
      <w:szCs w:val="20"/>
      <w:lang w:val="zh-CN" w:eastAsia="zh-CN"/>
    </w:rPr>
  </w:style>
  <w:style w:type="character" w:customStyle="1" w:styleId="20">
    <w:name w:val="日期 Char"/>
    <w:basedOn w:val="13"/>
    <w:link w:val="7"/>
    <w:qFormat/>
    <w:uiPriority w:val="0"/>
    <w:rPr>
      <w:rFonts w:ascii="Times New Roman" w:hAnsi="Times New Roman" w:eastAsia="宋体" w:cs="Times New Roman"/>
      <w:sz w:val="24"/>
      <w:szCs w:val="20"/>
      <w:lang w:val="zh-CN" w:eastAsia="zh-CN"/>
    </w:rPr>
  </w:style>
  <w:style w:type="character" w:customStyle="1" w:styleId="21">
    <w:name w:val="正文缩进 Char"/>
    <w:link w:val="4"/>
    <w:qFormat/>
    <w:uiPriority w:val="0"/>
    <w:rPr>
      <w:rFonts w:ascii="Times New Roman" w:hAnsi="Times New Roman" w:eastAsia="宋体" w:cs="Times New Roman"/>
      <w:sz w:val="28"/>
      <w:szCs w:val="20"/>
      <w:lang w:val="zh-CN" w:eastAsia="zh-CN"/>
    </w:rPr>
  </w:style>
  <w:style w:type="character" w:customStyle="1" w:styleId="22">
    <w:name w:val="批注框文本 Char"/>
    <w:basedOn w:val="13"/>
    <w:link w:val="8"/>
    <w:semiHidden/>
    <w:qFormat/>
    <w:uiPriority w:val="99"/>
    <w:rPr>
      <w:rFonts w:ascii="Times New Roman" w:hAnsi="Times New Roman" w:eastAsia="仿宋_GB2312" w:cs="Times New Roman"/>
      <w:sz w:val="18"/>
      <w:szCs w:val="18"/>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7CD79-AD01-4196-AE60-3EC4015BB09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6886</Words>
  <Characters>7475</Characters>
  <Lines>63</Lines>
  <Paragraphs>17</Paragraphs>
  <TotalTime>0</TotalTime>
  <ScaleCrop>false</ScaleCrop>
  <LinksUpToDate>false</LinksUpToDate>
  <CharactersWithSpaces>7904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2019-09-19T00:34:00Z</dcterms:created>
  <dc:creator>User</dc:creator>
  <cp:lastModifiedBy>Administrator</cp:lastModifiedBy>
  <cp:lastPrinted>2022-08-01T08:57:00Z</cp:lastPrinted>
  <dcterms:modified xsi:type="dcterms:W3CDTF">2022-08-02T02:40:28Z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8D05506B3C884CD19344DB9698AC39EA</vt:lpwstr>
  </property>
</Properties>
</file>