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kinsoku/>
        <w:wordWrap/>
        <w:topLinePunct w:val="0"/>
        <w:autoSpaceDE w:val="0"/>
        <w:autoSpaceDN w:val="0"/>
        <w:bidi w:val="0"/>
        <w:spacing w:line="360" w:lineRule="auto"/>
        <w:jc w:val="left"/>
        <w:textAlignment w:val="bottom"/>
        <w:rPr>
          <w:rFonts w:ascii="仿宋_GB2312" w:hAnsi="仿宋_GB2312" w:eastAsia="仿宋_GB2312" w:cs="仿宋_GB2312"/>
          <w:b/>
          <w:color w:val="auto"/>
          <w:sz w:val="22"/>
          <w:szCs w:val="20"/>
        </w:rPr>
      </w:pPr>
      <w:bookmarkStart w:id="0" w:name="_Toc474668027"/>
      <w:bookmarkStart w:id="1" w:name="_Toc474675302"/>
      <w:bookmarkStart w:id="2" w:name="_Toc474668064"/>
      <w:r>
        <w:rPr>
          <w:rFonts w:hint="eastAsia" w:ascii="仿宋_GB2312" w:hAnsi="仿宋_GB2312" w:eastAsia="仿宋_GB2312" w:cs="仿宋_GB2312"/>
          <w:b/>
          <w:color w:val="auto"/>
          <w:sz w:val="22"/>
          <w:szCs w:val="20"/>
        </w:rPr>
        <w:t>本资产评估报告依据中国资产评估准则编制</w:t>
      </w:r>
    </w:p>
    <w:p>
      <w:pPr>
        <w:pageBreakBefore w:val="0"/>
        <w:widowControl/>
        <w:kinsoku/>
        <w:wordWrap/>
        <w:topLinePunct w:val="0"/>
        <w:autoSpaceDE w:val="0"/>
        <w:autoSpaceDN w:val="0"/>
        <w:bidi w:val="0"/>
        <w:spacing w:line="360" w:lineRule="auto"/>
        <w:jc w:val="center"/>
        <w:textAlignment w:val="bottom"/>
        <w:rPr>
          <w:rFonts w:ascii="仿宋_GB2312" w:hAnsi="仿宋_GB2312" w:eastAsia="仿宋_GB2312" w:cs="仿宋_GB2312"/>
          <w:b/>
          <w:vanish/>
          <w:color w:val="auto"/>
          <w:sz w:val="30"/>
        </w:rPr>
      </w:pPr>
    </w:p>
    <w:p>
      <w:pPr>
        <w:pageBreakBefore w:val="0"/>
        <w:widowControl/>
        <w:kinsoku/>
        <w:wordWrap/>
        <w:topLinePunct w:val="0"/>
        <w:autoSpaceDE w:val="0"/>
        <w:autoSpaceDN w:val="0"/>
        <w:bidi w:val="0"/>
        <w:spacing w:line="360" w:lineRule="auto"/>
        <w:ind w:firstLine="600"/>
        <w:jc w:val="center"/>
        <w:textAlignment w:val="bottom"/>
        <w:rPr>
          <w:rFonts w:ascii="仿宋_GB2312" w:hAnsi="仿宋_GB2312" w:eastAsia="仿宋_GB2312" w:cs="仿宋_GB2312"/>
          <w:b/>
          <w:color w:val="auto"/>
          <w:sz w:val="30"/>
        </w:rPr>
      </w:pPr>
    </w:p>
    <w:p>
      <w:pPr>
        <w:pageBreakBefore w:val="0"/>
        <w:kinsoku/>
        <w:wordWrap/>
        <w:topLinePunct w:val="0"/>
        <w:bidi w:val="0"/>
        <w:spacing w:line="360" w:lineRule="auto"/>
        <w:jc w:val="center"/>
        <w:rPr>
          <w:rFonts w:ascii="仿宋_GB2312" w:hAnsi="仿宋_GB2312" w:eastAsia="仿宋_GB2312" w:cs="仿宋_GB2312"/>
          <w:b/>
          <w:color w:val="auto"/>
          <w:sz w:val="36"/>
          <w:szCs w:val="36"/>
        </w:rPr>
      </w:pPr>
      <w:bookmarkStart w:id="3" w:name="OLE_LINK2"/>
      <w:bookmarkStart w:id="4" w:name="OLE_LINK20"/>
      <w:r>
        <w:rPr>
          <w:rFonts w:hint="eastAsia" w:ascii="仿宋_GB2312" w:hAnsi="仿宋_GB2312" w:eastAsia="仿宋_GB2312" w:cs="仿宋_GB2312"/>
          <w:b/>
          <w:color w:val="auto"/>
          <w:sz w:val="36"/>
          <w:szCs w:val="36"/>
          <w:lang w:eastAsia="zh-CN"/>
        </w:rPr>
        <w:t>福清市人民法院拟进行司法处置</w:t>
      </w:r>
      <w:r>
        <w:rPr>
          <w:rFonts w:hint="eastAsia" w:ascii="仿宋_GB2312" w:hAnsi="仿宋_GB2312" w:eastAsia="仿宋_GB2312" w:cs="仿宋_GB2312"/>
          <w:b/>
          <w:color w:val="auto"/>
          <w:sz w:val="36"/>
          <w:szCs w:val="36"/>
        </w:rPr>
        <w:t>涉及的</w:t>
      </w:r>
    </w:p>
    <w:p>
      <w:pPr>
        <w:pageBreakBefore w:val="0"/>
        <w:widowControl/>
        <w:kinsoku/>
        <w:wordWrap/>
        <w:topLinePunct w:val="0"/>
        <w:autoSpaceDE w:val="0"/>
        <w:autoSpaceDN w:val="0"/>
        <w:bidi w:val="0"/>
        <w:spacing w:line="360" w:lineRule="auto"/>
        <w:jc w:val="center"/>
        <w:textAlignment w:val="bottom"/>
        <w:rPr>
          <w:rFonts w:hint="eastAsia" w:ascii="仿宋_GB2312" w:hAnsi="仿宋_GB2312" w:eastAsia="仿宋_GB2312" w:cs="仿宋_GB2312"/>
          <w:b/>
          <w:color w:val="auto"/>
          <w:sz w:val="36"/>
          <w:szCs w:val="36"/>
          <w:lang w:eastAsia="zh-CN"/>
        </w:rPr>
      </w:pPr>
      <w:r>
        <w:rPr>
          <w:rFonts w:hint="eastAsia" w:ascii="仿宋_GB2312" w:hAnsi="仿宋_GB2312" w:eastAsia="仿宋_GB2312" w:cs="仿宋_GB2312"/>
          <w:b/>
          <w:color w:val="auto"/>
          <w:sz w:val="36"/>
          <w:szCs w:val="36"/>
          <w:lang w:eastAsia="zh-CN"/>
        </w:rPr>
        <w:t>白鹭金滩春晓园7幢205室房地产评估项目</w:t>
      </w:r>
    </w:p>
    <w:p>
      <w:pPr>
        <w:pageBreakBefore w:val="0"/>
        <w:widowControl/>
        <w:kinsoku/>
        <w:wordWrap/>
        <w:topLinePunct w:val="0"/>
        <w:autoSpaceDE w:val="0"/>
        <w:autoSpaceDN w:val="0"/>
        <w:bidi w:val="0"/>
        <w:spacing w:line="360" w:lineRule="auto"/>
        <w:jc w:val="center"/>
        <w:textAlignment w:val="bottom"/>
        <w:rPr>
          <w:rFonts w:hint="eastAsia" w:ascii="仿宋_GB2312" w:hAnsi="仿宋_GB2312" w:eastAsia="仿宋_GB2312" w:cs="仿宋_GB2312"/>
          <w:b/>
          <w:bCs/>
          <w:color w:val="auto"/>
          <w:sz w:val="44"/>
          <w:szCs w:val="44"/>
        </w:rPr>
      </w:pPr>
      <w:r>
        <w:rPr>
          <w:rFonts w:hint="eastAsia" w:ascii="仿宋_GB2312" w:hAnsi="仿宋_GB2312" w:eastAsia="仿宋_GB2312" w:cs="仿宋_GB2312"/>
          <w:b/>
          <w:bCs/>
          <w:color w:val="auto"/>
          <w:sz w:val="44"/>
          <w:szCs w:val="44"/>
        </w:rPr>
        <w:t>资产评估报告</w:t>
      </w:r>
      <w:bookmarkEnd w:id="3"/>
    </w:p>
    <w:bookmarkEnd w:id="4"/>
    <w:p>
      <w:pPr>
        <w:pageBreakBefore w:val="0"/>
        <w:kinsoku/>
        <w:wordWrap/>
        <w:topLinePunct w:val="0"/>
        <w:bidi w:val="0"/>
        <w:spacing w:line="360" w:lineRule="auto"/>
        <w:jc w:val="center"/>
        <w:rPr>
          <w:rFonts w:hint="eastAsia" w:ascii="仿宋_GB2312" w:hAnsi="仿宋_GB2312" w:eastAsia="仿宋_GB2312" w:cs="仿宋_GB2312"/>
          <w:b/>
          <w:color w:val="auto"/>
          <w:sz w:val="24"/>
          <w:lang w:eastAsia="zh-CN"/>
        </w:rPr>
      </w:pPr>
      <w:r>
        <w:rPr>
          <w:rFonts w:hint="eastAsia" w:ascii="仿宋_GB2312" w:hAnsi="仿宋_GB2312" w:eastAsia="仿宋_GB2312" w:cs="仿宋_GB2312"/>
          <w:b/>
          <w:color w:val="auto"/>
          <w:sz w:val="24"/>
          <w:lang w:eastAsia="zh-CN"/>
        </w:rPr>
        <w:t>绍天阳评报字[2022]第450号</w:t>
      </w:r>
    </w:p>
    <w:p>
      <w:pPr>
        <w:pageBreakBefore w:val="0"/>
        <w:kinsoku/>
        <w:wordWrap/>
        <w:topLinePunct w:val="0"/>
        <w:bidi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（共一册，第一册）</w:t>
      </w:r>
    </w:p>
    <w:p>
      <w:pPr>
        <w:pageBreakBefore w:val="0"/>
        <w:kinsoku/>
        <w:wordWrap/>
        <w:topLinePunct w:val="0"/>
        <w:bidi w:val="0"/>
        <w:spacing w:line="360" w:lineRule="auto"/>
        <w:jc w:val="center"/>
        <w:rPr>
          <w:rFonts w:ascii="仿宋_GB2312" w:hAnsi="仿宋_GB2312" w:eastAsia="仿宋_GB2312" w:cs="仿宋_GB2312"/>
          <w:b/>
          <w:color w:val="auto"/>
          <w:sz w:val="24"/>
        </w:rPr>
      </w:pPr>
    </w:p>
    <w:p>
      <w:pPr>
        <w:pageBreakBefore w:val="0"/>
        <w:widowControl/>
        <w:kinsoku/>
        <w:wordWrap/>
        <w:topLinePunct w:val="0"/>
        <w:autoSpaceDE w:val="0"/>
        <w:autoSpaceDN w:val="0"/>
        <w:bidi w:val="0"/>
        <w:spacing w:line="360" w:lineRule="auto"/>
        <w:jc w:val="center"/>
        <w:textAlignment w:val="bottom"/>
        <w:rPr>
          <w:rFonts w:ascii="仿宋_GB2312" w:hAnsi="仿宋_GB2312" w:eastAsia="仿宋_GB2312" w:cs="仿宋_GB2312"/>
          <w:b/>
          <w:color w:val="auto"/>
          <w:sz w:val="30"/>
        </w:rPr>
      </w:pPr>
    </w:p>
    <w:p>
      <w:pPr>
        <w:pageBreakBefore w:val="0"/>
        <w:widowControl/>
        <w:kinsoku/>
        <w:wordWrap/>
        <w:topLinePunct w:val="0"/>
        <w:autoSpaceDE w:val="0"/>
        <w:autoSpaceDN w:val="0"/>
        <w:bidi w:val="0"/>
        <w:spacing w:line="360" w:lineRule="auto"/>
        <w:jc w:val="center"/>
        <w:textAlignment w:val="bottom"/>
        <w:rPr>
          <w:rFonts w:ascii="仿宋_GB2312" w:hAnsi="仿宋_GB2312" w:eastAsia="仿宋_GB2312" w:cs="仿宋_GB2312"/>
          <w:b/>
          <w:color w:val="auto"/>
          <w:sz w:val="30"/>
        </w:rPr>
      </w:pPr>
    </w:p>
    <w:p>
      <w:pPr>
        <w:pageBreakBefore w:val="0"/>
        <w:widowControl/>
        <w:kinsoku/>
        <w:wordWrap/>
        <w:topLinePunct w:val="0"/>
        <w:autoSpaceDE w:val="0"/>
        <w:autoSpaceDN w:val="0"/>
        <w:bidi w:val="0"/>
        <w:spacing w:line="360" w:lineRule="auto"/>
        <w:jc w:val="center"/>
        <w:textAlignment w:val="bottom"/>
        <w:rPr>
          <w:rFonts w:ascii="仿宋_GB2312" w:hAnsi="仿宋_GB2312" w:eastAsia="仿宋_GB2312" w:cs="仿宋_GB2312"/>
          <w:b/>
          <w:color w:val="auto"/>
          <w:sz w:val="30"/>
        </w:rPr>
      </w:pPr>
    </w:p>
    <w:p>
      <w:pPr>
        <w:pageBreakBefore w:val="0"/>
        <w:widowControl/>
        <w:kinsoku/>
        <w:wordWrap/>
        <w:topLinePunct w:val="0"/>
        <w:autoSpaceDE w:val="0"/>
        <w:autoSpaceDN w:val="0"/>
        <w:bidi w:val="0"/>
        <w:spacing w:line="360" w:lineRule="auto"/>
        <w:jc w:val="center"/>
        <w:textAlignment w:val="bottom"/>
        <w:rPr>
          <w:rFonts w:ascii="仿宋_GB2312" w:hAnsi="仿宋_GB2312" w:eastAsia="仿宋_GB2312" w:cs="仿宋_GB2312"/>
          <w:b/>
          <w:color w:val="auto"/>
          <w:sz w:val="30"/>
        </w:rPr>
      </w:pPr>
    </w:p>
    <w:p>
      <w:pPr>
        <w:pageBreakBefore w:val="0"/>
        <w:widowControl/>
        <w:kinsoku/>
        <w:wordWrap/>
        <w:topLinePunct w:val="0"/>
        <w:autoSpaceDE w:val="0"/>
        <w:autoSpaceDN w:val="0"/>
        <w:bidi w:val="0"/>
        <w:spacing w:line="360" w:lineRule="auto"/>
        <w:jc w:val="center"/>
        <w:textAlignment w:val="bottom"/>
        <w:rPr>
          <w:rFonts w:ascii="仿宋_GB2312" w:hAnsi="仿宋_GB2312" w:eastAsia="仿宋_GB2312" w:cs="仿宋_GB2312"/>
          <w:b/>
          <w:color w:val="auto"/>
          <w:sz w:val="30"/>
        </w:rPr>
      </w:pPr>
    </w:p>
    <w:p>
      <w:pPr>
        <w:pageBreakBefore w:val="0"/>
        <w:widowControl/>
        <w:kinsoku/>
        <w:wordWrap/>
        <w:topLinePunct w:val="0"/>
        <w:autoSpaceDE w:val="0"/>
        <w:autoSpaceDN w:val="0"/>
        <w:bidi w:val="0"/>
        <w:spacing w:line="360" w:lineRule="auto"/>
        <w:jc w:val="center"/>
        <w:textAlignment w:val="bottom"/>
        <w:rPr>
          <w:rFonts w:ascii="仿宋_GB2312" w:hAnsi="仿宋_GB2312" w:eastAsia="仿宋_GB2312" w:cs="仿宋_GB2312"/>
          <w:b/>
          <w:color w:val="auto"/>
          <w:sz w:val="30"/>
        </w:rPr>
      </w:pPr>
    </w:p>
    <w:p>
      <w:pPr>
        <w:pageBreakBefore w:val="0"/>
        <w:widowControl/>
        <w:kinsoku/>
        <w:wordWrap/>
        <w:topLinePunct w:val="0"/>
        <w:autoSpaceDE w:val="0"/>
        <w:autoSpaceDN w:val="0"/>
        <w:bidi w:val="0"/>
        <w:spacing w:line="360" w:lineRule="auto"/>
        <w:jc w:val="center"/>
        <w:textAlignment w:val="bottom"/>
        <w:rPr>
          <w:rFonts w:ascii="仿宋_GB2312" w:hAnsi="仿宋_GB2312" w:eastAsia="仿宋_GB2312" w:cs="仿宋_GB2312"/>
          <w:b/>
          <w:color w:val="auto"/>
          <w:sz w:val="30"/>
        </w:rPr>
      </w:pPr>
    </w:p>
    <w:p>
      <w:pPr>
        <w:pageBreakBefore w:val="0"/>
        <w:widowControl/>
        <w:kinsoku/>
        <w:wordWrap/>
        <w:topLinePunct w:val="0"/>
        <w:autoSpaceDE w:val="0"/>
        <w:autoSpaceDN w:val="0"/>
        <w:bidi w:val="0"/>
        <w:spacing w:line="360" w:lineRule="auto"/>
        <w:jc w:val="center"/>
        <w:textAlignment w:val="bottom"/>
        <w:rPr>
          <w:rFonts w:ascii="仿宋_GB2312" w:hAnsi="仿宋_GB2312" w:eastAsia="仿宋_GB2312" w:cs="仿宋_GB2312"/>
          <w:b/>
          <w:color w:val="auto"/>
          <w:sz w:val="30"/>
        </w:rPr>
      </w:pPr>
    </w:p>
    <w:p>
      <w:pPr>
        <w:pageBreakBefore w:val="0"/>
        <w:widowControl/>
        <w:kinsoku/>
        <w:wordWrap/>
        <w:topLinePunct w:val="0"/>
        <w:autoSpaceDE w:val="0"/>
        <w:autoSpaceDN w:val="0"/>
        <w:bidi w:val="0"/>
        <w:spacing w:line="360" w:lineRule="auto"/>
        <w:textAlignment w:val="bottom"/>
        <w:rPr>
          <w:rFonts w:ascii="仿宋_GB2312" w:hAnsi="仿宋_GB2312" w:eastAsia="仿宋_GB2312" w:cs="仿宋_GB2312"/>
          <w:b/>
          <w:color w:val="auto"/>
          <w:sz w:val="30"/>
        </w:rPr>
      </w:pPr>
    </w:p>
    <w:p>
      <w:pPr>
        <w:pageBreakBefore w:val="0"/>
        <w:widowControl/>
        <w:kinsoku/>
        <w:wordWrap/>
        <w:topLinePunct w:val="0"/>
        <w:autoSpaceDE w:val="0"/>
        <w:autoSpaceDN w:val="0"/>
        <w:bidi w:val="0"/>
        <w:spacing w:line="360" w:lineRule="auto"/>
        <w:ind w:firstLine="600"/>
        <w:jc w:val="center"/>
        <w:textAlignment w:val="bottom"/>
        <w:rPr>
          <w:rFonts w:ascii="仿宋_GB2312" w:hAnsi="仿宋_GB2312" w:eastAsia="仿宋_GB2312" w:cs="仿宋_GB2312"/>
          <w:b/>
          <w:color w:val="auto"/>
          <w:sz w:val="30"/>
        </w:rPr>
      </w:pPr>
    </w:p>
    <w:p>
      <w:pPr>
        <w:pageBreakBefore w:val="0"/>
        <w:widowControl/>
        <w:kinsoku/>
        <w:wordWrap/>
        <w:topLinePunct w:val="0"/>
        <w:autoSpaceDE w:val="0"/>
        <w:autoSpaceDN w:val="0"/>
        <w:bidi w:val="0"/>
        <w:spacing w:line="360" w:lineRule="auto"/>
        <w:jc w:val="center"/>
        <w:textAlignment w:val="bottom"/>
        <w:rPr>
          <w:rFonts w:ascii="仿宋_GB2312" w:hAnsi="仿宋_GB2312" w:eastAsia="仿宋_GB2312" w:cs="仿宋_GB2312"/>
          <w:b/>
          <w:color w:val="auto"/>
          <w:sz w:val="36"/>
          <w:szCs w:val="36"/>
        </w:rPr>
      </w:pPr>
      <w:r>
        <w:rPr>
          <w:rFonts w:hint="eastAsia" w:ascii="仿宋_GB2312" w:hAnsi="仿宋_GB2312" w:eastAsia="仿宋_GB2312" w:cs="仿宋_GB2312"/>
          <w:b/>
          <w:color w:val="auto"/>
          <w:sz w:val="36"/>
          <w:szCs w:val="36"/>
        </w:rPr>
        <w:t>绍兴天阳房地产资产评估有限公司</w:t>
      </w:r>
    </w:p>
    <w:p>
      <w:pPr>
        <w:pageBreakBefore w:val="0"/>
        <w:widowControl/>
        <w:kinsoku/>
        <w:wordWrap/>
        <w:topLinePunct w:val="0"/>
        <w:autoSpaceDE w:val="0"/>
        <w:autoSpaceDN w:val="0"/>
        <w:bidi w:val="0"/>
        <w:spacing w:line="360" w:lineRule="auto"/>
        <w:jc w:val="center"/>
        <w:textAlignment w:val="bottom"/>
        <w:rPr>
          <w:rFonts w:hint="eastAsia" w:ascii="仿宋_GB2312" w:hAnsi="仿宋_GB2312" w:eastAsia="仿宋_GB2312" w:cs="仿宋_GB2312"/>
          <w:b/>
          <w:color w:val="auto"/>
          <w:sz w:val="36"/>
          <w:szCs w:val="36"/>
          <w:lang w:eastAsia="zh-CN"/>
        </w:rPr>
      </w:pPr>
      <w:r>
        <w:rPr>
          <w:rFonts w:hint="eastAsia" w:ascii="仿宋_GB2312" w:hAnsi="仿宋_GB2312" w:eastAsia="仿宋_GB2312" w:cs="仿宋_GB2312"/>
          <w:b/>
          <w:color w:val="auto"/>
          <w:sz w:val="36"/>
          <w:szCs w:val="36"/>
          <w:lang w:eastAsia="zh-CN"/>
        </w:rPr>
        <w:t>二0二二年九月七日</w:t>
      </w:r>
    </w:p>
    <w:p>
      <w:pPr>
        <w:pageBreakBefore w:val="0"/>
        <w:widowControl/>
        <w:kinsoku/>
        <w:wordWrap/>
        <w:topLinePunct w:val="0"/>
        <w:autoSpaceDE w:val="0"/>
        <w:autoSpaceDN w:val="0"/>
        <w:bidi w:val="0"/>
        <w:spacing w:line="360" w:lineRule="auto"/>
        <w:jc w:val="center"/>
        <w:textAlignment w:val="bottom"/>
        <w:rPr>
          <w:rFonts w:ascii="仿宋_GB2312" w:hAnsi="仿宋_GB2312" w:eastAsia="仿宋_GB2312" w:cs="仿宋_GB2312"/>
          <w:b/>
          <w:color w:val="auto"/>
          <w:sz w:val="32"/>
          <w:szCs w:val="32"/>
        </w:rPr>
      </w:pPr>
    </w:p>
    <w:p>
      <w:pPr>
        <w:pageBreakBefore w:val="0"/>
        <w:widowControl/>
        <w:kinsoku/>
        <w:wordWrap/>
        <w:topLinePunct w:val="0"/>
        <w:autoSpaceDE w:val="0"/>
        <w:autoSpaceDN w:val="0"/>
        <w:bidi w:val="0"/>
        <w:spacing w:line="360" w:lineRule="auto"/>
        <w:jc w:val="center"/>
        <w:textAlignment w:val="bottom"/>
        <w:rPr>
          <w:rFonts w:ascii="仿宋_GB2312" w:hAnsi="仿宋_GB2312" w:eastAsia="仿宋_GB2312" w:cs="仿宋_GB2312"/>
          <w:b/>
          <w:color w:val="auto"/>
          <w:sz w:val="32"/>
          <w:szCs w:val="32"/>
        </w:rPr>
      </w:pPr>
    </w:p>
    <w:p>
      <w:pPr>
        <w:pageBreakBefore w:val="0"/>
        <w:widowControl/>
        <w:kinsoku/>
        <w:wordWrap/>
        <w:topLinePunct w:val="0"/>
        <w:autoSpaceDE w:val="0"/>
        <w:autoSpaceDN w:val="0"/>
        <w:bidi w:val="0"/>
        <w:spacing w:line="360" w:lineRule="auto"/>
        <w:jc w:val="center"/>
        <w:textAlignment w:val="bottom"/>
        <w:rPr>
          <w:rFonts w:ascii="仿宋_GB2312" w:hAnsi="仿宋_GB2312" w:eastAsia="仿宋_GB2312" w:cs="仿宋_GB2312"/>
          <w:b/>
          <w:color w:val="auto"/>
          <w:sz w:val="32"/>
          <w:szCs w:val="32"/>
        </w:rPr>
      </w:pPr>
    </w:p>
    <w:bookmarkEnd w:id="0"/>
    <w:bookmarkEnd w:id="1"/>
    <w:bookmarkEnd w:id="2"/>
    <w:p>
      <w:pPr>
        <w:pageBreakBefore w:val="0"/>
        <w:kinsoku/>
        <w:wordWrap/>
        <w:topLinePunct w:val="0"/>
        <w:bidi w:val="0"/>
        <w:spacing w:line="360" w:lineRule="auto"/>
        <w:jc w:val="center"/>
        <w:outlineLvl w:val="0"/>
        <w:rPr>
          <w:rFonts w:ascii="仿宋_GB2312" w:hAnsi="仿宋_GB2312" w:eastAsia="仿宋_GB2312" w:cs="仿宋_GB2312"/>
          <w:color w:val="auto"/>
          <w:sz w:val="36"/>
          <w:szCs w:val="36"/>
        </w:rPr>
      </w:pPr>
      <w:r>
        <w:rPr>
          <w:rFonts w:hint="eastAsia" w:ascii="仿宋_GB2312" w:hAnsi="仿宋_GB2312" w:eastAsia="仿宋_GB2312" w:cs="仿宋_GB2312"/>
          <w:color w:val="auto"/>
          <w:sz w:val="36"/>
          <w:szCs w:val="36"/>
        </w:rPr>
        <w:t>目    录</w:t>
      </w:r>
      <w:r>
        <w:rPr>
          <w:rFonts w:hint="eastAsia" w:ascii="仿宋_GB2312" w:hAnsi="仿宋_GB2312" w:eastAsia="仿宋_GB2312" w:cs="仿宋_GB2312"/>
          <w:color w:val="auto"/>
          <w:sz w:val="36"/>
          <w:szCs w:val="36"/>
        </w:rPr>
        <w:tab/>
      </w:r>
    </w:p>
    <w:p>
      <w:pPr>
        <w:pStyle w:val="14"/>
        <w:pageBreakBefore w:val="0"/>
        <w:tabs>
          <w:tab w:val="right" w:leader="dot" w:pos="9072"/>
        </w:tabs>
        <w:kinsoku/>
        <w:wordWrap/>
        <w:topLinePunct w:val="0"/>
        <w:bidi w:val="0"/>
        <w:spacing w:line="360" w:lineRule="auto"/>
        <w:rPr>
          <w:rFonts w:ascii="仿宋_GB2312" w:hAnsi="仿宋_GB2312" w:eastAsia="仿宋_GB2312" w:cs="仿宋_GB2312"/>
          <w:color w:val="auto"/>
        </w:rPr>
      </w:pPr>
      <w:r>
        <w:rPr>
          <w:rFonts w:hint="eastAsia" w:ascii="仿宋_GB2312" w:hAnsi="仿宋_GB2312" w:eastAsia="仿宋_GB2312" w:cs="仿宋_GB2312"/>
          <w:b w:val="0"/>
          <w:color w:val="auto"/>
          <w:sz w:val="24"/>
          <w:szCs w:val="24"/>
        </w:rPr>
        <w:fldChar w:fldCharType="begin"/>
      </w:r>
      <w:r>
        <w:rPr>
          <w:rFonts w:hint="eastAsia" w:ascii="仿宋_GB2312" w:hAnsi="仿宋_GB2312" w:eastAsia="仿宋_GB2312" w:cs="仿宋_GB2312"/>
          <w:b w:val="0"/>
          <w:color w:val="auto"/>
          <w:sz w:val="24"/>
          <w:szCs w:val="24"/>
        </w:rPr>
        <w:instrText xml:space="preserve"> TOC \o </w:instrText>
      </w:r>
      <w:r>
        <w:rPr>
          <w:rFonts w:hint="eastAsia" w:ascii="仿宋_GB2312" w:hAnsi="仿宋_GB2312" w:eastAsia="仿宋_GB2312" w:cs="仿宋_GB2312"/>
          <w:b w:val="0"/>
          <w:color w:val="auto"/>
          <w:sz w:val="24"/>
          <w:szCs w:val="24"/>
        </w:rPr>
        <w:fldChar w:fldCharType="separate"/>
      </w:r>
      <w:r>
        <w:rPr>
          <w:rFonts w:hint="eastAsia" w:ascii="仿宋_GB2312" w:hAnsi="仿宋_GB2312" w:eastAsia="仿宋_GB2312" w:cs="仿宋_GB2312"/>
          <w:color w:val="auto"/>
          <w:szCs w:val="32"/>
        </w:rPr>
        <w:t>资产评估师声明</w:t>
      </w:r>
      <w:r>
        <w:rPr>
          <w:rFonts w:hint="eastAsia" w:ascii="仿宋_GB2312" w:hAnsi="仿宋_GB2312" w:eastAsia="仿宋_GB2312" w:cs="仿宋_GB2312"/>
          <w:color w:val="auto"/>
        </w:rPr>
        <w:tab/>
      </w: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PAGEREF _Toc19283 </w:instrText>
      </w:r>
      <w:r>
        <w:rPr>
          <w:rFonts w:hint="eastAsia" w:ascii="仿宋_GB2312" w:hAnsi="仿宋_GB2312" w:eastAsia="仿宋_GB2312" w:cs="仿宋_GB2312"/>
          <w:color w:val="auto"/>
        </w:rPr>
        <w:fldChar w:fldCharType="separate"/>
      </w:r>
      <w:r>
        <w:rPr>
          <w:rFonts w:hint="eastAsia" w:ascii="仿宋_GB2312" w:hAnsi="仿宋_GB2312" w:eastAsia="仿宋_GB2312" w:cs="仿宋_GB2312"/>
          <w:color w:val="auto"/>
        </w:rPr>
        <w:t>1</w:t>
      </w:r>
      <w:r>
        <w:rPr>
          <w:rFonts w:hint="eastAsia" w:ascii="仿宋_GB2312" w:hAnsi="仿宋_GB2312" w:eastAsia="仿宋_GB2312" w:cs="仿宋_GB2312"/>
          <w:color w:val="auto"/>
        </w:rPr>
        <w:fldChar w:fldCharType="end"/>
      </w:r>
    </w:p>
    <w:p>
      <w:pPr>
        <w:pStyle w:val="14"/>
        <w:pageBreakBefore w:val="0"/>
        <w:tabs>
          <w:tab w:val="right" w:leader="dot" w:pos="9072"/>
        </w:tabs>
        <w:kinsoku/>
        <w:wordWrap/>
        <w:topLinePunct w:val="0"/>
        <w:bidi w:val="0"/>
        <w:spacing w:line="360" w:lineRule="auto"/>
        <w:rPr>
          <w:rFonts w:ascii="仿宋_GB2312" w:hAnsi="仿宋_GB2312" w:eastAsia="仿宋_GB2312" w:cs="仿宋_GB2312"/>
          <w:color w:val="auto"/>
        </w:rPr>
      </w:pPr>
      <w:r>
        <w:rPr>
          <w:rFonts w:hint="eastAsia" w:ascii="仿宋_GB2312" w:hAnsi="仿宋_GB2312" w:eastAsia="仿宋_GB2312" w:cs="仿宋_GB2312"/>
          <w:color w:val="auto"/>
        </w:rPr>
        <w:t>资产评估报告摘要</w:t>
      </w:r>
      <w:r>
        <w:rPr>
          <w:rFonts w:hint="eastAsia" w:ascii="仿宋_GB2312" w:hAnsi="仿宋_GB2312" w:eastAsia="仿宋_GB2312" w:cs="仿宋_GB2312"/>
          <w:color w:val="auto"/>
        </w:rPr>
        <w:tab/>
      </w: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PAGEREF _Toc6846 </w:instrText>
      </w:r>
      <w:r>
        <w:rPr>
          <w:rFonts w:hint="eastAsia" w:ascii="仿宋_GB2312" w:hAnsi="仿宋_GB2312" w:eastAsia="仿宋_GB2312" w:cs="仿宋_GB2312"/>
          <w:color w:val="auto"/>
        </w:rPr>
        <w:fldChar w:fldCharType="separate"/>
      </w:r>
      <w:r>
        <w:rPr>
          <w:rFonts w:hint="eastAsia" w:ascii="仿宋_GB2312" w:hAnsi="仿宋_GB2312" w:eastAsia="仿宋_GB2312" w:cs="仿宋_GB2312"/>
          <w:color w:val="auto"/>
        </w:rPr>
        <w:t>2</w:t>
      </w:r>
      <w:r>
        <w:rPr>
          <w:rFonts w:hint="eastAsia" w:ascii="仿宋_GB2312" w:hAnsi="仿宋_GB2312" w:eastAsia="仿宋_GB2312" w:cs="仿宋_GB2312"/>
          <w:color w:val="auto"/>
        </w:rPr>
        <w:fldChar w:fldCharType="end"/>
      </w:r>
    </w:p>
    <w:p>
      <w:pPr>
        <w:pStyle w:val="14"/>
        <w:pageBreakBefore w:val="0"/>
        <w:tabs>
          <w:tab w:val="right" w:leader="dot" w:pos="9072"/>
        </w:tabs>
        <w:kinsoku/>
        <w:wordWrap/>
        <w:topLinePunct w:val="0"/>
        <w:bidi w:val="0"/>
        <w:spacing w:line="360" w:lineRule="auto"/>
        <w:rPr>
          <w:rFonts w:ascii="仿宋_GB2312" w:hAnsi="仿宋_GB2312" w:eastAsia="仿宋_GB2312" w:cs="仿宋_GB2312"/>
          <w:color w:val="auto"/>
        </w:rPr>
      </w:pPr>
      <w:r>
        <w:rPr>
          <w:rFonts w:hint="eastAsia" w:ascii="仿宋_GB2312" w:hAnsi="仿宋_GB2312" w:eastAsia="仿宋_GB2312" w:cs="仿宋_GB2312"/>
          <w:color w:val="auto"/>
        </w:rPr>
        <w:t>资产评估报告正文</w:t>
      </w:r>
      <w:r>
        <w:rPr>
          <w:rFonts w:hint="eastAsia" w:ascii="仿宋_GB2312" w:hAnsi="仿宋_GB2312" w:eastAsia="仿宋_GB2312" w:cs="仿宋_GB2312"/>
          <w:color w:val="auto"/>
        </w:rPr>
        <w:tab/>
      </w: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PAGEREF _Toc8388 </w:instrText>
      </w:r>
      <w:r>
        <w:rPr>
          <w:rFonts w:hint="eastAsia" w:ascii="仿宋_GB2312" w:hAnsi="仿宋_GB2312" w:eastAsia="仿宋_GB2312" w:cs="仿宋_GB2312"/>
          <w:color w:val="auto"/>
        </w:rPr>
        <w:fldChar w:fldCharType="separate"/>
      </w:r>
      <w:r>
        <w:rPr>
          <w:rFonts w:hint="eastAsia" w:ascii="仿宋_GB2312" w:hAnsi="仿宋_GB2312" w:eastAsia="仿宋_GB2312" w:cs="仿宋_GB2312"/>
          <w:color w:val="auto"/>
        </w:rPr>
        <w:t>2</w:t>
      </w:r>
      <w:r>
        <w:rPr>
          <w:rFonts w:hint="eastAsia" w:ascii="仿宋_GB2312" w:hAnsi="仿宋_GB2312" w:eastAsia="仿宋_GB2312" w:cs="仿宋_GB2312"/>
          <w:color w:val="auto"/>
        </w:rPr>
        <w:fldChar w:fldCharType="end"/>
      </w:r>
    </w:p>
    <w:p>
      <w:pPr>
        <w:pStyle w:val="9"/>
        <w:pageBreakBefore w:val="0"/>
        <w:tabs>
          <w:tab w:val="right" w:leader="dot" w:pos="9072"/>
          <w:tab w:val="clear" w:pos="9062"/>
        </w:tabs>
        <w:kinsoku/>
        <w:wordWrap/>
        <w:topLinePunct w:val="0"/>
        <w:bidi w:val="0"/>
        <w:spacing w:line="360" w:lineRule="auto"/>
        <w:rPr>
          <w:rFonts w:ascii="仿宋_GB2312" w:hAnsi="仿宋_GB2312" w:eastAsia="仿宋_GB2312" w:cs="仿宋_GB2312"/>
          <w:color w:val="auto"/>
        </w:rPr>
      </w:pPr>
      <w:r>
        <w:rPr>
          <w:rFonts w:hint="eastAsia" w:ascii="仿宋_GB2312" w:hAnsi="仿宋_GB2312" w:eastAsia="仿宋_GB2312" w:cs="仿宋_GB2312"/>
          <w:color w:val="auto"/>
        </w:rPr>
        <w:t>一、 委托方、</w:t>
      </w:r>
      <w:r>
        <w:rPr>
          <w:rFonts w:hint="eastAsia" w:ascii="仿宋_GB2312" w:hAnsi="仿宋_GB2312" w:eastAsia="仿宋_GB2312" w:cs="仿宋_GB2312"/>
          <w:color w:val="auto"/>
          <w:lang w:eastAsia="zh-CN"/>
        </w:rPr>
        <w:t>产权持有者</w:t>
      </w:r>
      <w:r>
        <w:rPr>
          <w:rFonts w:hint="eastAsia" w:ascii="仿宋_GB2312" w:hAnsi="仿宋_GB2312" w:eastAsia="仿宋_GB2312" w:cs="仿宋_GB2312"/>
          <w:color w:val="auto"/>
        </w:rPr>
        <w:t>和</w:t>
      </w:r>
      <w:r>
        <w:rPr>
          <w:rFonts w:hint="eastAsia" w:ascii="仿宋_GB2312" w:hAnsi="仿宋_GB2312" w:eastAsia="仿宋_GB2312" w:cs="仿宋_GB2312"/>
          <w:color w:val="auto"/>
          <w:lang w:eastAsia="zh-CN"/>
        </w:rPr>
        <w:t>评估委托书</w:t>
      </w:r>
      <w:r>
        <w:rPr>
          <w:rFonts w:hint="eastAsia" w:ascii="仿宋_GB2312" w:hAnsi="仿宋_GB2312" w:eastAsia="仿宋_GB2312" w:cs="仿宋_GB2312"/>
          <w:color w:val="auto"/>
        </w:rPr>
        <w:t>约定的其他资产评估报告使用人</w:t>
      </w:r>
      <w:r>
        <w:rPr>
          <w:rFonts w:hint="eastAsia" w:ascii="仿宋_GB2312" w:hAnsi="仿宋_GB2312" w:eastAsia="仿宋_GB2312" w:cs="仿宋_GB2312"/>
          <w:color w:val="auto"/>
        </w:rPr>
        <w:tab/>
      </w: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PAGEREF _Toc31632 </w:instrText>
      </w:r>
      <w:r>
        <w:rPr>
          <w:rFonts w:hint="eastAsia" w:ascii="仿宋_GB2312" w:hAnsi="仿宋_GB2312" w:eastAsia="仿宋_GB2312" w:cs="仿宋_GB2312"/>
          <w:color w:val="auto"/>
        </w:rPr>
        <w:fldChar w:fldCharType="separate"/>
      </w:r>
      <w:r>
        <w:rPr>
          <w:rFonts w:hint="eastAsia" w:ascii="仿宋_GB2312" w:hAnsi="仿宋_GB2312" w:eastAsia="仿宋_GB2312" w:cs="仿宋_GB2312"/>
          <w:color w:val="auto"/>
        </w:rPr>
        <w:t>2</w:t>
      </w:r>
      <w:r>
        <w:rPr>
          <w:rFonts w:hint="eastAsia" w:ascii="仿宋_GB2312" w:hAnsi="仿宋_GB2312" w:eastAsia="仿宋_GB2312" w:cs="仿宋_GB2312"/>
          <w:color w:val="auto"/>
        </w:rPr>
        <w:fldChar w:fldCharType="end"/>
      </w:r>
    </w:p>
    <w:p>
      <w:pPr>
        <w:pStyle w:val="9"/>
        <w:pageBreakBefore w:val="0"/>
        <w:tabs>
          <w:tab w:val="right" w:leader="dot" w:pos="9072"/>
          <w:tab w:val="clear" w:pos="9062"/>
        </w:tabs>
        <w:kinsoku/>
        <w:wordWrap/>
        <w:topLinePunct w:val="0"/>
        <w:bidi w:val="0"/>
        <w:spacing w:line="360" w:lineRule="auto"/>
        <w:rPr>
          <w:rFonts w:ascii="仿宋_GB2312" w:hAnsi="仿宋_GB2312" w:eastAsia="仿宋_GB2312" w:cs="仿宋_GB2312"/>
          <w:color w:val="auto"/>
        </w:rPr>
      </w:pPr>
      <w:r>
        <w:rPr>
          <w:rFonts w:hint="eastAsia" w:ascii="仿宋_GB2312" w:hAnsi="仿宋_GB2312" w:eastAsia="仿宋_GB2312" w:cs="仿宋_GB2312"/>
          <w:color w:val="auto"/>
        </w:rPr>
        <w:t>二、 评估目的</w:t>
      </w:r>
      <w:r>
        <w:rPr>
          <w:rFonts w:hint="eastAsia" w:ascii="仿宋_GB2312" w:hAnsi="仿宋_GB2312" w:eastAsia="仿宋_GB2312" w:cs="仿宋_GB2312"/>
          <w:color w:val="auto"/>
        </w:rPr>
        <w:tab/>
      </w: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PAGEREF _Toc1927 </w:instrText>
      </w:r>
      <w:r>
        <w:rPr>
          <w:rFonts w:hint="eastAsia" w:ascii="仿宋_GB2312" w:hAnsi="仿宋_GB2312" w:eastAsia="仿宋_GB2312" w:cs="仿宋_GB2312"/>
          <w:color w:val="auto"/>
        </w:rPr>
        <w:fldChar w:fldCharType="separate"/>
      </w:r>
      <w:r>
        <w:rPr>
          <w:rFonts w:hint="eastAsia" w:ascii="仿宋_GB2312" w:hAnsi="仿宋_GB2312" w:eastAsia="仿宋_GB2312" w:cs="仿宋_GB2312"/>
          <w:color w:val="auto"/>
        </w:rPr>
        <w:t>3</w:t>
      </w:r>
      <w:r>
        <w:rPr>
          <w:rFonts w:hint="eastAsia" w:ascii="仿宋_GB2312" w:hAnsi="仿宋_GB2312" w:eastAsia="仿宋_GB2312" w:cs="仿宋_GB2312"/>
          <w:color w:val="auto"/>
        </w:rPr>
        <w:fldChar w:fldCharType="end"/>
      </w:r>
    </w:p>
    <w:p>
      <w:pPr>
        <w:pStyle w:val="9"/>
        <w:pageBreakBefore w:val="0"/>
        <w:tabs>
          <w:tab w:val="right" w:leader="dot" w:pos="9072"/>
          <w:tab w:val="clear" w:pos="9062"/>
        </w:tabs>
        <w:kinsoku/>
        <w:wordWrap/>
        <w:topLinePunct w:val="0"/>
        <w:bidi w:val="0"/>
        <w:spacing w:line="360" w:lineRule="auto"/>
        <w:rPr>
          <w:rFonts w:ascii="仿宋_GB2312" w:hAnsi="仿宋_GB2312" w:eastAsia="仿宋_GB2312" w:cs="仿宋_GB2312"/>
          <w:color w:val="auto"/>
        </w:rPr>
      </w:pPr>
      <w:r>
        <w:rPr>
          <w:rFonts w:hint="eastAsia" w:ascii="仿宋_GB2312" w:hAnsi="仿宋_GB2312" w:eastAsia="仿宋_GB2312" w:cs="仿宋_GB2312"/>
          <w:color w:val="auto"/>
        </w:rPr>
        <w:t>三、 评估范围和评估对象</w:t>
      </w:r>
      <w:r>
        <w:rPr>
          <w:rFonts w:hint="eastAsia" w:ascii="仿宋_GB2312" w:hAnsi="仿宋_GB2312" w:eastAsia="仿宋_GB2312" w:cs="仿宋_GB2312"/>
          <w:color w:val="auto"/>
        </w:rPr>
        <w:tab/>
      </w: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PAGEREF _Toc9662 </w:instrText>
      </w:r>
      <w:r>
        <w:rPr>
          <w:rFonts w:hint="eastAsia" w:ascii="仿宋_GB2312" w:hAnsi="仿宋_GB2312" w:eastAsia="仿宋_GB2312" w:cs="仿宋_GB2312"/>
          <w:color w:val="auto"/>
        </w:rPr>
        <w:fldChar w:fldCharType="separate"/>
      </w:r>
      <w:r>
        <w:rPr>
          <w:rFonts w:hint="eastAsia" w:ascii="仿宋_GB2312" w:hAnsi="仿宋_GB2312" w:eastAsia="仿宋_GB2312" w:cs="仿宋_GB2312"/>
          <w:color w:val="auto"/>
        </w:rPr>
        <w:t>3</w:t>
      </w:r>
      <w:r>
        <w:rPr>
          <w:rFonts w:hint="eastAsia" w:ascii="仿宋_GB2312" w:hAnsi="仿宋_GB2312" w:eastAsia="仿宋_GB2312" w:cs="仿宋_GB2312"/>
          <w:color w:val="auto"/>
        </w:rPr>
        <w:fldChar w:fldCharType="end"/>
      </w:r>
    </w:p>
    <w:p>
      <w:pPr>
        <w:pStyle w:val="9"/>
        <w:pageBreakBefore w:val="0"/>
        <w:tabs>
          <w:tab w:val="right" w:leader="dot" w:pos="9072"/>
          <w:tab w:val="clear" w:pos="9062"/>
        </w:tabs>
        <w:kinsoku/>
        <w:wordWrap/>
        <w:topLinePunct w:val="0"/>
        <w:bidi w:val="0"/>
        <w:spacing w:line="360" w:lineRule="auto"/>
        <w:rPr>
          <w:rFonts w:ascii="仿宋_GB2312" w:hAnsi="仿宋_GB2312" w:eastAsia="仿宋_GB2312" w:cs="仿宋_GB2312"/>
          <w:color w:val="auto"/>
        </w:rPr>
      </w:pPr>
      <w:r>
        <w:rPr>
          <w:rFonts w:hint="eastAsia" w:ascii="仿宋_GB2312" w:hAnsi="仿宋_GB2312" w:eastAsia="仿宋_GB2312" w:cs="仿宋_GB2312"/>
          <w:color w:val="auto"/>
        </w:rPr>
        <w:t>四、 评估基准日</w:t>
      </w:r>
      <w:r>
        <w:rPr>
          <w:rFonts w:hint="eastAsia" w:ascii="仿宋_GB2312" w:hAnsi="仿宋_GB2312" w:eastAsia="仿宋_GB2312" w:cs="仿宋_GB2312"/>
          <w:color w:val="auto"/>
        </w:rPr>
        <w:tab/>
      </w: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PAGEREF _Toc32564 </w:instrText>
      </w:r>
      <w:r>
        <w:rPr>
          <w:rFonts w:hint="eastAsia" w:ascii="仿宋_GB2312" w:hAnsi="仿宋_GB2312" w:eastAsia="仿宋_GB2312" w:cs="仿宋_GB2312"/>
          <w:color w:val="auto"/>
        </w:rPr>
        <w:fldChar w:fldCharType="separate"/>
      </w:r>
      <w:r>
        <w:rPr>
          <w:rFonts w:hint="eastAsia" w:ascii="仿宋_GB2312" w:hAnsi="仿宋_GB2312" w:eastAsia="仿宋_GB2312" w:cs="仿宋_GB2312"/>
          <w:color w:val="auto"/>
        </w:rPr>
        <w:t>4</w:t>
      </w:r>
      <w:r>
        <w:rPr>
          <w:rFonts w:hint="eastAsia" w:ascii="仿宋_GB2312" w:hAnsi="仿宋_GB2312" w:eastAsia="仿宋_GB2312" w:cs="仿宋_GB2312"/>
          <w:color w:val="auto"/>
        </w:rPr>
        <w:fldChar w:fldCharType="end"/>
      </w:r>
    </w:p>
    <w:p>
      <w:pPr>
        <w:pStyle w:val="9"/>
        <w:pageBreakBefore w:val="0"/>
        <w:tabs>
          <w:tab w:val="right" w:leader="dot" w:pos="9072"/>
          <w:tab w:val="clear" w:pos="9062"/>
        </w:tabs>
        <w:kinsoku/>
        <w:wordWrap/>
        <w:topLinePunct w:val="0"/>
        <w:bidi w:val="0"/>
        <w:spacing w:line="360" w:lineRule="auto"/>
        <w:rPr>
          <w:rFonts w:ascii="仿宋_GB2312" w:hAnsi="仿宋_GB2312" w:eastAsia="仿宋_GB2312" w:cs="仿宋_GB2312"/>
          <w:color w:val="auto"/>
        </w:rPr>
      </w:pPr>
      <w:r>
        <w:rPr>
          <w:rFonts w:hint="eastAsia" w:ascii="仿宋_GB2312" w:hAnsi="仿宋_GB2312" w:eastAsia="仿宋_GB2312" w:cs="仿宋_GB2312"/>
          <w:color w:val="auto"/>
        </w:rPr>
        <w:t>五、 评估价值类型和定义</w:t>
      </w:r>
      <w:r>
        <w:rPr>
          <w:rFonts w:hint="eastAsia" w:ascii="仿宋_GB2312" w:hAnsi="仿宋_GB2312" w:eastAsia="仿宋_GB2312" w:cs="仿宋_GB2312"/>
          <w:color w:val="auto"/>
        </w:rPr>
        <w:tab/>
      </w: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PAGEREF _Toc10030 </w:instrText>
      </w:r>
      <w:r>
        <w:rPr>
          <w:rFonts w:hint="eastAsia" w:ascii="仿宋_GB2312" w:hAnsi="仿宋_GB2312" w:eastAsia="仿宋_GB2312" w:cs="仿宋_GB2312"/>
          <w:color w:val="auto"/>
        </w:rPr>
        <w:fldChar w:fldCharType="separate"/>
      </w:r>
      <w:r>
        <w:rPr>
          <w:rFonts w:hint="eastAsia" w:ascii="仿宋_GB2312" w:hAnsi="仿宋_GB2312" w:eastAsia="仿宋_GB2312" w:cs="仿宋_GB2312"/>
          <w:color w:val="auto"/>
        </w:rPr>
        <w:t>4</w:t>
      </w:r>
      <w:r>
        <w:rPr>
          <w:rFonts w:hint="eastAsia" w:ascii="仿宋_GB2312" w:hAnsi="仿宋_GB2312" w:eastAsia="仿宋_GB2312" w:cs="仿宋_GB2312"/>
          <w:color w:val="auto"/>
        </w:rPr>
        <w:fldChar w:fldCharType="end"/>
      </w:r>
    </w:p>
    <w:p>
      <w:pPr>
        <w:pStyle w:val="9"/>
        <w:pageBreakBefore w:val="0"/>
        <w:tabs>
          <w:tab w:val="right" w:leader="dot" w:pos="9072"/>
          <w:tab w:val="clear" w:pos="9062"/>
        </w:tabs>
        <w:kinsoku/>
        <w:wordWrap/>
        <w:topLinePunct w:val="0"/>
        <w:bidi w:val="0"/>
        <w:spacing w:line="360" w:lineRule="auto"/>
        <w:rPr>
          <w:rFonts w:ascii="仿宋_GB2312" w:hAnsi="仿宋_GB2312" w:eastAsia="仿宋_GB2312" w:cs="仿宋_GB2312"/>
          <w:color w:val="auto"/>
        </w:rPr>
      </w:pPr>
      <w:r>
        <w:rPr>
          <w:rFonts w:hint="eastAsia" w:ascii="仿宋_GB2312" w:hAnsi="仿宋_GB2312" w:eastAsia="仿宋_GB2312" w:cs="仿宋_GB2312"/>
          <w:color w:val="auto"/>
        </w:rPr>
        <w:t>六、 评估依据</w:t>
      </w:r>
      <w:r>
        <w:rPr>
          <w:rFonts w:hint="eastAsia" w:ascii="仿宋_GB2312" w:hAnsi="仿宋_GB2312" w:eastAsia="仿宋_GB2312" w:cs="仿宋_GB2312"/>
          <w:color w:val="auto"/>
        </w:rPr>
        <w:tab/>
      </w: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PAGEREF _Toc24607 </w:instrText>
      </w:r>
      <w:r>
        <w:rPr>
          <w:rFonts w:hint="eastAsia" w:ascii="仿宋_GB2312" w:hAnsi="仿宋_GB2312" w:eastAsia="仿宋_GB2312" w:cs="仿宋_GB2312"/>
          <w:color w:val="auto"/>
        </w:rPr>
        <w:fldChar w:fldCharType="separate"/>
      </w:r>
      <w:r>
        <w:rPr>
          <w:rFonts w:hint="eastAsia" w:ascii="仿宋_GB2312" w:hAnsi="仿宋_GB2312" w:eastAsia="仿宋_GB2312" w:cs="仿宋_GB2312"/>
          <w:color w:val="auto"/>
        </w:rPr>
        <w:t>5</w:t>
      </w:r>
      <w:r>
        <w:rPr>
          <w:rFonts w:hint="eastAsia" w:ascii="仿宋_GB2312" w:hAnsi="仿宋_GB2312" w:eastAsia="仿宋_GB2312" w:cs="仿宋_GB2312"/>
          <w:color w:val="auto"/>
        </w:rPr>
        <w:fldChar w:fldCharType="end"/>
      </w:r>
    </w:p>
    <w:p>
      <w:pPr>
        <w:pStyle w:val="9"/>
        <w:pageBreakBefore w:val="0"/>
        <w:tabs>
          <w:tab w:val="right" w:leader="dot" w:pos="9072"/>
          <w:tab w:val="clear" w:pos="9062"/>
        </w:tabs>
        <w:kinsoku/>
        <w:wordWrap/>
        <w:topLinePunct w:val="0"/>
        <w:bidi w:val="0"/>
        <w:spacing w:line="360" w:lineRule="auto"/>
        <w:rPr>
          <w:rFonts w:ascii="仿宋_GB2312" w:hAnsi="仿宋_GB2312" w:eastAsia="仿宋_GB2312" w:cs="仿宋_GB2312"/>
          <w:color w:val="auto"/>
        </w:rPr>
      </w:pPr>
      <w:r>
        <w:rPr>
          <w:rFonts w:hint="eastAsia" w:ascii="仿宋_GB2312" w:hAnsi="仿宋_GB2312" w:eastAsia="仿宋_GB2312" w:cs="仿宋_GB2312"/>
          <w:color w:val="auto"/>
        </w:rPr>
        <w:t>七、 评估方法</w:t>
      </w:r>
      <w:r>
        <w:rPr>
          <w:rFonts w:hint="eastAsia" w:ascii="仿宋_GB2312" w:hAnsi="仿宋_GB2312" w:eastAsia="仿宋_GB2312" w:cs="仿宋_GB2312"/>
          <w:color w:val="auto"/>
        </w:rPr>
        <w:tab/>
      </w: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PAGEREF _Toc30941 </w:instrText>
      </w:r>
      <w:r>
        <w:rPr>
          <w:rFonts w:hint="eastAsia" w:ascii="仿宋_GB2312" w:hAnsi="仿宋_GB2312" w:eastAsia="仿宋_GB2312" w:cs="仿宋_GB2312"/>
          <w:color w:val="auto"/>
        </w:rPr>
        <w:fldChar w:fldCharType="separate"/>
      </w:r>
      <w:r>
        <w:rPr>
          <w:rFonts w:hint="eastAsia" w:ascii="仿宋_GB2312" w:hAnsi="仿宋_GB2312" w:eastAsia="仿宋_GB2312" w:cs="仿宋_GB2312"/>
          <w:color w:val="auto"/>
        </w:rPr>
        <w:t>6</w:t>
      </w:r>
      <w:r>
        <w:rPr>
          <w:rFonts w:hint="eastAsia" w:ascii="仿宋_GB2312" w:hAnsi="仿宋_GB2312" w:eastAsia="仿宋_GB2312" w:cs="仿宋_GB2312"/>
          <w:color w:val="auto"/>
        </w:rPr>
        <w:fldChar w:fldCharType="end"/>
      </w:r>
    </w:p>
    <w:p>
      <w:pPr>
        <w:pStyle w:val="9"/>
        <w:pageBreakBefore w:val="0"/>
        <w:tabs>
          <w:tab w:val="right" w:leader="dot" w:pos="9072"/>
          <w:tab w:val="clear" w:pos="9062"/>
        </w:tabs>
        <w:kinsoku/>
        <w:wordWrap/>
        <w:topLinePunct w:val="0"/>
        <w:bidi w:val="0"/>
        <w:spacing w:line="360" w:lineRule="auto"/>
        <w:rPr>
          <w:rFonts w:ascii="仿宋_GB2312" w:hAnsi="仿宋_GB2312" w:eastAsia="仿宋_GB2312" w:cs="仿宋_GB2312"/>
          <w:color w:val="auto"/>
        </w:rPr>
      </w:pPr>
      <w:r>
        <w:rPr>
          <w:rFonts w:hint="eastAsia" w:ascii="仿宋_GB2312" w:hAnsi="仿宋_GB2312" w:eastAsia="仿宋_GB2312" w:cs="仿宋_GB2312"/>
          <w:color w:val="auto"/>
        </w:rPr>
        <w:t>八、 评估程序实施过程和情况</w:t>
      </w:r>
      <w:r>
        <w:rPr>
          <w:rFonts w:hint="eastAsia" w:ascii="仿宋_GB2312" w:hAnsi="仿宋_GB2312" w:eastAsia="仿宋_GB2312" w:cs="仿宋_GB2312"/>
          <w:color w:val="auto"/>
        </w:rPr>
        <w:tab/>
      </w: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PAGEREF _Toc8547 </w:instrText>
      </w:r>
      <w:r>
        <w:rPr>
          <w:rFonts w:hint="eastAsia" w:ascii="仿宋_GB2312" w:hAnsi="仿宋_GB2312" w:eastAsia="仿宋_GB2312" w:cs="仿宋_GB2312"/>
          <w:color w:val="auto"/>
        </w:rPr>
        <w:fldChar w:fldCharType="separate"/>
      </w:r>
      <w:r>
        <w:rPr>
          <w:rFonts w:hint="eastAsia" w:ascii="仿宋_GB2312" w:hAnsi="仿宋_GB2312" w:eastAsia="仿宋_GB2312" w:cs="仿宋_GB2312"/>
          <w:color w:val="auto"/>
        </w:rPr>
        <w:t>8</w:t>
      </w:r>
      <w:r>
        <w:rPr>
          <w:rFonts w:hint="eastAsia" w:ascii="仿宋_GB2312" w:hAnsi="仿宋_GB2312" w:eastAsia="仿宋_GB2312" w:cs="仿宋_GB2312"/>
          <w:color w:val="auto"/>
        </w:rPr>
        <w:fldChar w:fldCharType="end"/>
      </w:r>
    </w:p>
    <w:p>
      <w:pPr>
        <w:pStyle w:val="9"/>
        <w:pageBreakBefore w:val="0"/>
        <w:tabs>
          <w:tab w:val="right" w:leader="dot" w:pos="9072"/>
          <w:tab w:val="clear" w:pos="9062"/>
        </w:tabs>
        <w:kinsoku/>
        <w:wordWrap/>
        <w:topLinePunct w:val="0"/>
        <w:bidi w:val="0"/>
        <w:spacing w:line="360" w:lineRule="auto"/>
        <w:rPr>
          <w:rFonts w:ascii="仿宋_GB2312" w:hAnsi="仿宋_GB2312" w:eastAsia="仿宋_GB2312" w:cs="仿宋_GB2312"/>
          <w:color w:val="auto"/>
        </w:rPr>
      </w:pPr>
      <w:r>
        <w:rPr>
          <w:rFonts w:hint="eastAsia" w:ascii="仿宋_GB2312" w:hAnsi="仿宋_GB2312" w:eastAsia="仿宋_GB2312" w:cs="仿宋_GB2312"/>
          <w:color w:val="auto"/>
        </w:rPr>
        <w:t>九、 评估假设</w:t>
      </w:r>
      <w:r>
        <w:rPr>
          <w:rFonts w:hint="eastAsia" w:ascii="仿宋_GB2312" w:hAnsi="仿宋_GB2312" w:eastAsia="仿宋_GB2312" w:cs="仿宋_GB2312"/>
          <w:color w:val="auto"/>
        </w:rPr>
        <w:tab/>
      </w: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PAGEREF _Toc22342 </w:instrText>
      </w:r>
      <w:r>
        <w:rPr>
          <w:rFonts w:hint="eastAsia" w:ascii="仿宋_GB2312" w:hAnsi="仿宋_GB2312" w:eastAsia="仿宋_GB2312" w:cs="仿宋_GB2312"/>
          <w:color w:val="auto"/>
        </w:rPr>
        <w:fldChar w:fldCharType="separate"/>
      </w:r>
      <w:r>
        <w:rPr>
          <w:rFonts w:hint="eastAsia" w:ascii="仿宋_GB2312" w:hAnsi="仿宋_GB2312" w:eastAsia="仿宋_GB2312" w:cs="仿宋_GB2312"/>
          <w:color w:val="auto"/>
        </w:rPr>
        <w:t>10</w:t>
      </w:r>
      <w:r>
        <w:rPr>
          <w:rFonts w:hint="eastAsia" w:ascii="仿宋_GB2312" w:hAnsi="仿宋_GB2312" w:eastAsia="仿宋_GB2312" w:cs="仿宋_GB2312"/>
          <w:color w:val="auto"/>
        </w:rPr>
        <w:fldChar w:fldCharType="end"/>
      </w:r>
    </w:p>
    <w:p>
      <w:pPr>
        <w:pStyle w:val="9"/>
        <w:pageBreakBefore w:val="0"/>
        <w:tabs>
          <w:tab w:val="right" w:leader="dot" w:pos="9072"/>
          <w:tab w:val="clear" w:pos="9062"/>
        </w:tabs>
        <w:kinsoku/>
        <w:wordWrap/>
        <w:topLinePunct w:val="0"/>
        <w:bidi w:val="0"/>
        <w:spacing w:line="360" w:lineRule="auto"/>
        <w:rPr>
          <w:rFonts w:ascii="仿宋_GB2312" w:hAnsi="仿宋_GB2312" w:eastAsia="仿宋_GB2312" w:cs="仿宋_GB2312"/>
          <w:color w:val="auto"/>
        </w:rPr>
      </w:pPr>
      <w:r>
        <w:rPr>
          <w:rFonts w:hint="eastAsia" w:ascii="仿宋_GB2312" w:hAnsi="仿宋_GB2312" w:eastAsia="仿宋_GB2312" w:cs="仿宋_GB2312"/>
          <w:color w:val="auto"/>
        </w:rPr>
        <w:t>十、 评估结论</w:t>
      </w:r>
      <w:r>
        <w:rPr>
          <w:rFonts w:hint="eastAsia" w:ascii="仿宋_GB2312" w:hAnsi="仿宋_GB2312" w:eastAsia="仿宋_GB2312" w:cs="仿宋_GB2312"/>
          <w:color w:val="auto"/>
        </w:rPr>
        <w:tab/>
      </w: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PAGEREF _Toc20523 </w:instrText>
      </w:r>
      <w:r>
        <w:rPr>
          <w:rFonts w:hint="eastAsia" w:ascii="仿宋_GB2312" w:hAnsi="仿宋_GB2312" w:eastAsia="仿宋_GB2312" w:cs="仿宋_GB2312"/>
          <w:color w:val="auto"/>
        </w:rPr>
        <w:fldChar w:fldCharType="separate"/>
      </w:r>
      <w:r>
        <w:rPr>
          <w:rFonts w:hint="eastAsia" w:ascii="仿宋_GB2312" w:hAnsi="仿宋_GB2312" w:eastAsia="仿宋_GB2312" w:cs="仿宋_GB2312"/>
          <w:color w:val="auto"/>
        </w:rPr>
        <w:t>10</w:t>
      </w:r>
      <w:r>
        <w:rPr>
          <w:rFonts w:hint="eastAsia" w:ascii="仿宋_GB2312" w:hAnsi="仿宋_GB2312" w:eastAsia="仿宋_GB2312" w:cs="仿宋_GB2312"/>
          <w:color w:val="auto"/>
        </w:rPr>
        <w:fldChar w:fldCharType="end"/>
      </w:r>
    </w:p>
    <w:p>
      <w:pPr>
        <w:pStyle w:val="9"/>
        <w:pageBreakBefore w:val="0"/>
        <w:tabs>
          <w:tab w:val="right" w:leader="dot" w:pos="9072"/>
          <w:tab w:val="clear" w:pos="9062"/>
        </w:tabs>
        <w:kinsoku/>
        <w:wordWrap/>
        <w:topLinePunct w:val="0"/>
        <w:bidi w:val="0"/>
        <w:spacing w:line="360" w:lineRule="auto"/>
        <w:rPr>
          <w:rFonts w:ascii="仿宋_GB2312" w:hAnsi="仿宋_GB2312" w:eastAsia="仿宋_GB2312" w:cs="仿宋_GB2312"/>
          <w:color w:val="auto"/>
        </w:rPr>
      </w:pPr>
      <w:r>
        <w:rPr>
          <w:rFonts w:hint="eastAsia" w:ascii="仿宋_GB2312" w:hAnsi="仿宋_GB2312" w:eastAsia="仿宋_GB2312" w:cs="仿宋_GB2312"/>
          <w:color w:val="auto"/>
        </w:rPr>
        <w:t>十一、 特别事项说明</w:t>
      </w:r>
      <w:r>
        <w:rPr>
          <w:rFonts w:hint="eastAsia" w:ascii="仿宋_GB2312" w:hAnsi="仿宋_GB2312" w:eastAsia="仿宋_GB2312" w:cs="仿宋_GB2312"/>
          <w:color w:val="auto"/>
        </w:rPr>
        <w:tab/>
      </w: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PAGEREF _Toc23293 </w:instrText>
      </w:r>
      <w:r>
        <w:rPr>
          <w:rFonts w:hint="eastAsia" w:ascii="仿宋_GB2312" w:hAnsi="仿宋_GB2312" w:eastAsia="仿宋_GB2312" w:cs="仿宋_GB2312"/>
          <w:color w:val="auto"/>
        </w:rPr>
        <w:fldChar w:fldCharType="separate"/>
      </w:r>
      <w:r>
        <w:rPr>
          <w:rFonts w:hint="eastAsia" w:ascii="仿宋_GB2312" w:hAnsi="仿宋_GB2312" w:eastAsia="仿宋_GB2312" w:cs="仿宋_GB2312"/>
          <w:color w:val="auto"/>
        </w:rPr>
        <w:t>12</w:t>
      </w:r>
      <w:r>
        <w:rPr>
          <w:rFonts w:hint="eastAsia" w:ascii="仿宋_GB2312" w:hAnsi="仿宋_GB2312" w:eastAsia="仿宋_GB2312" w:cs="仿宋_GB2312"/>
          <w:color w:val="auto"/>
        </w:rPr>
        <w:fldChar w:fldCharType="end"/>
      </w:r>
    </w:p>
    <w:p>
      <w:pPr>
        <w:pStyle w:val="9"/>
        <w:pageBreakBefore w:val="0"/>
        <w:tabs>
          <w:tab w:val="right" w:leader="dot" w:pos="9072"/>
          <w:tab w:val="clear" w:pos="9062"/>
        </w:tabs>
        <w:kinsoku/>
        <w:wordWrap/>
        <w:topLinePunct w:val="0"/>
        <w:bidi w:val="0"/>
        <w:spacing w:line="360" w:lineRule="auto"/>
        <w:rPr>
          <w:rFonts w:ascii="仿宋_GB2312" w:hAnsi="仿宋_GB2312" w:eastAsia="仿宋_GB2312" w:cs="仿宋_GB2312"/>
          <w:color w:val="auto"/>
        </w:rPr>
      </w:pPr>
      <w:r>
        <w:rPr>
          <w:rFonts w:hint="eastAsia" w:ascii="仿宋_GB2312" w:hAnsi="仿宋_GB2312" w:eastAsia="仿宋_GB2312" w:cs="仿宋_GB2312"/>
          <w:color w:val="auto"/>
        </w:rPr>
        <w:t>十二、 资产评估报告使用限制说明</w:t>
      </w:r>
      <w:r>
        <w:rPr>
          <w:rFonts w:hint="eastAsia" w:ascii="仿宋_GB2312" w:hAnsi="仿宋_GB2312" w:eastAsia="仿宋_GB2312" w:cs="仿宋_GB2312"/>
          <w:color w:val="auto"/>
        </w:rPr>
        <w:tab/>
      </w: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PAGEREF _Toc19061 </w:instrText>
      </w:r>
      <w:r>
        <w:rPr>
          <w:rFonts w:hint="eastAsia" w:ascii="仿宋_GB2312" w:hAnsi="仿宋_GB2312" w:eastAsia="仿宋_GB2312" w:cs="仿宋_GB2312"/>
          <w:color w:val="auto"/>
        </w:rPr>
        <w:fldChar w:fldCharType="separate"/>
      </w:r>
      <w:r>
        <w:rPr>
          <w:rFonts w:hint="eastAsia" w:ascii="仿宋_GB2312" w:hAnsi="仿宋_GB2312" w:eastAsia="仿宋_GB2312" w:cs="仿宋_GB2312"/>
          <w:color w:val="auto"/>
        </w:rPr>
        <w:t>12</w:t>
      </w:r>
      <w:r>
        <w:rPr>
          <w:rFonts w:hint="eastAsia" w:ascii="仿宋_GB2312" w:hAnsi="仿宋_GB2312" w:eastAsia="仿宋_GB2312" w:cs="仿宋_GB2312"/>
          <w:color w:val="auto"/>
        </w:rPr>
        <w:fldChar w:fldCharType="end"/>
      </w:r>
    </w:p>
    <w:p>
      <w:pPr>
        <w:pStyle w:val="9"/>
        <w:pageBreakBefore w:val="0"/>
        <w:tabs>
          <w:tab w:val="right" w:leader="dot" w:pos="9072"/>
          <w:tab w:val="clear" w:pos="9062"/>
        </w:tabs>
        <w:kinsoku/>
        <w:wordWrap/>
        <w:topLinePunct w:val="0"/>
        <w:bidi w:val="0"/>
        <w:spacing w:line="360" w:lineRule="auto"/>
        <w:rPr>
          <w:rFonts w:ascii="仿宋_GB2312" w:hAnsi="仿宋_GB2312" w:eastAsia="仿宋_GB2312" w:cs="仿宋_GB2312"/>
          <w:color w:val="auto"/>
        </w:rPr>
      </w:pPr>
      <w:r>
        <w:rPr>
          <w:rFonts w:hint="eastAsia" w:ascii="仿宋_GB2312" w:hAnsi="仿宋_GB2312" w:eastAsia="仿宋_GB2312" w:cs="仿宋_GB2312"/>
          <w:color w:val="auto"/>
        </w:rPr>
        <w:t>十三、 资产评估报告日</w:t>
      </w:r>
      <w:r>
        <w:rPr>
          <w:rFonts w:hint="eastAsia" w:ascii="仿宋_GB2312" w:hAnsi="仿宋_GB2312" w:eastAsia="仿宋_GB2312" w:cs="仿宋_GB2312"/>
          <w:color w:val="auto"/>
        </w:rPr>
        <w:tab/>
      </w: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PAGEREF _Toc15097 </w:instrText>
      </w:r>
      <w:r>
        <w:rPr>
          <w:rFonts w:hint="eastAsia" w:ascii="仿宋_GB2312" w:hAnsi="仿宋_GB2312" w:eastAsia="仿宋_GB2312" w:cs="仿宋_GB2312"/>
          <w:color w:val="auto"/>
        </w:rPr>
        <w:fldChar w:fldCharType="separate"/>
      </w:r>
      <w:r>
        <w:rPr>
          <w:rFonts w:hint="eastAsia" w:ascii="仿宋_GB2312" w:hAnsi="仿宋_GB2312" w:eastAsia="仿宋_GB2312" w:cs="仿宋_GB2312"/>
          <w:color w:val="auto"/>
        </w:rPr>
        <w:t>14</w:t>
      </w:r>
      <w:r>
        <w:rPr>
          <w:rFonts w:hint="eastAsia" w:ascii="仿宋_GB2312" w:hAnsi="仿宋_GB2312" w:eastAsia="仿宋_GB2312" w:cs="仿宋_GB2312"/>
          <w:color w:val="auto"/>
        </w:rPr>
        <w:fldChar w:fldCharType="end"/>
      </w:r>
    </w:p>
    <w:p>
      <w:pPr>
        <w:pStyle w:val="14"/>
        <w:pageBreakBefore w:val="0"/>
        <w:tabs>
          <w:tab w:val="right" w:leader="dot" w:pos="9072"/>
        </w:tabs>
        <w:kinsoku/>
        <w:wordWrap/>
        <w:topLinePunct w:val="0"/>
        <w:bidi w:val="0"/>
        <w:spacing w:line="360" w:lineRule="auto"/>
        <w:rPr>
          <w:rFonts w:ascii="仿宋_GB2312" w:hAnsi="仿宋_GB2312" w:eastAsia="仿宋_GB2312" w:cs="仿宋_GB2312"/>
          <w:color w:val="auto"/>
        </w:rPr>
      </w:pPr>
      <w:r>
        <w:rPr>
          <w:rFonts w:hint="eastAsia" w:ascii="仿宋_GB2312" w:hAnsi="仿宋_GB2312" w:eastAsia="仿宋_GB2312" w:cs="仿宋_GB2312"/>
          <w:color w:val="auto"/>
        </w:rPr>
        <w:t>资产评估报告.附件</w:t>
      </w:r>
      <w:r>
        <w:rPr>
          <w:rFonts w:hint="eastAsia" w:ascii="仿宋_GB2312" w:hAnsi="仿宋_GB2312" w:eastAsia="仿宋_GB2312" w:cs="仿宋_GB2312"/>
          <w:color w:val="auto"/>
        </w:rPr>
        <w:tab/>
      </w: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PAGEREF _Toc8343 </w:instrText>
      </w:r>
      <w:r>
        <w:rPr>
          <w:rFonts w:hint="eastAsia" w:ascii="仿宋_GB2312" w:hAnsi="仿宋_GB2312" w:eastAsia="仿宋_GB2312" w:cs="仿宋_GB2312"/>
          <w:color w:val="auto"/>
        </w:rPr>
        <w:fldChar w:fldCharType="separate"/>
      </w:r>
      <w:r>
        <w:rPr>
          <w:rFonts w:hint="eastAsia" w:ascii="仿宋_GB2312" w:hAnsi="仿宋_GB2312" w:eastAsia="仿宋_GB2312" w:cs="仿宋_GB2312"/>
          <w:color w:val="auto"/>
        </w:rPr>
        <w:t>14</w:t>
      </w:r>
      <w:r>
        <w:rPr>
          <w:rFonts w:hint="eastAsia" w:ascii="仿宋_GB2312" w:hAnsi="仿宋_GB2312" w:eastAsia="仿宋_GB2312" w:cs="仿宋_GB2312"/>
          <w:color w:val="auto"/>
        </w:rPr>
        <w:fldChar w:fldCharType="end"/>
      </w:r>
    </w:p>
    <w:p>
      <w:pPr>
        <w:pStyle w:val="19"/>
        <w:pageBreakBefore w:val="0"/>
        <w:kinsoku/>
        <w:wordWrap/>
        <w:topLinePunct w:val="0"/>
        <w:bidi w:val="0"/>
        <w:spacing w:after="0" w:line="360" w:lineRule="auto"/>
        <w:rPr>
          <w:rFonts w:ascii="仿宋_GB2312" w:hAnsi="仿宋_GB2312" w:eastAsia="仿宋_GB2312" w:cs="仿宋_GB2312"/>
          <w:color w:val="auto"/>
          <w:szCs w:val="24"/>
        </w:rPr>
        <w:sectPr>
          <w:headerReference r:id="rId3" w:type="default"/>
          <w:pgSz w:w="11907" w:h="16839"/>
          <w:pgMar w:top="1701" w:right="1077" w:bottom="964" w:left="1418" w:header="1021" w:footer="720" w:gutter="340"/>
          <w:pgBorders>
            <w:top w:val="none" w:sz="0" w:space="0"/>
            <w:left w:val="none" w:sz="0" w:space="0"/>
            <w:bottom w:val="none" w:sz="0" w:space="0"/>
            <w:right w:val="none" w:sz="0" w:space="0"/>
          </w:pgBorders>
          <w:cols w:space="720" w:num="1"/>
          <w:titlePg/>
          <w:docGrid w:linePitch="285" w:charSpace="0"/>
        </w:sectPr>
      </w:pPr>
      <w:r>
        <w:rPr>
          <w:rFonts w:hint="eastAsia" w:ascii="仿宋_GB2312" w:hAnsi="仿宋_GB2312" w:eastAsia="仿宋_GB2312" w:cs="仿宋_GB2312"/>
          <w:color w:val="auto"/>
          <w:szCs w:val="24"/>
        </w:rPr>
        <w:fldChar w:fldCharType="end"/>
      </w:r>
    </w:p>
    <w:p>
      <w:pPr>
        <w:pStyle w:val="19"/>
        <w:pageBreakBefore w:val="0"/>
        <w:kinsoku/>
        <w:wordWrap/>
        <w:topLinePunct w:val="0"/>
        <w:bidi w:val="0"/>
        <w:spacing w:line="360" w:lineRule="auto"/>
        <w:outlineLvl w:val="9"/>
        <w:rPr>
          <w:rFonts w:ascii="仿宋_GB2312" w:hAnsi="仿宋_GB2312" w:eastAsia="仿宋_GB2312" w:cs="仿宋_GB2312"/>
          <w:color w:val="auto"/>
          <w:szCs w:val="32"/>
        </w:rPr>
      </w:pPr>
      <w:bookmarkStart w:id="5" w:name="index_2"/>
      <w:bookmarkEnd w:id="5"/>
      <w:bookmarkStart w:id="6" w:name="_Toc19283"/>
      <w:r>
        <w:rPr>
          <w:rFonts w:hint="eastAsia" w:ascii="仿宋_GB2312" w:hAnsi="仿宋_GB2312" w:eastAsia="仿宋_GB2312" w:cs="仿宋_GB2312"/>
          <w:color w:val="auto"/>
          <w:szCs w:val="32"/>
        </w:rPr>
        <w:t>资产评估师声明</w:t>
      </w:r>
      <w:bookmarkEnd w:id="6"/>
    </w:p>
    <w:p>
      <w:pPr>
        <w:pStyle w:val="19"/>
        <w:pageBreakBefore w:val="0"/>
        <w:kinsoku/>
        <w:wordWrap/>
        <w:topLinePunct w:val="0"/>
        <w:bidi w:val="0"/>
        <w:spacing w:line="360" w:lineRule="auto"/>
        <w:rPr>
          <w:rFonts w:ascii="仿宋_GB2312" w:hAnsi="仿宋_GB2312" w:eastAsia="仿宋_GB2312" w:cs="仿宋_GB2312"/>
          <w:color w:val="auto"/>
          <w:sz w:val="36"/>
          <w:szCs w:val="36"/>
        </w:rPr>
      </w:pPr>
    </w:p>
    <w:p>
      <w:pPr>
        <w:pageBreakBefore w:val="0"/>
        <w:numPr>
          <w:ilvl w:val="0"/>
          <w:numId w:val="4"/>
        </w:numPr>
        <w:tabs>
          <w:tab w:val="left" w:pos="900"/>
          <w:tab w:val="left" w:pos="1080"/>
          <w:tab w:val="clear" w:pos="1260"/>
        </w:tabs>
        <w:kinsoku/>
        <w:wordWrap/>
        <w:overflowPunct w:val="0"/>
        <w:topLinePunct w:val="0"/>
        <w:bidi w:val="0"/>
        <w:snapToGrid w:val="0"/>
        <w:spacing w:line="360" w:lineRule="auto"/>
        <w:ind w:left="0" w:firstLine="839"/>
        <w:rPr>
          <w:rFonts w:ascii="仿宋_GB2312" w:hAnsi="仿宋_GB2312" w:eastAsia="仿宋_GB2312" w:cs="仿宋_GB2312"/>
          <w:color w:val="auto"/>
          <w:sz w:val="24"/>
        </w:rPr>
      </w:pPr>
      <w:r>
        <w:rPr>
          <w:rFonts w:hint="eastAsia" w:ascii="仿宋_GB2312" w:hAnsi="仿宋_GB2312" w:eastAsia="仿宋_GB2312" w:cs="仿宋_GB2312"/>
          <w:color w:val="auto"/>
          <w:sz w:val="24"/>
        </w:rPr>
        <w:t>本资产评估报告依据财政部发布的资产评估基本准则和中国资产评估协会发布的资产评估执业准则和职业道德准则编制。</w:t>
      </w:r>
    </w:p>
    <w:p>
      <w:pPr>
        <w:pageBreakBefore w:val="0"/>
        <w:numPr>
          <w:ilvl w:val="0"/>
          <w:numId w:val="4"/>
        </w:numPr>
        <w:tabs>
          <w:tab w:val="left" w:pos="900"/>
          <w:tab w:val="left" w:pos="1080"/>
          <w:tab w:val="clear" w:pos="1260"/>
        </w:tabs>
        <w:kinsoku/>
        <w:wordWrap/>
        <w:overflowPunct w:val="0"/>
        <w:topLinePunct w:val="0"/>
        <w:bidi w:val="0"/>
        <w:snapToGrid w:val="0"/>
        <w:spacing w:line="360" w:lineRule="auto"/>
        <w:ind w:left="0" w:firstLine="839"/>
        <w:rPr>
          <w:rFonts w:ascii="仿宋_GB2312" w:hAnsi="仿宋_GB2312" w:eastAsia="仿宋_GB2312" w:cs="仿宋_GB2312"/>
          <w:color w:val="auto"/>
          <w:sz w:val="24"/>
        </w:rPr>
      </w:pPr>
      <w:r>
        <w:rPr>
          <w:rFonts w:hint="eastAsia" w:ascii="仿宋_GB2312" w:hAnsi="仿宋_GB2312" w:eastAsia="仿宋_GB2312" w:cs="仿宋_GB2312"/>
          <w:color w:val="auto"/>
          <w:sz w:val="24"/>
        </w:rPr>
        <w:t>本资产评估机构及其资产评估师遵守法律、行政法规和资产评估准则，坚持独立、客观、公正的原则，并对所出具的资产评估报告依法承担责任。</w:t>
      </w:r>
    </w:p>
    <w:p>
      <w:pPr>
        <w:pageBreakBefore w:val="0"/>
        <w:numPr>
          <w:ilvl w:val="0"/>
          <w:numId w:val="4"/>
        </w:numPr>
        <w:tabs>
          <w:tab w:val="left" w:pos="900"/>
          <w:tab w:val="left" w:pos="1080"/>
          <w:tab w:val="clear" w:pos="1260"/>
        </w:tabs>
        <w:kinsoku/>
        <w:wordWrap/>
        <w:overflowPunct w:val="0"/>
        <w:topLinePunct w:val="0"/>
        <w:bidi w:val="0"/>
        <w:snapToGrid w:val="0"/>
        <w:spacing w:line="360" w:lineRule="auto"/>
        <w:ind w:left="0" w:firstLine="839"/>
        <w:rPr>
          <w:rFonts w:ascii="仿宋_GB2312" w:hAnsi="仿宋_GB2312" w:eastAsia="仿宋_GB2312" w:cs="仿宋_GB2312"/>
          <w:color w:val="auto"/>
          <w:sz w:val="24"/>
        </w:rPr>
      </w:pPr>
      <w:r>
        <w:rPr>
          <w:rFonts w:hint="eastAsia" w:ascii="仿宋_GB2312" w:hAnsi="仿宋_GB2312" w:eastAsia="仿宋_GB2312" w:cs="仿宋_GB2312"/>
          <w:color w:val="auto"/>
          <w:sz w:val="24"/>
        </w:rPr>
        <w:t>委托方或者其他资产评估报告使用人应当按照法律、行政法规规定和资产评估报告载明的使用范围使用资产评估报告；委托方或者其他资产评估报告使用人违反前述规定使用资产评估报告的，资产评估机构及其资产评估师不承担责任。</w:t>
      </w:r>
    </w:p>
    <w:p>
      <w:pPr>
        <w:pageBreakBefore w:val="0"/>
        <w:tabs>
          <w:tab w:val="left" w:pos="900"/>
          <w:tab w:val="left" w:pos="1080"/>
        </w:tabs>
        <w:kinsoku/>
        <w:wordWrap/>
        <w:overflowPunct w:val="0"/>
        <w:topLinePunct w:val="0"/>
        <w:bidi w:val="0"/>
        <w:snapToGrid w:val="0"/>
        <w:spacing w:line="360" w:lineRule="auto"/>
        <w:ind w:firstLine="420" w:firstLineChars="175"/>
        <w:rPr>
          <w:rFonts w:ascii="仿宋_GB2312" w:hAnsi="仿宋_GB2312" w:eastAsia="仿宋_GB2312" w:cs="仿宋_GB2312"/>
          <w:color w:val="auto"/>
          <w:sz w:val="24"/>
        </w:rPr>
      </w:pPr>
      <w:r>
        <w:rPr>
          <w:rFonts w:hint="eastAsia" w:ascii="仿宋_GB2312" w:hAnsi="仿宋_GB2312" w:eastAsia="仿宋_GB2312" w:cs="仿宋_GB2312"/>
          <w:color w:val="auto"/>
          <w:sz w:val="24"/>
        </w:rPr>
        <w:t>本资产评估报告仅供委托方、</w:t>
      </w:r>
      <w:r>
        <w:rPr>
          <w:rFonts w:hint="eastAsia" w:ascii="仿宋_GB2312" w:hAnsi="仿宋_GB2312" w:eastAsia="仿宋_GB2312" w:cs="仿宋_GB2312"/>
          <w:color w:val="auto"/>
          <w:sz w:val="24"/>
          <w:lang w:eastAsia="zh-CN"/>
        </w:rPr>
        <w:t>评估委托书</w:t>
      </w:r>
      <w:r>
        <w:rPr>
          <w:rFonts w:hint="eastAsia" w:ascii="仿宋_GB2312" w:hAnsi="仿宋_GB2312" w:eastAsia="仿宋_GB2312" w:cs="仿宋_GB2312"/>
          <w:color w:val="auto"/>
          <w:sz w:val="24"/>
        </w:rPr>
        <w:t>中约定的其他资产评估报告使用人和法律、行政法规规定的资产评估报告使用人使用；除此之外，其他任何机构和个人不能成为资产评估报告的使用人。</w:t>
      </w:r>
    </w:p>
    <w:p>
      <w:pPr>
        <w:pageBreakBefore w:val="0"/>
        <w:tabs>
          <w:tab w:val="left" w:pos="900"/>
          <w:tab w:val="left" w:pos="1080"/>
        </w:tabs>
        <w:kinsoku/>
        <w:wordWrap/>
        <w:overflowPunct w:val="0"/>
        <w:topLinePunct w:val="0"/>
        <w:bidi w:val="0"/>
        <w:snapToGrid w:val="0"/>
        <w:spacing w:line="360" w:lineRule="auto"/>
        <w:ind w:firstLine="420" w:firstLineChars="175"/>
        <w:rPr>
          <w:rFonts w:ascii="仿宋_GB2312" w:hAnsi="仿宋_GB2312" w:eastAsia="仿宋_GB2312" w:cs="仿宋_GB2312"/>
          <w:color w:val="auto"/>
          <w:sz w:val="24"/>
        </w:rPr>
      </w:pPr>
      <w:r>
        <w:rPr>
          <w:rFonts w:hint="eastAsia" w:ascii="仿宋_GB2312" w:hAnsi="仿宋_GB2312" w:eastAsia="仿宋_GB2312" w:cs="仿宋_GB2312"/>
          <w:color w:val="auto"/>
          <w:sz w:val="24"/>
        </w:rPr>
        <w:t>本资产评估机构及资产评估师提示资产评估报告使用人应当正确理解和使用评估结论，评估结论不等同于评估对象可实现价格，评估结论不应当被认为是对评估对象可实现价格的保证。</w:t>
      </w:r>
    </w:p>
    <w:p>
      <w:pPr>
        <w:pageBreakBefore w:val="0"/>
        <w:numPr>
          <w:ilvl w:val="0"/>
          <w:numId w:val="4"/>
        </w:numPr>
        <w:tabs>
          <w:tab w:val="left" w:pos="900"/>
          <w:tab w:val="left" w:pos="1080"/>
          <w:tab w:val="clear" w:pos="1260"/>
        </w:tabs>
        <w:kinsoku/>
        <w:wordWrap/>
        <w:overflowPunct w:val="0"/>
        <w:topLinePunct w:val="0"/>
        <w:bidi w:val="0"/>
        <w:snapToGrid w:val="0"/>
        <w:spacing w:line="360" w:lineRule="auto"/>
        <w:ind w:left="0" w:firstLine="839"/>
        <w:rPr>
          <w:rFonts w:ascii="仿宋_GB2312" w:hAnsi="仿宋_GB2312" w:eastAsia="仿宋_GB2312" w:cs="仿宋_GB2312"/>
          <w:color w:val="auto"/>
          <w:sz w:val="24"/>
        </w:rPr>
      </w:pPr>
      <w:r>
        <w:rPr>
          <w:rFonts w:hint="eastAsia" w:ascii="仿宋_GB2312" w:hAnsi="仿宋_GB2312" w:eastAsia="仿宋_GB2312" w:cs="仿宋_GB2312"/>
          <w:color w:val="auto"/>
          <w:sz w:val="24"/>
        </w:rPr>
        <w:t>评估对象涉及的资产清单由委托方申报并经其采用签名、盖章或法律允许的其他方式确认；委托方和其他相关当事人依法对其提供资料的真实性、完整性、合法性负责。</w:t>
      </w:r>
    </w:p>
    <w:p>
      <w:pPr>
        <w:pageBreakBefore w:val="0"/>
        <w:numPr>
          <w:ilvl w:val="0"/>
          <w:numId w:val="4"/>
        </w:numPr>
        <w:tabs>
          <w:tab w:val="left" w:pos="900"/>
          <w:tab w:val="left" w:pos="1080"/>
          <w:tab w:val="clear" w:pos="1260"/>
        </w:tabs>
        <w:kinsoku/>
        <w:wordWrap/>
        <w:overflowPunct w:val="0"/>
        <w:topLinePunct w:val="0"/>
        <w:bidi w:val="0"/>
        <w:snapToGrid w:val="0"/>
        <w:spacing w:line="360" w:lineRule="auto"/>
        <w:ind w:left="0" w:firstLine="839"/>
        <w:rPr>
          <w:rFonts w:ascii="仿宋_GB2312" w:hAnsi="仿宋_GB2312" w:eastAsia="仿宋_GB2312" w:cs="仿宋_GB2312"/>
          <w:color w:val="auto"/>
          <w:sz w:val="24"/>
        </w:rPr>
      </w:pPr>
      <w:r>
        <w:rPr>
          <w:rFonts w:hint="eastAsia" w:ascii="仿宋_GB2312" w:hAnsi="仿宋_GB2312" w:eastAsia="仿宋_GB2312" w:cs="仿宋_GB2312"/>
          <w:color w:val="auto"/>
          <w:sz w:val="24"/>
        </w:rPr>
        <w:t>资产评估师已对评估对象及其所涉及资产进行现场调查；已对评估对象及其所涉及资产的法律权属状况给予必要的关注，对评估对象及其所涉及资产的法律权属资料进行了查验，对已经发现的问题进行了如实披露，并且已提请委托方及其他相关当事人完善产权以满足出具资产评估报告的要求。</w:t>
      </w:r>
    </w:p>
    <w:p>
      <w:pPr>
        <w:pageBreakBefore w:val="0"/>
        <w:numPr>
          <w:ilvl w:val="0"/>
          <w:numId w:val="4"/>
        </w:numPr>
        <w:tabs>
          <w:tab w:val="left" w:pos="900"/>
          <w:tab w:val="left" w:pos="1080"/>
          <w:tab w:val="clear" w:pos="1260"/>
        </w:tabs>
        <w:kinsoku/>
        <w:wordWrap/>
        <w:overflowPunct w:val="0"/>
        <w:topLinePunct w:val="0"/>
        <w:bidi w:val="0"/>
        <w:snapToGrid w:val="0"/>
        <w:spacing w:line="360" w:lineRule="auto"/>
        <w:ind w:left="0" w:firstLine="839"/>
        <w:rPr>
          <w:rFonts w:ascii="仿宋_GB2312" w:hAnsi="仿宋_GB2312" w:eastAsia="仿宋_GB2312" w:cs="仿宋_GB2312"/>
          <w:color w:val="auto"/>
          <w:sz w:val="24"/>
        </w:rPr>
      </w:pPr>
      <w:r>
        <w:rPr>
          <w:rFonts w:hint="eastAsia" w:ascii="仿宋_GB2312" w:hAnsi="仿宋_GB2312" w:eastAsia="仿宋_GB2312" w:cs="仿宋_GB2312"/>
          <w:color w:val="auto"/>
          <w:sz w:val="24"/>
        </w:rPr>
        <w:t>本资产评估机构及资产评估师与资产评估报告中的评估对象没有现存或者预期的利益关系，与相关当事人没有现存或者预期的利益关系，对相关当事人不存在偏见。</w:t>
      </w:r>
    </w:p>
    <w:p>
      <w:pPr>
        <w:pageBreakBefore w:val="0"/>
        <w:tabs>
          <w:tab w:val="left" w:pos="900"/>
          <w:tab w:val="left" w:pos="1080"/>
        </w:tabs>
        <w:kinsoku/>
        <w:wordWrap/>
        <w:overflowPunct w:val="0"/>
        <w:topLinePunct w:val="0"/>
        <w:bidi w:val="0"/>
        <w:snapToGrid w:val="0"/>
        <w:spacing w:line="360" w:lineRule="auto"/>
        <w:ind w:firstLine="420" w:firstLineChars="175"/>
        <w:rPr>
          <w:rFonts w:ascii="仿宋_GB2312" w:hAnsi="仿宋_GB2312" w:eastAsia="仿宋_GB2312" w:cs="仿宋_GB2312"/>
          <w:color w:val="auto"/>
          <w:sz w:val="24"/>
        </w:rPr>
      </w:pPr>
      <w:r>
        <w:rPr>
          <w:rFonts w:hint="eastAsia" w:ascii="仿宋_GB2312" w:hAnsi="仿宋_GB2312" w:eastAsia="仿宋_GB2312" w:cs="仿宋_GB2312"/>
          <w:color w:val="auto"/>
          <w:sz w:val="24"/>
        </w:rPr>
        <w:t>资产评估报告使用人应当关注评估结论成立的假设前提、资产评估报告特别事项说明和使用限制。</w:t>
      </w:r>
    </w:p>
    <w:p>
      <w:pPr>
        <w:pageBreakBefore w:val="0"/>
        <w:numPr>
          <w:ilvl w:val="0"/>
          <w:numId w:val="4"/>
        </w:numPr>
        <w:tabs>
          <w:tab w:val="left" w:pos="900"/>
          <w:tab w:val="left" w:pos="1080"/>
          <w:tab w:val="clear" w:pos="1260"/>
        </w:tabs>
        <w:kinsoku/>
        <w:wordWrap/>
        <w:overflowPunct w:val="0"/>
        <w:topLinePunct w:val="0"/>
        <w:bidi w:val="0"/>
        <w:snapToGrid w:val="0"/>
        <w:spacing w:line="360" w:lineRule="auto"/>
        <w:ind w:left="0" w:firstLine="839"/>
        <w:rPr>
          <w:rFonts w:ascii="仿宋_GB2312" w:hAnsi="仿宋_GB2312" w:eastAsia="仿宋_GB2312" w:cs="仿宋_GB2312"/>
          <w:color w:val="auto"/>
          <w:sz w:val="24"/>
        </w:rPr>
      </w:pPr>
      <w:r>
        <w:rPr>
          <w:rFonts w:hint="eastAsia" w:ascii="仿宋_GB2312" w:hAnsi="仿宋_GB2312" w:eastAsia="仿宋_GB2312" w:cs="仿宋_GB2312"/>
          <w:color w:val="auto"/>
          <w:sz w:val="24"/>
        </w:rPr>
        <w:t>本资产评估机构出具的资产评估报告中的分析、判断和结果受资产评估报告中假设和限制条件的限制。</w:t>
      </w:r>
    </w:p>
    <w:p>
      <w:pPr>
        <w:pageBreakBefore w:val="0"/>
        <w:tabs>
          <w:tab w:val="left" w:pos="900"/>
          <w:tab w:val="left" w:pos="1080"/>
        </w:tabs>
        <w:kinsoku/>
        <w:wordWrap/>
        <w:overflowPunct w:val="0"/>
        <w:topLinePunct w:val="0"/>
        <w:bidi w:val="0"/>
        <w:snapToGrid w:val="0"/>
        <w:spacing w:line="360" w:lineRule="auto"/>
        <w:rPr>
          <w:rFonts w:ascii="仿宋_GB2312" w:hAnsi="仿宋_GB2312" w:eastAsia="仿宋_GB2312" w:cs="仿宋_GB2312"/>
          <w:color w:val="auto"/>
          <w:sz w:val="24"/>
        </w:rPr>
      </w:pPr>
    </w:p>
    <w:p>
      <w:pPr>
        <w:pStyle w:val="17"/>
        <w:pageBreakBefore w:val="0"/>
        <w:kinsoku/>
        <w:wordWrap/>
        <w:topLinePunct w:val="0"/>
        <w:bidi w:val="0"/>
        <w:spacing w:line="360" w:lineRule="auto"/>
        <w:jc w:val="center"/>
        <w:rPr>
          <w:rFonts w:ascii="仿宋_GB2312" w:hAnsi="仿宋_GB2312" w:eastAsia="仿宋_GB2312" w:cs="仿宋_GB2312"/>
          <w:b/>
          <w:bCs/>
          <w:color w:val="auto"/>
          <w:sz w:val="32"/>
          <w:szCs w:val="32"/>
        </w:rPr>
      </w:pPr>
      <w:bookmarkStart w:id="7" w:name="index_3"/>
      <w:bookmarkEnd w:id="7"/>
      <w:r>
        <w:rPr>
          <w:rFonts w:hint="eastAsia" w:ascii="仿宋_GB2312" w:hAnsi="仿宋_GB2312" w:eastAsia="仿宋_GB2312" w:cs="仿宋_GB2312"/>
          <w:b/>
          <w:bCs/>
          <w:color w:val="auto"/>
          <w:sz w:val="32"/>
          <w:szCs w:val="32"/>
          <w:lang w:eastAsia="zh-CN"/>
        </w:rPr>
        <w:t>福清市人民法院拟进行司法处置</w:t>
      </w:r>
      <w:r>
        <w:rPr>
          <w:rFonts w:hint="eastAsia" w:ascii="仿宋_GB2312" w:hAnsi="仿宋_GB2312" w:eastAsia="仿宋_GB2312" w:cs="仿宋_GB2312"/>
          <w:b/>
          <w:bCs/>
          <w:color w:val="auto"/>
          <w:sz w:val="32"/>
          <w:szCs w:val="32"/>
        </w:rPr>
        <w:t>涉及的</w:t>
      </w:r>
    </w:p>
    <w:p>
      <w:pPr>
        <w:pStyle w:val="19"/>
        <w:pageBreakBefore w:val="0"/>
        <w:kinsoku/>
        <w:wordWrap/>
        <w:topLinePunct w:val="0"/>
        <w:bidi w:val="0"/>
        <w:spacing w:line="360" w:lineRule="auto"/>
        <w:rPr>
          <w:rFonts w:hint="eastAsia" w:ascii="仿宋_GB2312" w:hAnsi="仿宋_GB2312" w:eastAsia="仿宋_GB2312" w:cs="仿宋_GB2312"/>
          <w:bCs/>
          <w:color w:val="auto"/>
          <w:szCs w:val="32"/>
          <w:lang w:eastAsia="zh-CN"/>
        </w:rPr>
      </w:pPr>
      <w:bookmarkStart w:id="8" w:name="_Toc6846"/>
      <w:r>
        <w:rPr>
          <w:rFonts w:hint="eastAsia" w:ascii="仿宋_GB2312" w:hAnsi="仿宋_GB2312" w:eastAsia="仿宋_GB2312" w:cs="仿宋_GB2312"/>
          <w:bCs/>
          <w:color w:val="auto"/>
          <w:szCs w:val="32"/>
          <w:lang w:eastAsia="zh-CN"/>
        </w:rPr>
        <w:t>白鹭金滩春晓园7幢205室房地产评估项目</w:t>
      </w:r>
    </w:p>
    <w:p>
      <w:pPr>
        <w:pStyle w:val="19"/>
        <w:pageBreakBefore w:val="0"/>
        <w:kinsoku/>
        <w:wordWrap/>
        <w:topLinePunct w:val="0"/>
        <w:bidi w:val="0"/>
        <w:spacing w:line="360" w:lineRule="auto"/>
        <w:rPr>
          <w:rFonts w:ascii="仿宋_GB2312" w:hAnsi="仿宋_GB2312" w:eastAsia="仿宋_GB2312" w:cs="仿宋_GB2312"/>
          <w:bCs/>
          <w:color w:val="auto"/>
          <w:szCs w:val="32"/>
        </w:rPr>
      </w:pPr>
      <w:r>
        <w:rPr>
          <w:rFonts w:hint="eastAsia" w:ascii="仿宋_GB2312" w:hAnsi="仿宋_GB2312" w:eastAsia="仿宋_GB2312" w:cs="仿宋_GB2312"/>
          <w:color w:val="auto"/>
        </w:rPr>
        <w:t>资产评估报告摘要</w:t>
      </w:r>
      <w:bookmarkEnd w:id="8"/>
    </w:p>
    <w:p>
      <w:pPr>
        <w:pageBreakBefore w:val="0"/>
        <w:kinsoku/>
        <w:wordWrap/>
        <w:topLinePunct w:val="0"/>
        <w:bidi w:val="0"/>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b/>
          <w:color w:val="auto"/>
          <w:sz w:val="24"/>
          <w:lang w:eastAsia="zh-CN"/>
        </w:rPr>
        <w:t>绍天阳评报字[2022]第450号</w:t>
      </w:r>
    </w:p>
    <w:p>
      <w:pPr>
        <w:pageBreakBefore w:val="0"/>
        <w:kinsoku/>
        <w:wordWrap/>
        <w:topLinePunct w:val="0"/>
        <w:autoSpaceDE w:val="0"/>
        <w:autoSpaceDN w:val="0"/>
        <w:bidi w:val="0"/>
        <w:adjustRightInd w:val="0"/>
        <w:spacing w:line="360" w:lineRule="auto"/>
        <w:ind w:firstLine="480" w:firstLineChars="200"/>
        <w:jc w:val="left"/>
        <w:textAlignment w:val="bottom"/>
        <w:rPr>
          <w:rFonts w:ascii="仿宋_GB2312" w:hAnsi="仿宋_GB2312" w:eastAsia="仿宋_GB2312" w:cs="仿宋_GB2312"/>
          <w:color w:val="auto"/>
          <w:sz w:val="24"/>
        </w:rPr>
      </w:pPr>
      <w:bookmarkStart w:id="9" w:name="index_1"/>
      <w:bookmarkEnd w:id="9"/>
      <w:r>
        <w:rPr>
          <w:rFonts w:ascii="仿宋_GB2312" w:hAnsi="仿宋_GB2312" w:eastAsia="仿宋_GB2312" w:cs="仿宋_GB2312"/>
          <w:color w:val="auto"/>
          <w:sz w:val="24"/>
        </w:rPr>
        <w:pict>
          <v:shape id="Text Box 4" o:spid="_x0000_s1026" o:spt="202" type="#_x0000_t202" style="position:absolute;left:0pt;margin-left:27pt;margin-top:15.1pt;height:83.2pt;width:423pt;z-index:251659264;mso-width-relative:page;mso-height-relative:page;" coordsize="21600,21600" o:gfxdata="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CCZq9gAAAAJAQAADwAAAAAA&#10;AAABACAAAAAiAAAAZHJzL2Rvd25yZXYueG1sUEsBAhQAFAAAAAgAh07iQA4IFxUTAgAAOQQAAA4A&#10;AAAAAAAAAQAgAAAAJwEAAGRycy9lMm9Eb2MueG1sUEsFBgAAAAAGAAYAWQEAAKwFAAAAAA==&#10;">
            <v:path/>
            <v:fill focussize="0,0"/>
            <v:stroke joinstyle="miter"/>
            <v:imagedata o:title=""/>
            <o:lock v:ext="edit"/>
            <v:textbox>
              <w:txbxContent>
                <w:p>
                  <w:pPr>
                    <w:spacing w:line="360" w:lineRule="auto"/>
                    <w:jc w:val="center"/>
                    <w:rPr>
                      <w:rFonts w:ascii="黑体" w:hAnsi="黑体" w:eastAsia="黑体"/>
                      <w:b/>
                      <w:sz w:val="32"/>
                      <w:szCs w:val="32"/>
                    </w:rPr>
                  </w:pPr>
                  <w:r>
                    <w:rPr>
                      <w:rFonts w:hint="eastAsia" w:ascii="黑体" w:hAnsi="黑体" w:eastAsia="黑体"/>
                      <w:b/>
                      <w:sz w:val="32"/>
                      <w:szCs w:val="32"/>
                    </w:rPr>
                    <w:t>重要提示</w:t>
                  </w:r>
                </w:p>
                <w:p>
                  <w:pPr>
                    <w:spacing w:line="360" w:lineRule="auto"/>
                    <w:ind w:firstLine="482" w:firstLineChars="200"/>
                    <w:rPr>
                      <w:b/>
                      <w:sz w:val="24"/>
                    </w:rPr>
                  </w:pPr>
                  <w:r>
                    <w:rPr>
                      <w:rFonts w:hint="eastAsia"/>
                      <w:b/>
                      <w:sz w:val="24"/>
                    </w:rPr>
                    <w:t>以下内容摘自资产评估报告正文，欲了解本评估项目的详细情况和合理理解评估结论，应当认真阅读资产评估报告正文。</w:t>
                  </w:r>
                </w:p>
              </w:txbxContent>
            </v:textbox>
          </v:shape>
        </w:pict>
      </w:r>
    </w:p>
    <w:p>
      <w:pPr>
        <w:pageBreakBefore w:val="0"/>
        <w:kinsoku/>
        <w:wordWrap/>
        <w:topLinePunct w:val="0"/>
        <w:autoSpaceDE w:val="0"/>
        <w:autoSpaceDN w:val="0"/>
        <w:bidi w:val="0"/>
        <w:adjustRightInd w:val="0"/>
        <w:spacing w:line="360" w:lineRule="auto"/>
        <w:ind w:firstLine="480" w:firstLineChars="200"/>
        <w:jc w:val="left"/>
        <w:textAlignment w:val="bottom"/>
        <w:rPr>
          <w:rFonts w:ascii="仿宋_GB2312" w:hAnsi="仿宋_GB2312" w:eastAsia="仿宋_GB2312" w:cs="仿宋_GB2312"/>
          <w:color w:val="auto"/>
          <w:sz w:val="24"/>
        </w:rPr>
      </w:pPr>
    </w:p>
    <w:p>
      <w:pPr>
        <w:pageBreakBefore w:val="0"/>
        <w:kinsoku/>
        <w:wordWrap/>
        <w:topLinePunct w:val="0"/>
        <w:autoSpaceDE w:val="0"/>
        <w:autoSpaceDN w:val="0"/>
        <w:bidi w:val="0"/>
        <w:adjustRightInd w:val="0"/>
        <w:spacing w:line="360" w:lineRule="auto"/>
        <w:ind w:firstLine="480" w:firstLineChars="200"/>
        <w:jc w:val="left"/>
        <w:textAlignment w:val="bottom"/>
        <w:rPr>
          <w:rFonts w:ascii="仿宋_GB2312" w:hAnsi="仿宋_GB2312" w:eastAsia="仿宋_GB2312" w:cs="仿宋_GB2312"/>
          <w:color w:val="auto"/>
          <w:sz w:val="24"/>
        </w:rPr>
      </w:pPr>
    </w:p>
    <w:p>
      <w:pPr>
        <w:pageBreakBefore w:val="0"/>
        <w:kinsoku/>
        <w:wordWrap/>
        <w:topLinePunct w:val="0"/>
        <w:autoSpaceDE w:val="0"/>
        <w:autoSpaceDN w:val="0"/>
        <w:bidi w:val="0"/>
        <w:adjustRightInd w:val="0"/>
        <w:spacing w:line="360" w:lineRule="auto"/>
        <w:ind w:firstLine="480" w:firstLineChars="200"/>
        <w:jc w:val="left"/>
        <w:textAlignment w:val="bottom"/>
        <w:rPr>
          <w:rFonts w:ascii="仿宋_GB2312" w:hAnsi="仿宋_GB2312" w:eastAsia="仿宋_GB2312" w:cs="仿宋_GB2312"/>
          <w:color w:val="auto"/>
          <w:sz w:val="24"/>
        </w:rPr>
      </w:pPr>
    </w:p>
    <w:p>
      <w:pPr>
        <w:pageBreakBefore w:val="0"/>
        <w:kinsoku/>
        <w:wordWrap/>
        <w:topLinePunct w:val="0"/>
        <w:autoSpaceDE w:val="0"/>
        <w:autoSpaceDN w:val="0"/>
        <w:bidi w:val="0"/>
        <w:adjustRightInd w:val="0"/>
        <w:spacing w:line="360" w:lineRule="auto"/>
        <w:ind w:firstLine="482" w:firstLineChars="200"/>
        <w:jc w:val="left"/>
        <w:textAlignment w:val="bottom"/>
        <w:rPr>
          <w:rFonts w:ascii="仿宋_GB2312" w:hAnsi="仿宋_GB2312" w:eastAsia="仿宋_GB2312" w:cs="仿宋_GB2312"/>
          <w:b/>
          <w:bCs/>
          <w:color w:val="auto"/>
          <w:sz w:val="24"/>
        </w:rPr>
      </w:pPr>
    </w:p>
    <w:p>
      <w:pPr>
        <w:pageBreakBefore w:val="0"/>
        <w:kinsoku/>
        <w:wordWrap/>
        <w:topLinePunct w:val="0"/>
        <w:autoSpaceDE w:val="0"/>
        <w:autoSpaceDN w:val="0"/>
        <w:bidi w:val="0"/>
        <w:adjustRightInd w:val="0"/>
        <w:spacing w:line="360" w:lineRule="auto"/>
        <w:ind w:firstLine="420" w:firstLineChars="175"/>
        <w:jc w:val="left"/>
        <w:textAlignment w:val="bottom"/>
        <w:rPr>
          <w:rFonts w:ascii="仿宋_GB2312" w:hAnsi="仿宋_GB2312" w:eastAsia="仿宋_GB2312" w:cs="仿宋_GB2312"/>
          <w:bCs/>
          <w:color w:val="auto"/>
          <w:sz w:val="24"/>
        </w:rPr>
      </w:pPr>
      <w:r>
        <w:rPr>
          <w:rFonts w:hint="eastAsia" w:ascii="仿宋_GB2312" w:hAnsi="仿宋_GB2312" w:eastAsia="仿宋_GB2312" w:cs="仿宋_GB2312"/>
          <w:bCs/>
          <w:color w:val="auto"/>
          <w:sz w:val="24"/>
          <w:lang w:eastAsia="zh-CN"/>
        </w:rPr>
        <w:t>福清市人民法院</w:t>
      </w:r>
      <w:r>
        <w:rPr>
          <w:rFonts w:hint="eastAsia" w:ascii="仿宋_GB2312" w:hAnsi="仿宋_GB2312" w:eastAsia="仿宋_GB2312" w:cs="仿宋_GB2312"/>
          <w:bCs/>
          <w:color w:val="auto"/>
          <w:sz w:val="24"/>
        </w:rPr>
        <w:t>：</w:t>
      </w:r>
    </w:p>
    <w:p>
      <w:pPr>
        <w:pageBreakBefore w:val="0"/>
        <w:kinsoku/>
        <w:wordWrap/>
        <w:topLinePunct w:val="0"/>
        <w:autoSpaceDE w:val="0"/>
        <w:autoSpaceDN w:val="0"/>
        <w:bidi w:val="0"/>
        <w:adjustRightInd w:val="0"/>
        <w:spacing w:line="360" w:lineRule="auto"/>
        <w:ind w:firstLine="420" w:firstLineChars="175"/>
        <w:jc w:val="left"/>
        <w:textAlignment w:val="bottom"/>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绍兴天阳房地产资产评估有限公司接受</w:t>
      </w:r>
      <w:r>
        <w:rPr>
          <w:rFonts w:hint="eastAsia" w:ascii="仿宋_GB2312" w:hAnsi="仿宋_GB2312" w:eastAsia="仿宋_GB2312" w:cs="仿宋_GB2312"/>
          <w:bCs/>
          <w:color w:val="auto"/>
          <w:sz w:val="24"/>
          <w:lang w:val="en-US" w:eastAsia="zh-CN"/>
        </w:rPr>
        <w:t>贵方</w:t>
      </w:r>
      <w:r>
        <w:rPr>
          <w:rFonts w:hint="eastAsia" w:ascii="仿宋_GB2312" w:hAnsi="仿宋_GB2312" w:eastAsia="仿宋_GB2312" w:cs="仿宋_GB2312"/>
          <w:bCs/>
          <w:color w:val="auto"/>
          <w:sz w:val="24"/>
        </w:rPr>
        <w:t>的委托，按照法律、行政法规和资产评估准则的规定，坚持独立、客观、公正的原则，按照必要的评估程序，对</w:t>
      </w:r>
      <w:r>
        <w:rPr>
          <w:rFonts w:hint="eastAsia" w:ascii="仿宋_GB2312" w:hAnsi="仿宋_GB2312" w:eastAsia="仿宋_GB2312" w:cs="仿宋_GB2312"/>
          <w:bCs/>
          <w:color w:val="auto"/>
          <w:sz w:val="24"/>
          <w:lang w:eastAsia="zh-CN"/>
        </w:rPr>
        <w:t>白鹭金滩春晓园7幢205室房地产</w:t>
      </w:r>
      <w:r>
        <w:rPr>
          <w:rFonts w:hint="eastAsia" w:ascii="仿宋_GB2312" w:hAnsi="仿宋_GB2312" w:eastAsia="仿宋_GB2312" w:cs="仿宋_GB2312"/>
          <w:bCs/>
          <w:color w:val="auto"/>
          <w:sz w:val="24"/>
        </w:rPr>
        <w:t>在评估基准日的市场价值进行了评估。现将资产评估报告摘要如下：</w:t>
      </w:r>
    </w:p>
    <w:p>
      <w:pPr>
        <w:pageBreakBefore w:val="0"/>
        <w:kinsoku/>
        <w:wordWrap/>
        <w:topLinePunct w:val="0"/>
        <w:autoSpaceDE w:val="0"/>
        <w:autoSpaceDN w:val="0"/>
        <w:bidi w:val="0"/>
        <w:adjustRightInd w:val="0"/>
        <w:spacing w:line="360" w:lineRule="auto"/>
        <w:ind w:firstLine="480" w:firstLineChars="200"/>
        <w:jc w:val="left"/>
        <w:textAlignment w:val="bottom"/>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一、委托方、</w:t>
      </w:r>
      <w:r>
        <w:rPr>
          <w:rFonts w:hint="eastAsia" w:ascii="仿宋_GB2312" w:hAnsi="仿宋_GB2312" w:eastAsia="仿宋_GB2312" w:cs="仿宋_GB2312"/>
          <w:bCs/>
          <w:color w:val="auto"/>
          <w:sz w:val="24"/>
          <w:lang w:eastAsia="zh-CN"/>
        </w:rPr>
        <w:t>产权持有者</w:t>
      </w:r>
      <w:r>
        <w:rPr>
          <w:rFonts w:hint="eastAsia" w:ascii="仿宋_GB2312" w:hAnsi="仿宋_GB2312" w:eastAsia="仿宋_GB2312" w:cs="仿宋_GB2312"/>
          <w:bCs/>
          <w:color w:val="auto"/>
          <w:sz w:val="24"/>
        </w:rPr>
        <w:t>和</w:t>
      </w:r>
      <w:r>
        <w:rPr>
          <w:rFonts w:hint="eastAsia" w:ascii="仿宋_GB2312" w:hAnsi="仿宋_GB2312" w:eastAsia="仿宋_GB2312" w:cs="仿宋_GB2312"/>
          <w:bCs/>
          <w:color w:val="auto"/>
          <w:sz w:val="24"/>
          <w:lang w:eastAsia="zh-CN"/>
        </w:rPr>
        <w:t>评估委托书</w:t>
      </w:r>
      <w:r>
        <w:rPr>
          <w:rFonts w:hint="eastAsia" w:ascii="仿宋_GB2312" w:hAnsi="仿宋_GB2312" w:eastAsia="仿宋_GB2312" w:cs="仿宋_GB2312"/>
          <w:bCs/>
          <w:color w:val="auto"/>
          <w:sz w:val="24"/>
        </w:rPr>
        <w:t>约定的其他资产评估报告使用人</w:t>
      </w:r>
    </w:p>
    <w:p>
      <w:pPr>
        <w:pageBreakBefore w:val="0"/>
        <w:kinsoku/>
        <w:wordWrap/>
        <w:topLinePunct w:val="0"/>
        <w:autoSpaceDE w:val="0"/>
        <w:autoSpaceDN w:val="0"/>
        <w:bidi w:val="0"/>
        <w:adjustRightInd w:val="0"/>
        <w:spacing w:line="360" w:lineRule="auto"/>
        <w:ind w:firstLine="480" w:firstLineChars="200"/>
        <w:jc w:val="left"/>
        <w:textAlignment w:val="bottom"/>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本次资产评估的委托方为</w:t>
      </w:r>
      <w:r>
        <w:rPr>
          <w:rFonts w:hint="eastAsia" w:ascii="仿宋_GB2312" w:hAnsi="仿宋_GB2312" w:eastAsia="仿宋_GB2312" w:cs="仿宋_GB2312"/>
          <w:bCs/>
          <w:color w:val="auto"/>
          <w:sz w:val="24"/>
          <w:lang w:eastAsia="zh-CN"/>
        </w:rPr>
        <w:t>福清市人民法院</w:t>
      </w:r>
      <w:r>
        <w:rPr>
          <w:rFonts w:hint="eastAsia" w:ascii="仿宋_GB2312" w:hAnsi="仿宋_GB2312" w:eastAsia="仿宋_GB2312" w:cs="仿宋_GB2312"/>
          <w:bCs/>
          <w:color w:val="auto"/>
          <w:sz w:val="24"/>
        </w:rPr>
        <w:t>。</w:t>
      </w:r>
    </w:p>
    <w:p>
      <w:pPr>
        <w:pageBreakBefore w:val="0"/>
        <w:kinsoku/>
        <w:wordWrap/>
        <w:topLinePunct w:val="0"/>
        <w:autoSpaceDE w:val="0"/>
        <w:autoSpaceDN w:val="0"/>
        <w:bidi w:val="0"/>
        <w:adjustRightInd w:val="0"/>
        <w:spacing w:line="360" w:lineRule="auto"/>
        <w:ind w:firstLine="480" w:firstLineChars="200"/>
        <w:jc w:val="left"/>
        <w:textAlignment w:val="bottom"/>
        <w:rPr>
          <w:rFonts w:hint="eastAsia" w:ascii="仿宋_GB2312" w:hAnsi="仿宋_GB2312" w:eastAsia="仿宋_GB2312" w:cs="仿宋_GB2312"/>
          <w:bCs/>
          <w:color w:val="auto"/>
          <w:sz w:val="24"/>
          <w:lang w:val="en-US" w:eastAsia="zh-CN"/>
        </w:rPr>
      </w:pPr>
      <w:r>
        <w:rPr>
          <w:rFonts w:hint="eastAsia" w:ascii="仿宋_GB2312" w:hAnsi="仿宋_GB2312" w:eastAsia="仿宋_GB2312" w:cs="仿宋_GB2312"/>
          <w:bCs/>
          <w:color w:val="auto"/>
          <w:sz w:val="24"/>
        </w:rPr>
        <w:t>本次资产评估的</w:t>
      </w:r>
      <w:r>
        <w:rPr>
          <w:rFonts w:hint="eastAsia" w:ascii="仿宋_GB2312" w:hAnsi="仿宋_GB2312" w:eastAsia="仿宋_GB2312" w:cs="仿宋_GB2312"/>
          <w:bCs/>
          <w:color w:val="auto"/>
          <w:sz w:val="24"/>
          <w:lang w:eastAsia="zh-CN"/>
        </w:rPr>
        <w:t>产权持有者</w:t>
      </w:r>
      <w:r>
        <w:rPr>
          <w:rFonts w:hint="eastAsia" w:ascii="仿宋_GB2312" w:hAnsi="仿宋_GB2312" w:eastAsia="仿宋_GB2312" w:cs="仿宋_GB2312"/>
          <w:bCs/>
          <w:color w:val="auto"/>
          <w:sz w:val="24"/>
        </w:rPr>
        <w:t>为</w:t>
      </w:r>
      <w:r>
        <w:rPr>
          <w:rFonts w:hint="eastAsia" w:ascii="仿宋_GB2312" w:hAnsi="仿宋_GB2312" w:eastAsia="仿宋_GB2312" w:cs="仿宋_GB2312"/>
          <w:bCs/>
          <w:color w:val="auto"/>
          <w:sz w:val="24"/>
          <w:lang w:val="en-US" w:eastAsia="zh-CN"/>
        </w:rPr>
        <w:t>谢鸿。</w:t>
      </w:r>
    </w:p>
    <w:p>
      <w:pPr>
        <w:pageBreakBefore w:val="0"/>
        <w:kinsoku/>
        <w:wordWrap/>
        <w:topLinePunct w:val="0"/>
        <w:autoSpaceDE w:val="0"/>
        <w:autoSpaceDN w:val="0"/>
        <w:bidi w:val="0"/>
        <w:adjustRightInd w:val="0"/>
        <w:spacing w:line="360" w:lineRule="auto"/>
        <w:ind w:firstLine="480" w:firstLineChars="200"/>
        <w:jc w:val="left"/>
        <w:textAlignment w:val="bottom"/>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根据《</w:t>
      </w:r>
      <w:r>
        <w:rPr>
          <w:rFonts w:hint="eastAsia" w:ascii="仿宋_GB2312" w:hAnsi="仿宋_GB2312" w:eastAsia="仿宋_GB2312" w:cs="仿宋_GB2312"/>
          <w:bCs/>
          <w:color w:val="auto"/>
          <w:sz w:val="24"/>
          <w:lang w:eastAsia="zh-CN"/>
        </w:rPr>
        <w:t>评估委托书</w:t>
      </w:r>
      <w:r>
        <w:rPr>
          <w:rFonts w:hint="eastAsia" w:ascii="仿宋_GB2312" w:hAnsi="仿宋_GB2312" w:eastAsia="仿宋_GB2312" w:cs="仿宋_GB2312"/>
          <w:bCs/>
          <w:color w:val="auto"/>
          <w:sz w:val="24"/>
        </w:rPr>
        <w:t>》，本资产评估报告的其他使用人</w:t>
      </w:r>
      <w:r>
        <w:rPr>
          <w:rFonts w:hint="eastAsia" w:ascii="仿宋_GB2312" w:hAnsi="仿宋_GB2312" w:eastAsia="仿宋_GB2312" w:cs="仿宋_GB2312"/>
          <w:bCs/>
          <w:color w:val="auto"/>
          <w:sz w:val="24"/>
          <w:lang w:val="en-US" w:eastAsia="zh-CN"/>
        </w:rPr>
        <w:t>包括</w:t>
      </w:r>
      <w:r>
        <w:rPr>
          <w:rFonts w:hint="eastAsia" w:ascii="仿宋_GB2312" w:hAnsi="仿宋_GB2312" w:eastAsia="仿宋_GB2312" w:cs="仿宋_GB2312"/>
          <w:bCs/>
          <w:color w:val="auto"/>
          <w:sz w:val="24"/>
        </w:rPr>
        <w:t>国家法律、法规规定的资产评估报告使用人。</w:t>
      </w:r>
    </w:p>
    <w:p>
      <w:pPr>
        <w:pageBreakBefore w:val="0"/>
        <w:kinsoku/>
        <w:wordWrap/>
        <w:topLinePunct w:val="0"/>
        <w:autoSpaceDE w:val="0"/>
        <w:autoSpaceDN w:val="0"/>
        <w:bidi w:val="0"/>
        <w:adjustRightInd w:val="0"/>
        <w:spacing w:line="360" w:lineRule="auto"/>
        <w:ind w:firstLine="480" w:firstLineChars="200"/>
        <w:jc w:val="left"/>
        <w:textAlignment w:val="bottom"/>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二、评估目的</w:t>
      </w:r>
    </w:p>
    <w:p>
      <w:pPr>
        <w:pageBreakBefore w:val="0"/>
        <w:kinsoku/>
        <w:wordWrap/>
        <w:topLinePunct w:val="0"/>
        <w:autoSpaceDE w:val="0"/>
        <w:autoSpaceDN w:val="0"/>
        <w:bidi w:val="0"/>
        <w:adjustRightInd w:val="0"/>
        <w:spacing w:line="360" w:lineRule="auto"/>
        <w:ind w:firstLine="480" w:firstLineChars="200"/>
        <w:jc w:val="left"/>
        <w:textAlignment w:val="bottom"/>
        <w:rPr>
          <w:rFonts w:ascii="仿宋_GB2312" w:hAnsi="仿宋_GB2312" w:eastAsia="仿宋_GB2312" w:cs="仿宋_GB2312"/>
          <w:bCs/>
          <w:color w:val="auto"/>
          <w:sz w:val="24"/>
        </w:rPr>
      </w:pPr>
      <w:bookmarkStart w:id="10" w:name="OLE_LINK6"/>
      <w:r>
        <w:rPr>
          <w:rFonts w:hint="eastAsia" w:ascii="仿宋_GB2312" w:hAnsi="仿宋_GB2312" w:eastAsia="仿宋_GB2312" w:cs="仿宋_GB2312"/>
          <w:bCs/>
          <w:color w:val="auto"/>
          <w:sz w:val="24"/>
        </w:rPr>
        <w:t>根据</w:t>
      </w:r>
      <w:r>
        <w:rPr>
          <w:rFonts w:hint="eastAsia" w:ascii="仿宋_GB2312" w:hAnsi="仿宋_GB2312" w:eastAsia="仿宋_GB2312" w:cs="仿宋_GB2312"/>
          <w:bCs/>
          <w:color w:val="auto"/>
          <w:sz w:val="24"/>
          <w:lang w:eastAsia="zh-CN"/>
        </w:rPr>
        <w:t>评估委托书</w:t>
      </w:r>
      <w:r>
        <w:rPr>
          <w:rFonts w:hint="eastAsia" w:ascii="仿宋_GB2312" w:hAnsi="仿宋_GB2312" w:eastAsia="仿宋_GB2312" w:cs="仿宋_GB2312"/>
          <w:bCs/>
          <w:color w:val="auto"/>
          <w:sz w:val="24"/>
        </w:rPr>
        <w:t>，</w:t>
      </w:r>
      <w:r>
        <w:rPr>
          <w:rFonts w:hint="eastAsia" w:ascii="仿宋_GB2312" w:hAnsi="仿宋_GB2312" w:eastAsia="仿宋_GB2312" w:cs="仿宋_GB2312"/>
          <w:bCs/>
          <w:color w:val="auto"/>
          <w:sz w:val="24"/>
          <w:lang w:eastAsia="zh-CN"/>
        </w:rPr>
        <w:t>福清市人民法院拟进行司法处置</w:t>
      </w:r>
      <w:r>
        <w:rPr>
          <w:rFonts w:hint="eastAsia" w:ascii="仿宋_GB2312" w:hAnsi="仿宋_GB2312" w:eastAsia="仿宋_GB2312" w:cs="仿宋_GB2312"/>
          <w:bCs/>
          <w:color w:val="auto"/>
          <w:sz w:val="24"/>
        </w:rPr>
        <w:t>，特委托绍兴天阳房地产资产评估有限公司对该经济行为所涉及的</w:t>
      </w:r>
      <w:r>
        <w:rPr>
          <w:rFonts w:hint="eastAsia" w:ascii="仿宋_GB2312" w:hAnsi="仿宋_GB2312" w:eastAsia="仿宋_GB2312" w:cs="仿宋_GB2312"/>
          <w:bCs/>
          <w:color w:val="auto"/>
          <w:sz w:val="24"/>
          <w:lang w:eastAsia="zh-CN"/>
        </w:rPr>
        <w:t>白鹭金滩春晓园7幢205室房地产</w:t>
      </w:r>
      <w:r>
        <w:rPr>
          <w:rFonts w:hint="eastAsia" w:ascii="仿宋_GB2312" w:hAnsi="仿宋_GB2312" w:eastAsia="仿宋_GB2312" w:cs="仿宋_GB2312"/>
          <w:bCs/>
          <w:color w:val="auto"/>
          <w:sz w:val="24"/>
        </w:rPr>
        <w:t>在评估基准日的市场价值进行了评估，为此次经济行为提供价值参考。</w:t>
      </w:r>
    </w:p>
    <w:bookmarkEnd w:id="10"/>
    <w:p>
      <w:pPr>
        <w:pageBreakBefore w:val="0"/>
        <w:kinsoku/>
        <w:wordWrap/>
        <w:topLinePunct w:val="0"/>
        <w:autoSpaceDE w:val="0"/>
        <w:autoSpaceDN w:val="0"/>
        <w:bidi w:val="0"/>
        <w:adjustRightInd w:val="0"/>
        <w:spacing w:line="360" w:lineRule="auto"/>
        <w:ind w:firstLine="480" w:firstLineChars="200"/>
        <w:jc w:val="left"/>
        <w:textAlignment w:val="bottom"/>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三、评估对象和评估范围</w:t>
      </w:r>
    </w:p>
    <w:p>
      <w:pPr>
        <w:pageBreakBefore w:val="0"/>
        <w:kinsoku/>
        <w:wordWrap/>
        <w:topLinePunct w:val="0"/>
        <w:autoSpaceDE w:val="0"/>
        <w:autoSpaceDN w:val="0"/>
        <w:bidi w:val="0"/>
        <w:adjustRightInd w:val="0"/>
        <w:spacing w:line="360" w:lineRule="auto"/>
        <w:ind w:firstLine="480" w:firstLineChars="200"/>
        <w:jc w:val="left"/>
        <w:textAlignment w:val="bottom"/>
        <w:rPr>
          <w:rFonts w:ascii="仿宋_GB2312" w:hAnsi="仿宋_GB2312" w:eastAsia="仿宋_GB2312" w:cs="仿宋_GB2312"/>
          <w:bCs/>
          <w:color w:val="auto"/>
          <w:sz w:val="24"/>
        </w:rPr>
      </w:pPr>
      <w:bookmarkStart w:id="11" w:name="OLE_LINK7"/>
      <w:r>
        <w:rPr>
          <w:rFonts w:hint="eastAsia" w:ascii="仿宋_GB2312" w:hAnsi="仿宋_GB2312" w:eastAsia="仿宋_GB2312" w:cs="仿宋_GB2312"/>
          <w:bCs/>
          <w:color w:val="auto"/>
          <w:sz w:val="24"/>
        </w:rPr>
        <w:t>评估对象为涉及上述经济行为的</w:t>
      </w:r>
      <w:r>
        <w:rPr>
          <w:rFonts w:hint="eastAsia" w:ascii="仿宋_GB2312" w:hAnsi="仿宋_GB2312" w:eastAsia="仿宋_GB2312" w:cs="仿宋_GB2312"/>
          <w:bCs/>
          <w:color w:val="auto"/>
          <w:sz w:val="24"/>
          <w:lang w:eastAsia="zh-CN"/>
        </w:rPr>
        <w:t>白鹭金滩春晓园7幢205室房地产</w:t>
      </w:r>
      <w:r>
        <w:rPr>
          <w:rFonts w:hint="eastAsia" w:ascii="仿宋_GB2312" w:hAnsi="仿宋_GB2312" w:eastAsia="仿宋_GB2312" w:cs="仿宋_GB2312"/>
          <w:bCs/>
          <w:color w:val="auto"/>
          <w:sz w:val="24"/>
          <w:lang w:val="en-US" w:eastAsia="zh-CN"/>
        </w:rPr>
        <w:t>的市场价值</w:t>
      </w:r>
      <w:r>
        <w:rPr>
          <w:rFonts w:hint="eastAsia" w:ascii="仿宋_GB2312" w:hAnsi="仿宋_GB2312" w:eastAsia="仿宋_GB2312" w:cs="仿宋_GB2312"/>
          <w:bCs/>
          <w:color w:val="auto"/>
          <w:sz w:val="24"/>
        </w:rPr>
        <w:t>。</w:t>
      </w:r>
      <w:bookmarkEnd w:id="11"/>
    </w:p>
    <w:p>
      <w:pPr>
        <w:pStyle w:val="8"/>
        <w:pageBreakBefore w:val="0"/>
        <w:kinsoku/>
        <w:wordWrap/>
        <w:topLinePunct w:val="0"/>
        <w:bidi w:val="0"/>
        <w:spacing w:line="360" w:lineRule="auto"/>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评估范围为</w:t>
      </w:r>
      <w:bookmarkStart w:id="12" w:name="OLE_LINK8"/>
      <w:r>
        <w:rPr>
          <w:rFonts w:hint="eastAsia" w:ascii="仿宋_GB2312" w:hAnsi="仿宋_GB2312" w:eastAsia="仿宋_GB2312" w:cs="仿宋_GB2312"/>
          <w:bCs/>
          <w:color w:val="auto"/>
          <w:sz w:val="24"/>
          <w:lang w:eastAsia="zh-CN"/>
        </w:rPr>
        <w:t>白鹭金滩春晓园7幢205室房地产</w:t>
      </w:r>
      <w:r>
        <w:rPr>
          <w:rFonts w:hint="eastAsia" w:ascii="仿宋_GB2312" w:hAnsi="仿宋_GB2312" w:eastAsia="仿宋_GB2312" w:cs="仿宋_GB2312"/>
          <w:color w:val="auto"/>
          <w:spacing w:val="-2"/>
          <w:sz w:val="24"/>
          <w:szCs w:val="24"/>
        </w:rPr>
        <w:t>。</w:t>
      </w:r>
      <w:bookmarkEnd w:id="12"/>
    </w:p>
    <w:p>
      <w:pPr>
        <w:pageBreakBefore w:val="0"/>
        <w:kinsoku/>
        <w:wordWrap/>
        <w:topLinePunct w:val="0"/>
        <w:autoSpaceDE w:val="0"/>
        <w:autoSpaceDN w:val="0"/>
        <w:bidi w:val="0"/>
        <w:adjustRightInd w:val="0"/>
        <w:spacing w:line="360" w:lineRule="auto"/>
        <w:ind w:firstLine="480" w:firstLineChars="200"/>
        <w:jc w:val="left"/>
        <w:textAlignment w:val="bottom"/>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四、价值类型</w:t>
      </w:r>
    </w:p>
    <w:p>
      <w:pPr>
        <w:pageBreakBefore w:val="0"/>
        <w:kinsoku/>
        <w:wordWrap/>
        <w:topLinePunct w:val="0"/>
        <w:autoSpaceDE w:val="0"/>
        <w:autoSpaceDN w:val="0"/>
        <w:bidi w:val="0"/>
        <w:adjustRightInd w:val="0"/>
        <w:spacing w:line="360" w:lineRule="auto"/>
        <w:ind w:firstLine="480" w:firstLineChars="200"/>
        <w:jc w:val="left"/>
        <w:textAlignment w:val="bottom"/>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本次评估的价值类型为市场价值。</w:t>
      </w:r>
    </w:p>
    <w:p>
      <w:pPr>
        <w:pageBreakBefore w:val="0"/>
        <w:kinsoku/>
        <w:wordWrap/>
        <w:topLinePunct w:val="0"/>
        <w:autoSpaceDE w:val="0"/>
        <w:autoSpaceDN w:val="0"/>
        <w:bidi w:val="0"/>
        <w:adjustRightInd w:val="0"/>
        <w:spacing w:line="360" w:lineRule="auto"/>
        <w:ind w:firstLine="480" w:firstLineChars="200"/>
        <w:jc w:val="left"/>
        <w:textAlignment w:val="bottom"/>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五、评估基准日</w:t>
      </w:r>
    </w:p>
    <w:p>
      <w:pPr>
        <w:pageBreakBefore w:val="0"/>
        <w:kinsoku/>
        <w:wordWrap/>
        <w:topLinePunct w:val="0"/>
        <w:autoSpaceDE w:val="0"/>
        <w:autoSpaceDN w:val="0"/>
        <w:bidi w:val="0"/>
        <w:adjustRightInd w:val="0"/>
        <w:spacing w:line="360" w:lineRule="auto"/>
        <w:ind w:firstLine="480" w:firstLineChars="200"/>
        <w:jc w:val="left"/>
        <w:textAlignment w:val="bottom"/>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评估基准日为</w:t>
      </w:r>
      <w:r>
        <w:rPr>
          <w:rFonts w:hint="eastAsia" w:ascii="仿宋_GB2312" w:hAnsi="仿宋_GB2312" w:eastAsia="仿宋_GB2312" w:cs="仿宋_GB2312"/>
          <w:bCs/>
          <w:color w:val="auto"/>
          <w:sz w:val="24"/>
          <w:lang w:eastAsia="zh-CN"/>
        </w:rPr>
        <w:t xml:space="preserve"> 2022年08月30日</w:t>
      </w:r>
      <w:r>
        <w:rPr>
          <w:rFonts w:hint="eastAsia" w:ascii="仿宋_GB2312" w:hAnsi="仿宋_GB2312" w:eastAsia="仿宋_GB2312" w:cs="仿宋_GB2312"/>
          <w:bCs/>
          <w:color w:val="auto"/>
          <w:sz w:val="24"/>
        </w:rPr>
        <w:t>。</w:t>
      </w:r>
    </w:p>
    <w:p>
      <w:pPr>
        <w:pageBreakBefore w:val="0"/>
        <w:kinsoku/>
        <w:wordWrap/>
        <w:topLinePunct w:val="0"/>
        <w:autoSpaceDE w:val="0"/>
        <w:autoSpaceDN w:val="0"/>
        <w:bidi w:val="0"/>
        <w:adjustRightInd w:val="0"/>
        <w:spacing w:line="360" w:lineRule="auto"/>
        <w:ind w:firstLine="480" w:firstLineChars="200"/>
        <w:jc w:val="left"/>
        <w:textAlignment w:val="bottom"/>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六、评估方法</w:t>
      </w:r>
    </w:p>
    <w:p>
      <w:pPr>
        <w:pageBreakBefore w:val="0"/>
        <w:kinsoku/>
        <w:wordWrap/>
        <w:topLinePunct w:val="0"/>
        <w:autoSpaceDE w:val="0"/>
        <w:autoSpaceDN w:val="0"/>
        <w:bidi w:val="0"/>
        <w:adjustRightInd w:val="0"/>
        <w:spacing w:line="360" w:lineRule="auto"/>
        <w:ind w:firstLine="480" w:firstLineChars="200"/>
        <w:jc w:val="left"/>
        <w:textAlignment w:val="bottom"/>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根据评估对象、价值类型、资料收集情况等相关条件，本次采用</w:t>
      </w:r>
      <w:r>
        <w:rPr>
          <w:rFonts w:hint="eastAsia" w:ascii="仿宋_GB2312" w:hAnsi="仿宋_GB2312" w:eastAsia="仿宋_GB2312" w:cs="仿宋_GB2312"/>
          <w:bCs/>
          <w:color w:val="auto"/>
          <w:sz w:val="24"/>
          <w:lang w:val="en-US" w:eastAsia="zh-CN"/>
        </w:rPr>
        <w:t>市场法、收益法</w:t>
      </w:r>
      <w:r>
        <w:rPr>
          <w:rFonts w:hint="eastAsia" w:ascii="仿宋_GB2312" w:hAnsi="仿宋_GB2312" w:eastAsia="仿宋_GB2312" w:cs="仿宋_GB2312"/>
          <w:bCs/>
          <w:color w:val="auto"/>
          <w:sz w:val="24"/>
        </w:rPr>
        <w:t>进行评估。</w:t>
      </w:r>
    </w:p>
    <w:p>
      <w:pPr>
        <w:pageBreakBefore w:val="0"/>
        <w:numPr>
          <w:ilvl w:val="0"/>
          <w:numId w:val="5"/>
        </w:numPr>
        <w:kinsoku/>
        <w:wordWrap/>
        <w:topLinePunct w:val="0"/>
        <w:autoSpaceDE w:val="0"/>
        <w:autoSpaceDN w:val="0"/>
        <w:bidi w:val="0"/>
        <w:adjustRightInd w:val="0"/>
        <w:spacing w:line="360" w:lineRule="auto"/>
        <w:ind w:firstLine="480" w:firstLineChars="200"/>
        <w:jc w:val="left"/>
        <w:textAlignment w:val="bottom"/>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评估结论</w:t>
      </w:r>
    </w:p>
    <w:p>
      <w:pPr>
        <w:pageBreakBefore w:val="0"/>
        <w:kinsoku/>
        <w:wordWrap/>
        <w:topLinePunct w:val="0"/>
        <w:autoSpaceDE w:val="0"/>
        <w:autoSpaceDN w:val="0"/>
        <w:bidi w:val="0"/>
        <w:adjustRightInd w:val="0"/>
        <w:spacing w:line="360" w:lineRule="auto"/>
        <w:ind w:firstLine="480" w:firstLineChars="200"/>
        <w:jc w:val="left"/>
        <w:textAlignment w:val="bottom"/>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本资产评估报告选用</w:t>
      </w:r>
      <w:r>
        <w:rPr>
          <w:rFonts w:hint="eastAsia" w:ascii="仿宋_GB2312" w:hAnsi="仿宋_GB2312" w:eastAsia="仿宋_GB2312" w:cs="仿宋_GB2312"/>
          <w:bCs/>
          <w:color w:val="auto"/>
          <w:sz w:val="24"/>
          <w:lang w:eastAsia="zh-CN"/>
        </w:rPr>
        <w:t>市场法</w:t>
      </w:r>
      <w:r>
        <w:rPr>
          <w:rFonts w:hint="eastAsia" w:ascii="仿宋_GB2312" w:hAnsi="仿宋_GB2312" w:eastAsia="仿宋_GB2312" w:cs="仿宋_GB2312"/>
          <w:bCs/>
          <w:color w:val="auto"/>
          <w:sz w:val="24"/>
        </w:rPr>
        <w:t>评估结果作为评估结论。</w:t>
      </w:r>
    </w:p>
    <w:p>
      <w:pPr>
        <w:pageBreakBefore w:val="0"/>
        <w:kinsoku/>
        <w:wordWrap/>
        <w:topLinePunct w:val="0"/>
        <w:autoSpaceDE w:val="0"/>
        <w:autoSpaceDN w:val="0"/>
        <w:bidi w:val="0"/>
        <w:adjustRightInd w:val="0"/>
        <w:spacing w:line="360" w:lineRule="auto"/>
        <w:ind w:firstLine="480" w:firstLineChars="200"/>
        <w:jc w:val="left"/>
        <w:textAlignment w:val="bottom"/>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具体评估结论如下：</w:t>
      </w:r>
    </w:p>
    <w:p>
      <w:pPr>
        <w:pageBreakBefore w:val="0"/>
        <w:kinsoku/>
        <w:wordWrap/>
        <w:topLinePunct w:val="0"/>
        <w:autoSpaceDE w:val="0"/>
        <w:autoSpaceDN w:val="0"/>
        <w:bidi w:val="0"/>
        <w:adjustRightInd w:val="0"/>
        <w:spacing w:line="360" w:lineRule="auto"/>
        <w:ind w:firstLine="480" w:firstLineChars="200"/>
        <w:jc w:val="left"/>
        <w:textAlignment w:val="bottom"/>
        <w:rPr>
          <w:rFonts w:hint="eastAsia" w:ascii="仿宋_GB2312" w:hAnsi="仿宋_GB2312" w:eastAsia="仿宋_GB2312" w:cs="仿宋_GB2312"/>
          <w:bCs/>
          <w:color w:val="auto"/>
          <w:sz w:val="24"/>
          <w:lang w:eastAsia="zh-CN"/>
        </w:rPr>
      </w:pPr>
      <w:r>
        <w:rPr>
          <w:rFonts w:hint="eastAsia" w:ascii="仿宋_GB2312" w:hAnsi="仿宋_GB2312" w:eastAsia="仿宋_GB2312" w:cs="仿宋_GB2312"/>
          <w:bCs/>
          <w:color w:val="auto"/>
          <w:sz w:val="24"/>
          <w:lang w:eastAsia="zh-CN"/>
        </w:rPr>
        <w:t>白鹭金滩春晓园7幢205室房地产评估基准日评估价值为人民币4,106,864.00元，大写为人民币</w:t>
      </w:r>
      <w:r>
        <w:rPr>
          <w:rFonts w:hint="eastAsia" w:ascii="仿宋_GB2312" w:hAnsi="仿宋_GB2312" w:eastAsia="仿宋_GB2312" w:cs="仿宋_GB2312"/>
          <w:bCs/>
          <w:color w:val="auto"/>
          <w:sz w:val="24"/>
          <w:lang w:eastAsia="zh-CN"/>
        </w:rPr>
        <w:fldChar w:fldCharType="begin"/>
      </w:r>
      <w:r>
        <w:rPr>
          <w:rFonts w:hint="eastAsia" w:ascii="仿宋_GB2312" w:hAnsi="仿宋_GB2312" w:eastAsia="仿宋_GB2312" w:cs="仿宋_GB2312"/>
          <w:bCs/>
          <w:color w:val="auto"/>
          <w:sz w:val="24"/>
          <w:lang w:eastAsia="zh-CN"/>
        </w:rPr>
        <w:instrText xml:space="preserve"> = 4106864 \* CHINESENUM4 \* MERGEFORMAT </w:instrText>
      </w:r>
      <w:r>
        <w:rPr>
          <w:rFonts w:hint="eastAsia" w:ascii="仿宋_GB2312" w:hAnsi="仿宋_GB2312" w:eastAsia="仿宋_GB2312" w:cs="仿宋_GB2312"/>
          <w:bCs/>
          <w:color w:val="auto"/>
          <w:sz w:val="24"/>
          <w:lang w:eastAsia="zh-CN"/>
        </w:rPr>
        <w:fldChar w:fldCharType="separate"/>
      </w:r>
      <w:r>
        <w:rPr>
          <w:rFonts w:hint="eastAsia" w:ascii="仿宋_GB2312" w:hAnsi="仿宋_GB2312" w:eastAsia="仿宋_GB2312" w:cs="仿宋_GB2312"/>
          <w:bCs/>
          <w:color w:val="auto"/>
          <w:sz w:val="24"/>
          <w:lang w:eastAsia="zh-CN"/>
        </w:rPr>
        <w:t>肆佰壹拾万陆仟捌佰陆拾肆元整</w:t>
      </w:r>
      <w:r>
        <w:rPr>
          <w:rFonts w:hint="eastAsia" w:ascii="仿宋_GB2312" w:hAnsi="仿宋_GB2312" w:eastAsia="仿宋_GB2312" w:cs="仿宋_GB2312"/>
          <w:bCs/>
          <w:color w:val="auto"/>
          <w:sz w:val="24"/>
          <w:lang w:eastAsia="zh-CN"/>
        </w:rPr>
        <w:fldChar w:fldCharType="end"/>
      </w:r>
      <w:r>
        <w:rPr>
          <w:rFonts w:hint="eastAsia" w:ascii="仿宋_GB2312" w:hAnsi="仿宋_GB2312" w:eastAsia="仿宋_GB2312" w:cs="仿宋_GB2312"/>
          <w:bCs/>
          <w:color w:val="auto"/>
          <w:sz w:val="24"/>
          <w:lang w:eastAsia="zh-CN"/>
        </w:rPr>
        <w:t>。</w:t>
      </w:r>
    </w:p>
    <w:p>
      <w:pPr>
        <w:pageBreakBefore w:val="0"/>
        <w:kinsoku/>
        <w:wordWrap/>
        <w:topLinePunct w:val="0"/>
        <w:autoSpaceDE w:val="0"/>
        <w:autoSpaceDN w:val="0"/>
        <w:bidi w:val="0"/>
        <w:adjustRightInd w:val="0"/>
        <w:spacing w:line="360" w:lineRule="auto"/>
        <w:ind w:firstLine="480" w:firstLineChars="200"/>
        <w:jc w:val="left"/>
        <w:textAlignment w:val="bottom"/>
        <w:rPr>
          <w:rFonts w:hint="default" w:ascii="仿宋_GB2312" w:hAnsi="仿宋_GB2312" w:eastAsia="仿宋_GB2312" w:cs="仿宋_GB2312"/>
          <w:bCs/>
          <w:color w:val="auto"/>
          <w:sz w:val="24"/>
          <w:lang w:val="en-US" w:eastAsia="zh-CN"/>
        </w:rPr>
      </w:pPr>
      <w:bookmarkStart w:id="13" w:name="OLE_LINK1"/>
      <w:r>
        <w:rPr>
          <w:rFonts w:hint="eastAsia" w:ascii="仿宋_GB2312" w:hAnsi="仿宋_GB2312" w:eastAsia="仿宋_GB2312" w:cs="仿宋_GB2312"/>
          <w:bCs/>
          <w:color w:val="auto"/>
          <w:sz w:val="24"/>
          <w:lang w:val="en-US" w:eastAsia="zh-CN"/>
        </w:rPr>
        <w:t>本次评估价值包含固定装修价值,但不包含可移动的家电、家具等，不包含买卖双方过户相关税费。</w:t>
      </w:r>
      <w:bookmarkEnd w:id="13"/>
    </w:p>
    <w:p>
      <w:pPr>
        <w:pageBreakBefore w:val="0"/>
        <w:numPr>
          <w:ilvl w:val="0"/>
          <w:numId w:val="6"/>
        </w:numPr>
        <w:kinsoku/>
        <w:wordWrap/>
        <w:topLinePunct w:val="0"/>
        <w:autoSpaceDE w:val="0"/>
        <w:autoSpaceDN w:val="0"/>
        <w:bidi w:val="0"/>
        <w:adjustRightInd w:val="0"/>
        <w:spacing w:line="360" w:lineRule="auto"/>
        <w:ind w:firstLine="480" w:firstLineChars="200"/>
        <w:jc w:val="left"/>
        <w:textAlignment w:val="bottom"/>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评估结论的使用有效期</w:t>
      </w:r>
    </w:p>
    <w:p>
      <w:pPr>
        <w:pageBreakBefore w:val="0"/>
        <w:kinsoku/>
        <w:wordWrap/>
        <w:topLinePunct w:val="0"/>
        <w:autoSpaceDE w:val="0"/>
        <w:autoSpaceDN w:val="0"/>
        <w:bidi w:val="0"/>
        <w:adjustRightInd w:val="0"/>
        <w:spacing w:line="360" w:lineRule="auto"/>
        <w:ind w:firstLine="420" w:firstLineChars="175"/>
        <w:jc w:val="left"/>
        <w:textAlignment w:val="bottom"/>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本资产评估报告仅为资产评估报告中描述的经济行为提供价值参考，评估结论的使用有效期限自评估基准日起一年有效，即自评估基准日</w:t>
      </w:r>
      <w:r>
        <w:rPr>
          <w:rFonts w:hint="eastAsia" w:ascii="仿宋_GB2312" w:hAnsi="仿宋_GB2312" w:eastAsia="仿宋_GB2312" w:cs="仿宋_GB2312"/>
          <w:bCs/>
          <w:color w:val="auto"/>
          <w:sz w:val="24"/>
          <w:lang w:eastAsia="zh-CN"/>
        </w:rPr>
        <w:t xml:space="preserve"> 2022年08月30日</w:t>
      </w:r>
      <w:r>
        <w:rPr>
          <w:rFonts w:hint="eastAsia" w:ascii="仿宋_GB2312" w:hAnsi="仿宋_GB2312" w:eastAsia="仿宋_GB2312" w:cs="仿宋_GB2312"/>
          <w:bCs/>
          <w:color w:val="auto"/>
          <w:sz w:val="24"/>
        </w:rPr>
        <w:t>起至</w:t>
      </w:r>
      <w:r>
        <w:rPr>
          <w:rFonts w:hint="eastAsia" w:ascii="仿宋_GB2312" w:hAnsi="仿宋_GB2312" w:eastAsia="仿宋_GB2312" w:cs="仿宋_GB2312"/>
          <w:bCs/>
          <w:color w:val="auto"/>
          <w:sz w:val="24"/>
          <w:lang w:eastAsia="zh-CN"/>
        </w:rPr>
        <w:t xml:space="preserve"> 2023年8月29日</w:t>
      </w:r>
      <w:r>
        <w:rPr>
          <w:rFonts w:hint="eastAsia" w:ascii="仿宋_GB2312" w:hAnsi="仿宋_GB2312" w:eastAsia="仿宋_GB2312" w:cs="仿宋_GB2312"/>
          <w:bCs/>
          <w:color w:val="auto"/>
          <w:sz w:val="24"/>
        </w:rPr>
        <w:t>止。</w:t>
      </w:r>
    </w:p>
    <w:p>
      <w:pPr>
        <w:pageBreakBefore w:val="0"/>
        <w:kinsoku/>
        <w:wordWrap/>
        <w:topLinePunct w:val="0"/>
        <w:autoSpaceDE w:val="0"/>
        <w:autoSpaceDN w:val="0"/>
        <w:bidi w:val="0"/>
        <w:adjustRightInd w:val="0"/>
        <w:spacing w:line="360" w:lineRule="auto"/>
        <w:ind w:firstLine="420" w:firstLineChars="175"/>
        <w:jc w:val="left"/>
        <w:textAlignment w:val="bottom"/>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资产评估报告使用人应当充分考虑资产评估报告中载明的假设、限定条件、特别事项说明及其对评估结论的影响。</w:t>
      </w:r>
    </w:p>
    <w:p>
      <w:pPr>
        <w:pageBreakBefore w:val="0"/>
        <w:kinsoku/>
        <w:wordWrap/>
        <w:topLinePunct w:val="0"/>
        <w:autoSpaceDE w:val="0"/>
        <w:autoSpaceDN w:val="0"/>
        <w:bidi w:val="0"/>
        <w:adjustRightInd w:val="0"/>
        <w:spacing w:line="360" w:lineRule="auto"/>
        <w:ind w:firstLine="420" w:firstLineChars="175"/>
        <w:jc w:val="left"/>
        <w:textAlignment w:val="bottom"/>
        <w:rPr>
          <w:rFonts w:hint="eastAsia" w:ascii="仿宋_GB2312" w:hAnsi="仿宋_GB2312" w:eastAsia="仿宋_GB2312" w:cs="仿宋_GB2312"/>
          <w:bCs/>
          <w:color w:val="auto"/>
          <w:sz w:val="24"/>
        </w:rPr>
        <w:sectPr>
          <w:footerReference r:id="rId5" w:type="first"/>
          <w:footerReference r:id="rId4" w:type="default"/>
          <w:pgSz w:w="11907" w:h="16839"/>
          <w:pgMar w:top="1701" w:right="1077" w:bottom="964" w:left="1418" w:header="1021" w:footer="720" w:gutter="340"/>
          <w:pgBorders>
            <w:top w:val="none" w:sz="0" w:space="0"/>
            <w:left w:val="none" w:sz="0" w:space="0"/>
            <w:bottom w:val="none" w:sz="0" w:space="0"/>
            <w:right w:val="none" w:sz="0" w:space="0"/>
          </w:pgBorders>
          <w:pgNumType w:start="1"/>
          <w:cols w:space="720" w:num="1"/>
          <w:docGrid w:linePitch="285" w:charSpace="0"/>
        </w:sectPr>
      </w:pPr>
      <w:r>
        <w:rPr>
          <w:rFonts w:hint="eastAsia" w:ascii="仿宋_GB2312" w:hAnsi="仿宋_GB2312" w:eastAsia="仿宋_GB2312" w:cs="仿宋_GB2312"/>
          <w:bCs/>
          <w:color w:val="auto"/>
          <w:sz w:val="24"/>
        </w:rPr>
        <w:t>以上内容摘自资产评估报告正文，欲了解本评估业务的详细情况和正确理解评估结论，应当阅读资产评估报告正文。</w:t>
      </w:r>
    </w:p>
    <w:p>
      <w:pPr>
        <w:pageBreakBefore w:val="0"/>
        <w:kinsoku/>
        <w:wordWrap/>
        <w:topLinePunct w:val="0"/>
        <w:autoSpaceDE w:val="0"/>
        <w:autoSpaceDN w:val="0"/>
        <w:bidi w:val="0"/>
        <w:adjustRightInd w:val="0"/>
        <w:spacing w:line="360" w:lineRule="auto"/>
        <w:ind w:firstLine="367" w:firstLineChars="175"/>
        <w:jc w:val="center"/>
        <w:textAlignment w:val="bottom"/>
        <w:rPr>
          <w:rFonts w:hint="eastAsia" w:ascii="仿宋_GB2312" w:hAnsi="仿宋_GB2312" w:eastAsia="仿宋_GB2312" w:cs="仿宋_GB2312"/>
          <w:b/>
          <w:bCs/>
          <w:color w:val="auto"/>
          <w:sz w:val="32"/>
          <w:szCs w:val="32"/>
        </w:rPr>
      </w:pPr>
      <w:r>
        <w:rPr>
          <w:rFonts w:hint="eastAsia" w:ascii="仿宋_GB2312" w:hAnsi="仿宋_GB2312" w:eastAsia="仿宋_GB2312" w:cs="仿宋_GB2312"/>
          <w:color w:val="auto"/>
        </w:rPr>
        <w:br w:type="page"/>
      </w:r>
      <w:bookmarkStart w:id="14" w:name="index_5"/>
      <w:bookmarkEnd w:id="14"/>
      <w:r>
        <w:rPr>
          <w:rFonts w:hint="eastAsia" w:ascii="仿宋_GB2312" w:hAnsi="仿宋_GB2312" w:eastAsia="仿宋_GB2312" w:cs="仿宋_GB2312"/>
          <w:b/>
          <w:bCs/>
          <w:color w:val="auto"/>
          <w:sz w:val="32"/>
          <w:szCs w:val="32"/>
          <w:lang w:val="en-US" w:eastAsia="zh-CN"/>
        </w:rPr>
        <w:t>福清市人民法院</w:t>
      </w:r>
      <w:r>
        <w:rPr>
          <w:rFonts w:hint="eastAsia" w:ascii="仿宋_GB2312" w:hAnsi="仿宋_GB2312" w:eastAsia="仿宋_GB2312" w:cs="仿宋_GB2312"/>
          <w:b/>
          <w:bCs/>
          <w:color w:val="auto"/>
          <w:sz w:val="32"/>
          <w:szCs w:val="32"/>
          <w:lang w:eastAsia="zh-CN"/>
        </w:rPr>
        <w:t>拟进行司法处置</w:t>
      </w:r>
      <w:r>
        <w:rPr>
          <w:rFonts w:hint="eastAsia" w:ascii="仿宋_GB2312" w:hAnsi="仿宋_GB2312" w:eastAsia="仿宋_GB2312" w:cs="仿宋_GB2312"/>
          <w:b/>
          <w:bCs/>
          <w:color w:val="auto"/>
          <w:sz w:val="32"/>
          <w:szCs w:val="32"/>
        </w:rPr>
        <w:t>涉及的</w:t>
      </w:r>
      <w:bookmarkStart w:id="15" w:name="_Toc8388"/>
    </w:p>
    <w:p>
      <w:pPr>
        <w:pageBreakBefore w:val="0"/>
        <w:kinsoku/>
        <w:wordWrap/>
        <w:topLinePunct w:val="0"/>
        <w:autoSpaceDE w:val="0"/>
        <w:autoSpaceDN w:val="0"/>
        <w:bidi w:val="0"/>
        <w:adjustRightInd w:val="0"/>
        <w:spacing w:line="360" w:lineRule="auto"/>
        <w:ind w:firstLine="562" w:firstLineChars="175"/>
        <w:jc w:val="center"/>
        <w:textAlignment w:val="bottom"/>
        <w:rPr>
          <w:rFonts w:ascii="仿宋_GB2312" w:hAnsi="仿宋_GB2312" w:eastAsia="仿宋_GB2312" w:cs="仿宋_GB2312"/>
          <w:bCs/>
          <w:color w:val="auto"/>
          <w:szCs w:val="32"/>
        </w:rPr>
      </w:pPr>
      <w:r>
        <w:rPr>
          <w:rFonts w:hint="eastAsia" w:ascii="仿宋_GB2312" w:hAnsi="仿宋_GB2312" w:eastAsia="仿宋_GB2312" w:cs="仿宋_GB2312"/>
          <w:b/>
          <w:bCs/>
          <w:color w:val="auto"/>
          <w:sz w:val="32"/>
          <w:szCs w:val="32"/>
          <w:lang w:eastAsia="zh-CN"/>
        </w:rPr>
        <w:t>白鹭金滩春晓园7幢205室房地产评估项目资产评估报告正文</w:t>
      </w:r>
      <w:bookmarkEnd w:id="15"/>
    </w:p>
    <w:p>
      <w:pPr>
        <w:pageBreakBefore w:val="0"/>
        <w:kinsoku/>
        <w:wordWrap/>
        <w:topLinePunct w:val="0"/>
        <w:bidi w:val="0"/>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b/>
          <w:color w:val="auto"/>
          <w:sz w:val="24"/>
          <w:lang w:eastAsia="zh-CN"/>
        </w:rPr>
        <w:t>绍天阳评报字[2022]第450号</w:t>
      </w:r>
    </w:p>
    <w:p>
      <w:pPr>
        <w:pageBreakBefore w:val="0"/>
        <w:kinsoku/>
        <w:wordWrap/>
        <w:topLinePunct w:val="0"/>
        <w:bidi w:val="0"/>
        <w:spacing w:line="360" w:lineRule="auto"/>
        <w:rPr>
          <w:rFonts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lang w:eastAsia="zh-CN"/>
        </w:rPr>
        <w:t>福清市人民法院</w:t>
      </w:r>
      <w:r>
        <w:rPr>
          <w:rFonts w:hint="eastAsia" w:ascii="仿宋_GB2312" w:hAnsi="仿宋_GB2312" w:eastAsia="仿宋_GB2312" w:cs="仿宋_GB2312"/>
          <w:b/>
          <w:color w:val="auto"/>
          <w:sz w:val="28"/>
          <w:szCs w:val="28"/>
        </w:rPr>
        <w:t>：</w:t>
      </w:r>
    </w:p>
    <w:p>
      <w:pPr>
        <w:pageBreakBefore w:val="0"/>
        <w:kinsoku/>
        <w:wordWrap/>
        <w:topLinePunct w:val="0"/>
        <w:bidi w:val="0"/>
        <w:spacing w:line="360" w:lineRule="auto"/>
        <w:ind w:firstLine="600" w:firstLineChars="250"/>
        <w:rPr>
          <w:rFonts w:ascii="仿宋_GB2312" w:hAnsi="仿宋_GB2312" w:eastAsia="仿宋_GB2312" w:cs="仿宋_GB2312"/>
          <w:color w:val="auto"/>
          <w:sz w:val="24"/>
        </w:rPr>
      </w:pPr>
      <w:bookmarkStart w:id="16" w:name="_Toc474679474"/>
      <w:bookmarkStart w:id="17" w:name="_Toc474676039"/>
      <w:bookmarkStart w:id="18" w:name="_Toc474676080"/>
      <w:bookmarkStart w:id="19" w:name="_Toc474678019"/>
      <w:r>
        <w:rPr>
          <w:rFonts w:hint="eastAsia" w:ascii="仿宋_GB2312" w:hAnsi="仿宋_GB2312" w:eastAsia="仿宋_GB2312" w:cs="仿宋_GB2312"/>
          <w:color w:val="auto"/>
          <w:sz w:val="24"/>
        </w:rPr>
        <w:t>绍兴天阳房地产资产评估有限公司接受贵方的委托，按照法律、行政法规和资产评估准则的规定，坚持独立、客观、公正的原则，采用</w:t>
      </w:r>
      <w:r>
        <w:rPr>
          <w:rFonts w:hint="eastAsia" w:ascii="仿宋_GB2312" w:hAnsi="仿宋_GB2312" w:eastAsia="仿宋_GB2312" w:cs="仿宋_GB2312"/>
          <w:color w:val="auto"/>
          <w:sz w:val="24"/>
          <w:lang w:val="en-US" w:eastAsia="zh-CN"/>
        </w:rPr>
        <w:t>市场法、收益法</w:t>
      </w:r>
      <w:r>
        <w:rPr>
          <w:rFonts w:hint="eastAsia" w:ascii="仿宋_GB2312" w:hAnsi="仿宋_GB2312" w:eastAsia="仿宋_GB2312" w:cs="仿宋_GB2312"/>
          <w:color w:val="auto"/>
          <w:sz w:val="24"/>
        </w:rPr>
        <w:t>对</w:t>
      </w:r>
      <w:r>
        <w:rPr>
          <w:rFonts w:hint="eastAsia" w:ascii="仿宋_GB2312" w:hAnsi="仿宋_GB2312" w:eastAsia="仿宋_GB2312" w:cs="仿宋_GB2312"/>
          <w:bCs/>
          <w:color w:val="auto"/>
          <w:sz w:val="24"/>
          <w:lang w:eastAsia="zh-CN"/>
        </w:rPr>
        <w:t>白鹭金滩春晓园7幢205室房地产</w:t>
      </w:r>
      <w:r>
        <w:rPr>
          <w:rFonts w:hint="eastAsia" w:ascii="仿宋_GB2312" w:hAnsi="仿宋_GB2312" w:eastAsia="仿宋_GB2312" w:cs="仿宋_GB2312"/>
          <w:bCs/>
          <w:color w:val="auto"/>
          <w:sz w:val="24"/>
        </w:rPr>
        <w:t>在评估基准日的市场价值进行了评估</w:t>
      </w:r>
      <w:r>
        <w:rPr>
          <w:rFonts w:hint="eastAsia" w:ascii="仿宋_GB2312" w:hAnsi="仿宋_GB2312" w:eastAsia="仿宋_GB2312" w:cs="仿宋_GB2312"/>
          <w:color w:val="auto"/>
          <w:sz w:val="24"/>
        </w:rPr>
        <w:t>。现将资产评估情况报告如下：</w:t>
      </w:r>
    </w:p>
    <w:p>
      <w:pPr>
        <w:pStyle w:val="3"/>
        <w:pageBreakBefore w:val="0"/>
        <w:tabs>
          <w:tab w:val="left" w:pos="0"/>
          <w:tab w:val="clear" w:pos="852"/>
        </w:tabs>
        <w:kinsoku/>
        <w:wordWrap/>
        <w:topLinePunct w:val="0"/>
        <w:bidi w:val="0"/>
        <w:spacing w:line="360" w:lineRule="auto"/>
        <w:ind w:left="12" w:firstLine="420"/>
        <w:rPr>
          <w:rFonts w:ascii="仿宋_GB2312" w:hAnsi="仿宋_GB2312" w:eastAsia="仿宋_GB2312" w:cs="仿宋_GB2312"/>
          <w:color w:val="auto"/>
          <w:spacing w:val="0"/>
        </w:rPr>
      </w:pPr>
      <w:bookmarkStart w:id="20" w:name="_Toc31632"/>
      <w:r>
        <w:rPr>
          <w:rFonts w:hint="eastAsia" w:ascii="仿宋_GB2312" w:hAnsi="仿宋_GB2312" w:eastAsia="仿宋_GB2312" w:cs="仿宋_GB2312"/>
          <w:color w:val="auto"/>
          <w:spacing w:val="0"/>
        </w:rPr>
        <w:t>委</w:t>
      </w:r>
      <w:bookmarkStart w:id="21" w:name="index_6"/>
      <w:bookmarkEnd w:id="21"/>
      <w:r>
        <w:rPr>
          <w:rFonts w:hint="eastAsia" w:ascii="仿宋_GB2312" w:hAnsi="仿宋_GB2312" w:eastAsia="仿宋_GB2312" w:cs="仿宋_GB2312"/>
          <w:color w:val="auto"/>
          <w:spacing w:val="0"/>
        </w:rPr>
        <w:t>托方</w:t>
      </w:r>
      <w:bookmarkEnd w:id="16"/>
      <w:bookmarkEnd w:id="17"/>
      <w:bookmarkEnd w:id="18"/>
      <w:bookmarkEnd w:id="19"/>
      <w:r>
        <w:rPr>
          <w:rFonts w:hint="eastAsia" w:ascii="仿宋_GB2312" w:hAnsi="仿宋_GB2312" w:eastAsia="仿宋_GB2312" w:cs="仿宋_GB2312"/>
          <w:color w:val="auto"/>
          <w:spacing w:val="0"/>
        </w:rPr>
        <w:t>、</w:t>
      </w:r>
      <w:r>
        <w:rPr>
          <w:rFonts w:hint="eastAsia" w:ascii="仿宋_GB2312" w:hAnsi="仿宋_GB2312" w:eastAsia="仿宋_GB2312" w:cs="仿宋_GB2312"/>
          <w:color w:val="auto"/>
          <w:spacing w:val="0"/>
          <w:lang w:eastAsia="zh-CN"/>
        </w:rPr>
        <w:t>产权持有者</w:t>
      </w:r>
      <w:r>
        <w:rPr>
          <w:rFonts w:hint="eastAsia" w:ascii="仿宋_GB2312" w:hAnsi="仿宋_GB2312" w:eastAsia="仿宋_GB2312" w:cs="仿宋_GB2312"/>
          <w:color w:val="auto"/>
          <w:spacing w:val="0"/>
        </w:rPr>
        <w:t>和</w:t>
      </w:r>
      <w:r>
        <w:rPr>
          <w:rFonts w:hint="eastAsia" w:ascii="仿宋_GB2312" w:hAnsi="仿宋_GB2312" w:eastAsia="仿宋_GB2312" w:cs="仿宋_GB2312"/>
          <w:color w:val="auto"/>
          <w:spacing w:val="0"/>
          <w:lang w:eastAsia="zh-CN"/>
        </w:rPr>
        <w:t>评估委托书</w:t>
      </w:r>
      <w:r>
        <w:rPr>
          <w:rFonts w:hint="eastAsia" w:ascii="仿宋_GB2312" w:hAnsi="仿宋_GB2312" w:eastAsia="仿宋_GB2312" w:cs="仿宋_GB2312"/>
          <w:color w:val="auto"/>
          <w:spacing w:val="0"/>
        </w:rPr>
        <w:t>约定的其他资产评估报告使用人</w:t>
      </w:r>
      <w:bookmarkEnd w:id="20"/>
    </w:p>
    <w:p>
      <w:pPr>
        <w:pageBreakBefore w:val="0"/>
        <w:kinsoku/>
        <w:wordWrap/>
        <w:topLinePunct w:val="0"/>
        <w:bidi w:val="0"/>
        <w:spacing w:line="360" w:lineRule="auto"/>
        <w:ind w:firstLine="480" w:firstLineChars="200"/>
        <w:jc w:val="left"/>
        <w:textAlignment w:val="top"/>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本次资产评估的委托方为</w:t>
      </w:r>
      <w:r>
        <w:rPr>
          <w:rFonts w:hint="eastAsia" w:ascii="仿宋_GB2312" w:hAnsi="仿宋_GB2312" w:eastAsia="仿宋_GB2312" w:cs="仿宋_GB2312"/>
          <w:color w:val="auto"/>
          <w:sz w:val="24"/>
          <w:lang w:eastAsia="zh-CN"/>
        </w:rPr>
        <w:t>福清市人民法院，产权持有者</w:t>
      </w:r>
      <w:r>
        <w:rPr>
          <w:rFonts w:hint="eastAsia" w:ascii="仿宋_GB2312" w:hAnsi="仿宋_GB2312" w:eastAsia="仿宋_GB2312" w:cs="仿宋_GB2312"/>
          <w:color w:val="auto"/>
          <w:sz w:val="24"/>
        </w:rPr>
        <w:t>为</w:t>
      </w:r>
      <w:r>
        <w:rPr>
          <w:rFonts w:hint="eastAsia" w:ascii="仿宋_GB2312" w:hAnsi="仿宋_GB2312" w:eastAsia="仿宋_GB2312" w:cs="仿宋_GB2312"/>
          <w:color w:val="auto"/>
          <w:sz w:val="24"/>
          <w:lang w:eastAsia="zh-CN"/>
        </w:rPr>
        <w:t>谢鸿。</w:t>
      </w:r>
    </w:p>
    <w:p>
      <w:pPr>
        <w:pageBreakBefore w:val="0"/>
        <w:kinsoku/>
        <w:wordWrap/>
        <w:topLinePunct w:val="0"/>
        <w:bidi w:val="0"/>
        <w:spacing w:line="360" w:lineRule="auto"/>
        <w:ind w:firstLine="480" w:firstLineChars="200"/>
        <w:jc w:val="left"/>
        <w:textAlignment w:val="top"/>
        <w:rPr>
          <w:rFonts w:ascii="仿宋_GB2312" w:hAnsi="仿宋_GB2312" w:eastAsia="仿宋_GB2312" w:cs="仿宋_GB2312"/>
          <w:color w:val="auto"/>
          <w:sz w:val="24"/>
        </w:rPr>
      </w:pPr>
      <w:r>
        <w:rPr>
          <w:rFonts w:hint="eastAsia" w:ascii="仿宋_GB2312" w:hAnsi="仿宋_GB2312" w:eastAsia="仿宋_GB2312" w:cs="仿宋_GB2312"/>
          <w:color w:val="auto"/>
          <w:sz w:val="24"/>
        </w:rPr>
        <w:t>根据《</w:t>
      </w:r>
      <w:r>
        <w:rPr>
          <w:rFonts w:hint="eastAsia" w:ascii="仿宋_GB2312" w:hAnsi="仿宋_GB2312" w:eastAsia="仿宋_GB2312" w:cs="仿宋_GB2312"/>
          <w:color w:val="auto"/>
          <w:sz w:val="24"/>
          <w:lang w:eastAsia="zh-CN"/>
        </w:rPr>
        <w:t>评估委托书</w:t>
      </w:r>
      <w:r>
        <w:rPr>
          <w:rFonts w:hint="eastAsia" w:ascii="仿宋_GB2312" w:hAnsi="仿宋_GB2312" w:eastAsia="仿宋_GB2312" w:cs="仿宋_GB2312"/>
          <w:color w:val="auto"/>
          <w:sz w:val="24"/>
        </w:rPr>
        <w:t>》，本资产评估报告的其他使用人</w:t>
      </w:r>
      <w:r>
        <w:rPr>
          <w:rFonts w:hint="eastAsia" w:ascii="仿宋_GB2312" w:hAnsi="仿宋_GB2312" w:eastAsia="仿宋_GB2312" w:cs="仿宋_GB2312"/>
          <w:color w:val="auto"/>
          <w:sz w:val="24"/>
          <w:lang w:val="en-US" w:eastAsia="zh-CN"/>
        </w:rPr>
        <w:t>还包括</w:t>
      </w:r>
      <w:r>
        <w:rPr>
          <w:rFonts w:hint="eastAsia" w:ascii="仿宋_GB2312" w:hAnsi="仿宋_GB2312" w:eastAsia="仿宋_GB2312" w:cs="仿宋_GB2312"/>
          <w:color w:val="auto"/>
          <w:sz w:val="24"/>
        </w:rPr>
        <w:t>国家法律、法规规定的资产评估报告使用人。</w:t>
      </w:r>
    </w:p>
    <w:p>
      <w:pPr>
        <w:pageBreakBefore w:val="0"/>
        <w:numPr>
          <w:ilvl w:val="0"/>
          <w:numId w:val="7"/>
        </w:numPr>
        <w:kinsoku/>
        <w:wordWrap/>
        <w:topLinePunct w:val="0"/>
        <w:bidi w:val="0"/>
        <w:spacing w:line="360" w:lineRule="auto"/>
        <w:textAlignment w:val="top"/>
        <w:rPr>
          <w:rFonts w:ascii="仿宋_GB2312" w:hAnsi="仿宋_GB2312" w:eastAsia="仿宋_GB2312" w:cs="仿宋_GB2312"/>
          <w:color w:val="auto"/>
          <w:sz w:val="24"/>
        </w:rPr>
      </w:pPr>
      <w:r>
        <w:rPr>
          <w:rFonts w:hint="eastAsia" w:ascii="仿宋_GB2312" w:hAnsi="仿宋_GB2312" w:eastAsia="仿宋_GB2312" w:cs="仿宋_GB2312"/>
          <w:color w:val="auto"/>
          <w:sz w:val="24"/>
        </w:rPr>
        <w:t>委托方</w:t>
      </w:r>
    </w:p>
    <w:p>
      <w:pPr>
        <w:pageBreakBefore w:val="0"/>
        <w:kinsoku/>
        <w:wordWrap/>
        <w:topLinePunct w:val="0"/>
        <w:bidi w:val="0"/>
        <w:spacing w:line="360" w:lineRule="auto"/>
        <w:ind w:firstLine="420" w:firstLineChars="175"/>
        <w:textAlignment w:val="top"/>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委托方为</w:t>
      </w:r>
      <w:r>
        <w:rPr>
          <w:rFonts w:hint="eastAsia" w:ascii="仿宋_GB2312" w:hAnsi="仿宋_GB2312" w:eastAsia="仿宋_GB2312" w:cs="仿宋_GB2312"/>
          <w:color w:val="auto"/>
          <w:sz w:val="24"/>
          <w:lang w:eastAsia="zh-CN"/>
        </w:rPr>
        <w:t>福清市人民法院。</w:t>
      </w:r>
    </w:p>
    <w:p>
      <w:pPr>
        <w:spacing w:line="360" w:lineRule="auto"/>
        <w:ind w:firstLine="420" w:firstLineChars="175"/>
        <w:textAlignment w:val="top"/>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统一社会信用代码： 11350181003685359A 。</w:t>
      </w:r>
    </w:p>
    <w:p>
      <w:pPr>
        <w:spacing w:line="360" w:lineRule="auto"/>
        <w:ind w:firstLine="420" w:firstLineChars="175"/>
        <w:textAlignment w:val="top"/>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法定代表人： 陈学凯。</w:t>
      </w:r>
    </w:p>
    <w:p>
      <w:pPr>
        <w:spacing w:line="360" w:lineRule="auto"/>
        <w:ind w:firstLine="420" w:firstLineChars="175"/>
        <w:textAlignment w:val="top"/>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 xml:space="preserve">类型： 机关。 </w:t>
      </w:r>
    </w:p>
    <w:p>
      <w:pPr>
        <w:spacing w:line="360" w:lineRule="auto"/>
        <w:ind w:firstLine="420" w:firstLineChars="175"/>
        <w:textAlignment w:val="top"/>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 xml:space="preserve">登记机关：福清市事业单位登记管理局。 </w:t>
      </w:r>
    </w:p>
    <w:p>
      <w:pPr>
        <w:spacing w:line="360" w:lineRule="auto"/>
        <w:ind w:firstLine="420" w:firstLineChars="175"/>
        <w:textAlignment w:val="top"/>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 xml:space="preserve">住所： 福建省福清市融城环北路100号  </w:t>
      </w:r>
    </w:p>
    <w:p>
      <w:pPr>
        <w:pageBreakBefore w:val="0"/>
        <w:numPr>
          <w:ilvl w:val="0"/>
          <w:numId w:val="7"/>
        </w:numPr>
        <w:kinsoku/>
        <w:wordWrap/>
        <w:topLinePunct w:val="0"/>
        <w:bidi w:val="0"/>
        <w:spacing w:line="360" w:lineRule="auto"/>
        <w:textAlignment w:val="top"/>
        <w:rPr>
          <w:rFonts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产权持有者</w:t>
      </w:r>
    </w:p>
    <w:p>
      <w:pPr>
        <w:pageBreakBefore w:val="0"/>
        <w:kinsoku/>
        <w:wordWrap/>
        <w:topLinePunct w:val="0"/>
        <w:bidi w:val="0"/>
        <w:spacing w:line="360" w:lineRule="auto"/>
        <w:ind w:firstLine="420" w:firstLineChars="175"/>
        <w:textAlignment w:val="top"/>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产权持有者为</w:t>
      </w:r>
      <w:r>
        <w:rPr>
          <w:rFonts w:hint="eastAsia" w:ascii="仿宋_GB2312" w:hAnsi="仿宋_GB2312" w:eastAsia="仿宋_GB2312" w:cs="仿宋_GB2312"/>
          <w:color w:val="auto"/>
          <w:sz w:val="24"/>
          <w:lang w:eastAsia="zh-CN"/>
        </w:rPr>
        <w:t>谢鸿</w:t>
      </w:r>
      <w:r>
        <w:rPr>
          <w:rFonts w:hint="eastAsia" w:ascii="仿宋_GB2312" w:hAnsi="仿宋_GB2312" w:eastAsia="仿宋_GB2312" w:cs="仿宋_GB2312"/>
          <w:color w:val="auto"/>
          <w:sz w:val="24"/>
        </w:rPr>
        <w:t>。</w:t>
      </w:r>
    </w:p>
    <w:p>
      <w:pPr>
        <w:pageBreakBefore w:val="0"/>
        <w:kinsoku/>
        <w:wordWrap/>
        <w:topLinePunct w:val="0"/>
        <w:bidi w:val="0"/>
        <w:spacing w:line="360" w:lineRule="auto"/>
        <w:ind w:left="0" w:leftChars="0" w:firstLine="420" w:firstLineChars="175"/>
        <w:textAlignment w:val="top"/>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eastAsia="zh-CN"/>
        </w:rPr>
        <w:t>谢鸿，</w:t>
      </w:r>
      <w:r>
        <w:rPr>
          <w:rFonts w:hint="eastAsia" w:ascii="仿宋_GB2312" w:hAnsi="仿宋_GB2312" w:eastAsia="仿宋_GB2312" w:cs="仿宋_GB2312"/>
          <w:color w:val="auto"/>
          <w:sz w:val="24"/>
          <w:lang w:val="en-US" w:eastAsia="zh-CN"/>
        </w:rPr>
        <w:t>身份证号码：330682198803055022，住浙江省上虞市道墟镇侍郎溇59-2号。</w:t>
      </w:r>
    </w:p>
    <w:p>
      <w:pPr>
        <w:pageBreakBefore w:val="0"/>
        <w:numPr>
          <w:ilvl w:val="0"/>
          <w:numId w:val="7"/>
        </w:numPr>
        <w:kinsoku/>
        <w:wordWrap/>
        <w:topLinePunct w:val="0"/>
        <w:bidi w:val="0"/>
        <w:spacing w:line="360" w:lineRule="auto"/>
        <w:textAlignment w:val="top"/>
        <w:rPr>
          <w:rFonts w:ascii="仿宋_GB2312" w:hAnsi="仿宋_GB2312" w:eastAsia="仿宋_GB2312" w:cs="仿宋_GB2312"/>
          <w:color w:val="auto"/>
          <w:sz w:val="24"/>
        </w:rPr>
      </w:pPr>
      <w:r>
        <w:rPr>
          <w:rFonts w:hint="eastAsia" w:ascii="仿宋_GB2312" w:hAnsi="仿宋_GB2312" w:eastAsia="仿宋_GB2312" w:cs="仿宋_GB2312"/>
          <w:color w:val="auto"/>
          <w:sz w:val="24"/>
        </w:rPr>
        <w:t>委托方和</w:t>
      </w:r>
      <w:r>
        <w:rPr>
          <w:rFonts w:hint="eastAsia" w:ascii="仿宋_GB2312" w:hAnsi="仿宋_GB2312" w:eastAsia="仿宋_GB2312" w:cs="仿宋_GB2312"/>
          <w:color w:val="auto"/>
          <w:sz w:val="24"/>
          <w:lang w:eastAsia="zh-CN"/>
        </w:rPr>
        <w:t>产权持有者</w:t>
      </w:r>
      <w:r>
        <w:rPr>
          <w:rFonts w:hint="eastAsia" w:ascii="仿宋_GB2312" w:hAnsi="仿宋_GB2312" w:eastAsia="仿宋_GB2312" w:cs="仿宋_GB2312"/>
          <w:color w:val="auto"/>
          <w:sz w:val="24"/>
        </w:rPr>
        <w:t>之间的关系。</w:t>
      </w:r>
    </w:p>
    <w:p>
      <w:pPr>
        <w:pageBreakBefore w:val="0"/>
        <w:kinsoku/>
        <w:wordWrap/>
        <w:topLinePunct w:val="0"/>
        <w:bidi w:val="0"/>
        <w:snapToGrid w:val="0"/>
        <w:spacing w:line="360" w:lineRule="auto"/>
        <w:ind w:left="0" w:leftChars="0" w:firstLine="420" w:firstLineChars="175"/>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 xml:space="preserve"> </w:t>
      </w:r>
      <w:r>
        <w:rPr>
          <w:rFonts w:hint="eastAsia" w:ascii="仿宋_GB2312" w:hAnsi="仿宋_GB2312" w:eastAsia="仿宋_GB2312" w:cs="仿宋_GB2312"/>
          <w:color w:val="auto"/>
          <w:sz w:val="24"/>
          <w:lang w:eastAsia="zh-CN"/>
        </w:rPr>
        <w:t>委托方拟司法处置产权持有者名下的房地产</w:t>
      </w:r>
      <w:r>
        <w:rPr>
          <w:rFonts w:hint="eastAsia" w:ascii="仿宋_GB2312" w:hAnsi="仿宋_GB2312" w:eastAsia="仿宋_GB2312" w:cs="仿宋_GB2312"/>
          <w:color w:val="auto"/>
          <w:sz w:val="24"/>
          <w:lang w:val="en-US" w:eastAsia="zh-CN"/>
        </w:rPr>
        <w:t>。</w:t>
      </w:r>
    </w:p>
    <w:p>
      <w:pPr>
        <w:pageBreakBefore w:val="0"/>
        <w:numPr>
          <w:ilvl w:val="0"/>
          <w:numId w:val="7"/>
        </w:numPr>
        <w:kinsoku/>
        <w:wordWrap/>
        <w:topLinePunct w:val="0"/>
        <w:bidi w:val="0"/>
        <w:snapToGrid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其它评估报告使用者</w:t>
      </w:r>
    </w:p>
    <w:p>
      <w:pPr>
        <w:pageBreakBefore w:val="0"/>
        <w:kinsoku/>
        <w:wordWrap/>
        <w:topLinePunct w:val="0"/>
        <w:bidi w:val="0"/>
        <w:snapToGrid w:val="0"/>
        <w:spacing w:line="360" w:lineRule="auto"/>
        <w:ind w:firstLine="420" w:firstLineChars="175"/>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根据与委托方签订的</w:t>
      </w:r>
      <w:r>
        <w:rPr>
          <w:rFonts w:hint="eastAsia" w:ascii="仿宋_GB2312" w:hAnsi="仿宋_GB2312" w:eastAsia="仿宋_GB2312" w:cs="仿宋_GB2312"/>
          <w:color w:val="auto"/>
          <w:sz w:val="24"/>
          <w:lang w:eastAsia="zh-CN"/>
        </w:rPr>
        <w:t>评估委托书</w:t>
      </w:r>
      <w:r>
        <w:rPr>
          <w:rFonts w:hint="eastAsia" w:ascii="仿宋_GB2312" w:hAnsi="仿宋_GB2312" w:eastAsia="仿宋_GB2312" w:cs="仿宋_GB2312"/>
          <w:color w:val="auto"/>
          <w:sz w:val="24"/>
        </w:rPr>
        <w:t>，其它报告使用者为本次经济行为相关的当事方以及相关监管机构</w:t>
      </w:r>
      <w:r>
        <w:rPr>
          <w:rFonts w:hint="eastAsia" w:ascii="仿宋_GB2312" w:hAnsi="仿宋_GB2312" w:eastAsia="仿宋_GB2312" w:cs="仿宋_GB2312"/>
          <w:color w:val="auto"/>
          <w:sz w:val="24"/>
          <w:lang w:val="en-US" w:eastAsia="zh-CN"/>
        </w:rPr>
        <w:t>。</w:t>
      </w:r>
    </w:p>
    <w:p>
      <w:pPr>
        <w:pageBreakBefore w:val="0"/>
        <w:kinsoku/>
        <w:wordWrap/>
        <w:topLinePunct w:val="0"/>
        <w:bidi w:val="0"/>
        <w:snapToGrid w:val="0"/>
        <w:spacing w:line="360" w:lineRule="auto"/>
        <w:ind w:firstLine="420" w:firstLineChars="175"/>
        <w:rPr>
          <w:rFonts w:ascii="仿宋_GB2312" w:hAnsi="仿宋_GB2312" w:eastAsia="仿宋_GB2312" w:cs="仿宋_GB2312"/>
          <w:color w:val="auto"/>
          <w:sz w:val="24"/>
        </w:rPr>
      </w:pPr>
      <w:r>
        <w:rPr>
          <w:rFonts w:hint="eastAsia" w:ascii="仿宋_GB2312" w:hAnsi="仿宋_GB2312" w:eastAsia="仿宋_GB2312" w:cs="仿宋_GB2312"/>
          <w:color w:val="auto"/>
          <w:sz w:val="24"/>
        </w:rPr>
        <w:t>除国家法律法规另有规定外，任何未经评估机构和委托方确认的机构或个人不能由于得到评估报告而成为评估报告使用者。</w:t>
      </w:r>
    </w:p>
    <w:p>
      <w:pPr>
        <w:pStyle w:val="3"/>
        <w:pageBreakBefore w:val="0"/>
        <w:kinsoku/>
        <w:wordWrap/>
        <w:topLinePunct w:val="0"/>
        <w:bidi w:val="0"/>
        <w:spacing w:line="360" w:lineRule="auto"/>
        <w:rPr>
          <w:rFonts w:ascii="仿宋_GB2312" w:hAnsi="仿宋_GB2312" w:eastAsia="仿宋_GB2312" w:cs="仿宋_GB2312"/>
          <w:color w:val="auto"/>
          <w:spacing w:val="0"/>
        </w:rPr>
      </w:pPr>
      <w:bookmarkStart w:id="22" w:name="index_7"/>
      <w:bookmarkEnd w:id="22"/>
      <w:bookmarkStart w:id="23" w:name="_Toc474676081"/>
      <w:bookmarkStart w:id="24" w:name="_Toc1927"/>
      <w:bookmarkStart w:id="25" w:name="_Toc474676040"/>
      <w:bookmarkStart w:id="26" w:name="_Toc474679475"/>
      <w:bookmarkStart w:id="27" w:name="_Toc474678020"/>
      <w:r>
        <w:rPr>
          <w:rFonts w:hint="eastAsia" w:ascii="仿宋_GB2312" w:hAnsi="仿宋_GB2312" w:eastAsia="仿宋_GB2312" w:cs="仿宋_GB2312"/>
          <w:color w:val="auto"/>
          <w:spacing w:val="0"/>
        </w:rPr>
        <w:t>评估目的</w:t>
      </w:r>
      <w:bookmarkEnd w:id="23"/>
      <w:bookmarkEnd w:id="24"/>
      <w:bookmarkEnd w:id="25"/>
      <w:bookmarkEnd w:id="26"/>
      <w:bookmarkEnd w:id="27"/>
    </w:p>
    <w:p>
      <w:pPr>
        <w:pageBreakBefore w:val="0"/>
        <w:kinsoku/>
        <w:wordWrap/>
        <w:topLinePunct w:val="0"/>
        <w:autoSpaceDE w:val="0"/>
        <w:autoSpaceDN w:val="0"/>
        <w:bidi w:val="0"/>
        <w:adjustRightInd w:val="0"/>
        <w:spacing w:line="360" w:lineRule="auto"/>
        <w:ind w:firstLine="480" w:firstLineChars="200"/>
        <w:jc w:val="left"/>
        <w:textAlignment w:val="bottom"/>
        <w:rPr>
          <w:rFonts w:ascii="仿宋_GB2312" w:hAnsi="仿宋_GB2312" w:eastAsia="仿宋_GB2312" w:cs="仿宋_GB2312"/>
          <w:bCs/>
          <w:color w:val="auto"/>
          <w:sz w:val="24"/>
        </w:rPr>
      </w:pPr>
      <w:bookmarkStart w:id="28" w:name="index_8"/>
      <w:bookmarkEnd w:id="28"/>
      <w:bookmarkStart w:id="29" w:name="_Toc474678021"/>
      <w:bookmarkStart w:id="30" w:name="_Toc9662"/>
      <w:bookmarkStart w:id="31" w:name="_Toc474676082"/>
      <w:bookmarkStart w:id="32" w:name="_Toc474679476"/>
      <w:bookmarkStart w:id="33" w:name="_Toc474676041"/>
      <w:r>
        <w:rPr>
          <w:rFonts w:hint="eastAsia" w:ascii="仿宋_GB2312" w:hAnsi="仿宋_GB2312" w:eastAsia="仿宋_GB2312" w:cs="仿宋_GB2312"/>
          <w:bCs/>
          <w:color w:val="auto"/>
          <w:sz w:val="24"/>
        </w:rPr>
        <w:t>根据</w:t>
      </w:r>
      <w:r>
        <w:rPr>
          <w:rFonts w:hint="eastAsia" w:ascii="仿宋_GB2312" w:hAnsi="仿宋_GB2312" w:eastAsia="仿宋_GB2312" w:cs="仿宋_GB2312"/>
          <w:bCs/>
          <w:color w:val="auto"/>
          <w:sz w:val="24"/>
          <w:lang w:eastAsia="zh-CN"/>
        </w:rPr>
        <w:t>评估委托书</w:t>
      </w:r>
      <w:r>
        <w:rPr>
          <w:rFonts w:hint="eastAsia" w:ascii="仿宋_GB2312" w:hAnsi="仿宋_GB2312" w:eastAsia="仿宋_GB2312" w:cs="仿宋_GB2312"/>
          <w:bCs/>
          <w:color w:val="auto"/>
          <w:sz w:val="24"/>
        </w:rPr>
        <w:t>，</w:t>
      </w:r>
      <w:r>
        <w:rPr>
          <w:rFonts w:hint="eastAsia" w:ascii="仿宋_GB2312" w:hAnsi="仿宋_GB2312" w:eastAsia="仿宋_GB2312" w:cs="仿宋_GB2312"/>
          <w:bCs/>
          <w:color w:val="auto"/>
          <w:sz w:val="24"/>
          <w:lang w:eastAsia="zh-CN"/>
        </w:rPr>
        <w:t>福清市人民法院拟进行司法处置</w:t>
      </w:r>
      <w:r>
        <w:rPr>
          <w:rFonts w:hint="eastAsia" w:ascii="仿宋_GB2312" w:hAnsi="仿宋_GB2312" w:eastAsia="仿宋_GB2312" w:cs="仿宋_GB2312"/>
          <w:bCs/>
          <w:color w:val="auto"/>
          <w:sz w:val="24"/>
        </w:rPr>
        <w:t>，特委托绍兴天阳房地产资产评估有限公司对该经济行为所涉及的</w:t>
      </w:r>
      <w:r>
        <w:rPr>
          <w:rFonts w:hint="eastAsia" w:ascii="仿宋_GB2312" w:hAnsi="仿宋_GB2312" w:eastAsia="仿宋_GB2312" w:cs="仿宋_GB2312"/>
          <w:bCs/>
          <w:color w:val="auto"/>
          <w:sz w:val="24"/>
          <w:lang w:eastAsia="zh-CN"/>
        </w:rPr>
        <w:t>白鹭金滩春晓园7幢205室房地产</w:t>
      </w:r>
      <w:r>
        <w:rPr>
          <w:rFonts w:hint="eastAsia" w:ascii="仿宋_GB2312" w:hAnsi="仿宋_GB2312" w:eastAsia="仿宋_GB2312" w:cs="仿宋_GB2312"/>
          <w:bCs/>
          <w:color w:val="auto"/>
          <w:sz w:val="24"/>
        </w:rPr>
        <w:t>在评估基准日的市场价值进行了评估，为此次经济行为提供价值参考。</w:t>
      </w:r>
    </w:p>
    <w:p>
      <w:pPr>
        <w:pStyle w:val="3"/>
        <w:pageBreakBefore w:val="0"/>
        <w:kinsoku/>
        <w:wordWrap/>
        <w:topLinePunct w:val="0"/>
        <w:bidi w:val="0"/>
        <w:spacing w:line="360" w:lineRule="auto"/>
        <w:rPr>
          <w:rFonts w:ascii="仿宋_GB2312" w:hAnsi="仿宋_GB2312" w:eastAsia="仿宋_GB2312" w:cs="仿宋_GB2312"/>
          <w:color w:val="auto"/>
          <w:spacing w:val="0"/>
        </w:rPr>
      </w:pPr>
      <w:r>
        <w:rPr>
          <w:rFonts w:hint="eastAsia" w:ascii="仿宋_GB2312" w:hAnsi="仿宋_GB2312" w:eastAsia="仿宋_GB2312" w:cs="仿宋_GB2312"/>
          <w:color w:val="auto"/>
          <w:spacing w:val="0"/>
        </w:rPr>
        <w:t>评估范围和评估对象</w:t>
      </w:r>
      <w:bookmarkEnd w:id="29"/>
      <w:bookmarkEnd w:id="30"/>
      <w:bookmarkEnd w:id="31"/>
      <w:bookmarkEnd w:id="32"/>
      <w:bookmarkEnd w:id="33"/>
    </w:p>
    <w:p>
      <w:pPr>
        <w:pStyle w:val="8"/>
        <w:pageBreakBefore w:val="0"/>
        <w:numPr>
          <w:ilvl w:val="0"/>
          <w:numId w:val="8"/>
        </w:numPr>
        <w:kinsoku/>
        <w:wordWrap/>
        <w:topLinePunct w:val="0"/>
        <w:bidi w:val="0"/>
        <w:spacing w:line="360" w:lineRule="auto"/>
        <w:ind w:left="0" w:leftChars="0" w:firstLine="417" w:firstLineChars="177"/>
        <w:rPr>
          <w:rFonts w:ascii="仿宋_GB2312" w:hAnsi="仿宋_GB2312" w:eastAsia="仿宋_GB2312" w:cs="仿宋_GB2312"/>
          <w:color w:val="auto"/>
          <w:spacing w:val="-2"/>
          <w:sz w:val="24"/>
          <w:szCs w:val="24"/>
        </w:rPr>
      </w:pPr>
      <w:bookmarkStart w:id="34" w:name="_Toc513802761"/>
      <w:r>
        <w:rPr>
          <w:rFonts w:hint="eastAsia" w:ascii="仿宋_GB2312" w:hAnsi="仿宋_GB2312" w:eastAsia="仿宋_GB2312" w:cs="仿宋_GB2312"/>
          <w:color w:val="auto"/>
          <w:spacing w:val="-2"/>
          <w:sz w:val="24"/>
          <w:szCs w:val="24"/>
        </w:rPr>
        <w:t>评估对象</w:t>
      </w:r>
    </w:p>
    <w:p>
      <w:pPr>
        <w:pStyle w:val="8"/>
        <w:pageBreakBefore w:val="0"/>
        <w:kinsoku/>
        <w:wordWrap/>
        <w:topLinePunct w:val="0"/>
        <w:bidi w:val="0"/>
        <w:spacing w:line="360" w:lineRule="auto"/>
        <w:ind w:left="0" w:leftChars="0" w:firstLine="417" w:firstLineChars="177"/>
        <w:rPr>
          <w:rFonts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评估对象为</w:t>
      </w:r>
      <w:r>
        <w:rPr>
          <w:rFonts w:hint="eastAsia" w:ascii="仿宋_GB2312" w:hAnsi="仿宋_GB2312" w:eastAsia="仿宋_GB2312" w:cs="仿宋_GB2312"/>
          <w:bCs/>
          <w:color w:val="auto"/>
          <w:sz w:val="24"/>
        </w:rPr>
        <w:t>涉及上述经济行为的</w:t>
      </w:r>
      <w:r>
        <w:rPr>
          <w:rFonts w:hint="eastAsia" w:ascii="仿宋_GB2312" w:hAnsi="仿宋_GB2312" w:eastAsia="仿宋_GB2312" w:cs="仿宋_GB2312"/>
          <w:bCs/>
          <w:color w:val="auto"/>
          <w:sz w:val="24"/>
          <w:lang w:eastAsia="zh-CN"/>
        </w:rPr>
        <w:t>白鹭金滩春晓园7幢205室房地产</w:t>
      </w:r>
      <w:r>
        <w:rPr>
          <w:rFonts w:hint="eastAsia" w:ascii="仿宋_GB2312" w:hAnsi="仿宋_GB2312" w:eastAsia="仿宋_GB2312" w:cs="仿宋_GB2312"/>
          <w:bCs/>
          <w:color w:val="auto"/>
          <w:sz w:val="24"/>
          <w:lang w:val="en-US" w:eastAsia="zh-CN"/>
        </w:rPr>
        <w:t>的</w:t>
      </w:r>
      <w:r>
        <w:rPr>
          <w:rFonts w:hint="eastAsia" w:ascii="仿宋_GB2312" w:hAnsi="仿宋_GB2312" w:eastAsia="仿宋_GB2312" w:cs="仿宋_GB2312"/>
          <w:bCs/>
          <w:color w:val="auto"/>
          <w:sz w:val="24"/>
        </w:rPr>
        <w:t>市场价值。</w:t>
      </w:r>
    </w:p>
    <w:p>
      <w:pPr>
        <w:pStyle w:val="8"/>
        <w:pageBreakBefore w:val="0"/>
        <w:numPr>
          <w:ilvl w:val="0"/>
          <w:numId w:val="8"/>
        </w:numPr>
        <w:kinsoku/>
        <w:wordWrap/>
        <w:topLinePunct w:val="0"/>
        <w:bidi w:val="0"/>
        <w:spacing w:line="360" w:lineRule="auto"/>
        <w:ind w:left="0" w:leftChars="0" w:firstLine="417" w:firstLineChars="177"/>
        <w:rPr>
          <w:rFonts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评估范围</w:t>
      </w:r>
    </w:p>
    <w:p>
      <w:pPr>
        <w:pStyle w:val="7"/>
        <w:pageBreakBefore w:val="0"/>
        <w:kinsoku/>
        <w:wordWrap/>
        <w:topLinePunct w:val="0"/>
        <w:bidi w:val="0"/>
        <w:spacing w:line="360" w:lineRule="auto"/>
        <w:ind w:left="0" w:leftChars="0" w:firstLine="417" w:firstLineChars="177"/>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评估范围为</w:t>
      </w:r>
      <w:r>
        <w:rPr>
          <w:rFonts w:hint="eastAsia" w:ascii="仿宋_GB2312" w:hAnsi="仿宋_GB2312" w:eastAsia="仿宋_GB2312" w:cs="仿宋_GB2312"/>
          <w:bCs/>
          <w:color w:val="auto"/>
          <w:sz w:val="24"/>
          <w:lang w:eastAsia="zh-CN"/>
        </w:rPr>
        <w:t>白鹭金滩春晓园7幢205室房地产</w:t>
      </w:r>
      <w:r>
        <w:rPr>
          <w:rFonts w:hint="eastAsia" w:ascii="仿宋_GB2312" w:hAnsi="仿宋_GB2312" w:eastAsia="仿宋_GB2312" w:cs="仿宋_GB2312"/>
          <w:bCs/>
          <w:color w:val="auto"/>
          <w:sz w:val="24"/>
        </w:rPr>
        <w:t>，</w:t>
      </w:r>
      <w:r>
        <w:rPr>
          <w:rFonts w:hint="eastAsia" w:ascii="仿宋_GB2312" w:hAnsi="仿宋_GB2312" w:eastAsia="仿宋_GB2312" w:cs="仿宋_GB2312"/>
          <w:color w:val="auto"/>
          <w:sz w:val="24"/>
          <w:szCs w:val="24"/>
        </w:rPr>
        <w:t>建筑面积为</w:t>
      </w:r>
      <w:r>
        <w:rPr>
          <w:rFonts w:hint="eastAsia" w:ascii="仿宋_GB2312" w:hAnsi="仿宋_GB2312" w:eastAsia="仿宋_GB2312" w:cs="仿宋_GB2312"/>
          <w:color w:val="auto"/>
          <w:sz w:val="24"/>
          <w:szCs w:val="24"/>
          <w:lang w:eastAsia="zh-CN"/>
        </w:rPr>
        <w:t>177.02平方米，</w:t>
      </w:r>
      <w:r>
        <w:rPr>
          <w:rFonts w:hint="eastAsia" w:ascii="仿宋_GB2312" w:hAnsi="仿宋_GB2312" w:eastAsia="仿宋_GB2312" w:cs="仿宋_GB2312"/>
          <w:color w:val="auto"/>
          <w:sz w:val="24"/>
          <w:szCs w:val="24"/>
          <w:lang w:val="en-US" w:eastAsia="zh-CN"/>
        </w:rPr>
        <w:t>土地使用权面积为为37.81平方米</w:t>
      </w:r>
      <w:r>
        <w:rPr>
          <w:rFonts w:hint="eastAsia" w:ascii="仿宋_GB2312" w:hAnsi="仿宋_GB2312" w:eastAsia="仿宋_GB2312" w:cs="仿宋_GB2312"/>
          <w:color w:val="auto"/>
          <w:sz w:val="24"/>
          <w:szCs w:val="24"/>
        </w:rPr>
        <w:t>。</w:t>
      </w:r>
    </w:p>
    <w:p>
      <w:pPr>
        <w:pStyle w:val="7"/>
        <w:pageBreakBefore w:val="0"/>
        <w:numPr>
          <w:ilvl w:val="0"/>
          <w:numId w:val="8"/>
        </w:numPr>
        <w:kinsoku/>
        <w:wordWrap/>
        <w:topLinePunct w:val="0"/>
        <w:bidi w:val="0"/>
        <w:spacing w:line="360" w:lineRule="auto"/>
        <w:ind w:left="0" w:leftChars="0" w:firstLine="420" w:firstLineChars="0"/>
        <w:rPr>
          <w:rFonts w:ascii="仿宋_GB2312" w:hAnsi="仿宋_GB2312" w:eastAsia="仿宋_GB2312" w:cs="仿宋_GB2312"/>
          <w:sz w:val="24"/>
        </w:rPr>
      </w:pPr>
      <w:r>
        <w:rPr>
          <w:rFonts w:hint="eastAsia" w:ascii="仿宋_GB2312" w:hAnsi="仿宋_GB2312" w:eastAsia="仿宋_GB2312" w:cs="仿宋_GB2312"/>
          <w:sz w:val="24"/>
        </w:rPr>
        <w:t>谢鸿</w:t>
      </w:r>
      <w:r>
        <w:rPr>
          <w:rFonts w:hint="eastAsia" w:ascii="仿宋_GB2312" w:hAnsi="仿宋_GB2312" w:eastAsia="仿宋_GB2312" w:cs="仿宋_GB2312"/>
          <w:sz w:val="24"/>
          <w:lang w:val="en-US" w:eastAsia="zh-CN"/>
        </w:rPr>
        <w:t>名下的</w:t>
      </w:r>
      <w:r>
        <w:rPr>
          <w:rFonts w:hint="eastAsia" w:ascii="仿宋_GB2312" w:hAnsi="仿宋_GB2312" w:eastAsia="仿宋_GB2312" w:cs="仿宋_GB2312"/>
          <w:sz w:val="24"/>
        </w:rPr>
        <w:t>白鹭金滩春晓园7</w:t>
      </w:r>
      <w:r>
        <w:rPr>
          <w:rFonts w:hint="eastAsia" w:ascii="仿宋_GB2312" w:hAnsi="仿宋_GB2312" w:eastAsia="仿宋_GB2312" w:cs="仿宋_GB2312"/>
          <w:sz w:val="24"/>
          <w:lang w:val="en-US" w:eastAsia="zh-CN"/>
        </w:rPr>
        <w:t>幢205室</w:t>
      </w:r>
      <w:r>
        <w:rPr>
          <w:rFonts w:hint="eastAsia" w:ascii="仿宋_GB2312" w:hAnsi="仿宋_GB2312" w:eastAsia="仿宋_GB2312" w:cs="仿宋_GB2312"/>
          <w:sz w:val="24"/>
        </w:rPr>
        <w:t>概况：</w:t>
      </w:r>
    </w:p>
    <w:p>
      <w:pPr>
        <w:pStyle w:val="7"/>
        <w:pageBreakBefore w:val="0"/>
        <w:kinsoku/>
        <w:wordWrap/>
        <w:topLinePunct w:val="0"/>
        <w:bidi w:val="0"/>
        <w:spacing w:line="360" w:lineRule="auto"/>
        <w:ind w:firstLine="493" w:firstLineChars="209"/>
        <w:rPr>
          <w:rFonts w:ascii="仿宋_GB2312" w:hAnsi="仿宋_GB2312" w:eastAsia="仿宋_GB2312" w:cs="仿宋_GB2312"/>
          <w:sz w:val="24"/>
        </w:rPr>
      </w:pPr>
      <w:r>
        <w:rPr>
          <w:rFonts w:hint="eastAsia" w:ascii="仿宋_GB2312" w:hAnsi="仿宋_GB2312" w:eastAsia="仿宋_GB2312" w:cs="仿宋_GB2312"/>
          <w:sz w:val="24"/>
        </w:rPr>
        <w:t>1.房地产区位状况</w:t>
      </w:r>
    </w:p>
    <w:p>
      <w:pPr>
        <w:pStyle w:val="7"/>
        <w:pageBreakBefore w:val="0"/>
        <w:kinsoku/>
        <w:wordWrap/>
        <w:topLinePunct w:val="0"/>
        <w:bidi w:val="0"/>
        <w:spacing w:line="360" w:lineRule="auto"/>
        <w:ind w:firstLine="493" w:firstLineChars="209"/>
        <w:rPr>
          <w:rFonts w:ascii="仿宋_GB2312" w:hAnsi="仿宋_GB2312" w:eastAsia="仿宋_GB2312" w:cs="仿宋_GB2312"/>
          <w:sz w:val="24"/>
        </w:rPr>
      </w:pPr>
      <w:r>
        <w:rPr>
          <w:rFonts w:hint="eastAsia" w:ascii="仿宋_GB2312" w:hAnsi="仿宋_GB2312" w:eastAsia="仿宋_GB2312" w:cs="仿宋_GB2312"/>
          <w:sz w:val="24"/>
        </w:rPr>
        <w:t>1）区域位置</w:t>
      </w:r>
    </w:p>
    <w:p>
      <w:pPr>
        <w:pStyle w:val="7"/>
        <w:pageBreakBefore w:val="0"/>
        <w:kinsoku/>
        <w:wordWrap/>
        <w:topLinePunct w:val="0"/>
        <w:bidi w:val="0"/>
        <w:spacing w:line="360" w:lineRule="auto"/>
        <w:ind w:firstLine="493" w:firstLineChars="209"/>
        <w:rPr>
          <w:rFonts w:hint="eastAsia" w:ascii="仿宋_GB2312" w:hAnsi="仿宋_GB2312" w:eastAsia="仿宋_GB2312" w:cs="仿宋_GB2312"/>
          <w:bCs/>
          <w:sz w:val="24"/>
          <w:lang w:val="en-US" w:eastAsia="zh-CN"/>
        </w:rPr>
      </w:pPr>
      <w:r>
        <w:rPr>
          <w:rFonts w:hint="eastAsia" w:ascii="仿宋_GB2312" w:hAnsi="仿宋_GB2312" w:eastAsia="仿宋_GB2312" w:cs="仿宋_GB2312"/>
          <w:sz w:val="24"/>
        </w:rPr>
        <w:t>白鹭金滩春晓园</w:t>
      </w:r>
      <w:r>
        <w:rPr>
          <w:rFonts w:hint="eastAsia" w:ascii="仿宋_GB2312" w:hAnsi="仿宋_GB2312" w:eastAsia="仿宋_GB2312" w:cs="仿宋_GB2312"/>
          <w:sz w:val="24"/>
          <w:lang w:val="en-US" w:eastAsia="zh-CN"/>
        </w:rPr>
        <w:t>位于</w:t>
      </w:r>
      <w:r>
        <w:rPr>
          <w:rFonts w:hint="eastAsia" w:ascii="仿宋_GB2312" w:hAnsi="仿宋_GB2312" w:eastAsia="仿宋_GB2312" w:cs="仿宋_GB2312"/>
          <w:bCs/>
          <w:sz w:val="24"/>
          <w:lang w:val="en-US" w:eastAsia="zh-CN"/>
        </w:rPr>
        <w:t>绍兴市越城区，北至绍兴市越城区山会大道，南至绍兴天下花园，西至河流，东至后墅路，待估住宅房总层数为19层，所在层为2层。</w:t>
      </w:r>
    </w:p>
    <w:p>
      <w:pPr>
        <w:pStyle w:val="7"/>
        <w:pageBreakBefore w:val="0"/>
        <w:kinsoku/>
        <w:wordWrap/>
        <w:topLinePunct w:val="0"/>
        <w:bidi w:val="0"/>
        <w:spacing w:line="360" w:lineRule="auto"/>
        <w:ind w:firstLine="493" w:firstLineChars="209"/>
        <w:rPr>
          <w:rFonts w:ascii="仿宋_GB2312" w:hAnsi="仿宋_GB2312" w:eastAsia="仿宋_GB2312" w:cs="仿宋_GB2312"/>
          <w:sz w:val="24"/>
        </w:rPr>
      </w:pPr>
      <w:r>
        <w:rPr>
          <w:rFonts w:hint="eastAsia" w:ascii="仿宋_GB2312" w:hAnsi="仿宋_GB2312" w:eastAsia="仿宋_GB2312" w:cs="仿宋_GB2312"/>
          <w:sz w:val="24"/>
        </w:rPr>
        <w:t>2）交通条件</w:t>
      </w:r>
    </w:p>
    <w:p>
      <w:pPr>
        <w:pStyle w:val="7"/>
        <w:pageBreakBefore w:val="0"/>
        <w:kinsoku/>
        <w:wordWrap/>
        <w:topLinePunct w:val="0"/>
        <w:bidi w:val="0"/>
        <w:spacing w:line="360" w:lineRule="auto"/>
        <w:ind w:firstLine="493" w:firstLineChars="209"/>
        <w:rPr>
          <w:rFonts w:hint="eastAsia" w:ascii="仿宋_GB2312" w:hAnsi="仿宋_GB2312" w:eastAsia="仿宋_GB2312" w:cs="仿宋_GB2312"/>
          <w:sz w:val="24"/>
        </w:rPr>
      </w:pPr>
      <w:r>
        <w:rPr>
          <w:rFonts w:hint="eastAsia" w:ascii="仿宋_GB2312" w:hAnsi="仿宋_GB2312" w:eastAsia="仿宋_GB2312" w:cs="仿宋_GB2312"/>
          <w:sz w:val="24"/>
        </w:rPr>
        <w:t>白鹭金滩春晓园</w:t>
      </w:r>
      <w:r>
        <w:rPr>
          <w:rFonts w:hint="eastAsia" w:ascii="仿宋_GB2312" w:hAnsi="仿宋_GB2312" w:eastAsia="仿宋_GB2312" w:cs="仿宋_GB2312"/>
          <w:sz w:val="24"/>
          <w:lang w:val="en-US" w:eastAsia="zh-CN"/>
        </w:rPr>
        <w:t>位</w:t>
      </w:r>
      <w:r>
        <w:rPr>
          <w:rFonts w:hint="eastAsia" w:ascii="仿宋_GB2312" w:hAnsi="仿宋_GB2312" w:eastAsia="仿宋_GB2312" w:cs="仿宋_GB2312"/>
          <w:bCs/>
          <w:sz w:val="24"/>
          <w:lang w:val="en-US" w:eastAsia="zh-CN"/>
        </w:rPr>
        <w:t>于山会大道南侧</w:t>
      </w:r>
      <w:r>
        <w:rPr>
          <w:rFonts w:hint="eastAsia" w:ascii="仿宋_GB2312" w:hAnsi="仿宋_GB2312" w:eastAsia="仿宋_GB2312" w:cs="仿宋_GB2312"/>
          <w:bCs/>
          <w:sz w:val="24"/>
          <w:lang w:eastAsia="zh-CN"/>
        </w:rPr>
        <w:t>，附</w:t>
      </w:r>
      <w:r>
        <w:rPr>
          <w:rFonts w:hint="eastAsia" w:ascii="仿宋_GB2312" w:hAnsi="仿宋_GB2312" w:eastAsia="仿宋_GB2312" w:cs="仿宋_GB2312"/>
          <w:bCs/>
          <w:sz w:val="24"/>
          <w:lang w:val="en-US" w:eastAsia="zh-CN"/>
        </w:rPr>
        <w:t>近有</w:t>
      </w:r>
      <w:r>
        <w:rPr>
          <w:rFonts w:hint="eastAsia" w:ascii="仿宋_GB2312" w:hAnsi="仿宋_GB2312" w:eastAsia="仿宋_GB2312" w:cs="仿宋_GB2312"/>
          <w:bCs/>
          <w:sz w:val="24"/>
          <w:lang w:eastAsia="zh-CN"/>
        </w:rPr>
        <w:t>二环北路后墅路口</w:t>
      </w:r>
      <w:r>
        <w:rPr>
          <w:rFonts w:hint="eastAsia" w:ascii="仿宋_GB2312" w:hAnsi="仿宋_GB2312" w:eastAsia="仿宋_GB2312" w:cs="仿宋_GB2312"/>
          <w:bCs/>
          <w:sz w:val="24"/>
          <w:lang w:val="en-US" w:eastAsia="zh-CN"/>
        </w:rPr>
        <w:t>、</w:t>
      </w:r>
      <w:r>
        <w:rPr>
          <w:rFonts w:hint="eastAsia" w:ascii="仿宋_GB2312" w:hAnsi="仿宋_GB2312" w:eastAsia="仿宋_GB2312" w:cs="仿宋_GB2312"/>
          <w:bCs/>
          <w:sz w:val="24"/>
          <w:lang w:eastAsia="zh-CN"/>
        </w:rPr>
        <w:t>白鹭金滩等公交站点，</w:t>
      </w:r>
      <w:r>
        <w:rPr>
          <w:rFonts w:hint="eastAsia" w:ascii="仿宋_GB2312" w:hAnsi="仿宋_GB2312" w:eastAsia="仿宋_GB2312" w:cs="仿宋_GB2312"/>
          <w:sz w:val="24"/>
        </w:rPr>
        <w:t>有</w:t>
      </w:r>
      <w:r>
        <w:rPr>
          <w:rFonts w:hint="eastAsia" w:ascii="仿宋_GB2312" w:hAnsi="仿宋_GB2312" w:eastAsia="仿宋_GB2312" w:cs="仿宋_GB2312"/>
          <w:sz w:val="24"/>
          <w:lang w:val="en-US" w:eastAsia="zh-CN"/>
        </w:rPr>
        <w:t>2</w:t>
      </w:r>
      <w:r>
        <w:rPr>
          <w:rFonts w:hint="eastAsia" w:ascii="仿宋_GB2312" w:hAnsi="仿宋_GB2312" w:eastAsia="仿宋_GB2312" w:cs="仿宋_GB2312"/>
          <w:sz w:val="24"/>
        </w:rPr>
        <w:t>路</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15路、52路、158路</w:t>
      </w:r>
      <w:r>
        <w:rPr>
          <w:rFonts w:hint="eastAsia" w:ascii="仿宋_GB2312" w:hAnsi="仿宋_GB2312" w:eastAsia="仿宋_GB2312" w:cs="仿宋_GB2312"/>
          <w:sz w:val="24"/>
        </w:rPr>
        <w:t>等</w:t>
      </w:r>
      <w:r>
        <w:rPr>
          <w:rFonts w:hint="eastAsia" w:ascii="仿宋_GB2312" w:hAnsi="仿宋_GB2312" w:eastAsia="仿宋_GB2312" w:cs="仿宋_GB2312"/>
          <w:sz w:val="24"/>
          <w:lang w:val="en-US" w:eastAsia="zh-CN"/>
        </w:rPr>
        <w:t>多路</w:t>
      </w:r>
      <w:r>
        <w:rPr>
          <w:rFonts w:hint="eastAsia" w:ascii="仿宋_GB2312" w:hAnsi="仿宋_GB2312" w:eastAsia="仿宋_GB2312" w:cs="仿宋_GB2312"/>
          <w:sz w:val="24"/>
        </w:rPr>
        <w:t>公交经过，</w:t>
      </w:r>
      <w:r>
        <w:rPr>
          <w:rFonts w:hint="eastAsia" w:ascii="仿宋_GB2312" w:hAnsi="仿宋_GB2312" w:eastAsia="仿宋_GB2312" w:cs="仿宋_GB2312"/>
          <w:sz w:val="24"/>
          <w:lang w:val="en-US" w:eastAsia="zh-CN"/>
        </w:rPr>
        <w:t>有绍兴地铁1号线大滩站地铁站，</w:t>
      </w:r>
      <w:r>
        <w:rPr>
          <w:rFonts w:hint="eastAsia" w:ascii="仿宋_GB2312" w:hAnsi="仿宋_GB2312" w:eastAsia="仿宋_GB2312" w:cs="仿宋_GB2312"/>
          <w:bCs/>
          <w:sz w:val="24"/>
          <w:lang w:eastAsia="zh-CN"/>
        </w:rPr>
        <w:t>道路通达度好，交通便利</w:t>
      </w:r>
      <w:r>
        <w:rPr>
          <w:rFonts w:hint="eastAsia" w:ascii="仿宋_GB2312" w:hAnsi="仿宋_GB2312" w:eastAsia="仿宋_GB2312" w:cs="仿宋_GB2312"/>
          <w:sz w:val="24"/>
        </w:rPr>
        <w:t>。</w:t>
      </w:r>
    </w:p>
    <w:p>
      <w:pPr>
        <w:pStyle w:val="7"/>
        <w:pageBreakBefore w:val="0"/>
        <w:kinsoku/>
        <w:wordWrap/>
        <w:topLinePunct w:val="0"/>
        <w:bidi w:val="0"/>
        <w:spacing w:line="360" w:lineRule="auto"/>
        <w:ind w:firstLine="493" w:firstLineChars="209"/>
        <w:rPr>
          <w:rFonts w:ascii="仿宋_GB2312" w:hAnsi="仿宋_GB2312" w:eastAsia="仿宋_GB2312" w:cs="仿宋_GB2312"/>
          <w:sz w:val="24"/>
        </w:rPr>
      </w:pPr>
      <w:r>
        <w:rPr>
          <w:rFonts w:hint="eastAsia" w:ascii="仿宋_GB2312" w:hAnsi="仿宋_GB2312" w:eastAsia="仿宋_GB2312" w:cs="仿宋_GB2312"/>
          <w:sz w:val="24"/>
        </w:rPr>
        <w:t>3）环境状况</w:t>
      </w:r>
    </w:p>
    <w:p>
      <w:pPr>
        <w:pStyle w:val="7"/>
        <w:pageBreakBefore w:val="0"/>
        <w:kinsoku/>
        <w:wordWrap/>
        <w:topLinePunct w:val="0"/>
        <w:bidi w:val="0"/>
        <w:spacing w:line="360" w:lineRule="auto"/>
        <w:ind w:firstLine="493" w:firstLineChars="209"/>
        <w:rPr>
          <w:rFonts w:hint="eastAsia"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周边以居住区为主，污染较少，周边无大型污染型重工业入驻，大气环境状况较好，区域内卫生环境状况良好，治安状况较好。</w:t>
      </w:r>
    </w:p>
    <w:p>
      <w:pPr>
        <w:pStyle w:val="7"/>
        <w:pageBreakBefore w:val="0"/>
        <w:kinsoku/>
        <w:wordWrap/>
        <w:topLinePunct w:val="0"/>
        <w:bidi w:val="0"/>
        <w:spacing w:line="360" w:lineRule="auto"/>
        <w:ind w:firstLine="493" w:firstLineChars="209"/>
        <w:rPr>
          <w:rFonts w:hint="eastAsia"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4）商业集聚度</w:t>
      </w:r>
    </w:p>
    <w:p>
      <w:pPr>
        <w:pStyle w:val="7"/>
        <w:pageBreakBefore w:val="0"/>
        <w:kinsoku/>
        <w:wordWrap/>
        <w:topLinePunct w:val="0"/>
        <w:bidi w:val="0"/>
        <w:spacing w:line="360" w:lineRule="auto"/>
        <w:ind w:firstLine="493" w:firstLineChars="209"/>
        <w:rPr>
          <w:rFonts w:hint="eastAsia"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周边有绍兴天下花园、山水人家、大滩六号等住宅小区，距离颐高广场等商业中心较近，人流量较大，商业聚集程度较高。</w:t>
      </w:r>
    </w:p>
    <w:p>
      <w:pPr>
        <w:pStyle w:val="7"/>
        <w:pageBreakBefore w:val="0"/>
        <w:kinsoku/>
        <w:wordWrap/>
        <w:topLinePunct w:val="0"/>
        <w:bidi w:val="0"/>
        <w:spacing w:line="360" w:lineRule="auto"/>
        <w:ind w:firstLine="493" w:firstLineChars="209"/>
        <w:rPr>
          <w:rFonts w:hint="eastAsia"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5）公共配套及设施状况</w:t>
      </w:r>
    </w:p>
    <w:p>
      <w:pPr>
        <w:pStyle w:val="7"/>
        <w:pageBreakBefore w:val="0"/>
        <w:kinsoku/>
        <w:wordWrap/>
        <w:topLinePunct w:val="0"/>
        <w:bidi w:val="0"/>
        <w:spacing w:line="360" w:lineRule="auto"/>
        <w:ind w:firstLine="493" w:firstLineChars="209"/>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公共配套及设施状况较为齐全，附近有中国建设银行(绍兴城北桥支行)等银行配套。有绍兴市人民医院、绍兴市康复医院绍兴文理学院附属医院(昌安分院)等医疗配套、有昌安实验学校等教育配套。</w:t>
      </w:r>
    </w:p>
    <w:p>
      <w:pPr>
        <w:pStyle w:val="7"/>
        <w:pageBreakBefore w:val="0"/>
        <w:kinsoku/>
        <w:wordWrap/>
        <w:topLinePunct w:val="0"/>
        <w:bidi w:val="0"/>
        <w:spacing w:line="360" w:lineRule="auto"/>
        <w:ind w:firstLine="493" w:firstLineChars="209"/>
        <w:rPr>
          <w:rFonts w:ascii="仿宋_GB2312" w:hAnsi="仿宋_GB2312" w:eastAsia="仿宋_GB2312" w:cs="仿宋_GB2312"/>
          <w:sz w:val="24"/>
        </w:rPr>
      </w:pPr>
      <w:r>
        <w:rPr>
          <w:rFonts w:hint="eastAsia" w:ascii="仿宋_GB2312" w:hAnsi="仿宋_GB2312" w:eastAsia="仿宋_GB2312" w:cs="仿宋_GB2312"/>
          <w:sz w:val="24"/>
        </w:rPr>
        <w:t>2. 房地产实物状况</w:t>
      </w:r>
    </w:p>
    <w:p>
      <w:pPr>
        <w:pStyle w:val="7"/>
        <w:pageBreakBefore w:val="0"/>
        <w:kinsoku/>
        <w:wordWrap/>
        <w:topLinePunct w:val="0"/>
        <w:bidi w:val="0"/>
        <w:spacing w:line="360" w:lineRule="auto"/>
        <w:ind w:firstLine="493" w:firstLineChars="209"/>
        <w:rPr>
          <w:rFonts w:ascii="仿宋_GB2312" w:hAnsi="仿宋_GB2312" w:eastAsia="仿宋_GB2312" w:cs="仿宋_GB2312"/>
          <w:sz w:val="24"/>
        </w:rPr>
      </w:pPr>
      <w:r>
        <w:rPr>
          <w:rFonts w:hint="eastAsia" w:ascii="仿宋_GB2312" w:hAnsi="仿宋_GB2312" w:eastAsia="仿宋_GB2312" w:cs="仿宋_GB2312"/>
          <w:sz w:val="24"/>
        </w:rPr>
        <w:t>纳入评估范围的资产是</w:t>
      </w:r>
      <w:r>
        <w:rPr>
          <w:rFonts w:hint="eastAsia" w:ascii="仿宋_GB2312" w:hAnsi="仿宋_GB2312" w:eastAsia="仿宋_GB2312" w:cs="仿宋_GB2312"/>
          <w:sz w:val="24"/>
          <w:lang w:eastAsia="zh-CN"/>
        </w:rPr>
        <w:t>谢鸿所有的</w:t>
      </w:r>
      <w:r>
        <w:rPr>
          <w:rFonts w:hint="eastAsia" w:ascii="仿宋_GB2312" w:hAnsi="仿宋_GB2312" w:eastAsia="仿宋_GB2312" w:cs="仿宋_GB2312"/>
          <w:sz w:val="24"/>
        </w:rPr>
        <w:t>白鹭金滩春晓园7</w:t>
      </w:r>
      <w:r>
        <w:rPr>
          <w:rFonts w:hint="eastAsia" w:ascii="仿宋_GB2312" w:hAnsi="仿宋_GB2312" w:eastAsia="仿宋_GB2312" w:cs="仿宋_GB2312"/>
          <w:sz w:val="24"/>
          <w:lang w:val="en-US" w:eastAsia="zh-CN"/>
        </w:rPr>
        <w:t>幢205室</w:t>
      </w:r>
      <w:r>
        <w:rPr>
          <w:rFonts w:hint="eastAsia" w:ascii="仿宋_GB2312" w:hAnsi="仿宋_GB2312" w:eastAsia="仿宋_GB2312" w:cs="仿宋_GB2312"/>
          <w:sz w:val="24"/>
        </w:rPr>
        <w:t>。</w:t>
      </w:r>
    </w:p>
    <w:p>
      <w:pPr>
        <w:pStyle w:val="7"/>
        <w:pageBreakBefore w:val="0"/>
        <w:kinsoku/>
        <w:wordWrap/>
        <w:topLinePunct w:val="0"/>
        <w:bidi w:val="0"/>
        <w:spacing w:line="360" w:lineRule="auto"/>
        <w:ind w:firstLine="493" w:firstLineChars="209"/>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评估</w:t>
      </w:r>
      <w:r>
        <w:rPr>
          <w:rFonts w:hint="eastAsia" w:ascii="仿宋_GB2312" w:hAnsi="仿宋_GB2312" w:eastAsia="仿宋_GB2312" w:cs="仿宋_GB2312"/>
          <w:sz w:val="24"/>
        </w:rPr>
        <w:t>对象</w:t>
      </w:r>
      <w:r>
        <w:rPr>
          <w:rFonts w:hint="eastAsia" w:ascii="仿宋_GB2312" w:hAnsi="仿宋_GB2312" w:eastAsia="仿宋_GB2312" w:cs="仿宋_GB2312"/>
          <w:sz w:val="24"/>
          <w:lang w:val="en-US" w:eastAsia="zh-CN"/>
        </w:rPr>
        <w:t>钢混</w:t>
      </w:r>
      <w:r>
        <w:rPr>
          <w:rFonts w:hint="eastAsia" w:ascii="仿宋_GB2312" w:hAnsi="仿宋_GB2312" w:eastAsia="仿宋_GB2312" w:cs="仿宋_GB2312"/>
          <w:sz w:val="24"/>
        </w:rPr>
        <w:t>结构</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房屋总层数19层，所在层2层，</w:t>
      </w:r>
      <w:r>
        <w:rPr>
          <w:rFonts w:hint="eastAsia" w:ascii="仿宋_GB2312" w:hAnsi="仿宋_GB2312" w:eastAsia="仿宋_GB2312" w:cs="仿宋_GB2312"/>
          <w:sz w:val="24"/>
        </w:rPr>
        <w:t>外墙墙砖，铝合金窗，</w:t>
      </w:r>
      <w:r>
        <w:rPr>
          <w:rFonts w:hint="eastAsia" w:ascii="仿宋_GB2312" w:hAnsi="仿宋_GB2312" w:eastAsia="仿宋_GB2312" w:cs="仿宋_GB2312"/>
          <w:sz w:val="24"/>
          <w:lang w:val="en-US" w:eastAsia="zh-CN"/>
        </w:rPr>
        <w:t>西边</w:t>
      </w:r>
      <w:r>
        <w:rPr>
          <w:rFonts w:hint="eastAsia" w:ascii="仿宋_GB2312" w:hAnsi="仿宋_GB2312" w:eastAsia="仿宋_GB2312" w:cs="仿宋_GB2312"/>
          <w:sz w:val="24"/>
        </w:rPr>
        <w:t>套。</w:t>
      </w:r>
      <w:r>
        <w:rPr>
          <w:rFonts w:hint="eastAsia" w:ascii="仿宋_GB2312" w:hAnsi="仿宋_GB2312" w:eastAsia="仿宋_GB2312" w:cs="仿宋_GB2312"/>
          <w:sz w:val="24"/>
          <w:lang w:eastAsia="zh-CN"/>
        </w:rPr>
        <w:t>评估对象</w:t>
      </w:r>
      <w:r>
        <w:rPr>
          <w:rFonts w:hint="eastAsia" w:ascii="仿宋_GB2312" w:hAnsi="仿宋_GB2312" w:eastAsia="仿宋_GB2312" w:cs="仿宋_GB2312"/>
          <w:sz w:val="24"/>
        </w:rPr>
        <w:t>室内布局</w:t>
      </w:r>
      <w:r>
        <w:rPr>
          <w:rFonts w:hint="eastAsia" w:ascii="仿宋_GB2312" w:hAnsi="仿宋_GB2312" w:eastAsia="仿宋_GB2312" w:cs="仿宋_GB2312"/>
          <w:sz w:val="24"/>
          <w:lang w:val="en-US" w:eastAsia="zh-CN"/>
        </w:rPr>
        <w:t>四</w:t>
      </w:r>
      <w:r>
        <w:rPr>
          <w:rFonts w:hint="eastAsia" w:ascii="仿宋_GB2312" w:hAnsi="仿宋_GB2312" w:eastAsia="仿宋_GB2312" w:cs="仿宋_GB2312"/>
          <w:sz w:val="24"/>
        </w:rPr>
        <w:t>室二厅</w:t>
      </w:r>
      <w:r>
        <w:rPr>
          <w:rFonts w:hint="eastAsia" w:ascii="仿宋_GB2312" w:hAnsi="仿宋_GB2312" w:eastAsia="仿宋_GB2312" w:cs="仿宋_GB2312"/>
          <w:sz w:val="24"/>
          <w:lang w:val="en-US" w:eastAsia="zh-CN"/>
        </w:rPr>
        <w:t>两</w:t>
      </w:r>
      <w:r>
        <w:rPr>
          <w:rFonts w:hint="eastAsia" w:ascii="仿宋_GB2312" w:hAnsi="仿宋_GB2312" w:eastAsia="仿宋_GB2312" w:cs="仿宋_GB2312"/>
          <w:sz w:val="24"/>
        </w:rPr>
        <w:t>卫一厨，通风采光条件较好。室内</w:t>
      </w:r>
      <w:r>
        <w:rPr>
          <w:rFonts w:hint="eastAsia" w:ascii="仿宋_GB2312" w:hAnsi="仿宋_GB2312" w:eastAsia="仿宋_GB2312" w:cs="仿宋_GB2312"/>
          <w:sz w:val="24"/>
          <w:lang w:val="en-US" w:eastAsia="zh-CN"/>
        </w:rPr>
        <w:t>固定</w:t>
      </w:r>
      <w:r>
        <w:rPr>
          <w:rFonts w:hint="eastAsia" w:ascii="仿宋_GB2312" w:hAnsi="仿宋_GB2312" w:eastAsia="仿宋_GB2312" w:cs="仿宋_GB2312"/>
          <w:sz w:val="24"/>
        </w:rPr>
        <w:t>装修情况如下</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客厅地面铺设</w:t>
      </w:r>
      <w:r>
        <w:rPr>
          <w:rFonts w:hint="eastAsia" w:ascii="仿宋_GB2312" w:hAnsi="仿宋_GB2312" w:eastAsia="仿宋_GB2312" w:cs="仿宋_GB2312"/>
          <w:sz w:val="24"/>
          <w:lang w:val="en-US" w:eastAsia="zh-CN"/>
        </w:rPr>
        <w:t>地砖</w:t>
      </w:r>
      <w:r>
        <w:rPr>
          <w:rFonts w:hint="eastAsia" w:ascii="仿宋_GB2312" w:hAnsi="仿宋_GB2312" w:eastAsia="仿宋_GB2312" w:cs="仿宋_GB2312"/>
          <w:sz w:val="24"/>
        </w:rPr>
        <w:t>，墙面墙</w:t>
      </w:r>
      <w:r>
        <w:rPr>
          <w:rFonts w:hint="eastAsia" w:ascii="仿宋_GB2312" w:hAnsi="仿宋_GB2312" w:eastAsia="仿宋_GB2312" w:cs="仿宋_GB2312"/>
          <w:sz w:val="24"/>
          <w:lang w:val="en-US" w:eastAsia="zh-CN"/>
        </w:rPr>
        <w:t>布</w:t>
      </w:r>
      <w:r>
        <w:rPr>
          <w:rFonts w:hint="eastAsia" w:ascii="仿宋_GB2312" w:hAnsi="仿宋_GB2312" w:eastAsia="仿宋_GB2312" w:cs="仿宋_GB2312"/>
          <w:sz w:val="24"/>
        </w:rPr>
        <w:t>，石膏板吊顶，装有电视背景墙</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卧室地面铺设木地板，墙面墙</w:t>
      </w:r>
      <w:r>
        <w:rPr>
          <w:rFonts w:hint="eastAsia" w:ascii="仿宋_GB2312" w:hAnsi="仿宋_GB2312" w:eastAsia="仿宋_GB2312" w:cs="仿宋_GB2312"/>
          <w:sz w:val="24"/>
          <w:lang w:val="en-US" w:eastAsia="zh-CN"/>
        </w:rPr>
        <w:t>布</w:t>
      </w:r>
      <w:r>
        <w:rPr>
          <w:rFonts w:hint="eastAsia" w:ascii="仿宋_GB2312" w:hAnsi="仿宋_GB2312" w:eastAsia="仿宋_GB2312" w:cs="仿宋_GB2312"/>
          <w:sz w:val="24"/>
        </w:rPr>
        <w:t>，石膏板吊顶；厨房地面铺设地砖，墙面墙砖，集成吊顶，一体厨柜；卫生间地面铺设地砖，墙面墙砖，集成吊顶</w:t>
      </w:r>
      <w:r>
        <w:rPr>
          <w:rFonts w:hint="eastAsia" w:ascii="仿宋_GB2312" w:hAnsi="仿宋_GB2312" w:eastAsia="仿宋_GB2312" w:cs="仿宋_GB2312"/>
          <w:sz w:val="24"/>
          <w:lang w:eastAsia="zh-CN"/>
        </w:rPr>
        <w:t>；</w:t>
      </w:r>
    </w:p>
    <w:p>
      <w:pPr>
        <w:pStyle w:val="7"/>
        <w:pageBreakBefore w:val="0"/>
        <w:kinsoku/>
        <w:wordWrap/>
        <w:topLinePunct w:val="0"/>
        <w:bidi w:val="0"/>
        <w:spacing w:line="360" w:lineRule="auto"/>
        <w:ind w:left="0" w:leftChars="0" w:firstLine="417" w:firstLineChars="177"/>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房屋北侧有较大面积的屋顶可当花园使用，使用面积不计入产权面积。</w:t>
      </w:r>
      <w:r>
        <w:rPr>
          <w:rFonts w:hint="eastAsia" w:ascii="仿宋_GB2312" w:hAnsi="仿宋_GB2312" w:eastAsia="仿宋_GB2312" w:cs="仿宋_GB2312"/>
          <w:sz w:val="24"/>
        </w:rPr>
        <w:t>据评估人员现场勘查，上述</w:t>
      </w:r>
      <w:r>
        <w:rPr>
          <w:rFonts w:hint="eastAsia" w:ascii="仿宋_GB2312" w:hAnsi="仿宋_GB2312" w:eastAsia="仿宋_GB2312" w:cs="仿宋_GB2312"/>
          <w:sz w:val="24"/>
          <w:lang w:val="en-US" w:eastAsia="zh-CN"/>
        </w:rPr>
        <w:t>住宅</w:t>
      </w:r>
      <w:r>
        <w:rPr>
          <w:rFonts w:hint="eastAsia" w:ascii="仿宋_GB2312" w:hAnsi="仿宋_GB2312" w:eastAsia="仿宋_GB2312" w:cs="仿宋_GB2312"/>
          <w:sz w:val="24"/>
        </w:rPr>
        <w:t>用房维护状况</w:t>
      </w:r>
      <w:r>
        <w:rPr>
          <w:rFonts w:hint="eastAsia" w:ascii="仿宋_GB2312" w:hAnsi="仿宋_GB2312" w:eastAsia="仿宋_GB2312" w:cs="仿宋_GB2312"/>
          <w:sz w:val="24"/>
          <w:lang w:val="en-US" w:eastAsia="zh-CN"/>
        </w:rPr>
        <w:t>一般</w:t>
      </w:r>
      <w:r>
        <w:rPr>
          <w:rFonts w:hint="eastAsia" w:ascii="仿宋_GB2312" w:hAnsi="仿宋_GB2312" w:eastAsia="仿宋_GB2312" w:cs="仿宋_GB2312"/>
          <w:sz w:val="24"/>
        </w:rPr>
        <w:t>，成新度</w:t>
      </w:r>
      <w:r>
        <w:rPr>
          <w:rFonts w:hint="eastAsia" w:ascii="仿宋_GB2312" w:hAnsi="仿宋_GB2312" w:eastAsia="仿宋_GB2312" w:cs="仿宋_GB2312"/>
          <w:sz w:val="24"/>
          <w:lang w:val="en-US" w:eastAsia="zh-CN"/>
        </w:rPr>
        <w:t>一般</w:t>
      </w:r>
      <w:r>
        <w:rPr>
          <w:rFonts w:hint="eastAsia" w:ascii="仿宋_GB2312" w:hAnsi="仿宋_GB2312" w:eastAsia="仿宋_GB2312" w:cs="仿宋_GB2312"/>
          <w:sz w:val="24"/>
        </w:rPr>
        <w:t>，房屋结构基本完好。</w:t>
      </w:r>
      <w:r>
        <w:rPr>
          <w:rFonts w:hint="eastAsia" w:ascii="仿宋_GB2312" w:hAnsi="仿宋_GB2312" w:eastAsia="仿宋_GB2312" w:cs="仿宋_GB2312"/>
          <w:sz w:val="24"/>
          <w:lang w:val="en-US" w:eastAsia="zh-CN"/>
        </w:rPr>
        <w:t>现为空置状态。</w:t>
      </w:r>
    </w:p>
    <w:p>
      <w:pPr>
        <w:pStyle w:val="7"/>
        <w:pageBreakBefore w:val="0"/>
        <w:kinsoku/>
        <w:wordWrap/>
        <w:topLinePunct w:val="0"/>
        <w:bidi w:val="0"/>
        <w:spacing w:line="360" w:lineRule="auto"/>
        <w:ind w:firstLine="493" w:firstLineChars="209"/>
        <w:rPr>
          <w:rFonts w:ascii="仿宋_GB2312" w:hAnsi="仿宋_GB2312" w:eastAsia="仿宋_GB2312" w:cs="仿宋_GB2312"/>
          <w:sz w:val="24"/>
        </w:rPr>
      </w:pPr>
      <w:r>
        <w:rPr>
          <w:rFonts w:hint="eastAsia" w:ascii="仿宋_GB2312" w:hAnsi="仿宋_GB2312" w:eastAsia="仿宋_GB2312" w:cs="仿宋_GB2312"/>
          <w:sz w:val="24"/>
        </w:rPr>
        <w:t>3. 房地产权益状况</w:t>
      </w:r>
    </w:p>
    <w:p>
      <w:pPr>
        <w:pStyle w:val="7"/>
        <w:pageBreakBefore w:val="0"/>
        <w:kinsoku/>
        <w:wordWrap/>
        <w:topLinePunct w:val="0"/>
        <w:bidi w:val="0"/>
        <w:spacing w:line="360" w:lineRule="auto"/>
        <w:ind w:firstLine="493" w:firstLineChars="209"/>
        <w:rPr>
          <w:rFonts w:hint="default" w:ascii="仿宋_GB2312" w:hAnsi="仿宋_GB2312" w:eastAsia="仿宋_GB2312" w:cs="仿宋_GB2312"/>
          <w:sz w:val="24"/>
          <w:lang w:val="en-US" w:eastAsia="zh-CN"/>
        </w:rPr>
      </w:pPr>
      <w:r>
        <w:rPr>
          <w:rFonts w:hint="eastAsia" w:ascii="仿宋_GB2312" w:hAnsi="仿宋_GB2312" w:eastAsia="仿宋_GB2312" w:cs="仿宋_GB2312"/>
          <w:sz w:val="24"/>
        </w:rPr>
        <w:t>根据委托方提供的</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绍兴市越城区不动产登记查询证明</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权利人：谢鸿，房屋所有权证号：201401256，土地使用证号：绍市国用2014第3051号，坐落：白鹭金滩春晓园7-205，用途：住宅用地/住宅，房屋面积：177.02平方米，土地使用权面积：37.81平方米，房屋所有权证登记时间：2014-02-26，土地使用权登记时间：2014-02-27。</w:t>
      </w:r>
    </w:p>
    <w:p>
      <w:pPr>
        <w:pStyle w:val="7"/>
        <w:pageBreakBefore w:val="0"/>
        <w:kinsoku/>
        <w:wordWrap/>
        <w:topLinePunct w:val="0"/>
        <w:bidi w:val="0"/>
        <w:spacing w:line="360" w:lineRule="auto"/>
        <w:ind w:firstLine="493" w:firstLineChars="209"/>
        <w:rPr>
          <w:rFonts w:ascii="仿宋_GB2312" w:hAnsi="仿宋_GB2312" w:eastAsia="仿宋_GB2312" w:cs="仿宋_GB2312"/>
          <w:sz w:val="24"/>
        </w:rPr>
      </w:pPr>
      <w:r>
        <w:rPr>
          <w:rFonts w:hint="eastAsia" w:ascii="仿宋_GB2312" w:hAnsi="仿宋_GB2312" w:eastAsia="仿宋_GB2312" w:cs="仿宋_GB2312"/>
          <w:sz w:val="24"/>
        </w:rPr>
        <w:t>4.他项权状况</w:t>
      </w:r>
    </w:p>
    <w:p>
      <w:pPr>
        <w:pStyle w:val="7"/>
        <w:pageBreakBefore w:val="0"/>
        <w:kinsoku/>
        <w:wordWrap/>
        <w:topLinePunct w:val="0"/>
        <w:bidi w:val="0"/>
        <w:spacing w:line="360" w:lineRule="auto"/>
        <w:ind w:firstLine="493" w:firstLineChars="209"/>
        <w:rPr>
          <w:rFonts w:hint="default" w:ascii="仿宋_GB2312" w:hAnsi="仿宋_GB2312" w:eastAsia="仿宋_GB2312" w:cs="仿宋_GB2312"/>
          <w:sz w:val="24"/>
          <w:lang w:val="en-US" w:eastAsia="zh-CN"/>
        </w:rPr>
      </w:pPr>
      <w:r>
        <w:rPr>
          <w:rFonts w:hint="eastAsia" w:ascii="仿宋_GB2312" w:hAnsi="仿宋_GB2312" w:eastAsia="仿宋_GB2312" w:cs="仿宋_GB2312"/>
          <w:sz w:val="24"/>
        </w:rPr>
        <w:t>在评估基准日，</w:t>
      </w:r>
      <w:r>
        <w:rPr>
          <w:rFonts w:hint="eastAsia" w:ascii="仿宋_GB2312" w:hAnsi="仿宋_GB2312" w:eastAsia="仿宋_GB2312" w:cs="仿宋_GB2312"/>
          <w:sz w:val="24"/>
          <w:lang w:val="en-US" w:eastAsia="zh-CN"/>
        </w:rPr>
        <w:t>抵押查封登记情况：房产有查封有抵押，宗地有查封有抵押。</w:t>
      </w:r>
    </w:p>
    <w:p>
      <w:pPr>
        <w:pStyle w:val="7"/>
        <w:pageBreakBefore w:val="0"/>
        <w:numPr>
          <w:ilvl w:val="0"/>
          <w:numId w:val="8"/>
        </w:numPr>
        <w:kinsoku/>
        <w:wordWrap/>
        <w:topLinePunct w:val="0"/>
        <w:bidi w:val="0"/>
        <w:spacing w:line="360" w:lineRule="auto"/>
        <w:ind w:left="0" w:leftChars="0" w:firstLine="420" w:firstLineChars="0"/>
        <w:rPr>
          <w:rFonts w:ascii="仿宋_GB2312" w:hAnsi="仿宋_GB2312" w:eastAsia="仿宋_GB2312" w:cs="仿宋_GB2312"/>
          <w:color w:val="auto"/>
          <w:sz w:val="24"/>
        </w:rPr>
      </w:pPr>
      <w:r>
        <w:rPr>
          <w:rFonts w:hint="eastAsia" w:ascii="仿宋_GB2312" w:hAnsi="仿宋_GB2312" w:eastAsia="仿宋_GB2312" w:cs="仿宋_GB2312"/>
          <w:color w:val="auto"/>
          <w:sz w:val="24"/>
        </w:rPr>
        <w:t>本报告未引用其他机构出具的报告结论所涉及的资产类型、数量和账面金额（或者评估值）。</w:t>
      </w:r>
    </w:p>
    <w:p>
      <w:pPr>
        <w:pStyle w:val="7"/>
        <w:pageBreakBefore w:val="0"/>
        <w:numPr>
          <w:ilvl w:val="0"/>
          <w:numId w:val="8"/>
        </w:numPr>
        <w:kinsoku/>
        <w:wordWrap/>
        <w:topLinePunct w:val="0"/>
        <w:bidi w:val="0"/>
        <w:spacing w:line="360" w:lineRule="auto"/>
        <w:ind w:left="10" w:leftChars="0" w:firstLine="410" w:firstLineChars="0"/>
        <w:rPr>
          <w:rFonts w:ascii="仿宋_GB2312" w:hAnsi="仿宋_GB2312" w:eastAsia="仿宋_GB2312" w:cs="仿宋_GB2312"/>
          <w:color w:val="auto"/>
          <w:sz w:val="24"/>
        </w:rPr>
      </w:pPr>
      <w:r>
        <w:rPr>
          <w:rFonts w:hint="eastAsia" w:ascii="仿宋_GB2312" w:hAnsi="仿宋_GB2312" w:eastAsia="仿宋_GB2312" w:cs="仿宋_GB2312"/>
          <w:color w:val="auto"/>
          <w:sz w:val="24"/>
        </w:rPr>
        <w:t>委托评估对象和评估范围与上述经济行为涉及的评估对象和评估范围一致。</w:t>
      </w:r>
    </w:p>
    <w:bookmarkEnd w:id="34"/>
    <w:p>
      <w:pPr>
        <w:pStyle w:val="3"/>
        <w:pageBreakBefore w:val="0"/>
        <w:kinsoku/>
        <w:wordWrap/>
        <w:topLinePunct w:val="0"/>
        <w:bidi w:val="0"/>
        <w:spacing w:line="360" w:lineRule="auto"/>
        <w:rPr>
          <w:rFonts w:ascii="仿宋_GB2312" w:hAnsi="仿宋_GB2312" w:eastAsia="仿宋_GB2312" w:cs="仿宋_GB2312"/>
          <w:color w:val="auto"/>
          <w:spacing w:val="0"/>
        </w:rPr>
      </w:pPr>
      <w:bookmarkStart w:id="35" w:name="index_9"/>
      <w:bookmarkEnd w:id="35"/>
      <w:bookmarkStart w:id="36" w:name="_Toc32564"/>
      <w:bookmarkStart w:id="37" w:name="_Toc474678022"/>
      <w:bookmarkStart w:id="38" w:name="_Toc474679477"/>
      <w:bookmarkStart w:id="39" w:name="_Toc474676083"/>
      <w:bookmarkStart w:id="40" w:name="_Toc474676042"/>
      <w:r>
        <w:rPr>
          <w:rFonts w:hint="eastAsia" w:ascii="仿宋_GB2312" w:hAnsi="仿宋_GB2312" w:eastAsia="仿宋_GB2312" w:cs="仿宋_GB2312"/>
          <w:color w:val="auto"/>
          <w:spacing w:val="0"/>
        </w:rPr>
        <w:t>评估基准日</w:t>
      </w:r>
      <w:bookmarkEnd w:id="36"/>
      <w:bookmarkEnd w:id="37"/>
      <w:bookmarkEnd w:id="38"/>
      <w:bookmarkEnd w:id="39"/>
      <w:bookmarkEnd w:id="40"/>
    </w:p>
    <w:p>
      <w:pPr>
        <w:pageBreakBefore w:val="0"/>
        <w:kinsoku/>
        <w:wordWrap/>
        <w:topLinePunct w:val="0"/>
        <w:bidi w:val="0"/>
        <w:spacing w:line="360" w:lineRule="auto"/>
        <w:ind w:firstLine="420"/>
        <w:textAlignment w:val="top"/>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本项目资产评估基准日是</w:t>
      </w:r>
      <w:r>
        <w:rPr>
          <w:rFonts w:hint="eastAsia" w:ascii="仿宋_GB2312" w:hAnsi="仿宋_GB2312" w:eastAsia="仿宋_GB2312" w:cs="仿宋_GB2312"/>
          <w:color w:val="auto"/>
          <w:sz w:val="24"/>
          <w:lang w:eastAsia="zh-CN"/>
        </w:rPr>
        <w:t xml:space="preserve"> 2022年08月30日</w:t>
      </w:r>
      <w:r>
        <w:rPr>
          <w:rFonts w:hint="eastAsia" w:ascii="仿宋_GB2312" w:hAnsi="仿宋_GB2312" w:eastAsia="仿宋_GB2312" w:cs="仿宋_GB2312"/>
          <w:color w:val="auto"/>
          <w:sz w:val="24"/>
        </w:rPr>
        <w:t>。</w:t>
      </w:r>
    </w:p>
    <w:p>
      <w:pPr>
        <w:pageBreakBefore w:val="0"/>
        <w:kinsoku/>
        <w:wordWrap/>
        <w:topLinePunct w:val="0"/>
        <w:bidi w:val="0"/>
        <w:spacing w:line="360" w:lineRule="auto"/>
        <w:ind w:firstLine="420"/>
        <w:textAlignment w:val="top"/>
        <w:rPr>
          <w:rFonts w:ascii="仿宋_GB2312" w:hAnsi="仿宋_GB2312" w:eastAsia="仿宋_GB2312" w:cs="仿宋_GB2312"/>
          <w:color w:val="auto"/>
          <w:sz w:val="24"/>
        </w:rPr>
      </w:pPr>
      <w:r>
        <w:rPr>
          <w:rFonts w:hint="eastAsia" w:ascii="仿宋_GB2312" w:hAnsi="仿宋_GB2312" w:eastAsia="仿宋_GB2312" w:cs="仿宋_GB2312"/>
          <w:color w:val="auto"/>
          <w:sz w:val="24"/>
        </w:rPr>
        <w:t>评估基准日由委托方确定。</w:t>
      </w:r>
    </w:p>
    <w:p>
      <w:pPr>
        <w:pStyle w:val="3"/>
        <w:pageBreakBefore w:val="0"/>
        <w:kinsoku/>
        <w:wordWrap/>
        <w:topLinePunct w:val="0"/>
        <w:bidi w:val="0"/>
        <w:spacing w:line="360" w:lineRule="auto"/>
        <w:rPr>
          <w:rFonts w:ascii="仿宋_GB2312" w:hAnsi="仿宋_GB2312" w:eastAsia="仿宋_GB2312" w:cs="仿宋_GB2312"/>
          <w:color w:val="auto"/>
          <w:spacing w:val="0"/>
        </w:rPr>
      </w:pPr>
      <w:bookmarkStart w:id="41" w:name="index_10"/>
      <w:bookmarkEnd w:id="41"/>
      <w:bookmarkStart w:id="42" w:name="_Toc10030"/>
      <w:r>
        <w:rPr>
          <w:rFonts w:hint="eastAsia" w:ascii="仿宋_GB2312" w:hAnsi="仿宋_GB2312" w:eastAsia="仿宋_GB2312" w:cs="仿宋_GB2312"/>
          <w:color w:val="auto"/>
          <w:spacing w:val="0"/>
        </w:rPr>
        <w:t>评估价值类型和定义</w:t>
      </w:r>
      <w:bookmarkEnd w:id="42"/>
    </w:p>
    <w:p>
      <w:pPr>
        <w:pageBreakBefore w:val="0"/>
        <w:kinsoku/>
        <w:wordWrap/>
        <w:topLinePunct w:val="0"/>
        <w:bidi w:val="0"/>
        <w:spacing w:line="360" w:lineRule="auto"/>
        <w:ind w:firstLine="540"/>
        <w:rPr>
          <w:rFonts w:ascii="仿宋_GB2312" w:hAnsi="仿宋_GB2312" w:eastAsia="仿宋_GB2312" w:cs="仿宋_GB2312"/>
          <w:color w:val="auto"/>
          <w:sz w:val="24"/>
        </w:rPr>
      </w:pPr>
      <w:r>
        <w:rPr>
          <w:rFonts w:hint="eastAsia" w:ascii="仿宋_GB2312" w:hAnsi="仿宋_GB2312" w:eastAsia="仿宋_GB2312" w:cs="仿宋_GB2312"/>
          <w:color w:val="auto"/>
          <w:sz w:val="24"/>
        </w:rPr>
        <w:t>根据评估目的，确定评估对象的价值类型为市场价值。</w:t>
      </w:r>
    </w:p>
    <w:p>
      <w:pPr>
        <w:pageBreakBefore w:val="0"/>
        <w:kinsoku/>
        <w:wordWrap/>
        <w:topLinePunct w:val="0"/>
        <w:bidi w:val="0"/>
        <w:spacing w:line="360" w:lineRule="auto"/>
        <w:ind w:firstLine="540"/>
        <w:rPr>
          <w:rFonts w:ascii="仿宋_GB2312" w:hAnsi="仿宋_GB2312" w:eastAsia="仿宋_GB2312" w:cs="仿宋_GB2312"/>
          <w:color w:val="auto"/>
          <w:sz w:val="24"/>
        </w:rPr>
      </w:pPr>
      <w:r>
        <w:rPr>
          <w:rFonts w:hint="eastAsia" w:ascii="仿宋_GB2312" w:hAnsi="仿宋_GB2312" w:eastAsia="仿宋_GB2312" w:cs="仿宋_GB2312"/>
          <w:color w:val="auto"/>
          <w:sz w:val="24"/>
        </w:rPr>
        <w:t>市场价值是指自愿买方和自愿卖方，在各自理性行事且未受任何强迫的情况下，评估对象在评估基准日进行正常公平交易的价值估计数额。</w:t>
      </w:r>
    </w:p>
    <w:p>
      <w:pPr>
        <w:pStyle w:val="3"/>
        <w:pageBreakBefore w:val="0"/>
        <w:kinsoku/>
        <w:wordWrap/>
        <w:topLinePunct w:val="0"/>
        <w:bidi w:val="0"/>
        <w:spacing w:line="360" w:lineRule="auto"/>
        <w:rPr>
          <w:rFonts w:ascii="仿宋_GB2312" w:hAnsi="仿宋_GB2312" w:eastAsia="仿宋_GB2312" w:cs="仿宋_GB2312"/>
          <w:color w:val="auto"/>
          <w:spacing w:val="0"/>
        </w:rPr>
      </w:pPr>
      <w:bookmarkStart w:id="43" w:name="_Toc474676085"/>
      <w:bookmarkStart w:id="44" w:name="_Toc474676044"/>
      <w:bookmarkStart w:id="45" w:name="_Toc24607"/>
      <w:bookmarkStart w:id="46" w:name="_Toc474679479"/>
      <w:bookmarkStart w:id="47" w:name="_Toc474678024"/>
      <w:r>
        <w:rPr>
          <w:rFonts w:hint="eastAsia" w:ascii="仿宋_GB2312" w:hAnsi="仿宋_GB2312" w:eastAsia="仿宋_GB2312" w:cs="仿宋_GB2312"/>
          <w:color w:val="auto"/>
          <w:spacing w:val="0"/>
        </w:rPr>
        <w:t>评估依据</w:t>
      </w:r>
      <w:bookmarkEnd w:id="43"/>
      <w:bookmarkEnd w:id="44"/>
      <w:bookmarkEnd w:id="45"/>
      <w:bookmarkEnd w:id="46"/>
      <w:bookmarkEnd w:id="47"/>
    </w:p>
    <w:p>
      <w:pPr>
        <w:pStyle w:val="4"/>
        <w:pageBreakBefore w:val="0"/>
        <w:numPr>
          <w:ilvl w:val="0"/>
          <w:numId w:val="9"/>
        </w:numPr>
        <w:kinsoku/>
        <w:wordWrap/>
        <w:topLinePunct w:val="0"/>
        <w:bidi w:val="0"/>
        <w:spacing w:line="360" w:lineRule="auto"/>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经济行为依据</w:t>
      </w:r>
    </w:p>
    <w:p>
      <w:pPr>
        <w:pStyle w:val="4"/>
        <w:pageBreakBefore w:val="0"/>
        <w:numPr>
          <w:ilvl w:val="0"/>
          <w:numId w:val="10"/>
        </w:numPr>
        <w:kinsoku/>
        <w:wordWrap/>
        <w:topLinePunct w:val="0"/>
        <w:bidi w:val="0"/>
        <w:spacing w:line="360" w:lineRule="auto"/>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评估委托书[（2021）闽0181执5293号]。</w:t>
      </w:r>
    </w:p>
    <w:p>
      <w:pPr>
        <w:pStyle w:val="4"/>
        <w:pageBreakBefore w:val="0"/>
        <w:numPr>
          <w:ilvl w:val="0"/>
          <w:numId w:val="9"/>
        </w:numPr>
        <w:kinsoku/>
        <w:wordWrap/>
        <w:topLinePunct w:val="0"/>
        <w:bidi w:val="0"/>
        <w:spacing w:line="360" w:lineRule="auto"/>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法律法规依据</w:t>
      </w:r>
      <w:bookmarkStart w:id="48" w:name="_Toc474679480"/>
      <w:bookmarkStart w:id="49" w:name="_Toc25992"/>
      <w:bookmarkStart w:id="50" w:name="_Toc474678025"/>
    </w:p>
    <w:bookmarkEnd w:id="48"/>
    <w:bookmarkEnd w:id="49"/>
    <w:bookmarkEnd w:id="50"/>
    <w:p>
      <w:pPr>
        <w:pageBreakBefore w:val="0"/>
        <w:numPr>
          <w:ilvl w:val="0"/>
          <w:numId w:val="11"/>
        </w:numPr>
        <w:tabs>
          <w:tab w:val="left" w:pos="900"/>
          <w:tab w:val="left" w:pos="1280"/>
        </w:tabs>
        <w:kinsoku/>
        <w:wordWrap/>
        <w:topLinePunct w:val="0"/>
        <w:bidi w:val="0"/>
        <w:spacing w:line="360" w:lineRule="auto"/>
        <w:rPr>
          <w:rFonts w:ascii="仿宋_GB2312" w:hAnsi="仿宋_GB2312" w:eastAsia="仿宋_GB2312" w:cs="仿宋_GB2312"/>
          <w:color w:val="auto"/>
          <w:sz w:val="24"/>
        </w:rPr>
      </w:pPr>
      <w:bookmarkStart w:id="51" w:name="_Toc474678026"/>
      <w:bookmarkStart w:id="52" w:name="_Toc474679481"/>
      <w:r>
        <w:rPr>
          <w:rFonts w:hint="eastAsia" w:ascii="仿宋_GB2312" w:hAnsi="仿宋_GB2312" w:eastAsia="仿宋_GB2312" w:cs="仿宋_GB2312"/>
          <w:color w:val="auto"/>
          <w:sz w:val="24"/>
        </w:rPr>
        <w:t>《中华人民共和国资产评估法》（2016 年 7 月 2 日第十二届全国人民代表大会常务委员会第二十一次会议通过，自 2016 年 12 月 1 日起施行）；</w:t>
      </w:r>
    </w:p>
    <w:p>
      <w:pPr>
        <w:pageBreakBefore w:val="0"/>
        <w:numPr>
          <w:ilvl w:val="0"/>
          <w:numId w:val="11"/>
        </w:numPr>
        <w:tabs>
          <w:tab w:val="left" w:pos="900"/>
          <w:tab w:val="left" w:pos="1280"/>
        </w:tabs>
        <w:kinsoku/>
        <w:wordWrap/>
        <w:topLinePunct w:val="0"/>
        <w:bidi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《中华人民共和国公司法》（2018 年 10 月 26 日第十三届全国人民代表大会常务委员会第六次会议通过修订，自 2018 年 10 月 26 日起施行）；</w:t>
      </w:r>
    </w:p>
    <w:p>
      <w:pPr>
        <w:pageBreakBefore w:val="0"/>
        <w:numPr>
          <w:ilvl w:val="0"/>
          <w:numId w:val="11"/>
        </w:numPr>
        <w:tabs>
          <w:tab w:val="left" w:pos="900"/>
          <w:tab w:val="left" w:pos="1280"/>
        </w:tabs>
        <w:kinsoku/>
        <w:wordWrap/>
        <w:topLinePunct w:val="0"/>
        <w:bidi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《中华人民共和国城市房地产管理法》（2019 年 8 月 26 日第十三届全国人民代表大会常务委员会第十二次会议《关于修改〈中华人民共和国土地管理法〉、〈中华人民共和国城市房地产管理法〉的决定》第三次修正）；</w:t>
      </w:r>
    </w:p>
    <w:p>
      <w:pPr>
        <w:pageBreakBefore w:val="0"/>
        <w:numPr>
          <w:ilvl w:val="0"/>
          <w:numId w:val="11"/>
        </w:numPr>
        <w:tabs>
          <w:tab w:val="left" w:pos="900"/>
          <w:tab w:val="left" w:pos="1280"/>
        </w:tabs>
        <w:kinsoku/>
        <w:wordWrap/>
        <w:topLinePunct w:val="0"/>
        <w:bidi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《中华人民共和国土地管理法》（2019 年 8 月 26 日第十三届全国人民代表大会常务委员会第十二次会议《关于修改〈中华人民共和国土地管理法〉、〈中华人民共和国城市房地产管理法〉的决定》第三次修正）；</w:t>
      </w:r>
    </w:p>
    <w:p>
      <w:pPr>
        <w:pageBreakBefore w:val="0"/>
        <w:numPr>
          <w:ilvl w:val="0"/>
          <w:numId w:val="11"/>
        </w:numPr>
        <w:tabs>
          <w:tab w:val="left" w:pos="900"/>
          <w:tab w:val="left" w:pos="1280"/>
        </w:tabs>
        <w:kinsoku/>
        <w:wordWrap/>
        <w:topLinePunct w:val="0"/>
        <w:bidi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《中华人民共和国土地管理法实施条例》（2014 年 7 月 9 日国务院第 54 次常务会议通过修订）；</w:t>
      </w:r>
    </w:p>
    <w:p>
      <w:pPr>
        <w:pageBreakBefore w:val="0"/>
        <w:numPr>
          <w:ilvl w:val="0"/>
          <w:numId w:val="11"/>
        </w:numPr>
        <w:tabs>
          <w:tab w:val="left" w:pos="900"/>
          <w:tab w:val="left" w:pos="1280"/>
        </w:tabs>
        <w:kinsoku/>
        <w:wordWrap/>
        <w:topLinePunct w:val="0"/>
        <w:bidi w:val="0"/>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《关于深化增值税改革有关政策的公告》（财政部 税务总局 海关总署公告 2019</w:t>
      </w:r>
    </w:p>
    <w:p>
      <w:pPr>
        <w:pageBreakBefore w:val="0"/>
        <w:numPr>
          <w:ilvl w:val="0"/>
          <w:numId w:val="0"/>
        </w:numPr>
        <w:tabs>
          <w:tab w:val="left" w:pos="900"/>
          <w:tab w:val="left" w:pos="1280"/>
        </w:tabs>
        <w:kinsoku/>
        <w:wordWrap/>
        <w:topLinePunct w:val="0"/>
        <w:bidi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年第 39 号）；</w:t>
      </w:r>
    </w:p>
    <w:p>
      <w:pPr>
        <w:pageBreakBefore w:val="0"/>
        <w:numPr>
          <w:ilvl w:val="0"/>
          <w:numId w:val="11"/>
        </w:numPr>
        <w:tabs>
          <w:tab w:val="left" w:pos="900"/>
          <w:tab w:val="left" w:pos="1280"/>
        </w:tabs>
        <w:kinsoku/>
        <w:wordWrap/>
        <w:topLinePunct w:val="0"/>
        <w:bidi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《资产评估行业财政监督管理办法》（2017 年 6 月 1 日中华人民共和国财政部令第 86 号）；</w:t>
      </w:r>
    </w:p>
    <w:p>
      <w:pPr>
        <w:pageBreakBefore w:val="0"/>
        <w:numPr>
          <w:ilvl w:val="0"/>
          <w:numId w:val="11"/>
        </w:numPr>
        <w:tabs>
          <w:tab w:val="left" w:pos="900"/>
          <w:tab w:val="left" w:pos="1280"/>
        </w:tabs>
        <w:kinsoku/>
        <w:wordWrap/>
        <w:topLinePunct w:val="0"/>
        <w:bidi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其他有关的法律、法规和规章制度。</w:t>
      </w:r>
    </w:p>
    <w:p>
      <w:pPr>
        <w:pStyle w:val="4"/>
        <w:pageBreakBefore w:val="0"/>
        <w:numPr>
          <w:ilvl w:val="0"/>
          <w:numId w:val="9"/>
        </w:numPr>
        <w:kinsoku/>
        <w:wordWrap/>
        <w:topLinePunct w:val="0"/>
        <w:bidi w:val="0"/>
        <w:spacing w:line="360" w:lineRule="auto"/>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评估准则依据</w:t>
      </w:r>
    </w:p>
    <w:p>
      <w:pPr>
        <w:pageBreakBefore w:val="0"/>
        <w:numPr>
          <w:ilvl w:val="0"/>
          <w:numId w:val="12"/>
        </w:numPr>
        <w:tabs>
          <w:tab w:val="left" w:pos="900"/>
          <w:tab w:val="left" w:pos="1280"/>
        </w:tabs>
        <w:kinsoku/>
        <w:wordWrap/>
        <w:topLinePunct w:val="0"/>
        <w:bidi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《资产评估基本准则》财资〔2017〕43 号；</w:t>
      </w:r>
    </w:p>
    <w:p>
      <w:pPr>
        <w:pageBreakBefore w:val="0"/>
        <w:numPr>
          <w:ilvl w:val="0"/>
          <w:numId w:val="12"/>
        </w:numPr>
        <w:tabs>
          <w:tab w:val="left" w:pos="900"/>
          <w:tab w:val="left" w:pos="1280"/>
        </w:tabs>
        <w:kinsoku/>
        <w:wordWrap/>
        <w:topLinePunct w:val="0"/>
        <w:bidi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《资产评估职业道德准则》中评协〔2017〕30 号；</w:t>
      </w:r>
    </w:p>
    <w:p>
      <w:pPr>
        <w:pageBreakBefore w:val="0"/>
        <w:numPr>
          <w:ilvl w:val="0"/>
          <w:numId w:val="12"/>
        </w:numPr>
        <w:tabs>
          <w:tab w:val="left" w:pos="900"/>
          <w:tab w:val="left" w:pos="1280"/>
        </w:tabs>
        <w:kinsoku/>
        <w:wordWrap/>
        <w:topLinePunct w:val="0"/>
        <w:bidi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《资产评估执业准则——资产评估程序》中评协〔2018〕36 号；</w:t>
      </w:r>
    </w:p>
    <w:p>
      <w:pPr>
        <w:pageBreakBefore w:val="0"/>
        <w:numPr>
          <w:ilvl w:val="0"/>
          <w:numId w:val="12"/>
        </w:numPr>
        <w:tabs>
          <w:tab w:val="left" w:pos="900"/>
          <w:tab w:val="left" w:pos="1280"/>
        </w:tabs>
        <w:kinsoku/>
        <w:wordWrap/>
        <w:topLinePunct w:val="0"/>
        <w:bidi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《资产评估执业准则——资产评估报告》中评协〔2018〕35 号；</w:t>
      </w:r>
    </w:p>
    <w:p>
      <w:pPr>
        <w:pageBreakBefore w:val="0"/>
        <w:numPr>
          <w:ilvl w:val="0"/>
          <w:numId w:val="12"/>
        </w:numPr>
        <w:tabs>
          <w:tab w:val="left" w:pos="900"/>
          <w:tab w:val="left" w:pos="1280"/>
        </w:tabs>
        <w:kinsoku/>
        <w:wordWrap/>
        <w:topLinePunct w:val="0"/>
        <w:bidi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《资产评估执业准则——资产评估委托合同》中评协〔2017〕33 号；</w:t>
      </w:r>
    </w:p>
    <w:p>
      <w:pPr>
        <w:pageBreakBefore w:val="0"/>
        <w:numPr>
          <w:ilvl w:val="0"/>
          <w:numId w:val="12"/>
        </w:numPr>
        <w:tabs>
          <w:tab w:val="left" w:pos="900"/>
          <w:tab w:val="left" w:pos="1280"/>
        </w:tabs>
        <w:kinsoku/>
        <w:wordWrap/>
        <w:topLinePunct w:val="0"/>
        <w:bidi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《资产评估执业准则——资产评估档案》中评协〔2018〕37 号；</w:t>
      </w:r>
    </w:p>
    <w:p>
      <w:pPr>
        <w:pageBreakBefore w:val="0"/>
        <w:numPr>
          <w:ilvl w:val="0"/>
          <w:numId w:val="12"/>
        </w:numPr>
        <w:tabs>
          <w:tab w:val="left" w:pos="900"/>
          <w:tab w:val="left" w:pos="1280"/>
        </w:tabs>
        <w:kinsoku/>
        <w:wordWrap/>
        <w:topLinePunct w:val="0"/>
        <w:bidi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《资产评估执业准则——不动产》中评协〔201</w:t>
      </w:r>
      <w:r>
        <w:rPr>
          <w:rFonts w:hint="eastAsia" w:ascii="仿宋_GB2312" w:hAnsi="仿宋_GB2312" w:eastAsia="仿宋_GB2312" w:cs="仿宋_GB2312"/>
          <w:color w:val="auto"/>
          <w:sz w:val="24"/>
          <w:lang w:val="en-US" w:eastAsia="zh-CN"/>
        </w:rPr>
        <w:t>7</w:t>
      </w:r>
      <w:r>
        <w:rPr>
          <w:rFonts w:hint="eastAsia" w:ascii="仿宋_GB2312" w:hAnsi="仿宋_GB2312" w:eastAsia="仿宋_GB2312" w:cs="仿宋_GB2312"/>
          <w:color w:val="auto"/>
          <w:sz w:val="24"/>
        </w:rPr>
        <w:t>〕38 号；</w:t>
      </w:r>
    </w:p>
    <w:p>
      <w:pPr>
        <w:pageBreakBefore w:val="0"/>
        <w:numPr>
          <w:ilvl w:val="0"/>
          <w:numId w:val="12"/>
        </w:numPr>
        <w:tabs>
          <w:tab w:val="left" w:pos="900"/>
          <w:tab w:val="left" w:pos="1280"/>
        </w:tabs>
        <w:kinsoku/>
        <w:wordWrap/>
        <w:topLinePunct w:val="0"/>
        <w:bidi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《资产评估机构业务质量控制指南》中评协〔2017〕46 号；</w:t>
      </w:r>
    </w:p>
    <w:p>
      <w:pPr>
        <w:pageBreakBefore w:val="0"/>
        <w:numPr>
          <w:ilvl w:val="0"/>
          <w:numId w:val="12"/>
        </w:numPr>
        <w:tabs>
          <w:tab w:val="left" w:pos="900"/>
          <w:tab w:val="left" w:pos="1280"/>
        </w:tabs>
        <w:kinsoku/>
        <w:wordWrap/>
        <w:topLinePunct w:val="0"/>
        <w:bidi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《资产评评估值类型指导意见》中评协〔2017〕47 号；</w:t>
      </w:r>
    </w:p>
    <w:p>
      <w:pPr>
        <w:pageBreakBefore w:val="0"/>
        <w:numPr>
          <w:ilvl w:val="0"/>
          <w:numId w:val="12"/>
        </w:numPr>
        <w:tabs>
          <w:tab w:val="left" w:pos="900"/>
          <w:tab w:val="left" w:pos="1280"/>
        </w:tabs>
        <w:kinsoku/>
        <w:wordWrap/>
        <w:topLinePunct w:val="0"/>
        <w:bidi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《资产评估对象法律权属指导意见》中评协〔2017〕48 号；</w:t>
      </w:r>
    </w:p>
    <w:p>
      <w:pPr>
        <w:pageBreakBefore w:val="0"/>
        <w:numPr>
          <w:ilvl w:val="0"/>
          <w:numId w:val="12"/>
        </w:numPr>
        <w:tabs>
          <w:tab w:val="left" w:pos="900"/>
          <w:tab w:val="left" w:pos="1280"/>
        </w:tabs>
        <w:kinsoku/>
        <w:wordWrap/>
        <w:topLinePunct w:val="0"/>
        <w:bidi w:val="0"/>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中国资产评估协会《企业国有资产评估报告指南》中评协〔2017〕42 号；</w:t>
      </w:r>
    </w:p>
    <w:p>
      <w:pPr>
        <w:pageBreakBefore w:val="0"/>
        <w:numPr>
          <w:ilvl w:val="0"/>
          <w:numId w:val="12"/>
        </w:numPr>
        <w:tabs>
          <w:tab w:val="left" w:pos="900"/>
          <w:tab w:val="left" w:pos="1280"/>
        </w:tabs>
        <w:kinsoku/>
        <w:wordWrap/>
        <w:topLinePunct w:val="0"/>
        <w:bidi w:val="0"/>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中国资产评估协会《资产评估专家指引第 8 号——资产评估中的核查验证》中</w:t>
      </w:r>
    </w:p>
    <w:p>
      <w:pPr>
        <w:pageBreakBefore w:val="0"/>
        <w:numPr>
          <w:ilvl w:val="0"/>
          <w:numId w:val="0"/>
        </w:numPr>
        <w:tabs>
          <w:tab w:val="left" w:pos="900"/>
          <w:tab w:val="left" w:pos="1280"/>
        </w:tabs>
        <w:kinsoku/>
        <w:wordWrap/>
        <w:topLinePunct w:val="0"/>
        <w:bidi w:val="0"/>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评协〔2019〕39 号；</w:t>
      </w:r>
    </w:p>
    <w:p>
      <w:pPr>
        <w:pageBreakBefore w:val="0"/>
        <w:numPr>
          <w:ilvl w:val="0"/>
          <w:numId w:val="12"/>
        </w:numPr>
        <w:tabs>
          <w:tab w:val="left" w:pos="900"/>
          <w:tab w:val="left" w:pos="1280"/>
        </w:tabs>
        <w:kinsoku/>
        <w:wordWrap/>
        <w:topLinePunct w:val="0"/>
        <w:bidi w:val="0"/>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中国资产评估协会《资产评估执业准则——资产评估方法》中评协〔2019〕35</w:t>
      </w:r>
    </w:p>
    <w:p>
      <w:pPr>
        <w:pageBreakBefore w:val="0"/>
        <w:numPr>
          <w:ilvl w:val="0"/>
          <w:numId w:val="0"/>
        </w:numPr>
        <w:tabs>
          <w:tab w:val="left" w:pos="900"/>
          <w:tab w:val="left" w:pos="1280"/>
        </w:tabs>
        <w:kinsoku/>
        <w:wordWrap/>
        <w:topLinePunct w:val="0"/>
        <w:bidi w:val="0"/>
        <w:spacing w:line="360" w:lineRule="auto"/>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号</w:t>
      </w:r>
      <w:r>
        <w:rPr>
          <w:rFonts w:hint="eastAsia" w:ascii="仿宋_GB2312" w:hAnsi="仿宋_GB2312" w:eastAsia="仿宋_GB2312" w:cs="仿宋_GB2312"/>
          <w:color w:val="auto"/>
          <w:sz w:val="24"/>
          <w:lang w:eastAsia="zh-CN"/>
        </w:rPr>
        <w:t>。</w:t>
      </w:r>
    </w:p>
    <w:bookmarkEnd w:id="51"/>
    <w:bookmarkEnd w:id="52"/>
    <w:p>
      <w:pPr>
        <w:pStyle w:val="4"/>
        <w:pageBreakBefore w:val="0"/>
        <w:numPr>
          <w:ilvl w:val="0"/>
          <w:numId w:val="9"/>
        </w:numPr>
        <w:kinsoku/>
        <w:wordWrap/>
        <w:topLinePunct w:val="0"/>
        <w:bidi w:val="0"/>
        <w:spacing w:line="360" w:lineRule="auto"/>
        <w:rPr>
          <w:rFonts w:ascii="仿宋_GB2312" w:hAnsi="仿宋_GB2312" w:eastAsia="仿宋_GB2312" w:cs="仿宋_GB2312"/>
          <w:b/>
          <w:bCs/>
          <w:color w:val="auto"/>
          <w:sz w:val="28"/>
          <w:szCs w:val="28"/>
        </w:rPr>
      </w:pPr>
      <w:bookmarkStart w:id="53" w:name="_Toc29813"/>
      <w:r>
        <w:rPr>
          <w:rFonts w:hint="eastAsia" w:ascii="仿宋_GB2312" w:hAnsi="仿宋_GB2312" w:eastAsia="仿宋_GB2312" w:cs="仿宋_GB2312"/>
          <w:b/>
          <w:bCs/>
          <w:color w:val="auto"/>
          <w:sz w:val="28"/>
          <w:szCs w:val="28"/>
        </w:rPr>
        <w:t>权属依据</w:t>
      </w:r>
      <w:bookmarkEnd w:id="53"/>
    </w:p>
    <w:p>
      <w:pPr>
        <w:pageBreakBefore w:val="0"/>
        <w:numPr>
          <w:ilvl w:val="0"/>
          <w:numId w:val="13"/>
        </w:numPr>
        <w:kinsoku/>
        <w:wordWrap/>
        <w:topLinePunct w:val="0"/>
        <w:bidi w:val="0"/>
        <w:spacing w:line="360" w:lineRule="auto"/>
        <w:ind w:firstLine="540"/>
        <w:rPr>
          <w:rFonts w:ascii="仿宋_GB2312" w:hAnsi="华文仿宋" w:eastAsia="仿宋_GB2312"/>
          <w:color w:val="auto"/>
          <w:sz w:val="24"/>
        </w:rPr>
      </w:pPr>
      <w:r>
        <w:rPr>
          <w:rFonts w:hint="eastAsia" w:ascii="仿宋_GB2312" w:hAnsi="仿宋_GB2312" w:eastAsia="仿宋_GB2312" w:cs="仿宋_GB2312"/>
          <w:color w:val="auto"/>
          <w:sz w:val="24"/>
          <w:lang w:val="en-US" w:eastAsia="zh-CN"/>
        </w:rPr>
        <w:t>绍兴市越城区不动产登记查询证明</w:t>
      </w:r>
      <w:r>
        <w:rPr>
          <w:rFonts w:hint="eastAsia" w:ascii="仿宋_GB2312" w:hAnsi="华文仿宋" w:eastAsia="仿宋_GB2312"/>
          <w:color w:val="auto"/>
          <w:sz w:val="24"/>
          <w:lang w:val="en-US" w:eastAsia="zh-CN"/>
        </w:rPr>
        <w:t>。</w:t>
      </w:r>
    </w:p>
    <w:p>
      <w:pPr>
        <w:pStyle w:val="4"/>
        <w:pageBreakBefore w:val="0"/>
        <w:numPr>
          <w:ilvl w:val="0"/>
          <w:numId w:val="9"/>
        </w:numPr>
        <w:kinsoku/>
        <w:wordWrap/>
        <w:topLinePunct w:val="0"/>
        <w:bidi w:val="0"/>
        <w:spacing w:line="360" w:lineRule="auto"/>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取价依据</w:t>
      </w:r>
    </w:p>
    <w:p>
      <w:pPr>
        <w:pageBreakBefore w:val="0"/>
        <w:numPr>
          <w:ilvl w:val="0"/>
          <w:numId w:val="14"/>
        </w:numPr>
        <w:kinsoku/>
        <w:wordWrap/>
        <w:topLinePunct w:val="0"/>
        <w:bidi w:val="0"/>
        <w:snapToGrid w:val="0"/>
        <w:spacing w:line="360" w:lineRule="auto"/>
        <w:rPr>
          <w:rFonts w:ascii="仿宋_GB2312" w:hAnsi="仿宋_GB2312" w:eastAsia="仿宋_GB2312" w:cs="仿宋_GB2312"/>
          <w:color w:val="auto"/>
          <w:sz w:val="24"/>
          <w:szCs w:val="28"/>
          <w:lang w:val="zh-CN"/>
        </w:rPr>
      </w:pPr>
      <w:r>
        <w:rPr>
          <w:rFonts w:hint="eastAsia" w:ascii="仿宋_GB2312" w:hAnsi="仿宋_GB2312" w:eastAsia="仿宋_GB2312" w:cs="仿宋_GB2312"/>
          <w:color w:val="auto"/>
          <w:sz w:val="24"/>
          <w:szCs w:val="28"/>
          <w:lang w:val="en-US" w:eastAsia="zh-CN"/>
        </w:rPr>
        <w:t>绍兴市房地产成交信息</w:t>
      </w:r>
      <w:r>
        <w:rPr>
          <w:rFonts w:hint="eastAsia" w:ascii="仿宋_GB2312" w:hAnsi="仿宋_GB2312" w:eastAsia="仿宋_GB2312" w:cs="仿宋_GB2312"/>
          <w:color w:val="auto"/>
          <w:sz w:val="24"/>
          <w:szCs w:val="28"/>
          <w:lang w:val="zh-CN"/>
        </w:rPr>
        <w:t>；</w:t>
      </w:r>
    </w:p>
    <w:p>
      <w:pPr>
        <w:pageBreakBefore w:val="0"/>
        <w:numPr>
          <w:ilvl w:val="0"/>
          <w:numId w:val="14"/>
        </w:numPr>
        <w:kinsoku/>
        <w:wordWrap/>
        <w:topLinePunct w:val="0"/>
        <w:bidi w:val="0"/>
        <w:snapToGrid w:val="0"/>
        <w:spacing w:line="360" w:lineRule="auto"/>
        <w:rPr>
          <w:rFonts w:ascii="仿宋_GB2312" w:hAnsi="仿宋_GB2312" w:eastAsia="仿宋_GB2312" w:cs="仿宋_GB2312"/>
          <w:color w:val="auto"/>
          <w:sz w:val="24"/>
          <w:szCs w:val="28"/>
          <w:lang w:val="zh-CN"/>
        </w:rPr>
      </w:pPr>
      <w:r>
        <w:rPr>
          <w:rFonts w:hint="eastAsia" w:ascii="仿宋_GB2312" w:hAnsi="仿宋_GB2312" w:eastAsia="仿宋_GB2312" w:cs="仿宋_GB2312"/>
          <w:color w:val="auto"/>
          <w:sz w:val="24"/>
          <w:szCs w:val="28"/>
          <w:lang w:val="zh-CN"/>
        </w:rPr>
        <w:t>评估人员现场勘察记录及收集的其他相关</w:t>
      </w:r>
      <w:r>
        <w:rPr>
          <w:rFonts w:hint="eastAsia" w:ascii="仿宋_GB2312" w:hAnsi="仿宋_GB2312" w:eastAsia="仿宋_GB2312" w:cs="仿宋_GB2312"/>
          <w:color w:val="auto"/>
          <w:sz w:val="24"/>
          <w:szCs w:val="28"/>
        </w:rPr>
        <w:t>评估</w:t>
      </w:r>
      <w:r>
        <w:rPr>
          <w:rFonts w:hint="eastAsia" w:ascii="仿宋_GB2312" w:hAnsi="仿宋_GB2312" w:eastAsia="仿宋_GB2312" w:cs="仿宋_GB2312"/>
          <w:color w:val="auto"/>
          <w:sz w:val="24"/>
          <w:szCs w:val="28"/>
          <w:lang w:val="zh-CN"/>
        </w:rPr>
        <w:t>信息资料；</w:t>
      </w:r>
    </w:p>
    <w:p>
      <w:pPr>
        <w:pageBreakBefore w:val="0"/>
        <w:numPr>
          <w:ilvl w:val="0"/>
          <w:numId w:val="14"/>
        </w:numPr>
        <w:kinsoku/>
        <w:wordWrap/>
        <w:topLinePunct w:val="0"/>
        <w:bidi w:val="0"/>
        <w:snapToGrid w:val="0"/>
        <w:spacing w:line="360" w:lineRule="auto"/>
        <w:rPr>
          <w:rFonts w:ascii="仿宋_GB2312" w:hAnsi="仿宋_GB2312" w:eastAsia="仿宋_GB2312" w:cs="仿宋_GB2312"/>
          <w:color w:val="auto"/>
          <w:sz w:val="24"/>
          <w:szCs w:val="28"/>
          <w:lang w:val="zh-CN"/>
        </w:rPr>
      </w:pPr>
      <w:r>
        <w:rPr>
          <w:rFonts w:hint="eastAsia" w:ascii="仿宋_GB2312" w:hAnsi="仿宋_GB2312" w:eastAsia="仿宋_GB2312" w:cs="仿宋_GB2312"/>
          <w:color w:val="auto"/>
          <w:sz w:val="24"/>
          <w:szCs w:val="28"/>
          <w:lang w:val="en-US" w:eastAsia="zh-CN"/>
        </w:rPr>
        <w:t>其他取价依据</w:t>
      </w:r>
      <w:r>
        <w:rPr>
          <w:rFonts w:hint="eastAsia" w:ascii="仿宋_GB2312" w:hAnsi="仿宋_GB2312" w:eastAsia="仿宋_GB2312" w:cs="仿宋_GB2312"/>
          <w:color w:val="auto"/>
          <w:sz w:val="24"/>
          <w:szCs w:val="28"/>
          <w:lang w:val="zh-CN"/>
        </w:rPr>
        <w:t>。</w:t>
      </w:r>
    </w:p>
    <w:p>
      <w:pPr>
        <w:pStyle w:val="4"/>
        <w:pageBreakBefore w:val="0"/>
        <w:numPr>
          <w:ilvl w:val="0"/>
          <w:numId w:val="9"/>
        </w:numPr>
        <w:kinsoku/>
        <w:wordWrap/>
        <w:topLinePunct w:val="0"/>
        <w:bidi w:val="0"/>
        <w:spacing w:line="360" w:lineRule="auto"/>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其他参考依据</w:t>
      </w:r>
    </w:p>
    <w:p>
      <w:pPr>
        <w:pageBreakBefore w:val="0"/>
        <w:numPr>
          <w:ilvl w:val="0"/>
          <w:numId w:val="15"/>
        </w:numPr>
        <w:kinsoku/>
        <w:wordWrap/>
        <w:topLinePunct w:val="0"/>
        <w:bidi w:val="0"/>
        <w:snapToGrid w:val="0"/>
        <w:spacing w:line="360" w:lineRule="auto"/>
        <w:rPr>
          <w:rFonts w:ascii="仿宋_GB2312" w:hAnsi="仿宋_GB2312" w:eastAsia="仿宋_GB2312" w:cs="仿宋_GB2312"/>
          <w:color w:val="auto"/>
          <w:sz w:val="24"/>
          <w:szCs w:val="28"/>
          <w:lang w:val="zh-CN"/>
        </w:rPr>
      </w:pPr>
      <w:r>
        <w:rPr>
          <w:rFonts w:hint="eastAsia" w:ascii="仿宋_GB2312" w:hAnsi="仿宋_GB2312" w:eastAsia="仿宋_GB2312" w:cs="仿宋_GB2312"/>
          <w:color w:val="auto"/>
          <w:sz w:val="24"/>
          <w:szCs w:val="28"/>
          <w:lang w:val="zh-CN"/>
        </w:rPr>
        <w:t>委托方提供的资产清单和评估申报表；</w:t>
      </w:r>
    </w:p>
    <w:p>
      <w:pPr>
        <w:pageBreakBefore w:val="0"/>
        <w:numPr>
          <w:ilvl w:val="0"/>
          <w:numId w:val="15"/>
        </w:numPr>
        <w:kinsoku/>
        <w:wordWrap/>
        <w:topLinePunct w:val="0"/>
        <w:bidi w:val="0"/>
        <w:snapToGrid w:val="0"/>
        <w:spacing w:line="360" w:lineRule="auto"/>
        <w:rPr>
          <w:rFonts w:ascii="仿宋_GB2312" w:hAnsi="仿宋_GB2312" w:eastAsia="仿宋_GB2312" w:cs="仿宋_GB2312"/>
          <w:color w:val="auto"/>
          <w:sz w:val="24"/>
          <w:szCs w:val="28"/>
          <w:lang w:val="zh-CN"/>
        </w:rPr>
      </w:pPr>
      <w:r>
        <w:rPr>
          <w:rFonts w:hint="eastAsia" w:ascii="仿宋_GB2312" w:hAnsi="仿宋_GB2312" w:eastAsia="仿宋_GB2312" w:cs="仿宋_GB2312"/>
          <w:color w:val="auto"/>
          <w:sz w:val="24"/>
          <w:szCs w:val="28"/>
        </w:rPr>
        <w:t>绍兴天阳房地产资产评估有限公司</w:t>
      </w:r>
      <w:r>
        <w:rPr>
          <w:rFonts w:hint="eastAsia" w:ascii="仿宋_GB2312" w:hAnsi="仿宋_GB2312" w:eastAsia="仿宋_GB2312" w:cs="仿宋_GB2312"/>
          <w:color w:val="auto"/>
          <w:sz w:val="24"/>
          <w:szCs w:val="28"/>
          <w:lang w:val="zh-CN"/>
        </w:rPr>
        <w:t>信息库。</w:t>
      </w:r>
    </w:p>
    <w:p>
      <w:pPr>
        <w:pStyle w:val="3"/>
        <w:pageBreakBefore w:val="0"/>
        <w:kinsoku/>
        <w:wordWrap/>
        <w:topLinePunct w:val="0"/>
        <w:bidi w:val="0"/>
        <w:spacing w:line="360" w:lineRule="auto"/>
        <w:rPr>
          <w:rFonts w:ascii="仿宋_GB2312" w:hAnsi="仿宋_GB2312" w:eastAsia="仿宋_GB2312" w:cs="仿宋_GB2312"/>
          <w:color w:val="auto"/>
          <w:spacing w:val="0"/>
        </w:rPr>
      </w:pPr>
      <w:bookmarkStart w:id="54" w:name="_Toc474678030"/>
      <w:bookmarkStart w:id="55" w:name="_Toc474679485"/>
      <w:bookmarkStart w:id="56" w:name="_Toc30941"/>
      <w:bookmarkStart w:id="57" w:name="_Toc474676045"/>
      <w:bookmarkStart w:id="58" w:name="_Toc474676086"/>
      <w:r>
        <w:rPr>
          <w:rFonts w:hint="eastAsia" w:ascii="仿宋_GB2312" w:hAnsi="仿宋_GB2312" w:eastAsia="仿宋_GB2312" w:cs="仿宋_GB2312"/>
          <w:color w:val="auto"/>
          <w:spacing w:val="0"/>
        </w:rPr>
        <w:t>评估方法</w:t>
      </w:r>
      <w:bookmarkEnd w:id="54"/>
      <w:bookmarkEnd w:id="55"/>
      <w:bookmarkEnd w:id="56"/>
      <w:bookmarkEnd w:id="57"/>
      <w:bookmarkEnd w:id="58"/>
    </w:p>
    <w:p>
      <w:pPr>
        <w:pageBreakBefore w:val="0"/>
        <w:kinsoku/>
        <w:wordWrap/>
        <w:topLinePunct w:val="0"/>
        <w:bidi w:val="0"/>
        <w:spacing w:line="360" w:lineRule="auto"/>
        <w:ind w:firstLine="425"/>
        <w:rPr>
          <w:rFonts w:hint="default" w:ascii="仿宋_GB2312" w:hAnsi="仿宋_GB2312" w:eastAsia="仿宋_GB2312" w:cs="仿宋_GB2312"/>
          <w:color w:val="auto"/>
          <w:sz w:val="24"/>
          <w:lang w:val="en-US" w:eastAsia="zh-CN"/>
        </w:rPr>
      </w:pPr>
      <w:bookmarkStart w:id="59" w:name="_Toc474676046"/>
      <w:bookmarkStart w:id="60" w:name="_Toc474678031"/>
      <w:bookmarkStart w:id="61" w:name="_Toc474679486"/>
      <w:bookmarkStart w:id="62" w:name="_Toc474676087"/>
      <w:r>
        <w:rPr>
          <w:rFonts w:hint="eastAsia" w:ascii="仿宋_GB2312" w:hAnsi="仿宋_GB2312" w:eastAsia="仿宋_GB2312" w:cs="仿宋_GB2312"/>
          <w:color w:val="auto"/>
          <w:sz w:val="24"/>
        </w:rPr>
        <w:t>(一)</w:t>
      </w:r>
      <w:r>
        <w:rPr>
          <w:rFonts w:hint="eastAsia" w:ascii="仿宋_GB2312" w:hAnsi="仿宋_GB2312" w:eastAsia="仿宋_GB2312" w:cs="仿宋_GB2312"/>
          <w:color w:val="auto"/>
          <w:sz w:val="24"/>
          <w:lang w:val="en-US" w:eastAsia="zh-CN"/>
        </w:rPr>
        <w:t>评估方法介绍</w:t>
      </w:r>
    </w:p>
    <w:p>
      <w:pPr>
        <w:keepNext w:val="0"/>
        <w:keepLines w:val="0"/>
        <w:pageBreakBefore w:val="0"/>
        <w:widowControl w:val="0"/>
        <w:kinsoku/>
        <w:wordWrap/>
        <w:overflowPunct/>
        <w:topLinePunct w:val="0"/>
        <w:autoSpaceDE/>
        <w:autoSpaceDN/>
        <w:bidi w:val="0"/>
        <w:adjustRightInd/>
        <w:snapToGrid/>
        <w:spacing w:line="360" w:lineRule="auto"/>
        <w:ind w:firstLine="425"/>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根据财政部《资产评估基本准则》财资〔2017〕43 号有关规定，确定资产价值的评估方法包括</w:t>
      </w:r>
      <w:r>
        <w:rPr>
          <w:rFonts w:hint="eastAsia" w:ascii="仿宋_GB2312" w:hAnsi="仿宋_GB2312" w:eastAsia="仿宋_GB2312" w:cs="仿宋_GB2312"/>
          <w:color w:val="auto"/>
          <w:sz w:val="24"/>
          <w:lang w:eastAsia="zh-CN"/>
        </w:rPr>
        <w:t>市场法</w:t>
      </w:r>
      <w:r>
        <w:rPr>
          <w:rFonts w:hint="eastAsia" w:ascii="仿宋_GB2312" w:hAnsi="仿宋_GB2312" w:eastAsia="仿宋_GB2312" w:cs="仿宋_GB2312"/>
          <w:color w:val="auto"/>
          <w:sz w:val="24"/>
        </w:rPr>
        <w:t>、收益法和成本法三种基本方法及其衍生方法。</w:t>
      </w:r>
    </w:p>
    <w:p>
      <w:pPr>
        <w:keepNext w:val="0"/>
        <w:keepLines w:val="0"/>
        <w:pageBreakBefore w:val="0"/>
        <w:widowControl w:val="0"/>
        <w:kinsoku/>
        <w:wordWrap/>
        <w:overflowPunct/>
        <w:topLinePunct w:val="0"/>
        <w:autoSpaceDE/>
        <w:autoSpaceDN/>
        <w:bidi w:val="0"/>
        <w:adjustRightInd/>
        <w:snapToGrid/>
        <w:spacing w:line="360" w:lineRule="auto"/>
        <w:ind w:firstLine="425"/>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资产评估专业人员应当根据评估目的、评估对象、价值类型、资料收集等情况，分析上述三种基本方法的适用性，依法选择评估方法。</w:t>
      </w:r>
    </w:p>
    <w:p>
      <w:pPr>
        <w:keepNext w:val="0"/>
        <w:keepLines w:val="0"/>
        <w:pageBreakBefore w:val="0"/>
        <w:widowControl w:val="0"/>
        <w:kinsoku/>
        <w:wordWrap/>
        <w:overflowPunct/>
        <w:topLinePunct w:val="0"/>
        <w:autoSpaceDE/>
        <w:autoSpaceDN/>
        <w:bidi w:val="0"/>
        <w:adjustRightInd/>
        <w:snapToGrid/>
        <w:spacing w:line="360" w:lineRule="auto"/>
        <w:ind w:firstLine="425"/>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根据中国资产评估协会《资产评估执业准则——不动产》中评协〔2017〕38 号，结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合《房地产估价规范》（GB/T50291-2015）中第 4 章第 4.2 条规定：</w:t>
      </w:r>
      <w:r>
        <w:rPr>
          <w:rFonts w:hint="eastAsia" w:ascii="仿宋_GB2312" w:hAnsi="仿宋_GB2312" w:eastAsia="仿宋_GB2312" w:cs="仿宋_GB2312"/>
          <w:color w:val="auto"/>
          <w:sz w:val="24"/>
          <w:lang w:eastAsia="zh-CN"/>
        </w:rPr>
        <w:t>市场法</w:t>
      </w:r>
      <w:r>
        <w:rPr>
          <w:rFonts w:hint="eastAsia" w:ascii="仿宋_GB2312" w:hAnsi="仿宋_GB2312" w:eastAsia="仿宋_GB2312" w:cs="仿宋_GB2312"/>
          <w:color w:val="auto"/>
          <w:sz w:val="24"/>
        </w:rPr>
        <w:t>是选择市场上与委估房地产相类似、同区域的近期销售的房地产作为参照物，从时间因素、交易因素、区域因素和个别因素等方面将委估房地产与可比参照物之间的差异进行比较，通过对可比参照物进行综合分析、调整交易价格，确定委估房地产评估值。</w:t>
      </w:r>
    </w:p>
    <w:p>
      <w:pPr>
        <w:keepNext w:val="0"/>
        <w:keepLines w:val="0"/>
        <w:pageBreakBefore w:val="0"/>
        <w:widowControl w:val="0"/>
        <w:kinsoku/>
        <w:wordWrap/>
        <w:overflowPunct/>
        <w:topLinePunct w:val="0"/>
        <w:autoSpaceDE/>
        <w:autoSpaceDN/>
        <w:bidi w:val="0"/>
        <w:adjustRightInd/>
        <w:snapToGrid/>
        <w:spacing w:line="360" w:lineRule="auto"/>
        <w:ind w:firstLine="425"/>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根据中国资产评估协会《资产评估执业准则——不动产》中评协〔2017〕38 号，结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合《房地产估价规范》（GB/T50291-2015）中第 4 章第 4.3 条规定：收益法是指通过估测被评估资产未来预期收益的现值，来判断资产价值的各种评估方法的总称。</w:t>
      </w:r>
    </w:p>
    <w:p>
      <w:pPr>
        <w:keepNext w:val="0"/>
        <w:keepLines w:val="0"/>
        <w:pageBreakBefore w:val="0"/>
        <w:widowControl w:val="0"/>
        <w:kinsoku/>
        <w:wordWrap/>
        <w:overflowPunct/>
        <w:topLinePunct w:val="0"/>
        <w:autoSpaceDE/>
        <w:autoSpaceDN/>
        <w:bidi w:val="0"/>
        <w:adjustRightInd/>
        <w:snapToGrid/>
        <w:spacing w:line="360" w:lineRule="auto"/>
        <w:ind w:firstLine="425"/>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根据中国资产评估协会《资产评估执业准则——不动产》中评协〔2017〕38 号，结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合《房地产估价规范》（GB/T50291-2015）中第 4 章第 4.4 条规定：成本法是指在评估资产时首先估测被评估资产的重置成本，然后估测被评估资产业已存在的各种贬值因素，并将其从重置成本中予以扣除而得到被评估资产价值的各种评估方法的总称。</w:t>
      </w:r>
    </w:p>
    <w:p>
      <w:pPr>
        <w:keepNext w:val="0"/>
        <w:keepLines w:val="0"/>
        <w:pageBreakBefore w:val="0"/>
        <w:widowControl w:val="0"/>
        <w:kinsoku/>
        <w:wordWrap/>
        <w:overflowPunct/>
        <w:topLinePunct w:val="0"/>
        <w:autoSpaceDE/>
        <w:autoSpaceDN/>
        <w:bidi w:val="0"/>
        <w:adjustRightInd/>
        <w:snapToGrid/>
        <w:spacing w:line="360" w:lineRule="auto"/>
        <w:ind w:firstLine="425"/>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(二)评估方法的选择</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本次评估目的为</w:t>
      </w:r>
      <w:r>
        <w:rPr>
          <w:rFonts w:hint="eastAsia" w:ascii="仿宋_GB2312" w:hAnsi="仿宋_GB2312" w:eastAsia="仿宋_GB2312" w:cs="仿宋_GB2312"/>
          <w:color w:val="auto"/>
          <w:sz w:val="24"/>
          <w:lang w:eastAsia="zh-CN"/>
        </w:rPr>
        <w:t>福清市人民法院司法处置谢鸿名下</w:t>
      </w:r>
      <w:r>
        <w:rPr>
          <w:rFonts w:hint="eastAsia" w:ascii="仿宋_GB2312" w:hAnsi="仿宋_GB2312" w:eastAsia="仿宋_GB2312" w:cs="仿宋_GB2312"/>
          <w:color w:val="auto"/>
          <w:sz w:val="24"/>
        </w:rPr>
        <w:t>房地产，并为该经济行为提供价值参考。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委估房地产系</w:t>
      </w:r>
      <w:r>
        <w:rPr>
          <w:rFonts w:hint="eastAsia" w:ascii="仿宋_GB2312" w:hAnsi="仿宋_GB2312" w:eastAsia="仿宋_GB2312" w:cs="仿宋_GB2312"/>
          <w:color w:val="auto"/>
          <w:sz w:val="24"/>
          <w:lang w:eastAsia="zh-CN"/>
        </w:rPr>
        <w:t>住宅</w:t>
      </w:r>
      <w:r>
        <w:rPr>
          <w:rFonts w:hint="eastAsia" w:ascii="仿宋_GB2312" w:hAnsi="仿宋_GB2312" w:eastAsia="仿宋_GB2312" w:cs="仿宋_GB2312"/>
          <w:color w:val="auto"/>
          <w:sz w:val="24"/>
        </w:rPr>
        <w:t>房地产，成本法虽能够直接测算评估对象的房地产价值，却不能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反映评估对象商业价值，故不适宜采用成本法进行评估。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委估房地</w:t>
      </w:r>
      <w:r>
        <w:rPr>
          <w:rFonts w:hint="eastAsia" w:ascii="仿宋_GB2312" w:hAnsi="仿宋_GB2312" w:eastAsia="仿宋_GB2312" w:cs="仿宋_GB2312"/>
          <w:color w:val="auto"/>
          <w:sz w:val="24"/>
          <w:lang w:val="en-US" w:eastAsia="zh-CN"/>
        </w:rPr>
        <w:t>产可以对外出租，可以取得类似房地产的出租收益</w:t>
      </w:r>
      <w:r>
        <w:rPr>
          <w:rFonts w:hint="eastAsia" w:ascii="仿宋_GB2312" w:hAnsi="仿宋_GB2312" w:eastAsia="仿宋_GB2312" w:cs="仿宋_GB2312"/>
          <w:color w:val="auto"/>
          <w:sz w:val="24"/>
        </w:rPr>
        <w:t>，故本次评估选取收益法</w:t>
      </w:r>
      <w:r>
        <w:rPr>
          <w:rFonts w:hint="eastAsia" w:ascii="仿宋_GB2312" w:hAnsi="仿宋_GB2312" w:eastAsia="仿宋_GB2312" w:cs="仿宋_GB2312"/>
          <w:color w:val="auto"/>
          <w:sz w:val="24"/>
          <w:lang w:val="en-US" w:eastAsia="zh-CN"/>
        </w:rPr>
        <w:t>评估</w:t>
      </w:r>
      <w:r>
        <w:rPr>
          <w:rFonts w:hint="eastAsia" w:ascii="仿宋_GB2312" w:hAnsi="仿宋_GB2312" w:eastAsia="仿宋_GB2312" w:cs="仿宋_GB2312"/>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而本区域房地产买卖市场交易比较活跃，周边有类似可比房地产出售交易活动，</w:t>
      </w:r>
      <w:r>
        <w:rPr>
          <w:rFonts w:hint="eastAsia" w:ascii="仿宋_GB2312" w:hAnsi="仿宋_GB2312" w:eastAsia="仿宋_GB2312" w:cs="仿宋_GB2312"/>
          <w:color w:val="auto"/>
          <w:sz w:val="24"/>
          <w:lang w:val="en-US" w:eastAsia="zh-CN"/>
        </w:rPr>
        <w:t>故本次评估选用</w:t>
      </w:r>
      <w:r>
        <w:rPr>
          <w:rFonts w:hint="eastAsia" w:ascii="仿宋_GB2312" w:hAnsi="仿宋_GB2312" w:eastAsia="仿宋_GB2312" w:cs="仿宋_GB2312"/>
          <w:color w:val="auto"/>
          <w:sz w:val="24"/>
          <w:lang w:eastAsia="zh-CN"/>
        </w:rPr>
        <w:t>市场法</w:t>
      </w:r>
      <w:r>
        <w:rPr>
          <w:rFonts w:hint="eastAsia" w:ascii="仿宋_GB2312" w:hAnsi="仿宋_GB2312" w:eastAsia="仿宋_GB2312" w:cs="仿宋_GB2312"/>
          <w:color w:val="auto"/>
          <w:sz w:val="24"/>
        </w:rPr>
        <w:t>评估。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仿宋_GB2312" w:hAnsi="仿宋_GB2312" w:eastAsia="仿宋_GB2312" w:cs="仿宋_GB2312"/>
          <w:color w:val="auto"/>
          <w:sz w:val="24"/>
          <w:lang w:val="en-US" w:eastAsia="zh-CN"/>
        </w:rPr>
      </w:pPr>
      <w:bookmarkStart w:id="63" w:name="OLE_LINK12"/>
      <w:r>
        <w:rPr>
          <w:rFonts w:hint="eastAsia" w:ascii="仿宋_GB2312" w:hAnsi="仿宋_GB2312" w:eastAsia="仿宋_GB2312" w:cs="仿宋_GB2312"/>
          <w:color w:val="auto"/>
          <w:sz w:val="24"/>
          <w:lang w:val="en-US" w:eastAsia="zh-CN"/>
        </w:rPr>
        <w:t>（三）收益法介绍</w:t>
      </w:r>
    </w:p>
    <w:bookmarkEnd w:id="63"/>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收益法是基于预期原则和货币的时间价值观念,运用适当的折现率,将预期的委估的房地产在未来各年的正常净收益折算成估价期的现值,累加后得出委估房地产价值的评估方法。</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收益法的基本公式: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2"/>
          <w:position w:val="-28"/>
          <w:sz w:val="24"/>
          <w:szCs w:val="24"/>
          <w:lang w:bidi="ar"/>
        </w:rPr>
        <w:object>
          <v:shape id="_x0000_i1025" o:spt="75" type="#_x0000_t75" style="height:34.25pt;width:72.2pt;" o:ole="t" filled="f" o:preferrelative="t" stroked="f" coordsize="21600,21600">
            <v:path/>
            <v:fill on="f" focussize="0,0"/>
            <v:stroke on="f"/>
            <v:imagedata r:id="rId10" o:title=""/>
            <o:lock v:ext="edit" aspectratio="t"/>
            <w10:wrap type="none"/>
            <w10:anchorlock/>
          </v:shape>
          <o:OLEObject Type="Embed" ProgID="Equation.3" ShapeID="_x0000_i1025" DrawAspect="Content" ObjectID="_1468075725" r:id="rId9">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P</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en-US" w:eastAsia="zh-CN"/>
        </w:rPr>
        <w:t>房地产价格</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Ri:第i年的纯收益</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r:折现率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n:收益期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1.确定房地产年有效毛收益。根据周边区域市场调查情况，按照市场租金水平作为计算年有效毛收益的基础,并按照评估对象所在地区同类房产的平均出租率确定评估对象的出租率。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确定房地产年总费用。委估房地产在正常出租年份的年总费用包括:该房地产的管理费、保险费、维修费及经营税金等(包括:增值税、城市维护建设税及教育费附加、房产税、土地使用税等);上述成本的计算是按照国家及当地政府的规定或参照行业惯例进行的,其中涉及的委估房地产的重置成本是参考当地相似房屋建筑物造价指标取定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3.确定房地产的年纯收益。房地产的年纯收益是其房地产年有效毛收益减房地产年总费用的余额。</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4.确定折现率。采用安全利率加风险调整值法。</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5.确定房地产价值。</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val="en-US" w:eastAsia="zh-CN"/>
        </w:rPr>
        <w:t>（四）市场法介绍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市场法</w:t>
      </w:r>
      <w:r>
        <w:rPr>
          <w:rFonts w:hint="eastAsia" w:ascii="仿宋_GB2312" w:hAnsi="仿宋_GB2312" w:eastAsia="仿宋_GB2312" w:cs="仿宋_GB2312"/>
          <w:color w:val="auto"/>
          <w:sz w:val="24"/>
        </w:rPr>
        <w:t>是选择市场上与委估房地产相类似、同区域的近期销售或挂牌的房地产作为参照物，从时间因素、交易因素、区域因素和个别因素等方面将委估房地产与可比参照物之间的差异进行比较，通过对可比参照物进行综合分析、调整交易价格，确定委估房地产含税评估值。</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计算公式如下：</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评估值=建筑面积×委估房地产单价</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委估房地产单价=参照物交易价格×正常交易情况/参照物交易情况</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×委估房地产区域因素值/参照物房地产区域因素值</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×委估房地产个别因素值/参照物房地产个别因素值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175"/>
        <w:jc w:val="left"/>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×委估房地产评估基准日价格指数/参照物房地产交易日价格指数</w:t>
      </w:r>
    </w:p>
    <w:p>
      <w:pPr>
        <w:pStyle w:val="3"/>
        <w:pageBreakBefore w:val="0"/>
        <w:kinsoku/>
        <w:wordWrap/>
        <w:topLinePunct w:val="0"/>
        <w:bidi w:val="0"/>
        <w:spacing w:line="360" w:lineRule="auto"/>
        <w:rPr>
          <w:rFonts w:ascii="仿宋_GB2312" w:hAnsi="仿宋_GB2312" w:eastAsia="仿宋_GB2312" w:cs="仿宋_GB2312"/>
          <w:color w:val="auto"/>
          <w:spacing w:val="0"/>
        </w:rPr>
      </w:pPr>
      <w:bookmarkStart w:id="64" w:name="_Toc8547"/>
      <w:r>
        <w:rPr>
          <w:rFonts w:hint="eastAsia" w:ascii="仿宋_GB2312" w:hAnsi="仿宋_GB2312" w:eastAsia="仿宋_GB2312" w:cs="仿宋_GB2312"/>
          <w:color w:val="auto"/>
          <w:spacing w:val="0"/>
        </w:rPr>
        <w:t>评估程序实施过程和情况</w:t>
      </w:r>
      <w:bookmarkEnd w:id="64"/>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本公司选派资产评估人员，组成评估项目小组，历经评估前期准备工作、正式进驻</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企业，开始评估工作、完成现场工作、出具评估报告书，具体过程如下：</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（一）明确评估业务基本事项</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承接评估业务时，通过与委托人沟通、查阅资料或初步调查等方式，明确委托人、</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产权持有单位、其他资产评估报告使用人等相关当事方、评估目的、评估对象和评估范</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围、价值类型、评估基准日、评估假设和限制条件等评估业务基本事项。</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（二）</w:t>
      </w:r>
      <w:r>
        <w:rPr>
          <w:rFonts w:hint="eastAsia" w:ascii="仿宋_GB2312" w:hAnsi="仿宋_GB2312" w:eastAsia="仿宋_GB2312" w:cs="仿宋_GB2312"/>
          <w:color w:val="auto"/>
          <w:sz w:val="24"/>
          <w:szCs w:val="24"/>
          <w:lang w:val="en-US" w:eastAsia="zh-CN"/>
        </w:rPr>
        <w:t>接受委托</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收到法院的评估委托书后，</w:t>
      </w:r>
      <w:r>
        <w:rPr>
          <w:rFonts w:hint="eastAsia" w:ascii="仿宋_GB2312" w:hAnsi="仿宋_GB2312" w:eastAsia="仿宋_GB2312" w:cs="仿宋_GB2312"/>
          <w:color w:val="auto"/>
          <w:sz w:val="24"/>
          <w:szCs w:val="24"/>
        </w:rPr>
        <w:t>根据评估业务具体情况，综合分析专业胜任能力和独立性，评价项目风险，确定承接评估业务后，</w:t>
      </w:r>
      <w:r>
        <w:rPr>
          <w:rFonts w:hint="eastAsia" w:ascii="仿宋_GB2312" w:hAnsi="仿宋_GB2312" w:eastAsia="仿宋_GB2312" w:cs="仿宋_GB2312"/>
          <w:color w:val="auto"/>
          <w:sz w:val="24"/>
          <w:szCs w:val="24"/>
          <w:lang w:val="en-US" w:eastAsia="zh-CN"/>
        </w:rPr>
        <w:t>接受法院委托</w:t>
      </w:r>
      <w:r>
        <w:rPr>
          <w:rFonts w:hint="eastAsia" w:ascii="仿宋_GB2312" w:hAnsi="仿宋_GB2312" w:eastAsia="仿宋_GB2312" w:cs="仿宋_GB2312"/>
          <w:color w:val="auto"/>
          <w:sz w:val="24"/>
          <w:szCs w:val="24"/>
        </w:rPr>
        <w:t>。</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（三）编制资产评估计划</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根据本评估项目的特点、规模和复杂程度，编制合理的资产评估计划，并根据执行</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资产评估业务过程中的具体情况及时修改、补充资产评估计划。</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（四）现场调查</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在企业申报并全面自查的基础上，评估人员对纳入评估范围内的资产进行了核实。</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核实资产包括房屋建筑物类资产，核实内容主要为核实资产产权、数量、使用状态及其他影响评估作价的重要因素，主要步骤如下：</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1、收集准备资产的产权证明文件和反映性能、状态、经济技术指标等情况的文件资料等。</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2、资产评估师和评估专业人员通过询问、核对、勘查、检查等方式进行现场调查，</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获取评估业务需要的基础资料，了解评估对象现状，关注评估对象法律权属。</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3、根据客观环境和资产的重要程度采用资料核实，相关人员访谈或抽样等方式进</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行调查。</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（五）确定评估方法并收集资产评估资料</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通过对评估对象和评估范围内资产的调查了解，确定适当的评估方法，同时收集与</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资产评估有关的市场资料及信息，根据评估项目的进展情况及时补充收集所需要的评估</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资料。</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175"/>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六）</w:t>
      </w:r>
      <w:r>
        <w:rPr>
          <w:rFonts w:hint="eastAsia" w:ascii="仿宋_GB2312" w:hAnsi="仿宋_GB2312" w:eastAsia="仿宋_GB2312" w:cs="仿宋_GB2312"/>
          <w:color w:val="auto"/>
          <w:sz w:val="24"/>
          <w:szCs w:val="24"/>
        </w:rPr>
        <w:t>评定估算及内部复核</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175"/>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整理</w:t>
      </w:r>
      <w:r>
        <w:rPr>
          <w:rFonts w:hint="eastAsia" w:ascii="仿宋_GB2312" w:hAnsi="仿宋_GB2312" w:eastAsia="仿宋_GB2312" w:cs="仿宋_GB2312"/>
          <w:color w:val="auto"/>
          <w:sz w:val="24"/>
          <w:szCs w:val="24"/>
          <w:lang w:eastAsia="zh-CN"/>
        </w:rPr>
        <w:t>委托方</w:t>
      </w:r>
      <w:r>
        <w:rPr>
          <w:rFonts w:hint="eastAsia" w:ascii="仿宋_GB2312" w:hAnsi="仿宋_GB2312" w:eastAsia="仿宋_GB2312" w:cs="仿宋_GB2312"/>
          <w:color w:val="auto"/>
          <w:sz w:val="24"/>
          <w:szCs w:val="24"/>
        </w:rPr>
        <w:t>提供的资料、收集到的市场资料及信息，针对各类资产的具体情</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况，根据评估基本原理和规范要求恰当运用评估方法进行评估形成初步评估结论，对信</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息资料、参数数量、质量和选取的合理性等进行综合分析形成资产评估结论，按评估准</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则的要求撰写资产评估报告，资产评估机构进行必要的内部复核工作。</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175"/>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（七）出具资产评估报告</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175"/>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与委托人及资产评估相关当事人进行必要的沟通，听取各方对资产评估结论的反馈</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意见并引导委托人及其他资产评估报告使用人合理理解资产评估结论，出具资产评估报</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告并以恰当的方式提交给委托人。</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175"/>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（八）整理归集评估档案</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175"/>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出具评估报告后，按照资产评估基本准则和资产评估执业准则规范整理归集评估档</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案</w:t>
      </w:r>
      <w:r>
        <w:rPr>
          <w:rFonts w:hint="eastAsia" w:ascii="仿宋_GB2312" w:hAnsi="仿宋_GB2312" w:eastAsia="仿宋_GB2312" w:cs="仿宋_GB2312"/>
          <w:color w:val="auto"/>
          <w:sz w:val="24"/>
          <w:szCs w:val="24"/>
          <w:lang w:eastAsia="zh-CN"/>
        </w:rPr>
        <w:t>。</w:t>
      </w:r>
    </w:p>
    <w:bookmarkEnd w:id="59"/>
    <w:bookmarkEnd w:id="60"/>
    <w:bookmarkEnd w:id="61"/>
    <w:bookmarkEnd w:id="62"/>
    <w:p>
      <w:pPr>
        <w:pStyle w:val="3"/>
        <w:pageBreakBefore w:val="0"/>
        <w:kinsoku/>
        <w:wordWrap/>
        <w:topLinePunct w:val="0"/>
        <w:bidi w:val="0"/>
        <w:spacing w:line="360" w:lineRule="auto"/>
        <w:rPr>
          <w:rFonts w:ascii="仿宋_GB2312" w:hAnsi="仿宋_GB2312" w:eastAsia="仿宋_GB2312" w:cs="仿宋_GB2312"/>
          <w:color w:val="auto"/>
          <w:spacing w:val="0"/>
        </w:rPr>
      </w:pPr>
      <w:bookmarkStart w:id="65" w:name="_Toc22342"/>
      <w:r>
        <w:rPr>
          <w:rFonts w:hint="eastAsia" w:ascii="仿宋_GB2312" w:hAnsi="仿宋_GB2312" w:eastAsia="仿宋_GB2312" w:cs="仿宋_GB2312"/>
          <w:color w:val="auto"/>
          <w:spacing w:val="0"/>
        </w:rPr>
        <w:t>评估假设</w:t>
      </w:r>
      <w:bookmarkEnd w:id="65"/>
    </w:p>
    <w:p>
      <w:pPr>
        <w:pageBreakBefore w:val="0"/>
        <w:kinsoku/>
        <w:wordWrap/>
        <w:topLinePunct w:val="0"/>
        <w:bidi w:val="0"/>
        <w:spacing w:line="360" w:lineRule="auto"/>
        <w:ind w:firstLine="480" w:firstLineChars="200"/>
        <w:rPr>
          <w:rFonts w:hint="eastAsia" w:ascii="仿宋_GB2312" w:hAnsi="华文仿宋" w:eastAsia="仿宋_GB2312"/>
          <w:color w:val="auto"/>
          <w:sz w:val="24"/>
        </w:rPr>
      </w:pPr>
      <w:bookmarkStart w:id="66" w:name="index_11"/>
      <w:bookmarkEnd w:id="66"/>
      <w:bookmarkStart w:id="67" w:name="_Toc474676047"/>
      <w:bookmarkStart w:id="68" w:name="_Toc474676088"/>
      <w:bookmarkStart w:id="69" w:name="_Toc474679487"/>
      <w:bookmarkStart w:id="70" w:name="_Toc20523"/>
      <w:bookmarkStart w:id="71" w:name="_Toc474678032"/>
      <w:r>
        <w:rPr>
          <w:rFonts w:hint="eastAsia" w:ascii="仿宋_GB2312" w:hAnsi="华文仿宋" w:eastAsia="仿宋_GB2312"/>
          <w:color w:val="auto"/>
          <w:sz w:val="24"/>
        </w:rPr>
        <w:t>（一）基础性假设</w:t>
      </w:r>
    </w:p>
    <w:p>
      <w:pPr>
        <w:pageBreakBefore w:val="0"/>
        <w:kinsoku/>
        <w:wordWrap/>
        <w:topLinePunct w:val="0"/>
        <w:bidi w:val="0"/>
        <w:spacing w:line="360" w:lineRule="auto"/>
        <w:ind w:firstLine="480" w:firstLineChars="200"/>
        <w:rPr>
          <w:rFonts w:hint="eastAsia" w:ascii="仿宋_GB2312" w:hAnsi="华文仿宋" w:eastAsia="仿宋_GB2312"/>
          <w:color w:val="auto"/>
          <w:sz w:val="24"/>
        </w:rPr>
      </w:pPr>
      <w:r>
        <w:rPr>
          <w:rFonts w:hint="eastAsia" w:ascii="仿宋_GB2312" w:hAnsi="华文仿宋" w:eastAsia="仿宋_GB2312"/>
          <w:color w:val="auto"/>
          <w:sz w:val="24"/>
        </w:rPr>
        <w:t>1、交易假设：假设评估对象处于交易过程中，评估师根据评估对象的交易条件等</w:t>
      </w:r>
    </w:p>
    <w:p>
      <w:pPr>
        <w:pageBreakBefore w:val="0"/>
        <w:kinsoku/>
        <w:wordWrap/>
        <w:topLinePunct w:val="0"/>
        <w:bidi w:val="0"/>
        <w:spacing w:line="360" w:lineRule="auto"/>
        <w:rPr>
          <w:rFonts w:hint="eastAsia" w:ascii="仿宋_GB2312" w:hAnsi="华文仿宋" w:eastAsia="仿宋_GB2312"/>
          <w:color w:val="auto"/>
          <w:sz w:val="24"/>
        </w:rPr>
      </w:pPr>
      <w:r>
        <w:rPr>
          <w:rFonts w:hint="eastAsia" w:ascii="仿宋_GB2312" w:hAnsi="华文仿宋" w:eastAsia="仿宋_GB2312"/>
          <w:color w:val="auto"/>
          <w:sz w:val="24"/>
        </w:rPr>
        <w:t>模拟市场进行估价，评估结果是对评估对象最可能达成交易价格的估计。</w:t>
      </w:r>
    </w:p>
    <w:p>
      <w:pPr>
        <w:pageBreakBefore w:val="0"/>
        <w:kinsoku/>
        <w:wordWrap/>
        <w:topLinePunct w:val="0"/>
        <w:bidi w:val="0"/>
        <w:spacing w:line="360" w:lineRule="auto"/>
        <w:ind w:firstLine="480" w:firstLineChars="200"/>
        <w:rPr>
          <w:rFonts w:hint="eastAsia" w:ascii="仿宋_GB2312" w:hAnsi="华文仿宋" w:eastAsia="仿宋_GB2312"/>
          <w:color w:val="auto"/>
          <w:sz w:val="24"/>
        </w:rPr>
      </w:pPr>
      <w:r>
        <w:rPr>
          <w:rFonts w:hint="eastAsia" w:ascii="仿宋_GB2312" w:hAnsi="华文仿宋" w:eastAsia="仿宋_GB2312"/>
          <w:color w:val="auto"/>
          <w:sz w:val="24"/>
        </w:rPr>
        <w:t>2、公开市场假设：假设评估对象及其所涉及资产是在公开市场上进行交易的，在</w:t>
      </w:r>
    </w:p>
    <w:p>
      <w:pPr>
        <w:pageBreakBefore w:val="0"/>
        <w:kinsoku/>
        <w:wordWrap/>
        <w:topLinePunct w:val="0"/>
        <w:bidi w:val="0"/>
        <w:spacing w:line="360" w:lineRule="auto"/>
        <w:rPr>
          <w:rFonts w:hint="eastAsia" w:ascii="仿宋_GB2312" w:hAnsi="华文仿宋" w:eastAsia="仿宋_GB2312"/>
          <w:color w:val="auto"/>
          <w:sz w:val="24"/>
        </w:rPr>
      </w:pPr>
      <w:r>
        <w:rPr>
          <w:rFonts w:hint="eastAsia" w:ascii="仿宋_GB2312" w:hAnsi="华文仿宋" w:eastAsia="仿宋_GB2312"/>
          <w:color w:val="auto"/>
          <w:sz w:val="24"/>
        </w:rPr>
        <w:t>该市场上，买者与卖者的地位平等，彼此都有获取足够市场信息的机会和时间，买卖双</w:t>
      </w:r>
    </w:p>
    <w:p>
      <w:pPr>
        <w:pageBreakBefore w:val="0"/>
        <w:kinsoku/>
        <w:wordWrap/>
        <w:topLinePunct w:val="0"/>
        <w:bidi w:val="0"/>
        <w:spacing w:line="360" w:lineRule="auto"/>
        <w:rPr>
          <w:rFonts w:hint="eastAsia" w:ascii="仿宋_GB2312" w:hAnsi="华文仿宋" w:eastAsia="仿宋_GB2312"/>
          <w:color w:val="auto"/>
          <w:sz w:val="24"/>
        </w:rPr>
      </w:pPr>
      <w:r>
        <w:rPr>
          <w:rFonts w:hint="eastAsia" w:ascii="仿宋_GB2312" w:hAnsi="华文仿宋" w:eastAsia="仿宋_GB2312"/>
          <w:color w:val="auto"/>
          <w:sz w:val="24"/>
        </w:rPr>
        <w:t>方的交易行为都是在自愿的、理智的、非强制条件下进行的。</w:t>
      </w:r>
    </w:p>
    <w:p>
      <w:pPr>
        <w:pageBreakBefore w:val="0"/>
        <w:kinsoku/>
        <w:wordWrap/>
        <w:topLinePunct w:val="0"/>
        <w:bidi w:val="0"/>
        <w:spacing w:line="360" w:lineRule="auto"/>
        <w:ind w:firstLine="480" w:firstLineChars="200"/>
        <w:rPr>
          <w:rFonts w:hint="eastAsia" w:ascii="仿宋_GB2312" w:hAnsi="华文仿宋" w:eastAsia="仿宋_GB2312"/>
          <w:color w:val="auto"/>
          <w:sz w:val="24"/>
        </w:rPr>
      </w:pPr>
      <w:r>
        <w:rPr>
          <w:rFonts w:hint="eastAsia" w:ascii="仿宋_GB2312" w:hAnsi="华文仿宋" w:eastAsia="仿宋_GB2312"/>
          <w:color w:val="auto"/>
          <w:sz w:val="24"/>
        </w:rPr>
        <w:t>3、资产持续使用假设：本次评估假设委估房地产已建造完成达竣工状态，在评估</w:t>
      </w:r>
    </w:p>
    <w:p>
      <w:pPr>
        <w:pageBreakBefore w:val="0"/>
        <w:kinsoku/>
        <w:wordWrap/>
        <w:topLinePunct w:val="0"/>
        <w:bidi w:val="0"/>
        <w:spacing w:line="360" w:lineRule="auto"/>
        <w:rPr>
          <w:rFonts w:hint="eastAsia" w:ascii="仿宋_GB2312" w:hAnsi="华文仿宋" w:eastAsia="仿宋_GB2312"/>
          <w:color w:val="auto"/>
          <w:sz w:val="24"/>
        </w:rPr>
      </w:pPr>
      <w:r>
        <w:rPr>
          <w:rFonts w:hint="eastAsia" w:ascii="仿宋_GB2312" w:hAnsi="华文仿宋" w:eastAsia="仿宋_GB2312"/>
          <w:color w:val="auto"/>
          <w:sz w:val="24"/>
        </w:rPr>
        <w:t>目的经济行为实现后，评估对象及其所涉及的资产将按其评估基准日的设定用途与使用</w:t>
      </w:r>
    </w:p>
    <w:p>
      <w:pPr>
        <w:pageBreakBefore w:val="0"/>
        <w:kinsoku/>
        <w:wordWrap/>
        <w:topLinePunct w:val="0"/>
        <w:bidi w:val="0"/>
        <w:spacing w:line="360" w:lineRule="auto"/>
        <w:rPr>
          <w:rFonts w:hint="eastAsia" w:ascii="仿宋_GB2312" w:hAnsi="华文仿宋" w:eastAsia="仿宋_GB2312"/>
          <w:color w:val="auto"/>
          <w:sz w:val="24"/>
        </w:rPr>
      </w:pPr>
      <w:r>
        <w:rPr>
          <w:rFonts w:hint="eastAsia" w:ascii="仿宋_GB2312" w:hAnsi="华文仿宋" w:eastAsia="仿宋_GB2312"/>
          <w:color w:val="auto"/>
          <w:sz w:val="24"/>
        </w:rPr>
        <w:t>方式在原址持续使用。</w:t>
      </w:r>
    </w:p>
    <w:p>
      <w:pPr>
        <w:pageBreakBefore w:val="0"/>
        <w:kinsoku/>
        <w:wordWrap/>
        <w:topLinePunct w:val="0"/>
        <w:bidi w:val="0"/>
        <w:spacing w:line="360" w:lineRule="auto"/>
        <w:ind w:firstLine="480" w:firstLineChars="200"/>
        <w:rPr>
          <w:rFonts w:hint="eastAsia" w:ascii="仿宋_GB2312" w:hAnsi="华文仿宋" w:eastAsia="仿宋_GB2312"/>
          <w:color w:val="auto"/>
          <w:sz w:val="24"/>
        </w:rPr>
      </w:pPr>
      <w:r>
        <w:rPr>
          <w:rFonts w:hint="eastAsia" w:ascii="仿宋_GB2312" w:hAnsi="华文仿宋" w:eastAsia="仿宋_GB2312"/>
          <w:color w:val="auto"/>
          <w:sz w:val="24"/>
        </w:rPr>
        <w:t>（二）宏观经济环境假设</w:t>
      </w:r>
    </w:p>
    <w:p>
      <w:pPr>
        <w:pageBreakBefore w:val="0"/>
        <w:kinsoku/>
        <w:wordWrap/>
        <w:topLinePunct w:val="0"/>
        <w:bidi w:val="0"/>
        <w:spacing w:line="360" w:lineRule="auto"/>
        <w:ind w:firstLine="480" w:firstLineChars="200"/>
        <w:rPr>
          <w:rFonts w:hint="eastAsia" w:ascii="仿宋_GB2312" w:hAnsi="华文仿宋" w:eastAsia="仿宋_GB2312"/>
          <w:color w:val="auto"/>
          <w:sz w:val="24"/>
        </w:rPr>
      </w:pPr>
      <w:r>
        <w:rPr>
          <w:rFonts w:hint="eastAsia" w:ascii="仿宋_GB2312" w:hAnsi="华文仿宋" w:eastAsia="仿宋_GB2312"/>
          <w:color w:val="auto"/>
          <w:sz w:val="24"/>
        </w:rPr>
        <w:t>1、国家现行的经济政策方针无重大变化；</w:t>
      </w:r>
    </w:p>
    <w:p>
      <w:pPr>
        <w:pageBreakBefore w:val="0"/>
        <w:kinsoku/>
        <w:wordWrap/>
        <w:topLinePunct w:val="0"/>
        <w:bidi w:val="0"/>
        <w:spacing w:line="360" w:lineRule="auto"/>
        <w:ind w:firstLine="480" w:firstLineChars="200"/>
        <w:rPr>
          <w:rFonts w:hint="eastAsia" w:ascii="仿宋_GB2312" w:hAnsi="华文仿宋" w:eastAsia="仿宋_GB2312"/>
          <w:color w:val="auto"/>
          <w:sz w:val="24"/>
        </w:rPr>
      </w:pPr>
      <w:r>
        <w:rPr>
          <w:rFonts w:hint="eastAsia" w:ascii="仿宋_GB2312" w:hAnsi="华文仿宋" w:eastAsia="仿宋_GB2312"/>
          <w:color w:val="auto"/>
          <w:sz w:val="24"/>
        </w:rPr>
        <w:t>2、银行信贷利率、汇率、税率无重大变化；</w:t>
      </w:r>
    </w:p>
    <w:p>
      <w:pPr>
        <w:pageBreakBefore w:val="0"/>
        <w:kinsoku/>
        <w:wordWrap/>
        <w:topLinePunct w:val="0"/>
        <w:bidi w:val="0"/>
        <w:spacing w:line="360" w:lineRule="auto"/>
        <w:ind w:firstLine="480" w:firstLineChars="200"/>
        <w:rPr>
          <w:rFonts w:hint="eastAsia" w:ascii="仿宋_GB2312" w:hAnsi="华文仿宋" w:eastAsia="仿宋_GB2312"/>
          <w:color w:val="auto"/>
          <w:sz w:val="24"/>
        </w:rPr>
      </w:pPr>
      <w:r>
        <w:rPr>
          <w:rFonts w:hint="eastAsia" w:ascii="仿宋_GB2312" w:hAnsi="华文仿宋" w:eastAsia="仿宋_GB2312"/>
          <w:color w:val="auto"/>
          <w:sz w:val="24"/>
        </w:rPr>
        <w:t>3、委估资产所在地区的社会经济环境无重大变化；</w:t>
      </w:r>
    </w:p>
    <w:p>
      <w:pPr>
        <w:pageBreakBefore w:val="0"/>
        <w:kinsoku/>
        <w:wordWrap/>
        <w:topLinePunct w:val="0"/>
        <w:bidi w:val="0"/>
        <w:spacing w:line="360" w:lineRule="auto"/>
        <w:ind w:firstLine="480" w:firstLineChars="200"/>
        <w:rPr>
          <w:rFonts w:hint="eastAsia" w:ascii="仿宋_GB2312" w:hAnsi="华文仿宋" w:eastAsia="仿宋_GB2312"/>
          <w:color w:val="auto"/>
          <w:sz w:val="24"/>
        </w:rPr>
      </w:pPr>
      <w:r>
        <w:rPr>
          <w:rFonts w:hint="eastAsia" w:ascii="仿宋_GB2312" w:hAnsi="华文仿宋" w:eastAsia="仿宋_GB2312"/>
          <w:color w:val="auto"/>
          <w:sz w:val="24"/>
        </w:rPr>
        <w:t>4、产权持有单位所属行业的发展态势稳定，委估资产所在地现行法律、法规、经</w:t>
      </w:r>
    </w:p>
    <w:p>
      <w:pPr>
        <w:pageBreakBefore w:val="0"/>
        <w:kinsoku/>
        <w:wordWrap/>
        <w:topLinePunct w:val="0"/>
        <w:bidi w:val="0"/>
        <w:spacing w:line="360" w:lineRule="auto"/>
        <w:rPr>
          <w:rFonts w:hint="eastAsia" w:ascii="仿宋_GB2312" w:hAnsi="华文仿宋" w:eastAsia="仿宋_GB2312"/>
          <w:color w:val="auto"/>
          <w:sz w:val="24"/>
        </w:rPr>
      </w:pPr>
      <w:r>
        <w:rPr>
          <w:rFonts w:hint="eastAsia" w:ascii="仿宋_GB2312" w:hAnsi="华文仿宋" w:eastAsia="仿宋_GB2312"/>
          <w:color w:val="auto"/>
          <w:sz w:val="24"/>
        </w:rPr>
        <w:t>济政策保持稳定。</w:t>
      </w:r>
    </w:p>
    <w:p>
      <w:pPr>
        <w:pageBreakBefore w:val="0"/>
        <w:kinsoku/>
        <w:wordWrap/>
        <w:topLinePunct w:val="0"/>
        <w:bidi w:val="0"/>
        <w:spacing w:line="360" w:lineRule="auto"/>
        <w:ind w:firstLine="480" w:firstLineChars="200"/>
        <w:rPr>
          <w:rFonts w:hint="eastAsia" w:ascii="仿宋_GB2312" w:hAnsi="华文仿宋" w:eastAsia="仿宋_GB2312"/>
          <w:color w:val="auto"/>
          <w:sz w:val="24"/>
        </w:rPr>
      </w:pPr>
      <w:r>
        <w:rPr>
          <w:rFonts w:hint="eastAsia" w:ascii="仿宋_GB2312" w:hAnsi="华文仿宋" w:eastAsia="仿宋_GB2312"/>
          <w:color w:val="auto"/>
          <w:sz w:val="24"/>
        </w:rPr>
        <w:t>（三）评估对象于评估基准日状态假设</w:t>
      </w:r>
    </w:p>
    <w:p>
      <w:pPr>
        <w:pageBreakBefore w:val="0"/>
        <w:kinsoku/>
        <w:wordWrap/>
        <w:topLinePunct w:val="0"/>
        <w:bidi w:val="0"/>
        <w:spacing w:line="360" w:lineRule="auto"/>
        <w:ind w:firstLine="480" w:firstLineChars="200"/>
        <w:rPr>
          <w:rFonts w:hint="eastAsia" w:ascii="仿宋_GB2312" w:hAnsi="华文仿宋" w:eastAsia="仿宋_GB2312"/>
          <w:color w:val="auto"/>
          <w:sz w:val="24"/>
        </w:rPr>
      </w:pPr>
      <w:r>
        <w:rPr>
          <w:rFonts w:hint="eastAsia" w:ascii="仿宋_GB2312" w:hAnsi="华文仿宋" w:eastAsia="仿宋_GB2312"/>
          <w:color w:val="auto"/>
          <w:sz w:val="24"/>
        </w:rPr>
        <w:t>1、除评估师所知范围之外，假设评估对象及其所涉及资产的购置、取得或开发过</w:t>
      </w:r>
    </w:p>
    <w:p>
      <w:pPr>
        <w:pageBreakBefore w:val="0"/>
        <w:kinsoku/>
        <w:wordWrap/>
        <w:topLinePunct w:val="0"/>
        <w:bidi w:val="0"/>
        <w:spacing w:line="360" w:lineRule="auto"/>
        <w:rPr>
          <w:rFonts w:hint="eastAsia" w:ascii="仿宋_GB2312" w:hAnsi="华文仿宋" w:eastAsia="仿宋_GB2312"/>
          <w:color w:val="auto"/>
          <w:sz w:val="24"/>
        </w:rPr>
      </w:pPr>
      <w:r>
        <w:rPr>
          <w:rFonts w:hint="eastAsia" w:ascii="仿宋_GB2312" w:hAnsi="华文仿宋" w:eastAsia="仿宋_GB2312"/>
          <w:color w:val="auto"/>
          <w:sz w:val="24"/>
        </w:rPr>
        <w:t>程均符合国家有关法律法规规定。</w:t>
      </w:r>
    </w:p>
    <w:p>
      <w:pPr>
        <w:pageBreakBefore w:val="0"/>
        <w:kinsoku/>
        <w:wordWrap/>
        <w:topLinePunct w:val="0"/>
        <w:bidi w:val="0"/>
        <w:spacing w:line="360" w:lineRule="auto"/>
        <w:ind w:firstLine="480" w:firstLineChars="200"/>
        <w:rPr>
          <w:rFonts w:hint="eastAsia" w:ascii="仿宋_GB2312" w:hAnsi="华文仿宋" w:eastAsia="仿宋_GB2312"/>
          <w:color w:val="auto"/>
          <w:sz w:val="24"/>
        </w:rPr>
      </w:pPr>
      <w:r>
        <w:rPr>
          <w:rFonts w:hint="eastAsia" w:ascii="仿宋_GB2312" w:hAnsi="华文仿宋" w:eastAsia="仿宋_GB2312"/>
          <w:color w:val="auto"/>
          <w:sz w:val="24"/>
        </w:rPr>
        <w:t>2、除评估师所知范围之外，假设评估对象及其所涉及资产均无附带影响其价值的</w:t>
      </w:r>
    </w:p>
    <w:p>
      <w:pPr>
        <w:pageBreakBefore w:val="0"/>
        <w:kinsoku/>
        <w:wordWrap/>
        <w:topLinePunct w:val="0"/>
        <w:bidi w:val="0"/>
        <w:spacing w:line="360" w:lineRule="auto"/>
        <w:rPr>
          <w:rFonts w:hint="eastAsia" w:ascii="仿宋_GB2312" w:hAnsi="华文仿宋" w:eastAsia="仿宋_GB2312"/>
          <w:color w:val="auto"/>
          <w:sz w:val="24"/>
        </w:rPr>
      </w:pPr>
      <w:r>
        <w:rPr>
          <w:rFonts w:hint="eastAsia" w:ascii="仿宋_GB2312" w:hAnsi="华文仿宋" w:eastAsia="仿宋_GB2312"/>
          <w:color w:val="auto"/>
          <w:sz w:val="24"/>
        </w:rPr>
        <w:t>权利瑕疵、负债和限制，假设评估对象及其所涉及资产之价款、税费、各种应付款项均</w:t>
      </w:r>
    </w:p>
    <w:p>
      <w:pPr>
        <w:pageBreakBefore w:val="0"/>
        <w:kinsoku/>
        <w:wordWrap/>
        <w:topLinePunct w:val="0"/>
        <w:bidi w:val="0"/>
        <w:spacing w:line="360" w:lineRule="auto"/>
        <w:rPr>
          <w:rFonts w:hint="eastAsia" w:ascii="仿宋_GB2312" w:hAnsi="华文仿宋" w:eastAsia="仿宋_GB2312"/>
          <w:color w:val="auto"/>
          <w:sz w:val="24"/>
        </w:rPr>
      </w:pPr>
      <w:r>
        <w:rPr>
          <w:rFonts w:hint="eastAsia" w:ascii="仿宋_GB2312" w:hAnsi="华文仿宋" w:eastAsia="仿宋_GB2312"/>
          <w:color w:val="auto"/>
          <w:sz w:val="24"/>
        </w:rPr>
        <w:t>已付清。</w:t>
      </w:r>
    </w:p>
    <w:p>
      <w:pPr>
        <w:pageBreakBefore w:val="0"/>
        <w:kinsoku/>
        <w:wordWrap/>
        <w:topLinePunct w:val="0"/>
        <w:bidi w:val="0"/>
        <w:spacing w:line="360" w:lineRule="auto"/>
        <w:ind w:firstLine="480" w:firstLineChars="200"/>
        <w:rPr>
          <w:rFonts w:hint="eastAsia" w:ascii="仿宋_GB2312" w:hAnsi="华文仿宋" w:eastAsia="仿宋_GB2312"/>
          <w:color w:val="auto"/>
          <w:sz w:val="24"/>
        </w:rPr>
      </w:pPr>
      <w:r>
        <w:rPr>
          <w:rFonts w:hint="eastAsia" w:ascii="仿宋_GB2312" w:hAnsi="华文仿宋" w:eastAsia="仿宋_GB2312"/>
          <w:color w:val="auto"/>
          <w:sz w:val="24"/>
        </w:rPr>
        <w:t>3、除评估师所知范围之外，假设评估对象及其所涉及房地等有形资产无影响其持</w:t>
      </w:r>
    </w:p>
    <w:p>
      <w:pPr>
        <w:pageBreakBefore w:val="0"/>
        <w:kinsoku/>
        <w:wordWrap/>
        <w:topLinePunct w:val="0"/>
        <w:bidi w:val="0"/>
        <w:spacing w:line="360" w:lineRule="auto"/>
        <w:rPr>
          <w:rFonts w:hint="eastAsia" w:ascii="仿宋_GB2312" w:hAnsi="华文仿宋" w:eastAsia="仿宋_GB2312"/>
          <w:color w:val="auto"/>
          <w:sz w:val="24"/>
        </w:rPr>
      </w:pPr>
      <w:r>
        <w:rPr>
          <w:rFonts w:hint="eastAsia" w:ascii="仿宋_GB2312" w:hAnsi="华文仿宋" w:eastAsia="仿宋_GB2312"/>
          <w:color w:val="auto"/>
          <w:sz w:val="24"/>
        </w:rPr>
        <w:t>续使用的重大技术故障，该等资产中不存在对其价值有不利影响的有害物质，该等资产</w:t>
      </w:r>
    </w:p>
    <w:p>
      <w:pPr>
        <w:pageBreakBefore w:val="0"/>
        <w:kinsoku/>
        <w:wordWrap/>
        <w:topLinePunct w:val="0"/>
        <w:bidi w:val="0"/>
        <w:spacing w:line="360" w:lineRule="auto"/>
        <w:rPr>
          <w:rFonts w:hint="eastAsia" w:ascii="仿宋_GB2312" w:hAnsi="华文仿宋" w:eastAsia="仿宋_GB2312"/>
          <w:color w:val="auto"/>
          <w:sz w:val="24"/>
        </w:rPr>
      </w:pPr>
      <w:r>
        <w:rPr>
          <w:rFonts w:hint="eastAsia" w:ascii="仿宋_GB2312" w:hAnsi="华文仿宋" w:eastAsia="仿宋_GB2312"/>
          <w:color w:val="auto"/>
          <w:sz w:val="24"/>
        </w:rPr>
        <w:t>所在地无危险物及其他有害环境条件对该等资产价值产生不利影响。</w:t>
      </w:r>
    </w:p>
    <w:p>
      <w:pPr>
        <w:pageBreakBefore w:val="0"/>
        <w:kinsoku/>
        <w:wordWrap/>
        <w:topLinePunct w:val="0"/>
        <w:bidi w:val="0"/>
        <w:spacing w:line="360" w:lineRule="auto"/>
        <w:ind w:firstLine="480" w:firstLineChars="200"/>
        <w:rPr>
          <w:rFonts w:hint="eastAsia" w:ascii="仿宋_GB2312" w:hAnsi="华文仿宋" w:eastAsia="仿宋_GB2312"/>
          <w:color w:val="auto"/>
          <w:sz w:val="24"/>
        </w:rPr>
      </w:pPr>
      <w:r>
        <w:rPr>
          <w:rFonts w:hint="eastAsia" w:ascii="仿宋_GB2312" w:hAnsi="华文仿宋" w:eastAsia="仿宋_GB2312"/>
          <w:color w:val="auto"/>
          <w:sz w:val="24"/>
        </w:rPr>
        <w:t>（四）限制性假设</w:t>
      </w:r>
    </w:p>
    <w:p>
      <w:pPr>
        <w:pageBreakBefore w:val="0"/>
        <w:kinsoku/>
        <w:wordWrap/>
        <w:topLinePunct w:val="0"/>
        <w:bidi w:val="0"/>
        <w:spacing w:line="360" w:lineRule="auto"/>
        <w:ind w:firstLine="480" w:firstLineChars="200"/>
        <w:rPr>
          <w:rFonts w:hint="eastAsia" w:ascii="仿宋_GB2312" w:hAnsi="华文仿宋" w:eastAsia="仿宋_GB2312"/>
          <w:color w:val="auto"/>
          <w:sz w:val="24"/>
        </w:rPr>
      </w:pPr>
      <w:r>
        <w:rPr>
          <w:rFonts w:hint="eastAsia" w:ascii="仿宋_GB2312" w:hAnsi="华文仿宋" w:eastAsia="仿宋_GB2312"/>
          <w:color w:val="auto"/>
          <w:sz w:val="24"/>
        </w:rPr>
        <w:t>1、本评估报告假设由委托人提供的法律文件、技术资料等评估相关资料均真实可</w:t>
      </w:r>
    </w:p>
    <w:p>
      <w:pPr>
        <w:pageBreakBefore w:val="0"/>
        <w:kinsoku/>
        <w:wordWrap/>
        <w:topLinePunct w:val="0"/>
        <w:bidi w:val="0"/>
        <w:spacing w:line="360" w:lineRule="auto"/>
        <w:rPr>
          <w:rFonts w:hint="eastAsia" w:ascii="仿宋_GB2312" w:hAnsi="华文仿宋" w:eastAsia="仿宋_GB2312"/>
          <w:color w:val="auto"/>
          <w:sz w:val="24"/>
        </w:rPr>
      </w:pPr>
      <w:r>
        <w:rPr>
          <w:rFonts w:hint="eastAsia" w:ascii="仿宋_GB2312" w:hAnsi="华文仿宋" w:eastAsia="仿宋_GB2312"/>
          <w:color w:val="auto"/>
          <w:sz w:val="24"/>
        </w:rPr>
        <w:t>信。我们亦不承担与评估对象涉及资产产权有关的任何法律事宜。</w:t>
      </w:r>
    </w:p>
    <w:p>
      <w:pPr>
        <w:pageBreakBefore w:val="0"/>
        <w:kinsoku/>
        <w:wordWrap/>
        <w:topLinePunct w:val="0"/>
        <w:bidi w:val="0"/>
        <w:spacing w:line="360" w:lineRule="auto"/>
        <w:ind w:firstLine="480" w:firstLineChars="200"/>
        <w:rPr>
          <w:rFonts w:hint="eastAsia" w:ascii="仿宋_GB2312" w:hAnsi="华文仿宋" w:eastAsia="仿宋_GB2312"/>
          <w:color w:val="auto"/>
          <w:sz w:val="24"/>
        </w:rPr>
      </w:pPr>
      <w:r>
        <w:rPr>
          <w:rFonts w:hint="eastAsia" w:ascii="仿宋_GB2312" w:hAnsi="华文仿宋" w:eastAsia="仿宋_GB2312"/>
          <w:color w:val="auto"/>
          <w:sz w:val="24"/>
        </w:rPr>
        <w:t>2、除非另有说明，本评估报告假设通过可见实体外表对评估范围内有形资产视察</w:t>
      </w:r>
    </w:p>
    <w:p>
      <w:pPr>
        <w:pageBreakBefore w:val="0"/>
        <w:kinsoku/>
        <w:wordWrap/>
        <w:topLinePunct w:val="0"/>
        <w:bidi w:val="0"/>
        <w:spacing w:line="360" w:lineRule="auto"/>
        <w:rPr>
          <w:rFonts w:hint="eastAsia" w:ascii="仿宋_GB2312" w:hAnsi="华文仿宋" w:eastAsia="仿宋_GB2312"/>
          <w:color w:val="auto"/>
          <w:sz w:val="24"/>
        </w:rPr>
      </w:pPr>
      <w:r>
        <w:rPr>
          <w:rFonts w:hint="eastAsia" w:ascii="仿宋_GB2312" w:hAnsi="华文仿宋" w:eastAsia="仿宋_GB2312"/>
          <w:color w:val="auto"/>
          <w:sz w:val="24"/>
        </w:rPr>
        <w:t>的现场调查结果，与其实际经济使用寿命基本相符。本次评估未对该等资产的技术数据、</w:t>
      </w:r>
    </w:p>
    <w:p>
      <w:pPr>
        <w:pageBreakBefore w:val="0"/>
        <w:kinsoku/>
        <w:wordWrap/>
        <w:topLinePunct w:val="0"/>
        <w:bidi w:val="0"/>
        <w:spacing w:line="360" w:lineRule="auto"/>
        <w:rPr>
          <w:rFonts w:hint="eastAsia" w:ascii="仿宋_GB2312" w:hAnsi="华文仿宋" w:eastAsia="仿宋_GB2312"/>
          <w:color w:val="auto"/>
          <w:sz w:val="24"/>
        </w:rPr>
      </w:pPr>
      <w:r>
        <w:rPr>
          <w:rFonts w:hint="eastAsia" w:ascii="仿宋_GB2312" w:hAnsi="华文仿宋" w:eastAsia="仿宋_GB2312"/>
          <w:color w:val="auto"/>
          <w:sz w:val="24"/>
        </w:rPr>
        <w:t>技术状态、结构、附属物等进行专项技术检测。</w:t>
      </w:r>
    </w:p>
    <w:p>
      <w:pPr>
        <w:pStyle w:val="3"/>
        <w:pageBreakBefore w:val="0"/>
        <w:kinsoku/>
        <w:wordWrap/>
        <w:topLinePunct w:val="0"/>
        <w:bidi w:val="0"/>
        <w:spacing w:line="360" w:lineRule="auto"/>
        <w:rPr>
          <w:rFonts w:ascii="仿宋_GB2312" w:hAnsi="仿宋_GB2312" w:eastAsia="仿宋_GB2312" w:cs="仿宋_GB2312"/>
          <w:color w:val="auto"/>
          <w:spacing w:val="0"/>
        </w:rPr>
      </w:pPr>
      <w:r>
        <w:rPr>
          <w:rFonts w:hint="eastAsia" w:ascii="仿宋_GB2312" w:hAnsi="仿宋_GB2312" w:eastAsia="仿宋_GB2312" w:cs="仿宋_GB2312"/>
          <w:color w:val="auto"/>
          <w:spacing w:val="0"/>
        </w:rPr>
        <w:t>评估结论</w:t>
      </w:r>
      <w:bookmarkEnd w:id="67"/>
      <w:bookmarkEnd w:id="68"/>
      <w:bookmarkEnd w:id="69"/>
      <w:bookmarkEnd w:id="70"/>
      <w:bookmarkEnd w:id="71"/>
    </w:p>
    <w:p>
      <w:pPr>
        <w:pageBreakBefore w:val="0"/>
        <w:kinsoku/>
        <w:wordWrap/>
        <w:topLinePunct w:val="0"/>
        <w:bidi w:val="0"/>
        <w:snapToGrid w:val="0"/>
        <w:spacing w:line="360" w:lineRule="auto"/>
        <w:ind w:firstLine="420" w:firstLineChars="175"/>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eastAsia="zh-CN"/>
        </w:rPr>
        <w:t>（</w:t>
      </w:r>
      <w:r>
        <w:rPr>
          <w:rFonts w:hint="eastAsia" w:ascii="仿宋_GB2312" w:hAnsi="仿宋_GB2312" w:eastAsia="仿宋_GB2312" w:cs="仿宋_GB2312"/>
          <w:color w:val="auto"/>
          <w:sz w:val="24"/>
          <w:lang w:val="en-US" w:eastAsia="zh-CN"/>
        </w:rPr>
        <w:t>一）评估结果</w:t>
      </w:r>
    </w:p>
    <w:p>
      <w:pPr>
        <w:pageBreakBefore w:val="0"/>
        <w:kinsoku/>
        <w:wordWrap/>
        <w:topLinePunct w:val="0"/>
        <w:bidi w:val="0"/>
        <w:snapToGrid w:val="0"/>
        <w:spacing w:line="360" w:lineRule="auto"/>
        <w:ind w:firstLine="420" w:firstLineChars="175"/>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我们根据国家有关资产评估的法律、法规、规章和评估准则，本着独立、公正、科</w:t>
      </w:r>
    </w:p>
    <w:p>
      <w:pPr>
        <w:pageBreakBefore w:val="0"/>
        <w:kinsoku/>
        <w:wordWrap/>
        <w:topLinePunct w:val="0"/>
        <w:bidi w:val="0"/>
        <w:snapToGrid w:val="0"/>
        <w:spacing w:line="360" w:lineRule="auto"/>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学、客观的原则，履行了资产评估法定的和必要的程序，采用</w:t>
      </w:r>
      <w:r>
        <w:rPr>
          <w:rFonts w:hint="eastAsia" w:ascii="仿宋_GB2312" w:hAnsi="仿宋_GB2312" w:eastAsia="仿宋_GB2312" w:cs="仿宋_GB2312"/>
          <w:color w:val="auto"/>
          <w:sz w:val="24"/>
          <w:lang w:eastAsia="zh-CN"/>
        </w:rPr>
        <w:t>市场法</w:t>
      </w:r>
      <w:r>
        <w:rPr>
          <w:rFonts w:hint="eastAsia" w:ascii="仿宋_GB2312" w:hAnsi="仿宋_GB2312" w:eastAsia="仿宋_GB2312" w:cs="仿宋_GB2312"/>
          <w:color w:val="auto"/>
          <w:sz w:val="24"/>
        </w:rPr>
        <w:t>，对纳入评估范围的</w:t>
      </w:r>
      <w:r>
        <w:rPr>
          <w:rFonts w:hint="eastAsia" w:ascii="仿宋_GB2312" w:hAnsi="仿宋_GB2312" w:eastAsia="仿宋_GB2312" w:cs="仿宋_GB2312"/>
          <w:color w:val="auto"/>
          <w:sz w:val="24"/>
          <w:lang w:eastAsia="zh-CN"/>
        </w:rPr>
        <w:t>白鹭金滩春晓园7幢205室房地产面积为177.02平方米</w:t>
      </w:r>
      <w:r>
        <w:rPr>
          <w:rFonts w:hint="eastAsia" w:ascii="仿宋_GB2312" w:hAnsi="仿宋_GB2312" w:eastAsia="仿宋_GB2312" w:cs="仿宋_GB2312"/>
          <w:color w:val="auto"/>
          <w:sz w:val="24"/>
          <w:lang w:val="en-US" w:eastAsia="zh-CN"/>
        </w:rPr>
        <w:t>的</w:t>
      </w:r>
      <w:r>
        <w:rPr>
          <w:rFonts w:hint="eastAsia" w:ascii="仿宋_GB2312" w:hAnsi="仿宋_GB2312" w:eastAsia="仿宋_GB2312" w:cs="仿宋_GB2312"/>
          <w:color w:val="auto"/>
          <w:sz w:val="24"/>
          <w:lang w:eastAsia="zh-CN"/>
        </w:rPr>
        <w:t>房地产</w:t>
      </w:r>
      <w:r>
        <w:rPr>
          <w:rFonts w:hint="eastAsia" w:ascii="仿宋_GB2312" w:hAnsi="仿宋_GB2312" w:eastAsia="仿宋_GB2312" w:cs="仿宋_GB2312"/>
          <w:color w:val="auto"/>
          <w:sz w:val="24"/>
        </w:rPr>
        <w:t>在</w:t>
      </w:r>
      <w:r>
        <w:rPr>
          <w:rFonts w:hint="eastAsia" w:ascii="仿宋_GB2312" w:hAnsi="仿宋_GB2312" w:eastAsia="仿宋_GB2312" w:cs="仿宋_GB2312"/>
          <w:color w:val="auto"/>
          <w:sz w:val="24"/>
          <w:lang w:eastAsia="zh-CN"/>
        </w:rPr>
        <w:t>2022年08月30日</w:t>
      </w:r>
      <w:r>
        <w:rPr>
          <w:rFonts w:hint="eastAsia" w:ascii="仿宋_GB2312" w:hAnsi="仿宋_GB2312" w:eastAsia="仿宋_GB2312" w:cs="仿宋_GB2312"/>
          <w:color w:val="auto"/>
          <w:sz w:val="24"/>
        </w:rPr>
        <w:t>的市场价值进行了评估，其评估结论为：截至评估基准日</w:t>
      </w:r>
      <w:r>
        <w:rPr>
          <w:rFonts w:hint="eastAsia" w:ascii="仿宋_GB2312" w:hAnsi="仿宋_GB2312" w:eastAsia="仿宋_GB2312" w:cs="仿宋_GB2312"/>
          <w:color w:val="auto"/>
          <w:sz w:val="24"/>
          <w:lang w:eastAsia="zh-CN"/>
        </w:rPr>
        <w:t>2022年08月30日</w:t>
      </w:r>
      <w:r>
        <w:rPr>
          <w:rFonts w:hint="eastAsia" w:ascii="仿宋_GB2312" w:hAnsi="仿宋_GB2312" w:eastAsia="仿宋_GB2312" w:cs="仿宋_GB2312"/>
          <w:color w:val="auto"/>
          <w:sz w:val="24"/>
        </w:rPr>
        <w:t>，委估资产评估价值为</w:t>
      </w:r>
      <w:r>
        <w:rPr>
          <w:rFonts w:hint="eastAsia" w:ascii="仿宋_GB2312" w:hAnsi="仿宋_GB2312" w:eastAsia="仿宋_GB2312" w:cs="仿宋_GB2312"/>
          <w:color w:val="auto"/>
          <w:sz w:val="24"/>
          <w:lang w:val="en-US" w:eastAsia="zh-CN"/>
        </w:rPr>
        <w:t>人民币</w:t>
      </w:r>
      <w:r>
        <w:rPr>
          <w:rFonts w:hint="eastAsia" w:ascii="仿宋_GB2312" w:hAnsi="仿宋_GB2312" w:eastAsia="仿宋_GB2312" w:cs="仿宋_GB2312"/>
          <w:color w:val="auto"/>
          <w:sz w:val="24"/>
          <w:lang w:eastAsia="zh-CN"/>
        </w:rPr>
        <w:t>4,106,864.00</w:t>
      </w:r>
      <w:r>
        <w:rPr>
          <w:rFonts w:hint="eastAsia" w:ascii="仿宋_GB2312" w:hAnsi="仿宋_GB2312" w:eastAsia="仿宋_GB2312" w:cs="仿宋_GB2312"/>
          <w:color w:val="auto"/>
          <w:sz w:val="24"/>
        </w:rPr>
        <w:t>元</w:t>
      </w:r>
      <w:r>
        <w:rPr>
          <w:rFonts w:hint="eastAsia" w:ascii="仿宋_GB2312" w:hAnsi="仿宋_GB2312" w:eastAsia="仿宋_GB2312" w:cs="仿宋_GB2312"/>
          <w:color w:val="auto"/>
          <w:sz w:val="24"/>
          <w:lang w:eastAsia="zh-CN"/>
        </w:rPr>
        <w:t>，</w:t>
      </w:r>
      <w:r>
        <w:rPr>
          <w:rFonts w:hint="eastAsia" w:ascii="仿宋_GB2312" w:hAnsi="仿宋_GB2312" w:eastAsia="仿宋_GB2312" w:cs="仿宋_GB2312"/>
          <w:color w:val="auto"/>
          <w:sz w:val="24"/>
        </w:rPr>
        <w:t>大写为人</w:t>
      </w:r>
      <w:r>
        <w:rPr>
          <w:rFonts w:hint="eastAsia" w:ascii="仿宋_GB2312" w:hAnsi="仿宋_GB2312" w:eastAsia="仿宋_GB2312" w:cs="仿宋_GB2312"/>
          <w:color w:val="auto"/>
          <w:sz w:val="24"/>
          <w:lang w:eastAsia="zh-CN"/>
        </w:rPr>
        <w:t>民币</w:t>
      </w:r>
      <w:r>
        <w:rPr>
          <w:rFonts w:hint="eastAsia" w:ascii="仿宋_GB2312" w:hAnsi="仿宋_GB2312" w:eastAsia="仿宋_GB2312" w:cs="仿宋_GB2312"/>
          <w:color w:val="auto"/>
          <w:sz w:val="24"/>
          <w:lang w:eastAsia="zh-CN"/>
        </w:rPr>
        <w:fldChar w:fldCharType="begin"/>
      </w:r>
      <w:r>
        <w:rPr>
          <w:rFonts w:hint="eastAsia" w:ascii="仿宋_GB2312" w:hAnsi="仿宋_GB2312" w:eastAsia="仿宋_GB2312" w:cs="仿宋_GB2312"/>
          <w:color w:val="auto"/>
          <w:sz w:val="24"/>
          <w:lang w:eastAsia="zh-CN"/>
        </w:rPr>
        <w:instrText xml:space="preserve"> = 4106864 \* CHINESENUM4 \* MERGEFORMAT </w:instrText>
      </w:r>
      <w:r>
        <w:rPr>
          <w:rFonts w:hint="eastAsia" w:ascii="仿宋_GB2312" w:hAnsi="仿宋_GB2312" w:eastAsia="仿宋_GB2312" w:cs="仿宋_GB2312"/>
          <w:color w:val="auto"/>
          <w:sz w:val="24"/>
          <w:lang w:eastAsia="zh-CN"/>
        </w:rPr>
        <w:fldChar w:fldCharType="separate"/>
      </w:r>
      <w:r>
        <w:rPr>
          <w:rFonts w:hint="eastAsia" w:ascii="仿宋_GB2312" w:hAnsi="仿宋_GB2312" w:eastAsia="仿宋_GB2312" w:cs="仿宋_GB2312"/>
          <w:color w:val="auto"/>
          <w:sz w:val="24"/>
          <w:lang w:eastAsia="zh-CN"/>
        </w:rPr>
        <w:t>肆佰壹拾万陆仟捌佰陆拾肆元整</w:t>
      </w:r>
      <w:r>
        <w:rPr>
          <w:rFonts w:hint="eastAsia" w:ascii="仿宋_GB2312" w:hAnsi="仿宋_GB2312" w:eastAsia="仿宋_GB2312" w:cs="仿宋_GB2312"/>
          <w:color w:val="auto"/>
          <w:sz w:val="24"/>
          <w:lang w:eastAsia="zh-CN"/>
        </w:rPr>
        <w:fldChar w:fldCharType="end"/>
      </w:r>
      <w:r>
        <w:rPr>
          <w:rFonts w:hint="eastAsia" w:ascii="仿宋_GB2312" w:hAnsi="仿宋_GB2312" w:eastAsia="仿宋_GB2312" w:cs="仿宋_GB2312"/>
          <w:color w:val="auto"/>
          <w:sz w:val="24"/>
          <w:lang w:eastAsia="zh-CN"/>
        </w:rPr>
        <w:t>。</w:t>
      </w:r>
    </w:p>
    <w:tbl>
      <w:tblPr>
        <w:tblStyle w:val="2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21"/>
        <w:gridCol w:w="1460"/>
        <w:gridCol w:w="1467"/>
        <w:gridCol w:w="1071"/>
        <w:gridCol w:w="1224"/>
        <w:gridCol w:w="1084"/>
        <w:gridCol w:w="1581"/>
        <w:gridCol w:w="88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21" w:type="dxa"/>
            <w:vAlign w:val="center"/>
          </w:tcPr>
          <w:p>
            <w:pPr>
              <w:pageBreakBefore w:val="0"/>
              <w:kinsoku/>
              <w:wordWrap/>
              <w:topLinePunct w:val="0"/>
              <w:bidi w:val="0"/>
              <w:snapToGrid w:val="0"/>
              <w:spacing w:line="360" w:lineRule="auto"/>
              <w:ind w:right="28"/>
              <w:rPr>
                <w:rFonts w:ascii="仿宋_GB2312" w:hAnsi="华文仿宋" w:eastAsia="仿宋_GB2312"/>
                <w:color w:val="auto"/>
                <w:szCs w:val="21"/>
              </w:rPr>
            </w:pPr>
            <w:r>
              <w:rPr>
                <w:rFonts w:hint="eastAsia" w:ascii="仿宋_GB2312" w:hAnsi="华文仿宋" w:eastAsia="仿宋_GB2312"/>
                <w:color w:val="auto"/>
                <w:szCs w:val="21"/>
              </w:rPr>
              <w:t>序号</w:t>
            </w:r>
          </w:p>
        </w:tc>
        <w:tc>
          <w:tcPr>
            <w:tcW w:w="1460" w:type="dxa"/>
            <w:vAlign w:val="center"/>
          </w:tcPr>
          <w:p>
            <w:pPr>
              <w:pageBreakBefore w:val="0"/>
              <w:kinsoku/>
              <w:wordWrap/>
              <w:topLinePunct w:val="0"/>
              <w:bidi w:val="0"/>
              <w:snapToGrid w:val="0"/>
              <w:spacing w:line="360" w:lineRule="auto"/>
              <w:ind w:right="28"/>
              <w:rPr>
                <w:rFonts w:hint="eastAsia" w:ascii="仿宋_GB2312" w:hAnsi="华文仿宋" w:eastAsia="仿宋_GB2312"/>
                <w:color w:val="auto"/>
                <w:szCs w:val="21"/>
                <w:lang w:eastAsia="zh-CN"/>
              </w:rPr>
            </w:pPr>
            <w:r>
              <w:rPr>
                <w:rFonts w:hint="eastAsia" w:ascii="仿宋_GB2312" w:hAnsi="华文仿宋" w:eastAsia="仿宋_GB2312"/>
                <w:color w:val="auto"/>
                <w:szCs w:val="21"/>
                <w:lang w:eastAsia="zh-CN"/>
              </w:rPr>
              <w:t>产权持有者</w:t>
            </w:r>
          </w:p>
        </w:tc>
        <w:tc>
          <w:tcPr>
            <w:tcW w:w="1467" w:type="dxa"/>
            <w:vAlign w:val="center"/>
          </w:tcPr>
          <w:p>
            <w:pPr>
              <w:pageBreakBefore w:val="0"/>
              <w:kinsoku/>
              <w:wordWrap/>
              <w:topLinePunct w:val="0"/>
              <w:bidi w:val="0"/>
              <w:snapToGrid w:val="0"/>
              <w:spacing w:line="360" w:lineRule="auto"/>
              <w:ind w:right="28"/>
              <w:rPr>
                <w:rFonts w:ascii="仿宋_GB2312" w:hAnsi="华文仿宋" w:eastAsia="仿宋_GB2312"/>
                <w:color w:val="auto"/>
                <w:szCs w:val="21"/>
              </w:rPr>
            </w:pPr>
            <w:r>
              <w:rPr>
                <w:rFonts w:hint="eastAsia" w:ascii="仿宋_GB2312" w:hAnsi="华文仿宋" w:eastAsia="仿宋_GB2312"/>
                <w:color w:val="auto"/>
                <w:szCs w:val="21"/>
              </w:rPr>
              <w:t>资产项目</w:t>
            </w:r>
          </w:p>
        </w:tc>
        <w:tc>
          <w:tcPr>
            <w:tcW w:w="1071" w:type="dxa"/>
            <w:vAlign w:val="center"/>
          </w:tcPr>
          <w:p>
            <w:pPr>
              <w:pageBreakBefore w:val="0"/>
              <w:kinsoku/>
              <w:wordWrap/>
              <w:topLinePunct w:val="0"/>
              <w:bidi w:val="0"/>
              <w:snapToGrid w:val="0"/>
              <w:spacing w:line="360" w:lineRule="auto"/>
              <w:ind w:right="28"/>
              <w:rPr>
                <w:rFonts w:ascii="仿宋_GB2312" w:hAnsi="华文仿宋" w:eastAsia="仿宋_GB2312"/>
                <w:color w:val="auto"/>
                <w:szCs w:val="21"/>
              </w:rPr>
            </w:pPr>
            <w:r>
              <w:rPr>
                <w:rFonts w:hint="eastAsia" w:ascii="仿宋_GB2312" w:hAnsi="华文仿宋" w:eastAsia="仿宋_GB2312"/>
                <w:color w:val="auto"/>
                <w:szCs w:val="21"/>
              </w:rPr>
              <w:t>层数</w:t>
            </w:r>
          </w:p>
        </w:tc>
        <w:tc>
          <w:tcPr>
            <w:tcW w:w="1224" w:type="dxa"/>
            <w:vAlign w:val="center"/>
          </w:tcPr>
          <w:p>
            <w:pPr>
              <w:pageBreakBefore w:val="0"/>
              <w:kinsoku/>
              <w:wordWrap/>
              <w:topLinePunct w:val="0"/>
              <w:bidi w:val="0"/>
              <w:snapToGrid w:val="0"/>
              <w:spacing w:line="360" w:lineRule="auto"/>
              <w:ind w:right="28"/>
              <w:rPr>
                <w:rFonts w:ascii="仿宋_GB2312" w:hAnsi="华文仿宋" w:eastAsia="仿宋_GB2312"/>
                <w:color w:val="auto"/>
                <w:szCs w:val="21"/>
              </w:rPr>
            </w:pPr>
            <w:r>
              <w:rPr>
                <w:rFonts w:hint="eastAsia" w:ascii="仿宋_GB2312" w:hAnsi="华文仿宋" w:eastAsia="仿宋_GB2312"/>
                <w:color w:val="auto"/>
                <w:szCs w:val="21"/>
              </w:rPr>
              <w:t>房屋建筑面积（平方米）</w:t>
            </w:r>
          </w:p>
        </w:tc>
        <w:tc>
          <w:tcPr>
            <w:tcW w:w="1084" w:type="dxa"/>
            <w:vAlign w:val="center"/>
          </w:tcPr>
          <w:p>
            <w:pPr>
              <w:pageBreakBefore w:val="0"/>
              <w:kinsoku/>
              <w:wordWrap/>
              <w:topLinePunct w:val="0"/>
              <w:bidi w:val="0"/>
              <w:snapToGrid w:val="0"/>
              <w:spacing w:line="360" w:lineRule="auto"/>
              <w:ind w:right="28"/>
              <w:rPr>
                <w:rFonts w:hint="default" w:ascii="仿宋_GB2312" w:hAnsi="华文仿宋" w:eastAsia="仿宋_GB2312"/>
                <w:color w:val="auto"/>
                <w:szCs w:val="21"/>
                <w:lang w:val="en-US" w:eastAsia="zh-CN"/>
              </w:rPr>
            </w:pPr>
            <w:r>
              <w:rPr>
                <w:rFonts w:hint="eastAsia" w:ascii="仿宋_GB2312" w:hAnsi="华文仿宋" w:eastAsia="仿宋_GB2312"/>
                <w:color w:val="auto"/>
                <w:szCs w:val="21"/>
                <w:lang w:val="en-US" w:eastAsia="zh-CN"/>
              </w:rPr>
              <w:t>土地面积</w:t>
            </w:r>
            <w:r>
              <w:rPr>
                <w:rFonts w:hint="eastAsia" w:ascii="仿宋_GB2312" w:hAnsi="华文仿宋" w:eastAsia="仿宋_GB2312"/>
                <w:color w:val="auto"/>
                <w:szCs w:val="21"/>
              </w:rPr>
              <w:t>（平方米）</w:t>
            </w:r>
          </w:p>
        </w:tc>
        <w:tc>
          <w:tcPr>
            <w:tcW w:w="1581" w:type="dxa"/>
            <w:vAlign w:val="center"/>
          </w:tcPr>
          <w:p>
            <w:pPr>
              <w:pageBreakBefore w:val="0"/>
              <w:kinsoku/>
              <w:wordWrap/>
              <w:topLinePunct w:val="0"/>
              <w:bidi w:val="0"/>
              <w:snapToGrid w:val="0"/>
              <w:spacing w:line="360" w:lineRule="auto"/>
              <w:ind w:right="28"/>
              <w:rPr>
                <w:rFonts w:hint="eastAsia" w:ascii="仿宋_GB2312" w:hAnsi="华文仿宋" w:eastAsia="仿宋_GB2312"/>
                <w:color w:val="auto"/>
                <w:szCs w:val="21"/>
                <w:lang w:val="en-US" w:eastAsia="zh-CN"/>
              </w:rPr>
            </w:pPr>
            <w:r>
              <w:rPr>
                <w:rFonts w:hint="eastAsia" w:ascii="仿宋_GB2312" w:hAnsi="华文仿宋" w:eastAsia="仿宋_GB2312"/>
                <w:color w:val="auto"/>
                <w:szCs w:val="21"/>
              </w:rPr>
              <w:t>评估价值</w:t>
            </w:r>
            <w:r>
              <w:rPr>
                <w:rFonts w:hint="eastAsia" w:ascii="仿宋_GB2312" w:hAnsi="华文仿宋" w:eastAsia="仿宋_GB2312"/>
                <w:color w:val="auto"/>
                <w:szCs w:val="21"/>
                <w:lang w:eastAsia="zh-CN"/>
              </w:rPr>
              <w:t>（</w:t>
            </w:r>
            <w:r>
              <w:rPr>
                <w:rFonts w:hint="eastAsia" w:ascii="仿宋_GB2312" w:hAnsi="华文仿宋" w:eastAsia="仿宋_GB2312"/>
                <w:color w:val="auto"/>
                <w:szCs w:val="21"/>
                <w:lang w:val="en-US" w:eastAsia="zh-CN"/>
              </w:rPr>
              <w:t>元）</w:t>
            </w:r>
          </w:p>
        </w:tc>
        <w:tc>
          <w:tcPr>
            <w:tcW w:w="880" w:type="dxa"/>
            <w:vAlign w:val="center"/>
          </w:tcPr>
          <w:p>
            <w:pPr>
              <w:pageBreakBefore w:val="0"/>
              <w:kinsoku/>
              <w:wordWrap/>
              <w:topLinePunct w:val="0"/>
              <w:bidi w:val="0"/>
              <w:snapToGrid w:val="0"/>
              <w:spacing w:line="360" w:lineRule="auto"/>
              <w:ind w:right="28"/>
              <w:rPr>
                <w:rFonts w:ascii="仿宋_GB2312" w:hAnsi="华文仿宋" w:eastAsia="仿宋_GB2312"/>
                <w:color w:val="auto"/>
                <w:szCs w:val="21"/>
              </w:rPr>
            </w:pPr>
            <w:r>
              <w:rPr>
                <w:rFonts w:hint="eastAsia" w:ascii="仿宋_GB2312" w:hAnsi="华文仿宋" w:eastAsia="仿宋_GB2312"/>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21" w:type="dxa"/>
            <w:vAlign w:val="center"/>
          </w:tcPr>
          <w:p>
            <w:pPr>
              <w:pageBreakBefore w:val="0"/>
              <w:kinsoku/>
              <w:wordWrap/>
              <w:topLinePunct w:val="0"/>
              <w:bidi w:val="0"/>
              <w:snapToGrid w:val="0"/>
              <w:spacing w:line="360" w:lineRule="auto"/>
              <w:ind w:right="28"/>
              <w:rPr>
                <w:rFonts w:hint="eastAsia" w:ascii="仿宋_GB2312" w:hAnsi="华文仿宋" w:eastAsia="仿宋_GB2312"/>
                <w:color w:val="auto"/>
                <w:szCs w:val="21"/>
                <w:lang w:eastAsia="zh-CN"/>
              </w:rPr>
            </w:pPr>
            <w:r>
              <w:rPr>
                <w:rFonts w:hint="eastAsia" w:ascii="仿宋_GB2312" w:hAnsi="华文仿宋" w:eastAsia="仿宋_GB2312"/>
                <w:color w:val="auto"/>
                <w:szCs w:val="21"/>
                <w:lang w:val="en-US" w:eastAsia="zh-CN"/>
              </w:rPr>
              <w:t>1</w:t>
            </w:r>
          </w:p>
        </w:tc>
        <w:tc>
          <w:tcPr>
            <w:tcW w:w="1460" w:type="dxa"/>
            <w:vAlign w:val="center"/>
          </w:tcPr>
          <w:p>
            <w:pPr>
              <w:pageBreakBefore w:val="0"/>
              <w:kinsoku/>
              <w:wordWrap/>
              <w:topLinePunct w:val="0"/>
              <w:bidi w:val="0"/>
              <w:snapToGrid w:val="0"/>
              <w:spacing w:line="360" w:lineRule="auto"/>
              <w:ind w:right="28"/>
              <w:rPr>
                <w:rFonts w:hint="eastAsia" w:ascii="仿宋_GB2312" w:hAnsi="华文仿宋" w:eastAsia="仿宋_GB2312"/>
                <w:color w:val="auto"/>
                <w:szCs w:val="21"/>
                <w:lang w:eastAsia="zh-CN"/>
              </w:rPr>
            </w:pPr>
            <w:r>
              <w:rPr>
                <w:rFonts w:hint="eastAsia" w:ascii="仿宋_GB2312" w:hAnsi="华文仿宋" w:eastAsia="仿宋_GB2312"/>
                <w:color w:val="auto"/>
                <w:szCs w:val="21"/>
                <w:lang w:eastAsia="zh-CN"/>
              </w:rPr>
              <w:t>谢鸿</w:t>
            </w:r>
          </w:p>
        </w:tc>
        <w:tc>
          <w:tcPr>
            <w:tcW w:w="1467" w:type="dxa"/>
            <w:vAlign w:val="center"/>
          </w:tcPr>
          <w:p>
            <w:pPr>
              <w:pageBreakBefore w:val="0"/>
              <w:kinsoku/>
              <w:wordWrap/>
              <w:topLinePunct w:val="0"/>
              <w:bidi w:val="0"/>
              <w:snapToGrid w:val="0"/>
              <w:spacing w:line="360" w:lineRule="auto"/>
              <w:ind w:right="28"/>
              <w:rPr>
                <w:rFonts w:ascii="仿宋_GB2312" w:hAnsi="华文仿宋" w:eastAsia="仿宋_GB2312"/>
                <w:color w:val="auto"/>
                <w:szCs w:val="21"/>
              </w:rPr>
            </w:pPr>
            <w:r>
              <w:rPr>
                <w:rFonts w:hint="eastAsia" w:ascii="仿宋_GB2312" w:hAnsi="华文仿宋" w:eastAsia="仿宋_GB2312"/>
                <w:color w:val="auto"/>
                <w:szCs w:val="21"/>
                <w:lang w:eastAsia="zh-CN"/>
              </w:rPr>
              <w:t>白鹭金滩春晓园7幢205室</w:t>
            </w:r>
          </w:p>
        </w:tc>
        <w:tc>
          <w:tcPr>
            <w:tcW w:w="1071" w:type="dxa"/>
            <w:vAlign w:val="center"/>
          </w:tcPr>
          <w:p>
            <w:pPr>
              <w:keepNext w:val="0"/>
              <w:keepLines w:val="0"/>
              <w:widowControl/>
              <w:suppressLineNumbers w:val="0"/>
              <w:jc w:val="center"/>
              <w:textAlignment w:val="center"/>
              <w:rPr>
                <w:rFonts w:ascii="仿宋_GB2312" w:hAnsi="宋体" w:eastAsia="仿宋_GB2312" w:cs="仿宋_GB2312"/>
                <w:i w:val="0"/>
                <w:iCs w:val="0"/>
                <w:color w:val="000000"/>
                <w:kern w:val="2"/>
                <w:sz w:val="20"/>
                <w:szCs w:val="20"/>
                <w:u w:val="none"/>
                <w:lang w:val="en-US" w:eastAsia="zh-CN" w:bidi="ar-SA"/>
              </w:rPr>
            </w:pPr>
            <w:r>
              <w:rPr>
                <w:rFonts w:hint="eastAsia" w:ascii="仿宋_GB2312" w:hAnsi="宋体" w:eastAsia="仿宋_GB2312" w:cs="仿宋_GB2312"/>
                <w:i w:val="0"/>
                <w:iCs w:val="0"/>
                <w:color w:val="000000"/>
                <w:kern w:val="0"/>
                <w:sz w:val="20"/>
                <w:szCs w:val="20"/>
                <w:u w:val="none"/>
                <w:lang w:val="en-US" w:eastAsia="zh-CN" w:bidi="ar"/>
              </w:rPr>
              <w:t>2/19</w:t>
            </w:r>
          </w:p>
        </w:tc>
        <w:tc>
          <w:tcPr>
            <w:tcW w:w="1224" w:type="dxa"/>
            <w:vAlign w:val="center"/>
          </w:tcPr>
          <w:p>
            <w:pPr>
              <w:keepNext w:val="0"/>
              <w:keepLines w:val="0"/>
              <w:widowControl/>
              <w:suppressLineNumbers w:val="0"/>
              <w:jc w:val="center"/>
              <w:textAlignment w:val="center"/>
              <w:rPr>
                <w:rFonts w:hint="eastAsia" w:ascii="仿宋_GB2312" w:hAnsi="华文仿宋" w:eastAsia="仿宋_GB2312"/>
                <w:color w:val="auto"/>
                <w:szCs w:val="21"/>
                <w:lang w:eastAsia="zh-CN"/>
              </w:rPr>
            </w:pPr>
            <w:r>
              <w:rPr>
                <w:rFonts w:hint="eastAsia" w:ascii="仿宋_GB2312" w:hAnsi="宋体" w:eastAsia="仿宋_GB2312" w:cs="仿宋_GB2312"/>
                <w:i w:val="0"/>
                <w:iCs w:val="0"/>
                <w:color w:val="000000"/>
                <w:kern w:val="0"/>
                <w:sz w:val="20"/>
                <w:szCs w:val="20"/>
                <w:u w:val="none"/>
                <w:lang w:val="en-US" w:eastAsia="zh-CN" w:bidi="ar"/>
              </w:rPr>
              <w:t>177.02</w:t>
            </w:r>
          </w:p>
        </w:tc>
        <w:tc>
          <w:tcPr>
            <w:tcW w:w="1084" w:type="dxa"/>
            <w:vAlign w:val="center"/>
          </w:tcPr>
          <w:p>
            <w:pPr>
              <w:keepNext w:val="0"/>
              <w:keepLines w:val="0"/>
              <w:widowControl/>
              <w:suppressLineNumbers w:val="0"/>
              <w:jc w:val="center"/>
              <w:textAlignment w:val="center"/>
              <w:rPr>
                <w:rFonts w:hint="default" w:ascii="仿宋_GB2312" w:hAnsi="华文仿宋" w:eastAsia="仿宋_GB2312"/>
                <w:color w:val="auto"/>
                <w:szCs w:val="21"/>
                <w:lang w:val="en-US" w:eastAsia="zh-CN"/>
              </w:rPr>
            </w:pPr>
            <w:r>
              <w:rPr>
                <w:rFonts w:hint="eastAsia" w:ascii="仿宋_GB2312" w:hAnsi="宋体" w:eastAsia="仿宋_GB2312" w:cs="仿宋_GB2312"/>
                <w:i w:val="0"/>
                <w:iCs w:val="0"/>
                <w:color w:val="000000"/>
                <w:kern w:val="0"/>
                <w:sz w:val="20"/>
                <w:szCs w:val="20"/>
                <w:u w:val="none"/>
                <w:lang w:val="en-US" w:eastAsia="zh-CN" w:bidi="ar"/>
              </w:rPr>
              <w:t>37.81</w:t>
            </w:r>
          </w:p>
        </w:tc>
        <w:tc>
          <w:tcPr>
            <w:tcW w:w="1581" w:type="dxa"/>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0"/>
                <w:szCs w:val="20"/>
                <w:u w:val="none"/>
                <w:lang w:val="en-US" w:eastAsia="zh-CN" w:bidi="ar-SA"/>
              </w:rPr>
            </w:pPr>
            <w:r>
              <w:rPr>
                <w:rFonts w:hint="eastAsia" w:ascii="仿宋_GB2312" w:hAnsi="宋体" w:eastAsia="仿宋_GB2312" w:cs="仿宋_GB2312"/>
                <w:i w:val="0"/>
                <w:iCs w:val="0"/>
                <w:color w:val="000000"/>
                <w:kern w:val="0"/>
                <w:sz w:val="20"/>
                <w:szCs w:val="20"/>
                <w:u w:val="none"/>
                <w:lang w:val="en-US" w:eastAsia="zh-CN" w:bidi="ar"/>
              </w:rPr>
              <w:t>4,106,864.00</w:t>
            </w:r>
          </w:p>
        </w:tc>
        <w:tc>
          <w:tcPr>
            <w:tcW w:w="880" w:type="dxa"/>
            <w:vAlign w:val="center"/>
          </w:tcPr>
          <w:p>
            <w:pPr>
              <w:pageBreakBefore w:val="0"/>
              <w:kinsoku/>
              <w:wordWrap/>
              <w:topLinePunct w:val="0"/>
              <w:bidi w:val="0"/>
              <w:snapToGrid w:val="0"/>
              <w:spacing w:line="360" w:lineRule="auto"/>
              <w:ind w:right="28"/>
              <w:rPr>
                <w:rFonts w:ascii="仿宋_GB2312" w:hAnsi="华文仿宋" w:eastAsia="仿宋_GB2312"/>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21" w:type="dxa"/>
            <w:vAlign w:val="center"/>
          </w:tcPr>
          <w:p>
            <w:pPr>
              <w:pageBreakBefore w:val="0"/>
              <w:kinsoku/>
              <w:wordWrap/>
              <w:topLinePunct w:val="0"/>
              <w:bidi w:val="0"/>
              <w:snapToGrid w:val="0"/>
              <w:spacing w:line="360" w:lineRule="auto"/>
              <w:ind w:right="28"/>
              <w:rPr>
                <w:rFonts w:ascii="仿宋_GB2312" w:hAnsi="华文仿宋" w:eastAsia="仿宋_GB2312"/>
                <w:color w:val="auto"/>
                <w:szCs w:val="21"/>
              </w:rPr>
            </w:pPr>
          </w:p>
        </w:tc>
        <w:tc>
          <w:tcPr>
            <w:tcW w:w="2927" w:type="dxa"/>
            <w:gridSpan w:val="2"/>
            <w:vAlign w:val="center"/>
          </w:tcPr>
          <w:p>
            <w:pPr>
              <w:pageBreakBefore w:val="0"/>
              <w:kinsoku/>
              <w:wordWrap/>
              <w:topLinePunct w:val="0"/>
              <w:bidi w:val="0"/>
              <w:snapToGrid w:val="0"/>
              <w:spacing w:line="360" w:lineRule="auto"/>
              <w:ind w:right="28" w:firstLine="420" w:firstLineChars="200"/>
              <w:rPr>
                <w:rFonts w:ascii="仿宋_GB2312" w:hAnsi="华文仿宋" w:eastAsia="仿宋_GB2312"/>
                <w:color w:val="auto"/>
                <w:szCs w:val="21"/>
              </w:rPr>
            </w:pPr>
            <w:r>
              <w:rPr>
                <w:rFonts w:hint="eastAsia" w:ascii="仿宋_GB2312" w:hAnsi="华文仿宋" w:eastAsia="仿宋_GB2312"/>
                <w:color w:val="auto"/>
                <w:szCs w:val="21"/>
              </w:rPr>
              <w:t>合 计</w:t>
            </w:r>
          </w:p>
        </w:tc>
        <w:tc>
          <w:tcPr>
            <w:tcW w:w="1071" w:type="dxa"/>
            <w:vAlign w:val="center"/>
          </w:tcPr>
          <w:p>
            <w:pPr>
              <w:pageBreakBefore w:val="0"/>
              <w:kinsoku/>
              <w:wordWrap/>
              <w:topLinePunct w:val="0"/>
              <w:bidi w:val="0"/>
              <w:snapToGrid w:val="0"/>
              <w:spacing w:line="360" w:lineRule="auto"/>
              <w:ind w:right="28"/>
              <w:rPr>
                <w:rFonts w:ascii="仿宋_GB2312" w:hAnsi="华文仿宋" w:eastAsia="仿宋_GB2312"/>
                <w:color w:val="auto"/>
                <w:szCs w:val="21"/>
              </w:rPr>
            </w:pPr>
          </w:p>
        </w:tc>
        <w:tc>
          <w:tcPr>
            <w:tcW w:w="1224" w:type="dxa"/>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eastAsia="zh-CN" w:bidi="ar"/>
              </w:rPr>
              <w:fldChar w:fldCharType="begin"/>
            </w:r>
            <w:r>
              <w:rPr>
                <w:rFonts w:hint="default" w:ascii="仿宋_GB2312" w:hAnsi="宋体" w:eastAsia="仿宋_GB2312" w:cs="仿宋_GB2312"/>
                <w:i w:val="0"/>
                <w:iCs w:val="0"/>
                <w:color w:val="000000"/>
                <w:kern w:val="0"/>
                <w:sz w:val="20"/>
                <w:szCs w:val="20"/>
                <w:u w:val="none"/>
                <w:lang w:eastAsia="zh-CN" w:bidi="ar"/>
              </w:rPr>
              <w:instrText xml:space="preserve"> =SUM(ABOVE) \# "#,##0.00" \* MERGEFORMAT </w:instrText>
            </w:r>
            <w:r>
              <w:rPr>
                <w:rFonts w:hint="default" w:ascii="仿宋_GB2312" w:hAnsi="宋体" w:eastAsia="仿宋_GB2312" w:cs="仿宋_GB2312"/>
                <w:i w:val="0"/>
                <w:iCs w:val="0"/>
                <w:color w:val="000000"/>
                <w:kern w:val="0"/>
                <w:sz w:val="20"/>
                <w:szCs w:val="20"/>
                <w:u w:val="none"/>
                <w:lang w:eastAsia="zh-CN" w:bidi="ar"/>
              </w:rPr>
              <w:fldChar w:fldCharType="separate"/>
            </w:r>
            <w:r>
              <w:rPr>
                <w:rFonts w:hint="eastAsia" w:ascii="仿宋_GB2312" w:hAnsi="宋体" w:eastAsia="仿宋_GB2312" w:cs="仿宋_GB2312"/>
                <w:i w:val="0"/>
                <w:iCs w:val="0"/>
                <w:color w:val="000000"/>
                <w:kern w:val="0"/>
                <w:sz w:val="20"/>
                <w:szCs w:val="20"/>
                <w:u w:val="none"/>
                <w:lang w:val="en-US" w:eastAsia="zh-CN" w:bidi="ar"/>
              </w:rPr>
              <w:t>177.02</w:t>
            </w:r>
            <w:r>
              <w:rPr>
                <w:rFonts w:hint="default" w:ascii="仿宋_GB2312" w:hAnsi="宋体" w:eastAsia="仿宋_GB2312" w:cs="仿宋_GB2312"/>
                <w:i w:val="0"/>
                <w:iCs w:val="0"/>
                <w:color w:val="000000"/>
                <w:kern w:val="0"/>
                <w:sz w:val="20"/>
                <w:szCs w:val="20"/>
                <w:u w:val="none"/>
                <w:lang w:eastAsia="zh-CN" w:bidi="ar"/>
              </w:rPr>
              <w:fldChar w:fldCharType="end"/>
            </w:r>
          </w:p>
        </w:tc>
        <w:tc>
          <w:tcPr>
            <w:tcW w:w="1084" w:type="dxa"/>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fldChar w:fldCharType="begin"/>
            </w:r>
            <w:r>
              <w:rPr>
                <w:rFonts w:hint="default" w:ascii="仿宋_GB2312" w:hAnsi="宋体" w:eastAsia="仿宋_GB2312" w:cs="仿宋_GB2312"/>
                <w:i w:val="0"/>
                <w:iCs w:val="0"/>
                <w:color w:val="000000"/>
                <w:kern w:val="0"/>
                <w:sz w:val="20"/>
                <w:szCs w:val="20"/>
                <w:u w:val="none"/>
                <w:lang w:val="en-US" w:eastAsia="zh-CN" w:bidi="ar"/>
              </w:rPr>
              <w:instrText xml:space="preserve"> =SUM(ABOVE) \# "#,##0.00" \* MERGEFORMAT </w:instrText>
            </w:r>
            <w:r>
              <w:rPr>
                <w:rFonts w:hint="default" w:ascii="仿宋_GB2312" w:hAnsi="宋体" w:eastAsia="仿宋_GB2312" w:cs="仿宋_GB2312"/>
                <w:i w:val="0"/>
                <w:iCs w:val="0"/>
                <w:color w:val="000000"/>
                <w:kern w:val="0"/>
                <w:sz w:val="20"/>
                <w:szCs w:val="20"/>
                <w:u w:val="none"/>
                <w:lang w:val="en-US" w:eastAsia="zh-CN" w:bidi="ar"/>
              </w:rPr>
              <w:fldChar w:fldCharType="separate"/>
            </w:r>
            <w:r>
              <w:rPr>
                <w:rFonts w:hint="eastAsia" w:ascii="仿宋_GB2312" w:hAnsi="宋体" w:eastAsia="仿宋_GB2312" w:cs="仿宋_GB2312"/>
                <w:i w:val="0"/>
                <w:iCs w:val="0"/>
                <w:color w:val="000000"/>
                <w:kern w:val="0"/>
                <w:sz w:val="20"/>
                <w:szCs w:val="20"/>
                <w:u w:val="none"/>
                <w:lang w:val="en-US" w:eastAsia="zh-CN" w:bidi="ar"/>
              </w:rPr>
              <w:t>37.81</w:t>
            </w:r>
            <w:r>
              <w:rPr>
                <w:rFonts w:hint="default" w:ascii="仿宋_GB2312" w:hAnsi="宋体" w:eastAsia="仿宋_GB2312" w:cs="仿宋_GB2312"/>
                <w:i w:val="0"/>
                <w:iCs w:val="0"/>
                <w:color w:val="000000"/>
                <w:kern w:val="0"/>
                <w:sz w:val="20"/>
                <w:szCs w:val="20"/>
                <w:u w:val="none"/>
                <w:lang w:val="en-US" w:eastAsia="zh-CN" w:bidi="ar"/>
              </w:rPr>
              <w:fldChar w:fldCharType="end"/>
            </w:r>
          </w:p>
        </w:tc>
        <w:tc>
          <w:tcPr>
            <w:tcW w:w="1581" w:type="dxa"/>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fldChar w:fldCharType="begin"/>
            </w:r>
            <w:r>
              <w:rPr>
                <w:rFonts w:hint="default" w:ascii="仿宋_GB2312" w:hAnsi="宋体" w:eastAsia="仿宋_GB2312" w:cs="仿宋_GB2312"/>
                <w:i w:val="0"/>
                <w:iCs w:val="0"/>
                <w:color w:val="000000"/>
                <w:kern w:val="0"/>
                <w:sz w:val="20"/>
                <w:szCs w:val="20"/>
                <w:u w:val="none"/>
                <w:lang w:val="en-US" w:eastAsia="zh-CN" w:bidi="ar"/>
              </w:rPr>
              <w:instrText xml:space="preserve"> =SUM(ABOVE) \# "#,##0.00" \* MERGEFORMAT </w:instrText>
            </w:r>
            <w:r>
              <w:rPr>
                <w:rFonts w:hint="default" w:ascii="仿宋_GB2312" w:hAnsi="宋体" w:eastAsia="仿宋_GB2312" w:cs="仿宋_GB2312"/>
                <w:i w:val="0"/>
                <w:iCs w:val="0"/>
                <w:color w:val="000000"/>
                <w:kern w:val="0"/>
                <w:sz w:val="20"/>
                <w:szCs w:val="20"/>
                <w:u w:val="none"/>
                <w:lang w:val="en-US" w:eastAsia="zh-CN" w:bidi="ar"/>
              </w:rPr>
              <w:fldChar w:fldCharType="separate"/>
            </w:r>
            <w:r>
              <w:rPr>
                <w:rFonts w:hint="eastAsia" w:ascii="仿宋_GB2312" w:hAnsi="宋体" w:eastAsia="仿宋_GB2312" w:cs="仿宋_GB2312"/>
                <w:i w:val="0"/>
                <w:iCs w:val="0"/>
                <w:color w:val="000000"/>
                <w:kern w:val="0"/>
                <w:sz w:val="20"/>
                <w:szCs w:val="20"/>
                <w:u w:val="none"/>
                <w:lang w:val="en-US" w:eastAsia="zh-CN" w:bidi="ar"/>
              </w:rPr>
              <w:t>4,106,864.00</w:t>
            </w:r>
            <w:r>
              <w:rPr>
                <w:rFonts w:hint="default" w:ascii="仿宋_GB2312" w:hAnsi="宋体" w:eastAsia="仿宋_GB2312" w:cs="仿宋_GB2312"/>
                <w:i w:val="0"/>
                <w:iCs w:val="0"/>
                <w:color w:val="000000"/>
                <w:kern w:val="0"/>
                <w:sz w:val="20"/>
                <w:szCs w:val="20"/>
                <w:u w:val="none"/>
                <w:lang w:val="en-US" w:eastAsia="zh-CN" w:bidi="ar"/>
              </w:rPr>
              <w:fldChar w:fldCharType="end"/>
            </w:r>
          </w:p>
        </w:tc>
        <w:tc>
          <w:tcPr>
            <w:tcW w:w="880" w:type="dxa"/>
            <w:vAlign w:val="center"/>
          </w:tcPr>
          <w:p>
            <w:pPr>
              <w:pageBreakBefore w:val="0"/>
              <w:kinsoku/>
              <w:wordWrap/>
              <w:topLinePunct w:val="0"/>
              <w:bidi w:val="0"/>
              <w:snapToGrid w:val="0"/>
              <w:spacing w:line="360" w:lineRule="auto"/>
              <w:ind w:right="28"/>
              <w:rPr>
                <w:rFonts w:ascii="仿宋_GB2312" w:hAnsi="华文仿宋" w:eastAsia="仿宋_GB2312"/>
                <w:color w:val="auto"/>
                <w:szCs w:val="21"/>
              </w:rPr>
            </w:pPr>
          </w:p>
        </w:tc>
      </w:tr>
    </w:tbl>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 xml:space="preserve">   </w:t>
      </w:r>
      <w:r>
        <w:rPr>
          <w:rFonts w:hint="eastAsia" w:ascii="仿宋_GB2312" w:hAnsi="仿宋_GB2312" w:eastAsia="仿宋_GB2312" w:cs="仿宋_GB2312"/>
          <w:color w:val="auto"/>
          <w:sz w:val="24"/>
          <w:lang w:val="en-US" w:eastAsia="zh-CN"/>
        </w:rPr>
        <w:t>本次评估价值包含固定装修价值,但不包含可移动的家电、家具等，</w:t>
      </w:r>
      <w:r>
        <w:rPr>
          <w:rFonts w:hint="eastAsia" w:ascii="仿宋_GB2312" w:hAnsi="仿宋_GB2312" w:eastAsia="仿宋_GB2312" w:cs="仿宋_GB2312"/>
          <w:color w:val="auto"/>
          <w:sz w:val="24"/>
        </w:rPr>
        <w:t>不包含买卖双方过户相关税费</w:t>
      </w:r>
      <w:r>
        <w:rPr>
          <w:rFonts w:hint="eastAsia" w:ascii="仿宋_GB2312" w:hAnsi="仿宋_GB2312" w:eastAsia="仿宋_GB2312" w:cs="仿宋_GB2312"/>
          <w:color w:val="auto"/>
          <w:sz w:val="24"/>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175"/>
        <w:jc w:val="left"/>
        <w:textAlignment w:val="auto"/>
        <w:rPr>
          <w:rFonts w:hint="eastAsia" w:ascii="仿宋_GB2312" w:hAnsi="仿宋_GB2312" w:eastAsia="仿宋_GB2312" w:cs="仿宋_GB2312"/>
          <w:color w:val="auto"/>
          <w:sz w:val="24"/>
          <w:lang w:val="en-US" w:eastAsia="zh-CN"/>
        </w:rPr>
      </w:pPr>
      <w:bookmarkStart w:id="72" w:name="OLE_LINK4"/>
      <w:r>
        <w:rPr>
          <w:rFonts w:hint="eastAsia" w:ascii="仿宋_GB2312" w:hAnsi="仿宋_GB2312" w:eastAsia="仿宋_GB2312" w:cs="仿宋_GB2312"/>
          <w:color w:val="auto"/>
          <w:sz w:val="24"/>
          <w:lang w:val="en-US" w:eastAsia="zh-CN"/>
        </w:rPr>
        <w:t>税费承担情况：</w:t>
      </w:r>
      <w:bookmarkEnd w:id="72"/>
    </w:p>
    <w:tbl>
      <w:tblPr>
        <w:tblStyle w:val="2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29"/>
        <w:gridCol w:w="2584"/>
        <w:gridCol w:w="2770"/>
        <w:gridCol w:w="26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16" w:type="pct"/>
            <w:vMerge w:val="restart"/>
            <w:tcBorders>
              <w:top w:val="single" w:color="000000" w:sz="12"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买方身份</w:t>
            </w:r>
          </w:p>
        </w:tc>
        <w:tc>
          <w:tcPr>
            <w:tcW w:w="2882" w:type="pct"/>
            <w:gridSpan w:val="2"/>
            <w:tcBorders>
              <w:top w:val="single" w:color="000000" w:sz="12"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买方承担税费</w:t>
            </w:r>
          </w:p>
        </w:tc>
        <w:tc>
          <w:tcPr>
            <w:tcW w:w="1400" w:type="pct"/>
            <w:tcBorders>
              <w:top w:val="single" w:color="000000" w:sz="12"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卖方承担税费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16" w:type="pct"/>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3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契税</w:t>
            </w:r>
          </w:p>
        </w:tc>
        <w:tc>
          <w:tcPr>
            <w:tcW w:w="14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印花税</w:t>
            </w:r>
          </w:p>
        </w:tc>
        <w:tc>
          <w:tcPr>
            <w:tcW w:w="1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个人所得税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1" w:hRule="atLeast"/>
        </w:trPr>
        <w:tc>
          <w:tcPr>
            <w:tcW w:w="71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个人</w:t>
            </w:r>
          </w:p>
        </w:tc>
        <w:tc>
          <w:tcPr>
            <w:tcW w:w="13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1、唯一住房: 1.5%</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2、第二套住房:2%</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3、其他: 3%</w:t>
            </w:r>
          </w:p>
        </w:tc>
        <w:tc>
          <w:tcPr>
            <w:tcW w:w="14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免</w:t>
            </w:r>
          </w:p>
        </w:tc>
        <w:tc>
          <w:tcPr>
            <w:tcW w:w="1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家庭唯一住房的，免征，其他3% (全额)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trPr>
        <w:tc>
          <w:tcPr>
            <w:tcW w:w="716" w:type="pct"/>
            <w:tcBorders>
              <w:top w:val="single" w:color="000000" w:sz="4" w:space="0"/>
              <w:left w:val="nil"/>
              <w:bottom w:val="single" w:color="000000" w:sz="12"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企业</w:t>
            </w:r>
          </w:p>
        </w:tc>
        <w:tc>
          <w:tcPr>
            <w:tcW w:w="1391" w:type="pct"/>
            <w:tcBorders>
              <w:top w:val="single" w:color="000000" w:sz="4" w:space="0"/>
              <w:left w:val="single" w:color="000000" w:sz="4" w:space="0"/>
              <w:bottom w:val="single" w:color="000000" w:sz="12"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1491" w:type="pct"/>
            <w:tcBorders>
              <w:top w:val="single" w:color="000000" w:sz="4" w:space="0"/>
              <w:left w:val="single" w:color="000000" w:sz="4" w:space="0"/>
              <w:bottom w:val="single" w:color="000000" w:sz="12"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1、一般纳税人0.05%</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2、小规模企业0.025%</w:t>
            </w:r>
          </w:p>
        </w:tc>
        <w:tc>
          <w:tcPr>
            <w:tcW w:w="1400" w:type="pct"/>
            <w:tcBorders>
              <w:top w:val="single" w:color="000000" w:sz="4" w:space="0"/>
              <w:left w:val="single" w:color="000000" w:sz="4" w:space="0"/>
              <w:bottom w:val="single" w:color="000000" w:sz="12" w:space="0"/>
              <w:right w:val="nil"/>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3%(全额)</w:t>
            </w:r>
          </w:p>
        </w:tc>
      </w:tr>
    </w:tbl>
    <w:p>
      <w:pPr>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175"/>
        <w:jc w:val="left"/>
        <w:textAlignment w:val="auto"/>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截至评估基准日，该房屋欠缴物业费、水电费合计6999.85元。</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w:t>
      </w:r>
      <w:r>
        <w:rPr>
          <w:rFonts w:hint="eastAsia" w:ascii="仿宋_GB2312" w:hAnsi="仿宋_GB2312" w:eastAsia="仿宋_GB2312" w:cs="仿宋_GB2312"/>
          <w:color w:val="auto"/>
          <w:sz w:val="24"/>
          <w:lang w:val="en-US" w:eastAsia="zh-CN"/>
        </w:rPr>
        <w:t>二</w:t>
      </w:r>
      <w:r>
        <w:rPr>
          <w:rFonts w:hint="eastAsia" w:ascii="仿宋_GB2312" w:hAnsi="仿宋_GB2312" w:eastAsia="仿宋_GB2312" w:cs="仿宋_GB2312"/>
          <w:color w:val="auto"/>
          <w:sz w:val="24"/>
        </w:rPr>
        <w:t>）评估结论成立的条件</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175"/>
        <w:jc w:val="left"/>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1、本评估结论系根据评估报告中描述的依据、假设、方法、程序得出的，只有在</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上述依据、假设存在的条件下成立；</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175"/>
        <w:jc w:val="left"/>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2、本评估结论仅为本评估目的服务；</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175"/>
        <w:jc w:val="left"/>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3、本评估结论未考虑国家宏观经济政策发生重大变化以及遇有自然力和其他不可</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抗力的影响；</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175"/>
        <w:jc w:val="left"/>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4、本评估结论未考虑特殊交易方式对评估结论的影响；</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175"/>
        <w:jc w:val="left"/>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5、本报告评估结论是由本评估机构出具的，受本机构评估人员的职业水平和能力</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的影响</w:t>
      </w:r>
      <w:r>
        <w:rPr>
          <w:rFonts w:hint="eastAsia" w:ascii="仿宋_GB2312" w:hAnsi="仿宋_GB2312" w:eastAsia="仿宋_GB2312" w:cs="仿宋_GB2312"/>
          <w:color w:val="auto"/>
          <w:sz w:val="24"/>
          <w:lang w:eastAsia="zh-CN"/>
        </w:rPr>
        <w:t>。</w:t>
      </w:r>
      <w:r>
        <w:rPr>
          <w:rFonts w:hint="eastAsia" w:ascii="仿宋_GB2312" w:hAnsi="仿宋_GB2312" w:eastAsia="仿宋_GB2312" w:cs="仿宋_GB2312"/>
          <w:color w:val="auto"/>
          <w:sz w:val="24"/>
        </w:rPr>
        <w:t xml:space="preserve">                              </w:t>
      </w:r>
    </w:p>
    <w:p>
      <w:pPr>
        <w:pStyle w:val="3"/>
        <w:pageBreakBefore w:val="0"/>
        <w:kinsoku/>
        <w:wordWrap/>
        <w:topLinePunct w:val="0"/>
        <w:bidi w:val="0"/>
        <w:spacing w:line="360" w:lineRule="auto"/>
        <w:rPr>
          <w:rFonts w:ascii="仿宋_GB2312" w:hAnsi="仿宋_GB2312" w:eastAsia="仿宋_GB2312" w:cs="仿宋_GB2312"/>
          <w:color w:val="auto"/>
          <w:spacing w:val="0"/>
        </w:rPr>
      </w:pPr>
      <w:bookmarkStart w:id="73" w:name="_Toc474678033"/>
      <w:bookmarkStart w:id="74" w:name="_Toc474676089"/>
      <w:bookmarkStart w:id="75" w:name="_Toc23293"/>
      <w:bookmarkStart w:id="76" w:name="_Toc474679488"/>
      <w:bookmarkStart w:id="77" w:name="_Toc474676048"/>
      <w:r>
        <w:rPr>
          <w:rFonts w:hint="eastAsia" w:ascii="仿宋_GB2312" w:hAnsi="仿宋_GB2312" w:eastAsia="仿宋_GB2312" w:cs="仿宋_GB2312"/>
          <w:color w:val="auto"/>
          <w:spacing w:val="0"/>
        </w:rPr>
        <w:t>特</w:t>
      </w:r>
      <w:bookmarkStart w:id="78" w:name="index_12"/>
      <w:bookmarkEnd w:id="78"/>
      <w:r>
        <w:rPr>
          <w:rFonts w:hint="eastAsia" w:ascii="仿宋_GB2312" w:hAnsi="仿宋_GB2312" w:eastAsia="仿宋_GB2312" w:cs="仿宋_GB2312"/>
          <w:color w:val="auto"/>
          <w:spacing w:val="0"/>
        </w:rPr>
        <w:t>别事项说明</w:t>
      </w:r>
      <w:bookmarkEnd w:id="73"/>
      <w:bookmarkEnd w:id="74"/>
      <w:bookmarkEnd w:id="75"/>
      <w:bookmarkEnd w:id="76"/>
      <w:bookmarkEnd w:id="77"/>
    </w:p>
    <w:p>
      <w:pPr>
        <w:pageBreakBefore w:val="0"/>
        <w:kinsoku/>
        <w:wordWrap/>
        <w:topLinePunct w:val="0"/>
        <w:bidi w:val="0"/>
        <w:spacing w:line="360" w:lineRule="auto"/>
        <w:ind w:firstLine="420" w:firstLineChars="175"/>
        <w:rPr>
          <w:rFonts w:ascii="仿宋_GB2312" w:hAnsi="仿宋_GB2312" w:eastAsia="仿宋_GB2312" w:cs="仿宋_GB2312"/>
          <w:color w:val="auto"/>
          <w:sz w:val="24"/>
        </w:rPr>
      </w:pPr>
      <w:bookmarkStart w:id="79" w:name="_Toc474679489"/>
      <w:bookmarkStart w:id="80" w:name="_Toc474676090"/>
      <w:bookmarkStart w:id="81" w:name="_Toc474676049"/>
      <w:bookmarkStart w:id="82" w:name="_Toc474678034"/>
      <w:r>
        <w:rPr>
          <w:rFonts w:hint="eastAsia" w:ascii="仿宋_GB2312" w:hAnsi="仿宋_GB2312" w:eastAsia="仿宋_GB2312" w:cs="仿宋_GB2312"/>
          <w:color w:val="auto"/>
          <w:sz w:val="24"/>
        </w:rPr>
        <w:t>以下为在评估过程中已发现可能影响评估结论但非评估人员执业水平和能力所能评定估算的有关事项：</w:t>
      </w:r>
    </w:p>
    <w:p>
      <w:pPr>
        <w:pageBreakBefore w:val="0"/>
        <w:numPr>
          <w:ilvl w:val="0"/>
          <w:numId w:val="16"/>
        </w:numPr>
        <w:kinsoku/>
        <w:wordWrap/>
        <w:topLinePunct w:val="0"/>
        <w:bidi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本评估结果是反映评估对象在本次评估目的下，根据公开市场原则确定的现行价格，没有考虑将来可能承担的抵押、担保事宜，以及特殊的交易方可能追加付出的价格等对评估价值的影响，也未考虑国家宏观经济政策发生变化以及遇有自然力和其他不可抗力对资产价格的影响。当前述条件以及评估中遵循的持续使用原则等发生变化时，评估结果一般会失效；</w:t>
      </w:r>
    </w:p>
    <w:p>
      <w:pPr>
        <w:pageBreakBefore w:val="0"/>
        <w:numPr>
          <w:ilvl w:val="0"/>
          <w:numId w:val="16"/>
        </w:numPr>
        <w:kinsoku/>
        <w:wordWrap/>
        <w:topLinePunct w:val="0"/>
        <w:bidi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对委托方存在的可能影响资产评估值的瑕疵事项，在委托方未作特殊说明而评估人员已履行评估程序仍无法获知的情况下，评估机构及评估人员不承担相关责任； </w:t>
      </w:r>
    </w:p>
    <w:p>
      <w:pPr>
        <w:pageBreakBefore w:val="0"/>
        <w:numPr>
          <w:ilvl w:val="0"/>
          <w:numId w:val="16"/>
        </w:numPr>
        <w:kinsoku/>
        <w:wordWrap/>
        <w:topLinePunct w:val="0"/>
        <w:bidi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本评估结论仅在评估报告载明的评估基准日有效。评估报告使用者应当根据评估基准日后的资产状况和市场变化情况合理确定评估报告使用期限；</w:t>
      </w:r>
    </w:p>
    <w:p>
      <w:pPr>
        <w:pageBreakBefore w:val="0"/>
        <w:numPr>
          <w:ilvl w:val="0"/>
          <w:numId w:val="16"/>
        </w:numPr>
        <w:kinsoku/>
        <w:wordWrap/>
        <w:topLinePunct w:val="0"/>
        <w:bidi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由委托方提供的与评估相关的权属资料是编制本报告的基础。委托方和相关当事人应对所提供的以上评估原始资料的真实性、合法性和完整性承担责任；</w:t>
      </w:r>
    </w:p>
    <w:p>
      <w:pPr>
        <w:pageBreakBefore w:val="0"/>
        <w:numPr>
          <w:ilvl w:val="0"/>
          <w:numId w:val="16"/>
        </w:numPr>
        <w:kinsoku/>
        <w:wordWrap/>
        <w:topLinePunct w:val="0"/>
        <w:bidi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资产评估师执行资产评估业务的目的是对评估对象价值进行估算并发表专业意见，针对本项目的资产产权证书，评估师进行了必要的、独立的核实工作，但对评估对象法律权属确认或发表意见超出资产评估师执业范围； </w:t>
      </w:r>
    </w:p>
    <w:p>
      <w:pPr>
        <w:pageBreakBefore w:val="0"/>
        <w:kinsoku/>
        <w:wordWrap/>
        <w:topLinePunct w:val="0"/>
        <w:bidi w:val="0"/>
        <w:spacing w:line="360" w:lineRule="auto"/>
        <w:ind w:left="420" w:firstLine="240" w:firstLineChars="100"/>
        <w:rPr>
          <w:rFonts w:ascii="仿宋_GB2312" w:hAnsi="仿宋_GB2312" w:eastAsia="仿宋_GB2312" w:cs="仿宋_GB2312"/>
          <w:color w:val="auto"/>
          <w:sz w:val="24"/>
        </w:rPr>
      </w:pPr>
      <w:r>
        <w:rPr>
          <w:rFonts w:hint="eastAsia" w:ascii="仿宋_GB2312" w:hAnsi="仿宋_GB2312" w:eastAsia="仿宋_GB2312" w:cs="仿宋_GB2312"/>
          <w:color w:val="auto"/>
          <w:sz w:val="24"/>
        </w:rPr>
        <w:t>资产评估报告使用人应注意以上特别事项对评估结论产生的影响。</w:t>
      </w:r>
    </w:p>
    <w:bookmarkEnd w:id="79"/>
    <w:bookmarkEnd w:id="80"/>
    <w:bookmarkEnd w:id="81"/>
    <w:bookmarkEnd w:id="82"/>
    <w:p>
      <w:pPr>
        <w:pStyle w:val="3"/>
        <w:pageBreakBefore w:val="0"/>
        <w:kinsoku/>
        <w:wordWrap/>
        <w:topLinePunct w:val="0"/>
        <w:bidi w:val="0"/>
        <w:spacing w:line="360" w:lineRule="auto"/>
        <w:rPr>
          <w:rFonts w:ascii="仿宋_GB2312" w:hAnsi="仿宋_GB2312" w:eastAsia="仿宋_GB2312" w:cs="仿宋_GB2312"/>
          <w:color w:val="auto"/>
          <w:spacing w:val="0"/>
        </w:rPr>
      </w:pPr>
      <w:bookmarkStart w:id="83" w:name="index_13"/>
      <w:bookmarkEnd w:id="83"/>
      <w:bookmarkStart w:id="84" w:name="_Toc19061"/>
      <w:r>
        <w:rPr>
          <w:rFonts w:hint="eastAsia" w:ascii="仿宋_GB2312" w:hAnsi="仿宋_GB2312" w:eastAsia="仿宋_GB2312" w:cs="仿宋_GB2312"/>
          <w:color w:val="auto"/>
          <w:spacing w:val="0"/>
        </w:rPr>
        <w:t>资产评估报告使用限制说明</w:t>
      </w:r>
      <w:bookmarkEnd w:id="84"/>
    </w:p>
    <w:p>
      <w:pPr>
        <w:pageBreakBefore w:val="0"/>
        <w:numPr>
          <w:ilvl w:val="0"/>
          <w:numId w:val="17"/>
        </w:numPr>
        <w:tabs>
          <w:tab w:val="left" w:pos="720"/>
        </w:tabs>
        <w:kinsoku/>
        <w:wordWrap/>
        <w:topLinePunct w:val="0"/>
        <w:bidi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资产评估报告使用范围</w:t>
      </w:r>
    </w:p>
    <w:p>
      <w:pPr>
        <w:pageBreakBefore w:val="0"/>
        <w:numPr>
          <w:ilvl w:val="0"/>
          <w:numId w:val="18"/>
        </w:numPr>
        <w:tabs>
          <w:tab w:val="left" w:pos="720"/>
        </w:tabs>
        <w:kinsoku/>
        <w:wordWrap/>
        <w:topLinePunct w:val="0"/>
        <w:bidi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资产评估报告的使用人为</w:t>
      </w:r>
      <w:r>
        <w:rPr>
          <w:rFonts w:hint="eastAsia" w:ascii="仿宋_GB2312" w:hAnsi="仿宋_GB2312" w:eastAsia="仿宋_GB2312" w:cs="仿宋_GB2312"/>
          <w:color w:val="auto"/>
          <w:sz w:val="24"/>
          <w:lang w:eastAsia="zh-CN"/>
        </w:rPr>
        <w:t>福清市人民法院</w:t>
      </w:r>
      <w:r>
        <w:rPr>
          <w:rFonts w:hint="eastAsia" w:ascii="仿宋_GB2312" w:hAnsi="仿宋_GB2312" w:eastAsia="仿宋_GB2312" w:cs="仿宋_GB2312"/>
          <w:color w:val="auto"/>
          <w:sz w:val="24"/>
        </w:rPr>
        <w:t>和国家法律、法规规定的资产评估报告使用人。</w:t>
      </w:r>
    </w:p>
    <w:p>
      <w:pPr>
        <w:pageBreakBefore w:val="0"/>
        <w:numPr>
          <w:ilvl w:val="0"/>
          <w:numId w:val="18"/>
        </w:numPr>
        <w:tabs>
          <w:tab w:val="left" w:pos="720"/>
        </w:tabs>
        <w:kinsoku/>
        <w:wordWrap/>
        <w:topLinePunct w:val="0"/>
        <w:bidi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资产评估报告所揭示的评估结论仅对本项目对应的经济行为有效。</w:t>
      </w:r>
    </w:p>
    <w:p>
      <w:pPr>
        <w:pageBreakBefore w:val="0"/>
        <w:numPr>
          <w:ilvl w:val="0"/>
          <w:numId w:val="18"/>
        </w:numPr>
        <w:tabs>
          <w:tab w:val="left" w:pos="720"/>
        </w:tabs>
        <w:kinsoku/>
        <w:wordWrap/>
        <w:topLinePunct w:val="0"/>
        <w:bidi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资产评估报告的评估结论使用有效期为自评估基准日起一年。 委托方或者其他资产评估报告使用人应当在载明的评估结论使用有效期内使用资产评估报告。</w:t>
      </w:r>
    </w:p>
    <w:p>
      <w:pPr>
        <w:pageBreakBefore w:val="0"/>
        <w:numPr>
          <w:ilvl w:val="0"/>
          <w:numId w:val="18"/>
        </w:numPr>
        <w:tabs>
          <w:tab w:val="left" w:pos="720"/>
        </w:tabs>
        <w:kinsoku/>
        <w:wordWrap/>
        <w:topLinePunct w:val="0"/>
        <w:bidi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未经委托方书面许可，资产评估机构及其资产评估师不得将资产评估报告的内容向第三方提供或者公开，法律、行政法规另有规定的除外。</w:t>
      </w:r>
    </w:p>
    <w:p>
      <w:pPr>
        <w:pageBreakBefore w:val="0"/>
        <w:numPr>
          <w:ilvl w:val="0"/>
          <w:numId w:val="18"/>
        </w:numPr>
        <w:tabs>
          <w:tab w:val="left" w:pos="720"/>
        </w:tabs>
        <w:kinsoku/>
        <w:wordWrap/>
        <w:topLinePunct w:val="0"/>
        <w:bidi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未征得资产评估机构同意，资产评估报告的内容不得被摘抄、引用或者披露于公开媒体，法律、行政法规定以及相关当事人另有约定的除外。</w:t>
      </w:r>
    </w:p>
    <w:p>
      <w:pPr>
        <w:pageBreakBefore w:val="0"/>
        <w:numPr>
          <w:ilvl w:val="0"/>
          <w:numId w:val="17"/>
        </w:numPr>
        <w:tabs>
          <w:tab w:val="left" w:pos="720"/>
        </w:tabs>
        <w:kinsoku/>
        <w:wordWrap/>
        <w:topLinePunct w:val="0"/>
        <w:bidi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委托方或者其他资产评估报告使用人未按照法律、行政法规规定和资产评估报告载明的使用范围使用资产评估报告的，资产评估机构及其资产评估师不承担责任。</w:t>
      </w:r>
    </w:p>
    <w:p>
      <w:pPr>
        <w:pageBreakBefore w:val="0"/>
        <w:numPr>
          <w:ilvl w:val="0"/>
          <w:numId w:val="17"/>
        </w:numPr>
        <w:tabs>
          <w:tab w:val="left" w:pos="720"/>
        </w:tabs>
        <w:kinsoku/>
        <w:wordWrap/>
        <w:topLinePunct w:val="0"/>
        <w:bidi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除委托方、资产评估委托合同中约定的其他资产评估报告使人和法律、行政法规规定的资产评估报告使用人之外，其他任何机构和个人不能成为资产评估报告的使用人。</w:t>
      </w:r>
    </w:p>
    <w:p>
      <w:pPr>
        <w:pageBreakBefore w:val="0"/>
        <w:numPr>
          <w:ilvl w:val="0"/>
          <w:numId w:val="17"/>
        </w:numPr>
        <w:tabs>
          <w:tab w:val="left" w:pos="720"/>
        </w:tabs>
        <w:kinsoku/>
        <w:wordWrap/>
        <w:topLinePunct w:val="0"/>
        <w:bidi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资产评估报告使用人应当正确理解和使用评估结论，评估结论不等同于评估对象可实现价格，评估结论不应当被认为是对评估对象可实现价格的保证。</w:t>
      </w:r>
    </w:p>
    <w:p>
      <w:pPr>
        <w:pageBreakBefore w:val="0"/>
        <w:numPr>
          <w:ilvl w:val="0"/>
          <w:numId w:val="17"/>
        </w:numPr>
        <w:tabs>
          <w:tab w:val="left" w:pos="720"/>
        </w:tabs>
        <w:kinsoku/>
        <w:wordWrap/>
        <w:topLinePunct w:val="0"/>
        <w:bidi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资产评估报告系资产评估机构及其资产评估师遵守法律、行政法规和资产评估准则，根据委托履行必要的资产评估程序后出具的专业报告，本报告经承办该评估业务的资产评估师签名并加盖评估机构公章后方可正式使用。</w:t>
      </w:r>
    </w:p>
    <w:p>
      <w:pPr>
        <w:pageBreakBefore w:val="0"/>
        <w:widowControl w:val="0"/>
        <w:numPr>
          <w:ilvl w:val="0"/>
          <w:numId w:val="0"/>
        </w:numPr>
        <w:tabs>
          <w:tab w:val="left" w:pos="720"/>
        </w:tabs>
        <w:kinsoku/>
        <w:wordWrap/>
        <w:topLinePunct w:val="0"/>
        <w:bidi w:val="0"/>
        <w:spacing w:line="360" w:lineRule="auto"/>
        <w:jc w:val="both"/>
        <w:rPr>
          <w:rFonts w:hint="eastAsia" w:ascii="仿宋_GB2312" w:hAnsi="仿宋_GB2312" w:eastAsia="仿宋_GB2312" w:cs="仿宋_GB2312"/>
          <w:color w:val="auto"/>
          <w:sz w:val="24"/>
        </w:rPr>
      </w:pPr>
    </w:p>
    <w:p>
      <w:pPr>
        <w:pageBreakBefore w:val="0"/>
        <w:widowControl w:val="0"/>
        <w:numPr>
          <w:ilvl w:val="0"/>
          <w:numId w:val="0"/>
        </w:numPr>
        <w:tabs>
          <w:tab w:val="left" w:pos="720"/>
        </w:tabs>
        <w:kinsoku/>
        <w:wordWrap/>
        <w:topLinePunct w:val="0"/>
        <w:bidi w:val="0"/>
        <w:spacing w:line="360" w:lineRule="auto"/>
        <w:jc w:val="both"/>
        <w:rPr>
          <w:rFonts w:hint="eastAsia" w:ascii="仿宋_GB2312" w:hAnsi="仿宋_GB2312" w:eastAsia="仿宋_GB2312" w:cs="仿宋_GB2312"/>
          <w:color w:val="auto"/>
          <w:sz w:val="24"/>
        </w:rPr>
      </w:pPr>
    </w:p>
    <w:p>
      <w:pPr>
        <w:pageBreakBefore w:val="0"/>
        <w:widowControl w:val="0"/>
        <w:numPr>
          <w:ilvl w:val="0"/>
          <w:numId w:val="0"/>
        </w:numPr>
        <w:tabs>
          <w:tab w:val="left" w:pos="720"/>
        </w:tabs>
        <w:kinsoku/>
        <w:wordWrap/>
        <w:topLinePunct w:val="0"/>
        <w:bidi w:val="0"/>
        <w:spacing w:line="360" w:lineRule="auto"/>
        <w:jc w:val="both"/>
        <w:rPr>
          <w:rFonts w:hint="eastAsia" w:ascii="仿宋_GB2312" w:hAnsi="仿宋_GB2312" w:eastAsia="仿宋_GB2312" w:cs="仿宋_GB2312"/>
          <w:color w:val="auto"/>
          <w:sz w:val="24"/>
        </w:rPr>
      </w:pPr>
    </w:p>
    <w:p>
      <w:pPr>
        <w:pageBreakBefore w:val="0"/>
        <w:widowControl w:val="0"/>
        <w:numPr>
          <w:ilvl w:val="0"/>
          <w:numId w:val="0"/>
        </w:numPr>
        <w:tabs>
          <w:tab w:val="left" w:pos="720"/>
        </w:tabs>
        <w:kinsoku/>
        <w:wordWrap/>
        <w:topLinePunct w:val="0"/>
        <w:bidi w:val="0"/>
        <w:spacing w:line="360" w:lineRule="auto"/>
        <w:jc w:val="both"/>
        <w:rPr>
          <w:rFonts w:hint="eastAsia" w:ascii="仿宋_GB2312" w:hAnsi="仿宋_GB2312" w:eastAsia="仿宋_GB2312" w:cs="仿宋_GB2312"/>
          <w:color w:val="auto"/>
          <w:sz w:val="24"/>
        </w:rPr>
      </w:pPr>
    </w:p>
    <w:p>
      <w:pPr>
        <w:pageBreakBefore w:val="0"/>
        <w:widowControl w:val="0"/>
        <w:numPr>
          <w:ilvl w:val="0"/>
          <w:numId w:val="0"/>
        </w:numPr>
        <w:tabs>
          <w:tab w:val="left" w:pos="720"/>
        </w:tabs>
        <w:kinsoku/>
        <w:wordWrap/>
        <w:topLinePunct w:val="0"/>
        <w:bidi w:val="0"/>
        <w:spacing w:line="360" w:lineRule="auto"/>
        <w:jc w:val="both"/>
        <w:rPr>
          <w:rFonts w:hint="eastAsia" w:ascii="仿宋_GB2312" w:hAnsi="仿宋_GB2312" w:eastAsia="仿宋_GB2312" w:cs="仿宋_GB2312"/>
          <w:color w:val="auto"/>
          <w:sz w:val="24"/>
        </w:rPr>
      </w:pPr>
    </w:p>
    <w:p>
      <w:pPr>
        <w:pageBreakBefore w:val="0"/>
        <w:widowControl w:val="0"/>
        <w:numPr>
          <w:ilvl w:val="0"/>
          <w:numId w:val="0"/>
        </w:numPr>
        <w:tabs>
          <w:tab w:val="left" w:pos="720"/>
        </w:tabs>
        <w:kinsoku/>
        <w:wordWrap/>
        <w:topLinePunct w:val="0"/>
        <w:bidi w:val="0"/>
        <w:spacing w:line="360" w:lineRule="auto"/>
        <w:jc w:val="both"/>
        <w:rPr>
          <w:rFonts w:hint="eastAsia" w:ascii="仿宋_GB2312" w:hAnsi="仿宋_GB2312" w:eastAsia="仿宋_GB2312" w:cs="仿宋_GB2312"/>
          <w:color w:val="auto"/>
          <w:sz w:val="24"/>
        </w:rPr>
      </w:pPr>
    </w:p>
    <w:p>
      <w:pPr>
        <w:pageBreakBefore w:val="0"/>
        <w:widowControl w:val="0"/>
        <w:numPr>
          <w:ilvl w:val="0"/>
          <w:numId w:val="0"/>
        </w:numPr>
        <w:tabs>
          <w:tab w:val="left" w:pos="720"/>
        </w:tabs>
        <w:kinsoku/>
        <w:wordWrap/>
        <w:topLinePunct w:val="0"/>
        <w:bidi w:val="0"/>
        <w:spacing w:line="360" w:lineRule="auto"/>
        <w:jc w:val="both"/>
        <w:rPr>
          <w:rFonts w:hint="eastAsia" w:ascii="仿宋_GB2312" w:hAnsi="仿宋_GB2312" w:eastAsia="仿宋_GB2312" w:cs="仿宋_GB2312"/>
          <w:color w:val="auto"/>
          <w:sz w:val="24"/>
        </w:rPr>
      </w:pPr>
    </w:p>
    <w:p>
      <w:pPr>
        <w:pageBreakBefore w:val="0"/>
        <w:widowControl w:val="0"/>
        <w:numPr>
          <w:ilvl w:val="0"/>
          <w:numId w:val="0"/>
        </w:numPr>
        <w:tabs>
          <w:tab w:val="left" w:pos="720"/>
        </w:tabs>
        <w:kinsoku/>
        <w:wordWrap/>
        <w:topLinePunct w:val="0"/>
        <w:bidi w:val="0"/>
        <w:spacing w:line="360" w:lineRule="auto"/>
        <w:jc w:val="both"/>
        <w:rPr>
          <w:rFonts w:hint="eastAsia" w:ascii="仿宋_GB2312" w:hAnsi="仿宋_GB2312" w:eastAsia="仿宋_GB2312" w:cs="仿宋_GB2312"/>
          <w:color w:val="auto"/>
          <w:sz w:val="24"/>
        </w:rPr>
      </w:pPr>
    </w:p>
    <w:p>
      <w:pPr>
        <w:pageBreakBefore w:val="0"/>
        <w:widowControl w:val="0"/>
        <w:numPr>
          <w:ilvl w:val="0"/>
          <w:numId w:val="0"/>
        </w:numPr>
        <w:tabs>
          <w:tab w:val="left" w:pos="720"/>
        </w:tabs>
        <w:kinsoku/>
        <w:wordWrap/>
        <w:topLinePunct w:val="0"/>
        <w:bidi w:val="0"/>
        <w:spacing w:line="360" w:lineRule="auto"/>
        <w:jc w:val="both"/>
        <w:rPr>
          <w:rFonts w:hint="eastAsia" w:ascii="仿宋_GB2312" w:hAnsi="仿宋_GB2312" w:eastAsia="仿宋_GB2312" w:cs="仿宋_GB2312"/>
          <w:color w:val="auto"/>
          <w:sz w:val="24"/>
        </w:rPr>
      </w:pPr>
    </w:p>
    <w:p>
      <w:pPr>
        <w:pageBreakBefore w:val="0"/>
        <w:widowControl w:val="0"/>
        <w:numPr>
          <w:ilvl w:val="0"/>
          <w:numId w:val="0"/>
        </w:numPr>
        <w:tabs>
          <w:tab w:val="left" w:pos="720"/>
        </w:tabs>
        <w:kinsoku/>
        <w:wordWrap/>
        <w:topLinePunct w:val="0"/>
        <w:bidi w:val="0"/>
        <w:spacing w:line="360" w:lineRule="auto"/>
        <w:jc w:val="both"/>
        <w:rPr>
          <w:rFonts w:hint="eastAsia" w:ascii="仿宋_GB2312" w:hAnsi="仿宋_GB2312" w:eastAsia="仿宋_GB2312" w:cs="仿宋_GB2312"/>
          <w:color w:val="auto"/>
          <w:sz w:val="24"/>
        </w:rPr>
      </w:pPr>
    </w:p>
    <w:p>
      <w:pPr>
        <w:pageBreakBefore w:val="0"/>
        <w:widowControl w:val="0"/>
        <w:numPr>
          <w:ilvl w:val="0"/>
          <w:numId w:val="0"/>
        </w:numPr>
        <w:tabs>
          <w:tab w:val="left" w:pos="720"/>
        </w:tabs>
        <w:kinsoku/>
        <w:wordWrap/>
        <w:topLinePunct w:val="0"/>
        <w:bidi w:val="0"/>
        <w:spacing w:line="360" w:lineRule="auto"/>
        <w:jc w:val="both"/>
        <w:rPr>
          <w:rFonts w:hint="eastAsia" w:ascii="仿宋_GB2312" w:hAnsi="仿宋_GB2312" w:eastAsia="仿宋_GB2312" w:cs="仿宋_GB2312"/>
          <w:color w:val="auto"/>
          <w:sz w:val="24"/>
        </w:rPr>
      </w:pPr>
    </w:p>
    <w:p>
      <w:pPr>
        <w:pageBreakBefore w:val="0"/>
        <w:widowControl w:val="0"/>
        <w:numPr>
          <w:ilvl w:val="0"/>
          <w:numId w:val="0"/>
        </w:numPr>
        <w:tabs>
          <w:tab w:val="left" w:pos="720"/>
        </w:tabs>
        <w:kinsoku/>
        <w:wordWrap/>
        <w:topLinePunct w:val="0"/>
        <w:bidi w:val="0"/>
        <w:spacing w:line="360" w:lineRule="auto"/>
        <w:jc w:val="both"/>
        <w:rPr>
          <w:rFonts w:hint="eastAsia" w:ascii="仿宋_GB2312" w:hAnsi="仿宋_GB2312" w:eastAsia="仿宋_GB2312" w:cs="仿宋_GB2312"/>
          <w:color w:val="auto"/>
          <w:sz w:val="24"/>
        </w:rPr>
      </w:pPr>
    </w:p>
    <w:p>
      <w:pPr>
        <w:pStyle w:val="3"/>
        <w:pageBreakBefore w:val="0"/>
        <w:kinsoku/>
        <w:wordWrap/>
        <w:topLinePunct w:val="0"/>
        <w:bidi w:val="0"/>
        <w:spacing w:line="360" w:lineRule="auto"/>
        <w:rPr>
          <w:rFonts w:ascii="仿宋_GB2312" w:hAnsi="仿宋_GB2312" w:eastAsia="仿宋_GB2312" w:cs="仿宋_GB2312"/>
          <w:color w:val="auto"/>
          <w:spacing w:val="0"/>
        </w:rPr>
      </w:pPr>
      <w:bookmarkStart w:id="85" w:name="index_14"/>
      <w:bookmarkEnd w:id="85"/>
      <w:bookmarkStart w:id="86" w:name="_Toc15097"/>
      <w:r>
        <w:rPr>
          <w:rFonts w:hint="eastAsia" w:ascii="仿宋_GB2312" w:hAnsi="仿宋_GB2312" w:eastAsia="仿宋_GB2312" w:cs="仿宋_GB2312"/>
          <w:color w:val="auto"/>
          <w:spacing w:val="0"/>
        </w:rPr>
        <w:t>资产评估报告日</w:t>
      </w:r>
      <w:bookmarkEnd w:id="86"/>
    </w:p>
    <w:p>
      <w:pPr>
        <w:pageBreakBefore w:val="0"/>
        <w:widowControl/>
        <w:kinsoku/>
        <w:wordWrap/>
        <w:topLinePunct w:val="0"/>
        <w:autoSpaceDE w:val="0"/>
        <w:autoSpaceDN w:val="0"/>
        <w:bidi w:val="0"/>
        <w:spacing w:line="360" w:lineRule="auto"/>
        <w:ind w:firstLine="480" w:firstLineChars="200"/>
        <w:textAlignment w:val="bottom"/>
        <w:rPr>
          <w:rFonts w:ascii="仿宋_GB2312" w:hAnsi="仿宋_GB2312" w:eastAsia="仿宋_GB2312" w:cs="仿宋_GB2312"/>
          <w:color w:val="auto"/>
          <w:sz w:val="24"/>
        </w:rPr>
      </w:pPr>
      <w:r>
        <w:rPr>
          <w:rFonts w:hint="eastAsia" w:ascii="仿宋_GB2312" w:hAnsi="仿宋_GB2312" w:eastAsia="仿宋_GB2312" w:cs="仿宋_GB2312"/>
          <w:color w:val="auto"/>
          <w:sz w:val="24"/>
        </w:rPr>
        <w:t>本评估报告提出日期为</w:t>
      </w:r>
      <w:r>
        <w:rPr>
          <w:rFonts w:hint="eastAsia" w:ascii="仿宋_GB2312" w:hAnsi="仿宋_GB2312" w:eastAsia="仿宋_GB2312" w:cs="仿宋_GB2312"/>
          <w:color w:val="auto"/>
          <w:sz w:val="24"/>
          <w:lang w:eastAsia="zh-CN"/>
        </w:rPr>
        <w:t>2022年0</w:t>
      </w:r>
      <w:r>
        <w:rPr>
          <w:rFonts w:hint="eastAsia" w:ascii="仿宋_GB2312" w:hAnsi="仿宋_GB2312" w:eastAsia="仿宋_GB2312" w:cs="仿宋_GB2312"/>
          <w:color w:val="auto"/>
          <w:sz w:val="24"/>
          <w:lang w:val="en-US" w:eastAsia="zh-CN"/>
        </w:rPr>
        <w:t>9</w:t>
      </w:r>
      <w:r>
        <w:rPr>
          <w:rFonts w:hint="eastAsia" w:ascii="仿宋_GB2312" w:hAnsi="仿宋_GB2312" w:eastAsia="仿宋_GB2312" w:cs="仿宋_GB2312"/>
          <w:color w:val="auto"/>
          <w:sz w:val="24"/>
          <w:lang w:eastAsia="zh-CN"/>
        </w:rPr>
        <w:t>月</w:t>
      </w:r>
      <w:r>
        <w:rPr>
          <w:rFonts w:hint="eastAsia" w:ascii="仿宋_GB2312" w:hAnsi="仿宋_GB2312" w:eastAsia="仿宋_GB2312" w:cs="仿宋_GB2312"/>
          <w:color w:val="auto"/>
          <w:sz w:val="24"/>
          <w:lang w:val="en-US" w:eastAsia="zh-CN"/>
        </w:rPr>
        <w:t>07</w:t>
      </w:r>
      <w:r>
        <w:rPr>
          <w:rFonts w:hint="eastAsia" w:ascii="仿宋_GB2312" w:hAnsi="仿宋_GB2312" w:eastAsia="仿宋_GB2312" w:cs="仿宋_GB2312"/>
          <w:color w:val="auto"/>
          <w:sz w:val="24"/>
          <w:lang w:eastAsia="zh-CN"/>
        </w:rPr>
        <w:t>日</w:t>
      </w:r>
      <w:r>
        <w:rPr>
          <w:rFonts w:hint="eastAsia" w:ascii="仿宋_GB2312" w:hAnsi="仿宋_GB2312" w:eastAsia="仿宋_GB2312" w:cs="仿宋_GB2312"/>
          <w:color w:val="auto"/>
          <w:sz w:val="24"/>
        </w:rPr>
        <w:t>。</w:t>
      </w:r>
    </w:p>
    <w:p>
      <w:pPr>
        <w:pageBreakBefore w:val="0"/>
        <w:tabs>
          <w:tab w:val="left" w:pos="2964"/>
        </w:tabs>
        <w:kinsoku/>
        <w:wordWrap/>
        <w:topLinePunct w:val="0"/>
        <w:bidi w:val="0"/>
        <w:spacing w:line="360" w:lineRule="auto"/>
        <w:ind w:firstLine="630"/>
        <w:rPr>
          <w:rFonts w:ascii="仿宋_GB2312" w:hAnsi="仿宋_GB2312" w:eastAsia="仿宋_GB2312" w:cs="仿宋_GB2312"/>
          <w:color w:val="auto"/>
          <w:sz w:val="24"/>
        </w:rPr>
      </w:pPr>
      <w:bookmarkStart w:id="87" w:name="_Toc474679491"/>
      <w:bookmarkStart w:id="88" w:name="_Toc474678036"/>
      <w:bookmarkStart w:id="89" w:name="_Toc474676092"/>
      <w:bookmarkStart w:id="90" w:name="_Toc474676051"/>
    </w:p>
    <w:p>
      <w:pPr>
        <w:pageBreakBefore w:val="0"/>
        <w:tabs>
          <w:tab w:val="left" w:pos="2964"/>
        </w:tabs>
        <w:kinsoku/>
        <w:wordWrap/>
        <w:topLinePunct w:val="0"/>
        <w:bidi w:val="0"/>
        <w:spacing w:line="360" w:lineRule="auto"/>
        <w:ind w:firstLine="630"/>
        <w:rPr>
          <w:rFonts w:ascii="仿宋_GB2312" w:hAnsi="仿宋_GB2312" w:eastAsia="仿宋_GB2312" w:cs="仿宋_GB2312"/>
          <w:color w:val="auto"/>
          <w:sz w:val="24"/>
        </w:rPr>
      </w:pPr>
    </w:p>
    <w:p>
      <w:pPr>
        <w:pageBreakBefore w:val="0"/>
        <w:tabs>
          <w:tab w:val="left" w:pos="2964"/>
        </w:tabs>
        <w:kinsoku/>
        <w:wordWrap/>
        <w:topLinePunct w:val="0"/>
        <w:bidi w:val="0"/>
        <w:spacing w:line="360" w:lineRule="auto"/>
        <w:ind w:firstLine="630"/>
        <w:rPr>
          <w:rFonts w:ascii="仿宋_GB2312" w:hAnsi="仿宋_GB2312" w:eastAsia="仿宋_GB2312" w:cs="仿宋_GB2312"/>
          <w:color w:val="auto"/>
          <w:sz w:val="24"/>
        </w:rPr>
      </w:pPr>
    </w:p>
    <w:p>
      <w:pPr>
        <w:pageBreakBefore w:val="0"/>
        <w:kinsoku/>
        <w:wordWrap/>
        <w:topLinePunct w:val="0"/>
        <w:bidi w:val="0"/>
        <w:spacing w:line="360" w:lineRule="auto"/>
        <w:ind w:firstLine="630"/>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资产评估师：  </w:t>
      </w:r>
    </w:p>
    <w:p>
      <w:pPr>
        <w:pageBreakBefore w:val="0"/>
        <w:kinsoku/>
        <w:wordWrap/>
        <w:topLinePunct w:val="0"/>
        <w:bidi w:val="0"/>
        <w:spacing w:line="360" w:lineRule="auto"/>
        <w:ind w:firstLine="630"/>
        <w:rPr>
          <w:rFonts w:ascii="仿宋_GB2312" w:hAnsi="仿宋_GB2312" w:eastAsia="仿宋_GB2312" w:cs="仿宋_GB2312"/>
          <w:color w:val="auto"/>
          <w:sz w:val="24"/>
        </w:rPr>
      </w:pPr>
    </w:p>
    <w:p>
      <w:pPr>
        <w:pageBreakBefore w:val="0"/>
        <w:kinsoku/>
        <w:wordWrap/>
        <w:topLinePunct w:val="0"/>
        <w:bidi w:val="0"/>
        <w:spacing w:line="360" w:lineRule="auto"/>
        <w:ind w:firstLine="630"/>
        <w:rPr>
          <w:rFonts w:ascii="仿宋_GB2312" w:hAnsi="仿宋_GB2312" w:eastAsia="仿宋_GB2312" w:cs="仿宋_GB2312"/>
          <w:color w:val="auto"/>
          <w:sz w:val="24"/>
        </w:rPr>
      </w:pPr>
    </w:p>
    <w:p>
      <w:pPr>
        <w:pageBreakBefore w:val="0"/>
        <w:kinsoku/>
        <w:wordWrap/>
        <w:topLinePunct w:val="0"/>
        <w:bidi w:val="0"/>
        <w:spacing w:line="360" w:lineRule="auto"/>
        <w:ind w:firstLine="630"/>
        <w:rPr>
          <w:rFonts w:ascii="仿宋_GB2312" w:hAnsi="仿宋_GB2312" w:eastAsia="仿宋_GB2312" w:cs="仿宋_GB2312"/>
          <w:color w:val="auto"/>
          <w:sz w:val="24"/>
        </w:rPr>
      </w:pPr>
    </w:p>
    <w:p>
      <w:pPr>
        <w:pageBreakBefore w:val="0"/>
        <w:kinsoku/>
        <w:wordWrap/>
        <w:topLinePunct w:val="0"/>
        <w:bidi w:val="0"/>
        <w:spacing w:line="360" w:lineRule="auto"/>
        <w:ind w:firstLine="630"/>
        <w:rPr>
          <w:rFonts w:ascii="仿宋_GB2312" w:hAnsi="仿宋_GB2312" w:eastAsia="仿宋_GB2312" w:cs="仿宋_GB2312"/>
          <w:color w:val="auto"/>
          <w:sz w:val="24"/>
        </w:rPr>
      </w:pPr>
    </w:p>
    <w:p>
      <w:pPr>
        <w:pageBreakBefore w:val="0"/>
        <w:kinsoku/>
        <w:wordWrap/>
        <w:topLinePunct w:val="0"/>
        <w:bidi w:val="0"/>
        <w:spacing w:line="360" w:lineRule="auto"/>
        <w:ind w:firstLine="630"/>
        <w:rPr>
          <w:rFonts w:ascii="仿宋_GB2312" w:hAnsi="仿宋_GB2312" w:eastAsia="仿宋_GB2312" w:cs="仿宋_GB2312"/>
          <w:color w:val="auto"/>
          <w:sz w:val="24"/>
        </w:rPr>
      </w:pPr>
      <w:r>
        <w:rPr>
          <w:rFonts w:hint="eastAsia" w:ascii="仿宋_GB2312" w:hAnsi="仿宋_GB2312" w:eastAsia="仿宋_GB2312" w:cs="仿宋_GB2312"/>
          <w:color w:val="auto"/>
          <w:sz w:val="24"/>
        </w:rPr>
        <w:t>资产评估师：</w:t>
      </w:r>
    </w:p>
    <w:p>
      <w:pPr>
        <w:pageBreakBefore w:val="0"/>
        <w:widowControl/>
        <w:kinsoku/>
        <w:wordWrap/>
        <w:topLinePunct w:val="0"/>
        <w:autoSpaceDE w:val="0"/>
        <w:autoSpaceDN w:val="0"/>
        <w:bidi w:val="0"/>
        <w:spacing w:line="360" w:lineRule="auto"/>
        <w:jc w:val="center"/>
        <w:textAlignment w:val="bottom"/>
        <w:rPr>
          <w:rFonts w:ascii="仿宋_GB2312" w:hAnsi="仿宋_GB2312" w:eastAsia="仿宋_GB2312" w:cs="仿宋_GB2312"/>
          <w:color w:val="auto"/>
          <w:sz w:val="28"/>
          <w:szCs w:val="28"/>
        </w:rPr>
      </w:pPr>
    </w:p>
    <w:p>
      <w:pPr>
        <w:pageBreakBefore w:val="0"/>
        <w:widowControl/>
        <w:kinsoku/>
        <w:wordWrap/>
        <w:topLinePunct w:val="0"/>
        <w:autoSpaceDE w:val="0"/>
        <w:autoSpaceDN w:val="0"/>
        <w:bidi w:val="0"/>
        <w:spacing w:line="360" w:lineRule="auto"/>
        <w:jc w:val="center"/>
        <w:textAlignment w:val="bottom"/>
        <w:rPr>
          <w:rFonts w:ascii="仿宋_GB2312" w:hAnsi="仿宋_GB2312" w:eastAsia="仿宋_GB2312" w:cs="仿宋_GB2312"/>
          <w:color w:val="auto"/>
          <w:sz w:val="28"/>
          <w:szCs w:val="28"/>
        </w:rPr>
      </w:pPr>
    </w:p>
    <w:p>
      <w:pPr>
        <w:pageBreakBefore w:val="0"/>
        <w:widowControl/>
        <w:kinsoku/>
        <w:wordWrap/>
        <w:topLinePunct w:val="0"/>
        <w:autoSpaceDE w:val="0"/>
        <w:autoSpaceDN w:val="0"/>
        <w:bidi w:val="0"/>
        <w:spacing w:line="360" w:lineRule="auto"/>
        <w:jc w:val="center"/>
        <w:textAlignment w:val="bottom"/>
        <w:rPr>
          <w:rFonts w:ascii="仿宋_GB2312" w:hAnsi="仿宋_GB2312" w:eastAsia="仿宋_GB2312" w:cs="仿宋_GB2312"/>
          <w:color w:val="auto"/>
          <w:sz w:val="28"/>
          <w:szCs w:val="28"/>
        </w:rPr>
      </w:pPr>
    </w:p>
    <w:p>
      <w:pPr>
        <w:pageBreakBefore w:val="0"/>
        <w:widowControl/>
        <w:kinsoku/>
        <w:wordWrap/>
        <w:topLinePunct w:val="0"/>
        <w:autoSpaceDE w:val="0"/>
        <w:autoSpaceDN w:val="0"/>
        <w:bidi w:val="0"/>
        <w:spacing w:line="360" w:lineRule="auto"/>
        <w:jc w:val="right"/>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绍兴天阳房地产资产评估有限公司</w:t>
      </w:r>
    </w:p>
    <w:p>
      <w:pPr>
        <w:pageBreakBefore w:val="0"/>
        <w:widowControl/>
        <w:kinsoku/>
        <w:wordWrap/>
        <w:topLinePunct w:val="0"/>
        <w:autoSpaceDE w:val="0"/>
        <w:autoSpaceDN w:val="0"/>
        <w:bidi w:val="0"/>
        <w:spacing w:line="360" w:lineRule="auto"/>
        <w:jc w:val="right"/>
        <w:textAlignment w:val="bottom"/>
        <w:rPr>
          <w:rFonts w:hint="eastAsia" w:ascii="仿宋_GB2312" w:hAnsi="仿宋_GB2312" w:eastAsia="仿宋_GB2312" w:cs="仿宋_GB2312"/>
          <w:b/>
          <w:color w:val="auto"/>
          <w:sz w:val="28"/>
          <w:szCs w:val="28"/>
        </w:rPr>
      </w:pPr>
    </w:p>
    <w:bookmarkEnd w:id="87"/>
    <w:bookmarkEnd w:id="88"/>
    <w:bookmarkEnd w:id="89"/>
    <w:bookmarkEnd w:id="90"/>
    <w:p>
      <w:pPr>
        <w:pageBreakBefore w:val="0"/>
        <w:widowControl/>
        <w:kinsoku/>
        <w:wordWrap/>
        <w:topLinePunct w:val="0"/>
        <w:autoSpaceDE w:val="0"/>
        <w:autoSpaceDN w:val="0"/>
        <w:bidi w:val="0"/>
        <w:spacing w:line="360" w:lineRule="auto"/>
        <w:jc w:val="right"/>
        <w:textAlignment w:val="bottom"/>
        <w:rPr>
          <w:rFonts w:hint="eastAsia" w:ascii="仿宋_GB2312" w:hAnsi="仿宋_GB2312" w:eastAsia="仿宋_GB2312" w:cs="仿宋_GB2312"/>
          <w:b/>
          <w:color w:val="auto"/>
          <w:sz w:val="32"/>
          <w:szCs w:val="32"/>
          <w:lang w:eastAsia="zh-CN"/>
        </w:rPr>
      </w:pPr>
      <w:bookmarkStart w:id="91" w:name="index_15"/>
      <w:bookmarkEnd w:id="91"/>
      <w:bookmarkStart w:id="92" w:name="_Toc8343"/>
      <w:r>
        <w:rPr>
          <w:rFonts w:hint="eastAsia" w:ascii="仿宋_GB2312" w:hAnsi="仿宋_GB2312" w:eastAsia="仿宋_GB2312" w:cs="仿宋_GB2312"/>
          <w:b/>
          <w:color w:val="auto"/>
          <w:sz w:val="32"/>
          <w:szCs w:val="32"/>
          <w:lang w:eastAsia="zh-CN"/>
        </w:rPr>
        <w:t>2022年0</w:t>
      </w:r>
      <w:r>
        <w:rPr>
          <w:rFonts w:hint="eastAsia" w:ascii="仿宋_GB2312" w:hAnsi="仿宋_GB2312" w:eastAsia="仿宋_GB2312" w:cs="仿宋_GB2312"/>
          <w:b/>
          <w:color w:val="auto"/>
          <w:sz w:val="32"/>
          <w:szCs w:val="32"/>
          <w:lang w:val="en-US" w:eastAsia="zh-CN"/>
        </w:rPr>
        <w:t>9</w:t>
      </w:r>
      <w:r>
        <w:rPr>
          <w:rFonts w:hint="eastAsia" w:ascii="仿宋_GB2312" w:hAnsi="仿宋_GB2312" w:eastAsia="仿宋_GB2312" w:cs="仿宋_GB2312"/>
          <w:b/>
          <w:color w:val="auto"/>
          <w:sz w:val="32"/>
          <w:szCs w:val="32"/>
          <w:lang w:eastAsia="zh-CN"/>
        </w:rPr>
        <w:t>月</w:t>
      </w:r>
      <w:r>
        <w:rPr>
          <w:rFonts w:hint="eastAsia" w:ascii="仿宋_GB2312" w:hAnsi="仿宋_GB2312" w:eastAsia="仿宋_GB2312" w:cs="仿宋_GB2312"/>
          <w:b/>
          <w:color w:val="auto"/>
          <w:sz w:val="32"/>
          <w:szCs w:val="32"/>
          <w:lang w:val="en-US" w:eastAsia="zh-CN"/>
        </w:rPr>
        <w:t>07</w:t>
      </w:r>
      <w:r>
        <w:rPr>
          <w:rFonts w:hint="eastAsia" w:ascii="仿宋_GB2312" w:hAnsi="仿宋_GB2312" w:eastAsia="仿宋_GB2312" w:cs="仿宋_GB2312"/>
          <w:b/>
          <w:color w:val="auto"/>
          <w:sz w:val="32"/>
          <w:szCs w:val="32"/>
          <w:lang w:eastAsia="zh-CN"/>
        </w:rPr>
        <w:t>日</w:t>
      </w:r>
    </w:p>
    <w:p>
      <w:pPr>
        <w:pStyle w:val="2"/>
        <w:pageBreakBefore w:val="0"/>
        <w:tabs>
          <w:tab w:val="left" w:pos="852"/>
          <w:tab w:val="left" w:pos="1080"/>
          <w:tab w:val="left" w:pos="1260"/>
          <w:tab w:val="left" w:pos="1440"/>
        </w:tabs>
        <w:kinsoku/>
        <w:wordWrap/>
        <w:topLinePunct w:val="0"/>
        <w:bidi w:val="0"/>
        <w:spacing w:line="360" w:lineRule="auto"/>
        <w:jc w:val="right"/>
        <w:rPr>
          <w:rFonts w:ascii="仿宋_GB2312" w:hAnsi="仿宋_GB2312" w:eastAsia="仿宋_GB2312" w:cs="仿宋_GB2312"/>
          <w:color w:val="auto"/>
          <w:sz w:val="32"/>
          <w:szCs w:val="32"/>
        </w:rPr>
      </w:pPr>
    </w:p>
    <w:p>
      <w:pPr>
        <w:pageBreakBefore w:val="0"/>
        <w:kinsoku/>
        <w:wordWrap/>
        <w:topLinePunct w:val="0"/>
        <w:bidi w:val="0"/>
        <w:spacing w:line="360" w:lineRule="auto"/>
        <w:rPr>
          <w:rFonts w:ascii="仿宋_GB2312" w:hAnsi="仿宋_GB2312" w:eastAsia="仿宋_GB2312" w:cs="仿宋_GB2312"/>
          <w:b/>
          <w:color w:val="auto"/>
          <w:sz w:val="32"/>
          <w:szCs w:val="32"/>
        </w:rPr>
      </w:pPr>
    </w:p>
    <w:p>
      <w:pPr>
        <w:pageBreakBefore w:val="0"/>
        <w:kinsoku/>
        <w:wordWrap/>
        <w:topLinePunct w:val="0"/>
        <w:bidi w:val="0"/>
        <w:spacing w:line="360" w:lineRule="auto"/>
        <w:rPr>
          <w:rFonts w:ascii="仿宋_GB2312" w:hAnsi="仿宋_GB2312" w:eastAsia="仿宋_GB2312" w:cs="仿宋_GB2312"/>
          <w:b/>
          <w:color w:val="auto"/>
          <w:sz w:val="32"/>
          <w:szCs w:val="32"/>
        </w:rPr>
      </w:pPr>
    </w:p>
    <w:p>
      <w:pPr>
        <w:pageBreakBefore w:val="0"/>
        <w:kinsoku/>
        <w:wordWrap/>
        <w:topLinePunct w:val="0"/>
        <w:bidi w:val="0"/>
        <w:spacing w:line="360" w:lineRule="auto"/>
        <w:rPr>
          <w:rFonts w:ascii="仿宋_GB2312" w:hAnsi="仿宋_GB2312" w:eastAsia="仿宋_GB2312" w:cs="仿宋_GB2312"/>
          <w:b/>
          <w:color w:val="auto"/>
          <w:sz w:val="32"/>
          <w:szCs w:val="32"/>
        </w:rPr>
      </w:pPr>
    </w:p>
    <w:p>
      <w:pPr>
        <w:pageBreakBefore w:val="0"/>
        <w:kinsoku/>
        <w:wordWrap/>
        <w:topLinePunct w:val="0"/>
        <w:bidi w:val="0"/>
        <w:spacing w:line="360" w:lineRule="auto"/>
        <w:rPr>
          <w:rFonts w:ascii="仿宋_GB2312" w:hAnsi="仿宋_GB2312" w:eastAsia="仿宋_GB2312" w:cs="仿宋_GB2312"/>
          <w:b/>
          <w:color w:val="auto"/>
          <w:sz w:val="32"/>
          <w:szCs w:val="32"/>
        </w:rPr>
      </w:pPr>
    </w:p>
    <w:p>
      <w:pPr>
        <w:pageBreakBefore w:val="0"/>
        <w:kinsoku/>
        <w:wordWrap/>
        <w:topLinePunct w:val="0"/>
        <w:bidi w:val="0"/>
        <w:spacing w:line="360" w:lineRule="auto"/>
        <w:rPr>
          <w:rFonts w:ascii="仿宋_GB2312" w:hAnsi="仿宋_GB2312" w:eastAsia="仿宋_GB2312" w:cs="仿宋_GB2312"/>
          <w:b/>
          <w:color w:val="auto"/>
          <w:sz w:val="32"/>
          <w:szCs w:val="32"/>
        </w:rPr>
      </w:pPr>
    </w:p>
    <w:p>
      <w:pPr>
        <w:pageBreakBefore w:val="0"/>
        <w:kinsoku/>
        <w:wordWrap/>
        <w:topLinePunct w:val="0"/>
        <w:bidi w:val="0"/>
        <w:spacing w:line="360" w:lineRule="auto"/>
        <w:rPr>
          <w:rFonts w:ascii="仿宋_GB2312" w:hAnsi="仿宋_GB2312" w:eastAsia="仿宋_GB2312" w:cs="仿宋_GB2312"/>
          <w:b/>
          <w:color w:val="auto"/>
          <w:sz w:val="32"/>
          <w:szCs w:val="32"/>
        </w:rPr>
      </w:pPr>
    </w:p>
    <w:p>
      <w:pPr>
        <w:pStyle w:val="2"/>
        <w:pageBreakBefore w:val="0"/>
        <w:tabs>
          <w:tab w:val="left" w:pos="852"/>
          <w:tab w:val="left" w:pos="1080"/>
          <w:tab w:val="left" w:pos="1260"/>
          <w:tab w:val="left" w:pos="1440"/>
        </w:tabs>
        <w:kinsoku/>
        <w:wordWrap/>
        <w:topLinePunct w:val="0"/>
        <w:bidi w:val="0"/>
        <w:spacing w:line="360" w:lineRule="auto"/>
        <w:jc w:val="both"/>
        <w:rPr>
          <w:rFonts w:hint="eastAsia" w:ascii="仿宋_GB2312" w:hAnsi="仿宋_GB2312" w:eastAsia="仿宋_GB2312" w:cs="仿宋_GB2312"/>
          <w:color w:val="auto"/>
          <w:sz w:val="36"/>
          <w:szCs w:val="21"/>
        </w:rPr>
      </w:pPr>
    </w:p>
    <w:p>
      <w:pPr>
        <w:rPr>
          <w:rFonts w:hint="eastAsia"/>
        </w:rPr>
      </w:pPr>
    </w:p>
    <w:p>
      <w:pPr>
        <w:pStyle w:val="2"/>
        <w:pageBreakBefore w:val="0"/>
        <w:tabs>
          <w:tab w:val="left" w:pos="852"/>
          <w:tab w:val="left" w:pos="1080"/>
          <w:tab w:val="left" w:pos="1260"/>
          <w:tab w:val="left" w:pos="1440"/>
        </w:tabs>
        <w:kinsoku/>
        <w:wordWrap/>
        <w:topLinePunct w:val="0"/>
        <w:bidi w:val="0"/>
        <w:spacing w:line="360" w:lineRule="auto"/>
        <w:jc w:val="center"/>
        <w:rPr>
          <w:color w:val="auto"/>
          <w:sz w:val="36"/>
          <w:szCs w:val="21"/>
        </w:rPr>
      </w:pPr>
      <w:r>
        <w:rPr>
          <w:rFonts w:hint="eastAsia" w:ascii="仿宋_GB2312" w:hAnsi="仿宋_GB2312" w:eastAsia="仿宋_GB2312" w:cs="仿宋_GB2312"/>
          <w:color w:val="auto"/>
          <w:sz w:val="36"/>
          <w:szCs w:val="21"/>
        </w:rPr>
        <w:t>资产评估报告.附件</w:t>
      </w:r>
      <w:bookmarkEnd w:id="92"/>
    </w:p>
    <w:p>
      <w:pPr>
        <w:pageBreakBefore w:val="0"/>
        <w:numPr>
          <w:ilvl w:val="0"/>
          <w:numId w:val="19"/>
        </w:numPr>
        <w:kinsoku/>
        <w:wordWrap/>
        <w:topLinePunct w:val="0"/>
        <w:bidi w:val="0"/>
        <w:spacing w:line="360" w:lineRule="auto"/>
        <w:ind w:left="425" w:leftChars="0" w:hanging="425" w:firstLineChars="0"/>
        <w:rPr>
          <w:rFonts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评估明细表;</w:t>
      </w:r>
    </w:p>
    <w:p>
      <w:pPr>
        <w:pageBreakBefore w:val="0"/>
        <w:numPr>
          <w:ilvl w:val="0"/>
          <w:numId w:val="19"/>
        </w:numPr>
        <w:kinsoku/>
        <w:wordWrap/>
        <w:topLinePunct w:val="0"/>
        <w:bidi w:val="0"/>
        <w:spacing w:line="360" w:lineRule="auto"/>
        <w:ind w:left="425" w:leftChars="0" w:hanging="425" w:firstLineChars="0"/>
        <w:rPr>
          <w:rFonts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评估对象位置图;</w:t>
      </w:r>
    </w:p>
    <w:p>
      <w:pPr>
        <w:pageBreakBefore w:val="0"/>
        <w:numPr>
          <w:ilvl w:val="0"/>
          <w:numId w:val="19"/>
        </w:numPr>
        <w:kinsoku/>
        <w:wordWrap/>
        <w:topLinePunct w:val="0"/>
        <w:bidi w:val="0"/>
        <w:spacing w:line="360" w:lineRule="auto"/>
        <w:ind w:left="425" w:leftChars="0" w:hanging="425" w:firstLineChars="0"/>
        <w:rPr>
          <w:rFonts w:ascii="仿宋_GB2312" w:hAnsi="仿宋_GB2312" w:eastAsia="仿宋_GB2312" w:cs="仿宋_GB2312"/>
          <w:color w:val="auto"/>
          <w:sz w:val="24"/>
        </w:rPr>
      </w:pPr>
      <w:r>
        <w:rPr>
          <w:rFonts w:hint="eastAsia" w:ascii="仿宋_GB2312" w:hAnsi="仿宋_GB2312" w:eastAsia="仿宋_GB2312" w:cs="仿宋_GB2312"/>
          <w:color w:val="auto"/>
          <w:sz w:val="24"/>
        </w:rPr>
        <w:t>评估对象照片；</w:t>
      </w:r>
    </w:p>
    <w:p>
      <w:pPr>
        <w:pageBreakBefore w:val="0"/>
        <w:numPr>
          <w:ilvl w:val="0"/>
          <w:numId w:val="19"/>
        </w:numPr>
        <w:kinsoku/>
        <w:wordWrap/>
        <w:topLinePunct w:val="0"/>
        <w:bidi w:val="0"/>
        <w:spacing w:line="360" w:lineRule="auto"/>
        <w:ind w:left="425" w:leftChars="0" w:hanging="425" w:firstLineChars="0"/>
        <w:rPr>
          <w:rFonts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评估委托书；</w:t>
      </w:r>
    </w:p>
    <w:p>
      <w:pPr>
        <w:pageBreakBefore w:val="0"/>
        <w:numPr>
          <w:ilvl w:val="0"/>
          <w:numId w:val="19"/>
        </w:numPr>
        <w:kinsoku/>
        <w:wordWrap/>
        <w:topLinePunct w:val="0"/>
        <w:bidi w:val="0"/>
        <w:spacing w:line="360" w:lineRule="auto"/>
        <w:ind w:left="425" w:leftChars="0" w:hanging="425" w:firstLineChars="0"/>
        <w:rPr>
          <w:rFonts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不动产登记查档证明；</w:t>
      </w:r>
    </w:p>
    <w:p>
      <w:pPr>
        <w:pageBreakBefore w:val="0"/>
        <w:numPr>
          <w:ilvl w:val="0"/>
          <w:numId w:val="19"/>
        </w:numPr>
        <w:kinsoku/>
        <w:wordWrap/>
        <w:topLinePunct w:val="0"/>
        <w:bidi w:val="0"/>
        <w:spacing w:line="360" w:lineRule="auto"/>
        <w:ind w:left="425" w:leftChars="0" w:hanging="425" w:firstLineChars="0"/>
        <w:rPr>
          <w:rFonts w:ascii="仿宋_GB2312" w:hAnsi="仿宋_GB2312" w:eastAsia="仿宋_GB2312" w:cs="仿宋_GB2312"/>
          <w:color w:val="auto"/>
          <w:sz w:val="24"/>
        </w:rPr>
      </w:pPr>
      <w:r>
        <w:rPr>
          <w:rFonts w:hint="eastAsia" w:ascii="仿宋_GB2312" w:hAnsi="仿宋_GB2312" w:eastAsia="仿宋_GB2312" w:cs="仿宋_GB2312"/>
          <w:color w:val="auto"/>
          <w:sz w:val="24"/>
        </w:rPr>
        <w:t>签字资产评估师的承诺函；</w:t>
      </w:r>
    </w:p>
    <w:p>
      <w:pPr>
        <w:pageBreakBefore w:val="0"/>
        <w:numPr>
          <w:ilvl w:val="0"/>
          <w:numId w:val="19"/>
        </w:numPr>
        <w:kinsoku/>
        <w:wordWrap/>
        <w:topLinePunct w:val="0"/>
        <w:bidi w:val="0"/>
        <w:spacing w:line="360" w:lineRule="auto"/>
        <w:ind w:left="425" w:leftChars="0" w:hanging="425" w:firstLineChars="0"/>
        <w:rPr>
          <w:rFonts w:ascii="仿宋_GB2312" w:hAnsi="仿宋_GB2312" w:eastAsia="仿宋_GB2312" w:cs="仿宋_GB2312"/>
          <w:color w:val="auto"/>
          <w:sz w:val="24"/>
        </w:rPr>
      </w:pPr>
      <w:r>
        <w:rPr>
          <w:rFonts w:hint="eastAsia" w:ascii="仿宋_GB2312" w:hAnsi="仿宋_GB2312" w:eastAsia="仿宋_GB2312" w:cs="仿宋_GB2312"/>
          <w:color w:val="auto"/>
          <w:sz w:val="24"/>
        </w:rPr>
        <w:t>资产评估机构备案公告；</w:t>
      </w:r>
    </w:p>
    <w:p>
      <w:pPr>
        <w:pageBreakBefore w:val="0"/>
        <w:numPr>
          <w:ilvl w:val="0"/>
          <w:numId w:val="19"/>
        </w:numPr>
        <w:kinsoku/>
        <w:wordWrap/>
        <w:topLinePunct w:val="0"/>
        <w:bidi w:val="0"/>
        <w:spacing w:line="360" w:lineRule="auto"/>
        <w:ind w:left="425" w:leftChars="0" w:hanging="425" w:firstLineChars="0"/>
        <w:rPr>
          <w:rFonts w:ascii="仿宋_GB2312" w:hAnsi="仿宋_GB2312" w:eastAsia="仿宋_GB2312" w:cs="仿宋_GB2312"/>
          <w:color w:val="auto"/>
          <w:sz w:val="24"/>
        </w:rPr>
      </w:pPr>
      <w:r>
        <w:rPr>
          <w:rFonts w:hint="eastAsia" w:ascii="仿宋_GB2312" w:hAnsi="仿宋_GB2312" w:eastAsia="仿宋_GB2312" w:cs="仿宋_GB2312"/>
          <w:color w:val="auto"/>
          <w:sz w:val="24"/>
        </w:rPr>
        <w:t>资产评估机构法人营业执照；</w:t>
      </w:r>
    </w:p>
    <w:p>
      <w:pPr>
        <w:pageBreakBefore w:val="0"/>
        <w:numPr>
          <w:ilvl w:val="0"/>
          <w:numId w:val="19"/>
        </w:numPr>
        <w:kinsoku/>
        <w:wordWrap/>
        <w:topLinePunct w:val="0"/>
        <w:bidi w:val="0"/>
        <w:spacing w:line="360" w:lineRule="auto"/>
        <w:ind w:left="425" w:leftChars="0" w:hanging="425" w:firstLineChars="0"/>
        <w:rPr>
          <w:rFonts w:ascii="Calibri" w:hAnsi="Calibri"/>
          <w:color w:val="auto"/>
          <w:szCs w:val="22"/>
        </w:rPr>
      </w:pPr>
      <w:r>
        <w:rPr>
          <w:rFonts w:hint="eastAsia" w:ascii="仿宋_GB2312" w:hAnsi="仿宋_GB2312" w:eastAsia="仿宋_GB2312" w:cs="仿宋_GB2312"/>
          <w:color w:val="auto"/>
          <w:sz w:val="24"/>
        </w:rPr>
        <w:t>签字资产评估师职业资格证书登记卡。</w:t>
      </w:r>
    </w:p>
    <w:p>
      <w:pPr>
        <w:pageBreakBefore w:val="0"/>
        <w:widowControl w:val="0"/>
        <w:numPr>
          <w:ilvl w:val="0"/>
          <w:numId w:val="0"/>
        </w:numPr>
        <w:kinsoku/>
        <w:wordWrap/>
        <w:topLinePunct w:val="0"/>
        <w:bidi w:val="0"/>
        <w:spacing w:line="360" w:lineRule="auto"/>
        <w:jc w:val="both"/>
        <w:rPr>
          <w:rFonts w:hint="eastAsia" w:ascii="仿宋_GB2312" w:hAnsi="仿宋_GB2312" w:eastAsia="仿宋_GB2312" w:cs="仿宋_GB2312"/>
          <w:color w:val="auto"/>
          <w:sz w:val="24"/>
        </w:rPr>
      </w:pPr>
    </w:p>
    <w:p>
      <w:pPr>
        <w:pageBreakBefore w:val="0"/>
        <w:widowControl w:val="0"/>
        <w:numPr>
          <w:ilvl w:val="0"/>
          <w:numId w:val="0"/>
        </w:numPr>
        <w:kinsoku/>
        <w:wordWrap/>
        <w:topLinePunct w:val="0"/>
        <w:bidi w:val="0"/>
        <w:spacing w:line="360" w:lineRule="auto"/>
        <w:jc w:val="both"/>
        <w:rPr>
          <w:rFonts w:hint="eastAsia" w:ascii="仿宋_GB2312" w:hAnsi="仿宋_GB2312" w:eastAsia="仿宋_GB2312" w:cs="仿宋_GB2312"/>
          <w:color w:val="auto"/>
          <w:sz w:val="24"/>
          <w:lang w:eastAsia="zh-CN"/>
        </w:rPr>
      </w:pPr>
    </w:p>
    <w:p>
      <w:pPr>
        <w:pageBreakBefore w:val="0"/>
        <w:widowControl w:val="0"/>
        <w:numPr>
          <w:ilvl w:val="0"/>
          <w:numId w:val="0"/>
        </w:numPr>
        <w:kinsoku/>
        <w:wordWrap/>
        <w:topLinePunct w:val="0"/>
        <w:bidi w:val="0"/>
        <w:spacing w:line="360" w:lineRule="auto"/>
        <w:jc w:val="both"/>
        <w:rPr>
          <w:rFonts w:hint="eastAsia" w:ascii="仿宋_GB2312" w:hAnsi="仿宋_GB2312" w:eastAsia="仿宋_GB2312" w:cs="仿宋_GB2312"/>
          <w:color w:val="auto"/>
          <w:sz w:val="24"/>
        </w:rPr>
      </w:pPr>
    </w:p>
    <w:p>
      <w:pPr>
        <w:pageBreakBefore w:val="0"/>
        <w:widowControl w:val="0"/>
        <w:numPr>
          <w:ilvl w:val="0"/>
          <w:numId w:val="0"/>
        </w:numPr>
        <w:kinsoku/>
        <w:wordWrap/>
        <w:topLinePunct w:val="0"/>
        <w:bidi w:val="0"/>
        <w:spacing w:line="360" w:lineRule="auto"/>
        <w:jc w:val="both"/>
        <w:rPr>
          <w:rFonts w:hint="eastAsia" w:ascii="仿宋_GB2312" w:hAnsi="仿宋_GB2312" w:eastAsia="仿宋_GB2312" w:cs="仿宋_GB2312"/>
          <w:color w:val="auto"/>
          <w:sz w:val="24"/>
        </w:rPr>
      </w:pPr>
    </w:p>
    <w:p>
      <w:pPr>
        <w:pageBreakBefore w:val="0"/>
        <w:widowControl w:val="0"/>
        <w:numPr>
          <w:ilvl w:val="0"/>
          <w:numId w:val="0"/>
        </w:numPr>
        <w:kinsoku/>
        <w:wordWrap/>
        <w:topLinePunct w:val="0"/>
        <w:bidi w:val="0"/>
        <w:spacing w:line="360" w:lineRule="auto"/>
        <w:jc w:val="both"/>
        <w:rPr>
          <w:rFonts w:hint="eastAsia" w:ascii="仿宋_GB2312" w:hAnsi="仿宋_GB2312" w:eastAsia="仿宋_GB2312" w:cs="仿宋_GB2312"/>
          <w:color w:val="auto"/>
          <w:sz w:val="24"/>
        </w:rPr>
      </w:pPr>
    </w:p>
    <w:p>
      <w:pPr>
        <w:pageBreakBefore w:val="0"/>
        <w:widowControl w:val="0"/>
        <w:numPr>
          <w:ilvl w:val="0"/>
          <w:numId w:val="0"/>
        </w:numPr>
        <w:kinsoku/>
        <w:wordWrap/>
        <w:topLinePunct w:val="0"/>
        <w:bidi w:val="0"/>
        <w:spacing w:line="360" w:lineRule="auto"/>
        <w:jc w:val="both"/>
        <w:rPr>
          <w:rFonts w:hint="eastAsia" w:ascii="仿宋_GB2312" w:hAnsi="仿宋_GB2312" w:eastAsia="仿宋_GB2312" w:cs="仿宋_GB2312"/>
          <w:color w:val="auto"/>
          <w:sz w:val="24"/>
        </w:rPr>
      </w:pPr>
    </w:p>
    <w:p>
      <w:pPr>
        <w:pageBreakBefore w:val="0"/>
        <w:widowControl w:val="0"/>
        <w:numPr>
          <w:ilvl w:val="0"/>
          <w:numId w:val="0"/>
        </w:numPr>
        <w:kinsoku/>
        <w:wordWrap/>
        <w:topLinePunct w:val="0"/>
        <w:bidi w:val="0"/>
        <w:spacing w:line="360" w:lineRule="auto"/>
        <w:jc w:val="both"/>
        <w:rPr>
          <w:rFonts w:hint="eastAsia" w:ascii="仿宋_GB2312" w:hAnsi="仿宋_GB2312" w:eastAsia="仿宋_GB2312" w:cs="仿宋_GB2312"/>
          <w:color w:val="auto"/>
          <w:sz w:val="24"/>
        </w:rPr>
      </w:pPr>
    </w:p>
    <w:p>
      <w:pPr>
        <w:pageBreakBefore w:val="0"/>
        <w:widowControl w:val="0"/>
        <w:numPr>
          <w:ilvl w:val="0"/>
          <w:numId w:val="0"/>
        </w:numPr>
        <w:kinsoku/>
        <w:wordWrap/>
        <w:topLinePunct w:val="0"/>
        <w:bidi w:val="0"/>
        <w:spacing w:line="360" w:lineRule="auto"/>
        <w:jc w:val="both"/>
        <w:rPr>
          <w:rFonts w:hint="eastAsia" w:ascii="仿宋_GB2312" w:hAnsi="仿宋_GB2312" w:eastAsia="仿宋_GB2312" w:cs="仿宋_GB2312"/>
          <w:color w:val="auto"/>
          <w:sz w:val="24"/>
        </w:rPr>
      </w:pPr>
    </w:p>
    <w:p>
      <w:pPr>
        <w:pageBreakBefore w:val="0"/>
        <w:widowControl w:val="0"/>
        <w:numPr>
          <w:ilvl w:val="0"/>
          <w:numId w:val="0"/>
        </w:numPr>
        <w:kinsoku/>
        <w:wordWrap/>
        <w:topLinePunct w:val="0"/>
        <w:bidi w:val="0"/>
        <w:spacing w:line="360" w:lineRule="auto"/>
        <w:jc w:val="both"/>
        <w:rPr>
          <w:rFonts w:hint="eastAsia" w:ascii="仿宋_GB2312" w:hAnsi="仿宋_GB2312" w:eastAsia="仿宋_GB2312" w:cs="仿宋_GB2312"/>
          <w:color w:val="auto"/>
          <w:sz w:val="24"/>
        </w:rPr>
      </w:pPr>
    </w:p>
    <w:p>
      <w:pPr>
        <w:pageBreakBefore w:val="0"/>
        <w:widowControl w:val="0"/>
        <w:numPr>
          <w:ilvl w:val="0"/>
          <w:numId w:val="0"/>
        </w:numPr>
        <w:kinsoku/>
        <w:wordWrap/>
        <w:topLinePunct w:val="0"/>
        <w:bidi w:val="0"/>
        <w:spacing w:line="360" w:lineRule="auto"/>
        <w:jc w:val="both"/>
        <w:rPr>
          <w:rFonts w:hint="eastAsia" w:ascii="仿宋_GB2312" w:hAnsi="仿宋_GB2312" w:eastAsia="仿宋_GB2312" w:cs="仿宋_GB2312"/>
          <w:color w:val="auto"/>
          <w:sz w:val="24"/>
        </w:rPr>
      </w:pPr>
    </w:p>
    <w:p>
      <w:pPr>
        <w:pageBreakBefore w:val="0"/>
        <w:widowControl w:val="0"/>
        <w:numPr>
          <w:ilvl w:val="0"/>
          <w:numId w:val="0"/>
        </w:numPr>
        <w:kinsoku/>
        <w:wordWrap/>
        <w:topLinePunct w:val="0"/>
        <w:bidi w:val="0"/>
        <w:spacing w:line="360" w:lineRule="auto"/>
        <w:jc w:val="both"/>
        <w:rPr>
          <w:rFonts w:hint="eastAsia" w:ascii="仿宋_GB2312" w:hAnsi="仿宋_GB2312" w:eastAsia="仿宋_GB2312" w:cs="仿宋_GB2312"/>
          <w:color w:val="auto"/>
          <w:sz w:val="24"/>
        </w:rPr>
      </w:pPr>
    </w:p>
    <w:p>
      <w:pPr>
        <w:pageBreakBefore w:val="0"/>
        <w:widowControl w:val="0"/>
        <w:numPr>
          <w:ilvl w:val="0"/>
          <w:numId w:val="0"/>
        </w:numPr>
        <w:kinsoku/>
        <w:wordWrap/>
        <w:topLinePunct w:val="0"/>
        <w:bidi w:val="0"/>
        <w:spacing w:line="360" w:lineRule="auto"/>
        <w:jc w:val="both"/>
        <w:rPr>
          <w:rFonts w:hint="eastAsia" w:ascii="仿宋_GB2312" w:hAnsi="仿宋_GB2312" w:eastAsia="仿宋_GB2312" w:cs="仿宋_GB2312"/>
          <w:color w:val="auto"/>
          <w:sz w:val="24"/>
        </w:rPr>
      </w:pPr>
    </w:p>
    <w:p>
      <w:pPr>
        <w:pageBreakBefore w:val="0"/>
        <w:widowControl w:val="0"/>
        <w:numPr>
          <w:ilvl w:val="0"/>
          <w:numId w:val="0"/>
        </w:numPr>
        <w:kinsoku/>
        <w:wordWrap/>
        <w:topLinePunct w:val="0"/>
        <w:bidi w:val="0"/>
        <w:spacing w:line="360" w:lineRule="auto"/>
        <w:jc w:val="both"/>
        <w:rPr>
          <w:rFonts w:hint="eastAsia" w:ascii="仿宋_GB2312" w:hAnsi="仿宋_GB2312" w:eastAsia="仿宋_GB2312" w:cs="仿宋_GB2312"/>
          <w:color w:val="auto"/>
          <w:sz w:val="24"/>
        </w:rPr>
      </w:pPr>
    </w:p>
    <w:p>
      <w:pPr>
        <w:pageBreakBefore w:val="0"/>
        <w:widowControl w:val="0"/>
        <w:numPr>
          <w:ilvl w:val="0"/>
          <w:numId w:val="0"/>
        </w:numPr>
        <w:kinsoku/>
        <w:wordWrap/>
        <w:topLinePunct w:val="0"/>
        <w:bidi w:val="0"/>
        <w:spacing w:line="360" w:lineRule="auto"/>
        <w:jc w:val="both"/>
        <w:rPr>
          <w:rFonts w:hint="eastAsia" w:ascii="仿宋_GB2312" w:hAnsi="仿宋_GB2312" w:eastAsia="仿宋_GB2312" w:cs="仿宋_GB2312"/>
          <w:color w:val="auto"/>
          <w:sz w:val="24"/>
        </w:rPr>
      </w:pPr>
    </w:p>
    <w:p>
      <w:pPr>
        <w:pageBreakBefore w:val="0"/>
        <w:widowControl w:val="0"/>
        <w:numPr>
          <w:ilvl w:val="0"/>
          <w:numId w:val="0"/>
        </w:numPr>
        <w:kinsoku/>
        <w:wordWrap/>
        <w:topLinePunct w:val="0"/>
        <w:bidi w:val="0"/>
        <w:spacing w:line="360" w:lineRule="auto"/>
        <w:jc w:val="both"/>
        <w:rPr>
          <w:rFonts w:hint="eastAsia" w:ascii="仿宋_GB2312" w:hAnsi="仿宋_GB2312" w:eastAsia="仿宋_GB2312" w:cs="仿宋_GB2312"/>
          <w:color w:val="auto"/>
          <w:sz w:val="24"/>
        </w:rPr>
      </w:pPr>
    </w:p>
    <w:p>
      <w:pPr>
        <w:pageBreakBefore w:val="0"/>
        <w:widowControl w:val="0"/>
        <w:numPr>
          <w:ilvl w:val="0"/>
          <w:numId w:val="0"/>
        </w:numPr>
        <w:kinsoku/>
        <w:wordWrap/>
        <w:topLinePunct w:val="0"/>
        <w:bidi w:val="0"/>
        <w:spacing w:line="360" w:lineRule="auto"/>
        <w:jc w:val="both"/>
        <w:rPr>
          <w:rFonts w:hint="eastAsia" w:ascii="仿宋_GB2312" w:hAnsi="仿宋_GB2312" w:eastAsia="仿宋_GB2312" w:cs="仿宋_GB2312"/>
          <w:color w:val="auto"/>
          <w:sz w:val="24"/>
        </w:rPr>
      </w:pPr>
    </w:p>
    <w:p>
      <w:pPr>
        <w:pageBreakBefore w:val="0"/>
        <w:widowControl w:val="0"/>
        <w:numPr>
          <w:ilvl w:val="0"/>
          <w:numId w:val="0"/>
        </w:numPr>
        <w:kinsoku/>
        <w:wordWrap/>
        <w:topLinePunct w:val="0"/>
        <w:bidi w:val="0"/>
        <w:spacing w:line="360" w:lineRule="auto"/>
        <w:jc w:val="both"/>
        <w:rPr>
          <w:rFonts w:hint="eastAsia" w:ascii="仿宋_GB2312" w:hAnsi="仿宋_GB2312" w:eastAsia="仿宋_GB2312" w:cs="仿宋_GB2312"/>
          <w:color w:val="auto"/>
          <w:sz w:val="24"/>
        </w:rPr>
      </w:pP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sectPr>
          <w:footerReference r:id="rId7" w:type="first"/>
          <w:footerReference r:id="rId6" w:type="default"/>
          <w:type w:val="continuous"/>
          <w:pgSz w:w="11907" w:h="16839"/>
          <w:pgMar w:top="1701" w:right="1077" w:bottom="964" w:left="1418" w:header="1021" w:footer="720" w:gutter="340"/>
          <w:pgBorders>
            <w:top w:val="none" w:sz="0" w:space="0"/>
            <w:left w:val="none" w:sz="0" w:space="0"/>
            <w:bottom w:val="none" w:sz="0" w:space="0"/>
            <w:right w:val="none" w:sz="0" w:space="0"/>
          </w:pgBorders>
          <w:pgNumType w:start="1"/>
          <w:cols w:space="720" w:num="1"/>
          <w:docGrid w:linePitch="285" w:charSpace="0"/>
        </w:sectPr>
      </w:pPr>
    </w:p>
    <w:p>
      <w:pPr>
        <w:jc w:val="left"/>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附件1</w:t>
      </w:r>
    </w:p>
    <w:p>
      <w:pPr>
        <w:jc w:val="center"/>
        <w:rPr>
          <w:rFonts w:hint="eastAsia" w:ascii="仿宋_GB2312" w:hAnsi="仿宋_GB2312" w:eastAsia="仿宋_GB2312" w:cs="仿宋_GB2312"/>
          <w:b/>
          <w:bCs/>
          <w:color w:val="auto"/>
          <w:sz w:val="36"/>
          <w:szCs w:val="36"/>
          <w:lang w:val="en-US" w:eastAsia="zh-CN"/>
        </w:rPr>
      </w:pPr>
    </w:p>
    <w:p>
      <w:pPr>
        <w:jc w:val="center"/>
        <w:rPr>
          <w:rFonts w:ascii="仿宋_GB2312" w:hAnsi="仿宋_GB2312" w:eastAsia="仿宋_GB2312" w:cs="仿宋_GB2312"/>
          <w:b/>
          <w:bCs/>
          <w:color w:val="auto"/>
          <w:sz w:val="36"/>
          <w:szCs w:val="36"/>
        </w:rPr>
      </w:pPr>
      <w:r>
        <w:rPr>
          <w:rFonts w:hint="eastAsia" w:ascii="仿宋_GB2312" w:hAnsi="仿宋_GB2312" w:eastAsia="仿宋_GB2312" w:cs="仿宋_GB2312"/>
          <w:b/>
          <w:bCs/>
          <w:color w:val="auto"/>
          <w:sz w:val="36"/>
          <w:szCs w:val="36"/>
          <w:lang w:val="en-US" w:eastAsia="zh-CN"/>
        </w:rPr>
        <w:t>房地产</w:t>
      </w:r>
      <w:r>
        <w:rPr>
          <w:rFonts w:hint="eastAsia" w:ascii="仿宋_GB2312" w:hAnsi="仿宋_GB2312" w:eastAsia="仿宋_GB2312" w:cs="仿宋_GB2312"/>
          <w:b/>
          <w:bCs/>
          <w:color w:val="auto"/>
          <w:sz w:val="36"/>
          <w:szCs w:val="36"/>
        </w:rPr>
        <w:t>评估明细表</w:t>
      </w:r>
    </w:p>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评估基准日：</w:t>
      </w:r>
      <w:r>
        <w:rPr>
          <w:rFonts w:hint="eastAsia" w:ascii="仿宋_GB2312" w:hAnsi="仿宋_GB2312" w:eastAsia="仿宋_GB2312" w:cs="仿宋_GB2312"/>
          <w:color w:val="auto"/>
          <w:sz w:val="24"/>
          <w:lang w:eastAsia="zh-CN"/>
        </w:rPr>
        <w:t>2022年08月30日</w:t>
      </w:r>
    </w:p>
    <w:p>
      <w:pPr>
        <w:jc w:val="both"/>
        <w:rPr>
          <w:rFonts w:ascii="仿宋_GB2312" w:hAnsi="仿宋_GB2312" w:eastAsia="仿宋_GB2312" w:cs="仿宋_GB2312"/>
          <w:color w:val="auto"/>
          <w:sz w:val="24"/>
        </w:rPr>
      </w:pPr>
      <w:r>
        <w:rPr>
          <w:rFonts w:hint="eastAsia" w:ascii="仿宋_GB2312" w:hAnsi="仿宋_GB2312" w:eastAsia="仿宋_GB2312" w:cs="仿宋_GB2312"/>
          <w:color w:val="auto"/>
          <w:sz w:val="24"/>
        </w:rPr>
        <w:tab/>
      </w:r>
      <w:r>
        <w:rPr>
          <w:rFonts w:hint="eastAsia" w:ascii="仿宋_GB2312" w:hAnsi="仿宋_GB2312" w:eastAsia="仿宋_GB2312" w:cs="仿宋_GB2312"/>
          <w:color w:val="auto"/>
          <w:sz w:val="24"/>
          <w:lang w:val="en-US" w:eastAsia="zh-CN"/>
        </w:rPr>
        <w:t>产权持有者</w:t>
      </w:r>
      <w:r>
        <w:rPr>
          <w:rFonts w:hint="eastAsia" w:ascii="仿宋_GB2312" w:hAnsi="仿宋_GB2312" w:eastAsia="仿宋_GB2312" w:cs="仿宋_GB2312"/>
          <w:b/>
          <w:bCs/>
          <w:color w:val="auto"/>
          <w:sz w:val="24"/>
        </w:rPr>
        <w:tab/>
      </w:r>
      <w:r>
        <w:rPr>
          <w:rFonts w:hint="eastAsia" w:ascii="仿宋_GB2312" w:hAnsi="仿宋_GB2312" w:eastAsia="仿宋_GB2312" w:cs="仿宋_GB2312"/>
          <w:b/>
          <w:bCs/>
          <w:color w:val="auto"/>
          <w:sz w:val="24"/>
          <w:lang w:eastAsia="zh-CN"/>
        </w:rPr>
        <w:t>：</w:t>
      </w:r>
      <w:r>
        <w:rPr>
          <w:rFonts w:hint="eastAsia" w:ascii="仿宋_GB2312" w:hAnsi="仿宋_GB2312" w:eastAsia="仿宋_GB2312" w:cs="仿宋_GB2312"/>
          <w:color w:val="auto"/>
          <w:sz w:val="24"/>
        </w:rPr>
        <w:t>谢鸿</w:t>
      </w:r>
      <w:r>
        <w:rPr>
          <w:rFonts w:hint="eastAsia" w:ascii="仿宋_GB2312" w:hAnsi="仿宋_GB2312" w:eastAsia="仿宋_GB2312" w:cs="仿宋_GB2312"/>
          <w:color w:val="auto"/>
          <w:sz w:val="24"/>
        </w:rPr>
        <w:tab/>
      </w:r>
      <w:r>
        <w:rPr>
          <w:rFonts w:hint="eastAsia" w:ascii="仿宋_GB2312" w:hAnsi="仿宋_GB2312" w:eastAsia="仿宋_GB2312" w:cs="仿宋_GB2312"/>
          <w:color w:val="auto"/>
          <w:sz w:val="24"/>
        </w:rPr>
        <w:t xml:space="preserve">                                                   </w:t>
      </w:r>
      <w:r>
        <w:rPr>
          <w:rFonts w:hint="eastAsia" w:ascii="仿宋_GB2312" w:hAnsi="仿宋_GB2312" w:eastAsia="仿宋_GB2312" w:cs="仿宋_GB2312"/>
          <w:color w:val="auto"/>
          <w:sz w:val="24"/>
          <w:lang w:val="en-US" w:eastAsia="zh-CN"/>
        </w:rPr>
        <w:t xml:space="preserve">                             </w:t>
      </w:r>
      <w:r>
        <w:rPr>
          <w:rFonts w:hint="eastAsia" w:ascii="仿宋_GB2312" w:hAnsi="仿宋_GB2312" w:eastAsia="仿宋_GB2312" w:cs="仿宋_GB2312"/>
          <w:color w:val="auto"/>
          <w:sz w:val="24"/>
        </w:rPr>
        <w:t>金额单位：人民币元</w:t>
      </w:r>
    </w:p>
    <w:tbl>
      <w:tblPr>
        <w:tblStyle w:val="20"/>
        <w:tblW w:w="14317"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08"/>
        <w:gridCol w:w="1834"/>
        <w:gridCol w:w="800"/>
        <w:gridCol w:w="1162"/>
        <w:gridCol w:w="2050"/>
        <w:gridCol w:w="1263"/>
        <w:gridCol w:w="1487"/>
        <w:gridCol w:w="1463"/>
        <w:gridCol w:w="1350"/>
        <w:gridCol w:w="1450"/>
        <w:gridCol w:w="115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308"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ascii="仿宋_GB2312" w:hAnsi="仿宋_GB2312" w:eastAsia="仿宋_GB2312" w:cs="仿宋_GB2312"/>
                <w:color w:val="auto"/>
                <w:szCs w:val="21"/>
              </w:rPr>
            </w:pPr>
            <w:r>
              <w:rPr>
                <w:rFonts w:hint="eastAsia" w:ascii="仿宋_GB2312" w:hAnsi="宋体" w:eastAsia="仿宋_GB2312" w:cs="仿宋_GB2312"/>
                <w:i w:val="0"/>
                <w:iCs w:val="0"/>
                <w:color w:val="000000"/>
                <w:kern w:val="0"/>
                <w:sz w:val="20"/>
                <w:szCs w:val="20"/>
                <w:u w:val="none"/>
                <w:lang w:val="en-US" w:eastAsia="zh-CN" w:bidi="ar"/>
              </w:rPr>
              <w:t>序号</w:t>
            </w:r>
          </w:p>
        </w:tc>
        <w:tc>
          <w:tcPr>
            <w:tcW w:w="1834"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仿宋_GB2312" w:hAnsi="仿宋_GB2312" w:eastAsia="仿宋_GB2312" w:cs="仿宋_GB2312"/>
                <w:color w:val="auto"/>
                <w:kern w:val="0"/>
                <w:szCs w:val="21"/>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房地产名称</w:t>
            </w:r>
          </w:p>
        </w:tc>
        <w:tc>
          <w:tcPr>
            <w:tcW w:w="800"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ascii="仿宋_GB2312" w:hAnsi="仿宋_GB2312" w:eastAsia="仿宋_GB2312" w:cs="仿宋_GB2312"/>
                <w:color w:val="auto"/>
                <w:szCs w:val="21"/>
              </w:rPr>
            </w:pPr>
            <w:r>
              <w:rPr>
                <w:rFonts w:hint="eastAsia" w:ascii="仿宋_GB2312" w:hAnsi="宋体" w:eastAsia="仿宋_GB2312" w:cs="仿宋_GB2312"/>
                <w:i w:val="0"/>
                <w:iCs w:val="0"/>
                <w:color w:val="000000"/>
                <w:kern w:val="0"/>
                <w:sz w:val="20"/>
                <w:szCs w:val="20"/>
                <w:u w:val="none"/>
                <w:lang w:val="en-US" w:eastAsia="zh-CN" w:bidi="ar"/>
              </w:rPr>
              <w:t>结构</w:t>
            </w:r>
          </w:p>
        </w:tc>
        <w:tc>
          <w:tcPr>
            <w:tcW w:w="1162"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ascii="仿宋_GB2312" w:hAnsi="仿宋_GB2312" w:eastAsia="仿宋_GB2312" w:cs="仿宋_GB2312"/>
                <w:color w:val="auto"/>
                <w:szCs w:val="21"/>
              </w:rPr>
            </w:pPr>
            <w:r>
              <w:rPr>
                <w:rFonts w:hint="eastAsia" w:ascii="仿宋_GB2312" w:hAnsi="宋体" w:eastAsia="仿宋_GB2312" w:cs="仿宋_GB2312"/>
                <w:i w:val="0"/>
                <w:iCs w:val="0"/>
                <w:color w:val="000000"/>
                <w:kern w:val="0"/>
                <w:sz w:val="20"/>
                <w:szCs w:val="20"/>
                <w:u w:val="none"/>
                <w:lang w:val="en-US" w:eastAsia="zh-CN" w:bidi="ar"/>
              </w:rPr>
              <w:t>所在层数/总层数</w:t>
            </w:r>
          </w:p>
        </w:tc>
        <w:tc>
          <w:tcPr>
            <w:tcW w:w="2050"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仿宋_GB2312" w:hAnsi="仿宋_GB2312" w:eastAsia="仿宋_GB2312" w:cs="仿宋_GB2312"/>
                <w:color w:val="auto"/>
                <w:szCs w:val="21"/>
                <w:lang w:val="en-US" w:eastAsia="zh-CN"/>
              </w:rPr>
            </w:pPr>
            <w:r>
              <w:rPr>
                <w:rFonts w:hint="eastAsia" w:ascii="仿宋_GB2312" w:hAnsi="宋体" w:eastAsia="仿宋_GB2312" w:cs="仿宋_GB2312"/>
                <w:i w:val="0"/>
                <w:iCs w:val="0"/>
                <w:color w:val="000000"/>
                <w:kern w:val="0"/>
                <w:sz w:val="20"/>
                <w:szCs w:val="20"/>
                <w:u w:val="none"/>
                <w:lang w:val="en-US" w:eastAsia="zh-CN" w:bidi="ar"/>
              </w:rPr>
              <w:t>国有土地使用证编号</w:t>
            </w:r>
          </w:p>
        </w:tc>
        <w:tc>
          <w:tcPr>
            <w:tcW w:w="1263"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_GB2312" w:hAnsi="仿宋_GB2312" w:eastAsia="仿宋_GB2312" w:cs="仿宋_GB2312"/>
                <w:color w:val="auto"/>
                <w:szCs w:val="21"/>
                <w:lang w:val="en-US" w:eastAsia="zh-CN"/>
              </w:rPr>
            </w:pPr>
            <w:r>
              <w:rPr>
                <w:rFonts w:hint="eastAsia" w:ascii="仿宋_GB2312" w:hAnsi="宋体" w:eastAsia="仿宋_GB2312" w:cs="仿宋_GB2312"/>
                <w:i w:val="0"/>
                <w:iCs w:val="0"/>
                <w:color w:val="000000"/>
                <w:kern w:val="0"/>
                <w:sz w:val="20"/>
                <w:szCs w:val="20"/>
                <w:u w:val="none"/>
                <w:lang w:val="en-US" w:eastAsia="zh-CN" w:bidi="ar"/>
              </w:rPr>
              <w:t>土地使用权面积(m</w:t>
            </w:r>
            <w:r>
              <w:rPr>
                <w:rFonts w:hint="eastAsia" w:ascii="仿宋_GB2312" w:hAnsi="宋体" w:eastAsia="仿宋_GB2312" w:cs="仿宋_GB2312"/>
                <w:i w:val="0"/>
                <w:iCs w:val="0"/>
                <w:color w:val="000000"/>
                <w:kern w:val="0"/>
                <w:sz w:val="20"/>
                <w:szCs w:val="20"/>
                <w:u w:val="none"/>
                <w:vertAlign w:val="superscript"/>
                <w:lang w:val="en-US" w:eastAsia="zh-CN" w:bidi="ar"/>
              </w:rPr>
              <w:t>2</w:t>
            </w:r>
            <w:r>
              <w:rPr>
                <w:rFonts w:hint="eastAsia" w:ascii="仿宋_GB2312" w:hAnsi="宋体" w:eastAsia="仿宋_GB2312" w:cs="仿宋_GB2312"/>
                <w:i w:val="0"/>
                <w:iCs w:val="0"/>
                <w:color w:val="000000"/>
                <w:kern w:val="0"/>
                <w:sz w:val="20"/>
                <w:szCs w:val="20"/>
                <w:u w:val="none"/>
                <w:lang w:val="en-US" w:eastAsia="zh-CN" w:bidi="ar"/>
              </w:rPr>
              <w:t>)</w:t>
            </w:r>
          </w:p>
        </w:tc>
        <w:tc>
          <w:tcPr>
            <w:tcW w:w="1487"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房屋所有权证编号</w:t>
            </w:r>
          </w:p>
        </w:tc>
        <w:tc>
          <w:tcPr>
            <w:tcW w:w="1463"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_GB2312" w:hAnsi="仿宋_GB2312" w:eastAsia="仿宋_GB2312" w:cs="仿宋_GB2312"/>
                <w:color w:val="auto"/>
                <w:szCs w:val="21"/>
                <w:lang w:val="en-US" w:eastAsia="zh-CN"/>
              </w:rPr>
            </w:pPr>
            <w:r>
              <w:rPr>
                <w:rFonts w:hint="eastAsia" w:ascii="仿宋_GB2312" w:hAnsi="宋体" w:eastAsia="仿宋_GB2312" w:cs="仿宋_GB2312"/>
                <w:i w:val="0"/>
                <w:iCs w:val="0"/>
                <w:color w:val="000000"/>
                <w:kern w:val="0"/>
                <w:sz w:val="20"/>
                <w:szCs w:val="20"/>
                <w:u w:val="none"/>
                <w:lang w:val="en-US" w:eastAsia="zh-CN" w:bidi="ar"/>
              </w:rPr>
              <w:t>建筑面积(m</w:t>
            </w:r>
            <w:r>
              <w:rPr>
                <w:rFonts w:hint="eastAsia" w:ascii="仿宋_GB2312" w:hAnsi="宋体" w:eastAsia="仿宋_GB2312" w:cs="仿宋_GB2312"/>
                <w:i w:val="0"/>
                <w:iCs w:val="0"/>
                <w:color w:val="000000"/>
                <w:kern w:val="0"/>
                <w:sz w:val="20"/>
                <w:szCs w:val="20"/>
                <w:u w:val="none"/>
                <w:vertAlign w:val="superscript"/>
                <w:lang w:val="en-US" w:eastAsia="zh-CN" w:bidi="ar"/>
              </w:rPr>
              <w:t>2</w:t>
            </w:r>
            <w:r>
              <w:rPr>
                <w:rFonts w:hint="eastAsia" w:ascii="仿宋_GB2312" w:hAnsi="宋体" w:eastAsia="仿宋_GB2312" w:cs="仿宋_GB2312"/>
                <w:i w:val="0"/>
                <w:iCs w:val="0"/>
                <w:color w:val="000000"/>
                <w:kern w:val="0"/>
                <w:sz w:val="20"/>
                <w:szCs w:val="20"/>
                <w:u w:val="none"/>
                <w:lang w:val="en-US" w:eastAsia="zh-CN" w:bidi="ar"/>
              </w:rPr>
              <w:t>)</w:t>
            </w:r>
          </w:p>
        </w:tc>
        <w:tc>
          <w:tcPr>
            <w:tcW w:w="1350"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仿宋_GB2312" w:hAnsi="仿宋_GB2312" w:eastAsia="仿宋_GB2312" w:cs="仿宋_GB2312"/>
                <w:color w:val="auto"/>
                <w:szCs w:val="21"/>
                <w:lang w:val="en-US" w:eastAsia="zh-CN"/>
              </w:rPr>
            </w:pPr>
            <w:r>
              <w:rPr>
                <w:rFonts w:hint="eastAsia" w:ascii="仿宋_GB2312" w:hAnsi="宋体" w:eastAsia="仿宋_GB2312" w:cs="仿宋_GB2312"/>
                <w:i w:val="0"/>
                <w:iCs w:val="0"/>
                <w:color w:val="000000"/>
                <w:kern w:val="0"/>
                <w:sz w:val="20"/>
                <w:szCs w:val="20"/>
                <w:u w:val="none"/>
                <w:lang w:val="en-US" w:eastAsia="zh-CN" w:bidi="ar"/>
              </w:rPr>
              <w:t>评估单价(元/m</w:t>
            </w:r>
            <w:r>
              <w:rPr>
                <w:rFonts w:hint="eastAsia" w:ascii="仿宋_GB2312" w:hAnsi="宋体" w:eastAsia="仿宋_GB2312" w:cs="仿宋_GB2312"/>
                <w:i w:val="0"/>
                <w:iCs w:val="0"/>
                <w:color w:val="000000"/>
                <w:kern w:val="0"/>
                <w:sz w:val="20"/>
                <w:szCs w:val="20"/>
                <w:u w:val="none"/>
                <w:vertAlign w:val="superscript"/>
                <w:lang w:val="en-US" w:eastAsia="zh-CN" w:bidi="ar"/>
              </w:rPr>
              <w:t>2</w:t>
            </w:r>
            <w:r>
              <w:rPr>
                <w:rFonts w:hint="eastAsia" w:ascii="仿宋_GB2312" w:hAnsi="宋体" w:eastAsia="仿宋_GB2312" w:cs="仿宋_GB2312"/>
                <w:i w:val="0"/>
                <w:iCs w:val="0"/>
                <w:color w:val="000000"/>
                <w:kern w:val="0"/>
                <w:sz w:val="20"/>
                <w:szCs w:val="20"/>
                <w:u w:val="none"/>
                <w:lang w:val="en-US" w:eastAsia="zh-CN" w:bidi="ar"/>
              </w:rPr>
              <w:t>)</w:t>
            </w:r>
          </w:p>
        </w:tc>
        <w:tc>
          <w:tcPr>
            <w:tcW w:w="1450" w:type="dxa"/>
            <w:tcBorders>
              <w:tl2br w:val="nil"/>
              <w:tr2bl w:val="nil"/>
            </w:tcBorders>
            <w:vAlign w:val="center"/>
          </w:tcPr>
          <w:p>
            <w:pPr>
              <w:keepNext w:val="0"/>
              <w:keepLines w:val="0"/>
              <w:widowControl/>
              <w:suppressLineNumbers w:val="0"/>
              <w:jc w:val="center"/>
              <w:textAlignment w:val="center"/>
              <w:rPr>
                <w:rFonts w:hint="default" w:ascii="仿宋_GB2312" w:hAnsi="仿宋_GB2312" w:eastAsia="仿宋_GB2312" w:cs="仿宋_GB2312"/>
                <w:color w:val="auto"/>
                <w:szCs w:val="21"/>
                <w:lang w:val="en-US" w:eastAsia="zh-CN"/>
              </w:rPr>
            </w:pPr>
            <w:r>
              <w:rPr>
                <w:rFonts w:hint="eastAsia" w:ascii="仿宋_GB2312" w:hAnsi="宋体" w:eastAsia="仿宋_GB2312" w:cs="仿宋_GB2312"/>
                <w:i w:val="0"/>
                <w:iCs w:val="0"/>
                <w:color w:val="000000"/>
                <w:kern w:val="0"/>
                <w:sz w:val="20"/>
                <w:szCs w:val="20"/>
                <w:u w:val="none"/>
                <w:lang w:val="en-US" w:eastAsia="zh-CN" w:bidi="ar"/>
              </w:rPr>
              <w:t>评估价值</w:t>
            </w:r>
          </w:p>
        </w:tc>
        <w:tc>
          <w:tcPr>
            <w:tcW w:w="1150" w:type="dxa"/>
            <w:tcBorders>
              <w:tl2br w:val="nil"/>
              <w:tr2bl w:val="nil"/>
            </w:tcBorders>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Cs w:val="21"/>
                <w:lang w:bidi="ar"/>
              </w:rPr>
            </w:pPr>
            <w:r>
              <w:rPr>
                <w:rFonts w:hint="eastAsia" w:ascii="仿宋_GB2312" w:hAnsi="宋体" w:eastAsia="仿宋_GB2312" w:cs="仿宋_GB2312"/>
                <w:i w:val="0"/>
                <w:iCs w:val="0"/>
                <w:color w:val="000000"/>
                <w:kern w:val="0"/>
                <w:sz w:val="20"/>
                <w:szCs w:val="20"/>
                <w:u w:val="none"/>
                <w:lang w:val="en-US" w:eastAsia="zh-CN" w:bidi="ar"/>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308" w:type="dxa"/>
            <w:tcBorders>
              <w:tl2br w:val="nil"/>
              <w:tr2bl w:val="nil"/>
            </w:tcBorders>
            <w:shd w:val="clear" w:color="auto" w:fill="auto"/>
            <w:tcMar>
              <w:top w:w="10" w:type="dxa"/>
              <w:left w:w="10" w:type="dxa"/>
              <w:right w:w="10" w:type="dxa"/>
            </w:tcMar>
            <w:vAlign w:val="center"/>
          </w:tcPr>
          <w:p>
            <w:pPr>
              <w:jc w:val="center"/>
              <w:rPr>
                <w:rFonts w:hint="eastAsia"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val="en-US" w:eastAsia="zh-CN" w:bidi="ar"/>
              </w:rPr>
              <w:t>1</w:t>
            </w:r>
          </w:p>
        </w:tc>
        <w:tc>
          <w:tcPr>
            <w:tcW w:w="1834"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Cs w:val="21"/>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白鹭金滩春晓园7幢205室</w:t>
            </w:r>
          </w:p>
        </w:tc>
        <w:tc>
          <w:tcPr>
            <w:tcW w:w="800"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Cs w:val="21"/>
                <w:lang w:bidi="ar"/>
              </w:rPr>
            </w:pPr>
            <w:r>
              <w:rPr>
                <w:rFonts w:hint="eastAsia" w:ascii="仿宋_GB2312" w:hAnsi="宋体" w:eastAsia="仿宋_GB2312" w:cs="仿宋_GB2312"/>
                <w:i w:val="0"/>
                <w:iCs w:val="0"/>
                <w:color w:val="000000"/>
                <w:kern w:val="0"/>
                <w:sz w:val="20"/>
                <w:szCs w:val="20"/>
                <w:u w:val="none"/>
                <w:lang w:val="en-US" w:eastAsia="zh-CN" w:bidi="ar"/>
              </w:rPr>
              <w:t>钢混</w:t>
            </w:r>
          </w:p>
        </w:tc>
        <w:tc>
          <w:tcPr>
            <w:tcW w:w="1162"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仿宋_GB2312" w:hAnsi="仿宋_GB2312" w:eastAsia="仿宋_GB2312" w:cs="仿宋_GB2312"/>
                <w:color w:val="auto"/>
                <w:kern w:val="0"/>
                <w:szCs w:val="21"/>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2/19</w:t>
            </w:r>
          </w:p>
        </w:tc>
        <w:tc>
          <w:tcPr>
            <w:tcW w:w="2050" w:type="dxa"/>
            <w:tcBorders>
              <w:tl2br w:val="nil"/>
              <w:tr2bl w:val="nil"/>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仿宋_GB2312" w:hAnsi="仿宋_GB2312" w:eastAsia="仿宋_GB2312" w:cs="仿宋_GB2312"/>
                <w:color w:val="auto"/>
                <w:kern w:val="0"/>
                <w:szCs w:val="21"/>
                <w:lang w:val="en-US" w:eastAsia="zh-CN" w:bidi="ar"/>
              </w:rPr>
            </w:pPr>
            <w:r>
              <w:rPr>
                <w:rFonts w:hint="eastAsia" w:ascii="仿宋_GB2312" w:hAnsi="仿宋_GB2312" w:eastAsia="仿宋_GB2312" w:cs="仿宋_GB2312"/>
                <w:color w:val="auto"/>
                <w:kern w:val="0"/>
                <w:sz w:val="21"/>
                <w:szCs w:val="21"/>
                <w:lang w:val="en-US" w:eastAsia="zh-CN" w:bidi="ar"/>
              </w:rPr>
              <w:t>绍市国用（2014）第3051号</w:t>
            </w:r>
          </w:p>
        </w:tc>
        <w:tc>
          <w:tcPr>
            <w:tcW w:w="1263" w:type="dxa"/>
            <w:tcBorders>
              <w:tl2br w:val="nil"/>
              <w:tr2bl w:val="nil"/>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Cs w:val="21"/>
                <w:lang w:bidi="ar"/>
              </w:rPr>
            </w:pPr>
            <w:r>
              <w:rPr>
                <w:rFonts w:hint="eastAsia" w:ascii="仿宋_GB2312" w:hAnsi="宋体" w:eastAsia="仿宋_GB2312" w:cs="仿宋_GB2312"/>
                <w:i w:val="0"/>
                <w:iCs w:val="0"/>
                <w:color w:val="000000"/>
                <w:kern w:val="0"/>
                <w:sz w:val="20"/>
                <w:szCs w:val="20"/>
                <w:u w:val="none"/>
                <w:lang w:val="en-US" w:eastAsia="zh-CN" w:bidi="ar"/>
              </w:rPr>
              <w:t>37.81</w:t>
            </w:r>
          </w:p>
        </w:tc>
        <w:tc>
          <w:tcPr>
            <w:tcW w:w="1487" w:type="dxa"/>
            <w:tcBorders>
              <w:tl2br w:val="nil"/>
              <w:tr2bl w:val="nil"/>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201401256</w:t>
            </w:r>
          </w:p>
        </w:tc>
        <w:tc>
          <w:tcPr>
            <w:tcW w:w="1463" w:type="dxa"/>
            <w:tcBorders>
              <w:tl2br w:val="nil"/>
              <w:tr2bl w:val="nil"/>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Cs w:val="21"/>
                <w:lang w:eastAsia="zh-CN" w:bidi="ar"/>
              </w:rPr>
            </w:pPr>
            <w:r>
              <w:rPr>
                <w:rFonts w:hint="eastAsia" w:ascii="仿宋_GB2312" w:hAnsi="宋体" w:eastAsia="仿宋_GB2312" w:cs="仿宋_GB2312"/>
                <w:i w:val="0"/>
                <w:iCs w:val="0"/>
                <w:color w:val="000000"/>
                <w:kern w:val="0"/>
                <w:sz w:val="20"/>
                <w:szCs w:val="20"/>
                <w:u w:val="none"/>
                <w:lang w:val="en-US" w:eastAsia="zh-CN" w:bidi="ar"/>
              </w:rPr>
              <w:t>177.02</w:t>
            </w:r>
          </w:p>
        </w:tc>
        <w:tc>
          <w:tcPr>
            <w:tcW w:w="1350"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仿宋_GB2312" w:hAnsi="仿宋_GB2312" w:eastAsia="仿宋_GB2312" w:cs="仿宋_GB2312"/>
                <w:color w:val="auto"/>
                <w:kern w:val="0"/>
                <w:szCs w:val="21"/>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23,200.00</w:t>
            </w:r>
          </w:p>
        </w:tc>
        <w:tc>
          <w:tcPr>
            <w:tcW w:w="1450" w:type="dxa"/>
            <w:tcBorders>
              <w:tl2br w:val="nil"/>
              <w:tr2bl w:val="nil"/>
            </w:tcBorders>
            <w:vAlign w:val="center"/>
          </w:tcPr>
          <w:p>
            <w:pPr>
              <w:keepNext w:val="0"/>
              <w:keepLines w:val="0"/>
              <w:widowControl/>
              <w:suppressLineNumbers w:val="0"/>
              <w:jc w:val="center"/>
              <w:textAlignment w:val="center"/>
              <w:rPr>
                <w:rFonts w:hint="default" w:ascii="仿宋_GB2312" w:hAnsi="仿宋_GB2312" w:eastAsia="仿宋_GB2312" w:cs="仿宋_GB2312"/>
                <w:color w:val="auto"/>
                <w:kern w:val="0"/>
                <w:szCs w:val="21"/>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4,106,864.00</w:t>
            </w:r>
          </w:p>
        </w:tc>
        <w:tc>
          <w:tcPr>
            <w:tcW w:w="1150" w:type="dxa"/>
            <w:tcBorders>
              <w:tl2br w:val="nil"/>
              <w:tr2bl w:val="nil"/>
            </w:tcBorders>
            <w:vAlign w:val="center"/>
          </w:tcPr>
          <w:p>
            <w:pPr>
              <w:keepNext w:val="0"/>
              <w:keepLines w:val="0"/>
              <w:widowControl/>
              <w:suppressLineNumbers w:val="0"/>
              <w:jc w:val="center"/>
              <w:textAlignment w:val="center"/>
              <w:rPr>
                <w:rFonts w:hint="default" w:ascii="仿宋_GB2312" w:hAnsi="仿宋_GB2312" w:eastAsia="仿宋_GB2312" w:cs="仿宋_GB2312"/>
                <w:color w:val="auto"/>
                <w:kern w:val="0"/>
                <w:szCs w:val="21"/>
                <w:lang w:val="en-US"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308" w:type="dxa"/>
            <w:tcBorders>
              <w:tl2br w:val="nil"/>
              <w:tr2bl w:val="nil"/>
            </w:tcBorders>
            <w:shd w:val="clear" w:color="auto" w:fill="auto"/>
            <w:tcMar>
              <w:top w:w="10" w:type="dxa"/>
              <w:left w:w="10" w:type="dxa"/>
              <w:right w:w="10" w:type="dxa"/>
            </w:tcMar>
            <w:vAlign w:val="center"/>
          </w:tcPr>
          <w:p>
            <w:pPr>
              <w:jc w:val="center"/>
              <w:rPr>
                <w:rFonts w:hint="eastAsia" w:ascii="仿宋_GB2312" w:hAnsi="仿宋_GB2312" w:eastAsia="仿宋_GB2312" w:cs="仿宋_GB2312"/>
                <w:color w:val="auto"/>
                <w:kern w:val="0"/>
                <w:szCs w:val="21"/>
                <w:lang w:val="en-US" w:eastAsia="zh-CN" w:bidi="ar"/>
              </w:rPr>
            </w:pPr>
          </w:p>
        </w:tc>
        <w:tc>
          <w:tcPr>
            <w:tcW w:w="1834"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仿宋_GB2312" w:hAnsi="仿宋_GB2312" w:eastAsia="仿宋_GB2312" w:cs="仿宋_GB2312"/>
                <w:color w:val="auto"/>
                <w:kern w:val="0"/>
                <w:szCs w:val="21"/>
                <w:lang w:bidi="ar"/>
              </w:rPr>
            </w:pPr>
          </w:p>
        </w:tc>
        <w:tc>
          <w:tcPr>
            <w:tcW w:w="800"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仿宋_GB2312" w:hAnsi="仿宋_GB2312" w:eastAsia="仿宋_GB2312" w:cs="仿宋_GB2312"/>
                <w:color w:val="auto"/>
                <w:kern w:val="0"/>
                <w:szCs w:val="21"/>
                <w:lang w:bidi="ar"/>
              </w:rPr>
            </w:pPr>
          </w:p>
        </w:tc>
        <w:tc>
          <w:tcPr>
            <w:tcW w:w="1162"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仿宋_GB2312" w:hAnsi="仿宋_GB2312" w:eastAsia="仿宋_GB2312" w:cs="仿宋_GB2312"/>
                <w:color w:val="auto"/>
                <w:kern w:val="0"/>
                <w:szCs w:val="21"/>
                <w:lang w:bidi="ar"/>
              </w:rPr>
            </w:pPr>
          </w:p>
        </w:tc>
        <w:tc>
          <w:tcPr>
            <w:tcW w:w="2050" w:type="dxa"/>
            <w:tcBorders>
              <w:tl2br w:val="nil"/>
              <w:tr2bl w:val="nil"/>
            </w:tcBorders>
            <w:shd w:val="clear" w:color="auto" w:fill="auto"/>
            <w:noWrap/>
            <w:tcMar>
              <w:top w:w="10" w:type="dxa"/>
              <w:left w:w="10" w:type="dxa"/>
              <w:right w:w="10" w:type="dxa"/>
            </w:tcMar>
            <w:vAlign w:val="center"/>
          </w:tcPr>
          <w:p>
            <w:pPr>
              <w:keepNext w:val="0"/>
              <w:keepLines w:val="0"/>
              <w:widowControl/>
              <w:suppressLineNumbers w:val="0"/>
              <w:jc w:val="both"/>
              <w:textAlignment w:val="center"/>
              <w:rPr>
                <w:rFonts w:hint="eastAsia" w:ascii="仿宋_GB2312" w:hAnsi="仿宋_GB2312" w:eastAsia="仿宋_GB2312" w:cs="仿宋_GB2312"/>
                <w:color w:val="auto"/>
                <w:kern w:val="0"/>
                <w:szCs w:val="21"/>
                <w:lang w:bidi="ar"/>
              </w:rPr>
            </w:pPr>
          </w:p>
        </w:tc>
        <w:tc>
          <w:tcPr>
            <w:tcW w:w="1263" w:type="dxa"/>
            <w:tcBorders>
              <w:tl2br w:val="nil"/>
              <w:tr2bl w:val="nil"/>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Cs w:val="21"/>
                <w:lang w:bidi="ar"/>
              </w:rPr>
            </w:pPr>
          </w:p>
        </w:tc>
        <w:tc>
          <w:tcPr>
            <w:tcW w:w="1487" w:type="dxa"/>
            <w:tcBorders>
              <w:tl2br w:val="nil"/>
              <w:tr2bl w:val="nil"/>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Cs w:val="21"/>
                <w:lang w:bidi="ar"/>
              </w:rPr>
            </w:pPr>
          </w:p>
        </w:tc>
        <w:tc>
          <w:tcPr>
            <w:tcW w:w="1463" w:type="dxa"/>
            <w:tcBorders>
              <w:tl2br w:val="nil"/>
              <w:tr2bl w:val="nil"/>
            </w:tcBorders>
            <w:shd w:val="clear" w:color="auto" w:fill="auto"/>
            <w:noWrap/>
            <w:tcMar>
              <w:top w:w="10" w:type="dxa"/>
              <w:left w:w="10" w:type="dxa"/>
              <w:right w:w="10" w:type="dxa"/>
            </w:tcMar>
            <w:vAlign w:val="center"/>
          </w:tcPr>
          <w:p>
            <w:pPr>
              <w:keepNext w:val="0"/>
              <w:keepLines w:val="0"/>
              <w:widowControl/>
              <w:suppressLineNumbers w:val="0"/>
              <w:jc w:val="both"/>
              <w:textAlignment w:val="center"/>
              <w:rPr>
                <w:rFonts w:hint="eastAsia" w:ascii="仿宋_GB2312" w:hAnsi="仿宋_GB2312" w:eastAsia="仿宋_GB2312" w:cs="仿宋_GB2312"/>
                <w:color w:val="auto"/>
                <w:kern w:val="0"/>
                <w:szCs w:val="21"/>
                <w:lang w:bidi="ar"/>
              </w:rPr>
            </w:pPr>
          </w:p>
        </w:tc>
        <w:tc>
          <w:tcPr>
            <w:tcW w:w="1350"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仿宋_GB2312" w:hAnsi="仿宋_GB2312" w:eastAsia="仿宋_GB2312" w:cs="仿宋_GB2312"/>
                <w:color w:val="auto"/>
                <w:kern w:val="0"/>
                <w:szCs w:val="21"/>
                <w:lang w:bidi="ar"/>
              </w:rPr>
            </w:pPr>
          </w:p>
        </w:tc>
        <w:tc>
          <w:tcPr>
            <w:tcW w:w="1450" w:type="dxa"/>
            <w:tcBorders>
              <w:tl2br w:val="nil"/>
              <w:tr2bl w:val="nil"/>
            </w:tcBorders>
            <w:vAlign w:val="center"/>
          </w:tcPr>
          <w:p>
            <w:pPr>
              <w:keepNext w:val="0"/>
              <w:keepLines w:val="0"/>
              <w:widowControl/>
              <w:suppressLineNumbers w:val="0"/>
              <w:jc w:val="both"/>
              <w:textAlignment w:val="center"/>
              <w:rPr>
                <w:rFonts w:hint="eastAsia" w:ascii="仿宋_GB2312" w:hAnsi="仿宋_GB2312" w:eastAsia="仿宋_GB2312" w:cs="仿宋_GB2312"/>
                <w:color w:val="auto"/>
                <w:kern w:val="0"/>
                <w:szCs w:val="21"/>
                <w:lang w:bidi="ar"/>
              </w:rPr>
            </w:pPr>
          </w:p>
        </w:tc>
        <w:tc>
          <w:tcPr>
            <w:tcW w:w="1150" w:type="dxa"/>
            <w:tcBorders>
              <w:tl2br w:val="nil"/>
              <w:tr2bl w:val="nil"/>
            </w:tcBorders>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Cs w:val="21"/>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308" w:type="dxa"/>
            <w:tcBorders>
              <w:tl2br w:val="nil"/>
              <w:tr2bl w:val="nil"/>
            </w:tcBorders>
            <w:shd w:val="clear" w:color="auto" w:fill="auto"/>
            <w:tcMar>
              <w:top w:w="10" w:type="dxa"/>
              <w:left w:w="10" w:type="dxa"/>
              <w:right w:w="10" w:type="dxa"/>
            </w:tcMar>
            <w:vAlign w:val="center"/>
          </w:tcPr>
          <w:p>
            <w:pPr>
              <w:jc w:val="both"/>
              <w:rPr>
                <w:rFonts w:hint="eastAsia" w:ascii="仿宋_GB2312" w:hAnsi="仿宋_GB2312" w:eastAsia="仿宋_GB2312" w:cs="仿宋_GB2312"/>
                <w:color w:val="auto"/>
                <w:kern w:val="0"/>
                <w:sz w:val="21"/>
                <w:szCs w:val="21"/>
                <w:lang w:val="en-US" w:eastAsia="zh-CN" w:bidi="ar"/>
              </w:rPr>
            </w:pPr>
          </w:p>
        </w:tc>
        <w:tc>
          <w:tcPr>
            <w:tcW w:w="1834"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tabs>
                <w:tab w:val="left" w:pos="377"/>
              </w:tabs>
              <w:jc w:val="both"/>
              <w:textAlignment w:val="center"/>
              <w:rPr>
                <w:rFonts w:hint="eastAsia" w:ascii="仿宋_GB2312" w:hAnsi="仿宋_GB2312" w:eastAsia="仿宋_GB2312" w:cs="仿宋_GB2312"/>
                <w:color w:val="auto"/>
                <w:kern w:val="0"/>
                <w:sz w:val="21"/>
                <w:szCs w:val="21"/>
                <w:lang w:val="en-US" w:eastAsia="zh-CN" w:bidi="ar"/>
              </w:rPr>
            </w:pPr>
          </w:p>
        </w:tc>
        <w:tc>
          <w:tcPr>
            <w:tcW w:w="800"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仿宋_GB2312" w:hAnsi="仿宋_GB2312" w:eastAsia="仿宋_GB2312" w:cs="仿宋_GB2312"/>
                <w:color w:val="auto"/>
                <w:kern w:val="0"/>
                <w:sz w:val="21"/>
                <w:szCs w:val="21"/>
                <w:lang w:val="en-US" w:eastAsia="zh-CN" w:bidi="ar"/>
              </w:rPr>
            </w:pPr>
          </w:p>
        </w:tc>
        <w:tc>
          <w:tcPr>
            <w:tcW w:w="1162"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仿宋_GB2312" w:hAnsi="仿宋_GB2312" w:eastAsia="仿宋_GB2312" w:cs="仿宋_GB2312"/>
                <w:color w:val="auto"/>
                <w:kern w:val="0"/>
                <w:sz w:val="21"/>
                <w:szCs w:val="21"/>
                <w:lang w:val="en-US" w:eastAsia="zh-CN" w:bidi="ar"/>
              </w:rPr>
            </w:pPr>
          </w:p>
        </w:tc>
        <w:tc>
          <w:tcPr>
            <w:tcW w:w="2050" w:type="dxa"/>
            <w:tcBorders>
              <w:tl2br w:val="nil"/>
              <w:tr2bl w:val="nil"/>
            </w:tcBorders>
            <w:shd w:val="clear" w:color="auto" w:fill="auto"/>
            <w:noWrap/>
            <w:tcMar>
              <w:top w:w="10" w:type="dxa"/>
              <w:left w:w="10" w:type="dxa"/>
              <w:right w:w="10" w:type="dxa"/>
            </w:tcMar>
            <w:vAlign w:val="center"/>
          </w:tcPr>
          <w:p>
            <w:pPr>
              <w:keepNext w:val="0"/>
              <w:keepLines w:val="0"/>
              <w:widowControl/>
              <w:suppressLineNumbers w:val="0"/>
              <w:jc w:val="both"/>
              <w:textAlignment w:val="center"/>
              <w:rPr>
                <w:rFonts w:hint="default" w:ascii="仿宋_GB2312" w:hAnsi="仿宋_GB2312" w:eastAsia="仿宋_GB2312" w:cs="仿宋_GB2312"/>
                <w:color w:val="auto"/>
                <w:kern w:val="0"/>
                <w:sz w:val="21"/>
                <w:szCs w:val="21"/>
                <w:lang w:val="en-US" w:eastAsia="zh-CN" w:bidi="ar"/>
              </w:rPr>
            </w:pPr>
          </w:p>
        </w:tc>
        <w:tc>
          <w:tcPr>
            <w:tcW w:w="1263" w:type="dxa"/>
            <w:tcBorders>
              <w:tl2br w:val="nil"/>
              <w:tr2bl w:val="nil"/>
            </w:tcBorders>
            <w:shd w:val="clear" w:color="auto" w:fill="auto"/>
            <w:noWrap/>
            <w:tcMar>
              <w:top w:w="10" w:type="dxa"/>
              <w:left w:w="10" w:type="dxa"/>
              <w:right w:w="10" w:type="dxa"/>
            </w:tcMar>
            <w:vAlign w:val="center"/>
          </w:tcPr>
          <w:p>
            <w:pPr>
              <w:keepNext w:val="0"/>
              <w:keepLines w:val="0"/>
              <w:widowControl/>
              <w:suppressLineNumbers w:val="0"/>
              <w:jc w:val="both"/>
              <w:textAlignment w:val="center"/>
              <w:rPr>
                <w:rFonts w:hint="eastAsia" w:ascii="仿宋_GB2312" w:hAnsi="仿宋_GB2312" w:eastAsia="仿宋_GB2312" w:cs="仿宋_GB2312"/>
                <w:color w:val="auto"/>
                <w:kern w:val="0"/>
                <w:sz w:val="21"/>
                <w:szCs w:val="21"/>
                <w:lang w:val="en-US" w:eastAsia="zh-CN" w:bidi="ar"/>
              </w:rPr>
            </w:pPr>
          </w:p>
        </w:tc>
        <w:tc>
          <w:tcPr>
            <w:tcW w:w="1487" w:type="dxa"/>
            <w:tcBorders>
              <w:tl2br w:val="nil"/>
              <w:tr2bl w:val="nil"/>
            </w:tcBorders>
            <w:shd w:val="clear" w:color="auto" w:fill="auto"/>
            <w:noWrap/>
            <w:tcMar>
              <w:top w:w="10" w:type="dxa"/>
              <w:left w:w="10" w:type="dxa"/>
              <w:right w:w="10" w:type="dxa"/>
            </w:tcMar>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2"/>
                <w:sz w:val="20"/>
                <w:szCs w:val="20"/>
                <w:u w:val="none"/>
                <w:lang w:val="en-US" w:eastAsia="zh-CN" w:bidi="ar-SA"/>
              </w:rPr>
            </w:pPr>
          </w:p>
        </w:tc>
        <w:tc>
          <w:tcPr>
            <w:tcW w:w="1463" w:type="dxa"/>
            <w:tcBorders>
              <w:tl2br w:val="nil"/>
              <w:tr2bl w:val="nil"/>
            </w:tcBorders>
            <w:shd w:val="clear" w:color="auto" w:fill="auto"/>
            <w:noWrap/>
            <w:tcMar>
              <w:top w:w="10" w:type="dxa"/>
              <w:left w:w="10" w:type="dxa"/>
              <w:right w:w="10" w:type="dxa"/>
            </w:tcMar>
            <w:vAlign w:val="center"/>
          </w:tcPr>
          <w:p>
            <w:pPr>
              <w:keepNext w:val="0"/>
              <w:keepLines w:val="0"/>
              <w:widowControl/>
              <w:suppressLineNumbers w:val="0"/>
              <w:jc w:val="both"/>
              <w:textAlignment w:val="center"/>
              <w:rPr>
                <w:rFonts w:hint="eastAsia" w:ascii="仿宋_GB2312" w:hAnsi="仿宋_GB2312" w:eastAsia="仿宋_GB2312" w:cs="仿宋_GB2312"/>
                <w:color w:val="auto"/>
                <w:kern w:val="0"/>
                <w:sz w:val="21"/>
                <w:szCs w:val="21"/>
                <w:lang w:val="en-US" w:eastAsia="zh-CN" w:bidi="ar"/>
              </w:rPr>
            </w:pPr>
          </w:p>
        </w:tc>
        <w:tc>
          <w:tcPr>
            <w:tcW w:w="1350"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仿宋_GB2312" w:hAnsi="仿宋_GB2312" w:eastAsia="仿宋_GB2312" w:cs="仿宋_GB2312"/>
                <w:color w:val="auto"/>
                <w:kern w:val="0"/>
                <w:sz w:val="21"/>
                <w:szCs w:val="21"/>
                <w:lang w:val="en-US" w:eastAsia="zh-CN" w:bidi="ar"/>
              </w:rPr>
            </w:pPr>
          </w:p>
        </w:tc>
        <w:tc>
          <w:tcPr>
            <w:tcW w:w="1450" w:type="dxa"/>
            <w:tcBorders>
              <w:tl2br w:val="nil"/>
              <w:tr2bl w:val="nil"/>
            </w:tcBorders>
            <w:vAlign w:val="center"/>
          </w:tcPr>
          <w:p>
            <w:pPr>
              <w:keepNext w:val="0"/>
              <w:keepLines w:val="0"/>
              <w:widowControl/>
              <w:suppressLineNumbers w:val="0"/>
              <w:jc w:val="both"/>
              <w:textAlignment w:val="center"/>
              <w:rPr>
                <w:rFonts w:hint="eastAsia" w:ascii="仿宋_GB2312" w:hAnsi="仿宋_GB2312" w:eastAsia="仿宋_GB2312" w:cs="仿宋_GB2312"/>
                <w:color w:val="auto"/>
                <w:kern w:val="0"/>
                <w:sz w:val="21"/>
                <w:szCs w:val="21"/>
                <w:lang w:val="en-US" w:eastAsia="zh-CN" w:bidi="ar"/>
              </w:rPr>
            </w:pPr>
          </w:p>
        </w:tc>
        <w:tc>
          <w:tcPr>
            <w:tcW w:w="1150" w:type="dxa"/>
            <w:tcBorders>
              <w:tl2br w:val="nil"/>
              <w:tr2bl w:val="nil"/>
            </w:tcBorders>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Cs w:val="21"/>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308" w:type="dxa"/>
            <w:tcBorders>
              <w:tl2br w:val="nil"/>
              <w:tr2bl w:val="nil"/>
            </w:tcBorders>
            <w:shd w:val="clear" w:color="auto" w:fill="auto"/>
            <w:tcMar>
              <w:top w:w="10" w:type="dxa"/>
              <w:left w:w="10" w:type="dxa"/>
              <w:right w:w="10" w:type="dxa"/>
            </w:tcMar>
            <w:vAlign w:val="center"/>
          </w:tcPr>
          <w:p>
            <w:pPr>
              <w:jc w:val="center"/>
              <w:rPr>
                <w:rFonts w:hint="eastAsia" w:ascii="仿宋_GB2312" w:hAnsi="仿宋_GB2312" w:eastAsia="仿宋_GB2312" w:cs="仿宋_GB2312"/>
                <w:color w:val="auto"/>
                <w:kern w:val="0"/>
                <w:szCs w:val="21"/>
                <w:lang w:val="en-US" w:eastAsia="zh-CN" w:bidi="ar"/>
              </w:rPr>
            </w:pPr>
          </w:p>
        </w:tc>
        <w:tc>
          <w:tcPr>
            <w:tcW w:w="1834"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Cs w:val="21"/>
                <w:lang w:bidi="ar"/>
              </w:rPr>
            </w:pPr>
          </w:p>
        </w:tc>
        <w:tc>
          <w:tcPr>
            <w:tcW w:w="800"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Cs w:val="21"/>
                <w:lang w:bidi="ar"/>
              </w:rPr>
            </w:pPr>
          </w:p>
        </w:tc>
        <w:tc>
          <w:tcPr>
            <w:tcW w:w="1162"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Cs w:val="21"/>
                <w:lang w:bidi="ar"/>
              </w:rPr>
            </w:pPr>
          </w:p>
        </w:tc>
        <w:tc>
          <w:tcPr>
            <w:tcW w:w="2050" w:type="dxa"/>
            <w:tcBorders>
              <w:tl2br w:val="nil"/>
              <w:tr2bl w:val="nil"/>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Cs w:val="21"/>
                <w:lang w:bidi="ar"/>
              </w:rPr>
            </w:pPr>
          </w:p>
        </w:tc>
        <w:tc>
          <w:tcPr>
            <w:tcW w:w="1263" w:type="dxa"/>
            <w:tcBorders>
              <w:tl2br w:val="nil"/>
              <w:tr2bl w:val="nil"/>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Cs w:val="21"/>
                <w:lang w:bidi="ar"/>
              </w:rPr>
            </w:pPr>
          </w:p>
        </w:tc>
        <w:tc>
          <w:tcPr>
            <w:tcW w:w="1487" w:type="dxa"/>
            <w:tcBorders>
              <w:tl2br w:val="nil"/>
              <w:tr2bl w:val="nil"/>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0"/>
                <w:szCs w:val="20"/>
                <w:u w:val="none"/>
                <w:lang w:val="en-US" w:eastAsia="zh-CN" w:bidi="ar-SA"/>
              </w:rPr>
            </w:pPr>
          </w:p>
        </w:tc>
        <w:tc>
          <w:tcPr>
            <w:tcW w:w="1463" w:type="dxa"/>
            <w:tcBorders>
              <w:tl2br w:val="nil"/>
              <w:tr2bl w:val="nil"/>
            </w:tcBorders>
            <w:shd w:val="clear" w:color="auto" w:fill="auto"/>
            <w:noWrap/>
            <w:tcMar>
              <w:top w:w="10" w:type="dxa"/>
              <w:left w:w="10" w:type="dxa"/>
              <w:right w:w="10" w:type="dxa"/>
            </w:tcMar>
            <w:vAlign w:val="center"/>
          </w:tcPr>
          <w:p>
            <w:pPr>
              <w:keepNext w:val="0"/>
              <w:keepLines w:val="0"/>
              <w:widowControl/>
              <w:suppressLineNumbers w:val="0"/>
              <w:jc w:val="both"/>
              <w:textAlignment w:val="center"/>
              <w:rPr>
                <w:rFonts w:hint="eastAsia" w:ascii="仿宋_GB2312" w:hAnsi="仿宋_GB2312" w:eastAsia="仿宋_GB2312" w:cs="仿宋_GB2312"/>
                <w:color w:val="auto"/>
                <w:kern w:val="0"/>
                <w:szCs w:val="21"/>
                <w:lang w:bidi="ar"/>
              </w:rPr>
            </w:pPr>
          </w:p>
        </w:tc>
        <w:tc>
          <w:tcPr>
            <w:tcW w:w="1350"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仿宋_GB2312" w:hAnsi="仿宋_GB2312" w:eastAsia="仿宋_GB2312" w:cs="仿宋_GB2312"/>
                <w:color w:val="auto"/>
                <w:kern w:val="0"/>
                <w:szCs w:val="21"/>
                <w:lang w:bidi="ar"/>
              </w:rPr>
            </w:pPr>
          </w:p>
        </w:tc>
        <w:tc>
          <w:tcPr>
            <w:tcW w:w="1450" w:type="dxa"/>
            <w:tcBorders>
              <w:tl2br w:val="nil"/>
              <w:tr2bl w:val="nil"/>
            </w:tcBorders>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Cs w:val="21"/>
                <w:lang w:bidi="ar"/>
              </w:rPr>
            </w:pPr>
          </w:p>
        </w:tc>
        <w:tc>
          <w:tcPr>
            <w:tcW w:w="1150" w:type="dxa"/>
            <w:tcBorders>
              <w:tl2br w:val="nil"/>
              <w:tr2bl w:val="nil"/>
            </w:tcBorders>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Cs w:val="21"/>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308" w:type="dxa"/>
            <w:tcBorders>
              <w:tl2br w:val="nil"/>
              <w:tr2bl w:val="nil"/>
            </w:tcBorders>
            <w:shd w:val="clear" w:color="auto" w:fill="auto"/>
            <w:tcMar>
              <w:top w:w="10" w:type="dxa"/>
              <w:left w:w="10" w:type="dxa"/>
              <w:right w:w="10" w:type="dxa"/>
            </w:tcMar>
            <w:vAlign w:val="center"/>
          </w:tcPr>
          <w:p>
            <w:pPr>
              <w:jc w:val="center"/>
              <w:rPr>
                <w:rFonts w:hint="eastAsia" w:ascii="仿宋_GB2312" w:hAnsi="仿宋_GB2312" w:eastAsia="仿宋_GB2312" w:cs="仿宋_GB2312"/>
                <w:color w:val="auto"/>
                <w:kern w:val="0"/>
                <w:szCs w:val="21"/>
                <w:lang w:val="en-US" w:eastAsia="zh-CN" w:bidi="ar"/>
              </w:rPr>
            </w:pPr>
          </w:p>
        </w:tc>
        <w:tc>
          <w:tcPr>
            <w:tcW w:w="1834"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p>
        </w:tc>
        <w:tc>
          <w:tcPr>
            <w:tcW w:w="800"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p>
        </w:tc>
        <w:tc>
          <w:tcPr>
            <w:tcW w:w="1162"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p>
        </w:tc>
        <w:tc>
          <w:tcPr>
            <w:tcW w:w="2050" w:type="dxa"/>
            <w:tcBorders>
              <w:tl2br w:val="nil"/>
              <w:tr2bl w:val="nil"/>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p>
        </w:tc>
        <w:tc>
          <w:tcPr>
            <w:tcW w:w="1263" w:type="dxa"/>
            <w:tcBorders>
              <w:tl2br w:val="nil"/>
              <w:tr2bl w:val="nil"/>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p>
        </w:tc>
        <w:tc>
          <w:tcPr>
            <w:tcW w:w="1487" w:type="dxa"/>
            <w:tcBorders>
              <w:tl2br w:val="nil"/>
              <w:tr2bl w:val="nil"/>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p>
        </w:tc>
        <w:tc>
          <w:tcPr>
            <w:tcW w:w="1463" w:type="dxa"/>
            <w:tcBorders>
              <w:tl2br w:val="nil"/>
              <w:tr2bl w:val="nil"/>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p>
        </w:tc>
        <w:tc>
          <w:tcPr>
            <w:tcW w:w="1350"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p>
        </w:tc>
        <w:tc>
          <w:tcPr>
            <w:tcW w:w="1450" w:type="dxa"/>
            <w:tcBorders>
              <w:tl2br w:val="nil"/>
              <w:tr2bl w:val="nil"/>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p>
        </w:tc>
        <w:tc>
          <w:tcPr>
            <w:tcW w:w="1150" w:type="dxa"/>
            <w:tcBorders>
              <w:tl2br w:val="nil"/>
              <w:tr2bl w:val="nil"/>
            </w:tcBorders>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Cs w:val="21"/>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308" w:type="dxa"/>
            <w:tcBorders>
              <w:tl2br w:val="nil"/>
              <w:tr2bl w:val="nil"/>
            </w:tcBorders>
            <w:shd w:val="clear" w:color="auto" w:fill="auto"/>
            <w:tcMar>
              <w:top w:w="10" w:type="dxa"/>
              <w:left w:w="10" w:type="dxa"/>
              <w:right w:w="10" w:type="dxa"/>
            </w:tcMar>
            <w:vAlign w:val="center"/>
          </w:tcPr>
          <w:p>
            <w:pPr>
              <w:jc w:val="center"/>
              <w:rPr>
                <w:rFonts w:hint="eastAsia" w:ascii="仿宋_GB2312" w:hAnsi="仿宋_GB2312" w:eastAsia="仿宋_GB2312" w:cs="仿宋_GB2312"/>
                <w:color w:val="auto"/>
                <w:kern w:val="0"/>
                <w:szCs w:val="21"/>
                <w:lang w:val="en-US" w:eastAsia="zh-CN" w:bidi="ar"/>
              </w:rPr>
            </w:pPr>
          </w:p>
        </w:tc>
        <w:tc>
          <w:tcPr>
            <w:tcW w:w="1834"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p>
        </w:tc>
        <w:tc>
          <w:tcPr>
            <w:tcW w:w="800"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p>
        </w:tc>
        <w:tc>
          <w:tcPr>
            <w:tcW w:w="1162"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p>
        </w:tc>
        <w:tc>
          <w:tcPr>
            <w:tcW w:w="2050" w:type="dxa"/>
            <w:tcBorders>
              <w:tl2br w:val="nil"/>
              <w:tr2bl w:val="nil"/>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p>
        </w:tc>
        <w:tc>
          <w:tcPr>
            <w:tcW w:w="1263" w:type="dxa"/>
            <w:tcBorders>
              <w:tl2br w:val="nil"/>
              <w:tr2bl w:val="nil"/>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p>
        </w:tc>
        <w:tc>
          <w:tcPr>
            <w:tcW w:w="1487" w:type="dxa"/>
            <w:tcBorders>
              <w:tl2br w:val="nil"/>
              <w:tr2bl w:val="nil"/>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p>
        </w:tc>
        <w:tc>
          <w:tcPr>
            <w:tcW w:w="1463" w:type="dxa"/>
            <w:tcBorders>
              <w:tl2br w:val="nil"/>
              <w:tr2bl w:val="nil"/>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p>
        </w:tc>
        <w:tc>
          <w:tcPr>
            <w:tcW w:w="1350" w:type="dxa"/>
            <w:tcBorders>
              <w:tl2br w:val="nil"/>
              <w:tr2bl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p>
        </w:tc>
        <w:tc>
          <w:tcPr>
            <w:tcW w:w="1450" w:type="dxa"/>
            <w:tcBorders>
              <w:tl2br w:val="nil"/>
              <w:tr2bl w:val="nil"/>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p>
        </w:tc>
        <w:tc>
          <w:tcPr>
            <w:tcW w:w="1150" w:type="dxa"/>
            <w:tcBorders>
              <w:tl2br w:val="nil"/>
              <w:tr2bl w:val="nil"/>
            </w:tcBorders>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Cs w:val="21"/>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308" w:type="dxa"/>
            <w:tcBorders>
              <w:tl2br w:val="nil"/>
              <w:tr2bl w:val="nil"/>
            </w:tcBorders>
            <w:shd w:val="clear" w:color="auto" w:fill="auto"/>
            <w:tcMar>
              <w:top w:w="10" w:type="dxa"/>
              <w:left w:w="10" w:type="dxa"/>
              <w:right w:w="10" w:type="dxa"/>
            </w:tcMar>
            <w:vAlign w:val="center"/>
          </w:tcPr>
          <w:p>
            <w:pPr>
              <w:jc w:val="center"/>
              <w:rPr>
                <w:rFonts w:hint="eastAsia" w:ascii="仿宋_GB2312" w:hAnsi="仿宋_GB2312" w:eastAsia="仿宋_GB2312" w:cs="仿宋_GB2312"/>
                <w:color w:val="auto"/>
                <w:kern w:val="0"/>
                <w:szCs w:val="21"/>
                <w:lang w:bidi="ar"/>
              </w:rPr>
            </w:pPr>
          </w:p>
        </w:tc>
        <w:tc>
          <w:tcPr>
            <w:tcW w:w="1834" w:type="dxa"/>
            <w:tcBorders>
              <w:tl2br w:val="nil"/>
              <w:tr2bl w:val="nil"/>
            </w:tcBorders>
            <w:shd w:val="clear" w:color="auto" w:fill="auto"/>
            <w:tcMar>
              <w:top w:w="10" w:type="dxa"/>
              <w:left w:w="10" w:type="dxa"/>
              <w:right w:w="10" w:type="dxa"/>
            </w:tcMar>
            <w:vAlign w:val="center"/>
          </w:tcPr>
          <w:p>
            <w:pPr>
              <w:jc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eastAsia="zh-CN" w:bidi="ar"/>
              </w:rPr>
              <w:t>合计</w:t>
            </w:r>
          </w:p>
        </w:tc>
        <w:tc>
          <w:tcPr>
            <w:tcW w:w="800" w:type="dxa"/>
            <w:tcBorders>
              <w:tl2br w:val="nil"/>
              <w:tr2bl w:val="nil"/>
            </w:tcBorders>
            <w:shd w:val="clear" w:color="auto" w:fill="auto"/>
            <w:tcMar>
              <w:top w:w="10" w:type="dxa"/>
              <w:left w:w="10" w:type="dxa"/>
              <w:right w:w="10" w:type="dxa"/>
            </w:tcMar>
            <w:vAlign w:val="center"/>
          </w:tcPr>
          <w:p>
            <w:pPr>
              <w:jc w:val="center"/>
              <w:rPr>
                <w:rFonts w:hint="eastAsia" w:ascii="仿宋_GB2312" w:hAnsi="仿宋_GB2312" w:eastAsia="仿宋_GB2312" w:cs="仿宋_GB2312"/>
                <w:color w:val="auto"/>
                <w:kern w:val="0"/>
                <w:szCs w:val="21"/>
                <w:lang w:bidi="ar"/>
              </w:rPr>
            </w:pPr>
          </w:p>
        </w:tc>
        <w:tc>
          <w:tcPr>
            <w:tcW w:w="1162" w:type="dxa"/>
            <w:tcBorders>
              <w:tl2br w:val="nil"/>
              <w:tr2bl w:val="nil"/>
            </w:tcBorders>
            <w:shd w:val="clear" w:color="auto" w:fill="auto"/>
            <w:tcMar>
              <w:top w:w="10" w:type="dxa"/>
              <w:left w:w="10" w:type="dxa"/>
              <w:right w:w="10" w:type="dxa"/>
            </w:tcMar>
            <w:vAlign w:val="center"/>
          </w:tcPr>
          <w:p>
            <w:pPr>
              <w:jc w:val="center"/>
              <w:rPr>
                <w:rFonts w:hint="eastAsia" w:ascii="仿宋_GB2312" w:hAnsi="仿宋_GB2312" w:eastAsia="仿宋_GB2312" w:cs="仿宋_GB2312"/>
                <w:color w:val="auto"/>
                <w:kern w:val="0"/>
                <w:szCs w:val="21"/>
                <w:lang w:bidi="ar"/>
              </w:rPr>
            </w:pPr>
          </w:p>
        </w:tc>
        <w:tc>
          <w:tcPr>
            <w:tcW w:w="2050" w:type="dxa"/>
            <w:tcBorders>
              <w:tl2br w:val="nil"/>
              <w:tr2bl w:val="nil"/>
            </w:tcBorders>
            <w:shd w:val="clear" w:color="auto" w:fill="auto"/>
            <w:noWrap/>
            <w:tcMar>
              <w:top w:w="10" w:type="dxa"/>
              <w:left w:w="10" w:type="dxa"/>
              <w:right w:w="10" w:type="dxa"/>
            </w:tcMar>
            <w:vAlign w:val="center"/>
          </w:tcPr>
          <w:p>
            <w:pPr>
              <w:jc w:val="center"/>
              <w:rPr>
                <w:rFonts w:hint="eastAsia" w:ascii="仿宋_GB2312" w:hAnsi="仿宋_GB2312" w:eastAsia="仿宋_GB2312" w:cs="仿宋_GB2312"/>
                <w:color w:val="auto"/>
                <w:kern w:val="0"/>
                <w:szCs w:val="21"/>
                <w:lang w:bidi="ar"/>
              </w:rPr>
            </w:pPr>
          </w:p>
        </w:tc>
        <w:tc>
          <w:tcPr>
            <w:tcW w:w="1263" w:type="dxa"/>
            <w:tcBorders>
              <w:tl2br w:val="nil"/>
              <w:tr2bl w:val="nil"/>
            </w:tcBorders>
            <w:shd w:val="clear" w:color="auto" w:fill="auto"/>
            <w:noWrap/>
            <w:tcMar>
              <w:top w:w="10" w:type="dxa"/>
              <w:left w:w="10" w:type="dxa"/>
              <w:right w:w="10" w:type="dxa"/>
            </w:tcMar>
            <w:vAlign w:val="center"/>
          </w:tcPr>
          <w:p>
            <w:pPr>
              <w:jc w:val="center"/>
              <w:rPr>
                <w:rFonts w:hint="default" w:ascii="仿宋_GB2312" w:hAnsi="宋体" w:eastAsia="仿宋_GB2312" w:cs="仿宋_GB2312"/>
                <w:i w:val="0"/>
                <w:iCs w:val="0"/>
                <w:color w:val="000000"/>
                <w:kern w:val="0"/>
                <w:sz w:val="20"/>
                <w:szCs w:val="20"/>
                <w:u w:val="none"/>
                <w:lang w:eastAsia="zh-CN" w:bidi="ar"/>
              </w:rPr>
            </w:pPr>
            <w:r>
              <w:rPr>
                <w:rFonts w:hint="default" w:ascii="仿宋_GB2312" w:hAnsi="宋体" w:eastAsia="仿宋_GB2312" w:cs="仿宋_GB2312"/>
                <w:i w:val="0"/>
                <w:iCs w:val="0"/>
                <w:color w:val="000000"/>
                <w:kern w:val="0"/>
                <w:sz w:val="20"/>
                <w:szCs w:val="20"/>
                <w:u w:val="none"/>
                <w:lang w:eastAsia="zh-CN" w:bidi="ar"/>
              </w:rPr>
              <w:fldChar w:fldCharType="begin"/>
            </w:r>
            <w:r>
              <w:rPr>
                <w:rFonts w:hint="default" w:ascii="仿宋_GB2312" w:hAnsi="宋体" w:eastAsia="仿宋_GB2312" w:cs="仿宋_GB2312"/>
                <w:i w:val="0"/>
                <w:iCs w:val="0"/>
                <w:color w:val="000000"/>
                <w:kern w:val="0"/>
                <w:sz w:val="20"/>
                <w:szCs w:val="20"/>
                <w:u w:val="none"/>
                <w:lang w:eastAsia="zh-CN" w:bidi="ar"/>
              </w:rPr>
              <w:instrText xml:space="preserve"> =SUM(ABOVE) \# "#,##0.00" \* MERGEFORMAT </w:instrText>
            </w:r>
            <w:r>
              <w:rPr>
                <w:rFonts w:hint="default" w:ascii="仿宋_GB2312" w:hAnsi="宋体" w:eastAsia="仿宋_GB2312" w:cs="仿宋_GB2312"/>
                <w:i w:val="0"/>
                <w:iCs w:val="0"/>
                <w:color w:val="000000"/>
                <w:kern w:val="0"/>
                <w:sz w:val="20"/>
                <w:szCs w:val="20"/>
                <w:u w:val="none"/>
                <w:lang w:eastAsia="zh-CN" w:bidi="ar"/>
              </w:rPr>
              <w:fldChar w:fldCharType="separate"/>
            </w:r>
            <w:r>
              <w:rPr>
                <w:rFonts w:hint="eastAsia" w:ascii="仿宋_GB2312" w:hAnsi="宋体" w:eastAsia="仿宋_GB2312" w:cs="仿宋_GB2312"/>
                <w:i w:val="0"/>
                <w:iCs w:val="0"/>
                <w:color w:val="000000"/>
                <w:kern w:val="0"/>
                <w:sz w:val="20"/>
                <w:szCs w:val="20"/>
                <w:u w:val="none"/>
                <w:lang w:val="en-US" w:eastAsia="zh-CN" w:bidi="ar"/>
              </w:rPr>
              <w:t>37.81</w:t>
            </w:r>
            <w:r>
              <w:rPr>
                <w:rFonts w:hint="default" w:ascii="仿宋_GB2312" w:hAnsi="宋体" w:eastAsia="仿宋_GB2312" w:cs="仿宋_GB2312"/>
                <w:i w:val="0"/>
                <w:iCs w:val="0"/>
                <w:color w:val="000000"/>
                <w:kern w:val="0"/>
                <w:sz w:val="20"/>
                <w:szCs w:val="20"/>
                <w:u w:val="none"/>
                <w:lang w:eastAsia="zh-CN" w:bidi="ar"/>
              </w:rPr>
              <w:fldChar w:fldCharType="end"/>
            </w:r>
          </w:p>
        </w:tc>
        <w:tc>
          <w:tcPr>
            <w:tcW w:w="1487" w:type="dxa"/>
            <w:tcBorders>
              <w:tl2br w:val="nil"/>
              <w:tr2bl w:val="nil"/>
            </w:tcBorders>
            <w:shd w:val="clear" w:color="auto" w:fill="auto"/>
            <w:noWrap/>
            <w:tcMar>
              <w:top w:w="10" w:type="dxa"/>
              <w:left w:w="10" w:type="dxa"/>
              <w:right w:w="10" w:type="dxa"/>
            </w:tcMar>
            <w:vAlign w:val="center"/>
          </w:tcPr>
          <w:p>
            <w:pPr>
              <w:jc w:val="center"/>
              <w:rPr>
                <w:rFonts w:hint="eastAsia" w:ascii="仿宋_GB2312" w:hAnsi="宋体" w:eastAsia="仿宋_GB2312" w:cs="仿宋_GB2312"/>
                <w:i w:val="0"/>
                <w:iCs w:val="0"/>
                <w:color w:val="000000"/>
                <w:kern w:val="0"/>
                <w:sz w:val="20"/>
                <w:szCs w:val="20"/>
                <w:u w:val="none"/>
                <w:lang w:val="en-US" w:eastAsia="zh-CN" w:bidi="ar"/>
              </w:rPr>
            </w:pPr>
          </w:p>
        </w:tc>
        <w:tc>
          <w:tcPr>
            <w:tcW w:w="1463" w:type="dxa"/>
            <w:tcBorders>
              <w:tl2br w:val="nil"/>
              <w:tr2bl w:val="nil"/>
            </w:tcBorders>
            <w:shd w:val="clear" w:color="auto" w:fill="auto"/>
            <w:noWrap/>
            <w:tcMar>
              <w:top w:w="10" w:type="dxa"/>
              <w:left w:w="10" w:type="dxa"/>
              <w:right w:w="10" w:type="dxa"/>
            </w:tcMar>
            <w:vAlign w:val="center"/>
          </w:tcPr>
          <w:p>
            <w:pPr>
              <w:jc w:val="center"/>
              <w:rPr>
                <w:rFonts w:hint="eastAsia"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fldChar w:fldCharType="begin"/>
            </w:r>
            <w:r>
              <w:rPr>
                <w:rFonts w:hint="default" w:ascii="仿宋_GB2312" w:hAnsi="宋体" w:eastAsia="仿宋_GB2312" w:cs="仿宋_GB2312"/>
                <w:i w:val="0"/>
                <w:iCs w:val="0"/>
                <w:color w:val="000000"/>
                <w:kern w:val="0"/>
                <w:sz w:val="20"/>
                <w:szCs w:val="20"/>
                <w:u w:val="none"/>
                <w:lang w:val="en-US" w:eastAsia="zh-CN" w:bidi="ar"/>
              </w:rPr>
              <w:instrText xml:space="preserve"> =SUM(ABOVE) \# "#,##0.00" \* MERGEFORMAT </w:instrText>
            </w:r>
            <w:r>
              <w:rPr>
                <w:rFonts w:hint="default" w:ascii="仿宋_GB2312" w:hAnsi="宋体" w:eastAsia="仿宋_GB2312" w:cs="仿宋_GB2312"/>
                <w:i w:val="0"/>
                <w:iCs w:val="0"/>
                <w:color w:val="000000"/>
                <w:kern w:val="0"/>
                <w:sz w:val="20"/>
                <w:szCs w:val="20"/>
                <w:u w:val="none"/>
                <w:lang w:val="en-US" w:eastAsia="zh-CN" w:bidi="ar"/>
              </w:rPr>
              <w:fldChar w:fldCharType="separate"/>
            </w:r>
            <w:r>
              <w:rPr>
                <w:rFonts w:hint="eastAsia" w:ascii="仿宋_GB2312" w:hAnsi="宋体" w:eastAsia="仿宋_GB2312" w:cs="仿宋_GB2312"/>
                <w:i w:val="0"/>
                <w:iCs w:val="0"/>
                <w:color w:val="000000"/>
                <w:kern w:val="0"/>
                <w:sz w:val="20"/>
                <w:szCs w:val="20"/>
                <w:u w:val="none"/>
                <w:lang w:val="en-US" w:eastAsia="zh-CN" w:bidi="ar"/>
              </w:rPr>
              <w:t>177.02</w:t>
            </w:r>
            <w:r>
              <w:rPr>
                <w:rFonts w:hint="default" w:ascii="仿宋_GB2312" w:hAnsi="宋体" w:eastAsia="仿宋_GB2312" w:cs="仿宋_GB2312"/>
                <w:i w:val="0"/>
                <w:iCs w:val="0"/>
                <w:color w:val="000000"/>
                <w:kern w:val="0"/>
                <w:sz w:val="20"/>
                <w:szCs w:val="20"/>
                <w:u w:val="none"/>
                <w:lang w:val="en-US" w:eastAsia="zh-CN" w:bidi="ar"/>
              </w:rPr>
              <w:fldChar w:fldCharType="end"/>
            </w:r>
          </w:p>
        </w:tc>
        <w:tc>
          <w:tcPr>
            <w:tcW w:w="1350" w:type="dxa"/>
            <w:tcBorders>
              <w:tl2br w:val="nil"/>
              <w:tr2bl w:val="nil"/>
            </w:tcBorders>
            <w:shd w:val="clear" w:color="auto" w:fill="auto"/>
            <w:tcMar>
              <w:top w:w="10" w:type="dxa"/>
              <w:left w:w="10" w:type="dxa"/>
              <w:right w:w="10" w:type="dxa"/>
            </w:tcMar>
            <w:vAlign w:val="center"/>
          </w:tcPr>
          <w:p>
            <w:pPr>
              <w:jc w:val="center"/>
              <w:rPr>
                <w:rFonts w:hint="eastAsia" w:ascii="仿宋_GB2312" w:hAnsi="宋体" w:eastAsia="仿宋_GB2312" w:cs="仿宋_GB2312"/>
                <w:i w:val="0"/>
                <w:iCs w:val="0"/>
                <w:color w:val="000000"/>
                <w:kern w:val="0"/>
                <w:sz w:val="20"/>
                <w:szCs w:val="20"/>
                <w:u w:val="none"/>
                <w:lang w:val="en-US" w:eastAsia="zh-CN" w:bidi="ar"/>
              </w:rPr>
            </w:pPr>
          </w:p>
        </w:tc>
        <w:tc>
          <w:tcPr>
            <w:tcW w:w="1450" w:type="dxa"/>
            <w:tcBorders>
              <w:tl2br w:val="nil"/>
              <w:tr2bl w:val="nil"/>
            </w:tcBorders>
            <w:vAlign w:val="center"/>
          </w:tcPr>
          <w:p>
            <w:pPr>
              <w:jc w:val="center"/>
              <w:rPr>
                <w:rFonts w:hint="eastAsia"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fldChar w:fldCharType="begin"/>
            </w:r>
            <w:r>
              <w:rPr>
                <w:rFonts w:hint="default" w:ascii="仿宋_GB2312" w:hAnsi="宋体" w:eastAsia="仿宋_GB2312" w:cs="仿宋_GB2312"/>
                <w:i w:val="0"/>
                <w:iCs w:val="0"/>
                <w:color w:val="000000"/>
                <w:kern w:val="0"/>
                <w:sz w:val="20"/>
                <w:szCs w:val="20"/>
                <w:u w:val="none"/>
                <w:lang w:val="en-US" w:eastAsia="zh-CN" w:bidi="ar"/>
              </w:rPr>
              <w:instrText xml:space="preserve"> =SUM(ABOVE) \# "#,##0.00" \* MERGEFORMAT </w:instrText>
            </w:r>
            <w:r>
              <w:rPr>
                <w:rFonts w:hint="default" w:ascii="仿宋_GB2312" w:hAnsi="宋体" w:eastAsia="仿宋_GB2312" w:cs="仿宋_GB2312"/>
                <w:i w:val="0"/>
                <w:iCs w:val="0"/>
                <w:color w:val="000000"/>
                <w:kern w:val="0"/>
                <w:sz w:val="20"/>
                <w:szCs w:val="20"/>
                <w:u w:val="none"/>
                <w:lang w:val="en-US" w:eastAsia="zh-CN" w:bidi="ar"/>
              </w:rPr>
              <w:fldChar w:fldCharType="separate"/>
            </w:r>
            <w:r>
              <w:rPr>
                <w:rFonts w:hint="eastAsia" w:ascii="仿宋_GB2312" w:hAnsi="宋体" w:eastAsia="仿宋_GB2312" w:cs="仿宋_GB2312"/>
                <w:i w:val="0"/>
                <w:iCs w:val="0"/>
                <w:color w:val="000000"/>
                <w:kern w:val="0"/>
                <w:sz w:val="20"/>
                <w:szCs w:val="20"/>
                <w:u w:val="none"/>
                <w:lang w:val="en-US" w:eastAsia="zh-CN" w:bidi="ar"/>
              </w:rPr>
              <w:t>4,106,864.00</w:t>
            </w:r>
            <w:r>
              <w:rPr>
                <w:rFonts w:hint="default" w:ascii="仿宋_GB2312" w:hAnsi="宋体" w:eastAsia="仿宋_GB2312" w:cs="仿宋_GB2312"/>
                <w:i w:val="0"/>
                <w:iCs w:val="0"/>
                <w:color w:val="000000"/>
                <w:kern w:val="0"/>
                <w:sz w:val="20"/>
                <w:szCs w:val="20"/>
                <w:u w:val="none"/>
                <w:lang w:val="en-US" w:eastAsia="zh-CN" w:bidi="ar"/>
              </w:rPr>
              <w:fldChar w:fldCharType="end"/>
            </w:r>
          </w:p>
        </w:tc>
        <w:tc>
          <w:tcPr>
            <w:tcW w:w="1150" w:type="dxa"/>
            <w:tcBorders>
              <w:tl2br w:val="nil"/>
              <w:tr2bl w:val="nil"/>
            </w:tcBorders>
            <w:vAlign w:val="center"/>
          </w:tcPr>
          <w:p>
            <w:pPr>
              <w:jc w:val="center"/>
              <w:rPr>
                <w:rFonts w:hint="eastAsia" w:ascii="仿宋_GB2312" w:hAnsi="仿宋_GB2312" w:eastAsia="仿宋_GB2312" w:cs="仿宋_GB2312"/>
                <w:color w:val="auto"/>
                <w:kern w:val="0"/>
                <w:szCs w:val="21"/>
                <w:lang w:bidi="ar"/>
              </w:rPr>
            </w:pPr>
          </w:p>
        </w:tc>
      </w:tr>
    </w:tbl>
    <w:p>
      <w:pPr>
        <w:jc w:val="center"/>
        <w:rPr>
          <w:rFonts w:ascii="仿宋_GB2312" w:hAnsi="仿宋_GB2312" w:eastAsia="仿宋_GB2312" w:cs="仿宋_GB2312"/>
          <w:color w:val="auto"/>
          <w:sz w:val="24"/>
        </w:rPr>
        <w:sectPr>
          <w:type w:val="continuous"/>
          <w:pgSz w:w="16839" w:h="11907" w:orient="landscape"/>
          <w:pgMar w:top="1418" w:right="1701" w:bottom="1077" w:left="964" w:header="1021" w:footer="720" w:gutter="340"/>
          <w:pgBorders>
            <w:top w:val="none" w:sz="0" w:space="0"/>
            <w:left w:val="none" w:sz="0" w:space="0"/>
            <w:bottom w:val="none" w:sz="0" w:space="0"/>
            <w:right w:val="none" w:sz="0" w:space="0"/>
          </w:pgBorders>
          <w:cols w:space="720" w:num="1"/>
          <w:docGrid w:linePitch="285" w:charSpace="0"/>
        </w:sectPr>
      </w:pPr>
    </w:p>
    <w:p>
      <w:pPr>
        <w:jc w:val="left"/>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eastAsia="zh-CN"/>
        </w:rPr>
        <w:t>附件</w:t>
      </w:r>
      <w:r>
        <w:rPr>
          <w:rFonts w:hint="eastAsia" w:ascii="仿宋_GB2312" w:hAnsi="仿宋_GB2312" w:eastAsia="仿宋_GB2312" w:cs="仿宋_GB2312"/>
          <w:color w:val="auto"/>
          <w:sz w:val="24"/>
          <w:lang w:val="en-US" w:eastAsia="zh-CN"/>
        </w:rPr>
        <w:t>2                   白鹭金滩春晓园位置</w:t>
      </w:r>
    </w:p>
    <w:p>
      <w:pPr>
        <w:pageBreakBefore w:val="0"/>
        <w:widowControl w:val="0"/>
        <w:numPr>
          <w:ilvl w:val="0"/>
          <w:numId w:val="0"/>
        </w:numPr>
        <w:kinsoku/>
        <w:wordWrap/>
        <w:topLinePunct w:val="0"/>
        <w:bidi w:val="0"/>
        <w:spacing w:line="360" w:lineRule="auto"/>
        <w:jc w:val="center"/>
        <w:rPr>
          <w:rFonts w:hint="default" w:ascii="仿宋_GB2312" w:hAnsi="仿宋_GB2312" w:eastAsia="仿宋_GB2312" w:cs="仿宋_GB2312"/>
          <w:color w:val="auto"/>
          <w:sz w:val="24"/>
          <w:lang w:val="en-US" w:eastAsia="zh-CN"/>
        </w:rPr>
      </w:pPr>
      <w:r>
        <w:rPr>
          <w:rFonts w:hint="default" w:ascii="仿宋_GB2312" w:hAnsi="仿宋_GB2312" w:eastAsia="仿宋_GB2312" w:cs="仿宋_GB2312"/>
          <w:color w:val="auto"/>
          <w:sz w:val="24"/>
          <w:lang w:val="en-US" w:eastAsia="zh-CN"/>
        </w:rPr>
        <w:drawing>
          <wp:inline distT="0" distB="0" distL="114300" distR="114300">
            <wp:extent cx="5273040" cy="3474720"/>
            <wp:effectExtent l="0" t="0" r="0" b="0"/>
            <wp:docPr id="12" name="图片 12" descr="166260920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2609203249"/>
                    <pic:cNvPicPr>
                      <a:picLocks noChangeAspect="1"/>
                    </pic:cNvPicPr>
                  </pic:nvPicPr>
                  <pic:blipFill>
                    <a:blip r:embed="rId11"/>
                    <a:stretch>
                      <a:fillRect/>
                    </a:stretch>
                  </pic:blipFill>
                  <pic:spPr>
                    <a:xfrm>
                      <a:off x="0" y="0"/>
                      <a:ext cx="5273040" cy="3474720"/>
                    </a:xfrm>
                    <a:prstGeom prst="rect">
                      <a:avLst/>
                    </a:prstGeom>
                  </pic:spPr>
                </pic:pic>
              </a:graphicData>
            </a:graphic>
          </wp:inline>
        </w:drawing>
      </w:r>
    </w:p>
    <w:p>
      <w:pPr>
        <w:pageBreakBefore w:val="0"/>
        <w:widowControl w:val="0"/>
        <w:numPr>
          <w:ilvl w:val="0"/>
          <w:numId w:val="0"/>
        </w:numPr>
        <w:kinsoku/>
        <w:wordWrap/>
        <w:topLinePunct w:val="0"/>
        <w:bidi w:val="0"/>
        <w:spacing w:line="360" w:lineRule="auto"/>
        <w:jc w:val="left"/>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eastAsia="zh-CN"/>
        </w:rPr>
        <w:t>附件</w:t>
      </w:r>
      <w:r>
        <w:rPr>
          <w:rFonts w:hint="eastAsia" w:ascii="仿宋_GB2312" w:hAnsi="仿宋_GB2312" w:eastAsia="仿宋_GB2312" w:cs="仿宋_GB2312"/>
          <w:color w:val="auto"/>
          <w:sz w:val="24"/>
          <w:lang w:val="en-US" w:eastAsia="zh-CN"/>
        </w:rPr>
        <w:t>3                   白鹭金滩春晓园照片</w:t>
      </w:r>
    </w:p>
    <w:p>
      <w:pPr>
        <w:pageBreakBefore w:val="0"/>
        <w:widowControl w:val="0"/>
        <w:numPr>
          <w:ilvl w:val="0"/>
          <w:numId w:val="0"/>
        </w:numPr>
        <w:kinsoku/>
        <w:wordWrap/>
        <w:topLinePunct w:val="0"/>
        <w:bidi w:val="0"/>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drawing>
          <wp:inline distT="0" distB="0" distL="114300" distR="114300">
            <wp:extent cx="5281295" cy="3959860"/>
            <wp:effectExtent l="0" t="0" r="6985" b="2540"/>
            <wp:docPr id="21" name="图片 21" descr="厨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厨房"/>
                    <pic:cNvPicPr>
                      <a:picLocks noChangeAspect="1"/>
                    </pic:cNvPicPr>
                  </pic:nvPicPr>
                  <pic:blipFill>
                    <a:blip r:embed="rId12"/>
                    <a:stretch>
                      <a:fillRect/>
                    </a:stretch>
                  </pic:blipFill>
                  <pic:spPr>
                    <a:xfrm>
                      <a:off x="0" y="0"/>
                      <a:ext cx="5281295" cy="3959860"/>
                    </a:xfrm>
                    <a:prstGeom prst="rect">
                      <a:avLst/>
                    </a:prstGeom>
                  </pic:spPr>
                </pic:pic>
              </a:graphicData>
            </a:graphic>
          </wp:inline>
        </w:drawing>
      </w:r>
      <w:r>
        <w:rPr>
          <w:rFonts w:hint="eastAsia" w:ascii="仿宋_GB2312" w:hAnsi="仿宋_GB2312" w:eastAsia="仿宋_GB2312" w:cs="仿宋_GB2312"/>
          <w:color w:val="auto"/>
          <w:sz w:val="24"/>
          <w:lang w:val="en-US" w:eastAsia="zh-CN"/>
        </w:rPr>
        <w:drawing>
          <wp:inline distT="0" distB="0" distL="114300" distR="114300">
            <wp:extent cx="5735320" cy="4301490"/>
            <wp:effectExtent l="0" t="0" r="10160" b="11430"/>
            <wp:docPr id="22" name="图片 22" descr="次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次卧1"/>
                    <pic:cNvPicPr>
                      <a:picLocks noChangeAspect="1"/>
                    </pic:cNvPicPr>
                  </pic:nvPicPr>
                  <pic:blipFill>
                    <a:blip r:embed="rId13"/>
                    <a:stretch>
                      <a:fillRect/>
                    </a:stretch>
                  </pic:blipFill>
                  <pic:spPr>
                    <a:xfrm>
                      <a:off x="0" y="0"/>
                      <a:ext cx="5735320" cy="4301490"/>
                    </a:xfrm>
                    <a:prstGeom prst="rect">
                      <a:avLst/>
                    </a:prstGeom>
                  </pic:spPr>
                </pic:pic>
              </a:graphicData>
            </a:graphic>
          </wp:inline>
        </w:drawing>
      </w:r>
      <w:r>
        <w:rPr>
          <w:rFonts w:hint="eastAsia" w:ascii="仿宋_GB2312" w:hAnsi="仿宋_GB2312" w:eastAsia="仿宋_GB2312" w:cs="仿宋_GB2312"/>
          <w:color w:val="auto"/>
          <w:sz w:val="24"/>
          <w:lang w:val="en-US" w:eastAsia="zh-CN"/>
        </w:rPr>
        <w:drawing>
          <wp:inline distT="0" distB="0" distL="114300" distR="114300">
            <wp:extent cx="5735320" cy="4301490"/>
            <wp:effectExtent l="0" t="0" r="10160" b="11430"/>
            <wp:docPr id="23" name="图片 23" descr="客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客厅"/>
                    <pic:cNvPicPr>
                      <a:picLocks noChangeAspect="1"/>
                    </pic:cNvPicPr>
                  </pic:nvPicPr>
                  <pic:blipFill>
                    <a:blip r:embed="rId14"/>
                    <a:stretch>
                      <a:fillRect/>
                    </a:stretch>
                  </pic:blipFill>
                  <pic:spPr>
                    <a:xfrm>
                      <a:off x="0" y="0"/>
                      <a:ext cx="5735320" cy="4301490"/>
                    </a:xfrm>
                    <a:prstGeom prst="rect">
                      <a:avLst/>
                    </a:prstGeom>
                  </pic:spPr>
                </pic:pic>
              </a:graphicData>
            </a:graphic>
          </wp:inline>
        </w:drawing>
      </w:r>
      <w:r>
        <w:rPr>
          <w:rFonts w:hint="eastAsia" w:ascii="仿宋_GB2312" w:hAnsi="仿宋_GB2312" w:eastAsia="仿宋_GB2312" w:cs="仿宋_GB2312"/>
          <w:color w:val="auto"/>
          <w:sz w:val="24"/>
          <w:lang w:val="en-US" w:eastAsia="zh-CN"/>
        </w:rPr>
        <w:drawing>
          <wp:inline distT="0" distB="0" distL="114300" distR="114300">
            <wp:extent cx="2700020" cy="3599815"/>
            <wp:effectExtent l="0" t="0" r="12700" b="12065"/>
            <wp:docPr id="24" name="图片 24" descr="IMG_20220830_14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20830_145642"/>
                    <pic:cNvPicPr>
                      <a:picLocks noChangeAspect="1"/>
                    </pic:cNvPicPr>
                  </pic:nvPicPr>
                  <pic:blipFill>
                    <a:blip r:embed="rId15"/>
                    <a:stretch>
                      <a:fillRect/>
                    </a:stretch>
                  </pic:blipFill>
                  <pic:spPr>
                    <a:xfrm>
                      <a:off x="0" y="0"/>
                      <a:ext cx="2700020" cy="3599815"/>
                    </a:xfrm>
                    <a:prstGeom prst="rect">
                      <a:avLst/>
                    </a:prstGeom>
                  </pic:spPr>
                </pic:pic>
              </a:graphicData>
            </a:graphic>
          </wp:inline>
        </w:drawing>
      </w:r>
      <w:r>
        <w:rPr>
          <w:rFonts w:hint="eastAsia" w:ascii="仿宋_GB2312" w:hAnsi="仿宋_GB2312" w:eastAsia="仿宋_GB2312" w:cs="仿宋_GB2312"/>
          <w:color w:val="auto"/>
          <w:sz w:val="24"/>
          <w:lang w:val="en-US" w:eastAsia="zh-CN"/>
        </w:rPr>
        <w:drawing>
          <wp:inline distT="0" distB="0" distL="114300" distR="114300">
            <wp:extent cx="2700020" cy="3599815"/>
            <wp:effectExtent l="0" t="0" r="12700" b="12065"/>
            <wp:docPr id="26" name="图片 26" descr="IMG_20220830_15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830_151948"/>
                    <pic:cNvPicPr>
                      <a:picLocks noChangeAspect="1"/>
                    </pic:cNvPicPr>
                  </pic:nvPicPr>
                  <pic:blipFill>
                    <a:blip r:embed="rId16"/>
                    <a:stretch>
                      <a:fillRect/>
                    </a:stretch>
                  </pic:blipFill>
                  <pic:spPr>
                    <a:xfrm>
                      <a:off x="0" y="0"/>
                      <a:ext cx="2700020" cy="3599815"/>
                    </a:xfrm>
                    <a:prstGeom prst="rect">
                      <a:avLst/>
                    </a:prstGeom>
                  </pic:spPr>
                </pic:pic>
              </a:graphicData>
            </a:graphic>
          </wp:inline>
        </w:drawing>
      </w:r>
      <w:r>
        <w:rPr>
          <w:rFonts w:hint="eastAsia" w:ascii="仿宋_GB2312" w:hAnsi="仿宋_GB2312" w:eastAsia="仿宋_GB2312" w:cs="仿宋_GB2312"/>
          <w:color w:val="auto"/>
          <w:sz w:val="24"/>
          <w:lang w:val="en-US" w:eastAsia="zh-CN"/>
        </w:rPr>
        <w:drawing>
          <wp:inline distT="0" distB="0" distL="114300" distR="114300">
            <wp:extent cx="5735320" cy="4301490"/>
            <wp:effectExtent l="0" t="0" r="10160" b="11430"/>
            <wp:docPr id="25" name="图片 25" descr="主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主卧"/>
                    <pic:cNvPicPr>
                      <a:picLocks noChangeAspect="1"/>
                    </pic:cNvPicPr>
                  </pic:nvPicPr>
                  <pic:blipFill>
                    <a:blip r:embed="rId17"/>
                    <a:stretch>
                      <a:fillRect/>
                    </a:stretch>
                  </pic:blipFill>
                  <pic:spPr>
                    <a:xfrm>
                      <a:off x="0" y="0"/>
                      <a:ext cx="5735320" cy="4301490"/>
                    </a:xfrm>
                    <a:prstGeom prst="rect">
                      <a:avLst/>
                    </a:prstGeom>
                  </pic:spPr>
                </pic:pic>
              </a:graphicData>
            </a:graphic>
          </wp:inline>
        </w:drawing>
      </w:r>
    </w:p>
    <w:p>
      <w:pPr>
        <w:pageBreakBefore w:val="0"/>
        <w:widowControl w:val="0"/>
        <w:numPr>
          <w:ilvl w:val="0"/>
          <w:numId w:val="0"/>
        </w:numPr>
        <w:kinsoku/>
        <w:wordWrap/>
        <w:topLinePunct w:val="0"/>
        <w:bidi w:val="0"/>
        <w:spacing w:line="360" w:lineRule="auto"/>
        <w:jc w:val="center"/>
        <w:rPr>
          <w:rFonts w:hint="eastAsia" w:ascii="仿宋_GB2312" w:hAnsi="仿宋_GB2312" w:eastAsia="仿宋_GB2312" w:cs="仿宋_GB2312"/>
          <w:color w:val="auto"/>
          <w:sz w:val="24"/>
          <w:lang w:val="en-US" w:eastAsia="zh-CN"/>
        </w:rPr>
      </w:pPr>
    </w:p>
    <w:p>
      <w:pPr>
        <w:pageBreakBefore w:val="0"/>
        <w:widowControl w:val="0"/>
        <w:numPr>
          <w:ilvl w:val="0"/>
          <w:numId w:val="0"/>
        </w:numPr>
        <w:kinsoku/>
        <w:wordWrap/>
        <w:topLinePunct w:val="0"/>
        <w:bidi w:val="0"/>
        <w:spacing w:line="360" w:lineRule="auto"/>
        <w:jc w:val="center"/>
        <w:rPr>
          <w:rFonts w:hint="eastAsia" w:ascii="仿宋_GB2312" w:hAnsi="仿宋_GB2312" w:eastAsia="仿宋_GB2312" w:cs="仿宋_GB2312"/>
          <w:color w:val="auto"/>
          <w:sz w:val="24"/>
          <w:lang w:val="en-US" w:eastAsia="zh-CN"/>
        </w:rPr>
      </w:pPr>
    </w:p>
    <w:p>
      <w:pPr>
        <w:pageBreakBefore w:val="0"/>
        <w:widowControl w:val="0"/>
        <w:numPr>
          <w:ilvl w:val="0"/>
          <w:numId w:val="0"/>
        </w:numPr>
        <w:kinsoku/>
        <w:wordWrap/>
        <w:topLinePunct w:val="0"/>
        <w:bidi w:val="0"/>
        <w:spacing w:line="360" w:lineRule="auto"/>
        <w:jc w:val="center"/>
        <w:rPr>
          <w:rFonts w:hint="eastAsia" w:ascii="仿宋_GB2312" w:hAnsi="仿宋_GB2312" w:eastAsia="仿宋_GB2312" w:cs="仿宋_GB2312"/>
          <w:color w:val="auto"/>
          <w:sz w:val="24"/>
          <w:lang w:val="en-US" w:eastAsia="zh-CN"/>
        </w:rPr>
      </w:pPr>
    </w:p>
    <w:p>
      <w:pPr>
        <w:pageBreakBefore w:val="0"/>
        <w:widowControl w:val="0"/>
        <w:numPr>
          <w:ilvl w:val="0"/>
          <w:numId w:val="0"/>
        </w:numPr>
        <w:kinsoku/>
        <w:wordWrap/>
        <w:topLinePunct w:val="0"/>
        <w:bidi w:val="0"/>
        <w:spacing w:line="360" w:lineRule="auto"/>
        <w:ind w:left="-420" w:leftChars="-200" w:right="31" w:rightChars="15" w:firstLine="0" w:firstLineChars="0"/>
        <w:jc w:val="left"/>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eastAsia="zh-CN"/>
        </w:rPr>
        <w:t>附件</w:t>
      </w:r>
      <w:r>
        <w:rPr>
          <w:rFonts w:hint="eastAsia" w:ascii="仿宋_GB2312" w:hAnsi="仿宋_GB2312" w:eastAsia="仿宋_GB2312" w:cs="仿宋_GB2312"/>
          <w:color w:val="auto"/>
          <w:sz w:val="24"/>
          <w:lang w:val="en-US" w:eastAsia="zh-CN"/>
        </w:rPr>
        <w:t xml:space="preserve">4                    评估委托书 </w:t>
      </w:r>
      <w:bookmarkStart w:id="95" w:name="_GoBack"/>
      <w:bookmarkEnd w:id="95"/>
      <w:r>
        <w:rPr>
          <w:rFonts w:hint="default" w:ascii="仿宋_GB2312" w:hAnsi="仿宋_GB2312" w:eastAsia="仿宋_GB2312" w:cs="仿宋_GB2312"/>
          <w:color w:val="auto"/>
          <w:sz w:val="24"/>
          <w:lang w:val="en-US" w:eastAsia="zh-CN"/>
        </w:rPr>
        <w:drawing>
          <wp:inline distT="0" distB="0" distL="114300" distR="114300">
            <wp:extent cx="6886575" cy="8143240"/>
            <wp:effectExtent l="0" t="0" r="9525" b="10160"/>
            <wp:docPr id="27" name="图片 27" descr="新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新建"/>
                    <pic:cNvPicPr>
                      <a:picLocks noChangeAspect="1"/>
                    </pic:cNvPicPr>
                  </pic:nvPicPr>
                  <pic:blipFill>
                    <a:blip r:embed="rId18"/>
                    <a:stretch>
                      <a:fillRect/>
                    </a:stretch>
                  </pic:blipFill>
                  <pic:spPr>
                    <a:xfrm>
                      <a:off x="0" y="0"/>
                      <a:ext cx="6886575" cy="8143240"/>
                    </a:xfrm>
                    <a:prstGeom prst="rect">
                      <a:avLst/>
                    </a:prstGeom>
                  </pic:spPr>
                </pic:pic>
              </a:graphicData>
            </a:graphic>
          </wp:inline>
        </w:drawing>
      </w:r>
      <w:r>
        <w:rPr>
          <w:rFonts w:hint="eastAsia" w:ascii="仿宋_GB2312" w:hAnsi="仿宋_GB2312" w:eastAsia="仿宋_GB2312" w:cs="仿宋_GB2312"/>
          <w:color w:val="auto"/>
          <w:sz w:val="24"/>
          <w:lang w:val="en-US" w:eastAsia="zh-CN"/>
        </w:rPr>
        <w:t xml:space="preserve">   </w:t>
      </w:r>
    </w:p>
    <w:p>
      <w:pPr>
        <w:pageBreakBefore w:val="0"/>
        <w:widowControl w:val="0"/>
        <w:numPr>
          <w:ilvl w:val="0"/>
          <w:numId w:val="0"/>
        </w:numPr>
        <w:kinsoku/>
        <w:wordWrap/>
        <w:topLinePunct w:val="0"/>
        <w:bidi w:val="0"/>
        <w:spacing w:line="360" w:lineRule="auto"/>
        <w:jc w:val="center"/>
        <w:rPr>
          <w:rFonts w:hint="default" w:ascii="仿宋_GB2312" w:hAnsi="仿宋_GB2312" w:eastAsia="仿宋_GB2312" w:cs="仿宋_GB2312"/>
          <w:color w:val="auto"/>
          <w:sz w:val="24"/>
          <w:lang w:val="en-US" w:eastAsia="zh-CN"/>
        </w:rPr>
      </w:pPr>
    </w:p>
    <w:p>
      <w:pPr>
        <w:pageBreakBefore w:val="0"/>
        <w:widowControl w:val="0"/>
        <w:numPr>
          <w:ilvl w:val="0"/>
          <w:numId w:val="0"/>
        </w:numPr>
        <w:kinsoku/>
        <w:wordWrap/>
        <w:topLinePunct w:val="0"/>
        <w:bidi w:val="0"/>
        <w:spacing w:line="360" w:lineRule="auto"/>
        <w:jc w:val="center"/>
        <w:rPr>
          <w:rFonts w:hint="default" w:ascii="仿宋_GB2312" w:hAnsi="仿宋_GB2312" w:eastAsia="仿宋_GB2312" w:cs="仿宋_GB2312"/>
          <w:color w:val="auto"/>
          <w:sz w:val="24"/>
          <w:lang w:val="en-US" w:eastAsia="zh-CN"/>
        </w:rPr>
      </w:pPr>
    </w:p>
    <w:p>
      <w:pPr>
        <w:pageBreakBefore w:val="0"/>
        <w:widowControl w:val="0"/>
        <w:numPr>
          <w:ilvl w:val="0"/>
          <w:numId w:val="0"/>
        </w:numPr>
        <w:kinsoku/>
        <w:wordWrap/>
        <w:topLinePunct w:val="0"/>
        <w:bidi w:val="0"/>
        <w:spacing w:line="360" w:lineRule="auto"/>
        <w:jc w:val="center"/>
        <w:rPr>
          <w:rFonts w:hint="default" w:ascii="仿宋_GB2312" w:hAnsi="仿宋_GB2312" w:eastAsia="仿宋_GB2312" w:cs="仿宋_GB2312"/>
          <w:color w:val="auto"/>
          <w:sz w:val="24"/>
          <w:lang w:val="en-US" w:eastAsia="zh-CN"/>
        </w:rPr>
      </w:pPr>
      <w:r>
        <w:rPr>
          <w:rFonts w:hint="default" w:ascii="仿宋_GB2312" w:hAnsi="仿宋_GB2312" w:eastAsia="仿宋_GB2312" w:cs="仿宋_GB2312"/>
          <w:color w:val="auto"/>
          <w:sz w:val="24"/>
          <w:lang w:val="en-US" w:eastAsia="zh-CN"/>
        </w:rPr>
        <w:drawing>
          <wp:inline distT="0" distB="0" distL="114300" distR="114300">
            <wp:extent cx="5758815" cy="8143875"/>
            <wp:effectExtent l="0" t="0" r="1905" b="9525"/>
            <wp:docPr id="28" name="图片 28" descr="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Page0002"/>
                    <pic:cNvPicPr>
                      <a:picLocks noChangeAspect="1"/>
                    </pic:cNvPicPr>
                  </pic:nvPicPr>
                  <pic:blipFill>
                    <a:blip r:embed="rId19"/>
                    <a:stretch>
                      <a:fillRect/>
                    </a:stretch>
                  </pic:blipFill>
                  <pic:spPr>
                    <a:xfrm>
                      <a:off x="0" y="0"/>
                      <a:ext cx="5758815" cy="8143875"/>
                    </a:xfrm>
                    <a:prstGeom prst="rect">
                      <a:avLst/>
                    </a:prstGeom>
                  </pic:spPr>
                </pic:pic>
              </a:graphicData>
            </a:graphic>
          </wp:inline>
        </w:drawing>
      </w:r>
      <w:r>
        <w:rPr>
          <w:rFonts w:hint="default" w:ascii="仿宋_GB2312" w:hAnsi="仿宋_GB2312" w:eastAsia="仿宋_GB2312" w:cs="仿宋_GB2312"/>
          <w:color w:val="auto"/>
          <w:sz w:val="24"/>
          <w:lang w:val="en-US" w:eastAsia="zh-CN"/>
        </w:rPr>
        <w:drawing>
          <wp:inline distT="0" distB="0" distL="114300" distR="114300">
            <wp:extent cx="5758815" cy="8143875"/>
            <wp:effectExtent l="0" t="0" r="1905" b="9525"/>
            <wp:docPr id="29" name="图片 29" descr="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Page0003"/>
                    <pic:cNvPicPr>
                      <a:picLocks noChangeAspect="1"/>
                    </pic:cNvPicPr>
                  </pic:nvPicPr>
                  <pic:blipFill>
                    <a:blip r:embed="rId20"/>
                    <a:stretch>
                      <a:fillRect/>
                    </a:stretch>
                  </pic:blipFill>
                  <pic:spPr>
                    <a:xfrm>
                      <a:off x="0" y="0"/>
                      <a:ext cx="5758815" cy="8143875"/>
                    </a:xfrm>
                    <a:prstGeom prst="rect">
                      <a:avLst/>
                    </a:prstGeom>
                  </pic:spPr>
                </pic:pic>
              </a:graphicData>
            </a:graphic>
          </wp:inline>
        </w:drawing>
      </w:r>
    </w:p>
    <w:p>
      <w:pPr>
        <w:pageBreakBefore w:val="0"/>
        <w:widowControl w:val="0"/>
        <w:numPr>
          <w:ilvl w:val="0"/>
          <w:numId w:val="0"/>
        </w:numPr>
        <w:kinsoku/>
        <w:wordWrap/>
        <w:topLinePunct w:val="0"/>
        <w:bidi w:val="0"/>
        <w:spacing w:line="360" w:lineRule="auto"/>
        <w:jc w:val="center"/>
        <w:rPr>
          <w:rFonts w:hint="default" w:ascii="仿宋_GB2312" w:hAnsi="仿宋_GB2312" w:eastAsia="仿宋_GB2312" w:cs="仿宋_GB2312"/>
          <w:color w:val="auto"/>
          <w:sz w:val="24"/>
          <w:lang w:val="en-US" w:eastAsia="zh-CN"/>
        </w:rPr>
      </w:pPr>
    </w:p>
    <w:p>
      <w:pPr>
        <w:pageBreakBefore w:val="0"/>
        <w:widowControl w:val="0"/>
        <w:numPr>
          <w:ilvl w:val="0"/>
          <w:numId w:val="0"/>
        </w:numPr>
        <w:kinsoku/>
        <w:wordWrap/>
        <w:topLinePunct w:val="0"/>
        <w:bidi w:val="0"/>
        <w:spacing w:line="360" w:lineRule="auto"/>
        <w:jc w:val="center"/>
        <w:rPr>
          <w:rFonts w:hint="default" w:ascii="仿宋_GB2312" w:hAnsi="仿宋_GB2312" w:eastAsia="仿宋_GB2312" w:cs="仿宋_GB2312"/>
          <w:color w:val="auto"/>
          <w:sz w:val="24"/>
          <w:lang w:val="en-US" w:eastAsia="zh-CN"/>
        </w:rPr>
      </w:pPr>
    </w:p>
    <w:p>
      <w:pPr>
        <w:pageBreakBefore w:val="0"/>
        <w:widowControl w:val="0"/>
        <w:numPr>
          <w:ilvl w:val="0"/>
          <w:numId w:val="0"/>
        </w:numPr>
        <w:kinsoku/>
        <w:wordWrap/>
        <w:topLinePunct w:val="0"/>
        <w:bidi w:val="0"/>
        <w:spacing w:line="360" w:lineRule="auto"/>
        <w:jc w:val="left"/>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eastAsia="zh-CN"/>
        </w:rPr>
        <w:t>附件</w:t>
      </w:r>
      <w:r>
        <w:rPr>
          <w:rFonts w:hint="eastAsia" w:ascii="仿宋_GB2312" w:hAnsi="仿宋_GB2312" w:eastAsia="仿宋_GB2312" w:cs="仿宋_GB2312"/>
          <w:color w:val="auto"/>
          <w:sz w:val="24"/>
          <w:lang w:val="en-US" w:eastAsia="zh-CN"/>
        </w:rPr>
        <w:t>5                   不动产登记查档证明</w:t>
      </w:r>
    </w:p>
    <w:p>
      <w:pPr>
        <w:pageBreakBefore w:val="0"/>
        <w:widowControl w:val="0"/>
        <w:numPr>
          <w:ilvl w:val="0"/>
          <w:numId w:val="0"/>
        </w:numPr>
        <w:kinsoku/>
        <w:wordWrap/>
        <w:topLinePunct w:val="0"/>
        <w:bidi w:val="0"/>
        <w:spacing w:line="360" w:lineRule="auto"/>
        <w:jc w:val="left"/>
        <w:rPr>
          <w:rFonts w:hint="default" w:ascii="仿宋_GB2312" w:hAnsi="仿宋_GB2312" w:eastAsia="仿宋_GB2312" w:cs="仿宋_GB2312"/>
          <w:color w:val="auto"/>
          <w:sz w:val="24"/>
          <w:lang w:val="en-US" w:eastAsia="zh-CN"/>
        </w:rPr>
      </w:pPr>
      <w:r>
        <w:rPr>
          <w:rFonts w:hint="default" w:ascii="仿宋_GB2312" w:hAnsi="仿宋_GB2312" w:eastAsia="仿宋_GB2312" w:cs="仿宋_GB2312"/>
          <w:color w:val="auto"/>
          <w:sz w:val="24"/>
          <w:lang w:val="en-US" w:eastAsia="zh-CN"/>
        </w:rPr>
        <w:drawing>
          <wp:inline distT="0" distB="0" distL="114300" distR="114300">
            <wp:extent cx="5758815" cy="8143875"/>
            <wp:effectExtent l="0" t="0" r="1905" b="9525"/>
            <wp:docPr id="31" name="图片 31" descr="产权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产权证1"/>
                    <pic:cNvPicPr>
                      <a:picLocks noChangeAspect="1"/>
                    </pic:cNvPicPr>
                  </pic:nvPicPr>
                  <pic:blipFill>
                    <a:blip r:embed="rId21"/>
                    <a:stretch>
                      <a:fillRect/>
                    </a:stretch>
                  </pic:blipFill>
                  <pic:spPr>
                    <a:xfrm>
                      <a:off x="0" y="0"/>
                      <a:ext cx="5758815" cy="8143875"/>
                    </a:xfrm>
                    <a:prstGeom prst="rect">
                      <a:avLst/>
                    </a:prstGeom>
                  </pic:spPr>
                </pic:pic>
              </a:graphicData>
            </a:graphic>
          </wp:inline>
        </w:drawing>
      </w:r>
    </w:p>
    <w:p>
      <w:pPr>
        <w:pageBreakBefore w:val="0"/>
        <w:widowControl w:val="0"/>
        <w:numPr>
          <w:ilvl w:val="0"/>
          <w:numId w:val="0"/>
        </w:numPr>
        <w:kinsoku/>
        <w:wordWrap/>
        <w:topLinePunct w:val="0"/>
        <w:bidi w:val="0"/>
        <w:spacing w:line="360" w:lineRule="auto"/>
        <w:jc w:val="left"/>
        <w:rPr>
          <w:rFonts w:hint="default" w:ascii="仿宋_GB2312" w:hAnsi="仿宋_GB2312" w:eastAsia="仿宋_GB2312" w:cs="仿宋_GB2312"/>
          <w:color w:val="auto"/>
          <w:sz w:val="24"/>
          <w:lang w:val="en-US" w:eastAsia="zh-CN"/>
        </w:rPr>
      </w:pPr>
    </w:p>
    <w:p>
      <w:pPr>
        <w:jc w:val="both"/>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 xml:space="preserve">附件6            </w:t>
      </w:r>
    </w:p>
    <w:p>
      <w:pPr>
        <w:ind w:firstLine="2160" w:firstLineChars="900"/>
        <w:jc w:val="both"/>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24"/>
          <w:lang w:val="en-US" w:eastAsia="zh-CN"/>
        </w:rPr>
        <w:t xml:space="preserve">        </w:t>
      </w:r>
      <w:r>
        <w:rPr>
          <w:rFonts w:hint="eastAsia" w:ascii="仿宋_GB2312" w:hAnsi="仿宋_GB2312" w:eastAsia="仿宋_GB2312" w:cs="仿宋_GB2312"/>
          <w:b/>
          <w:bCs/>
          <w:color w:val="auto"/>
          <w:sz w:val="32"/>
          <w:szCs w:val="32"/>
        </w:rPr>
        <w:t>资产评估师承诺函</w:t>
      </w:r>
    </w:p>
    <w:p>
      <w:pPr>
        <w:spacing w:line="480" w:lineRule="auto"/>
        <w:ind w:firstLine="560"/>
        <w:rPr>
          <w:rFonts w:ascii="仿宋_GB2312" w:hAnsi="仿宋_GB2312" w:eastAsia="仿宋_GB2312" w:cs="仿宋_GB2312"/>
          <w:color w:val="auto"/>
          <w:sz w:val="32"/>
          <w:szCs w:val="32"/>
        </w:rPr>
      </w:pPr>
    </w:p>
    <w:p>
      <w:pPr>
        <w:spacing w:line="480" w:lineRule="auto"/>
        <w:ind w:firstLine="560"/>
        <w:rPr>
          <w:rFonts w:ascii="仿宋_GB2312" w:hAnsi="仿宋_GB2312" w:eastAsia="仿宋_GB2312" w:cs="仿宋_GB2312"/>
          <w:color w:val="auto"/>
          <w:sz w:val="24"/>
        </w:rPr>
      </w:pPr>
      <w:bookmarkStart w:id="93" w:name="_1548220375"/>
      <w:bookmarkEnd w:id="93"/>
      <w:bookmarkStart w:id="94" w:name="_1559114955"/>
      <w:bookmarkEnd w:id="94"/>
      <w:r>
        <w:rPr>
          <w:rFonts w:hint="eastAsia" w:ascii="仿宋_GB2312" w:hAnsi="仿宋_GB2312" w:eastAsia="仿宋_GB2312" w:cs="仿宋_GB2312"/>
          <w:color w:val="auto"/>
          <w:sz w:val="24"/>
          <w:lang w:eastAsia="zh-CN"/>
        </w:rPr>
        <w:t>福清市人民法院</w:t>
      </w:r>
      <w:r>
        <w:rPr>
          <w:rFonts w:hint="eastAsia" w:ascii="仿宋_GB2312" w:hAnsi="仿宋_GB2312" w:eastAsia="仿宋_GB2312" w:cs="仿宋_GB2312"/>
          <w:color w:val="auto"/>
          <w:sz w:val="24"/>
        </w:rPr>
        <w:t>：</w:t>
      </w:r>
    </w:p>
    <w:p>
      <w:pPr>
        <w:spacing w:line="480" w:lineRule="auto"/>
        <w:ind w:firstLine="560"/>
        <w:rPr>
          <w:rFonts w:ascii="仿宋_GB2312" w:hAnsi="仿宋_GB2312" w:eastAsia="仿宋_GB2312" w:cs="仿宋_GB2312"/>
          <w:color w:val="auto"/>
          <w:sz w:val="24"/>
        </w:rPr>
      </w:pPr>
      <w:r>
        <w:rPr>
          <w:rFonts w:hint="eastAsia" w:ascii="仿宋_GB2312" w:hAnsi="仿宋_GB2312" w:eastAsia="仿宋_GB2312" w:cs="仿宋_GB2312"/>
          <w:color w:val="auto"/>
          <w:sz w:val="24"/>
        </w:rPr>
        <w:t>受你委托，我们对</w:t>
      </w:r>
      <w:r>
        <w:rPr>
          <w:rFonts w:hint="eastAsia" w:ascii="仿宋_GB2312" w:hAnsi="仿宋_GB2312" w:eastAsia="仿宋_GB2312" w:cs="仿宋_GB2312"/>
          <w:color w:val="auto"/>
          <w:sz w:val="24"/>
          <w:lang w:eastAsia="zh-CN"/>
        </w:rPr>
        <w:t>福清市人民法院拟进行司法处置</w:t>
      </w:r>
      <w:r>
        <w:rPr>
          <w:rFonts w:hint="eastAsia" w:ascii="仿宋_GB2312" w:hAnsi="仿宋_GB2312" w:eastAsia="仿宋_GB2312" w:cs="仿宋_GB2312"/>
          <w:color w:val="auto"/>
          <w:sz w:val="24"/>
        </w:rPr>
        <w:t xml:space="preserve">事宜所涉及的资产，以 </w:t>
      </w:r>
      <w:r>
        <w:rPr>
          <w:rFonts w:hint="eastAsia" w:ascii="仿宋_GB2312" w:hAnsi="仿宋_GB2312" w:eastAsia="仿宋_GB2312" w:cs="仿宋_GB2312"/>
          <w:color w:val="auto"/>
          <w:sz w:val="24"/>
          <w:lang w:eastAsia="zh-CN"/>
        </w:rPr>
        <w:t>2022年08月30日</w:t>
      </w:r>
      <w:r>
        <w:rPr>
          <w:rFonts w:hint="eastAsia" w:ascii="仿宋_GB2312" w:hAnsi="仿宋_GB2312" w:eastAsia="仿宋_GB2312" w:cs="仿宋_GB2312"/>
          <w:color w:val="auto"/>
          <w:sz w:val="24"/>
        </w:rPr>
        <w:t>为基准日进行了评估，形成了评估报告。在本报告中披露的假设条件成立的前提下，我们承诺如下：</w:t>
      </w:r>
    </w:p>
    <w:p>
      <w:pPr>
        <w:spacing w:line="480" w:lineRule="auto"/>
        <w:ind w:firstLine="560"/>
        <w:rPr>
          <w:rFonts w:ascii="仿宋_GB2312" w:hAnsi="仿宋_GB2312" w:eastAsia="仿宋_GB2312" w:cs="仿宋_GB2312"/>
          <w:color w:val="auto"/>
          <w:sz w:val="24"/>
        </w:rPr>
      </w:pPr>
      <w:r>
        <w:rPr>
          <w:rFonts w:hint="eastAsia" w:ascii="仿宋_GB2312" w:hAnsi="仿宋_GB2312" w:eastAsia="仿宋_GB2312" w:cs="仿宋_GB2312"/>
          <w:color w:val="auto"/>
          <w:sz w:val="24"/>
        </w:rPr>
        <w:t>　　一、具备相应的执业资格。</w:t>
      </w:r>
    </w:p>
    <w:p>
      <w:pPr>
        <w:spacing w:line="480" w:lineRule="auto"/>
        <w:ind w:firstLine="560"/>
        <w:rPr>
          <w:rFonts w:ascii="仿宋_GB2312" w:hAnsi="仿宋_GB2312" w:eastAsia="仿宋_GB2312" w:cs="仿宋_GB2312"/>
          <w:color w:val="auto"/>
          <w:sz w:val="24"/>
        </w:rPr>
      </w:pPr>
      <w:r>
        <w:rPr>
          <w:rFonts w:hint="eastAsia" w:ascii="仿宋_GB2312" w:hAnsi="仿宋_GB2312" w:eastAsia="仿宋_GB2312" w:cs="仿宋_GB2312"/>
          <w:color w:val="auto"/>
          <w:sz w:val="24"/>
        </w:rPr>
        <w:t>　　二、评估对象和评估范围与</w:t>
      </w:r>
      <w:r>
        <w:rPr>
          <w:rFonts w:hint="eastAsia" w:ascii="仿宋_GB2312" w:hAnsi="仿宋_GB2312" w:eastAsia="仿宋_GB2312" w:cs="仿宋_GB2312"/>
          <w:color w:val="auto"/>
          <w:sz w:val="24"/>
          <w:lang w:eastAsia="zh-CN"/>
        </w:rPr>
        <w:t>评估委托书</w:t>
      </w:r>
      <w:r>
        <w:rPr>
          <w:rFonts w:hint="eastAsia" w:ascii="仿宋_GB2312" w:hAnsi="仿宋_GB2312" w:eastAsia="仿宋_GB2312" w:cs="仿宋_GB2312"/>
          <w:color w:val="auto"/>
          <w:sz w:val="24"/>
        </w:rPr>
        <w:t>的约定一致。</w:t>
      </w:r>
    </w:p>
    <w:p>
      <w:pPr>
        <w:spacing w:line="480" w:lineRule="auto"/>
        <w:ind w:firstLine="560"/>
        <w:rPr>
          <w:rFonts w:ascii="仿宋_GB2312" w:hAnsi="仿宋_GB2312" w:eastAsia="仿宋_GB2312" w:cs="仿宋_GB2312"/>
          <w:color w:val="auto"/>
          <w:sz w:val="24"/>
        </w:rPr>
      </w:pPr>
      <w:r>
        <w:rPr>
          <w:rFonts w:hint="eastAsia" w:ascii="仿宋_GB2312" w:hAnsi="仿宋_GB2312" w:eastAsia="仿宋_GB2312" w:cs="仿宋_GB2312"/>
          <w:color w:val="auto"/>
          <w:sz w:val="24"/>
        </w:rPr>
        <w:t>　　三、对评估对象及其所涉及的资产进行了必要的核实。</w:t>
      </w:r>
    </w:p>
    <w:p>
      <w:pPr>
        <w:spacing w:line="480" w:lineRule="auto"/>
        <w:ind w:firstLine="560"/>
        <w:rPr>
          <w:rFonts w:ascii="仿宋_GB2312" w:hAnsi="仿宋_GB2312" w:eastAsia="仿宋_GB2312" w:cs="仿宋_GB2312"/>
          <w:color w:val="auto"/>
          <w:sz w:val="24"/>
        </w:rPr>
      </w:pPr>
      <w:r>
        <w:rPr>
          <w:rFonts w:hint="eastAsia" w:ascii="仿宋_GB2312" w:hAnsi="仿宋_GB2312" w:eastAsia="仿宋_GB2312" w:cs="仿宋_GB2312"/>
          <w:color w:val="auto"/>
          <w:sz w:val="24"/>
        </w:rPr>
        <w:t>　　四、根据资产评估准则和相关评估规范选用了适当的评估方法。</w:t>
      </w:r>
    </w:p>
    <w:p>
      <w:pPr>
        <w:spacing w:line="480" w:lineRule="auto"/>
        <w:ind w:firstLine="560"/>
        <w:rPr>
          <w:rFonts w:ascii="仿宋_GB2312" w:hAnsi="仿宋_GB2312" w:eastAsia="仿宋_GB2312" w:cs="仿宋_GB2312"/>
          <w:color w:val="auto"/>
          <w:sz w:val="24"/>
        </w:rPr>
      </w:pPr>
      <w:r>
        <w:rPr>
          <w:rFonts w:hint="eastAsia" w:ascii="仿宋_GB2312" w:hAnsi="仿宋_GB2312" w:eastAsia="仿宋_GB2312" w:cs="仿宋_GB2312"/>
          <w:color w:val="auto"/>
          <w:sz w:val="24"/>
        </w:rPr>
        <w:t>　　五、充分考虑了影响评估价值的因素。</w:t>
      </w:r>
    </w:p>
    <w:p>
      <w:pPr>
        <w:spacing w:line="480" w:lineRule="auto"/>
        <w:ind w:firstLine="560"/>
        <w:rPr>
          <w:rFonts w:ascii="仿宋_GB2312" w:hAnsi="仿宋_GB2312" w:eastAsia="仿宋_GB2312" w:cs="仿宋_GB2312"/>
          <w:color w:val="auto"/>
          <w:sz w:val="24"/>
        </w:rPr>
      </w:pPr>
      <w:r>
        <w:rPr>
          <w:rFonts w:hint="eastAsia" w:ascii="仿宋_GB2312" w:hAnsi="仿宋_GB2312" w:eastAsia="仿宋_GB2312" w:cs="仿宋_GB2312"/>
          <w:color w:val="auto"/>
          <w:sz w:val="24"/>
        </w:rPr>
        <w:t>　　六、评估结论合理。</w:t>
      </w:r>
    </w:p>
    <w:p>
      <w:pPr>
        <w:spacing w:line="480" w:lineRule="auto"/>
        <w:ind w:firstLine="560"/>
        <w:rPr>
          <w:rFonts w:ascii="仿宋_GB2312" w:hAnsi="仿宋_GB2312" w:eastAsia="仿宋_GB2312" w:cs="仿宋_GB2312"/>
          <w:color w:val="auto"/>
          <w:sz w:val="24"/>
        </w:rPr>
      </w:pPr>
      <w:r>
        <w:rPr>
          <w:rFonts w:hint="eastAsia" w:ascii="仿宋_GB2312" w:hAnsi="仿宋_GB2312" w:eastAsia="仿宋_GB2312" w:cs="仿宋_GB2312"/>
          <w:color w:val="auto"/>
          <w:sz w:val="24"/>
        </w:rPr>
        <w:t>　　七、评估工作未受到干预并独立进行。</w:t>
      </w:r>
    </w:p>
    <w:p>
      <w:pPr>
        <w:spacing w:line="480" w:lineRule="auto"/>
        <w:ind w:firstLine="560"/>
        <w:rPr>
          <w:rFonts w:ascii="仿宋_GB2312" w:hAnsi="仿宋_GB2312" w:eastAsia="仿宋_GB2312" w:cs="仿宋_GB2312"/>
          <w:color w:val="auto"/>
          <w:sz w:val="24"/>
        </w:rPr>
      </w:pPr>
    </w:p>
    <w:p>
      <w:pPr>
        <w:spacing w:line="480" w:lineRule="auto"/>
        <w:ind w:left="981" w:leftChars="467" w:firstLine="3720" w:firstLineChars="1550"/>
        <w:rPr>
          <w:rFonts w:ascii="仿宋_GB2312" w:hAnsi="仿宋_GB2312" w:eastAsia="仿宋_GB2312" w:cs="仿宋_GB2312"/>
          <w:color w:val="auto"/>
          <w:sz w:val="24"/>
        </w:rPr>
      </w:pPr>
      <w:r>
        <w:rPr>
          <w:rFonts w:hint="eastAsia" w:ascii="仿宋_GB2312" w:hAnsi="仿宋_GB2312" w:eastAsia="仿宋_GB2312" w:cs="仿宋_GB2312"/>
          <w:color w:val="auto"/>
          <w:sz w:val="24"/>
        </w:rPr>
        <w:t>资产评估师签章</w:t>
      </w:r>
    </w:p>
    <w:p>
      <w:pPr>
        <w:spacing w:line="480" w:lineRule="auto"/>
        <w:ind w:left="980"/>
        <w:rPr>
          <w:rFonts w:ascii="仿宋_GB2312" w:hAnsi="仿宋_GB2312" w:eastAsia="仿宋_GB2312" w:cs="仿宋_GB2312"/>
          <w:color w:val="auto"/>
          <w:sz w:val="24"/>
        </w:rPr>
      </w:pPr>
    </w:p>
    <w:p>
      <w:pPr>
        <w:jc w:val="right"/>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2022年09月07日</w:t>
      </w:r>
    </w:p>
    <w:p>
      <w:pPr>
        <w:pageBreakBefore w:val="0"/>
        <w:widowControl w:val="0"/>
        <w:numPr>
          <w:ilvl w:val="0"/>
          <w:numId w:val="0"/>
        </w:numPr>
        <w:kinsoku/>
        <w:wordWrap/>
        <w:topLinePunct w:val="0"/>
        <w:bidi w:val="0"/>
        <w:spacing w:line="360" w:lineRule="auto"/>
        <w:jc w:val="left"/>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 xml:space="preserve">  </w:t>
      </w:r>
    </w:p>
    <w:p>
      <w:pPr>
        <w:pageBreakBefore w:val="0"/>
        <w:widowControl w:val="0"/>
        <w:numPr>
          <w:ilvl w:val="0"/>
          <w:numId w:val="0"/>
        </w:numPr>
        <w:kinsoku/>
        <w:wordWrap/>
        <w:topLinePunct w:val="0"/>
        <w:bidi w:val="0"/>
        <w:spacing w:line="360" w:lineRule="auto"/>
        <w:jc w:val="left"/>
        <w:rPr>
          <w:rFonts w:hint="eastAsia" w:ascii="仿宋_GB2312" w:hAnsi="仿宋_GB2312" w:eastAsia="仿宋_GB2312" w:cs="仿宋_GB2312"/>
          <w:color w:val="auto"/>
          <w:sz w:val="24"/>
          <w:lang w:val="en-US" w:eastAsia="zh-CN"/>
        </w:rPr>
      </w:pPr>
    </w:p>
    <w:p>
      <w:pPr>
        <w:pageBreakBefore w:val="0"/>
        <w:widowControl w:val="0"/>
        <w:numPr>
          <w:ilvl w:val="0"/>
          <w:numId w:val="0"/>
        </w:numPr>
        <w:kinsoku/>
        <w:wordWrap/>
        <w:topLinePunct w:val="0"/>
        <w:bidi w:val="0"/>
        <w:spacing w:line="360" w:lineRule="auto"/>
        <w:jc w:val="left"/>
        <w:rPr>
          <w:rFonts w:hint="eastAsia" w:ascii="仿宋_GB2312" w:hAnsi="仿宋_GB2312" w:eastAsia="仿宋_GB2312" w:cs="仿宋_GB2312"/>
          <w:color w:val="auto"/>
          <w:sz w:val="24"/>
          <w:lang w:val="en-US" w:eastAsia="zh-CN"/>
        </w:rPr>
      </w:pPr>
    </w:p>
    <w:p>
      <w:pPr>
        <w:pageBreakBefore w:val="0"/>
        <w:widowControl w:val="0"/>
        <w:numPr>
          <w:ilvl w:val="0"/>
          <w:numId w:val="0"/>
        </w:numPr>
        <w:kinsoku/>
        <w:wordWrap/>
        <w:topLinePunct w:val="0"/>
        <w:bidi w:val="0"/>
        <w:spacing w:line="360" w:lineRule="auto"/>
        <w:jc w:val="left"/>
        <w:rPr>
          <w:rFonts w:hint="eastAsia" w:ascii="仿宋_GB2312" w:hAnsi="仿宋_GB2312" w:eastAsia="仿宋_GB2312" w:cs="仿宋_GB2312"/>
          <w:color w:val="auto"/>
          <w:sz w:val="24"/>
          <w:lang w:val="en-US" w:eastAsia="zh-CN"/>
        </w:rPr>
      </w:pPr>
    </w:p>
    <w:p>
      <w:pPr>
        <w:pageBreakBefore w:val="0"/>
        <w:widowControl w:val="0"/>
        <w:numPr>
          <w:ilvl w:val="0"/>
          <w:numId w:val="0"/>
        </w:numPr>
        <w:kinsoku/>
        <w:wordWrap/>
        <w:topLinePunct w:val="0"/>
        <w:bidi w:val="0"/>
        <w:spacing w:line="360" w:lineRule="auto"/>
        <w:jc w:val="left"/>
        <w:rPr>
          <w:rFonts w:hint="eastAsia" w:ascii="仿宋_GB2312" w:hAnsi="仿宋_GB2312" w:eastAsia="仿宋_GB2312" w:cs="仿宋_GB2312"/>
          <w:color w:val="auto"/>
          <w:sz w:val="24"/>
          <w:lang w:val="en-US" w:eastAsia="zh-CN"/>
        </w:rPr>
      </w:pPr>
    </w:p>
    <w:p>
      <w:pPr>
        <w:pageBreakBefore w:val="0"/>
        <w:widowControl w:val="0"/>
        <w:numPr>
          <w:ilvl w:val="0"/>
          <w:numId w:val="0"/>
        </w:numPr>
        <w:kinsoku/>
        <w:wordWrap/>
        <w:topLinePunct w:val="0"/>
        <w:bidi w:val="0"/>
        <w:spacing w:line="360" w:lineRule="auto"/>
        <w:jc w:val="left"/>
        <w:rPr>
          <w:rFonts w:hint="default" w:ascii="仿宋_GB2312" w:hAnsi="仿宋_GB2312" w:eastAsia="仿宋_GB2312" w:cs="仿宋_GB2312"/>
          <w:color w:val="auto"/>
          <w:sz w:val="24"/>
          <w:lang w:val="en-US" w:eastAsia="zh-CN"/>
        </w:rPr>
      </w:pPr>
    </w:p>
    <w:sectPr>
      <w:type w:val="continuous"/>
      <w:pgSz w:w="11907" w:h="16839"/>
      <w:pgMar w:top="1701" w:right="1077" w:bottom="964" w:left="1418" w:header="1021" w:footer="720" w:gutter="340"/>
      <w:pgBorders>
        <w:top w:val="none" w:sz="0" w:space="0"/>
        <w:left w:val="none" w:sz="0" w:space="0"/>
        <w:bottom w:val="none" w:sz="0" w:space="0"/>
        <w:right w:val="none" w:sz="0" w:space="0"/>
      </w:pgBorders>
      <w:cols w:space="720" w:num="1"/>
      <w:docGrid w:linePitch="28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Arial Narrow">
    <w:panose1 w:val="020B0606020202030204"/>
    <w:charset w:val="00"/>
    <w:family w:val="swiss"/>
    <w:pitch w:val="default"/>
    <w:sig w:usb0="00000287" w:usb1="00000800" w:usb2="00000000" w:usb3="00000000" w:csb0="2000009F" w:csb1="DFD70000"/>
  </w:font>
  <w:font w:name="Agency FB">
    <w:panose1 w:val="020B0503020202020204"/>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dashSmallGap" w:color="auto" w:sz="12" w:space="0"/>
      </w:pBdr>
      <w:tabs>
        <w:tab w:val="center" w:pos="4536"/>
      </w:tabs>
      <w:spacing w:line="240" w:lineRule="auto"/>
      <w:ind w:firstLine="0"/>
      <w:jc w:val="both"/>
      <w:rPr>
        <w:iCs/>
        <w:sz w:val="21"/>
        <w:szCs w:val="21"/>
      </w:rPr>
    </w:pPr>
    <w:r>
      <w:rPr>
        <w:rFonts w:hint="eastAsia"/>
        <w:iCs/>
        <w:sz w:val="21"/>
        <w:szCs w:val="21"/>
      </w:rPr>
      <w:t>绍兴天阳房地产资产评估有限公司</w:t>
    </w:r>
    <w:r>
      <w:rPr>
        <w:iCs/>
        <w:sz w:val="21"/>
        <w:szCs w:val="21"/>
      </w:rPr>
      <w:tab/>
    </w:r>
    <w:r>
      <w:rPr>
        <w:iCs/>
        <w:sz w:val="21"/>
        <w:szCs w:val="21"/>
      </w:rPr>
      <w:tab/>
    </w:r>
    <w:r>
      <w:rPr>
        <w:iCs/>
        <w:sz w:val="21"/>
        <w:szCs w:val="21"/>
      </w:rPr>
      <w:t xml:space="preserve">- </w:t>
    </w:r>
    <w:r>
      <w:rPr>
        <w:iCs/>
        <w:sz w:val="21"/>
        <w:szCs w:val="21"/>
      </w:rPr>
      <w:fldChar w:fldCharType="begin"/>
    </w:r>
    <w:r>
      <w:rPr>
        <w:iCs/>
        <w:sz w:val="21"/>
        <w:szCs w:val="21"/>
      </w:rPr>
      <w:instrText xml:space="preserve"> PAGE </w:instrText>
    </w:r>
    <w:r>
      <w:rPr>
        <w:iCs/>
        <w:sz w:val="21"/>
        <w:szCs w:val="21"/>
      </w:rPr>
      <w:fldChar w:fldCharType="separate"/>
    </w:r>
    <w:r>
      <w:rPr>
        <w:iCs/>
        <w:sz w:val="21"/>
        <w:szCs w:val="21"/>
      </w:rPr>
      <w:t>5</w:t>
    </w:r>
    <w:r>
      <w:rPr>
        <w:iCs/>
        <w:sz w:val="21"/>
        <w:szCs w:val="21"/>
      </w:rPr>
      <w:fldChar w:fldCharType="end"/>
    </w:r>
    <w:r>
      <w:rPr>
        <w:iCs/>
        <w:sz w:val="21"/>
        <w:szCs w:val="21"/>
      </w:rPr>
      <w:t xml:space="preserve"> -</w:t>
    </w:r>
    <w:r>
      <w:rPr>
        <w:rFonts w:hint="eastAsia"/>
        <w:iCs/>
        <w:sz w:val="21"/>
        <w:szCs w:val="21"/>
      </w:rPr>
      <w:t>地址：浙江省绍兴市电话：0575-88555177</w:t>
    </w:r>
  </w:p>
  <w:p>
    <w:pPr>
      <w:pStyle w:val="12"/>
      <w:spacing w:line="240" w:lineRule="auto"/>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dashSmallGap" w:color="auto" w:sz="12" w:space="0"/>
      </w:pBdr>
      <w:tabs>
        <w:tab w:val="center" w:pos="4536"/>
      </w:tabs>
      <w:spacing w:line="240" w:lineRule="auto"/>
      <w:ind w:firstLine="0"/>
      <w:jc w:val="both"/>
      <w:rPr>
        <w:iCs/>
        <w:sz w:val="21"/>
        <w:szCs w:val="21"/>
      </w:rPr>
    </w:pPr>
    <w:r>
      <w:rPr>
        <w:rFonts w:hint="eastAsia"/>
        <w:iCs/>
        <w:sz w:val="21"/>
        <w:szCs w:val="21"/>
      </w:rPr>
      <w:t>绍兴天阳房地产资产评估有限公司</w:t>
    </w:r>
    <w:r>
      <w:rPr>
        <w:iCs/>
        <w:sz w:val="21"/>
        <w:szCs w:val="21"/>
      </w:rPr>
      <w:tab/>
    </w:r>
    <w:r>
      <w:rPr>
        <w:iCs/>
        <w:sz w:val="21"/>
        <w:szCs w:val="21"/>
      </w:rPr>
      <w:tab/>
    </w:r>
    <w:r>
      <w:rPr>
        <w:iCs/>
        <w:sz w:val="21"/>
        <w:szCs w:val="21"/>
      </w:rPr>
      <w:t xml:space="preserve">- </w:t>
    </w:r>
    <w:r>
      <w:rPr>
        <w:iCs/>
        <w:sz w:val="21"/>
        <w:szCs w:val="21"/>
      </w:rPr>
      <w:fldChar w:fldCharType="begin"/>
    </w:r>
    <w:r>
      <w:rPr>
        <w:iCs/>
        <w:sz w:val="21"/>
        <w:szCs w:val="21"/>
      </w:rPr>
      <w:instrText xml:space="preserve"> PAGE </w:instrText>
    </w:r>
    <w:r>
      <w:rPr>
        <w:iCs/>
        <w:sz w:val="21"/>
        <w:szCs w:val="21"/>
      </w:rPr>
      <w:fldChar w:fldCharType="separate"/>
    </w:r>
    <w:r>
      <w:rPr>
        <w:iCs/>
        <w:sz w:val="21"/>
        <w:szCs w:val="21"/>
      </w:rPr>
      <w:t>5</w:t>
    </w:r>
    <w:r>
      <w:rPr>
        <w:iCs/>
        <w:sz w:val="21"/>
        <w:szCs w:val="21"/>
      </w:rPr>
      <w:fldChar w:fldCharType="end"/>
    </w:r>
    <w:r>
      <w:rPr>
        <w:iCs/>
        <w:sz w:val="21"/>
        <w:szCs w:val="21"/>
      </w:rPr>
      <w:t xml:space="preserve"> -</w:t>
    </w:r>
    <w:r>
      <w:rPr>
        <w:rFonts w:hint="eastAsia"/>
        <w:iCs/>
        <w:sz w:val="21"/>
        <w:szCs w:val="21"/>
      </w:rPr>
      <w:t>地址：浙江省绍兴市电话：0575-88555177</w:t>
    </w:r>
  </w:p>
  <w:p>
    <w:pPr>
      <w:pStyle w:val="12"/>
      <w:spacing w:line="240" w:lineRule="auto"/>
      <w:ind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rPr>
        <w:rFonts w:ascii="华文仿宋" w:hAnsi="华文仿宋" w:eastAsia="华文仿宋" w:cs="Arial"/>
        <w:color w:val="000000"/>
        <w:kern w:val="2"/>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F54D6F"/>
    <w:multiLevelType w:val="singleLevel"/>
    <w:tmpl w:val="A5F54D6F"/>
    <w:lvl w:ilvl="0" w:tentative="0">
      <w:start w:val="1"/>
      <w:numFmt w:val="chineseCounting"/>
      <w:suff w:val="nothing"/>
      <w:lvlText w:val="（%1）"/>
      <w:lvlJc w:val="left"/>
      <w:pPr>
        <w:ind w:left="0" w:firstLine="420"/>
      </w:pPr>
      <w:rPr>
        <w:rFonts w:hint="eastAsia"/>
      </w:rPr>
    </w:lvl>
  </w:abstractNum>
  <w:abstractNum w:abstractNumId="1">
    <w:nsid w:val="BDC3FB24"/>
    <w:multiLevelType w:val="singleLevel"/>
    <w:tmpl w:val="BDC3FB24"/>
    <w:lvl w:ilvl="0" w:tentative="0">
      <w:start w:val="1"/>
      <w:numFmt w:val="decimal"/>
      <w:suff w:val="nothing"/>
      <w:lvlText w:val="%1．"/>
      <w:lvlJc w:val="left"/>
      <w:pPr>
        <w:ind w:left="0" w:firstLine="400"/>
      </w:pPr>
      <w:rPr>
        <w:rFonts w:hint="default"/>
      </w:rPr>
    </w:lvl>
  </w:abstractNum>
  <w:abstractNum w:abstractNumId="2">
    <w:nsid w:val="BE953856"/>
    <w:multiLevelType w:val="singleLevel"/>
    <w:tmpl w:val="BE953856"/>
    <w:lvl w:ilvl="0" w:tentative="0">
      <w:start w:val="1"/>
      <w:numFmt w:val="chineseCounting"/>
      <w:suff w:val="nothing"/>
      <w:lvlText w:val="（%1）"/>
      <w:lvlJc w:val="left"/>
      <w:pPr>
        <w:ind w:left="0" w:firstLine="420"/>
      </w:pPr>
      <w:rPr>
        <w:rFonts w:hint="eastAsia"/>
      </w:rPr>
    </w:lvl>
  </w:abstractNum>
  <w:abstractNum w:abstractNumId="3">
    <w:nsid w:val="C1CD4711"/>
    <w:multiLevelType w:val="singleLevel"/>
    <w:tmpl w:val="C1CD4711"/>
    <w:lvl w:ilvl="0" w:tentative="0">
      <w:start w:val="1"/>
      <w:numFmt w:val="decimal"/>
      <w:suff w:val="nothing"/>
      <w:lvlText w:val="%1．"/>
      <w:lvlJc w:val="left"/>
      <w:pPr>
        <w:ind w:left="0" w:firstLine="400"/>
      </w:pPr>
      <w:rPr>
        <w:rFonts w:hint="default"/>
      </w:rPr>
    </w:lvl>
  </w:abstractNum>
  <w:abstractNum w:abstractNumId="4">
    <w:nsid w:val="E5C5A599"/>
    <w:multiLevelType w:val="singleLevel"/>
    <w:tmpl w:val="E5C5A599"/>
    <w:lvl w:ilvl="0" w:tentative="0">
      <w:start w:val="1"/>
      <w:numFmt w:val="decimal"/>
      <w:suff w:val="nothing"/>
      <w:lvlText w:val="%1．"/>
      <w:lvlJc w:val="left"/>
      <w:pPr>
        <w:ind w:left="0" w:firstLine="400"/>
      </w:pPr>
      <w:rPr>
        <w:rFonts w:hint="default"/>
      </w:rPr>
    </w:lvl>
  </w:abstractNum>
  <w:abstractNum w:abstractNumId="5">
    <w:nsid w:val="E7E541D3"/>
    <w:multiLevelType w:val="singleLevel"/>
    <w:tmpl w:val="E7E541D3"/>
    <w:lvl w:ilvl="0" w:tentative="0">
      <w:start w:val="1"/>
      <w:numFmt w:val="decimal"/>
      <w:suff w:val="nothing"/>
      <w:lvlText w:val="%1．"/>
      <w:lvlJc w:val="left"/>
      <w:pPr>
        <w:ind w:left="0" w:firstLine="400"/>
      </w:pPr>
      <w:rPr>
        <w:rFonts w:hint="default"/>
      </w:rPr>
    </w:lvl>
  </w:abstractNum>
  <w:abstractNum w:abstractNumId="6">
    <w:nsid w:val="0AC6A9A5"/>
    <w:multiLevelType w:val="singleLevel"/>
    <w:tmpl w:val="0AC6A9A5"/>
    <w:lvl w:ilvl="0" w:tentative="0">
      <w:start w:val="1"/>
      <w:numFmt w:val="decimal"/>
      <w:lvlText w:val="%1."/>
      <w:lvlJc w:val="left"/>
      <w:pPr>
        <w:ind w:left="425" w:hanging="425"/>
      </w:pPr>
      <w:rPr>
        <w:rFonts w:hint="default"/>
      </w:rPr>
    </w:lvl>
  </w:abstractNum>
  <w:abstractNum w:abstractNumId="7">
    <w:nsid w:val="107A58D4"/>
    <w:multiLevelType w:val="multilevel"/>
    <w:tmpl w:val="107A58D4"/>
    <w:lvl w:ilvl="0" w:tentative="0">
      <w:start w:val="1"/>
      <w:numFmt w:val="chineseCountingThousand"/>
      <w:suff w:val="nothing"/>
      <w:lvlText w:val="%1、"/>
      <w:lvlJc w:val="center"/>
      <w:pPr>
        <w:ind w:left="0" w:firstLine="0"/>
      </w:pPr>
      <w:rPr>
        <w:rFonts w:hint="eastAsia" w:ascii="黑体" w:eastAsia="黑体"/>
        <w:b/>
        <w:i w:val="0"/>
        <w:sz w:val="32"/>
      </w:rPr>
    </w:lvl>
    <w:lvl w:ilvl="1" w:tentative="0">
      <w:start w:val="1"/>
      <w:numFmt w:val="chineseCountingThousand"/>
      <w:suff w:val="nothing"/>
      <w:lvlText w:val="(%2)"/>
      <w:lvlJc w:val="left"/>
      <w:pPr>
        <w:ind w:left="0" w:firstLine="432"/>
      </w:pPr>
      <w:rPr>
        <w:rFonts w:hint="eastAsia" w:ascii="宋体" w:hAnsi="Times New Roman" w:eastAsia="宋体"/>
        <w:b/>
        <w:i w:val="0"/>
        <w:spacing w:val="-20"/>
        <w:w w:val="80"/>
        <w:sz w:val="24"/>
      </w:rPr>
    </w:lvl>
    <w:lvl w:ilvl="2" w:tentative="0">
      <w:start w:val="1"/>
      <w:numFmt w:val="chineseCountingThousand"/>
      <w:suff w:val="nothing"/>
      <w:lvlText w:val="%3、"/>
      <w:lvlJc w:val="left"/>
      <w:pPr>
        <w:ind w:left="303" w:firstLine="432"/>
      </w:pPr>
      <w:rPr>
        <w:rFonts w:hint="eastAsia" w:ascii="宋体" w:hAnsi="Times New Roman" w:eastAsia="宋体"/>
        <w:b/>
        <w:i w:val="0"/>
        <w:sz w:val="24"/>
      </w:rPr>
    </w:lvl>
    <w:lvl w:ilvl="3" w:tentative="0">
      <w:start w:val="1"/>
      <w:numFmt w:val="chineseCountingThousand"/>
      <w:pStyle w:val="5"/>
      <w:suff w:val="nothing"/>
      <w:lvlText w:val="(%4)"/>
      <w:lvlJc w:val="left"/>
      <w:pPr>
        <w:ind w:left="0" w:firstLine="432"/>
      </w:pPr>
      <w:rPr>
        <w:rFonts w:hint="eastAsia" w:ascii="宋体" w:hAnsi="Times New Roman" w:eastAsia="宋体"/>
        <w:b/>
        <w:i w:val="0"/>
        <w:spacing w:val="-10"/>
        <w:w w:val="90"/>
        <w:sz w:val="21"/>
      </w:rPr>
    </w:lvl>
    <w:lvl w:ilvl="4" w:tentative="0">
      <w:start w:val="1"/>
      <w:numFmt w:val="decimal"/>
      <w:pStyle w:val="6"/>
      <w:suff w:val="nothing"/>
      <w:lvlText w:val="%5"/>
      <w:lvlJc w:val="left"/>
      <w:pPr>
        <w:ind w:left="0" w:firstLine="432"/>
      </w:pPr>
      <w:rPr>
        <w:rFonts w:hint="eastAsia" w:ascii="宋体" w:hAnsi="Times New Roman" w:eastAsia="宋体"/>
        <w:sz w:val="21"/>
      </w:r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8">
    <w:nsid w:val="113E5D19"/>
    <w:multiLevelType w:val="singleLevel"/>
    <w:tmpl w:val="113E5D19"/>
    <w:lvl w:ilvl="0" w:tentative="0">
      <w:start w:val="1"/>
      <w:numFmt w:val="chineseCounting"/>
      <w:suff w:val="nothing"/>
      <w:lvlText w:val="（%1）"/>
      <w:lvlJc w:val="left"/>
      <w:pPr>
        <w:ind w:left="0" w:firstLine="420"/>
      </w:pPr>
      <w:rPr>
        <w:rFonts w:hint="eastAsia"/>
      </w:rPr>
    </w:lvl>
  </w:abstractNum>
  <w:abstractNum w:abstractNumId="9">
    <w:nsid w:val="1F8AB91A"/>
    <w:multiLevelType w:val="singleLevel"/>
    <w:tmpl w:val="1F8AB91A"/>
    <w:lvl w:ilvl="0" w:tentative="0">
      <w:start w:val="7"/>
      <w:numFmt w:val="chineseCounting"/>
      <w:suff w:val="nothing"/>
      <w:lvlText w:val="%1、"/>
      <w:lvlJc w:val="left"/>
      <w:rPr>
        <w:rFonts w:hint="eastAsia"/>
      </w:rPr>
    </w:lvl>
  </w:abstractNum>
  <w:abstractNum w:abstractNumId="10">
    <w:nsid w:val="251D70E9"/>
    <w:multiLevelType w:val="multilevel"/>
    <w:tmpl w:val="251D70E9"/>
    <w:lvl w:ilvl="0" w:tentative="0">
      <w:start w:val="1"/>
      <w:numFmt w:val="decimal"/>
      <w:pStyle w:val="28"/>
      <w:suff w:val="space"/>
      <w:lvlText w:val="%1."/>
      <w:lvlJc w:val="left"/>
      <w:pPr>
        <w:ind w:left="0" w:firstLine="539"/>
      </w:pPr>
      <w:rPr>
        <w:rFonts w:hint="eastAsia"/>
      </w:rPr>
    </w:lvl>
    <w:lvl w:ilvl="1" w:tentative="0">
      <w:start w:val="1"/>
      <w:numFmt w:val="lowerLetter"/>
      <w:lvlText w:val="%2)"/>
      <w:lvlJc w:val="left"/>
      <w:pPr>
        <w:ind w:left="1379" w:hanging="420"/>
      </w:pPr>
    </w:lvl>
    <w:lvl w:ilvl="2" w:tentative="0">
      <w:start w:val="1"/>
      <w:numFmt w:val="lowerRoman"/>
      <w:lvlText w:val="%3."/>
      <w:lvlJc w:val="right"/>
      <w:pPr>
        <w:ind w:left="1799" w:hanging="420"/>
      </w:pPr>
    </w:lvl>
    <w:lvl w:ilvl="3" w:tentative="0">
      <w:start w:val="1"/>
      <w:numFmt w:val="decimal"/>
      <w:lvlText w:val="%4."/>
      <w:lvlJc w:val="left"/>
      <w:pPr>
        <w:ind w:left="2219" w:hanging="420"/>
      </w:pPr>
    </w:lvl>
    <w:lvl w:ilvl="4" w:tentative="0">
      <w:start w:val="1"/>
      <w:numFmt w:val="lowerLetter"/>
      <w:lvlText w:val="%5)"/>
      <w:lvlJc w:val="left"/>
      <w:pPr>
        <w:ind w:left="2639" w:hanging="420"/>
      </w:pPr>
    </w:lvl>
    <w:lvl w:ilvl="5" w:tentative="0">
      <w:start w:val="1"/>
      <w:numFmt w:val="lowerRoman"/>
      <w:lvlText w:val="%6."/>
      <w:lvlJc w:val="right"/>
      <w:pPr>
        <w:ind w:left="3059" w:hanging="420"/>
      </w:pPr>
    </w:lvl>
    <w:lvl w:ilvl="6" w:tentative="0">
      <w:start w:val="1"/>
      <w:numFmt w:val="decimal"/>
      <w:lvlText w:val="%7."/>
      <w:lvlJc w:val="left"/>
      <w:pPr>
        <w:ind w:left="3479" w:hanging="420"/>
      </w:pPr>
    </w:lvl>
    <w:lvl w:ilvl="7" w:tentative="0">
      <w:start w:val="1"/>
      <w:numFmt w:val="lowerLetter"/>
      <w:lvlText w:val="%8)"/>
      <w:lvlJc w:val="left"/>
      <w:pPr>
        <w:ind w:left="3899" w:hanging="420"/>
      </w:pPr>
    </w:lvl>
    <w:lvl w:ilvl="8" w:tentative="0">
      <w:start w:val="1"/>
      <w:numFmt w:val="lowerRoman"/>
      <w:lvlText w:val="%9."/>
      <w:lvlJc w:val="right"/>
      <w:pPr>
        <w:ind w:left="4319" w:hanging="420"/>
      </w:pPr>
    </w:lvl>
  </w:abstractNum>
  <w:abstractNum w:abstractNumId="11">
    <w:nsid w:val="311A734E"/>
    <w:multiLevelType w:val="multilevel"/>
    <w:tmpl w:val="311A734E"/>
    <w:lvl w:ilvl="0" w:tentative="0">
      <w:start w:val="1"/>
      <w:numFmt w:val="decimal"/>
      <w:lvlText w:val="%1、"/>
      <w:lvlJc w:val="right"/>
      <w:pPr>
        <w:tabs>
          <w:tab w:val="left" w:pos="1260"/>
        </w:tabs>
        <w:ind w:left="1260" w:hanging="420"/>
      </w:pPr>
      <w:rPr>
        <w:rFonts w:hint="eastAsia"/>
      </w:rPr>
    </w:lvl>
    <w:lvl w:ilvl="1" w:tentative="0">
      <w:start w:val="1"/>
      <w:numFmt w:val="lowerLetter"/>
      <w:lvlText w:val="%2)"/>
      <w:lvlJc w:val="left"/>
      <w:pPr>
        <w:tabs>
          <w:tab w:val="left" w:pos="1680"/>
        </w:tabs>
        <w:ind w:left="1680" w:hanging="420"/>
      </w:p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2">
    <w:nsid w:val="3609D0B1"/>
    <w:multiLevelType w:val="singleLevel"/>
    <w:tmpl w:val="3609D0B1"/>
    <w:lvl w:ilvl="0" w:tentative="0">
      <w:start w:val="1"/>
      <w:numFmt w:val="decimal"/>
      <w:suff w:val="nothing"/>
      <w:lvlText w:val="%1．"/>
      <w:lvlJc w:val="left"/>
      <w:pPr>
        <w:ind w:left="0" w:firstLine="400"/>
      </w:pPr>
      <w:rPr>
        <w:rFonts w:hint="default"/>
      </w:rPr>
    </w:lvl>
  </w:abstractNum>
  <w:abstractNum w:abstractNumId="13">
    <w:nsid w:val="43D8FC84"/>
    <w:multiLevelType w:val="singleLevel"/>
    <w:tmpl w:val="43D8FC84"/>
    <w:lvl w:ilvl="0" w:tentative="0">
      <w:start w:val="1"/>
      <w:numFmt w:val="decimal"/>
      <w:suff w:val="nothing"/>
      <w:lvlText w:val="%1．"/>
      <w:lvlJc w:val="left"/>
      <w:pPr>
        <w:ind w:left="0" w:firstLine="400"/>
      </w:pPr>
      <w:rPr>
        <w:rFonts w:hint="default"/>
      </w:rPr>
    </w:lvl>
  </w:abstractNum>
  <w:abstractNum w:abstractNumId="14">
    <w:nsid w:val="526959A2"/>
    <w:multiLevelType w:val="singleLevel"/>
    <w:tmpl w:val="526959A2"/>
    <w:lvl w:ilvl="0" w:tentative="0">
      <w:start w:val="1"/>
      <w:numFmt w:val="chineseCounting"/>
      <w:suff w:val="nothing"/>
      <w:lvlText w:val="（%1）"/>
      <w:lvlJc w:val="left"/>
      <w:pPr>
        <w:ind w:left="0" w:firstLine="420"/>
      </w:pPr>
      <w:rPr>
        <w:rFonts w:hint="eastAsia"/>
      </w:rPr>
    </w:lvl>
  </w:abstractNum>
  <w:abstractNum w:abstractNumId="15">
    <w:nsid w:val="685B913E"/>
    <w:multiLevelType w:val="singleLevel"/>
    <w:tmpl w:val="685B913E"/>
    <w:lvl w:ilvl="0" w:tentative="0">
      <w:start w:val="1"/>
      <w:numFmt w:val="decimal"/>
      <w:suff w:val="space"/>
      <w:lvlText w:val="%1."/>
      <w:lvlJc w:val="left"/>
    </w:lvl>
  </w:abstractNum>
  <w:abstractNum w:abstractNumId="16">
    <w:nsid w:val="6B39A1BD"/>
    <w:multiLevelType w:val="singleLevel"/>
    <w:tmpl w:val="6B39A1BD"/>
    <w:lvl w:ilvl="0" w:tentative="0">
      <w:start w:val="8"/>
      <w:numFmt w:val="chineseCounting"/>
      <w:suff w:val="space"/>
      <w:lvlText w:val="%1、"/>
      <w:lvlJc w:val="left"/>
      <w:rPr>
        <w:rFonts w:hint="eastAsia"/>
      </w:rPr>
    </w:lvl>
  </w:abstractNum>
  <w:abstractNum w:abstractNumId="17">
    <w:nsid w:val="6CB3C2FA"/>
    <w:multiLevelType w:val="singleLevel"/>
    <w:tmpl w:val="6CB3C2FA"/>
    <w:lvl w:ilvl="0" w:tentative="0">
      <w:start w:val="1"/>
      <w:numFmt w:val="chineseCounting"/>
      <w:suff w:val="nothing"/>
      <w:lvlText w:val="（%1）"/>
      <w:lvlJc w:val="left"/>
      <w:pPr>
        <w:ind w:left="1890" w:firstLine="420"/>
      </w:pPr>
      <w:rPr>
        <w:rFonts w:hint="eastAsia"/>
      </w:rPr>
    </w:lvl>
  </w:abstractNum>
  <w:abstractNum w:abstractNumId="18">
    <w:nsid w:val="7C0A598A"/>
    <w:multiLevelType w:val="multilevel"/>
    <w:tmpl w:val="7C0A598A"/>
    <w:lvl w:ilvl="0" w:tentative="0">
      <w:start w:val="1"/>
      <w:numFmt w:val="chineseCountingThousand"/>
      <w:pStyle w:val="3"/>
      <w:lvlText w:val="%1、"/>
      <w:lvlJc w:val="left"/>
      <w:pPr>
        <w:tabs>
          <w:tab w:val="left" w:pos="852"/>
        </w:tabs>
        <w:ind w:left="852" w:hanging="420"/>
      </w:pPr>
      <w:rPr>
        <w:rFonts w:hint="eastAsia"/>
      </w:rPr>
    </w:lvl>
    <w:lvl w:ilvl="1" w:tentative="0">
      <w:start w:val="1"/>
      <w:numFmt w:val="decimal"/>
      <w:lvlText w:val="%2、"/>
      <w:lvlJc w:val="left"/>
      <w:pPr>
        <w:tabs>
          <w:tab w:val="left" w:pos="1272"/>
        </w:tabs>
        <w:ind w:left="1272" w:hanging="420"/>
      </w:pPr>
      <w:rPr>
        <w:rFonts w:hint="eastAsia"/>
      </w:rPr>
    </w:lvl>
    <w:lvl w:ilvl="2" w:tentative="0">
      <w:start w:val="1"/>
      <w:numFmt w:val="lowerRoman"/>
      <w:lvlText w:val="%3."/>
      <w:lvlJc w:val="right"/>
      <w:pPr>
        <w:tabs>
          <w:tab w:val="left" w:pos="1692"/>
        </w:tabs>
        <w:ind w:left="1692" w:hanging="420"/>
      </w:pPr>
      <w:rPr>
        <w:rFonts w:hint="eastAsia"/>
      </w:rPr>
    </w:lvl>
    <w:lvl w:ilvl="3" w:tentative="0">
      <w:start w:val="1"/>
      <w:numFmt w:val="decimal"/>
      <w:lvlText w:val="%4."/>
      <w:lvlJc w:val="left"/>
      <w:pPr>
        <w:tabs>
          <w:tab w:val="left" w:pos="2112"/>
        </w:tabs>
        <w:ind w:left="907" w:firstLine="785"/>
      </w:pPr>
      <w:rPr>
        <w:rFonts w:hint="eastAsia"/>
      </w:rPr>
    </w:lvl>
    <w:lvl w:ilvl="4" w:tentative="0">
      <w:start w:val="1"/>
      <w:numFmt w:val="lowerLetter"/>
      <w:lvlText w:val="%5)"/>
      <w:lvlJc w:val="left"/>
      <w:pPr>
        <w:tabs>
          <w:tab w:val="left" w:pos="2532"/>
        </w:tabs>
        <w:ind w:left="2532" w:hanging="420"/>
      </w:pPr>
      <w:rPr>
        <w:rFonts w:hint="eastAsia"/>
      </w:rPr>
    </w:lvl>
    <w:lvl w:ilvl="5" w:tentative="0">
      <w:start w:val="1"/>
      <w:numFmt w:val="lowerRoman"/>
      <w:lvlText w:val="%6."/>
      <w:lvlJc w:val="right"/>
      <w:pPr>
        <w:tabs>
          <w:tab w:val="left" w:pos="2952"/>
        </w:tabs>
        <w:ind w:left="2952" w:hanging="420"/>
      </w:pPr>
      <w:rPr>
        <w:rFonts w:hint="eastAsia"/>
      </w:rPr>
    </w:lvl>
    <w:lvl w:ilvl="6" w:tentative="0">
      <w:start w:val="1"/>
      <w:numFmt w:val="decimal"/>
      <w:lvlText w:val="%7."/>
      <w:lvlJc w:val="left"/>
      <w:pPr>
        <w:tabs>
          <w:tab w:val="left" w:pos="3372"/>
        </w:tabs>
        <w:ind w:left="3372" w:hanging="420"/>
      </w:pPr>
      <w:rPr>
        <w:rFonts w:hint="eastAsia"/>
      </w:rPr>
    </w:lvl>
    <w:lvl w:ilvl="7" w:tentative="0">
      <w:start w:val="1"/>
      <w:numFmt w:val="lowerLetter"/>
      <w:lvlText w:val="%8)"/>
      <w:lvlJc w:val="left"/>
      <w:pPr>
        <w:tabs>
          <w:tab w:val="left" w:pos="3792"/>
        </w:tabs>
        <w:ind w:left="3792" w:hanging="420"/>
      </w:pPr>
      <w:rPr>
        <w:rFonts w:hint="eastAsia"/>
      </w:rPr>
    </w:lvl>
    <w:lvl w:ilvl="8" w:tentative="0">
      <w:start w:val="1"/>
      <w:numFmt w:val="lowerRoman"/>
      <w:lvlText w:val="%9."/>
      <w:lvlJc w:val="right"/>
      <w:pPr>
        <w:tabs>
          <w:tab w:val="left" w:pos="4212"/>
        </w:tabs>
        <w:ind w:left="4212" w:hanging="420"/>
      </w:pPr>
      <w:rPr>
        <w:rFonts w:hint="eastAsia"/>
      </w:rPr>
    </w:lvl>
  </w:abstractNum>
  <w:num w:numId="1">
    <w:abstractNumId w:val="18"/>
  </w:num>
  <w:num w:numId="2">
    <w:abstractNumId w:val="7"/>
  </w:num>
  <w:num w:numId="3">
    <w:abstractNumId w:val="10"/>
  </w:num>
  <w:num w:numId="4">
    <w:abstractNumId w:val="11"/>
  </w:num>
  <w:num w:numId="5">
    <w:abstractNumId w:val="9"/>
  </w:num>
  <w:num w:numId="6">
    <w:abstractNumId w:val="16"/>
  </w:num>
  <w:num w:numId="7">
    <w:abstractNumId w:val="0"/>
  </w:num>
  <w:num w:numId="8">
    <w:abstractNumId w:val="17"/>
  </w:num>
  <w:num w:numId="9">
    <w:abstractNumId w:val="14"/>
  </w:num>
  <w:num w:numId="10">
    <w:abstractNumId w:val="5"/>
  </w:num>
  <w:num w:numId="11">
    <w:abstractNumId w:val="13"/>
  </w:num>
  <w:num w:numId="12">
    <w:abstractNumId w:val="1"/>
  </w:num>
  <w:num w:numId="13">
    <w:abstractNumId w:val="15"/>
  </w:num>
  <w:num w:numId="14">
    <w:abstractNumId w:val="12"/>
  </w:num>
  <w:num w:numId="15">
    <w:abstractNumId w:val="4"/>
  </w:num>
  <w:num w:numId="16">
    <w:abstractNumId w:val="8"/>
  </w:num>
  <w:num w:numId="17">
    <w:abstractNumId w:val="2"/>
  </w:num>
  <w:num w:numId="18">
    <w:abstractNumId w:val="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zk4YmJhYWRmMmUwYWY0MTdiOGUyY2VlNTI1Mjg3ODAifQ=="/>
  </w:docVars>
  <w:rsids>
    <w:rsidRoot w:val="00172A27"/>
    <w:rsid w:val="000266CE"/>
    <w:rsid w:val="00031396"/>
    <w:rsid w:val="00052214"/>
    <w:rsid w:val="000958D8"/>
    <w:rsid w:val="000A3B82"/>
    <w:rsid w:val="000B66A1"/>
    <w:rsid w:val="000C58FB"/>
    <w:rsid w:val="000C591A"/>
    <w:rsid w:val="000C719E"/>
    <w:rsid w:val="000D634A"/>
    <w:rsid w:val="000F106C"/>
    <w:rsid w:val="00116589"/>
    <w:rsid w:val="00123A4D"/>
    <w:rsid w:val="0012474C"/>
    <w:rsid w:val="00136BEE"/>
    <w:rsid w:val="00141C17"/>
    <w:rsid w:val="00146354"/>
    <w:rsid w:val="001642D3"/>
    <w:rsid w:val="001A44B5"/>
    <w:rsid w:val="001A777F"/>
    <w:rsid w:val="001B497E"/>
    <w:rsid w:val="001C37FD"/>
    <w:rsid w:val="001D4BB5"/>
    <w:rsid w:val="001D6363"/>
    <w:rsid w:val="001E3E10"/>
    <w:rsid w:val="001E6A94"/>
    <w:rsid w:val="001F0B72"/>
    <w:rsid w:val="0020565D"/>
    <w:rsid w:val="0021594C"/>
    <w:rsid w:val="00235709"/>
    <w:rsid w:val="00253BDA"/>
    <w:rsid w:val="00257223"/>
    <w:rsid w:val="00292CFB"/>
    <w:rsid w:val="00293ADA"/>
    <w:rsid w:val="00293C95"/>
    <w:rsid w:val="002A1208"/>
    <w:rsid w:val="002D12D8"/>
    <w:rsid w:val="002D3C77"/>
    <w:rsid w:val="002D436C"/>
    <w:rsid w:val="002F45E7"/>
    <w:rsid w:val="00310EC2"/>
    <w:rsid w:val="00312515"/>
    <w:rsid w:val="00316CF0"/>
    <w:rsid w:val="003213B0"/>
    <w:rsid w:val="003226FD"/>
    <w:rsid w:val="00342E38"/>
    <w:rsid w:val="00346C74"/>
    <w:rsid w:val="0035005F"/>
    <w:rsid w:val="00350B23"/>
    <w:rsid w:val="00365759"/>
    <w:rsid w:val="0036766C"/>
    <w:rsid w:val="00371D6F"/>
    <w:rsid w:val="00375F25"/>
    <w:rsid w:val="00385930"/>
    <w:rsid w:val="003865E5"/>
    <w:rsid w:val="003935E3"/>
    <w:rsid w:val="00396618"/>
    <w:rsid w:val="00397E4A"/>
    <w:rsid w:val="003B5C09"/>
    <w:rsid w:val="003C0324"/>
    <w:rsid w:val="003C7099"/>
    <w:rsid w:val="003D7CBD"/>
    <w:rsid w:val="003E36EA"/>
    <w:rsid w:val="003E401F"/>
    <w:rsid w:val="00403803"/>
    <w:rsid w:val="00412F92"/>
    <w:rsid w:val="004133DA"/>
    <w:rsid w:val="0042217E"/>
    <w:rsid w:val="00425872"/>
    <w:rsid w:val="00444FE0"/>
    <w:rsid w:val="00446DEE"/>
    <w:rsid w:val="00453488"/>
    <w:rsid w:val="004629C4"/>
    <w:rsid w:val="0048254E"/>
    <w:rsid w:val="00485D04"/>
    <w:rsid w:val="004B41BC"/>
    <w:rsid w:val="004C6155"/>
    <w:rsid w:val="004E0639"/>
    <w:rsid w:val="004E5EAC"/>
    <w:rsid w:val="004F19BD"/>
    <w:rsid w:val="004F1B4C"/>
    <w:rsid w:val="004F749D"/>
    <w:rsid w:val="004F797C"/>
    <w:rsid w:val="00502319"/>
    <w:rsid w:val="00512B74"/>
    <w:rsid w:val="00534CE0"/>
    <w:rsid w:val="0054251A"/>
    <w:rsid w:val="00553210"/>
    <w:rsid w:val="00556801"/>
    <w:rsid w:val="00556A2E"/>
    <w:rsid w:val="00562730"/>
    <w:rsid w:val="005654D4"/>
    <w:rsid w:val="00572C57"/>
    <w:rsid w:val="00581CF5"/>
    <w:rsid w:val="005B16E8"/>
    <w:rsid w:val="005D41B1"/>
    <w:rsid w:val="005D4FDE"/>
    <w:rsid w:val="005F7DCC"/>
    <w:rsid w:val="005F7EF9"/>
    <w:rsid w:val="00602451"/>
    <w:rsid w:val="00603934"/>
    <w:rsid w:val="006045A7"/>
    <w:rsid w:val="006233B0"/>
    <w:rsid w:val="00624383"/>
    <w:rsid w:val="006319F1"/>
    <w:rsid w:val="006332E8"/>
    <w:rsid w:val="00633D3B"/>
    <w:rsid w:val="00637011"/>
    <w:rsid w:val="006625C7"/>
    <w:rsid w:val="0066402C"/>
    <w:rsid w:val="00671969"/>
    <w:rsid w:val="00675AE0"/>
    <w:rsid w:val="00681B77"/>
    <w:rsid w:val="006864FC"/>
    <w:rsid w:val="00687801"/>
    <w:rsid w:val="00696794"/>
    <w:rsid w:val="006B4F89"/>
    <w:rsid w:val="006B5BCB"/>
    <w:rsid w:val="006D12E2"/>
    <w:rsid w:val="006E4299"/>
    <w:rsid w:val="00704BBF"/>
    <w:rsid w:val="00713C2C"/>
    <w:rsid w:val="007262A4"/>
    <w:rsid w:val="007359D1"/>
    <w:rsid w:val="00737327"/>
    <w:rsid w:val="0074060E"/>
    <w:rsid w:val="00752E10"/>
    <w:rsid w:val="0075550C"/>
    <w:rsid w:val="00755F92"/>
    <w:rsid w:val="007714FE"/>
    <w:rsid w:val="00774FAE"/>
    <w:rsid w:val="00782E79"/>
    <w:rsid w:val="00785025"/>
    <w:rsid w:val="00785ECE"/>
    <w:rsid w:val="007874C0"/>
    <w:rsid w:val="00787BF9"/>
    <w:rsid w:val="00795FA5"/>
    <w:rsid w:val="007B5D2C"/>
    <w:rsid w:val="007C37FA"/>
    <w:rsid w:val="007C7ACF"/>
    <w:rsid w:val="007E3713"/>
    <w:rsid w:val="007F63EC"/>
    <w:rsid w:val="00800DFE"/>
    <w:rsid w:val="00803CA7"/>
    <w:rsid w:val="00822731"/>
    <w:rsid w:val="00855DF6"/>
    <w:rsid w:val="00861112"/>
    <w:rsid w:val="008713F9"/>
    <w:rsid w:val="00891EAB"/>
    <w:rsid w:val="008A2AD1"/>
    <w:rsid w:val="008B7980"/>
    <w:rsid w:val="008D059B"/>
    <w:rsid w:val="008D5DB6"/>
    <w:rsid w:val="008E176F"/>
    <w:rsid w:val="008E66E0"/>
    <w:rsid w:val="008E67CC"/>
    <w:rsid w:val="008F6C60"/>
    <w:rsid w:val="00902D8A"/>
    <w:rsid w:val="00912FCC"/>
    <w:rsid w:val="00917AC8"/>
    <w:rsid w:val="00917D01"/>
    <w:rsid w:val="009351A4"/>
    <w:rsid w:val="0093772E"/>
    <w:rsid w:val="00944FA0"/>
    <w:rsid w:val="00946DA2"/>
    <w:rsid w:val="00952068"/>
    <w:rsid w:val="00954413"/>
    <w:rsid w:val="00955433"/>
    <w:rsid w:val="00956DCC"/>
    <w:rsid w:val="00974ED6"/>
    <w:rsid w:val="00976A64"/>
    <w:rsid w:val="00981F76"/>
    <w:rsid w:val="00993F86"/>
    <w:rsid w:val="009A2F51"/>
    <w:rsid w:val="009B0106"/>
    <w:rsid w:val="009C1C31"/>
    <w:rsid w:val="009C3323"/>
    <w:rsid w:val="009C66C5"/>
    <w:rsid w:val="009D0644"/>
    <w:rsid w:val="009E0B4D"/>
    <w:rsid w:val="009F73B7"/>
    <w:rsid w:val="00A02056"/>
    <w:rsid w:val="00A020DC"/>
    <w:rsid w:val="00A07D18"/>
    <w:rsid w:val="00A20458"/>
    <w:rsid w:val="00A21D90"/>
    <w:rsid w:val="00A249AA"/>
    <w:rsid w:val="00A256F5"/>
    <w:rsid w:val="00A26872"/>
    <w:rsid w:val="00A27412"/>
    <w:rsid w:val="00A31391"/>
    <w:rsid w:val="00A35F96"/>
    <w:rsid w:val="00A614BC"/>
    <w:rsid w:val="00A74B72"/>
    <w:rsid w:val="00A84FF5"/>
    <w:rsid w:val="00A855A2"/>
    <w:rsid w:val="00A85D4A"/>
    <w:rsid w:val="00A926D8"/>
    <w:rsid w:val="00AA5727"/>
    <w:rsid w:val="00AB184F"/>
    <w:rsid w:val="00AC028C"/>
    <w:rsid w:val="00AC6346"/>
    <w:rsid w:val="00AD2FA3"/>
    <w:rsid w:val="00AD7347"/>
    <w:rsid w:val="00AE0CD7"/>
    <w:rsid w:val="00AF4078"/>
    <w:rsid w:val="00B24038"/>
    <w:rsid w:val="00B3102A"/>
    <w:rsid w:val="00B3480C"/>
    <w:rsid w:val="00B36BE6"/>
    <w:rsid w:val="00B6481A"/>
    <w:rsid w:val="00B655FF"/>
    <w:rsid w:val="00B66DD4"/>
    <w:rsid w:val="00B805A0"/>
    <w:rsid w:val="00B80C27"/>
    <w:rsid w:val="00B8178F"/>
    <w:rsid w:val="00B908BF"/>
    <w:rsid w:val="00BA2B17"/>
    <w:rsid w:val="00BB5632"/>
    <w:rsid w:val="00BB5E45"/>
    <w:rsid w:val="00BD13F7"/>
    <w:rsid w:val="00BD677F"/>
    <w:rsid w:val="00BE1B31"/>
    <w:rsid w:val="00BE595B"/>
    <w:rsid w:val="00BE5F6A"/>
    <w:rsid w:val="00BE6A62"/>
    <w:rsid w:val="00BF2180"/>
    <w:rsid w:val="00BF2378"/>
    <w:rsid w:val="00BF55A6"/>
    <w:rsid w:val="00BF564C"/>
    <w:rsid w:val="00C03F76"/>
    <w:rsid w:val="00C2573B"/>
    <w:rsid w:val="00C26A0B"/>
    <w:rsid w:val="00C3307B"/>
    <w:rsid w:val="00C33E1E"/>
    <w:rsid w:val="00C43470"/>
    <w:rsid w:val="00C447E1"/>
    <w:rsid w:val="00C47887"/>
    <w:rsid w:val="00C5221C"/>
    <w:rsid w:val="00C57065"/>
    <w:rsid w:val="00C60049"/>
    <w:rsid w:val="00C625E0"/>
    <w:rsid w:val="00C65613"/>
    <w:rsid w:val="00C833BF"/>
    <w:rsid w:val="00C9080F"/>
    <w:rsid w:val="00C90E18"/>
    <w:rsid w:val="00CA0988"/>
    <w:rsid w:val="00CA508A"/>
    <w:rsid w:val="00CB3414"/>
    <w:rsid w:val="00CB57E6"/>
    <w:rsid w:val="00CC15BD"/>
    <w:rsid w:val="00CD2E01"/>
    <w:rsid w:val="00CF5FA1"/>
    <w:rsid w:val="00D01AED"/>
    <w:rsid w:val="00D17A63"/>
    <w:rsid w:val="00D17F94"/>
    <w:rsid w:val="00D23508"/>
    <w:rsid w:val="00D276E5"/>
    <w:rsid w:val="00D425DA"/>
    <w:rsid w:val="00D45687"/>
    <w:rsid w:val="00D45933"/>
    <w:rsid w:val="00D5498E"/>
    <w:rsid w:val="00D62239"/>
    <w:rsid w:val="00D732C4"/>
    <w:rsid w:val="00D9330B"/>
    <w:rsid w:val="00D93FC0"/>
    <w:rsid w:val="00D965E8"/>
    <w:rsid w:val="00DA2B6E"/>
    <w:rsid w:val="00DA654A"/>
    <w:rsid w:val="00DB7DCE"/>
    <w:rsid w:val="00DD16E0"/>
    <w:rsid w:val="00DE0B17"/>
    <w:rsid w:val="00DE3A01"/>
    <w:rsid w:val="00DF18C8"/>
    <w:rsid w:val="00E15020"/>
    <w:rsid w:val="00E256AB"/>
    <w:rsid w:val="00E257DF"/>
    <w:rsid w:val="00E26A1C"/>
    <w:rsid w:val="00E519B1"/>
    <w:rsid w:val="00E55E19"/>
    <w:rsid w:val="00E5743C"/>
    <w:rsid w:val="00E74322"/>
    <w:rsid w:val="00E75EF3"/>
    <w:rsid w:val="00E8630C"/>
    <w:rsid w:val="00E9543F"/>
    <w:rsid w:val="00EC3898"/>
    <w:rsid w:val="00EC7498"/>
    <w:rsid w:val="00ED34E0"/>
    <w:rsid w:val="00ED49F5"/>
    <w:rsid w:val="00EF726B"/>
    <w:rsid w:val="00F00949"/>
    <w:rsid w:val="00F11795"/>
    <w:rsid w:val="00F362B5"/>
    <w:rsid w:val="00F440BD"/>
    <w:rsid w:val="00F502E8"/>
    <w:rsid w:val="00F562DD"/>
    <w:rsid w:val="00F609A1"/>
    <w:rsid w:val="00F80132"/>
    <w:rsid w:val="00F86F46"/>
    <w:rsid w:val="00F92802"/>
    <w:rsid w:val="00F92CE8"/>
    <w:rsid w:val="00F940FE"/>
    <w:rsid w:val="00FA2DB4"/>
    <w:rsid w:val="00FA695F"/>
    <w:rsid w:val="00FB165A"/>
    <w:rsid w:val="00FB4BA5"/>
    <w:rsid w:val="00FC575F"/>
    <w:rsid w:val="00FD19A0"/>
    <w:rsid w:val="00FD4621"/>
    <w:rsid w:val="00FD7163"/>
    <w:rsid w:val="00FE10D9"/>
    <w:rsid w:val="00FE31EF"/>
    <w:rsid w:val="00FF0462"/>
    <w:rsid w:val="00FF0F2F"/>
    <w:rsid w:val="00FF307D"/>
    <w:rsid w:val="00FF799A"/>
    <w:rsid w:val="01BA45A5"/>
    <w:rsid w:val="03A30A75"/>
    <w:rsid w:val="044771B2"/>
    <w:rsid w:val="049670B1"/>
    <w:rsid w:val="04AF220F"/>
    <w:rsid w:val="066A6DEF"/>
    <w:rsid w:val="07EE23A1"/>
    <w:rsid w:val="0B391762"/>
    <w:rsid w:val="0B494123"/>
    <w:rsid w:val="0C21208E"/>
    <w:rsid w:val="0C6E37CD"/>
    <w:rsid w:val="0E981FAE"/>
    <w:rsid w:val="10AE7C1C"/>
    <w:rsid w:val="11E14437"/>
    <w:rsid w:val="18361444"/>
    <w:rsid w:val="189552A2"/>
    <w:rsid w:val="18C669AF"/>
    <w:rsid w:val="19452C04"/>
    <w:rsid w:val="19DF499D"/>
    <w:rsid w:val="1C003E4E"/>
    <w:rsid w:val="1D512751"/>
    <w:rsid w:val="1E6E5198"/>
    <w:rsid w:val="1F43385B"/>
    <w:rsid w:val="20722C25"/>
    <w:rsid w:val="208F7467"/>
    <w:rsid w:val="21AE3CC2"/>
    <w:rsid w:val="22540A5B"/>
    <w:rsid w:val="239C1965"/>
    <w:rsid w:val="25B5427C"/>
    <w:rsid w:val="273E0635"/>
    <w:rsid w:val="27A05CF8"/>
    <w:rsid w:val="28654FEE"/>
    <w:rsid w:val="28715E7A"/>
    <w:rsid w:val="287B47A1"/>
    <w:rsid w:val="29811239"/>
    <w:rsid w:val="2A747E79"/>
    <w:rsid w:val="2CDC1A2A"/>
    <w:rsid w:val="2DB87FDD"/>
    <w:rsid w:val="2EB057EF"/>
    <w:rsid w:val="2F0C44D6"/>
    <w:rsid w:val="2FDA041A"/>
    <w:rsid w:val="2FE32F3E"/>
    <w:rsid w:val="300C6936"/>
    <w:rsid w:val="31407DBB"/>
    <w:rsid w:val="32952175"/>
    <w:rsid w:val="32B42F04"/>
    <w:rsid w:val="33685226"/>
    <w:rsid w:val="35761F27"/>
    <w:rsid w:val="35D66BF5"/>
    <w:rsid w:val="372146FB"/>
    <w:rsid w:val="37F75D9D"/>
    <w:rsid w:val="392F057F"/>
    <w:rsid w:val="3DC47F11"/>
    <w:rsid w:val="407A1472"/>
    <w:rsid w:val="41886C55"/>
    <w:rsid w:val="42146BD2"/>
    <w:rsid w:val="45194FFB"/>
    <w:rsid w:val="47B92479"/>
    <w:rsid w:val="48990731"/>
    <w:rsid w:val="48D22785"/>
    <w:rsid w:val="497421D5"/>
    <w:rsid w:val="4A3F2CD6"/>
    <w:rsid w:val="4B846B44"/>
    <w:rsid w:val="4C993086"/>
    <w:rsid w:val="4CAF7331"/>
    <w:rsid w:val="51290D7B"/>
    <w:rsid w:val="51B127A0"/>
    <w:rsid w:val="51BB253C"/>
    <w:rsid w:val="51BE752A"/>
    <w:rsid w:val="529A067F"/>
    <w:rsid w:val="54AB604D"/>
    <w:rsid w:val="570B171D"/>
    <w:rsid w:val="586665CC"/>
    <w:rsid w:val="595C437A"/>
    <w:rsid w:val="5981206F"/>
    <w:rsid w:val="5AF65266"/>
    <w:rsid w:val="5CBF5853"/>
    <w:rsid w:val="5D0B5E16"/>
    <w:rsid w:val="5DB05033"/>
    <w:rsid w:val="5DF75CD5"/>
    <w:rsid w:val="5E4034EB"/>
    <w:rsid w:val="600E4777"/>
    <w:rsid w:val="61CE593D"/>
    <w:rsid w:val="63937F05"/>
    <w:rsid w:val="63CC412B"/>
    <w:rsid w:val="63D336BC"/>
    <w:rsid w:val="64A4788A"/>
    <w:rsid w:val="674026A5"/>
    <w:rsid w:val="67A1071B"/>
    <w:rsid w:val="68A45173"/>
    <w:rsid w:val="69E139B2"/>
    <w:rsid w:val="6A34212F"/>
    <w:rsid w:val="6ACA037C"/>
    <w:rsid w:val="6B8911AF"/>
    <w:rsid w:val="6EBF6322"/>
    <w:rsid w:val="6F6B1574"/>
    <w:rsid w:val="70327A91"/>
    <w:rsid w:val="705D013E"/>
    <w:rsid w:val="71931E7B"/>
    <w:rsid w:val="71F711D9"/>
    <w:rsid w:val="720620D4"/>
    <w:rsid w:val="72EC26B7"/>
    <w:rsid w:val="75BE143A"/>
    <w:rsid w:val="76EC586B"/>
    <w:rsid w:val="78D42206"/>
    <w:rsid w:val="7B05151C"/>
    <w:rsid w:val="7B4817AF"/>
    <w:rsid w:val="7BA43A74"/>
    <w:rsid w:val="7BE840D0"/>
    <w:rsid w:val="7C1315CE"/>
    <w:rsid w:val="7E1463B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uiPriority="0" w:name="toc 2"/>
    <w:lsdException w:qFormat="1" w:unhideWhenUsed="0" w:uiPriority="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3"/>
    <w:basedOn w:val="1"/>
    <w:next w:val="4"/>
    <w:qFormat/>
    <w:uiPriority w:val="0"/>
    <w:pPr>
      <w:keepNext/>
      <w:keepLines/>
      <w:numPr>
        <w:ilvl w:val="0"/>
        <w:numId w:val="1"/>
      </w:numPr>
      <w:tabs>
        <w:tab w:val="left" w:pos="1080"/>
        <w:tab w:val="left" w:pos="1260"/>
        <w:tab w:val="left" w:pos="1440"/>
      </w:tabs>
      <w:spacing w:line="360" w:lineRule="auto"/>
      <w:outlineLvl w:val="2"/>
    </w:pPr>
    <w:rPr>
      <w:rFonts w:ascii="宋体" w:hAnsi="宋体"/>
      <w:b/>
      <w:spacing w:val="20"/>
      <w:sz w:val="28"/>
      <w:szCs w:val="28"/>
    </w:rPr>
  </w:style>
  <w:style w:type="paragraph" w:styleId="5">
    <w:name w:val="heading 4"/>
    <w:basedOn w:val="1"/>
    <w:next w:val="4"/>
    <w:qFormat/>
    <w:uiPriority w:val="0"/>
    <w:pPr>
      <w:keepNext/>
      <w:numPr>
        <w:ilvl w:val="3"/>
        <w:numId w:val="2"/>
      </w:numPr>
      <w:spacing w:line="360" w:lineRule="auto"/>
      <w:outlineLvl w:val="3"/>
    </w:pPr>
    <w:rPr>
      <w:rFonts w:ascii="宋体" w:hAnsi="宋体"/>
      <w:b/>
      <w:spacing w:val="20"/>
      <w:sz w:val="28"/>
      <w:szCs w:val="28"/>
      <w:lang w:val="zh-CN"/>
    </w:rPr>
  </w:style>
  <w:style w:type="paragraph" w:styleId="6">
    <w:name w:val="heading 5"/>
    <w:basedOn w:val="1"/>
    <w:next w:val="4"/>
    <w:qFormat/>
    <w:uiPriority w:val="0"/>
    <w:pPr>
      <w:keepNext/>
      <w:keepLines/>
      <w:numPr>
        <w:ilvl w:val="4"/>
        <w:numId w:val="2"/>
      </w:numPr>
      <w:spacing w:before="280" w:after="290" w:line="374" w:lineRule="auto"/>
      <w:outlineLvl w:val="4"/>
    </w:pPr>
    <w:rPr>
      <w:b/>
      <w:sz w:val="28"/>
      <w:szCs w:val="20"/>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spacing w:line="360" w:lineRule="auto"/>
      <w:ind w:firstLine="420"/>
    </w:pPr>
    <w:rPr>
      <w:szCs w:val="20"/>
    </w:rPr>
  </w:style>
  <w:style w:type="paragraph" w:styleId="7">
    <w:name w:val="Body Text"/>
    <w:basedOn w:val="1"/>
    <w:qFormat/>
    <w:uiPriority w:val="0"/>
    <w:pPr>
      <w:widowControl/>
      <w:spacing w:line="360" w:lineRule="auto"/>
      <w:ind w:firstLine="425"/>
    </w:pPr>
    <w:rPr>
      <w:spacing w:val="-2"/>
      <w:kern w:val="0"/>
      <w:szCs w:val="20"/>
    </w:rPr>
  </w:style>
  <w:style w:type="paragraph" w:styleId="8">
    <w:name w:val="Body Text Indent"/>
    <w:basedOn w:val="1"/>
    <w:qFormat/>
    <w:uiPriority w:val="0"/>
    <w:pPr>
      <w:widowControl/>
      <w:spacing w:line="360" w:lineRule="auto"/>
      <w:ind w:firstLine="195"/>
      <w:jc w:val="left"/>
    </w:pPr>
    <w:rPr>
      <w:color w:val="FF0000"/>
      <w:kern w:val="0"/>
      <w:sz w:val="20"/>
      <w:szCs w:val="20"/>
    </w:rPr>
  </w:style>
  <w:style w:type="paragraph" w:styleId="9">
    <w:name w:val="toc 3"/>
    <w:basedOn w:val="1"/>
    <w:next w:val="1"/>
    <w:semiHidden/>
    <w:qFormat/>
    <w:uiPriority w:val="0"/>
    <w:pPr>
      <w:tabs>
        <w:tab w:val="right" w:leader="dot" w:pos="9062"/>
      </w:tabs>
      <w:spacing w:line="360" w:lineRule="auto"/>
      <w:ind w:left="420" w:firstLine="425"/>
      <w:jc w:val="left"/>
    </w:pPr>
    <w:rPr>
      <w:rFonts w:ascii="华文楷体" w:hAnsi="华文楷体" w:eastAsia="华文楷体"/>
      <w:sz w:val="24"/>
    </w:rPr>
  </w:style>
  <w:style w:type="paragraph" w:styleId="10">
    <w:name w:val="Body Text Indent 2"/>
    <w:basedOn w:val="1"/>
    <w:qFormat/>
    <w:uiPriority w:val="0"/>
    <w:pPr>
      <w:spacing w:after="120" w:line="480" w:lineRule="auto"/>
      <w:ind w:left="420" w:leftChars="200"/>
    </w:pPr>
  </w:style>
  <w:style w:type="paragraph" w:styleId="11">
    <w:name w:val="Balloon Text"/>
    <w:basedOn w:val="1"/>
    <w:link w:val="34"/>
    <w:qFormat/>
    <w:uiPriority w:val="0"/>
    <w:rPr>
      <w:sz w:val="18"/>
      <w:szCs w:val="18"/>
    </w:rPr>
  </w:style>
  <w:style w:type="paragraph" w:styleId="12">
    <w:name w:val="footer"/>
    <w:basedOn w:val="1"/>
    <w:qFormat/>
    <w:uiPriority w:val="0"/>
    <w:pPr>
      <w:tabs>
        <w:tab w:val="center" w:pos="4153"/>
        <w:tab w:val="right" w:pos="8306"/>
      </w:tabs>
      <w:snapToGrid w:val="0"/>
      <w:spacing w:line="360" w:lineRule="auto"/>
      <w:ind w:firstLine="425"/>
      <w:jc w:val="left"/>
    </w:pPr>
    <w:rPr>
      <w:sz w:val="18"/>
      <w:szCs w:val="20"/>
    </w:rPr>
  </w:style>
  <w:style w:type="paragraph" w:styleId="13">
    <w:name w:val="header"/>
    <w:basedOn w:val="1"/>
    <w:qFormat/>
    <w:uiPriority w:val="0"/>
    <w:pPr>
      <w:widowControl/>
      <w:pBdr>
        <w:bottom w:val="single" w:color="auto" w:sz="6" w:space="1"/>
      </w:pBdr>
      <w:tabs>
        <w:tab w:val="center" w:pos="4153"/>
        <w:tab w:val="right" w:pos="8306"/>
      </w:tabs>
      <w:snapToGrid w:val="0"/>
      <w:spacing w:line="360" w:lineRule="auto"/>
      <w:ind w:firstLine="425"/>
      <w:jc w:val="center"/>
    </w:pPr>
    <w:rPr>
      <w:kern w:val="0"/>
      <w:sz w:val="18"/>
      <w:szCs w:val="20"/>
    </w:rPr>
  </w:style>
  <w:style w:type="paragraph" w:styleId="14">
    <w:name w:val="toc 1"/>
    <w:basedOn w:val="1"/>
    <w:next w:val="1"/>
    <w:semiHidden/>
    <w:qFormat/>
    <w:uiPriority w:val="0"/>
    <w:pPr>
      <w:spacing w:before="120" w:after="120" w:line="360" w:lineRule="auto"/>
      <w:ind w:firstLine="425"/>
      <w:jc w:val="left"/>
    </w:pPr>
    <w:rPr>
      <w:b/>
      <w:caps/>
      <w:sz w:val="20"/>
      <w:szCs w:val="20"/>
    </w:rPr>
  </w:style>
  <w:style w:type="paragraph" w:styleId="15">
    <w:name w:val="toc 4"/>
    <w:basedOn w:val="1"/>
    <w:next w:val="1"/>
    <w:semiHidden/>
    <w:qFormat/>
    <w:uiPriority w:val="0"/>
    <w:pPr>
      <w:tabs>
        <w:tab w:val="right" w:leader="dot" w:pos="9061"/>
      </w:tabs>
      <w:spacing w:line="360" w:lineRule="auto"/>
      <w:ind w:left="840" w:firstLine="425"/>
      <w:jc w:val="left"/>
    </w:pPr>
    <w:rPr>
      <w:sz w:val="18"/>
      <w:szCs w:val="20"/>
    </w:rPr>
  </w:style>
  <w:style w:type="paragraph" w:styleId="16">
    <w:name w:val="Body Text Indent 3"/>
    <w:basedOn w:val="1"/>
    <w:qFormat/>
    <w:uiPriority w:val="0"/>
    <w:pPr>
      <w:spacing w:after="120"/>
      <w:ind w:left="420" w:leftChars="200"/>
    </w:pPr>
    <w:rPr>
      <w:sz w:val="16"/>
      <w:szCs w:val="16"/>
    </w:rPr>
  </w:style>
  <w:style w:type="paragraph" w:styleId="17">
    <w:name w:val="Body Text 2"/>
    <w:basedOn w:val="1"/>
    <w:qFormat/>
    <w:uiPriority w:val="0"/>
    <w:pPr>
      <w:jc w:val="left"/>
    </w:pPr>
    <w:rPr>
      <w:color w:val="0000FF"/>
      <w:sz w:val="18"/>
      <w:szCs w:val="20"/>
    </w:rPr>
  </w:style>
  <w:style w:type="paragraph" w:styleId="18">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9">
    <w:name w:val="Title"/>
    <w:basedOn w:val="1"/>
    <w:qFormat/>
    <w:uiPriority w:val="0"/>
    <w:pPr>
      <w:spacing w:after="60"/>
      <w:jc w:val="center"/>
      <w:outlineLvl w:val="0"/>
    </w:pPr>
    <w:rPr>
      <w:rFonts w:ascii="Arial" w:hAnsi="Arial"/>
      <w:b/>
      <w:sz w:val="32"/>
      <w:szCs w:val="20"/>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Hyperlink"/>
    <w:qFormat/>
    <w:uiPriority w:val="0"/>
    <w:rPr>
      <w:color w:val="333333"/>
      <w:u w:val="none"/>
    </w:rPr>
  </w:style>
  <w:style w:type="character" w:customStyle="1" w:styleId="24">
    <w:name w:val="font14 line-height"/>
    <w:basedOn w:val="22"/>
    <w:qFormat/>
    <w:uiPriority w:val="0"/>
  </w:style>
  <w:style w:type="paragraph" w:customStyle="1" w:styleId="25">
    <w:name w:val="Char Char Char"/>
    <w:basedOn w:val="1"/>
    <w:qFormat/>
    <w:uiPriority w:val="0"/>
  </w:style>
  <w:style w:type="paragraph" w:customStyle="1" w:styleId="26">
    <w:name w:val="正文1"/>
    <w:basedOn w:val="1"/>
    <w:qFormat/>
    <w:uiPriority w:val="0"/>
    <w:pPr>
      <w:spacing w:after="120" w:line="120" w:lineRule="atLeast"/>
      <w:ind w:firstLine="425"/>
    </w:pPr>
    <w:rPr>
      <w:sz w:val="24"/>
      <w:szCs w:val="20"/>
    </w:rPr>
  </w:style>
  <w:style w:type="paragraph" w:styleId="27">
    <w:name w:val="List Paragraph"/>
    <w:basedOn w:val="1"/>
    <w:unhideWhenUsed/>
    <w:qFormat/>
    <w:uiPriority w:val="99"/>
    <w:pPr>
      <w:ind w:firstLine="420" w:firstLineChars="200"/>
    </w:pPr>
  </w:style>
  <w:style w:type="paragraph" w:customStyle="1" w:styleId="28">
    <w:name w:val="样式1"/>
    <w:basedOn w:val="1"/>
    <w:link w:val="29"/>
    <w:qFormat/>
    <w:uiPriority w:val="0"/>
    <w:pPr>
      <w:numPr>
        <w:ilvl w:val="0"/>
        <w:numId w:val="3"/>
      </w:numPr>
      <w:spacing w:line="336" w:lineRule="auto"/>
    </w:pPr>
    <w:rPr>
      <w:rFonts w:ascii="仿宋_GB2312" w:hAnsi="华文仿宋" w:eastAsia="仿宋_GB2312"/>
      <w:sz w:val="28"/>
      <w:szCs w:val="28"/>
    </w:rPr>
  </w:style>
  <w:style w:type="character" w:customStyle="1" w:styleId="29">
    <w:name w:val="样式1 Char"/>
    <w:basedOn w:val="22"/>
    <w:link w:val="28"/>
    <w:qFormat/>
    <w:uiPriority w:val="0"/>
    <w:rPr>
      <w:rFonts w:ascii="仿宋_GB2312" w:hAnsi="华文仿宋" w:eastAsia="仿宋_GB2312"/>
      <w:kern w:val="2"/>
      <w:sz w:val="28"/>
      <w:szCs w:val="28"/>
    </w:rPr>
  </w:style>
  <w:style w:type="paragraph" w:customStyle="1" w:styleId="30">
    <w:name w:val="WPSOffice手动目录 1"/>
    <w:qFormat/>
    <w:uiPriority w:val="0"/>
    <w:rPr>
      <w:rFonts w:ascii="Times New Roman" w:hAnsi="Times New Roman" w:eastAsia="宋体" w:cs="Times New Roman"/>
      <w:lang w:val="en-US" w:eastAsia="zh-CN" w:bidi="ar-SA"/>
    </w:rPr>
  </w:style>
  <w:style w:type="paragraph" w:customStyle="1" w:styleId="3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2">
    <w:name w:val="font11"/>
    <w:basedOn w:val="22"/>
    <w:qFormat/>
    <w:uiPriority w:val="0"/>
    <w:rPr>
      <w:rFonts w:hint="eastAsia" w:ascii="宋体" w:hAnsi="宋体" w:eastAsia="宋体" w:cs="宋体"/>
      <w:color w:val="000000"/>
      <w:sz w:val="20"/>
      <w:szCs w:val="20"/>
      <w:u w:val="none"/>
    </w:rPr>
  </w:style>
  <w:style w:type="character" w:customStyle="1" w:styleId="33">
    <w:name w:val="font01"/>
    <w:basedOn w:val="22"/>
    <w:qFormat/>
    <w:uiPriority w:val="0"/>
    <w:rPr>
      <w:rFonts w:hint="eastAsia" w:ascii="宋体" w:hAnsi="宋体" w:eastAsia="宋体" w:cs="宋体"/>
      <w:color w:val="000000"/>
      <w:sz w:val="20"/>
      <w:szCs w:val="20"/>
      <w:u w:val="none"/>
      <w:vertAlign w:val="superscript"/>
    </w:rPr>
  </w:style>
  <w:style w:type="character" w:customStyle="1" w:styleId="34">
    <w:name w:val="批注框文本 Char"/>
    <w:basedOn w:val="22"/>
    <w:link w:val="11"/>
    <w:qFormat/>
    <w:uiPriority w:val="0"/>
    <w:rPr>
      <w:kern w:val="2"/>
      <w:sz w:val="18"/>
      <w:szCs w:val="18"/>
    </w:rPr>
  </w:style>
  <w:style w:type="paragraph" w:customStyle="1" w:styleId="35">
    <w:name w:val="LY表格"/>
    <w:qFormat/>
    <w:uiPriority w:val="0"/>
    <w:rPr>
      <w:rFonts w:hint="eastAsia" w:ascii="宋体" w:hAnsi="宋体" w:eastAsia="宋体" w:cs="宋体"/>
      <w:lang w:val="en-US" w:eastAsia="zh-CN" w:bidi="ar-SA"/>
    </w:rPr>
  </w:style>
  <w:style w:type="character" w:customStyle="1" w:styleId="36">
    <w:name w:val="font61"/>
    <w:basedOn w:val="22"/>
    <w:qFormat/>
    <w:uiPriority w:val="0"/>
    <w:rPr>
      <w:rFonts w:hint="default" w:ascii="Arial Narrow" w:hAnsi="Arial Narrow" w:eastAsia="Arial Narrow" w:cs="Arial Narrow"/>
      <w:color w:val="000000"/>
      <w:sz w:val="20"/>
      <w:szCs w:val="20"/>
      <w:u w:val="none"/>
    </w:rPr>
  </w:style>
  <w:style w:type="character" w:customStyle="1" w:styleId="37">
    <w:name w:val="font41"/>
    <w:basedOn w:val="22"/>
    <w:qFormat/>
    <w:uiPriority w:val="0"/>
    <w:rPr>
      <w:rFonts w:hint="default" w:ascii="Times New Roman" w:hAnsi="Times New Roman" w:cs="Times New Roman"/>
      <w:color w:val="000000"/>
      <w:sz w:val="20"/>
      <w:szCs w:val="20"/>
      <w:u w:val="none"/>
    </w:rPr>
  </w:style>
  <w:style w:type="character" w:customStyle="1" w:styleId="38">
    <w:name w:val="font31"/>
    <w:basedOn w:val="22"/>
    <w:qFormat/>
    <w:uiPriority w:val="0"/>
    <w:rPr>
      <w:rFonts w:hint="eastAsia" w:ascii="宋体" w:hAnsi="宋体" w:eastAsia="宋体" w:cs="宋体"/>
      <w:b/>
      <w:color w:val="000000"/>
      <w:sz w:val="20"/>
      <w:szCs w:val="20"/>
      <w:u w:val="none"/>
    </w:rPr>
  </w:style>
  <w:style w:type="character" w:customStyle="1" w:styleId="39">
    <w:name w:val="font21"/>
    <w:basedOn w:val="22"/>
    <w:qFormat/>
    <w:uiPriority w:val="0"/>
    <w:rPr>
      <w:rFonts w:hint="default" w:ascii="Arial Narrow" w:hAnsi="Arial Narrow" w:eastAsia="Arial Narrow" w:cs="Arial Narrow"/>
      <w:color w:val="000000"/>
      <w:sz w:val="20"/>
      <w:szCs w:val="20"/>
      <w:u w:val="none"/>
    </w:rPr>
  </w:style>
  <w:style w:type="character" w:customStyle="1" w:styleId="40">
    <w:name w:val="font51"/>
    <w:basedOn w:val="22"/>
    <w:qFormat/>
    <w:uiPriority w:val="0"/>
    <w:rPr>
      <w:rFonts w:hint="default" w:ascii="Times New Roman" w:hAnsi="Times New Roman" w:cs="Times New Roman"/>
      <w:color w:val="000000"/>
      <w:sz w:val="20"/>
      <w:szCs w:val="20"/>
      <w:u w:val="none"/>
    </w:rPr>
  </w:style>
  <w:style w:type="character" w:customStyle="1" w:styleId="41">
    <w:name w:val="font131"/>
    <w:basedOn w:val="22"/>
    <w:qFormat/>
    <w:uiPriority w:val="0"/>
    <w:rPr>
      <w:rFonts w:hint="eastAsia" w:ascii="仿宋_GB2312" w:eastAsia="仿宋_GB2312" w:cs="仿宋_GB2312"/>
      <w:color w:val="000000"/>
      <w:sz w:val="18"/>
      <w:szCs w:val="18"/>
      <w:u w:val="none"/>
    </w:rPr>
  </w:style>
  <w:style w:type="character" w:customStyle="1" w:styleId="42">
    <w:name w:val="font101"/>
    <w:basedOn w:val="22"/>
    <w:qFormat/>
    <w:uiPriority w:val="0"/>
    <w:rPr>
      <w:rFonts w:hint="eastAsia" w:ascii="宋体" w:hAnsi="宋体" w:eastAsia="宋体" w:cs="宋体"/>
      <w:color w:val="000000"/>
      <w:sz w:val="18"/>
      <w:szCs w:val="18"/>
      <w:u w:val="none"/>
    </w:rPr>
  </w:style>
  <w:style w:type="character" w:customStyle="1" w:styleId="43">
    <w:name w:val="font91"/>
    <w:basedOn w:val="22"/>
    <w:qFormat/>
    <w:uiPriority w:val="0"/>
    <w:rPr>
      <w:rFonts w:hint="default" w:ascii="Agency FB" w:hAnsi="Agency FB" w:eastAsia="Agency FB" w:cs="Agency FB"/>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收益法评估报告</Template>
  <Company>Home</Company>
  <Pages>28</Pages>
  <Words>10189</Words>
  <Characters>10745</Characters>
  <Lines>79</Lines>
  <Paragraphs>22</Paragraphs>
  <TotalTime>0</TotalTime>
  <ScaleCrop>false</ScaleCrop>
  <LinksUpToDate>false</LinksUpToDate>
  <CharactersWithSpaces>11126</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2019-03-13T02:29:00Z</dcterms:created>
  <dc:creator>sgq</dc:creator>
  <cp:lastModifiedBy>11850</cp:lastModifiedBy>
  <cp:lastPrinted>2022-09-09T05:43:00Z</cp:lastPrinted>
  <dcterms:modified xsi:type="dcterms:W3CDTF">2022-09-09T06:31:43Z</dcterms:modified>
  <dc:title>J(002)G</dc:title>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0287DE831E524A66A4D07AB48C0DC479</vt:lpwstr>
  </property>
</Properties>
</file>