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039</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宁波市北仑区新碶滨海锦苑1幢302室住宅房地产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2022年6月28日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0212评字第407</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宁波市北仑区新碶滨海锦苑1幢302室住宅</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135.8</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，房屋用途住宅；</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28.29平方米，土地用途住宅用地；附属储藏室（1-4号）一间、面积5.19平方米，包</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2022年6月22日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贰佰捌拾玖万元整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289万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2891" w:firstLineChars="1200"/>
        <w:jc w:val="both"/>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pPr w:leftFromText="180" w:rightFromText="180" w:vertAnchor="text" w:horzAnchor="page" w:tblpX="1555" w:tblpY="381"/>
        <w:tblOverlap w:val="never"/>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582"/>
        <w:gridCol w:w="1185"/>
        <w:gridCol w:w="1275"/>
        <w:gridCol w:w="1125"/>
        <w:gridCol w:w="10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1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582"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房产证号</w:t>
            </w:r>
          </w:p>
        </w:tc>
        <w:tc>
          <w:tcPr>
            <w:tcW w:w="1185"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建筑面积（㎡）</w:t>
            </w:r>
          </w:p>
        </w:tc>
        <w:tc>
          <w:tcPr>
            <w:tcW w:w="127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12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06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w:t>
            </w: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rPr>
              <w:t>㎡）</w:t>
            </w:r>
          </w:p>
        </w:tc>
        <w:tc>
          <w:tcPr>
            <w:tcW w:w="102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710"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default" w:ascii="仿宋_GB2312" w:hAnsi="仿宋_GB2312" w:eastAsia="仿宋_GB2312" w:cs="仿宋_GB2312"/>
                <w:b w:val="0"/>
                <w:bCs w:val="0"/>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北仑区</w:t>
            </w:r>
            <w:r>
              <w:rPr>
                <w:rFonts w:hint="default" w:ascii="仿宋_GB2312" w:hAnsi="仿宋_GB2312" w:eastAsia="仿宋_GB2312" w:cs="仿宋_GB2312"/>
                <w:b w:val="0"/>
                <w:bCs w:val="0"/>
                <w:color w:val="000000"/>
                <w:sz w:val="21"/>
                <w:szCs w:val="21"/>
                <w:shd w:val="clear" w:color="auto" w:fill="FFFFFF"/>
                <w:lang w:val="en-US" w:eastAsia="zh-CN"/>
              </w:rPr>
              <w:t>新碶滨海锦苑1幢302室</w:t>
            </w:r>
          </w:p>
        </w:tc>
        <w:tc>
          <w:tcPr>
            <w:tcW w:w="1582"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b w:val="0"/>
                <w:bCs w:val="0"/>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甬房权证北仑区字第2005014558号</w:t>
            </w:r>
          </w:p>
        </w:tc>
        <w:tc>
          <w:tcPr>
            <w:tcW w:w="118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135.8</w:t>
            </w:r>
          </w:p>
        </w:tc>
        <w:tc>
          <w:tcPr>
            <w:tcW w:w="127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仑国用（2005）字第13050号</w:t>
            </w:r>
          </w:p>
        </w:tc>
        <w:tc>
          <w:tcPr>
            <w:tcW w:w="112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28.29</w:t>
            </w:r>
          </w:p>
        </w:tc>
        <w:tc>
          <w:tcPr>
            <w:tcW w:w="106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auto"/>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21290</w:t>
            </w:r>
          </w:p>
        </w:tc>
        <w:tc>
          <w:tcPr>
            <w:tcW w:w="102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auto"/>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289</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2022年6月28日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bookmarkStart w:id="54" w:name="_GoBack"/>
      <w:bookmarkEnd w:id="54"/>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2022年6月28日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2"/>
        <w:ind w:left="0" w:leftChars="0" w:firstLine="0" w:firstLineChars="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rPr>
          <w:rFonts w:hint="eastAsia" w:ascii="仿宋_GB2312" w:eastAsia="仿宋_GB2312"/>
          <w:b/>
          <w:sz w:val="32"/>
          <w:szCs w:val="32"/>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 w:hAnsi="仿宋" w:eastAsia="仿宋" w:cs="仿宋"/>
          <w:sz w:val="28"/>
          <w:szCs w:val="28"/>
          <w:lang w:eastAsia="zh-CN"/>
        </w:rPr>
        <w:t>全瑾</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2022年6月22日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91589"/>
      <w:bookmarkStart w:id="8" w:name="_Toc332177283"/>
      <w:bookmarkStart w:id="9" w:name="_Toc332191655"/>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174"/>
      <w:bookmarkStart w:id="11" w:name="_Toc353790792"/>
      <w:bookmarkStart w:id="12" w:name="_Toc353790672"/>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、本估价报告使用期限为一年（自2022年6月28日至20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6</w:t>
      </w:r>
      <w:r>
        <w:rPr>
          <w:rFonts w:hint="eastAsia" w:ascii="仿宋_GB2312"/>
          <w:b w:val="0"/>
          <w:color w:val="000000"/>
          <w:sz w:val="28"/>
          <w:lang w:val="zh-CN"/>
        </w:rPr>
        <w:t>月</w:t>
      </w:r>
      <w:r>
        <w:rPr>
          <w:rFonts w:hint="eastAsia" w:ascii="仿宋_GB2312"/>
          <w:b w:val="0"/>
          <w:color w:val="000000"/>
          <w:sz w:val="28"/>
          <w:lang w:val="en-US" w:eastAsia="zh-CN"/>
        </w:rPr>
        <w:t>27</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27019"/>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20601"/>
      <w:bookmarkStart w:id="21" w:name="_Toc37849151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19220"/>
      <w:bookmarkStart w:id="26"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宁波市北仑区新碶滨海锦苑1幢302室住宅</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135.8</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28.29平方米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宁波市北仑区新碶滨海锦苑1幢302室住宅</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包</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1</w:t>
      </w:r>
      <w:r>
        <w:rPr>
          <w:rFonts w:hint="eastAsia" w:ascii="仿宋_GB2312" w:hAnsi="仿宋" w:eastAsia="仿宋_GB2312" w:cs="新宋体-18030"/>
          <w:sz w:val="28"/>
          <w:szCs w:val="28"/>
          <w:lang w:eastAsia="zh-CN"/>
        </w:rPr>
        <w:t>）房屋登记状况</w:t>
      </w:r>
    </w:p>
    <w:tbl>
      <w:tblPr>
        <w:tblStyle w:val="11"/>
        <w:tblW w:w="882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1201"/>
        <w:gridCol w:w="1470"/>
        <w:gridCol w:w="1080"/>
        <w:gridCol w:w="151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90"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634" w:type="dxa"/>
            <w:gridSpan w:val="5"/>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90"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房屋所有权证号</w:t>
            </w:r>
          </w:p>
        </w:tc>
        <w:tc>
          <w:tcPr>
            <w:tcW w:w="6634" w:type="dxa"/>
            <w:gridSpan w:val="5"/>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甬房权证北仑区字第2005014558号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w:t>
            </w:r>
            <w:r>
              <w:rPr>
                <w:rFonts w:hint="eastAsia" w:ascii="仿宋_GB2312" w:hAnsi="宋体" w:eastAsia="仿宋_GB2312" w:cs="宋体"/>
                <w:kern w:val="0"/>
                <w:sz w:val="24"/>
                <w:lang w:eastAsia="zh-CN"/>
              </w:rPr>
              <w:t>坐</w:t>
            </w:r>
            <w:r>
              <w:rPr>
                <w:rFonts w:hint="eastAsia" w:ascii="仿宋_GB2312" w:hAnsi="宋体" w:eastAsia="仿宋_GB2312" w:cs="宋体"/>
                <w:kern w:val="0"/>
                <w:sz w:val="24"/>
              </w:rPr>
              <w:t>落</w:t>
            </w:r>
          </w:p>
        </w:tc>
        <w:tc>
          <w:tcPr>
            <w:tcW w:w="663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kern w:val="0"/>
                <w:sz w:val="24"/>
                <w:lang w:val="en-US" w:eastAsia="zh-CN"/>
              </w:rPr>
            </w:pPr>
            <w:r>
              <w:rPr>
                <w:rFonts w:hint="eastAsia" w:ascii="仿宋_GB2312" w:hAnsi="宋体" w:eastAsia="仿宋_GB2312"/>
                <w:kern w:val="0"/>
                <w:sz w:val="24"/>
                <w:lang w:val="en-US" w:eastAsia="zh-CN"/>
              </w:rPr>
              <w:t>新碶滨海锦苑1幢302室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90" w:type="dxa"/>
            <w:tcBorders>
              <w:top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层次/总层数</w:t>
            </w:r>
          </w:p>
        </w:tc>
        <w:tc>
          <w:tcPr>
            <w:tcW w:w="1201" w:type="dxa"/>
            <w:tcBorders>
              <w:top w:val="single" w:color="auto" w:sz="4" w:space="0"/>
            </w:tcBorders>
            <w:vAlign w:val="center"/>
          </w:tcPr>
          <w:p>
            <w:pPr>
              <w:widowControl/>
              <w:spacing w:line="400" w:lineRule="exact"/>
              <w:ind w:left="0" w:leftChars="0" w:right="0" w:rightChars="0" w:firstLine="0" w:firstLineChars="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5</w:t>
            </w:r>
          </w:p>
        </w:tc>
        <w:tc>
          <w:tcPr>
            <w:tcW w:w="1470" w:type="dxa"/>
            <w:tcBorders>
              <w:top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幢号</w:t>
            </w:r>
          </w:p>
        </w:tc>
        <w:tc>
          <w:tcPr>
            <w:tcW w:w="1080" w:type="dxa"/>
            <w:tcBorders>
              <w:top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c>
          <w:tcPr>
            <w:tcW w:w="1515" w:type="dxa"/>
            <w:tcBorders>
              <w:top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房号</w:t>
            </w:r>
          </w:p>
        </w:tc>
        <w:tc>
          <w:tcPr>
            <w:tcW w:w="1368" w:type="dxa"/>
            <w:tcBorders>
              <w:top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90"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201"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135.8</w:t>
            </w:r>
          </w:p>
        </w:tc>
        <w:tc>
          <w:tcPr>
            <w:tcW w:w="1470" w:type="dxa"/>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结构</w:t>
            </w:r>
          </w:p>
        </w:tc>
        <w:tc>
          <w:tcPr>
            <w:tcW w:w="1080"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钢混</w:t>
            </w:r>
          </w:p>
        </w:tc>
        <w:tc>
          <w:tcPr>
            <w:tcW w:w="1515"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设计</w:t>
            </w:r>
            <w:r>
              <w:rPr>
                <w:rFonts w:hint="eastAsia" w:ascii="仿宋_GB2312" w:hAnsi="宋体" w:eastAsia="仿宋_GB2312" w:cs="宋体"/>
                <w:kern w:val="0"/>
                <w:sz w:val="24"/>
              </w:rPr>
              <w:t>用途</w:t>
            </w:r>
          </w:p>
        </w:tc>
        <w:tc>
          <w:tcPr>
            <w:tcW w:w="1368"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190"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附记</w:t>
            </w:r>
          </w:p>
        </w:tc>
        <w:tc>
          <w:tcPr>
            <w:tcW w:w="6634" w:type="dxa"/>
            <w:gridSpan w:val="5"/>
            <w:tcBorders>
              <w:right w:val="single" w:color="auto" w:sz="4" w:space="0"/>
            </w:tcBorders>
            <w:vAlign w:val="center"/>
          </w:tcPr>
          <w:p>
            <w:pPr>
              <w:widowControl/>
              <w:spacing w:line="400" w:lineRule="exact"/>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储藏室（1-4号）一间，5.19平方米</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53"/>
        <w:gridCol w:w="184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仑</w:t>
            </w:r>
            <w:r>
              <w:rPr>
                <w:rFonts w:hint="eastAsia" w:ascii="仿宋_GB2312" w:hAnsi="宋体" w:eastAsia="仿宋_GB2312" w:cs="宋体"/>
                <w:kern w:val="0"/>
                <w:sz w:val="24"/>
              </w:rPr>
              <w:t>国用（200</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w:t>
            </w:r>
            <w:r>
              <w:rPr>
                <w:rFonts w:hint="eastAsia" w:ascii="仿宋_GB2312" w:hAnsi="宋体" w:eastAsia="仿宋_GB2312" w:cs="宋体"/>
                <w:kern w:val="0"/>
                <w:sz w:val="24"/>
                <w:lang w:eastAsia="zh-CN"/>
              </w:rPr>
              <w:t>字</w:t>
            </w:r>
            <w:r>
              <w:rPr>
                <w:rFonts w:hint="eastAsia" w:ascii="仿宋_GB2312" w:hAnsi="宋体" w:eastAsia="仿宋_GB2312" w:cs="宋体"/>
                <w:kern w:val="0"/>
                <w:sz w:val="24"/>
              </w:rPr>
              <w:t>第</w:t>
            </w:r>
            <w:r>
              <w:rPr>
                <w:rFonts w:hint="eastAsia" w:ascii="仿宋_GB2312" w:hAnsi="宋体" w:eastAsia="仿宋_GB2312" w:cs="宋体"/>
                <w:kern w:val="0"/>
                <w:sz w:val="24"/>
                <w:lang w:val="en-US" w:eastAsia="zh-CN"/>
              </w:rPr>
              <w:t>13050</w:t>
            </w:r>
            <w:r>
              <w:rPr>
                <w:rFonts w:hint="eastAsia" w:ascii="仿宋_GB2312" w:hAnsi="宋体" w:eastAsia="仿宋_GB2312" w:cs="宋体"/>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土地使用权人</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default" w:ascii="仿宋_GB2312" w:hAnsi="宋体" w:eastAsia="仿宋_GB2312" w:cs="宋体"/>
                <w:kern w:val="0"/>
                <w:sz w:val="24"/>
                <w:lang w:val="en-US" w:eastAsia="zh-CN"/>
              </w:rPr>
            </w:pPr>
            <w:r>
              <w:rPr>
                <w:rFonts w:hint="default" w:ascii="仿宋_GB2312" w:hAnsi="宋体" w:eastAsia="仿宋_GB2312" w:cs="宋体"/>
                <w:kern w:val="0"/>
                <w:sz w:val="24"/>
                <w:lang w:val="en-US" w:eastAsia="zh-CN"/>
              </w:rPr>
              <w:t>新碶滨海锦苑1幢</w:t>
            </w:r>
            <w:r>
              <w:rPr>
                <w:rFonts w:hint="eastAsia" w:ascii="仿宋_GB2312" w:hAnsi="宋体" w:eastAsia="仿宋_GB2312" w:cs="宋体"/>
                <w:kern w:val="0"/>
                <w:sz w:val="24"/>
                <w:lang w:val="en-US" w:eastAsia="zh-CN"/>
              </w:rPr>
              <w:t>1单元</w:t>
            </w:r>
            <w:r>
              <w:rPr>
                <w:rFonts w:hint="default" w:ascii="仿宋_GB2312" w:hAnsi="宋体" w:eastAsia="仿宋_GB2312" w:cs="宋体"/>
                <w:kern w:val="0"/>
                <w:sz w:val="24"/>
                <w:lang w:val="en-US" w:eastAsia="zh-CN"/>
              </w:rPr>
              <w:t>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lang w:eastAsia="zh-CN"/>
              </w:rPr>
              <w:t>地类（</w:t>
            </w:r>
            <w:r>
              <w:rPr>
                <w:rFonts w:hint="eastAsia" w:ascii="仿宋_GB2312" w:hAnsi="宋体" w:eastAsia="仿宋_GB2312"/>
                <w:sz w:val="24"/>
              </w:rPr>
              <w:t>用途</w:t>
            </w:r>
            <w:r>
              <w:rPr>
                <w:rFonts w:hint="eastAsia" w:ascii="仿宋_GB2312" w:hAnsi="宋体" w:eastAsia="仿宋_GB2312"/>
                <w:sz w:val="24"/>
                <w:lang w:eastAsia="zh-CN"/>
              </w:rPr>
              <w:t>）</w:t>
            </w:r>
          </w:p>
        </w:tc>
        <w:tc>
          <w:tcPr>
            <w:tcW w:w="2153"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住宅用地</w:t>
            </w:r>
          </w:p>
        </w:tc>
        <w:tc>
          <w:tcPr>
            <w:tcW w:w="1843"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693"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153"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出让</w:t>
            </w:r>
          </w:p>
        </w:tc>
        <w:tc>
          <w:tcPr>
            <w:tcW w:w="1843"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693"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2074年5月7日</w:t>
            </w:r>
          </w:p>
        </w:tc>
      </w:tr>
    </w:tbl>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仿宋" w:eastAsia="仿宋_GB2312" w:cs="新宋体-18030"/>
          <w:color w:val="auto"/>
          <w:sz w:val="28"/>
          <w:szCs w:val="28"/>
        </w:rPr>
      </w:pPr>
      <w:r>
        <w:rPr>
          <w:rFonts w:hint="eastAsia" w:ascii="仿宋_GB2312" w:hAnsi="华文中宋" w:eastAsia="仿宋_GB2312"/>
          <w:color w:val="auto"/>
          <w:sz w:val="28"/>
          <w:szCs w:val="28"/>
        </w:rPr>
        <w:t xml:space="preserve"> </w:t>
      </w: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lang w:val="en-US" w:eastAsia="zh-CN"/>
        </w:rPr>
        <w:t>3</w:t>
      </w: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抵押查封情况：房产：有查封，有抵押；宗地：有查封，无抵押。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4</w:t>
      </w:r>
      <w:r>
        <w:rPr>
          <w:rFonts w:hint="eastAsia" w:ascii="仿宋_GB2312" w:hAnsi="华文中宋" w:eastAsia="仿宋_GB2312"/>
          <w:color w:val="auto"/>
          <w:sz w:val="28"/>
          <w:szCs w:val="28"/>
          <w:lang w:eastAsia="zh-CN"/>
        </w:rPr>
        <w:t xml:space="preserve">）估价对象权益状况分析 </w:t>
      </w:r>
    </w:p>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w:t>
      </w:r>
      <w:r>
        <w:rPr>
          <w:rFonts w:hint="eastAsia" w:ascii="仿宋_GB2312" w:hAnsi="仿宋" w:eastAsia="仿宋_GB2312" w:cs="新宋体-18030"/>
          <w:sz w:val="28"/>
          <w:szCs w:val="28"/>
          <w:lang w:eastAsia="zh-CN"/>
        </w:rPr>
        <w:t>宁波市北仑区新碶滨海锦苑1幢302室住宅</w:t>
      </w:r>
      <w:r>
        <w:rPr>
          <w:rFonts w:hint="eastAsia" w:ascii="仿宋_GB2312" w:hAnsi="华文中宋" w:eastAsia="仿宋_GB2312"/>
          <w:sz w:val="28"/>
          <w:szCs w:val="28"/>
          <w:lang w:eastAsia="zh-CN"/>
        </w:rPr>
        <w:t>，</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w:t>
      </w:r>
      <w:r>
        <w:rPr>
          <w:rFonts w:hint="eastAsia" w:ascii="仿宋_GB2312" w:eastAsia="仿宋_GB2312" w:cs="Times New Roman"/>
          <w:color w:val="000000"/>
          <w:sz w:val="28"/>
          <w:lang w:eastAsia="zh-CN"/>
        </w:rPr>
        <w:t>东</w:t>
      </w:r>
      <w:r>
        <w:rPr>
          <w:rFonts w:hint="eastAsia" w:ascii="仿宋_GB2312" w:hAnsi="Times New Roman" w:eastAsia="仿宋_GB2312" w:cs="Times New Roman"/>
          <w:color w:val="000000"/>
          <w:sz w:val="28"/>
        </w:rPr>
        <w:t>临泰东河路，南临庐山东路，西至河流、北临宝山路。庐山东路</w:t>
      </w:r>
      <w:r>
        <w:rPr>
          <w:rFonts w:hint="eastAsia" w:ascii="仿宋_GB2312" w:hAnsi="华文中宋" w:eastAsia="仿宋_GB2312"/>
          <w:sz w:val="28"/>
          <w:szCs w:val="28"/>
          <w:lang w:eastAsia="zh-CN"/>
        </w:rPr>
        <w:t>为区域交通主干道，道路通达度较好，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712</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716</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757</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w:t>
      </w:r>
      <w:r>
        <w:rPr>
          <w:rFonts w:hint="eastAsia" w:ascii="仿宋_GB2312" w:hAnsi="华文中宋" w:eastAsia="仿宋_GB2312"/>
          <w:color w:val="auto"/>
          <w:sz w:val="28"/>
          <w:szCs w:val="28"/>
          <w:lang w:val="en-US" w:eastAsia="zh-CN"/>
        </w:rPr>
        <w:t>，</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。附近有凤凰家园、黄金海岸、美好家园</w:t>
      </w:r>
      <w:r>
        <w:rPr>
          <w:rFonts w:hint="eastAsia" w:ascii="仿宋_GB2312" w:hAnsi="华文中宋" w:eastAsia="仿宋_GB2312"/>
          <w:sz w:val="28"/>
          <w:szCs w:val="28"/>
          <w:lang w:eastAsia="zh-CN"/>
        </w:rPr>
        <w:t>等成熟住宅小区，居住氛围浓厚，</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w:t>
      </w:r>
      <w:r>
        <w:rPr>
          <w:rFonts w:hint="eastAsia" w:ascii="仿宋_GB2312" w:hAnsi="华文中宋" w:eastAsia="仿宋_GB2312"/>
          <w:sz w:val="28"/>
          <w:szCs w:val="28"/>
        </w:rPr>
        <w:t>有</w:t>
      </w:r>
      <w:r>
        <w:rPr>
          <w:rFonts w:hint="eastAsia" w:ascii="仿宋_GB2312" w:hAnsi="华文中宋" w:eastAsia="仿宋_GB2312"/>
          <w:sz w:val="28"/>
          <w:szCs w:val="28"/>
          <w:lang w:eastAsia="zh-CN"/>
        </w:rPr>
        <w:t>北仑区人民医院、宁波市北仑中学、富邦世纪商业广场、沿街配套银行、便利店、药房、水果店等，所在区域基础配套设施齐全，公共服务设施完善，生活便捷程度较好。</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估价对象所在宗地的土地用途为住宅用地，房屋类型为住宅，所在宗地形状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_GB2312" w:hAnsi="华文中宋" w:eastAsia="仿宋_GB2312"/>
          <w:color w:val="auto"/>
          <w:sz w:val="28"/>
          <w:szCs w:val="28"/>
          <w:lang w:val="en-US" w:eastAsia="zh-CN"/>
        </w:rPr>
      </w:pPr>
      <w:r>
        <w:rPr>
          <w:rFonts w:hint="eastAsia" w:ascii="仿宋" w:hAnsi="仿宋" w:eastAsia="仿宋" w:cs="仿宋"/>
          <w:sz w:val="28"/>
        </w:rPr>
        <w:t>估</w:t>
      </w:r>
      <w:r>
        <w:rPr>
          <w:rFonts w:hint="eastAsia" w:ascii="仿宋" w:hAnsi="仿宋" w:eastAsia="仿宋" w:cs="仿宋"/>
          <w:color w:val="auto"/>
          <w:sz w:val="28"/>
        </w:rPr>
        <w:t>价对象</w:t>
      </w:r>
      <w:r>
        <w:rPr>
          <w:rFonts w:hint="eastAsia" w:ascii="仿宋_GB2312" w:hAnsi="华文中宋" w:eastAsia="仿宋_GB2312"/>
          <w:color w:val="auto"/>
          <w:sz w:val="28"/>
          <w:szCs w:val="28"/>
          <w:lang w:eastAsia="zh-CN"/>
        </w:rPr>
        <w:t>位于</w:t>
      </w:r>
      <w:r>
        <w:rPr>
          <w:rFonts w:hint="eastAsia" w:ascii="仿宋_GB2312" w:hAnsi="仿宋" w:eastAsia="仿宋_GB2312" w:cs="新宋体-18030"/>
          <w:sz w:val="28"/>
          <w:szCs w:val="28"/>
          <w:lang w:eastAsia="zh-CN"/>
        </w:rPr>
        <w:t>宁波市北仑区新碶滨海锦苑1幢302室住宅</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属多层住宅，建成</w:t>
      </w:r>
      <w:r>
        <w:rPr>
          <w:rFonts w:hint="eastAsia" w:ascii="仿宋" w:hAnsi="仿宋" w:eastAsia="仿宋" w:cs="仿宋"/>
          <w:color w:val="auto"/>
          <w:sz w:val="28"/>
          <w:lang w:eastAsia="zh-CN"/>
        </w:rPr>
        <w:t>小区整体规模适中，绿化等基础设施较好，物业管理规范，居住环境较好。估价对象所在建筑物为钢混结构，维护保养状况较好，水、电、卫齐全；证载建筑面积</w:t>
      </w:r>
      <w:r>
        <w:rPr>
          <w:rFonts w:hint="eastAsia" w:ascii="仿宋_GB2312" w:hAnsi="仿宋_GB2312" w:eastAsia="仿宋_GB2312" w:cs="仿宋_GB2312"/>
          <w:color w:val="000000"/>
          <w:sz w:val="28"/>
          <w:szCs w:val="28"/>
          <w:shd w:val="clear" w:color="auto" w:fill="FFFFFF"/>
          <w:lang w:val="en-US" w:eastAsia="zh-CN"/>
        </w:rPr>
        <w:t>135.8</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5</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3</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_GB2312" w:hAnsi="华文中宋" w:eastAsia="仿宋_GB2312"/>
          <w:sz w:val="28"/>
          <w:szCs w:val="28"/>
        </w:rPr>
        <w:t>一梯二户</w:t>
      </w:r>
      <w:r>
        <w:rPr>
          <w:rFonts w:hint="eastAsia" w:ascii="仿宋_GB2312" w:hAnsi="华文中宋" w:eastAsia="仿宋_GB2312"/>
          <w:sz w:val="28"/>
          <w:szCs w:val="28"/>
          <w:lang w:eastAsia="zh-CN"/>
        </w:rPr>
        <w:t>，</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为南北朝向中间套，</w:t>
      </w:r>
      <w:r>
        <w:rPr>
          <w:rFonts w:hint="eastAsia" w:ascii="仿宋" w:hAnsi="仿宋" w:eastAsia="仿宋" w:cs="仿宋"/>
          <w:color w:val="auto"/>
          <w:sz w:val="28"/>
          <w:lang w:eastAsia="zh-CN"/>
        </w:rPr>
        <w:t>室内平面呈三室</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厅</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卫一厨布局，</w:t>
      </w:r>
      <w:r>
        <w:rPr>
          <w:rFonts w:hint="eastAsia" w:ascii="仿宋_GB2312" w:hAnsi="华文中宋" w:eastAsia="仿宋_GB2312"/>
          <w:color w:val="auto"/>
          <w:sz w:val="28"/>
          <w:szCs w:val="28"/>
          <w:lang w:eastAsia="zh-CN"/>
        </w:rPr>
        <w:t>室内无装修。附属储藏室一间，面积</w:t>
      </w:r>
      <w:r>
        <w:rPr>
          <w:rFonts w:hint="eastAsia" w:ascii="仿宋_GB2312" w:hAnsi="华文中宋" w:eastAsia="仿宋_GB2312"/>
          <w:color w:val="auto"/>
          <w:sz w:val="28"/>
          <w:szCs w:val="28"/>
          <w:lang w:val="en-US" w:eastAsia="zh-CN"/>
        </w:rPr>
        <w:t>5.19平方米。</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20355"/>
      <w:bookmarkStart w:id="28"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2022年6月22日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2022年6月22日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3"/>
      <w:bookmarkEnd w:id="33"/>
      <w:bookmarkStart w:id="34" w:name="_Toc423267922"/>
      <w:bookmarkEnd w:id="34"/>
      <w:bookmarkStart w:id="35" w:name="_Toc378491518"/>
      <w:bookmarkStart w:id="36" w:name="_Toc28070"/>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bookmarkStart w:id="39" w:name="_Toc4003"/>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23267925"/>
      <w:bookmarkEnd w:id="40"/>
      <w:bookmarkStart w:id="41" w:name="_Toc417912514"/>
      <w:bookmarkEnd w:id="41"/>
      <w:bookmarkStart w:id="42" w:name="_Toc20502"/>
      <w:bookmarkStart w:id="43" w:name="_Toc10158"/>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贰佰捌拾玖万元整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289万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7918"/>
      <w:bookmarkStart w:id="46" w:name="_Toc3011"/>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2022年6月22日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6</w:t>
      </w:r>
      <w:r>
        <w:rPr>
          <w:rFonts w:hint="eastAsia" w:ascii="仿宋_GB2312"/>
          <w:b w:val="0"/>
          <w:bCs w:val="0"/>
          <w:color w:val="000000"/>
          <w:sz w:val="28"/>
        </w:rPr>
        <w:t>月</w:t>
      </w:r>
      <w:r>
        <w:rPr>
          <w:rFonts w:hint="eastAsia" w:ascii="仿宋_GB2312"/>
          <w:b w:val="0"/>
          <w:bCs w:val="0"/>
          <w:color w:val="000000"/>
          <w:sz w:val="28"/>
          <w:lang w:val="en-US" w:eastAsia="zh-CN"/>
        </w:rPr>
        <w:t>1</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2022年6月28日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widowControl/>
        <w:jc w:val="left"/>
        <w:rPr>
          <w:rFonts w:ascii="宋体" w:hAnsi="宋体" w:cs="宋体"/>
          <w:kern w:val="0"/>
          <w:sz w:val="24"/>
        </w:rPr>
      </w:pPr>
    </w:p>
    <w:p>
      <w:pPr>
        <w:widowControl/>
        <w:jc w:val="left"/>
        <w:rPr>
          <w:rFonts w:ascii="宋体" w:hAnsi="宋体" w:cs="宋体"/>
          <w:kern w:val="0"/>
          <w:sz w:val="24"/>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2596515</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143.6pt;margin-top:204.45pt;height:23.4pt;width:94.5pt;z-index:251659264;mso-width-relative:page;mso-height-relative:page;" fillcolor="#FFFFFF" filled="t" stroked="t" coordsize="21600,21600" o:gfxdata="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HRwHtsAAAAL&#10;AQAADwAAAAAAAAABACAAAAAiAAAAZHJzL2Rvd25yZXYueG1sUEsBAhQAFAAAAAgAh07iQKFvdC1S&#10;AgAAvAQAAA4AAAAAAAAAAQAgAAAAKgEAAGRycy9lMm9Eb2MueG1sUEsFBgAAAAAGAAYAWQEAAO4F&#10;AA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75580" cy="4247515"/>
            <wp:effectExtent l="0" t="0" r="1270" b="6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275580" cy="4247515"/>
                    </a:xfrm>
                    <a:prstGeom prst="rect">
                      <a:avLst/>
                    </a:prstGeom>
                    <a:noFill/>
                    <a:ln>
                      <a:noFill/>
                    </a:ln>
                  </pic:spPr>
                </pic:pic>
              </a:graphicData>
            </a:graphic>
          </wp:inline>
        </w:drawing>
      </w:r>
    </w:p>
    <w:p>
      <w:pPr>
        <w:widowControl/>
        <w:jc w:val="center"/>
        <w:rPr>
          <w:rFonts w:ascii="宋体" w:hAnsi="宋体" w:cs="宋体"/>
          <w:color w:val="000000"/>
          <w:kern w:val="0"/>
          <w:sz w:val="24"/>
        </w:rPr>
      </w:pPr>
    </w:p>
    <w:p>
      <w:pPr>
        <w:ind w:firstLine="315" w:firstLineChars="150"/>
        <w:rPr>
          <w:rFonts w:hint="eastAsia"/>
          <w:color w:val="000000"/>
        </w:rPr>
      </w:pPr>
    </w:p>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22E21"/>
    <w:multiLevelType w:val="singleLevel"/>
    <w:tmpl w:val="5A122E21"/>
    <w:lvl w:ilvl="0" w:tentative="0">
      <w:start w:val="1"/>
      <w:numFmt w:val="chineseCounting"/>
      <w:suff w:val="nothing"/>
      <w:lvlText w:val="%1、"/>
      <w:lvlJc w:val="left"/>
    </w:lvl>
  </w:abstractNum>
  <w:abstractNum w:abstractNumId="1">
    <w:nsid w:val="5A1B7340"/>
    <w:multiLevelType w:val="singleLevel"/>
    <w:tmpl w:val="5A1B7340"/>
    <w:lvl w:ilvl="0" w:tentative="0">
      <w:start w:val="4"/>
      <w:numFmt w:val="chineseCounting"/>
      <w:suff w:val="nothing"/>
      <w:lvlText w:val="%1、"/>
      <w:lvlJc w:val="left"/>
    </w:lvl>
  </w:abstractNum>
  <w:abstractNum w:abstractNumId="2">
    <w:nsid w:val="5D4535CF"/>
    <w:multiLevelType w:val="singleLevel"/>
    <w:tmpl w:val="5D4535C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0571FE2"/>
    <w:rsid w:val="02B90FAC"/>
    <w:rsid w:val="03224562"/>
    <w:rsid w:val="03ED31A6"/>
    <w:rsid w:val="076313FE"/>
    <w:rsid w:val="08850002"/>
    <w:rsid w:val="0A527884"/>
    <w:rsid w:val="0C134255"/>
    <w:rsid w:val="0C911282"/>
    <w:rsid w:val="0CF369AD"/>
    <w:rsid w:val="0D8104BD"/>
    <w:rsid w:val="0F094D90"/>
    <w:rsid w:val="10106EF7"/>
    <w:rsid w:val="1030098C"/>
    <w:rsid w:val="10A81405"/>
    <w:rsid w:val="11141BF4"/>
    <w:rsid w:val="116D0321"/>
    <w:rsid w:val="11877A0B"/>
    <w:rsid w:val="126378CD"/>
    <w:rsid w:val="128E6B0F"/>
    <w:rsid w:val="15AB77B5"/>
    <w:rsid w:val="15B22E1C"/>
    <w:rsid w:val="15D96EA3"/>
    <w:rsid w:val="16AB47F5"/>
    <w:rsid w:val="16B42CF1"/>
    <w:rsid w:val="176302F9"/>
    <w:rsid w:val="179F2664"/>
    <w:rsid w:val="19523623"/>
    <w:rsid w:val="196F0EE9"/>
    <w:rsid w:val="1A8D30E0"/>
    <w:rsid w:val="1CC568AA"/>
    <w:rsid w:val="1CCA119B"/>
    <w:rsid w:val="1F5075EE"/>
    <w:rsid w:val="1FE009CB"/>
    <w:rsid w:val="201E47A4"/>
    <w:rsid w:val="20CE1EA5"/>
    <w:rsid w:val="214921EE"/>
    <w:rsid w:val="21E41632"/>
    <w:rsid w:val="24475D50"/>
    <w:rsid w:val="27545B78"/>
    <w:rsid w:val="293B074F"/>
    <w:rsid w:val="2AE06AD6"/>
    <w:rsid w:val="2B28426D"/>
    <w:rsid w:val="2B935000"/>
    <w:rsid w:val="2C8757A3"/>
    <w:rsid w:val="2E4D1C74"/>
    <w:rsid w:val="30540FC8"/>
    <w:rsid w:val="31A71A6F"/>
    <w:rsid w:val="31D741F7"/>
    <w:rsid w:val="33450BB5"/>
    <w:rsid w:val="337C5049"/>
    <w:rsid w:val="33B923A6"/>
    <w:rsid w:val="33CE240A"/>
    <w:rsid w:val="355C6E4B"/>
    <w:rsid w:val="35C5588E"/>
    <w:rsid w:val="366F7AF0"/>
    <w:rsid w:val="375D33F7"/>
    <w:rsid w:val="377A47AA"/>
    <w:rsid w:val="397F2120"/>
    <w:rsid w:val="3A5B3460"/>
    <w:rsid w:val="3A98425C"/>
    <w:rsid w:val="3AAB7E33"/>
    <w:rsid w:val="3E8E1694"/>
    <w:rsid w:val="412F767A"/>
    <w:rsid w:val="42E10197"/>
    <w:rsid w:val="44C455D1"/>
    <w:rsid w:val="45535E3E"/>
    <w:rsid w:val="45FD5993"/>
    <w:rsid w:val="46793BA9"/>
    <w:rsid w:val="46FA00FE"/>
    <w:rsid w:val="47514E93"/>
    <w:rsid w:val="480C66E6"/>
    <w:rsid w:val="486F4FED"/>
    <w:rsid w:val="48AA54D8"/>
    <w:rsid w:val="49307B69"/>
    <w:rsid w:val="4AEF0D8B"/>
    <w:rsid w:val="4B2B1421"/>
    <w:rsid w:val="4EFD2A61"/>
    <w:rsid w:val="4F4A51D1"/>
    <w:rsid w:val="4F92407D"/>
    <w:rsid w:val="53011D1C"/>
    <w:rsid w:val="556E27EA"/>
    <w:rsid w:val="56BB667D"/>
    <w:rsid w:val="59396826"/>
    <w:rsid w:val="59D8618B"/>
    <w:rsid w:val="5E79231B"/>
    <w:rsid w:val="5FCF3B9C"/>
    <w:rsid w:val="61224B05"/>
    <w:rsid w:val="615F1B46"/>
    <w:rsid w:val="61F67DC6"/>
    <w:rsid w:val="64023F66"/>
    <w:rsid w:val="65D04C85"/>
    <w:rsid w:val="66EB35AA"/>
    <w:rsid w:val="685D7C07"/>
    <w:rsid w:val="69A61966"/>
    <w:rsid w:val="6B26541A"/>
    <w:rsid w:val="70066308"/>
    <w:rsid w:val="70E46358"/>
    <w:rsid w:val="756C0455"/>
    <w:rsid w:val="769D7501"/>
    <w:rsid w:val="77D60731"/>
    <w:rsid w:val="77DC58EB"/>
    <w:rsid w:val="78153B74"/>
    <w:rsid w:val="7A485BC3"/>
    <w:rsid w:val="7AD47F51"/>
    <w:rsid w:val="7B811751"/>
    <w:rsid w:val="7E7F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5359</Words>
  <Characters>5702</Characters>
  <Lines>0</Lines>
  <Paragraphs>0</Paragraphs>
  <TotalTime>6</TotalTime>
  <ScaleCrop>false</ScaleCrop>
  <LinksUpToDate>false</LinksUpToDate>
  <CharactersWithSpaces>5970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2022-07-04T05:59:17Z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1701A13BFB0C40C69B6AE4F3D333A4DF</vt:lpwstr>
  </property>
</Properties>
</file>