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sz w:val="48"/>
          <w:szCs w:val="48"/>
        </w:rPr>
      </w:pPr>
      <w:r>
        <w:rPr>
          <w:rFonts w:hint="eastAsia" w:ascii="华文新魏" w:eastAsia="华文新魏"/>
          <w:sz w:val="48"/>
          <w:szCs w:val="48"/>
        </w:rPr>
        <w:t>慈溪市弘一房地产</w:t>
      </w:r>
      <w:r>
        <w:rPr>
          <w:rFonts w:hint="eastAsia" w:ascii="华文新魏" w:eastAsia="华文新魏"/>
          <w:sz w:val="48"/>
          <w:szCs w:val="48"/>
          <w:lang w:eastAsia="zh-CN"/>
        </w:rPr>
        <w:t>资产</w:t>
      </w:r>
      <w:r>
        <w:rPr>
          <w:rFonts w:hint="eastAsia" w:ascii="华文新魏" w:eastAsia="华文新魏"/>
          <w:sz w:val="48"/>
          <w:szCs w:val="48"/>
        </w:rPr>
        <w:t>评估有限公司</w:t>
      </w:r>
    </w:p>
    <w:p>
      <w:pPr>
        <w:spacing w:line="360" w:lineRule="auto"/>
        <w:jc w:val="center"/>
        <w:rPr>
          <w:sz w:val="24"/>
        </w:rPr>
      </w:pPr>
      <w:r>
        <w:rPr>
          <w:sz w:val="24"/>
        </w:rPr>
        <w:t>CIXI  HONGYI  REAL ESTATE EVALUATION CO.,LTD</w:t>
      </w:r>
    </w:p>
    <w:p>
      <w:pPr>
        <w:spacing w:line="360" w:lineRule="auto"/>
        <w:rPr>
          <w:szCs w:val="21"/>
        </w:rPr>
      </w:pPr>
      <w:r>
        <w:rPr>
          <w:rFonts w:hint="eastAsia"/>
          <w:sz w:val="28"/>
          <w:szCs w:val="28"/>
        </w:rPr>
        <w:t>　</w:t>
      </w:r>
      <w:r>
        <w:rPr>
          <w:rFonts w:hint="eastAsia"/>
          <w:szCs w:val="21"/>
        </w:rPr>
        <w:t>　地址：慈溪市三北大街700号3楼　           邮政编码(PC)：315300</w:t>
      </w:r>
    </w:p>
    <w:p>
      <w:pPr>
        <w:spacing w:line="360" w:lineRule="auto"/>
        <w:rPr>
          <w:rFonts w:hint="default" w:eastAsia="宋体"/>
          <w:szCs w:val="21"/>
          <w:u w:val="single"/>
          <w:lang w:val="en-US" w:eastAsia="zh-CN"/>
        </w:rPr>
      </w:pPr>
      <w:r>
        <w:rPr>
          <w:rFonts w:hint="eastAsia"/>
          <w:szCs w:val="21"/>
        </w:rPr>
        <w:t xml:space="preserve">　　 </w:t>
      </w:r>
      <w:r>
        <w:rPr>
          <w:rFonts w:hint="eastAsia"/>
          <w:szCs w:val="21"/>
          <w:u w:val="single"/>
        </w:rPr>
        <w:t>传真</w:t>
      </w:r>
      <w:r>
        <w:rPr>
          <w:szCs w:val="21"/>
          <w:u w:val="single"/>
        </w:rPr>
        <w:t>(FAX)</w:t>
      </w:r>
      <w:r>
        <w:rPr>
          <w:rFonts w:hint="eastAsia"/>
          <w:szCs w:val="21"/>
          <w:u w:val="single"/>
        </w:rPr>
        <w:t>：</w:t>
      </w:r>
      <w:r>
        <w:rPr>
          <w:szCs w:val="21"/>
          <w:u w:val="single"/>
        </w:rPr>
        <w:t>(0574) 6302</w:t>
      </w:r>
      <w:r>
        <w:rPr>
          <w:rFonts w:hint="eastAsia"/>
          <w:szCs w:val="21"/>
          <w:u w:val="single"/>
          <w:lang w:val="en-US" w:eastAsia="zh-CN"/>
        </w:rPr>
        <w:t>1760</w:t>
      </w:r>
      <w:r>
        <w:rPr>
          <w:szCs w:val="21"/>
          <w:u w:val="single"/>
        </w:rPr>
        <w:t xml:space="preserve"> </w:t>
      </w:r>
      <w:r>
        <w:rPr>
          <w:rFonts w:hint="eastAsia"/>
          <w:szCs w:val="21"/>
        </w:rPr>
        <w:t>　</w:t>
      </w:r>
      <w:r>
        <w:rPr>
          <w:szCs w:val="21"/>
        </w:rPr>
        <w:t xml:space="preserve">              </w:t>
      </w:r>
      <w:r>
        <w:rPr>
          <w:rFonts w:hint="eastAsia"/>
          <w:szCs w:val="21"/>
        </w:rPr>
        <w:t xml:space="preserve"> </w:t>
      </w:r>
      <w:r>
        <w:rPr>
          <w:rFonts w:hint="eastAsia"/>
          <w:szCs w:val="21"/>
          <w:u w:val="single"/>
        </w:rPr>
        <w:t>电话</w:t>
      </w:r>
      <w:r>
        <w:rPr>
          <w:szCs w:val="21"/>
          <w:u w:val="single"/>
        </w:rPr>
        <w:t>(TEL)</w:t>
      </w:r>
      <w:r>
        <w:rPr>
          <w:rFonts w:hint="eastAsia"/>
          <w:szCs w:val="21"/>
          <w:u w:val="single"/>
        </w:rPr>
        <w:t>：</w:t>
      </w:r>
      <w:r>
        <w:rPr>
          <w:szCs w:val="21"/>
          <w:u w:val="single"/>
        </w:rPr>
        <w:t>(0574)</w:t>
      </w:r>
      <w:r>
        <w:rPr>
          <w:rFonts w:hint="eastAsia"/>
          <w:szCs w:val="21"/>
          <w:u w:val="single"/>
        </w:rPr>
        <w:t>6302</w:t>
      </w:r>
      <w:r>
        <w:rPr>
          <w:rFonts w:hint="eastAsia"/>
          <w:szCs w:val="21"/>
          <w:u w:val="single"/>
          <w:lang w:val="en-US" w:eastAsia="zh-CN"/>
        </w:rPr>
        <w:t>7551</w:t>
      </w:r>
    </w:p>
    <w:p>
      <w:pPr>
        <w:spacing w:line="500" w:lineRule="atLeast"/>
        <w:rPr>
          <w:rFonts w:ascii="宋体" w:hAnsi="宋体"/>
          <w:sz w:val="24"/>
        </w:rPr>
      </w:pPr>
    </w:p>
    <w:p>
      <w:pPr>
        <w:spacing w:line="480" w:lineRule="auto"/>
        <w:rPr>
          <w:sz w:val="28"/>
          <w:szCs w:val="28"/>
        </w:rPr>
      </w:pPr>
    </w:p>
    <w:p>
      <w:pPr>
        <w:spacing w:line="480" w:lineRule="auto"/>
        <w:rPr>
          <w:sz w:val="28"/>
          <w:szCs w:val="28"/>
        </w:rPr>
      </w:pPr>
    </w:p>
    <w:p>
      <w:pPr>
        <w:jc w:val="center"/>
        <w:rPr>
          <w:rFonts w:ascii="黑体" w:eastAsia="黑体"/>
          <w:sz w:val="44"/>
          <w:szCs w:val="44"/>
        </w:rPr>
      </w:pPr>
      <w:r>
        <w:rPr>
          <w:rFonts w:hint="eastAsia" w:ascii="黑体" w:eastAsia="黑体"/>
          <w:sz w:val="44"/>
          <w:szCs w:val="44"/>
        </w:rPr>
        <w:t>房 地 产 估 价 报 告</w:t>
      </w:r>
    </w:p>
    <w:p>
      <w:pPr>
        <w:rPr>
          <w:sz w:val="28"/>
          <w:szCs w:val="28"/>
        </w:rPr>
      </w:pPr>
    </w:p>
    <w:p>
      <w:pPr>
        <w:spacing w:line="720" w:lineRule="auto"/>
        <w:ind w:left="1960" w:hanging="1960" w:hangingChars="700"/>
        <w:rPr>
          <w:rFonts w:ascii="黑体" w:eastAsia="黑体"/>
          <w:sz w:val="28"/>
          <w:szCs w:val="28"/>
        </w:rPr>
      </w:pPr>
      <w:r>
        <w:rPr>
          <w:rFonts w:hint="eastAsia" w:ascii="黑体" w:eastAsia="黑体"/>
          <w:sz w:val="28"/>
          <w:szCs w:val="28"/>
        </w:rPr>
        <w:t>估价报告编号：</w:t>
      </w:r>
      <w:r>
        <w:rPr>
          <w:rFonts w:hint="eastAsia"/>
          <w:sz w:val="28"/>
          <w:szCs w:val="28"/>
        </w:rPr>
        <w:t>慈弘房[20</w:t>
      </w:r>
      <w:r>
        <w:rPr>
          <w:rFonts w:hint="eastAsia"/>
          <w:sz w:val="28"/>
          <w:szCs w:val="28"/>
          <w:lang w:val="en-US" w:eastAsia="zh-CN"/>
        </w:rPr>
        <w:t>22</w:t>
      </w:r>
      <w:r>
        <w:rPr>
          <w:rFonts w:hint="eastAsia"/>
          <w:sz w:val="28"/>
          <w:szCs w:val="28"/>
        </w:rPr>
        <w:t>]司字第</w:t>
      </w:r>
      <w:r>
        <w:rPr>
          <w:rFonts w:hint="eastAsia"/>
          <w:sz w:val="28"/>
          <w:szCs w:val="28"/>
          <w:lang w:val="en-US" w:eastAsia="zh-CN"/>
        </w:rPr>
        <w:t>028</w:t>
      </w:r>
      <w:r>
        <w:rPr>
          <w:rFonts w:hint="eastAsia"/>
          <w:sz w:val="28"/>
          <w:szCs w:val="28"/>
        </w:rPr>
        <w:t>号</w:t>
      </w:r>
    </w:p>
    <w:p>
      <w:pPr>
        <w:spacing w:line="720" w:lineRule="auto"/>
        <w:ind w:left="1960" w:hanging="1960" w:hangingChars="700"/>
        <w:rPr>
          <w:sz w:val="28"/>
          <w:szCs w:val="28"/>
        </w:rPr>
      </w:pPr>
      <w:r>
        <w:rPr>
          <w:rFonts w:hint="eastAsia" w:ascii="黑体" w:eastAsia="黑体"/>
          <w:sz w:val="28"/>
          <w:szCs w:val="28"/>
        </w:rPr>
        <w:t>估价项目名称</w:t>
      </w:r>
      <w:r>
        <w:rPr>
          <w:rFonts w:hint="eastAsia" w:ascii="宋体" w:hAnsi="宋体"/>
          <w:sz w:val="28"/>
          <w:szCs w:val="28"/>
        </w:rPr>
        <w:t>：</w:t>
      </w:r>
      <w:r>
        <w:rPr>
          <w:rFonts w:hint="eastAsia"/>
          <w:sz w:val="28"/>
          <w:szCs w:val="28"/>
        </w:rPr>
        <w:t>关</w:t>
      </w:r>
      <w:r>
        <w:rPr>
          <w:rFonts w:hint="eastAsia"/>
          <w:sz w:val="28"/>
          <w:szCs w:val="28"/>
          <w:lang w:eastAsia="zh-CN"/>
        </w:rPr>
        <w:t>于</w:t>
      </w:r>
      <w:r>
        <w:rPr>
          <w:rFonts w:hint="eastAsia"/>
          <w:sz w:val="28"/>
          <w:szCs w:val="28"/>
          <w:lang w:val="en-US" w:eastAsia="zh-CN"/>
        </w:rPr>
        <w:t>*</w:t>
      </w:r>
      <w:r>
        <w:rPr>
          <w:rFonts w:hint="eastAsia"/>
          <w:sz w:val="28"/>
          <w:szCs w:val="28"/>
          <w:lang w:eastAsia="zh-CN"/>
        </w:rPr>
        <w:t>**所属的</w:t>
      </w:r>
      <w:r>
        <w:rPr>
          <w:rFonts w:hint="eastAsia"/>
          <w:sz w:val="28"/>
          <w:szCs w:val="28"/>
        </w:rPr>
        <w:t>位于</w:t>
      </w:r>
      <w:r>
        <w:rPr>
          <w:rFonts w:hint="eastAsia"/>
          <w:sz w:val="28"/>
          <w:szCs w:val="28"/>
          <w:lang w:eastAsia="zh-CN"/>
        </w:rPr>
        <w:t>宁波市奉化区金水东庭8幢301室</w:t>
      </w:r>
      <w:r>
        <w:rPr>
          <w:rFonts w:hint="eastAsia"/>
          <w:sz w:val="28"/>
          <w:szCs w:val="28"/>
        </w:rPr>
        <w:t>住宅房地产市场价值评估</w:t>
      </w:r>
    </w:p>
    <w:p>
      <w:pPr>
        <w:spacing w:line="720" w:lineRule="auto"/>
        <w:rPr>
          <w:rFonts w:hint="eastAsia" w:eastAsia="黑体"/>
          <w:sz w:val="28"/>
          <w:szCs w:val="28"/>
          <w:lang w:eastAsia="zh-CN"/>
        </w:rPr>
      </w:pPr>
      <w:r>
        <w:rPr>
          <w:rFonts w:hint="eastAsia" w:ascii="黑体" w:eastAsia="黑体"/>
          <w:sz w:val="28"/>
          <w:szCs w:val="28"/>
        </w:rPr>
        <w:t>估价委托人：</w:t>
      </w:r>
      <w:r>
        <w:rPr>
          <w:rFonts w:hint="eastAsia"/>
          <w:sz w:val="28"/>
          <w:szCs w:val="28"/>
          <w:lang w:eastAsia="zh-CN"/>
        </w:rPr>
        <w:t>宁波市奉化区人民法院</w:t>
      </w:r>
    </w:p>
    <w:p>
      <w:pPr>
        <w:spacing w:line="720" w:lineRule="auto"/>
        <w:rPr>
          <w:rFonts w:hint="eastAsia" w:eastAsia="黑体"/>
          <w:sz w:val="28"/>
          <w:szCs w:val="28"/>
          <w:lang w:val="en-US" w:eastAsia="zh-CN"/>
        </w:rPr>
      </w:pPr>
      <w:r>
        <w:rPr>
          <w:rFonts w:hint="eastAsia" w:ascii="黑体" w:eastAsia="黑体"/>
          <w:sz w:val="28"/>
          <w:szCs w:val="28"/>
        </w:rPr>
        <w:t>房地产估价机构：</w:t>
      </w:r>
      <w:r>
        <w:rPr>
          <w:rFonts w:hint="eastAsia"/>
          <w:sz w:val="28"/>
          <w:szCs w:val="28"/>
          <w:lang w:eastAsia="zh-CN"/>
        </w:rPr>
        <w:t>慈溪市弘一房地产资产评估有限公司</w:t>
      </w:r>
    </w:p>
    <w:p>
      <w:pPr>
        <w:spacing w:line="720" w:lineRule="auto"/>
        <w:rPr>
          <w:sz w:val="28"/>
          <w:szCs w:val="28"/>
        </w:rPr>
      </w:pPr>
      <w:r>
        <w:rPr>
          <w:rFonts w:hint="eastAsia" w:ascii="黑体" w:eastAsia="黑体"/>
          <w:sz w:val="28"/>
          <w:szCs w:val="28"/>
        </w:rPr>
        <w:t>注册房地产估价师：</w:t>
      </w:r>
      <w:r>
        <w:rPr>
          <w:rFonts w:hint="eastAsia" w:eastAsia="黑体"/>
          <w:sz w:val="28"/>
          <w:szCs w:val="28"/>
          <w:lang w:eastAsia="zh-CN"/>
        </w:rPr>
        <w:t>陈**</w:t>
      </w:r>
      <w:r>
        <w:rPr>
          <w:rFonts w:hint="eastAsia"/>
          <w:sz w:val="28"/>
          <w:szCs w:val="28"/>
        </w:rPr>
        <w:t>（注册号3320130037）</w:t>
      </w:r>
    </w:p>
    <w:p>
      <w:pPr>
        <w:spacing w:line="720" w:lineRule="auto"/>
        <w:rPr>
          <w:color w:val="FF0000"/>
          <w:sz w:val="28"/>
          <w:szCs w:val="28"/>
        </w:rPr>
      </w:pPr>
      <w:r>
        <w:rPr>
          <w:rFonts w:hint="eastAsia"/>
          <w:sz w:val="28"/>
          <w:szCs w:val="28"/>
        </w:rPr>
        <w:t xml:space="preserve">                  </w:t>
      </w:r>
      <w:r>
        <w:rPr>
          <w:rFonts w:hint="eastAsia"/>
          <w:sz w:val="28"/>
          <w:szCs w:val="28"/>
          <w:lang w:eastAsia="zh-CN"/>
        </w:rPr>
        <w:t>龚**</w:t>
      </w:r>
      <w:r>
        <w:rPr>
          <w:rFonts w:hint="eastAsia"/>
          <w:sz w:val="28"/>
          <w:szCs w:val="28"/>
        </w:rPr>
        <w:t>（注册号</w:t>
      </w:r>
      <w:r>
        <w:rPr>
          <w:rFonts w:hint="eastAsia"/>
          <w:sz w:val="28"/>
          <w:szCs w:val="28"/>
          <w:lang w:val="en-US" w:eastAsia="zh-CN"/>
        </w:rPr>
        <w:t>3320210071</w:t>
      </w:r>
      <w:r>
        <w:rPr>
          <w:rFonts w:hint="eastAsia"/>
          <w:sz w:val="28"/>
          <w:szCs w:val="28"/>
        </w:rPr>
        <w:t>）</w:t>
      </w:r>
    </w:p>
    <w:p>
      <w:pPr>
        <w:spacing w:line="720" w:lineRule="auto"/>
        <w:rPr>
          <w:rFonts w:hint="eastAsia" w:ascii="宋体" w:hAnsi="宋体" w:eastAsia="宋体"/>
          <w:color w:val="FF0000"/>
          <w:sz w:val="28"/>
          <w:szCs w:val="28"/>
          <w:lang w:eastAsia="zh-CN"/>
        </w:rPr>
      </w:pPr>
      <w:r>
        <w:rPr>
          <w:rFonts w:hint="eastAsia" w:ascii="黑体" w:eastAsia="黑体"/>
          <w:sz w:val="28"/>
          <w:szCs w:val="28"/>
        </w:rPr>
        <w:t>估价报告出具日期：</w:t>
      </w:r>
      <w:r>
        <w:rPr>
          <w:rFonts w:hint="eastAsia"/>
          <w:color w:val="auto"/>
          <w:sz w:val="28"/>
          <w:szCs w:val="28"/>
        </w:rPr>
        <w:t xml:space="preserve"> </w:t>
      </w:r>
      <w:r>
        <w:rPr>
          <w:rFonts w:hint="eastAsia"/>
          <w:color w:val="auto"/>
          <w:sz w:val="28"/>
          <w:szCs w:val="28"/>
          <w:lang w:eastAsia="zh-CN"/>
        </w:rPr>
        <w:t>2022年9月11日</w:t>
      </w:r>
    </w:p>
    <w:p>
      <w:pPr>
        <w:spacing w:line="500" w:lineRule="atLeast"/>
        <w:ind w:firstLine="562" w:firstLineChars="200"/>
        <w:jc w:val="center"/>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致估价委托人函</w:t>
      </w:r>
    </w:p>
    <w:p>
      <w:pPr>
        <w:adjustRightInd w:val="0"/>
        <w:snapToGrid w:val="0"/>
        <w:spacing w:line="500" w:lineRule="atLeast"/>
        <w:rPr>
          <w:rFonts w:hint="eastAsia" w:ascii="宋体" w:hAnsi="宋体"/>
          <w:b/>
          <w:sz w:val="24"/>
        </w:rPr>
      </w:pPr>
    </w:p>
    <w:p>
      <w:pPr>
        <w:adjustRightInd w:val="0"/>
        <w:snapToGrid w:val="0"/>
        <w:spacing w:line="500" w:lineRule="atLeast"/>
        <w:rPr>
          <w:rFonts w:ascii="宋体" w:hAnsi="宋体"/>
          <w:b/>
          <w:sz w:val="24"/>
        </w:rPr>
      </w:pPr>
      <w:r>
        <w:rPr>
          <w:rFonts w:hint="eastAsia" w:ascii="宋体" w:hAnsi="宋体"/>
          <w:b/>
          <w:sz w:val="24"/>
          <w:lang w:eastAsia="zh-CN"/>
        </w:rPr>
        <w:t>宁波市奉化区人民法院</w:t>
      </w:r>
      <w:r>
        <w:rPr>
          <w:rFonts w:hint="eastAsia" w:ascii="宋体" w:hAnsi="宋体"/>
          <w:b/>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受贵单位委托，我公司组织专业估价人员按规定的估价程序于</w:t>
      </w:r>
      <w:r>
        <w:rPr>
          <w:rFonts w:hint="eastAsia" w:ascii="宋体" w:hAnsi="宋体"/>
          <w:color w:val="auto"/>
          <w:sz w:val="24"/>
          <w:lang w:eastAsia="zh-CN"/>
        </w:rPr>
        <w:t>2022年9月6日</w:t>
      </w:r>
      <w:r>
        <w:rPr>
          <w:rFonts w:hint="eastAsia" w:ascii="宋体" w:hAnsi="宋体"/>
          <w:sz w:val="24"/>
        </w:rPr>
        <w:t>对估价对象进行了评估工作。特此函告如下：</w:t>
      </w:r>
    </w:p>
    <w:p>
      <w:pPr>
        <w:adjustRightInd w:val="0"/>
        <w:snapToGrid w:val="0"/>
        <w:spacing w:line="500" w:lineRule="atLeast"/>
        <w:ind w:firstLine="480" w:firstLineChars="200"/>
        <w:rPr>
          <w:rFonts w:ascii="宋体" w:hAnsi="宋体"/>
          <w:sz w:val="24"/>
        </w:rPr>
      </w:pPr>
      <w:r>
        <w:rPr>
          <w:rFonts w:hint="eastAsia" w:ascii="宋体" w:hAnsi="宋体"/>
          <w:sz w:val="24"/>
        </w:rPr>
        <w:t>一、估价目的：为法院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adjustRightInd w:val="0"/>
        <w:snapToGrid w:val="0"/>
        <w:spacing w:line="500" w:lineRule="atLeast"/>
        <w:ind w:firstLine="480" w:firstLineChars="200"/>
        <w:rPr>
          <w:rFonts w:ascii="宋体" w:hAnsi="宋体"/>
          <w:sz w:val="24"/>
          <w:szCs w:val="28"/>
        </w:rPr>
      </w:pPr>
      <w:r>
        <w:rPr>
          <w:rFonts w:hint="eastAsia" w:ascii="宋体" w:hAnsi="宋体"/>
          <w:sz w:val="24"/>
        </w:rPr>
        <w:t>二、估价对象：</w:t>
      </w:r>
      <w:r>
        <w:rPr>
          <w:rFonts w:hint="eastAsia" w:ascii="宋体" w:hAnsi="宋体"/>
          <w:sz w:val="24"/>
          <w:lang w:eastAsia="zh-CN"/>
        </w:rPr>
        <w:t>宁波市奉化区金水东庭8幢301室</w:t>
      </w:r>
      <w:r>
        <w:rPr>
          <w:rFonts w:hint="eastAsia" w:ascii="宋体" w:hAnsi="宋体"/>
          <w:sz w:val="24"/>
        </w:rPr>
        <w:t>住宅房地产</w:t>
      </w:r>
      <w:r>
        <w:rPr>
          <w:rFonts w:hint="eastAsia" w:ascii="宋体" w:hAnsi="宋体"/>
          <w:sz w:val="24"/>
          <w:lang w:eastAsia="zh-CN"/>
        </w:rPr>
        <w:t>（含室内固定装修）</w:t>
      </w:r>
      <w:r>
        <w:rPr>
          <w:rFonts w:hint="eastAsia" w:ascii="宋体" w:hAnsi="宋体"/>
          <w:sz w:val="24"/>
        </w:rPr>
        <w:t>，根据估价委托人提供</w:t>
      </w:r>
      <w:r>
        <w:rPr>
          <w:rFonts w:hint="eastAsia" w:ascii="宋体" w:hAnsi="宋体"/>
          <w:sz w:val="24"/>
          <w:lang w:eastAsia="zh-CN"/>
        </w:rPr>
        <w:t>的</w:t>
      </w:r>
      <w:r>
        <w:rPr>
          <w:rFonts w:hint="eastAsia" w:ascii="宋体" w:hAnsi="宋体"/>
          <w:sz w:val="24"/>
        </w:rPr>
        <w:t>《</w:t>
      </w:r>
      <w:r>
        <w:rPr>
          <w:rFonts w:hint="eastAsia" w:ascii="宋体" w:hAnsi="宋体"/>
          <w:sz w:val="24"/>
          <w:lang w:eastAsia="zh-CN"/>
        </w:rPr>
        <w:t>不动产权证书</w:t>
      </w:r>
      <w:r>
        <w:rPr>
          <w:rFonts w:hint="eastAsia" w:ascii="宋体" w:hAnsi="宋体"/>
          <w:sz w:val="24"/>
        </w:rPr>
        <w:t>》（复印件）记载，</w:t>
      </w:r>
      <w:r>
        <w:rPr>
          <w:rFonts w:hint="eastAsia" w:ascii="宋体" w:hAnsi="宋体"/>
          <w:sz w:val="24"/>
          <w:lang w:eastAsia="zh-CN"/>
        </w:rPr>
        <w:t>不动产权利人</w:t>
      </w:r>
      <w:r>
        <w:rPr>
          <w:rFonts w:hint="eastAsia" w:ascii="宋体" w:hAnsi="宋体"/>
          <w:sz w:val="24"/>
        </w:rPr>
        <w:t>为</w:t>
      </w:r>
      <w:r>
        <w:rPr>
          <w:rFonts w:hint="eastAsia" w:ascii="宋体" w:hAnsi="宋体"/>
          <w:sz w:val="24"/>
          <w:lang w:eastAsia="zh-CN"/>
        </w:rPr>
        <w:t>毛**</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116.10</w:t>
      </w:r>
      <w:r>
        <w:rPr>
          <w:rFonts w:hint="eastAsia" w:ascii="宋体" w:hAnsi="宋体"/>
          <w:sz w:val="24"/>
          <w:szCs w:val="28"/>
        </w:rPr>
        <w:t>㎡，</w:t>
      </w:r>
      <w:r>
        <w:rPr>
          <w:rFonts w:hint="eastAsia" w:ascii="宋体" w:hAnsi="宋体"/>
          <w:sz w:val="24"/>
          <w:szCs w:val="28"/>
          <w:lang w:eastAsia="zh-CN"/>
        </w:rPr>
        <w:t>附属用房面积为</w:t>
      </w:r>
      <w:r>
        <w:rPr>
          <w:rFonts w:hint="eastAsia" w:ascii="宋体" w:hAnsi="宋体"/>
          <w:sz w:val="24"/>
          <w:szCs w:val="28"/>
          <w:lang w:val="en-US" w:eastAsia="zh-CN"/>
        </w:rPr>
        <w:t>11.54㎡，</w:t>
      </w:r>
      <w:r>
        <w:rPr>
          <w:rFonts w:hint="eastAsia" w:ascii="宋体" w:hAnsi="宋体"/>
          <w:sz w:val="24"/>
          <w:szCs w:val="28"/>
        </w:rPr>
        <w:t>土地使用权面积为</w:t>
      </w:r>
      <w:r>
        <w:rPr>
          <w:rFonts w:hint="eastAsia" w:ascii="宋体" w:hAnsi="宋体"/>
          <w:sz w:val="24"/>
          <w:szCs w:val="28"/>
          <w:lang w:val="en-US" w:eastAsia="zh-CN"/>
        </w:rPr>
        <w:t>19.59</w:t>
      </w:r>
      <w:r>
        <w:rPr>
          <w:rFonts w:hint="eastAsia" w:ascii="宋体" w:hAnsi="宋体"/>
          <w:sz w:val="24"/>
          <w:szCs w:val="28"/>
        </w:rPr>
        <w:t>㎡</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三、价值类型：本次估价采用公开市场价值标准。</w:t>
      </w:r>
    </w:p>
    <w:p>
      <w:pPr>
        <w:adjustRightInd w:val="0"/>
        <w:snapToGrid w:val="0"/>
        <w:spacing w:line="500" w:lineRule="atLeast"/>
        <w:ind w:firstLine="480" w:firstLineChars="200"/>
        <w:rPr>
          <w:rFonts w:ascii="宋体" w:hAnsi="宋体"/>
          <w:sz w:val="24"/>
        </w:rPr>
      </w:pPr>
      <w:r>
        <w:rPr>
          <w:rFonts w:hint="eastAsia" w:ascii="宋体" w:hAnsi="宋体"/>
          <w:sz w:val="24"/>
        </w:rPr>
        <w:t>四、价值时点：</w:t>
      </w:r>
      <w:r>
        <w:rPr>
          <w:rFonts w:hint="eastAsia" w:ascii="宋体" w:hAnsi="宋体"/>
          <w:sz w:val="24"/>
          <w:lang w:eastAsia="zh-CN"/>
        </w:rPr>
        <w:t>2022年9月6日</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五、估价方法：比较法。</w:t>
      </w:r>
    </w:p>
    <w:p>
      <w:pPr>
        <w:adjustRightInd w:val="0"/>
        <w:snapToGrid w:val="0"/>
        <w:spacing w:line="500" w:lineRule="atLeast"/>
        <w:ind w:firstLine="480" w:firstLineChars="200"/>
        <w:rPr>
          <w:rFonts w:ascii="宋体" w:hAnsi="宋体"/>
          <w:sz w:val="24"/>
        </w:rPr>
      </w:pPr>
      <w:r>
        <w:rPr>
          <w:rFonts w:hint="eastAsia" w:ascii="宋体" w:hAnsi="宋体"/>
          <w:sz w:val="24"/>
        </w:rPr>
        <w:t>六、估价结果：</w:t>
      </w:r>
    </w:p>
    <w:p>
      <w:pPr>
        <w:adjustRightInd w:val="0"/>
        <w:snapToGrid w:val="0"/>
        <w:spacing w:line="500" w:lineRule="atLeast"/>
        <w:ind w:firstLine="480" w:firstLineChars="200"/>
        <w:rPr>
          <w:rFonts w:ascii="宋体" w:hAnsi="宋体"/>
          <w:color w:val="FF0000"/>
          <w:sz w:val="24"/>
        </w:rPr>
      </w:pPr>
      <w:r>
        <w:rPr>
          <w:rFonts w:hint="eastAsia" w:ascii="新宋体" w:hAnsi="新宋体" w:eastAsia="新宋体"/>
          <w:color w:val="auto"/>
          <w:sz w:val="24"/>
        </w:rPr>
        <w:t>估价对象公开市场价值为</w:t>
      </w:r>
      <w:r>
        <w:rPr>
          <w:rFonts w:hint="eastAsia" w:ascii="宋体" w:hAnsi="宋体"/>
          <w:color w:val="auto"/>
          <w:sz w:val="24"/>
        </w:rPr>
        <w:t>（RMB）</w:t>
      </w:r>
      <w:r>
        <w:rPr>
          <w:rFonts w:hint="eastAsia" w:ascii="宋体" w:hAnsi="宋体"/>
          <w:color w:val="auto"/>
          <w:sz w:val="24"/>
          <w:lang w:val="en-US" w:eastAsia="zh-CN"/>
        </w:rPr>
        <w:t>195.05</w:t>
      </w:r>
      <w:r>
        <w:rPr>
          <w:rFonts w:hint="eastAsia" w:ascii="宋体" w:hAnsi="宋体"/>
          <w:color w:val="auto"/>
          <w:sz w:val="24"/>
        </w:rPr>
        <w:t>万元，大写人民币为</w:t>
      </w:r>
      <w:r>
        <w:rPr>
          <w:rFonts w:hint="eastAsia" w:ascii="宋体" w:hAnsi="宋体"/>
          <w:color w:val="auto"/>
          <w:sz w:val="24"/>
          <w:lang w:eastAsia="zh-CN"/>
        </w:rPr>
        <w:t>壹佰玖拾伍万零伍佰</w:t>
      </w:r>
      <w:r>
        <w:rPr>
          <w:rFonts w:hint="eastAsia" w:ascii="宋体" w:hAnsi="宋体"/>
          <w:color w:val="auto"/>
          <w:sz w:val="24"/>
        </w:rPr>
        <w:t>元整。</w:t>
      </w:r>
    </w:p>
    <w:p>
      <w:pPr>
        <w:spacing w:line="500" w:lineRule="atLeast"/>
        <w:ind w:firstLine="480" w:firstLineChars="200"/>
        <w:rPr>
          <w:rFonts w:ascii="宋体" w:hAnsi="宋体"/>
          <w:sz w:val="24"/>
        </w:rPr>
      </w:pPr>
      <w:r>
        <w:rPr>
          <w:rFonts w:hint="eastAsia" w:ascii="宋体" w:hAnsi="宋体"/>
          <w:sz w:val="24"/>
        </w:rPr>
        <w:t>七、特别提示：</w:t>
      </w:r>
    </w:p>
    <w:p>
      <w:pPr>
        <w:spacing w:line="500" w:lineRule="atLeast"/>
        <w:ind w:firstLine="480" w:firstLineChars="200"/>
        <w:rPr>
          <w:rFonts w:ascii="宋体" w:hAnsi="宋体"/>
          <w:sz w:val="24"/>
        </w:rPr>
      </w:pPr>
      <w:r>
        <w:rPr>
          <w:rFonts w:hint="eastAsia" w:ascii="宋体" w:hAnsi="宋体"/>
          <w:sz w:val="24"/>
        </w:rPr>
        <w:t>1、本估价结果受到估价报告中已说明的估价假设和限制条件的限制。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2、本估价报告的使用期限为</w:t>
      </w:r>
      <w:r>
        <w:rPr>
          <w:rFonts w:hint="eastAsia" w:ascii="宋体" w:hAnsi="宋体"/>
          <w:color w:val="auto"/>
          <w:sz w:val="24"/>
        </w:rPr>
        <w:t>自</w:t>
      </w:r>
      <w:r>
        <w:rPr>
          <w:rFonts w:hint="eastAsia" w:ascii="宋体" w:hAnsi="宋体"/>
          <w:color w:val="auto"/>
          <w:sz w:val="24"/>
          <w:lang w:eastAsia="zh-CN"/>
        </w:rPr>
        <w:t>2022年9月11日</w:t>
      </w:r>
      <w:r>
        <w:rPr>
          <w:rFonts w:hint="eastAsia" w:ascii="宋体" w:hAnsi="宋体"/>
          <w:sz w:val="24"/>
        </w:rPr>
        <w:t>起一年。</w:t>
      </w:r>
    </w:p>
    <w:p>
      <w:pPr>
        <w:spacing w:line="500" w:lineRule="atLeast"/>
        <w:ind w:firstLine="480" w:firstLineChars="200"/>
        <w:rPr>
          <w:rFonts w:ascii="宋体" w:hAnsi="宋体"/>
          <w:sz w:val="24"/>
        </w:rPr>
      </w:pPr>
      <w:r>
        <w:rPr>
          <w:rFonts w:hint="eastAsia" w:ascii="宋体" w:hAnsi="宋体"/>
          <w:color w:val="auto"/>
          <w:sz w:val="24"/>
        </w:rPr>
        <w:t>3、本次估价对象至20</w:t>
      </w:r>
      <w:r>
        <w:rPr>
          <w:rFonts w:hint="eastAsia" w:ascii="宋体" w:hAnsi="宋体"/>
          <w:color w:val="auto"/>
          <w:sz w:val="24"/>
          <w:lang w:val="en-US" w:eastAsia="zh-CN"/>
        </w:rPr>
        <w:t>22</w:t>
      </w:r>
      <w:r>
        <w:rPr>
          <w:rFonts w:hint="eastAsia" w:ascii="宋体" w:hAnsi="宋体"/>
          <w:color w:val="auto"/>
          <w:sz w:val="24"/>
        </w:rPr>
        <w:t>年</w:t>
      </w:r>
      <w:r>
        <w:rPr>
          <w:rFonts w:hint="eastAsia" w:ascii="宋体" w:hAnsi="宋体"/>
          <w:color w:val="auto"/>
          <w:sz w:val="24"/>
          <w:lang w:val="en-US" w:eastAsia="zh-CN"/>
        </w:rPr>
        <w:t>9</w:t>
      </w:r>
      <w:r>
        <w:rPr>
          <w:rFonts w:hint="eastAsia" w:ascii="宋体" w:hAnsi="宋体"/>
          <w:color w:val="auto"/>
          <w:sz w:val="24"/>
        </w:rPr>
        <w:t>月所欠物业费等相关费用约（RMB）</w:t>
      </w:r>
      <w:r>
        <w:rPr>
          <w:rFonts w:hint="eastAsia" w:ascii="宋体" w:hAnsi="宋体"/>
          <w:color w:val="auto"/>
          <w:sz w:val="24"/>
          <w:lang w:val="en-US" w:eastAsia="zh-CN"/>
        </w:rPr>
        <w:t>1600</w:t>
      </w:r>
      <w:r>
        <w:rPr>
          <w:rFonts w:hint="eastAsia" w:ascii="宋体" w:hAnsi="宋体"/>
          <w:color w:val="auto"/>
          <w:sz w:val="24"/>
        </w:rPr>
        <w:t>元，该数据仅供法院参考，最终数额需与小区物业管理处确定，提请报告使用人注意</w:t>
      </w:r>
      <w:r>
        <w:rPr>
          <w:rFonts w:hint="eastAsia" w:ascii="宋体" w:hAnsi="宋体"/>
          <w:color w:val="auto"/>
          <w:sz w:val="24"/>
          <w:lang w:eastAsia="zh-CN"/>
        </w:rPr>
        <w:t>。</w:t>
      </w:r>
    </w:p>
    <w:p>
      <w:pPr>
        <w:spacing w:line="500" w:lineRule="atLeast"/>
        <w:rPr>
          <w:rFonts w:ascii="宋体" w:hAnsi="宋体"/>
          <w:sz w:val="24"/>
        </w:rPr>
      </w:pPr>
    </w:p>
    <w:p>
      <w:pPr>
        <w:spacing w:line="500" w:lineRule="atLeast"/>
        <w:ind w:firstLine="4320" w:firstLineChars="1800"/>
        <w:rPr>
          <w:rFonts w:hint="eastAsia" w:ascii="宋体" w:hAnsi="宋体" w:eastAsia="宋体"/>
          <w:sz w:val="24"/>
          <w:lang w:eastAsia="zh-CN"/>
        </w:rPr>
      </w:pPr>
      <w:r>
        <w:rPr>
          <w:rFonts w:hint="eastAsia" w:ascii="宋体" w:hAnsi="宋体"/>
          <w:sz w:val="24"/>
          <w:lang w:eastAsia="zh-CN"/>
        </w:rPr>
        <w:t>慈溪市弘一房地产资产评估有限公司</w:t>
      </w:r>
    </w:p>
    <w:p>
      <w:pPr>
        <w:spacing w:line="500" w:lineRule="atLeast"/>
        <w:ind w:firstLine="480" w:firstLineChars="200"/>
        <w:rPr>
          <w:rFonts w:ascii="宋体" w:hAnsi="宋体"/>
          <w:sz w:val="24"/>
        </w:rPr>
      </w:pPr>
      <w:r>
        <w:rPr>
          <w:rFonts w:hint="eastAsia" w:ascii="宋体" w:hAnsi="宋体"/>
          <w:sz w:val="24"/>
        </w:rPr>
        <w:t xml:space="preserve">                                       法定代表人：</w:t>
      </w:r>
      <w:r>
        <w:rPr>
          <w:rFonts w:hint="eastAsia" w:ascii="宋体" w:hAnsi="宋体"/>
          <w:sz w:val="24"/>
          <w:lang w:eastAsia="zh-CN"/>
        </w:rPr>
        <w:t>方**</w:t>
      </w:r>
      <w:r>
        <w:rPr>
          <w:rFonts w:hint="eastAsia" w:ascii="宋体" w:hAnsi="宋体"/>
          <w:sz w:val="24"/>
        </w:rPr>
        <w:t xml:space="preserve">  　　　     　　</w:t>
      </w:r>
    </w:p>
    <w:p>
      <w:pPr>
        <w:spacing w:line="500" w:lineRule="atLeast"/>
        <w:ind w:firstLine="480" w:firstLineChars="200"/>
        <w:rPr>
          <w:rFonts w:hint="eastAsia" w:hAnsi="宋体"/>
          <w:sz w:val="21"/>
          <w:szCs w:val="21"/>
          <w:u w:val="single"/>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color w:val="auto"/>
          <w:sz w:val="24"/>
          <w:lang w:eastAsia="zh-CN"/>
        </w:rPr>
        <w:t>2022年9月11日</w:t>
      </w:r>
    </w:p>
    <w:p>
      <w:pPr>
        <w:pStyle w:val="7"/>
        <w:adjustRightInd w:val="0"/>
        <w:snapToGrid w:val="0"/>
        <w:spacing w:line="500" w:lineRule="atLeast"/>
        <w:ind w:left="0" w:leftChars="0"/>
        <w:rPr>
          <w:rFonts w:hint="eastAsia" w:hAnsi="宋体"/>
          <w:sz w:val="21"/>
          <w:szCs w:val="21"/>
          <w:u w:val="single"/>
        </w:rPr>
      </w:pPr>
    </w:p>
    <w:p>
      <w:pPr>
        <w:pStyle w:val="7"/>
        <w:adjustRightInd w:val="0"/>
        <w:snapToGrid w:val="0"/>
        <w:spacing w:line="500" w:lineRule="atLeast"/>
        <w:ind w:left="0" w:leftChars="0"/>
        <w:rPr>
          <w:rFonts w:hAnsi="宋体"/>
          <w:sz w:val="21"/>
          <w:szCs w:val="21"/>
          <w:u w:val="single"/>
        </w:rPr>
      </w:pPr>
      <w:r>
        <w:rPr>
          <w:rFonts w:hint="eastAsia" w:hAnsi="宋体"/>
          <w:sz w:val="21"/>
          <w:szCs w:val="21"/>
          <w:u w:val="single"/>
        </w:rPr>
        <w:t>以上内容均摘自估价报告书正文，欲详细了解本次估价全面情况，请认真阅读本估价报告书全文。</w:t>
      </w:r>
    </w:p>
    <w:p>
      <w:pPr>
        <w:spacing w:line="720" w:lineRule="auto"/>
        <w:jc w:val="center"/>
        <w:rPr>
          <w:rFonts w:ascii="黑体" w:eastAsia="黑体"/>
          <w:sz w:val="36"/>
          <w:szCs w:val="36"/>
        </w:rPr>
      </w:pPr>
      <w:r>
        <w:rPr>
          <w:rFonts w:hint="eastAsia" w:ascii="黑体" w:eastAsia="黑体"/>
          <w:sz w:val="36"/>
          <w:szCs w:val="36"/>
        </w:rPr>
        <w:t>目　       　录</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第一部分：估价师声明………………………………………………………………01</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第二部分：估价假设和限制条件……………………………………………………02</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第三部分：估价结果报告……………………………………………………………04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一、估价委托人…………………………………………………………………04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二、估价机构……………………………………………………………………04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三、估价目的……………………………………………………………………04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四、估价对象……………………………………………………………………04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eastAsia="宋体"/>
          <w:sz w:val="24"/>
          <w:lang w:eastAsia="zh-CN"/>
        </w:rPr>
      </w:pPr>
      <w:r>
        <w:rPr>
          <w:rFonts w:hint="eastAsia" w:ascii="宋体" w:hAnsi="宋体"/>
          <w:sz w:val="24"/>
        </w:rPr>
        <w:t>五、价值时点……………………………………………………………………0</w:t>
      </w:r>
      <w:r>
        <w:rPr>
          <w:rFonts w:hint="eastAsia" w:ascii="宋体" w:hAnsi="宋体"/>
          <w:sz w:val="24"/>
          <w:lang w:val="en-US" w:eastAsia="zh-CN"/>
        </w:rPr>
        <w:t>5</w:t>
      </w:r>
    </w:p>
    <w:p>
      <w:pPr>
        <w:keepNext w:val="0"/>
        <w:keepLines w:val="0"/>
        <w:pageBreakBefore w:val="0"/>
        <w:widowControl w:val="0"/>
        <w:tabs>
          <w:tab w:val="right" w:pos="8503"/>
        </w:tabs>
        <w:kinsoku/>
        <w:wordWrap/>
        <w:overflowPunct/>
        <w:topLinePunct w:val="0"/>
        <w:autoSpaceDE/>
        <w:autoSpaceDN/>
        <w:bidi w:val="0"/>
        <w:adjustRightInd/>
        <w:snapToGrid/>
        <w:spacing w:line="500" w:lineRule="atLeast"/>
        <w:ind w:firstLine="480" w:firstLineChars="200"/>
        <w:textAlignment w:val="auto"/>
        <w:rPr>
          <w:rFonts w:hint="eastAsia" w:ascii="宋体" w:hAnsi="宋体" w:eastAsia="宋体"/>
          <w:sz w:val="24"/>
          <w:lang w:eastAsia="zh-CN"/>
        </w:rPr>
      </w:pPr>
      <w:r>
        <w:rPr>
          <w:rFonts w:hint="eastAsia" w:ascii="宋体" w:hAnsi="宋体"/>
          <w:sz w:val="24"/>
        </w:rPr>
        <w:t>六、价值类型……………………………………………………………………0</w:t>
      </w:r>
      <w:r>
        <w:rPr>
          <w:rFonts w:hint="eastAsia" w:ascii="宋体" w:hAnsi="宋体"/>
          <w:sz w:val="24"/>
          <w:lang w:val="en-US" w:eastAsia="zh-CN"/>
        </w:rPr>
        <w:t>5</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七、估价原则……………………………………………………………………</w:t>
      </w:r>
      <w:r>
        <w:rPr>
          <w:rFonts w:hint="eastAsia" w:ascii="宋体" w:hAnsi="宋体"/>
          <w:sz w:val="24"/>
          <w:lang w:val="en-US" w:eastAsia="zh-CN"/>
        </w:rPr>
        <w:t>06</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八、估价依据……………………………………………………………………06</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九、估价方法……………………………………………………………………</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十、估价结果……………………………………………………………………07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十一、注册房地产估价师………………………………………………………07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十二、实地查勘期………………………………………………………………</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十三、估价作业期………………………………………………………………</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sz w:val="24"/>
          <w:lang w:val="en-US" w:eastAsia="zh-CN"/>
        </w:rPr>
      </w:pPr>
      <w:r>
        <w:rPr>
          <w:rFonts w:hint="eastAsia"/>
          <w:sz w:val="24"/>
        </w:rPr>
        <w:t>第四部分：</w:t>
      </w:r>
      <w:r>
        <w:rPr>
          <w:rFonts w:hint="eastAsia" w:ascii="宋体" w:hAnsi="宋体"/>
          <w:sz w:val="24"/>
        </w:rPr>
        <w:t>附件………………………………………………………………………0</w:t>
      </w:r>
      <w:r>
        <w:rPr>
          <w:rFonts w:hint="eastAsia" w:ascii="宋体" w:hAnsi="宋体"/>
          <w:sz w:val="24"/>
          <w:lang w:val="en-US" w:eastAsia="zh-CN"/>
        </w:rPr>
        <w:t>8</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sectPr>
          <w:headerReference r:id="rId3" w:type="default"/>
          <w:pgSz w:w="11906" w:h="16838"/>
          <w:pgMar w:top="1418" w:right="1418" w:bottom="1418"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一、《</w:t>
      </w:r>
      <w:r>
        <w:rPr>
          <w:rFonts w:hint="eastAsia" w:ascii="宋体" w:hAnsi="宋体"/>
          <w:sz w:val="24"/>
          <w:lang w:eastAsia="zh-CN"/>
        </w:rPr>
        <w:t>司法评估诉讼书</w:t>
      </w:r>
      <w:r>
        <w:rPr>
          <w:rFonts w:hint="eastAsia" w:ascii="宋体" w:hAnsi="宋体"/>
          <w:sz w:val="24"/>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lang w:eastAsia="zh-CN"/>
        </w:rPr>
      </w:pPr>
      <w:r>
        <w:rPr>
          <w:rFonts w:hint="eastAsia" w:ascii="宋体" w:hAnsi="宋体"/>
          <w:sz w:val="24"/>
          <w:lang w:eastAsia="zh-CN"/>
        </w:rPr>
        <w:t>二</w:t>
      </w:r>
      <w:r>
        <w:rPr>
          <w:rFonts w:hint="eastAsia" w:ascii="宋体" w:hAnsi="宋体"/>
          <w:sz w:val="24"/>
        </w:rPr>
        <w:t>、</w:t>
      </w:r>
      <w:r>
        <w:rPr>
          <w:rFonts w:hint="eastAsia" w:ascii="宋体" w:hAnsi="宋体"/>
          <w:sz w:val="24"/>
          <w:lang w:eastAsia="zh-CN"/>
        </w:rPr>
        <w:t>《不动产权证书》复印件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color w:val="auto"/>
          <w:sz w:val="24"/>
          <w:lang w:eastAsia="zh-CN"/>
        </w:rPr>
        <w:t>三、</w:t>
      </w:r>
      <w:r>
        <w:rPr>
          <w:rFonts w:hint="eastAsia" w:ascii="宋体" w:hAnsi="宋体"/>
          <w:sz w:val="24"/>
        </w:rPr>
        <w:t>估价对象位置图</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四</w:t>
      </w:r>
      <w:r>
        <w:rPr>
          <w:rFonts w:hint="eastAsia" w:ascii="宋体" w:hAnsi="宋体"/>
          <w:sz w:val="24"/>
        </w:rPr>
        <w:t>、估价对象实地查勘照片</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五</w:t>
      </w:r>
      <w:r>
        <w:rPr>
          <w:rFonts w:hint="eastAsia" w:ascii="宋体" w:hAnsi="宋体"/>
          <w:sz w:val="24"/>
        </w:rPr>
        <w:t>、企业法人营业执照复印件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lang w:eastAsia="zh-CN"/>
        </w:rPr>
        <w:t>六</w:t>
      </w:r>
      <w:r>
        <w:rPr>
          <w:rFonts w:hint="eastAsia" w:ascii="宋体" w:hAnsi="宋体"/>
          <w:sz w:val="24"/>
        </w:rPr>
        <w:t>、房地产估价机构备案证书复印件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七</w:t>
      </w:r>
      <w:r>
        <w:rPr>
          <w:rFonts w:hint="eastAsia" w:ascii="宋体" w:hAnsi="宋体"/>
          <w:sz w:val="24"/>
        </w:rPr>
        <w:t>、房地产估价师注册证书复印件</w:t>
      </w: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第一部分   估价师声明</w:t>
      </w:r>
    </w:p>
    <w:p>
      <w:pPr>
        <w:spacing w:line="500" w:lineRule="atLeast"/>
        <w:rPr>
          <w:rFonts w:ascii="宋体" w:hAnsi="宋体"/>
          <w:sz w:val="24"/>
        </w:r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rPr>
          <w:rFonts w:ascii="宋体" w:hAnsi="宋体"/>
          <w:sz w:val="24"/>
        </w:rPr>
      </w:pPr>
      <w:r>
        <w:rPr>
          <w:rFonts w:hint="eastAsia" w:ascii="宋体" w:hAnsi="宋体"/>
          <w:sz w:val="24"/>
        </w:rPr>
        <w:t>我们郑重声明：</w:t>
      </w:r>
    </w:p>
    <w:p>
      <w:pPr>
        <w:spacing w:line="500" w:lineRule="atLeas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500" w:lineRule="atLeast"/>
        <w:ind w:firstLine="480" w:firstLineChars="200"/>
        <w:rPr>
          <w:rFonts w:ascii="宋体" w:hAnsi="宋体"/>
          <w:sz w:val="24"/>
        </w:rPr>
      </w:pPr>
      <w:r>
        <w:rPr>
          <w:rFonts w:hint="eastAsia" w:ascii="宋体" w:hAnsi="宋体"/>
          <w:sz w:val="24"/>
        </w:rPr>
        <w:t>二、本估价报告中的分析、意见和结论是我们自己独立、客观、公正的专业分析、意见和结论，但受到本估价报告中已说明的估价假设和限制条件的限制。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三、我们与本估价报告中的估价对象没有现实或潜在的利益，与估价委托人及估价利害关系人没有利害关系，也对估价对象、估价委托人及估价利害关系人没有偏见。</w:t>
      </w:r>
    </w:p>
    <w:p>
      <w:pPr>
        <w:spacing w:line="500" w:lineRule="atLeast"/>
        <w:ind w:firstLine="480" w:firstLineChars="200"/>
        <w:rPr>
          <w:rFonts w:ascii="宋体" w:hAnsi="宋体"/>
          <w:sz w:val="24"/>
        </w:rPr>
      </w:pPr>
      <w:r>
        <w:rPr>
          <w:rFonts w:hint="eastAsia" w:ascii="宋体" w:hAnsi="宋体"/>
          <w:sz w:val="24"/>
        </w:rPr>
        <w:t>四、我们依照中华人民共和国国家标准</w:t>
      </w:r>
      <w:r>
        <w:rPr>
          <w:rFonts w:ascii="宋体" w:hAnsi="宋体"/>
          <w:sz w:val="24"/>
        </w:rPr>
        <w:t>《</w:t>
      </w:r>
      <w:r>
        <w:rPr>
          <w:rFonts w:hint="eastAsia" w:ascii="宋体" w:hAnsi="宋体"/>
          <w:sz w:val="24"/>
        </w:rPr>
        <w:t>房地产估价规范</w:t>
      </w:r>
      <w:r>
        <w:rPr>
          <w:rFonts w:ascii="宋体" w:hAnsi="宋体"/>
          <w:sz w:val="24"/>
        </w:rPr>
        <w:t>》（GB/T50291</w:t>
      </w:r>
      <w:r>
        <w:rPr>
          <w:rFonts w:hint="eastAsia" w:ascii="宋体" w:hAnsi="宋体"/>
          <w:sz w:val="24"/>
        </w:rPr>
        <w:t>-2015）及《房地产估价基本术语标准》（GB/T50899-2013）进行分析，形成意见和结论，撰写本估价报告。</w:t>
      </w:r>
    </w:p>
    <w:p>
      <w:pPr>
        <w:adjustRightInd w:val="0"/>
        <w:snapToGrid w:val="0"/>
        <w:spacing w:line="500" w:lineRule="atLeast"/>
        <w:ind w:firstLine="480" w:firstLineChars="200"/>
        <w:rPr>
          <w:rFonts w:ascii="宋体" w:hAnsi="宋体"/>
          <w:sz w:val="24"/>
        </w:rPr>
      </w:pPr>
      <w:r>
        <w:rPr>
          <w:rFonts w:hint="eastAsia" w:ascii="宋体" w:hAnsi="宋体"/>
          <w:sz w:val="24"/>
        </w:rPr>
        <w:t>五、</w:t>
      </w:r>
      <w:r>
        <w:rPr>
          <w:rFonts w:hint="eastAsia" w:ascii="宋体" w:hAnsi="宋体"/>
          <w:color w:val="000000"/>
          <w:sz w:val="24"/>
          <w:szCs w:val="28"/>
        </w:rPr>
        <w:t>注册房地产估价师</w:t>
      </w:r>
      <w:r>
        <w:rPr>
          <w:rFonts w:hint="eastAsia" w:ascii="宋体" w:hAnsi="宋体"/>
          <w:sz w:val="24"/>
        </w:rPr>
        <w:t>已于</w:t>
      </w:r>
      <w:r>
        <w:rPr>
          <w:rFonts w:hint="eastAsia" w:ascii="宋体" w:hAnsi="宋体"/>
          <w:color w:val="auto"/>
          <w:sz w:val="24"/>
          <w:lang w:eastAsia="zh-CN"/>
        </w:rPr>
        <w:t>2022年9月6日</w:t>
      </w:r>
      <w:r>
        <w:rPr>
          <w:rFonts w:hint="eastAsia" w:ascii="宋体" w:hAnsi="宋体"/>
          <w:sz w:val="24"/>
        </w:rPr>
        <w:t>对本估价报告中的估价对象进行了实地查勘并进行记录。</w:t>
      </w:r>
    </w:p>
    <w:p>
      <w:pPr>
        <w:spacing w:line="500" w:lineRule="atLeast"/>
        <w:ind w:firstLine="480" w:firstLineChars="200"/>
        <w:rPr>
          <w:rFonts w:ascii="宋体" w:hAnsi="宋体"/>
          <w:sz w:val="24"/>
        </w:rPr>
      </w:pPr>
      <w:r>
        <w:rPr>
          <w:rFonts w:hint="eastAsia" w:ascii="宋体" w:hAnsi="宋体"/>
          <w:sz w:val="24"/>
        </w:rPr>
        <w:t>六、没有本估价机构以外的人对本估价报告提供了重要专业帮助。</w:t>
      </w:r>
    </w:p>
    <w:p>
      <w:pPr>
        <w:adjustRightInd w:val="0"/>
        <w:snapToGrid w:val="0"/>
        <w:spacing w:line="500" w:lineRule="atLeast"/>
        <w:ind w:firstLine="480" w:firstLineChars="200"/>
        <w:rPr>
          <w:rFonts w:ascii="宋体" w:hAnsi="宋体"/>
          <w:sz w:val="24"/>
        </w:rPr>
      </w:pPr>
    </w:p>
    <w:p>
      <w:pPr>
        <w:spacing w:line="500" w:lineRule="atLeast"/>
        <w:ind w:firstLine="240" w:firstLineChars="100"/>
        <w:rPr>
          <w:rFonts w:hint="eastAsia" w:ascii="宋体" w:hAnsi="宋体" w:eastAsia="宋体"/>
          <w:sz w:val="24"/>
          <w:lang w:eastAsia="zh-CN"/>
        </w:rPr>
      </w:pPr>
      <w:r>
        <w:rPr>
          <w:rFonts w:hint="eastAsia" w:ascii="宋体" w:hAnsi="宋体"/>
          <w:sz w:val="24"/>
        </w:rPr>
        <w:t>注册房地产估价师</w:t>
      </w:r>
      <w:r>
        <w:rPr>
          <w:rFonts w:hint="eastAsia" w:ascii="宋体" w:hAnsi="宋体"/>
          <w:sz w:val="24"/>
          <w:lang w:eastAsia="zh-CN"/>
        </w:rPr>
        <w:t>：陈**</w:t>
      </w:r>
    </w:p>
    <w:p>
      <w:pPr>
        <w:spacing w:line="500" w:lineRule="atLeast"/>
        <w:ind w:firstLine="2160" w:firstLineChars="900"/>
        <w:rPr>
          <w:rFonts w:hint="eastAsia" w:ascii="宋体" w:hAnsi="宋体"/>
          <w:sz w:val="24"/>
          <w:lang w:eastAsia="zh-CN"/>
        </w:rPr>
      </w:pPr>
      <w:r>
        <w:rPr>
          <w:rFonts w:hint="eastAsia" w:ascii="宋体" w:hAnsi="宋体"/>
          <w:sz w:val="24"/>
        </w:rPr>
        <w:t>（</w:t>
      </w:r>
      <w:r>
        <w:rPr>
          <w:rFonts w:hint="eastAsia" w:ascii="宋体" w:hAnsi="宋体"/>
          <w:sz w:val="24"/>
          <w:lang w:eastAsia="zh-CN"/>
        </w:rPr>
        <w:t>3320130037</w:t>
      </w:r>
      <w:r>
        <w:rPr>
          <w:rFonts w:hint="eastAsia" w:ascii="宋体" w:hAnsi="宋体"/>
          <w:sz w:val="24"/>
        </w:rPr>
        <w:t>）</w:t>
      </w:r>
    </w:p>
    <w:p>
      <w:pPr>
        <w:spacing w:line="500" w:lineRule="atLeast"/>
        <w:ind w:firstLine="2160" w:firstLineChars="900"/>
        <w:rPr>
          <w:rFonts w:hint="eastAsia" w:ascii="宋体" w:hAnsi="宋体"/>
          <w:sz w:val="24"/>
          <w:lang w:eastAsia="zh-CN"/>
        </w:rPr>
      </w:pPr>
    </w:p>
    <w:p>
      <w:pPr>
        <w:spacing w:line="500" w:lineRule="atLeast"/>
        <w:ind w:firstLine="240" w:firstLineChars="100"/>
        <w:rPr>
          <w:rFonts w:hint="eastAsia" w:ascii="宋体" w:hAnsi="宋体"/>
          <w:sz w:val="24"/>
          <w:lang w:eastAsia="zh-CN"/>
        </w:rPr>
      </w:pPr>
      <w:r>
        <w:rPr>
          <w:rFonts w:hint="eastAsia" w:ascii="宋体" w:hAnsi="宋体"/>
          <w:sz w:val="24"/>
          <w:lang w:eastAsia="zh-CN"/>
        </w:rPr>
        <w:t>注册房地产估价师：龚**</w:t>
      </w:r>
    </w:p>
    <w:p>
      <w:pPr>
        <w:spacing w:line="500" w:lineRule="atLeast"/>
        <w:ind w:firstLine="2160" w:firstLineChars="900"/>
        <w:rPr>
          <w:rFonts w:ascii="宋体" w:hAnsi="宋体"/>
          <w:sz w:val="24"/>
        </w:rPr>
      </w:pPr>
      <w:r>
        <w:rPr>
          <w:rFonts w:hint="eastAsia" w:ascii="宋体" w:hAnsi="宋体"/>
          <w:sz w:val="24"/>
          <w:lang w:eastAsia="zh-CN"/>
        </w:rPr>
        <w:t>（</w:t>
      </w:r>
      <w:r>
        <w:rPr>
          <w:rFonts w:hint="eastAsia" w:ascii="宋体" w:hAnsi="宋体"/>
          <w:sz w:val="24"/>
          <w:lang w:val="en-US" w:eastAsia="zh-CN"/>
        </w:rPr>
        <w:t>3320210071</w:t>
      </w:r>
      <w:r>
        <w:rPr>
          <w:rFonts w:hint="eastAsia" w:ascii="宋体" w:hAnsi="宋体"/>
          <w:sz w:val="24"/>
          <w:lang w:eastAsia="zh-CN"/>
        </w:rPr>
        <w:t>）</w:t>
      </w:r>
      <w:r>
        <w:rPr>
          <w:rFonts w:hint="eastAsia" w:ascii="宋体" w:hAnsi="宋体"/>
          <w:sz w:val="24"/>
        </w:rPr>
        <w:t xml:space="preserve">                      </w:t>
      </w:r>
    </w:p>
    <w:p>
      <w:pPr>
        <w:spacing w:line="500" w:lineRule="atLeast"/>
        <w:ind w:firstLine="480" w:firstLineChars="200"/>
        <w:rPr>
          <w:rFonts w:ascii="宋体" w:hAnsi="宋体"/>
          <w:sz w:val="24"/>
        </w:rPr>
        <w:sectPr>
          <w:headerReference r:id="rId10" w:type="default"/>
          <w:footerReference r:id="rId11" w:type="default"/>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jc w:val="center"/>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第二部分   估价假设和限制条件</w:t>
      </w:r>
    </w:p>
    <w:p>
      <w:pPr>
        <w:spacing w:line="500" w:lineRule="atLeast"/>
        <w:ind w:firstLine="480" w:firstLineChars="200"/>
        <w:rPr>
          <w:rFonts w:ascii="宋体" w:hAnsi="宋体"/>
          <w:sz w:val="24"/>
        </w:rPr>
      </w:pPr>
    </w:p>
    <w:p>
      <w:pPr>
        <w:adjustRightInd w:val="0"/>
        <w:snapToGrid w:val="0"/>
        <w:spacing w:line="500" w:lineRule="atLeast"/>
        <w:ind w:firstLine="480" w:firstLineChars="200"/>
        <w:rPr>
          <w:rFonts w:ascii="宋体" w:hAnsi="宋体"/>
          <w:sz w:val="24"/>
        </w:rPr>
      </w:pPr>
      <w:r>
        <w:rPr>
          <w:rFonts w:hint="eastAsia" w:ascii="宋体" w:hAnsi="宋体"/>
          <w:sz w:val="24"/>
        </w:rPr>
        <w:t>一、估价假设条件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（一）一般假设</w:t>
      </w:r>
    </w:p>
    <w:p>
      <w:pPr>
        <w:adjustRightInd w:val="0"/>
        <w:snapToGrid w:val="0"/>
        <w:spacing w:line="500" w:lineRule="atLeast"/>
        <w:ind w:left="1" w:firstLine="480" w:firstLineChars="200"/>
        <w:rPr>
          <w:rFonts w:ascii="宋体" w:hAnsi="宋体"/>
          <w:sz w:val="24"/>
        </w:rPr>
      </w:pPr>
      <w:r>
        <w:rPr>
          <w:rFonts w:hint="eastAsia" w:ascii="宋体" w:hAnsi="宋体"/>
          <w:sz w:val="24"/>
        </w:rPr>
        <w:t>1、</w:t>
      </w:r>
      <w:r>
        <w:rPr>
          <w:rFonts w:ascii="宋体" w:hAnsi="宋体"/>
          <w:sz w:val="24"/>
        </w:rPr>
        <w:t>估价委托人应当向估价机构如实提供有关情况和资料，不隐瞒或者提供虚假情况和资料。本次评估</w:t>
      </w:r>
      <w:r>
        <w:rPr>
          <w:rFonts w:hint="eastAsia" w:ascii="宋体" w:hAnsi="宋体"/>
          <w:color w:val="auto"/>
          <w:sz w:val="24"/>
        </w:rPr>
        <w:t>估价委托人提供</w:t>
      </w:r>
      <w:r>
        <w:rPr>
          <w:rFonts w:hint="eastAsia" w:ascii="宋体" w:hAnsi="宋体"/>
          <w:color w:val="auto"/>
          <w:sz w:val="24"/>
          <w:lang w:eastAsia="zh-CN"/>
        </w:rPr>
        <w:t>了</w:t>
      </w:r>
      <w:r>
        <w:rPr>
          <w:rFonts w:hint="eastAsia" w:ascii="宋体" w:hAnsi="宋体"/>
          <w:sz w:val="24"/>
        </w:rPr>
        <w:t>《</w:t>
      </w:r>
      <w:r>
        <w:rPr>
          <w:rFonts w:hint="eastAsia" w:ascii="宋体" w:hAnsi="宋体"/>
          <w:sz w:val="24"/>
          <w:lang w:eastAsia="zh-CN"/>
        </w:rPr>
        <w:t>不动产权证书</w:t>
      </w:r>
      <w:r>
        <w:rPr>
          <w:rFonts w:hint="eastAsia" w:ascii="宋体" w:hAnsi="宋体"/>
          <w:sz w:val="24"/>
        </w:rPr>
        <w:t>》复印件</w:t>
      </w:r>
      <w:r>
        <w:rPr>
          <w:rFonts w:ascii="宋体" w:hAnsi="宋体"/>
          <w:sz w:val="24"/>
        </w:rPr>
        <w:t>等资料，</w:t>
      </w:r>
      <w:r>
        <w:rPr>
          <w:rFonts w:hint="eastAsia" w:ascii="宋体" w:hAnsi="宋体"/>
          <w:sz w:val="24"/>
        </w:rPr>
        <w:t>估价人员对估价委托人提供的有关情况和资料进行了</w:t>
      </w:r>
      <w:r>
        <w:rPr>
          <w:rFonts w:hint="eastAsia" w:ascii="宋体" w:hAnsi="宋体"/>
          <w:sz w:val="24"/>
          <w:lang w:eastAsia="zh-CN"/>
        </w:rPr>
        <w:t>必要的检查</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宋体" w:hAnsi="宋体"/>
          <w:sz w:val="24"/>
        </w:rPr>
        <w:t>2、</w:t>
      </w:r>
      <w:r>
        <w:rPr>
          <w:rFonts w:ascii="宋体" w:hAnsi="宋体"/>
          <w:sz w:val="24"/>
        </w:rPr>
        <w:t>本次估价评估</w:t>
      </w:r>
      <w:r>
        <w:rPr>
          <w:rFonts w:hint="eastAsia" w:ascii="宋体" w:hAnsi="宋体"/>
          <w:sz w:val="24"/>
        </w:rPr>
        <w:t>公开市场价值，</w:t>
      </w:r>
      <w:r>
        <w:rPr>
          <w:rFonts w:ascii="宋体" w:hAnsi="宋体"/>
          <w:sz w:val="24"/>
        </w:rPr>
        <w:t>公开市场价值</w:t>
      </w:r>
      <w:r>
        <w:rPr>
          <w:rFonts w:hint="eastAsia" w:ascii="宋体" w:hAnsi="宋体"/>
          <w:sz w:val="24"/>
        </w:rPr>
        <w:t>应</w:t>
      </w:r>
      <w:r>
        <w:rPr>
          <w:rFonts w:ascii="宋体" w:hAnsi="宋体"/>
          <w:sz w:val="24"/>
        </w:rPr>
        <w:t>满足下列条件：</w:t>
      </w:r>
    </w:p>
    <w:p>
      <w:pPr>
        <w:adjustRightInd w:val="0"/>
        <w:snapToGrid w:val="0"/>
        <w:spacing w:line="500" w:lineRule="atLeast"/>
        <w:ind w:firstLine="480" w:firstLineChars="200"/>
        <w:rPr>
          <w:rFonts w:ascii="宋体" w:hAnsi="宋体"/>
          <w:sz w:val="24"/>
        </w:rPr>
      </w:pPr>
      <w:r>
        <w:rPr>
          <w:rFonts w:hint="eastAsia" w:ascii="宋体" w:hAnsi="宋体"/>
          <w:sz w:val="24"/>
        </w:rPr>
        <w:t>（1）</w:t>
      </w:r>
      <w:r>
        <w:rPr>
          <w:rFonts w:ascii="宋体" w:hAnsi="宋体"/>
          <w:sz w:val="24"/>
        </w:rPr>
        <w:t>交易双方是自愿地进行交易的。</w:t>
      </w:r>
    </w:p>
    <w:p>
      <w:pPr>
        <w:adjustRightInd w:val="0"/>
        <w:snapToGrid w:val="0"/>
        <w:spacing w:line="500" w:lineRule="atLeast"/>
        <w:ind w:firstLine="480" w:firstLineChars="200"/>
        <w:rPr>
          <w:rFonts w:ascii="宋体" w:hAnsi="宋体"/>
          <w:sz w:val="24"/>
        </w:rPr>
      </w:pPr>
      <w:r>
        <w:rPr>
          <w:rFonts w:hint="eastAsia" w:ascii="宋体" w:hAnsi="宋体"/>
          <w:sz w:val="24"/>
        </w:rPr>
        <w:t>（2）</w:t>
      </w:r>
      <w:r>
        <w:rPr>
          <w:rFonts w:ascii="宋体" w:hAnsi="宋体"/>
          <w:sz w:val="24"/>
        </w:rPr>
        <w:t>交易双方进行交易的目的是追求各自最大的利益。</w:t>
      </w:r>
    </w:p>
    <w:p>
      <w:pPr>
        <w:adjustRightInd w:val="0"/>
        <w:snapToGrid w:val="0"/>
        <w:spacing w:line="500" w:lineRule="atLeast"/>
        <w:ind w:firstLine="480" w:firstLineChars="200"/>
        <w:rPr>
          <w:rFonts w:ascii="宋体" w:hAnsi="宋体"/>
          <w:sz w:val="24"/>
        </w:rPr>
      </w:pPr>
      <w:r>
        <w:rPr>
          <w:rFonts w:hint="eastAsia" w:ascii="宋体" w:hAnsi="宋体"/>
          <w:sz w:val="24"/>
        </w:rPr>
        <w:t>（3）</w:t>
      </w:r>
      <w:r>
        <w:rPr>
          <w:rFonts w:ascii="宋体" w:hAnsi="宋体"/>
          <w:sz w:val="24"/>
        </w:rPr>
        <w:t>交易双方是理性而谨慎的，并且了解交易对象、知晓市场行情。</w:t>
      </w:r>
    </w:p>
    <w:p>
      <w:pPr>
        <w:adjustRightInd w:val="0"/>
        <w:snapToGrid w:val="0"/>
        <w:spacing w:line="500" w:lineRule="atLeast"/>
        <w:ind w:firstLine="480" w:firstLineChars="200"/>
        <w:rPr>
          <w:rFonts w:ascii="宋体" w:hAnsi="宋体"/>
          <w:sz w:val="24"/>
        </w:rPr>
      </w:pPr>
      <w:r>
        <w:rPr>
          <w:rFonts w:hint="eastAsia" w:ascii="宋体" w:hAnsi="宋体"/>
          <w:sz w:val="24"/>
        </w:rPr>
        <w:t>（4）</w:t>
      </w:r>
      <w:r>
        <w:rPr>
          <w:rFonts w:ascii="宋体" w:hAnsi="宋体"/>
          <w:sz w:val="24"/>
        </w:rPr>
        <w:t>交易双方有较充裕的时间进行交易。</w:t>
      </w:r>
    </w:p>
    <w:p>
      <w:pPr>
        <w:adjustRightInd w:val="0"/>
        <w:snapToGrid w:val="0"/>
        <w:spacing w:line="500" w:lineRule="atLeast"/>
        <w:ind w:firstLine="480" w:firstLineChars="200"/>
        <w:rPr>
          <w:rFonts w:ascii="宋体" w:hAnsi="宋体"/>
          <w:sz w:val="24"/>
        </w:rPr>
      </w:pPr>
      <w:r>
        <w:rPr>
          <w:rFonts w:hint="eastAsia" w:ascii="宋体" w:hAnsi="宋体"/>
          <w:sz w:val="24"/>
        </w:rPr>
        <w:t>（5）</w:t>
      </w:r>
      <w:r>
        <w:rPr>
          <w:rFonts w:ascii="宋体" w:hAnsi="宋体"/>
          <w:sz w:val="24"/>
        </w:rPr>
        <w:t>不存在买者因特殊兴趣而给予附加出价。</w:t>
      </w:r>
    </w:p>
    <w:p>
      <w:pPr>
        <w:adjustRightInd w:val="0"/>
        <w:snapToGrid w:val="0"/>
        <w:spacing w:line="500" w:lineRule="atLeast"/>
        <w:ind w:left="1" w:firstLine="480" w:firstLineChars="200"/>
        <w:rPr>
          <w:rFonts w:ascii="宋体" w:hAnsi="宋体"/>
          <w:sz w:val="24"/>
        </w:rPr>
      </w:pPr>
      <w:r>
        <w:rPr>
          <w:rFonts w:ascii="宋体" w:hAnsi="宋体"/>
          <w:sz w:val="24"/>
        </w:rPr>
        <w:t>本次估价假定</w:t>
      </w:r>
      <w:r>
        <w:rPr>
          <w:rFonts w:hint="eastAsia" w:ascii="宋体" w:hAnsi="宋体"/>
          <w:sz w:val="24"/>
        </w:rPr>
        <w:t>在</w:t>
      </w:r>
      <w:r>
        <w:rPr>
          <w:rFonts w:ascii="宋体" w:hAnsi="宋体"/>
          <w:sz w:val="24"/>
        </w:rPr>
        <w:t>价值时点时的房地产市场状况是公开、平等、自愿的交易市场为假设前提。</w:t>
      </w:r>
    </w:p>
    <w:p>
      <w:pPr>
        <w:adjustRightInd w:val="0"/>
        <w:snapToGrid w:val="0"/>
        <w:spacing w:line="500" w:lineRule="atLeast"/>
        <w:ind w:left="1" w:firstLine="480" w:firstLineChars="200"/>
        <w:rPr>
          <w:rFonts w:ascii="宋体" w:hAnsi="宋体"/>
          <w:sz w:val="24"/>
        </w:rPr>
      </w:pPr>
      <w:r>
        <w:rPr>
          <w:rFonts w:hint="eastAsia" w:ascii="宋体" w:hAnsi="宋体"/>
          <w:sz w:val="24"/>
        </w:rPr>
        <w:t>3、</w:t>
      </w:r>
      <w:r>
        <w:rPr>
          <w:rFonts w:ascii="宋体" w:hAnsi="宋体"/>
          <w:sz w:val="24"/>
        </w:rPr>
        <w:t>估价人员对估价对象的</w:t>
      </w:r>
      <w:r>
        <w:rPr>
          <w:rFonts w:hint="eastAsia" w:ascii="宋体" w:hAnsi="宋体"/>
          <w:sz w:val="24"/>
        </w:rPr>
        <w:t>实地查勘</w:t>
      </w:r>
      <w:r>
        <w:rPr>
          <w:rFonts w:ascii="宋体" w:hAnsi="宋体"/>
          <w:sz w:val="24"/>
        </w:rPr>
        <w:t>仅限于估价对象在</w:t>
      </w:r>
      <w:r>
        <w:rPr>
          <w:rFonts w:hint="eastAsia" w:ascii="宋体" w:hAnsi="宋体"/>
          <w:sz w:val="24"/>
        </w:rPr>
        <w:t>查勘</w:t>
      </w:r>
      <w:r>
        <w:rPr>
          <w:rFonts w:ascii="宋体" w:hAnsi="宋体"/>
          <w:sz w:val="24"/>
        </w:rPr>
        <w:t>日的外观和使用状况，并未对其结构、设备及装修等内在质量进行测试，故不能确定其有无内部缺陷，本报告假设估价对象符合国家有关技术、质量、验收规范，其质量足以维持正常的使用寿命为前提。</w:t>
      </w:r>
    </w:p>
    <w:p>
      <w:pPr>
        <w:adjustRightInd w:val="0"/>
        <w:snapToGrid w:val="0"/>
        <w:spacing w:line="500" w:lineRule="atLeast"/>
        <w:ind w:left="1" w:firstLine="480" w:firstLineChars="200"/>
        <w:rPr>
          <w:rFonts w:ascii="宋体" w:hAnsi="宋体"/>
          <w:sz w:val="24"/>
        </w:rPr>
      </w:pPr>
      <w:r>
        <w:rPr>
          <w:rFonts w:hint="eastAsia" w:ascii="宋体" w:hAnsi="宋体"/>
          <w:sz w:val="24"/>
        </w:rPr>
        <w:t>4、</w:t>
      </w:r>
      <w:r>
        <w:rPr>
          <w:rFonts w:ascii="宋体" w:hAnsi="宋体"/>
          <w:sz w:val="24"/>
        </w:rPr>
        <w:t>本次估价是以提供给估价机构的估价对象房屋所有权及土地使用权不存在抵押权、典权等他项权利，权属清晰无异议，无法律、法规规定禁止按本次</w:t>
      </w:r>
      <w:r>
        <w:rPr>
          <w:rFonts w:hint="eastAsia" w:ascii="宋体" w:hAnsi="宋体"/>
          <w:sz w:val="24"/>
        </w:rPr>
        <w:t>估价</w:t>
      </w:r>
      <w:r>
        <w:rPr>
          <w:rFonts w:ascii="宋体" w:hAnsi="宋体"/>
          <w:sz w:val="24"/>
        </w:rPr>
        <w:t>目的使用的其他情形为假设前提</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新宋体" w:hAnsi="新宋体" w:eastAsia="新宋体"/>
          <w:sz w:val="24"/>
        </w:rPr>
        <w:t>5、估价对象应享有公共部位的通行权及水电等共用设施的使用权。</w:t>
      </w:r>
    </w:p>
    <w:p>
      <w:pPr>
        <w:adjustRightInd w:val="0"/>
        <w:snapToGrid w:val="0"/>
        <w:spacing w:line="500" w:lineRule="atLeast"/>
        <w:ind w:left="1" w:firstLine="480" w:firstLineChars="200"/>
        <w:rPr>
          <w:rFonts w:ascii="新宋体" w:hAnsi="新宋体" w:eastAsia="新宋体"/>
          <w:sz w:val="24"/>
        </w:rPr>
      </w:pPr>
      <w:r>
        <w:rPr>
          <w:rFonts w:hint="eastAsia" w:ascii="新宋体" w:hAnsi="新宋体" w:eastAsia="新宋体"/>
          <w:sz w:val="24"/>
        </w:rPr>
        <w:t>（二）未定事项假设</w:t>
      </w:r>
    </w:p>
    <w:p>
      <w:pPr>
        <w:adjustRightInd w:val="0"/>
        <w:snapToGrid w:val="0"/>
        <w:spacing w:line="500" w:lineRule="atLeast"/>
        <w:ind w:left="1" w:firstLine="480" w:firstLineChars="200"/>
        <w:rPr>
          <w:rFonts w:ascii="新宋体" w:hAnsi="新宋体" w:eastAsia="新宋体"/>
          <w:sz w:val="24"/>
        </w:rPr>
      </w:pPr>
      <w:r>
        <w:rPr>
          <w:rFonts w:hint="eastAsia" w:ascii="宋体" w:hAnsi="宋体"/>
          <w:sz w:val="24"/>
        </w:rPr>
        <w:t>本次估价无未定事项假设。</w:t>
      </w:r>
    </w:p>
    <w:p>
      <w:pPr>
        <w:adjustRightInd w:val="0"/>
        <w:snapToGrid w:val="0"/>
        <w:spacing w:line="500" w:lineRule="atLeast"/>
        <w:ind w:left="1" w:firstLine="480" w:firstLineChars="200"/>
        <w:rPr>
          <w:rFonts w:ascii="宋体" w:hAnsi="宋体"/>
          <w:sz w:val="24"/>
        </w:rPr>
      </w:pPr>
      <w:r>
        <w:rPr>
          <w:rFonts w:hint="eastAsia" w:ascii="宋体" w:hAnsi="宋体"/>
          <w:sz w:val="24"/>
        </w:rPr>
        <w:t>（三）背离事实假设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本次估价对象已</w:t>
      </w:r>
      <w:r>
        <w:rPr>
          <w:rFonts w:hint="eastAsia" w:ascii="宋体" w:hAnsi="宋体"/>
          <w:sz w:val="24"/>
          <w:lang w:eastAsia="zh-CN"/>
        </w:rPr>
        <w:t>设定抵押且</w:t>
      </w:r>
      <w:r>
        <w:rPr>
          <w:rFonts w:hint="eastAsia" w:ascii="宋体" w:hAnsi="宋体"/>
          <w:color w:val="auto"/>
          <w:sz w:val="24"/>
          <w:lang w:eastAsia="zh-CN"/>
        </w:rPr>
        <w:t>被人</w:t>
      </w:r>
      <w:r>
        <w:rPr>
          <w:rFonts w:hint="eastAsia" w:ascii="宋体" w:hAnsi="宋体"/>
          <w:sz w:val="24"/>
          <w:lang w:eastAsia="zh-CN"/>
        </w:rPr>
        <w:t>民法院</w:t>
      </w:r>
      <w:r>
        <w:rPr>
          <w:rFonts w:hint="eastAsia" w:ascii="宋体" w:hAnsi="宋体"/>
          <w:sz w:val="24"/>
          <w:lang w:val="en-US" w:eastAsia="zh-CN"/>
        </w:rPr>
        <w:t>查封</w:t>
      </w:r>
      <w:r>
        <w:rPr>
          <w:rFonts w:hint="eastAsia" w:ascii="宋体" w:hAnsi="宋体"/>
          <w:sz w:val="24"/>
        </w:rPr>
        <w:t>，但本报告中市场价值未考虑相关负债、抵押、担保</w:t>
      </w:r>
      <w:r>
        <w:rPr>
          <w:rFonts w:hint="eastAsia" w:ascii="宋体" w:hAnsi="宋体"/>
          <w:sz w:val="24"/>
          <w:lang w:eastAsia="zh-CN"/>
        </w:rPr>
        <w:t>、查封</w:t>
      </w:r>
      <w:r>
        <w:rPr>
          <w:rFonts w:hint="eastAsia" w:ascii="宋体" w:hAnsi="宋体"/>
          <w:sz w:val="24"/>
        </w:rPr>
        <w:t>等因素对估价结果的影响。</w:t>
      </w:r>
    </w:p>
    <w:p>
      <w:pPr>
        <w:adjustRightInd w:val="0"/>
        <w:snapToGrid w:val="0"/>
        <w:spacing w:line="500" w:lineRule="atLeast"/>
        <w:ind w:left="1" w:firstLine="480" w:firstLineChars="200"/>
        <w:rPr>
          <w:rFonts w:ascii="宋体" w:hAnsi="宋体"/>
          <w:sz w:val="24"/>
        </w:rPr>
      </w:pPr>
      <w:r>
        <w:rPr>
          <w:rFonts w:hint="eastAsia" w:ascii="宋体" w:hAnsi="宋体"/>
          <w:sz w:val="24"/>
        </w:rPr>
        <w:t>（四）不相一致假设</w:t>
      </w:r>
    </w:p>
    <w:p>
      <w:pPr>
        <w:adjustRightInd w:val="0"/>
        <w:snapToGrid w:val="0"/>
        <w:spacing w:line="500" w:lineRule="atLeast"/>
        <w:ind w:left="1" w:firstLine="480" w:firstLineChars="200"/>
        <w:rPr>
          <w:rFonts w:hint="default" w:ascii="宋体" w:hAnsi="宋体" w:eastAsia="宋体"/>
          <w:sz w:val="24"/>
          <w:lang w:val="en-US" w:eastAsia="zh-CN"/>
        </w:rPr>
      </w:pPr>
      <w:r>
        <w:rPr>
          <w:rFonts w:hint="eastAsia" w:ascii="宋体" w:hAnsi="宋体"/>
          <w:sz w:val="24"/>
        </w:rPr>
        <w:t>本次估价无不相一致假设。</w:t>
      </w:r>
    </w:p>
    <w:p>
      <w:pPr>
        <w:adjustRightInd w:val="0"/>
        <w:snapToGrid w:val="0"/>
        <w:spacing w:line="500" w:lineRule="atLeast"/>
        <w:ind w:left="1" w:firstLine="480" w:firstLineChars="200"/>
        <w:rPr>
          <w:rFonts w:ascii="宋体" w:hAnsi="宋体"/>
          <w:sz w:val="24"/>
        </w:rPr>
      </w:pPr>
      <w:r>
        <w:rPr>
          <w:rFonts w:hint="eastAsia" w:ascii="宋体" w:hAnsi="宋体"/>
          <w:sz w:val="24"/>
        </w:rPr>
        <w:t>（五）依据不足假设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本次估价无依据不足假设。</w:t>
      </w:r>
    </w:p>
    <w:p>
      <w:pPr>
        <w:adjustRightInd w:val="0"/>
        <w:snapToGrid w:val="0"/>
        <w:spacing w:line="500" w:lineRule="atLeast"/>
        <w:ind w:firstLine="480" w:firstLineChars="200"/>
        <w:rPr>
          <w:rFonts w:ascii="宋体" w:hAnsi="宋体"/>
          <w:sz w:val="24"/>
        </w:rPr>
      </w:pPr>
      <w:r>
        <w:rPr>
          <w:rFonts w:hint="eastAsia" w:ascii="宋体" w:hAnsi="宋体"/>
          <w:sz w:val="24"/>
        </w:rPr>
        <w:t>二、估价限制条件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adjustRightInd w:val="0"/>
        <w:snapToGrid w:val="0"/>
        <w:spacing w:line="500" w:lineRule="atLeast"/>
        <w:ind w:left="1" w:firstLine="480" w:firstLineChars="200"/>
        <w:rPr>
          <w:rFonts w:ascii="宋体" w:hAnsi="宋体"/>
          <w:sz w:val="24"/>
        </w:rPr>
      </w:pPr>
      <w:r>
        <w:rPr>
          <w:rFonts w:hint="eastAsia" w:ascii="宋体" w:hAnsi="宋体"/>
          <w:sz w:val="24"/>
        </w:rPr>
        <w:t>（二）本次估价结果是实地查勘日估价人员所见现状下的估价结论，如期后该房地产实物及权益状况发生变化，并对估价结果有重大影响应重新委托评估。</w:t>
      </w:r>
      <w:r>
        <w:rPr>
          <w:rFonts w:hint="eastAsia" w:ascii="宋体" w:hAnsi="宋体"/>
          <w:sz w:val="24"/>
        </w:rPr>
        <w:cr/>
      </w:r>
      <w:r>
        <w:rPr>
          <w:rFonts w:hint="eastAsia" w:ascii="宋体" w:hAnsi="宋体"/>
          <w:sz w:val="24"/>
        </w:rPr>
        <w:t xml:space="preserve">    （三）本报告所称“市场价值”，是根据估价对象在价值时点所表现的特定环境下提出的公允价值意见，随着时间的推移及市场行情的变化，该估价对象价值需作相应的调整。如使用本估价结果的时间与本估价报告的价值时点相差12个月或以上，或者市场价格变化很快时，报告使用人应对房地产市场价值进行再评估，本公司对直接应用此结果而对有关方面造成的损失不负任何责任。</w:t>
      </w:r>
    </w:p>
    <w:p>
      <w:pPr>
        <w:adjustRightInd w:val="0"/>
        <w:snapToGrid w:val="0"/>
        <w:spacing w:line="500" w:lineRule="atLeast"/>
        <w:ind w:left="1" w:firstLine="480" w:firstLineChars="2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本报告仅为估价委托人司法</w:t>
      </w:r>
      <w:r>
        <w:rPr>
          <w:rFonts w:hint="eastAsia" w:ascii="宋体" w:hAnsi="宋体"/>
          <w:sz w:val="24"/>
          <w:lang w:eastAsia="zh-CN"/>
        </w:rPr>
        <w:t>处置</w:t>
      </w:r>
      <w:r>
        <w:rPr>
          <w:rFonts w:hint="eastAsia" w:ascii="宋体" w:hAnsi="宋体"/>
          <w:sz w:val="24"/>
        </w:rPr>
        <w:t>提供参考依据，未经本估价机构书面同意，估价报告的全部或任何一部分内容均不得向估价委托人、报告使用者、报告审查部门以外的单位和个人提供，也不得以任何形式公开发表。本估价机构对非法使用本报告或报告之部分的第三者或用作他项用途者，均不负任何法律或经济责任。</w:t>
      </w:r>
    </w:p>
    <w:p>
      <w:pPr>
        <w:spacing w:line="500" w:lineRule="atLeast"/>
        <w:ind w:firstLine="240" w:firstLineChars="100"/>
        <w:rPr>
          <w:rFonts w:ascii="宋体" w:hAnsi="宋体"/>
          <w:b/>
          <w:sz w:val="28"/>
          <w:szCs w:val="28"/>
        </w:rPr>
      </w:pPr>
      <w:r>
        <w:rPr>
          <w:rFonts w:hint="eastAsia" w:ascii="宋体" w:hAnsi="宋体"/>
          <w:sz w:val="24"/>
        </w:rPr>
        <w:t xml:space="preserve">  （五）</w:t>
      </w:r>
      <w:r>
        <w:rPr>
          <w:rFonts w:ascii="宋体" w:hAnsi="宋体"/>
          <w:sz w:val="24"/>
        </w:rPr>
        <w:t>根据最高人民法院《</w:t>
      </w:r>
      <w:r>
        <w:rPr>
          <w:rFonts w:hint="eastAsia" w:ascii="宋体" w:hAnsi="宋体"/>
          <w:sz w:val="24"/>
        </w:rPr>
        <w:t>关于人民法院确定财产处置参考价若干问题的规定</w:t>
      </w:r>
      <w:r>
        <w:rPr>
          <w:rFonts w:ascii="宋体" w:hAnsi="宋体"/>
          <w:sz w:val="24"/>
        </w:rPr>
        <w:t>》，当事人或者其他利害关系人对</w:t>
      </w:r>
      <w:r>
        <w:rPr>
          <w:rFonts w:hint="eastAsia" w:ascii="宋体" w:hAnsi="宋体"/>
          <w:sz w:val="24"/>
        </w:rPr>
        <w:t>估价</w:t>
      </w:r>
      <w:r>
        <w:rPr>
          <w:rFonts w:ascii="宋体" w:hAnsi="宋体"/>
          <w:sz w:val="24"/>
        </w:rPr>
        <w:t>报告有异议的，在收到评估报告后</w:t>
      </w:r>
      <w:r>
        <w:rPr>
          <w:rFonts w:hint="eastAsia" w:ascii="宋体" w:hAnsi="宋体"/>
          <w:sz w:val="24"/>
        </w:rPr>
        <w:t>五</w:t>
      </w:r>
      <w:r>
        <w:rPr>
          <w:rFonts w:ascii="宋体" w:hAnsi="宋体"/>
          <w:sz w:val="24"/>
        </w:rPr>
        <w:t>日内以书面形式向法院提出。</w:t>
      </w: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both"/>
        <w:rPr>
          <w:rFonts w:hint="eastAsia" w:ascii="宋体" w:hAnsi="宋体"/>
          <w:b/>
          <w:sz w:val="28"/>
          <w:szCs w:val="28"/>
        </w:rPr>
      </w:pPr>
    </w:p>
    <w:p>
      <w:pPr>
        <w:spacing w:line="500" w:lineRule="atLeast"/>
        <w:ind w:firstLine="562" w:firstLineChars="200"/>
        <w:jc w:val="center"/>
        <w:rPr>
          <w:rFonts w:hint="eastAsia" w:ascii="宋体" w:hAnsi="宋体"/>
          <w:b/>
          <w:sz w:val="28"/>
          <w:szCs w:val="28"/>
        </w:rPr>
      </w:pPr>
    </w:p>
    <w:p>
      <w:pPr>
        <w:spacing w:line="500" w:lineRule="atLeast"/>
        <w:ind w:firstLine="562" w:firstLineChars="200"/>
        <w:jc w:val="center"/>
        <w:rPr>
          <w:rFonts w:ascii="宋体" w:hAnsi="宋体"/>
          <w:b/>
          <w:sz w:val="28"/>
          <w:szCs w:val="28"/>
        </w:rPr>
      </w:pPr>
      <w:r>
        <w:rPr>
          <w:rFonts w:hint="eastAsia" w:ascii="宋体" w:hAnsi="宋体"/>
          <w:b/>
          <w:sz w:val="28"/>
          <w:szCs w:val="28"/>
        </w:rPr>
        <w:t>第三部分   房地产估价结果报告</w:t>
      </w:r>
    </w:p>
    <w:p>
      <w:pPr>
        <w:spacing w:line="500" w:lineRule="atLeas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b/>
          <w:sz w:val="28"/>
          <w:szCs w:val="28"/>
        </w:rPr>
      </w:pPr>
      <w:r>
        <w:rPr>
          <w:rFonts w:hint="eastAsia" w:ascii="宋体" w:hAnsi="宋体"/>
          <w:sz w:val="24"/>
        </w:rPr>
        <w:t>一、估价委托人</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sz w:val="24"/>
          <w:lang w:eastAsia="zh-CN"/>
        </w:rPr>
      </w:pPr>
      <w:r>
        <w:rPr>
          <w:rFonts w:hint="eastAsia" w:ascii="宋体" w:hAnsi="宋体"/>
          <w:sz w:val="24"/>
        </w:rPr>
        <w:t>单位名称：</w:t>
      </w:r>
      <w:r>
        <w:rPr>
          <w:rFonts w:hint="eastAsia" w:ascii="宋体" w:hAnsi="宋体"/>
          <w:sz w:val="24"/>
          <w:lang w:eastAsia="zh-CN"/>
        </w:rPr>
        <w:t>宁波市奉化区人民法院</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宋体" w:hAnsi="宋体" w:eastAsia="宋体"/>
          <w:sz w:val="24"/>
          <w:lang w:val="en-US" w:eastAsia="zh-CN"/>
        </w:rPr>
      </w:pPr>
      <w:r>
        <w:rPr>
          <w:rFonts w:hint="eastAsia" w:ascii="宋体" w:hAnsi="宋体"/>
          <w:sz w:val="24"/>
        </w:rPr>
        <w:t>地址：</w:t>
      </w:r>
      <w:r>
        <w:rPr>
          <w:rFonts w:hint="eastAsia" w:ascii="宋体" w:hAnsi="宋体"/>
          <w:sz w:val="24"/>
          <w:lang w:eastAsia="zh-CN"/>
        </w:rPr>
        <w:t>宁波市奉化区大成东路</w:t>
      </w:r>
      <w:r>
        <w:rPr>
          <w:rFonts w:hint="eastAsia" w:ascii="宋体" w:hAnsi="宋体"/>
          <w:sz w:val="24"/>
          <w:lang w:val="en-US" w:eastAsia="zh-CN"/>
        </w:rPr>
        <w:t>567号</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二、估价机构</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eastAsia="宋体"/>
          <w:sz w:val="24"/>
          <w:lang w:eastAsia="zh-CN"/>
        </w:rPr>
      </w:pPr>
      <w:r>
        <w:rPr>
          <w:rFonts w:hint="eastAsia"/>
          <w:sz w:val="24"/>
        </w:rPr>
        <w:t>名称：</w:t>
      </w:r>
      <w:r>
        <w:rPr>
          <w:rFonts w:hint="eastAsia"/>
          <w:sz w:val="24"/>
          <w:lang w:eastAsia="zh-CN"/>
        </w:rPr>
        <w:t>慈溪市弘一房地产资产评估有限公司</w:t>
      </w:r>
    </w:p>
    <w:p>
      <w:pPr>
        <w:keepNext w:val="0"/>
        <w:keepLines w:val="0"/>
        <w:pageBreakBefore w:val="0"/>
        <w:widowControl w:val="0"/>
        <w:kinsoku/>
        <w:wordWrap/>
        <w:overflowPunct/>
        <w:topLinePunct w:val="0"/>
        <w:autoSpaceDE/>
        <w:autoSpaceDN/>
        <w:bidi w:val="0"/>
        <w:adjustRightInd/>
        <w:snapToGrid/>
        <w:spacing w:line="500" w:lineRule="atLeast"/>
        <w:textAlignment w:val="auto"/>
        <w:rPr>
          <w:sz w:val="24"/>
        </w:rPr>
      </w:pPr>
      <w:r>
        <w:rPr>
          <w:rFonts w:hint="eastAsia"/>
          <w:sz w:val="24"/>
        </w:rPr>
        <w:t>地址：</w:t>
      </w:r>
      <w:r>
        <w:rPr>
          <w:rFonts w:hint="eastAsia"/>
          <w:sz w:val="24"/>
          <w:lang w:eastAsia="zh-CN"/>
        </w:rPr>
        <w:t>浙江省</w:t>
      </w:r>
      <w:r>
        <w:rPr>
          <w:rFonts w:hint="eastAsia"/>
          <w:sz w:val="24"/>
        </w:rPr>
        <w:t>慈溪市白沙路街道三北大街700号（</w:t>
      </w:r>
      <w:r>
        <w:rPr>
          <w:rFonts w:hint="eastAsia"/>
          <w:sz w:val="24"/>
          <w:lang w:eastAsia="zh-CN"/>
        </w:rPr>
        <w:t>中兴小区</w:t>
      </w:r>
      <w:r>
        <w:rPr>
          <w:rFonts w:hint="eastAsia"/>
          <w:sz w:val="24"/>
        </w:rPr>
        <w:t>）三层</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eastAsia="宋体"/>
          <w:sz w:val="24"/>
          <w:lang w:eastAsia="zh-CN"/>
        </w:rPr>
      </w:pPr>
      <w:r>
        <w:rPr>
          <w:rFonts w:hint="eastAsia"/>
          <w:sz w:val="24"/>
        </w:rPr>
        <w:t>法定代表人：</w:t>
      </w:r>
      <w:r>
        <w:rPr>
          <w:rFonts w:hint="eastAsia"/>
          <w:sz w:val="24"/>
          <w:lang w:eastAsia="zh-CN"/>
        </w:rPr>
        <w:t>方**</w:t>
      </w:r>
    </w:p>
    <w:p>
      <w:pPr>
        <w:keepNext w:val="0"/>
        <w:keepLines w:val="0"/>
        <w:pageBreakBefore w:val="0"/>
        <w:widowControl w:val="0"/>
        <w:kinsoku/>
        <w:wordWrap/>
        <w:overflowPunct/>
        <w:topLinePunct w:val="0"/>
        <w:autoSpaceDE/>
        <w:autoSpaceDN/>
        <w:bidi w:val="0"/>
        <w:adjustRightInd/>
        <w:snapToGrid/>
        <w:spacing w:line="500" w:lineRule="atLeast"/>
        <w:textAlignment w:val="auto"/>
        <w:rPr>
          <w:sz w:val="24"/>
        </w:rPr>
      </w:pPr>
      <w:r>
        <w:rPr>
          <w:rFonts w:hint="eastAsia"/>
          <w:sz w:val="24"/>
        </w:rPr>
        <w:t>备案等级：贰级</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sz w:val="24"/>
        </w:rPr>
        <w:t>证书编号：浙建房估证字[2002]079号</w:t>
      </w:r>
      <w:r>
        <w:rPr>
          <w:rFonts w:hint="eastAsia" w:ascii="宋体" w:hAnsi="宋体"/>
          <w:sz w:val="24"/>
        </w:rPr>
        <w:t>　　　　　</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三、估价目的</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四、估价对象</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szCs w:val="28"/>
        </w:rPr>
      </w:pPr>
      <w:r>
        <w:rPr>
          <w:rFonts w:hint="eastAsia" w:ascii="宋体" w:hAnsi="宋体"/>
          <w:sz w:val="24"/>
          <w:szCs w:val="28"/>
        </w:rPr>
        <w:t>（一）估价对象范围：</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szCs w:val="28"/>
        </w:rPr>
        <w:t>估价对象为坐落于</w:t>
      </w:r>
      <w:r>
        <w:rPr>
          <w:rFonts w:hint="eastAsia" w:ascii="宋体" w:hAnsi="宋体"/>
          <w:sz w:val="24"/>
          <w:szCs w:val="28"/>
          <w:lang w:eastAsia="zh-CN"/>
        </w:rPr>
        <w:t>宁波市奉化区金水东庭8幢301室住宅</w:t>
      </w:r>
      <w:r>
        <w:rPr>
          <w:rFonts w:hint="eastAsia" w:ascii="宋体" w:hAnsi="宋体"/>
          <w:sz w:val="24"/>
        </w:rPr>
        <w:t>房地产</w:t>
      </w:r>
      <w:r>
        <w:rPr>
          <w:rFonts w:hint="eastAsia" w:ascii="宋体" w:hAnsi="宋体"/>
          <w:sz w:val="24"/>
          <w:lang w:eastAsia="zh-CN"/>
        </w:rPr>
        <w:t>（含室内固定装修）</w:t>
      </w:r>
      <w:r>
        <w:rPr>
          <w:rFonts w:hint="eastAsia" w:ascii="宋体" w:hAnsi="宋体"/>
          <w:sz w:val="24"/>
          <w:szCs w:val="28"/>
        </w:rPr>
        <w:t>，</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116.10</w:t>
      </w:r>
      <w:r>
        <w:rPr>
          <w:rFonts w:hint="eastAsia" w:ascii="宋体" w:hAnsi="宋体"/>
          <w:sz w:val="24"/>
          <w:szCs w:val="28"/>
        </w:rPr>
        <w:t>㎡，</w:t>
      </w:r>
      <w:r>
        <w:rPr>
          <w:rFonts w:hint="eastAsia" w:ascii="宋体" w:hAnsi="宋体"/>
          <w:sz w:val="24"/>
          <w:szCs w:val="28"/>
          <w:lang w:eastAsia="zh-CN"/>
        </w:rPr>
        <w:t>附属用房面积为</w:t>
      </w:r>
      <w:r>
        <w:rPr>
          <w:rFonts w:hint="eastAsia" w:ascii="宋体" w:hAnsi="宋体"/>
          <w:sz w:val="24"/>
          <w:szCs w:val="28"/>
          <w:lang w:val="en-US" w:eastAsia="zh-CN"/>
        </w:rPr>
        <w:t>11.54㎡，</w:t>
      </w:r>
      <w:r>
        <w:rPr>
          <w:rFonts w:hint="eastAsia" w:ascii="宋体" w:hAnsi="宋体"/>
          <w:sz w:val="24"/>
          <w:szCs w:val="28"/>
        </w:rPr>
        <w:t>土地使用权面积为</w:t>
      </w:r>
      <w:r>
        <w:rPr>
          <w:rFonts w:hint="eastAsia" w:ascii="宋体" w:hAnsi="宋体"/>
          <w:sz w:val="24"/>
          <w:szCs w:val="28"/>
          <w:lang w:val="en-US" w:eastAsia="zh-CN"/>
        </w:rPr>
        <w:t>19.59</w:t>
      </w:r>
      <w:r>
        <w:rPr>
          <w:rFonts w:hint="eastAsia" w:ascii="宋体" w:hAnsi="宋体"/>
          <w:sz w:val="24"/>
          <w:szCs w:val="28"/>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（二）房地产实物状况：</w:t>
      </w:r>
    </w:p>
    <w:p>
      <w:pPr>
        <w:keepNext w:val="0"/>
        <w:keepLines w:val="0"/>
        <w:pageBreakBefore w:val="0"/>
        <w:widowControl w:val="0"/>
        <w:kinsoku/>
        <w:wordWrap/>
        <w:overflowPunct/>
        <w:topLinePunct w:val="0"/>
        <w:autoSpaceDE/>
        <w:autoSpaceDN/>
        <w:bidi w:val="0"/>
        <w:adjustRightInd/>
        <w:snapToGrid/>
        <w:spacing w:line="500" w:lineRule="atLeast"/>
        <w:ind w:firstLine="600" w:firstLineChars="250"/>
        <w:textAlignment w:val="auto"/>
        <w:rPr>
          <w:rFonts w:ascii="宋体" w:hAnsi="宋体"/>
          <w:sz w:val="24"/>
        </w:rPr>
      </w:pPr>
      <w:r>
        <w:rPr>
          <w:rFonts w:hint="eastAsia" w:ascii="宋体" w:hAnsi="宋体"/>
          <w:sz w:val="24"/>
        </w:rPr>
        <w:t>1、土地实物状况：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估价对象所占用的土地位于</w:t>
      </w:r>
      <w:r>
        <w:rPr>
          <w:rFonts w:hint="eastAsia" w:ascii="宋体" w:hAnsi="宋体"/>
          <w:sz w:val="24"/>
          <w:szCs w:val="28"/>
          <w:lang w:eastAsia="zh-CN"/>
        </w:rPr>
        <w:t>宁波市奉化区金水东庭8幢301室</w:t>
      </w:r>
      <w:r>
        <w:rPr>
          <w:rFonts w:hint="eastAsia" w:ascii="宋体" w:hAnsi="宋体"/>
          <w:sz w:val="24"/>
        </w:rPr>
        <w:t>，</w:t>
      </w:r>
      <w:r>
        <w:rPr>
          <w:rFonts w:hint="eastAsia" w:ascii="宋体" w:hAnsi="宋体"/>
          <w:sz w:val="24"/>
          <w:szCs w:val="28"/>
        </w:rPr>
        <w:t>土地使用权面积为</w:t>
      </w:r>
      <w:r>
        <w:rPr>
          <w:rFonts w:hint="eastAsia" w:ascii="宋体" w:hAnsi="宋体"/>
          <w:sz w:val="24"/>
          <w:szCs w:val="28"/>
          <w:lang w:val="en-US" w:eastAsia="zh-CN"/>
        </w:rPr>
        <w:t>19.59</w:t>
      </w:r>
      <w:r>
        <w:rPr>
          <w:rFonts w:hint="eastAsia" w:ascii="宋体" w:hAnsi="宋体"/>
          <w:sz w:val="24"/>
          <w:szCs w:val="28"/>
        </w:rPr>
        <w:t>㎡</w:t>
      </w:r>
      <w:r>
        <w:rPr>
          <w:rFonts w:hint="eastAsia" w:ascii="宋体" w:hAnsi="宋体"/>
          <w:sz w:val="24"/>
        </w:rPr>
        <w:t>，土地用途为</w:t>
      </w:r>
      <w:r>
        <w:rPr>
          <w:rFonts w:hint="eastAsia" w:ascii="宋体" w:hAnsi="宋体"/>
          <w:sz w:val="24"/>
          <w:lang w:eastAsia="zh-CN"/>
        </w:rPr>
        <w:t>城镇</w:t>
      </w:r>
      <w:r>
        <w:rPr>
          <w:rFonts w:hint="eastAsia" w:ascii="宋体" w:hAnsi="宋体"/>
          <w:sz w:val="24"/>
        </w:rPr>
        <w:t>住宅用地，使用权类型为</w:t>
      </w:r>
      <w:r>
        <w:rPr>
          <w:rFonts w:hint="eastAsia" w:ascii="宋体" w:hAnsi="宋体"/>
          <w:sz w:val="24"/>
          <w:lang w:eastAsia="zh-CN"/>
        </w:rPr>
        <w:t>划拨</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ind w:firstLine="600" w:firstLineChars="250"/>
        <w:textAlignment w:val="auto"/>
        <w:rPr>
          <w:rFonts w:ascii="宋体" w:hAnsi="宋体"/>
          <w:sz w:val="24"/>
        </w:rPr>
      </w:pPr>
      <w:r>
        <w:rPr>
          <w:rFonts w:hint="eastAsia" w:ascii="宋体" w:hAnsi="宋体"/>
          <w:sz w:val="24"/>
        </w:rPr>
        <w:t>2、建筑物实物状况：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color w:val="auto"/>
          <w:sz w:val="24"/>
          <w:lang w:eastAsia="zh-CN"/>
        </w:rPr>
      </w:pPr>
      <w:r>
        <w:rPr>
          <w:rFonts w:hint="eastAsia" w:ascii="宋体" w:hAnsi="宋体"/>
          <w:color w:val="auto"/>
          <w:sz w:val="24"/>
        </w:rPr>
        <w:t>估价对象位于</w:t>
      </w:r>
      <w:r>
        <w:rPr>
          <w:rFonts w:hint="eastAsia" w:ascii="宋体" w:hAnsi="宋体"/>
          <w:color w:val="auto"/>
          <w:sz w:val="24"/>
          <w:szCs w:val="28"/>
          <w:lang w:eastAsia="zh-CN"/>
        </w:rPr>
        <w:t>宁波市奉化区金水东庭8幢301室，所在单元一梯三户，配两部电梯，</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116.10</w:t>
      </w:r>
      <w:r>
        <w:rPr>
          <w:rFonts w:hint="eastAsia" w:ascii="宋体" w:hAnsi="宋体"/>
          <w:sz w:val="24"/>
          <w:szCs w:val="28"/>
        </w:rPr>
        <w:t>㎡</w:t>
      </w:r>
      <w:r>
        <w:rPr>
          <w:rFonts w:hint="eastAsia" w:ascii="宋体" w:hAnsi="宋体"/>
          <w:color w:val="auto"/>
          <w:sz w:val="24"/>
          <w:szCs w:val="28"/>
        </w:rPr>
        <w:t>，为</w:t>
      </w:r>
      <w:r>
        <w:rPr>
          <w:rFonts w:hint="eastAsia" w:ascii="宋体" w:hAnsi="宋体"/>
          <w:color w:val="auto"/>
          <w:sz w:val="24"/>
          <w:szCs w:val="28"/>
          <w:lang w:val="en-US" w:eastAsia="zh-CN"/>
        </w:rPr>
        <w:t>12</w:t>
      </w:r>
      <w:r>
        <w:rPr>
          <w:rFonts w:hint="eastAsia" w:ascii="宋体" w:hAnsi="宋体"/>
          <w:color w:val="auto"/>
          <w:sz w:val="24"/>
          <w:szCs w:val="28"/>
        </w:rPr>
        <w:t>层楼中的第</w:t>
      </w:r>
      <w:r>
        <w:rPr>
          <w:rFonts w:hint="eastAsia" w:ascii="宋体" w:hAnsi="宋体"/>
          <w:color w:val="auto"/>
          <w:sz w:val="24"/>
          <w:szCs w:val="28"/>
          <w:lang w:val="en-US" w:eastAsia="zh-CN"/>
        </w:rPr>
        <w:t>3</w:t>
      </w:r>
      <w:r>
        <w:rPr>
          <w:rFonts w:hint="eastAsia" w:ascii="宋体" w:hAnsi="宋体"/>
          <w:color w:val="auto"/>
          <w:sz w:val="24"/>
          <w:szCs w:val="28"/>
        </w:rPr>
        <w:t>层，</w:t>
      </w:r>
      <w:r>
        <w:rPr>
          <w:rFonts w:hint="eastAsia" w:ascii="宋体" w:hAnsi="宋体"/>
          <w:color w:val="auto"/>
          <w:sz w:val="24"/>
        </w:rPr>
        <w:t>用途为</w:t>
      </w:r>
      <w:r>
        <w:rPr>
          <w:rFonts w:hint="eastAsia" w:ascii="宋体" w:hAnsi="宋体"/>
          <w:color w:val="auto"/>
          <w:sz w:val="24"/>
          <w:lang w:eastAsia="zh-CN"/>
        </w:rPr>
        <w:t>住宅</w:t>
      </w:r>
      <w:r>
        <w:rPr>
          <w:rFonts w:hint="eastAsia" w:ascii="宋体" w:hAnsi="宋体"/>
          <w:color w:val="auto"/>
          <w:sz w:val="24"/>
        </w:rPr>
        <w:t>，</w:t>
      </w:r>
      <w:r>
        <w:rPr>
          <w:rFonts w:hint="eastAsia" w:ascii="宋体" w:hAnsi="宋体"/>
          <w:color w:val="auto"/>
          <w:sz w:val="24"/>
          <w:lang w:eastAsia="zh-CN"/>
        </w:rPr>
        <w:t>结构为钢混。</w:t>
      </w:r>
      <w:r>
        <w:rPr>
          <w:rFonts w:hint="eastAsia" w:ascii="宋体" w:hAnsi="宋体"/>
          <w:color w:val="auto"/>
          <w:sz w:val="24"/>
          <w:lang w:val="en-US" w:eastAsia="zh-CN"/>
        </w:rPr>
        <w:t>室内布局为三室两厅一厨两卫，装修：卧室、客厅及餐厅为地板地面，墙布墙面，石膏板平顶，配固定柜子；厨房为抛光砖地面，瓷砖墙面，集成吊顶，配橱柜；卫生间为地砖地面，瓷砖墙面，集成吊顶，配座坑、浴室柜、淋浴房；阳台为抛光砖地面，瓷砖墙面，配洗衣台。</w:t>
      </w:r>
      <w:r>
        <w:rPr>
          <w:rFonts w:hint="eastAsia" w:ascii="宋体" w:hAnsi="宋体"/>
          <w:color w:val="auto"/>
          <w:sz w:val="24"/>
          <w:lang w:eastAsia="zh-CN"/>
        </w:rPr>
        <w:t>该房屋维护及保养较好。</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sz w:val="24"/>
          <w:lang w:val="en-US"/>
        </w:rPr>
      </w:pPr>
      <w:r>
        <w:rPr>
          <w:rFonts w:hint="eastAsia" w:ascii="宋体" w:hAnsi="宋体"/>
          <w:color w:val="auto"/>
          <w:sz w:val="24"/>
          <w:lang w:eastAsia="zh-CN"/>
        </w:rPr>
        <w:t>另有附属用房一间，面积为</w:t>
      </w:r>
      <w:r>
        <w:rPr>
          <w:rFonts w:hint="eastAsia" w:ascii="宋体" w:hAnsi="宋体"/>
          <w:color w:val="auto"/>
          <w:sz w:val="24"/>
          <w:lang w:val="en-US" w:eastAsia="zh-CN"/>
        </w:rPr>
        <w:t>11.54㎡。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rPr>
        <w:t>（三）房地产权益状况：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rPr>
        <w:t>（1）权益情况：</w:t>
      </w:r>
    </w:p>
    <w:tbl>
      <w:tblPr>
        <w:tblStyle w:val="9"/>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084"/>
        <w:gridCol w:w="1524"/>
        <w:gridCol w:w="1524"/>
        <w:gridCol w:w="164"/>
        <w:gridCol w:w="1354"/>
        <w:gridCol w:w="6"/>
        <w:gridCol w:w="1524"/>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hAnsi="宋体"/>
                <w:sz w:val="18"/>
                <w:szCs w:val="18"/>
              </w:rPr>
            </w:pPr>
            <w:r>
              <w:rPr>
                <w:rFonts w:hint="eastAsia" w:ascii="宋体" w:hAnsi="宋体"/>
                <w:sz w:val="18"/>
                <w:szCs w:val="18"/>
              </w:rPr>
              <w:t>《不动产权证书》证号</w:t>
            </w:r>
          </w:p>
        </w:tc>
        <w:tc>
          <w:tcPr>
            <w:tcW w:w="7622" w:type="dxa"/>
            <w:gridSpan w:val="7"/>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浙（</w:t>
            </w:r>
            <w:r>
              <w:rPr>
                <w:rFonts w:hint="eastAsia" w:ascii="宋体" w:hAnsi="宋体"/>
                <w:sz w:val="18"/>
                <w:szCs w:val="18"/>
                <w:lang w:val="en-US" w:eastAsia="zh-CN"/>
              </w:rPr>
              <w:t>2018</w:t>
            </w:r>
            <w:r>
              <w:rPr>
                <w:rFonts w:hint="eastAsia" w:ascii="宋体" w:hAnsi="宋体"/>
                <w:sz w:val="18"/>
                <w:szCs w:val="18"/>
                <w:lang w:eastAsia="zh-CN"/>
              </w:rPr>
              <w:t>）宁波市（奉化）不动产权第</w:t>
            </w:r>
            <w:r>
              <w:rPr>
                <w:rFonts w:hint="eastAsia" w:ascii="宋体" w:hAnsi="宋体"/>
                <w:sz w:val="18"/>
                <w:szCs w:val="18"/>
                <w:lang w:val="en-US" w:eastAsia="zh-CN"/>
              </w:rPr>
              <w:t>0038872号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hAnsi="宋体"/>
                <w:sz w:val="18"/>
                <w:szCs w:val="18"/>
              </w:rPr>
            </w:pPr>
            <w:r>
              <w:rPr>
                <w:rFonts w:hint="eastAsia" w:ascii="宋体" w:hAnsi="宋体"/>
                <w:sz w:val="18"/>
                <w:szCs w:val="18"/>
              </w:rPr>
              <w:t>权利人</w:t>
            </w:r>
          </w:p>
        </w:tc>
        <w:tc>
          <w:tcPr>
            <w:tcW w:w="3212" w:type="dxa"/>
            <w:gridSpan w:val="3"/>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val="en-US" w:eastAsia="zh-CN"/>
              </w:rPr>
              <w:t>*</w:t>
            </w:r>
            <w:bookmarkStart w:id="0" w:name="_GoBack"/>
            <w:bookmarkEnd w:id="0"/>
            <w:r>
              <w:rPr>
                <w:rFonts w:hint="eastAsia" w:ascii="宋体" w:hAnsi="宋体"/>
                <w:sz w:val="18"/>
                <w:szCs w:val="18"/>
                <w:lang w:eastAsia="zh-CN"/>
              </w:rPr>
              <w:t>**</w:t>
            </w:r>
          </w:p>
        </w:tc>
        <w:tc>
          <w:tcPr>
            <w:tcW w:w="1354" w:type="dxa"/>
            <w:shd w:val="clear" w:color="auto" w:fill="auto"/>
            <w:vAlign w:val="center"/>
          </w:tcPr>
          <w:p>
            <w:pPr>
              <w:widowControl/>
              <w:rPr>
                <w:rFonts w:ascii="宋体" w:hAnsi="宋体"/>
                <w:sz w:val="18"/>
                <w:szCs w:val="18"/>
              </w:rPr>
            </w:pPr>
            <w:r>
              <w:rPr>
                <w:rFonts w:hint="eastAsia" w:ascii="宋体" w:hAnsi="宋体"/>
                <w:sz w:val="18"/>
                <w:szCs w:val="18"/>
              </w:rPr>
              <w:t>共</w:t>
            </w:r>
            <w:r>
              <w:rPr>
                <w:rFonts w:hint="eastAsia" w:ascii="宋体" w:hAnsi="宋体"/>
                <w:sz w:val="18"/>
                <w:szCs w:val="18"/>
                <w:lang w:eastAsia="zh-CN"/>
              </w:rPr>
              <w:t>有</w:t>
            </w:r>
            <w:r>
              <w:rPr>
                <w:rFonts w:hint="eastAsia" w:ascii="宋体" w:hAnsi="宋体"/>
                <w:sz w:val="18"/>
                <w:szCs w:val="18"/>
              </w:rPr>
              <w:t>情况</w:t>
            </w:r>
          </w:p>
        </w:tc>
        <w:tc>
          <w:tcPr>
            <w:tcW w:w="3056" w:type="dxa"/>
            <w:gridSpan w:val="3"/>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color w:val="000000"/>
                <w:kern w:val="0"/>
                <w:sz w:val="18"/>
                <w:szCs w:val="18"/>
              </w:rPr>
            </w:pPr>
            <w:r>
              <w:rPr>
                <w:rFonts w:hint="eastAsia" w:ascii="宋体" w:hAnsi="宋体"/>
                <w:sz w:val="18"/>
                <w:szCs w:val="18"/>
              </w:rPr>
              <w:t>坐落</w:t>
            </w:r>
          </w:p>
        </w:tc>
        <w:tc>
          <w:tcPr>
            <w:tcW w:w="3212" w:type="dxa"/>
            <w:gridSpan w:val="3"/>
            <w:shd w:val="clear" w:color="auto" w:fill="auto"/>
            <w:vAlign w:val="center"/>
          </w:tcPr>
          <w:p>
            <w:pPr>
              <w:widowControl/>
              <w:rPr>
                <w:rFonts w:hint="default" w:ascii="宋体" w:hAnsi="宋体" w:eastAsia="宋体"/>
                <w:sz w:val="18"/>
                <w:szCs w:val="18"/>
                <w:lang w:val="en-US" w:eastAsia="zh-CN"/>
              </w:rPr>
            </w:pPr>
            <w:r>
              <w:rPr>
                <w:rFonts w:hint="eastAsia" w:ascii="宋体" w:hAnsi="宋体"/>
                <w:sz w:val="18"/>
                <w:szCs w:val="18"/>
                <w:lang w:eastAsia="zh-CN"/>
              </w:rPr>
              <w:t>宁波市奉化区金水东庭</w:t>
            </w:r>
            <w:r>
              <w:rPr>
                <w:rFonts w:hint="eastAsia" w:ascii="宋体" w:hAnsi="宋体"/>
                <w:sz w:val="18"/>
                <w:szCs w:val="18"/>
                <w:lang w:val="en-US" w:eastAsia="zh-CN"/>
              </w:rPr>
              <w:t>8幢301室</w:t>
            </w:r>
          </w:p>
        </w:tc>
        <w:tc>
          <w:tcPr>
            <w:tcW w:w="1354" w:type="dxa"/>
            <w:shd w:val="clear" w:color="auto" w:fill="auto"/>
            <w:vAlign w:val="center"/>
          </w:tcPr>
          <w:p>
            <w:pPr>
              <w:widowControl/>
              <w:rPr>
                <w:rFonts w:ascii="宋体"/>
                <w:color w:val="000000"/>
                <w:kern w:val="0"/>
                <w:sz w:val="18"/>
                <w:szCs w:val="18"/>
              </w:rPr>
            </w:pPr>
            <w:r>
              <w:rPr>
                <w:rFonts w:hint="eastAsia" w:ascii="宋体" w:hAnsi="宋体"/>
                <w:sz w:val="18"/>
                <w:szCs w:val="18"/>
              </w:rPr>
              <w:t>不动产单元号</w:t>
            </w:r>
          </w:p>
        </w:tc>
        <w:tc>
          <w:tcPr>
            <w:tcW w:w="3056" w:type="dxa"/>
            <w:gridSpan w:val="3"/>
            <w:shd w:val="clear" w:color="auto" w:fill="auto"/>
            <w:vAlign w:val="center"/>
          </w:tcPr>
          <w:p>
            <w:pPr>
              <w:widowControl/>
              <w:rPr>
                <w:rFonts w:hint="default" w:ascii="宋体" w:hAnsi="宋体"/>
                <w:sz w:val="18"/>
                <w:szCs w:val="18"/>
                <w:lang w:val="en-US" w:eastAsia="zh-CN"/>
              </w:rPr>
            </w:pPr>
            <w:r>
              <w:rPr>
                <w:rFonts w:hint="eastAsia" w:ascii="宋体" w:hAnsi="宋体"/>
                <w:sz w:val="18"/>
                <w:szCs w:val="18"/>
                <w:lang w:val="en-US" w:eastAsia="zh-CN"/>
              </w:rPr>
              <w:t>330283006024GB02436F00080012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color w:val="000000"/>
                <w:kern w:val="0"/>
                <w:sz w:val="18"/>
                <w:szCs w:val="18"/>
              </w:rPr>
            </w:pPr>
            <w:r>
              <w:rPr>
                <w:rFonts w:hint="eastAsia" w:ascii="宋体" w:hAnsi="宋体"/>
                <w:sz w:val="18"/>
                <w:szCs w:val="18"/>
              </w:rPr>
              <w:t>权利类型</w:t>
            </w:r>
          </w:p>
        </w:tc>
        <w:tc>
          <w:tcPr>
            <w:tcW w:w="3212" w:type="dxa"/>
            <w:gridSpan w:val="3"/>
            <w:shd w:val="clear" w:color="auto" w:fill="auto"/>
            <w:vAlign w:val="center"/>
          </w:tcPr>
          <w:p>
            <w:pPr>
              <w:widowControl/>
              <w:rPr>
                <w:rFonts w:ascii="宋体"/>
                <w:color w:val="000000"/>
                <w:sz w:val="18"/>
                <w:szCs w:val="18"/>
              </w:rPr>
            </w:pPr>
            <w:r>
              <w:rPr>
                <w:rFonts w:hint="eastAsia" w:ascii="宋体" w:hAnsi="宋体"/>
                <w:sz w:val="18"/>
                <w:szCs w:val="18"/>
              </w:rPr>
              <w:t>国有建设用地使用权/房屋所有权</w:t>
            </w:r>
          </w:p>
        </w:tc>
        <w:tc>
          <w:tcPr>
            <w:tcW w:w="1354" w:type="dxa"/>
            <w:shd w:val="clear" w:color="auto" w:fill="auto"/>
            <w:vAlign w:val="center"/>
          </w:tcPr>
          <w:p>
            <w:pPr>
              <w:widowControl/>
              <w:rPr>
                <w:rFonts w:ascii="宋体"/>
                <w:color w:val="000000"/>
                <w:sz w:val="18"/>
                <w:szCs w:val="18"/>
              </w:rPr>
            </w:pPr>
            <w:r>
              <w:rPr>
                <w:rFonts w:hint="eastAsia" w:ascii="宋体" w:hAnsi="宋体"/>
                <w:sz w:val="18"/>
                <w:szCs w:val="18"/>
              </w:rPr>
              <w:t>权利性质</w:t>
            </w:r>
          </w:p>
        </w:tc>
        <w:tc>
          <w:tcPr>
            <w:tcW w:w="3056" w:type="dxa"/>
            <w:gridSpan w:val="3"/>
            <w:shd w:val="clear" w:color="auto" w:fill="auto"/>
            <w:vAlign w:val="center"/>
          </w:tcPr>
          <w:p>
            <w:pPr>
              <w:widowControl/>
              <w:rPr>
                <w:rFonts w:hint="eastAsia" w:ascii="宋体" w:eastAsia="宋体"/>
                <w:color w:val="000000"/>
                <w:sz w:val="18"/>
                <w:szCs w:val="18"/>
                <w:lang w:eastAsia="zh-CN"/>
              </w:rPr>
            </w:pPr>
            <w:r>
              <w:rPr>
                <w:rFonts w:hint="eastAsia" w:ascii="宋体" w:hAnsi="宋体"/>
                <w:sz w:val="18"/>
                <w:szCs w:val="18"/>
                <w:lang w:eastAsia="zh-CN"/>
              </w:rPr>
              <w:t>划拨</w:t>
            </w:r>
            <w:r>
              <w:rPr>
                <w:rFonts w:hint="eastAsia" w:ascii="宋体" w:hAnsi="宋体"/>
                <w:sz w:val="18"/>
                <w:szCs w:val="18"/>
              </w:rPr>
              <w:t>/</w:t>
            </w:r>
            <w:r>
              <w:rPr>
                <w:rFonts w:hint="eastAsia" w:ascii="宋体" w:hAnsi="宋体"/>
                <w:sz w:val="18"/>
                <w:szCs w:val="18"/>
                <w:lang w:eastAsia="zh-CN"/>
              </w:rPr>
              <w:t>动迁房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color w:val="000000"/>
                <w:sz w:val="18"/>
                <w:szCs w:val="18"/>
              </w:rPr>
            </w:pPr>
            <w:r>
              <w:rPr>
                <w:rFonts w:hint="eastAsia" w:ascii="宋体"/>
                <w:color w:val="000000"/>
                <w:sz w:val="18"/>
                <w:szCs w:val="18"/>
              </w:rPr>
              <w:t>用途</w:t>
            </w:r>
          </w:p>
        </w:tc>
        <w:tc>
          <w:tcPr>
            <w:tcW w:w="7622" w:type="dxa"/>
            <w:gridSpan w:val="7"/>
            <w:shd w:val="clear" w:color="auto" w:fill="auto"/>
            <w:vAlign w:val="center"/>
          </w:tcPr>
          <w:p>
            <w:pPr>
              <w:widowControl/>
              <w:rPr>
                <w:rFonts w:ascii="宋体"/>
                <w:color w:val="000000"/>
                <w:sz w:val="18"/>
                <w:szCs w:val="18"/>
              </w:rPr>
            </w:pPr>
            <w:r>
              <w:rPr>
                <w:rFonts w:hint="eastAsia" w:ascii="宋体" w:hAnsi="宋体"/>
                <w:sz w:val="18"/>
                <w:szCs w:val="18"/>
                <w:lang w:eastAsia="zh-CN"/>
              </w:rPr>
              <w:t>城镇</w:t>
            </w:r>
            <w:r>
              <w:rPr>
                <w:rFonts w:hint="eastAsia" w:ascii="宋体" w:hAnsi="宋体"/>
                <w:sz w:val="18"/>
                <w:szCs w:val="18"/>
              </w:rPr>
              <w:t>住宅用地/住宅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color w:val="000000"/>
                <w:sz w:val="18"/>
                <w:szCs w:val="18"/>
              </w:rPr>
            </w:pPr>
            <w:r>
              <w:rPr>
                <w:rFonts w:hint="eastAsia" w:ascii="宋体"/>
                <w:color w:val="000000"/>
                <w:sz w:val="18"/>
                <w:szCs w:val="18"/>
              </w:rPr>
              <w:t>面积</w:t>
            </w:r>
          </w:p>
        </w:tc>
        <w:tc>
          <w:tcPr>
            <w:tcW w:w="7622" w:type="dxa"/>
            <w:gridSpan w:val="7"/>
            <w:shd w:val="clear" w:color="auto" w:fill="auto"/>
            <w:vAlign w:val="center"/>
          </w:tcPr>
          <w:p>
            <w:pPr>
              <w:widowControl/>
              <w:rPr>
                <w:rFonts w:ascii="宋体"/>
                <w:color w:val="000000"/>
                <w:sz w:val="18"/>
                <w:szCs w:val="18"/>
              </w:rPr>
            </w:pPr>
            <w:r>
              <w:rPr>
                <w:rFonts w:hint="eastAsia" w:ascii="宋体" w:hAnsi="宋体"/>
                <w:sz w:val="18"/>
                <w:szCs w:val="18"/>
              </w:rPr>
              <w:t>土地使用权面积</w:t>
            </w:r>
            <w:r>
              <w:rPr>
                <w:rFonts w:hint="eastAsia" w:ascii="宋体" w:hAnsi="宋体"/>
                <w:sz w:val="18"/>
                <w:szCs w:val="18"/>
                <w:lang w:val="en-US" w:eastAsia="zh-CN"/>
              </w:rPr>
              <w:t>19.59</w:t>
            </w:r>
            <w:r>
              <w:rPr>
                <w:rFonts w:hint="eastAsia" w:ascii="宋体" w:hAnsi="宋体"/>
                <w:sz w:val="18"/>
                <w:szCs w:val="18"/>
              </w:rPr>
              <w:t>㎡/房屋建筑面积</w:t>
            </w:r>
            <w:r>
              <w:rPr>
                <w:rFonts w:hint="eastAsia" w:ascii="宋体" w:hAnsi="宋体"/>
                <w:sz w:val="18"/>
                <w:szCs w:val="18"/>
                <w:lang w:val="en-US" w:eastAsia="zh-CN"/>
              </w:rPr>
              <w:t>116.1</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color w:val="000000"/>
                <w:sz w:val="18"/>
                <w:szCs w:val="18"/>
              </w:rPr>
            </w:pPr>
            <w:r>
              <w:rPr>
                <w:rFonts w:hint="eastAsia" w:ascii="宋体"/>
                <w:color w:val="000000"/>
                <w:sz w:val="18"/>
                <w:szCs w:val="18"/>
              </w:rPr>
              <w:t>使用期限</w:t>
            </w:r>
          </w:p>
        </w:tc>
        <w:tc>
          <w:tcPr>
            <w:tcW w:w="7622" w:type="dxa"/>
            <w:gridSpan w:val="7"/>
            <w:shd w:val="clear" w:color="auto" w:fill="auto"/>
            <w:vAlign w:val="center"/>
          </w:tcPr>
          <w:p>
            <w:pPr>
              <w:widowControl/>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gridSpan w:val="2"/>
            <w:shd w:val="clear" w:color="auto" w:fill="auto"/>
            <w:vAlign w:val="center"/>
          </w:tcPr>
          <w:p>
            <w:pPr>
              <w:widowControl/>
              <w:rPr>
                <w:rFonts w:ascii="宋体"/>
                <w:color w:val="000000"/>
                <w:sz w:val="18"/>
                <w:szCs w:val="18"/>
              </w:rPr>
            </w:pPr>
            <w:r>
              <w:rPr>
                <w:rFonts w:hint="eastAsia" w:ascii="宋体"/>
                <w:color w:val="000000"/>
                <w:sz w:val="18"/>
                <w:szCs w:val="18"/>
              </w:rPr>
              <w:t>权利其他状况</w:t>
            </w:r>
          </w:p>
        </w:tc>
        <w:tc>
          <w:tcPr>
            <w:tcW w:w="7622" w:type="dxa"/>
            <w:gridSpan w:val="7"/>
            <w:shd w:val="clear" w:color="auto" w:fill="auto"/>
            <w:vAlign w:val="center"/>
          </w:tcPr>
          <w:p>
            <w:pPr>
              <w:widowControl/>
              <w:rPr>
                <w:rFonts w:ascii="宋体"/>
                <w:color w:val="000000"/>
                <w:sz w:val="18"/>
                <w:szCs w:val="18"/>
              </w:rPr>
            </w:pPr>
            <w:r>
              <w:rPr>
                <w:rFonts w:hint="eastAsia" w:ascii="宋体"/>
                <w:color w:val="000000"/>
                <w:sz w:val="18"/>
                <w:szCs w:val="18"/>
              </w:rPr>
              <w:t>土地使用权面积</w:t>
            </w:r>
            <w:r>
              <w:rPr>
                <w:rFonts w:hint="eastAsia" w:ascii="宋体"/>
                <w:color w:val="000000"/>
                <w:sz w:val="18"/>
                <w:szCs w:val="18"/>
                <w:lang w:val="en-US" w:eastAsia="zh-CN"/>
              </w:rPr>
              <w:t>19.59</w:t>
            </w:r>
            <w:r>
              <w:rPr>
                <w:rFonts w:hint="eastAsia" w:ascii="宋体"/>
                <w:color w:val="000000"/>
                <w:sz w:val="18"/>
                <w:szCs w:val="18"/>
              </w:rPr>
              <w:t>㎡，其中独用土地面积0㎡，分摊土地面积</w:t>
            </w:r>
            <w:r>
              <w:rPr>
                <w:rFonts w:hint="eastAsia" w:ascii="宋体"/>
                <w:color w:val="000000"/>
                <w:sz w:val="18"/>
                <w:szCs w:val="18"/>
                <w:lang w:val="en-US" w:eastAsia="zh-CN"/>
              </w:rPr>
              <w:t>19.59</w:t>
            </w:r>
            <w:r>
              <w:rPr>
                <w:rFonts w:hint="eastAsia" w:asci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789" w:type="dxa"/>
            <w:gridSpan w:val="9"/>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附记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3"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序号</w:t>
            </w:r>
          </w:p>
        </w:tc>
        <w:tc>
          <w:tcPr>
            <w:tcW w:w="1084"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所在层</w:t>
            </w:r>
          </w:p>
        </w:tc>
        <w:tc>
          <w:tcPr>
            <w:tcW w:w="1524"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总层数</w:t>
            </w:r>
          </w:p>
        </w:tc>
        <w:tc>
          <w:tcPr>
            <w:tcW w:w="1524"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规划用途</w:t>
            </w:r>
          </w:p>
        </w:tc>
        <w:tc>
          <w:tcPr>
            <w:tcW w:w="1524" w:type="dxa"/>
            <w:gridSpan w:val="3"/>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建筑面积</w:t>
            </w:r>
          </w:p>
        </w:tc>
        <w:tc>
          <w:tcPr>
            <w:tcW w:w="1524"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专有建筑面积</w:t>
            </w:r>
          </w:p>
        </w:tc>
        <w:tc>
          <w:tcPr>
            <w:tcW w:w="1526"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分摊建筑面积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3" w:type="dxa"/>
            <w:shd w:val="clear" w:color="auto" w:fill="auto"/>
            <w:vAlign w:val="center"/>
          </w:tcPr>
          <w:p>
            <w:pPr>
              <w:widowControl/>
              <w:jc w:val="center"/>
              <w:rPr>
                <w:rFonts w:hint="eastAsia" w:ascii="宋体" w:eastAsia="宋体"/>
                <w:color w:val="000000"/>
                <w:sz w:val="18"/>
                <w:szCs w:val="18"/>
                <w:lang w:val="en-US" w:eastAsia="zh-CN"/>
              </w:rPr>
            </w:pPr>
            <w:r>
              <w:rPr>
                <w:rFonts w:hint="eastAsia" w:ascii="宋体"/>
                <w:color w:val="000000"/>
                <w:sz w:val="18"/>
                <w:szCs w:val="18"/>
                <w:lang w:val="en-US" w:eastAsia="zh-CN"/>
              </w:rPr>
              <w:t>1</w:t>
            </w:r>
          </w:p>
        </w:tc>
        <w:tc>
          <w:tcPr>
            <w:tcW w:w="1084" w:type="dxa"/>
            <w:shd w:val="clear" w:color="auto" w:fill="auto"/>
            <w:vAlign w:val="center"/>
          </w:tcPr>
          <w:p>
            <w:pPr>
              <w:widowControl/>
              <w:jc w:val="center"/>
              <w:rPr>
                <w:rFonts w:hint="eastAsia" w:ascii="宋体" w:eastAsia="宋体"/>
                <w:color w:val="000000"/>
                <w:sz w:val="18"/>
                <w:szCs w:val="18"/>
                <w:lang w:val="en-US" w:eastAsia="zh-CN"/>
              </w:rPr>
            </w:pPr>
            <w:r>
              <w:rPr>
                <w:rFonts w:hint="eastAsia" w:ascii="宋体"/>
                <w:color w:val="000000"/>
                <w:sz w:val="18"/>
                <w:szCs w:val="18"/>
                <w:lang w:val="en-US" w:eastAsia="zh-CN"/>
              </w:rPr>
              <w:t>1</w:t>
            </w:r>
          </w:p>
        </w:tc>
        <w:tc>
          <w:tcPr>
            <w:tcW w:w="1524" w:type="dxa"/>
            <w:shd w:val="clear" w:color="auto" w:fill="auto"/>
            <w:vAlign w:val="center"/>
          </w:tcPr>
          <w:p>
            <w:pPr>
              <w:widowControl/>
              <w:jc w:val="center"/>
              <w:rPr>
                <w:rFonts w:hint="default" w:ascii="宋体" w:eastAsia="宋体"/>
                <w:color w:val="000000"/>
                <w:sz w:val="18"/>
                <w:szCs w:val="18"/>
                <w:lang w:val="en-US" w:eastAsia="zh-CN"/>
              </w:rPr>
            </w:pPr>
            <w:r>
              <w:rPr>
                <w:rFonts w:hint="eastAsia" w:ascii="宋体"/>
                <w:color w:val="000000"/>
                <w:sz w:val="18"/>
                <w:szCs w:val="18"/>
                <w:lang w:val="en-US" w:eastAsia="zh-CN"/>
              </w:rPr>
              <w:t>12</w:t>
            </w:r>
          </w:p>
        </w:tc>
        <w:tc>
          <w:tcPr>
            <w:tcW w:w="1524"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附属用房</w:t>
            </w:r>
          </w:p>
        </w:tc>
        <w:tc>
          <w:tcPr>
            <w:tcW w:w="1524" w:type="dxa"/>
            <w:gridSpan w:val="3"/>
            <w:shd w:val="clear" w:color="auto" w:fill="auto"/>
            <w:vAlign w:val="center"/>
          </w:tcPr>
          <w:p>
            <w:pPr>
              <w:widowControl/>
              <w:jc w:val="center"/>
              <w:rPr>
                <w:rFonts w:hint="default" w:ascii="宋体" w:eastAsia="宋体"/>
                <w:color w:val="000000"/>
                <w:sz w:val="18"/>
                <w:szCs w:val="18"/>
                <w:lang w:val="en-US" w:eastAsia="zh-CN"/>
              </w:rPr>
            </w:pPr>
            <w:r>
              <w:rPr>
                <w:rFonts w:hint="eastAsia" w:ascii="宋体"/>
                <w:color w:val="000000"/>
                <w:sz w:val="18"/>
                <w:szCs w:val="18"/>
                <w:lang w:val="en-US" w:eastAsia="zh-CN"/>
              </w:rPr>
              <w:t>11.54㎡</w:t>
            </w:r>
          </w:p>
        </w:tc>
        <w:tc>
          <w:tcPr>
            <w:tcW w:w="1524" w:type="dxa"/>
            <w:shd w:val="clear" w:color="auto" w:fill="auto"/>
            <w:vAlign w:val="center"/>
          </w:tcPr>
          <w:p>
            <w:pPr>
              <w:widowControl/>
              <w:jc w:val="center"/>
              <w:rPr>
                <w:rFonts w:hint="eastAsia" w:ascii="宋体"/>
                <w:color w:val="000000"/>
                <w:sz w:val="18"/>
                <w:szCs w:val="18"/>
              </w:rPr>
            </w:pPr>
            <w:r>
              <w:rPr>
                <w:rFonts w:hint="eastAsia" w:ascii="宋体"/>
                <w:color w:val="000000"/>
                <w:sz w:val="18"/>
                <w:szCs w:val="18"/>
                <w:lang w:val="en-US" w:eastAsia="zh-CN"/>
              </w:rPr>
              <w:t>6.49㎡</w:t>
            </w:r>
          </w:p>
        </w:tc>
        <w:tc>
          <w:tcPr>
            <w:tcW w:w="1526" w:type="dxa"/>
            <w:shd w:val="clear" w:color="auto" w:fill="auto"/>
            <w:vAlign w:val="center"/>
          </w:tcPr>
          <w:p>
            <w:pPr>
              <w:widowControl/>
              <w:jc w:val="center"/>
              <w:rPr>
                <w:rFonts w:hint="eastAsia" w:ascii="宋体"/>
                <w:color w:val="000000"/>
                <w:sz w:val="18"/>
                <w:szCs w:val="18"/>
              </w:rPr>
            </w:pPr>
            <w:r>
              <w:rPr>
                <w:rFonts w:hint="eastAsia" w:ascii="宋体"/>
                <w:color w:val="000000"/>
                <w:sz w:val="18"/>
                <w:szCs w:val="18"/>
                <w:lang w:val="en-US" w:eastAsia="zh-CN"/>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3" w:type="dxa"/>
            <w:shd w:val="clear" w:color="auto" w:fill="auto"/>
            <w:vAlign w:val="center"/>
          </w:tcPr>
          <w:p>
            <w:pPr>
              <w:widowControl/>
              <w:jc w:val="center"/>
              <w:rPr>
                <w:rFonts w:hint="eastAsia" w:ascii="宋体" w:eastAsia="宋体"/>
                <w:color w:val="000000"/>
                <w:sz w:val="18"/>
                <w:szCs w:val="18"/>
                <w:lang w:val="en-US" w:eastAsia="zh-CN"/>
              </w:rPr>
            </w:pPr>
            <w:r>
              <w:rPr>
                <w:rFonts w:hint="eastAsia" w:ascii="宋体"/>
                <w:color w:val="000000"/>
                <w:sz w:val="18"/>
                <w:szCs w:val="18"/>
                <w:lang w:val="en-US" w:eastAsia="zh-CN"/>
              </w:rPr>
              <w:t>2</w:t>
            </w:r>
          </w:p>
        </w:tc>
        <w:tc>
          <w:tcPr>
            <w:tcW w:w="1084" w:type="dxa"/>
            <w:shd w:val="clear" w:color="auto" w:fill="auto"/>
            <w:vAlign w:val="center"/>
          </w:tcPr>
          <w:p>
            <w:pPr>
              <w:widowControl/>
              <w:jc w:val="center"/>
              <w:rPr>
                <w:rFonts w:hint="eastAsia" w:ascii="宋体" w:eastAsia="宋体"/>
                <w:color w:val="000000"/>
                <w:sz w:val="18"/>
                <w:szCs w:val="18"/>
                <w:lang w:val="en-US" w:eastAsia="zh-CN"/>
              </w:rPr>
            </w:pPr>
            <w:r>
              <w:rPr>
                <w:rFonts w:hint="eastAsia" w:ascii="宋体"/>
                <w:color w:val="000000"/>
                <w:sz w:val="18"/>
                <w:szCs w:val="18"/>
                <w:lang w:val="en-US" w:eastAsia="zh-CN"/>
              </w:rPr>
              <w:t>3</w:t>
            </w:r>
          </w:p>
        </w:tc>
        <w:tc>
          <w:tcPr>
            <w:tcW w:w="1524" w:type="dxa"/>
            <w:shd w:val="clear" w:color="auto" w:fill="auto"/>
            <w:vAlign w:val="center"/>
          </w:tcPr>
          <w:p>
            <w:pPr>
              <w:widowControl/>
              <w:jc w:val="center"/>
              <w:rPr>
                <w:rFonts w:hint="default" w:ascii="宋体" w:eastAsia="宋体"/>
                <w:color w:val="000000"/>
                <w:sz w:val="18"/>
                <w:szCs w:val="18"/>
                <w:lang w:val="en-US" w:eastAsia="zh-CN"/>
              </w:rPr>
            </w:pPr>
            <w:r>
              <w:rPr>
                <w:rFonts w:hint="eastAsia" w:ascii="宋体"/>
                <w:color w:val="000000"/>
                <w:sz w:val="18"/>
                <w:szCs w:val="18"/>
                <w:lang w:val="en-US" w:eastAsia="zh-CN"/>
              </w:rPr>
              <w:t>12</w:t>
            </w:r>
          </w:p>
        </w:tc>
        <w:tc>
          <w:tcPr>
            <w:tcW w:w="1524" w:type="dxa"/>
            <w:shd w:val="clear" w:color="auto" w:fill="auto"/>
            <w:vAlign w:val="center"/>
          </w:tcPr>
          <w:p>
            <w:pPr>
              <w:widowControl/>
              <w:jc w:val="center"/>
              <w:rPr>
                <w:rFonts w:hint="eastAsia" w:ascii="宋体" w:eastAsia="宋体"/>
                <w:color w:val="000000"/>
                <w:sz w:val="18"/>
                <w:szCs w:val="18"/>
                <w:lang w:eastAsia="zh-CN"/>
              </w:rPr>
            </w:pPr>
            <w:r>
              <w:rPr>
                <w:rFonts w:hint="eastAsia" w:ascii="宋体"/>
                <w:color w:val="000000"/>
                <w:sz w:val="18"/>
                <w:szCs w:val="18"/>
                <w:lang w:eastAsia="zh-CN"/>
              </w:rPr>
              <w:t>住宅</w:t>
            </w:r>
          </w:p>
        </w:tc>
        <w:tc>
          <w:tcPr>
            <w:tcW w:w="1524" w:type="dxa"/>
            <w:gridSpan w:val="3"/>
            <w:shd w:val="clear" w:color="auto" w:fill="auto"/>
            <w:vAlign w:val="center"/>
          </w:tcPr>
          <w:p>
            <w:pPr>
              <w:widowControl/>
              <w:jc w:val="center"/>
              <w:rPr>
                <w:rFonts w:hint="eastAsia" w:ascii="宋体"/>
                <w:color w:val="000000"/>
                <w:sz w:val="18"/>
                <w:szCs w:val="18"/>
              </w:rPr>
            </w:pPr>
            <w:r>
              <w:rPr>
                <w:rFonts w:hint="eastAsia" w:ascii="宋体"/>
                <w:color w:val="000000"/>
                <w:sz w:val="18"/>
                <w:szCs w:val="18"/>
                <w:lang w:val="en-US" w:eastAsia="zh-CN"/>
              </w:rPr>
              <w:t>116.10㎡</w:t>
            </w:r>
          </w:p>
        </w:tc>
        <w:tc>
          <w:tcPr>
            <w:tcW w:w="1524" w:type="dxa"/>
            <w:shd w:val="clear" w:color="auto" w:fill="auto"/>
            <w:vAlign w:val="center"/>
          </w:tcPr>
          <w:p>
            <w:pPr>
              <w:widowControl/>
              <w:jc w:val="center"/>
              <w:rPr>
                <w:rFonts w:hint="eastAsia" w:ascii="宋体"/>
                <w:color w:val="000000"/>
                <w:sz w:val="18"/>
                <w:szCs w:val="18"/>
              </w:rPr>
            </w:pPr>
            <w:r>
              <w:rPr>
                <w:rFonts w:hint="eastAsia" w:ascii="宋体"/>
                <w:color w:val="000000"/>
                <w:sz w:val="18"/>
                <w:szCs w:val="18"/>
                <w:lang w:val="en-US" w:eastAsia="zh-CN"/>
              </w:rPr>
              <w:t>91.40㎡</w:t>
            </w:r>
          </w:p>
        </w:tc>
        <w:tc>
          <w:tcPr>
            <w:tcW w:w="1526" w:type="dxa"/>
            <w:shd w:val="clear" w:color="auto" w:fill="auto"/>
            <w:vAlign w:val="center"/>
          </w:tcPr>
          <w:p>
            <w:pPr>
              <w:widowControl/>
              <w:jc w:val="center"/>
              <w:rPr>
                <w:rFonts w:hint="eastAsia" w:ascii="宋体"/>
                <w:color w:val="000000"/>
                <w:sz w:val="18"/>
                <w:szCs w:val="18"/>
              </w:rPr>
            </w:pPr>
            <w:r>
              <w:rPr>
                <w:rFonts w:hint="eastAsia" w:ascii="宋体"/>
                <w:color w:val="000000"/>
                <w:sz w:val="18"/>
                <w:szCs w:val="18"/>
                <w:lang w:val="en-US" w:eastAsia="zh-CN"/>
              </w:rPr>
              <w:t>24.70㎡</w:t>
            </w:r>
          </w:p>
        </w:tc>
      </w:tr>
    </w:tbl>
    <w:p>
      <w:pPr>
        <w:keepNext w:val="0"/>
        <w:keepLines w:val="0"/>
        <w:pageBreakBefore w:val="0"/>
        <w:widowControl w:val="0"/>
        <w:numPr>
          <w:ilvl w:val="0"/>
          <w:numId w:val="0"/>
        </w:numPr>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（2）使用情况：至价值时点，估价对象现</w:t>
      </w:r>
      <w:r>
        <w:rPr>
          <w:rFonts w:hint="eastAsia" w:ascii="宋体" w:hAnsi="宋体"/>
          <w:sz w:val="24"/>
          <w:lang w:eastAsia="zh-CN"/>
        </w:rPr>
        <w:t>空置</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（四）房地产区位状况：</w:t>
      </w:r>
    </w:p>
    <w:p>
      <w:pPr>
        <w:keepNext w:val="0"/>
        <w:keepLines w:val="0"/>
        <w:pageBreakBefore w:val="0"/>
        <w:widowControl w:val="0"/>
        <w:kinsoku/>
        <w:wordWrap/>
        <w:overflowPunct/>
        <w:topLinePunct w:val="0"/>
        <w:autoSpaceDE/>
        <w:autoSpaceDN/>
        <w:bidi w:val="0"/>
        <w:spacing w:line="480" w:lineRule="atLeast"/>
        <w:ind w:firstLine="480" w:firstLineChars="200"/>
        <w:jc w:val="left"/>
        <w:textAlignment w:val="auto"/>
        <w:rPr>
          <w:rFonts w:ascii="宋体" w:hAnsi="宋体"/>
          <w:sz w:val="24"/>
        </w:rPr>
      </w:pPr>
      <w:r>
        <w:rPr>
          <w:rFonts w:hint="eastAsia" w:ascii="宋体" w:hAnsi="宋体"/>
          <w:sz w:val="24"/>
        </w:rPr>
        <w:t>估价对象位于</w:t>
      </w:r>
      <w:r>
        <w:rPr>
          <w:rFonts w:hint="eastAsia" w:ascii="宋体" w:hAnsi="宋体"/>
          <w:color w:val="auto"/>
          <w:sz w:val="24"/>
          <w:szCs w:val="28"/>
          <w:lang w:eastAsia="zh-CN"/>
        </w:rPr>
        <w:t>宁波市奉化区金水东庭</w:t>
      </w:r>
      <w:r>
        <w:rPr>
          <w:rFonts w:hint="eastAsia" w:ascii="宋体" w:hAnsi="宋体"/>
          <w:sz w:val="24"/>
        </w:rPr>
        <w:t>，</w:t>
      </w:r>
      <w:r>
        <w:rPr>
          <w:rFonts w:hint="eastAsia" w:ascii="宋体" w:hAnsi="宋体"/>
          <w:sz w:val="24"/>
          <w:szCs w:val="28"/>
        </w:rPr>
        <w:t>该小区</w:t>
      </w:r>
      <w:r>
        <w:rPr>
          <w:rFonts w:hint="eastAsia" w:ascii="宋体" w:hAnsi="宋体"/>
          <w:sz w:val="24"/>
          <w:szCs w:val="28"/>
          <w:lang w:eastAsia="zh-CN"/>
        </w:rPr>
        <w:t>东临金钟路，南临岳林东路，北近中山东路，</w:t>
      </w:r>
      <w:r>
        <w:rPr>
          <w:rFonts w:hint="eastAsia" w:ascii="宋体" w:hAnsi="宋体"/>
          <w:sz w:val="24"/>
        </w:rPr>
        <w:t>交通便利。周边有</w:t>
      </w:r>
      <w:r>
        <w:rPr>
          <w:rFonts w:hint="eastAsia" w:ascii="宋体" w:hAnsi="宋体"/>
          <w:sz w:val="24"/>
          <w:lang w:eastAsia="zh-CN"/>
        </w:rPr>
        <w:t>金义二弄、金义一弄</w:t>
      </w:r>
      <w:r>
        <w:rPr>
          <w:rFonts w:hint="eastAsia" w:ascii="宋体" w:hAnsi="宋体"/>
          <w:sz w:val="24"/>
        </w:rPr>
        <w:t>等住宅小区及</w:t>
      </w:r>
      <w:r>
        <w:rPr>
          <w:rFonts w:hint="eastAsia" w:ascii="宋体" w:hAnsi="宋体"/>
          <w:sz w:val="24"/>
          <w:lang w:eastAsia="zh-CN"/>
        </w:rPr>
        <w:t>奉化区妇幼保健院、岳林公园、岳林中心小学</w:t>
      </w:r>
      <w:r>
        <w:rPr>
          <w:rFonts w:hint="eastAsia" w:ascii="宋体" w:hAnsi="宋体"/>
          <w:sz w:val="24"/>
        </w:rPr>
        <w:t>等生活、教育配套设施，居住环境好。</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五、价值时点</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sz w:val="24"/>
        </w:rPr>
      </w:pPr>
      <w:r>
        <w:rPr>
          <w:rFonts w:hint="eastAsia" w:ascii="宋体" w:hAnsi="宋体"/>
          <w:sz w:val="24"/>
          <w:lang w:eastAsia="zh-CN"/>
        </w:rPr>
        <w:t>2022年9月6日</w:t>
      </w:r>
      <w:r>
        <w:rPr>
          <w:rFonts w:hint="eastAsia" w:ascii="宋体" w:hAnsi="宋体"/>
          <w:sz w:val="24"/>
        </w:rPr>
        <w:t>（实地查勘之日）</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六、价值类型</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ascii="宋体" w:hAnsi="宋体"/>
          <w:sz w:val="24"/>
        </w:rPr>
      </w:pPr>
      <w:r>
        <w:rPr>
          <w:rFonts w:hint="eastAsia" w:ascii="宋体" w:hAnsi="宋体"/>
          <w:sz w:val="24"/>
        </w:rPr>
        <w:t>本次估价采用公开市场状态下的价值标准。</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sz w:val="24"/>
        </w:rPr>
      </w:pPr>
      <w:r>
        <w:rPr>
          <w:rFonts w:hint="eastAsia" w:ascii="宋体" w:hAnsi="宋体"/>
          <w:sz w:val="24"/>
        </w:rPr>
        <w:t>公开市场价值是指在价值时点估价对象在该市场上交易双方进行交易，目的在于最大限度地追求经济利益，并掌握必要的市场信息，有较充裕的时间进行交易，对交易对象具有必要的专业知识，交易条件公开并不具有排它性的公开市场上所最可能形成的价格。</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七、估价原则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本次估价在遵循独立、客观、公正、合法的原则及最高最佳利用原则、价值时点原则、替代原则等技术性原则下，结合估价目的对估价对象进行估价。具体依据估价原则如下：</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（一）遵循独立、客观、公正原则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（二）遵循合法原则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（三）遵循价值时点原则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（四）遵循替代原则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（五）遵循最高最佳利用原则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sz w:val="24"/>
        </w:rPr>
      </w:pPr>
      <w:r>
        <w:rPr>
          <w:rFonts w:hint="eastAsia" w:ascii="宋体" w:hAnsi="宋体"/>
          <w:sz w:val="24"/>
        </w:rPr>
        <w:t>最高最佳利用指房地产在法律上允许、技术上可能、财务上可行并使价值最大的合理、可能的利用，包括最佳的用途、规模、档次等。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八、估价依据</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（一）《中华人民共和国</w:t>
      </w:r>
      <w:r>
        <w:rPr>
          <w:rFonts w:hint="eastAsia" w:ascii="宋体" w:hAnsi="宋体"/>
          <w:sz w:val="24"/>
          <w:lang w:eastAsia="zh-CN"/>
        </w:rPr>
        <w:t>民法典</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（二）《中华人民共和国资产评估法》。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color w:val="FF0000"/>
          <w:sz w:val="24"/>
        </w:rPr>
      </w:pPr>
      <w:r>
        <w:rPr>
          <w:rFonts w:hint="eastAsia" w:ascii="宋体" w:hAnsi="宋体"/>
          <w:sz w:val="24"/>
        </w:rPr>
        <w:t>（三）《中华人民共和国城市房地产管理法》。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（四）《中华人民共和国土地管理法》。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（五）中华人民共和国国家标准《房地产估价规范》（GB/T50291-2015）、《房地产估价基本术语标准》（GB/T50899-2013）。</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color w:val="000000"/>
          <w:sz w:val="24"/>
        </w:rPr>
      </w:pPr>
      <w:r>
        <w:rPr>
          <w:rFonts w:hint="eastAsia" w:ascii="宋体" w:hAnsi="宋体"/>
          <w:sz w:val="24"/>
        </w:rPr>
        <w:t>（六）</w:t>
      </w:r>
      <w:r>
        <w:rPr>
          <w:rFonts w:hint="eastAsia" w:ascii="宋体" w:hAnsi="宋体"/>
          <w:color w:val="000000"/>
          <w:sz w:val="24"/>
        </w:rPr>
        <w:t>《司法鉴定程序通则》（司法部令第132号）。</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（七）估价人员现场勘察记录及市场调查信息资料。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（八）本估价机构掌握的房地产市场相关资料。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color w:val="auto"/>
          <w:sz w:val="24"/>
        </w:rPr>
        <w:t>（九）估价委托人提供的《</w:t>
      </w:r>
      <w:r>
        <w:rPr>
          <w:rFonts w:hint="eastAsia" w:ascii="宋体" w:hAnsi="宋体"/>
          <w:color w:val="auto"/>
          <w:sz w:val="24"/>
          <w:lang w:eastAsia="zh-CN"/>
        </w:rPr>
        <w:t>司法评估诉讼书</w:t>
      </w:r>
      <w:r>
        <w:rPr>
          <w:rFonts w:hint="eastAsia" w:ascii="宋体" w:hAnsi="宋体"/>
          <w:color w:val="auto"/>
          <w:sz w:val="24"/>
        </w:rPr>
        <w:t>》</w:t>
      </w:r>
      <w:r>
        <w:rPr>
          <w:rFonts w:hint="eastAsia" w:ascii="宋体" w:hAnsi="宋体"/>
          <w:color w:val="auto"/>
          <w:sz w:val="24"/>
          <w:lang w:eastAsia="zh-CN"/>
        </w:rPr>
        <w:t>、</w:t>
      </w:r>
      <w:r>
        <w:rPr>
          <w:rFonts w:hint="eastAsia" w:ascii="宋体" w:hAnsi="宋体"/>
          <w:sz w:val="24"/>
        </w:rPr>
        <w:t>《</w:t>
      </w:r>
      <w:r>
        <w:rPr>
          <w:rFonts w:hint="eastAsia" w:ascii="宋体" w:hAnsi="宋体"/>
          <w:sz w:val="24"/>
          <w:lang w:eastAsia="zh-CN"/>
        </w:rPr>
        <w:t>不动产权证书</w:t>
      </w:r>
      <w:r>
        <w:rPr>
          <w:rFonts w:hint="eastAsia" w:ascii="宋体" w:hAnsi="宋体"/>
          <w:color w:val="auto"/>
          <w:sz w:val="24"/>
          <w:lang w:eastAsia="zh-CN"/>
        </w:rPr>
        <w:t>》</w:t>
      </w:r>
      <w:r>
        <w:rPr>
          <w:rFonts w:hint="eastAsia" w:ascii="宋体" w:hAnsi="宋体"/>
          <w:color w:val="000000"/>
          <w:sz w:val="24"/>
        </w:rPr>
        <w:t>复印件等相关资料。</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九、估价方法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估价方法通常有比较法、收益法、成本法、假设开发法等估价方法。比较法适用于同类房地产交易案例较多的估价；收益法适用于有收益或有潜在收益的房地产估价；成本法适用于无市场依据或市场依据不充分情况下的房地产估价；假设开发法适用于具有投资开发或再开发潜力的房地产估价。</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w:t>
      </w:r>
      <w:r>
        <w:rPr>
          <w:rFonts w:hint="eastAsia" w:ascii="宋体" w:hAnsi="宋体"/>
          <w:color w:val="000000"/>
          <w:sz w:val="24"/>
        </w:rPr>
        <w:t>结合估价人员的经验认为，</w:t>
      </w:r>
      <w:r>
        <w:rPr>
          <w:rFonts w:hint="eastAsia" w:ascii="宋体" w:hAnsi="宋体"/>
          <w:sz w:val="24"/>
        </w:rPr>
        <w:t>采用比较法评</w:t>
      </w:r>
      <w:r>
        <w:rPr>
          <w:rFonts w:hint="eastAsia" w:ascii="宋体" w:hAnsi="宋体"/>
          <w:color w:val="000000"/>
          <w:sz w:val="24"/>
        </w:rPr>
        <w:t>估其市场价值</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十、估价结果</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b w:val="0"/>
          <w:bCs w:val="0"/>
          <w:color w:val="0000FF"/>
          <w:sz w:val="24"/>
        </w:rPr>
      </w:pPr>
      <w:r>
        <w:rPr>
          <w:rFonts w:hint="eastAsia" w:ascii="宋体" w:hAnsi="宋体"/>
          <w:sz w:val="24"/>
        </w:rPr>
        <w:t>本估价机构根据估价目的，遵循估价原则，按照估价工作程序，经过周密、准确的测算，并结合估价经验和对影响房地产价值的因素进行分析，选取科学的评估方法，在认真分析现有资料的基础上，确定</w:t>
      </w:r>
      <w:r>
        <w:rPr>
          <w:rFonts w:hint="eastAsia" w:ascii="宋体" w:hAnsi="宋体"/>
          <w:sz w:val="24"/>
          <w:lang w:eastAsia="zh-CN"/>
        </w:rPr>
        <w:t>毛**所属的</w:t>
      </w:r>
      <w:r>
        <w:rPr>
          <w:rFonts w:hint="eastAsia" w:ascii="宋体" w:hAnsi="宋体"/>
          <w:sz w:val="24"/>
        </w:rPr>
        <w:t>位于</w:t>
      </w:r>
      <w:r>
        <w:rPr>
          <w:rFonts w:hint="eastAsia" w:ascii="宋体" w:hAnsi="宋体"/>
          <w:sz w:val="24"/>
          <w:szCs w:val="28"/>
          <w:lang w:eastAsia="zh-CN"/>
        </w:rPr>
        <w:t>宁波市奉化区金水东庭8幢301室</w:t>
      </w:r>
      <w:r>
        <w:rPr>
          <w:rFonts w:hint="eastAsia" w:ascii="宋体" w:hAnsi="宋体"/>
          <w:sz w:val="24"/>
        </w:rPr>
        <w:t>房地产在价值时</w:t>
      </w:r>
      <w:r>
        <w:rPr>
          <w:rFonts w:hint="eastAsia" w:ascii="宋体" w:hAnsi="宋体"/>
          <w:color w:val="auto"/>
          <w:sz w:val="24"/>
        </w:rPr>
        <w:t>点</w:t>
      </w:r>
      <w:r>
        <w:rPr>
          <w:rFonts w:hint="eastAsia" w:ascii="宋体" w:hAnsi="宋体"/>
          <w:color w:val="auto"/>
          <w:sz w:val="24"/>
          <w:lang w:eastAsia="zh-CN"/>
        </w:rPr>
        <w:t>2022年9月6日</w:t>
      </w:r>
      <w:r>
        <w:rPr>
          <w:rFonts w:hint="eastAsia" w:ascii="宋体" w:hAnsi="宋体"/>
          <w:color w:val="auto"/>
          <w:sz w:val="24"/>
        </w:rPr>
        <w:t>的市场价值为（RMB）</w:t>
      </w:r>
      <w:r>
        <w:rPr>
          <w:rFonts w:hint="eastAsia" w:ascii="宋体" w:hAnsi="宋体"/>
          <w:color w:val="auto"/>
          <w:sz w:val="24"/>
          <w:lang w:val="en-US" w:eastAsia="zh-CN"/>
        </w:rPr>
        <w:t>195.05</w:t>
      </w:r>
      <w:r>
        <w:rPr>
          <w:rFonts w:hint="eastAsia" w:ascii="宋体" w:hAnsi="宋体"/>
          <w:color w:val="auto"/>
          <w:sz w:val="24"/>
        </w:rPr>
        <w:t>万元，大写人民币为</w:t>
      </w:r>
      <w:r>
        <w:rPr>
          <w:rFonts w:hint="eastAsia" w:ascii="宋体" w:hAnsi="宋体"/>
          <w:color w:val="auto"/>
          <w:sz w:val="24"/>
          <w:lang w:eastAsia="zh-CN"/>
        </w:rPr>
        <w:t>壹佰玖拾伍万零伍佰</w:t>
      </w:r>
      <w:r>
        <w:rPr>
          <w:rFonts w:hint="eastAsia" w:ascii="宋体" w:hAnsi="宋体"/>
          <w:color w:val="auto"/>
          <w:sz w:val="24"/>
        </w:rPr>
        <w:t>元整。</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十一、注册房地产估价师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60"/>
        <w:gridCol w:w="33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姓名</w:t>
            </w: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注册号</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签名</w:t>
            </w: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陈**</w:t>
            </w: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3320130037</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eastAsia="宋体"/>
                <w:sz w:val="24"/>
                <w:lang w:eastAsia="zh-CN"/>
              </w:rPr>
            </w:pPr>
            <w:r>
              <w:rPr>
                <w:rFonts w:hint="eastAsia" w:ascii="宋体" w:hAnsi="宋体"/>
                <w:sz w:val="24"/>
                <w:lang w:eastAsia="zh-CN"/>
              </w:rPr>
              <w:t>2022年9月11日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textAlignment w:val="auto"/>
              <w:rPr>
                <w:rFonts w:hint="eastAsia" w:ascii="宋体" w:hAnsi="宋体"/>
                <w:sz w:val="24"/>
                <w:lang w:eastAsia="zh-CN"/>
              </w:rPr>
            </w:pPr>
          </w:p>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sz w:val="24"/>
              </w:rPr>
            </w:pPr>
            <w:r>
              <w:rPr>
                <w:rFonts w:hint="eastAsia" w:ascii="宋体" w:hAnsi="宋体"/>
                <w:sz w:val="24"/>
                <w:lang w:eastAsia="zh-CN"/>
              </w:rPr>
              <w:t>龚**</w:t>
            </w:r>
          </w:p>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3320210071</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eastAsia="宋体"/>
                <w:sz w:val="24"/>
                <w:lang w:eastAsia="zh-CN"/>
              </w:rPr>
            </w:pPr>
            <w:r>
              <w:rPr>
                <w:rFonts w:hint="eastAsia" w:ascii="宋体" w:hAnsi="宋体"/>
                <w:sz w:val="24"/>
                <w:lang w:eastAsia="zh-CN"/>
              </w:rPr>
              <w:t>2022年9月11日</w:t>
            </w:r>
          </w:p>
        </w:tc>
      </w:tr>
    </w:tbl>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 xml:space="preserve">十二、实地查勘期 </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2022年9月6日</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十三、估价作业期</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30</w:t>
      </w:r>
      <w:r>
        <w:rPr>
          <w:rFonts w:hint="eastAsia" w:ascii="宋体" w:hAnsi="宋体"/>
          <w:sz w:val="24"/>
        </w:rPr>
        <w:t>日至</w:t>
      </w:r>
      <w:r>
        <w:rPr>
          <w:rFonts w:hint="eastAsia" w:ascii="宋体" w:hAnsi="宋体"/>
          <w:sz w:val="24"/>
          <w:lang w:eastAsia="zh-CN"/>
        </w:rPr>
        <w:t>2022年9月11日</w:t>
      </w: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ind w:firstLine="3373" w:firstLineChars="1200"/>
        <w:jc w:val="both"/>
        <w:rPr>
          <w:rFonts w:ascii="宋体" w:hAnsi="宋体"/>
          <w:b/>
          <w:sz w:val="28"/>
          <w:szCs w:val="28"/>
        </w:rPr>
      </w:pPr>
      <w:r>
        <w:rPr>
          <w:rFonts w:hint="eastAsia" w:ascii="宋体" w:hAnsi="宋体"/>
          <w:b/>
          <w:sz w:val="28"/>
          <w:szCs w:val="28"/>
        </w:rPr>
        <w:t>第四部分    附   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（一）、《</w:t>
      </w:r>
      <w:r>
        <w:rPr>
          <w:rFonts w:hint="eastAsia" w:ascii="宋体" w:hAnsi="宋体"/>
          <w:sz w:val="24"/>
          <w:lang w:eastAsia="zh-CN"/>
        </w:rPr>
        <w:t>司法评估诉讼书</w:t>
      </w:r>
      <w:r>
        <w:rPr>
          <w:rFonts w:hint="eastAsia" w:ascii="宋体" w:hAnsi="宋体"/>
          <w:sz w:val="24"/>
        </w:rPr>
        <w:t>》复印件</w:t>
      </w:r>
    </w:p>
    <w:p>
      <w:pPr>
        <w:spacing w:line="500" w:lineRule="atLeast"/>
        <w:rPr>
          <w:rFonts w:ascii="宋体" w:hAnsi="宋体"/>
          <w:sz w:val="24"/>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rPr>
        <w:t>（</w:t>
      </w:r>
      <w:r>
        <w:rPr>
          <w:rFonts w:hint="eastAsia" w:ascii="宋体" w:hAnsi="宋体"/>
          <w:sz w:val="24"/>
          <w:lang w:eastAsia="zh-CN"/>
        </w:rPr>
        <w:t>二</w:t>
      </w:r>
      <w:r>
        <w:rPr>
          <w:rFonts w:hint="eastAsia" w:ascii="宋体" w:hAnsi="宋体"/>
          <w:sz w:val="24"/>
        </w:rPr>
        <w:t>）</w:t>
      </w:r>
      <w:r>
        <w:rPr>
          <w:rFonts w:hint="eastAsia" w:ascii="宋体" w:hAnsi="宋体"/>
          <w:sz w:val="24"/>
          <w:lang w:eastAsia="zh-CN"/>
        </w:rPr>
        <w:t>、《不动产权证书》复印件</w:t>
      </w:r>
    </w:p>
    <w:p>
      <w:pPr>
        <w:numPr>
          <w:ilvl w:val="0"/>
          <w:numId w:val="0"/>
        </w:numPr>
        <w:spacing w:line="500" w:lineRule="atLeast"/>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lang w:eastAsia="zh-CN"/>
        </w:rPr>
        <w:t>（三）、</w:t>
      </w:r>
      <w:r>
        <w:rPr>
          <w:rFonts w:hint="eastAsia" w:ascii="宋体" w:hAnsi="宋体"/>
          <w:sz w:val="24"/>
        </w:rPr>
        <w:t>估价对象位置图</w:t>
      </w:r>
    </w:p>
    <w:p>
      <w:pPr>
        <w:numPr>
          <w:ilvl w:val="0"/>
          <w:numId w:val="0"/>
        </w:numPr>
        <w:spacing w:line="500" w:lineRule="atLeast"/>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（四）、</w:t>
      </w:r>
      <w:r>
        <w:rPr>
          <w:rFonts w:hint="eastAsia" w:ascii="宋体" w:hAnsi="宋体"/>
          <w:sz w:val="24"/>
        </w:rPr>
        <w:t>估价对象实地查勘照片</w:t>
      </w:r>
    </w:p>
    <w:p>
      <w:pPr>
        <w:numPr>
          <w:ilvl w:val="0"/>
          <w:numId w:val="0"/>
        </w:numPr>
        <w:spacing w:line="500" w:lineRule="atLeast"/>
        <w:ind w:firstLine="480" w:firstLineChars="200"/>
        <w:rPr>
          <w:rFonts w:hint="eastAsia" w:ascii="宋体" w:hAnsi="宋体"/>
          <w:sz w:val="24"/>
        </w:rPr>
      </w:pPr>
    </w:p>
    <w:p>
      <w:pPr>
        <w:spacing w:line="500" w:lineRule="atLeast"/>
        <w:ind w:firstLine="480" w:firstLineChars="200"/>
        <w:rPr>
          <w:rFonts w:hint="eastAsia" w:ascii="宋体" w:hAnsi="宋体" w:eastAsia="宋体"/>
          <w:sz w:val="24"/>
          <w:lang w:eastAsia="zh-CN"/>
        </w:rPr>
      </w:pPr>
      <w:r>
        <w:rPr>
          <w:rFonts w:hint="eastAsia" w:ascii="宋体" w:hAnsi="宋体"/>
          <w:sz w:val="24"/>
        </w:rPr>
        <w:t>（</w:t>
      </w:r>
      <w:r>
        <w:rPr>
          <w:rFonts w:hint="eastAsia" w:ascii="宋体" w:hAnsi="宋体"/>
          <w:sz w:val="24"/>
          <w:lang w:eastAsia="zh-CN"/>
        </w:rPr>
        <w:t>五</w:t>
      </w:r>
      <w:r>
        <w:rPr>
          <w:rFonts w:hint="eastAsia" w:ascii="宋体" w:hAnsi="宋体"/>
          <w:sz w:val="24"/>
        </w:rPr>
        <w:t>）、企业法人营业执照复印件</w:t>
      </w:r>
    </w:p>
    <w:p>
      <w:pPr>
        <w:spacing w:line="500" w:lineRule="atLeast"/>
        <w:ind w:firstLine="480" w:firstLineChars="200"/>
        <w:rPr>
          <w:rFonts w:hint="eastAsia"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六</w:t>
      </w:r>
      <w:r>
        <w:rPr>
          <w:rFonts w:hint="eastAsia" w:ascii="宋体" w:hAnsi="宋体"/>
          <w:sz w:val="24"/>
        </w:rPr>
        <w:t>）、房地产估价机构备案证书复印件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七</w:t>
      </w:r>
      <w:r>
        <w:rPr>
          <w:rFonts w:hint="eastAsia" w:ascii="宋体" w:hAnsi="宋体"/>
          <w:sz w:val="24"/>
        </w:rPr>
        <w:t>）、房地产估价师注册证书复印件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rPr>
          <w:rFonts w:ascii="宋体" w:hAnsi="宋体"/>
          <w:b/>
          <w:sz w:val="28"/>
          <w:szCs w:val="28"/>
        </w:rPr>
      </w:pPr>
    </w:p>
    <w:sectPr>
      <w:footerReference r:id="rId12" w:type="default"/>
      <w:pgSz w:w="11906" w:h="16838"/>
      <w:pgMar w:top="1418" w:right="1304" w:bottom="1418" w:left="1304"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慈溪市弘一房地产</w:t>
    </w:r>
    <w:r>
      <w:rPr>
        <w:rFonts w:hint="eastAsia"/>
        <w:lang w:eastAsia="zh-CN"/>
      </w:rPr>
      <w:t>资产</w:t>
    </w:r>
    <w:r>
      <w:rPr>
        <w:rFonts w:hint="eastAsia"/>
      </w:rPr>
      <w:t xml:space="preserve">评估有限公司                                                  房地产估价报告正文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慈溪市弘一房地产资产评估有限公司</w:t>
    </w:r>
    <w:r>
      <w:rPr>
        <w:rFonts w:hint="eastAsia"/>
      </w:rPr>
      <w:t xml:space="preserve">                                                  房地产估价报告正文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慈溪市弘一房地产资产评估有限公司</w:t>
    </w:r>
    <w:r>
      <w:rPr>
        <w:rFonts w:hint="eastAsia"/>
      </w:rPr>
      <w:t xml:space="preserve">                                                  房地产估价报告正文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RlOTNkOTI0MmZjYTg0YjA0NGI1ZWYyN2M1MjE1YzAifQ=="/>
  </w:docVars>
  <w:rsids>
    <w:rsidRoot w:val="00636B11"/>
    <w:rsid w:val="00000427"/>
    <w:rsid w:val="00000EBF"/>
    <w:rsid w:val="00001EE1"/>
    <w:rsid w:val="000025B1"/>
    <w:rsid w:val="00003D2E"/>
    <w:rsid w:val="00004591"/>
    <w:rsid w:val="0000595F"/>
    <w:rsid w:val="000059C8"/>
    <w:rsid w:val="00005E03"/>
    <w:rsid w:val="0001202A"/>
    <w:rsid w:val="000129E4"/>
    <w:rsid w:val="00012A49"/>
    <w:rsid w:val="00013385"/>
    <w:rsid w:val="000152D8"/>
    <w:rsid w:val="000157DA"/>
    <w:rsid w:val="0001681C"/>
    <w:rsid w:val="00016AE2"/>
    <w:rsid w:val="0001798B"/>
    <w:rsid w:val="000203B8"/>
    <w:rsid w:val="000206A2"/>
    <w:rsid w:val="00020E2D"/>
    <w:rsid w:val="000211CA"/>
    <w:rsid w:val="00023929"/>
    <w:rsid w:val="00024BA5"/>
    <w:rsid w:val="00024C8F"/>
    <w:rsid w:val="0002594D"/>
    <w:rsid w:val="0002601D"/>
    <w:rsid w:val="00026443"/>
    <w:rsid w:val="0002746D"/>
    <w:rsid w:val="00030F76"/>
    <w:rsid w:val="00031207"/>
    <w:rsid w:val="000322DF"/>
    <w:rsid w:val="00032569"/>
    <w:rsid w:val="00033FF7"/>
    <w:rsid w:val="00034237"/>
    <w:rsid w:val="000344FC"/>
    <w:rsid w:val="000347EF"/>
    <w:rsid w:val="000349E2"/>
    <w:rsid w:val="000368B3"/>
    <w:rsid w:val="00037173"/>
    <w:rsid w:val="000414E5"/>
    <w:rsid w:val="000416DE"/>
    <w:rsid w:val="000419C0"/>
    <w:rsid w:val="00042268"/>
    <w:rsid w:val="00042BFA"/>
    <w:rsid w:val="0004359C"/>
    <w:rsid w:val="00043F17"/>
    <w:rsid w:val="00044745"/>
    <w:rsid w:val="00044CEC"/>
    <w:rsid w:val="00044DD8"/>
    <w:rsid w:val="00045896"/>
    <w:rsid w:val="000474BD"/>
    <w:rsid w:val="00047F66"/>
    <w:rsid w:val="000509DD"/>
    <w:rsid w:val="00051B58"/>
    <w:rsid w:val="000525E2"/>
    <w:rsid w:val="00052DEA"/>
    <w:rsid w:val="00053704"/>
    <w:rsid w:val="000542B6"/>
    <w:rsid w:val="00054306"/>
    <w:rsid w:val="00057E87"/>
    <w:rsid w:val="000618F3"/>
    <w:rsid w:val="00062413"/>
    <w:rsid w:val="00064DB4"/>
    <w:rsid w:val="000660B0"/>
    <w:rsid w:val="000665F1"/>
    <w:rsid w:val="00067DBE"/>
    <w:rsid w:val="0007160E"/>
    <w:rsid w:val="000726A8"/>
    <w:rsid w:val="0007488F"/>
    <w:rsid w:val="000750D1"/>
    <w:rsid w:val="00076461"/>
    <w:rsid w:val="0008092A"/>
    <w:rsid w:val="000819B8"/>
    <w:rsid w:val="00083A1C"/>
    <w:rsid w:val="00084601"/>
    <w:rsid w:val="00084BFA"/>
    <w:rsid w:val="0008530B"/>
    <w:rsid w:val="000860EC"/>
    <w:rsid w:val="000868AA"/>
    <w:rsid w:val="00086BDA"/>
    <w:rsid w:val="00087831"/>
    <w:rsid w:val="00087B16"/>
    <w:rsid w:val="000902BA"/>
    <w:rsid w:val="0009174E"/>
    <w:rsid w:val="000929DC"/>
    <w:rsid w:val="000930E0"/>
    <w:rsid w:val="0009326F"/>
    <w:rsid w:val="00093419"/>
    <w:rsid w:val="000938AA"/>
    <w:rsid w:val="00094394"/>
    <w:rsid w:val="00094FE0"/>
    <w:rsid w:val="0009580B"/>
    <w:rsid w:val="00096BCD"/>
    <w:rsid w:val="00096F2E"/>
    <w:rsid w:val="000970C9"/>
    <w:rsid w:val="00097425"/>
    <w:rsid w:val="00097A0B"/>
    <w:rsid w:val="000A0B0D"/>
    <w:rsid w:val="000A1FB9"/>
    <w:rsid w:val="000A23F3"/>
    <w:rsid w:val="000A2435"/>
    <w:rsid w:val="000A3619"/>
    <w:rsid w:val="000A3A79"/>
    <w:rsid w:val="000A4647"/>
    <w:rsid w:val="000A527D"/>
    <w:rsid w:val="000A5C2F"/>
    <w:rsid w:val="000B0170"/>
    <w:rsid w:val="000B0366"/>
    <w:rsid w:val="000B06CB"/>
    <w:rsid w:val="000B0982"/>
    <w:rsid w:val="000B0DC9"/>
    <w:rsid w:val="000B2E54"/>
    <w:rsid w:val="000B30B1"/>
    <w:rsid w:val="000B3535"/>
    <w:rsid w:val="000B3BCE"/>
    <w:rsid w:val="000B4721"/>
    <w:rsid w:val="000B47D7"/>
    <w:rsid w:val="000B662E"/>
    <w:rsid w:val="000B7264"/>
    <w:rsid w:val="000B736F"/>
    <w:rsid w:val="000B7CF6"/>
    <w:rsid w:val="000C0AD5"/>
    <w:rsid w:val="000C0F0A"/>
    <w:rsid w:val="000C13C7"/>
    <w:rsid w:val="000C3D68"/>
    <w:rsid w:val="000C414C"/>
    <w:rsid w:val="000C41B9"/>
    <w:rsid w:val="000C5D17"/>
    <w:rsid w:val="000C6E26"/>
    <w:rsid w:val="000C7DC4"/>
    <w:rsid w:val="000C7FAE"/>
    <w:rsid w:val="000D032F"/>
    <w:rsid w:val="000D0524"/>
    <w:rsid w:val="000D0946"/>
    <w:rsid w:val="000D2107"/>
    <w:rsid w:val="000D2854"/>
    <w:rsid w:val="000D3C20"/>
    <w:rsid w:val="000D4070"/>
    <w:rsid w:val="000D478D"/>
    <w:rsid w:val="000D495A"/>
    <w:rsid w:val="000D49A1"/>
    <w:rsid w:val="000D650D"/>
    <w:rsid w:val="000D6EA5"/>
    <w:rsid w:val="000D759F"/>
    <w:rsid w:val="000D77A3"/>
    <w:rsid w:val="000E0C70"/>
    <w:rsid w:val="000E149A"/>
    <w:rsid w:val="000E2A0E"/>
    <w:rsid w:val="000E2E53"/>
    <w:rsid w:val="000E320F"/>
    <w:rsid w:val="000E6861"/>
    <w:rsid w:val="000E6C3A"/>
    <w:rsid w:val="000F051A"/>
    <w:rsid w:val="000F10F0"/>
    <w:rsid w:val="000F1429"/>
    <w:rsid w:val="000F2F26"/>
    <w:rsid w:val="000F34BE"/>
    <w:rsid w:val="000F3C18"/>
    <w:rsid w:val="000F460B"/>
    <w:rsid w:val="000F4A2F"/>
    <w:rsid w:val="000F4B1A"/>
    <w:rsid w:val="000F555B"/>
    <w:rsid w:val="000F7763"/>
    <w:rsid w:val="000F7F8D"/>
    <w:rsid w:val="001005DA"/>
    <w:rsid w:val="00103746"/>
    <w:rsid w:val="00103C11"/>
    <w:rsid w:val="001045B9"/>
    <w:rsid w:val="001047D9"/>
    <w:rsid w:val="00104B3D"/>
    <w:rsid w:val="001062A4"/>
    <w:rsid w:val="0010683A"/>
    <w:rsid w:val="001071B1"/>
    <w:rsid w:val="00110C05"/>
    <w:rsid w:val="0011163F"/>
    <w:rsid w:val="00113545"/>
    <w:rsid w:val="001138C0"/>
    <w:rsid w:val="0011475C"/>
    <w:rsid w:val="00114E02"/>
    <w:rsid w:val="00115B26"/>
    <w:rsid w:val="00115B4A"/>
    <w:rsid w:val="001169FA"/>
    <w:rsid w:val="00117979"/>
    <w:rsid w:val="00120F73"/>
    <w:rsid w:val="00122FC6"/>
    <w:rsid w:val="0012338D"/>
    <w:rsid w:val="001234CB"/>
    <w:rsid w:val="00125818"/>
    <w:rsid w:val="00125DAD"/>
    <w:rsid w:val="00125E82"/>
    <w:rsid w:val="001262D7"/>
    <w:rsid w:val="00127418"/>
    <w:rsid w:val="00127DD4"/>
    <w:rsid w:val="0013075F"/>
    <w:rsid w:val="00130D11"/>
    <w:rsid w:val="00131E41"/>
    <w:rsid w:val="00132264"/>
    <w:rsid w:val="00134DED"/>
    <w:rsid w:val="0013504C"/>
    <w:rsid w:val="001351A8"/>
    <w:rsid w:val="00135E05"/>
    <w:rsid w:val="00136447"/>
    <w:rsid w:val="001366B8"/>
    <w:rsid w:val="00137ABE"/>
    <w:rsid w:val="00140116"/>
    <w:rsid w:val="001406D3"/>
    <w:rsid w:val="001407EF"/>
    <w:rsid w:val="00140F24"/>
    <w:rsid w:val="00141BF7"/>
    <w:rsid w:val="00142BB8"/>
    <w:rsid w:val="00142C9F"/>
    <w:rsid w:val="001454ED"/>
    <w:rsid w:val="001458AB"/>
    <w:rsid w:val="00146A12"/>
    <w:rsid w:val="00150511"/>
    <w:rsid w:val="00150FF9"/>
    <w:rsid w:val="001512EA"/>
    <w:rsid w:val="00151697"/>
    <w:rsid w:val="001517C2"/>
    <w:rsid w:val="00152895"/>
    <w:rsid w:val="001528B4"/>
    <w:rsid w:val="00152938"/>
    <w:rsid w:val="00153CE5"/>
    <w:rsid w:val="0015403C"/>
    <w:rsid w:val="001541EA"/>
    <w:rsid w:val="00154745"/>
    <w:rsid w:val="00154ACD"/>
    <w:rsid w:val="00155A16"/>
    <w:rsid w:val="001563E0"/>
    <w:rsid w:val="00156571"/>
    <w:rsid w:val="00157BE3"/>
    <w:rsid w:val="001618D7"/>
    <w:rsid w:val="001623B7"/>
    <w:rsid w:val="00162A04"/>
    <w:rsid w:val="00162A99"/>
    <w:rsid w:val="00162AFB"/>
    <w:rsid w:val="00162FA3"/>
    <w:rsid w:val="0016309E"/>
    <w:rsid w:val="00163EFE"/>
    <w:rsid w:val="0016413D"/>
    <w:rsid w:val="00164C5D"/>
    <w:rsid w:val="00164C65"/>
    <w:rsid w:val="001663BD"/>
    <w:rsid w:val="00167686"/>
    <w:rsid w:val="00167F0A"/>
    <w:rsid w:val="00170166"/>
    <w:rsid w:val="001701E5"/>
    <w:rsid w:val="00171A92"/>
    <w:rsid w:val="00171E82"/>
    <w:rsid w:val="0017299A"/>
    <w:rsid w:val="00172B92"/>
    <w:rsid w:val="00174003"/>
    <w:rsid w:val="0017535B"/>
    <w:rsid w:val="00175F60"/>
    <w:rsid w:val="00177BDB"/>
    <w:rsid w:val="00180C20"/>
    <w:rsid w:val="00180ED4"/>
    <w:rsid w:val="00180F27"/>
    <w:rsid w:val="00181DDB"/>
    <w:rsid w:val="00181EDB"/>
    <w:rsid w:val="00182089"/>
    <w:rsid w:val="0018251F"/>
    <w:rsid w:val="00185E64"/>
    <w:rsid w:val="001868D4"/>
    <w:rsid w:val="00187092"/>
    <w:rsid w:val="00187FD4"/>
    <w:rsid w:val="00187FF2"/>
    <w:rsid w:val="00190FAA"/>
    <w:rsid w:val="00192832"/>
    <w:rsid w:val="00192835"/>
    <w:rsid w:val="00192F33"/>
    <w:rsid w:val="00193421"/>
    <w:rsid w:val="00193C5E"/>
    <w:rsid w:val="00194294"/>
    <w:rsid w:val="001947F6"/>
    <w:rsid w:val="00195B8C"/>
    <w:rsid w:val="00196464"/>
    <w:rsid w:val="0019791D"/>
    <w:rsid w:val="001A33A2"/>
    <w:rsid w:val="001A3AD3"/>
    <w:rsid w:val="001A4EF0"/>
    <w:rsid w:val="001A519E"/>
    <w:rsid w:val="001A5706"/>
    <w:rsid w:val="001A5BD9"/>
    <w:rsid w:val="001A5EB5"/>
    <w:rsid w:val="001A61A0"/>
    <w:rsid w:val="001A73CE"/>
    <w:rsid w:val="001A7812"/>
    <w:rsid w:val="001B0367"/>
    <w:rsid w:val="001B0630"/>
    <w:rsid w:val="001B0D75"/>
    <w:rsid w:val="001B5698"/>
    <w:rsid w:val="001B58A8"/>
    <w:rsid w:val="001B5F16"/>
    <w:rsid w:val="001B7A7B"/>
    <w:rsid w:val="001B7F68"/>
    <w:rsid w:val="001C0504"/>
    <w:rsid w:val="001C0626"/>
    <w:rsid w:val="001C0C5D"/>
    <w:rsid w:val="001C1AE9"/>
    <w:rsid w:val="001C20AB"/>
    <w:rsid w:val="001C21D5"/>
    <w:rsid w:val="001C2B9E"/>
    <w:rsid w:val="001C2E8C"/>
    <w:rsid w:val="001C3234"/>
    <w:rsid w:val="001C3FE6"/>
    <w:rsid w:val="001C54FD"/>
    <w:rsid w:val="001C5608"/>
    <w:rsid w:val="001C56E5"/>
    <w:rsid w:val="001C58C4"/>
    <w:rsid w:val="001C5A4D"/>
    <w:rsid w:val="001C5AB0"/>
    <w:rsid w:val="001C5FD1"/>
    <w:rsid w:val="001C62FD"/>
    <w:rsid w:val="001C647F"/>
    <w:rsid w:val="001C69D1"/>
    <w:rsid w:val="001C7618"/>
    <w:rsid w:val="001C78A5"/>
    <w:rsid w:val="001D0367"/>
    <w:rsid w:val="001D07D9"/>
    <w:rsid w:val="001D2E32"/>
    <w:rsid w:val="001D550B"/>
    <w:rsid w:val="001D5559"/>
    <w:rsid w:val="001D5D54"/>
    <w:rsid w:val="001D60C5"/>
    <w:rsid w:val="001D658D"/>
    <w:rsid w:val="001D700B"/>
    <w:rsid w:val="001D7278"/>
    <w:rsid w:val="001D7A88"/>
    <w:rsid w:val="001E325B"/>
    <w:rsid w:val="001E34A9"/>
    <w:rsid w:val="001E476A"/>
    <w:rsid w:val="001E556E"/>
    <w:rsid w:val="001E583C"/>
    <w:rsid w:val="001E5FB6"/>
    <w:rsid w:val="001F088D"/>
    <w:rsid w:val="001F1682"/>
    <w:rsid w:val="001F37F4"/>
    <w:rsid w:val="001F54F7"/>
    <w:rsid w:val="001F71F3"/>
    <w:rsid w:val="001F7CF8"/>
    <w:rsid w:val="001F7E9A"/>
    <w:rsid w:val="00200234"/>
    <w:rsid w:val="00201C86"/>
    <w:rsid w:val="0020227B"/>
    <w:rsid w:val="00203FB1"/>
    <w:rsid w:val="00204283"/>
    <w:rsid w:val="00205F21"/>
    <w:rsid w:val="002066F8"/>
    <w:rsid w:val="00210FCD"/>
    <w:rsid w:val="002114F2"/>
    <w:rsid w:val="00216603"/>
    <w:rsid w:val="0021698B"/>
    <w:rsid w:val="00216DA6"/>
    <w:rsid w:val="0022027D"/>
    <w:rsid w:val="002222CD"/>
    <w:rsid w:val="00222BFE"/>
    <w:rsid w:val="0022301F"/>
    <w:rsid w:val="00224410"/>
    <w:rsid w:val="002253B8"/>
    <w:rsid w:val="002270EF"/>
    <w:rsid w:val="00227C4E"/>
    <w:rsid w:val="00230DDB"/>
    <w:rsid w:val="00232E3F"/>
    <w:rsid w:val="00233138"/>
    <w:rsid w:val="00235BE7"/>
    <w:rsid w:val="00237F4D"/>
    <w:rsid w:val="0024028B"/>
    <w:rsid w:val="00240309"/>
    <w:rsid w:val="00241AAB"/>
    <w:rsid w:val="00241DBE"/>
    <w:rsid w:val="00242036"/>
    <w:rsid w:val="002423A7"/>
    <w:rsid w:val="0024247D"/>
    <w:rsid w:val="002435BE"/>
    <w:rsid w:val="00244857"/>
    <w:rsid w:val="00244C08"/>
    <w:rsid w:val="00246B98"/>
    <w:rsid w:val="00246ECB"/>
    <w:rsid w:val="00247630"/>
    <w:rsid w:val="00250708"/>
    <w:rsid w:val="00251FDD"/>
    <w:rsid w:val="00252138"/>
    <w:rsid w:val="00252EFF"/>
    <w:rsid w:val="002535B5"/>
    <w:rsid w:val="00254917"/>
    <w:rsid w:val="00255E9E"/>
    <w:rsid w:val="002563BC"/>
    <w:rsid w:val="002567F8"/>
    <w:rsid w:val="00256CA8"/>
    <w:rsid w:val="0025726D"/>
    <w:rsid w:val="00260C6F"/>
    <w:rsid w:val="0026113F"/>
    <w:rsid w:val="00261574"/>
    <w:rsid w:val="00261856"/>
    <w:rsid w:val="00262EC3"/>
    <w:rsid w:val="0026348A"/>
    <w:rsid w:val="00263556"/>
    <w:rsid w:val="00264451"/>
    <w:rsid w:val="00264EAB"/>
    <w:rsid w:val="00266F4B"/>
    <w:rsid w:val="0027424A"/>
    <w:rsid w:val="00274425"/>
    <w:rsid w:val="00275D47"/>
    <w:rsid w:val="00276964"/>
    <w:rsid w:val="0027726F"/>
    <w:rsid w:val="00277496"/>
    <w:rsid w:val="00280205"/>
    <w:rsid w:val="00280D0B"/>
    <w:rsid w:val="00280F30"/>
    <w:rsid w:val="00281495"/>
    <w:rsid w:val="00282AE9"/>
    <w:rsid w:val="00282D2A"/>
    <w:rsid w:val="00283E27"/>
    <w:rsid w:val="00284D63"/>
    <w:rsid w:val="002857BC"/>
    <w:rsid w:val="00285E5B"/>
    <w:rsid w:val="0028681D"/>
    <w:rsid w:val="00287B36"/>
    <w:rsid w:val="00290296"/>
    <w:rsid w:val="00290FAB"/>
    <w:rsid w:val="002910BF"/>
    <w:rsid w:val="00292956"/>
    <w:rsid w:val="00292A73"/>
    <w:rsid w:val="00292FF5"/>
    <w:rsid w:val="00293BAB"/>
    <w:rsid w:val="00293EDE"/>
    <w:rsid w:val="0029537D"/>
    <w:rsid w:val="00295D61"/>
    <w:rsid w:val="002961AB"/>
    <w:rsid w:val="002A0349"/>
    <w:rsid w:val="002A14AB"/>
    <w:rsid w:val="002A1CA6"/>
    <w:rsid w:val="002A2C12"/>
    <w:rsid w:val="002A3D22"/>
    <w:rsid w:val="002A4A2E"/>
    <w:rsid w:val="002A4E34"/>
    <w:rsid w:val="002A51D6"/>
    <w:rsid w:val="002A5848"/>
    <w:rsid w:val="002A639D"/>
    <w:rsid w:val="002A7DE8"/>
    <w:rsid w:val="002B123C"/>
    <w:rsid w:val="002B34A8"/>
    <w:rsid w:val="002B48C7"/>
    <w:rsid w:val="002B6303"/>
    <w:rsid w:val="002B6E48"/>
    <w:rsid w:val="002C070C"/>
    <w:rsid w:val="002C1ED9"/>
    <w:rsid w:val="002C2969"/>
    <w:rsid w:val="002C2E66"/>
    <w:rsid w:val="002C418C"/>
    <w:rsid w:val="002C455D"/>
    <w:rsid w:val="002C5677"/>
    <w:rsid w:val="002C5A88"/>
    <w:rsid w:val="002C6101"/>
    <w:rsid w:val="002C64B3"/>
    <w:rsid w:val="002C700A"/>
    <w:rsid w:val="002D04B0"/>
    <w:rsid w:val="002D10A2"/>
    <w:rsid w:val="002D181F"/>
    <w:rsid w:val="002D1D99"/>
    <w:rsid w:val="002D1F7C"/>
    <w:rsid w:val="002D32E3"/>
    <w:rsid w:val="002D37C6"/>
    <w:rsid w:val="002D39C5"/>
    <w:rsid w:val="002D4D02"/>
    <w:rsid w:val="002D5B1C"/>
    <w:rsid w:val="002D6FEB"/>
    <w:rsid w:val="002D70F0"/>
    <w:rsid w:val="002E006F"/>
    <w:rsid w:val="002E13F8"/>
    <w:rsid w:val="002E281F"/>
    <w:rsid w:val="002E36AB"/>
    <w:rsid w:val="002E3893"/>
    <w:rsid w:val="002E5773"/>
    <w:rsid w:val="002E7B99"/>
    <w:rsid w:val="002F1F48"/>
    <w:rsid w:val="002F2C48"/>
    <w:rsid w:val="002F3954"/>
    <w:rsid w:val="002F3ADC"/>
    <w:rsid w:val="002F49B8"/>
    <w:rsid w:val="002F4DC4"/>
    <w:rsid w:val="002F4EF0"/>
    <w:rsid w:val="002F4F80"/>
    <w:rsid w:val="002F52A6"/>
    <w:rsid w:val="002F62D2"/>
    <w:rsid w:val="002F6451"/>
    <w:rsid w:val="002F7A16"/>
    <w:rsid w:val="00300E57"/>
    <w:rsid w:val="0030109B"/>
    <w:rsid w:val="003011F5"/>
    <w:rsid w:val="003014D3"/>
    <w:rsid w:val="00303FB8"/>
    <w:rsid w:val="003040CA"/>
    <w:rsid w:val="00305D86"/>
    <w:rsid w:val="00305DF0"/>
    <w:rsid w:val="00306716"/>
    <w:rsid w:val="003079FE"/>
    <w:rsid w:val="00307E63"/>
    <w:rsid w:val="00310E0A"/>
    <w:rsid w:val="00314800"/>
    <w:rsid w:val="00314A03"/>
    <w:rsid w:val="00320B92"/>
    <w:rsid w:val="00323179"/>
    <w:rsid w:val="00324392"/>
    <w:rsid w:val="00324A78"/>
    <w:rsid w:val="003259BB"/>
    <w:rsid w:val="00326E9A"/>
    <w:rsid w:val="003277D5"/>
    <w:rsid w:val="00331631"/>
    <w:rsid w:val="00333E87"/>
    <w:rsid w:val="0033590F"/>
    <w:rsid w:val="00335B65"/>
    <w:rsid w:val="00335DCF"/>
    <w:rsid w:val="00337354"/>
    <w:rsid w:val="00337722"/>
    <w:rsid w:val="00340887"/>
    <w:rsid w:val="00340FBA"/>
    <w:rsid w:val="003443E6"/>
    <w:rsid w:val="00344560"/>
    <w:rsid w:val="003457C8"/>
    <w:rsid w:val="003457E9"/>
    <w:rsid w:val="00345F34"/>
    <w:rsid w:val="003466A0"/>
    <w:rsid w:val="00347170"/>
    <w:rsid w:val="00350C60"/>
    <w:rsid w:val="00351E0D"/>
    <w:rsid w:val="00352F6B"/>
    <w:rsid w:val="003535DB"/>
    <w:rsid w:val="003559B6"/>
    <w:rsid w:val="0035611B"/>
    <w:rsid w:val="003564B3"/>
    <w:rsid w:val="00356ABF"/>
    <w:rsid w:val="0036009A"/>
    <w:rsid w:val="0036016C"/>
    <w:rsid w:val="00361107"/>
    <w:rsid w:val="0036495D"/>
    <w:rsid w:val="00364D49"/>
    <w:rsid w:val="00366A3B"/>
    <w:rsid w:val="00367886"/>
    <w:rsid w:val="003713AD"/>
    <w:rsid w:val="003725F0"/>
    <w:rsid w:val="003726BB"/>
    <w:rsid w:val="00372C04"/>
    <w:rsid w:val="003734F8"/>
    <w:rsid w:val="00373CEE"/>
    <w:rsid w:val="003743A6"/>
    <w:rsid w:val="003745DD"/>
    <w:rsid w:val="00376C16"/>
    <w:rsid w:val="003808AB"/>
    <w:rsid w:val="00380CEE"/>
    <w:rsid w:val="00380F16"/>
    <w:rsid w:val="00384F11"/>
    <w:rsid w:val="003855C3"/>
    <w:rsid w:val="0038583A"/>
    <w:rsid w:val="00387153"/>
    <w:rsid w:val="00390B46"/>
    <w:rsid w:val="00391643"/>
    <w:rsid w:val="0039231B"/>
    <w:rsid w:val="00392F7C"/>
    <w:rsid w:val="00395501"/>
    <w:rsid w:val="003A0E5B"/>
    <w:rsid w:val="003A18B6"/>
    <w:rsid w:val="003A3217"/>
    <w:rsid w:val="003A5725"/>
    <w:rsid w:val="003A7396"/>
    <w:rsid w:val="003A766A"/>
    <w:rsid w:val="003B0401"/>
    <w:rsid w:val="003B0782"/>
    <w:rsid w:val="003B140B"/>
    <w:rsid w:val="003B14F2"/>
    <w:rsid w:val="003B2355"/>
    <w:rsid w:val="003B2C76"/>
    <w:rsid w:val="003B421A"/>
    <w:rsid w:val="003B53BD"/>
    <w:rsid w:val="003B69EE"/>
    <w:rsid w:val="003B79F3"/>
    <w:rsid w:val="003C057F"/>
    <w:rsid w:val="003C1D94"/>
    <w:rsid w:val="003C1E74"/>
    <w:rsid w:val="003C4004"/>
    <w:rsid w:val="003C4797"/>
    <w:rsid w:val="003C5498"/>
    <w:rsid w:val="003C6BD4"/>
    <w:rsid w:val="003C75E1"/>
    <w:rsid w:val="003D054F"/>
    <w:rsid w:val="003D2B16"/>
    <w:rsid w:val="003D342A"/>
    <w:rsid w:val="003D4314"/>
    <w:rsid w:val="003D468D"/>
    <w:rsid w:val="003D4882"/>
    <w:rsid w:val="003D4C5C"/>
    <w:rsid w:val="003D4E89"/>
    <w:rsid w:val="003D4EFB"/>
    <w:rsid w:val="003D63B2"/>
    <w:rsid w:val="003D70E6"/>
    <w:rsid w:val="003E1C0B"/>
    <w:rsid w:val="003E2BB5"/>
    <w:rsid w:val="003E343C"/>
    <w:rsid w:val="003E3ECB"/>
    <w:rsid w:val="003E4042"/>
    <w:rsid w:val="003E4CC4"/>
    <w:rsid w:val="003E55F0"/>
    <w:rsid w:val="003E699C"/>
    <w:rsid w:val="003E6B5C"/>
    <w:rsid w:val="003F0EAB"/>
    <w:rsid w:val="003F13C0"/>
    <w:rsid w:val="003F27C7"/>
    <w:rsid w:val="003F297A"/>
    <w:rsid w:val="003F2F34"/>
    <w:rsid w:val="003F37DC"/>
    <w:rsid w:val="003F52AE"/>
    <w:rsid w:val="003F53F4"/>
    <w:rsid w:val="003F586E"/>
    <w:rsid w:val="003F5F22"/>
    <w:rsid w:val="003F638E"/>
    <w:rsid w:val="003F758E"/>
    <w:rsid w:val="00401071"/>
    <w:rsid w:val="004011AB"/>
    <w:rsid w:val="00403623"/>
    <w:rsid w:val="0040435F"/>
    <w:rsid w:val="004050CD"/>
    <w:rsid w:val="00406000"/>
    <w:rsid w:val="00406961"/>
    <w:rsid w:val="00407F04"/>
    <w:rsid w:val="004105D7"/>
    <w:rsid w:val="00411390"/>
    <w:rsid w:val="00411C75"/>
    <w:rsid w:val="00411E69"/>
    <w:rsid w:val="00414CD4"/>
    <w:rsid w:val="00415010"/>
    <w:rsid w:val="004160F3"/>
    <w:rsid w:val="004164E1"/>
    <w:rsid w:val="004202EE"/>
    <w:rsid w:val="00420E9A"/>
    <w:rsid w:val="00421188"/>
    <w:rsid w:val="00421786"/>
    <w:rsid w:val="00421823"/>
    <w:rsid w:val="00423100"/>
    <w:rsid w:val="004278A4"/>
    <w:rsid w:val="00430349"/>
    <w:rsid w:val="00430E55"/>
    <w:rsid w:val="00430F01"/>
    <w:rsid w:val="004314AF"/>
    <w:rsid w:val="00431C6D"/>
    <w:rsid w:val="00432913"/>
    <w:rsid w:val="004346CE"/>
    <w:rsid w:val="0043518C"/>
    <w:rsid w:val="0043621E"/>
    <w:rsid w:val="00440D0B"/>
    <w:rsid w:val="00440E95"/>
    <w:rsid w:val="00442188"/>
    <w:rsid w:val="00442E1C"/>
    <w:rsid w:val="00443122"/>
    <w:rsid w:val="00445735"/>
    <w:rsid w:val="00446CA6"/>
    <w:rsid w:val="00451530"/>
    <w:rsid w:val="00452BA9"/>
    <w:rsid w:val="00452E5C"/>
    <w:rsid w:val="00453D8C"/>
    <w:rsid w:val="00453E9E"/>
    <w:rsid w:val="004541EC"/>
    <w:rsid w:val="004545D8"/>
    <w:rsid w:val="00454CCD"/>
    <w:rsid w:val="004552F1"/>
    <w:rsid w:val="00456E07"/>
    <w:rsid w:val="00457958"/>
    <w:rsid w:val="004603FE"/>
    <w:rsid w:val="00461872"/>
    <w:rsid w:val="00461F19"/>
    <w:rsid w:val="00461FE4"/>
    <w:rsid w:val="00462017"/>
    <w:rsid w:val="00462A21"/>
    <w:rsid w:val="00462AE9"/>
    <w:rsid w:val="00463594"/>
    <w:rsid w:val="004636A4"/>
    <w:rsid w:val="00464711"/>
    <w:rsid w:val="0046572F"/>
    <w:rsid w:val="00465924"/>
    <w:rsid w:val="00465A9C"/>
    <w:rsid w:val="00467EA7"/>
    <w:rsid w:val="004704B8"/>
    <w:rsid w:val="004708AD"/>
    <w:rsid w:val="00470CDE"/>
    <w:rsid w:val="00471FB3"/>
    <w:rsid w:val="004731AF"/>
    <w:rsid w:val="00474A73"/>
    <w:rsid w:val="0047503E"/>
    <w:rsid w:val="0047599E"/>
    <w:rsid w:val="00477AD4"/>
    <w:rsid w:val="00477FBA"/>
    <w:rsid w:val="004804BC"/>
    <w:rsid w:val="00480CE3"/>
    <w:rsid w:val="00480D8E"/>
    <w:rsid w:val="00481326"/>
    <w:rsid w:val="004816A4"/>
    <w:rsid w:val="0048246F"/>
    <w:rsid w:val="004825BE"/>
    <w:rsid w:val="00483076"/>
    <w:rsid w:val="004835B0"/>
    <w:rsid w:val="00483866"/>
    <w:rsid w:val="00486164"/>
    <w:rsid w:val="00486472"/>
    <w:rsid w:val="004865DF"/>
    <w:rsid w:val="004867F6"/>
    <w:rsid w:val="0049070A"/>
    <w:rsid w:val="00490B92"/>
    <w:rsid w:val="00491118"/>
    <w:rsid w:val="004928AF"/>
    <w:rsid w:val="0049453A"/>
    <w:rsid w:val="00496317"/>
    <w:rsid w:val="00497DC0"/>
    <w:rsid w:val="00497FEC"/>
    <w:rsid w:val="004A0101"/>
    <w:rsid w:val="004A1CBF"/>
    <w:rsid w:val="004A2443"/>
    <w:rsid w:val="004A2558"/>
    <w:rsid w:val="004A644E"/>
    <w:rsid w:val="004A66B6"/>
    <w:rsid w:val="004A732F"/>
    <w:rsid w:val="004A7BD2"/>
    <w:rsid w:val="004B1A16"/>
    <w:rsid w:val="004B1ACF"/>
    <w:rsid w:val="004B2345"/>
    <w:rsid w:val="004B257F"/>
    <w:rsid w:val="004B56C1"/>
    <w:rsid w:val="004B6429"/>
    <w:rsid w:val="004B76D4"/>
    <w:rsid w:val="004C0380"/>
    <w:rsid w:val="004C168D"/>
    <w:rsid w:val="004C2AA0"/>
    <w:rsid w:val="004C2D38"/>
    <w:rsid w:val="004C3E9D"/>
    <w:rsid w:val="004C41CB"/>
    <w:rsid w:val="004C4B5D"/>
    <w:rsid w:val="004C5046"/>
    <w:rsid w:val="004C6BCB"/>
    <w:rsid w:val="004C78B6"/>
    <w:rsid w:val="004C7E40"/>
    <w:rsid w:val="004D0387"/>
    <w:rsid w:val="004D0736"/>
    <w:rsid w:val="004D0865"/>
    <w:rsid w:val="004D188A"/>
    <w:rsid w:val="004D1A98"/>
    <w:rsid w:val="004D2CC2"/>
    <w:rsid w:val="004D3D3A"/>
    <w:rsid w:val="004D4267"/>
    <w:rsid w:val="004D46CB"/>
    <w:rsid w:val="004D49B1"/>
    <w:rsid w:val="004D4D76"/>
    <w:rsid w:val="004D5F2F"/>
    <w:rsid w:val="004D7F05"/>
    <w:rsid w:val="004E0DE6"/>
    <w:rsid w:val="004E1118"/>
    <w:rsid w:val="004E2CC9"/>
    <w:rsid w:val="004E65D2"/>
    <w:rsid w:val="004F033E"/>
    <w:rsid w:val="004F0445"/>
    <w:rsid w:val="004F0734"/>
    <w:rsid w:val="004F1500"/>
    <w:rsid w:val="004F1898"/>
    <w:rsid w:val="004F1D0E"/>
    <w:rsid w:val="004F24B6"/>
    <w:rsid w:val="004F2C70"/>
    <w:rsid w:val="004F3412"/>
    <w:rsid w:val="004F401D"/>
    <w:rsid w:val="004F4EBE"/>
    <w:rsid w:val="004F54FD"/>
    <w:rsid w:val="004F61A8"/>
    <w:rsid w:val="004F7574"/>
    <w:rsid w:val="004F7AF8"/>
    <w:rsid w:val="005013FC"/>
    <w:rsid w:val="005017A8"/>
    <w:rsid w:val="005025DB"/>
    <w:rsid w:val="00503C02"/>
    <w:rsid w:val="00503D30"/>
    <w:rsid w:val="00504181"/>
    <w:rsid w:val="00504F9A"/>
    <w:rsid w:val="00505E99"/>
    <w:rsid w:val="00505F89"/>
    <w:rsid w:val="005072C6"/>
    <w:rsid w:val="005100A6"/>
    <w:rsid w:val="0051066A"/>
    <w:rsid w:val="00510B07"/>
    <w:rsid w:val="005112C8"/>
    <w:rsid w:val="005128EF"/>
    <w:rsid w:val="00514235"/>
    <w:rsid w:val="0051530E"/>
    <w:rsid w:val="00515994"/>
    <w:rsid w:val="00515FD4"/>
    <w:rsid w:val="005207AF"/>
    <w:rsid w:val="005210A1"/>
    <w:rsid w:val="00521714"/>
    <w:rsid w:val="00522BC3"/>
    <w:rsid w:val="005246DF"/>
    <w:rsid w:val="005257A0"/>
    <w:rsid w:val="00525923"/>
    <w:rsid w:val="00527812"/>
    <w:rsid w:val="005315AB"/>
    <w:rsid w:val="005325D8"/>
    <w:rsid w:val="00532B5B"/>
    <w:rsid w:val="00533C52"/>
    <w:rsid w:val="005347F5"/>
    <w:rsid w:val="005352A8"/>
    <w:rsid w:val="00535D0E"/>
    <w:rsid w:val="00536178"/>
    <w:rsid w:val="00541DD5"/>
    <w:rsid w:val="00542C99"/>
    <w:rsid w:val="00544A5A"/>
    <w:rsid w:val="00544B9D"/>
    <w:rsid w:val="005451BA"/>
    <w:rsid w:val="00547E6F"/>
    <w:rsid w:val="00552280"/>
    <w:rsid w:val="00553220"/>
    <w:rsid w:val="00553C79"/>
    <w:rsid w:val="005545BD"/>
    <w:rsid w:val="005550DE"/>
    <w:rsid w:val="00555332"/>
    <w:rsid w:val="005555A6"/>
    <w:rsid w:val="00556402"/>
    <w:rsid w:val="00560057"/>
    <w:rsid w:val="005600A8"/>
    <w:rsid w:val="0056258E"/>
    <w:rsid w:val="00562B02"/>
    <w:rsid w:val="00565714"/>
    <w:rsid w:val="0056657B"/>
    <w:rsid w:val="00566EF4"/>
    <w:rsid w:val="00570181"/>
    <w:rsid w:val="00571910"/>
    <w:rsid w:val="00571D99"/>
    <w:rsid w:val="00573B98"/>
    <w:rsid w:val="00573BED"/>
    <w:rsid w:val="005742FB"/>
    <w:rsid w:val="005746E6"/>
    <w:rsid w:val="005752CA"/>
    <w:rsid w:val="00576896"/>
    <w:rsid w:val="00576ED4"/>
    <w:rsid w:val="005801F0"/>
    <w:rsid w:val="00582E33"/>
    <w:rsid w:val="005847FB"/>
    <w:rsid w:val="00585613"/>
    <w:rsid w:val="005861FE"/>
    <w:rsid w:val="00586FC5"/>
    <w:rsid w:val="00587BCD"/>
    <w:rsid w:val="00590262"/>
    <w:rsid w:val="00590724"/>
    <w:rsid w:val="0059133B"/>
    <w:rsid w:val="00592916"/>
    <w:rsid w:val="00592B6B"/>
    <w:rsid w:val="0059463E"/>
    <w:rsid w:val="00595211"/>
    <w:rsid w:val="005A22E8"/>
    <w:rsid w:val="005A34EB"/>
    <w:rsid w:val="005A4126"/>
    <w:rsid w:val="005A430B"/>
    <w:rsid w:val="005A4D41"/>
    <w:rsid w:val="005A5033"/>
    <w:rsid w:val="005A5CDB"/>
    <w:rsid w:val="005A6B2C"/>
    <w:rsid w:val="005A72F0"/>
    <w:rsid w:val="005B18A7"/>
    <w:rsid w:val="005B1D7C"/>
    <w:rsid w:val="005B264C"/>
    <w:rsid w:val="005B2792"/>
    <w:rsid w:val="005B43F4"/>
    <w:rsid w:val="005B46D1"/>
    <w:rsid w:val="005B68E6"/>
    <w:rsid w:val="005B6D75"/>
    <w:rsid w:val="005B7B19"/>
    <w:rsid w:val="005B7F4D"/>
    <w:rsid w:val="005C143E"/>
    <w:rsid w:val="005C2EAE"/>
    <w:rsid w:val="005C3052"/>
    <w:rsid w:val="005C37AD"/>
    <w:rsid w:val="005C464E"/>
    <w:rsid w:val="005C4DAB"/>
    <w:rsid w:val="005C601E"/>
    <w:rsid w:val="005C6926"/>
    <w:rsid w:val="005C7666"/>
    <w:rsid w:val="005C7A03"/>
    <w:rsid w:val="005C7A23"/>
    <w:rsid w:val="005D007D"/>
    <w:rsid w:val="005D00C0"/>
    <w:rsid w:val="005D0671"/>
    <w:rsid w:val="005D1811"/>
    <w:rsid w:val="005D1CC7"/>
    <w:rsid w:val="005D2DA3"/>
    <w:rsid w:val="005D2E46"/>
    <w:rsid w:val="005D36B4"/>
    <w:rsid w:val="005D4E4C"/>
    <w:rsid w:val="005D5E86"/>
    <w:rsid w:val="005E0B26"/>
    <w:rsid w:val="005E1317"/>
    <w:rsid w:val="005E1AE1"/>
    <w:rsid w:val="005E2274"/>
    <w:rsid w:val="005E2719"/>
    <w:rsid w:val="005E3024"/>
    <w:rsid w:val="005E306C"/>
    <w:rsid w:val="005E3FDC"/>
    <w:rsid w:val="005E40FA"/>
    <w:rsid w:val="005E419D"/>
    <w:rsid w:val="005E4B29"/>
    <w:rsid w:val="005E5583"/>
    <w:rsid w:val="005F2326"/>
    <w:rsid w:val="005F2566"/>
    <w:rsid w:val="005F5B0D"/>
    <w:rsid w:val="005F5F37"/>
    <w:rsid w:val="005F637A"/>
    <w:rsid w:val="00600D55"/>
    <w:rsid w:val="006016DC"/>
    <w:rsid w:val="00602F95"/>
    <w:rsid w:val="006032BE"/>
    <w:rsid w:val="0060545C"/>
    <w:rsid w:val="00605AE6"/>
    <w:rsid w:val="00607DD3"/>
    <w:rsid w:val="00610BC1"/>
    <w:rsid w:val="00612523"/>
    <w:rsid w:val="006134C8"/>
    <w:rsid w:val="006138B6"/>
    <w:rsid w:val="00615E84"/>
    <w:rsid w:val="00616D58"/>
    <w:rsid w:val="00620BD2"/>
    <w:rsid w:val="00620D44"/>
    <w:rsid w:val="00620E66"/>
    <w:rsid w:val="00621FB5"/>
    <w:rsid w:val="00622B70"/>
    <w:rsid w:val="00624221"/>
    <w:rsid w:val="006246BE"/>
    <w:rsid w:val="00624D6C"/>
    <w:rsid w:val="00625AD9"/>
    <w:rsid w:val="00626BBE"/>
    <w:rsid w:val="006278F3"/>
    <w:rsid w:val="00627B9B"/>
    <w:rsid w:val="006306EE"/>
    <w:rsid w:val="00631BA6"/>
    <w:rsid w:val="006331B0"/>
    <w:rsid w:val="00634389"/>
    <w:rsid w:val="006347E4"/>
    <w:rsid w:val="0063608B"/>
    <w:rsid w:val="00636B11"/>
    <w:rsid w:val="00643065"/>
    <w:rsid w:val="006435EB"/>
    <w:rsid w:val="0064547D"/>
    <w:rsid w:val="006456FC"/>
    <w:rsid w:val="00645DB2"/>
    <w:rsid w:val="006466A6"/>
    <w:rsid w:val="00646A90"/>
    <w:rsid w:val="00647C1E"/>
    <w:rsid w:val="006502EF"/>
    <w:rsid w:val="00650DB4"/>
    <w:rsid w:val="00651385"/>
    <w:rsid w:val="0065150B"/>
    <w:rsid w:val="006519B0"/>
    <w:rsid w:val="00652F1F"/>
    <w:rsid w:val="0065390B"/>
    <w:rsid w:val="00654B90"/>
    <w:rsid w:val="00654BA4"/>
    <w:rsid w:val="00654D11"/>
    <w:rsid w:val="006557B0"/>
    <w:rsid w:val="00656482"/>
    <w:rsid w:val="00656B4C"/>
    <w:rsid w:val="00661116"/>
    <w:rsid w:val="006639F4"/>
    <w:rsid w:val="00663A46"/>
    <w:rsid w:val="00664A31"/>
    <w:rsid w:val="00664C1E"/>
    <w:rsid w:val="00666156"/>
    <w:rsid w:val="006679D5"/>
    <w:rsid w:val="00667FB8"/>
    <w:rsid w:val="00670964"/>
    <w:rsid w:val="006723CF"/>
    <w:rsid w:val="0067459B"/>
    <w:rsid w:val="00674C96"/>
    <w:rsid w:val="0067524A"/>
    <w:rsid w:val="00675793"/>
    <w:rsid w:val="00676E02"/>
    <w:rsid w:val="0068075E"/>
    <w:rsid w:val="00681A06"/>
    <w:rsid w:val="00682545"/>
    <w:rsid w:val="006900E5"/>
    <w:rsid w:val="0069077B"/>
    <w:rsid w:val="0069280B"/>
    <w:rsid w:val="00692872"/>
    <w:rsid w:val="00693CA3"/>
    <w:rsid w:val="00693D80"/>
    <w:rsid w:val="00694209"/>
    <w:rsid w:val="006955AA"/>
    <w:rsid w:val="006955E9"/>
    <w:rsid w:val="0069564A"/>
    <w:rsid w:val="00696796"/>
    <w:rsid w:val="00696A0D"/>
    <w:rsid w:val="00697AFC"/>
    <w:rsid w:val="006A09EE"/>
    <w:rsid w:val="006A13BE"/>
    <w:rsid w:val="006A15DE"/>
    <w:rsid w:val="006A1D9F"/>
    <w:rsid w:val="006A1E02"/>
    <w:rsid w:val="006A215F"/>
    <w:rsid w:val="006A3378"/>
    <w:rsid w:val="006A3576"/>
    <w:rsid w:val="006A5D97"/>
    <w:rsid w:val="006A6BF8"/>
    <w:rsid w:val="006A6CCE"/>
    <w:rsid w:val="006B04D7"/>
    <w:rsid w:val="006B3201"/>
    <w:rsid w:val="006B3C72"/>
    <w:rsid w:val="006B3EE8"/>
    <w:rsid w:val="006B416D"/>
    <w:rsid w:val="006B4849"/>
    <w:rsid w:val="006B58F2"/>
    <w:rsid w:val="006B7FCB"/>
    <w:rsid w:val="006C23CD"/>
    <w:rsid w:val="006C26F1"/>
    <w:rsid w:val="006C2A2F"/>
    <w:rsid w:val="006C3322"/>
    <w:rsid w:val="006C42E0"/>
    <w:rsid w:val="006C4E45"/>
    <w:rsid w:val="006C5101"/>
    <w:rsid w:val="006C534F"/>
    <w:rsid w:val="006C5F53"/>
    <w:rsid w:val="006C67B8"/>
    <w:rsid w:val="006C6FFD"/>
    <w:rsid w:val="006C7926"/>
    <w:rsid w:val="006D048D"/>
    <w:rsid w:val="006D04BC"/>
    <w:rsid w:val="006D1A41"/>
    <w:rsid w:val="006D288E"/>
    <w:rsid w:val="006D3E90"/>
    <w:rsid w:val="006D4AB9"/>
    <w:rsid w:val="006D525F"/>
    <w:rsid w:val="006D75C6"/>
    <w:rsid w:val="006D78E7"/>
    <w:rsid w:val="006E0594"/>
    <w:rsid w:val="006E0756"/>
    <w:rsid w:val="006E32C8"/>
    <w:rsid w:val="006E5631"/>
    <w:rsid w:val="006E6B93"/>
    <w:rsid w:val="006F12BE"/>
    <w:rsid w:val="006F1B41"/>
    <w:rsid w:val="006F2A9D"/>
    <w:rsid w:val="006F2C97"/>
    <w:rsid w:val="006F7E4E"/>
    <w:rsid w:val="00700CA9"/>
    <w:rsid w:val="00701BA8"/>
    <w:rsid w:val="0070440E"/>
    <w:rsid w:val="00704EE6"/>
    <w:rsid w:val="00705409"/>
    <w:rsid w:val="007057FF"/>
    <w:rsid w:val="00705892"/>
    <w:rsid w:val="00705A68"/>
    <w:rsid w:val="00706C53"/>
    <w:rsid w:val="00710CD1"/>
    <w:rsid w:val="00711279"/>
    <w:rsid w:val="00711CE6"/>
    <w:rsid w:val="0071431E"/>
    <w:rsid w:val="007146A2"/>
    <w:rsid w:val="007146CF"/>
    <w:rsid w:val="00715F41"/>
    <w:rsid w:val="00716556"/>
    <w:rsid w:val="00721EAC"/>
    <w:rsid w:val="0072287C"/>
    <w:rsid w:val="00722D2C"/>
    <w:rsid w:val="007233C1"/>
    <w:rsid w:val="00724CA4"/>
    <w:rsid w:val="00725A9F"/>
    <w:rsid w:val="0072679A"/>
    <w:rsid w:val="00726A4D"/>
    <w:rsid w:val="00726B65"/>
    <w:rsid w:val="00730983"/>
    <w:rsid w:val="0073104B"/>
    <w:rsid w:val="00731C5F"/>
    <w:rsid w:val="007320D5"/>
    <w:rsid w:val="00733424"/>
    <w:rsid w:val="00734AB7"/>
    <w:rsid w:val="00734B22"/>
    <w:rsid w:val="0073614F"/>
    <w:rsid w:val="0073655B"/>
    <w:rsid w:val="0073663E"/>
    <w:rsid w:val="00736999"/>
    <w:rsid w:val="00740FC8"/>
    <w:rsid w:val="007416CE"/>
    <w:rsid w:val="00743570"/>
    <w:rsid w:val="007443E1"/>
    <w:rsid w:val="00744F58"/>
    <w:rsid w:val="007466F8"/>
    <w:rsid w:val="00746A1A"/>
    <w:rsid w:val="00746CC4"/>
    <w:rsid w:val="0074783D"/>
    <w:rsid w:val="00751AEE"/>
    <w:rsid w:val="00751B85"/>
    <w:rsid w:val="00751DCC"/>
    <w:rsid w:val="007527DE"/>
    <w:rsid w:val="0075301A"/>
    <w:rsid w:val="00753519"/>
    <w:rsid w:val="007540DD"/>
    <w:rsid w:val="007554CC"/>
    <w:rsid w:val="00755DD3"/>
    <w:rsid w:val="00762218"/>
    <w:rsid w:val="007623A6"/>
    <w:rsid w:val="007626A0"/>
    <w:rsid w:val="007651B0"/>
    <w:rsid w:val="00767BBC"/>
    <w:rsid w:val="00767CE5"/>
    <w:rsid w:val="00767D05"/>
    <w:rsid w:val="00767D93"/>
    <w:rsid w:val="00772571"/>
    <w:rsid w:val="0077316C"/>
    <w:rsid w:val="007804EB"/>
    <w:rsid w:val="00781D71"/>
    <w:rsid w:val="007826FA"/>
    <w:rsid w:val="00784283"/>
    <w:rsid w:val="00785673"/>
    <w:rsid w:val="00786687"/>
    <w:rsid w:val="00786FDE"/>
    <w:rsid w:val="00790AD3"/>
    <w:rsid w:val="00792915"/>
    <w:rsid w:val="0079347C"/>
    <w:rsid w:val="0079376B"/>
    <w:rsid w:val="00794747"/>
    <w:rsid w:val="00794D03"/>
    <w:rsid w:val="0079621E"/>
    <w:rsid w:val="0079625B"/>
    <w:rsid w:val="00796BDA"/>
    <w:rsid w:val="007A0AAC"/>
    <w:rsid w:val="007A305A"/>
    <w:rsid w:val="007A4A4B"/>
    <w:rsid w:val="007A66D5"/>
    <w:rsid w:val="007A67D3"/>
    <w:rsid w:val="007B1046"/>
    <w:rsid w:val="007B298A"/>
    <w:rsid w:val="007B36DC"/>
    <w:rsid w:val="007B3B5A"/>
    <w:rsid w:val="007B4ED6"/>
    <w:rsid w:val="007B53EE"/>
    <w:rsid w:val="007B54ED"/>
    <w:rsid w:val="007B5619"/>
    <w:rsid w:val="007B56C2"/>
    <w:rsid w:val="007B65DC"/>
    <w:rsid w:val="007B7607"/>
    <w:rsid w:val="007C01B4"/>
    <w:rsid w:val="007C07DF"/>
    <w:rsid w:val="007C21AE"/>
    <w:rsid w:val="007C271F"/>
    <w:rsid w:val="007C33D6"/>
    <w:rsid w:val="007C3B7D"/>
    <w:rsid w:val="007C3D0E"/>
    <w:rsid w:val="007C3D43"/>
    <w:rsid w:val="007C5C40"/>
    <w:rsid w:val="007C6AAD"/>
    <w:rsid w:val="007C7369"/>
    <w:rsid w:val="007C745D"/>
    <w:rsid w:val="007C76E8"/>
    <w:rsid w:val="007D0587"/>
    <w:rsid w:val="007D0E1D"/>
    <w:rsid w:val="007D1763"/>
    <w:rsid w:val="007D4230"/>
    <w:rsid w:val="007D4B90"/>
    <w:rsid w:val="007D51FD"/>
    <w:rsid w:val="007D5425"/>
    <w:rsid w:val="007D562F"/>
    <w:rsid w:val="007D5E29"/>
    <w:rsid w:val="007E034C"/>
    <w:rsid w:val="007E3CAF"/>
    <w:rsid w:val="007E4F79"/>
    <w:rsid w:val="007E4F93"/>
    <w:rsid w:val="007E5697"/>
    <w:rsid w:val="007F0957"/>
    <w:rsid w:val="007F1567"/>
    <w:rsid w:val="007F2685"/>
    <w:rsid w:val="007F39B5"/>
    <w:rsid w:val="007F3D19"/>
    <w:rsid w:val="007F4D2D"/>
    <w:rsid w:val="007F4DB8"/>
    <w:rsid w:val="007F53D4"/>
    <w:rsid w:val="007F5B14"/>
    <w:rsid w:val="007F633E"/>
    <w:rsid w:val="007F6E20"/>
    <w:rsid w:val="007F6F81"/>
    <w:rsid w:val="008015E4"/>
    <w:rsid w:val="00801C4B"/>
    <w:rsid w:val="008056F0"/>
    <w:rsid w:val="0081203A"/>
    <w:rsid w:val="0081205C"/>
    <w:rsid w:val="00812E26"/>
    <w:rsid w:val="00815121"/>
    <w:rsid w:val="008153E0"/>
    <w:rsid w:val="00815E34"/>
    <w:rsid w:val="008166E5"/>
    <w:rsid w:val="008167D4"/>
    <w:rsid w:val="00817181"/>
    <w:rsid w:val="00817193"/>
    <w:rsid w:val="008174EA"/>
    <w:rsid w:val="00817564"/>
    <w:rsid w:val="008179E0"/>
    <w:rsid w:val="00817B07"/>
    <w:rsid w:val="00817FBD"/>
    <w:rsid w:val="00820508"/>
    <w:rsid w:val="008217EE"/>
    <w:rsid w:val="00821B36"/>
    <w:rsid w:val="00821B7C"/>
    <w:rsid w:val="00822C3E"/>
    <w:rsid w:val="00823015"/>
    <w:rsid w:val="00823A69"/>
    <w:rsid w:val="00823AE1"/>
    <w:rsid w:val="00823EE1"/>
    <w:rsid w:val="008257A0"/>
    <w:rsid w:val="0082589B"/>
    <w:rsid w:val="00827B13"/>
    <w:rsid w:val="0083311E"/>
    <w:rsid w:val="0083348B"/>
    <w:rsid w:val="00833AA9"/>
    <w:rsid w:val="00833D26"/>
    <w:rsid w:val="00834302"/>
    <w:rsid w:val="00834CC1"/>
    <w:rsid w:val="00834EB5"/>
    <w:rsid w:val="0083650A"/>
    <w:rsid w:val="00836665"/>
    <w:rsid w:val="00837544"/>
    <w:rsid w:val="00837961"/>
    <w:rsid w:val="00841026"/>
    <w:rsid w:val="00841A3F"/>
    <w:rsid w:val="00843C90"/>
    <w:rsid w:val="00843D9E"/>
    <w:rsid w:val="00844F37"/>
    <w:rsid w:val="0084508D"/>
    <w:rsid w:val="00845658"/>
    <w:rsid w:val="0084588A"/>
    <w:rsid w:val="0084594A"/>
    <w:rsid w:val="00845B3D"/>
    <w:rsid w:val="008502E1"/>
    <w:rsid w:val="008505FA"/>
    <w:rsid w:val="00854EFE"/>
    <w:rsid w:val="008553FB"/>
    <w:rsid w:val="00855904"/>
    <w:rsid w:val="008560C6"/>
    <w:rsid w:val="00856761"/>
    <w:rsid w:val="00857A2D"/>
    <w:rsid w:val="00860ED3"/>
    <w:rsid w:val="008630C6"/>
    <w:rsid w:val="00863E41"/>
    <w:rsid w:val="0086430F"/>
    <w:rsid w:val="00865A90"/>
    <w:rsid w:val="0086714F"/>
    <w:rsid w:val="00870C94"/>
    <w:rsid w:val="00870DE1"/>
    <w:rsid w:val="0087122E"/>
    <w:rsid w:val="00871ACC"/>
    <w:rsid w:val="00873194"/>
    <w:rsid w:val="00873291"/>
    <w:rsid w:val="008734FA"/>
    <w:rsid w:val="00874938"/>
    <w:rsid w:val="00876019"/>
    <w:rsid w:val="008762C8"/>
    <w:rsid w:val="008762D7"/>
    <w:rsid w:val="0087658A"/>
    <w:rsid w:val="008769F8"/>
    <w:rsid w:val="00876EE9"/>
    <w:rsid w:val="008801C8"/>
    <w:rsid w:val="008805CD"/>
    <w:rsid w:val="00882374"/>
    <w:rsid w:val="00883AC9"/>
    <w:rsid w:val="00884339"/>
    <w:rsid w:val="00884C37"/>
    <w:rsid w:val="00884FBB"/>
    <w:rsid w:val="008861F8"/>
    <w:rsid w:val="0088672C"/>
    <w:rsid w:val="00891DFD"/>
    <w:rsid w:val="008925A2"/>
    <w:rsid w:val="0089347C"/>
    <w:rsid w:val="008934CE"/>
    <w:rsid w:val="00893DF0"/>
    <w:rsid w:val="00893ECA"/>
    <w:rsid w:val="00894787"/>
    <w:rsid w:val="008947E2"/>
    <w:rsid w:val="00895C07"/>
    <w:rsid w:val="00895ECA"/>
    <w:rsid w:val="008962A6"/>
    <w:rsid w:val="00896825"/>
    <w:rsid w:val="008970B2"/>
    <w:rsid w:val="008A246E"/>
    <w:rsid w:val="008A261D"/>
    <w:rsid w:val="008A282F"/>
    <w:rsid w:val="008A2933"/>
    <w:rsid w:val="008A4C66"/>
    <w:rsid w:val="008A4FB6"/>
    <w:rsid w:val="008A53E2"/>
    <w:rsid w:val="008A565D"/>
    <w:rsid w:val="008A662D"/>
    <w:rsid w:val="008B0032"/>
    <w:rsid w:val="008B0D01"/>
    <w:rsid w:val="008B10AF"/>
    <w:rsid w:val="008B1256"/>
    <w:rsid w:val="008B1308"/>
    <w:rsid w:val="008B2219"/>
    <w:rsid w:val="008B2760"/>
    <w:rsid w:val="008B29AC"/>
    <w:rsid w:val="008B3A58"/>
    <w:rsid w:val="008B3AC2"/>
    <w:rsid w:val="008B66CD"/>
    <w:rsid w:val="008B71B8"/>
    <w:rsid w:val="008C0150"/>
    <w:rsid w:val="008C120E"/>
    <w:rsid w:val="008C40D6"/>
    <w:rsid w:val="008C5E71"/>
    <w:rsid w:val="008C5EC5"/>
    <w:rsid w:val="008C6BB6"/>
    <w:rsid w:val="008C744C"/>
    <w:rsid w:val="008D0CE4"/>
    <w:rsid w:val="008D25EF"/>
    <w:rsid w:val="008D3291"/>
    <w:rsid w:val="008D3AE6"/>
    <w:rsid w:val="008D526D"/>
    <w:rsid w:val="008D5655"/>
    <w:rsid w:val="008D5CCA"/>
    <w:rsid w:val="008D61E1"/>
    <w:rsid w:val="008D6BA4"/>
    <w:rsid w:val="008D75AC"/>
    <w:rsid w:val="008E0EC0"/>
    <w:rsid w:val="008E1B67"/>
    <w:rsid w:val="008E2B07"/>
    <w:rsid w:val="008E2FA7"/>
    <w:rsid w:val="008E355F"/>
    <w:rsid w:val="008E5E0E"/>
    <w:rsid w:val="008E67C4"/>
    <w:rsid w:val="008E6A2A"/>
    <w:rsid w:val="008E7078"/>
    <w:rsid w:val="008E70C7"/>
    <w:rsid w:val="008F0548"/>
    <w:rsid w:val="008F0845"/>
    <w:rsid w:val="008F20E8"/>
    <w:rsid w:val="008F2EC9"/>
    <w:rsid w:val="008F37C3"/>
    <w:rsid w:val="008F4722"/>
    <w:rsid w:val="008F6B2D"/>
    <w:rsid w:val="008F7275"/>
    <w:rsid w:val="008F75E0"/>
    <w:rsid w:val="009003BE"/>
    <w:rsid w:val="00902BC6"/>
    <w:rsid w:val="0090307D"/>
    <w:rsid w:val="0090356D"/>
    <w:rsid w:val="009045DC"/>
    <w:rsid w:val="00904D3D"/>
    <w:rsid w:val="00905C7D"/>
    <w:rsid w:val="00910022"/>
    <w:rsid w:val="00910A42"/>
    <w:rsid w:val="009112AF"/>
    <w:rsid w:val="009125B2"/>
    <w:rsid w:val="00912AB7"/>
    <w:rsid w:val="00913D76"/>
    <w:rsid w:val="009144C2"/>
    <w:rsid w:val="00914FFE"/>
    <w:rsid w:val="00916B54"/>
    <w:rsid w:val="0091711C"/>
    <w:rsid w:val="009171CE"/>
    <w:rsid w:val="009176BF"/>
    <w:rsid w:val="0092186B"/>
    <w:rsid w:val="0092219F"/>
    <w:rsid w:val="00923040"/>
    <w:rsid w:val="009240AF"/>
    <w:rsid w:val="00924E3D"/>
    <w:rsid w:val="00925BDC"/>
    <w:rsid w:val="00925D04"/>
    <w:rsid w:val="00926E3D"/>
    <w:rsid w:val="00927148"/>
    <w:rsid w:val="0093149B"/>
    <w:rsid w:val="00932472"/>
    <w:rsid w:val="00936675"/>
    <w:rsid w:val="0093750A"/>
    <w:rsid w:val="009375DD"/>
    <w:rsid w:val="00940FEC"/>
    <w:rsid w:val="009418A5"/>
    <w:rsid w:val="0094304B"/>
    <w:rsid w:val="009430C0"/>
    <w:rsid w:val="009436F8"/>
    <w:rsid w:val="00944C7B"/>
    <w:rsid w:val="00945525"/>
    <w:rsid w:val="0094616A"/>
    <w:rsid w:val="00946300"/>
    <w:rsid w:val="00946CCC"/>
    <w:rsid w:val="00947B30"/>
    <w:rsid w:val="009512AD"/>
    <w:rsid w:val="00951F2A"/>
    <w:rsid w:val="00954780"/>
    <w:rsid w:val="00954856"/>
    <w:rsid w:val="00956941"/>
    <w:rsid w:val="0095706E"/>
    <w:rsid w:val="00957C18"/>
    <w:rsid w:val="00960831"/>
    <w:rsid w:val="00961795"/>
    <w:rsid w:val="009617D9"/>
    <w:rsid w:val="00963308"/>
    <w:rsid w:val="00964061"/>
    <w:rsid w:val="00965A6B"/>
    <w:rsid w:val="00965B7F"/>
    <w:rsid w:val="0096703C"/>
    <w:rsid w:val="00967425"/>
    <w:rsid w:val="009679F2"/>
    <w:rsid w:val="00967EDB"/>
    <w:rsid w:val="009703AB"/>
    <w:rsid w:val="00970AA9"/>
    <w:rsid w:val="00970AAB"/>
    <w:rsid w:val="009718E4"/>
    <w:rsid w:val="00971ED5"/>
    <w:rsid w:val="00972036"/>
    <w:rsid w:val="00972EE5"/>
    <w:rsid w:val="00975B84"/>
    <w:rsid w:val="00975BC8"/>
    <w:rsid w:val="009761A0"/>
    <w:rsid w:val="00977917"/>
    <w:rsid w:val="00977E8B"/>
    <w:rsid w:val="009827A2"/>
    <w:rsid w:val="009836A5"/>
    <w:rsid w:val="00984421"/>
    <w:rsid w:val="009848DB"/>
    <w:rsid w:val="00984AFE"/>
    <w:rsid w:val="009856BB"/>
    <w:rsid w:val="009857AC"/>
    <w:rsid w:val="00986EB2"/>
    <w:rsid w:val="00990234"/>
    <w:rsid w:val="009912E4"/>
    <w:rsid w:val="00991BC3"/>
    <w:rsid w:val="009923ED"/>
    <w:rsid w:val="00993844"/>
    <w:rsid w:val="0099473B"/>
    <w:rsid w:val="00994EC3"/>
    <w:rsid w:val="009959BF"/>
    <w:rsid w:val="00995CC1"/>
    <w:rsid w:val="009963C3"/>
    <w:rsid w:val="009963F5"/>
    <w:rsid w:val="009966A9"/>
    <w:rsid w:val="009A02AF"/>
    <w:rsid w:val="009A24CA"/>
    <w:rsid w:val="009A3529"/>
    <w:rsid w:val="009A45D4"/>
    <w:rsid w:val="009A4F5E"/>
    <w:rsid w:val="009A5E7D"/>
    <w:rsid w:val="009A6720"/>
    <w:rsid w:val="009A74D3"/>
    <w:rsid w:val="009B053E"/>
    <w:rsid w:val="009B0D76"/>
    <w:rsid w:val="009B0FB2"/>
    <w:rsid w:val="009B1B99"/>
    <w:rsid w:val="009B2643"/>
    <w:rsid w:val="009B2BEA"/>
    <w:rsid w:val="009B2C5A"/>
    <w:rsid w:val="009B416E"/>
    <w:rsid w:val="009B47CD"/>
    <w:rsid w:val="009B5A5D"/>
    <w:rsid w:val="009B7304"/>
    <w:rsid w:val="009B7C14"/>
    <w:rsid w:val="009C0178"/>
    <w:rsid w:val="009C0911"/>
    <w:rsid w:val="009C381B"/>
    <w:rsid w:val="009C3DBA"/>
    <w:rsid w:val="009C46B3"/>
    <w:rsid w:val="009C46E8"/>
    <w:rsid w:val="009C5555"/>
    <w:rsid w:val="009C5BAA"/>
    <w:rsid w:val="009C618A"/>
    <w:rsid w:val="009C7B43"/>
    <w:rsid w:val="009C7C32"/>
    <w:rsid w:val="009D0DC4"/>
    <w:rsid w:val="009D1FE1"/>
    <w:rsid w:val="009D34E7"/>
    <w:rsid w:val="009D3995"/>
    <w:rsid w:val="009D4AF3"/>
    <w:rsid w:val="009D604C"/>
    <w:rsid w:val="009D7530"/>
    <w:rsid w:val="009E0283"/>
    <w:rsid w:val="009E19E4"/>
    <w:rsid w:val="009E40AA"/>
    <w:rsid w:val="009E4419"/>
    <w:rsid w:val="009E4A8E"/>
    <w:rsid w:val="009E4CAD"/>
    <w:rsid w:val="009E4CE9"/>
    <w:rsid w:val="009E4FA1"/>
    <w:rsid w:val="009E5A00"/>
    <w:rsid w:val="009E7633"/>
    <w:rsid w:val="009E7E25"/>
    <w:rsid w:val="009F09F8"/>
    <w:rsid w:val="009F0EC4"/>
    <w:rsid w:val="009F36F3"/>
    <w:rsid w:val="009F3803"/>
    <w:rsid w:val="009F3A77"/>
    <w:rsid w:val="009F3DDF"/>
    <w:rsid w:val="009F423B"/>
    <w:rsid w:val="009F4430"/>
    <w:rsid w:val="009F4A54"/>
    <w:rsid w:val="009F5272"/>
    <w:rsid w:val="009F53DD"/>
    <w:rsid w:val="009F69FB"/>
    <w:rsid w:val="009F75E5"/>
    <w:rsid w:val="009F7633"/>
    <w:rsid w:val="00A00347"/>
    <w:rsid w:val="00A034A0"/>
    <w:rsid w:val="00A0439E"/>
    <w:rsid w:val="00A04CC9"/>
    <w:rsid w:val="00A0534A"/>
    <w:rsid w:val="00A05692"/>
    <w:rsid w:val="00A07F4F"/>
    <w:rsid w:val="00A105F8"/>
    <w:rsid w:val="00A10C3E"/>
    <w:rsid w:val="00A1120C"/>
    <w:rsid w:val="00A12800"/>
    <w:rsid w:val="00A13328"/>
    <w:rsid w:val="00A14185"/>
    <w:rsid w:val="00A1454B"/>
    <w:rsid w:val="00A14C7A"/>
    <w:rsid w:val="00A14DA1"/>
    <w:rsid w:val="00A15848"/>
    <w:rsid w:val="00A16BC0"/>
    <w:rsid w:val="00A16F5C"/>
    <w:rsid w:val="00A16FD1"/>
    <w:rsid w:val="00A2078B"/>
    <w:rsid w:val="00A2265B"/>
    <w:rsid w:val="00A22F98"/>
    <w:rsid w:val="00A23235"/>
    <w:rsid w:val="00A240BE"/>
    <w:rsid w:val="00A249E3"/>
    <w:rsid w:val="00A24E70"/>
    <w:rsid w:val="00A24EFF"/>
    <w:rsid w:val="00A26648"/>
    <w:rsid w:val="00A2698A"/>
    <w:rsid w:val="00A27A8C"/>
    <w:rsid w:val="00A3122A"/>
    <w:rsid w:val="00A33BF3"/>
    <w:rsid w:val="00A35A3F"/>
    <w:rsid w:val="00A36963"/>
    <w:rsid w:val="00A375F3"/>
    <w:rsid w:val="00A41B10"/>
    <w:rsid w:val="00A427E4"/>
    <w:rsid w:val="00A434FA"/>
    <w:rsid w:val="00A43AA6"/>
    <w:rsid w:val="00A4431E"/>
    <w:rsid w:val="00A445C9"/>
    <w:rsid w:val="00A450D2"/>
    <w:rsid w:val="00A468FF"/>
    <w:rsid w:val="00A47990"/>
    <w:rsid w:val="00A47A44"/>
    <w:rsid w:val="00A47B64"/>
    <w:rsid w:val="00A47CF0"/>
    <w:rsid w:val="00A47E3E"/>
    <w:rsid w:val="00A506ED"/>
    <w:rsid w:val="00A5089C"/>
    <w:rsid w:val="00A52641"/>
    <w:rsid w:val="00A52B17"/>
    <w:rsid w:val="00A5352A"/>
    <w:rsid w:val="00A541C0"/>
    <w:rsid w:val="00A54841"/>
    <w:rsid w:val="00A553F6"/>
    <w:rsid w:val="00A555BE"/>
    <w:rsid w:val="00A556CC"/>
    <w:rsid w:val="00A559DA"/>
    <w:rsid w:val="00A563F2"/>
    <w:rsid w:val="00A60622"/>
    <w:rsid w:val="00A60C63"/>
    <w:rsid w:val="00A61F42"/>
    <w:rsid w:val="00A62235"/>
    <w:rsid w:val="00A6377A"/>
    <w:rsid w:val="00A63C0F"/>
    <w:rsid w:val="00A65AEB"/>
    <w:rsid w:val="00A7042D"/>
    <w:rsid w:val="00A70CA3"/>
    <w:rsid w:val="00A713A8"/>
    <w:rsid w:val="00A72457"/>
    <w:rsid w:val="00A7366D"/>
    <w:rsid w:val="00A75483"/>
    <w:rsid w:val="00A75FF1"/>
    <w:rsid w:val="00A760B5"/>
    <w:rsid w:val="00A768A9"/>
    <w:rsid w:val="00A77D12"/>
    <w:rsid w:val="00A802A1"/>
    <w:rsid w:val="00A81215"/>
    <w:rsid w:val="00A8129F"/>
    <w:rsid w:val="00A834BD"/>
    <w:rsid w:val="00A85FA9"/>
    <w:rsid w:val="00A86C3D"/>
    <w:rsid w:val="00A86CC6"/>
    <w:rsid w:val="00A871D4"/>
    <w:rsid w:val="00A87202"/>
    <w:rsid w:val="00A87549"/>
    <w:rsid w:val="00A87686"/>
    <w:rsid w:val="00A878BA"/>
    <w:rsid w:val="00A87B1B"/>
    <w:rsid w:val="00A87BBB"/>
    <w:rsid w:val="00A87E18"/>
    <w:rsid w:val="00A90E73"/>
    <w:rsid w:val="00A91AB4"/>
    <w:rsid w:val="00A92EF9"/>
    <w:rsid w:val="00A94860"/>
    <w:rsid w:val="00A95440"/>
    <w:rsid w:val="00A9579D"/>
    <w:rsid w:val="00A9595E"/>
    <w:rsid w:val="00A95CD3"/>
    <w:rsid w:val="00A961F2"/>
    <w:rsid w:val="00A9629B"/>
    <w:rsid w:val="00A96EA2"/>
    <w:rsid w:val="00A96F43"/>
    <w:rsid w:val="00A97343"/>
    <w:rsid w:val="00A975B1"/>
    <w:rsid w:val="00A97B00"/>
    <w:rsid w:val="00AA0658"/>
    <w:rsid w:val="00AA06A9"/>
    <w:rsid w:val="00AA1C67"/>
    <w:rsid w:val="00AA3368"/>
    <w:rsid w:val="00AA388C"/>
    <w:rsid w:val="00AA4749"/>
    <w:rsid w:val="00AA518E"/>
    <w:rsid w:val="00AA67F8"/>
    <w:rsid w:val="00AA6EB9"/>
    <w:rsid w:val="00AB003F"/>
    <w:rsid w:val="00AB0CBF"/>
    <w:rsid w:val="00AB0DA2"/>
    <w:rsid w:val="00AB0F14"/>
    <w:rsid w:val="00AB12AB"/>
    <w:rsid w:val="00AB15C0"/>
    <w:rsid w:val="00AB2EC8"/>
    <w:rsid w:val="00AB2F58"/>
    <w:rsid w:val="00AB397D"/>
    <w:rsid w:val="00AB49EC"/>
    <w:rsid w:val="00AB4A3D"/>
    <w:rsid w:val="00AB7FFC"/>
    <w:rsid w:val="00AC1557"/>
    <w:rsid w:val="00AC1761"/>
    <w:rsid w:val="00AC1C4E"/>
    <w:rsid w:val="00AC2878"/>
    <w:rsid w:val="00AC50F9"/>
    <w:rsid w:val="00AC5674"/>
    <w:rsid w:val="00AC5BF6"/>
    <w:rsid w:val="00AC648C"/>
    <w:rsid w:val="00AC654B"/>
    <w:rsid w:val="00AD0479"/>
    <w:rsid w:val="00AD1C9F"/>
    <w:rsid w:val="00AD2602"/>
    <w:rsid w:val="00AD2CFB"/>
    <w:rsid w:val="00AD2FEA"/>
    <w:rsid w:val="00AD399A"/>
    <w:rsid w:val="00AD51BC"/>
    <w:rsid w:val="00AD609B"/>
    <w:rsid w:val="00AD66E7"/>
    <w:rsid w:val="00AD6754"/>
    <w:rsid w:val="00AD68E8"/>
    <w:rsid w:val="00AD6A25"/>
    <w:rsid w:val="00AD6BA0"/>
    <w:rsid w:val="00AD6E19"/>
    <w:rsid w:val="00AE0FD3"/>
    <w:rsid w:val="00AE2A47"/>
    <w:rsid w:val="00AE3151"/>
    <w:rsid w:val="00AE39EF"/>
    <w:rsid w:val="00AE3EE2"/>
    <w:rsid w:val="00AE432B"/>
    <w:rsid w:val="00AE43EE"/>
    <w:rsid w:val="00AE4B94"/>
    <w:rsid w:val="00AE5424"/>
    <w:rsid w:val="00AE55C7"/>
    <w:rsid w:val="00AF13E5"/>
    <w:rsid w:val="00AF1E03"/>
    <w:rsid w:val="00AF38FA"/>
    <w:rsid w:val="00AF51C7"/>
    <w:rsid w:val="00AF636E"/>
    <w:rsid w:val="00AF64DE"/>
    <w:rsid w:val="00AF6B2D"/>
    <w:rsid w:val="00AF6EAF"/>
    <w:rsid w:val="00AF73E7"/>
    <w:rsid w:val="00AF7852"/>
    <w:rsid w:val="00B0121E"/>
    <w:rsid w:val="00B01711"/>
    <w:rsid w:val="00B01B17"/>
    <w:rsid w:val="00B027F0"/>
    <w:rsid w:val="00B029FC"/>
    <w:rsid w:val="00B02C41"/>
    <w:rsid w:val="00B05801"/>
    <w:rsid w:val="00B06348"/>
    <w:rsid w:val="00B06FAE"/>
    <w:rsid w:val="00B07A77"/>
    <w:rsid w:val="00B1004B"/>
    <w:rsid w:val="00B109D2"/>
    <w:rsid w:val="00B1116B"/>
    <w:rsid w:val="00B11D05"/>
    <w:rsid w:val="00B12E3E"/>
    <w:rsid w:val="00B13234"/>
    <w:rsid w:val="00B1481F"/>
    <w:rsid w:val="00B1569A"/>
    <w:rsid w:val="00B1607A"/>
    <w:rsid w:val="00B161AA"/>
    <w:rsid w:val="00B16769"/>
    <w:rsid w:val="00B16828"/>
    <w:rsid w:val="00B17FB3"/>
    <w:rsid w:val="00B202CA"/>
    <w:rsid w:val="00B20984"/>
    <w:rsid w:val="00B20F1E"/>
    <w:rsid w:val="00B21CCF"/>
    <w:rsid w:val="00B21DA0"/>
    <w:rsid w:val="00B22496"/>
    <w:rsid w:val="00B22938"/>
    <w:rsid w:val="00B24657"/>
    <w:rsid w:val="00B27001"/>
    <w:rsid w:val="00B314B2"/>
    <w:rsid w:val="00B31E00"/>
    <w:rsid w:val="00B32254"/>
    <w:rsid w:val="00B32BE1"/>
    <w:rsid w:val="00B334C4"/>
    <w:rsid w:val="00B3431C"/>
    <w:rsid w:val="00B344F7"/>
    <w:rsid w:val="00B348BA"/>
    <w:rsid w:val="00B34E98"/>
    <w:rsid w:val="00B35C5B"/>
    <w:rsid w:val="00B37993"/>
    <w:rsid w:val="00B4030F"/>
    <w:rsid w:val="00B407F8"/>
    <w:rsid w:val="00B423F7"/>
    <w:rsid w:val="00B42F27"/>
    <w:rsid w:val="00B43A19"/>
    <w:rsid w:val="00B44B88"/>
    <w:rsid w:val="00B45836"/>
    <w:rsid w:val="00B460A3"/>
    <w:rsid w:val="00B47903"/>
    <w:rsid w:val="00B47A0A"/>
    <w:rsid w:val="00B47E00"/>
    <w:rsid w:val="00B5178D"/>
    <w:rsid w:val="00B538BD"/>
    <w:rsid w:val="00B539C2"/>
    <w:rsid w:val="00B53C3A"/>
    <w:rsid w:val="00B55D15"/>
    <w:rsid w:val="00B56840"/>
    <w:rsid w:val="00B602BB"/>
    <w:rsid w:val="00B611B7"/>
    <w:rsid w:val="00B619C0"/>
    <w:rsid w:val="00B6272A"/>
    <w:rsid w:val="00B62D3B"/>
    <w:rsid w:val="00B62EBB"/>
    <w:rsid w:val="00B636E8"/>
    <w:rsid w:val="00B6575D"/>
    <w:rsid w:val="00B6648F"/>
    <w:rsid w:val="00B66864"/>
    <w:rsid w:val="00B70DED"/>
    <w:rsid w:val="00B71C3A"/>
    <w:rsid w:val="00B725D0"/>
    <w:rsid w:val="00B74328"/>
    <w:rsid w:val="00B75912"/>
    <w:rsid w:val="00B767DB"/>
    <w:rsid w:val="00B770C5"/>
    <w:rsid w:val="00B771AD"/>
    <w:rsid w:val="00B77EE8"/>
    <w:rsid w:val="00B80749"/>
    <w:rsid w:val="00B81513"/>
    <w:rsid w:val="00B815DE"/>
    <w:rsid w:val="00B82756"/>
    <w:rsid w:val="00B83311"/>
    <w:rsid w:val="00B847F9"/>
    <w:rsid w:val="00B85B9A"/>
    <w:rsid w:val="00B85D9D"/>
    <w:rsid w:val="00B875E0"/>
    <w:rsid w:val="00B87666"/>
    <w:rsid w:val="00B87A2D"/>
    <w:rsid w:val="00B90349"/>
    <w:rsid w:val="00B908F1"/>
    <w:rsid w:val="00B90953"/>
    <w:rsid w:val="00B90D8C"/>
    <w:rsid w:val="00B91043"/>
    <w:rsid w:val="00B91A6E"/>
    <w:rsid w:val="00B93001"/>
    <w:rsid w:val="00B9382B"/>
    <w:rsid w:val="00B94C30"/>
    <w:rsid w:val="00B9579C"/>
    <w:rsid w:val="00B961FF"/>
    <w:rsid w:val="00B97D50"/>
    <w:rsid w:val="00BA02D9"/>
    <w:rsid w:val="00BA2186"/>
    <w:rsid w:val="00BA2C1E"/>
    <w:rsid w:val="00BA3B73"/>
    <w:rsid w:val="00BA5003"/>
    <w:rsid w:val="00BA50BD"/>
    <w:rsid w:val="00BA5364"/>
    <w:rsid w:val="00BA597A"/>
    <w:rsid w:val="00BA7A93"/>
    <w:rsid w:val="00BA7E62"/>
    <w:rsid w:val="00BB103C"/>
    <w:rsid w:val="00BB3083"/>
    <w:rsid w:val="00BB4741"/>
    <w:rsid w:val="00BB48BF"/>
    <w:rsid w:val="00BB4DCB"/>
    <w:rsid w:val="00BB4F52"/>
    <w:rsid w:val="00BB52B0"/>
    <w:rsid w:val="00BB56E0"/>
    <w:rsid w:val="00BB5C1B"/>
    <w:rsid w:val="00BB5C2D"/>
    <w:rsid w:val="00BB7F93"/>
    <w:rsid w:val="00BC0AC5"/>
    <w:rsid w:val="00BC2507"/>
    <w:rsid w:val="00BC3119"/>
    <w:rsid w:val="00BC4019"/>
    <w:rsid w:val="00BC49E0"/>
    <w:rsid w:val="00BC514A"/>
    <w:rsid w:val="00BC73C7"/>
    <w:rsid w:val="00BD051B"/>
    <w:rsid w:val="00BD2B9F"/>
    <w:rsid w:val="00BD4116"/>
    <w:rsid w:val="00BD4F0E"/>
    <w:rsid w:val="00BD5AD5"/>
    <w:rsid w:val="00BD653F"/>
    <w:rsid w:val="00BD6A25"/>
    <w:rsid w:val="00BD6C81"/>
    <w:rsid w:val="00BD7B23"/>
    <w:rsid w:val="00BE16BF"/>
    <w:rsid w:val="00BE2F7B"/>
    <w:rsid w:val="00BE2FCE"/>
    <w:rsid w:val="00BE3B01"/>
    <w:rsid w:val="00BE5373"/>
    <w:rsid w:val="00BE6237"/>
    <w:rsid w:val="00BE6443"/>
    <w:rsid w:val="00BE6F05"/>
    <w:rsid w:val="00BF1B1C"/>
    <w:rsid w:val="00BF48A5"/>
    <w:rsid w:val="00BF4BFC"/>
    <w:rsid w:val="00BF72FF"/>
    <w:rsid w:val="00BF73D7"/>
    <w:rsid w:val="00BF79BB"/>
    <w:rsid w:val="00C0015C"/>
    <w:rsid w:val="00C01067"/>
    <w:rsid w:val="00C01B30"/>
    <w:rsid w:val="00C05304"/>
    <w:rsid w:val="00C06C0A"/>
    <w:rsid w:val="00C07059"/>
    <w:rsid w:val="00C07074"/>
    <w:rsid w:val="00C07D9A"/>
    <w:rsid w:val="00C1008C"/>
    <w:rsid w:val="00C10E30"/>
    <w:rsid w:val="00C12C11"/>
    <w:rsid w:val="00C14A9F"/>
    <w:rsid w:val="00C14B70"/>
    <w:rsid w:val="00C15656"/>
    <w:rsid w:val="00C16099"/>
    <w:rsid w:val="00C162D0"/>
    <w:rsid w:val="00C20A13"/>
    <w:rsid w:val="00C2157F"/>
    <w:rsid w:val="00C231F2"/>
    <w:rsid w:val="00C23D54"/>
    <w:rsid w:val="00C24615"/>
    <w:rsid w:val="00C250C1"/>
    <w:rsid w:val="00C255BE"/>
    <w:rsid w:val="00C327E7"/>
    <w:rsid w:val="00C33A29"/>
    <w:rsid w:val="00C34386"/>
    <w:rsid w:val="00C35613"/>
    <w:rsid w:val="00C35950"/>
    <w:rsid w:val="00C37749"/>
    <w:rsid w:val="00C40D4B"/>
    <w:rsid w:val="00C42C90"/>
    <w:rsid w:val="00C44F97"/>
    <w:rsid w:val="00C45BDA"/>
    <w:rsid w:val="00C463DC"/>
    <w:rsid w:val="00C465A3"/>
    <w:rsid w:val="00C46CCB"/>
    <w:rsid w:val="00C46DF2"/>
    <w:rsid w:val="00C47691"/>
    <w:rsid w:val="00C50D2F"/>
    <w:rsid w:val="00C50E19"/>
    <w:rsid w:val="00C512F1"/>
    <w:rsid w:val="00C52378"/>
    <w:rsid w:val="00C52D7F"/>
    <w:rsid w:val="00C5352D"/>
    <w:rsid w:val="00C55418"/>
    <w:rsid w:val="00C55A86"/>
    <w:rsid w:val="00C5666F"/>
    <w:rsid w:val="00C568FD"/>
    <w:rsid w:val="00C56C29"/>
    <w:rsid w:val="00C577B3"/>
    <w:rsid w:val="00C61007"/>
    <w:rsid w:val="00C61AB5"/>
    <w:rsid w:val="00C632E4"/>
    <w:rsid w:val="00C6613E"/>
    <w:rsid w:val="00C664F7"/>
    <w:rsid w:val="00C71160"/>
    <w:rsid w:val="00C7122A"/>
    <w:rsid w:val="00C719BA"/>
    <w:rsid w:val="00C72821"/>
    <w:rsid w:val="00C72E77"/>
    <w:rsid w:val="00C738AB"/>
    <w:rsid w:val="00C73B92"/>
    <w:rsid w:val="00C74018"/>
    <w:rsid w:val="00C759B1"/>
    <w:rsid w:val="00C75D27"/>
    <w:rsid w:val="00C760DC"/>
    <w:rsid w:val="00C7665C"/>
    <w:rsid w:val="00C77FC2"/>
    <w:rsid w:val="00C813EB"/>
    <w:rsid w:val="00C81899"/>
    <w:rsid w:val="00C85C3A"/>
    <w:rsid w:val="00C873E5"/>
    <w:rsid w:val="00C90826"/>
    <w:rsid w:val="00C91600"/>
    <w:rsid w:val="00C94935"/>
    <w:rsid w:val="00C960D2"/>
    <w:rsid w:val="00CA3829"/>
    <w:rsid w:val="00CA4170"/>
    <w:rsid w:val="00CA4CDF"/>
    <w:rsid w:val="00CA5950"/>
    <w:rsid w:val="00CA6708"/>
    <w:rsid w:val="00CA6908"/>
    <w:rsid w:val="00CA69F2"/>
    <w:rsid w:val="00CA6AF3"/>
    <w:rsid w:val="00CA6DB3"/>
    <w:rsid w:val="00CB1166"/>
    <w:rsid w:val="00CB172D"/>
    <w:rsid w:val="00CB2301"/>
    <w:rsid w:val="00CB47DB"/>
    <w:rsid w:val="00CB679B"/>
    <w:rsid w:val="00CB70CB"/>
    <w:rsid w:val="00CB7597"/>
    <w:rsid w:val="00CC055D"/>
    <w:rsid w:val="00CC05A5"/>
    <w:rsid w:val="00CC0DA1"/>
    <w:rsid w:val="00CC1357"/>
    <w:rsid w:val="00CC1DCE"/>
    <w:rsid w:val="00CC2F27"/>
    <w:rsid w:val="00CC327F"/>
    <w:rsid w:val="00CC3690"/>
    <w:rsid w:val="00CC3CFB"/>
    <w:rsid w:val="00CC3E53"/>
    <w:rsid w:val="00CC4B5A"/>
    <w:rsid w:val="00CC587D"/>
    <w:rsid w:val="00CC6DDB"/>
    <w:rsid w:val="00CD18CF"/>
    <w:rsid w:val="00CD2987"/>
    <w:rsid w:val="00CD2B4C"/>
    <w:rsid w:val="00CD2F1E"/>
    <w:rsid w:val="00CD3659"/>
    <w:rsid w:val="00CD42F7"/>
    <w:rsid w:val="00CD45E7"/>
    <w:rsid w:val="00CD488D"/>
    <w:rsid w:val="00CD495A"/>
    <w:rsid w:val="00CD4D93"/>
    <w:rsid w:val="00CD502A"/>
    <w:rsid w:val="00CD58B5"/>
    <w:rsid w:val="00CD5EAA"/>
    <w:rsid w:val="00CD5FFF"/>
    <w:rsid w:val="00CD6613"/>
    <w:rsid w:val="00CD6FF7"/>
    <w:rsid w:val="00CD79FF"/>
    <w:rsid w:val="00CD7E91"/>
    <w:rsid w:val="00CE1354"/>
    <w:rsid w:val="00CE1B9F"/>
    <w:rsid w:val="00CE21EF"/>
    <w:rsid w:val="00CE5059"/>
    <w:rsid w:val="00CE7852"/>
    <w:rsid w:val="00CE7880"/>
    <w:rsid w:val="00CE793F"/>
    <w:rsid w:val="00CF033F"/>
    <w:rsid w:val="00CF1BCD"/>
    <w:rsid w:val="00CF2FF7"/>
    <w:rsid w:val="00CF33F8"/>
    <w:rsid w:val="00CF359F"/>
    <w:rsid w:val="00CF4302"/>
    <w:rsid w:val="00CF65B7"/>
    <w:rsid w:val="00D03AFC"/>
    <w:rsid w:val="00D03C62"/>
    <w:rsid w:val="00D047AF"/>
    <w:rsid w:val="00D079B0"/>
    <w:rsid w:val="00D07FDC"/>
    <w:rsid w:val="00D102D3"/>
    <w:rsid w:val="00D103DC"/>
    <w:rsid w:val="00D10433"/>
    <w:rsid w:val="00D13BE7"/>
    <w:rsid w:val="00D14016"/>
    <w:rsid w:val="00D14720"/>
    <w:rsid w:val="00D15B34"/>
    <w:rsid w:val="00D1747C"/>
    <w:rsid w:val="00D17B1D"/>
    <w:rsid w:val="00D209B3"/>
    <w:rsid w:val="00D20EE5"/>
    <w:rsid w:val="00D21746"/>
    <w:rsid w:val="00D22B88"/>
    <w:rsid w:val="00D236EA"/>
    <w:rsid w:val="00D23C87"/>
    <w:rsid w:val="00D241FD"/>
    <w:rsid w:val="00D2437B"/>
    <w:rsid w:val="00D24893"/>
    <w:rsid w:val="00D24C2F"/>
    <w:rsid w:val="00D25B30"/>
    <w:rsid w:val="00D25C6B"/>
    <w:rsid w:val="00D25DA7"/>
    <w:rsid w:val="00D26247"/>
    <w:rsid w:val="00D26289"/>
    <w:rsid w:val="00D262C1"/>
    <w:rsid w:val="00D27105"/>
    <w:rsid w:val="00D27120"/>
    <w:rsid w:val="00D278F2"/>
    <w:rsid w:val="00D27DD7"/>
    <w:rsid w:val="00D304E4"/>
    <w:rsid w:val="00D30701"/>
    <w:rsid w:val="00D31497"/>
    <w:rsid w:val="00D319DB"/>
    <w:rsid w:val="00D31CE3"/>
    <w:rsid w:val="00D31FBD"/>
    <w:rsid w:val="00D32224"/>
    <w:rsid w:val="00D328BD"/>
    <w:rsid w:val="00D3311D"/>
    <w:rsid w:val="00D347EE"/>
    <w:rsid w:val="00D34EF9"/>
    <w:rsid w:val="00D35375"/>
    <w:rsid w:val="00D358A1"/>
    <w:rsid w:val="00D364CD"/>
    <w:rsid w:val="00D3692D"/>
    <w:rsid w:val="00D3707A"/>
    <w:rsid w:val="00D4170D"/>
    <w:rsid w:val="00D4234D"/>
    <w:rsid w:val="00D45BB2"/>
    <w:rsid w:val="00D45CEF"/>
    <w:rsid w:val="00D4729D"/>
    <w:rsid w:val="00D50A58"/>
    <w:rsid w:val="00D50A5E"/>
    <w:rsid w:val="00D5114B"/>
    <w:rsid w:val="00D516EA"/>
    <w:rsid w:val="00D51AD4"/>
    <w:rsid w:val="00D522F3"/>
    <w:rsid w:val="00D52BE5"/>
    <w:rsid w:val="00D52DBC"/>
    <w:rsid w:val="00D5463D"/>
    <w:rsid w:val="00D54912"/>
    <w:rsid w:val="00D54C9A"/>
    <w:rsid w:val="00D55058"/>
    <w:rsid w:val="00D555D4"/>
    <w:rsid w:val="00D558D6"/>
    <w:rsid w:val="00D57785"/>
    <w:rsid w:val="00D60B10"/>
    <w:rsid w:val="00D60E3D"/>
    <w:rsid w:val="00D6167A"/>
    <w:rsid w:val="00D6306B"/>
    <w:rsid w:val="00D63071"/>
    <w:rsid w:val="00D63567"/>
    <w:rsid w:val="00D648F8"/>
    <w:rsid w:val="00D64E22"/>
    <w:rsid w:val="00D6520D"/>
    <w:rsid w:val="00D671AD"/>
    <w:rsid w:val="00D70228"/>
    <w:rsid w:val="00D707D7"/>
    <w:rsid w:val="00D708B8"/>
    <w:rsid w:val="00D71165"/>
    <w:rsid w:val="00D72C65"/>
    <w:rsid w:val="00D73888"/>
    <w:rsid w:val="00D739AA"/>
    <w:rsid w:val="00D73B70"/>
    <w:rsid w:val="00D75318"/>
    <w:rsid w:val="00D759B7"/>
    <w:rsid w:val="00D75D8C"/>
    <w:rsid w:val="00D80109"/>
    <w:rsid w:val="00D818AE"/>
    <w:rsid w:val="00D82099"/>
    <w:rsid w:val="00D831FD"/>
    <w:rsid w:val="00D83B5E"/>
    <w:rsid w:val="00D83C75"/>
    <w:rsid w:val="00D8403B"/>
    <w:rsid w:val="00D845BA"/>
    <w:rsid w:val="00D84CE4"/>
    <w:rsid w:val="00D857CD"/>
    <w:rsid w:val="00D8629F"/>
    <w:rsid w:val="00D864DA"/>
    <w:rsid w:val="00D87704"/>
    <w:rsid w:val="00D91C50"/>
    <w:rsid w:val="00D9218A"/>
    <w:rsid w:val="00D922C3"/>
    <w:rsid w:val="00D927FD"/>
    <w:rsid w:val="00D93512"/>
    <w:rsid w:val="00D9592B"/>
    <w:rsid w:val="00D96780"/>
    <w:rsid w:val="00D97125"/>
    <w:rsid w:val="00D974F0"/>
    <w:rsid w:val="00DA030B"/>
    <w:rsid w:val="00DA06DC"/>
    <w:rsid w:val="00DA2CC7"/>
    <w:rsid w:val="00DA2E64"/>
    <w:rsid w:val="00DA2F21"/>
    <w:rsid w:val="00DA50F8"/>
    <w:rsid w:val="00DA5E21"/>
    <w:rsid w:val="00DA6D53"/>
    <w:rsid w:val="00DB0545"/>
    <w:rsid w:val="00DB1338"/>
    <w:rsid w:val="00DB2BAB"/>
    <w:rsid w:val="00DB46D6"/>
    <w:rsid w:val="00DB584F"/>
    <w:rsid w:val="00DB774B"/>
    <w:rsid w:val="00DC0DF4"/>
    <w:rsid w:val="00DC234B"/>
    <w:rsid w:val="00DC2EBE"/>
    <w:rsid w:val="00DC2F5F"/>
    <w:rsid w:val="00DC33A1"/>
    <w:rsid w:val="00DC39AA"/>
    <w:rsid w:val="00DC6345"/>
    <w:rsid w:val="00DD01B7"/>
    <w:rsid w:val="00DD0CE1"/>
    <w:rsid w:val="00DD26BB"/>
    <w:rsid w:val="00DD413D"/>
    <w:rsid w:val="00DD4332"/>
    <w:rsid w:val="00DD4689"/>
    <w:rsid w:val="00DD50CC"/>
    <w:rsid w:val="00DD5C12"/>
    <w:rsid w:val="00DD7A57"/>
    <w:rsid w:val="00DD7CC2"/>
    <w:rsid w:val="00DE0647"/>
    <w:rsid w:val="00DE3265"/>
    <w:rsid w:val="00DE601E"/>
    <w:rsid w:val="00DE70E7"/>
    <w:rsid w:val="00DF1071"/>
    <w:rsid w:val="00DF1411"/>
    <w:rsid w:val="00DF3056"/>
    <w:rsid w:val="00DF3263"/>
    <w:rsid w:val="00DF40A3"/>
    <w:rsid w:val="00DF58F7"/>
    <w:rsid w:val="00DF5B63"/>
    <w:rsid w:val="00DF633A"/>
    <w:rsid w:val="00DF63F1"/>
    <w:rsid w:val="00DF6DE6"/>
    <w:rsid w:val="00DF7735"/>
    <w:rsid w:val="00E00949"/>
    <w:rsid w:val="00E02042"/>
    <w:rsid w:val="00E02351"/>
    <w:rsid w:val="00E024B4"/>
    <w:rsid w:val="00E029E1"/>
    <w:rsid w:val="00E035B0"/>
    <w:rsid w:val="00E03627"/>
    <w:rsid w:val="00E05589"/>
    <w:rsid w:val="00E070D7"/>
    <w:rsid w:val="00E108FD"/>
    <w:rsid w:val="00E10CDA"/>
    <w:rsid w:val="00E113FF"/>
    <w:rsid w:val="00E126FF"/>
    <w:rsid w:val="00E12838"/>
    <w:rsid w:val="00E13BE0"/>
    <w:rsid w:val="00E1471C"/>
    <w:rsid w:val="00E17041"/>
    <w:rsid w:val="00E171C2"/>
    <w:rsid w:val="00E2328C"/>
    <w:rsid w:val="00E23D5B"/>
    <w:rsid w:val="00E25BD5"/>
    <w:rsid w:val="00E2738C"/>
    <w:rsid w:val="00E27884"/>
    <w:rsid w:val="00E278D7"/>
    <w:rsid w:val="00E27E85"/>
    <w:rsid w:val="00E3034E"/>
    <w:rsid w:val="00E30C48"/>
    <w:rsid w:val="00E30EFD"/>
    <w:rsid w:val="00E316D2"/>
    <w:rsid w:val="00E3497F"/>
    <w:rsid w:val="00E34CAB"/>
    <w:rsid w:val="00E35376"/>
    <w:rsid w:val="00E35C96"/>
    <w:rsid w:val="00E35CEB"/>
    <w:rsid w:val="00E401A5"/>
    <w:rsid w:val="00E408A9"/>
    <w:rsid w:val="00E41429"/>
    <w:rsid w:val="00E418AB"/>
    <w:rsid w:val="00E41C12"/>
    <w:rsid w:val="00E42C31"/>
    <w:rsid w:val="00E430EE"/>
    <w:rsid w:val="00E442B8"/>
    <w:rsid w:val="00E442EA"/>
    <w:rsid w:val="00E458B0"/>
    <w:rsid w:val="00E47C73"/>
    <w:rsid w:val="00E50B08"/>
    <w:rsid w:val="00E50FA6"/>
    <w:rsid w:val="00E5112E"/>
    <w:rsid w:val="00E5165B"/>
    <w:rsid w:val="00E5200F"/>
    <w:rsid w:val="00E55327"/>
    <w:rsid w:val="00E57889"/>
    <w:rsid w:val="00E60082"/>
    <w:rsid w:val="00E6073B"/>
    <w:rsid w:val="00E6095E"/>
    <w:rsid w:val="00E62BF9"/>
    <w:rsid w:val="00E650D5"/>
    <w:rsid w:val="00E66CF2"/>
    <w:rsid w:val="00E67CF3"/>
    <w:rsid w:val="00E67FAE"/>
    <w:rsid w:val="00E703B4"/>
    <w:rsid w:val="00E70A99"/>
    <w:rsid w:val="00E70E1A"/>
    <w:rsid w:val="00E71022"/>
    <w:rsid w:val="00E717EB"/>
    <w:rsid w:val="00E722A5"/>
    <w:rsid w:val="00E724B8"/>
    <w:rsid w:val="00E7286A"/>
    <w:rsid w:val="00E72878"/>
    <w:rsid w:val="00E74872"/>
    <w:rsid w:val="00E74915"/>
    <w:rsid w:val="00E77BFF"/>
    <w:rsid w:val="00E813B3"/>
    <w:rsid w:val="00E8174A"/>
    <w:rsid w:val="00E81E5B"/>
    <w:rsid w:val="00E82FF1"/>
    <w:rsid w:val="00E842E9"/>
    <w:rsid w:val="00E85AD1"/>
    <w:rsid w:val="00E90FF5"/>
    <w:rsid w:val="00E9110F"/>
    <w:rsid w:val="00E92314"/>
    <w:rsid w:val="00E92317"/>
    <w:rsid w:val="00E92499"/>
    <w:rsid w:val="00E92CCD"/>
    <w:rsid w:val="00E934BC"/>
    <w:rsid w:val="00E94760"/>
    <w:rsid w:val="00E94D3F"/>
    <w:rsid w:val="00E9553F"/>
    <w:rsid w:val="00E974F3"/>
    <w:rsid w:val="00E97A40"/>
    <w:rsid w:val="00E97A8F"/>
    <w:rsid w:val="00EA017B"/>
    <w:rsid w:val="00EA163E"/>
    <w:rsid w:val="00EA1649"/>
    <w:rsid w:val="00EA2920"/>
    <w:rsid w:val="00EA2D92"/>
    <w:rsid w:val="00EA36E2"/>
    <w:rsid w:val="00EA50F7"/>
    <w:rsid w:val="00EA51B2"/>
    <w:rsid w:val="00EA5574"/>
    <w:rsid w:val="00EA565C"/>
    <w:rsid w:val="00EA59DC"/>
    <w:rsid w:val="00EA6750"/>
    <w:rsid w:val="00EA72A7"/>
    <w:rsid w:val="00EB034A"/>
    <w:rsid w:val="00EB1883"/>
    <w:rsid w:val="00EB38EB"/>
    <w:rsid w:val="00EB3D29"/>
    <w:rsid w:val="00EB4819"/>
    <w:rsid w:val="00EB4C3B"/>
    <w:rsid w:val="00EB4FFA"/>
    <w:rsid w:val="00EB5643"/>
    <w:rsid w:val="00EB57E4"/>
    <w:rsid w:val="00EB61E4"/>
    <w:rsid w:val="00EB65AE"/>
    <w:rsid w:val="00EB7618"/>
    <w:rsid w:val="00EB78B9"/>
    <w:rsid w:val="00EC0832"/>
    <w:rsid w:val="00EC0DB4"/>
    <w:rsid w:val="00EC10E1"/>
    <w:rsid w:val="00EC2911"/>
    <w:rsid w:val="00EC2F6B"/>
    <w:rsid w:val="00EC3660"/>
    <w:rsid w:val="00EC40FF"/>
    <w:rsid w:val="00EC57BB"/>
    <w:rsid w:val="00EC5EC4"/>
    <w:rsid w:val="00EC71E8"/>
    <w:rsid w:val="00ED044E"/>
    <w:rsid w:val="00ED1376"/>
    <w:rsid w:val="00ED166B"/>
    <w:rsid w:val="00ED27D6"/>
    <w:rsid w:val="00ED37DA"/>
    <w:rsid w:val="00ED423C"/>
    <w:rsid w:val="00ED42F8"/>
    <w:rsid w:val="00ED4FDE"/>
    <w:rsid w:val="00ED5A62"/>
    <w:rsid w:val="00ED5B66"/>
    <w:rsid w:val="00ED7DB0"/>
    <w:rsid w:val="00EE0162"/>
    <w:rsid w:val="00EE2598"/>
    <w:rsid w:val="00EE448B"/>
    <w:rsid w:val="00EE46E1"/>
    <w:rsid w:val="00EE7D44"/>
    <w:rsid w:val="00EF04C5"/>
    <w:rsid w:val="00EF1869"/>
    <w:rsid w:val="00EF38CF"/>
    <w:rsid w:val="00EF4AB3"/>
    <w:rsid w:val="00EF54FC"/>
    <w:rsid w:val="00EF58EE"/>
    <w:rsid w:val="00EF6604"/>
    <w:rsid w:val="00EF6DAC"/>
    <w:rsid w:val="00EF70D1"/>
    <w:rsid w:val="00EF788B"/>
    <w:rsid w:val="00F0198C"/>
    <w:rsid w:val="00F031F9"/>
    <w:rsid w:val="00F03B18"/>
    <w:rsid w:val="00F03D66"/>
    <w:rsid w:val="00F03EE4"/>
    <w:rsid w:val="00F0566A"/>
    <w:rsid w:val="00F0644C"/>
    <w:rsid w:val="00F07684"/>
    <w:rsid w:val="00F0775C"/>
    <w:rsid w:val="00F078BD"/>
    <w:rsid w:val="00F07FAB"/>
    <w:rsid w:val="00F10CD7"/>
    <w:rsid w:val="00F1120B"/>
    <w:rsid w:val="00F119FC"/>
    <w:rsid w:val="00F127E4"/>
    <w:rsid w:val="00F134B7"/>
    <w:rsid w:val="00F154B0"/>
    <w:rsid w:val="00F16035"/>
    <w:rsid w:val="00F16BDF"/>
    <w:rsid w:val="00F1745C"/>
    <w:rsid w:val="00F217B6"/>
    <w:rsid w:val="00F22975"/>
    <w:rsid w:val="00F243D4"/>
    <w:rsid w:val="00F24E8D"/>
    <w:rsid w:val="00F252F4"/>
    <w:rsid w:val="00F2557D"/>
    <w:rsid w:val="00F26EBA"/>
    <w:rsid w:val="00F3098C"/>
    <w:rsid w:val="00F31F3D"/>
    <w:rsid w:val="00F31F80"/>
    <w:rsid w:val="00F32C3B"/>
    <w:rsid w:val="00F33706"/>
    <w:rsid w:val="00F3514A"/>
    <w:rsid w:val="00F35AF3"/>
    <w:rsid w:val="00F36B1C"/>
    <w:rsid w:val="00F37788"/>
    <w:rsid w:val="00F40968"/>
    <w:rsid w:val="00F41E55"/>
    <w:rsid w:val="00F42A5B"/>
    <w:rsid w:val="00F43055"/>
    <w:rsid w:val="00F44DFE"/>
    <w:rsid w:val="00F452EC"/>
    <w:rsid w:val="00F453ED"/>
    <w:rsid w:val="00F45721"/>
    <w:rsid w:val="00F46EC7"/>
    <w:rsid w:val="00F500B1"/>
    <w:rsid w:val="00F50498"/>
    <w:rsid w:val="00F511EB"/>
    <w:rsid w:val="00F51D61"/>
    <w:rsid w:val="00F52138"/>
    <w:rsid w:val="00F527E0"/>
    <w:rsid w:val="00F52DFA"/>
    <w:rsid w:val="00F53776"/>
    <w:rsid w:val="00F5386C"/>
    <w:rsid w:val="00F546BF"/>
    <w:rsid w:val="00F54F1C"/>
    <w:rsid w:val="00F55115"/>
    <w:rsid w:val="00F55277"/>
    <w:rsid w:val="00F571D8"/>
    <w:rsid w:val="00F57B33"/>
    <w:rsid w:val="00F601A8"/>
    <w:rsid w:val="00F606C2"/>
    <w:rsid w:val="00F6087E"/>
    <w:rsid w:val="00F60D5C"/>
    <w:rsid w:val="00F61CBA"/>
    <w:rsid w:val="00F61F9B"/>
    <w:rsid w:val="00F6422C"/>
    <w:rsid w:val="00F70E8C"/>
    <w:rsid w:val="00F71ED1"/>
    <w:rsid w:val="00F71F92"/>
    <w:rsid w:val="00F72305"/>
    <w:rsid w:val="00F734B7"/>
    <w:rsid w:val="00F73EC9"/>
    <w:rsid w:val="00F7569A"/>
    <w:rsid w:val="00F76AA1"/>
    <w:rsid w:val="00F77CC5"/>
    <w:rsid w:val="00F80EEC"/>
    <w:rsid w:val="00F81C60"/>
    <w:rsid w:val="00F83514"/>
    <w:rsid w:val="00F85EC2"/>
    <w:rsid w:val="00F87866"/>
    <w:rsid w:val="00F9096B"/>
    <w:rsid w:val="00F90B3C"/>
    <w:rsid w:val="00F91C80"/>
    <w:rsid w:val="00F923A7"/>
    <w:rsid w:val="00F943CC"/>
    <w:rsid w:val="00F944F4"/>
    <w:rsid w:val="00F97253"/>
    <w:rsid w:val="00FA0DB5"/>
    <w:rsid w:val="00FA13AF"/>
    <w:rsid w:val="00FA2F64"/>
    <w:rsid w:val="00FA32BF"/>
    <w:rsid w:val="00FA3342"/>
    <w:rsid w:val="00FA38B0"/>
    <w:rsid w:val="00FA3A80"/>
    <w:rsid w:val="00FA52CF"/>
    <w:rsid w:val="00FA531D"/>
    <w:rsid w:val="00FA6764"/>
    <w:rsid w:val="00FA7976"/>
    <w:rsid w:val="00FA79B5"/>
    <w:rsid w:val="00FA7ADF"/>
    <w:rsid w:val="00FB16D7"/>
    <w:rsid w:val="00FB180A"/>
    <w:rsid w:val="00FB3623"/>
    <w:rsid w:val="00FB3B20"/>
    <w:rsid w:val="00FB505C"/>
    <w:rsid w:val="00FB5471"/>
    <w:rsid w:val="00FB6676"/>
    <w:rsid w:val="00FB79E6"/>
    <w:rsid w:val="00FC005F"/>
    <w:rsid w:val="00FC0A1A"/>
    <w:rsid w:val="00FC0B10"/>
    <w:rsid w:val="00FC0DE7"/>
    <w:rsid w:val="00FC188A"/>
    <w:rsid w:val="00FC3804"/>
    <w:rsid w:val="00FC45AC"/>
    <w:rsid w:val="00FC6893"/>
    <w:rsid w:val="00FC69E3"/>
    <w:rsid w:val="00FC6B23"/>
    <w:rsid w:val="00FC7919"/>
    <w:rsid w:val="00FD17DE"/>
    <w:rsid w:val="00FD18A1"/>
    <w:rsid w:val="00FD3970"/>
    <w:rsid w:val="00FD5A39"/>
    <w:rsid w:val="00FD694D"/>
    <w:rsid w:val="00FD6A8B"/>
    <w:rsid w:val="00FD7D5C"/>
    <w:rsid w:val="00FE1561"/>
    <w:rsid w:val="00FE16C9"/>
    <w:rsid w:val="00FE2E7D"/>
    <w:rsid w:val="00FE3081"/>
    <w:rsid w:val="00FE4BCE"/>
    <w:rsid w:val="00FE59FC"/>
    <w:rsid w:val="00FF1762"/>
    <w:rsid w:val="00FF1D53"/>
    <w:rsid w:val="00FF2CAC"/>
    <w:rsid w:val="00FF320D"/>
    <w:rsid w:val="00FF4184"/>
    <w:rsid w:val="00FF52C2"/>
    <w:rsid w:val="00FF555E"/>
    <w:rsid w:val="00FF6A67"/>
    <w:rsid w:val="00FF7489"/>
    <w:rsid w:val="011E7BE0"/>
    <w:rsid w:val="01467BE8"/>
    <w:rsid w:val="02747484"/>
    <w:rsid w:val="03451CAC"/>
    <w:rsid w:val="074368C5"/>
    <w:rsid w:val="095F365D"/>
    <w:rsid w:val="0976172B"/>
    <w:rsid w:val="09B872D2"/>
    <w:rsid w:val="0AD8783C"/>
    <w:rsid w:val="0B62749D"/>
    <w:rsid w:val="0C4D3CB6"/>
    <w:rsid w:val="0CBF029D"/>
    <w:rsid w:val="0D566138"/>
    <w:rsid w:val="0E186EA2"/>
    <w:rsid w:val="0E4A022A"/>
    <w:rsid w:val="0E961DE6"/>
    <w:rsid w:val="128E5FA7"/>
    <w:rsid w:val="14DF7B58"/>
    <w:rsid w:val="15507851"/>
    <w:rsid w:val="15D66CE7"/>
    <w:rsid w:val="15F45FCD"/>
    <w:rsid w:val="18CD52BC"/>
    <w:rsid w:val="1A83703C"/>
    <w:rsid w:val="1C0D1C10"/>
    <w:rsid w:val="1F0C7220"/>
    <w:rsid w:val="206861E7"/>
    <w:rsid w:val="22103EA8"/>
    <w:rsid w:val="22BC068B"/>
    <w:rsid w:val="24B31F30"/>
    <w:rsid w:val="267049EA"/>
    <w:rsid w:val="27600CFB"/>
    <w:rsid w:val="28AF0292"/>
    <w:rsid w:val="2BBF020A"/>
    <w:rsid w:val="2C2922D7"/>
    <w:rsid w:val="2EE36599"/>
    <w:rsid w:val="2F4047AE"/>
    <w:rsid w:val="2F6E195A"/>
    <w:rsid w:val="320D59FB"/>
    <w:rsid w:val="32BE4F4A"/>
    <w:rsid w:val="331A406C"/>
    <w:rsid w:val="38656757"/>
    <w:rsid w:val="38DE05C7"/>
    <w:rsid w:val="39D12A87"/>
    <w:rsid w:val="3A8827FF"/>
    <w:rsid w:val="3AFA4418"/>
    <w:rsid w:val="3BFB410F"/>
    <w:rsid w:val="3E6C1776"/>
    <w:rsid w:val="41D92B93"/>
    <w:rsid w:val="428D5316"/>
    <w:rsid w:val="42F15A8A"/>
    <w:rsid w:val="44ED2F17"/>
    <w:rsid w:val="46E016BE"/>
    <w:rsid w:val="4B467057"/>
    <w:rsid w:val="4F1A352A"/>
    <w:rsid w:val="50EC6ECA"/>
    <w:rsid w:val="527420DD"/>
    <w:rsid w:val="52AB4103"/>
    <w:rsid w:val="5356482F"/>
    <w:rsid w:val="54725324"/>
    <w:rsid w:val="55A16EF6"/>
    <w:rsid w:val="581C4FEF"/>
    <w:rsid w:val="586731DC"/>
    <w:rsid w:val="598B38C8"/>
    <w:rsid w:val="5B934CA1"/>
    <w:rsid w:val="5BA80007"/>
    <w:rsid w:val="5BD068C6"/>
    <w:rsid w:val="5C561EA7"/>
    <w:rsid w:val="5C61484A"/>
    <w:rsid w:val="5F003091"/>
    <w:rsid w:val="5F967BDC"/>
    <w:rsid w:val="5FB24E0A"/>
    <w:rsid w:val="603F28FA"/>
    <w:rsid w:val="628F3BAF"/>
    <w:rsid w:val="635B6530"/>
    <w:rsid w:val="65E02D08"/>
    <w:rsid w:val="672A6ADE"/>
    <w:rsid w:val="67AD6BBF"/>
    <w:rsid w:val="6920353F"/>
    <w:rsid w:val="696C60B9"/>
    <w:rsid w:val="6A1211EA"/>
    <w:rsid w:val="6A3B6CD9"/>
    <w:rsid w:val="6A6F7FA9"/>
    <w:rsid w:val="6AC83D4F"/>
    <w:rsid w:val="6B15556D"/>
    <w:rsid w:val="6D007F44"/>
    <w:rsid w:val="6FA45D8F"/>
    <w:rsid w:val="70FC68A5"/>
    <w:rsid w:val="721D7899"/>
    <w:rsid w:val="73AC2857"/>
    <w:rsid w:val="74F661CB"/>
    <w:rsid w:val="777675A3"/>
    <w:rsid w:val="780C34BF"/>
    <w:rsid w:val="79615EE9"/>
    <w:rsid w:val="79897FA1"/>
    <w:rsid w:val="7C1636DB"/>
    <w:rsid w:val="7EA803C5"/>
    <w:rsid w:val="7EAD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spacing w:line="500" w:lineRule="atLeast"/>
      <w:ind w:firstLine="560" w:firstLineChars="200"/>
      <w:jc w:val="left"/>
    </w:pPr>
    <w:rPr>
      <w:rFonts w:ascii="宋体" w:hAnsi="宋体"/>
      <w:sz w:val="28"/>
      <w:szCs w:val="28"/>
      <w:lang w:val="zh-CN"/>
    </w:rPr>
  </w:style>
  <w:style w:type="paragraph" w:styleId="4">
    <w:name w:val="Date"/>
    <w:basedOn w:val="1"/>
    <w:next w:val="1"/>
    <w:qFormat/>
    <w:uiPriority w:val="0"/>
    <w:pPr>
      <w:ind w:left="100" w:leftChars="2500"/>
    </w:pPr>
  </w:style>
  <w:style w:type="paragraph" w:styleId="5">
    <w:name w:val="footer"/>
    <w:basedOn w:val="1"/>
    <w:link w:val="19"/>
    <w:qFormat/>
    <w:uiPriority w:val="99"/>
    <w:pPr>
      <w:tabs>
        <w:tab w:val="center" w:pos="4153"/>
        <w:tab w:val="right" w:pos="8306"/>
      </w:tabs>
      <w:snapToGrid w:val="0"/>
      <w:jc w:val="center"/>
    </w:pPr>
    <w:rPr>
      <w:sz w:val="18"/>
      <w:szCs w:val="18"/>
    </w:rPr>
  </w:style>
  <w:style w:type="paragraph" w:styleId="6">
    <w:name w:val="header"/>
    <w:basedOn w:val="1"/>
    <w:qFormat/>
    <w:uiPriority w:val="0"/>
    <w:pPr>
      <w:tabs>
        <w:tab w:val="center" w:pos="4153"/>
        <w:tab w:val="right" w:pos="8306"/>
      </w:tabs>
      <w:snapToGrid w:val="0"/>
    </w:pPr>
    <w:rPr>
      <w:sz w:val="18"/>
      <w:szCs w:val="18"/>
      <w:u w:val="single"/>
    </w:rPr>
  </w:style>
  <w:style w:type="paragraph" w:styleId="7">
    <w:name w:val="Body Text Indent 3"/>
    <w:basedOn w:val="1"/>
    <w:link w:val="18"/>
    <w:qFormat/>
    <w:uiPriority w:val="0"/>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Emphasis"/>
    <w:basedOn w:val="11"/>
    <w:qFormat/>
    <w:uiPriority w:val="0"/>
    <w:rPr>
      <w:i/>
      <w:iCs/>
    </w:rPr>
  </w:style>
  <w:style w:type="character" w:styleId="15">
    <w:name w:val="line number"/>
    <w:basedOn w:val="11"/>
    <w:qFormat/>
    <w:uiPriority w:val="0"/>
  </w:style>
  <w:style w:type="character" w:styleId="16">
    <w:name w:val="Hyperlink"/>
    <w:basedOn w:val="11"/>
    <w:qFormat/>
    <w:uiPriority w:val="99"/>
    <w:rPr>
      <w:color w:val="0000FF"/>
      <w:u w:val="single"/>
    </w:rPr>
  </w:style>
  <w:style w:type="character" w:customStyle="1" w:styleId="17">
    <w:name w:val="t11"/>
    <w:basedOn w:val="11"/>
    <w:qFormat/>
    <w:uiPriority w:val="0"/>
    <w:rPr>
      <w:b/>
      <w:bCs/>
      <w:sz w:val="24"/>
      <w:szCs w:val="24"/>
      <w:shd w:val="clear" w:color="auto" w:fill="FFFFFF"/>
    </w:rPr>
  </w:style>
  <w:style w:type="character" w:customStyle="1" w:styleId="18">
    <w:name w:val="正文文本缩进 3 Char"/>
    <w:basedOn w:val="11"/>
    <w:link w:val="7"/>
    <w:qFormat/>
    <w:uiPriority w:val="0"/>
    <w:rPr>
      <w:kern w:val="2"/>
      <w:sz w:val="16"/>
      <w:szCs w:val="16"/>
    </w:rPr>
  </w:style>
  <w:style w:type="character" w:customStyle="1" w:styleId="19">
    <w:name w:val="页脚 Char"/>
    <w:basedOn w:val="11"/>
    <w:link w:val="5"/>
    <w:qFormat/>
    <w:uiPriority w:val="99"/>
    <w:rPr>
      <w:kern w:val="2"/>
      <w:sz w:val="18"/>
      <w:szCs w:val="18"/>
    </w:rPr>
  </w:style>
  <w:style w:type="character" w:customStyle="1" w:styleId="20">
    <w:name w:val="标题 2 Char"/>
    <w:basedOn w:val="11"/>
    <w:link w:val="2"/>
    <w:qFormat/>
    <w:uiPriority w:val="9"/>
    <w:rPr>
      <w:rFonts w:ascii="宋体" w:hAnsi="宋体" w:cs="宋体"/>
      <w:b/>
      <w:bCs/>
      <w:sz w:val="36"/>
      <w:szCs w:val="36"/>
    </w:rPr>
  </w:style>
  <w:style w:type="character" w:customStyle="1" w:styleId="21">
    <w:name w:val="apple-converted-space"/>
    <w:basedOn w:val="11"/>
    <w:qFormat/>
    <w:uiPriority w:val="0"/>
  </w:style>
  <w:style w:type="character" w:customStyle="1" w:styleId="22">
    <w:name w:val="orange2"/>
    <w:basedOn w:val="11"/>
    <w:qFormat/>
    <w:uiPriority w:val="0"/>
  </w:style>
  <w:style w:type="paragraph" w:styleId="23">
    <w:name w:val="List Paragraph"/>
    <w:basedOn w:val="1"/>
    <w:qFormat/>
    <w:uiPriority w:val="34"/>
    <w:pPr>
      <w:spacing w:line="288" w:lineRule="auto"/>
      <w:ind w:firstLine="420" w:firstLineChars="200"/>
    </w:pPr>
    <w:rPr>
      <w:szCs w:val="20"/>
    </w:rPr>
  </w:style>
  <w:style w:type="paragraph" w:customStyle="1" w:styleId="24">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联想（北京）有限公司</Company>
  <Pages>11</Pages>
  <Words>5293</Words>
  <Characters>5711</Characters>
  <Lines>7</Lines>
  <Paragraphs>12</Paragraphs>
  <TotalTime>21</TotalTime>
  <ScaleCrop>false</ScaleCrop>
  <LinksUpToDate>false</LinksUpToDate>
  <CharactersWithSpaces>5930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2019-12-27T01:31:00Z</dcterms:created>
  <dc:creator>Lenovo User</dc:creator>
  <cp:lastModifiedBy>MI</cp:lastModifiedBy>
  <cp:lastPrinted>2022-09-13T00:47:00Z</cp:lastPrinted>
  <dcterms:modified xsi:type="dcterms:W3CDTF">2022-09-27T01:51:59Z</dcterms:modified>
  <dc:title>第一部分   致委托方函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5B97A28B91234AA6998A286B773B6B80</vt:lpwstr>
  </property>
</Properties>
</file>